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C3" w:rsidRDefault="00F97AC3">
      <w:pPr>
        <w:spacing w:line="360" w:lineRule="auto"/>
        <w:jc w:val="center"/>
        <w:rPr>
          <w:b/>
          <w:sz w:val="32"/>
          <w:lang w:val="lt-LT"/>
        </w:rPr>
      </w:pPr>
    </w:p>
    <w:p w:rsidR="00574CBE" w:rsidRDefault="00574CBE">
      <w:pPr>
        <w:spacing w:line="360" w:lineRule="auto"/>
        <w:jc w:val="center"/>
        <w:rPr>
          <w:b/>
          <w:sz w:val="32"/>
          <w:lang w:val="lt-LT"/>
        </w:rPr>
      </w:pPr>
    </w:p>
    <w:p w:rsidR="009B6941" w:rsidRPr="00E63152" w:rsidRDefault="009B6941">
      <w:pPr>
        <w:spacing w:line="360" w:lineRule="auto"/>
        <w:jc w:val="center"/>
        <w:rPr>
          <w:b/>
          <w:sz w:val="32"/>
          <w:lang w:val="lt-LT"/>
        </w:rPr>
      </w:pPr>
      <w:r w:rsidRPr="00E63152">
        <w:rPr>
          <w:b/>
          <w:sz w:val="32"/>
          <w:lang w:val="lt-LT"/>
        </w:rPr>
        <w:t>VILNIAUS UNIVERSITETAS</w:t>
      </w:r>
    </w:p>
    <w:p w:rsidR="009B6941" w:rsidRPr="00E63152" w:rsidRDefault="009B6941">
      <w:pPr>
        <w:spacing w:line="360" w:lineRule="auto"/>
        <w:jc w:val="center"/>
        <w:rPr>
          <w:b/>
          <w:sz w:val="32"/>
          <w:lang w:val="lt-LT"/>
        </w:rPr>
      </w:pPr>
    </w:p>
    <w:p w:rsidR="009B6941" w:rsidRPr="00E63152" w:rsidRDefault="009B6941">
      <w:pPr>
        <w:spacing w:line="360" w:lineRule="auto"/>
        <w:jc w:val="center"/>
        <w:rPr>
          <w:sz w:val="32"/>
          <w:lang w:val="lt-LT"/>
        </w:rPr>
      </w:pPr>
    </w:p>
    <w:p w:rsidR="009B6941" w:rsidRPr="00E63152" w:rsidRDefault="009B6941">
      <w:pPr>
        <w:spacing w:line="360" w:lineRule="auto"/>
        <w:jc w:val="center"/>
        <w:rPr>
          <w:sz w:val="32"/>
          <w:lang w:val="lt-LT"/>
        </w:rPr>
      </w:pPr>
    </w:p>
    <w:p w:rsidR="009B6941" w:rsidRPr="00E63152" w:rsidRDefault="009B6941">
      <w:pPr>
        <w:spacing w:line="360" w:lineRule="auto"/>
        <w:jc w:val="center"/>
        <w:rPr>
          <w:sz w:val="32"/>
          <w:lang w:val="lt-LT"/>
        </w:rPr>
      </w:pPr>
    </w:p>
    <w:p w:rsidR="009B6941" w:rsidRPr="00E63152" w:rsidRDefault="009B6941">
      <w:pPr>
        <w:spacing w:line="360" w:lineRule="auto"/>
        <w:jc w:val="center"/>
        <w:rPr>
          <w:sz w:val="32"/>
          <w:lang w:val="lt-LT"/>
        </w:rPr>
      </w:pPr>
    </w:p>
    <w:p w:rsidR="009B6941" w:rsidRPr="00E63152" w:rsidRDefault="009B6941">
      <w:pPr>
        <w:spacing w:line="360" w:lineRule="auto"/>
        <w:jc w:val="center"/>
        <w:rPr>
          <w:sz w:val="28"/>
          <w:lang w:val="lt-LT"/>
        </w:rPr>
      </w:pPr>
      <w:r w:rsidRPr="00E63152">
        <w:rPr>
          <w:sz w:val="28"/>
          <w:lang w:val="lt-LT"/>
        </w:rPr>
        <w:t>R</w:t>
      </w:r>
      <w:r w:rsidR="00F97AC3">
        <w:rPr>
          <w:sz w:val="28"/>
          <w:lang w:val="lt-LT"/>
        </w:rPr>
        <w:t>ita</w:t>
      </w:r>
      <w:r w:rsidRPr="00E63152">
        <w:rPr>
          <w:sz w:val="28"/>
          <w:lang w:val="lt-LT"/>
        </w:rPr>
        <w:t xml:space="preserve"> J</w:t>
      </w:r>
      <w:r w:rsidR="00A67C9A">
        <w:rPr>
          <w:sz w:val="28"/>
          <w:lang w:val="lt-LT"/>
        </w:rPr>
        <w:t>odelienė</w:t>
      </w:r>
    </w:p>
    <w:p w:rsidR="009B6941" w:rsidRPr="00E63152" w:rsidRDefault="009B6941">
      <w:pPr>
        <w:spacing w:line="360" w:lineRule="auto"/>
        <w:jc w:val="center"/>
        <w:rPr>
          <w:sz w:val="28"/>
          <w:lang w:val="lt-LT"/>
        </w:rPr>
      </w:pPr>
    </w:p>
    <w:p w:rsidR="009B6941" w:rsidRPr="00E63152" w:rsidRDefault="009B6941">
      <w:pPr>
        <w:spacing w:line="360" w:lineRule="auto"/>
        <w:jc w:val="center"/>
        <w:rPr>
          <w:sz w:val="28"/>
          <w:lang w:val="lt-LT"/>
        </w:rPr>
      </w:pPr>
    </w:p>
    <w:p w:rsidR="009B6941" w:rsidRPr="00E63152" w:rsidRDefault="009B6941">
      <w:pPr>
        <w:spacing w:line="360" w:lineRule="auto"/>
        <w:jc w:val="center"/>
        <w:rPr>
          <w:b/>
          <w:sz w:val="32"/>
          <w:lang w:val="lt-LT"/>
        </w:rPr>
      </w:pPr>
      <w:r w:rsidRPr="00E63152">
        <w:rPr>
          <w:b/>
          <w:sz w:val="32"/>
          <w:lang w:val="lt-LT"/>
        </w:rPr>
        <w:t xml:space="preserve">AUDITO RIZIKOS </w:t>
      </w:r>
      <w:r w:rsidR="004E5521" w:rsidRPr="00E63152">
        <w:rPr>
          <w:b/>
          <w:sz w:val="32"/>
          <w:lang w:val="lt-LT"/>
        </w:rPr>
        <w:t xml:space="preserve">VERTINIMO </w:t>
      </w:r>
      <w:r w:rsidRPr="00E63152">
        <w:rPr>
          <w:b/>
          <w:sz w:val="32"/>
          <w:lang w:val="lt-LT"/>
        </w:rPr>
        <w:t>MODELI</w:t>
      </w:r>
      <w:r w:rsidR="004E5521" w:rsidRPr="00E63152">
        <w:rPr>
          <w:b/>
          <w:sz w:val="32"/>
          <w:lang w:val="lt-LT"/>
        </w:rPr>
        <w:t>S</w:t>
      </w:r>
    </w:p>
    <w:p w:rsidR="009B6941" w:rsidRPr="00F97AC3" w:rsidRDefault="009B6941">
      <w:pPr>
        <w:spacing w:line="360" w:lineRule="auto"/>
        <w:jc w:val="center"/>
        <w:rPr>
          <w:sz w:val="28"/>
          <w:szCs w:val="28"/>
          <w:lang w:val="lt-LT"/>
        </w:rPr>
      </w:pPr>
    </w:p>
    <w:p w:rsidR="009B6941" w:rsidRPr="00F97AC3" w:rsidRDefault="009B6941">
      <w:pPr>
        <w:spacing w:line="360" w:lineRule="auto"/>
        <w:jc w:val="center"/>
        <w:rPr>
          <w:sz w:val="28"/>
          <w:szCs w:val="28"/>
          <w:lang w:val="lt-LT"/>
        </w:rPr>
      </w:pPr>
    </w:p>
    <w:p w:rsidR="00F97AC3" w:rsidRPr="00F97AC3" w:rsidRDefault="00F97AC3" w:rsidP="002B461A">
      <w:pPr>
        <w:jc w:val="center"/>
        <w:rPr>
          <w:sz w:val="28"/>
          <w:lang w:val="lt-LT"/>
        </w:rPr>
      </w:pPr>
      <w:r w:rsidRPr="00F97AC3">
        <w:rPr>
          <w:sz w:val="28"/>
          <w:lang w:val="lt-LT"/>
        </w:rPr>
        <w:t>Daktaro disertacija</w:t>
      </w:r>
    </w:p>
    <w:p w:rsidR="00F97AC3" w:rsidRDefault="00F97AC3" w:rsidP="002B461A">
      <w:pPr>
        <w:jc w:val="center"/>
        <w:rPr>
          <w:sz w:val="28"/>
          <w:lang w:val="lt-LT"/>
        </w:rPr>
      </w:pPr>
      <w:r>
        <w:rPr>
          <w:sz w:val="28"/>
          <w:lang w:val="lt-LT"/>
        </w:rPr>
        <w:t>Socialiniai mokslai, ekonomika (04 S)</w:t>
      </w:r>
    </w:p>
    <w:p w:rsidR="009B6941" w:rsidRPr="00E63152" w:rsidRDefault="009B6941">
      <w:pPr>
        <w:spacing w:line="360" w:lineRule="auto"/>
        <w:jc w:val="center"/>
        <w:rPr>
          <w:b/>
          <w:sz w:val="32"/>
          <w:lang w:val="lt-LT"/>
        </w:rPr>
      </w:pPr>
    </w:p>
    <w:p w:rsidR="009B6941" w:rsidRPr="00E63152" w:rsidRDefault="009B6941">
      <w:pPr>
        <w:spacing w:line="360" w:lineRule="auto"/>
        <w:jc w:val="center"/>
        <w:rPr>
          <w:b/>
          <w:sz w:val="32"/>
          <w:lang w:val="lt-LT"/>
        </w:rPr>
      </w:pPr>
    </w:p>
    <w:p w:rsidR="009B6941" w:rsidRPr="00E63152" w:rsidRDefault="009B6941">
      <w:pPr>
        <w:spacing w:line="360" w:lineRule="auto"/>
        <w:jc w:val="center"/>
        <w:rPr>
          <w:b/>
          <w:sz w:val="32"/>
          <w:lang w:val="lt-LT"/>
        </w:rPr>
      </w:pPr>
    </w:p>
    <w:p w:rsidR="009B6941" w:rsidRPr="00E63152" w:rsidRDefault="009B6941">
      <w:pPr>
        <w:spacing w:line="360" w:lineRule="auto"/>
        <w:jc w:val="center"/>
        <w:rPr>
          <w:b/>
          <w:sz w:val="32"/>
          <w:lang w:val="lt-LT"/>
        </w:rPr>
      </w:pPr>
    </w:p>
    <w:p w:rsidR="009B6941" w:rsidRPr="00E63152" w:rsidRDefault="009B6941">
      <w:pPr>
        <w:spacing w:line="360" w:lineRule="auto"/>
        <w:jc w:val="center"/>
        <w:rPr>
          <w:b/>
          <w:sz w:val="32"/>
          <w:lang w:val="lt-LT"/>
        </w:rPr>
      </w:pPr>
    </w:p>
    <w:p w:rsidR="009B6941" w:rsidRPr="00E63152" w:rsidRDefault="009B6941">
      <w:pPr>
        <w:spacing w:line="360" w:lineRule="auto"/>
        <w:jc w:val="center"/>
        <w:rPr>
          <w:b/>
          <w:sz w:val="32"/>
          <w:lang w:val="lt-LT"/>
        </w:rPr>
      </w:pPr>
    </w:p>
    <w:p w:rsidR="008A2135" w:rsidRDefault="008A2135">
      <w:pPr>
        <w:spacing w:line="360" w:lineRule="auto"/>
        <w:jc w:val="center"/>
        <w:rPr>
          <w:b/>
          <w:sz w:val="32"/>
          <w:lang w:val="lt-LT"/>
        </w:rPr>
      </w:pPr>
    </w:p>
    <w:p w:rsidR="002B461A" w:rsidRDefault="002B461A">
      <w:pPr>
        <w:spacing w:line="360" w:lineRule="auto"/>
        <w:jc w:val="center"/>
        <w:rPr>
          <w:b/>
          <w:sz w:val="32"/>
          <w:lang w:val="lt-LT"/>
        </w:rPr>
      </w:pPr>
    </w:p>
    <w:p w:rsidR="00A67C9A" w:rsidRPr="00E63152" w:rsidRDefault="00A67C9A">
      <w:pPr>
        <w:spacing w:line="360" w:lineRule="auto"/>
        <w:jc w:val="center"/>
        <w:rPr>
          <w:b/>
          <w:sz w:val="32"/>
          <w:lang w:val="lt-LT"/>
        </w:rPr>
      </w:pPr>
    </w:p>
    <w:p w:rsidR="009B6941" w:rsidRPr="00E63152" w:rsidRDefault="00062DBF" w:rsidP="008A2135">
      <w:pPr>
        <w:spacing w:line="360" w:lineRule="auto"/>
        <w:jc w:val="center"/>
        <w:rPr>
          <w:sz w:val="28"/>
          <w:lang w:val="lt-LT"/>
        </w:rPr>
      </w:pPr>
      <w:r>
        <w:rPr>
          <w:sz w:val="28"/>
          <w:lang w:val="lt-LT"/>
        </w:rPr>
        <w:t>Vilnius</w:t>
      </w:r>
      <w:r w:rsidR="009B6941" w:rsidRPr="00E63152">
        <w:rPr>
          <w:sz w:val="28"/>
          <w:lang w:val="lt-LT"/>
        </w:rPr>
        <w:t>, 20</w:t>
      </w:r>
      <w:r w:rsidR="001B72E0">
        <w:rPr>
          <w:sz w:val="28"/>
          <w:lang w:val="en-GB"/>
        </w:rPr>
        <w:t>10</w:t>
      </w:r>
      <w:r w:rsidR="009B6941" w:rsidRPr="00E63152">
        <w:rPr>
          <w:sz w:val="28"/>
          <w:lang w:val="lt-LT"/>
        </w:rPr>
        <w:t xml:space="preserve"> </w:t>
      </w:r>
    </w:p>
    <w:p w:rsidR="00F97AC3" w:rsidRDefault="00F97AC3">
      <w:pPr>
        <w:rPr>
          <w:sz w:val="24"/>
          <w:lang w:val="lt-LT"/>
        </w:rPr>
      </w:pPr>
      <w:r>
        <w:rPr>
          <w:sz w:val="24"/>
          <w:lang w:val="lt-LT"/>
        </w:rPr>
        <w:br w:type="page"/>
      </w:r>
    </w:p>
    <w:p w:rsidR="00E939B1" w:rsidRPr="0060365B" w:rsidRDefault="00E939B1" w:rsidP="00E939B1">
      <w:pPr>
        <w:spacing w:line="360" w:lineRule="auto"/>
        <w:rPr>
          <w:sz w:val="26"/>
          <w:szCs w:val="26"/>
          <w:lang w:val="lt-LT"/>
        </w:rPr>
      </w:pPr>
      <w:r w:rsidRPr="0060365B">
        <w:rPr>
          <w:sz w:val="26"/>
          <w:szCs w:val="26"/>
          <w:lang w:val="lt-LT"/>
        </w:rPr>
        <w:lastRenderedPageBreak/>
        <w:t>Disertacija rengta 200</w:t>
      </w:r>
      <w:r w:rsidR="00F97AC3" w:rsidRPr="0060365B">
        <w:rPr>
          <w:sz w:val="26"/>
          <w:szCs w:val="26"/>
          <w:lang w:val="lt-LT"/>
        </w:rPr>
        <w:t>5-2009 metais Vilniaus</w:t>
      </w:r>
      <w:r w:rsidRPr="0060365B">
        <w:rPr>
          <w:sz w:val="26"/>
          <w:szCs w:val="26"/>
          <w:lang w:val="lt-LT"/>
        </w:rPr>
        <w:t xml:space="preserve"> universitete</w:t>
      </w:r>
      <w:r w:rsidR="009D3483" w:rsidRPr="0060365B">
        <w:rPr>
          <w:sz w:val="26"/>
          <w:szCs w:val="26"/>
          <w:lang w:val="lt-LT"/>
        </w:rPr>
        <w:t>.</w:t>
      </w:r>
    </w:p>
    <w:p w:rsidR="00E939B1" w:rsidRPr="0060365B" w:rsidRDefault="00E939B1" w:rsidP="00E939B1">
      <w:pPr>
        <w:spacing w:line="360" w:lineRule="auto"/>
        <w:rPr>
          <w:sz w:val="26"/>
          <w:szCs w:val="26"/>
          <w:lang w:val="lt-LT"/>
        </w:rPr>
      </w:pPr>
    </w:p>
    <w:p w:rsidR="00E939B1" w:rsidRPr="0060365B" w:rsidRDefault="00E939B1" w:rsidP="00E939B1">
      <w:pPr>
        <w:spacing w:line="360" w:lineRule="auto"/>
        <w:rPr>
          <w:sz w:val="26"/>
          <w:szCs w:val="26"/>
          <w:lang w:val="lt-LT"/>
        </w:rPr>
      </w:pPr>
    </w:p>
    <w:p w:rsidR="00E939B1" w:rsidRPr="0060365B" w:rsidRDefault="00E939B1" w:rsidP="00E939B1">
      <w:pPr>
        <w:spacing w:line="360" w:lineRule="auto"/>
        <w:rPr>
          <w:sz w:val="26"/>
          <w:szCs w:val="26"/>
          <w:lang w:val="lt-LT"/>
        </w:rPr>
      </w:pPr>
      <w:r w:rsidRPr="0060365B">
        <w:rPr>
          <w:sz w:val="26"/>
          <w:szCs w:val="26"/>
          <w:lang w:val="lt-LT"/>
        </w:rPr>
        <w:t>Mokslinis vadovas:</w:t>
      </w:r>
    </w:p>
    <w:p w:rsidR="000F4167" w:rsidRPr="0060365B" w:rsidRDefault="0060365B" w:rsidP="002B461A">
      <w:pPr>
        <w:spacing w:line="360" w:lineRule="auto"/>
        <w:jc w:val="both"/>
        <w:rPr>
          <w:sz w:val="26"/>
          <w:szCs w:val="26"/>
          <w:lang w:val="lt-LT"/>
        </w:rPr>
      </w:pPr>
      <w:r>
        <w:rPr>
          <w:sz w:val="26"/>
          <w:szCs w:val="26"/>
          <w:lang w:val="lt-LT"/>
        </w:rPr>
        <w:t>d</w:t>
      </w:r>
      <w:r w:rsidR="000F4167" w:rsidRPr="0060365B">
        <w:rPr>
          <w:sz w:val="26"/>
          <w:szCs w:val="26"/>
          <w:lang w:val="lt-LT"/>
        </w:rPr>
        <w:t>oc. dr. Neringa Stončiuvienė (Lietuvos žemės ūkio universitetas, socialiniai mokslai, ekonomika – 04</w:t>
      </w:r>
      <w:r w:rsidR="002B461A">
        <w:rPr>
          <w:sz w:val="26"/>
          <w:szCs w:val="26"/>
          <w:lang w:val="lt-LT"/>
        </w:rPr>
        <w:t xml:space="preserve"> </w:t>
      </w:r>
      <w:r w:rsidR="000F4167" w:rsidRPr="0060365B">
        <w:rPr>
          <w:sz w:val="26"/>
          <w:szCs w:val="26"/>
          <w:lang w:val="lt-LT"/>
        </w:rPr>
        <w:t xml:space="preserve">S) (2005 m. spalio mėn. – 2007 m. </w:t>
      </w:r>
      <w:r w:rsidRPr="0060365B">
        <w:rPr>
          <w:sz w:val="26"/>
          <w:szCs w:val="26"/>
          <w:lang w:val="lt-LT"/>
        </w:rPr>
        <w:t>rugsėjo</w:t>
      </w:r>
      <w:r w:rsidR="000F4167" w:rsidRPr="0060365B">
        <w:rPr>
          <w:sz w:val="26"/>
          <w:szCs w:val="26"/>
          <w:lang w:val="lt-LT"/>
        </w:rPr>
        <w:t xml:space="preserve"> mėn.)</w:t>
      </w:r>
    </w:p>
    <w:p w:rsidR="0060365B" w:rsidRDefault="0060365B" w:rsidP="002B461A">
      <w:pPr>
        <w:spacing w:line="360" w:lineRule="auto"/>
        <w:jc w:val="both"/>
        <w:rPr>
          <w:sz w:val="26"/>
          <w:szCs w:val="26"/>
          <w:lang w:val="lt-LT"/>
        </w:rPr>
      </w:pPr>
    </w:p>
    <w:p w:rsidR="000F4167" w:rsidRPr="0060365B" w:rsidRDefault="000F4167" w:rsidP="002B461A">
      <w:pPr>
        <w:spacing w:line="360" w:lineRule="auto"/>
        <w:jc w:val="both"/>
        <w:rPr>
          <w:sz w:val="26"/>
          <w:szCs w:val="26"/>
          <w:lang w:val="lt-LT"/>
        </w:rPr>
      </w:pPr>
      <w:r w:rsidRPr="0060365B">
        <w:rPr>
          <w:sz w:val="26"/>
          <w:szCs w:val="26"/>
          <w:lang w:val="lt-LT"/>
        </w:rPr>
        <w:t>prof. dr. Rasa Kanapickienė (Vilniaus universitetas, socialiniai mokslai, ekonomika – 04</w:t>
      </w:r>
      <w:r w:rsidR="002B461A">
        <w:rPr>
          <w:sz w:val="26"/>
          <w:szCs w:val="26"/>
          <w:lang w:val="lt-LT"/>
        </w:rPr>
        <w:t xml:space="preserve"> </w:t>
      </w:r>
      <w:r w:rsidRPr="0060365B">
        <w:rPr>
          <w:sz w:val="26"/>
          <w:szCs w:val="26"/>
          <w:lang w:val="lt-LT"/>
        </w:rPr>
        <w:t>S) (2007</w:t>
      </w:r>
      <w:r w:rsidR="00574CBE">
        <w:rPr>
          <w:sz w:val="26"/>
          <w:szCs w:val="26"/>
          <w:lang w:val="lt-LT"/>
        </w:rPr>
        <w:t xml:space="preserve"> m.</w:t>
      </w:r>
      <w:r w:rsidRPr="0060365B">
        <w:rPr>
          <w:sz w:val="26"/>
          <w:szCs w:val="26"/>
          <w:lang w:val="lt-LT"/>
        </w:rPr>
        <w:t xml:space="preserve"> </w:t>
      </w:r>
      <w:r w:rsidR="0060365B" w:rsidRPr="0060365B">
        <w:rPr>
          <w:sz w:val="26"/>
          <w:szCs w:val="26"/>
          <w:lang w:val="lt-LT"/>
        </w:rPr>
        <w:t>spalio</w:t>
      </w:r>
      <w:r w:rsidRPr="0060365B">
        <w:rPr>
          <w:sz w:val="26"/>
          <w:szCs w:val="26"/>
          <w:lang w:val="lt-LT"/>
        </w:rPr>
        <w:t xml:space="preserve"> mėn. – 2009 m. spalio mėn.)</w:t>
      </w:r>
    </w:p>
    <w:p w:rsidR="00E939B1" w:rsidRDefault="009B6941">
      <w:pPr>
        <w:spacing w:line="360" w:lineRule="auto"/>
        <w:jc w:val="center"/>
        <w:rPr>
          <w:b/>
          <w:sz w:val="24"/>
          <w:lang w:val="lt-LT"/>
        </w:rPr>
      </w:pPr>
      <w:r w:rsidRPr="00E63152">
        <w:rPr>
          <w:b/>
          <w:sz w:val="24"/>
          <w:lang w:val="lt-LT"/>
        </w:rPr>
        <w:br w:type="page"/>
      </w:r>
    </w:p>
    <w:p w:rsidR="009B6941" w:rsidRDefault="009B6941">
      <w:pPr>
        <w:spacing w:line="360" w:lineRule="auto"/>
        <w:jc w:val="center"/>
        <w:rPr>
          <w:b/>
          <w:sz w:val="28"/>
          <w:lang w:val="lt-LT"/>
        </w:rPr>
      </w:pPr>
      <w:r w:rsidRPr="00E63152">
        <w:rPr>
          <w:b/>
          <w:sz w:val="28"/>
          <w:lang w:val="lt-LT"/>
        </w:rPr>
        <w:lastRenderedPageBreak/>
        <w:t xml:space="preserve">TURINYS </w:t>
      </w:r>
    </w:p>
    <w:p w:rsidR="008872D7" w:rsidRPr="008872D7" w:rsidRDefault="00166819">
      <w:pPr>
        <w:pStyle w:val="TOC1"/>
        <w:rPr>
          <w:rFonts w:asciiTheme="minorHAnsi" w:eastAsiaTheme="minorEastAsia" w:hAnsiTheme="minorHAnsi" w:cstheme="minorBidi"/>
          <w:b w:val="0"/>
          <w:bCs w:val="0"/>
          <w:caps w:val="0"/>
          <w:noProof/>
          <w:sz w:val="26"/>
          <w:szCs w:val="26"/>
          <w:lang w:val="lt-LT"/>
        </w:rPr>
      </w:pPr>
      <w:r w:rsidRPr="008872D7">
        <w:rPr>
          <w:sz w:val="26"/>
          <w:szCs w:val="26"/>
          <w:lang w:val="lt-LT"/>
        </w:rPr>
        <w:fldChar w:fldCharType="begin"/>
      </w:r>
      <w:r w:rsidR="00A45E49" w:rsidRPr="008872D7">
        <w:rPr>
          <w:sz w:val="26"/>
          <w:szCs w:val="26"/>
          <w:lang w:val="lt-LT"/>
        </w:rPr>
        <w:instrText xml:space="preserve"> TOC \o "1-3" \h \z \u </w:instrText>
      </w:r>
      <w:r w:rsidRPr="008872D7">
        <w:rPr>
          <w:sz w:val="26"/>
          <w:szCs w:val="26"/>
          <w:lang w:val="lt-LT"/>
        </w:rPr>
        <w:fldChar w:fldCharType="separate"/>
      </w:r>
      <w:hyperlink w:anchor="_Toc253244574" w:history="1">
        <w:r w:rsidR="008872D7" w:rsidRPr="008872D7">
          <w:rPr>
            <w:rStyle w:val="Hyperlink"/>
            <w:noProof/>
            <w:sz w:val="26"/>
            <w:szCs w:val="26"/>
          </w:rPr>
          <w:t>SANTRUMPŲ SĄRAŠAS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_Toc253244574 \h </w:instrText>
        </w:r>
        <w:r w:rsidRPr="008872D7">
          <w:rPr>
            <w:noProof/>
            <w:webHidden/>
            <w:sz w:val="26"/>
            <w:szCs w:val="26"/>
          </w:rPr>
        </w:r>
        <w:r w:rsidRPr="008872D7">
          <w:rPr>
            <w:noProof/>
            <w:webHidden/>
            <w:sz w:val="26"/>
            <w:szCs w:val="26"/>
          </w:rPr>
          <w:fldChar w:fldCharType="separate"/>
        </w:r>
        <w:r w:rsidR="00050948">
          <w:rPr>
            <w:noProof/>
            <w:webHidden/>
            <w:sz w:val="26"/>
            <w:szCs w:val="26"/>
          </w:rPr>
          <w:t>4</w:t>
        </w:r>
        <w:r w:rsidRPr="008872D7">
          <w:rPr>
            <w:noProof/>
            <w:webHidden/>
            <w:sz w:val="26"/>
            <w:szCs w:val="26"/>
          </w:rPr>
          <w:fldChar w:fldCharType="end"/>
        </w:r>
      </w:hyperlink>
    </w:p>
    <w:p w:rsidR="008872D7" w:rsidRPr="008872D7" w:rsidRDefault="00166819">
      <w:pPr>
        <w:pStyle w:val="TOC1"/>
        <w:rPr>
          <w:rFonts w:asciiTheme="minorHAnsi" w:eastAsiaTheme="minorEastAsia" w:hAnsiTheme="minorHAnsi" w:cstheme="minorBidi"/>
          <w:b w:val="0"/>
          <w:bCs w:val="0"/>
          <w:caps w:val="0"/>
          <w:noProof/>
          <w:sz w:val="26"/>
          <w:szCs w:val="26"/>
          <w:lang w:val="lt-LT"/>
        </w:rPr>
      </w:pPr>
      <w:hyperlink w:anchor="_Toc253244575" w:history="1">
        <w:r w:rsidR="008872D7" w:rsidRPr="008872D7">
          <w:rPr>
            <w:rStyle w:val="Hyperlink"/>
            <w:noProof/>
            <w:sz w:val="26"/>
            <w:szCs w:val="26"/>
          </w:rPr>
          <w:t>Lentelių SĄRAŠAS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_Toc253244575 \h </w:instrText>
        </w:r>
        <w:r w:rsidRPr="008872D7">
          <w:rPr>
            <w:noProof/>
            <w:webHidden/>
            <w:sz w:val="26"/>
            <w:szCs w:val="26"/>
          </w:rPr>
        </w:r>
        <w:r w:rsidRPr="008872D7">
          <w:rPr>
            <w:noProof/>
            <w:webHidden/>
            <w:sz w:val="26"/>
            <w:szCs w:val="26"/>
          </w:rPr>
          <w:fldChar w:fldCharType="separate"/>
        </w:r>
        <w:r w:rsidR="00050948">
          <w:rPr>
            <w:noProof/>
            <w:webHidden/>
            <w:sz w:val="26"/>
            <w:szCs w:val="26"/>
          </w:rPr>
          <w:t>5</w:t>
        </w:r>
        <w:r w:rsidRPr="008872D7">
          <w:rPr>
            <w:noProof/>
            <w:webHidden/>
            <w:sz w:val="26"/>
            <w:szCs w:val="26"/>
          </w:rPr>
          <w:fldChar w:fldCharType="end"/>
        </w:r>
      </w:hyperlink>
    </w:p>
    <w:p w:rsidR="008872D7" w:rsidRPr="008872D7" w:rsidRDefault="00166819">
      <w:pPr>
        <w:pStyle w:val="TOC1"/>
        <w:rPr>
          <w:rFonts w:asciiTheme="minorHAnsi" w:eastAsiaTheme="minorEastAsia" w:hAnsiTheme="minorHAnsi" w:cstheme="minorBidi"/>
          <w:b w:val="0"/>
          <w:bCs w:val="0"/>
          <w:caps w:val="0"/>
          <w:noProof/>
          <w:sz w:val="26"/>
          <w:szCs w:val="26"/>
          <w:lang w:val="lt-LT"/>
        </w:rPr>
      </w:pPr>
      <w:hyperlink w:anchor="_Toc253244576" w:history="1">
        <w:r w:rsidR="008872D7" w:rsidRPr="008872D7">
          <w:rPr>
            <w:rStyle w:val="Hyperlink"/>
            <w:noProof/>
            <w:sz w:val="26"/>
            <w:szCs w:val="26"/>
          </w:rPr>
          <w:t>paveikslų SĄRAŠAS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_Toc253244576 \h </w:instrText>
        </w:r>
        <w:r w:rsidRPr="008872D7">
          <w:rPr>
            <w:noProof/>
            <w:webHidden/>
            <w:sz w:val="26"/>
            <w:szCs w:val="26"/>
          </w:rPr>
        </w:r>
        <w:r w:rsidRPr="008872D7">
          <w:rPr>
            <w:noProof/>
            <w:webHidden/>
            <w:sz w:val="26"/>
            <w:szCs w:val="26"/>
          </w:rPr>
          <w:fldChar w:fldCharType="separate"/>
        </w:r>
        <w:r w:rsidR="00050948">
          <w:rPr>
            <w:noProof/>
            <w:webHidden/>
            <w:sz w:val="26"/>
            <w:szCs w:val="26"/>
          </w:rPr>
          <w:t>7</w:t>
        </w:r>
        <w:r w:rsidRPr="008872D7">
          <w:rPr>
            <w:noProof/>
            <w:webHidden/>
            <w:sz w:val="26"/>
            <w:szCs w:val="26"/>
          </w:rPr>
          <w:fldChar w:fldCharType="end"/>
        </w:r>
      </w:hyperlink>
    </w:p>
    <w:p w:rsidR="008872D7" w:rsidRPr="008872D7" w:rsidRDefault="00166819">
      <w:pPr>
        <w:pStyle w:val="TOC1"/>
        <w:rPr>
          <w:rFonts w:asciiTheme="minorHAnsi" w:eastAsiaTheme="minorEastAsia" w:hAnsiTheme="minorHAnsi" w:cstheme="minorBidi"/>
          <w:b w:val="0"/>
          <w:bCs w:val="0"/>
          <w:caps w:val="0"/>
          <w:noProof/>
          <w:sz w:val="26"/>
          <w:szCs w:val="26"/>
          <w:lang w:val="lt-LT"/>
        </w:rPr>
      </w:pPr>
      <w:hyperlink w:anchor="_Toc253244577" w:history="1">
        <w:r w:rsidR="008872D7" w:rsidRPr="008872D7">
          <w:rPr>
            <w:rStyle w:val="Hyperlink"/>
            <w:noProof/>
            <w:sz w:val="26"/>
            <w:szCs w:val="26"/>
          </w:rPr>
          <w:t>ĮVADAS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_Toc253244577 \h </w:instrText>
        </w:r>
        <w:r w:rsidRPr="008872D7">
          <w:rPr>
            <w:noProof/>
            <w:webHidden/>
            <w:sz w:val="26"/>
            <w:szCs w:val="26"/>
          </w:rPr>
        </w:r>
        <w:r w:rsidRPr="008872D7">
          <w:rPr>
            <w:noProof/>
            <w:webHidden/>
            <w:sz w:val="26"/>
            <w:szCs w:val="26"/>
          </w:rPr>
          <w:fldChar w:fldCharType="separate"/>
        </w:r>
        <w:r w:rsidR="00050948">
          <w:rPr>
            <w:noProof/>
            <w:webHidden/>
            <w:sz w:val="26"/>
            <w:szCs w:val="26"/>
          </w:rPr>
          <w:t>8</w:t>
        </w:r>
        <w:r w:rsidRPr="008872D7">
          <w:rPr>
            <w:noProof/>
            <w:webHidden/>
            <w:sz w:val="26"/>
            <w:szCs w:val="26"/>
          </w:rPr>
          <w:fldChar w:fldCharType="end"/>
        </w:r>
      </w:hyperlink>
    </w:p>
    <w:p w:rsidR="008872D7" w:rsidRPr="008872D7" w:rsidRDefault="00166819" w:rsidP="002E25EB">
      <w:pPr>
        <w:pStyle w:val="TOC1"/>
        <w:spacing w:after="120" w:line="240" w:lineRule="auto"/>
        <w:rPr>
          <w:rFonts w:asciiTheme="minorHAnsi" w:eastAsiaTheme="minorEastAsia" w:hAnsiTheme="minorHAnsi" w:cstheme="minorBidi"/>
          <w:b w:val="0"/>
          <w:bCs w:val="0"/>
          <w:caps w:val="0"/>
          <w:noProof/>
          <w:sz w:val="26"/>
          <w:szCs w:val="26"/>
          <w:lang w:val="lt-LT"/>
        </w:rPr>
      </w:pPr>
      <w:hyperlink w:anchor="_Toc253244578" w:history="1">
        <w:r w:rsidR="008872D7" w:rsidRPr="008872D7">
          <w:rPr>
            <w:rStyle w:val="Hyperlink"/>
            <w:noProof/>
            <w:sz w:val="26"/>
            <w:szCs w:val="26"/>
            <w:lang w:val="lt-LT"/>
          </w:rPr>
          <w:t>1. Audito rizikos vertinimo teoriniai TYRIMAI ŠIUOLAIKINĖS RINKOS SĄLYGOMIS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_Toc253244578 \h </w:instrText>
        </w:r>
        <w:r w:rsidRPr="008872D7">
          <w:rPr>
            <w:noProof/>
            <w:webHidden/>
            <w:sz w:val="26"/>
            <w:szCs w:val="26"/>
          </w:rPr>
        </w:r>
        <w:r w:rsidRPr="008872D7">
          <w:rPr>
            <w:noProof/>
            <w:webHidden/>
            <w:sz w:val="26"/>
            <w:szCs w:val="26"/>
          </w:rPr>
          <w:fldChar w:fldCharType="separate"/>
        </w:r>
        <w:r w:rsidR="00050948">
          <w:rPr>
            <w:noProof/>
            <w:webHidden/>
            <w:sz w:val="26"/>
            <w:szCs w:val="26"/>
          </w:rPr>
          <w:t>15</w:t>
        </w:r>
        <w:r w:rsidRPr="008872D7">
          <w:rPr>
            <w:noProof/>
            <w:webHidden/>
            <w:sz w:val="26"/>
            <w:szCs w:val="26"/>
          </w:rPr>
          <w:fldChar w:fldCharType="end"/>
        </w:r>
      </w:hyperlink>
    </w:p>
    <w:p w:rsidR="008872D7" w:rsidRPr="008872D7" w:rsidRDefault="00166819" w:rsidP="002E25EB">
      <w:pPr>
        <w:pStyle w:val="TOC2"/>
        <w:spacing w:after="120" w:line="240" w:lineRule="auto"/>
        <w:rPr>
          <w:rFonts w:asciiTheme="minorHAnsi" w:eastAsiaTheme="minorEastAsia" w:hAnsiTheme="minorHAnsi" w:cstheme="minorBidi"/>
          <w:smallCaps w:val="0"/>
          <w:noProof/>
          <w:sz w:val="26"/>
          <w:szCs w:val="26"/>
          <w:lang w:val="lt-LT"/>
        </w:rPr>
      </w:pPr>
      <w:hyperlink w:anchor="_Toc253244579" w:history="1">
        <w:r w:rsidR="008872D7" w:rsidRPr="008872D7">
          <w:rPr>
            <w:rStyle w:val="Hyperlink"/>
            <w:noProof/>
            <w:sz w:val="26"/>
            <w:szCs w:val="26"/>
            <w:lang w:val="lt-LT"/>
          </w:rPr>
          <w:t>1.1.</w:t>
        </w:r>
        <w:r w:rsidR="008872D7" w:rsidRPr="008872D7">
          <w:rPr>
            <w:rFonts w:asciiTheme="minorHAnsi" w:eastAsiaTheme="minorEastAsia" w:hAnsiTheme="minorHAnsi" w:cstheme="minorBidi"/>
            <w:smallCaps w:val="0"/>
            <w:noProof/>
            <w:sz w:val="26"/>
            <w:szCs w:val="26"/>
            <w:lang w:val="lt-LT"/>
          </w:rPr>
          <w:tab/>
        </w:r>
        <w:r w:rsidR="008872D7" w:rsidRPr="008872D7">
          <w:rPr>
            <w:rStyle w:val="Hyperlink"/>
            <w:noProof/>
            <w:sz w:val="26"/>
            <w:szCs w:val="26"/>
            <w:lang w:val="lt-LT"/>
          </w:rPr>
          <w:t>Rizikos vertinimo būtinumas sparčiai besikeičiančioje ekonomikoje</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_Toc253244579 \h </w:instrText>
        </w:r>
        <w:r w:rsidRPr="008872D7">
          <w:rPr>
            <w:noProof/>
            <w:webHidden/>
            <w:sz w:val="26"/>
            <w:szCs w:val="26"/>
          </w:rPr>
        </w:r>
        <w:r w:rsidRPr="008872D7">
          <w:rPr>
            <w:noProof/>
            <w:webHidden/>
            <w:sz w:val="26"/>
            <w:szCs w:val="26"/>
          </w:rPr>
          <w:fldChar w:fldCharType="separate"/>
        </w:r>
        <w:r w:rsidR="00050948">
          <w:rPr>
            <w:noProof/>
            <w:webHidden/>
            <w:sz w:val="26"/>
            <w:szCs w:val="26"/>
          </w:rPr>
          <w:t>15</w:t>
        </w:r>
        <w:r w:rsidRPr="008872D7">
          <w:rPr>
            <w:noProof/>
            <w:webHidden/>
            <w:sz w:val="26"/>
            <w:szCs w:val="26"/>
          </w:rPr>
          <w:fldChar w:fldCharType="end"/>
        </w:r>
      </w:hyperlink>
    </w:p>
    <w:p w:rsidR="008872D7" w:rsidRPr="008872D7" w:rsidRDefault="00166819">
      <w:pPr>
        <w:pStyle w:val="TOC3"/>
        <w:rPr>
          <w:rFonts w:asciiTheme="minorHAnsi" w:eastAsiaTheme="minorEastAsia" w:hAnsiTheme="minorHAnsi" w:cstheme="minorBidi"/>
          <w:i w:val="0"/>
          <w:iCs w:val="0"/>
          <w:noProof/>
          <w:sz w:val="26"/>
          <w:szCs w:val="26"/>
          <w:lang w:val="lt-LT"/>
        </w:rPr>
      </w:pPr>
      <w:hyperlink w:anchor="_Toc253244580" w:history="1">
        <w:r w:rsidR="008872D7" w:rsidRPr="008872D7">
          <w:rPr>
            <w:rStyle w:val="Hyperlink"/>
            <w:noProof/>
            <w:sz w:val="26"/>
            <w:szCs w:val="26"/>
            <w:lang w:val="lt-LT"/>
          </w:rPr>
          <w:t>1.1.1. Rizikos sąvokos interpretacijos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_Toc253244580 \h </w:instrText>
        </w:r>
        <w:r w:rsidRPr="008872D7">
          <w:rPr>
            <w:noProof/>
            <w:webHidden/>
            <w:sz w:val="26"/>
            <w:szCs w:val="26"/>
          </w:rPr>
        </w:r>
        <w:r w:rsidRPr="008872D7">
          <w:rPr>
            <w:noProof/>
            <w:webHidden/>
            <w:sz w:val="26"/>
            <w:szCs w:val="26"/>
          </w:rPr>
          <w:fldChar w:fldCharType="separate"/>
        </w:r>
        <w:r w:rsidR="00050948">
          <w:rPr>
            <w:noProof/>
            <w:webHidden/>
            <w:sz w:val="26"/>
            <w:szCs w:val="26"/>
          </w:rPr>
          <w:t>15</w:t>
        </w:r>
        <w:r w:rsidRPr="008872D7">
          <w:rPr>
            <w:noProof/>
            <w:webHidden/>
            <w:sz w:val="26"/>
            <w:szCs w:val="26"/>
          </w:rPr>
          <w:fldChar w:fldCharType="end"/>
        </w:r>
      </w:hyperlink>
    </w:p>
    <w:p w:rsidR="008872D7" w:rsidRPr="008872D7" w:rsidRDefault="00166819">
      <w:pPr>
        <w:pStyle w:val="TOC3"/>
        <w:rPr>
          <w:rFonts w:asciiTheme="minorHAnsi" w:eastAsiaTheme="minorEastAsia" w:hAnsiTheme="minorHAnsi" w:cstheme="minorBidi"/>
          <w:i w:val="0"/>
          <w:iCs w:val="0"/>
          <w:noProof/>
          <w:sz w:val="26"/>
          <w:szCs w:val="26"/>
          <w:lang w:val="lt-LT"/>
        </w:rPr>
      </w:pPr>
      <w:hyperlink w:anchor="_Toc253244581" w:history="1">
        <w:r w:rsidR="008872D7" w:rsidRPr="008872D7">
          <w:rPr>
            <w:rStyle w:val="Hyperlink"/>
            <w:noProof/>
            <w:sz w:val="26"/>
            <w:szCs w:val="26"/>
            <w:lang w:val="lt-LT"/>
          </w:rPr>
          <w:t>1.1.2. Rizikos vertinimo procesas ir metodai</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_Toc253244581 \h </w:instrText>
        </w:r>
        <w:r w:rsidRPr="008872D7">
          <w:rPr>
            <w:noProof/>
            <w:webHidden/>
            <w:sz w:val="26"/>
            <w:szCs w:val="26"/>
          </w:rPr>
        </w:r>
        <w:r w:rsidRPr="008872D7">
          <w:rPr>
            <w:noProof/>
            <w:webHidden/>
            <w:sz w:val="26"/>
            <w:szCs w:val="26"/>
          </w:rPr>
          <w:fldChar w:fldCharType="separate"/>
        </w:r>
        <w:r w:rsidR="00050948">
          <w:rPr>
            <w:noProof/>
            <w:webHidden/>
            <w:sz w:val="26"/>
            <w:szCs w:val="26"/>
          </w:rPr>
          <w:t>20</w:t>
        </w:r>
        <w:r w:rsidRPr="008872D7">
          <w:rPr>
            <w:noProof/>
            <w:webHidden/>
            <w:sz w:val="26"/>
            <w:szCs w:val="26"/>
          </w:rPr>
          <w:fldChar w:fldCharType="end"/>
        </w:r>
      </w:hyperlink>
    </w:p>
    <w:p w:rsidR="008872D7" w:rsidRPr="008872D7" w:rsidRDefault="00166819">
      <w:pPr>
        <w:pStyle w:val="TOC2"/>
        <w:rPr>
          <w:rFonts w:asciiTheme="minorHAnsi" w:eastAsiaTheme="minorEastAsia" w:hAnsiTheme="minorHAnsi" w:cstheme="minorBidi"/>
          <w:smallCaps w:val="0"/>
          <w:noProof/>
          <w:sz w:val="26"/>
          <w:szCs w:val="26"/>
          <w:lang w:val="lt-LT"/>
        </w:rPr>
      </w:pPr>
      <w:hyperlink w:anchor="_Toc253244582" w:history="1">
        <w:r w:rsidR="008872D7" w:rsidRPr="008872D7">
          <w:rPr>
            <w:rStyle w:val="Hyperlink"/>
            <w:noProof/>
            <w:sz w:val="26"/>
            <w:szCs w:val="26"/>
            <w:lang w:val="lt-LT"/>
          </w:rPr>
          <w:t>1.2.</w:t>
        </w:r>
        <w:r w:rsidR="008872D7" w:rsidRPr="008872D7">
          <w:rPr>
            <w:rFonts w:asciiTheme="minorHAnsi" w:eastAsiaTheme="minorEastAsia" w:hAnsiTheme="minorHAnsi" w:cstheme="minorBidi"/>
            <w:smallCaps w:val="0"/>
            <w:noProof/>
            <w:sz w:val="26"/>
            <w:szCs w:val="26"/>
            <w:lang w:val="lt-LT"/>
          </w:rPr>
          <w:tab/>
        </w:r>
        <w:r w:rsidR="008872D7" w:rsidRPr="008872D7">
          <w:rPr>
            <w:rStyle w:val="Hyperlink"/>
            <w:noProof/>
            <w:sz w:val="26"/>
            <w:szCs w:val="26"/>
            <w:lang w:val="lt-LT"/>
          </w:rPr>
          <w:t>Audito rizika ir jos vertinimo galimybių analizė</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_Toc253244582 \h </w:instrText>
        </w:r>
        <w:r w:rsidRPr="008872D7">
          <w:rPr>
            <w:noProof/>
            <w:webHidden/>
            <w:sz w:val="26"/>
            <w:szCs w:val="26"/>
          </w:rPr>
        </w:r>
        <w:r w:rsidRPr="008872D7">
          <w:rPr>
            <w:noProof/>
            <w:webHidden/>
            <w:sz w:val="26"/>
            <w:szCs w:val="26"/>
          </w:rPr>
          <w:fldChar w:fldCharType="separate"/>
        </w:r>
        <w:r w:rsidR="00050948">
          <w:rPr>
            <w:noProof/>
            <w:webHidden/>
            <w:sz w:val="26"/>
            <w:szCs w:val="26"/>
          </w:rPr>
          <w:t>28</w:t>
        </w:r>
        <w:r w:rsidRPr="008872D7">
          <w:rPr>
            <w:noProof/>
            <w:webHidden/>
            <w:sz w:val="26"/>
            <w:szCs w:val="26"/>
          </w:rPr>
          <w:fldChar w:fldCharType="end"/>
        </w:r>
      </w:hyperlink>
    </w:p>
    <w:p w:rsidR="008872D7" w:rsidRPr="008872D7" w:rsidRDefault="00166819">
      <w:pPr>
        <w:pStyle w:val="TOC3"/>
        <w:rPr>
          <w:rFonts w:asciiTheme="minorHAnsi" w:eastAsiaTheme="minorEastAsia" w:hAnsiTheme="minorHAnsi" w:cstheme="minorBidi"/>
          <w:i w:val="0"/>
          <w:iCs w:val="0"/>
          <w:noProof/>
          <w:sz w:val="26"/>
          <w:szCs w:val="26"/>
          <w:lang w:val="lt-LT"/>
        </w:rPr>
      </w:pPr>
      <w:hyperlink w:anchor="_Toc253244583" w:history="1">
        <w:r w:rsidR="008872D7" w:rsidRPr="008872D7">
          <w:rPr>
            <w:rStyle w:val="Hyperlink"/>
            <w:noProof/>
            <w:sz w:val="26"/>
            <w:szCs w:val="26"/>
            <w:lang w:val="lt-LT"/>
          </w:rPr>
          <w:t>1.2.1. Audito rizikos sampratos tyrimas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_Toc253244583 \h </w:instrText>
        </w:r>
        <w:r w:rsidRPr="008872D7">
          <w:rPr>
            <w:noProof/>
            <w:webHidden/>
            <w:sz w:val="26"/>
            <w:szCs w:val="26"/>
          </w:rPr>
        </w:r>
        <w:r w:rsidRPr="008872D7">
          <w:rPr>
            <w:noProof/>
            <w:webHidden/>
            <w:sz w:val="26"/>
            <w:szCs w:val="26"/>
          </w:rPr>
          <w:fldChar w:fldCharType="separate"/>
        </w:r>
        <w:r w:rsidR="00050948">
          <w:rPr>
            <w:noProof/>
            <w:webHidden/>
            <w:sz w:val="26"/>
            <w:szCs w:val="26"/>
          </w:rPr>
          <w:t>28</w:t>
        </w:r>
        <w:r w:rsidRPr="008872D7">
          <w:rPr>
            <w:noProof/>
            <w:webHidden/>
            <w:sz w:val="26"/>
            <w:szCs w:val="26"/>
          </w:rPr>
          <w:fldChar w:fldCharType="end"/>
        </w:r>
      </w:hyperlink>
    </w:p>
    <w:p w:rsidR="008872D7" w:rsidRPr="008872D7" w:rsidRDefault="00166819">
      <w:pPr>
        <w:pStyle w:val="TOC3"/>
        <w:rPr>
          <w:rFonts w:asciiTheme="minorHAnsi" w:eastAsiaTheme="minorEastAsia" w:hAnsiTheme="minorHAnsi" w:cstheme="minorBidi"/>
          <w:i w:val="0"/>
          <w:iCs w:val="0"/>
          <w:noProof/>
          <w:sz w:val="26"/>
          <w:szCs w:val="26"/>
          <w:lang w:val="lt-LT"/>
        </w:rPr>
      </w:pPr>
      <w:hyperlink w:anchor="_Toc253244584" w:history="1">
        <w:r w:rsidR="008872D7" w:rsidRPr="008872D7">
          <w:rPr>
            <w:rStyle w:val="Hyperlink"/>
            <w:noProof/>
            <w:sz w:val="26"/>
            <w:szCs w:val="26"/>
            <w:lang w:val="lt-LT"/>
          </w:rPr>
          <w:t>1.2.2. Audito rizikos vertinimas analizuojant atskirus jos komponentus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_Toc253244584 \h </w:instrText>
        </w:r>
        <w:r w:rsidRPr="008872D7">
          <w:rPr>
            <w:noProof/>
            <w:webHidden/>
            <w:sz w:val="26"/>
            <w:szCs w:val="26"/>
          </w:rPr>
        </w:r>
        <w:r w:rsidRPr="008872D7">
          <w:rPr>
            <w:noProof/>
            <w:webHidden/>
            <w:sz w:val="26"/>
            <w:szCs w:val="26"/>
          </w:rPr>
          <w:fldChar w:fldCharType="separate"/>
        </w:r>
        <w:r w:rsidR="00050948">
          <w:rPr>
            <w:noProof/>
            <w:webHidden/>
            <w:sz w:val="26"/>
            <w:szCs w:val="26"/>
          </w:rPr>
          <w:t>38</w:t>
        </w:r>
        <w:r w:rsidRPr="008872D7">
          <w:rPr>
            <w:noProof/>
            <w:webHidden/>
            <w:sz w:val="26"/>
            <w:szCs w:val="26"/>
          </w:rPr>
          <w:fldChar w:fldCharType="end"/>
        </w:r>
      </w:hyperlink>
    </w:p>
    <w:p w:rsidR="008872D7" w:rsidRDefault="00166819">
      <w:pPr>
        <w:pStyle w:val="TOC3"/>
        <w:rPr>
          <w:noProof/>
        </w:rPr>
      </w:pPr>
      <w:hyperlink w:anchor="_Toc253244585" w:history="1">
        <w:r w:rsidR="008872D7" w:rsidRPr="008872D7">
          <w:rPr>
            <w:rStyle w:val="Hyperlink"/>
            <w:noProof/>
            <w:sz w:val="26"/>
            <w:szCs w:val="26"/>
            <w:lang w:val="lt-LT" w:eastAsia="en-US"/>
          </w:rPr>
          <w:t>1.2.3. Audito rizikos vertinimo aspektai audito rizikos modeliuose</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_Toc253244585 \h </w:instrText>
        </w:r>
        <w:r w:rsidRPr="008872D7">
          <w:rPr>
            <w:noProof/>
            <w:webHidden/>
            <w:sz w:val="26"/>
            <w:szCs w:val="26"/>
          </w:rPr>
        </w:r>
        <w:r w:rsidRPr="008872D7">
          <w:rPr>
            <w:noProof/>
            <w:webHidden/>
            <w:sz w:val="26"/>
            <w:szCs w:val="26"/>
          </w:rPr>
          <w:fldChar w:fldCharType="separate"/>
        </w:r>
        <w:r w:rsidR="00050948">
          <w:rPr>
            <w:noProof/>
            <w:webHidden/>
            <w:sz w:val="26"/>
            <w:szCs w:val="26"/>
          </w:rPr>
          <w:t>62</w:t>
        </w:r>
        <w:r w:rsidRPr="008872D7">
          <w:rPr>
            <w:noProof/>
            <w:webHidden/>
            <w:sz w:val="26"/>
            <w:szCs w:val="26"/>
          </w:rPr>
          <w:fldChar w:fldCharType="end"/>
        </w:r>
      </w:hyperlink>
    </w:p>
    <w:p w:rsidR="002E25EB" w:rsidRPr="002E25EB" w:rsidRDefault="002E25EB" w:rsidP="002E25EB">
      <w:pPr>
        <w:rPr>
          <w:rFonts w:eastAsiaTheme="minorEastAsia"/>
          <w:noProof/>
        </w:rPr>
      </w:pPr>
    </w:p>
    <w:p w:rsidR="008872D7" w:rsidRPr="008872D7" w:rsidRDefault="00166819">
      <w:pPr>
        <w:pStyle w:val="TOC1"/>
        <w:rPr>
          <w:rFonts w:asciiTheme="minorHAnsi" w:eastAsiaTheme="minorEastAsia" w:hAnsiTheme="minorHAnsi" w:cstheme="minorBidi"/>
          <w:b w:val="0"/>
          <w:bCs w:val="0"/>
          <w:caps w:val="0"/>
          <w:noProof/>
          <w:sz w:val="26"/>
          <w:szCs w:val="26"/>
          <w:lang w:val="lt-LT"/>
        </w:rPr>
      </w:pPr>
      <w:hyperlink w:anchor="_Toc253244586" w:history="1">
        <w:r w:rsidR="008872D7" w:rsidRPr="008872D7">
          <w:rPr>
            <w:rStyle w:val="Hyperlink"/>
            <w:noProof/>
            <w:sz w:val="26"/>
            <w:szCs w:val="26"/>
            <w:lang w:val="lt-LT"/>
          </w:rPr>
          <w:t>2. Audito rizikos vertinimo modelio sudarymas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_Toc253244586 \h </w:instrText>
        </w:r>
        <w:r w:rsidRPr="008872D7">
          <w:rPr>
            <w:noProof/>
            <w:webHidden/>
            <w:sz w:val="26"/>
            <w:szCs w:val="26"/>
          </w:rPr>
        </w:r>
        <w:r w:rsidRPr="008872D7">
          <w:rPr>
            <w:noProof/>
            <w:webHidden/>
            <w:sz w:val="26"/>
            <w:szCs w:val="26"/>
          </w:rPr>
          <w:fldChar w:fldCharType="separate"/>
        </w:r>
        <w:r w:rsidR="00050948">
          <w:rPr>
            <w:noProof/>
            <w:webHidden/>
            <w:sz w:val="26"/>
            <w:szCs w:val="26"/>
          </w:rPr>
          <w:t>95</w:t>
        </w:r>
        <w:r w:rsidRPr="008872D7">
          <w:rPr>
            <w:noProof/>
            <w:webHidden/>
            <w:sz w:val="26"/>
            <w:szCs w:val="26"/>
          </w:rPr>
          <w:fldChar w:fldCharType="end"/>
        </w:r>
      </w:hyperlink>
    </w:p>
    <w:p w:rsidR="008872D7" w:rsidRPr="008872D7" w:rsidRDefault="00166819">
      <w:pPr>
        <w:pStyle w:val="TOC2"/>
        <w:rPr>
          <w:rFonts w:asciiTheme="minorHAnsi" w:eastAsiaTheme="minorEastAsia" w:hAnsiTheme="minorHAnsi" w:cstheme="minorBidi"/>
          <w:smallCaps w:val="0"/>
          <w:noProof/>
          <w:sz w:val="26"/>
          <w:szCs w:val="26"/>
          <w:lang w:val="lt-LT"/>
        </w:rPr>
      </w:pPr>
      <w:hyperlink w:anchor="_Toc253244587" w:history="1">
        <w:r w:rsidR="008872D7" w:rsidRPr="008872D7">
          <w:rPr>
            <w:rStyle w:val="Hyperlink"/>
            <w:noProof/>
            <w:sz w:val="26"/>
            <w:szCs w:val="26"/>
            <w:lang w:val="lt-LT" w:eastAsia="en-US"/>
          </w:rPr>
          <w:t>2.1. Audito rizikos vertinimo modelio poreikio tyrimas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_Toc253244587 \h </w:instrText>
        </w:r>
        <w:r w:rsidRPr="008872D7">
          <w:rPr>
            <w:noProof/>
            <w:webHidden/>
            <w:sz w:val="26"/>
            <w:szCs w:val="26"/>
          </w:rPr>
        </w:r>
        <w:r w:rsidRPr="008872D7">
          <w:rPr>
            <w:noProof/>
            <w:webHidden/>
            <w:sz w:val="26"/>
            <w:szCs w:val="26"/>
          </w:rPr>
          <w:fldChar w:fldCharType="separate"/>
        </w:r>
        <w:r w:rsidR="00050948">
          <w:rPr>
            <w:noProof/>
            <w:webHidden/>
            <w:sz w:val="26"/>
            <w:szCs w:val="26"/>
          </w:rPr>
          <w:t>95</w:t>
        </w:r>
        <w:r w:rsidRPr="008872D7">
          <w:rPr>
            <w:noProof/>
            <w:webHidden/>
            <w:sz w:val="26"/>
            <w:szCs w:val="26"/>
          </w:rPr>
          <w:fldChar w:fldCharType="end"/>
        </w:r>
      </w:hyperlink>
    </w:p>
    <w:p w:rsidR="008872D7" w:rsidRPr="008872D7" w:rsidRDefault="00166819">
      <w:pPr>
        <w:pStyle w:val="TOC2"/>
        <w:rPr>
          <w:rFonts w:asciiTheme="minorHAnsi" w:eastAsiaTheme="minorEastAsia" w:hAnsiTheme="minorHAnsi" w:cstheme="minorBidi"/>
          <w:smallCaps w:val="0"/>
          <w:noProof/>
          <w:sz w:val="26"/>
          <w:szCs w:val="26"/>
          <w:lang w:val="lt-LT"/>
        </w:rPr>
      </w:pPr>
      <w:hyperlink w:anchor="_Toc253244588" w:history="1">
        <w:r w:rsidR="008872D7" w:rsidRPr="008872D7">
          <w:rPr>
            <w:rStyle w:val="Hyperlink"/>
            <w:noProof/>
            <w:sz w:val="26"/>
            <w:szCs w:val="26"/>
            <w:lang w:val="lt-LT" w:eastAsia="en-US"/>
          </w:rPr>
          <w:t>2.2 Siūlomas audito rizikos vertinimo modelis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_Toc253244588 \h </w:instrText>
        </w:r>
        <w:r w:rsidRPr="008872D7">
          <w:rPr>
            <w:noProof/>
            <w:webHidden/>
            <w:sz w:val="26"/>
            <w:szCs w:val="26"/>
          </w:rPr>
        </w:r>
        <w:r w:rsidRPr="008872D7">
          <w:rPr>
            <w:noProof/>
            <w:webHidden/>
            <w:sz w:val="26"/>
            <w:szCs w:val="26"/>
          </w:rPr>
          <w:fldChar w:fldCharType="separate"/>
        </w:r>
        <w:r w:rsidR="00050948">
          <w:rPr>
            <w:noProof/>
            <w:webHidden/>
            <w:sz w:val="26"/>
            <w:szCs w:val="26"/>
          </w:rPr>
          <w:t>108</w:t>
        </w:r>
        <w:r w:rsidRPr="008872D7">
          <w:rPr>
            <w:noProof/>
            <w:webHidden/>
            <w:sz w:val="26"/>
            <w:szCs w:val="26"/>
          </w:rPr>
          <w:fldChar w:fldCharType="end"/>
        </w:r>
      </w:hyperlink>
    </w:p>
    <w:p w:rsidR="008872D7" w:rsidRPr="008872D7" w:rsidRDefault="00166819">
      <w:pPr>
        <w:pStyle w:val="TOC1"/>
        <w:rPr>
          <w:rFonts w:asciiTheme="minorHAnsi" w:eastAsiaTheme="minorEastAsia" w:hAnsiTheme="minorHAnsi" w:cstheme="minorBidi"/>
          <w:b w:val="0"/>
          <w:bCs w:val="0"/>
          <w:caps w:val="0"/>
          <w:noProof/>
          <w:sz w:val="26"/>
          <w:szCs w:val="26"/>
          <w:lang w:val="lt-LT"/>
        </w:rPr>
      </w:pPr>
      <w:hyperlink w:anchor="_Toc253244589" w:history="1">
        <w:r w:rsidR="008872D7" w:rsidRPr="008872D7">
          <w:rPr>
            <w:rStyle w:val="Hyperlink"/>
            <w:noProof/>
            <w:sz w:val="26"/>
            <w:szCs w:val="26"/>
            <w:lang w:val="lt-LT"/>
          </w:rPr>
          <w:t>3. Audito rizikos vertinimo modelio taikymAS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_Toc253244589 \h </w:instrText>
        </w:r>
        <w:r w:rsidRPr="008872D7">
          <w:rPr>
            <w:noProof/>
            <w:webHidden/>
            <w:sz w:val="26"/>
            <w:szCs w:val="26"/>
          </w:rPr>
        </w:r>
        <w:r w:rsidRPr="008872D7">
          <w:rPr>
            <w:noProof/>
            <w:webHidden/>
            <w:sz w:val="26"/>
            <w:szCs w:val="26"/>
          </w:rPr>
          <w:fldChar w:fldCharType="separate"/>
        </w:r>
        <w:r w:rsidR="00050948">
          <w:rPr>
            <w:noProof/>
            <w:webHidden/>
            <w:sz w:val="26"/>
            <w:szCs w:val="26"/>
          </w:rPr>
          <w:t>133</w:t>
        </w:r>
        <w:r w:rsidRPr="008872D7">
          <w:rPr>
            <w:noProof/>
            <w:webHidden/>
            <w:sz w:val="26"/>
            <w:szCs w:val="26"/>
          </w:rPr>
          <w:fldChar w:fldCharType="end"/>
        </w:r>
      </w:hyperlink>
    </w:p>
    <w:p w:rsidR="008872D7" w:rsidRPr="008872D7" w:rsidRDefault="00166819">
      <w:pPr>
        <w:pStyle w:val="TOC2"/>
        <w:rPr>
          <w:rFonts w:asciiTheme="minorHAnsi" w:eastAsiaTheme="minorEastAsia" w:hAnsiTheme="minorHAnsi" w:cstheme="minorBidi"/>
          <w:smallCaps w:val="0"/>
          <w:noProof/>
          <w:sz w:val="26"/>
          <w:szCs w:val="26"/>
          <w:lang w:val="lt-LT"/>
        </w:rPr>
      </w:pPr>
      <w:hyperlink w:anchor="_Toc253244590" w:history="1">
        <w:r w:rsidR="008872D7" w:rsidRPr="008872D7">
          <w:rPr>
            <w:rStyle w:val="Hyperlink"/>
            <w:noProof/>
            <w:sz w:val="26"/>
            <w:szCs w:val="26"/>
            <w:lang w:val="lt-LT" w:eastAsia="en-US"/>
          </w:rPr>
          <w:t>3.1 Audito rizikos vertinimo modelio tikrinimas auditų pavyzdžiu</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_Toc253244590 \h </w:instrText>
        </w:r>
        <w:r w:rsidRPr="008872D7">
          <w:rPr>
            <w:noProof/>
            <w:webHidden/>
            <w:sz w:val="26"/>
            <w:szCs w:val="26"/>
          </w:rPr>
        </w:r>
        <w:r w:rsidRPr="008872D7">
          <w:rPr>
            <w:noProof/>
            <w:webHidden/>
            <w:sz w:val="26"/>
            <w:szCs w:val="26"/>
          </w:rPr>
          <w:fldChar w:fldCharType="separate"/>
        </w:r>
        <w:r w:rsidR="00050948">
          <w:rPr>
            <w:noProof/>
            <w:webHidden/>
            <w:sz w:val="26"/>
            <w:szCs w:val="26"/>
          </w:rPr>
          <w:t>133</w:t>
        </w:r>
        <w:r w:rsidRPr="008872D7">
          <w:rPr>
            <w:noProof/>
            <w:webHidden/>
            <w:sz w:val="26"/>
            <w:szCs w:val="26"/>
          </w:rPr>
          <w:fldChar w:fldCharType="end"/>
        </w:r>
      </w:hyperlink>
    </w:p>
    <w:p w:rsidR="008872D7" w:rsidRPr="008872D7" w:rsidRDefault="00166819">
      <w:pPr>
        <w:pStyle w:val="TOC2"/>
        <w:rPr>
          <w:rFonts w:asciiTheme="minorHAnsi" w:eastAsiaTheme="minorEastAsia" w:hAnsiTheme="minorHAnsi" w:cstheme="minorBidi"/>
          <w:smallCaps w:val="0"/>
          <w:noProof/>
          <w:sz w:val="26"/>
          <w:szCs w:val="26"/>
          <w:lang w:val="lt-LT"/>
        </w:rPr>
      </w:pPr>
      <w:hyperlink w:anchor="_Toc253244591" w:history="1">
        <w:r w:rsidR="008872D7" w:rsidRPr="008872D7">
          <w:rPr>
            <w:rStyle w:val="Hyperlink"/>
            <w:noProof/>
            <w:sz w:val="26"/>
            <w:szCs w:val="26"/>
            <w:lang w:val="lt-LT" w:eastAsia="en-US"/>
          </w:rPr>
          <w:t>3.2 Audito rizikos vertinimo modelio koregavimas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_Toc253244591 \h </w:instrText>
        </w:r>
        <w:r w:rsidRPr="008872D7">
          <w:rPr>
            <w:noProof/>
            <w:webHidden/>
            <w:sz w:val="26"/>
            <w:szCs w:val="26"/>
          </w:rPr>
        </w:r>
        <w:r w:rsidRPr="008872D7">
          <w:rPr>
            <w:noProof/>
            <w:webHidden/>
            <w:sz w:val="26"/>
            <w:szCs w:val="26"/>
          </w:rPr>
          <w:fldChar w:fldCharType="separate"/>
        </w:r>
        <w:r w:rsidR="00050948">
          <w:rPr>
            <w:noProof/>
            <w:webHidden/>
            <w:sz w:val="26"/>
            <w:szCs w:val="26"/>
          </w:rPr>
          <w:t>172</w:t>
        </w:r>
        <w:r w:rsidRPr="008872D7">
          <w:rPr>
            <w:noProof/>
            <w:webHidden/>
            <w:sz w:val="26"/>
            <w:szCs w:val="26"/>
          </w:rPr>
          <w:fldChar w:fldCharType="end"/>
        </w:r>
      </w:hyperlink>
    </w:p>
    <w:p w:rsidR="008872D7" w:rsidRPr="008872D7" w:rsidRDefault="00166819">
      <w:pPr>
        <w:pStyle w:val="TOC1"/>
        <w:rPr>
          <w:rFonts w:asciiTheme="minorHAnsi" w:eastAsiaTheme="minorEastAsia" w:hAnsiTheme="minorHAnsi" w:cstheme="minorBidi"/>
          <w:b w:val="0"/>
          <w:bCs w:val="0"/>
          <w:caps w:val="0"/>
          <w:noProof/>
          <w:sz w:val="26"/>
          <w:szCs w:val="26"/>
          <w:lang w:val="lt-LT"/>
        </w:rPr>
      </w:pPr>
      <w:hyperlink w:anchor="_Toc253244592" w:history="1">
        <w:r w:rsidR="008872D7" w:rsidRPr="008872D7">
          <w:rPr>
            <w:rStyle w:val="Hyperlink"/>
            <w:noProof/>
            <w:sz w:val="26"/>
            <w:szCs w:val="26"/>
            <w:lang w:val="lt-LT"/>
          </w:rPr>
          <w:t>IŠVADOS</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_Toc253244592 \h </w:instrText>
        </w:r>
        <w:r w:rsidRPr="008872D7">
          <w:rPr>
            <w:noProof/>
            <w:webHidden/>
            <w:sz w:val="26"/>
            <w:szCs w:val="26"/>
          </w:rPr>
        </w:r>
        <w:r w:rsidRPr="008872D7">
          <w:rPr>
            <w:noProof/>
            <w:webHidden/>
            <w:sz w:val="26"/>
            <w:szCs w:val="26"/>
          </w:rPr>
          <w:fldChar w:fldCharType="separate"/>
        </w:r>
        <w:r w:rsidR="00050948">
          <w:rPr>
            <w:noProof/>
            <w:webHidden/>
            <w:sz w:val="26"/>
            <w:szCs w:val="26"/>
          </w:rPr>
          <w:t>178</w:t>
        </w:r>
        <w:r w:rsidRPr="008872D7">
          <w:rPr>
            <w:noProof/>
            <w:webHidden/>
            <w:sz w:val="26"/>
            <w:szCs w:val="26"/>
          </w:rPr>
          <w:fldChar w:fldCharType="end"/>
        </w:r>
      </w:hyperlink>
    </w:p>
    <w:p w:rsidR="008872D7" w:rsidRPr="008872D7" w:rsidRDefault="00166819">
      <w:pPr>
        <w:pStyle w:val="TOC1"/>
        <w:rPr>
          <w:rFonts w:asciiTheme="minorHAnsi" w:eastAsiaTheme="minorEastAsia" w:hAnsiTheme="minorHAnsi" w:cstheme="minorBidi"/>
          <w:b w:val="0"/>
          <w:bCs w:val="0"/>
          <w:caps w:val="0"/>
          <w:noProof/>
          <w:sz w:val="26"/>
          <w:szCs w:val="26"/>
          <w:lang w:val="lt-LT"/>
        </w:rPr>
      </w:pPr>
      <w:hyperlink w:anchor="_Toc253244593" w:history="1">
        <w:r w:rsidR="008872D7" w:rsidRPr="008872D7">
          <w:rPr>
            <w:rStyle w:val="Hyperlink"/>
            <w:noProof/>
            <w:sz w:val="26"/>
            <w:szCs w:val="26"/>
            <w:lang w:val="lt-LT"/>
          </w:rPr>
          <w:t>LITERATŪRA</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_Toc253244593 \h </w:instrText>
        </w:r>
        <w:r w:rsidRPr="008872D7">
          <w:rPr>
            <w:noProof/>
            <w:webHidden/>
            <w:sz w:val="26"/>
            <w:szCs w:val="26"/>
          </w:rPr>
        </w:r>
        <w:r w:rsidRPr="008872D7">
          <w:rPr>
            <w:noProof/>
            <w:webHidden/>
            <w:sz w:val="26"/>
            <w:szCs w:val="26"/>
          </w:rPr>
          <w:fldChar w:fldCharType="separate"/>
        </w:r>
        <w:r w:rsidR="00050948">
          <w:rPr>
            <w:noProof/>
            <w:webHidden/>
            <w:sz w:val="26"/>
            <w:szCs w:val="26"/>
          </w:rPr>
          <w:t>185</w:t>
        </w:r>
        <w:r w:rsidRPr="008872D7">
          <w:rPr>
            <w:noProof/>
            <w:webHidden/>
            <w:sz w:val="26"/>
            <w:szCs w:val="26"/>
          </w:rPr>
          <w:fldChar w:fldCharType="end"/>
        </w:r>
      </w:hyperlink>
    </w:p>
    <w:p w:rsidR="008872D7" w:rsidRPr="008872D7" w:rsidRDefault="00166819">
      <w:pPr>
        <w:pStyle w:val="TOC1"/>
        <w:rPr>
          <w:rFonts w:asciiTheme="minorHAnsi" w:eastAsiaTheme="minorEastAsia" w:hAnsiTheme="minorHAnsi" w:cstheme="minorBidi"/>
          <w:b w:val="0"/>
          <w:bCs w:val="0"/>
          <w:caps w:val="0"/>
          <w:noProof/>
          <w:sz w:val="26"/>
          <w:szCs w:val="26"/>
          <w:lang w:val="lt-LT"/>
        </w:rPr>
      </w:pPr>
      <w:hyperlink w:anchor="_Toc253244594" w:history="1">
        <w:r w:rsidR="008872D7" w:rsidRPr="008872D7">
          <w:rPr>
            <w:rStyle w:val="Hyperlink"/>
            <w:noProof/>
            <w:sz w:val="26"/>
            <w:szCs w:val="26"/>
            <w:lang w:val="lt-LT"/>
          </w:rPr>
          <w:t>PRIEDAI</w:t>
        </w:r>
        <w:r w:rsidR="008872D7" w:rsidRPr="008872D7">
          <w:rPr>
            <w:noProof/>
            <w:webHidden/>
            <w:sz w:val="26"/>
            <w:szCs w:val="26"/>
          </w:rPr>
          <w:tab/>
        </w:r>
        <w:r w:rsidRPr="008872D7">
          <w:rPr>
            <w:noProof/>
            <w:webHidden/>
            <w:sz w:val="26"/>
            <w:szCs w:val="26"/>
          </w:rPr>
          <w:fldChar w:fldCharType="begin"/>
        </w:r>
        <w:r w:rsidR="008872D7" w:rsidRPr="008872D7">
          <w:rPr>
            <w:noProof/>
            <w:webHidden/>
            <w:sz w:val="26"/>
            <w:szCs w:val="26"/>
          </w:rPr>
          <w:instrText xml:space="preserve"> PAGEREF _Toc253244594 \h </w:instrText>
        </w:r>
        <w:r w:rsidRPr="008872D7">
          <w:rPr>
            <w:noProof/>
            <w:webHidden/>
            <w:sz w:val="26"/>
            <w:szCs w:val="26"/>
          </w:rPr>
        </w:r>
        <w:r w:rsidRPr="008872D7">
          <w:rPr>
            <w:noProof/>
            <w:webHidden/>
            <w:sz w:val="26"/>
            <w:szCs w:val="26"/>
          </w:rPr>
          <w:fldChar w:fldCharType="separate"/>
        </w:r>
        <w:r w:rsidR="00050948">
          <w:rPr>
            <w:noProof/>
            <w:webHidden/>
            <w:sz w:val="26"/>
            <w:szCs w:val="26"/>
          </w:rPr>
          <w:t>201</w:t>
        </w:r>
        <w:r w:rsidRPr="008872D7">
          <w:rPr>
            <w:noProof/>
            <w:webHidden/>
            <w:sz w:val="26"/>
            <w:szCs w:val="26"/>
          </w:rPr>
          <w:fldChar w:fldCharType="end"/>
        </w:r>
      </w:hyperlink>
    </w:p>
    <w:p w:rsidR="00DB306A" w:rsidRDefault="00166819" w:rsidP="00DB306A">
      <w:pPr>
        <w:pStyle w:val="Heading1"/>
        <w:rPr>
          <w:rFonts w:cs="Times New Roman"/>
          <w:kern w:val="0"/>
          <w:sz w:val="20"/>
          <w:szCs w:val="20"/>
          <w:lang w:val="lt-LT" w:eastAsia="lt-LT"/>
        </w:rPr>
      </w:pPr>
      <w:r w:rsidRPr="008872D7">
        <w:rPr>
          <w:rFonts w:cs="Times New Roman"/>
          <w:kern w:val="0"/>
          <w:sz w:val="26"/>
          <w:szCs w:val="26"/>
          <w:lang w:val="lt-LT" w:eastAsia="lt-LT"/>
        </w:rPr>
        <w:fldChar w:fldCharType="end"/>
      </w:r>
    </w:p>
    <w:p w:rsidR="00DB306A" w:rsidRDefault="00DB306A" w:rsidP="00DB306A">
      <w:pPr>
        <w:rPr>
          <w:lang w:val="lt-LT"/>
        </w:rPr>
      </w:pPr>
      <w:r>
        <w:rPr>
          <w:lang w:val="lt-LT"/>
        </w:rPr>
        <w:br w:type="page"/>
      </w:r>
    </w:p>
    <w:p w:rsidR="00DB306A" w:rsidRPr="00DB306A" w:rsidRDefault="00DB306A" w:rsidP="00DB306A">
      <w:pPr>
        <w:pStyle w:val="Heading1"/>
      </w:pPr>
      <w:bookmarkStart w:id="0" w:name="_Toc253244574"/>
      <w:r w:rsidRPr="00DB306A">
        <w:lastRenderedPageBreak/>
        <w:t>SANTRUMPŲ SĄRAŠAS</w:t>
      </w:r>
      <w:bookmarkEnd w:id="0"/>
    </w:p>
    <w:p w:rsidR="00A62A11" w:rsidRPr="00F375DD" w:rsidRDefault="00A62A11" w:rsidP="00F375DD">
      <w:pPr>
        <w:tabs>
          <w:tab w:val="left" w:pos="567"/>
        </w:tabs>
        <w:spacing w:before="120" w:after="120"/>
        <w:jc w:val="both"/>
        <w:rPr>
          <w:sz w:val="26"/>
          <w:szCs w:val="26"/>
        </w:rPr>
      </w:pPr>
      <w:r w:rsidRPr="00F375DD">
        <w:rPr>
          <w:sz w:val="26"/>
          <w:szCs w:val="26"/>
        </w:rPr>
        <w:t xml:space="preserve">ABREMA modelis – veikla paremtas audito rizikos įvertinimo modelis (angl. </w:t>
      </w:r>
      <w:r w:rsidRPr="00F375DD">
        <w:rPr>
          <w:i/>
          <w:sz w:val="26"/>
          <w:szCs w:val="26"/>
        </w:rPr>
        <w:t>Activity Based Risk Evaluation Model of Auditing</w:t>
      </w:r>
      <w:r w:rsidRPr="00F375DD">
        <w:rPr>
          <w:sz w:val="26"/>
          <w:szCs w:val="26"/>
        </w:rPr>
        <w:t>)</w:t>
      </w:r>
    </w:p>
    <w:p w:rsidR="00E53632" w:rsidRPr="00FB5EE6" w:rsidRDefault="00E53632" w:rsidP="00FB5EE6">
      <w:pPr>
        <w:tabs>
          <w:tab w:val="left" w:pos="567"/>
        </w:tabs>
        <w:spacing w:before="120" w:after="120"/>
        <w:jc w:val="both"/>
        <w:rPr>
          <w:i/>
          <w:sz w:val="26"/>
          <w:szCs w:val="26"/>
        </w:rPr>
      </w:pPr>
      <w:r w:rsidRPr="00FB5EE6">
        <w:rPr>
          <w:sz w:val="26"/>
          <w:szCs w:val="26"/>
        </w:rPr>
        <w:t>AICPA – Amerikos sertifikuotų viešųjų buhalterių institutas</w:t>
      </w:r>
      <w:r w:rsidR="00FB5EE6" w:rsidRPr="00FB5EE6">
        <w:rPr>
          <w:sz w:val="26"/>
          <w:szCs w:val="26"/>
        </w:rPr>
        <w:t xml:space="preserve"> (angl. </w:t>
      </w:r>
      <w:r w:rsidR="00FB5EE6" w:rsidRPr="00FB5EE6">
        <w:rPr>
          <w:i/>
          <w:sz w:val="26"/>
          <w:szCs w:val="26"/>
        </w:rPr>
        <w:t>the American Institute of Certified Public Accountants</w:t>
      </w:r>
      <w:r w:rsidR="00FB5EE6" w:rsidRPr="00FB5EE6">
        <w:rPr>
          <w:sz w:val="26"/>
          <w:szCs w:val="26"/>
        </w:rPr>
        <w:t>)</w:t>
      </w:r>
    </w:p>
    <w:p w:rsidR="00B42935" w:rsidRPr="00F375DD" w:rsidRDefault="00B42935" w:rsidP="00F375DD">
      <w:pPr>
        <w:tabs>
          <w:tab w:val="left" w:pos="567"/>
        </w:tabs>
        <w:spacing w:before="120" w:after="120"/>
        <w:jc w:val="both"/>
        <w:rPr>
          <w:sz w:val="26"/>
          <w:szCs w:val="26"/>
        </w:rPr>
      </w:pPr>
      <w:r w:rsidRPr="0060365B">
        <w:rPr>
          <w:sz w:val="26"/>
          <w:szCs w:val="26"/>
        </w:rPr>
        <w:t xml:space="preserve">ACCA – </w:t>
      </w:r>
      <w:r w:rsidRPr="00F375DD">
        <w:rPr>
          <w:sz w:val="26"/>
          <w:szCs w:val="26"/>
        </w:rPr>
        <w:t>Privilegijuotų sertifikuotų buhalterių asociacija (angl.</w:t>
      </w:r>
      <w:r w:rsidRPr="00F375DD">
        <w:rPr>
          <w:i/>
          <w:sz w:val="26"/>
          <w:szCs w:val="26"/>
        </w:rPr>
        <w:t xml:space="preserve"> the Association of Chartered Certified Accountants</w:t>
      </w:r>
      <w:r w:rsidRPr="0060365B">
        <w:rPr>
          <w:sz w:val="26"/>
          <w:szCs w:val="26"/>
        </w:rPr>
        <w:t>)</w:t>
      </w:r>
    </w:p>
    <w:p w:rsidR="00184A76" w:rsidRPr="00F375DD" w:rsidRDefault="00184A76" w:rsidP="00F375DD">
      <w:pPr>
        <w:tabs>
          <w:tab w:val="left" w:pos="567"/>
        </w:tabs>
        <w:spacing w:before="120" w:after="120"/>
        <w:jc w:val="both"/>
        <w:rPr>
          <w:sz w:val="26"/>
          <w:szCs w:val="26"/>
        </w:rPr>
      </w:pPr>
      <w:r w:rsidRPr="00F375DD">
        <w:rPr>
          <w:sz w:val="26"/>
          <w:szCs w:val="26"/>
        </w:rPr>
        <w:t xml:space="preserve">CICA – Kanados privilegijuotų buhalterių institutas </w:t>
      </w:r>
      <w:r w:rsidR="00B42935" w:rsidRPr="00F375DD">
        <w:rPr>
          <w:sz w:val="26"/>
          <w:szCs w:val="26"/>
        </w:rPr>
        <w:t xml:space="preserve">(angl. </w:t>
      </w:r>
      <w:r w:rsidR="00B42935" w:rsidRPr="00F375DD">
        <w:rPr>
          <w:i/>
          <w:sz w:val="26"/>
          <w:szCs w:val="26"/>
        </w:rPr>
        <w:t>the Canadian Institute of Chartered Accountants</w:t>
      </w:r>
      <w:r w:rsidR="00B42935" w:rsidRPr="0060365B">
        <w:rPr>
          <w:sz w:val="26"/>
          <w:szCs w:val="26"/>
        </w:rPr>
        <w:t>)</w:t>
      </w:r>
    </w:p>
    <w:p w:rsidR="006C51CA" w:rsidRPr="00FB5EE6" w:rsidRDefault="006C51CA" w:rsidP="00FB5EE6">
      <w:pPr>
        <w:tabs>
          <w:tab w:val="left" w:pos="567"/>
        </w:tabs>
        <w:spacing w:before="120" w:after="120"/>
        <w:jc w:val="both"/>
        <w:rPr>
          <w:sz w:val="26"/>
          <w:szCs w:val="26"/>
        </w:rPr>
      </w:pPr>
      <w:r w:rsidRPr="00FB5EE6">
        <w:rPr>
          <w:sz w:val="26"/>
          <w:szCs w:val="26"/>
        </w:rPr>
        <w:t>COSO ERM – COSO įmonės rizikos valdymo modelis</w:t>
      </w:r>
      <w:r w:rsidR="00FB5EE6" w:rsidRPr="00FB5EE6">
        <w:rPr>
          <w:sz w:val="26"/>
          <w:szCs w:val="26"/>
        </w:rPr>
        <w:t xml:space="preserve"> (angl. </w:t>
      </w:r>
      <w:r w:rsidR="00FB5EE6" w:rsidRPr="00FB5EE6">
        <w:rPr>
          <w:i/>
          <w:sz w:val="26"/>
          <w:szCs w:val="26"/>
          <w:lang w:val="en-GB"/>
        </w:rPr>
        <w:t>Committee of Sponsoring Organization</w:t>
      </w:r>
      <w:r w:rsidR="00FB5EE6">
        <w:rPr>
          <w:i/>
          <w:sz w:val="26"/>
          <w:szCs w:val="26"/>
          <w:lang w:val="en-GB"/>
        </w:rPr>
        <w:t>s</w:t>
      </w:r>
      <w:r w:rsidR="00FB5EE6" w:rsidRPr="00FB5EE6">
        <w:rPr>
          <w:i/>
          <w:sz w:val="26"/>
          <w:szCs w:val="26"/>
          <w:lang w:val="en-GB"/>
        </w:rPr>
        <w:t xml:space="preserve"> Enterprise Risk Management</w:t>
      </w:r>
      <w:r w:rsidR="00FB5EE6" w:rsidRPr="00FB5EE6">
        <w:rPr>
          <w:sz w:val="26"/>
          <w:szCs w:val="26"/>
        </w:rPr>
        <w:t xml:space="preserve">) </w:t>
      </w:r>
    </w:p>
    <w:p w:rsidR="006C51CA" w:rsidRPr="0060365B" w:rsidRDefault="006C51CA" w:rsidP="006C51CA">
      <w:pPr>
        <w:tabs>
          <w:tab w:val="left" w:pos="567"/>
        </w:tabs>
        <w:spacing w:line="360" w:lineRule="auto"/>
        <w:jc w:val="both"/>
        <w:rPr>
          <w:sz w:val="26"/>
          <w:szCs w:val="26"/>
          <w:lang w:val="lt-LT"/>
        </w:rPr>
      </w:pPr>
      <w:r w:rsidRPr="0060365B">
        <w:rPr>
          <w:sz w:val="26"/>
          <w:szCs w:val="26"/>
          <w:lang w:val="lt-LT"/>
        </w:rPr>
        <w:t>AR – audito rizika</w:t>
      </w:r>
    </w:p>
    <w:p w:rsidR="00052DF1" w:rsidRPr="0060365B" w:rsidRDefault="00052DF1" w:rsidP="00052DF1">
      <w:pPr>
        <w:tabs>
          <w:tab w:val="left" w:pos="567"/>
        </w:tabs>
        <w:spacing w:line="360" w:lineRule="auto"/>
        <w:jc w:val="both"/>
        <w:rPr>
          <w:sz w:val="26"/>
          <w:szCs w:val="26"/>
          <w:lang w:val="lt-LT"/>
        </w:rPr>
      </w:pPr>
      <w:r w:rsidRPr="0060365B">
        <w:rPr>
          <w:sz w:val="26"/>
          <w:szCs w:val="26"/>
          <w:lang w:val="lt-LT"/>
        </w:rPr>
        <w:t>CR – kontrolės rizika</w:t>
      </w:r>
    </w:p>
    <w:p w:rsidR="00052DF1" w:rsidRPr="0060365B" w:rsidRDefault="00052DF1" w:rsidP="00052DF1">
      <w:pPr>
        <w:tabs>
          <w:tab w:val="left" w:pos="567"/>
        </w:tabs>
        <w:spacing w:line="360" w:lineRule="auto"/>
        <w:jc w:val="both"/>
        <w:rPr>
          <w:sz w:val="26"/>
          <w:szCs w:val="26"/>
          <w:lang w:val="lt-LT"/>
        </w:rPr>
      </w:pPr>
      <w:r w:rsidRPr="0060365B">
        <w:rPr>
          <w:sz w:val="26"/>
          <w:szCs w:val="26"/>
          <w:lang w:val="lt-LT"/>
        </w:rPr>
        <w:t>DR – aptikimo rizika</w:t>
      </w:r>
    </w:p>
    <w:p w:rsidR="006C51CA" w:rsidRPr="0060365B" w:rsidRDefault="006C51CA" w:rsidP="00052DF1">
      <w:pPr>
        <w:tabs>
          <w:tab w:val="left" w:pos="567"/>
        </w:tabs>
        <w:spacing w:line="360" w:lineRule="auto"/>
        <w:jc w:val="both"/>
        <w:rPr>
          <w:sz w:val="26"/>
          <w:szCs w:val="26"/>
          <w:lang w:val="lt-LT"/>
        </w:rPr>
      </w:pPr>
      <w:r w:rsidRPr="0060365B">
        <w:rPr>
          <w:sz w:val="26"/>
          <w:szCs w:val="26"/>
          <w:lang w:val="lt-LT"/>
        </w:rPr>
        <w:t>AP- analitinių procedūrų rizika</w:t>
      </w:r>
    </w:p>
    <w:p w:rsidR="006C51CA" w:rsidRPr="0060365B" w:rsidRDefault="006C51CA" w:rsidP="00052DF1">
      <w:pPr>
        <w:tabs>
          <w:tab w:val="left" w:pos="567"/>
        </w:tabs>
        <w:spacing w:line="360" w:lineRule="auto"/>
        <w:jc w:val="both"/>
        <w:rPr>
          <w:sz w:val="26"/>
          <w:szCs w:val="26"/>
          <w:lang w:val="lt-LT"/>
        </w:rPr>
      </w:pPr>
      <w:r w:rsidRPr="0060365B">
        <w:rPr>
          <w:sz w:val="26"/>
          <w:szCs w:val="26"/>
          <w:lang w:val="lt-LT"/>
        </w:rPr>
        <w:t xml:space="preserve">TD – detalių testų rizika </w:t>
      </w:r>
    </w:p>
    <w:p w:rsidR="00335006" w:rsidRPr="0060365B" w:rsidRDefault="00052DF1" w:rsidP="00052DF1">
      <w:pPr>
        <w:tabs>
          <w:tab w:val="left" w:pos="567"/>
        </w:tabs>
        <w:spacing w:line="360" w:lineRule="auto"/>
        <w:jc w:val="both"/>
        <w:rPr>
          <w:sz w:val="26"/>
          <w:szCs w:val="26"/>
          <w:lang w:val="lt-LT"/>
        </w:rPr>
      </w:pPr>
      <w:r w:rsidRPr="0060365B">
        <w:rPr>
          <w:sz w:val="26"/>
          <w:szCs w:val="26"/>
          <w:lang w:val="lt-LT"/>
        </w:rPr>
        <w:t>IR – įgimta rizika</w:t>
      </w:r>
    </w:p>
    <w:p w:rsidR="006C51CA" w:rsidRPr="0060365B" w:rsidRDefault="006C51CA" w:rsidP="006C51CA">
      <w:pPr>
        <w:tabs>
          <w:tab w:val="left" w:pos="567"/>
        </w:tabs>
        <w:spacing w:line="360" w:lineRule="auto"/>
        <w:jc w:val="both"/>
        <w:rPr>
          <w:sz w:val="26"/>
          <w:szCs w:val="26"/>
          <w:lang w:val="lt-LT"/>
        </w:rPr>
      </w:pPr>
      <w:r w:rsidRPr="0060365B">
        <w:rPr>
          <w:sz w:val="26"/>
          <w:szCs w:val="26"/>
          <w:lang w:val="lt-LT"/>
        </w:rPr>
        <w:t>RMM – reikšmingo iškraipymo rizika</w:t>
      </w:r>
    </w:p>
    <w:p w:rsidR="00D520EE" w:rsidRPr="0060365B" w:rsidRDefault="00D520EE" w:rsidP="00052DF1">
      <w:pPr>
        <w:tabs>
          <w:tab w:val="left" w:pos="567"/>
        </w:tabs>
        <w:spacing w:line="360" w:lineRule="auto"/>
        <w:jc w:val="both"/>
        <w:rPr>
          <w:sz w:val="26"/>
          <w:szCs w:val="26"/>
          <w:lang w:val="lt-LT"/>
        </w:rPr>
      </w:pPr>
      <w:r w:rsidRPr="0060365B">
        <w:rPr>
          <w:sz w:val="26"/>
          <w:szCs w:val="26"/>
          <w:lang w:val="lt-LT"/>
        </w:rPr>
        <w:t>LAR – Lietuvos auditorių rūmai</w:t>
      </w:r>
    </w:p>
    <w:p w:rsidR="00DC1D93" w:rsidRPr="0060365B" w:rsidRDefault="00DC1D93" w:rsidP="00052DF1">
      <w:pPr>
        <w:tabs>
          <w:tab w:val="left" w:pos="567"/>
        </w:tabs>
        <w:spacing w:line="360" w:lineRule="auto"/>
        <w:jc w:val="both"/>
        <w:rPr>
          <w:sz w:val="26"/>
          <w:szCs w:val="26"/>
          <w:lang w:val="lt-LT"/>
        </w:rPr>
      </w:pPr>
      <w:r w:rsidRPr="0060365B">
        <w:rPr>
          <w:sz w:val="26"/>
          <w:szCs w:val="26"/>
          <w:lang w:val="lt-LT"/>
        </w:rPr>
        <w:t>LR – Lietuvos Respublikos</w:t>
      </w:r>
    </w:p>
    <w:p w:rsidR="00A62A11" w:rsidRPr="0060365B" w:rsidRDefault="00A62A11" w:rsidP="00052DF1">
      <w:pPr>
        <w:tabs>
          <w:tab w:val="left" w:pos="567"/>
        </w:tabs>
        <w:spacing w:line="360" w:lineRule="auto"/>
        <w:jc w:val="both"/>
        <w:rPr>
          <w:sz w:val="26"/>
          <w:szCs w:val="26"/>
          <w:lang w:val="lt-LT"/>
        </w:rPr>
      </w:pPr>
      <w:r w:rsidRPr="0060365B">
        <w:rPr>
          <w:sz w:val="26"/>
          <w:szCs w:val="26"/>
          <w:lang w:val="lt-LT"/>
        </w:rPr>
        <w:t>VIT – vadovybės informacijos tarpininkai</w:t>
      </w:r>
    </w:p>
    <w:p w:rsidR="00A62A11" w:rsidRPr="0060365B" w:rsidRDefault="00A62A11" w:rsidP="00052DF1">
      <w:pPr>
        <w:tabs>
          <w:tab w:val="left" w:pos="567"/>
        </w:tabs>
        <w:spacing w:line="360" w:lineRule="auto"/>
        <w:jc w:val="both"/>
        <w:rPr>
          <w:sz w:val="26"/>
          <w:szCs w:val="26"/>
          <w:lang w:val="lt-LT"/>
        </w:rPr>
      </w:pPr>
      <w:r w:rsidRPr="0060365B">
        <w:rPr>
          <w:sz w:val="26"/>
          <w:szCs w:val="26"/>
          <w:lang w:val="lt-LT"/>
        </w:rPr>
        <w:t>VVP – vadovybės verslo pareiškimai</w:t>
      </w:r>
    </w:p>
    <w:p w:rsidR="00161252" w:rsidRPr="0060365B" w:rsidRDefault="00161252" w:rsidP="00052DF1">
      <w:pPr>
        <w:tabs>
          <w:tab w:val="left" w:pos="567"/>
        </w:tabs>
        <w:spacing w:line="360" w:lineRule="auto"/>
        <w:jc w:val="both"/>
        <w:rPr>
          <w:sz w:val="26"/>
          <w:szCs w:val="26"/>
          <w:lang w:val="lt-LT"/>
        </w:rPr>
      </w:pPr>
      <w:r w:rsidRPr="0060365B">
        <w:rPr>
          <w:sz w:val="26"/>
          <w:szCs w:val="26"/>
          <w:lang w:val="lt-LT"/>
        </w:rPr>
        <w:t>IT – informacinės technologijos</w:t>
      </w:r>
    </w:p>
    <w:p w:rsidR="00A62A11" w:rsidRPr="0060365B" w:rsidRDefault="00A62A11" w:rsidP="00052DF1">
      <w:pPr>
        <w:tabs>
          <w:tab w:val="left" w:pos="567"/>
        </w:tabs>
        <w:spacing w:line="360" w:lineRule="auto"/>
        <w:jc w:val="both"/>
        <w:rPr>
          <w:sz w:val="26"/>
          <w:szCs w:val="26"/>
          <w:lang w:val="lt-LT"/>
        </w:rPr>
      </w:pPr>
      <w:r w:rsidRPr="0060365B">
        <w:rPr>
          <w:color w:val="000000" w:themeColor="text1"/>
          <w:sz w:val="26"/>
          <w:szCs w:val="26"/>
          <w:lang w:val="lt-LT"/>
        </w:rPr>
        <w:t>ĮVA – įmonės verslo aplinka</w:t>
      </w:r>
    </w:p>
    <w:p w:rsidR="00E53632" w:rsidRPr="0060365B" w:rsidRDefault="00E53632" w:rsidP="00E53632">
      <w:pPr>
        <w:tabs>
          <w:tab w:val="left" w:pos="567"/>
        </w:tabs>
        <w:spacing w:line="360" w:lineRule="auto"/>
        <w:jc w:val="both"/>
        <w:rPr>
          <w:sz w:val="26"/>
          <w:szCs w:val="26"/>
          <w:lang w:val="lt-LT"/>
        </w:rPr>
      </w:pPr>
      <w:r w:rsidRPr="0060365B">
        <w:rPr>
          <w:sz w:val="26"/>
          <w:szCs w:val="26"/>
          <w:lang w:val="lt-LT"/>
        </w:rPr>
        <w:t>NAS – nacionalinis audito standartas</w:t>
      </w:r>
    </w:p>
    <w:p w:rsidR="00E53632" w:rsidRPr="0060365B" w:rsidRDefault="00E53632" w:rsidP="00E53632">
      <w:pPr>
        <w:tabs>
          <w:tab w:val="left" w:pos="567"/>
        </w:tabs>
        <w:spacing w:line="360" w:lineRule="auto"/>
        <w:jc w:val="both"/>
        <w:rPr>
          <w:sz w:val="26"/>
          <w:szCs w:val="26"/>
          <w:lang w:val="lt-LT"/>
        </w:rPr>
      </w:pPr>
      <w:r w:rsidRPr="0060365B">
        <w:rPr>
          <w:sz w:val="26"/>
          <w:szCs w:val="26"/>
          <w:lang w:val="lt-LT"/>
        </w:rPr>
        <w:t>TBF – Tarptautinė buhalterių federacija</w:t>
      </w:r>
    </w:p>
    <w:p w:rsidR="00A62A11" w:rsidRPr="0060365B" w:rsidRDefault="00052DF1" w:rsidP="00052DF1">
      <w:pPr>
        <w:tabs>
          <w:tab w:val="left" w:pos="567"/>
        </w:tabs>
        <w:spacing w:line="360" w:lineRule="auto"/>
        <w:jc w:val="both"/>
        <w:rPr>
          <w:sz w:val="26"/>
          <w:szCs w:val="26"/>
          <w:lang w:val="lt-LT"/>
        </w:rPr>
      </w:pPr>
      <w:r w:rsidRPr="0060365B">
        <w:rPr>
          <w:sz w:val="26"/>
          <w:szCs w:val="26"/>
          <w:lang w:val="lt-LT"/>
        </w:rPr>
        <w:t>TSA – tarptautini</w:t>
      </w:r>
      <w:r w:rsidR="00A62A11" w:rsidRPr="0060365B">
        <w:rPr>
          <w:sz w:val="26"/>
          <w:szCs w:val="26"/>
          <w:lang w:val="lt-LT"/>
        </w:rPr>
        <w:t>s</w:t>
      </w:r>
      <w:r w:rsidRPr="0060365B">
        <w:rPr>
          <w:sz w:val="26"/>
          <w:szCs w:val="26"/>
          <w:lang w:val="lt-LT"/>
        </w:rPr>
        <w:t xml:space="preserve"> standart</w:t>
      </w:r>
      <w:r w:rsidR="00A62A11" w:rsidRPr="0060365B">
        <w:rPr>
          <w:sz w:val="26"/>
          <w:szCs w:val="26"/>
          <w:lang w:val="lt-LT"/>
        </w:rPr>
        <w:t>as</w:t>
      </w:r>
      <w:r w:rsidRPr="0060365B">
        <w:rPr>
          <w:sz w:val="26"/>
          <w:szCs w:val="26"/>
          <w:lang w:val="lt-LT"/>
        </w:rPr>
        <w:t xml:space="preserve"> auditui</w:t>
      </w:r>
    </w:p>
    <w:p w:rsidR="00A62A11" w:rsidRPr="0060365B" w:rsidRDefault="00A62A11" w:rsidP="00FB5EE6">
      <w:pPr>
        <w:tabs>
          <w:tab w:val="left" w:pos="567"/>
        </w:tabs>
        <w:spacing w:line="360" w:lineRule="auto"/>
        <w:jc w:val="both"/>
        <w:rPr>
          <w:sz w:val="26"/>
          <w:szCs w:val="26"/>
          <w:lang w:val="lt-LT"/>
        </w:rPr>
      </w:pPr>
      <w:r w:rsidRPr="0060365B">
        <w:rPr>
          <w:sz w:val="26"/>
          <w:szCs w:val="26"/>
          <w:lang w:val="lt-LT"/>
        </w:rPr>
        <w:t>RFAVS – Rusijos Federacijos audito veiklos standartas</w:t>
      </w:r>
    </w:p>
    <w:p w:rsidR="00F375DD" w:rsidRPr="00F375DD" w:rsidRDefault="00F375DD" w:rsidP="00FB5EE6">
      <w:pPr>
        <w:tabs>
          <w:tab w:val="left" w:pos="567"/>
        </w:tabs>
        <w:spacing w:after="120"/>
        <w:jc w:val="both"/>
        <w:rPr>
          <w:sz w:val="26"/>
          <w:szCs w:val="26"/>
          <w:lang w:val="lt-LT"/>
        </w:rPr>
      </w:pPr>
      <w:r w:rsidRPr="00F375DD">
        <w:rPr>
          <w:sz w:val="26"/>
          <w:szCs w:val="26"/>
        </w:rPr>
        <w:t xml:space="preserve">POBPAE – </w:t>
      </w:r>
      <w:r w:rsidRPr="00F375DD">
        <w:rPr>
          <w:sz w:val="26"/>
          <w:szCs w:val="26"/>
          <w:lang w:val="lt-LT"/>
        </w:rPr>
        <w:t xml:space="preserve">Specialioji grupė dėl audito efektyvumo prie Viešosios priežiūros komisijos </w:t>
      </w:r>
      <w:r w:rsidRPr="00F375DD">
        <w:rPr>
          <w:sz w:val="26"/>
          <w:szCs w:val="26"/>
        </w:rPr>
        <w:t>(</w:t>
      </w:r>
      <w:r w:rsidRPr="00F375DD">
        <w:rPr>
          <w:sz w:val="26"/>
          <w:szCs w:val="26"/>
          <w:lang w:val="lt-LT"/>
        </w:rPr>
        <w:t>angl.</w:t>
      </w:r>
      <w:r w:rsidRPr="00F375DD">
        <w:rPr>
          <w:sz w:val="26"/>
          <w:szCs w:val="26"/>
        </w:rPr>
        <w:t xml:space="preserve"> </w:t>
      </w:r>
      <w:r w:rsidRPr="00F375DD">
        <w:rPr>
          <w:i/>
          <w:sz w:val="26"/>
          <w:szCs w:val="26"/>
        </w:rPr>
        <w:t>the Public Oversight board, Panel on Audit effectiveness</w:t>
      </w:r>
      <w:r w:rsidRPr="00F375DD">
        <w:rPr>
          <w:sz w:val="26"/>
          <w:szCs w:val="26"/>
        </w:rPr>
        <w:t>)</w:t>
      </w:r>
    </w:p>
    <w:p w:rsidR="00052DF1" w:rsidRPr="0060365B" w:rsidRDefault="00A62A11" w:rsidP="00F375DD">
      <w:pPr>
        <w:tabs>
          <w:tab w:val="left" w:pos="567"/>
        </w:tabs>
        <w:spacing w:line="360" w:lineRule="auto"/>
        <w:jc w:val="both"/>
        <w:rPr>
          <w:sz w:val="26"/>
          <w:szCs w:val="26"/>
          <w:lang w:val="lt-LT"/>
        </w:rPr>
      </w:pPr>
      <w:r w:rsidRPr="0060365B">
        <w:rPr>
          <w:sz w:val="26"/>
          <w:szCs w:val="26"/>
          <w:lang w:val="lt-LT"/>
        </w:rPr>
        <w:t>SAS – Jungtinių Amerikos Valstijų audito standartas</w:t>
      </w:r>
    </w:p>
    <w:p w:rsidR="00357A85" w:rsidRPr="0060365B" w:rsidRDefault="00357A85" w:rsidP="00052DF1">
      <w:pPr>
        <w:tabs>
          <w:tab w:val="left" w:pos="567"/>
        </w:tabs>
        <w:spacing w:line="360" w:lineRule="auto"/>
        <w:jc w:val="both"/>
        <w:rPr>
          <w:sz w:val="26"/>
          <w:szCs w:val="26"/>
          <w:lang w:val="lt-LT"/>
        </w:rPr>
      </w:pPr>
      <w:r w:rsidRPr="0060365B">
        <w:rPr>
          <w:sz w:val="26"/>
          <w:szCs w:val="26"/>
          <w:lang w:val="lt-LT"/>
        </w:rPr>
        <w:t>UAB – uždaroji akcinė bendrovė</w:t>
      </w:r>
    </w:p>
    <w:p w:rsidR="00A62A11" w:rsidRDefault="00EB790C" w:rsidP="00F375DD">
      <w:pPr>
        <w:tabs>
          <w:tab w:val="left" w:pos="567"/>
        </w:tabs>
        <w:spacing w:line="360" w:lineRule="auto"/>
        <w:jc w:val="both"/>
        <w:rPr>
          <w:i/>
          <w:sz w:val="24"/>
          <w:lang w:val="lt-LT"/>
        </w:rPr>
      </w:pPr>
      <w:r w:rsidRPr="0060365B">
        <w:rPr>
          <w:sz w:val="26"/>
          <w:szCs w:val="26"/>
          <w:lang w:val="lt-LT"/>
        </w:rPr>
        <w:t>VAS – Verslo apskaitos standartai</w:t>
      </w:r>
      <w:r w:rsidR="00A62A11">
        <w:rPr>
          <w:i/>
          <w:sz w:val="24"/>
          <w:lang w:val="lt-LT"/>
        </w:rPr>
        <w:br w:type="page"/>
      </w:r>
    </w:p>
    <w:p w:rsidR="00A62A11" w:rsidRPr="00DB306A" w:rsidRDefault="00A62A11" w:rsidP="00DB306A">
      <w:pPr>
        <w:pStyle w:val="Heading1"/>
        <w:rPr>
          <w:rFonts w:eastAsiaTheme="minorEastAsia"/>
        </w:rPr>
      </w:pPr>
      <w:bookmarkStart w:id="1" w:name="_Toc253244575"/>
      <w:r w:rsidRPr="00DB306A">
        <w:rPr>
          <w:rFonts w:eastAsiaTheme="minorEastAsia"/>
        </w:rPr>
        <w:lastRenderedPageBreak/>
        <w:t>Lentelių SĄRAŠAS</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87"/>
      </w:tblGrid>
      <w:tr w:rsidR="00061F14" w:rsidRPr="00001F20" w:rsidTr="00C315FF">
        <w:tc>
          <w:tcPr>
            <w:tcW w:w="8187" w:type="dxa"/>
          </w:tcPr>
          <w:p w:rsidR="00061F14" w:rsidRPr="00001F20" w:rsidRDefault="00061F14" w:rsidP="00DA25DF">
            <w:pPr>
              <w:spacing w:before="120"/>
              <w:jc w:val="both"/>
              <w:rPr>
                <w:sz w:val="26"/>
                <w:szCs w:val="26"/>
                <w:lang w:val="lt-LT"/>
              </w:rPr>
            </w:pPr>
            <w:r w:rsidRPr="00001F20">
              <w:rPr>
                <w:sz w:val="26"/>
                <w:szCs w:val="26"/>
                <w:lang w:val="lt-LT"/>
              </w:rPr>
              <w:t>1 lentelė Rizikos sampratos interpretacijos ............</w:t>
            </w:r>
            <w:r>
              <w:rPr>
                <w:sz w:val="26"/>
                <w:szCs w:val="26"/>
                <w:lang w:val="lt-LT"/>
              </w:rPr>
              <w:t>....</w:t>
            </w:r>
            <w:r w:rsidRPr="00001F20">
              <w:rPr>
                <w:sz w:val="26"/>
                <w:szCs w:val="26"/>
                <w:lang w:val="lt-LT"/>
              </w:rPr>
              <w:t>...........................</w:t>
            </w:r>
            <w:r w:rsidR="00BA17FB">
              <w:rPr>
                <w:sz w:val="26"/>
                <w:szCs w:val="26"/>
                <w:lang w:val="lt-LT"/>
              </w:rPr>
              <w:t>.....</w:t>
            </w:r>
            <w:r>
              <w:rPr>
                <w:sz w:val="26"/>
                <w:szCs w:val="26"/>
                <w:lang w:val="lt-LT"/>
              </w:rPr>
              <w:t xml:space="preserve"> 1</w:t>
            </w:r>
            <w:r w:rsidR="00DA25DF">
              <w:rPr>
                <w:sz w:val="26"/>
                <w:szCs w:val="26"/>
                <w:lang w:val="lt-LT"/>
              </w:rPr>
              <w:t>6</w:t>
            </w:r>
          </w:p>
        </w:tc>
      </w:tr>
      <w:tr w:rsidR="00061F14" w:rsidRPr="00001F20" w:rsidTr="00C315FF">
        <w:tc>
          <w:tcPr>
            <w:tcW w:w="8187" w:type="dxa"/>
          </w:tcPr>
          <w:p w:rsidR="00061F14" w:rsidRPr="00001F20" w:rsidRDefault="00061F14" w:rsidP="00BA17FB">
            <w:pPr>
              <w:spacing w:before="120"/>
              <w:jc w:val="both"/>
              <w:rPr>
                <w:sz w:val="26"/>
                <w:szCs w:val="26"/>
                <w:lang w:val="lt-LT"/>
              </w:rPr>
            </w:pPr>
            <w:r w:rsidRPr="00001F20">
              <w:rPr>
                <w:sz w:val="26"/>
                <w:szCs w:val="26"/>
                <w:lang w:val="lt-LT"/>
              </w:rPr>
              <w:t>2 lentelė Rizikos charakteristikų samprata ....</w:t>
            </w:r>
            <w:r>
              <w:rPr>
                <w:sz w:val="26"/>
                <w:szCs w:val="26"/>
                <w:lang w:val="lt-LT"/>
              </w:rPr>
              <w:t>....</w:t>
            </w:r>
            <w:r w:rsidRPr="00001F20">
              <w:rPr>
                <w:sz w:val="26"/>
                <w:szCs w:val="26"/>
                <w:lang w:val="lt-LT"/>
              </w:rPr>
              <w:t>...............</w:t>
            </w:r>
            <w:r>
              <w:rPr>
                <w:sz w:val="26"/>
                <w:szCs w:val="26"/>
                <w:lang w:val="lt-LT"/>
              </w:rPr>
              <w:t>.........................</w:t>
            </w:r>
            <w:r w:rsidR="00BA17FB">
              <w:rPr>
                <w:sz w:val="26"/>
                <w:szCs w:val="26"/>
                <w:lang w:val="lt-LT"/>
              </w:rPr>
              <w:t>. 2</w:t>
            </w:r>
            <w:r w:rsidR="00DA25DF">
              <w:rPr>
                <w:sz w:val="26"/>
                <w:szCs w:val="26"/>
                <w:lang w:val="lt-LT"/>
              </w:rPr>
              <w:t>5</w:t>
            </w:r>
          </w:p>
        </w:tc>
      </w:tr>
      <w:tr w:rsidR="00061F14" w:rsidRPr="00001F20" w:rsidTr="00C315FF">
        <w:tc>
          <w:tcPr>
            <w:tcW w:w="8187" w:type="dxa"/>
          </w:tcPr>
          <w:p w:rsidR="00061F14" w:rsidRPr="00001F20" w:rsidRDefault="00061F14" w:rsidP="00BA17FB">
            <w:pPr>
              <w:spacing w:before="120"/>
              <w:jc w:val="both"/>
              <w:rPr>
                <w:sz w:val="26"/>
                <w:szCs w:val="26"/>
                <w:lang w:val="lt-LT"/>
              </w:rPr>
            </w:pPr>
            <w:r w:rsidRPr="00001F20">
              <w:rPr>
                <w:sz w:val="26"/>
                <w:szCs w:val="26"/>
                <w:lang w:val="lt-LT"/>
              </w:rPr>
              <w:t>3 lentelė Rizikos vertinimo metodų klasifikavimas .................................</w:t>
            </w:r>
            <w:r w:rsidR="00BA17FB">
              <w:rPr>
                <w:sz w:val="26"/>
                <w:szCs w:val="26"/>
                <w:lang w:val="lt-LT"/>
              </w:rPr>
              <w:t>.</w:t>
            </w:r>
            <w:r w:rsidRPr="00001F20">
              <w:rPr>
                <w:sz w:val="26"/>
                <w:szCs w:val="26"/>
                <w:lang w:val="lt-LT"/>
              </w:rPr>
              <w:t>.</w:t>
            </w:r>
            <w:r w:rsidR="00BA17FB">
              <w:rPr>
                <w:sz w:val="26"/>
                <w:szCs w:val="26"/>
                <w:lang w:val="lt-LT"/>
              </w:rPr>
              <w:t xml:space="preserve"> 2</w:t>
            </w:r>
            <w:r w:rsidR="00DA25DF">
              <w:rPr>
                <w:sz w:val="26"/>
                <w:szCs w:val="26"/>
                <w:lang w:val="lt-LT"/>
              </w:rPr>
              <w:t>7</w:t>
            </w:r>
          </w:p>
        </w:tc>
      </w:tr>
      <w:tr w:rsidR="00061F14" w:rsidRPr="00001F20" w:rsidTr="00C315FF">
        <w:tc>
          <w:tcPr>
            <w:tcW w:w="8187" w:type="dxa"/>
          </w:tcPr>
          <w:p w:rsidR="00061F14" w:rsidRPr="00001F20" w:rsidRDefault="00061F14" w:rsidP="00BA17FB">
            <w:pPr>
              <w:spacing w:before="120"/>
              <w:jc w:val="both"/>
              <w:rPr>
                <w:sz w:val="26"/>
                <w:szCs w:val="26"/>
                <w:lang w:val="lt-LT"/>
              </w:rPr>
            </w:pPr>
            <w:r w:rsidRPr="00001F20">
              <w:rPr>
                <w:sz w:val="26"/>
                <w:szCs w:val="26"/>
                <w:lang w:val="lt-LT"/>
              </w:rPr>
              <w:t>4 lentelė Audito rizikos sampratų paly</w:t>
            </w:r>
            <w:r>
              <w:rPr>
                <w:sz w:val="26"/>
                <w:szCs w:val="26"/>
                <w:lang w:val="lt-LT"/>
              </w:rPr>
              <w:t>ginimas .........................................</w:t>
            </w:r>
            <w:r w:rsidR="00BA17FB">
              <w:rPr>
                <w:sz w:val="26"/>
                <w:szCs w:val="26"/>
                <w:lang w:val="lt-LT"/>
              </w:rPr>
              <w:t xml:space="preserve">. </w:t>
            </w:r>
            <w:r w:rsidR="00DA25DF">
              <w:rPr>
                <w:sz w:val="26"/>
                <w:szCs w:val="26"/>
                <w:lang w:val="lt-LT"/>
              </w:rPr>
              <w:t>29</w:t>
            </w:r>
          </w:p>
        </w:tc>
      </w:tr>
      <w:tr w:rsidR="00061F14" w:rsidRPr="000352ED" w:rsidTr="00C315FF">
        <w:tc>
          <w:tcPr>
            <w:tcW w:w="8187" w:type="dxa"/>
          </w:tcPr>
          <w:p w:rsidR="00061F14" w:rsidRPr="00001F20" w:rsidRDefault="00061F14" w:rsidP="00BA17FB">
            <w:pPr>
              <w:tabs>
                <w:tab w:val="left" w:pos="567"/>
              </w:tabs>
              <w:spacing w:before="120"/>
              <w:rPr>
                <w:sz w:val="26"/>
                <w:szCs w:val="26"/>
                <w:lang w:val="lt-LT"/>
              </w:rPr>
            </w:pPr>
            <w:r w:rsidRPr="00001F20">
              <w:rPr>
                <w:sz w:val="26"/>
                <w:szCs w:val="26"/>
                <w:lang w:val="lt-LT"/>
              </w:rPr>
              <w:t xml:space="preserve">5 lentelė Finansinių ataskaitų iškraipymų priežastinis vertinimas </w:t>
            </w:r>
            <w:r>
              <w:rPr>
                <w:sz w:val="26"/>
                <w:szCs w:val="26"/>
                <w:lang w:val="lt-LT"/>
              </w:rPr>
              <w:t>...........</w:t>
            </w:r>
            <w:r w:rsidR="00BA17FB">
              <w:rPr>
                <w:sz w:val="26"/>
                <w:szCs w:val="26"/>
                <w:lang w:val="lt-LT"/>
              </w:rPr>
              <w:t>.. 3</w:t>
            </w:r>
            <w:r w:rsidR="00DA25DF">
              <w:rPr>
                <w:sz w:val="26"/>
                <w:szCs w:val="26"/>
                <w:lang w:val="lt-LT"/>
              </w:rPr>
              <w:t>2</w:t>
            </w:r>
          </w:p>
        </w:tc>
      </w:tr>
      <w:tr w:rsidR="00061F14" w:rsidRPr="00001F20" w:rsidTr="00C315FF">
        <w:tc>
          <w:tcPr>
            <w:tcW w:w="8187" w:type="dxa"/>
          </w:tcPr>
          <w:p w:rsidR="00061F14" w:rsidRPr="00001F20" w:rsidRDefault="00061F14" w:rsidP="00BA17FB">
            <w:pPr>
              <w:spacing w:before="120"/>
              <w:jc w:val="both"/>
              <w:rPr>
                <w:sz w:val="26"/>
                <w:szCs w:val="26"/>
                <w:lang w:val="lt-LT"/>
              </w:rPr>
            </w:pPr>
            <w:r w:rsidRPr="00001F20">
              <w:rPr>
                <w:sz w:val="26"/>
                <w:szCs w:val="26"/>
                <w:lang w:val="lt-LT"/>
              </w:rPr>
              <w:t>6 lentelė Audito koncepcijos ir audito rizika ...............................</w:t>
            </w:r>
            <w:r>
              <w:rPr>
                <w:sz w:val="26"/>
                <w:szCs w:val="26"/>
                <w:lang w:val="lt-LT"/>
              </w:rPr>
              <w:t>.............</w:t>
            </w:r>
            <w:r w:rsidR="00BA17FB">
              <w:rPr>
                <w:sz w:val="26"/>
                <w:szCs w:val="26"/>
                <w:lang w:val="lt-LT"/>
              </w:rPr>
              <w:t>.. 3</w:t>
            </w:r>
            <w:r w:rsidR="00DA25DF">
              <w:rPr>
                <w:sz w:val="26"/>
                <w:szCs w:val="26"/>
                <w:lang w:val="lt-LT"/>
              </w:rPr>
              <w:t>7</w:t>
            </w:r>
          </w:p>
        </w:tc>
      </w:tr>
      <w:tr w:rsidR="00061F14" w:rsidRPr="000352ED" w:rsidTr="00C315FF">
        <w:tc>
          <w:tcPr>
            <w:tcW w:w="8187" w:type="dxa"/>
          </w:tcPr>
          <w:p w:rsidR="00061F14" w:rsidRPr="00001F20" w:rsidRDefault="00061F14" w:rsidP="00BA17FB">
            <w:pPr>
              <w:tabs>
                <w:tab w:val="left" w:pos="567"/>
              </w:tabs>
              <w:spacing w:before="120"/>
              <w:rPr>
                <w:sz w:val="26"/>
                <w:szCs w:val="26"/>
                <w:lang w:val="lt-LT"/>
              </w:rPr>
            </w:pPr>
            <w:r w:rsidRPr="00001F20">
              <w:rPr>
                <w:sz w:val="26"/>
                <w:szCs w:val="26"/>
                <w:lang w:val="lt-LT"/>
              </w:rPr>
              <w:t>7 lentelė Reikšmingo iškraipymo rizikos finansinių ataskaitų lygmeniu</w:t>
            </w:r>
            <w:r>
              <w:rPr>
                <w:sz w:val="26"/>
                <w:szCs w:val="26"/>
                <w:lang w:val="lt-LT"/>
              </w:rPr>
              <w:t xml:space="preserve"> veiksniai ....................................................................................................</w:t>
            </w:r>
            <w:r w:rsidR="00BA17FB">
              <w:rPr>
                <w:sz w:val="26"/>
                <w:szCs w:val="26"/>
                <w:lang w:val="lt-LT"/>
              </w:rPr>
              <w:t xml:space="preserve">.. </w:t>
            </w:r>
            <w:r w:rsidR="00DA25DF">
              <w:rPr>
                <w:sz w:val="26"/>
                <w:szCs w:val="26"/>
                <w:lang w:val="lt-LT"/>
              </w:rPr>
              <w:t>39</w:t>
            </w:r>
          </w:p>
        </w:tc>
      </w:tr>
      <w:tr w:rsidR="00061F14" w:rsidRPr="00001F20" w:rsidTr="00C315FF">
        <w:tc>
          <w:tcPr>
            <w:tcW w:w="8187" w:type="dxa"/>
          </w:tcPr>
          <w:p w:rsidR="00061F14" w:rsidRPr="00001F20" w:rsidRDefault="00061F14" w:rsidP="00BA17FB">
            <w:pPr>
              <w:spacing w:before="120"/>
              <w:rPr>
                <w:sz w:val="26"/>
                <w:szCs w:val="26"/>
                <w:lang w:val="lt-LT"/>
              </w:rPr>
            </w:pPr>
            <w:r w:rsidRPr="00001F20">
              <w:rPr>
                <w:sz w:val="26"/>
                <w:szCs w:val="26"/>
                <w:lang w:val="lt-LT"/>
              </w:rPr>
              <w:t>8 lentelė Įmonės verslo rizikos vertinimas audito metu .............................</w:t>
            </w:r>
            <w:r w:rsidR="00BA17FB">
              <w:rPr>
                <w:sz w:val="26"/>
                <w:szCs w:val="26"/>
                <w:lang w:val="lt-LT"/>
              </w:rPr>
              <w:t xml:space="preserve"> 4</w:t>
            </w:r>
            <w:r w:rsidR="00DA25DF">
              <w:rPr>
                <w:sz w:val="26"/>
                <w:szCs w:val="26"/>
                <w:lang w:val="lt-LT"/>
              </w:rPr>
              <w:t>2</w:t>
            </w:r>
          </w:p>
        </w:tc>
      </w:tr>
      <w:tr w:rsidR="00061F14" w:rsidRPr="00001F20" w:rsidTr="00C315FF">
        <w:tc>
          <w:tcPr>
            <w:tcW w:w="8187" w:type="dxa"/>
          </w:tcPr>
          <w:p w:rsidR="00061F14" w:rsidRPr="00001F20" w:rsidRDefault="00061F14" w:rsidP="00BA17FB">
            <w:pPr>
              <w:spacing w:before="120"/>
              <w:rPr>
                <w:sz w:val="26"/>
                <w:szCs w:val="26"/>
                <w:lang w:val="lt-LT"/>
              </w:rPr>
            </w:pPr>
            <w:r w:rsidRPr="00001F20">
              <w:rPr>
                <w:sz w:val="26"/>
                <w:szCs w:val="26"/>
                <w:lang w:val="lt-LT"/>
              </w:rPr>
              <w:t>9 lentelė Apgaulės veiksnių klasifikavimas ................</w:t>
            </w:r>
            <w:r w:rsidR="00BA17FB">
              <w:rPr>
                <w:sz w:val="26"/>
                <w:szCs w:val="26"/>
                <w:lang w:val="lt-LT"/>
              </w:rPr>
              <w:t>............................... 4</w:t>
            </w:r>
            <w:r w:rsidR="00DA25DF">
              <w:rPr>
                <w:sz w:val="26"/>
                <w:szCs w:val="26"/>
                <w:lang w:val="lt-LT"/>
              </w:rPr>
              <w:t>4</w:t>
            </w:r>
          </w:p>
        </w:tc>
      </w:tr>
      <w:tr w:rsidR="00061F14" w:rsidRPr="00001F20" w:rsidTr="00C315FF">
        <w:tc>
          <w:tcPr>
            <w:tcW w:w="8187" w:type="dxa"/>
          </w:tcPr>
          <w:p w:rsidR="00061F14" w:rsidRPr="00001F20" w:rsidRDefault="00061F14" w:rsidP="00BA17FB">
            <w:pPr>
              <w:spacing w:before="120"/>
              <w:rPr>
                <w:sz w:val="26"/>
                <w:szCs w:val="26"/>
                <w:lang w:val="lt-LT"/>
              </w:rPr>
            </w:pPr>
            <w:r w:rsidRPr="00001F20">
              <w:rPr>
                <w:sz w:val="26"/>
                <w:szCs w:val="26"/>
                <w:lang w:val="lt-LT"/>
              </w:rPr>
              <w:t>10 lentelė Įgimtos rizikos apibrėžimai .......................................</w:t>
            </w:r>
            <w:r w:rsidR="00BA17FB">
              <w:rPr>
                <w:sz w:val="26"/>
                <w:szCs w:val="26"/>
                <w:lang w:val="lt-LT"/>
              </w:rPr>
              <w:t>................ 4</w:t>
            </w:r>
            <w:r w:rsidR="00DA25DF">
              <w:rPr>
                <w:sz w:val="26"/>
                <w:szCs w:val="26"/>
                <w:lang w:val="lt-LT"/>
              </w:rPr>
              <w:t>5</w:t>
            </w:r>
          </w:p>
        </w:tc>
      </w:tr>
      <w:tr w:rsidR="00061F14" w:rsidRPr="00001F20" w:rsidTr="00C315FF">
        <w:tc>
          <w:tcPr>
            <w:tcW w:w="8187" w:type="dxa"/>
          </w:tcPr>
          <w:p w:rsidR="00061F14" w:rsidRPr="00001F20" w:rsidRDefault="00061F14" w:rsidP="00BA17FB">
            <w:pPr>
              <w:spacing w:before="120"/>
              <w:rPr>
                <w:sz w:val="26"/>
                <w:szCs w:val="26"/>
                <w:lang w:val="lt-LT"/>
              </w:rPr>
            </w:pPr>
            <w:r w:rsidRPr="00001F20">
              <w:rPr>
                <w:sz w:val="26"/>
                <w:szCs w:val="26"/>
                <w:lang w:val="lt-LT"/>
              </w:rPr>
              <w:t>11 lentelė Įgimtą riziką lemiančios sąlygos ...............................................</w:t>
            </w:r>
            <w:r w:rsidR="00BA17FB">
              <w:rPr>
                <w:sz w:val="26"/>
                <w:szCs w:val="26"/>
                <w:lang w:val="lt-LT"/>
              </w:rPr>
              <w:t>. 4</w:t>
            </w:r>
            <w:r w:rsidR="00DA25DF">
              <w:rPr>
                <w:sz w:val="26"/>
                <w:szCs w:val="26"/>
                <w:lang w:val="lt-LT"/>
              </w:rPr>
              <w:t>6</w:t>
            </w:r>
          </w:p>
        </w:tc>
      </w:tr>
      <w:tr w:rsidR="00061F14" w:rsidRPr="00001F20" w:rsidTr="00C315FF">
        <w:tc>
          <w:tcPr>
            <w:tcW w:w="8187" w:type="dxa"/>
          </w:tcPr>
          <w:p w:rsidR="00061F14" w:rsidRPr="00001F20" w:rsidRDefault="00061F14" w:rsidP="00BA17FB">
            <w:pPr>
              <w:spacing w:before="120"/>
              <w:rPr>
                <w:sz w:val="26"/>
                <w:szCs w:val="26"/>
                <w:lang w:val="lt-LT"/>
              </w:rPr>
            </w:pPr>
            <w:r w:rsidRPr="00001F20">
              <w:rPr>
                <w:sz w:val="26"/>
                <w:szCs w:val="26"/>
                <w:lang w:val="lt-LT"/>
              </w:rPr>
              <w:t>12 lentelė Kontrolės rizikos apibrėžimai .....................</w:t>
            </w:r>
            <w:r w:rsidR="00BA17FB">
              <w:rPr>
                <w:sz w:val="26"/>
                <w:szCs w:val="26"/>
                <w:lang w:val="lt-LT"/>
              </w:rPr>
              <w:t xml:space="preserve">............................... </w:t>
            </w:r>
            <w:r w:rsidR="00DA25DF">
              <w:rPr>
                <w:sz w:val="26"/>
                <w:szCs w:val="26"/>
                <w:lang w:val="lt-LT"/>
              </w:rPr>
              <w:t>49</w:t>
            </w:r>
          </w:p>
        </w:tc>
      </w:tr>
      <w:tr w:rsidR="00061F14" w:rsidRPr="000352ED" w:rsidTr="00C315FF">
        <w:tc>
          <w:tcPr>
            <w:tcW w:w="8187" w:type="dxa"/>
          </w:tcPr>
          <w:p w:rsidR="00B758CB" w:rsidRDefault="00061F14" w:rsidP="00BA17FB">
            <w:pPr>
              <w:tabs>
                <w:tab w:val="left" w:pos="567"/>
              </w:tabs>
              <w:spacing w:before="120"/>
              <w:rPr>
                <w:sz w:val="26"/>
                <w:szCs w:val="26"/>
                <w:lang w:val="lt-LT"/>
              </w:rPr>
            </w:pPr>
            <w:r w:rsidRPr="00001F20">
              <w:rPr>
                <w:sz w:val="26"/>
                <w:szCs w:val="26"/>
                <w:lang w:val="lt-LT"/>
              </w:rPr>
              <w:t xml:space="preserve">13 lentelė Vidaus kontrolės sistemos modelių struktūra ir vidaus </w:t>
            </w:r>
          </w:p>
          <w:p w:rsidR="00061F14" w:rsidRPr="00001F20" w:rsidRDefault="00B758CB" w:rsidP="00B758CB">
            <w:pPr>
              <w:tabs>
                <w:tab w:val="left" w:pos="567"/>
              </w:tabs>
              <w:rPr>
                <w:sz w:val="26"/>
                <w:szCs w:val="26"/>
                <w:lang w:val="lt-LT"/>
              </w:rPr>
            </w:pPr>
            <w:r>
              <w:rPr>
                <w:sz w:val="26"/>
                <w:szCs w:val="26"/>
                <w:lang w:val="lt-LT"/>
              </w:rPr>
              <w:t xml:space="preserve">kontrolės sistemos tikslai </w:t>
            </w:r>
            <w:r w:rsidR="00061F14">
              <w:rPr>
                <w:sz w:val="26"/>
                <w:szCs w:val="26"/>
                <w:lang w:val="lt-LT"/>
              </w:rPr>
              <w:t>..............................................</w:t>
            </w:r>
            <w:r w:rsidR="00BA17FB">
              <w:rPr>
                <w:sz w:val="26"/>
                <w:szCs w:val="26"/>
                <w:lang w:val="lt-LT"/>
              </w:rPr>
              <w:t>.............................</w:t>
            </w:r>
            <w:r w:rsidR="00061F14">
              <w:rPr>
                <w:sz w:val="26"/>
                <w:szCs w:val="26"/>
                <w:lang w:val="lt-LT"/>
              </w:rPr>
              <w:t>.</w:t>
            </w:r>
            <w:r w:rsidR="00BA17FB">
              <w:rPr>
                <w:sz w:val="26"/>
                <w:szCs w:val="26"/>
                <w:lang w:val="lt-LT"/>
              </w:rPr>
              <w:t xml:space="preserve"> 5</w:t>
            </w:r>
            <w:r w:rsidR="00DA25DF">
              <w:rPr>
                <w:sz w:val="26"/>
                <w:szCs w:val="26"/>
                <w:lang w:val="lt-LT"/>
              </w:rPr>
              <w:t>0</w:t>
            </w:r>
          </w:p>
        </w:tc>
      </w:tr>
      <w:tr w:rsidR="00061F14" w:rsidRPr="00001F20" w:rsidTr="00C315FF">
        <w:tc>
          <w:tcPr>
            <w:tcW w:w="8187" w:type="dxa"/>
          </w:tcPr>
          <w:p w:rsidR="00061F14" w:rsidRPr="00001F20" w:rsidRDefault="00061F14" w:rsidP="00BA17FB">
            <w:pPr>
              <w:tabs>
                <w:tab w:val="left" w:pos="567"/>
              </w:tabs>
              <w:spacing w:before="120"/>
              <w:rPr>
                <w:sz w:val="26"/>
                <w:szCs w:val="26"/>
                <w:lang w:val="lt-LT"/>
              </w:rPr>
            </w:pPr>
            <w:r w:rsidRPr="00001F20">
              <w:rPr>
                <w:sz w:val="26"/>
                <w:szCs w:val="26"/>
                <w:lang w:val="lt-LT"/>
              </w:rPr>
              <w:t>14 lentelė Vidaus kontrolės sistemos struktūros p</w:t>
            </w:r>
            <w:r w:rsidR="00BA17FB">
              <w:rPr>
                <w:sz w:val="26"/>
                <w:szCs w:val="26"/>
                <w:lang w:val="lt-LT"/>
              </w:rPr>
              <w:t>alyginimas .................</w:t>
            </w:r>
            <w:r>
              <w:rPr>
                <w:sz w:val="26"/>
                <w:szCs w:val="26"/>
                <w:lang w:val="lt-LT"/>
              </w:rPr>
              <w:t>...</w:t>
            </w:r>
            <w:r w:rsidR="00BA17FB">
              <w:rPr>
                <w:sz w:val="26"/>
                <w:szCs w:val="26"/>
                <w:lang w:val="lt-LT"/>
              </w:rPr>
              <w:t xml:space="preserve"> 5</w:t>
            </w:r>
            <w:r w:rsidR="00DA25DF">
              <w:rPr>
                <w:sz w:val="26"/>
                <w:szCs w:val="26"/>
                <w:lang w:val="lt-LT"/>
              </w:rPr>
              <w:t>1</w:t>
            </w:r>
          </w:p>
        </w:tc>
      </w:tr>
      <w:tr w:rsidR="00061F14" w:rsidRPr="00001F20" w:rsidTr="00C315FF">
        <w:tc>
          <w:tcPr>
            <w:tcW w:w="8187" w:type="dxa"/>
          </w:tcPr>
          <w:p w:rsidR="00061F14" w:rsidRPr="00001F20" w:rsidRDefault="00061F14" w:rsidP="00BA17FB">
            <w:pPr>
              <w:spacing w:before="120"/>
              <w:rPr>
                <w:sz w:val="26"/>
                <w:szCs w:val="26"/>
                <w:lang w:val="lt-LT"/>
              </w:rPr>
            </w:pPr>
            <w:r w:rsidRPr="00001F20">
              <w:rPr>
                <w:sz w:val="26"/>
                <w:szCs w:val="26"/>
                <w:lang w:val="lt-LT"/>
              </w:rPr>
              <w:t>15 lentelė Aptikimo riziką lemiančios sąlygos ..............</w:t>
            </w:r>
            <w:r w:rsidR="00BA17FB">
              <w:rPr>
                <w:sz w:val="26"/>
                <w:szCs w:val="26"/>
                <w:lang w:val="lt-LT"/>
              </w:rPr>
              <w:t xml:space="preserve">............................. </w:t>
            </w:r>
            <w:r w:rsidR="00DA25DF">
              <w:rPr>
                <w:sz w:val="26"/>
                <w:szCs w:val="26"/>
                <w:lang w:val="lt-LT"/>
              </w:rPr>
              <w:t>59</w:t>
            </w:r>
          </w:p>
        </w:tc>
      </w:tr>
      <w:tr w:rsidR="00061F14" w:rsidRPr="000352ED" w:rsidTr="00C315FF">
        <w:tc>
          <w:tcPr>
            <w:tcW w:w="8187" w:type="dxa"/>
          </w:tcPr>
          <w:p w:rsidR="00061F14" w:rsidRPr="00001F20" w:rsidRDefault="00061F14" w:rsidP="00BA17FB">
            <w:pPr>
              <w:tabs>
                <w:tab w:val="left" w:pos="567"/>
              </w:tabs>
              <w:spacing w:before="120"/>
              <w:rPr>
                <w:sz w:val="26"/>
                <w:szCs w:val="26"/>
                <w:lang w:val="lt-LT"/>
              </w:rPr>
            </w:pPr>
            <w:r w:rsidRPr="00001F20">
              <w:rPr>
                <w:sz w:val="26"/>
                <w:szCs w:val="26"/>
                <w:lang w:val="lt-LT"/>
              </w:rPr>
              <w:t>16 lentelė Audito rizikos formulės, remiantis įsitikinimo funkcijos samprata..............................</w:t>
            </w:r>
            <w:r>
              <w:rPr>
                <w:sz w:val="26"/>
                <w:szCs w:val="26"/>
                <w:lang w:val="lt-LT"/>
              </w:rPr>
              <w:t>.....................................................</w:t>
            </w:r>
            <w:r w:rsidR="00BA17FB">
              <w:rPr>
                <w:sz w:val="26"/>
                <w:szCs w:val="26"/>
                <w:lang w:val="lt-LT"/>
              </w:rPr>
              <w:t>...................</w:t>
            </w:r>
            <w:r>
              <w:rPr>
                <w:sz w:val="26"/>
                <w:szCs w:val="26"/>
                <w:lang w:val="lt-LT"/>
              </w:rPr>
              <w:t>.</w:t>
            </w:r>
            <w:r w:rsidR="00BA17FB">
              <w:rPr>
                <w:sz w:val="26"/>
                <w:szCs w:val="26"/>
                <w:lang w:val="lt-LT"/>
              </w:rPr>
              <w:t xml:space="preserve"> 7</w:t>
            </w:r>
            <w:r w:rsidR="00DA25DF">
              <w:rPr>
                <w:sz w:val="26"/>
                <w:szCs w:val="26"/>
                <w:lang w:val="lt-LT"/>
              </w:rPr>
              <w:t>8</w:t>
            </w:r>
          </w:p>
        </w:tc>
      </w:tr>
      <w:tr w:rsidR="00061F14" w:rsidRPr="000352ED" w:rsidTr="00C315FF">
        <w:tc>
          <w:tcPr>
            <w:tcW w:w="8187" w:type="dxa"/>
          </w:tcPr>
          <w:p w:rsidR="00061F14" w:rsidRPr="00001F20" w:rsidRDefault="00061F14" w:rsidP="00BA17FB">
            <w:pPr>
              <w:tabs>
                <w:tab w:val="left" w:pos="567"/>
              </w:tabs>
              <w:spacing w:before="120"/>
              <w:rPr>
                <w:sz w:val="26"/>
                <w:szCs w:val="26"/>
                <w:lang w:val="lt-LT"/>
              </w:rPr>
            </w:pPr>
            <w:r w:rsidRPr="00001F20">
              <w:rPr>
                <w:sz w:val="26"/>
                <w:szCs w:val="26"/>
                <w:lang w:val="lt-LT"/>
              </w:rPr>
              <w:t>17 lentelė Audito rizikos modeli</w:t>
            </w:r>
            <w:r>
              <w:rPr>
                <w:sz w:val="26"/>
                <w:szCs w:val="26"/>
                <w:lang w:val="lt-LT"/>
              </w:rPr>
              <w:t>ų</w:t>
            </w:r>
            <w:r w:rsidRPr="00001F20">
              <w:rPr>
                <w:sz w:val="26"/>
                <w:szCs w:val="26"/>
                <w:lang w:val="lt-LT"/>
              </w:rPr>
              <w:t xml:space="preserve"> </w:t>
            </w:r>
            <w:r>
              <w:rPr>
                <w:sz w:val="26"/>
                <w:szCs w:val="26"/>
                <w:lang w:val="lt-LT"/>
              </w:rPr>
              <w:t>palyginimas ..............</w:t>
            </w:r>
            <w:r w:rsidR="00BA17FB">
              <w:rPr>
                <w:sz w:val="26"/>
                <w:szCs w:val="26"/>
                <w:lang w:val="lt-LT"/>
              </w:rPr>
              <w:t xml:space="preserve">............................ </w:t>
            </w:r>
            <w:r w:rsidR="00DA25DF">
              <w:rPr>
                <w:sz w:val="26"/>
                <w:szCs w:val="26"/>
                <w:lang w:val="lt-LT"/>
              </w:rPr>
              <w:t>89</w:t>
            </w:r>
          </w:p>
        </w:tc>
      </w:tr>
      <w:tr w:rsidR="00061F14" w:rsidRPr="00001F20" w:rsidTr="00C315FF">
        <w:tc>
          <w:tcPr>
            <w:tcW w:w="8187" w:type="dxa"/>
          </w:tcPr>
          <w:p w:rsidR="00061F14" w:rsidRPr="00001F20" w:rsidRDefault="00061F14" w:rsidP="00BA17FB">
            <w:pPr>
              <w:tabs>
                <w:tab w:val="left" w:pos="567"/>
              </w:tabs>
              <w:spacing w:before="120"/>
              <w:rPr>
                <w:sz w:val="26"/>
                <w:szCs w:val="26"/>
                <w:lang w:val="lt-LT"/>
              </w:rPr>
            </w:pPr>
            <w:r w:rsidRPr="00001F20">
              <w:rPr>
                <w:sz w:val="26"/>
                <w:szCs w:val="26"/>
                <w:lang w:val="lt-LT"/>
              </w:rPr>
              <w:t>1</w:t>
            </w:r>
            <w:r>
              <w:rPr>
                <w:sz w:val="26"/>
                <w:szCs w:val="26"/>
                <w:lang w:val="lt-LT"/>
              </w:rPr>
              <w:t>8</w:t>
            </w:r>
            <w:r w:rsidRPr="00001F20">
              <w:rPr>
                <w:sz w:val="26"/>
                <w:szCs w:val="26"/>
                <w:lang w:val="lt-LT"/>
              </w:rPr>
              <w:t xml:space="preserve"> lentelė Audito rizikos vertinimo modelio </w:t>
            </w:r>
            <w:r>
              <w:rPr>
                <w:sz w:val="26"/>
                <w:szCs w:val="26"/>
                <w:lang w:val="lt-LT"/>
              </w:rPr>
              <w:t>tobulinimo kryptys .</w:t>
            </w:r>
            <w:r w:rsidRPr="00001F20">
              <w:rPr>
                <w:sz w:val="26"/>
                <w:szCs w:val="26"/>
                <w:lang w:val="lt-LT"/>
              </w:rPr>
              <w:t>.............</w:t>
            </w:r>
            <w:r w:rsidR="00BA17FB">
              <w:rPr>
                <w:sz w:val="26"/>
                <w:szCs w:val="26"/>
                <w:lang w:val="lt-LT"/>
              </w:rPr>
              <w:t xml:space="preserve"> 9</w:t>
            </w:r>
            <w:r w:rsidR="00DA25DF">
              <w:rPr>
                <w:sz w:val="26"/>
                <w:szCs w:val="26"/>
                <w:lang w:val="lt-LT"/>
              </w:rPr>
              <w:t>2</w:t>
            </w:r>
          </w:p>
        </w:tc>
      </w:tr>
      <w:tr w:rsidR="00061F14" w:rsidRPr="00001F20" w:rsidTr="00C315FF">
        <w:tc>
          <w:tcPr>
            <w:tcW w:w="8187" w:type="dxa"/>
          </w:tcPr>
          <w:p w:rsidR="00C315FF" w:rsidRDefault="00061F14" w:rsidP="00FA4B97">
            <w:pPr>
              <w:tabs>
                <w:tab w:val="left" w:pos="567"/>
              </w:tabs>
              <w:spacing w:before="120"/>
              <w:rPr>
                <w:noProof/>
                <w:sz w:val="26"/>
                <w:szCs w:val="26"/>
                <w:lang w:val="lt-LT"/>
              </w:rPr>
            </w:pPr>
            <w:r w:rsidRPr="00001F20">
              <w:rPr>
                <w:sz w:val="26"/>
                <w:szCs w:val="26"/>
                <w:lang w:val="lt-LT"/>
              </w:rPr>
              <w:t>1</w:t>
            </w:r>
            <w:r>
              <w:rPr>
                <w:sz w:val="26"/>
                <w:szCs w:val="26"/>
                <w:lang w:val="lt-LT"/>
              </w:rPr>
              <w:t>9</w:t>
            </w:r>
            <w:r w:rsidRPr="00001F20">
              <w:rPr>
                <w:sz w:val="26"/>
                <w:szCs w:val="26"/>
                <w:lang w:val="lt-LT"/>
              </w:rPr>
              <w:t xml:space="preserve"> lentelė</w:t>
            </w:r>
            <w:r w:rsidRPr="00001F20">
              <w:rPr>
                <w:noProof/>
                <w:sz w:val="26"/>
                <w:szCs w:val="26"/>
                <w:lang w:val="lt-LT"/>
              </w:rPr>
              <w:t xml:space="preserve"> Klasikinio audito rizikos modelio privalumų tarpusavio </w:t>
            </w:r>
          </w:p>
          <w:p w:rsidR="00061F14" w:rsidRPr="00001F20" w:rsidRDefault="00061F14" w:rsidP="00C315FF">
            <w:pPr>
              <w:tabs>
                <w:tab w:val="left" w:pos="567"/>
              </w:tabs>
              <w:rPr>
                <w:sz w:val="26"/>
                <w:szCs w:val="26"/>
                <w:lang w:val="lt-LT"/>
              </w:rPr>
            </w:pPr>
            <w:r w:rsidRPr="00001F20">
              <w:rPr>
                <w:noProof/>
                <w:sz w:val="26"/>
                <w:szCs w:val="26"/>
                <w:lang w:val="lt-LT"/>
              </w:rPr>
              <w:t xml:space="preserve">ryšys </w:t>
            </w:r>
            <w:r w:rsidRPr="00001F20">
              <w:rPr>
                <w:sz w:val="26"/>
                <w:szCs w:val="26"/>
                <w:lang w:val="lt-LT"/>
              </w:rPr>
              <w:t>(r</w:t>
            </w:r>
            <w:r w:rsidRPr="00001F20">
              <w:rPr>
                <w:sz w:val="26"/>
                <w:szCs w:val="26"/>
                <w:vertAlign w:val="subscript"/>
                <w:lang w:val="lt-LT"/>
              </w:rPr>
              <w:t>s</w:t>
            </w:r>
            <w:r w:rsidR="00C315FF">
              <w:rPr>
                <w:sz w:val="26"/>
                <w:szCs w:val="26"/>
                <w:lang w:val="lt-LT"/>
              </w:rPr>
              <w:t xml:space="preserve">) </w:t>
            </w:r>
            <w:r w:rsidRPr="00001F20">
              <w:rPr>
                <w:sz w:val="26"/>
                <w:szCs w:val="26"/>
                <w:lang w:val="lt-LT"/>
              </w:rPr>
              <w:t>..............</w:t>
            </w:r>
            <w:r>
              <w:rPr>
                <w:sz w:val="26"/>
                <w:szCs w:val="26"/>
                <w:lang w:val="lt-LT"/>
              </w:rPr>
              <w:t>.......................................................</w:t>
            </w:r>
            <w:r w:rsidR="00FA4B97">
              <w:rPr>
                <w:sz w:val="26"/>
                <w:szCs w:val="26"/>
                <w:lang w:val="lt-LT"/>
              </w:rPr>
              <w:t>............................... 10</w:t>
            </w:r>
            <w:r w:rsidR="00DA25DF">
              <w:rPr>
                <w:sz w:val="26"/>
                <w:szCs w:val="26"/>
                <w:lang w:val="lt-LT"/>
              </w:rPr>
              <w:t>2</w:t>
            </w:r>
          </w:p>
        </w:tc>
      </w:tr>
      <w:tr w:rsidR="00061F14" w:rsidRPr="00001F20" w:rsidTr="00C315FF">
        <w:tc>
          <w:tcPr>
            <w:tcW w:w="8187" w:type="dxa"/>
          </w:tcPr>
          <w:p w:rsidR="00C315FF" w:rsidRDefault="00061F14" w:rsidP="00FA4B97">
            <w:pPr>
              <w:tabs>
                <w:tab w:val="left" w:pos="567"/>
              </w:tabs>
              <w:spacing w:before="120"/>
              <w:rPr>
                <w:sz w:val="26"/>
                <w:szCs w:val="26"/>
                <w:lang w:val="lt-LT"/>
              </w:rPr>
            </w:pPr>
            <w:r>
              <w:rPr>
                <w:sz w:val="26"/>
                <w:szCs w:val="26"/>
                <w:lang w:val="lt-LT"/>
              </w:rPr>
              <w:t>20</w:t>
            </w:r>
            <w:r w:rsidRPr="00001F20">
              <w:rPr>
                <w:sz w:val="26"/>
                <w:szCs w:val="26"/>
                <w:lang w:val="lt-LT"/>
              </w:rPr>
              <w:t xml:space="preserve"> lentelė Apgaulės nagrinėjimo priežasčių tarpusavio ryšys ir jų </w:t>
            </w:r>
          </w:p>
          <w:p w:rsidR="00061F14" w:rsidRPr="00001F20" w:rsidRDefault="00061F14" w:rsidP="00DA25DF">
            <w:pPr>
              <w:tabs>
                <w:tab w:val="left" w:pos="567"/>
              </w:tabs>
              <w:rPr>
                <w:sz w:val="26"/>
                <w:szCs w:val="26"/>
                <w:lang w:val="lt-LT"/>
              </w:rPr>
            </w:pPr>
            <w:r w:rsidRPr="00001F20">
              <w:rPr>
                <w:sz w:val="26"/>
                <w:szCs w:val="26"/>
                <w:lang w:val="lt-LT"/>
              </w:rPr>
              <w:t>ryšys (</w:t>
            </w:r>
            <w:r w:rsidR="00C315FF" w:rsidRPr="00001F20">
              <w:rPr>
                <w:sz w:val="26"/>
                <w:szCs w:val="26"/>
                <w:lang w:val="lt-LT"/>
              </w:rPr>
              <w:t>r</w:t>
            </w:r>
            <w:r w:rsidR="00C315FF" w:rsidRPr="00001F20">
              <w:rPr>
                <w:sz w:val="26"/>
                <w:szCs w:val="26"/>
                <w:vertAlign w:val="subscript"/>
                <w:lang w:val="lt-LT"/>
              </w:rPr>
              <w:t>s</w:t>
            </w:r>
            <w:r w:rsidRPr="00001F20">
              <w:rPr>
                <w:sz w:val="26"/>
                <w:szCs w:val="26"/>
                <w:lang w:val="lt-LT"/>
              </w:rPr>
              <w:t>) su auditoriaus darbo patirtimi .</w:t>
            </w:r>
            <w:r w:rsidR="00C315FF">
              <w:rPr>
                <w:sz w:val="26"/>
                <w:szCs w:val="26"/>
                <w:lang w:val="lt-LT"/>
              </w:rPr>
              <w:t>..</w:t>
            </w:r>
            <w:r w:rsidRPr="00001F20">
              <w:rPr>
                <w:sz w:val="26"/>
                <w:szCs w:val="26"/>
                <w:lang w:val="lt-LT"/>
              </w:rPr>
              <w:t>........................................</w:t>
            </w:r>
            <w:r w:rsidR="00FA4B97">
              <w:rPr>
                <w:sz w:val="26"/>
                <w:szCs w:val="26"/>
                <w:lang w:val="lt-LT"/>
              </w:rPr>
              <w:t>........ 10</w:t>
            </w:r>
            <w:r w:rsidR="00DA25DF">
              <w:rPr>
                <w:sz w:val="26"/>
                <w:szCs w:val="26"/>
                <w:lang w:val="lt-LT"/>
              </w:rPr>
              <w:t>5</w:t>
            </w:r>
          </w:p>
        </w:tc>
      </w:tr>
      <w:tr w:rsidR="00061F14" w:rsidRPr="00001F20" w:rsidTr="00C315FF">
        <w:tc>
          <w:tcPr>
            <w:tcW w:w="8187" w:type="dxa"/>
          </w:tcPr>
          <w:p w:rsidR="00061F14" w:rsidRPr="00001F20" w:rsidRDefault="00061F14" w:rsidP="00FA4B97">
            <w:pPr>
              <w:tabs>
                <w:tab w:val="left" w:pos="567"/>
              </w:tabs>
              <w:spacing w:before="120"/>
              <w:rPr>
                <w:sz w:val="26"/>
                <w:szCs w:val="26"/>
                <w:lang w:val="lt-LT"/>
              </w:rPr>
            </w:pPr>
            <w:r w:rsidRPr="00001F20">
              <w:rPr>
                <w:sz w:val="26"/>
                <w:szCs w:val="26"/>
                <w:lang w:val="lt-LT"/>
              </w:rPr>
              <w:t>2</w:t>
            </w:r>
            <w:r>
              <w:rPr>
                <w:sz w:val="26"/>
                <w:szCs w:val="26"/>
                <w:lang w:val="lt-LT"/>
              </w:rPr>
              <w:t>1</w:t>
            </w:r>
            <w:r w:rsidRPr="00001F20">
              <w:rPr>
                <w:sz w:val="26"/>
                <w:szCs w:val="26"/>
                <w:lang w:val="lt-LT"/>
              </w:rPr>
              <w:t xml:space="preserve"> lentelė Audito rizikos komponentų </w:t>
            </w:r>
            <w:r>
              <w:rPr>
                <w:sz w:val="26"/>
                <w:szCs w:val="26"/>
                <w:lang w:val="lt-LT"/>
              </w:rPr>
              <w:t>kiekybinis įvertinimas ...............</w:t>
            </w:r>
            <w:r w:rsidR="00FA4B97">
              <w:rPr>
                <w:sz w:val="26"/>
                <w:szCs w:val="26"/>
                <w:lang w:val="lt-LT"/>
              </w:rPr>
              <w:t>.</w:t>
            </w:r>
            <w:r w:rsidRPr="00001F20">
              <w:rPr>
                <w:sz w:val="26"/>
                <w:szCs w:val="26"/>
                <w:lang w:val="lt-LT"/>
              </w:rPr>
              <w:t>.</w:t>
            </w:r>
            <w:r w:rsidR="00FA4B97">
              <w:rPr>
                <w:sz w:val="26"/>
                <w:szCs w:val="26"/>
                <w:lang w:val="lt-LT"/>
              </w:rPr>
              <w:t xml:space="preserve"> 12</w:t>
            </w:r>
            <w:r w:rsidR="00DA25DF">
              <w:rPr>
                <w:sz w:val="26"/>
                <w:szCs w:val="26"/>
                <w:lang w:val="lt-LT"/>
              </w:rPr>
              <w:t>0</w:t>
            </w:r>
          </w:p>
        </w:tc>
      </w:tr>
      <w:tr w:rsidR="00061F14" w:rsidRPr="00001F20" w:rsidTr="00C315FF">
        <w:tc>
          <w:tcPr>
            <w:tcW w:w="8187" w:type="dxa"/>
          </w:tcPr>
          <w:p w:rsidR="00061F14" w:rsidRPr="00001F20" w:rsidRDefault="00061F14" w:rsidP="00FA4B97">
            <w:pPr>
              <w:tabs>
                <w:tab w:val="left" w:pos="567"/>
              </w:tabs>
              <w:spacing w:before="120"/>
              <w:rPr>
                <w:sz w:val="26"/>
                <w:szCs w:val="26"/>
                <w:lang w:val="lt-LT"/>
              </w:rPr>
            </w:pPr>
            <w:r w:rsidRPr="00001F20">
              <w:rPr>
                <w:sz w:val="26"/>
                <w:szCs w:val="26"/>
                <w:lang w:val="lt-LT"/>
              </w:rPr>
              <w:t>2</w:t>
            </w:r>
            <w:r>
              <w:rPr>
                <w:sz w:val="26"/>
                <w:szCs w:val="26"/>
                <w:lang w:val="lt-LT"/>
              </w:rPr>
              <w:t>2</w:t>
            </w:r>
            <w:r w:rsidRPr="00001F20">
              <w:rPr>
                <w:sz w:val="26"/>
                <w:szCs w:val="26"/>
                <w:lang w:val="lt-LT"/>
              </w:rPr>
              <w:t xml:space="preserve"> lentelė Rizikos matricos patikslinimas audito rizikos komponentų </w:t>
            </w:r>
            <w:r>
              <w:rPr>
                <w:sz w:val="26"/>
                <w:szCs w:val="26"/>
                <w:lang w:val="lt-LT"/>
              </w:rPr>
              <w:t>įvertinimui ......</w:t>
            </w:r>
            <w:r w:rsidRPr="00001F20">
              <w:rPr>
                <w:sz w:val="26"/>
                <w:szCs w:val="26"/>
                <w:lang w:val="lt-LT"/>
              </w:rPr>
              <w:t>...............</w:t>
            </w:r>
            <w:r>
              <w:rPr>
                <w:sz w:val="26"/>
                <w:szCs w:val="26"/>
                <w:lang w:val="lt-LT"/>
              </w:rPr>
              <w:t>............................................</w:t>
            </w:r>
            <w:r w:rsidR="00FA4B97">
              <w:rPr>
                <w:sz w:val="26"/>
                <w:szCs w:val="26"/>
                <w:lang w:val="lt-LT"/>
              </w:rPr>
              <w:t>..............................</w:t>
            </w:r>
            <w:r>
              <w:rPr>
                <w:sz w:val="26"/>
                <w:szCs w:val="26"/>
                <w:lang w:val="lt-LT"/>
              </w:rPr>
              <w:t>.</w:t>
            </w:r>
            <w:r w:rsidR="00FA4B97">
              <w:rPr>
                <w:sz w:val="26"/>
                <w:szCs w:val="26"/>
                <w:lang w:val="lt-LT"/>
              </w:rPr>
              <w:t xml:space="preserve"> 12</w:t>
            </w:r>
            <w:r w:rsidR="00DA25DF">
              <w:rPr>
                <w:sz w:val="26"/>
                <w:szCs w:val="26"/>
                <w:lang w:val="lt-LT"/>
              </w:rPr>
              <w:t>2</w:t>
            </w:r>
          </w:p>
        </w:tc>
      </w:tr>
      <w:tr w:rsidR="00061F14" w:rsidRPr="00001F20" w:rsidTr="00C315FF">
        <w:tc>
          <w:tcPr>
            <w:tcW w:w="8187" w:type="dxa"/>
          </w:tcPr>
          <w:p w:rsidR="00061F14" w:rsidRPr="00001F20" w:rsidRDefault="00061F14" w:rsidP="00FA4B97">
            <w:pPr>
              <w:tabs>
                <w:tab w:val="left" w:pos="567"/>
              </w:tabs>
              <w:spacing w:before="120"/>
              <w:rPr>
                <w:sz w:val="26"/>
                <w:szCs w:val="26"/>
                <w:lang w:val="lt-LT"/>
              </w:rPr>
            </w:pPr>
            <w:r w:rsidRPr="00001F20">
              <w:rPr>
                <w:sz w:val="26"/>
                <w:szCs w:val="26"/>
                <w:lang w:val="lt-LT"/>
              </w:rPr>
              <w:t>2</w:t>
            </w:r>
            <w:r>
              <w:rPr>
                <w:sz w:val="26"/>
                <w:szCs w:val="26"/>
                <w:lang w:val="lt-LT"/>
              </w:rPr>
              <w:t>3</w:t>
            </w:r>
            <w:r w:rsidRPr="00001F20">
              <w:rPr>
                <w:sz w:val="26"/>
                <w:szCs w:val="26"/>
                <w:lang w:val="lt-LT"/>
              </w:rPr>
              <w:t xml:space="preserve"> lentelė Audito rizikos komponentų </w:t>
            </w:r>
            <w:r>
              <w:rPr>
                <w:sz w:val="26"/>
                <w:szCs w:val="26"/>
                <w:lang w:val="lt-LT"/>
              </w:rPr>
              <w:t>įvertinimo</w:t>
            </w:r>
            <w:r w:rsidRPr="00001F20">
              <w:rPr>
                <w:sz w:val="26"/>
                <w:szCs w:val="26"/>
                <w:lang w:val="lt-LT"/>
              </w:rPr>
              <w:t xml:space="preserve"> skalė ..........</w:t>
            </w:r>
            <w:r>
              <w:rPr>
                <w:sz w:val="26"/>
                <w:szCs w:val="26"/>
                <w:lang w:val="lt-LT"/>
              </w:rPr>
              <w:t>.......</w:t>
            </w:r>
            <w:r w:rsidR="00FA4B97">
              <w:rPr>
                <w:sz w:val="26"/>
                <w:szCs w:val="26"/>
                <w:lang w:val="lt-LT"/>
              </w:rPr>
              <w:t>.......... 12</w:t>
            </w:r>
            <w:r w:rsidR="00DA25DF">
              <w:rPr>
                <w:sz w:val="26"/>
                <w:szCs w:val="26"/>
                <w:lang w:val="lt-LT"/>
              </w:rPr>
              <w:t>4</w:t>
            </w:r>
          </w:p>
        </w:tc>
      </w:tr>
      <w:tr w:rsidR="00061F14" w:rsidRPr="00001F20" w:rsidTr="00C315FF">
        <w:tc>
          <w:tcPr>
            <w:tcW w:w="8187" w:type="dxa"/>
          </w:tcPr>
          <w:p w:rsidR="00061F14" w:rsidRPr="00001F20" w:rsidRDefault="00061F14" w:rsidP="00FA4B97">
            <w:pPr>
              <w:tabs>
                <w:tab w:val="left" w:pos="567"/>
              </w:tabs>
              <w:spacing w:before="120"/>
              <w:rPr>
                <w:sz w:val="26"/>
                <w:szCs w:val="26"/>
                <w:lang w:val="lt-LT"/>
              </w:rPr>
            </w:pPr>
            <w:r w:rsidRPr="00001F20">
              <w:rPr>
                <w:sz w:val="26"/>
                <w:szCs w:val="26"/>
                <w:lang w:val="lt-LT"/>
              </w:rPr>
              <w:t>2</w:t>
            </w:r>
            <w:r>
              <w:rPr>
                <w:sz w:val="26"/>
                <w:szCs w:val="26"/>
                <w:lang w:val="lt-LT"/>
              </w:rPr>
              <w:t>4</w:t>
            </w:r>
            <w:r w:rsidRPr="00001F20">
              <w:rPr>
                <w:sz w:val="26"/>
                <w:szCs w:val="26"/>
                <w:lang w:val="lt-LT"/>
              </w:rPr>
              <w:t xml:space="preserve"> lentelė UAB „Šiluma“ vidaus k</w:t>
            </w:r>
            <w:r>
              <w:rPr>
                <w:sz w:val="26"/>
                <w:szCs w:val="26"/>
                <w:lang w:val="lt-LT"/>
              </w:rPr>
              <w:t xml:space="preserve">ontrolės sistemos apibūdinimas </w:t>
            </w:r>
            <w:r w:rsidRPr="00001F20">
              <w:rPr>
                <w:sz w:val="26"/>
                <w:szCs w:val="26"/>
                <w:lang w:val="lt-LT"/>
              </w:rPr>
              <w:t>.</w:t>
            </w:r>
            <w:r>
              <w:rPr>
                <w:sz w:val="26"/>
                <w:szCs w:val="26"/>
                <w:lang w:val="lt-LT"/>
              </w:rPr>
              <w:t>.</w:t>
            </w:r>
            <w:r w:rsidR="00FA4B97">
              <w:rPr>
                <w:sz w:val="26"/>
                <w:szCs w:val="26"/>
                <w:lang w:val="lt-LT"/>
              </w:rPr>
              <w:t>...... 13</w:t>
            </w:r>
            <w:r w:rsidR="00DA25DF">
              <w:rPr>
                <w:sz w:val="26"/>
                <w:szCs w:val="26"/>
                <w:lang w:val="lt-LT"/>
              </w:rPr>
              <w:t>7</w:t>
            </w:r>
          </w:p>
        </w:tc>
      </w:tr>
      <w:tr w:rsidR="00061F14" w:rsidRPr="00001F20" w:rsidTr="00C315FF">
        <w:tc>
          <w:tcPr>
            <w:tcW w:w="8187" w:type="dxa"/>
          </w:tcPr>
          <w:p w:rsidR="00061F14" w:rsidRPr="00001F20" w:rsidRDefault="00061F14" w:rsidP="00FA4B97">
            <w:pPr>
              <w:tabs>
                <w:tab w:val="left" w:pos="567"/>
              </w:tabs>
              <w:spacing w:before="120"/>
              <w:rPr>
                <w:sz w:val="26"/>
                <w:szCs w:val="26"/>
                <w:lang w:val="lt-LT"/>
              </w:rPr>
            </w:pPr>
            <w:r w:rsidRPr="00001F20">
              <w:rPr>
                <w:sz w:val="26"/>
                <w:szCs w:val="26"/>
                <w:lang w:val="lt-LT"/>
              </w:rPr>
              <w:t>2</w:t>
            </w:r>
            <w:r>
              <w:rPr>
                <w:sz w:val="26"/>
                <w:szCs w:val="26"/>
                <w:lang w:val="lt-LT"/>
              </w:rPr>
              <w:t>5</w:t>
            </w:r>
            <w:r w:rsidRPr="00001F20">
              <w:rPr>
                <w:sz w:val="26"/>
                <w:szCs w:val="26"/>
                <w:lang w:val="lt-LT"/>
              </w:rPr>
              <w:t xml:space="preserve"> lentelė UAB „Šiluma“ 2008-12-31 d. balanso turto dalies elementų svarbos vertinimas, tūkst. Lt ...............</w:t>
            </w:r>
            <w:r>
              <w:rPr>
                <w:sz w:val="26"/>
                <w:szCs w:val="26"/>
                <w:lang w:val="lt-LT"/>
              </w:rPr>
              <w:t>......................................................</w:t>
            </w:r>
            <w:r w:rsidR="00FA4B97">
              <w:rPr>
                <w:sz w:val="26"/>
                <w:szCs w:val="26"/>
                <w:lang w:val="lt-LT"/>
              </w:rPr>
              <w:t xml:space="preserve"> 14</w:t>
            </w:r>
            <w:r w:rsidR="00DA25DF">
              <w:rPr>
                <w:sz w:val="26"/>
                <w:szCs w:val="26"/>
                <w:lang w:val="lt-LT"/>
              </w:rPr>
              <w:t>1</w:t>
            </w:r>
          </w:p>
        </w:tc>
      </w:tr>
      <w:tr w:rsidR="00061F14" w:rsidRPr="00001F20" w:rsidTr="00C315FF">
        <w:tc>
          <w:tcPr>
            <w:tcW w:w="8187" w:type="dxa"/>
          </w:tcPr>
          <w:p w:rsidR="00061F14" w:rsidRPr="00001F20" w:rsidRDefault="00061F14" w:rsidP="00DA25DF">
            <w:pPr>
              <w:tabs>
                <w:tab w:val="left" w:pos="567"/>
              </w:tabs>
              <w:spacing w:before="120"/>
              <w:rPr>
                <w:sz w:val="26"/>
                <w:szCs w:val="26"/>
                <w:lang w:val="lt-LT"/>
              </w:rPr>
            </w:pPr>
            <w:r w:rsidRPr="00001F20">
              <w:rPr>
                <w:sz w:val="26"/>
                <w:szCs w:val="26"/>
                <w:lang w:val="lt-LT"/>
              </w:rPr>
              <w:t>2</w:t>
            </w:r>
            <w:r>
              <w:rPr>
                <w:sz w:val="26"/>
                <w:szCs w:val="26"/>
                <w:lang w:val="lt-LT"/>
              </w:rPr>
              <w:t>6</w:t>
            </w:r>
            <w:r w:rsidRPr="00001F20">
              <w:rPr>
                <w:sz w:val="26"/>
                <w:szCs w:val="26"/>
                <w:lang w:val="lt-LT"/>
              </w:rPr>
              <w:t xml:space="preserve"> lentelė UAB „Šiluma“ 2008-12-31 d. balanso nuosavybės ir įsipareigojimų dalies elementų svarbos vertinimas, tūkst. Lt ..........</w:t>
            </w:r>
            <w:r>
              <w:rPr>
                <w:sz w:val="26"/>
                <w:szCs w:val="26"/>
                <w:lang w:val="lt-LT"/>
              </w:rPr>
              <w:t>.........</w:t>
            </w:r>
            <w:r w:rsidR="00FA4B97">
              <w:rPr>
                <w:sz w:val="26"/>
                <w:szCs w:val="26"/>
                <w:lang w:val="lt-LT"/>
              </w:rPr>
              <w:t xml:space="preserve"> 14</w:t>
            </w:r>
            <w:r w:rsidR="00DA25DF">
              <w:rPr>
                <w:sz w:val="26"/>
                <w:szCs w:val="26"/>
                <w:lang w:val="lt-LT"/>
              </w:rPr>
              <w:t>2</w:t>
            </w:r>
          </w:p>
        </w:tc>
      </w:tr>
      <w:tr w:rsidR="00061F14" w:rsidRPr="00001F20" w:rsidTr="00C315FF">
        <w:tc>
          <w:tcPr>
            <w:tcW w:w="8187" w:type="dxa"/>
          </w:tcPr>
          <w:p w:rsidR="00B758CB" w:rsidRDefault="00061F14" w:rsidP="00FA4B97">
            <w:pPr>
              <w:tabs>
                <w:tab w:val="left" w:pos="567"/>
              </w:tabs>
              <w:spacing w:before="120"/>
              <w:rPr>
                <w:sz w:val="26"/>
                <w:szCs w:val="26"/>
                <w:lang w:val="lt-LT"/>
              </w:rPr>
            </w:pPr>
            <w:r>
              <w:rPr>
                <w:sz w:val="26"/>
                <w:szCs w:val="26"/>
                <w:lang w:val="lt-LT"/>
              </w:rPr>
              <w:lastRenderedPageBreak/>
              <w:t>27</w:t>
            </w:r>
            <w:r w:rsidRPr="00001F20">
              <w:rPr>
                <w:sz w:val="26"/>
                <w:szCs w:val="26"/>
                <w:lang w:val="lt-LT"/>
              </w:rPr>
              <w:t xml:space="preserve"> lentelė UAB „Šiluma“ 2008 metų pelno (nuostolių) ataskaitos </w:t>
            </w:r>
          </w:p>
          <w:p w:rsidR="00061F14" w:rsidRPr="00001F20" w:rsidRDefault="00061F14" w:rsidP="00B758CB">
            <w:pPr>
              <w:tabs>
                <w:tab w:val="left" w:pos="567"/>
              </w:tabs>
              <w:rPr>
                <w:sz w:val="26"/>
                <w:szCs w:val="26"/>
                <w:lang w:val="lt-LT"/>
              </w:rPr>
            </w:pPr>
            <w:r w:rsidRPr="00001F20">
              <w:rPr>
                <w:sz w:val="26"/>
                <w:szCs w:val="26"/>
                <w:lang w:val="lt-LT"/>
              </w:rPr>
              <w:t>elementų svarbos vertinimas, tūkst. Lt</w:t>
            </w:r>
            <w:r w:rsidR="00B758CB">
              <w:rPr>
                <w:sz w:val="26"/>
                <w:szCs w:val="26"/>
                <w:lang w:val="lt-LT"/>
              </w:rPr>
              <w:t xml:space="preserve"> </w:t>
            </w:r>
            <w:r w:rsidRPr="00001F20">
              <w:rPr>
                <w:sz w:val="26"/>
                <w:szCs w:val="26"/>
                <w:lang w:val="lt-LT"/>
              </w:rPr>
              <w:t>......................................</w:t>
            </w:r>
            <w:r w:rsidR="00FA4B97">
              <w:rPr>
                <w:sz w:val="26"/>
                <w:szCs w:val="26"/>
                <w:lang w:val="lt-LT"/>
              </w:rPr>
              <w:t>............... 14</w:t>
            </w:r>
            <w:r w:rsidR="00DA25DF">
              <w:rPr>
                <w:sz w:val="26"/>
                <w:szCs w:val="26"/>
                <w:lang w:val="lt-LT"/>
              </w:rPr>
              <w:t>3</w:t>
            </w:r>
          </w:p>
        </w:tc>
      </w:tr>
      <w:tr w:rsidR="00061F14" w:rsidRPr="00001F20" w:rsidTr="00C315FF">
        <w:tc>
          <w:tcPr>
            <w:tcW w:w="8187" w:type="dxa"/>
          </w:tcPr>
          <w:p w:rsidR="00061F14" w:rsidRPr="00001F20" w:rsidRDefault="00061F14" w:rsidP="00FA4B97">
            <w:pPr>
              <w:tabs>
                <w:tab w:val="left" w:pos="567"/>
              </w:tabs>
              <w:spacing w:before="120"/>
              <w:rPr>
                <w:sz w:val="26"/>
                <w:szCs w:val="26"/>
                <w:lang w:val="lt-LT"/>
              </w:rPr>
            </w:pPr>
            <w:r>
              <w:rPr>
                <w:sz w:val="26"/>
                <w:szCs w:val="26"/>
                <w:lang w:val="lt-LT"/>
              </w:rPr>
              <w:t>28</w:t>
            </w:r>
            <w:r w:rsidRPr="00001F20">
              <w:rPr>
                <w:sz w:val="26"/>
                <w:szCs w:val="26"/>
                <w:lang w:val="lt-LT"/>
              </w:rPr>
              <w:t xml:space="preserve"> lentelė </w:t>
            </w:r>
            <w:r>
              <w:rPr>
                <w:sz w:val="26"/>
                <w:szCs w:val="26"/>
                <w:lang w:val="lt-LT"/>
              </w:rPr>
              <w:t>K</w:t>
            </w:r>
            <w:r w:rsidRPr="00001F20">
              <w:rPr>
                <w:sz w:val="26"/>
                <w:szCs w:val="26"/>
                <w:lang w:val="lt-LT"/>
              </w:rPr>
              <w:t>ontrolės procedūr</w:t>
            </w:r>
            <w:r>
              <w:rPr>
                <w:sz w:val="26"/>
                <w:szCs w:val="26"/>
                <w:lang w:val="lt-LT"/>
              </w:rPr>
              <w:t>os</w:t>
            </w:r>
            <w:r w:rsidRPr="00001F20">
              <w:rPr>
                <w:sz w:val="26"/>
                <w:szCs w:val="26"/>
                <w:lang w:val="lt-LT"/>
              </w:rPr>
              <w:t xml:space="preserve"> UAB „Šiluma“ apskaitos proces</w:t>
            </w:r>
            <w:r>
              <w:rPr>
                <w:sz w:val="26"/>
                <w:szCs w:val="26"/>
                <w:lang w:val="lt-LT"/>
              </w:rPr>
              <w:t>uose</w:t>
            </w:r>
            <w:r w:rsidRPr="00001F20">
              <w:rPr>
                <w:sz w:val="26"/>
                <w:szCs w:val="26"/>
                <w:lang w:val="lt-LT"/>
              </w:rPr>
              <w:t xml:space="preserve"> </w:t>
            </w:r>
            <w:r w:rsidR="00FA4B97">
              <w:rPr>
                <w:sz w:val="26"/>
                <w:szCs w:val="26"/>
                <w:lang w:val="lt-LT"/>
              </w:rPr>
              <w:t>... 14</w:t>
            </w:r>
            <w:r w:rsidR="00DA25DF">
              <w:rPr>
                <w:sz w:val="26"/>
                <w:szCs w:val="26"/>
                <w:lang w:val="lt-LT"/>
              </w:rPr>
              <w:t>5</w:t>
            </w:r>
          </w:p>
        </w:tc>
      </w:tr>
      <w:tr w:rsidR="00061F14" w:rsidRPr="00001F20" w:rsidTr="00C315FF">
        <w:tc>
          <w:tcPr>
            <w:tcW w:w="8187" w:type="dxa"/>
          </w:tcPr>
          <w:p w:rsidR="00061F14" w:rsidRPr="00001F20" w:rsidRDefault="00061F14" w:rsidP="00574CBE">
            <w:pPr>
              <w:tabs>
                <w:tab w:val="left" w:pos="567"/>
              </w:tabs>
              <w:spacing w:before="120"/>
              <w:rPr>
                <w:sz w:val="26"/>
                <w:szCs w:val="26"/>
                <w:lang w:val="lt-LT"/>
              </w:rPr>
            </w:pPr>
            <w:r w:rsidRPr="00001F20">
              <w:rPr>
                <w:sz w:val="26"/>
                <w:szCs w:val="26"/>
                <w:lang w:val="lt-LT"/>
              </w:rPr>
              <w:t>2</w:t>
            </w:r>
            <w:r>
              <w:rPr>
                <w:sz w:val="26"/>
                <w:szCs w:val="26"/>
                <w:lang w:val="lt-LT"/>
              </w:rPr>
              <w:t>9</w:t>
            </w:r>
            <w:r w:rsidRPr="00001F20">
              <w:rPr>
                <w:sz w:val="26"/>
                <w:szCs w:val="26"/>
                <w:lang w:val="lt-LT"/>
              </w:rPr>
              <w:t xml:space="preserve"> lentelė UAB „Šiluma“ reikšmingo iškraipymo rizikos tvirtinimo lygmeniu </w:t>
            </w:r>
            <w:r w:rsidR="00574CBE">
              <w:rPr>
                <w:sz w:val="26"/>
                <w:szCs w:val="26"/>
                <w:lang w:val="lt-LT"/>
              </w:rPr>
              <w:t>įvertinimas</w:t>
            </w:r>
            <w:r>
              <w:rPr>
                <w:sz w:val="26"/>
                <w:szCs w:val="26"/>
                <w:lang w:val="lt-LT"/>
              </w:rPr>
              <w:t xml:space="preserve"> </w:t>
            </w:r>
            <w:r w:rsidRPr="00001F20">
              <w:rPr>
                <w:sz w:val="26"/>
                <w:szCs w:val="26"/>
                <w:lang w:val="lt-LT"/>
              </w:rPr>
              <w:t>.</w:t>
            </w:r>
            <w:r>
              <w:rPr>
                <w:sz w:val="26"/>
                <w:szCs w:val="26"/>
                <w:lang w:val="lt-LT"/>
              </w:rPr>
              <w:t>...............................</w:t>
            </w:r>
            <w:r w:rsidR="00574CBE">
              <w:rPr>
                <w:sz w:val="26"/>
                <w:szCs w:val="26"/>
                <w:lang w:val="lt-LT"/>
              </w:rPr>
              <w:t>......</w:t>
            </w:r>
            <w:r>
              <w:rPr>
                <w:sz w:val="26"/>
                <w:szCs w:val="26"/>
                <w:lang w:val="lt-LT"/>
              </w:rPr>
              <w:t>.............................</w:t>
            </w:r>
            <w:r w:rsidR="00FA4B97">
              <w:rPr>
                <w:sz w:val="26"/>
                <w:szCs w:val="26"/>
                <w:lang w:val="lt-LT"/>
              </w:rPr>
              <w:t>............. 14</w:t>
            </w:r>
            <w:r w:rsidR="00DA25DF">
              <w:rPr>
                <w:sz w:val="26"/>
                <w:szCs w:val="26"/>
                <w:lang w:val="lt-LT"/>
              </w:rPr>
              <w:t>6</w:t>
            </w:r>
          </w:p>
        </w:tc>
      </w:tr>
      <w:tr w:rsidR="00061F14" w:rsidRPr="00001F20" w:rsidTr="00C315FF">
        <w:tc>
          <w:tcPr>
            <w:tcW w:w="8187" w:type="dxa"/>
          </w:tcPr>
          <w:p w:rsidR="00C315FF" w:rsidRDefault="00061F14" w:rsidP="00FA4B97">
            <w:pPr>
              <w:pStyle w:val="NormalWeb"/>
              <w:spacing w:before="120" w:beforeAutospacing="0" w:after="0" w:afterAutospacing="0"/>
              <w:rPr>
                <w:sz w:val="26"/>
                <w:szCs w:val="26"/>
                <w:lang w:val="lt-LT"/>
              </w:rPr>
            </w:pPr>
            <w:r>
              <w:rPr>
                <w:sz w:val="26"/>
                <w:szCs w:val="26"/>
                <w:lang w:val="lt-LT"/>
              </w:rPr>
              <w:t>30</w:t>
            </w:r>
            <w:r w:rsidRPr="00001F20">
              <w:rPr>
                <w:sz w:val="26"/>
                <w:szCs w:val="26"/>
                <w:lang w:val="lt-LT"/>
              </w:rPr>
              <w:t xml:space="preserve"> lentelė UAB „Šiluma“ aptikimo rizikos tvirtinimo lygmeniu </w:t>
            </w:r>
          </w:p>
          <w:p w:rsidR="00061F14" w:rsidRPr="00001F20" w:rsidRDefault="00061F14" w:rsidP="00C315FF">
            <w:pPr>
              <w:pStyle w:val="NormalWeb"/>
              <w:spacing w:before="0" w:beforeAutospacing="0" w:after="0" w:afterAutospacing="0"/>
              <w:rPr>
                <w:sz w:val="26"/>
                <w:szCs w:val="26"/>
                <w:lang w:val="lt-LT"/>
              </w:rPr>
            </w:pPr>
            <w:r w:rsidRPr="00001F20">
              <w:rPr>
                <w:sz w:val="26"/>
                <w:szCs w:val="26"/>
                <w:lang w:val="lt-LT"/>
              </w:rPr>
              <w:t>vertinimas</w:t>
            </w:r>
            <w:r w:rsidR="00FA4B97">
              <w:rPr>
                <w:sz w:val="26"/>
                <w:szCs w:val="26"/>
                <w:lang w:val="lt-LT"/>
              </w:rPr>
              <w:t>.................................................................................................. 15</w:t>
            </w:r>
            <w:r w:rsidR="00DA25DF">
              <w:rPr>
                <w:sz w:val="26"/>
                <w:szCs w:val="26"/>
                <w:lang w:val="lt-LT"/>
              </w:rPr>
              <w:t>1</w:t>
            </w:r>
          </w:p>
        </w:tc>
      </w:tr>
      <w:tr w:rsidR="00061F14" w:rsidRPr="00001F20" w:rsidTr="00C315FF">
        <w:tc>
          <w:tcPr>
            <w:tcW w:w="8187" w:type="dxa"/>
          </w:tcPr>
          <w:p w:rsidR="00061F14" w:rsidRPr="00001F20" w:rsidRDefault="00061F14" w:rsidP="00FA4B97">
            <w:pPr>
              <w:pStyle w:val="NormalWeb"/>
              <w:spacing w:before="120" w:beforeAutospacing="0" w:after="0" w:afterAutospacing="0"/>
              <w:rPr>
                <w:sz w:val="26"/>
                <w:szCs w:val="26"/>
                <w:lang w:val="lt-LT"/>
              </w:rPr>
            </w:pPr>
            <w:r>
              <w:rPr>
                <w:sz w:val="26"/>
                <w:szCs w:val="26"/>
                <w:lang w:val="lt-LT"/>
              </w:rPr>
              <w:t>31</w:t>
            </w:r>
            <w:r w:rsidRPr="00001F20">
              <w:rPr>
                <w:sz w:val="26"/>
                <w:szCs w:val="26"/>
                <w:lang w:val="lt-LT"/>
              </w:rPr>
              <w:t xml:space="preserve"> lentelė UAB „Šiluma“ pasiekta audito rizika tvirtinimo lygmeniu .....</w:t>
            </w:r>
            <w:r w:rsidR="00FA4B97">
              <w:rPr>
                <w:sz w:val="26"/>
                <w:szCs w:val="26"/>
                <w:lang w:val="lt-LT"/>
              </w:rPr>
              <w:t xml:space="preserve"> 15</w:t>
            </w:r>
            <w:r w:rsidR="00DA25DF">
              <w:rPr>
                <w:sz w:val="26"/>
                <w:szCs w:val="26"/>
                <w:lang w:val="lt-LT"/>
              </w:rPr>
              <w:t>3</w:t>
            </w:r>
          </w:p>
        </w:tc>
      </w:tr>
      <w:tr w:rsidR="00061F14" w:rsidRPr="00001F20" w:rsidTr="00C315FF">
        <w:tc>
          <w:tcPr>
            <w:tcW w:w="8187" w:type="dxa"/>
          </w:tcPr>
          <w:p w:rsidR="00061F14" w:rsidRPr="00001F20" w:rsidRDefault="00061F14" w:rsidP="00FA4B97">
            <w:pPr>
              <w:tabs>
                <w:tab w:val="left" w:pos="567"/>
              </w:tabs>
              <w:spacing w:before="120"/>
              <w:rPr>
                <w:sz w:val="26"/>
                <w:szCs w:val="26"/>
                <w:lang w:val="lt-LT"/>
              </w:rPr>
            </w:pPr>
            <w:r>
              <w:rPr>
                <w:sz w:val="26"/>
                <w:szCs w:val="26"/>
                <w:lang w:val="lt-LT"/>
              </w:rPr>
              <w:t>32</w:t>
            </w:r>
            <w:r w:rsidRPr="00001F20">
              <w:rPr>
                <w:sz w:val="26"/>
                <w:szCs w:val="26"/>
                <w:lang w:val="lt-LT"/>
              </w:rPr>
              <w:t xml:space="preserve"> lentelė UAB „Žuvila“ vidaus kontrolės sistemos apibūdinimas ........</w:t>
            </w:r>
            <w:r w:rsidR="00FA4B97">
              <w:rPr>
                <w:sz w:val="26"/>
                <w:szCs w:val="26"/>
                <w:lang w:val="lt-LT"/>
              </w:rPr>
              <w:t>. 15</w:t>
            </w:r>
            <w:r w:rsidR="00DA25DF">
              <w:rPr>
                <w:sz w:val="26"/>
                <w:szCs w:val="26"/>
                <w:lang w:val="lt-LT"/>
              </w:rPr>
              <w:t>6</w:t>
            </w:r>
          </w:p>
        </w:tc>
      </w:tr>
      <w:tr w:rsidR="00061F14" w:rsidRPr="00001F20" w:rsidTr="00C315FF">
        <w:tc>
          <w:tcPr>
            <w:tcW w:w="8187" w:type="dxa"/>
          </w:tcPr>
          <w:p w:rsidR="00061F14" w:rsidRPr="00001F20" w:rsidRDefault="00061F14" w:rsidP="00FA4B97">
            <w:pPr>
              <w:tabs>
                <w:tab w:val="left" w:pos="567"/>
              </w:tabs>
              <w:spacing w:before="120"/>
              <w:rPr>
                <w:sz w:val="26"/>
                <w:szCs w:val="26"/>
                <w:lang w:val="lt-LT"/>
              </w:rPr>
            </w:pPr>
            <w:r>
              <w:rPr>
                <w:sz w:val="26"/>
                <w:szCs w:val="26"/>
                <w:lang w:val="lt-LT"/>
              </w:rPr>
              <w:t>33</w:t>
            </w:r>
            <w:r w:rsidRPr="00001F20">
              <w:rPr>
                <w:sz w:val="26"/>
                <w:szCs w:val="26"/>
                <w:lang w:val="lt-LT"/>
              </w:rPr>
              <w:t xml:space="preserve"> lentelė UAB „Žuvila“ 2008-12-31 d. balanso turto dalies elementų svarbos ve</w:t>
            </w:r>
            <w:r>
              <w:rPr>
                <w:sz w:val="26"/>
                <w:szCs w:val="26"/>
                <w:lang w:val="lt-LT"/>
              </w:rPr>
              <w:t>rtinimas, tūkst. Lt ........</w:t>
            </w:r>
            <w:r w:rsidRPr="00001F20">
              <w:rPr>
                <w:sz w:val="26"/>
                <w:szCs w:val="26"/>
                <w:lang w:val="lt-LT"/>
              </w:rPr>
              <w:t>......................</w:t>
            </w:r>
            <w:r w:rsidR="00FA4B97">
              <w:rPr>
                <w:sz w:val="26"/>
                <w:szCs w:val="26"/>
                <w:lang w:val="lt-LT"/>
              </w:rPr>
              <w:t>..............................</w:t>
            </w:r>
            <w:r w:rsidRPr="00001F20">
              <w:rPr>
                <w:sz w:val="26"/>
                <w:szCs w:val="26"/>
                <w:lang w:val="lt-LT"/>
              </w:rPr>
              <w:t>.......</w:t>
            </w:r>
            <w:r w:rsidR="00FA4B97">
              <w:rPr>
                <w:sz w:val="26"/>
                <w:szCs w:val="26"/>
                <w:lang w:val="lt-LT"/>
              </w:rPr>
              <w:t>.</w:t>
            </w:r>
            <w:r w:rsidRPr="00001F20">
              <w:rPr>
                <w:sz w:val="26"/>
                <w:szCs w:val="26"/>
                <w:lang w:val="lt-LT"/>
              </w:rPr>
              <w:t>.</w:t>
            </w:r>
            <w:r w:rsidR="00FA4B97">
              <w:rPr>
                <w:sz w:val="26"/>
                <w:szCs w:val="26"/>
                <w:lang w:val="lt-LT"/>
              </w:rPr>
              <w:t xml:space="preserve"> 1</w:t>
            </w:r>
            <w:r w:rsidR="00DA25DF">
              <w:rPr>
                <w:sz w:val="26"/>
                <w:szCs w:val="26"/>
                <w:lang w:val="lt-LT"/>
              </w:rPr>
              <w:t>59</w:t>
            </w:r>
          </w:p>
        </w:tc>
      </w:tr>
      <w:tr w:rsidR="00061F14" w:rsidRPr="00001F20" w:rsidTr="00C315FF">
        <w:tc>
          <w:tcPr>
            <w:tcW w:w="8187" w:type="dxa"/>
          </w:tcPr>
          <w:p w:rsidR="00061F14" w:rsidRPr="00001F20" w:rsidRDefault="00061F14" w:rsidP="00FA4B97">
            <w:pPr>
              <w:tabs>
                <w:tab w:val="left" w:pos="567"/>
              </w:tabs>
              <w:spacing w:before="120"/>
              <w:rPr>
                <w:sz w:val="26"/>
                <w:szCs w:val="26"/>
                <w:lang w:val="lt-LT"/>
              </w:rPr>
            </w:pPr>
            <w:r>
              <w:rPr>
                <w:sz w:val="26"/>
                <w:szCs w:val="26"/>
                <w:lang w:val="lt-LT"/>
              </w:rPr>
              <w:t>34</w:t>
            </w:r>
            <w:r w:rsidRPr="00001F20">
              <w:rPr>
                <w:sz w:val="26"/>
                <w:szCs w:val="26"/>
                <w:lang w:val="lt-LT"/>
              </w:rPr>
              <w:t xml:space="preserve"> lentelė UAB „Žuvila“ 2008-12-31 d. balanso nuosavybės ir įsipareigojimų dalies elementų svarbos vertinimas, t</w:t>
            </w:r>
            <w:r>
              <w:rPr>
                <w:sz w:val="26"/>
                <w:szCs w:val="26"/>
                <w:lang w:val="lt-LT"/>
              </w:rPr>
              <w:t>ūkst. Lt .</w:t>
            </w:r>
            <w:r w:rsidR="00FA4B97">
              <w:rPr>
                <w:sz w:val="26"/>
                <w:szCs w:val="26"/>
                <w:lang w:val="lt-LT"/>
              </w:rPr>
              <w:t>.................</w:t>
            </w:r>
            <w:r>
              <w:rPr>
                <w:sz w:val="26"/>
                <w:szCs w:val="26"/>
                <w:lang w:val="lt-LT"/>
              </w:rPr>
              <w:t>.</w:t>
            </w:r>
            <w:r w:rsidR="00FA4B97">
              <w:rPr>
                <w:sz w:val="26"/>
                <w:szCs w:val="26"/>
                <w:lang w:val="lt-LT"/>
              </w:rPr>
              <w:t xml:space="preserve"> 16</w:t>
            </w:r>
            <w:r w:rsidR="00DA25DF">
              <w:rPr>
                <w:sz w:val="26"/>
                <w:szCs w:val="26"/>
                <w:lang w:val="lt-LT"/>
              </w:rPr>
              <w:t>0</w:t>
            </w:r>
          </w:p>
        </w:tc>
      </w:tr>
      <w:tr w:rsidR="00061F14" w:rsidRPr="00001F20" w:rsidTr="00C315FF">
        <w:tc>
          <w:tcPr>
            <w:tcW w:w="8187" w:type="dxa"/>
          </w:tcPr>
          <w:p w:rsidR="00C315FF" w:rsidRDefault="00061F14" w:rsidP="00FA4B97">
            <w:pPr>
              <w:tabs>
                <w:tab w:val="left" w:pos="567"/>
              </w:tabs>
              <w:spacing w:before="120"/>
              <w:rPr>
                <w:sz w:val="26"/>
                <w:szCs w:val="26"/>
                <w:lang w:val="lt-LT"/>
              </w:rPr>
            </w:pPr>
            <w:r w:rsidRPr="00001F20">
              <w:rPr>
                <w:sz w:val="26"/>
                <w:szCs w:val="26"/>
                <w:lang w:val="lt-LT"/>
              </w:rPr>
              <w:t>3</w:t>
            </w:r>
            <w:r>
              <w:rPr>
                <w:sz w:val="26"/>
                <w:szCs w:val="26"/>
                <w:lang w:val="lt-LT"/>
              </w:rPr>
              <w:t>5</w:t>
            </w:r>
            <w:r w:rsidRPr="00001F20">
              <w:rPr>
                <w:sz w:val="26"/>
                <w:szCs w:val="26"/>
                <w:lang w:val="lt-LT"/>
              </w:rPr>
              <w:t xml:space="preserve"> lentelė UAB „Žuvila“ 2008 metų pelno (nuostolių) ataskaitos </w:t>
            </w:r>
          </w:p>
          <w:p w:rsidR="00061F14" w:rsidRPr="00001F20" w:rsidRDefault="00061F14" w:rsidP="00C315FF">
            <w:pPr>
              <w:tabs>
                <w:tab w:val="left" w:pos="567"/>
              </w:tabs>
              <w:rPr>
                <w:sz w:val="26"/>
                <w:szCs w:val="26"/>
                <w:lang w:val="lt-LT"/>
              </w:rPr>
            </w:pPr>
            <w:r w:rsidRPr="00001F20">
              <w:rPr>
                <w:sz w:val="26"/>
                <w:szCs w:val="26"/>
                <w:lang w:val="lt-LT"/>
              </w:rPr>
              <w:t xml:space="preserve">elementų svarbos vertinimas, tūkst. Lt </w:t>
            </w:r>
            <w:r>
              <w:rPr>
                <w:sz w:val="26"/>
                <w:szCs w:val="26"/>
                <w:lang w:val="lt-LT"/>
              </w:rPr>
              <w:t>......................</w:t>
            </w:r>
            <w:r w:rsidRPr="00001F20">
              <w:rPr>
                <w:sz w:val="26"/>
                <w:szCs w:val="26"/>
                <w:lang w:val="lt-LT"/>
              </w:rPr>
              <w:t>..............................</w:t>
            </w:r>
            <w:r w:rsidR="00FA4B97">
              <w:rPr>
                <w:sz w:val="26"/>
                <w:szCs w:val="26"/>
                <w:lang w:val="lt-LT"/>
              </w:rPr>
              <w:t>. 16</w:t>
            </w:r>
            <w:r w:rsidR="00DA25DF">
              <w:rPr>
                <w:sz w:val="26"/>
                <w:szCs w:val="26"/>
                <w:lang w:val="lt-LT"/>
              </w:rPr>
              <w:t>2</w:t>
            </w:r>
          </w:p>
        </w:tc>
      </w:tr>
      <w:tr w:rsidR="00061F14" w:rsidRPr="00001F20" w:rsidTr="00C315FF">
        <w:tc>
          <w:tcPr>
            <w:tcW w:w="8187" w:type="dxa"/>
          </w:tcPr>
          <w:p w:rsidR="00061F14" w:rsidRPr="00001F20" w:rsidRDefault="00061F14" w:rsidP="00C315FF">
            <w:pPr>
              <w:tabs>
                <w:tab w:val="left" w:pos="567"/>
              </w:tabs>
              <w:spacing w:before="120"/>
              <w:rPr>
                <w:sz w:val="26"/>
                <w:szCs w:val="26"/>
                <w:lang w:val="lt-LT"/>
              </w:rPr>
            </w:pPr>
            <w:r w:rsidRPr="00001F20">
              <w:rPr>
                <w:sz w:val="26"/>
                <w:szCs w:val="26"/>
                <w:lang w:val="lt-LT"/>
              </w:rPr>
              <w:t>3</w:t>
            </w:r>
            <w:r>
              <w:rPr>
                <w:sz w:val="26"/>
                <w:szCs w:val="26"/>
                <w:lang w:val="lt-LT"/>
              </w:rPr>
              <w:t>6</w:t>
            </w:r>
            <w:r w:rsidRPr="00001F20">
              <w:rPr>
                <w:sz w:val="26"/>
                <w:szCs w:val="26"/>
                <w:lang w:val="lt-LT"/>
              </w:rPr>
              <w:t xml:space="preserve"> lentelė </w:t>
            </w:r>
            <w:r>
              <w:rPr>
                <w:sz w:val="26"/>
                <w:szCs w:val="26"/>
                <w:lang w:val="lt-LT"/>
              </w:rPr>
              <w:t xml:space="preserve">Kontrolės procedūros </w:t>
            </w:r>
            <w:r w:rsidRPr="00001F20">
              <w:rPr>
                <w:sz w:val="26"/>
                <w:szCs w:val="26"/>
                <w:lang w:val="lt-LT"/>
              </w:rPr>
              <w:t>UAB „Žuvila“ apskaitos proces</w:t>
            </w:r>
            <w:r w:rsidR="00C315FF">
              <w:rPr>
                <w:sz w:val="26"/>
                <w:szCs w:val="26"/>
                <w:lang w:val="lt-LT"/>
              </w:rPr>
              <w:t>uose .... 16</w:t>
            </w:r>
            <w:r w:rsidR="00DA25DF">
              <w:rPr>
                <w:sz w:val="26"/>
                <w:szCs w:val="26"/>
                <w:lang w:val="lt-LT"/>
              </w:rPr>
              <w:t>3</w:t>
            </w:r>
          </w:p>
        </w:tc>
      </w:tr>
      <w:tr w:rsidR="00061F14" w:rsidRPr="00001F20" w:rsidTr="00C315FF">
        <w:tc>
          <w:tcPr>
            <w:tcW w:w="8187" w:type="dxa"/>
          </w:tcPr>
          <w:p w:rsidR="00061F14" w:rsidRPr="00001F20" w:rsidRDefault="00061F14" w:rsidP="00C315FF">
            <w:pPr>
              <w:tabs>
                <w:tab w:val="left" w:pos="567"/>
              </w:tabs>
              <w:spacing w:before="120"/>
              <w:rPr>
                <w:sz w:val="26"/>
                <w:szCs w:val="26"/>
                <w:lang w:val="lt-LT"/>
              </w:rPr>
            </w:pPr>
            <w:r w:rsidRPr="00001F20">
              <w:rPr>
                <w:sz w:val="26"/>
                <w:szCs w:val="26"/>
                <w:lang w:val="lt-LT"/>
              </w:rPr>
              <w:t>3</w:t>
            </w:r>
            <w:r>
              <w:rPr>
                <w:sz w:val="26"/>
                <w:szCs w:val="26"/>
                <w:lang w:val="lt-LT"/>
              </w:rPr>
              <w:t>7</w:t>
            </w:r>
            <w:r w:rsidRPr="00001F20">
              <w:rPr>
                <w:sz w:val="26"/>
                <w:szCs w:val="26"/>
                <w:lang w:val="lt-LT"/>
              </w:rPr>
              <w:t xml:space="preserve"> lentelė UAB „Žuvila“ reikšmingo iškraipymo rizikos tvirtinimo lygmeniu </w:t>
            </w:r>
            <w:r w:rsidR="00574CBE">
              <w:rPr>
                <w:sz w:val="26"/>
                <w:szCs w:val="26"/>
                <w:lang w:val="lt-LT"/>
              </w:rPr>
              <w:t>įvertinima</w:t>
            </w:r>
            <w:r w:rsidRPr="00001F20">
              <w:rPr>
                <w:sz w:val="26"/>
                <w:szCs w:val="26"/>
                <w:lang w:val="lt-LT"/>
              </w:rPr>
              <w:t>s</w:t>
            </w:r>
            <w:r>
              <w:rPr>
                <w:sz w:val="26"/>
                <w:szCs w:val="26"/>
                <w:lang w:val="lt-LT"/>
              </w:rPr>
              <w:t xml:space="preserve"> </w:t>
            </w:r>
            <w:r w:rsidRPr="00001F20">
              <w:rPr>
                <w:sz w:val="26"/>
                <w:szCs w:val="26"/>
                <w:lang w:val="lt-LT"/>
              </w:rPr>
              <w:t>..</w:t>
            </w:r>
            <w:r w:rsidR="00574CBE">
              <w:rPr>
                <w:sz w:val="26"/>
                <w:szCs w:val="26"/>
                <w:lang w:val="lt-LT"/>
              </w:rPr>
              <w:t>......</w:t>
            </w:r>
            <w:r>
              <w:rPr>
                <w:sz w:val="26"/>
                <w:szCs w:val="26"/>
                <w:lang w:val="lt-LT"/>
              </w:rPr>
              <w:t>...............................................................</w:t>
            </w:r>
            <w:r w:rsidR="00C315FF">
              <w:rPr>
                <w:sz w:val="26"/>
                <w:szCs w:val="26"/>
                <w:lang w:val="lt-LT"/>
              </w:rPr>
              <w:t>......... 16</w:t>
            </w:r>
            <w:r w:rsidR="00DA25DF">
              <w:rPr>
                <w:sz w:val="26"/>
                <w:szCs w:val="26"/>
                <w:lang w:val="lt-LT"/>
              </w:rPr>
              <w:t>7</w:t>
            </w:r>
          </w:p>
        </w:tc>
      </w:tr>
      <w:tr w:rsidR="00061F14" w:rsidRPr="000352ED" w:rsidTr="00C315FF">
        <w:tc>
          <w:tcPr>
            <w:tcW w:w="8187" w:type="dxa"/>
          </w:tcPr>
          <w:p w:rsidR="00B758CB" w:rsidRDefault="00061F14" w:rsidP="00C315FF">
            <w:pPr>
              <w:tabs>
                <w:tab w:val="left" w:pos="567"/>
              </w:tabs>
              <w:spacing w:before="120"/>
              <w:rPr>
                <w:sz w:val="26"/>
                <w:szCs w:val="26"/>
                <w:lang w:val="lt-LT"/>
              </w:rPr>
            </w:pPr>
            <w:r w:rsidRPr="00001F20">
              <w:rPr>
                <w:sz w:val="26"/>
                <w:szCs w:val="26"/>
                <w:lang w:val="lt-LT"/>
              </w:rPr>
              <w:t>3</w:t>
            </w:r>
            <w:r>
              <w:rPr>
                <w:sz w:val="26"/>
                <w:szCs w:val="26"/>
                <w:lang w:val="lt-LT"/>
              </w:rPr>
              <w:t>8</w:t>
            </w:r>
            <w:r w:rsidRPr="00001F20">
              <w:rPr>
                <w:sz w:val="26"/>
                <w:szCs w:val="26"/>
                <w:lang w:val="lt-LT"/>
              </w:rPr>
              <w:t xml:space="preserve"> lentelė UAB „Žuvila“ aptikimo rizikos tvirtinimo lygmeniu </w:t>
            </w:r>
          </w:p>
          <w:p w:rsidR="00061F14" w:rsidRPr="00001F20" w:rsidRDefault="00061F14" w:rsidP="00B758CB">
            <w:pPr>
              <w:tabs>
                <w:tab w:val="left" w:pos="567"/>
              </w:tabs>
              <w:rPr>
                <w:sz w:val="26"/>
                <w:szCs w:val="26"/>
                <w:lang w:val="lt-LT"/>
              </w:rPr>
            </w:pPr>
            <w:r w:rsidRPr="00001F20">
              <w:rPr>
                <w:sz w:val="26"/>
                <w:szCs w:val="26"/>
                <w:lang w:val="lt-LT"/>
              </w:rPr>
              <w:t xml:space="preserve">vertinimas </w:t>
            </w:r>
            <w:r w:rsidR="00C315FF">
              <w:rPr>
                <w:sz w:val="26"/>
                <w:szCs w:val="26"/>
                <w:lang w:val="lt-LT"/>
              </w:rPr>
              <w:t>................................................................................................. 16</w:t>
            </w:r>
            <w:r w:rsidR="00DA25DF">
              <w:rPr>
                <w:sz w:val="26"/>
                <w:szCs w:val="26"/>
                <w:lang w:val="lt-LT"/>
              </w:rPr>
              <w:t>8</w:t>
            </w:r>
          </w:p>
        </w:tc>
      </w:tr>
      <w:tr w:rsidR="00061F14" w:rsidRPr="00001F20" w:rsidTr="00C315FF">
        <w:tc>
          <w:tcPr>
            <w:tcW w:w="8187" w:type="dxa"/>
          </w:tcPr>
          <w:p w:rsidR="00061F14" w:rsidRPr="00001F20" w:rsidRDefault="00061F14" w:rsidP="00C315FF">
            <w:pPr>
              <w:pStyle w:val="NormalWeb"/>
              <w:spacing w:before="120" w:beforeAutospacing="0" w:after="0" w:afterAutospacing="0"/>
              <w:rPr>
                <w:sz w:val="26"/>
                <w:szCs w:val="26"/>
                <w:lang w:val="lt-LT"/>
              </w:rPr>
            </w:pPr>
            <w:r w:rsidRPr="00001F20">
              <w:rPr>
                <w:sz w:val="26"/>
                <w:szCs w:val="26"/>
                <w:lang w:val="lt-LT"/>
              </w:rPr>
              <w:t>3</w:t>
            </w:r>
            <w:r>
              <w:rPr>
                <w:sz w:val="26"/>
                <w:szCs w:val="26"/>
                <w:lang w:val="lt-LT"/>
              </w:rPr>
              <w:t>9</w:t>
            </w:r>
            <w:r w:rsidRPr="00001F20">
              <w:rPr>
                <w:sz w:val="26"/>
                <w:szCs w:val="26"/>
                <w:lang w:val="lt-LT"/>
              </w:rPr>
              <w:t xml:space="preserve"> lentelė UAB „Žuvila“ pasiekta audito rizika </w:t>
            </w:r>
            <w:r w:rsidR="00C315FF">
              <w:rPr>
                <w:sz w:val="26"/>
                <w:szCs w:val="26"/>
                <w:lang w:val="lt-LT"/>
              </w:rPr>
              <w:t>tvirtinimo lygmeniu ...... 17</w:t>
            </w:r>
            <w:r w:rsidR="00DA25DF">
              <w:rPr>
                <w:sz w:val="26"/>
                <w:szCs w:val="26"/>
                <w:lang w:val="lt-LT"/>
              </w:rPr>
              <w:t>1</w:t>
            </w:r>
          </w:p>
        </w:tc>
      </w:tr>
      <w:tr w:rsidR="00061F14" w:rsidRPr="00001F20" w:rsidTr="00C315FF">
        <w:tc>
          <w:tcPr>
            <w:tcW w:w="8187" w:type="dxa"/>
          </w:tcPr>
          <w:p w:rsidR="00B758CB" w:rsidRDefault="00061F14" w:rsidP="00C315FF">
            <w:pPr>
              <w:tabs>
                <w:tab w:val="left" w:pos="567"/>
              </w:tabs>
              <w:spacing w:before="120"/>
              <w:rPr>
                <w:sz w:val="26"/>
                <w:szCs w:val="26"/>
                <w:lang w:val="lt-LT"/>
              </w:rPr>
            </w:pPr>
            <w:r>
              <w:rPr>
                <w:sz w:val="26"/>
                <w:szCs w:val="26"/>
                <w:lang w:val="lt-LT"/>
              </w:rPr>
              <w:t>40</w:t>
            </w:r>
            <w:r w:rsidRPr="00001F20">
              <w:rPr>
                <w:sz w:val="26"/>
                <w:szCs w:val="26"/>
                <w:lang w:val="lt-LT"/>
              </w:rPr>
              <w:t xml:space="preserve"> lentelė Audito rizikos vertinimo modelio atitikimas iškeltoms </w:t>
            </w:r>
          </w:p>
          <w:p w:rsidR="00061F14" w:rsidRPr="00001F20" w:rsidRDefault="00B758CB" w:rsidP="00B758CB">
            <w:pPr>
              <w:tabs>
                <w:tab w:val="left" w:pos="567"/>
              </w:tabs>
              <w:rPr>
                <w:sz w:val="26"/>
                <w:szCs w:val="26"/>
                <w:lang w:val="lt-LT"/>
              </w:rPr>
            </w:pPr>
            <w:r>
              <w:rPr>
                <w:sz w:val="26"/>
                <w:szCs w:val="26"/>
                <w:lang w:val="lt-LT"/>
              </w:rPr>
              <w:t xml:space="preserve">sąlygoms </w:t>
            </w:r>
            <w:r w:rsidR="00061F14" w:rsidRPr="00001F20">
              <w:rPr>
                <w:sz w:val="26"/>
                <w:szCs w:val="26"/>
                <w:lang w:val="lt-LT"/>
              </w:rPr>
              <w:t>............</w:t>
            </w:r>
            <w:r w:rsidR="00061F14">
              <w:rPr>
                <w:sz w:val="26"/>
                <w:szCs w:val="26"/>
                <w:lang w:val="lt-LT"/>
              </w:rPr>
              <w:t>.......................................................................................</w:t>
            </w:r>
            <w:r w:rsidR="00C315FF">
              <w:rPr>
                <w:sz w:val="26"/>
                <w:szCs w:val="26"/>
                <w:lang w:val="lt-LT"/>
              </w:rPr>
              <w:t xml:space="preserve"> 17</w:t>
            </w:r>
            <w:r w:rsidR="00DA25DF">
              <w:rPr>
                <w:sz w:val="26"/>
                <w:szCs w:val="26"/>
                <w:lang w:val="lt-LT"/>
              </w:rPr>
              <w:t>7</w:t>
            </w:r>
          </w:p>
        </w:tc>
      </w:tr>
    </w:tbl>
    <w:p w:rsidR="00A62A11" w:rsidRDefault="00A62A11">
      <w:pPr>
        <w:rPr>
          <w:b/>
          <w:sz w:val="24"/>
          <w:szCs w:val="24"/>
          <w:lang w:val="lt-LT" w:eastAsia="en-US"/>
        </w:rPr>
      </w:pPr>
      <w:r>
        <w:rPr>
          <w:b/>
          <w:lang w:val="lt-LT"/>
        </w:rPr>
        <w:br w:type="page"/>
      </w:r>
    </w:p>
    <w:p w:rsidR="00A62A11" w:rsidRDefault="00A62A11" w:rsidP="00DB306A">
      <w:pPr>
        <w:pStyle w:val="Heading1"/>
        <w:rPr>
          <w:rFonts w:eastAsiaTheme="minorEastAsia"/>
        </w:rPr>
      </w:pPr>
      <w:bookmarkStart w:id="2" w:name="_Toc253244576"/>
      <w:r w:rsidRPr="00DB306A">
        <w:rPr>
          <w:rFonts w:eastAsiaTheme="minorEastAsia"/>
        </w:rPr>
        <w:lastRenderedPageBreak/>
        <w:t>paveikslų SĄRAŠAS</w:t>
      </w:r>
      <w:bookmarkEnd w:id="2"/>
    </w:p>
    <w:p w:rsidR="0099665D" w:rsidRPr="0099665D" w:rsidRDefault="0099665D" w:rsidP="0099665D">
      <w:pPr>
        <w:rPr>
          <w:rFonts w:eastAsiaTheme="minorEastAsia"/>
          <w:sz w:val="26"/>
          <w:szCs w:val="2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8"/>
      </w:tblGrid>
      <w:tr w:rsidR="00B758CB" w:rsidRPr="0060365B" w:rsidTr="00557D91">
        <w:tc>
          <w:tcPr>
            <w:tcW w:w="8058" w:type="dxa"/>
          </w:tcPr>
          <w:p w:rsidR="00B758CB" w:rsidRPr="0060365B" w:rsidRDefault="00B758CB" w:rsidP="00DA25DF">
            <w:pPr>
              <w:pStyle w:val="NormalWeb"/>
              <w:spacing w:before="120" w:beforeAutospacing="0" w:after="0" w:afterAutospacing="0"/>
              <w:rPr>
                <w:sz w:val="26"/>
                <w:szCs w:val="26"/>
                <w:lang w:val="lt-LT"/>
              </w:rPr>
            </w:pPr>
            <w:r w:rsidRPr="0060365B">
              <w:rPr>
                <w:sz w:val="26"/>
                <w:szCs w:val="26"/>
                <w:lang w:val="lt-LT"/>
              </w:rPr>
              <w:t>1 pav. Rizikos kompensacijos teorijos modelis ....</w:t>
            </w:r>
            <w:r>
              <w:rPr>
                <w:sz w:val="26"/>
                <w:szCs w:val="26"/>
                <w:lang w:val="lt-LT"/>
              </w:rPr>
              <w:t>.......</w:t>
            </w:r>
            <w:r w:rsidRPr="0060365B">
              <w:rPr>
                <w:sz w:val="26"/>
                <w:szCs w:val="26"/>
                <w:lang w:val="lt-LT"/>
              </w:rPr>
              <w:t>..</w:t>
            </w:r>
            <w:r w:rsidR="00DA25DF">
              <w:rPr>
                <w:sz w:val="26"/>
                <w:szCs w:val="26"/>
                <w:lang w:val="lt-LT"/>
              </w:rPr>
              <w:t>........................... 19</w:t>
            </w:r>
          </w:p>
        </w:tc>
      </w:tr>
      <w:tr w:rsidR="00B758CB" w:rsidRPr="0060365B" w:rsidTr="00557D91">
        <w:tc>
          <w:tcPr>
            <w:tcW w:w="8058" w:type="dxa"/>
          </w:tcPr>
          <w:p w:rsidR="00B758CB" w:rsidRPr="0060365B" w:rsidRDefault="00B758CB" w:rsidP="00B758CB">
            <w:pPr>
              <w:pStyle w:val="NormalWeb"/>
              <w:spacing w:before="120" w:beforeAutospacing="0" w:after="0" w:afterAutospacing="0"/>
              <w:rPr>
                <w:sz w:val="26"/>
                <w:szCs w:val="26"/>
                <w:lang w:val="lt-LT"/>
              </w:rPr>
            </w:pPr>
            <w:r w:rsidRPr="0060365B">
              <w:rPr>
                <w:sz w:val="26"/>
                <w:szCs w:val="26"/>
                <w:lang w:val="lt-LT"/>
              </w:rPr>
              <w:t>2 pav. Įmonės rizikos valdymo procesas ....................</w:t>
            </w:r>
            <w:r>
              <w:rPr>
                <w:sz w:val="26"/>
                <w:szCs w:val="26"/>
                <w:lang w:val="lt-LT"/>
              </w:rPr>
              <w:t>.............................. 2</w:t>
            </w:r>
            <w:r w:rsidR="00DA25DF">
              <w:rPr>
                <w:sz w:val="26"/>
                <w:szCs w:val="26"/>
                <w:lang w:val="lt-LT"/>
              </w:rPr>
              <w:t>2</w:t>
            </w:r>
          </w:p>
        </w:tc>
      </w:tr>
      <w:tr w:rsidR="00B758CB" w:rsidRPr="0060365B" w:rsidTr="00557D91">
        <w:tc>
          <w:tcPr>
            <w:tcW w:w="8058" w:type="dxa"/>
          </w:tcPr>
          <w:p w:rsidR="00B758CB" w:rsidRPr="0060365B" w:rsidRDefault="00B758CB" w:rsidP="00A33173">
            <w:pPr>
              <w:spacing w:before="120"/>
              <w:jc w:val="both"/>
              <w:rPr>
                <w:sz w:val="26"/>
                <w:szCs w:val="26"/>
                <w:lang w:val="lt-LT"/>
              </w:rPr>
            </w:pPr>
            <w:r w:rsidRPr="0060365B">
              <w:rPr>
                <w:sz w:val="26"/>
                <w:szCs w:val="26"/>
                <w:lang w:val="lt-LT"/>
              </w:rPr>
              <w:t xml:space="preserve">3 pav. Apgaulės sąlygų </w:t>
            </w:r>
            <w:r>
              <w:rPr>
                <w:sz w:val="26"/>
                <w:szCs w:val="26"/>
                <w:lang w:val="lt-LT"/>
              </w:rPr>
              <w:t>rombas</w:t>
            </w:r>
            <w:r w:rsidRPr="0060365B">
              <w:rPr>
                <w:sz w:val="26"/>
                <w:szCs w:val="26"/>
                <w:lang w:val="lt-LT"/>
              </w:rPr>
              <w:t xml:space="preserve"> ..............................................................</w:t>
            </w:r>
            <w:r>
              <w:rPr>
                <w:sz w:val="26"/>
                <w:szCs w:val="26"/>
                <w:lang w:val="lt-LT"/>
              </w:rPr>
              <w:t>.. 3</w:t>
            </w:r>
            <w:r w:rsidR="00DA25DF">
              <w:rPr>
                <w:sz w:val="26"/>
                <w:szCs w:val="26"/>
                <w:lang w:val="lt-LT"/>
              </w:rPr>
              <w:t>3</w:t>
            </w:r>
          </w:p>
        </w:tc>
      </w:tr>
      <w:tr w:rsidR="00B758CB" w:rsidRPr="0060365B" w:rsidTr="00557D91">
        <w:tc>
          <w:tcPr>
            <w:tcW w:w="8058" w:type="dxa"/>
          </w:tcPr>
          <w:p w:rsidR="00B758CB" w:rsidRPr="0060365B" w:rsidRDefault="00B758CB" w:rsidP="00E37582">
            <w:pPr>
              <w:spacing w:before="120"/>
              <w:rPr>
                <w:sz w:val="26"/>
                <w:szCs w:val="26"/>
                <w:lang w:val="lt-LT"/>
              </w:rPr>
            </w:pPr>
            <w:r w:rsidRPr="0060365B">
              <w:rPr>
                <w:sz w:val="26"/>
                <w:szCs w:val="26"/>
                <w:lang w:val="lt-LT"/>
              </w:rPr>
              <w:t>4 pav. Audito rizikos sampratos principinė schema ...</w:t>
            </w:r>
            <w:r>
              <w:rPr>
                <w:sz w:val="26"/>
                <w:szCs w:val="26"/>
                <w:lang w:val="lt-LT"/>
              </w:rPr>
              <w:t>............................</w:t>
            </w:r>
            <w:r w:rsidRPr="0060365B">
              <w:rPr>
                <w:sz w:val="26"/>
                <w:szCs w:val="26"/>
                <w:lang w:val="lt-LT"/>
              </w:rPr>
              <w:t>..</w:t>
            </w:r>
            <w:r>
              <w:rPr>
                <w:sz w:val="26"/>
                <w:szCs w:val="26"/>
                <w:lang w:val="lt-LT"/>
              </w:rPr>
              <w:t xml:space="preserve"> 3</w:t>
            </w:r>
            <w:r w:rsidR="00DA25DF">
              <w:rPr>
                <w:sz w:val="26"/>
                <w:szCs w:val="26"/>
                <w:lang w:val="lt-LT"/>
              </w:rPr>
              <w:t>7</w:t>
            </w:r>
          </w:p>
        </w:tc>
      </w:tr>
      <w:tr w:rsidR="00B758CB" w:rsidRPr="0060365B" w:rsidTr="00557D91">
        <w:tc>
          <w:tcPr>
            <w:tcW w:w="8058" w:type="dxa"/>
          </w:tcPr>
          <w:p w:rsidR="00B758CB" w:rsidRPr="0060365B" w:rsidRDefault="00B758CB" w:rsidP="00E43F7C">
            <w:pPr>
              <w:spacing w:before="120"/>
              <w:jc w:val="both"/>
              <w:rPr>
                <w:sz w:val="26"/>
                <w:szCs w:val="26"/>
                <w:lang w:val="lt-LT"/>
              </w:rPr>
            </w:pPr>
            <w:r w:rsidRPr="0060365B">
              <w:rPr>
                <w:sz w:val="26"/>
                <w:szCs w:val="26"/>
                <w:lang w:val="lt-LT"/>
              </w:rPr>
              <w:t>5 pav. Audito rizikos komponentai pagal TSA</w:t>
            </w:r>
            <w:r>
              <w:rPr>
                <w:sz w:val="26"/>
                <w:szCs w:val="26"/>
                <w:lang w:val="lt-LT"/>
              </w:rPr>
              <w:t xml:space="preserve"> ..............................</w:t>
            </w:r>
            <w:r w:rsidR="00E43F7C">
              <w:rPr>
                <w:sz w:val="26"/>
                <w:szCs w:val="26"/>
                <w:lang w:val="lt-LT"/>
              </w:rPr>
              <w:t xml:space="preserve">.......... </w:t>
            </w:r>
            <w:r w:rsidR="00DA25DF">
              <w:rPr>
                <w:sz w:val="26"/>
                <w:szCs w:val="26"/>
                <w:lang w:val="lt-LT"/>
              </w:rPr>
              <w:t>39</w:t>
            </w:r>
          </w:p>
        </w:tc>
      </w:tr>
      <w:tr w:rsidR="00B758CB" w:rsidRPr="0060365B" w:rsidTr="00557D91">
        <w:tc>
          <w:tcPr>
            <w:tcW w:w="8058" w:type="dxa"/>
          </w:tcPr>
          <w:p w:rsidR="00B758CB" w:rsidRPr="0060365B" w:rsidRDefault="00B758CB" w:rsidP="00E43F7C">
            <w:pPr>
              <w:spacing w:before="120"/>
              <w:jc w:val="both"/>
              <w:rPr>
                <w:sz w:val="26"/>
                <w:szCs w:val="26"/>
                <w:lang w:val="lt-LT"/>
              </w:rPr>
            </w:pPr>
            <w:r w:rsidRPr="0060365B">
              <w:rPr>
                <w:sz w:val="26"/>
                <w:szCs w:val="26"/>
                <w:lang w:val="lt-LT"/>
              </w:rPr>
              <w:t>6 pav. Įgimtos rizikos priklausomybė nuo finansinių ataskaitų elementų charakteristikų .........</w:t>
            </w:r>
            <w:r>
              <w:rPr>
                <w:sz w:val="26"/>
                <w:szCs w:val="26"/>
                <w:lang w:val="lt-LT"/>
              </w:rPr>
              <w:t>................................................................................</w:t>
            </w:r>
            <w:r w:rsidR="00E43F7C">
              <w:rPr>
                <w:sz w:val="26"/>
                <w:szCs w:val="26"/>
                <w:lang w:val="lt-LT"/>
              </w:rPr>
              <w:t>. 4</w:t>
            </w:r>
            <w:r w:rsidR="00DA25DF">
              <w:rPr>
                <w:sz w:val="26"/>
                <w:szCs w:val="26"/>
                <w:lang w:val="lt-LT"/>
              </w:rPr>
              <w:t>7</w:t>
            </w:r>
          </w:p>
        </w:tc>
      </w:tr>
      <w:tr w:rsidR="00B758CB" w:rsidRPr="0060365B" w:rsidTr="00557D91">
        <w:tc>
          <w:tcPr>
            <w:tcW w:w="8058" w:type="dxa"/>
          </w:tcPr>
          <w:p w:rsidR="00B758CB" w:rsidRPr="0060365B" w:rsidRDefault="00B758CB" w:rsidP="00E43F7C">
            <w:pPr>
              <w:spacing w:before="120"/>
              <w:rPr>
                <w:sz w:val="26"/>
                <w:szCs w:val="26"/>
                <w:lang w:val="lt-LT"/>
              </w:rPr>
            </w:pPr>
            <w:r w:rsidRPr="0060365B">
              <w:rPr>
                <w:sz w:val="26"/>
                <w:szCs w:val="26"/>
                <w:lang w:val="lt-LT"/>
              </w:rPr>
              <w:t>7 pav. COSO vidaus kontrolės sistemos vertinimas pagal CoCo modelio kriterijus .................</w:t>
            </w:r>
            <w:r>
              <w:rPr>
                <w:sz w:val="26"/>
                <w:szCs w:val="26"/>
                <w:lang w:val="lt-LT"/>
              </w:rPr>
              <w:t>...................................................................................</w:t>
            </w:r>
            <w:r w:rsidR="00E43F7C">
              <w:rPr>
                <w:sz w:val="26"/>
                <w:szCs w:val="26"/>
                <w:lang w:val="lt-LT"/>
              </w:rPr>
              <w:t xml:space="preserve"> 5</w:t>
            </w:r>
            <w:r w:rsidR="00DA25DF">
              <w:rPr>
                <w:sz w:val="26"/>
                <w:szCs w:val="26"/>
                <w:lang w:val="lt-LT"/>
              </w:rPr>
              <w:t>5</w:t>
            </w:r>
          </w:p>
        </w:tc>
      </w:tr>
      <w:tr w:rsidR="00B758CB" w:rsidRPr="0060365B" w:rsidTr="00557D91">
        <w:tc>
          <w:tcPr>
            <w:tcW w:w="8058" w:type="dxa"/>
          </w:tcPr>
          <w:p w:rsidR="00B758CB" w:rsidRPr="0060365B" w:rsidRDefault="00B758CB" w:rsidP="00E43F7C">
            <w:pPr>
              <w:spacing w:before="120"/>
              <w:rPr>
                <w:sz w:val="26"/>
                <w:szCs w:val="26"/>
                <w:lang w:val="lt-LT"/>
              </w:rPr>
            </w:pPr>
            <w:r w:rsidRPr="0060365B">
              <w:rPr>
                <w:sz w:val="26"/>
                <w:szCs w:val="26"/>
                <w:lang w:val="lt-LT"/>
              </w:rPr>
              <w:t>8 pav. Audito rizikos komponentų sąveikos schema .</w:t>
            </w:r>
            <w:r w:rsidR="00E43F7C">
              <w:rPr>
                <w:sz w:val="26"/>
                <w:szCs w:val="26"/>
                <w:lang w:val="lt-LT"/>
              </w:rPr>
              <w:t>............................</w:t>
            </w:r>
            <w:r>
              <w:rPr>
                <w:sz w:val="26"/>
                <w:szCs w:val="26"/>
                <w:lang w:val="lt-LT"/>
              </w:rPr>
              <w:t>...</w:t>
            </w:r>
            <w:r w:rsidR="00E43F7C">
              <w:rPr>
                <w:sz w:val="26"/>
                <w:szCs w:val="26"/>
                <w:lang w:val="lt-LT"/>
              </w:rPr>
              <w:t xml:space="preserve"> </w:t>
            </w:r>
            <w:r w:rsidR="00DA25DF">
              <w:rPr>
                <w:sz w:val="26"/>
                <w:szCs w:val="26"/>
                <w:lang w:val="lt-LT"/>
              </w:rPr>
              <w:t>62</w:t>
            </w:r>
          </w:p>
        </w:tc>
      </w:tr>
      <w:tr w:rsidR="00B758CB" w:rsidRPr="0060365B" w:rsidTr="00557D91">
        <w:tc>
          <w:tcPr>
            <w:tcW w:w="8058" w:type="dxa"/>
          </w:tcPr>
          <w:p w:rsidR="00B758CB" w:rsidRPr="0060365B" w:rsidRDefault="00B758CB" w:rsidP="00E43F7C">
            <w:pPr>
              <w:tabs>
                <w:tab w:val="left" w:pos="567"/>
              </w:tabs>
              <w:spacing w:before="120"/>
              <w:rPr>
                <w:sz w:val="26"/>
                <w:szCs w:val="26"/>
                <w:lang w:val="lt-LT"/>
              </w:rPr>
            </w:pPr>
            <w:r w:rsidRPr="0060365B">
              <w:rPr>
                <w:sz w:val="26"/>
                <w:szCs w:val="26"/>
                <w:lang w:val="lt-LT"/>
              </w:rPr>
              <w:t>9 pav. Klasikinis audito rizikos modelis planuojant audito įrodymus ir įvertinant rezultatus .</w:t>
            </w:r>
            <w:r>
              <w:rPr>
                <w:sz w:val="26"/>
                <w:szCs w:val="26"/>
                <w:lang w:val="lt-LT"/>
              </w:rPr>
              <w:t>........</w:t>
            </w:r>
            <w:r w:rsidRPr="0060365B">
              <w:rPr>
                <w:sz w:val="26"/>
                <w:szCs w:val="26"/>
                <w:lang w:val="lt-LT"/>
              </w:rPr>
              <w:t>.......</w:t>
            </w:r>
            <w:r>
              <w:rPr>
                <w:sz w:val="26"/>
                <w:szCs w:val="26"/>
                <w:lang w:val="lt-LT"/>
              </w:rPr>
              <w:t>...........</w:t>
            </w:r>
            <w:r w:rsidRPr="0060365B">
              <w:rPr>
                <w:sz w:val="26"/>
                <w:szCs w:val="26"/>
                <w:lang w:val="lt-LT"/>
              </w:rPr>
              <w:t>......................................................</w:t>
            </w:r>
            <w:r w:rsidR="00E43F7C">
              <w:rPr>
                <w:sz w:val="26"/>
                <w:szCs w:val="26"/>
                <w:lang w:val="lt-LT"/>
              </w:rPr>
              <w:t>. 6</w:t>
            </w:r>
            <w:r w:rsidR="00DA25DF">
              <w:rPr>
                <w:sz w:val="26"/>
                <w:szCs w:val="26"/>
                <w:lang w:val="lt-LT"/>
              </w:rPr>
              <w:t>6</w:t>
            </w:r>
          </w:p>
        </w:tc>
      </w:tr>
      <w:tr w:rsidR="00B758CB" w:rsidRPr="0060365B" w:rsidTr="00557D91">
        <w:tc>
          <w:tcPr>
            <w:tcW w:w="8058" w:type="dxa"/>
          </w:tcPr>
          <w:p w:rsidR="00B758CB" w:rsidRPr="0060365B" w:rsidRDefault="00B758CB" w:rsidP="00E43F7C">
            <w:pPr>
              <w:spacing w:before="120"/>
              <w:rPr>
                <w:sz w:val="26"/>
                <w:szCs w:val="26"/>
                <w:lang w:val="lt-LT"/>
              </w:rPr>
            </w:pPr>
            <w:r w:rsidRPr="0060365B">
              <w:rPr>
                <w:sz w:val="26"/>
                <w:szCs w:val="26"/>
                <w:lang w:val="lt-LT"/>
              </w:rPr>
              <w:t>10 pav. Praplėstas audito rizikos modelis ..........................</w:t>
            </w:r>
            <w:r w:rsidR="00E43F7C">
              <w:rPr>
                <w:sz w:val="26"/>
                <w:szCs w:val="26"/>
                <w:lang w:val="lt-LT"/>
              </w:rPr>
              <w:t>....................... 7</w:t>
            </w:r>
            <w:r w:rsidR="00DA25DF">
              <w:rPr>
                <w:sz w:val="26"/>
                <w:szCs w:val="26"/>
                <w:lang w:val="lt-LT"/>
              </w:rPr>
              <w:t>1</w:t>
            </w:r>
          </w:p>
        </w:tc>
      </w:tr>
      <w:tr w:rsidR="00B758CB" w:rsidRPr="0060365B" w:rsidTr="00557D91">
        <w:tc>
          <w:tcPr>
            <w:tcW w:w="8058" w:type="dxa"/>
          </w:tcPr>
          <w:p w:rsidR="00B758CB" w:rsidRPr="0060365B" w:rsidRDefault="00B758CB" w:rsidP="00E43F7C">
            <w:pPr>
              <w:spacing w:before="120"/>
              <w:rPr>
                <w:sz w:val="26"/>
                <w:szCs w:val="26"/>
                <w:lang w:val="lt-LT"/>
              </w:rPr>
            </w:pPr>
            <w:r w:rsidRPr="0060365B">
              <w:rPr>
                <w:sz w:val="26"/>
                <w:szCs w:val="26"/>
                <w:lang w:val="lt-LT"/>
              </w:rPr>
              <w:t>11 pav. Audito rizikos vertinimo proces</w:t>
            </w:r>
            <w:r w:rsidR="00E43F7C">
              <w:rPr>
                <w:sz w:val="26"/>
                <w:szCs w:val="26"/>
                <w:lang w:val="lt-LT"/>
              </w:rPr>
              <w:t>as pagal ABREMA modelį ....... 8</w:t>
            </w:r>
            <w:r w:rsidR="00DA25DF">
              <w:rPr>
                <w:sz w:val="26"/>
                <w:szCs w:val="26"/>
                <w:lang w:val="lt-LT"/>
              </w:rPr>
              <w:t>0</w:t>
            </w:r>
          </w:p>
        </w:tc>
      </w:tr>
      <w:tr w:rsidR="00B758CB" w:rsidRPr="0060365B" w:rsidTr="00557D91">
        <w:tc>
          <w:tcPr>
            <w:tcW w:w="8058" w:type="dxa"/>
          </w:tcPr>
          <w:p w:rsidR="00B758CB" w:rsidRPr="0060365B" w:rsidRDefault="00B758CB" w:rsidP="00E37582">
            <w:pPr>
              <w:spacing w:before="120"/>
              <w:rPr>
                <w:sz w:val="26"/>
                <w:szCs w:val="26"/>
                <w:lang w:val="lt-LT"/>
              </w:rPr>
            </w:pPr>
            <w:r w:rsidRPr="0060365B">
              <w:rPr>
                <w:sz w:val="26"/>
                <w:szCs w:val="26"/>
                <w:lang w:val="lt-LT"/>
              </w:rPr>
              <w:t>12 pav. V. Beatie, S. Fearnley ir R. Brandt a</w:t>
            </w:r>
            <w:r w:rsidR="00E43F7C">
              <w:rPr>
                <w:sz w:val="26"/>
                <w:szCs w:val="26"/>
                <w:lang w:val="lt-LT"/>
              </w:rPr>
              <w:t>udito rizikos modelis ......... 8</w:t>
            </w:r>
            <w:r w:rsidR="00DA25DF">
              <w:rPr>
                <w:sz w:val="26"/>
                <w:szCs w:val="26"/>
                <w:lang w:val="lt-LT"/>
              </w:rPr>
              <w:t>2</w:t>
            </w:r>
          </w:p>
        </w:tc>
      </w:tr>
      <w:tr w:rsidR="00B758CB" w:rsidRPr="0060365B" w:rsidTr="00557D91">
        <w:tc>
          <w:tcPr>
            <w:tcW w:w="8058" w:type="dxa"/>
          </w:tcPr>
          <w:p w:rsidR="00B758CB" w:rsidRPr="0060365B" w:rsidRDefault="00B758CB" w:rsidP="00E43F7C">
            <w:pPr>
              <w:spacing w:before="120"/>
              <w:rPr>
                <w:sz w:val="26"/>
                <w:szCs w:val="26"/>
                <w:lang w:val="lt-LT"/>
              </w:rPr>
            </w:pPr>
            <w:r w:rsidRPr="0060365B">
              <w:rPr>
                <w:sz w:val="26"/>
                <w:szCs w:val="26"/>
                <w:lang w:val="lt-LT"/>
              </w:rPr>
              <w:t>13 pav. Audito rizikos modelis su apgaulės rizi</w:t>
            </w:r>
            <w:r w:rsidR="00E43F7C">
              <w:rPr>
                <w:sz w:val="26"/>
                <w:szCs w:val="26"/>
                <w:lang w:val="lt-LT"/>
              </w:rPr>
              <w:t>kos vertinimu ................. 8</w:t>
            </w:r>
            <w:r w:rsidR="00DA25DF">
              <w:rPr>
                <w:sz w:val="26"/>
                <w:szCs w:val="26"/>
                <w:lang w:val="lt-LT"/>
              </w:rPr>
              <w:t>5</w:t>
            </w:r>
          </w:p>
        </w:tc>
      </w:tr>
      <w:tr w:rsidR="00B758CB" w:rsidRPr="0060365B" w:rsidTr="00557D91">
        <w:tc>
          <w:tcPr>
            <w:tcW w:w="8058" w:type="dxa"/>
          </w:tcPr>
          <w:p w:rsidR="00B758CB" w:rsidRPr="0060365B" w:rsidRDefault="00B758CB" w:rsidP="00E43F7C">
            <w:pPr>
              <w:spacing w:before="120"/>
              <w:rPr>
                <w:sz w:val="26"/>
                <w:szCs w:val="26"/>
                <w:lang w:val="lt-LT"/>
              </w:rPr>
            </w:pPr>
            <w:r w:rsidRPr="0060365B">
              <w:rPr>
                <w:sz w:val="26"/>
                <w:szCs w:val="26"/>
                <w:lang w:val="lt-LT"/>
              </w:rPr>
              <w:t>14 pav. Trianguliacijos požiūrio taikymas vertinant audito riziką ...........</w:t>
            </w:r>
            <w:r w:rsidR="00E43F7C">
              <w:rPr>
                <w:sz w:val="26"/>
                <w:szCs w:val="26"/>
                <w:lang w:val="lt-LT"/>
              </w:rPr>
              <w:t xml:space="preserve"> 8</w:t>
            </w:r>
            <w:r w:rsidR="00DA25DF">
              <w:rPr>
                <w:sz w:val="26"/>
                <w:szCs w:val="26"/>
                <w:lang w:val="lt-LT"/>
              </w:rPr>
              <w:t>6</w:t>
            </w:r>
          </w:p>
        </w:tc>
      </w:tr>
      <w:tr w:rsidR="00B758CB" w:rsidRPr="0060365B" w:rsidTr="00557D91">
        <w:tc>
          <w:tcPr>
            <w:tcW w:w="8058" w:type="dxa"/>
          </w:tcPr>
          <w:p w:rsidR="00B758CB" w:rsidRPr="0060365B" w:rsidRDefault="00B758CB" w:rsidP="00DA25DF">
            <w:pPr>
              <w:spacing w:before="120"/>
              <w:rPr>
                <w:sz w:val="26"/>
                <w:szCs w:val="26"/>
                <w:lang w:val="lt-LT"/>
              </w:rPr>
            </w:pPr>
            <w:r w:rsidRPr="0060365B">
              <w:rPr>
                <w:sz w:val="26"/>
                <w:szCs w:val="26"/>
                <w:lang w:val="lt-LT"/>
              </w:rPr>
              <w:t>15 pav. Audito rizikos ir reikšmingo iškraipymo rizikų vertinimo apribojimai ........................</w:t>
            </w:r>
            <w:r>
              <w:rPr>
                <w:sz w:val="26"/>
                <w:szCs w:val="26"/>
                <w:lang w:val="lt-LT"/>
              </w:rPr>
              <w:t>......................................................................</w:t>
            </w:r>
            <w:r w:rsidR="00DA25DF">
              <w:rPr>
                <w:sz w:val="26"/>
                <w:szCs w:val="26"/>
                <w:lang w:val="lt-LT"/>
              </w:rPr>
              <w:t>.. 99</w:t>
            </w:r>
          </w:p>
        </w:tc>
      </w:tr>
      <w:tr w:rsidR="00B758CB" w:rsidRPr="0060365B" w:rsidTr="00557D91">
        <w:tc>
          <w:tcPr>
            <w:tcW w:w="8058" w:type="dxa"/>
          </w:tcPr>
          <w:p w:rsidR="00B758CB" w:rsidRPr="0060365B" w:rsidRDefault="00B758CB" w:rsidP="00DA25DF">
            <w:pPr>
              <w:spacing w:before="120"/>
              <w:rPr>
                <w:sz w:val="26"/>
                <w:szCs w:val="26"/>
                <w:lang w:val="lt-LT"/>
              </w:rPr>
            </w:pPr>
            <w:r w:rsidRPr="0060365B">
              <w:rPr>
                <w:sz w:val="26"/>
                <w:szCs w:val="26"/>
                <w:lang w:val="lt-LT"/>
              </w:rPr>
              <w:t>16 pav. Klasikinio audito rizikos modelio taikymo priežastys ......</w:t>
            </w:r>
            <w:r w:rsidR="00E43F7C">
              <w:rPr>
                <w:sz w:val="26"/>
                <w:szCs w:val="26"/>
                <w:lang w:val="lt-LT"/>
              </w:rPr>
              <w:t>......... 10</w:t>
            </w:r>
            <w:r w:rsidR="00DA25DF">
              <w:rPr>
                <w:sz w:val="26"/>
                <w:szCs w:val="26"/>
                <w:lang w:val="lt-LT"/>
              </w:rPr>
              <w:t>2</w:t>
            </w:r>
          </w:p>
        </w:tc>
      </w:tr>
      <w:tr w:rsidR="00B758CB" w:rsidRPr="0060365B" w:rsidTr="00557D91">
        <w:tc>
          <w:tcPr>
            <w:tcW w:w="8058" w:type="dxa"/>
          </w:tcPr>
          <w:p w:rsidR="00B758CB" w:rsidRPr="0060365B" w:rsidRDefault="00B758CB" w:rsidP="00E43F7C">
            <w:pPr>
              <w:spacing w:before="120"/>
              <w:rPr>
                <w:sz w:val="26"/>
                <w:szCs w:val="26"/>
                <w:lang w:val="lt-LT"/>
              </w:rPr>
            </w:pPr>
            <w:r w:rsidRPr="0060365B">
              <w:rPr>
                <w:sz w:val="26"/>
                <w:szCs w:val="26"/>
                <w:lang w:val="lt-LT"/>
              </w:rPr>
              <w:t>17 pav. Audito rizikos komponentų vert</w:t>
            </w:r>
            <w:r w:rsidR="00DA25DF">
              <w:rPr>
                <w:sz w:val="26"/>
                <w:szCs w:val="26"/>
                <w:lang w:val="lt-LT"/>
              </w:rPr>
              <w:t>inimo praktika audito procese.</w:t>
            </w:r>
            <w:r w:rsidR="00E43F7C">
              <w:rPr>
                <w:sz w:val="26"/>
                <w:szCs w:val="26"/>
                <w:lang w:val="lt-LT"/>
              </w:rPr>
              <w:t>. 10</w:t>
            </w:r>
            <w:r w:rsidR="00DA25DF">
              <w:rPr>
                <w:sz w:val="26"/>
                <w:szCs w:val="26"/>
                <w:lang w:val="lt-LT"/>
              </w:rPr>
              <w:t>4</w:t>
            </w:r>
          </w:p>
        </w:tc>
      </w:tr>
      <w:tr w:rsidR="00B758CB" w:rsidRPr="0060365B" w:rsidTr="00557D91">
        <w:tc>
          <w:tcPr>
            <w:tcW w:w="8058" w:type="dxa"/>
          </w:tcPr>
          <w:p w:rsidR="00557D91" w:rsidRDefault="00B758CB" w:rsidP="00E43F7C">
            <w:pPr>
              <w:spacing w:before="120"/>
              <w:rPr>
                <w:sz w:val="26"/>
                <w:szCs w:val="26"/>
                <w:lang w:val="lt-LT"/>
              </w:rPr>
            </w:pPr>
            <w:r w:rsidRPr="0060365B">
              <w:rPr>
                <w:sz w:val="26"/>
                <w:szCs w:val="26"/>
                <w:lang w:val="lt-LT"/>
              </w:rPr>
              <w:t xml:space="preserve">18 pav. Rizikos, svarbios klasikinio audito rizikos modelio </w:t>
            </w:r>
          </w:p>
          <w:p w:rsidR="00B758CB" w:rsidRPr="0060365B" w:rsidRDefault="00557D91" w:rsidP="00DA25DF">
            <w:pPr>
              <w:rPr>
                <w:sz w:val="26"/>
                <w:szCs w:val="26"/>
                <w:lang w:val="lt-LT"/>
              </w:rPr>
            </w:pPr>
            <w:r>
              <w:rPr>
                <w:sz w:val="26"/>
                <w:szCs w:val="26"/>
                <w:lang w:val="lt-LT"/>
              </w:rPr>
              <w:t>t</w:t>
            </w:r>
            <w:r w:rsidR="00B758CB" w:rsidRPr="0060365B">
              <w:rPr>
                <w:sz w:val="26"/>
                <w:szCs w:val="26"/>
                <w:lang w:val="lt-LT"/>
              </w:rPr>
              <w:t>obulinimui</w:t>
            </w:r>
            <w:r>
              <w:rPr>
                <w:sz w:val="26"/>
                <w:szCs w:val="26"/>
                <w:lang w:val="lt-LT"/>
              </w:rPr>
              <w:t xml:space="preserve"> .............................................................................................</w:t>
            </w:r>
            <w:r w:rsidR="00E43F7C">
              <w:rPr>
                <w:sz w:val="26"/>
                <w:szCs w:val="26"/>
                <w:lang w:val="lt-LT"/>
              </w:rPr>
              <w:t xml:space="preserve"> 10</w:t>
            </w:r>
            <w:r w:rsidR="00DA25DF">
              <w:rPr>
                <w:sz w:val="26"/>
                <w:szCs w:val="26"/>
                <w:lang w:val="lt-LT"/>
              </w:rPr>
              <w:t>6</w:t>
            </w:r>
          </w:p>
        </w:tc>
      </w:tr>
      <w:tr w:rsidR="00B758CB" w:rsidRPr="0060365B" w:rsidTr="00557D91">
        <w:tc>
          <w:tcPr>
            <w:tcW w:w="8058" w:type="dxa"/>
          </w:tcPr>
          <w:p w:rsidR="00B758CB" w:rsidRPr="0060365B" w:rsidRDefault="00B758CB" w:rsidP="00557D91">
            <w:pPr>
              <w:spacing w:before="120"/>
              <w:rPr>
                <w:sz w:val="26"/>
                <w:szCs w:val="26"/>
                <w:lang w:val="lt-LT"/>
              </w:rPr>
            </w:pPr>
            <w:r w:rsidRPr="0060365B">
              <w:rPr>
                <w:sz w:val="26"/>
                <w:szCs w:val="26"/>
                <w:lang w:val="lt-LT"/>
              </w:rPr>
              <w:t>19 pav. Audito rizikos vertinimo modelio struktū</w:t>
            </w:r>
            <w:r w:rsidR="00557D91">
              <w:rPr>
                <w:sz w:val="26"/>
                <w:szCs w:val="26"/>
                <w:lang w:val="lt-LT"/>
              </w:rPr>
              <w:t>rograma .................... 11</w:t>
            </w:r>
            <w:r w:rsidR="00DA25DF">
              <w:rPr>
                <w:sz w:val="26"/>
                <w:szCs w:val="26"/>
                <w:lang w:val="lt-LT"/>
              </w:rPr>
              <w:t>3</w:t>
            </w:r>
          </w:p>
        </w:tc>
      </w:tr>
      <w:tr w:rsidR="00B758CB" w:rsidRPr="0060365B" w:rsidTr="00557D91">
        <w:tc>
          <w:tcPr>
            <w:tcW w:w="8058" w:type="dxa"/>
          </w:tcPr>
          <w:p w:rsidR="00B758CB" w:rsidRPr="0060365B" w:rsidRDefault="00B758CB" w:rsidP="00557D91">
            <w:pPr>
              <w:spacing w:before="120"/>
              <w:rPr>
                <w:sz w:val="26"/>
                <w:szCs w:val="26"/>
                <w:lang w:val="lt-LT"/>
              </w:rPr>
            </w:pPr>
            <w:r w:rsidRPr="0060365B">
              <w:rPr>
                <w:sz w:val="26"/>
                <w:szCs w:val="26"/>
                <w:lang w:val="lt-LT"/>
              </w:rPr>
              <w:t>20 pav. Audito rizikos vertinimo schema ...............................................</w:t>
            </w:r>
            <w:r w:rsidR="00557D91">
              <w:rPr>
                <w:sz w:val="26"/>
                <w:szCs w:val="26"/>
                <w:lang w:val="lt-LT"/>
              </w:rPr>
              <w:t xml:space="preserve"> 12</w:t>
            </w:r>
            <w:r w:rsidR="00DA25DF">
              <w:rPr>
                <w:sz w:val="26"/>
                <w:szCs w:val="26"/>
                <w:lang w:val="lt-LT"/>
              </w:rPr>
              <w:t>6</w:t>
            </w:r>
          </w:p>
        </w:tc>
      </w:tr>
      <w:tr w:rsidR="00B758CB" w:rsidRPr="0060365B" w:rsidTr="00557D91">
        <w:tc>
          <w:tcPr>
            <w:tcW w:w="8058" w:type="dxa"/>
          </w:tcPr>
          <w:p w:rsidR="00B758CB" w:rsidRPr="0060365B" w:rsidRDefault="00B758CB" w:rsidP="00E37582">
            <w:pPr>
              <w:spacing w:before="120"/>
              <w:rPr>
                <w:sz w:val="26"/>
                <w:szCs w:val="26"/>
                <w:lang w:val="lt-LT"/>
              </w:rPr>
            </w:pPr>
            <w:r w:rsidRPr="0060365B">
              <w:rPr>
                <w:sz w:val="26"/>
                <w:szCs w:val="26"/>
                <w:lang w:val="lt-LT"/>
              </w:rPr>
              <w:t>21 pav. Audito rizikos vertinimo schema (patiksli</w:t>
            </w:r>
            <w:r w:rsidR="00557D91">
              <w:rPr>
                <w:sz w:val="26"/>
                <w:szCs w:val="26"/>
                <w:lang w:val="lt-LT"/>
              </w:rPr>
              <w:t>nta) .......................... 17</w:t>
            </w:r>
            <w:r w:rsidR="00DA25DF">
              <w:rPr>
                <w:sz w:val="26"/>
                <w:szCs w:val="26"/>
                <w:lang w:val="lt-LT"/>
              </w:rPr>
              <w:t>4</w:t>
            </w:r>
          </w:p>
        </w:tc>
      </w:tr>
      <w:tr w:rsidR="00B758CB" w:rsidRPr="0060365B" w:rsidTr="00557D91">
        <w:tc>
          <w:tcPr>
            <w:tcW w:w="8058" w:type="dxa"/>
          </w:tcPr>
          <w:p w:rsidR="00B758CB" w:rsidRPr="0060365B" w:rsidRDefault="00B758CB" w:rsidP="00CE414B">
            <w:pPr>
              <w:spacing w:before="120"/>
              <w:rPr>
                <w:sz w:val="26"/>
                <w:szCs w:val="26"/>
                <w:lang w:val="lt-LT"/>
              </w:rPr>
            </w:pPr>
            <w:r>
              <w:rPr>
                <w:sz w:val="26"/>
                <w:szCs w:val="26"/>
                <w:lang w:val="lt-LT"/>
              </w:rPr>
              <w:t xml:space="preserve">22 pav. </w:t>
            </w:r>
            <w:r w:rsidRPr="0060365B">
              <w:rPr>
                <w:sz w:val="26"/>
                <w:szCs w:val="26"/>
                <w:lang w:val="lt-LT"/>
              </w:rPr>
              <w:t xml:space="preserve">Audito rizikos vertinimo </w:t>
            </w:r>
            <w:r>
              <w:rPr>
                <w:sz w:val="26"/>
                <w:szCs w:val="26"/>
                <w:lang w:val="lt-LT"/>
              </w:rPr>
              <w:t>modelio struktūra</w:t>
            </w:r>
            <w:r w:rsidRPr="0060365B">
              <w:rPr>
                <w:sz w:val="26"/>
                <w:szCs w:val="26"/>
                <w:lang w:val="lt-LT"/>
              </w:rPr>
              <w:t xml:space="preserve"> ..</w:t>
            </w:r>
            <w:r>
              <w:rPr>
                <w:sz w:val="26"/>
                <w:szCs w:val="26"/>
                <w:lang w:val="lt-LT"/>
              </w:rPr>
              <w:t>..........</w:t>
            </w:r>
            <w:r w:rsidR="00557D91">
              <w:rPr>
                <w:sz w:val="26"/>
                <w:szCs w:val="26"/>
                <w:lang w:val="lt-LT"/>
              </w:rPr>
              <w:t>.................. 17</w:t>
            </w:r>
            <w:r w:rsidR="00DA25DF">
              <w:rPr>
                <w:sz w:val="26"/>
                <w:szCs w:val="26"/>
                <w:lang w:val="lt-LT"/>
              </w:rPr>
              <w:t>6</w:t>
            </w:r>
          </w:p>
        </w:tc>
      </w:tr>
    </w:tbl>
    <w:p w:rsidR="008B0BEA" w:rsidRDefault="008B0BEA" w:rsidP="00F82CA1">
      <w:pPr>
        <w:pStyle w:val="Heading1"/>
        <w:jc w:val="left"/>
        <w:rPr>
          <w:lang w:val="lt-LT"/>
        </w:rPr>
      </w:pPr>
      <w:bookmarkStart w:id="3" w:name="_Toc70063215"/>
      <w:bookmarkStart w:id="4" w:name="_Toc72067635"/>
      <w:bookmarkStart w:id="5" w:name="_Toc72067790"/>
      <w:bookmarkStart w:id="6" w:name="_Toc72497288"/>
    </w:p>
    <w:p w:rsidR="00B20C1B" w:rsidRDefault="00B20C1B">
      <w:pPr>
        <w:rPr>
          <w:sz w:val="24"/>
          <w:szCs w:val="24"/>
          <w:lang w:val="lt-LT" w:eastAsia="en-US"/>
        </w:rPr>
      </w:pPr>
      <w:r>
        <w:rPr>
          <w:sz w:val="24"/>
          <w:szCs w:val="24"/>
          <w:lang w:val="lt-LT" w:eastAsia="en-US"/>
        </w:rPr>
        <w:br w:type="page"/>
      </w:r>
    </w:p>
    <w:p w:rsidR="00AE6584" w:rsidRPr="00E37582" w:rsidRDefault="00DD5CC6" w:rsidP="00DB306A">
      <w:pPr>
        <w:pStyle w:val="Heading1"/>
      </w:pPr>
      <w:bookmarkStart w:id="7" w:name="_Toc253244577"/>
      <w:r w:rsidRPr="00E37582">
        <w:lastRenderedPageBreak/>
        <w:t>ĮVADAS</w:t>
      </w:r>
      <w:bookmarkEnd w:id="7"/>
    </w:p>
    <w:p w:rsidR="001B72E0" w:rsidRDefault="001B72E0" w:rsidP="001B72E0">
      <w:pPr>
        <w:spacing w:before="240" w:line="360" w:lineRule="auto"/>
        <w:ind w:firstLine="720"/>
        <w:jc w:val="both"/>
        <w:rPr>
          <w:sz w:val="26"/>
          <w:szCs w:val="26"/>
          <w:lang w:val="lt-LT"/>
        </w:rPr>
      </w:pPr>
      <w:r w:rsidRPr="0060365B">
        <w:rPr>
          <w:b/>
          <w:sz w:val="26"/>
          <w:szCs w:val="26"/>
          <w:lang w:val="lt-LT"/>
        </w:rPr>
        <w:t>Temos aktualumas.</w:t>
      </w:r>
      <w:r w:rsidRPr="0060365B">
        <w:rPr>
          <w:i/>
          <w:sz w:val="26"/>
          <w:szCs w:val="26"/>
          <w:lang w:val="lt-LT"/>
        </w:rPr>
        <w:t xml:space="preserve"> </w:t>
      </w:r>
      <w:r w:rsidRPr="0060365B">
        <w:rPr>
          <w:sz w:val="26"/>
          <w:szCs w:val="26"/>
          <w:lang w:val="lt-LT"/>
        </w:rPr>
        <w:t xml:space="preserve">Verslo aplinka nuolat keičiasi ir sudėtingėja. </w:t>
      </w:r>
      <w:r>
        <w:rPr>
          <w:sz w:val="26"/>
          <w:szCs w:val="26"/>
          <w:lang w:val="lt-LT"/>
        </w:rPr>
        <w:t>G</w:t>
      </w:r>
      <w:r w:rsidRPr="0060365B">
        <w:rPr>
          <w:sz w:val="26"/>
          <w:szCs w:val="26"/>
          <w:lang w:val="lt-LT"/>
        </w:rPr>
        <w:t>lobalizacijos ir technologij</w:t>
      </w:r>
      <w:r>
        <w:rPr>
          <w:sz w:val="26"/>
          <w:szCs w:val="26"/>
          <w:lang w:val="lt-LT"/>
        </w:rPr>
        <w:t>ų sukelti</w:t>
      </w:r>
      <w:r w:rsidRPr="0060365B">
        <w:rPr>
          <w:sz w:val="26"/>
          <w:szCs w:val="26"/>
          <w:lang w:val="lt-LT"/>
        </w:rPr>
        <w:t xml:space="preserve"> verslo </w:t>
      </w:r>
      <w:r>
        <w:rPr>
          <w:sz w:val="26"/>
          <w:szCs w:val="26"/>
          <w:lang w:val="lt-LT"/>
        </w:rPr>
        <w:t>pokyčiai, didėjantis</w:t>
      </w:r>
      <w:r w:rsidRPr="0060365B">
        <w:rPr>
          <w:sz w:val="26"/>
          <w:szCs w:val="26"/>
          <w:lang w:val="lt-LT"/>
        </w:rPr>
        <w:t xml:space="preserve"> </w:t>
      </w:r>
      <w:r>
        <w:rPr>
          <w:sz w:val="26"/>
          <w:szCs w:val="26"/>
          <w:lang w:val="lt-LT"/>
        </w:rPr>
        <w:t xml:space="preserve">subjektyvių </w:t>
      </w:r>
      <w:r w:rsidRPr="0060365B">
        <w:rPr>
          <w:sz w:val="26"/>
          <w:szCs w:val="26"/>
          <w:lang w:val="lt-LT"/>
        </w:rPr>
        <w:t>sprendim</w:t>
      </w:r>
      <w:r>
        <w:rPr>
          <w:sz w:val="26"/>
          <w:szCs w:val="26"/>
          <w:lang w:val="lt-LT"/>
        </w:rPr>
        <w:t>ų</w:t>
      </w:r>
      <w:r w:rsidRPr="0060365B">
        <w:rPr>
          <w:sz w:val="26"/>
          <w:szCs w:val="26"/>
          <w:lang w:val="lt-LT"/>
        </w:rPr>
        <w:t xml:space="preserve"> ir įvertinimų naudojim</w:t>
      </w:r>
      <w:r>
        <w:rPr>
          <w:sz w:val="26"/>
          <w:szCs w:val="26"/>
          <w:lang w:val="lt-LT"/>
        </w:rPr>
        <w:t>as</w:t>
      </w:r>
      <w:r w:rsidRPr="0060365B">
        <w:rPr>
          <w:sz w:val="26"/>
          <w:szCs w:val="26"/>
          <w:lang w:val="lt-LT"/>
        </w:rPr>
        <w:t xml:space="preserve"> sudarant finansines ataskaitas</w:t>
      </w:r>
      <w:r>
        <w:rPr>
          <w:sz w:val="26"/>
          <w:szCs w:val="26"/>
          <w:lang w:val="lt-LT"/>
        </w:rPr>
        <w:t>,</w:t>
      </w:r>
      <w:r w:rsidRPr="0060365B">
        <w:rPr>
          <w:sz w:val="26"/>
          <w:szCs w:val="26"/>
          <w:lang w:val="lt-LT"/>
        </w:rPr>
        <w:t xml:space="preserve"> lemia spaudimą, kuri</w:t>
      </w:r>
      <w:r>
        <w:rPr>
          <w:sz w:val="26"/>
          <w:szCs w:val="26"/>
          <w:lang w:val="lt-LT"/>
        </w:rPr>
        <w:t>o dažna išvada –</w:t>
      </w:r>
      <w:r w:rsidRPr="0060365B">
        <w:rPr>
          <w:sz w:val="26"/>
          <w:szCs w:val="26"/>
          <w:lang w:val="lt-LT"/>
        </w:rPr>
        <w:t xml:space="preserve"> apgaul</w:t>
      </w:r>
      <w:r>
        <w:rPr>
          <w:sz w:val="26"/>
          <w:szCs w:val="26"/>
          <w:lang w:val="lt-LT"/>
        </w:rPr>
        <w:t xml:space="preserve">ingos </w:t>
      </w:r>
      <w:r w:rsidRPr="0060365B">
        <w:rPr>
          <w:sz w:val="26"/>
          <w:szCs w:val="26"/>
          <w:lang w:val="lt-LT"/>
        </w:rPr>
        <w:t>finansin</w:t>
      </w:r>
      <w:r>
        <w:rPr>
          <w:sz w:val="26"/>
          <w:szCs w:val="26"/>
          <w:lang w:val="lt-LT"/>
        </w:rPr>
        <w:t>ės</w:t>
      </w:r>
      <w:r w:rsidRPr="0060365B">
        <w:rPr>
          <w:sz w:val="26"/>
          <w:szCs w:val="26"/>
          <w:lang w:val="lt-LT"/>
        </w:rPr>
        <w:t xml:space="preserve"> ataskait</w:t>
      </w:r>
      <w:r>
        <w:rPr>
          <w:sz w:val="26"/>
          <w:szCs w:val="26"/>
          <w:lang w:val="lt-LT"/>
        </w:rPr>
        <w:t>os. Apgaulės būdu siekimas pagerinti įmonės finansinę būklę anksčiau ar vėliau priveda prie jos bankroto</w:t>
      </w:r>
      <w:r w:rsidRPr="0060365B">
        <w:rPr>
          <w:sz w:val="26"/>
          <w:szCs w:val="26"/>
          <w:lang w:val="lt-LT"/>
        </w:rPr>
        <w:t>. Tai įrodo ir stambiųjų korporacijų („</w:t>
      </w:r>
      <w:r w:rsidRPr="0060365B">
        <w:rPr>
          <w:sz w:val="26"/>
          <w:szCs w:val="26"/>
        </w:rPr>
        <w:t>Enron“, „WorldCom“, „Parmalat“</w:t>
      </w:r>
      <w:r w:rsidRPr="0060365B">
        <w:rPr>
          <w:sz w:val="26"/>
          <w:szCs w:val="26"/>
          <w:lang w:val="lt-LT"/>
        </w:rPr>
        <w:t xml:space="preserve">) bei vienos didžiausių audito įmonių </w:t>
      </w:r>
      <w:r w:rsidRPr="0060365B">
        <w:rPr>
          <w:sz w:val="26"/>
          <w:szCs w:val="26"/>
        </w:rPr>
        <w:t>„Arthur Andersen</w:t>
      </w:r>
      <w:r w:rsidRPr="0060365B">
        <w:rPr>
          <w:sz w:val="26"/>
          <w:szCs w:val="26"/>
          <w:lang w:val="lt-LT"/>
        </w:rPr>
        <w:t xml:space="preserve">“ žlugimas, </w:t>
      </w:r>
      <w:r>
        <w:rPr>
          <w:sz w:val="26"/>
          <w:szCs w:val="26"/>
          <w:lang w:val="lt-LT"/>
        </w:rPr>
        <w:t xml:space="preserve">o taip pat </w:t>
      </w:r>
      <w:r w:rsidRPr="0060365B">
        <w:rPr>
          <w:sz w:val="26"/>
          <w:szCs w:val="26"/>
          <w:lang w:val="lt-LT"/>
        </w:rPr>
        <w:t xml:space="preserve">visai neseniai pasaulį ištikusi finansų krizė, prasidėjusi nuo JAV investicinio banko </w:t>
      </w:r>
      <w:r>
        <w:rPr>
          <w:sz w:val="26"/>
          <w:szCs w:val="26"/>
          <w:lang w:val="lt-LT"/>
        </w:rPr>
        <w:t>„</w:t>
      </w:r>
      <w:r w:rsidRPr="0060365B">
        <w:rPr>
          <w:sz w:val="26"/>
          <w:szCs w:val="26"/>
          <w:lang w:val="lt-LT"/>
        </w:rPr>
        <w:t>Lehman Brothers</w:t>
      </w:r>
      <w:r>
        <w:rPr>
          <w:sz w:val="26"/>
          <w:szCs w:val="26"/>
          <w:lang w:val="lt-LT"/>
        </w:rPr>
        <w:t>“</w:t>
      </w:r>
      <w:r w:rsidRPr="0060365B">
        <w:rPr>
          <w:sz w:val="26"/>
          <w:szCs w:val="26"/>
          <w:lang w:val="lt-LT"/>
        </w:rPr>
        <w:t xml:space="preserve"> bankroto ir finansinių paslaugų įmonės „Merill Lynch“ nesėkmės. </w:t>
      </w:r>
      <w:r>
        <w:rPr>
          <w:sz w:val="26"/>
          <w:szCs w:val="26"/>
          <w:lang w:val="lt-LT"/>
        </w:rPr>
        <w:t xml:space="preserve">Šie įvykiai reikalauja esminių </w:t>
      </w:r>
      <w:r w:rsidRPr="0060365B">
        <w:rPr>
          <w:sz w:val="26"/>
          <w:szCs w:val="26"/>
          <w:lang w:val="lt-LT"/>
        </w:rPr>
        <w:t>permainų reguliuojant įmonių veiklą</w:t>
      </w:r>
      <w:r>
        <w:rPr>
          <w:sz w:val="26"/>
          <w:szCs w:val="26"/>
          <w:lang w:val="lt-LT"/>
        </w:rPr>
        <w:t xml:space="preserve"> ir jų finansinių ataskaitų sudarymą</w:t>
      </w:r>
      <w:r w:rsidRPr="0060365B">
        <w:rPr>
          <w:sz w:val="26"/>
          <w:szCs w:val="26"/>
          <w:lang w:val="lt-LT"/>
        </w:rPr>
        <w:t xml:space="preserve"> </w:t>
      </w:r>
      <w:r>
        <w:rPr>
          <w:sz w:val="26"/>
          <w:szCs w:val="26"/>
          <w:lang w:val="lt-LT"/>
        </w:rPr>
        <w:t xml:space="preserve">bei užtikrinant </w:t>
      </w:r>
      <w:r w:rsidRPr="0060365B">
        <w:rPr>
          <w:sz w:val="26"/>
          <w:szCs w:val="26"/>
          <w:lang w:val="lt-LT"/>
        </w:rPr>
        <w:t>nepriklausom</w:t>
      </w:r>
      <w:r>
        <w:rPr>
          <w:sz w:val="26"/>
          <w:szCs w:val="26"/>
          <w:lang w:val="lt-LT"/>
        </w:rPr>
        <w:t xml:space="preserve">o audito vaidmenį visuomenės interesui. </w:t>
      </w:r>
    </w:p>
    <w:p w:rsidR="001B72E0" w:rsidRPr="00C46AA5" w:rsidRDefault="001B72E0" w:rsidP="001B72E0">
      <w:pPr>
        <w:spacing w:line="360" w:lineRule="auto"/>
        <w:ind w:firstLine="720"/>
        <w:jc w:val="both"/>
        <w:rPr>
          <w:sz w:val="26"/>
          <w:szCs w:val="26"/>
          <w:lang w:val="lt-LT"/>
        </w:rPr>
      </w:pPr>
      <w:r>
        <w:rPr>
          <w:sz w:val="26"/>
          <w:szCs w:val="26"/>
          <w:lang w:val="lt-LT"/>
        </w:rPr>
        <w:t>A</w:t>
      </w:r>
      <w:r w:rsidRPr="0060365B">
        <w:rPr>
          <w:sz w:val="26"/>
          <w:szCs w:val="26"/>
          <w:lang w:val="lt-LT"/>
        </w:rPr>
        <w:t xml:space="preserve">udito įmonės yra įpareigotos pareikšti nepriklausomą nuomonę apie informacijos, pateiktos finansinėse ataskaitose, teisingumą ir tikrumą, kad </w:t>
      </w:r>
      <w:r>
        <w:rPr>
          <w:sz w:val="26"/>
          <w:szCs w:val="26"/>
          <w:lang w:val="lt-LT"/>
        </w:rPr>
        <w:t xml:space="preserve">apskaitos informacijos vartotojai </w:t>
      </w:r>
      <w:r w:rsidRPr="0060365B">
        <w:rPr>
          <w:sz w:val="26"/>
          <w:szCs w:val="26"/>
          <w:lang w:val="lt-LT"/>
        </w:rPr>
        <w:t>gal</w:t>
      </w:r>
      <w:r>
        <w:rPr>
          <w:sz w:val="26"/>
          <w:szCs w:val="26"/>
          <w:lang w:val="lt-LT"/>
        </w:rPr>
        <w:t>ėtų</w:t>
      </w:r>
      <w:r w:rsidRPr="0060365B">
        <w:rPr>
          <w:sz w:val="26"/>
          <w:szCs w:val="26"/>
          <w:lang w:val="lt-LT"/>
        </w:rPr>
        <w:t xml:space="preserve"> priimti svarbius ekonominius spren</w:t>
      </w:r>
      <w:r w:rsidRPr="00C46AA5">
        <w:rPr>
          <w:sz w:val="26"/>
          <w:szCs w:val="26"/>
          <w:lang w:val="lt-LT"/>
        </w:rPr>
        <w:t>dimus.</w:t>
      </w:r>
      <w:r>
        <w:rPr>
          <w:sz w:val="26"/>
          <w:szCs w:val="26"/>
          <w:lang w:val="lt-LT"/>
        </w:rPr>
        <w:t xml:space="preserve"> Todėl norint įgyvendinti </w:t>
      </w:r>
      <w:r w:rsidRPr="00C46AA5">
        <w:rPr>
          <w:sz w:val="26"/>
          <w:szCs w:val="26"/>
          <w:lang w:val="lt-LT"/>
        </w:rPr>
        <w:t xml:space="preserve">šį iškeltą tikslą, </w:t>
      </w:r>
      <w:r>
        <w:rPr>
          <w:sz w:val="26"/>
          <w:szCs w:val="26"/>
          <w:lang w:val="lt-LT"/>
        </w:rPr>
        <w:t>svarbu</w:t>
      </w:r>
      <w:r w:rsidRPr="00C46AA5">
        <w:rPr>
          <w:sz w:val="26"/>
          <w:szCs w:val="26"/>
          <w:lang w:val="lt-LT"/>
        </w:rPr>
        <w:t xml:space="preserve"> tobulinti audito atlikimo metodiką taip, kad ji būtų suderinta su besikeičiančia verslo aplinka ir laiku padėtų nustatyti dėl klaidos ar apgaulės atsiradusius reikšmingus iškraipymus finansinėse ataskaitose. Tai reiškia, kad turi būti tobulinamas audito rizikos, su kuria susiduri</w:t>
      </w:r>
      <w:r>
        <w:rPr>
          <w:sz w:val="26"/>
          <w:szCs w:val="26"/>
          <w:lang w:val="lt-LT"/>
        </w:rPr>
        <w:t>a</w:t>
      </w:r>
      <w:r w:rsidRPr="00C46AA5">
        <w:rPr>
          <w:sz w:val="26"/>
          <w:szCs w:val="26"/>
          <w:lang w:val="lt-LT"/>
        </w:rPr>
        <w:t xml:space="preserve"> audito įmonė, nustatymas bei vertinimas. </w:t>
      </w:r>
    </w:p>
    <w:p w:rsidR="001B72E0" w:rsidRDefault="001B72E0" w:rsidP="001B72E0">
      <w:pPr>
        <w:spacing w:line="360" w:lineRule="auto"/>
        <w:ind w:firstLine="720"/>
        <w:jc w:val="both"/>
        <w:rPr>
          <w:sz w:val="26"/>
          <w:szCs w:val="26"/>
          <w:lang w:val="lt-LT"/>
        </w:rPr>
      </w:pPr>
      <w:r w:rsidRPr="00C46AA5">
        <w:rPr>
          <w:sz w:val="26"/>
          <w:szCs w:val="26"/>
          <w:lang w:val="lt-LT"/>
        </w:rPr>
        <w:t xml:space="preserve">Būtinybė įvertinti audito </w:t>
      </w:r>
      <w:r>
        <w:rPr>
          <w:sz w:val="26"/>
          <w:szCs w:val="26"/>
          <w:lang w:val="lt-LT"/>
        </w:rPr>
        <w:t>riziką</w:t>
      </w:r>
      <w:r w:rsidRPr="00C46AA5">
        <w:rPr>
          <w:sz w:val="26"/>
          <w:szCs w:val="26"/>
          <w:lang w:val="lt-LT"/>
        </w:rPr>
        <w:t xml:space="preserve"> audito teorijoje yra gerai žinoma, o XX</w:t>
      </w:r>
      <w:r>
        <w:rPr>
          <w:sz w:val="26"/>
          <w:szCs w:val="26"/>
          <w:lang w:val="lt-LT"/>
        </w:rPr>
        <w:t> </w:t>
      </w:r>
      <w:r w:rsidRPr="00C46AA5">
        <w:rPr>
          <w:sz w:val="26"/>
          <w:szCs w:val="26"/>
          <w:lang w:val="lt-LT"/>
        </w:rPr>
        <w:t xml:space="preserve">a. pab. </w:t>
      </w:r>
      <w:r>
        <w:rPr>
          <w:sz w:val="26"/>
          <w:szCs w:val="26"/>
          <w:lang w:val="lt-LT"/>
        </w:rPr>
        <w:t xml:space="preserve">auditas pradėjo transformuotis į </w:t>
      </w:r>
      <w:r w:rsidRPr="00C46AA5">
        <w:rPr>
          <w:sz w:val="26"/>
          <w:szCs w:val="26"/>
          <w:lang w:val="lt-LT"/>
        </w:rPr>
        <w:t>„rizik</w:t>
      </w:r>
      <w:r>
        <w:rPr>
          <w:sz w:val="26"/>
          <w:szCs w:val="26"/>
          <w:lang w:val="lt-LT"/>
        </w:rPr>
        <w:t>ą</w:t>
      </w:r>
      <w:r w:rsidRPr="00C46AA5">
        <w:rPr>
          <w:sz w:val="26"/>
          <w:szCs w:val="26"/>
          <w:lang w:val="lt-LT"/>
        </w:rPr>
        <w:t xml:space="preserve"> paremt</w:t>
      </w:r>
      <w:r>
        <w:rPr>
          <w:sz w:val="26"/>
          <w:szCs w:val="26"/>
          <w:lang w:val="lt-LT"/>
        </w:rPr>
        <w:t>ą</w:t>
      </w:r>
      <w:r w:rsidRPr="00C46AA5">
        <w:rPr>
          <w:sz w:val="26"/>
          <w:szCs w:val="26"/>
          <w:lang w:val="lt-LT"/>
        </w:rPr>
        <w:t xml:space="preserve"> audit</w:t>
      </w:r>
      <w:r>
        <w:rPr>
          <w:sz w:val="26"/>
          <w:szCs w:val="26"/>
          <w:lang w:val="lt-LT"/>
        </w:rPr>
        <w:t>ą“,</w:t>
      </w:r>
      <w:r w:rsidRPr="00C46AA5">
        <w:rPr>
          <w:sz w:val="26"/>
          <w:szCs w:val="26"/>
          <w:lang w:val="lt-LT"/>
        </w:rPr>
        <w:t xml:space="preserve"> </w:t>
      </w:r>
      <w:r>
        <w:rPr>
          <w:sz w:val="26"/>
          <w:szCs w:val="26"/>
          <w:lang w:val="lt-LT"/>
        </w:rPr>
        <w:t xml:space="preserve">kuris </w:t>
      </w:r>
      <w:r w:rsidRPr="00C46AA5">
        <w:rPr>
          <w:sz w:val="26"/>
          <w:szCs w:val="26"/>
          <w:lang w:val="lt-LT"/>
        </w:rPr>
        <w:t xml:space="preserve">didelį dėmesį skiria ekonominei sistemai, kurioje veikia audituojama įmonė, ir audito įrodymams apie jos nulemtą riziką. </w:t>
      </w:r>
      <w:r>
        <w:rPr>
          <w:sz w:val="26"/>
          <w:szCs w:val="26"/>
          <w:lang w:val="lt-LT"/>
        </w:rPr>
        <w:t>Tačiau</w:t>
      </w:r>
      <w:r w:rsidRPr="00D75C39">
        <w:rPr>
          <w:sz w:val="26"/>
          <w:szCs w:val="26"/>
          <w:lang w:val="lt-LT"/>
        </w:rPr>
        <w:t xml:space="preserve"> </w:t>
      </w:r>
      <w:r>
        <w:rPr>
          <w:sz w:val="26"/>
          <w:szCs w:val="26"/>
          <w:lang w:val="lt-LT"/>
        </w:rPr>
        <w:t xml:space="preserve">iki šiol šis požiūris nesulaukė platesnio pritaikymo </w:t>
      </w:r>
      <w:r w:rsidRPr="0060365B">
        <w:rPr>
          <w:sz w:val="26"/>
          <w:szCs w:val="26"/>
          <w:lang w:val="lt-LT"/>
        </w:rPr>
        <w:t>audito praktikoje</w:t>
      </w:r>
      <w:r>
        <w:rPr>
          <w:sz w:val="26"/>
          <w:szCs w:val="26"/>
          <w:lang w:val="lt-LT"/>
        </w:rPr>
        <w:t xml:space="preserve">, nes nebuvo sukurta aiški ir vieningai suprantama audito rizikos vertinimo metodologija. </w:t>
      </w:r>
    </w:p>
    <w:p w:rsidR="001B72E0" w:rsidRDefault="001B72E0" w:rsidP="001B72E0">
      <w:pPr>
        <w:spacing w:line="360" w:lineRule="auto"/>
        <w:ind w:firstLine="720"/>
        <w:jc w:val="both"/>
        <w:rPr>
          <w:color w:val="000000" w:themeColor="text1"/>
          <w:sz w:val="26"/>
          <w:szCs w:val="26"/>
          <w:lang w:val="lt-LT"/>
        </w:rPr>
      </w:pPr>
      <w:r w:rsidRPr="0060365B">
        <w:rPr>
          <w:b/>
          <w:sz w:val="26"/>
          <w:szCs w:val="26"/>
          <w:lang w:val="lt-LT"/>
        </w:rPr>
        <w:t xml:space="preserve">Mokslinė problema, jos ištyrimo </w:t>
      </w:r>
      <w:r w:rsidRPr="0060365B">
        <w:rPr>
          <w:b/>
          <w:color w:val="000000" w:themeColor="text1"/>
          <w:sz w:val="26"/>
          <w:szCs w:val="26"/>
          <w:lang w:val="lt-LT"/>
        </w:rPr>
        <w:t xml:space="preserve">lygis. </w:t>
      </w:r>
      <w:r w:rsidRPr="0060365B">
        <w:rPr>
          <w:color w:val="000000" w:themeColor="text1"/>
          <w:sz w:val="26"/>
          <w:szCs w:val="26"/>
          <w:lang w:val="lt-LT"/>
        </w:rPr>
        <w:t xml:space="preserve">Atlikta audito krypties sisteminė mokslinės literatūros analizė leidžia teigti, kad per tris paskutinius </w:t>
      </w:r>
      <w:r w:rsidRPr="0060365B">
        <w:rPr>
          <w:color w:val="000000" w:themeColor="text1"/>
          <w:sz w:val="26"/>
          <w:szCs w:val="26"/>
          <w:lang w:val="lt-LT"/>
        </w:rPr>
        <w:lastRenderedPageBreak/>
        <w:t xml:space="preserve">dešimtmečius įvairūs tyrėjai kėlė klausimus, susijusius su audito rizika ir jos vertinimo galimybėmis. </w:t>
      </w:r>
    </w:p>
    <w:p w:rsidR="001B72E0" w:rsidRPr="0060365B" w:rsidRDefault="001B72E0" w:rsidP="001B72E0">
      <w:pPr>
        <w:spacing w:line="360" w:lineRule="auto"/>
        <w:ind w:firstLine="720"/>
        <w:jc w:val="both"/>
        <w:rPr>
          <w:sz w:val="26"/>
          <w:szCs w:val="26"/>
          <w:lang w:val="lt-LT"/>
        </w:rPr>
      </w:pPr>
      <w:r>
        <w:rPr>
          <w:color w:val="000000" w:themeColor="text1"/>
          <w:sz w:val="26"/>
          <w:szCs w:val="26"/>
          <w:lang w:val="lt-LT"/>
        </w:rPr>
        <w:t xml:space="preserve">Pirmą kartą sisteminis požiūris į audito riziką pateiktas </w:t>
      </w:r>
      <w:r w:rsidRPr="0060365B">
        <w:rPr>
          <w:color w:val="000000" w:themeColor="text1"/>
          <w:sz w:val="26"/>
          <w:szCs w:val="26"/>
          <w:lang w:val="lt-LT"/>
        </w:rPr>
        <w:t>1983 metais</w:t>
      </w:r>
      <w:r>
        <w:rPr>
          <w:color w:val="000000" w:themeColor="text1"/>
          <w:sz w:val="26"/>
          <w:szCs w:val="26"/>
          <w:lang w:val="lt-LT"/>
        </w:rPr>
        <w:t>:</w:t>
      </w:r>
      <w:r w:rsidRPr="0060365B">
        <w:rPr>
          <w:color w:val="000000" w:themeColor="text1"/>
          <w:sz w:val="26"/>
          <w:szCs w:val="26"/>
          <w:lang w:val="lt-LT"/>
        </w:rPr>
        <w:t xml:space="preserve"> Amerikos sertifikuotų viešųjų buhalterių institutas (angl. sutr. </w:t>
      </w:r>
      <w:r w:rsidRPr="0060365B">
        <w:rPr>
          <w:i/>
          <w:color w:val="000000" w:themeColor="text1"/>
          <w:sz w:val="26"/>
          <w:szCs w:val="26"/>
          <w:lang w:val="lt-LT"/>
        </w:rPr>
        <w:t>AICPA</w:t>
      </w:r>
      <w:r w:rsidRPr="0060365B">
        <w:rPr>
          <w:color w:val="000000" w:themeColor="text1"/>
          <w:sz w:val="26"/>
          <w:szCs w:val="26"/>
          <w:lang w:val="lt-LT"/>
        </w:rPr>
        <w:t>) paskelbė visuotinai priimtiną audito rizikos modelį</w:t>
      </w:r>
      <w:r>
        <w:rPr>
          <w:color w:val="000000" w:themeColor="text1"/>
          <w:sz w:val="26"/>
          <w:szCs w:val="26"/>
          <w:lang w:val="lt-LT"/>
        </w:rPr>
        <w:t xml:space="preserve"> – </w:t>
      </w:r>
      <w:r w:rsidRPr="0060365B">
        <w:rPr>
          <w:color w:val="000000" w:themeColor="text1"/>
          <w:sz w:val="26"/>
          <w:szCs w:val="26"/>
          <w:lang w:val="lt-LT"/>
        </w:rPr>
        <w:t>klasikin</w:t>
      </w:r>
      <w:r>
        <w:rPr>
          <w:color w:val="000000" w:themeColor="text1"/>
          <w:sz w:val="26"/>
          <w:szCs w:val="26"/>
          <w:lang w:val="lt-LT"/>
        </w:rPr>
        <w:t>į</w:t>
      </w:r>
      <w:r w:rsidRPr="0060365B">
        <w:rPr>
          <w:color w:val="000000" w:themeColor="text1"/>
          <w:sz w:val="26"/>
          <w:szCs w:val="26"/>
          <w:lang w:val="lt-LT"/>
        </w:rPr>
        <w:t xml:space="preserve"> audito rizikos model</w:t>
      </w:r>
      <w:r>
        <w:rPr>
          <w:color w:val="000000" w:themeColor="text1"/>
          <w:sz w:val="26"/>
          <w:szCs w:val="26"/>
          <w:lang w:val="lt-LT"/>
        </w:rPr>
        <w:t xml:space="preserve">į. Tačiau mokslininkai </w:t>
      </w:r>
      <w:r w:rsidRPr="0060365B">
        <w:rPr>
          <w:color w:val="000000" w:themeColor="text1"/>
          <w:sz w:val="26"/>
          <w:szCs w:val="26"/>
          <w:lang w:val="lt-LT"/>
        </w:rPr>
        <w:t>(</w:t>
      </w:r>
      <w:r w:rsidRPr="0060365B">
        <w:rPr>
          <w:sz w:val="26"/>
          <w:szCs w:val="26"/>
          <w:lang w:val="lt-LT"/>
        </w:rPr>
        <w:t>Dodž, 1992; Robertson, 1990; Kinney, 1989; Aldersley, 1989; Sennetti, 1990;</w:t>
      </w:r>
      <w:r w:rsidRPr="0060365B">
        <w:rPr>
          <w:sz w:val="26"/>
          <w:szCs w:val="26"/>
        </w:rPr>
        <w:t xml:space="preserve"> </w:t>
      </w:r>
      <w:r w:rsidRPr="0060365B">
        <w:rPr>
          <w:color w:val="000000" w:themeColor="text1"/>
          <w:sz w:val="26"/>
          <w:szCs w:val="26"/>
          <w:lang w:val="lt-LT"/>
        </w:rPr>
        <w:t xml:space="preserve">Srivastava, Shafer, 1992; </w:t>
      </w:r>
      <w:r w:rsidRPr="0060365B">
        <w:rPr>
          <w:sz w:val="26"/>
          <w:szCs w:val="26"/>
        </w:rPr>
        <w:t>Beatie, Fearnley, Brandt</w:t>
      </w:r>
      <w:r w:rsidRPr="0060365B">
        <w:rPr>
          <w:sz w:val="26"/>
          <w:szCs w:val="26"/>
          <w:lang w:val="lt-LT"/>
        </w:rPr>
        <w:t xml:space="preserve">, 2002; Turner, Mock, Srivastava, 2003; Bell, Peecher, Solomon, 2005) </w:t>
      </w:r>
      <w:r>
        <w:rPr>
          <w:sz w:val="26"/>
          <w:szCs w:val="26"/>
          <w:lang w:val="lt-LT"/>
        </w:rPr>
        <w:t xml:space="preserve">ištyrė, </w:t>
      </w:r>
      <w:r w:rsidRPr="0060365B">
        <w:rPr>
          <w:sz w:val="26"/>
          <w:szCs w:val="26"/>
          <w:lang w:val="lt-LT"/>
        </w:rPr>
        <w:t xml:space="preserve">kad šis modelis tik iš dalies atskleidžia audito rizikos </w:t>
      </w:r>
      <w:r>
        <w:rPr>
          <w:sz w:val="26"/>
          <w:szCs w:val="26"/>
          <w:lang w:val="lt-LT"/>
        </w:rPr>
        <w:t xml:space="preserve">sampratos </w:t>
      </w:r>
      <w:r w:rsidRPr="0060365B">
        <w:rPr>
          <w:sz w:val="26"/>
          <w:szCs w:val="26"/>
          <w:lang w:val="lt-LT"/>
        </w:rPr>
        <w:t>esmę</w:t>
      </w:r>
      <w:r>
        <w:rPr>
          <w:sz w:val="26"/>
          <w:szCs w:val="26"/>
          <w:lang w:val="lt-LT"/>
        </w:rPr>
        <w:t xml:space="preserve">, ir todėl </w:t>
      </w:r>
      <w:r w:rsidRPr="0060365B">
        <w:rPr>
          <w:sz w:val="26"/>
          <w:szCs w:val="26"/>
          <w:lang w:val="lt-LT"/>
        </w:rPr>
        <w:t>pateikė savas audito rizikos modelio interpretacijas. Nors galima pripažinti, kad naujieji audito rizikos modeliai panaikina tam tikrus klasikinio audito rizikos modelio trūkumus,  visgi jie nėra išsamūs ir neatspindi visų audito rizikos vertinimo klausimų, su kuriais besikeičiančioje verslo aplinkoje susiduria audito įmonės, atlikdamos finansinių ataskaitų auditą.</w:t>
      </w:r>
    </w:p>
    <w:p w:rsidR="001B72E0" w:rsidRDefault="001B72E0" w:rsidP="001B72E0">
      <w:pPr>
        <w:spacing w:line="360" w:lineRule="auto"/>
        <w:ind w:firstLine="720"/>
        <w:jc w:val="both"/>
        <w:rPr>
          <w:sz w:val="26"/>
          <w:szCs w:val="26"/>
          <w:lang w:val="lt-LT"/>
        </w:rPr>
      </w:pPr>
      <w:r w:rsidRPr="0060365B">
        <w:rPr>
          <w:color w:val="000000" w:themeColor="text1"/>
          <w:sz w:val="26"/>
          <w:szCs w:val="26"/>
          <w:lang w:val="lt-LT"/>
        </w:rPr>
        <w:t>Nemažai dėmesio audito rizikai užsienio mokslo darbuose</w:t>
      </w:r>
      <w:r>
        <w:rPr>
          <w:color w:val="000000" w:themeColor="text1"/>
          <w:sz w:val="26"/>
          <w:szCs w:val="26"/>
          <w:lang w:val="lt-LT"/>
        </w:rPr>
        <w:t xml:space="preserve"> skyrė</w:t>
      </w:r>
      <w:r w:rsidRPr="0060365B">
        <w:rPr>
          <w:color w:val="000000" w:themeColor="text1"/>
          <w:sz w:val="26"/>
          <w:szCs w:val="26"/>
          <w:lang w:val="lt-LT"/>
        </w:rPr>
        <w:t xml:space="preserve">: </w:t>
      </w:r>
      <w:r>
        <w:rPr>
          <w:i/>
          <w:color w:val="000000" w:themeColor="text1"/>
          <w:sz w:val="26"/>
          <w:szCs w:val="26"/>
          <w:lang w:val="lt-LT"/>
        </w:rPr>
        <w:t>B</w:t>
      </w:r>
      <w:r w:rsidR="00694C4D">
        <w:rPr>
          <w:i/>
          <w:color w:val="000000" w:themeColor="text1"/>
          <w:sz w:val="26"/>
          <w:szCs w:val="26"/>
          <w:lang w:val="lt-LT"/>
        </w:rPr>
        <w:t>.</w:t>
      </w:r>
      <w:r>
        <w:rPr>
          <w:i/>
          <w:color w:val="000000" w:themeColor="text1"/>
          <w:sz w:val="26"/>
          <w:szCs w:val="26"/>
          <w:lang w:val="lt-LT"/>
        </w:rPr>
        <w:t> E. </w:t>
      </w:r>
      <w:r w:rsidRPr="0060365B">
        <w:rPr>
          <w:i/>
          <w:color w:val="000000" w:themeColor="text1"/>
          <w:sz w:val="26"/>
          <w:szCs w:val="26"/>
          <w:lang w:val="lt-LT"/>
        </w:rPr>
        <w:t xml:space="preserve">Cushing, J. K. Loebbecke (1983), </w:t>
      </w:r>
      <w:r w:rsidRPr="0060365B">
        <w:rPr>
          <w:i/>
          <w:sz w:val="26"/>
          <w:szCs w:val="26"/>
          <w:lang w:val="lt-LT"/>
        </w:rPr>
        <w:t>D. R. Carmichael (1988,</w:t>
      </w:r>
      <w:r w:rsidRPr="00B50B6B">
        <w:rPr>
          <w:i/>
          <w:sz w:val="26"/>
          <w:szCs w:val="26"/>
          <w:lang w:val="lt-LT"/>
        </w:rPr>
        <w:t xml:space="preserve"> 2006), W.</w:t>
      </w:r>
      <w:r>
        <w:rPr>
          <w:i/>
          <w:sz w:val="26"/>
          <w:szCs w:val="26"/>
          <w:lang w:val="lt-LT"/>
        </w:rPr>
        <w:t> </w:t>
      </w:r>
      <w:r w:rsidRPr="00B50B6B">
        <w:rPr>
          <w:i/>
          <w:sz w:val="26"/>
          <w:szCs w:val="26"/>
          <w:lang w:val="lt-LT"/>
        </w:rPr>
        <w:t>R.</w:t>
      </w:r>
      <w:r>
        <w:rPr>
          <w:i/>
          <w:sz w:val="26"/>
          <w:szCs w:val="26"/>
          <w:lang w:val="lt-LT"/>
        </w:rPr>
        <w:t> </w:t>
      </w:r>
      <w:r w:rsidRPr="00B50B6B">
        <w:rPr>
          <w:i/>
          <w:sz w:val="26"/>
          <w:szCs w:val="26"/>
          <w:lang w:val="lt-LT"/>
        </w:rPr>
        <w:t xml:space="preserve">Kinney (1989), V. M. O‘Reilly (1990), J. C. Robertson (1990), </w:t>
      </w:r>
      <w:r w:rsidRPr="0060365B">
        <w:rPr>
          <w:i/>
          <w:sz w:val="26"/>
          <w:szCs w:val="26"/>
          <w:lang w:val="lt-LT"/>
        </w:rPr>
        <w:t>J.</w:t>
      </w:r>
      <w:r>
        <w:rPr>
          <w:i/>
          <w:sz w:val="26"/>
          <w:szCs w:val="26"/>
          <w:lang w:val="lt-LT"/>
        </w:rPr>
        <w:t> </w:t>
      </w:r>
      <w:r w:rsidRPr="0060365B">
        <w:rPr>
          <w:i/>
          <w:sz w:val="26"/>
          <w:szCs w:val="26"/>
          <w:lang w:val="lt-LT"/>
        </w:rPr>
        <w:t>T.</w:t>
      </w:r>
      <w:r>
        <w:rPr>
          <w:i/>
          <w:sz w:val="26"/>
          <w:szCs w:val="26"/>
          <w:lang w:val="lt-LT"/>
        </w:rPr>
        <w:t> </w:t>
      </w:r>
      <w:r w:rsidRPr="0060365B">
        <w:rPr>
          <w:i/>
          <w:sz w:val="26"/>
          <w:szCs w:val="26"/>
          <w:lang w:val="lt-LT"/>
        </w:rPr>
        <w:t>Sennetti (1990</w:t>
      </w:r>
      <w:r>
        <w:rPr>
          <w:i/>
          <w:sz w:val="26"/>
          <w:szCs w:val="26"/>
          <w:lang w:val="lt-LT"/>
        </w:rPr>
        <w:t xml:space="preserve">), </w:t>
      </w:r>
      <w:r w:rsidRPr="00B50B6B">
        <w:rPr>
          <w:i/>
          <w:sz w:val="26"/>
          <w:szCs w:val="26"/>
          <w:lang w:val="lt-LT"/>
        </w:rPr>
        <w:t xml:space="preserve">H. Johnson (1991), </w:t>
      </w:r>
      <w:r w:rsidRPr="0060365B">
        <w:rPr>
          <w:i/>
          <w:sz w:val="26"/>
          <w:szCs w:val="26"/>
          <w:lang w:val="lt-LT"/>
        </w:rPr>
        <w:t>R. P. Srivastava, G. R. Shafer (1992)</w:t>
      </w:r>
      <w:r>
        <w:rPr>
          <w:i/>
          <w:sz w:val="26"/>
          <w:szCs w:val="26"/>
          <w:lang w:val="lt-LT"/>
        </w:rPr>
        <w:t xml:space="preserve">, </w:t>
      </w:r>
      <w:r w:rsidRPr="0060365B">
        <w:rPr>
          <w:i/>
          <w:sz w:val="26"/>
          <w:szCs w:val="26"/>
          <w:lang w:val="lt-LT"/>
        </w:rPr>
        <w:t>W. S. Waller (1993</w:t>
      </w:r>
      <w:r>
        <w:rPr>
          <w:i/>
          <w:sz w:val="26"/>
          <w:szCs w:val="26"/>
          <w:lang w:val="lt-LT"/>
        </w:rPr>
        <w:t xml:space="preserve">), </w:t>
      </w:r>
      <w:r w:rsidRPr="00B50B6B">
        <w:rPr>
          <w:i/>
          <w:sz w:val="26"/>
          <w:szCs w:val="26"/>
          <w:lang w:val="lt-LT"/>
        </w:rPr>
        <w:t>A. D. Šeremet, V. P. Suijc (1995), A. A. Arens, J.</w:t>
      </w:r>
      <w:r>
        <w:rPr>
          <w:i/>
          <w:sz w:val="26"/>
          <w:szCs w:val="26"/>
          <w:lang w:val="lt-LT"/>
        </w:rPr>
        <w:t> </w:t>
      </w:r>
      <w:r w:rsidRPr="00B50B6B">
        <w:rPr>
          <w:i/>
          <w:sz w:val="26"/>
          <w:szCs w:val="26"/>
          <w:lang w:val="lt-LT"/>
        </w:rPr>
        <w:t>K.</w:t>
      </w:r>
      <w:r>
        <w:rPr>
          <w:i/>
          <w:sz w:val="26"/>
          <w:szCs w:val="26"/>
          <w:lang w:val="lt-LT"/>
        </w:rPr>
        <w:t> </w:t>
      </w:r>
      <w:r w:rsidRPr="00B50B6B">
        <w:rPr>
          <w:i/>
          <w:sz w:val="26"/>
          <w:szCs w:val="26"/>
          <w:lang w:val="lt-LT"/>
        </w:rPr>
        <w:t>Loebbecke (1997), S. M. Byčkova (1998), V. V. Skobara (1998), T.</w:t>
      </w:r>
      <w:r>
        <w:rPr>
          <w:i/>
          <w:sz w:val="26"/>
          <w:szCs w:val="26"/>
          <w:lang w:val="lt-LT"/>
        </w:rPr>
        <w:t> </w:t>
      </w:r>
      <w:r w:rsidRPr="00B50B6B">
        <w:rPr>
          <w:i/>
          <w:sz w:val="26"/>
          <w:szCs w:val="26"/>
          <w:lang w:val="lt-LT"/>
        </w:rPr>
        <w:t>E.</w:t>
      </w:r>
      <w:r>
        <w:rPr>
          <w:i/>
          <w:sz w:val="26"/>
          <w:szCs w:val="26"/>
          <w:lang w:val="lt-LT"/>
        </w:rPr>
        <w:t> </w:t>
      </w:r>
      <w:r w:rsidRPr="00B50B6B">
        <w:rPr>
          <w:i/>
          <w:sz w:val="26"/>
          <w:szCs w:val="26"/>
          <w:lang w:val="lt-LT"/>
        </w:rPr>
        <w:t>Bayer (1999), K. M. Johnstone (2000, 2001), M. Davi</w:t>
      </w:r>
      <w:r w:rsidRPr="0060365B">
        <w:rPr>
          <w:i/>
          <w:sz w:val="26"/>
          <w:szCs w:val="26"/>
          <w:lang w:val="lt-LT"/>
        </w:rPr>
        <w:t>es (2001), R.</w:t>
      </w:r>
      <w:r>
        <w:rPr>
          <w:i/>
          <w:sz w:val="26"/>
          <w:szCs w:val="26"/>
          <w:lang w:val="lt-LT"/>
        </w:rPr>
        <w:t> </w:t>
      </w:r>
      <w:r w:rsidRPr="0060365B">
        <w:rPr>
          <w:i/>
          <w:sz w:val="26"/>
          <w:szCs w:val="26"/>
          <w:lang w:val="lt-LT"/>
        </w:rPr>
        <w:t>W.</w:t>
      </w:r>
      <w:r>
        <w:rPr>
          <w:i/>
          <w:sz w:val="26"/>
          <w:szCs w:val="26"/>
          <w:lang w:val="lt-LT"/>
        </w:rPr>
        <w:t> </w:t>
      </w:r>
      <w:r w:rsidRPr="0060365B">
        <w:rPr>
          <w:i/>
          <w:sz w:val="26"/>
          <w:szCs w:val="26"/>
          <w:lang w:val="lt-LT"/>
        </w:rPr>
        <w:t>Knechel (2001, 2007),</w:t>
      </w:r>
      <w:r w:rsidRPr="0060365B">
        <w:rPr>
          <w:sz w:val="26"/>
          <w:szCs w:val="26"/>
          <w:lang w:val="lt-LT"/>
        </w:rPr>
        <w:t xml:space="preserve"> </w:t>
      </w:r>
      <w:r w:rsidRPr="0060365B">
        <w:rPr>
          <w:i/>
          <w:sz w:val="26"/>
          <w:szCs w:val="26"/>
          <w:lang w:val="lt-LT"/>
        </w:rPr>
        <w:t>V. Beatie, S. Fearnley, R. Brandt (2002, 2005), J.</w:t>
      </w:r>
      <w:r>
        <w:rPr>
          <w:i/>
          <w:sz w:val="26"/>
          <w:szCs w:val="26"/>
          <w:lang w:val="lt-LT"/>
        </w:rPr>
        <w:t> </w:t>
      </w:r>
      <w:r w:rsidRPr="0060365B">
        <w:rPr>
          <w:i/>
          <w:sz w:val="26"/>
          <w:szCs w:val="26"/>
          <w:lang w:val="lt-LT"/>
        </w:rPr>
        <w:t>I. Turner, T. J. Mock, R. P. Srivastava (2003), S. Spector (2003), T. B. Bell, M. E. Peecher, I. Solomon (2005)</w:t>
      </w:r>
      <w:r w:rsidRPr="0060365B">
        <w:rPr>
          <w:sz w:val="26"/>
          <w:szCs w:val="26"/>
          <w:lang w:val="lt-LT"/>
        </w:rPr>
        <w:t xml:space="preserve">, </w:t>
      </w:r>
      <w:r w:rsidRPr="0060365B">
        <w:rPr>
          <w:i/>
          <w:sz w:val="26"/>
          <w:szCs w:val="26"/>
          <w:lang w:val="lt-LT"/>
        </w:rPr>
        <w:t>S. H. Mitchel (2005), J. A. Fogarty, L.</w:t>
      </w:r>
      <w:r>
        <w:rPr>
          <w:i/>
          <w:sz w:val="26"/>
          <w:szCs w:val="26"/>
          <w:lang w:val="lt-LT"/>
        </w:rPr>
        <w:t> </w:t>
      </w:r>
      <w:r w:rsidRPr="0060365B">
        <w:rPr>
          <w:i/>
          <w:sz w:val="26"/>
          <w:szCs w:val="26"/>
          <w:lang w:val="lt-LT"/>
        </w:rPr>
        <w:t>Graham, D. R. Schubert (2006)</w:t>
      </w:r>
      <w:r w:rsidRPr="0060365B">
        <w:rPr>
          <w:sz w:val="26"/>
          <w:szCs w:val="26"/>
          <w:lang w:val="lt-LT"/>
        </w:rPr>
        <w:t xml:space="preserve">, </w:t>
      </w:r>
      <w:r w:rsidRPr="0060365B">
        <w:rPr>
          <w:i/>
          <w:sz w:val="26"/>
          <w:szCs w:val="26"/>
          <w:lang w:val="lt-LT"/>
        </w:rPr>
        <w:t>R. O. Whittington, K. Pany (2006)</w:t>
      </w:r>
      <w:r w:rsidRPr="0060365B">
        <w:rPr>
          <w:sz w:val="26"/>
          <w:szCs w:val="26"/>
          <w:lang w:val="lt-LT"/>
        </w:rPr>
        <w:t xml:space="preserve"> ir kiti. </w:t>
      </w:r>
      <w:r>
        <w:rPr>
          <w:sz w:val="26"/>
          <w:szCs w:val="26"/>
          <w:lang w:val="lt-LT"/>
        </w:rPr>
        <w:t>Šiuose darbuose dažniausiai: 1) nagrinėjama audito rizikos ir atskirų komponentų samprata; 2) identifikuojamos audito riziką lemiančios sąlygos bei veiksniai. Tačiau čia neapibendrinama audito rizikos komponentų visuma, nepateikiama išsami audito riziką lemiančių sąlygų klasifikacija bei visa tai neapjungta į išsamų audito rizikos sampratos modelį. Be to, tik nedaugelis šių mokslininkų (</w:t>
      </w:r>
      <w:r w:rsidRPr="0060365B">
        <w:rPr>
          <w:i/>
          <w:color w:val="000000" w:themeColor="text1"/>
          <w:sz w:val="26"/>
          <w:szCs w:val="26"/>
          <w:lang w:val="lt-LT"/>
        </w:rPr>
        <w:t>Cushing, Loebbecke</w:t>
      </w:r>
      <w:r>
        <w:rPr>
          <w:i/>
          <w:color w:val="000000" w:themeColor="text1"/>
          <w:sz w:val="26"/>
          <w:szCs w:val="26"/>
          <w:lang w:val="lt-LT"/>
        </w:rPr>
        <w:t xml:space="preserve">, </w:t>
      </w:r>
      <w:r w:rsidRPr="0060365B">
        <w:rPr>
          <w:i/>
          <w:color w:val="000000" w:themeColor="text1"/>
          <w:sz w:val="26"/>
          <w:szCs w:val="26"/>
          <w:lang w:val="lt-LT"/>
        </w:rPr>
        <w:t>1983</w:t>
      </w:r>
      <w:r>
        <w:rPr>
          <w:i/>
          <w:color w:val="000000" w:themeColor="text1"/>
          <w:sz w:val="26"/>
          <w:szCs w:val="26"/>
          <w:lang w:val="lt-LT"/>
        </w:rPr>
        <w:t xml:space="preserve">; </w:t>
      </w:r>
      <w:r w:rsidRPr="0060365B">
        <w:rPr>
          <w:i/>
          <w:sz w:val="26"/>
          <w:szCs w:val="26"/>
          <w:lang w:val="lt-LT"/>
        </w:rPr>
        <w:t>Robertson</w:t>
      </w:r>
      <w:r>
        <w:rPr>
          <w:i/>
          <w:sz w:val="26"/>
          <w:szCs w:val="26"/>
          <w:lang w:val="lt-LT"/>
        </w:rPr>
        <w:t xml:space="preserve">, </w:t>
      </w:r>
      <w:r w:rsidRPr="0060365B">
        <w:rPr>
          <w:i/>
          <w:sz w:val="26"/>
          <w:szCs w:val="26"/>
          <w:lang w:val="lt-LT"/>
        </w:rPr>
        <w:t>1990</w:t>
      </w:r>
      <w:r>
        <w:rPr>
          <w:i/>
          <w:sz w:val="26"/>
          <w:szCs w:val="26"/>
          <w:lang w:val="lt-LT"/>
        </w:rPr>
        <w:t>;</w:t>
      </w:r>
      <w:r w:rsidRPr="0060365B">
        <w:rPr>
          <w:i/>
          <w:sz w:val="26"/>
          <w:szCs w:val="26"/>
          <w:lang w:val="lt-LT"/>
        </w:rPr>
        <w:t xml:space="preserve"> Sennetti 1990</w:t>
      </w:r>
      <w:r>
        <w:rPr>
          <w:i/>
          <w:sz w:val="26"/>
          <w:szCs w:val="26"/>
          <w:lang w:val="lt-LT"/>
        </w:rPr>
        <w:t xml:space="preserve">; </w:t>
      </w:r>
      <w:r w:rsidRPr="0060365B">
        <w:rPr>
          <w:i/>
          <w:sz w:val="26"/>
          <w:szCs w:val="26"/>
          <w:lang w:val="lt-LT"/>
        </w:rPr>
        <w:lastRenderedPageBreak/>
        <w:t>Johnson</w:t>
      </w:r>
      <w:r>
        <w:rPr>
          <w:i/>
          <w:sz w:val="26"/>
          <w:szCs w:val="26"/>
          <w:lang w:val="lt-LT"/>
        </w:rPr>
        <w:t xml:space="preserve">, </w:t>
      </w:r>
      <w:r w:rsidRPr="0060365B">
        <w:rPr>
          <w:i/>
          <w:sz w:val="26"/>
          <w:szCs w:val="26"/>
          <w:lang w:val="lt-LT"/>
        </w:rPr>
        <w:t>1991</w:t>
      </w:r>
      <w:r>
        <w:rPr>
          <w:i/>
          <w:sz w:val="26"/>
          <w:szCs w:val="26"/>
          <w:lang w:val="lt-LT"/>
        </w:rPr>
        <w:t xml:space="preserve">; </w:t>
      </w:r>
      <w:r w:rsidRPr="0060365B">
        <w:rPr>
          <w:i/>
          <w:sz w:val="26"/>
          <w:szCs w:val="26"/>
          <w:lang w:val="lt-LT"/>
        </w:rPr>
        <w:t>Srivastava, Shafer</w:t>
      </w:r>
      <w:r>
        <w:rPr>
          <w:i/>
          <w:sz w:val="26"/>
          <w:szCs w:val="26"/>
          <w:lang w:val="lt-LT"/>
        </w:rPr>
        <w:t xml:space="preserve">, </w:t>
      </w:r>
      <w:r w:rsidRPr="0060365B">
        <w:rPr>
          <w:i/>
          <w:sz w:val="26"/>
          <w:szCs w:val="26"/>
          <w:lang w:val="lt-LT"/>
        </w:rPr>
        <w:t>1992</w:t>
      </w:r>
      <w:r>
        <w:rPr>
          <w:i/>
          <w:sz w:val="26"/>
          <w:szCs w:val="26"/>
          <w:lang w:val="lt-LT"/>
        </w:rPr>
        <w:t xml:space="preserve">; </w:t>
      </w:r>
      <w:r w:rsidRPr="0060365B">
        <w:rPr>
          <w:i/>
          <w:sz w:val="26"/>
          <w:szCs w:val="26"/>
          <w:lang w:val="lt-LT"/>
        </w:rPr>
        <w:t>Waller</w:t>
      </w:r>
      <w:r>
        <w:rPr>
          <w:i/>
          <w:sz w:val="26"/>
          <w:szCs w:val="26"/>
          <w:lang w:val="lt-LT"/>
        </w:rPr>
        <w:t xml:space="preserve">, </w:t>
      </w:r>
      <w:r w:rsidRPr="0060365B">
        <w:rPr>
          <w:i/>
          <w:sz w:val="26"/>
          <w:szCs w:val="26"/>
          <w:lang w:val="lt-LT"/>
        </w:rPr>
        <w:t>1993</w:t>
      </w:r>
      <w:r>
        <w:rPr>
          <w:i/>
          <w:sz w:val="26"/>
          <w:szCs w:val="26"/>
          <w:lang w:val="lt-LT"/>
        </w:rPr>
        <w:t xml:space="preserve">; </w:t>
      </w:r>
      <w:r w:rsidRPr="0060365B">
        <w:rPr>
          <w:i/>
          <w:sz w:val="26"/>
          <w:szCs w:val="26"/>
          <w:lang w:val="lt-LT"/>
        </w:rPr>
        <w:t>Byčkova</w:t>
      </w:r>
      <w:r>
        <w:rPr>
          <w:i/>
          <w:sz w:val="26"/>
          <w:szCs w:val="26"/>
          <w:lang w:val="lt-LT"/>
        </w:rPr>
        <w:t xml:space="preserve">, </w:t>
      </w:r>
      <w:r w:rsidRPr="0060365B">
        <w:rPr>
          <w:i/>
          <w:sz w:val="26"/>
          <w:szCs w:val="26"/>
          <w:lang w:val="lt-LT"/>
        </w:rPr>
        <w:t>1998</w:t>
      </w:r>
      <w:r w:rsidRPr="0060365B">
        <w:rPr>
          <w:i/>
          <w:color w:val="000000" w:themeColor="text1"/>
          <w:sz w:val="26"/>
          <w:szCs w:val="26"/>
          <w:lang w:val="lt-LT"/>
        </w:rPr>
        <w:t>)</w:t>
      </w:r>
      <w:r>
        <w:rPr>
          <w:i/>
          <w:color w:val="000000" w:themeColor="text1"/>
          <w:sz w:val="26"/>
          <w:szCs w:val="26"/>
          <w:lang w:val="lt-LT"/>
        </w:rPr>
        <w:t xml:space="preserve"> </w:t>
      </w:r>
      <w:r>
        <w:rPr>
          <w:sz w:val="26"/>
          <w:szCs w:val="26"/>
          <w:lang w:val="lt-LT"/>
        </w:rPr>
        <w:t xml:space="preserve">analizavo ryšius tarp atskirų audito rizikos komponentų ir jų įvertinimo įtaką audito rizikai. </w:t>
      </w:r>
    </w:p>
    <w:p w:rsidR="001B72E0" w:rsidRDefault="001B72E0" w:rsidP="001B72E0">
      <w:pPr>
        <w:spacing w:line="360" w:lineRule="auto"/>
        <w:ind w:firstLine="720"/>
        <w:jc w:val="both"/>
        <w:rPr>
          <w:sz w:val="26"/>
          <w:szCs w:val="26"/>
          <w:lang w:val="lt-LT"/>
        </w:rPr>
      </w:pPr>
      <w:r>
        <w:rPr>
          <w:sz w:val="26"/>
          <w:szCs w:val="26"/>
          <w:lang w:val="lt-LT"/>
        </w:rPr>
        <w:t>Audito rizikos vertinimo problemos praktikoje užsienio mokslo darbuose tikrinamos atliekant dviejų krypčių empirinius tyrimus: 1) tarpusavio ryšių tarp atskirų audito rizikos komponentų (</w:t>
      </w:r>
      <w:r w:rsidRPr="0060365B">
        <w:rPr>
          <w:i/>
          <w:color w:val="000000" w:themeColor="text1"/>
          <w:sz w:val="26"/>
          <w:szCs w:val="26"/>
          <w:lang w:val="lt-LT"/>
        </w:rPr>
        <w:t>Daniel</w:t>
      </w:r>
      <w:r>
        <w:rPr>
          <w:i/>
          <w:color w:val="000000" w:themeColor="text1"/>
          <w:sz w:val="26"/>
          <w:szCs w:val="26"/>
          <w:lang w:val="lt-LT"/>
        </w:rPr>
        <w:t xml:space="preserve">, </w:t>
      </w:r>
      <w:r w:rsidRPr="0060365B">
        <w:rPr>
          <w:i/>
          <w:color w:val="000000" w:themeColor="text1"/>
          <w:sz w:val="26"/>
          <w:szCs w:val="26"/>
          <w:lang w:val="lt-LT"/>
        </w:rPr>
        <w:t>1988</w:t>
      </w:r>
      <w:r>
        <w:rPr>
          <w:i/>
          <w:color w:val="000000" w:themeColor="text1"/>
          <w:sz w:val="26"/>
          <w:szCs w:val="26"/>
          <w:lang w:val="lt-LT"/>
        </w:rPr>
        <w:t>;</w:t>
      </w:r>
      <w:r w:rsidRPr="0060365B">
        <w:rPr>
          <w:i/>
          <w:sz w:val="26"/>
          <w:szCs w:val="26"/>
          <w:lang w:val="lt-LT"/>
        </w:rPr>
        <w:t xml:space="preserve"> Waller</w:t>
      </w:r>
      <w:r>
        <w:rPr>
          <w:i/>
          <w:sz w:val="26"/>
          <w:szCs w:val="26"/>
          <w:lang w:val="lt-LT"/>
        </w:rPr>
        <w:t xml:space="preserve">, </w:t>
      </w:r>
      <w:r w:rsidRPr="0060365B">
        <w:rPr>
          <w:i/>
          <w:sz w:val="26"/>
          <w:szCs w:val="26"/>
          <w:lang w:val="lt-LT"/>
        </w:rPr>
        <w:t>1993</w:t>
      </w:r>
      <w:r>
        <w:rPr>
          <w:i/>
          <w:sz w:val="26"/>
          <w:szCs w:val="26"/>
          <w:lang w:val="lt-LT"/>
        </w:rPr>
        <w:t xml:space="preserve">; </w:t>
      </w:r>
      <w:r w:rsidRPr="0060365B">
        <w:rPr>
          <w:i/>
          <w:sz w:val="26"/>
          <w:szCs w:val="26"/>
          <w:lang w:val="lt-LT"/>
        </w:rPr>
        <w:t>Dusenbury, Reimers, Wheeler</w:t>
      </w:r>
      <w:r>
        <w:rPr>
          <w:i/>
          <w:sz w:val="26"/>
          <w:szCs w:val="26"/>
          <w:lang w:val="lt-LT"/>
        </w:rPr>
        <w:t xml:space="preserve">, </w:t>
      </w:r>
      <w:r w:rsidRPr="0060365B">
        <w:rPr>
          <w:i/>
          <w:sz w:val="26"/>
          <w:szCs w:val="26"/>
          <w:lang w:val="lt-LT"/>
        </w:rPr>
        <w:t>2000</w:t>
      </w:r>
      <w:r>
        <w:rPr>
          <w:i/>
          <w:sz w:val="26"/>
          <w:szCs w:val="26"/>
          <w:lang w:val="lt-LT"/>
        </w:rPr>
        <w:t>;</w:t>
      </w:r>
      <w:r w:rsidRPr="0060365B">
        <w:rPr>
          <w:i/>
          <w:sz w:val="26"/>
          <w:szCs w:val="26"/>
          <w:lang w:val="lt-LT"/>
        </w:rPr>
        <w:t xml:space="preserve"> </w:t>
      </w:r>
      <w:r>
        <w:rPr>
          <w:i/>
          <w:sz w:val="26"/>
          <w:szCs w:val="26"/>
          <w:lang w:val="lt-LT"/>
        </w:rPr>
        <w:t>Kotchetova, Kozloski, Messier 2006)</w:t>
      </w:r>
      <w:r w:rsidRPr="005E2C9B">
        <w:rPr>
          <w:sz w:val="26"/>
          <w:szCs w:val="26"/>
          <w:lang w:val="lt-LT"/>
        </w:rPr>
        <w:t>; 2)</w:t>
      </w:r>
      <w:r>
        <w:rPr>
          <w:sz w:val="26"/>
          <w:szCs w:val="26"/>
          <w:lang w:val="lt-LT"/>
        </w:rPr>
        <w:t> audito rizikos komponentų priklausomybės nuo juos lemiančių sąlygų (veiksnių) (</w:t>
      </w:r>
      <w:r w:rsidRPr="005E2C9B">
        <w:rPr>
          <w:i/>
          <w:sz w:val="26"/>
          <w:szCs w:val="26"/>
          <w:lang w:val="lt-LT"/>
        </w:rPr>
        <w:t xml:space="preserve">Quadackers, Mock, </w:t>
      </w:r>
      <w:r>
        <w:rPr>
          <w:i/>
          <w:sz w:val="26"/>
          <w:szCs w:val="26"/>
          <w:lang w:val="lt-LT"/>
        </w:rPr>
        <w:t xml:space="preserve">Maijoor, </w:t>
      </w:r>
      <w:r w:rsidRPr="005E2C9B">
        <w:rPr>
          <w:i/>
          <w:sz w:val="26"/>
          <w:szCs w:val="26"/>
          <w:lang w:val="lt-LT"/>
        </w:rPr>
        <w:t>1996; Messier, Austen</w:t>
      </w:r>
      <w:r>
        <w:rPr>
          <w:i/>
          <w:sz w:val="26"/>
          <w:szCs w:val="26"/>
          <w:lang w:val="lt-LT"/>
        </w:rPr>
        <w:t>,</w:t>
      </w:r>
      <w:r w:rsidRPr="005E2C9B">
        <w:rPr>
          <w:i/>
          <w:sz w:val="26"/>
          <w:szCs w:val="26"/>
          <w:lang w:val="lt-LT"/>
        </w:rPr>
        <w:t xml:space="preserve"> 2000; Majid, Gul, Tsui</w:t>
      </w:r>
      <w:r>
        <w:rPr>
          <w:i/>
          <w:sz w:val="26"/>
          <w:szCs w:val="26"/>
          <w:lang w:val="lt-LT"/>
        </w:rPr>
        <w:t xml:space="preserve">, </w:t>
      </w:r>
      <w:r w:rsidRPr="005E2C9B">
        <w:rPr>
          <w:i/>
          <w:sz w:val="26"/>
          <w:szCs w:val="26"/>
          <w:lang w:val="lt-LT"/>
        </w:rPr>
        <w:t>2001; Graham, Bedard</w:t>
      </w:r>
      <w:r>
        <w:rPr>
          <w:i/>
          <w:sz w:val="26"/>
          <w:szCs w:val="26"/>
          <w:lang w:val="lt-LT"/>
        </w:rPr>
        <w:t xml:space="preserve">, </w:t>
      </w:r>
      <w:r w:rsidRPr="005E2C9B">
        <w:rPr>
          <w:i/>
          <w:sz w:val="26"/>
          <w:szCs w:val="26"/>
          <w:lang w:val="lt-LT"/>
        </w:rPr>
        <w:t>2003</w:t>
      </w:r>
      <w:r>
        <w:rPr>
          <w:i/>
          <w:sz w:val="26"/>
          <w:szCs w:val="26"/>
          <w:lang w:val="lt-LT"/>
        </w:rPr>
        <w:t>;</w:t>
      </w:r>
      <w:r w:rsidRPr="005E2C9B">
        <w:rPr>
          <w:i/>
          <w:sz w:val="26"/>
          <w:szCs w:val="26"/>
          <w:lang w:val="lt-LT"/>
        </w:rPr>
        <w:t xml:space="preserve"> Bhattacharjee, Moreno</w:t>
      </w:r>
      <w:r>
        <w:rPr>
          <w:i/>
          <w:sz w:val="26"/>
          <w:szCs w:val="26"/>
          <w:lang w:val="lt-LT"/>
        </w:rPr>
        <w:t xml:space="preserve">, </w:t>
      </w:r>
      <w:r w:rsidRPr="005E2C9B">
        <w:rPr>
          <w:i/>
          <w:sz w:val="26"/>
          <w:szCs w:val="26"/>
          <w:lang w:val="lt-LT"/>
        </w:rPr>
        <w:t>2002;</w:t>
      </w:r>
      <w:r>
        <w:rPr>
          <w:i/>
          <w:sz w:val="26"/>
          <w:szCs w:val="26"/>
          <w:lang w:val="lt-LT"/>
        </w:rPr>
        <w:t xml:space="preserve"> </w:t>
      </w:r>
      <w:r w:rsidRPr="005E2C9B">
        <w:rPr>
          <w:i/>
          <w:sz w:val="26"/>
          <w:szCs w:val="26"/>
          <w:lang w:val="lt-LT"/>
        </w:rPr>
        <w:t xml:space="preserve">Kizirian, </w:t>
      </w:r>
      <w:r>
        <w:rPr>
          <w:i/>
          <w:sz w:val="26"/>
          <w:szCs w:val="26"/>
          <w:lang w:val="lt-LT"/>
        </w:rPr>
        <w:t>M</w:t>
      </w:r>
      <w:r w:rsidRPr="005E2C9B">
        <w:rPr>
          <w:i/>
          <w:sz w:val="26"/>
          <w:szCs w:val="26"/>
          <w:lang w:val="lt-LT"/>
        </w:rPr>
        <w:t>ayhew, Sneathen</w:t>
      </w:r>
      <w:r>
        <w:rPr>
          <w:i/>
          <w:sz w:val="26"/>
          <w:szCs w:val="26"/>
          <w:lang w:val="lt-LT"/>
        </w:rPr>
        <w:t xml:space="preserve">, </w:t>
      </w:r>
      <w:r w:rsidRPr="005E2C9B">
        <w:rPr>
          <w:i/>
          <w:sz w:val="26"/>
          <w:szCs w:val="26"/>
          <w:lang w:val="lt-LT"/>
        </w:rPr>
        <w:t>2005</w:t>
      </w:r>
      <w:r>
        <w:rPr>
          <w:i/>
          <w:sz w:val="26"/>
          <w:szCs w:val="26"/>
          <w:lang w:val="lt-LT"/>
        </w:rPr>
        <w:t>;</w:t>
      </w:r>
      <w:r w:rsidRPr="005E2C9B">
        <w:rPr>
          <w:i/>
          <w:sz w:val="26"/>
          <w:szCs w:val="26"/>
          <w:lang w:val="lt-LT"/>
        </w:rPr>
        <w:t xml:space="preserve"> Chen, Huang, Shih</w:t>
      </w:r>
      <w:r>
        <w:rPr>
          <w:i/>
          <w:sz w:val="26"/>
          <w:szCs w:val="26"/>
          <w:lang w:val="lt-LT"/>
        </w:rPr>
        <w:t xml:space="preserve">, </w:t>
      </w:r>
      <w:r w:rsidRPr="005E2C9B">
        <w:rPr>
          <w:i/>
          <w:sz w:val="26"/>
          <w:szCs w:val="26"/>
          <w:lang w:val="lt-LT"/>
        </w:rPr>
        <w:t>2006</w:t>
      </w:r>
      <w:r w:rsidRPr="005E2C9B">
        <w:rPr>
          <w:sz w:val="26"/>
          <w:szCs w:val="26"/>
          <w:lang w:val="lt-LT"/>
        </w:rPr>
        <w:t>).</w:t>
      </w:r>
      <w:r>
        <w:rPr>
          <w:sz w:val="26"/>
          <w:szCs w:val="26"/>
          <w:lang w:val="lt-LT"/>
        </w:rPr>
        <w:t xml:space="preserve"> Tai leidžia teigti, kad visaapimantys audito rizikos vertinimo tyrimai nėra įgyvendinti.</w:t>
      </w:r>
    </w:p>
    <w:p w:rsidR="001B72E0" w:rsidRPr="0007429B" w:rsidRDefault="001B72E0" w:rsidP="001B72E0">
      <w:pPr>
        <w:spacing w:line="360" w:lineRule="auto"/>
        <w:ind w:firstLine="720"/>
        <w:jc w:val="both"/>
        <w:rPr>
          <w:sz w:val="26"/>
          <w:szCs w:val="26"/>
          <w:lang w:val="lt-LT"/>
        </w:rPr>
      </w:pPr>
      <w:r>
        <w:rPr>
          <w:sz w:val="26"/>
          <w:szCs w:val="26"/>
          <w:lang w:val="lt-LT"/>
        </w:rPr>
        <w:t xml:space="preserve">Audito rizikos problematika nagrinėjama ir Lietuvoje. Tačiau </w:t>
      </w:r>
      <w:r w:rsidRPr="0060365B">
        <w:rPr>
          <w:i/>
          <w:sz w:val="26"/>
          <w:szCs w:val="26"/>
          <w:lang w:val="lt-LT"/>
        </w:rPr>
        <w:t>D.</w:t>
      </w:r>
      <w:r>
        <w:rPr>
          <w:i/>
          <w:sz w:val="26"/>
          <w:szCs w:val="26"/>
          <w:lang w:val="lt-LT"/>
        </w:rPr>
        <w:t> </w:t>
      </w:r>
      <w:r w:rsidRPr="0060365B">
        <w:rPr>
          <w:i/>
          <w:sz w:val="26"/>
          <w:szCs w:val="26"/>
          <w:lang w:val="lt-LT"/>
        </w:rPr>
        <w:t xml:space="preserve">Daujotaitės (2006), V. Lakio (2007), J. Kabašinsko </w:t>
      </w:r>
      <w:r w:rsidRPr="00842BA4">
        <w:rPr>
          <w:sz w:val="26"/>
          <w:szCs w:val="26"/>
          <w:lang w:val="lt-LT"/>
        </w:rPr>
        <w:t>ir</w:t>
      </w:r>
      <w:r w:rsidRPr="0060365B">
        <w:rPr>
          <w:i/>
          <w:sz w:val="26"/>
          <w:szCs w:val="26"/>
          <w:lang w:val="lt-LT"/>
        </w:rPr>
        <w:t xml:space="preserve"> I. Toliatienės (1997</w:t>
      </w:r>
      <w:r w:rsidRPr="0060365B">
        <w:rPr>
          <w:sz w:val="26"/>
          <w:szCs w:val="26"/>
          <w:lang w:val="lt-LT"/>
        </w:rPr>
        <w:t>)</w:t>
      </w:r>
      <w:r w:rsidRPr="0060365B">
        <w:rPr>
          <w:i/>
          <w:sz w:val="26"/>
          <w:szCs w:val="26"/>
          <w:lang w:val="lt-LT"/>
        </w:rPr>
        <w:t>, R. Kanapickienės (2001, 2004), J. Mackevičiaus (1999, 2001, 2009), I.</w:t>
      </w:r>
      <w:r>
        <w:rPr>
          <w:i/>
          <w:sz w:val="26"/>
          <w:szCs w:val="26"/>
          <w:lang w:val="lt-LT"/>
        </w:rPr>
        <w:t> </w:t>
      </w:r>
      <w:r w:rsidRPr="0060365B">
        <w:rPr>
          <w:i/>
          <w:sz w:val="26"/>
          <w:szCs w:val="26"/>
          <w:lang w:val="lt-LT"/>
        </w:rPr>
        <w:t>Matickienės (1997)</w:t>
      </w:r>
      <w:r w:rsidR="00694C4D">
        <w:rPr>
          <w:i/>
          <w:sz w:val="26"/>
          <w:szCs w:val="26"/>
          <w:lang w:val="lt-LT"/>
        </w:rPr>
        <w:t xml:space="preserve"> </w:t>
      </w:r>
      <w:r w:rsidR="00694C4D" w:rsidRPr="00694C4D">
        <w:rPr>
          <w:sz w:val="26"/>
          <w:szCs w:val="26"/>
          <w:lang w:val="lt-LT"/>
        </w:rPr>
        <w:t>ir</w:t>
      </w:r>
      <w:r w:rsidRPr="0060365B">
        <w:rPr>
          <w:i/>
          <w:sz w:val="26"/>
          <w:szCs w:val="26"/>
          <w:lang w:val="lt-LT"/>
        </w:rPr>
        <w:t xml:space="preserve"> J. D. Staliūnienės (2001) </w:t>
      </w:r>
      <w:r w:rsidRPr="0060365B">
        <w:rPr>
          <w:sz w:val="26"/>
          <w:szCs w:val="26"/>
          <w:lang w:val="lt-LT"/>
        </w:rPr>
        <w:t xml:space="preserve">atliktuose </w:t>
      </w:r>
      <w:r>
        <w:rPr>
          <w:sz w:val="26"/>
          <w:szCs w:val="26"/>
          <w:lang w:val="lt-LT"/>
        </w:rPr>
        <w:t xml:space="preserve">teoriniuose </w:t>
      </w:r>
      <w:r w:rsidRPr="0060365B">
        <w:rPr>
          <w:sz w:val="26"/>
          <w:szCs w:val="26"/>
          <w:lang w:val="lt-LT"/>
        </w:rPr>
        <w:t xml:space="preserve">tyrimuose nagrinėjami </w:t>
      </w:r>
      <w:r>
        <w:rPr>
          <w:sz w:val="26"/>
          <w:szCs w:val="26"/>
          <w:lang w:val="lt-LT"/>
        </w:rPr>
        <w:t xml:space="preserve">tik esminiai </w:t>
      </w:r>
      <w:r w:rsidRPr="0060365B">
        <w:rPr>
          <w:sz w:val="26"/>
          <w:szCs w:val="26"/>
          <w:lang w:val="lt-LT"/>
        </w:rPr>
        <w:t>au</w:t>
      </w:r>
      <w:r w:rsidRPr="0060365B">
        <w:rPr>
          <w:color w:val="000000" w:themeColor="text1"/>
          <w:sz w:val="26"/>
          <w:szCs w:val="26"/>
          <w:lang w:val="lt-LT"/>
        </w:rPr>
        <w:t xml:space="preserve">dito rizikos sampratos </w:t>
      </w:r>
      <w:r>
        <w:rPr>
          <w:color w:val="000000" w:themeColor="text1"/>
          <w:sz w:val="26"/>
          <w:szCs w:val="26"/>
          <w:lang w:val="lt-LT"/>
        </w:rPr>
        <w:t>klausimai, o jos vertinimas tiriamas fr</w:t>
      </w:r>
      <w:r w:rsidRPr="0007429B">
        <w:rPr>
          <w:sz w:val="26"/>
          <w:szCs w:val="26"/>
          <w:lang w:val="lt-LT"/>
        </w:rPr>
        <w:t>agmentiškai</w:t>
      </w:r>
      <w:r>
        <w:rPr>
          <w:sz w:val="26"/>
          <w:szCs w:val="26"/>
          <w:lang w:val="lt-LT"/>
        </w:rPr>
        <w:t xml:space="preserve">, atskleidžiant </w:t>
      </w:r>
      <w:r w:rsidRPr="0007429B">
        <w:rPr>
          <w:sz w:val="26"/>
          <w:szCs w:val="26"/>
          <w:lang w:val="lt-LT"/>
        </w:rPr>
        <w:t>atskir</w:t>
      </w:r>
      <w:r>
        <w:rPr>
          <w:sz w:val="26"/>
          <w:szCs w:val="26"/>
          <w:lang w:val="lt-LT"/>
        </w:rPr>
        <w:t>ų</w:t>
      </w:r>
      <w:r w:rsidRPr="0007429B">
        <w:rPr>
          <w:sz w:val="26"/>
          <w:szCs w:val="26"/>
          <w:lang w:val="lt-LT"/>
        </w:rPr>
        <w:t xml:space="preserve"> audito rizikos </w:t>
      </w:r>
      <w:r>
        <w:rPr>
          <w:sz w:val="26"/>
          <w:szCs w:val="26"/>
          <w:lang w:val="lt-LT"/>
        </w:rPr>
        <w:t xml:space="preserve">komponentų </w:t>
      </w:r>
      <w:r w:rsidRPr="0007429B">
        <w:rPr>
          <w:sz w:val="26"/>
          <w:szCs w:val="26"/>
          <w:lang w:val="lt-LT"/>
        </w:rPr>
        <w:t xml:space="preserve">vertinimo </w:t>
      </w:r>
      <w:r>
        <w:rPr>
          <w:sz w:val="26"/>
          <w:szCs w:val="26"/>
          <w:lang w:val="lt-LT"/>
        </w:rPr>
        <w:t>aspektus</w:t>
      </w:r>
      <w:r w:rsidRPr="0007429B">
        <w:rPr>
          <w:sz w:val="26"/>
          <w:szCs w:val="26"/>
          <w:lang w:val="lt-LT"/>
        </w:rPr>
        <w:t>.</w:t>
      </w:r>
    </w:p>
    <w:p w:rsidR="001B72E0" w:rsidRPr="0060365B" w:rsidRDefault="001B72E0" w:rsidP="001B72E0">
      <w:pPr>
        <w:spacing w:line="360" w:lineRule="auto"/>
        <w:ind w:firstLine="720"/>
        <w:jc w:val="both"/>
        <w:rPr>
          <w:sz w:val="26"/>
          <w:szCs w:val="26"/>
          <w:lang w:val="lt-LT"/>
        </w:rPr>
      </w:pPr>
      <w:r>
        <w:rPr>
          <w:sz w:val="26"/>
          <w:szCs w:val="26"/>
          <w:lang w:val="lt-LT"/>
        </w:rPr>
        <w:t xml:space="preserve">Nors minėti moksliniai tyrimai praplečia audito rizikos sampratą ir vertinimo procesą, tačiau juose </w:t>
      </w:r>
      <w:r w:rsidRPr="0060365B">
        <w:rPr>
          <w:color w:val="000000" w:themeColor="text1"/>
          <w:sz w:val="26"/>
          <w:szCs w:val="26"/>
          <w:lang w:val="lt-LT"/>
        </w:rPr>
        <w:t>nepateikiama išsami, sisteminė audito rizikos vertinimo analizė</w:t>
      </w:r>
      <w:r>
        <w:rPr>
          <w:sz w:val="26"/>
          <w:szCs w:val="26"/>
          <w:lang w:val="lt-LT"/>
        </w:rPr>
        <w:t xml:space="preserve"> ir neatskleidžiamas sisteminis požiūris į audito rizikos vertinimą. </w:t>
      </w:r>
      <w:r w:rsidRPr="0060365B">
        <w:rPr>
          <w:sz w:val="26"/>
          <w:szCs w:val="26"/>
          <w:lang w:val="lt-LT"/>
        </w:rPr>
        <w:t>Atsižvelgiant į tai, konceptualaus ir metodologiškai pagrįsto audito rizikos vertinimo modelio nebuvimas yra aktuali spręstina</w:t>
      </w:r>
      <w:r w:rsidRPr="0060365B">
        <w:rPr>
          <w:b/>
          <w:sz w:val="26"/>
          <w:szCs w:val="26"/>
          <w:lang w:val="lt-LT"/>
        </w:rPr>
        <w:t xml:space="preserve"> </w:t>
      </w:r>
      <w:r w:rsidRPr="0060365B">
        <w:rPr>
          <w:sz w:val="26"/>
          <w:szCs w:val="26"/>
          <w:lang w:val="lt-LT"/>
        </w:rPr>
        <w:t>mokslinė problema.</w:t>
      </w:r>
    </w:p>
    <w:p w:rsidR="001B72E0" w:rsidRPr="0060365B" w:rsidRDefault="001B72E0" w:rsidP="001B72E0">
      <w:pPr>
        <w:spacing w:line="360" w:lineRule="auto"/>
        <w:ind w:firstLine="720"/>
        <w:jc w:val="both"/>
        <w:rPr>
          <w:sz w:val="26"/>
          <w:szCs w:val="26"/>
          <w:lang w:val="lt-LT"/>
        </w:rPr>
      </w:pPr>
      <w:r w:rsidRPr="0060365B">
        <w:rPr>
          <w:b/>
          <w:sz w:val="26"/>
          <w:szCs w:val="26"/>
          <w:lang w:val="lt-LT"/>
        </w:rPr>
        <w:t xml:space="preserve">Tyrimo objektas </w:t>
      </w:r>
      <w:r w:rsidRPr="0060365B">
        <w:rPr>
          <w:sz w:val="26"/>
          <w:szCs w:val="26"/>
          <w:lang w:val="lt-LT"/>
        </w:rPr>
        <w:t>– audito rizikos vertinimas.</w:t>
      </w:r>
    </w:p>
    <w:p w:rsidR="001B72E0" w:rsidRPr="0060365B" w:rsidRDefault="001B72E0" w:rsidP="001B72E0">
      <w:pPr>
        <w:spacing w:line="360" w:lineRule="auto"/>
        <w:ind w:firstLine="720"/>
        <w:jc w:val="both"/>
        <w:rPr>
          <w:sz w:val="26"/>
          <w:szCs w:val="26"/>
          <w:lang w:val="lt-LT"/>
        </w:rPr>
      </w:pPr>
      <w:r w:rsidRPr="0060365B">
        <w:rPr>
          <w:b/>
          <w:color w:val="000000" w:themeColor="text1"/>
          <w:sz w:val="26"/>
          <w:szCs w:val="26"/>
          <w:lang w:val="lt-LT"/>
        </w:rPr>
        <w:t>Tyrimo tikslas</w:t>
      </w:r>
      <w:r w:rsidRPr="0060365B">
        <w:rPr>
          <w:color w:val="000000" w:themeColor="text1"/>
          <w:sz w:val="26"/>
          <w:szCs w:val="26"/>
          <w:lang w:val="lt-LT"/>
        </w:rPr>
        <w:t xml:space="preserve"> – ištyrus audito rizikos sampratą ir jos vertinimo galimybes, sudaryti optimalų audito rizikos vertinimo modelį ir pritaikyti jį šiandieninėje verslo apli</w:t>
      </w:r>
      <w:r w:rsidRPr="0060365B">
        <w:rPr>
          <w:sz w:val="26"/>
          <w:szCs w:val="26"/>
          <w:lang w:val="lt-LT"/>
        </w:rPr>
        <w:t xml:space="preserve">nkoje. </w:t>
      </w:r>
    </w:p>
    <w:p w:rsidR="001B72E0" w:rsidRPr="0060365B" w:rsidRDefault="001B72E0" w:rsidP="001B72E0">
      <w:pPr>
        <w:spacing w:line="360" w:lineRule="auto"/>
        <w:ind w:firstLine="720"/>
        <w:jc w:val="both"/>
        <w:rPr>
          <w:sz w:val="26"/>
          <w:szCs w:val="26"/>
          <w:lang w:val="lt-LT"/>
        </w:rPr>
      </w:pPr>
      <w:r w:rsidRPr="0060365B">
        <w:rPr>
          <w:sz w:val="26"/>
          <w:szCs w:val="26"/>
          <w:lang w:val="lt-LT"/>
        </w:rPr>
        <w:t xml:space="preserve">Siekiant iškelto tikslo, sprendžiami tokie </w:t>
      </w:r>
      <w:r w:rsidRPr="0060365B">
        <w:rPr>
          <w:b/>
          <w:sz w:val="26"/>
          <w:szCs w:val="26"/>
          <w:lang w:val="lt-LT"/>
        </w:rPr>
        <w:t>uždaviniai</w:t>
      </w:r>
      <w:r w:rsidRPr="0060365B">
        <w:rPr>
          <w:sz w:val="26"/>
          <w:szCs w:val="26"/>
          <w:lang w:val="lt-LT"/>
        </w:rPr>
        <w:t>:</w:t>
      </w:r>
    </w:p>
    <w:p w:rsidR="001B72E0" w:rsidRPr="0060365B" w:rsidRDefault="001B72E0" w:rsidP="001B72E0">
      <w:pPr>
        <w:numPr>
          <w:ilvl w:val="0"/>
          <w:numId w:val="2"/>
        </w:numPr>
        <w:tabs>
          <w:tab w:val="clear" w:pos="1656"/>
          <w:tab w:val="num" w:pos="1134"/>
        </w:tabs>
        <w:spacing w:line="360" w:lineRule="auto"/>
        <w:ind w:left="0" w:firstLine="709"/>
        <w:jc w:val="both"/>
        <w:rPr>
          <w:sz w:val="26"/>
          <w:szCs w:val="26"/>
          <w:lang w:val="lt-LT"/>
        </w:rPr>
      </w:pPr>
      <w:r w:rsidRPr="0060365B">
        <w:rPr>
          <w:sz w:val="26"/>
          <w:szCs w:val="26"/>
          <w:lang w:val="lt-LT"/>
        </w:rPr>
        <w:t>išnagrinėti rizikos ekonomikoje prigimtį ir vertinimą;</w:t>
      </w:r>
    </w:p>
    <w:p w:rsidR="001B72E0" w:rsidRPr="0060365B" w:rsidRDefault="001B72E0" w:rsidP="001B72E0">
      <w:pPr>
        <w:numPr>
          <w:ilvl w:val="0"/>
          <w:numId w:val="2"/>
        </w:numPr>
        <w:tabs>
          <w:tab w:val="clear" w:pos="1656"/>
          <w:tab w:val="num" w:pos="1134"/>
        </w:tabs>
        <w:spacing w:line="360" w:lineRule="auto"/>
        <w:ind w:left="0" w:firstLine="709"/>
        <w:jc w:val="both"/>
        <w:rPr>
          <w:sz w:val="26"/>
          <w:szCs w:val="26"/>
          <w:lang w:val="lt-LT"/>
        </w:rPr>
      </w:pPr>
      <w:r w:rsidRPr="0060365B">
        <w:rPr>
          <w:sz w:val="26"/>
          <w:szCs w:val="26"/>
          <w:lang w:val="lt-LT"/>
        </w:rPr>
        <w:lastRenderedPageBreak/>
        <w:t xml:space="preserve">išanalizuoti audito rizikos sampratą, </w:t>
      </w:r>
      <w:r>
        <w:rPr>
          <w:sz w:val="26"/>
          <w:szCs w:val="26"/>
          <w:lang w:val="lt-LT"/>
        </w:rPr>
        <w:t>nustatan</w:t>
      </w:r>
      <w:r w:rsidRPr="0060365B">
        <w:rPr>
          <w:sz w:val="26"/>
          <w:szCs w:val="26"/>
          <w:lang w:val="lt-LT"/>
        </w:rPr>
        <w:t xml:space="preserve">t audito rizikos komponentus ir </w:t>
      </w:r>
      <w:r>
        <w:rPr>
          <w:sz w:val="26"/>
          <w:szCs w:val="26"/>
          <w:lang w:val="lt-LT"/>
        </w:rPr>
        <w:t xml:space="preserve">jų tarpusavio ryšius bei </w:t>
      </w:r>
      <w:r w:rsidRPr="0060365B">
        <w:rPr>
          <w:sz w:val="26"/>
          <w:szCs w:val="26"/>
          <w:lang w:val="lt-LT"/>
        </w:rPr>
        <w:t>esminius jų vertinimo ypatumus;</w:t>
      </w:r>
    </w:p>
    <w:p w:rsidR="001B72E0" w:rsidRPr="0060365B" w:rsidRDefault="001B72E0" w:rsidP="001B72E0">
      <w:pPr>
        <w:numPr>
          <w:ilvl w:val="0"/>
          <w:numId w:val="2"/>
        </w:numPr>
        <w:tabs>
          <w:tab w:val="clear" w:pos="1656"/>
          <w:tab w:val="num" w:pos="1134"/>
        </w:tabs>
        <w:spacing w:line="360" w:lineRule="auto"/>
        <w:ind w:left="0" w:firstLine="709"/>
        <w:jc w:val="both"/>
        <w:rPr>
          <w:sz w:val="26"/>
          <w:szCs w:val="26"/>
          <w:lang w:val="lt-LT"/>
        </w:rPr>
      </w:pPr>
      <w:r w:rsidRPr="0060365B">
        <w:rPr>
          <w:sz w:val="26"/>
          <w:szCs w:val="26"/>
          <w:lang w:val="lt-LT"/>
        </w:rPr>
        <w:t xml:space="preserve">atlikti kritinę mokslo darbuose siūlomų audito rizikos modelių lyginamąją analizę ir apibendrinti </w:t>
      </w:r>
      <w:r>
        <w:rPr>
          <w:sz w:val="26"/>
          <w:szCs w:val="26"/>
          <w:lang w:val="lt-LT"/>
        </w:rPr>
        <w:t>kryptis</w:t>
      </w:r>
      <w:r w:rsidRPr="0060365B">
        <w:rPr>
          <w:sz w:val="26"/>
          <w:szCs w:val="26"/>
          <w:lang w:val="lt-LT"/>
        </w:rPr>
        <w:t>, kurias tur</w:t>
      </w:r>
      <w:r>
        <w:rPr>
          <w:sz w:val="26"/>
          <w:szCs w:val="26"/>
          <w:lang w:val="lt-LT"/>
        </w:rPr>
        <w:t>i</w:t>
      </w:r>
      <w:r w:rsidRPr="0060365B">
        <w:rPr>
          <w:sz w:val="26"/>
          <w:szCs w:val="26"/>
          <w:lang w:val="lt-LT"/>
        </w:rPr>
        <w:t xml:space="preserve"> tenkinti darbo autorės sudarytas audito rizikos vertinimo modelis;</w:t>
      </w:r>
    </w:p>
    <w:p w:rsidR="001B72E0" w:rsidRPr="0060365B" w:rsidRDefault="001B72E0" w:rsidP="001B72E0">
      <w:pPr>
        <w:numPr>
          <w:ilvl w:val="0"/>
          <w:numId w:val="2"/>
        </w:numPr>
        <w:tabs>
          <w:tab w:val="clear" w:pos="1656"/>
          <w:tab w:val="num" w:pos="1134"/>
        </w:tabs>
        <w:spacing w:line="360" w:lineRule="auto"/>
        <w:ind w:left="0" w:firstLine="709"/>
        <w:jc w:val="both"/>
        <w:rPr>
          <w:sz w:val="26"/>
          <w:szCs w:val="26"/>
          <w:lang w:val="lt-LT"/>
        </w:rPr>
      </w:pPr>
      <w:r w:rsidRPr="00654AF6">
        <w:rPr>
          <w:sz w:val="26"/>
          <w:szCs w:val="26"/>
          <w:lang w:val="lt-LT"/>
        </w:rPr>
        <w:t>ištirti</w:t>
      </w:r>
      <w:r>
        <w:rPr>
          <w:sz w:val="26"/>
          <w:szCs w:val="26"/>
          <w:lang w:val="lt-LT"/>
        </w:rPr>
        <w:t xml:space="preserve"> su kokiomis problemomis </w:t>
      </w:r>
      <w:r w:rsidRPr="0060365B">
        <w:rPr>
          <w:sz w:val="26"/>
          <w:szCs w:val="26"/>
          <w:lang w:val="lt-LT"/>
        </w:rPr>
        <w:t xml:space="preserve">susiduriama </w:t>
      </w:r>
      <w:r>
        <w:rPr>
          <w:sz w:val="26"/>
          <w:szCs w:val="26"/>
          <w:lang w:val="lt-LT"/>
        </w:rPr>
        <w:t>audito pr</w:t>
      </w:r>
      <w:r w:rsidRPr="0060365B">
        <w:rPr>
          <w:sz w:val="26"/>
          <w:szCs w:val="26"/>
          <w:lang w:val="lt-LT"/>
        </w:rPr>
        <w:t xml:space="preserve">aktikoje vertinant audito riziką ir </w:t>
      </w:r>
      <w:r>
        <w:rPr>
          <w:sz w:val="26"/>
          <w:szCs w:val="26"/>
          <w:lang w:val="lt-LT"/>
        </w:rPr>
        <w:t>išskirti audito rizikos vertinimo modelio pritaikymui būtinas sąlygas</w:t>
      </w:r>
      <w:r w:rsidRPr="0060365B">
        <w:rPr>
          <w:sz w:val="26"/>
          <w:szCs w:val="26"/>
          <w:lang w:val="lt-LT"/>
        </w:rPr>
        <w:t>;</w:t>
      </w:r>
    </w:p>
    <w:p w:rsidR="001B72E0" w:rsidRDefault="001B72E0" w:rsidP="001B72E0">
      <w:pPr>
        <w:numPr>
          <w:ilvl w:val="0"/>
          <w:numId w:val="2"/>
        </w:numPr>
        <w:tabs>
          <w:tab w:val="clear" w:pos="1656"/>
          <w:tab w:val="num" w:pos="1134"/>
        </w:tabs>
        <w:spacing w:line="360" w:lineRule="auto"/>
        <w:ind w:left="0" w:firstLine="709"/>
        <w:jc w:val="both"/>
        <w:rPr>
          <w:sz w:val="26"/>
          <w:szCs w:val="26"/>
          <w:lang w:val="lt-LT"/>
        </w:rPr>
      </w:pPr>
      <w:r w:rsidRPr="0060365B">
        <w:rPr>
          <w:sz w:val="26"/>
          <w:szCs w:val="26"/>
          <w:lang w:val="lt-LT"/>
        </w:rPr>
        <w:t>sudaryti audito rizikos vertinimo modelį, kuris atskleistų sisteminį požiūrį į audito rizikos vertinimą, ir jį patikrinti konkrečių auditų pavyzdžiu.</w:t>
      </w:r>
    </w:p>
    <w:p w:rsidR="001B72E0" w:rsidRPr="0060365B" w:rsidRDefault="001B72E0" w:rsidP="001B72E0">
      <w:pPr>
        <w:spacing w:line="360" w:lineRule="auto"/>
        <w:ind w:firstLine="720"/>
        <w:jc w:val="both"/>
        <w:rPr>
          <w:b/>
          <w:sz w:val="26"/>
          <w:szCs w:val="26"/>
          <w:lang w:val="lt-LT"/>
        </w:rPr>
      </w:pPr>
      <w:r w:rsidRPr="0060365B">
        <w:rPr>
          <w:b/>
          <w:sz w:val="26"/>
          <w:szCs w:val="26"/>
          <w:lang w:val="lt-LT"/>
        </w:rPr>
        <w:t>Ginamieji disertacijos teiginiai:</w:t>
      </w:r>
    </w:p>
    <w:p w:rsidR="001B72E0" w:rsidRPr="0060365B" w:rsidRDefault="001B72E0" w:rsidP="001B72E0">
      <w:pPr>
        <w:pStyle w:val="ListParagraph"/>
        <w:numPr>
          <w:ilvl w:val="0"/>
          <w:numId w:val="26"/>
        </w:numPr>
        <w:tabs>
          <w:tab w:val="left" w:pos="993"/>
        </w:tabs>
        <w:spacing w:line="360" w:lineRule="auto"/>
        <w:ind w:left="0" w:firstLine="720"/>
        <w:jc w:val="both"/>
        <w:rPr>
          <w:sz w:val="26"/>
          <w:szCs w:val="26"/>
          <w:lang w:val="lt-LT"/>
        </w:rPr>
      </w:pPr>
      <w:r>
        <w:rPr>
          <w:sz w:val="26"/>
          <w:szCs w:val="26"/>
          <w:lang w:val="lt-LT"/>
        </w:rPr>
        <w:t xml:space="preserve">Iki šiol mokslo darbuose pateikti ir praktikoje taikomi </w:t>
      </w:r>
      <w:r w:rsidRPr="0060365B">
        <w:rPr>
          <w:sz w:val="26"/>
          <w:szCs w:val="26"/>
          <w:lang w:val="lt-LT"/>
        </w:rPr>
        <w:t>audito rizikos modeli</w:t>
      </w:r>
      <w:r>
        <w:rPr>
          <w:sz w:val="26"/>
          <w:szCs w:val="26"/>
          <w:lang w:val="lt-LT"/>
        </w:rPr>
        <w:t>ai</w:t>
      </w:r>
      <w:r w:rsidRPr="0060365B">
        <w:rPr>
          <w:sz w:val="26"/>
          <w:szCs w:val="26"/>
          <w:lang w:val="lt-LT"/>
        </w:rPr>
        <w:t xml:space="preserve"> neatspindi visų audito rizikos vertinimo klausimų, su kuriais besikeičiančioje verslo aplinkoje susiduria audito įmonės, atlikdamos finansinių ataskaitų auditą.</w:t>
      </w:r>
    </w:p>
    <w:p w:rsidR="001B72E0" w:rsidRPr="0060365B" w:rsidRDefault="001B72E0" w:rsidP="001B72E0">
      <w:pPr>
        <w:pStyle w:val="ListParagraph"/>
        <w:numPr>
          <w:ilvl w:val="0"/>
          <w:numId w:val="26"/>
        </w:numPr>
        <w:tabs>
          <w:tab w:val="left" w:pos="993"/>
        </w:tabs>
        <w:spacing w:line="360" w:lineRule="auto"/>
        <w:ind w:left="0" w:firstLine="720"/>
        <w:jc w:val="both"/>
        <w:rPr>
          <w:sz w:val="26"/>
          <w:szCs w:val="26"/>
          <w:lang w:val="lt-LT"/>
        </w:rPr>
      </w:pPr>
      <w:r w:rsidRPr="0060365B">
        <w:rPr>
          <w:sz w:val="26"/>
          <w:szCs w:val="26"/>
          <w:lang w:val="lt-LT"/>
        </w:rPr>
        <w:t>Audito rizikos vertinimo modelis turi apimti šiuos pagrindinius elementus: audito rizikos sąlygas</w:t>
      </w:r>
      <w:r>
        <w:rPr>
          <w:sz w:val="26"/>
          <w:szCs w:val="26"/>
          <w:lang w:val="lt-LT"/>
        </w:rPr>
        <w:t xml:space="preserve"> (veiksnius)</w:t>
      </w:r>
      <w:r w:rsidRPr="0060365B">
        <w:rPr>
          <w:sz w:val="26"/>
          <w:szCs w:val="26"/>
          <w:lang w:val="lt-LT"/>
        </w:rPr>
        <w:t>, audito rizikos komponentus ir audito rizikos vertinimo procesą audito metu.</w:t>
      </w:r>
    </w:p>
    <w:p w:rsidR="001B72E0" w:rsidRDefault="001B72E0" w:rsidP="001B72E0">
      <w:pPr>
        <w:pStyle w:val="ListParagraph"/>
        <w:numPr>
          <w:ilvl w:val="0"/>
          <w:numId w:val="26"/>
        </w:numPr>
        <w:tabs>
          <w:tab w:val="left" w:pos="993"/>
        </w:tabs>
        <w:spacing w:line="360" w:lineRule="auto"/>
        <w:ind w:left="0" w:firstLine="720"/>
        <w:jc w:val="both"/>
        <w:rPr>
          <w:sz w:val="26"/>
          <w:szCs w:val="26"/>
          <w:lang w:val="lt-LT"/>
        </w:rPr>
      </w:pPr>
      <w:r w:rsidRPr="0060365B">
        <w:rPr>
          <w:sz w:val="26"/>
          <w:szCs w:val="26"/>
          <w:lang w:val="lt-LT"/>
        </w:rPr>
        <w:t>Tarpusavio ryšiai tarp audito rizikos komponentų turi būti identifikuojami per atskirų audito rizikos komponentų priklausomybės ar bendrąjį jų vertinimą.</w:t>
      </w:r>
    </w:p>
    <w:p w:rsidR="001B72E0" w:rsidRPr="0060365B" w:rsidRDefault="001B72E0" w:rsidP="001B72E0">
      <w:pPr>
        <w:spacing w:line="360" w:lineRule="auto"/>
        <w:ind w:firstLine="709"/>
        <w:jc w:val="both"/>
        <w:rPr>
          <w:b/>
          <w:sz w:val="26"/>
          <w:szCs w:val="26"/>
          <w:lang w:val="lt-LT"/>
        </w:rPr>
      </w:pPr>
      <w:r w:rsidRPr="0060365B">
        <w:rPr>
          <w:b/>
          <w:sz w:val="26"/>
          <w:szCs w:val="26"/>
          <w:lang w:val="lt-LT"/>
        </w:rPr>
        <w:t xml:space="preserve">Mokslinį tyrimų naujumą ir teorinę darbo reikšmę </w:t>
      </w:r>
      <w:r w:rsidRPr="0060365B">
        <w:rPr>
          <w:sz w:val="26"/>
          <w:szCs w:val="26"/>
          <w:lang w:val="lt-LT"/>
        </w:rPr>
        <w:t>nusako teoriniai tyrimų rezultatai:</w:t>
      </w:r>
      <w:r w:rsidRPr="0060365B">
        <w:rPr>
          <w:b/>
          <w:sz w:val="26"/>
          <w:szCs w:val="26"/>
          <w:lang w:val="lt-LT"/>
        </w:rPr>
        <w:t xml:space="preserve"> </w:t>
      </w:r>
    </w:p>
    <w:p w:rsidR="001B72E0" w:rsidRPr="0060365B" w:rsidRDefault="001B72E0" w:rsidP="001B72E0">
      <w:pPr>
        <w:pStyle w:val="ListParagraph"/>
        <w:numPr>
          <w:ilvl w:val="0"/>
          <w:numId w:val="28"/>
        </w:numPr>
        <w:tabs>
          <w:tab w:val="left" w:pos="1134"/>
        </w:tabs>
        <w:spacing w:line="360" w:lineRule="auto"/>
        <w:ind w:left="0" w:firstLine="709"/>
        <w:jc w:val="both"/>
        <w:rPr>
          <w:b/>
          <w:sz w:val="26"/>
          <w:szCs w:val="26"/>
          <w:lang w:val="lt-LT"/>
        </w:rPr>
      </w:pPr>
      <w:r w:rsidRPr="0060365B">
        <w:rPr>
          <w:sz w:val="26"/>
          <w:szCs w:val="26"/>
          <w:lang w:val="lt-LT"/>
        </w:rPr>
        <w:t>atlikta audito rizikos ir jos vertinimo sampratos interpretacijų analizė leido</w:t>
      </w:r>
      <w:r>
        <w:rPr>
          <w:sz w:val="26"/>
          <w:szCs w:val="26"/>
          <w:lang w:val="lt-LT"/>
        </w:rPr>
        <w:t>:</w:t>
      </w:r>
      <w:r w:rsidRPr="0060365B">
        <w:rPr>
          <w:sz w:val="26"/>
          <w:szCs w:val="26"/>
          <w:lang w:val="lt-LT"/>
        </w:rPr>
        <w:t xml:space="preserve"> </w:t>
      </w:r>
      <w:r>
        <w:rPr>
          <w:sz w:val="26"/>
          <w:szCs w:val="26"/>
          <w:lang w:val="lt-LT"/>
        </w:rPr>
        <w:t>1) pritaikyti platesnį požiūrį a</w:t>
      </w:r>
      <w:r w:rsidR="00694C4D">
        <w:rPr>
          <w:sz w:val="26"/>
          <w:szCs w:val="26"/>
          <w:lang w:val="lt-LT"/>
        </w:rPr>
        <w:t>pibrėžiant a</w:t>
      </w:r>
      <w:r>
        <w:rPr>
          <w:sz w:val="26"/>
          <w:szCs w:val="26"/>
          <w:lang w:val="lt-LT"/>
        </w:rPr>
        <w:t>udito rizik</w:t>
      </w:r>
      <w:r w:rsidR="00694C4D">
        <w:rPr>
          <w:sz w:val="26"/>
          <w:szCs w:val="26"/>
          <w:lang w:val="lt-LT"/>
        </w:rPr>
        <w:t xml:space="preserve">ą ir </w:t>
      </w:r>
      <w:r w:rsidRPr="0060365B">
        <w:rPr>
          <w:sz w:val="26"/>
          <w:szCs w:val="26"/>
          <w:lang w:val="lt-LT"/>
        </w:rPr>
        <w:t xml:space="preserve">nustatyti teoriškai pagrįstą audito rizikos sampratos principinę schemą, </w:t>
      </w:r>
      <w:r w:rsidR="00694C4D">
        <w:rPr>
          <w:sz w:val="26"/>
          <w:szCs w:val="26"/>
          <w:lang w:val="en-GB"/>
        </w:rPr>
        <w:t>2</w:t>
      </w:r>
      <w:r>
        <w:rPr>
          <w:sz w:val="26"/>
          <w:szCs w:val="26"/>
          <w:lang w:val="lt-LT"/>
        </w:rPr>
        <w:t xml:space="preserve">) </w:t>
      </w:r>
      <w:r w:rsidRPr="0060365B">
        <w:rPr>
          <w:sz w:val="26"/>
          <w:szCs w:val="26"/>
          <w:lang w:val="lt-LT"/>
        </w:rPr>
        <w:t xml:space="preserve">išskirti </w:t>
      </w:r>
      <w:r>
        <w:rPr>
          <w:sz w:val="26"/>
          <w:szCs w:val="26"/>
          <w:lang w:val="lt-LT"/>
        </w:rPr>
        <w:t xml:space="preserve">esminius </w:t>
      </w:r>
      <w:r w:rsidRPr="0060365B">
        <w:rPr>
          <w:sz w:val="26"/>
          <w:szCs w:val="26"/>
          <w:lang w:val="lt-LT"/>
        </w:rPr>
        <w:t xml:space="preserve">audito rizikos komponentus ir </w:t>
      </w:r>
      <w:r w:rsidR="00694C4D">
        <w:rPr>
          <w:sz w:val="26"/>
          <w:szCs w:val="26"/>
          <w:lang w:val="lt-LT"/>
        </w:rPr>
        <w:t>3</w:t>
      </w:r>
      <w:r>
        <w:rPr>
          <w:sz w:val="26"/>
          <w:szCs w:val="26"/>
          <w:lang w:val="lt-LT"/>
        </w:rPr>
        <w:t xml:space="preserve">) </w:t>
      </w:r>
      <w:r w:rsidRPr="0060365B">
        <w:rPr>
          <w:sz w:val="26"/>
          <w:szCs w:val="26"/>
          <w:lang w:val="lt-LT"/>
        </w:rPr>
        <w:t>suklasifikuoti audito riziką ir jos komponentus lemiančias sąlygas bei veiksnius;</w:t>
      </w:r>
    </w:p>
    <w:p w:rsidR="001B72E0" w:rsidRPr="0060365B" w:rsidRDefault="001B72E0" w:rsidP="001B72E0">
      <w:pPr>
        <w:pStyle w:val="ListParagraph"/>
        <w:numPr>
          <w:ilvl w:val="0"/>
          <w:numId w:val="28"/>
        </w:numPr>
        <w:tabs>
          <w:tab w:val="left" w:pos="1134"/>
        </w:tabs>
        <w:spacing w:line="360" w:lineRule="auto"/>
        <w:ind w:left="0" w:firstLine="709"/>
        <w:jc w:val="both"/>
        <w:rPr>
          <w:b/>
          <w:sz w:val="26"/>
          <w:szCs w:val="26"/>
          <w:lang w:val="lt-LT"/>
        </w:rPr>
      </w:pPr>
      <w:r w:rsidRPr="0060365B">
        <w:rPr>
          <w:sz w:val="26"/>
          <w:szCs w:val="26"/>
          <w:lang w:val="lt-LT"/>
        </w:rPr>
        <w:t xml:space="preserve">pasiūlytas sisteminis požiūris į audito rizikos vertinimą. </w:t>
      </w:r>
      <w:r>
        <w:rPr>
          <w:sz w:val="26"/>
          <w:szCs w:val="26"/>
          <w:lang w:val="lt-LT"/>
        </w:rPr>
        <w:t xml:space="preserve">Šio </w:t>
      </w:r>
      <w:r w:rsidRPr="0060365B">
        <w:rPr>
          <w:sz w:val="26"/>
          <w:szCs w:val="26"/>
          <w:lang w:val="lt-LT"/>
        </w:rPr>
        <w:t>požiūri</w:t>
      </w:r>
      <w:r w:rsidR="00694C4D">
        <w:rPr>
          <w:sz w:val="26"/>
          <w:szCs w:val="26"/>
          <w:lang w:val="lt-LT"/>
        </w:rPr>
        <w:t xml:space="preserve">o naujumą atskleidžia tai, kad: </w:t>
      </w:r>
      <w:r>
        <w:rPr>
          <w:sz w:val="26"/>
          <w:szCs w:val="26"/>
          <w:lang w:val="lt-LT"/>
        </w:rPr>
        <w:t>1) </w:t>
      </w:r>
      <w:r w:rsidRPr="0060365B">
        <w:rPr>
          <w:sz w:val="26"/>
          <w:szCs w:val="26"/>
          <w:lang w:val="lt-LT"/>
        </w:rPr>
        <w:t xml:space="preserve">audito rizikos vertinimas siejamas ne tik su </w:t>
      </w:r>
      <w:r w:rsidRPr="0060365B">
        <w:rPr>
          <w:sz w:val="26"/>
          <w:szCs w:val="26"/>
          <w:lang w:val="lt-LT"/>
        </w:rPr>
        <w:lastRenderedPageBreak/>
        <w:t>atskirų audito rizikos komponentų nagrinėjimu, bet ir su juos lemiančių sąlygų</w:t>
      </w:r>
      <w:r>
        <w:rPr>
          <w:sz w:val="26"/>
          <w:szCs w:val="26"/>
          <w:lang w:val="lt-LT"/>
        </w:rPr>
        <w:t xml:space="preserve"> (</w:t>
      </w:r>
      <w:r w:rsidRPr="0060365B">
        <w:rPr>
          <w:sz w:val="26"/>
          <w:szCs w:val="26"/>
          <w:lang w:val="lt-LT"/>
        </w:rPr>
        <w:t>veiksnių</w:t>
      </w:r>
      <w:r>
        <w:rPr>
          <w:sz w:val="26"/>
          <w:szCs w:val="26"/>
          <w:lang w:val="lt-LT"/>
        </w:rPr>
        <w:t>)</w:t>
      </w:r>
      <w:r w:rsidRPr="0060365B">
        <w:rPr>
          <w:sz w:val="26"/>
          <w:szCs w:val="26"/>
          <w:lang w:val="lt-LT"/>
        </w:rPr>
        <w:t xml:space="preserve"> tikimybės bei pasireiškimo įtakos bendru įvertinimu</w:t>
      </w:r>
      <w:r>
        <w:rPr>
          <w:sz w:val="26"/>
          <w:szCs w:val="26"/>
          <w:lang w:val="lt-LT"/>
        </w:rPr>
        <w:t>;</w:t>
      </w:r>
      <w:r w:rsidRPr="0060365B">
        <w:rPr>
          <w:sz w:val="26"/>
          <w:szCs w:val="26"/>
          <w:lang w:val="lt-LT"/>
        </w:rPr>
        <w:t xml:space="preserve"> </w:t>
      </w:r>
      <w:r>
        <w:rPr>
          <w:sz w:val="26"/>
          <w:szCs w:val="26"/>
          <w:lang w:val="lt-LT"/>
        </w:rPr>
        <w:t xml:space="preserve">2) identifikuoti tarpusavio </w:t>
      </w:r>
      <w:r w:rsidRPr="0060365B">
        <w:rPr>
          <w:sz w:val="26"/>
          <w:szCs w:val="26"/>
          <w:lang w:val="lt-LT"/>
        </w:rPr>
        <w:t>ryši</w:t>
      </w:r>
      <w:r>
        <w:rPr>
          <w:sz w:val="26"/>
          <w:szCs w:val="26"/>
          <w:lang w:val="lt-LT"/>
        </w:rPr>
        <w:t>ai</w:t>
      </w:r>
      <w:r w:rsidRPr="0060365B">
        <w:rPr>
          <w:sz w:val="26"/>
          <w:szCs w:val="26"/>
          <w:lang w:val="lt-LT"/>
        </w:rPr>
        <w:t xml:space="preserve"> tarp atskirų audito rizikos komponentų</w:t>
      </w:r>
      <w:r>
        <w:rPr>
          <w:sz w:val="26"/>
          <w:szCs w:val="26"/>
          <w:lang w:val="lt-LT"/>
        </w:rPr>
        <w:t xml:space="preserve">; 3) audito rizikos vertinimas </w:t>
      </w:r>
      <w:r w:rsidRPr="0060365B">
        <w:rPr>
          <w:sz w:val="26"/>
          <w:szCs w:val="26"/>
          <w:lang w:val="lt-LT"/>
        </w:rPr>
        <w:t>susie</w:t>
      </w:r>
      <w:r>
        <w:rPr>
          <w:sz w:val="26"/>
          <w:szCs w:val="26"/>
          <w:lang w:val="lt-LT"/>
        </w:rPr>
        <w:t>tas</w:t>
      </w:r>
      <w:r w:rsidRPr="0060365B">
        <w:rPr>
          <w:sz w:val="26"/>
          <w:szCs w:val="26"/>
          <w:lang w:val="lt-LT"/>
        </w:rPr>
        <w:t xml:space="preserve"> su pačiu audito procesu;</w:t>
      </w:r>
    </w:p>
    <w:p w:rsidR="001B72E0" w:rsidRPr="00B12C33" w:rsidRDefault="001B72E0" w:rsidP="001B72E0">
      <w:pPr>
        <w:pStyle w:val="ListParagraph"/>
        <w:numPr>
          <w:ilvl w:val="0"/>
          <w:numId w:val="27"/>
        </w:numPr>
        <w:tabs>
          <w:tab w:val="left" w:pos="1134"/>
        </w:tabs>
        <w:spacing w:line="360" w:lineRule="auto"/>
        <w:ind w:left="0" w:firstLine="709"/>
        <w:jc w:val="both"/>
        <w:rPr>
          <w:sz w:val="26"/>
          <w:szCs w:val="26"/>
          <w:lang w:val="lt-LT"/>
        </w:rPr>
      </w:pPr>
      <w:r w:rsidRPr="00B12C33">
        <w:rPr>
          <w:sz w:val="26"/>
          <w:szCs w:val="26"/>
          <w:lang w:val="lt-LT"/>
        </w:rPr>
        <w:t>sudarytas patobulintas audito rizikos vertinimo modelis. Darbo autorės audito rizikos vertinimo modelyje nauja tai, kad jis išsamiai parodo: 1)</w:t>
      </w:r>
      <w:r w:rsidR="008872D7">
        <w:rPr>
          <w:sz w:val="26"/>
          <w:szCs w:val="26"/>
          <w:lang w:val="lt-LT"/>
        </w:rPr>
        <w:t> </w:t>
      </w:r>
      <w:r w:rsidRPr="00B12C33">
        <w:rPr>
          <w:sz w:val="26"/>
          <w:szCs w:val="26"/>
          <w:lang w:val="lt-LT"/>
        </w:rPr>
        <w:t>audito rizikos vertinimo proceso nuoseklumą; 2) sąlygas, į kurias reikia atsižvelgti vertinant konkrečius audito rizikos komponentus; 3) vertintinus audito rizikos komponentus; 4) audito rizikos komponentų vertinimo lygmenis; 4) tarpusavio ryšius tarp audito rizikos komponentų; 5) audito rizikos komponentų apskaičiavimo bei įvertinimo būdą; 6) audito rizikos vertinimo sąsajas su pačiu audito procesu; ir 7) kaip pasiekti priimtiną audito rizikos lygį. Taigi šis modelis įgyvendina sisteminį požiūrį į audito rizikos vertinimą.</w:t>
      </w:r>
    </w:p>
    <w:p w:rsidR="001B72E0" w:rsidRPr="00FC212C" w:rsidRDefault="001B72E0" w:rsidP="001B72E0">
      <w:pPr>
        <w:tabs>
          <w:tab w:val="left" w:pos="709"/>
        </w:tabs>
        <w:spacing w:line="360" w:lineRule="auto"/>
        <w:jc w:val="both"/>
        <w:rPr>
          <w:sz w:val="26"/>
          <w:szCs w:val="26"/>
          <w:lang w:val="lt-LT"/>
        </w:rPr>
      </w:pPr>
      <w:r>
        <w:rPr>
          <w:b/>
          <w:sz w:val="26"/>
          <w:szCs w:val="26"/>
          <w:lang w:val="lt-LT"/>
        </w:rPr>
        <w:tab/>
      </w:r>
      <w:r w:rsidRPr="00FC212C">
        <w:rPr>
          <w:b/>
          <w:sz w:val="26"/>
          <w:szCs w:val="26"/>
          <w:lang w:val="lt-LT"/>
        </w:rPr>
        <w:t>Praktin</w:t>
      </w:r>
      <w:r>
        <w:rPr>
          <w:b/>
          <w:sz w:val="26"/>
          <w:szCs w:val="26"/>
          <w:lang w:val="lt-LT"/>
        </w:rPr>
        <w:t>ė</w:t>
      </w:r>
      <w:r w:rsidRPr="00FC212C">
        <w:rPr>
          <w:b/>
          <w:sz w:val="26"/>
          <w:szCs w:val="26"/>
          <w:lang w:val="lt-LT"/>
        </w:rPr>
        <w:t xml:space="preserve"> darbo reikšm</w:t>
      </w:r>
      <w:r>
        <w:rPr>
          <w:b/>
          <w:sz w:val="26"/>
          <w:szCs w:val="26"/>
          <w:lang w:val="lt-LT"/>
        </w:rPr>
        <w:t xml:space="preserve">ė. </w:t>
      </w:r>
      <w:r w:rsidRPr="007A31B8">
        <w:rPr>
          <w:sz w:val="26"/>
          <w:szCs w:val="26"/>
          <w:lang w:val="lt-LT"/>
        </w:rPr>
        <w:t>Pasiūlyta</w:t>
      </w:r>
      <w:r>
        <w:rPr>
          <w:b/>
          <w:sz w:val="26"/>
          <w:szCs w:val="26"/>
          <w:lang w:val="lt-LT"/>
        </w:rPr>
        <w:t xml:space="preserve"> </w:t>
      </w:r>
      <w:r w:rsidRPr="00FC212C">
        <w:rPr>
          <w:sz w:val="26"/>
          <w:szCs w:val="26"/>
          <w:lang w:val="lt-LT"/>
        </w:rPr>
        <w:t xml:space="preserve">nauja audito rizikos komponentų </w:t>
      </w:r>
      <w:r w:rsidRPr="007A31B8">
        <w:rPr>
          <w:sz w:val="26"/>
          <w:szCs w:val="26"/>
          <w:lang w:val="lt-LT"/>
        </w:rPr>
        <w:t>kiekybinio įvertinimo metodika, kuri įgalina: 1) identifikuoti visus su audito rizikos komponentu susijusius veiksnius, įvertinant kiekvieno jų pasireiškimo tikimybę ir įtaką; 2) vertinti veiksnių svarbą atsižvelgiant į jų įtakos lygį; 3)</w:t>
      </w:r>
      <w:r w:rsidR="008872D7">
        <w:rPr>
          <w:sz w:val="26"/>
          <w:szCs w:val="26"/>
          <w:lang w:val="lt-LT"/>
        </w:rPr>
        <w:t> </w:t>
      </w:r>
      <w:r w:rsidRPr="007A31B8">
        <w:rPr>
          <w:sz w:val="26"/>
          <w:szCs w:val="26"/>
          <w:lang w:val="lt-LT"/>
        </w:rPr>
        <w:t xml:space="preserve">nustatyti rizikos lygį </w:t>
      </w:r>
      <w:r w:rsidR="00694C4D">
        <w:rPr>
          <w:sz w:val="26"/>
          <w:szCs w:val="26"/>
          <w:lang w:val="lt-LT"/>
        </w:rPr>
        <w:t xml:space="preserve">remiantis </w:t>
      </w:r>
      <w:r w:rsidRPr="007A31B8">
        <w:rPr>
          <w:sz w:val="26"/>
          <w:szCs w:val="26"/>
          <w:lang w:val="lt-LT"/>
        </w:rPr>
        <w:t>bendros rizikos ir maksimalios rizikos santyk</w:t>
      </w:r>
      <w:r w:rsidR="00694C4D">
        <w:rPr>
          <w:sz w:val="26"/>
          <w:szCs w:val="26"/>
          <w:lang w:val="lt-LT"/>
        </w:rPr>
        <w:t>iu</w:t>
      </w:r>
      <w:r w:rsidRPr="007A31B8">
        <w:rPr>
          <w:sz w:val="26"/>
          <w:szCs w:val="26"/>
          <w:lang w:val="lt-LT"/>
        </w:rPr>
        <w:t>. Todėl:</w:t>
      </w:r>
    </w:p>
    <w:p w:rsidR="001B72E0" w:rsidRPr="00FF6304" w:rsidRDefault="001B72E0" w:rsidP="001B72E0">
      <w:pPr>
        <w:pStyle w:val="ListParagraph"/>
        <w:numPr>
          <w:ilvl w:val="0"/>
          <w:numId w:val="29"/>
        </w:numPr>
        <w:tabs>
          <w:tab w:val="left" w:pos="1134"/>
        </w:tabs>
        <w:spacing w:line="360" w:lineRule="auto"/>
        <w:ind w:left="0" w:firstLine="709"/>
        <w:jc w:val="both"/>
        <w:rPr>
          <w:sz w:val="26"/>
          <w:szCs w:val="26"/>
          <w:lang w:val="lt-LT"/>
        </w:rPr>
      </w:pPr>
      <w:r w:rsidRPr="00FF6304">
        <w:rPr>
          <w:sz w:val="26"/>
          <w:szCs w:val="26"/>
          <w:lang w:val="lt-LT"/>
        </w:rPr>
        <w:t>sukurtu audito rizikos vertinimo modeliu ir audito rizikos komponentų kiekybinio įvertinimo metodika gali naudotis audito įmonės praktikoje, atlikdamos finansinių ataskaitų auditą,</w:t>
      </w:r>
      <w:r w:rsidRPr="00FF6304">
        <w:rPr>
          <w:sz w:val="26"/>
          <w:szCs w:val="26"/>
          <w:lang w:val="lt-LT" w:eastAsia="en-US"/>
        </w:rPr>
        <w:t xml:space="preserve"> nepriklausomai nuo audituojamos įmonės dydžio</w:t>
      </w:r>
      <w:r w:rsidRPr="00FF6304">
        <w:rPr>
          <w:sz w:val="26"/>
          <w:szCs w:val="26"/>
          <w:lang w:val="lt-LT"/>
        </w:rPr>
        <w:t xml:space="preserve"> ir veiklos pobūdžio. Taip pat audito įmonės, remdamosi</w:t>
      </w:r>
      <w:r>
        <w:rPr>
          <w:sz w:val="26"/>
          <w:szCs w:val="26"/>
          <w:lang w:val="lt-LT"/>
        </w:rPr>
        <w:t xml:space="preserve"> pasiūlytu </w:t>
      </w:r>
      <w:r w:rsidRPr="00FF6304">
        <w:rPr>
          <w:sz w:val="26"/>
          <w:szCs w:val="26"/>
          <w:lang w:val="lt-LT"/>
        </w:rPr>
        <w:t xml:space="preserve">audito rizikos vertinimo </w:t>
      </w:r>
      <w:r>
        <w:rPr>
          <w:sz w:val="26"/>
          <w:szCs w:val="26"/>
          <w:lang w:val="lt-LT"/>
        </w:rPr>
        <w:t>proceso nuoseklumu</w:t>
      </w:r>
      <w:r w:rsidRPr="00FF6304">
        <w:rPr>
          <w:sz w:val="26"/>
          <w:szCs w:val="26"/>
          <w:lang w:val="lt-LT"/>
        </w:rPr>
        <w:t>, patobulin</w:t>
      </w:r>
      <w:r>
        <w:rPr>
          <w:sz w:val="26"/>
          <w:szCs w:val="26"/>
          <w:lang w:val="lt-LT"/>
        </w:rPr>
        <w:t>s</w:t>
      </w:r>
      <w:r w:rsidRPr="00FF6304">
        <w:rPr>
          <w:sz w:val="26"/>
          <w:szCs w:val="26"/>
          <w:lang w:val="lt-LT"/>
        </w:rPr>
        <w:t xml:space="preserve"> savo turimas audito rizikos vertinimo metodikas ir sustiprin</w:t>
      </w:r>
      <w:r>
        <w:rPr>
          <w:sz w:val="26"/>
          <w:szCs w:val="26"/>
          <w:lang w:val="lt-LT"/>
        </w:rPr>
        <w:t>s</w:t>
      </w:r>
      <w:r w:rsidRPr="00FF6304">
        <w:rPr>
          <w:sz w:val="26"/>
          <w:szCs w:val="26"/>
          <w:lang w:val="lt-LT"/>
        </w:rPr>
        <w:t xml:space="preserve"> savo patirtį šioje srityje;</w:t>
      </w:r>
    </w:p>
    <w:p w:rsidR="001B72E0" w:rsidRPr="0060365B" w:rsidRDefault="001B72E0" w:rsidP="001B72E0">
      <w:pPr>
        <w:pStyle w:val="ListParagraph"/>
        <w:numPr>
          <w:ilvl w:val="0"/>
          <w:numId w:val="29"/>
        </w:numPr>
        <w:tabs>
          <w:tab w:val="left" w:pos="1134"/>
        </w:tabs>
        <w:spacing w:line="360" w:lineRule="auto"/>
        <w:ind w:left="0" w:firstLine="709"/>
        <w:jc w:val="both"/>
        <w:rPr>
          <w:sz w:val="26"/>
          <w:szCs w:val="26"/>
          <w:lang w:val="lt-LT"/>
        </w:rPr>
      </w:pPr>
      <w:r w:rsidRPr="0060365B">
        <w:rPr>
          <w:sz w:val="26"/>
          <w:szCs w:val="26"/>
          <w:lang w:val="lt-LT"/>
        </w:rPr>
        <w:t xml:space="preserve">sudarytas audito rizikos vertinimo modelis, atskleidžiantis audito </w:t>
      </w:r>
      <w:r>
        <w:rPr>
          <w:sz w:val="26"/>
          <w:szCs w:val="26"/>
          <w:lang w:val="lt-LT"/>
        </w:rPr>
        <w:t xml:space="preserve">rizikos </w:t>
      </w:r>
      <w:r w:rsidRPr="0060365B">
        <w:rPr>
          <w:sz w:val="26"/>
          <w:szCs w:val="26"/>
          <w:lang w:val="lt-LT"/>
        </w:rPr>
        <w:t xml:space="preserve">sampratą, yra tinkama mokslinė priemonė akademinės profesijos atstovams skleisti žinias visuomenei apie auditą bei atlikti tolesnius audito rizikos vertinimo tyrimus, o audito standartų leidėjams – gairės, kuriomis </w:t>
      </w:r>
      <w:r w:rsidRPr="0060365B">
        <w:rPr>
          <w:sz w:val="26"/>
          <w:szCs w:val="26"/>
          <w:lang w:val="lt-LT"/>
        </w:rPr>
        <w:lastRenderedPageBreak/>
        <w:t>remiantis būtų parengti aiškesni, išsamesni bei suprantamesni audito rizikos vertinimo standartai;</w:t>
      </w:r>
    </w:p>
    <w:p w:rsidR="001B72E0" w:rsidRPr="0060365B" w:rsidRDefault="001B72E0" w:rsidP="001B72E0">
      <w:pPr>
        <w:pStyle w:val="ListParagraph"/>
        <w:numPr>
          <w:ilvl w:val="0"/>
          <w:numId w:val="29"/>
        </w:numPr>
        <w:tabs>
          <w:tab w:val="left" w:pos="1134"/>
        </w:tabs>
        <w:spacing w:line="360" w:lineRule="auto"/>
        <w:ind w:left="0" w:firstLine="709"/>
        <w:jc w:val="both"/>
        <w:rPr>
          <w:sz w:val="26"/>
          <w:szCs w:val="26"/>
          <w:lang w:val="lt-LT"/>
        </w:rPr>
      </w:pPr>
      <w:r w:rsidRPr="0060365B">
        <w:rPr>
          <w:sz w:val="26"/>
          <w:szCs w:val="26"/>
          <w:lang w:val="lt-LT"/>
        </w:rPr>
        <w:t>sudarytu audito rizikos vertinimo modeliu ir pa</w:t>
      </w:r>
      <w:r>
        <w:rPr>
          <w:sz w:val="26"/>
          <w:szCs w:val="26"/>
          <w:lang w:val="lt-LT"/>
        </w:rPr>
        <w:t xml:space="preserve">siūlytu jo pritaikymu </w:t>
      </w:r>
      <w:r w:rsidRPr="0060365B">
        <w:rPr>
          <w:sz w:val="26"/>
          <w:szCs w:val="26"/>
          <w:lang w:val="lt-LT"/>
        </w:rPr>
        <w:t>gali remtis ir kiti finansinių ataskaitų naudotojai, t. y. įmonių vadovai, akcininkai bei finansų specialistai</w:t>
      </w:r>
      <w:r>
        <w:rPr>
          <w:sz w:val="26"/>
          <w:szCs w:val="26"/>
          <w:lang w:val="lt-LT"/>
        </w:rPr>
        <w:t>,</w:t>
      </w:r>
      <w:r w:rsidRPr="0060365B">
        <w:rPr>
          <w:sz w:val="26"/>
          <w:szCs w:val="26"/>
          <w:lang w:val="lt-LT"/>
        </w:rPr>
        <w:t xml:space="preserve"> </w:t>
      </w:r>
      <w:r>
        <w:rPr>
          <w:sz w:val="26"/>
          <w:szCs w:val="26"/>
          <w:lang w:val="lt-LT"/>
        </w:rPr>
        <w:t xml:space="preserve">tirdami </w:t>
      </w:r>
      <w:r w:rsidRPr="0060365B">
        <w:rPr>
          <w:sz w:val="26"/>
          <w:szCs w:val="26"/>
          <w:lang w:val="lt-LT"/>
        </w:rPr>
        <w:t>verslo aplinkoje pasireiškianči</w:t>
      </w:r>
      <w:r>
        <w:rPr>
          <w:sz w:val="26"/>
          <w:szCs w:val="26"/>
          <w:lang w:val="lt-LT"/>
        </w:rPr>
        <w:t>as</w:t>
      </w:r>
      <w:r w:rsidRPr="0060365B">
        <w:rPr>
          <w:sz w:val="26"/>
          <w:szCs w:val="26"/>
          <w:lang w:val="lt-LT"/>
        </w:rPr>
        <w:t xml:space="preserve"> rizik</w:t>
      </w:r>
      <w:r>
        <w:rPr>
          <w:sz w:val="26"/>
          <w:szCs w:val="26"/>
          <w:lang w:val="lt-LT"/>
        </w:rPr>
        <w:t>as</w:t>
      </w:r>
      <w:r w:rsidRPr="0060365B">
        <w:rPr>
          <w:sz w:val="26"/>
          <w:szCs w:val="26"/>
          <w:lang w:val="lt-LT"/>
        </w:rPr>
        <w:t xml:space="preserve"> </w:t>
      </w:r>
      <w:r>
        <w:rPr>
          <w:sz w:val="26"/>
          <w:szCs w:val="26"/>
          <w:lang w:val="lt-LT"/>
        </w:rPr>
        <w:t xml:space="preserve">ir atlikdami jų </w:t>
      </w:r>
      <w:r w:rsidRPr="0060365B">
        <w:rPr>
          <w:sz w:val="26"/>
          <w:szCs w:val="26"/>
          <w:lang w:val="lt-LT"/>
        </w:rPr>
        <w:t>vertinim</w:t>
      </w:r>
      <w:r>
        <w:rPr>
          <w:sz w:val="26"/>
          <w:szCs w:val="26"/>
          <w:lang w:val="lt-LT"/>
        </w:rPr>
        <w:t>ą</w:t>
      </w:r>
      <w:r w:rsidRPr="0060365B">
        <w:rPr>
          <w:sz w:val="26"/>
          <w:szCs w:val="26"/>
          <w:lang w:val="lt-LT"/>
        </w:rPr>
        <w:t>.</w:t>
      </w:r>
      <w:r>
        <w:rPr>
          <w:sz w:val="26"/>
          <w:szCs w:val="26"/>
          <w:lang w:val="lt-LT"/>
        </w:rPr>
        <w:t xml:space="preserve"> </w:t>
      </w:r>
    </w:p>
    <w:p w:rsidR="001B72E0" w:rsidRPr="0060365B" w:rsidRDefault="001B72E0" w:rsidP="001B72E0">
      <w:pPr>
        <w:spacing w:line="360" w:lineRule="auto"/>
        <w:ind w:firstLine="720"/>
        <w:jc w:val="both"/>
        <w:rPr>
          <w:sz w:val="26"/>
          <w:szCs w:val="26"/>
          <w:lang w:val="lt-LT"/>
        </w:rPr>
      </w:pPr>
      <w:r w:rsidRPr="0060365B">
        <w:rPr>
          <w:sz w:val="26"/>
          <w:szCs w:val="26"/>
          <w:lang w:val="lt-LT"/>
        </w:rPr>
        <w:t xml:space="preserve">Atsižvelgiant į tai, šio darbo rezultatai </w:t>
      </w:r>
      <w:r w:rsidR="00694C4D">
        <w:rPr>
          <w:sz w:val="26"/>
          <w:szCs w:val="26"/>
          <w:lang w:val="lt-LT"/>
        </w:rPr>
        <w:t>palengvi</w:t>
      </w:r>
      <w:r>
        <w:rPr>
          <w:sz w:val="26"/>
          <w:szCs w:val="26"/>
          <w:lang w:val="lt-LT"/>
        </w:rPr>
        <w:t>ns</w:t>
      </w:r>
      <w:r w:rsidRPr="0060365B">
        <w:rPr>
          <w:sz w:val="26"/>
          <w:szCs w:val="26"/>
          <w:lang w:val="lt-LT"/>
        </w:rPr>
        <w:t xml:space="preserve"> audito įmonių bei kitų rinkos dalyvių </w:t>
      </w:r>
      <w:r>
        <w:rPr>
          <w:sz w:val="26"/>
          <w:szCs w:val="26"/>
          <w:lang w:val="lt-LT"/>
        </w:rPr>
        <w:t xml:space="preserve">priimamus sprendimus </w:t>
      </w:r>
      <w:r w:rsidRPr="0060365B">
        <w:rPr>
          <w:sz w:val="26"/>
          <w:szCs w:val="26"/>
          <w:lang w:val="lt-LT"/>
        </w:rPr>
        <w:t>šiandieninėje verslo aplinkoje.</w:t>
      </w:r>
    </w:p>
    <w:p w:rsidR="001B72E0" w:rsidRDefault="001B72E0" w:rsidP="001B72E0">
      <w:pPr>
        <w:spacing w:line="360" w:lineRule="auto"/>
        <w:ind w:firstLine="709"/>
        <w:jc w:val="both"/>
        <w:rPr>
          <w:sz w:val="26"/>
          <w:szCs w:val="26"/>
          <w:lang w:val="lt-LT"/>
        </w:rPr>
      </w:pPr>
      <w:r w:rsidRPr="00815B0E">
        <w:rPr>
          <w:b/>
          <w:sz w:val="26"/>
          <w:szCs w:val="26"/>
          <w:lang w:val="lt-LT"/>
        </w:rPr>
        <w:t xml:space="preserve">Mokslinio tyrimo metodai. </w:t>
      </w:r>
      <w:r w:rsidRPr="00815B0E">
        <w:rPr>
          <w:sz w:val="26"/>
          <w:szCs w:val="26"/>
          <w:lang w:val="lt-LT"/>
        </w:rPr>
        <w:t xml:space="preserve">Teoriniams tyrimams, analizuojant audito rizikos ir jos vertinimo aspektus, naudotasi </w:t>
      </w:r>
      <w:r w:rsidRPr="00815B0E">
        <w:rPr>
          <w:i/>
          <w:sz w:val="26"/>
          <w:szCs w:val="26"/>
          <w:lang w:val="lt-LT"/>
        </w:rPr>
        <w:t>mokslinės literatūros analize</w:t>
      </w:r>
      <w:r w:rsidRPr="00815B0E">
        <w:rPr>
          <w:sz w:val="26"/>
          <w:szCs w:val="26"/>
          <w:lang w:val="lt-LT"/>
        </w:rPr>
        <w:t xml:space="preserve">, </w:t>
      </w:r>
      <w:r w:rsidRPr="00815B0E">
        <w:rPr>
          <w:i/>
          <w:sz w:val="26"/>
          <w:szCs w:val="26"/>
          <w:lang w:val="lt-LT"/>
        </w:rPr>
        <w:t>sisteminimu</w:t>
      </w:r>
      <w:r w:rsidRPr="00815B0E">
        <w:rPr>
          <w:sz w:val="26"/>
          <w:szCs w:val="26"/>
          <w:lang w:val="lt-LT"/>
        </w:rPr>
        <w:t xml:space="preserve">, </w:t>
      </w:r>
      <w:r w:rsidRPr="00815B0E">
        <w:rPr>
          <w:i/>
          <w:sz w:val="26"/>
          <w:szCs w:val="26"/>
          <w:lang w:val="lt-LT"/>
        </w:rPr>
        <w:t>sinteze</w:t>
      </w:r>
      <w:r w:rsidRPr="00815B0E">
        <w:rPr>
          <w:sz w:val="26"/>
          <w:szCs w:val="26"/>
          <w:lang w:val="lt-LT"/>
        </w:rPr>
        <w:t xml:space="preserve">, </w:t>
      </w:r>
      <w:r w:rsidRPr="00815B0E">
        <w:rPr>
          <w:i/>
          <w:sz w:val="26"/>
          <w:szCs w:val="26"/>
          <w:lang w:val="lt-LT"/>
        </w:rPr>
        <w:t>abstrahavimu</w:t>
      </w:r>
      <w:r w:rsidRPr="00815B0E">
        <w:rPr>
          <w:sz w:val="26"/>
          <w:szCs w:val="26"/>
          <w:lang w:val="lt-LT"/>
        </w:rPr>
        <w:t xml:space="preserve">, </w:t>
      </w:r>
      <w:r w:rsidRPr="00815B0E">
        <w:rPr>
          <w:i/>
          <w:sz w:val="26"/>
          <w:szCs w:val="26"/>
          <w:lang w:val="lt-LT"/>
        </w:rPr>
        <w:t>apibendrinimu</w:t>
      </w:r>
      <w:r w:rsidRPr="00815B0E">
        <w:rPr>
          <w:sz w:val="26"/>
          <w:szCs w:val="26"/>
          <w:lang w:val="lt-LT"/>
        </w:rPr>
        <w:t xml:space="preserve"> ir </w:t>
      </w:r>
      <w:r w:rsidRPr="00815B0E">
        <w:rPr>
          <w:i/>
          <w:sz w:val="26"/>
          <w:szCs w:val="26"/>
          <w:lang w:val="lt-LT"/>
        </w:rPr>
        <w:t>lyginimu</w:t>
      </w:r>
      <w:r w:rsidRPr="00815B0E">
        <w:rPr>
          <w:sz w:val="26"/>
          <w:szCs w:val="26"/>
          <w:lang w:val="lt-LT"/>
        </w:rPr>
        <w:t xml:space="preserve">. </w:t>
      </w:r>
      <w:r>
        <w:rPr>
          <w:sz w:val="26"/>
          <w:szCs w:val="26"/>
          <w:lang w:val="lt-LT"/>
        </w:rPr>
        <w:t>N</w:t>
      </w:r>
      <w:r w:rsidRPr="00815B0E">
        <w:rPr>
          <w:sz w:val="26"/>
          <w:szCs w:val="26"/>
          <w:lang w:val="lt-LT"/>
        </w:rPr>
        <w:t xml:space="preserve">agrinėta ekonomikos, vadybos, apskaitos ir audito bei kitų sričių mokslinė literatūra. </w:t>
      </w:r>
    </w:p>
    <w:p w:rsidR="001B72E0" w:rsidRPr="00815B0E" w:rsidRDefault="001B72E0" w:rsidP="001B72E0">
      <w:pPr>
        <w:spacing w:line="360" w:lineRule="auto"/>
        <w:ind w:firstLine="709"/>
        <w:jc w:val="both"/>
        <w:rPr>
          <w:sz w:val="26"/>
          <w:szCs w:val="26"/>
          <w:lang w:val="lt-LT"/>
        </w:rPr>
      </w:pPr>
      <w:r>
        <w:rPr>
          <w:sz w:val="26"/>
          <w:szCs w:val="26"/>
          <w:lang w:val="lt-LT"/>
        </w:rPr>
        <w:t>Siekiant išsiaiškinti praktines audito rizikos vertinimo problemas, atliktas empirinis tyrimas. Jo metu</w:t>
      </w:r>
      <w:r w:rsidRPr="00815B0E">
        <w:rPr>
          <w:sz w:val="26"/>
          <w:szCs w:val="26"/>
          <w:lang w:val="lt-LT"/>
        </w:rPr>
        <w:t xml:space="preserve"> naudoti socialinių tyrimų organizavimo elementai, taikytas anketinės apklausos metodas. Gauti empirinio tyrimo rezultatai apdoroti pasitelkus </w:t>
      </w:r>
      <w:r w:rsidRPr="00815B0E">
        <w:rPr>
          <w:i/>
          <w:sz w:val="26"/>
          <w:szCs w:val="26"/>
          <w:lang w:val="lt-LT"/>
        </w:rPr>
        <w:t>kokybinės</w:t>
      </w:r>
      <w:r w:rsidRPr="00815B0E">
        <w:rPr>
          <w:sz w:val="26"/>
          <w:szCs w:val="26"/>
          <w:lang w:val="lt-LT"/>
        </w:rPr>
        <w:t xml:space="preserve"> bei </w:t>
      </w:r>
      <w:r w:rsidRPr="00815B0E">
        <w:rPr>
          <w:i/>
          <w:sz w:val="26"/>
          <w:szCs w:val="26"/>
          <w:lang w:val="lt-LT"/>
        </w:rPr>
        <w:t xml:space="preserve">kiekybinės </w:t>
      </w:r>
      <w:r w:rsidRPr="00815B0E">
        <w:rPr>
          <w:sz w:val="26"/>
          <w:szCs w:val="26"/>
          <w:lang w:val="lt-LT"/>
        </w:rPr>
        <w:t xml:space="preserve">duomenų analizės metodus, pvz.: grafinį duomenų vaizdavimą, regresinę analizę, bei panaudojant programinę įrangą SPSS. </w:t>
      </w:r>
    </w:p>
    <w:p w:rsidR="001B72E0" w:rsidRDefault="001B72E0" w:rsidP="001B72E0">
      <w:pPr>
        <w:spacing w:line="360" w:lineRule="auto"/>
        <w:ind w:firstLine="709"/>
        <w:jc w:val="both"/>
        <w:rPr>
          <w:sz w:val="26"/>
          <w:szCs w:val="26"/>
          <w:lang w:val="lt-LT"/>
        </w:rPr>
      </w:pPr>
      <w:r w:rsidRPr="00815B0E">
        <w:rPr>
          <w:sz w:val="26"/>
          <w:szCs w:val="26"/>
          <w:lang w:val="lt-LT"/>
        </w:rPr>
        <w:t xml:space="preserve">Disertacijos objekto pažinimui ir iškeltam tikslui pasiekti taikyti </w:t>
      </w:r>
      <w:r w:rsidRPr="00815B0E">
        <w:rPr>
          <w:i/>
          <w:sz w:val="26"/>
          <w:szCs w:val="26"/>
          <w:lang w:val="lt-LT"/>
        </w:rPr>
        <w:t>indukcijos</w:t>
      </w:r>
      <w:r w:rsidRPr="00815B0E">
        <w:rPr>
          <w:sz w:val="26"/>
          <w:szCs w:val="26"/>
          <w:lang w:val="lt-LT"/>
        </w:rPr>
        <w:t xml:space="preserve"> ir </w:t>
      </w:r>
      <w:r w:rsidRPr="00815B0E">
        <w:rPr>
          <w:i/>
          <w:sz w:val="26"/>
          <w:szCs w:val="26"/>
          <w:lang w:val="lt-LT"/>
        </w:rPr>
        <w:t xml:space="preserve">dedukcijos </w:t>
      </w:r>
      <w:r w:rsidRPr="00815B0E">
        <w:rPr>
          <w:sz w:val="26"/>
          <w:szCs w:val="26"/>
          <w:lang w:val="lt-LT"/>
        </w:rPr>
        <w:t>metodai. Pirmiausia remiamasi indukciniu metodu: išnagrinėjamos tyrimo objekto sudedamosios dalys, kurios paskui sujungiamos į vieną visumą. Po to, taikant de</w:t>
      </w:r>
      <w:r w:rsidRPr="00815B0E">
        <w:rPr>
          <w:color w:val="000000" w:themeColor="text1"/>
          <w:sz w:val="26"/>
          <w:szCs w:val="26"/>
          <w:lang w:val="lt-LT"/>
        </w:rPr>
        <w:t xml:space="preserve">dukcinio metodo nuoseklumą, sudarytas audito rizikos vertinimo modelis yra skaidomas į sudedamuosius elementus, kurie nagrinėjami ir vertinami atskirai. Tikrinant sudaryto modelio pritaikymą praktikoje, suformuluojamos hipotezės, o joms priimti/atmesti taikoma </w:t>
      </w:r>
      <w:r w:rsidRPr="00815B0E">
        <w:rPr>
          <w:i/>
          <w:color w:val="000000" w:themeColor="text1"/>
          <w:sz w:val="26"/>
          <w:szCs w:val="26"/>
          <w:lang w:val="lt-LT"/>
        </w:rPr>
        <w:t>loginė analizė</w:t>
      </w:r>
      <w:r w:rsidRPr="00815B0E">
        <w:rPr>
          <w:color w:val="000000" w:themeColor="text1"/>
          <w:sz w:val="26"/>
          <w:szCs w:val="26"/>
          <w:lang w:val="lt-LT"/>
        </w:rPr>
        <w:t>.</w:t>
      </w:r>
      <w:r>
        <w:rPr>
          <w:color w:val="000000" w:themeColor="text1"/>
          <w:sz w:val="26"/>
          <w:szCs w:val="26"/>
          <w:lang w:val="lt-LT"/>
        </w:rPr>
        <w:t xml:space="preserve"> </w:t>
      </w:r>
      <w:r w:rsidRPr="00815B0E">
        <w:rPr>
          <w:i/>
          <w:sz w:val="26"/>
          <w:szCs w:val="26"/>
          <w:lang w:val="lt-LT"/>
        </w:rPr>
        <w:t>Logine analize</w:t>
      </w:r>
      <w:r w:rsidRPr="00815B0E">
        <w:rPr>
          <w:sz w:val="26"/>
          <w:szCs w:val="26"/>
          <w:lang w:val="lt-LT"/>
        </w:rPr>
        <w:t xml:space="preserve"> taip pat naudotasi apibendrinant bei palyginant teorinius teiginius ir empirinių tyrimų rezultatus bei darant išvadas.</w:t>
      </w:r>
    </w:p>
    <w:p w:rsidR="00A1264F" w:rsidRPr="00694C4D" w:rsidRDefault="00A1264F" w:rsidP="00694C4D">
      <w:pPr>
        <w:spacing w:line="360" w:lineRule="auto"/>
        <w:ind w:firstLine="720"/>
        <w:jc w:val="both"/>
        <w:rPr>
          <w:b/>
          <w:sz w:val="26"/>
          <w:szCs w:val="26"/>
          <w:lang w:val="lt-LT"/>
        </w:rPr>
      </w:pPr>
      <w:r w:rsidRPr="0060365B">
        <w:rPr>
          <w:b/>
          <w:sz w:val="26"/>
          <w:szCs w:val="26"/>
          <w:lang w:val="lt-LT"/>
        </w:rPr>
        <w:t>Mokslinio tyrimo rezultatų disertacijos tema paskelbimas</w:t>
      </w:r>
      <w:r w:rsidR="00694C4D" w:rsidRPr="00694C4D">
        <w:rPr>
          <w:sz w:val="26"/>
          <w:szCs w:val="26"/>
          <w:lang w:val="lt-LT"/>
        </w:rPr>
        <w:t>.</w:t>
      </w:r>
      <w:r w:rsidR="00694C4D">
        <w:rPr>
          <w:b/>
          <w:sz w:val="26"/>
          <w:szCs w:val="26"/>
          <w:lang w:val="lt-LT"/>
        </w:rPr>
        <w:t xml:space="preserve"> </w:t>
      </w:r>
      <w:r w:rsidRPr="0060365B">
        <w:rPr>
          <w:sz w:val="26"/>
          <w:szCs w:val="26"/>
          <w:lang w:val="lt-LT"/>
        </w:rPr>
        <w:t xml:space="preserve">Mokslinio tyrimo rezultatai paskelbti </w:t>
      </w:r>
      <w:r w:rsidR="00802296" w:rsidRPr="0060365B">
        <w:rPr>
          <w:sz w:val="26"/>
          <w:szCs w:val="26"/>
          <w:lang w:val="lt-LT"/>
        </w:rPr>
        <w:t>septyniose</w:t>
      </w:r>
      <w:r w:rsidR="00234D67" w:rsidRPr="0060365B">
        <w:rPr>
          <w:sz w:val="26"/>
          <w:szCs w:val="26"/>
          <w:lang w:val="lt-LT"/>
        </w:rPr>
        <w:t xml:space="preserve"> m</w:t>
      </w:r>
      <w:r w:rsidRPr="0060365B">
        <w:rPr>
          <w:sz w:val="26"/>
          <w:szCs w:val="26"/>
          <w:lang w:val="lt-LT"/>
        </w:rPr>
        <w:t xml:space="preserve">okslinėse publikacijose, </w:t>
      </w:r>
      <w:r w:rsidR="00234D67" w:rsidRPr="0060365B">
        <w:rPr>
          <w:sz w:val="26"/>
          <w:szCs w:val="26"/>
          <w:lang w:val="lt-LT"/>
        </w:rPr>
        <w:t xml:space="preserve">iš </w:t>
      </w:r>
      <w:r w:rsidR="00234D67" w:rsidRPr="0060365B">
        <w:rPr>
          <w:sz w:val="26"/>
          <w:szCs w:val="26"/>
          <w:lang w:val="lt-LT"/>
        </w:rPr>
        <w:lastRenderedPageBreak/>
        <w:t xml:space="preserve">kurių </w:t>
      </w:r>
      <w:r w:rsidR="00776C0B" w:rsidRPr="0060365B">
        <w:rPr>
          <w:sz w:val="26"/>
          <w:szCs w:val="26"/>
          <w:lang w:val="lt-LT"/>
        </w:rPr>
        <w:t>trys</w:t>
      </w:r>
      <w:r w:rsidR="00234D67" w:rsidRPr="0060365B">
        <w:rPr>
          <w:sz w:val="26"/>
          <w:szCs w:val="26"/>
          <w:lang w:val="lt-LT"/>
        </w:rPr>
        <w:t xml:space="preserve"> –</w:t>
      </w:r>
      <w:r w:rsidR="001D23C7">
        <w:rPr>
          <w:sz w:val="26"/>
          <w:szCs w:val="26"/>
          <w:lang w:val="lt-LT"/>
        </w:rPr>
        <w:t xml:space="preserve"> </w:t>
      </w:r>
      <w:r w:rsidRPr="0060365B">
        <w:rPr>
          <w:sz w:val="26"/>
          <w:szCs w:val="26"/>
          <w:lang w:val="lt-LT"/>
        </w:rPr>
        <w:t>Lietuvos Mokslo Tarybos daktaro disertacijai p</w:t>
      </w:r>
      <w:r w:rsidR="00234D67" w:rsidRPr="0060365B">
        <w:rPr>
          <w:sz w:val="26"/>
          <w:szCs w:val="26"/>
          <w:lang w:val="lt-LT"/>
        </w:rPr>
        <w:t>ripažintuose mokslo leidiniuose.</w:t>
      </w:r>
    </w:p>
    <w:p w:rsidR="00234D67" w:rsidRPr="0060365B" w:rsidRDefault="00234D67" w:rsidP="00A1264F">
      <w:pPr>
        <w:spacing w:line="360" w:lineRule="auto"/>
        <w:ind w:firstLine="709"/>
        <w:jc w:val="both"/>
        <w:rPr>
          <w:sz w:val="26"/>
          <w:szCs w:val="26"/>
          <w:lang w:val="lt-LT"/>
        </w:rPr>
      </w:pPr>
      <w:r w:rsidRPr="0060365B">
        <w:rPr>
          <w:sz w:val="26"/>
          <w:szCs w:val="26"/>
          <w:lang w:val="lt-LT"/>
        </w:rPr>
        <w:t>Lietuvos Mokslo Tarybos daktaro disertacijai pripažintuose mokslo leidiniuose</w:t>
      </w:r>
      <w:r w:rsidR="008F6DE3" w:rsidRPr="0060365B">
        <w:rPr>
          <w:sz w:val="26"/>
          <w:szCs w:val="26"/>
          <w:lang w:val="lt-LT"/>
        </w:rPr>
        <w:t>:</w:t>
      </w:r>
    </w:p>
    <w:p w:rsidR="00776C0B" w:rsidRPr="0060365B" w:rsidRDefault="00A1264F" w:rsidP="00A1264F">
      <w:pPr>
        <w:spacing w:line="360" w:lineRule="auto"/>
        <w:ind w:firstLine="709"/>
        <w:jc w:val="both"/>
        <w:rPr>
          <w:sz w:val="26"/>
          <w:szCs w:val="26"/>
        </w:rPr>
      </w:pPr>
      <w:r w:rsidRPr="0060365B">
        <w:rPr>
          <w:sz w:val="26"/>
          <w:szCs w:val="26"/>
          <w:lang w:val="lt-LT"/>
        </w:rPr>
        <w:t>1. Jankūnaitė R</w:t>
      </w:r>
      <w:r w:rsidR="00E057AA">
        <w:rPr>
          <w:sz w:val="26"/>
          <w:szCs w:val="26"/>
          <w:lang w:val="lt-LT"/>
        </w:rPr>
        <w:t>.</w:t>
      </w:r>
      <w:r w:rsidRPr="0060365B">
        <w:rPr>
          <w:sz w:val="26"/>
          <w:szCs w:val="26"/>
          <w:lang w:val="lt-LT"/>
        </w:rPr>
        <w:t>, Kanapickienė R</w:t>
      </w:r>
      <w:r w:rsidR="00802296" w:rsidRPr="0060365B">
        <w:rPr>
          <w:sz w:val="26"/>
          <w:szCs w:val="26"/>
          <w:lang w:val="lt-LT"/>
        </w:rPr>
        <w:t>.</w:t>
      </w:r>
      <w:r w:rsidRPr="0060365B">
        <w:rPr>
          <w:sz w:val="26"/>
          <w:szCs w:val="26"/>
          <w:lang w:val="lt-LT"/>
        </w:rPr>
        <w:t>, Gipienė G</w:t>
      </w:r>
      <w:r w:rsidR="00802296" w:rsidRPr="0060365B">
        <w:rPr>
          <w:sz w:val="26"/>
          <w:szCs w:val="26"/>
          <w:lang w:val="lt-LT"/>
        </w:rPr>
        <w:t>.</w:t>
      </w:r>
      <w:r w:rsidRPr="0060365B">
        <w:rPr>
          <w:sz w:val="26"/>
          <w:szCs w:val="26"/>
          <w:lang w:val="lt-LT"/>
        </w:rPr>
        <w:t xml:space="preserve"> </w:t>
      </w:r>
      <w:r w:rsidRPr="0060365B">
        <w:rPr>
          <w:i/>
          <w:sz w:val="26"/>
          <w:szCs w:val="26"/>
          <w:lang w:val="en-GB"/>
        </w:rPr>
        <w:t>Employment of audit risk models</w:t>
      </w:r>
      <w:r w:rsidR="00802296" w:rsidRPr="0060365B">
        <w:rPr>
          <w:i/>
          <w:sz w:val="26"/>
          <w:szCs w:val="26"/>
          <w:lang w:val="en-GB"/>
        </w:rPr>
        <w:t>.</w:t>
      </w:r>
      <w:r w:rsidRPr="0060365B">
        <w:rPr>
          <w:sz w:val="26"/>
          <w:szCs w:val="26"/>
          <w:lang w:val="en-GB"/>
        </w:rPr>
        <w:t xml:space="preserve"> </w:t>
      </w:r>
      <w:r w:rsidRPr="0060365B">
        <w:rPr>
          <w:sz w:val="26"/>
          <w:szCs w:val="26"/>
          <w:lang w:val="lt-LT"/>
        </w:rPr>
        <w:t xml:space="preserve">Ekonomika: mokslo darbai, </w:t>
      </w:r>
      <w:r w:rsidRPr="0060365B">
        <w:rPr>
          <w:sz w:val="26"/>
          <w:szCs w:val="26"/>
        </w:rPr>
        <w:t>2005, t. 71, p. 59 – 76</w:t>
      </w:r>
      <w:r w:rsidRPr="0060365B">
        <w:rPr>
          <w:sz w:val="26"/>
          <w:szCs w:val="26"/>
          <w:lang w:val="en-GB"/>
        </w:rPr>
        <w:t>.</w:t>
      </w:r>
      <w:r w:rsidRPr="0060365B">
        <w:rPr>
          <w:sz w:val="26"/>
          <w:szCs w:val="26"/>
        </w:rPr>
        <w:t xml:space="preserve"> ISSN 1392-1258.</w:t>
      </w:r>
    </w:p>
    <w:p w:rsidR="00776C0B" w:rsidRPr="0060365B" w:rsidRDefault="00D104EF" w:rsidP="00A1264F">
      <w:pPr>
        <w:spacing w:line="360" w:lineRule="auto"/>
        <w:ind w:firstLine="709"/>
        <w:jc w:val="both"/>
        <w:rPr>
          <w:sz w:val="26"/>
          <w:szCs w:val="26"/>
        </w:rPr>
      </w:pPr>
      <w:r>
        <w:rPr>
          <w:sz w:val="26"/>
          <w:szCs w:val="26"/>
        </w:rPr>
        <w:t>2</w:t>
      </w:r>
      <w:r w:rsidR="00776C0B" w:rsidRPr="0060365B">
        <w:rPr>
          <w:sz w:val="26"/>
          <w:szCs w:val="26"/>
        </w:rPr>
        <w:t xml:space="preserve">. </w:t>
      </w:r>
      <w:r w:rsidR="00776C0B" w:rsidRPr="0060365B">
        <w:rPr>
          <w:sz w:val="26"/>
          <w:szCs w:val="26"/>
          <w:lang w:val="lt-LT"/>
        </w:rPr>
        <w:t xml:space="preserve">Jankūnaitė R. </w:t>
      </w:r>
      <w:r w:rsidR="00776C0B" w:rsidRPr="0060365B">
        <w:rPr>
          <w:i/>
          <w:sz w:val="26"/>
          <w:szCs w:val="26"/>
          <w:lang w:val="lt-LT"/>
        </w:rPr>
        <w:t>Audito rizikos veiksniai globalioje ekonomikoje.</w:t>
      </w:r>
      <w:r w:rsidR="00776C0B" w:rsidRPr="0060365B">
        <w:rPr>
          <w:sz w:val="26"/>
          <w:szCs w:val="26"/>
          <w:lang w:val="lt-LT"/>
        </w:rPr>
        <w:t xml:space="preserve"> </w:t>
      </w:r>
      <w:r w:rsidR="00776C0B" w:rsidRPr="0060365B">
        <w:rPr>
          <w:bCs/>
          <w:sz w:val="26"/>
          <w:szCs w:val="26"/>
          <w:lang w:val="lt-LT"/>
        </w:rPr>
        <w:t xml:space="preserve">Ekonomika ir vadyba: Tarptautinės mokslinės konferencijos pranešimų medžiaga. Kauno technologijos universitetas, </w:t>
      </w:r>
      <w:r w:rsidR="00776C0B" w:rsidRPr="0060365B">
        <w:rPr>
          <w:bCs/>
          <w:sz w:val="26"/>
          <w:szCs w:val="26"/>
        </w:rPr>
        <w:t>2007, p. 46 – 53. ISSN 1822-6515.</w:t>
      </w:r>
    </w:p>
    <w:p w:rsidR="00234D67" w:rsidRPr="0060365B" w:rsidRDefault="00234D67" w:rsidP="00A1264F">
      <w:pPr>
        <w:spacing w:line="360" w:lineRule="auto"/>
        <w:ind w:firstLine="709"/>
        <w:jc w:val="both"/>
        <w:rPr>
          <w:sz w:val="26"/>
          <w:szCs w:val="26"/>
          <w:lang w:val="lt-LT"/>
        </w:rPr>
      </w:pPr>
      <w:r w:rsidRPr="0060365B">
        <w:rPr>
          <w:sz w:val="26"/>
          <w:szCs w:val="26"/>
          <w:lang w:val="lt-LT"/>
        </w:rPr>
        <w:t>Kituose leidiniuose:</w:t>
      </w:r>
    </w:p>
    <w:p w:rsidR="00A1264F" w:rsidRPr="0060365B" w:rsidRDefault="00A1264F" w:rsidP="00D104EF">
      <w:pPr>
        <w:spacing w:line="360" w:lineRule="auto"/>
        <w:ind w:firstLine="709"/>
        <w:jc w:val="both"/>
        <w:rPr>
          <w:sz w:val="26"/>
          <w:szCs w:val="26"/>
        </w:rPr>
      </w:pPr>
      <w:r w:rsidRPr="0060365B">
        <w:rPr>
          <w:sz w:val="26"/>
          <w:szCs w:val="26"/>
          <w:lang w:val="lt-LT"/>
        </w:rPr>
        <w:t xml:space="preserve">1. </w:t>
      </w:r>
      <w:r w:rsidRPr="0060365B">
        <w:rPr>
          <w:sz w:val="26"/>
          <w:szCs w:val="26"/>
        </w:rPr>
        <w:t>K</w:t>
      </w:r>
      <w:r w:rsidRPr="0060365B">
        <w:rPr>
          <w:sz w:val="26"/>
          <w:szCs w:val="26"/>
          <w:lang w:val="lt-LT"/>
        </w:rPr>
        <w:t>anapickienė</w:t>
      </w:r>
      <w:r w:rsidR="00802296" w:rsidRPr="0060365B">
        <w:rPr>
          <w:sz w:val="26"/>
          <w:szCs w:val="26"/>
          <w:lang w:val="lt-LT"/>
        </w:rPr>
        <w:t xml:space="preserve"> R.,</w:t>
      </w:r>
      <w:r w:rsidRPr="0060365B">
        <w:rPr>
          <w:sz w:val="26"/>
          <w:szCs w:val="26"/>
          <w:lang w:val="lt-LT"/>
        </w:rPr>
        <w:t xml:space="preserve"> Holšanskienė V</w:t>
      </w:r>
      <w:r w:rsidR="00802296" w:rsidRPr="0060365B">
        <w:rPr>
          <w:sz w:val="26"/>
          <w:szCs w:val="26"/>
          <w:lang w:val="lt-LT"/>
        </w:rPr>
        <w:t xml:space="preserve">., </w:t>
      </w:r>
      <w:r w:rsidRPr="0060365B">
        <w:rPr>
          <w:sz w:val="26"/>
          <w:szCs w:val="26"/>
          <w:lang w:val="lt-LT"/>
        </w:rPr>
        <w:t>Jankūnaitė R</w:t>
      </w:r>
      <w:r w:rsidR="00802296" w:rsidRPr="0060365B">
        <w:rPr>
          <w:sz w:val="26"/>
          <w:szCs w:val="26"/>
          <w:lang w:val="lt-LT"/>
        </w:rPr>
        <w:t>.</w:t>
      </w:r>
      <w:r w:rsidRPr="0060365B">
        <w:rPr>
          <w:sz w:val="26"/>
          <w:szCs w:val="26"/>
          <w:lang w:val="lt-LT"/>
        </w:rPr>
        <w:t xml:space="preserve"> </w:t>
      </w:r>
      <w:r w:rsidRPr="0060365B">
        <w:rPr>
          <w:i/>
          <w:sz w:val="26"/>
          <w:szCs w:val="26"/>
          <w:lang w:val="lt-LT"/>
        </w:rPr>
        <w:t>Priimtino audito rizikos lygio įvertinimas</w:t>
      </w:r>
      <w:r w:rsidRPr="0060365B">
        <w:rPr>
          <w:sz w:val="26"/>
          <w:szCs w:val="26"/>
          <w:lang w:val="lt-LT"/>
        </w:rPr>
        <w:t>. Konferencij</w:t>
      </w:r>
      <w:r w:rsidR="00EA55E8">
        <w:rPr>
          <w:sz w:val="26"/>
          <w:szCs w:val="26"/>
          <w:lang w:val="lt-LT"/>
        </w:rPr>
        <w:t>os</w:t>
      </w:r>
      <w:r w:rsidRPr="0060365B">
        <w:rPr>
          <w:sz w:val="26"/>
          <w:szCs w:val="26"/>
          <w:lang w:val="lt-LT"/>
        </w:rPr>
        <w:t xml:space="preserve"> „</w:t>
      </w:r>
      <w:r w:rsidR="00EA55E8">
        <w:rPr>
          <w:sz w:val="26"/>
          <w:szCs w:val="26"/>
          <w:lang w:val="lt-LT"/>
        </w:rPr>
        <w:t>Studijų ir verslo integracija“ s</w:t>
      </w:r>
      <w:r w:rsidRPr="0060365B">
        <w:rPr>
          <w:sz w:val="26"/>
          <w:szCs w:val="26"/>
          <w:lang w:val="lt-LT"/>
        </w:rPr>
        <w:t>traipsnių rinkinys, Kauno kolegija</w:t>
      </w:r>
      <w:r w:rsidRPr="0060365B">
        <w:rPr>
          <w:sz w:val="26"/>
          <w:szCs w:val="26"/>
        </w:rPr>
        <w:t>, 2005, p. 117 – 122. ISBN 9955-586-62-1.</w:t>
      </w:r>
    </w:p>
    <w:p w:rsidR="004F3C48" w:rsidRPr="0060365B" w:rsidRDefault="00D104EF" w:rsidP="004F3C48">
      <w:pPr>
        <w:spacing w:line="360" w:lineRule="auto"/>
        <w:ind w:firstLine="709"/>
        <w:jc w:val="both"/>
        <w:rPr>
          <w:color w:val="000000"/>
          <w:sz w:val="26"/>
          <w:szCs w:val="26"/>
          <w:lang w:val="lt-LT"/>
        </w:rPr>
      </w:pPr>
      <w:r>
        <w:rPr>
          <w:sz w:val="26"/>
          <w:szCs w:val="26"/>
        </w:rPr>
        <w:t>2</w:t>
      </w:r>
      <w:r w:rsidR="00A1264F" w:rsidRPr="0060365B">
        <w:rPr>
          <w:sz w:val="26"/>
          <w:szCs w:val="26"/>
        </w:rPr>
        <w:t xml:space="preserve">. </w:t>
      </w:r>
      <w:r w:rsidR="00802296" w:rsidRPr="0060365B">
        <w:rPr>
          <w:color w:val="000000"/>
          <w:sz w:val="26"/>
          <w:szCs w:val="26"/>
          <w:lang w:val="lt-LT"/>
        </w:rPr>
        <w:t>Jankūnaitė R</w:t>
      </w:r>
      <w:r w:rsidR="004F3C48" w:rsidRPr="0060365B">
        <w:rPr>
          <w:color w:val="000000"/>
          <w:sz w:val="26"/>
          <w:szCs w:val="26"/>
          <w:lang w:val="lt-LT"/>
        </w:rPr>
        <w:t xml:space="preserve">. </w:t>
      </w:r>
      <w:r w:rsidR="004F3C48" w:rsidRPr="0060365B">
        <w:rPr>
          <w:i/>
          <w:color w:val="000000"/>
          <w:sz w:val="26"/>
          <w:szCs w:val="26"/>
          <w:lang w:val="lt-LT"/>
        </w:rPr>
        <w:t>Požiūrio į rizikos vertinimą audite pokyčiai ir perspektyvos</w:t>
      </w:r>
      <w:r w:rsidR="004F3C48" w:rsidRPr="0060365B">
        <w:rPr>
          <w:color w:val="000000"/>
          <w:sz w:val="26"/>
          <w:szCs w:val="26"/>
          <w:lang w:val="lt-LT"/>
        </w:rPr>
        <w:t xml:space="preserve">. </w:t>
      </w:r>
      <w:r w:rsidR="00EA55E8" w:rsidRPr="0060365B">
        <w:rPr>
          <w:color w:val="000000"/>
          <w:sz w:val="26"/>
          <w:szCs w:val="26"/>
          <w:lang w:val="lt-LT"/>
        </w:rPr>
        <w:t>Šeštosios tarptautinės mokslinės konferencijos straipsnių rinkinys</w:t>
      </w:r>
      <w:r w:rsidR="00EA55E8">
        <w:rPr>
          <w:color w:val="000000"/>
          <w:sz w:val="26"/>
          <w:szCs w:val="26"/>
          <w:lang w:val="lt-LT"/>
        </w:rPr>
        <w:t xml:space="preserve">: </w:t>
      </w:r>
      <w:r w:rsidR="004F3C48" w:rsidRPr="0060365B">
        <w:rPr>
          <w:color w:val="000000"/>
          <w:sz w:val="26"/>
          <w:szCs w:val="26"/>
          <w:lang w:val="lt-LT"/>
        </w:rPr>
        <w:t>Apskaitos ir finansų mokslas ir studijos: problemos ir perspektyvos</w:t>
      </w:r>
      <w:r w:rsidR="00EA55E8">
        <w:rPr>
          <w:color w:val="000000"/>
          <w:sz w:val="26"/>
          <w:szCs w:val="26"/>
          <w:lang w:val="lt-LT"/>
        </w:rPr>
        <w:t>,</w:t>
      </w:r>
      <w:r w:rsidR="004F3C48" w:rsidRPr="0060365B">
        <w:rPr>
          <w:color w:val="000000"/>
          <w:sz w:val="26"/>
          <w:szCs w:val="26"/>
          <w:lang w:val="lt-LT"/>
        </w:rPr>
        <w:t xml:space="preserve"> Nr. 1(6), 2008 m. spalio 24 d., Akademija, Kauno r., p. 40</w:t>
      </w:r>
      <w:r w:rsidR="004914F0" w:rsidRPr="0060365B">
        <w:rPr>
          <w:color w:val="000000"/>
          <w:sz w:val="26"/>
          <w:szCs w:val="26"/>
          <w:lang w:val="lt-LT"/>
        </w:rPr>
        <w:t xml:space="preserve"> – </w:t>
      </w:r>
      <w:r w:rsidR="004F3C48" w:rsidRPr="0060365B">
        <w:rPr>
          <w:color w:val="000000"/>
          <w:sz w:val="26"/>
          <w:szCs w:val="26"/>
          <w:lang w:val="lt-LT"/>
        </w:rPr>
        <w:t>45. ISSN 2029-1175.</w:t>
      </w:r>
    </w:p>
    <w:p w:rsidR="004F3C48" w:rsidRPr="0060365B" w:rsidRDefault="00D104EF" w:rsidP="004F3C48">
      <w:pPr>
        <w:spacing w:line="360" w:lineRule="auto"/>
        <w:ind w:firstLine="709"/>
        <w:jc w:val="both"/>
        <w:rPr>
          <w:sz w:val="26"/>
          <w:szCs w:val="26"/>
        </w:rPr>
      </w:pPr>
      <w:r>
        <w:rPr>
          <w:color w:val="000000"/>
          <w:sz w:val="26"/>
          <w:szCs w:val="26"/>
          <w:lang w:val="lt-LT"/>
        </w:rPr>
        <w:t>3</w:t>
      </w:r>
      <w:r w:rsidR="004F3C48" w:rsidRPr="0060365B">
        <w:rPr>
          <w:color w:val="000000"/>
          <w:sz w:val="26"/>
          <w:szCs w:val="26"/>
          <w:lang w:val="lt-LT"/>
        </w:rPr>
        <w:t xml:space="preserve">. </w:t>
      </w:r>
      <w:r w:rsidR="004F3C48" w:rsidRPr="0060365B">
        <w:rPr>
          <w:sz w:val="26"/>
          <w:szCs w:val="26"/>
        </w:rPr>
        <w:t>Jankunaite</w:t>
      </w:r>
      <w:r w:rsidR="00802296" w:rsidRPr="0060365B">
        <w:rPr>
          <w:sz w:val="26"/>
          <w:szCs w:val="26"/>
        </w:rPr>
        <w:t xml:space="preserve"> R</w:t>
      </w:r>
      <w:r w:rsidR="004F3C48" w:rsidRPr="0060365B">
        <w:rPr>
          <w:sz w:val="26"/>
          <w:szCs w:val="26"/>
        </w:rPr>
        <w:t xml:space="preserve">. </w:t>
      </w:r>
      <w:r w:rsidR="004F3C48" w:rsidRPr="0060365B">
        <w:rPr>
          <w:i/>
          <w:sz w:val="26"/>
          <w:szCs w:val="26"/>
        </w:rPr>
        <w:t>Audit risk model: need for revision?</w:t>
      </w:r>
      <w:r w:rsidR="004F3C48" w:rsidRPr="0060365B">
        <w:rPr>
          <w:sz w:val="26"/>
          <w:szCs w:val="26"/>
        </w:rPr>
        <w:t xml:space="preserve"> </w:t>
      </w:r>
      <w:r w:rsidR="00EA55E8" w:rsidRPr="0060365B">
        <w:rPr>
          <w:sz w:val="26"/>
          <w:szCs w:val="26"/>
        </w:rPr>
        <w:t>Conference proceedings</w:t>
      </w:r>
      <w:r w:rsidR="00EA55E8">
        <w:rPr>
          <w:sz w:val="26"/>
          <w:szCs w:val="26"/>
        </w:rPr>
        <w:t>:</w:t>
      </w:r>
      <w:r w:rsidR="00EA55E8" w:rsidRPr="0060365B">
        <w:rPr>
          <w:sz w:val="26"/>
          <w:szCs w:val="26"/>
        </w:rPr>
        <w:t xml:space="preserve"> </w:t>
      </w:r>
      <w:r w:rsidR="004914F0" w:rsidRPr="0060365B">
        <w:rPr>
          <w:sz w:val="26"/>
          <w:szCs w:val="26"/>
        </w:rPr>
        <w:t>Accounting and performance management perspectives in business and public sector organizations</w:t>
      </w:r>
      <w:r w:rsidR="004F3C48" w:rsidRPr="0060365B">
        <w:rPr>
          <w:sz w:val="26"/>
          <w:szCs w:val="26"/>
        </w:rPr>
        <w:t>, May 8-9, 200</w:t>
      </w:r>
      <w:r w:rsidR="008E07BE" w:rsidRPr="0060365B">
        <w:rPr>
          <w:sz w:val="26"/>
          <w:szCs w:val="26"/>
        </w:rPr>
        <w:t>9</w:t>
      </w:r>
      <w:r w:rsidR="004914F0" w:rsidRPr="0060365B">
        <w:rPr>
          <w:sz w:val="26"/>
          <w:szCs w:val="26"/>
        </w:rPr>
        <w:t>, Tartu,</w:t>
      </w:r>
      <w:r w:rsidR="004F3C48" w:rsidRPr="0060365B">
        <w:rPr>
          <w:sz w:val="26"/>
          <w:szCs w:val="26"/>
        </w:rPr>
        <w:t xml:space="preserve"> </w:t>
      </w:r>
      <w:r w:rsidR="004914F0" w:rsidRPr="0060365B">
        <w:rPr>
          <w:sz w:val="26"/>
          <w:szCs w:val="26"/>
        </w:rPr>
        <w:t xml:space="preserve">p. 35 – 46. </w:t>
      </w:r>
      <w:r w:rsidR="004914F0" w:rsidRPr="0060365B">
        <w:rPr>
          <w:color w:val="000000"/>
          <w:sz w:val="26"/>
          <w:szCs w:val="26"/>
          <w:lang w:val="lt-LT"/>
        </w:rPr>
        <w:t>ISBN 978-9949-19-122-2.</w:t>
      </w:r>
    </w:p>
    <w:p w:rsidR="004D7F5C" w:rsidRPr="00E37582" w:rsidRDefault="004D7F5C" w:rsidP="004D7F5C">
      <w:pPr>
        <w:tabs>
          <w:tab w:val="left" w:pos="1134"/>
        </w:tabs>
        <w:spacing w:line="360" w:lineRule="auto"/>
        <w:ind w:firstLine="709"/>
        <w:jc w:val="both"/>
        <w:rPr>
          <w:sz w:val="26"/>
          <w:szCs w:val="26"/>
          <w:lang w:val="lt-LT"/>
        </w:rPr>
      </w:pPr>
      <w:r w:rsidRPr="00E37582">
        <w:rPr>
          <w:b/>
          <w:sz w:val="26"/>
          <w:szCs w:val="26"/>
          <w:lang w:val="lt-LT"/>
        </w:rPr>
        <w:t>Disertacijos apimtis ir struktūra</w:t>
      </w:r>
      <w:r w:rsidRPr="00E37582">
        <w:rPr>
          <w:sz w:val="26"/>
          <w:szCs w:val="26"/>
          <w:lang w:val="lt-LT"/>
        </w:rPr>
        <w:t>. D</w:t>
      </w:r>
      <w:r w:rsidRPr="00B758CB">
        <w:rPr>
          <w:sz w:val="26"/>
          <w:szCs w:val="26"/>
          <w:lang w:val="lt-LT"/>
        </w:rPr>
        <w:t xml:space="preserve">isertaciją sudaro įvadas, </w:t>
      </w:r>
      <w:r w:rsidR="00F2652F">
        <w:rPr>
          <w:sz w:val="26"/>
          <w:szCs w:val="26"/>
          <w:lang w:val="lt-LT"/>
        </w:rPr>
        <w:t>trys</w:t>
      </w:r>
      <w:r w:rsidRPr="00B758CB">
        <w:rPr>
          <w:sz w:val="26"/>
          <w:szCs w:val="26"/>
          <w:lang w:val="lt-LT"/>
        </w:rPr>
        <w:t xml:space="preserve"> </w:t>
      </w:r>
      <w:r w:rsidR="007D283D" w:rsidRPr="00B758CB">
        <w:rPr>
          <w:sz w:val="26"/>
          <w:szCs w:val="26"/>
          <w:lang w:val="lt-LT"/>
        </w:rPr>
        <w:t>dalys ir išvados</w:t>
      </w:r>
      <w:r w:rsidRPr="00B758CB">
        <w:rPr>
          <w:sz w:val="26"/>
          <w:szCs w:val="26"/>
          <w:lang w:val="lt-LT"/>
        </w:rPr>
        <w:t xml:space="preserve">. Pagrindinė tyrimo medžiaga </w:t>
      </w:r>
      <w:r w:rsidR="00221791" w:rsidRPr="00B758CB">
        <w:rPr>
          <w:sz w:val="26"/>
          <w:szCs w:val="26"/>
          <w:lang w:val="lt-LT"/>
        </w:rPr>
        <w:t>išdėstyta</w:t>
      </w:r>
      <w:r w:rsidRPr="00B758CB">
        <w:rPr>
          <w:sz w:val="26"/>
          <w:szCs w:val="26"/>
          <w:lang w:val="lt-LT"/>
        </w:rPr>
        <w:t xml:space="preserve"> </w:t>
      </w:r>
      <w:r w:rsidR="00E755D2" w:rsidRPr="00B758CB">
        <w:rPr>
          <w:sz w:val="26"/>
          <w:szCs w:val="26"/>
          <w:lang w:val="lt-LT"/>
        </w:rPr>
        <w:t>1</w:t>
      </w:r>
      <w:r w:rsidR="00B758CB" w:rsidRPr="00B758CB">
        <w:rPr>
          <w:sz w:val="26"/>
          <w:szCs w:val="26"/>
          <w:lang w:val="lt-LT"/>
        </w:rPr>
        <w:t>8</w:t>
      </w:r>
      <w:r w:rsidR="00BF5DCF">
        <w:rPr>
          <w:sz w:val="26"/>
          <w:szCs w:val="26"/>
          <w:lang w:val="lt-LT"/>
        </w:rPr>
        <w:t>4</w:t>
      </w:r>
      <w:r w:rsidRPr="00B758CB">
        <w:rPr>
          <w:sz w:val="26"/>
          <w:szCs w:val="26"/>
          <w:lang w:val="lt-LT"/>
        </w:rPr>
        <w:t xml:space="preserve"> puslapi</w:t>
      </w:r>
      <w:r w:rsidRPr="00E37582">
        <w:rPr>
          <w:sz w:val="26"/>
          <w:szCs w:val="26"/>
          <w:lang w:val="lt-LT"/>
        </w:rPr>
        <w:t>uose, įsk</w:t>
      </w:r>
      <w:r w:rsidRPr="00465A2B">
        <w:rPr>
          <w:sz w:val="26"/>
          <w:szCs w:val="26"/>
          <w:lang w:val="lt-LT"/>
        </w:rPr>
        <w:t xml:space="preserve">aitant </w:t>
      </w:r>
      <w:r w:rsidR="00465A2B" w:rsidRPr="00465A2B">
        <w:rPr>
          <w:sz w:val="26"/>
          <w:szCs w:val="26"/>
          <w:lang w:val="lt-LT"/>
        </w:rPr>
        <w:t>40</w:t>
      </w:r>
      <w:r w:rsidRPr="00465A2B">
        <w:rPr>
          <w:sz w:val="26"/>
          <w:szCs w:val="26"/>
          <w:lang w:val="lt-LT"/>
        </w:rPr>
        <w:t xml:space="preserve"> lentel</w:t>
      </w:r>
      <w:r w:rsidR="00465A2B" w:rsidRPr="00465A2B">
        <w:rPr>
          <w:sz w:val="26"/>
          <w:szCs w:val="26"/>
          <w:lang w:val="lt-LT"/>
        </w:rPr>
        <w:t xml:space="preserve">ių ir </w:t>
      </w:r>
      <w:r w:rsidR="00E755D2" w:rsidRPr="00465A2B">
        <w:rPr>
          <w:sz w:val="26"/>
          <w:szCs w:val="26"/>
          <w:lang w:val="lt-LT"/>
        </w:rPr>
        <w:t>2</w:t>
      </w:r>
      <w:r w:rsidR="00465A2B" w:rsidRPr="00465A2B">
        <w:rPr>
          <w:sz w:val="26"/>
          <w:szCs w:val="26"/>
          <w:lang w:val="lt-LT"/>
        </w:rPr>
        <w:t>2</w:t>
      </w:r>
      <w:r w:rsidRPr="00465A2B">
        <w:rPr>
          <w:sz w:val="26"/>
          <w:szCs w:val="26"/>
          <w:lang w:val="lt-LT"/>
        </w:rPr>
        <w:t xml:space="preserve"> p</w:t>
      </w:r>
      <w:r w:rsidRPr="00E37582">
        <w:rPr>
          <w:sz w:val="26"/>
          <w:szCs w:val="26"/>
          <w:lang w:val="lt-LT"/>
        </w:rPr>
        <w:t>aveiksl</w:t>
      </w:r>
      <w:r w:rsidR="00465A2B">
        <w:rPr>
          <w:sz w:val="26"/>
          <w:szCs w:val="26"/>
          <w:lang w:val="lt-LT"/>
        </w:rPr>
        <w:t>us</w:t>
      </w:r>
      <w:r w:rsidRPr="00E37582">
        <w:rPr>
          <w:sz w:val="26"/>
          <w:szCs w:val="26"/>
          <w:lang w:val="lt-LT"/>
        </w:rPr>
        <w:t xml:space="preserve">. Taip pat pateikiami </w:t>
      </w:r>
      <w:r w:rsidR="00E755D2" w:rsidRPr="00E37582">
        <w:rPr>
          <w:sz w:val="26"/>
          <w:szCs w:val="26"/>
          <w:lang w:val="lt-LT"/>
        </w:rPr>
        <w:t>25</w:t>
      </w:r>
      <w:r w:rsidRPr="00E37582">
        <w:rPr>
          <w:sz w:val="26"/>
          <w:szCs w:val="26"/>
          <w:lang w:val="lt-LT"/>
        </w:rPr>
        <w:t xml:space="preserve"> priedai. Panaudotos literatūros sąrašą sudaro </w:t>
      </w:r>
      <w:r w:rsidR="00E755D2" w:rsidRPr="00E37582">
        <w:rPr>
          <w:sz w:val="26"/>
          <w:szCs w:val="26"/>
          <w:lang w:val="lt-LT"/>
        </w:rPr>
        <w:t>18</w:t>
      </w:r>
      <w:r w:rsidR="00BE5795">
        <w:rPr>
          <w:sz w:val="26"/>
          <w:szCs w:val="26"/>
          <w:lang w:val="lt-LT"/>
        </w:rPr>
        <w:t>3</w:t>
      </w:r>
      <w:r w:rsidRPr="00E37582">
        <w:rPr>
          <w:sz w:val="26"/>
          <w:szCs w:val="26"/>
          <w:lang w:val="lt-LT"/>
        </w:rPr>
        <w:t xml:space="preserve"> šaltiniai.</w:t>
      </w:r>
    </w:p>
    <w:p w:rsidR="00DD3A56" w:rsidRDefault="00DD5CC6" w:rsidP="00345031">
      <w:pPr>
        <w:pStyle w:val="Heading1"/>
        <w:rPr>
          <w:lang w:val="lt-LT"/>
        </w:rPr>
      </w:pPr>
      <w:r>
        <w:rPr>
          <w:lang w:val="lt-LT"/>
        </w:rPr>
        <w:br w:type="page"/>
      </w:r>
      <w:bookmarkStart w:id="8" w:name="_Toc253244578"/>
      <w:r w:rsidR="009B6941" w:rsidRPr="007869AE">
        <w:rPr>
          <w:lang w:val="lt-LT"/>
        </w:rPr>
        <w:lastRenderedPageBreak/>
        <w:t xml:space="preserve">1. </w:t>
      </w:r>
      <w:bookmarkEnd w:id="3"/>
      <w:bookmarkEnd w:id="4"/>
      <w:bookmarkEnd w:id="5"/>
      <w:bookmarkEnd w:id="6"/>
      <w:r w:rsidR="002544D1" w:rsidRPr="007869AE">
        <w:rPr>
          <w:lang w:val="lt-LT"/>
        </w:rPr>
        <w:t>Audito rizik</w:t>
      </w:r>
      <w:r w:rsidR="00E72797" w:rsidRPr="007869AE">
        <w:rPr>
          <w:lang w:val="lt-LT"/>
        </w:rPr>
        <w:t xml:space="preserve">os </w:t>
      </w:r>
      <w:r w:rsidR="002544D1" w:rsidRPr="007869AE">
        <w:rPr>
          <w:lang w:val="lt-LT"/>
        </w:rPr>
        <w:t xml:space="preserve">vertinimo </w:t>
      </w:r>
      <w:r w:rsidR="00E72797" w:rsidRPr="007869AE">
        <w:rPr>
          <w:lang w:val="lt-LT"/>
        </w:rPr>
        <w:t xml:space="preserve">teoriniai </w:t>
      </w:r>
      <w:r w:rsidR="009A61C2">
        <w:rPr>
          <w:lang w:val="lt-LT"/>
        </w:rPr>
        <w:t>TYRIMAI ŠIUOLAIKINĖS RINKOS SĄLYGOMIS</w:t>
      </w:r>
      <w:bookmarkEnd w:id="8"/>
    </w:p>
    <w:p w:rsidR="004C6FA4" w:rsidRPr="00CE006B" w:rsidRDefault="00645AEB" w:rsidP="00E37582">
      <w:pPr>
        <w:spacing w:before="240" w:line="360" w:lineRule="auto"/>
        <w:ind w:firstLine="720"/>
        <w:jc w:val="both"/>
        <w:rPr>
          <w:sz w:val="26"/>
          <w:szCs w:val="26"/>
          <w:lang w:val="lt-LT"/>
        </w:rPr>
      </w:pPr>
      <w:r w:rsidRPr="00CE006B">
        <w:rPr>
          <w:sz w:val="26"/>
          <w:szCs w:val="26"/>
          <w:lang w:val="lt-LT"/>
        </w:rPr>
        <w:t xml:space="preserve">Šioje disertacijos dalyje yra nagrinėjami </w:t>
      </w:r>
      <w:r w:rsidRPr="00CE006B">
        <w:rPr>
          <w:i/>
          <w:sz w:val="26"/>
          <w:szCs w:val="26"/>
          <w:lang w:val="lt-LT"/>
        </w:rPr>
        <w:t>teoriniai audito rizikos vertinimo</w:t>
      </w:r>
      <w:r w:rsidRPr="00CE006B">
        <w:rPr>
          <w:sz w:val="26"/>
          <w:szCs w:val="26"/>
          <w:lang w:val="lt-LT"/>
        </w:rPr>
        <w:t xml:space="preserve"> </w:t>
      </w:r>
      <w:r w:rsidR="005B2BED">
        <w:rPr>
          <w:sz w:val="26"/>
          <w:szCs w:val="26"/>
          <w:lang w:val="lt-LT"/>
        </w:rPr>
        <w:t>tyrimai</w:t>
      </w:r>
      <w:r w:rsidRPr="00CE006B">
        <w:rPr>
          <w:sz w:val="26"/>
          <w:szCs w:val="26"/>
          <w:lang w:val="lt-LT"/>
        </w:rPr>
        <w:t xml:space="preserve">. </w:t>
      </w:r>
      <w:r w:rsidR="00254D7A" w:rsidRPr="00CE006B">
        <w:rPr>
          <w:sz w:val="26"/>
          <w:szCs w:val="26"/>
          <w:lang w:val="lt-LT"/>
        </w:rPr>
        <w:t>Audito rizikos, su kuria gali susidurti finansinių ataskaitų</w:t>
      </w:r>
      <w:r w:rsidR="00095A93" w:rsidRPr="00CE006B">
        <w:rPr>
          <w:sz w:val="26"/>
          <w:szCs w:val="26"/>
          <w:lang w:val="lt-LT"/>
        </w:rPr>
        <w:t xml:space="preserve"> auditą atliekanti audito įmonė</w:t>
      </w:r>
      <w:r w:rsidR="00254D7A" w:rsidRPr="00CE006B">
        <w:rPr>
          <w:sz w:val="26"/>
          <w:szCs w:val="26"/>
          <w:lang w:val="lt-LT"/>
        </w:rPr>
        <w:t xml:space="preserve">, vertinimo analizei neabejotinai svarbi rizikos kaip ekonominio reiškinio prigimtis, pasireiškimo priežastys bei vertinimo </w:t>
      </w:r>
      <w:r w:rsidR="006E23F9" w:rsidRPr="00CE006B">
        <w:rPr>
          <w:sz w:val="26"/>
          <w:szCs w:val="26"/>
          <w:lang w:val="lt-LT"/>
        </w:rPr>
        <w:t>priemon</w:t>
      </w:r>
      <w:r w:rsidR="00254D7A" w:rsidRPr="00CE006B">
        <w:rPr>
          <w:sz w:val="26"/>
          <w:szCs w:val="26"/>
          <w:lang w:val="lt-LT"/>
        </w:rPr>
        <w:t xml:space="preserve">ės, todėl disertacijos </w:t>
      </w:r>
      <w:r w:rsidR="00676E3C" w:rsidRPr="00CE006B">
        <w:rPr>
          <w:sz w:val="26"/>
          <w:szCs w:val="26"/>
          <w:lang w:val="lt-LT"/>
        </w:rPr>
        <w:t>1.1. skyriuje išnagrinėt</w:t>
      </w:r>
      <w:r w:rsidR="004036EB" w:rsidRPr="00CE006B">
        <w:rPr>
          <w:sz w:val="26"/>
          <w:szCs w:val="26"/>
          <w:lang w:val="lt-LT"/>
        </w:rPr>
        <w:t>a</w:t>
      </w:r>
      <w:r w:rsidR="00A66BAC" w:rsidRPr="00CE006B">
        <w:rPr>
          <w:sz w:val="26"/>
          <w:szCs w:val="26"/>
          <w:lang w:val="lt-LT"/>
        </w:rPr>
        <w:t xml:space="preserve"> rizikos sąvoka</w:t>
      </w:r>
      <w:r w:rsidR="004036EB" w:rsidRPr="00CE006B">
        <w:rPr>
          <w:sz w:val="26"/>
          <w:szCs w:val="26"/>
          <w:lang w:val="lt-LT"/>
        </w:rPr>
        <w:t xml:space="preserve"> ir jos vertinim</w:t>
      </w:r>
      <w:r w:rsidR="00D31C30" w:rsidRPr="00CE006B">
        <w:rPr>
          <w:sz w:val="26"/>
          <w:szCs w:val="26"/>
          <w:lang w:val="lt-LT"/>
        </w:rPr>
        <w:t>as įmonėje</w:t>
      </w:r>
      <w:r w:rsidR="00A66BAC" w:rsidRPr="00CE006B">
        <w:rPr>
          <w:sz w:val="26"/>
          <w:szCs w:val="26"/>
          <w:lang w:val="lt-LT"/>
        </w:rPr>
        <w:t>, identifikuo</w:t>
      </w:r>
      <w:r w:rsidR="00D31C30" w:rsidRPr="00CE006B">
        <w:rPr>
          <w:sz w:val="26"/>
          <w:szCs w:val="26"/>
          <w:lang w:val="lt-LT"/>
        </w:rPr>
        <w:t xml:space="preserve">jant rizikos </w:t>
      </w:r>
      <w:r w:rsidR="00A66BAC" w:rsidRPr="00CE006B">
        <w:rPr>
          <w:sz w:val="26"/>
          <w:szCs w:val="26"/>
          <w:lang w:val="lt-LT"/>
        </w:rPr>
        <w:t xml:space="preserve">vertinimo </w:t>
      </w:r>
      <w:r w:rsidR="00D31C30" w:rsidRPr="00CE006B">
        <w:rPr>
          <w:sz w:val="26"/>
          <w:szCs w:val="26"/>
          <w:lang w:val="lt-LT"/>
        </w:rPr>
        <w:t xml:space="preserve">vietą įmonės rizikos valdymo procese, pagrindines rizikos charakteristikas ir galimus </w:t>
      </w:r>
      <w:r w:rsidR="004C6FA4" w:rsidRPr="00CE006B">
        <w:rPr>
          <w:sz w:val="26"/>
          <w:szCs w:val="26"/>
          <w:lang w:val="lt-LT"/>
        </w:rPr>
        <w:t>rizikos</w:t>
      </w:r>
      <w:r w:rsidR="00D31C30" w:rsidRPr="00CE006B">
        <w:rPr>
          <w:sz w:val="26"/>
          <w:szCs w:val="26"/>
          <w:lang w:val="lt-LT"/>
        </w:rPr>
        <w:t xml:space="preserve"> </w:t>
      </w:r>
      <w:r w:rsidR="00A66BAC" w:rsidRPr="00CE006B">
        <w:rPr>
          <w:sz w:val="26"/>
          <w:szCs w:val="26"/>
          <w:lang w:val="lt-LT"/>
        </w:rPr>
        <w:t>vertinimo metod</w:t>
      </w:r>
      <w:r w:rsidR="00D31C30" w:rsidRPr="00CE006B">
        <w:rPr>
          <w:sz w:val="26"/>
          <w:szCs w:val="26"/>
          <w:lang w:val="lt-LT"/>
        </w:rPr>
        <w:t>us</w:t>
      </w:r>
      <w:r w:rsidR="00A66BAC" w:rsidRPr="00CE006B">
        <w:rPr>
          <w:sz w:val="26"/>
          <w:szCs w:val="26"/>
          <w:lang w:val="lt-LT"/>
        </w:rPr>
        <w:t xml:space="preserve">. </w:t>
      </w:r>
      <w:r w:rsidR="00254D7A" w:rsidRPr="00CE006B">
        <w:rPr>
          <w:sz w:val="26"/>
          <w:szCs w:val="26"/>
          <w:lang w:val="lt-LT"/>
        </w:rPr>
        <w:t xml:space="preserve">Tam, kad sukurti </w:t>
      </w:r>
      <w:r w:rsidR="00254D7A" w:rsidRPr="00CE006B">
        <w:rPr>
          <w:color w:val="000000" w:themeColor="text1"/>
          <w:sz w:val="26"/>
          <w:szCs w:val="26"/>
          <w:lang w:val="lt-LT"/>
        </w:rPr>
        <w:t>optimalų audito rizikos vertinimo modelį, taikytiną šiandieninėje verslo aplinkoje,</w:t>
      </w:r>
      <w:r w:rsidR="00254D7A" w:rsidRPr="00CE006B">
        <w:rPr>
          <w:sz w:val="26"/>
          <w:szCs w:val="26"/>
          <w:lang w:val="lt-LT"/>
        </w:rPr>
        <w:t xml:space="preserve"> d</w:t>
      </w:r>
      <w:r w:rsidR="00A66BAC" w:rsidRPr="00CE006B">
        <w:rPr>
          <w:sz w:val="26"/>
          <w:szCs w:val="26"/>
          <w:lang w:val="lt-LT"/>
        </w:rPr>
        <w:t xml:space="preserve">isertacijos 1.2. skyrius pradedamas audito rizikos sampratos </w:t>
      </w:r>
      <w:r w:rsidR="00154FA7" w:rsidRPr="00CE006B">
        <w:rPr>
          <w:sz w:val="26"/>
          <w:szCs w:val="26"/>
          <w:lang w:val="lt-LT"/>
        </w:rPr>
        <w:t xml:space="preserve">analize, </w:t>
      </w:r>
      <w:r w:rsidR="00D31C30" w:rsidRPr="00CE006B">
        <w:rPr>
          <w:sz w:val="26"/>
          <w:szCs w:val="26"/>
          <w:lang w:val="lt-LT"/>
        </w:rPr>
        <w:t>toliau tiriam</w:t>
      </w:r>
      <w:r w:rsidR="00BC06EF" w:rsidRPr="00CE006B">
        <w:rPr>
          <w:sz w:val="26"/>
          <w:szCs w:val="26"/>
          <w:lang w:val="lt-LT"/>
        </w:rPr>
        <w:t xml:space="preserve">as </w:t>
      </w:r>
      <w:r w:rsidR="004C6FA4" w:rsidRPr="00CE006B">
        <w:rPr>
          <w:sz w:val="26"/>
          <w:szCs w:val="26"/>
          <w:lang w:val="lt-LT"/>
        </w:rPr>
        <w:t xml:space="preserve">audito rizikos </w:t>
      </w:r>
      <w:r w:rsidR="00BC06EF" w:rsidRPr="00CE006B">
        <w:rPr>
          <w:sz w:val="26"/>
          <w:szCs w:val="26"/>
          <w:lang w:val="lt-LT"/>
        </w:rPr>
        <w:t xml:space="preserve">vertinimas, </w:t>
      </w:r>
      <w:r w:rsidR="00B72CF0" w:rsidRPr="00CE006B">
        <w:rPr>
          <w:sz w:val="26"/>
          <w:szCs w:val="26"/>
          <w:lang w:val="lt-LT"/>
        </w:rPr>
        <w:t xml:space="preserve">analizuojant atskirus </w:t>
      </w:r>
      <w:r w:rsidR="00BC06EF" w:rsidRPr="00CE006B">
        <w:rPr>
          <w:sz w:val="26"/>
          <w:szCs w:val="26"/>
          <w:lang w:val="lt-LT"/>
        </w:rPr>
        <w:t xml:space="preserve">audito rizikos komponentus </w:t>
      </w:r>
      <w:r w:rsidR="004C6FA4" w:rsidRPr="00CE006B">
        <w:rPr>
          <w:sz w:val="26"/>
          <w:szCs w:val="26"/>
          <w:lang w:val="lt-LT"/>
        </w:rPr>
        <w:t xml:space="preserve">bei nagrinėjant </w:t>
      </w:r>
      <w:r w:rsidR="00254D7A" w:rsidRPr="00CE006B">
        <w:rPr>
          <w:sz w:val="26"/>
          <w:szCs w:val="26"/>
          <w:lang w:val="lt-LT"/>
        </w:rPr>
        <w:t xml:space="preserve">audito rizikos ir jos </w:t>
      </w:r>
      <w:r w:rsidR="004C6FA4" w:rsidRPr="00CE006B">
        <w:rPr>
          <w:sz w:val="26"/>
          <w:szCs w:val="26"/>
          <w:lang w:val="lt-LT"/>
        </w:rPr>
        <w:t xml:space="preserve">komponentų </w:t>
      </w:r>
      <w:r w:rsidR="00254D7A" w:rsidRPr="00CE006B">
        <w:rPr>
          <w:sz w:val="26"/>
          <w:szCs w:val="26"/>
          <w:lang w:val="lt-LT"/>
        </w:rPr>
        <w:t xml:space="preserve">siūlomas </w:t>
      </w:r>
      <w:r w:rsidR="004C6FA4" w:rsidRPr="00CE006B">
        <w:rPr>
          <w:sz w:val="26"/>
          <w:szCs w:val="26"/>
          <w:lang w:val="lt-LT"/>
        </w:rPr>
        <w:t xml:space="preserve">vertinimo </w:t>
      </w:r>
      <w:r w:rsidR="00254D7A" w:rsidRPr="00CE006B">
        <w:rPr>
          <w:sz w:val="26"/>
          <w:szCs w:val="26"/>
          <w:lang w:val="lt-LT"/>
        </w:rPr>
        <w:t>galimybes</w:t>
      </w:r>
      <w:r w:rsidR="002C771A" w:rsidRPr="00CE006B">
        <w:rPr>
          <w:sz w:val="26"/>
          <w:szCs w:val="26"/>
          <w:lang w:val="lt-LT"/>
        </w:rPr>
        <w:t xml:space="preserve"> </w:t>
      </w:r>
      <w:r w:rsidR="004C6FA4" w:rsidRPr="00CE006B">
        <w:rPr>
          <w:sz w:val="26"/>
          <w:szCs w:val="26"/>
          <w:lang w:val="lt-LT"/>
        </w:rPr>
        <w:t xml:space="preserve">skirtinguose audito rizikos modeliuose. </w:t>
      </w:r>
    </w:p>
    <w:p w:rsidR="00EA4066" w:rsidRPr="00CE006B" w:rsidRDefault="00EE382D" w:rsidP="00CE006B">
      <w:pPr>
        <w:pStyle w:val="Heading2"/>
        <w:numPr>
          <w:ilvl w:val="1"/>
          <w:numId w:val="3"/>
        </w:numPr>
        <w:spacing w:before="240" w:after="240"/>
        <w:jc w:val="center"/>
        <w:rPr>
          <w:rFonts w:ascii="Times New Roman" w:hAnsi="Times New Roman" w:cs="Times New Roman"/>
          <w:lang w:val="lt-LT"/>
        </w:rPr>
      </w:pPr>
      <w:bookmarkStart w:id="9" w:name="_Toc253244579"/>
      <w:r w:rsidRPr="00CE006B">
        <w:rPr>
          <w:rFonts w:ascii="Times New Roman" w:hAnsi="Times New Roman" w:cs="Times New Roman"/>
          <w:lang w:val="lt-LT"/>
        </w:rPr>
        <w:t>R</w:t>
      </w:r>
      <w:r w:rsidR="00EA4066" w:rsidRPr="00CE006B">
        <w:rPr>
          <w:rFonts w:ascii="Times New Roman" w:hAnsi="Times New Roman" w:cs="Times New Roman"/>
          <w:lang w:val="lt-LT"/>
        </w:rPr>
        <w:t>izik</w:t>
      </w:r>
      <w:r w:rsidR="008F4F20" w:rsidRPr="00CE006B">
        <w:rPr>
          <w:rFonts w:ascii="Times New Roman" w:hAnsi="Times New Roman" w:cs="Times New Roman"/>
          <w:lang w:val="lt-LT"/>
        </w:rPr>
        <w:t xml:space="preserve">os vertinimo </w:t>
      </w:r>
      <w:r w:rsidR="009A61C2">
        <w:rPr>
          <w:rFonts w:ascii="Times New Roman" w:hAnsi="Times New Roman" w:cs="Times New Roman"/>
          <w:lang w:val="lt-LT"/>
        </w:rPr>
        <w:t xml:space="preserve">būtinumas sparčiai besikeičiančioje </w:t>
      </w:r>
      <w:r w:rsidR="008F4F20" w:rsidRPr="00CE006B">
        <w:rPr>
          <w:rFonts w:ascii="Times New Roman" w:hAnsi="Times New Roman" w:cs="Times New Roman"/>
          <w:lang w:val="lt-LT"/>
        </w:rPr>
        <w:t>ekonomik</w:t>
      </w:r>
      <w:r w:rsidRPr="00CE006B">
        <w:rPr>
          <w:rFonts w:ascii="Times New Roman" w:hAnsi="Times New Roman" w:cs="Times New Roman"/>
          <w:lang w:val="lt-LT"/>
        </w:rPr>
        <w:t>oje</w:t>
      </w:r>
      <w:bookmarkEnd w:id="9"/>
    </w:p>
    <w:p w:rsidR="00F166BF" w:rsidRPr="00CE006B" w:rsidRDefault="00F166BF" w:rsidP="00CE006B">
      <w:pPr>
        <w:pStyle w:val="Heading3"/>
        <w:spacing w:after="240"/>
        <w:ind w:firstLine="720"/>
        <w:rPr>
          <w:rFonts w:ascii="Times New Roman" w:hAnsi="Times New Roman" w:cs="Times New Roman"/>
          <w:lang w:val="lt-LT"/>
        </w:rPr>
      </w:pPr>
      <w:bookmarkStart w:id="10" w:name="_Toc253244580"/>
      <w:r w:rsidRPr="00CE006B">
        <w:rPr>
          <w:rFonts w:ascii="Times New Roman" w:hAnsi="Times New Roman" w:cs="Times New Roman"/>
          <w:lang w:val="lt-LT"/>
        </w:rPr>
        <w:t xml:space="preserve">1.1.1. Rizikos sąvokos </w:t>
      </w:r>
      <w:r w:rsidR="005B2BED">
        <w:rPr>
          <w:rFonts w:ascii="Times New Roman" w:hAnsi="Times New Roman" w:cs="Times New Roman"/>
          <w:lang w:val="lt-LT"/>
        </w:rPr>
        <w:t>interpretacijos</w:t>
      </w:r>
      <w:bookmarkEnd w:id="10"/>
    </w:p>
    <w:p w:rsidR="003F44EF" w:rsidRPr="00CE006B" w:rsidRDefault="008652E7" w:rsidP="00CE006B">
      <w:pPr>
        <w:spacing w:line="360" w:lineRule="auto"/>
        <w:ind w:firstLine="720"/>
        <w:jc w:val="both"/>
        <w:rPr>
          <w:sz w:val="26"/>
          <w:szCs w:val="26"/>
          <w:lang w:val="lt-LT"/>
        </w:rPr>
      </w:pPr>
      <w:r w:rsidRPr="00CE006B">
        <w:rPr>
          <w:sz w:val="26"/>
          <w:szCs w:val="26"/>
          <w:lang w:val="lt-LT"/>
        </w:rPr>
        <w:t xml:space="preserve">Rizikos sąvoka plačiai vartojama moksle ir kasdienybėje. </w:t>
      </w:r>
      <w:r w:rsidR="00EA4066" w:rsidRPr="00CE006B">
        <w:rPr>
          <w:sz w:val="26"/>
          <w:szCs w:val="26"/>
          <w:lang w:val="lt-LT"/>
        </w:rPr>
        <w:t>Dabartin</w:t>
      </w:r>
      <w:r w:rsidR="00E97D8F" w:rsidRPr="00CE006B">
        <w:rPr>
          <w:sz w:val="26"/>
          <w:szCs w:val="26"/>
          <w:lang w:val="lt-LT"/>
        </w:rPr>
        <w:t>ės</w:t>
      </w:r>
      <w:r w:rsidR="00EA4066" w:rsidRPr="00CE006B">
        <w:rPr>
          <w:sz w:val="26"/>
          <w:szCs w:val="26"/>
          <w:lang w:val="lt-LT"/>
        </w:rPr>
        <w:t xml:space="preserve"> lietuvių kalbos žodyne </w:t>
      </w:r>
      <w:r w:rsidR="003F44EF" w:rsidRPr="00CE006B">
        <w:rPr>
          <w:sz w:val="26"/>
          <w:szCs w:val="26"/>
          <w:lang w:val="lt-LT"/>
        </w:rPr>
        <w:t>(20</w:t>
      </w:r>
      <w:r w:rsidR="007E48C6" w:rsidRPr="00CE006B">
        <w:rPr>
          <w:sz w:val="26"/>
          <w:szCs w:val="26"/>
          <w:lang w:val="lt-LT"/>
        </w:rPr>
        <w:t>0</w:t>
      </w:r>
      <w:r w:rsidR="003F44EF" w:rsidRPr="00CE006B">
        <w:rPr>
          <w:sz w:val="26"/>
          <w:szCs w:val="26"/>
          <w:lang w:val="lt-LT"/>
        </w:rPr>
        <w:t xml:space="preserve">6) </w:t>
      </w:r>
      <w:r w:rsidR="00EA4066" w:rsidRPr="00CE006B">
        <w:rPr>
          <w:sz w:val="26"/>
          <w:szCs w:val="26"/>
          <w:lang w:val="lt-LT"/>
        </w:rPr>
        <w:t>rizika apibrėžiama kaip: 1) galimas pavojus, galimas nepasisekimas; 2) leidimasis į pavojingą žygį, veikimas, tikintis geros baigties. Tarptautinių žodžių žo</w:t>
      </w:r>
      <w:r w:rsidR="009E187D" w:rsidRPr="00CE006B">
        <w:rPr>
          <w:sz w:val="26"/>
          <w:szCs w:val="26"/>
          <w:lang w:val="lt-LT"/>
        </w:rPr>
        <w:t>dyne</w:t>
      </w:r>
      <w:r w:rsidR="008A7E36" w:rsidRPr="00CE006B">
        <w:rPr>
          <w:sz w:val="26"/>
          <w:szCs w:val="26"/>
          <w:lang w:val="lt-LT"/>
        </w:rPr>
        <w:t xml:space="preserve"> (1985)</w:t>
      </w:r>
      <w:r w:rsidR="009E187D" w:rsidRPr="00CE006B">
        <w:rPr>
          <w:sz w:val="26"/>
          <w:szCs w:val="26"/>
          <w:lang w:val="lt-LT"/>
        </w:rPr>
        <w:t xml:space="preserve"> pažymima, kad rizika – tai</w:t>
      </w:r>
      <w:r w:rsidR="00EA4066" w:rsidRPr="00CE006B">
        <w:rPr>
          <w:sz w:val="26"/>
          <w:szCs w:val="26"/>
          <w:lang w:val="lt-LT"/>
        </w:rPr>
        <w:t xml:space="preserve">: </w:t>
      </w:r>
      <w:r w:rsidR="003F44EF" w:rsidRPr="00CE006B">
        <w:rPr>
          <w:sz w:val="26"/>
          <w:szCs w:val="26"/>
          <w:lang w:val="lt-LT"/>
        </w:rPr>
        <w:t>1)</w:t>
      </w:r>
      <w:r w:rsidR="00041860">
        <w:rPr>
          <w:sz w:val="26"/>
          <w:szCs w:val="26"/>
          <w:lang w:val="lt-LT"/>
        </w:rPr>
        <w:t> </w:t>
      </w:r>
      <w:r w:rsidR="00EA4066" w:rsidRPr="00CE006B">
        <w:rPr>
          <w:sz w:val="26"/>
          <w:szCs w:val="26"/>
          <w:lang w:val="lt-LT"/>
        </w:rPr>
        <w:t>ryžimasis veikti, žinant, kad yra tam tikra tikimybė nepasiekti tikslo, arba ryžimasis nepaisyti galimų neigiamų atsitiktinių aplinkybių padarinių</w:t>
      </w:r>
      <w:r w:rsidR="003F44EF" w:rsidRPr="00CE006B">
        <w:rPr>
          <w:sz w:val="26"/>
          <w:szCs w:val="26"/>
          <w:lang w:val="lt-LT"/>
        </w:rPr>
        <w:t>; 2)</w:t>
      </w:r>
      <w:r w:rsidR="00041860">
        <w:rPr>
          <w:sz w:val="26"/>
          <w:szCs w:val="26"/>
          <w:lang w:val="lt-LT"/>
        </w:rPr>
        <w:t> </w:t>
      </w:r>
      <w:r w:rsidR="00EA4066" w:rsidRPr="00CE006B">
        <w:rPr>
          <w:sz w:val="26"/>
          <w:szCs w:val="26"/>
          <w:lang w:val="lt-LT"/>
        </w:rPr>
        <w:t xml:space="preserve">apsisprendimas imtis tam tikro veiksmo, priemonės arba jų nesiimti gali įtakoti tikslo nepasiekiamumą arba vilčių nepateisinamumą; </w:t>
      </w:r>
      <w:r w:rsidR="00EF7EC6" w:rsidRPr="00CE006B">
        <w:rPr>
          <w:sz w:val="26"/>
          <w:szCs w:val="26"/>
          <w:lang w:val="lt-LT"/>
        </w:rPr>
        <w:t>3</w:t>
      </w:r>
      <w:r w:rsidR="00B82E12" w:rsidRPr="00CE006B">
        <w:rPr>
          <w:sz w:val="26"/>
          <w:szCs w:val="26"/>
          <w:lang w:val="lt-LT"/>
        </w:rPr>
        <w:t xml:space="preserve">) </w:t>
      </w:r>
      <w:r w:rsidR="00EA4066" w:rsidRPr="00CE006B">
        <w:rPr>
          <w:sz w:val="26"/>
          <w:szCs w:val="26"/>
          <w:lang w:val="lt-LT"/>
        </w:rPr>
        <w:t xml:space="preserve">nepasisekimo tikimybė. </w:t>
      </w:r>
      <w:r w:rsidR="0095007A">
        <w:rPr>
          <w:sz w:val="26"/>
          <w:szCs w:val="26"/>
          <w:lang w:val="lt-LT"/>
        </w:rPr>
        <w:t>Šiuose žodynuose rizikos sąvoka siejama su tikimybe nepasiekti tikslo, t</w:t>
      </w:r>
      <w:r w:rsidR="006762CF" w:rsidRPr="00CE006B">
        <w:rPr>
          <w:sz w:val="26"/>
          <w:szCs w:val="26"/>
          <w:lang w:val="lt-LT"/>
        </w:rPr>
        <w:t>uo t</w:t>
      </w:r>
      <w:r w:rsidR="00E63152" w:rsidRPr="00CE006B">
        <w:rPr>
          <w:sz w:val="26"/>
          <w:szCs w:val="26"/>
          <w:lang w:val="lt-LT"/>
        </w:rPr>
        <w:t>a</w:t>
      </w:r>
      <w:r w:rsidR="006762CF" w:rsidRPr="00CE006B">
        <w:rPr>
          <w:sz w:val="26"/>
          <w:szCs w:val="26"/>
          <w:lang w:val="lt-LT"/>
        </w:rPr>
        <w:t xml:space="preserve">rpu </w:t>
      </w:r>
      <w:r w:rsidR="00421203" w:rsidRPr="00CE006B">
        <w:rPr>
          <w:sz w:val="26"/>
          <w:szCs w:val="26"/>
          <w:lang w:val="lt-LT"/>
        </w:rPr>
        <w:t>E</w:t>
      </w:r>
      <w:r w:rsidR="00EA4066" w:rsidRPr="00CE006B">
        <w:rPr>
          <w:sz w:val="26"/>
          <w:szCs w:val="26"/>
          <w:lang w:val="lt-LT"/>
        </w:rPr>
        <w:t>konomikos terminų žodyne</w:t>
      </w:r>
      <w:r w:rsidR="00421203" w:rsidRPr="00CE006B">
        <w:rPr>
          <w:sz w:val="26"/>
          <w:szCs w:val="26"/>
          <w:lang w:val="lt-LT"/>
        </w:rPr>
        <w:t xml:space="preserve"> (1994)</w:t>
      </w:r>
      <w:r w:rsidR="00EA4066" w:rsidRPr="00CE006B">
        <w:rPr>
          <w:sz w:val="26"/>
          <w:szCs w:val="26"/>
          <w:lang w:val="lt-LT"/>
        </w:rPr>
        <w:t xml:space="preserve"> rizikos apibūdinimas pateikiamas kartu su netikrumo (neapibrėžtumo) sąvoka, tai „firmos investicijų nuostolio galimybė kylanti iš to, kad ji veikia nepatikimoje ūkinės veiklos </w:t>
      </w:r>
      <w:r w:rsidR="00EA4066" w:rsidRPr="00CE006B">
        <w:rPr>
          <w:sz w:val="26"/>
          <w:szCs w:val="26"/>
          <w:lang w:val="lt-LT"/>
        </w:rPr>
        <w:lastRenderedPageBreak/>
        <w:t>aplinkoje“.</w:t>
      </w:r>
      <w:r w:rsidR="00753714" w:rsidRPr="00CE006B">
        <w:rPr>
          <w:sz w:val="26"/>
          <w:szCs w:val="26"/>
          <w:lang w:val="lt-LT"/>
        </w:rPr>
        <w:t xml:space="preserve"> </w:t>
      </w:r>
      <w:r w:rsidR="0054551B" w:rsidRPr="00CE006B">
        <w:rPr>
          <w:sz w:val="26"/>
          <w:szCs w:val="26"/>
          <w:lang w:val="lt-LT"/>
        </w:rPr>
        <w:t>Skirting</w:t>
      </w:r>
      <w:r w:rsidR="00FC3A59" w:rsidRPr="00CE006B">
        <w:rPr>
          <w:sz w:val="26"/>
          <w:szCs w:val="26"/>
          <w:lang w:val="lt-LT"/>
        </w:rPr>
        <w:t>o</w:t>
      </w:r>
      <w:r w:rsidR="0054551B" w:rsidRPr="00CE006B">
        <w:rPr>
          <w:sz w:val="26"/>
          <w:szCs w:val="26"/>
          <w:lang w:val="lt-LT"/>
        </w:rPr>
        <w:t xml:space="preserve">s </w:t>
      </w:r>
      <w:r w:rsidR="00E00F09" w:rsidRPr="00CE006B">
        <w:rPr>
          <w:sz w:val="26"/>
          <w:szCs w:val="26"/>
          <w:lang w:val="lt-LT"/>
        </w:rPr>
        <w:t xml:space="preserve">rizikos </w:t>
      </w:r>
      <w:r w:rsidR="00D55E95" w:rsidRPr="00CE006B">
        <w:rPr>
          <w:sz w:val="26"/>
          <w:szCs w:val="26"/>
          <w:lang w:val="lt-LT"/>
        </w:rPr>
        <w:t xml:space="preserve">sampratos </w:t>
      </w:r>
      <w:r w:rsidR="00FC3A59" w:rsidRPr="00CE006B">
        <w:rPr>
          <w:sz w:val="26"/>
          <w:szCs w:val="26"/>
          <w:lang w:val="lt-LT"/>
        </w:rPr>
        <w:t>interpretacijo</w:t>
      </w:r>
      <w:r w:rsidR="0054551B" w:rsidRPr="00CE006B">
        <w:rPr>
          <w:sz w:val="26"/>
          <w:szCs w:val="26"/>
          <w:lang w:val="lt-LT"/>
        </w:rPr>
        <w:t>s pateikia</w:t>
      </w:r>
      <w:r w:rsidR="00FC3A59" w:rsidRPr="00CE006B">
        <w:rPr>
          <w:sz w:val="26"/>
          <w:szCs w:val="26"/>
          <w:lang w:val="lt-LT"/>
        </w:rPr>
        <w:t xml:space="preserve">mos </w:t>
      </w:r>
      <w:r w:rsidR="0054551B" w:rsidRPr="00CE006B">
        <w:rPr>
          <w:sz w:val="26"/>
          <w:szCs w:val="26"/>
          <w:lang w:val="lt-LT"/>
        </w:rPr>
        <w:t xml:space="preserve">ir </w:t>
      </w:r>
      <w:r w:rsidR="00FC3A59" w:rsidRPr="00CE006B">
        <w:rPr>
          <w:sz w:val="26"/>
          <w:szCs w:val="26"/>
          <w:lang w:val="lt-LT"/>
        </w:rPr>
        <w:t xml:space="preserve">mokslo darbuose </w:t>
      </w:r>
      <w:r w:rsidR="0054551B" w:rsidRPr="00CE006B">
        <w:rPr>
          <w:sz w:val="26"/>
          <w:szCs w:val="26"/>
          <w:lang w:val="lt-LT"/>
        </w:rPr>
        <w:t>(Knight,</w:t>
      </w:r>
      <w:r w:rsidR="00BE767D" w:rsidRPr="00CE006B">
        <w:rPr>
          <w:sz w:val="26"/>
          <w:szCs w:val="26"/>
          <w:lang w:val="lt-LT"/>
        </w:rPr>
        <w:t xml:space="preserve"> </w:t>
      </w:r>
      <w:r w:rsidR="0054551B" w:rsidRPr="00CE006B">
        <w:rPr>
          <w:sz w:val="26"/>
          <w:szCs w:val="26"/>
          <w:lang w:val="lt-LT"/>
        </w:rPr>
        <w:t xml:space="preserve">1921; </w:t>
      </w:r>
      <w:r w:rsidR="00FC3A59" w:rsidRPr="00CE006B">
        <w:rPr>
          <w:sz w:val="26"/>
          <w:szCs w:val="26"/>
          <w:lang w:val="lt-LT"/>
        </w:rPr>
        <w:t>Warren, 1992; Vaughan, 1997; Mun, 2004; Gronskas, 1993; Bagdonas, 1996;</w:t>
      </w:r>
      <w:r w:rsidR="0054551B" w:rsidRPr="00CE006B">
        <w:rPr>
          <w:sz w:val="26"/>
          <w:szCs w:val="26"/>
          <w:lang w:val="lt-LT"/>
        </w:rPr>
        <w:t xml:space="preserve"> Garškienė, 1997; </w:t>
      </w:r>
      <w:r w:rsidR="00D55E95" w:rsidRPr="00CE006B">
        <w:rPr>
          <w:sz w:val="26"/>
          <w:szCs w:val="26"/>
          <w:lang w:val="lt-LT"/>
        </w:rPr>
        <w:t xml:space="preserve">Urniežius, 2001; Rutkauskas, </w:t>
      </w:r>
      <w:r w:rsidR="00025CA1" w:rsidRPr="00CE006B">
        <w:rPr>
          <w:sz w:val="26"/>
          <w:szCs w:val="26"/>
          <w:lang w:val="lt-LT"/>
        </w:rPr>
        <w:t xml:space="preserve">2001; </w:t>
      </w:r>
      <w:r w:rsidR="00840C05" w:rsidRPr="00CE006B">
        <w:rPr>
          <w:sz w:val="26"/>
          <w:szCs w:val="26"/>
          <w:lang w:val="lt-LT"/>
        </w:rPr>
        <w:t xml:space="preserve">Lydeka, Drilingas 2002; </w:t>
      </w:r>
      <w:r w:rsidR="00D55E95" w:rsidRPr="00CE006B">
        <w:rPr>
          <w:sz w:val="26"/>
          <w:szCs w:val="26"/>
          <w:lang w:val="lt-LT"/>
        </w:rPr>
        <w:t>Laskienė</w:t>
      </w:r>
      <w:r w:rsidR="0054551B" w:rsidRPr="00CE006B">
        <w:rPr>
          <w:sz w:val="26"/>
          <w:szCs w:val="26"/>
          <w:lang w:val="lt-LT"/>
        </w:rPr>
        <w:t xml:space="preserve">, </w:t>
      </w:r>
      <w:r w:rsidR="00D55E95" w:rsidRPr="00CE006B">
        <w:rPr>
          <w:sz w:val="26"/>
          <w:szCs w:val="26"/>
          <w:lang w:val="lt-LT"/>
        </w:rPr>
        <w:t>200</w:t>
      </w:r>
      <w:r w:rsidR="00A17FDE" w:rsidRPr="00CE006B">
        <w:rPr>
          <w:sz w:val="26"/>
          <w:szCs w:val="26"/>
          <w:lang w:val="lt-LT"/>
        </w:rPr>
        <w:t>3</w:t>
      </w:r>
      <w:r w:rsidR="0054551B" w:rsidRPr="00CE006B">
        <w:rPr>
          <w:sz w:val="26"/>
          <w:szCs w:val="26"/>
          <w:lang w:val="lt-LT"/>
        </w:rPr>
        <w:t>) (žr. 1 lentelė)</w:t>
      </w:r>
      <w:r w:rsidR="005659E0" w:rsidRPr="00CE006B">
        <w:rPr>
          <w:sz w:val="26"/>
          <w:szCs w:val="26"/>
          <w:lang w:val="lt-LT"/>
        </w:rPr>
        <w:t>.</w:t>
      </w:r>
    </w:p>
    <w:p w:rsidR="00E00F09" w:rsidRPr="00063EDC" w:rsidRDefault="00E00F09" w:rsidP="00CE006B">
      <w:pPr>
        <w:spacing w:line="360" w:lineRule="auto"/>
        <w:ind w:left="7200"/>
        <w:jc w:val="both"/>
        <w:rPr>
          <w:i/>
          <w:sz w:val="24"/>
          <w:lang w:val="lt-LT"/>
        </w:rPr>
      </w:pPr>
      <w:r w:rsidRPr="00063EDC">
        <w:rPr>
          <w:i/>
          <w:sz w:val="24"/>
          <w:lang w:val="lt-LT"/>
        </w:rPr>
        <w:t>1 lentelė</w:t>
      </w:r>
    </w:p>
    <w:p w:rsidR="00E00F09" w:rsidRPr="00E63152" w:rsidRDefault="00E00F09" w:rsidP="00E00F09">
      <w:pPr>
        <w:spacing w:line="360" w:lineRule="auto"/>
        <w:jc w:val="center"/>
        <w:rPr>
          <w:b/>
          <w:sz w:val="24"/>
          <w:lang w:val="lt-LT"/>
        </w:rPr>
      </w:pPr>
      <w:r>
        <w:rPr>
          <w:b/>
          <w:sz w:val="24"/>
          <w:lang w:val="lt-LT"/>
        </w:rPr>
        <w:t>R</w:t>
      </w:r>
      <w:r w:rsidRPr="00E63152">
        <w:rPr>
          <w:b/>
          <w:sz w:val="24"/>
          <w:lang w:val="lt-LT"/>
        </w:rPr>
        <w:t xml:space="preserve">izikos </w:t>
      </w:r>
      <w:r w:rsidR="00FD48E9">
        <w:rPr>
          <w:b/>
          <w:sz w:val="24"/>
          <w:lang w:val="lt-LT"/>
        </w:rPr>
        <w:t>sampratos interpretacijos</w:t>
      </w:r>
      <w:r>
        <w:rPr>
          <w:b/>
          <w:sz w:val="24"/>
          <w:lang w:val="lt-LT"/>
        </w:rPr>
        <w:t xml:space="preserve"> </w:t>
      </w:r>
    </w:p>
    <w:tbl>
      <w:tblPr>
        <w:tblW w:w="0" w:type="auto"/>
        <w:tblLayout w:type="fixed"/>
        <w:tblLook w:val="01E0"/>
      </w:tblPr>
      <w:tblGrid>
        <w:gridCol w:w="2376"/>
        <w:gridCol w:w="6096"/>
      </w:tblGrid>
      <w:tr w:rsidR="00E00F09" w:rsidRPr="00CE006B" w:rsidTr="00CE006B">
        <w:tc>
          <w:tcPr>
            <w:tcW w:w="2376" w:type="dxa"/>
            <w:tcBorders>
              <w:top w:val="single" w:sz="4" w:space="0" w:color="auto"/>
              <w:bottom w:val="single" w:sz="4" w:space="0" w:color="auto"/>
            </w:tcBorders>
            <w:vAlign w:val="center"/>
          </w:tcPr>
          <w:p w:rsidR="00E00F09" w:rsidRPr="00CE006B" w:rsidRDefault="00E00F09" w:rsidP="00B3066B">
            <w:pPr>
              <w:spacing w:line="360" w:lineRule="auto"/>
              <w:jc w:val="center"/>
              <w:rPr>
                <w:sz w:val="22"/>
                <w:szCs w:val="22"/>
                <w:lang w:val="lt-LT"/>
              </w:rPr>
            </w:pPr>
            <w:r w:rsidRPr="00CE006B">
              <w:rPr>
                <w:sz w:val="22"/>
                <w:szCs w:val="22"/>
                <w:lang w:val="lt-LT"/>
              </w:rPr>
              <w:t>Šaltinis</w:t>
            </w:r>
          </w:p>
        </w:tc>
        <w:tc>
          <w:tcPr>
            <w:tcW w:w="6096" w:type="dxa"/>
            <w:tcBorders>
              <w:top w:val="single" w:sz="4" w:space="0" w:color="auto"/>
              <w:bottom w:val="single" w:sz="4" w:space="0" w:color="auto"/>
            </w:tcBorders>
            <w:vAlign w:val="center"/>
          </w:tcPr>
          <w:p w:rsidR="00E00F09" w:rsidRPr="00CE006B" w:rsidRDefault="00430B65" w:rsidP="00B3066B">
            <w:pPr>
              <w:spacing w:line="360" w:lineRule="auto"/>
              <w:jc w:val="center"/>
              <w:rPr>
                <w:sz w:val="22"/>
                <w:szCs w:val="22"/>
                <w:lang w:val="lt-LT"/>
              </w:rPr>
            </w:pPr>
            <w:r w:rsidRPr="00CE006B">
              <w:rPr>
                <w:sz w:val="22"/>
                <w:szCs w:val="22"/>
                <w:lang w:val="lt-LT"/>
              </w:rPr>
              <w:t>Samprata</w:t>
            </w:r>
          </w:p>
        </w:tc>
      </w:tr>
      <w:tr w:rsidR="00E00F09" w:rsidRPr="00CE006B" w:rsidTr="00CE006B">
        <w:tc>
          <w:tcPr>
            <w:tcW w:w="2376" w:type="dxa"/>
            <w:tcBorders>
              <w:top w:val="single" w:sz="4" w:space="0" w:color="auto"/>
              <w:bottom w:val="single" w:sz="4" w:space="0" w:color="auto"/>
            </w:tcBorders>
          </w:tcPr>
          <w:p w:rsidR="00E00F09" w:rsidRPr="00CE006B" w:rsidRDefault="00FD48E9" w:rsidP="00B3066B">
            <w:pPr>
              <w:rPr>
                <w:sz w:val="22"/>
                <w:szCs w:val="22"/>
                <w:lang w:val="lt-LT"/>
              </w:rPr>
            </w:pPr>
            <w:r w:rsidRPr="00CE006B">
              <w:rPr>
                <w:sz w:val="22"/>
                <w:szCs w:val="22"/>
                <w:lang w:val="lt-LT"/>
              </w:rPr>
              <w:t>F. H. Knight (1921)</w:t>
            </w:r>
          </w:p>
          <w:p w:rsidR="00E45D3B" w:rsidRPr="00CE006B" w:rsidRDefault="00E45D3B" w:rsidP="00B3066B">
            <w:pPr>
              <w:rPr>
                <w:sz w:val="22"/>
                <w:szCs w:val="22"/>
                <w:lang w:val="lt-LT"/>
              </w:rPr>
            </w:pPr>
          </w:p>
          <w:p w:rsidR="00C97DC4" w:rsidRPr="00CE006B" w:rsidRDefault="00C97DC4" w:rsidP="00B3066B">
            <w:pPr>
              <w:rPr>
                <w:sz w:val="22"/>
                <w:szCs w:val="22"/>
                <w:lang w:val="lt-LT"/>
              </w:rPr>
            </w:pPr>
            <w:r w:rsidRPr="00CE006B">
              <w:rPr>
                <w:sz w:val="22"/>
                <w:szCs w:val="22"/>
                <w:lang w:val="lt-LT"/>
              </w:rPr>
              <w:t>M. F. Warren (1992)</w:t>
            </w:r>
          </w:p>
          <w:p w:rsidR="00C97DC4" w:rsidRPr="00CE006B" w:rsidRDefault="00C97DC4" w:rsidP="00B3066B">
            <w:pPr>
              <w:rPr>
                <w:sz w:val="22"/>
                <w:szCs w:val="22"/>
                <w:lang w:val="lt-LT"/>
              </w:rPr>
            </w:pPr>
          </w:p>
          <w:p w:rsidR="00FD48E9" w:rsidRPr="00CE006B" w:rsidRDefault="00E45D3B" w:rsidP="00B3066B">
            <w:pPr>
              <w:rPr>
                <w:sz w:val="22"/>
                <w:szCs w:val="22"/>
                <w:lang w:val="lt-LT"/>
              </w:rPr>
            </w:pPr>
            <w:r w:rsidRPr="00CE006B">
              <w:rPr>
                <w:sz w:val="22"/>
                <w:szCs w:val="22"/>
                <w:lang w:val="lt-LT"/>
              </w:rPr>
              <w:t>E. J. Vaughan (1997)</w:t>
            </w:r>
          </w:p>
          <w:p w:rsidR="00BB34E2" w:rsidRPr="00CE006B" w:rsidRDefault="00BB34E2" w:rsidP="00FD48E9">
            <w:pPr>
              <w:rPr>
                <w:sz w:val="22"/>
                <w:szCs w:val="22"/>
                <w:lang w:val="lt-LT"/>
              </w:rPr>
            </w:pPr>
          </w:p>
          <w:p w:rsidR="00BB34E2" w:rsidRPr="00CE006B" w:rsidRDefault="00BB34E2" w:rsidP="00FD48E9">
            <w:pPr>
              <w:rPr>
                <w:sz w:val="22"/>
                <w:szCs w:val="22"/>
                <w:lang w:val="lt-LT"/>
              </w:rPr>
            </w:pPr>
            <w:r w:rsidRPr="00CE006B">
              <w:rPr>
                <w:sz w:val="22"/>
                <w:szCs w:val="22"/>
                <w:lang w:val="lt-LT"/>
              </w:rPr>
              <w:t xml:space="preserve">J. Mun (2004) </w:t>
            </w:r>
          </w:p>
          <w:p w:rsidR="008431EA" w:rsidRPr="00CE006B" w:rsidRDefault="008431EA" w:rsidP="00FD48E9">
            <w:pPr>
              <w:rPr>
                <w:sz w:val="22"/>
                <w:szCs w:val="22"/>
                <w:lang w:val="lt-LT"/>
              </w:rPr>
            </w:pPr>
          </w:p>
          <w:p w:rsidR="00CE006B" w:rsidRDefault="00CE006B" w:rsidP="00FD48E9">
            <w:pPr>
              <w:rPr>
                <w:sz w:val="22"/>
                <w:szCs w:val="22"/>
                <w:lang w:val="lt-LT"/>
              </w:rPr>
            </w:pPr>
          </w:p>
          <w:p w:rsidR="009E5F5E" w:rsidRPr="00CE006B" w:rsidRDefault="009E5F5E" w:rsidP="00FD48E9">
            <w:pPr>
              <w:rPr>
                <w:sz w:val="22"/>
                <w:szCs w:val="22"/>
                <w:lang w:val="lt-LT"/>
              </w:rPr>
            </w:pPr>
            <w:r w:rsidRPr="00CE006B">
              <w:rPr>
                <w:sz w:val="22"/>
                <w:szCs w:val="22"/>
                <w:lang w:val="lt-LT"/>
              </w:rPr>
              <w:t>COSO ERM (2004)</w:t>
            </w:r>
          </w:p>
          <w:p w:rsidR="00CE006B" w:rsidRDefault="00CE006B" w:rsidP="00201B95">
            <w:pPr>
              <w:rPr>
                <w:sz w:val="22"/>
                <w:szCs w:val="22"/>
                <w:lang w:val="lt-LT"/>
              </w:rPr>
            </w:pPr>
          </w:p>
          <w:p w:rsidR="00201B95" w:rsidRPr="00CE006B" w:rsidRDefault="00201B95" w:rsidP="00201B95">
            <w:pPr>
              <w:rPr>
                <w:sz w:val="22"/>
                <w:szCs w:val="22"/>
                <w:lang w:val="lt-LT"/>
              </w:rPr>
            </w:pPr>
            <w:r w:rsidRPr="00CE006B">
              <w:rPr>
                <w:sz w:val="22"/>
                <w:szCs w:val="22"/>
                <w:lang w:val="lt-LT"/>
              </w:rPr>
              <w:t>V. Gronskas (1993)</w:t>
            </w:r>
          </w:p>
          <w:p w:rsidR="00201B95" w:rsidRPr="00CE006B" w:rsidRDefault="00201B95" w:rsidP="00201B95">
            <w:pPr>
              <w:rPr>
                <w:sz w:val="22"/>
                <w:szCs w:val="22"/>
                <w:lang w:val="lt-LT"/>
              </w:rPr>
            </w:pPr>
          </w:p>
          <w:p w:rsidR="00861F05" w:rsidRPr="00CE006B" w:rsidRDefault="00F275A1" w:rsidP="00201B95">
            <w:pPr>
              <w:rPr>
                <w:sz w:val="22"/>
                <w:szCs w:val="22"/>
                <w:lang w:val="lt-LT"/>
              </w:rPr>
            </w:pPr>
            <w:r w:rsidRPr="00CE006B">
              <w:rPr>
                <w:sz w:val="22"/>
                <w:szCs w:val="22"/>
                <w:lang w:val="lt-LT"/>
              </w:rPr>
              <w:t>V. Bagdonas (1996)</w:t>
            </w:r>
          </w:p>
          <w:p w:rsidR="00CE006B" w:rsidRDefault="00CE006B" w:rsidP="00201B95">
            <w:pPr>
              <w:rPr>
                <w:sz w:val="22"/>
                <w:szCs w:val="22"/>
                <w:lang w:val="lt-LT"/>
              </w:rPr>
            </w:pPr>
          </w:p>
          <w:p w:rsidR="00201B95" w:rsidRPr="00CE006B" w:rsidRDefault="00201B95" w:rsidP="00201B95">
            <w:pPr>
              <w:rPr>
                <w:sz w:val="22"/>
                <w:szCs w:val="22"/>
                <w:lang w:val="lt-LT"/>
              </w:rPr>
            </w:pPr>
            <w:r w:rsidRPr="00CE006B">
              <w:rPr>
                <w:sz w:val="22"/>
                <w:szCs w:val="22"/>
                <w:lang w:val="lt-LT"/>
              </w:rPr>
              <w:t>A. Garškienė (1997)</w:t>
            </w:r>
          </w:p>
          <w:p w:rsidR="00201B95" w:rsidRPr="00CE006B" w:rsidRDefault="00201B95" w:rsidP="00201B95">
            <w:pPr>
              <w:rPr>
                <w:sz w:val="22"/>
                <w:szCs w:val="22"/>
                <w:lang w:val="lt-LT"/>
              </w:rPr>
            </w:pPr>
          </w:p>
          <w:p w:rsidR="00201B95" w:rsidRPr="00CE006B" w:rsidRDefault="00201B95" w:rsidP="00201B95">
            <w:pPr>
              <w:rPr>
                <w:sz w:val="22"/>
                <w:szCs w:val="22"/>
                <w:lang w:val="lt-LT"/>
              </w:rPr>
            </w:pPr>
            <w:r w:rsidRPr="00CE006B">
              <w:rPr>
                <w:sz w:val="22"/>
                <w:szCs w:val="22"/>
                <w:lang w:val="lt-LT"/>
              </w:rPr>
              <w:t>R. Urniežius (2001)</w:t>
            </w:r>
          </w:p>
          <w:p w:rsidR="008431EA" w:rsidRPr="00CE006B" w:rsidRDefault="008431EA" w:rsidP="00FD48E9">
            <w:pPr>
              <w:rPr>
                <w:sz w:val="22"/>
                <w:szCs w:val="22"/>
                <w:lang w:val="lt-LT"/>
              </w:rPr>
            </w:pPr>
            <w:r w:rsidRPr="00CE006B">
              <w:rPr>
                <w:sz w:val="22"/>
                <w:szCs w:val="22"/>
                <w:lang w:val="lt-LT"/>
              </w:rPr>
              <w:t>V. Rutkauskas (2001)</w:t>
            </w:r>
          </w:p>
          <w:p w:rsidR="008431EA" w:rsidRPr="00CE006B" w:rsidRDefault="008431EA" w:rsidP="00FD48E9">
            <w:pPr>
              <w:rPr>
                <w:sz w:val="22"/>
                <w:szCs w:val="22"/>
                <w:lang w:val="lt-LT"/>
              </w:rPr>
            </w:pPr>
          </w:p>
          <w:p w:rsidR="008431EA" w:rsidRDefault="008431EA" w:rsidP="00FD48E9">
            <w:pPr>
              <w:rPr>
                <w:sz w:val="22"/>
                <w:szCs w:val="22"/>
                <w:lang w:val="lt-LT"/>
              </w:rPr>
            </w:pPr>
          </w:p>
          <w:p w:rsidR="00CE006B" w:rsidRPr="00CE006B" w:rsidRDefault="00CE006B" w:rsidP="00FD48E9">
            <w:pPr>
              <w:rPr>
                <w:sz w:val="22"/>
                <w:szCs w:val="22"/>
                <w:lang w:val="lt-LT"/>
              </w:rPr>
            </w:pPr>
          </w:p>
          <w:p w:rsidR="00452BE4" w:rsidRPr="00CE006B" w:rsidRDefault="00452BE4" w:rsidP="00FD48E9">
            <w:pPr>
              <w:rPr>
                <w:sz w:val="22"/>
                <w:szCs w:val="22"/>
                <w:lang w:val="lt-LT"/>
              </w:rPr>
            </w:pPr>
            <w:r w:rsidRPr="00CE006B">
              <w:rPr>
                <w:sz w:val="22"/>
                <w:szCs w:val="22"/>
                <w:lang w:val="lt-LT"/>
              </w:rPr>
              <w:t>Z. Lydeka, B. Drilingas (2002)</w:t>
            </w:r>
          </w:p>
          <w:p w:rsidR="00452BE4" w:rsidRPr="00CE006B" w:rsidRDefault="00452BE4" w:rsidP="00FD48E9">
            <w:pPr>
              <w:rPr>
                <w:sz w:val="22"/>
                <w:szCs w:val="22"/>
                <w:lang w:val="lt-LT"/>
              </w:rPr>
            </w:pPr>
          </w:p>
          <w:p w:rsidR="00CE006B" w:rsidRDefault="00CE006B" w:rsidP="00FD48E9">
            <w:pPr>
              <w:rPr>
                <w:sz w:val="22"/>
                <w:szCs w:val="22"/>
                <w:lang w:val="lt-LT"/>
              </w:rPr>
            </w:pPr>
          </w:p>
          <w:p w:rsidR="00FD48E9" w:rsidRPr="00CE006B" w:rsidRDefault="00201B95" w:rsidP="00FD48E9">
            <w:pPr>
              <w:rPr>
                <w:sz w:val="22"/>
                <w:szCs w:val="22"/>
                <w:lang w:val="lt-LT"/>
              </w:rPr>
            </w:pPr>
            <w:r w:rsidRPr="00CE006B">
              <w:rPr>
                <w:sz w:val="22"/>
                <w:szCs w:val="22"/>
                <w:lang w:val="lt-LT"/>
              </w:rPr>
              <w:t>D. Laskienė (200</w:t>
            </w:r>
            <w:r w:rsidR="00A17FDE" w:rsidRPr="00CE006B">
              <w:rPr>
                <w:sz w:val="22"/>
                <w:szCs w:val="22"/>
                <w:lang w:val="lt-LT"/>
              </w:rPr>
              <w:t>3</w:t>
            </w:r>
            <w:r w:rsidRPr="00CE006B">
              <w:rPr>
                <w:sz w:val="22"/>
                <w:szCs w:val="22"/>
                <w:lang w:val="lt-LT"/>
              </w:rPr>
              <w:t>)</w:t>
            </w:r>
          </w:p>
          <w:p w:rsidR="00FD48E9" w:rsidRPr="00CE006B" w:rsidRDefault="00FD48E9" w:rsidP="00201B95">
            <w:pPr>
              <w:rPr>
                <w:sz w:val="22"/>
                <w:szCs w:val="22"/>
                <w:lang w:val="lt-LT"/>
              </w:rPr>
            </w:pPr>
          </w:p>
        </w:tc>
        <w:tc>
          <w:tcPr>
            <w:tcW w:w="6096" w:type="dxa"/>
            <w:tcBorders>
              <w:top w:val="single" w:sz="4" w:space="0" w:color="auto"/>
              <w:bottom w:val="single" w:sz="4" w:space="0" w:color="auto"/>
            </w:tcBorders>
          </w:tcPr>
          <w:p w:rsidR="00E00F09" w:rsidRPr="00CE006B" w:rsidRDefault="002C4A11" w:rsidP="00B3066B">
            <w:pPr>
              <w:jc w:val="both"/>
              <w:rPr>
                <w:sz w:val="22"/>
                <w:szCs w:val="22"/>
                <w:lang w:val="lt-LT"/>
              </w:rPr>
            </w:pPr>
            <w:r w:rsidRPr="00CE006B">
              <w:rPr>
                <w:sz w:val="22"/>
                <w:szCs w:val="22"/>
                <w:lang w:val="lt-LT"/>
              </w:rPr>
              <w:t>R</w:t>
            </w:r>
            <w:r w:rsidR="00FD48E9" w:rsidRPr="00CE006B">
              <w:rPr>
                <w:sz w:val="22"/>
                <w:szCs w:val="22"/>
                <w:lang w:val="lt-LT"/>
              </w:rPr>
              <w:t>izik</w:t>
            </w:r>
            <w:r w:rsidRPr="00CE006B">
              <w:rPr>
                <w:sz w:val="22"/>
                <w:szCs w:val="22"/>
                <w:lang w:val="lt-LT"/>
              </w:rPr>
              <w:t>a –</w:t>
            </w:r>
            <w:r w:rsidR="00FD48E9" w:rsidRPr="00CE006B">
              <w:rPr>
                <w:sz w:val="22"/>
                <w:szCs w:val="22"/>
                <w:lang w:val="lt-LT"/>
              </w:rPr>
              <w:t xml:space="preserve"> sprendimų priėmimo aplink</w:t>
            </w:r>
            <w:r w:rsidRPr="00CE006B">
              <w:rPr>
                <w:sz w:val="22"/>
                <w:szCs w:val="22"/>
                <w:lang w:val="lt-LT"/>
              </w:rPr>
              <w:t>a</w:t>
            </w:r>
            <w:r w:rsidR="00FD48E9" w:rsidRPr="00CE006B">
              <w:rPr>
                <w:sz w:val="22"/>
                <w:szCs w:val="22"/>
                <w:lang w:val="lt-LT"/>
              </w:rPr>
              <w:t>, kai ateities įvykiai įvyksta su tam tikra išmatuota tikimybe</w:t>
            </w:r>
            <w:r w:rsidR="00EF57A4" w:rsidRPr="00CE006B">
              <w:rPr>
                <w:sz w:val="22"/>
                <w:szCs w:val="22"/>
                <w:lang w:val="lt-LT"/>
              </w:rPr>
              <w:t>.</w:t>
            </w:r>
          </w:p>
          <w:p w:rsidR="00C97DC4" w:rsidRPr="00CE006B" w:rsidRDefault="00C97DC4" w:rsidP="00B3066B">
            <w:pPr>
              <w:jc w:val="both"/>
              <w:rPr>
                <w:sz w:val="22"/>
                <w:szCs w:val="22"/>
                <w:lang w:val="lt-LT"/>
              </w:rPr>
            </w:pPr>
            <w:r w:rsidRPr="00CE006B">
              <w:rPr>
                <w:sz w:val="22"/>
                <w:szCs w:val="22"/>
                <w:lang w:val="lt-LT"/>
              </w:rPr>
              <w:t>Rizika – kintam</w:t>
            </w:r>
            <w:r w:rsidR="00025CA1" w:rsidRPr="00CE006B">
              <w:rPr>
                <w:sz w:val="22"/>
                <w:szCs w:val="22"/>
                <w:lang w:val="lt-LT"/>
              </w:rPr>
              <w:t>umo</w:t>
            </w:r>
            <w:r w:rsidRPr="00CE006B">
              <w:rPr>
                <w:sz w:val="22"/>
                <w:szCs w:val="22"/>
                <w:lang w:val="lt-LT"/>
              </w:rPr>
              <w:t xml:space="preserve"> rezultatas, kurio pasireiškimas gali būti numatomas su tam tikra tikimybe.</w:t>
            </w:r>
          </w:p>
          <w:p w:rsidR="00E45D3B" w:rsidRPr="00CE006B" w:rsidRDefault="00E45D3B" w:rsidP="00B3066B">
            <w:pPr>
              <w:jc w:val="both"/>
              <w:rPr>
                <w:sz w:val="22"/>
                <w:szCs w:val="22"/>
                <w:lang w:val="lt-LT"/>
              </w:rPr>
            </w:pPr>
            <w:r w:rsidRPr="00CE006B">
              <w:rPr>
                <w:sz w:val="22"/>
                <w:szCs w:val="22"/>
                <w:lang w:val="lt-LT"/>
              </w:rPr>
              <w:t xml:space="preserve">Rizika – </w:t>
            </w:r>
            <w:r w:rsidR="00201B95" w:rsidRPr="00CE006B">
              <w:rPr>
                <w:sz w:val="22"/>
                <w:szCs w:val="22"/>
                <w:lang w:val="lt-LT"/>
              </w:rPr>
              <w:t>sit</w:t>
            </w:r>
            <w:r w:rsidR="00C97DC4" w:rsidRPr="00CE006B">
              <w:rPr>
                <w:sz w:val="22"/>
                <w:szCs w:val="22"/>
                <w:lang w:val="lt-LT"/>
              </w:rPr>
              <w:t>u</w:t>
            </w:r>
            <w:r w:rsidR="00201B95" w:rsidRPr="00CE006B">
              <w:rPr>
                <w:sz w:val="22"/>
                <w:szCs w:val="22"/>
                <w:lang w:val="lt-LT"/>
              </w:rPr>
              <w:t>acija</w:t>
            </w:r>
            <w:r w:rsidRPr="00CE006B">
              <w:rPr>
                <w:sz w:val="22"/>
                <w:szCs w:val="22"/>
                <w:lang w:val="lt-LT"/>
              </w:rPr>
              <w:t>, kurioje yra nepalankaus nukrypimo nuo norėtų rezultatų</w:t>
            </w:r>
            <w:r w:rsidR="00201B95" w:rsidRPr="00CE006B">
              <w:rPr>
                <w:sz w:val="22"/>
                <w:szCs w:val="22"/>
                <w:lang w:val="lt-LT"/>
              </w:rPr>
              <w:t xml:space="preserve"> galimybė</w:t>
            </w:r>
            <w:r w:rsidRPr="00CE006B">
              <w:rPr>
                <w:sz w:val="22"/>
                <w:szCs w:val="22"/>
                <w:lang w:val="lt-LT"/>
              </w:rPr>
              <w:t>, kurių</w:t>
            </w:r>
            <w:r w:rsidR="00BB34E2" w:rsidRPr="00CE006B">
              <w:rPr>
                <w:sz w:val="22"/>
                <w:szCs w:val="22"/>
                <w:lang w:val="lt-LT"/>
              </w:rPr>
              <w:t xml:space="preserve"> buvo</w:t>
            </w:r>
            <w:r w:rsidRPr="00CE006B">
              <w:rPr>
                <w:sz w:val="22"/>
                <w:szCs w:val="22"/>
                <w:lang w:val="lt-LT"/>
              </w:rPr>
              <w:t xml:space="preserve"> tikimasi ar lauk</w:t>
            </w:r>
            <w:r w:rsidR="00BB34E2" w:rsidRPr="00CE006B">
              <w:rPr>
                <w:sz w:val="22"/>
                <w:szCs w:val="22"/>
                <w:lang w:val="lt-LT"/>
              </w:rPr>
              <w:t>ta.</w:t>
            </w:r>
            <w:r w:rsidRPr="00CE006B">
              <w:rPr>
                <w:sz w:val="22"/>
                <w:szCs w:val="22"/>
                <w:lang w:val="lt-LT"/>
              </w:rPr>
              <w:t xml:space="preserve"> </w:t>
            </w:r>
          </w:p>
          <w:p w:rsidR="00BB34E2" w:rsidRPr="00CE006B" w:rsidRDefault="00BB34E2" w:rsidP="00B3066B">
            <w:pPr>
              <w:jc w:val="both"/>
              <w:rPr>
                <w:sz w:val="22"/>
                <w:szCs w:val="22"/>
                <w:lang w:val="lt-LT"/>
              </w:rPr>
            </w:pPr>
            <w:r w:rsidRPr="00CE006B">
              <w:rPr>
                <w:sz w:val="22"/>
                <w:szCs w:val="22"/>
                <w:lang w:val="lt-LT"/>
              </w:rPr>
              <w:t>Rizika – neapibrėžtumas, kuris veikia sistemą nežinomu būdu, kurio padariniai taip pat nežinomi, tačiau tai turi didelį nepastovumą</w:t>
            </w:r>
            <w:r w:rsidR="008431EA" w:rsidRPr="00CE006B">
              <w:rPr>
                <w:sz w:val="22"/>
                <w:szCs w:val="22"/>
                <w:lang w:val="lt-LT"/>
              </w:rPr>
              <w:t xml:space="preserve"> vertei ir rezultatui.</w:t>
            </w:r>
            <w:r w:rsidRPr="00CE006B">
              <w:rPr>
                <w:sz w:val="22"/>
                <w:szCs w:val="22"/>
                <w:lang w:val="lt-LT"/>
              </w:rPr>
              <w:t xml:space="preserve"> </w:t>
            </w:r>
          </w:p>
          <w:p w:rsidR="009E5F5E" w:rsidRPr="00CE006B" w:rsidRDefault="009E5F5E" w:rsidP="00B3066B">
            <w:pPr>
              <w:jc w:val="both"/>
              <w:rPr>
                <w:sz w:val="22"/>
                <w:szCs w:val="22"/>
                <w:lang w:val="lt-LT"/>
              </w:rPr>
            </w:pPr>
            <w:r w:rsidRPr="00CE006B">
              <w:rPr>
                <w:sz w:val="22"/>
                <w:szCs w:val="22"/>
                <w:lang w:val="lt-LT"/>
              </w:rPr>
              <w:t>Rizika – tikimybė, kad įvykis įvyks ir neigiamai paveiks tikslo pasiekimą.</w:t>
            </w:r>
          </w:p>
          <w:p w:rsidR="00201B95" w:rsidRPr="00CE006B" w:rsidRDefault="00201B95" w:rsidP="00B3066B">
            <w:pPr>
              <w:jc w:val="both"/>
              <w:rPr>
                <w:sz w:val="22"/>
                <w:szCs w:val="22"/>
                <w:lang w:val="lt-LT"/>
              </w:rPr>
            </w:pPr>
            <w:r w:rsidRPr="00CE006B">
              <w:rPr>
                <w:sz w:val="22"/>
                <w:szCs w:val="22"/>
                <w:lang w:val="lt-LT"/>
              </w:rPr>
              <w:t>Rizika – 1) galimas pavojus, gresianti žala bei nelaimė ir 2)</w:t>
            </w:r>
            <w:r w:rsidR="008872D7">
              <w:rPr>
                <w:sz w:val="22"/>
                <w:szCs w:val="22"/>
                <w:lang w:val="lt-LT"/>
              </w:rPr>
              <w:t> </w:t>
            </w:r>
            <w:r w:rsidRPr="00CE006B">
              <w:rPr>
                <w:sz w:val="22"/>
                <w:szCs w:val="22"/>
                <w:lang w:val="lt-LT"/>
              </w:rPr>
              <w:t>veikimas, tikintis geros sėkmės.</w:t>
            </w:r>
          </w:p>
          <w:p w:rsidR="00861F05" w:rsidRPr="00CE006B" w:rsidRDefault="00861F05" w:rsidP="00201B95">
            <w:pPr>
              <w:jc w:val="both"/>
              <w:rPr>
                <w:sz w:val="22"/>
                <w:szCs w:val="22"/>
                <w:lang w:val="lt-LT"/>
              </w:rPr>
            </w:pPr>
            <w:r w:rsidRPr="00CE006B">
              <w:rPr>
                <w:sz w:val="22"/>
                <w:szCs w:val="22"/>
                <w:lang w:val="lt-LT"/>
              </w:rPr>
              <w:t xml:space="preserve">Rizika – </w:t>
            </w:r>
            <w:r w:rsidR="00F275A1" w:rsidRPr="00CE006B">
              <w:rPr>
                <w:sz w:val="22"/>
                <w:szCs w:val="22"/>
                <w:lang w:val="lt-LT"/>
              </w:rPr>
              <w:t xml:space="preserve">1) </w:t>
            </w:r>
            <w:r w:rsidRPr="00CE006B">
              <w:rPr>
                <w:sz w:val="22"/>
                <w:szCs w:val="22"/>
                <w:lang w:val="lt-LT"/>
              </w:rPr>
              <w:t>galimybė</w:t>
            </w:r>
            <w:r w:rsidR="00F275A1" w:rsidRPr="00CE006B">
              <w:rPr>
                <w:sz w:val="22"/>
                <w:szCs w:val="22"/>
                <w:lang w:val="lt-LT"/>
              </w:rPr>
              <w:t xml:space="preserve"> patirti kokį tai negerą įvykį, 2) tikimybė, grėsmė patirti nuostolį.</w:t>
            </w:r>
          </w:p>
          <w:p w:rsidR="00201B95" w:rsidRPr="00CE006B" w:rsidRDefault="00201B95" w:rsidP="00201B95">
            <w:pPr>
              <w:jc w:val="both"/>
              <w:rPr>
                <w:sz w:val="22"/>
                <w:szCs w:val="22"/>
                <w:lang w:val="lt-LT"/>
              </w:rPr>
            </w:pPr>
            <w:r w:rsidRPr="00CE006B">
              <w:rPr>
                <w:sz w:val="22"/>
                <w:szCs w:val="22"/>
                <w:lang w:val="lt-LT"/>
              </w:rPr>
              <w:t>Rizika – viena iš tikimybių teorijos kategorijų ir gali būti išreikšta kaip tam tikro nuostolio susidarymo tikimybė.</w:t>
            </w:r>
          </w:p>
          <w:p w:rsidR="00201B95" w:rsidRPr="00CE006B" w:rsidRDefault="00201B95" w:rsidP="00201B95">
            <w:pPr>
              <w:jc w:val="both"/>
              <w:rPr>
                <w:sz w:val="22"/>
                <w:szCs w:val="22"/>
                <w:lang w:val="lt-LT"/>
              </w:rPr>
            </w:pPr>
            <w:r w:rsidRPr="00CE006B">
              <w:rPr>
                <w:sz w:val="22"/>
                <w:szCs w:val="22"/>
                <w:lang w:val="lt-LT"/>
              </w:rPr>
              <w:t>Rizika – tai ryžtas veikti žinant, kad galima tikslo ir nepasiekti.</w:t>
            </w:r>
          </w:p>
          <w:p w:rsidR="008431EA" w:rsidRPr="00CE006B" w:rsidRDefault="00201B95" w:rsidP="00B3066B">
            <w:pPr>
              <w:jc w:val="both"/>
              <w:rPr>
                <w:sz w:val="22"/>
                <w:szCs w:val="22"/>
                <w:lang w:val="lt-LT"/>
              </w:rPr>
            </w:pPr>
            <w:r w:rsidRPr="00CE006B">
              <w:rPr>
                <w:sz w:val="22"/>
                <w:szCs w:val="22"/>
                <w:lang w:val="lt-LT"/>
              </w:rPr>
              <w:t xml:space="preserve">Rizika yra galimybė, kad pavojingoje situacijoje atsidūręs subjektas patirs neigiamą poveikį. </w:t>
            </w:r>
            <w:r w:rsidR="008431EA" w:rsidRPr="00CE006B">
              <w:rPr>
                <w:sz w:val="22"/>
                <w:szCs w:val="22"/>
                <w:lang w:val="lt-LT"/>
              </w:rPr>
              <w:t xml:space="preserve">Rizika – galima netektis, kuri priklauso ir nuo nepalankaus įvykio galimybių, ir nuo poveikio </w:t>
            </w:r>
            <w:r w:rsidR="00AB31C6" w:rsidRPr="00CE006B">
              <w:rPr>
                <w:sz w:val="22"/>
                <w:szCs w:val="22"/>
                <w:lang w:val="lt-LT"/>
              </w:rPr>
              <w:t>recipientų</w:t>
            </w:r>
            <w:r w:rsidR="008431EA" w:rsidRPr="00CE006B">
              <w:rPr>
                <w:sz w:val="22"/>
                <w:szCs w:val="22"/>
                <w:lang w:val="lt-LT"/>
              </w:rPr>
              <w:t xml:space="preserve"> atsako būdo bei aplinkos įtakos poveikio procesui.</w:t>
            </w:r>
          </w:p>
          <w:p w:rsidR="00452BE4" w:rsidRPr="00CE006B" w:rsidRDefault="00452BE4" w:rsidP="00B3066B">
            <w:pPr>
              <w:jc w:val="both"/>
              <w:rPr>
                <w:sz w:val="22"/>
                <w:szCs w:val="22"/>
                <w:lang w:val="lt-LT"/>
              </w:rPr>
            </w:pPr>
            <w:r w:rsidRPr="00CE006B">
              <w:rPr>
                <w:sz w:val="22"/>
                <w:szCs w:val="22"/>
                <w:lang w:val="lt-LT"/>
              </w:rPr>
              <w:t>Rizika – 1) tai galimi pavojai, gresianti žala, nuostoliai bei nelaimė vykdant kokius nors veiksmus; 2) tai įsitikinimas sėkme ir vykdymas veiksmų, kurių atlikimas priklauso nuo iš anksto nežinomų įvykių arba tiksliai neapibrėžtų aplinkybių.</w:t>
            </w:r>
          </w:p>
          <w:p w:rsidR="00FD48E9" w:rsidRPr="00CE006B" w:rsidRDefault="00C97DC4" w:rsidP="00C97DC4">
            <w:pPr>
              <w:jc w:val="both"/>
              <w:rPr>
                <w:sz w:val="22"/>
                <w:szCs w:val="22"/>
                <w:lang w:val="lt-LT"/>
              </w:rPr>
            </w:pPr>
            <w:r w:rsidRPr="00CE006B">
              <w:rPr>
                <w:sz w:val="22"/>
                <w:szCs w:val="22"/>
                <w:lang w:val="lt-LT"/>
              </w:rPr>
              <w:t>Rizika – nepageidaujamo įvykio (poveikio) ar prarastos (maksimaliai neišnaudoto) naudos, pasireiškiančios konkrečiam subjektui, galimybė, sąlygojama aplinkos neapibrėžtumo.</w:t>
            </w:r>
          </w:p>
        </w:tc>
      </w:tr>
    </w:tbl>
    <w:p w:rsidR="00E00F09" w:rsidRPr="005F44E6" w:rsidRDefault="00E00F09" w:rsidP="00E00F09">
      <w:pPr>
        <w:jc w:val="both"/>
        <w:rPr>
          <w:lang w:val="lt-LT"/>
        </w:rPr>
      </w:pPr>
      <w:r w:rsidRPr="005F44E6">
        <w:rPr>
          <w:lang w:val="lt-LT"/>
        </w:rPr>
        <w:t>Šaltinis: sudaryta autor</w:t>
      </w:r>
      <w:r w:rsidR="005C3183" w:rsidRPr="005F44E6">
        <w:rPr>
          <w:lang w:val="lt-LT"/>
        </w:rPr>
        <w:t>ės</w:t>
      </w:r>
      <w:r w:rsidRPr="005F44E6">
        <w:rPr>
          <w:lang w:val="lt-LT"/>
        </w:rPr>
        <w:t>.</w:t>
      </w:r>
    </w:p>
    <w:p w:rsidR="0095007A" w:rsidRPr="00CE006B" w:rsidRDefault="0095007A" w:rsidP="0095007A">
      <w:pPr>
        <w:spacing w:before="240" w:line="360" w:lineRule="auto"/>
        <w:ind w:firstLine="720"/>
        <w:jc w:val="both"/>
        <w:rPr>
          <w:sz w:val="26"/>
          <w:szCs w:val="26"/>
          <w:lang w:val="lt-LT"/>
        </w:rPr>
      </w:pPr>
      <w:r w:rsidRPr="00CE006B">
        <w:rPr>
          <w:sz w:val="26"/>
          <w:szCs w:val="26"/>
          <w:lang w:val="lt-LT"/>
        </w:rPr>
        <w:t xml:space="preserve">Iš pateiktų rizikos sampratų matyti, kad nėra susiformavusi vieninga nuomonė dėl rizikos sampratos naudojimo. Skirtingas rizikos interpretavimas siejamas su tuo, kad šis žodis turi daug aspektų ir jam galima suteikti tam tikrą prasmės atspalvį atsižvelgiant į konkrečią situaciją. Dažniausiai rizika siejama </w:t>
      </w:r>
      <w:r w:rsidRPr="00CE006B">
        <w:rPr>
          <w:i/>
          <w:sz w:val="26"/>
          <w:szCs w:val="26"/>
          <w:lang w:val="lt-LT"/>
        </w:rPr>
        <w:t>su tikimybe nepasiekti numatyto tikslo</w:t>
      </w:r>
      <w:r w:rsidRPr="00CE006B">
        <w:rPr>
          <w:sz w:val="26"/>
          <w:szCs w:val="26"/>
          <w:lang w:val="lt-LT"/>
        </w:rPr>
        <w:t xml:space="preserve"> (Dabartinės lietuvių kalbos žodynas, 2006; Tarptautinių žodžių žodynas, 1985; Knight, 1921; Warren, 1992; </w:t>
      </w:r>
      <w:r w:rsidRPr="00CE006B">
        <w:rPr>
          <w:sz w:val="26"/>
          <w:szCs w:val="26"/>
          <w:lang w:val="lt-LT"/>
        </w:rPr>
        <w:lastRenderedPageBreak/>
        <w:t xml:space="preserve">Vaughan, 1997; COSO ERM, 2004; Urniežius, 2001; Mun, 2004). Kituose šaltiniuose (Ekonomikos terminų žodynas, 1994; Gronskas, 1993; Bagdonas, 1993; Garškienė, 1997; Rutkauskas, 2001; Lydeka, Drilingas, 2002; Laskienė, 2003) akcentuojama </w:t>
      </w:r>
      <w:r w:rsidRPr="00CE006B">
        <w:rPr>
          <w:i/>
          <w:sz w:val="26"/>
          <w:szCs w:val="26"/>
          <w:lang w:val="lt-LT"/>
        </w:rPr>
        <w:t>dėl jos kylanti nuostolių susidarymo galimybė</w:t>
      </w:r>
      <w:r w:rsidRPr="00CE006B">
        <w:rPr>
          <w:sz w:val="26"/>
          <w:szCs w:val="26"/>
          <w:lang w:val="lt-LT"/>
        </w:rPr>
        <w:t>. Šios dvi sampratos atskleidžia dėl rizikos kylančias neigiamas pasekmes (rezultatą). Iš kitos pusės, Dabartinės lietuvių kalbos žodynas (2006), Z. Lydeka, B.</w:t>
      </w:r>
      <w:r>
        <w:rPr>
          <w:sz w:val="26"/>
          <w:szCs w:val="26"/>
          <w:lang w:val="lt-LT"/>
        </w:rPr>
        <w:t> </w:t>
      </w:r>
      <w:r w:rsidRPr="00CE006B">
        <w:rPr>
          <w:sz w:val="26"/>
          <w:szCs w:val="26"/>
          <w:lang w:val="lt-LT"/>
        </w:rPr>
        <w:t xml:space="preserve">Drilingas (2002) ir V. Gronskas (1993), pateikdami rizikos sampratas, nurodo, kad rizika gali būti </w:t>
      </w:r>
      <w:r w:rsidRPr="00CE006B">
        <w:rPr>
          <w:i/>
          <w:sz w:val="26"/>
          <w:szCs w:val="26"/>
          <w:lang w:val="lt-LT"/>
        </w:rPr>
        <w:t>susijusi su veiksmų vykdymu ir sėkmės tikėjimu, esant neaiškioms aplinkybėms</w:t>
      </w:r>
      <w:r w:rsidRPr="00CE006B">
        <w:rPr>
          <w:sz w:val="26"/>
          <w:szCs w:val="26"/>
          <w:lang w:val="lt-LT"/>
        </w:rPr>
        <w:t>. Tai išryškina pagrindinius riziką lemiančius veiksnius – neapibrėžtumą (nepatikimą situaciją ar aplinką) ir tam tikro sprendimo priėmimą ar veikimą. S. Liučvaitis (2003), išanalizavęs daugelį rizikos apibrėžimų, taip pat pastebi, kad rizikos apibrėžimams būdinga tai, „kad juose kalbama apie potencialių praradimų dydžius, tų praradimų tikimybę (neišvengiamas praradimas nėra rizika), realią rizikos galimybę“, tačiau jis neakcentuoja riziką sukeliančių veiksnių svarbos rizikos sampratose.</w:t>
      </w:r>
    </w:p>
    <w:p w:rsidR="00D95ECB" w:rsidRPr="00CE006B" w:rsidRDefault="00317AEA" w:rsidP="0095007A">
      <w:pPr>
        <w:spacing w:line="360" w:lineRule="auto"/>
        <w:ind w:firstLine="720"/>
        <w:jc w:val="both"/>
        <w:rPr>
          <w:sz w:val="26"/>
          <w:szCs w:val="26"/>
          <w:lang w:val="lt-LT"/>
        </w:rPr>
      </w:pPr>
      <w:r w:rsidRPr="00CE006B">
        <w:rPr>
          <w:sz w:val="26"/>
          <w:szCs w:val="26"/>
          <w:lang w:val="lt-LT"/>
        </w:rPr>
        <w:t xml:space="preserve">V. Gronsko (1993) </w:t>
      </w:r>
      <w:r w:rsidR="00EA4066" w:rsidRPr="00CE006B">
        <w:rPr>
          <w:sz w:val="26"/>
          <w:szCs w:val="26"/>
          <w:lang w:val="lt-LT"/>
        </w:rPr>
        <w:t>nuomone</w:t>
      </w:r>
      <w:r w:rsidR="002C7A30" w:rsidRPr="00CE006B">
        <w:rPr>
          <w:sz w:val="26"/>
          <w:szCs w:val="26"/>
          <w:lang w:val="lt-LT"/>
        </w:rPr>
        <w:t>,</w:t>
      </w:r>
      <w:r w:rsidR="00EA4066" w:rsidRPr="00CE006B">
        <w:rPr>
          <w:sz w:val="26"/>
          <w:szCs w:val="26"/>
          <w:lang w:val="lt-LT"/>
        </w:rPr>
        <w:t xml:space="preserve"> apibūdin</w:t>
      </w:r>
      <w:r w:rsidR="00910715" w:rsidRPr="00CE006B">
        <w:rPr>
          <w:sz w:val="26"/>
          <w:szCs w:val="26"/>
          <w:lang w:val="lt-LT"/>
        </w:rPr>
        <w:t>ant</w:t>
      </w:r>
      <w:r w:rsidR="00EA4066" w:rsidRPr="00CE006B">
        <w:rPr>
          <w:sz w:val="26"/>
          <w:szCs w:val="26"/>
          <w:lang w:val="lt-LT"/>
        </w:rPr>
        <w:t xml:space="preserve"> ekonominę riziką, </w:t>
      </w:r>
      <w:r w:rsidR="00D31AB9" w:rsidRPr="00CE006B">
        <w:rPr>
          <w:sz w:val="26"/>
          <w:szCs w:val="26"/>
          <w:lang w:val="lt-LT"/>
        </w:rPr>
        <w:t>reikia</w:t>
      </w:r>
      <w:r w:rsidR="00EA4066" w:rsidRPr="00CE006B">
        <w:rPr>
          <w:sz w:val="26"/>
          <w:szCs w:val="26"/>
          <w:lang w:val="lt-LT"/>
        </w:rPr>
        <w:t xml:space="preserve"> skirti: 1) pavojus, netikrumą, neapibrėžtumą, kurie slypi pačioje rinkos ekonomikoje (nes pati rinka savo nepastoviu, nuolatiniu svyravimu tarsi sukuria pavojingas situacijas) ir 2) kaip į tai reaguoja rinkos dalyviai: linkę rizikuoti, </w:t>
      </w:r>
      <w:r w:rsidR="006A1813" w:rsidRPr="00CE006B">
        <w:rPr>
          <w:sz w:val="26"/>
          <w:szCs w:val="26"/>
          <w:lang w:val="lt-LT"/>
        </w:rPr>
        <w:t xml:space="preserve">sutinka </w:t>
      </w:r>
      <w:r w:rsidR="00EA4066" w:rsidRPr="00CE006B">
        <w:rPr>
          <w:sz w:val="26"/>
          <w:szCs w:val="26"/>
          <w:lang w:val="lt-LT"/>
        </w:rPr>
        <w:t xml:space="preserve">„pasitikti“ rinkoje slypinčią riziką ar </w:t>
      </w:r>
      <w:r w:rsidR="006A1813" w:rsidRPr="00CE006B">
        <w:rPr>
          <w:sz w:val="26"/>
          <w:szCs w:val="26"/>
          <w:lang w:val="lt-LT"/>
        </w:rPr>
        <w:t xml:space="preserve">jos </w:t>
      </w:r>
      <w:r w:rsidR="00EA4066" w:rsidRPr="00CE006B">
        <w:rPr>
          <w:sz w:val="26"/>
          <w:szCs w:val="26"/>
          <w:lang w:val="lt-LT"/>
        </w:rPr>
        <w:t xml:space="preserve">vengia </w:t>
      </w:r>
      <w:r w:rsidR="006A1813" w:rsidRPr="00CE006B">
        <w:rPr>
          <w:sz w:val="26"/>
          <w:szCs w:val="26"/>
          <w:lang w:val="lt-LT"/>
        </w:rPr>
        <w:t>(Gronskas</w:t>
      </w:r>
      <w:r w:rsidR="00EA4066" w:rsidRPr="00CE006B">
        <w:rPr>
          <w:sz w:val="26"/>
          <w:szCs w:val="26"/>
          <w:lang w:val="lt-LT"/>
        </w:rPr>
        <w:t>, 1993, p.</w:t>
      </w:r>
      <w:r w:rsidR="006A1813" w:rsidRPr="00CE006B">
        <w:rPr>
          <w:sz w:val="26"/>
          <w:szCs w:val="26"/>
          <w:lang w:val="lt-LT"/>
        </w:rPr>
        <w:t xml:space="preserve"> </w:t>
      </w:r>
      <w:r w:rsidR="00EA4066" w:rsidRPr="00CE006B">
        <w:rPr>
          <w:sz w:val="26"/>
          <w:szCs w:val="26"/>
          <w:lang w:val="lt-LT"/>
        </w:rPr>
        <w:t>110). Atsižvelgiant į tai</w:t>
      </w:r>
      <w:r w:rsidR="00571E3A" w:rsidRPr="00CE006B">
        <w:rPr>
          <w:sz w:val="26"/>
          <w:szCs w:val="26"/>
          <w:lang w:val="lt-LT"/>
        </w:rPr>
        <w:t>,</w:t>
      </w:r>
      <w:r w:rsidR="00EA4066" w:rsidRPr="00CE006B">
        <w:rPr>
          <w:sz w:val="26"/>
          <w:szCs w:val="26"/>
          <w:lang w:val="lt-LT"/>
        </w:rPr>
        <w:t xml:space="preserve"> V.</w:t>
      </w:r>
      <w:r w:rsidR="00286BDB" w:rsidRPr="00CE006B">
        <w:rPr>
          <w:sz w:val="26"/>
          <w:szCs w:val="26"/>
          <w:lang w:val="lt-LT"/>
        </w:rPr>
        <w:t xml:space="preserve"> </w:t>
      </w:r>
      <w:r w:rsidR="00EA4066" w:rsidRPr="00CE006B">
        <w:rPr>
          <w:sz w:val="26"/>
          <w:szCs w:val="26"/>
          <w:lang w:val="lt-LT"/>
        </w:rPr>
        <w:t>Gronskas (1997</w:t>
      </w:r>
      <w:r w:rsidR="00DD7696" w:rsidRPr="00CE006B">
        <w:rPr>
          <w:sz w:val="26"/>
          <w:szCs w:val="26"/>
          <w:lang w:val="lt-LT"/>
        </w:rPr>
        <w:t>, 2003</w:t>
      </w:r>
      <w:r w:rsidR="00EA4066" w:rsidRPr="00CE006B">
        <w:rPr>
          <w:sz w:val="26"/>
          <w:szCs w:val="26"/>
          <w:lang w:val="lt-LT"/>
        </w:rPr>
        <w:t xml:space="preserve">) skiria dvi rizikos prasmes: objektyviąją, nepriklausančią nuo </w:t>
      </w:r>
      <w:r w:rsidR="00095A93" w:rsidRPr="00CE006B">
        <w:rPr>
          <w:sz w:val="26"/>
          <w:szCs w:val="26"/>
          <w:lang w:val="lt-LT"/>
        </w:rPr>
        <w:t xml:space="preserve">įmonės </w:t>
      </w:r>
      <w:r w:rsidR="00EA4066" w:rsidRPr="00CE006B">
        <w:rPr>
          <w:sz w:val="26"/>
          <w:szCs w:val="26"/>
          <w:lang w:val="lt-LT"/>
        </w:rPr>
        <w:t xml:space="preserve">veiklos, ir subjektyviąją – atskleidžiančią kaip į verslo riziką reaguoja rinkos dalyviai. </w:t>
      </w:r>
      <w:r w:rsidR="006A1813" w:rsidRPr="00CE006B">
        <w:rPr>
          <w:sz w:val="26"/>
          <w:szCs w:val="26"/>
          <w:lang w:val="lt-LT"/>
        </w:rPr>
        <w:t xml:space="preserve">Pastarajai </w:t>
      </w:r>
      <w:r w:rsidR="00EA4066" w:rsidRPr="00CE006B">
        <w:rPr>
          <w:sz w:val="26"/>
          <w:szCs w:val="26"/>
          <w:lang w:val="lt-LT"/>
        </w:rPr>
        <w:t>nuomonei pritaria ir A.</w:t>
      </w:r>
      <w:r w:rsidR="00286BDB" w:rsidRPr="00CE006B">
        <w:rPr>
          <w:sz w:val="26"/>
          <w:szCs w:val="26"/>
          <w:lang w:val="lt-LT"/>
        </w:rPr>
        <w:t xml:space="preserve"> </w:t>
      </w:r>
      <w:r w:rsidR="00EA4066" w:rsidRPr="00CE006B">
        <w:rPr>
          <w:sz w:val="26"/>
          <w:szCs w:val="26"/>
          <w:lang w:val="lt-LT"/>
        </w:rPr>
        <w:t>Gegužis (2003) teigdamas, kad šiuolaikinio ūkio neįsivaizduojame be neapibrėžtumo ir rizikos, turinčių teigiamus padarinius – užmokestį už rizikavimą ir neigiamus padarinius – nuostolius dėl nesėkmių. Todėl, rizika viena vertus, yra neišvengiamybė, kita vertus – veiklos variklis.</w:t>
      </w:r>
      <w:r w:rsidR="00D95ECB" w:rsidRPr="00CE006B">
        <w:rPr>
          <w:sz w:val="26"/>
          <w:szCs w:val="26"/>
          <w:lang w:val="lt-LT"/>
        </w:rPr>
        <w:t xml:space="preserve"> </w:t>
      </w:r>
      <w:r w:rsidR="000B3ED9" w:rsidRPr="00CE006B">
        <w:rPr>
          <w:sz w:val="26"/>
          <w:szCs w:val="26"/>
          <w:lang w:val="lt-LT"/>
        </w:rPr>
        <w:t xml:space="preserve">Anot </w:t>
      </w:r>
      <w:r w:rsidR="00D95ECB" w:rsidRPr="00CE006B">
        <w:rPr>
          <w:sz w:val="26"/>
          <w:szCs w:val="26"/>
          <w:lang w:val="lt-LT"/>
        </w:rPr>
        <w:t xml:space="preserve">F. </w:t>
      </w:r>
      <w:r w:rsidR="007D2D0D" w:rsidRPr="00CE006B">
        <w:rPr>
          <w:sz w:val="26"/>
          <w:szCs w:val="26"/>
          <w:lang w:val="lt-LT"/>
        </w:rPr>
        <w:t xml:space="preserve">H. </w:t>
      </w:r>
      <w:r w:rsidR="00D95ECB" w:rsidRPr="00CE006B">
        <w:rPr>
          <w:sz w:val="26"/>
          <w:szCs w:val="26"/>
          <w:lang w:val="lt-LT"/>
        </w:rPr>
        <w:t>Knight (1921)</w:t>
      </w:r>
      <w:r w:rsidR="000B3ED9" w:rsidRPr="00CE006B">
        <w:rPr>
          <w:sz w:val="26"/>
          <w:szCs w:val="26"/>
          <w:lang w:val="lt-LT"/>
        </w:rPr>
        <w:t>,</w:t>
      </w:r>
      <w:r w:rsidR="00D95ECB" w:rsidRPr="00CE006B">
        <w:rPr>
          <w:sz w:val="26"/>
          <w:szCs w:val="26"/>
          <w:lang w:val="lt-LT"/>
        </w:rPr>
        <w:t xml:space="preserve"> jei visi pokyčiai vyktų pagal nekintamus ir visuotinai žinomus dėsnius, jų atsiradimą būtų galima numatyti be galo ilgam periodui į ateitį, o tai sukurtų tobulą produkto verčių pasiskirstymą ir negalėtų atsirasti pelnas (nuostoli</w:t>
      </w:r>
      <w:r w:rsidR="00571E3A" w:rsidRPr="00CE006B">
        <w:rPr>
          <w:sz w:val="26"/>
          <w:szCs w:val="26"/>
          <w:lang w:val="lt-LT"/>
        </w:rPr>
        <w:t>ai</w:t>
      </w:r>
      <w:r w:rsidR="00D95ECB" w:rsidRPr="00CE006B">
        <w:rPr>
          <w:sz w:val="26"/>
          <w:szCs w:val="26"/>
          <w:lang w:val="lt-LT"/>
        </w:rPr>
        <w:t>).</w:t>
      </w:r>
    </w:p>
    <w:p w:rsidR="00020268" w:rsidRPr="00CE006B" w:rsidRDefault="00E941F5" w:rsidP="001D5FC7">
      <w:pPr>
        <w:pStyle w:val="NormalWeb"/>
        <w:spacing w:before="0" w:beforeAutospacing="0" w:after="0" w:afterAutospacing="0" w:line="360" w:lineRule="auto"/>
        <w:ind w:firstLine="720"/>
        <w:jc w:val="both"/>
        <w:rPr>
          <w:sz w:val="26"/>
          <w:szCs w:val="26"/>
          <w:lang w:val="lt-LT"/>
        </w:rPr>
      </w:pPr>
      <w:r w:rsidRPr="00CE006B">
        <w:rPr>
          <w:sz w:val="26"/>
          <w:szCs w:val="26"/>
          <w:lang w:val="lt-LT"/>
        </w:rPr>
        <w:lastRenderedPageBreak/>
        <w:t>Tai, kad n</w:t>
      </w:r>
      <w:r w:rsidR="00DE10FC" w:rsidRPr="00CE006B">
        <w:rPr>
          <w:sz w:val="26"/>
          <w:szCs w:val="26"/>
          <w:lang w:val="lt-LT"/>
        </w:rPr>
        <w:t xml:space="preserve">eapibrėžtumas </w:t>
      </w:r>
      <w:r w:rsidR="009A42EA" w:rsidRPr="00CE006B">
        <w:rPr>
          <w:sz w:val="26"/>
          <w:szCs w:val="26"/>
          <w:lang w:val="lt-LT"/>
        </w:rPr>
        <w:t xml:space="preserve">yra susijęs su rizika, </w:t>
      </w:r>
      <w:r w:rsidR="00530D94" w:rsidRPr="00CE006B">
        <w:rPr>
          <w:sz w:val="26"/>
          <w:szCs w:val="26"/>
          <w:lang w:val="lt-LT"/>
        </w:rPr>
        <w:t xml:space="preserve">tačiau jis </w:t>
      </w:r>
      <w:r w:rsidR="009A42EA" w:rsidRPr="00CE006B">
        <w:rPr>
          <w:sz w:val="26"/>
          <w:szCs w:val="26"/>
          <w:lang w:val="lt-LT"/>
        </w:rPr>
        <w:t xml:space="preserve">negali būti </w:t>
      </w:r>
      <w:r w:rsidR="00AE3E71" w:rsidRPr="00CE006B">
        <w:rPr>
          <w:sz w:val="26"/>
          <w:szCs w:val="26"/>
          <w:lang w:val="lt-LT"/>
        </w:rPr>
        <w:t xml:space="preserve">su ja </w:t>
      </w:r>
      <w:r w:rsidR="00DE10FC" w:rsidRPr="00CE006B">
        <w:rPr>
          <w:sz w:val="26"/>
          <w:szCs w:val="26"/>
          <w:lang w:val="lt-LT"/>
        </w:rPr>
        <w:t>tapatinama</w:t>
      </w:r>
      <w:r w:rsidR="00530D94" w:rsidRPr="00CE006B">
        <w:rPr>
          <w:sz w:val="26"/>
          <w:szCs w:val="26"/>
          <w:lang w:val="lt-LT"/>
        </w:rPr>
        <w:t xml:space="preserve">s savo darbuose </w:t>
      </w:r>
      <w:r w:rsidRPr="00CE006B">
        <w:rPr>
          <w:sz w:val="26"/>
          <w:szCs w:val="26"/>
          <w:lang w:val="lt-LT"/>
        </w:rPr>
        <w:t xml:space="preserve">akcentuoja </w:t>
      </w:r>
      <w:r w:rsidR="009A42EA" w:rsidRPr="00CE006B">
        <w:rPr>
          <w:sz w:val="26"/>
          <w:szCs w:val="26"/>
          <w:lang w:val="lt-LT"/>
        </w:rPr>
        <w:t>M. F. Warren (1992</w:t>
      </w:r>
      <w:r w:rsidR="00505CD8" w:rsidRPr="00CE006B">
        <w:rPr>
          <w:sz w:val="26"/>
          <w:szCs w:val="26"/>
          <w:lang w:val="lt-LT"/>
        </w:rPr>
        <w:t>)</w:t>
      </w:r>
      <w:r w:rsidR="009A42EA" w:rsidRPr="00CE006B">
        <w:rPr>
          <w:sz w:val="26"/>
          <w:szCs w:val="26"/>
          <w:lang w:val="lt-LT"/>
        </w:rPr>
        <w:t>, J. Mun (2004)</w:t>
      </w:r>
      <w:r w:rsidR="00505CD8" w:rsidRPr="00CE006B">
        <w:rPr>
          <w:sz w:val="26"/>
          <w:szCs w:val="26"/>
          <w:lang w:val="lt-LT"/>
        </w:rPr>
        <w:t xml:space="preserve">, </w:t>
      </w:r>
      <w:r w:rsidR="003A644C" w:rsidRPr="00CE006B">
        <w:rPr>
          <w:sz w:val="26"/>
          <w:szCs w:val="26"/>
          <w:lang w:val="lt-LT"/>
        </w:rPr>
        <w:t>P.</w:t>
      </w:r>
      <w:r w:rsidR="00CE006B">
        <w:rPr>
          <w:sz w:val="26"/>
          <w:szCs w:val="26"/>
          <w:lang w:val="lt-LT"/>
        </w:rPr>
        <w:t> </w:t>
      </w:r>
      <w:r w:rsidR="003A644C" w:rsidRPr="00CE006B">
        <w:rPr>
          <w:sz w:val="26"/>
          <w:szCs w:val="26"/>
          <w:lang w:val="lt-LT"/>
        </w:rPr>
        <w:t xml:space="preserve">G. Keat, P. K. Y. Young (2006), </w:t>
      </w:r>
      <w:r w:rsidR="00BC333F" w:rsidRPr="00CE006B">
        <w:rPr>
          <w:sz w:val="26"/>
          <w:szCs w:val="26"/>
          <w:lang w:val="lt-LT"/>
        </w:rPr>
        <w:t xml:space="preserve">A. Garškienė (1997), </w:t>
      </w:r>
      <w:r w:rsidR="00505CD8" w:rsidRPr="00CE006B">
        <w:rPr>
          <w:sz w:val="26"/>
          <w:szCs w:val="26"/>
          <w:lang w:val="lt-LT"/>
        </w:rPr>
        <w:t>R. Urniežius (2001)</w:t>
      </w:r>
      <w:r w:rsidR="00B4248E" w:rsidRPr="00CE006B">
        <w:rPr>
          <w:sz w:val="26"/>
          <w:szCs w:val="26"/>
          <w:lang w:val="lt-LT"/>
        </w:rPr>
        <w:t xml:space="preserve">, </w:t>
      </w:r>
      <w:r w:rsidR="00786614" w:rsidRPr="00CE006B">
        <w:rPr>
          <w:sz w:val="26"/>
          <w:szCs w:val="26"/>
          <w:lang w:val="lt-LT"/>
        </w:rPr>
        <w:t xml:space="preserve">A. </w:t>
      </w:r>
      <w:r w:rsidR="00B4248E" w:rsidRPr="00CE006B">
        <w:rPr>
          <w:sz w:val="26"/>
          <w:szCs w:val="26"/>
          <w:lang w:val="lt-LT"/>
        </w:rPr>
        <w:t>Gegužis</w:t>
      </w:r>
      <w:r w:rsidR="00786614" w:rsidRPr="00CE006B">
        <w:rPr>
          <w:sz w:val="26"/>
          <w:szCs w:val="26"/>
          <w:lang w:val="lt-LT"/>
        </w:rPr>
        <w:t xml:space="preserve"> (2003)</w:t>
      </w:r>
      <w:r w:rsidR="009A42EA" w:rsidRPr="00CE006B">
        <w:rPr>
          <w:sz w:val="26"/>
          <w:szCs w:val="26"/>
          <w:lang w:val="lt-LT"/>
        </w:rPr>
        <w:t xml:space="preserve"> </w:t>
      </w:r>
      <w:r w:rsidRPr="00CE006B">
        <w:rPr>
          <w:sz w:val="26"/>
          <w:szCs w:val="26"/>
          <w:lang w:val="lt-LT"/>
        </w:rPr>
        <w:t>ir A. V. Rutkauskas (2007). M. F. Warren (1992) teigimu, r</w:t>
      </w:r>
      <w:r w:rsidR="00EE5F1A" w:rsidRPr="00CE006B">
        <w:rPr>
          <w:sz w:val="26"/>
          <w:szCs w:val="26"/>
          <w:lang w:val="lt-LT"/>
        </w:rPr>
        <w:t>izika – kintamumo rezultatas, kurio pasireiškimas gali būti numatomas su tam tikra tikimybe, o neapibrėžtumas – kintamumo rezultatas, kurio galimas pasireiškimas visiškai nežinomas</w:t>
      </w:r>
      <w:r w:rsidR="00530D94" w:rsidRPr="00CE006B">
        <w:rPr>
          <w:sz w:val="26"/>
          <w:szCs w:val="26"/>
          <w:lang w:val="lt-LT"/>
        </w:rPr>
        <w:t xml:space="preserve">. </w:t>
      </w:r>
      <w:r w:rsidR="00EF2A7C" w:rsidRPr="00CE006B">
        <w:rPr>
          <w:sz w:val="26"/>
          <w:szCs w:val="26"/>
          <w:lang w:val="lt-LT"/>
        </w:rPr>
        <w:t>Rizika yra kažkas, kas prisiimama ir yra neapibrėžtumo rezultatas</w:t>
      </w:r>
      <w:r w:rsidR="009E4787" w:rsidRPr="00CE006B">
        <w:rPr>
          <w:sz w:val="26"/>
          <w:szCs w:val="26"/>
          <w:lang w:val="lt-LT"/>
        </w:rPr>
        <w:t>. Nors egzistuoja neapibrėžtumas, tačiau rizikos gali nebūti</w:t>
      </w:r>
      <w:r w:rsidR="00EF2A7C" w:rsidRPr="00CE006B">
        <w:rPr>
          <w:sz w:val="26"/>
          <w:szCs w:val="26"/>
          <w:lang w:val="lt-LT"/>
        </w:rPr>
        <w:t xml:space="preserve"> (J. Mun, 2004, p. 13). </w:t>
      </w:r>
    </w:p>
    <w:p w:rsidR="00FE6DAE" w:rsidRPr="00CE006B" w:rsidRDefault="00FE6DAE" w:rsidP="00FE6DAE">
      <w:pPr>
        <w:pStyle w:val="NormalWeb"/>
        <w:spacing w:before="0" w:beforeAutospacing="0" w:after="0" w:afterAutospacing="0" w:line="360" w:lineRule="auto"/>
        <w:ind w:firstLine="720"/>
        <w:jc w:val="both"/>
        <w:rPr>
          <w:sz w:val="26"/>
          <w:szCs w:val="26"/>
          <w:lang w:val="lt-LT"/>
        </w:rPr>
      </w:pPr>
      <w:r w:rsidRPr="00CE006B">
        <w:rPr>
          <w:sz w:val="26"/>
          <w:szCs w:val="26"/>
          <w:lang w:val="lt-LT"/>
        </w:rPr>
        <w:t xml:space="preserve">Neapibrėžtumas siejamas su situacijomis, kai sprendimų rezultatai negali būti analizuojami nei remiantis </w:t>
      </w:r>
      <w:r w:rsidRPr="00CE006B">
        <w:rPr>
          <w:i/>
          <w:sz w:val="26"/>
          <w:szCs w:val="26"/>
          <w:lang w:val="lt-LT"/>
        </w:rPr>
        <w:t>a priori</w:t>
      </w:r>
      <w:r w:rsidRPr="00CE006B">
        <w:rPr>
          <w:sz w:val="26"/>
          <w:szCs w:val="26"/>
          <w:lang w:val="lt-LT"/>
        </w:rPr>
        <w:t xml:space="preserve"> pagrindu, nes jie yra per daug nereguliarūs, nei remiantis empiriniais stebėjimais – nes jie per daug unikalūs. Kažkas daro įtaką nepriklausomam kintamajam, tačiau nežinome kas (Gegužis, 2003, p. 66). Todėl tokį situacijos netikrumą žmonės dažniausiai vertina susiedami visą turimą informaciją su savo nuojauta ir patirtimi (Urniežius, 2001, p. 7). Atkreiptinas dėmesys, jog neapibrėžtumas gali egzistuoti ir situacijomis, kai informacijos yra daug. Nauja informacija gali padidinti arba sumažinti neapibrėžtumą. Naujos žinios apie sudėtingus procesus gali atskleisti neapibrėžtumus, kurie iki tol buvo nežinomi ar nepakankamai įvertinti. Taigi daugiau žinoti nereiškia mažesnio neapibrėžtumo, ir atvirkščiai (Gegužis, 2003, p. 66).</w:t>
      </w:r>
      <w:r w:rsidR="00BC333F" w:rsidRPr="00CE006B">
        <w:rPr>
          <w:sz w:val="26"/>
          <w:szCs w:val="26"/>
          <w:lang w:val="lt-LT"/>
        </w:rPr>
        <w:t xml:space="preserve"> </w:t>
      </w:r>
    </w:p>
    <w:p w:rsidR="001D5FC7" w:rsidRPr="00CE006B" w:rsidRDefault="00E941F5" w:rsidP="001D5FC7">
      <w:pPr>
        <w:pStyle w:val="NormalWeb"/>
        <w:spacing w:before="0" w:beforeAutospacing="0" w:after="0" w:afterAutospacing="0" w:line="360" w:lineRule="auto"/>
        <w:ind w:firstLine="720"/>
        <w:jc w:val="both"/>
        <w:rPr>
          <w:sz w:val="26"/>
          <w:szCs w:val="26"/>
          <w:lang w:val="lt-LT"/>
        </w:rPr>
      </w:pPr>
      <w:r w:rsidRPr="00CE006B">
        <w:rPr>
          <w:sz w:val="26"/>
          <w:szCs w:val="26"/>
          <w:lang w:val="lt-LT"/>
        </w:rPr>
        <w:t>Tuo tarpu kitok</w:t>
      </w:r>
      <w:r w:rsidR="00EF2A7C" w:rsidRPr="00CE006B">
        <w:rPr>
          <w:sz w:val="26"/>
          <w:szCs w:val="26"/>
          <w:lang w:val="lt-LT"/>
        </w:rPr>
        <w:t>į</w:t>
      </w:r>
      <w:r w:rsidRPr="00CE006B">
        <w:rPr>
          <w:sz w:val="26"/>
          <w:szCs w:val="26"/>
          <w:lang w:val="lt-LT"/>
        </w:rPr>
        <w:t xml:space="preserve"> požiūr</w:t>
      </w:r>
      <w:r w:rsidR="00EF2A7C" w:rsidRPr="00CE006B">
        <w:rPr>
          <w:sz w:val="26"/>
          <w:szCs w:val="26"/>
          <w:lang w:val="lt-LT"/>
        </w:rPr>
        <w:t xml:space="preserve">į </w:t>
      </w:r>
      <w:r w:rsidR="00AE3E71" w:rsidRPr="00CE006B">
        <w:rPr>
          <w:sz w:val="26"/>
          <w:szCs w:val="26"/>
          <w:lang w:val="lt-LT"/>
        </w:rPr>
        <w:t xml:space="preserve">dėl neapibrėžtumo ir rizikos </w:t>
      </w:r>
      <w:r w:rsidR="00EF2A7C" w:rsidRPr="00CE006B">
        <w:rPr>
          <w:sz w:val="26"/>
          <w:szCs w:val="26"/>
          <w:lang w:val="lt-LT"/>
        </w:rPr>
        <w:t xml:space="preserve">pateikia </w:t>
      </w:r>
      <w:r w:rsidR="00FD6B11" w:rsidRPr="00CE006B">
        <w:rPr>
          <w:sz w:val="26"/>
          <w:szCs w:val="26"/>
          <w:lang w:val="lt-LT"/>
        </w:rPr>
        <w:t>E.</w:t>
      </w:r>
      <w:r w:rsidR="00A3654D">
        <w:rPr>
          <w:sz w:val="26"/>
          <w:szCs w:val="26"/>
          <w:lang w:val="lt-LT"/>
        </w:rPr>
        <w:t> </w:t>
      </w:r>
      <w:r w:rsidR="00FD6B11" w:rsidRPr="00CE006B">
        <w:rPr>
          <w:sz w:val="26"/>
          <w:szCs w:val="26"/>
          <w:lang w:val="lt-LT"/>
        </w:rPr>
        <w:t>J.</w:t>
      </w:r>
      <w:r w:rsidR="00A3654D">
        <w:rPr>
          <w:sz w:val="26"/>
          <w:szCs w:val="26"/>
          <w:lang w:val="lt-LT"/>
        </w:rPr>
        <w:t> </w:t>
      </w:r>
      <w:r w:rsidR="00FD6B11" w:rsidRPr="00CE006B">
        <w:rPr>
          <w:sz w:val="26"/>
          <w:szCs w:val="26"/>
          <w:lang w:val="lt-LT"/>
        </w:rPr>
        <w:t>Vaughan (1997),</w:t>
      </w:r>
      <w:r w:rsidR="001D5FC7" w:rsidRPr="00CE006B">
        <w:rPr>
          <w:sz w:val="26"/>
          <w:szCs w:val="26"/>
          <w:lang w:val="lt-LT"/>
        </w:rPr>
        <w:t xml:space="preserve"> V. Aleknevičienė (1997), D. Laskienė (200</w:t>
      </w:r>
      <w:r w:rsidR="00A17FDE" w:rsidRPr="00CE006B">
        <w:rPr>
          <w:sz w:val="26"/>
          <w:szCs w:val="26"/>
          <w:lang w:val="lt-LT"/>
        </w:rPr>
        <w:t>3</w:t>
      </w:r>
      <w:r w:rsidR="001D5FC7" w:rsidRPr="00CE006B">
        <w:rPr>
          <w:sz w:val="26"/>
          <w:szCs w:val="26"/>
          <w:lang w:val="lt-LT"/>
        </w:rPr>
        <w:t>)</w:t>
      </w:r>
      <w:r w:rsidR="00EF2A7C" w:rsidRPr="00CE006B">
        <w:rPr>
          <w:sz w:val="26"/>
          <w:szCs w:val="26"/>
          <w:lang w:val="lt-LT"/>
        </w:rPr>
        <w:t xml:space="preserve">, kurie </w:t>
      </w:r>
      <w:r w:rsidR="001D5FC7" w:rsidRPr="00CE006B">
        <w:rPr>
          <w:sz w:val="26"/>
          <w:szCs w:val="26"/>
          <w:lang w:val="lt-LT"/>
        </w:rPr>
        <w:t xml:space="preserve">neapibrėžtumo neatskiria nuo rizikos ir </w:t>
      </w:r>
      <w:r w:rsidR="009A42EA" w:rsidRPr="00CE006B">
        <w:rPr>
          <w:sz w:val="26"/>
          <w:szCs w:val="26"/>
          <w:lang w:val="lt-LT"/>
        </w:rPr>
        <w:t>ši</w:t>
      </w:r>
      <w:r w:rsidR="008959C8" w:rsidRPr="00CE006B">
        <w:rPr>
          <w:sz w:val="26"/>
          <w:szCs w:val="26"/>
          <w:lang w:val="lt-LT"/>
        </w:rPr>
        <w:t>as sąvokas</w:t>
      </w:r>
      <w:r w:rsidR="009A42EA" w:rsidRPr="00CE006B">
        <w:rPr>
          <w:sz w:val="26"/>
          <w:szCs w:val="26"/>
          <w:lang w:val="lt-LT"/>
        </w:rPr>
        <w:t xml:space="preserve"> </w:t>
      </w:r>
      <w:r w:rsidR="001D5FC7" w:rsidRPr="00CE006B">
        <w:rPr>
          <w:sz w:val="26"/>
          <w:szCs w:val="26"/>
          <w:lang w:val="lt-LT"/>
        </w:rPr>
        <w:t>vartoja kaip sinonimus</w:t>
      </w:r>
      <w:r w:rsidR="009A42EA" w:rsidRPr="00CE006B">
        <w:rPr>
          <w:sz w:val="26"/>
          <w:szCs w:val="26"/>
          <w:lang w:val="lt-LT"/>
        </w:rPr>
        <w:t xml:space="preserve">. </w:t>
      </w:r>
      <w:r w:rsidR="00EF2A7C" w:rsidRPr="00CE006B">
        <w:rPr>
          <w:sz w:val="26"/>
          <w:szCs w:val="26"/>
          <w:lang w:val="lt-LT"/>
        </w:rPr>
        <w:t>E.</w:t>
      </w:r>
      <w:r w:rsidR="00A3654D">
        <w:rPr>
          <w:sz w:val="26"/>
          <w:szCs w:val="26"/>
          <w:lang w:val="lt-LT"/>
        </w:rPr>
        <w:t> </w:t>
      </w:r>
      <w:r w:rsidR="00EF2A7C" w:rsidRPr="00CE006B">
        <w:rPr>
          <w:sz w:val="26"/>
          <w:szCs w:val="26"/>
          <w:lang w:val="lt-LT"/>
        </w:rPr>
        <w:t xml:space="preserve">J. Vaughan (1997) </w:t>
      </w:r>
      <w:r w:rsidR="009A42EA" w:rsidRPr="00CE006B">
        <w:rPr>
          <w:sz w:val="26"/>
          <w:szCs w:val="26"/>
          <w:lang w:val="lt-LT"/>
        </w:rPr>
        <w:t>nurodo</w:t>
      </w:r>
      <w:r w:rsidR="00EF2A7C" w:rsidRPr="00CE006B">
        <w:rPr>
          <w:sz w:val="26"/>
          <w:szCs w:val="26"/>
          <w:lang w:val="lt-LT"/>
        </w:rPr>
        <w:t>, kad ri</w:t>
      </w:r>
      <w:r w:rsidR="001D5FC7" w:rsidRPr="00CE006B">
        <w:rPr>
          <w:sz w:val="26"/>
          <w:szCs w:val="26"/>
          <w:lang w:val="lt-LT"/>
        </w:rPr>
        <w:t>zikos buvimas</w:t>
      </w:r>
      <w:r w:rsidR="00EF2A7C" w:rsidRPr="00CE006B">
        <w:rPr>
          <w:sz w:val="26"/>
          <w:szCs w:val="26"/>
          <w:lang w:val="lt-LT"/>
        </w:rPr>
        <w:t xml:space="preserve"> </w:t>
      </w:r>
      <w:r w:rsidR="001D5FC7" w:rsidRPr="00CE006B">
        <w:rPr>
          <w:sz w:val="26"/>
          <w:szCs w:val="26"/>
          <w:lang w:val="lt-LT"/>
        </w:rPr>
        <w:t>sukuria neapibrėžtumą asmenims, kai rizika yra pripažįstama</w:t>
      </w:r>
      <w:r w:rsidR="008959C8" w:rsidRPr="00CE006B">
        <w:rPr>
          <w:sz w:val="26"/>
          <w:szCs w:val="26"/>
          <w:lang w:val="lt-LT"/>
        </w:rPr>
        <w:t>.</w:t>
      </w:r>
      <w:r w:rsidR="00EF2A7C" w:rsidRPr="00CE006B">
        <w:rPr>
          <w:sz w:val="26"/>
          <w:szCs w:val="26"/>
          <w:lang w:val="lt-LT"/>
        </w:rPr>
        <w:t xml:space="preserve"> </w:t>
      </w:r>
      <w:r w:rsidR="001D5FC7" w:rsidRPr="00CE006B">
        <w:rPr>
          <w:sz w:val="26"/>
          <w:szCs w:val="26"/>
          <w:lang w:val="lt-LT"/>
        </w:rPr>
        <w:t xml:space="preserve">V. Aleknevičienė (1997) </w:t>
      </w:r>
      <w:r w:rsidR="00EF2A7C" w:rsidRPr="00CE006B">
        <w:rPr>
          <w:sz w:val="26"/>
          <w:szCs w:val="26"/>
          <w:lang w:val="lt-LT"/>
        </w:rPr>
        <w:t>teigia</w:t>
      </w:r>
      <w:r w:rsidR="001D5FC7" w:rsidRPr="00CE006B">
        <w:rPr>
          <w:sz w:val="26"/>
          <w:szCs w:val="26"/>
          <w:lang w:val="lt-LT"/>
        </w:rPr>
        <w:t xml:space="preserve">, kad riziką ir neapibrėžtumą atskirti netikslinga, nes „ir vienu ir kitu atveju egzistuoja rezultatų nukrypimo galimybė, ir nuo to, ar turima tikimybinė informacija, ar ne priklauso tik prognozuojamų rezultatų patikimumo laipsnis“. </w:t>
      </w:r>
    </w:p>
    <w:p w:rsidR="00BC06EF" w:rsidRPr="00CE006B" w:rsidRDefault="00B46DAB" w:rsidP="00BC06EF">
      <w:pPr>
        <w:pStyle w:val="NormalWeb"/>
        <w:spacing w:before="0" w:beforeAutospacing="0" w:after="0" w:afterAutospacing="0" w:line="360" w:lineRule="auto"/>
        <w:ind w:firstLine="720"/>
        <w:jc w:val="both"/>
        <w:rPr>
          <w:sz w:val="26"/>
          <w:szCs w:val="26"/>
          <w:lang w:val="lt-LT"/>
        </w:rPr>
      </w:pPr>
      <w:r w:rsidRPr="00CE006B">
        <w:rPr>
          <w:sz w:val="26"/>
          <w:szCs w:val="26"/>
          <w:lang w:val="lt-LT"/>
        </w:rPr>
        <w:t xml:space="preserve">Neapibrėžtumo ir rizikos ryšį bei elgsenos balansavimą ekonominėje aplinkoje detaliau paaiškina J. Adams rizikos kompensacijos teorijos modelis </w:t>
      </w:r>
      <w:r w:rsidRPr="00CE006B">
        <w:rPr>
          <w:sz w:val="26"/>
          <w:szCs w:val="26"/>
          <w:lang w:val="lt-LT"/>
        </w:rPr>
        <w:lastRenderedPageBreak/>
        <w:t xml:space="preserve">(2001) (žr. 1 pav.). </w:t>
      </w:r>
      <w:r w:rsidR="00BC06EF" w:rsidRPr="00CE006B">
        <w:rPr>
          <w:sz w:val="26"/>
          <w:szCs w:val="26"/>
          <w:lang w:val="lt-LT"/>
        </w:rPr>
        <w:t>J. Adams rizikos kompensacijos teorijos modelyje (2001) išskiriami keturi elementai: polinkis rizikuoti, suvokiamas pavojus, galimas atlygis ir „nelaimingas atsitikimas“, kurie nulemia atitinkamą elgseną priimant ekonominį sprendimą. Šis modelis rodo, kad: potencialus atlygis už rizikavimą tiesiogiai keičia individų polinkį rizikuoti, o savo ar kitų patirt</w:t>
      </w:r>
      <w:r w:rsidR="0062374C" w:rsidRPr="00CE006B">
        <w:rPr>
          <w:sz w:val="26"/>
          <w:szCs w:val="26"/>
          <w:lang w:val="lt-LT"/>
        </w:rPr>
        <w:t>os</w:t>
      </w:r>
      <w:r w:rsidR="00BC06EF" w:rsidRPr="00CE006B">
        <w:rPr>
          <w:sz w:val="26"/>
          <w:szCs w:val="26"/>
          <w:lang w:val="lt-LT"/>
        </w:rPr>
        <w:t xml:space="preserve"> žalos suvokimas, t. y. „nelaimingo atsitikimo“ galimybė, keičia pavojaus (rizikos) suvokimą. Remiantis tuo, sprendimas rizikuoti yra balansavimas tarp naudos ir žalos, o pavojaus suvokimas nusveria polinkį rizikuoti (Adams, J., 2001, p.</w:t>
      </w:r>
      <w:r w:rsidR="00041860">
        <w:rPr>
          <w:sz w:val="26"/>
          <w:szCs w:val="26"/>
          <w:lang w:val="lt-LT"/>
        </w:rPr>
        <w:t> </w:t>
      </w:r>
      <w:r w:rsidR="00BC06EF" w:rsidRPr="00CE006B">
        <w:rPr>
          <w:sz w:val="26"/>
          <w:szCs w:val="26"/>
          <w:lang w:val="lt-LT"/>
        </w:rPr>
        <w:t xml:space="preserve">28). Taigi galima teigti, kad pirmieji du J. Adams rizikos kompensacijos teorijos modelio (2001) elementai (polinkis rizikuoti ir suvokiamas pavojus) ir yra ekonominės rizikos sudedamosios dalys – rizika ir neapibrėžtumas, kurios balansuojamos priimant ekonominį sprendimą. </w:t>
      </w:r>
    </w:p>
    <w:p w:rsidR="00B46DAB" w:rsidRPr="00DC2AC9" w:rsidRDefault="00166819" w:rsidP="00B46DAB">
      <w:pPr>
        <w:pStyle w:val="NormalWeb"/>
        <w:spacing w:before="0" w:beforeAutospacing="0" w:after="0" w:afterAutospacing="0" w:line="360" w:lineRule="auto"/>
        <w:ind w:firstLine="720"/>
        <w:jc w:val="both"/>
        <w:rPr>
          <w:lang w:val="lt-LT"/>
        </w:rPr>
      </w:pPr>
      <w:r>
        <w:rPr>
          <w:noProof/>
          <w:lang w:val="lt-LT" w:eastAsia="lt-LT"/>
        </w:rPr>
        <w:pict>
          <v:group id="_x0000_s9128" style="position:absolute;left:0;text-align:left;margin-left:67.05pt;margin-top:-2.45pt;width:307.25pt;height:108.9pt;z-index:252041216" coordorigin="3520,12439" coordsize="5590,2150">
            <v:shapetype id="_x0000_t202" coordsize="21600,21600" o:spt="202" path="m,l,21600r21600,l21600,xe">
              <v:stroke joinstyle="miter"/>
              <v:path gradientshapeok="t" o:connecttype="rect"/>
            </v:shapetype>
            <v:shape id="_x0000_s9129" type="#_x0000_t202" style="position:absolute;left:3520;top:12439;width:1413;height:653" filled="f" strokecolor="#bfbfbf [2412]">
              <v:textbox style="mso-next-textbox:#_x0000_s9129">
                <w:txbxContent>
                  <w:p w:rsidR="00BE5795" w:rsidRPr="00A3654D" w:rsidRDefault="00BE5795" w:rsidP="00B46DAB">
                    <w:pPr>
                      <w:jc w:val="center"/>
                      <w:rPr>
                        <w:sz w:val="22"/>
                        <w:szCs w:val="22"/>
                        <w:lang w:val="lt-LT"/>
                      </w:rPr>
                    </w:pPr>
                    <w:r w:rsidRPr="00A3654D">
                      <w:rPr>
                        <w:sz w:val="22"/>
                        <w:szCs w:val="22"/>
                        <w:lang w:val="lt-LT"/>
                      </w:rPr>
                      <w:t>Polinkis rizikuoti</w:t>
                    </w:r>
                  </w:p>
                </w:txbxContent>
              </v:textbox>
            </v:shape>
            <v:shape id="_x0000_s9130" type="#_x0000_t202" style="position:absolute;left:7687;top:12439;width:1403;height:653" filled="f" strokecolor="#bfbfbf [2412]">
              <v:textbox style="mso-next-textbox:#_x0000_s9130">
                <w:txbxContent>
                  <w:p w:rsidR="00BE5795" w:rsidRPr="00A3654D" w:rsidRDefault="00BE5795" w:rsidP="00B46DAB">
                    <w:pPr>
                      <w:spacing w:before="120"/>
                      <w:jc w:val="center"/>
                      <w:rPr>
                        <w:sz w:val="22"/>
                        <w:szCs w:val="22"/>
                        <w:lang w:val="lt-LT"/>
                      </w:rPr>
                    </w:pPr>
                    <w:r w:rsidRPr="00A3654D">
                      <w:rPr>
                        <w:sz w:val="22"/>
                        <w:szCs w:val="22"/>
                        <w:lang w:val="lt-LT"/>
                      </w:rPr>
                      <w:t>Atlygis</w:t>
                    </w:r>
                  </w:p>
                </w:txbxContent>
              </v:textbox>
            </v:shape>
            <v:shape id="_x0000_s9131" type="#_x0000_t202" style="position:absolute;left:3530;top:13936;width:1413;height:653" filled="f" strokecolor="#bfbfbf [2412]">
              <v:textbox style="mso-next-textbox:#_x0000_s9131">
                <w:txbxContent>
                  <w:p w:rsidR="00BE5795" w:rsidRPr="00A3654D" w:rsidRDefault="00BE5795" w:rsidP="00B46DAB">
                    <w:pPr>
                      <w:jc w:val="center"/>
                      <w:rPr>
                        <w:sz w:val="22"/>
                        <w:szCs w:val="22"/>
                        <w:lang w:val="lt-LT"/>
                      </w:rPr>
                    </w:pPr>
                    <w:r w:rsidRPr="00A3654D">
                      <w:rPr>
                        <w:sz w:val="22"/>
                        <w:szCs w:val="22"/>
                        <w:lang w:val="lt-LT"/>
                      </w:rPr>
                      <w:t>Suvokiamas</w:t>
                    </w:r>
                  </w:p>
                  <w:p w:rsidR="00BE5795" w:rsidRPr="00A3654D" w:rsidRDefault="00BE5795" w:rsidP="00B46DAB">
                    <w:pPr>
                      <w:jc w:val="center"/>
                      <w:rPr>
                        <w:sz w:val="22"/>
                        <w:szCs w:val="22"/>
                        <w:lang w:val="lt-LT"/>
                      </w:rPr>
                    </w:pPr>
                    <w:r w:rsidRPr="00A3654D">
                      <w:rPr>
                        <w:sz w:val="22"/>
                        <w:szCs w:val="22"/>
                        <w:lang w:val="lt-LT"/>
                      </w:rPr>
                      <w:t>pavojus</w:t>
                    </w:r>
                  </w:p>
                </w:txbxContent>
              </v:textbox>
            </v:shape>
            <v:shape id="_x0000_s9132" type="#_x0000_t202" style="position:absolute;left:7707;top:13846;width:1403;height:653" filled="f" strokecolor="#bfbfbf [2412]">
              <v:textbox style="mso-next-textbox:#_x0000_s9132">
                <w:txbxContent>
                  <w:p w:rsidR="00BE5795" w:rsidRPr="00A3654D" w:rsidRDefault="00BE5795" w:rsidP="00B46DAB">
                    <w:pPr>
                      <w:jc w:val="center"/>
                      <w:rPr>
                        <w:sz w:val="22"/>
                        <w:szCs w:val="22"/>
                        <w:lang w:val="lt-LT"/>
                      </w:rPr>
                    </w:pPr>
                    <w:r w:rsidRPr="00A3654D">
                      <w:rPr>
                        <w:sz w:val="22"/>
                        <w:szCs w:val="22"/>
                        <w:lang w:val="lt-LT"/>
                      </w:rPr>
                      <w:t>„Nelaimingas atsitikimas“</w:t>
                    </w:r>
                  </w:p>
                </w:txbxContent>
              </v:textbox>
            </v:shape>
            <v:shape id="_x0000_s9133" type="#_x0000_t202" style="position:absolute;left:5532;top:13147;width:1536;height:653" filled="f" strokecolor="#bfbfbf [2412]">
              <v:textbox style="mso-next-textbox:#_x0000_s9133">
                <w:txbxContent>
                  <w:p w:rsidR="00BE5795" w:rsidRPr="00A3654D" w:rsidRDefault="00BE5795" w:rsidP="00B46DAB">
                    <w:pPr>
                      <w:jc w:val="center"/>
                      <w:rPr>
                        <w:sz w:val="22"/>
                        <w:szCs w:val="22"/>
                        <w:lang w:val="lt-LT"/>
                      </w:rPr>
                    </w:pPr>
                    <w:r w:rsidRPr="00A3654D">
                      <w:rPr>
                        <w:sz w:val="22"/>
                        <w:szCs w:val="22"/>
                        <w:lang w:val="lt-LT"/>
                      </w:rPr>
                      <w:t>Elgsenos balansavimas</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9134" type="#_x0000_t93" style="position:absolute;left:4912;top:13825;width:635;height:144;rotation:-25936819fd" fillcolor="#bfbfbf [2412]" strokecolor="#bfbfbf [2412]"/>
            <v:shape id="_x0000_s9135" type="#_x0000_t93" style="position:absolute;left:4912;top:12992;width:635;height:143;rotation:2209804fd" fillcolor="#bfbfbf [2412]" strokecolor="#bfbfbf [2412]"/>
            <v:shape id="_x0000_s9136" type="#_x0000_t93" style="position:absolute;left:7073;top:13866;width:634;height:143;rotation:2697562fd" fillcolor="#bfbfbf [2412]" strokecolor="#bfbfbf [2412]"/>
            <v:shape id="_x0000_s9137" type="#_x0000_t93" style="position:absolute;left:7062;top:12961;width:635;height:144;rotation:-2250906fd" fillcolor="#bfbfbf [2412]" strokecolor="#bfbfbf [2412]"/>
            <v:shape id="_x0000_s9138" type="#_x0000_t93" style="position:absolute;left:5322;top:14157;width:2017;height:134;rotation:180" adj="18900,5372" fillcolor="#bfbfbf [2412]" strokecolor="#bfbfbf [2412]"/>
            <v:shape id="_x0000_s9139" type="#_x0000_t93" style="position:absolute;left:5250;top:12620;width:2017;height:133;rotation:180" adj="18900,5372" fillcolor="#bfbfbf [2412]" strokecolor="#bfbfbf [2412]"/>
          </v:group>
        </w:pict>
      </w:r>
    </w:p>
    <w:p w:rsidR="00B46DAB" w:rsidRPr="00DC2AC9" w:rsidRDefault="00B46DAB" w:rsidP="00B46DAB">
      <w:pPr>
        <w:pStyle w:val="NormalWeb"/>
        <w:spacing w:before="0" w:beforeAutospacing="0" w:after="0" w:afterAutospacing="0" w:line="360" w:lineRule="auto"/>
        <w:ind w:firstLine="720"/>
        <w:jc w:val="both"/>
        <w:rPr>
          <w:lang w:val="lt-LT"/>
        </w:rPr>
      </w:pPr>
    </w:p>
    <w:p w:rsidR="00B46DAB" w:rsidRPr="00E966AF" w:rsidRDefault="00B46DAB" w:rsidP="00B46DAB">
      <w:pPr>
        <w:pStyle w:val="NormalWeb"/>
        <w:spacing w:before="0" w:beforeAutospacing="0" w:after="0" w:afterAutospacing="0" w:line="360" w:lineRule="auto"/>
        <w:ind w:firstLine="720"/>
        <w:jc w:val="both"/>
        <w:rPr>
          <w:sz w:val="20"/>
          <w:szCs w:val="20"/>
          <w:lang w:val="lt-LT"/>
        </w:rPr>
      </w:pPr>
    </w:p>
    <w:p w:rsidR="00B46DAB" w:rsidRPr="00E966AF" w:rsidRDefault="00B46DAB" w:rsidP="00B46DAB">
      <w:pPr>
        <w:pStyle w:val="NormalWeb"/>
        <w:spacing w:before="0" w:beforeAutospacing="0" w:after="0" w:afterAutospacing="0" w:line="360" w:lineRule="auto"/>
        <w:ind w:firstLine="720"/>
        <w:jc w:val="both"/>
        <w:rPr>
          <w:sz w:val="20"/>
          <w:szCs w:val="20"/>
          <w:lang w:val="lt-LT"/>
        </w:rPr>
      </w:pPr>
    </w:p>
    <w:p w:rsidR="00B46DAB" w:rsidRPr="00E966AF" w:rsidRDefault="00B46DAB" w:rsidP="00B46DAB">
      <w:pPr>
        <w:pStyle w:val="NormalWeb"/>
        <w:spacing w:before="0" w:beforeAutospacing="0" w:after="0" w:afterAutospacing="0" w:line="360" w:lineRule="auto"/>
        <w:ind w:firstLine="720"/>
        <w:jc w:val="both"/>
        <w:rPr>
          <w:sz w:val="20"/>
          <w:szCs w:val="20"/>
          <w:lang w:val="lt-LT"/>
        </w:rPr>
      </w:pPr>
    </w:p>
    <w:p w:rsidR="00E966AF" w:rsidRDefault="00E966AF" w:rsidP="00C618DD">
      <w:pPr>
        <w:pStyle w:val="NormalWeb"/>
        <w:spacing w:before="0" w:beforeAutospacing="0" w:after="0" w:afterAutospacing="0" w:line="360" w:lineRule="auto"/>
        <w:ind w:left="1440" w:hanging="731"/>
        <w:jc w:val="both"/>
        <w:rPr>
          <w:sz w:val="20"/>
          <w:szCs w:val="20"/>
          <w:lang w:val="lt-LT"/>
        </w:rPr>
      </w:pPr>
    </w:p>
    <w:p w:rsidR="00B46DAB" w:rsidRPr="005F44E6" w:rsidRDefault="00B46DAB" w:rsidP="00C618DD">
      <w:pPr>
        <w:pStyle w:val="NormalWeb"/>
        <w:spacing w:before="0" w:beforeAutospacing="0" w:after="0" w:afterAutospacing="0" w:line="360" w:lineRule="auto"/>
        <w:ind w:left="1440" w:hanging="731"/>
        <w:jc w:val="both"/>
        <w:rPr>
          <w:sz w:val="20"/>
          <w:szCs w:val="20"/>
          <w:lang w:val="lt-LT"/>
        </w:rPr>
      </w:pPr>
      <w:r w:rsidRPr="005F44E6">
        <w:rPr>
          <w:sz w:val="20"/>
          <w:szCs w:val="20"/>
          <w:lang w:val="lt-LT"/>
        </w:rPr>
        <w:t xml:space="preserve">Šaltinis: sukurta autorės pagal </w:t>
      </w:r>
      <w:r w:rsidRPr="005F44E6">
        <w:rPr>
          <w:caps/>
          <w:sz w:val="20"/>
          <w:szCs w:val="20"/>
          <w:lang w:val="lt-LT"/>
        </w:rPr>
        <w:t>Adams</w:t>
      </w:r>
      <w:r w:rsidRPr="005F44E6">
        <w:rPr>
          <w:sz w:val="20"/>
          <w:szCs w:val="20"/>
          <w:lang w:val="lt-LT"/>
        </w:rPr>
        <w:t>, J.</w:t>
      </w:r>
      <w:r w:rsidR="00C076D8" w:rsidRPr="005F44E6">
        <w:rPr>
          <w:sz w:val="20"/>
          <w:szCs w:val="20"/>
          <w:lang w:val="lt-LT"/>
        </w:rPr>
        <w:t>,</w:t>
      </w:r>
      <w:r w:rsidRPr="005F44E6">
        <w:rPr>
          <w:sz w:val="20"/>
          <w:szCs w:val="20"/>
          <w:lang w:val="lt-LT"/>
        </w:rPr>
        <w:t xml:space="preserve"> 2001, p. 28.</w:t>
      </w:r>
    </w:p>
    <w:p w:rsidR="00B46DAB" w:rsidRPr="00A3654D" w:rsidRDefault="00B46DAB" w:rsidP="00B46DAB">
      <w:pPr>
        <w:pStyle w:val="NormalWeb"/>
        <w:spacing w:before="0" w:beforeAutospacing="0" w:after="0" w:afterAutospacing="0" w:line="360" w:lineRule="auto"/>
        <w:ind w:left="1440" w:firstLine="720"/>
        <w:rPr>
          <w:b/>
          <w:sz w:val="26"/>
          <w:szCs w:val="26"/>
          <w:lang w:val="lt-LT"/>
        </w:rPr>
      </w:pPr>
      <w:r w:rsidRPr="00A3654D">
        <w:rPr>
          <w:b/>
          <w:sz w:val="26"/>
          <w:szCs w:val="26"/>
          <w:lang w:val="lt-LT"/>
        </w:rPr>
        <w:t>1 pav. Rizikos kompensacijos teorijos modelis</w:t>
      </w:r>
    </w:p>
    <w:p w:rsidR="00561FAB" w:rsidRPr="00A3654D" w:rsidRDefault="00BC333F" w:rsidP="00A3654D">
      <w:pPr>
        <w:spacing w:before="120" w:line="360" w:lineRule="auto"/>
        <w:ind w:firstLine="720"/>
        <w:jc w:val="both"/>
        <w:rPr>
          <w:sz w:val="26"/>
          <w:szCs w:val="26"/>
          <w:lang w:val="lt-LT"/>
        </w:rPr>
      </w:pPr>
      <w:r w:rsidRPr="00A3654D">
        <w:rPr>
          <w:sz w:val="26"/>
          <w:szCs w:val="26"/>
          <w:lang w:val="lt-LT"/>
        </w:rPr>
        <w:t xml:space="preserve">Skirtingos nuomonės dėl rizikos ir neapibrėžtumo sampratų atskleidžia tai, kad: 1) esant rizikai disponuojama daline informacija ir bent vienas kintamasis yra </w:t>
      </w:r>
      <w:r w:rsidRPr="00A3654D">
        <w:rPr>
          <w:i/>
          <w:sz w:val="26"/>
          <w:szCs w:val="26"/>
          <w:lang w:val="lt-LT"/>
        </w:rPr>
        <w:t>atsitiktinis ir išreikštas tikimybine funkcija</w:t>
      </w:r>
      <w:r w:rsidRPr="00A3654D">
        <w:rPr>
          <w:sz w:val="26"/>
          <w:szCs w:val="26"/>
          <w:lang w:val="lt-LT"/>
        </w:rPr>
        <w:t xml:space="preserve">; 2) esant neapibrėžtumui susiduriame su informacijos apie tiriamąją problemą trūkumu ir bent vienas kintamasis yra </w:t>
      </w:r>
      <w:r w:rsidRPr="00A3654D">
        <w:rPr>
          <w:i/>
          <w:sz w:val="26"/>
          <w:szCs w:val="26"/>
          <w:lang w:val="lt-LT"/>
        </w:rPr>
        <w:t>nežinomas ir neapibrėžiamas</w:t>
      </w:r>
      <w:r w:rsidRPr="00A3654D">
        <w:rPr>
          <w:sz w:val="26"/>
          <w:szCs w:val="26"/>
          <w:lang w:val="lt-LT"/>
        </w:rPr>
        <w:t xml:space="preserve">. </w:t>
      </w:r>
      <w:r w:rsidR="00ED4BC5" w:rsidRPr="00A3654D">
        <w:rPr>
          <w:sz w:val="26"/>
          <w:szCs w:val="26"/>
          <w:lang w:val="lt-LT"/>
        </w:rPr>
        <w:t>Ap</w:t>
      </w:r>
      <w:r w:rsidRPr="00A3654D">
        <w:rPr>
          <w:sz w:val="26"/>
          <w:szCs w:val="26"/>
          <w:lang w:val="lt-LT"/>
        </w:rPr>
        <w:t>ibendrinant galima teigti, kad rizika ir neapibrėžtumas yra skirtingos koncepcijos, kurios galėtų būti tapatinamos tik tuomet, kai priimamas sprendimas ar vykdomas veiksmas, esant ne</w:t>
      </w:r>
      <w:r w:rsidR="00BF1849">
        <w:rPr>
          <w:sz w:val="26"/>
          <w:szCs w:val="26"/>
          <w:lang w:val="lt-LT"/>
        </w:rPr>
        <w:t xml:space="preserve">nuspėjamai rinkos ekonomikai </w:t>
      </w:r>
      <w:r w:rsidRPr="00A3654D">
        <w:rPr>
          <w:sz w:val="26"/>
          <w:szCs w:val="26"/>
          <w:lang w:val="lt-LT"/>
        </w:rPr>
        <w:t>(</w:t>
      </w:r>
      <w:r w:rsidR="00BF1849">
        <w:rPr>
          <w:sz w:val="26"/>
          <w:szCs w:val="26"/>
          <w:lang w:val="lt-LT"/>
        </w:rPr>
        <w:t>verslo aplinkai</w:t>
      </w:r>
      <w:r w:rsidRPr="00A3654D">
        <w:rPr>
          <w:sz w:val="26"/>
          <w:szCs w:val="26"/>
          <w:lang w:val="lt-LT"/>
        </w:rPr>
        <w:t>).</w:t>
      </w:r>
      <w:r w:rsidR="004008F8" w:rsidRPr="00A3654D">
        <w:rPr>
          <w:sz w:val="26"/>
          <w:szCs w:val="26"/>
          <w:lang w:val="lt-LT"/>
        </w:rPr>
        <w:t xml:space="preserve"> </w:t>
      </w:r>
      <w:r w:rsidR="00ED4BC5" w:rsidRPr="00A3654D">
        <w:rPr>
          <w:sz w:val="26"/>
          <w:szCs w:val="26"/>
          <w:lang w:val="lt-LT"/>
        </w:rPr>
        <w:t>Todėl apibrėžiant riziką būtina atsižvelgti, kad ji yra</w:t>
      </w:r>
      <w:r w:rsidR="00561FAB" w:rsidRPr="00A3654D">
        <w:rPr>
          <w:sz w:val="26"/>
          <w:szCs w:val="26"/>
          <w:lang w:val="lt-LT"/>
        </w:rPr>
        <w:t>: 1) susijusi su sprendimo priėmimu, 2)</w:t>
      </w:r>
      <w:r w:rsidR="00041860">
        <w:rPr>
          <w:sz w:val="26"/>
          <w:szCs w:val="26"/>
          <w:lang w:val="lt-LT"/>
        </w:rPr>
        <w:t> </w:t>
      </w:r>
      <w:r w:rsidR="00561FAB" w:rsidRPr="00A3654D">
        <w:rPr>
          <w:sz w:val="26"/>
          <w:szCs w:val="26"/>
          <w:lang w:val="lt-LT"/>
        </w:rPr>
        <w:t>susijusi su nuostoliais</w:t>
      </w:r>
      <w:r w:rsidR="00D70974">
        <w:rPr>
          <w:sz w:val="26"/>
          <w:szCs w:val="26"/>
          <w:lang w:val="lt-LT"/>
        </w:rPr>
        <w:t xml:space="preserve"> ir siekiamu tikslu</w:t>
      </w:r>
      <w:r w:rsidR="00D70974" w:rsidRPr="00A3654D">
        <w:rPr>
          <w:sz w:val="26"/>
          <w:szCs w:val="26"/>
          <w:lang w:val="lt-LT"/>
        </w:rPr>
        <w:t xml:space="preserve">, 3) </w:t>
      </w:r>
      <w:r w:rsidR="00561FAB" w:rsidRPr="00A3654D">
        <w:rPr>
          <w:sz w:val="26"/>
          <w:szCs w:val="26"/>
          <w:lang w:val="lt-LT"/>
        </w:rPr>
        <w:t>tikimybinė kategorija</w:t>
      </w:r>
      <w:r w:rsidR="00D70974" w:rsidRPr="00D70974">
        <w:rPr>
          <w:sz w:val="26"/>
          <w:szCs w:val="26"/>
          <w:lang w:val="lt-LT"/>
        </w:rPr>
        <w:t xml:space="preserve"> </w:t>
      </w:r>
      <w:r w:rsidR="00D70974">
        <w:rPr>
          <w:sz w:val="26"/>
          <w:szCs w:val="26"/>
          <w:lang w:val="lt-LT"/>
        </w:rPr>
        <w:t xml:space="preserve">ir </w:t>
      </w:r>
      <w:r w:rsidR="00D70974" w:rsidRPr="00A3654D">
        <w:rPr>
          <w:sz w:val="26"/>
          <w:szCs w:val="26"/>
          <w:lang w:val="lt-LT"/>
        </w:rPr>
        <w:t xml:space="preserve">4) </w:t>
      </w:r>
      <w:r w:rsidR="00D70974">
        <w:rPr>
          <w:sz w:val="26"/>
          <w:szCs w:val="26"/>
          <w:lang w:val="lt-LT"/>
        </w:rPr>
        <w:t>jai būdingas neapibrėžtumas</w:t>
      </w:r>
      <w:r w:rsidR="00561FAB" w:rsidRPr="00A3654D">
        <w:rPr>
          <w:sz w:val="26"/>
          <w:szCs w:val="26"/>
          <w:lang w:val="lt-LT"/>
        </w:rPr>
        <w:t>.</w:t>
      </w:r>
    </w:p>
    <w:p w:rsidR="0025224C" w:rsidRPr="00A3654D" w:rsidRDefault="00BC333F" w:rsidP="00A24E6A">
      <w:pPr>
        <w:pStyle w:val="NormalWeb"/>
        <w:spacing w:before="0" w:beforeAutospacing="0" w:after="0" w:afterAutospacing="0" w:line="360" w:lineRule="auto"/>
        <w:ind w:firstLine="720"/>
        <w:jc w:val="both"/>
        <w:rPr>
          <w:sz w:val="26"/>
          <w:szCs w:val="26"/>
          <w:lang w:val="lt-LT"/>
        </w:rPr>
      </w:pPr>
      <w:r w:rsidRPr="00A3654D">
        <w:rPr>
          <w:sz w:val="26"/>
          <w:szCs w:val="26"/>
          <w:lang w:val="lt-LT"/>
        </w:rPr>
        <w:lastRenderedPageBreak/>
        <w:t xml:space="preserve">Kadangi ekonominė rizika turėtų būti suvokiama ne tik kaip neapibrėžtumas, kuris slypi pačioje rinkoje, bet ir tai, kokia yra </w:t>
      </w:r>
      <w:r w:rsidR="00095A93" w:rsidRPr="00A3654D">
        <w:rPr>
          <w:sz w:val="26"/>
          <w:szCs w:val="26"/>
          <w:lang w:val="lt-LT"/>
        </w:rPr>
        <w:t>įmonės</w:t>
      </w:r>
      <w:r w:rsidR="004008F8" w:rsidRPr="00A3654D">
        <w:rPr>
          <w:sz w:val="26"/>
          <w:szCs w:val="26"/>
          <w:lang w:val="lt-LT"/>
        </w:rPr>
        <w:t xml:space="preserve"> </w:t>
      </w:r>
      <w:r w:rsidR="0025224C" w:rsidRPr="00A3654D">
        <w:rPr>
          <w:sz w:val="26"/>
          <w:szCs w:val="26"/>
          <w:lang w:val="lt-LT"/>
        </w:rPr>
        <w:t>(</w:t>
      </w:r>
      <w:r w:rsidRPr="00A3654D">
        <w:rPr>
          <w:sz w:val="26"/>
          <w:szCs w:val="26"/>
          <w:lang w:val="lt-LT"/>
        </w:rPr>
        <w:t>rinkos dalyvi</w:t>
      </w:r>
      <w:r w:rsidR="004008F8" w:rsidRPr="00A3654D">
        <w:rPr>
          <w:sz w:val="26"/>
          <w:szCs w:val="26"/>
          <w:lang w:val="lt-LT"/>
        </w:rPr>
        <w:t>o</w:t>
      </w:r>
      <w:r w:rsidR="0025224C" w:rsidRPr="00A3654D">
        <w:rPr>
          <w:sz w:val="26"/>
          <w:szCs w:val="26"/>
          <w:lang w:val="lt-LT"/>
        </w:rPr>
        <w:t>)</w:t>
      </w:r>
      <w:r w:rsidRPr="00A3654D">
        <w:rPr>
          <w:sz w:val="26"/>
          <w:szCs w:val="26"/>
          <w:lang w:val="lt-LT"/>
        </w:rPr>
        <w:t xml:space="preserve"> reakcija, reikėtų pripažinti, kad ekonominę riziką lemia ne tik informacijos, kurią turi </w:t>
      </w:r>
      <w:r w:rsidR="00095A93" w:rsidRPr="00A3654D">
        <w:rPr>
          <w:sz w:val="26"/>
          <w:szCs w:val="26"/>
          <w:lang w:val="lt-LT"/>
        </w:rPr>
        <w:t>įmonė</w:t>
      </w:r>
      <w:r w:rsidRPr="00A3654D">
        <w:rPr>
          <w:sz w:val="26"/>
          <w:szCs w:val="26"/>
          <w:lang w:val="lt-LT"/>
        </w:rPr>
        <w:t xml:space="preserve">, patikimumas ir gausumas, bet ir personalo priimančio sprendimą kvalifikacija, patirtis bei asmens bruožai. </w:t>
      </w:r>
      <w:r w:rsidR="00BA2085" w:rsidRPr="00A3654D">
        <w:rPr>
          <w:sz w:val="26"/>
          <w:szCs w:val="26"/>
          <w:lang w:val="lt-LT"/>
        </w:rPr>
        <w:t xml:space="preserve">Todėl </w:t>
      </w:r>
      <w:r w:rsidR="00C11B7C" w:rsidRPr="00A3654D">
        <w:rPr>
          <w:sz w:val="26"/>
          <w:szCs w:val="26"/>
          <w:lang w:val="lt-LT"/>
        </w:rPr>
        <w:t>kiekviena</w:t>
      </w:r>
      <w:r w:rsidR="00095A93" w:rsidRPr="00A3654D">
        <w:rPr>
          <w:sz w:val="26"/>
          <w:szCs w:val="26"/>
          <w:lang w:val="lt-LT"/>
        </w:rPr>
        <w:t>i</w:t>
      </w:r>
      <w:r w:rsidR="00C11B7C" w:rsidRPr="00A3654D">
        <w:rPr>
          <w:sz w:val="26"/>
          <w:szCs w:val="26"/>
          <w:lang w:val="lt-LT"/>
        </w:rPr>
        <w:t xml:space="preserve"> </w:t>
      </w:r>
      <w:r w:rsidR="00095A93" w:rsidRPr="00A3654D">
        <w:rPr>
          <w:sz w:val="26"/>
          <w:szCs w:val="26"/>
          <w:lang w:val="lt-LT"/>
        </w:rPr>
        <w:t>įmonei</w:t>
      </w:r>
      <w:r w:rsidR="00C11B7C" w:rsidRPr="00A3654D">
        <w:rPr>
          <w:sz w:val="26"/>
          <w:szCs w:val="26"/>
          <w:lang w:val="lt-LT"/>
        </w:rPr>
        <w:t xml:space="preserve"> </w:t>
      </w:r>
      <w:r w:rsidR="00BA2085" w:rsidRPr="00A3654D">
        <w:rPr>
          <w:sz w:val="26"/>
          <w:szCs w:val="26"/>
          <w:lang w:val="lt-LT"/>
        </w:rPr>
        <w:t xml:space="preserve">labai svarbu numatyti </w:t>
      </w:r>
      <w:r w:rsidR="00A24E6A" w:rsidRPr="00A3654D">
        <w:rPr>
          <w:sz w:val="26"/>
          <w:szCs w:val="26"/>
          <w:lang w:val="lt-LT"/>
        </w:rPr>
        <w:t xml:space="preserve">tinkamą </w:t>
      </w:r>
      <w:r w:rsidR="00BA2085" w:rsidRPr="00A3654D">
        <w:rPr>
          <w:sz w:val="26"/>
          <w:szCs w:val="26"/>
          <w:lang w:val="lt-LT"/>
        </w:rPr>
        <w:t xml:space="preserve">šios rizikos </w:t>
      </w:r>
      <w:r w:rsidR="00561FAB" w:rsidRPr="00A3654D">
        <w:rPr>
          <w:sz w:val="26"/>
          <w:szCs w:val="26"/>
          <w:lang w:val="lt-LT"/>
        </w:rPr>
        <w:t xml:space="preserve">valdymo bei </w:t>
      </w:r>
      <w:r w:rsidR="00BA2085" w:rsidRPr="00A3654D">
        <w:rPr>
          <w:sz w:val="26"/>
          <w:szCs w:val="26"/>
          <w:lang w:val="lt-LT"/>
        </w:rPr>
        <w:t xml:space="preserve">vertinimo procesą ir pasirinkti </w:t>
      </w:r>
      <w:r w:rsidR="00A24E6A" w:rsidRPr="00A3654D">
        <w:rPr>
          <w:sz w:val="26"/>
          <w:szCs w:val="26"/>
          <w:lang w:val="lt-LT"/>
        </w:rPr>
        <w:t xml:space="preserve">optimalius </w:t>
      </w:r>
      <w:r w:rsidR="00BA2085" w:rsidRPr="00A3654D">
        <w:rPr>
          <w:sz w:val="26"/>
          <w:szCs w:val="26"/>
          <w:lang w:val="lt-LT"/>
        </w:rPr>
        <w:t>jos vertinimo metodus</w:t>
      </w:r>
      <w:r w:rsidR="00A24E6A" w:rsidRPr="00A3654D">
        <w:rPr>
          <w:sz w:val="26"/>
          <w:szCs w:val="26"/>
          <w:lang w:val="lt-LT"/>
        </w:rPr>
        <w:t xml:space="preserve">, kuriuos </w:t>
      </w:r>
      <w:r w:rsidR="00BA2085" w:rsidRPr="00A3654D">
        <w:rPr>
          <w:sz w:val="26"/>
          <w:szCs w:val="26"/>
          <w:lang w:val="lt-LT"/>
        </w:rPr>
        <w:t>ir</w:t>
      </w:r>
      <w:r w:rsidR="0025224C" w:rsidRPr="00A3654D">
        <w:rPr>
          <w:sz w:val="26"/>
          <w:szCs w:val="26"/>
          <w:lang w:val="lt-LT"/>
        </w:rPr>
        <w:t xml:space="preserve"> </w:t>
      </w:r>
      <w:r w:rsidR="00A24E6A" w:rsidRPr="00A3654D">
        <w:rPr>
          <w:sz w:val="26"/>
          <w:szCs w:val="26"/>
          <w:lang w:val="lt-LT"/>
        </w:rPr>
        <w:t xml:space="preserve">aptarsime išsamiau kitame disertacijos </w:t>
      </w:r>
      <w:r w:rsidR="00C11B7C" w:rsidRPr="00A3654D">
        <w:rPr>
          <w:sz w:val="26"/>
          <w:szCs w:val="26"/>
          <w:lang w:val="lt-LT"/>
        </w:rPr>
        <w:t>s</w:t>
      </w:r>
      <w:r w:rsidR="00DC2AC9" w:rsidRPr="00A3654D">
        <w:rPr>
          <w:sz w:val="26"/>
          <w:szCs w:val="26"/>
          <w:lang w:val="lt-LT"/>
        </w:rPr>
        <w:t>kyriu</w:t>
      </w:r>
      <w:r w:rsidR="00A24E6A" w:rsidRPr="00A3654D">
        <w:rPr>
          <w:sz w:val="26"/>
          <w:szCs w:val="26"/>
          <w:lang w:val="lt-LT"/>
        </w:rPr>
        <w:t>je</w:t>
      </w:r>
      <w:r w:rsidR="0025224C" w:rsidRPr="00A3654D">
        <w:rPr>
          <w:sz w:val="26"/>
          <w:szCs w:val="26"/>
          <w:lang w:val="lt-LT"/>
        </w:rPr>
        <w:t xml:space="preserve">. </w:t>
      </w:r>
    </w:p>
    <w:p w:rsidR="00F166BF" w:rsidRPr="00A3654D" w:rsidRDefault="00F166BF" w:rsidP="00A3654D">
      <w:pPr>
        <w:pStyle w:val="Heading3"/>
        <w:spacing w:after="240"/>
        <w:ind w:firstLine="720"/>
        <w:rPr>
          <w:rFonts w:ascii="Times New Roman" w:hAnsi="Times New Roman" w:cs="Times New Roman"/>
          <w:lang w:val="lt-LT"/>
        </w:rPr>
      </w:pPr>
      <w:bookmarkStart w:id="11" w:name="_Toc253244581"/>
      <w:r w:rsidRPr="00A3654D">
        <w:rPr>
          <w:rFonts w:ascii="Times New Roman" w:hAnsi="Times New Roman" w:cs="Times New Roman"/>
          <w:lang w:val="lt-LT"/>
        </w:rPr>
        <w:t xml:space="preserve">1.1.2. </w:t>
      </w:r>
      <w:r w:rsidR="00163BF0" w:rsidRPr="00A3654D">
        <w:rPr>
          <w:rFonts w:ascii="Times New Roman" w:hAnsi="Times New Roman" w:cs="Times New Roman"/>
          <w:lang w:val="lt-LT"/>
        </w:rPr>
        <w:t>R</w:t>
      </w:r>
      <w:r w:rsidRPr="00A3654D">
        <w:rPr>
          <w:rFonts w:ascii="Times New Roman" w:hAnsi="Times New Roman" w:cs="Times New Roman"/>
          <w:lang w:val="lt-LT"/>
        </w:rPr>
        <w:t>izikos vertinim</w:t>
      </w:r>
      <w:r w:rsidR="00A202AA">
        <w:rPr>
          <w:rFonts w:ascii="Times New Roman" w:hAnsi="Times New Roman" w:cs="Times New Roman"/>
          <w:lang w:val="lt-LT"/>
        </w:rPr>
        <w:t>o</w:t>
      </w:r>
      <w:r w:rsidRPr="00A3654D">
        <w:rPr>
          <w:rFonts w:ascii="Times New Roman" w:hAnsi="Times New Roman" w:cs="Times New Roman"/>
          <w:lang w:val="lt-LT"/>
        </w:rPr>
        <w:t xml:space="preserve"> </w:t>
      </w:r>
      <w:r w:rsidR="00424A43" w:rsidRPr="00A3654D">
        <w:rPr>
          <w:rFonts w:ascii="Times New Roman" w:hAnsi="Times New Roman" w:cs="Times New Roman"/>
          <w:lang w:val="lt-LT"/>
        </w:rPr>
        <w:t>procesas ir metodai</w:t>
      </w:r>
      <w:bookmarkEnd w:id="11"/>
    </w:p>
    <w:p w:rsidR="008542C8" w:rsidRPr="00A3654D" w:rsidRDefault="004F7145" w:rsidP="008542C8">
      <w:pPr>
        <w:pStyle w:val="NormalWeb"/>
        <w:spacing w:before="0" w:beforeAutospacing="0" w:after="0" w:afterAutospacing="0" w:line="360" w:lineRule="auto"/>
        <w:ind w:firstLine="720"/>
        <w:jc w:val="both"/>
        <w:rPr>
          <w:sz w:val="26"/>
          <w:szCs w:val="26"/>
          <w:lang w:val="lt-LT"/>
        </w:rPr>
      </w:pPr>
      <w:r w:rsidRPr="00A3654D">
        <w:rPr>
          <w:sz w:val="26"/>
          <w:szCs w:val="26"/>
          <w:lang w:val="lt-LT"/>
        </w:rPr>
        <w:t xml:space="preserve">Rizika turi būti svarbi sprendimų priėmimo proceso dalis, o jei rizika bus neįvertinta, gali būti priimti </w:t>
      </w:r>
      <w:r w:rsidR="003A3A64">
        <w:rPr>
          <w:sz w:val="26"/>
          <w:szCs w:val="26"/>
          <w:lang w:val="lt-LT"/>
        </w:rPr>
        <w:t>netinkami</w:t>
      </w:r>
      <w:r w:rsidRPr="00A3654D">
        <w:rPr>
          <w:sz w:val="26"/>
          <w:szCs w:val="26"/>
          <w:lang w:val="lt-LT"/>
        </w:rPr>
        <w:t xml:space="preserve"> sprendimai (J. Mun, 2004, p. 13). </w:t>
      </w:r>
      <w:r w:rsidR="00B02862" w:rsidRPr="00A3654D">
        <w:rPr>
          <w:sz w:val="26"/>
          <w:szCs w:val="26"/>
          <w:lang w:val="lt-LT"/>
        </w:rPr>
        <w:t xml:space="preserve">Siekiant išvengti rizikos ar ją sumažinti iki tokio lygio, kuris nekeltų grėsmės </w:t>
      </w:r>
      <w:r w:rsidR="00095A93" w:rsidRPr="00A3654D">
        <w:rPr>
          <w:sz w:val="26"/>
          <w:szCs w:val="26"/>
          <w:lang w:val="lt-LT"/>
        </w:rPr>
        <w:t xml:space="preserve">įmonės </w:t>
      </w:r>
      <w:r w:rsidR="00B02862" w:rsidRPr="00A3654D">
        <w:rPr>
          <w:sz w:val="26"/>
          <w:szCs w:val="26"/>
          <w:lang w:val="lt-LT"/>
        </w:rPr>
        <w:t>priima</w:t>
      </w:r>
      <w:r w:rsidR="00095A93" w:rsidRPr="00A3654D">
        <w:rPr>
          <w:sz w:val="26"/>
          <w:szCs w:val="26"/>
          <w:lang w:val="lt-LT"/>
        </w:rPr>
        <w:t>ma</w:t>
      </w:r>
      <w:r w:rsidR="00B02862" w:rsidRPr="00A3654D">
        <w:rPr>
          <w:sz w:val="26"/>
          <w:szCs w:val="26"/>
          <w:lang w:val="lt-LT"/>
        </w:rPr>
        <w:t>m ekonominiam sprendimui</w:t>
      </w:r>
      <w:r w:rsidRPr="00A3654D">
        <w:rPr>
          <w:sz w:val="26"/>
          <w:szCs w:val="26"/>
          <w:lang w:val="lt-LT"/>
        </w:rPr>
        <w:t>, arba</w:t>
      </w:r>
      <w:r w:rsidR="003A3A64">
        <w:rPr>
          <w:sz w:val="26"/>
          <w:szCs w:val="26"/>
          <w:lang w:val="lt-LT"/>
        </w:rPr>
        <w:t>,</w:t>
      </w:r>
      <w:r w:rsidRPr="00A3654D">
        <w:rPr>
          <w:sz w:val="26"/>
          <w:szCs w:val="26"/>
          <w:lang w:val="lt-LT"/>
        </w:rPr>
        <w:t xml:space="preserve"> kitaip tariant</w:t>
      </w:r>
      <w:r w:rsidR="003A3A64">
        <w:rPr>
          <w:sz w:val="26"/>
          <w:szCs w:val="26"/>
          <w:lang w:val="lt-LT"/>
        </w:rPr>
        <w:t>,</w:t>
      </w:r>
      <w:r w:rsidRPr="00A3654D">
        <w:rPr>
          <w:sz w:val="26"/>
          <w:szCs w:val="26"/>
          <w:lang w:val="lt-LT"/>
        </w:rPr>
        <w:t xml:space="preserve"> norint ją </w:t>
      </w:r>
      <w:r w:rsidR="00E60684" w:rsidRPr="00A3654D">
        <w:rPr>
          <w:sz w:val="26"/>
          <w:szCs w:val="26"/>
          <w:lang w:val="lt-LT"/>
        </w:rPr>
        <w:t xml:space="preserve">įvertinti ir </w:t>
      </w:r>
      <w:r w:rsidRPr="00A3654D">
        <w:rPr>
          <w:sz w:val="26"/>
          <w:szCs w:val="26"/>
          <w:lang w:val="lt-LT"/>
        </w:rPr>
        <w:t xml:space="preserve">valdyti </w:t>
      </w:r>
      <w:r w:rsidR="00E60684" w:rsidRPr="00A3654D">
        <w:rPr>
          <w:sz w:val="26"/>
          <w:szCs w:val="26"/>
          <w:lang w:val="lt-LT"/>
        </w:rPr>
        <w:t xml:space="preserve">taikomos </w:t>
      </w:r>
      <w:r w:rsidRPr="00A3654D">
        <w:rPr>
          <w:sz w:val="26"/>
          <w:szCs w:val="26"/>
          <w:lang w:val="lt-LT"/>
        </w:rPr>
        <w:t xml:space="preserve">įvairios </w:t>
      </w:r>
      <w:r w:rsidR="00385A8A" w:rsidRPr="00A3654D">
        <w:rPr>
          <w:sz w:val="26"/>
          <w:szCs w:val="26"/>
          <w:lang w:val="lt-LT"/>
        </w:rPr>
        <w:t>priemon</w:t>
      </w:r>
      <w:r w:rsidR="00E60684" w:rsidRPr="00A3654D">
        <w:rPr>
          <w:sz w:val="26"/>
          <w:szCs w:val="26"/>
          <w:lang w:val="lt-LT"/>
        </w:rPr>
        <w:t>ė</w:t>
      </w:r>
      <w:r w:rsidR="00385A8A" w:rsidRPr="00A3654D">
        <w:rPr>
          <w:sz w:val="26"/>
          <w:szCs w:val="26"/>
          <w:lang w:val="lt-LT"/>
        </w:rPr>
        <w:t>s</w:t>
      </w:r>
      <w:r w:rsidR="00E60684" w:rsidRPr="00A3654D">
        <w:rPr>
          <w:sz w:val="26"/>
          <w:szCs w:val="26"/>
          <w:lang w:val="lt-LT"/>
        </w:rPr>
        <w:t>. Šių priemonių visuma – rizikos valdymo procesas</w:t>
      </w:r>
      <w:r w:rsidR="009C697A" w:rsidRPr="00A3654D">
        <w:rPr>
          <w:sz w:val="26"/>
          <w:szCs w:val="26"/>
          <w:lang w:val="lt-LT"/>
        </w:rPr>
        <w:t>.</w:t>
      </w:r>
      <w:r w:rsidR="00D966F1" w:rsidRPr="00A3654D">
        <w:rPr>
          <w:sz w:val="26"/>
          <w:szCs w:val="26"/>
          <w:lang w:val="lt-LT"/>
        </w:rPr>
        <w:t xml:space="preserve"> Todėl </w:t>
      </w:r>
      <w:r w:rsidR="00ED18F4" w:rsidRPr="00A3654D">
        <w:rPr>
          <w:sz w:val="26"/>
          <w:szCs w:val="26"/>
          <w:lang w:val="lt-LT"/>
        </w:rPr>
        <w:t xml:space="preserve">tikslinga </w:t>
      </w:r>
      <w:r w:rsidR="00D966F1" w:rsidRPr="00A3654D">
        <w:rPr>
          <w:sz w:val="26"/>
          <w:szCs w:val="26"/>
          <w:lang w:val="lt-LT"/>
        </w:rPr>
        <w:t>iš</w:t>
      </w:r>
      <w:r w:rsidR="00ED18F4" w:rsidRPr="00A3654D">
        <w:rPr>
          <w:sz w:val="26"/>
          <w:szCs w:val="26"/>
          <w:lang w:val="lt-LT"/>
        </w:rPr>
        <w:t xml:space="preserve">analizuoti </w:t>
      </w:r>
      <w:r w:rsidR="00273649" w:rsidRPr="00A3654D">
        <w:rPr>
          <w:sz w:val="26"/>
          <w:szCs w:val="26"/>
          <w:lang w:val="lt-LT"/>
        </w:rPr>
        <w:t>rizikos valdymo proceso esmę</w:t>
      </w:r>
      <w:r w:rsidR="00D966F1" w:rsidRPr="00A3654D">
        <w:rPr>
          <w:sz w:val="26"/>
          <w:szCs w:val="26"/>
          <w:lang w:val="lt-LT"/>
        </w:rPr>
        <w:t>,</w:t>
      </w:r>
      <w:r w:rsidR="00273649" w:rsidRPr="00A3654D">
        <w:rPr>
          <w:sz w:val="26"/>
          <w:szCs w:val="26"/>
          <w:lang w:val="lt-LT"/>
        </w:rPr>
        <w:t xml:space="preserve"> </w:t>
      </w:r>
      <w:r w:rsidR="008542C8" w:rsidRPr="00A3654D">
        <w:rPr>
          <w:sz w:val="26"/>
          <w:szCs w:val="26"/>
          <w:lang w:val="lt-LT"/>
        </w:rPr>
        <w:t>ypatingą dėmesį skiriant rizikos vertinimo etapui, susijusiam su disertacijos tyrimo objektu</w:t>
      </w:r>
      <w:r w:rsidR="00ED18F4" w:rsidRPr="00A3654D">
        <w:rPr>
          <w:sz w:val="26"/>
          <w:szCs w:val="26"/>
          <w:lang w:val="lt-LT"/>
        </w:rPr>
        <w:t>.</w:t>
      </w:r>
      <w:r w:rsidR="00D966F1" w:rsidRPr="00A3654D">
        <w:rPr>
          <w:sz w:val="26"/>
          <w:szCs w:val="26"/>
          <w:lang w:val="lt-LT"/>
        </w:rPr>
        <w:t xml:space="preserve"> </w:t>
      </w:r>
    </w:p>
    <w:p w:rsidR="002035F2" w:rsidRPr="00A3654D" w:rsidRDefault="001F79F4" w:rsidP="00CE6550">
      <w:pPr>
        <w:pStyle w:val="NormalWeb"/>
        <w:spacing w:before="0" w:beforeAutospacing="0" w:after="0" w:afterAutospacing="0" w:line="360" w:lineRule="auto"/>
        <w:ind w:firstLine="720"/>
        <w:jc w:val="both"/>
        <w:rPr>
          <w:sz w:val="26"/>
          <w:szCs w:val="26"/>
          <w:lang w:val="lt-LT"/>
        </w:rPr>
      </w:pPr>
      <w:r w:rsidRPr="00A3654D">
        <w:rPr>
          <w:sz w:val="26"/>
          <w:szCs w:val="26"/>
          <w:lang w:val="lt-LT"/>
        </w:rPr>
        <w:t xml:space="preserve">Išsamiai </w:t>
      </w:r>
      <w:r w:rsidR="00095A93" w:rsidRPr="00A3654D">
        <w:rPr>
          <w:sz w:val="26"/>
          <w:szCs w:val="26"/>
          <w:lang w:val="lt-LT"/>
        </w:rPr>
        <w:t>įmonės</w:t>
      </w:r>
      <w:r w:rsidR="006A1033" w:rsidRPr="00A3654D">
        <w:rPr>
          <w:sz w:val="26"/>
          <w:szCs w:val="26"/>
          <w:lang w:val="lt-LT"/>
        </w:rPr>
        <w:t xml:space="preserve"> </w:t>
      </w:r>
      <w:r w:rsidR="00613984" w:rsidRPr="00A3654D">
        <w:rPr>
          <w:sz w:val="26"/>
          <w:szCs w:val="26"/>
          <w:lang w:val="lt-LT"/>
        </w:rPr>
        <w:t>rizikos valdym</w:t>
      </w:r>
      <w:r w:rsidR="00746AAA" w:rsidRPr="00A3654D">
        <w:rPr>
          <w:sz w:val="26"/>
          <w:szCs w:val="26"/>
          <w:lang w:val="lt-LT"/>
        </w:rPr>
        <w:t>o esmė apibrėžta</w:t>
      </w:r>
      <w:r w:rsidR="00AF21ED" w:rsidRPr="00A3654D">
        <w:rPr>
          <w:sz w:val="26"/>
          <w:szCs w:val="26"/>
          <w:lang w:val="lt-LT"/>
        </w:rPr>
        <w:t xml:space="preserve"> COSO įmonės rizikos valdymo model</w:t>
      </w:r>
      <w:r w:rsidR="00746AAA" w:rsidRPr="00A3654D">
        <w:rPr>
          <w:sz w:val="26"/>
          <w:szCs w:val="26"/>
          <w:lang w:val="lt-LT"/>
        </w:rPr>
        <w:t>yje</w:t>
      </w:r>
      <w:r w:rsidR="00AF21ED" w:rsidRPr="00A3654D">
        <w:rPr>
          <w:sz w:val="26"/>
          <w:szCs w:val="26"/>
          <w:lang w:val="lt-LT"/>
        </w:rPr>
        <w:t xml:space="preserve"> (toliau – COSO ERM) (2004)</w:t>
      </w:r>
      <w:r w:rsidR="00746AAA" w:rsidRPr="00A3654D">
        <w:rPr>
          <w:sz w:val="26"/>
          <w:szCs w:val="26"/>
          <w:lang w:val="lt-LT"/>
        </w:rPr>
        <w:t>, akcentuojant, jog tai</w:t>
      </w:r>
      <w:r w:rsidR="00613984" w:rsidRPr="00A3654D">
        <w:rPr>
          <w:sz w:val="26"/>
          <w:szCs w:val="26"/>
          <w:lang w:val="lt-LT"/>
        </w:rPr>
        <w:t xml:space="preserve"> </w:t>
      </w:r>
      <w:r w:rsidR="00746AAA" w:rsidRPr="00A3654D">
        <w:rPr>
          <w:sz w:val="26"/>
          <w:szCs w:val="26"/>
          <w:lang w:val="lt-LT"/>
        </w:rPr>
        <w:t>„</w:t>
      </w:r>
      <w:r w:rsidR="00613984" w:rsidRPr="00A3654D">
        <w:rPr>
          <w:i/>
          <w:sz w:val="26"/>
          <w:szCs w:val="26"/>
          <w:lang w:val="lt-LT"/>
        </w:rPr>
        <w:t>procesas</w:t>
      </w:r>
      <w:r w:rsidR="00613984" w:rsidRPr="00A3654D">
        <w:rPr>
          <w:sz w:val="26"/>
          <w:szCs w:val="26"/>
          <w:lang w:val="lt-LT"/>
        </w:rPr>
        <w:t>, veikiamas įmonės direktorių tarybos, vadovybės ir kitų darbuotojų</w:t>
      </w:r>
      <w:r w:rsidR="00774ACB" w:rsidRPr="00A3654D">
        <w:rPr>
          <w:sz w:val="26"/>
          <w:szCs w:val="26"/>
          <w:lang w:val="lt-LT"/>
        </w:rPr>
        <w:t xml:space="preserve">, taikomas nustatant strategiją ir </w:t>
      </w:r>
      <w:r w:rsidR="00F008E8" w:rsidRPr="00A3654D">
        <w:rPr>
          <w:sz w:val="26"/>
          <w:szCs w:val="26"/>
          <w:lang w:val="lt-LT"/>
        </w:rPr>
        <w:t xml:space="preserve">visoje </w:t>
      </w:r>
      <w:r w:rsidR="00960E80" w:rsidRPr="00A3654D">
        <w:rPr>
          <w:sz w:val="26"/>
          <w:szCs w:val="26"/>
          <w:lang w:val="lt-LT"/>
        </w:rPr>
        <w:t xml:space="preserve">įmonės veikloje, </w:t>
      </w:r>
      <w:r w:rsidR="00960E80" w:rsidRPr="00A3654D">
        <w:rPr>
          <w:i/>
          <w:sz w:val="26"/>
          <w:szCs w:val="26"/>
          <w:lang w:val="lt-LT"/>
        </w:rPr>
        <w:t>skirtas nustatyti galimus įvykius</w:t>
      </w:r>
      <w:r w:rsidR="00960E80" w:rsidRPr="00A3654D">
        <w:rPr>
          <w:sz w:val="26"/>
          <w:szCs w:val="26"/>
          <w:lang w:val="lt-LT"/>
        </w:rPr>
        <w:t>, kurie galėtų paveikti įmonę</w:t>
      </w:r>
      <w:r w:rsidR="00960E80" w:rsidRPr="00A3654D">
        <w:rPr>
          <w:i/>
          <w:sz w:val="26"/>
          <w:szCs w:val="26"/>
          <w:lang w:val="lt-LT"/>
        </w:rPr>
        <w:t>, ir valdyti riziką</w:t>
      </w:r>
      <w:r w:rsidR="00960E80" w:rsidRPr="00A3654D">
        <w:rPr>
          <w:sz w:val="26"/>
          <w:szCs w:val="26"/>
          <w:lang w:val="lt-LT"/>
        </w:rPr>
        <w:t xml:space="preserve">, kad ši būtų </w:t>
      </w:r>
      <w:r w:rsidR="00DF1FC8" w:rsidRPr="00A3654D">
        <w:rPr>
          <w:sz w:val="26"/>
          <w:szCs w:val="26"/>
          <w:lang w:val="lt-LT"/>
        </w:rPr>
        <w:t>priimtina, bei</w:t>
      </w:r>
      <w:r w:rsidR="00960E80" w:rsidRPr="00A3654D">
        <w:rPr>
          <w:i/>
          <w:sz w:val="26"/>
          <w:szCs w:val="26"/>
          <w:lang w:val="lt-LT"/>
        </w:rPr>
        <w:t xml:space="preserve"> </w:t>
      </w:r>
      <w:r w:rsidR="00DF1FC8" w:rsidRPr="00A3654D">
        <w:rPr>
          <w:i/>
          <w:sz w:val="26"/>
          <w:szCs w:val="26"/>
          <w:lang w:val="lt-LT"/>
        </w:rPr>
        <w:t>teikia</w:t>
      </w:r>
      <w:r w:rsidR="003F3A7D" w:rsidRPr="00A3654D">
        <w:rPr>
          <w:i/>
          <w:sz w:val="26"/>
          <w:szCs w:val="26"/>
          <w:lang w:val="lt-LT"/>
        </w:rPr>
        <w:t>ntis</w:t>
      </w:r>
      <w:r w:rsidR="00DF1FC8" w:rsidRPr="00A3654D">
        <w:rPr>
          <w:i/>
          <w:sz w:val="26"/>
          <w:szCs w:val="26"/>
          <w:lang w:val="lt-LT"/>
        </w:rPr>
        <w:t xml:space="preserve"> pakankamą užtikrinimą dėl įmonės tikslų</w:t>
      </w:r>
      <w:r w:rsidR="00774ACB" w:rsidRPr="00A3654D">
        <w:rPr>
          <w:i/>
          <w:sz w:val="26"/>
          <w:szCs w:val="26"/>
          <w:lang w:val="lt-LT"/>
        </w:rPr>
        <w:t xml:space="preserve"> </w:t>
      </w:r>
      <w:r w:rsidR="00DF1FC8" w:rsidRPr="00A3654D">
        <w:rPr>
          <w:i/>
          <w:sz w:val="26"/>
          <w:szCs w:val="26"/>
          <w:lang w:val="lt-LT"/>
        </w:rPr>
        <w:t>pasiekimo</w:t>
      </w:r>
      <w:r w:rsidR="00746AAA" w:rsidRPr="00A3654D">
        <w:rPr>
          <w:i/>
          <w:sz w:val="26"/>
          <w:szCs w:val="26"/>
          <w:lang w:val="lt-LT"/>
        </w:rPr>
        <w:t>“</w:t>
      </w:r>
      <w:r w:rsidR="00774ACB" w:rsidRPr="00A3654D">
        <w:rPr>
          <w:sz w:val="26"/>
          <w:szCs w:val="26"/>
          <w:lang w:val="lt-LT"/>
        </w:rPr>
        <w:t>.</w:t>
      </w:r>
      <w:r w:rsidR="00144729" w:rsidRPr="00A3654D">
        <w:rPr>
          <w:sz w:val="26"/>
          <w:szCs w:val="26"/>
          <w:lang w:val="lt-LT"/>
        </w:rPr>
        <w:t xml:space="preserve"> </w:t>
      </w:r>
      <w:r w:rsidR="00385A8A" w:rsidRPr="00A3654D">
        <w:rPr>
          <w:sz w:val="26"/>
          <w:szCs w:val="26"/>
          <w:lang w:val="lt-LT"/>
        </w:rPr>
        <w:t>A.</w:t>
      </w:r>
      <w:r w:rsidR="003D762E" w:rsidRPr="00A3654D">
        <w:rPr>
          <w:sz w:val="26"/>
          <w:szCs w:val="26"/>
          <w:lang w:val="lt-LT"/>
        </w:rPr>
        <w:t xml:space="preserve"> </w:t>
      </w:r>
      <w:r w:rsidR="00385A8A" w:rsidRPr="00A3654D">
        <w:rPr>
          <w:sz w:val="26"/>
          <w:szCs w:val="26"/>
          <w:lang w:val="lt-LT"/>
        </w:rPr>
        <w:t>Waring ir A.</w:t>
      </w:r>
      <w:r w:rsidR="003D762E" w:rsidRPr="00A3654D">
        <w:rPr>
          <w:sz w:val="26"/>
          <w:szCs w:val="26"/>
          <w:lang w:val="lt-LT"/>
        </w:rPr>
        <w:t xml:space="preserve"> </w:t>
      </w:r>
      <w:r w:rsidR="00385A8A" w:rsidRPr="00A3654D">
        <w:rPr>
          <w:sz w:val="26"/>
          <w:szCs w:val="26"/>
          <w:lang w:val="lt-LT"/>
        </w:rPr>
        <w:t>I.</w:t>
      </w:r>
      <w:r w:rsidR="003D762E" w:rsidRPr="00A3654D">
        <w:rPr>
          <w:sz w:val="26"/>
          <w:szCs w:val="26"/>
          <w:lang w:val="lt-LT"/>
        </w:rPr>
        <w:t xml:space="preserve"> </w:t>
      </w:r>
      <w:r w:rsidR="00385A8A" w:rsidRPr="00A3654D">
        <w:rPr>
          <w:sz w:val="26"/>
          <w:szCs w:val="26"/>
          <w:lang w:val="lt-LT"/>
        </w:rPr>
        <w:t>Glendon (2002) pabrėžia, kad numatant rizikos valdym</w:t>
      </w:r>
      <w:r w:rsidR="00BD6899" w:rsidRPr="00A3654D">
        <w:rPr>
          <w:sz w:val="26"/>
          <w:szCs w:val="26"/>
          <w:lang w:val="lt-LT"/>
        </w:rPr>
        <w:t>ą</w:t>
      </w:r>
      <w:r w:rsidR="00385A8A" w:rsidRPr="00A3654D">
        <w:rPr>
          <w:sz w:val="26"/>
          <w:szCs w:val="26"/>
          <w:lang w:val="lt-LT"/>
        </w:rPr>
        <w:t xml:space="preserve"> reikia svarstyti keturi</w:t>
      </w:r>
      <w:r w:rsidR="0057748B" w:rsidRPr="00A3654D">
        <w:rPr>
          <w:sz w:val="26"/>
          <w:szCs w:val="26"/>
          <w:lang w:val="lt-LT"/>
        </w:rPr>
        <w:t>a</w:t>
      </w:r>
      <w:r w:rsidR="00385A8A" w:rsidRPr="00A3654D">
        <w:rPr>
          <w:sz w:val="26"/>
          <w:szCs w:val="26"/>
          <w:lang w:val="lt-LT"/>
        </w:rPr>
        <w:t>s pagrindin</w:t>
      </w:r>
      <w:r w:rsidR="0057748B" w:rsidRPr="00A3654D">
        <w:rPr>
          <w:sz w:val="26"/>
          <w:szCs w:val="26"/>
          <w:lang w:val="lt-LT"/>
        </w:rPr>
        <w:t xml:space="preserve">es </w:t>
      </w:r>
      <w:r w:rsidR="008542C8" w:rsidRPr="00A3654D">
        <w:rPr>
          <w:sz w:val="26"/>
          <w:szCs w:val="26"/>
          <w:lang w:val="lt-LT"/>
        </w:rPr>
        <w:t>dimensijas</w:t>
      </w:r>
      <w:r w:rsidR="00385A8A" w:rsidRPr="00A3654D">
        <w:rPr>
          <w:sz w:val="26"/>
          <w:szCs w:val="26"/>
          <w:lang w:val="lt-LT"/>
        </w:rPr>
        <w:t>:</w:t>
      </w:r>
      <w:r w:rsidR="00F93493" w:rsidRPr="00A3654D">
        <w:rPr>
          <w:sz w:val="26"/>
          <w:szCs w:val="26"/>
          <w:lang w:val="lt-LT"/>
        </w:rPr>
        <w:t xml:space="preserve"> 1) </w:t>
      </w:r>
      <w:r w:rsidR="005879DD" w:rsidRPr="00A3654D">
        <w:rPr>
          <w:i/>
          <w:sz w:val="26"/>
          <w:szCs w:val="26"/>
          <w:lang w:val="lt-LT"/>
        </w:rPr>
        <w:t>pavojus</w:t>
      </w:r>
      <w:r w:rsidR="00385A8A" w:rsidRPr="00A3654D">
        <w:rPr>
          <w:i/>
          <w:sz w:val="26"/>
          <w:szCs w:val="26"/>
          <w:lang w:val="lt-LT"/>
        </w:rPr>
        <w:t xml:space="preserve"> ir grėsmes</w:t>
      </w:r>
      <w:r w:rsidR="00404733" w:rsidRPr="00A3654D">
        <w:rPr>
          <w:i/>
          <w:sz w:val="26"/>
          <w:szCs w:val="26"/>
          <w:lang w:val="lt-LT"/>
        </w:rPr>
        <w:t xml:space="preserve"> </w:t>
      </w:r>
      <w:r w:rsidR="00404733" w:rsidRPr="00A3654D">
        <w:rPr>
          <w:sz w:val="26"/>
          <w:szCs w:val="26"/>
          <w:lang w:val="lt-LT"/>
        </w:rPr>
        <w:t xml:space="preserve">– </w:t>
      </w:r>
      <w:r w:rsidR="00385A8A" w:rsidRPr="00A3654D">
        <w:rPr>
          <w:sz w:val="26"/>
          <w:szCs w:val="26"/>
          <w:lang w:val="lt-LT"/>
        </w:rPr>
        <w:t>rizikos valdymo objektus</w:t>
      </w:r>
      <w:r w:rsidR="00D51E84" w:rsidRPr="00A3654D">
        <w:rPr>
          <w:sz w:val="26"/>
          <w:szCs w:val="26"/>
          <w:lang w:val="lt-LT"/>
        </w:rPr>
        <w:t>, kuri</w:t>
      </w:r>
      <w:r w:rsidR="005879DD" w:rsidRPr="00A3654D">
        <w:rPr>
          <w:sz w:val="26"/>
          <w:szCs w:val="26"/>
          <w:lang w:val="lt-LT"/>
        </w:rPr>
        <w:t>e</w:t>
      </w:r>
      <w:r w:rsidR="00D51E84" w:rsidRPr="00A3654D">
        <w:rPr>
          <w:sz w:val="26"/>
          <w:szCs w:val="26"/>
          <w:lang w:val="lt-LT"/>
        </w:rPr>
        <w:t xml:space="preserve"> gali padaryti žalos</w:t>
      </w:r>
      <w:r w:rsidR="005860C4" w:rsidRPr="00A3654D">
        <w:rPr>
          <w:sz w:val="26"/>
          <w:szCs w:val="26"/>
          <w:lang w:val="lt-LT"/>
        </w:rPr>
        <w:t xml:space="preserve">. </w:t>
      </w:r>
      <w:r w:rsidR="001227C4" w:rsidRPr="00A3654D">
        <w:rPr>
          <w:sz w:val="26"/>
          <w:szCs w:val="26"/>
          <w:lang w:val="lt-LT"/>
        </w:rPr>
        <w:t>Atsižvelgiant į galimą rezultatą (rizikos įvykį) s</w:t>
      </w:r>
      <w:r w:rsidR="005860C4" w:rsidRPr="00A3654D">
        <w:rPr>
          <w:sz w:val="26"/>
          <w:szCs w:val="26"/>
          <w:lang w:val="lt-LT"/>
        </w:rPr>
        <w:t>kiriam</w:t>
      </w:r>
      <w:r w:rsidR="003573B1" w:rsidRPr="00A3654D">
        <w:rPr>
          <w:sz w:val="26"/>
          <w:szCs w:val="26"/>
          <w:lang w:val="lt-LT"/>
        </w:rPr>
        <w:t>a</w:t>
      </w:r>
      <w:r w:rsidR="005860C4" w:rsidRPr="00A3654D">
        <w:rPr>
          <w:sz w:val="26"/>
          <w:szCs w:val="26"/>
          <w:lang w:val="lt-LT"/>
        </w:rPr>
        <w:t xml:space="preserve"> </w:t>
      </w:r>
      <w:r w:rsidR="007F0544" w:rsidRPr="00A3654D">
        <w:rPr>
          <w:sz w:val="26"/>
          <w:szCs w:val="26"/>
          <w:lang w:val="lt-LT"/>
        </w:rPr>
        <w:t>gryn</w:t>
      </w:r>
      <w:r w:rsidR="003573B1" w:rsidRPr="00A3654D">
        <w:rPr>
          <w:sz w:val="26"/>
          <w:szCs w:val="26"/>
          <w:lang w:val="lt-LT"/>
        </w:rPr>
        <w:t xml:space="preserve">oji rizika (galimybė gauti neigiamą arba nulinį rezultatą – </w:t>
      </w:r>
      <w:r w:rsidR="00DF1B0E" w:rsidRPr="00A3654D">
        <w:rPr>
          <w:sz w:val="26"/>
          <w:szCs w:val="26"/>
          <w:lang w:val="lt-LT"/>
        </w:rPr>
        <w:t xml:space="preserve">gamtinė, politinė ir </w:t>
      </w:r>
      <w:r w:rsidR="00605A31" w:rsidRPr="00A3654D">
        <w:rPr>
          <w:sz w:val="26"/>
          <w:szCs w:val="26"/>
          <w:lang w:val="lt-LT"/>
        </w:rPr>
        <w:t>kt. rizika</w:t>
      </w:r>
      <w:r w:rsidR="003573B1" w:rsidRPr="00A3654D">
        <w:rPr>
          <w:sz w:val="26"/>
          <w:szCs w:val="26"/>
          <w:lang w:val="lt-LT"/>
        </w:rPr>
        <w:t xml:space="preserve">) </w:t>
      </w:r>
      <w:r w:rsidR="007F0544" w:rsidRPr="00A3654D">
        <w:rPr>
          <w:sz w:val="26"/>
          <w:szCs w:val="26"/>
          <w:lang w:val="lt-LT"/>
        </w:rPr>
        <w:t>ir spekuliatyvin</w:t>
      </w:r>
      <w:r w:rsidR="00DF1B0E" w:rsidRPr="00A3654D">
        <w:rPr>
          <w:sz w:val="26"/>
          <w:szCs w:val="26"/>
          <w:lang w:val="lt-LT"/>
        </w:rPr>
        <w:t>ė rizika (galimybė gauti tiek teigiamą, tiek neigiamą rezultatą – finansinė rizika)</w:t>
      </w:r>
      <w:r w:rsidR="00385A8A" w:rsidRPr="00A3654D">
        <w:rPr>
          <w:sz w:val="26"/>
          <w:szCs w:val="26"/>
          <w:lang w:val="lt-LT"/>
        </w:rPr>
        <w:t>;</w:t>
      </w:r>
      <w:r w:rsidR="00F93493" w:rsidRPr="00A3654D">
        <w:rPr>
          <w:sz w:val="26"/>
          <w:szCs w:val="26"/>
          <w:lang w:val="lt-LT"/>
        </w:rPr>
        <w:t xml:space="preserve"> 2) </w:t>
      </w:r>
      <w:r w:rsidR="00385A8A" w:rsidRPr="00A3654D">
        <w:rPr>
          <w:i/>
          <w:sz w:val="26"/>
          <w:szCs w:val="26"/>
          <w:lang w:val="lt-LT"/>
        </w:rPr>
        <w:t>rizikos a</w:t>
      </w:r>
      <w:r w:rsidR="007F0544" w:rsidRPr="00A3654D">
        <w:rPr>
          <w:i/>
          <w:sz w:val="26"/>
          <w:szCs w:val="26"/>
          <w:lang w:val="lt-LT"/>
        </w:rPr>
        <w:t>plinką</w:t>
      </w:r>
      <w:r w:rsidR="00094503" w:rsidRPr="00A3654D">
        <w:rPr>
          <w:i/>
          <w:sz w:val="26"/>
          <w:szCs w:val="26"/>
          <w:lang w:val="lt-LT"/>
        </w:rPr>
        <w:t>,</w:t>
      </w:r>
      <w:r w:rsidR="00094503" w:rsidRPr="00A3654D">
        <w:rPr>
          <w:sz w:val="26"/>
          <w:szCs w:val="26"/>
          <w:lang w:val="lt-LT"/>
        </w:rPr>
        <w:t xml:space="preserve"> kurioje rizika gali egzistuoti</w:t>
      </w:r>
      <w:r w:rsidR="00385A8A" w:rsidRPr="00A3654D">
        <w:rPr>
          <w:sz w:val="26"/>
          <w:szCs w:val="26"/>
          <w:lang w:val="lt-LT"/>
        </w:rPr>
        <w:t>;</w:t>
      </w:r>
      <w:r w:rsidR="00F93493" w:rsidRPr="00A3654D">
        <w:rPr>
          <w:sz w:val="26"/>
          <w:szCs w:val="26"/>
          <w:lang w:val="lt-LT"/>
        </w:rPr>
        <w:t xml:space="preserve"> 3) </w:t>
      </w:r>
      <w:r w:rsidR="00385A8A" w:rsidRPr="00A3654D">
        <w:rPr>
          <w:i/>
          <w:sz w:val="26"/>
          <w:szCs w:val="26"/>
          <w:lang w:val="lt-LT"/>
        </w:rPr>
        <w:t>rizikos valdymo tikslus</w:t>
      </w:r>
      <w:r w:rsidR="00404733" w:rsidRPr="00A3654D">
        <w:rPr>
          <w:sz w:val="26"/>
          <w:szCs w:val="26"/>
          <w:lang w:val="lt-LT"/>
        </w:rPr>
        <w:t>, t. y. panaikin</w:t>
      </w:r>
      <w:r w:rsidR="00422780" w:rsidRPr="00A3654D">
        <w:rPr>
          <w:sz w:val="26"/>
          <w:szCs w:val="26"/>
          <w:lang w:val="lt-LT"/>
        </w:rPr>
        <w:t>t</w:t>
      </w:r>
      <w:r w:rsidR="00404733" w:rsidRPr="00A3654D">
        <w:rPr>
          <w:sz w:val="26"/>
          <w:szCs w:val="26"/>
          <w:lang w:val="lt-LT"/>
        </w:rPr>
        <w:t xml:space="preserve">i, sumažinti ir </w:t>
      </w:r>
      <w:r w:rsidR="00404733" w:rsidRPr="00A3654D">
        <w:rPr>
          <w:sz w:val="26"/>
          <w:szCs w:val="26"/>
          <w:lang w:val="lt-LT"/>
        </w:rPr>
        <w:lastRenderedPageBreak/>
        <w:t>kontroliuoti grynąsias rizikas</w:t>
      </w:r>
      <w:r w:rsidR="00F93493" w:rsidRPr="00A3654D">
        <w:rPr>
          <w:sz w:val="26"/>
          <w:szCs w:val="26"/>
          <w:lang w:val="lt-LT"/>
        </w:rPr>
        <w:t xml:space="preserve"> ir/arba</w:t>
      </w:r>
      <w:r w:rsidR="002035F2" w:rsidRPr="00A3654D">
        <w:rPr>
          <w:sz w:val="26"/>
          <w:szCs w:val="26"/>
          <w:lang w:val="lt-LT"/>
        </w:rPr>
        <w:t xml:space="preserve"> padidinti naudingumą/</w:t>
      </w:r>
      <w:r w:rsidR="00404733" w:rsidRPr="00A3654D">
        <w:rPr>
          <w:sz w:val="26"/>
          <w:szCs w:val="26"/>
          <w:lang w:val="lt-LT"/>
        </w:rPr>
        <w:t>naudą i</w:t>
      </w:r>
      <w:r w:rsidR="00055AEC" w:rsidRPr="00A3654D">
        <w:rPr>
          <w:sz w:val="26"/>
          <w:szCs w:val="26"/>
          <w:lang w:val="lt-LT"/>
        </w:rPr>
        <w:t>r</w:t>
      </w:r>
      <w:r w:rsidR="00404733" w:rsidRPr="00A3654D">
        <w:rPr>
          <w:sz w:val="26"/>
          <w:szCs w:val="26"/>
          <w:lang w:val="lt-LT"/>
        </w:rPr>
        <w:t xml:space="preserve"> vengti nuostolių iš spekuliatyvinės rizikos</w:t>
      </w:r>
      <w:r w:rsidR="00385A8A" w:rsidRPr="00A3654D">
        <w:rPr>
          <w:sz w:val="26"/>
          <w:szCs w:val="26"/>
          <w:lang w:val="lt-LT"/>
        </w:rPr>
        <w:t>;</w:t>
      </w:r>
      <w:r w:rsidR="00F93493" w:rsidRPr="00A3654D">
        <w:rPr>
          <w:sz w:val="26"/>
          <w:szCs w:val="26"/>
          <w:lang w:val="lt-LT"/>
        </w:rPr>
        <w:t xml:space="preserve"> 4) </w:t>
      </w:r>
      <w:r w:rsidR="00385A8A" w:rsidRPr="00A3654D">
        <w:rPr>
          <w:i/>
          <w:sz w:val="26"/>
          <w:szCs w:val="26"/>
          <w:lang w:val="lt-LT"/>
        </w:rPr>
        <w:t>rizikos valdymo metodus</w:t>
      </w:r>
      <w:r w:rsidR="00055AEC" w:rsidRPr="00A3654D">
        <w:rPr>
          <w:sz w:val="26"/>
          <w:szCs w:val="26"/>
          <w:lang w:val="lt-LT"/>
        </w:rPr>
        <w:t>, kurie apima</w:t>
      </w:r>
      <w:r w:rsidR="00422780" w:rsidRPr="00A3654D">
        <w:rPr>
          <w:sz w:val="26"/>
          <w:szCs w:val="26"/>
          <w:lang w:val="lt-LT"/>
        </w:rPr>
        <w:t xml:space="preserve"> valdymo sistemos modelį ir rizikos valdymo procesą</w:t>
      </w:r>
      <w:r w:rsidR="00F00093" w:rsidRPr="00A3654D">
        <w:rPr>
          <w:sz w:val="26"/>
          <w:szCs w:val="26"/>
          <w:lang w:val="lt-LT"/>
        </w:rPr>
        <w:t>.</w:t>
      </w:r>
      <w:bookmarkStart w:id="12" w:name="_Toc133199980"/>
      <w:bookmarkStart w:id="13" w:name="_Toc133200108"/>
      <w:bookmarkStart w:id="14" w:name="_Toc133199981"/>
      <w:bookmarkStart w:id="15" w:name="_Toc133200109"/>
      <w:r w:rsidR="00CE6550" w:rsidRPr="00A3654D">
        <w:rPr>
          <w:sz w:val="26"/>
          <w:szCs w:val="26"/>
          <w:lang w:val="lt-LT"/>
        </w:rPr>
        <w:t xml:space="preserve"> </w:t>
      </w:r>
      <w:r w:rsidRPr="00A3654D">
        <w:rPr>
          <w:sz w:val="26"/>
          <w:szCs w:val="26"/>
          <w:lang w:val="lt-LT"/>
        </w:rPr>
        <w:t>A</w:t>
      </w:r>
      <w:r w:rsidR="00C3118B" w:rsidRPr="00A3654D">
        <w:rPr>
          <w:sz w:val="26"/>
          <w:szCs w:val="26"/>
          <w:lang w:val="lt-LT"/>
        </w:rPr>
        <w:t>p</w:t>
      </w:r>
      <w:r w:rsidR="00086C70" w:rsidRPr="00A3654D">
        <w:rPr>
          <w:sz w:val="26"/>
          <w:szCs w:val="26"/>
          <w:lang w:val="lt-LT"/>
        </w:rPr>
        <w:t>ibendrin</w:t>
      </w:r>
      <w:r w:rsidR="00C3118B" w:rsidRPr="00A3654D">
        <w:rPr>
          <w:sz w:val="26"/>
          <w:szCs w:val="26"/>
          <w:lang w:val="lt-LT"/>
        </w:rPr>
        <w:t>ant A.</w:t>
      </w:r>
      <w:r w:rsidR="00A3654D">
        <w:rPr>
          <w:sz w:val="26"/>
          <w:szCs w:val="26"/>
          <w:lang w:val="lt-LT"/>
        </w:rPr>
        <w:t> </w:t>
      </w:r>
      <w:r w:rsidR="00C3118B" w:rsidRPr="00A3654D">
        <w:rPr>
          <w:sz w:val="26"/>
          <w:szCs w:val="26"/>
          <w:lang w:val="lt-LT"/>
        </w:rPr>
        <w:t>Waring ir A. I. Glendon (2002)</w:t>
      </w:r>
      <w:r w:rsidR="008D29B1" w:rsidRPr="00A3654D">
        <w:rPr>
          <w:sz w:val="26"/>
          <w:szCs w:val="26"/>
          <w:lang w:val="lt-LT"/>
        </w:rPr>
        <w:t xml:space="preserve"> </w:t>
      </w:r>
      <w:r w:rsidR="00C3118B" w:rsidRPr="00A3654D">
        <w:rPr>
          <w:sz w:val="26"/>
          <w:szCs w:val="26"/>
          <w:lang w:val="lt-LT"/>
        </w:rPr>
        <w:t xml:space="preserve">ir </w:t>
      </w:r>
      <w:r w:rsidR="002035F2" w:rsidRPr="00A3654D">
        <w:rPr>
          <w:sz w:val="26"/>
          <w:szCs w:val="26"/>
          <w:lang w:val="lt-LT"/>
        </w:rPr>
        <w:t xml:space="preserve">kituose </w:t>
      </w:r>
      <w:r w:rsidR="00086C70" w:rsidRPr="00A3654D">
        <w:rPr>
          <w:sz w:val="26"/>
          <w:szCs w:val="26"/>
          <w:lang w:val="lt-LT"/>
        </w:rPr>
        <w:t>mokslo darbuose (Urniežius,2001; Liučvaitis, 2003; Čepinskis, Raškinis, 2004; Vaughan, 1997; Chapman, 200</w:t>
      </w:r>
      <w:r w:rsidR="003447BC" w:rsidRPr="00A3654D">
        <w:rPr>
          <w:sz w:val="26"/>
          <w:szCs w:val="26"/>
          <w:lang w:val="lt-LT"/>
        </w:rPr>
        <w:t>6</w:t>
      </w:r>
      <w:r w:rsidR="00086C70" w:rsidRPr="00A3654D">
        <w:rPr>
          <w:sz w:val="26"/>
          <w:szCs w:val="26"/>
          <w:lang w:val="lt-LT"/>
        </w:rPr>
        <w:t xml:space="preserve">; Moeller, 2007 ir kt.) pateikiamas nuomones apie rizikos valdymo procesą galima būtų išskirti tokias svarbiausias šio proceso ypatybes: 1) tai nėra pasyvus nusiteikimas rizikuoti; 2) tai </w:t>
      </w:r>
      <w:r w:rsidR="006828DF" w:rsidRPr="00A3654D">
        <w:rPr>
          <w:sz w:val="26"/>
          <w:szCs w:val="26"/>
          <w:lang w:val="lt-LT"/>
        </w:rPr>
        <w:t xml:space="preserve">įmonės </w:t>
      </w:r>
      <w:r w:rsidR="00086C70" w:rsidRPr="00A3654D">
        <w:rPr>
          <w:sz w:val="26"/>
          <w:szCs w:val="26"/>
          <w:lang w:val="lt-LT"/>
        </w:rPr>
        <w:t>metodų ir priemonių visuma; 3)</w:t>
      </w:r>
      <w:r w:rsidR="00041860">
        <w:rPr>
          <w:sz w:val="26"/>
          <w:szCs w:val="26"/>
          <w:lang w:val="lt-LT"/>
        </w:rPr>
        <w:t> </w:t>
      </w:r>
      <w:r w:rsidR="002C479D" w:rsidRPr="00A3654D">
        <w:rPr>
          <w:sz w:val="26"/>
          <w:szCs w:val="26"/>
          <w:lang w:val="lt-LT"/>
        </w:rPr>
        <w:t xml:space="preserve">taikomas nustatant įmonės strategiją; 4) </w:t>
      </w:r>
      <w:r w:rsidR="00086C70" w:rsidRPr="00A3654D">
        <w:rPr>
          <w:sz w:val="26"/>
          <w:szCs w:val="26"/>
          <w:lang w:val="lt-LT"/>
        </w:rPr>
        <w:t xml:space="preserve">juo siekiama </w:t>
      </w:r>
      <w:r w:rsidR="006828DF" w:rsidRPr="00A3654D">
        <w:rPr>
          <w:sz w:val="26"/>
          <w:szCs w:val="26"/>
          <w:lang w:val="lt-LT"/>
        </w:rPr>
        <w:t xml:space="preserve">identifikuoti galimus </w:t>
      </w:r>
      <w:r w:rsidR="00B234D2" w:rsidRPr="00A3654D">
        <w:rPr>
          <w:sz w:val="26"/>
          <w:szCs w:val="26"/>
          <w:lang w:val="lt-LT"/>
        </w:rPr>
        <w:t xml:space="preserve">įvykius, kurie galėtų paveikti įmonę, ir valdyti </w:t>
      </w:r>
      <w:r w:rsidR="00086C70" w:rsidRPr="00A3654D">
        <w:rPr>
          <w:sz w:val="26"/>
          <w:szCs w:val="26"/>
          <w:lang w:val="lt-LT"/>
        </w:rPr>
        <w:t>rizikas</w:t>
      </w:r>
      <w:r w:rsidR="00B234D2" w:rsidRPr="00A3654D">
        <w:rPr>
          <w:sz w:val="26"/>
          <w:szCs w:val="26"/>
          <w:lang w:val="lt-LT"/>
        </w:rPr>
        <w:t>, atsižvelgiant į įmonės polinkį rizikuoti</w:t>
      </w:r>
      <w:r w:rsidR="00086C70" w:rsidRPr="00A3654D">
        <w:rPr>
          <w:sz w:val="26"/>
          <w:szCs w:val="26"/>
          <w:lang w:val="lt-LT"/>
        </w:rPr>
        <w:t xml:space="preserve">; </w:t>
      </w:r>
      <w:r w:rsidR="00FB7351" w:rsidRPr="00A3654D">
        <w:rPr>
          <w:sz w:val="26"/>
          <w:szCs w:val="26"/>
          <w:lang w:val="lt-LT"/>
        </w:rPr>
        <w:t>5</w:t>
      </w:r>
      <w:r w:rsidR="00086C70" w:rsidRPr="00A3654D">
        <w:rPr>
          <w:sz w:val="26"/>
          <w:szCs w:val="26"/>
          <w:lang w:val="lt-LT"/>
        </w:rPr>
        <w:t xml:space="preserve">) </w:t>
      </w:r>
      <w:r w:rsidR="008D29B1" w:rsidRPr="00A3654D">
        <w:rPr>
          <w:sz w:val="26"/>
          <w:szCs w:val="26"/>
          <w:lang w:val="lt-LT"/>
        </w:rPr>
        <w:t xml:space="preserve">jo </w:t>
      </w:r>
      <w:r w:rsidR="00086C70" w:rsidRPr="00A3654D">
        <w:rPr>
          <w:sz w:val="26"/>
          <w:szCs w:val="26"/>
          <w:lang w:val="lt-LT"/>
        </w:rPr>
        <w:t xml:space="preserve">tikslas aktyviai veikti ateitį ir gauti minimalų nukrypimą nuo laukiamų rezultatų, ar apsidrausti nuo to, kad bus suardyti ateities planai; </w:t>
      </w:r>
      <w:r w:rsidR="00FB7351" w:rsidRPr="00A3654D">
        <w:rPr>
          <w:sz w:val="26"/>
          <w:szCs w:val="26"/>
          <w:lang w:val="lt-LT"/>
        </w:rPr>
        <w:t>6</w:t>
      </w:r>
      <w:r w:rsidR="00086C70" w:rsidRPr="00A3654D">
        <w:rPr>
          <w:sz w:val="26"/>
          <w:szCs w:val="26"/>
          <w:lang w:val="lt-LT"/>
        </w:rPr>
        <w:t xml:space="preserve">) </w:t>
      </w:r>
      <w:r w:rsidR="006828DF" w:rsidRPr="00A3654D">
        <w:rPr>
          <w:sz w:val="26"/>
          <w:szCs w:val="26"/>
          <w:lang w:val="lt-LT"/>
        </w:rPr>
        <w:t xml:space="preserve">vykdomas visų įmonės lygių darbuotojų; </w:t>
      </w:r>
      <w:r w:rsidR="00FB7351" w:rsidRPr="00A3654D">
        <w:rPr>
          <w:sz w:val="26"/>
          <w:szCs w:val="26"/>
          <w:lang w:val="lt-LT"/>
        </w:rPr>
        <w:t>7</w:t>
      </w:r>
      <w:r w:rsidR="006828DF" w:rsidRPr="00A3654D">
        <w:rPr>
          <w:sz w:val="26"/>
          <w:szCs w:val="26"/>
          <w:lang w:val="lt-LT"/>
        </w:rPr>
        <w:t xml:space="preserve">) </w:t>
      </w:r>
      <w:r w:rsidR="00086C70" w:rsidRPr="00A3654D">
        <w:rPr>
          <w:sz w:val="26"/>
          <w:szCs w:val="26"/>
          <w:lang w:val="lt-LT"/>
        </w:rPr>
        <w:t>nuolatinis</w:t>
      </w:r>
      <w:r w:rsidR="008A79F6" w:rsidRPr="00A3654D">
        <w:rPr>
          <w:sz w:val="26"/>
          <w:szCs w:val="26"/>
          <w:lang w:val="lt-LT"/>
        </w:rPr>
        <w:t>, iteratyvus</w:t>
      </w:r>
      <w:r w:rsidR="00086C70" w:rsidRPr="00A3654D">
        <w:rPr>
          <w:sz w:val="26"/>
          <w:szCs w:val="26"/>
          <w:lang w:val="lt-LT"/>
        </w:rPr>
        <w:t xml:space="preserve"> ir besivystantis procesas; </w:t>
      </w:r>
      <w:r w:rsidR="00FB7351" w:rsidRPr="00A3654D">
        <w:rPr>
          <w:sz w:val="26"/>
          <w:szCs w:val="26"/>
          <w:lang w:val="lt-LT"/>
        </w:rPr>
        <w:t>8</w:t>
      </w:r>
      <w:r w:rsidR="00086C70" w:rsidRPr="00A3654D">
        <w:rPr>
          <w:sz w:val="26"/>
          <w:szCs w:val="26"/>
          <w:lang w:val="lt-LT"/>
        </w:rPr>
        <w:t>) būdingi nuoseklūs etapai</w:t>
      </w:r>
      <w:r w:rsidR="008A79F6" w:rsidRPr="00A3654D">
        <w:rPr>
          <w:sz w:val="26"/>
          <w:szCs w:val="26"/>
          <w:lang w:val="lt-LT"/>
        </w:rPr>
        <w:t>, kurie savo ruožtu vienas kit</w:t>
      </w:r>
      <w:r w:rsidR="00D07272" w:rsidRPr="00A3654D">
        <w:rPr>
          <w:sz w:val="26"/>
          <w:szCs w:val="26"/>
          <w:lang w:val="lt-LT"/>
        </w:rPr>
        <w:t>ą papildo ir veikia</w:t>
      </w:r>
      <w:r w:rsidR="00086C70" w:rsidRPr="00A3654D">
        <w:rPr>
          <w:sz w:val="26"/>
          <w:szCs w:val="26"/>
          <w:lang w:val="lt-LT"/>
        </w:rPr>
        <w:t>.</w:t>
      </w:r>
      <w:r w:rsidR="00AF3BA9" w:rsidRPr="00A3654D">
        <w:rPr>
          <w:sz w:val="26"/>
          <w:szCs w:val="26"/>
          <w:lang w:val="lt-LT"/>
        </w:rPr>
        <w:t xml:space="preserve"> </w:t>
      </w:r>
      <w:r w:rsidR="009C697A" w:rsidRPr="00A3654D">
        <w:rPr>
          <w:sz w:val="26"/>
          <w:szCs w:val="26"/>
          <w:lang w:val="lt-LT"/>
        </w:rPr>
        <w:t>S</w:t>
      </w:r>
      <w:r w:rsidR="00AF3BA9" w:rsidRPr="00A3654D">
        <w:rPr>
          <w:sz w:val="26"/>
          <w:szCs w:val="26"/>
          <w:lang w:val="lt-LT"/>
        </w:rPr>
        <w:t>iek</w:t>
      </w:r>
      <w:r w:rsidR="00220E64" w:rsidRPr="00A3654D">
        <w:rPr>
          <w:sz w:val="26"/>
          <w:szCs w:val="26"/>
          <w:lang w:val="lt-LT"/>
        </w:rPr>
        <w:t>iant</w:t>
      </w:r>
      <w:r w:rsidR="00AF3BA9" w:rsidRPr="00A3654D">
        <w:rPr>
          <w:sz w:val="26"/>
          <w:szCs w:val="26"/>
          <w:lang w:val="lt-LT"/>
        </w:rPr>
        <w:t xml:space="preserve"> </w:t>
      </w:r>
      <w:r w:rsidR="009C697A" w:rsidRPr="00A3654D">
        <w:rPr>
          <w:sz w:val="26"/>
          <w:szCs w:val="26"/>
          <w:lang w:val="lt-LT"/>
        </w:rPr>
        <w:t>iš</w:t>
      </w:r>
      <w:r w:rsidR="003D315B">
        <w:rPr>
          <w:sz w:val="26"/>
          <w:szCs w:val="26"/>
          <w:lang w:val="lt-LT"/>
        </w:rPr>
        <w:t>tirti</w:t>
      </w:r>
      <w:r w:rsidR="009C697A" w:rsidRPr="00A3654D">
        <w:rPr>
          <w:sz w:val="26"/>
          <w:szCs w:val="26"/>
          <w:lang w:val="lt-LT"/>
        </w:rPr>
        <w:t xml:space="preserve"> </w:t>
      </w:r>
      <w:r w:rsidR="00AF3BA9" w:rsidRPr="00A3654D">
        <w:rPr>
          <w:sz w:val="26"/>
          <w:szCs w:val="26"/>
          <w:lang w:val="lt-LT"/>
        </w:rPr>
        <w:t>rizikos vertinim</w:t>
      </w:r>
      <w:r w:rsidR="00D0337C" w:rsidRPr="00A3654D">
        <w:rPr>
          <w:sz w:val="26"/>
          <w:szCs w:val="26"/>
          <w:lang w:val="lt-LT"/>
        </w:rPr>
        <w:t xml:space="preserve">o </w:t>
      </w:r>
      <w:r w:rsidRPr="00A3654D">
        <w:rPr>
          <w:sz w:val="26"/>
          <w:szCs w:val="26"/>
          <w:lang w:val="lt-LT"/>
        </w:rPr>
        <w:t xml:space="preserve">svarbą įmonės </w:t>
      </w:r>
      <w:r w:rsidR="00AF3BA9" w:rsidRPr="00A3654D">
        <w:rPr>
          <w:sz w:val="26"/>
          <w:szCs w:val="26"/>
          <w:lang w:val="lt-LT"/>
        </w:rPr>
        <w:t>rizikos valdymo proces</w:t>
      </w:r>
      <w:r w:rsidR="00D0337C" w:rsidRPr="00A3654D">
        <w:rPr>
          <w:sz w:val="26"/>
          <w:szCs w:val="26"/>
          <w:lang w:val="lt-LT"/>
        </w:rPr>
        <w:t>e</w:t>
      </w:r>
      <w:r w:rsidR="00AF3BA9" w:rsidRPr="00A3654D">
        <w:rPr>
          <w:sz w:val="26"/>
          <w:szCs w:val="26"/>
          <w:lang w:val="lt-LT"/>
        </w:rPr>
        <w:t xml:space="preserve">, </w:t>
      </w:r>
      <w:r w:rsidR="00AE7ABB" w:rsidRPr="00A3654D">
        <w:rPr>
          <w:sz w:val="26"/>
          <w:szCs w:val="26"/>
          <w:lang w:val="lt-LT"/>
        </w:rPr>
        <w:t xml:space="preserve">būtina išskirti </w:t>
      </w:r>
      <w:r w:rsidR="00FB7351" w:rsidRPr="00A3654D">
        <w:rPr>
          <w:sz w:val="26"/>
          <w:szCs w:val="26"/>
          <w:lang w:val="lt-LT"/>
        </w:rPr>
        <w:t xml:space="preserve">ir aptarti </w:t>
      </w:r>
      <w:r w:rsidR="00AE7ABB" w:rsidRPr="00A3654D">
        <w:rPr>
          <w:sz w:val="26"/>
          <w:szCs w:val="26"/>
          <w:lang w:val="lt-LT"/>
        </w:rPr>
        <w:t xml:space="preserve">pagrindinius </w:t>
      </w:r>
      <w:r w:rsidR="00163BF0" w:rsidRPr="00A3654D">
        <w:rPr>
          <w:sz w:val="26"/>
          <w:szCs w:val="26"/>
          <w:lang w:val="lt-LT"/>
        </w:rPr>
        <w:t xml:space="preserve">įmonės </w:t>
      </w:r>
      <w:r w:rsidR="00AF3BA9" w:rsidRPr="00A3654D">
        <w:rPr>
          <w:sz w:val="26"/>
          <w:szCs w:val="26"/>
          <w:lang w:val="lt-LT"/>
        </w:rPr>
        <w:t xml:space="preserve">rizikos valdymo proceso etapus. </w:t>
      </w:r>
    </w:p>
    <w:bookmarkEnd w:id="12"/>
    <w:bookmarkEnd w:id="13"/>
    <w:p w:rsidR="003F6CFF" w:rsidRDefault="00261509" w:rsidP="0068736D">
      <w:pPr>
        <w:pStyle w:val="NormalWeb"/>
        <w:spacing w:before="0" w:beforeAutospacing="0" w:after="0" w:afterAutospacing="0" w:line="360" w:lineRule="auto"/>
        <w:ind w:firstLine="720"/>
        <w:jc w:val="both"/>
        <w:rPr>
          <w:sz w:val="26"/>
          <w:szCs w:val="26"/>
          <w:lang w:val="lt-LT"/>
        </w:rPr>
      </w:pPr>
      <w:r w:rsidRPr="00A3654D">
        <w:rPr>
          <w:sz w:val="26"/>
          <w:szCs w:val="26"/>
          <w:lang w:val="lt-LT"/>
        </w:rPr>
        <w:t>Atlikus m</w:t>
      </w:r>
      <w:r w:rsidR="00AE7ABB" w:rsidRPr="00A3654D">
        <w:rPr>
          <w:sz w:val="26"/>
          <w:szCs w:val="26"/>
          <w:lang w:val="lt-LT"/>
        </w:rPr>
        <w:t xml:space="preserve">okslinėje </w:t>
      </w:r>
      <w:r w:rsidR="00FC0BA4" w:rsidRPr="00A3654D">
        <w:rPr>
          <w:sz w:val="26"/>
          <w:szCs w:val="26"/>
          <w:lang w:val="lt-LT"/>
        </w:rPr>
        <w:t>literatūro</w:t>
      </w:r>
      <w:r w:rsidR="00ED1425" w:rsidRPr="00A3654D">
        <w:rPr>
          <w:sz w:val="26"/>
          <w:szCs w:val="26"/>
          <w:lang w:val="lt-LT"/>
        </w:rPr>
        <w:t>je</w:t>
      </w:r>
      <w:r w:rsidR="00FC0BA4" w:rsidRPr="00A3654D">
        <w:rPr>
          <w:sz w:val="26"/>
          <w:szCs w:val="26"/>
          <w:lang w:val="lt-LT"/>
        </w:rPr>
        <w:t xml:space="preserve"> </w:t>
      </w:r>
      <w:r w:rsidR="0022443D" w:rsidRPr="00A3654D">
        <w:rPr>
          <w:sz w:val="26"/>
          <w:szCs w:val="26"/>
          <w:lang w:val="lt-LT"/>
        </w:rPr>
        <w:t>(</w:t>
      </w:r>
      <w:r w:rsidR="00AE7ABB" w:rsidRPr="00A3654D">
        <w:rPr>
          <w:sz w:val="26"/>
          <w:szCs w:val="26"/>
          <w:lang w:val="lt-LT"/>
        </w:rPr>
        <w:t>Moller</w:t>
      </w:r>
      <w:r w:rsidR="00F74A1F" w:rsidRPr="00A3654D">
        <w:rPr>
          <w:sz w:val="26"/>
          <w:szCs w:val="26"/>
          <w:lang w:val="lt-LT"/>
        </w:rPr>
        <w:t xml:space="preserve">, </w:t>
      </w:r>
      <w:r w:rsidR="00AE7ABB" w:rsidRPr="00A3654D">
        <w:rPr>
          <w:sz w:val="26"/>
          <w:szCs w:val="26"/>
          <w:lang w:val="lt-LT"/>
        </w:rPr>
        <w:t>2007</w:t>
      </w:r>
      <w:r w:rsidR="00F74A1F" w:rsidRPr="00A3654D">
        <w:rPr>
          <w:sz w:val="26"/>
          <w:szCs w:val="26"/>
          <w:lang w:val="lt-LT"/>
        </w:rPr>
        <w:t xml:space="preserve">; </w:t>
      </w:r>
      <w:r w:rsidR="003447BC" w:rsidRPr="00A3654D">
        <w:rPr>
          <w:sz w:val="26"/>
          <w:szCs w:val="26"/>
          <w:lang w:val="lt-LT"/>
        </w:rPr>
        <w:t xml:space="preserve">Chapman, 2006; </w:t>
      </w:r>
      <w:r w:rsidR="00F74A1F" w:rsidRPr="00A3654D">
        <w:rPr>
          <w:sz w:val="26"/>
          <w:szCs w:val="26"/>
          <w:lang w:val="lt-LT"/>
        </w:rPr>
        <w:t>COSO</w:t>
      </w:r>
      <w:r w:rsidR="00A3654D">
        <w:t> </w:t>
      </w:r>
      <w:r w:rsidR="00F74A1F" w:rsidRPr="00A3654D">
        <w:rPr>
          <w:sz w:val="26"/>
          <w:szCs w:val="26"/>
          <w:lang w:val="lt-LT"/>
        </w:rPr>
        <w:t>ERM, 2004;</w:t>
      </w:r>
      <w:r w:rsidR="00AE7ABB" w:rsidRPr="00A3654D">
        <w:rPr>
          <w:sz w:val="26"/>
          <w:szCs w:val="26"/>
          <w:lang w:val="lt-LT"/>
        </w:rPr>
        <w:t xml:space="preserve"> </w:t>
      </w:r>
      <w:r w:rsidR="00F74A1F" w:rsidRPr="00A3654D">
        <w:rPr>
          <w:sz w:val="26"/>
          <w:szCs w:val="26"/>
          <w:lang w:val="lt-LT"/>
        </w:rPr>
        <w:t xml:space="preserve">Sutherland, Canwell, 2004; </w:t>
      </w:r>
      <w:r w:rsidR="007E2451" w:rsidRPr="00A3654D">
        <w:rPr>
          <w:sz w:val="26"/>
          <w:szCs w:val="26"/>
          <w:lang w:val="lt-LT"/>
        </w:rPr>
        <w:t xml:space="preserve">AIRMIC, ALARM, IRM </w:t>
      </w:r>
      <w:r w:rsidR="00B737EC" w:rsidRPr="00A3654D">
        <w:rPr>
          <w:sz w:val="26"/>
          <w:szCs w:val="26"/>
          <w:lang w:val="lt-LT"/>
        </w:rPr>
        <w:t>Rizikos valdymo standart</w:t>
      </w:r>
      <w:r w:rsidR="008D5B03" w:rsidRPr="00A3654D">
        <w:rPr>
          <w:sz w:val="26"/>
          <w:szCs w:val="26"/>
          <w:lang w:val="lt-LT"/>
        </w:rPr>
        <w:t>as</w:t>
      </w:r>
      <w:r w:rsidR="00B737EC" w:rsidRPr="00A3654D">
        <w:rPr>
          <w:sz w:val="26"/>
          <w:szCs w:val="26"/>
          <w:lang w:val="lt-LT"/>
        </w:rPr>
        <w:t xml:space="preserve">, 2002; </w:t>
      </w:r>
      <w:r w:rsidR="0022443D" w:rsidRPr="00A3654D">
        <w:rPr>
          <w:sz w:val="26"/>
          <w:szCs w:val="26"/>
          <w:lang w:val="lt-LT"/>
        </w:rPr>
        <w:t>Waring, Glendon, 2002</w:t>
      </w:r>
      <w:r w:rsidR="00ED18C4" w:rsidRPr="00A3654D">
        <w:rPr>
          <w:sz w:val="26"/>
          <w:szCs w:val="26"/>
          <w:lang w:val="lt-LT"/>
        </w:rPr>
        <w:t xml:space="preserve">; </w:t>
      </w:r>
      <w:r w:rsidR="0080108D" w:rsidRPr="00A3654D">
        <w:rPr>
          <w:sz w:val="26"/>
          <w:szCs w:val="26"/>
          <w:lang w:val="lt-LT"/>
        </w:rPr>
        <w:t xml:space="preserve">Vasiliauskaitė, Pranckevičiūtė, 2004; Liučvaitis, 2003; </w:t>
      </w:r>
      <w:r w:rsidR="00ED18C4" w:rsidRPr="00A3654D">
        <w:rPr>
          <w:sz w:val="26"/>
          <w:szCs w:val="26"/>
          <w:lang w:val="lt-LT"/>
        </w:rPr>
        <w:t>Leonavičiūtė, Vaškelaitis, 2001</w:t>
      </w:r>
      <w:r w:rsidR="00B737EC" w:rsidRPr="00A3654D">
        <w:rPr>
          <w:sz w:val="26"/>
          <w:szCs w:val="26"/>
          <w:lang w:val="lt-LT"/>
        </w:rPr>
        <w:t>)</w:t>
      </w:r>
      <w:r w:rsidR="0022443D" w:rsidRPr="00A3654D">
        <w:rPr>
          <w:sz w:val="26"/>
          <w:szCs w:val="26"/>
          <w:lang w:val="lt-LT"/>
        </w:rPr>
        <w:t xml:space="preserve"> </w:t>
      </w:r>
      <w:r w:rsidRPr="00A3654D">
        <w:rPr>
          <w:sz w:val="26"/>
          <w:szCs w:val="26"/>
          <w:lang w:val="lt-LT"/>
        </w:rPr>
        <w:t>pateikiamų rizikos valdymo proceso struktūrų lyginamąją analizę (žr.</w:t>
      </w:r>
      <w:r w:rsidR="00041860">
        <w:rPr>
          <w:sz w:val="26"/>
          <w:szCs w:val="26"/>
          <w:lang w:val="lt-LT"/>
        </w:rPr>
        <w:t> </w:t>
      </w:r>
      <w:r w:rsidRPr="00A3654D">
        <w:rPr>
          <w:sz w:val="26"/>
          <w:szCs w:val="26"/>
          <w:lang w:val="lt-LT"/>
        </w:rPr>
        <w:t>1</w:t>
      </w:r>
      <w:r w:rsidR="00041860">
        <w:rPr>
          <w:sz w:val="26"/>
          <w:szCs w:val="26"/>
          <w:lang w:val="lt-LT"/>
        </w:rPr>
        <w:t> </w:t>
      </w:r>
      <w:r w:rsidRPr="00A3654D">
        <w:rPr>
          <w:sz w:val="26"/>
          <w:szCs w:val="26"/>
          <w:lang w:val="lt-LT"/>
        </w:rPr>
        <w:t>priedas), nustatyta, kad skiria</w:t>
      </w:r>
      <w:r w:rsidR="0068736D" w:rsidRPr="00A3654D">
        <w:rPr>
          <w:sz w:val="26"/>
          <w:szCs w:val="26"/>
          <w:lang w:val="lt-LT"/>
        </w:rPr>
        <w:t xml:space="preserve">si nuomonės dėl </w:t>
      </w:r>
      <w:r w:rsidR="00163BF0" w:rsidRPr="00A3654D">
        <w:rPr>
          <w:sz w:val="26"/>
          <w:szCs w:val="26"/>
          <w:lang w:val="lt-LT"/>
        </w:rPr>
        <w:t xml:space="preserve">įmonės </w:t>
      </w:r>
      <w:r w:rsidRPr="00A3654D">
        <w:rPr>
          <w:sz w:val="26"/>
          <w:szCs w:val="26"/>
          <w:lang w:val="lt-LT"/>
        </w:rPr>
        <w:t xml:space="preserve">rizikos valdymo proceso etapų </w:t>
      </w:r>
      <w:r w:rsidR="00146CFA" w:rsidRPr="00A3654D">
        <w:rPr>
          <w:sz w:val="26"/>
          <w:szCs w:val="26"/>
          <w:lang w:val="lt-LT"/>
        </w:rPr>
        <w:t>skaiči</w:t>
      </w:r>
      <w:r w:rsidR="0068736D" w:rsidRPr="00A3654D">
        <w:rPr>
          <w:sz w:val="26"/>
          <w:szCs w:val="26"/>
          <w:lang w:val="lt-LT"/>
        </w:rPr>
        <w:t>aus</w:t>
      </w:r>
      <w:r w:rsidR="00146CFA" w:rsidRPr="00A3654D">
        <w:rPr>
          <w:sz w:val="26"/>
          <w:szCs w:val="26"/>
          <w:lang w:val="lt-LT"/>
        </w:rPr>
        <w:t xml:space="preserve"> (nuo 3 iki </w:t>
      </w:r>
      <w:r w:rsidR="00682E09" w:rsidRPr="00A3654D">
        <w:rPr>
          <w:sz w:val="26"/>
          <w:szCs w:val="26"/>
          <w:lang w:val="lt-LT"/>
        </w:rPr>
        <w:t>8</w:t>
      </w:r>
      <w:r w:rsidR="00146CFA" w:rsidRPr="00A3654D">
        <w:rPr>
          <w:sz w:val="26"/>
          <w:szCs w:val="26"/>
          <w:lang w:val="lt-LT"/>
        </w:rPr>
        <w:t>)</w:t>
      </w:r>
      <w:r w:rsidR="0068736D" w:rsidRPr="00A3654D">
        <w:rPr>
          <w:sz w:val="26"/>
          <w:szCs w:val="26"/>
          <w:lang w:val="lt-LT"/>
        </w:rPr>
        <w:t xml:space="preserve"> ir dėl to, ką </w:t>
      </w:r>
      <w:r w:rsidRPr="00A3654D">
        <w:rPr>
          <w:sz w:val="26"/>
          <w:szCs w:val="26"/>
          <w:lang w:val="lt-LT"/>
        </w:rPr>
        <w:t>reikėtų laikyti atskiru etapu</w:t>
      </w:r>
      <w:r w:rsidR="00FB74A8" w:rsidRPr="00A3654D">
        <w:rPr>
          <w:sz w:val="26"/>
          <w:szCs w:val="26"/>
          <w:lang w:val="lt-LT"/>
        </w:rPr>
        <w:t xml:space="preserve">. </w:t>
      </w:r>
      <w:r w:rsidR="0068736D" w:rsidRPr="00A3654D">
        <w:rPr>
          <w:sz w:val="26"/>
          <w:szCs w:val="26"/>
          <w:lang w:val="lt-LT"/>
        </w:rPr>
        <w:t xml:space="preserve">Darbo autorės nuomone, vienuose </w:t>
      </w:r>
      <w:r w:rsidR="00657A94" w:rsidRPr="00A3654D">
        <w:rPr>
          <w:sz w:val="26"/>
          <w:szCs w:val="26"/>
          <w:lang w:val="lt-LT"/>
        </w:rPr>
        <w:t>literatūros šaltiniuose</w:t>
      </w:r>
      <w:r w:rsidR="00FB74A8" w:rsidRPr="00A3654D">
        <w:rPr>
          <w:sz w:val="26"/>
          <w:szCs w:val="26"/>
          <w:lang w:val="lt-LT"/>
        </w:rPr>
        <w:t xml:space="preserve"> (Sutherlan, Canwell, 2004</w:t>
      </w:r>
      <w:r w:rsidR="008D29B1" w:rsidRPr="00A3654D">
        <w:rPr>
          <w:sz w:val="26"/>
          <w:szCs w:val="26"/>
          <w:lang w:val="lt-LT"/>
        </w:rPr>
        <w:t>;</w:t>
      </w:r>
      <w:r w:rsidR="00FB74A8" w:rsidRPr="00A3654D">
        <w:rPr>
          <w:sz w:val="26"/>
          <w:szCs w:val="26"/>
          <w:lang w:val="lt-LT"/>
        </w:rPr>
        <w:t xml:space="preserve"> </w:t>
      </w:r>
      <w:r w:rsidR="00B94244" w:rsidRPr="00A3654D">
        <w:rPr>
          <w:sz w:val="26"/>
          <w:szCs w:val="26"/>
          <w:lang w:val="lt-LT"/>
        </w:rPr>
        <w:t xml:space="preserve">AIRMIC, ALARM, IRM Rizikos valdymo standartas, 2002; </w:t>
      </w:r>
      <w:r w:rsidR="00FB74A8" w:rsidRPr="00A3654D">
        <w:rPr>
          <w:sz w:val="26"/>
          <w:szCs w:val="26"/>
          <w:lang w:val="lt-LT"/>
        </w:rPr>
        <w:t xml:space="preserve">Vaughan, 1997; Leonavičiūtė, Vaškelaitis, 2001) </w:t>
      </w:r>
      <w:r w:rsidR="0068736D" w:rsidRPr="00A3654D">
        <w:rPr>
          <w:sz w:val="26"/>
          <w:szCs w:val="26"/>
          <w:lang w:val="lt-LT"/>
        </w:rPr>
        <w:t xml:space="preserve">rizikos valdymo procesas </w:t>
      </w:r>
      <w:r w:rsidR="00B94244" w:rsidRPr="00A3654D">
        <w:rPr>
          <w:sz w:val="26"/>
          <w:szCs w:val="26"/>
          <w:lang w:val="lt-LT"/>
        </w:rPr>
        <w:t>pernelyg detaliai išskaido</w:t>
      </w:r>
      <w:r w:rsidR="0068736D" w:rsidRPr="00A3654D">
        <w:rPr>
          <w:sz w:val="26"/>
          <w:szCs w:val="26"/>
          <w:lang w:val="lt-LT"/>
        </w:rPr>
        <w:t>mas</w:t>
      </w:r>
      <w:r w:rsidR="00B94244" w:rsidRPr="00A3654D">
        <w:rPr>
          <w:sz w:val="26"/>
          <w:szCs w:val="26"/>
          <w:lang w:val="lt-LT"/>
        </w:rPr>
        <w:t xml:space="preserve"> </w:t>
      </w:r>
      <w:r w:rsidR="003A3062" w:rsidRPr="00A3654D">
        <w:rPr>
          <w:sz w:val="26"/>
          <w:szCs w:val="26"/>
          <w:lang w:val="lt-LT"/>
        </w:rPr>
        <w:t>į papildomus etapus</w:t>
      </w:r>
      <w:r w:rsidR="00C70DA0" w:rsidRPr="00A3654D">
        <w:rPr>
          <w:sz w:val="26"/>
          <w:szCs w:val="26"/>
          <w:lang w:val="lt-LT"/>
        </w:rPr>
        <w:t>, tokius kaip</w:t>
      </w:r>
      <w:r w:rsidR="00C3118B" w:rsidRPr="00A3654D">
        <w:rPr>
          <w:sz w:val="26"/>
          <w:szCs w:val="26"/>
          <w:lang w:val="lt-LT"/>
        </w:rPr>
        <w:t>,</w:t>
      </w:r>
      <w:r w:rsidR="00C70DA0" w:rsidRPr="00A3654D">
        <w:rPr>
          <w:sz w:val="26"/>
          <w:szCs w:val="26"/>
          <w:lang w:val="lt-LT"/>
        </w:rPr>
        <w:t xml:space="preserve"> pavyzdžiui, visų įmonei reikšmingų rizikų identifikavimas ir pagrindinių rizikų nustatymas ar pan.</w:t>
      </w:r>
      <w:r w:rsidR="003A3062" w:rsidRPr="00A3654D">
        <w:rPr>
          <w:sz w:val="26"/>
          <w:szCs w:val="26"/>
          <w:lang w:val="lt-LT"/>
        </w:rPr>
        <w:t>,</w:t>
      </w:r>
      <w:r w:rsidR="00B94244" w:rsidRPr="00A3654D">
        <w:rPr>
          <w:sz w:val="26"/>
          <w:szCs w:val="26"/>
          <w:lang w:val="lt-LT"/>
        </w:rPr>
        <w:t xml:space="preserve"> tuo tarpu kit</w:t>
      </w:r>
      <w:r w:rsidR="0068736D" w:rsidRPr="00A3654D">
        <w:rPr>
          <w:sz w:val="26"/>
          <w:szCs w:val="26"/>
          <w:lang w:val="lt-LT"/>
        </w:rPr>
        <w:t>uose</w:t>
      </w:r>
      <w:r w:rsidR="00B94244" w:rsidRPr="00A3654D">
        <w:rPr>
          <w:sz w:val="26"/>
          <w:szCs w:val="26"/>
          <w:lang w:val="lt-LT"/>
        </w:rPr>
        <w:t xml:space="preserve"> (</w:t>
      </w:r>
      <w:r w:rsidR="003A3062" w:rsidRPr="00A3654D">
        <w:rPr>
          <w:sz w:val="26"/>
          <w:szCs w:val="26"/>
          <w:lang w:val="lt-LT"/>
        </w:rPr>
        <w:t xml:space="preserve">Moeller, 2007; </w:t>
      </w:r>
      <w:r w:rsidR="00B94244" w:rsidRPr="00A3654D">
        <w:rPr>
          <w:sz w:val="26"/>
          <w:szCs w:val="26"/>
          <w:lang w:val="lt-LT"/>
        </w:rPr>
        <w:t xml:space="preserve">Waring, Glendon, 2002; </w:t>
      </w:r>
      <w:r w:rsidR="003A3062" w:rsidRPr="00A3654D">
        <w:rPr>
          <w:sz w:val="26"/>
          <w:szCs w:val="26"/>
          <w:lang w:val="lt-LT"/>
        </w:rPr>
        <w:t xml:space="preserve">Vasiliauskaitė, Pranckevičiūtė, 2004; Liučvaitis, 2003) </w:t>
      </w:r>
      <w:r w:rsidR="0068736D" w:rsidRPr="00A3654D">
        <w:rPr>
          <w:sz w:val="26"/>
          <w:szCs w:val="26"/>
          <w:lang w:val="lt-LT"/>
        </w:rPr>
        <w:t xml:space="preserve">nėra </w:t>
      </w:r>
      <w:r w:rsidR="003A3062" w:rsidRPr="00A3654D">
        <w:rPr>
          <w:sz w:val="26"/>
          <w:szCs w:val="26"/>
          <w:lang w:val="lt-LT"/>
        </w:rPr>
        <w:t>išskiria</w:t>
      </w:r>
      <w:r w:rsidR="0068736D" w:rsidRPr="00A3654D">
        <w:rPr>
          <w:sz w:val="26"/>
          <w:szCs w:val="26"/>
          <w:lang w:val="lt-LT"/>
        </w:rPr>
        <w:t>mi</w:t>
      </w:r>
      <w:r w:rsidR="003A3062" w:rsidRPr="00A3654D">
        <w:rPr>
          <w:sz w:val="26"/>
          <w:szCs w:val="26"/>
          <w:lang w:val="lt-LT"/>
        </w:rPr>
        <w:t xml:space="preserve"> </w:t>
      </w:r>
      <w:r w:rsidR="00886028">
        <w:rPr>
          <w:sz w:val="26"/>
          <w:szCs w:val="26"/>
          <w:lang w:val="lt-LT"/>
        </w:rPr>
        <w:t xml:space="preserve">esminiai </w:t>
      </w:r>
      <w:r w:rsidR="003A3062" w:rsidRPr="00A3654D">
        <w:rPr>
          <w:sz w:val="26"/>
          <w:szCs w:val="26"/>
          <w:lang w:val="lt-LT"/>
        </w:rPr>
        <w:t xml:space="preserve">rizikos </w:t>
      </w:r>
      <w:r w:rsidR="003A3062" w:rsidRPr="00A3654D">
        <w:rPr>
          <w:sz w:val="26"/>
          <w:szCs w:val="26"/>
          <w:lang w:val="lt-LT"/>
        </w:rPr>
        <w:lastRenderedPageBreak/>
        <w:t>valdymo proceso etap</w:t>
      </w:r>
      <w:r w:rsidR="0068736D" w:rsidRPr="00A3654D">
        <w:rPr>
          <w:sz w:val="26"/>
          <w:szCs w:val="26"/>
          <w:lang w:val="lt-LT"/>
        </w:rPr>
        <w:t>ai</w:t>
      </w:r>
      <w:r w:rsidR="003A3062" w:rsidRPr="00A3654D">
        <w:rPr>
          <w:sz w:val="26"/>
          <w:szCs w:val="26"/>
          <w:lang w:val="lt-LT"/>
        </w:rPr>
        <w:t xml:space="preserve"> </w:t>
      </w:r>
      <w:r w:rsidR="00886028">
        <w:rPr>
          <w:sz w:val="26"/>
          <w:szCs w:val="26"/>
          <w:lang w:val="lt-LT"/>
        </w:rPr>
        <w:t xml:space="preserve">tokie </w:t>
      </w:r>
      <w:r w:rsidR="003A3062" w:rsidRPr="00A3654D">
        <w:rPr>
          <w:sz w:val="26"/>
          <w:szCs w:val="26"/>
          <w:lang w:val="lt-LT"/>
        </w:rPr>
        <w:t>kaip atsak</w:t>
      </w:r>
      <w:r w:rsidR="0068736D" w:rsidRPr="00A3654D">
        <w:rPr>
          <w:sz w:val="26"/>
          <w:szCs w:val="26"/>
          <w:lang w:val="lt-LT"/>
        </w:rPr>
        <w:t>as į riziką</w:t>
      </w:r>
      <w:r w:rsidR="003A3062" w:rsidRPr="00A3654D">
        <w:rPr>
          <w:sz w:val="26"/>
          <w:szCs w:val="26"/>
          <w:lang w:val="lt-LT"/>
        </w:rPr>
        <w:t xml:space="preserve">, rizikos stebėsena ar informavimas. Atsižvelgiant į tai, </w:t>
      </w:r>
      <w:r w:rsidR="0039648D" w:rsidRPr="00A3654D">
        <w:rPr>
          <w:sz w:val="26"/>
          <w:szCs w:val="26"/>
          <w:lang w:val="lt-LT"/>
        </w:rPr>
        <w:t>sudarytas</w:t>
      </w:r>
      <w:r w:rsidR="003F6CFF" w:rsidRPr="00A3654D">
        <w:rPr>
          <w:sz w:val="26"/>
          <w:szCs w:val="26"/>
          <w:lang w:val="lt-LT"/>
        </w:rPr>
        <w:t xml:space="preserve"> </w:t>
      </w:r>
      <w:r w:rsidR="0068736D" w:rsidRPr="00A3654D">
        <w:rPr>
          <w:sz w:val="26"/>
          <w:szCs w:val="26"/>
          <w:lang w:val="lt-LT"/>
        </w:rPr>
        <w:t xml:space="preserve">apibendrintas </w:t>
      </w:r>
      <w:r w:rsidR="00946D6F" w:rsidRPr="00A3654D">
        <w:rPr>
          <w:sz w:val="26"/>
          <w:szCs w:val="26"/>
          <w:lang w:val="lt-LT"/>
        </w:rPr>
        <w:t xml:space="preserve">įmonės </w:t>
      </w:r>
      <w:r w:rsidR="0068736D" w:rsidRPr="00A3654D">
        <w:rPr>
          <w:sz w:val="26"/>
          <w:szCs w:val="26"/>
          <w:lang w:val="lt-LT"/>
        </w:rPr>
        <w:t>rizikos valdymo procesas</w:t>
      </w:r>
      <w:r w:rsidR="003F6CFF" w:rsidRPr="00A3654D">
        <w:rPr>
          <w:sz w:val="26"/>
          <w:szCs w:val="26"/>
          <w:lang w:val="lt-LT"/>
        </w:rPr>
        <w:t xml:space="preserve"> </w:t>
      </w:r>
      <w:r w:rsidR="0068736D" w:rsidRPr="00A3654D">
        <w:rPr>
          <w:sz w:val="26"/>
          <w:szCs w:val="26"/>
          <w:lang w:val="lt-LT"/>
        </w:rPr>
        <w:t xml:space="preserve">(žr. </w:t>
      </w:r>
      <w:r w:rsidR="00CE6550" w:rsidRPr="00A3654D">
        <w:rPr>
          <w:sz w:val="26"/>
          <w:szCs w:val="26"/>
          <w:lang w:val="lt-LT"/>
        </w:rPr>
        <w:t>2</w:t>
      </w:r>
      <w:r w:rsidR="0068736D" w:rsidRPr="00A3654D">
        <w:rPr>
          <w:sz w:val="26"/>
          <w:szCs w:val="26"/>
          <w:lang w:val="lt-LT"/>
        </w:rPr>
        <w:t xml:space="preserve"> pav.)</w:t>
      </w:r>
      <w:r w:rsidR="003F6CFF" w:rsidRPr="00A3654D">
        <w:rPr>
          <w:sz w:val="26"/>
          <w:szCs w:val="26"/>
          <w:lang w:val="lt-LT"/>
        </w:rPr>
        <w:t>.</w:t>
      </w:r>
    </w:p>
    <w:p w:rsidR="00A3654D" w:rsidRPr="00A3654D" w:rsidRDefault="00166819" w:rsidP="0068736D">
      <w:pPr>
        <w:pStyle w:val="NormalWeb"/>
        <w:spacing w:before="0" w:beforeAutospacing="0" w:after="0" w:afterAutospacing="0" w:line="360" w:lineRule="auto"/>
        <w:ind w:firstLine="720"/>
        <w:jc w:val="both"/>
        <w:rPr>
          <w:sz w:val="26"/>
          <w:szCs w:val="26"/>
          <w:lang w:val="lt-LT"/>
        </w:rPr>
      </w:pPr>
      <w:r w:rsidRPr="00166819">
        <w:rPr>
          <w:noProof/>
          <w:lang w:val="lt-LT" w:eastAsia="lt-LT"/>
        </w:rPr>
        <w:pict>
          <v:group id="_x0000_s74456" style="position:absolute;left:0;text-align:left;margin-left:1.3pt;margin-top:7.45pt;width:406.95pt;height:376.75pt;z-index:253981696" coordorigin="1840,2968" coordsize="8139,7535">
            <v:shapetype id="_x0000_t32" coordsize="21600,21600" o:spt="32" o:oned="t" path="m,l21600,21600e" filled="f">
              <v:path arrowok="t" fillok="f" o:connecttype="none"/>
              <o:lock v:ext="edit" shapetype="t"/>
            </v:shapetype>
            <v:shape id="_x0000_s9198" type="#_x0000_t32" style="position:absolute;left:7425;top:6089;width:375;height:1" o:connectortype="straight" o:regroupid="99" strokecolor="#bfbfbf [2412]" strokeweight="4pt">
              <v:stroke startarrow="block" startarrowwidth="narrow" startarrowlength="short" endarrow="block" endarrowwidth="narrow" endarrowlength="short"/>
            </v:shape>
            <v:shape id="_x0000_s9145" type="#_x0000_t202" style="position:absolute;left:7832;top:5766;width:1989;height:758" o:regroupid="100" filled="f" strokecolor="#bfbfbf [2412]" strokeweight="1.25pt">
              <v:stroke dashstyle="1 1"/>
              <v:textbox style="mso-next-textbox:#_x0000_s9145">
                <w:txbxContent>
                  <w:p w:rsidR="00BE5795" w:rsidRPr="007250EE" w:rsidRDefault="00BE5795" w:rsidP="00AC0470">
                    <w:pPr>
                      <w:spacing w:before="120"/>
                      <w:jc w:val="center"/>
                      <w:rPr>
                        <w:b/>
                        <w:sz w:val="22"/>
                        <w:szCs w:val="22"/>
                        <w:lang w:val="lt-LT"/>
                      </w:rPr>
                    </w:pPr>
                    <w:r w:rsidRPr="007250EE">
                      <w:rPr>
                        <w:b/>
                        <w:sz w:val="22"/>
                        <w:szCs w:val="22"/>
                        <w:lang w:val="lt-LT"/>
                      </w:rPr>
                      <w:t>Informavimas</w:t>
                    </w:r>
                  </w:p>
                </w:txbxContent>
              </v:textbox>
            </v:shape>
            <v:shape id="_x0000_s9151" type="#_x0000_t202" style="position:absolute;left:1875;top:2968;width:3170;height:899" o:regroupid="100" filled="f" strokecolor="#bfbfbf [2412]">
              <v:textbox style="mso-next-textbox:#_x0000_s9151">
                <w:txbxContent>
                  <w:p w:rsidR="00BE5795" w:rsidRPr="00AC0470" w:rsidRDefault="00BE5795" w:rsidP="00D730C0">
                    <w:pPr>
                      <w:pStyle w:val="ListParagraph"/>
                      <w:numPr>
                        <w:ilvl w:val="0"/>
                        <w:numId w:val="10"/>
                      </w:numPr>
                      <w:ind w:left="142" w:hanging="142"/>
                      <w:rPr>
                        <w:lang w:val="lt-LT"/>
                      </w:rPr>
                    </w:pPr>
                    <w:r w:rsidRPr="00AC0470">
                      <w:rPr>
                        <w:lang w:val="lt-LT"/>
                      </w:rPr>
                      <w:t>įmonės (strateginių) tikslų nustatymas</w:t>
                    </w:r>
                  </w:p>
                  <w:p w:rsidR="00BE5795" w:rsidRPr="00AC0470" w:rsidRDefault="00BE5795" w:rsidP="00D730C0">
                    <w:pPr>
                      <w:pStyle w:val="ListParagraph"/>
                      <w:numPr>
                        <w:ilvl w:val="0"/>
                        <w:numId w:val="10"/>
                      </w:numPr>
                      <w:ind w:left="142" w:hanging="142"/>
                    </w:pPr>
                    <w:r w:rsidRPr="00AC0470">
                      <w:rPr>
                        <w:lang w:val="lt-LT"/>
                      </w:rPr>
                      <w:t>vidaus aplinka</w:t>
                    </w:r>
                  </w:p>
                </w:txbxContent>
              </v:textbox>
            </v:shape>
            <v:shape id="_x0000_s9152" type="#_x0000_t202" style="position:absolute;left:7832;top:6780;width:1989;height:1826" o:regroupid="100" filled="f" strokecolor="#bfbfbf [2412]">
              <v:textbox style="mso-next-textbox:#_x0000_s9152">
                <w:txbxContent>
                  <w:p w:rsidR="00BE5795" w:rsidRPr="00AC0470" w:rsidRDefault="00BE5795" w:rsidP="00D730C0">
                    <w:pPr>
                      <w:pStyle w:val="ListParagraph"/>
                      <w:numPr>
                        <w:ilvl w:val="0"/>
                        <w:numId w:val="9"/>
                      </w:numPr>
                      <w:ind w:left="142" w:hanging="142"/>
                      <w:rPr>
                        <w:lang w:val="lt-LT"/>
                      </w:rPr>
                    </w:pPr>
                    <w:r w:rsidRPr="00AC0470">
                      <w:rPr>
                        <w:lang w:val="lt-LT"/>
                      </w:rPr>
                      <w:t>informacija ir pranešimas</w:t>
                    </w:r>
                  </w:p>
                  <w:p w:rsidR="00BE5795" w:rsidRPr="00AC0470" w:rsidRDefault="00BE5795" w:rsidP="00D730C0">
                    <w:pPr>
                      <w:pStyle w:val="ListParagraph"/>
                      <w:numPr>
                        <w:ilvl w:val="0"/>
                        <w:numId w:val="9"/>
                      </w:numPr>
                      <w:ind w:left="142" w:hanging="142"/>
                      <w:rPr>
                        <w:lang w:val="lt-LT"/>
                      </w:rPr>
                    </w:pPr>
                    <w:r w:rsidRPr="00AC0470">
                      <w:rPr>
                        <w:lang w:val="lt-LT"/>
                      </w:rPr>
                      <w:t>pranešimas ir konsultavimas</w:t>
                    </w:r>
                  </w:p>
                  <w:p w:rsidR="00BE5795" w:rsidRPr="00AC0470" w:rsidRDefault="00BE5795" w:rsidP="00D730C0">
                    <w:pPr>
                      <w:pStyle w:val="ListParagraph"/>
                      <w:numPr>
                        <w:ilvl w:val="0"/>
                        <w:numId w:val="9"/>
                      </w:numPr>
                      <w:ind w:left="142" w:hanging="142"/>
                    </w:pPr>
                    <w:r w:rsidRPr="00AC0470">
                      <w:rPr>
                        <w:lang w:val="lt-LT"/>
                      </w:rPr>
                      <w:t>pranešimas apie (likusią)</w:t>
                    </w:r>
                    <w:r>
                      <w:rPr>
                        <w:lang w:val="lt-LT"/>
                      </w:rPr>
                      <w:t xml:space="preserve"> </w:t>
                    </w:r>
                    <w:r w:rsidRPr="00AC0470">
                      <w:rPr>
                        <w:lang w:val="lt-LT"/>
                      </w:rPr>
                      <w:t>riziką</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9168" type="#_x0000_t13" style="position:absolute;left:5080;top:4349;width:140;height:242" o:regroupid="100" fillcolor="#bfbfbf [2412]" strokecolor="#bfbfbf [2412]"/>
            <v:shape id="_x0000_s9169" type="#_x0000_t13" style="position:absolute;left:5045;top:9868;width:140;height:242" o:regroupid="100" fillcolor="#bfbfbf [2412]" strokecolor="#bfbfbf [2412]"/>
            <v:shape id="_x0000_s9170" type="#_x0000_t13" style="position:absolute;left:5045;top:6090;width:140;height:242" o:regroupid="100" fillcolor="#bfbfbf [2412]" strokecolor="#bfbfbf [2412]"/>
            <v:shape id="_x0000_s9171" type="#_x0000_t13" style="position:absolute;left:5045;top:7858;width:140;height:242" o:regroupid="100" fillcolor="#bfbfbf [2412]" strokecolor="#bfbfbf [2412]"/>
            <v:shape id="_x0000_s9146" type="#_x0000_t202" style="position:absolute;left:5220;top:9558;width:2205;height:791" o:regroupid="100" filled="f" strokecolor="#bfbfbf [2412]" strokeweight="1.25pt">
              <v:stroke dashstyle="1 1"/>
              <v:textbox style="mso-next-textbox:#_x0000_s9146">
                <w:txbxContent>
                  <w:p w:rsidR="00BE5795" w:rsidRDefault="00BE5795" w:rsidP="007972CC">
                    <w:pPr>
                      <w:jc w:val="center"/>
                      <w:rPr>
                        <w:b/>
                        <w:sz w:val="22"/>
                        <w:szCs w:val="22"/>
                        <w:lang w:val="lt-LT"/>
                      </w:rPr>
                    </w:pPr>
                    <w:r w:rsidRPr="007540E2">
                      <w:rPr>
                        <w:b/>
                        <w:sz w:val="22"/>
                        <w:szCs w:val="22"/>
                        <w:lang w:val="lt-LT"/>
                      </w:rPr>
                      <w:t xml:space="preserve">Rizikos </w:t>
                    </w:r>
                  </w:p>
                  <w:p w:rsidR="00BE5795" w:rsidRPr="007540E2" w:rsidRDefault="00BE5795" w:rsidP="007972CC">
                    <w:pPr>
                      <w:jc w:val="center"/>
                      <w:rPr>
                        <w:b/>
                        <w:sz w:val="22"/>
                        <w:szCs w:val="22"/>
                        <w:lang w:val="lt-LT"/>
                      </w:rPr>
                    </w:pPr>
                    <w:r w:rsidRPr="007540E2">
                      <w:rPr>
                        <w:b/>
                        <w:sz w:val="22"/>
                        <w:szCs w:val="22"/>
                        <w:lang w:val="lt-LT"/>
                      </w:rPr>
                      <w:t>stebėsena</w:t>
                    </w:r>
                  </w:p>
                </w:txbxContent>
              </v:textbox>
            </v:shape>
            <v:shape id="_x0000_s9150" type="#_x0000_t202" style="position:absolute;left:1840;top:9390;width:3240;height:1113" o:regroupid="100" filled="f" strokecolor="#bfbfbf [2412]">
              <v:textbox style="mso-next-textbox:#_x0000_s9150">
                <w:txbxContent>
                  <w:p w:rsidR="00BE5795" w:rsidRPr="00AC0470" w:rsidRDefault="00BE5795" w:rsidP="00C427E1">
                    <w:pPr>
                      <w:pStyle w:val="ListParagraph"/>
                      <w:numPr>
                        <w:ilvl w:val="0"/>
                        <w:numId w:val="8"/>
                      </w:numPr>
                      <w:ind w:left="142" w:hanging="142"/>
                      <w:rPr>
                        <w:lang w:val="lt-LT"/>
                      </w:rPr>
                    </w:pPr>
                    <w:r w:rsidRPr="00AC0470">
                      <w:rPr>
                        <w:lang w:val="lt-LT"/>
                      </w:rPr>
                      <w:t>kontrolės veiksmai</w:t>
                    </w:r>
                  </w:p>
                  <w:p w:rsidR="00BE5795" w:rsidRPr="00373621" w:rsidRDefault="00BE5795" w:rsidP="00612B07">
                    <w:pPr>
                      <w:pStyle w:val="ListParagraph"/>
                      <w:numPr>
                        <w:ilvl w:val="0"/>
                        <w:numId w:val="8"/>
                      </w:numPr>
                      <w:ind w:left="142" w:hanging="142"/>
                      <w:rPr>
                        <w:lang w:val="lt-LT"/>
                      </w:rPr>
                    </w:pPr>
                    <w:r w:rsidRPr="00373621">
                      <w:rPr>
                        <w:lang w:val="lt-LT"/>
                      </w:rPr>
                      <w:t>rizikos kontrolė/mažinimas</w:t>
                    </w:r>
                  </w:p>
                  <w:p w:rsidR="00BE5795" w:rsidRPr="00373621" w:rsidRDefault="00BE5795" w:rsidP="00612B07">
                    <w:pPr>
                      <w:pStyle w:val="ListParagraph"/>
                      <w:numPr>
                        <w:ilvl w:val="0"/>
                        <w:numId w:val="8"/>
                      </w:numPr>
                      <w:ind w:left="142" w:hanging="142"/>
                      <w:rPr>
                        <w:lang w:val="lt-LT"/>
                      </w:rPr>
                    </w:pPr>
                    <w:r w:rsidRPr="00373621">
                      <w:rPr>
                        <w:lang w:val="lt-LT"/>
                      </w:rPr>
                      <w:t xml:space="preserve"> rizikų įvertinimas ir peržiūra</w:t>
                    </w:r>
                  </w:p>
                  <w:p w:rsidR="00BE5795" w:rsidRPr="00373621" w:rsidRDefault="00BE5795" w:rsidP="00D730C0">
                    <w:pPr>
                      <w:pStyle w:val="ListParagraph"/>
                      <w:numPr>
                        <w:ilvl w:val="0"/>
                        <w:numId w:val="8"/>
                      </w:numPr>
                      <w:ind w:left="142" w:hanging="142"/>
                    </w:pPr>
                    <w:r w:rsidRPr="00373621">
                      <w:rPr>
                        <w:lang w:val="lt-LT"/>
                      </w:rPr>
                      <w:t>rezultatų įvertinimas</w:t>
                    </w:r>
                  </w:p>
                </w:txbxContent>
              </v:textbox>
            </v:shape>
            <v:shape id="_x0000_s9143" type="#_x0000_t202" style="position:absolute;left:5171;top:5766;width:2254;height:758" o:regroupid="100" filled="f" strokecolor="#bfbfbf [2412]" strokeweight="1.25pt">
              <v:stroke dashstyle="1 1"/>
              <v:textbox style="mso-next-textbox:#_x0000_s9143">
                <w:txbxContent>
                  <w:p w:rsidR="00BE5795" w:rsidRPr="007540E2" w:rsidRDefault="00BE5795" w:rsidP="00EF695C">
                    <w:pPr>
                      <w:jc w:val="center"/>
                      <w:rPr>
                        <w:b/>
                        <w:sz w:val="22"/>
                        <w:szCs w:val="22"/>
                        <w:lang w:val="lt-LT"/>
                      </w:rPr>
                    </w:pPr>
                    <w:r w:rsidRPr="007540E2">
                      <w:rPr>
                        <w:b/>
                        <w:sz w:val="22"/>
                        <w:szCs w:val="22"/>
                        <w:lang w:val="lt-LT"/>
                      </w:rPr>
                      <w:t>Rizikos vertinimas</w:t>
                    </w:r>
                  </w:p>
                </w:txbxContent>
              </v:textbox>
            </v:shape>
            <v:shape id="_x0000_s9144" type="#_x0000_t202" style="position:absolute;left:5185;top:7590;width:2115;height:748" o:regroupid="100" filled="f" strokecolor="#bfbfbf [2412]" strokeweight="1.5pt">
              <v:stroke dashstyle="1 1"/>
              <v:textbox style="mso-next-textbox:#_x0000_s9144">
                <w:txbxContent>
                  <w:p w:rsidR="00BE5795" w:rsidRDefault="00BE5795" w:rsidP="00EF695C">
                    <w:pPr>
                      <w:jc w:val="center"/>
                      <w:rPr>
                        <w:b/>
                        <w:sz w:val="22"/>
                        <w:szCs w:val="22"/>
                        <w:lang w:val="lt-LT"/>
                      </w:rPr>
                    </w:pPr>
                    <w:r w:rsidRPr="007540E2">
                      <w:rPr>
                        <w:b/>
                        <w:sz w:val="22"/>
                        <w:szCs w:val="22"/>
                        <w:lang w:val="lt-LT"/>
                      </w:rPr>
                      <w:t xml:space="preserve">Atsakas į </w:t>
                    </w:r>
                  </w:p>
                  <w:p w:rsidR="00BE5795" w:rsidRPr="007540E2" w:rsidRDefault="00BE5795" w:rsidP="00EF695C">
                    <w:pPr>
                      <w:jc w:val="center"/>
                      <w:rPr>
                        <w:b/>
                        <w:sz w:val="22"/>
                        <w:szCs w:val="22"/>
                        <w:lang w:val="lt-LT"/>
                      </w:rPr>
                    </w:pPr>
                    <w:r w:rsidRPr="007540E2">
                      <w:rPr>
                        <w:b/>
                        <w:sz w:val="22"/>
                        <w:szCs w:val="22"/>
                        <w:lang w:val="lt-LT"/>
                      </w:rPr>
                      <w:t>riziką</w:t>
                    </w:r>
                  </w:p>
                </w:txbxContent>
              </v:textbox>
            </v:shape>
            <v:shape id="_x0000_s9147" type="#_x0000_t202" style="position:absolute;left:1840;top:4020;width:3205;height:1213" o:regroupid="100" filled="f" strokecolor="#bfbfbf [2412]">
              <v:textbox style="mso-next-textbox:#_x0000_s9147">
                <w:txbxContent>
                  <w:p w:rsidR="00BE5795" w:rsidRPr="00216158" w:rsidRDefault="00BE5795" w:rsidP="00D730C0">
                    <w:pPr>
                      <w:pStyle w:val="ListParagraph"/>
                      <w:numPr>
                        <w:ilvl w:val="0"/>
                        <w:numId w:val="5"/>
                      </w:numPr>
                      <w:ind w:left="142" w:hanging="142"/>
                      <w:rPr>
                        <w:lang w:val="lt-LT"/>
                      </w:rPr>
                    </w:pPr>
                    <w:r w:rsidRPr="00216158">
                      <w:rPr>
                        <w:lang w:val="lt-LT"/>
                      </w:rPr>
                      <w:t>rizikos aplinkos nustatymas</w:t>
                    </w:r>
                  </w:p>
                  <w:p w:rsidR="00BE5795" w:rsidRPr="00216158" w:rsidRDefault="00BE5795" w:rsidP="00D730C0">
                    <w:pPr>
                      <w:pStyle w:val="ListParagraph"/>
                      <w:numPr>
                        <w:ilvl w:val="0"/>
                        <w:numId w:val="5"/>
                      </w:numPr>
                      <w:ind w:left="142" w:hanging="142"/>
                      <w:rPr>
                        <w:lang w:val="lt-LT"/>
                      </w:rPr>
                    </w:pPr>
                    <w:r w:rsidRPr="00216158">
                      <w:rPr>
                        <w:lang w:val="lt-LT"/>
                      </w:rPr>
                      <w:t>pavojų ir grėsmių nustatymas</w:t>
                    </w:r>
                  </w:p>
                  <w:p w:rsidR="00BE5795" w:rsidRPr="00216158" w:rsidRDefault="00BE5795" w:rsidP="00D730C0">
                    <w:pPr>
                      <w:pStyle w:val="ListParagraph"/>
                      <w:numPr>
                        <w:ilvl w:val="0"/>
                        <w:numId w:val="5"/>
                      </w:numPr>
                      <w:ind w:left="142" w:hanging="142"/>
                      <w:rPr>
                        <w:lang w:val="lt-LT"/>
                      </w:rPr>
                    </w:pPr>
                    <w:r w:rsidRPr="00216158">
                      <w:rPr>
                        <w:lang w:val="lt-LT"/>
                      </w:rPr>
                      <w:t>pagrindinių/reikšmingų rizikų nustatymas</w:t>
                    </w:r>
                  </w:p>
                </w:txbxContent>
              </v:textbox>
            </v:shape>
            <v:shape id="_x0000_s9148" type="#_x0000_t202" style="position:absolute;left:1840;top:5428;width:3205;height:1352" o:regroupid="100" filled="f" strokecolor="#bfbfbf [2412]">
              <v:textbox style="mso-next-textbox:#_x0000_s9148">
                <w:txbxContent>
                  <w:p w:rsidR="00BE5795" w:rsidRDefault="00BE5795" w:rsidP="007D1F1C">
                    <w:pPr>
                      <w:pStyle w:val="ListParagraph"/>
                      <w:numPr>
                        <w:ilvl w:val="0"/>
                        <w:numId w:val="6"/>
                      </w:numPr>
                      <w:ind w:left="142" w:hanging="142"/>
                      <w:rPr>
                        <w:lang w:val="lt-LT"/>
                      </w:rPr>
                    </w:pPr>
                    <w:r w:rsidRPr="00216158">
                      <w:rPr>
                        <w:lang w:val="lt-LT"/>
                      </w:rPr>
                      <w:t xml:space="preserve">rizikos </w:t>
                    </w:r>
                    <w:r>
                      <w:rPr>
                        <w:lang w:val="lt-LT"/>
                      </w:rPr>
                      <w:t xml:space="preserve">tikimybės ir įtakos </w:t>
                    </w:r>
                    <w:r w:rsidRPr="00216158">
                      <w:rPr>
                        <w:lang w:val="lt-LT"/>
                      </w:rPr>
                      <w:t>įvertinimas</w:t>
                    </w:r>
                    <w:r w:rsidRPr="007D1F1C">
                      <w:rPr>
                        <w:lang w:val="lt-LT"/>
                      </w:rPr>
                      <w:t xml:space="preserve"> </w:t>
                    </w:r>
                  </w:p>
                  <w:p w:rsidR="00BE5795" w:rsidRPr="00216158" w:rsidRDefault="00BE5795" w:rsidP="007D1F1C">
                    <w:pPr>
                      <w:pStyle w:val="ListParagraph"/>
                      <w:numPr>
                        <w:ilvl w:val="0"/>
                        <w:numId w:val="6"/>
                      </w:numPr>
                      <w:ind w:left="142" w:hanging="142"/>
                      <w:rPr>
                        <w:lang w:val="lt-LT"/>
                      </w:rPr>
                    </w:pPr>
                    <w:r w:rsidRPr="00216158">
                      <w:rPr>
                        <w:lang w:val="lt-LT"/>
                      </w:rPr>
                      <w:t xml:space="preserve">kokybinis/kiekybinis </w:t>
                    </w:r>
                    <w:r>
                      <w:rPr>
                        <w:lang w:val="lt-LT"/>
                      </w:rPr>
                      <w:t>į</w:t>
                    </w:r>
                    <w:r w:rsidRPr="00216158">
                      <w:rPr>
                        <w:lang w:val="lt-LT"/>
                      </w:rPr>
                      <w:t>vertinimas</w:t>
                    </w:r>
                  </w:p>
                  <w:p w:rsidR="00BE5795" w:rsidRPr="00216158" w:rsidRDefault="00BE5795" w:rsidP="00D730C0">
                    <w:pPr>
                      <w:pStyle w:val="ListParagraph"/>
                      <w:numPr>
                        <w:ilvl w:val="0"/>
                        <w:numId w:val="6"/>
                      </w:numPr>
                      <w:ind w:left="142" w:hanging="142"/>
                      <w:rPr>
                        <w:lang w:val="lt-LT"/>
                      </w:rPr>
                    </w:pPr>
                    <w:r w:rsidRPr="00216158">
                      <w:rPr>
                        <w:lang w:val="lt-LT"/>
                      </w:rPr>
                      <w:t>rizikų išdėstymas pagal svarbą</w:t>
                    </w:r>
                    <w:r>
                      <w:rPr>
                        <w:lang w:val="lt-LT"/>
                      </w:rPr>
                      <w:t xml:space="preserve"> (rangavimas)</w:t>
                    </w:r>
                  </w:p>
                </w:txbxContent>
              </v:textbox>
            </v:shape>
            <v:shape id="_x0000_s9149" type="#_x0000_t202" style="position:absolute;left:1840;top:7035;width:3240;height:2130" o:regroupid="100" filled="f" strokecolor="#bfbfbf [2412]">
              <v:textbox style="mso-next-textbox:#_x0000_s9149">
                <w:txbxContent>
                  <w:p w:rsidR="00BE5795" w:rsidRPr="00216158" w:rsidRDefault="00BE5795" w:rsidP="00926027">
                    <w:pPr>
                      <w:pStyle w:val="ListParagraph"/>
                      <w:numPr>
                        <w:ilvl w:val="0"/>
                        <w:numId w:val="7"/>
                      </w:numPr>
                      <w:ind w:left="142" w:hanging="142"/>
                    </w:pPr>
                    <w:r w:rsidRPr="00216158">
                      <w:rPr>
                        <w:lang w:val="lt-LT"/>
                      </w:rPr>
                      <w:t xml:space="preserve">esamos pagrindinių rizikų kontrolės įvertinimas </w:t>
                    </w:r>
                  </w:p>
                  <w:p w:rsidR="00BE5795" w:rsidRPr="00216158" w:rsidRDefault="00BE5795" w:rsidP="00D730C0">
                    <w:pPr>
                      <w:pStyle w:val="ListParagraph"/>
                      <w:numPr>
                        <w:ilvl w:val="0"/>
                        <w:numId w:val="7"/>
                      </w:numPr>
                      <w:ind w:left="142" w:hanging="142"/>
                      <w:rPr>
                        <w:lang w:val="lt-LT"/>
                      </w:rPr>
                    </w:pPr>
                    <w:r w:rsidRPr="00216158">
                      <w:rPr>
                        <w:lang w:val="lt-LT"/>
                      </w:rPr>
                      <w:t xml:space="preserve">atsako planavimas </w:t>
                    </w:r>
                  </w:p>
                  <w:p w:rsidR="00BE5795" w:rsidRPr="00216158" w:rsidRDefault="00BE5795" w:rsidP="00D730C0">
                    <w:pPr>
                      <w:pStyle w:val="ListParagraph"/>
                      <w:numPr>
                        <w:ilvl w:val="0"/>
                        <w:numId w:val="7"/>
                      </w:numPr>
                      <w:ind w:left="142" w:hanging="142"/>
                      <w:rPr>
                        <w:lang w:val="lt-LT"/>
                      </w:rPr>
                    </w:pPr>
                    <w:r w:rsidRPr="00216158">
                      <w:rPr>
                        <w:lang w:val="lt-LT"/>
                      </w:rPr>
                      <w:t>priemonės rizikai sumažinti/ strategijos</w:t>
                    </w:r>
                  </w:p>
                  <w:p w:rsidR="00BE5795" w:rsidRPr="00216158" w:rsidRDefault="00BE5795" w:rsidP="00926027">
                    <w:pPr>
                      <w:pStyle w:val="ListParagraph"/>
                      <w:numPr>
                        <w:ilvl w:val="0"/>
                        <w:numId w:val="7"/>
                      </w:numPr>
                      <w:ind w:left="142" w:hanging="142"/>
                      <w:rPr>
                        <w:lang w:val="lt-LT"/>
                      </w:rPr>
                    </w:pPr>
                    <w:r w:rsidRPr="00216158">
                      <w:rPr>
                        <w:lang w:val="lt-LT"/>
                      </w:rPr>
                      <w:t xml:space="preserve">rizikų valdymo būdo parinkimas </w:t>
                    </w:r>
                  </w:p>
                  <w:p w:rsidR="00BE5795" w:rsidRPr="00216158" w:rsidRDefault="00BE5795" w:rsidP="00216158">
                    <w:pPr>
                      <w:pStyle w:val="ListParagraph"/>
                      <w:numPr>
                        <w:ilvl w:val="0"/>
                        <w:numId w:val="7"/>
                      </w:numPr>
                      <w:ind w:left="142" w:hanging="142"/>
                      <w:rPr>
                        <w:lang w:val="lt-LT"/>
                      </w:rPr>
                    </w:pPr>
                    <w:r>
                      <w:rPr>
                        <w:lang w:val="lt-LT"/>
                      </w:rPr>
                      <w:t>s</w:t>
                    </w:r>
                    <w:r w:rsidRPr="00216158">
                      <w:rPr>
                        <w:lang w:val="lt-LT"/>
                      </w:rPr>
                      <w:t>prendimo priėmimas</w:t>
                    </w:r>
                    <w:r>
                      <w:rPr>
                        <w:lang w:val="lt-LT"/>
                      </w:rPr>
                      <w:t xml:space="preserve"> </w:t>
                    </w:r>
                    <w:r w:rsidRPr="00216158">
                      <w:rPr>
                        <w:lang w:val="lt-LT"/>
                      </w:rPr>
                      <w:t>/įgyvendinimas</w:t>
                    </w:r>
                  </w:p>
                </w:txbxContent>
              </v:textbox>
            </v:shape>
            <v:shape id="_x0000_s9153" type="#_x0000_t202" style="position:absolute;left:5220;top:4257;width:2205;height:708" o:regroupid="100" filled="f" strokecolor="#bfbfbf [2412]" strokeweight="1.25pt">
              <v:stroke dashstyle="1 1"/>
              <v:textbox style="mso-next-textbox:#_x0000_s9153">
                <w:txbxContent>
                  <w:p w:rsidR="00BE5795" w:rsidRPr="007540E2" w:rsidRDefault="00BE5795" w:rsidP="00EF695C">
                    <w:pPr>
                      <w:jc w:val="center"/>
                      <w:rPr>
                        <w:sz w:val="22"/>
                        <w:szCs w:val="22"/>
                      </w:rPr>
                    </w:pPr>
                    <w:r w:rsidRPr="007540E2">
                      <w:rPr>
                        <w:b/>
                        <w:sz w:val="22"/>
                        <w:szCs w:val="22"/>
                        <w:lang w:val="lt-LT"/>
                      </w:rPr>
                      <w:t>Rizikos identifikavimas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9158" type="#_x0000_t34" style="position:absolute;left:7425;top:10349;width:2535;height:1" o:connectortype="elbow" o:regroupid="100" adj="10796,-223538400,-63266" strokecolor="#bfbfbf [2412]" strokeweight="4pt">
              <v:stroke dashstyle="1 1" endcap="round"/>
            </v:shape>
            <v:shape id="_x0000_s9159" type="#_x0000_t34" style="position:absolute;left:6485;top:6858;width:6969;height:19;rotation:270" o:connectortype="elbow" o:regroupid="100" adj="10798,-11768589,-30440" strokecolor="#bfbfbf [2412]" strokeweight="4pt">
              <v:stroke dashstyle="1 1" endcap="round"/>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9162" type="#_x0000_t67" style="position:absolute;left:6283;top:4965;width:133;height:801" o:regroupid="100" fillcolor="#bfbfbf [2412]" strokecolor="#bfbfbf [2412]"/>
            <v:shape id="_x0000_s9163" type="#_x0000_t67" style="position:absolute;left:6283;top:6524;width:133;height:1066" o:regroupid="100" adj="18475,5447" fillcolor="#bfbfbf [2412]" strokecolor="#bfbfbf [2412]"/>
            <v:shape id="_x0000_s9165" type="#_x0000_t67" style="position:absolute;left:6283;top:8326;width:133;height:1232" o:regroupid="100" adj="17003,5025" fillcolor="#bfbfbf [2412]" strokecolor="#bfbfbf [2412]"/>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9173" type="#_x0000_t68" style="position:absolute;left:8715;top:6572;width:182;height:208" o:regroupid="100" fillcolor="#bfbfbf [2412]" strokecolor="#bfbfbf [2412]"/>
            <v:shape id="_x0000_s9182" type="#_x0000_t32" style="position:absolute;left:7268;top:6435;width:532;height:3123;flip:y" o:connectortype="straight" o:regroupid="100" strokecolor="#bfbfbf [2412]" strokeweight="4pt">
              <v:stroke startarrow="block" startarrowwidth="narrow" startarrowlength="short" endarrow="block" endarrowwidth="narrow" endarrowlength="short"/>
            </v:shape>
            <v:shape id="_x0000_s9183" type="#_x0000_t32" style="position:absolute;left:7425;top:3624;width:407;height:2142" o:connectortype="straight" o:regroupid="100" strokecolor="#bfbfbf [2412]" strokeweight="4pt">
              <v:stroke startarrow="block" startarrowwidth="narrow" startarrowlength="short" endarrow="block" endarrowwidth="narrow" endarrowlength="short"/>
            </v:shape>
            <v:shape id="_x0000_s9184" type="#_x0000_t32" style="position:absolute;left:7196;top:6090;width:636;height:1768;flip:y" o:connectortype="straight" o:regroupid="100" strokecolor="#bfbfbf [2412]" strokeweight="4pt">
              <v:stroke startarrow="block" startarrowwidth="narrow" startarrowlength="short" endarrow="block" endarrowwidth="narrow" endarrowlength="short"/>
            </v:shape>
            <v:shape id="_x0000_s9185" type="#_x0000_t32" style="position:absolute;left:7425;top:4706;width:407;height:1384" o:connectortype="straight" o:regroupid="100" strokecolor="#bfbfbf [2412]" strokeweight="4pt">
              <v:stroke startarrow="block" startarrowwidth="narrow" startarrowlength="short" endarrow="block" endarrowwidth="narrow" endarrowlength="short"/>
            </v:shape>
            <v:shape id="_x0000_s9186" type="#_x0000_t32" style="position:absolute;left:7425;top:3383;width:2396;height:0;flip:x" o:connectortype="straight" o:regroupid="100" strokecolor="#bfbfbf [2412]" strokeweight="4pt">
              <v:stroke dashstyle="1 1" endarrow="block" endarrowwidth="narrow" endarrowlength="short" endcap="round"/>
            </v:shape>
            <v:shape id="_x0000_s9190" type="#_x0000_t202" style="position:absolute;left:5220;top:3175;width:2205;height:692" o:regroupid="100" filled="f" strokecolor="#bfbfbf [2412]" strokeweight="1.25pt">
              <v:stroke dashstyle="1 1"/>
              <v:textbox style="mso-next-textbox:#_x0000_s9190">
                <w:txbxContent>
                  <w:p w:rsidR="00BE5795" w:rsidRDefault="00BE5795" w:rsidP="00227825">
                    <w:pPr>
                      <w:jc w:val="center"/>
                      <w:rPr>
                        <w:b/>
                        <w:sz w:val="22"/>
                        <w:szCs w:val="22"/>
                        <w:lang w:val="lt-LT"/>
                      </w:rPr>
                    </w:pPr>
                    <w:r w:rsidRPr="007540E2">
                      <w:rPr>
                        <w:b/>
                        <w:sz w:val="22"/>
                        <w:szCs w:val="22"/>
                        <w:lang w:val="lt-LT"/>
                      </w:rPr>
                      <w:t xml:space="preserve">Tikslų </w:t>
                    </w:r>
                  </w:p>
                  <w:p w:rsidR="00BE5795" w:rsidRPr="007540E2" w:rsidRDefault="00BE5795" w:rsidP="00227825">
                    <w:pPr>
                      <w:jc w:val="center"/>
                      <w:rPr>
                        <w:sz w:val="22"/>
                        <w:szCs w:val="22"/>
                      </w:rPr>
                    </w:pPr>
                    <w:r w:rsidRPr="007540E2">
                      <w:rPr>
                        <w:b/>
                        <w:sz w:val="22"/>
                        <w:szCs w:val="22"/>
                        <w:lang w:val="lt-LT"/>
                      </w:rPr>
                      <w:t>nustatymas</w:t>
                    </w:r>
                  </w:p>
                </w:txbxContent>
              </v:textbox>
            </v:shape>
            <v:shape id="_x0000_s9191" type="#_x0000_t67" style="position:absolute;left:6283;top:3867;width:133;height:390" o:regroupid="100" fillcolor="#bfbfbf [2412]" strokecolor="#bfbfbf [2412]"/>
            <v:shape id="_x0000_s9192" type="#_x0000_t13" style="position:absolute;left:5045;top:3300;width:140;height:242" o:regroupid="100" fillcolor="#bfbfbf [2412]" strokecolor="#bfbfbf [2412]"/>
          </v:group>
        </w:pict>
      </w:r>
    </w:p>
    <w:p w:rsidR="00B654D8" w:rsidRDefault="00B654D8" w:rsidP="00700F67">
      <w:pPr>
        <w:pStyle w:val="NormalWeb"/>
        <w:spacing w:before="0" w:beforeAutospacing="0" w:after="0" w:afterAutospacing="0" w:line="360" w:lineRule="auto"/>
        <w:ind w:firstLine="720"/>
        <w:jc w:val="both"/>
        <w:rPr>
          <w:lang w:val="lt-LT"/>
        </w:rPr>
      </w:pPr>
    </w:p>
    <w:p w:rsidR="003F6CFF" w:rsidRDefault="003F6CFF" w:rsidP="00700F67">
      <w:pPr>
        <w:pStyle w:val="NormalWeb"/>
        <w:spacing w:before="0" w:beforeAutospacing="0" w:after="0" w:afterAutospacing="0" w:line="360" w:lineRule="auto"/>
        <w:ind w:firstLine="720"/>
        <w:jc w:val="both"/>
        <w:rPr>
          <w:lang w:val="lt-LT"/>
        </w:rPr>
      </w:pPr>
    </w:p>
    <w:p w:rsidR="003162A2" w:rsidRDefault="003162A2" w:rsidP="00700F67">
      <w:pPr>
        <w:pStyle w:val="NormalWeb"/>
        <w:spacing w:before="0" w:beforeAutospacing="0" w:after="0" w:afterAutospacing="0" w:line="360" w:lineRule="auto"/>
        <w:ind w:firstLine="720"/>
        <w:jc w:val="both"/>
        <w:rPr>
          <w:lang w:val="lt-LT"/>
        </w:rPr>
      </w:pPr>
    </w:p>
    <w:p w:rsidR="001006DB" w:rsidRDefault="001006DB" w:rsidP="00700F67">
      <w:pPr>
        <w:pStyle w:val="NormalWeb"/>
        <w:spacing w:before="0" w:beforeAutospacing="0" w:after="0" w:afterAutospacing="0" w:line="360" w:lineRule="auto"/>
        <w:ind w:firstLine="720"/>
        <w:jc w:val="both"/>
        <w:rPr>
          <w:lang w:val="lt-LT"/>
        </w:rPr>
      </w:pPr>
    </w:p>
    <w:p w:rsidR="003162A2" w:rsidRDefault="003162A2" w:rsidP="00700F67">
      <w:pPr>
        <w:pStyle w:val="NormalWeb"/>
        <w:spacing w:before="0" w:beforeAutospacing="0" w:after="0" w:afterAutospacing="0" w:line="360" w:lineRule="auto"/>
        <w:ind w:firstLine="720"/>
        <w:jc w:val="both"/>
        <w:rPr>
          <w:lang w:val="lt-LT"/>
        </w:rPr>
      </w:pPr>
    </w:p>
    <w:p w:rsidR="003162A2" w:rsidRDefault="003162A2" w:rsidP="00700F67">
      <w:pPr>
        <w:pStyle w:val="NormalWeb"/>
        <w:spacing w:before="0" w:beforeAutospacing="0" w:after="0" w:afterAutospacing="0" w:line="360" w:lineRule="auto"/>
        <w:ind w:firstLine="720"/>
        <w:jc w:val="both"/>
        <w:rPr>
          <w:lang w:val="lt-LT"/>
        </w:rPr>
      </w:pPr>
    </w:p>
    <w:p w:rsidR="003162A2" w:rsidRDefault="003162A2" w:rsidP="00700F67">
      <w:pPr>
        <w:pStyle w:val="NormalWeb"/>
        <w:spacing w:before="0" w:beforeAutospacing="0" w:after="0" w:afterAutospacing="0" w:line="360" w:lineRule="auto"/>
        <w:ind w:firstLine="720"/>
        <w:jc w:val="both"/>
        <w:rPr>
          <w:lang w:val="lt-LT"/>
        </w:rPr>
      </w:pPr>
    </w:p>
    <w:p w:rsidR="003162A2" w:rsidRDefault="003162A2" w:rsidP="00700F67">
      <w:pPr>
        <w:pStyle w:val="NormalWeb"/>
        <w:spacing w:before="0" w:beforeAutospacing="0" w:after="0" w:afterAutospacing="0" w:line="360" w:lineRule="auto"/>
        <w:ind w:firstLine="720"/>
        <w:jc w:val="both"/>
        <w:rPr>
          <w:lang w:val="lt-LT"/>
        </w:rPr>
      </w:pPr>
    </w:p>
    <w:p w:rsidR="007F0F80" w:rsidRDefault="007F0F80" w:rsidP="00700F67">
      <w:pPr>
        <w:pStyle w:val="NormalWeb"/>
        <w:spacing w:before="0" w:beforeAutospacing="0" w:after="0" w:afterAutospacing="0" w:line="360" w:lineRule="auto"/>
        <w:ind w:firstLine="720"/>
        <w:jc w:val="both"/>
        <w:rPr>
          <w:lang w:val="lt-LT"/>
        </w:rPr>
      </w:pPr>
    </w:p>
    <w:p w:rsidR="007F0F80" w:rsidRDefault="007F0F80" w:rsidP="00700F67">
      <w:pPr>
        <w:pStyle w:val="NormalWeb"/>
        <w:spacing w:before="0" w:beforeAutospacing="0" w:after="0" w:afterAutospacing="0" w:line="360" w:lineRule="auto"/>
        <w:ind w:firstLine="720"/>
        <w:jc w:val="both"/>
        <w:rPr>
          <w:lang w:val="lt-LT"/>
        </w:rPr>
      </w:pPr>
    </w:p>
    <w:p w:rsidR="003162A2" w:rsidRDefault="003162A2" w:rsidP="00700F67">
      <w:pPr>
        <w:pStyle w:val="NormalWeb"/>
        <w:spacing w:before="0" w:beforeAutospacing="0" w:after="0" w:afterAutospacing="0" w:line="360" w:lineRule="auto"/>
        <w:ind w:firstLine="720"/>
        <w:jc w:val="both"/>
        <w:rPr>
          <w:lang w:val="lt-LT"/>
        </w:rPr>
      </w:pPr>
    </w:p>
    <w:p w:rsidR="00940AD8" w:rsidRDefault="00940AD8" w:rsidP="00700F67">
      <w:pPr>
        <w:pStyle w:val="NormalWeb"/>
        <w:spacing w:before="0" w:beforeAutospacing="0" w:after="0" w:afterAutospacing="0" w:line="360" w:lineRule="auto"/>
        <w:ind w:firstLine="720"/>
        <w:jc w:val="both"/>
        <w:rPr>
          <w:lang w:val="lt-LT"/>
        </w:rPr>
      </w:pPr>
    </w:p>
    <w:p w:rsidR="00940AD8" w:rsidRDefault="00940AD8" w:rsidP="00700F67">
      <w:pPr>
        <w:pStyle w:val="NormalWeb"/>
        <w:spacing w:before="0" w:beforeAutospacing="0" w:after="0" w:afterAutospacing="0" w:line="360" w:lineRule="auto"/>
        <w:ind w:firstLine="720"/>
        <w:jc w:val="both"/>
        <w:rPr>
          <w:lang w:val="lt-LT"/>
        </w:rPr>
      </w:pPr>
    </w:p>
    <w:p w:rsidR="0039648D" w:rsidRDefault="0039648D" w:rsidP="00700F67">
      <w:pPr>
        <w:pStyle w:val="NormalWeb"/>
        <w:spacing w:before="0" w:beforeAutospacing="0" w:after="0" w:afterAutospacing="0" w:line="360" w:lineRule="auto"/>
        <w:ind w:firstLine="720"/>
        <w:jc w:val="both"/>
        <w:rPr>
          <w:lang w:val="lt-LT"/>
        </w:rPr>
      </w:pPr>
    </w:p>
    <w:p w:rsidR="00216158" w:rsidRDefault="00216158" w:rsidP="00700F67">
      <w:pPr>
        <w:pStyle w:val="NormalWeb"/>
        <w:spacing w:before="0" w:beforeAutospacing="0" w:after="0" w:afterAutospacing="0" w:line="360" w:lineRule="auto"/>
        <w:ind w:firstLine="720"/>
        <w:jc w:val="both"/>
        <w:rPr>
          <w:lang w:val="lt-LT"/>
        </w:rPr>
      </w:pPr>
    </w:p>
    <w:p w:rsidR="00216158" w:rsidRDefault="00216158" w:rsidP="00700F67">
      <w:pPr>
        <w:pStyle w:val="NormalWeb"/>
        <w:spacing w:before="0" w:beforeAutospacing="0" w:after="0" w:afterAutospacing="0" w:line="360" w:lineRule="auto"/>
        <w:ind w:firstLine="720"/>
        <w:jc w:val="both"/>
        <w:rPr>
          <w:lang w:val="lt-LT"/>
        </w:rPr>
      </w:pPr>
    </w:p>
    <w:p w:rsidR="00216158" w:rsidRDefault="00216158" w:rsidP="00700F67">
      <w:pPr>
        <w:pStyle w:val="NormalWeb"/>
        <w:spacing w:before="0" w:beforeAutospacing="0" w:after="0" w:afterAutospacing="0" w:line="360" w:lineRule="auto"/>
        <w:ind w:firstLine="720"/>
        <w:jc w:val="both"/>
        <w:rPr>
          <w:lang w:val="lt-LT"/>
        </w:rPr>
      </w:pPr>
    </w:p>
    <w:p w:rsidR="00C618DD" w:rsidRDefault="00C618DD" w:rsidP="00C618DD">
      <w:pPr>
        <w:pStyle w:val="NormalWeb"/>
        <w:spacing w:before="120" w:beforeAutospacing="0" w:after="0" w:afterAutospacing="0"/>
        <w:rPr>
          <w:lang w:val="lt-LT"/>
        </w:rPr>
      </w:pPr>
    </w:p>
    <w:p w:rsidR="00F35B10" w:rsidRPr="005F44E6" w:rsidRDefault="00F35B10" w:rsidP="00466E1B">
      <w:pPr>
        <w:pStyle w:val="NormalWeb"/>
        <w:spacing w:before="0" w:beforeAutospacing="0" w:after="0" w:afterAutospacing="0"/>
        <w:rPr>
          <w:b/>
          <w:sz w:val="20"/>
          <w:szCs w:val="20"/>
          <w:lang w:val="lt-LT"/>
        </w:rPr>
      </w:pPr>
      <w:r w:rsidRPr="005F44E6">
        <w:rPr>
          <w:sz w:val="20"/>
          <w:szCs w:val="20"/>
          <w:lang w:val="lt-LT"/>
        </w:rPr>
        <w:t>Šaltinis: sukurta autorės.</w:t>
      </w:r>
    </w:p>
    <w:p w:rsidR="00F35B10" w:rsidRPr="00A3654D" w:rsidRDefault="00CE6550" w:rsidP="00466E1B">
      <w:pPr>
        <w:pStyle w:val="NormalWeb"/>
        <w:spacing w:before="0" w:beforeAutospacing="0" w:after="0" w:afterAutospacing="0"/>
        <w:ind w:firstLine="720"/>
        <w:jc w:val="center"/>
        <w:rPr>
          <w:b/>
          <w:sz w:val="26"/>
          <w:szCs w:val="26"/>
          <w:lang w:val="lt-LT"/>
        </w:rPr>
      </w:pPr>
      <w:r w:rsidRPr="00A3654D">
        <w:rPr>
          <w:b/>
          <w:sz w:val="26"/>
          <w:szCs w:val="26"/>
          <w:lang w:val="lt-LT"/>
        </w:rPr>
        <w:t>2</w:t>
      </w:r>
      <w:r w:rsidR="00F35B10" w:rsidRPr="00A3654D">
        <w:rPr>
          <w:b/>
          <w:sz w:val="26"/>
          <w:szCs w:val="26"/>
          <w:lang w:val="lt-LT"/>
        </w:rPr>
        <w:t xml:space="preserve"> pav. </w:t>
      </w:r>
      <w:r w:rsidR="00946D6F" w:rsidRPr="00A3654D">
        <w:rPr>
          <w:b/>
          <w:sz w:val="26"/>
          <w:szCs w:val="26"/>
          <w:lang w:val="lt-LT"/>
        </w:rPr>
        <w:t>Įmonės r</w:t>
      </w:r>
      <w:r w:rsidR="00F35B10" w:rsidRPr="00A3654D">
        <w:rPr>
          <w:b/>
          <w:sz w:val="26"/>
          <w:szCs w:val="26"/>
          <w:lang w:val="lt-LT"/>
        </w:rPr>
        <w:t>izikos valdymo proces</w:t>
      </w:r>
      <w:r w:rsidR="00946D6F" w:rsidRPr="00A3654D">
        <w:rPr>
          <w:b/>
          <w:sz w:val="26"/>
          <w:szCs w:val="26"/>
          <w:lang w:val="lt-LT"/>
        </w:rPr>
        <w:t>as</w:t>
      </w:r>
    </w:p>
    <w:p w:rsidR="00CE6550" w:rsidRPr="00A3654D" w:rsidRDefault="00946D6F" w:rsidP="00A3654D">
      <w:pPr>
        <w:pStyle w:val="NormalWeb"/>
        <w:spacing w:before="240" w:beforeAutospacing="0" w:after="120" w:afterAutospacing="0" w:line="360" w:lineRule="auto"/>
        <w:ind w:firstLine="720"/>
        <w:jc w:val="both"/>
        <w:rPr>
          <w:sz w:val="26"/>
          <w:szCs w:val="26"/>
          <w:lang w:val="lt-LT"/>
        </w:rPr>
      </w:pPr>
      <w:r w:rsidRPr="00A3654D">
        <w:rPr>
          <w:sz w:val="26"/>
          <w:szCs w:val="26"/>
          <w:lang w:val="lt-LT"/>
        </w:rPr>
        <w:t>D</w:t>
      </w:r>
      <w:r w:rsidR="00163BF0" w:rsidRPr="00A3654D">
        <w:rPr>
          <w:sz w:val="26"/>
          <w:szCs w:val="26"/>
          <w:lang w:val="lt-LT"/>
        </w:rPr>
        <w:t>a</w:t>
      </w:r>
      <w:r w:rsidRPr="00A3654D">
        <w:rPr>
          <w:sz w:val="26"/>
          <w:szCs w:val="26"/>
          <w:lang w:val="lt-LT"/>
        </w:rPr>
        <w:t>r</w:t>
      </w:r>
      <w:r w:rsidR="00163BF0" w:rsidRPr="00A3654D">
        <w:rPr>
          <w:sz w:val="26"/>
          <w:szCs w:val="26"/>
          <w:lang w:val="lt-LT"/>
        </w:rPr>
        <w:t>bo a</w:t>
      </w:r>
      <w:r w:rsidR="00CE6550" w:rsidRPr="00A3654D">
        <w:rPr>
          <w:sz w:val="26"/>
          <w:szCs w:val="26"/>
          <w:lang w:val="lt-LT"/>
        </w:rPr>
        <w:t xml:space="preserve">utorės nuomone, </w:t>
      </w:r>
      <w:r w:rsidR="00163BF0" w:rsidRPr="00A3654D">
        <w:rPr>
          <w:sz w:val="26"/>
          <w:szCs w:val="26"/>
          <w:lang w:val="lt-LT"/>
        </w:rPr>
        <w:t xml:space="preserve">įmonės </w:t>
      </w:r>
      <w:r w:rsidR="00CE6550" w:rsidRPr="00A3654D">
        <w:rPr>
          <w:sz w:val="26"/>
          <w:szCs w:val="26"/>
          <w:lang w:val="lt-LT"/>
        </w:rPr>
        <w:t>rizikos valdymo procese tikslinga būt</w:t>
      </w:r>
      <w:r w:rsidR="006A32BE" w:rsidRPr="00A3654D">
        <w:rPr>
          <w:sz w:val="26"/>
          <w:szCs w:val="26"/>
          <w:lang w:val="lt-LT"/>
        </w:rPr>
        <w:t>ų</w:t>
      </w:r>
      <w:r w:rsidR="00CE6550" w:rsidRPr="00A3654D">
        <w:rPr>
          <w:sz w:val="26"/>
          <w:szCs w:val="26"/>
          <w:lang w:val="lt-LT"/>
        </w:rPr>
        <w:t xml:space="preserve"> išskirti šiuos pagrindinius 6 etapus: 1) tikslų nustatymas, 2) rizikos identifikavimas, 3) rizikos vertinimas, 4) atsakas į riziką, 5) informavimas ir 6)</w:t>
      </w:r>
      <w:r w:rsidR="00041860">
        <w:rPr>
          <w:sz w:val="26"/>
          <w:szCs w:val="26"/>
          <w:lang w:val="lt-LT"/>
        </w:rPr>
        <w:t> </w:t>
      </w:r>
      <w:r w:rsidR="00CE6550" w:rsidRPr="00A3654D">
        <w:rPr>
          <w:sz w:val="26"/>
          <w:szCs w:val="26"/>
          <w:lang w:val="lt-LT"/>
        </w:rPr>
        <w:t>rizikos stebėsena, kuriuos aptarsime detaliau.</w:t>
      </w:r>
    </w:p>
    <w:p w:rsidR="001006DB" w:rsidRPr="00A3654D" w:rsidRDefault="006E6478" w:rsidP="00A36182">
      <w:pPr>
        <w:pStyle w:val="NormalWeb"/>
        <w:spacing w:before="0" w:beforeAutospacing="0" w:after="0" w:afterAutospacing="0" w:line="360" w:lineRule="auto"/>
        <w:ind w:firstLine="720"/>
        <w:jc w:val="both"/>
        <w:rPr>
          <w:sz w:val="26"/>
          <w:szCs w:val="26"/>
          <w:lang w:val="lt-LT"/>
        </w:rPr>
      </w:pPr>
      <w:r w:rsidRPr="00A3654D">
        <w:rPr>
          <w:sz w:val="26"/>
          <w:szCs w:val="26"/>
          <w:lang w:val="lt-LT"/>
        </w:rPr>
        <w:t xml:space="preserve">Nors mokslo darbuose (Moeller, 2007; </w:t>
      </w:r>
      <w:r w:rsidR="003447BC" w:rsidRPr="00A3654D">
        <w:rPr>
          <w:sz w:val="26"/>
          <w:szCs w:val="26"/>
          <w:lang w:val="lt-LT"/>
        </w:rPr>
        <w:t xml:space="preserve">Chapman, 2006; </w:t>
      </w:r>
      <w:r w:rsidRPr="00A3654D">
        <w:rPr>
          <w:sz w:val="26"/>
          <w:szCs w:val="26"/>
          <w:lang w:val="lt-LT"/>
        </w:rPr>
        <w:t xml:space="preserve">Vasiliauskaitė, Pranckevičiūtė, 2004; Liučvaitis, 2003) atskiras </w:t>
      </w:r>
      <w:r w:rsidRPr="00A3654D">
        <w:rPr>
          <w:i/>
          <w:sz w:val="26"/>
          <w:szCs w:val="26"/>
          <w:lang w:val="lt-LT"/>
        </w:rPr>
        <w:t>t</w:t>
      </w:r>
      <w:r w:rsidR="001006DB" w:rsidRPr="00A3654D">
        <w:rPr>
          <w:i/>
          <w:sz w:val="26"/>
          <w:szCs w:val="26"/>
          <w:lang w:val="lt-LT"/>
        </w:rPr>
        <w:t xml:space="preserve">ikslų nustatymo </w:t>
      </w:r>
      <w:r w:rsidR="001006DB" w:rsidRPr="00A3654D">
        <w:rPr>
          <w:sz w:val="26"/>
          <w:szCs w:val="26"/>
          <w:lang w:val="lt-LT"/>
        </w:rPr>
        <w:t>etapas</w:t>
      </w:r>
      <w:r w:rsidRPr="00A3654D">
        <w:rPr>
          <w:sz w:val="26"/>
          <w:szCs w:val="26"/>
          <w:lang w:val="lt-LT"/>
        </w:rPr>
        <w:t xml:space="preserve"> nėra išskiria</w:t>
      </w:r>
      <w:r w:rsidR="00AB7F6A" w:rsidRPr="00A3654D">
        <w:rPr>
          <w:sz w:val="26"/>
          <w:szCs w:val="26"/>
          <w:lang w:val="lt-LT"/>
        </w:rPr>
        <w:t xml:space="preserve">mas, </w:t>
      </w:r>
      <w:r w:rsidR="00946D6F" w:rsidRPr="00A3654D">
        <w:rPr>
          <w:sz w:val="26"/>
          <w:szCs w:val="26"/>
          <w:lang w:val="lt-LT"/>
        </w:rPr>
        <w:t xml:space="preserve">darbo </w:t>
      </w:r>
      <w:r w:rsidR="00AB7F6A" w:rsidRPr="00A3654D">
        <w:rPr>
          <w:sz w:val="26"/>
          <w:szCs w:val="26"/>
          <w:lang w:val="lt-LT"/>
        </w:rPr>
        <w:t>autorės nuomone</w:t>
      </w:r>
      <w:r w:rsidR="006A32BE" w:rsidRPr="00A3654D">
        <w:rPr>
          <w:sz w:val="26"/>
          <w:szCs w:val="26"/>
          <w:lang w:val="lt-LT"/>
        </w:rPr>
        <w:t>,</w:t>
      </w:r>
      <w:r w:rsidR="00AB7F6A" w:rsidRPr="00A3654D">
        <w:rPr>
          <w:sz w:val="26"/>
          <w:szCs w:val="26"/>
          <w:lang w:val="lt-LT"/>
        </w:rPr>
        <w:t xml:space="preserve"> jį</w:t>
      </w:r>
      <w:r w:rsidRPr="00A3654D">
        <w:rPr>
          <w:sz w:val="26"/>
          <w:szCs w:val="26"/>
          <w:lang w:val="lt-LT"/>
        </w:rPr>
        <w:t xml:space="preserve"> būtina išskirti.</w:t>
      </w:r>
      <w:r w:rsidR="001006DB" w:rsidRPr="00A3654D">
        <w:rPr>
          <w:sz w:val="26"/>
          <w:szCs w:val="26"/>
          <w:lang w:val="lt-LT"/>
        </w:rPr>
        <w:t xml:space="preserve"> </w:t>
      </w:r>
      <w:r w:rsidRPr="005F6038">
        <w:rPr>
          <w:sz w:val="26"/>
          <w:szCs w:val="26"/>
          <w:lang w:val="lt-LT"/>
        </w:rPr>
        <w:t>Tikslų nustatymo etap</w:t>
      </w:r>
      <w:r w:rsidR="001006DB" w:rsidRPr="005F6038">
        <w:rPr>
          <w:sz w:val="26"/>
          <w:szCs w:val="26"/>
          <w:lang w:val="lt-LT"/>
        </w:rPr>
        <w:t xml:space="preserve">e rizikos valdymo proceso tikslai (užtikrinti įmonės veiklos tęstinumą, </w:t>
      </w:r>
      <w:r w:rsidR="001006DB" w:rsidRPr="005F6038">
        <w:rPr>
          <w:sz w:val="26"/>
          <w:szCs w:val="26"/>
          <w:lang w:val="lt-LT"/>
        </w:rPr>
        <w:lastRenderedPageBreak/>
        <w:t xml:space="preserve">minimizuoti išlaidas susijusias su rizikomis ar pan.), </w:t>
      </w:r>
      <w:r w:rsidRPr="005F6038">
        <w:rPr>
          <w:sz w:val="26"/>
          <w:szCs w:val="26"/>
          <w:lang w:val="lt-LT"/>
        </w:rPr>
        <w:t>su</w:t>
      </w:r>
      <w:r w:rsidR="001006DB" w:rsidRPr="005F6038">
        <w:rPr>
          <w:sz w:val="26"/>
          <w:szCs w:val="26"/>
          <w:lang w:val="lt-LT"/>
        </w:rPr>
        <w:t xml:space="preserve">derinami su įmonės tikslais. </w:t>
      </w:r>
      <w:r w:rsidRPr="005F6038">
        <w:rPr>
          <w:sz w:val="26"/>
          <w:szCs w:val="26"/>
          <w:lang w:val="lt-LT"/>
        </w:rPr>
        <w:t xml:space="preserve">Be to, </w:t>
      </w:r>
      <w:r w:rsidR="00FB7351" w:rsidRPr="005F6038">
        <w:rPr>
          <w:sz w:val="26"/>
          <w:szCs w:val="26"/>
          <w:lang w:val="lt-LT"/>
        </w:rPr>
        <w:t>š</w:t>
      </w:r>
      <w:r w:rsidR="00B04F86" w:rsidRPr="005F6038">
        <w:rPr>
          <w:sz w:val="26"/>
          <w:szCs w:val="26"/>
          <w:lang w:val="lt-LT"/>
        </w:rPr>
        <w:t>iame</w:t>
      </w:r>
      <w:r w:rsidR="00FB7351" w:rsidRPr="005F6038">
        <w:rPr>
          <w:sz w:val="26"/>
          <w:szCs w:val="26"/>
          <w:lang w:val="lt-LT"/>
        </w:rPr>
        <w:t xml:space="preserve"> rizikos valdymo etap</w:t>
      </w:r>
      <w:r w:rsidR="00B04F86" w:rsidRPr="005F6038">
        <w:rPr>
          <w:sz w:val="26"/>
          <w:szCs w:val="26"/>
          <w:lang w:val="lt-LT"/>
        </w:rPr>
        <w:t>e svarbus vaidmuo tenka įmonė</w:t>
      </w:r>
      <w:r w:rsidR="00B04F86" w:rsidRPr="00A3654D">
        <w:rPr>
          <w:sz w:val="26"/>
          <w:szCs w:val="26"/>
          <w:lang w:val="lt-LT"/>
        </w:rPr>
        <w:t xml:space="preserve">s vidaus aplinkai, kuri yra įmonės „tonas“ ir atskleidžia kaip </w:t>
      </w:r>
      <w:r w:rsidR="00906830" w:rsidRPr="00A3654D">
        <w:rPr>
          <w:sz w:val="26"/>
          <w:szCs w:val="26"/>
          <w:lang w:val="lt-LT"/>
        </w:rPr>
        <w:t>įmonėje</w:t>
      </w:r>
      <w:r w:rsidR="00B04F86" w:rsidRPr="00A3654D">
        <w:rPr>
          <w:sz w:val="26"/>
          <w:szCs w:val="26"/>
          <w:lang w:val="lt-LT"/>
        </w:rPr>
        <w:t xml:space="preserve"> yra žiūrima į riziką, įskaitant kokia yra rizikos valdym</w:t>
      </w:r>
      <w:r w:rsidR="00906830" w:rsidRPr="00A3654D">
        <w:rPr>
          <w:sz w:val="26"/>
          <w:szCs w:val="26"/>
          <w:lang w:val="lt-LT"/>
        </w:rPr>
        <w:t>o filosofija ir polinkis rizikuoti, kaip joje vertinamas sąžiningumas</w:t>
      </w:r>
      <w:r w:rsidR="006A32BE" w:rsidRPr="00A3654D">
        <w:rPr>
          <w:sz w:val="26"/>
          <w:szCs w:val="26"/>
          <w:lang w:val="lt-LT"/>
        </w:rPr>
        <w:t>,</w:t>
      </w:r>
      <w:r w:rsidR="00906830" w:rsidRPr="00A3654D">
        <w:rPr>
          <w:sz w:val="26"/>
          <w:szCs w:val="26"/>
          <w:lang w:val="lt-LT"/>
        </w:rPr>
        <w:t xml:space="preserve"> kitos etinės vertybės ir pan.</w:t>
      </w:r>
      <w:r w:rsidR="00FB7351" w:rsidRPr="00A3654D">
        <w:rPr>
          <w:sz w:val="26"/>
          <w:szCs w:val="26"/>
          <w:lang w:val="lt-LT"/>
        </w:rPr>
        <w:t xml:space="preserve"> </w:t>
      </w:r>
      <w:r w:rsidR="001006DB" w:rsidRPr="00A3654D">
        <w:rPr>
          <w:i/>
          <w:sz w:val="26"/>
          <w:szCs w:val="26"/>
          <w:lang w:val="lt-LT"/>
        </w:rPr>
        <w:t>Rizikos identifikavimo</w:t>
      </w:r>
      <w:r w:rsidR="001006DB" w:rsidRPr="00A3654D">
        <w:rPr>
          <w:sz w:val="26"/>
          <w:szCs w:val="26"/>
          <w:lang w:val="lt-LT"/>
        </w:rPr>
        <w:t xml:space="preserve"> etapas</w:t>
      </w:r>
      <w:r w:rsidR="0016032E" w:rsidRPr="00A3654D">
        <w:rPr>
          <w:sz w:val="26"/>
          <w:szCs w:val="26"/>
          <w:lang w:val="lt-LT"/>
        </w:rPr>
        <w:t xml:space="preserve"> (išskirtas visuose nagrinėtuose mokslo darbuose)</w:t>
      </w:r>
      <w:r w:rsidR="001006DB" w:rsidRPr="00A3654D">
        <w:rPr>
          <w:sz w:val="26"/>
          <w:szCs w:val="26"/>
          <w:lang w:val="lt-LT"/>
        </w:rPr>
        <w:t xml:space="preserve"> skirtas išsiaiškinti įvykius</w:t>
      </w:r>
      <w:r w:rsidR="00FB7351" w:rsidRPr="00A3654D">
        <w:rPr>
          <w:sz w:val="26"/>
          <w:szCs w:val="26"/>
          <w:lang w:val="lt-LT"/>
        </w:rPr>
        <w:t xml:space="preserve"> bei su jais susijusias rizikas</w:t>
      </w:r>
      <w:r w:rsidR="001006DB" w:rsidRPr="00A3654D">
        <w:rPr>
          <w:sz w:val="26"/>
          <w:szCs w:val="26"/>
          <w:lang w:val="lt-LT"/>
        </w:rPr>
        <w:t>, pasireiškianči</w:t>
      </w:r>
      <w:r w:rsidR="00FB7351" w:rsidRPr="00A3654D">
        <w:rPr>
          <w:sz w:val="26"/>
          <w:szCs w:val="26"/>
          <w:lang w:val="lt-LT"/>
        </w:rPr>
        <w:t>a</w:t>
      </w:r>
      <w:r w:rsidR="001006DB" w:rsidRPr="00A3654D">
        <w:rPr>
          <w:sz w:val="26"/>
          <w:szCs w:val="26"/>
          <w:lang w:val="lt-LT"/>
        </w:rPr>
        <w:t>s tiek įmonės išorės, tiek ir vidaus aplinkoje, kuri</w:t>
      </w:r>
      <w:r w:rsidR="00FB7351" w:rsidRPr="00A3654D">
        <w:rPr>
          <w:sz w:val="26"/>
          <w:szCs w:val="26"/>
          <w:lang w:val="lt-LT"/>
        </w:rPr>
        <w:t>os</w:t>
      </w:r>
      <w:r w:rsidR="001006DB" w:rsidRPr="00A3654D">
        <w:rPr>
          <w:sz w:val="26"/>
          <w:szCs w:val="26"/>
          <w:lang w:val="lt-LT"/>
        </w:rPr>
        <w:t xml:space="preserve"> gali paveikti įmonės tikslų pasiekiamumą. </w:t>
      </w:r>
      <w:r w:rsidR="00AB7F6A" w:rsidRPr="00A3654D">
        <w:rPr>
          <w:sz w:val="26"/>
          <w:szCs w:val="26"/>
          <w:lang w:val="lt-LT"/>
        </w:rPr>
        <w:t xml:space="preserve">Nuomonės dėl </w:t>
      </w:r>
      <w:r w:rsidR="00E62F50" w:rsidRPr="00A3654D">
        <w:rPr>
          <w:sz w:val="26"/>
          <w:szCs w:val="26"/>
          <w:lang w:val="lt-LT"/>
        </w:rPr>
        <w:t xml:space="preserve">to, ką turėtų apimti </w:t>
      </w:r>
      <w:r w:rsidR="00B359BA" w:rsidRPr="00A3654D">
        <w:rPr>
          <w:sz w:val="26"/>
          <w:szCs w:val="26"/>
          <w:lang w:val="lt-LT"/>
        </w:rPr>
        <w:t>trečiasis rizikos valdymo etapas</w:t>
      </w:r>
      <w:r w:rsidR="00AB7F6A" w:rsidRPr="00A3654D">
        <w:rPr>
          <w:sz w:val="26"/>
          <w:szCs w:val="26"/>
          <w:lang w:val="lt-LT"/>
        </w:rPr>
        <w:t xml:space="preserve"> </w:t>
      </w:r>
      <w:r w:rsidR="00B359BA" w:rsidRPr="00A3654D">
        <w:rPr>
          <w:sz w:val="26"/>
          <w:szCs w:val="26"/>
          <w:lang w:val="lt-LT"/>
        </w:rPr>
        <w:t xml:space="preserve">– </w:t>
      </w:r>
      <w:r w:rsidR="00B359BA" w:rsidRPr="00A3654D">
        <w:rPr>
          <w:i/>
          <w:sz w:val="26"/>
          <w:szCs w:val="26"/>
          <w:lang w:val="lt-LT"/>
        </w:rPr>
        <w:t>rizikos vertinimas</w:t>
      </w:r>
      <w:r w:rsidR="00B359BA" w:rsidRPr="00A3654D">
        <w:rPr>
          <w:sz w:val="26"/>
          <w:szCs w:val="26"/>
          <w:lang w:val="lt-LT"/>
        </w:rPr>
        <w:t xml:space="preserve"> </w:t>
      </w:r>
      <w:r w:rsidR="00E56238" w:rsidRPr="00A3654D">
        <w:rPr>
          <w:sz w:val="26"/>
          <w:szCs w:val="26"/>
          <w:lang w:val="lt-LT"/>
        </w:rPr>
        <w:t xml:space="preserve">mokslo darbuose </w:t>
      </w:r>
      <w:r w:rsidR="00A3654D">
        <w:rPr>
          <w:sz w:val="26"/>
          <w:szCs w:val="26"/>
          <w:lang w:val="lt-LT"/>
        </w:rPr>
        <w:t>skiriasi: J. </w:t>
      </w:r>
      <w:r w:rsidR="00AB7F6A" w:rsidRPr="00A3654D">
        <w:rPr>
          <w:sz w:val="26"/>
          <w:szCs w:val="26"/>
          <w:lang w:val="lt-LT"/>
        </w:rPr>
        <w:t>Sutherland, D</w:t>
      </w:r>
      <w:r w:rsidR="00574CBE">
        <w:rPr>
          <w:sz w:val="26"/>
          <w:szCs w:val="26"/>
          <w:lang w:val="lt-LT"/>
        </w:rPr>
        <w:t>.</w:t>
      </w:r>
      <w:r w:rsidR="00AB7F6A" w:rsidRPr="00A3654D">
        <w:rPr>
          <w:sz w:val="26"/>
          <w:szCs w:val="26"/>
          <w:lang w:val="lt-LT"/>
        </w:rPr>
        <w:t xml:space="preserve"> Canwell (2004) </w:t>
      </w:r>
      <w:r w:rsidR="00E62F50" w:rsidRPr="00A3654D">
        <w:rPr>
          <w:sz w:val="26"/>
          <w:szCs w:val="26"/>
          <w:lang w:val="lt-LT"/>
        </w:rPr>
        <w:t xml:space="preserve">siūlo </w:t>
      </w:r>
      <w:r w:rsidR="00AB7F6A" w:rsidRPr="00A3654D">
        <w:rPr>
          <w:sz w:val="26"/>
          <w:szCs w:val="26"/>
          <w:lang w:val="lt-LT"/>
        </w:rPr>
        <w:t xml:space="preserve">atskirti rizikos analizę </w:t>
      </w:r>
      <w:r w:rsidR="00E62F50" w:rsidRPr="00A3654D">
        <w:rPr>
          <w:sz w:val="26"/>
          <w:szCs w:val="26"/>
          <w:lang w:val="lt-LT"/>
        </w:rPr>
        <w:t>nuo rizikos įvertinimo</w:t>
      </w:r>
      <w:r w:rsidR="00B359BA" w:rsidRPr="00A3654D">
        <w:rPr>
          <w:sz w:val="26"/>
          <w:szCs w:val="26"/>
          <w:lang w:val="lt-LT"/>
        </w:rPr>
        <w:t xml:space="preserve"> ir rangavimo</w:t>
      </w:r>
      <w:r w:rsidR="00574CBE">
        <w:rPr>
          <w:sz w:val="26"/>
          <w:szCs w:val="26"/>
          <w:lang w:val="lt-LT"/>
        </w:rPr>
        <w:t>, R. J. </w:t>
      </w:r>
      <w:r w:rsidR="00E62F50" w:rsidRPr="00A3654D">
        <w:rPr>
          <w:sz w:val="26"/>
          <w:szCs w:val="26"/>
          <w:lang w:val="lt-LT"/>
        </w:rPr>
        <w:t>Chapman (200</w:t>
      </w:r>
      <w:r w:rsidR="003447BC" w:rsidRPr="00A3654D">
        <w:rPr>
          <w:sz w:val="26"/>
          <w:szCs w:val="26"/>
          <w:lang w:val="lt-LT"/>
        </w:rPr>
        <w:t>6</w:t>
      </w:r>
      <w:r w:rsidR="00E62F50" w:rsidRPr="00A3654D">
        <w:rPr>
          <w:sz w:val="26"/>
          <w:szCs w:val="26"/>
          <w:lang w:val="lt-LT"/>
        </w:rPr>
        <w:t xml:space="preserve">) – rizikos vertinimą nuo jos įvertinimo, </w:t>
      </w:r>
      <w:r w:rsidR="00B359BA" w:rsidRPr="00A3654D">
        <w:rPr>
          <w:sz w:val="26"/>
          <w:szCs w:val="26"/>
          <w:lang w:val="lt-LT"/>
        </w:rPr>
        <w:t>A. Wa</w:t>
      </w:r>
      <w:r w:rsidR="00E62F50" w:rsidRPr="00A3654D">
        <w:rPr>
          <w:sz w:val="26"/>
          <w:szCs w:val="26"/>
          <w:lang w:val="lt-LT"/>
        </w:rPr>
        <w:t>ring, A.</w:t>
      </w:r>
      <w:r w:rsidR="00574CBE">
        <w:rPr>
          <w:sz w:val="26"/>
          <w:szCs w:val="26"/>
          <w:lang w:val="lt-LT"/>
        </w:rPr>
        <w:t> </w:t>
      </w:r>
      <w:r w:rsidR="00E62F50" w:rsidRPr="00A3654D">
        <w:rPr>
          <w:sz w:val="26"/>
          <w:szCs w:val="26"/>
          <w:lang w:val="lt-LT"/>
        </w:rPr>
        <w:t>I.</w:t>
      </w:r>
      <w:r w:rsidR="00574CBE">
        <w:rPr>
          <w:sz w:val="26"/>
          <w:szCs w:val="26"/>
          <w:lang w:val="lt-LT"/>
        </w:rPr>
        <w:t> </w:t>
      </w:r>
      <w:r w:rsidR="00E62F50" w:rsidRPr="00A3654D">
        <w:rPr>
          <w:sz w:val="26"/>
          <w:szCs w:val="26"/>
          <w:lang w:val="lt-LT"/>
        </w:rPr>
        <w:t xml:space="preserve">Glendon (2002) </w:t>
      </w:r>
      <w:r w:rsidR="009E0D6F" w:rsidRPr="00A3654D">
        <w:rPr>
          <w:sz w:val="26"/>
          <w:szCs w:val="26"/>
          <w:lang w:val="lt-LT"/>
        </w:rPr>
        <w:t xml:space="preserve">– rizikos apskaičiavimą nuo jos įvertinimo, o </w:t>
      </w:r>
      <w:r w:rsidR="00E62F50" w:rsidRPr="00A3654D">
        <w:rPr>
          <w:sz w:val="26"/>
          <w:szCs w:val="26"/>
          <w:lang w:val="lt-LT"/>
        </w:rPr>
        <w:t>AIRMIC, ALARM, IRM Rizikos valdymo standartas (2002) traktuoja, kad rizikos verti</w:t>
      </w:r>
      <w:r w:rsidR="00CB2D37">
        <w:rPr>
          <w:sz w:val="26"/>
          <w:szCs w:val="26"/>
          <w:lang w:val="lt-LT"/>
        </w:rPr>
        <w:t>ni</w:t>
      </w:r>
      <w:r w:rsidR="00E62F50" w:rsidRPr="00A3654D">
        <w:rPr>
          <w:sz w:val="26"/>
          <w:szCs w:val="26"/>
          <w:lang w:val="lt-LT"/>
        </w:rPr>
        <w:t xml:space="preserve">mas turėtų apimti ir </w:t>
      </w:r>
      <w:r w:rsidR="00E62F50" w:rsidRPr="00A3654D">
        <w:rPr>
          <w:i/>
          <w:sz w:val="26"/>
          <w:szCs w:val="26"/>
          <w:lang w:val="lt-LT"/>
        </w:rPr>
        <w:t>rizikos analizę,</w:t>
      </w:r>
      <w:r w:rsidR="00E62F50" w:rsidRPr="00A3654D">
        <w:rPr>
          <w:sz w:val="26"/>
          <w:szCs w:val="26"/>
          <w:lang w:val="lt-LT"/>
        </w:rPr>
        <w:t xml:space="preserve"> ir </w:t>
      </w:r>
      <w:r w:rsidR="00E62F50" w:rsidRPr="00A3654D">
        <w:rPr>
          <w:i/>
          <w:sz w:val="26"/>
          <w:szCs w:val="26"/>
          <w:lang w:val="lt-LT"/>
        </w:rPr>
        <w:t>rizikos įvertinimą</w:t>
      </w:r>
      <w:r w:rsidR="00E62F50" w:rsidRPr="00A3654D">
        <w:rPr>
          <w:sz w:val="26"/>
          <w:szCs w:val="26"/>
          <w:lang w:val="lt-LT"/>
        </w:rPr>
        <w:t xml:space="preserve">. </w:t>
      </w:r>
      <w:r w:rsidR="00A04007" w:rsidRPr="00A3654D">
        <w:rPr>
          <w:sz w:val="26"/>
          <w:szCs w:val="26"/>
          <w:lang w:val="lt-LT"/>
        </w:rPr>
        <w:t>I</w:t>
      </w:r>
      <w:r w:rsidR="00B359BA" w:rsidRPr="00A3654D">
        <w:rPr>
          <w:sz w:val="26"/>
          <w:szCs w:val="26"/>
          <w:lang w:val="lt-LT"/>
        </w:rPr>
        <w:t>šn</w:t>
      </w:r>
      <w:r w:rsidR="00E56238" w:rsidRPr="00A3654D">
        <w:rPr>
          <w:sz w:val="26"/>
          <w:szCs w:val="26"/>
          <w:lang w:val="lt-LT"/>
        </w:rPr>
        <w:t>agrinė</w:t>
      </w:r>
      <w:r w:rsidR="00F74F49" w:rsidRPr="00A3654D">
        <w:rPr>
          <w:sz w:val="26"/>
          <w:szCs w:val="26"/>
          <w:lang w:val="lt-LT"/>
        </w:rPr>
        <w:t>jus</w:t>
      </w:r>
      <w:r w:rsidR="00E56238" w:rsidRPr="00A3654D">
        <w:rPr>
          <w:sz w:val="26"/>
          <w:szCs w:val="26"/>
          <w:lang w:val="lt-LT"/>
        </w:rPr>
        <w:t xml:space="preserve"> kaip </w:t>
      </w:r>
      <w:r w:rsidR="00D85EF1" w:rsidRPr="00A3654D">
        <w:rPr>
          <w:sz w:val="26"/>
          <w:szCs w:val="26"/>
          <w:lang w:val="lt-LT"/>
        </w:rPr>
        <w:t xml:space="preserve">minėtuose </w:t>
      </w:r>
      <w:r w:rsidR="009E0D6F" w:rsidRPr="00A3654D">
        <w:rPr>
          <w:sz w:val="26"/>
          <w:szCs w:val="26"/>
          <w:lang w:val="lt-LT"/>
        </w:rPr>
        <w:t>darbuose</w:t>
      </w:r>
      <w:r w:rsidR="0034118A" w:rsidRPr="00A3654D">
        <w:rPr>
          <w:sz w:val="26"/>
          <w:szCs w:val="26"/>
          <w:lang w:val="lt-LT"/>
        </w:rPr>
        <w:t xml:space="preserve"> </w:t>
      </w:r>
      <w:r w:rsidR="00306A4D" w:rsidRPr="00A3654D">
        <w:rPr>
          <w:sz w:val="26"/>
          <w:szCs w:val="26"/>
          <w:lang w:val="lt-LT"/>
        </w:rPr>
        <w:t xml:space="preserve">yra </w:t>
      </w:r>
      <w:r w:rsidR="00E56238" w:rsidRPr="00A3654D">
        <w:rPr>
          <w:sz w:val="26"/>
          <w:szCs w:val="26"/>
          <w:lang w:val="lt-LT"/>
        </w:rPr>
        <w:t>interpretuoja</w:t>
      </w:r>
      <w:r w:rsidR="00306A4D" w:rsidRPr="00A3654D">
        <w:rPr>
          <w:sz w:val="26"/>
          <w:szCs w:val="26"/>
          <w:lang w:val="lt-LT"/>
        </w:rPr>
        <w:t xml:space="preserve">mos </w:t>
      </w:r>
      <w:r w:rsidR="00E56238" w:rsidRPr="00A3654D">
        <w:rPr>
          <w:sz w:val="26"/>
          <w:szCs w:val="26"/>
          <w:lang w:val="lt-LT"/>
        </w:rPr>
        <w:t>rizikos analizės (angl.</w:t>
      </w:r>
      <w:r w:rsidR="00E56238" w:rsidRPr="00A3654D">
        <w:rPr>
          <w:sz w:val="26"/>
          <w:szCs w:val="26"/>
        </w:rPr>
        <w:t xml:space="preserve"> </w:t>
      </w:r>
      <w:r w:rsidR="00E56238" w:rsidRPr="00A3654D">
        <w:rPr>
          <w:i/>
          <w:sz w:val="26"/>
          <w:szCs w:val="26"/>
        </w:rPr>
        <w:t>risk analysis</w:t>
      </w:r>
      <w:r w:rsidR="00E56238" w:rsidRPr="00A3654D">
        <w:rPr>
          <w:sz w:val="26"/>
          <w:szCs w:val="26"/>
          <w:lang w:val="lt-LT"/>
        </w:rPr>
        <w:t xml:space="preserve">), rizikos įvertinimo (angl. </w:t>
      </w:r>
      <w:r w:rsidR="00E56238" w:rsidRPr="00A3654D">
        <w:rPr>
          <w:i/>
          <w:sz w:val="26"/>
          <w:szCs w:val="26"/>
        </w:rPr>
        <w:t>risk evaluation</w:t>
      </w:r>
      <w:r w:rsidR="00E56238" w:rsidRPr="00A3654D">
        <w:rPr>
          <w:sz w:val="26"/>
          <w:szCs w:val="26"/>
          <w:lang w:val="lt-LT"/>
        </w:rPr>
        <w:t>)</w:t>
      </w:r>
      <w:r w:rsidR="009E0D6F" w:rsidRPr="00A3654D">
        <w:rPr>
          <w:sz w:val="26"/>
          <w:szCs w:val="26"/>
          <w:lang w:val="lt-LT"/>
        </w:rPr>
        <w:t xml:space="preserve">, rizikos apskaičiavimo (angl. </w:t>
      </w:r>
      <w:r w:rsidR="009E0D6F" w:rsidRPr="00A3654D">
        <w:rPr>
          <w:i/>
          <w:sz w:val="26"/>
          <w:szCs w:val="26"/>
        </w:rPr>
        <w:t>risk estimation</w:t>
      </w:r>
      <w:r w:rsidR="009E0D6F" w:rsidRPr="00A3654D">
        <w:rPr>
          <w:sz w:val="26"/>
          <w:szCs w:val="26"/>
          <w:lang w:val="lt-LT"/>
        </w:rPr>
        <w:t>)</w:t>
      </w:r>
      <w:r w:rsidR="00E56238" w:rsidRPr="00A3654D">
        <w:rPr>
          <w:sz w:val="26"/>
          <w:szCs w:val="26"/>
          <w:lang w:val="lt-LT"/>
        </w:rPr>
        <w:t xml:space="preserve"> bei rizikos vertinimo (angl. </w:t>
      </w:r>
      <w:r w:rsidR="00E56238" w:rsidRPr="00A3654D">
        <w:rPr>
          <w:i/>
          <w:sz w:val="26"/>
          <w:szCs w:val="26"/>
        </w:rPr>
        <w:t>risk assessment</w:t>
      </w:r>
      <w:r w:rsidR="00E56238" w:rsidRPr="00A3654D">
        <w:rPr>
          <w:sz w:val="26"/>
          <w:szCs w:val="26"/>
          <w:lang w:val="lt-LT"/>
        </w:rPr>
        <w:t>) sąv</w:t>
      </w:r>
      <w:r w:rsidR="00306A4D" w:rsidRPr="00A3654D">
        <w:rPr>
          <w:sz w:val="26"/>
          <w:szCs w:val="26"/>
          <w:lang w:val="lt-LT"/>
        </w:rPr>
        <w:t>ok</w:t>
      </w:r>
      <w:r w:rsidR="00D85EF1" w:rsidRPr="00A3654D">
        <w:rPr>
          <w:sz w:val="26"/>
          <w:szCs w:val="26"/>
          <w:lang w:val="lt-LT"/>
        </w:rPr>
        <w:t>o</w:t>
      </w:r>
      <w:r w:rsidR="00E56238" w:rsidRPr="00A3654D">
        <w:rPr>
          <w:sz w:val="26"/>
          <w:szCs w:val="26"/>
          <w:lang w:val="lt-LT"/>
        </w:rPr>
        <w:t>s</w:t>
      </w:r>
      <w:r w:rsidR="00F74F49" w:rsidRPr="00A3654D">
        <w:rPr>
          <w:sz w:val="26"/>
          <w:szCs w:val="26"/>
          <w:lang w:val="lt-LT"/>
        </w:rPr>
        <w:t>, nustatyta, kad:</w:t>
      </w:r>
      <w:r w:rsidR="00A04007" w:rsidRPr="00A3654D">
        <w:rPr>
          <w:sz w:val="26"/>
          <w:szCs w:val="26"/>
          <w:lang w:val="lt-LT"/>
        </w:rPr>
        <w:t xml:space="preserve"> </w:t>
      </w:r>
      <w:r w:rsidR="0034118A" w:rsidRPr="00A3654D">
        <w:rPr>
          <w:sz w:val="26"/>
          <w:szCs w:val="26"/>
          <w:lang w:val="lt-LT"/>
        </w:rPr>
        <w:t xml:space="preserve">1) </w:t>
      </w:r>
      <w:r w:rsidR="00A04007" w:rsidRPr="00A3654D">
        <w:rPr>
          <w:sz w:val="26"/>
          <w:szCs w:val="26"/>
          <w:lang w:val="lt-LT"/>
        </w:rPr>
        <w:t>„rizikos analizė“</w:t>
      </w:r>
      <w:r w:rsidR="00A36182" w:rsidRPr="00A3654D">
        <w:rPr>
          <w:sz w:val="26"/>
          <w:szCs w:val="26"/>
          <w:lang w:val="lt-LT"/>
        </w:rPr>
        <w:t xml:space="preserve"> </w:t>
      </w:r>
      <w:r w:rsidR="00A04007" w:rsidRPr="00A3654D">
        <w:rPr>
          <w:sz w:val="26"/>
          <w:szCs w:val="26"/>
          <w:lang w:val="lt-LT"/>
        </w:rPr>
        <w:t xml:space="preserve">yra platesnė sąvoka nei </w:t>
      </w:r>
      <w:r w:rsidR="0034118A" w:rsidRPr="00A3654D">
        <w:rPr>
          <w:sz w:val="26"/>
          <w:szCs w:val="26"/>
          <w:lang w:val="lt-LT"/>
        </w:rPr>
        <w:t>„</w:t>
      </w:r>
      <w:r w:rsidR="00A04007" w:rsidRPr="00A3654D">
        <w:rPr>
          <w:sz w:val="26"/>
          <w:szCs w:val="26"/>
          <w:lang w:val="lt-LT"/>
        </w:rPr>
        <w:t xml:space="preserve">rizikos apskaičiavimas“, nes ji </w:t>
      </w:r>
      <w:r w:rsidR="00A36182" w:rsidRPr="00A3654D">
        <w:rPr>
          <w:sz w:val="26"/>
          <w:szCs w:val="26"/>
          <w:lang w:val="lt-LT"/>
        </w:rPr>
        <w:t>suprantama, kaip rizikos identifikavimas</w:t>
      </w:r>
      <w:r w:rsidR="0034118A" w:rsidRPr="00A3654D">
        <w:rPr>
          <w:sz w:val="26"/>
          <w:szCs w:val="26"/>
          <w:lang w:val="lt-LT"/>
        </w:rPr>
        <w:t xml:space="preserve"> (darbo autorės siūlomas kaip atskiras rizikos valdymo etapas)</w:t>
      </w:r>
      <w:r w:rsidR="00A36182" w:rsidRPr="00A3654D">
        <w:rPr>
          <w:sz w:val="26"/>
          <w:szCs w:val="26"/>
          <w:lang w:val="lt-LT"/>
        </w:rPr>
        <w:t xml:space="preserve">, </w:t>
      </w:r>
      <w:r w:rsidR="004F5A9B" w:rsidRPr="00A3654D">
        <w:rPr>
          <w:sz w:val="26"/>
          <w:szCs w:val="26"/>
          <w:lang w:val="lt-LT"/>
        </w:rPr>
        <w:t xml:space="preserve">rizikos aprašymas (informacijos apie riziką pateikimas struktūrizuotu formatu) ir rizikos apskaičiavimas (rizikų </w:t>
      </w:r>
      <w:r w:rsidR="00306A4D" w:rsidRPr="00A3654D">
        <w:rPr>
          <w:sz w:val="26"/>
          <w:szCs w:val="26"/>
          <w:lang w:val="lt-LT"/>
        </w:rPr>
        <w:t xml:space="preserve">tikimybių ir galimų pasekmių apskaičiavimas remiantis </w:t>
      </w:r>
      <w:r w:rsidR="00A04007" w:rsidRPr="00A3654D">
        <w:rPr>
          <w:sz w:val="26"/>
          <w:szCs w:val="26"/>
          <w:lang w:val="lt-LT"/>
        </w:rPr>
        <w:t>tam tikrais</w:t>
      </w:r>
      <w:r w:rsidR="004F5A9B" w:rsidRPr="00A3654D">
        <w:rPr>
          <w:sz w:val="26"/>
          <w:szCs w:val="26"/>
          <w:lang w:val="lt-LT"/>
        </w:rPr>
        <w:t xml:space="preserve"> metodais</w:t>
      </w:r>
      <w:r w:rsidR="00306A4D" w:rsidRPr="00A3654D">
        <w:rPr>
          <w:sz w:val="26"/>
          <w:szCs w:val="26"/>
          <w:lang w:val="lt-LT"/>
        </w:rPr>
        <w:t>)</w:t>
      </w:r>
      <w:r w:rsidR="0034118A" w:rsidRPr="00A3654D">
        <w:rPr>
          <w:sz w:val="26"/>
          <w:szCs w:val="26"/>
          <w:lang w:val="lt-LT"/>
        </w:rPr>
        <w:t xml:space="preserve">; 2) </w:t>
      </w:r>
      <w:r w:rsidR="008824B8" w:rsidRPr="00A3654D">
        <w:rPr>
          <w:sz w:val="26"/>
          <w:szCs w:val="26"/>
          <w:lang w:val="lt-LT"/>
        </w:rPr>
        <w:t>rizikos įvertinim</w:t>
      </w:r>
      <w:r w:rsidR="009E0D6F" w:rsidRPr="00A3654D">
        <w:rPr>
          <w:sz w:val="26"/>
          <w:szCs w:val="26"/>
          <w:lang w:val="lt-LT"/>
        </w:rPr>
        <w:t>as –</w:t>
      </w:r>
      <w:r w:rsidR="00EA570A" w:rsidRPr="00A3654D">
        <w:rPr>
          <w:sz w:val="26"/>
          <w:szCs w:val="26"/>
          <w:lang w:val="lt-LT"/>
        </w:rPr>
        <w:t xml:space="preserve"> </w:t>
      </w:r>
      <w:r w:rsidR="009E0D6F" w:rsidRPr="00A3654D">
        <w:rPr>
          <w:sz w:val="26"/>
          <w:szCs w:val="26"/>
          <w:lang w:val="lt-LT"/>
        </w:rPr>
        <w:t xml:space="preserve">procesas, kurio </w:t>
      </w:r>
      <w:r w:rsidR="008824B8" w:rsidRPr="00A3654D">
        <w:rPr>
          <w:sz w:val="26"/>
          <w:szCs w:val="26"/>
          <w:lang w:val="lt-LT"/>
        </w:rPr>
        <w:t>metu nusprendžiama apie rizikų svarbumą įmonei</w:t>
      </w:r>
      <w:r w:rsidR="0034118A" w:rsidRPr="00A3654D">
        <w:rPr>
          <w:sz w:val="26"/>
          <w:szCs w:val="26"/>
          <w:lang w:val="lt-LT"/>
        </w:rPr>
        <w:t>,</w:t>
      </w:r>
      <w:r w:rsidR="008824B8" w:rsidRPr="00A3654D">
        <w:rPr>
          <w:sz w:val="26"/>
          <w:szCs w:val="26"/>
          <w:lang w:val="lt-LT"/>
        </w:rPr>
        <w:t xml:space="preserve"> </w:t>
      </w:r>
      <w:r w:rsidR="007A6595" w:rsidRPr="00A3654D">
        <w:rPr>
          <w:sz w:val="26"/>
          <w:szCs w:val="26"/>
          <w:lang w:val="lt-LT"/>
        </w:rPr>
        <w:t>t. y. rizikos lyginamos su nustatytais kriterijais, išsiaiškinama, ar jos turėtų būti priimamos, o gal numatomos kitos priemonės</w:t>
      </w:r>
      <w:r w:rsidR="008824B8" w:rsidRPr="00A3654D">
        <w:rPr>
          <w:sz w:val="26"/>
          <w:szCs w:val="26"/>
          <w:lang w:val="lt-LT"/>
        </w:rPr>
        <w:t>.</w:t>
      </w:r>
      <w:r w:rsidR="004F5A9B" w:rsidRPr="00A3654D">
        <w:rPr>
          <w:sz w:val="26"/>
          <w:szCs w:val="26"/>
          <w:lang w:val="lt-LT"/>
        </w:rPr>
        <w:t xml:space="preserve"> </w:t>
      </w:r>
      <w:r w:rsidR="00C06A31" w:rsidRPr="00A3654D">
        <w:rPr>
          <w:sz w:val="26"/>
          <w:szCs w:val="26"/>
          <w:lang w:val="lt-LT"/>
        </w:rPr>
        <w:t>A</w:t>
      </w:r>
      <w:r w:rsidR="00D85EF1" w:rsidRPr="00A3654D">
        <w:rPr>
          <w:sz w:val="26"/>
          <w:szCs w:val="26"/>
          <w:lang w:val="lt-LT"/>
        </w:rPr>
        <w:t>tsižvelgia</w:t>
      </w:r>
      <w:r w:rsidR="00440B5F" w:rsidRPr="00A3654D">
        <w:rPr>
          <w:sz w:val="26"/>
          <w:szCs w:val="26"/>
          <w:lang w:val="lt-LT"/>
        </w:rPr>
        <w:t>n</w:t>
      </w:r>
      <w:r w:rsidR="00D85EF1" w:rsidRPr="00A3654D">
        <w:rPr>
          <w:sz w:val="26"/>
          <w:szCs w:val="26"/>
          <w:lang w:val="lt-LT"/>
        </w:rPr>
        <w:t>t į tai</w:t>
      </w:r>
      <w:r w:rsidR="00C06A31" w:rsidRPr="00A3654D">
        <w:rPr>
          <w:sz w:val="26"/>
          <w:szCs w:val="26"/>
          <w:lang w:val="lt-LT"/>
        </w:rPr>
        <w:t xml:space="preserve">, </w:t>
      </w:r>
      <w:r w:rsidR="00DA5EE1" w:rsidRPr="00A3654D">
        <w:rPr>
          <w:sz w:val="26"/>
          <w:szCs w:val="26"/>
          <w:lang w:val="lt-LT"/>
        </w:rPr>
        <w:t xml:space="preserve">darbo </w:t>
      </w:r>
      <w:r w:rsidR="00C06A31" w:rsidRPr="00A3654D">
        <w:rPr>
          <w:sz w:val="26"/>
          <w:szCs w:val="26"/>
          <w:lang w:val="lt-LT"/>
        </w:rPr>
        <w:t>autorės nuomone, trečiąj</w:t>
      </w:r>
      <w:r w:rsidR="00D85EF1" w:rsidRPr="00A3654D">
        <w:rPr>
          <w:sz w:val="26"/>
          <w:szCs w:val="26"/>
          <w:lang w:val="lt-LT"/>
        </w:rPr>
        <w:t>į</w:t>
      </w:r>
      <w:r w:rsidR="00C06A31" w:rsidRPr="00A3654D">
        <w:rPr>
          <w:sz w:val="26"/>
          <w:szCs w:val="26"/>
          <w:lang w:val="lt-LT"/>
        </w:rPr>
        <w:t xml:space="preserve"> rizikos valdymo etapą reikėtų vadinti „rizikos vertinimas“, kuris apimtų rizik</w:t>
      </w:r>
      <w:r w:rsidR="00D85EF1" w:rsidRPr="00A3654D">
        <w:rPr>
          <w:sz w:val="26"/>
          <w:szCs w:val="26"/>
          <w:lang w:val="lt-LT"/>
        </w:rPr>
        <w:t>ų</w:t>
      </w:r>
      <w:r w:rsidR="00C06A31" w:rsidRPr="00A3654D">
        <w:rPr>
          <w:sz w:val="26"/>
          <w:szCs w:val="26"/>
          <w:lang w:val="lt-LT"/>
        </w:rPr>
        <w:t xml:space="preserve"> apskaičia</w:t>
      </w:r>
      <w:r w:rsidR="00B359BA" w:rsidRPr="00A3654D">
        <w:rPr>
          <w:sz w:val="26"/>
          <w:szCs w:val="26"/>
          <w:lang w:val="lt-LT"/>
        </w:rPr>
        <w:t xml:space="preserve">vimą ir </w:t>
      </w:r>
      <w:r w:rsidR="00D85EF1" w:rsidRPr="00A3654D">
        <w:rPr>
          <w:sz w:val="26"/>
          <w:szCs w:val="26"/>
          <w:lang w:val="lt-LT"/>
        </w:rPr>
        <w:t xml:space="preserve">bendrą </w:t>
      </w:r>
      <w:r w:rsidR="003C34A9" w:rsidRPr="00A3654D">
        <w:rPr>
          <w:sz w:val="26"/>
          <w:szCs w:val="26"/>
          <w:lang w:val="lt-LT"/>
        </w:rPr>
        <w:t>j</w:t>
      </w:r>
      <w:r w:rsidR="00D85EF1" w:rsidRPr="00A3654D">
        <w:rPr>
          <w:sz w:val="26"/>
          <w:szCs w:val="26"/>
          <w:lang w:val="lt-LT"/>
        </w:rPr>
        <w:t>ų</w:t>
      </w:r>
      <w:r w:rsidR="00B359BA" w:rsidRPr="00A3654D">
        <w:rPr>
          <w:sz w:val="26"/>
          <w:szCs w:val="26"/>
          <w:lang w:val="lt-LT"/>
        </w:rPr>
        <w:t xml:space="preserve"> įvertinimą.</w:t>
      </w:r>
      <w:r w:rsidR="00C06A31" w:rsidRPr="00A3654D">
        <w:rPr>
          <w:sz w:val="26"/>
          <w:szCs w:val="26"/>
          <w:lang w:val="lt-LT"/>
        </w:rPr>
        <w:t xml:space="preserve"> </w:t>
      </w:r>
    </w:p>
    <w:p w:rsidR="001006DB" w:rsidRPr="00A3654D" w:rsidRDefault="001006DB" w:rsidP="00C24E10">
      <w:pPr>
        <w:pStyle w:val="NormalWeb"/>
        <w:spacing w:before="0" w:beforeAutospacing="0" w:after="0" w:afterAutospacing="0" w:line="360" w:lineRule="auto"/>
        <w:ind w:firstLine="720"/>
        <w:jc w:val="both"/>
        <w:rPr>
          <w:sz w:val="26"/>
          <w:szCs w:val="26"/>
          <w:lang w:val="lt-LT"/>
        </w:rPr>
      </w:pPr>
      <w:r w:rsidRPr="00A3654D">
        <w:rPr>
          <w:i/>
          <w:sz w:val="26"/>
          <w:szCs w:val="26"/>
          <w:lang w:val="lt-LT"/>
        </w:rPr>
        <w:t>Atsako į riziką</w:t>
      </w:r>
      <w:r w:rsidRPr="00A3654D">
        <w:rPr>
          <w:sz w:val="26"/>
          <w:szCs w:val="26"/>
          <w:lang w:val="lt-LT"/>
        </w:rPr>
        <w:t xml:space="preserve"> etape įmonės vadovybė turi parinkti atitinkamas priemones </w:t>
      </w:r>
      <w:r w:rsidR="00CB2D37" w:rsidRPr="00A3654D">
        <w:rPr>
          <w:sz w:val="26"/>
          <w:szCs w:val="26"/>
          <w:lang w:val="lt-LT"/>
        </w:rPr>
        <w:t>(dar vadinama „strategijas“)</w:t>
      </w:r>
      <w:r w:rsidR="00CB2D37">
        <w:rPr>
          <w:sz w:val="26"/>
          <w:szCs w:val="26"/>
          <w:lang w:val="lt-LT"/>
        </w:rPr>
        <w:t xml:space="preserve"> </w:t>
      </w:r>
      <w:r w:rsidRPr="00A3654D">
        <w:rPr>
          <w:sz w:val="26"/>
          <w:szCs w:val="26"/>
          <w:lang w:val="lt-LT"/>
        </w:rPr>
        <w:t xml:space="preserve">nustatytoms rizikoms </w:t>
      </w:r>
      <w:r w:rsidR="00537A4A" w:rsidRPr="00A3654D">
        <w:rPr>
          <w:sz w:val="26"/>
          <w:szCs w:val="26"/>
          <w:lang w:val="lt-LT"/>
        </w:rPr>
        <w:t>išvengti/mažinti</w:t>
      </w:r>
      <w:r w:rsidRPr="00A3654D">
        <w:rPr>
          <w:sz w:val="26"/>
          <w:szCs w:val="26"/>
          <w:lang w:val="lt-LT"/>
        </w:rPr>
        <w:t xml:space="preserve">, </w:t>
      </w:r>
      <w:r w:rsidRPr="00A3654D">
        <w:rPr>
          <w:sz w:val="26"/>
          <w:szCs w:val="26"/>
          <w:lang w:val="lt-LT"/>
        </w:rPr>
        <w:lastRenderedPageBreak/>
        <w:t>kad šių rizikų poveikis būtų minimizuotas iki priimtino lygio ir suderintas su įmonės rizikos tolerancija ir jos polinkiu rizik</w:t>
      </w:r>
      <w:r w:rsidR="0098680B" w:rsidRPr="00A3654D">
        <w:rPr>
          <w:sz w:val="26"/>
          <w:szCs w:val="26"/>
          <w:lang w:val="lt-LT"/>
        </w:rPr>
        <w:t>uoti.</w:t>
      </w:r>
      <w:r w:rsidRPr="00A3654D">
        <w:rPr>
          <w:sz w:val="26"/>
          <w:szCs w:val="26"/>
          <w:lang w:val="lt-LT"/>
        </w:rPr>
        <w:t xml:space="preserve"> </w:t>
      </w:r>
      <w:r w:rsidR="00537A4A" w:rsidRPr="00A3654D">
        <w:rPr>
          <w:sz w:val="26"/>
          <w:szCs w:val="26"/>
          <w:lang w:val="lt-LT"/>
        </w:rPr>
        <w:t>Nagrinėjant rizikos valdymo strategijas, išski</w:t>
      </w:r>
      <w:r w:rsidR="003447BC" w:rsidRPr="00A3654D">
        <w:rPr>
          <w:sz w:val="26"/>
          <w:szCs w:val="26"/>
          <w:lang w:val="lt-LT"/>
        </w:rPr>
        <w:t xml:space="preserve">riamos </w:t>
      </w:r>
      <w:r w:rsidR="00537A4A" w:rsidRPr="00A3654D">
        <w:rPr>
          <w:sz w:val="26"/>
          <w:szCs w:val="26"/>
          <w:lang w:val="lt-LT"/>
        </w:rPr>
        <w:t>keturi</w:t>
      </w:r>
      <w:r w:rsidR="003447BC" w:rsidRPr="00A3654D">
        <w:rPr>
          <w:sz w:val="26"/>
          <w:szCs w:val="26"/>
          <w:lang w:val="lt-LT"/>
        </w:rPr>
        <w:t>o</w:t>
      </w:r>
      <w:r w:rsidR="00537A4A" w:rsidRPr="00A3654D">
        <w:rPr>
          <w:sz w:val="26"/>
          <w:szCs w:val="26"/>
          <w:lang w:val="lt-LT"/>
        </w:rPr>
        <w:t>s jų alternatyv</w:t>
      </w:r>
      <w:r w:rsidR="003447BC" w:rsidRPr="00A3654D">
        <w:rPr>
          <w:sz w:val="26"/>
          <w:szCs w:val="26"/>
          <w:lang w:val="lt-LT"/>
        </w:rPr>
        <w:t>o</w:t>
      </w:r>
      <w:r w:rsidR="00537A4A" w:rsidRPr="00A3654D">
        <w:rPr>
          <w:sz w:val="26"/>
          <w:szCs w:val="26"/>
          <w:lang w:val="lt-LT"/>
        </w:rPr>
        <w:t>s (</w:t>
      </w:r>
      <w:r w:rsidR="00D52A91" w:rsidRPr="00A3654D">
        <w:rPr>
          <w:sz w:val="26"/>
          <w:szCs w:val="26"/>
          <w:lang w:val="lt-LT"/>
        </w:rPr>
        <w:t xml:space="preserve">Moeller, 2007; Chapman, 2006; Waring, Glendon, 2002; Liučvaitis, 2003; Laskienė, 2003; Leonavičiūtė, Vaškelaitis, 2001; </w:t>
      </w:r>
      <w:r w:rsidR="00537A4A" w:rsidRPr="00A3654D">
        <w:rPr>
          <w:sz w:val="26"/>
          <w:szCs w:val="26"/>
          <w:lang w:val="lt-LT"/>
        </w:rPr>
        <w:t>Garškienė, 1997):</w:t>
      </w:r>
      <w:r w:rsidR="00D52A91" w:rsidRPr="00A3654D">
        <w:rPr>
          <w:sz w:val="26"/>
          <w:szCs w:val="26"/>
          <w:lang w:val="lt-LT"/>
        </w:rPr>
        <w:t xml:space="preserve"> 1) </w:t>
      </w:r>
      <w:r w:rsidR="00537A4A" w:rsidRPr="00A3654D">
        <w:rPr>
          <w:sz w:val="26"/>
          <w:szCs w:val="26"/>
          <w:lang w:val="lt-LT"/>
        </w:rPr>
        <w:t>prisiimti riziką – tam tikros savidraudos formos (lėšų atidėjimas galimiems nuostoliams padengti arba šių nuostolių laikymas išlaidų dalimi) praktikavimas;</w:t>
      </w:r>
      <w:r w:rsidR="00D52A91" w:rsidRPr="00A3654D">
        <w:rPr>
          <w:sz w:val="26"/>
          <w:szCs w:val="26"/>
          <w:lang w:val="lt-LT"/>
        </w:rPr>
        <w:t xml:space="preserve"> 2) </w:t>
      </w:r>
      <w:r w:rsidR="00537A4A" w:rsidRPr="00A3654D">
        <w:rPr>
          <w:sz w:val="26"/>
          <w:szCs w:val="26"/>
          <w:lang w:val="lt-LT"/>
        </w:rPr>
        <w:t xml:space="preserve">ją minimizuoti – būdų rizikai sumažinti radimas, tęsiant įprastą </w:t>
      </w:r>
      <w:r w:rsidR="008C360D" w:rsidRPr="00A3654D">
        <w:rPr>
          <w:sz w:val="26"/>
          <w:szCs w:val="26"/>
          <w:lang w:val="lt-LT"/>
        </w:rPr>
        <w:t>įmonės</w:t>
      </w:r>
      <w:r w:rsidR="00537A4A" w:rsidRPr="00A3654D">
        <w:rPr>
          <w:sz w:val="26"/>
          <w:szCs w:val="26"/>
          <w:lang w:val="lt-LT"/>
        </w:rPr>
        <w:t xml:space="preserve"> veiklą, pavyzdžiui, apsaugos ir kontrolės priemonių peržiūrėjimas ir patobulinimas;</w:t>
      </w:r>
      <w:r w:rsidR="00D52A91" w:rsidRPr="00A3654D">
        <w:rPr>
          <w:sz w:val="26"/>
          <w:szCs w:val="26"/>
          <w:lang w:val="lt-LT"/>
        </w:rPr>
        <w:t xml:space="preserve"> 3) </w:t>
      </w:r>
      <w:r w:rsidR="00537A4A" w:rsidRPr="00A3654D">
        <w:rPr>
          <w:sz w:val="26"/>
          <w:szCs w:val="26"/>
          <w:lang w:val="lt-LT"/>
        </w:rPr>
        <w:t>išvengti jos – vengimas tam tikrų veiklos rūšių ar sričių;</w:t>
      </w:r>
      <w:r w:rsidR="00D52A91" w:rsidRPr="00A3654D">
        <w:rPr>
          <w:sz w:val="26"/>
          <w:szCs w:val="26"/>
          <w:lang w:val="lt-LT"/>
        </w:rPr>
        <w:t xml:space="preserve"> 4) </w:t>
      </w:r>
      <w:r w:rsidR="00537A4A" w:rsidRPr="00A3654D">
        <w:rPr>
          <w:sz w:val="26"/>
          <w:szCs w:val="26"/>
          <w:lang w:val="lt-LT"/>
        </w:rPr>
        <w:t>ją perkelti (pasidalinti) –</w:t>
      </w:r>
      <w:r w:rsidR="00B775B3" w:rsidRPr="00A3654D">
        <w:rPr>
          <w:sz w:val="26"/>
          <w:szCs w:val="26"/>
          <w:lang w:val="lt-LT"/>
        </w:rPr>
        <w:t xml:space="preserve"> </w:t>
      </w:r>
      <w:r w:rsidR="00537A4A" w:rsidRPr="00A3654D">
        <w:rPr>
          <w:sz w:val="26"/>
          <w:szCs w:val="26"/>
          <w:lang w:val="lt-LT"/>
        </w:rPr>
        <w:t xml:space="preserve">išorinis draudimas, t. y. </w:t>
      </w:r>
      <w:r w:rsidR="008C360D" w:rsidRPr="00A3654D">
        <w:rPr>
          <w:sz w:val="26"/>
          <w:szCs w:val="26"/>
          <w:lang w:val="lt-LT"/>
        </w:rPr>
        <w:t>įmonė</w:t>
      </w:r>
      <w:r w:rsidR="00537A4A" w:rsidRPr="00A3654D">
        <w:rPr>
          <w:sz w:val="26"/>
          <w:szCs w:val="26"/>
          <w:lang w:val="lt-LT"/>
        </w:rPr>
        <w:t xml:space="preserve"> gali pakeisti neaiškių nuostolių riziką į žinomą draudimo kainą. </w:t>
      </w:r>
      <w:r w:rsidR="00D1636D">
        <w:rPr>
          <w:sz w:val="26"/>
          <w:szCs w:val="26"/>
          <w:lang w:val="lt-LT"/>
        </w:rPr>
        <w:t xml:space="preserve">Be to, </w:t>
      </w:r>
      <w:r w:rsidR="00537A4A" w:rsidRPr="00A3654D">
        <w:rPr>
          <w:sz w:val="26"/>
          <w:szCs w:val="26"/>
          <w:lang w:val="lt-LT"/>
        </w:rPr>
        <w:t xml:space="preserve">A. Waring ir A. I. Glendon (2002) </w:t>
      </w:r>
      <w:r w:rsidR="00D1636D">
        <w:rPr>
          <w:sz w:val="26"/>
          <w:szCs w:val="26"/>
          <w:lang w:val="lt-LT"/>
        </w:rPr>
        <w:t xml:space="preserve">papildomai </w:t>
      </w:r>
      <w:r w:rsidR="00537A4A" w:rsidRPr="00A3654D">
        <w:rPr>
          <w:sz w:val="26"/>
          <w:szCs w:val="26"/>
          <w:lang w:val="lt-LT"/>
        </w:rPr>
        <w:t>nurodo ir tokias rizikos valdymo strategijas, kurios gali būti taikomos atskirai ar kartu su kitomis, kaip atidėjimą (palaukti ir pažiūrėti), apribojimą (apriboti veiklos apimtį) ir sušvelninimą (žalos apribojimas).</w:t>
      </w:r>
      <w:r w:rsidR="00C24E10" w:rsidRPr="00A3654D">
        <w:rPr>
          <w:sz w:val="26"/>
          <w:szCs w:val="26"/>
          <w:lang w:val="lt-LT"/>
        </w:rPr>
        <w:t xml:space="preserve"> </w:t>
      </w:r>
      <w:r w:rsidR="00521978" w:rsidRPr="00A3654D">
        <w:rPr>
          <w:i/>
          <w:sz w:val="26"/>
          <w:szCs w:val="26"/>
          <w:lang w:val="lt-LT"/>
        </w:rPr>
        <w:t>Informavimo etapas</w:t>
      </w:r>
      <w:r w:rsidR="00521978" w:rsidRPr="00A3654D">
        <w:rPr>
          <w:sz w:val="26"/>
          <w:szCs w:val="26"/>
          <w:lang w:val="lt-LT"/>
        </w:rPr>
        <w:t xml:space="preserve">, kuris yra susijęs su kiekvienu kitu rizikos valdymo proceso etapu, </w:t>
      </w:r>
      <w:r w:rsidR="00366F9E" w:rsidRPr="00A3654D">
        <w:rPr>
          <w:sz w:val="26"/>
          <w:szCs w:val="26"/>
          <w:lang w:val="lt-LT"/>
        </w:rPr>
        <w:t xml:space="preserve">būtinas tam, kad užtikrinti svarbios informacijos pasiekiamumą ir jos pateikimą laiku bei tinkama forma kiekvienam rizikos valdymo proceso dalyviui. </w:t>
      </w:r>
      <w:r w:rsidRPr="00A3654D">
        <w:rPr>
          <w:i/>
          <w:sz w:val="26"/>
          <w:szCs w:val="26"/>
          <w:lang w:val="lt-LT"/>
        </w:rPr>
        <w:t xml:space="preserve">Rizikos stebėsenos </w:t>
      </w:r>
      <w:r w:rsidRPr="00A3654D">
        <w:rPr>
          <w:sz w:val="26"/>
          <w:szCs w:val="26"/>
          <w:lang w:val="lt-LT"/>
        </w:rPr>
        <w:t xml:space="preserve">etapas </w:t>
      </w:r>
      <w:r w:rsidR="003D42D2">
        <w:rPr>
          <w:sz w:val="26"/>
          <w:szCs w:val="26"/>
          <w:lang w:val="lt-LT"/>
        </w:rPr>
        <w:t>būtinas tam</w:t>
      </w:r>
      <w:r w:rsidR="00A752F3" w:rsidRPr="00A3654D">
        <w:rPr>
          <w:sz w:val="26"/>
          <w:szCs w:val="26"/>
          <w:lang w:val="lt-LT"/>
        </w:rPr>
        <w:t xml:space="preserve">, kad įmonės rizikos valdymo procesas sėkmingai veiktų </w:t>
      </w:r>
      <w:r w:rsidRPr="00A3654D">
        <w:rPr>
          <w:sz w:val="26"/>
          <w:szCs w:val="26"/>
          <w:lang w:val="lt-LT"/>
        </w:rPr>
        <w:t>ir</w:t>
      </w:r>
      <w:r w:rsidR="003D42D2">
        <w:rPr>
          <w:sz w:val="26"/>
          <w:szCs w:val="26"/>
          <w:lang w:val="lt-LT"/>
        </w:rPr>
        <w:t>,</w:t>
      </w:r>
      <w:r w:rsidRPr="00A3654D">
        <w:rPr>
          <w:sz w:val="26"/>
          <w:szCs w:val="26"/>
          <w:lang w:val="lt-LT"/>
        </w:rPr>
        <w:t xml:space="preserve"> kai </w:t>
      </w:r>
      <w:r w:rsidR="003D42D2">
        <w:rPr>
          <w:sz w:val="26"/>
          <w:szCs w:val="26"/>
          <w:lang w:val="lt-LT"/>
        </w:rPr>
        <w:t>reikia</w:t>
      </w:r>
      <w:r w:rsidRPr="00A3654D">
        <w:rPr>
          <w:sz w:val="26"/>
          <w:szCs w:val="26"/>
          <w:lang w:val="lt-LT"/>
        </w:rPr>
        <w:t xml:space="preserve">, </w:t>
      </w:r>
      <w:r w:rsidR="00A752F3" w:rsidRPr="00A3654D">
        <w:rPr>
          <w:sz w:val="26"/>
          <w:szCs w:val="26"/>
          <w:lang w:val="lt-LT"/>
        </w:rPr>
        <w:t xml:space="preserve">būtų diegiami </w:t>
      </w:r>
      <w:r w:rsidRPr="00A3654D">
        <w:rPr>
          <w:sz w:val="26"/>
          <w:szCs w:val="26"/>
          <w:lang w:val="lt-LT"/>
        </w:rPr>
        <w:t>jo pakeitim</w:t>
      </w:r>
      <w:r w:rsidR="00A752F3" w:rsidRPr="00A3654D">
        <w:rPr>
          <w:sz w:val="26"/>
          <w:szCs w:val="26"/>
          <w:lang w:val="lt-LT"/>
        </w:rPr>
        <w:t>ai</w:t>
      </w:r>
      <w:r w:rsidRPr="00A3654D">
        <w:rPr>
          <w:sz w:val="26"/>
          <w:szCs w:val="26"/>
          <w:lang w:val="lt-LT"/>
        </w:rPr>
        <w:t xml:space="preserve">. Stebėsena </w:t>
      </w:r>
      <w:r w:rsidR="008D29CB" w:rsidRPr="00A3654D">
        <w:rPr>
          <w:sz w:val="26"/>
          <w:szCs w:val="26"/>
          <w:lang w:val="lt-LT"/>
        </w:rPr>
        <w:t xml:space="preserve">gali būti </w:t>
      </w:r>
      <w:r w:rsidRPr="00A3654D">
        <w:rPr>
          <w:sz w:val="26"/>
          <w:szCs w:val="26"/>
          <w:lang w:val="lt-LT"/>
        </w:rPr>
        <w:t xml:space="preserve">vykdoma per kasdieninius įmonės vadovybės veiksmus, atskirus proceso vertinimus arba </w:t>
      </w:r>
      <w:r w:rsidR="00C24E10" w:rsidRPr="00A3654D">
        <w:rPr>
          <w:sz w:val="26"/>
          <w:szCs w:val="26"/>
          <w:lang w:val="lt-LT"/>
        </w:rPr>
        <w:t>i</w:t>
      </w:r>
      <w:r w:rsidRPr="00A3654D">
        <w:rPr>
          <w:sz w:val="26"/>
          <w:szCs w:val="26"/>
          <w:lang w:val="lt-LT"/>
        </w:rPr>
        <w:t>r per nuolatinę veiklą</w:t>
      </w:r>
      <w:r w:rsidR="00C24E10" w:rsidRPr="00A3654D">
        <w:rPr>
          <w:sz w:val="26"/>
          <w:szCs w:val="26"/>
          <w:lang w:val="lt-LT"/>
        </w:rPr>
        <w:t>,</w:t>
      </w:r>
      <w:r w:rsidRPr="00A3654D">
        <w:rPr>
          <w:sz w:val="26"/>
          <w:szCs w:val="26"/>
          <w:lang w:val="lt-LT"/>
        </w:rPr>
        <w:t xml:space="preserve"> ir atskirus vertinimus kartu.</w:t>
      </w:r>
      <w:r w:rsidR="00C24E10" w:rsidRPr="00A3654D">
        <w:rPr>
          <w:sz w:val="26"/>
          <w:szCs w:val="26"/>
          <w:lang w:val="lt-LT"/>
        </w:rPr>
        <w:t xml:space="preserve"> </w:t>
      </w:r>
      <w:r w:rsidR="00C427E1">
        <w:rPr>
          <w:sz w:val="26"/>
          <w:szCs w:val="26"/>
          <w:lang w:val="lt-LT"/>
        </w:rPr>
        <w:t>Todėl šis etapas</w:t>
      </w:r>
      <w:r w:rsidR="003D42D2">
        <w:rPr>
          <w:sz w:val="26"/>
          <w:szCs w:val="26"/>
          <w:lang w:val="lt-LT"/>
        </w:rPr>
        <w:t xml:space="preserve">, darbo autorės nuomone, turi </w:t>
      </w:r>
      <w:r w:rsidR="00C427E1" w:rsidRPr="00A3654D">
        <w:rPr>
          <w:sz w:val="26"/>
          <w:szCs w:val="26"/>
          <w:lang w:val="lt-LT"/>
        </w:rPr>
        <w:t>apim</w:t>
      </w:r>
      <w:r w:rsidR="003D42D2">
        <w:rPr>
          <w:sz w:val="26"/>
          <w:szCs w:val="26"/>
          <w:lang w:val="lt-LT"/>
        </w:rPr>
        <w:t>ti</w:t>
      </w:r>
      <w:r w:rsidR="00C427E1" w:rsidRPr="00A3654D">
        <w:rPr>
          <w:sz w:val="26"/>
          <w:szCs w:val="26"/>
          <w:lang w:val="lt-LT"/>
        </w:rPr>
        <w:t xml:space="preserve"> ir kontrolės veiksmus, </w:t>
      </w:r>
      <w:r w:rsidR="00C427E1">
        <w:rPr>
          <w:sz w:val="26"/>
          <w:szCs w:val="26"/>
          <w:lang w:val="lt-LT"/>
        </w:rPr>
        <w:t>skirtus užtikrinti, jog tinkamai reaguojama į nustatytą riziką</w:t>
      </w:r>
      <w:r w:rsidR="003D42D2">
        <w:rPr>
          <w:sz w:val="26"/>
          <w:szCs w:val="26"/>
          <w:lang w:val="lt-LT"/>
        </w:rPr>
        <w:t xml:space="preserve">, o ne </w:t>
      </w:r>
      <w:r w:rsidR="004C0725">
        <w:rPr>
          <w:sz w:val="26"/>
          <w:szCs w:val="26"/>
          <w:lang w:val="lt-LT"/>
        </w:rPr>
        <w:t xml:space="preserve">juos įvardinti atskirai, kaip tai daroma </w:t>
      </w:r>
      <w:r w:rsidR="00C427E1" w:rsidRPr="00A3654D">
        <w:rPr>
          <w:sz w:val="26"/>
          <w:szCs w:val="26"/>
          <w:lang w:val="lt-LT"/>
        </w:rPr>
        <w:t xml:space="preserve">COSO ERM </w:t>
      </w:r>
      <w:r w:rsidR="00C427E1">
        <w:rPr>
          <w:sz w:val="26"/>
          <w:szCs w:val="26"/>
          <w:lang w:val="lt-LT"/>
        </w:rPr>
        <w:t>modelyje</w:t>
      </w:r>
      <w:r w:rsidR="00C427E1" w:rsidRPr="00A3654D">
        <w:rPr>
          <w:sz w:val="26"/>
          <w:szCs w:val="26"/>
          <w:lang w:val="lt-LT"/>
        </w:rPr>
        <w:t xml:space="preserve"> (2004)</w:t>
      </w:r>
      <w:r w:rsidR="004C0725">
        <w:rPr>
          <w:sz w:val="26"/>
          <w:szCs w:val="26"/>
          <w:lang w:val="lt-LT"/>
        </w:rPr>
        <w:t>.</w:t>
      </w:r>
      <w:r w:rsidR="00C427E1">
        <w:rPr>
          <w:sz w:val="26"/>
          <w:szCs w:val="26"/>
          <w:lang w:val="lt-LT"/>
        </w:rPr>
        <w:t xml:space="preserve"> </w:t>
      </w:r>
    </w:p>
    <w:p w:rsidR="00561FAB" w:rsidRPr="00A3654D" w:rsidRDefault="004C0725" w:rsidP="004C64F0">
      <w:pPr>
        <w:pStyle w:val="NormalWeb"/>
        <w:spacing w:before="0" w:beforeAutospacing="0" w:after="0" w:afterAutospacing="0" w:line="360" w:lineRule="auto"/>
        <w:ind w:firstLine="720"/>
        <w:jc w:val="both"/>
        <w:rPr>
          <w:sz w:val="26"/>
          <w:szCs w:val="26"/>
          <w:lang w:val="lt-LT"/>
        </w:rPr>
      </w:pPr>
      <w:r>
        <w:rPr>
          <w:sz w:val="26"/>
          <w:szCs w:val="26"/>
          <w:lang w:val="lt-LT"/>
        </w:rPr>
        <w:t>Apibendrinant,</w:t>
      </w:r>
      <w:r w:rsidR="00E53E01" w:rsidRPr="00A3654D">
        <w:rPr>
          <w:sz w:val="26"/>
          <w:szCs w:val="26"/>
          <w:lang w:val="lt-LT"/>
        </w:rPr>
        <w:t xml:space="preserve"> galima teigti, kad </w:t>
      </w:r>
      <w:r w:rsidR="008D29CB" w:rsidRPr="00A3654D">
        <w:rPr>
          <w:sz w:val="26"/>
          <w:szCs w:val="26"/>
          <w:lang w:val="lt-LT"/>
        </w:rPr>
        <w:t xml:space="preserve">įmonės </w:t>
      </w:r>
      <w:r w:rsidR="00E53E01" w:rsidRPr="00A3654D">
        <w:rPr>
          <w:sz w:val="26"/>
          <w:szCs w:val="26"/>
          <w:lang w:val="lt-LT"/>
        </w:rPr>
        <w:t>r</w:t>
      </w:r>
      <w:r w:rsidR="00220E64" w:rsidRPr="00A3654D">
        <w:rPr>
          <w:sz w:val="26"/>
          <w:szCs w:val="26"/>
          <w:lang w:val="lt-LT"/>
        </w:rPr>
        <w:t>izikos valdym</w:t>
      </w:r>
      <w:r w:rsidR="008D29CB" w:rsidRPr="00A3654D">
        <w:rPr>
          <w:sz w:val="26"/>
          <w:szCs w:val="26"/>
          <w:lang w:val="lt-LT"/>
        </w:rPr>
        <w:t>o procesas</w:t>
      </w:r>
      <w:r w:rsidR="00220E64" w:rsidRPr="00A3654D">
        <w:rPr>
          <w:sz w:val="26"/>
          <w:szCs w:val="26"/>
          <w:lang w:val="lt-LT"/>
        </w:rPr>
        <w:t xml:space="preserve"> </w:t>
      </w:r>
      <w:r w:rsidR="00CE6550" w:rsidRPr="00A3654D">
        <w:rPr>
          <w:sz w:val="26"/>
          <w:szCs w:val="26"/>
          <w:lang w:val="lt-LT"/>
        </w:rPr>
        <w:t xml:space="preserve">yra nukreiptas į vienintelį tikslą – kovoti su rizikomis, su kuriomis susiduriama, todėl jis </w:t>
      </w:r>
      <w:r w:rsidR="0098680B" w:rsidRPr="00A3654D">
        <w:rPr>
          <w:sz w:val="26"/>
          <w:szCs w:val="26"/>
          <w:lang w:val="lt-LT"/>
        </w:rPr>
        <w:t>apima įvykių</w:t>
      </w:r>
      <w:r w:rsidR="00BA4C65" w:rsidRPr="00A3654D">
        <w:rPr>
          <w:sz w:val="26"/>
          <w:szCs w:val="26"/>
          <w:lang w:val="lt-LT"/>
        </w:rPr>
        <w:t xml:space="preserve"> bei su jais susijusių rizikų,</w:t>
      </w:r>
      <w:r w:rsidR="0098680B" w:rsidRPr="00A3654D">
        <w:rPr>
          <w:sz w:val="26"/>
          <w:szCs w:val="26"/>
          <w:lang w:val="lt-LT"/>
        </w:rPr>
        <w:t xml:space="preserve"> </w:t>
      </w:r>
      <w:r w:rsidR="00BA4C65" w:rsidRPr="00A3654D">
        <w:rPr>
          <w:sz w:val="26"/>
          <w:szCs w:val="26"/>
          <w:lang w:val="lt-LT"/>
        </w:rPr>
        <w:t xml:space="preserve">kurios galėtų paveikti įmonę, </w:t>
      </w:r>
      <w:r w:rsidR="0098680B" w:rsidRPr="00A3654D">
        <w:rPr>
          <w:sz w:val="26"/>
          <w:szCs w:val="26"/>
          <w:lang w:val="lt-LT"/>
        </w:rPr>
        <w:t xml:space="preserve">identifikavimą, </w:t>
      </w:r>
      <w:r w:rsidR="00BA4C65" w:rsidRPr="00A3654D">
        <w:rPr>
          <w:sz w:val="26"/>
          <w:szCs w:val="26"/>
          <w:lang w:val="lt-LT"/>
        </w:rPr>
        <w:t xml:space="preserve">šių </w:t>
      </w:r>
      <w:r w:rsidR="0098680B" w:rsidRPr="00A3654D">
        <w:rPr>
          <w:sz w:val="26"/>
          <w:szCs w:val="26"/>
          <w:lang w:val="lt-LT"/>
        </w:rPr>
        <w:t>rizik</w:t>
      </w:r>
      <w:r w:rsidR="00BA4C65" w:rsidRPr="00A3654D">
        <w:rPr>
          <w:sz w:val="26"/>
          <w:szCs w:val="26"/>
          <w:lang w:val="lt-LT"/>
        </w:rPr>
        <w:t>ų</w:t>
      </w:r>
      <w:r w:rsidR="0098680B" w:rsidRPr="00A3654D">
        <w:rPr>
          <w:sz w:val="26"/>
          <w:szCs w:val="26"/>
          <w:lang w:val="lt-LT"/>
        </w:rPr>
        <w:t xml:space="preserve"> vertinimą, tinkamo atsako į </w:t>
      </w:r>
      <w:r w:rsidR="00BA4C65" w:rsidRPr="00A3654D">
        <w:rPr>
          <w:sz w:val="26"/>
          <w:szCs w:val="26"/>
          <w:lang w:val="lt-LT"/>
        </w:rPr>
        <w:t>jas</w:t>
      </w:r>
      <w:r w:rsidR="0098680B" w:rsidRPr="00A3654D">
        <w:rPr>
          <w:sz w:val="26"/>
          <w:szCs w:val="26"/>
          <w:lang w:val="lt-LT"/>
        </w:rPr>
        <w:t xml:space="preserve"> parinkimą bei </w:t>
      </w:r>
      <w:r w:rsidR="00BA4C65" w:rsidRPr="00A3654D">
        <w:rPr>
          <w:sz w:val="26"/>
          <w:szCs w:val="26"/>
          <w:lang w:val="lt-LT"/>
        </w:rPr>
        <w:t xml:space="preserve">tolesnę </w:t>
      </w:r>
      <w:r w:rsidR="0098680B" w:rsidRPr="00A3654D">
        <w:rPr>
          <w:sz w:val="26"/>
          <w:szCs w:val="26"/>
          <w:lang w:val="lt-LT"/>
        </w:rPr>
        <w:t>rizikos stebėseną. Savo ruožtu rizikos vertinimas – bendras rizik</w:t>
      </w:r>
      <w:r w:rsidR="00985678" w:rsidRPr="00A3654D">
        <w:rPr>
          <w:sz w:val="26"/>
          <w:szCs w:val="26"/>
          <w:lang w:val="lt-LT"/>
        </w:rPr>
        <w:t>ų</w:t>
      </w:r>
      <w:r w:rsidR="0098680B" w:rsidRPr="00A3654D">
        <w:rPr>
          <w:sz w:val="26"/>
          <w:szCs w:val="26"/>
          <w:lang w:val="lt-LT"/>
        </w:rPr>
        <w:t xml:space="preserve"> apskaičiavimo ir įvertinimo procesas, kurio metu </w:t>
      </w:r>
      <w:r w:rsidR="00DC1239" w:rsidRPr="00A3654D">
        <w:rPr>
          <w:sz w:val="26"/>
          <w:szCs w:val="26"/>
          <w:lang w:val="lt-LT"/>
        </w:rPr>
        <w:t xml:space="preserve">atskiros </w:t>
      </w:r>
      <w:r w:rsidR="0098680B" w:rsidRPr="00A3654D">
        <w:rPr>
          <w:sz w:val="26"/>
          <w:szCs w:val="26"/>
          <w:lang w:val="lt-LT"/>
        </w:rPr>
        <w:t>rizik</w:t>
      </w:r>
      <w:r w:rsidR="00561FAB" w:rsidRPr="00A3654D">
        <w:rPr>
          <w:sz w:val="26"/>
          <w:szCs w:val="26"/>
          <w:lang w:val="lt-LT"/>
        </w:rPr>
        <w:t>os</w:t>
      </w:r>
      <w:r w:rsidR="0098680B" w:rsidRPr="00A3654D">
        <w:rPr>
          <w:sz w:val="26"/>
          <w:szCs w:val="26"/>
          <w:lang w:val="lt-LT"/>
        </w:rPr>
        <w:t xml:space="preserve"> yra </w:t>
      </w:r>
      <w:r w:rsidR="00561FAB" w:rsidRPr="00A3654D">
        <w:rPr>
          <w:sz w:val="26"/>
          <w:szCs w:val="26"/>
          <w:lang w:val="lt-LT"/>
        </w:rPr>
        <w:lastRenderedPageBreak/>
        <w:t>apskaičiuojamos, nustatant jų tikimybę ir galimą įt</w:t>
      </w:r>
      <w:r w:rsidR="00812A7F" w:rsidRPr="00A3654D">
        <w:rPr>
          <w:sz w:val="26"/>
          <w:szCs w:val="26"/>
          <w:lang w:val="lt-LT"/>
        </w:rPr>
        <w:t xml:space="preserve">aką </w:t>
      </w:r>
      <w:r w:rsidR="00561FAB" w:rsidRPr="00A3654D">
        <w:rPr>
          <w:sz w:val="26"/>
          <w:szCs w:val="26"/>
          <w:lang w:val="lt-LT"/>
        </w:rPr>
        <w:t xml:space="preserve">bei įvertinama bendra </w:t>
      </w:r>
      <w:r>
        <w:rPr>
          <w:sz w:val="26"/>
          <w:szCs w:val="26"/>
          <w:lang w:val="lt-LT"/>
        </w:rPr>
        <w:t xml:space="preserve">šių </w:t>
      </w:r>
      <w:r w:rsidR="00561FAB" w:rsidRPr="00A3654D">
        <w:rPr>
          <w:sz w:val="26"/>
          <w:szCs w:val="26"/>
          <w:lang w:val="lt-LT"/>
        </w:rPr>
        <w:t>rizikų įtaka įmonei.</w:t>
      </w:r>
      <w:r w:rsidR="00BA4C65" w:rsidRPr="00A3654D">
        <w:rPr>
          <w:sz w:val="26"/>
          <w:szCs w:val="26"/>
          <w:lang w:val="lt-LT"/>
        </w:rPr>
        <w:t xml:space="preserve"> </w:t>
      </w:r>
    </w:p>
    <w:bookmarkEnd w:id="14"/>
    <w:bookmarkEnd w:id="15"/>
    <w:p w:rsidR="00CF5803" w:rsidRDefault="007C56A4" w:rsidP="008872D7">
      <w:pPr>
        <w:pStyle w:val="NormalWeb"/>
        <w:spacing w:before="0" w:beforeAutospacing="0" w:after="0" w:afterAutospacing="0" w:line="360" w:lineRule="auto"/>
        <w:ind w:firstLine="720"/>
        <w:jc w:val="both"/>
        <w:rPr>
          <w:sz w:val="26"/>
          <w:szCs w:val="26"/>
          <w:lang w:val="lt-LT"/>
        </w:rPr>
      </w:pPr>
      <w:r w:rsidRPr="00A3654D">
        <w:rPr>
          <w:sz w:val="26"/>
          <w:szCs w:val="26"/>
          <w:lang w:val="lt-LT"/>
        </w:rPr>
        <w:t>Atkreiptinas dėmesys, kad ne visuose mokslo darbuose sutinkam</w:t>
      </w:r>
      <w:r w:rsidR="004C0725">
        <w:rPr>
          <w:sz w:val="26"/>
          <w:szCs w:val="26"/>
          <w:lang w:val="lt-LT"/>
        </w:rPr>
        <w:t>o</w:t>
      </w:r>
      <w:r w:rsidRPr="00A3654D">
        <w:rPr>
          <w:sz w:val="26"/>
          <w:szCs w:val="26"/>
          <w:lang w:val="lt-LT"/>
        </w:rPr>
        <w:t xml:space="preserve">s </w:t>
      </w:r>
      <w:r w:rsidR="004C0725">
        <w:rPr>
          <w:sz w:val="26"/>
          <w:szCs w:val="26"/>
          <w:lang w:val="lt-LT"/>
        </w:rPr>
        <w:t xml:space="preserve">vienodos nuomonės </w:t>
      </w:r>
      <w:r w:rsidRPr="00A3654D">
        <w:rPr>
          <w:sz w:val="26"/>
          <w:szCs w:val="26"/>
          <w:lang w:val="lt-LT"/>
        </w:rPr>
        <w:t>dėl rizikos vertinimo</w:t>
      </w:r>
      <w:r w:rsidR="004C0725">
        <w:rPr>
          <w:sz w:val="26"/>
          <w:szCs w:val="26"/>
          <w:lang w:val="lt-LT"/>
        </w:rPr>
        <w:t xml:space="preserve"> galimybių</w:t>
      </w:r>
      <w:r w:rsidRPr="00A3654D">
        <w:rPr>
          <w:sz w:val="26"/>
          <w:szCs w:val="26"/>
          <w:lang w:val="lt-LT"/>
        </w:rPr>
        <w:t>. Pasak J. Adams (2000), rizikos negalima išmatuoti ir įvertinti jokiais kiekybiniais metodais, nes visos egzistuojančios rizikos yra subjektyvios, t. y. priklauso nuo riziką suvokiančio žmogaus elgesio. Tuo tarpu D. Laskienės (2003) nuomone, „tiksliai įvertinti riziką iš tiesų gali nepavykti, bet jos identifikavimo ir vertinimo procesai gali būti naudingi kita prasme: turima informacija ir jos analizė apie galimas rizikas sumažina rizikingų situacijų baimę, įgalina geriau parinkti rizikos valdymo būdus ir metodus, leidžiančius sumažinti arba panaikinti neigiamas rizikos pasekmes, stiprina intuiciją“. Tuo tarpu kiti autoriai (Chapman, 2006; Waring, Glendon, 2002; Vaughan, 1997)</w:t>
      </w:r>
      <w:r w:rsidR="000F13D8">
        <w:rPr>
          <w:sz w:val="26"/>
          <w:szCs w:val="26"/>
          <w:lang w:val="lt-LT"/>
        </w:rPr>
        <w:t xml:space="preserve"> </w:t>
      </w:r>
      <w:r w:rsidRPr="00A3654D">
        <w:rPr>
          <w:sz w:val="26"/>
          <w:szCs w:val="26"/>
          <w:lang w:val="lt-LT"/>
        </w:rPr>
        <w:t>dėmesį skiria tinkamam rizikos vertinimo metodų supratimui ir pritaikymui, nes kitu atveju, tai privestų prie neteising</w:t>
      </w:r>
      <w:r w:rsidR="00DF2BA6" w:rsidRPr="00A3654D">
        <w:rPr>
          <w:sz w:val="26"/>
          <w:szCs w:val="26"/>
          <w:lang w:val="lt-LT"/>
        </w:rPr>
        <w:t>o</w:t>
      </w:r>
      <w:r w:rsidRPr="00A3654D">
        <w:rPr>
          <w:sz w:val="26"/>
          <w:szCs w:val="26"/>
          <w:lang w:val="lt-LT"/>
        </w:rPr>
        <w:t xml:space="preserve"> ekonomini</w:t>
      </w:r>
      <w:r w:rsidR="00DF2BA6" w:rsidRPr="00A3654D">
        <w:rPr>
          <w:sz w:val="26"/>
          <w:szCs w:val="26"/>
          <w:lang w:val="lt-LT"/>
        </w:rPr>
        <w:t>o</w:t>
      </w:r>
      <w:r w:rsidRPr="00A3654D">
        <w:rPr>
          <w:sz w:val="26"/>
          <w:szCs w:val="26"/>
          <w:lang w:val="lt-LT"/>
        </w:rPr>
        <w:t xml:space="preserve"> sprendim</w:t>
      </w:r>
      <w:r w:rsidR="00DF2BA6" w:rsidRPr="00A3654D">
        <w:rPr>
          <w:sz w:val="26"/>
          <w:szCs w:val="26"/>
          <w:lang w:val="lt-LT"/>
        </w:rPr>
        <w:t>o</w:t>
      </w:r>
      <w:r w:rsidRPr="00A3654D">
        <w:rPr>
          <w:sz w:val="26"/>
          <w:szCs w:val="26"/>
          <w:lang w:val="lt-LT"/>
        </w:rPr>
        <w:t xml:space="preserve"> priėmimo.</w:t>
      </w:r>
      <w:r w:rsidR="004C0725" w:rsidRPr="004C0725">
        <w:rPr>
          <w:sz w:val="26"/>
          <w:szCs w:val="26"/>
          <w:lang w:val="lt-LT"/>
        </w:rPr>
        <w:t xml:space="preserve"> </w:t>
      </w:r>
    </w:p>
    <w:p w:rsidR="000F1EE9" w:rsidRPr="0038489B" w:rsidRDefault="000F1EE9" w:rsidP="0038489B">
      <w:pPr>
        <w:ind w:left="7200"/>
        <w:jc w:val="both"/>
        <w:rPr>
          <w:i/>
          <w:sz w:val="26"/>
          <w:szCs w:val="26"/>
          <w:lang w:val="lt-LT"/>
        </w:rPr>
      </w:pPr>
      <w:r w:rsidRPr="0038489B">
        <w:rPr>
          <w:i/>
          <w:sz w:val="26"/>
          <w:szCs w:val="26"/>
          <w:lang w:val="lt-LT"/>
        </w:rPr>
        <w:t>2 lentelė</w:t>
      </w:r>
    </w:p>
    <w:p w:rsidR="000F1EE9" w:rsidRPr="0038489B" w:rsidRDefault="000F1EE9" w:rsidP="0038489B">
      <w:pPr>
        <w:spacing w:after="120"/>
        <w:jc w:val="center"/>
        <w:rPr>
          <w:b/>
          <w:sz w:val="26"/>
          <w:szCs w:val="26"/>
          <w:lang w:val="lt-LT"/>
        </w:rPr>
      </w:pPr>
      <w:r w:rsidRPr="0038489B">
        <w:rPr>
          <w:b/>
          <w:sz w:val="26"/>
          <w:szCs w:val="26"/>
          <w:lang w:val="lt-LT"/>
        </w:rPr>
        <w:t>Rizikos charakteristikų samprata</w:t>
      </w:r>
    </w:p>
    <w:tbl>
      <w:tblPr>
        <w:tblStyle w:val="TableGrid"/>
        <w:tblW w:w="0" w:type="auto"/>
        <w:jc w:val="center"/>
        <w:tblInd w:w="108" w:type="dxa"/>
        <w:tblLook w:val="04A0"/>
      </w:tblPr>
      <w:tblGrid>
        <w:gridCol w:w="2423"/>
        <w:gridCol w:w="3056"/>
        <w:gridCol w:w="2797"/>
      </w:tblGrid>
      <w:tr w:rsidR="00F86179" w:rsidRPr="0038489B" w:rsidTr="005F6038">
        <w:trPr>
          <w:jc w:val="center"/>
        </w:trPr>
        <w:tc>
          <w:tcPr>
            <w:tcW w:w="2423" w:type="dxa"/>
          </w:tcPr>
          <w:p w:rsidR="00F86179" w:rsidRPr="0038489B" w:rsidRDefault="00F86179" w:rsidP="007C56A4">
            <w:pPr>
              <w:pStyle w:val="NormalWeb"/>
              <w:spacing w:before="0" w:beforeAutospacing="0" w:after="0" w:afterAutospacing="0"/>
              <w:jc w:val="center"/>
              <w:rPr>
                <w:b/>
                <w:sz w:val="22"/>
                <w:szCs w:val="22"/>
                <w:lang w:val="lt-LT"/>
              </w:rPr>
            </w:pPr>
            <w:r w:rsidRPr="0038489B">
              <w:rPr>
                <w:b/>
                <w:sz w:val="22"/>
                <w:szCs w:val="22"/>
                <w:lang w:val="lt-LT"/>
              </w:rPr>
              <w:t>Rizikos charakteristika</w:t>
            </w:r>
          </w:p>
        </w:tc>
        <w:tc>
          <w:tcPr>
            <w:tcW w:w="3056" w:type="dxa"/>
          </w:tcPr>
          <w:p w:rsidR="00F86179" w:rsidRPr="0038489B" w:rsidRDefault="00F86179" w:rsidP="007C56A4">
            <w:pPr>
              <w:pStyle w:val="NormalWeb"/>
              <w:spacing w:before="0" w:beforeAutospacing="0" w:after="0" w:afterAutospacing="0"/>
              <w:jc w:val="center"/>
              <w:rPr>
                <w:b/>
                <w:sz w:val="22"/>
                <w:szCs w:val="22"/>
                <w:lang w:val="lt-LT"/>
              </w:rPr>
            </w:pPr>
            <w:r w:rsidRPr="0038489B">
              <w:rPr>
                <w:b/>
                <w:sz w:val="22"/>
                <w:szCs w:val="22"/>
                <w:lang w:val="lt-LT"/>
              </w:rPr>
              <w:t>Formulė</w:t>
            </w:r>
          </w:p>
        </w:tc>
        <w:tc>
          <w:tcPr>
            <w:tcW w:w="2797" w:type="dxa"/>
          </w:tcPr>
          <w:p w:rsidR="00F86179" w:rsidRPr="0038489B" w:rsidRDefault="00F86179" w:rsidP="007C56A4">
            <w:pPr>
              <w:pStyle w:val="NormalWeb"/>
              <w:spacing w:before="0" w:beforeAutospacing="0" w:after="0" w:afterAutospacing="0"/>
              <w:jc w:val="center"/>
              <w:rPr>
                <w:b/>
                <w:sz w:val="22"/>
                <w:szCs w:val="22"/>
                <w:lang w:val="lt-LT"/>
              </w:rPr>
            </w:pPr>
            <w:r w:rsidRPr="0038489B">
              <w:rPr>
                <w:b/>
                <w:sz w:val="22"/>
                <w:szCs w:val="22"/>
                <w:lang w:val="lt-LT"/>
              </w:rPr>
              <w:t>Reikšmė</w:t>
            </w:r>
          </w:p>
        </w:tc>
      </w:tr>
      <w:tr w:rsidR="00F86179" w:rsidRPr="0038489B" w:rsidTr="005F6038">
        <w:trPr>
          <w:jc w:val="center"/>
        </w:trPr>
        <w:tc>
          <w:tcPr>
            <w:tcW w:w="2423" w:type="dxa"/>
          </w:tcPr>
          <w:p w:rsidR="00F86179" w:rsidRPr="0038489B" w:rsidRDefault="00F86179" w:rsidP="007C56A4">
            <w:pPr>
              <w:pStyle w:val="NormalWeb"/>
              <w:spacing w:before="0" w:beforeAutospacing="0" w:after="0" w:afterAutospacing="0"/>
              <w:jc w:val="both"/>
              <w:rPr>
                <w:i/>
                <w:sz w:val="22"/>
                <w:szCs w:val="22"/>
                <w:lang w:val="lt-LT"/>
              </w:rPr>
            </w:pPr>
            <w:r w:rsidRPr="0038489B">
              <w:rPr>
                <w:i/>
                <w:sz w:val="22"/>
                <w:szCs w:val="22"/>
                <w:lang w:val="lt-LT"/>
              </w:rPr>
              <w:t>Matematinis vidurkis (</w:t>
            </w:r>
            <m:oMath>
              <m:acc>
                <m:accPr>
                  <m:chr m:val="̅"/>
                  <m:ctrlPr>
                    <w:rPr>
                      <w:rFonts w:ascii="Cambria Math" w:hAnsi="Cambria Math"/>
                      <w:i/>
                      <w:sz w:val="22"/>
                      <w:szCs w:val="22"/>
                      <w:lang w:val="lt-LT"/>
                    </w:rPr>
                  </m:ctrlPr>
                </m:accPr>
                <m:e>
                  <m:r>
                    <w:rPr>
                      <w:rFonts w:ascii="Cambria Math" w:hAnsi="Cambria Math"/>
                      <w:sz w:val="22"/>
                      <w:szCs w:val="22"/>
                      <w:lang w:val="lt-LT"/>
                    </w:rPr>
                    <m:t>R</m:t>
                  </m:r>
                </m:e>
              </m:acc>
              <m:r>
                <w:rPr>
                  <w:rFonts w:ascii="Cambria Math"/>
                  <w:sz w:val="22"/>
                  <w:szCs w:val="22"/>
                  <w:lang w:val="lt-LT"/>
                </w:rPr>
                <m:t>)</m:t>
              </m:r>
            </m:oMath>
            <w:r w:rsidRPr="0038489B">
              <w:rPr>
                <w:i/>
                <w:sz w:val="22"/>
                <w:szCs w:val="22"/>
                <w:lang w:val="lt-LT"/>
              </w:rPr>
              <w:t xml:space="preserve"> (laukiamoji vertė) – </w:t>
            </w:r>
            <w:r w:rsidRPr="0038489B">
              <w:rPr>
                <w:sz w:val="22"/>
                <w:szCs w:val="22"/>
                <w:lang w:val="lt-LT"/>
              </w:rPr>
              <w:t>svertinis galimų rezultatų vidurkis.</w:t>
            </w:r>
          </w:p>
        </w:tc>
        <w:tc>
          <w:tcPr>
            <w:tcW w:w="3056" w:type="dxa"/>
          </w:tcPr>
          <w:p w:rsidR="006618E5" w:rsidRPr="006618E5" w:rsidRDefault="006618E5" w:rsidP="007C56A4">
            <w:pPr>
              <w:pStyle w:val="NormalWeb"/>
              <w:spacing w:before="0" w:beforeAutospacing="0" w:after="0" w:afterAutospacing="0"/>
              <w:ind w:hanging="23"/>
              <w:jc w:val="both"/>
              <w:rPr>
                <w:i/>
                <w:sz w:val="16"/>
                <w:szCs w:val="16"/>
                <w:lang w:val="lt-LT"/>
              </w:rPr>
            </w:pPr>
          </w:p>
          <w:p w:rsidR="00F86179" w:rsidRDefault="00166819" w:rsidP="007C56A4">
            <w:pPr>
              <w:pStyle w:val="NormalWeb"/>
              <w:spacing w:before="0" w:beforeAutospacing="0" w:after="0" w:afterAutospacing="0"/>
              <w:ind w:hanging="23"/>
              <w:jc w:val="both"/>
              <w:rPr>
                <w:sz w:val="22"/>
                <w:szCs w:val="22"/>
                <w:lang w:val="ru-RU"/>
              </w:rPr>
            </w:pPr>
            <m:oMath>
              <m:acc>
                <m:accPr>
                  <m:chr m:val="̅"/>
                  <m:ctrlPr>
                    <w:rPr>
                      <w:rFonts w:ascii="Cambria Math" w:hAnsi="Cambria Math"/>
                      <w:i/>
                      <w:sz w:val="22"/>
                      <w:szCs w:val="22"/>
                      <w:lang w:val="lt-LT"/>
                    </w:rPr>
                  </m:ctrlPr>
                </m:accPr>
                <m:e>
                  <m:r>
                    <w:rPr>
                      <w:rFonts w:ascii="Cambria Math" w:hAnsi="Cambria Math"/>
                      <w:sz w:val="22"/>
                      <w:szCs w:val="22"/>
                      <w:lang w:val="lt-LT"/>
                    </w:rPr>
                    <m:t>R</m:t>
                  </m:r>
                </m:e>
              </m:acc>
              <m:r>
                <w:rPr>
                  <w:rFonts w:ascii="Cambria Math"/>
                  <w:sz w:val="22"/>
                  <w:szCs w:val="22"/>
                  <w:lang w:val="lt-LT"/>
                </w:rPr>
                <m:t>=</m:t>
              </m:r>
              <m:nary>
                <m:naryPr>
                  <m:chr m:val="∑"/>
                  <m:limLoc m:val="undOvr"/>
                  <m:ctrlPr>
                    <w:rPr>
                      <w:rFonts w:ascii="Cambria Math" w:hAnsi="Cambria Math"/>
                      <w:i/>
                      <w:sz w:val="22"/>
                      <w:szCs w:val="22"/>
                      <w:lang w:val="lt-LT"/>
                    </w:rPr>
                  </m:ctrlPr>
                </m:naryPr>
                <m:sub>
                  <m:r>
                    <w:rPr>
                      <w:rFonts w:ascii="Cambria Math" w:hAnsi="Cambria Math"/>
                      <w:sz w:val="22"/>
                      <w:szCs w:val="22"/>
                    </w:rPr>
                    <m:t>i</m:t>
                  </m:r>
                  <m:r>
                    <w:rPr>
                      <w:rFonts w:ascii="Cambria Math"/>
                      <w:sz w:val="22"/>
                      <w:szCs w:val="22"/>
                      <w:lang w:val="lt-LT"/>
                    </w:rPr>
                    <m:t>=1</m:t>
                  </m:r>
                </m:sub>
                <m:sup>
                  <m:r>
                    <w:rPr>
                      <w:rFonts w:ascii="Cambria Math" w:hAnsi="Cambria Math"/>
                      <w:sz w:val="22"/>
                      <w:szCs w:val="22"/>
                      <w:lang w:val="lt-LT"/>
                    </w:rPr>
                    <m:t>n</m:t>
                  </m:r>
                </m:sup>
                <m:e>
                  <m:sSub>
                    <m:sSubPr>
                      <m:ctrlPr>
                        <w:rPr>
                          <w:rFonts w:ascii="Cambria Math" w:hAnsi="Cambria Math"/>
                          <w:i/>
                          <w:sz w:val="22"/>
                          <w:szCs w:val="22"/>
                          <w:lang w:val="lt-LT"/>
                        </w:rPr>
                      </m:ctrlPr>
                    </m:sSubPr>
                    <m:e>
                      <m:r>
                        <w:rPr>
                          <w:rFonts w:ascii="Cambria Math" w:hAnsi="Cambria Math"/>
                          <w:sz w:val="22"/>
                          <w:szCs w:val="22"/>
                          <w:lang w:val="lt-LT"/>
                        </w:rPr>
                        <m:t>P</m:t>
                      </m:r>
                    </m:e>
                    <m:sub>
                      <m:r>
                        <w:rPr>
                          <w:rFonts w:ascii="Cambria Math" w:hAnsi="Cambria Math"/>
                          <w:sz w:val="22"/>
                          <w:szCs w:val="22"/>
                          <w:lang w:val="lt-LT"/>
                        </w:rPr>
                        <m:t>i</m:t>
                      </m:r>
                    </m:sub>
                  </m:sSub>
                  <m:sSub>
                    <m:sSubPr>
                      <m:ctrlPr>
                        <w:rPr>
                          <w:rFonts w:ascii="Cambria Math" w:hAnsi="Cambria Math"/>
                          <w:i/>
                          <w:sz w:val="22"/>
                          <w:szCs w:val="22"/>
                          <w:lang w:val="lt-LT"/>
                        </w:rPr>
                      </m:ctrlPr>
                    </m:sSubPr>
                    <m:e>
                      <m:r>
                        <w:rPr>
                          <w:rFonts w:ascii="Cambria Math" w:hAnsi="Cambria Math"/>
                          <w:sz w:val="22"/>
                          <w:szCs w:val="22"/>
                          <w:lang w:val="lt-LT"/>
                        </w:rPr>
                        <m:t>R</m:t>
                      </m:r>
                    </m:e>
                    <m:sub>
                      <m:r>
                        <w:rPr>
                          <w:rFonts w:ascii="Cambria Math" w:hAnsi="Cambria Math"/>
                          <w:sz w:val="22"/>
                          <w:szCs w:val="22"/>
                          <w:lang w:val="lt-LT"/>
                        </w:rPr>
                        <m:t>i</m:t>
                      </m:r>
                    </m:sub>
                  </m:sSub>
                </m:e>
              </m:nary>
              <m:r>
                <w:rPr>
                  <w:rFonts w:ascii="Cambria Math"/>
                  <w:sz w:val="22"/>
                  <w:szCs w:val="22"/>
                  <w:lang w:val="lt-LT"/>
                </w:rPr>
                <m:t xml:space="preserve"> </m:t>
              </m:r>
            </m:oMath>
            <w:r w:rsidR="00F86179" w:rsidRPr="0038489B">
              <w:rPr>
                <w:sz w:val="22"/>
                <w:szCs w:val="22"/>
                <w:lang w:val="lt-LT"/>
              </w:rPr>
              <w:t xml:space="preserve">, </w:t>
            </w:r>
          </w:p>
          <w:p w:rsidR="00841810" w:rsidRPr="006618E5" w:rsidRDefault="00841810" w:rsidP="007C56A4">
            <w:pPr>
              <w:pStyle w:val="NormalWeb"/>
              <w:spacing w:before="0" w:beforeAutospacing="0" w:after="0" w:afterAutospacing="0"/>
              <w:ind w:hanging="23"/>
              <w:jc w:val="both"/>
              <w:rPr>
                <w:sz w:val="16"/>
                <w:szCs w:val="16"/>
                <w:lang w:val="ru-RU"/>
              </w:rPr>
            </w:pPr>
          </w:p>
          <w:p w:rsidR="00F86179" w:rsidRPr="00841810" w:rsidRDefault="00F86179" w:rsidP="007C56A4">
            <w:pPr>
              <w:pStyle w:val="NormalWeb"/>
              <w:spacing w:before="0" w:beforeAutospacing="0" w:after="0" w:afterAutospacing="0"/>
              <w:ind w:left="-23"/>
              <w:jc w:val="both"/>
              <w:rPr>
                <w:sz w:val="20"/>
                <w:szCs w:val="20"/>
                <w:lang w:val="lt-LT"/>
              </w:rPr>
            </w:pPr>
            <w:r w:rsidRPr="00841810">
              <w:rPr>
                <w:sz w:val="20"/>
                <w:szCs w:val="20"/>
                <w:lang w:val="lt-LT"/>
              </w:rPr>
              <w:t>kur: R</w:t>
            </w:r>
            <w:r w:rsidRPr="00841810">
              <w:rPr>
                <w:sz w:val="20"/>
                <w:szCs w:val="20"/>
                <w:vertAlign w:val="subscript"/>
                <w:lang w:val="lt-LT"/>
              </w:rPr>
              <w:t>i</w:t>
            </w:r>
            <w:r w:rsidRPr="00841810">
              <w:rPr>
                <w:sz w:val="20"/>
                <w:szCs w:val="20"/>
                <w:lang w:val="lt-LT"/>
              </w:rPr>
              <w:t xml:space="preserve"> – galimo rezultato reikšmė; n – galimų atvejų skaičius; P</w:t>
            </w:r>
            <w:r w:rsidRPr="00841810">
              <w:rPr>
                <w:sz w:val="20"/>
                <w:szCs w:val="20"/>
                <w:vertAlign w:val="subscript"/>
                <w:lang w:val="lt-LT"/>
              </w:rPr>
              <w:t>i</w:t>
            </w:r>
            <w:r w:rsidRPr="00841810">
              <w:rPr>
                <w:sz w:val="20"/>
                <w:szCs w:val="20"/>
                <w:lang w:val="lt-LT"/>
              </w:rPr>
              <w:t xml:space="preserve"> – tikimybė, kad i-tasis atvejis įvyks.</w:t>
            </w:r>
          </w:p>
        </w:tc>
        <w:tc>
          <w:tcPr>
            <w:tcW w:w="2797" w:type="dxa"/>
          </w:tcPr>
          <w:p w:rsidR="00F86179" w:rsidRPr="0038489B" w:rsidRDefault="00F86179" w:rsidP="00CF05AF">
            <w:pPr>
              <w:pStyle w:val="NormalWeb"/>
              <w:spacing w:before="0" w:beforeAutospacing="0" w:after="0" w:afterAutospacing="0"/>
              <w:ind w:left="-23"/>
              <w:jc w:val="both"/>
              <w:rPr>
                <w:i/>
                <w:sz w:val="22"/>
                <w:szCs w:val="22"/>
                <w:lang w:val="lt-LT"/>
              </w:rPr>
            </w:pPr>
            <w:r w:rsidRPr="0038489B">
              <w:rPr>
                <w:sz w:val="22"/>
                <w:szCs w:val="22"/>
                <w:lang w:val="lt-LT"/>
              </w:rPr>
              <w:t>Turint duomenis apie kiekvienos rizikos ga</w:t>
            </w:r>
            <w:r w:rsidR="00466E1B" w:rsidRPr="0038489B">
              <w:rPr>
                <w:sz w:val="22"/>
                <w:szCs w:val="22"/>
                <w:lang w:val="lt-LT"/>
              </w:rPr>
              <w:t xml:space="preserve">limus nuostolius ir jų </w:t>
            </w:r>
            <w:r w:rsidRPr="0038489B">
              <w:rPr>
                <w:sz w:val="22"/>
                <w:szCs w:val="22"/>
                <w:lang w:val="lt-LT"/>
              </w:rPr>
              <w:t>tikimybes, apskaičiuo</w:t>
            </w:r>
            <w:r w:rsidR="00466E1B" w:rsidRPr="0038489B">
              <w:rPr>
                <w:sz w:val="22"/>
                <w:szCs w:val="22"/>
                <w:lang w:val="lt-LT"/>
              </w:rPr>
              <w:t>jamas</w:t>
            </w:r>
            <w:r w:rsidRPr="0038489B">
              <w:rPr>
                <w:sz w:val="22"/>
                <w:szCs w:val="22"/>
                <w:lang w:val="lt-LT"/>
              </w:rPr>
              <w:t xml:space="preserve"> bendras rizikos </w:t>
            </w:r>
            <w:r w:rsidR="00CF05AF">
              <w:rPr>
                <w:sz w:val="22"/>
                <w:szCs w:val="22"/>
                <w:lang w:val="lt-LT"/>
              </w:rPr>
              <w:t>lygis</w:t>
            </w:r>
            <w:r w:rsidRPr="0038489B">
              <w:rPr>
                <w:sz w:val="22"/>
                <w:szCs w:val="22"/>
                <w:lang w:val="lt-LT"/>
              </w:rPr>
              <w:t>.</w:t>
            </w:r>
          </w:p>
        </w:tc>
      </w:tr>
      <w:tr w:rsidR="00F86179" w:rsidRPr="0038489B" w:rsidTr="005F6038">
        <w:trPr>
          <w:jc w:val="center"/>
        </w:trPr>
        <w:tc>
          <w:tcPr>
            <w:tcW w:w="2423" w:type="dxa"/>
          </w:tcPr>
          <w:p w:rsidR="00F86179" w:rsidRPr="0038489B" w:rsidRDefault="00F86179" w:rsidP="007C56A4">
            <w:pPr>
              <w:pStyle w:val="NormalWeb"/>
              <w:spacing w:before="0" w:beforeAutospacing="0" w:after="0" w:afterAutospacing="0"/>
              <w:jc w:val="both"/>
              <w:rPr>
                <w:sz w:val="22"/>
                <w:szCs w:val="22"/>
                <w:lang w:val="lt-LT"/>
              </w:rPr>
            </w:pPr>
            <w:r w:rsidRPr="0038489B">
              <w:rPr>
                <w:i/>
                <w:sz w:val="22"/>
                <w:szCs w:val="22"/>
                <w:lang w:val="lt-LT"/>
              </w:rPr>
              <w:t>Dispersija (</w:t>
            </w:r>
            <m:oMath>
              <m:sSup>
                <m:sSupPr>
                  <m:ctrlPr>
                    <w:rPr>
                      <w:rFonts w:ascii="Cambria Math" w:hAnsi="Cambria Math"/>
                      <w:i/>
                      <w:sz w:val="22"/>
                      <w:szCs w:val="22"/>
                      <w:lang w:val="lt-LT"/>
                    </w:rPr>
                  </m:ctrlPr>
                </m:sSupPr>
                <m:e>
                  <m:r>
                    <w:rPr>
                      <w:rFonts w:ascii="Cambria Math" w:hAnsi="Cambria Math"/>
                      <w:sz w:val="22"/>
                      <w:szCs w:val="22"/>
                      <w:lang w:val="lt-LT"/>
                    </w:rPr>
                    <m:t>δ</m:t>
                  </m:r>
                </m:e>
                <m:sup>
                  <m:r>
                    <w:rPr>
                      <w:rFonts w:ascii="Cambria Math"/>
                      <w:sz w:val="22"/>
                      <w:szCs w:val="22"/>
                      <w:lang w:val="lt-LT"/>
                    </w:rPr>
                    <m:t>2</m:t>
                  </m:r>
                </m:sup>
              </m:sSup>
            </m:oMath>
            <w:r w:rsidRPr="0038489B">
              <w:rPr>
                <w:i/>
                <w:sz w:val="22"/>
                <w:szCs w:val="22"/>
                <w:lang w:val="lt-LT"/>
              </w:rPr>
              <w:t xml:space="preserve">) – </w:t>
            </w:r>
            <w:r w:rsidRPr="0038489B">
              <w:rPr>
                <w:sz w:val="22"/>
                <w:szCs w:val="22"/>
                <w:lang w:val="lt-LT"/>
              </w:rPr>
              <w:t>tai realių rezultatų nuokrypio nuo galimų rezultatų vidurkio kvadratų vidurkis.</w:t>
            </w:r>
          </w:p>
        </w:tc>
        <w:tc>
          <w:tcPr>
            <w:tcW w:w="3056" w:type="dxa"/>
          </w:tcPr>
          <w:p w:rsidR="006618E5" w:rsidRDefault="006618E5" w:rsidP="007C56A4">
            <w:pPr>
              <w:pStyle w:val="NormalWeb"/>
              <w:spacing w:before="0" w:beforeAutospacing="0" w:after="0" w:afterAutospacing="0"/>
              <w:jc w:val="both"/>
              <w:rPr>
                <w:sz w:val="22"/>
                <w:szCs w:val="22"/>
                <w:lang w:val="lt-LT"/>
              </w:rPr>
            </w:pPr>
          </w:p>
          <w:p w:rsidR="00F86179" w:rsidRPr="0038489B" w:rsidRDefault="00166819" w:rsidP="007C56A4">
            <w:pPr>
              <w:pStyle w:val="NormalWeb"/>
              <w:spacing w:before="0" w:beforeAutospacing="0" w:after="0" w:afterAutospacing="0"/>
              <w:jc w:val="both"/>
              <w:rPr>
                <w:i/>
                <w:sz w:val="22"/>
                <w:szCs w:val="22"/>
                <w:lang w:val="lt-LT"/>
              </w:rPr>
            </w:pPr>
            <m:oMath>
              <m:sSup>
                <m:sSupPr>
                  <m:ctrlPr>
                    <w:rPr>
                      <w:rFonts w:ascii="Cambria Math" w:hAnsi="Cambria Math"/>
                      <w:i/>
                      <w:sz w:val="22"/>
                      <w:szCs w:val="22"/>
                      <w:lang w:val="lt-LT"/>
                    </w:rPr>
                  </m:ctrlPr>
                </m:sSupPr>
                <m:e>
                  <m:r>
                    <w:rPr>
                      <w:rFonts w:ascii="Cambria Math" w:hAnsi="Cambria Math"/>
                      <w:sz w:val="22"/>
                      <w:szCs w:val="22"/>
                      <w:lang w:val="lt-LT"/>
                    </w:rPr>
                    <m:t>δ</m:t>
                  </m:r>
                </m:e>
                <m:sup>
                  <m:r>
                    <w:rPr>
                      <w:rFonts w:ascii="Cambria Math"/>
                      <w:sz w:val="22"/>
                      <w:szCs w:val="22"/>
                      <w:lang w:val="lt-LT"/>
                    </w:rPr>
                    <m:t>2</m:t>
                  </m:r>
                </m:sup>
              </m:sSup>
              <m:r>
                <w:rPr>
                  <w:rFonts w:ascii="Cambria Math"/>
                  <w:sz w:val="22"/>
                  <w:szCs w:val="22"/>
                  <w:lang w:val="lt-LT"/>
                </w:rPr>
                <m:t xml:space="preserve"> </m:t>
              </m:r>
            </m:oMath>
            <w:r w:rsidR="00F86179" w:rsidRPr="0038489B">
              <w:rPr>
                <w:i/>
                <w:sz w:val="22"/>
                <w:szCs w:val="22"/>
              </w:rPr>
              <w:t xml:space="preserve">= </w:t>
            </w:r>
            <m:oMath>
              <m:nary>
                <m:naryPr>
                  <m:chr m:val="∑"/>
                  <m:limLoc m:val="undOvr"/>
                  <m:ctrlPr>
                    <w:rPr>
                      <w:rFonts w:ascii="Cambria Math" w:hAnsi="Cambria Math"/>
                      <w:i/>
                      <w:sz w:val="22"/>
                      <w:szCs w:val="22"/>
                    </w:rPr>
                  </m:ctrlPr>
                </m:naryPr>
                <m:sub>
                  <m:r>
                    <w:rPr>
                      <w:rFonts w:ascii="Cambria Math" w:hAnsi="Cambria Math"/>
                      <w:sz w:val="22"/>
                      <w:szCs w:val="22"/>
                    </w:rPr>
                    <m:t>i</m:t>
                  </m:r>
                  <m:r>
                    <w:rPr>
                      <w:rFonts w:ascii="Cambria Math"/>
                      <w:sz w:val="22"/>
                      <w:szCs w:val="22"/>
                    </w:rPr>
                    <m:t>=1</m:t>
                  </m:r>
                </m:sub>
                <m:sup>
                  <m:r>
                    <w:rPr>
                      <w:rFonts w:ascii="Cambria Math" w:hAnsi="Cambria Math"/>
                      <w:sz w:val="22"/>
                      <w:szCs w:val="22"/>
                    </w:rPr>
                    <m:t>n</m:t>
                  </m:r>
                </m:sup>
                <m:e>
                  <m:sSup>
                    <m:sSupPr>
                      <m:ctrlPr>
                        <w:rPr>
                          <w:rFonts w:ascii="Cambria Math" w:hAnsi="Cambria Math"/>
                          <w:i/>
                          <w:sz w:val="22"/>
                          <w:szCs w:val="22"/>
                        </w:rPr>
                      </m:ctrlPr>
                    </m:sSupPr>
                    <m:e>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i</m:t>
                          </m:r>
                        </m:sub>
                      </m:sSub>
                      <m:r>
                        <w:rPr>
                          <w:sz w:val="22"/>
                          <w:szCs w:val="22"/>
                        </w:rPr>
                        <m:t>-</m:t>
                      </m:r>
                      <m:r>
                        <w:rPr>
                          <w:rFonts w:ascii="Cambria Math"/>
                          <w:sz w:val="22"/>
                          <w:szCs w:val="22"/>
                        </w:rPr>
                        <m:t xml:space="preserve"> </m:t>
                      </m:r>
                      <m:acc>
                        <m:accPr>
                          <m:chr m:val="̅"/>
                          <m:ctrlPr>
                            <w:rPr>
                              <w:rFonts w:ascii="Cambria Math" w:hAnsi="Cambria Math"/>
                              <w:i/>
                              <w:sz w:val="22"/>
                              <w:szCs w:val="22"/>
                            </w:rPr>
                          </m:ctrlPr>
                        </m:accPr>
                        <m:e>
                          <m:r>
                            <w:rPr>
                              <w:rFonts w:ascii="Cambria Math" w:hAnsi="Cambria Math"/>
                              <w:sz w:val="22"/>
                              <w:szCs w:val="22"/>
                            </w:rPr>
                            <m:t>R</m:t>
                          </m:r>
                          <m:r>
                            <w:rPr>
                              <w:rFonts w:ascii="Cambria Math"/>
                              <w:sz w:val="22"/>
                              <w:szCs w:val="22"/>
                            </w:rPr>
                            <m:t>)</m:t>
                          </m:r>
                        </m:e>
                      </m:acc>
                    </m:e>
                    <m:sup>
                      <m:r>
                        <w:rPr>
                          <w:rFonts w:ascii="Cambria Math"/>
                          <w:sz w:val="22"/>
                          <w:szCs w:val="22"/>
                        </w:rPr>
                        <m:t>2</m:t>
                      </m:r>
                    </m:sup>
                  </m:sSup>
                </m:e>
              </m:nary>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oMath>
          </w:p>
        </w:tc>
        <w:tc>
          <w:tcPr>
            <w:tcW w:w="2797" w:type="dxa"/>
          </w:tcPr>
          <w:p w:rsidR="00F86179" w:rsidRPr="0038489B" w:rsidRDefault="00F86179" w:rsidP="007C56A4">
            <w:pPr>
              <w:pStyle w:val="NormalWeb"/>
              <w:spacing w:before="0" w:beforeAutospacing="0" w:after="0" w:afterAutospacing="0"/>
              <w:jc w:val="both"/>
              <w:rPr>
                <w:sz w:val="22"/>
                <w:szCs w:val="22"/>
                <w:lang w:val="lt-LT"/>
              </w:rPr>
            </w:pPr>
            <w:r w:rsidRPr="0038489B">
              <w:rPr>
                <w:sz w:val="22"/>
                <w:szCs w:val="22"/>
                <w:lang w:val="lt-LT"/>
              </w:rPr>
              <w:t>Kuo didesnis nuokrypis, tuo didesnė rizika.</w:t>
            </w:r>
          </w:p>
        </w:tc>
      </w:tr>
      <w:tr w:rsidR="00F86179" w:rsidRPr="0038489B" w:rsidTr="005F6038">
        <w:trPr>
          <w:jc w:val="center"/>
        </w:trPr>
        <w:tc>
          <w:tcPr>
            <w:tcW w:w="2423" w:type="dxa"/>
          </w:tcPr>
          <w:p w:rsidR="00F86179" w:rsidRPr="0038489B" w:rsidRDefault="00F86179" w:rsidP="007C56A4">
            <w:pPr>
              <w:pStyle w:val="NormalWeb"/>
              <w:spacing w:before="0" w:beforeAutospacing="0" w:after="0" w:afterAutospacing="0"/>
              <w:jc w:val="both"/>
              <w:rPr>
                <w:i/>
                <w:sz w:val="22"/>
                <w:szCs w:val="22"/>
                <w:lang w:val="lt-LT"/>
              </w:rPr>
            </w:pPr>
            <w:r w:rsidRPr="0038489B">
              <w:rPr>
                <w:i/>
                <w:sz w:val="22"/>
                <w:szCs w:val="22"/>
                <w:lang w:val="lt-LT"/>
              </w:rPr>
              <w:t>Standartinis nuokrypis</w:t>
            </w:r>
            <w:r w:rsidRPr="0038489B">
              <w:rPr>
                <w:sz w:val="22"/>
                <w:szCs w:val="22"/>
                <w:lang w:val="lt-LT"/>
              </w:rPr>
              <w:t xml:space="preserve"> (</w:t>
            </w:r>
            <m:oMath>
              <m:r>
                <w:rPr>
                  <w:rFonts w:ascii="Cambria Math" w:hAnsi="Cambria Math"/>
                  <w:sz w:val="22"/>
                  <w:szCs w:val="22"/>
                  <w:lang w:val="lt-LT"/>
                </w:rPr>
                <m:t>δ</m:t>
              </m:r>
            </m:oMath>
            <w:r w:rsidRPr="0038489B">
              <w:rPr>
                <w:sz w:val="22"/>
                <w:szCs w:val="22"/>
                <w:lang w:val="lt-LT"/>
              </w:rPr>
              <w:t xml:space="preserve">) – absoliutinis rizikos matas. </w:t>
            </w:r>
          </w:p>
        </w:tc>
        <w:tc>
          <w:tcPr>
            <w:tcW w:w="3056" w:type="dxa"/>
          </w:tcPr>
          <w:p w:rsidR="006618E5" w:rsidRPr="006618E5" w:rsidRDefault="006618E5" w:rsidP="007C56A4">
            <w:pPr>
              <w:pStyle w:val="NormalWeb"/>
              <w:spacing w:before="0" w:beforeAutospacing="0" w:after="0" w:afterAutospacing="0"/>
              <w:ind w:firstLine="16"/>
              <w:rPr>
                <w:i/>
                <w:sz w:val="16"/>
                <w:szCs w:val="16"/>
                <w:lang w:val="lt-LT"/>
              </w:rPr>
            </w:pPr>
          </w:p>
          <w:p w:rsidR="00F86179" w:rsidRPr="0038489B" w:rsidRDefault="00F86179" w:rsidP="007C56A4">
            <w:pPr>
              <w:pStyle w:val="NormalWeb"/>
              <w:spacing w:before="0" w:beforeAutospacing="0" w:after="0" w:afterAutospacing="0"/>
              <w:ind w:firstLine="16"/>
              <w:rPr>
                <w:sz w:val="22"/>
                <w:szCs w:val="22"/>
                <w:lang w:val="lt-LT"/>
              </w:rPr>
            </w:pPr>
            <m:oMath>
              <m:r>
                <w:rPr>
                  <w:rFonts w:ascii="Cambria Math" w:hAnsi="Cambria Math"/>
                  <w:sz w:val="22"/>
                  <w:szCs w:val="22"/>
                  <w:lang w:val="lt-LT"/>
                </w:rPr>
                <m:t>δ</m:t>
              </m:r>
              <m:r>
                <w:rPr>
                  <w:rFonts w:ascii="Cambria Math"/>
                  <w:sz w:val="22"/>
                  <w:szCs w:val="22"/>
                </w:rPr>
                <m:t>=</m:t>
              </m:r>
              <m:rad>
                <m:radPr>
                  <m:degHide m:val="on"/>
                  <m:ctrlPr>
                    <w:rPr>
                      <w:rFonts w:ascii="Cambria Math" w:hAnsi="Cambria Math"/>
                      <w:i/>
                      <w:sz w:val="22"/>
                      <w:szCs w:val="22"/>
                    </w:rPr>
                  </m:ctrlPr>
                </m:radPr>
                <m:deg/>
                <m:e>
                  <m:nary>
                    <m:naryPr>
                      <m:chr m:val="∑"/>
                      <m:limLoc m:val="undOvr"/>
                      <m:ctrlPr>
                        <w:rPr>
                          <w:rFonts w:ascii="Cambria Math" w:hAnsi="Cambria Math"/>
                          <w:i/>
                          <w:sz w:val="22"/>
                          <w:szCs w:val="22"/>
                        </w:rPr>
                      </m:ctrlPr>
                    </m:naryPr>
                    <m:sub>
                      <m:r>
                        <w:rPr>
                          <w:rFonts w:ascii="Cambria Math" w:hAnsi="Cambria Math"/>
                          <w:sz w:val="22"/>
                          <w:szCs w:val="22"/>
                        </w:rPr>
                        <m:t>i</m:t>
                      </m:r>
                      <m:r>
                        <w:rPr>
                          <w:rFonts w:ascii="Cambria Math"/>
                          <w:sz w:val="22"/>
                          <w:szCs w:val="22"/>
                        </w:rPr>
                        <m:t>=1</m:t>
                      </m:r>
                    </m:sub>
                    <m:sup>
                      <m:r>
                        <w:rPr>
                          <w:rFonts w:ascii="Cambria Math" w:hAnsi="Cambria Math"/>
                          <w:sz w:val="22"/>
                          <w:szCs w:val="22"/>
                        </w:rPr>
                        <m:t>n</m:t>
                      </m:r>
                    </m:sup>
                    <m:e>
                      <m:sSup>
                        <m:sSupPr>
                          <m:ctrlPr>
                            <w:rPr>
                              <w:rFonts w:ascii="Cambria Math" w:hAnsi="Cambria Math"/>
                              <w:i/>
                              <w:sz w:val="22"/>
                              <w:szCs w:val="22"/>
                            </w:rPr>
                          </m:ctrlPr>
                        </m:sSupPr>
                        <m:e>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i</m:t>
                              </m:r>
                            </m:sub>
                          </m:sSub>
                          <m:r>
                            <w:rPr>
                              <w:sz w:val="22"/>
                              <w:szCs w:val="22"/>
                            </w:rPr>
                            <m:t>-</m:t>
                          </m:r>
                          <m:r>
                            <w:rPr>
                              <w:rFonts w:ascii="Cambria Math"/>
                              <w:sz w:val="22"/>
                              <w:szCs w:val="22"/>
                            </w:rPr>
                            <m:t xml:space="preserve"> </m:t>
                          </m:r>
                          <m:acc>
                            <m:accPr>
                              <m:chr m:val="̅"/>
                              <m:ctrlPr>
                                <w:rPr>
                                  <w:rFonts w:ascii="Cambria Math" w:hAnsi="Cambria Math"/>
                                  <w:i/>
                                  <w:sz w:val="22"/>
                                  <w:szCs w:val="22"/>
                                </w:rPr>
                              </m:ctrlPr>
                            </m:accPr>
                            <m:e>
                              <m:r>
                                <w:rPr>
                                  <w:rFonts w:ascii="Cambria Math" w:hAnsi="Cambria Math"/>
                                  <w:sz w:val="22"/>
                                  <w:szCs w:val="22"/>
                                </w:rPr>
                                <m:t>R</m:t>
                              </m:r>
                            </m:e>
                          </m:acc>
                          <m:r>
                            <w:rPr>
                              <w:rFonts w:ascii="Cambria Math"/>
                              <w:sz w:val="22"/>
                              <w:szCs w:val="22"/>
                            </w:rPr>
                            <m:t>)</m:t>
                          </m:r>
                        </m:e>
                        <m:sup>
                          <m:r>
                            <w:rPr>
                              <w:rFonts w:ascii="Cambria Math"/>
                              <w:sz w:val="22"/>
                              <w:szCs w:val="22"/>
                            </w:rPr>
                            <m:t>2</m:t>
                          </m:r>
                        </m:sup>
                      </m:sSup>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nary>
                </m:e>
              </m:rad>
            </m:oMath>
            <w:r w:rsidRPr="0038489B">
              <w:rPr>
                <w:sz w:val="22"/>
                <w:szCs w:val="22"/>
                <w:lang w:val="lt-LT"/>
              </w:rPr>
              <w:t xml:space="preserve"> </w:t>
            </w:r>
          </w:p>
          <w:p w:rsidR="00F86179" w:rsidRPr="0038489B" w:rsidRDefault="00F86179" w:rsidP="007C56A4">
            <w:pPr>
              <w:pStyle w:val="NormalWeb"/>
              <w:spacing w:before="0" w:beforeAutospacing="0" w:after="0" w:afterAutospacing="0"/>
              <w:jc w:val="both"/>
              <w:rPr>
                <w:i/>
                <w:sz w:val="22"/>
                <w:szCs w:val="22"/>
                <w:lang w:val="lt-LT"/>
              </w:rPr>
            </w:pPr>
          </w:p>
        </w:tc>
        <w:tc>
          <w:tcPr>
            <w:tcW w:w="2797" w:type="dxa"/>
          </w:tcPr>
          <w:p w:rsidR="00F86179" w:rsidRPr="0038489B" w:rsidRDefault="00F86179" w:rsidP="007C56A4">
            <w:pPr>
              <w:pStyle w:val="NormalWeb"/>
              <w:spacing w:before="0" w:beforeAutospacing="0" w:after="0" w:afterAutospacing="0"/>
              <w:jc w:val="both"/>
              <w:rPr>
                <w:i/>
                <w:sz w:val="22"/>
                <w:szCs w:val="22"/>
                <w:lang w:val="lt-LT"/>
              </w:rPr>
            </w:pPr>
            <w:r w:rsidRPr="0038489B">
              <w:rPr>
                <w:sz w:val="22"/>
                <w:szCs w:val="22"/>
                <w:lang w:val="lt-LT"/>
              </w:rPr>
              <w:t>Rodo priimamų sprendimų rezultatų nepastovumą. Kuo didesnis, tuo platesniu diapazonu gali svyruoti laukiami rezultatai ir tuo rizikingesnės sprendimo alternatyvos.</w:t>
            </w:r>
          </w:p>
        </w:tc>
      </w:tr>
      <w:tr w:rsidR="00F86179" w:rsidRPr="0038489B" w:rsidTr="005F6038">
        <w:trPr>
          <w:jc w:val="center"/>
        </w:trPr>
        <w:tc>
          <w:tcPr>
            <w:tcW w:w="2423" w:type="dxa"/>
          </w:tcPr>
          <w:p w:rsidR="00F86179" w:rsidRPr="0038489B" w:rsidRDefault="00F86179" w:rsidP="007C56A4">
            <w:pPr>
              <w:pStyle w:val="NormalWeb"/>
              <w:spacing w:before="0" w:beforeAutospacing="0" w:after="0" w:afterAutospacing="0"/>
              <w:jc w:val="both"/>
              <w:rPr>
                <w:i/>
                <w:sz w:val="22"/>
                <w:szCs w:val="22"/>
                <w:lang w:val="lt-LT"/>
              </w:rPr>
            </w:pPr>
            <w:r w:rsidRPr="0038489B">
              <w:rPr>
                <w:i/>
                <w:sz w:val="22"/>
                <w:szCs w:val="22"/>
                <w:lang w:val="lt-LT"/>
              </w:rPr>
              <w:t>Variacijos koeficientas</w:t>
            </w:r>
            <w:r w:rsidRPr="0038489B">
              <w:rPr>
                <w:sz w:val="22"/>
                <w:szCs w:val="22"/>
                <w:lang w:val="lt-LT"/>
              </w:rPr>
              <w:t xml:space="preserve"> (</w:t>
            </w:r>
            <w:r w:rsidRPr="0038489B">
              <w:rPr>
                <w:i/>
                <w:sz w:val="22"/>
                <w:szCs w:val="22"/>
                <w:lang w:val="lt-LT"/>
              </w:rPr>
              <w:t>v</w:t>
            </w:r>
            <w:r w:rsidRPr="0038489B">
              <w:rPr>
                <w:sz w:val="22"/>
                <w:szCs w:val="22"/>
                <w:lang w:val="lt-LT"/>
              </w:rPr>
              <w:t>) – santykinis rizikos matas</w:t>
            </w:r>
            <w:r w:rsidR="00CF05AF">
              <w:rPr>
                <w:sz w:val="22"/>
                <w:szCs w:val="22"/>
                <w:lang w:val="lt-LT"/>
              </w:rPr>
              <w:t>.</w:t>
            </w:r>
          </w:p>
        </w:tc>
        <w:tc>
          <w:tcPr>
            <w:tcW w:w="3056" w:type="dxa"/>
          </w:tcPr>
          <w:p w:rsidR="006618E5" w:rsidRPr="006618E5" w:rsidRDefault="006618E5" w:rsidP="007C56A4">
            <w:pPr>
              <w:pStyle w:val="NormalWeb"/>
              <w:spacing w:before="0" w:beforeAutospacing="0" w:after="0" w:afterAutospacing="0"/>
              <w:jc w:val="both"/>
              <w:rPr>
                <w:i/>
                <w:sz w:val="16"/>
                <w:szCs w:val="16"/>
                <w:lang w:val="lt-LT"/>
              </w:rPr>
            </w:pPr>
          </w:p>
          <w:p w:rsidR="00F86179" w:rsidRPr="0038489B" w:rsidRDefault="00F86179" w:rsidP="007C56A4">
            <w:pPr>
              <w:pStyle w:val="NormalWeb"/>
              <w:spacing w:before="0" w:beforeAutospacing="0" w:after="0" w:afterAutospacing="0"/>
              <w:jc w:val="both"/>
              <w:rPr>
                <w:i/>
                <w:sz w:val="22"/>
                <w:szCs w:val="22"/>
                <w:lang w:val="lt-LT"/>
              </w:rPr>
            </w:pPr>
            <m:oMath>
              <m:r>
                <w:rPr>
                  <w:rFonts w:ascii="Cambria Math" w:hAnsi="Cambria Math"/>
                  <w:sz w:val="22"/>
                  <w:szCs w:val="22"/>
                  <w:lang w:val="lt-LT"/>
                </w:rPr>
                <m:t>v</m:t>
              </m:r>
              <m:r>
                <w:rPr>
                  <w:rFonts w:ascii="Cambria Math"/>
                  <w:sz w:val="22"/>
                  <w:szCs w:val="22"/>
                </w:rPr>
                <m:t xml:space="preserve">= </m:t>
              </m:r>
              <m:f>
                <m:fPr>
                  <m:ctrlPr>
                    <w:rPr>
                      <w:rFonts w:ascii="Cambria Math" w:hAnsi="Cambria Math"/>
                      <w:i/>
                      <w:sz w:val="22"/>
                      <w:szCs w:val="22"/>
                    </w:rPr>
                  </m:ctrlPr>
                </m:fPr>
                <m:num>
                  <m:r>
                    <w:rPr>
                      <w:rFonts w:ascii="Cambria Math" w:hAnsi="Cambria Math"/>
                      <w:sz w:val="22"/>
                      <w:szCs w:val="22"/>
                    </w:rPr>
                    <m:t>δ</m:t>
                  </m:r>
                </m:num>
                <m:den>
                  <m:acc>
                    <m:accPr>
                      <m:chr m:val="̅"/>
                      <m:ctrlPr>
                        <w:rPr>
                          <w:rFonts w:ascii="Cambria Math" w:hAnsi="Cambria Math"/>
                          <w:i/>
                          <w:sz w:val="22"/>
                          <w:szCs w:val="22"/>
                        </w:rPr>
                      </m:ctrlPr>
                    </m:accPr>
                    <m:e>
                      <m:r>
                        <w:rPr>
                          <w:rFonts w:ascii="Cambria Math" w:hAnsi="Cambria Math"/>
                          <w:sz w:val="22"/>
                          <w:szCs w:val="22"/>
                        </w:rPr>
                        <m:t>R</m:t>
                      </m:r>
                    </m:e>
                  </m:acc>
                </m:den>
              </m:f>
            </m:oMath>
            <w:r w:rsidRPr="0038489B">
              <w:rPr>
                <w:sz w:val="22"/>
                <w:szCs w:val="22"/>
                <w:lang w:val="lt-LT"/>
              </w:rPr>
              <w:t xml:space="preserve"> </w:t>
            </w:r>
          </w:p>
        </w:tc>
        <w:tc>
          <w:tcPr>
            <w:tcW w:w="2797" w:type="dxa"/>
          </w:tcPr>
          <w:p w:rsidR="00F86179" w:rsidRPr="0038489B" w:rsidRDefault="00F86179" w:rsidP="007C56A4">
            <w:pPr>
              <w:pStyle w:val="NormalWeb"/>
              <w:spacing w:before="0" w:beforeAutospacing="0" w:after="0" w:afterAutospacing="0"/>
              <w:jc w:val="both"/>
              <w:rPr>
                <w:sz w:val="22"/>
                <w:szCs w:val="22"/>
                <w:lang w:val="lt-LT"/>
              </w:rPr>
            </w:pPr>
            <w:r w:rsidRPr="0038489B">
              <w:rPr>
                <w:sz w:val="22"/>
                <w:szCs w:val="22"/>
                <w:lang w:val="lt-LT"/>
              </w:rPr>
              <w:t>Kuo didesnis variacijos koeficientas</w:t>
            </w:r>
            <w:r w:rsidR="00CF05AF">
              <w:rPr>
                <w:sz w:val="22"/>
                <w:szCs w:val="22"/>
                <w:lang w:val="lt-LT"/>
              </w:rPr>
              <w:t>,</w:t>
            </w:r>
            <w:r w:rsidRPr="0038489B">
              <w:rPr>
                <w:sz w:val="22"/>
                <w:szCs w:val="22"/>
                <w:lang w:val="lt-LT"/>
              </w:rPr>
              <w:t xml:space="preserve"> tuo didesnė rizika.</w:t>
            </w:r>
          </w:p>
        </w:tc>
      </w:tr>
    </w:tbl>
    <w:p w:rsidR="00F86179" w:rsidRPr="005F44E6" w:rsidRDefault="00F86179" w:rsidP="005F6038">
      <w:pPr>
        <w:pStyle w:val="NormalWeb"/>
        <w:spacing w:before="0" w:beforeAutospacing="0" w:after="0" w:afterAutospacing="0" w:line="360" w:lineRule="auto"/>
        <w:jc w:val="both"/>
        <w:rPr>
          <w:sz w:val="20"/>
          <w:szCs w:val="20"/>
          <w:lang w:val="lt-LT"/>
        </w:rPr>
      </w:pPr>
      <w:r w:rsidRPr="005F44E6">
        <w:rPr>
          <w:sz w:val="20"/>
          <w:szCs w:val="20"/>
          <w:lang w:val="lt-LT"/>
        </w:rPr>
        <w:t>Šaltinis: sudaryta autorės.</w:t>
      </w:r>
    </w:p>
    <w:p w:rsidR="006618E5" w:rsidRPr="0038489B" w:rsidRDefault="006618E5" w:rsidP="006618E5">
      <w:pPr>
        <w:pStyle w:val="NormalWeb"/>
        <w:spacing w:before="120" w:beforeAutospacing="0" w:after="0" w:afterAutospacing="0" w:line="360" w:lineRule="auto"/>
        <w:ind w:firstLine="720"/>
        <w:jc w:val="both"/>
        <w:rPr>
          <w:sz w:val="26"/>
          <w:szCs w:val="26"/>
          <w:lang w:val="lt-LT"/>
        </w:rPr>
      </w:pPr>
      <w:r w:rsidRPr="0038489B">
        <w:rPr>
          <w:sz w:val="26"/>
          <w:szCs w:val="26"/>
          <w:lang w:val="lt-LT"/>
        </w:rPr>
        <w:lastRenderedPageBreak/>
        <w:t>Mokslo darbuose (Mun, 2004; Rutkauskas, 2007; Laskienė, 2003; Gaidienė, 1998; Garškienė, 1997; Bagdonas, 1996) pateikiamos šios pagrindinės rizikos charakteristikos (žr. 2 lentelė): matematinis vidurkis, dispersija, standartinis nuokrypis ir variacijos koeficientas.</w:t>
      </w:r>
      <w:r w:rsidRPr="006618E5">
        <w:rPr>
          <w:sz w:val="26"/>
          <w:szCs w:val="26"/>
          <w:lang w:val="lt-LT"/>
        </w:rPr>
        <w:t xml:space="preserve"> </w:t>
      </w:r>
      <w:r w:rsidRPr="0038489B">
        <w:rPr>
          <w:sz w:val="26"/>
          <w:szCs w:val="26"/>
          <w:lang w:val="lt-LT"/>
        </w:rPr>
        <w:t>Tikimybė ir įtaka – pagrindiniai komponentai, būtini rizikos vertinim</w:t>
      </w:r>
      <w:r w:rsidR="005168AA">
        <w:rPr>
          <w:sz w:val="26"/>
          <w:szCs w:val="26"/>
          <w:lang w:val="lt-LT"/>
        </w:rPr>
        <w:t>ui</w:t>
      </w:r>
      <w:r w:rsidRPr="0038489B">
        <w:rPr>
          <w:sz w:val="26"/>
          <w:szCs w:val="26"/>
          <w:lang w:val="lt-LT"/>
        </w:rPr>
        <w:t>. Tikimybė – galimybė, kad rizika pasireikš, ir tai yra „kiekybinė galimybės išraiška, jos matas“ (Rutkauskas, 2001, p. 10).</w:t>
      </w:r>
      <w:r>
        <w:rPr>
          <w:sz w:val="26"/>
          <w:szCs w:val="26"/>
          <w:lang w:val="lt-LT"/>
        </w:rPr>
        <w:t xml:space="preserve"> Tuo tarpu įtaka </w:t>
      </w:r>
      <w:r w:rsidR="002026B7">
        <w:rPr>
          <w:sz w:val="26"/>
          <w:szCs w:val="26"/>
          <w:lang w:val="lt-LT"/>
        </w:rPr>
        <w:t>– galimo rezultato reikšmė (nuostolio dydis</w:t>
      </w:r>
      <w:r w:rsidR="00E2543D">
        <w:rPr>
          <w:sz w:val="26"/>
          <w:szCs w:val="26"/>
          <w:lang w:val="lt-LT"/>
        </w:rPr>
        <w:t xml:space="preserve"> ar nukrypimas nuo laukiamo </w:t>
      </w:r>
      <w:r w:rsidR="009A70E5">
        <w:rPr>
          <w:sz w:val="26"/>
          <w:szCs w:val="26"/>
          <w:lang w:val="lt-LT"/>
        </w:rPr>
        <w:t>rezultato</w:t>
      </w:r>
      <w:r w:rsidR="002026B7">
        <w:rPr>
          <w:sz w:val="26"/>
          <w:szCs w:val="26"/>
          <w:lang w:val="lt-LT"/>
        </w:rPr>
        <w:t>)</w:t>
      </w:r>
      <w:r w:rsidR="009A70E5">
        <w:rPr>
          <w:sz w:val="26"/>
          <w:szCs w:val="26"/>
          <w:lang w:val="lt-LT"/>
        </w:rPr>
        <w:t xml:space="preserve">, jei </w:t>
      </w:r>
      <w:r w:rsidR="00577530">
        <w:rPr>
          <w:sz w:val="26"/>
          <w:szCs w:val="26"/>
          <w:lang w:val="lt-LT"/>
        </w:rPr>
        <w:t>rizika pasireikš</w:t>
      </w:r>
      <w:r w:rsidR="002026B7">
        <w:rPr>
          <w:sz w:val="26"/>
          <w:szCs w:val="26"/>
          <w:lang w:val="lt-LT"/>
        </w:rPr>
        <w:t>.</w:t>
      </w:r>
    </w:p>
    <w:p w:rsidR="006D3952" w:rsidRDefault="00DC1239" w:rsidP="004F39CB">
      <w:pPr>
        <w:pStyle w:val="NormalWeb"/>
        <w:spacing w:before="0" w:beforeAutospacing="0" w:after="0" w:afterAutospacing="0" w:line="360" w:lineRule="auto"/>
        <w:ind w:firstLine="720"/>
        <w:jc w:val="both"/>
        <w:rPr>
          <w:sz w:val="26"/>
          <w:szCs w:val="26"/>
          <w:lang w:val="lt-LT"/>
        </w:rPr>
      </w:pPr>
      <w:r w:rsidRPr="0038489B">
        <w:rPr>
          <w:sz w:val="26"/>
          <w:szCs w:val="26"/>
          <w:lang w:val="lt-LT"/>
        </w:rPr>
        <w:t xml:space="preserve">Rizikos tikimybės ir įtakos </w:t>
      </w:r>
      <w:r w:rsidR="00B22CCE" w:rsidRPr="0038489B">
        <w:rPr>
          <w:sz w:val="26"/>
          <w:szCs w:val="26"/>
          <w:lang w:val="lt-LT"/>
        </w:rPr>
        <w:t>vertinimas</w:t>
      </w:r>
      <w:r w:rsidRPr="0038489B">
        <w:rPr>
          <w:sz w:val="26"/>
          <w:szCs w:val="26"/>
          <w:lang w:val="lt-LT"/>
        </w:rPr>
        <w:t xml:space="preserve"> atliekama</w:t>
      </w:r>
      <w:r w:rsidR="00B22CCE" w:rsidRPr="0038489B">
        <w:rPr>
          <w:sz w:val="26"/>
          <w:szCs w:val="26"/>
          <w:lang w:val="lt-LT"/>
        </w:rPr>
        <w:t>s</w:t>
      </w:r>
      <w:r w:rsidRPr="0038489B">
        <w:rPr>
          <w:sz w:val="26"/>
          <w:szCs w:val="26"/>
          <w:lang w:val="lt-LT"/>
        </w:rPr>
        <w:t xml:space="preserve"> </w:t>
      </w:r>
      <w:r w:rsidR="00B22CCE" w:rsidRPr="0038489B">
        <w:rPr>
          <w:sz w:val="26"/>
          <w:szCs w:val="26"/>
          <w:lang w:val="lt-LT"/>
        </w:rPr>
        <w:t>tam tikrų</w:t>
      </w:r>
      <w:r w:rsidRPr="0038489B">
        <w:rPr>
          <w:sz w:val="26"/>
          <w:szCs w:val="26"/>
          <w:lang w:val="lt-LT"/>
        </w:rPr>
        <w:t xml:space="preserve"> metodų pagalba. </w:t>
      </w:r>
      <w:r w:rsidR="00233A05" w:rsidRPr="0038489B">
        <w:rPr>
          <w:sz w:val="26"/>
          <w:szCs w:val="26"/>
          <w:lang w:val="lt-LT"/>
        </w:rPr>
        <w:t>Mokslo darbuose (</w:t>
      </w:r>
      <w:r w:rsidR="00106654" w:rsidRPr="0038489B">
        <w:rPr>
          <w:sz w:val="26"/>
          <w:szCs w:val="26"/>
          <w:lang w:val="lt-LT"/>
        </w:rPr>
        <w:t xml:space="preserve">Moeller, 2007; </w:t>
      </w:r>
      <w:r w:rsidR="00233A05" w:rsidRPr="0038489B">
        <w:rPr>
          <w:sz w:val="26"/>
          <w:szCs w:val="26"/>
          <w:lang w:val="lt-LT"/>
        </w:rPr>
        <w:t xml:space="preserve">Chapman, 2006; </w:t>
      </w:r>
      <w:r w:rsidR="009C0723" w:rsidRPr="0038489B">
        <w:rPr>
          <w:sz w:val="26"/>
          <w:szCs w:val="26"/>
          <w:lang w:val="lt-LT"/>
        </w:rPr>
        <w:t xml:space="preserve">Keat, </w:t>
      </w:r>
      <w:r w:rsidR="00FF5104" w:rsidRPr="0038489B">
        <w:rPr>
          <w:sz w:val="26"/>
          <w:szCs w:val="26"/>
          <w:lang w:val="lt-LT"/>
        </w:rPr>
        <w:t xml:space="preserve">Young </w:t>
      </w:r>
      <w:r w:rsidR="009C0723" w:rsidRPr="0038489B">
        <w:rPr>
          <w:sz w:val="26"/>
          <w:szCs w:val="26"/>
          <w:lang w:val="lt-LT"/>
        </w:rPr>
        <w:t xml:space="preserve">2006; Mun, 2004; </w:t>
      </w:r>
      <w:r w:rsidR="005C70E1" w:rsidRPr="0038489B">
        <w:rPr>
          <w:sz w:val="26"/>
          <w:szCs w:val="26"/>
          <w:lang w:val="lt-LT"/>
        </w:rPr>
        <w:t xml:space="preserve">Vaughan, 1997; </w:t>
      </w:r>
      <w:r w:rsidR="00233A05" w:rsidRPr="0038489B">
        <w:rPr>
          <w:sz w:val="26"/>
          <w:szCs w:val="26"/>
          <w:lang w:val="lt-LT"/>
        </w:rPr>
        <w:t xml:space="preserve">Rutkauskas, 2007; Laskienė, 2003; </w:t>
      </w:r>
      <w:r w:rsidR="005C70E1" w:rsidRPr="0038489B">
        <w:rPr>
          <w:sz w:val="26"/>
          <w:szCs w:val="26"/>
          <w:lang w:val="lt-LT"/>
        </w:rPr>
        <w:t xml:space="preserve">Lydeka, Drilingas, 2002; </w:t>
      </w:r>
      <w:r w:rsidR="00233A05" w:rsidRPr="0038489B">
        <w:rPr>
          <w:sz w:val="26"/>
          <w:szCs w:val="26"/>
          <w:lang w:val="lt-LT"/>
        </w:rPr>
        <w:t>Gaidienė, 199</w:t>
      </w:r>
      <w:r w:rsidR="006414AA" w:rsidRPr="0038489B">
        <w:rPr>
          <w:sz w:val="26"/>
          <w:szCs w:val="26"/>
          <w:lang w:val="lt-LT"/>
        </w:rPr>
        <w:t>8</w:t>
      </w:r>
      <w:r w:rsidR="00233A05" w:rsidRPr="0038489B">
        <w:rPr>
          <w:sz w:val="26"/>
          <w:szCs w:val="26"/>
          <w:lang w:val="lt-LT"/>
        </w:rPr>
        <w:t>; Bagdonas, 1996</w:t>
      </w:r>
      <w:r w:rsidR="00FF5104" w:rsidRPr="0038489B">
        <w:rPr>
          <w:sz w:val="26"/>
          <w:szCs w:val="26"/>
          <w:lang w:val="lt-LT"/>
        </w:rPr>
        <w:t>) nagrinėjam</w:t>
      </w:r>
      <w:r w:rsidR="00466D5F" w:rsidRPr="0038489B">
        <w:rPr>
          <w:sz w:val="26"/>
          <w:szCs w:val="26"/>
          <w:lang w:val="lt-LT"/>
        </w:rPr>
        <w:t xml:space="preserve">i </w:t>
      </w:r>
      <w:r w:rsidR="00B22CCE" w:rsidRPr="0038489B">
        <w:rPr>
          <w:sz w:val="26"/>
          <w:szCs w:val="26"/>
          <w:lang w:val="lt-LT"/>
        </w:rPr>
        <w:t xml:space="preserve">įvairūs </w:t>
      </w:r>
      <w:r w:rsidR="00FF5104" w:rsidRPr="0038489B">
        <w:rPr>
          <w:sz w:val="26"/>
          <w:szCs w:val="26"/>
          <w:lang w:val="lt-LT"/>
        </w:rPr>
        <w:t>rizikos vertinimo metod</w:t>
      </w:r>
      <w:r w:rsidR="00466D5F" w:rsidRPr="0038489B">
        <w:rPr>
          <w:sz w:val="26"/>
          <w:szCs w:val="26"/>
          <w:lang w:val="lt-LT"/>
        </w:rPr>
        <w:t>ai</w:t>
      </w:r>
      <w:r w:rsidR="00FF5104" w:rsidRPr="0038489B">
        <w:rPr>
          <w:sz w:val="26"/>
          <w:szCs w:val="26"/>
          <w:lang w:val="lt-LT"/>
        </w:rPr>
        <w:t xml:space="preserve"> (žr. 2 priedas)</w:t>
      </w:r>
      <w:r w:rsidR="00D60B1A" w:rsidRPr="0038489B">
        <w:rPr>
          <w:sz w:val="26"/>
          <w:szCs w:val="26"/>
          <w:lang w:val="lt-LT"/>
        </w:rPr>
        <w:t xml:space="preserve">, tačiau juose nepateikiama sisteminė rizikos vertinimo metodų klasifikacija. </w:t>
      </w:r>
      <w:r w:rsidR="0014683B" w:rsidRPr="0038489B">
        <w:rPr>
          <w:sz w:val="26"/>
          <w:szCs w:val="26"/>
          <w:lang w:val="lt-LT"/>
        </w:rPr>
        <w:t xml:space="preserve">Pakankamai plačią </w:t>
      </w:r>
      <w:r w:rsidR="00D60B1A" w:rsidRPr="0038489B">
        <w:rPr>
          <w:sz w:val="26"/>
          <w:szCs w:val="26"/>
          <w:lang w:val="lt-LT"/>
        </w:rPr>
        <w:t>rizikos vertinimo metod</w:t>
      </w:r>
      <w:r w:rsidR="0014683B" w:rsidRPr="0038489B">
        <w:rPr>
          <w:sz w:val="26"/>
          <w:szCs w:val="26"/>
          <w:lang w:val="lt-LT"/>
        </w:rPr>
        <w:t xml:space="preserve">ų klasifikaciją </w:t>
      </w:r>
      <w:r w:rsidR="00421A2A" w:rsidRPr="0038489B">
        <w:rPr>
          <w:sz w:val="26"/>
          <w:szCs w:val="26"/>
          <w:lang w:val="lt-LT"/>
        </w:rPr>
        <w:t>nurodo</w:t>
      </w:r>
      <w:r w:rsidR="0014683B" w:rsidRPr="0038489B">
        <w:rPr>
          <w:sz w:val="26"/>
          <w:szCs w:val="26"/>
          <w:lang w:val="lt-LT"/>
        </w:rPr>
        <w:t xml:space="preserve"> V. Bagdonas (1996), </w:t>
      </w:r>
      <w:r w:rsidR="002F4DBF" w:rsidRPr="0038489B">
        <w:rPr>
          <w:sz w:val="26"/>
          <w:szCs w:val="26"/>
          <w:lang w:val="lt-LT"/>
        </w:rPr>
        <w:t>išskir</w:t>
      </w:r>
      <w:r w:rsidR="0014683B" w:rsidRPr="0038489B">
        <w:rPr>
          <w:sz w:val="26"/>
          <w:szCs w:val="26"/>
          <w:lang w:val="lt-LT"/>
        </w:rPr>
        <w:t>damas</w:t>
      </w:r>
      <w:r w:rsidR="002F4DBF" w:rsidRPr="0038489B">
        <w:rPr>
          <w:sz w:val="26"/>
          <w:szCs w:val="26"/>
          <w:lang w:val="lt-LT"/>
        </w:rPr>
        <w:t xml:space="preserve"> vienas kitą papildančias rizikos analizės rūšis: kokybinę ir kiekybinę analizę. Kur: </w:t>
      </w:r>
      <w:r w:rsidR="002F4DBF" w:rsidRPr="0038489B">
        <w:rPr>
          <w:i/>
          <w:sz w:val="26"/>
          <w:szCs w:val="26"/>
          <w:lang w:val="lt-LT"/>
        </w:rPr>
        <w:t>kokybinės analizės</w:t>
      </w:r>
      <w:r w:rsidR="002F4DBF" w:rsidRPr="0038489B">
        <w:rPr>
          <w:sz w:val="26"/>
          <w:szCs w:val="26"/>
          <w:lang w:val="lt-LT"/>
        </w:rPr>
        <w:t xml:space="preserve"> pagrindinis uždavinys – nustatyti rizikos veiksnius, dėl kurių rizika kyla, arba nustatyti potencialias rizikos sritis ir tuo </w:t>
      </w:r>
      <w:r w:rsidR="00247C21" w:rsidRPr="0038489B">
        <w:rPr>
          <w:sz w:val="26"/>
          <w:szCs w:val="26"/>
          <w:lang w:val="lt-LT"/>
        </w:rPr>
        <w:t>pačiu nustatyti galimas rizikas</w:t>
      </w:r>
      <w:r w:rsidR="002F4DBF" w:rsidRPr="0038489B">
        <w:rPr>
          <w:sz w:val="26"/>
          <w:szCs w:val="26"/>
          <w:lang w:val="lt-LT"/>
        </w:rPr>
        <w:t xml:space="preserve">; </w:t>
      </w:r>
      <w:r w:rsidR="002F4DBF" w:rsidRPr="0038489B">
        <w:rPr>
          <w:i/>
          <w:sz w:val="26"/>
          <w:szCs w:val="26"/>
          <w:lang w:val="lt-LT"/>
        </w:rPr>
        <w:t xml:space="preserve">kiekybinės analizės </w:t>
      </w:r>
      <w:r w:rsidR="002F4DBF" w:rsidRPr="0038489B">
        <w:rPr>
          <w:sz w:val="26"/>
          <w:szCs w:val="26"/>
          <w:lang w:val="lt-LT"/>
        </w:rPr>
        <w:t xml:space="preserve">metu įvertinamos </w:t>
      </w:r>
      <w:r w:rsidR="00247C21" w:rsidRPr="0038489B">
        <w:rPr>
          <w:sz w:val="26"/>
          <w:szCs w:val="26"/>
          <w:lang w:val="lt-LT"/>
        </w:rPr>
        <w:t xml:space="preserve">atskirų </w:t>
      </w:r>
      <w:r w:rsidR="002F4DBF" w:rsidRPr="0038489B">
        <w:rPr>
          <w:sz w:val="26"/>
          <w:szCs w:val="26"/>
          <w:lang w:val="lt-LT"/>
        </w:rPr>
        <w:t>rizikos rūš</w:t>
      </w:r>
      <w:r w:rsidR="00247C21" w:rsidRPr="0038489B">
        <w:rPr>
          <w:sz w:val="26"/>
          <w:szCs w:val="26"/>
          <w:lang w:val="lt-LT"/>
        </w:rPr>
        <w:t>ių dydi</w:t>
      </w:r>
      <w:r w:rsidR="002F4DBF" w:rsidRPr="0038489B">
        <w:rPr>
          <w:sz w:val="26"/>
          <w:szCs w:val="26"/>
          <w:lang w:val="lt-LT"/>
        </w:rPr>
        <w:t>s ir įvertinama bendra (įmonės, projekto, sprendimo) rizika.</w:t>
      </w:r>
      <w:r w:rsidR="007327B9" w:rsidRPr="0038489B">
        <w:rPr>
          <w:sz w:val="26"/>
          <w:szCs w:val="26"/>
          <w:lang w:val="lt-LT"/>
        </w:rPr>
        <w:t xml:space="preserve"> </w:t>
      </w:r>
      <w:r w:rsidR="00AF1FFA" w:rsidRPr="0038489B">
        <w:rPr>
          <w:sz w:val="26"/>
          <w:szCs w:val="26"/>
          <w:lang w:val="lt-LT"/>
        </w:rPr>
        <w:t xml:space="preserve">V. Rutkauskas (2001) rizikos metodus </w:t>
      </w:r>
      <w:r w:rsidR="00FA5F1A" w:rsidRPr="0038489B">
        <w:rPr>
          <w:sz w:val="26"/>
          <w:szCs w:val="26"/>
          <w:lang w:val="lt-LT"/>
        </w:rPr>
        <w:t xml:space="preserve">skirsto </w:t>
      </w:r>
      <w:r w:rsidR="00AF1FFA" w:rsidRPr="0038489B">
        <w:rPr>
          <w:sz w:val="26"/>
          <w:szCs w:val="26"/>
          <w:lang w:val="lt-LT"/>
        </w:rPr>
        <w:t>į 1) subjektyvius arba neformalius ir 2) sudėtingus kompiuterinio modeliavimo metodus</w:t>
      </w:r>
      <w:r w:rsidR="00FA5F1A" w:rsidRPr="0038489B">
        <w:rPr>
          <w:sz w:val="26"/>
          <w:szCs w:val="26"/>
          <w:lang w:val="lt-LT"/>
        </w:rPr>
        <w:t xml:space="preserve">, </w:t>
      </w:r>
      <w:r w:rsidR="005F6038">
        <w:rPr>
          <w:sz w:val="26"/>
          <w:szCs w:val="26"/>
          <w:lang w:val="lt-LT"/>
        </w:rPr>
        <w:t xml:space="preserve">o </w:t>
      </w:r>
      <w:r w:rsidR="0085097C" w:rsidRPr="0038489B">
        <w:rPr>
          <w:sz w:val="26"/>
          <w:szCs w:val="26"/>
          <w:lang w:val="lt-LT"/>
        </w:rPr>
        <w:t xml:space="preserve">E. </w:t>
      </w:r>
      <w:r w:rsidR="00717129" w:rsidRPr="0038489B">
        <w:rPr>
          <w:sz w:val="26"/>
          <w:szCs w:val="26"/>
          <w:lang w:val="lt-LT"/>
        </w:rPr>
        <w:t xml:space="preserve">J. Vaughan (1997) </w:t>
      </w:r>
      <w:r w:rsidR="007327B9" w:rsidRPr="0038489B">
        <w:rPr>
          <w:sz w:val="26"/>
          <w:szCs w:val="26"/>
          <w:lang w:val="lt-LT"/>
        </w:rPr>
        <w:t>išskiria</w:t>
      </w:r>
      <w:r w:rsidR="00717129" w:rsidRPr="0038489B">
        <w:rPr>
          <w:sz w:val="26"/>
          <w:szCs w:val="26"/>
          <w:lang w:val="lt-LT"/>
        </w:rPr>
        <w:t>: 1)</w:t>
      </w:r>
      <w:r w:rsidR="00041860">
        <w:rPr>
          <w:sz w:val="26"/>
          <w:szCs w:val="26"/>
          <w:lang w:val="lt-LT"/>
        </w:rPr>
        <w:t> </w:t>
      </w:r>
      <w:r w:rsidR="00717129" w:rsidRPr="0038489B">
        <w:rPr>
          <w:sz w:val="26"/>
          <w:szCs w:val="26"/>
          <w:lang w:val="lt-LT"/>
        </w:rPr>
        <w:t>tikimybinius modelius</w:t>
      </w:r>
      <w:r w:rsidR="002F4DBF" w:rsidRPr="0038489B">
        <w:rPr>
          <w:sz w:val="26"/>
          <w:szCs w:val="26"/>
          <w:lang w:val="lt-LT"/>
        </w:rPr>
        <w:t>; 2) koreliacinius ir tiesinės regresijos modelius; 3)</w:t>
      </w:r>
      <w:r w:rsidR="00041860">
        <w:rPr>
          <w:sz w:val="26"/>
          <w:szCs w:val="26"/>
          <w:lang w:val="lt-LT"/>
        </w:rPr>
        <w:t> </w:t>
      </w:r>
      <w:r w:rsidR="002F4DBF" w:rsidRPr="0038489B">
        <w:rPr>
          <w:sz w:val="26"/>
          <w:szCs w:val="26"/>
          <w:lang w:val="lt-LT"/>
        </w:rPr>
        <w:t>imitacinius modelius.</w:t>
      </w:r>
      <w:r w:rsidR="00AF1FFA" w:rsidRPr="0038489B">
        <w:rPr>
          <w:sz w:val="26"/>
          <w:szCs w:val="26"/>
          <w:lang w:val="lt-LT"/>
        </w:rPr>
        <w:t xml:space="preserve"> </w:t>
      </w:r>
      <w:r w:rsidR="00D60B1A" w:rsidRPr="0038489B">
        <w:rPr>
          <w:sz w:val="26"/>
          <w:szCs w:val="26"/>
          <w:lang w:val="lt-LT"/>
        </w:rPr>
        <w:t xml:space="preserve">Darbo autorės nuomone, rizikos vertinimo metodų klasifikavimas galėtų palengvinti </w:t>
      </w:r>
      <w:r w:rsidR="00B22CCE" w:rsidRPr="0038489B">
        <w:rPr>
          <w:sz w:val="26"/>
          <w:szCs w:val="26"/>
          <w:lang w:val="lt-LT"/>
        </w:rPr>
        <w:t>rizikos</w:t>
      </w:r>
      <w:r w:rsidR="00D60B1A" w:rsidRPr="0038489B">
        <w:rPr>
          <w:sz w:val="26"/>
          <w:szCs w:val="26"/>
          <w:lang w:val="lt-LT"/>
        </w:rPr>
        <w:t xml:space="preserve"> analizę ir </w:t>
      </w:r>
      <w:r w:rsidR="00B775B3" w:rsidRPr="0038489B">
        <w:rPr>
          <w:sz w:val="26"/>
          <w:szCs w:val="26"/>
          <w:lang w:val="lt-LT"/>
        </w:rPr>
        <w:t xml:space="preserve">šių metodų </w:t>
      </w:r>
      <w:r w:rsidR="00D60B1A" w:rsidRPr="0038489B">
        <w:rPr>
          <w:sz w:val="26"/>
          <w:szCs w:val="26"/>
          <w:lang w:val="lt-LT"/>
        </w:rPr>
        <w:t>pritaikomumą, atsižvelgiant į konkrečias aplinkybes.</w:t>
      </w:r>
      <w:r w:rsidR="0014683B" w:rsidRPr="0038489B">
        <w:rPr>
          <w:sz w:val="26"/>
          <w:szCs w:val="26"/>
          <w:lang w:val="lt-LT"/>
        </w:rPr>
        <w:t xml:space="preserve"> </w:t>
      </w:r>
      <w:r w:rsidR="00B22CCE" w:rsidRPr="0038489B">
        <w:rPr>
          <w:sz w:val="26"/>
          <w:szCs w:val="26"/>
          <w:lang w:val="lt-LT"/>
        </w:rPr>
        <w:t xml:space="preserve">Todėl </w:t>
      </w:r>
      <w:r w:rsidR="004C763E" w:rsidRPr="0038489B">
        <w:rPr>
          <w:sz w:val="26"/>
          <w:szCs w:val="26"/>
          <w:lang w:val="lt-LT"/>
        </w:rPr>
        <w:t>siūlo</w:t>
      </w:r>
      <w:r w:rsidR="004F39CB" w:rsidRPr="0038489B">
        <w:rPr>
          <w:sz w:val="26"/>
          <w:szCs w:val="26"/>
          <w:lang w:val="lt-LT"/>
        </w:rPr>
        <w:t xml:space="preserve">ma rizikos vertinimo metodus suklasifikuoti (žr. </w:t>
      </w:r>
      <w:r w:rsidR="00EA782D" w:rsidRPr="0038489B">
        <w:rPr>
          <w:sz w:val="26"/>
          <w:szCs w:val="26"/>
          <w:lang w:val="lt-LT"/>
        </w:rPr>
        <w:t>3</w:t>
      </w:r>
      <w:r w:rsidR="004F39CB" w:rsidRPr="0038489B">
        <w:rPr>
          <w:sz w:val="26"/>
          <w:szCs w:val="26"/>
          <w:lang w:val="lt-LT"/>
        </w:rPr>
        <w:t>. lentelė).</w:t>
      </w:r>
      <w:r w:rsidR="004C763E" w:rsidRPr="0038489B">
        <w:rPr>
          <w:sz w:val="26"/>
          <w:szCs w:val="26"/>
          <w:lang w:val="lt-LT"/>
        </w:rPr>
        <w:t xml:space="preserve"> </w:t>
      </w:r>
    </w:p>
    <w:p w:rsidR="00177EA2" w:rsidRDefault="00177EA2" w:rsidP="004F39CB">
      <w:pPr>
        <w:pStyle w:val="NormalWeb"/>
        <w:spacing w:before="0" w:beforeAutospacing="0" w:after="0" w:afterAutospacing="0" w:line="360" w:lineRule="auto"/>
        <w:ind w:firstLine="720"/>
        <w:jc w:val="both"/>
        <w:rPr>
          <w:sz w:val="26"/>
          <w:szCs w:val="26"/>
          <w:lang w:val="lt-LT"/>
        </w:rPr>
      </w:pPr>
    </w:p>
    <w:p w:rsidR="00177EA2" w:rsidRDefault="00177EA2" w:rsidP="004F39CB">
      <w:pPr>
        <w:pStyle w:val="NormalWeb"/>
        <w:spacing w:before="0" w:beforeAutospacing="0" w:after="0" w:afterAutospacing="0" w:line="360" w:lineRule="auto"/>
        <w:ind w:firstLine="720"/>
        <w:jc w:val="both"/>
        <w:rPr>
          <w:sz w:val="26"/>
          <w:szCs w:val="26"/>
          <w:lang w:val="lt-LT"/>
        </w:rPr>
      </w:pPr>
    </w:p>
    <w:p w:rsidR="00177EA2" w:rsidRDefault="00177EA2" w:rsidP="004F39CB">
      <w:pPr>
        <w:pStyle w:val="NormalWeb"/>
        <w:spacing w:before="0" w:beforeAutospacing="0" w:after="0" w:afterAutospacing="0" w:line="360" w:lineRule="auto"/>
        <w:ind w:firstLine="720"/>
        <w:jc w:val="both"/>
        <w:rPr>
          <w:sz w:val="26"/>
          <w:szCs w:val="26"/>
          <w:lang w:val="lt-LT"/>
        </w:rPr>
      </w:pPr>
    </w:p>
    <w:p w:rsidR="00177EA2" w:rsidRPr="0038489B" w:rsidRDefault="00177EA2" w:rsidP="004F39CB">
      <w:pPr>
        <w:pStyle w:val="NormalWeb"/>
        <w:spacing w:before="0" w:beforeAutospacing="0" w:after="0" w:afterAutospacing="0" w:line="360" w:lineRule="auto"/>
        <w:ind w:firstLine="720"/>
        <w:jc w:val="both"/>
        <w:rPr>
          <w:sz w:val="26"/>
          <w:szCs w:val="26"/>
          <w:lang w:val="lt-LT"/>
        </w:rPr>
      </w:pPr>
    </w:p>
    <w:p w:rsidR="00D3245E" w:rsidRPr="0038489B" w:rsidRDefault="00EA782D" w:rsidP="0038489B">
      <w:pPr>
        <w:ind w:left="7200"/>
        <w:jc w:val="both"/>
        <w:rPr>
          <w:i/>
          <w:sz w:val="26"/>
          <w:szCs w:val="26"/>
          <w:lang w:val="lt-LT"/>
        </w:rPr>
      </w:pPr>
      <w:r w:rsidRPr="0038489B">
        <w:rPr>
          <w:i/>
          <w:sz w:val="26"/>
          <w:szCs w:val="26"/>
          <w:lang w:val="lt-LT"/>
        </w:rPr>
        <w:lastRenderedPageBreak/>
        <w:t>3</w:t>
      </w:r>
      <w:r w:rsidR="00D3245E" w:rsidRPr="0038489B">
        <w:rPr>
          <w:i/>
          <w:sz w:val="26"/>
          <w:szCs w:val="26"/>
          <w:lang w:val="lt-LT"/>
        </w:rPr>
        <w:t xml:space="preserve"> lentelė</w:t>
      </w:r>
    </w:p>
    <w:p w:rsidR="00D3245E" w:rsidRPr="0038489B" w:rsidRDefault="00D3245E" w:rsidP="0038489B">
      <w:pPr>
        <w:spacing w:after="120"/>
        <w:jc w:val="center"/>
        <w:rPr>
          <w:b/>
          <w:sz w:val="26"/>
          <w:szCs w:val="26"/>
          <w:lang w:val="lt-LT"/>
        </w:rPr>
      </w:pPr>
      <w:r w:rsidRPr="0038489B">
        <w:rPr>
          <w:b/>
          <w:sz w:val="26"/>
          <w:szCs w:val="26"/>
          <w:lang w:val="lt-LT"/>
        </w:rPr>
        <w:t xml:space="preserve">Rizikos vertinimo metodų klasifikavimas </w:t>
      </w:r>
    </w:p>
    <w:tbl>
      <w:tblPr>
        <w:tblStyle w:val="TableGrid"/>
        <w:tblW w:w="0" w:type="auto"/>
        <w:jc w:val="center"/>
        <w:tblLook w:val="04A0"/>
      </w:tblPr>
      <w:tblGrid>
        <w:gridCol w:w="1755"/>
        <w:gridCol w:w="3942"/>
        <w:gridCol w:w="2797"/>
      </w:tblGrid>
      <w:tr w:rsidR="00C23674" w:rsidRPr="0038489B" w:rsidTr="00466E1B">
        <w:trPr>
          <w:jc w:val="center"/>
        </w:trPr>
        <w:tc>
          <w:tcPr>
            <w:tcW w:w="1861" w:type="dxa"/>
          </w:tcPr>
          <w:p w:rsidR="00C23674" w:rsidRPr="0038489B" w:rsidRDefault="00C23674" w:rsidP="00C23674">
            <w:pPr>
              <w:pStyle w:val="NormalWeb"/>
              <w:spacing w:before="0" w:beforeAutospacing="0" w:after="0" w:afterAutospacing="0"/>
              <w:jc w:val="center"/>
              <w:rPr>
                <w:b/>
                <w:sz w:val="22"/>
                <w:szCs w:val="22"/>
                <w:lang w:val="lt-LT"/>
              </w:rPr>
            </w:pPr>
            <w:r w:rsidRPr="0038489B">
              <w:rPr>
                <w:b/>
                <w:sz w:val="22"/>
                <w:szCs w:val="22"/>
                <w:lang w:val="lt-LT"/>
              </w:rPr>
              <w:t>Rizikos vertinimo metodų grupė</w:t>
            </w:r>
          </w:p>
        </w:tc>
        <w:tc>
          <w:tcPr>
            <w:tcW w:w="4652" w:type="dxa"/>
          </w:tcPr>
          <w:p w:rsidR="00C23674" w:rsidRPr="0038489B" w:rsidRDefault="00C23674" w:rsidP="00C23674">
            <w:pPr>
              <w:pStyle w:val="NormalWeb"/>
              <w:spacing w:before="0" w:beforeAutospacing="0" w:after="0" w:afterAutospacing="0"/>
              <w:jc w:val="center"/>
              <w:rPr>
                <w:b/>
                <w:sz w:val="22"/>
                <w:szCs w:val="22"/>
                <w:lang w:val="lt-LT"/>
              </w:rPr>
            </w:pPr>
            <w:r w:rsidRPr="0038489B">
              <w:rPr>
                <w:b/>
                <w:sz w:val="22"/>
                <w:szCs w:val="22"/>
                <w:lang w:val="lt-LT"/>
              </w:rPr>
              <w:t>Konkretūs metodai</w:t>
            </w:r>
          </w:p>
        </w:tc>
        <w:tc>
          <w:tcPr>
            <w:tcW w:w="3107" w:type="dxa"/>
          </w:tcPr>
          <w:p w:rsidR="00C23674" w:rsidRPr="0038489B" w:rsidRDefault="00171991" w:rsidP="00C23674">
            <w:pPr>
              <w:pStyle w:val="NormalWeb"/>
              <w:spacing w:before="0" w:beforeAutospacing="0" w:after="0" w:afterAutospacing="0"/>
              <w:jc w:val="center"/>
              <w:rPr>
                <w:b/>
                <w:sz w:val="22"/>
                <w:szCs w:val="22"/>
                <w:lang w:val="lt-LT"/>
              </w:rPr>
            </w:pPr>
            <w:r w:rsidRPr="0038489B">
              <w:rPr>
                <w:b/>
                <w:sz w:val="22"/>
                <w:szCs w:val="22"/>
                <w:lang w:val="lt-LT"/>
              </w:rPr>
              <w:t>Šaltinis</w:t>
            </w:r>
          </w:p>
        </w:tc>
      </w:tr>
      <w:tr w:rsidR="00C23674" w:rsidRPr="0038489B" w:rsidTr="00466E1B">
        <w:trPr>
          <w:jc w:val="center"/>
        </w:trPr>
        <w:tc>
          <w:tcPr>
            <w:tcW w:w="1861" w:type="dxa"/>
          </w:tcPr>
          <w:p w:rsidR="00C23674" w:rsidRPr="0038489B" w:rsidRDefault="00DB550F" w:rsidP="0076754B">
            <w:pPr>
              <w:pStyle w:val="NormalWeb"/>
              <w:spacing w:before="0" w:beforeAutospacing="0" w:after="0" w:afterAutospacing="0"/>
              <w:jc w:val="both"/>
              <w:rPr>
                <w:sz w:val="22"/>
                <w:szCs w:val="22"/>
                <w:lang w:val="lt-LT"/>
              </w:rPr>
            </w:pPr>
            <w:r w:rsidRPr="0038489B">
              <w:rPr>
                <w:sz w:val="22"/>
                <w:szCs w:val="22"/>
                <w:lang w:val="lt-LT"/>
              </w:rPr>
              <w:t>R</w:t>
            </w:r>
            <w:r w:rsidR="00C23674" w:rsidRPr="0038489B">
              <w:rPr>
                <w:sz w:val="22"/>
                <w:szCs w:val="22"/>
                <w:lang w:val="lt-LT"/>
              </w:rPr>
              <w:t>izik</w:t>
            </w:r>
            <w:r w:rsidRPr="0038489B">
              <w:rPr>
                <w:sz w:val="22"/>
                <w:szCs w:val="22"/>
                <w:lang w:val="lt-LT"/>
              </w:rPr>
              <w:t xml:space="preserve">os pasireiškimo </w:t>
            </w:r>
            <w:r w:rsidR="0076754B" w:rsidRPr="0038489B">
              <w:rPr>
                <w:sz w:val="22"/>
                <w:szCs w:val="22"/>
                <w:lang w:val="lt-LT"/>
              </w:rPr>
              <w:t>nustatymo</w:t>
            </w:r>
          </w:p>
        </w:tc>
        <w:tc>
          <w:tcPr>
            <w:tcW w:w="4652" w:type="dxa"/>
          </w:tcPr>
          <w:p w:rsidR="00C23674" w:rsidRPr="0038489B" w:rsidRDefault="00AF25C4" w:rsidP="00C23674">
            <w:pPr>
              <w:pStyle w:val="NormalWeb"/>
              <w:spacing w:before="0" w:beforeAutospacing="0" w:after="0" w:afterAutospacing="0"/>
              <w:jc w:val="both"/>
              <w:rPr>
                <w:sz w:val="22"/>
                <w:szCs w:val="22"/>
                <w:lang w:val="lt-LT"/>
              </w:rPr>
            </w:pPr>
            <w:r w:rsidRPr="0038489B">
              <w:rPr>
                <w:sz w:val="22"/>
                <w:szCs w:val="22"/>
                <w:lang w:val="lt-LT"/>
              </w:rPr>
              <w:t xml:space="preserve">1) </w:t>
            </w:r>
            <w:r w:rsidR="0076754B" w:rsidRPr="0038489B">
              <w:rPr>
                <w:sz w:val="22"/>
                <w:szCs w:val="22"/>
                <w:lang w:val="lt-LT"/>
              </w:rPr>
              <w:t>Priežastingumo analizė</w:t>
            </w:r>
            <w:r w:rsidRPr="0038489B">
              <w:rPr>
                <w:sz w:val="22"/>
                <w:szCs w:val="22"/>
                <w:lang w:val="lt-LT"/>
              </w:rPr>
              <w:t>;</w:t>
            </w:r>
          </w:p>
          <w:p w:rsidR="0076754B" w:rsidRPr="0038489B" w:rsidRDefault="00AF25C4" w:rsidP="00C23674">
            <w:pPr>
              <w:pStyle w:val="NormalWeb"/>
              <w:spacing w:before="0" w:beforeAutospacing="0" w:after="0" w:afterAutospacing="0"/>
              <w:jc w:val="both"/>
              <w:rPr>
                <w:sz w:val="22"/>
                <w:szCs w:val="22"/>
                <w:lang w:val="lt-LT"/>
              </w:rPr>
            </w:pPr>
            <w:r w:rsidRPr="0038489B">
              <w:rPr>
                <w:sz w:val="22"/>
                <w:szCs w:val="22"/>
                <w:lang w:val="lt-LT"/>
              </w:rPr>
              <w:t xml:space="preserve">2) </w:t>
            </w:r>
            <w:r w:rsidR="0076754B" w:rsidRPr="0038489B">
              <w:rPr>
                <w:sz w:val="22"/>
                <w:szCs w:val="22"/>
                <w:lang w:val="lt-LT"/>
              </w:rPr>
              <w:t>Sprendimų analizė</w:t>
            </w:r>
            <w:r w:rsidRPr="0038489B">
              <w:rPr>
                <w:sz w:val="22"/>
                <w:szCs w:val="22"/>
                <w:lang w:val="lt-LT"/>
              </w:rPr>
              <w:t>;</w:t>
            </w:r>
          </w:p>
          <w:p w:rsidR="0076754B" w:rsidRPr="0038489B" w:rsidRDefault="00AF25C4" w:rsidP="00C23674">
            <w:pPr>
              <w:pStyle w:val="NormalWeb"/>
              <w:spacing w:before="0" w:beforeAutospacing="0" w:after="0" w:afterAutospacing="0"/>
              <w:jc w:val="both"/>
              <w:rPr>
                <w:sz w:val="22"/>
                <w:szCs w:val="22"/>
                <w:lang w:val="lt-LT"/>
              </w:rPr>
            </w:pPr>
            <w:r w:rsidRPr="0038489B">
              <w:rPr>
                <w:sz w:val="22"/>
                <w:szCs w:val="22"/>
                <w:lang w:val="lt-LT"/>
              </w:rPr>
              <w:t xml:space="preserve">3) </w:t>
            </w:r>
            <w:r w:rsidR="0076754B" w:rsidRPr="0038489B">
              <w:rPr>
                <w:sz w:val="22"/>
                <w:szCs w:val="22"/>
                <w:lang w:val="lt-LT"/>
              </w:rPr>
              <w:t>Pareto analizė</w:t>
            </w:r>
            <w:r w:rsidRPr="0038489B">
              <w:rPr>
                <w:sz w:val="22"/>
                <w:szCs w:val="22"/>
                <w:lang w:val="lt-LT"/>
              </w:rPr>
              <w:t>;</w:t>
            </w:r>
          </w:p>
          <w:p w:rsidR="00106654" w:rsidRPr="0038489B" w:rsidRDefault="00AF25C4" w:rsidP="00C23674">
            <w:pPr>
              <w:pStyle w:val="NormalWeb"/>
              <w:spacing w:before="0" w:beforeAutospacing="0" w:after="0" w:afterAutospacing="0"/>
              <w:jc w:val="both"/>
              <w:rPr>
                <w:sz w:val="22"/>
                <w:szCs w:val="22"/>
                <w:lang w:val="lt-LT"/>
              </w:rPr>
            </w:pPr>
            <w:r w:rsidRPr="0038489B">
              <w:rPr>
                <w:sz w:val="22"/>
                <w:szCs w:val="22"/>
                <w:lang w:val="lt-LT"/>
              </w:rPr>
              <w:t xml:space="preserve">4) </w:t>
            </w:r>
            <w:r w:rsidR="0076754B" w:rsidRPr="0038489B">
              <w:rPr>
                <w:sz w:val="22"/>
                <w:szCs w:val="22"/>
                <w:lang w:val="lt-LT"/>
              </w:rPr>
              <w:t>Ilgalaikio turto įkainojimo analizė</w:t>
            </w:r>
            <w:r w:rsidR="00106654" w:rsidRPr="0038489B">
              <w:rPr>
                <w:sz w:val="22"/>
                <w:szCs w:val="22"/>
                <w:lang w:val="lt-LT"/>
              </w:rPr>
              <w:t>;</w:t>
            </w:r>
          </w:p>
          <w:p w:rsidR="00696BF5" w:rsidRPr="0038489B" w:rsidRDefault="00106654" w:rsidP="00C23674">
            <w:pPr>
              <w:pStyle w:val="NormalWeb"/>
              <w:spacing w:before="0" w:beforeAutospacing="0" w:after="0" w:afterAutospacing="0"/>
              <w:jc w:val="both"/>
              <w:rPr>
                <w:sz w:val="22"/>
                <w:szCs w:val="22"/>
                <w:lang w:val="lt-LT"/>
              </w:rPr>
            </w:pPr>
            <w:r w:rsidRPr="0038489B">
              <w:rPr>
                <w:sz w:val="22"/>
                <w:szCs w:val="22"/>
                <w:lang w:val="lt-LT"/>
              </w:rPr>
              <w:t>5) Proto šturmo požiūris</w:t>
            </w:r>
            <w:r w:rsidR="00AF25C4" w:rsidRPr="0038489B">
              <w:rPr>
                <w:sz w:val="22"/>
                <w:szCs w:val="22"/>
                <w:lang w:val="lt-LT"/>
              </w:rPr>
              <w:t>.</w:t>
            </w:r>
          </w:p>
        </w:tc>
        <w:tc>
          <w:tcPr>
            <w:tcW w:w="3107" w:type="dxa"/>
          </w:tcPr>
          <w:p w:rsidR="00C23674" w:rsidRPr="0038489B" w:rsidRDefault="00106654" w:rsidP="00D44638">
            <w:pPr>
              <w:pStyle w:val="NormalWeb"/>
              <w:spacing w:before="0" w:beforeAutospacing="0" w:after="0" w:afterAutospacing="0"/>
              <w:jc w:val="both"/>
              <w:rPr>
                <w:sz w:val="22"/>
                <w:szCs w:val="22"/>
                <w:lang w:val="lt-LT"/>
              </w:rPr>
            </w:pPr>
            <w:r w:rsidRPr="0038489B">
              <w:rPr>
                <w:sz w:val="22"/>
                <w:szCs w:val="22"/>
                <w:lang w:val="lt-LT"/>
              </w:rPr>
              <w:t xml:space="preserve">R. R. Moeller (2007); </w:t>
            </w:r>
            <w:r w:rsidR="000D4BC0" w:rsidRPr="0038489B">
              <w:rPr>
                <w:sz w:val="22"/>
                <w:szCs w:val="22"/>
                <w:lang w:val="lt-LT"/>
              </w:rPr>
              <w:t>R.</w:t>
            </w:r>
            <w:r w:rsidR="00D44638">
              <w:rPr>
                <w:sz w:val="22"/>
                <w:szCs w:val="22"/>
                <w:lang w:val="lt-LT"/>
              </w:rPr>
              <w:t> </w:t>
            </w:r>
            <w:r w:rsidR="000D4BC0" w:rsidRPr="0038489B">
              <w:rPr>
                <w:sz w:val="22"/>
                <w:szCs w:val="22"/>
                <w:lang w:val="lt-LT"/>
              </w:rPr>
              <w:t>J.</w:t>
            </w:r>
            <w:r w:rsidR="00D44638">
              <w:rPr>
                <w:sz w:val="22"/>
                <w:szCs w:val="22"/>
                <w:lang w:val="lt-LT"/>
              </w:rPr>
              <w:t> </w:t>
            </w:r>
            <w:r w:rsidR="000D4BC0" w:rsidRPr="0038489B">
              <w:rPr>
                <w:sz w:val="22"/>
                <w:szCs w:val="22"/>
                <w:lang w:val="lt-LT"/>
              </w:rPr>
              <w:t>Chapman (2006)</w:t>
            </w:r>
          </w:p>
        </w:tc>
      </w:tr>
      <w:tr w:rsidR="00AF25C4" w:rsidRPr="0038489B" w:rsidTr="00466E1B">
        <w:trPr>
          <w:trHeight w:val="1824"/>
          <w:jc w:val="center"/>
        </w:trPr>
        <w:tc>
          <w:tcPr>
            <w:tcW w:w="1861" w:type="dxa"/>
          </w:tcPr>
          <w:p w:rsidR="00AF25C4" w:rsidRPr="0038489B" w:rsidRDefault="00AF25C4" w:rsidP="00A72BA5">
            <w:pPr>
              <w:pStyle w:val="NormalWeb"/>
              <w:spacing w:before="0" w:beforeAutospacing="0" w:after="0" w:afterAutospacing="0"/>
              <w:jc w:val="both"/>
              <w:rPr>
                <w:sz w:val="22"/>
                <w:szCs w:val="22"/>
                <w:lang w:val="lt-LT"/>
              </w:rPr>
            </w:pPr>
            <w:r w:rsidRPr="0038489B">
              <w:rPr>
                <w:sz w:val="22"/>
                <w:szCs w:val="22"/>
                <w:lang w:val="lt-LT"/>
              </w:rPr>
              <w:t xml:space="preserve">Tikimybių teorijos </w:t>
            </w:r>
          </w:p>
        </w:tc>
        <w:tc>
          <w:tcPr>
            <w:tcW w:w="4652" w:type="dxa"/>
          </w:tcPr>
          <w:p w:rsidR="00AF25C4" w:rsidRPr="0038489B" w:rsidRDefault="00AF25C4" w:rsidP="00DB550F">
            <w:pPr>
              <w:pStyle w:val="NormalWeb"/>
              <w:spacing w:before="0" w:beforeAutospacing="0" w:after="0" w:afterAutospacing="0"/>
              <w:jc w:val="both"/>
              <w:rPr>
                <w:sz w:val="22"/>
                <w:szCs w:val="22"/>
                <w:lang w:val="lt-LT"/>
              </w:rPr>
            </w:pPr>
            <w:r w:rsidRPr="0038489B">
              <w:rPr>
                <w:sz w:val="22"/>
                <w:szCs w:val="22"/>
                <w:lang w:val="lt-LT"/>
              </w:rPr>
              <w:t>1) Tikimybių sampratos metodas (loginės, objektyvios, subjektyvios, sąlyginės tikimybės);</w:t>
            </w:r>
          </w:p>
          <w:p w:rsidR="00AF25C4" w:rsidRPr="0038489B" w:rsidRDefault="00AF25C4" w:rsidP="005D25A7">
            <w:pPr>
              <w:pStyle w:val="NormalWeb"/>
              <w:spacing w:before="0" w:beforeAutospacing="0" w:after="0" w:afterAutospacing="0"/>
              <w:jc w:val="both"/>
              <w:rPr>
                <w:sz w:val="22"/>
                <w:szCs w:val="22"/>
                <w:lang w:val="lt-LT"/>
              </w:rPr>
            </w:pPr>
            <w:r w:rsidRPr="0038489B">
              <w:rPr>
                <w:sz w:val="22"/>
                <w:szCs w:val="22"/>
                <w:lang w:val="lt-LT"/>
              </w:rPr>
              <w:t>2) Tikimybinių modelių (binominio, puasono) metodas;</w:t>
            </w:r>
          </w:p>
          <w:p w:rsidR="00AF25C4" w:rsidRPr="0038489B" w:rsidRDefault="00B22CCE" w:rsidP="005D25A7">
            <w:pPr>
              <w:pStyle w:val="NormalWeb"/>
              <w:spacing w:before="0" w:beforeAutospacing="0" w:after="0" w:afterAutospacing="0"/>
              <w:jc w:val="both"/>
              <w:rPr>
                <w:sz w:val="22"/>
                <w:szCs w:val="22"/>
                <w:lang w:val="lt-LT"/>
              </w:rPr>
            </w:pPr>
            <w:r w:rsidRPr="0038489B">
              <w:rPr>
                <w:sz w:val="22"/>
                <w:szCs w:val="22"/>
                <w:lang w:val="lt-LT"/>
              </w:rPr>
              <w:t>3</w:t>
            </w:r>
            <w:r w:rsidR="00AF25C4" w:rsidRPr="0038489B">
              <w:rPr>
                <w:sz w:val="22"/>
                <w:szCs w:val="22"/>
                <w:lang w:val="lt-LT"/>
              </w:rPr>
              <w:t>) Regresinės analizės metodas (koreliacinės analizės, tiesinės regresijos)</w:t>
            </w:r>
            <w:r w:rsidR="00466D5F" w:rsidRPr="0038489B">
              <w:rPr>
                <w:sz w:val="22"/>
                <w:szCs w:val="22"/>
                <w:lang w:val="lt-LT"/>
              </w:rPr>
              <w:t>;</w:t>
            </w:r>
          </w:p>
          <w:p w:rsidR="00AF25C4" w:rsidRPr="0038489B" w:rsidRDefault="00B22CCE" w:rsidP="00AF25C4">
            <w:pPr>
              <w:pStyle w:val="NormalWeb"/>
              <w:spacing w:before="0" w:beforeAutospacing="0" w:after="0" w:afterAutospacing="0"/>
              <w:jc w:val="both"/>
              <w:rPr>
                <w:sz w:val="22"/>
                <w:szCs w:val="22"/>
                <w:lang w:val="lt-LT"/>
              </w:rPr>
            </w:pPr>
            <w:r w:rsidRPr="0038489B">
              <w:rPr>
                <w:sz w:val="22"/>
                <w:szCs w:val="22"/>
                <w:lang w:val="lt-LT"/>
              </w:rPr>
              <w:t>4</w:t>
            </w:r>
            <w:r w:rsidR="00466D5F" w:rsidRPr="0038489B">
              <w:rPr>
                <w:sz w:val="22"/>
                <w:szCs w:val="22"/>
                <w:lang w:val="lt-LT"/>
              </w:rPr>
              <w:t xml:space="preserve">) </w:t>
            </w:r>
            <w:r w:rsidR="00AF25C4" w:rsidRPr="0038489B">
              <w:rPr>
                <w:sz w:val="22"/>
                <w:szCs w:val="22"/>
                <w:lang w:val="lt-LT"/>
              </w:rPr>
              <w:t>Tikimybių medžio metodas</w:t>
            </w:r>
            <w:r w:rsidR="00466D5F" w:rsidRPr="0038489B">
              <w:rPr>
                <w:sz w:val="22"/>
                <w:szCs w:val="22"/>
                <w:lang w:val="lt-LT"/>
              </w:rPr>
              <w:t>;</w:t>
            </w:r>
          </w:p>
          <w:p w:rsidR="00AF25C4" w:rsidRPr="0038489B" w:rsidRDefault="00B22CCE" w:rsidP="00AF25C4">
            <w:pPr>
              <w:pStyle w:val="NormalWeb"/>
              <w:spacing w:before="0" w:beforeAutospacing="0" w:after="0" w:afterAutospacing="0"/>
              <w:jc w:val="both"/>
              <w:rPr>
                <w:sz w:val="22"/>
                <w:szCs w:val="22"/>
                <w:lang w:val="lt-LT"/>
              </w:rPr>
            </w:pPr>
            <w:r w:rsidRPr="0038489B">
              <w:rPr>
                <w:sz w:val="22"/>
                <w:szCs w:val="22"/>
                <w:lang w:val="lt-LT"/>
              </w:rPr>
              <w:t>5</w:t>
            </w:r>
            <w:r w:rsidR="00466D5F" w:rsidRPr="0038489B">
              <w:rPr>
                <w:sz w:val="22"/>
                <w:szCs w:val="22"/>
                <w:lang w:val="lt-LT"/>
              </w:rPr>
              <w:t xml:space="preserve">) </w:t>
            </w:r>
            <w:r w:rsidR="00AF25C4" w:rsidRPr="0038489B">
              <w:rPr>
                <w:sz w:val="22"/>
                <w:szCs w:val="22"/>
                <w:lang w:val="lt-LT"/>
              </w:rPr>
              <w:t>Markovo grandinės metodas</w:t>
            </w:r>
            <w:r w:rsidR="00466D5F" w:rsidRPr="0038489B">
              <w:rPr>
                <w:sz w:val="22"/>
                <w:szCs w:val="22"/>
                <w:lang w:val="lt-LT"/>
              </w:rPr>
              <w:t>.</w:t>
            </w:r>
          </w:p>
        </w:tc>
        <w:tc>
          <w:tcPr>
            <w:tcW w:w="3107" w:type="dxa"/>
          </w:tcPr>
          <w:p w:rsidR="00AF25C4" w:rsidRPr="0038489B" w:rsidRDefault="00AF25C4" w:rsidP="00D44638">
            <w:pPr>
              <w:pStyle w:val="NormalWeb"/>
              <w:spacing w:before="0" w:beforeAutospacing="0" w:after="0" w:afterAutospacing="0"/>
              <w:jc w:val="both"/>
              <w:rPr>
                <w:sz w:val="22"/>
                <w:szCs w:val="22"/>
                <w:lang w:val="lt-LT"/>
              </w:rPr>
            </w:pPr>
            <w:r w:rsidRPr="0038489B">
              <w:rPr>
                <w:sz w:val="22"/>
                <w:szCs w:val="22"/>
                <w:lang w:val="lt-LT"/>
              </w:rPr>
              <w:t>R. J. Chapman (2006); G.</w:t>
            </w:r>
            <w:r w:rsidR="0038489B">
              <w:rPr>
                <w:sz w:val="22"/>
                <w:szCs w:val="22"/>
                <w:lang w:val="lt-LT"/>
              </w:rPr>
              <w:t xml:space="preserve"> P. G. </w:t>
            </w:r>
            <w:r w:rsidRPr="0038489B">
              <w:rPr>
                <w:sz w:val="22"/>
                <w:szCs w:val="22"/>
                <w:lang w:val="lt-LT"/>
              </w:rPr>
              <w:t>Keat, P.</w:t>
            </w:r>
            <w:r w:rsidR="0038489B">
              <w:rPr>
                <w:sz w:val="22"/>
                <w:szCs w:val="22"/>
                <w:lang w:val="lt-LT"/>
              </w:rPr>
              <w:t> </w:t>
            </w:r>
            <w:r w:rsidRPr="0038489B">
              <w:rPr>
                <w:sz w:val="22"/>
                <w:szCs w:val="22"/>
                <w:lang w:val="lt-LT"/>
              </w:rPr>
              <w:t>Y</w:t>
            </w:r>
            <w:r w:rsidR="0038489B">
              <w:rPr>
                <w:sz w:val="22"/>
                <w:szCs w:val="22"/>
                <w:lang w:val="lt-LT"/>
              </w:rPr>
              <w:t>. </w:t>
            </w:r>
            <w:r w:rsidRPr="0038489B">
              <w:rPr>
                <w:sz w:val="22"/>
                <w:szCs w:val="22"/>
                <w:lang w:val="lt-LT"/>
              </w:rPr>
              <w:t>Young (2006); J. Mun (2004); E.</w:t>
            </w:r>
            <w:r w:rsidR="0038489B">
              <w:rPr>
                <w:sz w:val="22"/>
                <w:szCs w:val="22"/>
                <w:lang w:val="lt-LT"/>
              </w:rPr>
              <w:t> </w:t>
            </w:r>
            <w:r w:rsidRPr="0038489B">
              <w:rPr>
                <w:sz w:val="22"/>
                <w:szCs w:val="22"/>
                <w:lang w:val="lt-LT"/>
              </w:rPr>
              <w:t>J.Vaughan (1998); V.</w:t>
            </w:r>
            <w:r w:rsidR="0038489B">
              <w:rPr>
                <w:sz w:val="22"/>
                <w:szCs w:val="22"/>
                <w:lang w:val="lt-LT"/>
              </w:rPr>
              <w:t> </w:t>
            </w:r>
            <w:r w:rsidRPr="0038489B">
              <w:rPr>
                <w:sz w:val="22"/>
                <w:szCs w:val="22"/>
                <w:lang w:val="lt-LT"/>
              </w:rPr>
              <w:t>A.</w:t>
            </w:r>
            <w:r w:rsidR="0038489B">
              <w:rPr>
                <w:sz w:val="22"/>
                <w:szCs w:val="22"/>
                <w:lang w:val="lt-LT"/>
              </w:rPr>
              <w:t> </w:t>
            </w:r>
            <w:r w:rsidRPr="0038489B">
              <w:rPr>
                <w:sz w:val="22"/>
                <w:szCs w:val="22"/>
                <w:lang w:val="lt-LT"/>
              </w:rPr>
              <w:t>Rutkauskas (2007); D.</w:t>
            </w:r>
            <w:r w:rsidR="0038489B">
              <w:rPr>
                <w:sz w:val="22"/>
                <w:szCs w:val="22"/>
                <w:lang w:val="lt-LT"/>
              </w:rPr>
              <w:t> </w:t>
            </w:r>
            <w:r w:rsidRPr="0038489B">
              <w:rPr>
                <w:sz w:val="22"/>
                <w:szCs w:val="22"/>
                <w:lang w:val="lt-LT"/>
              </w:rPr>
              <w:t>Laskienė (2003); Z.</w:t>
            </w:r>
            <w:r w:rsidR="00D44638">
              <w:rPr>
                <w:sz w:val="22"/>
                <w:szCs w:val="22"/>
                <w:lang w:val="lt-LT"/>
              </w:rPr>
              <w:t> </w:t>
            </w:r>
            <w:r w:rsidRPr="0038489B">
              <w:rPr>
                <w:sz w:val="22"/>
                <w:szCs w:val="22"/>
                <w:lang w:val="lt-LT"/>
              </w:rPr>
              <w:t>Gaidienė (1998); A.</w:t>
            </w:r>
            <w:r w:rsidR="00D44638">
              <w:rPr>
                <w:sz w:val="22"/>
                <w:szCs w:val="22"/>
                <w:lang w:val="lt-LT"/>
              </w:rPr>
              <w:t> </w:t>
            </w:r>
            <w:r w:rsidRPr="0038489B">
              <w:rPr>
                <w:sz w:val="22"/>
                <w:szCs w:val="22"/>
                <w:lang w:val="lt-LT"/>
              </w:rPr>
              <w:t>Garškienė</w:t>
            </w:r>
            <w:r w:rsidR="00D44638">
              <w:rPr>
                <w:sz w:val="22"/>
                <w:szCs w:val="22"/>
                <w:lang w:val="lt-LT"/>
              </w:rPr>
              <w:t xml:space="preserve"> (</w:t>
            </w:r>
            <w:r w:rsidRPr="0038489B">
              <w:rPr>
                <w:sz w:val="22"/>
                <w:szCs w:val="22"/>
                <w:lang w:val="lt-LT"/>
              </w:rPr>
              <w:t>1997</w:t>
            </w:r>
            <w:r w:rsidR="00D44638">
              <w:rPr>
                <w:sz w:val="22"/>
                <w:szCs w:val="22"/>
                <w:lang w:val="lt-LT"/>
              </w:rPr>
              <w:t>)</w:t>
            </w:r>
            <w:r w:rsidRPr="0038489B">
              <w:rPr>
                <w:sz w:val="22"/>
                <w:szCs w:val="22"/>
                <w:lang w:val="lt-LT"/>
              </w:rPr>
              <w:t>; V.</w:t>
            </w:r>
            <w:r w:rsidR="00D44638">
              <w:rPr>
                <w:sz w:val="22"/>
                <w:szCs w:val="22"/>
                <w:lang w:val="lt-LT"/>
              </w:rPr>
              <w:t> </w:t>
            </w:r>
            <w:r w:rsidRPr="0038489B">
              <w:rPr>
                <w:sz w:val="22"/>
                <w:szCs w:val="22"/>
                <w:lang w:val="lt-LT"/>
              </w:rPr>
              <w:t>Bagdonas (1996)</w:t>
            </w:r>
          </w:p>
        </w:tc>
      </w:tr>
      <w:tr w:rsidR="002615D0" w:rsidRPr="0038489B" w:rsidTr="00466E1B">
        <w:trPr>
          <w:jc w:val="center"/>
        </w:trPr>
        <w:tc>
          <w:tcPr>
            <w:tcW w:w="1861" w:type="dxa"/>
          </w:tcPr>
          <w:p w:rsidR="002615D0" w:rsidRPr="0038489B" w:rsidRDefault="004424ED" w:rsidP="00C23674">
            <w:pPr>
              <w:pStyle w:val="NormalWeb"/>
              <w:spacing w:before="0" w:beforeAutospacing="0" w:after="0" w:afterAutospacing="0"/>
              <w:jc w:val="both"/>
              <w:rPr>
                <w:sz w:val="22"/>
                <w:szCs w:val="22"/>
                <w:lang w:val="lt-LT"/>
              </w:rPr>
            </w:pPr>
            <w:r w:rsidRPr="0038489B">
              <w:rPr>
                <w:sz w:val="22"/>
                <w:szCs w:val="22"/>
                <w:lang w:val="lt-LT"/>
              </w:rPr>
              <w:t>Ekonominiai</w:t>
            </w:r>
          </w:p>
        </w:tc>
        <w:tc>
          <w:tcPr>
            <w:tcW w:w="4652" w:type="dxa"/>
          </w:tcPr>
          <w:p w:rsidR="002615D0" w:rsidRPr="0038489B" w:rsidRDefault="00466D5F" w:rsidP="00C23674">
            <w:pPr>
              <w:pStyle w:val="NormalWeb"/>
              <w:spacing w:before="0" w:beforeAutospacing="0" w:after="0" w:afterAutospacing="0"/>
              <w:jc w:val="both"/>
              <w:rPr>
                <w:sz w:val="22"/>
                <w:szCs w:val="22"/>
                <w:lang w:val="lt-LT"/>
              </w:rPr>
            </w:pPr>
            <w:r w:rsidRPr="0038489B">
              <w:rPr>
                <w:sz w:val="22"/>
                <w:szCs w:val="22"/>
                <w:lang w:val="lt-LT"/>
              </w:rPr>
              <w:t xml:space="preserve">1) </w:t>
            </w:r>
            <w:r w:rsidR="002615D0" w:rsidRPr="0038489B">
              <w:rPr>
                <w:sz w:val="22"/>
                <w:szCs w:val="22"/>
                <w:lang w:val="lt-LT"/>
              </w:rPr>
              <w:t>Naudingumo funkcijos</w:t>
            </w:r>
            <w:r w:rsidR="000D4BC0" w:rsidRPr="0038489B">
              <w:rPr>
                <w:sz w:val="22"/>
                <w:szCs w:val="22"/>
                <w:lang w:val="lt-LT"/>
              </w:rPr>
              <w:t xml:space="preserve"> metodas</w:t>
            </w:r>
            <w:r w:rsidRPr="0038489B">
              <w:rPr>
                <w:sz w:val="22"/>
                <w:szCs w:val="22"/>
                <w:lang w:val="lt-LT"/>
              </w:rPr>
              <w:t>;</w:t>
            </w:r>
          </w:p>
          <w:p w:rsidR="000D4BC0" w:rsidRPr="0038489B" w:rsidRDefault="00466D5F" w:rsidP="00C23674">
            <w:pPr>
              <w:pStyle w:val="NormalWeb"/>
              <w:spacing w:before="0" w:beforeAutospacing="0" w:after="0" w:afterAutospacing="0"/>
              <w:jc w:val="both"/>
              <w:rPr>
                <w:sz w:val="22"/>
                <w:szCs w:val="22"/>
                <w:lang w:val="lt-LT"/>
              </w:rPr>
            </w:pPr>
            <w:r w:rsidRPr="0038489B">
              <w:rPr>
                <w:sz w:val="22"/>
                <w:szCs w:val="22"/>
                <w:lang w:val="lt-LT"/>
              </w:rPr>
              <w:t xml:space="preserve">2) </w:t>
            </w:r>
            <w:r w:rsidR="00525E5E" w:rsidRPr="0038489B">
              <w:rPr>
                <w:sz w:val="22"/>
                <w:szCs w:val="22"/>
                <w:lang w:val="lt-LT"/>
              </w:rPr>
              <w:t>Laukiamos piniginės vertės</w:t>
            </w:r>
            <w:r w:rsidR="000D4BC0" w:rsidRPr="0038489B">
              <w:rPr>
                <w:sz w:val="22"/>
                <w:szCs w:val="22"/>
                <w:lang w:val="lt-LT"/>
              </w:rPr>
              <w:t xml:space="preserve"> metodas</w:t>
            </w:r>
            <w:r w:rsidRPr="0038489B">
              <w:rPr>
                <w:sz w:val="22"/>
                <w:szCs w:val="22"/>
                <w:lang w:val="lt-LT"/>
              </w:rPr>
              <w:t>;</w:t>
            </w:r>
          </w:p>
          <w:p w:rsidR="00525E5E" w:rsidRPr="0038489B" w:rsidRDefault="00466D5F" w:rsidP="00C23674">
            <w:pPr>
              <w:pStyle w:val="NormalWeb"/>
              <w:spacing w:before="0" w:beforeAutospacing="0" w:after="0" w:afterAutospacing="0"/>
              <w:jc w:val="both"/>
              <w:rPr>
                <w:sz w:val="22"/>
                <w:szCs w:val="22"/>
                <w:lang w:val="lt-LT"/>
              </w:rPr>
            </w:pPr>
            <w:r w:rsidRPr="0038489B">
              <w:rPr>
                <w:sz w:val="22"/>
                <w:szCs w:val="22"/>
                <w:lang w:val="lt-LT"/>
              </w:rPr>
              <w:t xml:space="preserve">3) </w:t>
            </w:r>
            <w:r w:rsidR="000D4BC0" w:rsidRPr="0038489B">
              <w:rPr>
                <w:sz w:val="22"/>
                <w:szCs w:val="22"/>
                <w:lang w:val="lt-LT"/>
              </w:rPr>
              <w:t>Sprendimų medžio metodas</w:t>
            </w:r>
            <w:r w:rsidRPr="0038489B">
              <w:rPr>
                <w:sz w:val="22"/>
                <w:szCs w:val="22"/>
                <w:lang w:val="lt-LT"/>
              </w:rPr>
              <w:t>;</w:t>
            </w:r>
          </w:p>
          <w:p w:rsidR="00525E5E" w:rsidRPr="0038489B" w:rsidRDefault="00466D5F" w:rsidP="00C23674">
            <w:pPr>
              <w:pStyle w:val="NormalWeb"/>
              <w:spacing w:before="0" w:beforeAutospacing="0" w:after="0" w:afterAutospacing="0"/>
              <w:jc w:val="both"/>
              <w:rPr>
                <w:sz w:val="22"/>
                <w:szCs w:val="22"/>
                <w:lang w:val="lt-LT"/>
              </w:rPr>
            </w:pPr>
            <w:r w:rsidRPr="0038489B">
              <w:rPr>
                <w:sz w:val="22"/>
                <w:szCs w:val="22"/>
                <w:lang w:val="lt-LT"/>
              </w:rPr>
              <w:t xml:space="preserve">4) </w:t>
            </w:r>
            <w:r w:rsidR="00525E5E" w:rsidRPr="0038489B">
              <w:rPr>
                <w:sz w:val="22"/>
                <w:szCs w:val="22"/>
                <w:lang w:val="lt-LT"/>
              </w:rPr>
              <w:t xml:space="preserve">Riziką įvertinantis </w:t>
            </w:r>
            <w:r w:rsidR="003F7B4B" w:rsidRPr="0038489B">
              <w:rPr>
                <w:sz w:val="22"/>
                <w:szCs w:val="22"/>
                <w:lang w:val="lt-LT"/>
              </w:rPr>
              <w:t>diskonto metodas</w:t>
            </w:r>
            <w:r w:rsidRPr="0038489B">
              <w:rPr>
                <w:sz w:val="22"/>
                <w:szCs w:val="22"/>
                <w:lang w:val="lt-LT"/>
              </w:rPr>
              <w:t>;</w:t>
            </w:r>
          </w:p>
          <w:p w:rsidR="0048642B" w:rsidRPr="0038489B" w:rsidRDefault="00466D5F" w:rsidP="00C23674">
            <w:pPr>
              <w:pStyle w:val="NormalWeb"/>
              <w:spacing w:before="0" w:beforeAutospacing="0" w:after="0" w:afterAutospacing="0"/>
              <w:jc w:val="both"/>
              <w:rPr>
                <w:sz w:val="22"/>
                <w:szCs w:val="22"/>
                <w:lang w:val="lt-LT"/>
              </w:rPr>
            </w:pPr>
            <w:r w:rsidRPr="0038489B">
              <w:rPr>
                <w:sz w:val="22"/>
                <w:szCs w:val="22"/>
                <w:lang w:val="lt-LT"/>
              </w:rPr>
              <w:t xml:space="preserve">5) </w:t>
            </w:r>
            <w:r w:rsidR="0048642B" w:rsidRPr="0038489B">
              <w:rPr>
                <w:sz w:val="22"/>
                <w:szCs w:val="22"/>
                <w:lang w:val="lt-LT"/>
              </w:rPr>
              <w:t>Lūžio analizės metodas</w:t>
            </w:r>
            <w:r w:rsidRPr="0038489B">
              <w:rPr>
                <w:sz w:val="22"/>
                <w:szCs w:val="22"/>
                <w:lang w:val="lt-LT"/>
              </w:rPr>
              <w:t>;</w:t>
            </w:r>
          </w:p>
          <w:p w:rsidR="00C05412" w:rsidRPr="0038489B" w:rsidRDefault="00466D5F" w:rsidP="00C23674">
            <w:pPr>
              <w:pStyle w:val="NormalWeb"/>
              <w:spacing w:before="0" w:beforeAutospacing="0" w:after="0" w:afterAutospacing="0"/>
              <w:jc w:val="both"/>
              <w:rPr>
                <w:sz w:val="22"/>
                <w:szCs w:val="22"/>
                <w:lang w:val="lt-LT"/>
              </w:rPr>
            </w:pPr>
            <w:r w:rsidRPr="0038489B">
              <w:rPr>
                <w:sz w:val="22"/>
                <w:szCs w:val="22"/>
                <w:lang w:val="lt-LT"/>
              </w:rPr>
              <w:t xml:space="preserve">6) </w:t>
            </w:r>
            <w:r w:rsidR="00C05412" w:rsidRPr="0038489B">
              <w:rPr>
                <w:sz w:val="22"/>
                <w:szCs w:val="22"/>
                <w:lang w:val="lt-LT"/>
              </w:rPr>
              <w:t>Invest</w:t>
            </w:r>
            <w:r w:rsidR="00177EA2">
              <w:rPr>
                <w:sz w:val="22"/>
                <w:szCs w:val="22"/>
                <w:lang w:val="lt-LT"/>
              </w:rPr>
              <w:t>icij</w:t>
            </w:r>
            <w:r w:rsidR="00C05412" w:rsidRPr="0038489B">
              <w:rPr>
                <w:sz w:val="22"/>
                <w:szCs w:val="22"/>
                <w:lang w:val="lt-LT"/>
              </w:rPr>
              <w:t>o</w:t>
            </w:r>
            <w:r w:rsidR="00177EA2">
              <w:rPr>
                <w:sz w:val="22"/>
                <w:szCs w:val="22"/>
                <w:lang w:val="lt-LT"/>
              </w:rPr>
              <w:t>s</w:t>
            </w:r>
            <w:r w:rsidR="00C05412" w:rsidRPr="0038489B">
              <w:rPr>
                <w:sz w:val="22"/>
                <w:szCs w:val="22"/>
                <w:lang w:val="lt-LT"/>
              </w:rPr>
              <w:t xml:space="preserve"> įvertinimo metodas</w:t>
            </w:r>
            <w:r w:rsidRPr="0038489B">
              <w:rPr>
                <w:sz w:val="22"/>
                <w:szCs w:val="22"/>
                <w:lang w:val="lt-LT"/>
              </w:rPr>
              <w:t>;</w:t>
            </w:r>
          </w:p>
          <w:p w:rsidR="008E672F" w:rsidRPr="0038489B" w:rsidRDefault="00466D5F" w:rsidP="00C23674">
            <w:pPr>
              <w:pStyle w:val="NormalWeb"/>
              <w:spacing w:before="0" w:beforeAutospacing="0" w:after="0" w:afterAutospacing="0"/>
              <w:jc w:val="both"/>
              <w:rPr>
                <w:sz w:val="22"/>
                <w:szCs w:val="22"/>
                <w:lang w:val="lt-LT"/>
              </w:rPr>
            </w:pPr>
            <w:r w:rsidRPr="0038489B">
              <w:rPr>
                <w:sz w:val="22"/>
                <w:szCs w:val="22"/>
                <w:lang w:val="lt-LT"/>
              </w:rPr>
              <w:t xml:space="preserve">7) </w:t>
            </w:r>
            <w:r w:rsidR="008E672F" w:rsidRPr="0038489B">
              <w:rPr>
                <w:sz w:val="22"/>
                <w:szCs w:val="22"/>
                <w:lang w:val="lt-LT"/>
              </w:rPr>
              <w:t>Rizikos vertės metodas</w:t>
            </w:r>
            <w:r w:rsidRPr="0038489B">
              <w:rPr>
                <w:sz w:val="22"/>
                <w:szCs w:val="22"/>
                <w:lang w:val="lt-LT"/>
              </w:rPr>
              <w:t>.</w:t>
            </w:r>
          </w:p>
        </w:tc>
        <w:tc>
          <w:tcPr>
            <w:tcW w:w="3107" w:type="dxa"/>
          </w:tcPr>
          <w:p w:rsidR="002615D0" w:rsidRPr="0038489B" w:rsidRDefault="00106654" w:rsidP="00D44638">
            <w:pPr>
              <w:pStyle w:val="NormalWeb"/>
              <w:spacing w:before="0" w:beforeAutospacing="0" w:after="0" w:afterAutospacing="0"/>
              <w:jc w:val="both"/>
              <w:rPr>
                <w:sz w:val="22"/>
                <w:szCs w:val="22"/>
                <w:lang w:val="lt-LT"/>
              </w:rPr>
            </w:pPr>
            <w:r w:rsidRPr="0038489B">
              <w:rPr>
                <w:sz w:val="22"/>
                <w:szCs w:val="22"/>
                <w:lang w:val="lt-LT"/>
              </w:rPr>
              <w:t xml:space="preserve">R. R. Moeller (2007); </w:t>
            </w:r>
            <w:r w:rsidR="00171991" w:rsidRPr="0038489B">
              <w:rPr>
                <w:sz w:val="22"/>
                <w:szCs w:val="22"/>
                <w:lang w:val="lt-LT"/>
              </w:rPr>
              <w:t>R.</w:t>
            </w:r>
            <w:r w:rsidR="00D44638">
              <w:rPr>
                <w:sz w:val="22"/>
                <w:szCs w:val="22"/>
                <w:lang w:val="lt-LT"/>
              </w:rPr>
              <w:t> </w:t>
            </w:r>
            <w:r w:rsidR="00171991" w:rsidRPr="0038489B">
              <w:rPr>
                <w:sz w:val="22"/>
                <w:szCs w:val="22"/>
                <w:lang w:val="lt-LT"/>
              </w:rPr>
              <w:t>J.</w:t>
            </w:r>
            <w:r w:rsidR="00D44638">
              <w:rPr>
                <w:sz w:val="22"/>
                <w:szCs w:val="22"/>
                <w:lang w:val="lt-LT"/>
              </w:rPr>
              <w:t> </w:t>
            </w:r>
            <w:r w:rsidR="00171991" w:rsidRPr="0038489B">
              <w:rPr>
                <w:sz w:val="22"/>
                <w:szCs w:val="22"/>
                <w:lang w:val="lt-LT"/>
              </w:rPr>
              <w:t xml:space="preserve">Chapman </w:t>
            </w:r>
            <w:r w:rsidR="006414AA" w:rsidRPr="0038489B">
              <w:rPr>
                <w:sz w:val="22"/>
                <w:szCs w:val="22"/>
                <w:lang w:val="lt-LT"/>
              </w:rPr>
              <w:t>(2006);</w:t>
            </w:r>
            <w:r w:rsidR="00171991" w:rsidRPr="0038489B">
              <w:rPr>
                <w:sz w:val="22"/>
                <w:szCs w:val="22"/>
                <w:lang w:val="lt-LT"/>
              </w:rPr>
              <w:t xml:space="preserve"> </w:t>
            </w:r>
            <w:r w:rsidR="008E615D" w:rsidRPr="0038489B">
              <w:rPr>
                <w:sz w:val="22"/>
                <w:szCs w:val="22"/>
                <w:lang w:val="lt-LT"/>
              </w:rPr>
              <w:t>P.</w:t>
            </w:r>
            <w:r w:rsidR="00D44638">
              <w:rPr>
                <w:sz w:val="22"/>
                <w:szCs w:val="22"/>
                <w:lang w:val="lt-LT"/>
              </w:rPr>
              <w:t> </w:t>
            </w:r>
            <w:r w:rsidR="008E615D" w:rsidRPr="0038489B">
              <w:rPr>
                <w:sz w:val="22"/>
                <w:szCs w:val="22"/>
                <w:lang w:val="lt-LT"/>
              </w:rPr>
              <w:t>G.</w:t>
            </w:r>
            <w:r w:rsidR="00D44638">
              <w:rPr>
                <w:sz w:val="22"/>
                <w:szCs w:val="22"/>
                <w:lang w:val="lt-LT"/>
              </w:rPr>
              <w:t> </w:t>
            </w:r>
            <w:r w:rsidR="008E615D" w:rsidRPr="0038489B">
              <w:rPr>
                <w:sz w:val="22"/>
                <w:szCs w:val="22"/>
                <w:lang w:val="lt-LT"/>
              </w:rPr>
              <w:t xml:space="preserve">Keat, P. K. Y. Young (2006); </w:t>
            </w:r>
            <w:r w:rsidR="0085097C" w:rsidRPr="0038489B">
              <w:rPr>
                <w:sz w:val="22"/>
                <w:szCs w:val="22"/>
                <w:lang w:val="lt-LT"/>
              </w:rPr>
              <w:t>E. J. Vaughan (1997)</w:t>
            </w:r>
            <w:r w:rsidR="006414AA" w:rsidRPr="0038489B">
              <w:rPr>
                <w:sz w:val="22"/>
                <w:szCs w:val="22"/>
                <w:lang w:val="lt-LT"/>
              </w:rPr>
              <w:t>;</w:t>
            </w:r>
            <w:r w:rsidR="0085097C" w:rsidRPr="0038489B">
              <w:rPr>
                <w:sz w:val="22"/>
                <w:szCs w:val="22"/>
                <w:lang w:val="lt-LT"/>
              </w:rPr>
              <w:t xml:space="preserve"> </w:t>
            </w:r>
            <w:r w:rsidR="00171991" w:rsidRPr="0038489B">
              <w:rPr>
                <w:sz w:val="22"/>
                <w:szCs w:val="22"/>
                <w:lang w:val="lt-LT"/>
              </w:rPr>
              <w:t>A. V. Rutkauskas (2007)</w:t>
            </w:r>
            <w:r w:rsidR="006414AA" w:rsidRPr="0038489B">
              <w:rPr>
                <w:sz w:val="22"/>
                <w:szCs w:val="22"/>
                <w:lang w:val="lt-LT"/>
              </w:rPr>
              <w:t xml:space="preserve">; D. Laskienė (2003); </w:t>
            </w:r>
            <w:r w:rsidR="007C29F9" w:rsidRPr="0038489B">
              <w:rPr>
                <w:sz w:val="22"/>
                <w:szCs w:val="22"/>
                <w:lang w:val="lt-LT"/>
              </w:rPr>
              <w:t xml:space="preserve">Z. Lydeka, B. Drilingas (2002); </w:t>
            </w:r>
            <w:r w:rsidR="006414AA" w:rsidRPr="0038489B">
              <w:rPr>
                <w:sz w:val="22"/>
                <w:szCs w:val="22"/>
                <w:lang w:val="lt-LT"/>
              </w:rPr>
              <w:t>Z. Gaidienė (1998); V. Bagdonas (1996)</w:t>
            </w:r>
          </w:p>
        </w:tc>
      </w:tr>
      <w:tr w:rsidR="00B90516" w:rsidRPr="0038489B" w:rsidTr="00466E1B">
        <w:trPr>
          <w:jc w:val="center"/>
        </w:trPr>
        <w:tc>
          <w:tcPr>
            <w:tcW w:w="1861" w:type="dxa"/>
          </w:tcPr>
          <w:p w:rsidR="00B90516" w:rsidRPr="0038489B" w:rsidRDefault="00B90516" w:rsidP="00C23674">
            <w:pPr>
              <w:pStyle w:val="NormalWeb"/>
              <w:spacing w:before="0" w:beforeAutospacing="0" w:after="0" w:afterAutospacing="0"/>
              <w:jc w:val="both"/>
              <w:rPr>
                <w:sz w:val="22"/>
                <w:szCs w:val="22"/>
                <w:lang w:val="lt-LT"/>
              </w:rPr>
            </w:pPr>
            <w:r w:rsidRPr="0038489B">
              <w:rPr>
                <w:sz w:val="22"/>
                <w:szCs w:val="22"/>
                <w:lang w:val="lt-LT"/>
              </w:rPr>
              <w:t>Sukauptos patirties</w:t>
            </w:r>
          </w:p>
        </w:tc>
        <w:tc>
          <w:tcPr>
            <w:tcW w:w="4652" w:type="dxa"/>
          </w:tcPr>
          <w:p w:rsidR="00B90516" w:rsidRPr="0038489B" w:rsidRDefault="00466D5F" w:rsidP="00C23674">
            <w:pPr>
              <w:pStyle w:val="NormalWeb"/>
              <w:spacing w:before="0" w:beforeAutospacing="0" w:after="0" w:afterAutospacing="0"/>
              <w:jc w:val="both"/>
              <w:rPr>
                <w:sz w:val="22"/>
                <w:szCs w:val="22"/>
                <w:lang w:val="lt-LT"/>
              </w:rPr>
            </w:pPr>
            <w:r w:rsidRPr="0038489B">
              <w:rPr>
                <w:sz w:val="22"/>
                <w:szCs w:val="22"/>
                <w:lang w:val="lt-LT"/>
              </w:rPr>
              <w:t xml:space="preserve">1) </w:t>
            </w:r>
            <w:r w:rsidR="00B90516" w:rsidRPr="0038489B">
              <w:rPr>
                <w:sz w:val="22"/>
                <w:szCs w:val="22"/>
                <w:lang w:val="lt-LT"/>
              </w:rPr>
              <w:t>Ekspertinio įvertinimo metodas</w:t>
            </w:r>
            <w:r w:rsidRPr="0038489B">
              <w:rPr>
                <w:sz w:val="22"/>
                <w:szCs w:val="22"/>
                <w:lang w:val="lt-LT"/>
              </w:rPr>
              <w:t>;</w:t>
            </w:r>
          </w:p>
          <w:p w:rsidR="00B90516" w:rsidRPr="0038489B" w:rsidRDefault="00466D5F" w:rsidP="00C23674">
            <w:pPr>
              <w:pStyle w:val="NormalWeb"/>
              <w:spacing w:before="0" w:beforeAutospacing="0" w:after="0" w:afterAutospacing="0"/>
              <w:jc w:val="both"/>
              <w:rPr>
                <w:sz w:val="22"/>
                <w:szCs w:val="22"/>
                <w:lang w:val="lt-LT"/>
              </w:rPr>
            </w:pPr>
            <w:r w:rsidRPr="0038489B">
              <w:rPr>
                <w:sz w:val="22"/>
                <w:szCs w:val="22"/>
                <w:lang w:val="lt-LT"/>
              </w:rPr>
              <w:t xml:space="preserve">2) </w:t>
            </w:r>
            <w:r w:rsidR="00B90516" w:rsidRPr="0038489B">
              <w:rPr>
                <w:sz w:val="22"/>
                <w:szCs w:val="22"/>
                <w:lang w:val="lt-LT"/>
              </w:rPr>
              <w:t>Analogų metodas</w:t>
            </w:r>
            <w:r w:rsidRPr="0038489B">
              <w:rPr>
                <w:sz w:val="22"/>
                <w:szCs w:val="22"/>
                <w:lang w:val="lt-LT"/>
              </w:rPr>
              <w:t>;</w:t>
            </w:r>
          </w:p>
          <w:p w:rsidR="0048642B" w:rsidRPr="0038489B" w:rsidRDefault="00466D5F" w:rsidP="00C05412">
            <w:pPr>
              <w:pStyle w:val="NormalWeb"/>
              <w:spacing w:before="0" w:beforeAutospacing="0" w:after="0" w:afterAutospacing="0"/>
              <w:jc w:val="both"/>
              <w:rPr>
                <w:sz w:val="22"/>
                <w:szCs w:val="22"/>
                <w:lang w:val="lt-LT"/>
              </w:rPr>
            </w:pPr>
            <w:r w:rsidRPr="0038489B">
              <w:rPr>
                <w:sz w:val="22"/>
                <w:szCs w:val="22"/>
                <w:lang w:val="lt-LT"/>
              </w:rPr>
              <w:t xml:space="preserve">3) </w:t>
            </w:r>
            <w:r w:rsidR="0048642B" w:rsidRPr="0038489B">
              <w:rPr>
                <w:sz w:val="22"/>
                <w:szCs w:val="22"/>
                <w:lang w:val="lt-LT"/>
              </w:rPr>
              <w:t>Subjektyvus (neformalus) metodas</w:t>
            </w:r>
            <w:r w:rsidRPr="0038489B">
              <w:rPr>
                <w:sz w:val="22"/>
                <w:szCs w:val="22"/>
                <w:lang w:val="lt-LT"/>
              </w:rPr>
              <w:t>.</w:t>
            </w:r>
          </w:p>
        </w:tc>
        <w:tc>
          <w:tcPr>
            <w:tcW w:w="3107" w:type="dxa"/>
          </w:tcPr>
          <w:p w:rsidR="00B90516" w:rsidRPr="0038489B" w:rsidRDefault="006414AA" w:rsidP="00D44638">
            <w:pPr>
              <w:pStyle w:val="NormalWeb"/>
              <w:spacing w:before="0" w:beforeAutospacing="0" w:after="0" w:afterAutospacing="0"/>
              <w:jc w:val="both"/>
              <w:rPr>
                <w:sz w:val="22"/>
                <w:szCs w:val="22"/>
                <w:lang w:val="lt-LT"/>
              </w:rPr>
            </w:pPr>
            <w:r w:rsidRPr="0038489B">
              <w:rPr>
                <w:sz w:val="22"/>
                <w:szCs w:val="22"/>
                <w:lang w:val="lt-LT"/>
              </w:rPr>
              <w:t>R. J. Chapman (2006);</w:t>
            </w:r>
            <w:r w:rsidR="00C05412" w:rsidRPr="0038489B">
              <w:rPr>
                <w:sz w:val="22"/>
                <w:szCs w:val="22"/>
                <w:lang w:val="lt-LT"/>
              </w:rPr>
              <w:t xml:space="preserve"> A.</w:t>
            </w:r>
            <w:r w:rsidR="00D44638">
              <w:rPr>
                <w:sz w:val="22"/>
                <w:szCs w:val="22"/>
                <w:lang w:val="lt-LT"/>
              </w:rPr>
              <w:t> </w:t>
            </w:r>
            <w:r w:rsidR="00C05412" w:rsidRPr="0038489B">
              <w:rPr>
                <w:sz w:val="22"/>
                <w:szCs w:val="22"/>
                <w:lang w:val="lt-LT"/>
              </w:rPr>
              <w:t>V.</w:t>
            </w:r>
            <w:r w:rsidR="00D44638">
              <w:rPr>
                <w:sz w:val="22"/>
                <w:szCs w:val="22"/>
                <w:lang w:val="lt-LT"/>
              </w:rPr>
              <w:t> </w:t>
            </w:r>
            <w:r w:rsidR="00C05412" w:rsidRPr="0038489B">
              <w:rPr>
                <w:sz w:val="22"/>
                <w:szCs w:val="22"/>
                <w:lang w:val="lt-LT"/>
              </w:rPr>
              <w:t xml:space="preserve">Rutkauskas (2007); </w:t>
            </w:r>
            <w:r w:rsidRPr="0038489B">
              <w:rPr>
                <w:sz w:val="22"/>
                <w:szCs w:val="22"/>
                <w:lang w:val="lt-LT"/>
              </w:rPr>
              <w:t>D.</w:t>
            </w:r>
            <w:r w:rsidR="00D44638">
              <w:rPr>
                <w:sz w:val="22"/>
                <w:szCs w:val="22"/>
                <w:lang w:val="lt-LT"/>
              </w:rPr>
              <w:t> </w:t>
            </w:r>
            <w:r w:rsidRPr="0038489B">
              <w:rPr>
                <w:sz w:val="22"/>
                <w:szCs w:val="22"/>
                <w:lang w:val="lt-LT"/>
              </w:rPr>
              <w:t>Laskienė (2003); V.</w:t>
            </w:r>
            <w:r w:rsidR="00D44638">
              <w:rPr>
                <w:sz w:val="22"/>
                <w:szCs w:val="22"/>
                <w:lang w:val="lt-LT"/>
              </w:rPr>
              <w:t> </w:t>
            </w:r>
            <w:r w:rsidRPr="0038489B">
              <w:rPr>
                <w:sz w:val="22"/>
                <w:szCs w:val="22"/>
                <w:lang w:val="lt-LT"/>
              </w:rPr>
              <w:t>Bagdonas (1996)</w:t>
            </w:r>
          </w:p>
        </w:tc>
      </w:tr>
      <w:tr w:rsidR="00AD0A97" w:rsidRPr="0038489B" w:rsidTr="00466E1B">
        <w:trPr>
          <w:jc w:val="center"/>
        </w:trPr>
        <w:tc>
          <w:tcPr>
            <w:tcW w:w="1861" w:type="dxa"/>
          </w:tcPr>
          <w:p w:rsidR="00AD0A97" w:rsidRPr="0038489B" w:rsidRDefault="002615D0" w:rsidP="002615D0">
            <w:pPr>
              <w:pStyle w:val="NormalWeb"/>
              <w:spacing w:before="0" w:beforeAutospacing="0" w:after="0" w:afterAutospacing="0"/>
              <w:jc w:val="both"/>
              <w:rPr>
                <w:sz w:val="22"/>
                <w:szCs w:val="22"/>
                <w:lang w:val="lt-LT"/>
              </w:rPr>
            </w:pPr>
            <w:r w:rsidRPr="0038489B">
              <w:rPr>
                <w:sz w:val="22"/>
                <w:szCs w:val="22"/>
                <w:lang w:val="lt-LT"/>
              </w:rPr>
              <w:t>Mo</w:t>
            </w:r>
            <w:r w:rsidR="00C86FFF" w:rsidRPr="0038489B">
              <w:rPr>
                <w:sz w:val="22"/>
                <w:szCs w:val="22"/>
                <w:lang w:val="lt-LT"/>
              </w:rPr>
              <w:t>deli</w:t>
            </w:r>
            <w:r w:rsidRPr="0038489B">
              <w:rPr>
                <w:sz w:val="22"/>
                <w:szCs w:val="22"/>
                <w:lang w:val="lt-LT"/>
              </w:rPr>
              <w:t>avimo</w:t>
            </w:r>
          </w:p>
        </w:tc>
        <w:tc>
          <w:tcPr>
            <w:tcW w:w="4652" w:type="dxa"/>
          </w:tcPr>
          <w:p w:rsidR="00B90516" w:rsidRPr="0038489B" w:rsidRDefault="00466D5F" w:rsidP="00C86FFF">
            <w:pPr>
              <w:pStyle w:val="NormalWeb"/>
              <w:spacing w:before="0" w:beforeAutospacing="0" w:after="0" w:afterAutospacing="0"/>
              <w:jc w:val="both"/>
              <w:rPr>
                <w:sz w:val="22"/>
                <w:szCs w:val="22"/>
                <w:lang w:val="lt-LT"/>
              </w:rPr>
            </w:pPr>
            <w:r w:rsidRPr="0038489B">
              <w:rPr>
                <w:sz w:val="22"/>
                <w:szCs w:val="22"/>
                <w:lang w:val="lt-LT"/>
              </w:rPr>
              <w:t xml:space="preserve">1) </w:t>
            </w:r>
            <w:r w:rsidR="00B90516" w:rsidRPr="0038489B">
              <w:rPr>
                <w:sz w:val="22"/>
                <w:szCs w:val="22"/>
                <w:lang w:val="lt-LT"/>
              </w:rPr>
              <w:t>Jautrumo analizės</w:t>
            </w:r>
            <w:r w:rsidR="006161B1" w:rsidRPr="0038489B">
              <w:rPr>
                <w:sz w:val="22"/>
                <w:szCs w:val="22"/>
                <w:lang w:val="lt-LT"/>
              </w:rPr>
              <w:t xml:space="preserve"> metodas</w:t>
            </w:r>
            <w:r w:rsidRPr="0038489B">
              <w:rPr>
                <w:sz w:val="22"/>
                <w:szCs w:val="22"/>
                <w:lang w:val="lt-LT"/>
              </w:rPr>
              <w:t>;</w:t>
            </w:r>
          </w:p>
          <w:p w:rsidR="00B90516" w:rsidRPr="0038489B" w:rsidRDefault="00466D5F" w:rsidP="00C86FFF">
            <w:pPr>
              <w:pStyle w:val="NormalWeb"/>
              <w:spacing w:before="0" w:beforeAutospacing="0" w:after="0" w:afterAutospacing="0"/>
              <w:jc w:val="both"/>
              <w:rPr>
                <w:sz w:val="22"/>
                <w:szCs w:val="22"/>
                <w:lang w:val="lt-LT"/>
              </w:rPr>
            </w:pPr>
            <w:r w:rsidRPr="0038489B">
              <w:rPr>
                <w:sz w:val="22"/>
                <w:szCs w:val="22"/>
                <w:lang w:val="lt-LT"/>
              </w:rPr>
              <w:t xml:space="preserve">2) </w:t>
            </w:r>
            <w:r w:rsidR="00B90516" w:rsidRPr="0038489B">
              <w:rPr>
                <w:sz w:val="22"/>
                <w:szCs w:val="22"/>
                <w:lang w:val="lt-LT"/>
              </w:rPr>
              <w:t>Scenarijų analizės</w:t>
            </w:r>
            <w:r w:rsidR="006161B1" w:rsidRPr="0038489B">
              <w:rPr>
                <w:sz w:val="22"/>
                <w:szCs w:val="22"/>
                <w:lang w:val="lt-LT"/>
              </w:rPr>
              <w:t xml:space="preserve"> metodas</w:t>
            </w:r>
            <w:r w:rsidRPr="0038489B">
              <w:rPr>
                <w:sz w:val="22"/>
                <w:szCs w:val="22"/>
                <w:lang w:val="lt-LT"/>
              </w:rPr>
              <w:t>;</w:t>
            </w:r>
          </w:p>
          <w:p w:rsidR="00C86FFF" w:rsidRPr="0038489B" w:rsidRDefault="00466D5F" w:rsidP="00C86FFF">
            <w:pPr>
              <w:pStyle w:val="NormalWeb"/>
              <w:spacing w:before="0" w:beforeAutospacing="0" w:after="0" w:afterAutospacing="0"/>
              <w:jc w:val="both"/>
              <w:rPr>
                <w:sz w:val="22"/>
                <w:szCs w:val="22"/>
                <w:lang w:val="lt-LT"/>
              </w:rPr>
            </w:pPr>
            <w:r w:rsidRPr="0038489B">
              <w:rPr>
                <w:sz w:val="22"/>
                <w:szCs w:val="22"/>
                <w:lang w:val="lt-LT"/>
              </w:rPr>
              <w:t xml:space="preserve">3) </w:t>
            </w:r>
            <w:r w:rsidR="00C86FFF" w:rsidRPr="0038489B">
              <w:rPr>
                <w:sz w:val="22"/>
                <w:szCs w:val="22"/>
                <w:lang w:val="lt-LT"/>
              </w:rPr>
              <w:t>Imitacinis metodas</w:t>
            </w:r>
            <w:r w:rsidRPr="0038489B">
              <w:rPr>
                <w:sz w:val="22"/>
                <w:szCs w:val="22"/>
                <w:lang w:val="lt-LT"/>
              </w:rPr>
              <w:t>;</w:t>
            </w:r>
          </w:p>
          <w:p w:rsidR="00AD0A97" w:rsidRPr="0038489B" w:rsidRDefault="00466D5F" w:rsidP="00C86FFF">
            <w:pPr>
              <w:pStyle w:val="NormalWeb"/>
              <w:spacing w:before="0" w:beforeAutospacing="0" w:after="0" w:afterAutospacing="0"/>
              <w:jc w:val="both"/>
              <w:rPr>
                <w:sz w:val="22"/>
                <w:szCs w:val="22"/>
                <w:lang w:val="lt-LT"/>
              </w:rPr>
            </w:pPr>
            <w:r w:rsidRPr="0038489B">
              <w:rPr>
                <w:sz w:val="22"/>
                <w:szCs w:val="22"/>
                <w:lang w:val="lt-LT"/>
              </w:rPr>
              <w:t xml:space="preserve">4) </w:t>
            </w:r>
            <w:r w:rsidR="00C86FFF" w:rsidRPr="0038489B">
              <w:rPr>
                <w:sz w:val="22"/>
                <w:szCs w:val="22"/>
                <w:lang w:val="lt-LT"/>
              </w:rPr>
              <w:t>Monte Carlo</w:t>
            </w:r>
            <w:r w:rsidR="00725AA5" w:rsidRPr="0038489B">
              <w:rPr>
                <w:sz w:val="22"/>
                <w:szCs w:val="22"/>
                <w:lang w:val="lt-LT"/>
              </w:rPr>
              <w:t xml:space="preserve"> imitacinis metodas</w:t>
            </w:r>
            <w:r w:rsidRPr="0038489B">
              <w:rPr>
                <w:sz w:val="22"/>
                <w:szCs w:val="22"/>
                <w:lang w:val="lt-LT"/>
              </w:rPr>
              <w:t>;</w:t>
            </w:r>
          </w:p>
          <w:p w:rsidR="002615D0" w:rsidRPr="0038489B" w:rsidRDefault="00466D5F" w:rsidP="00C86FFF">
            <w:pPr>
              <w:pStyle w:val="NormalWeb"/>
              <w:spacing w:before="0" w:beforeAutospacing="0" w:after="0" w:afterAutospacing="0"/>
              <w:jc w:val="both"/>
              <w:rPr>
                <w:sz w:val="22"/>
                <w:szCs w:val="22"/>
                <w:lang w:val="lt-LT"/>
              </w:rPr>
            </w:pPr>
            <w:r w:rsidRPr="0038489B">
              <w:rPr>
                <w:sz w:val="22"/>
                <w:szCs w:val="22"/>
                <w:lang w:val="lt-LT"/>
              </w:rPr>
              <w:t xml:space="preserve">5) </w:t>
            </w:r>
            <w:r w:rsidR="00747FC7" w:rsidRPr="0038489B">
              <w:rPr>
                <w:sz w:val="22"/>
                <w:szCs w:val="22"/>
                <w:lang w:val="lt-LT"/>
              </w:rPr>
              <w:t>Latin Hyper</w:t>
            </w:r>
            <w:r w:rsidR="00725AA5" w:rsidRPr="0038489B">
              <w:rPr>
                <w:sz w:val="22"/>
                <w:szCs w:val="22"/>
                <w:lang w:val="lt-LT"/>
              </w:rPr>
              <w:t>cube</w:t>
            </w:r>
            <w:r w:rsidR="00747FC7" w:rsidRPr="0038489B">
              <w:rPr>
                <w:sz w:val="22"/>
                <w:szCs w:val="22"/>
                <w:lang w:val="lt-LT"/>
              </w:rPr>
              <w:t xml:space="preserve"> </w:t>
            </w:r>
            <w:r w:rsidR="00725AA5" w:rsidRPr="0038489B">
              <w:rPr>
                <w:sz w:val="22"/>
                <w:szCs w:val="22"/>
                <w:lang w:val="lt-LT"/>
              </w:rPr>
              <w:t>metodas</w:t>
            </w:r>
            <w:r w:rsidRPr="0038489B">
              <w:rPr>
                <w:sz w:val="22"/>
                <w:szCs w:val="22"/>
                <w:lang w:val="lt-LT"/>
              </w:rPr>
              <w:t>.</w:t>
            </w:r>
          </w:p>
        </w:tc>
        <w:tc>
          <w:tcPr>
            <w:tcW w:w="3107" w:type="dxa"/>
          </w:tcPr>
          <w:p w:rsidR="00AD0A97" w:rsidRPr="0038489B" w:rsidRDefault="00440B5F" w:rsidP="00D44638">
            <w:pPr>
              <w:pStyle w:val="NormalWeb"/>
              <w:spacing w:before="0" w:beforeAutospacing="0" w:after="0" w:afterAutospacing="0"/>
              <w:jc w:val="both"/>
              <w:rPr>
                <w:sz w:val="22"/>
                <w:szCs w:val="22"/>
                <w:lang w:val="lt-LT"/>
              </w:rPr>
            </w:pPr>
            <w:r w:rsidRPr="0038489B">
              <w:rPr>
                <w:sz w:val="22"/>
                <w:szCs w:val="22"/>
                <w:lang w:val="lt-LT"/>
              </w:rPr>
              <w:t xml:space="preserve">R. R. Moeller (2007); </w:t>
            </w:r>
            <w:r w:rsidR="00C05412" w:rsidRPr="0038489B">
              <w:rPr>
                <w:sz w:val="22"/>
                <w:szCs w:val="22"/>
                <w:lang w:val="lt-LT"/>
              </w:rPr>
              <w:t>R.</w:t>
            </w:r>
            <w:r w:rsidR="00D44638">
              <w:rPr>
                <w:sz w:val="22"/>
                <w:szCs w:val="22"/>
                <w:lang w:val="lt-LT"/>
              </w:rPr>
              <w:t> </w:t>
            </w:r>
            <w:r w:rsidR="00C05412" w:rsidRPr="0038489B">
              <w:rPr>
                <w:sz w:val="22"/>
                <w:szCs w:val="22"/>
                <w:lang w:val="lt-LT"/>
              </w:rPr>
              <w:t>J.</w:t>
            </w:r>
            <w:r w:rsidR="00D44638">
              <w:rPr>
                <w:sz w:val="22"/>
                <w:szCs w:val="22"/>
                <w:lang w:val="lt-LT"/>
              </w:rPr>
              <w:t> </w:t>
            </w:r>
            <w:r w:rsidR="00C05412" w:rsidRPr="0038489B">
              <w:rPr>
                <w:sz w:val="22"/>
                <w:szCs w:val="22"/>
                <w:lang w:val="lt-LT"/>
              </w:rPr>
              <w:t xml:space="preserve">Chapman (2006); </w:t>
            </w:r>
            <w:r w:rsidR="00D44638">
              <w:rPr>
                <w:sz w:val="22"/>
                <w:szCs w:val="22"/>
                <w:lang w:val="lt-LT"/>
              </w:rPr>
              <w:t>P. </w:t>
            </w:r>
            <w:r w:rsidR="008E615D" w:rsidRPr="0038489B">
              <w:rPr>
                <w:sz w:val="22"/>
                <w:szCs w:val="22"/>
                <w:lang w:val="lt-LT"/>
              </w:rPr>
              <w:t>G.</w:t>
            </w:r>
            <w:r w:rsidR="00D44638">
              <w:rPr>
                <w:sz w:val="22"/>
                <w:szCs w:val="22"/>
                <w:lang w:val="lt-LT"/>
              </w:rPr>
              <w:t> </w:t>
            </w:r>
            <w:r w:rsidR="008E615D" w:rsidRPr="0038489B">
              <w:rPr>
                <w:sz w:val="22"/>
                <w:szCs w:val="22"/>
                <w:lang w:val="lt-LT"/>
              </w:rPr>
              <w:t xml:space="preserve">Keat, P. K. Y. Young (2006); </w:t>
            </w:r>
            <w:r w:rsidR="00C05412" w:rsidRPr="0038489B">
              <w:rPr>
                <w:sz w:val="22"/>
                <w:szCs w:val="22"/>
                <w:lang w:val="lt-LT"/>
              </w:rPr>
              <w:t>A. V. Rutkauskas (2007); D. Laskienė (2003);</w:t>
            </w:r>
            <w:r w:rsidR="00D44638">
              <w:rPr>
                <w:sz w:val="22"/>
                <w:szCs w:val="22"/>
                <w:lang w:val="lt-LT"/>
              </w:rPr>
              <w:t xml:space="preserve"> V.</w:t>
            </w:r>
            <w:r w:rsidR="00C05412" w:rsidRPr="0038489B">
              <w:rPr>
                <w:sz w:val="22"/>
                <w:szCs w:val="22"/>
                <w:lang w:val="lt-LT"/>
              </w:rPr>
              <w:t xml:space="preserve"> Bagdonas (1996)</w:t>
            </w:r>
          </w:p>
        </w:tc>
      </w:tr>
    </w:tbl>
    <w:p w:rsidR="00985678" w:rsidRPr="005F44E6" w:rsidRDefault="006F5715" w:rsidP="00D44638">
      <w:pPr>
        <w:pStyle w:val="NormalWeb"/>
        <w:spacing w:before="0" w:beforeAutospacing="0" w:after="0" w:afterAutospacing="0" w:line="360" w:lineRule="auto"/>
        <w:jc w:val="both"/>
        <w:rPr>
          <w:sz w:val="20"/>
          <w:szCs w:val="20"/>
          <w:lang w:val="lt-LT"/>
        </w:rPr>
      </w:pPr>
      <w:r w:rsidRPr="005F44E6">
        <w:rPr>
          <w:sz w:val="20"/>
          <w:szCs w:val="20"/>
          <w:lang w:val="lt-LT"/>
        </w:rPr>
        <w:t>Šaltinis: sudaryta autorės.</w:t>
      </w:r>
    </w:p>
    <w:p w:rsidR="006F5715" w:rsidRPr="00D44638" w:rsidRDefault="006F5715" w:rsidP="008E548F">
      <w:pPr>
        <w:pStyle w:val="NormalWeb"/>
        <w:spacing w:before="120" w:beforeAutospacing="0" w:after="0" w:afterAutospacing="0" w:line="360" w:lineRule="auto"/>
        <w:ind w:firstLine="720"/>
        <w:jc w:val="both"/>
        <w:rPr>
          <w:sz w:val="26"/>
          <w:szCs w:val="26"/>
          <w:lang w:val="lt-LT"/>
        </w:rPr>
      </w:pPr>
      <w:r w:rsidRPr="00D44638">
        <w:rPr>
          <w:sz w:val="26"/>
          <w:szCs w:val="26"/>
          <w:lang w:val="lt-LT"/>
        </w:rPr>
        <w:t>Darbo autorės nuomone, rizikos pasireiškimo nustatymo metod</w:t>
      </w:r>
      <w:r w:rsidR="008E548F" w:rsidRPr="00D44638">
        <w:rPr>
          <w:sz w:val="26"/>
          <w:szCs w:val="26"/>
          <w:lang w:val="lt-LT"/>
        </w:rPr>
        <w:t>us tikslinga priskirti</w:t>
      </w:r>
      <w:r w:rsidRPr="00D44638">
        <w:rPr>
          <w:sz w:val="26"/>
          <w:szCs w:val="26"/>
          <w:lang w:val="lt-LT"/>
        </w:rPr>
        <w:t xml:space="preserve"> </w:t>
      </w:r>
      <w:r w:rsidR="0020718F" w:rsidRPr="00D44638">
        <w:rPr>
          <w:sz w:val="26"/>
          <w:szCs w:val="26"/>
          <w:lang w:val="lt-LT"/>
        </w:rPr>
        <w:t>rizik</w:t>
      </w:r>
      <w:r w:rsidR="008E548F" w:rsidRPr="00D44638">
        <w:rPr>
          <w:sz w:val="26"/>
          <w:szCs w:val="26"/>
          <w:lang w:val="lt-LT"/>
        </w:rPr>
        <w:t>os</w:t>
      </w:r>
      <w:r w:rsidR="0020718F" w:rsidRPr="00D44638">
        <w:rPr>
          <w:sz w:val="26"/>
          <w:szCs w:val="26"/>
          <w:lang w:val="lt-LT"/>
        </w:rPr>
        <w:t xml:space="preserve"> vertinim</w:t>
      </w:r>
      <w:r w:rsidR="008E548F" w:rsidRPr="00D44638">
        <w:rPr>
          <w:sz w:val="26"/>
          <w:szCs w:val="26"/>
          <w:lang w:val="lt-LT"/>
        </w:rPr>
        <w:t>o metodams</w:t>
      </w:r>
      <w:r w:rsidR="0020718F" w:rsidRPr="00D44638">
        <w:rPr>
          <w:sz w:val="26"/>
          <w:szCs w:val="26"/>
          <w:lang w:val="lt-LT"/>
        </w:rPr>
        <w:t>, nes jie gali padėti išsiaiškinti svarbiausias rizik</w:t>
      </w:r>
      <w:r w:rsidR="0031049C" w:rsidRPr="00D44638">
        <w:rPr>
          <w:sz w:val="26"/>
          <w:szCs w:val="26"/>
          <w:lang w:val="lt-LT"/>
        </w:rPr>
        <w:t>ų priežastis</w:t>
      </w:r>
      <w:r w:rsidR="0020718F" w:rsidRPr="00D44638">
        <w:rPr>
          <w:sz w:val="26"/>
          <w:szCs w:val="26"/>
          <w:lang w:val="lt-LT"/>
        </w:rPr>
        <w:t>, jų tikimybę ir įtaką.</w:t>
      </w:r>
      <w:r w:rsidR="001B6D29" w:rsidRPr="00D44638">
        <w:rPr>
          <w:sz w:val="26"/>
          <w:szCs w:val="26"/>
          <w:lang w:val="lt-LT"/>
        </w:rPr>
        <w:t xml:space="preserve"> Tuo tarpu kitų </w:t>
      </w:r>
      <w:r w:rsidR="00A72BA5" w:rsidRPr="00D44638">
        <w:rPr>
          <w:sz w:val="26"/>
          <w:szCs w:val="26"/>
          <w:lang w:val="lt-LT"/>
        </w:rPr>
        <w:t>metodų (tikimybių teorijos</w:t>
      </w:r>
      <w:r w:rsidR="001B6D29" w:rsidRPr="00D44638">
        <w:rPr>
          <w:sz w:val="26"/>
          <w:szCs w:val="26"/>
          <w:lang w:val="lt-LT"/>
        </w:rPr>
        <w:t>, ekonomini</w:t>
      </w:r>
      <w:r w:rsidR="005F6038">
        <w:rPr>
          <w:sz w:val="26"/>
          <w:szCs w:val="26"/>
          <w:lang w:val="lt-LT"/>
        </w:rPr>
        <w:t>ų</w:t>
      </w:r>
      <w:r w:rsidR="001B6D29" w:rsidRPr="00D44638">
        <w:rPr>
          <w:sz w:val="26"/>
          <w:szCs w:val="26"/>
          <w:lang w:val="lt-LT"/>
        </w:rPr>
        <w:t xml:space="preserve">, sukauptos patirties ir modeliavimo) </w:t>
      </w:r>
      <w:r w:rsidR="00440B5F" w:rsidRPr="00D44638">
        <w:rPr>
          <w:sz w:val="26"/>
          <w:szCs w:val="26"/>
          <w:lang w:val="lt-LT"/>
        </w:rPr>
        <w:t>panaudojimą</w:t>
      </w:r>
      <w:r w:rsidR="001B6D29" w:rsidRPr="00D44638">
        <w:rPr>
          <w:sz w:val="26"/>
          <w:szCs w:val="26"/>
          <w:lang w:val="lt-LT"/>
        </w:rPr>
        <w:t xml:space="preserve"> </w:t>
      </w:r>
      <w:r w:rsidR="00463007" w:rsidRPr="00D44638">
        <w:rPr>
          <w:sz w:val="26"/>
          <w:szCs w:val="26"/>
          <w:lang w:val="lt-LT"/>
        </w:rPr>
        <w:t xml:space="preserve">konkrečios rizikos vertinimui </w:t>
      </w:r>
      <w:r w:rsidR="00257210" w:rsidRPr="00D44638">
        <w:rPr>
          <w:sz w:val="26"/>
          <w:szCs w:val="26"/>
          <w:lang w:val="lt-LT"/>
        </w:rPr>
        <w:t xml:space="preserve">lemia </w:t>
      </w:r>
      <w:r w:rsidR="008415F2" w:rsidRPr="00D44638">
        <w:rPr>
          <w:sz w:val="26"/>
          <w:szCs w:val="26"/>
          <w:lang w:val="lt-LT"/>
        </w:rPr>
        <w:t xml:space="preserve">tiriamos </w:t>
      </w:r>
      <w:r w:rsidR="00DF2BA6" w:rsidRPr="00D44638">
        <w:rPr>
          <w:sz w:val="26"/>
          <w:szCs w:val="26"/>
          <w:lang w:val="lt-LT"/>
        </w:rPr>
        <w:t>rizik</w:t>
      </w:r>
      <w:r w:rsidR="008415F2" w:rsidRPr="00D44638">
        <w:rPr>
          <w:sz w:val="26"/>
          <w:szCs w:val="26"/>
          <w:lang w:val="lt-LT"/>
        </w:rPr>
        <w:t>os</w:t>
      </w:r>
      <w:r w:rsidR="00440B5F" w:rsidRPr="00D44638">
        <w:rPr>
          <w:sz w:val="26"/>
          <w:szCs w:val="26"/>
          <w:lang w:val="lt-LT"/>
        </w:rPr>
        <w:t xml:space="preserve"> pobūdis</w:t>
      </w:r>
      <w:r w:rsidR="00DF2BA6" w:rsidRPr="00D44638">
        <w:rPr>
          <w:sz w:val="26"/>
          <w:szCs w:val="26"/>
          <w:lang w:val="lt-LT"/>
        </w:rPr>
        <w:t xml:space="preserve">, </w:t>
      </w:r>
      <w:r w:rsidR="008E548F" w:rsidRPr="00D44638">
        <w:rPr>
          <w:sz w:val="26"/>
          <w:szCs w:val="26"/>
          <w:lang w:val="lt-LT"/>
        </w:rPr>
        <w:t xml:space="preserve">susijusios informacijos </w:t>
      </w:r>
      <w:r w:rsidR="00DF2BA6" w:rsidRPr="00D44638">
        <w:rPr>
          <w:sz w:val="26"/>
          <w:szCs w:val="26"/>
          <w:lang w:val="lt-LT"/>
        </w:rPr>
        <w:t>ir i</w:t>
      </w:r>
      <w:r w:rsidR="00FC7DA4" w:rsidRPr="00D44638">
        <w:rPr>
          <w:sz w:val="26"/>
          <w:szCs w:val="26"/>
          <w:lang w:val="lt-LT"/>
        </w:rPr>
        <w:t>nformacin</w:t>
      </w:r>
      <w:r w:rsidR="00DF2BA6" w:rsidRPr="00D44638">
        <w:rPr>
          <w:sz w:val="26"/>
          <w:szCs w:val="26"/>
          <w:lang w:val="lt-LT"/>
        </w:rPr>
        <w:t>ių</w:t>
      </w:r>
      <w:r w:rsidR="00FC7DA4" w:rsidRPr="00D44638">
        <w:rPr>
          <w:sz w:val="26"/>
          <w:szCs w:val="26"/>
          <w:lang w:val="lt-LT"/>
        </w:rPr>
        <w:t xml:space="preserve"> techno</w:t>
      </w:r>
      <w:r w:rsidR="008E548F" w:rsidRPr="00D44638">
        <w:rPr>
          <w:sz w:val="26"/>
          <w:szCs w:val="26"/>
          <w:lang w:val="lt-LT"/>
        </w:rPr>
        <w:t>logij</w:t>
      </w:r>
      <w:r w:rsidR="00DF2BA6" w:rsidRPr="00D44638">
        <w:rPr>
          <w:sz w:val="26"/>
          <w:szCs w:val="26"/>
          <w:lang w:val="lt-LT"/>
        </w:rPr>
        <w:t>ų</w:t>
      </w:r>
      <w:r w:rsidR="00161252" w:rsidRPr="00D44638">
        <w:rPr>
          <w:sz w:val="26"/>
          <w:szCs w:val="26"/>
          <w:lang w:val="lt-LT"/>
        </w:rPr>
        <w:t xml:space="preserve"> (toliau – IT)</w:t>
      </w:r>
      <w:r w:rsidR="00DF2BA6" w:rsidRPr="00D44638">
        <w:rPr>
          <w:sz w:val="26"/>
          <w:szCs w:val="26"/>
          <w:lang w:val="lt-LT"/>
        </w:rPr>
        <w:t xml:space="preserve"> prieinamumas</w:t>
      </w:r>
      <w:r w:rsidR="008415F2" w:rsidRPr="00D44638">
        <w:rPr>
          <w:sz w:val="26"/>
          <w:szCs w:val="26"/>
          <w:lang w:val="lt-LT"/>
        </w:rPr>
        <w:t xml:space="preserve">. </w:t>
      </w:r>
    </w:p>
    <w:p w:rsidR="00E031ED" w:rsidRPr="00D44638" w:rsidRDefault="00C636D8" w:rsidP="001C316F">
      <w:pPr>
        <w:pStyle w:val="NormalWeb"/>
        <w:spacing w:before="0" w:beforeAutospacing="0" w:after="0" w:afterAutospacing="0" w:line="360" w:lineRule="auto"/>
        <w:ind w:firstLine="720"/>
        <w:jc w:val="both"/>
        <w:rPr>
          <w:sz w:val="26"/>
          <w:szCs w:val="26"/>
          <w:lang w:val="lt-LT"/>
        </w:rPr>
      </w:pPr>
      <w:r w:rsidRPr="00D44638">
        <w:rPr>
          <w:sz w:val="26"/>
          <w:szCs w:val="26"/>
          <w:lang w:val="lt-LT"/>
        </w:rPr>
        <w:lastRenderedPageBreak/>
        <w:t xml:space="preserve">Toliau tikslinga įvertinti, ar </w:t>
      </w:r>
      <w:r w:rsidR="00B775B3" w:rsidRPr="00D44638">
        <w:rPr>
          <w:sz w:val="26"/>
          <w:szCs w:val="26"/>
          <w:lang w:val="lt-LT"/>
        </w:rPr>
        <w:t>apibendrintas įmonės rizikos valdymo procesas</w:t>
      </w:r>
      <w:r w:rsidR="00613C9E" w:rsidRPr="00D44638">
        <w:rPr>
          <w:sz w:val="26"/>
          <w:szCs w:val="26"/>
          <w:lang w:val="lt-LT"/>
        </w:rPr>
        <w:t xml:space="preserve">, jame </w:t>
      </w:r>
      <w:r w:rsidR="00B775B3" w:rsidRPr="00D44638">
        <w:rPr>
          <w:sz w:val="26"/>
          <w:szCs w:val="26"/>
          <w:lang w:val="lt-LT"/>
        </w:rPr>
        <w:t>išskirta</w:t>
      </w:r>
      <w:r w:rsidR="007A6614" w:rsidRPr="00D44638">
        <w:rPr>
          <w:sz w:val="26"/>
          <w:szCs w:val="26"/>
          <w:lang w:val="lt-LT"/>
        </w:rPr>
        <w:t xml:space="preserve"> </w:t>
      </w:r>
      <w:r w:rsidRPr="00D44638">
        <w:rPr>
          <w:sz w:val="26"/>
          <w:szCs w:val="26"/>
          <w:lang w:val="lt-LT"/>
        </w:rPr>
        <w:t xml:space="preserve">rizikos vertinimo </w:t>
      </w:r>
      <w:r w:rsidR="00613C9E" w:rsidRPr="00D44638">
        <w:rPr>
          <w:sz w:val="26"/>
          <w:szCs w:val="26"/>
          <w:lang w:val="lt-LT"/>
        </w:rPr>
        <w:t xml:space="preserve">esmė </w:t>
      </w:r>
      <w:r w:rsidR="007A6614" w:rsidRPr="00D44638">
        <w:rPr>
          <w:sz w:val="26"/>
          <w:szCs w:val="26"/>
          <w:lang w:val="lt-LT"/>
        </w:rPr>
        <w:t xml:space="preserve">bei siūlomi rizikos vertinimo metodai </w:t>
      </w:r>
      <w:r w:rsidR="00E031ED" w:rsidRPr="00D44638">
        <w:rPr>
          <w:sz w:val="26"/>
          <w:szCs w:val="26"/>
          <w:lang w:val="lt-LT"/>
        </w:rPr>
        <w:t xml:space="preserve">yra </w:t>
      </w:r>
      <w:r w:rsidR="007A6614" w:rsidRPr="00D44638">
        <w:rPr>
          <w:sz w:val="26"/>
          <w:szCs w:val="26"/>
          <w:lang w:val="lt-LT"/>
        </w:rPr>
        <w:t>t</w:t>
      </w:r>
      <w:r w:rsidR="00E031ED" w:rsidRPr="00D44638">
        <w:rPr>
          <w:sz w:val="26"/>
          <w:szCs w:val="26"/>
          <w:lang w:val="lt-LT"/>
        </w:rPr>
        <w:t>a</w:t>
      </w:r>
      <w:r w:rsidR="007A6614" w:rsidRPr="00D44638">
        <w:rPr>
          <w:sz w:val="26"/>
          <w:szCs w:val="26"/>
          <w:lang w:val="lt-LT"/>
        </w:rPr>
        <w:t>ik</w:t>
      </w:r>
      <w:r w:rsidR="00E031ED" w:rsidRPr="00D44638">
        <w:rPr>
          <w:sz w:val="26"/>
          <w:szCs w:val="26"/>
          <w:lang w:val="lt-LT"/>
        </w:rPr>
        <w:t xml:space="preserve">ytini </w:t>
      </w:r>
      <w:r w:rsidRPr="00D44638">
        <w:rPr>
          <w:sz w:val="26"/>
          <w:szCs w:val="26"/>
          <w:lang w:val="lt-LT"/>
        </w:rPr>
        <w:t xml:space="preserve">audito </w:t>
      </w:r>
      <w:r w:rsidR="007A6614" w:rsidRPr="00D44638">
        <w:rPr>
          <w:sz w:val="26"/>
          <w:szCs w:val="26"/>
          <w:lang w:val="lt-LT"/>
        </w:rPr>
        <w:t>rizikos</w:t>
      </w:r>
      <w:r w:rsidR="00E031ED" w:rsidRPr="00D44638">
        <w:rPr>
          <w:sz w:val="26"/>
          <w:szCs w:val="26"/>
          <w:lang w:val="lt-LT"/>
        </w:rPr>
        <w:t>,</w:t>
      </w:r>
      <w:r w:rsidR="007A6614" w:rsidRPr="00D44638">
        <w:rPr>
          <w:sz w:val="26"/>
          <w:szCs w:val="26"/>
          <w:lang w:val="lt-LT"/>
        </w:rPr>
        <w:t xml:space="preserve"> </w:t>
      </w:r>
      <w:r w:rsidR="00E031ED" w:rsidRPr="00D44638">
        <w:rPr>
          <w:sz w:val="26"/>
          <w:szCs w:val="26"/>
          <w:lang w:val="lt-LT"/>
        </w:rPr>
        <w:t xml:space="preserve">su kuria susiduria audito įmonė, teikianti finansinių ataskaitų audito paslaugą, </w:t>
      </w:r>
      <w:r w:rsidR="007A6614" w:rsidRPr="00D44638">
        <w:rPr>
          <w:sz w:val="26"/>
          <w:szCs w:val="26"/>
          <w:lang w:val="lt-LT"/>
        </w:rPr>
        <w:t>vertinim</w:t>
      </w:r>
      <w:r w:rsidR="00E031ED" w:rsidRPr="00D44638">
        <w:rPr>
          <w:sz w:val="26"/>
          <w:szCs w:val="26"/>
          <w:lang w:val="lt-LT"/>
        </w:rPr>
        <w:t xml:space="preserve">ui. </w:t>
      </w:r>
    </w:p>
    <w:p w:rsidR="001C5447" w:rsidRPr="00D44638" w:rsidRDefault="00B911C1" w:rsidP="00D44638">
      <w:pPr>
        <w:pStyle w:val="Heading2"/>
        <w:numPr>
          <w:ilvl w:val="1"/>
          <w:numId w:val="3"/>
        </w:numPr>
        <w:spacing w:before="240" w:after="240"/>
        <w:jc w:val="center"/>
        <w:rPr>
          <w:rFonts w:ascii="Times New Roman" w:hAnsi="Times New Roman" w:cs="Times New Roman"/>
          <w:lang w:val="lt-LT"/>
        </w:rPr>
      </w:pPr>
      <w:bookmarkStart w:id="16" w:name="_Toc253244582"/>
      <w:r w:rsidRPr="00D44638">
        <w:rPr>
          <w:rFonts w:ascii="Times New Roman" w:hAnsi="Times New Roman" w:cs="Times New Roman"/>
          <w:lang w:val="lt-LT"/>
        </w:rPr>
        <w:t>Audito rizik</w:t>
      </w:r>
      <w:r w:rsidR="00387534" w:rsidRPr="00D44638">
        <w:rPr>
          <w:rFonts w:ascii="Times New Roman" w:hAnsi="Times New Roman" w:cs="Times New Roman"/>
          <w:lang w:val="lt-LT"/>
        </w:rPr>
        <w:t>a</w:t>
      </w:r>
      <w:r w:rsidR="0092652D" w:rsidRPr="00D44638">
        <w:rPr>
          <w:rFonts w:ascii="Times New Roman" w:hAnsi="Times New Roman" w:cs="Times New Roman"/>
          <w:lang w:val="lt-LT"/>
        </w:rPr>
        <w:t xml:space="preserve"> ir jos vertinim</w:t>
      </w:r>
      <w:r w:rsidR="00387534" w:rsidRPr="00D44638">
        <w:rPr>
          <w:rFonts w:ascii="Times New Roman" w:hAnsi="Times New Roman" w:cs="Times New Roman"/>
          <w:lang w:val="lt-LT"/>
        </w:rPr>
        <w:t xml:space="preserve">o </w:t>
      </w:r>
      <w:r w:rsidR="005B1E24" w:rsidRPr="00D44638">
        <w:rPr>
          <w:rFonts w:ascii="Times New Roman" w:hAnsi="Times New Roman" w:cs="Times New Roman"/>
          <w:lang w:val="lt-LT"/>
        </w:rPr>
        <w:t xml:space="preserve">galimybių </w:t>
      </w:r>
      <w:r w:rsidR="00387534" w:rsidRPr="00D44638">
        <w:rPr>
          <w:rFonts w:ascii="Times New Roman" w:hAnsi="Times New Roman" w:cs="Times New Roman"/>
          <w:lang w:val="lt-LT"/>
        </w:rPr>
        <w:t>analizė</w:t>
      </w:r>
      <w:bookmarkEnd w:id="16"/>
    </w:p>
    <w:p w:rsidR="009B6941" w:rsidRPr="00D44638" w:rsidRDefault="0068362A" w:rsidP="00D44638">
      <w:pPr>
        <w:pStyle w:val="Heading3"/>
        <w:spacing w:after="240"/>
        <w:ind w:firstLine="720"/>
        <w:rPr>
          <w:rFonts w:ascii="Times New Roman" w:hAnsi="Times New Roman" w:cs="Times New Roman"/>
          <w:lang w:val="lt-LT"/>
        </w:rPr>
      </w:pPr>
      <w:bookmarkStart w:id="17" w:name="_Toc253244583"/>
      <w:r w:rsidRPr="00D44638">
        <w:rPr>
          <w:rFonts w:ascii="Times New Roman" w:hAnsi="Times New Roman" w:cs="Times New Roman"/>
          <w:lang w:val="lt-LT"/>
        </w:rPr>
        <w:t>1.2.</w:t>
      </w:r>
      <w:r w:rsidR="00555EDB" w:rsidRPr="00D44638">
        <w:rPr>
          <w:rFonts w:ascii="Times New Roman" w:hAnsi="Times New Roman" w:cs="Times New Roman"/>
          <w:lang w:val="lt-LT"/>
        </w:rPr>
        <w:t>1</w:t>
      </w:r>
      <w:r w:rsidR="00517551" w:rsidRPr="00D44638">
        <w:rPr>
          <w:rFonts w:ascii="Times New Roman" w:hAnsi="Times New Roman" w:cs="Times New Roman"/>
          <w:lang w:val="lt-LT"/>
        </w:rPr>
        <w:t>.</w:t>
      </w:r>
      <w:r w:rsidRPr="00D44638">
        <w:rPr>
          <w:rFonts w:ascii="Times New Roman" w:hAnsi="Times New Roman" w:cs="Times New Roman"/>
          <w:lang w:val="lt-LT"/>
        </w:rPr>
        <w:t xml:space="preserve"> </w:t>
      </w:r>
      <w:r w:rsidR="00D22B41" w:rsidRPr="00D44638">
        <w:rPr>
          <w:rFonts w:ascii="Times New Roman" w:hAnsi="Times New Roman" w:cs="Times New Roman"/>
          <w:lang w:val="lt-LT"/>
        </w:rPr>
        <w:t>A</w:t>
      </w:r>
      <w:r w:rsidR="00A05C43" w:rsidRPr="00D44638">
        <w:rPr>
          <w:rFonts w:ascii="Times New Roman" w:hAnsi="Times New Roman" w:cs="Times New Roman"/>
          <w:lang w:val="lt-LT"/>
        </w:rPr>
        <w:t>udito</w:t>
      </w:r>
      <w:r w:rsidRPr="00D44638">
        <w:rPr>
          <w:rFonts w:ascii="Times New Roman" w:hAnsi="Times New Roman" w:cs="Times New Roman"/>
          <w:lang w:val="lt-LT"/>
        </w:rPr>
        <w:t xml:space="preserve"> rizik</w:t>
      </w:r>
      <w:r w:rsidR="00ED11E3" w:rsidRPr="00D44638">
        <w:rPr>
          <w:rFonts w:ascii="Times New Roman" w:hAnsi="Times New Roman" w:cs="Times New Roman"/>
          <w:lang w:val="lt-LT"/>
        </w:rPr>
        <w:t>os</w:t>
      </w:r>
      <w:r w:rsidR="0092652D" w:rsidRPr="00D44638">
        <w:rPr>
          <w:rFonts w:ascii="Times New Roman" w:hAnsi="Times New Roman" w:cs="Times New Roman"/>
          <w:lang w:val="lt-LT"/>
        </w:rPr>
        <w:t xml:space="preserve"> </w:t>
      </w:r>
      <w:r w:rsidR="00ED11E3" w:rsidRPr="00D44638">
        <w:rPr>
          <w:rFonts w:ascii="Times New Roman" w:hAnsi="Times New Roman" w:cs="Times New Roman"/>
          <w:lang w:val="lt-LT"/>
        </w:rPr>
        <w:t>samprat</w:t>
      </w:r>
      <w:r w:rsidR="007701F1">
        <w:rPr>
          <w:rFonts w:ascii="Times New Roman" w:hAnsi="Times New Roman" w:cs="Times New Roman"/>
          <w:lang w:val="lt-LT"/>
        </w:rPr>
        <w:t>os tyrimas</w:t>
      </w:r>
      <w:bookmarkEnd w:id="17"/>
    </w:p>
    <w:p w:rsidR="00B85EFE" w:rsidRDefault="00A1004C" w:rsidP="00ED11E3">
      <w:pPr>
        <w:spacing w:before="120" w:line="360" w:lineRule="auto"/>
        <w:ind w:firstLine="720"/>
        <w:jc w:val="both"/>
        <w:rPr>
          <w:sz w:val="26"/>
          <w:szCs w:val="26"/>
          <w:lang w:val="lt-LT"/>
        </w:rPr>
      </w:pPr>
      <w:r w:rsidRPr="00D44638">
        <w:rPr>
          <w:sz w:val="26"/>
          <w:szCs w:val="26"/>
          <w:lang w:val="lt-LT"/>
        </w:rPr>
        <w:t>200-a</w:t>
      </w:r>
      <w:r w:rsidR="00F4143E" w:rsidRPr="00D44638">
        <w:rPr>
          <w:sz w:val="26"/>
          <w:szCs w:val="26"/>
          <w:lang w:val="lt-LT"/>
        </w:rPr>
        <w:t>jame</w:t>
      </w:r>
      <w:r w:rsidRPr="00D44638">
        <w:rPr>
          <w:sz w:val="26"/>
          <w:szCs w:val="26"/>
          <w:lang w:val="lt-LT"/>
        </w:rPr>
        <w:t xml:space="preserve"> tarptautini</w:t>
      </w:r>
      <w:r w:rsidR="007F4B1D" w:rsidRPr="00D44638">
        <w:rPr>
          <w:sz w:val="26"/>
          <w:szCs w:val="26"/>
          <w:lang w:val="lt-LT"/>
        </w:rPr>
        <w:t>ame</w:t>
      </w:r>
      <w:r w:rsidRPr="00D44638">
        <w:rPr>
          <w:sz w:val="26"/>
          <w:szCs w:val="26"/>
          <w:lang w:val="lt-LT"/>
        </w:rPr>
        <w:t xml:space="preserve"> standart</w:t>
      </w:r>
      <w:r w:rsidR="007F4B1D" w:rsidRPr="00D44638">
        <w:rPr>
          <w:sz w:val="26"/>
          <w:szCs w:val="26"/>
          <w:lang w:val="lt-LT"/>
        </w:rPr>
        <w:t>e</w:t>
      </w:r>
      <w:r w:rsidR="009F4064" w:rsidRPr="00D44638">
        <w:rPr>
          <w:sz w:val="26"/>
          <w:szCs w:val="26"/>
          <w:lang w:val="lt-LT"/>
        </w:rPr>
        <w:t xml:space="preserve"> auditui</w:t>
      </w:r>
      <w:r w:rsidRPr="00D44638">
        <w:rPr>
          <w:sz w:val="26"/>
          <w:szCs w:val="26"/>
          <w:lang w:val="lt-LT"/>
        </w:rPr>
        <w:t xml:space="preserve"> (toliau – TSA) „Finansin</w:t>
      </w:r>
      <w:r w:rsidR="006D2AB0" w:rsidRPr="00D44638">
        <w:rPr>
          <w:sz w:val="26"/>
          <w:szCs w:val="26"/>
          <w:lang w:val="lt-LT"/>
        </w:rPr>
        <w:t>ių</w:t>
      </w:r>
      <w:r w:rsidRPr="00D44638">
        <w:rPr>
          <w:sz w:val="26"/>
          <w:szCs w:val="26"/>
          <w:lang w:val="lt-LT"/>
        </w:rPr>
        <w:t xml:space="preserve"> at</w:t>
      </w:r>
      <w:r w:rsidR="006D2AB0" w:rsidRPr="00D44638">
        <w:rPr>
          <w:sz w:val="26"/>
          <w:szCs w:val="26"/>
          <w:lang w:val="lt-LT"/>
        </w:rPr>
        <w:t>a</w:t>
      </w:r>
      <w:r w:rsidRPr="00D44638">
        <w:rPr>
          <w:sz w:val="26"/>
          <w:szCs w:val="26"/>
          <w:lang w:val="lt-LT"/>
        </w:rPr>
        <w:t>skait</w:t>
      </w:r>
      <w:r w:rsidR="006D2AB0" w:rsidRPr="00D44638">
        <w:rPr>
          <w:sz w:val="26"/>
          <w:szCs w:val="26"/>
          <w:lang w:val="lt-LT"/>
        </w:rPr>
        <w:t>ų</w:t>
      </w:r>
      <w:r w:rsidRPr="00D44638">
        <w:rPr>
          <w:sz w:val="26"/>
          <w:szCs w:val="26"/>
          <w:lang w:val="lt-LT"/>
        </w:rPr>
        <w:t xml:space="preserve"> audito tikslas ir bendrieji principai“ </w:t>
      </w:r>
      <w:r w:rsidR="007F4B1D" w:rsidRPr="00D44638">
        <w:rPr>
          <w:sz w:val="26"/>
          <w:szCs w:val="26"/>
          <w:lang w:val="lt-LT"/>
        </w:rPr>
        <w:t xml:space="preserve">(2006) </w:t>
      </w:r>
      <w:r w:rsidRPr="00D44638">
        <w:rPr>
          <w:sz w:val="26"/>
          <w:szCs w:val="26"/>
          <w:lang w:val="lt-LT"/>
        </w:rPr>
        <w:t>f</w:t>
      </w:r>
      <w:r w:rsidR="00F9294B" w:rsidRPr="00D44638">
        <w:rPr>
          <w:sz w:val="26"/>
          <w:szCs w:val="26"/>
          <w:lang w:val="lt-LT"/>
        </w:rPr>
        <w:t>inansin</w:t>
      </w:r>
      <w:r w:rsidR="006D2AB0" w:rsidRPr="00D44638">
        <w:rPr>
          <w:sz w:val="26"/>
          <w:szCs w:val="26"/>
          <w:lang w:val="lt-LT"/>
        </w:rPr>
        <w:t>ių</w:t>
      </w:r>
      <w:r w:rsidR="00F9294B" w:rsidRPr="00D44638">
        <w:rPr>
          <w:sz w:val="26"/>
          <w:szCs w:val="26"/>
          <w:lang w:val="lt-LT"/>
        </w:rPr>
        <w:t xml:space="preserve"> at</w:t>
      </w:r>
      <w:r w:rsidR="006D2AB0" w:rsidRPr="00D44638">
        <w:rPr>
          <w:sz w:val="26"/>
          <w:szCs w:val="26"/>
          <w:lang w:val="lt-LT"/>
        </w:rPr>
        <w:t>a</w:t>
      </w:r>
      <w:r w:rsidR="00F9294B" w:rsidRPr="00D44638">
        <w:rPr>
          <w:sz w:val="26"/>
          <w:szCs w:val="26"/>
          <w:lang w:val="lt-LT"/>
        </w:rPr>
        <w:t>skait</w:t>
      </w:r>
      <w:r w:rsidR="006D2AB0" w:rsidRPr="00D44638">
        <w:rPr>
          <w:sz w:val="26"/>
          <w:szCs w:val="26"/>
          <w:lang w:val="lt-LT"/>
        </w:rPr>
        <w:t>ų</w:t>
      </w:r>
      <w:r w:rsidR="00F9294B" w:rsidRPr="00D44638">
        <w:rPr>
          <w:sz w:val="26"/>
          <w:szCs w:val="26"/>
          <w:lang w:val="lt-LT"/>
        </w:rPr>
        <w:t xml:space="preserve"> audito tiksl</w:t>
      </w:r>
      <w:r w:rsidR="007F4B1D" w:rsidRPr="00D44638">
        <w:rPr>
          <w:sz w:val="26"/>
          <w:szCs w:val="26"/>
          <w:lang w:val="lt-LT"/>
        </w:rPr>
        <w:t>as</w:t>
      </w:r>
      <w:r w:rsidR="00F9294B" w:rsidRPr="00D44638">
        <w:rPr>
          <w:sz w:val="26"/>
          <w:szCs w:val="26"/>
          <w:lang w:val="lt-LT"/>
        </w:rPr>
        <w:t xml:space="preserve"> </w:t>
      </w:r>
      <w:r w:rsidR="007F4B1D" w:rsidRPr="00D44638">
        <w:rPr>
          <w:sz w:val="26"/>
          <w:szCs w:val="26"/>
          <w:lang w:val="lt-LT"/>
        </w:rPr>
        <w:t>apibrėžiamas kaip „</w:t>
      </w:r>
      <w:r w:rsidR="00F9294B" w:rsidRPr="00D44638">
        <w:rPr>
          <w:sz w:val="26"/>
          <w:szCs w:val="26"/>
          <w:lang w:val="lt-LT"/>
        </w:rPr>
        <w:t xml:space="preserve">sudaryti galimybę auditoriui </w:t>
      </w:r>
      <w:r w:rsidR="00FD6972" w:rsidRPr="00D44638">
        <w:rPr>
          <w:sz w:val="26"/>
          <w:szCs w:val="26"/>
          <w:lang w:val="lt-LT"/>
        </w:rPr>
        <w:t xml:space="preserve">pareikšti nuomonę, ar </w:t>
      </w:r>
      <w:r w:rsidR="0068362A" w:rsidRPr="00D44638">
        <w:rPr>
          <w:sz w:val="26"/>
          <w:szCs w:val="26"/>
          <w:lang w:val="lt-LT"/>
        </w:rPr>
        <w:t>finansinė</w:t>
      </w:r>
      <w:r w:rsidR="006D2AB0" w:rsidRPr="00D44638">
        <w:rPr>
          <w:sz w:val="26"/>
          <w:szCs w:val="26"/>
          <w:lang w:val="lt-LT"/>
        </w:rPr>
        <w:t>s</w:t>
      </w:r>
      <w:r w:rsidR="0068362A" w:rsidRPr="00D44638">
        <w:rPr>
          <w:sz w:val="26"/>
          <w:szCs w:val="26"/>
          <w:lang w:val="lt-LT"/>
        </w:rPr>
        <w:t xml:space="preserve"> at</w:t>
      </w:r>
      <w:r w:rsidR="006D2AB0" w:rsidRPr="00D44638">
        <w:rPr>
          <w:sz w:val="26"/>
          <w:szCs w:val="26"/>
          <w:lang w:val="lt-LT"/>
        </w:rPr>
        <w:t>a</w:t>
      </w:r>
      <w:r w:rsidR="0068362A" w:rsidRPr="00D44638">
        <w:rPr>
          <w:sz w:val="26"/>
          <w:szCs w:val="26"/>
          <w:lang w:val="lt-LT"/>
        </w:rPr>
        <w:t>skaito</w:t>
      </w:r>
      <w:r w:rsidR="006D2AB0" w:rsidRPr="00D44638">
        <w:rPr>
          <w:sz w:val="26"/>
          <w:szCs w:val="26"/>
          <w:lang w:val="lt-LT"/>
        </w:rPr>
        <w:t xml:space="preserve">s </w:t>
      </w:r>
      <w:r w:rsidR="0068362A" w:rsidRPr="00D44638">
        <w:rPr>
          <w:sz w:val="26"/>
          <w:szCs w:val="26"/>
          <w:lang w:val="lt-LT"/>
        </w:rPr>
        <w:t>visais reikšmingais atžvilgiais parengt</w:t>
      </w:r>
      <w:r w:rsidR="006D2AB0" w:rsidRPr="00D44638">
        <w:rPr>
          <w:sz w:val="26"/>
          <w:szCs w:val="26"/>
          <w:lang w:val="lt-LT"/>
        </w:rPr>
        <w:t>os</w:t>
      </w:r>
      <w:r w:rsidR="0068362A" w:rsidRPr="00D44638">
        <w:rPr>
          <w:sz w:val="26"/>
          <w:szCs w:val="26"/>
          <w:lang w:val="lt-LT"/>
        </w:rPr>
        <w:t xml:space="preserve"> pagal nustatyt</w:t>
      </w:r>
      <w:r w:rsidR="00FD6972" w:rsidRPr="00D44638">
        <w:rPr>
          <w:sz w:val="26"/>
          <w:szCs w:val="26"/>
          <w:lang w:val="lt-LT"/>
        </w:rPr>
        <w:t>ą</w:t>
      </w:r>
      <w:r w:rsidR="0068362A" w:rsidRPr="00D44638">
        <w:rPr>
          <w:sz w:val="26"/>
          <w:szCs w:val="26"/>
          <w:lang w:val="lt-LT"/>
        </w:rPr>
        <w:t xml:space="preserve"> finansin</w:t>
      </w:r>
      <w:r w:rsidR="006D2AB0" w:rsidRPr="00D44638">
        <w:rPr>
          <w:sz w:val="26"/>
          <w:szCs w:val="26"/>
          <w:lang w:val="lt-LT"/>
        </w:rPr>
        <w:t>ių</w:t>
      </w:r>
      <w:r w:rsidR="0068362A" w:rsidRPr="00D44638">
        <w:rPr>
          <w:sz w:val="26"/>
          <w:szCs w:val="26"/>
          <w:lang w:val="lt-LT"/>
        </w:rPr>
        <w:t xml:space="preserve"> at</w:t>
      </w:r>
      <w:r w:rsidR="006D2AB0" w:rsidRPr="00D44638">
        <w:rPr>
          <w:sz w:val="26"/>
          <w:szCs w:val="26"/>
          <w:lang w:val="lt-LT"/>
        </w:rPr>
        <w:t>a</w:t>
      </w:r>
      <w:r w:rsidR="0068362A" w:rsidRPr="00D44638">
        <w:rPr>
          <w:sz w:val="26"/>
          <w:szCs w:val="26"/>
          <w:lang w:val="lt-LT"/>
        </w:rPr>
        <w:t>skait</w:t>
      </w:r>
      <w:r w:rsidR="006D2AB0" w:rsidRPr="00D44638">
        <w:rPr>
          <w:sz w:val="26"/>
          <w:szCs w:val="26"/>
          <w:lang w:val="lt-LT"/>
        </w:rPr>
        <w:t>ų</w:t>
      </w:r>
      <w:r w:rsidR="0068362A" w:rsidRPr="00D44638">
        <w:rPr>
          <w:sz w:val="26"/>
          <w:szCs w:val="26"/>
          <w:lang w:val="lt-LT"/>
        </w:rPr>
        <w:t xml:space="preserve"> </w:t>
      </w:r>
      <w:r w:rsidR="00FD6972" w:rsidRPr="00D44638">
        <w:rPr>
          <w:sz w:val="26"/>
          <w:szCs w:val="26"/>
          <w:lang w:val="lt-LT"/>
        </w:rPr>
        <w:t>sudarymo tvarką</w:t>
      </w:r>
      <w:r w:rsidR="000A340A" w:rsidRPr="00D44638">
        <w:rPr>
          <w:sz w:val="26"/>
          <w:szCs w:val="26"/>
          <w:lang w:val="lt-LT"/>
        </w:rPr>
        <w:t>“</w:t>
      </w:r>
      <w:r w:rsidR="0003039A" w:rsidRPr="00D44638">
        <w:rPr>
          <w:sz w:val="26"/>
          <w:szCs w:val="26"/>
          <w:lang w:val="lt-LT"/>
        </w:rPr>
        <w:t xml:space="preserve">. </w:t>
      </w:r>
      <w:r w:rsidR="00F9294B" w:rsidRPr="00D44638">
        <w:rPr>
          <w:sz w:val="26"/>
          <w:szCs w:val="26"/>
          <w:lang w:val="lt-LT"/>
        </w:rPr>
        <w:t>Todėl a</w:t>
      </w:r>
      <w:r w:rsidR="009B6941" w:rsidRPr="00D44638">
        <w:rPr>
          <w:sz w:val="26"/>
          <w:szCs w:val="26"/>
          <w:lang w:val="lt-LT"/>
        </w:rPr>
        <w:t xml:space="preserve">tliekant auditą, tame tarpe ir jį planuojant, auditorius turi įvertinti galimus </w:t>
      </w:r>
      <w:r w:rsidR="007F4B1D" w:rsidRPr="00D44638">
        <w:rPr>
          <w:sz w:val="26"/>
          <w:szCs w:val="26"/>
          <w:lang w:val="lt-LT"/>
        </w:rPr>
        <w:t xml:space="preserve">reikšmingus </w:t>
      </w:r>
      <w:r w:rsidR="009B6941" w:rsidRPr="00D44638">
        <w:rPr>
          <w:sz w:val="26"/>
          <w:szCs w:val="26"/>
          <w:lang w:val="lt-LT"/>
        </w:rPr>
        <w:t>iškraipymus audituojamo</w:t>
      </w:r>
      <w:r w:rsidR="0003039A" w:rsidRPr="00D44638">
        <w:rPr>
          <w:sz w:val="26"/>
          <w:szCs w:val="26"/>
          <w:lang w:val="lt-LT"/>
        </w:rPr>
        <w:t>s įmonės</w:t>
      </w:r>
      <w:r w:rsidR="009B6941" w:rsidRPr="00D44638">
        <w:rPr>
          <w:sz w:val="26"/>
          <w:szCs w:val="26"/>
          <w:lang w:val="lt-LT"/>
        </w:rPr>
        <w:t xml:space="preserve"> finansinė</w:t>
      </w:r>
      <w:r w:rsidR="004B01F7" w:rsidRPr="00D44638">
        <w:rPr>
          <w:sz w:val="26"/>
          <w:szCs w:val="26"/>
          <w:lang w:val="lt-LT"/>
        </w:rPr>
        <w:t>se</w:t>
      </w:r>
      <w:r w:rsidR="009B6941" w:rsidRPr="00D44638">
        <w:rPr>
          <w:sz w:val="26"/>
          <w:szCs w:val="26"/>
          <w:lang w:val="lt-LT"/>
        </w:rPr>
        <w:t xml:space="preserve"> at</w:t>
      </w:r>
      <w:r w:rsidR="004B01F7" w:rsidRPr="00D44638">
        <w:rPr>
          <w:sz w:val="26"/>
          <w:szCs w:val="26"/>
          <w:lang w:val="lt-LT"/>
        </w:rPr>
        <w:t>a</w:t>
      </w:r>
      <w:r w:rsidR="009B6941" w:rsidRPr="00D44638">
        <w:rPr>
          <w:sz w:val="26"/>
          <w:szCs w:val="26"/>
          <w:lang w:val="lt-LT"/>
        </w:rPr>
        <w:t>skaito</w:t>
      </w:r>
      <w:r w:rsidR="004B01F7" w:rsidRPr="00D44638">
        <w:rPr>
          <w:sz w:val="26"/>
          <w:szCs w:val="26"/>
          <w:lang w:val="lt-LT"/>
        </w:rPr>
        <w:t>se</w:t>
      </w:r>
      <w:r w:rsidR="009B6941" w:rsidRPr="00D44638">
        <w:rPr>
          <w:sz w:val="26"/>
          <w:szCs w:val="26"/>
          <w:lang w:val="lt-LT"/>
        </w:rPr>
        <w:t>. Tai, kad auditorius gali pateikti net</w:t>
      </w:r>
      <w:r w:rsidR="00D56A3D" w:rsidRPr="00D44638">
        <w:rPr>
          <w:sz w:val="26"/>
          <w:szCs w:val="26"/>
          <w:lang w:val="lt-LT"/>
        </w:rPr>
        <w:t>inkam</w:t>
      </w:r>
      <w:r w:rsidR="009B6941" w:rsidRPr="00D44638">
        <w:rPr>
          <w:sz w:val="26"/>
          <w:szCs w:val="26"/>
          <w:lang w:val="lt-LT"/>
        </w:rPr>
        <w:t>ą nuomonę</w:t>
      </w:r>
      <w:r w:rsidR="00C7485A" w:rsidRPr="00D44638">
        <w:rPr>
          <w:sz w:val="26"/>
          <w:szCs w:val="26"/>
          <w:lang w:val="lt-LT"/>
        </w:rPr>
        <w:t xml:space="preserve">, kuomet </w:t>
      </w:r>
      <w:r w:rsidR="004B01F7" w:rsidRPr="00D44638">
        <w:rPr>
          <w:sz w:val="26"/>
          <w:szCs w:val="26"/>
          <w:lang w:val="lt-LT"/>
        </w:rPr>
        <w:t>finansinės</w:t>
      </w:r>
      <w:r w:rsidR="009B6941" w:rsidRPr="00D44638">
        <w:rPr>
          <w:sz w:val="26"/>
          <w:szCs w:val="26"/>
          <w:lang w:val="lt-LT"/>
        </w:rPr>
        <w:t>e at</w:t>
      </w:r>
      <w:r w:rsidR="004B01F7" w:rsidRPr="00D44638">
        <w:rPr>
          <w:sz w:val="26"/>
          <w:szCs w:val="26"/>
          <w:lang w:val="lt-LT"/>
        </w:rPr>
        <w:t>a</w:t>
      </w:r>
      <w:r w:rsidR="009B6941" w:rsidRPr="00D44638">
        <w:rPr>
          <w:sz w:val="26"/>
          <w:szCs w:val="26"/>
          <w:lang w:val="lt-LT"/>
        </w:rPr>
        <w:t>skaito</w:t>
      </w:r>
      <w:r w:rsidR="004B01F7" w:rsidRPr="00D44638">
        <w:rPr>
          <w:sz w:val="26"/>
          <w:szCs w:val="26"/>
          <w:lang w:val="lt-LT"/>
        </w:rPr>
        <w:t>se</w:t>
      </w:r>
      <w:r w:rsidR="009B6941" w:rsidRPr="00D44638">
        <w:rPr>
          <w:sz w:val="26"/>
          <w:szCs w:val="26"/>
          <w:lang w:val="lt-LT"/>
        </w:rPr>
        <w:t xml:space="preserve"> </w:t>
      </w:r>
      <w:r w:rsidR="00C7485A" w:rsidRPr="00D44638">
        <w:rPr>
          <w:sz w:val="26"/>
          <w:szCs w:val="26"/>
          <w:lang w:val="lt-LT"/>
        </w:rPr>
        <w:t xml:space="preserve">yra </w:t>
      </w:r>
      <w:r w:rsidR="009B6941" w:rsidRPr="00D44638">
        <w:rPr>
          <w:sz w:val="26"/>
          <w:szCs w:val="26"/>
          <w:lang w:val="lt-LT"/>
        </w:rPr>
        <w:t>reikšming</w:t>
      </w:r>
      <w:r w:rsidR="00C7485A" w:rsidRPr="00D44638">
        <w:rPr>
          <w:sz w:val="26"/>
          <w:szCs w:val="26"/>
          <w:lang w:val="lt-LT"/>
        </w:rPr>
        <w:t>ų</w:t>
      </w:r>
      <w:r w:rsidR="009B6941" w:rsidRPr="00D44638">
        <w:rPr>
          <w:sz w:val="26"/>
          <w:szCs w:val="26"/>
          <w:lang w:val="lt-LT"/>
        </w:rPr>
        <w:t xml:space="preserve"> iškraipym</w:t>
      </w:r>
      <w:r w:rsidR="00C7485A" w:rsidRPr="00D44638">
        <w:rPr>
          <w:sz w:val="26"/>
          <w:szCs w:val="26"/>
          <w:lang w:val="lt-LT"/>
        </w:rPr>
        <w:t>ų</w:t>
      </w:r>
      <w:r w:rsidR="009B6941" w:rsidRPr="00D44638">
        <w:rPr>
          <w:sz w:val="26"/>
          <w:szCs w:val="26"/>
          <w:lang w:val="lt-LT"/>
        </w:rPr>
        <w:t>, iššaukia audito rizikos atsiradimą. Šios nuomonės laikoma</w:t>
      </w:r>
      <w:r w:rsidR="00E50E50" w:rsidRPr="00D44638">
        <w:rPr>
          <w:sz w:val="26"/>
          <w:szCs w:val="26"/>
          <w:lang w:val="lt-LT"/>
        </w:rPr>
        <w:t xml:space="preserve">si </w:t>
      </w:r>
      <w:r w:rsidR="007F7BA9" w:rsidRPr="00D44638">
        <w:rPr>
          <w:sz w:val="26"/>
          <w:szCs w:val="26"/>
          <w:lang w:val="lt-LT"/>
        </w:rPr>
        <w:t>audito standartuose (</w:t>
      </w:r>
      <w:r w:rsidR="00C7485A" w:rsidRPr="00D44638">
        <w:rPr>
          <w:sz w:val="26"/>
          <w:szCs w:val="26"/>
          <w:lang w:val="lt-LT"/>
        </w:rPr>
        <w:t>2</w:t>
      </w:r>
      <w:r w:rsidR="00E50E50" w:rsidRPr="00D44638">
        <w:rPr>
          <w:sz w:val="26"/>
          <w:szCs w:val="26"/>
          <w:lang w:val="lt-LT"/>
        </w:rPr>
        <w:t xml:space="preserve">00 </w:t>
      </w:r>
      <w:r w:rsidR="00C7485A" w:rsidRPr="00D44638">
        <w:rPr>
          <w:sz w:val="26"/>
          <w:szCs w:val="26"/>
          <w:lang w:val="lt-LT"/>
        </w:rPr>
        <w:t>TSA</w:t>
      </w:r>
      <w:r w:rsidR="00ED11E3" w:rsidRPr="00D44638">
        <w:rPr>
          <w:sz w:val="26"/>
          <w:szCs w:val="26"/>
          <w:lang w:val="lt-LT"/>
        </w:rPr>
        <w:t xml:space="preserve">, </w:t>
      </w:r>
      <w:r w:rsidR="003D098E" w:rsidRPr="00D44638">
        <w:rPr>
          <w:sz w:val="26"/>
          <w:szCs w:val="26"/>
          <w:lang w:val="lt-LT"/>
        </w:rPr>
        <w:t>2006</w:t>
      </w:r>
      <w:r w:rsidR="00ED11E3" w:rsidRPr="00D44638">
        <w:rPr>
          <w:sz w:val="26"/>
          <w:szCs w:val="26"/>
          <w:lang w:val="lt-LT"/>
        </w:rPr>
        <w:t xml:space="preserve">; </w:t>
      </w:r>
      <w:r w:rsidR="00D56A3D" w:rsidRPr="00D44638">
        <w:rPr>
          <w:sz w:val="26"/>
          <w:szCs w:val="26"/>
          <w:lang w:val="lt-LT"/>
        </w:rPr>
        <w:t>1</w:t>
      </w:r>
      <w:r w:rsidR="00ED11E3" w:rsidRPr="00D44638">
        <w:rPr>
          <w:sz w:val="26"/>
          <w:szCs w:val="26"/>
          <w:lang w:val="lt-LT"/>
        </w:rPr>
        <w:t xml:space="preserve"> NAS, </w:t>
      </w:r>
      <w:r w:rsidR="00F4143E" w:rsidRPr="00D44638">
        <w:rPr>
          <w:sz w:val="26"/>
          <w:szCs w:val="26"/>
          <w:lang w:val="lt-LT"/>
        </w:rPr>
        <w:t>2006</w:t>
      </w:r>
      <w:r w:rsidR="00ED11E3" w:rsidRPr="00D44638">
        <w:rPr>
          <w:sz w:val="26"/>
          <w:szCs w:val="26"/>
          <w:lang w:val="lt-LT"/>
        </w:rPr>
        <w:t xml:space="preserve">; </w:t>
      </w:r>
      <w:r w:rsidR="003D098E" w:rsidRPr="00D44638">
        <w:rPr>
          <w:sz w:val="26"/>
          <w:szCs w:val="26"/>
          <w:lang w:val="lt-LT"/>
        </w:rPr>
        <w:t>8 RF</w:t>
      </w:r>
      <w:r w:rsidR="00D67DBC" w:rsidRPr="00D44638">
        <w:rPr>
          <w:sz w:val="26"/>
          <w:szCs w:val="26"/>
          <w:lang w:val="lt-LT"/>
        </w:rPr>
        <w:t>AVS</w:t>
      </w:r>
      <w:r w:rsidR="0073647B" w:rsidRPr="00D44638">
        <w:rPr>
          <w:sz w:val="26"/>
          <w:szCs w:val="26"/>
          <w:lang w:val="lt-LT"/>
        </w:rPr>
        <w:t xml:space="preserve">, </w:t>
      </w:r>
      <w:r w:rsidR="00F8382F" w:rsidRPr="00D44638">
        <w:rPr>
          <w:sz w:val="26"/>
          <w:szCs w:val="26"/>
          <w:lang w:val="lt-LT"/>
        </w:rPr>
        <w:t>2005</w:t>
      </w:r>
      <w:r w:rsidR="0073647B" w:rsidRPr="00D44638">
        <w:rPr>
          <w:sz w:val="26"/>
          <w:szCs w:val="26"/>
          <w:lang w:val="lt-LT"/>
        </w:rPr>
        <w:t>; 4</w:t>
      </w:r>
      <w:r w:rsidR="00E50E50" w:rsidRPr="00D44638">
        <w:rPr>
          <w:sz w:val="26"/>
          <w:szCs w:val="26"/>
          <w:lang w:val="lt-LT"/>
        </w:rPr>
        <w:t>7</w:t>
      </w:r>
      <w:r w:rsidR="0073647B" w:rsidRPr="00D44638">
        <w:rPr>
          <w:sz w:val="26"/>
          <w:szCs w:val="26"/>
          <w:lang w:val="lt-LT"/>
        </w:rPr>
        <w:t xml:space="preserve">, 2006; </w:t>
      </w:r>
      <w:r w:rsidR="00D05ECA" w:rsidRPr="00D44638">
        <w:rPr>
          <w:sz w:val="26"/>
          <w:szCs w:val="26"/>
          <w:lang w:val="lt-LT"/>
        </w:rPr>
        <w:t>107</w:t>
      </w:r>
      <w:r w:rsidR="005F6038">
        <w:rPr>
          <w:sz w:val="26"/>
          <w:szCs w:val="26"/>
          <w:lang w:val="lt-LT"/>
        </w:rPr>
        <w:t> </w:t>
      </w:r>
      <w:r w:rsidR="00D05ECA" w:rsidRPr="00D44638">
        <w:rPr>
          <w:sz w:val="26"/>
          <w:szCs w:val="26"/>
          <w:lang w:val="lt-LT"/>
        </w:rPr>
        <w:t>SAS</w:t>
      </w:r>
      <w:r w:rsidR="0073647B" w:rsidRPr="00D44638">
        <w:rPr>
          <w:sz w:val="26"/>
          <w:szCs w:val="26"/>
          <w:lang w:val="lt-LT"/>
        </w:rPr>
        <w:t xml:space="preserve">, </w:t>
      </w:r>
      <w:r w:rsidR="00415DED" w:rsidRPr="00D44638">
        <w:rPr>
          <w:sz w:val="26"/>
          <w:szCs w:val="26"/>
          <w:lang w:val="lt-LT"/>
        </w:rPr>
        <w:t>2006)</w:t>
      </w:r>
      <w:r w:rsidR="009B6941" w:rsidRPr="00D44638">
        <w:rPr>
          <w:sz w:val="26"/>
          <w:szCs w:val="26"/>
          <w:lang w:val="lt-LT"/>
        </w:rPr>
        <w:t xml:space="preserve">. </w:t>
      </w:r>
      <w:r w:rsidR="00177EA2" w:rsidRPr="009E5838">
        <w:rPr>
          <w:sz w:val="26"/>
          <w:szCs w:val="26"/>
          <w:lang w:val="lt-LT"/>
        </w:rPr>
        <w:t>Tuo tarpu mokslo darbuose sutinkamos skirtingos audito rizikos interpretacijos, juose akcentuojamas vienas ar kitas audito rizikos aspektas</w:t>
      </w:r>
      <w:r w:rsidR="005F6038">
        <w:rPr>
          <w:sz w:val="26"/>
          <w:szCs w:val="26"/>
          <w:lang w:val="lt-LT"/>
        </w:rPr>
        <w:t xml:space="preserve"> (žr. </w:t>
      </w:r>
      <w:r w:rsidR="00B85EFE" w:rsidRPr="00D44638">
        <w:rPr>
          <w:sz w:val="26"/>
          <w:szCs w:val="26"/>
          <w:lang w:val="lt-LT"/>
        </w:rPr>
        <w:t>4 lentelė)</w:t>
      </w:r>
      <w:r w:rsidR="00177EA2" w:rsidRPr="009E5838">
        <w:rPr>
          <w:sz w:val="26"/>
          <w:szCs w:val="26"/>
          <w:lang w:val="lt-LT"/>
        </w:rPr>
        <w:t xml:space="preserve">. </w:t>
      </w:r>
    </w:p>
    <w:p w:rsidR="009B6941" w:rsidRDefault="00177EA2" w:rsidP="00B85EFE">
      <w:pPr>
        <w:spacing w:line="360" w:lineRule="auto"/>
        <w:ind w:firstLine="720"/>
        <w:jc w:val="both"/>
        <w:rPr>
          <w:sz w:val="26"/>
          <w:szCs w:val="26"/>
          <w:lang w:val="lt-LT"/>
        </w:rPr>
      </w:pPr>
      <w:r w:rsidRPr="009E5838">
        <w:rPr>
          <w:sz w:val="26"/>
          <w:szCs w:val="26"/>
          <w:lang w:val="lt-LT"/>
        </w:rPr>
        <w:t xml:space="preserve">Dauguma autorių (Mackevičius, 1999, 2001; Kabašinskas, Toliatienė, 1997; Rupeikienė, 2005; Lakis, 2007; Byčkova, 1998; Skobara, 1998; Holmes, 1995) akcentuoja, kad audito rizika atsiranda tada, kai auditorius </w:t>
      </w:r>
      <w:r w:rsidRPr="009E5838">
        <w:rPr>
          <w:i/>
          <w:sz w:val="26"/>
          <w:szCs w:val="26"/>
          <w:lang w:val="lt-LT"/>
        </w:rPr>
        <w:t>gali pareikšti neteisingą</w:t>
      </w:r>
      <w:r w:rsidRPr="009E5838">
        <w:rPr>
          <w:sz w:val="26"/>
          <w:szCs w:val="26"/>
          <w:lang w:val="lt-LT"/>
        </w:rPr>
        <w:t xml:space="preserve"> nuomonę apie įmonės finansines ataskaitas, jei audito metu nebus pastebėtos finansinėse ataskaitose esančios reikšmingos klaidos ar iškraipymai – taip išryškinta auditoriaus kaltė dėl pateiktos netinkamos auditoriaus išvados.</w:t>
      </w:r>
      <w:r w:rsidR="00B85EFE" w:rsidRPr="00B85EFE">
        <w:rPr>
          <w:sz w:val="26"/>
          <w:szCs w:val="26"/>
          <w:lang w:val="lt-LT"/>
        </w:rPr>
        <w:t xml:space="preserve"> </w:t>
      </w:r>
      <w:r w:rsidR="00B85EFE" w:rsidRPr="009E5838">
        <w:rPr>
          <w:sz w:val="26"/>
          <w:szCs w:val="26"/>
          <w:lang w:val="lt-LT"/>
        </w:rPr>
        <w:t>Nors auditorius gali pateikti tiek nemodifikuotą auditoriaus išvadą, tiek modifikuotą auditoriaus išvadą, tačiau, anot J. C. Robertson (1990), blogiausia audito rizikos apraiška yra pareikšti besąlyginę nuomonę apie finansines ataskaitas, kurios yra klaidingos dėl egzistuojančių reikšmingų iškraipymų, kurių auditorius nesugebėjo išsiaiškinti.</w:t>
      </w:r>
    </w:p>
    <w:p w:rsidR="009B6941" w:rsidRPr="009E5838" w:rsidRDefault="009B6941">
      <w:pPr>
        <w:spacing w:line="360" w:lineRule="auto"/>
        <w:jc w:val="both"/>
        <w:rPr>
          <w:i/>
          <w:sz w:val="26"/>
          <w:szCs w:val="26"/>
          <w:lang w:val="lt-LT"/>
        </w:rPr>
      </w:pPr>
      <w:r w:rsidRPr="00E63152">
        <w:rPr>
          <w:color w:val="0000FF"/>
          <w:sz w:val="24"/>
          <w:lang w:val="lt-LT"/>
        </w:rPr>
        <w:lastRenderedPageBreak/>
        <w:tab/>
      </w:r>
      <w:r w:rsidRPr="00E63152">
        <w:rPr>
          <w:color w:val="0000FF"/>
          <w:sz w:val="24"/>
          <w:lang w:val="lt-LT"/>
        </w:rPr>
        <w:tab/>
      </w:r>
      <w:r w:rsidRPr="00E63152">
        <w:rPr>
          <w:color w:val="0000FF"/>
          <w:sz w:val="24"/>
          <w:lang w:val="lt-LT"/>
        </w:rPr>
        <w:tab/>
      </w:r>
      <w:r w:rsidRPr="00E63152">
        <w:rPr>
          <w:color w:val="0000FF"/>
          <w:sz w:val="24"/>
          <w:lang w:val="lt-LT"/>
        </w:rPr>
        <w:tab/>
      </w:r>
      <w:r w:rsidRPr="00E63152">
        <w:rPr>
          <w:color w:val="0000FF"/>
          <w:sz w:val="24"/>
          <w:lang w:val="lt-LT"/>
        </w:rPr>
        <w:tab/>
      </w:r>
      <w:r w:rsidRPr="00E63152">
        <w:rPr>
          <w:b/>
          <w:color w:val="0000FF"/>
          <w:sz w:val="24"/>
          <w:lang w:val="lt-LT"/>
        </w:rPr>
        <w:tab/>
      </w:r>
      <w:r w:rsidRPr="00E63152">
        <w:rPr>
          <w:b/>
          <w:color w:val="0000FF"/>
          <w:sz w:val="24"/>
          <w:lang w:val="lt-LT"/>
        </w:rPr>
        <w:tab/>
      </w:r>
      <w:r w:rsidRPr="00E63152">
        <w:rPr>
          <w:b/>
          <w:color w:val="0000FF"/>
          <w:sz w:val="24"/>
          <w:lang w:val="lt-LT"/>
        </w:rPr>
        <w:tab/>
      </w:r>
      <w:r w:rsidRPr="00E63152">
        <w:rPr>
          <w:b/>
          <w:color w:val="0000FF"/>
          <w:sz w:val="24"/>
          <w:lang w:val="lt-LT"/>
        </w:rPr>
        <w:tab/>
      </w:r>
      <w:r w:rsidRPr="00E63152">
        <w:rPr>
          <w:b/>
          <w:color w:val="0000FF"/>
          <w:sz w:val="24"/>
          <w:lang w:val="lt-LT"/>
        </w:rPr>
        <w:tab/>
      </w:r>
      <w:r w:rsidR="00EA782D" w:rsidRPr="009E5838">
        <w:rPr>
          <w:i/>
          <w:sz w:val="26"/>
          <w:szCs w:val="26"/>
          <w:lang w:val="lt-LT"/>
        </w:rPr>
        <w:t>4</w:t>
      </w:r>
      <w:r w:rsidRPr="009E5838">
        <w:rPr>
          <w:i/>
          <w:sz w:val="26"/>
          <w:szCs w:val="26"/>
          <w:lang w:val="lt-LT"/>
        </w:rPr>
        <w:t xml:space="preserve"> lentelė</w:t>
      </w:r>
    </w:p>
    <w:p w:rsidR="009B6941" w:rsidRPr="009E5838" w:rsidRDefault="009B6941">
      <w:pPr>
        <w:spacing w:line="360" w:lineRule="auto"/>
        <w:jc w:val="center"/>
        <w:rPr>
          <w:b/>
          <w:sz w:val="26"/>
          <w:szCs w:val="26"/>
          <w:lang w:val="lt-LT"/>
        </w:rPr>
      </w:pPr>
      <w:r w:rsidRPr="009E5838">
        <w:rPr>
          <w:b/>
          <w:sz w:val="26"/>
          <w:szCs w:val="26"/>
          <w:lang w:val="lt-LT"/>
        </w:rPr>
        <w:t xml:space="preserve">Audito rizikos </w:t>
      </w:r>
      <w:r w:rsidR="00155593" w:rsidRPr="009E5838">
        <w:rPr>
          <w:b/>
          <w:sz w:val="26"/>
          <w:szCs w:val="26"/>
          <w:lang w:val="lt-LT"/>
        </w:rPr>
        <w:t>sampratų</w:t>
      </w:r>
      <w:r w:rsidR="009F4064" w:rsidRPr="009E5838">
        <w:rPr>
          <w:b/>
          <w:sz w:val="26"/>
          <w:szCs w:val="26"/>
          <w:lang w:val="lt-LT"/>
        </w:rPr>
        <w:t xml:space="preserve"> palyginimas</w:t>
      </w:r>
    </w:p>
    <w:tbl>
      <w:tblPr>
        <w:tblW w:w="0" w:type="auto"/>
        <w:tblLayout w:type="fixed"/>
        <w:tblLook w:val="01E0"/>
      </w:tblPr>
      <w:tblGrid>
        <w:gridCol w:w="3085"/>
        <w:gridCol w:w="5387"/>
      </w:tblGrid>
      <w:tr w:rsidR="009B6941" w:rsidRPr="00D44638" w:rsidTr="009E5838">
        <w:tc>
          <w:tcPr>
            <w:tcW w:w="3085" w:type="dxa"/>
            <w:tcBorders>
              <w:top w:val="single" w:sz="4" w:space="0" w:color="auto"/>
              <w:bottom w:val="single" w:sz="4" w:space="0" w:color="auto"/>
            </w:tcBorders>
            <w:vAlign w:val="center"/>
          </w:tcPr>
          <w:p w:rsidR="009B6941" w:rsidRPr="009E5838" w:rsidRDefault="009B6941">
            <w:pPr>
              <w:spacing w:line="360" w:lineRule="auto"/>
              <w:jc w:val="center"/>
              <w:rPr>
                <w:b/>
                <w:sz w:val="22"/>
                <w:szCs w:val="22"/>
                <w:lang w:val="lt-LT"/>
              </w:rPr>
            </w:pPr>
            <w:r w:rsidRPr="009E5838">
              <w:rPr>
                <w:b/>
                <w:sz w:val="22"/>
                <w:szCs w:val="22"/>
                <w:lang w:val="lt-LT"/>
              </w:rPr>
              <w:t>Šaltinis</w:t>
            </w:r>
          </w:p>
        </w:tc>
        <w:tc>
          <w:tcPr>
            <w:tcW w:w="5387" w:type="dxa"/>
            <w:tcBorders>
              <w:top w:val="single" w:sz="4" w:space="0" w:color="auto"/>
              <w:bottom w:val="single" w:sz="4" w:space="0" w:color="auto"/>
            </w:tcBorders>
            <w:vAlign w:val="center"/>
          </w:tcPr>
          <w:p w:rsidR="009B6941" w:rsidRPr="009E5838" w:rsidRDefault="00155593" w:rsidP="00155593">
            <w:pPr>
              <w:spacing w:line="360" w:lineRule="auto"/>
              <w:jc w:val="center"/>
              <w:rPr>
                <w:b/>
                <w:sz w:val="22"/>
                <w:szCs w:val="22"/>
                <w:lang w:val="lt-LT"/>
              </w:rPr>
            </w:pPr>
            <w:r w:rsidRPr="009E5838">
              <w:rPr>
                <w:b/>
                <w:sz w:val="22"/>
                <w:szCs w:val="22"/>
                <w:lang w:val="lt-LT"/>
              </w:rPr>
              <w:t>Samprata</w:t>
            </w:r>
          </w:p>
        </w:tc>
      </w:tr>
      <w:tr w:rsidR="009B6941" w:rsidRPr="00D44638" w:rsidTr="009E5838">
        <w:tc>
          <w:tcPr>
            <w:tcW w:w="3085" w:type="dxa"/>
            <w:tcBorders>
              <w:top w:val="single" w:sz="4" w:space="0" w:color="auto"/>
              <w:bottom w:val="single" w:sz="4" w:space="0" w:color="auto"/>
            </w:tcBorders>
          </w:tcPr>
          <w:p w:rsidR="009B6941" w:rsidRPr="00D44638" w:rsidRDefault="009B6941" w:rsidP="000F4649">
            <w:pPr>
              <w:rPr>
                <w:sz w:val="22"/>
                <w:szCs w:val="22"/>
                <w:lang w:val="lt-LT"/>
              </w:rPr>
            </w:pPr>
          </w:p>
          <w:p w:rsidR="00F8382F" w:rsidRPr="00D44638" w:rsidRDefault="00F4143E" w:rsidP="000F4649">
            <w:pPr>
              <w:jc w:val="both"/>
              <w:rPr>
                <w:sz w:val="22"/>
                <w:szCs w:val="22"/>
                <w:lang w:val="lt-LT"/>
              </w:rPr>
            </w:pPr>
            <w:r w:rsidRPr="00D44638">
              <w:rPr>
                <w:sz w:val="22"/>
                <w:szCs w:val="22"/>
                <w:lang w:val="lt-LT"/>
              </w:rPr>
              <w:t>200</w:t>
            </w:r>
            <w:r w:rsidR="009B6941" w:rsidRPr="00D44638">
              <w:rPr>
                <w:sz w:val="22"/>
                <w:szCs w:val="22"/>
                <w:lang w:val="lt-LT"/>
              </w:rPr>
              <w:t xml:space="preserve"> T</w:t>
            </w:r>
            <w:r w:rsidRPr="00D44638">
              <w:rPr>
                <w:sz w:val="22"/>
                <w:szCs w:val="22"/>
                <w:lang w:val="lt-LT"/>
              </w:rPr>
              <w:t>SA</w:t>
            </w:r>
            <w:r w:rsidR="009B6941" w:rsidRPr="00D44638">
              <w:rPr>
                <w:sz w:val="22"/>
                <w:szCs w:val="22"/>
                <w:lang w:val="lt-LT"/>
              </w:rPr>
              <w:t xml:space="preserve"> (200</w:t>
            </w:r>
            <w:r w:rsidRPr="00D44638">
              <w:rPr>
                <w:sz w:val="22"/>
                <w:szCs w:val="22"/>
                <w:lang w:val="lt-LT"/>
              </w:rPr>
              <w:t>6</w:t>
            </w:r>
            <w:r w:rsidR="00E12F43" w:rsidRPr="00D44638">
              <w:rPr>
                <w:sz w:val="22"/>
                <w:szCs w:val="22"/>
                <w:lang w:val="lt-LT"/>
              </w:rPr>
              <w:t>)</w:t>
            </w:r>
            <w:r w:rsidR="000C0E01" w:rsidRPr="00D44638">
              <w:rPr>
                <w:sz w:val="22"/>
                <w:szCs w:val="22"/>
                <w:lang w:val="lt-LT"/>
              </w:rPr>
              <w:t>; 1 NAS (2006)</w:t>
            </w:r>
            <w:r w:rsidR="00F8382F" w:rsidRPr="00D44638">
              <w:rPr>
                <w:sz w:val="22"/>
                <w:szCs w:val="22"/>
                <w:lang w:val="lt-LT"/>
              </w:rPr>
              <w:t xml:space="preserve">; </w:t>
            </w:r>
          </w:p>
          <w:p w:rsidR="009B6941" w:rsidRPr="00D44638" w:rsidRDefault="00F8382F" w:rsidP="000F4649">
            <w:pPr>
              <w:jc w:val="both"/>
              <w:rPr>
                <w:sz w:val="22"/>
                <w:szCs w:val="22"/>
                <w:lang w:val="lt-LT"/>
              </w:rPr>
            </w:pPr>
            <w:r w:rsidRPr="00D44638">
              <w:rPr>
                <w:sz w:val="22"/>
                <w:szCs w:val="22"/>
                <w:lang w:val="lt-LT"/>
              </w:rPr>
              <w:t>8 RFAVS</w:t>
            </w:r>
            <w:r w:rsidR="00ED11E3" w:rsidRPr="00D44638">
              <w:rPr>
                <w:rStyle w:val="FootnoteReference"/>
                <w:sz w:val="22"/>
                <w:szCs w:val="22"/>
                <w:lang w:val="lt-LT"/>
              </w:rPr>
              <w:footnoteReference w:id="2"/>
            </w:r>
          </w:p>
          <w:p w:rsidR="00574CBE" w:rsidRDefault="009B6941">
            <w:pPr>
              <w:rPr>
                <w:sz w:val="22"/>
                <w:szCs w:val="22"/>
              </w:rPr>
            </w:pPr>
            <w:r w:rsidRPr="00D44638">
              <w:rPr>
                <w:sz w:val="22"/>
                <w:szCs w:val="22"/>
                <w:lang w:val="lt-LT"/>
              </w:rPr>
              <w:t xml:space="preserve">47 </w:t>
            </w:r>
            <w:r w:rsidR="00780108" w:rsidRPr="00D44638">
              <w:rPr>
                <w:sz w:val="22"/>
                <w:szCs w:val="22"/>
                <w:lang w:val="lt-LT"/>
              </w:rPr>
              <w:t>SAS</w:t>
            </w:r>
            <w:r w:rsidRPr="00D44638">
              <w:rPr>
                <w:sz w:val="22"/>
                <w:szCs w:val="22"/>
                <w:lang w:val="lt-LT"/>
              </w:rPr>
              <w:t xml:space="preserve"> (</w:t>
            </w:r>
            <w:r w:rsidR="00675EED" w:rsidRPr="00D44638">
              <w:rPr>
                <w:sz w:val="22"/>
                <w:szCs w:val="22"/>
                <w:lang w:val="lt-LT"/>
              </w:rPr>
              <w:t>2006</w:t>
            </w:r>
            <w:r w:rsidRPr="00D44638">
              <w:rPr>
                <w:sz w:val="22"/>
                <w:szCs w:val="22"/>
                <w:lang w:val="lt-LT"/>
              </w:rPr>
              <w:t>)</w:t>
            </w:r>
            <w:r w:rsidR="00675EED" w:rsidRPr="00D44638">
              <w:rPr>
                <w:sz w:val="22"/>
                <w:szCs w:val="22"/>
                <w:lang w:val="lt-LT"/>
              </w:rPr>
              <w:t>; 107 SAS (2006)</w:t>
            </w:r>
            <w:r w:rsidR="0073647B" w:rsidRPr="00D44638">
              <w:rPr>
                <w:rStyle w:val="FootnoteReference"/>
                <w:sz w:val="22"/>
                <w:szCs w:val="22"/>
                <w:lang w:val="lt-LT"/>
              </w:rPr>
              <w:footnoteReference w:id="3"/>
            </w:r>
            <w:r w:rsidR="00C627AD" w:rsidRPr="00D44638">
              <w:rPr>
                <w:sz w:val="22"/>
                <w:szCs w:val="22"/>
                <w:lang w:val="lt-LT"/>
              </w:rPr>
              <w:t>;</w:t>
            </w:r>
            <w:r w:rsidR="00C627AD" w:rsidRPr="00D44638">
              <w:rPr>
                <w:sz w:val="22"/>
                <w:szCs w:val="22"/>
              </w:rPr>
              <w:t xml:space="preserve">O. R. Whittington, </w:t>
            </w:r>
          </w:p>
          <w:p w:rsidR="00C627AD" w:rsidRPr="00D44638" w:rsidRDefault="00C627AD">
            <w:pPr>
              <w:rPr>
                <w:sz w:val="22"/>
                <w:szCs w:val="22"/>
              </w:rPr>
            </w:pPr>
            <w:r w:rsidRPr="00D44638">
              <w:rPr>
                <w:sz w:val="22"/>
                <w:szCs w:val="22"/>
              </w:rPr>
              <w:t>K. Pany (2006)</w:t>
            </w:r>
          </w:p>
          <w:p w:rsidR="00F91C2D" w:rsidRPr="00D44638" w:rsidRDefault="009B6941" w:rsidP="00F91C2D">
            <w:pPr>
              <w:rPr>
                <w:sz w:val="22"/>
                <w:szCs w:val="22"/>
                <w:lang w:val="lt-LT"/>
              </w:rPr>
            </w:pPr>
            <w:r w:rsidRPr="00D44638">
              <w:rPr>
                <w:sz w:val="22"/>
                <w:szCs w:val="22"/>
                <w:lang w:val="lt-LT"/>
              </w:rPr>
              <w:t>J.</w:t>
            </w:r>
            <w:r w:rsidR="005F2A6E" w:rsidRPr="00D44638">
              <w:rPr>
                <w:sz w:val="22"/>
                <w:szCs w:val="22"/>
                <w:lang w:val="lt-LT"/>
              </w:rPr>
              <w:t xml:space="preserve"> </w:t>
            </w:r>
            <w:r w:rsidR="00BE5795">
              <w:rPr>
                <w:sz w:val="22"/>
                <w:szCs w:val="22"/>
                <w:lang w:val="lt-LT"/>
              </w:rPr>
              <w:t>Mackevičius (1999</w:t>
            </w:r>
            <w:r w:rsidR="00BE00CF" w:rsidRPr="00D44638">
              <w:rPr>
                <w:sz w:val="22"/>
                <w:szCs w:val="22"/>
                <w:lang w:val="lt-LT"/>
              </w:rPr>
              <w:t>, 2001</w:t>
            </w:r>
            <w:r w:rsidRPr="00D44638">
              <w:rPr>
                <w:sz w:val="22"/>
                <w:szCs w:val="22"/>
                <w:lang w:val="lt-LT"/>
              </w:rPr>
              <w:t>)</w:t>
            </w:r>
            <w:r w:rsidR="00D44638">
              <w:rPr>
                <w:sz w:val="22"/>
                <w:szCs w:val="22"/>
                <w:lang w:val="lt-LT"/>
              </w:rPr>
              <w:t>; L. </w:t>
            </w:r>
            <w:r w:rsidR="006E0F1F" w:rsidRPr="00D44638">
              <w:rPr>
                <w:sz w:val="22"/>
                <w:szCs w:val="22"/>
                <w:lang w:val="lt-LT"/>
              </w:rPr>
              <w:t>Rupeikienė (2005)</w:t>
            </w:r>
            <w:r w:rsidR="00F91C2D" w:rsidRPr="00D44638">
              <w:rPr>
                <w:sz w:val="22"/>
                <w:szCs w:val="22"/>
                <w:lang w:val="lt-LT"/>
              </w:rPr>
              <w:t>; V. Lakis (2007)</w:t>
            </w:r>
          </w:p>
          <w:p w:rsidR="006E0F1F" w:rsidRPr="00D44638" w:rsidRDefault="009B6941">
            <w:pPr>
              <w:rPr>
                <w:sz w:val="22"/>
                <w:szCs w:val="22"/>
                <w:lang w:val="lt-LT"/>
              </w:rPr>
            </w:pPr>
            <w:r w:rsidRPr="00D44638">
              <w:rPr>
                <w:sz w:val="22"/>
                <w:szCs w:val="22"/>
                <w:lang w:val="lt-LT"/>
              </w:rPr>
              <w:t>J.</w:t>
            </w:r>
            <w:r w:rsidR="005F2A6E" w:rsidRPr="00D44638">
              <w:rPr>
                <w:sz w:val="22"/>
                <w:szCs w:val="22"/>
                <w:lang w:val="lt-LT"/>
              </w:rPr>
              <w:t xml:space="preserve"> </w:t>
            </w:r>
            <w:r w:rsidRPr="00D44638">
              <w:rPr>
                <w:sz w:val="22"/>
                <w:szCs w:val="22"/>
                <w:lang w:val="lt-LT"/>
              </w:rPr>
              <w:t>Kabašinskas, I.</w:t>
            </w:r>
            <w:r w:rsidR="005F2A6E" w:rsidRPr="00D44638">
              <w:rPr>
                <w:sz w:val="22"/>
                <w:szCs w:val="22"/>
                <w:lang w:val="lt-LT"/>
              </w:rPr>
              <w:t xml:space="preserve"> </w:t>
            </w:r>
            <w:r w:rsidRPr="00D44638">
              <w:rPr>
                <w:sz w:val="22"/>
                <w:szCs w:val="22"/>
                <w:lang w:val="lt-LT"/>
              </w:rPr>
              <w:t>Toliatienė (1997)</w:t>
            </w:r>
          </w:p>
          <w:p w:rsidR="009B6941" w:rsidRPr="00D44638" w:rsidRDefault="009B6941">
            <w:pPr>
              <w:rPr>
                <w:sz w:val="22"/>
                <w:szCs w:val="22"/>
                <w:lang w:val="lt-LT"/>
              </w:rPr>
            </w:pPr>
            <w:r w:rsidRPr="00D44638">
              <w:rPr>
                <w:sz w:val="22"/>
                <w:szCs w:val="22"/>
                <w:lang w:val="lt-LT"/>
              </w:rPr>
              <w:t>A.</w:t>
            </w:r>
            <w:r w:rsidR="005F2A6E" w:rsidRPr="00D44638">
              <w:rPr>
                <w:sz w:val="22"/>
                <w:szCs w:val="22"/>
                <w:lang w:val="lt-LT"/>
              </w:rPr>
              <w:t xml:space="preserve"> </w:t>
            </w:r>
            <w:r w:rsidRPr="00D44638">
              <w:rPr>
                <w:sz w:val="22"/>
                <w:szCs w:val="22"/>
                <w:lang w:val="lt-LT"/>
              </w:rPr>
              <w:t>A.</w:t>
            </w:r>
            <w:r w:rsidR="005F2A6E" w:rsidRPr="00D44638">
              <w:rPr>
                <w:sz w:val="22"/>
                <w:szCs w:val="22"/>
                <w:lang w:val="lt-LT"/>
              </w:rPr>
              <w:t xml:space="preserve"> </w:t>
            </w:r>
            <w:r w:rsidRPr="00D44638">
              <w:rPr>
                <w:sz w:val="22"/>
                <w:szCs w:val="22"/>
                <w:lang w:val="lt-LT"/>
              </w:rPr>
              <w:t>Arens, J.</w:t>
            </w:r>
            <w:r w:rsidR="005F2A6E" w:rsidRPr="00D44638">
              <w:rPr>
                <w:sz w:val="22"/>
                <w:szCs w:val="22"/>
                <w:lang w:val="lt-LT"/>
              </w:rPr>
              <w:t xml:space="preserve"> </w:t>
            </w:r>
            <w:r w:rsidRPr="00D44638">
              <w:rPr>
                <w:sz w:val="22"/>
                <w:szCs w:val="22"/>
                <w:lang w:val="lt-LT"/>
              </w:rPr>
              <w:t>K.</w:t>
            </w:r>
            <w:r w:rsidR="005F2A6E" w:rsidRPr="00D44638">
              <w:rPr>
                <w:sz w:val="22"/>
                <w:szCs w:val="22"/>
                <w:lang w:val="lt-LT"/>
              </w:rPr>
              <w:t xml:space="preserve"> </w:t>
            </w:r>
            <w:r w:rsidRPr="00D44638">
              <w:rPr>
                <w:sz w:val="22"/>
                <w:szCs w:val="22"/>
                <w:lang w:val="lt-LT"/>
              </w:rPr>
              <w:t>Loebbecke (1997)</w:t>
            </w:r>
          </w:p>
          <w:p w:rsidR="009B6941" w:rsidRPr="00D44638" w:rsidRDefault="009B6941">
            <w:pPr>
              <w:rPr>
                <w:sz w:val="22"/>
                <w:szCs w:val="22"/>
                <w:lang w:val="lt-LT"/>
              </w:rPr>
            </w:pPr>
            <w:r w:rsidRPr="00D44638">
              <w:rPr>
                <w:sz w:val="22"/>
                <w:szCs w:val="22"/>
                <w:lang w:val="lt-LT"/>
              </w:rPr>
              <w:t>J.</w:t>
            </w:r>
            <w:r w:rsidR="005F2A6E" w:rsidRPr="00D44638">
              <w:rPr>
                <w:sz w:val="22"/>
                <w:szCs w:val="22"/>
                <w:lang w:val="lt-LT"/>
              </w:rPr>
              <w:t xml:space="preserve"> C. </w:t>
            </w:r>
            <w:r w:rsidRPr="00D44638">
              <w:rPr>
                <w:sz w:val="22"/>
                <w:szCs w:val="22"/>
                <w:lang w:val="lt-LT"/>
              </w:rPr>
              <w:t>Robertson (1990)</w:t>
            </w:r>
          </w:p>
          <w:p w:rsidR="009B6941" w:rsidRPr="00D44638" w:rsidRDefault="009B6941">
            <w:pPr>
              <w:rPr>
                <w:sz w:val="22"/>
                <w:szCs w:val="22"/>
                <w:lang w:val="lt-LT"/>
              </w:rPr>
            </w:pPr>
          </w:p>
          <w:p w:rsidR="009B6941" w:rsidRPr="00D44638" w:rsidRDefault="00862190">
            <w:pPr>
              <w:rPr>
                <w:sz w:val="22"/>
                <w:szCs w:val="22"/>
                <w:lang w:val="lt-LT"/>
              </w:rPr>
            </w:pPr>
            <w:r w:rsidRPr="00D44638">
              <w:rPr>
                <w:sz w:val="22"/>
                <w:szCs w:val="22"/>
                <w:lang w:val="lt-LT"/>
              </w:rPr>
              <w:t>S. M. By</w:t>
            </w:r>
            <w:r w:rsidR="009B6941" w:rsidRPr="00D44638">
              <w:rPr>
                <w:sz w:val="22"/>
                <w:szCs w:val="22"/>
                <w:lang w:val="lt-LT"/>
              </w:rPr>
              <w:t>čkova (1998)</w:t>
            </w:r>
          </w:p>
          <w:p w:rsidR="00D44638" w:rsidRDefault="00D44638">
            <w:pPr>
              <w:rPr>
                <w:sz w:val="22"/>
                <w:szCs w:val="22"/>
                <w:lang w:val="lt-LT"/>
              </w:rPr>
            </w:pPr>
          </w:p>
          <w:p w:rsidR="009B6941" w:rsidRPr="00D44638" w:rsidRDefault="009B6941">
            <w:pPr>
              <w:rPr>
                <w:sz w:val="22"/>
                <w:szCs w:val="22"/>
                <w:lang w:val="lt-LT"/>
              </w:rPr>
            </w:pPr>
            <w:r w:rsidRPr="00D44638">
              <w:rPr>
                <w:sz w:val="22"/>
                <w:szCs w:val="22"/>
                <w:lang w:val="lt-LT"/>
              </w:rPr>
              <w:t>V.V. Skobara (1998)</w:t>
            </w:r>
          </w:p>
          <w:p w:rsidR="009B6941" w:rsidRPr="00D44638" w:rsidRDefault="009B6941">
            <w:pPr>
              <w:rPr>
                <w:sz w:val="22"/>
                <w:szCs w:val="22"/>
                <w:lang w:val="lt-LT"/>
              </w:rPr>
            </w:pPr>
          </w:p>
          <w:p w:rsidR="009B6941" w:rsidRPr="00D44638" w:rsidRDefault="009B6941">
            <w:pPr>
              <w:rPr>
                <w:sz w:val="22"/>
                <w:szCs w:val="22"/>
                <w:lang w:val="lt-LT"/>
              </w:rPr>
            </w:pPr>
          </w:p>
          <w:p w:rsidR="00D44638" w:rsidRDefault="00D44638">
            <w:pPr>
              <w:rPr>
                <w:sz w:val="22"/>
                <w:szCs w:val="22"/>
                <w:lang w:val="lt-LT"/>
              </w:rPr>
            </w:pPr>
          </w:p>
          <w:p w:rsidR="009B6941" w:rsidRPr="00D44638" w:rsidRDefault="009B6941">
            <w:pPr>
              <w:rPr>
                <w:sz w:val="22"/>
                <w:szCs w:val="22"/>
                <w:lang w:val="lt-LT"/>
              </w:rPr>
            </w:pPr>
            <w:r w:rsidRPr="00D44638">
              <w:rPr>
                <w:sz w:val="22"/>
                <w:szCs w:val="22"/>
                <w:lang w:val="lt-LT"/>
              </w:rPr>
              <w:t>A.</w:t>
            </w:r>
            <w:r w:rsidR="005F2A6E" w:rsidRPr="00D44638">
              <w:rPr>
                <w:sz w:val="22"/>
                <w:szCs w:val="22"/>
                <w:lang w:val="lt-LT"/>
              </w:rPr>
              <w:t xml:space="preserve"> </w:t>
            </w:r>
            <w:r w:rsidRPr="00D44638">
              <w:rPr>
                <w:sz w:val="22"/>
                <w:szCs w:val="22"/>
                <w:lang w:val="lt-LT"/>
              </w:rPr>
              <w:t>D. Šeremet (1995)</w:t>
            </w:r>
          </w:p>
          <w:p w:rsidR="009B6941" w:rsidRPr="00D44638" w:rsidRDefault="009B6941">
            <w:pPr>
              <w:rPr>
                <w:sz w:val="22"/>
                <w:szCs w:val="22"/>
                <w:lang w:val="lt-LT"/>
              </w:rPr>
            </w:pPr>
          </w:p>
          <w:p w:rsidR="009B6941" w:rsidRPr="00D44638" w:rsidRDefault="009B6941">
            <w:pPr>
              <w:rPr>
                <w:sz w:val="22"/>
                <w:szCs w:val="22"/>
                <w:lang w:val="lt-LT"/>
              </w:rPr>
            </w:pPr>
          </w:p>
          <w:p w:rsidR="00D44638" w:rsidRDefault="00D44638">
            <w:pPr>
              <w:rPr>
                <w:sz w:val="22"/>
                <w:szCs w:val="22"/>
                <w:lang w:val="lt-LT"/>
              </w:rPr>
            </w:pPr>
          </w:p>
          <w:p w:rsidR="009B6941" w:rsidRPr="00D44638" w:rsidRDefault="008B0A2F">
            <w:pPr>
              <w:rPr>
                <w:sz w:val="22"/>
                <w:szCs w:val="22"/>
                <w:lang w:val="lt-LT"/>
              </w:rPr>
            </w:pPr>
            <w:r w:rsidRPr="00D44638">
              <w:rPr>
                <w:sz w:val="22"/>
                <w:szCs w:val="22"/>
                <w:lang w:val="lt-LT"/>
              </w:rPr>
              <w:t xml:space="preserve">H. Holmes </w:t>
            </w:r>
            <w:r w:rsidR="009B6941" w:rsidRPr="00D44638">
              <w:rPr>
                <w:sz w:val="22"/>
                <w:szCs w:val="22"/>
                <w:lang w:val="lt-LT"/>
              </w:rPr>
              <w:t>(199</w:t>
            </w:r>
            <w:r w:rsidR="00DB1ED2" w:rsidRPr="00D44638">
              <w:rPr>
                <w:sz w:val="22"/>
                <w:szCs w:val="22"/>
                <w:lang w:val="lt-LT"/>
              </w:rPr>
              <w:t>5</w:t>
            </w:r>
            <w:r w:rsidR="009B6941" w:rsidRPr="00D44638">
              <w:rPr>
                <w:sz w:val="22"/>
                <w:szCs w:val="22"/>
                <w:lang w:val="lt-LT"/>
              </w:rPr>
              <w:t>)</w:t>
            </w:r>
          </w:p>
          <w:p w:rsidR="00131B05" w:rsidRDefault="00131B05">
            <w:pPr>
              <w:rPr>
                <w:sz w:val="22"/>
                <w:szCs w:val="22"/>
                <w:lang w:val="lt-LT"/>
              </w:rPr>
            </w:pPr>
          </w:p>
          <w:p w:rsidR="00131B05" w:rsidRPr="00D44638" w:rsidRDefault="00131B05">
            <w:pPr>
              <w:rPr>
                <w:sz w:val="22"/>
                <w:szCs w:val="22"/>
                <w:lang w:val="lt-LT"/>
              </w:rPr>
            </w:pPr>
            <w:r w:rsidRPr="00D44638">
              <w:rPr>
                <w:sz w:val="22"/>
                <w:szCs w:val="22"/>
                <w:lang w:val="lt-LT"/>
              </w:rPr>
              <w:t>W. R. Knec</w:t>
            </w:r>
            <w:r w:rsidR="003B10E6" w:rsidRPr="00D44638">
              <w:rPr>
                <w:sz w:val="22"/>
                <w:szCs w:val="22"/>
                <w:lang w:val="lt-LT"/>
              </w:rPr>
              <w:t>h</w:t>
            </w:r>
            <w:r w:rsidRPr="00D44638">
              <w:rPr>
                <w:sz w:val="22"/>
                <w:szCs w:val="22"/>
                <w:lang w:val="lt-LT"/>
              </w:rPr>
              <w:t>el (</w:t>
            </w:r>
            <w:r w:rsidR="001E33AD" w:rsidRPr="00D44638">
              <w:rPr>
                <w:sz w:val="22"/>
                <w:szCs w:val="22"/>
                <w:lang w:val="lt-LT"/>
              </w:rPr>
              <w:t>2001)</w:t>
            </w:r>
          </w:p>
          <w:p w:rsidR="00CD1D38" w:rsidRPr="00D44638" w:rsidRDefault="00CD1D38" w:rsidP="00CD1D38">
            <w:pPr>
              <w:rPr>
                <w:sz w:val="22"/>
                <w:szCs w:val="22"/>
                <w:lang w:val="lt-LT"/>
              </w:rPr>
            </w:pPr>
          </w:p>
          <w:p w:rsidR="00CD1D38" w:rsidRDefault="00CD1D38" w:rsidP="00CD1D38">
            <w:pPr>
              <w:rPr>
                <w:sz w:val="22"/>
                <w:szCs w:val="22"/>
                <w:lang w:val="lt-LT"/>
              </w:rPr>
            </w:pPr>
          </w:p>
          <w:p w:rsidR="00D44638" w:rsidRPr="00D44638" w:rsidRDefault="00D44638" w:rsidP="00CD1D38">
            <w:pPr>
              <w:rPr>
                <w:sz w:val="22"/>
                <w:szCs w:val="22"/>
                <w:lang w:val="lt-LT"/>
              </w:rPr>
            </w:pPr>
          </w:p>
          <w:p w:rsidR="00CD1D38" w:rsidRPr="00D44638" w:rsidRDefault="00CD1D38">
            <w:pPr>
              <w:rPr>
                <w:sz w:val="22"/>
                <w:szCs w:val="22"/>
                <w:lang w:val="lt-LT"/>
              </w:rPr>
            </w:pPr>
            <w:r w:rsidRPr="00D44638">
              <w:rPr>
                <w:sz w:val="22"/>
                <w:szCs w:val="22"/>
                <w:lang w:val="lt-LT"/>
              </w:rPr>
              <w:t>G. Lynn (2005)</w:t>
            </w:r>
          </w:p>
        </w:tc>
        <w:tc>
          <w:tcPr>
            <w:tcW w:w="5387" w:type="dxa"/>
            <w:tcBorders>
              <w:top w:val="single" w:sz="4" w:space="0" w:color="auto"/>
              <w:bottom w:val="single" w:sz="4" w:space="0" w:color="auto"/>
            </w:tcBorders>
          </w:tcPr>
          <w:p w:rsidR="009B6941" w:rsidRPr="00D44638" w:rsidRDefault="009B6941" w:rsidP="000F4649">
            <w:pPr>
              <w:jc w:val="both"/>
              <w:rPr>
                <w:sz w:val="22"/>
                <w:szCs w:val="22"/>
                <w:lang w:val="lt-LT"/>
              </w:rPr>
            </w:pPr>
            <w:r w:rsidRPr="00D44638">
              <w:rPr>
                <w:sz w:val="22"/>
                <w:szCs w:val="22"/>
                <w:lang w:val="lt-LT"/>
              </w:rPr>
              <w:t>Audito rizika tai, kad:</w:t>
            </w:r>
          </w:p>
          <w:p w:rsidR="009B6941" w:rsidRPr="00D44638" w:rsidRDefault="009B6941" w:rsidP="000F4649">
            <w:pPr>
              <w:jc w:val="both"/>
              <w:rPr>
                <w:sz w:val="22"/>
                <w:szCs w:val="22"/>
                <w:lang w:val="lt-LT"/>
              </w:rPr>
            </w:pPr>
            <w:r w:rsidRPr="00D44638">
              <w:rPr>
                <w:sz w:val="22"/>
                <w:szCs w:val="22"/>
                <w:lang w:val="lt-LT"/>
              </w:rPr>
              <w:t>– auditorius gali pateikti net</w:t>
            </w:r>
            <w:r w:rsidR="00F4143E" w:rsidRPr="00D44638">
              <w:rPr>
                <w:sz w:val="22"/>
                <w:szCs w:val="22"/>
                <w:lang w:val="lt-LT"/>
              </w:rPr>
              <w:t>inkamą</w:t>
            </w:r>
            <w:r w:rsidRPr="00D44638">
              <w:rPr>
                <w:sz w:val="22"/>
                <w:szCs w:val="22"/>
                <w:lang w:val="lt-LT"/>
              </w:rPr>
              <w:t xml:space="preserve"> nuomonę apie finansinė</w:t>
            </w:r>
            <w:r w:rsidR="009A582B" w:rsidRPr="00D44638">
              <w:rPr>
                <w:sz w:val="22"/>
                <w:szCs w:val="22"/>
                <w:lang w:val="lt-LT"/>
              </w:rPr>
              <w:t>s</w:t>
            </w:r>
            <w:r w:rsidRPr="00D44638">
              <w:rPr>
                <w:sz w:val="22"/>
                <w:szCs w:val="22"/>
                <w:lang w:val="lt-LT"/>
              </w:rPr>
              <w:t>e at</w:t>
            </w:r>
            <w:r w:rsidR="009A582B" w:rsidRPr="00D44638">
              <w:rPr>
                <w:sz w:val="22"/>
                <w:szCs w:val="22"/>
                <w:lang w:val="lt-LT"/>
              </w:rPr>
              <w:t>a</w:t>
            </w:r>
            <w:r w:rsidRPr="00D44638">
              <w:rPr>
                <w:sz w:val="22"/>
                <w:szCs w:val="22"/>
                <w:lang w:val="lt-LT"/>
              </w:rPr>
              <w:t>skaito</w:t>
            </w:r>
            <w:r w:rsidR="009A582B" w:rsidRPr="00D44638">
              <w:rPr>
                <w:sz w:val="22"/>
                <w:szCs w:val="22"/>
                <w:lang w:val="lt-LT"/>
              </w:rPr>
              <w:t>s</w:t>
            </w:r>
            <w:r w:rsidRPr="00D44638">
              <w:rPr>
                <w:sz w:val="22"/>
                <w:szCs w:val="22"/>
                <w:lang w:val="lt-LT"/>
              </w:rPr>
              <w:t>e esančius reikšmingus iškraipymus.</w:t>
            </w:r>
          </w:p>
          <w:p w:rsidR="009B6941" w:rsidRPr="00D44638" w:rsidRDefault="009B6941">
            <w:pPr>
              <w:jc w:val="both"/>
              <w:rPr>
                <w:sz w:val="22"/>
                <w:szCs w:val="22"/>
                <w:lang w:val="lt-LT"/>
              </w:rPr>
            </w:pPr>
            <w:r w:rsidRPr="00D44638">
              <w:rPr>
                <w:sz w:val="22"/>
                <w:szCs w:val="22"/>
                <w:lang w:val="lt-LT"/>
              </w:rPr>
              <w:t xml:space="preserve">– auditorius gali nežiniomis suklysti </w:t>
            </w:r>
            <w:r w:rsidR="00A02624" w:rsidRPr="00D44638">
              <w:rPr>
                <w:sz w:val="22"/>
                <w:szCs w:val="22"/>
                <w:lang w:val="lt-LT"/>
              </w:rPr>
              <w:t xml:space="preserve">tinkamai </w:t>
            </w:r>
            <w:r w:rsidR="00675EED" w:rsidRPr="00D44638">
              <w:rPr>
                <w:sz w:val="22"/>
                <w:szCs w:val="22"/>
                <w:lang w:val="lt-LT"/>
              </w:rPr>
              <w:t>modifikuo</w:t>
            </w:r>
            <w:r w:rsidR="00A02624" w:rsidRPr="00D44638">
              <w:rPr>
                <w:sz w:val="22"/>
                <w:szCs w:val="22"/>
                <w:lang w:val="lt-LT"/>
              </w:rPr>
              <w:t xml:space="preserve">jant </w:t>
            </w:r>
            <w:r w:rsidR="00675EED" w:rsidRPr="00D44638">
              <w:rPr>
                <w:sz w:val="22"/>
                <w:szCs w:val="22"/>
                <w:lang w:val="lt-LT"/>
              </w:rPr>
              <w:t xml:space="preserve">savo nuomonę </w:t>
            </w:r>
            <w:r w:rsidR="0037794D" w:rsidRPr="00D44638">
              <w:rPr>
                <w:sz w:val="22"/>
                <w:szCs w:val="22"/>
                <w:lang w:val="lt-LT"/>
              </w:rPr>
              <w:t xml:space="preserve">apie </w:t>
            </w:r>
            <w:r w:rsidR="00A02624" w:rsidRPr="00D44638">
              <w:rPr>
                <w:sz w:val="22"/>
                <w:szCs w:val="22"/>
                <w:lang w:val="lt-LT"/>
              </w:rPr>
              <w:t>reikšmingai iškraipyt</w:t>
            </w:r>
            <w:r w:rsidR="009A582B" w:rsidRPr="00D44638">
              <w:rPr>
                <w:sz w:val="22"/>
                <w:szCs w:val="22"/>
                <w:lang w:val="lt-LT"/>
              </w:rPr>
              <w:t>as</w:t>
            </w:r>
            <w:r w:rsidR="00A02624" w:rsidRPr="00D44638">
              <w:rPr>
                <w:sz w:val="22"/>
                <w:szCs w:val="22"/>
                <w:lang w:val="lt-LT"/>
              </w:rPr>
              <w:t xml:space="preserve"> </w:t>
            </w:r>
            <w:r w:rsidRPr="00D44638">
              <w:rPr>
                <w:sz w:val="22"/>
                <w:szCs w:val="22"/>
                <w:lang w:val="lt-LT"/>
              </w:rPr>
              <w:t>finansin</w:t>
            </w:r>
            <w:r w:rsidR="009A582B" w:rsidRPr="00D44638">
              <w:rPr>
                <w:sz w:val="22"/>
                <w:szCs w:val="22"/>
                <w:lang w:val="lt-LT"/>
              </w:rPr>
              <w:t>es</w:t>
            </w:r>
            <w:r w:rsidRPr="00D44638">
              <w:rPr>
                <w:sz w:val="22"/>
                <w:szCs w:val="22"/>
                <w:lang w:val="lt-LT"/>
              </w:rPr>
              <w:t xml:space="preserve"> at</w:t>
            </w:r>
            <w:r w:rsidR="009A582B" w:rsidRPr="00D44638">
              <w:rPr>
                <w:sz w:val="22"/>
                <w:szCs w:val="22"/>
                <w:lang w:val="lt-LT"/>
              </w:rPr>
              <w:t>a</w:t>
            </w:r>
            <w:r w:rsidRPr="00D44638">
              <w:rPr>
                <w:sz w:val="22"/>
                <w:szCs w:val="22"/>
                <w:lang w:val="lt-LT"/>
              </w:rPr>
              <w:t>skait</w:t>
            </w:r>
            <w:r w:rsidR="009A582B" w:rsidRPr="00D44638">
              <w:rPr>
                <w:sz w:val="22"/>
                <w:szCs w:val="22"/>
                <w:lang w:val="lt-LT"/>
              </w:rPr>
              <w:t>as</w:t>
            </w:r>
            <w:r w:rsidRPr="00D44638">
              <w:rPr>
                <w:sz w:val="22"/>
                <w:szCs w:val="22"/>
                <w:lang w:val="lt-LT"/>
              </w:rPr>
              <w:t>.</w:t>
            </w:r>
          </w:p>
          <w:p w:rsidR="009B6941" w:rsidRPr="00D44638" w:rsidRDefault="009B6941">
            <w:pPr>
              <w:jc w:val="both"/>
              <w:rPr>
                <w:sz w:val="22"/>
                <w:szCs w:val="22"/>
                <w:lang w:val="lt-LT"/>
              </w:rPr>
            </w:pPr>
            <w:r w:rsidRPr="00D44638">
              <w:rPr>
                <w:sz w:val="22"/>
                <w:szCs w:val="22"/>
                <w:lang w:val="lt-LT"/>
              </w:rPr>
              <w:t xml:space="preserve">– audito metu nebus atskleisti melagingi duomenys </w:t>
            </w:r>
            <w:r w:rsidR="00F91C2D" w:rsidRPr="00D44638">
              <w:rPr>
                <w:sz w:val="22"/>
                <w:szCs w:val="22"/>
                <w:lang w:val="lt-LT"/>
              </w:rPr>
              <w:t xml:space="preserve">(ir klaidos) </w:t>
            </w:r>
            <w:r w:rsidRPr="00D44638">
              <w:rPr>
                <w:sz w:val="22"/>
                <w:szCs w:val="22"/>
                <w:lang w:val="lt-LT"/>
              </w:rPr>
              <w:t>finansinėse ataskaitose.</w:t>
            </w:r>
          </w:p>
          <w:p w:rsidR="00D44638" w:rsidRDefault="00D44638">
            <w:pPr>
              <w:jc w:val="both"/>
              <w:rPr>
                <w:sz w:val="22"/>
                <w:szCs w:val="22"/>
                <w:lang w:val="lt-LT"/>
              </w:rPr>
            </w:pPr>
          </w:p>
          <w:p w:rsidR="009B6941" w:rsidRPr="00D44638" w:rsidRDefault="009B6941">
            <w:pPr>
              <w:jc w:val="both"/>
              <w:rPr>
                <w:sz w:val="22"/>
                <w:szCs w:val="22"/>
                <w:lang w:val="lt-LT"/>
              </w:rPr>
            </w:pPr>
            <w:r w:rsidRPr="00D44638">
              <w:rPr>
                <w:sz w:val="22"/>
                <w:szCs w:val="22"/>
                <w:lang w:val="lt-LT"/>
              </w:rPr>
              <w:t>– auditorius, atlikęs audito procedūras, gali padaryti nepagrįstą išvadą.</w:t>
            </w:r>
          </w:p>
          <w:p w:rsidR="009B6941" w:rsidRPr="00D44638" w:rsidRDefault="009B6941">
            <w:pPr>
              <w:jc w:val="both"/>
              <w:rPr>
                <w:sz w:val="22"/>
                <w:szCs w:val="22"/>
                <w:lang w:val="lt-LT"/>
              </w:rPr>
            </w:pPr>
            <w:r w:rsidRPr="00D44638">
              <w:rPr>
                <w:sz w:val="22"/>
                <w:szCs w:val="22"/>
                <w:lang w:val="lt-LT"/>
              </w:rPr>
              <w:t>– auditorius atlikdamas auditą prisiima tam tikrą netikrumo lygį.</w:t>
            </w:r>
          </w:p>
          <w:p w:rsidR="009B6941" w:rsidRPr="00D44638" w:rsidRDefault="009B6941">
            <w:pPr>
              <w:jc w:val="both"/>
              <w:rPr>
                <w:sz w:val="22"/>
                <w:szCs w:val="22"/>
                <w:lang w:val="lt-LT"/>
              </w:rPr>
            </w:pPr>
            <w:r w:rsidRPr="00D44638">
              <w:rPr>
                <w:sz w:val="22"/>
                <w:szCs w:val="22"/>
                <w:lang w:val="lt-LT"/>
              </w:rPr>
              <w:t>– tikimybė, kad auditorius paskelbs neteisingą nuomonę apie finansin</w:t>
            </w:r>
            <w:r w:rsidR="009A582B" w:rsidRPr="00D44638">
              <w:rPr>
                <w:sz w:val="22"/>
                <w:szCs w:val="22"/>
                <w:lang w:val="lt-LT"/>
              </w:rPr>
              <w:t>es</w:t>
            </w:r>
            <w:r w:rsidRPr="00D44638">
              <w:rPr>
                <w:sz w:val="22"/>
                <w:szCs w:val="22"/>
                <w:lang w:val="lt-LT"/>
              </w:rPr>
              <w:t xml:space="preserve"> at</w:t>
            </w:r>
            <w:r w:rsidR="009A582B" w:rsidRPr="00D44638">
              <w:rPr>
                <w:sz w:val="22"/>
                <w:szCs w:val="22"/>
                <w:lang w:val="lt-LT"/>
              </w:rPr>
              <w:t>a</w:t>
            </w:r>
            <w:r w:rsidRPr="00D44638">
              <w:rPr>
                <w:sz w:val="22"/>
                <w:szCs w:val="22"/>
                <w:lang w:val="lt-LT"/>
              </w:rPr>
              <w:t>skait</w:t>
            </w:r>
            <w:r w:rsidR="009A582B" w:rsidRPr="00D44638">
              <w:rPr>
                <w:sz w:val="22"/>
                <w:szCs w:val="22"/>
                <w:lang w:val="lt-LT"/>
              </w:rPr>
              <w:t>as</w:t>
            </w:r>
            <w:r w:rsidRPr="00D44638">
              <w:rPr>
                <w:sz w:val="22"/>
                <w:szCs w:val="22"/>
                <w:lang w:val="lt-LT"/>
              </w:rPr>
              <w:t>.</w:t>
            </w:r>
          </w:p>
          <w:p w:rsidR="009B6941" w:rsidRPr="00D44638" w:rsidRDefault="009B6941">
            <w:pPr>
              <w:jc w:val="both"/>
              <w:rPr>
                <w:sz w:val="22"/>
                <w:szCs w:val="22"/>
                <w:lang w:val="lt-LT"/>
              </w:rPr>
            </w:pPr>
            <w:r w:rsidRPr="00D44638">
              <w:rPr>
                <w:sz w:val="22"/>
                <w:szCs w:val="22"/>
                <w:lang w:val="lt-LT"/>
              </w:rPr>
              <w:t>– auditorius praleis reikšmingas klaidas ir pa</w:t>
            </w:r>
            <w:r w:rsidR="00992E43" w:rsidRPr="00D44638">
              <w:rPr>
                <w:sz w:val="22"/>
                <w:szCs w:val="22"/>
                <w:lang w:val="lt-LT"/>
              </w:rPr>
              <w:t>re</w:t>
            </w:r>
            <w:r w:rsidRPr="00D44638">
              <w:rPr>
                <w:sz w:val="22"/>
                <w:szCs w:val="22"/>
                <w:lang w:val="lt-LT"/>
              </w:rPr>
              <w:t>ik</w:t>
            </w:r>
            <w:r w:rsidR="00992E43" w:rsidRPr="00D44638">
              <w:rPr>
                <w:sz w:val="22"/>
                <w:szCs w:val="22"/>
                <w:lang w:val="lt-LT"/>
              </w:rPr>
              <w:t>š</w:t>
            </w:r>
            <w:r w:rsidRPr="00D44638">
              <w:rPr>
                <w:sz w:val="22"/>
                <w:szCs w:val="22"/>
                <w:lang w:val="lt-LT"/>
              </w:rPr>
              <w:t xml:space="preserve"> besąlyginę </w:t>
            </w:r>
            <w:r w:rsidR="007E7DE8" w:rsidRPr="00D44638">
              <w:rPr>
                <w:sz w:val="22"/>
                <w:szCs w:val="22"/>
                <w:lang w:val="lt-LT"/>
              </w:rPr>
              <w:t>nuomonę</w:t>
            </w:r>
            <w:r w:rsidRPr="00D44638">
              <w:rPr>
                <w:sz w:val="22"/>
                <w:szCs w:val="22"/>
                <w:lang w:val="lt-LT"/>
              </w:rPr>
              <w:t>.</w:t>
            </w:r>
          </w:p>
          <w:p w:rsidR="009B6941" w:rsidRPr="00D44638" w:rsidRDefault="009B6941">
            <w:pPr>
              <w:jc w:val="both"/>
              <w:rPr>
                <w:sz w:val="22"/>
                <w:szCs w:val="22"/>
                <w:lang w:val="lt-LT"/>
              </w:rPr>
            </w:pPr>
            <w:r w:rsidRPr="00D44638">
              <w:rPr>
                <w:sz w:val="22"/>
                <w:szCs w:val="22"/>
                <w:lang w:val="lt-LT"/>
              </w:rPr>
              <w:t>– pavojus, kad auditorius iš atliktų audito procedūrų pa</w:t>
            </w:r>
            <w:r w:rsidR="00992E43" w:rsidRPr="00D44638">
              <w:rPr>
                <w:sz w:val="22"/>
                <w:szCs w:val="22"/>
                <w:lang w:val="lt-LT"/>
              </w:rPr>
              <w:t>teiks</w:t>
            </w:r>
            <w:r w:rsidRPr="00D44638">
              <w:rPr>
                <w:sz w:val="22"/>
                <w:szCs w:val="22"/>
                <w:lang w:val="lt-LT"/>
              </w:rPr>
              <w:t xml:space="preserve"> neteisingą išvadą, t.</w:t>
            </w:r>
            <w:r w:rsidR="00BB149C" w:rsidRPr="00D44638">
              <w:rPr>
                <w:sz w:val="22"/>
                <w:szCs w:val="22"/>
                <w:lang w:val="lt-LT"/>
              </w:rPr>
              <w:t xml:space="preserve"> </w:t>
            </w:r>
            <w:r w:rsidRPr="00D44638">
              <w:rPr>
                <w:sz w:val="22"/>
                <w:szCs w:val="22"/>
                <w:lang w:val="lt-LT"/>
              </w:rPr>
              <w:t>y. apie neteising</w:t>
            </w:r>
            <w:r w:rsidR="009A582B" w:rsidRPr="00D44638">
              <w:rPr>
                <w:sz w:val="22"/>
                <w:szCs w:val="22"/>
                <w:lang w:val="lt-LT"/>
              </w:rPr>
              <w:t>ai</w:t>
            </w:r>
            <w:r w:rsidRPr="00D44638">
              <w:rPr>
                <w:sz w:val="22"/>
                <w:szCs w:val="22"/>
                <w:lang w:val="lt-LT"/>
              </w:rPr>
              <w:t xml:space="preserve"> sudaryt</w:t>
            </w:r>
            <w:r w:rsidR="009A582B" w:rsidRPr="00D44638">
              <w:rPr>
                <w:sz w:val="22"/>
                <w:szCs w:val="22"/>
                <w:lang w:val="lt-LT"/>
              </w:rPr>
              <w:t>as</w:t>
            </w:r>
            <w:r w:rsidRPr="00D44638">
              <w:rPr>
                <w:sz w:val="22"/>
                <w:szCs w:val="22"/>
                <w:lang w:val="lt-LT"/>
              </w:rPr>
              <w:t xml:space="preserve"> finansin</w:t>
            </w:r>
            <w:r w:rsidR="009A582B" w:rsidRPr="00D44638">
              <w:rPr>
                <w:sz w:val="22"/>
                <w:szCs w:val="22"/>
                <w:lang w:val="lt-LT"/>
              </w:rPr>
              <w:t>es</w:t>
            </w:r>
            <w:r w:rsidRPr="00D44638">
              <w:rPr>
                <w:sz w:val="22"/>
                <w:szCs w:val="22"/>
                <w:lang w:val="lt-LT"/>
              </w:rPr>
              <w:t xml:space="preserve"> at</w:t>
            </w:r>
            <w:r w:rsidR="009A582B" w:rsidRPr="00D44638">
              <w:rPr>
                <w:sz w:val="22"/>
                <w:szCs w:val="22"/>
                <w:lang w:val="lt-LT"/>
              </w:rPr>
              <w:t>a</w:t>
            </w:r>
            <w:r w:rsidRPr="00D44638">
              <w:rPr>
                <w:sz w:val="22"/>
                <w:szCs w:val="22"/>
                <w:lang w:val="lt-LT"/>
              </w:rPr>
              <w:t>skait</w:t>
            </w:r>
            <w:r w:rsidR="009A582B" w:rsidRPr="00D44638">
              <w:rPr>
                <w:sz w:val="22"/>
                <w:szCs w:val="22"/>
                <w:lang w:val="lt-LT"/>
              </w:rPr>
              <w:t>as</w:t>
            </w:r>
            <w:r w:rsidRPr="00D44638">
              <w:rPr>
                <w:sz w:val="22"/>
                <w:szCs w:val="22"/>
                <w:lang w:val="lt-LT"/>
              </w:rPr>
              <w:t xml:space="preserve"> bus pa</w:t>
            </w:r>
            <w:r w:rsidR="00992E43" w:rsidRPr="00D44638">
              <w:rPr>
                <w:sz w:val="22"/>
                <w:szCs w:val="22"/>
                <w:lang w:val="lt-LT"/>
              </w:rPr>
              <w:t>reikšta</w:t>
            </w:r>
            <w:r w:rsidRPr="00D44638">
              <w:rPr>
                <w:sz w:val="22"/>
                <w:szCs w:val="22"/>
                <w:lang w:val="lt-LT"/>
              </w:rPr>
              <w:t xml:space="preserve"> besąlyginė audito</w:t>
            </w:r>
            <w:r w:rsidR="007E7DE8" w:rsidRPr="00D44638">
              <w:rPr>
                <w:sz w:val="22"/>
                <w:szCs w:val="22"/>
                <w:lang w:val="lt-LT"/>
              </w:rPr>
              <w:t>riaus</w:t>
            </w:r>
            <w:r w:rsidRPr="00D44638">
              <w:rPr>
                <w:sz w:val="22"/>
                <w:szCs w:val="22"/>
                <w:lang w:val="lt-LT"/>
              </w:rPr>
              <w:t xml:space="preserve"> </w:t>
            </w:r>
            <w:r w:rsidR="007E7DE8" w:rsidRPr="00D44638">
              <w:rPr>
                <w:sz w:val="22"/>
                <w:szCs w:val="22"/>
                <w:lang w:val="lt-LT"/>
              </w:rPr>
              <w:t>nuomonė</w:t>
            </w:r>
            <w:r w:rsidRPr="00D44638">
              <w:rPr>
                <w:sz w:val="22"/>
                <w:szCs w:val="22"/>
                <w:lang w:val="lt-LT"/>
              </w:rPr>
              <w:t xml:space="preserve"> ir atv</w:t>
            </w:r>
            <w:r w:rsidR="007E7DE8" w:rsidRPr="00D44638">
              <w:rPr>
                <w:sz w:val="22"/>
                <w:szCs w:val="22"/>
                <w:lang w:val="lt-LT"/>
              </w:rPr>
              <w:t>irkščiai</w:t>
            </w:r>
            <w:r w:rsidRPr="00D44638">
              <w:rPr>
                <w:sz w:val="22"/>
                <w:szCs w:val="22"/>
                <w:lang w:val="lt-LT"/>
              </w:rPr>
              <w:t xml:space="preserve">. </w:t>
            </w:r>
          </w:p>
          <w:p w:rsidR="009B6941" w:rsidRPr="00D44638" w:rsidRDefault="009B6941">
            <w:pPr>
              <w:jc w:val="both"/>
              <w:rPr>
                <w:sz w:val="22"/>
                <w:szCs w:val="22"/>
                <w:lang w:val="lt-LT"/>
              </w:rPr>
            </w:pPr>
            <w:r w:rsidRPr="00D44638">
              <w:rPr>
                <w:sz w:val="22"/>
                <w:szCs w:val="22"/>
                <w:lang w:val="lt-LT"/>
              </w:rPr>
              <w:t>– tai auditoriaus patikrinimo neefektyvumo rizikos įvertinimas, remiantis rizikos įvertinimu dėl kliento apskaitos sistemos bei vid</w:t>
            </w:r>
            <w:r w:rsidR="00992E43" w:rsidRPr="00D44638">
              <w:rPr>
                <w:sz w:val="22"/>
                <w:szCs w:val="22"/>
                <w:lang w:val="lt-LT"/>
              </w:rPr>
              <w:t>aus kontrolės neefektyvumo</w:t>
            </w:r>
            <w:r w:rsidRPr="00D44638">
              <w:rPr>
                <w:sz w:val="22"/>
                <w:szCs w:val="22"/>
                <w:lang w:val="lt-LT"/>
              </w:rPr>
              <w:t xml:space="preserve"> ir klaid</w:t>
            </w:r>
            <w:r w:rsidR="00992E43" w:rsidRPr="00D44638">
              <w:rPr>
                <w:sz w:val="22"/>
                <w:szCs w:val="22"/>
                <w:lang w:val="lt-LT"/>
              </w:rPr>
              <w:t>ų neatskleidimo audito metu.</w:t>
            </w:r>
          </w:p>
          <w:p w:rsidR="009B6941" w:rsidRPr="00D44638" w:rsidRDefault="009B6941">
            <w:pPr>
              <w:jc w:val="both"/>
              <w:rPr>
                <w:sz w:val="22"/>
                <w:szCs w:val="22"/>
                <w:lang w:val="lt-LT"/>
              </w:rPr>
            </w:pPr>
            <w:r w:rsidRPr="00D44638">
              <w:rPr>
                <w:sz w:val="22"/>
                <w:szCs w:val="22"/>
                <w:lang w:val="lt-LT"/>
              </w:rPr>
              <w:t xml:space="preserve">– reikšmingi iškraipymai yra ar galėtų būti </w:t>
            </w:r>
            <w:r w:rsidR="009A582B" w:rsidRPr="00D44638">
              <w:rPr>
                <w:sz w:val="22"/>
                <w:szCs w:val="22"/>
                <w:lang w:val="lt-LT"/>
              </w:rPr>
              <w:t>audituojamos įmonės finansinės</w:t>
            </w:r>
            <w:r w:rsidRPr="00D44638">
              <w:rPr>
                <w:sz w:val="22"/>
                <w:szCs w:val="22"/>
                <w:lang w:val="lt-LT"/>
              </w:rPr>
              <w:t>e at</w:t>
            </w:r>
            <w:r w:rsidR="009A582B" w:rsidRPr="00D44638">
              <w:rPr>
                <w:sz w:val="22"/>
                <w:szCs w:val="22"/>
                <w:lang w:val="lt-LT"/>
              </w:rPr>
              <w:t>a</w:t>
            </w:r>
            <w:r w:rsidRPr="00D44638">
              <w:rPr>
                <w:sz w:val="22"/>
                <w:szCs w:val="22"/>
                <w:lang w:val="lt-LT"/>
              </w:rPr>
              <w:t>skaito</w:t>
            </w:r>
            <w:r w:rsidR="009A582B" w:rsidRPr="00D44638">
              <w:rPr>
                <w:sz w:val="22"/>
                <w:szCs w:val="22"/>
                <w:lang w:val="lt-LT"/>
              </w:rPr>
              <w:t>se</w:t>
            </w:r>
            <w:r w:rsidRPr="00D44638">
              <w:rPr>
                <w:sz w:val="22"/>
                <w:szCs w:val="22"/>
                <w:lang w:val="lt-LT"/>
              </w:rPr>
              <w:t xml:space="preserve">. </w:t>
            </w:r>
          </w:p>
          <w:p w:rsidR="00131B05" w:rsidRPr="00D44638" w:rsidRDefault="00131B05">
            <w:pPr>
              <w:jc w:val="both"/>
              <w:rPr>
                <w:sz w:val="22"/>
                <w:szCs w:val="22"/>
                <w:lang w:val="lt-LT"/>
              </w:rPr>
            </w:pPr>
            <w:r w:rsidRPr="00D44638">
              <w:rPr>
                <w:sz w:val="22"/>
                <w:szCs w:val="22"/>
                <w:lang w:val="lt-LT"/>
              </w:rPr>
              <w:t>– tikimybė ar galimybė, kad auditorius padarys išvadą, kad visi vadovybės padaryti reikšmingi tvirtinimai yra tinkami, kai iš tiesų bent vienas reikšmingas tvirtinimas yra neteisingas</w:t>
            </w:r>
            <w:r w:rsidR="001E33AD" w:rsidRPr="00D44638">
              <w:rPr>
                <w:sz w:val="22"/>
                <w:szCs w:val="22"/>
                <w:lang w:val="lt-LT"/>
              </w:rPr>
              <w:t>.</w:t>
            </w:r>
          </w:p>
          <w:p w:rsidR="00CD1D38" w:rsidRPr="00D44638" w:rsidRDefault="00CD1D38">
            <w:pPr>
              <w:jc w:val="both"/>
              <w:rPr>
                <w:sz w:val="22"/>
                <w:szCs w:val="22"/>
                <w:lang w:val="lt-LT"/>
              </w:rPr>
            </w:pPr>
            <w:r w:rsidRPr="00D44638">
              <w:rPr>
                <w:sz w:val="22"/>
                <w:szCs w:val="22"/>
                <w:lang w:val="lt-LT"/>
              </w:rPr>
              <w:t>– rizika, kad ataskaita ir su ja susiję tvirtinimai gali turėti reikšmingų iškraipymų ir rizika, kad auditorius jų neaptiks</w:t>
            </w:r>
            <w:r w:rsidR="00FA32DF" w:rsidRPr="00D44638">
              <w:rPr>
                <w:sz w:val="22"/>
                <w:szCs w:val="22"/>
                <w:lang w:val="lt-LT"/>
              </w:rPr>
              <w:t>, arba</w:t>
            </w:r>
            <w:r w:rsidR="00AC12B1" w:rsidRPr="00D44638">
              <w:rPr>
                <w:sz w:val="22"/>
                <w:szCs w:val="22"/>
                <w:lang w:val="lt-LT"/>
              </w:rPr>
              <w:t xml:space="preserve"> –</w:t>
            </w:r>
            <w:r w:rsidR="00FA32DF" w:rsidRPr="00D44638">
              <w:rPr>
                <w:sz w:val="22"/>
                <w:szCs w:val="22"/>
                <w:lang w:val="lt-LT"/>
              </w:rPr>
              <w:t xml:space="preserve"> rizika kylanti iš nerealių lūkesčių dėl to, ką auditas apima, arba dėl to, ką auditorius gali tikėtis aptikti.</w:t>
            </w:r>
          </w:p>
        </w:tc>
      </w:tr>
    </w:tbl>
    <w:p w:rsidR="009B6941" w:rsidRPr="005F44E6" w:rsidRDefault="009B6941" w:rsidP="00E50E50">
      <w:pPr>
        <w:jc w:val="both"/>
        <w:rPr>
          <w:lang w:val="lt-LT"/>
        </w:rPr>
      </w:pPr>
      <w:r w:rsidRPr="005F44E6">
        <w:rPr>
          <w:lang w:val="lt-LT"/>
        </w:rPr>
        <w:t>Šaltinis: sudaryta autor</w:t>
      </w:r>
      <w:r w:rsidR="00D87B88" w:rsidRPr="005F44E6">
        <w:rPr>
          <w:lang w:val="lt-LT"/>
        </w:rPr>
        <w:t>ės</w:t>
      </w:r>
      <w:r w:rsidR="00CD1D38" w:rsidRPr="005F44E6">
        <w:rPr>
          <w:lang w:val="lt-LT"/>
        </w:rPr>
        <w:t>.</w:t>
      </w:r>
    </w:p>
    <w:p w:rsidR="00E12F43" w:rsidRPr="009E5838" w:rsidRDefault="008549FB" w:rsidP="00B85EFE">
      <w:pPr>
        <w:spacing w:before="240" w:line="360" w:lineRule="auto"/>
        <w:ind w:firstLine="720"/>
        <w:jc w:val="both"/>
        <w:rPr>
          <w:sz w:val="26"/>
          <w:szCs w:val="26"/>
        </w:rPr>
      </w:pPr>
      <w:r w:rsidRPr="009E5838">
        <w:rPr>
          <w:sz w:val="26"/>
          <w:szCs w:val="26"/>
          <w:lang w:val="lt-LT"/>
        </w:rPr>
        <w:t>T</w:t>
      </w:r>
      <w:r w:rsidR="009B6941" w:rsidRPr="009E5838">
        <w:rPr>
          <w:sz w:val="26"/>
          <w:szCs w:val="26"/>
          <w:lang w:val="lt-LT"/>
        </w:rPr>
        <w:t>uo tarpu A. A. Arens ir J.</w:t>
      </w:r>
      <w:r w:rsidR="009E5838">
        <w:rPr>
          <w:sz w:val="26"/>
          <w:szCs w:val="26"/>
          <w:lang w:val="lt-LT"/>
        </w:rPr>
        <w:t> </w:t>
      </w:r>
      <w:r w:rsidR="009B6941" w:rsidRPr="009E5838">
        <w:rPr>
          <w:sz w:val="26"/>
          <w:szCs w:val="26"/>
          <w:lang w:val="lt-LT"/>
        </w:rPr>
        <w:t>K.</w:t>
      </w:r>
      <w:r w:rsidR="009E5838">
        <w:rPr>
          <w:sz w:val="26"/>
          <w:szCs w:val="26"/>
          <w:lang w:val="lt-LT"/>
        </w:rPr>
        <w:t> </w:t>
      </w:r>
      <w:r w:rsidR="009B6941" w:rsidRPr="009E5838">
        <w:rPr>
          <w:sz w:val="26"/>
          <w:szCs w:val="26"/>
          <w:lang w:val="lt-LT"/>
        </w:rPr>
        <w:t>Loebbecke (1997) teigia, kad auditorius atlikdamas auditą prisiima tam tikrą netikrumo lygį, t.</w:t>
      </w:r>
      <w:r w:rsidR="00D0610F" w:rsidRPr="009E5838">
        <w:rPr>
          <w:sz w:val="26"/>
          <w:szCs w:val="26"/>
          <w:lang w:val="lt-LT"/>
        </w:rPr>
        <w:t xml:space="preserve"> </w:t>
      </w:r>
      <w:r w:rsidR="009B6941" w:rsidRPr="009E5838">
        <w:rPr>
          <w:sz w:val="26"/>
          <w:szCs w:val="26"/>
          <w:lang w:val="lt-LT"/>
        </w:rPr>
        <w:t xml:space="preserve">y. audito riziką, dėl to, kad yra tam tikras netikrumas dėl </w:t>
      </w:r>
      <w:r w:rsidR="004C65CE" w:rsidRPr="009E5838">
        <w:rPr>
          <w:sz w:val="26"/>
          <w:szCs w:val="26"/>
          <w:lang w:val="lt-LT"/>
        </w:rPr>
        <w:t>surinktų</w:t>
      </w:r>
      <w:r w:rsidR="009B6941" w:rsidRPr="009E5838">
        <w:rPr>
          <w:sz w:val="26"/>
          <w:szCs w:val="26"/>
          <w:lang w:val="lt-LT"/>
        </w:rPr>
        <w:t xml:space="preserve"> įrodymų ir netikrumas dėl kliento </w:t>
      </w:r>
      <w:r w:rsidR="00D0610F" w:rsidRPr="009E5838">
        <w:rPr>
          <w:sz w:val="26"/>
          <w:szCs w:val="26"/>
          <w:lang w:val="lt-LT"/>
        </w:rPr>
        <w:lastRenderedPageBreak/>
        <w:t xml:space="preserve">vidaus </w:t>
      </w:r>
      <w:r w:rsidR="009B6941" w:rsidRPr="009E5838">
        <w:rPr>
          <w:sz w:val="26"/>
          <w:szCs w:val="26"/>
          <w:lang w:val="lt-LT"/>
        </w:rPr>
        <w:t xml:space="preserve">kontrolės sistemos </w:t>
      </w:r>
      <w:r w:rsidR="00BB149C" w:rsidRPr="009E5838">
        <w:rPr>
          <w:sz w:val="26"/>
          <w:szCs w:val="26"/>
          <w:lang w:val="lt-LT"/>
        </w:rPr>
        <w:t>veiksming</w:t>
      </w:r>
      <w:r w:rsidR="009B6941" w:rsidRPr="009E5838">
        <w:rPr>
          <w:sz w:val="26"/>
          <w:szCs w:val="26"/>
          <w:lang w:val="lt-LT"/>
        </w:rPr>
        <w:t>umo.</w:t>
      </w:r>
      <w:r w:rsidR="00262F98" w:rsidRPr="009E5838">
        <w:rPr>
          <w:sz w:val="26"/>
          <w:szCs w:val="26"/>
          <w:lang w:val="lt-LT"/>
        </w:rPr>
        <w:t xml:space="preserve"> Auditoriaus </w:t>
      </w:r>
      <w:r w:rsidR="00262F98" w:rsidRPr="009E5838">
        <w:rPr>
          <w:i/>
          <w:sz w:val="26"/>
          <w:szCs w:val="26"/>
          <w:lang w:val="lt-LT"/>
        </w:rPr>
        <w:t>galimybė suklysti nežiniomis</w:t>
      </w:r>
      <w:r w:rsidR="00262F98" w:rsidRPr="009E5838">
        <w:rPr>
          <w:sz w:val="26"/>
          <w:szCs w:val="26"/>
          <w:lang w:val="lt-LT"/>
        </w:rPr>
        <w:t xml:space="preserve"> pareiškiant nuomonę akcentuoja</w:t>
      </w:r>
      <w:r w:rsidR="00D77E35" w:rsidRPr="009E5838">
        <w:rPr>
          <w:sz w:val="26"/>
          <w:szCs w:val="26"/>
          <w:lang w:val="lt-LT"/>
        </w:rPr>
        <w:t>ma</w:t>
      </w:r>
      <w:r w:rsidR="00D77E35" w:rsidRPr="009E5838">
        <w:rPr>
          <w:sz w:val="26"/>
          <w:szCs w:val="26"/>
        </w:rPr>
        <w:t xml:space="preserve"> O. R. Whittington</w:t>
      </w:r>
      <w:r w:rsidR="00B85EFE">
        <w:rPr>
          <w:sz w:val="26"/>
          <w:szCs w:val="26"/>
        </w:rPr>
        <w:t xml:space="preserve"> ir</w:t>
      </w:r>
      <w:r w:rsidR="00D77E35" w:rsidRPr="009E5838">
        <w:rPr>
          <w:sz w:val="26"/>
          <w:szCs w:val="26"/>
        </w:rPr>
        <w:t xml:space="preserve"> K. Pany (2006) </w:t>
      </w:r>
      <w:r w:rsidR="00B85EFE" w:rsidRPr="00B85EFE">
        <w:rPr>
          <w:sz w:val="26"/>
          <w:szCs w:val="26"/>
          <w:lang w:val="lt-LT"/>
        </w:rPr>
        <w:t xml:space="preserve">darbuose bei </w:t>
      </w:r>
      <w:r w:rsidR="00D77E35" w:rsidRPr="009E5838">
        <w:rPr>
          <w:sz w:val="26"/>
          <w:szCs w:val="26"/>
          <w:lang w:val="lt-LT"/>
        </w:rPr>
        <w:t>JAV audito standartuose (</w:t>
      </w:r>
      <w:r w:rsidR="00262F98" w:rsidRPr="009E5838">
        <w:rPr>
          <w:sz w:val="26"/>
          <w:szCs w:val="26"/>
          <w:lang w:val="lt-LT"/>
        </w:rPr>
        <w:t>47 SAS</w:t>
      </w:r>
      <w:r w:rsidR="00D77E35" w:rsidRPr="009E5838">
        <w:rPr>
          <w:sz w:val="26"/>
          <w:szCs w:val="26"/>
          <w:lang w:val="lt-LT"/>
        </w:rPr>
        <w:t xml:space="preserve">, </w:t>
      </w:r>
      <w:r w:rsidR="00262F98" w:rsidRPr="009E5838">
        <w:rPr>
          <w:sz w:val="26"/>
          <w:szCs w:val="26"/>
          <w:lang w:val="lt-LT"/>
        </w:rPr>
        <w:t>2006</w:t>
      </w:r>
      <w:r w:rsidR="00D77E35" w:rsidRPr="009E5838">
        <w:rPr>
          <w:sz w:val="26"/>
          <w:szCs w:val="26"/>
          <w:lang w:val="lt-LT"/>
        </w:rPr>
        <w:t xml:space="preserve">; </w:t>
      </w:r>
      <w:r w:rsidR="00262F98" w:rsidRPr="009E5838">
        <w:rPr>
          <w:sz w:val="26"/>
          <w:szCs w:val="26"/>
          <w:lang w:val="lt-LT"/>
        </w:rPr>
        <w:t>107 SAS</w:t>
      </w:r>
      <w:r w:rsidR="00D77E35" w:rsidRPr="009E5838">
        <w:rPr>
          <w:sz w:val="26"/>
          <w:szCs w:val="26"/>
          <w:lang w:val="lt-LT"/>
        </w:rPr>
        <w:t xml:space="preserve">, </w:t>
      </w:r>
      <w:r w:rsidR="00EF4575" w:rsidRPr="009E5838">
        <w:rPr>
          <w:sz w:val="26"/>
          <w:szCs w:val="26"/>
          <w:lang w:val="lt-LT"/>
        </w:rPr>
        <w:t>2006)</w:t>
      </w:r>
      <w:r w:rsidR="00262F98" w:rsidRPr="009E5838">
        <w:rPr>
          <w:sz w:val="26"/>
          <w:szCs w:val="26"/>
          <w:lang w:val="lt-LT"/>
        </w:rPr>
        <w:t>. A. D. Šeremet (1995)</w:t>
      </w:r>
      <w:r w:rsidR="00D77E35" w:rsidRPr="009E5838">
        <w:rPr>
          <w:sz w:val="26"/>
          <w:szCs w:val="26"/>
          <w:lang w:val="lt-LT"/>
        </w:rPr>
        <w:t xml:space="preserve"> bei</w:t>
      </w:r>
      <w:r w:rsidR="00262F98" w:rsidRPr="009E5838">
        <w:rPr>
          <w:sz w:val="26"/>
          <w:szCs w:val="26"/>
          <w:lang w:val="lt-LT"/>
        </w:rPr>
        <w:t xml:space="preserve"> </w:t>
      </w:r>
      <w:r w:rsidR="00EF4575" w:rsidRPr="009E5838">
        <w:rPr>
          <w:sz w:val="26"/>
          <w:szCs w:val="26"/>
          <w:lang w:val="lt-LT"/>
        </w:rPr>
        <w:t>G. Lynn</w:t>
      </w:r>
      <w:r w:rsidR="008C4271" w:rsidRPr="009E5838">
        <w:rPr>
          <w:sz w:val="26"/>
          <w:szCs w:val="26"/>
          <w:lang w:val="lt-LT"/>
        </w:rPr>
        <w:t xml:space="preserve"> (2005) pateikiamoje audito rizikos sampratoje išryškintas dvejopas </w:t>
      </w:r>
      <w:r w:rsidR="00262F98" w:rsidRPr="009E5838">
        <w:rPr>
          <w:sz w:val="26"/>
          <w:szCs w:val="26"/>
          <w:lang w:val="lt-LT"/>
        </w:rPr>
        <w:t>audito</w:t>
      </w:r>
      <w:r w:rsidR="008C4271" w:rsidRPr="009E5838">
        <w:rPr>
          <w:sz w:val="26"/>
          <w:szCs w:val="26"/>
          <w:lang w:val="lt-LT"/>
        </w:rPr>
        <w:t xml:space="preserve"> rizikos pobūdis, t. y. rizika kylanti iš nerealių lūkesčių dėl to, ką auditas apima, arba dėl to, ką auditorius gali tikėtis aptikti.</w:t>
      </w:r>
      <w:r w:rsidR="003523A7" w:rsidRPr="009E5838">
        <w:rPr>
          <w:sz w:val="26"/>
          <w:szCs w:val="26"/>
          <w:lang w:val="lt-LT"/>
        </w:rPr>
        <w:t xml:space="preserve"> </w:t>
      </w:r>
      <w:r w:rsidR="00E12F43" w:rsidRPr="009E5838">
        <w:rPr>
          <w:sz w:val="26"/>
          <w:szCs w:val="26"/>
          <w:lang w:val="lt-LT"/>
        </w:rPr>
        <w:t>Todėl auditorius apie įmonės finansinė</w:t>
      </w:r>
      <w:r w:rsidR="00300052" w:rsidRPr="009E5838">
        <w:rPr>
          <w:sz w:val="26"/>
          <w:szCs w:val="26"/>
          <w:lang w:val="lt-LT"/>
        </w:rPr>
        <w:t>s</w:t>
      </w:r>
      <w:r w:rsidR="00E12F43" w:rsidRPr="009E5838">
        <w:rPr>
          <w:sz w:val="26"/>
          <w:szCs w:val="26"/>
          <w:lang w:val="lt-LT"/>
        </w:rPr>
        <w:t>e at</w:t>
      </w:r>
      <w:r w:rsidR="00300052" w:rsidRPr="009E5838">
        <w:rPr>
          <w:sz w:val="26"/>
          <w:szCs w:val="26"/>
          <w:lang w:val="lt-LT"/>
        </w:rPr>
        <w:t>a</w:t>
      </w:r>
      <w:r w:rsidR="00E12F43" w:rsidRPr="009E5838">
        <w:rPr>
          <w:sz w:val="26"/>
          <w:szCs w:val="26"/>
          <w:lang w:val="lt-LT"/>
        </w:rPr>
        <w:t>skaito</w:t>
      </w:r>
      <w:r w:rsidR="00300052" w:rsidRPr="009E5838">
        <w:rPr>
          <w:sz w:val="26"/>
          <w:szCs w:val="26"/>
          <w:lang w:val="lt-LT"/>
        </w:rPr>
        <w:t>s</w:t>
      </w:r>
      <w:r w:rsidR="00E12F43" w:rsidRPr="009E5838">
        <w:rPr>
          <w:sz w:val="26"/>
          <w:szCs w:val="26"/>
          <w:lang w:val="lt-LT"/>
        </w:rPr>
        <w:t xml:space="preserve">e (ne)egzistuojančius reikšmingus iškraipymus gali pateikti netinkamą nuomonę tiek dėl jo paties kaltės, tiek dėl nuo jo nepriklausančių aplinkybių. </w:t>
      </w:r>
    </w:p>
    <w:p w:rsidR="00766E27" w:rsidRPr="009E5838" w:rsidRDefault="00AC6C7F" w:rsidP="00A63A39">
      <w:pPr>
        <w:spacing w:line="360" w:lineRule="auto"/>
        <w:ind w:firstLine="720"/>
        <w:jc w:val="both"/>
        <w:rPr>
          <w:sz w:val="26"/>
          <w:szCs w:val="26"/>
          <w:lang w:val="lt-LT"/>
        </w:rPr>
      </w:pPr>
      <w:r w:rsidRPr="009E5838">
        <w:rPr>
          <w:sz w:val="26"/>
          <w:szCs w:val="26"/>
          <w:lang w:val="lt-LT"/>
        </w:rPr>
        <w:t xml:space="preserve">Atkreiptinas dėmesys, kad </w:t>
      </w:r>
      <w:r w:rsidR="008B0A2F" w:rsidRPr="009E5838">
        <w:rPr>
          <w:sz w:val="26"/>
          <w:szCs w:val="26"/>
          <w:lang w:val="lt-LT"/>
        </w:rPr>
        <w:t>audito standartuose (200 TSA, 2006; 1 NAS, 2006; 8 RFAVS, 2005; 47</w:t>
      </w:r>
      <w:r w:rsidR="005F3AA1" w:rsidRPr="009E5838">
        <w:rPr>
          <w:sz w:val="26"/>
          <w:szCs w:val="26"/>
          <w:lang w:val="lt-LT"/>
        </w:rPr>
        <w:t xml:space="preserve"> SAS</w:t>
      </w:r>
      <w:r w:rsidR="008B0A2F" w:rsidRPr="009E5838">
        <w:rPr>
          <w:sz w:val="26"/>
          <w:szCs w:val="26"/>
          <w:lang w:val="lt-LT"/>
        </w:rPr>
        <w:t xml:space="preserve">, 2006; 107 SAS, 2006) ir </w:t>
      </w:r>
      <w:r w:rsidRPr="009E5838">
        <w:rPr>
          <w:sz w:val="26"/>
          <w:szCs w:val="26"/>
          <w:lang w:val="lt-LT"/>
        </w:rPr>
        <w:t>mokslo darbuose (Mackevičius</w:t>
      </w:r>
      <w:r w:rsidR="005F3AA1" w:rsidRPr="009E5838">
        <w:rPr>
          <w:sz w:val="26"/>
          <w:szCs w:val="26"/>
          <w:lang w:val="lt-LT"/>
        </w:rPr>
        <w:t>,</w:t>
      </w:r>
      <w:r w:rsidRPr="009E5838">
        <w:rPr>
          <w:sz w:val="26"/>
          <w:szCs w:val="26"/>
          <w:lang w:val="lt-LT"/>
        </w:rPr>
        <w:t xml:space="preserve"> 1999</w:t>
      </w:r>
      <w:r w:rsidR="005F3AA1" w:rsidRPr="009E5838">
        <w:rPr>
          <w:sz w:val="26"/>
          <w:szCs w:val="26"/>
          <w:lang w:val="lt-LT"/>
        </w:rPr>
        <w:t>;</w:t>
      </w:r>
      <w:r w:rsidRPr="009E5838">
        <w:rPr>
          <w:sz w:val="26"/>
          <w:szCs w:val="26"/>
          <w:lang w:val="lt-LT"/>
        </w:rPr>
        <w:t xml:space="preserve"> </w:t>
      </w:r>
      <w:r w:rsidR="008B0A2F" w:rsidRPr="009E5838">
        <w:rPr>
          <w:sz w:val="26"/>
          <w:szCs w:val="26"/>
          <w:lang w:val="lt-LT"/>
        </w:rPr>
        <w:t>Lakis, 2007; B</w:t>
      </w:r>
      <w:r w:rsidR="00862190" w:rsidRPr="009E5838">
        <w:rPr>
          <w:sz w:val="26"/>
          <w:szCs w:val="26"/>
          <w:lang w:val="lt-LT"/>
        </w:rPr>
        <w:t>y</w:t>
      </w:r>
      <w:r w:rsidR="008B0A2F" w:rsidRPr="009E5838">
        <w:rPr>
          <w:sz w:val="26"/>
          <w:szCs w:val="26"/>
          <w:lang w:val="lt-LT"/>
        </w:rPr>
        <w:t xml:space="preserve">čkova, 1998; Holmes, 1995; Kneckel, 2001) pateiktas audito rizikos apibrėžimas </w:t>
      </w:r>
      <w:r w:rsidR="008B0A2F" w:rsidRPr="009E5838">
        <w:rPr>
          <w:i/>
          <w:sz w:val="26"/>
          <w:szCs w:val="26"/>
          <w:lang w:val="lt-LT"/>
        </w:rPr>
        <w:t>neapima rizikos, kad auditorius gali klaidingai pareikšti nuomonę, jog finansinės ataskaitos yra reikšmingai iškraipytos.</w:t>
      </w:r>
      <w:r w:rsidR="008B0A2F" w:rsidRPr="009E5838">
        <w:rPr>
          <w:sz w:val="26"/>
          <w:szCs w:val="26"/>
          <w:lang w:val="lt-LT"/>
        </w:rPr>
        <w:t xml:space="preserve"> </w:t>
      </w:r>
      <w:r w:rsidR="006A32BE" w:rsidRPr="009E5838">
        <w:rPr>
          <w:sz w:val="26"/>
          <w:szCs w:val="26"/>
          <w:lang w:val="lt-LT"/>
        </w:rPr>
        <w:t xml:space="preserve">Be to, </w:t>
      </w:r>
      <w:r w:rsidR="009B6941" w:rsidRPr="009E5838">
        <w:rPr>
          <w:sz w:val="26"/>
          <w:szCs w:val="26"/>
          <w:lang w:val="lt-LT"/>
        </w:rPr>
        <w:t>H. Joh</w:t>
      </w:r>
      <w:r w:rsidR="002F1385" w:rsidRPr="009E5838">
        <w:rPr>
          <w:sz w:val="26"/>
          <w:szCs w:val="26"/>
          <w:lang w:val="lt-LT"/>
        </w:rPr>
        <w:t xml:space="preserve">nson (1991), </w:t>
      </w:r>
      <w:r w:rsidR="00D87A01" w:rsidRPr="009E5838">
        <w:rPr>
          <w:sz w:val="26"/>
          <w:szCs w:val="26"/>
          <w:lang w:val="lt-LT"/>
        </w:rPr>
        <w:t>išanalizavęs 47-</w:t>
      </w:r>
      <w:r w:rsidR="00454BA4" w:rsidRPr="009E5838">
        <w:rPr>
          <w:sz w:val="26"/>
          <w:szCs w:val="26"/>
          <w:lang w:val="lt-LT"/>
        </w:rPr>
        <w:t xml:space="preserve">ąjį SAS teigia, kad </w:t>
      </w:r>
      <w:r w:rsidR="003A0BBB" w:rsidRPr="009E5838">
        <w:rPr>
          <w:sz w:val="26"/>
          <w:szCs w:val="26"/>
          <w:lang w:val="lt-LT"/>
        </w:rPr>
        <w:t>jame</w:t>
      </w:r>
      <w:r w:rsidR="009B6941" w:rsidRPr="009E5838">
        <w:rPr>
          <w:sz w:val="26"/>
          <w:szCs w:val="26"/>
          <w:lang w:val="lt-LT"/>
        </w:rPr>
        <w:t xml:space="preserve"> </w:t>
      </w:r>
      <w:r w:rsidR="003A0BBB" w:rsidRPr="009E5838">
        <w:rPr>
          <w:sz w:val="26"/>
          <w:szCs w:val="26"/>
          <w:lang w:val="lt-LT"/>
        </w:rPr>
        <w:t>audito rizik</w:t>
      </w:r>
      <w:r w:rsidR="009E4036" w:rsidRPr="009E5838">
        <w:rPr>
          <w:sz w:val="26"/>
          <w:szCs w:val="26"/>
          <w:lang w:val="lt-LT"/>
        </w:rPr>
        <w:t>os apibrėžimas yra nepilnas</w:t>
      </w:r>
      <w:r w:rsidR="009B6941" w:rsidRPr="009E5838">
        <w:rPr>
          <w:sz w:val="26"/>
          <w:szCs w:val="26"/>
          <w:lang w:val="lt-LT"/>
        </w:rPr>
        <w:t>, nes jame: 1) neapibrėžta tokia rizika, ka</w:t>
      </w:r>
      <w:r w:rsidR="0059486C" w:rsidRPr="009E5838">
        <w:rPr>
          <w:sz w:val="26"/>
          <w:szCs w:val="26"/>
          <w:lang w:val="lt-LT"/>
        </w:rPr>
        <w:t>d</w:t>
      </w:r>
      <w:r w:rsidR="009B6941" w:rsidRPr="009E5838">
        <w:rPr>
          <w:sz w:val="26"/>
          <w:szCs w:val="26"/>
          <w:lang w:val="lt-LT"/>
        </w:rPr>
        <w:t xml:space="preserve"> auditorius gali pateikti klaidingą išvadą, nors finansinė</w:t>
      </w:r>
      <w:r w:rsidR="00F163DC" w:rsidRPr="009E5838">
        <w:rPr>
          <w:sz w:val="26"/>
          <w:szCs w:val="26"/>
          <w:lang w:val="lt-LT"/>
        </w:rPr>
        <w:t>s</w:t>
      </w:r>
      <w:r w:rsidR="009B6941" w:rsidRPr="009E5838">
        <w:rPr>
          <w:sz w:val="26"/>
          <w:szCs w:val="26"/>
          <w:lang w:val="lt-LT"/>
        </w:rPr>
        <w:t xml:space="preserve"> at</w:t>
      </w:r>
      <w:r w:rsidR="00F163DC" w:rsidRPr="009E5838">
        <w:rPr>
          <w:sz w:val="26"/>
          <w:szCs w:val="26"/>
          <w:lang w:val="lt-LT"/>
        </w:rPr>
        <w:t>a</w:t>
      </w:r>
      <w:r w:rsidR="009B6941" w:rsidRPr="009E5838">
        <w:rPr>
          <w:sz w:val="26"/>
          <w:szCs w:val="26"/>
          <w:lang w:val="lt-LT"/>
        </w:rPr>
        <w:t>skaito</w:t>
      </w:r>
      <w:r w:rsidR="00F163DC" w:rsidRPr="009E5838">
        <w:rPr>
          <w:sz w:val="26"/>
          <w:szCs w:val="26"/>
          <w:lang w:val="lt-LT"/>
        </w:rPr>
        <w:t>s</w:t>
      </w:r>
      <w:r w:rsidR="009B6941" w:rsidRPr="009E5838">
        <w:rPr>
          <w:sz w:val="26"/>
          <w:szCs w:val="26"/>
          <w:lang w:val="lt-LT"/>
        </w:rPr>
        <w:t xml:space="preserve"> yra teising</w:t>
      </w:r>
      <w:r w:rsidR="00F163DC" w:rsidRPr="009E5838">
        <w:rPr>
          <w:sz w:val="26"/>
          <w:szCs w:val="26"/>
          <w:lang w:val="lt-LT"/>
        </w:rPr>
        <w:t>os</w:t>
      </w:r>
      <w:r w:rsidR="009B6941" w:rsidRPr="009E5838">
        <w:rPr>
          <w:sz w:val="26"/>
          <w:szCs w:val="26"/>
          <w:lang w:val="lt-LT"/>
        </w:rPr>
        <w:t xml:space="preserve">, ir kada įrodymai rodo, kad </w:t>
      </w:r>
      <w:r w:rsidR="0059486C" w:rsidRPr="009E5838">
        <w:rPr>
          <w:sz w:val="26"/>
          <w:szCs w:val="26"/>
          <w:lang w:val="lt-LT"/>
        </w:rPr>
        <w:t>išvadą</w:t>
      </w:r>
      <w:r w:rsidR="009B6941" w:rsidRPr="009E5838">
        <w:rPr>
          <w:sz w:val="26"/>
          <w:szCs w:val="26"/>
          <w:lang w:val="lt-LT"/>
        </w:rPr>
        <w:t xml:space="preserve"> reiktų pakeisti, audito procedūros turėtų būti praplėstos, tačiau auditorius nutaria nekeisti savo nuomonės; 2)</w:t>
      </w:r>
      <w:r w:rsidR="00041860">
        <w:rPr>
          <w:sz w:val="26"/>
          <w:szCs w:val="26"/>
          <w:lang w:val="lt-LT"/>
        </w:rPr>
        <w:t> </w:t>
      </w:r>
      <w:r w:rsidR="009B6941" w:rsidRPr="009E5838">
        <w:rPr>
          <w:sz w:val="26"/>
          <w:szCs w:val="26"/>
          <w:lang w:val="lt-LT"/>
        </w:rPr>
        <w:t>neatskleidžiama rizika, kuri nesusijusi su iškraipymų išsiaiškinimu auditoriui par</w:t>
      </w:r>
      <w:r w:rsidR="00D87A01" w:rsidRPr="009E5838">
        <w:rPr>
          <w:sz w:val="26"/>
          <w:szCs w:val="26"/>
          <w:lang w:val="lt-LT"/>
        </w:rPr>
        <w:t xml:space="preserve">eiškus neteisingą </w:t>
      </w:r>
      <w:r w:rsidR="007B614D" w:rsidRPr="009E5838">
        <w:rPr>
          <w:sz w:val="26"/>
          <w:szCs w:val="26"/>
          <w:lang w:val="lt-LT"/>
        </w:rPr>
        <w:t>nuomonę</w:t>
      </w:r>
      <w:r w:rsidR="009B6941" w:rsidRPr="009E5838">
        <w:rPr>
          <w:sz w:val="26"/>
          <w:szCs w:val="26"/>
          <w:lang w:val="lt-LT"/>
        </w:rPr>
        <w:t xml:space="preserve">. </w:t>
      </w:r>
      <w:r w:rsidR="002F1385" w:rsidRPr="009E5838">
        <w:rPr>
          <w:sz w:val="26"/>
          <w:szCs w:val="26"/>
          <w:lang w:val="lt-LT"/>
        </w:rPr>
        <w:t>D</w:t>
      </w:r>
      <w:r w:rsidR="00C71135" w:rsidRPr="009E5838">
        <w:rPr>
          <w:sz w:val="26"/>
          <w:szCs w:val="26"/>
          <w:lang w:val="lt-LT"/>
        </w:rPr>
        <w:t xml:space="preserve">arbo </w:t>
      </w:r>
      <w:r w:rsidR="004D7618" w:rsidRPr="009E5838">
        <w:rPr>
          <w:sz w:val="26"/>
          <w:szCs w:val="26"/>
          <w:lang w:val="lt-LT"/>
        </w:rPr>
        <w:t xml:space="preserve">autorės nuomone, </w:t>
      </w:r>
      <w:r w:rsidR="002F1385" w:rsidRPr="009E5838">
        <w:rPr>
          <w:sz w:val="26"/>
          <w:szCs w:val="26"/>
          <w:lang w:val="lt-LT"/>
        </w:rPr>
        <w:t>minėti</w:t>
      </w:r>
      <w:r w:rsidR="00766E27" w:rsidRPr="009E5838">
        <w:rPr>
          <w:sz w:val="26"/>
          <w:szCs w:val="26"/>
          <w:lang w:val="lt-LT"/>
        </w:rPr>
        <w:t xml:space="preserve"> </w:t>
      </w:r>
      <w:r w:rsidR="004D7618" w:rsidRPr="009E5838">
        <w:rPr>
          <w:sz w:val="26"/>
          <w:szCs w:val="26"/>
          <w:lang w:val="lt-LT"/>
        </w:rPr>
        <w:t>atsiribojima</w:t>
      </w:r>
      <w:r w:rsidR="002F1385" w:rsidRPr="009E5838">
        <w:rPr>
          <w:sz w:val="26"/>
          <w:szCs w:val="26"/>
          <w:lang w:val="lt-LT"/>
        </w:rPr>
        <w:t>i</w:t>
      </w:r>
      <w:r w:rsidR="004D7618" w:rsidRPr="009E5838">
        <w:rPr>
          <w:sz w:val="26"/>
          <w:szCs w:val="26"/>
          <w:lang w:val="lt-LT"/>
        </w:rPr>
        <w:t xml:space="preserve"> nėra tinkam</w:t>
      </w:r>
      <w:r w:rsidR="002F1385" w:rsidRPr="009E5838">
        <w:rPr>
          <w:sz w:val="26"/>
          <w:szCs w:val="26"/>
          <w:lang w:val="lt-LT"/>
        </w:rPr>
        <w:t>i</w:t>
      </w:r>
      <w:r w:rsidR="004D7618" w:rsidRPr="009E5838">
        <w:rPr>
          <w:sz w:val="26"/>
          <w:szCs w:val="26"/>
          <w:lang w:val="lt-LT"/>
        </w:rPr>
        <w:t xml:space="preserve"> ir </w:t>
      </w:r>
      <w:r w:rsidR="00B85EFE" w:rsidRPr="009E5838">
        <w:rPr>
          <w:sz w:val="26"/>
          <w:szCs w:val="26"/>
          <w:lang w:val="lt-LT"/>
        </w:rPr>
        <w:t xml:space="preserve">turėtų būti taikomas </w:t>
      </w:r>
      <w:r w:rsidR="004D7618" w:rsidRPr="009E5838">
        <w:rPr>
          <w:sz w:val="26"/>
          <w:szCs w:val="26"/>
          <w:lang w:val="lt-LT"/>
        </w:rPr>
        <w:t>platesn</w:t>
      </w:r>
      <w:r w:rsidR="00766E27" w:rsidRPr="009E5838">
        <w:rPr>
          <w:sz w:val="26"/>
          <w:szCs w:val="26"/>
          <w:lang w:val="lt-LT"/>
        </w:rPr>
        <w:t xml:space="preserve">is požiūris į </w:t>
      </w:r>
      <w:r w:rsidR="004D7618" w:rsidRPr="009E5838">
        <w:rPr>
          <w:sz w:val="26"/>
          <w:szCs w:val="26"/>
          <w:lang w:val="lt-LT"/>
        </w:rPr>
        <w:t>audito rizik</w:t>
      </w:r>
      <w:r w:rsidR="00766E27" w:rsidRPr="009E5838">
        <w:rPr>
          <w:sz w:val="26"/>
          <w:szCs w:val="26"/>
          <w:lang w:val="lt-LT"/>
        </w:rPr>
        <w:t>ą</w:t>
      </w:r>
      <w:r w:rsidR="004D7618" w:rsidRPr="009E5838">
        <w:rPr>
          <w:sz w:val="26"/>
          <w:szCs w:val="26"/>
          <w:lang w:val="lt-LT"/>
        </w:rPr>
        <w:t xml:space="preserve">. </w:t>
      </w:r>
      <w:r w:rsidR="00766E27" w:rsidRPr="009E5838">
        <w:rPr>
          <w:sz w:val="26"/>
          <w:szCs w:val="26"/>
          <w:lang w:val="lt-LT"/>
        </w:rPr>
        <w:t>Platesnio požiūrio šalininkai (</w:t>
      </w:r>
      <w:r w:rsidR="00562C73" w:rsidRPr="009E5838">
        <w:rPr>
          <w:sz w:val="26"/>
          <w:szCs w:val="26"/>
          <w:lang w:val="lt-LT"/>
        </w:rPr>
        <w:t xml:space="preserve">Kabašinskas, Toliatienė, 1997; </w:t>
      </w:r>
      <w:r w:rsidR="00766E27" w:rsidRPr="009E5838">
        <w:rPr>
          <w:sz w:val="26"/>
          <w:szCs w:val="26"/>
          <w:lang w:val="lt-LT"/>
        </w:rPr>
        <w:t>Mackevičius, Pranckevičiūtė, 2004</w:t>
      </w:r>
      <w:r w:rsidRPr="009E5838">
        <w:rPr>
          <w:sz w:val="26"/>
          <w:szCs w:val="26"/>
          <w:lang w:val="lt-LT"/>
        </w:rPr>
        <w:t xml:space="preserve">; </w:t>
      </w:r>
      <w:r w:rsidR="00F91C2D" w:rsidRPr="009E5838">
        <w:rPr>
          <w:sz w:val="26"/>
          <w:szCs w:val="26"/>
          <w:lang w:val="lt-LT"/>
        </w:rPr>
        <w:t xml:space="preserve">Rupeikienė, 2005; </w:t>
      </w:r>
      <w:r w:rsidRPr="009E5838">
        <w:rPr>
          <w:sz w:val="26"/>
          <w:szCs w:val="26"/>
          <w:lang w:val="lt-LT"/>
        </w:rPr>
        <w:t>Robertson, 1990; Skobara, 1998</w:t>
      </w:r>
      <w:r w:rsidR="00766E27" w:rsidRPr="009E5838">
        <w:rPr>
          <w:sz w:val="26"/>
          <w:szCs w:val="26"/>
          <w:lang w:val="lt-LT"/>
        </w:rPr>
        <w:t>)</w:t>
      </w:r>
      <w:r w:rsidR="00562C73" w:rsidRPr="009E5838">
        <w:rPr>
          <w:sz w:val="26"/>
          <w:szCs w:val="26"/>
          <w:lang w:val="lt-LT"/>
        </w:rPr>
        <w:t xml:space="preserve"> apibrėždami </w:t>
      </w:r>
      <w:r w:rsidR="00766E27" w:rsidRPr="009E5838">
        <w:rPr>
          <w:sz w:val="26"/>
          <w:szCs w:val="26"/>
          <w:lang w:val="lt-LT"/>
        </w:rPr>
        <w:t xml:space="preserve">audito </w:t>
      </w:r>
      <w:r w:rsidR="00E450F0" w:rsidRPr="009E5838">
        <w:rPr>
          <w:sz w:val="26"/>
          <w:szCs w:val="26"/>
          <w:lang w:val="lt-LT"/>
        </w:rPr>
        <w:t xml:space="preserve">riziką akcentuoja neteisingos (nepagrįstos) auditoriaus nuomonės pareiškimą, kuris galimas dviem </w:t>
      </w:r>
      <w:r w:rsidR="004D7618" w:rsidRPr="009E5838">
        <w:rPr>
          <w:sz w:val="26"/>
          <w:szCs w:val="26"/>
          <w:lang w:val="lt-LT"/>
        </w:rPr>
        <w:t>atvej</w:t>
      </w:r>
      <w:r w:rsidR="00E450F0" w:rsidRPr="009E5838">
        <w:rPr>
          <w:sz w:val="26"/>
          <w:szCs w:val="26"/>
          <w:lang w:val="lt-LT"/>
        </w:rPr>
        <w:t>ais</w:t>
      </w:r>
      <w:r w:rsidR="00766E27" w:rsidRPr="009E5838">
        <w:rPr>
          <w:sz w:val="26"/>
          <w:szCs w:val="26"/>
          <w:lang w:val="lt-LT"/>
        </w:rPr>
        <w:t xml:space="preserve">. </w:t>
      </w:r>
      <w:r w:rsidR="004D7618" w:rsidRPr="009E5838">
        <w:rPr>
          <w:sz w:val="26"/>
          <w:szCs w:val="26"/>
          <w:lang w:val="lt-LT"/>
        </w:rPr>
        <w:t xml:space="preserve">Pirma, auditorius gali pareikšti besąlyginę nuomonę, o finansinėse ataskaitose gali </w:t>
      </w:r>
      <w:r w:rsidR="00B85EFE">
        <w:rPr>
          <w:sz w:val="26"/>
          <w:szCs w:val="26"/>
          <w:lang w:val="lt-LT"/>
        </w:rPr>
        <w:t>egzistuoti</w:t>
      </w:r>
      <w:r w:rsidR="004D7618" w:rsidRPr="009E5838">
        <w:rPr>
          <w:sz w:val="26"/>
          <w:szCs w:val="26"/>
          <w:lang w:val="lt-LT"/>
        </w:rPr>
        <w:t xml:space="preserve"> reikšmingi iškraipymai. Antra, galima situacija, kai finansinėse ataskaitose reikšmingų iškraipymų nėra, tačiau auditorius modifikuoja auditoriaus išvadą.</w:t>
      </w:r>
      <w:r w:rsidR="00A63A39" w:rsidRPr="009E5838">
        <w:rPr>
          <w:sz w:val="26"/>
          <w:szCs w:val="26"/>
          <w:lang w:val="lt-LT"/>
        </w:rPr>
        <w:t xml:space="preserve"> </w:t>
      </w:r>
    </w:p>
    <w:p w:rsidR="009463DA" w:rsidRPr="008D2075" w:rsidRDefault="009B6941" w:rsidP="009463DA">
      <w:pPr>
        <w:spacing w:line="360" w:lineRule="auto"/>
        <w:ind w:firstLine="720"/>
        <w:jc w:val="both"/>
        <w:rPr>
          <w:sz w:val="26"/>
          <w:szCs w:val="26"/>
          <w:lang w:val="lt-LT"/>
        </w:rPr>
      </w:pPr>
      <w:r w:rsidRPr="009E5838">
        <w:rPr>
          <w:sz w:val="26"/>
          <w:szCs w:val="26"/>
          <w:lang w:val="lt-LT"/>
        </w:rPr>
        <w:lastRenderedPageBreak/>
        <w:t>Apibendrinant galima daryti išvadą, kad daugumos autorių (</w:t>
      </w:r>
      <w:r w:rsidR="005F3AA1" w:rsidRPr="009E5838">
        <w:rPr>
          <w:sz w:val="26"/>
          <w:szCs w:val="26"/>
          <w:lang w:val="lt-LT"/>
        </w:rPr>
        <w:t>Mackevičius, 1999; Lakis, 2007;</w:t>
      </w:r>
      <w:r w:rsidRPr="009E5838">
        <w:rPr>
          <w:sz w:val="26"/>
          <w:szCs w:val="26"/>
          <w:lang w:val="lt-LT"/>
        </w:rPr>
        <w:t xml:space="preserve"> B</w:t>
      </w:r>
      <w:r w:rsidR="00862190" w:rsidRPr="009E5838">
        <w:rPr>
          <w:sz w:val="26"/>
          <w:szCs w:val="26"/>
          <w:lang w:val="lt-LT"/>
        </w:rPr>
        <w:t>y</w:t>
      </w:r>
      <w:r w:rsidRPr="009E5838">
        <w:rPr>
          <w:sz w:val="26"/>
          <w:szCs w:val="26"/>
          <w:lang w:val="lt-LT"/>
        </w:rPr>
        <w:t>čkova,</w:t>
      </w:r>
      <w:r w:rsidR="00B05BDC" w:rsidRPr="009E5838">
        <w:rPr>
          <w:sz w:val="26"/>
          <w:szCs w:val="26"/>
          <w:lang w:val="lt-LT"/>
        </w:rPr>
        <w:t xml:space="preserve"> 1998; </w:t>
      </w:r>
      <w:r w:rsidR="00562C73" w:rsidRPr="009E5838">
        <w:rPr>
          <w:sz w:val="26"/>
          <w:szCs w:val="26"/>
          <w:lang w:val="lt-LT"/>
        </w:rPr>
        <w:t>Holmes</w:t>
      </w:r>
      <w:r w:rsidR="00B05BDC" w:rsidRPr="009E5838">
        <w:rPr>
          <w:sz w:val="26"/>
          <w:szCs w:val="26"/>
          <w:lang w:val="lt-LT"/>
        </w:rPr>
        <w:t>, 199</w:t>
      </w:r>
      <w:r w:rsidR="00DB1ED2" w:rsidRPr="009E5838">
        <w:rPr>
          <w:sz w:val="26"/>
          <w:szCs w:val="26"/>
          <w:lang w:val="lt-LT"/>
        </w:rPr>
        <w:t>5</w:t>
      </w:r>
      <w:r w:rsidR="008F0468" w:rsidRPr="009E5838">
        <w:rPr>
          <w:sz w:val="26"/>
          <w:szCs w:val="26"/>
          <w:lang w:val="lt-LT"/>
        </w:rPr>
        <w:t>; Arens, Loebbecke</w:t>
      </w:r>
      <w:r w:rsidR="004A26EA" w:rsidRPr="009E5838">
        <w:rPr>
          <w:sz w:val="26"/>
          <w:szCs w:val="26"/>
          <w:lang w:val="lt-LT"/>
        </w:rPr>
        <w:t xml:space="preserve">, 1997; </w:t>
      </w:r>
      <w:r w:rsidR="008F0468" w:rsidRPr="009E5838">
        <w:rPr>
          <w:sz w:val="26"/>
          <w:szCs w:val="26"/>
          <w:lang w:val="lt-LT"/>
        </w:rPr>
        <w:t>Knec</w:t>
      </w:r>
      <w:r w:rsidR="003B10E6" w:rsidRPr="009E5838">
        <w:rPr>
          <w:sz w:val="26"/>
          <w:szCs w:val="26"/>
          <w:lang w:val="lt-LT"/>
        </w:rPr>
        <w:t>h</w:t>
      </w:r>
      <w:r w:rsidR="008F0468" w:rsidRPr="009E5838">
        <w:rPr>
          <w:sz w:val="26"/>
          <w:szCs w:val="26"/>
          <w:lang w:val="lt-LT"/>
        </w:rPr>
        <w:t>el, 2001</w:t>
      </w:r>
      <w:r w:rsidR="004A26EA" w:rsidRPr="009E5838">
        <w:rPr>
          <w:sz w:val="26"/>
          <w:szCs w:val="26"/>
          <w:lang w:val="lt-LT"/>
        </w:rPr>
        <w:t>)</w:t>
      </w:r>
      <w:r w:rsidR="00B05BDC" w:rsidRPr="009E5838">
        <w:rPr>
          <w:sz w:val="26"/>
          <w:szCs w:val="26"/>
          <w:lang w:val="lt-LT"/>
        </w:rPr>
        <w:t xml:space="preserve">, taip pat </w:t>
      </w:r>
      <w:r w:rsidR="00461A8F" w:rsidRPr="009E5838">
        <w:rPr>
          <w:sz w:val="26"/>
          <w:szCs w:val="26"/>
          <w:lang w:val="lt-LT"/>
        </w:rPr>
        <w:t>audito standartuose (</w:t>
      </w:r>
      <w:r w:rsidR="00B05BDC" w:rsidRPr="009E5838">
        <w:rPr>
          <w:sz w:val="26"/>
          <w:szCs w:val="26"/>
          <w:lang w:val="lt-LT"/>
        </w:rPr>
        <w:t>2</w:t>
      </w:r>
      <w:r w:rsidRPr="009E5838">
        <w:rPr>
          <w:sz w:val="26"/>
          <w:szCs w:val="26"/>
          <w:lang w:val="lt-LT"/>
        </w:rPr>
        <w:t>00 T</w:t>
      </w:r>
      <w:r w:rsidR="00B05BDC" w:rsidRPr="009E5838">
        <w:rPr>
          <w:sz w:val="26"/>
          <w:szCs w:val="26"/>
          <w:lang w:val="lt-LT"/>
        </w:rPr>
        <w:t>SA</w:t>
      </w:r>
      <w:r w:rsidR="00461A8F" w:rsidRPr="009E5838">
        <w:rPr>
          <w:sz w:val="26"/>
          <w:szCs w:val="26"/>
          <w:lang w:val="lt-LT"/>
        </w:rPr>
        <w:t xml:space="preserve">, </w:t>
      </w:r>
      <w:r w:rsidR="00E12F43" w:rsidRPr="009E5838">
        <w:rPr>
          <w:sz w:val="26"/>
          <w:szCs w:val="26"/>
          <w:lang w:val="lt-LT"/>
        </w:rPr>
        <w:t>2006</w:t>
      </w:r>
      <w:r w:rsidR="00461A8F" w:rsidRPr="009E5838">
        <w:rPr>
          <w:sz w:val="26"/>
          <w:szCs w:val="26"/>
          <w:lang w:val="lt-LT"/>
        </w:rPr>
        <w:t xml:space="preserve">; </w:t>
      </w:r>
      <w:r w:rsidR="00AC12B1" w:rsidRPr="009E5838">
        <w:rPr>
          <w:sz w:val="26"/>
          <w:szCs w:val="26"/>
          <w:lang w:val="lt-LT"/>
        </w:rPr>
        <w:t>1 NAS</w:t>
      </w:r>
      <w:r w:rsidR="00461A8F" w:rsidRPr="009E5838">
        <w:rPr>
          <w:sz w:val="26"/>
          <w:szCs w:val="26"/>
          <w:lang w:val="lt-LT"/>
        </w:rPr>
        <w:t xml:space="preserve">, </w:t>
      </w:r>
      <w:r w:rsidR="00AC12B1" w:rsidRPr="009E5838">
        <w:rPr>
          <w:sz w:val="26"/>
          <w:szCs w:val="26"/>
          <w:lang w:val="lt-LT"/>
        </w:rPr>
        <w:t>2006</w:t>
      </w:r>
      <w:r w:rsidR="00461A8F" w:rsidRPr="009E5838">
        <w:rPr>
          <w:sz w:val="26"/>
          <w:szCs w:val="26"/>
          <w:lang w:val="lt-LT"/>
        </w:rPr>
        <w:t>;</w:t>
      </w:r>
      <w:r w:rsidR="00AC12B1" w:rsidRPr="009E5838">
        <w:rPr>
          <w:sz w:val="26"/>
          <w:szCs w:val="26"/>
          <w:lang w:val="lt-LT"/>
        </w:rPr>
        <w:t xml:space="preserve"> 8 RFAVS</w:t>
      </w:r>
      <w:r w:rsidR="00461A8F" w:rsidRPr="009E5838">
        <w:rPr>
          <w:sz w:val="26"/>
          <w:szCs w:val="26"/>
          <w:lang w:val="lt-LT"/>
        </w:rPr>
        <w:t>, 2005; 47 SAS, 2006; 107 SAS, 2006)</w:t>
      </w:r>
      <w:r w:rsidR="00E12F43" w:rsidRPr="009E5838">
        <w:rPr>
          <w:sz w:val="26"/>
          <w:szCs w:val="26"/>
          <w:lang w:val="lt-LT"/>
        </w:rPr>
        <w:t xml:space="preserve"> </w:t>
      </w:r>
      <w:r w:rsidRPr="009E5838">
        <w:rPr>
          <w:sz w:val="26"/>
          <w:szCs w:val="26"/>
          <w:lang w:val="lt-LT"/>
        </w:rPr>
        <w:t>audito rizikos apibrėžimuose audito rizika yra apibūdinta nepilnai</w:t>
      </w:r>
      <w:r w:rsidR="00272077" w:rsidRPr="009E5838">
        <w:rPr>
          <w:sz w:val="26"/>
          <w:szCs w:val="26"/>
          <w:lang w:val="lt-LT"/>
        </w:rPr>
        <w:t xml:space="preserve"> arba ne</w:t>
      </w:r>
      <w:r w:rsidR="00FC25D1" w:rsidRPr="009E5838">
        <w:rPr>
          <w:sz w:val="26"/>
          <w:szCs w:val="26"/>
          <w:lang w:val="lt-LT"/>
        </w:rPr>
        <w:t>pakankamai išsamiai</w:t>
      </w:r>
      <w:r w:rsidR="003E377D" w:rsidRPr="009E5838">
        <w:rPr>
          <w:sz w:val="26"/>
          <w:szCs w:val="26"/>
          <w:lang w:val="lt-LT"/>
        </w:rPr>
        <w:t>:</w:t>
      </w:r>
      <w:r w:rsidR="0085659F" w:rsidRPr="009E5838">
        <w:rPr>
          <w:sz w:val="26"/>
          <w:szCs w:val="26"/>
          <w:lang w:val="lt-LT"/>
        </w:rPr>
        <w:t xml:space="preserve"> juose neakcentuojama dvejopa audito rizikos prigimtis </w:t>
      </w:r>
      <w:r w:rsidR="003E377D" w:rsidRPr="009E5838">
        <w:rPr>
          <w:sz w:val="26"/>
          <w:szCs w:val="26"/>
          <w:lang w:val="lt-LT"/>
        </w:rPr>
        <w:t xml:space="preserve">(dėl auditoriaus kaltės ir dėl nuo jo nepriklausančių aplinkybių) </w:t>
      </w:r>
      <w:r w:rsidR="0085659F" w:rsidRPr="009E5838">
        <w:rPr>
          <w:sz w:val="26"/>
          <w:szCs w:val="26"/>
          <w:lang w:val="lt-LT"/>
        </w:rPr>
        <w:t xml:space="preserve">bei </w:t>
      </w:r>
      <w:r w:rsidR="00BE00CF" w:rsidRPr="009E5838">
        <w:rPr>
          <w:sz w:val="26"/>
          <w:szCs w:val="26"/>
          <w:lang w:val="lt-LT"/>
        </w:rPr>
        <w:t xml:space="preserve">du galimi </w:t>
      </w:r>
      <w:r w:rsidR="003E377D" w:rsidRPr="009E5838">
        <w:rPr>
          <w:sz w:val="26"/>
          <w:szCs w:val="26"/>
          <w:lang w:val="lt-LT"/>
        </w:rPr>
        <w:t xml:space="preserve">netinkamos auditoriaus išvados pareiškimo </w:t>
      </w:r>
      <w:r w:rsidR="00A63A39" w:rsidRPr="009E5838">
        <w:rPr>
          <w:sz w:val="26"/>
          <w:szCs w:val="26"/>
          <w:lang w:val="lt-LT"/>
        </w:rPr>
        <w:t>atvejai</w:t>
      </w:r>
      <w:r w:rsidRPr="009E5838">
        <w:rPr>
          <w:sz w:val="26"/>
          <w:szCs w:val="26"/>
          <w:lang w:val="lt-LT"/>
        </w:rPr>
        <w:t xml:space="preserve">. </w:t>
      </w:r>
      <w:r w:rsidR="009463DA" w:rsidRPr="009E5838">
        <w:rPr>
          <w:sz w:val="26"/>
          <w:szCs w:val="26"/>
          <w:lang w:val="lt-LT"/>
        </w:rPr>
        <w:t>Darbo autorės nuomone, apibrėžiant audito</w:t>
      </w:r>
      <w:r w:rsidR="009463DA" w:rsidRPr="008D2075">
        <w:rPr>
          <w:sz w:val="26"/>
          <w:szCs w:val="26"/>
          <w:lang w:val="lt-LT"/>
        </w:rPr>
        <w:t xml:space="preserve"> riziką būtina </w:t>
      </w:r>
      <w:r w:rsidR="00B85EFE" w:rsidRPr="008D2075">
        <w:rPr>
          <w:sz w:val="26"/>
          <w:szCs w:val="26"/>
          <w:lang w:val="lt-LT"/>
        </w:rPr>
        <w:t xml:space="preserve">taikyti platesnį požiūrį į audito riziką </w:t>
      </w:r>
      <w:r w:rsidR="00825351" w:rsidRPr="008D2075">
        <w:rPr>
          <w:sz w:val="26"/>
          <w:szCs w:val="26"/>
          <w:lang w:val="lt-LT"/>
        </w:rPr>
        <w:t xml:space="preserve">ir </w:t>
      </w:r>
      <w:r w:rsidR="009463DA" w:rsidRPr="008D2075">
        <w:rPr>
          <w:sz w:val="26"/>
          <w:szCs w:val="26"/>
          <w:lang w:val="lt-LT"/>
        </w:rPr>
        <w:t>įvertinti šiuos momentus, t. y.:</w:t>
      </w:r>
    </w:p>
    <w:p w:rsidR="009463DA" w:rsidRPr="009E5838" w:rsidRDefault="009463DA" w:rsidP="009463DA">
      <w:pPr>
        <w:numPr>
          <w:ilvl w:val="0"/>
          <w:numId w:val="1"/>
        </w:numPr>
        <w:spacing w:line="360" w:lineRule="auto"/>
        <w:jc w:val="both"/>
        <w:rPr>
          <w:sz w:val="26"/>
          <w:szCs w:val="26"/>
          <w:lang w:val="lt-LT"/>
        </w:rPr>
      </w:pPr>
      <w:r w:rsidRPr="009E5838">
        <w:rPr>
          <w:sz w:val="26"/>
          <w:szCs w:val="26"/>
          <w:lang w:val="lt-LT"/>
        </w:rPr>
        <w:t xml:space="preserve">rizika, kad </w:t>
      </w:r>
      <w:r w:rsidRPr="009E5838">
        <w:rPr>
          <w:i/>
          <w:sz w:val="26"/>
          <w:szCs w:val="26"/>
          <w:lang w:val="lt-LT"/>
        </w:rPr>
        <w:t>egzistuoja reikšmingi iškraipymai</w:t>
      </w:r>
      <w:r w:rsidRPr="009E5838">
        <w:rPr>
          <w:sz w:val="26"/>
          <w:szCs w:val="26"/>
          <w:lang w:val="lt-LT"/>
        </w:rPr>
        <w:t>;</w:t>
      </w:r>
    </w:p>
    <w:p w:rsidR="009463DA" w:rsidRPr="009E5838" w:rsidRDefault="009463DA" w:rsidP="009463DA">
      <w:pPr>
        <w:numPr>
          <w:ilvl w:val="0"/>
          <w:numId w:val="1"/>
        </w:numPr>
        <w:spacing w:line="360" w:lineRule="auto"/>
        <w:jc w:val="both"/>
        <w:rPr>
          <w:sz w:val="26"/>
          <w:szCs w:val="26"/>
          <w:lang w:val="lt-LT"/>
        </w:rPr>
      </w:pPr>
      <w:r w:rsidRPr="009E5838">
        <w:rPr>
          <w:sz w:val="26"/>
          <w:szCs w:val="26"/>
          <w:lang w:val="lt-LT"/>
        </w:rPr>
        <w:t xml:space="preserve">rizika, kad egzistuojantys </w:t>
      </w:r>
      <w:r w:rsidRPr="009E5838">
        <w:rPr>
          <w:i/>
          <w:sz w:val="26"/>
          <w:szCs w:val="26"/>
          <w:lang w:val="lt-LT"/>
        </w:rPr>
        <w:t>reikšmingi iškraipymai liks nepastebėti</w:t>
      </w:r>
      <w:r w:rsidRPr="009E5838">
        <w:rPr>
          <w:sz w:val="26"/>
          <w:szCs w:val="26"/>
          <w:lang w:val="lt-LT"/>
        </w:rPr>
        <w:t xml:space="preserve"> ir bus pareikšta neteisinga auditoriaus nuomonė;</w:t>
      </w:r>
    </w:p>
    <w:p w:rsidR="009463DA" w:rsidRPr="009E5838" w:rsidRDefault="009463DA" w:rsidP="009463DA">
      <w:pPr>
        <w:numPr>
          <w:ilvl w:val="0"/>
          <w:numId w:val="1"/>
        </w:numPr>
        <w:spacing w:line="360" w:lineRule="auto"/>
        <w:jc w:val="both"/>
        <w:rPr>
          <w:sz w:val="26"/>
          <w:szCs w:val="26"/>
          <w:lang w:val="lt-LT"/>
        </w:rPr>
      </w:pPr>
      <w:r w:rsidRPr="009E5838">
        <w:rPr>
          <w:sz w:val="26"/>
          <w:szCs w:val="26"/>
          <w:lang w:val="lt-LT"/>
        </w:rPr>
        <w:t xml:space="preserve">rizika, kad auditorius </w:t>
      </w:r>
      <w:r w:rsidRPr="009E5838">
        <w:rPr>
          <w:i/>
          <w:sz w:val="26"/>
          <w:szCs w:val="26"/>
          <w:lang w:val="lt-LT"/>
        </w:rPr>
        <w:t>pareikš netinkamą nuomonę</w:t>
      </w:r>
      <w:r w:rsidRPr="009E5838">
        <w:rPr>
          <w:sz w:val="26"/>
          <w:szCs w:val="26"/>
          <w:lang w:val="lt-LT"/>
        </w:rPr>
        <w:t xml:space="preserve"> apie finansines ataskaitas ir joje (ne)esančius reikšmingus iškraipymus.</w:t>
      </w:r>
    </w:p>
    <w:p w:rsidR="00BD32CF" w:rsidRPr="009E5838" w:rsidRDefault="000B41EA" w:rsidP="00013EE4">
      <w:pPr>
        <w:spacing w:line="360" w:lineRule="auto"/>
        <w:ind w:firstLine="720"/>
        <w:jc w:val="both"/>
        <w:rPr>
          <w:sz w:val="26"/>
          <w:szCs w:val="26"/>
          <w:lang w:val="lt-LT"/>
        </w:rPr>
      </w:pPr>
      <w:r w:rsidRPr="009E5838">
        <w:rPr>
          <w:sz w:val="26"/>
          <w:szCs w:val="26"/>
          <w:lang w:val="lt-LT"/>
        </w:rPr>
        <w:t xml:space="preserve">Kadangi </w:t>
      </w:r>
      <w:r w:rsidR="00D90BF2" w:rsidRPr="009E5838">
        <w:rPr>
          <w:sz w:val="26"/>
          <w:szCs w:val="26"/>
          <w:lang w:val="lt-LT"/>
        </w:rPr>
        <w:t xml:space="preserve">pagrindinė </w:t>
      </w:r>
      <w:r w:rsidR="00DA3661" w:rsidRPr="009E5838">
        <w:rPr>
          <w:sz w:val="26"/>
          <w:szCs w:val="26"/>
          <w:lang w:val="lt-LT"/>
        </w:rPr>
        <w:t>audit</w:t>
      </w:r>
      <w:r w:rsidR="00C20F01" w:rsidRPr="009E5838">
        <w:rPr>
          <w:sz w:val="26"/>
          <w:szCs w:val="26"/>
          <w:lang w:val="lt-LT"/>
        </w:rPr>
        <w:t xml:space="preserve">o rizikos </w:t>
      </w:r>
      <w:r w:rsidR="00DA3661" w:rsidRPr="009E5838">
        <w:rPr>
          <w:sz w:val="26"/>
          <w:szCs w:val="26"/>
          <w:lang w:val="lt-LT"/>
        </w:rPr>
        <w:t>pasireiškim</w:t>
      </w:r>
      <w:r w:rsidR="00D90BF2" w:rsidRPr="009E5838">
        <w:rPr>
          <w:sz w:val="26"/>
          <w:szCs w:val="26"/>
          <w:lang w:val="lt-LT"/>
        </w:rPr>
        <w:t xml:space="preserve">o priežastis yra </w:t>
      </w:r>
      <w:r w:rsidR="00C20F01" w:rsidRPr="009E5838">
        <w:rPr>
          <w:sz w:val="26"/>
          <w:szCs w:val="26"/>
          <w:lang w:val="lt-LT"/>
        </w:rPr>
        <w:t>reikšming</w:t>
      </w:r>
      <w:r w:rsidR="00D90BF2" w:rsidRPr="009E5838">
        <w:rPr>
          <w:sz w:val="26"/>
          <w:szCs w:val="26"/>
          <w:lang w:val="lt-LT"/>
        </w:rPr>
        <w:t>as</w:t>
      </w:r>
      <w:r w:rsidR="00C20F01" w:rsidRPr="009E5838">
        <w:rPr>
          <w:sz w:val="26"/>
          <w:szCs w:val="26"/>
          <w:lang w:val="lt-LT"/>
        </w:rPr>
        <w:t xml:space="preserve"> iškraipym</w:t>
      </w:r>
      <w:r w:rsidR="00D90BF2" w:rsidRPr="009E5838">
        <w:rPr>
          <w:sz w:val="26"/>
          <w:szCs w:val="26"/>
          <w:lang w:val="lt-LT"/>
        </w:rPr>
        <w:t>as</w:t>
      </w:r>
      <w:r w:rsidR="0013599E" w:rsidRPr="009E5838">
        <w:rPr>
          <w:sz w:val="26"/>
          <w:szCs w:val="26"/>
          <w:lang w:val="lt-LT"/>
        </w:rPr>
        <w:t xml:space="preserve"> finansinėse ataskaitose</w:t>
      </w:r>
      <w:r w:rsidR="009711AE" w:rsidRPr="009E5838">
        <w:rPr>
          <w:sz w:val="26"/>
          <w:szCs w:val="26"/>
          <w:lang w:val="lt-LT"/>
        </w:rPr>
        <w:t xml:space="preserve">, </w:t>
      </w:r>
      <w:r w:rsidR="009711AE" w:rsidRPr="008D2075">
        <w:rPr>
          <w:sz w:val="26"/>
          <w:szCs w:val="26"/>
          <w:lang w:val="lt-LT"/>
        </w:rPr>
        <w:t xml:space="preserve">todėl </w:t>
      </w:r>
      <w:r w:rsidR="00825351" w:rsidRPr="008D2075">
        <w:rPr>
          <w:sz w:val="26"/>
          <w:szCs w:val="26"/>
          <w:lang w:val="lt-LT"/>
        </w:rPr>
        <w:t>tiksling</w:t>
      </w:r>
      <w:r w:rsidR="00266F7A" w:rsidRPr="008D2075">
        <w:rPr>
          <w:sz w:val="26"/>
          <w:szCs w:val="26"/>
          <w:lang w:val="lt-LT"/>
        </w:rPr>
        <w:t xml:space="preserve">a išskirti svarbiausius </w:t>
      </w:r>
      <w:r w:rsidR="009711AE" w:rsidRPr="008D2075">
        <w:rPr>
          <w:sz w:val="26"/>
          <w:szCs w:val="26"/>
          <w:lang w:val="lt-LT"/>
        </w:rPr>
        <w:t>są</w:t>
      </w:r>
      <w:r w:rsidR="00C130C6" w:rsidRPr="008D2075">
        <w:rPr>
          <w:sz w:val="26"/>
          <w:szCs w:val="26"/>
          <w:lang w:val="lt-LT"/>
        </w:rPr>
        <w:t>vokų</w:t>
      </w:r>
      <w:r w:rsidR="009463DA" w:rsidRPr="008D2075">
        <w:rPr>
          <w:sz w:val="26"/>
          <w:szCs w:val="26"/>
          <w:lang w:val="lt-LT"/>
        </w:rPr>
        <w:t xml:space="preserve"> „iškraipymas“ ir „reikšmingas“</w:t>
      </w:r>
      <w:r w:rsidR="00C130C6" w:rsidRPr="008D2075">
        <w:rPr>
          <w:sz w:val="26"/>
          <w:szCs w:val="26"/>
          <w:lang w:val="lt-LT"/>
        </w:rPr>
        <w:t xml:space="preserve"> </w:t>
      </w:r>
      <w:r w:rsidR="006A32BE" w:rsidRPr="008D2075">
        <w:rPr>
          <w:sz w:val="26"/>
          <w:szCs w:val="26"/>
          <w:lang w:val="lt-LT"/>
        </w:rPr>
        <w:t xml:space="preserve">sampratos </w:t>
      </w:r>
      <w:r w:rsidR="00266F7A" w:rsidRPr="008D2075">
        <w:rPr>
          <w:sz w:val="26"/>
          <w:szCs w:val="26"/>
          <w:lang w:val="lt-LT"/>
        </w:rPr>
        <w:t>as</w:t>
      </w:r>
      <w:r w:rsidR="00266F7A" w:rsidRPr="009E5838">
        <w:rPr>
          <w:sz w:val="26"/>
          <w:szCs w:val="26"/>
          <w:lang w:val="lt-LT"/>
        </w:rPr>
        <w:t>pektus</w:t>
      </w:r>
      <w:r w:rsidR="00063EDC" w:rsidRPr="009E5838">
        <w:rPr>
          <w:sz w:val="26"/>
          <w:szCs w:val="26"/>
          <w:lang w:val="lt-LT"/>
        </w:rPr>
        <w:t xml:space="preserve">. </w:t>
      </w:r>
    </w:p>
    <w:p w:rsidR="009608E3" w:rsidRDefault="00063EDC" w:rsidP="00013EE4">
      <w:pPr>
        <w:spacing w:line="360" w:lineRule="auto"/>
        <w:ind w:firstLine="720"/>
        <w:jc w:val="both"/>
        <w:rPr>
          <w:sz w:val="26"/>
          <w:szCs w:val="26"/>
          <w:lang w:val="lt-LT"/>
        </w:rPr>
      </w:pPr>
      <w:r w:rsidRPr="009E5838">
        <w:rPr>
          <w:sz w:val="26"/>
          <w:szCs w:val="26"/>
          <w:lang w:val="lt-LT"/>
        </w:rPr>
        <w:t>Terminų žodyne prie TSA</w:t>
      </w:r>
      <w:r w:rsidR="00C20F01" w:rsidRPr="009E5838">
        <w:rPr>
          <w:sz w:val="26"/>
          <w:szCs w:val="26"/>
          <w:lang w:val="lt-LT"/>
        </w:rPr>
        <w:t xml:space="preserve"> (2006) nurodoma, kad </w:t>
      </w:r>
      <w:r w:rsidR="00C20F01" w:rsidRPr="009E5838">
        <w:rPr>
          <w:i/>
          <w:sz w:val="26"/>
          <w:szCs w:val="26"/>
          <w:lang w:val="lt-LT"/>
        </w:rPr>
        <w:t xml:space="preserve">iškraipymas </w:t>
      </w:r>
      <w:r w:rsidR="00C20F01" w:rsidRPr="009E5838">
        <w:rPr>
          <w:sz w:val="26"/>
          <w:szCs w:val="26"/>
          <w:lang w:val="lt-LT"/>
        </w:rPr>
        <w:t>finansinė</w:t>
      </w:r>
      <w:r w:rsidR="00F163DC" w:rsidRPr="009E5838">
        <w:rPr>
          <w:sz w:val="26"/>
          <w:szCs w:val="26"/>
          <w:lang w:val="lt-LT"/>
        </w:rPr>
        <w:t>s</w:t>
      </w:r>
      <w:r w:rsidR="00C20F01" w:rsidRPr="009E5838">
        <w:rPr>
          <w:sz w:val="26"/>
          <w:szCs w:val="26"/>
          <w:lang w:val="lt-LT"/>
        </w:rPr>
        <w:t>e at</w:t>
      </w:r>
      <w:r w:rsidR="00F163DC" w:rsidRPr="009E5838">
        <w:rPr>
          <w:sz w:val="26"/>
          <w:szCs w:val="26"/>
          <w:lang w:val="lt-LT"/>
        </w:rPr>
        <w:t>a</w:t>
      </w:r>
      <w:r w:rsidR="00C20F01" w:rsidRPr="009E5838">
        <w:rPr>
          <w:sz w:val="26"/>
          <w:szCs w:val="26"/>
          <w:lang w:val="lt-LT"/>
        </w:rPr>
        <w:t>skaito</w:t>
      </w:r>
      <w:r w:rsidR="00F163DC" w:rsidRPr="009E5838">
        <w:rPr>
          <w:sz w:val="26"/>
          <w:szCs w:val="26"/>
          <w:lang w:val="lt-LT"/>
        </w:rPr>
        <w:t>se</w:t>
      </w:r>
      <w:r w:rsidR="00C20F01" w:rsidRPr="009E5838">
        <w:rPr>
          <w:sz w:val="26"/>
          <w:szCs w:val="26"/>
          <w:lang w:val="lt-LT"/>
        </w:rPr>
        <w:t xml:space="preserve"> atsiranda dėl apgaulės ar suklydimo (klaidos). </w:t>
      </w:r>
      <w:r w:rsidR="002D79D2" w:rsidRPr="009E5838">
        <w:rPr>
          <w:sz w:val="26"/>
          <w:szCs w:val="26"/>
          <w:lang w:val="lt-LT"/>
        </w:rPr>
        <w:t>I</w:t>
      </w:r>
      <w:r w:rsidR="001C2309" w:rsidRPr="009E5838">
        <w:rPr>
          <w:sz w:val="26"/>
          <w:szCs w:val="26"/>
          <w:lang w:val="lt-LT"/>
        </w:rPr>
        <w:t xml:space="preserve">škraipymas siejamas su įmonės vadovų, darbuotojų ar trečiųjų šalių tyčiniais ar netyčiniais veiksmais, dėl kurių </w:t>
      </w:r>
      <w:r w:rsidR="00417251" w:rsidRPr="009E5838">
        <w:rPr>
          <w:sz w:val="26"/>
          <w:szCs w:val="26"/>
          <w:lang w:val="lt-LT"/>
        </w:rPr>
        <w:t>sudarom</w:t>
      </w:r>
      <w:r w:rsidR="00F163DC" w:rsidRPr="009E5838">
        <w:rPr>
          <w:sz w:val="26"/>
          <w:szCs w:val="26"/>
          <w:lang w:val="lt-LT"/>
        </w:rPr>
        <w:t>os</w:t>
      </w:r>
      <w:r w:rsidR="00417251" w:rsidRPr="009E5838">
        <w:rPr>
          <w:sz w:val="26"/>
          <w:szCs w:val="26"/>
          <w:lang w:val="lt-LT"/>
        </w:rPr>
        <w:t xml:space="preserve"> neteising</w:t>
      </w:r>
      <w:r w:rsidR="00F163DC" w:rsidRPr="009E5838">
        <w:rPr>
          <w:sz w:val="26"/>
          <w:szCs w:val="26"/>
          <w:lang w:val="lt-LT"/>
        </w:rPr>
        <w:t>os</w:t>
      </w:r>
      <w:r w:rsidR="00417251" w:rsidRPr="009E5838">
        <w:rPr>
          <w:sz w:val="26"/>
          <w:szCs w:val="26"/>
          <w:lang w:val="lt-LT"/>
        </w:rPr>
        <w:t xml:space="preserve"> finansinė</w:t>
      </w:r>
      <w:r w:rsidR="00F163DC" w:rsidRPr="009E5838">
        <w:rPr>
          <w:sz w:val="26"/>
          <w:szCs w:val="26"/>
          <w:lang w:val="lt-LT"/>
        </w:rPr>
        <w:t>s</w:t>
      </w:r>
      <w:r w:rsidR="00417251" w:rsidRPr="009E5838">
        <w:rPr>
          <w:sz w:val="26"/>
          <w:szCs w:val="26"/>
          <w:lang w:val="lt-LT"/>
        </w:rPr>
        <w:t xml:space="preserve"> at</w:t>
      </w:r>
      <w:r w:rsidR="00472EB1" w:rsidRPr="009E5838">
        <w:rPr>
          <w:sz w:val="26"/>
          <w:szCs w:val="26"/>
          <w:lang w:val="lt-LT"/>
        </w:rPr>
        <w:t>a</w:t>
      </w:r>
      <w:r w:rsidR="00417251" w:rsidRPr="009E5838">
        <w:rPr>
          <w:sz w:val="26"/>
          <w:szCs w:val="26"/>
          <w:lang w:val="lt-LT"/>
        </w:rPr>
        <w:t>skaito</w:t>
      </w:r>
      <w:r w:rsidR="00472EB1" w:rsidRPr="009E5838">
        <w:rPr>
          <w:sz w:val="26"/>
          <w:szCs w:val="26"/>
          <w:lang w:val="lt-LT"/>
        </w:rPr>
        <w:t>s</w:t>
      </w:r>
      <w:r w:rsidR="00417251" w:rsidRPr="009E5838">
        <w:rPr>
          <w:sz w:val="26"/>
          <w:szCs w:val="26"/>
          <w:lang w:val="lt-LT"/>
        </w:rPr>
        <w:t xml:space="preserve"> ir </w:t>
      </w:r>
      <w:r w:rsidR="001C2309" w:rsidRPr="009E5838">
        <w:rPr>
          <w:sz w:val="26"/>
          <w:szCs w:val="26"/>
          <w:lang w:val="lt-LT"/>
        </w:rPr>
        <w:t>klaidin</w:t>
      </w:r>
      <w:r w:rsidR="00CA1354" w:rsidRPr="009E5838">
        <w:rPr>
          <w:sz w:val="26"/>
          <w:szCs w:val="26"/>
          <w:lang w:val="lt-LT"/>
        </w:rPr>
        <w:t>ami</w:t>
      </w:r>
      <w:r w:rsidR="001C2309" w:rsidRPr="009E5838">
        <w:rPr>
          <w:sz w:val="26"/>
          <w:szCs w:val="26"/>
          <w:lang w:val="lt-LT"/>
        </w:rPr>
        <w:t xml:space="preserve"> </w:t>
      </w:r>
      <w:r w:rsidR="00417251" w:rsidRPr="009E5838">
        <w:rPr>
          <w:sz w:val="26"/>
          <w:szCs w:val="26"/>
          <w:lang w:val="lt-LT"/>
        </w:rPr>
        <w:t>j</w:t>
      </w:r>
      <w:r w:rsidRPr="009E5838">
        <w:rPr>
          <w:sz w:val="26"/>
          <w:szCs w:val="26"/>
          <w:lang w:val="lt-LT"/>
        </w:rPr>
        <w:t>ų</w:t>
      </w:r>
      <w:r w:rsidR="00CA1354" w:rsidRPr="009E5838">
        <w:rPr>
          <w:sz w:val="26"/>
          <w:szCs w:val="26"/>
          <w:lang w:val="lt-LT"/>
        </w:rPr>
        <w:t xml:space="preserve"> naudotojai</w:t>
      </w:r>
      <w:r w:rsidR="001C2309" w:rsidRPr="009E5838">
        <w:rPr>
          <w:sz w:val="26"/>
          <w:szCs w:val="26"/>
          <w:lang w:val="lt-LT"/>
        </w:rPr>
        <w:t>.</w:t>
      </w:r>
      <w:r w:rsidR="00364174" w:rsidRPr="009E5838">
        <w:rPr>
          <w:sz w:val="26"/>
          <w:szCs w:val="26"/>
          <w:lang w:val="lt-LT"/>
        </w:rPr>
        <w:t xml:space="preserve"> </w:t>
      </w:r>
      <w:r w:rsidR="009220C5" w:rsidRPr="009E5838">
        <w:rPr>
          <w:sz w:val="26"/>
          <w:szCs w:val="26"/>
          <w:lang w:val="lt-LT"/>
        </w:rPr>
        <w:t>Anot J.</w:t>
      </w:r>
      <w:r w:rsidR="00E0317B" w:rsidRPr="009E5838">
        <w:rPr>
          <w:sz w:val="26"/>
          <w:szCs w:val="26"/>
          <w:lang w:val="lt-LT"/>
        </w:rPr>
        <w:t> </w:t>
      </w:r>
      <w:r w:rsidR="009220C5" w:rsidRPr="009E5838">
        <w:rPr>
          <w:sz w:val="26"/>
          <w:szCs w:val="26"/>
          <w:lang w:val="lt-LT"/>
        </w:rPr>
        <w:t xml:space="preserve">Mackevičiaus ir R. Bartaškos (2003), pagrindinis skirtumas tarp klaidos ir apgaulės yra ketinimas. </w:t>
      </w:r>
      <w:r w:rsidR="009608E3" w:rsidRPr="009E5838">
        <w:rPr>
          <w:sz w:val="26"/>
          <w:szCs w:val="26"/>
          <w:lang w:val="lt-LT"/>
        </w:rPr>
        <w:t>Nors literatūro</w:t>
      </w:r>
      <w:r w:rsidR="007453D8" w:rsidRPr="009E5838">
        <w:rPr>
          <w:sz w:val="26"/>
          <w:szCs w:val="26"/>
          <w:lang w:val="lt-LT"/>
        </w:rPr>
        <w:t>s šaltiniuose</w:t>
      </w:r>
      <w:r w:rsidR="009608E3" w:rsidRPr="009E5838">
        <w:rPr>
          <w:sz w:val="26"/>
          <w:szCs w:val="26"/>
          <w:lang w:val="lt-LT"/>
        </w:rPr>
        <w:t xml:space="preserve"> (240</w:t>
      </w:r>
      <w:r w:rsidR="00013EE4" w:rsidRPr="009E5838">
        <w:rPr>
          <w:sz w:val="26"/>
          <w:szCs w:val="26"/>
          <w:lang w:val="lt-LT"/>
        </w:rPr>
        <w:t xml:space="preserve"> </w:t>
      </w:r>
      <w:r w:rsidR="009608E3" w:rsidRPr="009E5838">
        <w:rPr>
          <w:sz w:val="26"/>
          <w:szCs w:val="26"/>
          <w:lang w:val="lt-LT"/>
        </w:rPr>
        <w:t>TSA, 2006; 11</w:t>
      </w:r>
      <w:r w:rsidR="00013EE4" w:rsidRPr="009E5838">
        <w:rPr>
          <w:sz w:val="26"/>
          <w:szCs w:val="26"/>
          <w:lang w:val="lt-LT"/>
        </w:rPr>
        <w:t xml:space="preserve"> </w:t>
      </w:r>
      <w:r w:rsidR="009608E3" w:rsidRPr="009E5838">
        <w:rPr>
          <w:sz w:val="26"/>
          <w:szCs w:val="26"/>
          <w:lang w:val="lt-LT"/>
        </w:rPr>
        <w:t xml:space="preserve">NAS, 2006; 47 SAS, 2006; Robertson, 1990, Knechel, 2001) finansinių ataskaitų iškraipymų pavyzdžiai įvardijami bendrai, </w:t>
      </w:r>
      <w:r w:rsidR="005E250C" w:rsidRPr="009E5838">
        <w:rPr>
          <w:sz w:val="26"/>
          <w:szCs w:val="26"/>
          <w:lang w:val="lt-LT"/>
        </w:rPr>
        <w:t xml:space="preserve">tačiau tam tikras </w:t>
      </w:r>
      <w:r w:rsidR="006B477B" w:rsidRPr="009E5838">
        <w:rPr>
          <w:sz w:val="26"/>
          <w:szCs w:val="26"/>
          <w:lang w:val="lt-LT"/>
        </w:rPr>
        <w:t xml:space="preserve">jų pirminis </w:t>
      </w:r>
      <w:r w:rsidR="005E250C" w:rsidRPr="009E5838">
        <w:rPr>
          <w:sz w:val="26"/>
          <w:szCs w:val="26"/>
          <w:lang w:val="lt-LT"/>
        </w:rPr>
        <w:t xml:space="preserve">vertinimas </w:t>
      </w:r>
      <w:r w:rsidR="006B477B" w:rsidRPr="009E5838">
        <w:rPr>
          <w:sz w:val="26"/>
          <w:szCs w:val="26"/>
          <w:lang w:val="lt-LT"/>
        </w:rPr>
        <w:t xml:space="preserve">pagal </w:t>
      </w:r>
      <w:r w:rsidR="00013EE4" w:rsidRPr="009E5838">
        <w:rPr>
          <w:sz w:val="26"/>
          <w:szCs w:val="26"/>
          <w:lang w:val="lt-LT"/>
        </w:rPr>
        <w:t>juos l</w:t>
      </w:r>
      <w:r w:rsidR="00927206" w:rsidRPr="009E5838">
        <w:rPr>
          <w:sz w:val="26"/>
          <w:szCs w:val="26"/>
          <w:lang w:val="lt-LT"/>
        </w:rPr>
        <w:t>emiančias</w:t>
      </w:r>
      <w:r w:rsidR="00013EE4" w:rsidRPr="009E5838">
        <w:rPr>
          <w:sz w:val="26"/>
          <w:szCs w:val="26"/>
          <w:lang w:val="lt-LT"/>
        </w:rPr>
        <w:t xml:space="preserve"> </w:t>
      </w:r>
      <w:r w:rsidR="006B477B" w:rsidRPr="009E5838">
        <w:rPr>
          <w:sz w:val="26"/>
          <w:szCs w:val="26"/>
          <w:lang w:val="lt-LT"/>
        </w:rPr>
        <w:t>priežast</w:t>
      </w:r>
      <w:r w:rsidR="00013EE4" w:rsidRPr="009E5838">
        <w:rPr>
          <w:sz w:val="26"/>
          <w:szCs w:val="26"/>
          <w:lang w:val="lt-LT"/>
        </w:rPr>
        <w:t>is (klaidą ar apgaulę)</w:t>
      </w:r>
      <w:r w:rsidR="001D0DD1" w:rsidRPr="009E5838">
        <w:rPr>
          <w:sz w:val="26"/>
          <w:szCs w:val="26"/>
          <w:lang w:val="lt-LT"/>
        </w:rPr>
        <w:t xml:space="preserve"> yra galimas </w:t>
      </w:r>
      <w:r w:rsidR="005E250C" w:rsidRPr="009E5838">
        <w:rPr>
          <w:sz w:val="26"/>
          <w:szCs w:val="26"/>
          <w:lang w:val="lt-LT"/>
        </w:rPr>
        <w:t xml:space="preserve">(žr. </w:t>
      </w:r>
      <w:r w:rsidR="002F7447" w:rsidRPr="009E5838">
        <w:rPr>
          <w:sz w:val="26"/>
          <w:szCs w:val="26"/>
          <w:lang w:val="lt-LT"/>
        </w:rPr>
        <w:t>5</w:t>
      </w:r>
      <w:r w:rsidR="009608E3" w:rsidRPr="009E5838">
        <w:rPr>
          <w:sz w:val="26"/>
          <w:szCs w:val="26"/>
          <w:lang w:val="lt-LT"/>
        </w:rPr>
        <w:t xml:space="preserve"> lentelė</w:t>
      </w:r>
      <w:r w:rsidR="005E250C" w:rsidRPr="009E5838">
        <w:rPr>
          <w:sz w:val="26"/>
          <w:szCs w:val="26"/>
          <w:lang w:val="lt-LT"/>
        </w:rPr>
        <w:t xml:space="preserve">). </w:t>
      </w:r>
    </w:p>
    <w:p w:rsidR="00825351" w:rsidRDefault="00825351" w:rsidP="00013EE4">
      <w:pPr>
        <w:spacing w:line="360" w:lineRule="auto"/>
        <w:ind w:firstLine="720"/>
        <w:jc w:val="both"/>
        <w:rPr>
          <w:sz w:val="26"/>
          <w:szCs w:val="26"/>
          <w:lang w:val="lt-LT"/>
        </w:rPr>
      </w:pPr>
    </w:p>
    <w:p w:rsidR="00825351" w:rsidRDefault="00825351" w:rsidP="00013EE4">
      <w:pPr>
        <w:spacing w:line="360" w:lineRule="auto"/>
        <w:ind w:firstLine="720"/>
        <w:jc w:val="both"/>
        <w:rPr>
          <w:sz w:val="26"/>
          <w:szCs w:val="26"/>
          <w:lang w:val="lt-LT"/>
        </w:rPr>
      </w:pPr>
    </w:p>
    <w:p w:rsidR="00825351" w:rsidRPr="009E5838" w:rsidRDefault="00825351" w:rsidP="00013EE4">
      <w:pPr>
        <w:spacing w:line="360" w:lineRule="auto"/>
        <w:ind w:firstLine="720"/>
        <w:jc w:val="both"/>
        <w:rPr>
          <w:sz w:val="26"/>
          <w:szCs w:val="26"/>
          <w:lang w:val="lt-LT"/>
        </w:rPr>
      </w:pPr>
    </w:p>
    <w:p w:rsidR="009608E3" w:rsidRPr="009E5838" w:rsidRDefault="002F7447" w:rsidP="009E5838">
      <w:pPr>
        <w:spacing w:line="360" w:lineRule="auto"/>
        <w:ind w:left="7200"/>
        <w:jc w:val="both"/>
        <w:rPr>
          <w:i/>
          <w:sz w:val="26"/>
          <w:szCs w:val="26"/>
          <w:lang w:val="lt-LT"/>
        </w:rPr>
      </w:pPr>
      <w:r w:rsidRPr="009E5838">
        <w:rPr>
          <w:i/>
          <w:sz w:val="26"/>
          <w:szCs w:val="26"/>
          <w:lang w:val="lt-LT"/>
        </w:rPr>
        <w:lastRenderedPageBreak/>
        <w:t>5</w:t>
      </w:r>
      <w:r w:rsidR="009608E3" w:rsidRPr="009E5838">
        <w:rPr>
          <w:i/>
          <w:sz w:val="26"/>
          <w:szCs w:val="26"/>
          <w:lang w:val="lt-LT"/>
        </w:rPr>
        <w:t xml:space="preserve"> lentelė</w:t>
      </w:r>
    </w:p>
    <w:p w:rsidR="009608E3" w:rsidRPr="009E5838" w:rsidRDefault="005E250C" w:rsidP="009608E3">
      <w:pPr>
        <w:spacing w:line="360" w:lineRule="auto"/>
        <w:jc w:val="center"/>
        <w:rPr>
          <w:b/>
          <w:sz w:val="26"/>
          <w:szCs w:val="26"/>
          <w:lang w:val="lt-LT"/>
        </w:rPr>
      </w:pPr>
      <w:r w:rsidRPr="009E5838">
        <w:rPr>
          <w:b/>
          <w:sz w:val="26"/>
          <w:szCs w:val="26"/>
          <w:lang w:val="lt-LT"/>
        </w:rPr>
        <w:t>Finansinių ataskaitų i</w:t>
      </w:r>
      <w:r w:rsidR="009608E3" w:rsidRPr="009E5838">
        <w:rPr>
          <w:b/>
          <w:sz w:val="26"/>
          <w:szCs w:val="26"/>
          <w:lang w:val="lt-LT"/>
        </w:rPr>
        <w:t xml:space="preserve">škraipymų </w:t>
      </w:r>
      <w:r w:rsidRPr="009E5838">
        <w:rPr>
          <w:b/>
          <w:sz w:val="26"/>
          <w:szCs w:val="26"/>
          <w:lang w:val="lt-LT"/>
        </w:rPr>
        <w:t xml:space="preserve">priežastinis </w:t>
      </w:r>
      <w:r w:rsidR="009608E3" w:rsidRPr="009E5838">
        <w:rPr>
          <w:b/>
          <w:sz w:val="26"/>
          <w:szCs w:val="26"/>
          <w:lang w:val="lt-LT"/>
        </w:rPr>
        <w:t>vertinimas</w:t>
      </w:r>
      <w:r w:rsidRPr="009E5838">
        <w:rPr>
          <w:b/>
          <w:sz w:val="26"/>
          <w:szCs w:val="26"/>
          <w:lang w:val="lt-LT"/>
        </w:rPr>
        <w:t xml:space="preserve"> </w:t>
      </w:r>
    </w:p>
    <w:tbl>
      <w:tblPr>
        <w:tblW w:w="8330" w:type="dxa"/>
        <w:tblLayout w:type="fixed"/>
        <w:tblLook w:val="01E0"/>
      </w:tblPr>
      <w:tblGrid>
        <w:gridCol w:w="4077"/>
        <w:gridCol w:w="1276"/>
        <w:gridCol w:w="1276"/>
        <w:gridCol w:w="1701"/>
      </w:tblGrid>
      <w:tr w:rsidR="009608E3" w:rsidRPr="009E5838" w:rsidTr="00351D74">
        <w:tc>
          <w:tcPr>
            <w:tcW w:w="4077" w:type="dxa"/>
            <w:tcBorders>
              <w:top w:val="single" w:sz="4" w:space="0" w:color="auto"/>
              <w:bottom w:val="single" w:sz="4" w:space="0" w:color="auto"/>
              <w:right w:val="single" w:sz="4" w:space="0" w:color="auto"/>
            </w:tcBorders>
            <w:vAlign w:val="center"/>
          </w:tcPr>
          <w:p w:rsidR="009608E3" w:rsidRPr="009E5838" w:rsidRDefault="009608E3" w:rsidP="00CE39C4">
            <w:pPr>
              <w:tabs>
                <w:tab w:val="left" w:pos="4536"/>
              </w:tabs>
              <w:spacing w:line="360" w:lineRule="auto"/>
              <w:ind w:right="-816"/>
              <w:jc w:val="center"/>
              <w:rPr>
                <w:sz w:val="22"/>
                <w:szCs w:val="22"/>
                <w:lang w:val="lt-LT"/>
              </w:rPr>
            </w:pPr>
            <w:r w:rsidRPr="009E5838">
              <w:rPr>
                <w:sz w:val="22"/>
                <w:szCs w:val="22"/>
                <w:lang w:val="lt-LT"/>
              </w:rPr>
              <w:t>Iškraipymo pobūdis</w:t>
            </w:r>
          </w:p>
        </w:tc>
        <w:tc>
          <w:tcPr>
            <w:tcW w:w="1276" w:type="dxa"/>
            <w:tcBorders>
              <w:top w:val="single" w:sz="4" w:space="0" w:color="auto"/>
              <w:left w:val="single" w:sz="4" w:space="0" w:color="auto"/>
              <w:bottom w:val="single" w:sz="4" w:space="0" w:color="auto"/>
              <w:right w:val="single" w:sz="4" w:space="0" w:color="auto"/>
            </w:tcBorders>
            <w:vAlign w:val="center"/>
          </w:tcPr>
          <w:p w:rsidR="009608E3" w:rsidRPr="009E5838" w:rsidRDefault="009608E3" w:rsidP="00CE39C4">
            <w:pPr>
              <w:spacing w:line="360" w:lineRule="auto"/>
              <w:jc w:val="center"/>
              <w:rPr>
                <w:sz w:val="22"/>
                <w:szCs w:val="22"/>
                <w:lang w:val="lt-LT"/>
              </w:rPr>
            </w:pPr>
            <w:r w:rsidRPr="009E5838">
              <w:rPr>
                <w:sz w:val="22"/>
                <w:szCs w:val="22"/>
                <w:lang w:val="lt-LT"/>
              </w:rPr>
              <w:t>Klaida</w:t>
            </w:r>
          </w:p>
        </w:tc>
        <w:tc>
          <w:tcPr>
            <w:tcW w:w="1276" w:type="dxa"/>
            <w:tcBorders>
              <w:top w:val="single" w:sz="4" w:space="0" w:color="auto"/>
              <w:left w:val="single" w:sz="4" w:space="0" w:color="auto"/>
              <w:bottom w:val="single" w:sz="4" w:space="0" w:color="auto"/>
              <w:right w:val="single" w:sz="4" w:space="0" w:color="auto"/>
            </w:tcBorders>
            <w:vAlign w:val="center"/>
          </w:tcPr>
          <w:p w:rsidR="009608E3" w:rsidRPr="009E5838" w:rsidRDefault="009608E3" w:rsidP="00CE39C4">
            <w:pPr>
              <w:spacing w:line="360" w:lineRule="auto"/>
              <w:jc w:val="center"/>
              <w:rPr>
                <w:sz w:val="22"/>
                <w:szCs w:val="22"/>
                <w:lang w:val="lt-LT"/>
              </w:rPr>
            </w:pPr>
            <w:r w:rsidRPr="009E5838">
              <w:rPr>
                <w:sz w:val="22"/>
                <w:szCs w:val="22"/>
                <w:lang w:val="lt-LT"/>
              </w:rPr>
              <w:t>Apgaulė</w:t>
            </w:r>
          </w:p>
        </w:tc>
        <w:tc>
          <w:tcPr>
            <w:tcW w:w="1701" w:type="dxa"/>
            <w:tcBorders>
              <w:top w:val="single" w:sz="4" w:space="0" w:color="auto"/>
              <w:left w:val="single" w:sz="4" w:space="0" w:color="auto"/>
              <w:bottom w:val="single" w:sz="4" w:space="0" w:color="auto"/>
            </w:tcBorders>
            <w:vAlign w:val="center"/>
          </w:tcPr>
          <w:p w:rsidR="009608E3" w:rsidRPr="009E5838" w:rsidRDefault="009608E3" w:rsidP="00CE39C4">
            <w:pPr>
              <w:spacing w:line="360" w:lineRule="auto"/>
              <w:jc w:val="center"/>
              <w:rPr>
                <w:sz w:val="22"/>
                <w:szCs w:val="22"/>
                <w:lang w:val="lt-LT"/>
              </w:rPr>
            </w:pPr>
            <w:r w:rsidRPr="009E5838">
              <w:rPr>
                <w:sz w:val="22"/>
                <w:szCs w:val="22"/>
                <w:lang w:val="lt-LT"/>
              </w:rPr>
              <w:t>Šaltinis</w:t>
            </w: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Neteisingai p</w:t>
            </w:r>
            <w:r w:rsidR="00657A94" w:rsidRPr="009E5838">
              <w:rPr>
                <w:sz w:val="22"/>
                <w:szCs w:val="22"/>
                <w:lang w:val="lt-LT"/>
              </w:rPr>
              <w:t>arinktas apskaitinis įvertis</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701" w:type="dxa"/>
            <w:vMerge w:val="restart"/>
            <w:tcBorders>
              <w:top w:val="single" w:sz="4" w:space="0" w:color="auto"/>
              <w:left w:val="single" w:sz="4" w:space="0" w:color="auto"/>
              <w:bottom w:val="single" w:sz="4" w:space="0" w:color="auto"/>
            </w:tcBorders>
          </w:tcPr>
          <w:p w:rsidR="009608E3" w:rsidRPr="009E5838" w:rsidRDefault="009608E3" w:rsidP="00CE39C4">
            <w:pPr>
              <w:jc w:val="center"/>
              <w:rPr>
                <w:sz w:val="22"/>
                <w:szCs w:val="22"/>
                <w:lang w:val="lt-LT"/>
              </w:rPr>
            </w:pPr>
            <w:r w:rsidRPr="009E5838">
              <w:rPr>
                <w:sz w:val="22"/>
                <w:szCs w:val="22"/>
                <w:lang w:val="lt-LT"/>
              </w:rPr>
              <w:t xml:space="preserve">240 TSA (2006), </w:t>
            </w:r>
          </w:p>
          <w:p w:rsidR="009608E3" w:rsidRPr="009E5838" w:rsidRDefault="009608E3" w:rsidP="00CE39C4">
            <w:pPr>
              <w:jc w:val="center"/>
              <w:rPr>
                <w:sz w:val="22"/>
                <w:szCs w:val="22"/>
                <w:lang w:val="lt-LT"/>
              </w:rPr>
            </w:pPr>
            <w:r w:rsidRPr="009E5838">
              <w:rPr>
                <w:sz w:val="22"/>
                <w:szCs w:val="22"/>
                <w:lang w:val="lt-LT"/>
              </w:rPr>
              <w:t>11 NAS (2006), 47 SAS (2006)</w:t>
            </w: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Netinkamas apskaitos principo pritaikymas</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701" w:type="dxa"/>
            <w:vMerge/>
            <w:tcBorders>
              <w:top w:val="single" w:sz="4" w:space="0" w:color="auto"/>
              <w:left w:val="single" w:sz="4" w:space="0" w:color="auto"/>
              <w:bottom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Netinkamas duomenų rinkimas, apdorojimas</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701" w:type="dxa"/>
            <w:vMerge/>
            <w:tcBorders>
              <w:top w:val="single" w:sz="4" w:space="0" w:color="auto"/>
              <w:left w:val="single" w:sz="4" w:space="0" w:color="auto"/>
              <w:bottom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Praleista suma ir /ar atskleidimas</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701" w:type="dxa"/>
            <w:vMerge/>
            <w:tcBorders>
              <w:top w:val="single" w:sz="4" w:space="0" w:color="auto"/>
              <w:left w:val="single" w:sz="4" w:space="0" w:color="auto"/>
              <w:bottom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C0388B" w:rsidP="00C0388B">
            <w:pPr>
              <w:tabs>
                <w:tab w:val="left" w:pos="4536"/>
              </w:tabs>
              <w:rPr>
                <w:sz w:val="22"/>
                <w:szCs w:val="22"/>
                <w:lang w:val="lt-LT"/>
              </w:rPr>
            </w:pPr>
            <w:r w:rsidRPr="009E5838">
              <w:rPr>
                <w:sz w:val="22"/>
                <w:szCs w:val="22"/>
                <w:lang w:val="lt-LT"/>
              </w:rPr>
              <w:t>Apskaitoje registruojamos f</w:t>
            </w:r>
            <w:r w:rsidR="009608E3" w:rsidRPr="009E5838">
              <w:rPr>
                <w:sz w:val="22"/>
                <w:szCs w:val="22"/>
                <w:lang w:val="lt-LT"/>
              </w:rPr>
              <w:t>iktyvios ūkinės operacijos</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val="restart"/>
            <w:tcBorders>
              <w:top w:val="single" w:sz="4" w:space="0" w:color="auto"/>
              <w:left w:val="single" w:sz="4" w:space="0" w:color="auto"/>
            </w:tcBorders>
          </w:tcPr>
          <w:p w:rsidR="009608E3" w:rsidRPr="009E5838" w:rsidRDefault="009608E3" w:rsidP="00CE39C4">
            <w:pPr>
              <w:jc w:val="center"/>
              <w:rPr>
                <w:sz w:val="22"/>
                <w:szCs w:val="22"/>
                <w:lang w:val="lt-LT"/>
              </w:rPr>
            </w:pPr>
            <w:r w:rsidRPr="009E5838">
              <w:rPr>
                <w:sz w:val="22"/>
                <w:szCs w:val="22"/>
                <w:lang w:val="lt-LT"/>
              </w:rPr>
              <w:t>J. C. Robertson (1990)</w:t>
            </w: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 xml:space="preserve">Atliekamos ir apskaitoje fiksuojamos neįgaliotos ūkinės operacijos </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tcBorders>
              <w:left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 xml:space="preserve">Ūkinės operacijos fiksuojamos ne tuo periodu, kada jos atliktos </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tcBorders>
              <w:left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Atliktos ūkinės operacijos nėra fiksuojamos</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1D0DD1"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tcBorders>
              <w:left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Ūkinių operacijų sumos yra netikslios</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701" w:type="dxa"/>
            <w:vMerge/>
            <w:tcBorders>
              <w:left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Ūkinės operacijos apskaitytos ne pilnai</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tcBorders>
              <w:left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Ūkinės operacijos fiksuojamos klaidingose sąskaitose</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tcBorders>
              <w:left w:val="single" w:sz="4" w:space="0" w:color="auto"/>
              <w:bottom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Ūkinė operacija netinkamai apdorota, pamesta ar praleista apskaitos sistemos</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701" w:type="dxa"/>
            <w:vMerge w:val="restart"/>
            <w:tcBorders>
              <w:top w:val="single" w:sz="4" w:space="0" w:color="auto"/>
              <w:left w:val="single" w:sz="4" w:space="0" w:color="auto"/>
            </w:tcBorders>
          </w:tcPr>
          <w:p w:rsidR="009608E3" w:rsidRPr="009E5838" w:rsidRDefault="009608E3" w:rsidP="00CE39C4">
            <w:pPr>
              <w:jc w:val="center"/>
              <w:rPr>
                <w:sz w:val="22"/>
                <w:szCs w:val="22"/>
                <w:lang w:val="lt-LT"/>
              </w:rPr>
            </w:pPr>
            <w:r w:rsidRPr="009E5838">
              <w:rPr>
                <w:sz w:val="22"/>
                <w:szCs w:val="22"/>
                <w:lang w:val="lt-LT"/>
              </w:rPr>
              <w:t>W. R. Knechel (2001)</w:t>
            </w: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5E250C" w:rsidP="005E250C">
            <w:pPr>
              <w:tabs>
                <w:tab w:val="left" w:pos="4536"/>
              </w:tabs>
              <w:rPr>
                <w:sz w:val="22"/>
                <w:szCs w:val="22"/>
                <w:lang w:val="lt-LT"/>
              </w:rPr>
            </w:pPr>
            <w:r w:rsidRPr="009E5838">
              <w:rPr>
                <w:sz w:val="22"/>
                <w:szCs w:val="22"/>
                <w:lang w:val="lt-LT"/>
              </w:rPr>
              <w:t>Suklastoti f</w:t>
            </w:r>
            <w:r w:rsidR="009608E3" w:rsidRPr="009E5838">
              <w:rPr>
                <w:sz w:val="22"/>
                <w:szCs w:val="22"/>
                <w:lang w:val="lt-LT"/>
              </w:rPr>
              <w:t xml:space="preserve">inansiniai rezultatai  </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tcBorders>
              <w:left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Turtas pavogtas ar prarastas</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tcBorders>
              <w:left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608E3" w:rsidP="00CE39C4">
            <w:pPr>
              <w:tabs>
                <w:tab w:val="left" w:pos="4536"/>
              </w:tabs>
              <w:rPr>
                <w:sz w:val="22"/>
                <w:szCs w:val="22"/>
                <w:lang w:val="lt-LT"/>
              </w:rPr>
            </w:pPr>
            <w:r w:rsidRPr="009E5838">
              <w:rPr>
                <w:sz w:val="22"/>
                <w:szCs w:val="22"/>
                <w:lang w:val="lt-LT"/>
              </w:rPr>
              <w:t xml:space="preserve">Parinkta netinkama apskaitos politika </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825351" w:rsidP="00CE39C4">
            <w:pPr>
              <w:jc w:val="center"/>
              <w:rPr>
                <w:sz w:val="22"/>
                <w:szCs w:val="22"/>
                <w:lang w:val="lt-LT"/>
              </w:rPr>
            </w:pPr>
            <w:r>
              <w:rPr>
                <w:sz w:val="22"/>
                <w:szCs w:val="22"/>
                <w:lang w:val="lt-LT"/>
              </w:rPr>
              <w:t>X</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tcBorders>
              <w:left w:val="single" w:sz="4" w:space="0" w:color="auto"/>
            </w:tcBorders>
          </w:tcPr>
          <w:p w:rsidR="009608E3" w:rsidRPr="009E5838" w:rsidRDefault="009608E3" w:rsidP="00CE39C4">
            <w:pPr>
              <w:jc w:val="center"/>
              <w:rPr>
                <w:sz w:val="22"/>
                <w:szCs w:val="22"/>
                <w:lang w:val="lt-LT"/>
              </w:rPr>
            </w:pPr>
          </w:p>
        </w:tc>
      </w:tr>
      <w:tr w:rsidR="009608E3" w:rsidRPr="009E5838" w:rsidTr="00351D74">
        <w:tc>
          <w:tcPr>
            <w:tcW w:w="4077" w:type="dxa"/>
            <w:tcBorders>
              <w:top w:val="single" w:sz="4" w:space="0" w:color="auto"/>
              <w:bottom w:val="single" w:sz="4" w:space="0" w:color="auto"/>
              <w:right w:val="single" w:sz="4" w:space="0" w:color="auto"/>
            </w:tcBorders>
          </w:tcPr>
          <w:p w:rsidR="009608E3" w:rsidRPr="009E5838" w:rsidRDefault="009A7A53" w:rsidP="00657A94">
            <w:pPr>
              <w:tabs>
                <w:tab w:val="left" w:pos="4536"/>
              </w:tabs>
              <w:rPr>
                <w:sz w:val="22"/>
                <w:szCs w:val="22"/>
                <w:lang w:val="lt-LT"/>
              </w:rPr>
            </w:pPr>
            <w:r w:rsidRPr="009E5838">
              <w:rPr>
                <w:sz w:val="22"/>
                <w:szCs w:val="22"/>
                <w:lang w:val="lt-LT"/>
              </w:rPr>
              <w:t>Apskaitiniai įver</w:t>
            </w:r>
            <w:r w:rsidR="00657A94" w:rsidRPr="009E5838">
              <w:rPr>
                <w:sz w:val="22"/>
                <w:szCs w:val="22"/>
                <w:lang w:val="lt-LT"/>
              </w:rPr>
              <w:t>čia</w:t>
            </w:r>
            <w:r w:rsidR="009608E3" w:rsidRPr="009E5838">
              <w:rPr>
                <w:sz w:val="22"/>
                <w:szCs w:val="22"/>
                <w:lang w:val="lt-LT"/>
              </w:rPr>
              <w:t xml:space="preserve">i prastai analizuojami ir </w:t>
            </w:r>
            <w:r w:rsidR="008D2075">
              <w:rPr>
                <w:sz w:val="22"/>
                <w:szCs w:val="22"/>
                <w:lang w:val="lt-LT"/>
              </w:rPr>
              <w:t xml:space="preserve">yra </w:t>
            </w:r>
            <w:r w:rsidR="009608E3" w:rsidRPr="009E5838">
              <w:rPr>
                <w:sz w:val="22"/>
                <w:szCs w:val="22"/>
                <w:lang w:val="lt-LT"/>
              </w:rPr>
              <w:t>klastojami</w:t>
            </w: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tcPr>
          <w:p w:rsidR="009608E3" w:rsidRPr="009E5838" w:rsidRDefault="009608E3" w:rsidP="00CE39C4">
            <w:pPr>
              <w:jc w:val="center"/>
              <w:rPr>
                <w:sz w:val="22"/>
                <w:szCs w:val="22"/>
                <w:lang w:val="lt-LT"/>
              </w:rPr>
            </w:pPr>
            <w:r w:rsidRPr="009E5838">
              <w:rPr>
                <w:sz w:val="22"/>
                <w:szCs w:val="22"/>
                <w:lang w:val="lt-LT"/>
              </w:rPr>
              <w:t>X</w:t>
            </w:r>
          </w:p>
        </w:tc>
        <w:tc>
          <w:tcPr>
            <w:tcW w:w="1701" w:type="dxa"/>
            <w:vMerge/>
            <w:tcBorders>
              <w:left w:val="single" w:sz="4" w:space="0" w:color="auto"/>
              <w:bottom w:val="single" w:sz="4" w:space="0" w:color="auto"/>
            </w:tcBorders>
          </w:tcPr>
          <w:p w:rsidR="009608E3" w:rsidRPr="009E5838" w:rsidRDefault="009608E3" w:rsidP="00CE39C4">
            <w:pPr>
              <w:jc w:val="center"/>
              <w:rPr>
                <w:sz w:val="22"/>
                <w:szCs w:val="22"/>
                <w:lang w:val="lt-LT"/>
              </w:rPr>
            </w:pPr>
          </w:p>
        </w:tc>
      </w:tr>
    </w:tbl>
    <w:p w:rsidR="009608E3" w:rsidRPr="005F44E6" w:rsidRDefault="009608E3" w:rsidP="009608E3">
      <w:pPr>
        <w:jc w:val="both"/>
        <w:rPr>
          <w:lang w:val="lt-LT"/>
        </w:rPr>
      </w:pPr>
      <w:r w:rsidRPr="005F44E6">
        <w:rPr>
          <w:lang w:val="lt-LT"/>
        </w:rPr>
        <w:t>Šaltinis: sudaryta autorės.</w:t>
      </w:r>
    </w:p>
    <w:p w:rsidR="0075739B" w:rsidRDefault="005E250C" w:rsidP="008872D7">
      <w:pPr>
        <w:tabs>
          <w:tab w:val="left" w:pos="9637"/>
        </w:tabs>
        <w:spacing w:before="120" w:line="360" w:lineRule="auto"/>
        <w:ind w:firstLine="720"/>
        <w:jc w:val="both"/>
        <w:rPr>
          <w:sz w:val="26"/>
          <w:szCs w:val="26"/>
          <w:lang w:val="lt-LT"/>
        </w:rPr>
      </w:pPr>
      <w:r w:rsidRPr="009E5838">
        <w:rPr>
          <w:sz w:val="26"/>
          <w:szCs w:val="26"/>
          <w:lang w:val="lt-LT"/>
        </w:rPr>
        <w:t xml:space="preserve">Kaip matyti iš </w:t>
      </w:r>
      <w:r w:rsidR="002F7447" w:rsidRPr="009E5838">
        <w:rPr>
          <w:sz w:val="26"/>
          <w:szCs w:val="26"/>
          <w:lang w:val="lt-LT"/>
        </w:rPr>
        <w:t>5</w:t>
      </w:r>
      <w:r w:rsidRPr="009E5838">
        <w:rPr>
          <w:sz w:val="26"/>
          <w:szCs w:val="26"/>
          <w:lang w:val="lt-LT"/>
        </w:rPr>
        <w:t xml:space="preserve"> lentelės, kai kurių iškraipymų</w:t>
      </w:r>
      <w:r w:rsidR="00C0388B" w:rsidRPr="009E5838">
        <w:rPr>
          <w:sz w:val="26"/>
          <w:szCs w:val="26"/>
          <w:lang w:val="lt-LT"/>
        </w:rPr>
        <w:t xml:space="preserve"> (pavyzdžiui, </w:t>
      </w:r>
      <w:r w:rsidR="006B477B" w:rsidRPr="009E5838">
        <w:rPr>
          <w:sz w:val="26"/>
          <w:szCs w:val="26"/>
          <w:lang w:val="lt-LT"/>
        </w:rPr>
        <w:t>ūkinės operacijos fiksuojamos ne tuo periodu, kad</w:t>
      </w:r>
      <w:r w:rsidR="003136EF" w:rsidRPr="009E5838">
        <w:rPr>
          <w:sz w:val="26"/>
          <w:szCs w:val="26"/>
          <w:lang w:val="lt-LT"/>
        </w:rPr>
        <w:t>a</w:t>
      </w:r>
      <w:r w:rsidR="006B477B" w:rsidRPr="009E5838">
        <w:rPr>
          <w:sz w:val="26"/>
          <w:szCs w:val="26"/>
          <w:lang w:val="lt-LT"/>
        </w:rPr>
        <w:t xml:space="preserve"> jos atliktos</w:t>
      </w:r>
      <w:r w:rsidR="003136EF" w:rsidRPr="009E5838">
        <w:rPr>
          <w:sz w:val="26"/>
          <w:szCs w:val="26"/>
          <w:lang w:val="lt-LT"/>
        </w:rPr>
        <w:t>)</w:t>
      </w:r>
      <w:r w:rsidR="00C0388B" w:rsidRPr="009E5838">
        <w:rPr>
          <w:sz w:val="26"/>
          <w:szCs w:val="26"/>
          <w:lang w:val="lt-LT"/>
        </w:rPr>
        <w:t>,</w:t>
      </w:r>
      <w:r w:rsidR="006B477B" w:rsidRPr="009E5838">
        <w:rPr>
          <w:sz w:val="26"/>
          <w:szCs w:val="26"/>
          <w:lang w:val="lt-LT"/>
        </w:rPr>
        <w:t xml:space="preserve"> vienareikšmiška</w:t>
      </w:r>
      <w:r w:rsidR="00043888" w:rsidRPr="009E5838">
        <w:rPr>
          <w:sz w:val="26"/>
          <w:szCs w:val="26"/>
          <w:lang w:val="lt-LT"/>
        </w:rPr>
        <w:t>i</w:t>
      </w:r>
      <w:r w:rsidR="006B477B" w:rsidRPr="009E5838">
        <w:rPr>
          <w:sz w:val="26"/>
          <w:szCs w:val="26"/>
          <w:lang w:val="lt-LT"/>
        </w:rPr>
        <w:t xml:space="preserve"> priski</w:t>
      </w:r>
      <w:r w:rsidR="00043888" w:rsidRPr="009E5838">
        <w:rPr>
          <w:sz w:val="26"/>
          <w:szCs w:val="26"/>
          <w:lang w:val="lt-LT"/>
        </w:rPr>
        <w:t xml:space="preserve">rti </w:t>
      </w:r>
      <w:r w:rsidR="00C0388B" w:rsidRPr="009E5838">
        <w:rPr>
          <w:sz w:val="26"/>
          <w:szCs w:val="26"/>
          <w:lang w:val="lt-LT"/>
        </w:rPr>
        <w:t>klaid</w:t>
      </w:r>
      <w:r w:rsidR="00043888" w:rsidRPr="009E5838">
        <w:rPr>
          <w:sz w:val="26"/>
          <w:szCs w:val="26"/>
          <w:lang w:val="lt-LT"/>
        </w:rPr>
        <w:t>ai</w:t>
      </w:r>
      <w:r w:rsidR="00C0388B" w:rsidRPr="009E5838">
        <w:rPr>
          <w:sz w:val="26"/>
          <w:szCs w:val="26"/>
          <w:lang w:val="lt-LT"/>
        </w:rPr>
        <w:t xml:space="preserve"> ar apg</w:t>
      </w:r>
      <w:r w:rsidR="00C0388B" w:rsidRPr="009E5838">
        <w:rPr>
          <w:color w:val="000000" w:themeColor="text1"/>
          <w:sz w:val="26"/>
          <w:szCs w:val="26"/>
          <w:lang w:val="lt-LT"/>
        </w:rPr>
        <w:t>aul</w:t>
      </w:r>
      <w:r w:rsidR="00043888" w:rsidRPr="009E5838">
        <w:rPr>
          <w:color w:val="000000" w:themeColor="text1"/>
          <w:sz w:val="26"/>
          <w:szCs w:val="26"/>
          <w:lang w:val="lt-LT"/>
        </w:rPr>
        <w:t xml:space="preserve">ei </w:t>
      </w:r>
      <w:r w:rsidR="009D6E52" w:rsidRPr="009E5838">
        <w:rPr>
          <w:color w:val="000000" w:themeColor="text1"/>
          <w:sz w:val="26"/>
          <w:szCs w:val="26"/>
          <w:lang w:val="lt-LT"/>
        </w:rPr>
        <w:t xml:space="preserve">nėra </w:t>
      </w:r>
      <w:r w:rsidR="00043888" w:rsidRPr="009E5838">
        <w:rPr>
          <w:color w:val="000000" w:themeColor="text1"/>
          <w:sz w:val="26"/>
          <w:szCs w:val="26"/>
          <w:lang w:val="lt-LT"/>
        </w:rPr>
        <w:t>įmanoma</w:t>
      </w:r>
      <w:r w:rsidR="009D6E52" w:rsidRPr="009E5838">
        <w:rPr>
          <w:color w:val="000000" w:themeColor="text1"/>
          <w:sz w:val="26"/>
          <w:szCs w:val="26"/>
          <w:lang w:val="lt-LT"/>
        </w:rPr>
        <w:t>, nes</w:t>
      </w:r>
      <w:r w:rsidR="00C0388B" w:rsidRPr="009E5838">
        <w:rPr>
          <w:color w:val="000000" w:themeColor="text1"/>
          <w:sz w:val="26"/>
          <w:szCs w:val="26"/>
          <w:lang w:val="lt-LT"/>
        </w:rPr>
        <w:t xml:space="preserve"> reikia išsiaiškinti kitas priežastis, kurios </w:t>
      </w:r>
      <w:r w:rsidR="00E9246D" w:rsidRPr="009E5838">
        <w:rPr>
          <w:color w:val="000000" w:themeColor="text1"/>
          <w:sz w:val="26"/>
          <w:szCs w:val="26"/>
          <w:lang w:val="lt-LT"/>
        </w:rPr>
        <w:t>nulemia</w:t>
      </w:r>
      <w:r w:rsidR="00C0388B" w:rsidRPr="009E5838">
        <w:rPr>
          <w:color w:val="000000" w:themeColor="text1"/>
          <w:sz w:val="26"/>
          <w:szCs w:val="26"/>
          <w:lang w:val="lt-LT"/>
        </w:rPr>
        <w:t xml:space="preserve"> jų atsiradimą.</w:t>
      </w:r>
      <w:r w:rsidR="009D6E52" w:rsidRPr="009E5838">
        <w:rPr>
          <w:color w:val="000000" w:themeColor="text1"/>
          <w:sz w:val="26"/>
          <w:szCs w:val="26"/>
          <w:lang w:val="lt-LT"/>
        </w:rPr>
        <w:t xml:space="preserve"> </w:t>
      </w:r>
      <w:r w:rsidR="00DA2EBE" w:rsidRPr="009E5838">
        <w:rPr>
          <w:color w:val="000000" w:themeColor="text1"/>
          <w:sz w:val="26"/>
          <w:szCs w:val="26"/>
          <w:lang w:val="lt-LT"/>
        </w:rPr>
        <w:t>Pagal 240-ąjį TSA</w:t>
      </w:r>
      <w:r w:rsidR="00A34FC2" w:rsidRPr="009E5838">
        <w:rPr>
          <w:color w:val="000000" w:themeColor="text1"/>
          <w:sz w:val="26"/>
          <w:szCs w:val="26"/>
          <w:lang w:val="lt-LT"/>
        </w:rPr>
        <w:t xml:space="preserve"> (2006)</w:t>
      </w:r>
      <w:r w:rsidR="00A34FC2" w:rsidRPr="009E5838">
        <w:rPr>
          <w:rStyle w:val="FootnoteReference"/>
          <w:color w:val="000000" w:themeColor="text1"/>
          <w:sz w:val="26"/>
          <w:szCs w:val="26"/>
          <w:lang w:val="lt-LT"/>
        </w:rPr>
        <w:footnoteReference w:id="4"/>
      </w:r>
      <w:r w:rsidR="00A34FC2" w:rsidRPr="009E5838">
        <w:rPr>
          <w:color w:val="000000" w:themeColor="text1"/>
          <w:sz w:val="26"/>
          <w:szCs w:val="26"/>
          <w:lang w:val="lt-LT"/>
        </w:rPr>
        <w:t xml:space="preserve"> </w:t>
      </w:r>
      <w:r w:rsidR="00DA2EBE" w:rsidRPr="009E5838">
        <w:rPr>
          <w:color w:val="000000" w:themeColor="text1"/>
          <w:sz w:val="26"/>
          <w:szCs w:val="26"/>
          <w:lang w:val="lt-LT"/>
        </w:rPr>
        <w:t>a</w:t>
      </w:r>
      <w:r w:rsidR="00F81529" w:rsidRPr="009E5838">
        <w:rPr>
          <w:color w:val="000000" w:themeColor="text1"/>
          <w:sz w:val="26"/>
          <w:szCs w:val="26"/>
          <w:lang w:val="lt-LT"/>
        </w:rPr>
        <w:t>p</w:t>
      </w:r>
      <w:r w:rsidR="00F81529" w:rsidRPr="009E5838">
        <w:rPr>
          <w:sz w:val="26"/>
          <w:szCs w:val="26"/>
          <w:lang w:val="lt-LT"/>
        </w:rPr>
        <w:t xml:space="preserve">gaulės pasireiškimą lemia </w:t>
      </w:r>
      <w:r w:rsidR="0065304D" w:rsidRPr="009E5838">
        <w:rPr>
          <w:sz w:val="26"/>
          <w:szCs w:val="26"/>
          <w:lang w:val="lt-LT"/>
        </w:rPr>
        <w:t>trys</w:t>
      </w:r>
      <w:r w:rsidR="00F81529" w:rsidRPr="009E5838">
        <w:rPr>
          <w:sz w:val="26"/>
          <w:szCs w:val="26"/>
          <w:lang w:val="lt-LT"/>
        </w:rPr>
        <w:t xml:space="preserve"> </w:t>
      </w:r>
      <w:r w:rsidR="00A0137F" w:rsidRPr="009E5838">
        <w:rPr>
          <w:sz w:val="26"/>
          <w:szCs w:val="26"/>
          <w:lang w:val="lt-LT"/>
        </w:rPr>
        <w:t>sąlygos</w:t>
      </w:r>
      <w:r w:rsidR="00702441" w:rsidRPr="009E5838">
        <w:rPr>
          <w:sz w:val="26"/>
          <w:szCs w:val="26"/>
          <w:lang w:val="lt-LT"/>
        </w:rPr>
        <w:t xml:space="preserve"> (fazės)</w:t>
      </w:r>
      <w:r w:rsidR="0065304D" w:rsidRPr="009E5838">
        <w:rPr>
          <w:sz w:val="26"/>
          <w:szCs w:val="26"/>
          <w:lang w:val="lt-LT"/>
        </w:rPr>
        <w:t>:</w:t>
      </w:r>
      <w:r w:rsidR="00D31A46" w:rsidRPr="009E5838">
        <w:rPr>
          <w:sz w:val="26"/>
          <w:szCs w:val="26"/>
          <w:lang w:val="lt-LT"/>
        </w:rPr>
        <w:t xml:space="preserve"> </w:t>
      </w:r>
      <w:r w:rsidR="0065304D" w:rsidRPr="009E5838">
        <w:rPr>
          <w:sz w:val="26"/>
          <w:szCs w:val="26"/>
          <w:lang w:val="lt-LT"/>
        </w:rPr>
        <w:t xml:space="preserve">1) </w:t>
      </w:r>
      <w:r w:rsidR="00702441" w:rsidRPr="009E5838">
        <w:rPr>
          <w:i/>
          <w:sz w:val="26"/>
          <w:szCs w:val="26"/>
          <w:lang w:val="lt-LT"/>
        </w:rPr>
        <w:t>paskatos</w:t>
      </w:r>
      <w:r w:rsidR="00A82E89" w:rsidRPr="009E5838">
        <w:rPr>
          <w:i/>
          <w:sz w:val="26"/>
          <w:szCs w:val="26"/>
          <w:lang w:val="lt-LT"/>
        </w:rPr>
        <w:t>/</w:t>
      </w:r>
      <w:r w:rsidR="00A0137F" w:rsidRPr="009E5838">
        <w:rPr>
          <w:i/>
          <w:sz w:val="26"/>
          <w:szCs w:val="26"/>
          <w:lang w:val="lt-LT"/>
        </w:rPr>
        <w:t>spaudimas</w:t>
      </w:r>
      <w:r w:rsidR="00A0137F" w:rsidRPr="009E5838">
        <w:rPr>
          <w:sz w:val="26"/>
          <w:szCs w:val="26"/>
          <w:lang w:val="lt-LT"/>
        </w:rPr>
        <w:t xml:space="preserve">, </w:t>
      </w:r>
      <w:r w:rsidR="0065304D" w:rsidRPr="009E5838">
        <w:rPr>
          <w:sz w:val="26"/>
          <w:szCs w:val="26"/>
          <w:lang w:val="lt-LT"/>
        </w:rPr>
        <w:t xml:space="preserve">2) </w:t>
      </w:r>
      <w:r w:rsidR="00A0137F" w:rsidRPr="009E5838">
        <w:rPr>
          <w:i/>
          <w:sz w:val="26"/>
          <w:szCs w:val="26"/>
          <w:lang w:val="lt-LT"/>
        </w:rPr>
        <w:t>galimybės</w:t>
      </w:r>
      <w:r w:rsidR="00A0137F" w:rsidRPr="009E5838">
        <w:rPr>
          <w:sz w:val="26"/>
          <w:szCs w:val="26"/>
          <w:lang w:val="lt-LT"/>
        </w:rPr>
        <w:t xml:space="preserve"> </w:t>
      </w:r>
      <w:r w:rsidR="00A82E89" w:rsidRPr="009E5838">
        <w:rPr>
          <w:sz w:val="26"/>
          <w:szCs w:val="26"/>
          <w:lang w:val="lt-LT"/>
        </w:rPr>
        <w:t>i</w:t>
      </w:r>
      <w:r w:rsidR="00F81529" w:rsidRPr="009E5838">
        <w:rPr>
          <w:sz w:val="26"/>
          <w:szCs w:val="26"/>
          <w:lang w:val="lt-LT"/>
        </w:rPr>
        <w:t>r</w:t>
      </w:r>
      <w:r w:rsidR="00A0137F" w:rsidRPr="009E5838">
        <w:rPr>
          <w:sz w:val="26"/>
          <w:szCs w:val="26"/>
          <w:lang w:val="lt-LT"/>
        </w:rPr>
        <w:t xml:space="preserve"> </w:t>
      </w:r>
      <w:r w:rsidR="0065304D" w:rsidRPr="009E5838">
        <w:rPr>
          <w:sz w:val="26"/>
          <w:szCs w:val="26"/>
          <w:lang w:val="lt-LT"/>
        </w:rPr>
        <w:t xml:space="preserve">3) </w:t>
      </w:r>
      <w:r w:rsidR="00A0137F" w:rsidRPr="009E5838">
        <w:rPr>
          <w:i/>
          <w:sz w:val="26"/>
          <w:szCs w:val="26"/>
          <w:lang w:val="lt-LT"/>
        </w:rPr>
        <w:t>požiūris</w:t>
      </w:r>
      <w:r w:rsidR="00A82E89" w:rsidRPr="009E5838">
        <w:rPr>
          <w:i/>
          <w:sz w:val="26"/>
          <w:szCs w:val="26"/>
          <w:lang w:val="lt-LT"/>
        </w:rPr>
        <w:t>/</w:t>
      </w:r>
      <w:r w:rsidR="00A0137F" w:rsidRPr="009E5838">
        <w:rPr>
          <w:i/>
          <w:sz w:val="26"/>
          <w:szCs w:val="26"/>
          <w:lang w:val="lt-LT"/>
        </w:rPr>
        <w:t>racionalizacija</w:t>
      </w:r>
      <w:r w:rsidR="009D6E52" w:rsidRPr="009E5838">
        <w:rPr>
          <w:sz w:val="26"/>
          <w:szCs w:val="26"/>
          <w:lang w:val="lt-LT"/>
        </w:rPr>
        <w:t xml:space="preserve">. Pirmiausia turi būti paskatos ar spaudimas (asmeninės finansinės problemos, asmeninės ydos (lošimas, narkotikai ir kt.), nerealūs įvykdymo terminai ir veiklos tikslai), </w:t>
      </w:r>
      <w:r w:rsidR="00975584" w:rsidRPr="009E5838">
        <w:rPr>
          <w:sz w:val="26"/>
          <w:szCs w:val="26"/>
          <w:lang w:val="lt-LT"/>
        </w:rPr>
        <w:t>lemiant</w:t>
      </w:r>
      <w:r w:rsidR="006A32BE" w:rsidRPr="009E5838">
        <w:rPr>
          <w:sz w:val="26"/>
          <w:szCs w:val="26"/>
          <w:lang w:val="lt-LT"/>
        </w:rPr>
        <w:t>y</w:t>
      </w:r>
      <w:r w:rsidR="009D6E52" w:rsidRPr="009E5838">
        <w:rPr>
          <w:sz w:val="26"/>
          <w:szCs w:val="26"/>
          <w:lang w:val="lt-LT"/>
        </w:rPr>
        <w:t xml:space="preserve">s </w:t>
      </w:r>
      <w:r w:rsidR="00975584" w:rsidRPr="009E5838">
        <w:rPr>
          <w:sz w:val="26"/>
          <w:szCs w:val="26"/>
          <w:lang w:val="lt-LT"/>
        </w:rPr>
        <w:t>motyvą</w:t>
      </w:r>
      <w:r w:rsidR="009D6E52" w:rsidRPr="009E5838">
        <w:rPr>
          <w:sz w:val="26"/>
          <w:szCs w:val="26"/>
          <w:lang w:val="lt-LT"/>
        </w:rPr>
        <w:t xml:space="preserve"> įvykdyti apgaulę. Antra, turi būti galimybė įvykdyti apgaulę. Galimybė paprastai atsiranda dėl </w:t>
      </w:r>
      <w:r w:rsidR="00404918" w:rsidRPr="009E5838">
        <w:rPr>
          <w:sz w:val="26"/>
          <w:szCs w:val="26"/>
          <w:lang w:val="lt-LT"/>
        </w:rPr>
        <w:t xml:space="preserve">įmonės </w:t>
      </w:r>
      <w:r w:rsidR="009D6E52" w:rsidRPr="009E5838">
        <w:rPr>
          <w:sz w:val="26"/>
          <w:szCs w:val="26"/>
          <w:lang w:val="lt-LT"/>
        </w:rPr>
        <w:t>vidaus kontrolės sistemos trūkumų</w:t>
      </w:r>
      <w:r w:rsidR="00CF51DC" w:rsidRPr="009E5838">
        <w:rPr>
          <w:sz w:val="26"/>
          <w:szCs w:val="26"/>
          <w:lang w:val="lt-LT"/>
        </w:rPr>
        <w:t>, tačiau tai, anot T.</w:t>
      </w:r>
      <w:r w:rsidR="008872D7">
        <w:rPr>
          <w:sz w:val="26"/>
          <w:szCs w:val="26"/>
          <w:lang w:val="lt-LT"/>
        </w:rPr>
        <w:t> </w:t>
      </w:r>
      <w:r w:rsidR="00CF51DC" w:rsidRPr="009E5838">
        <w:rPr>
          <w:sz w:val="26"/>
          <w:szCs w:val="26"/>
          <w:lang w:val="lt-LT"/>
        </w:rPr>
        <w:t xml:space="preserve">Coenen (2007), </w:t>
      </w:r>
      <w:r w:rsidR="006A32BE" w:rsidRPr="009E5838">
        <w:rPr>
          <w:sz w:val="26"/>
          <w:szCs w:val="26"/>
          <w:lang w:val="lt-LT"/>
        </w:rPr>
        <w:t xml:space="preserve">yra </w:t>
      </w:r>
      <w:r w:rsidR="00CF51DC" w:rsidRPr="009E5838">
        <w:rPr>
          <w:sz w:val="26"/>
          <w:szCs w:val="26"/>
          <w:lang w:val="lt-LT"/>
        </w:rPr>
        <w:t>sąlyga, kurią įmonės vadovybė gali labiausiai kontroliuoti</w:t>
      </w:r>
      <w:r w:rsidR="00404918" w:rsidRPr="009E5838">
        <w:rPr>
          <w:sz w:val="26"/>
          <w:szCs w:val="26"/>
          <w:lang w:val="lt-LT"/>
        </w:rPr>
        <w:t>.</w:t>
      </w:r>
      <w:r w:rsidR="009D6E52" w:rsidRPr="009E5838">
        <w:rPr>
          <w:sz w:val="26"/>
          <w:szCs w:val="26"/>
          <w:lang w:val="lt-LT"/>
        </w:rPr>
        <w:t xml:space="preserve"> Trečia, asmenys vykdantys apgaulę turi turėti </w:t>
      </w:r>
      <w:r w:rsidR="009D6E52" w:rsidRPr="009E5838">
        <w:rPr>
          <w:sz w:val="26"/>
          <w:szCs w:val="26"/>
          <w:lang w:val="lt-LT"/>
        </w:rPr>
        <w:lastRenderedPageBreak/>
        <w:t xml:space="preserve">požiūrį/racionalizaciją, t. y. pateisinimą dėl savo apgaulingos veiklos, kuris leidžia atlikti apgaulę. Racionalizacija skiriasi kiekvienu atveju ir priklauso nuo asmens. </w:t>
      </w:r>
      <w:r w:rsidR="00147770" w:rsidRPr="009E5838">
        <w:rPr>
          <w:sz w:val="26"/>
          <w:szCs w:val="26"/>
          <w:lang w:val="lt-LT"/>
        </w:rPr>
        <w:t>Įvardintų a</w:t>
      </w:r>
      <w:r w:rsidR="009D6E52" w:rsidRPr="009E5838">
        <w:rPr>
          <w:sz w:val="26"/>
          <w:szCs w:val="26"/>
          <w:lang w:val="lt-LT"/>
        </w:rPr>
        <w:t xml:space="preserve">pgaulės sąlygų „trikampiui“ pritaria </w:t>
      </w:r>
      <w:r w:rsidR="0047588C" w:rsidRPr="009E5838">
        <w:rPr>
          <w:sz w:val="26"/>
          <w:szCs w:val="26"/>
          <w:lang w:val="lt-LT"/>
        </w:rPr>
        <w:t xml:space="preserve">D. McNamee (1999), </w:t>
      </w:r>
      <w:r w:rsidR="007E7016" w:rsidRPr="009E5838">
        <w:rPr>
          <w:sz w:val="26"/>
          <w:szCs w:val="26"/>
          <w:lang w:val="lt-LT"/>
        </w:rPr>
        <w:t>J. I. Turner, T.</w:t>
      </w:r>
      <w:r w:rsidR="00B758CB">
        <w:rPr>
          <w:sz w:val="26"/>
          <w:szCs w:val="26"/>
          <w:lang w:val="lt-LT"/>
        </w:rPr>
        <w:t> </w:t>
      </w:r>
      <w:r w:rsidR="007E7016" w:rsidRPr="009E5838">
        <w:rPr>
          <w:sz w:val="26"/>
          <w:szCs w:val="26"/>
          <w:lang w:val="lt-LT"/>
        </w:rPr>
        <w:t>J.</w:t>
      </w:r>
      <w:r w:rsidR="00B758CB">
        <w:rPr>
          <w:sz w:val="26"/>
          <w:szCs w:val="26"/>
          <w:lang w:val="lt-LT"/>
        </w:rPr>
        <w:t> </w:t>
      </w:r>
      <w:r w:rsidR="007E7016" w:rsidRPr="009E5838">
        <w:rPr>
          <w:sz w:val="26"/>
          <w:szCs w:val="26"/>
          <w:lang w:val="lt-LT"/>
        </w:rPr>
        <w:t>Mock, R.</w:t>
      </w:r>
      <w:r w:rsidR="00E0317B" w:rsidRPr="009E5838">
        <w:rPr>
          <w:sz w:val="26"/>
          <w:szCs w:val="26"/>
          <w:lang w:val="lt-LT"/>
        </w:rPr>
        <w:t> </w:t>
      </w:r>
      <w:r w:rsidR="007E7016" w:rsidRPr="009E5838">
        <w:rPr>
          <w:sz w:val="26"/>
          <w:szCs w:val="26"/>
          <w:lang w:val="lt-LT"/>
        </w:rPr>
        <w:t>P.</w:t>
      </w:r>
      <w:r w:rsidR="00E0317B" w:rsidRPr="009E5838">
        <w:rPr>
          <w:sz w:val="26"/>
          <w:szCs w:val="26"/>
          <w:lang w:val="lt-LT"/>
        </w:rPr>
        <w:t> </w:t>
      </w:r>
      <w:r w:rsidR="007E7016" w:rsidRPr="009E5838">
        <w:rPr>
          <w:sz w:val="26"/>
          <w:szCs w:val="26"/>
          <w:lang w:val="lt-LT"/>
        </w:rPr>
        <w:t xml:space="preserve">Srivastava (2003), </w:t>
      </w:r>
      <w:r w:rsidR="002F7643" w:rsidRPr="009E5838">
        <w:rPr>
          <w:sz w:val="26"/>
          <w:szCs w:val="26"/>
          <w:lang w:val="lt-LT"/>
        </w:rPr>
        <w:t>L. Graham, J.</w:t>
      </w:r>
      <w:r w:rsidR="009E5838">
        <w:rPr>
          <w:sz w:val="26"/>
          <w:szCs w:val="26"/>
          <w:lang w:val="lt-LT"/>
        </w:rPr>
        <w:t> </w:t>
      </w:r>
      <w:r w:rsidR="002F7643" w:rsidRPr="009E5838">
        <w:rPr>
          <w:sz w:val="26"/>
          <w:szCs w:val="26"/>
          <w:lang w:val="lt-LT"/>
        </w:rPr>
        <w:t>C.</w:t>
      </w:r>
      <w:r w:rsidR="009E5838">
        <w:rPr>
          <w:sz w:val="26"/>
          <w:szCs w:val="26"/>
          <w:lang w:val="lt-LT"/>
        </w:rPr>
        <w:t> </w:t>
      </w:r>
      <w:r w:rsidR="002F7643" w:rsidRPr="009E5838">
        <w:rPr>
          <w:sz w:val="26"/>
          <w:szCs w:val="26"/>
          <w:lang w:val="lt-LT"/>
        </w:rPr>
        <w:t>Bedard (2003)</w:t>
      </w:r>
      <w:r w:rsidR="00C43EC9" w:rsidRPr="009E5838">
        <w:rPr>
          <w:sz w:val="26"/>
          <w:szCs w:val="26"/>
          <w:lang w:val="lt-LT"/>
        </w:rPr>
        <w:t>,</w:t>
      </w:r>
      <w:r w:rsidR="00CF51DC" w:rsidRPr="009E5838">
        <w:rPr>
          <w:sz w:val="26"/>
          <w:szCs w:val="26"/>
          <w:lang w:val="lt-LT"/>
        </w:rPr>
        <w:t xml:space="preserve"> </w:t>
      </w:r>
      <w:r w:rsidR="009D6E52" w:rsidRPr="009E5838">
        <w:rPr>
          <w:sz w:val="26"/>
          <w:szCs w:val="26"/>
          <w:lang w:val="lt-LT"/>
        </w:rPr>
        <w:t>D.</w:t>
      </w:r>
      <w:r w:rsidR="00B758CB">
        <w:rPr>
          <w:sz w:val="26"/>
          <w:szCs w:val="26"/>
          <w:lang w:val="lt-LT"/>
        </w:rPr>
        <w:t> </w:t>
      </w:r>
      <w:r w:rsidR="009D6E52" w:rsidRPr="009E5838">
        <w:rPr>
          <w:sz w:val="26"/>
          <w:szCs w:val="26"/>
          <w:lang w:val="lt-LT"/>
        </w:rPr>
        <w:t>Cormier</w:t>
      </w:r>
      <w:r w:rsidR="007E7016" w:rsidRPr="009E5838">
        <w:rPr>
          <w:sz w:val="26"/>
          <w:szCs w:val="26"/>
          <w:lang w:val="lt-LT"/>
        </w:rPr>
        <w:t xml:space="preserve">, </w:t>
      </w:r>
      <w:r w:rsidR="009D6E52" w:rsidRPr="009E5838">
        <w:rPr>
          <w:sz w:val="26"/>
          <w:szCs w:val="26"/>
          <w:lang w:val="lt-LT"/>
        </w:rPr>
        <w:t>P. Lapointe (2005)</w:t>
      </w:r>
      <w:r w:rsidR="002F7643" w:rsidRPr="009E5838">
        <w:rPr>
          <w:sz w:val="26"/>
          <w:szCs w:val="26"/>
          <w:lang w:val="lt-LT"/>
        </w:rPr>
        <w:t>, taip pat T. Coenen (2007</w:t>
      </w:r>
      <w:r w:rsidR="00C43EC9" w:rsidRPr="009E5838">
        <w:rPr>
          <w:sz w:val="26"/>
          <w:szCs w:val="26"/>
          <w:lang w:val="lt-LT"/>
        </w:rPr>
        <w:t>)</w:t>
      </w:r>
      <w:r w:rsidR="009D6E52" w:rsidRPr="009E5838">
        <w:rPr>
          <w:sz w:val="26"/>
          <w:szCs w:val="26"/>
          <w:lang w:val="lt-LT"/>
        </w:rPr>
        <w:t xml:space="preserve">. </w:t>
      </w:r>
      <w:r w:rsidR="0071004A" w:rsidRPr="009E5838">
        <w:rPr>
          <w:sz w:val="26"/>
          <w:szCs w:val="26"/>
          <w:lang w:val="lt-LT"/>
        </w:rPr>
        <w:t xml:space="preserve">Tačiau </w:t>
      </w:r>
      <w:r w:rsidR="00147770" w:rsidRPr="009E5838">
        <w:rPr>
          <w:sz w:val="26"/>
          <w:szCs w:val="26"/>
          <w:lang w:val="lt-LT"/>
        </w:rPr>
        <w:t>J.</w:t>
      </w:r>
      <w:r w:rsidR="00B758CB">
        <w:rPr>
          <w:sz w:val="26"/>
          <w:szCs w:val="26"/>
          <w:lang w:val="lt-LT"/>
        </w:rPr>
        <w:t> </w:t>
      </w:r>
      <w:r w:rsidR="00147770" w:rsidRPr="009E5838">
        <w:rPr>
          <w:sz w:val="26"/>
          <w:szCs w:val="26"/>
          <w:lang w:val="lt-LT"/>
        </w:rPr>
        <w:t>Kabašinskas, I. Toliatienė (1997)</w:t>
      </w:r>
      <w:r w:rsidR="0071004A" w:rsidRPr="009E5838">
        <w:rPr>
          <w:sz w:val="26"/>
          <w:szCs w:val="26"/>
          <w:lang w:val="lt-LT"/>
        </w:rPr>
        <w:t xml:space="preserve"> išskiria </w:t>
      </w:r>
      <w:r w:rsidR="00D27AF6" w:rsidRPr="009E5838">
        <w:rPr>
          <w:sz w:val="26"/>
          <w:szCs w:val="26"/>
          <w:lang w:val="lt-LT"/>
        </w:rPr>
        <w:t xml:space="preserve">kiek kitokias </w:t>
      </w:r>
      <w:r w:rsidR="0071004A" w:rsidRPr="009E5838">
        <w:rPr>
          <w:sz w:val="26"/>
          <w:szCs w:val="26"/>
          <w:lang w:val="lt-LT"/>
        </w:rPr>
        <w:t>apgaulės sąlygas:</w:t>
      </w:r>
      <w:r w:rsidR="00795A61" w:rsidRPr="009E5838">
        <w:rPr>
          <w:sz w:val="26"/>
          <w:szCs w:val="26"/>
          <w:lang w:val="lt-LT"/>
        </w:rPr>
        <w:t xml:space="preserve"> 1)</w:t>
      </w:r>
      <w:r w:rsidR="00B758CB">
        <w:rPr>
          <w:sz w:val="26"/>
          <w:szCs w:val="26"/>
          <w:lang w:val="lt-LT"/>
        </w:rPr>
        <w:t> </w:t>
      </w:r>
      <w:r w:rsidR="00795A61" w:rsidRPr="009E5838">
        <w:rPr>
          <w:sz w:val="26"/>
          <w:szCs w:val="26"/>
          <w:lang w:val="lt-LT"/>
        </w:rPr>
        <w:t>motyvai, 2) gera proga ir 3) nauda; J. Mackevičius (1994) – 1) motyvai, 2)</w:t>
      </w:r>
      <w:r w:rsidR="00B758CB">
        <w:rPr>
          <w:sz w:val="26"/>
          <w:szCs w:val="26"/>
          <w:lang w:val="lt-LT"/>
        </w:rPr>
        <w:t> </w:t>
      </w:r>
      <w:r w:rsidR="00795A61" w:rsidRPr="009E5838">
        <w:rPr>
          <w:sz w:val="26"/>
          <w:szCs w:val="26"/>
          <w:lang w:val="lt-LT"/>
        </w:rPr>
        <w:t xml:space="preserve">gera proga bei 3) manymas, kad nepastebės. </w:t>
      </w:r>
      <w:r w:rsidR="0071004A" w:rsidRPr="009E5838">
        <w:rPr>
          <w:sz w:val="26"/>
          <w:szCs w:val="26"/>
          <w:lang w:val="lt-LT"/>
        </w:rPr>
        <w:t xml:space="preserve">Darbo autorės nuomone, </w:t>
      </w:r>
      <w:r w:rsidR="00D27AF6" w:rsidRPr="009E5838">
        <w:rPr>
          <w:sz w:val="26"/>
          <w:szCs w:val="26"/>
          <w:lang w:val="lt-LT"/>
        </w:rPr>
        <w:t>nauda – tikslas, kurio siekiama vykdant apgaulę</w:t>
      </w:r>
      <w:r w:rsidR="00C73275" w:rsidRPr="009E5838">
        <w:rPr>
          <w:sz w:val="26"/>
          <w:szCs w:val="26"/>
          <w:lang w:val="lt-LT"/>
        </w:rPr>
        <w:t xml:space="preserve"> ar klaidas</w:t>
      </w:r>
      <w:r w:rsidR="00D27AF6" w:rsidRPr="009E5838">
        <w:rPr>
          <w:sz w:val="26"/>
          <w:szCs w:val="26"/>
          <w:lang w:val="lt-LT"/>
        </w:rPr>
        <w:t xml:space="preserve">, tačiau ne </w:t>
      </w:r>
      <w:r w:rsidR="00C73275" w:rsidRPr="009E5838">
        <w:rPr>
          <w:sz w:val="26"/>
          <w:szCs w:val="26"/>
          <w:lang w:val="lt-LT"/>
        </w:rPr>
        <w:t xml:space="preserve">pagrindinė </w:t>
      </w:r>
      <w:r w:rsidR="00D27AF6" w:rsidRPr="009E5838">
        <w:rPr>
          <w:sz w:val="26"/>
          <w:szCs w:val="26"/>
          <w:lang w:val="lt-LT"/>
        </w:rPr>
        <w:t>sąlyga j</w:t>
      </w:r>
      <w:r w:rsidR="00C73275" w:rsidRPr="009E5838">
        <w:rPr>
          <w:sz w:val="26"/>
          <w:szCs w:val="26"/>
          <w:lang w:val="lt-LT"/>
        </w:rPr>
        <w:t>oms</w:t>
      </w:r>
      <w:r w:rsidR="00D27AF6" w:rsidRPr="009E5838">
        <w:rPr>
          <w:sz w:val="26"/>
          <w:szCs w:val="26"/>
          <w:lang w:val="lt-LT"/>
        </w:rPr>
        <w:t xml:space="preserve"> pasireikšti. </w:t>
      </w:r>
      <w:r w:rsidR="009D6E52" w:rsidRPr="009E5838">
        <w:rPr>
          <w:sz w:val="26"/>
          <w:szCs w:val="26"/>
          <w:lang w:val="lt-LT"/>
        </w:rPr>
        <w:t>D. T. Wolfe ir D. R. Hermanson (2004) teigia, kad vis dėlto egzistuoja „apgaulės rombas“ ir prie aptartų trijų apgaulės sąlygų priskiria ketvirtąją sąlygą – sugebėjimus. Tai paaiškinama tuo, kad asmuo atliekantis apgaulę turi turėti reikiamus bruožus ir gebėjimus sėkmingai įvykdyti apgaulę.</w:t>
      </w:r>
      <w:r w:rsidR="002D79D2" w:rsidRPr="009E5838">
        <w:rPr>
          <w:sz w:val="26"/>
          <w:szCs w:val="26"/>
          <w:lang w:val="lt-LT"/>
        </w:rPr>
        <w:t xml:space="preserve"> </w:t>
      </w:r>
      <w:r w:rsidR="00383717" w:rsidRPr="009E5838">
        <w:rPr>
          <w:sz w:val="26"/>
          <w:szCs w:val="26"/>
          <w:lang w:val="lt-LT"/>
        </w:rPr>
        <w:t xml:space="preserve">Galimybė „atveria duris“ į apgaulę, spaudimas ir racionalizacija gali pastūmėti link jos, tačiau asmuo turi turėti sugebėjimus, kad galėtų </w:t>
      </w:r>
      <w:r w:rsidR="00A32663" w:rsidRPr="009E5838">
        <w:rPr>
          <w:sz w:val="26"/>
          <w:szCs w:val="26"/>
          <w:lang w:val="lt-LT"/>
        </w:rPr>
        <w:t>„</w:t>
      </w:r>
      <w:r w:rsidR="00383717" w:rsidRPr="009E5838">
        <w:rPr>
          <w:sz w:val="26"/>
          <w:szCs w:val="26"/>
          <w:lang w:val="lt-LT"/>
        </w:rPr>
        <w:t>atpažinti, jog durys yra atviros</w:t>
      </w:r>
      <w:r w:rsidR="00A32663" w:rsidRPr="009E5838">
        <w:rPr>
          <w:sz w:val="26"/>
          <w:szCs w:val="26"/>
          <w:lang w:val="lt-LT"/>
        </w:rPr>
        <w:t>“</w:t>
      </w:r>
      <w:r w:rsidR="00383717" w:rsidRPr="009E5838">
        <w:rPr>
          <w:sz w:val="26"/>
          <w:szCs w:val="26"/>
          <w:lang w:val="lt-LT"/>
        </w:rPr>
        <w:t xml:space="preserve"> ir tuo pasinaudoti. </w:t>
      </w:r>
    </w:p>
    <w:p w:rsidR="00383717" w:rsidRDefault="00166819" w:rsidP="008E26D5">
      <w:pPr>
        <w:spacing w:line="360" w:lineRule="auto"/>
        <w:ind w:firstLine="720"/>
        <w:jc w:val="both"/>
        <w:rPr>
          <w:sz w:val="24"/>
          <w:szCs w:val="24"/>
          <w:lang w:val="lt-LT"/>
        </w:rPr>
      </w:pPr>
      <w:r>
        <w:rPr>
          <w:noProof/>
          <w:sz w:val="24"/>
          <w:szCs w:val="24"/>
          <w:lang w:val="lt-LT"/>
        </w:rPr>
        <w:pict>
          <v:group id="_x0000_s74472" style="position:absolute;left:0;text-align:left;margin-left:44pt;margin-top:11.45pt;width:343.8pt;height:216.75pt;z-index:253993984" coordorigin="2694,10275" coordsize="6876,4335">
            <v:shapetype id="_x0000_t4" coordsize="21600,21600" o:spt="4" path="m10800,l,10800,10800,21600,21600,10800xe">
              <v:stroke joinstyle="miter"/>
              <v:path gradientshapeok="t" o:connecttype="rect" textboxrect="5400,5400,16200,16200"/>
            </v:shapetype>
            <v:shape id="_x0000_s74471" type="#_x0000_t4" style="position:absolute;left:3944;top:10275;width:4546;height:4335" fillcolor="#f2f2f2 [3052]" strokecolor="#a5a5a5 [2092]" strokeweight="4.5pt">
              <v:stroke linestyle="thinThick"/>
            </v:shape>
            <v:roundrect id="_x0000_s2654" style="position:absolute;left:6295;top:10620;width:3275;height:1680" arcsize="13960f" o:regroupid="102" fillcolor="white [3212]" strokecolor="#bfbfbf [2412]" strokeweight="1.5pt">
              <v:stroke dashstyle="1 1"/>
              <v:textbox style="mso-next-textbox:#_x0000_s2654">
                <w:txbxContent>
                  <w:p w:rsidR="00BE5795" w:rsidRPr="00866B0C" w:rsidRDefault="00BE5795" w:rsidP="002E3DF5">
                    <w:pPr>
                      <w:jc w:val="center"/>
                      <w:rPr>
                        <w:b/>
                        <w:sz w:val="22"/>
                        <w:szCs w:val="22"/>
                        <w:lang w:val="lt-LT"/>
                      </w:rPr>
                    </w:pPr>
                    <w:r w:rsidRPr="00866B0C">
                      <w:rPr>
                        <w:b/>
                        <w:sz w:val="22"/>
                        <w:szCs w:val="22"/>
                        <w:lang w:val="lt-LT"/>
                      </w:rPr>
                      <w:t>Paskatos/Spaudimas</w:t>
                    </w:r>
                  </w:p>
                  <w:p w:rsidR="00BE5795" w:rsidRPr="00866B0C" w:rsidRDefault="00BE5795" w:rsidP="00866B0C">
                    <w:pPr>
                      <w:jc w:val="center"/>
                      <w:rPr>
                        <w:sz w:val="22"/>
                        <w:szCs w:val="22"/>
                        <w:lang w:val="lt-LT"/>
                      </w:rPr>
                    </w:pPr>
                    <w:r w:rsidRPr="00866B0C">
                      <w:rPr>
                        <w:sz w:val="22"/>
                        <w:szCs w:val="22"/>
                        <w:lang w:val="lt-LT"/>
                      </w:rPr>
                      <w:t>Vadovybė ar kiti darbuotojai gali turėti paskatų ar būti verčiami, kas lemia motyvą įvykdyti apgaulę.</w:t>
                    </w:r>
                  </w:p>
                </w:txbxContent>
              </v:textbox>
            </v:roundrect>
            <v:roundrect id="_x0000_s2655" style="position:absolute;left:2805;top:12705;width:3284;height:1455" arcsize="10923f" o:regroupid="102" fillcolor="white [3212]" strokecolor="#bfbfbf [2412]" strokeweight="1.5pt">
              <v:stroke dashstyle="1 1"/>
              <v:textbox style="mso-next-textbox:#_x0000_s2655" inset="1mm,0,1mm,0">
                <w:txbxContent>
                  <w:p w:rsidR="00BE5795" w:rsidRPr="00866B0C" w:rsidRDefault="00BE5795" w:rsidP="002E3DF5">
                    <w:pPr>
                      <w:jc w:val="center"/>
                      <w:rPr>
                        <w:b/>
                        <w:sz w:val="22"/>
                        <w:szCs w:val="22"/>
                        <w:lang w:val="lt-LT"/>
                      </w:rPr>
                    </w:pPr>
                    <w:r w:rsidRPr="00866B0C">
                      <w:rPr>
                        <w:b/>
                        <w:sz w:val="22"/>
                        <w:szCs w:val="22"/>
                        <w:lang w:val="lt-LT"/>
                      </w:rPr>
                      <w:t xml:space="preserve">Požiūris/Racionalizacija </w:t>
                    </w:r>
                  </w:p>
                  <w:p w:rsidR="00BE5795" w:rsidRPr="00866B0C" w:rsidRDefault="00BE5795" w:rsidP="002E3DF5">
                    <w:pPr>
                      <w:jc w:val="center"/>
                      <w:rPr>
                        <w:sz w:val="22"/>
                        <w:szCs w:val="22"/>
                        <w:lang w:val="lt-LT"/>
                      </w:rPr>
                    </w:pPr>
                    <w:r w:rsidRPr="00866B0C">
                      <w:rPr>
                        <w:sz w:val="22"/>
                        <w:szCs w:val="22"/>
                        <w:lang w:val="lt-LT"/>
                      </w:rPr>
                      <w:t xml:space="preserve">Tie, kurie įtraukti į apgaulę, turi požiūrį, charakterį ar vertybes, kurios leidžia jiems žinant ir tyčia atlikti nesąžiningą veiksmą. </w:t>
                    </w:r>
                  </w:p>
                </w:txbxContent>
              </v:textbox>
            </v:roundrect>
            <v:roundrect id="_x0000_s2656" style="position:absolute;left:2694;top:10605;width:3395;height:1695" arcsize="10923f" o:regroupid="102" fillcolor="white [3212]" strokecolor="#bfbfbf [2412]" strokeweight="1.5pt">
              <v:stroke dashstyle="1 1"/>
              <v:textbox style="mso-next-textbox:#_x0000_s2656" inset="1mm,0,1mm,0">
                <w:txbxContent>
                  <w:p w:rsidR="00BE5795" w:rsidRPr="00866B0C" w:rsidRDefault="00BE5795" w:rsidP="00866B0C">
                    <w:pPr>
                      <w:jc w:val="center"/>
                      <w:rPr>
                        <w:b/>
                        <w:sz w:val="22"/>
                        <w:szCs w:val="22"/>
                        <w:lang w:val="lt-LT"/>
                      </w:rPr>
                    </w:pPr>
                    <w:r w:rsidRPr="00866B0C">
                      <w:rPr>
                        <w:b/>
                        <w:sz w:val="22"/>
                        <w:szCs w:val="22"/>
                        <w:lang w:val="lt-LT"/>
                      </w:rPr>
                      <w:t>Galimybės</w:t>
                    </w:r>
                  </w:p>
                  <w:p w:rsidR="00BE5795" w:rsidRPr="00866B0C" w:rsidRDefault="00BE5795" w:rsidP="006C34DC">
                    <w:pPr>
                      <w:jc w:val="center"/>
                      <w:rPr>
                        <w:sz w:val="22"/>
                        <w:szCs w:val="22"/>
                        <w:lang w:val="lt-LT"/>
                      </w:rPr>
                    </w:pPr>
                    <w:r w:rsidRPr="00866B0C">
                      <w:rPr>
                        <w:sz w:val="22"/>
                        <w:szCs w:val="22"/>
                        <w:lang w:val="lt-LT"/>
                      </w:rPr>
                      <w:t>Egzistuoja aplinkybės –neveiksminga kontrolė</w:t>
                    </w:r>
                    <w:r>
                      <w:rPr>
                        <w:sz w:val="22"/>
                        <w:szCs w:val="22"/>
                        <w:lang w:val="lt-LT"/>
                      </w:rPr>
                      <w:t>, jos nebuvimas</w:t>
                    </w:r>
                    <w:r w:rsidRPr="00866B0C">
                      <w:rPr>
                        <w:sz w:val="22"/>
                        <w:szCs w:val="22"/>
                        <w:lang w:val="lt-LT"/>
                      </w:rPr>
                      <w:t xml:space="preserve"> ar vadovybės galėjimas apeiti kontrolę – sudarančios sąlygas įvykdyti apgaulę. </w:t>
                    </w:r>
                  </w:p>
                </w:txbxContent>
              </v:textbox>
            </v:roundrect>
            <v:roundrect id="_x0000_s74466" style="position:absolute;left:6295;top:12705;width:3275;height:1440" arcsize="10923f" fillcolor="white [3212]" strokecolor="#bfbfbf [2412]" strokeweight="1.5pt">
              <v:stroke dashstyle="1 1"/>
              <v:textbox style="mso-next-textbox:#_x0000_s74466" inset="1mm,0,1mm,0">
                <w:txbxContent>
                  <w:p w:rsidR="00BE5795" w:rsidRPr="00866B0C" w:rsidRDefault="00BE5795" w:rsidP="00866B0C">
                    <w:pPr>
                      <w:jc w:val="center"/>
                      <w:rPr>
                        <w:b/>
                        <w:sz w:val="22"/>
                        <w:szCs w:val="22"/>
                        <w:lang w:val="lt-LT"/>
                      </w:rPr>
                    </w:pPr>
                    <w:r>
                      <w:rPr>
                        <w:b/>
                        <w:sz w:val="22"/>
                        <w:szCs w:val="22"/>
                        <w:lang w:val="lt-LT"/>
                      </w:rPr>
                      <w:t>Sugebėjimai</w:t>
                    </w:r>
                    <w:r w:rsidRPr="00866B0C">
                      <w:rPr>
                        <w:b/>
                        <w:sz w:val="22"/>
                        <w:szCs w:val="22"/>
                        <w:lang w:val="lt-LT"/>
                      </w:rPr>
                      <w:t xml:space="preserve"> </w:t>
                    </w:r>
                  </w:p>
                  <w:p w:rsidR="00BE5795" w:rsidRPr="00866B0C" w:rsidRDefault="00BE5795" w:rsidP="00866B0C">
                    <w:pPr>
                      <w:jc w:val="center"/>
                      <w:rPr>
                        <w:sz w:val="22"/>
                        <w:szCs w:val="22"/>
                        <w:lang w:val="lt-LT"/>
                      </w:rPr>
                    </w:pPr>
                    <w:r w:rsidRPr="00866B0C">
                      <w:rPr>
                        <w:sz w:val="22"/>
                        <w:szCs w:val="22"/>
                        <w:lang w:val="lt-LT"/>
                      </w:rPr>
                      <w:t xml:space="preserve">Tie, kurie </w:t>
                    </w:r>
                    <w:r>
                      <w:rPr>
                        <w:sz w:val="22"/>
                        <w:szCs w:val="22"/>
                        <w:lang w:val="lt-LT"/>
                      </w:rPr>
                      <w:t xml:space="preserve">vykdo </w:t>
                    </w:r>
                    <w:r w:rsidRPr="00866B0C">
                      <w:rPr>
                        <w:sz w:val="22"/>
                        <w:szCs w:val="22"/>
                        <w:lang w:val="lt-LT"/>
                      </w:rPr>
                      <w:t xml:space="preserve">apgaulę, turi </w:t>
                    </w:r>
                    <w:r>
                      <w:rPr>
                        <w:sz w:val="22"/>
                        <w:szCs w:val="22"/>
                        <w:lang w:val="lt-LT"/>
                      </w:rPr>
                      <w:t>reikiamus bruožus ir gebėjimus atpažinti galimybes apgaulei ir ją įvykdyti</w:t>
                    </w:r>
                    <w:r w:rsidRPr="00866B0C">
                      <w:rPr>
                        <w:sz w:val="22"/>
                        <w:szCs w:val="22"/>
                        <w:lang w:val="lt-LT"/>
                      </w:rPr>
                      <w:t xml:space="preserve">. </w:t>
                    </w:r>
                  </w:p>
                </w:txbxContent>
              </v:textbox>
            </v:roundrect>
          </v:group>
        </w:pict>
      </w:r>
    </w:p>
    <w:p w:rsidR="00383717" w:rsidRDefault="00383717" w:rsidP="008E26D5">
      <w:pPr>
        <w:spacing w:line="360" w:lineRule="auto"/>
        <w:ind w:firstLine="720"/>
        <w:jc w:val="both"/>
        <w:rPr>
          <w:sz w:val="24"/>
          <w:szCs w:val="24"/>
          <w:lang w:val="lt-LT"/>
        </w:rPr>
      </w:pPr>
    </w:p>
    <w:p w:rsidR="00A82E89" w:rsidRDefault="00A82E89" w:rsidP="008E26D5">
      <w:pPr>
        <w:spacing w:line="360" w:lineRule="auto"/>
        <w:ind w:firstLine="720"/>
        <w:jc w:val="both"/>
        <w:rPr>
          <w:sz w:val="24"/>
          <w:szCs w:val="24"/>
          <w:lang w:val="lt-LT"/>
        </w:rPr>
      </w:pPr>
    </w:p>
    <w:p w:rsidR="00D37AEB" w:rsidRDefault="00D37AEB" w:rsidP="008E26D5">
      <w:pPr>
        <w:spacing w:line="360" w:lineRule="auto"/>
        <w:ind w:firstLine="720"/>
        <w:jc w:val="both"/>
        <w:rPr>
          <w:sz w:val="24"/>
          <w:szCs w:val="24"/>
          <w:lang w:val="lt-LT"/>
        </w:rPr>
      </w:pPr>
    </w:p>
    <w:p w:rsidR="00D37AEB" w:rsidRDefault="00D37AEB" w:rsidP="008E26D5">
      <w:pPr>
        <w:spacing w:line="360" w:lineRule="auto"/>
        <w:ind w:firstLine="720"/>
        <w:jc w:val="both"/>
        <w:rPr>
          <w:sz w:val="24"/>
          <w:szCs w:val="24"/>
          <w:lang w:val="lt-LT"/>
        </w:rPr>
      </w:pPr>
    </w:p>
    <w:p w:rsidR="00866B0C" w:rsidRDefault="00866B0C" w:rsidP="008E26D5">
      <w:pPr>
        <w:spacing w:line="360" w:lineRule="auto"/>
        <w:ind w:firstLine="720"/>
        <w:jc w:val="both"/>
        <w:rPr>
          <w:sz w:val="24"/>
          <w:szCs w:val="24"/>
          <w:lang w:val="lt-LT"/>
        </w:rPr>
      </w:pPr>
    </w:p>
    <w:p w:rsidR="00866B0C" w:rsidRDefault="00866B0C" w:rsidP="008E26D5">
      <w:pPr>
        <w:spacing w:line="360" w:lineRule="auto"/>
        <w:ind w:firstLine="720"/>
        <w:jc w:val="both"/>
        <w:rPr>
          <w:sz w:val="24"/>
          <w:szCs w:val="24"/>
          <w:lang w:val="lt-LT"/>
        </w:rPr>
      </w:pPr>
    </w:p>
    <w:p w:rsidR="00866B0C" w:rsidRDefault="00866B0C" w:rsidP="008E26D5">
      <w:pPr>
        <w:spacing w:line="360" w:lineRule="auto"/>
        <w:ind w:firstLine="720"/>
        <w:jc w:val="both"/>
        <w:rPr>
          <w:sz w:val="24"/>
          <w:szCs w:val="24"/>
          <w:lang w:val="lt-LT"/>
        </w:rPr>
      </w:pPr>
    </w:p>
    <w:p w:rsidR="00866B0C" w:rsidRDefault="00866B0C" w:rsidP="008E26D5">
      <w:pPr>
        <w:spacing w:line="360" w:lineRule="auto"/>
        <w:ind w:firstLine="720"/>
        <w:jc w:val="both"/>
        <w:rPr>
          <w:sz w:val="24"/>
          <w:szCs w:val="24"/>
          <w:lang w:val="lt-LT"/>
        </w:rPr>
      </w:pPr>
    </w:p>
    <w:p w:rsidR="00866B0C" w:rsidRDefault="00866B0C" w:rsidP="008E26D5">
      <w:pPr>
        <w:spacing w:line="360" w:lineRule="auto"/>
        <w:ind w:firstLine="720"/>
        <w:jc w:val="both"/>
        <w:rPr>
          <w:sz w:val="24"/>
          <w:szCs w:val="24"/>
          <w:lang w:val="lt-LT"/>
        </w:rPr>
      </w:pPr>
    </w:p>
    <w:p w:rsidR="00992033" w:rsidRDefault="00992033" w:rsidP="00034CB0">
      <w:pPr>
        <w:ind w:firstLine="720"/>
        <w:jc w:val="both"/>
        <w:rPr>
          <w:lang w:val="lt-LT"/>
        </w:rPr>
      </w:pPr>
    </w:p>
    <w:p w:rsidR="00A82E89" w:rsidRPr="00A82E89" w:rsidRDefault="00A82E89" w:rsidP="00034CB0">
      <w:pPr>
        <w:ind w:firstLine="720"/>
        <w:jc w:val="both"/>
        <w:rPr>
          <w:lang w:val="lt-LT"/>
        </w:rPr>
      </w:pPr>
      <w:r w:rsidRPr="00A82E89">
        <w:rPr>
          <w:lang w:val="lt-LT"/>
        </w:rPr>
        <w:t>Šaltini</w:t>
      </w:r>
      <w:r w:rsidR="003168AE">
        <w:rPr>
          <w:lang w:val="lt-LT"/>
        </w:rPr>
        <w:t>s: sukurta autorės</w:t>
      </w:r>
      <w:r w:rsidRPr="00A82E89">
        <w:rPr>
          <w:lang w:val="lt-LT"/>
        </w:rPr>
        <w:t xml:space="preserve">. </w:t>
      </w:r>
    </w:p>
    <w:p w:rsidR="00A82E89" w:rsidRPr="004A6595" w:rsidRDefault="002F7447" w:rsidP="00A82E89">
      <w:pPr>
        <w:spacing w:line="360" w:lineRule="auto"/>
        <w:ind w:left="1440" w:firstLine="720"/>
        <w:jc w:val="both"/>
        <w:rPr>
          <w:b/>
          <w:sz w:val="26"/>
          <w:szCs w:val="26"/>
          <w:lang w:val="lt-LT"/>
        </w:rPr>
      </w:pPr>
      <w:r w:rsidRPr="004A6595">
        <w:rPr>
          <w:b/>
          <w:sz w:val="26"/>
          <w:szCs w:val="26"/>
          <w:lang w:val="lt-LT"/>
        </w:rPr>
        <w:t>3</w:t>
      </w:r>
      <w:r w:rsidR="00A82E89" w:rsidRPr="004A6595">
        <w:rPr>
          <w:b/>
          <w:sz w:val="26"/>
          <w:szCs w:val="26"/>
          <w:lang w:val="lt-LT"/>
        </w:rPr>
        <w:t xml:space="preserve"> pav. Apgaulės </w:t>
      </w:r>
      <w:r w:rsidR="00E126A8" w:rsidRPr="004A6595">
        <w:rPr>
          <w:b/>
          <w:sz w:val="26"/>
          <w:szCs w:val="26"/>
          <w:lang w:val="lt-LT"/>
        </w:rPr>
        <w:t>s</w:t>
      </w:r>
      <w:r w:rsidR="00086074" w:rsidRPr="004A6595">
        <w:rPr>
          <w:b/>
          <w:sz w:val="26"/>
          <w:szCs w:val="26"/>
          <w:lang w:val="lt-LT"/>
        </w:rPr>
        <w:t xml:space="preserve">ąlygų </w:t>
      </w:r>
      <w:r w:rsidR="003168AE">
        <w:rPr>
          <w:b/>
          <w:sz w:val="26"/>
          <w:szCs w:val="26"/>
          <w:lang w:val="lt-LT"/>
        </w:rPr>
        <w:t>rombas</w:t>
      </w:r>
    </w:p>
    <w:p w:rsidR="006E4900" w:rsidRPr="004A6595" w:rsidRDefault="003136EF" w:rsidP="00992033">
      <w:pPr>
        <w:tabs>
          <w:tab w:val="left" w:pos="9637"/>
        </w:tabs>
        <w:spacing w:before="120" w:line="360" w:lineRule="auto"/>
        <w:ind w:firstLine="720"/>
        <w:jc w:val="both"/>
        <w:rPr>
          <w:sz w:val="26"/>
          <w:szCs w:val="26"/>
          <w:lang w:val="lt-LT"/>
        </w:rPr>
      </w:pPr>
      <w:r w:rsidRPr="004A6595">
        <w:rPr>
          <w:sz w:val="26"/>
          <w:szCs w:val="26"/>
          <w:lang w:val="lt-LT"/>
        </w:rPr>
        <w:t>Atsižvelgiant į tai, kad apgaulės vykdymas yra tyčinis ir iš anksto suplanuotas</w:t>
      </w:r>
      <w:r w:rsidR="00383717" w:rsidRPr="004A6595">
        <w:rPr>
          <w:sz w:val="26"/>
          <w:szCs w:val="26"/>
          <w:lang w:val="lt-LT"/>
        </w:rPr>
        <w:t xml:space="preserve"> veiksmas</w:t>
      </w:r>
      <w:r w:rsidRPr="004A6595">
        <w:rPr>
          <w:sz w:val="26"/>
          <w:szCs w:val="26"/>
          <w:lang w:val="lt-LT"/>
        </w:rPr>
        <w:t xml:space="preserve">, </w:t>
      </w:r>
      <w:r w:rsidR="00383717" w:rsidRPr="004A6595">
        <w:rPr>
          <w:sz w:val="26"/>
          <w:szCs w:val="26"/>
          <w:lang w:val="lt-LT"/>
        </w:rPr>
        <w:t xml:space="preserve">darbo </w:t>
      </w:r>
      <w:r w:rsidRPr="004A6595">
        <w:rPr>
          <w:sz w:val="26"/>
          <w:szCs w:val="26"/>
          <w:lang w:val="lt-LT"/>
        </w:rPr>
        <w:t>a</w:t>
      </w:r>
      <w:r w:rsidR="0096728F" w:rsidRPr="004A6595">
        <w:rPr>
          <w:sz w:val="26"/>
          <w:szCs w:val="26"/>
          <w:lang w:val="lt-LT"/>
        </w:rPr>
        <w:t xml:space="preserve">utorės nuomone, reikėtų sutikti su D. T. Wolfe ir D. R. Hermanson (2004) </w:t>
      </w:r>
      <w:r w:rsidR="002A4FEB" w:rsidRPr="004A6595">
        <w:rPr>
          <w:sz w:val="26"/>
          <w:szCs w:val="26"/>
          <w:lang w:val="lt-LT"/>
        </w:rPr>
        <w:t>požiūriu</w:t>
      </w:r>
      <w:r w:rsidRPr="004A6595">
        <w:rPr>
          <w:sz w:val="26"/>
          <w:szCs w:val="26"/>
          <w:lang w:val="lt-LT"/>
        </w:rPr>
        <w:t xml:space="preserve"> </w:t>
      </w:r>
      <w:r w:rsidR="0096728F" w:rsidRPr="004A6595">
        <w:rPr>
          <w:sz w:val="26"/>
          <w:szCs w:val="26"/>
          <w:lang w:val="lt-LT"/>
        </w:rPr>
        <w:t>ir pripažinti, kad „apgaulės rombas“</w:t>
      </w:r>
      <w:r w:rsidRPr="004A6595">
        <w:rPr>
          <w:sz w:val="26"/>
          <w:szCs w:val="26"/>
          <w:lang w:val="lt-LT"/>
        </w:rPr>
        <w:t xml:space="preserve"> </w:t>
      </w:r>
      <w:r w:rsidRPr="004A6595">
        <w:rPr>
          <w:sz w:val="26"/>
          <w:szCs w:val="26"/>
          <w:lang w:val="lt-LT"/>
        </w:rPr>
        <w:lastRenderedPageBreak/>
        <w:t>(</w:t>
      </w:r>
      <w:r w:rsidR="0096728F" w:rsidRPr="004A6595">
        <w:rPr>
          <w:sz w:val="26"/>
          <w:szCs w:val="26"/>
          <w:lang w:val="lt-LT"/>
        </w:rPr>
        <w:t>paskat</w:t>
      </w:r>
      <w:r w:rsidRPr="004A6595">
        <w:rPr>
          <w:sz w:val="26"/>
          <w:szCs w:val="26"/>
          <w:lang w:val="lt-LT"/>
        </w:rPr>
        <w:t>o</w:t>
      </w:r>
      <w:r w:rsidR="0096728F" w:rsidRPr="004A6595">
        <w:rPr>
          <w:sz w:val="26"/>
          <w:szCs w:val="26"/>
          <w:lang w:val="lt-LT"/>
        </w:rPr>
        <w:t>s/spaudim</w:t>
      </w:r>
      <w:r w:rsidRPr="004A6595">
        <w:rPr>
          <w:sz w:val="26"/>
          <w:szCs w:val="26"/>
          <w:lang w:val="lt-LT"/>
        </w:rPr>
        <w:t>as</w:t>
      </w:r>
      <w:r w:rsidR="00383717" w:rsidRPr="004A6595">
        <w:rPr>
          <w:sz w:val="26"/>
          <w:szCs w:val="26"/>
          <w:lang w:val="lt-LT"/>
        </w:rPr>
        <w:t>,</w:t>
      </w:r>
      <w:r w:rsidRPr="004A6595">
        <w:rPr>
          <w:sz w:val="26"/>
          <w:szCs w:val="26"/>
          <w:lang w:val="lt-LT"/>
        </w:rPr>
        <w:t xml:space="preserve"> </w:t>
      </w:r>
      <w:r w:rsidR="0096728F" w:rsidRPr="004A6595">
        <w:rPr>
          <w:sz w:val="26"/>
          <w:szCs w:val="26"/>
          <w:lang w:val="lt-LT"/>
        </w:rPr>
        <w:t>galimyb</w:t>
      </w:r>
      <w:r w:rsidRPr="004A6595">
        <w:rPr>
          <w:sz w:val="26"/>
          <w:szCs w:val="26"/>
          <w:lang w:val="lt-LT"/>
        </w:rPr>
        <w:t>ė</w:t>
      </w:r>
      <w:r w:rsidR="0096728F" w:rsidRPr="004A6595">
        <w:rPr>
          <w:sz w:val="26"/>
          <w:szCs w:val="26"/>
          <w:lang w:val="lt-LT"/>
        </w:rPr>
        <w:t>s</w:t>
      </w:r>
      <w:r w:rsidR="00383717" w:rsidRPr="004A6595">
        <w:rPr>
          <w:sz w:val="26"/>
          <w:szCs w:val="26"/>
          <w:lang w:val="lt-LT"/>
        </w:rPr>
        <w:t xml:space="preserve">, </w:t>
      </w:r>
      <w:r w:rsidR="0096728F" w:rsidRPr="004A6595">
        <w:rPr>
          <w:sz w:val="26"/>
          <w:szCs w:val="26"/>
          <w:lang w:val="lt-LT"/>
        </w:rPr>
        <w:t>požiūr</w:t>
      </w:r>
      <w:r w:rsidRPr="004A6595">
        <w:rPr>
          <w:sz w:val="26"/>
          <w:szCs w:val="26"/>
          <w:lang w:val="lt-LT"/>
        </w:rPr>
        <w:t>is</w:t>
      </w:r>
      <w:r w:rsidR="0096728F" w:rsidRPr="004A6595">
        <w:rPr>
          <w:sz w:val="26"/>
          <w:szCs w:val="26"/>
          <w:lang w:val="lt-LT"/>
        </w:rPr>
        <w:t>/racionalizacij</w:t>
      </w:r>
      <w:r w:rsidRPr="004A6595">
        <w:rPr>
          <w:sz w:val="26"/>
          <w:szCs w:val="26"/>
          <w:lang w:val="lt-LT"/>
        </w:rPr>
        <w:t>a</w:t>
      </w:r>
      <w:r w:rsidR="00383717" w:rsidRPr="004A6595">
        <w:rPr>
          <w:sz w:val="26"/>
          <w:szCs w:val="26"/>
          <w:lang w:val="lt-LT"/>
        </w:rPr>
        <w:t>,</w:t>
      </w:r>
      <w:r w:rsidR="0096728F" w:rsidRPr="004A6595">
        <w:rPr>
          <w:sz w:val="26"/>
          <w:szCs w:val="26"/>
          <w:lang w:val="lt-LT"/>
        </w:rPr>
        <w:t xml:space="preserve"> sugebėjim</w:t>
      </w:r>
      <w:r w:rsidRPr="004A6595">
        <w:rPr>
          <w:sz w:val="26"/>
          <w:szCs w:val="26"/>
          <w:lang w:val="lt-LT"/>
        </w:rPr>
        <w:t>ai</w:t>
      </w:r>
      <w:r w:rsidR="00E420BE" w:rsidRPr="004A6595">
        <w:rPr>
          <w:sz w:val="26"/>
          <w:szCs w:val="26"/>
          <w:lang w:val="lt-LT"/>
        </w:rPr>
        <w:t>)</w:t>
      </w:r>
      <w:r w:rsidR="0096728F" w:rsidRPr="004A6595">
        <w:rPr>
          <w:sz w:val="26"/>
          <w:szCs w:val="26"/>
          <w:lang w:val="lt-LT"/>
        </w:rPr>
        <w:t xml:space="preserve"> išsamiau </w:t>
      </w:r>
      <w:r w:rsidR="0058691D" w:rsidRPr="004A6595">
        <w:rPr>
          <w:sz w:val="26"/>
          <w:szCs w:val="26"/>
          <w:lang w:val="lt-LT"/>
        </w:rPr>
        <w:t xml:space="preserve">atskleidžia apgaulės prigimtį nei </w:t>
      </w:r>
      <w:r w:rsidR="002A4FEB" w:rsidRPr="004A6595">
        <w:rPr>
          <w:sz w:val="26"/>
          <w:szCs w:val="26"/>
          <w:lang w:val="lt-LT"/>
        </w:rPr>
        <w:t xml:space="preserve">aptartuose </w:t>
      </w:r>
      <w:r w:rsidR="00B733D5" w:rsidRPr="004A6595">
        <w:rPr>
          <w:sz w:val="26"/>
          <w:szCs w:val="26"/>
          <w:lang w:val="lt-LT"/>
        </w:rPr>
        <w:t>mokslo darbuose ir audito standartuose</w:t>
      </w:r>
      <w:r w:rsidR="00E420BE" w:rsidRPr="004A6595">
        <w:rPr>
          <w:sz w:val="26"/>
          <w:szCs w:val="26"/>
          <w:lang w:val="lt-LT"/>
        </w:rPr>
        <w:t xml:space="preserve"> minimas apgaulės sąlygų </w:t>
      </w:r>
      <w:r w:rsidR="009220C5" w:rsidRPr="004A6595">
        <w:rPr>
          <w:sz w:val="26"/>
          <w:szCs w:val="26"/>
          <w:lang w:val="lt-LT"/>
        </w:rPr>
        <w:t>„</w:t>
      </w:r>
      <w:r w:rsidR="00E420BE" w:rsidRPr="004A6595">
        <w:rPr>
          <w:sz w:val="26"/>
          <w:szCs w:val="26"/>
          <w:lang w:val="lt-LT"/>
        </w:rPr>
        <w:t>trikampis“</w:t>
      </w:r>
      <w:r w:rsidR="00A33173" w:rsidRPr="00A33173">
        <w:rPr>
          <w:sz w:val="26"/>
          <w:szCs w:val="26"/>
          <w:lang w:val="lt-LT"/>
        </w:rPr>
        <w:t xml:space="preserve"> </w:t>
      </w:r>
      <w:r w:rsidR="00A33173" w:rsidRPr="009E5838">
        <w:rPr>
          <w:sz w:val="26"/>
          <w:szCs w:val="26"/>
          <w:lang w:val="lt-LT"/>
        </w:rPr>
        <w:t>(žr. 3 pav.)</w:t>
      </w:r>
      <w:r w:rsidR="0058691D" w:rsidRPr="004A6595">
        <w:rPr>
          <w:sz w:val="26"/>
          <w:szCs w:val="26"/>
          <w:lang w:val="lt-LT"/>
        </w:rPr>
        <w:t>.</w:t>
      </w:r>
      <w:r w:rsidR="005F2659" w:rsidRPr="004A6595">
        <w:rPr>
          <w:sz w:val="26"/>
          <w:szCs w:val="26"/>
          <w:lang w:val="lt-LT"/>
        </w:rPr>
        <w:t xml:space="preserve"> </w:t>
      </w:r>
      <w:r w:rsidR="006E4900" w:rsidRPr="004A6595">
        <w:rPr>
          <w:sz w:val="26"/>
          <w:szCs w:val="26"/>
          <w:lang w:val="lt-LT"/>
        </w:rPr>
        <w:t xml:space="preserve">Kita vertus, </w:t>
      </w:r>
      <w:r w:rsidR="00383717" w:rsidRPr="004A6595">
        <w:rPr>
          <w:sz w:val="26"/>
          <w:szCs w:val="26"/>
          <w:lang w:val="lt-LT"/>
        </w:rPr>
        <w:t>ketvirtosios sąlygos buvimas apsunkina iškraipymo</w:t>
      </w:r>
      <w:r w:rsidR="00A33173">
        <w:rPr>
          <w:sz w:val="26"/>
          <w:szCs w:val="26"/>
          <w:lang w:val="lt-LT"/>
        </w:rPr>
        <w:t xml:space="preserve"> aptikimo</w:t>
      </w:r>
      <w:r w:rsidR="00383717" w:rsidRPr="004A6595">
        <w:rPr>
          <w:sz w:val="26"/>
          <w:szCs w:val="26"/>
          <w:lang w:val="lt-LT"/>
        </w:rPr>
        <w:t xml:space="preserve"> galimybę. </w:t>
      </w:r>
    </w:p>
    <w:p w:rsidR="00927206" w:rsidRPr="004A6595" w:rsidRDefault="0091116A" w:rsidP="006E4900">
      <w:pPr>
        <w:tabs>
          <w:tab w:val="left" w:pos="9637"/>
        </w:tabs>
        <w:spacing w:line="360" w:lineRule="auto"/>
        <w:ind w:firstLine="720"/>
        <w:jc w:val="both"/>
        <w:rPr>
          <w:sz w:val="26"/>
          <w:szCs w:val="26"/>
          <w:lang w:val="lt-LT"/>
        </w:rPr>
      </w:pPr>
      <w:r w:rsidRPr="004A6595">
        <w:rPr>
          <w:sz w:val="26"/>
          <w:szCs w:val="26"/>
          <w:lang w:val="lt-LT"/>
        </w:rPr>
        <w:t xml:space="preserve">Atkreiptinas dėmesys, kad </w:t>
      </w:r>
      <w:r w:rsidR="00082837" w:rsidRPr="004A6595">
        <w:rPr>
          <w:sz w:val="26"/>
          <w:szCs w:val="26"/>
          <w:lang w:val="lt-LT"/>
        </w:rPr>
        <w:t>minėtos sąlygos svarbios svarstant tiek įmonės samdomo darbuotojo, tiek vadovybės galimą apgaulę.</w:t>
      </w:r>
      <w:r w:rsidR="00F84C0F" w:rsidRPr="004A6595">
        <w:rPr>
          <w:sz w:val="26"/>
          <w:szCs w:val="26"/>
          <w:lang w:val="lt-LT"/>
        </w:rPr>
        <w:t xml:space="preserve"> </w:t>
      </w:r>
      <w:r w:rsidR="00C17707" w:rsidRPr="004A6595">
        <w:rPr>
          <w:sz w:val="26"/>
          <w:szCs w:val="26"/>
          <w:lang w:val="lt-LT"/>
        </w:rPr>
        <w:t xml:space="preserve">Kadangi </w:t>
      </w:r>
      <w:r w:rsidR="00F84C0F" w:rsidRPr="004A6595">
        <w:rPr>
          <w:sz w:val="26"/>
          <w:szCs w:val="26"/>
          <w:lang w:val="lt-LT"/>
        </w:rPr>
        <w:t xml:space="preserve">skiriasi šių asmenų motyvai, t. y. </w:t>
      </w:r>
      <w:r w:rsidR="00082837" w:rsidRPr="004A6595">
        <w:rPr>
          <w:sz w:val="26"/>
          <w:szCs w:val="26"/>
          <w:lang w:val="lt-LT"/>
        </w:rPr>
        <w:t>samdomų darbuotojų pagrindinis apgaulių motyvas – asmeninis pasipelnymas, o vadovybė dažniausiai siekia finansinėse ataskaitose pateikti geresnius rodiklius, nei jie yra iš tikrųjų (Kanapickienė, Gipienė, Jefimovas, 2004, p. 37)</w:t>
      </w:r>
      <w:r w:rsidR="00C17707" w:rsidRPr="004A6595">
        <w:rPr>
          <w:sz w:val="26"/>
          <w:szCs w:val="26"/>
          <w:lang w:val="lt-LT"/>
        </w:rPr>
        <w:t xml:space="preserve">, jų vykdomos apgaulės pobūdis ir mastas, </w:t>
      </w:r>
      <w:r w:rsidR="005F2659" w:rsidRPr="004A6595">
        <w:rPr>
          <w:sz w:val="26"/>
          <w:szCs w:val="26"/>
          <w:lang w:val="lt-LT"/>
        </w:rPr>
        <w:t>būtina atskirai tirti samdomų darbuotojų ir vadovybės galimų apgaulių požymius</w:t>
      </w:r>
      <w:r w:rsidR="00082837" w:rsidRPr="004A6595">
        <w:rPr>
          <w:sz w:val="26"/>
          <w:szCs w:val="26"/>
          <w:lang w:val="lt-LT"/>
        </w:rPr>
        <w:t>.</w:t>
      </w:r>
      <w:r w:rsidR="00EC1279" w:rsidRPr="004A6595">
        <w:rPr>
          <w:sz w:val="26"/>
          <w:szCs w:val="26"/>
          <w:lang w:val="lt-LT"/>
        </w:rPr>
        <w:t xml:space="preserve"> </w:t>
      </w:r>
    </w:p>
    <w:p w:rsidR="00571B26" w:rsidRPr="004A6595" w:rsidRDefault="00934187" w:rsidP="002A4FEB">
      <w:pPr>
        <w:spacing w:line="360" w:lineRule="auto"/>
        <w:ind w:firstLine="720"/>
        <w:jc w:val="both"/>
        <w:rPr>
          <w:sz w:val="26"/>
          <w:szCs w:val="26"/>
          <w:lang w:val="lt-LT"/>
        </w:rPr>
      </w:pPr>
      <w:r w:rsidRPr="004A6595">
        <w:rPr>
          <w:sz w:val="26"/>
          <w:szCs w:val="26"/>
          <w:lang w:val="lt-LT"/>
        </w:rPr>
        <w:t xml:space="preserve">Auditoriui </w:t>
      </w:r>
      <w:r w:rsidR="008D497B" w:rsidRPr="004A6595">
        <w:rPr>
          <w:sz w:val="26"/>
          <w:szCs w:val="26"/>
          <w:lang w:val="lt-LT"/>
        </w:rPr>
        <w:t xml:space="preserve">svarbūs ne visi iškraipymai, o tik tie kurie </w:t>
      </w:r>
      <w:r w:rsidR="008D497B" w:rsidRPr="004A6595">
        <w:rPr>
          <w:i/>
          <w:sz w:val="26"/>
          <w:szCs w:val="26"/>
          <w:lang w:val="lt-LT"/>
        </w:rPr>
        <w:t>reikšmingi</w:t>
      </w:r>
      <w:r w:rsidR="008D497B" w:rsidRPr="004A6595">
        <w:rPr>
          <w:sz w:val="26"/>
          <w:szCs w:val="26"/>
          <w:lang w:val="lt-LT"/>
        </w:rPr>
        <w:t xml:space="preserve">. </w:t>
      </w:r>
      <w:r w:rsidR="00820BE9" w:rsidRPr="004A6595">
        <w:rPr>
          <w:sz w:val="26"/>
          <w:szCs w:val="26"/>
          <w:lang w:val="lt-LT"/>
        </w:rPr>
        <w:t>Pagal 200-ąjį TSA (2006) auditorius svarsto, ar nustatytų atskirų ir visų kartu iškraipymų poveikis yra reikšmingas finansin</w:t>
      </w:r>
      <w:r w:rsidR="005E5014" w:rsidRPr="004A6595">
        <w:rPr>
          <w:sz w:val="26"/>
          <w:szCs w:val="26"/>
          <w:lang w:val="lt-LT"/>
        </w:rPr>
        <w:t>ėms</w:t>
      </w:r>
      <w:r w:rsidR="00820BE9" w:rsidRPr="004A6595">
        <w:rPr>
          <w:sz w:val="26"/>
          <w:szCs w:val="26"/>
          <w:lang w:val="lt-LT"/>
        </w:rPr>
        <w:t xml:space="preserve"> at</w:t>
      </w:r>
      <w:r w:rsidR="005E5014" w:rsidRPr="004A6595">
        <w:rPr>
          <w:sz w:val="26"/>
          <w:szCs w:val="26"/>
          <w:lang w:val="lt-LT"/>
        </w:rPr>
        <w:t>a</w:t>
      </w:r>
      <w:r w:rsidR="00820BE9" w:rsidRPr="004A6595">
        <w:rPr>
          <w:sz w:val="26"/>
          <w:szCs w:val="26"/>
          <w:lang w:val="lt-LT"/>
        </w:rPr>
        <w:t>skaitom</w:t>
      </w:r>
      <w:r w:rsidR="005E5014" w:rsidRPr="004A6595">
        <w:rPr>
          <w:sz w:val="26"/>
          <w:szCs w:val="26"/>
          <w:lang w:val="lt-LT"/>
        </w:rPr>
        <w:t>s</w:t>
      </w:r>
      <w:r w:rsidR="00820BE9" w:rsidRPr="004A6595">
        <w:rPr>
          <w:sz w:val="26"/>
          <w:szCs w:val="26"/>
          <w:lang w:val="lt-LT"/>
        </w:rPr>
        <w:t xml:space="preserve"> bendrai paėmus. </w:t>
      </w:r>
      <w:r w:rsidR="00091F1C" w:rsidRPr="004A6595">
        <w:rPr>
          <w:sz w:val="26"/>
          <w:szCs w:val="26"/>
          <w:lang w:val="lt-LT"/>
        </w:rPr>
        <w:t>Reikšmingumas</w:t>
      </w:r>
      <w:r w:rsidR="006162BB" w:rsidRPr="004A6595">
        <w:rPr>
          <w:rStyle w:val="FootnoteReference"/>
          <w:sz w:val="26"/>
          <w:szCs w:val="26"/>
          <w:lang w:val="lt-LT"/>
        </w:rPr>
        <w:footnoteReference w:id="5"/>
      </w:r>
      <w:r w:rsidR="00091F1C" w:rsidRPr="004A6595">
        <w:rPr>
          <w:sz w:val="26"/>
          <w:szCs w:val="26"/>
          <w:lang w:val="lt-LT"/>
        </w:rPr>
        <w:t xml:space="preserve"> audite suprantamas kaip finansinės operacijos dydis ar pobūdis, kuris esant tam tikroms aplinkybėms gali turėti įtakos informacijos vartotojams, jų veiksmams ir sprendimams. D. Leišio (2001)</w:t>
      </w:r>
      <w:r w:rsidR="00BD0C66" w:rsidRPr="004A6595">
        <w:rPr>
          <w:sz w:val="26"/>
          <w:szCs w:val="26"/>
          <w:lang w:val="lt-LT"/>
        </w:rPr>
        <w:t xml:space="preserve"> nuomone</w:t>
      </w:r>
      <w:r w:rsidR="00091F1C" w:rsidRPr="004A6595">
        <w:rPr>
          <w:sz w:val="26"/>
          <w:szCs w:val="26"/>
          <w:lang w:val="lt-LT"/>
        </w:rPr>
        <w:t xml:space="preserve">, </w:t>
      </w:r>
      <w:r w:rsidR="00BD0C66" w:rsidRPr="004A6595">
        <w:rPr>
          <w:sz w:val="26"/>
          <w:szCs w:val="26"/>
          <w:lang w:val="lt-LT"/>
        </w:rPr>
        <w:t xml:space="preserve">bet kuris turto straipsnis </w:t>
      </w:r>
      <w:r w:rsidR="00091F1C" w:rsidRPr="004A6595">
        <w:rPr>
          <w:sz w:val="26"/>
          <w:szCs w:val="26"/>
          <w:lang w:val="lt-LT"/>
        </w:rPr>
        <w:t>laikomas reikšmingu, jei jo reikšmė ir esmė, palyginti su kitais panašiais straipsniais, yra pakankamai svarbi, kad turėtų įtakos nuomonei apie finansin</w:t>
      </w:r>
      <w:r w:rsidR="005E5014" w:rsidRPr="004A6595">
        <w:rPr>
          <w:sz w:val="26"/>
          <w:szCs w:val="26"/>
          <w:lang w:val="lt-LT"/>
        </w:rPr>
        <w:t>es</w:t>
      </w:r>
      <w:r w:rsidR="00091F1C" w:rsidRPr="004A6595">
        <w:rPr>
          <w:sz w:val="26"/>
          <w:szCs w:val="26"/>
          <w:lang w:val="lt-LT"/>
        </w:rPr>
        <w:t xml:space="preserve"> at</w:t>
      </w:r>
      <w:r w:rsidR="005E5014" w:rsidRPr="004A6595">
        <w:rPr>
          <w:sz w:val="26"/>
          <w:szCs w:val="26"/>
          <w:lang w:val="lt-LT"/>
        </w:rPr>
        <w:t>a</w:t>
      </w:r>
      <w:r w:rsidR="00091F1C" w:rsidRPr="004A6595">
        <w:rPr>
          <w:sz w:val="26"/>
          <w:szCs w:val="26"/>
          <w:lang w:val="lt-LT"/>
        </w:rPr>
        <w:t>skait</w:t>
      </w:r>
      <w:r w:rsidR="005E5014" w:rsidRPr="004A6595">
        <w:rPr>
          <w:sz w:val="26"/>
          <w:szCs w:val="26"/>
          <w:lang w:val="lt-LT"/>
        </w:rPr>
        <w:t>as</w:t>
      </w:r>
      <w:r w:rsidR="00091F1C" w:rsidRPr="004A6595">
        <w:rPr>
          <w:sz w:val="26"/>
          <w:szCs w:val="26"/>
          <w:lang w:val="lt-LT"/>
        </w:rPr>
        <w:t xml:space="preserve">. </w:t>
      </w:r>
      <w:r w:rsidR="009B3DC5" w:rsidRPr="004A6595">
        <w:rPr>
          <w:sz w:val="26"/>
          <w:szCs w:val="26"/>
          <w:lang w:val="lt-LT"/>
        </w:rPr>
        <w:t>N</w:t>
      </w:r>
      <w:r w:rsidR="00091F1C" w:rsidRPr="004A6595">
        <w:rPr>
          <w:sz w:val="26"/>
          <w:szCs w:val="26"/>
          <w:lang w:val="lt-LT"/>
        </w:rPr>
        <w:t xml:space="preserve">ustatant iškraipymo reikšmingumą svarbios ne tik kiekybinės, bet ir, </w:t>
      </w:r>
      <w:r w:rsidR="00DD6A3B" w:rsidRPr="004A6595">
        <w:rPr>
          <w:sz w:val="26"/>
          <w:szCs w:val="26"/>
          <w:lang w:val="lt-LT"/>
        </w:rPr>
        <w:t>kaip teigia</w:t>
      </w:r>
      <w:r w:rsidR="00091F1C" w:rsidRPr="004A6595">
        <w:rPr>
          <w:sz w:val="26"/>
          <w:szCs w:val="26"/>
          <w:lang w:val="lt-LT"/>
        </w:rPr>
        <w:t xml:space="preserve"> D. R. Carmichael (2006b), </w:t>
      </w:r>
      <w:r w:rsidR="008D497B" w:rsidRPr="004A6595">
        <w:rPr>
          <w:sz w:val="26"/>
          <w:szCs w:val="26"/>
          <w:lang w:val="lt-LT"/>
        </w:rPr>
        <w:t xml:space="preserve">GAAS </w:t>
      </w:r>
      <w:r w:rsidR="008D497B" w:rsidRPr="004A6595">
        <w:rPr>
          <w:sz w:val="26"/>
          <w:szCs w:val="26"/>
        </w:rPr>
        <w:t>Update Service</w:t>
      </w:r>
      <w:r w:rsidR="008D497B" w:rsidRPr="004A6595">
        <w:rPr>
          <w:sz w:val="26"/>
          <w:szCs w:val="26"/>
          <w:lang w:val="lt-LT"/>
        </w:rPr>
        <w:t xml:space="preserve"> (2006-06-15)</w:t>
      </w:r>
      <w:r w:rsidR="002C0048" w:rsidRPr="004A6595">
        <w:rPr>
          <w:sz w:val="26"/>
          <w:szCs w:val="26"/>
          <w:lang w:val="lt-LT"/>
        </w:rPr>
        <w:t>,</w:t>
      </w:r>
      <w:r w:rsidR="008D497B" w:rsidRPr="004A6595">
        <w:rPr>
          <w:sz w:val="26"/>
          <w:szCs w:val="26"/>
          <w:lang w:val="lt-LT"/>
        </w:rPr>
        <w:t xml:space="preserve"> </w:t>
      </w:r>
      <w:r w:rsidR="00091F1C" w:rsidRPr="004A6595">
        <w:rPr>
          <w:sz w:val="26"/>
          <w:szCs w:val="26"/>
          <w:lang w:val="lt-LT"/>
        </w:rPr>
        <w:t xml:space="preserve">kokybinės </w:t>
      </w:r>
      <w:r w:rsidR="002C0048" w:rsidRPr="004A6595">
        <w:rPr>
          <w:sz w:val="26"/>
          <w:szCs w:val="26"/>
          <w:lang w:val="lt-LT"/>
        </w:rPr>
        <w:t>charakteristikos</w:t>
      </w:r>
      <w:r w:rsidR="00091F1C" w:rsidRPr="004A6595">
        <w:rPr>
          <w:sz w:val="26"/>
          <w:szCs w:val="26"/>
          <w:lang w:val="lt-LT"/>
        </w:rPr>
        <w:t xml:space="preserve">. </w:t>
      </w:r>
      <w:r w:rsidR="00B605D4" w:rsidRPr="004A6595">
        <w:rPr>
          <w:sz w:val="26"/>
          <w:szCs w:val="26"/>
          <w:lang w:val="lt-LT"/>
        </w:rPr>
        <w:t xml:space="preserve">Atsižvelgiant į tai, </w:t>
      </w:r>
      <w:r w:rsidR="001D3AE5" w:rsidRPr="004A6595">
        <w:rPr>
          <w:sz w:val="26"/>
          <w:szCs w:val="26"/>
          <w:lang w:val="lt-LT"/>
        </w:rPr>
        <w:t xml:space="preserve">auditorius </w:t>
      </w:r>
      <w:r w:rsidR="009B3DC5" w:rsidRPr="004A6595">
        <w:rPr>
          <w:sz w:val="26"/>
          <w:szCs w:val="26"/>
          <w:lang w:val="lt-LT"/>
        </w:rPr>
        <w:t xml:space="preserve">turi </w:t>
      </w:r>
      <w:r w:rsidR="00B605D4" w:rsidRPr="004A6595">
        <w:rPr>
          <w:sz w:val="26"/>
          <w:szCs w:val="26"/>
          <w:lang w:val="lt-LT"/>
        </w:rPr>
        <w:t xml:space="preserve">įvertinti turimą informaciją ir nustatyti bendrą reikšmingo </w:t>
      </w:r>
      <w:r w:rsidR="001D3AE5" w:rsidRPr="004A6595">
        <w:rPr>
          <w:sz w:val="26"/>
          <w:szCs w:val="26"/>
          <w:lang w:val="lt-LT"/>
        </w:rPr>
        <w:t xml:space="preserve">iškraipymo </w:t>
      </w:r>
      <w:r w:rsidR="00B605D4" w:rsidRPr="004A6595">
        <w:rPr>
          <w:sz w:val="26"/>
          <w:szCs w:val="26"/>
          <w:lang w:val="lt-LT"/>
        </w:rPr>
        <w:t xml:space="preserve">ribą, kuri būtų priimtina tiek jo, tiek finansinių ataskaitų naudotojų atžvilgiu. </w:t>
      </w:r>
      <w:r w:rsidR="00210311" w:rsidRPr="004A6595">
        <w:rPr>
          <w:sz w:val="26"/>
          <w:szCs w:val="26"/>
          <w:lang w:val="lt-LT"/>
        </w:rPr>
        <w:t xml:space="preserve">Šiuo atveju </w:t>
      </w:r>
      <w:r w:rsidR="002C443A" w:rsidRPr="004A6595">
        <w:rPr>
          <w:sz w:val="26"/>
          <w:szCs w:val="26"/>
          <w:lang w:val="lt-LT"/>
        </w:rPr>
        <w:t xml:space="preserve">auditorius </w:t>
      </w:r>
      <w:r w:rsidR="00D637C2" w:rsidRPr="004A6595">
        <w:rPr>
          <w:sz w:val="26"/>
          <w:szCs w:val="26"/>
          <w:lang w:val="lt-LT"/>
        </w:rPr>
        <w:t>priim</w:t>
      </w:r>
      <w:r w:rsidR="00210311" w:rsidRPr="004A6595">
        <w:rPr>
          <w:sz w:val="26"/>
          <w:szCs w:val="26"/>
          <w:lang w:val="lt-LT"/>
        </w:rPr>
        <w:t>a</w:t>
      </w:r>
      <w:r w:rsidR="00D637C2" w:rsidRPr="004A6595">
        <w:rPr>
          <w:sz w:val="26"/>
          <w:szCs w:val="26"/>
          <w:lang w:val="lt-LT"/>
        </w:rPr>
        <w:t xml:space="preserve"> </w:t>
      </w:r>
      <w:r w:rsidR="00A939BA" w:rsidRPr="004A6595">
        <w:rPr>
          <w:sz w:val="26"/>
          <w:szCs w:val="26"/>
          <w:lang w:val="lt-LT"/>
        </w:rPr>
        <w:t>profesin</w:t>
      </w:r>
      <w:r w:rsidR="00D637C2" w:rsidRPr="004A6595">
        <w:rPr>
          <w:sz w:val="26"/>
          <w:szCs w:val="26"/>
          <w:lang w:val="lt-LT"/>
        </w:rPr>
        <w:t>į</w:t>
      </w:r>
      <w:r w:rsidR="00A939BA" w:rsidRPr="004A6595">
        <w:rPr>
          <w:sz w:val="26"/>
          <w:szCs w:val="26"/>
          <w:lang w:val="lt-LT"/>
        </w:rPr>
        <w:t xml:space="preserve"> sprendim</w:t>
      </w:r>
      <w:r w:rsidR="00D637C2" w:rsidRPr="004A6595">
        <w:rPr>
          <w:sz w:val="26"/>
          <w:szCs w:val="26"/>
          <w:lang w:val="lt-LT"/>
        </w:rPr>
        <w:t>ą</w:t>
      </w:r>
      <w:r w:rsidR="002C443A" w:rsidRPr="004A6595">
        <w:rPr>
          <w:sz w:val="26"/>
          <w:szCs w:val="26"/>
          <w:lang w:val="lt-LT"/>
        </w:rPr>
        <w:t xml:space="preserve">, kuris gali </w:t>
      </w:r>
      <w:r w:rsidR="00ED49D6" w:rsidRPr="004A6595">
        <w:rPr>
          <w:sz w:val="26"/>
          <w:szCs w:val="26"/>
          <w:lang w:val="lt-LT"/>
        </w:rPr>
        <w:t>lemti</w:t>
      </w:r>
      <w:r w:rsidR="002C443A" w:rsidRPr="004A6595">
        <w:rPr>
          <w:sz w:val="26"/>
          <w:szCs w:val="26"/>
          <w:lang w:val="lt-LT"/>
        </w:rPr>
        <w:t xml:space="preserve"> audito rizikos pasirei</w:t>
      </w:r>
      <w:r w:rsidR="00ED49D6" w:rsidRPr="004A6595">
        <w:rPr>
          <w:sz w:val="26"/>
          <w:szCs w:val="26"/>
          <w:lang w:val="lt-LT"/>
        </w:rPr>
        <w:t>škim</w:t>
      </w:r>
      <w:r w:rsidR="00464D3C" w:rsidRPr="004A6595">
        <w:rPr>
          <w:sz w:val="26"/>
          <w:szCs w:val="26"/>
          <w:lang w:val="lt-LT"/>
        </w:rPr>
        <w:t>ą</w:t>
      </w:r>
      <w:r w:rsidR="008D16D5" w:rsidRPr="004A6595">
        <w:rPr>
          <w:sz w:val="26"/>
          <w:szCs w:val="26"/>
          <w:lang w:val="lt-LT"/>
        </w:rPr>
        <w:t>, o tai</w:t>
      </w:r>
      <w:r w:rsidR="00FB1B62" w:rsidRPr="004A6595">
        <w:rPr>
          <w:sz w:val="26"/>
          <w:szCs w:val="26"/>
          <w:lang w:val="lt-LT"/>
        </w:rPr>
        <w:t xml:space="preserve"> </w:t>
      </w:r>
      <w:r w:rsidR="008D16D5" w:rsidRPr="004A6595">
        <w:rPr>
          <w:sz w:val="26"/>
          <w:szCs w:val="26"/>
          <w:lang w:val="lt-LT"/>
        </w:rPr>
        <w:t>yra koncepcinis audito dalykas</w:t>
      </w:r>
      <w:r w:rsidR="00D637C2" w:rsidRPr="004A6595">
        <w:rPr>
          <w:sz w:val="26"/>
          <w:szCs w:val="26"/>
          <w:lang w:val="lt-LT"/>
        </w:rPr>
        <w:t>.</w:t>
      </w:r>
      <w:r w:rsidR="00A939BA" w:rsidRPr="004A6595">
        <w:rPr>
          <w:sz w:val="26"/>
          <w:szCs w:val="26"/>
          <w:lang w:val="lt-LT"/>
        </w:rPr>
        <w:t xml:space="preserve"> </w:t>
      </w:r>
      <w:r w:rsidR="002A4FEB" w:rsidRPr="004A6595">
        <w:rPr>
          <w:sz w:val="26"/>
          <w:szCs w:val="26"/>
          <w:lang w:val="lt-LT"/>
        </w:rPr>
        <w:t xml:space="preserve">Kadangi </w:t>
      </w:r>
      <w:r w:rsidR="00571B26" w:rsidRPr="004A6595">
        <w:rPr>
          <w:sz w:val="26"/>
          <w:szCs w:val="26"/>
          <w:lang w:val="lt-LT"/>
        </w:rPr>
        <w:t xml:space="preserve">galima </w:t>
      </w:r>
      <w:r w:rsidR="00207A84" w:rsidRPr="004A6595">
        <w:rPr>
          <w:sz w:val="26"/>
          <w:szCs w:val="26"/>
          <w:lang w:val="lt-LT"/>
        </w:rPr>
        <w:t>daryti prielaidą</w:t>
      </w:r>
      <w:r w:rsidR="00571B26" w:rsidRPr="004A6595">
        <w:rPr>
          <w:sz w:val="26"/>
          <w:szCs w:val="26"/>
          <w:lang w:val="lt-LT"/>
        </w:rPr>
        <w:t xml:space="preserve">, </w:t>
      </w:r>
      <w:r w:rsidR="002A4FEB" w:rsidRPr="004A6595">
        <w:rPr>
          <w:sz w:val="26"/>
          <w:szCs w:val="26"/>
          <w:lang w:val="lt-LT"/>
        </w:rPr>
        <w:t>jog</w:t>
      </w:r>
      <w:r w:rsidR="00571B26" w:rsidRPr="004A6595">
        <w:rPr>
          <w:sz w:val="26"/>
          <w:szCs w:val="26"/>
          <w:lang w:val="lt-LT"/>
        </w:rPr>
        <w:t xml:space="preserve"> audito koncepcijos, formuojančios audito atlikimo pagrindą, neišvengiamai susiję su audito rizika, t. y. rizika, kad reikšmingi </w:t>
      </w:r>
      <w:r w:rsidR="00571B26" w:rsidRPr="004A6595">
        <w:rPr>
          <w:sz w:val="26"/>
          <w:szCs w:val="26"/>
          <w:lang w:val="lt-LT"/>
        </w:rPr>
        <w:lastRenderedPageBreak/>
        <w:t>iškraipymai liks auditoriaus nepastebėti ir bus pareikšta neteisinga nuomonė ir rizika, kad auditorius pareikš netinkamą nuomonę apie finansines ataskaitas ir joje (ne)esančius reikšmingus iškraipymus</w:t>
      </w:r>
      <w:r w:rsidR="00323A8A" w:rsidRPr="004A6595">
        <w:rPr>
          <w:sz w:val="26"/>
          <w:szCs w:val="26"/>
          <w:lang w:val="lt-LT"/>
        </w:rPr>
        <w:t xml:space="preserve">, </w:t>
      </w:r>
      <w:r w:rsidR="00207A84" w:rsidRPr="004A6595">
        <w:rPr>
          <w:sz w:val="26"/>
          <w:szCs w:val="26"/>
          <w:lang w:val="lt-LT"/>
        </w:rPr>
        <w:t xml:space="preserve">būtina </w:t>
      </w:r>
      <w:r w:rsidR="000F7E50" w:rsidRPr="004A6595">
        <w:rPr>
          <w:sz w:val="26"/>
          <w:szCs w:val="26"/>
          <w:lang w:val="lt-LT"/>
        </w:rPr>
        <w:t xml:space="preserve">plačiau </w:t>
      </w:r>
      <w:r w:rsidR="008D2075">
        <w:rPr>
          <w:sz w:val="26"/>
          <w:szCs w:val="26"/>
          <w:lang w:val="lt-LT"/>
        </w:rPr>
        <w:t>iš</w:t>
      </w:r>
      <w:r w:rsidR="000F7E50" w:rsidRPr="004A6595">
        <w:rPr>
          <w:sz w:val="26"/>
          <w:szCs w:val="26"/>
          <w:lang w:val="lt-LT"/>
        </w:rPr>
        <w:t xml:space="preserve">nagrinėti </w:t>
      </w:r>
      <w:r w:rsidR="00207A84" w:rsidRPr="004A6595">
        <w:rPr>
          <w:sz w:val="26"/>
          <w:szCs w:val="26"/>
          <w:lang w:val="lt-LT"/>
        </w:rPr>
        <w:t>jų ryšį su audito rizika</w:t>
      </w:r>
      <w:r w:rsidR="00571B26" w:rsidRPr="004A6595">
        <w:rPr>
          <w:sz w:val="26"/>
          <w:szCs w:val="26"/>
          <w:lang w:val="lt-LT"/>
        </w:rPr>
        <w:t>.</w:t>
      </w:r>
    </w:p>
    <w:p w:rsidR="00CD792C" w:rsidRPr="004A6595" w:rsidRDefault="00ED098F" w:rsidP="00CD273D">
      <w:pPr>
        <w:spacing w:line="360" w:lineRule="auto"/>
        <w:ind w:firstLine="720"/>
        <w:jc w:val="both"/>
        <w:rPr>
          <w:sz w:val="26"/>
          <w:szCs w:val="26"/>
          <w:lang w:val="lt-LT"/>
        </w:rPr>
      </w:pPr>
      <w:r w:rsidRPr="004A6595">
        <w:rPr>
          <w:i/>
          <w:sz w:val="26"/>
          <w:szCs w:val="26"/>
          <w:lang w:val="lt-LT"/>
        </w:rPr>
        <w:t>Pakankam</w:t>
      </w:r>
      <w:r w:rsidR="00515C81" w:rsidRPr="004A6595">
        <w:rPr>
          <w:i/>
          <w:sz w:val="26"/>
          <w:szCs w:val="26"/>
          <w:lang w:val="lt-LT"/>
        </w:rPr>
        <w:t>as</w:t>
      </w:r>
      <w:r w:rsidRPr="004A6595">
        <w:rPr>
          <w:i/>
          <w:sz w:val="26"/>
          <w:szCs w:val="26"/>
          <w:lang w:val="lt-LT"/>
        </w:rPr>
        <w:t xml:space="preserve"> užtikrinim</w:t>
      </w:r>
      <w:r w:rsidR="00515C81" w:rsidRPr="004A6595">
        <w:rPr>
          <w:i/>
          <w:sz w:val="26"/>
          <w:szCs w:val="26"/>
          <w:lang w:val="lt-LT"/>
        </w:rPr>
        <w:t>as</w:t>
      </w:r>
      <w:r w:rsidRPr="004A6595">
        <w:rPr>
          <w:sz w:val="26"/>
          <w:szCs w:val="26"/>
          <w:lang w:val="lt-LT"/>
        </w:rPr>
        <w:t xml:space="preserve"> s</w:t>
      </w:r>
      <w:r w:rsidR="00D3165F" w:rsidRPr="004A6595">
        <w:rPr>
          <w:sz w:val="26"/>
          <w:szCs w:val="26"/>
          <w:lang w:val="lt-LT"/>
        </w:rPr>
        <w:t>ieja</w:t>
      </w:r>
      <w:r w:rsidR="00515C81" w:rsidRPr="004A6595">
        <w:rPr>
          <w:sz w:val="26"/>
          <w:szCs w:val="26"/>
          <w:lang w:val="lt-LT"/>
        </w:rPr>
        <w:t>mas</w:t>
      </w:r>
      <w:r w:rsidR="00D3165F" w:rsidRPr="004A6595">
        <w:rPr>
          <w:sz w:val="26"/>
          <w:szCs w:val="26"/>
          <w:lang w:val="lt-LT"/>
        </w:rPr>
        <w:t xml:space="preserve"> </w:t>
      </w:r>
      <w:r w:rsidRPr="004A6595">
        <w:rPr>
          <w:sz w:val="26"/>
          <w:szCs w:val="26"/>
          <w:lang w:val="lt-LT"/>
        </w:rPr>
        <w:t>su audito įrodym</w:t>
      </w:r>
      <w:r w:rsidR="00D3165F" w:rsidRPr="004A6595">
        <w:rPr>
          <w:sz w:val="26"/>
          <w:szCs w:val="26"/>
          <w:lang w:val="lt-LT"/>
        </w:rPr>
        <w:t>ų</w:t>
      </w:r>
      <w:r w:rsidRPr="004A6595">
        <w:rPr>
          <w:sz w:val="26"/>
          <w:szCs w:val="26"/>
          <w:lang w:val="lt-LT"/>
        </w:rPr>
        <w:t>, leidžianči</w:t>
      </w:r>
      <w:r w:rsidR="00D3165F" w:rsidRPr="004A6595">
        <w:rPr>
          <w:sz w:val="26"/>
          <w:szCs w:val="26"/>
          <w:lang w:val="lt-LT"/>
        </w:rPr>
        <w:t>ų</w:t>
      </w:r>
      <w:r w:rsidRPr="004A6595">
        <w:rPr>
          <w:sz w:val="26"/>
          <w:szCs w:val="26"/>
          <w:lang w:val="lt-LT"/>
        </w:rPr>
        <w:t xml:space="preserve"> auditoriui padaryti išvadą, kad finansinė</w:t>
      </w:r>
      <w:r w:rsidR="003238C8" w:rsidRPr="004A6595">
        <w:rPr>
          <w:sz w:val="26"/>
          <w:szCs w:val="26"/>
          <w:lang w:val="lt-LT"/>
        </w:rPr>
        <w:t>s</w:t>
      </w:r>
      <w:r w:rsidRPr="004A6595">
        <w:rPr>
          <w:sz w:val="26"/>
          <w:szCs w:val="26"/>
          <w:lang w:val="lt-LT"/>
        </w:rPr>
        <w:t>e at</w:t>
      </w:r>
      <w:r w:rsidR="003238C8" w:rsidRPr="004A6595">
        <w:rPr>
          <w:sz w:val="26"/>
          <w:szCs w:val="26"/>
          <w:lang w:val="lt-LT"/>
        </w:rPr>
        <w:t>a</w:t>
      </w:r>
      <w:r w:rsidRPr="004A6595">
        <w:rPr>
          <w:sz w:val="26"/>
          <w:szCs w:val="26"/>
          <w:lang w:val="lt-LT"/>
        </w:rPr>
        <w:t>skaito</w:t>
      </w:r>
      <w:r w:rsidR="003238C8" w:rsidRPr="004A6595">
        <w:rPr>
          <w:sz w:val="26"/>
          <w:szCs w:val="26"/>
          <w:lang w:val="lt-LT"/>
        </w:rPr>
        <w:t>se</w:t>
      </w:r>
      <w:r w:rsidRPr="004A6595">
        <w:rPr>
          <w:sz w:val="26"/>
          <w:szCs w:val="26"/>
          <w:lang w:val="lt-LT"/>
        </w:rPr>
        <w:t xml:space="preserve"> nėra reikšmingų </w:t>
      </w:r>
      <w:r w:rsidR="00D3165F" w:rsidRPr="004A6595">
        <w:rPr>
          <w:sz w:val="26"/>
          <w:szCs w:val="26"/>
          <w:lang w:val="lt-LT"/>
        </w:rPr>
        <w:t>iškraipym</w:t>
      </w:r>
      <w:r w:rsidRPr="004A6595">
        <w:rPr>
          <w:sz w:val="26"/>
          <w:szCs w:val="26"/>
          <w:lang w:val="lt-LT"/>
        </w:rPr>
        <w:t>ų, surinkimu</w:t>
      </w:r>
      <w:r w:rsidR="00515C81" w:rsidRPr="004A6595">
        <w:rPr>
          <w:sz w:val="26"/>
          <w:szCs w:val="26"/>
          <w:lang w:val="lt-LT"/>
        </w:rPr>
        <w:t xml:space="preserve"> (200 TSA, 2006)</w:t>
      </w:r>
      <w:r w:rsidRPr="004A6595">
        <w:rPr>
          <w:sz w:val="26"/>
          <w:szCs w:val="26"/>
          <w:lang w:val="lt-LT"/>
        </w:rPr>
        <w:t xml:space="preserve">. </w:t>
      </w:r>
      <w:r w:rsidR="00AA29D4" w:rsidRPr="004A6595">
        <w:rPr>
          <w:sz w:val="26"/>
          <w:szCs w:val="26"/>
          <w:lang w:val="lt-LT"/>
        </w:rPr>
        <w:t>Literatūro</w:t>
      </w:r>
      <w:r w:rsidR="007453D8" w:rsidRPr="004A6595">
        <w:rPr>
          <w:sz w:val="26"/>
          <w:szCs w:val="26"/>
          <w:lang w:val="lt-LT"/>
        </w:rPr>
        <w:t>s šaltiniuose</w:t>
      </w:r>
      <w:r w:rsidR="00AA29D4" w:rsidRPr="004A6595">
        <w:rPr>
          <w:sz w:val="26"/>
          <w:szCs w:val="26"/>
          <w:lang w:val="lt-LT"/>
        </w:rPr>
        <w:t xml:space="preserve"> (</w:t>
      </w:r>
      <w:r w:rsidR="009F7316" w:rsidRPr="004A6595">
        <w:rPr>
          <w:sz w:val="26"/>
          <w:szCs w:val="26"/>
          <w:lang w:val="lt-LT"/>
        </w:rPr>
        <w:t xml:space="preserve">Fogarty, Graham, Schubert, 2007; </w:t>
      </w:r>
      <w:r w:rsidR="00AA29D4" w:rsidRPr="004A6595">
        <w:rPr>
          <w:sz w:val="26"/>
          <w:szCs w:val="26"/>
          <w:lang w:val="lt-LT"/>
        </w:rPr>
        <w:t xml:space="preserve">Europos buhalterių federacija, 2007; 200 TSA, 2006; Ghosh, 2005; Knechel, 2001 </w:t>
      </w:r>
      <w:r w:rsidR="009F7316" w:rsidRPr="004A6595">
        <w:rPr>
          <w:sz w:val="26"/>
          <w:szCs w:val="26"/>
          <w:lang w:val="lt-LT"/>
        </w:rPr>
        <w:t>Kanapickienė</w:t>
      </w:r>
      <w:r w:rsidR="00AA29D4" w:rsidRPr="004A6595">
        <w:rPr>
          <w:sz w:val="26"/>
          <w:szCs w:val="26"/>
          <w:lang w:val="lt-LT"/>
        </w:rPr>
        <w:t>, Gipienė, Jefimov</w:t>
      </w:r>
      <w:r w:rsidR="009F7316" w:rsidRPr="004A6595">
        <w:rPr>
          <w:sz w:val="26"/>
          <w:szCs w:val="26"/>
          <w:lang w:val="lt-LT"/>
        </w:rPr>
        <w:t>as</w:t>
      </w:r>
      <w:r w:rsidR="00AA29D4" w:rsidRPr="004A6595">
        <w:rPr>
          <w:sz w:val="26"/>
          <w:szCs w:val="26"/>
          <w:lang w:val="lt-LT"/>
        </w:rPr>
        <w:t xml:space="preserve">, 2004) nurodoma, kad </w:t>
      </w:r>
      <w:r w:rsidR="009F7316" w:rsidRPr="004A6595">
        <w:rPr>
          <w:sz w:val="26"/>
          <w:szCs w:val="26"/>
          <w:lang w:val="lt-LT"/>
        </w:rPr>
        <w:t xml:space="preserve">tai aukštas, bet ne absoliutus užtikrinimo lygis; </w:t>
      </w:r>
      <w:r w:rsidR="00AA29D4" w:rsidRPr="004A6595">
        <w:rPr>
          <w:sz w:val="26"/>
          <w:szCs w:val="26"/>
          <w:lang w:val="lt-LT"/>
        </w:rPr>
        <w:t>a</w:t>
      </w:r>
      <w:r w:rsidR="00AC22E7" w:rsidRPr="004A6595">
        <w:rPr>
          <w:sz w:val="26"/>
          <w:szCs w:val="26"/>
          <w:lang w:val="lt-LT"/>
        </w:rPr>
        <w:t xml:space="preserve">uditorius negali gauti </w:t>
      </w:r>
      <w:r w:rsidRPr="004A6595">
        <w:rPr>
          <w:sz w:val="26"/>
          <w:szCs w:val="26"/>
          <w:lang w:val="lt-LT"/>
        </w:rPr>
        <w:t>absoliutaus užtikrinimo</w:t>
      </w:r>
      <w:r w:rsidR="00AC22E7" w:rsidRPr="004A6595">
        <w:rPr>
          <w:sz w:val="26"/>
          <w:szCs w:val="26"/>
          <w:lang w:val="lt-LT"/>
        </w:rPr>
        <w:t xml:space="preserve"> dėl </w:t>
      </w:r>
      <w:r w:rsidRPr="004A6595">
        <w:rPr>
          <w:sz w:val="26"/>
          <w:szCs w:val="26"/>
          <w:lang w:val="lt-LT"/>
        </w:rPr>
        <w:t>auditui būding</w:t>
      </w:r>
      <w:r w:rsidR="00AC22E7" w:rsidRPr="004A6595">
        <w:rPr>
          <w:sz w:val="26"/>
          <w:szCs w:val="26"/>
          <w:lang w:val="lt-LT"/>
        </w:rPr>
        <w:t>ų</w:t>
      </w:r>
      <w:r w:rsidRPr="004A6595">
        <w:rPr>
          <w:sz w:val="26"/>
          <w:szCs w:val="26"/>
          <w:lang w:val="lt-LT"/>
        </w:rPr>
        <w:t xml:space="preserve"> apribojim</w:t>
      </w:r>
      <w:r w:rsidR="00AC22E7" w:rsidRPr="004A6595">
        <w:rPr>
          <w:sz w:val="26"/>
          <w:szCs w:val="26"/>
          <w:lang w:val="lt-LT"/>
        </w:rPr>
        <w:t>ų</w:t>
      </w:r>
      <w:r w:rsidR="00504A49" w:rsidRPr="004A6595">
        <w:rPr>
          <w:sz w:val="26"/>
          <w:szCs w:val="26"/>
          <w:lang w:val="lt-LT"/>
        </w:rPr>
        <w:t>, net jei jam būtų suteiktas neribotas laikas ir ištekliai</w:t>
      </w:r>
      <w:r w:rsidR="00AA29D4" w:rsidRPr="004A6595">
        <w:rPr>
          <w:sz w:val="26"/>
          <w:szCs w:val="26"/>
          <w:lang w:val="lt-LT"/>
        </w:rPr>
        <w:t>.</w:t>
      </w:r>
      <w:r w:rsidR="00CF5194" w:rsidRPr="004A6595">
        <w:rPr>
          <w:sz w:val="26"/>
          <w:szCs w:val="26"/>
          <w:lang w:val="lt-LT"/>
        </w:rPr>
        <w:t xml:space="preserve"> </w:t>
      </w:r>
      <w:r w:rsidR="00515C81" w:rsidRPr="004A6595">
        <w:rPr>
          <w:sz w:val="26"/>
          <w:szCs w:val="26"/>
          <w:lang w:val="lt-LT"/>
        </w:rPr>
        <w:t xml:space="preserve">Kadangi </w:t>
      </w:r>
      <w:r w:rsidR="003E28EA" w:rsidRPr="004A6595">
        <w:rPr>
          <w:sz w:val="26"/>
          <w:szCs w:val="26"/>
          <w:lang w:val="lt-LT"/>
        </w:rPr>
        <w:t>neįmanoma būti visiškai tikram, kad reikšmingas iškraipymas neegzistuoja</w:t>
      </w:r>
      <w:r w:rsidR="00515C81" w:rsidRPr="004A6595">
        <w:rPr>
          <w:sz w:val="26"/>
          <w:szCs w:val="26"/>
          <w:lang w:val="lt-LT"/>
        </w:rPr>
        <w:t>, tai a</w:t>
      </w:r>
      <w:r w:rsidR="00406AEB" w:rsidRPr="004A6595">
        <w:rPr>
          <w:sz w:val="26"/>
          <w:szCs w:val="26"/>
          <w:lang w:val="lt-LT"/>
        </w:rPr>
        <w:t xml:space="preserve">udito rizika visada </w:t>
      </w:r>
      <w:r w:rsidR="006865FF" w:rsidRPr="004A6595">
        <w:rPr>
          <w:sz w:val="26"/>
          <w:szCs w:val="26"/>
          <w:lang w:val="lt-LT"/>
        </w:rPr>
        <w:t xml:space="preserve">bus </w:t>
      </w:r>
      <w:r w:rsidR="00406AEB" w:rsidRPr="004A6595">
        <w:rPr>
          <w:sz w:val="26"/>
          <w:szCs w:val="26"/>
          <w:lang w:val="lt-LT"/>
        </w:rPr>
        <w:t xml:space="preserve">didesnė nei nulis. </w:t>
      </w:r>
      <w:r w:rsidR="009F7316" w:rsidRPr="004A6595">
        <w:rPr>
          <w:sz w:val="26"/>
          <w:szCs w:val="26"/>
          <w:lang w:val="lt-LT"/>
        </w:rPr>
        <w:t>Kita vertus</w:t>
      </w:r>
      <w:r w:rsidR="00515C81" w:rsidRPr="004A6595">
        <w:rPr>
          <w:sz w:val="26"/>
          <w:szCs w:val="26"/>
          <w:lang w:val="lt-LT"/>
        </w:rPr>
        <w:t xml:space="preserve">, </w:t>
      </w:r>
      <w:r w:rsidR="009F7316" w:rsidRPr="004A6595">
        <w:rPr>
          <w:sz w:val="26"/>
          <w:szCs w:val="26"/>
          <w:lang w:val="lt-LT"/>
        </w:rPr>
        <w:t>galima teigti, kad pakankamas užtikrinimas yra audito rizikos išdava.</w:t>
      </w:r>
    </w:p>
    <w:p w:rsidR="00293E83" w:rsidRPr="004A6595" w:rsidRDefault="00B840AC" w:rsidP="00637A56">
      <w:pPr>
        <w:spacing w:line="360" w:lineRule="auto"/>
        <w:ind w:firstLine="709"/>
        <w:jc w:val="both"/>
        <w:rPr>
          <w:sz w:val="26"/>
          <w:szCs w:val="26"/>
          <w:lang w:val="lt-LT"/>
        </w:rPr>
      </w:pPr>
      <w:r w:rsidRPr="004A6595">
        <w:rPr>
          <w:sz w:val="26"/>
          <w:szCs w:val="26"/>
          <w:lang w:val="lt-LT"/>
        </w:rPr>
        <w:t>A</w:t>
      </w:r>
      <w:r w:rsidR="00636EEC" w:rsidRPr="004A6595">
        <w:rPr>
          <w:sz w:val="26"/>
          <w:szCs w:val="26"/>
          <w:lang w:val="lt-LT"/>
        </w:rPr>
        <w:t xml:space="preserve">udito riziką lemia ir tai, kad </w:t>
      </w:r>
      <w:r w:rsidR="00ED098F" w:rsidRPr="004A6595">
        <w:rPr>
          <w:sz w:val="26"/>
          <w:szCs w:val="26"/>
          <w:lang w:val="lt-LT"/>
        </w:rPr>
        <w:t xml:space="preserve">auditorius </w:t>
      </w:r>
      <w:r w:rsidR="009F7316" w:rsidRPr="004A6595">
        <w:rPr>
          <w:sz w:val="26"/>
          <w:szCs w:val="26"/>
          <w:lang w:val="lt-LT"/>
        </w:rPr>
        <w:t xml:space="preserve">audito metu </w:t>
      </w:r>
      <w:r w:rsidR="00455D74" w:rsidRPr="004A6595">
        <w:rPr>
          <w:sz w:val="26"/>
          <w:szCs w:val="26"/>
          <w:lang w:val="lt-LT"/>
        </w:rPr>
        <w:t>rem</w:t>
      </w:r>
      <w:r w:rsidR="009F7316" w:rsidRPr="004A6595">
        <w:rPr>
          <w:sz w:val="26"/>
          <w:szCs w:val="26"/>
          <w:lang w:val="lt-LT"/>
        </w:rPr>
        <w:t>ia</w:t>
      </w:r>
      <w:r w:rsidR="00455D74" w:rsidRPr="004A6595">
        <w:rPr>
          <w:sz w:val="26"/>
          <w:szCs w:val="26"/>
          <w:lang w:val="lt-LT"/>
        </w:rPr>
        <w:t xml:space="preserve">si </w:t>
      </w:r>
      <w:r w:rsidR="00C13A91" w:rsidRPr="004A6595">
        <w:rPr>
          <w:sz w:val="26"/>
          <w:szCs w:val="26"/>
          <w:lang w:val="lt-LT"/>
        </w:rPr>
        <w:t xml:space="preserve">savo </w:t>
      </w:r>
      <w:r w:rsidR="00ED098F" w:rsidRPr="004A6595">
        <w:rPr>
          <w:sz w:val="26"/>
          <w:szCs w:val="26"/>
          <w:lang w:val="lt-LT"/>
        </w:rPr>
        <w:t>sprendim</w:t>
      </w:r>
      <w:r w:rsidR="00C13A91" w:rsidRPr="004A6595">
        <w:rPr>
          <w:sz w:val="26"/>
          <w:szCs w:val="26"/>
          <w:lang w:val="lt-LT"/>
        </w:rPr>
        <w:t xml:space="preserve">u </w:t>
      </w:r>
      <w:r w:rsidR="00ED098F" w:rsidRPr="004A6595">
        <w:rPr>
          <w:sz w:val="26"/>
          <w:szCs w:val="26"/>
          <w:lang w:val="lt-LT"/>
        </w:rPr>
        <w:t>dėl</w:t>
      </w:r>
      <w:r w:rsidR="00C13A91" w:rsidRPr="004A6595">
        <w:rPr>
          <w:sz w:val="26"/>
          <w:szCs w:val="26"/>
          <w:lang w:val="lt-LT"/>
        </w:rPr>
        <w:t xml:space="preserve"> </w:t>
      </w:r>
      <w:r w:rsidR="00ED098F" w:rsidRPr="004A6595">
        <w:rPr>
          <w:sz w:val="26"/>
          <w:szCs w:val="26"/>
          <w:lang w:val="lt-LT"/>
        </w:rPr>
        <w:t>audito įrodymų rinkimo</w:t>
      </w:r>
      <w:r w:rsidR="00C13A91" w:rsidRPr="004A6595">
        <w:rPr>
          <w:sz w:val="26"/>
          <w:szCs w:val="26"/>
          <w:lang w:val="lt-LT"/>
        </w:rPr>
        <w:t xml:space="preserve"> (</w:t>
      </w:r>
      <w:r w:rsidR="00ED098F" w:rsidRPr="004A6595">
        <w:rPr>
          <w:sz w:val="26"/>
          <w:szCs w:val="26"/>
          <w:lang w:val="lt-LT"/>
        </w:rPr>
        <w:t>audito proced</w:t>
      </w:r>
      <w:r w:rsidR="00C13A91" w:rsidRPr="004A6595">
        <w:rPr>
          <w:sz w:val="26"/>
          <w:szCs w:val="26"/>
          <w:lang w:val="lt-LT"/>
        </w:rPr>
        <w:t>ūrų pobūdžio, laiko ir apimties)</w:t>
      </w:r>
      <w:r w:rsidR="00ED098F" w:rsidRPr="004A6595">
        <w:rPr>
          <w:sz w:val="26"/>
          <w:szCs w:val="26"/>
          <w:lang w:val="lt-LT"/>
        </w:rPr>
        <w:t xml:space="preserve"> ir</w:t>
      </w:r>
      <w:r w:rsidR="00C13A91" w:rsidRPr="004A6595">
        <w:rPr>
          <w:sz w:val="26"/>
          <w:szCs w:val="26"/>
          <w:lang w:val="lt-LT"/>
        </w:rPr>
        <w:t xml:space="preserve"> </w:t>
      </w:r>
      <w:r w:rsidR="00ED098F" w:rsidRPr="004A6595">
        <w:rPr>
          <w:sz w:val="26"/>
          <w:szCs w:val="26"/>
          <w:lang w:val="lt-LT"/>
        </w:rPr>
        <w:t>išvad</w:t>
      </w:r>
      <w:r w:rsidR="00455D74" w:rsidRPr="004A6595">
        <w:rPr>
          <w:sz w:val="26"/>
          <w:szCs w:val="26"/>
          <w:lang w:val="lt-LT"/>
        </w:rPr>
        <w:t xml:space="preserve">ų </w:t>
      </w:r>
      <w:r w:rsidR="009F7316" w:rsidRPr="004A6595">
        <w:rPr>
          <w:sz w:val="26"/>
          <w:szCs w:val="26"/>
          <w:lang w:val="lt-LT"/>
        </w:rPr>
        <w:t>pagrindimo surinktais įrodymais</w:t>
      </w:r>
      <w:r w:rsidR="00ED098F" w:rsidRPr="004A6595">
        <w:rPr>
          <w:sz w:val="26"/>
          <w:szCs w:val="26"/>
          <w:lang w:val="lt-LT"/>
        </w:rPr>
        <w:t>.</w:t>
      </w:r>
      <w:r w:rsidR="00F21ECF" w:rsidRPr="004A6595">
        <w:rPr>
          <w:sz w:val="26"/>
          <w:szCs w:val="26"/>
          <w:lang w:val="lt-LT"/>
        </w:rPr>
        <w:t xml:space="preserve"> </w:t>
      </w:r>
      <w:r w:rsidR="00EC1EB3" w:rsidRPr="004A6595">
        <w:rPr>
          <w:sz w:val="26"/>
          <w:szCs w:val="26"/>
          <w:lang w:val="lt-LT"/>
        </w:rPr>
        <w:t xml:space="preserve">Tai vadinama </w:t>
      </w:r>
      <w:r w:rsidR="00D32309" w:rsidRPr="004A6595">
        <w:rPr>
          <w:i/>
          <w:sz w:val="26"/>
          <w:szCs w:val="26"/>
          <w:lang w:val="lt-LT"/>
        </w:rPr>
        <w:t xml:space="preserve">auditoriaus </w:t>
      </w:r>
      <w:r w:rsidR="00EC1EB3" w:rsidRPr="004A6595">
        <w:rPr>
          <w:i/>
          <w:sz w:val="26"/>
          <w:szCs w:val="26"/>
          <w:lang w:val="lt-LT"/>
        </w:rPr>
        <w:t>profesiniu sprendimu</w:t>
      </w:r>
      <w:r w:rsidR="00D32309" w:rsidRPr="004A6595">
        <w:rPr>
          <w:sz w:val="26"/>
          <w:szCs w:val="26"/>
          <w:lang w:val="lt-LT"/>
        </w:rPr>
        <w:t xml:space="preserve">, kuris </w:t>
      </w:r>
      <w:r w:rsidR="00572FDD" w:rsidRPr="004A6595">
        <w:rPr>
          <w:sz w:val="26"/>
          <w:szCs w:val="26"/>
          <w:lang w:val="lt-LT"/>
        </w:rPr>
        <w:t xml:space="preserve">galėtų būti </w:t>
      </w:r>
      <w:r w:rsidR="00636EEC" w:rsidRPr="004A6595">
        <w:rPr>
          <w:sz w:val="26"/>
          <w:szCs w:val="26"/>
          <w:lang w:val="lt-LT"/>
        </w:rPr>
        <w:t xml:space="preserve">vienoks turint tam tikrą informaciją ir </w:t>
      </w:r>
      <w:r w:rsidR="00572FDD" w:rsidRPr="004A6595">
        <w:rPr>
          <w:sz w:val="26"/>
          <w:szCs w:val="26"/>
          <w:lang w:val="lt-LT"/>
        </w:rPr>
        <w:t>kitoks turint kitą ar papildomą informaciją</w:t>
      </w:r>
      <w:r w:rsidR="00557181" w:rsidRPr="004A6595">
        <w:rPr>
          <w:sz w:val="26"/>
          <w:szCs w:val="26"/>
          <w:lang w:val="lt-LT"/>
        </w:rPr>
        <w:t>.</w:t>
      </w:r>
      <w:r w:rsidR="00C654E7" w:rsidRPr="004A6595">
        <w:rPr>
          <w:sz w:val="26"/>
          <w:szCs w:val="26"/>
          <w:lang w:val="lt-LT"/>
        </w:rPr>
        <w:t xml:space="preserve"> </w:t>
      </w:r>
      <w:r w:rsidR="00A42E1F" w:rsidRPr="004A6595">
        <w:rPr>
          <w:sz w:val="26"/>
          <w:szCs w:val="26"/>
          <w:lang w:val="lt-LT"/>
        </w:rPr>
        <w:t>Nor</w:t>
      </w:r>
      <w:r w:rsidR="00041860">
        <w:rPr>
          <w:sz w:val="26"/>
          <w:szCs w:val="26"/>
          <w:lang w:val="lt-LT"/>
        </w:rPr>
        <w:t>s T. B. Bell, M. E. Peecher, I. </w:t>
      </w:r>
      <w:r w:rsidR="00A42E1F" w:rsidRPr="004A6595">
        <w:rPr>
          <w:sz w:val="26"/>
          <w:szCs w:val="26"/>
          <w:lang w:val="lt-LT"/>
        </w:rPr>
        <w:t>Solomon (2005) teigia, kad profesinis sprendimas yra tikroji audito esmė, o Europos buhalterių federacij</w:t>
      </w:r>
      <w:r w:rsidR="00A33173">
        <w:rPr>
          <w:sz w:val="26"/>
          <w:szCs w:val="26"/>
          <w:lang w:val="lt-LT"/>
        </w:rPr>
        <w:t>a</w:t>
      </w:r>
      <w:r w:rsidR="00A42E1F" w:rsidRPr="004A6595">
        <w:rPr>
          <w:sz w:val="26"/>
          <w:szCs w:val="26"/>
          <w:lang w:val="lt-LT"/>
        </w:rPr>
        <w:t xml:space="preserve"> (2007) nuomone, </w:t>
      </w:r>
      <w:r w:rsidR="0003051E" w:rsidRPr="004A6595">
        <w:rPr>
          <w:sz w:val="26"/>
          <w:szCs w:val="26"/>
          <w:lang w:val="lt-LT"/>
        </w:rPr>
        <w:t>tai yra</w:t>
      </w:r>
      <w:r w:rsidR="00A42E1F" w:rsidRPr="004A6595">
        <w:rPr>
          <w:sz w:val="26"/>
          <w:szCs w:val="26"/>
          <w:lang w:val="lt-LT"/>
        </w:rPr>
        <w:t xml:space="preserve"> viena iš audito proceso stiprybių, leidžianti auditoriui pritaikyti audito metodiką prie audituojamos</w:t>
      </w:r>
      <w:r w:rsidR="003B2F63">
        <w:rPr>
          <w:sz w:val="26"/>
          <w:szCs w:val="26"/>
          <w:lang w:val="lt-LT"/>
        </w:rPr>
        <w:t xml:space="preserve"> įmonės. D</w:t>
      </w:r>
      <w:r w:rsidR="00A33173">
        <w:rPr>
          <w:sz w:val="26"/>
          <w:szCs w:val="26"/>
          <w:lang w:val="lt-LT"/>
        </w:rPr>
        <w:t xml:space="preserve">arbo autorės nuomone, </w:t>
      </w:r>
      <w:r w:rsidR="00A42E1F" w:rsidRPr="004A6595">
        <w:rPr>
          <w:sz w:val="26"/>
          <w:szCs w:val="26"/>
          <w:lang w:val="lt-LT"/>
        </w:rPr>
        <w:t xml:space="preserve">reikėtų pripažinti, kad </w:t>
      </w:r>
      <w:r w:rsidR="00CB0DD0" w:rsidRPr="004A6595">
        <w:rPr>
          <w:sz w:val="26"/>
          <w:szCs w:val="26"/>
          <w:lang w:val="lt-LT"/>
        </w:rPr>
        <w:t xml:space="preserve">tai </w:t>
      </w:r>
      <w:r w:rsidR="00A42E1F" w:rsidRPr="004A6595">
        <w:rPr>
          <w:sz w:val="26"/>
          <w:szCs w:val="26"/>
          <w:lang w:val="lt-LT"/>
        </w:rPr>
        <w:t xml:space="preserve">audito koncepcija, kuri </w:t>
      </w:r>
      <w:r w:rsidR="00246105" w:rsidRPr="004A6595">
        <w:rPr>
          <w:sz w:val="26"/>
          <w:szCs w:val="26"/>
          <w:lang w:val="lt-LT"/>
        </w:rPr>
        <w:t xml:space="preserve">sudaro prielaidas </w:t>
      </w:r>
      <w:r w:rsidR="00F47A24" w:rsidRPr="004A6595">
        <w:rPr>
          <w:sz w:val="26"/>
          <w:szCs w:val="26"/>
          <w:lang w:val="lt-LT"/>
        </w:rPr>
        <w:t xml:space="preserve">audito </w:t>
      </w:r>
      <w:r w:rsidR="00246105" w:rsidRPr="004A6595">
        <w:rPr>
          <w:sz w:val="26"/>
          <w:szCs w:val="26"/>
          <w:lang w:val="lt-LT"/>
        </w:rPr>
        <w:t xml:space="preserve">rizikai </w:t>
      </w:r>
      <w:r w:rsidR="00F47A24" w:rsidRPr="004A6595">
        <w:rPr>
          <w:sz w:val="26"/>
          <w:szCs w:val="26"/>
          <w:lang w:val="lt-LT"/>
        </w:rPr>
        <w:t>pasireikšti</w:t>
      </w:r>
      <w:r w:rsidR="00246105" w:rsidRPr="004A6595">
        <w:rPr>
          <w:sz w:val="26"/>
          <w:szCs w:val="26"/>
          <w:lang w:val="lt-LT"/>
        </w:rPr>
        <w:t xml:space="preserve">. </w:t>
      </w:r>
    </w:p>
    <w:p w:rsidR="00CA5C8C" w:rsidRPr="004A6595" w:rsidRDefault="00695999" w:rsidP="0003174F">
      <w:pPr>
        <w:tabs>
          <w:tab w:val="num" w:pos="993"/>
        </w:tabs>
        <w:spacing w:line="360" w:lineRule="auto"/>
        <w:ind w:firstLine="709"/>
        <w:jc w:val="both"/>
        <w:rPr>
          <w:sz w:val="26"/>
          <w:szCs w:val="26"/>
          <w:lang w:val="lt-LT"/>
        </w:rPr>
      </w:pPr>
      <w:r w:rsidRPr="004A6595">
        <w:rPr>
          <w:sz w:val="26"/>
          <w:szCs w:val="26"/>
          <w:lang w:val="lt-LT"/>
        </w:rPr>
        <w:t>Kad auditorius galėtų priimti t</w:t>
      </w:r>
      <w:r w:rsidR="00C654E7" w:rsidRPr="004A6595">
        <w:rPr>
          <w:sz w:val="26"/>
          <w:szCs w:val="26"/>
          <w:lang w:val="lt-LT"/>
        </w:rPr>
        <w:t>inkam</w:t>
      </w:r>
      <w:r w:rsidRPr="004A6595">
        <w:rPr>
          <w:sz w:val="26"/>
          <w:szCs w:val="26"/>
          <w:lang w:val="lt-LT"/>
        </w:rPr>
        <w:t xml:space="preserve">ą </w:t>
      </w:r>
      <w:r w:rsidR="002068D0" w:rsidRPr="004A6595">
        <w:rPr>
          <w:sz w:val="26"/>
          <w:szCs w:val="26"/>
          <w:lang w:val="lt-LT"/>
        </w:rPr>
        <w:t>profesinį</w:t>
      </w:r>
      <w:r w:rsidR="00C654E7" w:rsidRPr="004A6595">
        <w:rPr>
          <w:sz w:val="26"/>
          <w:szCs w:val="26"/>
          <w:lang w:val="lt-LT"/>
        </w:rPr>
        <w:t xml:space="preserve"> sprendim</w:t>
      </w:r>
      <w:r w:rsidRPr="004A6595">
        <w:rPr>
          <w:sz w:val="26"/>
          <w:szCs w:val="26"/>
          <w:lang w:val="lt-LT"/>
        </w:rPr>
        <w:t xml:space="preserve">ą, jis </w:t>
      </w:r>
      <w:r w:rsidR="002068D0" w:rsidRPr="004A6595">
        <w:rPr>
          <w:sz w:val="26"/>
          <w:szCs w:val="26"/>
          <w:lang w:val="lt-LT"/>
        </w:rPr>
        <w:t>t</w:t>
      </w:r>
      <w:r w:rsidRPr="004A6595">
        <w:rPr>
          <w:sz w:val="26"/>
          <w:szCs w:val="26"/>
          <w:lang w:val="lt-LT"/>
        </w:rPr>
        <w:t>ur</w:t>
      </w:r>
      <w:r w:rsidR="008D6787" w:rsidRPr="004A6595">
        <w:rPr>
          <w:sz w:val="26"/>
          <w:szCs w:val="26"/>
          <w:lang w:val="lt-LT"/>
        </w:rPr>
        <w:t>i</w:t>
      </w:r>
      <w:r w:rsidRPr="004A6595">
        <w:rPr>
          <w:sz w:val="26"/>
          <w:szCs w:val="26"/>
          <w:lang w:val="lt-LT"/>
        </w:rPr>
        <w:t xml:space="preserve"> vadovautis </w:t>
      </w:r>
      <w:r w:rsidR="00BB3BD6" w:rsidRPr="004A6595">
        <w:rPr>
          <w:sz w:val="26"/>
          <w:szCs w:val="26"/>
          <w:lang w:val="lt-LT"/>
        </w:rPr>
        <w:t>profesini</w:t>
      </w:r>
      <w:r w:rsidRPr="004A6595">
        <w:rPr>
          <w:sz w:val="26"/>
          <w:szCs w:val="26"/>
          <w:lang w:val="lt-LT"/>
        </w:rPr>
        <w:t>u</w:t>
      </w:r>
      <w:r w:rsidR="00BB3BD6" w:rsidRPr="004A6595">
        <w:rPr>
          <w:sz w:val="26"/>
          <w:szCs w:val="26"/>
          <w:lang w:val="lt-LT"/>
        </w:rPr>
        <w:t xml:space="preserve"> skepticizm</w:t>
      </w:r>
      <w:r w:rsidRPr="004A6595">
        <w:rPr>
          <w:sz w:val="26"/>
          <w:szCs w:val="26"/>
          <w:lang w:val="lt-LT"/>
        </w:rPr>
        <w:t xml:space="preserve">u. </w:t>
      </w:r>
      <w:r w:rsidR="002068D0" w:rsidRPr="004A6595">
        <w:rPr>
          <w:sz w:val="26"/>
          <w:szCs w:val="26"/>
          <w:lang w:val="lt-LT"/>
        </w:rPr>
        <w:t xml:space="preserve">Pagal 200-ąjį TSA </w:t>
      </w:r>
      <w:r w:rsidR="00FF13FF" w:rsidRPr="004A6595">
        <w:rPr>
          <w:sz w:val="26"/>
          <w:szCs w:val="26"/>
          <w:lang w:val="lt-LT"/>
        </w:rPr>
        <w:t xml:space="preserve">(2006) </w:t>
      </w:r>
      <w:r w:rsidR="002068D0" w:rsidRPr="004A6595">
        <w:rPr>
          <w:i/>
          <w:sz w:val="26"/>
          <w:szCs w:val="26"/>
          <w:lang w:val="lt-LT"/>
        </w:rPr>
        <w:t>p</w:t>
      </w:r>
      <w:r w:rsidR="00CA5C8C" w:rsidRPr="004A6595">
        <w:rPr>
          <w:i/>
          <w:sz w:val="26"/>
          <w:szCs w:val="26"/>
          <w:lang w:val="lt-LT"/>
        </w:rPr>
        <w:t>rofesinis skepticizmas</w:t>
      </w:r>
      <w:r w:rsidR="00CA5C8C" w:rsidRPr="004A6595">
        <w:rPr>
          <w:sz w:val="26"/>
          <w:szCs w:val="26"/>
          <w:lang w:val="lt-LT"/>
        </w:rPr>
        <w:t xml:space="preserve"> reiškia, jog auditorius kritiškai ir abejodamas vertina </w:t>
      </w:r>
      <w:r w:rsidR="002068D0" w:rsidRPr="004A6595">
        <w:rPr>
          <w:sz w:val="26"/>
          <w:szCs w:val="26"/>
          <w:lang w:val="lt-LT"/>
        </w:rPr>
        <w:t xml:space="preserve">surinktų </w:t>
      </w:r>
      <w:r w:rsidR="00CA5C8C" w:rsidRPr="004A6595">
        <w:rPr>
          <w:sz w:val="26"/>
          <w:szCs w:val="26"/>
          <w:lang w:val="lt-LT"/>
        </w:rPr>
        <w:t xml:space="preserve">audito įrodymų pagrįstumą ir stebi, ar nėra </w:t>
      </w:r>
      <w:r w:rsidR="0003174F" w:rsidRPr="004A6595">
        <w:rPr>
          <w:sz w:val="26"/>
          <w:szCs w:val="26"/>
          <w:lang w:val="lt-LT"/>
        </w:rPr>
        <w:t xml:space="preserve">prieštaraujančių </w:t>
      </w:r>
      <w:r w:rsidR="00CA5C8C" w:rsidRPr="004A6595">
        <w:rPr>
          <w:sz w:val="26"/>
          <w:szCs w:val="26"/>
          <w:lang w:val="lt-LT"/>
        </w:rPr>
        <w:t>įrodymų</w:t>
      </w:r>
      <w:r w:rsidR="0003174F" w:rsidRPr="004A6595">
        <w:rPr>
          <w:sz w:val="26"/>
          <w:szCs w:val="26"/>
          <w:lang w:val="lt-LT"/>
        </w:rPr>
        <w:t>.</w:t>
      </w:r>
      <w:r w:rsidR="00CA5C8C" w:rsidRPr="004A6595">
        <w:rPr>
          <w:sz w:val="26"/>
          <w:szCs w:val="26"/>
          <w:lang w:val="lt-LT"/>
        </w:rPr>
        <w:t xml:space="preserve"> </w:t>
      </w:r>
      <w:r w:rsidR="001C6B2B" w:rsidRPr="004A6595">
        <w:rPr>
          <w:sz w:val="26"/>
          <w:szCs w:val="26"/>
          <w:lang w:val="lt-LT"/>
        </w:rPr>
        <w:t>Šiuo principu au</w:t>
      </w:r>
      <w:r w:rsidR="00CA5C8C" w:rsidRPr="004A6595">
        <w:rPr>
          <w:sz w:val="26"/>
          <w:szCs w:val="26"/>
          <w:lang w:val="lt-LT"/>
        </w:rPr>
        <w:t>ditoriui būtin</w:t>
      </w:r>
      <w:r w:rsidR="001C6B2B" w:rsidRPr="004A6595">
        <w:rPr>
          <w:sz w:val="26"/>
          <w:szCs w:val="26"/>
          <w:lang w:val="lt-LT"/>
        </w:rPr>
        <w:t xml:space="preserve">a vadovautis </w:t>
      </w:r>
      <w:r w:rsidR="00CA5C8C" w:rsidRPr="004A6595">
        <w:rPr>
          <w:sz w:val="26"/>
          <w:szCs w:val="26"/>
          <w:lang w:val="lt-LT"/>
        </w:rPr>
        <w:t xml:space="preserve">tam, kad būtų </w:t>
      </w:r>
      <w:r w:rsidR="00E53F0F" w:rsidRPr="004A6595">
        <w:rPr>
          <w:sz w:val="26"/>
          <w:szCs w:val="26"/>
          <w:lang w:val="lt-LT"/>
        </w:rPr>
        <w:t xml:space="preserve">sumažinta </w:t>
      </w:r>
      <w:r w:rsidR="001C6B2B" w:rsidRPr="004A6595">
        <w:rPr>
          <w:sz w:val="26"/>
          <w:szCs w:val="26"/>
          <w:lang w:val="lt-LT"/>
        </w:rPr>
        <w:t xml:space="preserve">1) </w:t>
      </w:r>
      <w:r w:rsidR="00CA5C8C" w:rsidRPr="004A6595">
        <w:rPr>
          <w:sz w:val="26"/>
          <w:szCs w:val="26"/>
          <w:lang w:val="lt-LT"/>
        </w:rPr>
        <w:t xml:space="preserve">įtartinų aplinkybių nepastebėjimo, </w:t>
      </w:r>
      <w:r w:rsidR="00E53F0F" w:rsidRPr="004A6595">
        <w:rPr>
          <w:sz w:val="26"/>
          <w:szCs w:val="26"/>
          <w:lang w:val="lt-LT"/>
        </w:rPr>
        <w:t xml:space="preserve">2) </w:t>
      </w:r>
      <w:r w:rsidR="00CA5C8C" w:rsidRPr="004A6595">
        <w:rPr>
          <w:sz w:val="26"/>
          <w:szCs w:val="26"/>
          <w:lang w:val="lt-LT"/>
        </w:rPr>
        <w:t xml:space="preserve">apibendrinimo darant išvadas bei </w:t>
      </w:r>
      <w:r w:rsidR="00E53F0F" w:rsidRPr="004A6595">
        <w:rPr>
          <w:sz w:val="26"/>
          <w:szCs w:val="26"/>
          <w:lang w:val="lt-LT"/>
        </w:rPr>
        <w:t xml:space="preserve">3) </w:t>
      </w:r>
      <w:r w:rsidR="00CA5C8C" w:rsidRPr="004A6595">
        <w:rPr>
          <w:sz w:val="26"/>
          <w:szCs w:val="26"/>
          <w:lang w:val="lt-LT"/>
        </w:rPr>
        <w:t xml:space="preserve">klaidingų </w:t>
      </w:r>
      <w:r w:rsidR="00CA5C8C" w:rsidRPr="004A6595">
        <w:rPr>
          <w:sz w:val="26"/>
          <w:szCs w:val="26"/>
          <w:lang w:val="lt-LT"/>
        </w:rPr>
        <w:lastRenderedPageBreak/>
        <w:t>prielaidų darymo, nu</w:t>
      </w:r>
      <w:r w:rsidR="00E53F0F" w:rsidRPr="004A6595">
        <w:rPr>
          <w:sz w:val="26"/>
          <w:szCs w:val="26"/>
          <w:lang w:val="lt-LT"/>
        </w:rPr>
        <w:t xml:space="preserve">matant </w:t>
      </w:r>
      <w:r w:rsidR="00CA5C8C" w:rsidRPr="004A6595">
        <w:rPr>
          <w:sz w:val="26"/>
          <w:szCs w:val="26"/>
          <w:lang w:val="lt-LT"/>
        </w:rPr>
        <w:t xml:space="preserve">audito </w:t>
      </w:r>
      <w:r w:rsidR="00E53F0F" w:rsidRPr="004A6595">
        <w:rPr>
          <w:sz w:val="26"/>
          <w:szCs w:val="26"/>
          <w:lang w:val="lt-LT"/>
        </w:rPr>
        <w:t xml:space="preserve">procedūrų </w:t>
      </w:r>
      <w:r w:rsidR="00CA5C8C" w:rsidRPr="004A6595">
        <w:rPr>
          <w:sz w:val="26"/>
          <w:szCs w:val="26"/>
          <w:lang w:val="lt-LT"/>
        </w:rPr>
        <w:t xml:space="preserve">pobūdį, laiką ir apimtį ir </w:t>
      </w:r>
      <w:r w:rsidR="00E53F0F" w:rsidRPr="004A6595">
        <w:rPr>
          <w:sz w:val="26"/>
          <w:szCs w:val="26"/>
          <w:lang w:val="lt-LT"/>
        </w:rPr>
        <w:t xml:space="preserve">po to </w:t>
      </w:r>
      <w:r w:rsidR="00CA5C8C" w:rsidRPr="004A6595">
        <w:rPr>
          <w:sz w:val="26"/>
          <w:szCs w:val="26"/>
          <w:lang w:val="lt-LT"/>
        </w:rPr>
        <w:t>vertinant rezultatus, rizika.</w:t>
      </w:r>
      <w:r w:rsidR="00E53F0F" w:rsidRPr="004A6595">
        <w:rPr>
          <w:sz w:val="26"/>
          <w:szCs w:val="26"/>
          <w:lang w:val="lt-LT"/>
        </w:rPr>
        <w:t xml:space="preserve"> </w:t>
      </w:r>
      <w:r w:rsidR="009E723E" w:rsidRPr="004A6595">
        <w:rPr>
          <w:sz w:val="26"/>
          <w:szCs w:val="26"/>
          <w:lang w:val="lt-LT"/>
        </w:rPr>
        <w:t xml:space="preserve">Profesinio skepticizmo naudojimas gali sustiprinti auditoriaus įsitikinimų pagrįstumą (Bell, Peecher, Solomon, 2005, p. </w:t>
      </w:r>
      <w:r w:rsidR="00142507" w:rsidRPr="004A6595">
        <w:rPr>
          <w:sz w:val="26"/>
          <w:szCs w:val="26"/>
          <w:lang w:val="lt-LT"/>
        </w:rPr>
        <w:t>66</w:t>
      </w:r>
      <w:r w:rsidR="009E723E" w:rsidRPr="004A6595">
        <w:rPr>
          <w:sz w:val="26"/>
          <w:szCs w:val="26"/>
          <w:lang w:val="lt-LT"/>
        </w:rPr>
        <w:t>)</w:t>
      </w:r>
      <w:r w:rsidR="003A5B69" w:rsidRPr="004A6595">
        <w:rPr>
          <w:sz w:val="26"/>
          <w:szCs w:val="26"/>
          <w:lang w:val="lt-LT"/>
        </w:rPr>
        <w:t xml:space="preserve"> ir </w:t>
      </w:r>
      <w:r w:rsidR="00835190" w:rsidRPr="004A6595">
        <w:rPr>
          <w:sz w:val="26"/>
          <w:szCs w:val="26"/>
          <w:lang w:val="lt-LT"/>
        </w:rPr>
        <w:t>sėkmingai kovo</w:t>
      </w:r>
      <w:r w:rsidR="003A5B69" w:rsidRPr="004A6595">
        <w:rPr>
          <w:sz w:val="26"/>
          <w:szCs w:val="26"/>
          <w:lang w:val="lt-LT"/>
        </w:rPr>
        <w:t>ti</w:t>
      </w:r>
      <w:r w:rsidR="00835190" w:rsidRPr="004A6595">
        <w:rPr>
          <w:sz w:val="26"/>
          <w:szCs w:val="26"/>
          <w:lang w:val="lt-LT"/>
        </w:rPr>
        <w:t xml:space="preserve"> su apgaul</w:t>
      </w:r>
      <w:r w:rsidR="0003051E" w:rsidRPr="004A6595">
        <w:rPr>
          <w:sz w:val="26"/>
          <w:szCs w:val="26"/>
          <w:lang w:val="lt-LT"/>
        </w:rPr>
        <w:t>e</w:t>
      </w:r>
      <w:r w:rsidR="00835190" w:rsidRPr="004A6595">
        <w:rPr>
          <w:sz w:val="26"/>
          <w:szCs w:val="26"/>
          <w:lang w:val="lt-LT"/>
        </w:rPr>
        <w:t xml:space="preserve"> (Mukherjee, 2006, p.</w:t>
      </w:r>
      <w:r w:rsidR="003B2F63">
        <w:rPr>
          <w:sz w:val="26"/>
          <w:szCs w:val="26"/>
          <w:lang w:val="lt-LT"/>
        </w:rPr>
        <w:t xml:space="preserve"> </w:t>
      </w:r>
      <w:r w:rsidR="00835190" w:rsidRPr="004A6595">
        <w:rPr>
          <w:sz w:val="26"/>
          <w:szCs w:val="26"/>
          <w:lang w:val="lt-LT"/>
        </w:rPr>
        <w:t>3)</w:t>
      </w:r>
      <w:r w:rsidR="009E723E" w:rsidRPr="004A6595">
        <w:rPr>
          <w:sz w:val="26"/>
          <w:szCs w:val="26"/>
          <w:lang w:val="lt-LT"/>
        </w:rPr>
        <w:t xml:space="preserve">, kas </w:t>
      </w:r>
      <w:r w:rsidR="00E53F0F" w:rsidRPr="004A6595">
        <w:rPr>
          <w:sz w:val="26"/>
          <w:szCs w:val="26"/>
          <w:lang w:val="lt-LT"/>
        </w:rPr>
        <w:t xml:space="preserve">reiškia, kad </w:t>
      </w:r>
      <w:r w:rsidR="003A5B69" w:rsidRPr="004A6595">
        <w:rPr>
          <w:sz w:val="26"/>
          <w:szCs w:val="26"/>
          <w:lang w:val="lt-LT"/>
        </w:rPr>
        <w:t>jo</w:t>
      </w:r>
      <w:r w:rsidR="009F15A5" w:rsidRPr="004A6595">
        <w:rPr>
          <w:sz w:val="26"/>
          <w:szCs w:val="26"/>
          <w:lang w:val="lt-LT"/>
        </w:rPr>
        <w:t xml:space="preserve"> </w:t>
      </w:r>
      <w:r w:rsidR="00BC083E" w:rsidRPr="004A6595">
        <w:rPr>
          <w:sz w:val="26"/>
          <w:szCs w:val="26"/>
          <w:lang w:val="lt-LT"/>
        </w:rPr>
        <w:t xml:space="preserve">dėka </w:t>
      </w:r>
      <w:r w:rsidR="00B05E10" w:rsidRPr="004A6595">
        <w:rPr>
          <w:sz w:val="26"/>
          <w:szCs w:val="26"/>
          <w:lang w:val="lt-LT"/>
        </w:rPr>
        <w:t>mažėja ir audito rizika.</w:t>
      </w:r>
      <w:r w:rsidR="0003051E" w:rsidRPr="004A6595">
        <w:rPr>
          <w:sz w:val="26"/>
          <w:szCs w:val="26"/>
          <w:lang w:val="lt-LT"/>
        </w:rPr>
        <w:t xml:space="preserve"> Kita vertus, galima numanyti, kad būtent audito rizikos buvimas ir nulėmė </w:t>
      </w:r>
      <w:r w:rsidR="003A5B69" w:rsidRPr="004A6595">
        <w:rPr>
          <w:sz w:val="26"/>
          <w:szCs w:val="26"/>
          <w:lang w:val="lt-LT"/>
        </w:rPr>
        <w:t xml:space="preserve">profesinio skepticizmo </w:t>
      </w:r>
      <w:r w:rsidR="0003051E" w:rsidRPr="004A6595">
        <w:rPr>
          <w:sz w:val="26"/>
          <w:szCs w:val="26"/>
          <w:lang w:val="lt-LT"/>
        </w:rPr>
        <w:t>taikymą audito metu.</w:t>
      </w:r>
    </w:p>
    <w:p w:rsidR="000A125F" w:rsidRPr="004A6595" w:rsidRDefault="000A125F" w:rsidP="00777988">
      <w:pPr>
        <w:tabs>
          <w:tab w:val="left" w:pos="0"/>
          <w:tab w:val="left" w:pos="1134"/>
        </w:tabs>
        <w:spacing w:line="360" w:lineRule="auto"/>
        <w:ind w:firstLine="720"/>
        <w:jc w:val="both"/>
        <w:rPr>
          <w:sz w:val="26"/>
          <w:szCs w:val="26"/>
          <w:lang w:val="lt-LT"/>
        </w:rPr>
      </w:pPr>
      <w:r w:rsidRPr="004A6595">
        <w:rPr>
          <w:sz w:val="26"/>
          <w:szCs w:val="26"/>
          <w:lang w:val="lt-LT"/>
        </w:rPr>
        <w:t>Auditorius privalo atlikti auditą pagal</w:t>
      </w:r>
      <w:r w:rsidRPr="004A6595">
        <w:rPr>
          <w:i/>
          <w:sz w:val="26"/>
          <w:szCs w:val="26"/>
          <w:lang w:val="lt-LT"/>
        </w:rPr>
        <w:t xml:space="preserve"> audito standartų </w:t>
      </w:r>
      <w:r w:rsidRPr="004A6595">
        <w:rPr>
          <w:sz w:val="26"/>
          <w:szCs w:val="26"/>
          <w:lang w:val="lt-LT"/>
        </w:rPr>
        <w:t xml:space="preserve">reikalavimus ir tik tada audito tikslas bus pasiektas (200 TSA, 2006; 1 NAS, 2006). </w:t>
      </w:r>
      <w:r w:rsidR="00B05E10" w:rsidRPr="004A6595">
        <w:rPr>
          <w:sz w:val="26"/>
          <w:szCs w:val="26"/>
          <w:lang w:val="lt-LT"/>
        </w:rPr>
        <w:t>Anot S.</w:t>
      </w:r>
      <w:r w:rsidR="004A6595">
        <w:rPr>
          <w:sz w:val="26"/>
          <w:szCs w:val="26"/>
          <w:lang w:val="lt-LT"/>
        </w:rPr>
        <w:t> </w:t>
      </w:r>
      <w:r w:rsidR="00B05E10" w:rsidRPr="004A6595">
        <w:rPr>
          <w:sz w:val="26"/>
          <w:szCs w:val="26"/>
          <w:lang w:val="lt-LT"/>
        </w:rPr>
        <w:t>H.</w:t>
      </w:r>
      <w:r w:rsidR="004A6595">
        <w:rPr>
          <w:sz w:val="26"/>
          <w:szCs w:val="26"/>
          <w:lang w:val="lt-LT"/>
        </w:rPr>
        <w:t> </w:t>
      </w:r>
      <w:r w:rsidR="00B05E10" w:rsidRPr="004A6595">
        <w:rPr>
          <w:sz w:val="26"/>
          <w:szCs w:val="26"/>
          <w:lang w:val="lt-LT"/>
        </w:rPr>
        <w:t>Mitchel (2005</w:t>
      </w:r>
      <w:r w:rsidR="00707812" w:rsidRPr="004A6595">
        <w:rPr>
          <w:sz w:val="26"/>
          <w:szCs w:val="26"/>
          <w:lang w:val="lt-LT"/>
        </w:rPr>
        <w:t>a</w:t>
      </w:r>
      <w:r w:rsidR="00B05E10" w:rsidRPr="004A6595">
        <w:rPr>
          <w:sz w:val="26"/>
          <w:szCs w:val="26"/>
          <w:lang w:val="lt-LT"/>
        </w:rPr>
        <w:t>), audito nesėkmės gali atsirasti dėl to, kad nebuvo laikomasi profesij</w:t>
      </w:r>
      <w:r w:rsidR="00EF349E" w:rsidRPr="004A6595">
        <w:rPr>
          <w:sz w:val="26"/>
          <w:szCs w:val="26"/>
          <w:lang w:val="lt-LT"/>
        </w:rPr>
        <w:t>ai</w:t>
      </w:r>
      <w:r w:rsidR="00B05E10" w:rsidRPr="004A6595">
        <w:rPr>
          <w:sz w:val="26"/>
          <w:szCs w:val="26"/>
          <w:lang w:val="lt-LT"/>
        </w:rPr>
        <w:t xml:space="preserve"> nustatytų standartų. </w:t>
      </w:r>
      <w:r w:rsidR="003D5FC7" w:rsidRPr="004A6595">
        <w:rPr>
          <w:sz w:val="26"/>
          <w:szCs w:val="26"/>
          <w:lang w:val="lt-LT"/>
        </w:rPr>
        <w:t xml:space="preserve">Tai galėtų būti nepakankamo planavimo, laiko trūkumo, išlaidų taupymo, </w:t>
      </w:r>
      <w:r w:rsidR="008D2075">
        <w:rPr>
          <w:sz w:val="26"/>
          <w:szCs w:val="26"/>
          <w:lang w:val="lt-LT"/>
        </w:rPr>
        <w:t xml:space="preserve">tinkamos </w:t>
      </w:r>
      <w:r w:rsidR="003D5FC7" w:rsidRPr="004A6595">
        <w:rPr>
          <w:sz w:val="26"/>
          <w:szCs w:val="26"/>
          <w:lang w:val="lt-LT"/>
        </w:rPr>
        <w:t xml:space="preserve">priežiūros </w:t>
      </w:r>
      <w:r w:rsidR="008D2075">
        <w:rPr>
          <w:sz w:val="26"/>
          <w:szCs w:val="26"/>
          <w:lang w:val="lt-LT"/>
        </w:rPr>
        <w:t>nebuvim</w:t>
      </w:r>
      <w:r w:rsidR="003D5FC7" w:rsidRPr="004A6595">
        <w:rPr>
          <w:sz w:val="26"/>
          <w:szCs w:val="26"/>
          <w:lang w:val="lt-LT"/>
        </w:rPr>
        <w:t xml:space="preserve">o pasekmė. </w:t>
      </w:r>
      <w:r w:rsidR="00B01F79" w:rsidRPr="004A6595">
        <w:rPr>
          <w:sz w:val="26"/>
          <w:szCs w:val="26"/>
          <w:lang w:val="lt-LT"/>
        </w:rPr>
        <w:t xml:space="preserve">Ir nesvarbu, kaip teigia C. Fisher (2005), ar atliekamas didelės ar mažos įmonės auditas, auditorius turi </w:t>
      </w:r>
      <w:r w:rsidR="00F82CE3" w:rsidRPr="004A6595">
        <w:rPr>
          <w:sz w:val="26"/>
          <w:szCs w:val="26"/>
          <w:lang w:val="lt-LT"/>
        </w:rPr>
        <w:t xml:space="preserve">laikytis </w:t>
      </w:r>
      <w:r w:rsidR="00B01F79" w:rsidRPr="004A6595">
        <w:rPr>
          <w:sz w:val="26"/>
          <w:szCs w:val="26"/>
          <w:lang w:val="lt-LT"/>
        </w:rPr>
        <w:t xml:space="preserve">tų pačių audito standartų. </w:t>
      </w:r>
      <w:r w:rsidR="006208D3" w:rsidRPr="004A6595">
        <w:rPr>
          <w:sz w:val="26"/>
          <w:szCs w:val="26"/>
          <w:lang w:val="lt-LT"/>
        </w:rPr>
        <w:t xml:space="preserve">Todėl audito </w:t>
      </w:r>
      <w:r w:rsidR="008D16D5" w:rsidRPr="004A6595">
        <w:rPr>
          <w:sz w:val="26"/>
          <w:szCs w:val="26"/>
          <w:lang w:val="lt-LT"/>
        </w:rPr>
        <w:t xml:space="preserve">atlikimas taip, </w:t>
      </w:r>
      <w:r w:rsidR="006208D3" w:rsidRPr="004A6595">
        <w:rPr>
          <w:sz w:val="26"/>
          <w:szCs w:val="26"/>
          <w:lang w:val="lt-LT"/>
        </w:rPr>
        <w:t>kaip reikalauja profesiniai standartai, yra svarbi sąlyga audito rizikos mažinimui.</w:t>
      </w:r>
      <w:r w:rsidR="008D16D5" w:rsidRPr="004A6595">
        <w:rPr>
          <w:sz w:val="26"/>
          <w:szCs w:val="26"/>
          <w:lang w:val="lt-LT"/>
        </w:rPr>
        <w:t xml:space="preserve"> </w:t>
      </w:r>
      <w:r w:rsidR="00777988" w:rsidRPr="004A6595">
        <w:rPr>
          <w:sz w:val="26"/>
          <w:szCs w:val="26"/>
          <w:lang w:val="lt-LT"/>
        </w:rPr>
        <w:t xml:space="preserve">Be to, kad </w:t>
      </w:r>
      <w:r w:rsidRPr="004A6595">
        <w:rPr>
          <w:sz w:val="26"/>
          <w:szCs w:val="26"/>
          <w:lang w:val="lt-LT"/>
        </w:rPr>
        <w:t xml:space="preserve">visuomenė galėtų pasitikėti auditoriaus darbu, auditorius turi laikytis </w:t>
      </w:r>
      <w:r w:rsidR="006208D3" w:rsidRPr="004A6595">
        <w:rPr>
          <w:i/>
          <w:sz w:val="26"/>
          <w:szCs w:val="26"/>
          <w:lang w:val="lt-LT"/>
        </w:rPr>
        <w:t xml:space="preserve">profesinės </w:t>
      </w:r>
      <w:r w:rsidRPr="004A6595">
        <w:rPr>
          <w:i/>
          <w:sz w:val="26"/>
          <w:szCs w:val="26"/>
          <w:lang w:val="lt-LT"/>
        </w:rPr>
        <w:t>etikos principų</w:t>
      </w:r>
      <w:r w:rsidR="006208D3" w:rsidRPr="004A6595">
        <w:rPr>
          <w:sz w:val="26"/>
          <w:szCs w:val="26"/>
          <w:lang w:val="lt-LT"/>
        </w:rPr>
        <w:t xml:space="preserve">. </w:t>
      </w:r>
      <w:r w:rsidR="00E53632" w:rsidRPr="004A6595">
        <w:rPr>
          <w:sz w:val="26"/>
          <w:szCs w:val="26"/>
          <w:lang w:val="lt-LT"/>
        </w:rPr>
        <w:t xml:space="preserve">TBF </w:t>
      </w:r>
      <w:r w:rsidRPr="004A6595">
        <w:rPr>
          <w:sz w:val="26"/>
          <w:szCs w:val="26"/>
          <w:lang w:val="lt-LT"/>
        </w:rPr>
        <w:t xml:space="preserve">Buhalterių profesionalų etikos kodekse (2006) įvardinti šie pagrindiniai </w:t>
      </w:r>
      <w:r w:rsidR="006208D3" w:rsidRPr="004A6595">
        <w:rPr>
          <w:sz w:val="26"/>
          <w:szCs w:val="26"/>
          <w:lang w:val="lt-LT"/>
        </w:rPr>
        <w:t xml:space="preserve">etikos </w:t>
      </w:r>
      <w:r w:rsidRPr="004A6595">
        <w:rPr>
          <w:sz w:val="26"/>
          <w:szCs w:val="26"/>
          <w:lang w:val="lt-LT"/>
        </w:rPr>
        <w:t>principai: sąžiningumas, objektyvumas, profesinė kompetencija ir pareigingumas, konfidencialumas, profesinis elgesys</w:t>
      </w:r>
      <w:r w:rsidR="006208D3" w:rsidRPr="004A6595">
        <w:rPr>
          <w:sz w:val="26"/>
          <w:szCs w:val="26"/>
          <w:lang w:val="lt-LT"/>
        </w:rPr>
        <w:t xml:space="preserve"> ir </w:t>
      </w:r>
      <w:r w:rsidRPr="004A6595">
        <w:rPr>
          <w:sz w:val="26"/>
          <w:szCs w:val="26"/>
          <w:lang w:val="lt-LT"/>
        </w:rPr>
        <w:t>nepriklausomum</w:t>
      </w:r>
      <w:r w:rsidR="006208D3" w:rsidRPr="004A6595">
        <w:rPr>
          <w:sz w:val="26"/>
          <w:szCs w:val="26"/>
          <w:lang w:val="lt-LT"/>
        </w:rPr>
        <w:t>as</w:t>
      </w:r>
      <w:r w:rsidR="00B758CB">
        <w:rPr>
          <w:sz w:val="26"/>
          <w:szCs w:val="26"/>
          <w:lang w:val="lt-LT"/>
        </w:rPr>
        <w:t>. K. Cooper ir H. </w:t>
      </w:r>
      <w:r w:rsidRPr="004A6595">
        <w:rPr>
          <w:sz w:val="26"/>
          <w:szCs w:val="26"/>
          <w:lang w:val="lt-LT"/>
        </w:rPr>
        <w:t xml:space="preserve">Deo (2006) </w:t>
      </w:r>
      <w:r w:rsidR="008D2075">
        <w:rPr>
          <w:sz w:val="26"/>
          <w:szCs w:val="26"/>
          <w:lang w:val="lt-LT"/>
        </w:rPr>
        <w:t xml:space="preserve">akcentuoja, kad </w:t>
      </w:r>
      <w:r w:rsidRPr="004A6595">
        <w:rPr>
          <w:sz w:val="26"/>
          <w:szCs w:val="26"/>
          <w:lang w:val="lt-LT"/>
        </w:rPr>
        <w:t>nepriklausomumas visada buvo laikoma</w:t>
      </w:r>
      <w:r w:rsidR="00657A94" w:rsidRPr="004A6595">
        <w:rPr>
          <w:sz w:val="26"/>
          <w:szCs w:val="26"/>
          <w:lang w:val="lt-LT"/>
        </w:rPr>
        <w:t>s</w:t>
      </w:r>
      <w:r w:rsidRPr="004A6595">
        <w:rPr>
          <w:sz w:val="26"/>
          <w:szCs w:val="26"/>
          <w:lang w:val="lt-LT"/>
        </w:rPr>
        <w:t xml:space="preserve"> esmine auditoriaus savybe. </w:t>
      </w:r>
      <w:r w:rsidR="008D2075">
        <w:rPr>
          <w:sz w:val="26"/>
          <w:szCs w:val="26"/>
          <w:lang w:val="lt-LT"/>
        </w:rPr>
        <w:t>Darbo autorės nuomone, gr</w:t>
      </w:r>
      <w:r w:rsidRPr="004A6595">
        <w:rPr>
          <w:sz w:val="26"/>
          <w:szCs w:val="26"/>
          <w:lang w:val="lt-LT"/>
        </w:rPr>
        <w:t xml:space="preserve">iežtas </w:t>
      </w:r>
      <w:r w:rsidR="006208D3" w:rsidRPr="004A6595">
        <w:rPr>
          <w:sz w:val="26"/>
          <w:szCs w:val="26"/>
          <w:lang w:val="lt-LT"/>
        </w:rPr>
        <w:t xml:space="preserve">profesinės etikos </w:t>
      </w:r>
      <w:r w:rsidRPr="004A6595">
        <w:rPr>
          <w:sz w:val="26"/>
          <w:szCs w:val="26"/>
          <w:lang w:val="lt-LT"/>
        </w:rPr>
        <w:t xml:space="preserve">principų laikymasis </w:t>
      </w:r>
      <w:r w:rsidR="008D2075">
        <w:rPr>
          <w:sz w:val="26"/>
          <w:szCs w:val="26"/>
          <w:lang w:val="lt-LT"/>
        </w:rPr>
        <w:t>užke</w:t>
      </w:r>
      <w:r w:rsidRPr="004A6595">
        <w:rPr>
          <w:sz w:val="26"/>
          <w:szCs w:val="26"/>
          <w:lang w:val="lt-LT"/>
        </w:rPr>
        <w:t>rt</w:t>
      </w:r>
      <w:r w:rsidR="008D2075">
        <w:rPr>
          <w:sz w:val="26"/>
          <w:szCs w:val="26"/>
          <w:lang w:val="lt-LT"/>
        </w:rPr>
        <w:t>a</w:t>
      </w:r>
      <w:r w:rsidRPr="004A6595">
        <w:rPr>
          <w:sz w:val="26"/>
          <w:szCs w:val="26"/>
          <w:lang w:val="lt-LT"/>
        </w:rPr>
        <w:t xml:space="preserve"> kelią audito rizikos pasireiškimui, nes auditorius </w:t>
      </w:r>
      <w:r w:rsidR="008D2075">
        <w:rPr>
          <w:sz w:val="26"/>
          <w:szCs w:val="26"/>
          <w:lang w:val="lt-LT"/>
        </w:rPr>
        <w:t xml:space="preserve">gali </w:t>
      </w:r>
      <w:r w:rsidRPr="004A6595">
        <w:rPr>
          <w:sz w:val="26"/>
          <w:szCs w:val="26"/>
          <w:lang w:val="lt-LT"/>
        </w:rPr>
        <w:t>daryt</w:t>
      </w:r>
      <w:r w:rsidR="008D2075">
        <w:rPr>
          <w:sz w:val="26"/>
          <w:szCs w:val="26"/>
          <w:lang w:val="lt-LT"/>
        </w:rPr>
        <w:t>i sprendimus ir imtis</w:t>
      </w:r>
      <w:r w:rsidRPr="004A6595">
        <w:rPr>
          <w:sz w:val="26"/>
          <w:szCs w:val="26"/>
          <w:lang w:val="lt-LT"/>
        </w:rPr>
        <w:t xml:space="preserve"> tokios užduoties, kuriai turi tinkamą pasirengimą ir kurios rezultatais nėra kaip nors suinteresuotas. </w:t>
      </w:r>
    </w:p>
    <w:p w:rsidR="00904136" w:rsidRPr="004A6595" w:rsidRDefault="00AE6692" w:rsidP="001C5407">
      <w:pPr>
        <w:tabs>
          <w:tab w:val="left" w:pos="0"/>
          <w:tab w:val="left" w:pos="1134"/>
        </w:tabs>
        <w:spacing w:line="360" w:lineRule="auto"/>
        <w:ind w:firstLine="720"/>
        <w:jc w:val="both"/>
        <w:rPr>
          <w:sz w:val="26"/>
          <w:szCs w:val="26"/>
          <w:lang w:val="lt-LT"/>
        </w:rPr>
      </w:pPr>
      <w:r w:rsidRPr="004A6595">
        <w:rPr>
          <w:sz w:val="26"/>
          <w:szCs w:val="26"/>
          <w:lang w:val="lt-LT"/>
        </w:rPr>
        <w:t>P</w:t>
      </w:r>
      <w:r w:rsidR="002238AF" w:rsidRPr="004A6595">
        <w:rPr>
          <w:sz w:val="26"/>
          <w:szCs w:val="26"/>
          <w:lang w:val="lt-LT"/>
        </w:rPr>
        <w:t>lanuo</w:t>
      </w:r>
      <w:r w:rsidRPr="004A6595">
        <w:rPr>
          <w:sz w:val="26"/>
          <w:szCs w:val="26"/>
          <w:lang w:val="lt-LT"/>
        </w:rPr>
        <w:t>damas</w:t>
      </w:r>
      <w:r w:rsidR="002238AF" w:rsidRPr="004A6595">
        <w:rPr>
          <w:sz w:val="26"/>
          <w:szCs w:val="26"/>
          <w:lang w:val="lt-LT"/>
        </w:rPr>
        <w:t xml:space="preserve"> ir atlik</w:t>
      </w:r>
      <w:r w:rsidRPr="004A6595">
        <w:rPr>
          <w:sz w:val="26"/>
          <w:szCs w:val="26"/>
          <w:lang w:val="lt-LT"/>
        </w:rPr>
        <w:t>damas</w:t>
      </w:r>
      <w:r w:rsidR="002238AF" w:rsidRPr="004A6595">
        <w:rPr>
          <w:sz w:val="26"/>
          <w:szCs w:val="26"/>
          <w:lang w:val="lt-LT"/>
        </w:rPr>
        <w:t xml:space="preserve"> auditą auditorius privalo </w:t>
      </w:r>
      <w:r w:rsidR="00C806E2" w:rsidRPr="004A6595">
        <w:rPr>
          <w:sz w:val="26"/>
          <w:szCs w:val="26"/>
          <w:lang w:val="lt-LT"/>
        </w:rPr>
        <w:t>visą</w:t>
      </w:r>
      <w:r w:rsidR="002238AF" w:rsidRPr="004A6595">
        <w:rPr>
          <w:sz w:val="26"/>
          <w:szCs w:val="26"/>
          <w:lang w:val="lt-LT"/>
        </w:rPr>
        <w:t xml:space="preserve"> dėmes</w:t>
      </w:r>
      <w:r w:rsidR="00C806E2" w:rsidRPr="004A6595">
        <w:rPr>
          <w:sz w:val="26"/>
          <w:szCs w:val="26"/>
          <w:lang w:val="lt-LT"/>
        </w:rPr>
        <w:t>į</w:t>
      </w:r>
      <w:r w:rsidR="002238AF" w:rsidRPr="004A6595">
        <w:rPr>
          <w:sz w:val="26"/>
          <w:szCs w:val="26"/>
          <w:lang w:val="lt-LT"/>
        </w:rPr>
        <w:t xml:space="preserve"> skirti </w:t>
      </w:r>
      <w:r w:rsidR="002238AF" w:rsidRPr="004A6595">
        <w:rPr>
          <w:i/>
          <w:sz w:val="26"/>
          <w:szCs w:val="26"/>
          <w:lang w:val="lt-LT"/>
        </w:rPr>
        <w:t>audito įrodymams</w:t>
      </w:r>
      <w:r w:rsidR="003A5B69" w:rsidRPr="004A6595">
        <w:rPr>
          <w:rStyle w:val="FootnoteReference"/>
          <w:i/>
          <w:sz w:val="26"/>
          <w:szCs w:val="26"/>
          <w:lang w:val="lt-LT"/>
        </w:rPr>
        <w:footnoteReference w:id="6"/>
      </w:r>
      <w:r w:rsidR="00C806E2" w:rsidRPr="004A6595">
        <w:rPr>
          <w:i/>
          <w:sz w:val="26"/>
          <w:szCs w:val="26"/>
          <w:lang w:val="lt-LT"/>
        </w:rPr>
        <w:t>.</w:t>
      </w:r>
      <w:r w:rsidR="00080621" w:rsidRPr="004A6595">
        <w:rPr>
          <w:sz w:val="26"/>
          <w:szCs w:val="26"/>
          <w:lang w:val="lt-LT"/>
        </w:rPr>
        <w:t xml:space="preserve"> </w:t>
      </w:r>
      <w:r w:rsidR="00FD7A00" w:rsidRPr="004A6595">
        <w:rPr>
          <w:sz w:val="26"/>
          <w:szCs w:val="26"/>
          <w:lang w:val="lt-LT"/>
        </w:rPr>
        <w:t xml:space="preserve">Suprantama, </w:t>
      </w:r>
      <w:r w:rsidR="00D023D2" w:rsidRPr="004A6595">
        <w:rPr>
          <w:sz w:val="26"/>
          <w:szCs w:val="26"/>
          <w:lang w:val="lt-LT"/>
        </w:rPr>
        <w:t>egzistuoja tiesioginė a</w:t>
      </w:r>
      <w:r w:rsidR="004F0B51" w:rsidRPr="004A6595">
        <w:rPr>
          <w:sz w:val="26"/>
          <w:szCs w:val="26"/>
          <w:lang w:val="lt-LT"/>
        </w:rPr>
        <w:t>udito įrodym</w:t>
      </w:r>
      <w:r w:rsidR="00D023D2" w:rsidRPr="004A6595">
        <w:rPr>
          <w:sz w:val="26"/>
          <w:szCs w:val="26"/>
          <w:lang w:val="lt-LT"/>
        </w:rPr>
        <w:t xml:space="preserve">ų ir </w:t>
      </w:r>
      <w:r w:rsidR="004F0B51" w:rsidRPr="004A6595">
        <w:rPr>
          <w:sz w:val="26"/>
          <w:szCs w:val="26"/>
          <w:lang w:val="lt-LT"/>
        </w:rPr>
        <w:t>audito rizikos lyg</w:t>
      </w:r>
      <w:r w:rsidR="00D023D2" w:rsidRPr="004A6595">
        <w:rPr>
          <w:sz w:val="26"/>
          <w:szCs w:val="26"/>
          <w:lang w:val="lt-LT"/>
        </w:rPr>
        <w:t>io priklausomybė</w:t>
      </w:r>
      <w:r w:rsidR="004F0B51" w:rsidRPr="004A6595">
        <w:rPr>
          <w:sz w:val="26"/>
          <w:szCs w:val="26"/>
          <w:lang w:val="lt-LT"/>
        </w:rPr>
        <w:t>: kuo jų bus surinkta daugiau, tuo audito rizika mažesnė</w:t>
      </w:r>
      <w:r w:rsidR="00657A94" w:rsidRPr="004A6595">
        <w:rPr>
          <w:sz w:val="26"/>
          <w:szCs w:val="26"/>
          <w:lang w:val="lt-LT"/>
        </w:rPr>
        <w:t>,</w:t>
      </w:r>
      <w:r w:rsidR="004F0B51" w:rsidRPr="004A6595">
        <w:rPr>
          <w:sz w:val="26"/>
          <w:szCs w:val="26"/>
          <w:lang w:val="lt-LT"/>
        </w:rPr>
        <w:t xml:space="preserve"> ir atvirkščiai. </w:t>
      </w:r>
      <w:r w:rsidR="00FD7A00" w:rsidRPr="004A6595">
        <w:rPr>
          <w:sz w:val="26"/>
          <w:szCs w:val="26"/>
          <w:lang w:val="lt-LT"/>
        </w:rPr>
        <w:t>Tačiau j</w:t>
      </w:r>
      <w:r w:rsidR="006A06D5" w:rsidRPr="004A6595">
        <w:rPr>
          <w:sz w:val="26"/>
          <w:szCs w:val="26"/>
          <w:lang w:val="lt-LT"/>
        </w:rPr>
        <w:t>ei įrodymų kiekis lieka pastovus, audito riziką</w:t>
      </w:r>
      <w:r w:rsidR="00D023D2" w:rsidRPr="004A6595">
        <w:rPr>
          <w:sz w:val="26"/>
          <w:szCs w:val="26"/>
          <w:lang w:val="lt-LT"/>
        </w:rPr>
        <w:t xml:space="preserve">, pasak S. M. Bičkovos </w:t>
      </w:r>
      <w:r w:rsidR="00D06868" w:rsidRPr="004A6595">
        <w:rPr>
          <w:sz w:val="26"/>
          <w:szCs w:val="26"/>
          <w:lang w:val="lt-LT"/>
        </w:rPr>
        <w:t>(1998),</w:t>
      </w:r>
      <w:r w:rsidR="006A06D5" w:rsidRPr="004A6595">
        <w:rPr>
          <w:sz w:val="26"/>
          <w:szCs w:val="26"/>
          <w:lang w:val="lt-LT"/>
        </w:rPr>
        <w:t xml:space="preserve"> galima sumažinti tik padidinus </w:t>
      </w:r>
      <w:r w:rsidR="006A06D5" w:rsidRPr="004A6595">
        <w:rPr>
          <w:i/>
          <w:sz w:val="26"/>
          <w:szCs w:val="26"/>
          <w:lang w:val="lt-LT"/>
        </w:rPr>
        <w:t xml:space="preserve">reikšmingumo </w:t>
      </w:r>
      <w:r w:rsidR="006A06D5" w:rsidRPr="004A6595">
        <w:rPr>
          <w:sz w:val="26"/>
          <w:szCs w:val="26"/>
          <w:lang w:val="lt-LT"/>
        </w:rPr>
        <w:lastRenderedPageBreak/>
        <w:t>lygį. Tai</w:t>
      </w:r>
      <w:r w:rsidR="00D06868" w:rsidRPr="004A6595">
        <w:rPr>
          <w:sz w:val="26"/>
          <w:szCs w:val="26"/>
          <w:lang w:val="lt-LT"/>
        </w:rPr>
        <w:t xml:space="preserve"> įrodo, kad egzistuoja </w:t>
      </w:r>
      <w:r w:rsidR="006A06D5" w:rsidRPr="004A6595">
        <w:rPr>
          <w:sz w:val="26"/>
          <w:szCs w:val="26"/>
          <w:lang w:val="lt-LT"/>
        </w:rPr>
        <w:t>atvirkštinis ryšys tarp reikšmingumo ir audito rizikos, t.</w:t>
      </w:r>
      <w:r w:rsidR="007819B4" w:rsidRPr="004A6595">
        <w:rPr>
          <w:sz w:val="26"/>
          <w:szCs w:val="26"/>
          <w:lang w:val="lt-LT"/>
        </w:rPr>
        <w:t xml:space="preserve"> </w:t>
      </w:r>
      <w:r w:rsidR="006A06D5" w:rsidRPr="004A6595">
        <w:rPr>
          <w:sz w:val="26"/>
          <w:szCs w:val="26"/>
          <w:lang w:val="lt-LT"/>
        </w:rPr>
        <w:t>y. jei suplanavęs audito procedūras auditorius nustato, kad priimtinas finansin</w:t>
      </w:r>
      <w:r w:rsidR="00E30E21" w:rsidRPr="004A6595">
        <w:rPr>
          <w:sz w:val="26"/>
          <w:szCs w:val="26"/>
          <w:lang w:val="lt-LT"/>
        </w:rPr>
        <w:t>ių</w:t>
      </w:r>
      <w:r w:rsidR="006A06D5" w:rsidRPr="004A6595">
        <w:rPr>
          <w:sz w:val="26"/>
          <w:szCs w:val="26"/>
          <w:lang w:val="lt-LT"/>
        </w:rPr>
        <w:t xml:space="preserve"> at</w:t>
      </w:r>
      <w:r w:rsidR="00E30E21" w:rsidRPr="004A6595">
        <w:rPr>
          <w:sz w:val="26"/>
          <w:szCs w:val="26"/>
          <w:lang w:val="lt-LT"/>
        </w:rPr>
        <w:t>a</w:t>
      </w:r>
      <w:r w:rsidR="006A06D5" w:rsidRPr="004A6595">
        <w:rPr>
          <w:sz w:val="26"/>
          <w:szCs w:val="26"/>
          <w:lang w:val="lt-LT"/>
        </w:rPr>
        <w:t>skait</w:t>
      </w:r>
      <w:r w:rsidR="00E30E21" w:rsidRPr="004A6595">
        <w:rPr>
          <w:sz w:val="26"/>
          <w:szCs w:val="26"/>
          <w:lang w:val="lt-LT"/>
        </w:rPr>
        <w:t>ų</w:t>
      </w:r>
      <w:r w:rsidR="006A06D5" w:rsidRPr="004A6595">
        <w:rPr>
          <w:sz w:val="26"/>
          <w:szCs w:val="26"/>
          <w:lang w:val="lt-LT"/>
        </w:rPr>
        <w:t xml:space="preserve"> duomenų reikšmingumo lygis </w:t>
      </w:r>
      <w:r w:rsidR="004C3AC4" w:rsidRPr="004A6595">
        <w:rPr>
          <w:sz w:val="26"/>
          <w:szCs w:val="26"/>
          <w:lang w:val="lt-LT"/>
        </w:rPr>
        <w:t>turi</w:t>
      </w:r>
      <w:r w:rsidR="006A06D5" w:rsidRPr="004A6595">
        <w:rPr>
          <w:sz w:val="26"/>
          <w:szCs w:val="26"/>
          <w:lang w:val="lt-LT"/>
        </w:rPr>
        <w:t xml:space="preserve"> būti žemesnis, tai audito rizika padidėja.</w:t>
      </w:r>
      <w:r w:rsidR="0013418A" w:rsidRPr="004A6595">
        <w:rPr>
          <w:sz w:val="26"/>
          <w:szCs w:val="26"/>
          <w:lang w:val="lt-LT"/>
        </w:rPr>
        <w:t xml:space="preserve"> </w:t>
      </w:r>
      <w:r w:rsidR="00AB206F" w:rsidRPr="004A6595">
        <w:rPr>
          <w:sz w:val="26"/>
          <w:szCs w:val="26"/>
          <w:lang w:val="lt-LT"/>
        </w:rPr>
        <w:t>Aptartų a</w:t>
      </w:r>
      <w:r w:rsidR="00904136" w:rsidRPr="004A6595">
        <w:rPr>
          <w:sz w:val="26"/>
          <w:szCs w:val="26"/>
          <w:lang w:val="lt-LT"/>
        </w:rPr>
        <w:t xml:space="preserve">udito koncepcijų ryšys su audito rizika apibendrintas </w:t>
      </w:r>
      <w:r w:rsidR="002F7447" w:rsidRPr="004A6595">
        <w:rPr>
          <w:sz w:val="26"/>
          <w:szCs w:val="26"/>
          <w:lang w:val="lt-LT"/>
        </w:rPr>
        <w:t>6</w:t>
      </w:r>
      <w:r w:rsidR="00904136" w:rsidRPr="004A6595">
        <w:rPr>
          <w:sz w:val="26"/>
          <w:szCs w:val="26"/>
          <w:lang w:val="lt-LT"/>
        </w:rPr>
        <w:t xml:space="preserve"> lentelėje. </w:t>
      </w:r>
    </w:p>
    <w:p w:rsidR="00904136" w:rsidRPr="004A6595" w:rsidRDefault="002F7447" w:rsidP="00F91B5C">
      <w:pPr>
        <w:jc w:val="right"/>
        <w:rPr>
          <w:i/>
          <w:sz w:val="26"/>
          <w:szCs w:val="26"/>
          <w:lang w:val="lt-LT"/>
        </w:rPr>
      </w:pPr>
      <w:r w:rsidRPr="004A6595">
        <w:rPr>
          <w:i/>
          <w:sz w:val="26"/>
          <w:szCs w:val="26"/>
          <w:lang w:val="lt-LT"/>
        </w:rPr>
        <w:t>6</w:t>
      </w:r>
      <w:r w:rsidR="00904136" w:rsidRPr="004A6595">
        <w:rPr>
          <w:i/>
          <w:sz w:val="26"/>
          <w:szCs w:val="26"/>
          <w:lang w:val="lt-LT"/>
        </w:rPr>
        <w:t xml:space="preserve"> lentelė</w:t>
      </w:r>
    </w:p>
    <w:p w:rsidR="00904136" w:rsidRPr="004A6595" w:rsidRDefault="00904136" w:rsidP="00F91B5C">
      <w:pPr>
        <w:jc w:val="center"/>
        <w:rPr>
          <w:b/>
          <w:sz w:val="26"/>
          <w:szCs w:val="26"/>
          <w:lang w:val="lt-LT"/>
        </w:rPr>
      </w:pPr>
      <w:r w:rsidRPr="004A6595">
        <w:rPr>
          <w:b/>
          <w:sz w:val="26"/>
          <w:szCs w:val="26"/>
          <w:lang w:val="lt-LT"/>
        </w:rPr>
        <w:t xml:space="preserve">Audito koncepcijos ir audito rizika </w:t>
      </w:r>
    </w:p>
    <w:tbl>
      <w:tblPr>
        <w:tblW w:w="0" w:type="auto"/>
        <w:jc w:val="center"/>
        <w:tblLayout w:type="fixed"/>
        <w:tblLook w:val="01E0"/>
      </w:tblPr>
      <w:tblGrid>
        <w:gridCol w:w="2943"/>
        <w:gridCol w:w="4961"/>
      </w:tblGrid>
      <w:tr w:rsidR="00904136" w:rsidRPr="004A6595" w:rsidTr="004A6595">
        <w:trPr>
          <w:jc w:val="center"/>
        </w:trPr>
        <w:tc>
          <w:tcPr>
            <w:tcW w:w="2943" w:type="dxa"/>
            <w:tcBorders>
              <w:top w:val="single" w:sz="4" w:space="0" w:color="auto"/>
              <w:bottom w:val="single" w:sz="4" w:space="0" w:color="auto"/>
            </w:tcBorders>
            <w:vAlign w:val="center"/>
          </w:tcPr>
          <w:p w:rsidR="00904136" w:rsidRPr="004A6595" w:rsidRDefault="00904136" w:rsidP="00CF51DC">
            <w:pPr>
              <w:spacing w:line="360" w:lineRule="auto"/>
              <w:jc w:val="center"/>
              <w:rPr>
                <w:b/>
                <w:sz w:val="22"/>
                <w:szCs w:val="22"/>
                <w:lang w:val="lt-LT"/>
              </w:rPr>
            </w:pPr>
            <w:r w:rsidRPr="004A6595">
              <w:rPr>
                <w:b/>
                <w:sz w:val="22"/>
                <w:szCs w:val="22"/>
                <w:lang w:val="lt-LT"/>
              </w:rPr>
              <w:t>Koncepcija</w:t>
            </w:r>
          </w:p>
        </w:tc>
        <w:tc>
          <w:tcPr>
            <w:tcW w:w="4961" w:type="dxa"/>
            <w:tcBorders>
              <w:top w:val="single" w:sz="4" w:space="0" w:color="auto"/>
              <w:bottom w:val="single" w:sz="4" w:space="0" w:color="auto"/>
            </w:tcBorders>
            <w:vAlign w:val="center"/>
          </w:tcPr>
          <w:p w:rsidR="00904136" w:rsidRPr="004A6595" w:rsidRDefault="00904136" w:rsidP="00CF51DC">
            <w:pPr>
              <w:spacing w:line="360" w:lineRule="auto"/>
              <w:jc w:val="center"/>
              <w:rPr>
                <w:b/>
                <w:sz w:val="22"/>
                <w:szCs w:val="22"/>
                <w:lang w:val="lt-LT"/>
              </w:rPr>
            </w:pPr>
            <w:r w:rsidRPr="004A6595">
              <w:rPr>
                <w:b/>
                <w:sz w:val="22"/>
                <w:szCs w:val="22"/>
                <w:lang w:val="lt-LT"/>
              </w:rPr>
              <w:t>Ryšys su audito rizika</w:t>
            </w:r>
          </w:p>
        </w:tc>
      </w:tr>
      <w:tr w:rsidR="00904136" w:rsidRPr="004A6595" w:rsidTr="004A6595">
        <w:trPr>
          <w:jc w:val="center"/>
        </w:trPr>
        <w:tc>
          <w:tcPr>
            <w:tcW w:w="2943" w:type="dxa"/>
            <w:tcBorders>
              <w:top w:val="single" w:sz="4" w:space="0" w:color="auto"/>
              <w:bottom w:val="single" w:sz="4" w:space="0" w:color="auto"/>
            </w:tcBorders>
          </w:tcPr>
          <w:p w:rsidR="00904136" w:rsidRPr="004A6595" w:rsidRDefault="00904136" w:rsidP="00CF51DC">
            <w:pPr>
              <w:rPr>
                <w:sz w:val="22"/>
                <w:szCs w:val="22"/>
                <w:lang w:val="lt-LT"/>
              </w:rPr>
            </w:pPr>
            <w:r w:rsidRPr="004A6595">
              <w:rPr>
                <w:sz w:val="22"/>
                <w:szCs w:val="22"/>
                <w:lang w:val="lt-LT"/>
              </w:rPr>
              <w:t>Pakankamas užtikrinimas</w:t>
            </w:r>
          </w:p>
        </w:tc>
        <w:tc>
          <w:tcPr>
            <w:tcW w:w="4961" w:type="dxa"/>
            <w:tcBorders>
              <w:top w:val="single" w:sz="4" w:space="0" w:color="auto"/>
              <w:bottom w:val="single" w:sz="4" w:space="0" w:color="auto"/>
            </w:tcBorders>
          </w:tcPr>
          <w:p w:rsidR="00904136" w:rsidRPr="004A6595" w:rsidRDefault="00904136" w:rsidP="00CF51DC">
            <w:pPr>
              <w:jc w:val="both"/>
              <w:rPr>
                <w:sz w:val="22"/>
                <w:szCs w:val="22"/>
                <w:lang w:val="lt-LT"/>
              </w:rPr>
            </w:pPr>
            <w:r w:rsidRPr="004A6595">
              <w:rPr>
                <w:sz w:val="22"/>
                <w:szCs w:val="22"/>
                <w:lang w:val="lt-LT"/>
              </w:rPr>
              <w:t>Būdingi apribojimai gali lemti audito rizikos pasireiškimą.</w:t>
            </w:r>
          </w:p>
        </w:tc>
      </w:tr>
      <w:tr w:rsidR="00904136" w:rsidRPr="004A6595" w:rsidTr="004A6595">
        <w:trPr>
          <w:jc w:val="center"/>
        </w:trPr>
        <w:tc>
          <w:tcPr>
            <w:tcW w:w="2943" w:type="dxa"/>
            <w:tcBorders>
              <w:top w:val="single" w:sz="4" w:space="0" w:color="auto"/>
              <w:bottom w:val="single" w:sz="4" w:space="0" w:color="auto"/>
            </w:tcBorders>
          </w:tcPr>
          <w:p w:rsidR="00904136" w:rsidRPr="004A6595" w:rsidRDefault="00904136" w:rsidP="00CF51DC">
            <w:pPr>
              <w:rPr>
                <w:sz w:val="22"/>
                <w:szCs w:val="22"/>
                <w:lang w:val="lt-LT"/>
              </w:rPr>
            </w:pPr>
            <w:r w:rsidRPr="004A6595">
              <w:rPr>
                <w:sz w:val="22"/>
                <w:szCs w:val="22"/>
                <w:lang w:val="lt-LT"/>
              </w:rPr>
              <w:t>Profesinis sprendimas</w:t>
            </w:r>
          </w:p>
        </w:tc>
        <w:tc>
          <w:tcPr>
            <w:tcW w:w="4961" w:type="dxa"/>
            <w:tcBorders>
              <w:top w:val="single" w:sz="4" w:space="0" w:color="auto"/>
              <w:bottom w:val="single" w:sz="4" w:space="0" w:color="auto"/>
            </w:tcBorders>
          </w:tcPr>
          <w:p w:rsidR="00904136" w:rsidRPr="004A6595" w:rsidRDefault="00904136" w:rsidP="00CF51DC">
            <w:pPr>
              <w:jc w:val="both"/>
              <w:rPr>
                <w:sz w:val="22"/>
                <w:szCs w:val="22"/>
                <w:lang w:val="lt-LT"/>
              </w:rPr>
            </w:pPr>
            <w:r w:rsidRPr="004A6595">
              <w:rPr>
                <w:sz w:val="22"/>
                <w:szCs w:val="22"/>
                <w:lang w:val="lt-LT"/>
              </w:rPr>
              <w:t xml:space="preserve">Prielaida audito rizikai pasireikšti. </w:t>
            </w:r>
          </w:p>
        </w:tc>
      </w:tr>
      <w:tr w:rsidR="00904136" w:rsidRPr="004A6595" w:rsidTr="004A6595">
        <w:trPr>
          <w:jc w:val="center"/>
        </w:trPr>
        <w:tc>
          <w:tcPr>
            <w:tcW w:w="2943" w:type="dxa"/>
            <w:tcBorders>
              <w:top w:val="single" w:sz="4" w:space="0" w:color="auto"/>
              <w:bottom w:val="single" w:sz="4" w:space="0" w:color="auto"/>
            </w:tcBorders>
          </w:tcPr>
          <w:p w:rsidR="00904136" w:rsidRPr="004A6595" w:rsidRDefault="00904136" w:rsidP="00CF51DC">
            <w:pPr>
              <w:rPr>
                <w:sz w:val="22"/>
                <w:szCs w:val="22"/>
                <w:lang w:val="lt-LT"/>
              </w:rPr>
            </w:pPr>
            <w:r w:rsidRPr="004A6595">
              <w:rPr>
                <w:sz w:val="22"/>
                <w:szCs w:val="22"/>
                <w:lang w:val="lt-LT"/>
              </w:rPr>
              <w:t>Profesinis skepticizmas</w:t>
            </w:r>
          </w:p>
        </w:tc>
        <w:tc>
          <w:tcPr>
            <w:tcW w:w="4961" w:type="dxa"/>
            <w:tcBorders>
              <w:top w:val="single" w:sz="4" w:space="0" w:color="auto"/>
              <w:bottom w:val="single" w:sz="4" w:space="0" w:color="auto"/>
            </w:tcBorders>
          </w:tcPr>
          <w:p w:rsidR="00904136" w:rsidRPr="004A6595" w:rsidRDefault="00904136" w:rsidP="00CF51DC">
            <w:pPr>
              <w:jc w:val="both"/>
              <w:rPr>
                <w:sz w:val="22"/>
                <w:szCs w:val="22"/>
                <w:lang w:val="lt-LT"/>
              </w:rPr>
            </w:pPr>
            <w:r w:rsidRPr="004A6595">
              <w:rPr>
                <w:sz w:val="22"/>
                <w:szCs w:val="22"/>
                <w:lang w:val="lt-LT"/>
              </w:rPr>
              <w:t>Jei taikomas, tai yra sąlyga audito rizikai mažėti.</w:t>
            </w:r>
          </w:p>
        </w:tc>
      </w:tr>
      <w:tr w:rsidR="00904136" w:rsidRPr="004A6595" w:rsidTr="004A6595">
        <w:trPr>
          <w:jc w:val="center"/>
        </w:trPr>
        <w:tc>
          <w:tcPr>
            <w:tcW w:w="2943" w:type="dxa"/>
            <w:tcBorders>
              <w:top w:val="single" w:sz="4" w:space="0" w:color="auto"/>
              <w:bottom w:val="single" w:sz="4" w:space="0" w:color="auto"/>
            </w:tcBorders>
          </w:tcPr>
          <w:p w:rsidR="00904136" w:rsidRPr="004A6595" w:rsidRDefault="00904136" w:rsidP="00CF51DC">
            <w:pPr>
              <w:rPr>
                <w:sz w:val="22"/>
                <w:szCs w:val="22"/>
                <w:lang w:val="lt-LT"/>
              </w:rPr>
            </w:pPr>
            <w:r w:rsidRPr="004A6595">
              <w:rPr>
                <w:sz w:val="22"/>
                <w:szCs w:val="22"/>
                <w:lang w:val="lt-LT"/>
              </w:rPr>
              <w:t>Audito standartai</w:t>
            </w:r>
          </w:p>
        </w:tc>
        <w:tc>
          <w:tcPr>
            <w:tcW w:w="4961" w:type="dxa"/>
            <w:tcBorders>
              <w:top w:val="single" w:sz="4" w:space="0" w:color="auto"/>
              <w:bottom w:val="single" w:sz="4" w:space="0" w:color="auto"/>
            </w:tcBorders>
          </w:tcPr>
          <w:p w:rsidR="00904136" w:rsidRPr="004A6595" w:rsidRDefault="00904136" w:rsidP="00CF51DC">
            <w:pPr>
              <w:jc w:val="both"/>
              <w:rPr>
                <w:sz w:val="22"/>
                <w:szCs w:val="22"/>
                <w:lang w:val="lt-LT"/>
              </w:rPr>
            </w:pPr>
            <w:r w:rsidRPr="004A6595">
              <w:rPr>
                <w:sz w:val="22"/>
                <w:szCs w:val="22"/>
                <w:lang w:val="lt-LT"/>
              </w:rPr>
              <w:t xml:space="preserve">Jei vadovaujamasi, tai yra sąlyga audito rizikai mažėti. </w:t>
            </w:r>
          </w:p>
        </w:tc>
      </w:tr>
      <w:tr w:rsidR="00904136" w:rsidRPr="004A6595" w:rsidTr="004A6595">
        <w:trPr>
          <w:jc w:val="center"/>
        </w:trPr>
        <w:tc>
          <w:tcPr>
            <w:tcW w:w="2943" w:type="dxa"/>
            <w:tcBorders>
              <w:top w:val="single" w:sz="4" w:space="0" w:color="auto"/>
              <w:bottom w:val="single" w:sz="4" w:space="0" w:color="auto"/>
            </w:tcBorders>
          </w:tcPr>
          <w:p w:rsidR="00904136" w:rsidRPr="004A6595" w:rsidRDefault="00904136" w:rsidP="00CF51DC">
            <w:pPr>
              <w:rPr>
                <w:sz w:val="22"/>
                <w:szCs w:val="22"/>
                <w:lang w:val="lt-LT"/>
              </w:rPr>
            </w:pPr>
            <w:r w:rsidRPr="004A6595">
              <w:rPr>
                <w:sz w:val="22"/>
                <w:szCs w:val="22"/>
                <w:lang w:val="lt-LT"/>
              </w:rPr>
              <w:t>Etikos principai</w:t>
            </w:r>
          </w:p>
        </w:tc>
        <w:tc>
          <w:tcPr>
            <w:tcW w:w="4961" w:type="dxa"/>
            <w:tcBorders>
              <w:top w:val="single" w:sz="4" w:space="0" w:color="auto"/>
              <w:bottom w:val="single" w:sz="4" w:space="0" w:color="auto"/>
            </w:tcBorders>
          </w:tcPr>
          <w:p w:rsidR="00904136" w:rsidRPr="004A6595" w:rsidRDefault="00904136" w:rsidP="00CF51DC">
            <w:pPr>
              <w:jc w:val="both"/>
              <w:rPr>
                <w:sz w:val="22"/>
                <w:szCs w:val="22"/>
                <w:lang w:val="lt-LT"/>
              </w:rPr>
            </w:pPr>
            <w:r w:rsidRPr="004A6595">
              <w:rPr>
                <w:sz w:val="22"/>
                <w:szCs w:val="22"/>
                <w:lang w:val="lt-LT"/>
              </w:rPr>
              <w:t>Jei laikomasi, tai yra sąlyga audito rizikai mažėti.</w:t>
            </w:r>
          </w:p>
        </w:tc>
      </w:tr>
      <w:tr w:rsidR="00904136" w:rsidRPr="004A6595" w:rsidTr="004A6595">
        <w:trPr>
          <w:jc w:val="center"/>
        </w:trPr>
        <w:tc>
          <w:tcPr>
            <w:tcW w:w="2943" w:type="dxa"/>
            <w:tcBorders>
              <w:top w:val="single" w:sz="4" w:space="0" w:color="auto"/>
              <w:bottom w:val="single" w:sz="4" w:space="0" w:color="auto"/>
            </w:tcBorders>
          </w:tcPr>
          <w:p w:rsidR="00904136" w:rsidRPr="004A6595" w:rsidRDefault="00904136" w:rsidP="00CF51DC">
            <w:pPr>
              <w:rPr>
                <w:sz w:val="22"/>
                <w:szCs w:val="22"/>
                <w:lang w:val="lt-LT"/>
              </w:rPr>
            </w:pPr>
            <w:r w:rsidRPr="004A6595">
              <w:rPr>
                <w:sz w:val="22"/>
                <w:szCs w:val="22"/>
                <w:lang w:val="lt-LT"/>
              </w:rPr>
              <w:t>Audito įrodymai</w:t>
            </w:r>
          </w:p>
        </w:tc>
        <w:tc>
          <w:tcPr>
            <w:tcW w:w="4961" w:type="dxa"/>
            <w:tcBorders>
              <w:top w:val="single" w:sz="4" w:space="0" w:color="auto"/>
              <w:bottom w:val="single" w:sz="4" w:space="0" w:color="auto"/>
            </w:tcBorders>
          </w:tcPr>
          <w:p w:rsidR="00904136" w:rsidRPr="004A6595" w:rsidRDefault="00904136" w:rsidP="00CF51DC">
            <w:pPr>
              <w:jc w:val="both"/>
              <w:rPr>
                <w:sz w:val="22"/>
                <w:szCs w:val="22"/>
                <w:lang w:val="lt-LT"/>
              </w:rPr>
            </w:pPr>
            <w:r w:rsidRPr="004A6595">
              <w:rPr>
                <w:sz w:val="22"/>
                <w:szCs w:val="22"/>
                <w:lang w:val="lt-LT"/>
              </w:rPr>
              <w:t>Kuo įrodymų bus surinkta daugiau, tuo audito rizika mažesnė ir atvirkščiai.</w:t>
            </w:r>
          </w:p>
        </w:tc>
      </w:tr>
      <w:tr w:rsidR="00904136" w:rsidRPr="004A6595" w:rsidTr="004A6595">
        <w:trPr>
          <w:jc w:val="center"/>
        </w:trPr>
        <w:tc>
          <w:tcPr>
            <w:tcW w:w="2943" w:type="dxa"/>
            <w:tcBorders>
              <w:top w:val="single" w:sz="4" w:space="0" w:color="auto"/>
              <w:bottom w:val="single" w:sz="4" w:space="0" w:color="auto"/>
            </w:tcBorders>
          </w:tcPr>
          <w:p w:rsidR="00904136" w:rsidRPr="004A6595" w:rsidRDefault="00904136" w:rsidP="00CF51DC">
            <w:pPr>
              <w:rPr>
                <w:sz w:val="22"/>
                <w:szCs w:val="22"/>
                <w:lang w:val="lt-LT"/>
              </w:rPr>
            </w:pPr>
            <w:r w:rsidRPr="004A6595">
              <w:rPr>
                <w:sz w:val="22"/>
                <w:szCs w:val="22"/>
                <w:lang w:val="lt-LT"/>
              </w:rPr>
              <w:t>Reikšmingumas</w:t>
            </w:r>
          </w:p>
        </w:tc>
        <w:tc>
          <w:tcPr>
            <w:tcW w:w="4961" w:type="dxa"/>
            <w:tcBorders>
              <w:top w:val="single" w:sz="4" w:space="0" w:color="auto"/>
              <w:bottom w:val="single" w:sz="4" w:space="0" w:color="auto"/>
            </w:tcBorders>
          </w:tcPr>
          <w:p w:rsidR="00904136" w:rsidRPr="004A6595" w:rsidRDefault="00904136" w:rsidP="00CF51DC">
            <w:pPr>
              <w:jc w:val="both"/>
              <w:rPr>
                <w:sz w:val="22"/>
                <w:szCs w:val="22"/>
                <w:lang w:val="lt-LT"/>
              </w:rPr>
            </w:pPr>
            <w:r w:rsidRPr="004A6595">
              <w:rPr>
                <w:sz w:val="22"/>
                <w:szCs w:val="22"/>
                <w:lang w:val="lt-LT"/>
              </w:rPr>
              <w:t>Kuo didesnis reikšmingumas, tuo audito rizika mažesnė ir atvirkščiai.</w:t>
            </w:r>
          </w:p>
        </w:tc>
      </w:tr>
    </w:tbl>
    <w:p w:rsidR="00904136" w:rsidRPr="00FE380C" w:rsidRDefault="00904136" w:rsidP="00904136">
      <w:pPr>
        <w:jc w:val="both"/>
        <w:rPr>
          <w:lang w:val="lt-LT"/>
        </w:rPr>
      </w:pPr>
      <w:r w:rsidRPr="00FE380C">
        <w:rPr>
          <w:lang w:val="lt-LT"/>
        </w:rPr>
        <w:t>Šaltinis: sudaryta autorės.</w:t>
      </w:r>
    </w:p>
    <w:p w:rsidR="00904136" w:rsidRPr="004A6595" w:rsidRDefault="00166819" w:rsidP="00992033">
      <w:pPr>
        <w:tabs>
          <w:tab w:val="left" w:pos="0"/>
          <w:tab w:val="left" w:pos="1134"/>
        </w:tabs>
        <w:spacing w:before="120" w:line="360" w:lineRule="auto"/>
        <w:ind w:firstLine="720"/>
        <w:jc w:val="both"/>
        <w:rPr>
          <w:sz w:val="26"/>
          <w:szCs w:val="26"/>
          <w:lang w:val="lt-LT"/>
        </w:rPr>
      </w:pPr>
      <w:r w:rsidRPr="00166819">
        <w:rPr>
          <w:noProof/>
          <w:sz w:val="24"/>
          <w:szCs w:val="24"/>
          <w:lang w:val="lt-LT"/>
        </w:rPr>
        <w:pict>
          <v:group id="_x0000_s74476" style="position:absolute;left:0;text-align:left;margin-left:6.05pt;margin-top:114.85pt;width:401.7pt;height:204.7pt;z-index:254036992" coordorigin="2085,11070" coordsize="8034,4094">
            <v:rect id="_x0000_s9203" style="position:absolute;left:5102;top:14542;width:2308;height:622" o:regroupid="103" filled="f" strokecolor="#bfbfbf [2412]" strokeweight="1.5pt">
              <v:textbox style="mso-next-textbox:#_x0000_s9203">
                <w:txbxContent>
                  <w:p w:rsidR="00BE5795" w:rsidRPr="009B061E" w:rsidRDefault="00BE5795" w:rsidP="00D66C0C">
                    <w:pPr>
                      <w:spacing w:before="120"/>
                      <w:jc w:val="center"/>
                      <w:rPr>
                        <w:b/>
                        <w:caps/>
                        <w:sz w:val="22"/>
                        <w:szCs w:val="22"/>
                        <w:lang w:val="lt-LT"/>
                      </w:rPr>
                    </w:pPr>
                    <w:r w:rsidRPr="009B061E">
                      <w:rPr>
                        <w:b/>
                        <w:caps/>
                        <w:sz w:val="22"/>
                        <w:szCs w:val="22"/>
                        <w:lang w:val="lt-LT"/>
                      </w:rPr>
                      <w:t>Audito rizika</w:t>
                    </w:r>
                  </w:p>
                </w:txbxContent>
              </v:textbox>
            </v:rect>
            <v:rect id="_x0000_s9204" style="position:absolute;left:5292;top:13601;width:1826;height:633" o:regroupid="103" filled="f" strokecolor="#bfbfbf [2412]" strokeweight="1.5pt">
              <v:textbox style="mso-next-textbox:#_x0000_s9204" inset=".5mm,0,.5mm,0">
                <w:txbxContent>
                  <w:p w:rsidR="00BE5795" w:rsidRPr="009B061E" w:rsidRDefault="00BE5795" w:rsidP="000E42B0">
                    <w:pPr>
                      <w:jc w:val="center"/>
                      <w:rPr>
                        <w:b/>
                        <w:sz w:val="22"/>
                        <w:szCs w:val="22"/>
                        <w:lang w:val="lt-LT"/>
                      </w:rPr>
                    </w:pPr>
                    <w:r w:rsidRPr="009B061E">
                      <w:rPr>
                        <w:b/>
                        <w:sz w:val="22"/>
                        <w:szCs w:val="22"/>
                        <w:lang w:val="lt-LT"/>
                      </w:rPr>
                      <w:t>Reikšmingas iškraipymas</w:t>
                    </w:r>
                  </w:p>
                </w:txbxContent>
              </v:textbox>
            </v:rect>
            <v:shape id="_x0000_s9215" type="#_x0000_t32" style="position:absolute;left:4649;top:13303;width:643;height:646" o:connectortype="straight" o:regroupid="103" strokecolor="#bfbfbf [2412]" strokeweight="4pt">
              <v:stroke endarrow="block" endarrowwidth="narrow" endarrowlength="short"/>
            </v:shape>
            <v:shape id="_x0000_s73730" type="#_x0000_t32" style="position:absolute;left:6218;top:14234;width:1;height:308" o:connectortype="straight" o:regroupid="103" strokecolor="#bfbfbf [2412]" strokeweight="4pt">
              <v:stroke endarrow="block" endarrowwidth="narrow" endarrowlength="short"/>
            </v:shape>
            <v:rect id="_x0000_s9209" style="position:absolute;left:2311;top:13015;width:2338;height:611" o:regroupid="103" filled="f" strokecolor="#bfbfbf [2412]" strokeweight="1.5pt">
              <v:textbox style="mso-next-textbox:#_x0000_s9209" inset=".5mm,0,.5mm,0">
                <w:txbxContent>
                  <w:p w:rsidR="00BE5795" w:rsidRPr="009B061E" w:rsidRDefault="00BE5795" w:rsidP="007D4342">
                    <w:pPr>
                      <w:jc w:val="center"/>
                      <w:rPr>
                        <w:b/>
                        <w:sz w:val="22"/>
                        <w:szCs w:val="22"/>
                        <w:lang w:val="lt-LT"/>
                      </w:rPr>
                    </w:pPr>
                    <w:r w:rsidRPr="009B061E">
                      <w:rPr>
                        <w:b/>
                        <w:sz w:val="22"/>
                        <w:szCs w:val="22"/>
                        <w:lang w:val="lt-LT"/>
                      </w:rPr>
                      <w:t>Audito įmonė (auditorius)</w:t>
                    </w:r>
                  </w:p>
                </w:txbxContent>
              </v:textbox>
            </v:rect>
            <v:rect id="_x0000_s9210" style="position:absolute;left:2085;top:11464;width:1413;height:622" o:regroupid="103" filled="f" strokecolor="#bfbfbf [2412]" strokeweight="1.5pt">
              <v:stroke dashstyle="1 1" endcap="round"/>
              <v:textbox style="mso-next-textbox:#_x0000_s9210" inset=",0,,0">
                <w:txbxContent>
                  <w:p w:rsidR="00BE5795" w:rsidRPr="009B061E" w:rsidRDefault="00BE5795" w:rsidP="007D4342">
                    <w:pPr>
                      <w:jc w:val="center"/>
                      <w:rPr>
                        <w:sz w:val="22"/>
                        <w:szCs w:val="22"/>
                        <w:lang w:val="lt-LT"/>
                      </w:rPr>
                    </w:pPr>
                    <w:r w:rsidRPr="009B061E">
                      <w:rPr>
                        <w:sz w:val="22"/>
                        <w:szCs w:val="22"/>
                        <w:lang w:val="lt-LT"/>
                      </w:rPr>
                      <w:t>Audito koncepcijos</w:t>
                    </w:r>
                  </w:p>
                </w:txbxContent>
              </v:textbox>
            </v:rect>
            <v:rect id="_x0000_s9211" style="position:absolute;left:3575;top:11488;width:1345;height:598" o:regroupid="103" filled="f" strokecolor="#bfbfbf [2412]" strokeweight="1.5pt">
              <v:stroke dashstyle="1 1" endcap="round"/>
              <v:textbox style="mso-next-textbox:#_x0000_s9211" inset=",0,,0">
                <w:txbxContent>
                  <w:p w:rsidR="00BE5795" w:rsidRPr="009B061E" w:rsidRDefault="00BE5795" w:rsidP="00822179">
                    <w:pPr>
                      <w:jc w:val="center"/>
                      <w:rPr>
                        <w:sz w:val="22"/>
                        <w:szCs w:val="22"/>
                        <w:lang w:val="lt-LT"/>
                      </w:rPr>
                    </w:pPr>
                    <w:r w:rsidRPr="009B061E">
                      <w:rPr>
                        <w:sz w:val="22"/>
                        <w:szCs w:val="22"/>
                        <w:lang w:val="lt-LT"/>
                      </w:rPr>
                      <w:t>Kitos priežastys</w:t>
                    </w:r>
                  </w:p>
                </w:txbxContent>
              </v:textbox>
            </v:rect>
            <v:shape id="_x0000_s73742" type="#_x0000_t32" style="position:absolute;left:3000;top:12062;width:1;height:953" o:connectortype="straight" o:regroupid="103" strokecolor="#bfbfbf [2412]" strokeweight="4pt">
              <v:stroke endarrow="block" endarrowwidth="narrow" endarrowlength="short"/>
            </v:shape>
            <v:shape id="_x0000_s73743" type="#_x0000_t32" style="position:absolute;left:3855;top:12062;width:1;height:953" o:connectortype="straight" o:regroupid="103" strokecolor="#bfbfbf [2412]" strokeweight="4pt">
              <v:stroke endarrow="block" endarrowwidth="narrow" endarrowlength="short"/>
            </v:shape>
            <v:rect id="_x0000_s73950" style="position:absolute;left:7771;top:13015;width:2338;height:611" o:regroupid="103" filled="f" strokecolor="#bfbfbf [2412]" strokeweight="1.5pt">
              <v:textbox style="mso-next-textbox:#_x0000_s73950">
                <w:txbxContent>
                  <w:p w:rsidR="00BE5795" w:rsidRPr="009B061E" w:rsidRDefault="00BE5795" w:rsidP="00E05C6B">
                    <w:pPr>
                      <w:jc w:val="center"/>
                      <w:rPr>
                        <w:b/>
                        <w:sz w:val="22"/>
                        <w:szCs w:val="22"/>
                        <w:lang w:val="lt-LT"/>
                      </w:rPr>
                    </w:pPr>
                    <w:r w:rsidRPr="009B061E">
                      <w:rPr>
                        <w:b/>
                        <w:sz w:val="22"/>
                        <w:szCs w:val="22"/>
                        <w:lang w:val="lt-LT"/>
                      </w:rPr>
                      <w:t>Audituojama įmonė</w:t>
                    </w:r>
                  </w:p>
                </w:txbxContent>
              </v:textbox>
            </v:rect>
            <v:shape id="_x0000_s73952" type="#_x0000_t32" style="position:absolute;left:7118;top:13303;width:669;height:646;flip:x" o:connectortype="straight" o:regroupid="103" strokecolor="#bfbfbf [2412]" strokeweight="4pt">
              <v:stroke endarrow="block" endarrowwidth="narrow" endarrowlength="short"/>
            </v:shape>
            <v:shape id="_x0000_s73955" type="#_x0000_t32" style="position:absolute;left:8325;top:12690;width:0;height:314" o:connectortype="straight" o:regroupid="103" strokecolor="#bfbfbf [2412]" strokeweight="4pt">
              <v:stroke endarrow="block" endarrowwidth="narrow" endarrowlength="short"/>
            </v:shape>
            <v:shape id="_x0000_s73956" type="#_x0000_t32" style="position:absolute;left:9540;top:12690;width:0;height:337" o:connectortype="straight" o:regroupid="103" strokecolor="#bfbfbf [2412]" strokeweight="4pt">
              <v:stroke endarrow="block" endarrowwidth="narrow" endarrowlength="short"/>
            </v:shape>
            <v:shape id="_x0000_s73957" type="#_x0000_t32" style="position:absolute;left:7206;top:12180;width:565;height:0" o:connectortype="straight" o:regroupid="104" strokecolor="#bfbfbf [2412]" strokeweight="4pt"/>
            <v:rect id="_x0000_s9205" style="position:absolute;left:8971;top:12136;width:1148;height:554" o:regroupid="105" filled="f" strokecolor="#bfbfbf [2412]" strokeweight="1.5pt">
              <v:stroke dashstyle="1 1" endcap="round"/>
              <v:textbox style="mso-next-textbox:#_x0000_s9205" inset=",0,,0">
                <w:txbxContent>
                  <w:p w:rsidR="00BE5795" w:rsidRPr="009B061E" w:rsidRDefault="00BE5795" w:rsidP="00B80627">
                    <w:pPr>
                      <w:spacing w:before="120"/>
                      <w:jc w:val="center"/>
                      <w:rPr>
                        <w:sz w:val="22"/>
                        <w:szCs w:val="22"/>
                        <w:lang w:val="lt-LT"/>
                      </w:rPr>
                    </w:pPr>
                    <w:r w:rsidRPr="009B061E">
                      <w:rPr>
                        <w:sz w:val="22"/>
                        <w:szCs w:val="22"/>
                        <w:lang w:val="lt-LT"/>
                      </w:rPr>
                      <w:t>Apgaulė</w:t>
                    </w:r>
                  </w:p>
                </w:txbxContent>
              </v:textbox>
            </v:rect>
            <v:rect id="_x0000_s9206" style="position:absolute;left:7771;top:12136;width:1200;height:554" o:regroupid="105" filled="f" strokecolor="#bfbfbf [2412]" strokeweight="1.5pt">
              <v:stroke dashstyle="1 1" endcap="round"/>
              <v:textbox style="mso-next-textbox:#_x0000_s9206" inset=",0,,0">
                <w:txbxContent>
                  <w:p w:rsidR="00BE5795" w:rsidRPr="009B061E" w:rsidRDefault="00BE5795" w:rsidP="00B80627">
                    <w:pPr>
                      <w:spacing w:before="120"/>
                      <w:jc w:val="center"/>
                      <w:rPr>
                        <w:sz w:val="22"/>
                        <w:szCs w:val="22"/>
                        <w:lang w:val="lt-LT"/>
                      </w:rPr>
                    </w:pPr>
                    <w:r w:rsidRPr="009B061E">
                      <w:rPr>
                        <w:sz w:val="22"/>
                        <w:szCs w:val="22"/>
                        <w:lang w:val="lt-LT"/>
                      </w:rPr>
                      <w:t>Klaida</w:t>
                    </w:r>
                  </w:p>
                </w:txbxContent>
              </v:textbox>
            </v:rect>
            <v:rect id="_x0000_s9207" style="position:absolute;left:7771;top:11745;width:2348;height:391" o:regroupid="105" filled="f" strokecolor="#bfbfbf [2412]" strokeweight="1.5pt">
              <v:stroke dashstyle="1 1" endcap="round"/>
              <v:textbox style="mso-next-textbox:#_x0000_s9207">
                <w:txbxContent>
                  <w:p w:rsidR="00BE5795" w:rsidRPr="009B061E" w:rsidRDefault="00BE5795" w:rsidP="009B061E">
                    <w:pPr>
                      <w:pStyle w:val="ListParagraph"/>
                      <w:spacing w:line="360" w:lineRule="auto"/>
                      <w:ind w:left="0"/>
                      <w:rPr>
                        <w:sz w:val="22"/>
                        <w:szCs w:val="22"/>
                        <w:lang w:val="lt-LT"/>
                      </w:rPr>
                    </w:pPr>
                    <w:r w:rsidRPr="009B061E">
                      <w:rPr>
                        <w:sz w:val="22"/>
                        <w:szCs w:val="22"/>
                        <w:lang w:val="lt-LT"/>
                      </w:rPr>
                      <w:t>Darbuotojai/vadovybė</w:t>
                    </w:r>
                  </w:p>
                </w:txbxContent>
              </v:textbox>
            </v:rect>
            <v:shape id="_x0000_s73733" type="#_x0000_t4" style="position:absolute;left:5189;top:11070;width:2017;height:2233" o:regroupid="106" filled="f" strokecolor="#bfbfbf [2412]" strokeweight="1.5pt"/>
            <v:shape id="_x0000_s73737" type="#_x0000_t202" style="position:absolute;left:6218;top:12346;width:1553;height:472" o:regroupid="106" filled="f" strokecolor="white [3212]">
              <v:textbox style="mso-next-textbox:#_x0000_s73737">
                <w:txbxContent>
                  <w:p w:rsidR="00BE5795" w:rsidRPr="003E3B03" w:rsidRDefault="00BE5795" w:rsidP="003E3B03">
                    <w:pPr>
                      <w:jc w:val="center"/>
                    </w:pPr>
                    <w:r w:rsidRPr="00D50E0B">
                      <w:rPr>
                        <w:highlight w:val="lightGray"/>
                        <w:lang w:val="lt-LT"/>
                      </w:rPr>
                      <w:t>Sugebėjimai</w:t>
                    </w:r>
                  </w:p>
                </w:txbxContent>
              </v:textbox>
            </v:shape>
            <v:shape id="_x0000_s73736" type="#_x0000_t202" style="position:absolute;left:6218;top:11359;width:1275;height:703" o:regroupid="106" filled="f" strokecolor="white [3212]">
              <v:textbox style="mso-next-textbox:#_x0000_s73736">
                <w:txbxContent>
                  <w:p w:rsidR="00BE5795" w:rsidRPr="00D50E0B" w:rsidRDefault="00BE5795" w:rsidP="003E3B03">
                    <w:pPr>
                      <w:jc w:val="center"/>
                      <w:rPr>
                        <w:highlight w:val="lightGray"/>
                        <w:lang w:val="lt-LT"/>
                      </w:rPr>
                    </w:pPr>
                    <w:r w:rsidRPr="00D50E0B">
                      <w:rPr>
                        <w:highlight w:val="lightGray"/>
                        <w:lang w:val="lt-LT"/>
                      </w:rPr>
                      <w:t>Paskatos/</w:t>
                    </w:r>
                  </w:p>
                  <w:p w:rsidR="00BE5795" w:rsidRPr="003E3B03" w:rsidRDefault="00BE5795" w:rsidP="003E3B03">
                    <w:pPr>
                      <w:jc w:val="center"/>
                    </w:pPr>
                    <w:r w:rsidRPr="00D50E0B">
                      <w:rPr>
                        <w:highlight w:val="lightGray"/>
                        <w:lang w:val="lt-LT"/>
                      </w:rPr>
                      <w:t>Spaudimas</w:t>
                    </w:r>
                  </w:p>
                </w:txbxContent>
              </v:textbox>
            </v:shape>
            <v:shape id="_x0000_s73738" type="#_x0000_t202" style="position:absolute;left:5101;top:11440;width:1222;height:472" o:regroupid="106" filled="f" strokecolor="white [3212]">
              <v:textbox style="mso-next-textbox:#_x0000_s73738">
                <w:txbxContent>
                  <w:p w:rsidR="00BE5795" w:rsidRPr="003E3B03" w:rsidRDefault="00BE5795" w:rsidP="003E3B03">
                    <w:pPr>
                      <w:jc w:val="center"/>
                    </w:pPr>
                    <w:r w:rsidRPr="00D50E0B">
                      <w:rPr>
                        <w:highlight w:val="lightGray"/>
                        <w:lang w:val="lt-LT"/>
                      </w:rPr>
                      <w:t>Galimybės</w:t>
                    </w:r>
                  </w:p>
                </w:txbxContent>
              </v:textbox>
            </v:shape>
            <v:shape id="_x0000_s73739" type="#_x0000_t202" style="position:absolute;left:4920;top:12256;width:1587;height:748" o:regroupid="104" filled="f" strokecolor="white [3212]">
              <v:textbox style="mso-next-textbox:#_x0000_s73739">
                <w:txbxContent>
                  <w:p w:rsidR="00BE5795" w:rsidRPr="00D50E0B" w:rsidRDefault="00BE5795" w:rsidP="003E3B03">
                    <w:pPr>
                      <w:jc w:val="center"/>
                      <w:rPr>
                        <w:highlight w:val="lightGray"/>
                        <w:lang w:val="lt-LT"/>
                      </w:rPr>
                    </w:pPr>
                    <w:r w:rsidRPr="00D50E0B">
                      <w:rPr>
                        <w:highlight w:val="lightGray"/>
                        <w:lang w:val="lt-LT"/>
                      </w:rPr>
                      <w:t>Požiūris/</w:t>
                    </w:r>
                  </w:p>
                  <w:p w:rsidR="00BE5795" w:rsidRPr="003E3B03" w:rsidRDefault="00BE5795" w:rsidP="003E3B03">
                    <w:pPr>
                      <w:jc w:val="center"/>
                    </w:pPr>
                    <w:r w:rsidRPr="00D50E0B">
                      <w:rPr>
                        <w:highlight w:val="lightGray"/>
                        <w:lang w:val="lt-LT"/>
                      </w:rPr>
                      <w:t>Racionalizacija</w:t>
                    </w:r>
                  </w:p>
                </w:txbxContent>
              </v:textbox>
            </v:shape>
          </v:group>
        </w:pict>
      </w:r>
      <w:r w:rsidR="00904136" w:rsidRPr="004A6595">
        <w:rPr>
          <w:sz w:val="26"/>
          <w:szCs w:val="26"/>
          <w:lang w:val="lt-LT"/>
        </w:rPr>
        <w:t xml:space="preserve">Kaip </w:t>
      </w:r>
      <w:r w:rsidR="00AB206F" w:rsidRPr="004A6595">
        <w:rPr>
          <w:sz w:val="26"/>
          <w:szCs w:val="26"/>
          <w:lang w:val="lt-LT"/>
        </w:rPr>
        <w:t>matyti iš 6</w:t>
      </w:r>
      <w:r w:rsidR="00904136" w:rsidRPr="004A6595">
        <w:rPr>
          <w:sz w:val="26"/>
          <w:szCs w:val="26"/>
          <w:lang w:val="lt-LT"/>
        </w:rPr>
        <w:t xml:space="preserve"> lentelės, vienos audito koncepcijos, pavyzdžiui, pakankamas užtikrinimas ir profesinis sprendimas, sudaro prielaidas audito rizikai pasireikšti, kitos – profesinis skepticizmas, audito standartai ir etikos principai yra jos mažinimo sąlygos, o per likusias audito koncepcijas, t. y. audito įrodymus ir reikšmingumą, galima audito rizikos lygį kontroliuoti. </w:t>
      </w:r>
    </w:p>
    <w:p w:rsidR="009B061E" w:rsidRDefault="009B061E" w:rsidP="002C2A26">
      <w:pPr>
        <w:tabs>
          <w:tab w:val="left" w:pos="0"/>
          <w:tab w:val="left" w:pos="1134"/>
        </w:tabs>
        <w:spacing w:line="360" w:lineRule="auto"/>
        <w:ind w:firstLine="720"/>
        <w:jc w:val="both"/>
        <w:rPr>
          <w:sz w:val="24"/>
          <w:szCs w:val="24"/>
          <w:lang w:val="lt-LT"/>
        </w:rPr>
      </w:pPr>
    </w:p>
    <w:p w:rsidR="009B061E" w:rsidRDefault="009B061E" w:rsidP="002C2A26">
      <w:pPr>
        <w:tabs>
          <w:tab w:val="left" w:pos="0"/>
          <w:tab w:val="left" w:pos="1134"/>
        </w:tabs>
        <w:spacing w:line="360" w:lineRule="auto"/>
        <w:ind w:firstLine="720"/>
        <w:jc w:val="both"/>
        <w:rPr>
          <w:sz w:val="24"/>
          <w:szCs w:val="24"/>
          <w:lang w:val="lt-LT"/>
        </w:rPr>
      </w:pPr>
    </w:p>
    <w:p w:rsidR="009B061E" w:rsidRDefault="009B061E" w:rsidP="002C2A26">
      <w:pPr>
        <w:tabs>
          <w:tab w:val="left" w:pos="0"/>
          <w:tab w:val="left" w:pos="1134"/>
        </w:tabs>
        <w:spacing w:line="360" w:lineRule="auto"/>
        <w:ind w:firstLine="720"/>
        <w:jc w:val="both"/>
        <w:rPr>
          <w:sz w:val="24"/>
          <w:szCs w:val="24"/>
          <w:lang w:val="lt-LT"/>
        </w:rPr>
      </w:pPr>
    </w:p>
    <w:p w:rsidR="009B061E" w:rsidRDefault="009B061E" w:rsidP="002C2A26">
      <w:pPr>
        <w:tabs>
          <w:tab w:val="left" w:pos="0"/>
          <w:tab w:val="left" w:pos="1134"/>
        </w:tabs>
        <w:spacing w:line="360" w:lineRule="auto"/>
        <w:ind w:firstLine="720"/>
        <w:jc w:val="both"/>
        <w:rPr>
          <w:sz w:val="24"/>
          <w:szCs w:val="24"/>
          <w:lang w:val="lt-LT"/>
        </w:rPr>
      </w:pPr>
    </w:p>
    <w:p w:rsidR="000E42B0" w:rsidRDefault="000E42B0" w:rsidP="002C2A26">
      <w:pPr>
        <w:tabs>
          <w:tab w:val="left" w:pos="0"/>
          <w:tab w:val="left" w:pos="1134"/>
        </w:tabs>
        <w:spacing w:line="360" w:lineRule="auto"/>
        <w:ind w:firstLine="720"/>
        <w:jc w:val="both"/>
        <w:rPr>
          <w:sz w:val="24"/>
          <w:szCs w:val="24"/>
          <w:lang w:val="lt-LT"/>
        </w:rPr>
      </w:pPr>
    </w:p>
    <w:p w:rsidR="000E42B0" w:rsidRDefault="000E42B0" w:rsidP="002C2A26">
      <w:pPr>
        <w:tabs>
          <w:tab w:val="left" w:pos="0"/>
          <w:tab w:val="left" w:pos="1134"/>
        </w:tabs>
        <w:spacing w:line="360" w:lineRule="auto"/>
        <w:ind w:firstLine="720"/>
        <w:jc w:val="both"/>
        <w:rPr>
          <w:sz w:val="24"/>
          <w:szCs w:val="24"/>
          <w:lang w:val="lt-LT"/>
        </w:rPr>
      </w:pPr>
    </w:p>
    <w:p w:rsidR="000E42B0" w:rsidRDefault="000E42B0" w:rsidP="002C2A26">
      <w:pPr>
        <w:tabs>
          <w:tab w:val="left" w:pos="0"/>
          <w:tab w:val="left" w:pos="1134"/>
        </w:tabs>
        <w:spacing w:line="360" w:lineRule="auto"/>
        <w:ind w:firstLine="720"/>
        <w:jc w:val="both"/>
        <w:rPr>
          <w:sz w:val="24"/>
          <w:szCs w:val="24"/>
          <w:lang w:val="lt-LT"/>
        </w:rPr>
      </w:pPr>
    </w:p>
    <w:p w:rsidR="000E42B0" w:rsidRDefault="000E42B0" w:rsidP="002C2A26">
      <w:pPr>
        <w:tabs>
          <w:tab w:val="left" w:pos="0"/>
          <w:tab w:val="left" w:pos="1134"/>
        </w:tabs>
        <w:spacing w:line="360" w:lineRule="auto"/>
        <w:ind w:firstLine="720"/>
        <w:jc w:val="both"/>
        <w:rPr>
          <w:sz w:val="24"/>
          <w:szCs w:val="24"/>
          <w:lang w:val="lt-LT"/>
        </w:rPr>
      </w:pPr>
    </w:p>
    <w:p w:rsidR="0092203F" w:rsidRDefault="0092203F" w:rsidP="0092203F">
      <w:pPr>
        <w:jc w:val="both"/>
        <w:rPr>
          <w:sz w:val="24"/>
          <w:szCs w:val="24"/>
          <w:lang w:val="lt-LT"/>
        </w:rPr>
      </w:pPr>
    </w:p>
    <w:p w:rsidR="008E5F8E" w:rsidRDefault="008E5F8E" w:rsidP="0092203F">
      <w:pPr>
        <w:jc w:val="both"/>
        <w:rPr>
          <w:sz w:val="24"/>
          <w:szCs w:val="24"/>
          <w:lang w:val="lt-LT"/>
        </w:rPr>
      </w:pPr>
    </w:p>
    <w:p w:rsidR="008E5F8E" w:rsidRPr="00FE380C" w:rsidRDefault="008E5F8E" w:rsidP="00DC26E2">
      <w:pPr>
        <w:jc w:val="both"/>
        <w:rPr>
          <w:lang w:val="lt-LT"/>
        </w:rPr>
      </w:pPr>
    </w:p>
    <w:p w:rsidR="00E05C6B" w:rsidRPr="00FE380C" w:rsidRDefault="00006A25" w:rsidP="00006A25">
      <w:pPr>
        <w:spacing w:line="360" w:lineRule="auto"/>
        <w:jc w:val="both"/>
        <w:rPr>
          <w:b/>
          <w:lang w:val="lt-LT"/>
        </w:rPr>
      </w:pPr>
      <w:r w:rsidRPr="00FE380C">
        <w:rPr>
          <w:lang w:val="lt-LT"/>
        </w:rPr>
        <w:t>Šaltinis: sukurta autorės.</w:t>
      </w:r>
    </w:p>
    <w:p w:rsidR="0092203F" w:rsidRPr="004A6595" w:rsidRDefault="002F7447" w:rsidP="0092203F">
      <w:pPr>
        <w:spacing w:line="360" w:lineRule="auto"/>
        <w:ind w:left="1440" w:firstLine="720"/>
        <w:jc w:val="both"/>
        <w:rPr>
          <w:b/>
          <w:sz w:val="26"/>
          <w:szCs w:val="26"/>
          <w:lang w:val="lt-LT"/>
        </w:rPr>
      </w:pPr>
      <w:r w:rsidRPr="004A6595">
        <w:rPr>
          <w:b/>
          <w:sz w:val="26"/>
          <w:szCs w:val="26"/>
          <w:lang w:val="lt-LT"/>
        </w:rPr>
        <w:t>4</w:t>
      </w:r>
      <w:r w:rsidR="0092203F" w:rsidRPr="004A6595">
        <w:rPr>
          <w:b/>
          <w:sz w:val="26"/>
          <w:szCs w:val="26"/>
          <w:lang w:val="lt-LT"/>
        </w:rPr>
        <w:t xml:space="preserve"> pav. Audito rizikos sampratos principinė schema</w:t>
      </w:r>
    </w:p>
    <w:p w:rsidR="00EC6BB1" w:rsidRPr="004A6595" w:rsidRDefault="00DC26E2" w:rsidP="00BB3708">
      <w:pPr>
        <w:tabs>
          <w:tab w:val="left" w:pos="0"/>
          <w:tab w:val="left" w:pos="1134"/>
        </w:tabs>
        <w:spacing w:line="360" w:lineRule="auto"/>
        <w:ind w:firstLine="720"/>
        <w:jc w:val="both"/>
        <w:rPr>
          <w:sz w:val="26"/>
          <w:szCs w:val="26"/>
          <w:lang w:val="lt-LT"/>
        </w:rPr>
      </w:pPr>
      <w:r>
        <w:rPr>
          <w:sz w:val="26"/>
          <w:szCs w:val="26"/>
          <w:lang w:val="lt-LT"/>
        </w:rPr>
        <w:lastRenderedPageBreak/>
        <w:t xml:space="preserve">Darbo autorė, apibendrinusi </w:t>
      </w:r>
      <w:r w:rsidRPr="004A6595">
        <w:rPr>
          <w:sz w:val="26"/>
          <w:szCs w:val="26"/>
          <w:lang w:val="lt-LT"/>
        </w:rPr>
        <w:t>audito rizikos sampratos analizės rezultatus</w:t>
      </w:r>
      <w:r>
        <w:rPr>
          <w:sz w:val="26"/>
          <w:szCs w:val="26"/>
          <w:lang w:val="lt-LT"/>
        </w:rPr>
        <w:t xml:space="preserve">, sudarė audito rizikos sampratos principinę </w:t>
      </w:r>
      <w:r w:rsidRPr="004A6595">
        <w:rPr>
          <w:sz w:val="26"/>
          <w:szCs w:val="26"/>
          <w:lang w:val="lt-LT"/>
        </w:rPr>
        <w:t>schem</w:t>
      </w:r>
      <w:r>
        <w:rPr>
          <w:sz w:val="26"/>
          <w:szCs w:val="26"/>
          <w:lang w:val="lt-LT"/>
        </w:rPr>
        <w:t>ą</w:t>
      </w:r>
      <w:r w:rsidRPr="004A6595">
        <w:rPr>
          <w:sz w:val="26"/>
          <w:szCs w:val="26"/>
          <w:lang w:val="lt-LT"/>
        </w:rPr>
        <w:t xml:space="preserve"> (4 pav.)</w:t>
      </w:r>
      <w:r w:rsidR="00E04D54">
        <w:rPr>
          <w:sz w:val="26"/>
          <w:szCs w:val="26"/>
          <w:lang w:val="lt-LT"/>
        </w:rPr>
        <w:t>, kurioje</w:t>
      </w:r>
      <w:r w:rsidR="0013599E" w:rsidRPr="004A6595">
        <w:rPr>
          <w:sz w:val="26"/>
          <w:szCs w:val="26"/>
          <w:lang w:val="lt-LT"/>
        </w:rPr>
        <w:t xml:space="preserve"> atsispindi svarbiausios </w:t>
      </w:r>
      <w:r w:rsidR="009960F3" w:rsidRPr="004A6595">
        <w:rPr>
          <w:sz w:val="26"/>
          <w:szCs w:val="26"/>
          <w:lang w:val="lt-LT"/>
        </w:rPr>
        <w:t xml:space="preserve">reikšmingą </w:t>
      </w:r>
      <w:r w:rsidR="004A285A" w:rsidRPr="004A6595">
        <w:rPr>
          <w:sz w:val="26"/>
          <w:szCs w:val="26"/>
          <w:lang w:val="lt-LT"/>
        </w:rPr>
        <w:t xml:space="preserve">iškraipymą finansinėse ataskaitose </w:t>
      </w:r>
      <w:r w:rsidR="0013599E" w:rsidRPr="004A6595">
        <w:rPr>
          <w:sz w:val="26"/>
          <w:szCs w:val="26"/>
          <w:lang w:val="lt-LT"/>
        </w:rPr>
        <w:t>lemiančios priežastys</w:t>
      </w:r>
      <w:r w:rsidR="00BD0CBB" w:rsidRPr="004A6595">
        <w:rPr>
          <w:sz w:val="26"/>
          <w:szCs w:val="26"/>
          <w:lang w:val="lt-LT"/>
        </w:rPr>
        <w:t>:</w:t>
      </w:r>
      <w:r w:rsidR="00207A84" w:rsidRPr="004A6595">
        <w:rPr>
          <w:sz w:val="26"/>
          <w:szCs w:val="26"/>
          <w:lang w:val="lt-LT"/>
        </w:rPr>
        <w:t xml:space="preserve"> auditu</w:t>
      </w:r>
      <w:r w:rsidR="00207A84" w:rsidRPr="00DE5310">
        <w:rPr>
          <w:sz w:val="26"/>
          <w:szCs w:val="26"/>
          <w:lang w:val="lt-LT"/>
        </w:rPr>
        <w:t>ojamos įmonės aplinkybės (darbuotojų</w:t>
      </w:r>
      <w:r w:rsidR="008E5F8E" w:rsidRPr="00DE5310">
        <w:rPr>
          <w:sz w:val="26"/>
          <w:szCs w:val="26"/>
          <w:lang w:val="lt-LT"/>
        </w:rPr>
        <w:t>/</w:t>
      </w:r>
      <w:r w:rsidR="00207A84" w:rsidRPr="00DE5310">
        <w:rPr>
          <w:sz w:val="26"/>
          <w:szCs w:val="26"/>
          <w:lang w:val="lt-LT"/>
        </w:rPr>
        <w:t>vadovybės klaida ar apgaulė) ir audito</w:t>
      </w:r>
      <w:r w:rsidR="008E5F8E" w:rsidRPr="00DE5310">
        <w:rPr>
          <w:sz w:val="26"/>
          <w:szCs w:val="26"/>
          <w:lang w:val="lt-LT"/>
        </w:rPr>
        <w:t xml:space="preserve"> </w:t>
      </w:r>
      <w:r w:rsidR="00207A84" w:rsidRPr="00DE5310">
        <w:rPr>
          <w:sz w:val="26"/>
          <w:szCs w:val="26"/>
          <w:lang w:val="lt-LT"/>
        </w:rPr>
        <w:t>veiksmai (</w:t>
      </w:r>
      <w:r w:rsidR="004A285A" w:rsidRPr="00DE5310">
        <w:rPr>
          <w:sz w:val="26"/>
          <w:szCs w:val="26"/>
          <w:lang w:val="lt-LT"/>
        </w:rPr>
        <w:t>audito atlikimo pagrind</w:t>
      </w:r>
      <w:r w:rsidR="000F7E50" w:rsidRPr="00DE5310">
        <w:rPr>
          <w:sz w:val="26"/>
          <w:szCs w:val="26"/>
          <w:lang w:val="lt-LT"/>
        </w:rPr>
        <w:t>as</w:t>
      </w:r>
      <w:r w:rsidR="00AB206F" w:rsidRPr="00DE5310">
        <w:rPr>
          <w:sz w:val="26"/>
          <w:szCs w:val="26"/>
          <w:lang w:val="lt-LT"/>
        </w:rPr>
        <w:t xml:space="preserve"> </w:t>
      </w:r>
      <w:r w:rsidR="008E5F8E" w:rsidRPr="00DE5310">
        <w:rPr>
          <w:sz w:val="26"/>
          <w:szCs w:val="26"/>
          <w:lang w:val="lt-LT"/>
        </w:rPr>
        <w:t xml:space="preserve">– </w:t>
      </w:r>
      <w:r w:rsidR="00207A84" w:rsidRPr="00DE5310">
        <w:rPr>
          <w:sz w:val="26"/>
          <w:szCs w:val="26"/>
          <w:lang w:val="lt-LT"/>
        </w:rPr>
        <w:t>audito koncepcij</w:t>
      </w:r>
      <w:r w:rsidR="000F7E50" w:rsidRPr="00DE5310">
        <w:rPr>
          <w:sz w:val="26"/>
          <w:szCs w:val="26"/>
          <w:lang w:val="lt-LT"/>
        </w:rPr>
        <w:t>o</w:t>
      </w:r>
      <w:r w:rsidR="004A285A" w:rsidRPr="00DE5310">
        <w:rPr>
          <w:sz w:val="26"/>
          <w:szCs w:val="26"/>
          <w:lang w:val="lt-LT"/>
        </w:rPr>
        <w:t xml:space="preserve">s </w:t>
      </w:r>
      <w:r w:rsidR="00EC6BB1" w:rsidRPr="00DE5310">
        <w:rPr>
          <w:sz w:val="26"/>
          <w:szCs w:val="26"/>
          <w:lang w:val="lt-LT"/>
        </w:rPr>
        <w:t>ir kitos priežastys).</w:t>
      </w:r>
      <w:r w:rsidR="004A285A" w:rsidRPr="00DE5310">
        <w:rPr>
          <w:sz w:val="26"/>
          <w:szCs w:val="26"/>
          <w:lang w:val="lt-LT"/>
        </w:rPr>
        <w:t xml:space="preserve"> </w:t>
      </w:r>
      <w:r w:rsidR="00E04D54" w:rsidRPr="00DE5310">
        <w:rPr>
          <w:sz w:val="26"/>
          <w:szCs w:val="26"/>
          <w:lang w:val="lt-LT"/>
        </w:rPr>
        <w:t xml:space="preserve">Šioje schemoje perteiktas požiūris yra platesnis, nes apima </w:t>
      </w:r>
      <w:r w:rsidR="00C10C93" w:rsidRPr="00DE5310">
        <w:rPr>
          <w:sz w:val="26"/>
          <w:szCs w:val="26"/>
          <w:lang w:val="lt-LT"/>
        </w:rPr>
        <w:t xml:space="preserve">visus </w:t>
      </w:r>
      <w:r w:rsidR="00E04D54" w:rsidRPr="00DE5310">
        <w:rPr>
          <w:sz w:val="26"/>
          <w:szCs w:val="26"/>
          <w:lang w:val="lt-LT"/>
        </w:rPr>
        <w:t xml:space="preserve">audito rizikos </w:t>
      </w:r>
      <w:r w:rsidR="00C10C93" w:rsidRPr="00DE5310">
        <w:rPr>
          <w:sz w:val="26"/>
          <w:szCs w:val="26"/>
          <w:lang w:val="lt-LT"/>
        </w:rPr>
        <w:t>sampratos aspektus.</w:t>
      </w:r>
      <w:r w:rsidR="00E04D54" w:rsidRPr="00DE5310">
        <w:rPr>
          <w:sz w:val="26"/>
          <w:szCs w:val="26"/>
          <w:lang w:val="lt-LT"/>
        </w:rPr>
        <w:t xml:space="preserve"> </w:t>
      </w:r>
      <w:r w:rsidR="00C852B1" w:rsidRPr="00DE5310">
        <w:rPr>
          <w:sz w:val="26"/>
          <w:szCs w:val="26"/>
          <w:lang w:val="lt-LT"/>
        </w:rPr>
        <w:t>Tačiau siekiant sudaryti optimalų audito rizikos vertinimo modelį</w:t>
      </w:r>
      <w:r w:rsidR="00657A94" w:rsidRPr="00DE5310">
        <w:rPr>
          <w:sz w:val="26"/>
          <w:szCs w:val="26"/>
          <w:lang w:val="lt-LT"/>
        </w:rPr>
        <w:t>,</w:t>
      </w:r>
      <w:r w:rsidR="00C852B1" w:rsidRPr="00DE5310">
        <w:rPr>
          <w:sz w:val="26"/>
          <w:szCs w:val="26"/>
          <w:lang w:val="lt-LT"/>
        </w:rPr>
        <w:t xml:space="preserve"> būtina </w:t>
      </w:r>
      <w:r w:rsidR="00100490" w:rsidRPr="00DE5310">
        <w:rPr>
          <w:sz w:val="26"/>
          <w:szCs w:val="26"/>
          <w:lang w:val="lt-LT"/>
        </w:rPr>
        <w:t>išsamesnė</w:t>
      </w:r>
      <w:r w:rsidR="00C852B1" w:rsidRPr="00DE5310">
        <w:rPr>
          <w:sz w:val="26"/>
          <w:szCs w:val="26"/>
          <w:lang w:val="lt-LT"/>
        </w:rPr>
        <w:t xml:space="preserve"> </w:t>
      </w:r>
      <w:r w:rsidR="00C10C93" w:rsidRPr="00DE5310">
        <w:rPr>
          <w:sz w:val="26"/>
          <w:szCs w:val="26"/>
          <w:lang w:val="lt-LT"/>
        </w:rPr>
        <w:t xml:space="preserve">audito rizikos </w:t>
      </w:r>
      <w:r w:rsidR="00C852B1" w:rsidRPr="00DE5310">
        <w:rPr>
          <w:sz w:val="26"/>
          <w:szCs w:val="26"/>
          <w:lang w:val="lt-LT"/>
        </w:rPr>
        <w:t>priežasčių analizė</w:t>
      </w:r>
      <w:r w:rsidR="00100490" w:rsidRPr="00DE5310">
        <w:rPr>
          <w:sz w:val="26"/>
          <w:szCs w:val="26"/>
          <w:lang w:val="lt-LT"/>
        </w:rPr>
        <w:t xml:space="preserve">, kuri </w:t>
      </w:r>
      <w:r w:rsidR="00320620" w:rsidRPr="00DE5310">
        <w:rPr>
          <w:sz w:val="26"/>
          <w:szCs w:val="26"/>
          <w:lang w:val="lt-LT"/>
        </w:rPr>
        <w:t>galima</w:t>
      </w:r>
      <w:r w:rsidR="00100490" w:rsidRPr="00DE5310">
        <w:rPr>
          <w:sz w:val="26"/>
          <w:szCs w:val="26"/>
          <w:lang w:val="lt-LT"/>
        </w:rPr>
        <w:t xml:space="preserve"> nagrinė</w:t>
      </w:r>
      <w:r w:rsidR="00100490" w:rsidRPr="004A6595">
        <w:rPr>
          <w:sz w:val="26"/>
          <w:szCs w:val="26"/>
          <w:lang w:val="lt-LT"/>
        </w:rPr>
        <w:t>jant atskirų audito rizikos komponentų vertinimo klausimus.</w:t>
      </w:r>
    </w:p>
    <w:p w:rsidR="00B469F8" w:rsidRPr="004A6595" w:rsidRDefault="00350616" w:rsidP="00BB3708">
      <w:pPr>
        <w:pStyle w:val="Heading3"/>
        <w:spacing w:before="120" w:after="0" w:line="360" w:lineRule="auto"/>
        <w:jc w:val="center"/>
        <w:rPr>
          <w:rFonts w:ascii="Times New Roman" w:hAnsi="Times New Roman" w:cs="Times New Roman"/>
          <w:highlight w:val="yellow"/>
          <w:lang w:val="lt-LT"/>
        </w:rPr>
      </w:pPr>
      <w:bookmarkStart w:id="18" w:name="_Toc253244584"/>
      <w:r w:rsidRPr="004A6595">
        <w:rPr>
          <w:rFonts w:ascii="Times New Roman" w:hAnsi="Times New Roman" w:cs="Times New Roman"/>
          <w:lang w:val="lt-LT"/>
        </w:rPr>
        <w:t>1</w:t>
      </w:r>
      <w:r w:rsidR="00B469F8" w:rsidRPr="004A6595">
        <w:rPr>
          <w:rFonts w:ascii="Times New Roman" w:hAnsi="Times New Roman" w:cs="Times New Roman"/>
          <w:lang w:val="lt-LT"/>
        </w:rPr>
        <w:t>.</w:t>
      </w:r>
      <w:r w:rsidR="00387534" w:rsidRPr="004A6595">
        <w:rPr>
          <w:rFonts w:ascii="Times New Roman" w:hAnsi="Times New Roman" w:cs="Times New Roman"/>
          <w:lang w:val="lt-LT"/>
        </w:rPr>
        <w:t>2</w:t>
      </w:r>
      <w:r w:rsidR="00B469F8" w:rsidRPr="004A6595">
        <w:rPr>
          <w:rFonts w:ascii="Times New Roman" w:hAnsi="Times New Roman" w:cs="Times New Roman"/>
          <w:lang w:val="lt-LT"/>
        </w:rPr>
        <w:t>.</w:t>
      </w:r>
      <w:r w:rsidR="00387534" w:rsidRPr="004A6595">
        <w:rPr>
          <w:rFonts w:ascii="Times New Roman" w:hAnsi="Times New Roman" w:cs="Times New Roman"/>
          <w:lang w:val="lt-LT"/>
        </w:rPr>
        <w:t>2.</w:t>
      </w:r>
      <w:r w:rsidR="005B1E24" w:rsidRPr="004A6595">
        <w:rPr>
          <w:rFonts w:ascii="Times New Roman" w:hAnsi="Times New Roman" w:cs="Times New Roman"/>
          <w:lang w:val="lt-LT"/>
        </w:rPr>
        <w:t xml:space="preserve"> Audito rizikos </w:t>
      </w:r>
      <w:r w:rsidR="00387534" w:rsidRPr="004A6595">
        <w:rPr>
          <w:rFonts w:ascii="Times New Roman" w:hAnsi="Times New Roman" w:cs="Times New Roman"/>
          <w:lang w:val="lt-LT"/>
        </w:rPr>
        <w:t>vertinim</w:t>
      </w:r>
      <w:r w:rsidR="005B1E24" w:rsidRPr="004A6595">
        <w:rPr>
          <w:rFonts w:ascii="Times New Roman" w:hAnsi="Times New Roman" w:cs="Times New Roman"/>
          <w:lang w:val="lt-LT"/>
        </w:rPr>
        <w:t>as analizuojant atskirus jos komponentus</w:t>
      </w:r>
      <w:bookmarkEnd w:id="18"/>
    </w:p>
    <w:p w:rsidR="00C42ECD" w:rsidRPr="004A6595" w:rsidRDefault="00BD0CBB" w:rsidP="00873299">
      <w:pPr>
        <w:spacing w:before="120" w:line="360" w:lineRule="auto"/>
        <w:ind w:firstLine="720"/>
        <w:jc w:val="both"/>
        <w:rPr>
          <w:sz w:val="26"/>
          <w:szCs w:val="26"/>
          <w:lang w:val="lt-LT"/>
        </w:rPr>
      </w:pPr>
      <w:r w:rsidRPr="004A6595">
        <w:rPr>
          <w:sz w:val="26"/>
          <w:szCs w:val="26"/>
          <w:lang w:val="lt-LT"/>
        </w:rPr>
        <w:t xml:space="preserve">Audito rizikos vertinimas siejamas su atskirų jos komponentų nagrinėjimu, todėl </w:t>
      </w:r>
      <w:r w:rsidR="00C42ECD" w:rsidRPr="004A6595">
        <w:rPr>
          <w:sz w:val="26"/>
          <w:szCs w:val="26"/>
          <w:lang w:val="lt-LT"/>
        </w:rPr>
        <w:t xml:space="preserve">būtina išskirti </w:t>
      </w:r>
      <w:r w:rsidR="00621AC9" w:rsidRPr="004A6595">
        <w:rPr>
          <w:sz w:val="26"/>
          <w:szCs w:val="26"/>
          <w:lang w:val="lt-LT"/>
        </w:rPr>
        <w:t>audito rizikos komponent</w:t>
      </w:r>
      <w:r w:rsidR="00C42ECD" w:rsidRPr="004A6595">
        <w:rPr>
          <w:sz w:val="26"/>
          <w:szCs w:val="26"/>
          <w:lang w:val="lt-LT"/>
        </w:rPr>
        <w:t>us</w:t>
      </w:r>
      <w:r w:rsidR="008F4CAD" w:rsidRPr="004A6595">
        <w:rPr>
          <w:sz w:val="26"/>
          <w:szCs w:val="26"/>
          <w:lang w:val="lt-LT"/>
        </w:rPr>
        <w:t>, juos lemiančius</w:t>
      </w:r>
      <w:r w:rsidR="00621AC9" w:rsidRPr="004A6595">
        <w:rPr>
          <w:sz w:val="26"/>
          <w:szCs w:val="26"/>
          <w:lang w:val="lt-LT"/>
        </w:rPr>
        <w:t xml:space="preserve"> </w:t>
      </w:r>
      <w:r w:rsidR="00034C80" w:rsidRPr="004A6595">
        <w:rPr>
          <w:sz w:val="26"/>
          <w:szCs w:val="26"/>
          <w:lang w:val="lt-LT"/>
        </w:rPr>
        <w:t>sąlygas</w:t>
      </w:r>
      <w:r w:rsidR="008F4CAD" w:rsidRPr="004A6595">
        <w:rPr>
          <w:sz w:val="26"/>
          <w:szCs w:val="26"/>
          <w:lang w:val="lt-LT"/>
        </w:rPr>
        <w:t>/</w:t>
      </w:r>
      <w:r w:rsidR="00034C80" w:rsidRPr="004A6595">
        <w:rPr>
          <w:sz w:val="26"/>
          <w:szCs w:val="26"/>
          <w:lang w:val="lt-LT"/>
        </w:rPr>
        <w:t xml:space="preserve">veiksnius </w:t>
      </w:r>
      <w:r w:rsidR="00E80BFB" w:rsidRPr="004A6595">
        <w:rPr>
          <w:sz w:val="26"/>
          <w:szCs w:val="26"/>
          <w:lang w:val="lt-LT"/>
        </w:rPr>
        <w:t xml:space="preserve">ir </w:t>
      </w:r>
      <w:r w:rsidR="00C42ECD" w:rsidRPr="004A6595">
        <w:rPr>
          <w:sz w:val="26"/>
          <w:szCs w:val="26"/>
          <w:lang w:val="lt-LT"/>
        </w:rPr>
        <w:t>iš</w:t>
      </w:r>
      <w:r w:rsidR="003D315B">
        <w:rPr>
          <w:sz w:val="26"/>
          <w:szCs w:val="26"/>
          <w:lang w:val="lt-LT"/>
        </w:rPr>
        <w:t>tirti</w:t>
      </w:r>
      <w:r w:rsidR="00C42ECD" w:rsidRPr="004A6595">
        <w:rPr>
          <w:sz w:val="26"/>
          <w:szCs w:val="26"/>
          <w:lang w:val="lt-LT"/>
        </w:rPr>
        <w:t xml:space="preserve"> </w:t>
      </w:r>
      <w:r w:rsidR="00A73825" w:rsidRPr="004A6595">
        <w:rPr>
          <w:sz w:val="26"/>
          <w:szCs w:val="26"/>
          <w:lang w:val="lt-LT"/>
        </w:rPr>
        <w:t xml:space="preserve">esminius </w:t>
      </w:r>
      <w:r w:rsidR="002F46D8" w:rsidRPr="004A6595">
        <w:rPr>
          <w:sz w:val="26"/>
          <w:szCs w:val="26"/>
          <w:lang w:val="lt-LT"/>
        </w:rPr>
        <w:t xml:space="preserve">jų vertinimo </w:t>
      </w:r>
      <w:r w:rsidR="004F1E6A" w:rsidRPr="004A6595">
        <w:rPr>
          <w:sz w:val="26"/>
          <w:szCs w:val="26"/>
          <w:lang w:val="lt-LT"/>
        </w:rPr>
        <w:t>ypatum</w:t>
      </w:r>
      <w:r w:rsidR="00A73825" w:rsidRPr="004A6595">
        <w:rPr>
          <w:sz w:val="26"/>
          <w:szCs w:val="26"/>
          <w:lang w:val="lt-LT"/>
        </w:rPr>
        <w:t>us</w:t>
      </w:r>
      <w:r w:rsidR="00873299" w:rsidRPr="004A6595">
        <w:rPr>
          <w:sz w:val="26"/>
          <w:szCs w:val="26"/>
          <w:lang w:val="lt-LT"/>
        </w:rPr>
        <w:t>.</w:t>
      </w:r>
      <w:r w:rsidR="00A73825" w:rsidRPr="004A6595">
        <w:rPr>
          <w:sz w:val="26"/>
          <w:szCs w:val="26"/>
          <w:lang w:val="lt-LT"/>
        </w:rPr>
        <w:t xml:space="preserve"> </w:t>
      </w:r>
    </w:p>
    <w:p w:rsidR="00BB3708" w:rsidRDefault="00DC6648" w:rsidP="003D315B">
      <w:pPr>
        <w:spacing w:line="360" w:lineRule="auto"/>
        <w:ind w:firstLine="720"/>
        <w:jc w:val="both"/>
        <w:rPr>
          <w:sz w:val="26"/>
          <w:szCs w:val="26"/>
          <w:lang w:val="lt-LT"/>
        </w:rPr>
      </w:pPr>
      <w:r w:rsidRPr="004A6595">
        <w:rPr>
          <w:sz w:val="26"/>
          <w:szCs w:val="26"/>
          <w:lang w:val="lt-LT"/>
        </w:rPr>
        <w:t>M</w:t>
      </w:r>
      <w:r w:rsidR="00462398" w:rsidRPr="004A6595">
        <w:rPr>
          <w:sz w:val="26"/>
          <w:szCs w:val="26"/>
          <w:lang w:val="lt-LT"/>
        </w:rPr>
        <w:t>okslo darbuose (Kabašinskas, Toliatienė, 1</w:t>
      </w:r>
      <w:r w:rsidR="00BE5795">
        <w:rPr>
          <w:sz w:val="26"/>
          <w:szCs w:val="26"/>
          <w:lang w:val="lt-LT"/>
        </w:rPr>
        <w:t>997; Mackevičius, 1999</w:t>
      </w:r>
      <w:r w:rsidR="00462398" w:rsidRPr="004A6595">
        <w:rPr>
          <w:sz w:val="26"/>
          <w:szCs w:val="26"/>
          <w:lang w:val="lt-LT"/>
        </w:rPr>
        <w:t>, 2001; Lakis, 2007; Robertson, 1990; B</w:t>
      </w:r>
      <w:r w:rsidR="00862190" w:rsidRPr="004A6595">
        <w:rPr>
          <w:sz w:val="26"/>
          <w:szCs w:val="26"/>
          <w:lang w:val="lt-LT"/>
        </w:rPr>
        <w:t>y</w:t>
      </w:r>
      <w:r w:rsidR="00462398" w:rsidRPr="004A6595">
        <w:rPr>
          <w:sz w:val="26"/>
          <w:szCs w:val="26"/>
          <w:lang w:val="lt-LT"/>
        </w:rPr>
        <w:t xml:space="preserve">čkova, 1998; Skobara, 1998; Knechel, 2001; 1995; Arens, Loebbecke, 1997, 2006) </w:t>
      </w:r>
      <w:r w:rsidR="00E634BD" w:rsidRPr="004A6595">
        <w:rPr>
          <w:sz w:val="26"/>
          <w:szCs w:val="26"/>
          <w:lang w:val="lt-LT"/>
        </w:rPr>
        <w:t>nurodoma, kad a</w:t>
      </w:r>
      <w:r w:rsidR="00551ACF" w:rsidRPr="004A6595">
        <w:rPr>
          <w:sz w:val="26"/>
          <w:szCs w:val="26"/>
          <w:lang w:val="lt-LT"/>
        </w:rPr>
        <w:t>udito riziką sudaro šie komponentai – įgimta rizika, kontrolės rizika ir aptikimo rizika</w:t>
      </w:r>
      <w:r w:rsidR="00A041FD" w:rsidRPr="004A6595">
        <w:rPr>
          <w:sz w:val="26"/>
          <w:szCs w:val="26"/>
          <w:lang w:val="lt-LT"/>
        </w:rPr>
        <w:t>. Ta</w:t>
      </w:r>
      <w:r w:rsidR="00A73825" w:rsidRPr="004A6595">
        <w:rPr>
          <w:sz w:val="26"/>
          <w:szCs w:val="26"/>
          <w:lang w:val="lt-LT"/>
        </w:rPr>
        <w:t xml:space="preserve">čiau </w:t>
      </w:r>
      <w:r w:rsidR="00551ACF" w:rsidRPr="004A6595">
        <w:rPr>
          <w:sz w:val="26"/>
          <w:szCs w:val="26"/>
          <w:lang w:val="lt-LT"/>
        </w:rPr>
        <w:t>audito standartuose (200 TSA, 2006; 107 SAS, 2006)</w:t>
      </w:r>
      <w:r w:rsidR="002B37CF" w:rsidRPr="004A6595">
        <w:rPr>
          <w:sz w:val="26"/>
          <w:szCs w:val="26"/>
          <w:lang w:val="lt-LT"/>
        </w:rPr>
        <w:t xml:space="preserve"> pabrėžiama</w:t>
      </w:r>
      <w:r w:rsidR="006B5D67" w:rsidRPr="004A6595">
        <w:rPr>
          <w:sz w:val="26"/>
          <w:szCs w:val="26"/>
          <w:lang w:val="lt-LT"/>
        </w:rPr>
        <w:t>, kad audito rizika yra susijusi su reikšmingo iškraipymo rizika, t. y. rizika, jog finansinė</w:t>
      </w:r>
      <w:r w:rsidR="0050400B" w:rsidRPr="004A6595">
        <w:rPr>
          <w:sz w:val="26"/>
          <w:szCs w:val="26"/>
          <w:lang w:val="lt-LT"/>
        </w:rPr>
        <w:t>s</w:t>
      </w:r>
      <w:r w:rsidR="006B5D67" w:rsidRPr="004A6595">
        <w:rPr>
          <w:sz w:val="26"/>
          <w:szCs w:val="26"/>
          <w:lang w:val="lt-LT"/>
        </w:rPr>
        <w:t xml:space="preserve"> at</w:t>
      </w:r>
      <w:r w:rsidR="0050400B" w:rsidRPr="004A6595">
        <w:rPr>
          <w:sz w:val="26"/>
          <w:szCs w:val="26"/>
          <w:lang w:val="lt-LT"/>
        </w:rPr>
        <w:t>a</w:t>
      </w:r>
      <w:r w:rsidR="006B5D67" w:rsidRPr="004A6595">
        <w:rPr>
          <w:sz w:val="26"/>
          <w:szCs w:val="26"/>
          <w:lang w:val="lt-LT"/>
        </w:rPr>
        <w:t>skaito</w:t>
      </w:r>
      <w:r w:rsidR="0050400B" w:rsidRPr="004A6595">
        <w:rPr>
          <w:sz w:val="26"/>
          <w:szCs w:val="26"/>
          <w:lang w:val="lt-LT"/>
        </w:rPr>
        <w:t xml:space="preserve">s </w:t>
      </w:r>
      <w:r w:rsidR="006B5D67" w:rsidRPr="004A6595">
        <w:rPr>
          <w:sz w:val="26"/>
          <w:szCs w:val="26"/>
          <w:lang w:val="lt-LT"/>
        </w:rPr>
        <w:t>iškraipyt</w:t>
      </w:r>
      <w:r w:rsidR="0050400B" w:rsidRPr="004A6595">
        <w:rPr>
          <w:sz w:val="26"/>
          <w:szCs w:val="26"/>
          <w:lang w:val="lt-LT"/>
        </w:rPr>
        <w:t>os</w:t>
      </w:r>
      <w:r w:rsidR="006B5D67" w:rsidRPr="004A6595">
        <w:rPr>
          <w:sz w:val="26"/>
          <w:szCs w:val="26"/>
          <w:lang w:val="lt-LT"/>
        </w:rPr>
        <w:t xml:space="preserve"> dar prieš auditą, ir aptikimo rizika, t. y. rizika, kad auditorius </w:t>
      </w:r>
      <w:r w:rsidR="00372015" w:rsidRPr="004A6595">
        <w:rPr>
          <w:sz w:val="26"/>
          <w:szCs w:val="26"/>
          <w:lang w:val="lt-LT"/>
        </w:rPr>
        <w:t xml:space="preserve">neaptiks </w:t>
      </w:r>
      <w:r w:rsidR="006B5D67" w:rsidRPr="004A6595">
        <w:rPr>
          <w:sz w:val="26"/>
          <w:szCs w:val="26"/>
          <w:lang w:val="lt-LT"/>
        </w:rPr>
        <w:t>reik</w:t>
      </w:r>
      <w:r w:rsidR="00372015" w:rsidRPr="004A6595">
        <w:rPr>
          <w:sz w:val="26"/>
          <w:szCs w:val="26"/>
          <w:lang w:val="lt-LT"/>
        </w:rPr>
        <w:t>šmingų iškraipymų</w:t>
      </w:r>
      <w:r w:rsidR="001C2044" w:rsidRPr="004A6595">
        <w:rPr>
          <w:sz w:val="26"/>
          <w:szCs w:val="26"/>
          <w:lang w:val="lt-LT"/>
        </w:rPr>
        <w:t xml:space="preserve">. </w:t>
      </w:r>
      <w:r w:rsidR="00BB3708" w:rsidRPr="004A6595">
        <w:rPr>
          <w:sz w:val="26"/>
          <w:szCs w:val="26"/>
          <w:lang w:val="lt-LT"/>
        </w:rPr>
        <w:t>Be to, audito standartai (200</w:t>
      </w:r>
      <w:r w:rsidR="00E43F7C">
        <w:rPr>
          <w:sz w:val="26"/>
          <w:szCs w:val="26"/>
          <w:lang w:val="lt-LT"/>
        </w:rPr>
        <w:t> </w:t>
      </w:r>
      <w:r w:rsidR="00BB3708" w:rsidRPr="004A6595">
        <w:rPr>
          <w:sz w:val="26"/>
          <w:szCs w:val="26"/>
          <w:lang w:val="lt-LT"/>
        </w:rPr>
        <w:t>TSA, 2006; 107 SAS, 2006) nurodo, kad reikšmingo iškraipymo riziką auditorius turi apsvarstyti finansinių ataskaitų lygmeniu ir tvirtinimo</w:t>
      </w:r>
      <w:r w:rsidR="00BB3708" w:rsidRPr="004A6595">
        <w:rPr>
          <w:rStyle w:val="FootnoteReference"/>
          <w:sz w:val="26"/>
          <w:szCs w:val="26"/>
          <w:lang w:val="lt-LT"/>
        </w:rPr>
        <w:footnoteReference w:id="7"/>
      </w:r>
      <w:r w:rsidR="00BB3708" w:rsidRPr="004A6595">
        <w:rPr>
          <w:sz w:val="26"/>
          <w:szCs w:val="26"/>
          <w:lang w:val="lt-LT"/>
        </w:rPr>
        <w:t xml:space="preserve"> lygmeniu, o reikšmingo iškraipymo rizika tvirtinimo lygmeniu juose išskiriama į įgimtą ir kontrolės rizikas</w:t>
      </w:r>
      <w:r w:rsidR="00BB3708">
        <w:rPr>
          <w:sz w:val="26"/>
          <w:szCs w:val="26"/>
          <w:lang w:val="lt-LT"/>
        </w:rPr>
        <w:t xml:space="preserve"> </w:t>
      </w:r>
      <w:r w:rsidR="00BB3708" w:rsidRPr="004A6595">
        <w:rPr>
          <w:sz w:val="26"/>
          <w:szCs w:val="26"/>
          <w:lang w:val="lt-LT"/>
        </w:rPr>
        <w:t>(žr. 5</w:t>
      </w:r>
      <w:r w:rsidR="00BB3708">
        <w:rPr>
          <w:sz w:val="26"/>
          <w:szCs w:val="26"/>
          <w:lang w:val="lt-LT"/>
        </w:rPr>
        <w:t xml:space="preserve"> pav.</w:t>
      </w:r>
      <w:r w:rsidR="00BB3708" w:rsidRPr="004A6595">
        <w:rPr>
          <w:sz w:val="26"/>
          <w:szCs w:val="26"/>
          <w:lang w:val="lt-LT"/>
        </w:rPr>
        <w:t xml:space="preserve">). Atsižvelgiant į tai, </w:t>
      </w:r>
      <w:r w:rsidR="00FC0D40">
        <w:rPr>
          <w:sz w:val="26"/>
          <w:szCs w:val="26"/>
          <w:lang w:val="lt-LT"/>
        </w:rPr>
        <w:t>išanalizuosime</w:t>
      </w:r>
      <w:r w:rsidR="00BB3708" w:rsidRPr="004A6595">
        <w:rPr>
          <w:sz w:val="26"/>
          <w:szCs w:val="26"/>
          <w:lang w:val="lt-LT"/>
        </w:rPr>
        <w:t xml:space="preserve"> šiuos audito rizikos komponentus detaliau.</w:t>
      </w:r>
    </w:p>
    <w:p w:rsidR="003D315B" w:rsidRPr="004A6595" w:rsidRDefault="003D315B" w:rsidP="003D315B">
      <w:pPr>
        <w:spacing w:line="360" w:lineRule="auto"/>
        <w:ind w:firstLine="720"/>
        <w:jc w:val="both"/>
        <w:rPr>
          <w:sz w:val="26"/>
          <w:szCs w:val="26"/>
          <w:lang w:val="lt-LT"/>
        </w:rPr>
      </w:pPr>
    </w:p>
    <w:p w:rsidR="00D835BA" w:rsidRDefault="00D835BA" w:rsidP="00A73825">
      <w:pPr>
        <w:spacing w:line="360" w:lineRule="auto"/>
        <w:ind w:firstLine="720"/>
        <w:jc w:val="both"/>
        <w:rPr>
          <w:sz w:val="26"/>
          <w:szCs w:val="26"/>
          <w:lang w:val="lt-LT"/>
        </w:rPr>
      </w:pPr>
    </w:p>
    <w:p w:rsidR="00BB3708" w:rsidRDefault="00166819" w:rsidP="00A73825">
      <w:pPr>
        <w:spacing w:line="360" w:lineRule="auto"/>
        <w:ind w:firstLine="720"/>
        <w:jc w:val="both"/>
        <w:rPr>
          <w:sz w:val="26"/>
          <w:szCs w:val="26"/>
          <w:lang w:val="lt-LT"/>
        </w:rPr>
      </w:pPr>
      <w:r w:rsidRPr="00166819">
        <w:rPr>
          <w:noProof/>
          <w:sz w:val="24"/>
          <w:lang w:val="lt-LT"/>
        </w:rPr>
        <w:lastRenderedPageBreak/>
        <w:pict>
          <v:group id="_x0000_s74477" style="position:absolute;left:0;text-align:left;margin-left:51.6pt;margin-top:-22.7pt;width:267pt;height:167pt;z-index:254052352" coordorigin="3255,12022" coordsize="5340,3340">
            <v:shape id="_x0000_s2271" type="#_x0000_t202" style="position:absolute;left:4597;top:12022;width:2972;height:433" o:regroupid="107" filled="f" strokecolor="#d8d8d8 [2732]" strokeweight="2pt">
              <v:textbox style="mso-next-textbox:#_x0000_s2271" inset=",0,,0">
                <w:txbxContent>
                  <w:p w:rsidR="00BE5795" w:rsidRPr="004A6595" w:rsidRDefault="00BE5795" w:rsidP="000C57DA">
                    <w:pPr>
                      <w:spacing w:before="80"/>
                      <w:jc w:val="center"/>
                      <w:rPr>
                        <w:b/>
                        <w:caps/>
                        <w:sz w:val="22"/>
                        <w:szCs w:val="22"/>
                        <w:lang w:val="lt-LT"/>
                      </w:rPr>
                    </w:pPr>
                    <w:r w:rsidRPr="004A6595">
                      <w:rPr>
                        <w:b/>
                        <w:caps/>
                        <w:sz w:val="22"/>
                        <w:szCs w:val="22"/>
                        <w:lang w:val="lt-LT"/>
                      </w:rPr>
                      <w:t>Audito rizika</w:t>
                    </w:r>
                  </w:p>
                </w:txbxContent>
              </v:textbox>
            </v:shape>
            <v:shape id="_x0000_s2274" type="#_x0000_t202" style="position:absolute;left:3255;top:12676;width:2632;height:584" o:regroupid="107" filled="f" strokecolor="#d8d8d8 [2732]" strokeweight="1.5pt">
              <v:textbox style="mso-next-textbox:#_x0000_s2274" inset=",0,,0">
                <w:txbxContent>
                  <w:p w:rsidR="00BE5795" w:rsidRPr="004A6595" w:rsidRDefault="00BE5795" w:rsidP="00107A58">
                    <w:pPr>
                      <w:jc w:val="center"/>
                      <w:rPr>
                        <w:b/>
                        <w:sz w:val="22"/>
                        <w:szCs w:val="22"/>
                        <w:lang w:val="lt-LT"/>
                      </w:rPr>
                    </w:pPr>
                    <w:r w:rsidRPr="004A6595">
                      <w:rPr>
                        <w:b/>
                        <w:sz w:val="22"/>
                        <w:szCs w:val="22"/>
                        <w:lang w:val="lt-LT"/>
                      </w:rPr>
                      <w:t>Reikšmingo iškraipymo rizika</w:t>
                    </w:r>
                  </w:p>
                </w:txbxContent>
              </v:textbox>
            </v:shape>
            <v:shape id="_x0000_s2275" type="#_x0000_t202" style="position:absolute;left:5981;top:12676;width:2614;height:578" o:regroupid="107" filled="f" strokecolor="#d8d8d8 [2732]" strokeweight="1.5pt">
              <v:textbox style="mso-next-textbox:#_x0000_s2275">
                <w:txbxContent>
                  <w:p w:rsidR="00BE5795" w:rsidRPr="004A6595" w:rsidRDefault="00BE5795" w:rsidP="00107A58">
                    <w:pPr>
                      <w:jc w:val="center"/>
                      <w:rPr>
                        <w:b/>
                        <w:sz w:val="22"/>
                        <w:szCs w:val="22"/>
                        <w:lang w:val="lt-LT"/>
                      </w:rPr>
                    </w:pPr>
                    <w:r w:rsidRPr="004A6595">
                      <w:rPr>
                        <w:b/>
                        <w:sz w:val="22"/>
                        <w:szCs w:val="22"/>
                        <w:lang w:val="lt-LT"/>
                      </w:rPr>
                      <w:t>Aptikimo rizika</w:t>
                    </w:r>
                  </w:p>
                </w:txbxContent>
              </v:textbox>
            </v:shape>
            <v:shape id="_x0000_s2279" type="#_x0000_t202" style="position:absolute;left:3255;top:14276;width:2449;height:440" o:regroupid="107" filled="f" strokecolor="#d8d8d8 [2732]" strokeweight="1.5pt">
              <v:stroke dashstyle="1 1"/>
              <v:textbox style="mso-next-textbox:#_x0000_s2279">
                <w:txbxContent>
                  <w:p w:rsidR="00BE5795" w:rsidRPr="004A6595" w:rsidRDefault="00BE5795" w:rsidP="00262381">
                    <w:pPr>
                      <w:jc w:val="center"/>
                      <w:rPr>
                        <w:sz w:val="22"/>
                        <w:szCs w:val="22"/>
                        <w:lang w:val="lt-LT"/>
                      </w:rPr>
                    </w:pPr>
                    <w:r w:rsidRPr="004A6595">
                      <w:rPr>
                        <w:sz w:val="22"/>
                        <w:szCs w:val="22"/>
                        <w:lang w:val="lt-LT"/>
                      </w:rPr>
                      <w:t>Tvirtinimo lygmeniu</w:t>
                    </w:r>
                  </w:p>
                </w:txbxContent>
              </v:textbox>
            </v:shape>
            <v:shape id="_x0000_s2282" type="#_x0000_t202" style="position:absolute;left:3255;top:14720;width:1132;height:642" o:regroupid="107" filled="f" strokecolor="#d8d8d8 [2732]" strokeweight="1.5pt">
              <v:stroke dashstyle="1 1" endcap="round"/>
              <v:textbox style="mso-next-textbox:#_x0000_s2282">
                <w:txbxContent>
                  <w:p w:rsidR="00BE5795" w:rsidRPr="004A6595" w:rsidRDefault="00BE5795" w:rsidP="00AE0BE0">
                    <w:pPr>
                      <w:jc w:val="center"/>
                      <w:rPr>
                        <w:sz w:val="22"/>
                        <w:szCs w:val="22"/>
                        <w:lang w:val="lt-LT"/>
                      </w:rPr>
                    </w:pPr>
                    <w:r w:rsidRPr="004A6595">
                      <w:rPr>
                        <w:sz w:val="22"/>
                        <w:szCs w:val="22"/>
                        <w:lang w:val="lt-LT"/>
                      </w:rPr>
                      <w:t>Įgimta rizika</w:t>
                    </w:r>
                  </w:p>
                </w:txbxContent>
              </v:textbox>
            </v:shape>
            <v:shape id="_x0000_s2283" type="#_x0000_t202" style="position:absolute;left:4387;top:14716;width:1317;height:646" o:regroupid="107" filled="f" strokecolor="#d8d8d8 [2732]" strokeweight="1.5pt">
              <v:stroke dashstyle="1 1" endcap="round"/>
              <v:textbox style="mso-next-textbox:#_x0000_s2283">
                <w:txbxContent>
                  <w:p w:rsidR="00BE5795" w:rsidRPr="004A6595" w:rsidRDefault="00BE5795" w:rsidP="00AE0BE0">
                    <w:pPr>
                      <w:jc w:val="center"/>
                      <w:rPr>
                        <w:sz w:val="22"/>
                        <w:szCs w:val="22"/>
                        <w:lang w:val="lt-LT"/>
                      </w:rPr>
                    </w:pPr>
                    <w:r w:rsidRPr="004A6595">
                      <w:rPr>
                        <w:sz w:val="22"/>
                        <w:szCs w:val="22"/>
                        <w:lang w:val="lt-LT"/>
                      </w:rPr>
                      <w:t>Kontrolės rizika</w:t>
                    </w:r>
                  </w:p>
                </w:txbxContent>
              </v:textbox>
            </v:shape>
            <v:shape id="_x0000_s2297" type="#_x0000_t67" style="position:absolute;left:4597;top:12455;width:320;height:221" o:regroupid="107" fillcolor="#d8d8d8 [2732]" strokecolor="#d8d8d8 [2732]"/>
            <v:shape id="_x0000_s2298" type="#_x0000_t67" style="position:absolute;left:7249;top:12455;width:320;height:221" o:regroupid="107" fillcolor="#d8d8d8 [2732]" strokecolor="#d8d8d8 [2732]"/>
            <v:shape id="_x0000_s8943" type="#_x0000_t202" style="position:absolute;left:6129;top:13498;width:2466;height:557" o:regroupid="107" filled="f" strokecolor="#d8d8d8 [2732]" strokeweight="1.5pt">
              <v:stroke dashstyle="1 1"/>
              <v:textbox style="mso-next-textbox:#_x0000_s8943">
                <w:txbxContent>
                  <w:p w:rsidR="00BE5795" w:rsidRPr="004A6595" w:rsidRDefault="00BE5795" w:rsidP="00567F3C">
                    <w:pPr>
                      <w:jc w:val="center"/>
                      <w:rPr>
                        <w:sz w:val="22"/>
                        <w:szCs w:val="22"/>
                        <w:lang w:val="lt-LT"/>
                      </w:rPr>
                    </w:pPr>
                    <w:r w:rsidRPr="004A6595">
                      <w:rPr>
                        <w:sz w:val="22"/>
                        <w:szCs w:val="22"/>
                        <w:lang w:val="lt-LT"/>
                      </w:rPr>
                      <w:t>Tvirtinimo lygmeniu</w:t>
                    </w:r>
                  </w:p>
                </w:txbxContent>
              </v:textbox>
            </v:shape>
            <v:shape id="_x0000_s8941" type="#_x0000_t67" style="position:absolute;left:7252;top:13260;width:338;height:238" o:regroupid="107" fillcolor="#d8d8d8 [2732]" strokecolor="#d8d8d8 [2732]"/>
            <v:shape id="_x0000_s2278" type="#_x0000_t202" style="position:absolute;left:3255;top:13484;width:2449;height:571" o:regroupid="108" filled="f" strokecolor="#d8d8d8 [2732]" strokeweight="1.5pt">
              <v:stroke dashstyle="1 1"/>
              <v:textbox style="mso-next-textbox:#_x0000_s2278" inset=".5mm,0,.5mm,0">
                <w:txbxContent>
                  <w:p w:rsidR="00BE5795" w:rsidRPr="004A6595" w:rsidRDefault="00BE5795" w:rsidP="00CC6149">
                    <w:pPr>
                      <w:jc w:val="center"/>
                      <w:rPr>
                        <w:sz w:val="22"/>
                        <w:szCs w:val="22"/>
                        <w:lang w:val="lt-LT"/>
                      </w:rPr>
                    </w:pPr>
                    <w:r w:rsidRPr="004A6595">
                      <w:rPr>
                        <w:sz w:val="22"/>
                        <w:szCs w:val="22"/>
                        <w:lang w:val="lt-LT"/>
                      </w:rPr>
                      <w:t>Finansinių ataskaitų lygmeniu</w:t>
                    </w:r>
                  </w:p>
                </w:txbxContent>
              </v:textbox>
            </v:shape>
            <v:shape id="_x0000_s2292" type="#_x0000_t67" style="position:absolute;left:4241;top:13260;width:338;height:238" o:regroupid="108" fillcolor="#d8d8d8 [2732]" strokecolor="#d8d8d8 [2732]"/>
            <v:shape id="_x0000_s2293" type="#_x0000_t67" style="position:absolute;left:4241;top:14055;width:319;height:221" o:regroupid="108" fillcolor="#d8d8d8 [2732]" strokecolor="#d8d8d8 [2732]"/>
          </v:group>
        </w:pict>
      </w:r>
    </w:p>
    <w:p w:rsidR="00BB3708" w:rsidRPr="004A6595" w:rsidRDefault="00BB3708" w:rsidP="00A73825">
      <w:pPr>
        <w:spacing w:line="360" w:lineRule="auto"/>
        <w:ind w:firstLine="720"/>
        <w:jc w:val="both"/>
        <w:rPr>
          <w:sz w:val="26"/>
          <w:szCs w:val="26"/>
          <w:lang w:val="lt-LT"/>
        </w:rPr>
      </w:pPr>
    </w:p>
    <w:p w:rsidR="005D18FD" w:rsidRDefault="005D18FD" w:rsidP="00372015">
      <w:pPr>
        <w:spacing w:line="360" w:lineRule="auto"/>
        <w:ind w:firstLine="720"/>
        <w:jc w:val="both"/>
        <w:rPr>
          <w:sz w:val="24"/>
          <w:lang w:val="lt-LT"/>
        </w:rPr>
      </w:pPr>
    </w:p>
    <w:p w:rsidR="0015676E" w:rsidRPr="006C581C" w:rsidRDefault="0015676E" w:rsidP="00372015">
      <w:pPr>
        <w:spacing w:line="360" w:lineRule="auto"/>
        <w:ind w:firstLine="720"/>
        <w:jc w:val="both"/>
        <w:rPr>
          <w:sz w:val="24"/>
          <w:lang w:val="lt-LT"/>
        </w:rPr>
      </w:pPr>
    </w:p>
    <w:p w:rsidR="00107A58" w:rsidRPr="006C581C" w:rsidRDefault="00107A58" w:rsidP="00372015">
      <w:pPr>
        <w:spacing w:line="360" w:lineRule="auto"/>
        <w:ind w:firstLine="720"/>
        <w:jc w:val="both"/>
        <w:rPr>
          <w:sz w:val="24"/>
          <w:lang w:val="lt-LT"/>
        </w:rPr>
      </w:pPr>
    </w:p>
    <w:p w:rsidR="00107A58" w:rsidRPr="006C581C" w:rsidRDefault="00107A58" w:rsidP="00372015">
      <w:pPr>
        <w:spacing w:line="360" w:lineRule="auto"/>
        <w:ind w:firstLine="720"/>
        <w:jc w:val="both"/>
        <w:rPr>
          <w:sz w:val="24"/>
          <w:lang w:val="lt-LT"/>
        </w:rPr>
      </w:pPr>
    </w:p>
    <w:p w:rsidR="00107A58" w:rsidRPr="006C581C" w:rsidRDefault="00107A58" w:rsidP="00372015">
      <w:pPr>
        <w:spacing w:line="360" w:lineRule="auto"/>
        <w:ind w:firstLine="720"/>
        <w:jc w:val="both"/>
        <w:rPr>
          <w:sz w:val="24"/>
          <w:lang w:val="lt-LT"/>
        </w:rPr>
      </w:pPr>
    </w:p>
    <w:p w:rsidR="004B6241" w:rsidRPr="00FE380C" w:rsidRDefault="00375D0D" w:rsidP="00B608B3">
      <w:pPr>
        <w:ind w:firstLine="720"/>
        <w:jc w:val="both"/>
        <w:rPr>
          <w:lang w:val="lt-LT"/>
        </w:rPr>
      </w:pPr>
      <w:r w:rsidRPr="00FE380C">
        <w:rPr>
          <w:lang w:val="lt-LT"/>
        </w:rPr>
        <w:t>Šaltinis: sukurta</w:t>
      </w:r>
      <w:r w:rsidR="004B6241" w:rsidRPr="00FE380C">
        <w:rPr>
          <w:lang w:val="lt-LT"/>
        </w:rPr>
        <w:t xml:space="preserve"> autor</w:t>
      </w:r>
      <w:r w:rsidR="004307E7" w:rsidRPr="00FE380C">
        <w:rPr>
          <w:lang w:val="lt-LT"/>
        </w:rPr>
        <w:t>ės</w:t>
      </w:r>
      <w:r w:rsidR="003A6A0C" w:rsidRPr="00FE380C">
        <w:rPr>
          <w:lang w:val="lt-LT"/>
        </w:rPr>
        <w:t>.</w:t>
      </w:r>
      <w:r w:rsidR="004B6241" w:rsidRPr="00FE380C">
        <w:rPr>
          <w:lang w:val="lt-LT"/>
        </w:rPr>
        <w:t xml:space="preserve"> </w:t>
      </w:r>
    </w:p>
    <w:p w:rsidR="004B6241" w:rsidRPr="004A6595" w:rsidRDefault="002F7447" w:rsidP="004B6241">
      <w:pPr>
        <w:spacing w:line="360" w:lineRule="auto"/>
        <w:ind w:firstLine="720"/>
        <w:jc w:val="center"/>
        <w:rPr>
          <w:b/>
          <w:sz w:val="26"/>
          <w:szCs w:val="26"/>
          <w:lang w:val="lt-LT"/>
        </w:rPr>
      </w:pPr>
      <w:r w:rsidRPr="004A6595">
        <w:rPr>
          <w:b/>
          <w:sz w:val="26"/>
          <w:szCs w:val="26"/>
          <w:lang w:val="lt-LT"/>
        </w:rPr>
        <w:t>5</w:t>
      </w:r>
      <w:r w:rsidR="004B6241" w:rsidRPr="004A6595">
        <w:rPr>
          <w:b/>
          <w:sz w:val="26"/>
          <w:szCs w:val="26"/>
          <w:lang w:val="lt-LT"/>
        </w:rPr>
        <w:t xml:space="preserve"> pav. Audito rizikos </w:t>
      </w:r>
      <w:r w:rsidR="00B75EED" w:rsidRPr="004A6595">
        <w:rPr>
          <w:b/>
          <w:sz w:val="26"/>
          <w:szCs w:val="26"/>
          <w:lang w:val="lt-LT"/>
        </w:rPr>
        <w:t>komponentai</w:t>
      </w:r>
      <w:r w:rsidR="00B3335E" w:rsidRPr="004A6595">
        <w:rPr>
          <w:b/>
          <w:sz w:val="26"/>
          <w:szCs w:val="26"/>
          <w:lang w:val="lt-LT"/>
        </w:rPr>
        <w:t xml:space="preserve"> </w:t>
      </w:r>
      <w:r w:rsidR="00FE30CC" w:rsidRPr="004A6595">
        <w:rPr>
          <w:b/>
          <w:sz w:val="26"/>
          <w:szCs w:val="26"/>
          <w:lang w:val="lt-LT"/>
        </w:rPr>
        <w:t>pagal TSA</w:t>
      </w:r>
    </w:p>
    <w:p w:rsidR="0090429E" w:rsidRPr="004A6595" w:rsidRDefault="00694A72" w:rsidP="003E7CBA">
      <w:pPr>
        <w:spacing w:before="120" w:line="360" w:lineRule="auto"/>
        <w:ind w:firstLine="720"/>
        <w:jc w:val="both"/>
        <w:rPr>
          <w:sz w:val="26"/>
          <w:szCs w:val="26"/>
          <w:lang w:val="lt-LT"/>
        </w:rPr>
      </w:pPr>
      <w:r w:rsidRPr="004A6595">
        <w:rPr>
          <w:b/>
          <w:sz w:val="26"/>
          <w:szCs w:val="26"/>
          <w:lang w:val="lt-LT"/>
        </w:rPr>
        <w:t>Reikšmingo iškraipymo rizika</w:t>
      </w:r>
      <w:r w:rsidR="00B30972" w:rsidRPr="004A6595">
        <w:rPr>
          <w:b/>
          <w:sz w:val="26"/>
          <w:szCs w:val="26"/>
          <w:lang w:val="lt-LT"/>
        </w:rPr>
        <w:t xml:space="preserve">. </w:t>
      </w:r>
      <w:r w:rsidR="00B30972" w:rsidRPr="004A6595">
        <w:rPr>
          <w:sz w:val="26"/>
          <w:szCs w:val="26"/>
          <w:lang w:val="lt-LT"/>
        </w:rPr>
        <w:t>Tai</w:t>
      </w:r>
      <w:r w:rsidRPr="004A6595">
        <w:rPr>
          <w:sz w:val="26"/>
          <w:szCs w:val="26"/>
          <w:lang w:val="lt-LT"/>
        </w:rPr>
        <w:t xml:space="preserve"> rizika, jog finansinės ataskaitos iškraipytos dar prieš auditą </w:t>
      </w:r>
      <w:r w:rsidR="006411E9" w:rsidRPr="004A6595">
        <w:rPr>
          <w:sz w:val="26"/>
          <w:szCs w:val="26"/>
          <w:lang w:val="lt-LT"/>
        </w:rPr>
        <w:t>(200</w:t>
      </w:r>
      <w:r w:rsidRPr="004A6595">
        <w:rPr>
          <w:sz w:val="26"/>
          <w:szCs w:val="26"/>
          <w:lang w:val="lt-LT"/>
        </w:rPr>
        <w:t xml:space="preserve"> TSA, 2006). </w:t>
      </w:r>
      <w:r w:rsidR="00AE0B25" w:rsidRPr="004A6595">
        <w:rPr>
          <w:sz w:val="26"/>
          <w:szCs w:val="26"/>
          <w:lang w:val="lt-LT"/>
        </w:rPr>
        <w:t xml:space="preserve">Reikšmingo iškraipymo rizika finansinių ataskaitų lygmeniu susijusi su finansinėse ataskaitose </w:t>
      </w:r>
      <w:r w:rsidR="00AE0B25" w:rsidRPr="004A6595">
        <w:rPr>
          <w:i/>
          <w:sz w:val="26"/>
          <w:szCs w:val="26"/>
          <w:lang w:val="lt-LT"/>
        </w:rPr>
        <w:t>paplitusiais reikšmingais iškraipymais, kurie potencialiai gali paveikti daugelį tvirtinimų</w:t>
      </w:r>
      <w:r w:rsidR="00AE0B25" w:rsidRPr="004A6595">
        <w:rPr>
          <w:sz w:val="26"/>
          <w:szCs w:val="26"/>
          <w:lang w:val="lt-LT"/>
        </w:rPr>
        <w:t xml:space="preserve">. Tai visaapimanti rizika. </w:t>
      </w:r>
      <w:r w:rsidR="00586CB1" w:rsidRPr="004A6595">
        <w:rPr>
          <w:sz w:val="26"/>
          <w:szCs w:val="26"/>
          <w:lang w:val="lt-LT"/>
        </w:rPr>
        <w:t xml:space="preserve">Darbo autorės nuomone, šio audito rizikos komponento </w:t>
      </w:r>
      <w:r w:rsidR="00B87C66" w:rsidRPr="004A6595">
        <w:rPr>
          <w:sz w:val="26"/>
          <w:szCs w:val="26"/>
          <w:lang w:val="lt-LT"/>
        </w:rPr>
        <w:t>vertinimas yra vienas svarbiausių ir atsakingiausių auditoriaus darbų, kuris atliekamas susipažinimo su klientu etape</w:t>
      </w:r>
      <w:r w:rsidR="003E7CBA">
        <w:rPr>
          <w:sz w:val="26"/>
          <w:szCs w:val="26"/>
          <w:lang w:val="lt-LT"/>
        </w:rPr>
        <w:t xml:space="preserve"> </w:t>
      </w:r>
      <w:r w:rsidR="00B87C66" w:rsidRPr="004A6595">
        <w:rPr>
          <w:sz w:val="26"/>
          <w:szCs w:val="26"/>
          <w:lang w:val="lt-LT"/>
        </w:rPr>
        <w:t>bei nuo kurio priklauso visų kitų audito rizikos komponentų vertinimai</w:t>
      </w:r>
      <w:r w:rsidR="00586CB1" w:rsidRPr="004A6595">
        <w:rPr>
          <w:sz w:val="26"/>
          <w:szCs w:val="26"/>
          <w:lang w:val="lt-LT"/>
        </w:rPr>
        <w:t xml:space="preserve">. </w:t>
      </w:r>
      <w:r w:rsidR="00DE5310">
        <w:rPr>
          <w:sz w:val="26"/>
          <w:szCs w:val="26"/>
          <w:lang w:val="lt-LT"/>
        </w:rPr>
        <w:t>Šios rizikos pagrindas yra audituojamos įmonės aplinkos išsiaiškinimas.</w:t>
      </w:r>
      <w:r w:rsidR="00DE5310" w:rsidRPr="004A6595">
        <w:rPr>
          <w:sz w:val="26"/>
          <w:szCs w:val="26"/>
          <w:lang w:val="lt-LT"/>
        </w:rPr>
        <w:t xml:space="preserve"> </w:t>
      </w:r>
      <w:r w:rsidR="00AE0B25" w:rsidRPr="004A6595">
        <w:rPr>
          <w:sz w:val="26"/>
          <w:szCs w:val="26"/>
          <w:lang w:val="lt-LT"/>
        </w:rPr>
        <w:t>Literatūros šaltiniuose</w:t>
      </w:r>
      <w:r w:rsidRPr="004A6595">
        <w:rPr>
          <w:sz w:val="26"/>
          <w:szCs w:val="26"/>
          <w:lang w:val="lt-LT"/>
        </w:rPr>
        <w:t xml:space="preserve"> </w:t>
      </w:r>
      <w:r w:rsidR="00FF38A2" w:rsidRPr="004A6595">
        <w:rPr>
          <w:sz w:val="26"/>
          <w:szCs w:val="26"/>
          <w:lang w:val="lt-LT"/>
        </w:rPr>
        <w:t xml:space="preserve">(Arens, Loebbecke, 1995; Arens, Loebbecke, 1997; Mackevičius, 1999; </w:t>
      </w:r>
      <w:r w:rsidR="007E783E" w:rsidRPr="004A6595">
        <w:rPr>
          <w:sz w:val="26"/>
          <w:szCs w:val="26"/>
          <w:lang w:val="lt-LT"/>
        </w:rPr>
        <w:t>B</w:t>
      </w:r>
      <w:r w:rsidR="00862190" w:rsidRPr="004A6595">
        <w:rPr>
          <w:sz w:val="26"/>
          <w:szCs w:val="26"/>
          <w:lang w:val="lt-LT"/>
        </w:rPr>
        <w:t>y</w:t>
      </w:r>
      <w:r w:rsidR="007E783E" w:rsidRPr="004A6595">
        <w:rPr>
          <w:sz w:val="26"/>
          <w:szCs w:val="26"/>
          <w:lang w:val="lt-LT"/>
        </w:rPr>
        <w:t xml:space="preserve">čkova, Gazarian, 2001; </w:t>
      </w:r>
      <w:r w:rsidR="00A60380" w:rsidRPr="004A6595">
        <w:rPr>
          <w:sz w:val="26"/>
          <w:szCs w:val="26"/>
          <w:lang w:val="lt-LT"/>
        </w:rPr>
        <w:t>Majid, Gul, Tsui</w:t>
      </w:r>
      <w:r w:rsidR="00592362" w:rsidRPr="004A6595">
        <w:rPr>
          <w:sz w:val="26"/>
          <w:szCs w:val="26"/>
          <w:lang w:val="lt-LT"/>
        </w:rPr>
        <w:t xml:space="preserve">, </w:t>
      </w:r>
      <w:r w:rsidR="00A60380" w:rsidRPr="004A6595">
        <w:rPr>
          <w:sz w:val="26"/>
          <w:szCs w:val="26"/>
          <w:lang w:val="lt-LT"/>
        </w:rPr>
        <w:t>2001</w:t>
      </w:r>
      <w:r w:rsidR="00592362" w:rsidRPr="004A6595">
        <w:rPr>
          <w:sz w:val="26"/>
          <w:szCs w:val="26"/>
          <w:lang w:val="lt-LT"/>
        </w:rPr>
        <w:t xml:space="preserve">; </w:t>
      </w:r>
      <w:r w:rsidR="00FF38A2" w:rsidRPr="004A6595">
        <w:rPr>
          <w:sz w:val="26"/>
          <w:szCs w:val="26"/>
          <w:lang w:val="lt-LT"/>
        </w:rPr>
        <w:t>Ghosh</w:t>
      </w:r>
      <w:r w:rsidR="00592362" w:rsidRPr="004A6595">
        <w:rPr>
          <w:sz w:val="26"/>
          <w:szCs w:val="26"/>
          <w:lang w:val="lt-LT"/>
        </w:rPr>
        <w:t xml:space="preserve">, </w:t>
      </w:r>
      <w:r w:rsidR="00FF38A2" w:rsidRPr="004A6595">
        <w:rPr>
          <w:sz w:val="26"/>
          <w:szCs w:val="26"/>
          <w:lang w:val="lt-LT"/>
        </w:rPr>
        <w:t>2005</w:t>
      </w:r>
      <w:r w:rsidR="00592362" w:rsidRPr="004A6595">
        <w:rPr>
          <w:sz w:val="26"/>
          <w:szCs w:val="26"/>
          <w:lang w:val="lt-LT"/>
        </w:rPr>
        <w:t>;</w:t>
      </w:r>
      <w:r w:rsidR="00FF38A2" w:rsidRPr="004A6595">
        <w:rPr>
          <w:sz w:val="26"/>
          <w:szCs w:val="26"/>
          <w:lang w:val="lt-LT"/>
        </w:rPr>
        <w:t xml:space="preserve"> </w:t>
      </w:r>
      <w:r w:rsidR="00AE0B25" w:rsidRPr="004A6595">
        <w:rPr>
          <w:sz w:val="26"/>
          <w:szCs w:val="26"/>
          <w:lang w:val="lt-LT"/>
        </w:rPr>
        <w:t xml:space="preserve">200 TSA, 2006; </w:t>
      </w:r>
      <w:r w:rsidR="00FF38A2" w:rsidRPr="004A6595">
        <w:rPr>
          <w:sz w:val="26"/>
          <w:szCs w:val="26"/>
          <w:lang w:val="lt-LT"/>
        </w:rPr>
        <w:t>Fukukawa, Mock</w:t>
      </w:r>
      <w:r w:rsidR="00592362" w:rsidRPr="004A6595">
        <w:rPr>
          <w:sz w:val="26"/>
          <w:szCs w:val="26"/>
          <w:lang w:val="lt-LT"/>
        </w:rPr>
        <w:t xml:space="preserve">, </w:t>
      </w:r>
      <w:r w:rsidR="00FF38A2" w:rsidRPr="004A6595">
        <w:rPr>
          <w:sz w:val="26"/>
          <w:szCs w:val="26"/>
          <w:lang w:val="lt-LT"/>
        </w:rPr>
        <w:t>Wright</w:t>
      </w:r>
      <w:r w:rsidR="00592362" w:rsidRPr="004A6595">
        <w:rPr>
          <w:sz w:val="26"/>
          <w:szCs w:val="26"/>
          <w:lang w:val="lt-LT"/>
        </w:rPr>
        <w:t xml:space="preserve">, </w:t>
      </w:r>
      <w:r w:rsidR="00FF38A2" w:rsidRPr="004A6595">
        <w:rPr>
          <w:sz w:val="26"/>
          <w:szCs w:val="26"/>
          <w:lang w:val="lt-LT"/>
        </w:rPr>
        <w:t>2006</w:t>
      </w:r>
      <w:r w:rsidR="00592362" w:rsidRPr="004A6595">
        <w:rPr>
          <w:sz w:val="26"/>
          <w:szCs w:val="26"/>
          <w:lang w:val="lt-LT"/>
        </w:rPr>
        <w:t xml:space="preserve">; </w:t>
      </w:r>
      <w:r w:rsidR="00FF38A2" w:rsidRPr="004A6595">
        <w:rPr>
          <w:sz w:val="26"/>
          <w:szCs w:val="26"/>
          <w:lang w:val="lt-LT"/>
        </w:rPr>
        <w:t>Whittington, Pany</w:t>
      </w:r>
      <w:r w:rsidR="00592362" w:rsidRPr="004A6595">
        <w:rPr>
          <w:sz w:val="26"/>
          <w:szCs w:val="26"/>
          <w:lang w:val="lt-LT"/>
        </w:rPr>
        <w:t xml:space="preserve">, </w:t>
      </w:r>
      <w:r w:rsidR="0097041C" w:rsidRPr="004A6595">
        <w:rPr>
          <w:sz w:val="26"/>
          <w:szCs w:val="26"/>
          <w:lang w:val="lt-LT"/>
        </w:rPr>
        <w:t>2006</w:t>
      </w:r>
      <w:r w:rsidR="00AE0B25" w:rsidRPr="004A6595">
        <w:rPr>
          <w:sz w:val="26"/>
          <w:szCs w:val="26"/>
          <w:lang w:val="lt-LT"/>
        </w:rPr>
        <w:t>, ACPA, 2006</w:t>
      </w:r>
      <w:r w:rsidR="0097041C" w:rsidRPr="004A6595">
        <w:rPr>
          <w:sz w:val="26"/>
          <w:szCs w:val="26"/>
          <w:lang w:val="lt-LT"/>
        </w:rPr>
        <w:t>)</w:t>
      </w:r>
      <w:r w:rsidR="002B5C2F" w:rsidRPr="004A6595">
        <w:rPr>
          <w:sz w:val="26"/>
          <w:szCs w:val="26"/>
          <w:lang w:val="lt-LT"/>
        </w:rPr>
        <w:t xml:space="preserve"> </w:t>
      </w:r>
      <w:r w:rsidR="00A60380" w:rsidRPr="004A6595">
        <w:rPr>
          <w:sz w:val="26"/>
          <w:szCs w:val="26"/>
          <w:lang w:val="lt-LT"/>
        </w:rPr>
        <w:t xml:space="preserve">įvardijami įvairūs </w:t>
      </w:r>
      <w:r w:rsidRPr="004A6595">
        <w:rPr>
          <w:sz w:val="26"/>
          <w:szCs w:val="26"/>
          <w:lang w:val="lt-LT"/>
        </w:rPr>
        <w:t>veiksniai, galin</w:t>
      </w:r>
      <w:r w:rsidR="0068772C" w:rsidRPr="004A6595">
        <w:rPr>
          <w:sz w:val="26"/>
          <w:szCs w:val="26"/>
          <w:lang w:val="lt-LT"/>
        </w:rPr>
        <w:t>tys</w:t>
      </w:r>
      <w:r w:rsidRPr="004A6595">
        <w:rPr>
          <w:sz w:val="26"/>
          <w:szCs w:val="26"/>
          <w:lang w:val="lt-LT"/>
        </w:rPr>
        <w:t xml:space="preserve"> lemti reikšmingo iškraipymo rizikos pasireiškimą </w:t>
      </w:r>
      <w:r w:rsidR="00BB2C2E" w:rsidRPr="004A6595">
        <w:rPr>
          <w:sz w:val="26"/>
          <w:szCs w:val="26"/>
          <w:lang w:val="lt-LT"/>
        </w:rPr>
        <w:t xml:space="preserve">finansinių ataskaitų </w:t>
      </w:r>
      <w:r w:rsidRPr="004A6595">
        <w:rPr>
          <w:sz w:val="26"/>
          <w:szCs w:val="26"/>
          <w:lang w:val="lt-LT"/>
        </w:rPr>
        <w:t>lygmeniu</w:t>
      </w:r>
      <w:r w:rsidR="0064644A" w:rsidRPr="004A6595">
        <w:rPr>
          <w:sz w:val="26"/>
          <w:szCs w:val="26"/>
          <w:lang w:val="lt-LT"/>
        </w:rPr>
        <w:t xml:space="preserve"> </w:t>
      </w:r>
      <w:r w:rsidR="00703847" w:rsidRPr="004A6595">
        <w:rPr>
          <w:sz w:val="26"/>
          <w:szCs w:val="26"/>
          <w:lang w:val="lt-LT"/>
        </w:rPr>
        <w:t xml:space="preserve">(žr. </w:t>
      </w:r>
      <w:r w:rsidR="002F7447" w:rsidRPr="004A6595">
        <w:rPr>
          <w:sz w:val="26"/>
          <w:szCs w:val="26"/>
          <w:lang w:val="lt-LT"/>
        </w:rPr>
        <w:t>7</w:t>
      </w:r>
      <w:r w:rsidR="009F3474" w:rsidRPr="004A6595">
        <w:rPr>
          <w:sz w:val="26"/>
          <w:szCs w:val="26"/>
          <w:lang w:val="lt-LT"/>
        </w:rPr>
        <w:t xml:space="preserve"> l</w:t>
      </w:r>
      <w:r w:rsidR="00703847" w:rsidRPr="004A6595">
        <w:rPr>
          <w:sz w:val="26"/>
          <w:szCs w:val="26"/>
          <w:lang w:val="lt-LT"/>
        </w:rPr>
        <w:t>entelė)</w:t>
      </w:r>
      <w:r w:rsidR="00FF38A2" w:rsidRPr="004A6595">
        <w:rPr>
          <w:sz w:val="26"/>
          <w:szCs w:val="26"/>
          <w:lang w:val="lt-LT"/>
        </w:rPr>
        <w:t>.</w:t>
      </w:r>
      <w:r w:rsidR="00FC0D40">
        <w:rPr>
          <w:sz w:val="26"/>
          <w:szCs w:val="26"/>
          <w:lang w:val="lt-LT"/>
        </w:rPr>
        <w:t xml:space="preserve"> </w:t>
      </w:r>
    </w:p>
    <w:p w:rsidR="009F3474" w:rsidRPr="004A6595" w:rsidRDefault="006C2ACF" w:rsidP="003E7CBA">
      <w:pPr>
        <w:spacing w:line="360" w:lineRule="auto"/>
        <w:ind w:left="6481" w:firstLine="720"/>
        <w:jc w:val="both"/>
        <w:rPr>
          <w:i/>
          <w:sz w:val="26"/>
          <w:szCs w:val="26"/>
          <w:lang w:val="lt-LT"/>
        </w:rPr>
      </w:pPr>
      <w:r w:rsidRPr="004A6595">
        <w:rPr>
          <w:i/>
          <w:sz w:val="26"/>
          <w:szCs w:val="26"/>
          <w:lang w:val="lt-LT"/>
        </w:rPr>
        <w:t>7</w:t>
      </w:r>
      <w:r w:rsidR="009F3474" w:rsidRPr="004A6595">
        <w:rPr>
          <w:i/>
          <w:sz w:val="26"/>
          <w:szCs w:val="26"/>
          <w:lang w:val="lt-LT"/>
        </w:rPr>
        <w:t xml:space="preserve"> lentelė</w:t>
      </w:r>
    </w:p>
    <w:p w:rsidR="009F3474" w:rsidRPr="004A6595" w:rsidRDefault="009F3474" w:rsidP="003E7CBA">
      <w:pPr>
        <w:spacing w:line="240" w:lineRule="exact"/>
        <w:jc w:val="center"/>
        <w:rPr>
          <w:b/>
          <w:sz w:val="26"/>
          <w:szCs w:val="26"/>
          <w:lang w:val="lt-LT"/>
        </w:rPr>
      </w:pPr>
      <w:r w:rsidRPr="004A6595">
        <w:rPr>
          <w:b/>
          <w:sz w:val="26"/>
          <w:szCs w:val="26"/>
          <w:lang w:val="lt-LT"/>
        </w:rPr>
        <w:t xml:space="preserve">Reikšmingo iškraipymo rizikos </w:t>
      </w:r>
      <w:r w:rsidR="00BB2C2E" w:rsidRPr="004A6595">
        <w:rPr>
          <w:b/>
          <w:sz w:val="26"/>
          <w:szCs w:val="26"/>
          <w:lang w:val="lt-LT"/>
        </w:rPr>
        <w:t xml:space="preserve">finansinių ataskaitų </w:t>
      </w:r>
      <w:r w:rsidRPr="004A6595">
        <w:rPr>
          <w:b/>
          <w:sz w:val="26"/>
          <w:szCs w:val="26"/>
          <w:lang w:val="lt-LT"/>
        </w:rPr>
        <w:t>lygmeniu veiksni</w:t>
      </w:r>
      <w:r w:rsidR="00546D3E" w:rsidRPr="004A6595">
        <w:rPr>
          <w:b/>
          <w:sz w:val="26"/>
          <w:szCs w:val="26"/>
          <w:lang w:val="lt-LT"/>
        </w:rPr>
        <w:t>ai</w:t>
      </w:r>
      <w:r w:rsidRPr="004A6595">
        <w:rPr>
          <w:b/>
          <w:sz w:val="26"/>
          <w:szCs w:val="26"/>
          <w:lang w:val="lt-LT"/>
        </w:rPr>
        <w:t xml:space="preserve"> </w:t>
      </w:r>
    </w:p>
    <w:tbl>
      <w:tblPr>
        <w:tblStyle w:val="TableGrid"/>
        <w:tblW w:w="0" w:type="auto"/>
        <w:tblLook w:val="04A0"/>
      </w:tblPr>
      <w:tblGrid>
        <w:gridCol w:w="2376"/>
        <w:gridCol w:w="5954"/>
      </w:tblGrid>
      <w:tr w:rsidR="00703847" w:rsidRPr="004A6595" w:rsidTr="00896736">
        <w:trPr>
          <w:trHeight w:val="544"/>
        </w:trPr>
        <w:tc>
          <w:tcPr>
            <w:tcW w:w="2376" w:type="dxa"/>
            <w:vAlign w:val="center"/>
          </w:tcPr>
          <w:p w:rsidR="00703847" w:rsidRPr="004A6595" w:rsidRDefault="009F3474" w:rsidP="00896736">
            <w:pPr>
              <w:jc w:val="center"/>
              <w:rPr>
                <w:b/>
                <w:sz w:val="22"/>
                <w:szCs w:val="22"/>
                <w:lang w:val="lt-LT"/>
              </w:rPr>
            </w:pPr>
            <w:r w:rsidRPr="004A6595">
              <w:rPr>
                <w:b/>
                <w:sz w:val="22"/>
                <w:szCs w:val="22"/>
                <w:lang w:val="lt-LT"/>
              </w:rPr>
              <w:t>Šaltinis</w:t>
            </w:r>
          </w:p>
        </w:tc>
        <w:tc>
          <w:tcPr>
            <w:tcW w:w="5954" w:type="dxa"/>
            <w:vAlign w:val="center"/>
          </w:tcPr>
          <w:p w:rsidR="00896736" w:rsidRPr="004A6595" w:rsidRDefault="009F3474" w:rsidP="00896736">
            <w:pPr>
              <w:jc w:val="center"/>
              <w:rPr>
                <w:b/>
                <w:sz w:val="22"/>
                <w:szCs w:val="22"/>
                <w:lang w:val="lt-LT"/>
              </w:rPr>
            </w:pPr>
            <w:r w:rsidRPr="004A6595">
              <w:rPr>
                <w:b/>
                <w:sz w:val="22"/>
                <w:szCs w:val="22"/>
                <w:lang w:val="lt-LT"/>
              </w:rPr>
              <w:t>Veiksniai ir/ar sąlygos lemiančios pasireiškimą</w:t>
            </w:r>
          </w:p>
        </w:tc>
      </w:tr>
      <w:tr w:rsidR="00703847" w:rsidRPr="004A6595" w:rsidTr="00896736">
        <w:tc>
          <w:tcPr>
            <w:tcW w:w="2376" w:type="dxa"/>
          </w:tcPr>
          <w:p w:rsidR="00703847" w:rsidRPr="004A6595" w:rsidRDefault="007E783E" w:rsidP="00317BC1">
            <w:pPr>
              <w:jc w:val="both"/>
              <w:rPr>
                <w:sz w:val="22"/>
                <w:szCs w:val="22"/>
                <w:lang w:val="lt-LT"/>
              </w:rPr>
            </w:pPr>
            <w:r w:rsidRPr="004A6595">
              <w:rPr>
                <w:sz w:val="22"/>
                <w:szCs w:val="22"/>
                <w:lang w:val="lt-LT"/>
              </w:rPr>
              <w:t xml:space="preserve">A. A. </w:t>
            </w:r>
            <w:r w:rsidR="00703847" w:rsidRPr="004A6595">
              <w:rPr>
                <w:sz w:val="22"/>
                <w:szCs w:val="22"/>
                <w:lang w:val="lt-LT"/>
              </w:rPr>
              <w:t xml:space="preserve">Arens, </w:t>
            </w:r>
            <w:r w:rsidRPr="004A6595">
              <w:rPr>
                <w:sz w:val="22"/>
                <w:szCs w:val="22"/>
                <w:lang w:val="lt-LT"/>
              </w:rPr>
              <w:t>J.</w:t>
            </w:r>
            <w:r w:rsidR="00317BC1">
              <w:rPr>
                <w:sz w:val="22"/>
                <w:szCs w:val="22"/>
                <w:lang w:val="lt-LT"/>
              </w:rPr>
              <w:t> </w:t>
            </w:r>
            <w:r w:rsidRPr="004A6595">
              <w:rPr>
                <w:sz w:val="22"/>
                <w:szCs w:val="22"/>
                <w:lang w:val="lt-LT"/>
              </w:rPr>
              <w:t>K.</w:t>
            </w:r>
            <w:r w:rsidR="00317BC1">
              <w:rPr>
                <w:sz w:val="22"/>
                <w:szCs w:val="22"/>
                <w:lang w:val="lt-LT"/>
              </w:rPr>
              <w:t> </w:t>
            </w:r>
            <w:r w:rsidR="00703847" w:rsidRPr="004A6595">
              <w:rPr>
                <w:sz w:val="22"/>
                <w:szCs w:val="22"/>
                <w:lang w:val="lt-LT"/>
              </w:rPr>
              <w:t>Loebbecke</w:t>
            </w:r>
            <w:r w:rsidRPr="004A6595">
              <w:rPr>
                <w:sz w:val="22"/>
                <w:szCs w:val="22"/>
                <w:lang w:val="lt-LT"/>
              </w:rPr>
              <w:t xml:space="preserve"> (</w:t>
            </w:r>
            <w:r w:rsidR="00703847" w:rsidRPr="004A6595">
              <w:rPr>
                <w:sz w:val="22"/>
                <w:szCs w:val="22"/>
                <w:lang w:val="lt-LT"/>
              </w:rPr>
              <w:t>1995</w:t>
            </w:r>
            <w:r w:rsidRPr="004A6595">
              <w:rPr>
                <w:sz w:val="22"/>
                <w:szCs w:val="22"/>
                <w:lang w:val="lt-LT"/>
              </w:rPr>
              <w:t xml:space="preserve">, </w:t>
            </w:r>
            <w:r w:rsidR="00703847" w:rsidRPr="004A6595">
              <w:rPr>
                <w:sz w:val="22"/>
                <w:szCs w:val="22"/>
                <w:lang w:val="lt-LT"/>
              </w:rPr>
              <w:t>1997</w:t>
            </w:r>
            <w:r w:rsidR="006E1E92" w:rsidRPr="004A6595">
              <w:rPr>
                <w:sz w:val="22"/>
                <w:szCs w:val="22"/>
                <w:lang w:val="lt-LT"/>
              </w:rPr>
              <w:t>, 2006</w:t>
            </w:r>
            <w:r w:rsidRPr="004A6595">
              <w:rPr>
                <w:sz w:val="22"/>
                <w:szCs w:val="22"/>
                <w:lang w:val="lt-LT"/>
              </w:rPr>
              <w:t>)</w:t>
            </w:r>
            <w:r w:rsidR="00703847" w:rsidRPr="004A6595">
              <w:rPr>
                <w:sz w:val="22"/>
                <w:szCs w:val="22"/>
                <w:lang w:val="lt-LT"/>
              </w:rPr>
              <w:t xml:space="preserve"> </w:t>
            </w:r>
          </w:p>
        </w:tc>
        <w:tc>
          <w:tcPr>
            <w:tcW w:w="5954" w:type="dxa"/>
          </w:tcPr>
          <w:p w:rsidR="00896736" w:rsidRPr="004A6595" w:rsidRDefault="00703847" w:rsidP="006925D8">
            <w:pPr>
              <w:jc w:val="both"/>
              <w:rPr>
                <w:sz w:val="22"/>
                <w:szCs w:val="22"/>
                <w:lang w:val="lt-LT"/>
              </w:rPr>
            </w:pPr>
            <w:r w:rsidRPr="004A6595">
              <w:rPr>
                <w:sz w:val="22"/>
                <w:szCs w:val="22"/>
                <w:lang w:val="lt-LT"/>
              </w:rPr>
              <w:t xml:space="preserve">1) įmonės verslo pobūdis, </w:t>
            </w:r>
            <w:r w:rsidR="004A1FB5" w:rsidRPr="004A6595">
              <w:rPr>
                <w:sz w:val="22"/>
                <w:szCs w:val="22"/>
                <w:lang w:val="lt-LT"/>
              </w:rPr>
              <w:t xml:space="preserve">2) vadovybės sąžiningumas, </w:t>
            </w:r>
            <w:r w:rsidR="006E1E92" w:rsidRPr="004A6595">
              <w:rPr>
                <w:sz w:val="22"/>
                <w:szCs w:val="22"/>
                <w:lang w:val="lt-LT"/>
              </w:rPr>
              <w:t>3</w:t>
            </w:r>
            <w:r w:rsidR="002562C1" w:rsidRPr="004A6595">
              <w:rPr>
                <w:sz w:val="22"/>
                <w:szCs w:val="22"/>
                <w:lang w:val="lt-LT"/>
              </w:rPr>
              <w:t xml:space="preserve">) ankstesnių auditų rezultatai, </w:t>
            </w:r>
            <w:r w:rsidR="006E1E92" w:rsidRPr="004A6595">
              <w:rPr>
                <w:sz w:val="22"/>
                <w:szCs w:val="22"/>
                <w:lang w:val="lt-LT"/>
              </w:rPr>
              <w:t>4</w:t>
            </w:r>
            <w:r w:rsidRPr="004A6595">
              <w:rPr>
                <w:sz w:val="22"/>
                <w:szCs w:val="22"/>
                <w:lang w:val="lt-LT"/>
              </w:rPr>
              <w:t xml:space="preserve">) </w:t>
            </w:r>
            <w:r w:rsidR="002562C1" w:rsidRPr="004A6595">
              <w:rPr>
                <w:sz w:val="22"/>
                <w:szCs w:val="22"/>
                <w:lang w:val="lt-LT"/>
              </w:rPr>
              <w:t xml:space="preserve">pirmasis ar pakartotinis auditas, </w:t>
            </w:r>
            <w:r w:rsidR="006E1E92" w:rsidRPr="004A6595">
              <w:rPr>
                <w:sz w:val="22"/>
                <w:szCs w:val="22"/>
                <w:lang w:val="lt-LT"/>
              </w:rPr>
              <w:t>5</w:t>
            </w:r>
            <w:r w:rsidR="002562C1" w:rsidRPr="004A6595">
              <w:rPr>
                <w:sz w:val="22"/>
                <w:szCs w:val="22"/>
                <w:lang w:val="lt-LT"/>
              </w:rPr>
              <w:t xml:space="preserve">) susiję asmenys, </w:t>
            </w:r>
            <w:r w:rsidR="006E1E92" w:rsidRPr="004A6595">
              <w:rPr>
                <w:sz w:val="22"/>
                <w:szCs w:val="22"/>
                <w:lang w:val="lt-LT"/>
              </w:rPr>
              <w:t>6) neįprastos operacijos.</w:t>
            </w:r>
          </w:p>
        </w:tc>
      </w:tr>
      <w:tr w:rsidR="004005E6" w:rsidRPr="004A6595" w:rsidTr="00896736">
        <w:tc>
          <w:tcPr>
            <w:tcW w:w="2376" w:type="dxa"/>
          </w:tcPr>
          <w:p w:rsidR="004005E6" w:rsidRPr="004A6595" w:rsidRDefault="004005E6" w:rsidP="00BE5795">
            <w:pPr>
              <w:jc w:val="both"/>
              <w:rPr>
                <w:sz w:val="22"/>
                <w:szCs w:val="22"/>
                <w:lang w:val="lt-LT"/>
              </w:rPr>
            </w:pPr>
            <w:r w:rsidRPr="004A6595">
              <w:rPr>
                <w:sz w:val="22"/>
                <w:szCs w:val="22"/>
                <w:lang w:val="lt-LT"/>
              </w:rPr>
              <w:t>J. Mackevičius (1999)</w:t>
            </w:r>
          </w:p>
        </w:tc>
        <w:tc>
          <w:tcPr>
            <w:tcW w:w="5954" w:type="dxa"/>
          </w:tcPr>
          <w:p w:rsidR="00896736" w:rsidRPr="004A6595" w:rsidRDefault="004005E6" w:rsidP="005B68FE">
            <w:pPr>
              <w:jc w:val="both"/>
              <w:rPr>
                <w:sz w:val="22"/>
                <w:szCs w:val="22"/>
                <w:lang w:val="lt-LT"/>
              </w:rPr>
            </w:pPr>
            <w:r w:rsidRPr="004A6595">
              <w:rPr>
                <w:sz w:val="22"/>
                <w:szCs w:val="22"/>
                <w:lang w:val="lt-LT"/>
              </w:rPr>
              <w:t>1) vadovybės sąžiningumas, patirtis ir kompetencija, 2) vadovybės pasikeitimai per laikotarpį, 3) išor</w:t>
            </w:r>
            <w:r w:rsidR="008E4A5A">
              <w:rPr>
                <w:sz w:val="22"/>
                <w:szCs w:val="22"/>
                <w:lang w:val="lt-LT"/>
              </w:rPr>
              <w:t>ės</w:t>
            </w:r>
            <w:r w:rsidRPr="004A6595">
              <w:rPr>
                <w:sz w:val="22"/>
                <w:szCs w:val="22"/>
                <w:lang w:val="lt-LT"/>
              </w:rPr>
              <w:t xml:space="preserve"> aplinkybių įtaka ar neįprastas spaudimas vadovybei, 4) ataskaitiniu laikotarpiu patirtos nesėkmės tam tikrose veiklos srityse, 5) įmonės verslo pobūdis, 6) </w:t>
            </w:r>
            <w:r w:rsidR="005B68FE" w:rsidRPr="004A6595">
              <w:rPr>
                <w:sz w:val="22"/>
                <w:szCs w:val="22"/>
                <w:lang w:val="lt-LT"/>
              </w:rPr>
              <w:t xml:space="preserve">ryšiai </w:t>
            </w:r>
            <w:r w:rsidRPr="004A6595">
              <w:rPr>
                <w:sz w:val="22"/>
                <w:szCs w:val="22"/>
                <w:lang w:val="lt-LT"/>
              </w:rPr>
              <w:t>su susijusi</w:t>
            </w:r>
            <w:r w:rsidR="005B68FE">
              <w:rPr>
                <w:sz w:val="22"/>
                <w:szCs w:val="22"/>
                <w:lang w:val="lt-LT"/>
              </w:rPr>
              <w:t>omis</w:t>
            </w:r>
            <w:r w:rsidRPr="004A6595">
              <w:rPr>
                <w:sz w:val="22"/>
                <w:szCs w:val="22"/>
                <w:lang w:val="lt-LT"/>
              </w:rPr>
              <w:t xml:space="preserve"> šali</w:t>
            </w:r>
            <w:r w:rsidR="005B68FE">
              <w:rPr>
                <w:sz w:val="22"/>
                <w:szCs w:val="22"/>
                <w:lang w:val="lt-LT"/>
              </w:rPr>
              <w:t>mis</w:t>
            </w:r>
            <w:r w:rsidR="002E61B2" w:rsidRPr="004A6595">
              <w:rPr>
                <w:sz w:val="22"/>
                <w:szCs w:val="22"/>
                <w:lang w:val="lt-LT"/>
              </w:rPr>
              <w:t xml:space="preserve">, 7) </w:t>
            </w:r>
            <w:r w:rsidR="005B68FE">
              <w:rPr>
                <w:sz w:val="22"/>
                <w:szCs w:val="22"/>
                <w:lang w:val="lt-LT"/>
              </w:rPr>
              <w:t xml:space="preserve">ūkio šakos </w:t>
            </w:r>
            <w:r w:rsidR="002E61B2" w:rsidRPr="004A6595">
              <w:rPr>
                <w:sz w:val="22"/>
                <w:szCs w:val="22"/>
                <w:lang w:val="lt-LT"/>
              </w:rPr>
              <w:t>veiksni</w:t>
            </w:r>
            <w:r w:rsidR="005B68FE">
              <w:rPr>
                <w:sz w:val="22"/>
                <w:szCs w:val="22"/>
                <w:lang w:val="lt-LT"/>
              </w:rPr>
              <w:t>ai</w:t>
            </w:r>
            <w:r w:rsidRPr="004A6595">
              <w:rPr>
                <w:sz w:val="22"/>
                <w:szCs w:val="22"/>
                <w:lang w:val="lt-LT"/>
              </w:rPr>
              <w:t>.</w:t>
            </w:r>
          </w:p>
        </w:tc>
      </w:tr>
      <w:tr w:rsidR="00AC1E25" w:rsidRPr="004A6595" w:rsidTr="00896736">
        <w:tc>
          <w:tcPr>
            <w:tcW w:w="2376" w:type="dxa"/>
          </w:tcPr>
          <w:p w:rsidR="00AC1E25" w:rsidRPr="004A6595" w:rsidRDefault="00AC1E25" w:rsidP="00317BC1">
            <w:pPr>
              <w:rPr>
                <w:sz w:val="22"/>
                <w:szCs w:val="22"/>
                <w:lang w:val="lt-LT"/>
              </w:rPr>
            </w:pPr>
            <w:r w:rsidRPr="004A6595">
              <w:rPr>
                <w:sz w:val="22"/>
                <w:szCs w:val="22"/>
                <w:lang w:val="lt-LT"/>
              </w:rPr>
              <w:lastRenderedPageBreak/>
              <w:t>S. M. B</w:t>
            </w:r>
            <w:r w:rsidR="00862190" w:rsidRPr="004A6595">
              <w:rPr>
                <w:sz w:val="22"/>
                <w:szCs w:val="22"/>
                <w:lang w:val="lt-LT"/>
              </w:rPr>
              <w:t>y</w:t>
            </w:r>
            <w:r w:rsidRPr="004A6595">
              <w:rPr>
                <w:sz w:val="22"/>
                <w:szCs w:val="22"/>
                <w:lang w:val="lt-LT"/>
              </w:rPr>
              <w:t>čkova, A.</w:t>
            </w:r>
            <w:r w:rsidR="00317BC1">
              <w:rPr>
                <w:sz w:val="22"/>
                <w:szCs w:val="22"/>
                <w:lang w:val="lt-LT"/>
              </w:rPr>
              <w:t> </w:t>
            </w:r>
            <w:r w:rsidRPr="004A6595">
              <w:rPr>
                <w:sz w:val="22"/>
                <w:szCs w:val="22"/>
                <w:lang w:val="lt-LT"/>
              </w:rPr>
              <w:t>V.</w:t>
            </w:r>
            <w:r w:rsidR="00317BC1">
              <w:rPr>
                <w:sz w:val="22"/>
                <w:szCs w:val="22"/>
                <w:lang w:val="lt-LT"/>
              </w:rPr>
              <w:t> </w:t>
            </w:r>
            <w:r w:rsidRPr="004A6595">
              <w:rPr>
                <w:sz w:val="22"/>
                <w:szCs w:val="22"/>
                <w:lang w:val="lt-LT"/>
              </w:rPr>
              <w:t>Gazarian (2001)</w:t>
            </w:r>
          </w:p>
        </w:tc>
        <w:tc>
          <w:tcPr>
            <w:tcW w:w="5954" w:type="dxa"/>
          </w:tcPr>
          <w:p w:rsidR="00AC1E25" w:rsidRPr="004A6595" w:rsidRDefault="00166819" w:rsidP="006925D8">
            <w:pPr>
              <w:jc w:val="both"/>
              <w:rPr>
                <w:sz w:val="22"/>
                <w:szCs w:val="22"/>
                <w:lang w:val="lt-LT"/>
              </w:rPr>
            </w:pPr>
            <w:r>
              <w:rPr>
                <w:noProof/>
                <w:sz w:val="22"/>
                <w:szCs w:val="22"/>
                <w:lang w:val="lt-LT" w:eastAsia="zh-TW"/>
              </w:rPr>
              <w:pict>
                <v:shape id="_x0000_s74478" type="#_x0000_t202" style="position:absolute;left:0;text-align:left;margin-left:148.6pt;margin-top:-26.2pt;width:140.95pt;height:21.75pt;z-index:254054400;mso-position-horizontal-relative:text;mso-position-vertical-relative:text;mso-width-relative:margin;mso-height-relative:margin" stroked="f">
                  <v:textbox style="mso-next-textbox:#_x0000_s74478">
                    <w:txbxContent>
                      <w:p w:rsidR="00BE5795" w:rsidRPr="00FC0D40" w:rsidRDefault="00BE5795" w:rsidP="00FC0D40">
                        <w:pPr>
                          <w:jc w:val="right"/>
                          <w:rPr>
                            <w:i/>
                            <w:sz w:val="26"/>
                            <w:szCs w:val="26"/>
                            <w:lang w:val="lt-LT"/>
                          </w:rPr>
                        </w:pPr>
                        <w:r w:rsidRPr="00FC0D40">
                          <w:rPr>
                            <w:i/>
                            <w:sz w:val="26"/>
                            <w:szCs w:val="26"/>
                            <w:lang w:val="lt-LT"/>
                          </w:rPr>
                          <w:t>7 lentelės tęsinys</w:t>
                        </w:r>
                      </w:p>
                    </w:txbxContent>
                  </v:textbox>
                </v:shape>
              </w:pict>
            </w:r>
            <w:r w:rsidR="00AC1E25" w:rsidRPr="004A6595">
              <w:rPr>
                <w:i/>
                <w:sz w:val="22"/>
                <w:szCs w:val="22"/>
                <w:lang w:val="lt-LT"/>
              </w:rPr>
              <w:t xml:space="preserve">Įmonės veiksniai: </w:t>
            </w:r>
            <w:r w:rsidR="00AC1E25" w:rsidRPr="004A6595">
              <w:rPr>
                <w:sz w:val="22"/>
                <w:szCs w:val="22"/>
                <w:lang w:val="lt-LT"/>
              </w:rPr>
              <w:t>vadovavimas gamybai, veiklos vieta (geografiniu požiūriu), verslo organizavimas ir jo mastas, pajamos ir veiklos planai, turtas, finansavimas ir likvidumas, nelaukti nuostoliai.</w:t>
            </w:r>
          </w:p>
        </w:tc>
      </w:tr>
      <w:tr w:rsidR="009645EE" w:rsidRPr="004A6595" w:rsidTr="00896736">
        <w:tc>
          <w:tcPr>
            <w:tcW w:w="2376" w:type="dxa"/>
          </w:tcPr>
          <w:p w:rsidR="009645EE" w:rsidRPr="004A6595" w:rsidRDefault="009645EE" w:rsidP="00FC0D40">
            <w:pPr>
              <w:jc w:val="both"/>
              <w:rPr>
                <w:sz w:val="22"/>
                <w:szCs w:val="22"/>
                <w:lang w:val="lt-LT"/>
              </w:rPr>
            </w:pPr>
            <w:r w:rsidRPr="004A6595">
              <w:rPr>
                <w:sz w:val="22"/>
                <w:szCs w:val="22"/>
                <w:lang w:val="lt-LT"/>
              </w:rPr>
              <w:t>A. Majid, F. A. Gul, J.</w:t>
            </w:r>
            <w:r w:rsidR="00FC0D40">
              <w:rPr>
                <w:sz w:val="22"/>
                <w:szCs w:val="22"/>
                <w:lang w:val="lt-LT"/>
              </w:rPr>
              <w:t> </w:t>
            </w:r>
            <w:r w:rsidRPr="004A6595">
              <w:rPr>
                <w:sz w:val="22"/>
                <w:szCs w:val="22"/>
                <w:lang w:val="lt-LT"/>
              </w:rPr>
              <w:t>S. L. Tsui (2001)</w:t>
            </w:r>
          </w:p>
        </w:tc>
        <w:tc>
          <w:tcPr>
            <w:tcW w:w="5954" w:type="dxa"/>
          </w:tcPr>
          <w:p w:rsidR="009645EE" w:rsidRPr="004A6595" w:rsidRDefault="009645EE" w:rsidP="00546D3E">
            <w:pPr>
              <w:jc w:val="both"/>
              <w:rPr>
                <w:sz w:val="22"/>
                <w:szCs w:val="22"/>
                <w:lang w:val="lt-LT"/>
              </w:rPr>
            </w:pPr>
            <w:r w:rsidRPr="004A6595">
              <w:rPr>
                <w:sz w:val="22"/>
                <w:szCs w:val="22"/>
                <w:lang w:val="lt-LT"/>
              </w:rPr>
              <w:t>Iškraipymai nustatyti ankstesnio audito metu ir veiklos tęstinumo problema.</w:t>
            </w:r>
          </w:p>
        </w:tc>
      </w:tr>
      <w:tr w:rsidR="00C60873" w:rsidRPr="004A6595" w:rsidTr="00896736">
        <w:tc>
          <w:tcPr>
            <w:tcW w:w="2376" w:type="dxa"/>
          </w:tcPr>
          <w:p w:rsidR="00C60873" w:rsidRPr="004A6595" w:rsidRDefault="00317BC1" w:rsidP="00317BC1">
            <w:pPr>
              <w:rPr>
                <w:sz w:val="22"/>
                <w:szCs w:val="22"/>
                <w:lang w:val="lt-LT"/>
              </w:rPr>
            </w:pPr>
            <w:r>
              <w:rPr>
                <w:sz w:val="22"/>
                <w:szCs w:val="22"/>
                <w:lang w:val="lt-LT"/>
              </w:rPr>
              <w:t>E. O‘Donnell,</w:t>
            </w:r>
            <w:r w:rsidR="00C60873" w:rsidRPr="004A6595">
              <w:rPr>
                <w:sz w:val="22"/>
                <w:szCs w:val="22"/>
                <w:lang w:val="lt-LT"/>
              </w:rPr>
              <w:t xml:space="preserve"> J.</w:t>
            </w:r>
            <w:r>
              <w:rPr>
                <w:sz w:val="22"/>
                <w:szCs w:val="22"/>
                <w:lang w:val="lt-LT"/>
              </w:rPr>
              <w:t> </w:t>
            </w:r>
            <w:r w:rsidR="00C60873" w:rsidRPr="004A6595">
              <w:rPr>
                <w:sz w:val="22"/>
                <w:szCs w:val="22"/>
                <w:lang w:val="lt-LT"/>
              </w:rPr>
              <w:t>L.</w:t>
            </w:r>
            <w:r>
              <w:rPr>
                <w:sz w:val="22"/>
                <w:szCs w:val="22"/>
                <w:lang w:val="lt-LT"/>
              </w:rPr>
              <w:t> </w:t>
            </w:r>
            <w:r w:rsidR="00C60873" w:rsidRPr="004A6595">
              <w:rPr>
                <w:sz w:val="22"/>
                <w:szCs w:val="22"/>
                <w:lang w:val="lt-LT"/>
              </w:rPr>
              <w:t>Bierstaker, J.</w:t>
            </w:r>
            <w:r>
              <w:rPr>
                <w:sz w:val="22"/>
                <w:szCs w:val="22"/>
                <w:lang w:val="lt-LT"/>
              </w:rPr>
              <w:t> </w:t>
            </w:r>
            <w:r w:rsidR="00C60873" w:rsidRPr="004A6595">
              <w:rPr>
                <w:sz w:val="22"/>
                <w:szCs w:val="22"/>
                <w:lang w:val="lt-LT"/>
              </w:rPr>
              <w:t>Schultz (2004)</w:t>
            </w:r>
          </w:p>
        </w:tc>
        <w:tc>
          <w:tcPr>
            <w:tcW w:w="5954" w:type="dxa"/>
          </w:tcPr>
          <w:p w:rsidR="00574CBE" w:rsidRDefault="00C60873" w:rsidP="00B41E06">
            <w:pPr>
              <w:jc w:val="both"/>
              <w:rPr>
                <w:sz w:val="22"/>
                <w:szCs w:val="22"/>
                <w:lang w:val="lt-LT"/>
              </w:rPr>
            </w:pPr>
            <w:r w:rsidRPr="004A6595">
              <w:rPr>
                <w:sz w:val="22"/>
                <w:szCs w:val="22"/>
                <w:lang w:val="lt-LT"/>
              </w:rPr>
              <w:t>1)</w:t>
            </w:r>
            <w:r w:rsidR="003B71EF" w:rsidRPr="004A6595">
              <w:rPr>
                <w:sz w:val="22"/>
                <w:szCs w:val="22"/>
                <w:lang w:val="lt-LT"/>
              </w:rPr>
              <w:t xml:space="preserve"> </w:t>
            </w:r>
            <w:r w:rsidRPr="004A6595">
              <w:rPr>
                <w:i/>
                <w:sz w:val="22"/>
                <w:szCs w:val="22"/>
                <w:lang w:val="lt-LT"/>
              </w:rPr>
              <w:t>verslo sąlygo</w:t>
            </w:r>
            <w:r w:rsidR="003B71EF" w:rsidRPr="004A6595">
              <w:rPr>
                <w:i/>
                <w:sz w:val="22"/>
                <w:szCs w:val="22"/>
                <w:lang w:val="lt-LT"/>
              </w:rPr>
              <w:t>s</w:t>
            </w:r>
            <w:r w:rsidRPr="004A6595">
              <w:rPr>
                <w:i/>
                <w:sz w:val="22"/>
                <w:szCs w:val="22"/>
                <w:lang w:val="lt-LT"/>
              </w:rPr>
              <w:t>,</w:t>
            </w:r>
            <w:r w:rsidRPr="004A6595">
              <w:rPr>
                <w:sz w:val="22"/>
                <w:szCs w:val="22"/>
                <w:lang w:val="lt-LT"/>
              </w:rPr>
              <w:t xml:space="preserve"> kelia</w:t>
            </w:r>
            <w:r w:rsidR="003B71EF" w:rsidRPr="004A6595">
              <w:rPr>
                <w:sz w:val="22"/>
                <w:szCs w:val="22"/>
                <w:lang w:val="lt-LT"/>
              </w:rPr>
              <w:t>nčios</w:t>
            </w:r>
            <w:r w:rsidRPr="004A6595">
              <w:rPr>
                <w:sz w:val="22"/>
                <w:szCs w:val="22"/>
                <w:lang w:val="lt-LT"/>
              </w:rPr>
              <w:t xml:space="preserve"> grėsmę procesų veiksmingumu</w:t>
            </w:r>
            <w:r w:rsidR="003B71EF" w:rsidRPr="004A6595">
              <w:rPr>
                <w:sz w:val="22"/>
                <w:szCs w:val="22"/>
                <w:lang w:val="lt-LT"/>
              </w:rPr>
              <w:t>i</w:t>
            </w:r>
            <w:r w:rsidRPr="004A6595">
              <w:rPr>
                <w:sz w:val="22"/>
                <w:szCs w:val="22"/>
                <w:lang w:val="lt-LT"/>
              </w:rPr>
              <w:t xml:space="preserve">; </w:t>
            </w:r>
          </w:p>
          <w:p w:rsidR="00C60873" w:rsidRPr="004A6595" w:rsidRDefault="00C60873" w:rsidP="00B41E06">
            <w:pPr>
              <w:jc w:val="both"/>
              <w:rPr>
                <w:sz w:val="22"/>
                <w:szCs w:val="22"/>
                <w:lang w:val="lt-LT"/>
              </w:rPr>
            </w:pPr>
            <w:r w:rsidRPr="004A6595">
              <w:rPr>
                <w:sz w:val="22"/>
                <w:szCs w:val="22"/>
                <w:lang w:val="lt-LT"/>
              </w:rPr>
              <w:t xml:space="preserve">2) </w:t>
            </w:r>
            <w:r w:rsidRPr="004A6595">
              <w:rPr>
                <w:i/>
                <w:sz w:val="22"/>
                <w:szCs w:val="22"/>
                <w:lang w:val="lt-LT"/>
              </w:rPr>
              <w:t>įmonės lygio sąlyg</w:t>
            </w:r>
            <w:r w:rsidR="003B71EF" w:rsidRPr="004A6595">
              <w:rPr>
                <w:i/>
                <w:sz w:val="22"/>
                <w:szCs w:val="22"/>
                <w:lang w:val="lt-LT"/>
              </w:rPr>
              <w:t>o</w:t>
            </w:r>
            <w:r w:rsidRPr="004A6595">
              <w:rPr>
                <w:i/>
                <w:sz w:val="22"/>
                <w:szCs w:val="22"/>
                <w:lang w:val="lt-LT"/>
              </w:rPr>
              <w:t>s</w:t>
            </w:r>
            <w:r w:rsidRPr="004A6595">
              <w:rPr>
                <w:sz w:val="22"/>
                <w:szCs w:val="22"/>
                <w:lang w:val="lt-LT"/>
              </w:rPr>
              <w:t xml:space="preserve">, </w:t>
            </w:r>
            <w:r w:rsidR="00B41E06" w:rsidRPr="004A6595">
              <w:rPr>
                <w:sz w:val="22"/>
                <w:szCs w:val="22"/>
                <w:lang w:val="lt-LT"/>
              </w:rPr>
              <w:t>lemiančios</w:t>
            </w:r>
            <w:r w:rsidRPr="004A6595">
              <w:rPr>
                <w:sz w:val="22"/>
                <w:szCs w:val="22"/>
                <w:lang w:val="lt-LT"/>
              </w:rPr>
              <w:t xml:space="preserve"> vadovybės neteisingų pareiškimų riziką; 3) </w:t>
            </w:r>
            <w:r w:rsidRPr="004A6595">
              <w:rPr>
                <w:i/>
                <w:sz w:val="22"/>
                <w:szCs w:val="22"/>
                <w:lang w:val="lt-LT"/>
              </w:rPr>
              <w:t>sąskaitos lygio sąlyg</w:t>
            </w:r>
            <w:r w:rsidR="00B41E06" w:rsidRPr="004A6595">
              <w:rPr>
                <w:i/>
                <w:sz w:val="22"/>
                <w:szCs w:val="22"/>
                <w:lang w:val="lt-LT"/>
              </w:rPr>
              <w:t>o</w:t>
            </w:r>
            <w:r w:rsidRPr="004A6595">
              <w:rPr>
                <w:i/>
                <w:sz w:val="22"/>
                <w:szCs w:val="22"/>
                <w:lang w:val="lt-LT"/>
              </w:rPr>
              <w:t>s</w:t>
            </w:r>
            <w:r w:rsidRPr="004A6595">
              <w:rPr>
                <w:sz w:val="22"/>
                <w:szCs w:val="22"/>
                <w:lang w:val="lt-LT"/>
              </w:rPr>
              <w:t>, apimanči</w:t>
            </w:r>
            <w:r w:rsidR="00B41E06" w:rsidRPr="004A6595">
              <w:rPr>
                <w:sz w:val="22"/>
                <w:szCs w:val="22"/>
                <w:lang w:val="lt-LT"/>
              </w:rPr>
              <w:t>o</w:t>
            </w:r>
            <w:r w:rsidRPr="004A6595">
              <w:rPr>
                <w:sz w:val="22"/>
                <w:szCs w:val="22"/>
                <w:lang w:val="lt-LT"/>
              </w:rPr>
              <w:t>s apskaitos būdų svyravimus, kurie ne</w:t>
            </w:r>
            <w:r w:rsidR="00B41E06" w:rsidRPr="004A6595">
              <w:rPr>
                <w:sz w:val="22"/>
                <w:szCs w:val="22"/>
                <w:lang w:val="lt-LT"/>
              </w:rPr>
              <w:t>sutampa</w:t>
            </w:r>
            <w:r w:rsidRPr="004A6595">
              <w:rPr>
                <w:sz w:val="22"/>
                <w:szCs w:val="22"/>
                <w:lang w:val="lt-LT"/>
              </w:rPr>
              <w:t xml:space="preserve"> su kita kliento veiklos informacija.</w:t>
            </w:r>
          </w:p>
        </w:tc>
      </w:tr>
      <w:tr w:rsidR="009645EE" w:rsidRPr="004A6595" w:rsidTr="00896736">
        <w:tc>
          <w:tcPr>
            <w:tcW w:w="2376" w:type="dxa"/>
          </w:tcPr>
          <w:p w:rsidR="009645EE" w:rsidRPr="004A6595" w:rsidRDefault="009645EE" w:rsidP="00FF489F">
            <w:pPr>
              <w:jc w:val="both"/>
              <w:rPr>
                <w:sz w:val="22"/>
                <w:szCs w:val="22"/>
                <w:lang w:val="lt-LT"/>
              </w:rPr>
            </w:pPr>
            <w:r w:rsidRPr="004A6595">
              <w:rPr>
                <w:sz w:val="22"/>
                <w:szCs w:val="22"/>
                <w:lang w:val="lt-LT"/>
              </w:rPr>
              <w:t>B. K. Ghosh (2005)</w:t>
            </w:r>
          </w:p>
        </w:tc>
        <w:tc>
          <w:tcPr>
            <w:tcW w:w="5954" w:type="dxa"/>
          </w:tcPr>
          <w:p w:rsidR="009645EE" w:rsidRPr="004A6595" w:rsidRDefault="009645EE" w:rsidP="00FF489F">
            <w:pPr>
              <w:jc w:val="both"/>
              <w:rPr>
                <w:sz w:val="22"/>
                <w:szCs w:val="22"/>
                <w:lang w:val="lt-LT"/>
              </w:rPr>
            </w:pPr>
            <w:r w:rsidRPr="004A6595">
              <w:rPr>
                <w:i/>
                <w:sz w:val="22"/>
                <w:szCs w:val="22"/>
                <w:lang w:val="lt-LT"/>
              </w:rPr>
              <w:t>Įgimtos rizikos veiksniai</w:t>
            </w:r>
            <w:r w:rsidRPr="004A6595">
              <w:rPr>
                <w:sz w:val="22"/>
                <w:szCs w:val="22"/>
                <w:lang w:val="lt-LT"/>
              </w:rPr>
              <w:t xml:space="preserve">: vadovybės sąžiningumo trūkumas, vadovybės kompetencijos stoka, neįprasti spaudimai vadovybei, veiksnių, susijusių su įmonės verslo pobūdžiu, buvimas, tam tikrų ūkio šakos veiksnių buvimas, </w:t>
            </w:r>
            <w:r w:rsidR="00161252" w:rsidRPr="004A6595">
              <w:rPr>
                <w:sz w:val="22"/>
                <w:szCs w:val="22"/>
                <w:lang w:val="lt-LT"/>
              </w:rPr>
              <w:t>IT</w:t>
            </w:r>
            <w:r w:rsidRPr="004A6595">
              <w:rPr>
                <w:sz w:val="22"/>
                <w:szCs w:val="22"/>
                <w:lang w:val="lt-LT"/>
              </w:rPr>
              <w:t xml:space="preserve"> taikymas duomenų apdorojimui. </w:t>
            </w:r>
          </w:p>
          <w:p w:rsidR="009645EE" w:rsidRPr="004A6595" w:rsidRDefault="009645EE" w:rsidP="003C7A10">
            <w:pPr>
              <w:jc w:val="both"/>
              <w:rPr>
                <w:sz w:val="22"/>
                <w:szCs w:val="22"/>
                <w:lang w:val="lt-LT"/>
              </w:rPr>
            </w:pPr>
            <w:r w:rsidRPr="004A6595">
              <w:rPr>
                <w:i/>
                <w:sz w:val="22"/>
                <w:szCs w:val="22"/>
                <w:lang w:val="lt-LT"/>
              </w:rPr>
              <w:t>Kontrolės rizikos veiksniai</w:t>
            </w:r>
            <w:r w:rsidRPr="004A6595">
              <w:rPr>
                <w:sz w:val="22"/>
                <w:szCs w:val="22"/>
                <w:lang w:val="lt-LT"/>
              </w:rPr>
              <w:t xml:space="preserve">: vadovybės filosofija ir veiklos pobūdis, nustatyta organizacinė politika, įgaliojimų politika, vidaus audito funkcija, informacinių sistemų politika, žmogiškųjų išteklių politika, nepriklausomo audito komiteto įsteigimas. </w:t>
            </w:r>
          </w:p>
        </w:tc>
      </w:tr>
      <w:tr w:rsidR="00AE0B25" w:rsidRPr="004A6595" w:rsidTr="00896736">
        <w:tc>
          <w:tcPr>
            <w:tcW w:w="2376" w:type="dxa"/>
          </w:tcPr>
          <w:p w:rsidR="00AE0B25" w:rsidRPr="004A6595" w:rsidRDefault="00AE0B25" w:rsidP="00AE0B25">
            <w:pPr>
              <w:jc w:val="both"/>
              <w:rPr>
                <w:b/>
                <w:sz w:val="22"/>
                <w:szCs w:val="22"/>
                <w:lang w:val="lt-LT"/>
              </w:rPr>
            </w:pPr>
            <w:r w:rsidRPr="004A6595">
              <w:rPr>
                <w:sz w:val="22"/>
                <w:szCs w:val="22"/>
                <w:lang w:val="lt-LT"/>
              </w:rPr>
              <w:t>200 TSA (2006)</w:t>
            </w:r>
          </w:p>
        </w:tc>
        <w:tc>
          <w:tcPr>
            <w:tcW w:w="5954" w:type="dxa"/>
          </w:tcPr>
          <w:p w:rsidR="00AE0B25" w:rsidRPr="004A6595" w:rsidRDefault="00AE0B25" w:rsidP="00801A07">
            <w:pPr>
              <w:jc w:val="both"/>
              <w:rPr>
                <w:b/>
                <w:sz w:val="22"/>
                <w:szCs w:val="22"/>
                <w:lang w:val="lt-LT"/>
              </w:rPr>
            </w:pPr>
            <w:r w:rsidRPr="004A6595">
              <w:rPr>
                <w:sz w:val="22"/>
                <w:szCs w:val="22"/>
                <w:lang w:val="lt-LT"/>
              </w:rPr>
              <w:t>1) prasta įmonės kontrolės aplinka, 2) apgaulės vykdymas.</w:t>
            </w:r>
          </w:p>
        </w:tc>
      </w:tr>
      <w:tr w:rsidR="00AE0B25" w:rsidRPr="004A6595" w:rsidTr="00896736">
        <w:tc>
          <w:tcPr>
            <w:tcW w:w="2376" w:type="dxa"/>
          </w:tcPr>
          <w:p w:rsidR="00AE0B25" w:rsidRPr="004A6595" w:rsidRDefault="00AE0B25" w:rsidP="00317BC1">
            <w:pPr>
              <w:rPr>
                <w:sz w:val="22"/>
                <w:szCs w:val="22"/>
                <w:lang w:val="lt-LT"/>
              </w:rPr>
            </w:pPr>
            <w:r w:rsidRPr="004A6595">
              <w:rPr>
                <w:sz w:val="22"/>
                <w:szCs w:val="22"/>
                <w:lang w:val="lt-LT"/>
              </w:rPr>
              <w:t>H. Fukukawa, T.</w:t>
            </w:r>
            <w:r w:rsidR="00317BC1">
              <w:rPr>
                <w:sz w:val="22"/>
                <w:szCs w:val="22"/>
                <w:lang w:val="lt-LT"/>
              </w:rPr>
              <w:t> </w:t>
            </w:r>
            <w:r w:rsidRPr="004A6595">
              <w:rPr>
                <w:sz w:val="22"/>
                <w:szCs w:val="22"/>
                <w:lang w:val="lt-LT"/>
              </w:rPr>
              <w:t>J.</w:t>
            </w:r>
            <w:r w:rsidR="00317BC1">
              <w:rPr>
                <w:sz w:val="22"/>
                <w:szCs w:val="22"/>
                <w:lang w:val="lt-LT"/>
              </w:rPr>
              <w:t> </w:t>
            </w:r>
            <w:r w:rsidRPr="004A6595">
              <w:rPr>
                <w:sz w:val="22"/>
                <w:szCs w:val="22"/>
                <w:lang w:val="lt-LT"/>
              </w:rPr>
              <w:t>Mock, A.</w:t>
            </w:r>
            <w:r w:rsidR="00317BC1">
              <w:rPr>
                <w:sz w:val="22"/>
                <w:szCs w:val="22"/>
                <w:lang w:val="lt-LT"/>
              </w:rPr>
              <w:t> </w:t>
            </w:r>
            <w:r w:rsidRPr="004A6595">
              <w:rPr>
                <w:sz w:val="22"/>
                <w:szCs w:val="22"/>
                <w:lang w:val="lt-LT"/>
              </w:rPr>
              <w:t>Wright (2006)</w:t>
            </w:r>
          </w:p>
        </w:tc>
        <w:tc>
          <w:tcPr>
            <w:tcW w:w="5954" w:type="dxa"/>
          </w:tcPr>
          <w:p w:rsidR="00AE0B25" w:rsidRPr="004A6595" w:rsidRDefault="00AE0B25" w:rsidP="00FF489F">
            <w:pPr>
              <w:jc w:val="both"/>
              <w:rPr>
                <w:sz w:val="22"/>
                <w:szCs w:val="22"/>
                <w:lang w:val="lt-LT"/>
              </w:rPr>
            </w:pPr>
            <w:r w:rsidRPr="004A6595">
              <w:rPr>
                <w:i/>
                <w:sz w:val="22"/>
                <w:szCs w:val="22"/>
                <w:lang w:val="lt-LT"/>
              </w:rPr>
              <w:t>Įmonės rizikos veiksniai</w:t>
            </w:r>
            <w:r w:rsidRPr="004A6595">
              <w:rPr>
                <w:sz w:val="22"/>
                <w:szCs w:val="22"/>
                <w:lang w:val="lt-LT"/>
              </w:rPr>
              <w:t>: likvidumas, pelningumas, veiklos pinigų srautai, ūkio šakos augimas/nuosmukis, konkurencijos lygis, technologinių inovacijų laipsnis;</w:t>
            </w:r>
          </w:p>
          <w:p w:rsidR="00AE0B25" w:rsidRPr="004A6595" w:rsidRDefault="00AE0B25" w:rsidP="00FF489F">
            <w:pPr>
              <w:jc w:val="both"/>
              <w:rPr>
                <w:sz w:val="22"/>
                <w:szCs w:val="22"/>
                <w:lang w:val="lt-LT"/>
              </w:rPr>
            </w:pPr>
            <w:r w:rsidRPr="004A6595">
              <w:rPr>
                <w:i/>
                <w:sz w:val="22"/>
                <w:szCs w:val="22"/>
                <w:lang w:val="lt-LT"/>
              </w:rPr>
              <w:t>Apgaulės rizikos veiksniai:</w:t>
            </w:r>
            <w:r w:rsidRPr="004A6595">
              <w:rPr>
                <w:sz w:val="22"/>
                <w:szCs w:val="22"/>
                <w:lang w:val="lt-LT"/>
              </w:rPr>
              <w:t xml:space="preserve"> bendrosios kontrolės, vidaus auditorių efektyvumas, vadovybės atlyginimo politika, prognozių taikymas, kontrolės stebėsenos tinkamumas, etikos standartų taikymas;</w:t>
            </w:r>
          </w:p>
          <w:p w:rsidR="00AE0B25" w:rsidRPr="004A6595" w:rsidRDefault="00AE0B25" w:rsidP="006925D8">
            <w:pPr>
              <w:jc w:val="both"/>
              <w:rPr>
                <w:sz w:val="22"/>
                <w:szCs w:val="22"/>
                <w:lang w:val="lt-LT"/>
              </w:rPr>
            </w:pPr>
            <w:r w:rsidRPr="004A6595">
              <w:rPr>
                <w:i/>
                <w:sz w:val="22"/>
                <w:szCs w:val="22"/>
                <w:lang w:val="lt-LT"/>
              </w:rPr>
              <w:t>Kitos rizikos veiksniai</w:t>
            </w:r>
            <w:r w:rsidRPr="004A6595">
              <w:rPr>
                <w:sz w:val="22"/>
                <w:szCs w:val="22"/>
                <w:lang w:val="lt-LT"/>
              </w:rPr>
              <w:t>: apskaitos personalo žinios ir požiūris, informacinių sistemų pokyčiai, vadovybės agresyvumas, vadovybės kaita, įmonės</w:t>
            </w:r>
            <w:r w:rsidR="006925D8" w:rsidRPr="004A6595">
              <w:rPr>
                <w:sz w:val="22"/>
                <w:szCs w:val="22"/>
                <w:lang w:val="lt-LT"/>
              </w:rPr>
              <w:t xml:space="preserve"> </w:t>
            </w:r>
            <w:r w:rsidRPr="004A6595">
              <w:rPr>
                <w:sz w:val="22"/>
                <w:szCs w:val="22"/>
                <w:lang w:val="lt-LT"/>
              </w:rPr>
              <w:t xml:space="preserve">reputacija. </w:t>
            </w:r>
          </w:p>
        </w:tc>
      </w:tr>
      <w:tr w:rsidR="00AE0B25" w:rsidRPr="004A6595" w:rsidTr="00896736">
        <w:tc>
          <w:tcPr>
            <w:tcW w:w="2376" w:type="dxa"/>
          </w:tcPr>
          <w:p w:rsidR="00AE0B25" w:rsidRPr="004A6595" w:rsidRDefault="00AE0B25" w:rsidP="00317BC1">
            <w:pPr>
              <w:rPr>
                <w:sz w:val="22"/>
                <w:szCs w:val="22"/>
                <w:lang w:val="lt-LT"/>
              </w:rPr>
            </w:pPr>
            <w:r w:rsidRPr="004A6595">
              <w:rPr>
                <w:sz w:val="22"/>
                <w:szCs w:val="22"/>
                <w:lang w:val="lt-LT"/>
              </w:rPr>
              <w:t>R. Whittington, K.</w:t>
            </w:r>
            <w:r w:rsidR="00317BC1">
              <w:rPr>
                <w:sz w:val="22"/>
                <w:szCs w:val="22"/>
                <w:lang w:val="lt-LT"/>
              </w:rPr>
              <w:t> </w:t>
            </w:r>
            <w:r w:rsidRPr="004A6595">
              <w:rPr>
                <w:sz w:val="22"/>
                <w:szCs w:val="22"/>
                <w:lang w:val="lt-LT"/>
              </w:rPr>
              <w:t>Pany (2006)</w:t>
            </w:r>
          </w:p>
        </w:tc>
        <w:tc>
          <w:tcPr>
            <w:tcW w:w="5954" w:type="dxa"/>
          </w:tcPr>
          <w:p w:rsidR="00FC0D40" w:rsidRPr="004A6595" w:rsidRDefault="00AE0B25" w:rsidP="00FC0D40">
            <w:pPr>
              <w:jc w:val="both"/>
              <w:rPr>
                <w:sz w:val="22"/>
                <w:szCs w:val="22"/>
                <w:lang w:val="lt-LT"/>
              </w:rPr>
            </w:pPr>
            <w:r w:rsidRPr="004A6595">
              <w:rPr>
                <w:i/>
                <w:sz w:val="22"/>
                <w:szCs w:val="22"/>
                <w:lang w:val="lt-LT"/>
              </w:rPr>
              <w:t>Įmonės ir jos ūkio šakos verslo charakteristikos</w:t>
            </w:r>
            <w:r w:rsidRPr="004A6595">
              <w:rPr>
                <w:sz w:val="22"/>
                <w:szCs w:val="22"/>
                <w:lang w:val="lt-LT"/>
              </w:rPr>
              <w:t>: nevienodas pelningumas lyginant su kitomis panašiomis ūkio šakos įmonėmis, veiklos rezultatai, kurie nepaprastai priklauso nuo ekonominių veiksnių, veiklos tęstinumo problema, dideli žinomi ir tikėtini iškraipymai nustatyti ankstesnių auditų metu, vadovybės dažni pasikeitimai, abejotina reputacija ar nepakankami gebėjimai apskaitos srityje.</w:t>
            </w:r>
          </w:p>
        </w:tc>
      </w:tr>
      <w:tr w:rsidR="00AE0B25" w:rsidRPr="004A6595" w:rsidTr="00896736">
        <w:tc>
          <w:tcPr>
            <w:tcW w:w="2376" w:type="dxa"/>
          </w:tcPr>
          <w:p w:rsidR="00AE0B25" w:rsidRPr="004A6595" w:rsidRDefault="00AE0B25" w:rsidP="00506197">
            <w:pPr>
              <w:jc w:val="both"/>
              <w:rPr>
                <w:sz w:val="22"/>
                <w:szCs w:val="22"/>
                <w:lang w:val="lt-LT"/>
              </w:rPr>
            </w:pPr>
            <w:r w:rsidRPr="004A6595">
              <w:rPr>
                <w:sz w:val="22"/>
                <w:szCs w:val="22"/>
                <w:lang w:val="lt-LT"/>
              </w:rPr>
              <w:t>G. Georgiades (2006)</w:t>
            </w:r>
          </w:p>
        </w:tc>
        <w:tc>
          <w:tcPr>
            <w:tcW w:w="5954" w:type="dxa"/>
          </w:tcPr>
          <w:p w:rsidR="00AE0B25" w:rsidRPr="004A6595" w:rsidRDefault="00AE0B25" w:rsidP="006925D8">
            <w:pPr>
              <w:jc w:val="both"/>
              <w:rPr>
                <w:sz w:val="22"/>
                <w:szCs w:val="22"/>
                <w:lang w:val="lt-LT"/>
              </w:rPr>
            </w:pPr>
            <w:r w:rsidRPr="004A6595">
              <w:rPr>
                <w:i/>
                <w:sz w:val="22"/>
                <w:szCs w:val="22"/>
                <w:lang w:val="lt-LT"/>
              </w:rPr>
              <w:t xml:space="preserve">Įmonės ir verslo aplinka: </w:t>
            </w:r>
            <w:r w:rsidRPr="004A6595">
              <w:rPr>
                <w:sz w:val="22"/>
                <w:szCs w:val="22"/>
                <w:lang w:val="lt-LT"/>
              </w:rPr>
              <w:t>1) padidėjęs įmonės pagrindinių funkcijų įsigijimas; 2) didėjantis kapitalas per akcijų ir kredito rinkas; 3) agresyvios prielaidos pensijų planų apskaitoje ir nepakankamai finansuojami pensijų planai; 4) jungimų ir veiklos įsigijimų daugė</w:t>
            </w:r>
            <w:r w:rsidR="005B68FE">
              <w:rPr>
                <w:sz w:val="22"/>
                <w:szCs w:val="22"/>
                <w:lang w:val="lt-LT"/>
              </w:rPr>
              <w:t>jimas; 5) informacinių sistemų į</w:t>
            </w:r>
            <w:r w:rsidRPr="004A6595">
              <w:rPr>
                <w:sz w:val="22"/>
                <w:szCs w:val="22"/>
                <w:lang w:val="lt-LT"/>
              </w:rPr>
              <w:t>takos ir vidaus kontrolė; 6) apgaulės būdu sudarytos finansinės ataskaitos, neteisėtas turto pasisavinimas ir vadovybės pasipelnymas; 7) kiti dalykai, kurie gali egzistuoti sudėtingose ekonomikos ir verslo sąlygose.</w:t>
            </w:r>
          </w:p>
        </w:tc>
      </w:tr>
      <w:tr w:rsidR="00AE0B25" w:rsidRPr="004A6595" w:rsidTr="00896736">
        <w:tc>
          <w:tcPr>
            <w:tcW w:w="2376" w:type="dxa"/>
          </w:tcPr>
          <w:p w:rsidR="00AE0B25" w:rsidRPr="004A6595" w:rsidRDefault="00AE0B25" w:rsidP="00E53632">
            <w:pPr>
              <w:jc w:val="both"/>
              <w:rPr>
                <w:sz w:val="22"/>
                <w:szCs w:val="22"/>
                <w:lang w:val="lt-LT"/>
              </w:rPr>
            </w:pPr>
            <w:r w:rsidRPr="004A6595">
              <w:rPr>
                <w:sz w:val="22"/>
                <w:szCs w:val="22"/>
                <w:lang w:val="lt-LT"/>
              </w:rPr>
              <w:t>AICPA (2006)</w:t>
            </w:r>
          </w:p>
        </w:tc>
        <w:tc>
          <w:tcPr>
            <w:tcW w:w="5954" w:type="dxa"/>
          </w:tcPr>
          <w:p w:rsidR="00AE0B25" w:rsidRPr="004A6595" w:rsidRDefault="00AE0B25" w:rsidP="00B7691E">
            <w:pPr>
              <w:jc w:val="both"/>
              <w:rPr>
                <w:i/>
                <w:sz w:val="22"/>
                <w:szCs w:val="22"/>
                <w:lang w:val="lt-LT"/>
              </w:rPr>
            </w:pPr>
            <w:r w:rsidRPr="004A6595">
              <w:rPr>
                <w:sz w:val="22"/>
                <w:szCs w:val="22"/>
                <w:lang w:val="lt-LT"/>
              </w:rPr>
              <w:t>trūkumai susiję su 1) procesu taikomu sudarant finansines ataskaitas dėl svarbių apskaitinių įver</w:t>
            </w:r>
            <w:r w:rsidR="00B7691E" w:rsidRPr="004A6595">
              <w:rPr>
                <w:sz w:val="22"/>
                <w:szCs w:val="22"/>
                <w:lang w:val="lt-LT"/>
              </w:rPr>
              <w:t>čių</w:t>
            </w:r>
            <w:r w:rsidRPr="004A6595">
              <w:rPr>
                <w:sz w:val="22"/>
                <w:szCs w:val="22"/>
                <w:lang w:val="lt-LT"/>
              </w:rPr>
              <w:t xml:space="preserve"> nustatymo ir finansinių ataskaitų pastabų parengimo, 2) svarbios apskaitos politikos parinkimu ir taikymu, 3) IT bendrosiomis kontrolėmis.</w:t>
            </w:r>
          </w:p>
        </w:tc>
      </w:tr>
    </w:tbl>
    <w:p w:rsidR="00703847" w:rsidRPr="00FE380C" w:rsidRDefault="009645EE" w:rsidP="009645EE">
      <w:pPr>
        <w:spacing w:line="360" w:lineRule="auto"/>
        <w:jc w:val="both"/>
        <w:rPr>
          <w:lang w:val="lt-LT"/>
        </w:rPr>
      </w:pPr>
      <w:r w:rsidRPr="00FE380C">
        <w:rPr>
          <w:lang w:val="lt-LT"/>
        </w:rPr>
        <w:t>Šaltinis: sudaryta autorės.</w:t>
      </w:r>
    </w:p>
    <w:p w:rsidR="00FC0D40" w:rsidRPr="004A6595" w:rsidRDefault="00FC0D40" w:rsidP="00FC0D40">
      <w:pPr>
        <w:spacing w:line="360" w:lineRule="auto"/>
        <w:ind w:firstLine="720"/>
        <w:jc w:val="both"/>
        <w:rPr>
          <w:sz w:val="26"/>
          <w:szCs w:val="26"/>
          <w:lang w:val="lt-LT"/>
        </w:rPr>
      </w:pPr>
      <w:r w:rsidRPr="004A6595">
        <w:rPr>
          <w:sz w:val="26"/>
          <w:szCs w:val="26"/>
          <w:lang w:val="lt-LT"/>
        </w:rPr>
        <w:lastRenderedPageBreak/>
        <w:t>Kaip matyti iš 7 lentelės, vieni autoriai (Ghosh, 2005; Fukukawa, Mock, Wright, 2006), siūlo reikšmingo iškraipymo riziką finansinių ataskaitų lygmeniu lemiančius veiksnius skirstyti į įgimtos rizikos ir kontrolės rizikos veiksnius arba į įmonės rizikos, apgaulės rizikos ir kitos rizikos veiksnius, o kiti autoriai jų klasifikacijos nepateikia, o tik juos išvardina arba nurodo, kad juos lemia įmonės charakteristikos ir verslo aplinka. Pavyzdžiui, H. J. Chen, Sh. Y. Huang, K. Shih (2006) nuo</w:t>
      </w:r>
      <w:r w:rsidRPr="004A6595">
        <w:rPr>
          <w:color w:val="000000" w:themeColor="text1"/>
          <w:sz w:val="26"/>
          <w:szCs w:val="26"/>
          <w:lang w:val="lt-LT"/>
        </w:rPr>
        <w:t>mone, kuo didesnis klientas, tuo tikėtina didesnė reikšmingų iškraipymų tikimybė finansinėse ataskaitose, o R.</w:t>
      </w:r>
      <w:r>
        <w:rPr>
          <w:color w:val="000000" w:themeColor="text1"/>
          <w:sz w:val="26"/>
          <w:szCs w:val="26"/>
          <w:lang w:val="lt-LT"/>
        </w:rPr>
        <w:t> </w:t>
      </w:r>
      <w:r w:rsidRPr="004A6595">
        <w:rPr>
          <w:color w:val="000000" w:themeColor="text1"/>
          <w:sz w:val="26"/>
          <w:szCs w:val="26"/>
          <w:lang w:val="lt-LT"/>
        </w:rPr>
        <w:t>P.</w:t>
      </w:r>
      <w:r>
        <w:rPr>
          <w:color w:val="000000" w:themeColor="text1"/>
          <w:sz w:val="26"/>
          <w:szCs w:val="26"/>
          <w:lang w:val="lt-LT"/>
        </w:rPr>
        <w:t> </w:t>
      </w:r>
      <w:r w:rsidRPr="004A6595">
        <w:rPr>
          <w:color w:val="000000" w:themeColor="text1"/>
          <w:sz w:val="26"/>
          <w:szCs w:val="26"/>
          <w:lang w:val="lt-LT"/>
        </w:rPr>
        <w:t>Srivastava, G. R. Shafer (1992) akcentuoja, kad informacija apie vadovybės kompetenciją ir sąžiningumą turi didžiausią įtaką finansinėms ataskaitoms.</w:t>
      </w:r>
    </w:p>
    <w:p w:rsidR="001C5407" w:rsidRPr="00317BC1" w:rsidRDefault="006A63C6" w:rsidP="008C615B">
      <w:pPr>
        <w:spacing w:before="120" w:line="360" w:lineRule="auto"/>
        <w:ind w:firstLine="720"/>
        <w:jc w:val="both"/>
        <w:rPr>
          <w:sz w:val="26"/>
          <w:szCs w:val="26"/>
          <w:lang w:val="lt-LT"/>
        </w:rPr>
      </w:pPr>
      <w:r w:rsidRPr="00317BC1">
        <w:rPr>
          <w:color w:val="000000" w:themeColor="text1"/>
          <w:sz w:val="26"/>
          <w:szCs w:val="26"/>
          <w:lang w:val="lt-LT"/>
        </w:rPr>
        <w:t>Darbo a</w:t>
      </w:r>
      <w:r w:rsidR="003769B9" w:rsidRPr="00317BC1">
        <w:rPr>
          <w:color w:val="000000" w:themeColor="text1"/>
          <w:sz w:val="26"/>
          <w:szCs w:val="26"/>
          <w:lang w:val="lt-LT"/>
        </w:rPr>
        <w:t>utorė</w:t>
      </w:r>
      <w:r w:rsidR="002D2F54" w:rsidRPr="00317BC1">
        <w:rPr>
          <w:color w:val="000000" w:themeColor="text1"/>
          <w:sz w:val="26"/>
          <w:szCs w:val="26"/>
          <w:lang w:val="lt-LT"/>
        </w:rPr>
        <w:t>s nuomone,</w:t>
      </w:r>
      <w:r w:rsidR="003769B9" w:rsidRPr="00317BC1">
        <w:rPr>
          <w:color w:val="000000" w:themeColor="text1"/>
          <w:sz w:val="26"/>
          <w:szCs w:val="26"/>
          <w:lang w:val="lt-LT"/>
        </w:rPr>
        <w:t xml:space="preserve"> reikšmingo iškraipymo rizik</w:t>
      </w:r>
      <w:r w:rsidR="002B31E2" w:rsidRPr="00317BC1">
        <w:rPr>
          <w:color w:val="000000" w:themeColor="text1"/>
          <w:sz w:val="26"/>
          <w:szCs w:val="26"/>
          <w:lang w:val="lt-LT"/>
        </w:rPr>
        <w:t xml:space="preserve">os </w:t>
      </w:r>
      <w:r w:rsidR="00590516" w:rsidRPr="00317BC1">
        <w:rPr>
          <w:sz w:val="26"/>
          <w:szCs w:val="26"/>
          <w:lang w:val="lt-LT"/>
        </w:rPr>
        <w:t>pasireiškimą</w:t>
      </w:r>
      <w:r w:rsidR="00590516" w:rsidRPr="00317BC1">
        <w:rPr>
          <w:color w:val="000000" w:themeColor="text1"/>
          <w:sz w:val="26"/>
          <w:szCs w:val="26"/>
          <w:lang w:val="lt-LT"/>
        </w:rPr>
        <w:t xml:space="preserve"> </w:t>
      </w:r>
      <w:r w:rsidR="003769B9" w:rsidRPr="00317BC1">
        <w:rPr>
          <w:color w:val="000000" w:themeColor="text1"/>
          <w:sz w:val="26"/>
          <w:szCs w:val="26"/>
          <w:lang w:val="lt-LT"/>
        </w:rPr>
        <w:t xml:space="preserve">finansinių ataskaitų </w:t>
      </w:r>
      <w:r w:rsidR="003769B9" w:rsidRPr="00317BC1">
        <w:rPr>
          <w:sz w:val="26"/>
          <w:szCs w:val="26"/>
          <w:lang w:val="lt-LT"/>
        </w:rPr>
        <w:t xml:space="preserve">lygmeniu </w:t>
      </w:r>
      <w:r w:rsidR="00922464" w:rsidRPr="00317BC1">
        <w:rPr>
          <w:sz w:val="26"/>
          <w:szCs w:val="26"/>
          <w:lang w:val="lt-LT"/>
        </w:rPr>
        <w:t>lemianč</w:t>
      </w:r>
      <w:r w:rsidR="00922464" w:rsidRPr="00317BC1">
        <w:rPr>
          <w:color w:val="000000" w:themeColor="text1"/>
          <w:sz w:val="26"/>
          <w:szCs w:val="26"/>
          <w:lang w:val="lt-LT"/>
        </w:rPr>
        <w:t>ius</w:t>
      </w:r>
      <w:r w:rsidR="003769B9" w:rsidRPr="00317BC1">
        <w:rPr>
          <w:color w:val="000000" w:themeColor="text1"/>
          <w:sz w:val="26"/>
          <w:szCs w:val="26"/>
          <w:lang w:val="lt-LT"/>
        </w:rPr>
        <w:t xml:space="preserve"> veiksni</w:t>
      </w:r>
      <w:r w:rsidR="00922464" w:rsidRPr="00317BC1">
        <w:rPr>
          <w:color w:val="000000" w:themeColor="text1"/>
          <w:sz w:val="26"/>
          <w:szCs w:val="26"/>
          <w:lang w:val="lt-LT"/>
        </w:rPr>
        <w:t>us</w:t>
      </w:r>
      <w:r w:rsidR="003769B9" w:rsidRPr="00317BC1">
        <w:rPr>
          <w:color w:val="000000" w:themeColor="text1"/>
          <w:sz w:val="26"/>
          <w:szCs w:val="26"/>
          <w:lang w:val="lt-LT"/>
        </w:rPr>
        <w:t>/sąlyg</w:t>
      </w:r>
      <w:r w:rsidR="00922464" w:rsidRPr="00317BC1">
        <w:rPr>
          <w:color w:val="000000" w:themeColor="text1"/>
          <w:sz w:val="26"/>
          <w:szCs w:val="26"/>
          <w:lang w:val="lt-LT"/>
        </w:rPr>
        <w:t xml:space="preserve">as </w:t>
      </w:r>
      <w:r w:rsidR="0092502F" w:rsidRPr="00317BC1">
        <w:rPr>
          <w:i/>
          <w:color w:val="000000" w:themeColor="text1"/>
          <w:sz w:val="26"/>
          <w:szCs w:val="26"/>
          <w:lang w:val="lt-LT"/>
        </w:rPr>
        <w:t xml:space="preserve">pirmiausia </w:t>
      </w:r>
      <w:r w:rsidR="002D2F54" w:rsidRPr="00317BC1">
        <w:rPr>
          <w:i/>
          <w:color w:val="000000" w:themeColor="text1"/>
          <w:sz w:val="26"/>
          <w:szCs w:val="26"/>
          <w:lang w:val="lt-LT"/>
        </w:rPr>
        <w:t xml:space="preserve">būtina </w:t>
      </w:r>
      <w:r w:rsidR="00922464" w:rsidRPr="00317BC1">
        <w:rPr>
          <w:i/>
          <w:color w:val="000000" w:themeColor="text1"/>
          <w:sz w:val="26"/>
          <w:szCs w:val="26"/>
          <w:lang w:val="lt-LT"/>
        </w:rPr>
        <w:t>sukla</w:t>
      </w:r>
      <w:r w:rsidR="003769B9" w:rsidRPr="00317BC1">
        <w:rPr>
          <w:i/>
          <w:color w:val="000000" w:themeColor="text1"/>
          <w:sz w:val="26"/>
          <w:szCs w:val="26"/>
          <w:lang w:val="lt-LT"/>
        </w:rPr>
        <w:t>sifik</w:t>
      </w:r>
      <w:r w:rsidR="00922464" w:rsidRPr="00317BC1">
        <w:rPr>
          <w:i/>
          <w:color w:val="000000" w:themeColor="text1"/>
          <w:sz w:val="26"/>
          <w:szCs w:val="26"/>
          <w:lang w:val="lt-LT"/>
        </w:rPr>
        <w:t>uoti</w:t>
      </w:r>
      <w:r w:rsidR="00590516" w:rsidRPr="00317BC1">
        <w:rPr>
          <w:i/>
          <w:color w:val="000000" w:themeColor="text1"/>
          <w:sz w:val="26"/>
          <w:szCs w:val="26"/>
          <w:lang w:val="lt-LT"/>
        </w:rPr>
        <w:t xml:space="preserve"> į </w:t>
      </w:r>
      <w:r w:rsidR="00D5204C" w:rsidRPr="00317BC1">
        <w:rPr>
          <w:i/>
          <w:sz w:val="26"/>
          <w:szCs w:val="26"/>
          <w:lang w:val="lt-LT"/>
        </w:rPr>
        <w:t>įmonės išorės</w:t>
      </w:r>
      <w:r w:rsidR="00590516" w:rsidRPr="00317BC1">
        <w:rPr>
          <w:i/>
          <w:sz w:val="26"/>
          <w:szCs w:val="26"/>
          <w:lang w:val="lt-LT"/>
        </w:rPr>
        <w:t xml:space="preserve"> ir </w:t>
      </w:r>
      <w:r w:rsidR="00D5204C" w:rsidRPr="00317BC1">
        <w:rPr>
          <w:i/>
          <w:sz w:val="26"/>
          <w:szCs w:val="26"/>
          <w:lang w:val="lt-LT"/>
        </w:rPr>
        <w:t>vid</w:t>
      </w:r>
      <w:r w:rsidR="008E4A5A">
        <w:rPr>
          <w:i/>
          <w:sz w:val="26"/>
          <w:szCs w:val="26"/>
          <w:lang w:val="lt-LT"/>
        </w:rPr>
        <w:t>au</w:t>
      </w:r>
      <w:r w:rsidR="00D5204C" w:rsidRPr="00317BC1">
        <w:rPr>
          <w:i/>
          <w:sz w:val="26"/>
          <w:szCs w:val="26"/>
          <w:lang w:val="lt-LT"/>
        </w:rPr>
        <w:t>s aplinkos sąlyg</w:t>
      </w:r>
      <w:r w:rsidR="00590516" w:rsidRPr="00317BC1">
        <w:rPr>
          <w:i/>
          <w:sz w:val="26"/>
          <w:szCs w:val="26"/>
          <w:lang w:val="lt-LT"/>
        </w:rPr>
        <w:t>a</w:t>
      </w:r>
      <w:r w:rsidR="00D5204C" w:rsidRPr="00317BC1">
        <w:rPr>
          <w:i/>
          <w:sz w:val="26"/>
          <w:szCs w:val="26"/>
          <w:lang w:val="lt-LT"/>
        </w:rPr>
        <w:t>s</w:t>
      </w:r>
      <w:r w:rsidR="00D262BE" w:rsidRPr="00317BC1">
        <w:rPr>
          <w:i/>
          <w:sz w:val="26"/>
          <w:szCs w:val="26"/>
          <w:lang w:val="lt-LT"/>
        </w:rPr>
        <w:t xml:space="preserve"> </w:t>
      </w:r>
      <w:r w:rsidR="00D262BE" w:rsidRPr="00317BC1">
        <w:rPr>
          <w:sz w:val="26"/>
          <w:szCs w:val="26"/>
          <w:lang w:val="lt-LT"/>
        </w:rPr>
        <w:t xml:space="preserve">(žr. </w:t>
      </w:r>
      <w:r w:rsidR="009A700C" w:rsidRPr="00317BC1">
        <w:rPr>
          <w:sz w:val="26"/>
          <w:szCs w:val="26"/>
          <w:lang w:val="lt-LT"/>
        </w:rPr>
        <w:t>3</w:t>
      </w:r>
      <w:r w:rsidR="00CD3D15" w:rsidRPr="00317BC1">
        <w:rPr>
          <w:sz w:val="26"/>
          <w:szCs w:val="26"/>
          <w:lang w:val="lt-LT"/>
        </w:rPr>
        <w:t xml:space="preserve"> priedas</w:t>
      </w:r>
      <w:r w:rsidR="00D262BE" w:rsidRPr="00317BC1">
        <w:rPr>
          <w:sz w:val="26"/>
          <w:szCs w:val="26"/>
          <w:lang w:val="lt-LT"/>
        </w:rPr>
        <w:t>)</w:t>
      </w:r>
      <w:r w:rsidR="00D5204C" w:rsidRPr="00317BC1">
        <w:rPr>
          <w:sz w:val="26"/>
          <w:szCs w:val="26"/>
          <w:lang w:val="lt-LT"/>
        </w:rPr>
        <w:t xml:space="preserve">. </w:t>
      </w:r>
      <w:r w:rsidR="005D27F8" w:rsidRPr="00317BC1">
        <w:rPr>
          <w:sz w:val="26"/>
          <w:szCs w:val="26"/>
          <w:lang w:val="lt-LT"/>
        </w:rPr>
        <w:t xml:space="preserve">Išorės aplinkos negalima paveikti, ji egzistuoja nepriklausomai nuo </w:t>
      </w:r>
      <w:r w:rsidR="00BC4D13" w:rsidRPr="00317BC1">
        <w:rPr>
          <w:sz w:val="26"/>
          <w:szCs w:val="26"/>
          <w:lang w:val="lt-LT"/>
        </w:rPr>
        <w:t xml:space="preserve">audituojamos </w:t>
      </w:r>
      <w:r w:rsidR="005D27F8" w:rsidRPr="00317BC1">
        <w:rPr>
          <w:sz w:val="26"/>
          <w:szCs w:val="26"/>
          <w:lang w:val="lt-LT"/>
        </w:rPr>
        <w:t>įmonės veiklos</w:t>
      </w:r>
      <w:r w:rsidR="00FE33DD" w:rsidRPr="00317BC1">
        <w:rPr>
          <w:sz w:val="26"/>
          <w:szCs w:val="26"/>
          <w:lang w:val="lt-LT"/>
        </w:rPr>
        <w:t>, todėl</w:t>
      </w:r>
      <w:r w:rsidR="003766DE" w:rsidRPr="00317BC1">
        <w:rPr>
          <w:sz w:val="26"/>
          <w:szCs w:val="26"/>
          <w:lang w:val="lt-LT"/>
        </w:rPr>
        <w:t xml:space="preserve"> </w:t>
      </w:r>
      <w:r w:rsidR="005D27F8" w:rsidRPr="00317BC1">
        <w:rPr>
          <w:sz w:val="26"/>
          <w:szCs w:val="26"/>
          <w:lang w:val="lt-LT"/>
        </w:rPr>
        <w:t>jai galima būtų priskirti ekonomines-politines, reguliavimo, konkurencines sąlygas</w:t>
      </w:r>
      <w:r w:rsidR="000B4C06" w:rsidRPr="00317BC1">
        <w:rPr>
          <w:sz w:val="26"/>
          <w:szCs w:val="26"/>
          <w:lang w:val="lt-LT"/>
        </w:rPr>
        <w:t xml:space="preserve">, kurios nulemia </w:t>
      </w:r>
      <w:r w:rsidR="00BC4D13" w:rsidRPr="00317BC1">
        <w:rPr>
          <w:sz w:val="26"/>
          <w:szCs w:val="26"/>
          <w:lang w:val="lt-LT"/>
        </w:rPr>
        <w:t xml:space="preserve">šios įmonės </w:t>
      </w:r>
      <w:r w:rsidR="000B4C06" w:rsidRPr="00317BC1">
        <w:rPr>
          <w:sz w:val="26"/>
          <w:szCs w:val="26"/>
          <w:lang w:val="lt-LT"/>
        </w:rPr>
        <w:t>verslo riziką</w:t>
      </w:r>
      <w:r w:rsidR="005D27F8" w:rsidRPr="00317BC1">
        <w:rPr>
          <w:sz w:val="26"/>
          <w:szCs w:val="26"/>
          <w:lang w:val="lt-LT"/>
        </w:rPr>
        <w:t>.</w:t>
      </w:r>
      <w:r w:rsidR="00FE33DD" w:rsidRPr="00317BC1">
        <w:rPr>
          <w:sz w:val="26"/>
          <w:szCs w:val="26"/>
          <w:lang w:val="lt-LT"/>
        </w:rPr>
        <w:t xml:space="preserve"> </w:t>
      </w:r>
      <w:r w:rsidR="005D27F8" w:rsidRPr="00317BC1">
        <w:rPr>
          <w:sz w:val="26"/>
          <w:szCs w:val="26"/>
          <w:lang w:val="lt-LT"/>
        </w:rPr>
        <w:t xml:space="preserve">Tuo tarpu </w:t>
      </w:r>
      <w:r w:rsidR="00BC4D13" w:rsidRPr="00317BC1">
        <w:rPr>
          <w:sz w:val="26"/>
          <w:szCs w:val="26"/>
          <w:lang w:val="lt-LT"/>
        </w:rPr>
        <w:t xml:space="preserve">audituojamos </w:t>
      </w:r>
      <w:r w:rsidR="005D27F8" w:rsidRPr="00317BC1">
        <w:rPr>
          <w:sz w:val="26"/>
          <w:szCs w:val="26"/>
          <w:lang w:val="lt-LT"/>
        </w:rPr>
        <w:t>įmonės vid</w:t>
      </w:r>
      <w:r w:rsidR="008E4A5A">
        <w:rPr>
          <w:sz w:val="26"/>
          <w:szCs w:val="26"/>
          <w:lang w:val="lt-LT"/>
        </w:rPr>
        <w:t>aus</w:t>
      </w:r>
      <w:r w:rsidR="005D27F8" w:rsidRPr="00317BC1">
        <w:rPr>
          <w:sz w:val="26"/>
          <w:szCs w:val="26"/>
          <w:lang w:val="lt-LT"/>
        </w:rPr>
        <w:t xml:space="preserve"> aplinką tiesiogiai apsprendžia </w:t>
      </w:r>
      <w:r w:rsidR="005B2258" w:rsidRPr="00317BC1">
        <w:rPr>
          <w:sz w:val="26"/>
          <w:szCs w:val="26"/>
          <w:lang w:val="lt-LT"/>
        </w:rPr>
        <w:t xml:space="preserve">vadovybės vykdoma veikla, priimami </w:t>
      </w:r>
      <w:r w:rsidR="005D27F8" w:rsidRPr="00317BC1">
        <w:rPr>
          <w:sz w:val="26"/>
          <w:szCs w:val="26"/>
          <w:lang w:val="lt-LT"/>
        </w:rPr>
        <w:t>sprendimai, siekiant užsibrėžtų tikslų, nustatoma vidaus kontrolės politika ir apskaitos proceso sudėtingumas. Todėl išskirt</w:t>
      </w:r>
      <w:r w:rsidR="00865A9D" w:rsidRPr="00317BC1">
        <w:rPr>
          <w:sz w:val="26"/>
          <w:szCs w:val="26"/>
          <w:lang w:val="lt-LT"/>
        </w:rPr>
        <w:t>os tokio</w:t>
      </w:r>
      <w:r w:rsidR="005D27F8" w:rsidRPr="00317BC1">
        <w:rPr>
          <w:sz w:val="26"/>
          <w:szCs w:val="26"/>
          <w:lang w:val="lt-LT"/>
        </w:rPr>
        <w:t>s vid</w:t>
      </w:r>
      <w:r w:rsidR="008E4A5A">
        <w:rPr>
          <w:sz w:val="26"/>
          <w:szCs w:val="26"/>
          <w:lang w:val="lt-LT"/>
        </w:rPr>
        <w:t>aus</w:t>
      </w:r>
      <w:r w:rsidR="005D27F8" w:rsidRPr="00317BC1">
        <w:rPr>
          <w:sz w:val="26"/>
          <w:szCs w:val="26"/>
          <w:lang w:val="lt-LT"/>
        </w:rPr>
        <w:t xml:space="preserve"> aplinkos sąlyg</w:t>
      </w:r>
      <w:r w:rsidR="00865A9D" w:rsidRPr="00317BC1">
        <w:rPr>
          <w:sz w:val="26"/>
          <w:szCs w:val="26"/>
          <w:lang w:val="lt-LT"/>
        </w:rPr>
        <w:t>o</w:t>
      </w:r>
      <w:r w:rsidR="005D27F8" w:rsidRPr="00317BC1">
        <w:rPr>
          <w:sz w:val="26"/>
          <w:szCs w:val="26"/>
          <w:lang w:val="lt-LT"/>
        </w:rPr>
        <w:t>s kaip strateginės, valdymo ir vidaus kontrolės, veiklos ir apskaitos</w:t>
      </w:r>
      <w:r w:rsidR="000B4C06" w:rsidRPr="00317BC1">
        <w:rPr>
          <w:sz w:val="26"/>
          <w:szCs w:val="26"/>
          <w:lang w:val="lt-LT"/>
        </w:rPr>
        <w:t>, kurios sie</w:t>
      </w:r>
      <w:r w:rsidR="00AA2A9E">
        <w:rPr>
          <w:sz w:val="26"/>
          <w:szCs w:val="26"/>
          <w:lang w:val="lt-LT"/>
        </w:rPr>
        <w:t>tin</w:t>
      </w:r>
      <w:r w:rsidR="000B4C06" w:rsidRPr="00317BC1">
        <w:rPr>
          <w:sz w:val="26"/>
          <w:szCs w:val="26"/>
          <w:lang w:val="lt-LT"/>
        </w:rPr>
        <w:t>os su pačios įmonės rizika</w:t>
      </w:r>
      <w:r w:rsidR="005D27F8" w:rsidRPr="00317BC1">
        <w:rPr>
          <w:sz w:val="26"/>
          <w:szCs w:val="26"/>
          <w:lang w:val="lt-LT"/>
        </w:rPr>
        <w:t>.</w:t>
      </w:r>
      <w:r w:rsidR="000E4435" w:rsidRPr="00317BC1">
        <w:rPr>
          <w:sz w:val="26"/>
          <w:szCs w:val="26"/>
          <w:lang w:val="lt-LT"/>
        </w:rPr>
        <w:t xml:space="preserve"> </w:t>
      </w:r>
      <w:r w:rsidR="00BC4D13" w:rsidRPr="00317BC1">
        <w:rPr>
          <w:sz w:val="26"/>
          <w:szCs w:val="26"/>
          <w:lang w:val="lt-LT"/>
        </w:rPr>
        <w:t>D</w:t>
      </w:r>
      <w:r w:rsidR="00B1589E" w:rsidRPr="00317BC1">
        <w:rPr>
          <w:sz w:val="26"/>
          <w:szCs w:val="26"/>
          <w:lang w:val="lt-LT"/>
        </w:rPr>
        <w:t xml:space="preserve">arbo autorės nuomone, tolesnis </w:t>
      </w:r>
      <w:r w:rsidR="002A3AB7" w:rsidRPr="00317BC1">
        <w:rPr>
          <w:sz w:val="26"/>
          <w:szCs w:val="26"/>
          <w:lang w:val="lt-LT"/>
        </w:rPr>
        <w:t xml:space="preserve">reikšmingo iškraipymo rizikos finansinių ataskaitų lygmeniu </w:t>
      </w:r>
      <w:r w:rsidR="00B1589E" w:rsidRPr="00317BC1">
        <w:rPr>
          <w:sz w:val="26"/>
          <w:szCs w:val="26"/>
          <w:lang w:val="lt-LT"/>
        </w:rPr>
        <w:t>tyrimas tur</w:t>
      </w:r>
      <w:r w:rsidR="00A872DA" w:rsidRPr="00317BC1">
        <w:rPr>
          <w:sz w:val="26"/>
          <w:szCs w:val="26"/>
          <w:lang w:val="lt-LT"/>
        </w:rPr>
        <w:t xml:space="preserve">ėtų būti vykdomas </w:t>
      </w:r>
      <w:r w:rsidR="00A872DA" w:rsidRPr="00317BC1">
        <w:rPr>
          <w:i/>
          <w:sz w:val="26"/>
          <w:szCs w:val="26"/>
          <w:lang w:val="lt-LT"/>
        </w:rPr>
        <w:t>išsi</w:t>
      </w:r>
      <w:r w:rsidR="00B1589E" w:rsidRPr="00317BC1">
        <w:rPr>
          <w:i/>
          <w:sz w:val="26"/>
          <w:szCs w:val="26"/>
          <w:lang w:val="lt-LT"/>
        </w:rPr>
        <w:t>aiškin</w:t>
      </w:r>
      <w:r w:rsidR="00A872DA" w:rsidRPr="00317BC1">
        <w:rPr>
          <w:i/>
          <w:sz w:val="26"/>
          <w:szCs w:val="26"/>
          <w:lang w:val="lt-LT"/>
        </w:rPr>
        <w:t>ant</w:t>
      </w:r>
      <w:r w:rsidR="002A3AB7" w:rsidRPr="00317BC1">
        <w:rPr>
          <w:i/>
          <w:sz w:val="26"/>
          <w:szCs w:val="26"/>
          <w:lang w:val="lt-LT"/>
        </w:rPr>
        <w:t xml:space="preserve">, ar tai </w:t>
      </w:r>
      <w:r w:rsidR="00B1589E" w:rsidRPr="00317BC1">
        <w:rPr>
          <w:i/>
          <w:sz w:val="26"/>
          <w:szCs w:val="26"/>
          <w:lang w:val="lt-LT"/>
        </w:rPr>
        <w:t xml:space="preserve">susiję su </w:t>
      </w:r>
      <w:r w:rsidR="00B1589E" w:rsidRPr="00317BC1">
        <w:rPr>
          <w:sz w:val="26"/>
          <w:szCs w:val="26"/>
          <w:lang w:val="lt-LT"/>
        </w:rPr>
        <w:t xml:space="preserve">1) </w:t>
      </w:r>
      <w:r w:rsidR="00B1589E" w:rsidRPr="00317BC1">
        <w:rPr>
          <w:i/>
          <w:sz w:val="26"/>
          <w:szCs w:val="26"/>
          <w:lang w:val="lt-LT"/>
        </w:rPr>
        <w:t>verslo rizika</w:t>
      </w:r>
      <w:r w:rsidR="003D4458" w:rsidRPr="00317BC1">
        <w:rPr>
          <w:i/>
          <w:sz w:val="26"/>
          <w:szCs w:val="26"/>
          <w:lang w:val="lt-LT"/>
        </w:rPr>
        <w:t>,</w:t>
      </w:r>
      <w:r w:rsidR="00B1589E" w:rsidRPr="00317BC1">
        <w:rPr>
          <w:sz w:val="26"/>
          <w:szCs w:val="26"/>
          <w:lang w:val="lt-LT"/>
        </w:rPr>
        <w:t xml:space="preserve"> </w:t>
      </w:r>
      <w:r w:rsidR="009D0045" w:rsidRPr="00317BC1">
        <w:rPr>
          <w:sz w:val="26"/>
          <w:szCs w:val="26"/>
          <w:lang w:val="lt-LT"/>
        </w:rPr>
        <w:t>2</w:t>
      </w:r>
      <w:r w:rsidR="00B1589E" w:rsidRPr="00317BC1">
        <w:rPr>
          <w:sz w:val="26"/>
          <w:szCs w:val="26"/>
          <w:lang w:val="lt-LT"/>
        </w:rPr>
        <w:t xml:space="preserve">) </w:t>
      </w:r>
      <w:r w:rsidR="000B4C06" w:rsidRPr="00317BC1">
        <w:rPr>
          <w:i/>
          <w:sz w:val="26"/>
          <w:szCs w:val="26"/>
          <w:lang w:val="lt-LT"/>
        </w:rPr>
        <w:t>įmonės rizika</w:t>
      </w:r>
      <w:r w:rsidR="000B4C06" w:rsidRPr="00317BC1">
        <w:rPr>
          <w:sz w:val="26"/>
          <w:szCs w:val="26"/>
          <w:lang w:val="lt-LT"/>
        </w:rPr>
        <w:t xml:space="preserve"> ar 3) </w:t>
      </w:r>
      <w:r w:rsidR="00B1589E" w:rsidRPr="00317BC1">
        <w:rPr>
          <w:i/>
          <w:sz w:val="26"/>
          <w:szCs w:val="26"/>
          <w:lang w:val="lt-LT"/>
        </w:rPr>
        <w:t>apgaulės vykdymu</w:t>
      </w:r>
      <w:r w:rsidR="00B1589E" w:rsidRPr="00317BC1">
        <w:rPr>
          <w:sz w:val="26"/>
          <w:szCs w:val="26"/>
          <w:lang w:val="lt-LT"/>
        </w:rPr>
        <w:t>.</w:t>
      </w:r>
      <w:r w:rsidR="00A872DA" w:rsidRPr="00317BC1">
        <w:rPr>
          <w:sz w:val="26"/>
          <w:szCs w:val="26"/>
          <w:lang w:val="lt-LT"/>
        </w:rPr>
        <w:t xml:space="preserve"> </w:t>
      </w:r>
      <w:r w:rsidR="00937938" w:rsidRPr="00317BC1">
        <w:rPr>
          <w:sz w:val="26"/>
          <w:szCs w:val="26"/>
          <w:lang w:val="lt-LT"/>
        </w:rPr>
        <w:t xml:space="preserve">Todėl šį </w:t>
      </w:r>
      <w:r w:rsidR="00FA481D" w:rsidRPr="00317BC1">
        <w:rPr>
          <w:sz w:val="26"/>
          <w:szCs w:val="26"/>
          <w:lang w:val="lt-LT"/>
        </w:rPr>
        <w:t>siūlymą</w:t>
      </w:r>
      <w:r w:rsidR="00937938" w:rsidRPr="00317BC1">
        <w:rPr>
          <w:sz w:val="26"/>
          <w:szCs w:val="26"/>
          <w:lang w:val="lt-LT"/>
        </w:rPr>
        <w:t xml:space="preserve"> </w:t>
      </w:r>
      <w:r w:rsidR="00AE4DB8" w:rsidRPr="00317BC1">
        <w:rPr>
          <w:sz w:val="26"/>
          <w:szCs w:val="26"/>
          <w:lang w:val="lt-LT"/>
        </w:rPr>
        <w:t>argumentuosime iš</w:t>
      </w:r>
      <w:r w:rsidR="00937938" w:rsidRPr="00317BC1">
        <w:rPr>
          <w:sz w:val="26"/>
          <w:szCs w:val="26"/>
          <w:lang w:val="lt-LT"/>
        </w:rPr>
        <w:t>samiau.</w:t>
      </w:r>
    </w:p>
    <w:p w:rsidR="00FB4A79" w:rsidRPr="00317BC1" w:rsidRDefault="00DA4D78" w:rsidP="001C5407">
      <w:pPr>
        <w:spacing w:line="360" w:lineRule="auto"/>
        <w:ind w:firstLine="720"/>
        <w:jc w:val="both"/>
        <w:rPr>
          <w:sz w:val="26"/>
          <w:szCs w:val="26"/>
          <w:lang w:val="lt-LT"/>
        </w:rPr>
      </w:pPr>
      <w:r w:rsidRPr="00317BC1">
        <w:rPr>
          <w:color w:val="000000"/>
          <w:sz w:val="26"/>
          <w:szCs w:val="26"/>
          <w:lang w:val="lt-LT"/>
        </w:rPr>
        <w:t>Audituojamos į</w:t>
      </w:r>
      <w:r w:rsidR="00D928F6" w:rsidRPr="00317BC1">
        <w:rPr>
          <w:color w:val="000000"/>
          <w:sz w:val="26"/>
          <w:szCs w:val="26"/>
          <w:lang w:val="lt-LT"/>
        </w:rPr>
        <w:t xml:space="preserve">monės verslo rizikos nagrinėjimo </w:t>
      </w:r>
      <w:r w:rsidR="00937938" w:rsidRPr="00317BC1">
        <w:rPr>
          <w:color w:val="000000"/>
          <w:sz w:val="26"/>
          <w:szCs w:val="26"/>
          <w:lang w:val="lt-LT"/>
        </w:rPr>
        <w:t>svarba akcent</w:t>
      </w:r>
      <w:r w:rsidR="00D928F6" w:rsidRPr="00317BC1">
        <w:rPr>
          <w:color w:val="000000"/>
          <w:sz w:val="26"/>
          <w:szCs w:val="26"/>
          <w:lang w:val="lt-LT"/>
        </w:rPr>
        <w:t xml:space="preserve">uojama </w:t>
      </w:r>
      <w:r w:rsidR="00937938" w:rsidRPr="00317BC1">
        <w:rPr>
          <w:color w:val="000000"/>
          <w:sz w:val="26"/>
          <w:szCs w:val="26"/>
          <w:lang w:val="lt-LT"/>
        </w:rPr>
        <w:t>mokslo darbuose</w:t>
      </w:r>
      <w:r w:rsidR="00937938" w:rsidRPr="00317BC1">
        <w:rPr>
          <w:sz w:val="26"/>
          <w:szCs w:val="26"/>
          <w:lang w:val="lt-LT"/>
        </w:rPr>
        <w:t xml:space="preserve"> (Bayer, 1999; Long, 1999; Tie, 2000; Davies, 2001; Cedergren, 2006; Kotchetova, Kozloski, Messier, 2006; Knechel, 2007; </w:t>
      </w:r>
      <w:r w:rsidR="00937938" w:rsidRPr="00317BC1">
        <w:rPr>
          <w:color w:val="000000"/>
          <w:sz w:val="26"/>
          <w:szCs w:val="26"/>
          <w:lang w:val="lt-LT"/>
        </w:rPr>
        <w:t xml:space="preserve">Curtis, </w:t>
      </w:r>
      <w:r w:rsidR="00937938" w:rsidRPr="00317BC1">
        <w:rPr>
          <w:color w:val="000000"/>
          <w:sz w:val="26"/>
          <w:szCs w:val="26"/>
          <w:lang w:val="lt-LT"/>
        </w:rPr>
        <w:lastRenderedPageBreak/>
        <w:t>Turley, 2007</w:t>
      </w:r>
      <w:r w:rsidR="00937938" w:rsidRPr="00317BC1">
        <w:rPr>
          <w:sz w:val="26"/>
          <w:szCs w:val="26"/>
          <w:lang w:val="lt-LT"/>
        </w:rPr>
        <w:t>) bei profesinių organizacijų (</w:t>
      </w:r>
      <w:r w:rsidR="000D0B97" w:rsidRPr="00317BC1">
        <w:rPr>
          <w:sz w:val="26"/>
          <w:szCs w:val="26"/>
          <w:lang w:val="lt-LT"/>
        </w:rPr>
        <w:t>CICA</w:t>
      </w:r>
      <w:r w:rsidR="000D0B97" w:rsidRPr="00317BC1">
        <w:rPr>
          <w:rStyle w:val="FootnoteReference"/>
          <w:sz w:val="26"/>
          <w:szCs w:val="26"/>
          <w:lang w:val="lt-LT"/>
        </w:rPr>
        <w:footnoteReference w:id="8"/>
      </w:r>
      <w:r w:rsidR="00937938" w:rsidRPr="00317BC1">
        <w:rPr>
          <w:sz w:val="26"/>
          <w:szCs w:val="26"/>
          <w:lang w:val="lt-LT"/>
        </w:rPr>
        <w:t xml:space="preserve">, 2007; </w:t>
      </w:r>
      <w:r w:rsidR="000D0B97" w:rsidRPr="00317BC1">
        <w:rPr>
          <w:sz w:val="26"/>
          <w:szCs w:val="26"/>
          <w:lang w:val="lt-LT"/>
        </w:rPr>
        <w:t>ACCA</w:t>
      </w:r>
      <w:r w:rsidR="000D0B97" w:rsidRPr="00317BC1">
        <w:rPr>
          <w:rStyle w:val="FootnoteReference"/>
          <w:sz w:val="26"/>
          <w:szCs w:val="26"/>
          <w:lang w:val="lt-LT"/>
        </w:rPr>
        <w:footnoteReference w:id="9"/>
      </w:r>
      <w:r w:rsidR="00937938" w:rsidRPr="00317BC1">
        <w:rPr>
          <w:sz w:val="26"/>
          <w:szCs w:val="26"/>
          <w:lang w:val="lt-LT"/>
        </w:rPr>
        <w:t xml:space="preserve">, 2007) leidiniuose. </w:t>
      </w:r>
      <w:r w:rsidR="00FB4A79" w:rsidRPr="00317BC1">
        <w:rPr>
          <w:sz w:val="26"/>
          <w:szCs w:val="26"/>
          <w:lang w:val="lt-LT"/>
        </w:rPr>
        <w:t>Nors literatūroje (Kotchetova, Kozloski, Messier, 2006; 315 TSA, 2006; 330 TSA, 2006; Knechel, 2007) pateikiam</w:t>
      </w:r>
      <w:r w:rsidR="00034674" w:rsidRPr="00317BC1">
        <w:rPr>
          <w:sz w:val="26"/>
          <w:szCs w:val="26"/>
          <w:lang w:val="lt-LT"/>
        </w:rPr>
        <w:t>i</w:t>
      </w:r>
      <w:r w:rsidR="00FB4A79" w:rsidRPr="00317BC1">
        <w:rPr>
          <w:sz w:val="26"/>
          <w:szCs w:val="26"/>
          <w:lang w:val="lt-LT"/>
        </w:rPr>
        <w:t xml:space="preserve"> skirting</w:t>
      </w:r>
      <w:r w:rsidR="00034674" w:rsidRPr="00317BC1">
        <w:rPr>
          <w:sz w:val="26"/>
          <w:szCs w:val="26"/>
          <w:lang w:val="lt-LT"/>
        </w:rPr>
        <w:t xml:space="preserve">i įmonės verslo rizikos vertinimo </w:t>
      </w:r>
      <w:r w:rsidR="00BB0F46" w:rsidRPr="00317BC1">
        <w:rPr>
          <w:sz w:val="26"/>
          <w:szCs w:val="26"/>
          <w:lang w:val="lt-LT"/>
        </w:rPr>
        <w:t>procesai audito metu</w:t>
      </w:r>
      <w:r w:rsidR="00034674" w:rsidRPr="00317BC1">
        <w:rPr>
          <w:sz w:val="26"/>
          <w:szCs w:val="26"/>
          <w:lang w:val="lt-LT"/>
        </w:rPr>
        <w:t xml:space="preserve"> (žr. </w:t>
      </w:r>
      <w:r w:rsidR="009A700C" w:rsidRPr="00317BC1">
        <w:rPr>
          <w:sz w:val="26"/>
          <w:szCs w:val="26"/>
          <w:lang w:val="lt-LT"/>
        </w:rPr>
        <w:t>4</w:t>
      </w:r>
      <w:r w:rsidR="00034674" w:rsidRPr="00317BC1">
        <w:rPr>
          <w:sz w:val="26"/>
          <w:szCs w:val="26"/>
          <w:lang w:val="lt-LT"/>
        </w:rPr>
        <w:t xml:space="preserve"> priedas)</w:t>
      </w:r>
      <w:r w:rsidR="00FB4A79" w:rsidRPr="00317BC1">
        <w:rPr>
          <w:sz w:val="26"/>
          <w:szCs w:val="26"/>
          <w:lang w:val="lt-LT"/>
        </w:rPr>
        <w:t xml:space="preserve">, tačiau </w:t>
      </w:r>
      <w:r w:rsidR="00C7719F" w:rsidRPr="00317BC1">
        <w:rPr>
          <w:sz w:val="26"/>
          <w:szCs w:val="26"/>
          <w:lang w:val="lt-LT"/>
        </w:rPr>
        <w:t xml:space="preserve">jų </w:t>
      </w:r>
      <w:r w:rsidR="00FB4A79" w:rsidRPr="00317BC1">
        <w:rPr>
          <w:sz w:val="26"/>
          <w:szCs w:val="26"/>
          <w:lang w:val="lt-LT"/>
        </w:rPr>
        <w:t xml:space="preserve">samprata išlieka panaši (žr. </w:t>
      </w:r>
      <w:r w:rsidR="002F7447" w:rsidRPr="00317BC1">
        <w:rPr>
          <w:sz w:val="26"/>
          <w:szCs w:val="26"/>
          <w:lang w:val="lt-LT"/>
        </w:rPr>
        <w:t>8</w:t>
      </w:r>
      <w:r w:rsidR="00FB4A79" w:rsidRPr="00317BC1">
        <w:rPr>
          <w:sz w:val="26"/>
          <w:szCs w:val="26"/>
          <w:lang w:val="lt-LT"/>
        </w:rPr>
        <w:t xml:space="preserve"> lentelė). </w:t>
      </w:r>
    </w:p>
    <w:p w:rsidR="00FB4A79" w:rsidRPr="00317BC1" w:rsidRDefault="002F7447" w:rsidP="00317BC1">
      <w:pPr>
        <w:spacing w:line="360" w:lineRule="auto"/>
        <w:ind w:left="7200"/>
        <w:jc w:val="both"/>
        <w:rPr>
          <w:i/>
          <w:sz w:val="26"/>
          <w:szCs w:val="26"/>
          <w:lang w:val="lt-LT"/>
        </w:rPr>
      </w:pPr>
      <w:r w:rsidRPr="00317BC1">
        <w:rPr>
          <w:i/>
          <w:sz w:val="26"/>
          <w:szCs w:val="26"/>
          <w:lang w:val="lt-LT"/>
        </w:rPr>
        <w:t>8</w:t>
      </w:r>
      <w:r w:rsidR="00FB4A79" w:rsidRPr="00317BC1">
        <w:rPr>
          <w:i/>
          <w:sz w:val="26"/>
          <w:szCs w:val="26"/>
          <w:lang w:val="lt-LT"/>
        </w:rPr>
        <w:t xml:space="preserve"> lentelė</w:t>
      </w:r>
    </w:p>
    <w:p w:rsidR="00FB4A79" w:rsidRPr="00317BC1" w:rsidRDefault="00C7719F" w:rsidP="00FB4A79">
      <w:pPr>
        <w:tabs>
          <w:tab w:val="left" w:pos="567"/>
        </w:tabs>
        <w:spacing w:line="360" w:lineRule="auto"/>
        <w:jc w:val="center"/>
        <w:rPr>
          <w:sz w:val="26"/>
          <w:szCs w:val="26"/>
          <w:lang w:val="lt-LT"/>
        </w:rPr>
      </w:pPr>
      <w:r w:rsidRPr="00317BC1">
        <w:rPr>
          <w:b/>
          <w:sz w:val="26"/>
          <w:szCs w:val="26"/>
          <w:lang w:val="lt-LT"/>
        </w:rPr>
        <w:t>Įmonės verslo r</w:t>
      </w:r>
      <w:r w:rsidR="00FB4A79" w:rsidRPr="00317BC1">
        <w:rPr>
          <w:b/>
          <w:sz w:val="26"/>
          <w:szCs w:val="26"/>
          <w:lang w:val="lt-LT"/>
        </w:rPr>
        <w:t>izik</w:t>
      </w:r>
      <w:r w:rsidRPr="00317BC1">
        <w:rPr>
          <w:b/>
          <w:sz w:val="26"/>
          <w:szCs w:val="26"/>
          <w:lang w:val="lt-LT"/>
        </w:rPr>
        <w:t>os vertinimas audito metu</w:t>
      </w:r>
    </w:p>
    <w:tbl>
      <w:tblPr>
        <w:tblStyle w:val="TableGrid"/>
        <w:tblW w:w="0" w:type="auto"/>
        <w:tblLook w:val="04A0"/>
      </w:tblPr>
      <w:tblGrid>
        <w:gridCol w:w="2036"/>
        <w:gridCol w:w="6458"/>
      </w:tblGrid>
      <w:tr w:rsidR="00FB4A79" w:rsidRPr="00317BC1" w:rsidTr="007D68A0">
        <w:tc>
          <w:tcPr>
            <w:tcW w:w="2235" w:type="dxa"/>
          </w:tcPr>
          <w:p w:rsidR="00FB4A79" w:rsidRPr="00317BC1" w:rsidRDefault="00FB4A79" w:rsidP="007D68A0">
            <w:pPr>
              <w:tabs>
                <w:tab w:val="left" w:pos="567"/>
              </w:tabs>
              <w:spacing w:line="360" w:lineRule="auto"/>
              <w:jc w:val="center"/>
              <w:rPr>
                <w:b/>
                <w:sz w:val="22"/>
                <w:szCs w:val="22"/>
                <w:lang w:val="lt-LT"/>
              </w:rPr>
            </w:pPr>
            <w:r w:rsidRPr="00317BC1">
              <w:rPr>
                <w:b/>
                <w:sz w:val="22"/>
                <w:szCs w:val="22"/>
                <w:lang w:val="lt-LT"/>
              </w:rPr>
              <w:t>Šaltinis</w:t>
            </w:r>
          </w:p>
        </w:tc>
        <w:tc>
          <w:tcPr>
            <w:tcW w:w="7618" w:type="dxa"/>
          </w:tcPr>
          <w:p w:rsidR="00FB4A79" w:rsidRPr="00317BC1" w:rsidRDefault="00C7719F" w:rsidP="007D68A0">
            <w:pPr>
              <w:tabs>
                <w:tab w:val="left" w:pos="567"/>
              </w:tabs>
              <w:spacing w:line="360" w:lineRule="auto"/>
              <w:jc w:val="center"/>
              <w:rPr>
                <w:b/>
                <w:sz w:val="22"/>
                <w:szCs w:val="22"/>
                <w:lang w:val="lt-LT"/>
              </w:rPr>
            </w:pPr>
            <w:r w:rsidRPr="00317BC1">
              <w:rPr>
                <w:b/>
                <w:sz w:val="22"/>
                <w:szCs w:val="22"/>
                <w:lang w:val="lt-LT"/>
              </w:rPr>
              <w:t>E</w:t>
            </w:r>
            <w:r w:rsidR="00FB4A79" w:rsidRPr="00317BC1">
              <w:rPr>
                <w:b/>
                <w:sz w:val="22"/>
                <w:szCs w:val="22"/>
                <w:lang w:val="lt-LT"/>
              </w:rPr>
              <w:t>tapai</w:t>
            </w:r>
          </w:p>
        </w:tc>
      </w:tr>
      <w:tr w:rsidR="00FB4A79" w:rsidRPr="00317BC1" w:rsidTr="007D68A0">
        <w:tc>
          <w:tcPr>
            <w:tcW w:w="2235" w:type="dxa"/>
          </w:tcPr>
          <w:p w:rsidR="00FB4A79" w:rsidRPr="00317BC1" w:rsidRDefault="00FB4A79" w:rsidP="00AA2A9E">
            <w:pPr>
              <w:tabs>
                <w:tab w:val="left" w:pos="567"/>
              </w:tabs>
              <w:rPr>
                <w:sz w:val="22"/>
                <w:szCs w:val="22"/>
                <w:lang w:val="lt-LT"/>
              </w:rPr>
            </w:pPr>
            <w:r w:rsidRPr="00317BC1">
              <w:rPr>
                <w:sz w:val="22"/>
                <w:szCs w:val="22"/>
                <w:lang w:val="lt-LT"/>
              </w:rPr>
              <w:t>W. R. Knechel (2007)</w:t>
            </w:r>
          </w:p>
        </w:tc>
        <w:tc>
          <w:tcPr>
            <w:tcW w:w="7618" w:type="dxa"/>
          </w:tcPr>
          <w:p w:rsidR="00FB4A79" w:rsidRPr="00317BC1" w:rsidRDefault="00FB4A79" w:rsidP="007D68A0">
            <w:pPr>
              <w:tabs>
                <w:tab w:val="left" w:pos="567"/>
              </w:tabs>
              <w:jc w:val="both"/>
              <w:rPr>
                <w:sz w:val="22"/>
                <w:szCs w:val="22"/>
                <w:lang w:val="lt-LT"/>
              </w:rPr>
            </w:pPr>
            <w:r w:rsidRPr="00317BC1">
              <w:rPr>
                <w:sz w:val="22"/>
                <w:szCs w:val="22"/>
                <w:lang w:val="lt-LT"/>
              </w:rPr>
              <w:t xml:space="preserve">1) susipažįstama su įmonės </w:t>
            </w:r>
            <w:r w:rsidRPr="00317BC1">
              <w:rPr>
                <w:i/>
                <w:sz w:val="22"/>
                <w:szCs w:val="22"/>
                <w:lang w:val="lt-LT"/>
              </w:rPr>
              <w:t>bendrąja strategija</w:t>
            </w:r>
            <w:r w:rsidRPr="00317BC1">
              <w:rPr>
                <w:sz w:val="22"/>
                <w:szCs w:val="22"/>
                <w:lang w:val="lt-LT"/>
              </w:rPr>
              <w:t xml:space="preserve">, kad būtų galima įgyti supratimą apie įmonės padėtį greta kitų rinkos dalyvių, ir nustatyti </w:t>
            </w:r>
            <w:r w:rsidRPr="00317BC1">
              <w:rPr>
                <w:i/>
                <w:sz w:val="22"/>
                <w:szCs w:val="22"/>
                <w:lang w:val="lt-LT"/>
              </w:rPr>
              <w:t xml:space="preserve">svarbias rizikas </w:t>
            </w:r>
            <w:r w:rsidR="00C7719F" w:rsidRPr="00317BC1">
              <w:rPr>
                <w:sz w:val="22"/>
                <w:szCs w:val="22"/>
                <w:lang w:val="lt-LT"/>
              </w:rPr>
              <w:t>įmonei</w:t>
            </w:r>
            <w:r w:rsidRPr="00317BC1">
              <w:rPr>
                <w:sz w:val="22"/>
                <w:szCs w:val="22"/>
                <w:lang w:val="lt-LT"/>
              </w:rPr>
              <w:t>;</w:t>
            </w:r>
          </w:p>
          <w:p w:rsidR="00FB4A79" w:rsidRPr="00317BC1" w:rsidRDefault="00FB4A79" w:rsidP="007D68A0">
            <w:pPr>
              <w:tabs>
                <w:tab w:val="left" w:pos="567"/>
              </w:tabs>
              <w:jc w:val="both"/>
              <w:rPr>
                <w:sz w:val="22"/>
                <w:szCs w:val="22"/>
                <w:lang w:val="lt-LT"/>
              </w:rPr>
            </w:pPr>
            <w:r w:rsidRPr="00317BC1">
              <w:rPr>
                <w:sz w:val="22"/>
                <w:szCs w:val="22"/>
                <w:lang w:val="lt-LT"/>
              </w:rPr>
              <w:t xml:space="preserve">2) analizuojama, kaip įmonė stebi ir kovoja su kiekviena svarbia rizika, o ypač </w:t>
            </w:r>
            <w:r w:rsidRPr="00317BC1">
              <w:rPr>
                <w:i/>
                <w:sz w:val="22"/>
                <w:szCs w:val="22"/>
                <w:lang w:val="lt-LT"/>
              </w:rPr>
              <w:t>koks yra verslo procesų pobūdis ir veikimas</w:t>
            </w:r>
            <w:r w:rsidR="00C7719F" w:rsidRPr="00317BC1">
              <w:rPr>
                <w:sz w:val="22"/>
                <w:szCs w:val="22"/>
                <w:lang w:val="lt-LT"/>
              </w:rPr>
              <w:t>;</w:t>
            </w:r>
          </w:p>
          <w:p w:rsidR="00FB4A79" w:rsidRPr="00317BC1" w:rsidRDefault="00FB4A79" w:rsidP="00C7719F">
            <w:pPr>
              <w:tabs>
                <w:tab w:val="left" w:pos="567"/>
              </w:tabs>
              <w:jc w:val="both"/>
              <w:rPr>
                <w:sz w:val="22"/>
                <w:szCs w:val="22"/>
                <w:lang w:val="lt-LT"/>
              </w:rPr>
            </w:pPr>
            <w:r w:rsidRPr="00317BC1">
              <w:rPr>
                <w:sz w:val="22"/>
                <w:szCs w:val="22"/>
                <w:lang w:val="lt-LT"/>
              </w:rPr>
              <w:t xml:space="preserve">3) išdėstomos rizikos pagal jų svarbą įmonei ir nustatomos </w:t>
            </w:r>
            <w:r w:rsidRPr="00317BC1">
              <w:rPr>
                <w:i/>
                <w:sz w:val="22"/>
                <w:szCs w:val="22"/>
                <w:lang w:val="lt-LT"/>
              </w:rPr>
              <w:t>likutinės rizikos</w:t>
            </w:r>
            <w:r w:rsidRPr="00317BC1">
              <w:rPr>
                <w:sz w:val="22"/>
                <w:szCs w:val="22"/>
                <w:lang w:val="lt-LT"/>
              </w:rPr>
              <w:t xml:space="preserve">, kurios laikomos nekontroliuojamomis ir galinčiomis paveikti įmonę. </w:t>
            </w:r>
          </w:p>
        </w:tc>
      </w:tr>
      <w:tr w:rsidR="00FB4A79" w:rsidRPr="00317BC1" w:rsidTr="007D68A0">
        <w:tc>
          <w:tcPr>
            <w:tcW w:w="2235" w:type="dxa"/>
          </w:tcPr>
          <w:p w:rsidR="00FB4A79" w:rsidRPr="00317BC1" w:rsidRDefault="00FB4A79" w:rsidP="00317BC1">
            <w:pPr>
              <w:tabs>
                <w:tab w:val="left" w:pos="567"/>
              </w:tabs>
              <w:rPr>
                <w:sz w:val="22"/>
                <w:szCs w:val="22"/>
                <w:lang w:val="lt-LT"/>
              </w:rPr>
            </w:pPr>
            <w:r w:rsidRPr="00317BC1">
              <w:rPr>
                <w:sz w:val="22"/>
                <w:szCs w:val="22"/>
                <w:lang w:val="lt-LT"/>
              </w:rPr>
              <w:t>N. Kotchetova, T.</w:t>
            </w:r>
            <w:r w:rsidR="00317BC1">
              <w:rPr>
                <w:sz w:val="22"/>
                <w:szCs w:val="22"/>
                <w:lang w:val="lt-LT"/>
              </w:rPr>
              <w:t> </w:t>
            </w:r>
            <w:r w:rsidRPr="00317BC1">
              <w:rPr>
                <w:sz w:val="22"/>
                <w:szCs w:val="22"/>
                <w:lang w:val="lt-LT"/>
              </w:rPr>
              <w:t>M. Kozloski, W.</w:t>
            </w:r>
            <w:r w:rsidR="00317BC1">
              <w:rPr>
                <w:sz w:val="22"/>
                <w:szCs w:val="22"/>
                <w:lang w:val="lt-LT"/>
              </w:rPr>
              <w:t> </w:t>
            </w:r>
            <w:r w:rsidRPr="00317BC1">
              <w:rPr>
                <w:sz w:val="22"/>
                <w:szCs w:val="22"/>
                <w:lang w:val="lt-LT"/>
              </w:rPr>
              <w:t>F. Messier (2006)</w:t>
            </w:r>
          </w:p>
          <w:p w:rsidR="00FB4A79" w:rsidRPr="00317BC1" w:rsidRDefault="00FB4A79" w:rsidP="007D68A0">
            <w:pPr>
              <w:tabs>
                <w:tab w:val="left" w:pos="567"/>
              </w:tabs>
              <w:spacing w:line="360" w:lineRule="auto"/>
              <w:jc w:val="both"/>
              <w:rPr>
                <w:sz w:val="22"/>
                <w:szCs w:val="22"/>
                <w:lang w:val="lt-LT"/>
              </w:rPr>
            </w:pPr>
          </w:p>
        </w:tc>
        <w:tc>
          <w:tcPr>
            <w:tcW w:w="7618" w:type="dxa"/>
          </w:tcPr>
          <w:p w:rsidR="00FB4A79" w:rsidRPr="00317BC1" w:rsidRDefault="00FB4A79" w:rsidP="007D68A0">
            <w:pPr>
              <w:tabs>
                <w:tab w:val="left" w:pos="567"/>
              </w:tabs>
              <w:jc w:val="both"/>
              <w:rPr>
                <w:sz w:val="22"/>
                <w:szCs w:val="22"/>
                <w:lang w:val="lt-LT"/>
              </w:rPr>
            </w:pPr>
            <w:r w:rsidRPr="00317BC1">
              <w:rPr>
                <w:sz w:val="22"/>
                <w:szCs w:val="22"/>
                <w:lang w:val="lt-LT"/>
              </w:rPr>
              <w:t xml:space="preserve">1) atlikti įmonės lygio </w:t>
            </w:r>
            <w:r w:rsidRPr="00317BC1">
              <w:rPr>
                <w:i/>
                <w:sz w:val="22"/>
                <w:szCs w:val="22"/>
                <w:lang w:val="lt-LT"/>
              </w:rPr>
              <w:t>strateginę analizę</w:t>
            </w:r>
            <w:r w:rsidRPr="00317BC1">
              <w:rPr>
                <w:sz w:val="22"/>
                <w:szCs w:val="22"/>
                <w:lang w:val="lt-LT"/>
              </w:rPr>
              <w:t>;</w:t>
            </w:r>
          </w:p>
          <w:p w:rsidR="00FB4A79" w:rsidRPr="00317BC1" w:rsidRDefault="00FB4A79" w:rsidP="007D68A0">
            <w:pPr>
              <w:tabs>
                <w:tab w:val="left" w:pos="567"/>
              </w:tabs>
              <w:jc w:val="both"/>
              <w:rPr>
                <w:sz w:val="22"/>
                <w:szCs w:val="22"/>
                <w:lang w:val="lt-LT"/>
              </w:rPr>
            </w:pPr>
            <w:r w:rsidRPr="00317BC1">
              <w:rPr>
                <w:sz w:val="22"/>
                <w:szCs w:val="22"/>
                <w:lang w:val="lt-LT"/>
              </w:rPr>
              <w:t xml:space="preserve">2) nustatyti ir įvertinti įmonės verslo rizikas, nustatyti šių rizikų poveikį finansinėms ataskaitoms bei vertinti </w:t>
            </w:r>
            <w:r w:rsidRPr="00317BC1">
              <w:rPr>
                <w:i/>
                <w:sz w:val="22"/>
                <w:szCs w:val="22"/>
                <w:lang w:val="lt-LT"/>
              </w:rPr>
              <w:t>reikšmingo iškraipymo riziką finansinių ataskaitų lygmeniu</w:t>
            </w:r>
            <w:r w:rsidRPr="00317BC1">
              <w:rPr>
                <w:sz w:val="22"/>
                <w:szCs w:val="22"/>
                <w:lang w:val="lt-LT"/>
              </w:rPr>
              <w:t>;</w:t>
            </w:r>
          </w:p>
          <w:p w:rsidR="00FB4A79" w:rsidRPr="00317BC1" w:rsidRDefault="00FB4A79" w:rsidP="007D68A0">
            <w:pPr>
              <w:tabs>
                <w:tab w:val="left" w:pos="567"/>
              </w:tabs>
              <w:jc w:val="both"/>
              <w:rPr>
                <w:sz w:val="22"/>
                <w:szCs w:val="22"/>
                <w:lang w:val="lt-LT"/>
              </w:rPr>
            </w:pPr>
            <w:r w:rsidRPr="00317BC1">
              <w:rPr>
                <w:sz w:val="22"/>
                <w:szCs w:val="22"/>
                <w:lang w:val="lt-LT"/>
              </w:rPr>
              <w:t xml:space="preserve">3) atlikti </w:t>
            </w:r>
            <w:r w:rsidRPr="00317BC1">
              <w:rPr>
                <w:i/>
                <w:sz w:val="22"/>
                <w:szCs w:val="22"/>
                <w:lang w:val="lt-LT"/>
              </w:rPr>
              <w:t>verslo proceso lygio analizę;</w:t>
            </w:r>
          </w:p>
          <w:p w:rsidR="00FB4A79" w:rsidRPr="00317BC1" w:rsidRDefault="00FB4A79" w:rsidP="007D68A0">
            <w:pPr>
              <w:tabs>
                <w:tab w:val="left" w:pos="567"/>
              </w:tabs>
              <w:jc w:val="both"/>
              <w:rPr>
                <w:sz w:val="22"/>
                <w:szCs w:val="22"/>
                <w:lang w:val="lt-LT"/>
              </w:rPr>
            </w:pPr>
            <w:r w:rsidRPr="00317BC1">
              <w:rPr>
                <w:sz w:val="22"/>
                <w:szCs w:val="22"/>
                <w:lang w:val="lt-LT"/>
              </w:rPr>
              <w:t>4) vertinti verslo proceso rizikas svarbiausiems ir pagalbiniams procesams, ištirti susijusius finansinių ataskaitų tvirtinimus bei vertinti r</w:t>
            </w:r>
            <w:r w:rsidRPr="00317BC1">
              <w:rPr>
                <w:i/>
                <w:sz w:val="22"/>
                <w:szCs w:val="22"/>
                <w:lang w:val="lt-LT"/>
              </w:rPr>
              <w:t xml:space="preserve">eikšmingo iškraipymo riziką </w:t>
            </w:r>
            <w:r w:rsidR="0025194A" w:rsidRPr="00317BC1">
              <w:rPr>
                <w:i/>
                <w:sz w:val="22"/>
                <w:szCs w:val="22"/>
                <w:lang w:val="lt-LT"/>
              </w:rPr>
              <w:t>tvirtinimo</w:t>
            </w:r>
            <w:r w:rsidRPr="00317BC1">
              <w:rPr>
                <w:i/>
                <w:sz w:val="22"/>
                <w:szCs w:val="22"/>
                <w:lang w:val="lt-LT"/>
              </w:rPr>
              <w:t xml:space="preserve"> lygmeniu</w:t>
            </w:r>
            <w:r w:rsidRPr="00317BC1">
              <w:rPr>
                <w:sz w:val="22"/>
                <w:szCs w:val="22"/>
                <w:lang w:val="lt-LT"/>
              </w:rPr>
              <w:t>.</w:t>
            </w:r>
          </w:p>
        </w:tc>
      </w:tr>
      <w:tr w:rsidR="00FB4A79" w:rsidRPr="00317BC1" w:rsidTr="007D68A0">
        <w:trPr>
          <w:trHeight w:val="286"/>
        </w:trPr>
        <w:tc>
          <w:tcPr>
            <w:tcW w:w="2235" w:type="dxa"/>
          </w:tcPr>
          <w:p w:rsidR="00FB4A79" w:rsidRPr="00317BC1" w:rsidRDefault="00317BC1" w:rsidP="007D68A0">
            <w:pPr>
              <w:tabs>
                <w:tab w:val="left" w:pos="567"/>
              </w:tabs>
              <w:jc w:val="both"/>
              <w:rPr>
                <w:sz w:val="22"/>
                <w:szCs w:val="22"/>
                <w:lang w:val="lt-LT"/>
              </w:rPr>
            </w:pPr>
            <w:r>
              <w:rPr>
                <w:sz w:val="22"/>
                <w:szCs w:val="22"/>
                <w:lang w:val="lt-LT"/>
              </w:rPr>
              <w:t xml:space="preserve">315 </w:t>
            </w:r>
            <w:r w:rsidR="00FB4A79" w:rsidRPr="00317BC1">
              <w:rPr>
                <w:sz w:val="22"/>
                <w:szCs w:val="22"/>
                <w:lang w:val="lt-LT"/>
              </w:rPr>
              <w:t>TSA, 330 TSA (2006)</w:t>
            </w:r>
          </w:p>
          <w:p w:rsidR="00FB4A79" w:rsidRPr="00317BC1" w:rsidRDefault="00317BC1" w:rsidP="00317BC1">
            <w:pPr>
              <w:tabs>
                <w:tab w:val="left" w:pos="567"/>
              </w:tabs>
              <w:jc w:val="both"/>
              <w:rPr>
                <w:sz w:val="22"/>
                <w:szCs w:val="22"/>
                <w:lang w:val="lt-LT"/>
              </w:rPr>
            </w:pPr>
            <w:r>
              <w:rPr>
                <w:sz w:val="22"/>
                <w:szCs w:val="22"/>
                <w:lang w:val="lt-LT"/>
              </w:rPr>
              <w:t>109</w:t>
            </w:r>
            <w:r w:rsidR="00FB4A79" w:rsidRPr="00317BC1">
              <w:rPr>
                <w:sz w:val="22"/>
                <w:szCs w:val="22"/>
                <w:lang w:val="lt-LT"/>
              </w:rPr>
              <w:t xml:space="preserve"> SAS, 110</w:t>
            </w:r>
            <w:r>
              <w:rPr>
                <w:sz w:val="22"/>
                <w:szCs w:val="22"/>
                <w:lang w:val="lt-LT"/>
              </w:rPr>
              <w:t xml:space="preserve"> </w:t>
            </w:r>
            <w:r w:rsidR="00FB4A79" w:rsidRPr="00317BC1">
              <w:rPr>
                <w:sz w:val="22"/>
                <w:szCs w:val="22"/>
                <w:lang w:val="lt-LT"/>
              </w:rPr>
              <w:t>SAS (2006)</w:t>
            </w:r>
          </w:p>
        </w:tc>
        <w:tc>
          <w:tcPr>
            <w:tcW w:w="7618" w:type="dxa"/>
          </w:tcPr>
          <w:p w:rsidR="00FB4A79" w:rsidRPr="00317BC1" w:rsidRDefault="00FB4A79" w:rsidP="007D68A0">
            <w:pPr>
              <w:tabs>
                <w:tab w:val="left" w:pos="567"/>
              </w:tabs>
              <w:jc w:val="both"/>
              <w:rPr>
                <w:sz w:val="22"/>
                <w:szCs w:val="22"/>
                <w:lang w:val="lt-LT"/>
              </w:rPr>
            </w:pPr>
            <w:r w:rsidRPr="00317BC1">
              <w:rPr>
                <w:sz w:val="22"/>
                <w:szCs w:val="22"/>
                <w:lang w:val="lt-LT"/>
              </w:rPr>
              <w:t xml:space="preserve">1) </w:t>
            </w:r>
            <w:r w:rsidRPr="00317BC1">
              <w:rPr>
                <w:i/>
                <w:sz w:val="22"/>
                <w:szCs w:val="22"/>
                <w:lang w:val="lt-LT"/>
              </w:rPr>
              <w:t>supratimo įgijimas</w:t>
            </w:r>
            <w:r w:rsidR="00C7719F" w:rsidRPr="00317BC1">
              <w:rPr>
                <w:sz w:val="22"/>
                <w:szCs w:val="22"/>
                <w:lang w:val="lt-LT"/>
              </w:rPr>
              <w:t xml:space="preserve"> apie įmonę</w:t>
            </w:r>
            <w:r w:rsidRPr="00317BC1">
              <w:rPr>
                <w:sz w:val="22"/>
                <w:szCs w:val="22"/>
                <w:lang w:val="lt-LT"/>
              </w:rPr>
              <w:t xml:space="preserve"> ir jos aplinką, įskaitant įmonės vidaus kontrolę, </w:t>
            </w:r>
            <w:r w:rsidRPr="00317BC1">
              <w:rPr>
                <w:i/>
                <w:sz w:val="22"/>
                <w:szCs w:val="22"/>
                <w:lang w:val="lt-LT"/>
              </w:rPr>
              <w:t>atliekant rizikos vertinimo procedūras</w:t>
            </w:r>
            <w:r w:rsidRPr="00317BC1">
              <w:rPr>
                <w:sz w:val="22"/>
                <w:szCs w:val="22"/>
                <w:lang w:val="lt-LT"/>
              </w:rPr>
              <w:t xml:space="preserve">. Supratimo metu nustatomos verslo rizikos, kurios gali nulemti reikšmingą iškraipymą finansinėse ataskaitose; </w:t>
            </w:r>
          </w:p>
          <w:p w:rsidR="00FB4A79" w:rsidRPr="00317BC1" w:rsidRDefault="00FB4A79" w:rsidP="007D68A0">
            <w:pPr>
              <w:tabs>
                <w:tab w:val="left" w:pos="567"/>
              </w:tabs>
              <w:jc w:val="both"/>
              <w:rPr>
                <w:sz w:val="22"/>
                <w:szCs w:val="22"/>
                <w:lang w:val="lt-LT"/>
              </w:rPr>
            </w:pPr>
            <w:r w:rsidRPr="00317BC1">
              <w:rPr>
                <w:sz w:val="22"/>
                <w:szCs w:val="22"/>
                <w:lang w:val="lt-LT"/>
              </w:rPr>
              <w:t xml:space="preserve">2) surinktos informacijos panaudojimas </w:t>
            </w:r>
            <w:r w:rsidRPr="00317BC1">
              <w:rPr>
                <w:i/>
                <w:sz w:val="22"/>
                <w:szCs w:val="22"/>
                <w:lang w:val="lt-LT"/>
              </w:rPr>
              <w:t xml:space="preserve">vertinant reikšmingo iškraipymo riziką finansinių ataskaitų lygmeniu ir </w:t>
            </w:r>
            <w:r w:rsidR="0025194A" w:rsidRPr="00317BC1">
              <w:rPr>
                <w:i/>
                <w:sz w:val="22"/>
                <w:szCs w:val="22"/>
                <w:lang w:val="lt-LT"/>
              </w:rPr>
              <w:t>tvirtinimo</w:t>
            </w:r>
            <w:r w:rsidRPr="00317BC1">
              <w:rPr>
                <w:i/>
                <w:sz w:val="22"/>
                <w:szCs w:val="22"/>
                <w:lang w:val="lt-LT"/>
              </w:rPr>
              <w:t xml:space="preserve"> lygmeniu</w:t>
            </w:r>
            <w:r w:rsidRPr="00317BC1">
              <w:rPr>
                <w:sz w:val="22"/>
                <w:szCs w:val="22"/>
                <w:lang w:val="lt-LT"/>
              </w:rPr>
              <w:t>. Tai apima ir įvertinimą kaip įmonė reaguoja į verslo rizikas ir koks buvo į jas atsakas;</w:t>
            </w:r>
          </w:p>
          <w:p w:rsidR="00FB4A79" w:rsidRPr="00317BC1" w:rsidRDefault="00FB4A79" w:rsidP="007D68A0">
            <w:pPr>
              <w:tabs>
                <w:tab w:val="left" w:pos="567"/>
              </w:tabs>
              <w:jc w:val="both"/>
              <w:rPr>
                <w:sz w:val="22"/>
                <w:szCs w:val="22"/>
                <w:lang w:val="lt-LT"/>
              </w:rPr>
            </w:pPr>
            <w:r w:rsidRPr="00317BC1">
              <w:rPr>
                <w:sz w:val="22"/>
                <w:szCs w:val="22"/>
                <w:lang w:val="lt-LT"/>
              </w:rPr>
              <w:t xml:space="preserve">3) </w:t>
            </w:r>
            <w:r w:rsidRPr="00317BC1">
              <w:rPr>
                <w:i/>
                <w:sz w:val="22"/>
                <w:szCs w:val="22"/>
                <w:lang w:val="lt-LT"/>
              </w:rPr>
              <w:t>audito darbo</w:t>
            </w:r>
            <w:r w:rsidRPr="00317BC1">
              <w:rPr>
                <w:sz w:val="22"/>
                <w:szCs w:val="22"/>
                <w:lang w:val="lt-LT"/>
              </w:rPr>
              <w:t xml:space="preserve">, kurį reikės atlikti, kad sumažinti reikšmingo iškraipymo riziką finansinių ataskaitų lygmeniu, </w:t>
            </w:r>
            <w:r w:rsidRPr="00317BC1">
              <w:rPr>
                <w:i/>
                <w:sz w:val="22"/>
                <w:szCs w:val="22"/>
                <w:lang w:val="lt-LT"/>
              </w:rPr>
              <w:t>numatymas</w:t>
            </w:r>
            <w:r w:rsidRPr="00317BC1">
              <w:rPr>
                <w:sz w:val="22"/>
                <w:szCs w:val="22"/>
                <w:lang w:val="lt-LT"/>
              </w:rPr>
              <w:t xml:space="preserve"> ir </w:t>
            </w:r>
            <w:r w:rsidRPr="00317BC1">
              <w:rPr>
                <w:i/>
                <w:sz w:val="22"/>
                <w:szCs w:val="22"/>
                <w:lang w:val="lt-LT"/>
              </w:rPr>
              <w:t>tolesnių audito procedūrų</w:t>
            </w:r>
            <w:r w:rsidRPr="00317BC1">
              <w:rPr>
                <w:sz w:val="22"/>
                <w:szCs w:val="22"/>
                <w:lang w:val="lt-LT"/>
              </w:rPr>
              <w:t xml:space="preserve"> dėl reikšmingo iškraipymo rizikos </w:t>
            </w:r>
            <w:r w:rsidR="0025194A" w:rsidRPr="00317BC1">
              <w:rPr>
                <w:sz w:val="22"/>
                <w:szCs w:val="22"/>
                <w:lang w:val="lt-LT"/>
              </w:rPr>
              <w:t>tvirtinimo</w:t>
            </w:r>
            <w:r w:rsidRPr="00317BC1">
              <w:rPr>
                <w:sz w:val="22"/>
                <w:szCs w:val="22"/>
                <w:lang w:val="lt-LT"/>
              </w:rPr>
              <w:t xml:space="preserve"> lygmeniu </w:t>
            </w:r>
            <w:r w:rsidRPr="00317BC1">
              <w:rPr>
                <w:i/>
                <w:sz w:val="22"/>
                <w:szCs w:val="22"/>
                <w:lang w:val="lt-LT"/>
              </w:rPr>
              <w:t>sukūrimas ir atlikimas</w:t>
            </w:r>
            <w:r w:rsidRPr="00317BC1">
              <w:rPr>
                <w:sz w:val="22"/>
                <w:szCs w:val="22"/>
                <w:lang w:val="lt-LT"/>
              </w:rPr>
              <w:t xml:space="preserve">; </w:t>
            </w:r>
          </w:p>
          <w:p w:rsidR="00FB4A79" w:rsidRPr="00317BC1" w:rsidRDefault="00FB4A79" w:rsidP="007D68A0">
            <w:pPr>
              <w:tabs>
                <w:tab w:val="left" w:pos="567"/>
              </w:tabs>
              <w:jc w:val="both"/>
              <w:rPr>
                <w:sz w:val="22"/>
                <w:szCs w:val="22"/>
                <w:lang w:val="lt-LT"/>
              </w:rPr>
            </w:pPr>
            <w:r w:rsidRPr="00317BC1">
              <w:rPr>
                <w:sz w:val="22"/>
                <w:szCs w:val="22"/>
                <w:lang w:val="lt-LT"/>
              </w:rPr>
              <w:t>4) s</w:t>
            </w:r>
            <w:r w:rsidRPr="00317BC1">
              <w:rPr>
                <w:i/>
                <w:sz w:val="22"/>
                <w:szCs w:val="22"/>
                <w:lang w:val="lt-LT"/>
              </w:rPr>
              <w:t>urinktų audito įrodymų įvertinimas</w:t>
            </w:r>
            <w:r w:rsidRPr="00317BC1">
              <w:rPr>
                <w:sz w:val="22"/>
                <w:szCs w:val="22"/>
                <w:lang w:val="lt-LT"/>
              </w:rPr>
              <w:t xml:space="preserve"> ir </w:t>
            </w:r>
            <w:r w:rsidRPr="00317BC1">
              <w:rPr>
                <w:i/>
                <w:sz w:val="22"/>
                <w:szCs w:val="22"/>
                <w:lang w:val="lt-LT"/>
              </w:rPr>
              <w:t>audito nuomonės</w:t>
            </w:r>
            <w:r w:rsidRPr="00317BC1">
              <w:rPr>
                <w:sz w:val="22"/>
                <w:szCs w:val="22"/>
                <w:lang w:val="lt-LT"/>
              </w:rPr>
              <w:t xml:space="preserve"> apie finansines ataskaitas </w:t>
            </w:r>
            <w:r w:rsidRPr="00317BC1">
              <w:rPr>
                <w:i/>
                <w:sz w:val="22"/>
                <w:szCs w:val="22"/>
                <w:lang w:val="lt-LT"/>
              </w:rPr>
              <w:t>suformulavimas</w:t>
            </w:r>
            <w:r w:rsidRPr="00317BC1">
              <w:rPr>
                <w:sz w:val="22"/>
                <w:szCs w:val="22"/>
                <w:lang w:val="lt-LT"/>
              </w:rPr>
              <w:t>.</w:t>
            </w:r>
          </w:p>
        </w:tc>
      </w:tr>
    </w:tbl>
    <w:p w:rsidR="00FB4A79" w:rsidRPr="00FE380C" w:rsidRDefault="00FE380C" w:rsidP="00FB4A79">
      <w:pPr>
        <w:spacing w:line="360" w:lineRule="auto"/>
        <w:jc w:val="both"/>
        <w:rPr>
          <w:lang w:val="lt-LT"/>
        </w:rPr>
      </w:pPr>
      <w:r>
        <w:rPr>
          <w:lang w:val="lt-LT"/>
        </w:rPr>
        <w:t>Šaltinis: sudaryta autorės.</w:t>
      </w:r>
    </w:p>
    <w:p w:rsidR="00BB0F46" w:rsidRPr="00317BC1" w:rsidRDefault="00FA481D" w:rsidP="00BB0F46">
      <w:pPr>
        <w:spacing w:before="120" w:line="360" w:lineRule="auto"/>
        <w:ind w:firstLine="720"/>
        <w:jc w:val="both"/>
        <w:rPr>
          <w:sz w:val="26"/>
          <w:szCs w:val="26"/>
          <w:lang w:val="lt-LT"/>
        </w:rPr>
      </w:pPr>
      <w:r w:rsidRPr="00317BC1">
        <w:rPr>
          <w:sz w:val="26"/>
          <w:szCs w:val="26"/>
          <w:lang w:val="lt-LT"/>
        </w:rPr>
        <w:t xml:space="preserve">Apibendrinant galima teigti, kad </w:t>
      </w:r>
      <w:r w:rsidR="00DA4D78" w:rsidRPr="00317BC1">
        <w:rPr>
          <w:sz w:val="26"/>
          <w:szCs w:val="26"/>
          <w:lang w:val="lt-LT"/>
        </w:rPr>
        <w:t xml:space="preserve">audituojamos </w:t>
      </w:r>
      <w:r w:rsidRPr="00317BC1">
        <w:rPr>
          <w:sz w:val="26"/>
          <w:szCs w:val="26"/>
          <w:lang w:val="lt-LT"/>
        </w:rPr>
        <w:t>įmonės</w:t>
      </w:r>
      <w:r w:rsidR="00FB4A79" w:rsidRPr="00317BC1">
        <w:rPr>
          <w:sz w:val="26"/>
          <w:szCs w:val="26"/>
          <w:lang w:val="lt-LT"/>
        </w:rPr>
        <w:t xml:space="preserve"> </w:t>
      </w:r>
      <w:r w:rsidRPr="00317BC1">
        <w:rPr>
          <w:sz w:val="26"/>
          <w:szCs w:val="26"/>
          <w:lang w:val="lt-LT"/>
        </w:rPr>
        <w:t xml:space="preserve">verslo </w:t>
      </w:r>
      <w:r w:rsidR="00FB4A79" w:rsidRPr="00317BC1">
        <w:rPr>
          <w:sz w:val="26"/>
          <w:szCs w:val="26"/>
          <w:lang w:val="lt-LT"/>
        </w:rPr>
        <w:t>rizik</w:t>
      </w:r>
      <w:r w:rsidRPr="00317BC1">
        <w:rPr>
          <w:sz w:val="26"/>
          <w:szCs w:val="26"/>
          <w:lang w:val="lt-LT"/>
        </w:rPr>
        <w:t>os vertinim</w:t>
      </w:r>
      <w:r w:rsidR="00A5144D" w:rsidRPr="00317BC1">
        <w:rPr>
          <w:sz w:val="26"/>
          <w:szCs w:val="26"/>
          <w:lang w:val="lt-LT"/>
        </w:rPr>
        <w:t>as</w:t>
      </w:r>
      <w:r w:rsidRPr="00317BC1">
        <w:rPr>
          <w:sz w:val="26"/>
          <w:szCs w:val="26"/>
          <w:lang w:val="lt-LT"/>
        </w:rPr>
        <w:t xml:space="preserve"> </w:t>
      </w:r>
      <w:r w:rsidR="00775783" w:rsidRPr="00317BC1">
        <w:rPr>
          <w:sz w:val="26"/>
          <w:szCs w:val="26"/>
          <w:lang w:val="lt-LT"/>
        </w:rPr>
        <w:t xml:space="preserve">audito metu </w:t>
      </w:r>
      <w:r w:rsidR="008D5A2C" w:rsidRPr="00317BC1">
        <w:rPr>
          <w:sz w:val="26"/>
          <w:szCs w:val="26"/>
          <w:lang w:val="lt-LT"/>
        </w:rPr>
        <w:t xml:space="preserve">turėtų </w:t>
      </w:r>
      <w:r w:rsidR="00FB4A79" w:rsidRPr="00317BC1">
        <w:rPr>
          <w:sz w:val="26"/>
          <w:szCs w:val="26"/>
          <w:lang w:val="lt-LT"/>
        </w:rPr>
        <w:t>rem</w:t>
      </w:r>
      <w:r w:rsidR="008D5A2C" w:rsidRPr="00317BC1">
        <w:rPr>
          <w:sz w:val="26"/>
          <w:szCs w:val="26"/>
          <w:lang w:val="lt-LT"/>
        </w:rPr>
        <w:t>tis</w:t>
      </w:r>
      <w:r w:rsidR="00FB4A79" w:rsidRPr="00317BC1">
        <w:rPr>
          <w:sz w:val="26"/>
          <w:szCs w:val="26"/>
          <w:lang w:val="lt-LT"/>
        </w:rPr>
        <w:t xml:space="preserve"> požiūriu „iš viršaus į apačią“, t. y. pi</w:t>
      </w:r>
      <w:r w:rsidR="00775783" w:rsidRPr="00317BC1">
        <w:rPr>
          <w:sz w:val="26"/>
          <w:szCs w:val="26"/>
          <w:lang w:val="lt-LT"/>
        </w:rPr>
        <w:t>rmiausia žiūrima į įmonės</w:t>
      </w:r>
      <w:r w:rsidR="00FB4A79" w:rsidRPr="00317BC1">
        <w:rPr>
          <w:sz w:val="26"/>
          <w:szCs w:val="26"/>
          <w:lang w:val="lt-LT"/>
        </w:rPr>
        <w:t xml:space="preserve"> strategiją (strategines verslo rizikas), o po to į </w:t>
      </w:r>
      <w:r w:rsidR="00775783" w:rsidRPr="00317BC1">
        <w:rPr>
          <w:sz w:val="26"/>
          <w:szCs w:val="26"/>
          <w:lang w:val="lt-LT"/>
        </w:rPr>
        <w:lastRenderedPageBreak/>
        <w:t>įmonės</w:t>
      </w:r>
      <w:r w:rsidR="00FB4A79" w:rsidRPr="00317BC1">
        <w:rPr>
          <w:sz w:val="26"/>
          <w:szCs w:val="26"/>
          <w:lang w:val="lt-LT"/>
        </w:rPr>
        <w:t xml:space="preserve"> veiklą bei jos turimus procesus (proceso verslo rizikas)</w:t>
      </w:r>
      <w:r w:rsidR="008D5A2C" w:rsidRPr="00317BC1">
        <w:rPr>
          <w:sz w:val="26"/>
          <w:szCs w:val="26"/>
          <w:lang w:val="lt-LT"/>
        </w:rPr>
        <w:t>.</w:t>
      </w:r>
      <w:r w:rsidR="00FB4A79" w:rsidRPr="00317BC1">
        <w:rPr>
          <w:sz w:val="26"/>
          <w:szCs w:val="26"/>
          <w:lang w:val="lt-LT"/>
        </w:rPr>
        <w:t xml:space="preserve"> </w:t>
      </w:r>
      <w:r w:rsidR="00721197" w:rsidRPr="00317BC1">
        <w:rPr>
          <w:sz w:val="26"/>
          <w:szCs w:val="26"/>
          <w:lang w:val="lt-LT"/>
        </w:rPr>
        <w:t>Tokiu būdu, k</w:t>
      </w:r>
      <w:r w:rsidR="00721197" w:rsidRPr="00317BC1">
        <w:rPr>
          <w:color w:val="000000" w:themeColor="text1"/>
          <w:sz w:val="26"/>
          <w:szCs w:val="26"/>
          <w:lang w:val="lt-LT"/>
        </w:rPr>
        <w:t>aip teigia S. Spector (2003), I. Toliatienė (2004), D. R. Carmichael (2006a), auditorius įgyja platesnį ir gilesnį supratimą apie įmonės specifiką, jos aplinką, įskaitant ir vidaus kontrolę</w:t>
      </w:r>
      <w:r w:rsidR="008D5A2C" w:rsidRPr="00317BC1">
        <w:rPr>
          <w:color w:val="000000" w:themeColor="text1"/>
          <w:sz w:val="26"/>
          <w:szCs w:val="26"/>
          <w:lang w:val="lt-LT"/>
        </w:rPr>
        <w:t xml:space="preserve"> ir </w:t>
      </w:r>
      <w:r w:rsidR="008D5A2C" w:rsidRPr="00317BC1">
        <w:rPr>
          <w:sz w:val="26"/>
          <w:szCs w:val="26"/>
          <w:lang w:val="lt-LT"/>
        </w:rPr>
        <w:t>leidžia lengviau nustatyti reikšmingą iškraipymą įmonės finansinėse ataskaitose.</w:t>
      </w:r>
      <w:r w:rsidR="00721197" w:rsidRPr="00317BC1">
        <w:rPr>
          <w:color w:val="000000" w:themeColor="text1"/>
          <w:sz w:val="26"/>
          <w:szCs w:val="26"/>
          <w:lang w:val="lt-LT"/>
        </w:rPr>
        <w:t xml:space="preserve"> </w:t>
      </w:r>
      <w:r w:rsidR="00FB4A79" w:rsidRPr="00317BC1">
        <w:rPr>
          <w:sz w:val="26"/>
          <w:szCs w:val="26"/>
          <w:lang w:val="lt-LT"/>
        </w:rPr>
        <w:t>Nepaisant to, literatūroje su</w:t>
      </w:r>
      <w:r w:rsidR="00334191" w:rsidRPr="00317BC1">
        <w:rPr>
          <w:sz w:val="26"/>
          <w:szCs w:val="26"/>
          <w:lang w:val="lt-LT"/>
        </w:rPr>
        <w:t>tinkamos prieštaringos nuomonės</w:t>
      </w:r>
      <w:r w:rsidR="00FB4A79" w:rsidRPr="00317BC1">
        <w:rPr>
          <w:sz w:val="26"/>
          <w:szCs w:val="26"/>
          <w:lang w:val="lt-LT"/>
        </w:rPr>
        <w:t>: 1) auditoriai gali neįgyti pakankamo supratimo apie įmonę ir jos aplinką, kad tinkamai nustatytų reikšmingo iškraipymo rizikas ir, kad auditoriai gali nesurinkti pakankamų įrodymų, kurie patvirtintų jų rizikos vertinimus ar, kad būtų tinkamai patikrintos finansinių ataskaitų sąskaitos ir atskleidimai (JAV Viešųjų apskaitos įmonių priežiūros valdyba, 2005, p. 3); 2)</w:t>
      </w:r>
      <w:r w:rsidR="00041860">
        <w:rPr>
          <w:sz w:val="26"/>
          <w:szCs w:val="26"/>
          <w:lang w:val="lt-LT"/>
        </w:rPr>
        <w:t> </w:t>
      </w:r>
      <w:r w:rsidR="00FB4A79" w:rsidRPr="00317BC1">
        <w:rPr>
          <w:sz w:val="26"/>
          <w:szCs w:val="26"/>
          <w:lang w:val="lt-LT"/>
        </w:rPr>
        <w:t>auditoriams sunku reikšti nuomonę apie finansines ataskaitas remiantis įrodymais, surinktais verslo rizikų ir aukšto lygio kontrolės procedūrų veikimo analizės metu. Pasitikėjimas tokiais įrodymais yra probleminis ne dėl</w:t>
      </w:r>
      <w:r w:rsidR="00334191" w:rsidRPr="00317BC1">
        <w:rPr>
          <w:sz w:val="26"/>
          <w:szCs w:val="26"/>
          <w:lang w:val="lt-LT"/>
        </w:rPr>
        <w:t xml:space="preserve"> </w:t>
      </w:r>
      <w:r w:rsidR="00FB4A79" w:rsidRPr="00317BC1">
        <w:rPr>
          <w:sz w:val="26"/>
          <w:szCs w:val="26"/>
          <w:lang w:val="lt-LT"/>
        </w:rPr>
        <w:t xml:space="preserve">to, kad negali būti suteiktas audito užtikrinimas, bet dėl to, kad tai neatitinka auditoriaus pagrįstumo koncepcijos (audito dokumentai nėra pagrindžiami) (Curtis, Turley, 2007, p. 458). </w:t>
      </w:r>
      <w:r w:rsidR="00B05B20" w:rsidRPr="00317BC1">
        <w:rPr>
          <w:sz w:val="26"/>
          <w:szCs w:val="26"/>
          <w:lang w:val="lt-LT"/>
        </w:rPr>
        <w:t xml:space="preserve">Darbo autorės nuomone, </w:t>
      </w:r>
      <w:r w:rsidR="008D5A2C" w:rsidRPr="00317BC1">
        <w:rPr>
          <w:sz w:val="26"/>
          <w:szCs w:val="26"/>
          <w:lang w:val="lt-LT"/>
        </w:rPr>
        <w:t xml:space="preserve">nepaisant šių apribojimų, </w:t>
      </w:r>
      <w:r w:rsidR="00BB0F46" w:rsidRPr="00317BC1">
        <w:rPr>
          <w:sz w:val="26"/>
          <w:szCs w:val="26"/>
          <w:lang w:val="lt-LT"/>
        </w:rPr>
        <w:t>auditoriu</w:t>
      </w:r>
      <w:r w:rsidR="008D5A2C" w:rsidRPr="00317BC1">
        <w:rPr>
          <w:sz w:val="26"/>
          <w:szCs w:val="26"/>
          <w:lang w:val="lt-LT"/>
        </w:rPr>
        <w:t xml:space="preserve">i yra labai svarbu </w:t>
      </w:r>
      <w:r w:rsidR="00BB0F46" w:rsidRPr="00317BC1">
        <w:rPr>
          <w:sz w:val="26"/>
          <w:szCs w:val="26"/>
          <w:lang w:val="lt-LT"/>
        </w:rPr>
        <w:t xml:space="preserve">nustatyti </w:t>
      </w:r>
      <w:r w:rsidR="00476FD6" w:rsidRPr="00317BC1">
        <w:rPr>
          <w:sz w:val="26"/>
          <w:szCs w:val="26"/>
          <w:lang w:val="lt-LT"/>
        </w:rPr>
        <w:t xml:space="preserve">audituojamos </w:t>
      </w:r>
      <w:r w:rsidR="00BB0F46" w:rsidRPr="00317BC1">
        <w:rPr>
          <w:sz w:val="26"/>
          <w:szCs w:val="26"/>
          <w:lang w:val="lt-LT"/>
        </w:rPr>
        <w:t>įmonės verslo rizikos šaltinius ir įsitikinti įmonė</w:t>
      </w:r>
      <w:r w:rsidR="00B05B20" w:rsidRPr="00317BC1">
        <w:rPr>
          <w:sz w:val="26"/>
          <w:szCs w:val="26"/>
          <w:lang w:val="lt-LT"/>
        </w:rPr>
        <w:t>s</w:t>
      </w:r>
      <w:r w:rsidR="00BB0F46" w:rsidRPr="00317BC1">
        <w:rPr>
          <w:sz w:val="26"/>
          <w:szCs w:val="26"/>
          <w:lang w:val="lt-LT"/>
        </w:rPr>
        <w:t xml:space="preserve"> turi</w:t>
      </w:r>
      <w:r w:rsidR="00B05B20" w:rsidRPr="00317BC1">
        <w:rPr>
          <w:sz w:val="26"/>
          <w:szCs w:val="26"/>
          <w:lang w:val="lt-LT"/>
        </w:rPr>
        <w:t>mų</w:t>
      </w:r>
      <w:r w:rsidR="00BB0F46" w:rsidRPr="00317BC1">
        <w:rPr>
          <w:sz w:val="26"/>
          <w:szCs w:val="26"/>
          <w:lang w:val="lt-LT"/>
        </w:rPr>
        <w:t xml:space="preserve"> </w:t>
      </w:r>
      <w:r w:rsidR="00484691" w:rsidRPr="00317BC1">
        <w:rPr>
          <w:sz w:val="26"/>
          <w:szCs w:val="26"/>
          <w:lang w:val="lt-LT"/>
        </w:rPr>
        <w:t>rizik</w:t>
      </w:r>
      <w:r w:rsidR="00484691">
        <w:rPr>
          <w:sz w:val="26"/>
          <w:szCs w:val="26"/>
          <w:lang w:val="lt-LT"/>
        </w:rPr>
        <w:t>os</w:t>
      </w:r>
      <w:r w:rsidR="00484691" w:rsidRPr="00317BC1">
        <w:rPr>
          <w:sz w:val="26"/>
          <w:szCs w:val="26"/>
          <w:lang w:val="lt-LT"/>
        </w:rPr>
        <w:t xml:space="preserve"> </w:t>
      </w:r>
      <w:r w:rsidR="00BB0F46" w:rsidRPr="00317BC1">
        <w:rPr>
          <w:sz w:val="26"/>
          <w:szCs w:val="26"/>
          <w:lang w:val="lt-LT"/>
        </w:rPr>
        <w:t>stebė</w:t>
      </w:r>
      <w:r w:rsidR="00484691">
        <w:rPr>
          <w:sz w:val="26"/>
          <w:szCs w:val="26"/>
          <w:lang w:val="lt-LT"/>
        </w:rPr>
        <w:t xml:space="preserve">jimo </w:t>
      </w:r>
      <w:r w:rsidR="00BB0F46" w:rsidRPr="00317BC1">
        <w:rPr>
          <w:sz w:val="26"/>
          <w:szCs w:val="26"/>
          <w:lang w:val="lt-LT"/>
        </w:rPr>
        <w:t>ir valdy</w:t>
      </w:r>
      <w:r w:rsidR="00484691">
        <w:rPr>
          <w:sz w:val="26"/>
          <w:szCs w:val="26"/>
          <w:lang w:val="lt-LT"/>
        </w:rPr>
        <w:t>mo</w:t>
      </w:r>
      <w:r w:rsidR="00BB0F46" w:rsidRPr="00317BC1">
        <w:rPr>
          <w:sz w:val="26"/>
          <w:szCs w:val="26"/>
          <w:lang w:val="lt-LT"/>
        </w:rPr>
        <w:t xml:space="preserve"> </w:t>
      </w:r>
      <w:r w:rsidR="00484691" w:rsidRPr="00317BC1">
        <w:rPr>
          <w:sz w:val="26"/>
          <w:szCs w:val="26"/>
          <w:lang w:val="lt-LT"/>
        </w:rPr>
        <w:t xml:space="preserve">sistemų </w:t>
      </w:r>
      <w:r w:rsidR="00B05B20" w:rsidRPr="00317BC1">
        <w:rPr>
          <w:sz w:val="26"/>
          <w:szCs w:val="26"/>
          <w:lang w:val="lt-LT"/>
        </w:rPr>
        <w:t>tinkamumu</w:t>
      </w:r>
      <w:r w:rsidR="00BB0F46" w:rsidRPr="00317BC1">
        <w:rPr>
          <w:sz w:val="26"/>
          <w:szCs w:val="26"/>
          <w:lang w:val="lt-LT"/>
        </w:rPr>
        <w:t xml:space="preserve">. </w:t>
      </w:r>
    </w:p>
    <w:p w:rsidR="00484691" w:rsidRDefault="00697E09" w:rsidP="00484691">
      <w:pPr>
        <w:spacing w:line="360" w:lineRule="auto"/>
        <w:ind w:firstLine="720"/>
        <w:jc w:val="both"/>
        <w:rPr>
          <w:sz w:val="26"/>
          <w:szCs w:val="26"/>
          <w:lang w:val="lt-LT"/>
        </w:rPr>
      </w:pPr>
      <w:r w:rsidRPr="00317BC1">
        <w:rPr>
          <w:sz w:val="26"/>
          <w:szCs w:val="26"/>
          <w:lang w:val="lt-LT"/>
        </w:rPr>
        <w:t>Audito standartuose (240 TSA, 2004; 2006) ir m</w:t>
      </w:r>
      <w:r w:rsidR="002A3AB7" w:rsidRPr="00317BC1">
        <w:rPr>
          <w:sz w:val="26"/>
          <w:szCs w:val="26"/>
          <w:lang w:val="lt-LT"/>
        </w:rPr>
        <w:t>okslo darbuose (</w:t>
      </w:r>
      <w:r w:rsidR="00A841AF" w:rsidRPr="00317BC1">
        <w:rPr>
          <w:sz w:val="26"/>
          <w:szCs w:val="26"/>
          <w:lang w:val="lt-LT"/>
        </w:rPr>
        <w:t>L.</w:t>
      </w:r>
      <w:r w:rsidR="00317BC1">
        <w:rPr>
          <w:sz w:val="26"/>
          <w:szCs w:val="26"/>
          <w:lang w:val="lt-LT"/>
        </w:rPr>
        <w:t> </w:t>
      </w:r>
      <w:r w:rsidR="00A841AF" w:rsidRPr="00317BC1">
        <w:rPr>
          <w:sz w:val="26"/>
          <w:szCs w:val="26"/>
          <w:lang w:val="lt-LT"/>
        </w:rPr>
        <w:t xml:space="preserve">Graham, J, C. Bedard, 2003; Turner, Mock, Srivastava, 2003; Cormier, Lapointe, 2005; </w:t>
      </w:r>
      <w:r w:rsidR="002A3AB7" w:rsidRPr="00317BC1">
        <w:rPr>
          <w:sz w:val="26"/>
          <w:szCs w:val="26"/>
          <w:lang w:val="lt-LT"/>
        </w:rPr>
        <w:t>Fukukawa, Mock, Wright, 2006; Allen, Hermanson, Kozloski, Ramsay, 2006)</w:t>
      </w:r>
      <w:r w:rsidR="00A841AF" w:rsidRPr="00317BC1">
        <w:rPr>
          <w:sz w:val="26"/>
          <w:szCs w:val="26"/>
          <w:lang w:val="lt-LT"/>
        </w:rPr>
        <w:t xml:space="preserve"> akcentuojamas a</w:t>
      </w:r>
      <w:r w:rsidR="00A872DA" w:rsidRPr="00317BC1">
        <w:rPr>
          <w:sz w:val="26"/>
          <w:szCs w:val="26"/>
          <w:lang w:val="lt-LT"/>
        </w:rPr>
        <w:t xml:space="preserve">pgaulės </w:t>
      </w:r>
      <w:r w:rsidR="00A841AF" w:rsidRPr="00317BC1">
        <w:rPr>
          <w:sz w:val="26"/>
          <w:szCs w:val="26"/>
          <w:lang w:val="lt-LT"/>
        </w:rPr>
        <w:t>veiksni</w:t>
      </w:r>
      <w:r w:rsidR="00A872DA" w:rsidRPr="00317BC1">
        <w:rPr>
          <w:sz w:val="26"/>
          <w:szCs w:val="26"/>
          <w:lang w:val="lt-LT"/>
        </w:rPr>
        <w:t>ų svar</w:t>
      </w:r>
      <w:r w:rsidR="00484691">
        <w:rPr>
          <w:sz w:val="26"/>
          <w:szCs w:val="26"/>
          <w:lang w:val="lt-LT"/>
        </w:rPr>
        <w:t>ba</w:t>
      </w:r>
      <w:r w:rsidR="00BA53DE" w:rsidRPr="00317BC1">
        <w:rPr>
          <w:sz w:val="26"/>
          <w:szCs w:val="26"/>
          <w:lang w:val="lt-LT"/>
        </w:rPr>
        <w:t xml:space="preserve"> vertinant reikšmingo iškraipymo riziką</w:t>
      </w:r>
      <w:r w:rsidR="001056ED" w:rsidRPr="00317BC1">
        <w:rPr>
          <w:sz w:val="26"/>
          <w:szCs w:val="26"/>
          <w:lang w:val="lt-LT"/>
        </w:rPr>
        <w:t>, tačiau nuomonės</w:t>
      </w:r>
      <w:r w:rsidR="005A258F" w:rsidRPr="00317BC1">
        <w:rPr>
          <w:sz w:val="26"/>
          <w:szCs w:val="26"/>
          <w:lang w:val="lt-LT"/>
        </w:rPr>
        <w:t xml:space="preserve"> </w:t>
      </w:r>
      <w:r w:rsidR="001056ED" w:rsidRPr="00317BC1">
        <w:rPr>
          <w:sz w:val="26"/>
          <w:szCs w:val="26"/>
          <w:lang w:val="lt-LT"/>
        </w:rPr>
        <w:t xml:space="preserve">dėl jų klasifikavimo </w:t>
      </w:r>
      <w:r w:rsidR="005A258F" w:rsidRPr="00317BC1">
        <w:rPr>
          <w:sz w:val="26"/>
          <w:szCs w:val="26"/>
          <w:lang w:val="lt-LT"/>
        </w:rPr>
        <w:t xml:space="preserve">šiuose šaltiniuose </w:t>
      </w:r>
      <w:r w:rsidR="001056ED" w:rsidRPr="00317BC1">
        <w:rPr>
          <w:sz w:val="26"/>
          <w:szCs w:val="26"/>
          <w:lang w:val="lt-LT"/>
        </w:rPr>
        <w:t>skiriasi</w:t>
      </w:r>
      <w:r w:rsidR="00BA53DE" w:rsidRPr="00317BC1">
        <w:rPr>
          <w:sz w:val="26"/>
          <w:szCs w:val="26"/>
          <w:lang w:val="lt-LT"/>
        </w:rPr>
        <w:t xml:space="preserve"> </w:t>
      </w:r>
      <w:r w:rsidR="0023386B" w:rsidRPr="00317BC1">
        <w:rPr>
          <w:sz w:val="26"/>
          <w:szCs w:val="26"/>
          <w:lang w:val="lt-LT"/>
        </w:rPr>
        <w:t xml:space="preserve">(žr. </w:t>
      </w:r>
      <w:r w:rsidR="002F7447" w:rsidRPr="00317BC1">
        <w:rPr>
          <w:sz w:val="26"/>
          <w:szCs w:val="26"/>
          <w:lang w:val="lt-LT"/>
        </w:rPr>
        <w:t>9</w:t>
      </w:r>
      <w:r w:rsidR="0023386B" w:rsidRPr="00317BC1">
        <w:rPr>
          <w:sz w:val="26"/>
          <w:szCs w:val="26"/>
          <w:lang w:val="lt-LT"/>
        </w:rPr>
        <w:t xml:space="preserve"> lentelė</w:t>
      </w:r>
      <w:r w:rsidR="00BA53DE" w:rsidRPr="00317BC1">
        <w:rPr>
          <w:sz w:val="26"/>
          <w:szCs w:val="26"/>
          <w:lang w:val="lt-LT"/>
        </w:rPr>
        <w:t>)</w:t>
      </w:r>
      <w:r w:rsidR="00A841AF" w:rsidRPr="00317BC1">
        <w:rPr>
          <w:sz w:val="26"/>
          <w:szCs w:val="26"/>
          <w:lang w:val="lt-LT"/>
        </w:rPr>
        <w:t>.</w:t>
      </w:r>
      <w:r w:rsidR="00A872DA" w:rsidRPr="00317BC1">
        <w:rPr>
          <w:sz w:val="26"/>
          <w:szCs w:val="26"/>
          <w:lang w:val="lt-LT"/>
        </w:rPr>
        <w:t xml:space="preserve"> </w:t>
      </w:r>
    </w:p>
    <w:p w:rsidR="00484691" w:rsidRPr="00317BC1" w:rsidRDefault="00484691" w:rsidP="00484691">
      <w:pPr>
        <w:spacing w:line="360" w:lineRule="auto"/>
        <w:ind w:firstLine="720"/>
        <w:jc w:val="both"/>
        <w:rPr>
          <w:sz w:val="26"/>
          <w:szCs w:val="26"/>
          <w:lang w:val="lt-LT"/>
        </w:rPr>
      </w:pPr>
      <w:r w:rsidRPr="00317BC1">
        <w:rPr>
          <w:sz w:val="26"/>
          <w:szCs w:val="26"/>
          <w:lang w:val="lt-LT"/>
        </w:rPr>
        <w:t>Darbo autorės nuomone, apgaulės rizikos veiksnių klasifikacija, pagal kurią veiksniai klasifikuojami pagal du</w:t>
      </w:r>
      <w:r w:rsidRPr="003B2F63">
        <w:rPr>
          <w:sz w:val="26"/>
          <w:szCs w:val="26"/>
          <w:lang w:val="lt-LT"/>
        </w:rPr>
        <w:t xml:space="preserve"> apgaulės</w:t>
      </w:r>
      <w:r w:rsidRPr="00317BC1">
        <w:rPr>
          <w:sz w:val="26"/>
          <w:szCs w:val="26"/>
          <w:lang w:val="lt-LT"/>
        </w:rPr>
        <w:t xml:space="preserve"> tipus </w:t>
      </w:r>
      <w:r w:rsidRPr="00317BC1">
        <w:rPr>
          <w:i/>
          <w:sz w:val="26"/>
          <w:szCs w:val="26"/>
          <w:lang w:val="lt-LT"/>
        </w:rPr>
        <w:t>dėl apgaulės būdu sudarytų finansinių ataskaitų</w:t>
      </w:r>
      <w:r w:rsidRPr="00317BC1">
        <w:rPr>
          <w:sz w:val="26"/>
          <w:szCs w:val="26"/>
          <w:lang w:val="lt-LT"/>
        </w:rPr>
        <w:t xml:space="preserve"> ir</w:t>
      </w:r>
      <w:r w:rsidRPr="00317BC1">
        <w:rPr>
          <w:i/>
          <w:sz w:val="26"/>
          <w:szCs w:val="26"/>
          <w:lang w:val="lt-LT"/>
        </w:rPr>
        <w:t xml:space="preserve"> dėl neteisėtai pasisavinto turto, </w:t>
      </w:r>
      <w:r w:rsidRPr="00317BC1">
        <w:rPr>
          <w:sz w:val="26"/>
          <w:szCs w:val="26"/>
          <w:lang w:val="lt-LT"/>
        </w:rPr>
        <w:t>detalizuojant jas lemiančias sąlygas</w:t>
      </w:r>
      <w:r w:rsidRPr="00317BC1">
        <w:rPr>
          <w:i/>
          <w:sz w:val="26"/>
          <w:szCs w:val="26"/>
          <w:lang w:val="lt-LT"/>
        </w:rPr>
        <w:t xml:space="preserve"> (paskatos/spaudimas, galimybės, požiūris/</w:t>
      </w:r>
      <w:r>
        <w:rPr>
          <w:i/>
          <w:sz w:val="26"/>
          <w:szCs w:val="26"/>
          <w:lang w:val="lt-LT"/>
        </w:rPr>
        <w:t xml:space="preserve"> </w:t>
      </w:r>
      <w:r w:rsidRPr="00317BC1">
        <w:rPr>
          <w:i/>
          <w:sz w:val="26"/>
          <w:szCs w:val="26"/>
          <w:lang w:val="lt-LT"/>
        </w:rPr>
        <w:t>racionalizacija)</w:t>
      </w:r>
      <w:r w:rsidRPr="00317BC1">
        <w:rPr>
          <w:sz w:val="26"/>
          <w:szCs w:val="26"/>
          <w:lang w:val="lt-LT"/>
        </w:rPr>
        <w:t xml:space="preserve">, nėra visiškai tinkama. Kur kas svarbiau išsiaiškinti samdomų darbuotojų ir vadovybės galimas apgaules (būtent pastarosios gali lemti </w:t>
      </w:r>
      <w:r w:rsidRPr="00317BC1">
        <w:rPr>
          <w:sz w:val="26"/>
          <w:szCs w:val="26"/>
          <w:lang w:val="lt-LT"/>
        </w:rPr>
        <w:lastRenderedPageBreak/>
        <w:t xml:space="preserve">reikšmingo iškraipymo riziką finansinių ataskaitų lygmeniu), todėl siūloma </w:t>
      </w:r>
      <w:r w:rsidR="008E4A5A">
        <w:rPr>
          <w:sz w:val="26"/>
          <w:szCs w:val="26"/>
          <w:lang w:val="lt-LT"/>
        </w:rPr>
        <w:t>įmonės vidaus</w:t>
      </w:r>
      <w:r w:rsidRPr="00317BC1">
        <w:rPr>
          <w:sz w:val="26"/>
          <w:szCs w:val="26"/>
          <w:lang w:val="lt-LT"/>
        </w:rPr>
        <w:t xml:space="preserve"> ir išorės aplinkos sąlygas nagrinėti per šių asmenų „apgaulės rombo“, kaip išsiaiškinta </w:t>
      </w:r>
      <w:r w:rsidR="00A900B0">
        <w:rPr>
          <w:sz w:val="26"/>
          <w:szCs w:val="26"/>
          <w:lang w:val="lt-LT"/>
        </w:rPr>
        <w:t xml:space="preserve">disertacijos </w:t>
      </w:r>
      <w:r w:rsidRPr="00317BC1">
        <w:rPr>
          <w:sz w:val="26"/>
          <w:szCs w:val="26"/>
          <w:lang w:val="lt-LT"/>
        </w:rPr>
        <w:t>1.2.1. skyriuje, prizmę, t. y. įvertinant jų paskatas/spaudimą, galimybes, požiūrį/racionalizaciją, sugebėjimus.</w:t>
      </w:r>
    </w:p>
    <w:p w:rsidR="0023386B" w:rsidRPr="00317BC1" w:rsidRDefault="002F7447" w:rsidP="00317BC1">
      <w:pPr>
        <w:ind w:left="6480" w:firstLine="720"/>
        <w:jc w:val="both"/>
        <w:rPr>
          <w:i/>
          <w:sz w:val="26"/>
          <w:szCs w:val="26"/>
          <w:lang w:val="lt-LT"/>
        </w:rPr>
      </w:pPr>
      <w:r w:rsidRPr="00317BC1">
        <w:rPr>
          <w:i/>
          <w:sz w:val="26"/>
          <w:szCs w:val="26"/>
          <w:lang w:val="lt-LT"/>
        </w:rPr>
        <w:t>9</w:t>
      </w:r>
      <w:r w:rsidR="0023386B" w:rsidRPr="00317BC1">
        <w:rPr>
          <w:i/>
          <w:sz w:val="26"/>
          <w:szCs w:val="26"/>
          <w:lang w:val="lt-LT"/>
        </w:rPr>
        <w:t xml:space="preserve"> lentelė</w:t>
      </w:r>
    </w:p>
    <w:p w:rsidR="0023386B" w:rsidRPr="00317BC1" w:rsidRDefault="0023386B" w:rsidP="00F93468">
      <w:pPr>
        <w:spacing w:after="120"/>
        <w:jc w:val="center"/>
        <w:rPr>
          <w:b/>
          <w:sz w:val="26"/>
          <w:szCs w:val="26"/>
          <w:lang w:val="lt-LT"/>
        </w:rPr>
      </w:pPr>
      <w:r w:rsidRPr="00317BC1">
        <w:rPr>
          <w:b/>
          <w:sz w:val="26"/>
          <w:szCs w:val="26"/>
          <w:lang w:val="lt-LT"/>
        </w:rPr>
        <w:t xml:space="preserve">Apgaulės veiksnių klasifikavimas </w:t>
      </w:r>
    </w:p>
    <w:tbl>
      <w:tblPr>
        <w:tblStyle w:val="TableGrid"/>
        <w:tblW w:w="0" w:type="auto"/>
        <w:jc w:val="center"/>
        <w:tblLook w:val="04A0"/>
      </w:tblPr>
      <w:tblGrid>
        <w:gridCol w:w="2147"/>
        <w:gridCol w:w="6347"/>
      </w:tblGrid>
      <w:tr w:rsidR="005955DB" w:rsidRPr="00317BC1" w:rsidTr="00F93468">
        <w:trPr>
          <w:jc w:val="center"/>
        </w:trPr>
        <w:tc>
          <w:tcPr>
            <w:tcW w:w="2262" w:type="dxa"/>
          </w:tcPr>
          <w:p w:rsidR="005955DB" w:rsidRPr="00317BC1" w:rsidRDefault="005955DB" w:rsidP="005C48EB">
            <w:pPr>
              <w:pStyle w:val="NormalWeb"/>
              <w:spacing w:before="0" w:beforeAutospacing="0" w:after="0" w:afterAutospacing="0"/>
              <w:jc w:val="center"/>
              <w:rPr>
                <w:b/>
                <w:sz w:val="22"/>
                <w:szCs w:val="22"/>
                <w:lang w:val="lt-LT"/>
              </w:rPr>
            </w:pPr>
            <w:r w:rsidRPr="00317BC1">
              <w:rPr>
                <w:b/>
                <w:sz w:val="22"/>
                <w:szCs w:val="22"/>
                <w:lang w:val="lt-LT"/>
              </w:rPr>
              <w:t>Šaltinis</w:t>
            </w:r>
          </w:p>
        </w:tc>
        <w:tc>
          <w:tcPr>
            <w:tcW w:w="7000" w:type="dxa"/>
          </w:tcPr>
          <w:p w:rsidR="005955DB" w:rsidRPr="00317BC1" w:rsidRDefault="005955DB" w:rsidP="005B14D9">
            <w:pPr>
              <w:pStyle w:val="NormalWeb"/>
              <w:spacing w:before="0" w:beforeAutospacing="0" w:after="0" w:afterAutospacing="0"/>
              <w:jc w:val="center"/>
              <w:rPr>
                <w:b/>
                <w:sz w:val="22"/>
                <w:szCs w:val="22"/>
                <w:lang w:val="lt-LT"/>
              </w:rPr>
            </w:pPr>
            <w:r w:rsidRPr="00317BC1">
              <w:rPr>
                <w:b/>
                <w:sz w:val="22"/>
                <w:szCs w:val="22"/>
                <w:lang w:val="lt-LT"/>
              </w:rPr>
              <w:t>Veiksnių klasifikavimas</w:t>
            </w:r>
          </w:p>
        </w:tc>
      </w:tr>
      <w:tr w:rsidR="005955DB" w:rsidRPr="00317BC1" w:rsidTr="00F93468">
        <w:trPr>
          <w:jc w:val="center"/>
        </w:trPr>
        <w:tc>
          <w:tcPr>
            <w:tcW w:w="2262" w:type="dxa"/>
            <w:vMerge w:val="restart"/>
          </w:tcPr>
          <w:p w:rsidR="005955DB" w:rsidRPr="00317BC1" w:rsidRDefault="005955DB" w:rsidP="00DD5E2F">
            <w:pPr>
              <w:pStyle w:val="NormalWeb"/>
              <w:spacing w:before="0" w:beforeAutospacing="0" w:after="0" w:afterAutospacing="0"/>
              <w:jc w:val="both"/>
              <w:rPr>
                <w:sz w:val="22"/>
                <w:szCs w:val="22"/>
                <w:lang w:val="lt-LT"/>
              </w:rPr>
            </w:pPr>
            <w:r w:rsidRPr="00317BC1">
              <w:rPr>
                <w:sz w:val="22"/>
                <w:szCs w:val="22"/>
                <w:lang w:val="lt-LT"/>
              </w:rPr>
              <w:t>240 TSA (2004)</w:t>
            </w:r>
          </w:p>
        </w:tc>
        <w:tc>
          <w:tcPr>
            <w:tcW w:w="7000" w:type="dxa"/>
          </w:tcPr>
          <w:p w:rsidR="00574CBE" w:rsidRDefault="005955DB" w:rsidP="005C48EB">
            <w:pPr>
              <w:pStyle w:val="NormalWeb"/>
              <w:spacing w:before="0" w:beforeAutospacing="0" w:after="0" w:afterAutospacing="0"/>
              <w:jc w:val="both"/>
              <w:rPr>
                <w:sz w:val="22"/>
                <w:szCs w:val="22"/>
                <w:lang w:val="lt-LT"/>
              </w:rPr>
            </w:pPr>
            <w:r w:rsidRPr="00317BC1">
              <w:rPr>
                <w:sz w:val="22"/>
                <w:szCs w:val="22"/>
                <w:lang w:val="lt-LT"/>
              </w:rPr>
              <w:t xml:space="preserve">1) dėl apgaulės būdu sudarytų finansinių ataskaitų, susiję su </w:t>
            </w:r>
          </w:p>
          <w:p w:rsidR="005955DB" w:rsidRPr="00317BC1" w:rsidRDefault="005955DB" w:rsidP="005C48EB">
            <w:pPr>
              <w:pStyle w:val="NormalWeb"/>
              <w:spacing w:before="0" w:beforeAutospacing="0" w:after="0" w:afterAutospacing="0"/>
              <w:jc w:val="both"/>
              <w:rPr>
                <w:sz w:val="22"/>
                <w:szCs w:val="22"/>
                <w:lang w:val="lt-LT"/>
              </w:rPr>
            </w:pPr>
            <w:r w:rsidRPr="00317BC1">
              <w:rPr>
                <w:sz w:val="22"/>
                <w:szCs w:val="22"/>
                <w:lang w:val="lt-LT"/>
              </w:rPr>
              <w:t>a) vadovybės savybėmis ir įtaka kontrolės aplinkai; b) ūkio šakos sąlygomis ir v</w:t>
            </w:r>
            <w:r w:rsidR="007C08F0" w:rsidRPr="00317BC1">
              <w:rPr>
                <w:sz w:val="22"/>
                <w:szCs w:val="22"/>
                <w:lang w:val="lt-LT"/>
              </w:rPr>
              <w:t>eiklos ypatybėmis; c) finansiniu</w:t>
            </w:r>
            <w:r w:rsidRPr="00317BC1">
              <w:rPr>
                <w:sz w:val="22"/>
                <w:szCs w:val="22"/>
                <w:lang w:val="lt-LT"/>
              </w:rPr>
              <w:t xml:space="preserve"> stabilumu</w:t>
            </w:r>
          </w:p>
        </w:tc>
      </w:tr>
      <w:tr w:rsidR="005955DB" w:rsidRPr="00317BC1" w:rsidTr="00F93468">
        <w:trPr>
          <w:jc w:val="center"/>
        </w:trPr>
        <w:tc>
          <w:tcPr>
            <w:tcW w:w="2262" w:type="dxa"/>
            <w:vMerge/>
          </w:tcPr>
          <w:p w:rsidR="005955DB" w:rsidRPr="00317BC1" w:rsidRDefault="005955DB" w:rsidP="005C48EB">
            <w:pPr>
              <w:pStyle w:val="NormalWeb"/>
              <w:spacing w:before="0" w:beforeAutospacing="0" w:after="0" w:afterAutospacing="0"/>
              <w:jc w:val="both"/>
              <w:rPr>
                <w:sz w:val="22"/>
                <w:szCs w:val="22"/>
                <w:lang w:val="lt-LT"/>
              </w:rPr>
            </w:pPr>
          </w:p>
        </w:tc>
        <w:tc>
          <w:tcPr>
            <w:tcW w:w="7000" w:type="dxa"/>
          </w:tcPr>
          <w:p w:rsidR="005955DB" w:rsidRPr="00317BC1" w:rsidRDefault="005955DB" w:rsidP="00697E09">
            <w:pPr>
              <w:pStyle w:val="NormalWeb"/>
              <w:spacing w:before="0" w:beforeAutospacing="0" w:after="0" w:afterAutospacing="0"/>
              <w:jc w:val="both"/>
              <w:rPr>
                <w:sz w:val="22"/>
                <w:szCs w:val="22"/>
                <w:lang w:val="lt-LT"/>
              </w:rPr>
            </w:pPr>
            <w:r w:rsidRPr="00317BC1">
              <w:rPr>
                <w:sz w:val="22"/>
                <w:szCs w:val="22"/>
                <w:lang w:val="lt-LT"/>
              </w:rPr>
              <w:t>2) dėl neteisėtai pasisavinto turto, susiję su a) turto jautrumu neteisėtam pasisavinimui; b) kontrolės trūkumais</w:t>
            </w:r>
          </w:p>
        </w:tc>
      </w:tr>
      <w:tr w:rsidR="005955DB" w:rsidRPr="00317BC1" w:rsidTr="00F93468">
        <w:trPr>
          <w:jc w:val="center"/>
        </w:trPr>
        <w:tc>
          <w:tcPr>
            <w:tcW w:w="2262" w:type="dxa"/>
            <w:vMerge w:val="restart"/>
          </w:tcPr>
          <w:p w:rsidR="005955DB" w:rsidRPr="00317BC1" w:rsidRDefault="005955DB" w:rsidP="005C48EB">
            <w:pPr>
              <w:pStyle w:val="NormalWeb"/>
              <w:spacing w:before="0" w:beforeAutospacing="0" w:after="0" w:afterAutospacing="0"/>
              <w:jc w:val="both"/>
              <w:rPr>
                <w:sz w:val="22"/>
                <w:szCs w:val="22"/>
                <w:lang w:val="lt-LT"/>
              </w:rPr>
            </w:pPr>
            <w:r w:rsidRPr="00317BC1">
              <w:rPr>
                <w:sz w:val="22"/>
                <w:szCs w:val="22"/>
                <w:lang w:val="lt-LT"/>
              </w:rPr>
              <w:t>240 TSA (2006)</w:t>
            </w:r>
          </w:p>
        </w:tc>
        <w:tc>
          <w:tcPr>
            <w:tcW w:w="7000" w:type="dxa"/>
          </w:tcPr>
          <w:p w:rsidR="00574CBE" w:rsidRDefault="005955DB" w:rsidP="005C48EB">
            <w:pPr>
              <w:pStyle w:val="NormalWeb"/>
              <w:spacing w:before="0" w:beforeAutospacing="0" w:after="0" w:afterAutospacing="0"/>
              <w:jc w:val="both"/>
              <w:rPr>
                <w:sz w:val="22"/>
                <w:szCs w:val="22"/>
                <w:lang w:val="lt-LT"/>
              </w:rPr>
            </w:pPr>
            <w:r w:rsidRPr="00317BC1">
              <w:rPr>
                <w:sz w:val="22"/>
                <w:szCs w:val="22"/>
                <w:lang w:val="lt-LT"/>
              </w:rPr>
              <w:t xml:space="preserve">1) dėl apgaulės būdu sudarytų finansinių ataskaitų, susiję su: </w:t>
            </w:r>
          </w:p>
          <w:p w:rsidR="005955DB" w:rsidRPr="00317BC1" w:rsidRDefault="005955DB" w:rsidP="005C48EB">
            <w:pPr>
              <w:pStyle w:val="NormalWeb"/>
              <w:spacing w:before="0" w:beforeAutospacing="0" w:after="0" w:afterAutospacing="0"/>
              <w:jc w:val="both"/>
              <w:rPr>
                <w:sz w:val="22"/>
                <w:szCs w:val="22"/>
                <w:lang w:val="lt-LT"/>
              </w:rPr>
            </w:pPr>
            <w:r w:rsidRPr="00317BC1">
              <w:rPr>
                <w:sz w:val="22"/>
                <w:szCs w:val="22"/>
                <w:lang w:val="lt-LT"/>
              </w:rPr>
              <w:t>a) paskatomis; b) spaudimu; c) galimybėmis</w:t>
            </w:r>
          </w:p>
        </w:tc>
      </w:tr>
      <w:tr w:rsidR="005955DB" w:rsidRPr="00317BC1" w:rsidTr="00F93468">
        <w:trPr>
          <w:jc w:val="center"/>
        </w:trPr>
        <w:tc>
          <w:tcPr>
            <w:tcW w:w="2262" w:type="dxa"/>
            <w:vMerge/>
          </w:tcPr>
          <w:p w:rsidR="005955DB" w:rsidRPr="00317BC1" w:rsidRDefault="005955DB" w:rsidP="005C48EB">
            <w:pPr>
              <w:pStyle w:val="NormalWeb"/>
              <w:spacing w:before="0" w:beforeAutospacing="0" w:after="0" w:afterAutospacing="0"/>
              <w:jc w:val="both"/>
              <w:rPr>
                <w:sz w:val="22"/>
                <w:szCs w:val="22"/>
                <w:lang w:val="lt-LT"/>
              </w:rPr>
            </w:pPr>
          </w:p>
        </w:tc>
        <w:tc>
          <w:tcPr>
            <w:tcW w:w="7000" w:type="dxa"/>
          </w:tcPr>
          <w:p w:rsidR="00574CBE" w:rsidRDefault="005955DB" w:rsidP="00697E09">
            <w:pPr>
              <w:pStyle w:val="NormalWeb"/>
              <w:spacing w:before="0" w:beforeAutospacing="0" w:after="0" w:afterAutospacing="0"/>
              <w:jc w:val="both"/>
              <w:rPr>
                <w:sz w:val="22"/>
                <w:szCs w:val="22"/>
                <w:lang w:val="lt-LT"/>
              </w:rPr>
            </w:pPr>
            <w:r w:rsidRPr="00317BC1">
              <w:rPr>
                <w:sz w:val="22"/>
                <w:szCs w:val="22"/>
                <w:lang w:val="lt-LT"/>
              </w:rPr>
              <w:t xml:space="preserve">2) dėl neteisėtai pasisavinto turto, susiję su a) paskatomis; </w:t>
            </w:r>
          </w:p>
          <w:p w:rsidR="005955DB" w:rsidRPr="00317BC1" w:rsidRDefault="005955DB" w:rsidP="00697E09">
            <w:pPr>
              <w:pStyle w:val="NormalWeb"/>
              <w:spacing w:before="0" w:beforeAutospacing="0" w:after="0" w:afterAutospacing="0"/>
              <w:jc w:val="both"/>
              <w:rPr>
                <w:sz w:val="22"/>
                <w:szCs w:val="22"/>
                <w:lang w:val="lt-LT"/>
              </w:rPr>
            </w:pPr>
            <w:r w:rsidRPr="00317BC1">
              <w:rPr>
                <w:sz w:val="22"/>
                <w:szCs w:val="22"/>
                <w:lang w:val="lt-LT"/>
              </w:rPr>
              <w:t>b) spaudimu; c) galimybėmis</w:t>
            </w:r>
          </w:p>
        </w:tc>
      </w:tr>
      <w:tr w:rsidR="005955DB" w:rsidRPr="00317BC1" w:rsidTr="00F93468">
        <w:trPr>
          <w:trHeight w:val="244"/>
          <w:jc w:val="center"/>
        </w:trPr>
        <w:tc>
          <w:tcPr>
            <w:tcW w:w="2262" w:type="dxa"/>
            <w:vMerge w:val="restart"/>
          </w:tcPr>
          <w:p w:rsidR="005955DB" w:rsidRPr="00317BC1" w:rsidRDefault="005955DB" w:rsidP="00317BC1">
            <w:pPr>
              <w:pStyle w:val="NormalWeb"/>
              <w:spacing w:before="0" w:beforeAutospacing="0" w:after="0" w:afterAutospacing="0"/>
              <w:rPr>
                <w:sz w:val="22"/>
                <w:szCs w:val="22"/>
                <w:lang w:val="lt-LT"/>
              </w:rPr>
            </w:pPr>
            <w:r w:rsidRPr="00317BC1">
              <w:rPr>
                <w:sz w:val="22"/>
                <w:szCs w:val="22"/>
                <w:lang w:val="lt-LT"/>
              </w:rPr>
              <w:t>L. Graham, J.</w:t>
            </w:r>
            <w:r w:rsidR="00317BC1">
              <w:rPr>
                <w:sz w:val="22"/>
                <w:szCs w:val="22"/>
                <w:lang w:val="lt-LT"/>
              </w:rPr>
              <w:t> </w:t>
            </w:r>
            <w:r w:rsidRPr="00317BC1">
              <w:rPr>
                <w:sz w:val="22"/>
                <w:szCs w:val="22"/>
                <w:lang w:val="lt-LT"/>
              </w:rPr>
              <w:t>C.</w:t>
            </w:r>
            <w:r w:rsidR="00317BC1">
              <w:rPr>
                <w:sz w:val="22"/>
                <w:szCs w:val="22"/>
                <w:lang w:val="lt-LT"/>
              </w:rPr>
              <w:t> </w:t>
            </w:r>
            <w:r w:rsidRPr="00317BC1">
              <w:rPr>
                <w:sz w:val="22"/>
                <w:szCs w:val="22"/>
                <w:lang w:val="lt-LT"/>
              </w:rPr>
              <w:t>Bedard (2003); D. Cormier, P.</w:t>
            </w:r>
            <w:r w:rsidR="00317BC1">
              <w:rPr>
                <w:sz w:val="22"/>
                <w:szCs w:val="22"/>
                <w:lang w:val="lt-LT"/>
              </w:rPr>
              <w:t> </w:t>
            </w:r>
            <w:r w:rsidRPr="00317BC1">
              <w:rPr>
                <w:sz w:val="22"/>
                <w:szCs w:val="22"/>
                <w:lang w:val="lt-LT"/>
              </w:rPr>
              <w:t>Lapointe (2005)</w:t>
            </w:r>
          </w:p>
        </w:tc>
        <w:tc>
          <w:tcPr>
            <w:tcW w:w="7000" w:type="dxa"/>
          </w:tcPr>
          <w:p w:rsidR="005955DB" w:rsidRPr="00317BC1" w:rsidRDefault="005955DB" w:rsidP="005C48EB">
            <w:pPr>
              <w:pStyle w:val="NormalWeb"/>
              <w:spacing w:before="0" w:beforeAutospacing="0" w:after="0" w:afterAutospacing="0"/>
              <w:jc w:val="both"/>
              <w:rPr>
                <w:sz w:val="22"/>
                <w:szCs w:val="22"/>
                <w:lang w:val="lt-LT"/>
              </w:rPr>
            </w:pPr>
            <w:r w:rsidRPr="00317BC1">
              <w:rPr>
                <w:sz w:val="22"/>
                <w:szCs w:val="22"/>
                <w:lang w:val="lt-LT"/>
              </w:rPr>
              <w:t>1) veiksniai susiję su spaudimu</w:t>
            </w:r>
          </w:p>
        </w:tc>
      </w:tr>
      <w:tr w:rsidR="005955DB" w:rsidRPr="00317BC1" w:rsidTr="00F93468">
        <w:trPr>
          <w:trHeight w:val="100"/>
          <w:jc w:val="center"/>
        </w:trPr>
        <w:tc>
          <w:tcPr>
            <w:tcW w:w="2262" w:type="dxa"/>
            <w:vMerge/>
          </w:tcPr>
          <w:p w:rsidR="005955DB" w:rsidRPr="00317BC1" w:rsidRDefault="005955DB" w:rsidP="005C48EB">
            <w:pPr>
              <w:pStyle w:val="NormalWeb"/>
              <w:spacing w:before="0" w:beforeAutospacing="0" w:after="0" w:afterAutospacing="0"/>
              <w:jc w:val="both"/>
              <w:rPr>
                <w:sz w:val="22"/>
                <w:szCs w:val="22"/>
                <w:lang w:val="lt-LT"/>
              </w:rPr>
            </w:pPr>
          </w:p>
        </w:tc>
        <w:tc>
          <w:tcPr>
            <w:tcW w:w="7000" w:type="dxa"/>
          </w:tcPr>
          <w:p w:rsidR="005955DB" w:rsidRPr="00317BC1" w:rsidRDefault="005955DB" w:rsidP="005C48EB">
            <w:pPr>
              <w:pStyle w:val="NormalWeb"/>
              <w:spacing w:before="0" w:beforeAutospacing="0" w:after="0" w:afterAutospacing="0"/>
              <w:jc w:val="both"/>
              <w:rPr>
                <w:sz w:val="22"/>
                <w:szCs w:val="22"/>
                <w:lang w:val="lt-LT"/>
              </w:rPr>
            </w:pPr>
            <w:r w:rsidRPr="00317BC1">
              <w:rPr>
                <w:sz w:val="22"/>
                <w:szCs w:val="22"/>
                <w:lang w:val="lt-LT"/>
              </w:rPr>
              <w:t>2) veiksniai susiję su galimybe įvykdyti apgaulę</w:t>
            </w:r>
          </w:p>
        </w:tc>
      </w:tr>
      <w:tr w:rsidR="005955DB" w:rsidRPr="00317BC1" w:rsidTr="00F93468">
        <w:trPr>
          <w:trHeight w:val="146"/>
          <w:jc w:val="center"/>
        </w:trPr>
        <w:tc>
          <w:tcPr>
            <w:tcW w:w="2262" w:type="dxa"/>
            <w:vMerge/>
          </w:tcPr>
          <w:p w:rsidR="005955DB" w:rsidRPr="00317BC1" w:rsidRDefault="005955DB" w:rsidP="005C48EB">
            <w:pPr>
              <w:pStyle w:val="NormalWeb"/>
              <w:spacing w:before="0" w:beforeAutospacing="0" w:after="0" w:afterAutospacing="0"/>
              <w:jc w:val="both"/>
              <w:rPr>
                <w:sz w:val="22"/>
                <w:szCs w:val="22"/>
                <w:lang w:val="lt-LT"/>
              </w:rPr>
            </w:pPr>
          </w:p>
        </w:tc>
        <w:tc>
          <w:tcPr>
            <w:tcW w:w="7000" w:type="dxa"/>
          </w:tcPr>
          <w:p w:rsidR="005955DB" w:rsidRPr="00317BC1" w:rsidRDefault="005955DB" w:rsidP="005C48EB">
            <w:pPr>
              <w:pStyle w:val="NormalWeb"/>
              <w:spacing w:before="0" w:beforeAutospacing="0" w:after="0" w:afterAutospacing="0"/>
              <w:jc w:val="both"/>
              <w:rPr>
                <w:sz w:val="22"/>
                <w:szCs w:val="22"/>
                <w:lang w:val="lt-LT"/>
              </w:rPr>
            </w:pPr>
            <w:r w:rsidRPr="00317BC1">
              <w:rPr>
                <w:sz w:val="22"/>
                <w:szCs w:val="22"/>
                <w:lang w:val="lt-LT"/>
              </w:rPr>
              <w:t>3) veiksniai susiję su noru įvykdyti apgaulę</w:t>
            </w:r>
          </w:p>
        </w:tc>
      </w:tr>
    </w:tbl>
    <w:p w:rsidR="005955DB" w:rsidRPr="00FE380C" w:rsidRDefault="005955DB" w:rsidP="00D45554">
      <w:pPr>
        <w:spacing w:line="360" w:lineRule="auto"/>
        <w:jc w:val="both"/>
        <w:rPr>
          <w:lang w:val="lt-LT"/>
        </w:rPr>
      </w:pPr>
      <w:r w:rsidRPr="00FE380C">
        <w:rPr>
          <w:lang w:val="lt-LT"/>
        </w:rPr>
        <w:t>Šaltinis: sudaryta autorės.</w:t>
      </w:r>
    </w:p>
    <w:p w:rsidR="00A67950" w:rsidRPr="00317BC1" w:rsidRDefault="006925D8" w:rsidP="00127AFA">
      <w:pPr>
        <w:spacing w:line="360" w:lineRule="auto"/>
        <w:ind w:firstLine="720"/>
        <w:jc w:val="both"/>
        <w:rPr>
          <w:sz w:val="26"/>
          <w:szCs w:val="26"/>
          <w:lang w:val="lt-LT"/>
        </w:rPr>
      </w:pPr>
      <w:r w:rsidRPr="00317BC1">
        <w:rPr>
          <w:sz w:val="26"/>
          <w:szCs w:val="26"/>
          <w:lang w:val="lt-LT"/>
        </w:rPr>
        <w:t>K</w:t>
      </w:r>
      <w:r w:rsidR="00127AFA" w:rsidRPr="00317BC1">
        <w:rPr>
          <w:sz w:val="26"/>
          <w:szCs w:val="26"/>
          <w:lang w:val="lt-LT"/>
        </w:rPr>
        <w:t>ad</w:t>
      </w:r>
      <w:r w:rsidRPr="00317BC1">
        <w:rPr>
          <w:sz w:val="26"/>
          <w:szCs w:val="26"/>
          <w:lang w:val="lt-LT"/>
        </w:rPr>
        <w:t>angi</w:t>
      </w:r>
      <w:r w:rsidR="00D87BAB" w:rsidRPr="00317BC1">
        <w:rPr>
          <w:sz w:val="26"/>
          <w:szCs w:val="26"/>
          <w:lang w:val="lt-LT"/>
        </w:rPr>
        <w:t xml:space="preserve"> </w:t>
      </w:r>
      <w:r w:rsidRPr="00317BC1">
        <w:rPr>
          <w:sz w:val="26"/>
          <w:szCs w:val="26"/>
          <w:lang w:val="lt-LT"/>
        </w:rPr>
        <w:t xml:space="preserve">reikšmingo iškraipymo riziką </w:t>
      </w:r>
      <w:r w:rsidR="0025194A" w:rsidRPr="00317BC1">
        <w:rPr>
          <w:sz w:val="26"/>
          <w:szCs w:val="26"/>
          <w:lang w:val="lt-LT"/>
        </w:rPr>
        <w:t>tvirtinimo</w:t>
      </w:r>
      <w:r w:rsidRPr="00317BC1">
        <w:rPr>
          <w:sz w:val="26"/>
          <w:szCs w:val="26"/>
          <w:lang w:val="lt-LT"/>
        </w:rPr>
        <w:t xml:space="preserve"> lygmeniu </w:t>
      </w:r>
      <w:r w:rsidR="00D87BAB" w:rsidRPr="00317BC1">
        <w:rPr>
          <w:sz w:val="26"/>
          <w:szCs w:val="26"/>
          <w:lang w:val="lt-LT"/>
        </w:rPr>
        <w:t>dauguma a</w:t>
      </w:r>
      <w:r w:rsidR="003C06A0" w:rsidRPr="00317BC1">
        <w:rPr>
          <w:sz w:val="26"/>
          <w:szCs w:val="26"/>
          <w:lang w:val="lt-LT"/>
        </w:rPr>
        <w:t>utori</w:t>
      </w:r>
      <w:r w:rsidR="00D87BAB" w:rsidRPr="00317BC1">
        <w:rPr>
          <w:sz w:val="26"/>
          <w:szCs w:val="26"/>
          <w:lang w:val="lt-LT"/>
        </w:rPr>
        <w:t>ų</w:t>
      </w:r>
      <w:r w:rsidR="003C06A0" w:rsidRPr="00317BC1">
        <w:rPr>
          <w:sz w:val="26"/>
          <w:szCs w:val="26"/>
          <w:lang w:val="lt-LT"/>
        </w:rPr>
        <w:t xml:space="preserve"> (</w:t>
      </w:r>
      <w:r w:rsidR="00D67627" w:rsidRPr="00317BC1">
        <w:rPr>
          <w:sz w:val="26"/>
          <w:szCs w:val="26"/>
          <w:lang w:val="lt-LT"/>
        </w:rPr>
        <w:t>Kabašinskas, Toliatienė, 1997; Mackevičius, 199</w:t>
      </w:r>
      <w:r w:rsidR="00BE5795">
        <w:rPr>
          <w:sz w:val="26"/>
          <w:szCs w:val="26"/>
          <w:lang w:val="lt-LT"/>
        </w:rPr>
        <w:t>4</w:t>
      </w:r>
      <w:r w:rsidR="00D67627" w:rsidRPr="00317BC1">
        <w:rPr>
          <w:sz w:val="26"/>
          <w:szCs w:val="26"/>
          <w:lang w:val="lt-LT"/>
        </w:rPr>
        <w:t>, 199</w:t>
      </w:r>
      <w:r w:rsidR="00BE5795">
        <w:rPr>
          <w:sz w:val="26"/>
          <w:szCs w:val="26"/>
          <w:lang w:val="lt-LT"/>
        </w:rPr>
        <w:t>9</w:t>
      </w:r>
      <w:r w:rsidR="00D67627" w:rsidRPr="00317BC1">
        <w:rPr>
          <w:sz w:val="26"/>
          <w:szCs w:val="26"/>
          <w:lang w:val="lt-LT"/>
        </w:rPr>
        <w:t xml:space="preserve">; </w:t>
      </w:r>
      <w:r w:rsidR="00D87BAB" w:rsidRPr="00317BC1">
        <w:rPr>
          <w:sz w:val="26"/>
          <w:szCs w:val="26"/>
          <w:lang w:val="lt-LT"/>
        </w:rPr>
        <w:t xml:space="preserve">Daujotaitė, 2006; </w:t>
      </w:r>
      <w:r w:rsidR="00C811DC" w:rsidRPr="00317BC1">
        <w:rPr>
          <w:sz w:val="26"/>
          <w:szCs w:val="26"/>
          <w:lang w:val="lt-LT"/>
        </w:rPr>
        <w:t xml:space="preserve">Lakis, 2007; </w:t>
      </w:r>
      <w:r w:rsidR="00D87BAB" w:rsidRPr="00317BC1">
        <w:rPr>
          <w:sz w:val="26"/>
          <w:szCs w:val="26"/>
          <w:lang w:val="lt-LT"/>
        </w:rPr>
        <w:t xml:space="preserve">Robertson, 1990; Dodž, 1992; </w:t>
      </w:r>
      <w:r w:rsidR="00C811DC" w:rsidRPr="00317BC1">
        <w:rPr>
          <w:sz w:val="26"/>
          <w:szCs w:val="26"/>
          <w:lang w:val="lt-LT"/>
        </w:rPr>
        <w:t>Arens, Loebbecke, 1995, 1997</w:t>
      </w:r>
      <w:r w:rsidR="00D87BAB" w:rsidRPr="00317BC1">
        <w:rPr>
          <w:sz w:val="26"/>
          <w:szCs w:val="26"/>
          <w:lang w:val="lt-LT"/>
        </w:rPr>
        <w:t>, 2006</w:t>
      </w:r>
      <w:r w:rsidR="00C811DC" w:rsidRPr="00317BC1">
        <w:rPr>
          <w:sz w:val="26"/>
          <w:szCs w:val="26"/>
          <w:lang w:val="lt-LT"/>
        </w:rPr>
        <w:t xml:space="preserve">; </w:t>
      </w:r>
      <w:r w:rsidR="00862190" w:rsidRPr="00317BC1">
        <w:rPr>
          <w:sz w:val="26"/>
          <w:szCs w:val="26"/>
          <w:lang w:val="lt-LT"/>
        </w:rPr>
        <w:t>By</w:t>
      </w:r>
      <w:r w:rsidR="003C06A0" w:rsidRPr="00317BC1">
        <w:rPr>
          <w:sz w:val="26"/>
          <w:szCs w:val="26"/>
          <w:lang w:val="lt-LT"/>
        </w:rPr>
        <w:t>čkova, 1998; Skobara, 1998; Johnson, 1991;</w:t>
      </w:r>
      <w:r w:rsidR="00D67627" w:rsidRPr="00317BC1">
        <w:rPr>
          <w:sz w:val="26"/>
          <w:szCs w:val="26"/>
          <w:lang w:val="lt-LT"/>
        </w:rPr>
        <w:t xml:space="preserve"> </w:t>
      </w:r>
      <w:r w:rsidR="00D87BAB" w:rsidRPr="00317BC1">
        <w:rPr>
          <w:sz w:val="26"/>
          <w:szCs w:val="26"/>
          <w:lang w:val="lt-LT"/>
        </w:rPr>
        <w:t>Knechel, 2001;</w:t>
      </w:r>
      <w:r w:rsidR="00D67627" w:rsidRPr="00317BC1">
        <w:rPr>
          <w:sz w:val="26"/>
          <w:szCs w:val="26"/>
          <w:lang w:val="lt-LT"/>
        </w:rPr>
        <w:t>Ghosh, 2005</w:t>
      </w:r>
      <w:r w:rsidR="00C811DC" w:rsidRPr="00317BC1">
        <w:rPr>
          <w:sz w:val="26"/>
          <w:szCs w:val="26"/>
          <w:lang w:val="lt-LT"/>
        </w:rPr>
        <w:t>; W</w:t>
      </w:r>
      <w:r w:rsidR="00D87BAB" w:rsidRPr="00317BC1">
        <w:rPr>
          <w:sz w:val="26"/>
          <w:szCs w:val="26"/>
          <w:lang w:val="lt-LT"/>
        </w:rPr>
        <w:t>hittington, Pany, 2006</w:t>
      </w:r>
      <w:r w:rsidR="003C06A0" w:rsidRPr="00317BC1">
        <w:rPr>
          <w:sz w:val="26"/>
          <w:szCs w:val="26"/>
          <w:lang w:val="lt-LT"/>
        </w:rPr>
        <w:t xml:space="preserve">) </w:t>
      </w:r>
      <w:r w:rsidR="00244499" w:rsidRPr="00317BC1">
        <w:rPr>
          <w:sz w:val="26"/>
          <w:szCs w:val="26"/>
          <w:lang w:val="lt-LT"/>
        </w:rPr>
        <w:t xml:space="preserve">nagrinėja </w:t>
      </w:r>
      <w:r w:rsidR="00A67950" w:rsidRPr="00317BC1">
        <w:rPr>
          <w:sz w:val="26"/>
          <w:szCs w:val="26"/>
          <w:lang w:val="lt-LT"/>
        </w:rPr>
        <w:t>kaip įgimt</w:t>
      </w:r>
      <w:r w:rsidR="00244499" w:rsidRPr="00317BC1">
        <w:rPr>
          <w:sz w:val="26"/>
          <w:szCs w:val="26"/>
          <w:lang w:val="lt-LT"/>
        </w:rPr>
        <w:t>os</w:t>
      </w:r>
      <w:r w:rsidR="00A67950" w:rsidRPr="00317BC1">
        <w:rPr>
          <w:sz w:val="26"/>
          <w:szCs w:val="26"/>
          <w:lang w:val="lt-LT"/>
        </w:rPr>
        <w:t xml:space="preserve"> ir kontrolės </w:t>
      </w:r>
      <w:r w:rsidR="00824FEA" w:rsidRPr="00317BC1">
        <w:rPr>
          <w:sz w:val="26"/>
          <w:szCs w:val="26"/>
          <w:lang w:val="lt-LT"/>
        </w:rPr>
        <w:t xml:space="preserve">rizikų </w:t>
      </w:r>
      <w:r w:rsidR="00244499" w:rsidRPr="00317BC1">
        <w:rPr>
          <w:sz w:val="26"/>
          <w:szCs w:val="26"/>
          <w:lang w:val="lt-LT"/>
        </w:rPr>
        <w:t>derinį, o, be to, ir audito standartai (200 TSA, 2006; 107</w:t>
      </w:r>
      <w:r w:rsidR="008872D7">
        <w:rPr>
          <w:sz w:val="26"/>
          <w:szCs w:val="26"/>
          <w:lang w:val="lt-LT"/>
        </w:rPr>
        <w:t> </w:t>
      </w:r>
      <w:r w:rsidR="00244499" w:rsidRPr="00317BC1">
        <w:rPr>
          <w:sz w:val="26"/>
          <w:szCs w:val="26"/>
          <w:lang w:val="lt-LT"/>
        </w:rPr>
        <w:t xml:space="preserve">SAS, 2006) pripažįsta dvejopą šios </w:t>
      </w:r>
      <w:r w:rsidR="00A67950" w:rsidRPr="00317BC1">
        <w:rPr>
          <w:sz w:val="26"/>
          <w:szCs w:val="26"/>
          <w:lang w:val="lt-LT"/>
        </w:rPr>
        <w:t>rizikos</w:t>
      </w:r>
      <w:r w:rsidR="00244499" w:rsidRPr="00317BC1">
        <w:rPr>
          <w:sz w:val="26"/>
          <w:szCs w:val="26"/>
          <w:lang w:val="lt-LT"/>
        </w:rPr>
        <w:t xml:space="preserve"> pobūdį</w:t>
      </w:r>
      <w:r w:rsidR="00A67950" w:rsidRPr="00317BC1">
        <w:rPr>
          <w:sz w:val="26"/>
          <w:szCs w:val="26"/>
          <w:lang w:val="lt-LT"/>
        </w:rPr>
        <w:t>, tai ši</w:t>
      </w:r>
      <w:r w:rsidRPr="00317BC1">
        <w:rPr>
          <w:sz w:val="26"/>
          <w:szCs w:val="26"/>
          <w:lang w:val="lt-LT"/>
        </w:rPr>
        <w:t>ų</w:t>
      </w:r>
      <w:r w:rsidR="00A67950" w:rsidRPr="00317BC1">
        <w:rPr>
          <w:sz w:val="26"/>
          <w:szCs w:val="26"/>
          <w:lang w:val="lt-LT"/>
        </w:rPr>
        <w:t xml:space="preserve"> audito rizikos komponent</w:t>
      </w:r>
      <w:r w:rsidR="00244499" w:rsidRPr="00317BC1">
        <w:rPr>
          <w:sz w:val="26"/>
          <w:szCs w:val="26"/>
          <w:lang w:val="lt-LT"/>
        </w:rPr>
        <w:t>ų sampratos ir vertinimo aspektus</w:t>
      </w:r>
      <w:r w:rsidR="00A67950" w:rsidRPr="00317BC1">
        <w:rPr>
          <w:sz w:val="26"/>
          <w:szCs w:val="26"/>
          <w:lang w:val="lt-LT"/>
        </w:rPr>
        <w:t xml:space="preserve"> </w:t>
      </w:r>
      <w:r w:rsidR="00476FD6" w:rsidRPr="00317BC1">
        <w:rPr>
          <w:sz w:val="26"/>
          <w:szCs w:val="26"/>
          <w:lang w:val="lt-LT"/>
        </w:rPr>
        <w:t>iš</w:t>
      </w:r>
      <w:r w:rsidR="00244499" w:rsidRPr="00317BC1">
        <w:rPr>
          <w:sz w:val="26"/>
          <w:szCs w:val="26"/>
          <w:lang w:val="lt-LT"/>
        </w:rPr>
        <w:t xml:space="preserve">analizuosime </w:t>
      </w:r>
      <w:r w:rsidR="00A67950" w:rsidRPr="00317BC1">
        <w:rPr>
          <w:sz w:val="26"/>
          <w:szCs w:val="26"/>
          <w:lang w:val="lt-LT"/>
        </w:rPr>
        <w:t xml:space="preserve">atskirai. </w:t>
      </w:r>
    </w:p>
    <w:p w:rsidR="008D66DE" w:rsidRDefault="00E81BEB" w:rsidP="00244499">
      <w:pPr>
        <w:spacing w:line="360" w:lineRule="auto"/>
        <w:ind w:firstLine="720"/>
        <w:jc w:val="both"/>
        <w:rPr>
          <w:sz w:val="26"/>
          <w:szCs w:val="26"/>
          <w:lang w:val="lt-LT"/>
        </w:rPr>
      </w:pPr>
      <w:r w:rsidRPr="00317BC1">
        <w:rPr>
          <w:b/>
          <w:sz w:val="26"/>
          <w:szCs w:val="26"/>
          <w:lang w:val="lt-LT"/>
        </w:rPr>
        <w:t>Įgimt</w:t>
      </w:r>
      <w:r w:rsidR="0049785F" w:rsidRPr="00317BC1">
        <w:rPr>
          <w:b/>
          <w:sz w:val="26"/>
          <w:szCs w:val="26"/>
          <w:lang w:val="lt-LT"/>
        </w:rPr>
        <w:t>a</w:t>
      </w:r>
      <w:r w:rsidRPr="00317BC1">
        <w:rPr>
          <w:b/>
          <w:sz w:val="26"/>
          <w:szCs w:val="26"/>
          <w:lang w:val="lt-LT"/>
        </w:rPr>
        <w:t xml:space="preserve"> rizik</w:t>
      </w:r>
      <w:r w:rsidR="0049785F" w:rsidRPr="00317BC1">
        <w:rPr>
          <w:b/>
          <w:sz w:val="26"/>
          <w:szCs w:val="26"/>
          <w:lang w:val="lt-LT"/>
        </w:rPr>
        <w:t>a</w:t>
      </w:r>
      <w:r w:rsidRPr="00317BC1">
        <w:rPr>
          <w:sz w:val="26"/>
          <w:szCs w:val="26"/>
          <w:lang w:val="lt-LT"/>
        </w:rPr>
        <w:t xml:space="preserve">. </w:t>
      </w:r>
      <w:r w:rsidR="000870D1" w:rsidRPr="00317BC1">
        <w:rPr>
          <w:sz w:val="26"/>
          <w:szCs w:val="26"/>
          <w:lang w:val="lt-LT"/>
        </w:rPr>
        <w:t xml:space="preserve">Nors </w:t>
      </w:r>
      <w:r w:rsidR="007453D8" w:rsidRPr="00317BC1">
        <w:rPr>
          <w:sz w:val="26"/>
          <w:szCs w:val="26"/>
          <w:lang w:val="lt-LT"/>
        </w:rPr>
        <w:t xml:space="preserve">mokslinėje </w:t>
      </w:r>
      <w:r w:rsidR="000870D1" w:rsidRPr="00317BC1">
        <w:rPr>
          <w:sz w:val="26"/>
          <w:szCs w:val="26"/>
          <w:lang w:val="lt-LT"/>
        </w:rPr>
        <w:t>l</w:t>
      </w:r>
      <w:r w:rsidR="000458CE" w:rsidRPr="00317BC1">
        <w:rPr>
          <w:sz w:val="26"/>
          <w:szCs w:val="26"/>
          <w:lang w:val="lt-LT"/>
        </w:rPr>
        <w:t>iteratūroje (Mackevičius, 199</w:t>
      </w:r>
      <w:r w:rsidR="00BE5795">
        <w:rPr>
          <w:sz w:val="26"/>
          <w:szCs w:val="26"/>
          <w:lang w:val="lt-LT"/>
        </w:rPr>
        <w:t>4</w:t>
      </w:r>
      <w:r w:rsidR="000458CE" w:rsidRPr="00317BC1">
        <w:rPr>
          <w:sz w:val="26"/>
          <w:szCs w:val="26"/>
          <w:lang w:val="lt-LT"/>
        </w:rPr>
        <w:t>; Kabašinskas, Toliatienė, 1997; Johnson, 1991</w:t>
      </w:r>
      <w:r w:rsidR="00D87BAB" w:rsidRPr="00317BC1">
        <w:rPr>
          <w:sz w:val="26"/>
          <w:szCs w:val="26"/>
          <w:lang w:val="lt-LT"/>
        </w:rPr>
        <w:t>; Dodž, 1992</w:t>
      </w:r>
      <w:r w:rsidR="000458CE" w:rsidRPr="00317BC1">
        <w:rPr>
          <w:sz w:val="26"/>
          <w:szCs w:val="26"/>
          <w:lang w:val="lt-LT"/>
        </w:rPr>
        <w:t>) sutinkami skirtingi įgimtos rizikos pavadinimai – buvimo, veiklos, neišvengiama, grynoji, verslo</w:t>
      </w:r>
      <w:r w:rsidR="000870D1" w:rsidRPr="00317BC1">
        <w:rPr>
          <w:sz w:val="26"/>
          <w:szCs w:val="26"/>
          <w:lang w:val="lt-LT"/>
        </w:rPr>
        <w:t>,</w:t>
      </w:r>
      <w:r w:rsidR="00D87BAB" w:rsidRPr="00317BC1">
        <w:rPr>
          <w:sz w:val="26"/>
          <w:szCs w:val="26"/>
          <w:lang w:val="lt-LT"/>
        </w:rPr>
        <w:t xml:space="preserve"> vidinė</w:t>
      </w:r>
      <w:r w:rsidR="00AA2A9E">
        <w:rPr>
          <w:sz w:val="26"/>
          <w:szCs w:val="26"/>
          <w:lang w:val="lt-LT"/>
        </w:rPr>
        <w:t>,</w:t>
      </w:r>
      <w:r w:rsidR="00484691">
        <w:rPr>
          <w:sz w:val="26"/>
          <w:szCs w:val="26"/>
          <w:lang w:val="lt-LT"/>
        </w:rPr>
        <w:t xml:space="preserve"> </w:t>
      </w:r>
      <w:r w:rsidR="000870D1" w:rsidRPr="00317BC1">
        <w:rPr>
          <w:sz w:val="26"/>
          <w:szCs w:val="26"/>
          <w:lang w:val="lt-LT"/>
        </w:rPr>
        <w:t>ta</w:t>
      </w:r>
      <w:r w:rsidR="000458CE" w:rsidRPr="00317BC1">
        <w:rPr>
          <w:sz w:val="26"/>
          <w:szCs w:val="26"/>
          <w:lang w:val="lt-LT"/>
        </w:rPr>
        <w:t>čiau ši</w:t>
      </w:r>
      <w:r w:rsidR="00476FD6" w:rsidRPr="00317BC1">
        <w:rPr>
          <w:sz w:val="26"/>
          <w:szCs w:val="26"/>
          <w:lang w:val="lt-LT"/>
        </w:rPr>
        <w:t>s</w:t>
      </w:r>
      <w:r w:rsidR="000458CE" w:rsidRPr="00317BC1">
        <w:rPr>
          <w:sz w:val="26"/>
          <w:szCs w:val="26"/>
          <w:lang w:val="lt-LT"/>
        </w:rPr>
        <w:t xml:space="preserve"> </w:t>
      </w:r>
      <w:r w:rsidR="002B3AF1" w:rsidRPr="00317BC1">
        <w:rPr>
          <w:sz w:val="26"/>
          <w:szCs w:val="26"/>
          <w:lang w:val="lt-LT"/>
        </w:rPr>
        <w:t xml:space="preserve">audito </w:t>
      </w:r>
      <w:r w:rsidR="000458CE" w:rsidRPr="00317BC1">
        <w:rPr>
          <w:sz w:val="26"/>
          <w:szCs w:val="26"/>
          <w:lang w:val="lt-LT"/>
        </w:rPr>
        <w:t>rizik</w:t>
      </w:r>
      <w:r w:rsidR="00244499" w:rsidRPr="00317BC1">
        <w:rPr>
          <w:sz w:val="26"/>
          <w:szCs w:val="26"/>
          <w:lang w:val="lt-LT"/>
        </w:rPr>
        <w:t xml:space="preserve">os </w:t>
      </w:r>
      <w:r w:rsidR="002B3AF1" w:rsidRPr="00317BC1">
        <w:rPr>
          <w:sz w:val="26"/>
          <w:szCs w:val="26"/>
          <w:lang w:val="lt-LT"/>
        </w:rPr>
        <w:t xml:space="preserve">komponentas </w:t>
      </w:r>
      <w:r w:rsidR="00476FD6" w:rsidRPr="00317BC1">
        <w:rPr>
          <w:sz w:val="26"/>
          <w:szCs w:val="26"/>
          <w:lang w:val="lt-LT"/>
        </w:rPr>
        <w:t xml:space="preserve">joje </w:t>
      </w:r>
      <w:r w:rsidR="002B3AF1" w:rsidRPr="00317BC1">
        <w:rPr>
          <w:sz w:val="26"/>
          <w:szCs w:val="26"/>
          <w:lang w:val="lt-LT"/>
        </w:rPr>
        <w:t xml:space="preserve">apibrėžiamas </w:t>
      </w:r>
      <w:r w:rsidR="000458CE" w:rsidRPr="00317BC1">
        <w:rPr>
          <w:sz w:val="26"/>
          <w:szCs w:val="26"/>
          <w:lang w:val="lt-LT"/>
        </w:rPr>
        <w:t>panaši</w:t>
      </w:r>
      <w:r w:rsidR="002B3AF1" w:rsidRPr="00317BC1">
        <w:rPr>
          <w:sz w:val="26"/>
          <w:szCs w:val="26"/>
          <w:lang w:val="lt-LT"/>
        </w:rPr>
        <w:t>ai</w:t>
      </w:r>
      <w:r w:rsidR="000458CE" w:rsidRPr="00317BC1">
        <w:rPr>
          <w:sz w:val="26"/>
          <w:szCs w:val="26"/>
          <w:lang w:val="lt-LT"/>
        </w:rPr>
        <w:t xml:space="preserve"> (žr.</w:t>
      </w:r>
      <w:r w:rsidR="00041860">
        <w:rPr>
          <w:sz w:val="26"/>
          <w:szCs w:val="26"/>
          <w:lang w:val="lt-LT"/>
        </w:rPr>
        <w:t> </w:t>
      </w:r>
      <w:r w:rsidR="00244499" w:rsidRPr="00317BC1">
        <w:rPr>
          <w:sz w:val="26"/>
          <w:szCs w:val="26"/>
          <w:lang w:val="lt-LT"/>
        </w:rPr>
        <w:t>1</w:t>
      </w:r>
      <w:r w:rsidR="00972485" w:rsidRPr="00317BC1">
        <w:rPr>
          <w:sz w:val="26"/>
          <w:szCs w:val="26"/>
          <w:lang w:val="lt-LT"/>
        </w:rPr>
        <w:t>0</w:t>
      </w:r>
      <w:r w:rsidR="00041860">
        <w:rPr>
          <w:sz w:val="26"/>
          <w:szCs w:val="26"/>
          <w:lang w:val="lt-LT"/>
        </w:rPr>
        <w:t> </w:t>
      </w:r>
      <w:r w:rsidR="000458CE" w:rsidRPr="00317BC1">
        <w:rPr>
          <w:sz w:val="26"/>
          <w:szCs w:val="26"/>
          <w:lang w:val="lt-LT"/>
        </w:rPr>
        <w:t xml:space="preserve">lentelė). </w:t>
      </w:r>
    </w:p>
    <w:p w:rsidR="00484691" w:rsidRDefault="00484691" w:rsidP="00244499">
      <w:pPr>
        <w:spacing w:line="360" w:lineRule="auto"/>
        <w:ind w:firstLine="720"/>
        <w:jc w:val="both"/>
        <w:rPr>
          <w:sz w:val="26"/>
          <w:szCs w:val="26"/>
          <w:lang w:val="lt-LT"/>
        </w:rPr>
      </w:pPr>
    </w:p>
    <w:p w:rsidR="00484691" w:rsidRDefault="00484691" w:rsidP="00244499">
      <w:pPr>
        <w:spacing w:line="360" w:lineRule="auto"/>
        <w:ind w:firstLine="720"/>
        <w:jc w:val="both"/>
        <w:rPr>
          <w:sz w:val="26"/>
          <w:szCs w:val="26"/>
          <w:lang w:val="lt-LT"/>
        </w:rPr>
      </w:pPr>
    </w:p>
    <w:p w:rsidR="00484691" w:rsidRPr="00317BC1" w:rsidRDefault="00484691" w:rsidP="00244499">
      <w:pPr>
        <w:spacing w:line="360" w:lineRule="auto"/>
        <w:ind w:firstLine="720"/>
        <w:jc w:val="both"/>
        <w:rPr>
          <w:sz w:val="26"/>
          <w:szCs w:val="26"/>
          <w:lang w:val="lt-LT"/>
        </w:rPr>
      </w:pPr>
    </w:p>
    <w:p w:rsidR="008D66DE" w:rsidRPr="00317BC1" w:rsidRDefault="00244499" w:rsidP="003A1650">
      <w:pPr>
        <w:jc w:val="right"/>
        <w:rPr>
          <w:i/>
          <w:sz w:val="26"/>
          <w:szCs w:val="26"/>
          <w:lang w:val="lt-LT"/>
        </w:rPr>
      </w:pPr>
      <w:r w:rsidRPr="00317BC1">
        <w:rPr>
          <w:i/>
          <w:sz w:val="26"/>
          <w:szCs w:val="26"/>
          <w:lang w:val="lt-LT"/>
        </w:rPr>
        <w:lastRenderedPageBreak/>
        <w:t>1</w:t>
      </w:r>
      <w:r w:rsidR="00972485" w:rsidRPr="00317BC1">
        <w:rPr>
          <w:i/>
          <w:sz w:val="26"/>
          <w:szCs w:val="26"/>
          <w:lang w:val="lt-LT"/>
        </w:rPr>
        <w:t>0</w:t>
      </w:r>
      <w:r w:rsidR="008D66DE" w:rsidRPr="00317BC1">
        <w:rPr>
          <w:i/>
          <w:sz w:val="26"/>
          <w:szCs w:val="26"/>
          <w:lang w:val="lt-LT"/>
        </w:rPr>
        <w:t xml:space="preserve"> lentelė</w:t>
      </w:r>
    </w:p>
    <w:p w:rsidR="008D66DE" w:rsidRPr="00317BC1" w:rsidRDefault="008D66DE" w:rsidP="003A1650">
      <w:pPr>
        <w:jc w:val="center"/>
        <w:rPr>
          <w:b/>
          <w:sz w:val="26"/>
          <w:szCs w:val="26"/>
          <w:lang w:val="lt-LT"/>
        </w:rPr>
      </w:pPr>
      <w:r w:rsidRPr="00317BC1">
        <w:rPr>
          <w:b/>
          <w:sz w:val="26"/>
          <w:szCs w:val="26"/>
          <w:lang w:val="lt-LT"/>
        </w:rPr>
        <w:t>Įgimtos rizikos apibrėžimai</w:t>
      </w:r>
    </w:p>
    <w:tbl>
      <w:tblPr>
        <w:tblW w:w="0" w:type="auto"/>
        <w:tblLayout w:type="fixed"/>
        <w:tblLook w:val="01E0"/>
      </w:tblPr>
      <w:tblGrid>
        <w:gridCol w:w="2802"/>
        <w:gridCol w:w="5528"/>
      </w:tblGrid>
      <w:tr w:rsidR="008D66DE" w:rsidRPr="00317BC1" w:rsidTr="00317BC1">
        <w:tc>
          <w:tcPr>
            <w:tcW w:w="2802" w:type="dxa"/>
            <w:tcBorders>
              <w:top w:val="single" w:sz="4" w:space="0" w:color="auto"/>
              <w:bottom w:val="single" w:sz="4" w:space="0" w:color="auto"/>
            </w:tcBorders>
            <w:vAlign w:val="center"/>
          </w:tcPr>
          <w:p w:rsidR="008D66DE" w:rsidRPr="00317BC1" w:rsidRDefault="008D66DE" w:rsidP="000D5FC0">
            <w:pPr>
              <w:spacing w:line="360" w:lineRule="auto"/>
              <w:jc w:val="center"/>
              <w:rPr>
                <w:sz w:val="22"/>
                <w:szCs w:val="22"/>
                <w:lang w:val="lt-LT"/>
              </w:rPr>
            </w:pPr>
            <w:r w:rsidRPr="00317BC1">
              <w:rPr>
                <w:sz w:val="22"/>
                <w:szCs w:val="22"/>
                <w:lang w:val="lt-LT"/>
              </w:rPr>
              <w:t>Šaltinis</w:t>
            </w:r>
          </w:p>
        </w:tc>
        <w:tc>
          <w:tcPr>
            <w:tcW w:w="5528" w:type="dxa"/>
            <w:tcBorders>
              <w:top w:val="single" w:sz="4" w:space="0" w:color="auto"/>
              <w:bottom w:val="single" w:sz="4" w:space="0" w:color="auto"/>
            </w:tcBorders>
            <w:vAlign w:val="center"/>
          </w:tcPr>
          <w:p w:rsidR="008D66DE" w:rsidRPr="00317BC1" w:rsidRDefault="008D66DE" w:rsidP="000D5FC0">
            <w:pPr>
              <w:spacing w:line="360" w:lineRule="auto"/>
              <w:jc w:val="center"/>
              <w:rPr>
                <w:sz w:val="22"/>
                <w:szCs w:val="22"/>
                <w:lang w:val="lt-LT"/>
              </w:rPr>
            </w:pPr>
            <w:r w:rsidRPr="00317BC1">
              <w:rPr>
                <w:sz w:val="22"/>
                <w:szCs w:val="22"/>
                <w:lang w:val="lt-LT"/>
              </w:rPr>
              <w:t xml:space="preserve">Įgimtos rizikos apibrėžimas </w:t>
            </w:r>
          </w:p>
        </w:tc>
      </w:tr>
      <w:tr w:rsidR="008D66DE" w:rsidRPr="00317BC1" w:rsidTr="00317BC1">
        <w:tc>
          <w:tcPr>
            <w:tcW w:w="2802" w:type="dxa"/>
            <w:tcBorders>
              <w:top w:val="single" w:sz="4" w:space="0" w:color="auto"/>
              <w:bottom w:val="single" w:sz="4" w:space="0" w:color="auto"/>
            </w:tcBorders>
          </w:tcPr>
          <w:p w:rsidR="00506008" w:rsidRPr="00317BC1" w:rsidRDefault="008D66DE" w:rsidP="000D5FC0">
            <w:pPr>
              <w:rPr>
                <w:sz w:val="22"/>
                <w:szCs w:val="22"/>
                <w:lang w:val="lt-LT"/>
              </w:rPr>
            </w:pPr>
            <w:r w:rsidRPr="00317BC1">
              <w:rPr>
                <w:sz w:val="22"/>
                <w:szCs w:val="22"/>
                <w:lang w:val="lt-LT"/>
              </w:rPr>
              <w:t>200 TSA (2006</w:t>
            </w:r>
            <w:r w:rsidR="00077B57" w:rsidRPr="00317BC1">
              <w:rPr>
                <w:sz w:val="22"/>
                <w:szCs w:val="22"/>
                <w:lang w:val="lt-LT"/>
              </w:rPr>
              <w:t>)</w:t>
            </w:r>
            <w:r w:rsidR="00244499" w:rsidRPr="00317BC1">
              <w:rPr>
                <w:sz w:val="22"/>
                <w:szCs w:val="22"/>
                <w:lang w:val="lt-LT"/>
              </w:rPr>
              <w:t>, 107 SAS (2006), 8 R</w:t>
            </w:r>
            <w:r w:rsidR="00900D41" w:rsidRPr="00317BC1">
              <w:rPr>
                <w:sz w:val="22"/>
                <w:szCs w:val="22"/>
                <w:lang w:val="lt-LT"/>
              </w:rPr>
              <w:t>F</w:t>
            </w:r>
            <w:r w:rsidR="00244499" w:rsidRPr="00317BC1">
              <w:rPr>
                <w:sz w:val="22"/>
                <w:szCs w:val="22"/>
                <w:lang w:val="lt-LT"/>
              </w:rPr>
              <w:t>A</w:t>
            </w:r>
            <w:r w:rsidR="00900D41" w:rsidRPr="00317BC1">
              <w:rPr>
                <w:sz w:val="22"/>
                <w:szCs w:val="22"/>
                <w:lang w:val="lt-LT"/>
              </w:rPr>
              <w:t>V</w:t>
            </w:r>
            <w:r w:rsidR="00244499" w:rsidRPr="00317BC1">
              <w:rPr>
                <w:sz w:val="22"/>
                <w:szCs w:val="22"/>
                <w:lang w:val="lt-LT"/>
              </w:rPr>
              <w:t>S (2006)</w:t>
            </w:r>
            <w:r w:rsidR="00937691" w:rsidRPr="00317BC1">
              <w:rPr>
                <w:sz w:val="22"/>
                <w:szCs w:val="22"/>
                <w:lang w:val="lt-LT"/>
              </w:rPr>
              <w:t xml:space="preserve">, </w:t>
            </w:r>
          </w:p>
          <w:p w:rsidR="008D66DE" w:rsidRPr="00317BC1" w:rsidRDefault="00937691" w:rsidP="000D5FC0">
            <w:pPr>
              <w:rPr>
                <w:sz w:val="22"/>
                <w:szCs w:val="22"/>
                <w:lang w:val="lt-LT"/>
              </w:rPr>
            </w:pPr>
            <w:r w:rsidRPr="00317BC1">
              <w:rPr>
                <w:sz w:val="22"/>
                <w:szCs w:val="22"/>
                <w:lang w:val="lt-LT"/>
              </w:rPr>
              <w:t>B. K. Ghosh (2006)</w:t>
            </w:r>
          </w:p>
          <w:p w:rsidR="008D66DE" w:rsidRDefault="008D66DE" w:rsidP="000D5FC0">
            <w:pPr>
              <w:rPr>
                <w:sz w:val="22"/>
                <w:szCs w:val="22"/>
                <w:lang w:val="lt-LT"/>
              </w:rPr>
            </w:pPr>
          </w:p>
          <w:p w:rsidR="00462BD9" w:rsidRPr="00317BC1" w:rsidRDefault="00462BD9" w:rsidP="000D5FC0">
            <w:pPr>
              <w:rPr>
                <w:sz w:val="22"/>
                <w:szCs w:val="22"/>
                <w:lang w:val="lt-LT"/>
              </w:rPr>
            </w:pPr>
          </w:p>
          <w:p w:rsidR="000F022C" w:rsidRPr="00317BC1" w:rsidRDefault="000F022C" w:rsidP="000D5FC0">
            <w:pPr>
              <w:rPr>
                <w:sz w:val="22"/>
                <w:szCs w:val="22"/>
                <w:lang w:val="lt-LT"/>
              </w:rPr>
            </w:pPr>
            <w:r w:rsidRPr="00317BC1">
              <w:rPr>
                <w:sz w:val="22"/>
                <w:szCs w:val="22"/>
                <w:lang w:val="lt-LT"/>
              </w:rPr>
              <w:t>J. Mackevičius (2009)</w:t>
            </w:r>
          </w:p>
          <w:p w:rsidR="000F022C" w:rsidRDefault="000F022C" w:rsidP="000D5FC0">
            <w:pPr>
              <w:rPr>
                <w:sz w:val="22"/>
                <w:szCs w:val="22"/>
                <w:lang w:val="lt-LT"/>
              </w:rPr>
            </w:pPr>
          </w:p>
          <w:p w:rsidR="00462BD9" w:rsidRPr="00317BC1" w:rsidRDefault="00462BD9" w:rsidP="000D5FC0">
            <w:pPr>
              <w:rPr>
                <w:sz w:val="22"/>
                <w:szCs w:val="22"/>
                <w:lang w:val="lt-LT"/>
              </w:rPr>
            </w:pPr>
          </w:p>
          <w:p w:rsidR="00071C5E" w:rsidRPr="00317BC1" w:rsidRDefault="00071C5E" w:rsidP="000D5FC0">
            <w:pPr>
              <w:rPr>
                <w:sz w:val="22"/>
                <w:szCs w:val="22"/>
                <w:lang w:val="lt-LT"/>
              </w:rPr>
            </w:pPr>
            <w:r w:rsidRPr="00317BC1">
              <w:rPr>
                <w:sz w:val="22"/>
                <w:szCs w:val="22"/>
                <w:lang w:val="lt-LT"/>
              </w:rPr>
              <w:t>R.</w:t>
            </w:r>
            <w:r w:rsidR="00484691">
              <w:rPr>
                <w:sz w:val="22"/>
                <w:szCs w:val="22"/>
                <w:lang w:val="lt-LT"/>
              </w:rPr>
              <w:t xml:space="preserve"> </w:t>
            </w:r>
            <w:r w:rsidRPr="00317BC1">
              <w:rPr>
                <w:sz w:val="22"/>
                <w:szCs w:val="22"/>
                <w:lang w:val="lt-LT"/>
              </w:rPr>
              <w:t>Whittington, K. Pany (2006)</w:t>
            </w:r>
          </w:p>
          <w:p w:rsidR="00A76486" w:rsidRPr="00317BC1" w:rsidRDefault="00A76486" w:rsidP="000D5FC0">
            <w:pPr>
              <w:rPr>
                <w:sz w:val="22"/>
                <w:szCs w:val="22"/>
                <w:lang w:val="lt-LT"/>
              </w:rPr>
            </w:pPr>
            <w:r w:rsidRPr="00317BC1">
              <w:rPr>
                <w:sz w:val="22"/>
                <w:szCs w:val="22"/>
                <w:lang w:val="lt-LT"/>
              </w:rPr>
              <w:t>W. R. Knechel (2001)</w:t>
            </w:r>
          </w:p>
          <w:p w:rsidR="00A76486" w:rsidRPr="00317BC1" w:rsidRDefault="00A76486" w:rsidP="000D5FC0">
            <w:pPr>
              <w:rPr>
                <w:sz w:val="22"/>
                <w:szCs w:val="22"/>
                <w:lang w:val="lt-LT"/>
              </w:rPr>
            </w:pPr>
          </w:p>
          <w:p w:rsidR="00574CBE" w:rsidRDefault="008D66DE" w:rsidP="000D5FC0">
            <w:pPr>
              <w:rPr>
                <w:sz w:val="22"/>
                <w:szCs w:val="22"/>
                <w:lang w:val="lt-LT"/>
              </w:rPr>
            </w:pPr>
            <w:r w:rsidRPr="00317BC1">
              <w:rPr>
                <w:sz w:val="22"/>
                <w:szCs w:val="22"/>
                <w:lang w:val="lt-LT"/>
              </w:rPr>
              <w:t>S.</w:t>
            </w:r>
            <w:r w:rsidR="007E6800" w:rsidRPr="00317BC1">
              <w:rPr>
                <w:sz w:val="22"/>
                <w:szCs w:val="22"/>
                <w:lang w:val="lt-LT"/>
              </w:rPr>
              <w:t xml:space="preserve"> </w:t>
            </w:r>
            <w:r w:rsidR="00862190" w:rsidRPr="00317BC1">
              <w:rPr>
                <w:sz w:val="22"/>
                <w:szCs w:val="22"/>
                <w:lang w:val="lt-LT"/>
              </w:rPr>
              <w:t>M. By</w:t>
            </w:r>
            <w:r w:rsidRPr="00317BC1">
              <w:rPr>
                <w:sz w:val="22"/>
                <w:szCs w:val="22"/>
                <w:lang w:val="lt-LT"/>
              </w:rPr>
              <w:t>čkova (1998),</w:t>
            </w:r>
          </w:p>
          <w:p w:rsidR="008D66DE" w:rsidRPr="00317BC1" w:rsidRDefault="008D66DE" w:rsidP="000D5FC0">
            <w:pPr>
              <w:rPr>
                <w:sz w:val="22"/>
                <w:szCs w:val="22"/>
                <w:lang w:val="lt-LT"/>
              </w:rPr>
            </w:pPr>
            <w:r w:rsidRPr="00317BC1">
              <w:rPr>
                <w:sz w:val="22"/>
                <w:szCs w:val="22"/>
                <w:lang w:val="lt-LT"/>
              </w:rPr>
              <w:t xml:space="preserve"> V.</w:t>
            </w:r>
            <w:r w:rsidR="007E6800" w:rsidRPr="00317BC1">
              <w:rPr>
                <w:sz w:val="22"/>
                <w:szCs w:val="22"/>
                <w:lang w:val="lt-LT"/>
              </w:rPr>
              <w:t xml:space="preserve"> </w:t>
            </w:r>
            <w:r w:rsidRPr="00317BC1">
              <w:rPr>
                <w:sz w:val="22"/>
                <w:szCs w:val="22"/>
                <w:lang w:val="lt-LT"/>
              </w:rPr>
              <w:t>V. Skobara (1998)</w:t>
            </w:r>
          </w:p>
          <w:p w:rsidR="00462BD9" w:rsidRDefault="00462BD9" w:rsidP="000D5FC0">
            <w:pPr>
              <w:rPr>
                <w:sz w:val="22"/>
                <w:szCs w:val="22"/>
                <w:lang w:val="lt-LT"/>
              </w:rPr>
            </w:pPr>
          </w:p>
          <w:p w:rsidR="008D66DE" w:rsidRPr="00317BC1" w:rsidRDefault="008D66DE" w:rsidP="000D5FC0">
            <w:pPr>
              <w:rPr>
                <w:sz w:val="22"/>
                <w:szCs w:val="22"/>
                <w:lang w:val="lt-LT"/>
              </w:rPr>
            </w:pPr>
            <w:r w:rsidRPr="00317BC1">
              <w:rPr>
                <w:sz w:val="22"/>
                <w:szCs w:val="22"/>
                <w:lang w:val="lt-LT"/>
              </w:rPr>
              <w:t>J. Mackevičius (199</w:t>
            </w:r>
            <w:r w:rsidR="00BE5795">
              <w:rPr>
                <w:sz w:val="22"/>
                <w:szCs w:val="22"/>
                <w:lang w:val="lt-LT"/>
              </w:rPr>
              <w:t>4</w:t>
            </w:r>
            <w:r w:rsidRPr="00317BC1">
              <w:rPr>
                <w:sz w:val="22"/>
                <w:szCs w:val="22"/>
                <w:lang w:val="lt-LT"/>
              </w:rPr>
              <w:t xml:space="preserve">) </w:t>
            </w:r>
          </w:p>
          <w:p w:rsidR="00462BD9" w:rsidRDefault="00462BD9" w:rsidP="000D5FC0">
            <w:pPr>
              <w:rPr>
                <w:sz w:val="22"/>
                <w:szCs w:val="22"/>
                <w:lang w:val="lt-LT"/>
              </w:rPr>
            </w:pPr>
          </w:p>
          <w:p w:rsidR="008D66DE" w:rsidRPr="00317BC1" w:rsidRDefault="008D66DE" w:rsidP="000D5FC0">
            <w:pPr>
              <w:rPr>
                <w:sz w:val="22"/>
                <w:szCs w:val="22"/>
                <w:lang w:val="lt-LT"/>
              </w:rPr>
            </w:pPr>
            <w:r w:rsidRPr="00317BC1">
              <w:rPr>
                <w:sz w:val="22"/>
                <w:szCs w:val="22"/>
                <w:lang w:val="lt-LT"/>
              </w:rPr>
              <w:t>H. Johnson (1991)</w:t>
            </w:r>
          </w:p>
          <w:p w:rsidR="008D66DE" w:rsidRPr="00317BC1" w:rsidRDefault="008D66DE" w:rsidP="000D5FC0">
            <w:pPr>
              <w:rPr>
                <w:sz w:val="22"/>
                <w:szCs w:val="22"/>
                <w:lang w:val="lt-LT"/>
              </w:rPr>
            </w:pPr>
          </w:p>
          <w:p w:rsidR="00462BD9" w:rsidRDefault="00462BD9" w:rsidP="000D5FC0">
            <w:pPr>
              <w:rPr>
                <w:sz w:val="22"/>
                <w:szCs w:val="22"/>
                <w:lang w:val="lt-LT"/>
              </w:rPr>
            </w:pPr>
          </w:p>
          <w:p w:rsidR="008D66DE" w:rsidRPr="00317BC1" w:rsidRDefault="008D66DE" w:rsidP="000D5FC0">
            <w:pPr>
              <w:rPr>
                <w:sz w:val="22"/>
                <w:szCs w:val="22"/>
                <w:lang w:val="lt-LT"/>
              </w:rPr>
            </w:pPr>
            <w:r w:rsidRPr="00317BC1">
              <w:rPr>
                <w:sz w:val="22"/>
                <w:szCs w:val="22"/>
                <w:lang w:val="lt-LT"/>
              </w:rPr>
              <w:t>A.</w:t>
            </w:r>
            <w:r w:rsidR="00C370FB" w:rsidRPr="00317BC1">
              <w:rPr>
                <w:sz w:val="22"/>
                <w:szCs w:val="22"/>
                <w:lang w:val="lt-LT"/>
              </w:rPr>
              <w:t xml:space="preserve"> </w:t>
            </w:r>
            <w:r w:rsidRPr="00317BC1">
              <w:rPr>
                <w:sz w:val="22"/>
                <w:szCs w:val="22"/>
                <w:lang w:val="lt-LT"/>
              </w:rPr>
              <w:t>D. Šeremet, V.</w:t>
            </w:r>
            <w:r w:rsidR="00C370FB" w:rsidRPr="00317BC1">
              <w:rPr>
                <w:sz w:val="22"/>
                <w:szCs w:val="22"/>
                <w:lang w:val="lt-LT"/>
              </w:rPr>
              <w:t xml:space="preserve"> </w:t>
            </w:r>
            <w:r w:rsidRPr="00317BC1">
              <w:rPr>
                <w:sz w:val="22"/>
                <w:szCs w:val="22"/>
                <w:lang w:val="lt-LT"/>
              </w:rPr>
              <w:t>P.</w:t>
            </w:r>
            <w:r w:rsidR="00093482" w:rsidRPr="00317BC1">
              <w:rPr>
                <w:sz w:val="22"/>
                <w:szCs w:val="22"/>
                <w:lang w:val="lt-LT"/>
              </w:rPr>
              <w:t xml:space="preserve"> </w:t>
            </w:r>
            <w:r w:rsidRPr="00317BC1">
              <w:rPr>
                <w:sz w:val="22"/>
                <w:szCs w:val="22"/>
                <w:lang w:val="lt-LT"/>
              </w:rPr>
              <w:t>Su</w:t>
            </w:r>
            <w:r w:rsidR="00CA5265" w:rsidRPr="00317BC1">
              <w:rPr>
                <w:sz w:val="22"/>
                <w:szCs w:val="22"/>
                <w:lang w:val="lt-LT"/>
              </w:rPr>
              <w:t>i</w:t>
            </w:r>
            <w:r w:rsidRPr="00317BC1">
              <w:rPr>
                <w:sz w:val="22"/>
                <w:szCs w:val="22"/>
                <w:lang w:val="lt-LT"/>
              </w:rPr>
              <w:t>jc (1995)</w:t>
            </w:r>
          </w:p>
        </w:tc>
        <w:tc>
          <w:tcPr>
            <w:tcW w:w="5528" w:type="dxa"/>
            <w:tcBorders>
              <w:top w:val="single" w:sz="4" w:space="0" w:color="auto"/>
              <w:bottom w:val="single" w:sz="4" w:space="0" w:color="auto"/>
            </w:tcBorders>
          </w:tcPr>
          <w:p w:rsidR="008D66DE" w:rsidRPr="00317BC1" w:rsidRDefault="00D77E35" w:rsidP="000D5FC0">
            <w:pPr>
              <w:jc w:val="both"/>
              <w:rPr>
                <w:sz w:val="22"/>
                <w:szCs w:val="22"/>
                <w:lang w:val="lt-LT"/>
              </w:rPr>
            </w:pPr>
            <w:r w:rsidRPr="00317BC1">
              <w:rPr>
                <w:sz w:val="22"/>
                <w:szCs w:val="22"/>
                <w:lang w:val="lt-LT"/>
              </w:rPr>
              <w:t>– s</w:t>
            </w:r>
            <w:r w:rsidR="008D66DE" w:rsidRPr="00317BC1">
              <w:rPr>
                <w:sz w:val="22"/>
                <w:szCs w:val="22"/>
                <w:lang w:val="lt-LT"/>
              </w:rPr>
              <w:t>ąskaitos likučio ar ūkinių operacijų grupės jautrum</w:t>
            </w:r>
            <w:r w:rsidR="009A2C36" w:rsidRPr="00317BC1">
              <w:rPr>
                <w:sz w:val="22"/>
                <w:szCs w:val="22"/>
                <w:lang w:val="lt-LT"/>
              </w:rPr>
              <w:t>as</w:t>
            </w:r>
            <w:r w:rsidR="008D66DE" w:rsidRPr="00317BC1">
              <w:rPr>
                <w:sz w:val="22"/>
                <w:szCs w:val="22"/>
                <w:lang w:val="lt-LT"/>
              </w:rPr>
              <w:t xml:space="preserve"> informacijos iškraipymams, kurie gali būti reikšmingi patys savaime arba kartu su informacijos iškraipymais kitose sąskaitose arba ūkinių operacijų grupėse, darant prielaidą, kad nebuvo susijusios vidaus kontrolės.</w:t>
            </w:r>
          </w:p>
          <w:p w:rsidR="000F022C" w:rsidRPr="00317BC1" w:rsidRDefault="000F022C" w:rsidP="000F022C">
            <w:pPr>
              <w:jc w:val="both"/>
              <w:rPr>
                <w:sz w:val="22"/>
                <w:szCs w:val="22"/>
                <w:lang w:val="lt-LT"/>
              </w:rPr>
            </w:pPr>
            <w:r w:rsidRPr="00317BC1">
              <w:rPr>
                <w:sz w:val="22"/>
                <w:szCs w:val="22"/>
                <w:lang w:val="lt-LT"/>
              </w:rPr>
              <w:t>– rizika, kad klaidų gali būti kiekvienoje finansinėje ataskaitoje, neatsižvelgiant į įmonės veiklos sudėtingumą, ūkinių operacijų skaičių, pobūdį ir įvairovę.</w:t>
            </w:r>
          </w:p>
          <w:p w:rsidR="00071C5E" w:rsidRPr="00317BC1" w:rsidRDefault="00D77E35" w:rsidP="000D5FC0">
            <w:pPr>
              <w:jc w:val="both"/>
              <w:rPr>
                <w:sz w:val="22"/>
                <w:szCs w:val="22"/>
                <w:lang w:val="lt-LT"/>
              </w:rPr>
            </w:pPr>
            <w:r w:rsidRPr="00317BC1">
              <w:rPr>
                <w:sz w:val="22"/>
                <w:szCs w:val="22"/>
                <w:lang w:val="lt-LT"/>
              </w:rPr>
              <w:t>– r</w:t>
            </w:r>
            <w:r w:rsidR="00071C5E" w:rsidRPr="00317BC1">
              <w:rPr>
                <w:sz w:val="22"/>
                <w:szCs w:val="22"/>
                <w:lang w:val="lt-LT"/>
              </w:rPr>
              <w:t xml:space="preserve">eikšmingo iškraipymo galimybė </w:t>
            </w:r>
            <w:r w:rsidR="004F25C1" w:rsidRPr="00317BC1">
              <w:rPr>
                <w:sz w:val="22"/>
                <w:szCs w:val="22"/>
                <w:lang w:val="lt-LT"/>
              </w:rPr>
              <w:t xml:space="preserve">tvirtinime </w:t>
            </w:r>
            <w:r w:rsidR="00AE1F0B" w:rsidRPr="00317BC1">
              <w:rPr>
                <w:sz w:val="22"/>
                <w:szCs w:val="22"/>
                <w:lang w:val="lt-LT"/>
              </w:rPr>
              <w:t>prieš kliento vidaus kontrolę.</w:t>
            </w:r>
          </w:p>
          <w:p w:rsidR="00A76486" w:rsidRPr="00317BC1" w:rsidRDefault="00D77E35" w:rsidP="000D5FC0">
            <w:pPr>
              <w:jc w:val="both"/>
              <w:rPr>
                <w:sz w:val="22"/>
                <w:szCs w:val="22"/>
                <w:lang w:val="lt-LT"/>
              </w:rPr>
            </w:pPr>
            <w:r w:rsidRPr="00317BC1">
              <w:rPr>
                <w:sz w:val="22"/>
                <w:szCs w:val="22"/>
                <w:lang w:val="lt-LT"/>
              </w:rPr>
              <w:t>– t</w:t>
            </w:r>
            <w:r w:rsidR="00A76486" w:rsidRPr="00317BC1">
              <w:rPr>
                <w:sz w:val="22"/>
                <w:szCs w:val="22"/>
                <w:lang w:val="lt-LT"/>
              </w:rPr>
              <w:t>virtinimo jautrumas reik</w:t>
            </w:r>
            <w:r w:rsidR="00506008" w:rsidRPr="00317BC1">
              <w:rPr>
                <w:sz w:val="22"/>
                <w:szCs w:val="22"/>
                <w:lang w:val="lt-LT"/>
              </w:rPr>
              <w:t>š</w:t>
            </w:r>
            <w:r w:rsidR="00A76486" w:rsidRPr="00317BC1">
              <w:rPr>
                <w:sz w:val="22"/>
                <w:szCs w:val="22"/>
                <w:lang w:val="lt-LT"/>
              </w:rPr>
              <w:t>mingam iškraipymui tariant, kad nėra susijusios vidaus kontrolės.</w:t>
            </w:r>
          </w:p>
          <w:p w:rsidR="008D66DE" w:rsidRPr="00317BC1" w:rsidRDefault="00484691" w:rsidP="000D5FC0">
            <w:pPr>
              <w:jc w:val="both"/>
              <w:rPr>
                <w:sz w:val="22"/>
                <w:szCs w:val="22"/>
                <w:lang w:val="lt-LT"/>
              </w:rPr>
            </w:pPr>
            <w:r>
              <w:rPr>
                <w:sz w:val="22"/>
                <w:szCs w:val="22"/>
                <w:lang w:val="lt-LT"/>
              </w:rPr>
              <w:t xml:space="preserve">Įgimtos rizikos </w:t>
            </w:r>
            <w:r w:rsidR="008D66DE" w:rsidRPr="00317BC1">
              <w:rPr>
                <w:sz w:val="22"/>
                <w:szCs w:val="22"/>
                <w:lang w:val="lt-LT"/>
              </w:rPr>
              <w:t>buvimas yra nulemtas įmonės charakteristikomis bei supančios aplinkos bei jos neįmanoma aptikti vidaus kontrolės pagalba.</w:t>
            </w:r>
          </w:p>
          <w:p w:rsidR="008D66DE" w:rsidRPr="00317BC1" w:rsidRDefault="00D77E35" w:rsidP="000D5FC0">
            <w:pPr>
              <w:jc w:val="both"/>
              <w:rPr>
                <w:sz w:val="22"/>
                <w:szCs w:val="22"/>
                <w:lang w:val="lt-LT"/>
              </w:rPr>
            </w:pPr>
            <w:r w:rsidRPr="00317BC1">
              <w:rPr>
                <w:sz w:val="22"/>
                <w:szCs w:val="22"/>
                <w:lang w:val="lt-LT"/>
              </w:rPr>
              <w:t>– r</w:t>
            </w:r>
            <w:r w:rsidR="008D66DE" w:rsidRPr="00317BC1">
              <w:rPr>
                <w:sz w:val="22"/>
                <w:szCs w:val="22"/>
                <w:lang w:val="lt-LT"/>
              </w:rPr>
              <w:t>izika, kai klaidos atsiranda dėl apskaitos sistemos netobulumo.</w:t>
            </w:r>
          </w:p>
          <w:p w:rsidR="008D66DE" w:rsidRPr="00317BC1" w:rsidRDefault="00D77E35" w:rsidP="000D5FC0">
            <w:pPr>
              <w:jc w:val="both"/>
              <w:rPr>
                <w:sz w:val="22"/>
                <w:szCs w:val="22"/>
                <w:lang w:val="lt-LT"/>
              </w:rPr>
            </w:pPr>
            <w:r w:rsidRPr="00317BC1">
              <w:rPr>
                <w:sz w:val="22"/>
                <w:szCs w:val="22"/>
                <w:lang w:val="lt-LT"/>
              </w:rPr>
              <w:t>– r</w:t>
            </w:r>
            <w:r w:rsidR="008D66DE" w:rsidRPr="00317BC1">
              <w:rPr>
                <w:sz w:val="22"/>
                <w:szCs w:val="22"/>
                <w:lang w:val="lt-LT"/>
              </w:rPr>
              <w:t>eikšmingų klaidų tikimybė sąskaitų likučiuose ar ūkinių operacijų grupėse, darant prielaidą, kad nebuvo vidaus kontrolės procedūrų.</w:t>
            </w:r>
          </w:p>
          <w:p w:rsidR="008D66DE" w:rsidRPr="00317BC1" w:rsidRDefault="00D77E35" w:rsidP="00D77E35">
            <w:pPr>
              <w:jc w:val="both"/>
              <w:rPr>
                <w:sz w:val="22"/>
                <w:szCs w:val="22"/>
                <w:lang w:val="lt-LT"/>
              </w:rPr>
            </w:pPr>
            <w:r w:rsidRPr="00317BC1">
              <w:rPr>
                <w:sz w:val="22"/>
                <w:szCs w:val="22"/>
                <w:lang w:val="lt-LT"/>
              </w:rPr>
              <w:t>– r</w:t>
            </w:r>
            <w:r w:rsidR="008D66DE" w:rsidRPr="00317BC1">
              <w:rPr>
                <w:sz w:val="22"/>
                <w:szCs w:val="22"/>
                <w:lang w:val="lt-LT"/>
              </w:rPr>
              <w:t>izika susijusi su įmonės specifika, t. y. klaidų, viršijančių leistiną dydį, buvimo tikimybė finansinė</w:t>
            </w:r>
            <w:r w:rsidR="00093482" w:rsidRPr="00317BC1">
              <w:rPr>
                <w:sz w:val="22"/>
                <w:szCs w:val="22"/>
                <w:lang w:val="lt-LT"/>
              </w:rPr>
              <w:t>s</w:t>
            </w:r>
            <w:r w:rsidR="008D66DE" w:rsidRPr="00317BC1">
              <w:rPr>
                <w:sz w:val="22"/>
                <w:szCs w:val="22"/>
                <w:lang w:val="lt-LT"/>
              </w:rPr>
              <w:t>e at</w:t>
            </w:r>
            <w:r w:rsidR="00093482" w:rsidRPr="00317BC1">
              <w:rPr>
                <w:sz w:val="22"/>
                <w:szCs w:val="22"/>
                <w:lang w:val="lt-LT"/>
              </w:rPr>
              <w:t>a</w:t>
            </w:r>
            <w:r w:rsidR="008D66DE" w:rsidRPr="00317BC1">
              <w:rPr>
                <w:sz w:val="22"/>
                <w:szCs w:val="22"/>
                <w:lang w:val="lt-LT"/>
              </w:rPr>
              <w:t>skaito</w:t>
            </w:r>
            <w:r w:rsidR="00093482" w:rsidRPr="00317BC1">
              <w:rPr>
                <w:sz w:val="22"/>
                <w:szCs w:val="22"/>
                <w:lang w:val="lt-LT"/>
              </w:rPr>
              <w:t>s</w:t>
            </w:r>
            <w:r w:rsidR="008D66DE" w:rsidRPr="00317BC1">
              <w:rPr>
                <w:sz w:val="22"/>
                <w:szCs w:val="22"/>
                <w:lang w:val="lt-LT"/>
              </w:rPr>
              <w:t xml:space="preserve">e iki vidaus kontrolės sistemos </w:t>
            </w:r>
            <w:r w:rsidR="00817518" w:rsidRPr="00317BC1">
              <w:rPr>
                <w:sz w:val="22"/>
                <w:szCs w:val="22"/>
                <w:lang w:val="lt-LT"/>
              </w:rPr>
              <w:t>peržiūrėjimo</w:t>
            </w:r>
            <w:r w:rsidR="008D66DE" w:rsidRPr="00317BC1">
              <w:rPr>
                <w:sz w:val="22"/>
                <w:szCs w:val="22"/>
                <w:lang w:val="lt-LT"/>
              </w:rPr>
              <w:t xml:space="preserve">. </w:t>
            </w:r>
          </w:p>
        </w:tc>
      </w:tr>
    </w:tbl>
    <w:p w:rsidR="008D66DE" w:rsidRPr="00FE380C" w:rsidRDefault="008D66DE" w:rsidP="00AE1F0B">
      <w:pPr>
        <w:rPr>
          <w:lang w:val="lt-LT"/>
        </w:rPr>
      </w:pPr>
      <w:r w:rsidRPr="00FE380C">
        <w:rPr>
          <w:lang w:val="lt-LT"/>
        </w:rPr>
        <w:t>Šaltinis: sudaryta autor</w:t>
      </w:r>
      <w:r w:rsidR="005E7F2F" w:rsidRPr="00FE380C">
        <w:rPr>
          <w:lang w:val="lt-LT"/>
        </w:rPr>
        <w:t>ė</w:t>
      </w:r>
      <w:r w:rsidRPr="00FE380C">
        <w:rPr>
          <w:lang w:val="lt-LT"/>
        </w:rPr>
        <w:t>s.</w:t>
      </w:r>
    </w:p>
    <w:p w:rsidR="001C499C" w:rsidRPr="00462BD9" w:rsidRDefault="00937691" w:rsidP="003B21FA">
      <w:pPr>
        <w:spacing w:before="120" w:line="360" w:lineRule="auto"/>
        <w:ind w:firstLine="720"/>
        <w:jc w:val="both"/>
        <w:rPr>
          <w:sz w:val="26"/>
          <w:szCs w:val="26"/>
          <w:lang w:val="lt-LT"/>
        </w:rPr>
      </w:pPr>
      <w:r w:rsidRPr="00462BD9">
        <w:rPr>
          <w:sz w:val="26"/>
          <w:szCs w:val="26"/>
          <w:lang w:val="lt-LT"/>
        </w:rPr>
        <w:t>Au</w:t>
      </w:r>
      <w:r w:rsidR="00A5692D" w:rsidRPr="00462BD9">
        <w:rPr>
          <w:sz w:val="26"/>
          <w:szCs w:val="26"/>
          <w:lang w:val="lt-LT"/>
        </w:rPr>
        <w:t>di</w:t>
      </w:r>
      <w:r w:rsidRPr="00462BD9">
        <w:rPr>
          <w:sz w:val="26"/>
          <w:szCs w:val="26"/>
          <w:lang w:val="lt-LT"/>
        </w:rPr>
        <w:t>to standartai (</w:t>
      </w:r>
      <w:r w:rsidR="00C9172F" w:rsidRPr="00462BD9">
        <w:rPr>
          <w:sz w:val="26"/>
          <w:szCs w:val="26"/>
          <w:lang w:val="lt-LT"/>
        </w:rPr>
        <w:t>2</w:t>
      </w:r>
      <w:r w:rsidR="000458CE" w:rsidRPr="00462BD9">
        <w:rPr>
          <w:sz w:val="26"/>
          <w:szCs w:val="26"/>
          <w:lang w:val="lt-LT"/>
        </w:rPr>
        <w:t>00 T</w:t>
      </w:r>
      <w:r w:rsidR="00C9172F" w:rsidRPr="00462BD9">
        <w:rPr>
          <w:sz w:val="26"/>
          <w:szCs w:val="26"/>
          <w:lang w:val="lt-LT"/>
        </w:rPr>
        <w:t>SA</w:t>
      </w:r>
      <w:r w:rsidRPr="00462BD9">
        <w:rPr>
          <w:sz w:val="26"/>
          <w:szCs w:val="26"/>
          <w:lang w:val="lt-LT"/>
        </w:rPr>
        <w:t xml:space="preserve">, </w:t>
      </w:r>
      <w:r w:rsidR="000458CE" w:rsidRPr="00462BD9">
        <w:rPr>
          <w:sz w:val="26"/>
          <w:szCs w:val="26"/>
          <w:lang w:val="lt-LT"/>
        </w:rPr>
        <w:t>200</w:t>
      </w:r>
      <w:r w:rsidR="00C9172F" w:rsidRPr="00462BD9">
        <w:rPr>
          <w:sz w:val="26"/>
          <w:szCs w:val="26"/>
          <w:lang w:val="lt-LT"/>
        </w:rPr>
        <w:t>6</w:t>
      </w:r>
      <w:r w:rsidRPr="00462BD9">
        <w:rPr>
          <w:sz w:val="26"/>
          <w:szCs w:val="26"/>
          <w:lang w:val="lt-LT"/>
        </w:rPr>
        <w:t>; 107 SAS, 2006, 8 RFAVS, 2006</w:t>
      </w:r>
      <w:r w:rsidR="003743A7" w:rsidRPr="00462BD9">
        <w:rPr>
          <w:sz w:val="26"/>
          <w:szCs w:val="26"/>
          <w:lang w:val="lt-LT"/>
        </w:rPr>
        <w:t>)</w:t>
      </w:r>
      <w:r w:rsidRPr="00462BD9">
        <w:rPr>
          <w:sz w:val="26"/>
          <w:szCs w:val="26"/>
          <w:lang w:val="lt-LT"/>
        </w:rPr>
        <w:t xml:space="preserve"> ir autoriai (</w:t>
      </w:r>
      <w:r w:rsidR="000458CE" w:rsidRPr="00462BD9">
        <w:rPr>
          <w:sz w:val="26"/>
          <w:szCs w:val="26"/>
          <w:lang w:val="lt-LT"/>
        </w:rPr>
        <w:t>Johnson</w:t>
      </w:r>
      <w:r w:rsidRPr="00462BD9">
        <w:rPr>
          <w:sz w:val="26"/>
          <w:szCs w:val="26"/>
          <w:lang w:val="lt-LT"/>
        </w:rPr>
        <w:t xml:space="preserve">, </w:t>
      </w:r>
      <w:r w:rsidR="000458CE" w:rsidRPr="00462BD9">
        <w:rPr>
          <w:sz w:val="26"/>
          <w:szCs w:val="26"/>
          <w:lang w:val="lt-LT"/>
        </w:rPr>
        <w:t>1991</w:t>
      </w:r>
      <w:r w:rsidRPr="00462BD9">
        <w:rPr>
          <w:sz w:val="26"/>
          <w:szCs w:val="26"/>
          <w:lang w:val="lt-LT"/>
        </w:rPr>
        <w:t xml:space="preserve">; </w:t>
      </w:r>
      <w:r w:rsidR="00A76486" w:rsidRPr="00462BD9">
        <w:rPr>
          <w:sz w:val="26"/>
          <w:szCs w:val="26"/>
          <w:lang w:val="lt-LT"/>
        </w:rPr>
        <w:t xml:space="preserve">Knechel, 2001; Ghosh, 2006; </w:t>
      </w:r>
      <w:r w:rsidR="004F25C1" w:rsidRPr="00462BD9">
        <w:rPr>
          <w:sz w:val="26"/>
          <w:szCs w:val="26"/>
          <w:lang w:val="lt-LT"/>
        </w:rPr>
        <w:t>Whittington, Pany</w:t>
      </w:r>
      <w:r w:rsidR="00A76486" w:rsidRPr="00462BD9">
        <w:rPr>
          <w:sz w:val="26"/>
          <w:szCs w:val="26"/>
          <w:lang w:val="lt-LT"/>
        </w:rPr>
        <w:t xml:space="preserve">, </w:t>
      </w:r>
      <w:r w:rsidR="004F25C1" w:rsidRPr="00462BD9">
        <w:rPr>
          <w:sz w:val="26"/>
          <w:szCs w:val="26"/>
          <w:lang w:val="lt-LT"/>
        </w:rPr>
        <w:t>2006</w:t>
      </w:r>
      <w:r w:rsidR="000F022C" w:rsidRPr="00462BD9">
        <w:rPr>
          <w:sz w:val="26"/>
          <w:szCs w:val="26"/>
          <w:lang w:val="lt-LT"/>
        </w:rPr>
        <w:t>; Mackevičius 2009</w:t>
      </w:r>
      <w:r w:rsidR="004F25C1" w:rsidRPr="00462BD9">
        <w:rPr>
          <w:sz w:val="26"/>
          <w:szCs w:val="26"/>
          <w:lang w:val="lt-LT"/>
        </w:rPr>
        <w:t>)</w:t>
      </w:r>
      <w:r w:rsidR="000458CE" w:rsidRPr="00462BD9">
        <w:rPr>
          <w:sz w:val="26"/>
          <w:szCs w:val="26"/>
          <w:lang w:val="lt-LT"/>
        </w:rPr>
        <w:t xml:space="preserve"> apibrėždami įgimtą riziką akcentuoja </w:t>
      </w:r>
      <w:r w:rsidR="000458CE" w:rsidRPr="00462BD9">
        <w:rPr>
          <w:i/>
          <w:sz w:val="26"/>
          <w:szCs w:val="26"/>
          <w:lang w:val="lt-LT"/>
        </w:rPr>
        <w:t>reikšmingų iškraipymų susidarymo vietą</w:t>
      </w:r>
      <w:r w:rsidR="00484691">
        <w:rPr>
          <w:i/>
          <w:sz w:val="26"/>
          <w:szCs w:val="26"/>
          <w:lang w:val="lt-LT"/>
        </w:rPr>
        <w:t>,</w:t>
      </w:r>
      <w:r w:rsidR="000458CE" w:rsidRPr="00462BD9">
        <w:rPr>
          <w:sz w:val="26"/>
          <w:szCs w:val="26"/>
          <w:lang w:val="lt-LT"/>
        </w:rPr>
        <w:t xml:space="preserve"> t.</w:t>
      </w:r>
      <w:r w:rsidR="003743A7" w:rsidRPr="00462BD9">
        <w:rPr>
          <w:sz w:val="26"/>
          <w:szCs w:val="26"/>
          <w:lang w:val="lt-LT"/>
        </w:rPr>
        <w:t xml:space="preserve"> </w:t>
      </w:r>
      <w:r w:rsidR="000458CE" w:rsidRPr="00462BD9">
        <w:rPr>
          <w:sz w:val="26"/>
          <w:szCs w:val="26"/>
          <w:lang w:val="lt-LT"/>
        </w:rPr>
        <w:t xml:space="preserve">y. </w:t>
      </w:r>
      <w:r w:rsidR="000F022C" w:rsidRPr="00462BD9">
        <w:rPr>
          <w:sz w:val="26"/>
          <w:szCs w:val="26"/>
          <w:lang w:val="lt-LT"/>
        </w:rPr>
        <w:t xml:space="preserve">finansinėje ataskaitoje, </w:t>
      </w:r>
      <w:r w:rsidR="000458CE" w:rsidRPr="00462BD9">
        <w:rPr>
          <w:sz w:val="26"/>
          <w:szCs w:val="26"/>
          <w:lang w:val="lt-LT"/>
        </w:rPr>
        <w:t>sąskaitų likučiuose</w:t>
      </w:r>
      <w:r w:rsidR="002B3AF1" w:rsidRPr="00462BD9">
        <w:rPr>
          <w:sz w:val="26"/>
          <w:szCs w:val="26"/>
          <w:lang w:val="lt-LT"/>
        </w:rPr>
        <w:t>,</w:t>
      </w:r>
      <w:r w:rsidR="000458CE" w:rsidRPr="00462BD9">
        <w:rPr>
          <w:sz w:val="26"/>
          <w:szCs w:val="26"/>
          <w:lang w:val="lt-LT"/>
        </w:rPr>
        <w:t xml:space="preserve"> ūkinių operacijų grupėse</w:t>
      </w:r>
      <w:r w:rsidR="00C370FB" w:rsidRPr="00462BD9">
        <w:rPr>
          <w:sz w:val="26"/>
          <w:szCs w:val="26"/>
          <w:lang w:val="lt-LT"/>
        </w:rPr>
        <w:t xml:space="preserve"> ar tam tikrame vadovybė</w:t>
      </w:r>
      <w:r w:rsidR="0094254D" w:rsidRPr="00462BD9">
        <w:rPr>
          <w:sz w:val="26"/>
          <w:szCs w:val="26"/>
          <w:lang w:val="lt-LT"/>
        </w:rPr>
        <w:t>s</w:t>
      </w:r>
      <w:r w:rsidR="00C370FB" w:rsidRPr="00462BD9">
        <w:rPr>
          <w:sz w:val="26"/>
          <w:szCs w:val="26"/>
          <w:lang w:val="lt-LT"/>
        </w:rPr>
        <w:t xml:space="preserve"> tvirtinime</w:t>
      </w:r>
      <w:r w:rsidR="000458CE" w:rsidRPr="00462BD9">
        <w:rPr>
          <w:sz w:val="26"/>
          <w:szCs w:val="26"/>
          <w:lang w:val="lt-LT"/>
        </w:rPr>
        <w:t xml:space="preserve">. </w:t>
      </w:r>
      <w:r w:rsidR="009D4E6F" w:rsidRPr="00462BD9">
        <w:rPr>
          <w:sz w:val="26"/>
          <w:szCs w:val="26"/>
          <w:lang w:val="lt-LT"/>
        </w:rPr>
        <w:t>Tai rodo</w:t>
      </w:r>
      <w:r w:rsidR="004964BA" w:rsidRPr="00462BD9">
        <w:rPr>
          <w:sz w:val="26"/>
          <w:szCs w:val="26"/>
          <w:lang w:val="lt-LT"/>
        </w:rPr>
        <w:t xml:space="preserve">, kad </w:t>
      </w:r>
      <w:r w:rsidR="00484691">
        <w:rPr>
          <w:sz w:val="26"/>
          <w:szCs w:val="26"/>
          <w:lang w:val="lt-LT"/>
        </w:rPr>
        <w:t xml:space="preserve">būtent </w:t>
      </w:r>
      <w:r w:rsidR="002B3AF1" w:rsidRPr="00462BD9">
        <w:rPr>
          <w:sz w:val="26"/>
          <w:szCs w:val="26"/>
          <w:lang w:val="lt-LT"/>
        </w:rPr>
        <w:t>čia pastebimas jos pasireiškimas</w:t>
      </w:r>
      <w:r w:rsidR="004964BA" w:rsidRPr="00462BD9">
        <w:rPr>
          <w:sz w:val="26"/>
          <w:szCs w:val="26"/>
          <w:lang w:val="lt-LT"/>
        </w:rPr>
        <w:t>.</w:t>
      </w:r>
      <w:r w:rsidR="009D4E6F" w:rsidRPr="00462BD9">
        <w:rPr>
          <w:sz w:val="26"/>
          <w:szCs w:val="26"/>
          <w:lang w:val="lt-LT"/>
        </w:rPr>
        <w:t xml:space="preserve"> </w:t>
      </w:r>
      <w:r w:rsidR="000458CE" w:rsidRPr="00462BD9">
        <w:rPr>
          <w:sz w:val="26"/>
          <w:szCs w:val="26"/>
          <w:lang w:val="lt-LT"/>
        </w:rPr>
        <w:t>Tuo tarpu J. Mackevičius (199</w:t>
      </w:r>
      <w:r w:rsidR="000A1DA2">
        <w:rPr>
          <w:sz w:val="26"/>
          <w:szCs w:val="26"/>
          <w:lang w:val="lt-LT"/>
        </w:rPr>
        <w:t>4</w:t>
      </w:r>
      <w:r w:rsidR="000458CE" w:rsidRPr="00462BD9">
        <w:rPr>
          <w:sz w:val="26"/>
          <w:szCs w:val="26"/>
          <w:lang w:val="lt-LT"/>
        </w:rPr>
        <w:t>), S.</w:t>
      </w:r>
      <w:r w:rsidR="00462BD9">
        <w:rPr>
          <w:sz w:val="26"/>
          <w:szCs w:val="26"/>
          <w:lang w:val="lt-LT"/>
        </w:rPr>
        <w:t> </w:t>
      </w:r>
      <w:r w:rsidR="000458CE" w:rsidRPr="00462BD9">
        <w:rPr>
          <w:sz w:val="26"/>
          <w:szCs w:val="26"/>
          <w:lang w:val="lt-LT"/>
        </w:rPr>
        <w:t>M.</w:t>
      </w:r>
      <w:r w:rsidR="00462BD9">
        <w:rPr>
          <w:sz w:val="26"/>
          <w:szCs w:val="26"/>
          <w:lang w:val="lt-LT"/>
        </w:rPr>
        <w:t> </w:t>
      </w:r>
      <w:r w:rsidR="000458CE" w:rsidRPr="00462BD9">
        <w:rPr>
          <w:sz w:val="26"/>
          <w:szCs w:val="26"/>
          <w:lang w:val="lt-LT"/>
        </w:rPr>
        <w:t>B</w:t>
      </w:r>
      <w:r w:rsidR="00862190" w:rsidRPr="00462BD9">
        <w:rPr>
          <w:sz w:val="26"/>
          <w:szCs w:val="26"/>
          <w:lang w:val="lt-LT"/>
        </w:rPr>
        <w:t>y</w:t>
      </w:r>
      <w:r w:rsidR="000458CE" w:rsidRPr="00462BD9">
        <w:rPr>
          <w:sz w:val="26"/>
          <w:szCs w:val="26"/>
          <w:lang w:val="lt-LT"/>
        </w:rPr>
        <w:t>čkova (1998), V. V. Skobara (1998), A. D. Šeremet</w:t>
      </w:r>
      <w:r w:rsidR="00A4302B" w:rsidRPr="00462BD9">
        <w:rPr>
          <w:sz w:val="26"/>
          <w:szCs w:val="26"/>
          <w:lang w:val="lt-LT"/>
        </w:rPr>
        <w:t xml:space="preserve"> ir </w:t>
      </w:r>
      <w:r w:rsidR="000458CE" w:rsidRPr="00462BD9">
        <w:rPr>
          <w:sz w:val="26"/>
          <w:szCs w:val="26"/>
          <w:lang w:val="lt-LT"/>
        </w:rPr>
        <w:t>V. P. Su</w:t>
      </w:r>
      <w:r w:rsidR="00CA5265" w:rsidRPr="00462BD9">
        <w:rPr>
          <w:sz w:val="26"/>
          <w:szCs w:val="26"/>
          <w:lang w:val="lt-LT"/>
        </w:rPr>
        <w:t>i</w:t>
      </w:r>
      <w:r w:rsidR="000458CE" w:rsidRPr="00462BD9">
        <w:rPr>
          <w:sz w:val="26"/>
          <w:szCs w:val="26"/>
          <w:lang w:val="lt-LT"/>
        </w:rPr>
        <w:t xml:space="preserve">jc (1995) nurodo </w:t>
      </w:r>
      <w:r w:rsidR="000458CE" w:rsidRPr="00462BD9">
        <w:rPr>
          <w:i/>
          <w:sz w:val="26"/>
          <w:szCs w:val="26"/>
          <w:lang w:val="lt-LT"/>
        </w:rPr>
        <w:t>priežastis, dėl kurių ši rizika atsiranda</w:t>
      </w:r>
      <w:r w:rsidR="000458CE" w:rsidRPr="00462BD9">
        <w:rPr>
          <w:sz w:val="26"/>
          <w:szCs w:val="26"/>
          <w:lang w:val="lt-LT"/>
        </w:rPr>
        <w:t>, t.</w:t>
      </w:r>
      <w:r w:rsidR="0094254D" w:rsidRPr="00462BD9">
        <w:rPr>
          <w:sz w:val="26"/>
          <w:szCs w:val="26"/>
          <w:lang w:val="lt-LT"/>
        </w:rPr>
        <w:t xml:space="preserve"> </w:t>
      </w:r>
      <w:r w:rsidR="000458CE" w:rsidRPr="00462BD9">
        <w:rPr>
          <w:sz w:val="26"/>
          <w:szCs w:val="26"/>
          <w:lang w:val="lt-LT"/>
        </w:rPr>
        <w:t xml:space="preserve">y. </w:t>
      </w:r>
      <w:r w:rsidR="00A4302B" w:rsidRPr="00462BD9">
        <w:rPr>
          <w:sz w:val="26"/>
          <w:szCs w:val="26"/>
          <w:lang w:val="lt-LT"/>
        </w:rPr>
        <w:t xml:space="preserve">dėl </w:t>
      </w:r>
      <w:r w:rsidR="000458CE" w:rsidRPr="00462BD9">
        <w:rPr>
          <w:sz w:val="26"/>
          <w:szCs w:val="26"/>
          <w:lang w:val="lt-LT"/>
        </w:rPr>
        <w:t xml:space="preserve">įmonės charakteristikų, supančios aplinkos, apskaitos sistemos netobulumo ir pan. </w:t>
      </w:r>
      <w:r w:rsidR="0094254D" w:rsidRPr="00462BD9">
        <w:rPr>
          <w:sz w:val="26"/>
          <w:szCs w:val="26"/>
          <w:lang w:val="lt-LT"/>
        </w:rPr>
        <w:t>Ta</w:t>
      </w:r>
      <w:r w:rsidR="002272CA" w:rsidRPr="00462BD9">
        <w:rPr>
          <w:sz w:val="26"/>
          <w:szCs w:val="26"/>
          <w:lang w:val="lt-LT"/>
        </w:rPr>
        <w:t xml:space="preserve">ip pat </w:t>
      </w:r>
      <w:r w:rsidR="0094254D" w:rsidRPr="00462BD9">
        <w:rPr>
          <w:sz w:val="26"/>
          <w:szCs w:val="26"/>
          <w:lang w:val="lt-LT"/>
        </w:rPr>
        <w:t xml:space="preserve">dauguma autorių akcentuoja, kad ši rizika </w:t>
      </w:r>
      <w:r w:rsidR="002272CA" w:rsidRPr="00462BD9">
        <w:rPr>
          <w:sz w:val="26"/>
          <w:szCs w:val="26"/>
          <w:lang w:val="lt-LT"/>
        </w:rPr>
        <w:t>pasireiškia</w:t>
      </w:r>
      <w:r w:rsidR="005E7F2F" w:rsidRPr="00462BD9">
        <w:rPr>
          <w:sz w:val="26"/>
          <w:szCs w:val="26"/>
          <w:lang w:val="lt-LT"/>
        </w:rPr>
        <w:t>,</w:t>
      </w:r>
      <w:r w:rsidR="0094254D" w:rsidRPr="00462BD9">
        <w:rPr>
          <w:sz w:val="26"/>
          <w:szCs w:val="26"/>
          <w:lang w:val="lt-LT"/>
        </w:rPr>
        <w:t xml:space="preserve"> </w:t>
      </w:r>
      <w:r w:rsidR="002272CA" w:rsidRPr="00462BD9">
        <w:rPr>
          <w:sz w:val="26"/>
          <w:szCs w:val="26"/>
          <w:lang w:val="lt-LT"/>
        </w:rPr>
        <w:t xml:space="preserve">nes </w:t>
      </w:r>
      <w:r w:rsidR="00B57E7E">
        <w:rPr>
          <w:sz w:val="26"/>
          <w:szCs w:val="26"/>
          <w:lang w:val="lt-LT"/>
        </w:rPr>
        <w:t xml:space="preserve">jai </w:t>
      </w:r>
      <w:r w:rsidR="002272CA" w:rsidRPr="00462BD9">
        <w:rPr>
          <w:i/>
          <w:sz w:val="26"/>
          <w:szCs w:val="26"/>
          <w:lang w:val="lt-LT"/>
        </w:rPr>
        <w:t>n</w:t>
      </w:r>
      <w:r w:rsidR="00B57E7E">
        <w:rPr>
          <w:i/>
          <w:sz w:val="26"/>
          <w:szCs w:val="26"/>
          <w:lang w:val="lt-LT"/>
        </w:rPr>
        <w:t>ėra</w:t>
      </w:r>
      <w:r w:rsidR="002272CA" w:rsidRPr="00462BD9">
        <w:rPr>
          <w:i/>
          <w:sz w:val="26"/>
          <w:szCs w:val="26"/>
          <w:lang w:val="lt-LT"/>
        </w:rPr>
        <w:t xml:space="preserve"> </w:t>
      </w:r>
      <w:r w:rsidR="00B57E7E">
        <w:rPr>
          <w:i/>
          <w:sz w:val="26"/>
          <w:szCs w:val="26"/>
          <w:lang w:val="lt-LT"/>
        </w:rPr>
        <w:t xml:space="preserve">taikoma </w:t>
      </w:r>
      <w:r w:rsidR="002272CA" w:rsidRPr="00462BD9">
        <w:rPr>
          <w:i/>
          <w:sz w:val="26"/>
          <w:szCs w:val="26"/>
          <w:lang w:val="lt-LT"/>
        </w:rPr>
        <w:t>vidaus kontrolės sistem</w:t>
      </w:r>
      <w:r w:rsidR="00B57E7E">
        <w:rPr>
          <w:i/>
          <w:sz w:val="26"/>
          <w:szCs w:val="26"/>
          <w:lang w:val="lt-LT"/>
        </w:rPr>
        <w:t>a</w:t>
      </w:r>
      <w:r w:rsidR="002272CA" w:rsidRPr="00462BD9">
        <w:rPr>
          <w:sz w:val="26"/>
          <w:szCs w:val="26"/>
          <w:lang w:val="lt-LT"/>
        </w:rPr>
        <w:t xml:space="preserve">. </w:t>
      </w:r>
      <w:r w:rsidR="00AB671C" w:rsidRPr="00462BD9">
        <w:rPr>
          <w:sz w:val="26"/>
          <w:szCs w:val="26"/>
          <w:lang w:val="lt-LT"/>
        </w:rPr>
        <w:t>N. Martinov ir P. Roebuck (1998) ištyr</w:t>
      </w:r>
      <w:r w:rsidR="004767DB" w:rsidRPr="00462BD9">
        <w:rPr>
          <w:sz w:val="26"/>
          <w:szCs w:val="26"/>
          <w:lang w:val="lt-LT"/>
        </w:rPr>
        <w:t>ę</w:t>
      </w:r>
      <w:r w:rsidR="00AB671C" w:rsidRPr="00462BD9">
        <w:rPr>
          <w:sz w:val="26"/>
          <w:szCs w:val="26"/>
          <w:lang w:val="lt-LT"/>
        </w:rPr>
        <w:t xml:space="preserve"> įgimtos rizikos vertinim</w:t>
      </w:r>
      <w:r w:rsidR="004767DB" w:rsidRPr="00462BD9">
        <w:rPr>
          <w:sz w:val="26"/>
          <w:szCs w:val="26"/>
          <w:lang w:val="lt-LT"/>
        </w:rPr>
        <w:t xml:space="preserve">ą, </w:t>
      </w:r>
      <w:r w:rsidR="00A4302B" w:rsidRPr="00462BD9">
        <w:rPr>
          <w:sz w:val="26"/>
          <w:szCs w:val="26"/>
          <w:lang w:val="lt-LT"/>
        </w:rPr>
        <w:t>akcentuoja</w:t>
      </w:r>
      <w:r w:rsidR="004767DB" w:rsidRPr="00462BD9">
        <w:rPr>
          <w:sz w:val="26"/>
          <w:szCs w:val="26"/>
          <w:lang w:val="lt-LT"/>
        </w:rPr>
        <w:t>, kad tai</w:t>
      </w:r>
      <w:r w:rsidR="00AB671C" w:rsidRPr="00462BD9">
        <w:rPr>
          <w:sz w:val="26"/>
          <w:szCs w:val="26"/>
          <w:lang w:val="lt-LT"/>
        </w:rPr>
        <w:t xml:space="preserve"> didžia dalimi nenuoseklus įvertinimas</w:t>
      </w:r>
      <w:r w:rsidR="00B57E7E">
        <w:rPr>
          <w:sz w:val="26"/>
          <w:szCs w:val="26"/>
          <w:lang w:val="lt-LT"/>
        </w:rPr>
        <w:t>,</w:t>
      </w:r>
      <w:r w:rsidR="004767DB" w:rsidRPr="00462BD9">
        <w:rPr>
          <w:sz w:val="26"/>
          <w:szCs w:val="26"/>
          <w:lang w:val="lt-LT"/>
        </w:rPr>
        <w:t xml:space="preserve"> </w:t>
      </w:r>
      <w:r w:rsidR="00AB671C" w:rsidRPr="00462BD9">
        <w:rPr>
          <w:sz w:val="26"/>
          <w:szCs w:val="26"/>
          <w:lang w:val="lt-LT"/>
        </w:rPr>
        <w:t>pare</w:t>
      </w:r>
      <w:r w:rsidR="004767DB" w:rsidRPr="00462BD9">
        <w:rPr>
          <w:sz w:val="26"/>
          <w:szCs w:val="26"/>
          <w:lang w:val="lt-LT"/>
        </w:rPr>
        <w:t>m</w:t>
      </w:r>
      <w:r w:rsidR="00AB671C" w:rsidRPr="00462BD9">
        <w:rPr>
          <w:sz w:val="26"/>
          <w:szCs w:val="26"/>
          <w:lang w:val="lt-LT"/>
        </w:rPr>
        <w:t>tas daugybe atskirų veiksnių</w:t>
      </w:r>
      <w:r w:rsidR="002B3AF1" w:rsidRPr="00462BD9">
        <w:rPr>
          <w:sz w:val="26"/>
          <w:szCs w:val="26"/>
          <w:lang w:val="lt-LT"/>
        </w:rPr>
        <w:t xml:space="preserve">, </w:t>
      </w:r>
      <w:r w:rsidR="00AA2A9E">
        <w:rPr>
          <w:sz w:val="26"/>
          <w:szCs w:val="26"/>
          <w:lang w:val="lt-LT"/>
        </w:rPr>
        <w:t>todėl, darbo autorės nuomone, juos būtina</w:t>
      </w:r>
      <w:r w:rsidR="002B3AF1" w:rsidRPr="00462BD9">
        <w:rPr>
          <w:sz w:val="26"/>
          <w:szCs w:val="26"/>
          <w:lang w:val="lt-LT"/>
        </w:rPr>
        <w:t xml:space="preserve"> susisteminti</w:t>
      </w:r>
      <w:r w:rsidR="009D4E6F" w:rsidRPr="00462BD9">
        <w:rPr>
          <w:sz w:val="26"/>
          <w:szCs w:val="26"/>
          <w:lang w:val="lt-LT"/>
        </w:rPr>
        <w:t>.</w:t>
      </w:r>
    </w:p>
    <w:p w:rsidR="00C0358E" w:rsidRPr="00462BD9" w:rsidRDefault="00C0358E" w:rsidP="003A1650">
      <w:pPr>
        <w:spacing w:line="360" w:lineRule="auto"/>
        <w:ind w:firstLine="720"/>
        <w:jc w:val="both"/>
        <w:rPr>
          <w:sz w:val="26"/>
          <w:szCs w:val="26"/>
          <w:lang w:val="lt-LT"/>
        </w:rPr>
      </w:pPr>
      <w:r w:rsidRPr="00462BD9">
        <w:rPr>
          <w:sz w:val="26"/>
          <w:szCs w:val="26"/>
          <w:lang w:val="lt-LT"/>
        </w:rPr>
        <w:lastRenderedPageBreak/>
        <w:t>L</w:t>
      </w:r>
      <w:r w:rsidR="005D1EA1" w:rsidRPr="00462BD9">
        <w:rPr>
          <w:sz w:val="26"/>
          <w:szCs w:val="26"/>
          <w:lang w:val="lt-LT"/>
        </w:rPr>
        <w:t>iteratūros šaltiniuose (</w:t>
      </w:r>
      <w:r w:rsidR="00165539" w:rsidRPr="00462BD9">
        <w:rPr>
          <w:sz w:val="26"/>
          <w:szCs w:val="26"/>
          <w:lang w:val="lt-LT"/>
        </w:rPr>
        <w:t>Carmichael, 1988; Arens, Loebbecke,</w:t>
      </w:r>
      <w:r w:rsidR="00DF478F" w:rsidRPr="00462BD9">
        <w:rPr>
          <w:sz w:val="26"/>
          <w:szCs w:val="26"/>
          <w:lang w:val="lt-LT"/>
        </w:rPr>
        <w:t xml:space="preserve"> </w:t>
      </w:r>
      <w:r w:rsidR="00165539" w:rsidRPr="00462BD9">
        <w:rPr>
          <w:sz w:val="26"/>
          <w:szCs w:val="26"/>
          <w:lang w:val="lt-LT"/>
        </w:rPr>
        <w:t>1995</w:t>
      </w:r>
      <w:r w:rsidR="00252A29" w:rsidRPr="00462BD9">
        <w:rPr>
          <w:sz w:val="26"/>
          <w:szCs w:val="26"/>
          <w:lang w:val="lt-LT"/>
        </w:rPr>
        <w:t>, 1997, 2006</w:t>
      </w:r>
      <w:r w:rsidR="00165539" w:rsidRPr="00462BD9">
        <w:rPr>
          <w:sz w:val="26"/>
          <w:szCs w:val="26"/>
          <w:lang w:val="lt-LT"/>
        </w:rPr>
        <w:t xml:space="preserve">; </w:t>
      </w:r>
      <w:r w:rsidR="005D1EA1" w:rsidRPr="00462BD9">
        <w:rPr>
          <w:sz w:val="26"/>
          <w:szCs w:val="26"/>
          <w:lang w:val="lt-LT"/>
        </w:rPr>
        <w:t>400 TSA, 2004</w:t>
      </w:r>
      <w:r w:rsidR="00F10A1B" w:rsidRPr="00462BD9">
        <w:rPr>
          <w:sz w:val="26"/>
          <w:szCs w:val="26"/>
          <w:lang w:val="lt-LT"/>
        </w:rPr>
        <w:t xml:space="preserve">; </w:t>
      </w:r>
      <w:r w:rsidR="00165539" w:rsidRPr="00462BD9">
        <w:rPr>
          <w:sz w:val="26"/>
          <w:szCs w:val="26"/>
          <w:lang w:val="lt-LT"/>
        </w:rPr>
        <w:t>Ghosh, 2005</w:t>
      </w:r>
      <w:r w:rsidR="00080060" w:rsidRPr="00462BD9">
        <w:rPr>
          <w:sz w:val="26"/>
          <w:szCs w:val="26"/>
          <w:lang w:val="lt-LT"/>
        </w:rPr>
        <w:t>; Whittington, Pany, 2006</w:t>
      </w:r>
      <w:r w:rsidR="00DF478F" w:rsidRPr="00462BD9">
        <w:rPr>
          <w:sz w:val="26"/>
          <w:szCs w:val="26"/>
          <w:lang w:val="lt-LT"/>
        </w:rPr>
        <w:t>)</w:t>
      </w:r>
      <w:r w:rsidR="003B21FA" w:rsidRPr="00462BD9">
        <w:rPr>
          <w:sz w:val="26"/>
          <w:szCs w:val="26"/>
          <w:lang w:val="lt-LT"/>
        </w:rPr>
        <w:t xml:space="preserve"> </w:t>
      </w:r>
      <w:r w:rsidRPr="00462BD9">
        <w:rPr>
          <w:sz w:val="26"/>
          <w:szCs w:val="26"/>
          <w:lang w:val="lt-LT"/>
        </w:rPr>
        <w:t>dažniausiai išskiria</w:t>
      </w:r>
      <w:r w:rsidR="003B21FA" w:rsidRPr="00462BD9">
        <w:rPr>
          <w:sz w:val="26"/>
          <w:szCs w:val="26"/>
          <w:lang w:val="lt-LT"/>
        </w:rPr>
        <w:t xml:space="preserve">mi </w:t>
      </w:r>
      <w:r w:rsidR="00E57D8B" w:rsidRPr="00462BD9">
        <w:rPr>
          <w:sz w:val="26"/>
          <w:szCs w:val="26"/>
          <w:lang w:val="lt-LT"/>
        </w:rPr>
        <w:t>kone tie patys įgimtos rizikos veiksniai</w:t>
      </w:r>
      <w:r w:rsidR="003B2F63">
        <w:rPr>
          <w:sz w:val="26"/>
          <w:szCs w:val="26"/>
          <w:lang w:val="lt-LT"/>
        </w:rPr>
        <w:t xml:space="preserve"> (</w:t>
      </w:r>
      <w:r w:rsidR="002B3AF1" w:rsidRPr="00462BD9">
        <w:rPr>
          <w:sz w:val="26"/>
          <w:szCs w:val="26"/>
          <w:lang w:val="lt-LT"/>
        </w:rPr>
        <w:t>sąlygos</w:t>
      </w:r>
      <w:r w:rsidR="003B2F63">
        <w:rPr>
          <w:sz w:val="26"/>
          <w:szCs w:val="26"/>
          <w:lang w:val="lt-LT"/>
        </w:rPr>
        <w:t>)</w:t>
      </w:r>
      <w:r w:rsidR="005D1EA1" w:rsidRPr="00462BD9">
        <w:rPr>
          <w:sz w:val="26"/>
          <w:szCs w:val="26"/>
          <w:lang w:val="lt-LT"/>
        </w:rPr>
        <w:t xml:space="preserve"> </w:t>
      </w:r>
      <w:r w:rsidR="00E57D8B" w:rsidRPr="00462BD9">
        <w:rPr>
          <w:sz w:val="26"/>
          <w:szCs w:val="26"/>
          <w:lang w:val="lt-LT"/>
        </w:rPr>
        <w:t>(žr.</w:t>
      </w:r>
      <w:r w:rsidR="00041860">
        <w:rPr>
          <w:sz w:val="26"/>
          <w:szCs w:val="26"/>
          <w:lang w:val="lt-LT"/>
        </w:rPr>
        <w:t> </w:t>
      </w:r>
      <w:r w:rsidR="000B3994" w:rsidRPr="00462BD9">
        <w:rPr>
          <w:sz w:val="26"/>
          <w:szCs w:val="26"/>
          <w:lang w:val="lt-LT"/>
        </w:rPr>
        <w:t>1</w:t>
      </w:r>
      <w:r w:rsidR="00F93468" w:rsidRPr="00462BD9">
        <w:rPr>
          <w:sz w:val="26"/>
          <w:szCs w:val="26"/>
          <w:lang w:val="lt-LT"/>
        </w:rPr>
        <w:t>1</w:t>
      </w:r>
      <w:r w:rsidR="00041860">
        <w:rPr>
          <w:sz w:val="26"/>
          <w:szCs w:val="26"/>
          <w:lang w:val="lt-LT"/>
        </w:rPr>
        <w:t> </w:t>
      </w:r>
      <w:r w:rsidR="00165539" w:rsidRPr="00462BD9">
        <w:rPr>
          <w:sz w:val="26"/>
          <w:szCs w:val="26"/>
          <w:lang w:val="lt-LT"/>
        </w:rPr>
        <w:t>lentelė</w:t>
      </w:r>
      <w:r w:rsidR="00E57D8B" w:rsidRPr="00462BD9">
        <w:rPr>
          <w:sz w:val="26"/>
          <w:szCs w:val="26"/>
          <w:lang w:val="lt-LT"/>
        </w:rPr>
        <w:t>)</w:t>
      </w:r>
      <w:r w:rsidRPr="00462BD9">
        <w:rPr>
          <w:sz w:val="26"/>
          <w:szCs w:val="26"/>
          <w:lang w:val="lt-LT"/>
        </w:rPr>
        <w:t xml:space="preserve">: 1) </w:t>
      </w:r>
      <w:r w:rsidRPr="00462BD9">
        <w:rPr>
          <w:i/>
          <w:sz w:val="26"/>
          <w:szCs w:val="26"/>
          <w:lang w:val="lt-LT"/>
        </w:rPr>
        <w:t>neįprast</w:t>
      </w:r>
      <w:r w:rsidR="00D222BA" w:rsidRPr="00462BD9">
        <w:rPr>
          <w:i/>
          <w:sz w:val="26"/>
          <w:szCs w:val="26"/>
          <w:lang w:val="lt-LT"/>
        </w:rPr>
        <w:t>os ar sudėtingo</w:t>
      </w:r>
      <w:r w:rsidRPr="00462BD9">
        <w:rPr>
          <w:i/>
          <w:sz w:val="26"/>
          <w:szCs w:val="26"/>
          <w:lang w:val="lt-LT"/>
        </w:rPr>
        <w:t>s</w:t>
      </w:r>
      <w:r w:rsidR="00D222BA" w:rsidRPr="00462BD9">
        <w:rPr>
          <w:sz w:val="26"/>
          <w:szCs w:val="26"/>
          <w:lang w:val="lt-LT"/>
        </w:rPr>
        <w:t xml:space="preserve"> ūkinės operacijos ar įvykiai</w:t>
      </w:r>
      <w:r w:rsidRPr="00462BD9">
        <w:rPr>
          <w:sz w:val="26"/>
          <w:szCs w:val="26"/>
          <w:lang w:val="lt-LT"/>
        </w:rPr>
        <w:t xml:space="preserve">, kurie įprastai neapdorojami, ar kuriems įvertinti gali prireikti ekspertų, ar kurie </w:t>
      </w:r>
      <w:r w:rsidR="003A1650">
        <w:rPr>
          <w:sz w:val="26"/>
          <w:szCs w:val="26"/>
          <w:lang w:val="lt-LT"/>
        </w:rPr>
        <w:t>vykdomi</w:t>
      </w:r>
      <w:r w:rsidRPr="00462BD9">
        <w:rPr>
          <w:sz w:val="26"/>
          <w:szCs w:val="26"/>
          <w:lang w:val="lt-LT"/>
        </w:rPr>
        <w:t xml:space="preserve"> ypač arti ataskaitinio laikotarpio pabaigos ar </w:t>
      </w:r>
      <w:r w:rsidR="003A1650">
        <w:rPr>
          <w:sz w:val="26"/>
          <w:szCs w:val="26"/>
          <w:lang w:val="lt-LT"/>
        </w:rPr>
        <w:t>jo</w:t>
      </w:r>
      <w:r w:rsidRPr="00462BD9">
        <w:rPr>
          <w:sz w:val="26"/>
          <w:szCs w:val="26"/>
          <w:lang w:val="lt-LT"/>
        </w:rPr>
        <w:t xml:space="preserve"> pabaigoje, 2)</w:t>
      </w:r>
      <w:r w:rsidR="003A1650">
        <w:rPr>
          <w:sz w:val="26"/>
          <w:szCs w:val="26"/>
          <w:lang w:val="lt-LT"/>
        </w:rPr>
        <w:t> </w:t>
      </w:r>
      <w:r w:rsidRPr="00462BD9">
        <w:rPr>
          <w:i/>
          <w:sz w:val="26"/>
          <w:szCs w:val="26"/>
          <w:lang w:val="lt-LT"/>
        </w:rPr>
        <w:t>sprendimų įtak</w:t>
      </w:r>
      <w:r w:rsidR="00D222BA" w:rsidRPr="00462BD9">
        <w:rPr>
          <w:i/>
          <w:sz w:val="26"/>
          <w:szCs w:val="26"/>
          <w:lang w:val="lt-LT"/>
        </w:rPr>
        <w:t>a</w:t>
      </w:r>
      <w:r w:rsidRPr="00462BD9">
        <w:rPr>
          <w:sz w:val="26"/>
          <w:szCs w:val="26"/>
          <w:lang w:val="lt-LT"/>
        </w:rPr>
        <w:t xml:space="preserve"> (vadovybės) dėl sąskaitos likučio vertės, 3) </w:t>
      </w:r>
      <w:r w:rsidRPr="00462BD9">
        <w:rPr>
          <w:i/>
          <w:sz w:val="26"/>
          <w:szCs w:val="26"/>
          <w:lang w:val="lt-LT"/>
        </w:rPr>
        <w:t>turto jautrum</w:t>
      </w:r>
      <w:r w:rsidR="00D222BA" w:rsidRPr="00462BD9">
        <w:rPr>
          <w:i/>
          <w:sz w:val="26"/>
          <w:szCs w:val="26"/>
          <w:lang w:val="lt-LT"/>
        </w:rPr>
        <w:t>as</w:t>
      </w:r>
      <w:r w:rsidRPr="00462BD9">
        <w:rPr>
          <w:sz w:val="26"/>
          <w:szCs w:val="26"/>
          <w:lang w:val="lt-LT"/>
        </w:rPr>
        <w:t xml:space="preserve"> neteisėtam pasisavinimui, praradimui; 4) </w:t>
      </w:r>
      <w:r w:rsidRPr="00462BD9">
        <w:rPr>
          <w:i/>
          <w:sz w:val="26"/>
          <w:szCs w:val="26"/>
          <w:lang w:val="lt-LT"/>
        </w:rPr>
        <w:t>skaičiavimų</w:t>
      </w:r>
      <w:r w:rsidRPr="00462BD9">
        <w:rPr>
          <w:sz w:val="26"/>
          <w:szCs w:val="26"/>
          <w:lang w:val="lt-LT"/>
        </w:rPr>
        <w:t xml:space="preserve">, būdingų sąskaitos likučiui ar ūkinių operacijų grupei, </w:t>
      </w:r>
      <w:r w:rsidRPr="00462BD9">
        <w:rPr>
          <w:i/>
          <w:sz w:val="26"/>
          <w:szCs w:val="26"/>
          <w:lang w:val="lt-LT"/>
        </w:rPr>
        <w:t>sudėtingum</w:t>
      </w:r>
      <w:r w:rsidR="00D222BA" w:rsidRPr="00462BD9">
        <w:rPr>
          <w:i/>
          <w:sz w:val="26"/>
          <w:szCs w:val="26"/>
          <w:lang w:val="lt-LT"/>
        </w:rPr>
        <w:t>as</w:t>
      </w:r>
      <w:r w:rsidRPr="00462BD9">
        <w:rPr>
          <w:sz w:val="26"/>
          <w:szCs w:val="26"/>
          <w:lang w:val="lt-LT"/>
        </w:rPr>
        <w:t xml:space="preserve">. </w:t>
      </w:r>
      <w:r w:rsidR="00D222BA" w:rsidRPr="00462BD9">
        <w:rPr>
          <w:sz w:val="26"/>
          <w:szCs w:val="26"/>
          <w:lang w:val="lt-LT"/>
        </w:rPr>
        <w:t>Darbo a</w:t>
      </w:r>
      <w:r w:rsidRPr="00462BD9">
        <w:rPr>
          <w:sz w:val="26"/>
          <w:szCs w:val="26"/>
          <w:lang w:val="lt-LT"/>
        </w:rPr>
        <w:t xml:space="preserve">utorės nuomone, įgimtos rizikos </w:t>
      </w:r>
      <w:r w:rsidR="00D222BA" w:rsidRPr="00462BD9">
        <w:rPr>
          <w:sz w:val="26"/>
          <w:szCs w:val="26"/>
          <w:lang w:val="lt-LT"/>
        </w:rPr>
        <w:t>sąlyga</w:t>
      </w:r>
      <w:r w:rsidRPr="00462BD9">
        <w:rPr>
          <w:sz w:val="26"/>
          <w:szCs w:val="26"/>
          <w:lang w:val="lt-LT"/>
        </w:rPr>
        <w:t xml:space="preserve"> – sąskaitos likučio vertinė išraiška bei atskirų elementų, sudarančių sąskaitos likutį ar ūkinių operacijų grupę, skaičius ir vertė – taip pat yra labai svarb</w:t>
      </w:r>
      <w:r w:rsidR="00D222BA" w:rsidRPr="00462BD9">
        <w:rPr>
          <w:sz w:val="26"/>
          <w:szCs w:val="26"/>
          <w:lang w:val="lt-LT"/>
        </w:rPr>
        <w:t>i</w:t>
      </w:r>
      <w:r w:rsidRPr="00462BD9">
        <w:rPr>
          <w:sz w:val="26"/>
          <w:szCs w:val="26"/>
          <w:lang w:val="lt-LT"/>
        </w:rPr>
        <w:t xml:space="preserve">. Juk „įprastai auditoriai tikisi didesnio klaidų skaičiaus tuose sąskaitų likučiuose, kurie išreikšti didele pinigų suma, todėl juose verta nustatyti didesnę įgimtą riziką ir peržiūrėti didesnį įrodymų kiekį nei nedidele pinigų suma išreikštuose likučiuose“ (Arens, Loebbecke, 1995, p. 251). </w:t>
      </w:r>
    </w:p>
    <w:p w:rsidR="004B38CB" w:rsidRPr="00462BD9" w:rsidRDefault="000B3994" w:rsidP="003A1650">
      <w:pPr>
        <w:jc w:val="right"/>
        <w:rPr>
          <w:i/>
          <w:sz w:val="26"/>
          <w:szCs w:val="26"/>
          <w:lang w:val="lt-LT"/>
        </w:rPr>
      </w:pPr>
      <w:r w:rsidRPr="00462BD9">
        <w:rPr>
          <w:i/>
          <w:sz w:val="26"/>
          <w:szCs w:val="26"/>
          <w:lang w:val="lt-LT"/>
        </w:rPr>
        <w:t>1</w:t>
      </w:r>
      <w:r w:rsidR="00972485" w:rsidRPr="00462BD9">
        <w:rPr>
          <w:i/>
          <w:sz w:val="26"/>
          <w:szCs w:val="26"/>
          <w:lang w:val="lt-LT"/>
        </w:rPr>
        <w:t>1</w:t>
      </w:r>
      <w:r w:rsidR="004B38CB" w:rsidRPr="00462BD9">
        <w:rPr>
          <w:i/>
          <w:sz w:val="26"/>
          <w:szCs w:val="26"/>
          <w:lang w:val="lt-LT"/>
        </w:rPr>
        <w:t xml:space="preserve"> lentelė</w:t>
      </w:r>
    </w:p>
    <w:p w:rsidR="004B38CB" w:rsidRPr="00462BD9" w:rsidRDefault="004B38CB" w:rsidP="00B57E7E">
      <w:pPr>
        <w:spacing w:line="360" w:lineRule="auto"/>
        <w:jc w:val="center"/>
        <w:rPr>
          <w:b/>
          <w:sz w:val="26"/>
          <w:szCs w:val="26"/>
          <w:lang w:val="lt-LT"/>
        </w:rPr>
      </w:pPr>
      <w:r w:rsidRPr="00462BD9">
        <w:rPr>
          <w:b/>
          <w:sz w:val="26"/>
          <w:szCs w:val="26"/>
          <w:lang w:val="lt-LT"/>
        </w:rPr>
        <w:t>Įgimt</w:t>
      </w:r>
      <w:r w:rsidR="00C90FD3" w:rsidRPr="00462BD9">
        <w:rPr>
          <w:b/>
          <w:sz w:val="26"/>
          <w:szCs w:val="26"/>
          <w:lang w:val="lt-LT"/>
        </w:rPr>
        <w:t>ą</w:t>
      </w:r>
      <w:r w:rsidRPr="00462BD9">
        <w:rPr>
          <w:b/>
          <w:sz w:val="26"/>
          <w:szCs w:val="26"/>
          <w:lang w:val="lt-LT"/>
        </w:rPr>
        <w:t xml:space="preserve"> rizik</w:t>
      </w:r>
      <w:r w:rsidR="00C90FD3" w:rsidRPr="00462BD9">
        <w:rPr>
          <w:b/>
          <w:sz w:val="26"/>
          <w:szCs w:val="26"/>
          <w:lang w:val="lt-LT"/>
        </w:rPr>
        <w:t>ą lemiančios</w:t>
      </w:r>
      <w:r w:rsidRPr="00462BD9">
        <w:rPr>
          <w:b/>
          <w:sz w:val="26"/>
          <w:szCs w:val="26"/>
          <w:lang w:val="lt-LT"/>
        </w:rPr>
        <w:t xml:space="preserve"> </w:t>
      </w:r>
      <w:r w:rsidR="00D222BA" w:rsidRPr="00462BD9">
        <w:rPr>
          <w:b/>
          <w:sz w:val="26"/>
          <w:szCs w:val="26"/>
          <w:lang w:val="lt-LT"/>
        </w:rPr>
        <w:t>sąlygos</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851"/>
        <w:gridCol w:w="992"/>
        <w:gridCol w:w="992"/>
        <w:gridCol w:w="993"/>
        <w:gridCol w:w="992"/>
      </w:tblGrid>
      <w:tr w:rsidR="002D4698" w:rsidRPr="00462BD9" w:rsidTr="00AA2A9E">
        <w:trPr>
          <w:cantSplit/>
          <w:trHeight w:val="1874"/>
        </w:trPr>
        <w:tc>
          <w:tcPr>
            <w:tcW w:w="3402" w:type="dxa"/>
          </w:tcPr>
          <w:p w:rsidR="00462BD9" w:rsidRDefault="00462BD9" w:rsidP="00B3066B">
            <w:pPr>
              <w:jc w:val="center"/>
              <w:rPr>
                <w:b/>
                <w:sz w:val="22"/>
                <w:szCs w:val="22"/>
                <w:lang w:val="lt-LT"/>
              </w:rPr>
            </w:pPr>
          </w:p>
          <w:p w:rsidR="00462BD9" w:rsidRDefault="00462BD9" w:rsidP="00B3066B">
            <w:pPr>
              <w:jc w:val="center"/>
              <w:rPr>
                <w:b/>
                <w:sz w:val="22"/>
                <w:szCs w:val="22"/>
                <w:lang w:val="lt-LT"/>
              </w:rPr>
            </w:pPr>
          </w:p>
          <w:p w:rsidR="00462BD9" w:rsidRDefault="00462BD9" w:rsidP="00B3066B">
            <w:pPr>
              <w:jc w:val="center"/>
              <w:rPr>
                <w:b/>
                <w:sz w:val="22"/>
                <w:szCs w:val="22"/>
                <w:lang w:val="lt-LT"/>
              </w:rPr>
            </w:pPr>
          </w:p>
          <w:p w:rsidR="002D4698" w:rsidRPr="00462BD9" w:rsidRDefault="00D222BA" w:rsidP="00B3066B">
            <w:pPr>
              <w:jc w:val="center"/>
              <w:rPr>
                <w:b/>
                <w:sz w:val="22"/>
                <w:szCs w:val="22"/>
                <w:lang w:val="lt-LT"/>
              </w:rPr>
            </w:pPr>
            <w:r w:rsidRPr="00462BD9">
              <w:rPr>
                <w:b/>
                <w:sz w:val="22"/>
                <w:szCs w:val="22"/>
                <w:lang w:val="lt-LT"/>
              </w:rPr>
              <w:t>Sąlyga</w:t>
            </w:r>
          </w:p>
        </w:tc>
        <w:tc>
          <w:tcPr>
            <w:tcW w:w="851" w:type="dxa"/>
            <w:textDirection w:val="btLr"/>
            <w:vAlign w:val="center"/>
          </w:tcPr>
          <w:p w:rsidR="002D4698" w:rsidRPr="00462BD9" w:rsidRDefault="00462BD9" w:rsidP="00462BD9">
            <w:pPr>
              <w:ind w:left="113" w:right="113"/>
              <w:jc w:val="center"/>
              <w:rPr>
                <w:b/>
                <w:lang w:val="lt-LT"/>
              </w:rPr>
            </w:pPr>
            <w:r>
              <w:rPr>
                <w:b/>
                <w:lang w:val="lt-LT"/>
              </w:rPr>
              <w:t xml:space="preserve">D. R. </w:t>
            </w:r>
            <w:r w:rsidR="002D4698" w:rsidRPr="00462BD9">
              <w:rPr>
                <w:b/>
                <w:lang w:val="lt-LT"/>
              </w:rPr>
              <w:t>Carmichael (1988)</w:t>
            </w:r>
          </w:p>
        </w:tc>
        <w:tc>
          <w:tcPr>
            <w:tcW w:w="992" w:type="dxa"/>
            <w:textDirection w:val="btLr"/>
            <w:vAlign w:val="center"/>
          </w:tcPr>
          <w:p w:rsidR="00462BD9" w:rsidRDefault="002D4698" w:rsidP="00462BD9">
            <w:pPr>
              <w:ind w:left="113" w:right="113"/>
              <w:jc w:val="center"/>
              <w:rPr>
                <w:b/>
                <w:lang w:val="lt-LT"/>
              </w:rPr>
            </w:pPr>
            <w:r w:rsidRPr="00462BD9">
              <w:rPr>
                <w:b/>
                <w:lang w:val="lt-LT"/>
              </w:rPr>
              <w:t xml:space="preserve">A. A. Arens, </w:t>
            </w:r>
          </w:p>
          <w:p w:rsidR="002D4698" w:rsidRPr="00462BD9" w:rsidRDefault="002D4698" w:rsidP="00462BD9">
            <w:pPr>
              <w:ind w:left="113" w:right="113"/>
              <w:jc w:val="center"/>
              <w:rPr>
                <w:b/>
                <w:lang w:val="lt-LT"/>
              </w:rPr>
            </w:pPr>
            <w:r w:rsidRPr="00462BD9">
              <w:rPr>
                <w:b/>
                <w:lang w:val="lt-LT"/>
              </w:rPr>
              <w:t>J. K. Loebbecke (1995, 1997, 2006)</w:t>
            </w:r>
          </w:p>
        </w:tc>
        <w:tc>
          <w:tcPr>
            <w:tcW w:w="992" w:type="dxa"/>
            <w:textDirection w:val="btLr"/>
            <w:vAlign w:val="center"/>
          </w:tcPr>
          <w:p w:rsidR="002D4698" w:rsidRPr="00462BD9" w:rsidRDefault="002D4698" w:rsidP="00462BD9">
            <w:pPr>
              <w:ind w:left="113" w:right="113"/>
              <w:jc w:val="center"/>
              <w:rPr>
                <w:b/>
                <w:lang w:val="lt-LT"/>
              </w:rPr>
            </w:pPr>
            <w:r w:rsidRPr="00462BD9">
              <w:rPr>
                <w:b/>
                <w:lang w:val="lt-LT"/>
              </w:rPr>
              <w:t>400 TSA (2004)</w:t>
            </w:r>
          </w:p>
        </w:tc>
        <w:tc>
          <w:tcPr>
            <w:tcW w:w="993" w:type="dxa"/>
            <w:textDirection w:val="btLr"/>
            <w:vAlign w:val="center"/>
          </w:tcPr>
          <w:p w:rsidR="002D4698" w:rsidRPr="00462BD9" w:rsidRDefault="002D4698" w:rsidP="00462BD9">
            <w:pPr>
              <w:ind w:left="113" w:right="113"/>
              <w:jc w:val="center"/>
              <w:rPr>
                <w:b/>
                <w:lang w:val="lt-LT"/>
              </w:rPr>
            </w:pPr>
            <w:r w:rsidRPr="00462BD9">
              <w:rPr>
                <w:b/>
                <w:lang w:val="lt-LT"/>
              </w:rPr>
              <w:t>B. K. Ghosh (2005)</w:t>
            </w:r>
          </w:p>
        </w:tc>
        <w:tc>
          <w:tcPr>
            <w:tcW w:w="992" w:type="dxa"/>
            <w:textDirection w:val="btLr"/>
            <w:vAlign w:val="center"/>
          </w:tcPr>
          <w:p w:rsidR="00462BD9" w:rsidRDefault="00462BD9" w:rsidP="00462BD9">
            <w:pPr>
              <w:ind w:left="113" w:right="113"/>
              <w:jc w:val="center"/>
              <w:rPr>
                <w:b/>
                <w:lang w:val="lt-LT"/>
              </w:rPr>
            </w:pPr>
            <w:r>
              <w:rPr>
                <w:b/>
                <w:lang w:val="lt-LT"/>
              </w:rPr>
              <w:t xml:space="preserve">O. R. </w:t>
            </w:r>
            <w:r w:rsidR="002D4698" w:rsidRPr="00462BD9">
              <w:rPr>
                <w:b/>
                <w:lang w:val="lt-LT"/>
              </w:rPr>
              <w:t>Whittington,</w:t>
            </w:r>
          </w:p>
          <w:p w:rsidR="002D4698" w:rsidRPr="00462BD9" w:rsidRDefault="002D4698" w:rsidP="00462BD9">
            <w:pPr>
              <w:ind w:left="113" w:right="113"/>
              <w:jc w:val="center"/>
              <w:rPr>
                <w:b/>
                <w:lang w:val="lt-LT"/>
              </w:rPr>
            </w:pPr>
            <w:r w:rsidRPr="00462BD9">
              <w:rPr>
                <w:b/>
                <w:lang w:val="lt-LT"/>
              </w:rPr>
              <w:t>K. Pany (2006)</w:t>
            </w:r>
          </w:p>
        </w:tc>
      </w:tr>
      <w:tr w:rsidR="002D4698" w:rsidRPr="00462BD9" w:rsidTr="00AA2A9E">
        <w:tc>
          <w:tcPr>
            <w:tcW w:w="3402" w:type="dxa"/>
          </w:tcPr>
          <w:p w:rsidR="002D4698" w:rsidRPr="00462BD9" w:rsidRDefault="002D4698" w:rsidP="00B3066B">
            <w:pPr>
              <w:jc w:val="both"/>
              <w:rPr>
                <w:sz w:val="22"/>
                <w:szCs w:val="22"/>
                <w:lang w:val="lt-LT"/>
              </w:rPr>
            </w:pPr>
            <w:r w:rsidRPr="00462BD9">
              <w:rPr>
                <w:sz w:val="22"/>
                <w:szCs w:val="22"/>
                <w:lang w:val="lt-LT"/>
              </w:rPr>
              <w:t>Ginčytini apskaitos klausimai</w:t>
            </w:r>
          </w:p>
        </w:tc>
        <w:tc>
          <w:tcPr>
            <w:tcW w:w="851"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c>
          <w:tcPr>
            <w:tcW w:w="993" w:type="dxa"/>
          </w:tcPr>
          <w:p w:rsidR="002D4698" w:rsidRPr="00462BD9" w:rsidRDefault="002D4698" w:rsidP="00B3066B">
            <w:pPr>
              <w:jc w:val="center"/>
              <w:rPr>
                <w:sz w:val="22"/>
                <w:szCs w:val="22"/>
                <w:lang w:val="lt-LT"/>
              </w:rPr>
            </w:pPr>
            <w:r w:rsidRPr="00462BD9">
              <w:rPr>
                <w:sz w:val="22"/>
                <w:szCs w:val="22"/>
                <w:lang w:val="lt-LT"/>
              </w:rPr>
              <w:t>–</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r>
      <w:tr w:rsidR="002D4698" w:rsidRPr="00462BD9" w:rsidTr="00AA2A9E">
        <w:tc>
          <w:tcPr>
            <w:tcW w:w="3402" w:type="dxa"/>
          </w:tcPr>
          <w:p w:rsidR="002D4698" w:rsidRPr="00462BD9" w:rsidRDefault="002D4698" w:rsidP="00817518">
            <w:pPr>
              <w:jc w:val="both"/>
              <w:rPr>
                <w:sz w:val="22"/>
                <w:szCs w:val="22"/>
                <w:lang w:val="lt-LT"/>
              </w:rPr>
            </w:pPr>
            <w:r w:rsidRPr="00462BD9">
              <w:rPr>
                <w:sz w:val="22"/>
                <w:szCs w:val="22"/>
                <w:lang w:val="lt-LT"/>
              </w:rPr>
              <w:t>Neįprastos, sudėtingos ar įprastai neapdorotos ūkinės operacijos</w:t>
            </w:r>
          </w:p>
        </w:tc>
        <w:tc>
          <w:tcPr>
            <w:tcW w:w="851"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c>
          <w:tcPr>
            <w:tcW w:w="993"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r>
      <w:tr w:rsidR="002D4698" w:rsidRPr="00462BD9" w:rsidTr="00AA2A9E">
        <w:tc>
          <w:tcPr>
            <w:tcW w:w="3402" w:type="dxa"/>
          </w:tcPr>
          <w:p w:rsidR="002D4698" w:rsidRPr="00462BD9" w:rsidRDefault="002D4698" w:rsidP="00B3066B">
            <w:pPr>
              <w:jc w:val="both"/>
              <w:rPr>
                <w:sz w:val="22"/>
                <w:szCs w:val="22"/>
                <w:lang w:val="lt-LT"/>
              </w:rPr>
            </w:pPr>
            <w:r w:rsidRPr="00462BD9">
              <w:rPr>
                <w:sz w:val="22"/>
                <w:szCs w:val="22"/>
                <w:lang w:val="lt-LT"/>
              </w:rPr>
              <w:t>Iškraipymai nustatyti ankstesnio audito metu</w:t>
            </w:r>
          </w:p>
        </w:tc>
        <w:tc>
          <w:tcPr>
            <w:tcW w:w="851"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w:t>
            </w:r>
          </w:p>
        </w:tc>
        <w:tc>
          <w:tcPr>
            <w:tcW w:w="993" w:type="dxa"/>
          </w:tcPr>
          <w:p w:rsidR="002D4698" w:rsidRPr="00462BD9" w:rsidRDefault="002D4698" w:rsidP="00B3066B">
            <w:pPr>
              <w:jc w:val="center"/>
              <w:rPr>
                <w:sz w:val="22"/>
                <w:szCs w:val="22"/>
                <w:lang w:val="lt-LT"/>
              </w:rPr>
            </w:pPr>
            <w:r w:rsidRPr="00462BD9">
              <w:rPr>
                <w:sz w:val="22"/>
                <w:szCs w:val="22"/>
                <w:lang w:val="lt-LT"/>
              </w:rPr>
              <w:t>–</w:t>
            </w:r>
          </w:p>
        </w:tc>
        <w:tc>
          <w:tcPr>
            <w:tcW w:w="992" w:type="dxa"/>
          </w:tcPr>
          <w:p w:rsidR="002D4698" w:rsidRPr="00462BD9" w:rsidRDefault="00080060" w:rsidP="00B3066B">
            <w:pPr>
              <w:jc w:val="center"/>
              <w:rPr>
                <w:sz w:val="22"/>
                <w:szCs w:val="22"/>
                <w:lang w:val="lt-LT"/>
              </w:rPr>
            </w:pPr>
            <w:r w:rsidRPr="00462BD9">
              <w:rPr>
                <w:sz w:val="22"/>
                <w:szCs w:val="22"/>
                <w:lang w:val="lt-LT"/>
              </w:rPr>
              <w:t>–</w:t>
            </w:r>
          </w:p>
        </w:tc>
      </w:tr>
      <w:tr w:rsidR="002D4698" w:rsidRPr="00462BD9" w:rsidTr="00AA2A9E">
        <w:tc>
          <w:tcPr>
            <w:tcW w:w="3402" w:type="dxa"/>
          </w:tcPr>
          <w:p w:rsidR="002D4698" w:rsidRPr="00462BD9" w:rsidRDefault="002D4698" w:rsidP="002B3E18">
            <w:pPr>
              <w:jc w:val="both"/>
              <w:rPr>
                <w:sz w:val="22"/>
                <w:szCs w:val="22"/>
                <w:lang w:val="lt-LT"/>
              </w:rPr>
            </w:pPr>
            <w:r w:rsidRPr="00462BD9">
              <w:rPr>
                <w:sz w:val="22"/>
                <w:szCs w:val="22"/>
                <w:lang w:val="lt-LT"/>
              </w:rPr>
              <w:t xml:space="preserve">Turto jautrumas neteisėtam pasisavinimui, praradimui </w:t>
            </w:r>
          </w:p>
        </w:tc>
        <w:tc>
          <w:tcPr>
            <w:tcW w:w="851"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CF7855">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c>
          <w:tcPr>
            <w:tcW w:w="993"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080060" w:rsidP="00B3066B">
            <w:pPr>
              <w:jc w:val="center"/>
              <w:rPr>
                <w:sz w:val="22"/>
                <w:szCs w:val="22"/>
                <w:lang w:val="lt-LT"/>
              </w:rPr>
            </w:pPr>
            <w:r w:rsidRPr="00462BD9">
              <w:rPr>
                <w:sz w:val="22"/>
                <w:szCs w:val="22"/>
                <w:lang w:val="lt-LT"/>
              </w:rPr>
              <w:t>–</w:t>
            </w:r>
          </w:p>
        </w:tc>
      </w:tr>
      <w:tr w:rsidR="002D4698" w:rsidRPr="00462BD9" w:rsidTr="00AA2A9E">
        <w:tc>
          <w:tcPr>
            <w:tcW w:w="3402" w:type="dxa"/>
          </w:tcPr>
          <w:p w:rsidR="002D4698" w:rsidRPr="00462BD9" w:rsidRDefault="002D4698" w:rsidP="00B3066B">
            <w:pPr>
              <w:jc w:val="both"/>
              <w:rPr>
                <w:sz w:val="22"/>
                <w:szCs w:val="22"/>
                <w:lang w:val="lt-LT"/>
              </w:rPr>
            </w:pPr>
            <w:r w:rsidRPr="00462BD9">
              <w:rPr>
                <w:sz w:val="22"/>
                <w:szCs w:val="22"/>
                <w:lang w:val="lt-LT"/>
              </w:rPr>
              <w:t>Apskaitos personalo kompetencija ir patirtis</w:t>
            </w:r>
          </w:p>
        </w:tc>
        <w:tc>
          <w:tcPr>
            <w:tcW w:w="851"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w:t>
            </w:r>
          </w:p>
        </w:tc>
        <w:tc>
          <w:tcPr>
            <w:tcW w:w="993" w:type="dxa"/>
          </w:tcPr>
          <w:p w:rsidR="002D4698" w:rsidRPr="00462BD9" w:rsidRDefault="002D4698" w:rsidP="00B3066B">
            <w:pPr>
              <w:jc w:val="center"/>
              <w:rPr>
                <w:sz w:val="22"/>
                <w:szCs w:val="22"/>
                <w:lang w:val="lt-LT"/>
              </w:rPr>
            </w:pPr>
            <w:r w:rsidRPr="00462BD9">
              <w:rPr>
                <w:sz w:val="22"/>
                <w:szCs w:val="22"/>
                <w:lang w:val="lt-LT"/>
              </w:rPr>
              <w:t>–</w:t>
            </w:r>
          </w:p>
        </w:tc>
        <w:tc>
          <w:tcPr>
            <w:tcW w:w="992" w:type="dxa"/>
          </w:tcPr>
          <w:p w:rsidR="002D4698" w:rsidRPr="00462BD9" w:rsidRDefault="00080060" w:rsidP="00B3066B">
            <w:pPr>
              <w:jc w:val="center"/>
              <w:rPr>
                <w:sz w:val="22"/>
                <w:szCs w:val="22"/>
                <w:lang w:val="lt-LT"/>
              </w:rPr>
            </w:pPr>
            <w:r w:rsidRPr="00462BD9">
              <w:rPr>
                <w:sz w:val="22"/>
                <w:szCs w:val="22"/>
                <w:lang w:val="lt-LT"/>
              </w:rPr>
              <w:t>–</w:t>
            </w:r>
          </w:p>
        </w:tc>
      </w:tr>
      <w:tr w:rsidR="002D4698" w:rsidRPr="00462BD9" w:rsidTr="00AA2A9E">
        <w:tc>
          <w:tcPr>
            <w:tcW w:w="3402" w:type="dxa"/>
          </w:tcPr>
          <w:p w:rsidR="002D4698" w:rsidRPr="00462BD9" w:rsidRDefault="002D4698" w:rsidP="00B3066B">
            <w:pPr>
              <w:jc w:val="both"/>
              <w:rPr>
                <w:sz w:val="22"/>
                <w:szCs w:val="22"/>
                <w:lang w:val="lt-LT"/>
              </w:rPr>
            </w:pPr>
            <w:r w:rsidRPr="00462BD9">
              <w:rPr>
                <w:sz w:val="22"/>
                <w:szCs w:val="22"/>
                <w:lang w:val="lt-LT"/>
              </w:rPr>
              <w:t>Sprendimų įtaka nustatant likučius</w:t>
            </w:r>
          </w:p>
        </w:tc>
        <w:tc>
          <w:tcPr>
            <w:tcW w:w="851"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622F4E">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c>
          <w:tcPr>
            <w:tcW w:w="993"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r>
      <w:tr w:rsidR="002D4698" w:rsidRPr="00462BD9" w:rsidTr="00AA2A9E">
        <w:tc>
          <w:tcPr>
            <w:tcW w:w="3402" w:type="dxa"/>
          </w:tcPr>
          <w:p w:rsidR="002D4698" w:rsidRPr="00462BD9" w:rsidRDefault="002D4698" w:rsidP="00817518">
            <w:pPr>
              <w:jc w:val="both"/>
              <w:rPr>
                <w:sz w:val="22"/>
                <w:szCs w:val="22"/>
                <w:lang w:val="lt-LT"/>
              </w:rPr>
            </w:pPr>
            <w:r w:rsidRPr="00462BD9">
              <w:rPr>
                <w:sz w:val="22"/>
                <w:szCs w:val="22"/>
                <w:lang w:val="lt-LT"/>
              </w:rPr>
              <w:t xml:space="preserve">Atskirų elementų, sudarančių sąskaitos likutį ar ūkinių operacijų grupę, skaičius ir vertė </w:t>
            </w:r>
          </w:p>
        </w:tc>
        <w:tc>
          <w:tcPr>
            <w:tcW w:w="851"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w:t>
            </w:r>
          </w:p>
        </w:tc>
        <w:tc>
          <w:tcPr>
            <w:tcW w:w="993" w:type="dxa"/>
          </w:tcPr>
          <w:p w:rsidR="002D4698" w:rsidRPr="00462BD9" w:rsidRDefault="002D4698" w:rsidP="00B3066B">
            <w:pPr>
              <w:jc w:val="center"/>
              <w:rPr>
                <w:sz w:val="22"/>
                <w:szCs w:val="22"/>
                <w:lang w:val="lt-LT"/>
              </w:rPr>
            </w:pPr>
            <w:r w:rsidRPr="00462BD9">
              <w:rPr>
                <w:sz w:val="22"/>
                <w:szCs w:val="22"/>
                <w:lang w:val="lt-LT"/>
              </w:rPr>
              <w:t>–</w:t>
            </w:r>
          </w:p>
        </w:tc>
        <w:tc>
          <w:tcPr>
            <w:tcW w:w="992" w:type="dxa"/>
          </w:tcPr>
          <w:p w:rsidR="002D4698" w:rsidRPr="00462BD9" w:rsidRDefault="00080060" w:rsidP="00B3066B">
            <w:pPr>
              <w:jc w:val="center"/>
              <w:rPr>
                <w:sz w:val="22"/>
                <w:szCs w:val="22"/>
                <w:lang w:val="lt-LT"/>
              </w:rPr>
            </w:pPr>
            <w:r w:rsidRPr="00462BD9">
              <w:rPr>
                <w:sz w:val="22"/>
                <w:szCs w:val="22"/>
                <w:lang w:val="lt-LT"/>
              </w:rPr>
              <w:t>–</w:t>
            </w:r>
          </w:p>
        </w:tc>
      </w:tr>
      <w:tr w:rsidR="002D4698" w:rsidRPr="00462BD9" w:rsidTr="00AA2A9E">
        <w:tc>
          <w:tcPr>
            <w:tcW w:w="3402" w:type="dxa"/>
          </w:tcPr>
          <w:p w:rsidR="002D4698" w:rsidRPr="00462BD9" w:rsidRDefault="002D4698" w:rsidP="00817518">
            <w:pPr>
              <w:jc w:val="both"/>
              <w:rPr>
                <w:sz w:val="22"/>
                <w:szCs w:val="22"/>
                <w:lang w:val="lt-LT"/>
              </w:rPr>
            </w:pPr>
            <w:r w:rsidRPr="00462BD9">
              <w:rPr>
                <w:sz w:val="22"/>
                <w:szCs w:val="22"/>
                <w:lang w:val="lt-LT"/>
              </w:rPr>
              <w:t xml:space="preserve">Skaičiavimų svarbių sąskaitos likučiui ar ūkinių operacijų grupei sudėtingumas </w:t>
            </w:r>
          </w:p>
        </w:tc>
        <w:tc>
          <w:tcPr>
            <w:tcW w:w="851" w:type="dxa"/>
          </w:tcPr>
          <w:p w:rsidR="002D4698" w:rsidRPr="00462BD9" w:rsidRDefault="002D4698" w:rsidP="00B3066B">
            <w:pPr>
              <w:jc w:val="center"/>
              <w:rPr>
                <w:sz w:val="22"/>
                <w:szCs w:val="22"/>
                <w:lang w:val="lt-LT"/>
              </w:rPr>
            </w:pPr>
            <w:r w:rsidRPr="00462BD9">
              <w:rPr>
                <w:sz w:val="22"/>
                <w:szCs w:val="22"/>
                <w:lang w:val="lt-LT"/>
              </w:rPr>
              <w:t>X</w:t>
            </w:r>
          </w:p>
        </w:tc>
        <w:tc>
          <w:tcPr>
            <w:tcW w:w="992" w:type="dxa"/>
          </w:tcPr>
          <w:p w:rsidR="002D4698" w:rsidRPr="00462BD9" w:rsidRDefault="002D4698" w:rsidP="00B3066B">
            <w:pPr>
              <w:jc w:val="center"/>
              <w:rPr>
                <w:sz w:val="22"/>
                <w:szCs w:val="22"/>
                <w:lang w:val="lt-LT"/>
              </w:rPr>
            </w:pPr>
            <w:r w:rsidRPr="00462BD9">
              <w:rPr>
                <w:sz w:val="22"/>
                <w:szCs w:val="22"/>
                <w:lang w:val="lt-LT"/>
              </w:rPr>
              <w:t>–</w:t>
            </w:r>
          </w:p>
        </w:tc>
        <w:tc>
          <w:tcPr>
            <w:tcW w:w="992" w:type="dxa"/>
          </w:tcPr>
          <w:p w:rsidR="002D4698" w:rsidRPr="00462BD9" w:rsidRDefault="002D4698" w:rsidP="00B3066B">
            <w:pPr>
              <w:jc w:val="center"/>
              <w:rPr>
                <w:sz w:val="22"/>
                <w:szCs w:val="22"/>
                <w:lang w:val="lt-LT"/>
              </w:rPr>
            </w:pPr>
            <w:r w:rsidRPr="00462BD9">
              <w:rPr>
                <w:sz w:val="22"/>
                <w:szCs w:val="22"/>
                <w:lang w:val="lt-LT"/>
              </w:rPr>
              <w:t>X</w:t>
            </w:r>
          </w:p>
        </w:tc>
        <w:tc>
          <w:tcPr>
            <w:tcW w:w="993" w:type="dxa"/>
          </w:tcPr>
          <w:p w:rsidR="002D4698" w:rsidRPr="00462BD9" w:rsidRDefault="002D4698" w:rsidP="00CF7855">
            <w:pPr>
              <w:jc w:val="center"/>
              <w:rPr>
                <w:sz w:val="22"/>
                <w:szCs w:val="22"/>
                <w:lang w:val="lt-LT"/>
              </w:rPr>
            </w:pPr>
            <w:r w:rsidRPr="00462BD9">
              <w:rPr>
                <w:sz w:val="22"/>
                <w:szCs w:val="22"/>
                <w:lang w:val="lt-LT"/>
              </w:rPr>
              <w:t xml:space="preserve">X </w:t>
            </w:r>
          </w:p>
        </w:tc>
        <w:tc>
          <w:tcPr>
            <w:tcW w:w="992" w:type="dxa"/>
          </w:tcPr>
          <w:p w:rsidR="002D4698" w:rsidRPr="00462BD9" w:rsidRDefault="002D4698" w:rsidP="00CF7855">
            <w:pPr>
              <w:jc w:val="center"/>
              <w:rPr>
                <w:sz w:val="22"/>
                <w:szCs w:val="22"/>
                <w:lang w:val="lt-LT"/>
              </w:rPr>
            </w:pPr>
            <w:r w:rsidRPr="00462BD9">
              <w:rPr>
                <w:sz w:val="22"/>
                <w:szCs w:val="22"/>
                <w:lang w:val="lt-LT"/>
              </w:rPr>
              <w:t>X</w:t>
            </w:r>
          </w:p>
        </w:tc>
      </w:tr>
    </w:tbl>
    <w:p w:rsidR="004B38CB" w:rsidRPr="00FE380C" w:rsidRDefault="004B38CB" w:rsidP="004B38CB">
      <w:pPr>
        <w:rPr>
          <w:lang w:val="lt-LT"/>
        </w:rPr>
      </w:pPr>
      <w:r w:rsidRPr="00FE380C">
        <w:rPr>
          <w:lang w:val="lt-LT"/>
        </w:rPr>
        <w:t>Šaltinis: sudaryta autor</w:t>
      </w:r>
      <w:r w:rsidR="005E7F2F" w:rsidRPr="00FE380C">
        <w:rPr>
          <w:lang w:val="lt-LT"/>
        </w:rPr>
        <w:t>ės</w:t>
      </w:r>
      <w:r w:rsidR="00DF478F" w:rsidRPr="00FE380C">
        <w:rPr>
          <w:lang w:val="lt-LT"/>
        </w:rPr>
        <w:t>.</w:t>
      </w:r>
    </w:p>
    <w:p w:rsidR="00C471D6" w:rsidRPr="00462BD9" w:rsidRDefault="00A40722" w:rsidP="00B15AF3">
      <w:pPr>
        <w:spacing w:before="120" w:line="360" w:lineRule="auto"/>
        <w:ind w:firstLine="720"/>
        <w:jc w:val="both"/>
        <w:rPr>
          <w:sz w:val="26"/>
          <w:szCs w:val="26"/>
          <w:lang w:val="lt-LT"/>
        </w:rPr>
      </w:pPr>
      <w:r w:rsidRPr="00462BD9">
        <w:rPr>
          <w:sz w:val="26"/>
          <w:szCs w:val="26"/>
          <w:lang w:val="lt-LT"/>
        </w:rPr>
        <w:lastRenderedPageBreak/>
        <w:t xml:space="preserve">Nagrinėjant įgimtos rizikos </w:t>
      </w:r>
      <w:r w:rsidR="00D222BA" w:rsidRPr="00462BD9">
        <w:rPr>
          <w:sz w:val="26"/>
          <w:szCs w:val="26"/>
          <w:lang w:val="lt-LT"/>
        </w:rPr>
        <w:t>sąlygas</w:t>
      </w:r>
      <w:r w:rsidRPr="00462BD9">
        <w:rPr>
          <w:sz w:val="26"/>
          <w:szCs w:val="26"/>
          <w:lang w:val="lt-LT"/>
        </w:rPr>
        <w:t>, galima nustatyti tam tikr</w:t>
      </w:r>
      <w:r w:rsidR="00B57E7E">
        <w:rPr>
          <w:sz w:val="26"/>
          <w:szCs w:val="26"/>
          <w:lang w:val="lt-LT"/>
        </w:rPr>
        <w:t>a</w:t>
      </w:r>
      <w:r w:rsidRPr="00462BD9">
        <w:rPr>
          <w:sz w:val="26"/>
          <w:szCs w:val="26"/>
          <w:lang w:val="lt-LT"/>
        </w:rPr>
        <w:t>s tendenci</w:t>
      </w:r>
      <w:r w:rsidR="00B57E7E">
        <w:rPr>
          <w:sz w:val="26"/>
          <w:szCs w:val="26"/>
          <w:lang w:val="lt-LT"/>
        </w:rPr>
        <w:t>jas</w:t>
      </w:r>
      <w:r w:rsidRPr="00462BD9">
        <w:rPr>
          <w:sz w:val="26"/>
          <w:szCs w:val="26"/>
          <w:lang w:val="lt-LT"/>
        </w:rPr>
        <w:t>. Vien</w:t>
      </w:r>
      <w:r w:rsidR="00D222BA" w:rsidRPr="00462BD9">
        <w:rPr>
          <w:sz w:val="26"/>
          <w:szCs w:val="26"/>
          <w:lang w:val="lt-LT"/>
        </w:rPr>
        <w:t>a</w:t>
      </w:r>
      <w:r w:rsidR="00976DD3" w:rsidRPr="00462BD9">
        <w:rPr>
          <w:sz w:val="26"/>
          <w:szCs w:val="26"/>
          <w:lang w:val="lt-LT"/>
        </w:rPr>
        <w:t>s</w:t>
      </w:r>
      <w:r w:rsidRPr="00462BD9">
        <w:rPr>
          <w:sz w:val="26"/>
          <w:szCs w:val="26"/>
          <w:lang w:val="lt-LT"/>
        </w:rPr>
        <w:t xml:space="preserve"> įgimtos rizikos </w:t>
      </w:r>
      <w:r w:rsidR="00D222BA" w:rsidRPr="00462BD9">
        <w:rPr>
          <w:sz w:val="26"/>
          <w:szCs w:val="26"/>
          <w:lang w:val="lt-LT"/>
        </w:rPr>
        <w:t>sąlygas</w:t>
      </w:r>
      <w:r w:rsidRPr="00462BD9">
        <w:rPr>
          <w:sz w:val="26"/>
          <w:szCs w:val="26"/>
          <w:lang w:val="lt-LT"/>
        </w:rPr>
        <w:t>, toki</w:t>
      </w:r>
      <w:r w:rsidR="00D222BA" w:rsidRPr="00462BD9">
        <w:rPr>
          <w:sz w:val="26"/>
          <w:szCs w:val="26"/>
          <w:lang w:val="lt-LT"/>
        </w:rPr>
        <w:t>a</w:t>
      </w:r>
      <w:r w:rsidR="00976DD3" w:rsidRPr="00462BD9">
        <w:rPr>
          <w:sz w:val="26"/>
          <w:szCs w:val="26"/>
          <w:lang w:val="lt-LT"/>
        </w:rPr>
        <w:t>s</w:t>
      </w:r>
      <w:r w:rsidRPr="00462BD9">
        <w:rPr>
          <w:sz w:val="26"/>
          <w:szCs w:val="26"/>
          <w:lang w:val="lt-LT"/>
        </w:rPr>
        <w:t xml:space="preserve"> kaip neįprast</w:t>
      </w:r>
      <w:r w:rsidR="00976DD3" w:rsidRPr="00462BD9">
        <w:rPr>
          <w:sz w:val="26"/>
          <w:szCs w:val="26"/>
          <w:lang w:val="lt-LT"/>
        </w:rPr>
        <w:t>a</w:t>
      </w:r>
      <w:r w:rsidRPr="00462BD9">
        <w:rPr>
          <w:sz w:val="26"/>
          <w:szCs w:val="26"/>
          <w:lang w:val="lt-LT"/>
        </w:rPr>
        <w:t xml:space="preserve">s ar </w:t>
      </w:r>
      <w:r w:rsidR="00976DD3" w:rsidRPr="00462BD9">
        <w:rPr>
          <w:sz w:val="26"/>
          <w:szCs w:val="26"/>
          <w:lang w:val="lt-LT"/>
        </w:rPr>
        <w:t xml:space="preserve">sudėtingas </w:t>
      </w:r>
      <w:r w:rsidRPr="00462BD9">
        <w:rPr>
          <w:sz w:val="26"/>
          <w:szCs w:val="26"/>
          <w:lang w:val="lt-LT"/>
        </w:rPr>
        <w:t>ūkin</w:t>
      </w:r>
      <w:r w:rsidR="00976DD3" w:rsidRPr="00462BD9">
        <w:rPr>
          <w:sz w:val="26"/>
          <w:szCs w:val="26"/>
          <w:lang w:val="lt-LT"/>
        </w:rPr>
        <w:t>e</w:t>
      </w:r>
      <w:r w:rsidRPr="00462BD9">
        <w:rPr>
          <w:sz w:val="26"/>
          <w:szCs w:val="26"/>
          <w:lang w:val="lt-LT"/>
        </w:rPr>
        <w:t>s operacij</w:t>
      </w:r>
      <w:r w:rsidR="00976DD3" w:rsidRPr="00462BD9">
        <w:rPr>
          <w:sz w:val="26"/>
          <w:szCs w:val="26"/>
          <w:lang w:val="lt-LT"/>
        </w:rPr>
        <w:t>a</w:t>
      </w:r>
      <w:r w:rsidRPr="00462BD9">
        <w:rPr>
          <w:sz w:val="26"/>
          <w:szCs w:val="26"/>
          <w:lang w:val="lt-LT"/>
        </w:rPr>
        <w:t>s, turto jautrum</w:t>
      </w:r>
      <w:r w:rsidR="00976DD3" w:rsidRPr="00462BD9">
        <w:rPr>
          <w:sz w:val="26"/>
          <w:szCs w:val="26"/>
          <w:lang w:val="lt-LT"/>
        </w:rPr>
        <w:t>ą</w:t>
      </w:r>
      <w:r w:rsidRPr="00462BD9">
        <w:rPr>
          <w:sz w:val="26"/>
          <w:szCs w:val="26"/>
          <w:lang w:val="lt-LT"/>
        </w:rPr>
        <w:t xml:space="preserve"> neteisėtam pasisavinimui</w:t>
      </w:r>
      <w:r w:rsidR="002B3E18" w:rsidRPr="00462BD9">
        <w:rPr>
          <w:sz w:val="26"/>
          <w:szCs w:val="26"/>
          <w:lang w:val="lt-LT"/>
        </w:rPr>
        <w:t xml:space="preserve"> ir atskirų elementų, sudarančių sąskaitos likutį ar ūkinių operacijų grupę, skaičius ir vertė, </w:t>
      </w:r>
      <w:r w:rsidR="00976DD3" w:rsidRPr="00462BD9">
        <w:rPr>
          <w:sz w:val="26"/>
          <w:szCs w:val="26"/>
          <w:lang w:val="lt-LT"/>
        </w:rPr>
        <w:t xml:space="preserve">nulemia </w:t>
      </w:r>
      <w:r w:rsidR="002B3E18" w:rsidRPr="00462BD9">
        <w:rPr>
          <w:i/>
          <w:sz w:val="26"/>
          <w:szCs w:val="26"/>
          <w:lang w:val="lt-LT"/>
        </w:rPr>
        <w:t xml:space="preserve">ūkinių operacijų </w:t>
      </w:r>
      <w:r w:rsidR="00994080" w:rsidRPr="00462BD9">
        <w:rPr>
          <w:i/>
          <w:sz w:val="26"/>
          <w:szCs w:val="26"/>
          <w:lang w:val="lt-LT"/>
        </w:rPr>
        <w:t>grupės</w:t>
      </w:r>
      <w:r w:rsidR="005519EF" w:rsidRPr="00462BD9">
        <w:rPr>
          <w:i/>
          <w:sz w:val="26"/>
          <w:szCs w:val="26"/>
          <w:lang w:val="lt-LT"/>
        </w:rPr>
        <w:t>,</w:t>
      </w:r>
      <w:r w:rsidR="002B3E18" w:rsidRPr="00462BD9">
        <w:rPr>
          <w:i/>
          <w:sz w:val="26"/>
          <w:szCs w:val="26"/>
          <w:lang w:val="lt-LT"/>
        </w:rPr>
        <w:t xml:space="preserve"> sąskaitos </w:t>
      </w:r>
      <w:r w:rsidR="00994080" w:rsidRPr="00462BD9">
        <w:rPr>
          <w:i/>
          <w:sz w:val="26"/>
          <w:szCs w:val="26"/>
          <w:lang w:val="lt-LT"/>
        </w:rPr>
        <w:t xml:space="preserve">likučio </w:t>
      </w:r>
      <w:r w:rsidR="005519EF" w:rsidRPr="00462BD9">
        <w:rPr>
          <w:i/>
          <w:sz w:val="26"/>
          <w:szCs w:val="26"/>
          <w:lang w:val="lt-LT"/>
        </w:rPr>
        <w:t xml:space="preserve">ar atskleidimo </w:t>
      </w:r>
      <w:r w:rsidR="00D5619F" w:rsidRPr="00462BD9">
        <w:rPr>
          <w:sz w:val="26"/>
          <w:szCs w:val="26"/>
          <w:lang w:val="lt-LT"/>
        </w:rPr>
        <w:t>(finansinių ataskaitų elementų)</w:t>
      </w:r>
      <w:r w:rsidR="00D5619F" w:rsidRPr="00462BD9">
        <w:rPr>
          <w:i/>
          <w:sz w:val="26"/>
          <w:szCs w:val="26"/>
          <w:lang w:val="lt-LT"/>
        </w:rPr>
        <w:t xml:space="preserve"> </w:t>
      </w:r>
      <w:r w:rsidR="00A94E65" w:rsidRPr="00462BD9">
        <w:rPr>
          <w:i/>
          <w:sz w:val="26"/>
          <w:szCs w:val="26"/>
          <w:lang w:val="lt-LT"/>
        </w:rPr>
        <w:t>tipas</w:t>
      </w:r>
      <w:r w:rsidR="002B3E18" w:rsidRPr="00462BD9">
        <w:rPr>
          <w:sz w:val="26"/>
          <w:szCs w:val="26"/>
          <w:lang w:val="lt-LT"/>
        </w:rPr>
        <w:t xml:space="preserve">, </w:t>
      </w:r>
      <w:r w:rsidR="00994080" w:rsidRPr="00462BD9">
        <w:rPr>
          <w:sz w:val="26"/>
          <w:szCs w:val="26"/>
          <w:lang w:val="lt-LT"/>
        </w:rPr>
        <w:t xml:space="preserve">o </w:t>
      </w:r>
      <w:r w:rsidR="002B3E18" w:rsidRPr="00462BD9">
        <w:rPr>
          <w:sz w:val="26"/>
          <w:szCs w:val="26"/>
          <w:lang w:val="lt-LT"/>
        </w:rPr>
        <w:t>kit</w:t>
      </w:r>
      <w:r w:rsidR="00B15AF3" w:rsidRPr="00462BD9">
        <w:rPr>
          <w:sz w:val="26"/>
          <w:szCs w:val="26"/>
          <w:lang w:val="lt-LT"/>
        </w:rPr>
        <w:t>o</w:t>
      </w:r>
      <w:r w:rsidR="00D222BA" w:rsidRPr="00462BD9">
        <w:rPr>
          <w:sz w:val="26"/>
          <w:szCs w:val="26"/>
          <w:lang w:val="lt-LT"/>
        </w:rPr>
        <w:t>s</w:t>
      </w:r>
      <w:r w:rsidR="002B3E18" w:rsidRPr="00462BD9">
        <w:rPr>
          <w:sz w:val="26"/>
          <w:szCs w:val="26"/>
          <w:lang w:val="lt-LT"/>
        </w:rPr>
        <w:t xml:space="preserve"> </w:t>
      </w:r>
      <w:r w:rsidR="00D5619F" w:rsidRPr="00462BD9">
        <w:rPr>
          <w:sz w:val="26"/>
          <w:szCs w:val="26"/>
          <w:lang w:val="lt-LT"/>
        </w:rPr>
        <w:t xml:space="preserve">sąlygos – </w:t>
      </w:r>
      <w:r w:rsidR="002B3E18" w:rsidRPr="00462BD9">
        <w:rPr>
          <w:sz w:val="26"/>
          <w:szCs w:val="26"/>
          <w:lang w:val="lt-LT"/>
        </w:rPr>
        <w:t xml:space="preserve">sprendimų įtaka nustatant likučius, skaičiavimų </w:t>
      </w:r>
      <w:r w:rsidR="00976DD3" w:rsidRPr="00462BD9">
        <w:rPr>
          <w:sz w:val="26"/>
          <w:szCs w:val="26"/>
          <w:lang w:val="lt-LT"/>
        </w:rPr>
        <w:t>sudėtingumas</w:t>
      </w:r>
      <w:r w:rsidR="00D5619F" w:rsidRPr="00462BD9">
        <w:rPr>
          <w:sz w:val="26"/>
          <w:szCs w:val="26"/>
          <w:lang w:val="lt-LT"/>
        </w:rPr>
        <w:t xml:space="preserve"> –</w:t>
      </w:r>
      <w:r w:rsidR="00976DD3" w:rsidRPr="00462BD9">
        <w:rPr>
          <w:sz w:val="26"/>
          <w:szCs w:val="26"/>
          <w:lang w:val="lt-LT"/>
        </w:rPr>
        <w:t xml:space="preserve"> būding</w:t>
      </w:r>
      <w:r w:rsidR="00B15AF3" w:rsidRPr="00462BD9">
        <w:rPr>
          <w:sz w:val="26"/>
          <w:szCs w:val="26"/>
          <w:lang w:val="lt-LT"/>
        </w:rPr>
        <w:t>os</w:t>
      </w:r>
      <w:r w:rsidR="00976DD3" w:rsidRPr="00462BD9">
        <w:rPr>
          <w:sz w:val="26"/>
          <w:szCs w:val="26"/>
          <w:lang w:val="lt-LT"/>
        </w:rPr>
        <w:t xml:space="preserve"> </w:t>
      </w:r>
      <w:r w:rsidR="00994080" w:rsidRPr="00462BD9">
        <w:rPr>
          <w:sz w:val="26"/>
          <w:szCs w:val="26"/>
          <w:lang w:val="lt-LT"/>
        </w:rPr>
        <w:t xml:space="preserve">tik </w:t>
      </w:r>
      <w:r w:rsidR="00976DD3" w:rsidRPr="00462BD9">
        <w:rPr>
          <w:i/>
          <w:sz w:val="26"/>
          <w:szCs w:val="26"/>
          <w:lang w:val="lt-LT"/>
        </w:rPr>
        <w:t>konkretiems</w:t>
      </w:r>
      <w:r w:rsidR="00976DD3" w:rsidRPr="00462BD9">
        <w:rPr>
          <w:sz w:val="26"/>
          <w:szCs w:val="26"/>
          <w:lang w:val="lt-LT"/>
        </w:rPr>
        <w:t xml:space="preserve"> </w:t>
      </w:r>
      <w:r w:rsidR="00994080" w:rsidRPr="00462BD9">
        <w:rPr>
          <w:sz w:val="26"/>
          <w:szCs w:val="26"/>
          <w:lang w:val="lt-LT"/>
        </w:rPr>
        <w:t xml:space="preserve">sąskaitos likučio, ūkinių operacijų grupės ar atskleidimo </w:t>
      </w:r>
      <w:r w:rsidR="00994080" w:rsidRPr="00462BD9">
        <w:rPr>
          <w:i/>
          <w:sz w:val="26"/>
          <w:szCs w:val="26"/>
          <w:lang w:val="lt-LT"/>
        </w:rPr>
        <w:t>tvirtinimams</w:t>
      </w:r>
      <w:r w:rsidR="00994080" w:rsidRPr="00462BD9">
        <w:rPr>
          <w:sz w:val="26"/>
          <w:szCs w:val="26"/>
          <w:lang w:val="lt-LT"/>
        </w:rPr>
        <w:t xml:space="preserve">. Tai, kad </w:t>
      </w:r>
      <w:r w:rsidR="00AB422E" w:rsidRPr="00462BD9">
        <w:rPr>
          <w:sz w:val="26"/>
          <w:szCs w:val="26"/>
          <w:lang w:val="lt-LT"/>
        </w:rPr>
        <w:t>įgimt</w:t>
      </w:r>
      <w:r w:rsidR="001C46EC" w:rsidRPr="00462BD9">
        <w:rPr>
          <w:sz w:val="26"/>
          <w:szCs w:val="26"/>
          <w:lang w:val="lt-LT"/>
        </w:rPr>
        <w:t>a</w:t>
      </w:r>
      <w:r w:rsidR="00AB422E" w:rsidRPr="00462BD9">
        <w:rPr>
          <w:sz w:val="26"/>
          <w:szCs w:val="26"/>
          <w:lang w:val="lt-LT"/>
        </w:rPr>
        <w:t xml:space="preserve"> rizik</w:t>
      </w:r>
      <w:r w:rsidR="001C46EC" w:rsidRPr="00462BD9">
        <w:rPr>
          <w:sz w:val="26"/>
          <w:szCs w:val="26"/>
          <w:lang w:val="lt-LT"/>
        </w:rPr>
        <w:t>a</w:t>
      </w:r>
      <w:r w:rsidR="00AB422E" w:rsidRPr="00462BD9">
        <w:rPr>
          <w:sz w:val="26"/>
          <w:szCs w:val="26"/>
          <w:lang w:val="lt-LT"/>
        </w:rPr>
        <w:t xml:space="preserve"> </w:t>
      </w:r>
      <w:r w:rsidR="001C46EC" w:rsidRPr="00462BD9">
        <w:rPr>
          <w:sz w:val="26"/>
          <w:szCs w:val="26"/>
          <w:lang w:val="lt-LT"/>
        </w:rPr>
        <w:t>skiriasi priklausomai nuo</w:t>
      </w:r>
      <w:r w:rsidR="00AB422E" w:rsidRPr="00462BD9">
        <w:rPr>
          <w:sz w:val="26"/>
          <w:szCs w:val="26"/>
          <w:lang w:val="lt-LT"/>
        </w:rPr>
        <w:t xml:space="preserve"> finansinių ataskaitų element</w:t>
      </w:r>
      <w:r w:rsidR="00A94E65" w:rsidRPr="00462BD9">
        <w:rPr>
          <w:sz w:val="26"/>
          <w:szCs w:val="26"/>
          <w:lang w:val="lt-LT"/>
        </w:rPr>
        <w:t>o</w:t>
      </w:r>
      <w:r w:rsidR="00AB422E" w:rsidRPr="00462BD9">
        <w:rPr>
          <w:sz w:val="26"/>
          <w:szCs w:val="26"/>
          <w:lang w:val="lt-LT"/>
        </w:rPr>
        <w:t xml:space="preserve"> </w:t>
      </w:r>
      <w:r w:rsidR="00A94E65" w:rsidRPr="00462BD9">
        <w:rPr>
          <w:sz w:val="26"/>
          <w:szCs w:val="26"/>
          <w:lang w:val="lt-LT"/>
        </w:rPr>
        <w:t>tipo</w:t>
      </w:r>
      <w:r w:rsidR="001C46EC" w:rsidRPr="00462BD9">
        <w:rPr>
          <w:sz w:val="26"/>
          <w:szCs w:val="26"/>
          <w:lang w:val="lt-LT"/>
        </w:rPr>
        <w:t xml:space="preserve"> bei atitinkamo jų </w:t>
      </w:r>
      <w:r w:rsidR="00CE4F6E" w:rsidRPr="00462BD9">
        <w:rPr>
          <w:sz w:val="26"/>
          <w:szCs w:val="26"/>
          <w:lang w:val="lt-LT"/>
        </w:rPr>
        <w:t>tvirtinimo</w:t>
      </w:r>
      <w:r w:rsidR="00994080" w:rsidRPr="00462BD9">
        <w:rPr>
          <w:sz w:val="26"/>
          <w:szCs w:val="26"/>
          <w:lang w:val="lt-LT"/>
        </w:rPr>
        <w:t xml:space="preserve"> akcentuoja O. R. Whittington, K. Pany (2006).</w:t>
      </w:r>
      <w:r w:rsidR="00CE4F6E" w:rsidRPr="00462BD9">
        <w:rPr>
          <w:sz w:val="26"/>
          <w:szCs w:val="26"/>
          <w:lang w:val="lt-LT"/>
        </w:rPr>
        <w:t xml:space="preserve"> </w:t>
      </w:r>
      <w:r w:rsidR="009D30C2" w:rsidRPr="00462BD9">
        <w:rPr>
          <w:sz w:val="26"/>
          <w:szCs w:val="26"/>
          <w:lang w:val="lt-LT"/>
        </w:rPr>
        <w:t xml:space="preserve">Pavyzdžiui, </w:t>
      </w:r>
      <w:r w:rsidR="001C46EC" w:rsidRPr="00462BD9">
        <w:rPr>
          <w:sz w:val="26"/>
          <w:szCs w:val="26"/>
          <w:lang w:val="lt-LT"/>
        </w:rPr>
        <w:t xml:space="preserve">atsargoms labiau būdingos vagystės nei įrengimams, </w:t>
      </w:r>
      <w:r w:rsidR="00D840DF" w:rsidRPr="00462BD9">
        <w:rPr>
          <w:sz w:val="26"/>
          <w:szCs w:val="26"/>
          <w:lang w:val="lt-LT"/>
        </w:rPr>
        <w:t xml:space="preserve">turto </w:t>
      </w:r>
      <w:r w:rsidR="00CE4F6E" w:rsidRPr="00462BD9">
        <w:rPr>
          <w:sz w:val="26"/>
          <w:szCs w:val="26"/>
          <w:lang w:val="lt-LT"/>
        </w:rPr>
        <w:t xml:space="preserve">vertinimo tvirtinimas yra sudėtingesnis nei </w:t>
      </w:r>
      <w:r w:rsidR="00D840DF" w:rsidRPr="00462BD9">
        <w:rPr>
          <w:sz w:val="26"/>
          <w:szCs w:val="26"/>
          <w:lang w:val="lt-LT"/>
        </w:rPr>
        <w:t xml:space="preserve">jo </w:t>
      </w:r>
      <w:r w:rsidR="00CE4F6E" w:rsidRPr="00462BD9">
        <w:rPr>
          <w:sz w:val="26"/>
          <w:szCs w:val="26"/>
          <w:lang w:val="lt-LT"/>
        </w:rPr>
        <w:t>buvimo tvirtinimas</w:t>
      </w:r>
      <w:r w:rsidR="00D840DF" w:rsidRPr="00462BD9">
        <w:rPr>
          <w:sz w:val="26"/>
          <w:szCs w:val="26"/>
          <w:lang w:val="lt-LT"/>
        </w:rPr>
        <w:t>, o ir ūkinės operacijos nėra visos vienodo sudėtingumo apskaitos prasme</w:t>
      </w:r>
      <w:r w:rsidR="00CE4F6E" w:rsidRPr="00462BD9">
        <w:rPr>
          <w:sz w:val="26"/>
          <w:szCs w:val="26"/>
          <w:lang w:val="lt-LT"/>
        </w:rPr>
        <w:t xml:space="preserve">. </w:t>
      </w:r>
      <w:r w:rsidR="00B15AF3" w:rsidRPr="00462BD9">
        <w:rPr>
          <w:sz w:val="26"/>
          <w:szCs w:val="26"/>
          <w:lang w:val="lt-LT"/>
        </w:rPr>
        <w:t>T</w:t>
      </w:r>
      <w:r w:rsidR="00D5619F" w:rsidRPr="00462BD9">
        <w:rPr>
          <w:sz w:val="26"/>
          <w:szCs w:val="26"/>
          <w:lang w:val="lt-LT"/>
        </w:rPr>
        <w:t xml:space="preserve">odėl </w:t>
      </w:r>
      <w:r w:rsidR="00994080" w:rsidRPr="00462BD9">
        <w:rPr>
          <w:sz w:val="26"/>
          <w:szCs w:val="26"/>
          <w:lang w:val="lt-LT"/>
        </w:rPr>
        <w:t xml:space="preserve">galima teigti, kad </w:t>
      </w:r>
      <w:r w:rsidR="0030700D" w:rsidRPr="00462BD9">
        <w:rPr>
          <w:sz w:val="26"/>
          <w:szCs w:val="26"/>
          <w:lang w:val="lt-LT"/>
        </w:rPr>
        <w:t>atskiriems finansin</w:t>
      </w:r>
      <w:r w:rsidR="00093482" w:rsidRPr="00462BD9">
        <w:rPr>
          <w:sz w:val="26"/>
          <w:szCs w:val="26"/>
          <w:lang w:val="lt-LT"/>
        </w:rPr>
        <w:t>ių</w:t>
      </w:r>
      <w:r w:rsidR="0030700D" w:rsidRPr="00462BD9">
        <w:rPr>
          <w:sz w:val="26"/>
          <w:szCs w:val="26"/>
          <w:lang w:val="lt-LT"/>
        </w:rPr>
        <w:t xml:space="preserve"> at</w:t>
      </w:r>
      <w:r w:rsidR="00093482" w:rsidRPr="00462BD9">
        <w:rPr>
          <w:sz w:val="26"/>
          <w:szCs w:val="26"/>
          <w:lang w:val="lt-LT"/>
        </w:rPr>
        <w:t>a</w:t>
      </w:r>
      <w:r w:rsidR="0030700D" w:rsidRPr="00462BD9">
        <w:rPr>
          <w:sz w:val="26"/>
          <w:szCs w:val="26"/>
          <w:lang w:val="lt-LT"/>
        </w:rPr>
        <w:t>skait</w:t>
      </w:r>
      <w:r w:rsidR="00093482" w:rsidRPr="00462BD9">
        <w:rPr>
          <w:sz w:val="26"/>
          <w:szCs w:val="26"/>
          <w:lang w:val="lt-LT"/>
        </w:rPr>
        <w:t>ų</w:t>
      </w:r>
      <w:r w:rsidR="0030700D" w:rsidRPr="00462BD9">
        <w:rPr>
          <w:sz w:val="26"/>
          <w:szCs w:val="26"/>
          <w:lang w:val="lt-LT"/>
        </w:rPr>
        <w:t xml:space="preserve"> </w:t>
      </w:r>
      <w:r w:rsidR="00D5619F" w:rsidRPr="00462BD9">
        <w:rPr>
          <w:sz w:val="26"/>
          <w:szCs w:val="26"/>
          <w:lang w:val="lt-LT"/>
        </w:rPr>
        <w:t>elementams</w:t>
      </w:r>
      <w:r w:rsidR="0030700D" w:rsidRPr="00462BD9">
        <w:rPr>
          <w:sz w:val="26"/>
          <w:szCs w:val="26"/>
          <w:lang w:val="lt-LT"/>
        </w:rPr>
        <w:t xml:space="preserve"> būdinga įgimta rizika priklauso nuo jų tipo </w:t>
      </w:r>
      <w:r w:rsidR="004A11E5" w:rsidRPr="00462BD9">
        <w:rPr>
          <w:sz w:val="26"/>
          <w:szCs w:val="26"/>
          <w:lang w:val="lt-LT"/>
        </w:rPr>
        <w:t>ir/</w:t>
      </w:r>
      <w:r w:rsidR="0030700D" w:rsidRPr="00462BD9">
        <w:rPr>
          <w:sz w:val="26"/>
          <w:szCs w:val="26"/>
          <w:lang w:val="lt-LT"/>
        </w:rPr>
        <w:t xml:space="preserve">ar </w:t>
      </w:r>
      <w:r w:rsidR="00B63CA1" w:rsidRPr="00462BD9">
        <w:rPr>
          <w:sz w:val="26"/>
          <w:szCs w:val="26"/>
          <w:lang w:val="lt-LT"/>
        </w:rPr>
        <w:t>taikomo</w:t>
      </w:r>
      <w:r w:rsidR="0030700D" w:rsidRPr="00462BD9">
        <w:rPr>
          <w:sz w:val="26"/>
          <w:szCs w:val="26"/>
          <w:lang w:val="lt-LT"/>
        </w:rPr>
        <w:t xml:space="preserve"> tvirtinimo pobūdžio (žr. </w:t>
      </w:r>
      <w:r w:rsidR="00972485" w:rsidRPr="00462BD9">
        <w:rPr>
          <w:sz w:val="26"/>
          <w:szCs w:val="26"/>
          <w:lang w:val="lt-LT"/>
        </w:rPr>
        <w:t>6</w:t>
      </w:r>
      <w:r w:rsidR="0030700D" w:rsidRPr="00462BD9">
        <w:rPr>
          <w:sz w:val="26"/>
          <w:szCs w:val="26"/>
          <w:lang w:val="lt-LT"/>
        </w:rPr>
        <w:t xml:space="preserve"> pav</w:t>
      </w:r>
      <w:r w:rsidR="00972485" w:rsidRPr="00462BD9">
        <w:rPr>
          <w:sz w:val="26"/>
          <w:szCs w:val="26"/>
          <w:lang w:val="lt-LT"/>
        </w:rPr>
        <w:t>.</w:t>
      </w:r>
      <w:r w:rsidR="0030700D" w:rsidRPr="00462BD9">
        <w:rPr>
          <w:sz w:val="26"/>
          <w:szCs w:val="26"/>
          <w:lang w:val="lt-LT"/>
        </w:rPr>
        <w:t xml:space="preserve">). </w:t>
      </w:r>
      <w:r w:rsidR="004A11E5" w:rsidRPr="00462BD9">
        <w:rPr>
          <w:sz w:val="26"/>
          <w:szCs w:val="26"/>
          <w:lang w:val="lt-LT"/>
        </w:rPr>
        <w:t>Į</w:t>
      </w:r>
      <w:r w:rsidR="00C471D6" w:rsidRPr="00462BD9">
        <w:rPr>
          <w:sz w:val="26"/>
          <w:szCs w:val="26"/>
          <w:lang w:val="lt-LT"/>
        </w:rPr>
        <w:t>gimta rizika bus didesnė tiems finansinių ataskaitų elementams, kurie yra neįprasti, susiję su sudėtingais skaičiavimais ir reikalauja vadovybės sprendimo dėl jų įvertinimo ar įvykimo.</w:t>
      </w:r>
    </w:p>
    <w:p w:rsidR="00454D79" w:rsidRPr="004C65F4" w:rsidRDefault="00454D79" w:rsidP="00D268C1">
      <w:pPr>
        <w:ind w:firstLine="720"/>
        <w:jc w:val="both"/>
        <w:rPr>
          <w:lang w:val="lt-LT"/>
        </w:rPr>
      </w:pPr>
    </w:p>
    <w:p w:rsidR="00B01053" w:rsidRPr="004C65F4" w:rsidRDefault="00166819" w:rsidP="00D268C1">
      <w:pPr>
        <w:ind w:firstLine="720"/>
        <w:jc w:val="both"/>
        <w:rPr>
          <w:lang w:val="lt-LT"/>
        </w:rPr>
      </w:pPr>
      <w:r>
        <w:rPr>
          <w:noProof/>
          <w:lang w:val="lt-LT"/>
        </w:rPr>
        <w:pict>
          <v:group id="_x0000_s74479" style="position:absolute;left:0;text-align:left;margin-left:50.35pt;margin-top:1.95pt;width:340.1pt;height:129.3pt;z-index:254065664" coordorigin="2821,9413" coordsize="6802,2586">
            <v:shape id="_x0000_s2376" type="#_x0000_t202" style="position:absolute;left:5155;top:11435;width:2267;height:564" o:regroupid="109" filled="f" strokecolor="#d8d8d8 [2732]" strokeweight="2pt">
              <v:textbox style="mso-next-textbox:#_x0000_s2376">
                <w:txbxContent>
                  <w:p w:rsidR="00BE5795" w:rsidRPr="00641C67" w:rsidRDefault="00BE5795" w:rsidP="0030700D">
                    <w:pPr>
                      <w:spacing w:before="80"/>
                      <w:jc w:val="center"/>
                      <w:rPr>
                        <w:b/>
                        <w:caps/>
                        <w:sz w:val="22"/>
                        <w:szCs w:val="22"/>
                        <w:lang w:val="lt-LT"/>
                      </w:rPr>
                    </w:pPr>
                    <w:r w:rsidRPr="00641C67">
                      <w:rPr>
                        <w:b/>
                        <w:caps/>
                        <w:sz w:val="22"/>
                        <w:szCs w:val="22"/>
                        <w:lang w:val="lt-LT"/>
                      </w:rPr>
                      <w:t>Įgimta rizika</w:t>
                    </w:r>
                  </w:p>
                </w:txbxContent>
              </v:textbox>
            </v:shape>
            <v:shape id="_x0000_s2377" type="#_x0000_t202" style="position:absolute;left:2821;top:9413;width:2254;height:598" o:regroupid="109" filled="f" strokecolor="#d8d8d8 [2732]" strokeweight="1.5pt">
              <v:textbox style="mso-next-textbox:#_x0000_s2377">
                <w:txbxContent>
                  <w:p w:rsidR="00BE5795" w:rsidRPr="00462BD9" w:rsidRDefault="00BE5795" w:rsidP="0030700D">
                    <w:pPr>
                      <w:jc w:val="center"/>
                      <w:rPr>
                        <w:sz w:val="22"/>
                        <w:szCs w:val="22"/>
                        <w:lang w:val="lt-LT"/>
                      </w:rPr>
                    </w:pPr>
                    <w:r w:rsidRPr="00462BD9">
                      <w:rPr>
                        <w:sz w:val="22"/>
                        <w:szCs w:val="22"/>
                        <w:lang w:val="lt-LT"/>
                      </w:rPr>
                      <w:t>Sąskaitų likučiai</w:t>
                    </w:r>
                  </w:p>
                </w:txbxContent>
              </v:textbox>
            </v:shape>
            <v:shape id="_x0000_s2378" type="#_x0000_t202" style="position:absolute;left:5123;top:9413;width:2253;height:610" o:regroupid="109" filled="f" strokecolor="#d8d8d8 [2732]" strokeweight="1.5pt">
              <v:textbox style="mso-next-textbox:#_x0000_s2378" inset="1mm,0,1mm,0">
                <w:txbxContent>
                  <w:p w:rsidR="00BE5795" w:rsidRPr="00462BD9" w:rsidRDefault="00BE5795" w:rsidP="0030700D">
                    <w:pPr>
                      <w:jc w:val="center"/>
                      <w:rPr>
                        <w:sz w:val="22"/>
                        <w:szCs w:val="22"/>
                        <w:lang w:val="lt-LT"/>
                      </w:rPr>
                    </w:pPr>
                    <w:r w:rsidRPr="00462BD9">
                      <w:rPr>
                        <w:sz w:val="22"/>
                        <w:szCs w:val="22"/>
                        <w:lang w:val="lt-LT"/>
                      </w:rPr>
                      <w:t>Ūkinių operacijų grupės</w:t>
                    </w:r>
                  </w:p>
                </w:txbxContent>
              </v:textbox>
            </v:shape>
            <v:shape id="_x0000_s2379" type="#_x0000_t67" style="position:absolute;left:6103;top:10048;width:293;height:234" o:regroupid="109" fillcolor="#d8d8d8 [2732]" strokecolor="#d8d8d8 [2732]"/>
            <v:shape id="_x0000_s2381" type="#_x0000_t67" style="position:absolute;left:6103;top:11182;width:276;height:253" o:regroupid="109" fillcolor="#d8d8d8 [2732]" strokecolor="#d8d8d8 [2732]"/>
            <v:shape id="_x0000_s2382" type="#_x0000_t202" style="position:absolute;left:7409;top:9413;width:2214;height:596" o:regroupid="109" filled="f" strokecolor="#d8d8d8 [2732]" strokeweight="1.5pt">
              <v:textbox style="mso-next-textbox:#_x0000_s2382">
                <w:txbxContent>
                  <w:p w:rsidR="00BE5795" w:rsidRPr="00462BD9" w:rsidRDefault="00BE5795" w:rsidP="0030700D">
                    <w:pPr>
                      <w:jc w:val="center"/>
                      <w:rPr>
                        <w:sz w:val="22"/>
                        <w:szCs w:val="22"/>
                        <w:lang w:val="lt-LT"/>
                      </w:rPr>
                    </w:pPr>
                    <w:r w:rsidRPr="00462BD9">
                      <w:rPr>
                        <w:sz w:val="22"/>
                        <w:szCs w:val="22"/>
                        <w:lang w:val="lt-LT"/>
                      </w:rPr>
                      <w:t>Atskleidimai</w:t>
                    </w:r>
                  </w:p>
                </w:txbxContent>
              </v:textbox>
            </v:shape>
            <v:shape id="_x0000_s2384" type="#_x0000_t202" style="position:absolute;left:5155;top:10281;width:2241;height:452" o:regroupid="109" filled="f" strokecolor="#d8d8d8 [2732]" strokeweight="1.5pt">
              <v:stroke dashstyle="1 1"/>
              <v:textbox style="mso-next-textbox:#_x0000_s2384">
                <w:txbxContent>
                  <w:p w:rsidR="00BE5795" w:rsidRPr="00462BD9" w:rsidRDefault="00BE5795" w:rsidP="0030700D">
                    <w:pPr>
                      <w:jc w:val="center"/>
                      <w:rPr>
                        <w:sz w:val="22"/>
                        <w:szCs w:val="22"/>
                        <w:lang w:val="lt-LT"/>
                      </w:rPr>
                    </w:pPr>
                    <w:r w:rsidRPr="00462BD9">
                      <w:rPr>
                        <w:sz w:val="22"/>
                        <w:szCs w:val="22"/>
                        <w:lang w:val="lt-LT"/>
                      </w:rPr>
                      <w:t>Elemento tipas</w:t>
                    </w:r>
                  </w:p>
                </w:txbxContent>
              </v:textbox>
            </v:shape>
            <v:shape id="_x0000_s2385" type="#_x0000_t202" style="position:absolute;left:5155;top:10731;width:2247;height:451" o:regroupid="109" filled="f" strokecolor="#d8d8d8 [2732]" strokeweight="1.5pt">
              <v:stroke dashstyle="1 1"/>
              <v:textbox style="mso-next-textbox:#_x0000_s2385">
                <w:txbxContent>
                  <w:p w:rsidR="00BE5795" w:rsidRPr="00462BD9" w:rsidRDefault="00BE5795" w:rsidP="0030700D">
                    <w:pPr>
                      <w:jc w:val="center"/>
                      <w:rPr>
                        <w:sz w:val="22"/>
                        <w:szCs w:val="22"/>
                        <w:lang w:val="lt-LT"/>
                      </w:rPr>
                    </w:pPr>
                    <w:r w:rsidRPr="00462BD9">
                      <w:rPr>
                        <w:sz w:val="22"/>
                        <w:szCs w:val="22"/>
                        <w:lang w:val="lt-LT"/>
                      </w:rPr>
                      <w:t>Tvirtinimo pobūdis</w:t>
                    </w:r>
                  </w:p>
                </w:txbxContent>
              </v:textbox>
            </v:shap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2386" type="#_x0000_t90" style="position:absolute;left:4386;top:10294;width:1032;height:472;rotation:90" o:regroupid="109" adj=",18086,4641" fillcolor="#d8d8d8 [2732]" strokecolor="#d8d8d8 [2732]"/>
            <v:shape id="_x0000_s2387" type="#_x0000_t90" style="position:absolute;left:7166;top:10287;width:933;height:421;rotation:270;flip:y" o:regroupid="109" adj="9608,18469,4170" fillcolor="#d8d8d8 [2732]" strokecolor="#d8d8d8 [2732]"/>
          </v:group>
        </w:pict>
      </w:r>
    </w:p>
    <w:p w:rsidR="00B01053" w:rsidRPr="004C65F4" w:rsidRDefault="00B01053" w:rsidP="00D268C1">
      <w:pPr>
        <w:ind w:firstLine="720"/>
        <w:jc w:val="both"/>
        <w:rPr>
          <w:lang w:val="lt-LT"/>
        </w:rPr>
      </w:pPr>
    </w:p>
    <w:p w:rsidR="00B01053" w:rsidRPr="004C65F4" w:rsidRDefault="00B01053" w:rsidP="00D268C1">
      <w:pPr>
        <w:ind w:firstLine="720"/>
        <w:jc w:val="both"/>
        <w:rPr>
          <w:lang w:val="lt-LT"/>
        </w:rPr>
      </w:pPr>
    </w:p>
    <w:p w:rsidR="00D268C1" w:rsidRPr="004C65F4" w:rsidRDefault="00D268C1" w:rsidP="00D268C1">
      <w:pPr>
        <w:ind w:firstLine="720"/>
        <w:jc w:val="both"/>
        <w:rPr>
          <w:lang w:val="lt-LT"/>
        </w:rPr>
      </w:pPr>
    </w:p>
    <w:p w:rsidR="00D268C1" w:rsidRPr="004C65F4" w:rsidRDefault="00D268C1" w:rsidP="00D268C1">
      <w:pPr>
        <w:ind w:firstLine="720"/>
        <w:jc w:val="both"/>
        <w:rPr>
          <w:lang w:val="lt-LT"/>
        </w:rPr>
      </w:pPr>
    </w:p>
    <w:p w:rsidR="004A11E5" w:rsidRPr="004C65F4" w:rsidRDefault="004A11E5" w:rsidP="00D268C1">
      <w:pPr>
        <w:ind w:firstLine="720"/>
        <w:jc w:val="both"/>
        <w:rPr>
          <w:lang w:val="lt-LT"/>
        </w:rPr>
      </w:pPr>
    </w:p>
    <w:p w:rsidR="004A11E5" w:rsidRPr="004C65F4" w:rsidRDefault="004A11E5" w:rsidP="00D268C1">
      <w:pPr>
        <w:ind w:firstLine="720"/>
        <w:jc w:val="both"/>
        <w:rPr>
          <w:lang w:val="lt-LT"/>
        </w:rPr>
      </w:pPr>
    </w:p>
    <w:p w:rsidR="004A11E5" w:rsidRPr="004C65F4" w:rsidRDefault="004A11E5" w:rsidP="00D268C1">
      <w:pPr>
        <w:ind w:firstLine="720"/>
        <w:jc w:val="both"/>
        <w:rPr>
          <w:lang w:val="lt-LT"/>
        </w:rPr>
      </w:pPr>
    </w:p>
    <w:p w:rsidR="004A11E5" w:rsidRPr="004C65F4" w:rsidRDefault="004A11E5" w:rsidP="00D268C1">
      <w:pPr>
        <w:ind w:firstLine="720"/>
        <w:jc w:val="both"/>
        <w:rPr>
          <w:lang w:val="lt-LT"/>
        </w:rPr>
      </w:pPr>
    </w:p>
    <w:p w:rsidR="004C65F4" w:rsidRDefault="004C65F4" w:rsidP="00C618DD">
      <w:pPr>
        <w:spacing w:line="360" w:lineRule="auto"/>
        <w:ind w:firstLine="720"/>
        <w:jc w:val="both"/>
        <w:rPr>
          <w:lang w:val="lt-LT"/>
        </w:rPr>
      </w:pPr>
    </w:p>
    <w:p w:rsidR="004C65F4" w:rsidRPr="004C65F4" w:rsidRDefault="004C65F4" w:rsidP="00C618DD">
      <w:pPr>
        <w:spacing w:line="360" w:lineRule="auto"/>
        <w:ind w:firstLine="720"/>
        <w:jc w:val="both"/>
        <w:rPr>
          <w:lang w:val="lt-LT"/>
        </w:rPr>
      </w:pPr>
    </w:p>
    <w:p w:rsidR="0030700D" w:rsidRPr="00FE380C" w:rsidRDefault="0030700D" w:rsidP="00C618DD">
      <w:pPr>
        <w:spacing w:line="360" w:lineRule="auto"/>
        <w:ind w:firstLine="720"/>
        <w:jc w:val="both"/>
        <w:rPr>
          <w:lang w:val="lt-LT"/>
        </w:rPr>
      </w:pPr>
      <w:r w:rsidRPr="00FE380C">
        <w:rPr>
          <w:lang w:val="lt-LT"/>
        </w:rPr>
        <w:t>Šaltinis: su</w:t>
      </w:r>
      <w:r w:rsidR="00375D0D" w:rsidRPr="00FE380C">
        <w:rPr>
          <w:lang w:val="lt-LT"/>
        </w:rPr>
        <w:t>kurta</w:t>
      </w:r>
      <w:r w:rsidR="005E7F2F" w:rsidRPr="00FE380C">
        <w:rPr>
          <w:lang w:val="lt-LT"/>
        </w:rPr>
        <w:t xml:space="preserve"> autorė</w:t>
      </w:r>
      <w:r w:rsidRPr="00FE380C">
        <w:rPr>
          <w:lang w:val="lt-LT"/>
        </w:rPr>
        <w:t>s.</w:t>
      </w:r>
    </w:p>
    <w:p w:rsidR="00C05ED2" w:rsidRPr="00462BD9" w:rsidRDefault="00972485" w:rsidP="00462BD9">
      <w:pPr>
        <w:jc w:val="center"/>
        <w:rPr>
          <w:b/>
          <w:sz w:val="26"/>
          <w:szCs w:val="26"/>
          <w:lang w:val="lt-LT"/>
        </w:rPr>
      </w:pPr>
      <w:r w:rsidRPr="00462BD9">
        <w:rPr>
          <w:b/>
          <w:sz w:val="26"/>
          <w:szCs w:val="26"/>
          <w:lang w:val="lt-LT"/>
        </w:rPr>
        <w:t>6</w:t>
      </w:r>
      <w:r w:rsidR="00C05ED2" w:rsidRPr="00462BD9">
        <w:rPr>
          <w:b/>
          <w:sz w:val="26"/>
          <w:szCs w:val="26"/>
          <w:lang w:val="lt-LT"/>
        </w:rPr>
        <w:t xml:space="preserve"> pav. Įgimtos rizikos </w:t>
      </w:r>
      <w:r w:rsidR="00B15AF3" w:rsidRPr="00462BD9">
        <w:rPr>
          <w:b/>
          <w:sz w:val="26"/>
          <w:szCs w:val="26"/>
          <w:lang w:val="lt-LT"/>
        </w:rPr>
        <w:t xml:space="preserve">priklausomybė </w:t>
      </w:r>
      <w:r w:rsidR="00D5619F" w:rsidRPr="00462BD9">
        <w:rPr>
          <w:b/>
          <w:sz w:val="26"/>
          <w:szCs w:val="26"/>
          <w:lang w:val="lt-LT"/>
        </w:rPr>
        <w:t>nuo finansinių ataskaitų elementų</w:t>
      </w:r>
      <w:r w:rsidR="00D77E35" w:rsidRPr="00462BD9">
        <w:rPr>
          <w:b/>
          <w:sz w:val="26"/>
          <w:szCs w:val="26"/>
          <w:lang w:val="lt-LT"/>
        </w:rPr>
        <w:t xml:space="preserve"> charakteristikų</w:t>
      </w:r>
    </w:p>
    <w:p w:rsidR="00E429EB" w:rsidRPr="00462BD9" w:rsidRDefault="003A71EC" w:rsidP="00AE1AEB">
      <w:pPr>
        <w:spacing w:before="120" w:line="360" w:lineRule="auto"/>
        <w:ind w:firstLine="720"/>
        <w:jc w:val="both"/>
        <w:rPr>
          <w:b/>
          <w:sz w:val="26"/>
          <w:szCs w:val="26"/>
          <w:lang w:val="lt-LT"/>
        </w:rPr>
      </w:pPr>
      <w:r w:rsidRPr="00462BD9">
        <w:rPr>
          <w:sz w:val="26"/>
          <w:szCs w:val="26"/>
          <w:lang w:val="lt-LT"/>
        </w:rPr>
        <w:t>J. Mackeviči</w:t>
      </w:r>
      <w:r w:rsidR="00A94E65" w:rsidRPr="00462BD9">
        <w:rPr>
          <w:sz w:val="26"/>
          <w:szCs w:val="26"/>
          <w:lang w:val="lt-LT"/>
        </w:rPr>
        <w:t>a</w:t>
      </w:r>
      <w:r w:rsidRPr="00462BD9">
        <w:rPr>
          <w:sz w:val="26"/>
          <w:szCs w:val="26"/>
          <w:lang w:val="lt-LT"/>
        </w:rPr>
        <w:t>us (1999)</w:t>
      </w:r>
      <w:r w:rsidR="00775090" w:rsidRPr="00462BD9">
        <w:rPr>
          <w:sz w:val="26"/>
          <w:szCs w:val="26"/>
          <w:lang w:val="lt-LT"/>
        </w:rPr>
        <w:t xml:space="preserve"> teigimu</w:t>
      </w:r>
      <w:r w:rsidRPr="00462BD9">
        <w:rPr>
          <w:sz w:val="26"/>
          <w:szCs w:val="26"/>
          <w:lang w:val="lt-LT"/>
        </w:rPr>
        <w:t>,</w:t>
      </w:r>
      <w:r w:rsidRPr="00462BD9">
        <w:rPr>
          <w:color w:val="FFFFFF"/>
          <w:sz w:val="26"/>
          <w:szCs w:val="26"/>
          <w:lang w:val="lt-LT"/>
        </w:rPr>
        <w:t xml:space="preserve"> </w:t>
      </w:r>
      <w:r w:rsidR="00FB6819" w:rsidRPr="00462BD9">
        <w:rPr>
          <w:sz w:val="26"/>
          <w:szCs w:val="26"/>
          <w:lang w:val="lt-LT"/>
        </w:rPr>
        <w:t xml:space="preserve">dažnai literatūroje </w:t>
      </w:r>
      <w:r w:rsidRPr="00462BD9">
        <w:rPr>
          <w:sz w:val="26"/>
          <w:szCs w:val="26"/>
          <w:lang w:val="lt-LT"/>
        </w:rPr>
        <w:t>sutinkama nuomonė, kad nėra galimybių įvertinti tikrąjį į</w:t>
      </w:r>
      <w:r w:rsidR="004A11E5" w:rsidRPr="00462BD9">
        <w:rPr>
          <w:sz w:val="26"/>
          <w:szCs w:val="26"/>
          <w:lang w:val="lt-LT"/>
        </w:rPr>
        <w:t xml:space="preserve">gimtos rizikos lygį ir kad jos </w:t>
      </w:r>
      <w:r w:rsidRPr="00462BD9">
        <w:rPr>
          <w:sz w:val="26"/>
          <w:szCs w:val="26"/>
          <w:lang w:val="lt-LT"/>
        </w:rPr>
        <w:t>vertinimas dažnai subjektyvus. T</w:t>
      </w:r>
      <w:r w:rsidR="00A9627C" w:rsidRPr="00462BD9">
        <w:rPr>
          <w:sz w:val="26"/>
          <w:szCs w:val="26"/>
          <w:lang w:val="lt-LT"/>
        </w:rPr>
        <w:t>ai, V.</w:t>
      </w:r>
      <w:r w:rsidR="000C6DC4" w:rsidRPr="00462BD9">
        <w:rPr>
          <w:sz w:val="26"/>
          <w:szCs w:val="26"/>
          <w:lang w:val="lt-LT"/>
        </w:rPr>
        <w:t xml:space="preserve"> </w:t>
      </w:r>
      <w:r w:rsidR="00A9627C" w:rsidRPr="00462BD9">
        <w:rPr>
          <w:sz w:val="26"/>
          <w:szCs w:val="26"/>
          <w:lang w:val="lt-LT"/>
        </w:rPr>
        <w:t xml:space="preserve">V. Skobaros (1998) nuomone, </w:t>
      </w:r>
      <w:r w:rsidRPr="00462BD9">
        <w:rPr>
          <w:sz w:val="26"/>
          <w:szCs w:val="26"/>
          <w:lang w:val="lt-LT"/>
        </w:rPr>
        <w:t>paaiškinama tuo, kad auditorius turi ribotas galimybes išaiškinti reikšmingus iškraipymus įmonės finansinė</w:t>
      </w:r>
      <w:r w:rsidR="00093482" w:rsidRPr="00462BD9">
        <w:rPr>
          <w:sz w:val="26"/>
          <w:szCs w:val="26"/>
          <w:lang w:val="lt-LT"/>
        </w:rPr>
        <w:t>s</w:t>
      </w:r>
      <w:r w:rsidRPr="00462BD9">
        <w:rPr>
          <w:sz w:val="26"/>
          <w:szCs w:val="26"/>
          <w:lang w:val="lt-LT"/>
        </w:rPr>
        <w:t>e at</w:t>
      </w:r>
      <w:r w:rsidR="00093482" w:rsidRPr="00462BD9">
        <w:rPr>
          <w:sz w:val="26"/>
          <w:szCs w:val="26"/>
          <w:lang w:val="lt-LT"/>
        </w:rPr>
        <w:t>a</w:t>
      </w:r>
      <w:r w:rsidRPr="00462BD9">
        <w:rPr>
          <w:sz w:val="26"/>
          <w:szCs w:val="26"/>
          <w:lang w:val="lt-LT"/>
        </w:rPr>
        <w:t>skaito</w:t>
      </w:r>
      <w:r w:rsidR="00093482" w:rsidRPr="00462BD9">
        <w:rPr>
          <w:sz w:val="26"/>
          <w:szCs w:val="26"/>
          <w:lang w:val="lt-LT"/>
        </w:rPr>
        <w:t>s</w:t>
      </w:r>
      <w:r w:rsidRPr="00462BD9">
        <w:rPr>
          <w:sz w:val="26"/>
          <w:szCs w:val="26"/>
          <w:lang w:val="lt-LT"/>
        </w:rPr>
        <w:t>e dėl skirtingų įmonės vid</w:t>
      </w:r>
      <w:r w:rsidR="00454D79">
        <w:rPr>
          <w:sz w:val="26"/>
          <w:szCs w:val="26"/>
          <w:lang w:val="lt-LT"/>
        </w:rPr>
        <w:t>aus</w:t>
      </w:r>
      <w:r w:rsidRPr="00462BD9">
        <w:rPr>
          <w:sz w:val="26"/>
          <w:szCs w:val="26"/>
          <w:lang w:val="lt-LT"/>
        </w:rPr>
        <w:t xml:space="preserve"> ir išor</w:t>
      </w:r>
      <w:r w:rsidR="00454D79">
        <w:rPr>
          <w:sz w:val="26"/>
          <w:szCs w:val="26"/>
          <w:lang w:val="lt-LT"/>
        </w:rPr>
        <w:t>ės</w:t>
      </w:r>
      <w:r w:rsidRPr="00462BD9">
        <w:rPr>
          <w:sz w:val="26"/>
          <w:szCs w:val="26"/>
          <w:lang w:val="lt-LT"/>
        </w:rPr>
        <w:t xml:space="preserve"> veiksnių </w:t>
      </w:r>
      <w:r w:rsidRPr="00462BD9">
        <w:rPr>
          <w:sz w:val="26"/>
          <w:szCs w:val="26"/>
          <w:lang w:val="lt-LT"/>
        </w:rPr>
        <w:lastRenderedPageBreak/>
        <w:t>įtakos</w:t>
      </w:r>
      <w:r w:rsidR="00222B6C" w:rsidRPr="00462BD9">
        <w:rPr>
          <w:sz w:val="26"/>
          <w:szCs w:val="26"/>
          <w:lang w:val="lt-LT"/>
        </w:rPr>
        <w:t xml:space="preserve">. Šiai nuomonei pritaria ir </w:t>
      </w:r>
      <w:r w:rsidR="00055C08" w:rsidRPr="00462BD9">
        <w:rPr>
          <w:sz w:val="26"/>
          <w:szCs w:val="26"/>
          <w:lang w:val="lt-LT"/>
        </w:rPr>
        <w:t>N. Kotchetova, T.</w:t>
      </w:r>
      <w:r w:rsidR="00462BD9">
        <w:rPr>
          <w:sz w:val="26"/>
          <w:szCs w:val="26"/>
          <w:lang w:val="lt-LT"/>
        </w:rPr>
        <w:t> </w:t>
      </w:r>
      <w:r w:rsidR="00055C08" w:rsidRPr="00462BD9">
        <w:rPr>
          <w:sz w:val="26"/>
          <w:szCs w:val="26"/>
          <w:lang w:val="lt-LT"/>
        </w:rPr>
        <w:t>M.</w:t>
      </w:r>
      <w:r w:rsidR="00462BD9">
        <w:rPr>
          <w:sz w:val="26"/>
          <w:szCs w:val="26"/>
          <w:lang w:val="lt-LT"/>
        </w:rPr>
        <w:t> </w:t>
      </w:r>
      <w:r w:rsidR="00055C08" w:rsidRPr="00462BD9">
        <w:rPr>
          <w:sz w:val="26"/>
          <w:szCs w:val="26"/>
          <w:lang w:val="lt-LT"/>
        </w:rPr>
        <w:t xml:space="preserve">Kozloski, W. F. Messier (2006) </w:t>
      </w:r>
      <w:r w:rsidR="00222B6C" w:rsidRPr="00462BD9">
        <w:rPr>
          <w:sz w:val="26"/>
          <w:szCs w:val="26"/>
          <w:lang w:val="lt-LT"/>
        </w:rPr>
        <w:t>teigdami</w:t>
      </w:r>
      <w:r w:rsidR="00055C08" w:rsidRPr="00462BD9">
        <w:rPr>
          <w:sz w:val="26"/>
          <w:szCs w:val="26"/>
          <w:lang w:val="lt-LT"/>
        </w:rPr>
        <w:t xml:space="preserve">, </w:t>
      </w:r>
      <w:r w:rsidR="00222B6C" w:rsidRPr="00462BD9">
        <w:rPr>
          <w:sz w:val="26"/>
          <w:szCs w:val="26"/>
          <w:lang w:val="lt-LT"/>
        </w:rPr>
        <w:t xml:space="preserve">kad 1) </w:t>
      </w:r>
      <w:r w:rsidR="00055C08" w:rsidRPr="00462BD9">
        <w:rPr>
          <w:sz w:val="26"/>
          <w:szCs w:val="26"/>
          <w:lang w:val="lt-LT"/>
        </w:rPr>
        <w:t xml:space="preserve">reikšmingo iškraipymo rizikos </w:t>
      </w:r>
      <w:r w:rsidR="0025194A" w:rsidRPr="00462BD9">
        <w:rPr>
          <w:sz w:val="26"/>
          <w:szCs w:val="26"/>
          <w:lang w:val="lt-LT"/>
        </w:rPr>
        <w:t>tvirtinimo</w:t>
      </w:r>
      <w:r w:rsidR="00055C08" w:rsidRPr="00462BD9">
        <w:rPr>
          <w:sz w:val="26"/>
          <w:szCs w:val="26"/>
          <w:lang w:val="lt-LT"/>
        </w:rPr>
        <w:t xml:space="preserve"> lygmeniu</w:t>
      </w:r>
      <w:r w:rsidR="00A8604E" w:rsidRPr="00462BD9">
        <w:rPr>
          <w:sz w:val="26"/>
          <w:szCs w:val="26"/>
          <w:lang w:val="lt-LT"/>
        </w:rPr>
        <w:t>, t.</w:t>
      </w:r>
      <w:r w:rsidR="00BE5795">
        <w:rPr>
          <w:sz w:val="26"/>
          <w:szCs w:val="26"/>
          <w:lang w:val="lt-LT"/>
        </w:rPr>
        <w:t> </w:t>
      </w:r>
      <w:r w:rsidR="00A8604E" w:rsidRPr="00462BD9">
        <w:rPr>
          <w:sz w:val="26"/>
          <w:szCs w:val="26"/>
          <w:lang w:val="lt-LT"/>
        </w:rPr>
        <w:t>y.</w:t>
      </w:r>
      <w:r w:rsidR="00055C08" w:rsidRPr="00462BD9">
        <w:rPr>
          <w:sz w:val="26"/>
          <w:szCs w:val="26"/>
          <w:lang w:val="lt-LT"/>
        </w:rPr>
        <w:t xml:space="preserve"> įgimtos rizikos</w:t>
      </w:r>
      <w:r w:rsidR="00A8604E" w:rsidRPr="00462BD9">
        <w:rPr>
          <w:sz w:val="26"/>
          <w:szCs w:val="26"/>
          <w:lang w:val="lt-LT"/>
        </w:rPr>
        <w:t>,</w:t>
      </w:r>
      <w:r w:rsidR="00055C08" w:rsidRPr="00462BD9">
        <w:rPr>
          <w:sz w:val="26"/>
          <w:szCs w:val="26"/>
          <w:lang w:val="lt-LT"/>
        </w:rPr>
        <w:t xml:space="preserve"> vertinimas yra tiesiogiai susijęs su reikšmingo iškraipymo rizikos finansinių ataskaitų lygmeniu</w:t>
      </w:r>
      <w:r w:rsidR="00B63CA1" w:rsidRPr="00462BD9">
        <w:rPr>
          <w:sz w:val="26"/>
          <w:szCs w:val="26"/>
          <w:lang w:val="lt-LT"/>
        </w:rPr>
        <w:t xml:space="preserve"> vertinimu</w:t>
      </w:r>
      <w:r w:rsidR="00222B6C" w:rsidRPr="00462BD9">
        <w:rPr>
          <w:sz w:val="26"/>
          <w:szCs w:val="26"/>
          <w:lang w:val="lt-LT"/>
        </w:rPr>
        <w:t xml:space="preserve">; 2) auditoriai vertindami reikšmingo iškraipymo riziką </w:t>
      </w:r>
      <w:r w:rsidR="0025194A" w:rsidRPr="00462BD9">
        <w:rPr>
          <w:sz w:val="26"/>
          <w:szCs w:val="26"/>
          <w:lang w:val="lt-LT"/>
        </w:rPr>
        <w:t>tvirtinimo</w:t>
      </w:r>
      <w:r w:rsidR="00222B6C" w:rsidRPr="00462BD9">
        <w:rPr>
          <w:sz w:val="26"/>
          <w:szCs w:val="26"/>
          <w:lang w:val="lt-LT"/>
        </w:rPr>
        <w:t xml:space="preserve"> lygmeniu atsižvelgia į proceso lygio, o ne įmonės lygio verslo rizikos vertinimus. Todėl </w:t>
      </w:r>
      <w:r w:rsidR="00AE1AEB" w:rsidRPr="00462BD9">
        <w:rPr>
          <w:sz w:val="26"/>
          <w:szCs w:val="26"/>
          <w:lang w:val="lt-LT"/>
        </w:rPr>
        <w:t xml:space="preserve">reikėtų pripažinti, kad </w:t>
      </w:r>
      <w:r w:rsidR="00222B6C" w:rsidRPr="00462BD9">
        <w:rPr>
          <w:sz w:val="26"/>
          <w:szCs w:val="26"/>
          <w:lang w:val="lt-LT"/>
        </w:rPr>
        <w:t>įgimt</w:t>
      </w:r>
      <w:r w:rsidR="00AE1AEB" w:rsidRPr="00462BD9">
        <w:rPr>
          <w:sz w:val="26"/>
          <w:szCs w:val="26"/>
          <w:lang w:val="lt-LT"/>
        </w:rPr>
        <w:t>ą</w:t>
      </w:r>
      <w:r w:rsidR="00222B6C" w:rsidRPr="00462BD9">
        <w:rPr>
          <w:sz w:val="26"/>
          <w:szCs w:val="26"/>
          <w:lang w:val="lt-LT"/>
        </w:rPr>
        <w:t xml:space="preserve"> rizik</w:t>
      </w:r>
      <w:r w:rsidR="00AE1AEB" w:rsidRPr="00462BD9">
        <w:rPr>
          <w:sz w:val="26"/>
          <w:szCs w:val="26"/>
          <w:lang w:val="lt-LT"/>
        </w:rPr>
        <w:t>ą</w:t>
      </w:r>
      <w:r w:rsidR="00222B6C" w:rsidRPr="00462BD9">
        <w:rPr>
          <w:sz w:val="26"/>
          <w:szCs w:val="26"/>
          <w:lang w:val="lt-LT"/>
        </w:rPr>
        <w:t xml:space="preserve"> </w:t>
      </w:r>
      <w:r w:rsidR="00AE1AEB" w:rsidRPr="00462BD9">
        <w:rPr>
          <w:sz w:val="26"/>
          <w:szCs w:val="26"/>
          <w:lang w:val="lt-LT"/>
        </w:rPr>
        <w:t xml:space="preserve">lemia ir </w:t>
      </w:r>
      <w:r w:rsidR="009D60A7" w:rsidRPr="00462BD9">
        <w:rPr>
          <w:sz w:val="26"/>
          <w:szCs w:val="26"/>
          <w:lang w:val="lt-LT"/>
        </w:rPr>
        <w:t xml:space="preserve">audituojamos </w:t>
      </w:r>
      <w:r w:rsidR="00AE1AEB" w:rsidRPr="00462BD9">
        <w:rPr>
          <w:sz w:val="26"/>
          <w:szCs w:val="26"/>
          <w:lang w:val="lt-LT"/>
        </w:rPr>
        <w:t xml:space="preserve">įmonės aplinkos sąlygos. Atsižvelgiant į tai, </w:t>
      </w:r>
      <w:r w:rsidR="00775090" w:rsidRPr="00462BD9">
        <w:rPr>
          <w:sz w:val="26"/>
          <w:szCs w:val="26"/>
          <w:lang w:val="lt-LT"/>
        </w:rPr>
        <w:t xml:space="preserve">auditorius turėtų siekti </w:t>
      </w:r>
      <w:r w:rsidR="00FB6819" w:rsidRPr="00462BD9">
        <w:rPr>
          <w:sz w:val="26"/>
          <w:szCs w:val="26"/>
          <w:lang w:val="lt-LT"/>
        </w:rPr>
        <w:t>visapusišk</w:t>
      </w:r>
      <w:r w:rsidR="00775090" w:rsidRPr="00462BD9">
        <w:rPr>
          <w:sz w:val="26"/>
          <w:szCs w:val="26"/>
          <w:lang w:val="lt-LT"/>
        </w:rPr>
        <w:t>o</w:t>
      </w:r>
      <w:r w:rsidR="00FB6819" w:rsidRPr="00462BD9">
        <w:rPr>
          <w:sz w:val="26"/>
          <w:szCs w:val="26"/>
          <w:lang w:val="lt-LT"/>
        </w:rPr>
        <w:t xml:space="preserve"> įmonės išorės ir vid</w:t>
      </w:r>
      <w:r w:rsidR="008E4A5A">
        <w:rPr>
          <w:sz w:val="26"/>
          <w:szCs w:val="26"/>
          <w:lang w:val="lt-LT"/>
        </w:rPr>
        <w:t>au</w:t>
      </w:r>
      <w:r w:rsidR="00FB6819" w:rsidRPr="00462BD9">
        <w:rPr>
          <w:sz w:val="26"/>
          <w:szCs w:val="26"/>
          <w:lang w:val="lt-LT"/>
        </w:rPr>
        <w:t xml:space="preserve">s aplinkos bei atskirų finansinių ataskaitų elementų </w:t>
      </w:r>
      <w:r w:rsidR="005519EF" w:rsidRPr="00462BD9">
        <w:rPr>
          <w:sz w:val="26"/>
          <w:szCs w:val="26"/>
          <w:lang w:val="lt-LT"/>
        </w:rPr>
        <w:t>ir/</w:t>
      </w:r>
      <w:r w:rsidR="00FB6819" w:rsidRPr="00462BD9">
        <w:rPr>
          <w:sz w:val="26"/>
          <w:szCs w:val="26"/>
          <w:lang w:val="lt-LT"/>
        </w:rPr>
        <w:t>ar su jais susijusių tvirtinimų pobūdžio supratim</w:t>
      </w:r>
      <w:r w:rsidR="00775090" w:rsidRPr="00462BD9">
        <w:rPr>
          <w:sz w:val="26"/>
          <w:szCs w:val="26"/>
          <w:lang w:val="lt-LT"/>
        </w:rPr>
        <w:t>o, kuris</w:t>
      </w:r>
      <w:r w:rsidR="00FB6819" w:rsidRPr="00462BD9">
        <w:rPr>
          <w:sz w:val="26"/>
          <w:szCs w:val="26"/>
          <w:lang w:val="lt-LT"/>
        </w:rPr>
        <w:t xml:space="preserve"> yra pagrindinis auditoriaus </w:t>
      </w:r>
      <w:r w:rsidR="00775090" w:rsidRPr="00462BD9">
        <w:rPr>
          <w:sz w:val="26"/>
          <w:szCs w:val="26"/>
          <w:lang w:val="lt-LT"/>
        </w:rPr>
        <w:t>informacijos šaltinis, vertinant</w:t>
      </w:r>
      <w:r w:rsidR="00FB6819" w:rsidRPr="00462BD9">
        <w:rPr>
          <w:sz w:val="26"/>
          <w:szCs w:val="26"/>
          <w:lang w:val="lt-LT"/>
        </w:rPr>
        <w:t xml:space="preserve"> įgimtos rizikos lygį. </w:t>
      </w:r>
      <w:r w:rsidR="00937691" w:rsidRPr="00462BD9">
        <w:rPr>
          <w:sz w:val="26"/>
          <w:szCs w:val="26"/>
          <w:lang w:val="lt-LT"/>
        </w:rPr>
        <w:t>Kadangi, k</w:t>
      </w:r>
      <w:r w:rsidR="00BE5795">
        <w:rPr>
          <w:sz w:val="26"/>
          <w:szCs w:val="26"/>
          <w:lang w:val="lt-LT"/>
        </w:rPr>
        <w:t>aip teigia J. Mackevičius (1999</w:t>
      </w:r>
      <w:r w:rsidR="00937691" w:rsidRPr="00462BD9">
        <w:rPr>
          <w:sz w:val="26"/>
          <w:szCs w:val="26"/>
          <w:lang w:val="lt-LT"/>
        </w:rPr>
        <w:t xml:space="preserve">), skirti įgimtai rizikai mažai dėmesio pavojinga, nes esant reikalui tokį sprendimą būtų sunku argumentuotai pagrįsti. </w:t>
      </w:r>
      <w:r w:rsidR="008E2DC1" w:rsidRPr="00462BD9">
        <w:rPr>
          <w:sz w:val="26"/>
          <w:szCs w:val="26"/>
          <w:lang w:val="lt-LT"/>
        </w:rPr>
        <w:t xml:space="preserve">Be to, </w:t>
      </w:r>
      <w:r w:rsidR="008C7E05" w:rsidRPr="00462BD9">
        <w:rPr>
          <w:sz w:val="26"/>
          <w:szCs w:val="26"/>
          <w:lang w:val="lt-LT"/>
        </w:rPr>
        <w:t xml:space="preserve">gal </w:t>
      </w:r>
      <w:r w:rsidRPr="00462BD9">
        <w:rPr>
          <w:sz w:val="26"/>
          <w:szCs w:val="26"/>
          <w:lang w:val="lt-LT"/>
        </w:rPr>
        <w:t>įgimt</w:t>
      </w:r>
      <w:r w:rsidR="00937691" w:rsidRPr="00462BD9">
        <w:rPr>
          <w:sz w:val="26"/>
          <w:szCs w:val="26"/>
          <w:lang w:val="lt-LT"/>
        </w:rPr>
        <w:t>os</w:t>
      </w:r>
      <w:r w:rsidRPr="00462BD9">
        <w:rPr>
          <w:sz w:val="26"/>
          <w:szCs w:val="26"/>
          <w:lang w:val="lt-LT"/>
        </w:rPr>
        <w:t xml:space="preserve"> rizikos vertinim</w:t>
      </w:r>
      <w:r w:rsidR="00937691" w:rsidRPr="00462BD9">
        <w:rPr>
          <w:sz w:val="26"/>
          <w:szCs w:val="26"/>
          <w:lang w:val="lt-LT"/>
        </w:rPr>
        <w:t xml:space="preserve">ą </w:t>
      </w:r>
      <w:r w:rsidR="008C7E05" w:rsidRPr="00462BD9">
        <w:rPr>
          <w:sz w:val="26"/>
          <w:szCs w:val="26"/>
          <w:lang w:val="lt-LT"/>
        </w:rPr>
        <w:t>reikėtų</w:t>
      </w:r>
      <w:r w:rsidR="00937691" w:rsidRPr="00462BD9">
        <w:rPr>
          <w:sz w:val="26"/>
          <w:szCs w:val="26"/>
          <w:lang w:val="lt-LT"/>
        </w:rPr>
        <w:t xml:space="preserve"> derinti su </w:t>
      </w:r>
      <w:r w:rsidRPr="00462BD9">
        <w:rPr>
          <w:sz w:val="26"/>
          <w:szCs w:val="26"/>
          <w:lang w:val="lt-LT"/>
        </w:rPr>
        <w:t>kontrolės rizikos vertinimu</w:t>
      </w:r>
      <w:r w:rsidR="00937691" w:rsidRPr="00462BD9">
        <w:rPr>
          <w:sz w:val="26"/>
          <w:szCs w:val="26"/>
          <w:lang w:val="lt-LT"/>
        </w:rPr>
        <w:t>, kurį aptarsime išsamiau</w:t>
      </w:r>
      <w:r w:rsidRPr="00462BD9">
        <w:rPr>
          <w:sz w:val="26"/>
          <w:szCs w:val="26"/>
          <w:lang w:val="lt-LT"/>
        </w:rPr>
        <w:t>.</w:t>
      </w:r>
    </w:p>
    <w:p w:rsidR="005C474A" w:rsidRPr="00C82075" w:rsidRDefault="00E1718A" w:rsidP="00E81BEB">
      <w:pPr>
        <w:spacing w:line="360" w:lineRule="auto"/>
        <w:ind w:firstLine="720"/>
        <w:jc w:val="both"/>
        <w:rPr>
          <w:sz w:val="26"/>
          <w:szCs w:val="26"/>
          <w:lang w:val="lt-LT"/>
        </w:rPr>
      </w:pPr>
      <w:r w:rsidRPr="00C82075">
        <w:rPr>
          <w:b/>
          <w:sz w:val="26"/>
          <w:szCs w:val="26"/>
          <w:lang w:val="lt-LT"/>
        </w:rPr>
        <w:t xml:space="preserve">Kontrolės rizika. </w:t>
      </w:r>
      <w:r w:rsidR="00015BAB" w:rsidRPr="00C82075">
        <w:rPr>
          <w:sz w:val="26"/>
          <w:szCs w:val="26"/>
          <w:lang w:val="lt-LT"/>
        </w:rPr>
        <w:t xml:space="preserve">Dažniausiai </w:t>
      </w:r>
      <w:r w:rsidR="00D37847" w:rsidRPr="00C82075">
        <w:rPr>
          <w:sz w:val="26"/>
          <w:szCs w:val="26"/>
          <w:lang w:val="lt-LT"/>
        </w:rPr>
        <w:t xml:space="preserve">literatūroje </w:t>
      </w:r>
      <w:r w:rsidR="000458CE" w:rsidRPr="00C82075">
        <w:rPr>
          <w:sz w:val="26"/>
          <w:szCs w:val="26"/>
          <w:lang w:val="lt-LT"/>
        </w:rPr>
        <w:t>(Kabašinskas, Toliatienė, 1997; Arens,</w:t>
      </w:r>
      <w:r w:rsidR="00862190" w:rsidRPr="00C82075">
        <w:rPr>
          <w:sz w:val="26"/>
          <w:szCs w:val="26"/>
          <w:lang w:val="lt-LT"/>
        </w:rPr>
        <w:t xml:space="preserve"> Loebbecke, 1997; Dodž, 1992; By</w:t>
      </w:r>
      <w:r w:rsidR="000458CE" w:rsidRPr="00C82075">
        <w:rPr>
          <w:sz w:val="26"/>
          <w:szCs w:val="26"/>
          <w:lang w:val="lt-LT"/>
        </w:rPr>
        <w:t>čkova, 1998; Skobara, 1998</w:t>
      </w:r>
      <w:r w:rsidR="00811D55" w:rsidRPr="00C82075">
        <w:rPr>
          <w:sz w:val="26"/>
          <w:szCs w:val="26"/>
          <w:lang w:val="lt-LT"/>
        </w:rPr>
        <w:t xml:space="preserve">; Knechel, 2001; </w:t>
      </w:r>
      <w:r w:rsidR="00811D55" w:rsidRPr="00C82075">
        <w:rPr>
          <w:sz w:val="26"/>
          <w:szCs w:val="26"/>
        </w:rPr>
        <w:t>Whittington, Pany, 2006</w:t>
      </w:r>
      <w:r w:rsidR="00D37847" w:rsidRPr="00C82075">
        <w:rPr>
          <w:sz w:val="26"/>
          <w:szCs w:val="26"/>
        </w:rPr>
        <w:t>; 200 TSA, 2006; 107 SAS, 2006</w:t>
      </w:r>
      <w:r w:rsidR="00015BAB" w:rsidRPr="00C82075">
        <w:rPr>
          <w:sz w:val="26"/>
          <w:szCs w:val="26"/>
        </w:rPr>
        <w:t>)</w:t>
      </w:r>
      <w:r w:rsidR="000458CE" w:rsidRPr="00C82075">
        <w:rPr>
          <w:sz w:val="26"/>
          <w:szCs w:val="26"/>
        </w:rPr>
        <w:t xml:space="preserve"> </w:t>
      </w:r>
      <w:r w:rsidR="00972485" w:rsidRPr="00C82075">
        <w:rPr>
          <w:sz w:val="26"/>
          <w:szCs w:val="26"/>
        </w:rPr>
        <w:t>(</w:t>
      </w:r>
      <w:r w:rsidR="00972485" w:rsidRPr="00C82075">
        <w:rPr>
          <w:sz w:val="26"/>
          <w:szCs w:val="26"/>
          <w:lang w:val="lt-LT"/>
        </w:rPr>
        <w:t>žr.</w:t>
      </w:r>
      <w:r w:rsidR="00041860">
        <w:rPr>
          <w:sz w:val="26"/>
          <w:szCs w:val="26"/>
          <w:lang w:val="lt-LT"/>
        </w:rPr>
        <w:t> </w:t>
      </w:r>
      <w:r w:rsidR="00972485" w:rsidRPr="00C82075">
        <w:rPr>
          <w:sz w:val="26"/>
          <w:szCs w:val="26"/>
          <w:lang w:val="lt-LT"/>
        </w:rPr>
        <w:t>12 lentelė)</w:t>
      </w:r>
      <w:r w:rsidR="00972485" w:rsidRPr="00C82075">
        <w:rPr>
          <w:sz w:val="26"/>
          <w:szCs w:val="26"/>
        </w:rPr>
        <w:t xml:space="preserve"> </w:t>
      </w:r>
      <w:r w:rsidR="000458CE" w:rsidRPr="00C82075">
        <w:rPr>
          <w:sz w:val="26"/>
          <w:szCs w:val="26"/>
          <w:lang w:val="lt-LT"/>
        </w:rPr>
        <w:t>apibrėž</w:t>
      </w:r>
      <w:r w:rsidR="00A5692D" w:rsidRPr="00C82075">
        <w:rPr>
          <w:sz w:val="26"/>
          <w:szCs w:val="26"/>
          <w:lang w:val="lt-LT"/>
        </w:rPr>
        <w:t xml:space="preserve">iant </w:t>
      </w:r>
      <w:r w:rsidR="000458CE" w:rsidRPr="00C82075">
        <w:rPr>
          <w:sz w:val="26"/>
          <w:szCs w:val="26"/>
          <w:lang w:val="lt-LT"/>
        </w:rPr>
        <w:t>kontrolės riziką akcentuoja</w:t>
      </w:r>
      <w:r w:rsidR="00A5692D" w:rsidRPr="00C82075">
        <w:rPr>
          <w:sz w:val="26"/>
          <w:szCs w:val="26"/>
          <w:lang w:val="lt-LT"/>
        </w:rPr>
        <w:t>mas</w:t>
      </w:r>
      <w:r w:rsidR="000458CE" w:rsidRPr="00C82075">
        <w:rPr>
          <w:sz w:val="26"/>
          <w:szCs w:val="26"/>
          <w:lang w:val="lt-LT"/>
        </w:rPr>
        <w:t xml:space="preserve"> jos </w:t>
      </w:r>
      <w:r w:rsidR="000458CE" w:rsidRPr="00C82075">
        <w:rPr>
          <w:i/>
          <w:sz w:val="26"/>
          <w:szCs w:val="26"/>
          <w:lang w:val="lt-LT"/>
        </w:rPr>
        <w:t>ryš</w:t>
      </w:r>
      <w:r w:rsidR="00A5692D" w:rsidRPr="00C82075">
        <w:rPr>
          <w:i/>
          <w:sz w:val="26"/>
          <w:szCs w:val="26"/>
          <w:lang w:val="lt-LT"/>
        </w:rPr>
        <w:t>ys</w:t>
      </w:r>
      <w:r w:rsidR="000458CE" w:rsidRPr="00C82075">
        <w:rPr>
          <w:i/>
          <w:sz w:val="26"/>
          <w:szCs w:val="26"/>
          <w:lang w:val="lt-LT"/>
        </w:rPr>
        <w:t xml:space="preserve"> su įmonės vidaus kontrolės sistema,</w:t>
      </w:r>
      <w:r w:rsidR="000458CE" w:rsidRPr="00C82075">
        <w:rPr>
          <w:sz w:val="26"/>
          <w:szCs w:val="26"/>
          <w:lang w:val="lt-LT"/>
        </w:rPr>
        <w:t xml:space="preserve"> t.</w:t>
      </w:r>
      <w:r w:rsidR="000C6DC4" w:rsidRPr="00C82075">
        <w:rPr>
          <w:sz w:val="26"/>
          <w:szCs w:val="26"/>
          <w:lang w:val="lt-LT"/>
        </w:rPr>
        <w:t xml:space="preserve"> </w:t>
      </w:r>
      <w:r w:rsidR="000458CE" w:rsidRPr="00C82075">
        <w:rPr>
          <w:sz w:val="26"/>
          <w:szCs w:val="26"/>
          <w:lang w:val="lt-LT"/>
        </w:rPr>
        <w:t xml:space="preserve">y. kontrolės rizika – tai pavojus, kad </w:t>
      </w:r>
      <w:r w:rsidR="00A5692D" w:rsidRPr="00C82075">
        <w:rPr>
          <w:sz w:val="26"/>
          <w:szCs w:val="26"/>
          <w:lang w:val="lt-LT"/>
        </w:rPr>
        <w:t xml:space="preserve">vidaus </w:t>
      </w:r>
      <w:r w:rsidR="000458CE" w:rsidRPr="00C82075">
        <w:rPr>
          <w:sz w:val="26"/>
          <w:szCs w:val="26"/>
          <w:lang w:val="lt-LT"/>
        </w:rPr>
        <w:t>kontrolės sistema neaptiks</w:t>
      </w:r>
      <w:r w:rsidR="00015BAB" w:rsidRPr="00C82075">
        <w:rPr>
          <w:sz w:val="26"/>
          <w:szCs w:val="26"/>
          <w:lang w:val="lt-LT"/>
        </w:rPr>
        <w:t>, neištaisys</w:t>
      </w:r>
      <w:r w:rsidR="000458CE" w:rsidRPr="00C82075">
        <w:rPr>
          <w:sz w:val="26"/>
          <w:szCs w:val="26"/>
          <w:lang w:val="lt-LT"/>
        </w:rPr>
        <w:t xml:space="preserve"> reikšming</w:t>
      </w:r>
      <w:r w:rsidR="00015BAB" w:rsidRPr="00C82075">
        <w:rPr>
          <w:sz w:val="26"/>
          <w:szCs w:val="26"/>
          <w:lang w:val="lt-LT"/>
        </w:rPr>
        <w:t>o</w:t>
      </w:r>
      <w:r w:rsidR="000458CE" w:rsidRPr="00C82075">
        <w:rPr>
          <w:sz w:val="26"/>
          <w:szCs w:val="26"/>
          <w:lang w:val="lt-LT"/>
        </w:rPr>
        <w:t xml:space="preserve"> </w:t>
      </w:r>
      <w:r w:rsidR="003611EA" w:rsidRPr="00C82075">
        <w:rPr>
          <w:sz w:val="26"/>
          <w:szCs w:val="26"/>
          <w:lang w:val="lt-LT"/>
        </w:rPr>
        <w:t>iškraipym</w:t>
      </w:r>
      <w:r w:rsidR="00015BAB" w:rsidRPr="00C82075">
        <w:rPr>
          <w:sz w:val="26"/>
          <w:szCs w:val="26"/>
          <w:lang w:val="lt-LT"/>
        </w:rPr>
        <w:t>o ar neužkirs jam kelio</w:t>
      </w:r>
      <w:r w:rsidR="000458CE" w:rsidRPr="00C82075">
        <w:rPr>
          <w:sz w:val="26"/>
          <w:szCs w:val="26"/>
          <w:lang w:val="lt-LT"/>
        </w:rPr>
        <w:t>. T</w:t>
      </w:r>
      <w:r w:rsidR="00606C74" w:rsidRPr="00C82075">
        <w:rPr>
          <w:sz w:val="26"/>
          <w:szCs w:val="26"/>
          <w:lang w:val="lt-LT"/>
        </w:rPr>
        <w:t xml:space="preserve">ačiau </w:t>
      </w:r>
      <w:r w:rsidR="00D37847" w:rsidRPr="00C82075">
        <w:rPr>
          <w:sz w:val="26"/>
          <w:szCs w:val="26"/>
          <w:lang w:val="lt-LT"/>
        </w:rPr>
        <w:t xml:space="preserve">J. </w:t>
      </w:r>
      <w:r w:rsidR="00015BAB" w:rsidRPr="00C82075">
        <w:rPr>
          <w:sz w:val="26"/>
          <w:szCs w:val="26"/>
          <w:lang w:val="lt-LT"/>
        </w:rPr>
        <w:t>Mackevičius</w:t>
      </w:r>
      <w:r w:rsidR="00D37847" w:rsidRPr="00C82075">
        <w:rPr>
          <w:sz w:val="26"/>
          <w:szCs w:val="26"/>
          <w:lang w:val="lt-LT"/>
        </w:rPr>
        <w:t xml:space="preserve"> (1</w:t>
      </w:r>
      <w:r w:rsidR="00015BAB" w:rsidRPr="00C82075">
        <w:rPr>
          <w:sz w:val="26"/>
          <w:szCs w:val="26"/>
          <w:lang w:val="lt-LT"/>
        </w:rPr>
        <w:t>999</w:t>
      </w:r>
      <w:r w:rsidR="00D37847" w:rsidRPr="00C82075">
        <w:rPr>
          <w:sz w:val="26"/>
          <w:szCs w:val="26"/>
          <w:lang w:val="lt-LT"/>
        </w:rPr>
        <w:t>), J. D. Staliūnienė (2001), B.</w:t>
      </w:r>
      <w:r w:rsidR="00BE5795">
        <w:rPr>
          <w:sz w:val="26"/>
          <w:szCs w:val="26"/>
          <w:lang w:val="lt-LT"/>
        </w:rPr>
        <w:t> </w:t>
      </w:r>
      <w:r w:rsidR="00D37847" w:rsidRPr="00C82075">
        <w:rPr>
          <w:sz w:val="26"/>
          <w:szCs w:val="26"/>
          <w:lang w:val="lt-LT"/>
        </w:rPr>
        <w:t xml:space="preserve">K. </w:t>
      </w:r>
      <w:r w:rsidR="00015BAB" w:rsidRPr="00C82075">
        <w:rPr>
          <w:sz w:val="26"/>
          <w:szCs w:val="26"/>
          <w:lang w:val="lt-LT"/>
        </w:rPr>
        <w:t>Ghosh</w:t>
      </w:r>
      <w:r w:rsidR="00D37847" w:rsidRPr="00C82075">
        <w:rPr>
          <w:sz w:val="26"/>
          <w:szCs w:val="26"/>
          <w:lang w:val="lt-LT"/>
        </w:rPr>
        <w:t xml:space="preserve"> (</w:t>
      </w:r>
      <w:r w:rsidR="00015BAB" w:rsidRPr="00C82075">
        <w:rPr>
          <w:sz w:val="26"/>
          <w:szCs w:val="26"/>
          <w:lang w:val="lt-LT"/>
        </w:rPr>
        <w:t>2006</w:t>
      </w:r>
      <w:r w:rsidR="00D37847" w:rsidRPr="00C82075">
        <w:rPr>
          <w:sz w:val="26"/>
          <w:szCs w:val="26"/>
          <w:lang w:val="lt-LT"/>
        </w:rPr>
        <w:t xml:space="preserve">) ir </w:t>
      </w:r>
      <w:r w:rsidR="001E7FC2" w:rsidRPr="00C82075">
        <w:rPr>
          <w:sz w:val="26"/>
          <w:szCs w:val="26"/>
          <w:lang w:val="lt-LT"/>
        </w:rPr>
        <w:t>8</w:t>
      </w:r>
      <w:r w:rsidR="000458CE" w:rsidRPr="00C82075">
        <w:rPr>
          <w:sz w:val="26"/>
          <w:szCs w:val="26"/>
          <w:lang w:val="lt-LT"/>
        </w:rPr>
        <w:t>-a</w:t>
      </w:r>
      <w:r w:rsidR="00D37847" w:rsidRPr="00C82075">
        <w:rPr>
          <w:sz w:val="26"/>
          <w:szCs w:val="26"/>
          <w:lang w:val="lt-LT"/>
        </w:rPr>
        <w:t>sis</w:t>
      </w:r>
      <w:r w:rsidR="000458CE" w:rsidRPr="00C82075">
        <w:rPr>
          <w:sz w:val="26"/>
          <w:szCs w:val="26"/>
          <w:lang w:val="lt-LT"/>
        </w:rPr>
        <w:t xml:space="preserve"> R</w:t>
      </w:r>
      <w:r w:rsidR="001E7FC2" w:rsidRPr="00C82075">
        <w:rPr>
          <w:sz w:val="26"/>
          <w:szCs w:val="26"/>
          <w:lang w:val="lt-LT"/>
        </w:rPr>
        <w:t>F</w:t>
      </w:r>
      <w:r w:rsidR="000C6DC4" w:rsidRPr="00C82075">
        <w:rPr>
          <w:sz w:val="26"/>
          <w:szCs w:val="26"/>
          <w:lang w:val="lt-LT"/>
        </w:rPr>
        <w:t>A</w:t>
      </w:r>
      <w:r w:rsidR="001E7FC2" w:rsidRPr="00C82075">
        <w:rPr>
          <w:sz w:val="26"/>
          <w:szCs w:val="26"/>
          <w:lang w:val="lt-LT"/>
        </w:rPr>
        <w:t>V</w:t>
      </w:r>
      <w:r w:rsidR="000C6DC4" w:rsidRPr="00C82075">
        <w:rPr>
          <w:sz w:val="26"/>
          <w:szCs w:val="26"/>
          <w:lang w:val="lt-LT"/>
        </w:rPr>
        <w:t>S (200</w:t>
      </w:r>
      <w:r w:rsidR="001E7FC2" w:rsidRPr="00C82075">
        <w:rPr>
          <w:sz w:val="26"/>
          <w:szCs w:val="26"/>
          <w:lang w:val="lt-LT"/>
        </w:rPr>
        <w:t>5</w:t>
      </w:r>
      <w:r w:rsidR="000C6DC4" w:rsidRPr="00C82075">
        <w:rPr>
          <w:sz w:val="26"/>
          <w:szCs w:val="26"/>
          <w:lang w:val="lt-LT"/>
        </w:rPr>
        <w:t>)</w:t>
      </w:r>
      <w:r w:rsidR="000458CE" w:rsidRPr="00C82075">
        <w:rPr>
          <w:sz w:val="26"/>
          <w:szCs w:val="26"/>
          <w:lang w:val="lt-LT"/>
        </w:rPr>
        <w:t xml:space="preserve"> </w:t>
      </w:r>
      <w:r w:rsidR="00D37847" w:rsidRPr="00C82075">
        <w:rPr>
          <w:sz w:val="26"/>
          <w:szCs w:val="26"/>
          <w:lang w:val="lt-LT"/>
        </w:rPr>
        <w:t xml:space="preserve">kontrolės riziką sieja su </w:t>
      </w:r>
      <w:r w:rsidR="000458CE" w:rsidRPr="00C82075">
        <w:rPr>
          <w:sz w:val="26"/>
          <w:szCs w:val="26"/>
          <w:lang w:val="lt-LT"/>
        </w:rPr>
        <w:t>iškraipym</w:t>
      </w:r>
      <w:r w:rsidR="00D37847" w:rsidRPr="00C82075">
        <w:rPr>
          <w:sz w:val="26"/>
          <w:szCs w:val="26"/>
          <w:lang w:val="lt-LT"/>
        </w:rPr>
        <w:t>u</w:t>
      </w:r>
      <w:r w:rsidR="000458CE" w:rsidRPr="00C82075">
        <w:rPr>
          <w:sz w:val="26"/>
          <w:szCs w:val="26"/>
          <w:lang w:val="lt-LT"/>
        </w:rPr>
        <w:t>, kuri</w:t>
      </w:r>
      <w:r w:rsidR="006457DD" w:rsidRPr="00C82075">
        <w:rPr>
          <w:sz w:val="26"/>
          <w:szCs w:val="26"/>
          <w:lang w:val="lt-LT"/>
        </w:rPr>
        <w:t>s</w:t>
      </w:r>
      <w:r w:rsidR="00D37847" w:rsidRPr="00C82075">
        <w:rPr>
          <w:sz w:val="26"/>
          <w:szCs w:val="26"/>
          <w:lang w:val="lt-LT"/>
        </w:rPr>
        <w:t xml:space="preserve"> </w:t>
      </w:r>
      <w:r w:rsidR="000458CE" w:rsidRPr="00C82075">
        <w:rPr>
          <w:sz w:val="26"/>
          <w:szCs w:val="26"/>
          <w:lang w:val="lt-LT"/>
        </w:rPr>
        <w:t>nebus laiku pastebėt</w:t>
      </w:r>
      <w:r w:rsidR="006457DD" w:rsidRPr="00C82075">
        <w:rPr>
          <w:sz w:val="26"/>
          <w:szCs w:val="26"/>
          <w:lang w:val="lt-LT"/>
        </w:rPr>
        <w:t>as</w:t>
      </w:r>
      <w:r w:rsidR="00B03189" w:rsidRPr="00C82075">
        <w:rPr>
          <w:sz w:val="26"/>
          <w:szCs w:val="26"/>
          <w:lang w:val="lt-LT"/>
        </w:rPr>
        <w:t>, iš</w:t>
      </w:r>
      <w:r w:rsidR="000458CE" w:rsidRPr="00C82075">
        <w:rPr>
          <w:sz w:val="26"/>
          <w:szCs w:val="26"/>
          <w:lang w:val="lt-LT"/>
        </w:rPr>
        <w:t>taisyt</w:t>
      </w:r>
      <w:r w:rsidR="00B03189" w:rsidRPr="00C82075">
        <w:rPr>
          <w:sz w:val="26"/>
          <w:szCs w:val="26"/>
          <w:lang w:val="lt-LT"/>
        </w:rPr>
        <w:t>as ar sutrukdytas</w:t>
      </w:r>
      <w:r w:rsidR="000458CE" w:rsidRPr="00C82075">
        <w:rPr>
          <w:sz w:val="26"/>
          <w:szCs w:val="26"/>
          <w:lang w:val="lt-LT"/>
        </w:rPr>
        <w:t xml:space="preserve"> </w:t>
      </w:r>
      <w:r w:rsidR="00B03189" w:rsidRPr="00C82075">
        <w:rPr>
          <w:sz w:val="26"/>
          <w:szCs w:val="26"/>
          <w:lang w:val="lt-LT"/>
        </w:rPr>
        <w:t xml:space="preserve">su </w:t>
      </w:r>
      <w:r w:rsidR="000458CE" w:rsidRPr="00C82075">
        <w:rPr>
          <w:i/>
          <w:sz w:val="26"/>
          <w:szCs w:val="26"/>
          <w:lang w:val="lt-LT"/>
        </w:rPr>
        <w:t>apskaitos ir vidaus kontrolės sistem</w:t>
      </w:r>
      <w:r w:rsidR="00B03189" w:rsidRPr="00C82075">
        <w:rPr>
          <w:i/>
          <w:sz w:val="26"/>
          <w:szCs w:val="26"/>
          <w:lang w:val="lt-LT"/>
        </w:rPr>
        <w:t>ų pagalba</w:t>
      </w:r>
      <w:r w:rsidR="000458CE" w:rsidRPr="00C82075">
        <w:rPr>
          <w:sz w:val="26"/>
          <w:szCs w:val="26"/>
          <w:lang w:val="lt-LT"/>
        </w:rPr>
        <w:t xml:space="preserve">. </w:t>
      </w:r>
      <w:r w:rsidR="001878B7" w:rsidRPr="00C82075">
        <w:rPr>
          <w:sz w:val="26"/>
          <w:szCs w:val="26"/>
          <w:lang w:val="lt-LT"/>
        </w:rPr>
        <w:t>P</w:t>
      </w:r>
      <w:r w:rsidR="00375E7F" w:rsidRPr="00C82075">
        <w:rPr>
          <w:sz w:val="26"/>
          <w:szCs w:val="26"/>
          <w:lang w:val="lt-LT"/>
        </w:rPr>
        <w:t xml:space="preserve">agal </w:t>
      </w:r>
      <w:r w:rsidR="001878B7" w:rsidRPr="00C82075">
        <w:rPr>
          <w:sz w:val="26"/>
          <w:szCs w:val="26"/>
          <w:lang w:val="lt-LT"/>
        </w:rPr>
        <w:t>pastarąjį</w:t>
      </w:r>
      <w:r w:rsidR="00375E7F" w:rsidRPr="00C82075">
        <w:rPr>
          <w:sz w:val="26"/>
          <w:szCs w:val="26"/>
          <w:lang w:val="lt-LT"/>
        </w:rPr>
        <w:t xml:space="preserve"> </w:t>
      </w:r>
      <w:r w:rsidR="00606C74" w:rsidRPr="00C82075">
        <w:rPr>
          <w:sz w:val="26"/>
          <w:szCs w:val="26"/>
          <w:lang w:val="lt-LT"/>
        </w:rPr>
        <w:t xml:space="preserve">požiūrį </w:t>
      </w:r>
      <w:r w:rsidR="000458CE" w:rsidRPr="00C82075">
        <w:rPr>
          <w:sz w:val="26"/>
          <w:szCs w:val="26"/>
          <w:lang w:val="lt-LT"/>
        </w:rPr>
        <w:t>reikšming</w:t>
      </w:r>
      <w:r w:rsidR="00B03189" w:rsidRPr="00C82075">
        <w:rPr>
          <w:sz w:val="26"/>
          <w:szCs w:val="26"/>
          <w:lang w:val="lt-LT"/>
        </w:rPr>
        <w:t>o</w:t>
      </w:r>
      <w:r w:rsidR="000458CE" w:rsidRPr="00C82075">
        <w:rPr>
          <w:sz w:val="26"/>
          <w:szCs w:val="26"/>
          <w:lang w:val="lt-LT"/>
        </w:rPr>
        <w:t xml:space="preserve"> iškraipym</w:t>
      </w:r>
      <w:r w:rsidR="00B03189" w:rsidRPr="00C82075">
        <w:rPr>
          <w:sz w:val="26"/>
          <w:szCs w:val="26"/>
          <w:lang w:val="lt-LT"/>
        </w:rPr>
        <w:t>o</w:t>
      </w:r>
      <w:r w:rsidR="000458CE" w:rsidRPr="00C82075">
        <w:rPr>
          <w:sz w:val="26"/>
          <w:szCs w:val="26"/>
          <w:lang w:val="lt-LT"/>
        </w:rPr>
        <w:t xml:space="preserve"> atsiradimą </w:t>
      </w:r>
      <w:r w:rsidR="00606C74" w:rsidRPr="00C82075">
        <w:rPr>
          <w:sz w:val="26"/>
          <w:szCs w:val="26"/>
          <w:lang w:val="lt-LT"/>
        </w:rPr>
        <w:t xml:space="preserve">lemia </w:t>
      </w:r>
      <w:r w:rsidR="009D60A7" w:rsidRPr="00C82075">
        <w:rPr>
          <w:sz w:val="26"/>
          <w:szCs w:val="26"/>
          <w:lang w:val="lt-LT"/>
        </w:rPr>
        <w:t xml:space="preserve">audituojamos </w:t>
      </w:r>
      <w:r w:rsidR="00606C74" w:rsidRPr="00C82075">
        <w:rPr>
          <w:sz w:val="26"/>
          <w:szCs w:val="26"/>
          <w:lang w:val="lt-LT"/>
        </w:rPr>
        <w:t xml:space="preserve">įmonės </w:t>
      </w:r>
      <w:r w:rsidR="000458CE" w:rsidRPr="00C82075">
        <w:rPr>
          <w:sz w:val="26"/>
          <w:szCs w:val="26"/>
          <w:lang w:val="lt-LT"/>
        </w:rPr>
        <w:t xml:space="preserve">apskaitos ir vidaus kontrolės sistemos, o kontrolės rizika tampa apskaitos ir vidaus kontrolės sistemų </w:t>
      </w:r>
      <w:r w:rsidR="00E30D83" w:rsidRPr="00C82075">
        <w:rPr>
          <w:sz w:val="26"/>
          <w:szCs w:val="26"/>
          <w:lang w:val="lt-LT"/>
        </w:rPr>
        <w:t>veiksming</w:t>
      </w:r>
      <w:r w:rsidR="000458CE" w:rsidRPr="00C82075">
        <w:rPr>
          <w:sz w:val="26"/>
          <w:szCs w:val="26"/>
          <w:lang w:val="lt-LT"/>
        </w:rPr>
        <w:t xml:space="preserve">umo funkcija. </w:t>
      </w:r>
      <w:r w:rsidR="00C338C1" w:rsidRPr="00C82075">
        <w:rPr>
          <w:sz w:val="26"/>
          <w:szCs w:val="26"/>
          <w:lang w:val="lt-LT"/>
        </w:rPr>
        <w:t>Anot V. Pečiūros (1999), kontrolės procedūras reikia skirti nuo apskaitos sistemos – tai nėra tapatūs dalykai: apskaitos sistema reikalinga tam, kad pateiktų klientams sąskaitas už išsiųstas prekes, fiksuotų šių prekių pardavimą, sumuotų ir pateiktų bendrą pirkėjų įsiskolinimą</w:t>
      </w:r>
      <w:r w:rsidR="004C65F4">
        <w:rPr>
          <w:sz w:val="26"/>
          <w:szCs w:val="26"/>
          <w:lang w:val="lt-LT"/>
        </w:rPr>
        <w:t xml:space="preserve"> ar pan.</w:t>
      </w:r>
      <w:r w:rsidR="00C338C1" w:rsidRPr="00C82075">
        <w:rPr>
          <w:sz w:val="26"/>
          <w:szCs w:val="26"/>
          <w:lang w:val="lt-LT"/>
        </w:rPr>
        <w:t xml:space="preserve">, o kontrolės procedūros integruojamos į apskaitos sistemą, kad užtikrintų šių duomenų </w:t>
      </w:r>
      <w:r w:rsidR="00C338C1" w:rsidRPr="00C82075">
        <w:rPr>
          <w:sz w:val="26"/>
          <w:szCs w:val="26"/>
          <w:lang w:val="lt-LT"/>
        </w:rPr>
        <w:lastRenderedPageBreak/>
        <w:t xml:space="preserve">patikimumą ir tikslumą. </w:t>
      </w:r>
      <w:r w:rsidR="001878B7" w:rsidRPr="00C82075">
        <w:rPr>
          <w:sz w:val="26"/>
          <w:szCs w:val="26"/>
          <w:lang w:val="lt-LT"/>
        </w:rPr>
        <w:t xml:space="preserve">Tačiau įmonės </w:t>
      </w:r>
      <w:r w:rsidR="00C338C1" w:rsidRPr="00C82075">
        <w:rPr>
          <w:sz w:val="26"/>
          <w:szCs w:val="26"/>
          <w:lang w:val="lt-LT"/>
        </w:rPr>
        <w:t>apskaitos ir vidaus kontrolės sistemos bet kuriuo atveju yra priklausomos nuo įmonės vadovybės noro ir galimybių jas turėti kuo veiksmingesnes.</w:t>
      </w:r>
      <w:r w:rsidR="007D2078" w:rsidRPr="00C82075">
        <w:rPr>
          <w:sz w:val="26"/>
          <w:szCs w:val="26"/>
          <w:lang w:val="lt-LT"/>
        </w:rPr>
        <w:t xml:space="preserve"> </w:t>
      </w:r>
    </w:p>
    <w:p w:rsidR="00A8736A" w:rsidRPr="00C82075" w:rsidRDefault="00972485" w:rsidP="00C82075">
      <w:pPr>
        <w:spacing w:line="360" w:lineRule="auto"/>
        <w:jc w:val="right"/>
        <w:rPr>
          <w:i/>
          <w:sz w:val="26"/>
          <w:szCs w:val="26"/>
          <w:lang w:val="lt-LT"/>
        </w:rPr>
      </w:pPr>
      <w:r w:rsidRPr="00C82075">
        <w:rPr>
          <w:i/>
          <w:sz w:val="26"/>
          <w:szCs w:val="26"/>
          <w:lang w:val="lt-LT"/>
        </w:rPr>
        <w:t>12</w:t>
      </w:r>
      <w:r w:rsidR="00427F2A" w:rsidRPr="00C82075">
        <w:rPr>
          <w:i/>
          <w:sz w:val="26"/>
          <w:szCs w:val="26"/>
          <w:lang w:val="lt-LT"/>
        </w:rPr>
        <w:t xml:space="preserve"> </w:t>
      </w:r>
      <w:r w:rsidR="00A8736A" w:rsidRPr="00C82075">
        <w:rPr>
          <w:i/>
          <w:sz w:val="26"/>
          <w:szCs w:val="26"/>
          <w:lang w:val="lt-LT"/>
        </w:rPr>
        <w:t>lentelė</w:t>
      </w:r>
    </w:p>
    <w:p w:rsidR="00A8736A" w:rsidRPr="00C82075" w:rsidRDefault="00A8736A" w:rsidP="00A8736A">
      <w:pPr>
        <w:spacing w:line="360" w:lineRule="auto"/>
        <w:jc w:val="center"/>
        <w:rPr>
          <w:b/>
          <w:sz w:val="26"/>
          <w:szCs w:val="26"/>
          <w:lang w:val="lt-LT"/>
        </w:rPr>
      </w:pPr>
      <w:r w:rsidRPr="00C82075">
        <w:rPr>
          <w:b/>
          <w:sz w:val="26"/>
          <w:szCs w:val="26"/>
          <w:lang w:val="lt-LT"/>
        </w:rPr>
        <w:t>Kontrolės rizikos apibrėžimai</w:t>
      </w:r>
    </w:p>
    <w:tbl>
      <w:tblPr>
        <w:tblW w:w="8472" w:type="dxa"/>
        <w:tblLayout w:type="fixed"/>
        <w:tblLook w:val="01E0"/>
      </w:tblPr>
      <w:tblGrid>
        <w:gridCol w:w="3085"/>
        <w:gridCol w:w="5387"/>
      </w:tblGrid>
      <w:tr w:rsidR="00A8736A" w:rsidRPr="00C82075" w:rsidTr="00C82075">
        <w:tc>
          <w:tcPr>
            <w:tcW w:w="3085" w:type="dxa"/>
            <w:tcBorders>
              <w:top w:val="single" w:sz="4" w:space="0" w:color="auto"/>
              <w:bottom w:val="single" w:sz="4" w:space="0" w:color="auto"/>
            </w:tcBorders>
            <w:vAlign w:val="center"/>
          </w:tcPr>
          <w:p w:rsidR="00A8736A" w:rsidRPr="00C82075" w:rsidRDefault="00A8736A" w:rsidP="00801A07">
            <w:pPr>
              <w:spacing w:line="360" w:lineRule="auto"/>
              <w:jc w:val="center"/>
              <w:rPr>
                <w:sz w:val="22"/>
                <w:szCs w:val="22"/>
                <w:lang w:val="lt-LT"/>
              </w:rPr>
            </w:pPr>
            <w:r w:rsidRPr="00C82075">
              <w:rPr>
                <w:sz w:val="22"/>
                <w:szCs w:val="22"/>
                <w:lang w:val="lt-LT"/>
              </w:rPr>
              <w:t>Šaltinis</w:t>
            </w:r>
          </w:p>
        </w:tc>
        <w:tc>
          <w:tcPr>
            <w:tcW w:w="5387" w:type="dxa"/>
            <w:tcBorders>
              <w:top w:val="single" w:sz="4" w:space="0" w:color="auto"/>
              <w:bottom w:val="single" w:sz="4" w:space="0" w:color="auto"/>
            </w:tcBorders>
            <w:vAlign w:val="center"/>
          </w:tcPr>
          <w:p w:rsidR="00A8736A" w:rsidRPr="00C82075" w:rsidRDefault="00A8736A" w:rsidP="00A8736A">
            <w:pPr>
              <w:spacing w:line="360" w:lineRule="auto"/>
              <w:jc w:val="center"/>
              <w:rPr>
                <w:sz w:val="22"/>
                <w:szCs w:val="22"/>
                <w:lang w:val="lt-LT"/>
              </w:rPr>
            </w:pPr>
            <w:r w:rsidRPr="00C82075">
              <w:rPr>
                <w:sz w:val="22"/>
                <w:szCs w:val="22"/>
                <w:lang w:val="lt-LT"/>
              </w:rPr>
              <w:t xml:space="preserve">Kontrolės rizikos apibrėžimas </w:t>
            </w:r>
          </w:p>
        </w:tc>
      </w:tr>
      <w:tr w:rsidR="00A8736A" w:rsidRPr="00C82075" w:rsidTr="00C82075">
        <w:tc>
          <w:tcPr>
            <w:tcW w:w="3085" w:type="dxa"/>
            <w:tcBorders>
              <w:top w:val="single" w:sz="4" w:space="0" w:color="auto"/>
              <w:bottom w:val="single" w:sz="4" w:space="0" w:color="auto"/>
            </w:tcBorders>
          </w:tcPr>
          <w:p w:rsidR="00C82075" w:rsidRDefault="00801A07" w:rsidP="00801A07">
            <w:pPr>
              <w:rPr>
                <w:sz w:val="22"/>
                <w:szCs w:val="22"/>
                <w:lang w:val="lt-LT"/>
              </w:rPr>
            </w:pPr>
            <w:r w:rsidRPr="00C82075">
              <w:rPr>
                <w:sz w:val="22"/>
                <w:szCs w:val="22"/>
                <w:lang w:val="lt-LT"/>
              </w:rPr>
              <w:t>R. Dodž (1992), A.Arens, J.</w:t>
            </w:r>
            <w:r w:rsidR="00C82075">
              <w:rPr>
                <w:sz w:val="22"/>
                <w:szCs w:val="22"/>
                <w:lang w:val="lt-LT"/>
              </w:rPr>
              <w:t> </w:t>
            </w:r>
            <w:r w:rsidRPr="00C82075">
              <w:rPr>
                <w:sz w:val="22"/>
                <w:szCs w:val="22"/>
                <w:lang w:val="lt-LT"/>
              </w:rPr>
              <w:t>K.</w:t>
            </w:r>
            <w:r w:rsidR="004C65F4">
              <w:rPr>
                <w:sz w:val="22"/>
                <w:szCs w:val="22"/>
                <w:lang w:val="lt-LT"/>
              </w:rPr>
              <w:t> </w:t>
            </w:r>
            <w:r w:rsidRPr="00C82075">
              <w:rPr>
                <w:sz w:val="22"/>
                <w:szCs w:val="22"/>
                <w:lang w:val="lt-LT"/>
              </w:rPr>
              <w:t>Loebbecke (1997);</w:t>
            </w:r>
            <w:r w:rsidR="00862190" w:rsidRPr="00C82075">
              <w:rPr>
                <w:sz w:val="22"/>
                <w:szCs w:val="22"/>
                <w:lang w:val="lt-LT"/>
              </w:rPr>
              <w:t xml:space="preserve"> S.</w:t>
            </w:r>
            <w:r w:rsidR="00C82075">
              <w:rPr>
                <w:sz w:val="22"/>
                <w:szCs w:val="22"/>
                <w:lang w:val="lt-LT"/>
              </w:rPr>
              <w:t> </w:t>
            </w:r>
            <w:r w:rsidR="00862190" w:rsidRPr="00C82075">
              <w:rPr>
                <w:sz w:val="22"/>
                <w:szCs w:val="22"/>
                <w:lang w:val="lt-LT"/>
              </w:rPr>
              <w:t>M.</w:t>
            </w:r>
            <w:r w:rsidR="004C65F4">
              <w:rPr>
                <w:sz w:val="22"/>
                <w:szCs w:val="22"/>
                <w:lang w:val="lt-LT"/>
              </w:rPr>
              <w:t> </w:t>
            </w:r>
            <w:r w:rsidR="00862190" w:rsidRPr="00C82075">
              <w:rPr>
                <w:sz w:val="22"/>
                <w:szCs w:val="22"/>
                <w:lang w:val="lt-LT"/>
              </w:rPr>
              <w:t>By</w:t>
            </w:r>
            <w:r w:rsidRPr="00C82075">
              <w:rPr>
                <w:sz w:val="22"/>
                <w:szCs w:val="22"/>
                <w:lang w:val="lt-LT"/>
              </w:rPr>
              <w:t xml:space="preserve">čkova (1998); </w:t>
            </w:r>
          </w:p>
          <w:p w:rsidR="00C82075" w:rsidRDefault="00801A07" w:rsidP="00801A07">
            <w:pPr>
              <w:rPr>
                <w:sz w:val="22"/>
                <w:szCs w:val="22"/>
                <w:lang w:val="lt-LT"/>
              </w:rPr>
            </w:pPr>
            <w:r w:rsidRPr="00C82075">
              <w:rPr>
                <w:sz w:val="22"/>
                <w:szCs w:val="22"/>
                <w:lang w:val="lt-LT"/>
              </w:rPr>
              <w:t>V. V. Skobara (1998);</w:t>
            </w:r>
          </w:p>
          <w:p w:rsidR="00C82075" w:rsidRDefault="00801A07" w:rsidP="00801A07">
            <w:pPr>
              <w:rPr>
                <w:sz w:val="22"/>
                <w:szCs w:val="22"/>
                <w:lang w:val="lt-LT"/>
              </w:rPr>
            </w:pPr>
            <w:r w:rsidRPr="00C82075">
              <w:rPr>
                <w:sz w:val="22"/>
                <w:szCs w:val="22"/>
                <w:lang w:val="lt-LT"/>
              </w:rPr>
              <w:t xml:space="preserve">W. R. Knechel (2001); </w:t>
            </w:r>
          </w:p>
          <w:p w:rsidR="00801A07" w:rsidRPr="00C82075" w:rsidRDefault="00801A07" w:rsidP="00801A07">
            <w:pPr>
              <w:rPr>
                <w:sz w:val="22"/>
                <w:szCs w:val="22"/>
                <w:lang w:val="lt-LT"/>
              </w:rPr>
            </w:pPr>
            <w:r w:rsidRPr="00C82075">
              <w:rPr>
                <w:sz w:val="22"/>
                <w:szCs w:val="22"/>
                <w:lang w:val="lt-LT"/>
              </w:rPr>
              <w:t>O. R. Whittington, K. Pany (2006)</w:t>
            </w:r>
          </w:p>
          <w:p w:rsidR="00934C53" w:rsidRPr="00C82075" w:rsidRDefault="00934C53" w:rsidP="00801A07">
            <w:pPr>
              <w:rPr>
                <w:sz w:val="22"/>
                <w:szCs w:val="22"/>
                <w:lang w:val="lt-LT"/>
              </w:rPr>
            </w:pPr>
            <w:r w:rsidRPr="00C82075">
              <w:rPr>
                <w:sz w:val="22"/>
                <w:szCs w:val="22"/>
                <w:lang w:val="lt-LT"/>
              </w:rPr>
              <w:t>J. Kabašinskas, I. Toliatienė (1997)</w:t>
            </w:r>
          </w:p>
          <w:p w:rsidR="00934C53" w:rsidRPr="00C82075" w:rsidRDefault="00934C53" w:rsidP="00801A07">
            <w:pPr>
              <w:rPr>
                <w:sz w:val="22"/>
                <w:szCs w:val="22"/>
                <w:lang w:val="lt-LT"/>
              </w:rPr>
            </w:pPr>
          </w:p>
          <w:p w:rsidR="00427F2A" w:rsidRPr="00C82075" w:rsidRDefault="00427F2A" w:rsidP="00801A07">
            <w:pPr>
              <w:rPr>
                <w:sz w:val="22"/>
                <w:szCs w:val="22"/>
                <w:lang w:val="lt-LT"/>
              </w:rPr>
            </w:pPr>
          </w:p>
          <w:p w:rsidR="00C627AD" w:rsidRPr="00C82075" w:rsidRDefault="00A8736A" w:rsidP="00801A07">
            <w:pPr>
              <w:rPr>
                <w:sz w:val="22"/>
                <w:szCs w:val="22"/>
                <w:lang w:val="lt-LT"/>
              </w:rPr>
            </w:pPr>
            <w:r w:rsidRPr="00C82075">
              <w:rPr>
                <w:sz w:val="22"/>
                <w:szCs w:val="22"/>
                <w:lang w:val="lt-LT"/>
              </w:rPr>
              <w:t>J. Mackevičius (1999</w:t>
            </w:r>
            <w:r w:rsidR="00427F2A" w:rsidRPr="00C82075">
              <w:rPr>
                <w:sz w:val="22"/>
                <w:szCs w:val="22"/>
                <w:lang w:val="lt-LT"/>
              </w:rPr>
              <w:t>)</w:t>
            </w:r>
          </w:p>
          <w:p w:rsidR="00427F2A" w:rsidRPr="00C82075" w:rsidRDefault="00427F2A" w:rsidP="00801A07">
            <w:pPr>
              <w:rPr>
                <w:sz w:val="22"/>
                <w:szCs w:val="22"/>
                <w:lang w:val="lt-LT"/>
              </w:rPr>
            </w:pPr>
          </w:p>
          <w:p w:rsidR="00921DE2" w:rsidRPr="00C82075" w:rsidRDefault="00921DE2" w:rsidP="00801A07">
            <w:pPr>
              <w:rPr>
                <w:sz w:val="22"/>
                <w:szCs w:val="22"/>
                <w:lang w:val="lt-LT"/>
              </w:rPr>
            </w:pPr>
            <w:r w:rsidRPr="00C82075">
              <w:rPr>
                <w:sz w:val="22"/>
                <w:szCs w:val="22"/>
                <w:lang w:val="lt-LT"/>
              </w:rPr>
              <w:t>B. K. Ghosh (2006)</w:t>
            </w:r>
          </w:p>
          <w:p w:rsidR="00C627AD" w:rsidRDefault="00C627AD" w:rsidP="00801A07">
            <w:pPr>
              <w:rPr>
                <w:sz w:val="22"/>
                <w:szCs w:val="22"/>
                <w:lang w:val="lt-LT"/>
              </w:rPr>
            </w:pPr>
          </w:p>
          <w:p w:rsidR="00C82075" w:rsidRPr="00C82075" w:rsidRDefault="00C82075" w:rsidP="00801A07">
            <w:pPr>
              <w:rPr>
                <w:sz w:val="22"/>
                <w:szCs w:val="22"/>
                <w:lang w:val="lt-LT"/>
              </w:rPr>
            </w:pPr>
          </w:p>
          <w:p w:rsidR="00F75BCE" w:rsidRPr="00C82075" w:rsidRDefault="00A8736A" w:rsidP="00801A07">
            <w:pPr>
              <w:rPr>
                <w:sz w:val="22"/>
                <w:szCs w:val="22"/>
                <w:lang w:val="lt-LT"/>
              </w:rPr>
            </w:pPr>
            <w:r w:rsidRPr="00C82075">
              <w:rPr>
                <w:sz w:val="22"/>
                <w:szCs w:val="22"/>
                <w:lang w:val="lt-LT"/>
              </w:rPr>
              <w:t xml:space="preserve">200 TSA (2006), 107 SAS </w:t>
            </w:r>
            <w:r w:rsidR="00F75BCE" w:rsidRPr="00C82075">
              <w:rPr>
                <w:sz w:val="22"/>
                <w:szCs w:val="22"/>
                <w:lang w:val="lt-LT"/>
              </w:rPr>
              <w:t>(2006)</w:t>
            </w:r>
            <w:r w:rsidR="0018088C" w:rsidRPr="00C82075">
              <w:rPr>
                <w:sz w:val="22"/>
                <w:szCs w:val="22"/>
                <w:lang w:val="lt-LT"/>
              </w:rPr>
              <w:t>, J. Mackevičius (2009)</w:t>
            </w:r>
          </w:p>
          <w:p w:rsidR="00427F2A" w:rsidRDefault="00427F2A" w:rsidP="00C627AD">
            <w:pPr>
              <w:rPr>
                <w:sz w:val="22"/>
                <w:szCs w:val="22"/>
                <w:lang w:val="lt-LT"/>
              </w:rPr>
            </w:pPr>
          </w:p>
          <w:p w:rsidR="00C82075" w:rsidRPr="00C82075" w:rsidRDefault="00C82075" w:rsidP="00C627AD">
            <w:pPr>
              <w:rPr>
                <w:sz w:val="22"/>
                <w:szCs w:val="22"/>
                <w:lang w:val="lt-LT"/>
              </w:rPr>
            </w:pPr>
          </w:p>
          <w:p w:rsidR="00A8736A" w:rsidRPr="00C82075" w:rsidRDefault="00C627AD" w:rsidP="00C627AD">
            <w:pPr>
              <w:rPr>
                <w:sz w:val="22"/>
                <w:szCs w:val="22"/>
                <w:lang w:val="lt-LT"/>
              </w:rPr>
            </w:pPr>
            <w:r w:rsidRPr="00C82075">
              <w:rPr>
                <w:sz w:val="22"/>
                <w:szCs w:val="22"/>
                <w:lang w:val="lt-LT"/>
              </w:rPr>
              <w:t xml:space="preserve">8 </w:t>
            </w:r>
            <w:r w:rsidR="00A8736A" w:rsidRPr="00C82075">
              <w:rPr>
                <w:sz w:val="22"/>
                <w:szCs w:val="22"/>
                <w:lang w:val="lt-LT"/>
              </w:rPr>
              <w:t>RFAVS (2006)</w:t>
            </w:r>
            <w:r w:rsidRPr="00C82075">
              <w:rPr>
                <w:sz w:val="22"/>
                <w:szCs w:val="22"/>
                <w:lang w:val="lt-LT"/>
              </w:rPr>
              <w:t xml:space="preserve">, </w:t>
            </w:r>
            <w:r w:rsidR="00606C74" w:rsidRPr="00C82075">
              <w:rPr>
                <w:sz w:val="22"/>
                <w:szCs w:val="22"/>
                <w:lang w:val="lt-LT"/>
              </w:rPr>
              <w:t xml:space="preserve">400 TSA (2004); </w:t>
            </w:r>
            <w:r w:rsidRPr="00C82075">
              <w:rPr>
                <w:sz w:val="22"/>
                <w:szCs w:val="22"/>
                <w:lang w:val="lt-LT"/>
              </w:rPr>
              <w:t>J. D. Staliūnienė (2001)</w:t>
            </w:r>
          </w:p>
          <w:p w:rsidR="00A8736A" w:rsidRPr="00C82075" w:rsidRDefault="00A8736A" w:rsidP="00801A07">
            <w:pPr>
              <w:rPr>
                <w:sz w:val="22"/>
                <w:szCs w:val="22"/>
                <w:lang w:val="lt-LT"/>
              </w:rPr>
            </w:pPr>
          </w:p>
        </w:tc>
        <w:tc>
          <w:tcPr>
            <w:tcW w:w="5387" w:type="dxa"/>
            <w:tcBorders>
              <w:top w:val="single" w:sz="4" w:space="0" w:color="auto"/>
              <w:bottom w:val="single" w:sz="4" w:space="0" w:color="auto"/>
            </w:tcBorders>
          </w:tcPr>
          <w:p w:rsidR="00801A07" w:rsidRPr="00C82075" w:rsidRDefault="00801A07" w:rsidP="00801A07">
            <w:pPr>
              <w:jc w:val="both"/>
              <w:rPr>
                <w:sz w:val="22"/>
                <w:szCs w:val="22"/>
                <w:lang w:val="lt-LT"/>
              </w:rPr>
            </w:pPr>
            <w:r w:rsidRPr="00C82075">
              <w:rPr>
                <w:sz w:val="22"/>
                <w:szCs w:val="22"/>
                <w:lang w:val="lt-LT"/>
              </w:rPr>
              <w:t>– pavojus, kad vidaus kontrolės sistema neištaisys ar neaptiks reikšmingų iškraipymų.</w:t>
            </w:r>
          </w:p>
          <w:p w:rsidR="00801A07" w:rsidRPr="00C82075" w:rsidRDefault="00801A07" w:rsidP="00934C53">
            <w:pPr>
              <w:jc w:val="both"/>
              <w:rPr>
                <w:sz w:val="22"/>
                <w:szCs w:val="22"/>
                <w:lang w:val="lt-LT"/>
              </w:rPr>
            </w:pPr>
          </w:p>
          <w:p w:rsidR="00801A07" w:rsidRPr="00C82075" w:rsidRDefault="00801A07" w:rsidP="00934C53">
            <w:pPr>
              <w:jc w:val="both"/>
              <w:rPr>
                <w:sz w:val="22"/>
                <w:szCs w:val="22"/>
                <w:lang w:val="lt-LT"/>
              </w:rPr>
            </w:pPr>
          </w:p>
          <w:p w:rsidR="00801A07" w:rsidRPr="00C82075" w:rsidRDefault="00801A07" w:rsidP="00934C53">
            <w:pPr>
              <w:jc w:val="both"/>
              <w:rPr>
                <w:sz w:val="22"/>
                <w:szCs w:val="22"/>
                <w:lang w:val="lt-LT"/>
              </w:rPr>
            </w:pPr>
          </w:p>
          <w:p w:rsidR="00C82075" w:rsidRDefault="00C82075" w:rsidP="00934C53">
            <w:pPr>
              <w:jc w:val="both"/>
              <w:rPr>
                <w:sz w:val="22"/>
                <w:szCs w:val="22"/>
                <w:lang w:val="lt-LT"/>
              </w:rPr>
            </w:pPr>
          </w:p>
          <w:p w:rsidR="00C82075" w:rsidRDefault="00C82075" w:rsidP="00934C53">
            <w:pPr>
              <w:jc w:val="both"/>
              <w:rPr>
                <w:sz w:val="22"/>
                <w:szCs w:val="22"/>
                <w:lang w:val="lt-LT"/>
              </w:rPr>
            </w:pPr>
          </w:p>
          <w:p w:rsidR="00934C53" w:rsidRPr="00C82075" w:rsidRDefault="00934C53" w:rsidP="00934C53">
            <w:pPr>
              <w:jc w:val="both"/>
              <w:rPr>
                <w:sz w:val="22"/>
                <w:szCs w:val="22"/>
                <w:lang w:val="lt-LT"/>
              </w:rPr>
            </w:pPr>
            <w:r w:rsidRPr="00C82075">
              <w:rPr>
                <w:sz w:val="22"/>
                <w:szCs w:val="22"/>
                <w:lang w:val="lt-LT"/>
              </w:rPr>
              <w:t>– rizika, kad netikslumai, kurie gali pasitaikyti sąskaitų likučiuose ar ūkinių operacijų klasėse, bus laiku nepastebėti ir vidaus kontrolės sistema neužkirs jiems kelio.</w:t>
            </w:r>
          </w:p>
          <w:p w:rsidR="00934C53" w:rsidRPr="00C82075" w:rsidRDefault="00934C53" w:rsidP="00801A07">
            <w:pPr>
              <w:jc w:val="both"/>
              <w:rPr>
                <w:sz w:val="22"/>
                <w:szCs w:val="22"/>
                <w:lang w:val="lt-LT"/>
              </w:rPr>
            </w:pPr>
            <w:r w:rsidRPr="00C82075">
              <w:rPr>
                <w:sz w:val="22"/>
                <w:szCs w:val="22"/>
                <w:lang w:val="lt-LT"/>
              </w:rPr>
              <w:t>– rizika, kad klaidos nebus laiku pastebėtos ar pataisytos apskaitos ir vidaus kontrolės sistemose.</w:t>
            </w:r>
          </w:p>
          <w:p w:rsidR="00921DE2" w:rsidRPr="00C82075" w:rsidRDefault="00921DE2" w:rsidP="00801A07">
            <w:pPr>
              <w:jc w:val="both"/>
              <w:rPr>
                <w:sz w:val="22"/>
                <w:szCs w:val="22"/>
                <w:lang w:val="lt-LT"/>
              </w:rPr>
            </w:pPr>
            <w:r w:rsidRPr="00C82075">
              <w:rPr>
                <w:sz w:val="22"/>
                <w:szCs w:val="22"/>
                <w:lang w:val="lt-LT"/>
              </w:rPr>
              <w:t xml:space="preserve">– rizika, kad įmonės apskaitos ir vidaus kontrolės sistemos laiku neaptiks, neištaisys iškraipymo ar neužkirs jam kelio. </w:t>
            </w:r>
          </w:p>
          <w:p w:rsidR="00F75BCE" w:rsidRPr="00C82075" w:rsidRDefault="00921DE2" w:rsidP="00801A07">
            <w:pPr>
              <w:jc w:val="both"/>
              <w:rPr>
                <w:sz w:val="22"/>
                <w:szCs w:val="22"/>
                <w:lang w:val="lt-LT"/>
              </w:rPr>
            </w:pPr>
            <w:r w:rsidRPr="00C82075">
              <w:rPr>
                <w:sz w:val="22"/>
                <w:szCs w:val="22"/>
                <w:lang w:val="lt-LT"/>
              </w:rPr>
              <w:t xml:space="preserve">– rizika, kad </w:t>
            </w:r>
            <w:r w:rsidR="00F75BCE" w:rsidRPr="00C82075">
              <w:rPr>
                <w:sz w:val="22"/>
                <w:szCs w:val="22"/>
                <w:lang w:val="lt-LT"/>
              </w:rPr>
              <w:t>įmonės vidaus kontrolė laiku neaptiks ir neištaisys ar neužkirs kelio tvirtinime galinčiam pasitaikyti iškraipymui, kuris gali būti reikšmingas pats savaime arba kartu su kitais iškraipymais.</w:t>
            </w:r>
          </w:p>
          <w:p w:rsidR="00A8736A" w:rsidRPr="00C82075" w:rsidRDefault="00921DE2" w:rsidP="00801A07">
            <w:pPr>
              <w:jc w:val="both"/>
              <w:rPr>
                <w:sz w:val="22"/>
                <w:szCs w:val="22"/>
                <w:lang w:val="lt-LT"/>
              </w:rPr>
            </w:pPr>
            <w:r w:rsidRPr="00C82075">
              <w:rPr>
                <w:sz w:val="22"/>
                <w:szCs w:val="22"/>
                <w:lang w:val="lt-LT"/>
              </w:rPr>
              <w:t xml:space="preserve">– </w:t>
            </w:r>
            <w:r w:rsidR="00F75BCE" w:rsidRPr="00C82075">
              <w:rPr>
                <w:sz w:val="22"/>
                <w:szCs w:val="22"/>
                <w:lang w:val="lt-LT"/>
              </w:rPr>
              <w:t>rizika, kad iškraipymas, kuris gali atsirasti sąskaitos likutyje ar ūkinių operacijų grupėje ir būti reikšmingas pats savaime arba kartu su iškraipymais kitų sąskaitų likučiuose ar ūkinių operacijų grupėse, nebus laiku pastebėtas, ištaisytas ar sutrukdytas su apskaitos ir vidaus kontrolės sistemų pagalba.</w:t>
            </w:r>
          </w:p>
        </w:tc>
      </w:tr>
    </w:tbl>
    <w:p w:rsidR="00A8736A" w:rsidRPr="00FE380C" w:rsidRDefault="00A8736A" w:rsidP="00A8736A">
      <w:pPr>
        <w:rPr>
          <w:lang w:val="lt-LT"/>
        </w:rPr>
      </w:pPr>
      <w:r w:rsidRPr="00FE380C">
        <w:rPr>
          <w:lang w:val="lt-LT"/>
        </w:rPr>
        <w:t>Šaltinis: sudaryta autorės.</w:t>
      </w:r>
    </w:p>
    <w:p w:rsidR="00A8736A" w:rsidRPr="00C82075" w:rsidRDefault="00606C74" w:rsidP="007D68A0">
      <w:pPr>
        <w:spacing w:before="120" w:line="360" w:lineRule="auto"/>
        <w:ind w:firstLine="720"/>
        <w:jc w:val="both"/>
        <w:rPr>
          <w:sz w:val="26"/>
          <w:szCs w:val="26"/>
          <w:lang w:val="lt-LT"/>
        </w:rPr>
      </w:pPr>
      <w:r w:rsidRPr="00C82075">
        <w:rPr>
          <w:sz w:val="26"/>
          <w:szCs w:val="26"/>
          <w:lang w:val="lt-LT"/>
        </w:rPr>
        <w:t>Kadangi kontrolės rizik</w:t>
      </w:r>
      <w:r w:rsidR="00A92756" w:rsidRPr="00C82075">
        <w:rPr>
          <w:sz w:val="26"/>
          <w:szCs w:val="26"/>
          <w:lang w:val="lt-LT"/>
        </w:rPr>
        <w:t>os vertinimas</w:t>
      </w:r>
      <w:r w:rsidRPr="00C82075">
        <w:rPr>
          <w:sz w:val="26"/>
          <w:szCs w:val="26"/>
          <w:lang w:val="lt-LT"/>
        </w:rPr>
        <w:t xml:space="preserve"> neišvengiamai susij</w:t>
      </w:r>
      <w:r w:rsidR="00A92756" w:rsidRPr="00C82075">
        <w:rPr>
          <w:sz w:val="26"/>
          <w:szCs w:val="26"/>
          <w:lang w:val="lt-LT"/>
        </w:rPr>
        <w:t>ęs</w:t>
      </w:r>
      <w:r w:rsidRPr="00C82075">
        <w:rPr>
          <w:sz w:val="26"/>
          <w:szCs w:val="26"/>
          <w:lang w:val="lt-LT"/>
        </w:rPr>
        <w:t xml:space="preserve"> su </w:t>
      </w:r>
      <w:r w:rsidR="009A5569" w:rsidRPr="00C82075">
        <w:rPr>
          <w:sz w:val="26"/>
          <w:szCs w:val="26"/>
          <w:lang w:val="lt-LT"/>
        </w:rPr>
        <w:t xml:space="preserve">audituojamos </w:t>
      </w:r>
      <w:r w:rsidRPr="00C82075">
        <w:rPr>
          <w:sz w:val="26"/>
          <w:szCs w:val="26"/>
          <w:lang w:val="lt-LT"/>
        </w:rPr>
        <w:t>įmonės vidaus kontrolės sistem</w:t>
      </w:r>
      <w:r w:rsidR="00A36BDA" w:rsidRPr="00C82075">
        <w:rPr>
          <w:sz w:val="26"/>
          <w:szCs w:val="26"/>
          <w:lang w:val="lt-LT"/>
        </w:rPr>
        <w:t>a ir jos veiksmingumu</w:t>
      </w:r>
      <w:r w:rsidRPr="00C82075">
        <w:rPr>
          <w:sz w:val="26"/>
          <w:szCs w:val="26"/>
          <w:lang w:val="lt-LT"/>
        </w:rPr>
        <w:t xml:space="preserve">, </w:t>
      </w:r>
      <w:r w:rsidR="00A36BDA" w:rsidRPr="00C82075">
        <w:rPr>
          <w:sz w:val="26"/>
          <w:szCs w:val="26"/>
          <w:lang w:val="lt-LT"/>
        </w:rPr>
        <w:t xml:space="preserve">todėl tai </w:t>
      </w:r>
      <w:r w:rsidRPr="00C82075">
        <w:rPr>
          <w:sz w:val="26"/>
          <w:szCs w:val="26"/>
          <w:lang w:val="lt-LT"/>
        </w:rPr>
        <w:t>būtina išanalizuoti detaliau.</w:t>
      </w:r>
    </w:p>
    <w:p w:rsidR="004C67D2" w:rsidRPr="00C82075" w:rsidRDefault="00471D38" w:rsidP="004C67D2">
      <w:pPr>
        <w:spacing w:line="360" w:lineRule="auto"/>
        <w:ind w:firstLine="720"/>
        <w:jc w:val="both"/>
        <w:rPr>
          <w:sz w:val="26"/>
          <w:szCs w:val="26"/>
          <w:lang w:val="lt-LT"/>
        </w:rPr>
      </w:pPr>
      <w:r w:rsidRPr="00C82075">
        <w:rPr>
          <w:sz w:val="26"/>
          <w:szCs w:val="26"/>
          <w:lang w:val="lt-LT"/>
        </w:rPr>
        <w:t xml:space="preserve">Dažniausiai </w:t>
      </w:r>
      <w:r w:rsidR="00463E22" w:rsidRPr="00C82075">
        <w:rPr>
          <w:sz w:val="26"/>
          <w:szCs w:val="26"/>
          <w:lang w:val="lt-LT"/>
        </w:rPr>
        <w:t xml:space="preserve">vidaus kontrolės </w:t>
      </w:r>
      <w:r w:rsidR="00F22B2F" w:rsidRPr="00C82075">
        <w:rPr>
          <w:sz w:val="26"/>
          <w:szCs w:val="26"/>
          <w:lang w:val="lt-LT"/>
        </w:rPr>
        <w:t>sistem</w:t>
      </w:r>
      <w:r w:rsidRPr="00C82075">
        <w:rPr>
          <w:sz w:val="26"/>
          <w:szCs w:val="26"/>
          <w:lang w:val="lt-LT"/>
        </w:rPr>
        <w:t>a</w:t>
      </w:r>
      <w:r w:rsidR="00F22B2F" w:rsidRPr="00C82075">
        <w:rPr>
          <w:sz w:val="26"/>
          <w:szCs w:val="26"/>
          <w:lang w:val="lt-LT"/>
        </w:rPr>
        <w:t xml:space="preserve"> apibūdin</w:t>
      </w:r>
      <w:r w:rsidRPr="00C82075">
        <w:rPr>
          <w:sz w:val="26"/>
          <w:szCs w:val="26"/>
          <w:lang w:val="lt-LT"/>
        </w:rPr>
        <w:t xml:space="preserve">ama kaip </w:t>
      </w:r>
      <w:r w:rsidR="00F22B2F" w:rsidRPr="00C82075">
        <w:rPr>
          <w:sz w:val="26"/>
          <w:szCs w:val="26"/>
          <w:lang w:val="lt-LT"/>
        </w:rPr>
        <w:t xml:space="preserve">taisyklių ir procedūrų, kurias taiko įmonės vadovybė visuma. </w:t>
      </w:r>
      <w:r w:rsidRPr="00C82075">
        <w:rPr>
          <w:sz w:val="26"/>
          <w:szCs w:val="26"/>
          <w:lang w:val="lt-LT"/>
        </w:rPr>
        <w:t>Tačiau, anot R.</w:t>
      </w:r>
      <w:r w:rsidR="00351D74">
        <w:rPr>
          <w:sz w:val="26"/>
          <w:szCs w:val="26"/>
          <w:lang w:val="lt-LT"/>
        </w:rPr>
        <w:t> </w:t>
      </w:r>
      <w:r w:rsidRPr="00C82075">
        <w:rPr>
          <w:sz w:val="26"/>
          <w:szCs w:val="26"/>
          <w:lang w:val="lt-LT"/>
        </w:rPr>
        <w:t xml:space="preserve">Kanapickienės, S. Raguckaitės (2006), toks apibūdinimas neatskleidžia visos vidaus kontrolės esmės, nes vidaus kontrolė – dinaminis procesas, kuris turi būti planuojamas, atliekamas ir vadovybės patikrinamas. </w:t>
      </w:r>
      <w:r w:rsidR="000C32C1" w:rsidRPr="00C82075">
        <w:rPr>
          <w:sz w:val="26"/>
          <w:szCs w:val="26"/>
          <w:lang w:val="lt-LT"/>
        </w:rPr>
        <w:t>D</w:t>
      </w:r>
      <w:r w:rsidR="00645715" w:rsidRPr="00C82075">
        <w:rPr>
          <w:sz w:val="26"/>
          <w:szCs w:val="26"/>
          <w:lang w:val="lt-LT"/>
        </w:rPr>
        <w:t xml:space="preserve">aug išsamesnis </w:t>
      </w:r>
      <w:r w:rsidR="000C32C1" w:rsidRPr="00C82075">
        <w:rPr>
          <w:sz w:val="26"/>
          <w:szCs w:val="26"/>
          <w:lang w:val="lt-LT"/>
        </w:rPr>
        <w:t xml:space="preserve">vidaus kontrolės sistemos apibrėžimas pateikiamas </w:t>
      </w:r>
      <w:r w:rsidR="008611DA" w:rsidRPr="00C82075">
        <w:rPr>
          <w:sz w:val="26"/>
          <w:szCs w:val="26"/>
          <w:lang w:val="lt-LT"/>
        </w:rPr>
        <w:t>315-</w:t>
      </w:r>
      <w:r w:rsidR="00645715" w:rsidRPr="00C82075">
        <w:rPr>
          <w:sz w:val="26"/>
          <w:szCs w:val="26"/>
          <w:lang w:val="lt-LT"/>
        </w:rPr>
        <w:t>ajame</w:t>
      </w:r>
      <w:r w:rsidR="008611DA" w:rsidRPr="00C82075">
        <w:rPr>
          <w:sz w:val="26"/>
          <w:szCs w:val="26"/>
          <w:lang w:val="lt-LT"/>
        </w:rPr>
        <w:t xml:space="preserve"> TSA (2006)</w:t>
      </w:r>
      <w:r w:rsidR="00801A07" w:rsidRPr="00C82075">
        <w:rPr>
          <w:sz w:val="26"/>
          <w:szCs w:val="26"/>
          <w:lang w:val="lt-LT"/>
        </w:rPr>
        <w:t xml:space="preserve"> </w:t>
      </w:r>
      <w:r w:rsidR="008611DA" w:rsidRPr="00C82075">
        <w:rPr>
          <w:sz w:val="26"/>
          <w:szCs w:val="26"/>
          <w:lang w:val="lt-LT"/>
        </w:rPr>
        <w:t xml:space="preserve">– </w:t>
      </w:r>
      <w:r w:rsidR="009F431F" w:rsidRPr="00C82075">
        <w:rPr>
          <w:sz w:val="26"/>
          <w:szCs w:val="26"/>
          <w:lang w:val="lt-LT"/>
        </w:rPr>
        <w:lastRenderedPageBreak/>
        <w:t>„</w:t>
      </w:r>
      <w:r w:rsidR="00D77F16" w:rsidRPr="00C82075">
        <w:rPr>
          <w:sz w:val="26"/>
          <w:szCs w:val="26"/>
          <w:lang w:val="lt-LT"/>
        </w:rPr>
        <w:t>už valdymą atsakingų asmenų, vadovybės ir kitų darbuotojų sukurtas ir taikomas procesas, skirtas teikti pakankamą užtikrinimą dėl įm</w:t>
      </w:r>
      <w:r w:rsidR="00476563" w:rsidRPr="00C82075">
        <w:rPr>
          <w:sz w:val="26"/>
          <w:szCs w:val="26"/>
          <w:lang w:val="lt-LT"/>
        </w:rPr>
        <w:t>onės pasiekimų siekiant tikslų</w:t>
      </w:r>
      <w:r w:rsidR="009F431F" w:rsidRPr="00C82075">
        <w:rPr>
          <w:sz w:val="26"/>
          <w:szCs w:val="26"/>
          <w:lang w:val="lt-LT"/>
        </w:rPr>
        <w:t xml:space="preserve"> ...“</w:t>
      </w:r>
      <w:r w:rsidR="00D77F16" w:rsidRPr="00C82075">
        <w:rPr>
          <w:sz w:val="26"/>
          <w:szCs w:val="26"/>
          <w:lang w:val="lt-LT"/>
        </w:rPr>
        <w:t xml:space="preserve">. </w:t>
      </w:r>
      <w:r w:rsidR="009F431F" w:rsidRPr="00C82075">
        <w:rPr>
          <w:sz w:val="26"/>
          <w:szCs w:val="26"/>
          <w:lang w:val="lt-LT"/>
        </w:rPr>
        <w:t>Į</w:t>
      </w:r>
      <w:r w:rsidR="004613B0" w:rsidRPr="00C82075">
        <w:rPr>
          <w:sz w:val="26"/>
          <w:szCs w:val="26"/>
          <w:lang w:val="lt-LT"/>
        </w:rPr>
        <w:t xml:space="preserve">monės tikslai, kuriuos padeda įgyvendinti vidaus kontrolės sistema, akcentuojami </w:t>
      </w:r>
      <w:r w:rsidR="006A54D2" w:rsidRPr="00C82075">
        <w:rPr>
          <w:sz w:val="26"/>
          <w:szCs w:val="26"/>
          <w:lang w:val="lt-LT"/>
        </w:rPr>
        <w:t>visuose svarbiaus</w:t>
      </w:r>
      <w:r w:rsidR="000C32C1" w:rsidRPr="00C82075">
        <w:rPr>
          <w:sz w:val="26"/>
          <w:szCs w:val="26"/>
          <w:lang w:val="lt-LT"/>
        </w:rPr>
        <w:t>iuose vidaus kontrolės modeliuose (COSO (JAV, 1992), CoCo (Kanada, 1995), Turnbull (Jungtinė Karalystė, 1999, 2005)</w:t>
      </w:r>
      <w:r w:rsidR="006A54D2" w:rsidRPr="00C82075">
        <w:rPr>
          <w:sz w:val="26"/>
          <w:szCs w:val="26"/>
          <w:lang w:val="lt-LT"/>
        </w:rPr>
        <w:t>, COSO ERM (JAV, 2004)</w:t>
      </w:r>
      <w:r w:rsidR="000C32C1" w:rsidRPr="00C82075">
        <w:rPr>
          <w:sz w:val="26"/>
          <w:szCs w:val="26"/>
          <w:lang w:val="lt-LT"/>
        </w:rPr>
        <w:t xml:space="preserve">) </w:t>
      </w:r>
      <w:r w:rsidR="004613B0" w:rsidRPr="00C82075">
        <w:rPr>
          <w:sz w:val="26"/>
          <w:szCs w:val="26"/>
          <w:lang w:val="lt-LT"/>
        </w:rPr>
        <w:t>(žr. 1</w:t>
      </w:r>
      <w:r w:rsidR="00CD3D15" w:rsidRPr="00C82075">
        <w:rPr>
          <w:sz w:val="26"/>
          <w:szCs w:val="26"/>
          <w:lang w:val="lt-LT"/>
        </w:rPr>
        <w:t>3</w:t>
      </w:r>
      <w:r w:rsidR="004613B0" w:rsidRPr="00C82075">
        <w:rPr>
          <w:sz w:val="26"/>
          <w:szCs w:val="26"/>
          <w:lang w:val="lt-LT"/>
        </w:rPr>
        <w:t xml:space="preserve"> lentelė): </w:t>
      </w:r>
      <w:r w:rsidR="00B66600" w:rsidRPr="00C82075">
        <w:rPr>
          <w:sz w:val="26"/>
          <w:szCs w:val="26"/>
          <w:lang w:val="lt-LT"/>
        </w:rPr>
        <w:t>1)</w:t>
      </w:r>
      <w:r w:rsidR="008872D7">
        <w:rPr>
          <w:sz w:val="26"/>
          <w:szCs w:val="26"/>
          <w:lang w:val="lt-LT"/>
        </w:rPr>
        <w:t> </w:t>
      </w:r>
      <w:r w:rsidR="00B66600" w:rsidRPr="00C82075">
        <w:rPr>
          <w:sz w:val="26"/>
          <w:szCs w:val="26"/>
          <w:lang w:val="lt-LT"/>
        </w:rPr>
        <w:t>veiklos efektyvumas ir veiksmingumas, 2)</w:t>
      </w:r>
      <w:r w:rsidR="008872D7">
        <w:rPr>
          <w:sz w:val="26"/>
          <w:szCs w:val="26"/>
          <w:lang w:val="lt-LT"/>
        </w:rPr>
        <w:t> </w:t>
      </w:r>
      <w:r w:rsidR="00B66600" w:rsidRPr="00C82075">
        <w:rPr>
          <w:sz w:val="26"/>
          <w:szCs w:val="26"/>
          <w:lang w:val="lt-LT"/>
        </w:rPr>
        <w:t>patikimų finansinių ataskaitų sudarymas, 3)</w:t>
      </w:r>
      <w:r w:rsidR="00041860">
        <w:rPr>
          <w:sz w:val="26"/>
          <w:szCs w:val="26"/>
          <w:lang w:val="lt-LT"/>
        </w:rPr>
        <w:t> </w:t>
      </w:r>
      <w:r w:rsidR="00B66600" w:rsidRPr="00C82075">
        <w:rPr>
          <w:sz w:val="26"/>
          <w:szCs w:val="26"/>
          <w:lang w:val="lt-LT"/>
        </w:rPr>
        <w:t xml:space="preserve">įstatymų bei </w:t>
      </w:r>
      <w:r w:rsidR="00657A94" w:rsidRPr="00C82075">
        <w:rPr>
          <w:sz w:val="26"/>
          <w:szCs w:val="26"/>
          <w:lang w:val="lt-LT"/>
        </w:rPr>
        <w:t xml:space="preserve">kitų </w:t>
      </w:r>
      <w:r w:rsidR="00B66600" w:rsidRPr="00C82075">
        <w:rPr>
          <w:sz w:val="26"/>
          <w:szCs w:val="26"/>
          <w:lang w:val="lt-LT"/>
        </w:rPr>
        <w:t>teisės aktų laikymasis</w:t>
      </w:r>
      <w:r w:rsidR="00BB1BD9" w:rsidRPr="00C82075">
        <w:rPr>
          <w:sz w:val="26"/>
          <w:szCs w:val="26"/>
          <w:lang w:val="lt-LT"/>
        </w:rPr>
        <w:t xml:space="preserve">. </w:t>
      </w:r>
    </w:p>
    <w:p w:rsidR="00DA5863" w:rsidRPr="00C82075" w:rsidRDefault="00F70E24" w:rsidP="00C82075">
      <w:pPr>
        <w:spacing w:line="360" w:lineRule="auto"/>
        <w:jc w:val="right"/>
        <w:rPr>
          <w:i/>
          <w:sz w:val="26"/>
          <w:szCs w:val="26"/>
          <w:lang w:val="lt-LT"/>
        </w:rPr>
      </w:pPr>
      <w:r w:rsidRPr="00C82075">
        <w:rPr>
          <w:i/>
          <w:sz w:val="26"/>
          <w:szCs w:val="26"/>
          <w:lang w:val="lt-LT"/>
        </w:rPr>
        <w:t>1</w:t>
      </w:r>
      <w:r w:rsidR="00CD3D15" w:rsidRPr="00C82075">
        <w:rPr>
          <w:i/>
          <w:sz w:val="26"/>
          <w:szCs w:val="26"/>
          <w:lang w:val="lt-LT"/>
        </w:rPr>
        <w:t>3</w:t>
      </w:r>
      <w:r w:rsidR="00DA5863" w:rsidRPr="00C82075">
        <w:rPr>
          <w:i/>
          <w:sz w:val="26"/>
          <w:szCs w:val="26"/>
          <w:lang w:val="lt-LT"/>
        </w:rPr>
        <w:t xml:space="preserve"> lentelė</w:t>
      </w:r>
    </w:p>
    <w:p w:rsidR="00DA5863" w:rsidRPr="00C82075" w:rsidRDefault="00DA5863" w:rsidP="00DA5863">
      <w:pPr>
        <w:spacing w:line="360" w:lineRule="auto"/>
        <w:jc w:val="center"/>
        <w:rPr>
          <w:b/>
          <w:sz w:val="26"/>
          <w:szCs w:val="26"/>
          <w:lang w:val="lt-LT"/>
        </w:rPr>
      </w:pPr>
      <w:r w:rsidRPr="00C82075">
        <w:rPr>
          <w:b/>
          <w:sz w:val="26"/>
          <w:szCs w:val="26"/>
          <w:lang w:val="lt-LT"/>
        </w:rPr>
        <w:t xml:space="preserve">Vidaus kontrolės modelių struktūra ir </w:t>
      </w:r>
      <w:r w:rsidR="0023316F" w:rsidRPr="00C82075">
        <w:rPr>
          <w:b/>
          <w:sz w:val="26"/>
          <w:szCs w:val="26"/>
          <w:lang w:val="lt-LT"/>
        </w:rPr>
        <w:t xml:space="preserve">vidaus kontrolės </w:t>
      </w:r>
      <w:r w:rsidR="000C0481" w:rsidRPr="00C82075">
        <w:rPr>
          <w:b/>
          <w:sz w:val="26"/>
          <w:szCs w:val="26"/>
          <w:lang w:val="lt-LT"/>
        </w:rPr>
        <w:t xml:space="preserve">sistemos </w:t>
      </w:r>
      <w:r w:rsidRPr="00C82075">
        <w:rPr>
          <w:b/>
          <w:sz w:val="26"/>
          <w:szCs w:val="26"/>
          <w:lang w:val="lt-LT"/>
        </w:rPr>
        <w:t>tikslai</w:t>
      </w:r>
    </w:p>
    <w:tbl>
      <w:tblPr>
        <w:tblStyle w:val="TableGrid"/>
        <w:tblW w:w="0" w:type="auto"/>
        <w:jc w:val="center"/>
        <w:tblInd w:w="250" w:type="dxa"/>
        <w:tblLook w:val="04A0"/>
      </w:tblPr>
      <w:tblGrid>
        <w:gridCol w:w="2535"/>
        <w:gridCol w:w="2993"/>
        <w:gridCol w:w="2716"/>
      </w:tblGrid>
      <w:tr w:rsidR="00DA5863" w:rsidRPr="00C82075" w:rsidTr="00C60E01">
        <w:trPr>
          <w:jc w:val="center"/>
        </w:trPr>
        <w:tc>
          <w:tcPr>
            <w:tcW w:w="2535" w:type="dxa"/>
          </w:tcPr>
          <w:p w:rsidR="00DA5863" w:rsidRPr="00C82075" w:rsidRDefault="00DA5863" w:rsidP="002C56DD">
            <w:pPr>
              <w:jc w:val="center"/>
              <w:rPr>
                <w:b/>
                <w:sz w:val="22"/>
                <w:szCs w:val="22"/>
                <w:lang w:val="lt-LT"/>
              </w:rPr>
            </w:pPr>
            <w:r w:rsidRPr="00C82075">
              <w:rPr>
                <w:b/>
                <w:sz w:val="22"/>
                <w:szCs w:val="22"/>
                <w:lang w:val="lt-LT"/>
              </w:rPr>
              <w:t>Šaltinis</w:t>
            </w:r>
          </w:p>
        </w:tc>
        <w:tc>
          <w:tcPr>
            <w:tcW w:w="2993" w:type="dxa"/>
          </w:tcPr>
          <w:p w:rsidR="00DA5863" w:rsidRPr="00C82075" w:rsidRDefault="00DA5863" w:rsidP="002C56DD">
            <w:pPr>
              <w:jc w:val="center"/>
              <w:rPr>
                <w:b/>
                <w:sz w:val="22"/>
                <w:szCs w:val="22"/>
                <w:lang w:val="lt-LT"/>
              </w:rPr>
            </w:pPr>
            <w:r w:rsidRPr="00C82075">
              <w:rPr>
                <w:b/>
                <w:sz w:val="22"/>
                <w:szCs w:val="22"/>
                <w:lang w:val="lt-LT"/>
              </w:rPr>
              <w:t>Elementai</w:t>
            </w:r>
          </w:p>
        </w:tc>
        <w:tc>
          <w:tcPr>
            <w:tcW w:w="2716" w:type="dxa"/>
          </w:tcPr>
          <w:p w:rsidR="00DA5863" w:rsidRPr="00C82075" w:rsidRDefault="00DA5863" w:rsidP="00DA5863">
            <w:pPr>
              <w:jc w:val="center"/>
              <w:rPr>
                <w:b/>
                <w:sz w:val="22"/>
                <w:szCs w:val="22"/>
                <w:lang w:val="lt-LT"/>
              </w:rPr>
            </w:pPr>
            <w:r w:rsidRPr="00C82075">
              <w:rPr>
                <w:b/>
                <w:sz w:val="22"/>
                <w:szCs w:val="22"/>
                <w:lang w:val="lt-LT"/>
              </w:rPr>
              <w:t>Tikslai</w:t>
            </w:r>
          </w:p>
        </w:tc>
      </w:tr>
      <w:tr w:rsidR="00DA5863" w:rsidRPr="00C82075" w:rsidTr="00C60E01">
        <w:trPr>
          <w:jc w:val="center"/>
        </w:trPr>
        <w:tc>
          <w:tcPr>
            <w:tcW w:w="2535" w:type="dxa"/>
          </w:tcPr>
          <w:p w:rsidR="00DA5863" w:rsidRPr="00C82075" w:rsidRDefault="00DA5863" w:rsidP="002C56DD">
            <w:pPr>
              <w:rPr>
                <w:b/>
                <w:sz w:val="22"/>
                <w:szCs w:val="22"/>
                <w:lang w:val="lt-LT"/>
              </w:rPr>
            </w:pPr>
            <w:r w:rsidRPr="00C82075">
              <w:rPr>
                <w:b/>
                <w:sz w:val="22"/>
                <w:szCs w:val="22"/>
                <w:lang w:val="lt-LT"/>
              </w:rPr>
              <w:t xml:space="preserve">COSO modelis </w:t>
            </w:r>
            <w:r w:rsidRPr="00C82075">
              <w:rPr>
                <w:sz w:val="22"/>
                <w:szCs w:val="22"/>
                <w:lang w:val="lt-LT"/>
              </w:rPr>
              <w:t xml:space="preserve">(Treadway komisijos rėmėjų organizacijų komitetas, JAV, 1992) </w:t>
            </w:r>
          </w:p>
        </w:tc>
        <w:tc>
          <w:tcPr>
            <w:tcW w:w="2993" w:type="dxa"/>
          </w:tcPr>
          <w:p w:rsidR="00DA5863" w:rsidRPr="00C82075" w:rsidRDefault="00DA5863" w:rsidP="00AA2A9E">
            <w:pPr>
              <w:rPr>
                <w:sz w:val="22"/>
                <w:szCs w:val="22"/>
                <w:lang w:val="lt-LT"/>
              </w:rPr>
            </w:pPr>
            <w:r w:rsidRPr="00C82075">
              <w:rPr>
                <w:sz w:val="22"/>
                <w:szCs w:val="22"/>
                <w:lang w:val="lt-LT"/>
              </w:rPr>
              <w:t xml:space="preserve">1) kontrolės aplinka </w:t>
            </w:r>
          </w:p>
          <w:p w:rsidR="00DA5863" w:rsidRPr="00C82075" w:rsidRDefault="00DA5863" w:rsidP="00AA2A9E">
            <w:pPr>
              <w:rPr>
                <w:sz w:val="22"/>
                <w:szCs w:val="22"/>
                <w:lang w:val="lt-LT"/>
              </w:rPr>
            </w:pPr>
            <w:r w:rsidRPr="00C82075">
              <w:rPr>
                <w:sz w:val="22"/>
                <w:szCs w:val="22"/>
                <w:lang w:val="lt-LT"/>
              </w:rPr>
              <w:t>2) įmonės rizikos vertinimo procesas</w:t>
            </w:r>
          </w:p>
          <w:p w:rsidR="00DA5863" w:rsidRPr="00C82075" w:rsidRDefault="00DA5863" w:rsidP="00AA2A9E">
            <w:pPr>
              <w:rPr>
                <w:sz w:val="22"/>
                <w:szCs w:val="22"/>
                <w:lang w:val="lt-LT"/>
              </w:rPr>
            </w:pPr>
            <w:r w:rsidRPr="00C82075">
              <w:rPr>
                <w:sz w:val="22"/>
                <w:szCs w:val="22"/>
                <w:lang w:val="lt-LT"/>
              </w:rPr>
              <w:t>3) informacinė sistema ir informavimas</w:t>
            </w:r>
          </w:p>
          <w:p w:rsidR="00DA5863" w:rsidRPr="00C82075" w:rsidRDefault="00DA5863" w:rsidP="00AA2A9E">
            <w:pPr>
              <w:rPr>
                <w:sz w:val="22"/>
                <w:szCs w:val="22"/>
                <w:lang w:val="lt-LT"/>
              </w:rPr>
            </w:pPr>
            <w:r w:rsidRPr="00C82075">
              <w:rPr>
                <w:sz w:val="22"/>
                <w:szCs w:val="22"/>
                <w:lang w:val="lt-LT"/>
              </w:rPr>
              <w:t>4) kontrolės veiksmai</w:t>
            </w:r>
          </w:p>
          <w:p w:rsidR="00DA5863" w:rsidRPr="00C82075" w:rsidRDefault="00DA5863" w:rsidP="00AA2A9E">
            <w:pPr>
              <w:rPr>
                <w:b/>
                <w:sz w:val="22"/>
                <w:szCs w:val="22"/>
                <w:lang w:val="lt-LT"/>
              </w:rPr>
            </w:pPr>
            <w:r w:rsidRPr="00C82075">
              <w:rPr>
                <w:sz w:val="22"/>
                <w:szCs w:val="22"/>
                <w:lang w:val="lt-LT"/>
              </w:rPr>
              <w:t>5) kontrolės stebėsena</w:t>
            </w:r>
          </w:p>
        </w:tc>
        <w:tc>
          <w:tcPr>
            <w:tcW w:w="2716" w:type="dxa"/>
          </w:tcPr>
          <w:p w:rsidR="00DA5863" w:rsidRPr="00C82075" w:rsidRDefault="00DA5863" w:rsidP="00AA2A9E">
            <w:pPr>
              <w:rPr>
                <w:sz w:val="22"/>
                <w:szCs w:val="22"/>
                <w:lang w:val="lt-LT"/>
              </w:rPr>
            </w:pPr>
            <w:r w:rsidRPr="00C82075">
              <w:rPr>
                <w:sz w:val="22"/>
                <w:szCs w:val="22"/>
                <w:lang w:val="lt-LT"/>
              </w:rPr>
              <w:t xml:space="preserve">1) </w:t>
            </w:r>
            <w:r w:rsidR="00B66600" w:rsidRPr="00C82075">
              <w:rPr>
                <w:sz w:val="22"/>
                <w:szCs w:val="22"/>
                <w:lang w:val="lt-LT"/>
              </w:rPr>
              <w:t xml:space="preserve">patikimų </w:t>
            </w:r>
            <w:r w:rsidRPr="00C82075">
              <w:rPr>
                <w:sz w:val="22"/>
                <w:szCs w:val="22"/>
                <w:lang w:val="lt-LT"/>
              </w:rPr>
              <w:t>finansinių ataskaitų sudarym</w:t>
            </w:r>
            <w:r w:rsidR="00B66600" w:rsidRPr="00C82075">
              <w:rPr>
                <w:sz w:val="22"/>
                <w:szCs w:val="22"/>
                <w:lang w:val="lt-LT"/>
              </w:rPr>
              <w:t>as</w:t>
            </w:r>
          </w:p>
          <w:p w:rsidR="00DA5863" w:rsidRPr="00C82075" w:rsidRDefault="00DA5863" w:rsidP="00AA2A9E">
            <w:pPr>
              <w:rPr>
                <w:sz w:val="22"/>
                <w:szCs w:val="22"/>
                <w:lang w:val="lt-LT"/>
              </w:rPr>
            </w:pPr>
            <w:r w:rsidRPr="00C82075">
              <w:rPr>
                <w:sz w:val="22"/>
                <w:szCs w:val="22"/>
                <w:lang w:val="lt-LT"/>
              </w:rPr>
              <w:t>2) veiklos efektyvumas ir veiksmingumas</w:t>
            </w:r>
          </w:p>
          <w:p w:rsidR="00DA5863" w:rsidRPr="00C82075" w:rsidRDefault="00DA5863" w:rsidP="00AA2A9E">
            <w:pPr>
              <w:rPr>
                <w:sz w:val="22"/>
                <w:szCs w:val="22"/>
                <w:lang w:val="lt-LT"/>
              </w:rPr>
            </w:pPr>
            <w:r w:rsidRPr="00C82075">
              <w:rPr>
                <w:sz w:val="22"/>
                <w:szCs w:val="22"/>
                <w:lang w:val="lt-LT"/>
              </w:rPr>
              <w:t>3) įstatymų bei teisės aktų laikymasis</w:t>
            </w:r>
          </w:p>
        </w:tc>
      </w:tr>
      <w:tr w:rsidR="00DA5863" w:rsidRPr="00C82075" w:rsidTr="00C60E01">
        <w:trPr>
          <w:jc w:val="center"/>
        </w:trPr>
        <w:tc>
          <w:tcPr>
            <w:tcW w:w="2535" w:type="dxa"/>
          </w:tcPr>
          <w:p w:rsidR="00DA5863" w:rsidRPr="00C82075" w:rsidRDefault="00DA5863" w:rsidP="00DF72E0">
            <w:pPr>
              <w:jc w:val="both"/>
              <w:rPr>
                <w:sz w:val="22"/>
                <w:szCs w:val="22"/>
                <w:lang w:val="lt-LT"/>
              </w:rPr>
            </w:pPr>
            <w:r w:rsidRPr="00C82075">
              <w:rPr>
                <w:b/>
                <w:sz w:val="22"/>
                <w:szCs w:val="22"/>
                <w:lang w:val="lt-LT"/>
              </w:rPr>
              <w:t>CoCo modelis</w:t>
            </w:r>
            <w:r w:rsidRPr="00C82075">
              <w:rPr>
                <w:sz w:val="22"/>
                <w:szCs w:val="22"/>
                <w:lang w:val="lt-LT"/>
              </w:rPr>
              <w:t xml:space="preserve"> (Kanados privilegijuotų buhalterių institutas, Kanada; 1995)</w:t>
            </w:r>
          </w:p>
        </w:tc>
        <w:tc>
          <w:tcPr>
            <w:tcW w:w="2993" w:type="dxa"/>
          </w:tcPr>
          <w:p w:rsidR="00DA5863" w:rsidRPr="00C82075" w:rsidRDefault="00DA5863" w:rsidP="002C56DD">
            <w:pPr>
              <w:jc w:val="both"/>
              <w:rPr>
                <w:sz w:val="22"/>
                <w:szCs w:val="22"/>
                <w:lang w:val="lt-LT"/>
              </w:rPr>
            </w:pPr>
            <w:r w:rsidRPr="00C82075">
              <w:rPr>
                <w:sz w:val="22"/>
                <w:szCs w:val="22"/>
                <w:lang w:val="lt-LT"/>
              </w:rPr>
              <w:t>1) įmonės ištekliai</w:t>
            </w:r>
          </w:p>
          <w:p w:rsidR="00DA5863" w:rsidRPr="00C82075" w:rsidRDefault="00DA5863" w:rsidP="002C56DD">
            <w:pPr>
              <w:jc w:val="both"/>
              <w:rPr>
                <w:sz w:val="22"/>
                <w:szCs w:val="22"/>
                <w:lang w:val="lt-LT"/>
              </w:rPr>
            </w:pPr>
            <w:r w:rsidRPr="00C82075">
              <w:rPr>
                <w:sz w:val="22"/>
                <w:szCs w:val="22"/>
                <w:lang w:val="lt-LT"/>
              </w:rPr>
              <w:t>2) sistemos</w:t>
            </w:r>
          </w:p>
          <w:p w:rsidR="00DA5863" w:rsidRPr="00C82075" w:rsidRDefault="00DA5863" w:rsidP="002C56DD">
            <w:pPr>
              <w:jc w:val="both"/>
              <w:rPr>
                <w:sz w:val="22"/>
                <w:szCs w:val="22"/>
                <w:lang w:val="lt-LT"/>
              </w:rPr>
            </w:pPr>
            <w:r w:rsidRPr="00C82075">
              <w:rPr>
                <w:sz w:val="22"/>
                <w:szCs w:val="22"/>
                <w:lang w:val="lt-LT"/>
              </w:rPr>
              <w:t>3) procesai</w:t>
            </w:r>
          </w:p>
          <w:p w:rsidR="00DA5863" w:rsidRPr="00C82075" w:rsidRDefault="00DA5863" w:rsidP="002C56DD">
            <w:pPr>
              <w:jc w:val="both"/>
              <w:rPr>
                <w:sz w:val="22"/>
                <w:szCs w:val="22"/>
                <w:lang w:val="lt-LT"/>
              </w:rPr>
            </w:pPr>
            <w:r w:rsidRPr="00C82075">
              <w:rPr>
                <w:sz w:val="22"/>
                <w:szCs w:val="22"/>
                <w:lang w:val="lt-LT"/>
              </w:rPr>
              <w:t>4) kultūra</w:t>
            </w:r>
          </w:p>
          <w:p w:rsidR="00DA5863" w:rsidRPr="00C82075" w:rsidRDefault="00DA5863" w:rsidP="002C56DD">
            <w:pPr>
              <w:jc w:val="both"/>
              <w:rPr>
                <w:sz w:val="22"/>
                <w:szCs w:val="22"/>
                <w:lang w:val="lt-LT"/>
              </w:rPr>
            </w:pPr>
            <w:r w:rsidRPr="00C82075">
              <w:rPr>
                <w:sz w:val="22"/>
                <w:szCs w:val="22"/>
                <w:lang w:val="lt-LT"/>
              </w:rPr>
              <w:t>5) struktūros</w:t>
            </w:r>
          </w:p>
          <w:p w:rsidR="00DA5863" w:rsidRPr="00C82075" w:rsidRDefault="00DA5863" w:rsidP="002C56DD">
            <w:pPr>
              <w:jc w:val="both"/>
              <w:rPr>
                <w:sz w:val="22"/>
                <w:szCs w:val="22"/>
                <w:lang w:val="lt-LT"/>
              </w:rPr>
            </w:pPr>
            <w:r w:rsidRPr="00C82075">
              <w:rPr>
                <w:sz w:val="22"/>
                <w:szCs w:val="22"/>
                <w:lang w:val="lt-LT"/>
              </w:rPr>
              <w:t xml:space="preserve">6) užduotys </w:t>
            </w:r>
          </w:p>
        </w:tc>
        <w:tc>
          <w:tcPr>
            <w:tcW w:w="2716" w:type="dxa"/>
          </w:tcPr>
          <w:p w:rsidR="00DA5863" w:rsidRPr="00C82075" w:rsidRDefault="00DA5863" w:rsidP="002C56DD">
            <w:pPr>
              <w:autoSpaceDE w:val="0"/>
              <w:autoSpaceDN w:val="0"/>
              <w:adjustRightInd w:val="0"/>
              <w:rPr>
                <w:sz w:val="22"/>
                <w:szCs w:val="22"/>
                <w:lang w:val="lt-LT"/>
              </w:rPr>
            </w:pPr>
            <w:r w:rsidRPr="00C82075">
              <w:rPr>
                <w:sz w:val="22"/>
                <w:szCs w:val="22"/>
                <w:lang w:val="lt-LT"/>
              </w:rPr>
              <w:t xml:space="preserve">1) </w:t>
            </w:r>
            <w:r w:rsidR="000F4687" w:rsidRPr="00C82075">
              <w:rPr>
                <w:sz w:val="22"/>
                <w:szCs w:val="22"/>
                <w:lang w:val="lt-LT"/>
              </w:rPr>
              <w:t xml:space="preserve">sėkminga </w:t>
            </w:r>
            <w:r w:rsidRPr="00C82075">
              <w:rPr>
                <w:sz w:val="22"/>
                <w:szCs w:val="22"/>
                <w:lang w:val="lt-LT"/>
              </w:rPr>
              <w:t>v</w:t>
            </w:r>
            <w:r w:rsidR="000F4687" w:rsidRPr="00C82075">
              <w:rPr>
                <w:sz w:val="22"/>
                <w:szCs w:val="22"/>
                <w:lang w:val="lt-LT"/>
              </w:rPr>
              <w:t>eikla</w:t>
            </w:r>
          </w:p>
          <w:p w:rsidR="00DA5863" w:rsidRPr="00C82075" w:rsidRDefault="00DA5863" w:rsidP="002C56DD">
            <w:pPr>
              <w:autoSpaceDE w:val="0"/>
              <w:autoSpaceDN w:val="0"/>
              <w:adjustRightInd w:val="0"/>
              <w:rPr>
                <w:sz w:val="22"/>
                <w:szCs w:val="22"/>
                <w:lang w:val="lt-LT"/>
              </w:rPr>
            </w:pPr>
            <w:r w:rsidRPr="00C82075">
              <w:rPr>
                <w:sz w:val="22"/>
                <w:szCs w:val="22"/>
                <w:lang w:val="lt-LT"/>
              </w:rPr>
              <w:t>2) patikim</w:t>
            </w:r>
            <w:r w:rsidR="000F4687" w:rsidRPr="00C82075">
              <w:rPr>
                <w:sz w:val="22"/>
                <w:szCs w:val="22"/>
                <w:lang w:val="lt-LT"/>
              </w:rPr>
              <w:t>ų finansinių ataskaitų sudarymas</w:t>
            </w:r>
          </w:p>
          <w:p w:rsidR="00DA5863" w:rsidRPr="00C82075" w:rsidRDefault="00DA5863" w:rsidP="002C56DD">
            <w:pPr>
              <w:autoSpaceDE w:val="0"/>
              <w:autoSpaceDN w:val="0"/>
              <w:adjustRightInd w:val="0"/>
              <w:rPr>
                <w:sz w:val="22"/>
                <w:szCs w:val="22"/>
                <w:lang w:val="lt-LT"/>
              </w:rPr>
            </w:pPr>
            <w:r w:rsidRPr="00C82075">
              <w:rPr>
                <w:sz w:val="22"/>
                <w:szCs w:val="22"/>
                <w:lang w:val="lt-LT"/>
              </w:rPr>
              <w:t>3) įstatymų laikym</w:t>
            </w:r>
            <w:r w:rsidR="000F4687" w:rsidRPr="00C82075">
              <w:rPr>
                <w:sz w:val="22"/>
                <w:szCs w:val="22"/>
                <w:lang w:val="lt-LT"/>
              </w:rPr>
              <w:t>asis</w:t>
            </w:r>
          </w:p>
        </w:tc>
      </w:tr>
      <w:tr w:rsidR="00DA5863" w:rsidRPr="00C82075" w:rsidTr="00C60E01">
        <w:trPr>
          <w:jc w:val="center"/>
        </w:trPr>
        <w:tc>
          <w:tcPr>
            <w:tcW w:w="2535" w:type="dxa"/>
          </w:tcPr>
          <w:p w:rsidR="00DA5863" w:rsidRPr="00C82075" w:rsidRDefault="00DA5863" w:rsidP="002C56DD">
            <w:pPr>
              <w:jc w:val="both"/>
              <w:rPr>
                <w:b/>
                <w:sz w:val="22"/>
                <w:szCs w:val="22"/>
                <w:lang w:val="lt-LT"/>
              </w:rPr>
            </w:pPr>
            <w:r w:rsidRPr="00C82075">
              <w:rPr>
                <w:b/>
                <w:sz w:val="22"/>
                <w:szCs w:val="22"/>
                <w:lang w:val="lt-LT"/>
              </w:rPr>
              <w:t xml:space="preserve">Turnbull modelis </w:t>
            </w:r>
          </w:p>
          <w:p w:rsidR="00DA5863" w:rsidRPr="00C82075" w:rsidRDefault="00DA5863" w:rsidP="00DF72E0">
            <w:pPr>
              <w:rPr>
                <w:sz w:val="22"/>
                <w:szCs w:val="22"/>
                <w:lang w:val="lt-LT"/>
              </w:rPr>
            </w:pPr>
            <w:r w:rsidRPr="00C82075">
              <w:rPr>
                <w:sz w:val="22"/>
                <w:szCs w:val="22"/>
                <w:lang w:val="lt-LT"/>
              </w:rPr>
              <w:t>(Anglijos ir Velso privilegijuotų buhalterių institutas, Jungtinė Karalystė; 1999; Finansinės atskaitomybės taryba, Jungtinė Karalystė, 2005)</w:t>
            </w:r>
          </w:p>
        </w:tc>
        <w:tc>
          <w:tcPr>
            <w:tcW w:w="2993" w:type="dxa"/>
          </w:tcPr>
          <w:p w:rsidR="00DA5863" w:rsidRPr="00C82075" w:rsidRDefault="00DA5863" w:rsidP="00AA2A9E">
            <w:pPr>
              <w:rPr>
                <w:sz w:val="22"/>
                <w:szCs w:val="22"/>
                <w:lang w:val="lt-LT"/>
              </w:rPr>
            </w:pPr>
            <w:r w:rsidRPr="00C82075">
              <w:rPr>
                <w:sz w:val="22"/>
                <w:szCs w:val="22"/>
                <w:lang w:val="lt-LT"/>
              </w:rPr>
              <w:t>1) rizikos vertinimas</w:t>
            </w:r>
          </w:p>
          <w:p w:rsidR="00DA5863" w:rsidRPr="00C82075" w:rsidRDefault="00DA5863" w:rsidP="00AA2A9E">
            <w:pPr>
              <w:rPr>
                <w:sz w:val="22"/>
                <w:szCs w:val="22"/>
                <w:lang w:val="lt-LT"/>
              </w:rPr>
            </w:pPr>
            <w:r w:rsidRPr="00C82075">
              <w:rPr>
                <w:sz w:val="22"/>
                <w:szCs w:val="22"/>
                <w:lang w:val="lt-LT"/>
              </w:rPr>
              <w:t>2) kontrolės aplinka ir veiksmai</w:t>
            </w:r>
          </w:p>
          <w:p w:rsidR="00DA5863" w:rsidRPr="00C82075" w:rsidRDefault="00DA5863" w:rsidP="00AA2A9E">
            <w:pPr>
              <w:rPr>
                <w:sz w:val="22"/>
                <w:szCs w:val="22"/>
                <w:lang w:val="lt-LT"/>
              </w:rPr>
            </w:pPr>
            <w:r w:rsidRPr="00C82075">
              <w:rPr>
                <w:sz w:val="22"/>
                <w:szCs w:val="22"/>
                <w:lang w:val="lt-LT"/>
              </w:rPr>
              <w:t>3) informacija ir komunikavimas</w:t>
            </w:r>
          </w:p>
          <w:p w:rsidR="00DA5863" w:rsidRPr="00C82075" w:rsidRDefault="00DA5863" w:rsidP="00AA2A9E">
            <w:pPr>
              <w:rPr>
                <w:sz w:val="22"/>
                <w:szCs w:val="22"/>
                <w:lang w:val="lt-LT"/>
              </w:rPr>
            </w:pPr>
            <w:r w:rsidRPr="00C82075">
              <w:rPr>
                <w:sz w:val="22"/>
                <w:szCs w:val="22"/>
                <w:lang w:val="lt-LT"/>
              </w:rPr>
              <w:t>4) stebėsena</w:t>
            </w:r>
          </w:p>
        </w:tc>
        <w:tc>
          <w:tcPr>
            <w:tcW w:w="2716" w:type="dxa"/>
          </w:tcPr>
          <w:p w:rsidR="00DA5863" w:rsidRPr="00C82075" w:rsidRDefault="00DA5863" w:rsidP="00AA2A9E">
            <w:pPr>
              <w:rPr>
                <w:sz w:val="22"/>
                <w:szCs w:val="22"/>
                <w:lang w:val="lt-LT"/>
              </w:rPr>
            </w:pPr>
            <w:r w:rsidRPr="00C82075">
              <w:rPr>
                <w:sz w:val="22"/>
                <w:szCs w:val="22"/>
                <w:lang w:val="lt-LT"/>
              </w:rPr>
              <w:t>1) veiklos efektyvumas ir veiksmingumas</w:t>
            </w:r>
          </w:p>
          <w:p w:rsidR="00DA5863" w:rsidRPr="00C82075" w:rsidRDefault="00DA5863" w:rsidP="00AA2A9E">
            <w:pPr>
              <w:rPr>
                <w:sz w:val="22"/>
                <w:szCs w:val="22"/>
                <w:lang w:val="lt-LT"/>
              </w:rPr>
            </w:pPr>
            <w:r w:rsidRPr="00C82075">
              <w:rPr>
                <w:sz w:val="22"/>
                <w:szCs w:val="22"/>
                <w:lang w:val="lt-LT"/>
              </w:rPr>
              <w:t>2) kokybiškas vid</w:t>
            </w:r>
            <w:r w:rsidR="00454D79">
              <w:rPr>
                <w:sz w:val="22"/>
                <w:szCs w:val="22"/>
                <w:lang w:val="lt-LT"/>
              </w:rPr>
              <w:t>aus</w:t>
            </w:r>
            <w:r w:rsidRPr="00C82075">
              <w:rPr>
                <w:sz w:val="22"/>
                <w:szCs w:val="22"/>
                <w:lang w:val="lt-LT"/>
              </w:rPr>
              <w:t xml:space="preserve"> ir išor</w:t>
            </w:r>
            <w:r w:rsidR="00454D79">
              <w:rPr>
                <w:sz w:val="22"/>
                <w:szCs w:val="22"/>
                <w:lang w:val="lt-LT"/>
              </w:rPr>
              <w:t>ės</w:t>
            </w:r>
            <w:r w:rsidRPr="00C82075">
              <w:rPr>
                <w:sz w:val="22"/>
                <w:szCs w:val="22"/>
                <w:lang w:val="lt-LT"/>
              </w:rPr>
              <w:t xml:space="preserve"> ataskaitų </w:t>
            </w:r>
            <w:r w:rsidR="006A54D2" w:rsidRPr="00C82075">
              <w:rPr>
                <w:sz w:val="22"/>
                <w:szCs w:val="22"/>
                <w:lang w:val="lt-LT"/>
              </w:rPr>
              <w:t>sudarym</w:t>
            </w:r>
            <w:r w:rsidRPr="00C82075">
              <w:rPr>
                <w:sz w:val="22"/>
                <w:szCs w:val="22"/>
                <w:lang w:val="lt-LT"/>
              </w:rPr>
              <w:t>as</w:t>
            </w:r>
          </w:p>
          <w:p w:rsidR="00DA5863" w:rsidRPr="00C82075" w:rsidRDefault="00DA5863" w:rsidP="00AA2A9E">
            <w:pPr>
              <w:rPr>
                <w:sz w:val="22"/>
                <w:szCs w:val="22"/>
                <w:lang w:val="lt-LT"/>
              </w:rPr>
            </w:pPr>
            <w:r w:rsidRPr="00C82075">
              <w:rPr>
                <w:sz w:val="22"/>
                <w:szCs w:val="22"/>
                <w:lang w:val="lt-LT"/>
              </w:rPr>
              <w:t>3) įstatymų bei teisės aktų, taip pat vidaus politikos laikymasis</w:t>
            </w:r>
          </w:p>
        </w:tc>
      </w:tr>
      <w:tr w:rsidR="00DA5863" w:rsidRPr="00C82075" w:rsidTr="00C60E01">
        <w:trPr>
          <w:jc w:val="center"/>
        </w:trPr>
        <w:tc>
          <w:tcPr>
            <w:tcW w:w="2535" w:type="dxa"/>
          </w:tcPr>
          <w:p w:rsidR="00DA5863" w:rsidRPr="00C82075" w:rsidRDefault="00DA5863" w:rsidP="009F431F">
            <w:pPr>
              <w:jc w:val="both"/>
              <w:rPr>
                <w:sz w:val="22"/>
                <w:szCs w:val="22"/>
                <w:lang w:val="lt-LT"/>
              </w:rPr>
            </w:pPr>
            <w:r w:rsidRPr="00C82075">
              <w:rPr>
                <w:b/>
                <w:sz w:val="22"/>
                <w:szCs w:val="22"/>
                <w:lang w:val="lt-LT"/>
              </w:rPr>
              <w:t xml:space="preserve">COSO </w:t>
            </w:r>
            <w:r w:rsidR="009F431F" w:rsidRPr="00C82075">
              <w:rPr>
                <w:b/>
                <w:sz w:val="22"/>
                <w:szCs w:val="22"/>
                <w:lang w:val="lt-LT"/>
              </w:rPr>
              <w:t>ERM</w:t>
            </w:r>
            <w:r w:rsidRPr="00C82075">
              <w:rPr>
                <w:sz w:val="22"/>
                <w:szCs w:val="22"/>
                <w:lang w:val="lt-LT"/>
              </w:rPr>
              <w:t xml:space="preserve"> (Treadway komisijos rėmėjų organizacijų komitetas, JAV; 2004)</w:t>
            </w:r>
          </w:p>
        </w:tc>
        <w:tc>
          <w:tcPr>
            <w:tcW w:w="2993" w:type="dxa"/>
          </w:tcPr>
          <w:p w:rsidR="00DA5863" w:rsidRPr="00C82075" w:rsidRDefault="00DA5863" w:rsidP="00AA2A9E">
            <w:pPr>
              <w:rPr>
                <w:sz w:val="22"/>
                <w:szCs w:val="22"/>
                <w:lang w:val="lt-LT"/>
              </w:rPr>
            </w:pPr>
            <w:r w:rsidRPr="00C82075">
              <w:rPr>
                <w:sz w:val="22"/>
                <w:szCs w:val="22"/>
                <w:lang w:val="lt-LT"/>
              </w:rPr>
              <w:t xml:space="preserve">1) vidaus aplinka </w:t>
            </w:r>
          </w:p>
          <w:p w:rsidR="00DA5863" w:rsidRPr="00C82075" w:rsidRDefault="00DA5863" w:rsidP="00AA2A9E">
            <w:pPr>
              <w:rPr>
                <w:sz w:val="22"/>
                <w:szCs w:val="22"/>
                <w:lang w:val="lt-LT"/>
              </w:rPr>
            </w:pPr>
            <w:r w:rsidRPr="00C82075">
              <w:rPr>
                <w:sz w:val="22"/>
                <w:szCs w:val="22"/>
                <w:lang w:val="lt-LT"/>
              </w:rPr>
              <w:t>2) tikslų nustatymas</w:t>
            </w:r>
          </w:p>
          <w:p w:rsidR="00DA5863" w:rsidRPr="00C82075" w:rsidRDefault="00DA5863" w:rsidP="00AA2A9E">
            <w:pPr>
              <w:rPr>
                <w:sz w:val="22"/>
                <w:szCs w:val="22"/>
                <w:lang w:val="lt-LT"/>
              </w:rPr>
            </w:pPr>
            <w:r w:rsidRPr="00C82075">
              <w:rPr>
                <w:sz w:val="22"/>
                <w:szCs w:val="22"/>
                <w:lang w:val="lt-LT"/>
              </w:rPr>
              <w:t>3) įvykio identifikavimas</w:t>
            </w:r>
          </w:p>
          <w:p w:rsidR="00DA5863" w:rsidRPr="00C82075" w:rsidRDefault="00DA5863" w:rsidP="00AA2A9E">
            <w:pPr>
              <w:rPr>
                <w:sz w:val="22"/>
                <w:szCs w:val="22"/>
                <w:lang w:val="lt-LT"/>
              </w:rPr>
            </w:pPr>
            <w:r w:rsidRPr="00C82075">
              <w:rPr>
                <w:sz w:val="22"/>
                <w:szCs w:val="22"/>
                <w:lang w:val="lt-LT"/>
              </w:rPr>
              <w:t>4) rizikos vertinimas</w:t>
            </w:r>
          </w:p>
          <w:p w:rsidR="00DA5863" w:rsidRPr="00C82075" w:rsidRDefault="00DA5863" w:rsidP="00AA2A9E">
            <w:pPr>
              <w:rPr>
                <w:sz w:val="22"/>
                <w:szCs w:val="22"/>
                <w:lang w:val="lt-LT"/>
              </w:rPr>
            </w:pPr>
            <w:r w:rsidRPr="00C82075">
              <w:rPr>
                <w:sz w:val="22"/>
                <w:szCs w:val="22"/>
                <w:lang w:val="lt-LT"/>
              </w:rPr>
              <w:t>5) atsakas į riziką</w:t>
            </w:r>
          </w:p>
          <w:p w:rsidR="00866C7C" w:rsidRPr="00C82075" w:rsidRDefault="00866C7C" w:rsidP="00AA2A9E">
            <w:pPr>
              <w:rPr>
                <w:sz w:val="22"/>
                <w:szCs w:val="22"/>
                <w:lang w:val="lt-LT"/>
              </w:rPr>
            </w:pPr>
            <w:r w:rsidRPr="00C82075">
              <w:rPr>
                <w:sz w:val="22"/>
                <w:szCs w:val="22"/>
                <w:lang w:val="lt-LT"/>
              </w:rPr>
              <w:t>6) kontrolės veiksmai</w:t>
            </w:r>
          </w:p>
          <w:p w:rsidR="00DA5863" w:rsidRPr="00C82075" w:rsidRDefault="00866C7C" w:rsidP="00AA2A9E">
            <w:pPr>
              <w:rPr>
                <w:sz w:val="22"/>
                <w:szCs w:val="22"/>
                <w:lang w:val="lt-LT"/>
              </w:rPr>
            </w:pPr>
            <w:r w:rsidRPr="00C82075">
              <w:rPr>
                <w:sz w:val="22"/>
                <w:szCs w:val="22"/>
                <w:lang w:val="lt-LT"/>
              </w:rPr>
              <w:t>7</w:t>
            </w:r>
            <w:r w:rsidR="00DA5863" w:rsidRPr="00C82075">
              <w:rPr>
                <w:sz w:val="22"/>
                <w:szCs w:val="22"/>
                <w:lang w:val="lt-LT"/>
              </w:rPr>
              <w:t>) informacija ir informavimas</w:t>
            </w:r>
          </w:p>
          <w:p w:rsidR="00DA5863" w:rsidRPr="00C82075" w:rsidRDefault="00866C7C" w:rsidP="00AA2A9E">
            <w:pPr>
              <w:rPr>
                <w:sz w:val="22"/>
                <w:szCs w:val="22"/>
                <w:lang w:val="lt-LT"/>
              </w:rPr>
            </w:pPr>
            <w:r w:rsidRPr="00C82075">
              <w:rPr>
                <w:sz w:val="22"/>
                <w:szCs w:val="22"/>
                <w:lang w:val="lt-LT"/>
              </w:rPr>
              <w:t>8</w:t>
            </w:r>
            <w:r w:rsidR="00DA5863" w:rsidRPr="00C82075">
              <w:rPr>
                <w:sz w:val="22"/>
                <w:szCs w:val="22"/>
                <w:lang w:val="lt-LT"/>
              </w:rPr>
              <w:t>) stebėsena</w:t>
            </w:r>
          </w:p>
        </w:tc>
        <w:tc>
          <w:tcPr>
            <w:tcW w:w="2716" w:type="dxa"/>
          </w:tcPr>
          <w:p w:rsidR="009F431F" w:rsidRPr="00C82075" w:rsidRDefault="00DA5863" w:rsidP="00AA2A9E">
            <w:pPr>
              <w:rPr>
                <w:sz w:val="22"/>
                <w:szCs w:val="22"/>
                <w:lang w:val="lt-LT"/>
              </w:rPr>
            </w:pPr>
            <w:r w:rsidRPr="00C82075">
              <w:rPr>
                <w:sz w:val="22"/>
                <w:szCs w:val="22"/>
                <w:lang w:val="lt-LT"/>
              </w:rPr>
              <w:t xml:space="preserve">1) </w:t>
            </w:r>
            <w:r w:rsidR="009F431F" w:rsidRPr="00C82075">
              <w:rPr>
                <w:sz w:val="22"/>
                <w:szCs w:val="22"/>
                <w:lang w:val="lt-LT"/>
              </w:rPr>
              <w:t xml:space="preserve">veiklos efektyvumas ir veiksmingumas (strateginiai, operaciniai), </w:t>
            </w:r>
          </w:p>
          <w:p w:rsidR="009F431F" w:rsidRPr="00C82075" w:rsidRDefault="009F431F" w:rsidP="00AA2A9E">
            <w:pPr>
              <w:rPr>
                <w:sz w:val="22"/>
                <w:szCs w:val="22"/>
                <w:lang w:val="lt-LT"/>
              </w:rPr>
            </w:pPr>
            <w:r w:rsidRPr="00C82075">
              <w:rPr>
                <w:sz w:val="22"/>
                <w:szCs w:val="22"/>
                <w:lang w:val="lt-LT"/>
              </w:rPr>
              <w:t xml:space="preserve">2) patikimų finansinių ataskaitų sudarymas (informaciniai), </w:t>
            </w:r>
          </w:p>
          <w:p w:rsidR="00DA5863" w:rsidRPr="00C82075" w:rsidRDefault="009F431F" w:rsidP="00AA2A9E">
            <w:pPr>
              <w:rPr>
                <w:sz w:val="22"/>
                <w:szCs w:val="22"/>
                <w:lang w:val="lt-LT"/>
              </w:rPr>
            </w:pPr>
            <w:r w:rsidRPr="00C82075">
              <w:rPr>
                <w:sz w:val="22"/>
                <w:szCs w:val="22"/>
                <w:lang w:val="lt-LT"/>
              </w:rPr>
              <w:t>3) įstatymų bei teisės aktų laikymasis</w:t>
            </w:r>
            <w:r w:rsidR="00AA2A9E">
              <w:rPr>
                <w:sz w:val="22"/>
                <w:szCs w:val="22"/>
                <w:lang w:val="lt-LT"/>
              </w:rPr>
              <w:t xml:space="preserve"> </w:t>
            </w:r>
            <w:r w:rsidRPr="00C82075">
              <w:rPr>
                <w:sz w:val="22"/>
                <w:szCs w:val="22"/>
                <w:lang w:val="lt-LT"/>
              </w:rPr>
              <w:t>(</w:t>
            </w:r>
            <w:r w:rsidR="00DA5863" w:rsidRPr="00C82075">
              <w:rPr>
                <w:sz w:val="22"/>
                <w:szCs w:val="22"/>
                <w:lang w:val="lt-LT"/>
              </w:rPr>
              <w:t>laikymosi</w:t>
            </w:r>
            <w:r w:rsidRPr="00C82075">
              <w:rPr>
                <w:sz w:val="22"/>
                <w:szCs w:val="22"/>
                <w:lang w:val="lt-LT"/>
              </w:rPr>
              <w:t>)</w:t>
            </w:r>
          </w:p>
        </w:tc>
      </w:tr>
    </w:tbl>
    <w:p w:rsidR="00DA5863" w:rsidRPr="00FE380C" w:rsidRDefault="00BB1BD9" w:rsidP="00BB1BD9">
      <w:pPr>
        <w:spacing w:line="360" w:lineRule="auto"/>
        <w:jc w:val="both"/>
        <w:rPr>
          <w:lang w:val="lt-LT"/>
        </w:rPr>
      </w:pPr>
      <w:r w:rsidRPr="00FE380C">
        <w:rPr>
          <w:lang w:val="lt-LT"/>
        </w:rPr>
        <w:t>Šaltinis: sudaryta autorės.</w:t>
      </w:r>
    </w:p>
    <w:p w:rsidR="00B739D4" w:rsidRPr="00C82075" w:rsidRDefault="00AC59C3" w:rsidP="00A36BDA">
      <w:pPr>
        <w:spacing w:before="120" w:line="360" w:lineRule="auto"/>
        <w:ind w:firstLine="720"/>
        <w:jc w:val="both"/>
        <w:rPr>
          <w:sz w:val="26"/>
          <w:szCs w:val="26"/>
          <w:lang w:val="lt-LT"/>
        </w:rPr>
      </w:pPr>
      <w:r>
        <w:rPr>
          <w:sz w:val="26"/>
          <w:szCs w:val="26"/>
          <w:lang w:val="lt-LT"/>
        </w:rPr>
        <w:t>V</w:t>
      </w:r>
      <w:r w:rsidR="004C67D2" w:rsidRPr="00C82075">
        <w:rPr>
          <w:sz w:val="26"/>
          <w:szCs w:val="26"/>
          <w:lang w:val="lt-LT"/>
        </w:rPr>
        <w:t>idaus kontrolės modeliai (COSO (1992), Turnbull (1999, 2005), CoCo (1995)</w:t>
      </w:r>
      <w:bookmarkStart w:id="19" w:name="OLE_LINK1"/>
      <w:bookmarkStart w:id="20" w:name="OLE_LINK2"/>
      <w:r w:rsidR="004C67D2" w:rsidRPr="00C82075">
        <w:rPr>
          <w:sz w:val="26"/>
          <w:szCs w:val="26"/>
          <w:lang w:val="lt-LT"/>
        </w:rPr>
        <w:t>, COSO ERM</w:t>
      </w:r>
      <w:bookmarkEnd w:id="19"/>
      <w:bookmarkEnd w:id="20"/>
      <w:r w:rsidR="004C67D2" w:rsidRPr="00C82075">
        <w:rPr>
          <w:sz w:val="26"/>
          <w:szCs w:val="26"/>
          <w:lang w:val="lt-LT"/>
        </w:rPr>
        <w:t xml:space="preserve"> (2004)) skelbia platesnį požiūrį į vidaus kontrolę, </w:t>
      </w:r>
      <w:r w:rsidR="004C67D2" w:rsidRPr="00C82075">
        <w:rPr>
          <w:sz w:val="26"/>
          <w:szCs w:val="26"/>
          <w:lang w:val="lt-LT"/>
        </w:rPr>
        <w:lastRenderedPageBreak/>
        <w:t>kreip</w:t>
      </w:r>
      <w:r w:rsidR="006D71E3" w:rsidRPr="00C82075">
        <w:rPr>
          <w:sz w:val="26"/>
          <w:szCs w:val="26"/>
          <w:lang w:val="lt-LT"/>
        </w:rPr>
        <w:t xml:space="preserve">dami </w:t>
      </w:r>
      <w:r w:rsidR="004C67D2" w:rsidRPr="00C82075">
        <w:rPr>
          <w:sz w:val="26"/>
          <w:szCs w:val="26"/>
          <w:lang w:val="lt-LT"/>
        </w:rPr>
        <w:t xml:space="preserve">dėmesį į kontrolės procedūras, taikomas visai įmonės veiklai. Tačiau </w:t>
      </w:r>
      <w:r w:rsidR="004F16FC" w:rsidRPr="00C82075">
        <w:rPr>
          <w:i/>
          <w:sz w:val="26"/>
          <w:szCs w:val="26"/>
          <w:lang w:val="lt-LT"/>
        </w:rPr>
        <w:t>a</w:t>
      </w:r>
      <w:r w:rsidR="00A1682E" w:rsidRPr="00C82075">
        <w:rPr>
          <w:i/>
          <w:sz w:val="26"/>
          <w:szCs w:val="26"/>
          <w:lang w:val="lt-LT"/>
        </w:rPr>
        <w:t>uditui svarbi</w:t>
      </w:r>
      <w:r w:rsidR="007A0AC7" w:rsidRPr="00C82075">
        <w:rPr>
          <w:i/>
          <w:sz w:val="26"/>
          <w:szCs w:val="26"/>
          <w:lang w:val="lt-LT"/>
        </w:rPr>
        <w:t xml:space="preserve">os </w:t>
      </w:r>
      <w:r w:rsidR="00A1682E" w:rsidRPr="00C82075">
        <w:rPr>
          <w:i/>
          <w:sz w:val="26"/>
          <w:szCs w:val="26"/>
          <w:lang w:val="lt-LT"/>
        </w:rPr>
        <w:t>kontrolės procedūros yra susijusios su vadovybės uždaviniu išor</w:t>
      </w:r>
      <w:r w:rsidR="008E4A5A">
        <w:rPr>
          <w:i/>
          <w:sz w:val="26"/>
          <w:szCs w:val="26"/>
          <w:lang w:val="lt-LT"/>
        </w:rPr>
        <w:t>ės</w:t>
      </w:r>
      <w:r w:rsidR="00A1682E" w:rsidRPr="00C82075">
        <w:rPr>
          <w:i/>
          <w:sz w:val="26"/>
          <w:szCs w:val="26"/>
          <w:lang w:val="lt-LT"/>
        </w:rPr>
        <w:t xml:space="preserve"> naudojimui sudaryti </w:t>
      </w:r>
      <w:r w:rsidR="004F16FC" w:rsidRPr="00C82075">
        <w:rPr>
          <w:i/>
          <w:sz w:val="26"/>
          <w:szCs w:val="26"/>
          <w:lang w:val="lt-LT"/>
        </w:rPr>
        <w:t xml:space="preserve">patikimas </w:t>
      </w:r>
      <w:r w:rsidR="00A1682E" w:rsidRPr="00C82075">
        <w:rPr>
          <w:i/>
          <w:sz w:val="26"/>
          <w:szCs w:val="26"/>
          <w:lang w:val="lt-LT"/>
        </w:rPr>
        <w:t>finansines ataskaitas</w:t>
      </w:r>
      <w:r w:rsidR="00A1682E" w:rsidRPr="00C82075">
        <w:rPr>
          <w:sz w:val="26"/>
          <w:szCs w:val="26"/>
          <w:lang w:val="lt-LT"/>
        </w:rPr>
        <w:t xml:space="preserve">, taip pat su </w:t>
      </w:r>
      <w:r w:rsidR="00A1682E" w:rsidRPr="00C82075">
        <w:rPr>
          <w:i/>
          <w:sz w:val="26"/>
          <w:szCs w:val="26"/>
          <w:lang w:val="lt-LT"/>
        </w:rPr>
        <w:t>rizikos, dėl kurios finansinėse ataskaitose gali atsirasti reikšmingas iškraipymas, valdymu</w:t>
      </w:r>
      <w:r w:rsidR="00A1682E" w:rsidRPr="00C82075">
        <w:rPr>
          <w:sz w:val="26"/>
          <w:szCs w:val="26"/>
          <w:lang w:val="lt-LT"/>
        </w:rPr>
        <w:t xml:space="preserve"> (315 TSA, 2006, p. 452).</w:t>
      </w:r>
      <w:r w:rsidR="00A1682E" w:rsidRPr="00C82075">
        <w:rPr>
          <w:i/>
          <w:sz w:val="26"/>
          <w:szCs w:val="26"/>
          <w:lang w:val="lt-LT"/>
        </w:rPr>
        <w:t xml:space="preserve"> </w:t>
      </w:r>
      <w:r w:rsidR="00A1682E" w:rsidRPr="00C82075">
        <w:rPr>
          <w:sz w:val="26"/>
          <w:szCs w:val="26"/>
          <w:lang w:val="lt-LT"/>
        </w:rPr>
        <w:t>J. D. Staliūnienė (2001) įvardija su finansinių ataskaitų auditu susijusios vidaus kontrolės tikslus: 1)</w:t>
      </w:r>
      <w:r w:rsidR="00041860">
        <w:rPr>
          <w:sz w:val="26"/>
          <w:szCs w:val="26"/>
          <w:lang w:val="lt-LT"/>
        </w:rPr>
        <w:t> </w:t>
      </w:r>
      <w:r w:rsidR="00A1682E" w:rsidRPr="00C82075">
        <w:rPr>
          <w:sz w:val="26"/>
          <w:szCs w:val="26"/>
          <w:lang w:val="lt-LT"/>
        </w:rPr>
        <w:t>pagrįstumas, 2) išbaigtumas, 3) įgaliojimai, 4) fiksavimo tikslumas (sumos, sąskaitos, periodo), 5) turto ir duomenų apsauga.</w:t>
      </w:r>
      <w:r w:rsidR="007A0AC7" w:rsidRPr="00C82075">
        <w:rPr>
          <w:sz w:val="26"/>
          <w:szCs w:val="26"/>
          <w:lang w:val="lt-LT"/>
        </w:rPr>
        <w:t xml:space="preserve"> </w:t>
      </w:r>
      <w:r w:rsidR="00A36BDA" w:rsidRPr="00C82075">
        <w:rPr>
          <w:sz w:val="26"/>
          <w:szCs w:val="26"/>
          <w:lang w:val="lt-LT"/>
        </w:rPr>
        <w:t>Atsižvelgiant į tai, au</w:t>
      </w:r>
      <w:r w:rsidR="00B739D4" w:rsidRPr="00C82075">
        <w:rPr>
          <w:sz w:val="26"/>
          <w:szCs w:val="26"/>
          <w:lang w:val="lt-LT"/>
        </w:rPr>
        <w:t xml:space="preserve">ditoriaus uždavinys yra nekurti ir nekontroliuoti įmonės vidaus kontrolės sistemos, o ją suprasti išsiaiškinant, ar ši sistema yra pajėgi apsaugoti įmonės finansines ataskaitas nuo </w:t>
      </w:r>
      <w:r>
        <w:rPr>
          <w:sz w:val="26"/>
          <w:szCs w:val="26"/>
          <w:lang w:val="lt-LT"/>
        </w:rPr>
        <w:t>reikšmingų iškraipymų (kokia</w:t>
      </w:r>
      <w:r w:rsidR="00B739D4" w:rsidRPr="00C82075">
        <w:rPr>
          <w:sz w:val="26"/>
          <w:szCs w:val="26"/>
          <w:lang w:val="lt-LT"/>
        </w:rPr>
        <w:t xml:space="preserve"> struktūra), o taip pat įvertinti </w:t>
      </w:r>
      <w:r>
        <w:rPr>
          <w:sz w:val="26"/>
          <w:szCs w:val="26"/>
          <w:lang w:val="lt-LT"/>
        </w:rPr>
        <w:t xml:space="preserve">jos </w:t>
      </w:r>
      <w:r w:rsidR="00B739D4" w:rsidRPr="00C82075">
        <w:rPr>
          <w:sz w:val="26"/>
          <w:szCs w:val="26"/>
          <w:lang w:val="lt-LT"/>
        </w:rPr>
        <w:t xml:space="preserve">veiksmingumą. </w:t>
      </w:r>
    </w:p>
    <w:p w:rsidR="006D77C4" w:rsidRPr="00C82075" w:rsidRDefault="00EC17E5" w:rsidP="00A15573">
      <w:pPr>
        <w:spacing w:line="360" w:lineRule="auto"/>
        <w:ind w:firstLine="720"/>
        <w:jc w:val="both"/>
        <w:rPr>
          <w:sz w:val="26"/>
          <w:szCs w:val="26"/>
          <w:lang w:val="lt-LT"/>
        </w:rPr>
      </w:pPr>
      <w:r w:rsidRPr="00C82075">
        <w:rPr>
          <w:sz w:val="26"/>
          <w:szCs w:val="26"/>
          <w:lang w:val="lt-LT"/>
        </w:rPr>
        <w:t>Literatūro</w:t>
      </w:r>
      <w:r w:rsidR="007453D8" w:rsidRPr="00C82075">
        <w:rPr>
          <w:sz w:val="26"/>
          <w:szCs w:val="26"/>
          <w:lang w:val="lt-LT"/>
        </w:rPr>
        <w:t>s šaltiniuose</w:t>
      </w:r>
      <w:r w:rsidRPr="00C82075">
        <w:rPr>
          <w:sz w:val="26"/>
          <w:szCs w:val="26"/>
          <w:lang w:val="lt-LT"/>
        </w:rPr>
        <w:t xml:space="preserve"> galima aptikti įvairių svarstymų apie </w:t>
      </w:r>
      <w:r w:rsidR="0023316F" w:rsidRPr="00C82075">
        <w:rPr>
          <w:sz w:val="26"/>
          <w:szCs w:val="26"/>
          <w:lang w:val="lt-LT"/>
        </w:rPr>
        <w:t>vidaus kontrolės sistem</w:t>
      </w:r>
      <w:r w:rsidRPr="00C82075">
        <w:rPr>
          <w:sz w:val="26"/>
          <w:szCs w:val="26"/>
          <w:lang w:val="lt-LT"/>
        </w:rPr>
        <w:t xml:space="preserve">os </w:t>
      </w:r>
      <w:r w:rsidR="00E56DFF" w:rsidRPr="00C82075">
        <w:rPr>
          <w:sz w:val="26"/>
          <w:szCs w:val="26"/>
          <w:lang w:val="lt-LT"/>
        </w:rPr>
        <w:t>struktūr</w:t>
      </w:r>
      <w:r w:rsidRPr="00C82075">
        <w:rPr>
          <w:sz w:val="26"/>
          <w:szCs w:val="26"/>
          <w:lang w:val="lt-LT"/>
        </w:rPr>
        <w:t>ą</w:t>
      </w:r>
      <w:r w:rsidR="006D77C4" w:rsidRPr="00C82075">
        <w:rPr>
          <w:sz w:val="26"/>
          <w:szCs w:val="26"/>
          <w:lang w:val="lt-LT"/>
        </w:rPr>
        <w:t xml:space="preserve"> (žr. </w:t>
      </w:r>
      <w:r w:rsidR="00972485" w:rsidRPr="00C82075">
        <w:rPr>
          <w:sz w:val="26"/>
          <w:szCs w:val="26"/>
          <w:lang w:val="lt-LT"/>
        </w:rPr>
        <w:t xml:space="preserve">13 </w:t>
      </w:r>
      <w:r w:rsidR="00CC2A51" w:rsidRPr="00C82075">
        <w:rPr>
          <w:sz w:val="26"/>
          <w:szCs w:val="26"/>
          <w:lang w:val="lt-LT"/>
        </w:rPr>
        <w:t xml:space="preserve">ir </w:t>
      </w:r>
      <w:r w:rsidR="00972485" w:rsidRPr="00C82075">
        <w:rPr>
          <w:sz w:val="26"/>
          <w:szCs w:val="26"/>
          <w:lang w:val="lt-LT"/>
        </w:rPr>
        <w:t>14</w:t>
      </w:r>
      <w:r w:rsidR="006D77C4" w:rsidRPr="00C82075">
        <w:rPr>
          <w:sz w:val="26"/>
          <w:szCs w:val="26"/>
          <w:lang w:val="lt-LT"/>
        </w:rPr>
        <w:t xml:space="preserve"> lentelė)</w:t>
      </w:r>
      <w:r w:rsidRPr="00C82075">
        <w:rPr>
          <w:sz w:val="26"/>
          <w:szCs w:val="26"/>
          <w:lang w:val="lt-LT"/>
        </w:rPr>
        <w:t>.</w:t>
      </w:r>
    </w:p>
    <w:p w:rsidR="006D77C4" w:rsidRPr="00C82075" w:rsidRDefault="00972485" w:rsidP="00C82075">
      <w:pPr>
        <w:spacing w:line="360" w:lineRule="auto"/>
        <w:jc w:val="right"/>
        <w:rPr>
          <w:i/>
          <w:sz w:val="26"/>
          <w:szCs w:val="26"/>
          <w:lang w:val="lt-LT"/>
        </w:rPr>
      </w:pPr>
      <w:r w:rsidRPr="00C82075">
        <w:rPr>
          <w:i/>
          <w:sz w:val="26"/>
          <w:szCs w:val="26"/>
          <w:lang w:val="lt-LT"/>
        </w:rPr>
        <w:t>14</w:t>
      </w:r>
      <w:r w:rsidR="006D77C4" w:rsidRPr="00C82075">
        <w:rPr>
          <w:i/>
          <w:sz w:val="26"/>
          <w:szCs w:val="26"/>
          <w:lang w:val="lt-LT"/>
        </w:rPr>
        <w:t xml:space="preserve"> lentelė</w:t>
      </w:r>
    </w:p>
    <w:p w:rsidR="006D77C4" w:rsidRPr="00C82075" w:rsidRDefault="006D77C4" w:rsidP="00A15573">
      <w:pPr>
        <w:spacing w:line="360" w:lineRule="auto"/>
        <w:jc w:val="center"/>
        <w:rPr>
          <w:b/>
          <w:sz w:val="26"/>
          <w:szCs w:val="26"/>
          <w:lang w:val="lt-LT"/>
        </w:rPr>
      </w:pPr>
      <w:r w:rsidRPr="00C82075">
        <w:rPr>
          <w:b/>
          <w:sz w:val="26"/>
          <w:szCs w:val="26"/>
          <w:lang w:val="lt-LT"/>
        </w:rPr>
        <w:t xml:space="preserve">Vidaus kontrolės </w:t>
      </w:r>
      <w:r w:rsidR="00972485" w:rsidRPr="00C82075">
        <w:rPr>
          <w:b/>
          <w:sz w:val="26"/>
          <w:szCs w:val="26"/>
          <w:lang w:val="lt-LT"/>
        </w:rPr>
        <w:t xml:space="preserve">sistemos </w:t>
      </w:r>
      <w:r w:rsidRPr="00C82075">
        <w:rPr>
          <w:b/>
          <w:sz w:val="26"/>
          <w:szCs w:val="26"/>
          <w:lang w:val="lt-LT"/>
        </w:rPr>
        <w:t>struktūros palyginimas</w:t>
      </w:r>
    </w:p>
    <w:tbl>
      <w:tblPr>
        <w:tblStyle w:val="TableGrid"/>
        <w:tblW w:w="0" w:type="auto"/>
        <w:jc w:val="center"/>
        <w:tblLook w:val="04A0"/>
      </w:tblPr>
      <w:tblGrid>
        <w:gridCol w:w="3082"/>
        <w:gridCol w:w="3758"/>
      </w:tblGrid>
      <w:tr w:rsidR="006D77C4" w:rsidRPr="00C82075" w:rsidTr="003E7573">
        <w:trPr>
          <w:jc w:val="center"/>
        </w:trPr>
        <w:tc>
          <w:tcPr>
            <w:tcW w:w="3082" w:type="dxa"/>
          </w:tcPr>
          <w:p w:rsidR="006D77C4" w:rsidRPr="00C82075" w:rsidRDefault="006D77C4" w:rsidP="00715F70">
            <w:pPr>
              <w:jc w:val="center"/>
              <w:rPr>
                <w:b/>
                <w:sz w:val="22"/>
                <w:szCs w:val="22"/>
                <w:lang w:val="lt-LT"/>
              </w:rPr>
            </w:pPr>
            <w:r w:rsidRPr="00C82075">
              <w:rPr>
                <w:b/>
                <w:sz w:val="22"/>
                <w:szCs w:val="22"/>
                <w:lang w:val="lt-LT"/>
              </w:rPr>
              <w:t>Šaltinis</w:t>
            </w:r>
          </w:p>
        </w:tc>
        <w:tc>
          <w:tcPr>
            <w:tcW w:w="3758" w:type="dxa"/>
          </w:tcPr>
          <w:p w:rsidR="006D77C4" w:rsidRPr="00C82075" w:rsidRDefault="006D77C4" w:rsidP="00715F70">
            <w:pPr>
              <w:jc w:val="center"/>
              <w:rPr>
                <w:b/>
                <w:sz w:val="22"/>
                <w:szCs w:val="22"/>
                <w:lang w:val="lt-LT"/>
              </w:rPr>
            </w:pPr>
            <w:r w:rsidRPr="00C82075">
              <w:rPr>
                <w:b/>
                <w:sz w:val="22"/>
                <w:szCs w:val="22"/>
                <w:lang w:val="lt-LT"/>
              </w:rPr>
              <w:t>Elementai</w:t>
            </w:r>
          </w:p>
        </w:tc>
      </w:tr>
      <w:tr w:rsidR="006D77C4" w:rsidRPr="00C82075" w:rsidTr="003E7573">
        <w:trPr>
          <w:jc w:val="center"/>
        </w:trPr>
        <w:tc>
          <w:tcPr>
            <w:tcW w:w="3082" w:type="dxa"/>
          </w:tcPr>
          <w:p w:rsidR="006D77C4" w:rsidRPr="00C82075" w:rsidRDefault="006D77C4" w:rsidP="006D77C4">
            <w:pPr>
              <w:rPr>
                <w:b/>
                <w:sz w:val="22"/>
                <w:szCs w:val="22"/>
                <w:lang w:val="lt-LT"/>
              </w:rPr>
            </w:pPr>
            <w:r w:rsidRPr="00C82075">
              <w:rPr>
                <w:sz w:val="22"/>
                <w:szCs w:val="22"/>
                <w:lang w:val="lt-LT"/>
              </w:rPr>
              <w:t xml:space="preserve">V. V. Skobara (1998); 400 TSA (2004) </w:t>
            </w:r>
          </w:p>
        </w:tc>
        <w:tc>
          <w:tcPr>
            <w:tcW w:w="3758" w:type="dxa"/>
          </w:tcPr>
          <w:p w:rsidR="006D77C4" w:rsidRPr="00C82075" w:rsidRDefault="00CC2A51" w:rsidP="00715F70">
            <w:pPr>
              <w:jc w:val="both"/>
              <w:rPr>
                <w:sz w:val="22"/>
                <w:szCs w:val="22"/>
                <w:lang w:val="lt-LT"/>
              </w:rPr>
            </w:pPr>
            <w:r w:rsidRPr="00C82075">
              <w:rPr>
                <w:sz w:val="22"/>
                <w:szCs w:val="22"/>
                <w:lang w:val="lt-LT"/>
              </w:rPr>
              <w:t>1) kontrolės aplinka,</w:t>
            </w:r>
          </w:p>
          <w:p w:rsidR="006D77C4" w:rsidRPr="00C82075" w:rsidRDefault="006D77C4" w:rsidP="00715F70">
            <w:pPr>
              <w:rPr>
                <w:b/>
                <w:sz w:val="22"/>
                <w:szCs w:val="22"/>
                <w:lang w:val="lt-LT"/>
              </w:rPr>
            </w:pPr>
            <w:r w:rsidRPr="00C82075">
              <w:rPr>
                <w:sz w:val="22"/>
                <w:szCs w:val="22"/>
                <w:lang w:val="lt-LT"/>
              </w:rPr>
              <w:t>2) kontrolės procedūros</w:t>
            </w:r>
            <w:r w:rsidR="00CC2A51" w:rsidRPr="00C82075">
              <w:rPr>
                <w:sz w:val="22"/>
                <w:szCs w:val="22"/>
                <w:lang w:val="lt-LT"/>
              </w:rPr>
              <w:t>.</w:t>
            </w:r>
          </w:p>
        </w:tc>
      </w:tr>
      <w:tr w:rsidR="006D77C4" w:rsidRPr="00C82075" w:rsidTr="003E7573">
        <w:trPr>
          <w:jc w:val="center"/>
        </w:trPr>
        <w:tc>
          <w:tcPr>
            <w:tcW w:w="3082" w:type="dxa"/>
          </w:tcPr>
          <w:p w:rsidR="006D77C4" w:rsidRPr="00C82075" w:rsidRDefault="006D77C4" w:rsidP="00A15573">
            <w:pPr>
              <w:jc w:val="both"/>
              <w:rPr>
                <w:sz w:val="22"/>
                <w:szCs w:val="22"/>
                <w:lang w:val="lt-LT"/>
              </w:rPr>
            </w:pPr>
            <w:r w:rsidRPr="00C82075">
              <w:rPr>
                <w:sz w:val="22"/>
                <w:szCs w:val="22"/>
                <w:lang w:val="lt-LT"/>
              </w:rPr>
              <w:t>J. Robertson (1990)</w:t>
            </w:r>
            <w:r w:rsidR="00A15573" w:rsidRPr="00C82075">
              <w:rPr>
                <w:sz w:val="22"/>
                <w:szCs w:val="22"/>
                <w:lang w:val="lt-LT"/>
              </w:rPr>
              <w:t>;</w:t>
            </w:r>
            <w:r w:rsidRPr="00C82075">
              <w:rPr>
                <w:sz w:val="22"/>
                <w:szCs w:val="22"/>
                <w:lang w:val="lt-LT"/>
              </w:rPr>
              <w:t xml:space="preserve"> V. Lakis (1999)</w:t>
            </w:r>
          </w:p>
        </w:tc>
        <w:tc>
          <w:tcPr>
            <w:tcW w:w="3758" w:type="dxa"/>
          </w:tcPr>
          <w:p w:rsidR="00A15573" w:rsidRPr="00C82075" w:rsidRDefault="006D77C4" w:rsidP="00A15573">
            <w:pPr>
              <w:jc w:val="both"/>
              <w:rPr>
                <w:sz w:val="22"/>
                <w:szCs w:val="22"/>
                <w:lang w:val="lt-LT"/>
              </w:rPr>
            </w:pPr>
            <w:r w:rsidRPr="00C82075">
              <w:rPr>
                <w:sz w:val="22"/>
                <w:szCs w:val="22"/>
                <w:lang w:val="lt-LT"/>
              </w:rPr>
              <w:t xml:space="preserve">1) </w:t>
            </w:r>
            <w:r w:rsidR="00A15573" w:rsidRPr="00C82075">
              <w:rPr>
                <w:sz w:val="22"/>
                <w:szCs w:val="22"/>
                <w:lang w:val="lt-LT"/>
              </w:rPr>
              <w:t xml:space="preserve">kontrolės aplinka, </w:t>
            </w:r>
          </w:p>
          <w:p w:rsidR="00A15573" w:rsidRPr="00C82075" w:rsidRDefault="00A15573" w:rsidP="00A15573">
            <w:pPr>
              <w:jc w:val="both"/>
              <w:rPr>
                <w:sz w:val="22"/>
                <w:szCs w:val="22"/>
                <w:lang w:val="lt-LT"/>
              </w:rPr>
            </w:pPr>
            <w:r w:rsidRPr="00C82075">
              <w:rPr>
                <w:sz w:val="22"/>
                <w:szCs w:val="22"/>
                <w:lang w:val="lt-LT"/>
              </w:rPr>
              <w:t>2) apskaitos sistema,</w:t>
            </w:r>
          </w:p>
          <w:p w:rsidR="006D77C4" w:rsidRPr="00C82075" w:rsidRDefault="00A15573" w:rsidP="00A15573">
            <w:pPr>
              <w:jc w:val="both"/>
              <w:rPr>
                <w:sz w:val="22"/>
                <w:szCs w:val="22"/>
                <w:lang w:val="lt-LT"/>
              </w:rPr>
            </w:pPr>
            <w:r w:rsidRPr="00C82075">
              <w:rPr>
                <w:sz w:val="22"/>
                <w:szCs w:val="22"/>
                <w:lang w:val="lt-LT"/>
              </w:rPr>
              <w:t>3) kontrolės procedūros</w:t>
            </w:r>
            <w:r w:rsidR="00CC2A51" w:rsidRPr="00C82075">
              <w:rPr>
                <w:sz w:val="22"/>
                <w:szCs w:val="22"/>
                <w:lang w:val="lt-LT"/>
              </w:rPr>
              <w:t>.</w:t>
            </w:r>
          </w:p>
        </w:tc>
      </w:tr>
      <w:tr w:rsidR="00A15573" w:rsidRPr="00C82075" w:rsidTr="003E7573">
        <w:trPr>
          <w:jc w:val="center"/>
        </w:trPr>
        <w:tc>
          <w:tcPr>
            <w:tcW w:w="3082" w:type="dxa"/>
          </w:tcPr>
          <w:p w:rsidR="00A15573" w:rsidRPr="00C82075" w:rsidRDefault="00A15573" w:rsidP="00BE5795">
            <w:pPr>
              <w:jc w:val="both"/>
              <w:rPr>
                <w:sz w:val="22"/>
                <w:szCs w:val="22"/>
                <w:lang w:val="lt-LT"/>
              </w:rPr>
            </w:pPr>
            <w:r w:rsidRPr="00C82075">
              <w:rPr>
                <w:sz w:val="22"/>
                <w:szCs w:val="22"/>
                <w:lang w:val="lt-LT"/>
              </w:rPr>
              <w:t>J. Mackevičius (1999)</w:t>
            </w:r>
          </w:p>
        </w:tc>
        <w:tc>
          <w:tcPr>
            <w:tcW w:w="3758" w:type="dxa"/>
          </w:tcPr>
          <w:p w:rsidR="00A15573" w:rsidRPr="00C82075" w:rsidRDefault="00A15573" w:rsidP="00A15573">
            <w:pPr>
              <w:jc w:val="both"/>
              <w:rPr>
                <w:sz w:val="22"/>
                <w:szCs w:val="22"/>
                <w:lang w:val="lt-LT"/>
              </w:rPr>
            </w:pPr>
            <w:r w:rsidRPr="00C82075">
              <w:rPr>
                <w:sz w:val="22"/>
                <w:szCs w:val="22"/>
                <w:lang w:val="lt-LT"/>
              </w:rPr>
              <w:t xml:space="preserve">1) kontrolės aplinka, </w:t>
            </w:r>
          </w:p>
          <w:p w:rsidR="00A15573" w:rsidRPr="00C82075" w:rsidRDefault="00A15573" w:rsidP="00A15573">
            <w:pPr>
              <w:jc w:val="both"/>
              <w:rPr>
                <w:sz w:val="22"/>
                <w:szCs w:val="22"/>
                <w:lang w:val="lt-LT"/>
              </w:rPr>
            </w:pPr>
            <w:r w:rsidRPr="00C82075">
              <w:rPr>
                <w:sz w:val="22"/>
                <w:szCs w:val="22"/>
                <w:lang w:val="lt-LT"/>
              </w:rPr>
              <w:t xml:space="preserve">2) apskaitos sistema, </w:t>
            </w:r>
          </w:p>
          <w:p w:rsidR="00A15573" w:rsidRPr="00C82075" w:rsidRDefault="00A15573" w:rsidP="00A15573">
            <w:pPr>
              <w:jc w:val="both"/>
              <w:rPr>
                <w:sz w:val="22"/>
                <w:szCs w:val="22"/>
                <w:lang w:val="lt-LT"/>
              </w:rPr>
            </w:pPr>
            <w:r w:rsidRPr="00C82075">
              <w:rPr>
                <w:sz w:val="22"/>
                <w:szCs w:val="22"/>
                <w:lang w:val="lt-LT"/>
              </w:rPr>
              <w:t>3) kontrolės procedūros,</w:t>
            </w:r>
          </w:p>
          <w:p w:rsidR="00A15573" w:rsidRPr="00C82075" w:rsidRDefault="00A15573" w:rsidP="00A15573">
            <w:pPr>
              <w:jc w:val="both"/>
              <w:rPr>
                <w:sz w:val="22"/>
                <w:szCs w:val="22"/>
                <w:lang w:val="lt-LT"/>
              </w:rPr>
            </w:pPr>
            <w:r w:rsidRPr="00C82075">
              <w:rPr>
                <w:sz w:val="22"/>
                <w:szCs w:val="22"/>
                <w:lang w:val="lt-LT"/>
              </w:rPr>
              <w:t>4) turto apsaugos sistema</w:t>
            </w:r>
            <w:r w:rsidR="00CC2A51" w:rsidRPr="00C82075">
              <w:rPr>
                <w:sz w:val="22"/>
                <w:szCs w:val="22"/>
                <w:lang w:val="lt-LT"/>
              </w:rPr>
              <w:t>.</w:t>
            </w:r>
          </w:p>
        </w:tc>
      </w:tr>
      <w:tr w:rsidR="00A15573" w:rsidRPr="00C82075" w:rsidTr="003E7573">
        <w:trPr>
          <w:jc w:val="center"/>
        </w:trPr>
        <w:tc>
          <w:tcPr>
            <w:tcW w:w="3082" w:type="dxa"/>
          </w:tcPr>
          <w:p w:rsidR="00A15573" w:rsidRPr="00C82075" w:rsidRDefault="00A15573" w:rsidP="00A15573">
            <w:pPr>
              <w:jc w:val="both"/>
              <w:rPr>
                <w:sz w:val="22"/>
                <w:szCs w:val="22"/>
                <w:lang w:val="lt-LT"/>
              </w:rPr>
            </w:pPr>
            <w:r w:rsidRPr="00C82075">
              <w:rPr>
                <w:sz w:val="22"/>
                <w:szCs w:val="22"/>
                <w:lang w:val="lt-LT"/>
              </w:rPr>
              <w:t>R. Kanapickienė (2001, 2006)</w:t>
            </w:r>
          </w:p>
        </w:tc>
        <w:tc>
          <w:tcPr>
            <w:tcW w:w="3758" w:type="dxa"/>
          </w:tcPr>
          <w:p w:rsidR="00A15573" w:rsidRPr="00C82075" w:rsidRDefault="00A15573" w:rsidP="00A15573">
            <w:pPr>
              <w:jc w:val="both"/>
              <w:rPr>
                <w:sz w:val="22"/>
                <w:szCs w:val="22"/>
                <w:lang w:val="lt-LT"/>
              </w:rPr>
            </w:pPr>
            <w:r w:rsidRPr="00C82075">
              <w:rPr>
                <w:sz w:val="22"/>
                <w:szCs w:val="22"/>
                <w:lang w:val="lt-LT"/>
              </w:rPr>
              <w:t xml:space="preserve">1) kontrolės aplinka, </w:t>
            </w:r>
          </w:p>
          <w:p w:rsidR="00A15573" w:rsidRPr="00C82075" w:rsidRDefault="00A15573" w:rsidP="00A15573">
            <w:pPr>
              <w:jc w:val="both"/>
              <w:rPr>
                <w:sz w:val="22"/>
                <w:szCs w:val="22"/>
                <w:lang w:val="lt-LT"/>
              </w:rPr>
            </w:pPr>
            <w:r w:rsidRPr="00C82075">
              <w:rPr>
                <w:sz w:val="22"/>
                <w:szCs w:val="22"/>
                <w:lang w:val="lt-LT"/>
              </w:rPr>
              <w:t xml:space="preserve">2) rizikos įvertinimas, </w:t>
            </w:r>
          </w:p>
          <w:p w:rsidR="00A15573" w:rsidRPr="00C82075" w:rsidRDefault="00A15573" w:rsidP="00A15573">
            <w:pPr>
              <w:jc w:val="both"/>
              <w:rPr>
                <w:sz w:val="22"/>
                <w:szCs w:val="22"/>
                <w:lang w:val="lt-LT"/>
              </w:rPr>
            </w:pPr>
            <w:r w:rsidRPr="00C82075">
              <w:rPr>
                <w:sz w:val="22"/>
                <w:szCs w:val="22"/>
                <w:lang w:val="lt-LT"/>
              </w:rPr>
              <w:t>3) kontrolės veiksmai,</w:t>
            </w:r>
          </w:p>
          <w:p w:rsidR="00A15573" w:rsidRPr="00C82075" w:rsidRDefault="00A15573" w:rsidP="00A15573">
            <w:pPr>
              <w:jc w:val="both"/>
              <w:rPr>
                <w:sz w:val="22"/>
                <w:szCs w:val="22"/>
                <w:lang w:val="lt-LT"/>
              </w:rPr>
            </w:pPr>
            <w:r w:rsidRPr="00C82075">
              <w:rPr>
                <w:sz w:val="22"/>
                <w:szCs w:val="22"/>
                <w:lang w:val="lt-LT"/>
              </w:rPr>
              <w:t>4) informacinė sistema (buhalterinės apskaitos sistema),</w:t>
            </w:r>
          </w:p>
          <w:p w:rsidR="00A15573" w:rsidRPr="00C82075" w:rsidRDefault="00A15573" w:rsidP="00A15573">
            <w:pPr>
              <w:jc w:val="both"/>
              <w:rPr>
                <w:sz w:val="22"/>
                <w:szCs w:val="22"/>
                <w:lang w:val="lt-LT"/>
              </w:rPr>
            </w:pPr>
            <w:r w:rsidRPr="00C82075">
              <w:rPr>
                <w:sz w:val="22"/>
                <w:szCs w:val="22"/>
                <w:lang w:val="lt-LT"/>
              </w:rPr>
              <w:t>5) vidaus auditas</w:t>
            </w:r>
            <w:r w:rsidR="00CC2A51" w:rsidRPr="00C82075">
              <w:rPr>
                <w:sz w:val="22"/>
                <w:szCs w:val="22"/>
                <w:lang w:val="lt-LT"/>
              </w:rPr>
              <w:t>.</w:t>
            </w:r>
          </w:p>
        </w:tc>
      </w:tr>
      <w:tr w:rsidR="00A15573" w:rsidRPr="00C82075" w:rsidTr="003E7573">
        <w:trPr>
          <w:jc w:val="center"/>
        </w:trPr>
        <w:tc>
          <w:tcPr>
            <w:tcW w:w="3082" w:type="dxa"/>
          </w:tcPr>
          <w:p w:rsidR="00A15573" w:rsidRPr="00C82075" w:rsidRDefault="00A15573" w:rsidP="003E7573">
            <w:pPr>
              <w:jc w:val="both"/>
              <w:rPr>
                <w:sz w:val="22"/>
                <w:szCs w:val="22"/>
                <w:lang w:val="lt-LT"/>
              </w:rPr>
            </w:pPr>
            <w:r w:rsidRPr="00C82075">
              <w:rPr>
                <w:sz w:val="22"/>
                <w:szCs w:val="22"/>
                <w:lang w:val="lt-LT"/>
              </w:rPr>
              <w:t>COSO modelis (1992)</w:t>
            </w:r>
            <w:r w:rsidR="006B6802" w:rsidRPr="00C82075">
              <w:rPr>
                <w:sz w:val="22"/>
                <w:szCs w:val="22"/>
                <w:lang w:val="lt-LT"/>
              </w:rPr>
              <w:t>; J.</w:t>
            </w:r>
            <w:r w:rsidR="003E7573">
              <w:rPr>
                <w:sz w:val="22"/>
                <w:szCs w:val="22"/>
                <w:lang w:val="lt-LT"/>
              </w:rPr>
              <w:t> </w:t>
            </w:r>
            <w:r w:rsidR="006B6802" w:rsidRPr="00C82075">
              <w:rPr>
                <w:sz w:val="22"/>
                <w:szCs w:val="22"/>
                <w:lang w:val="lt-LT"/>
              </w:rPr>
              <w:t>Keenan (2005); 315</w:t>
            </w:r>
            <w:r w:rsidR="00C82075">
              <w:rPr>
                <w:sz w:val="22"/>
                <w:szCs w:val="22"/>
                <w:lang w:val="lt-LT"/>
              </w:rPr>
              <w:t xml:space="preserve"> </w:t>
            </w:r>
            <w:r w:rsidR="006B6802" w:rsidRPr="00C82075">
              <w:rPr>
                <w:sz w:val="22"/>
                <w:szCs w:val="22"/>
                <w:lang w:val="lt-LT"/>
              </w:rPr>
              <w:t>TSA (2006);</w:t>
            </w:r>
          </w:p>
        </w:tc>
        <w:tc>
          <w:tcPr>
            <w:tcW w:w="3758" w:type="dxa"/>
          </w:tcPr>
          <w:p w:rsidR="00A15573" w:rsidRPr="00C82075" w:rsidRDefault="00A15573" w:rsidP="00A15573">
            <w:pPr>
              <w:jc w:val="both"/>
              <w:rPr>
                <w:sz w:val="22"/>
                <w:szCs w:val="22"/>
                <w:lang w:val="lt-LT"/>
              </w:rPr>
            </w:pPr>
            <w:r w:rsidRPr="00C82075">
              <w:rPr>
                <w:sz w:val="22"/>
                <w:szCs w:val="22"/>
                <w:lang w:val="lt-LT"/>
              </w:rPr>
              <w:t xml:space="preserve">1) kontrolės aplinka, </w:t>
            </w:r>
          </w:p>
          <w:p w:rsidR="00A15573" w:rsidRPr="00C82075" w:rsidRDefault="00A15573" w:rsidP="00A15573">
            <w:pPr>
              <w:jc w:val="both"/>
              <w:rPr>
                <w:sz w:val="22"/>
                <w:szCs w:val="22"/>
                <w:lang w:val="lt-LT"/>
              </w:rPr>
            </w:pPr>
            <w:r w:rsidRPr="00C82075">
              <w:rPr>
                <w:sz w:val="22"/>
                <w:szCs w:val="22"/>
                <w:lang w:val="lt-LT"/>
              </w:rPr>
              <w:t xml:space="preserve">2) įmonės rizikos vertinimo procesas, </w:t>
            </w:r>
          </w:p>
          <w:p w:rsidR="00A15573" w:rsidRPr="00C82075" w:rsidRDefault="00A15573" w:rsidP="00A15573">
            <w:pPr>
              <w:jc w:val="both"/>
              <w:rPr>
                <w:sz w:val="22"/>
                <w:szCs w:val="22"/>
                <w:lang w:val="lt-LT"/>
              </w:rPr>
            </w:pPr>
            <w:r w:rsidRPr="00C82075">
              <w:rPr>
                <w:sz w:val="22"/>
                <w:szCs w:val="22"/>
                <w:lang w:val="lt-LT"/>
              </w:rPr>
              <w:t xml:space="preserve">3) informacinė sistema ir informavimas, </w:t>
            </w:r>
          </w:p>
          <w:p w:rsidR="00A15573" w:rsidRPr="00C82075" w:rsidRDefault="00A15573" w:rsidP="00A15573">
            <w:pPr>
              <w:jc w:val="both"/>
              <w:rPr>
                <w:sz w:val="22"/>
                <w:szCs w:val="22"/>
                <w:lang w:val="lt-LT"/>
              </w:rPr>
            </w:pPr>
            <w:r w:rsidRPr="00C82075">
              <w:rPr>
                <w:sz w:val="22"/>
                <w:szCs w:val="22"/>
                <w:lang w:val="lt-LT"/>
              </w:rPr>
              <w:t>4) kontrolės veiksmai</w:t>
            </w:r>
            <w:r w:rsidR="00CC2A51" w:rsidRPr="00C82075">
              <w:rPr>
                <w:sz w:val="22"/>
                <w:szCs w:val="22"/>
                <w:lang w:val="lt-LT"/>
              </w:rPr>
              <w:t>,</w:t>
            </w:r>
            <w:r w:rsidRPr="00C82075">
              <w:rPr>
                <w:sz w:val="22"/>
                <w:szCs w:val="22"/>
                <w:lang w:val="lt-LT"/>
              </w:rPr>
              <w:t xml:space="preserve"> </w:t>
            </w:r>
          </w:p>
          <w:p w:rsidR="00A15573" w:rsidRPr="00C82075" w:rsidRDefault="00A15573" w:rsidP="00A15573">
            <w:pPr>
              <w:jc w:val="both"/>
              <w:rPr>
                <w:sz w:val="22"/>
                <w:szCs w:val="22"/>
                <w:lang w:val="lt-LT"/>
              </w:rPr>
            </w:pPr>
            <w:r w:rsidRPr="00C82075">
              <w:rPr>
                <w:sz w:val="22"/>
                <w:szCs w:val="22"/>
                <w:lang w:val="lt-LT"/>
              </w:rPr>
              <w:t>5) kontrolės stebėsena</w:t>
            </w:r>
            <w:r w:rsidR="00CC2A51" w:rsidRPr="00C82075">
              <w:rPr>
                <w:sz w:val="22"/>
                <w:szCs w:val="22"/>
                <w:lang w:val="lt-LT"/>
              </w:rPr>
              <w:t>.</w:t>
            </w:r>
          </w:p>
        </w:tc>
      </w:tr>
    </w:tbl>
    <w:p w:rsidR="00A15573" w:rsidRPr="00FE380C" w:rsidRDefault="003E7573" w:rsidP="00D45554">
      <w:pPr>
        <w:spacing w:line="360" w:lineRule="auto"/>
        <w:jc w:val="both"/>
        <w:rPr>
          <w:lang w:val="lt-LT"/>
        </w:rPr>
      </w:pPr>
      <w:r>
        <w:rPr>
          <w:sz w:val="22"/>
          <w:szCs w:val="22"/>
          <w:lang w:val="lt-LT"/>
        </w:rPr>
        <w:t xml:space="preserve">        </w:t>
      </w:r>
      <w:r w:rsidR="00C82075" w:rsidRPr="003D53E8">
        <w:rPr>
          <w:sz w:val="22"/>
          <w:szCs w:val="22"/>
          <w:lang w:val="lt-LT"/>
        </w:rPr>
        <w:t xml:space="preserve"> </w:t>
      </w:r>
      <w:r w:rsidR="00C82075" w:rsidRPr="00FE380C">
        <w:rPr>
          <w:lang w:val="lt-LT"/>
        </w:rPr>
        <w:t xml:space="preserve">  </w:t>
      </w:r>
      <w:r w:rsidR="00A15573" w:rsidRPr="00FE380C">
        <w:rPr>
          <w:lang w:val="lt-LT"/>
        </w:rPr>
        <w:t>Šaltinis: sudaryta autorės.</w:t>
      </w:r>
    </w:p>
    <w:p w:rsidR="0023316F" w:rsidRPr="00C60E01" w:rsidRDefault="00143E15" w:rsidP="00043747">
      <w:pPr>
        <w:spacing w:before="120" w:line="360" w:lineRule="auto"/>
        <w:ind w:firstLine="720"/>
        <w:jc w:val="both"/>
        <w:rPr>
          <w:sz w:val="26"/>
          <w:szCs w:val="26"/>
          <w:lang w:val="lt-LT"/>
        </w:rPr>
      </w:pPr>
      <w:r w:rsidRPr="00C82075">
        <w:rPr>
          <w:sz w:val="26"/>
          <w:szCs w:val="26"/>
          <w:lang w:val="lt-LT"/>
        </w:rPr>
        <w:lastRenderedPageBreak/>
        <w:t xml:space="preserve">Vertinant </w:t>
      </w:r>
      <w:r w:rsidR="00AC59C3">
        <w:rPr>
          <w:sz w:val="26"/>
          <w:szCs w:val="26"/>
          <w:lang w:val="lt-LT"/>
        </w:rPr>
        <w:t>sutinkamu</w:t>
      </w:r>
      <w:r w:rsidR="004A1545" w:rsidRPr="00C82075">
        <w:rPr>
          <w:sz w:val="26"/>
          <w:szCs w:val="26"/>
          <w:lang w:val="lt-LT"/>
        </w:rPr>
        <w:t xml:space="preserve">s </w:t>
      </w:r>
      <w:r w:rsidRPr="00C82075">
        <w:rPr>
          <w:sz w:val="26"/>
          <w:szCs w:val="26"/>
          <w:lang w:val="lt-LT"/>
        </w:rPr>
        <w:t xml:space="preserve">požiūrius dėl vidaus kontrolės sistemos struktūros, </w:t>
      </w:r>
      <w:r w:rsidR="00415345" w:rsidRPr="00C82075">
        <w:rPr>
          <w:sz w:val="26"/>
          <w:szCs w:val="26"/>
          <w:lang w:val="lt-LT"/>
        </w:rPr>
        <w:t>galima pastebėti, kad kontrolės aplinka kaip vidaus kontrolės sistemos elementas išskiriam</w:t>
      </w:r>
      <w:r w:rsidRPr="00C82075">
        <w:rPr>
          <w:sz w:val="26"/>
          <w:szCs w:val="26"/>
          <w:lang w:val="lt-LT"/>
        </w:rPr>
        <w:t>a</w:t>
      </w:r>
      <w:r w:rsidR="005669B1" w:rsidRPr="00C82075">
        <w:rPr>
          <w:sz w:val="26"/>
          <w:szCs w:val="26"/>
          <w:lang w:val="lt-LT"/>
        </w:rPr>
        <w:t>s v</w:t>
      </w:r>
      <w:r w:rsidR="00530605" w:rsidRPr="00C82075">
        <w:rPr>
          <w:sz w:val="26"/>
          <w:szCs w:val="26"/>
          <w:lang w:val="lt-LT"/>
        </w:rPr>
        <w:t>isų</w:t>
      </w:r>
      <w:r w:rsidR="00415345" w:rsidRPr="00C82075">
        <w:rPr>
          <w:sz w:val="26"/>
          <w:szCs w:val="26"/>
          <w:lang w:val="lt-LT"/>
        </w:rPr>
        <w:t xml:space="preserve">. Nors </w:t>
      </w:r>
      <w:r w:rsidR="00410859" w:rsidRPr="00C82075">
        <w:rPr>
          <w:sz w:val="26"/>
          <w:szCs w:val="26"/>
          <w:lang w:val="lt-LT"/>
        </w:rPr>
        <w:t xml:space="preserve">buhalterinės </w:t>
      </w:r>
      <w:r w:rsidR="00415345" w:rsidRPr="00C82075">
        <w:rPr>
          <w:sz w:val="26"/>
          <w:szCs w:val="26"/>
          <w:lang w:val="lt-LT"/>
        </w:rPr>
        <w:t>a</w:t>
      </w:r>
      <w:r w:rsidRPr="00C82075">
        <w:rPr>
          <w:sz w:val="26"/>
          <w:szCs w:val="26"/>
          <w:lang w:val="lt-LT"/>
        </w:rPr>
        <w:t>pskaitos sistem</w:t>
      </w:r>
      <w:r w:rsidR="00415345" w:rsidRPr="00C82075">
        <w:rPr>
          <w:sz w:val="26"/>
          <w:szCs w:val="26"/>
          <w:lang w:val="lt-LT"/>
        </w:rPr>
        <w:t xml:space="preserve">a </w:t>
      </w:r>
      <w:r w:rsidR="00780A9E" w:rsidRPr="00C82075">
        <w:rPr>
          <w:sz w:val="26"/>
          <w:szCs w:val="26"/>
          <w:lang w:val="lt-LT"/>
        </w:rPr>
        <w:t>kai kurių autorių</w:t>
      </w:r>
      <w:r w:rsidR="00415345" w:rsidRPr="00C82075">
        <w:rPr>
          <w:sz w:val="26"/>
          <w:szCs w:val="26"/>
          <w:lang w:val="lt-LT"/>
        </w:rPr>
        <w:t xml:space="preserve"> išskiriama kaip atskiras elementas, tačiau reikėtų pripažinti, kad </w:t>
      </w:r>
      <w:r w:rsidR="00B878FC" w:rsidRPr="00C82075">
        <w:rPr>
          <w:sz w:val="26"/>
          <w:szCs w:val="26"/>
          <w:lang w:val="lt-LT"/>
        </w:rPr>
        <w:t>ji</w:t>
      </w:r>
      <w:r w:rsidR="00415345" w:rsidRPr="00C82075">
        <w:rPr>
          <w:sz w:val="26"/>
          <w:szCs w:val="26"/>
          <w:lang w:val="lt-LT"/>
        </w:rPr>
        <w:t xml:space="preserve"> </w:t>
      </w:r>
      <w:r w:rsidR="00B878FC" w:rsidRPr="00C82075">
        <w:rPr>
          <w:sz w:val="26"/>
          <w:szCs w:val="26"/>
          <w:lang w:val="lt-LT"/>
        </w:rPr>
        <w:t xml:space="preserve">yra </w:t>
      </w:r>
      <w:r w:rsidRPr="00C82075">
        <w:rPr>
          <w:sz w:val="26"/>
          <w:szCs w:val="26"/>
          <w:lang w:val="lt-LT"/>
        </w:rPr>
        <w:t>įmonės informacinės sistem</w:t>
      </w:r>
      <w:r w:rsidR="00B878FC" w:rsidRPr="00C82075">
        <w:rPr>
          <w:sz w:val="26"/>
          <w:szCs w:val="26"/>
          <w:lang w:val="lt-LT"/>
        </w:rPr>
        <w:t xml:space="preserve">os dalis. </w:t>
      </w:r>
      <w:r w:rsidR="00AE6072" w:rsidRPr="00C82075">
        <w:rPr>
          <w:sz w:val="26"/>
          <w:szCs w:val="26"/>
          <w:lang w:val="lt-LT"/>
        </w:rPr>
        <w:t>Darbo a</w:t>
      </w:r>
      <w:r w:rsidR="00530605" w:rsidRPr="00C82075">
        <w:rPr>
          <w:sz w:val="26"/>
          <w:szCs w:val="26"/>
          <w:lang w:val="lt-LT"/>
        </w:rPr>
        <w:t xml:space="preserve">utorės nuomone, </w:t>
      </w:r>
      <w:r w:rsidR="00CC496D" w:rsidRPr="00C82075">
        <w:rPr>
          <w:sz w:val="26"/>
          <w:szCs w:val="26"/>
          <w:lang w:val="lt-LT"/>
        </w:rPr>
        <w:t xml:space="preserve">rizikos vertinimas yra vienas iš svarbiausių dalykų, norint </w:t>
      </w:r>
      <w:r w:rsidR="00133472" w:rsidRPr="00C82075">
        <w:rPr>
          <w:sz w:val="26"/>
          <w:szCs w:val="26"/>
          <w:lang w:val="lt-LT"/>
        </w:rPr>
        <w:t xml:space="preserve">įmonės vadovybei </w:t>
      </w:r>
      <w:r w:rsidR="00CC496D" w:rsidRPr="00C82075">
        <w:rPr>
          <w:sz w:val="26"/>
          <w:szCs w:val="26"/>
          <w:lang w:val="lt-LT"/>
        </w:rPr>
        <w:t>tinkama linkme nukreipti vidaus kontrolės</w:t>
      </w:r>
      <w:r w:rsidR="00FF2EC3" w:rsidRPr="00C82075">
        <w:rPr>
          <w:sz w:val="26"/>
          <w:szCs w:val="26"/>
          <w:lang w:val="lt-LT"/>
        </w:rPr>
        <w:t xml:space="preserve"> sistemą</w:t>
      </w:r>
      <w:r w:rsidR="00CC496D" w:rsidRPr="00C82075">
        <w:rPr>
          <w:sz w:val="26"/>
          <w:szCs w:val="26"/>
          <w:lang w:val="lt-LT"/>
        </w:rPr>
        <w:t xml:space="preserve">. </w:t>
      </w:r>
      <w:r w:rsidR="005A2403" w:rsidRPr="00C82075">
        <w:rPr>
          <w:sz w:val="26"/>
          <w:szCs w:val="26"/>
          <w:lang w:val="lt-LT"/>
        </w:rPr>
        <w:t>T</w:t>
      </w:r>
      <w:r w:rsidR="00FF2EC3" w:rsidRPr="00C82075">
        <w:rPr>
          <w:sz w:val="26"/>
          <w:szCs w:val="26"/>
          <w:lang w:val="lt-LT"/>
        </w:rPr>
        <w:t xml:space="preserve">odėl </w:t>
      </w:r>
      <w:r w:rsidR="005A2403" w:rsidRPr="00C82075">
        <w:rPr>
          <w:sz w:val="26"/>
          <w:szCs w:val="26"/>
          <w:lang w:val="lt-LT"/>
        </w:rPr>
        <w:t>įmonės rizikos valdymo procesas, analizuotas d</w:t>
      </w:r>
      <w:r w:rsidR="00A900B0">
        <w:rPr>
          <w:sz w:val="26"/>
          <w:szCs w:val="26"/>
          <w:lang w:val="lt-LT"/>
        </w:rPr>
        <w:t xml:space="preserve">isertacijos </w:t>
      </w:r>
      <w:r w:rsidR="005A2403" w:rsidRPr="00C82075">
        <w:rPr>
          <w:sz w:val="26"/>
          <w:szCs w:val="26"/>
          <w:lang w:val="lt-LT"/>
        </w:rPr>
        <w:t xml:space="preserve">1.1.2. skyriuje, </w:t>
      </w:r>
      <w:r w:rsidR="00FF2EC3" w:rsidRPr="00C82075">
        <w:rPr>
          <w:sz w:val="26"/>
          <w:szCs w:val="26"/>
          <w:lang w:val="lt-LT"/>
        </w:rPr>
        <w:t>kartu su svarbiausiu jo etapu rizikos vertinimas turi būti sudėtinė v</w:t>
      </w:r>
      <w:r w:rsidR="00B42EEA" w:rsidRPr="00C82075">
        <w:rPr>
          <w:sz w:val="26"/>
          <w:szCs w:val="26"/>
          <w:lang w:val="lt-LT"/>
        </w:rPr>
        <w:t xml:space="preserve">idaus kontrolės sistemos </w:t>
      </w:r>
      <w:r w:rsidR="00FF2EC3" w:rsidRPr="00C82075">
        <w:rPr>
          <w:sz w:val="26"/>
          <w:szCs w:val="26"/>
          <w:lang w:val="lt-LT"/>
        </w:rPr>
        <w:t xml:space="preserve">dalis. </w:t>
      </w:r>
      <w:r w:rsidR="00513201" w:rsidRPr="00C82075">
        <w:rPr>
          <w:sz w:val="26"/>
          <w:szCs w:val="26"/>
          <w:lang w:val="lt-LT"/>
        </w:rPr>
        <w:t xml:space="preserve">Nors </w:t>
      </w:r>
      <w:r w:rsidR="007226E2" w:rsidRPr="00C82075">
        <w:rPr>
          <w:sz w:val="26"/>
          <w:szCs w:val="26"/>
          <w:lang w:val="lt-LT"/>
        </w:rPr>
        <w:t>J.</w:t>
      </w:r>
      <w:r w:rsidR="00C82075">
        <w:rPr>
          <w:sz w:val="26"/>
          <w:szCs w:val="26"/>
          <w:lang w:val="lt-LT"/>
        </w:rPr>
        <w:t> </w:t>
      </w:r>
      <w:r w:rsidR="007226E2" w:rsidRPr="00C82075">
        <w:rPr>
          <w:sz w:val="26"/>
          <w:szCs w:val="26"/>
          <w:lang w:val="lt-LT"/>
        </w:rPr>
        <w:t xml:space="preserve">Mackevičius (1999), </w:t>
      </w:r>
      <w:r w:rsidR="00513201" w:rsidRPr="00C82075">
        <w:rPr>
          <w:sz w:val="26"/>
          <w:szCs w:val="26"/>
          <w:lang w:val="lt-LT"/>
        </w:rPr>
        <w:t xml:space="preserve">R. Kanapickienė (2006) </w:t>
      </w:r>
      <w:r w:rsidR="002077C5" w:rsidRPr="00C82075">
        <w:rPr>
          <w:sz w:val="26"/>
          <w:szCs w:val="26"/>
          <w:lang w:val="lt-LT"/>
        </w:rPr>
        <w:t xml:space="preserve">akcentuoja </w:t>
      </w:r>
      <w:r w:rsidR="00513201" w:rsidRPr="00C82075">
        <w:rPr>
          <w:sz w:val="26"/>
          <w:szCs w:val="26"/>
          <w:lang w:val="lt-LT"/>
        </w:rPr>
        <w:t>vidaus audit</w:t>
      </w:r>
      <w:r w:rsidR="007226E2" w:rsidRPr="00C82075">
        <w:rPr>
          <w:sz w:val="26"/>
          <w:szCs w:val="26"/>
          <w:lang w:val="lt-LT"/>
        </w:rPr>
        <w:t>o</w:t>
      </w:r>
      <w:r w:rsidR="002077C5" w:rsidRPr="00C82075">
        <w:rPr>
          <w:sz w:val="26"/>
          <w:szCs w:val="26"/>
          <w:lang w:val="lt-LT"/>
        </w:rPr>
        <w:t xml:space="preserve"> reikšmę įmon</w:t>
      </w:r>
      <w:r w:rsidR="00946DD1" w:rsidRPr="00C82075">
        <w:rPr>
          <w:sz w:val="26"/>
          <w:szCs w:val="26"/>
          <w:lang w:val="lt-LT"/>
        </w:rPr>
        <w:t xml:space="preserve">ei vertinant </w:t>
      </w:r>
      <w:r w:rsidR="002077C5" w:rsidRPr="00C82075">
        <w:rPr>
          <w:sz w:val="26"/>
          <w:szCs w:val="26"/>
          <w:lang w:val="lt-LT"/>
        </w:rPr>
        <w:t>vidaus kontrolės sistem</w:t>
      </w:r>
      <w:r w:rsidR="00946DD1" w:rsidRPr="00C82075">
        <w:rPr>
          <w:sz w:val="26"/>
          <w:szCs w:val="26"/>
          <w:lang w:val="lt-LT"/>
        </w:rPr>
        <w:t>os veikimo kokybę</w:t>
      </w:r>
      <w:r w:rsidR="00513201" w:rsidRPr="00C82075">
        <w:rPr>
          <w:sz w:val="26"/>
          <w:szCs w:val="26"/>
          <w:lang w:val="lt-LT"/>
        </w:rPr>
        <w:t xml:space="preserve">, </w:t>
      </w:r>
      <w:r w:rsidR="00946DD1" w:rsidRPr="00C82075">
        <w:rPr>
          <w:sz w:val="26"/>
          <w:szCs w:val="26"/>
          <w:lang w:val="lt-LT"/>
        </w:rPr>
        <w:t>tačiau</w:t>
      </w:r>
      <w:r w:rsidR="00004330" w:rsidRPr="00C82075">
        <w:rPr>
          <w:sz w:val="26"/>
          <w:szCs w:val="26"/>
          <w:lang w:val="lt-LT"/>
        </w:rPr>
        <w:t>,</w:t>
      </w:r>
      <w:r w:rsidR="00946DD1" w:rsidRPr="00C82075">
        <w:rPr>
          <w:sz w:val="26"/>
          <w:szCs w:val="26"/>
          <w:lang w:val="lt-LT"/>
        </w:rPr>
        <w:t xml:space="preserve"> </w:t>
      </w:r>
      <w:r w:rsidR="00AE6072" w:rsidRPr="00C82075">
        <w:rPr>
          <w:sz w:val="26"/>
          <w:szCs w:val="26"/>
          <w:lang w:val="lt-LT"/>
        </w:rPr>
        <w:t xml:space="preserve">darbo </w:t>
      </w:r>
      <w:r w:rsidR="002077C5" w:rsidRPr="00C82075">
        <w:rPr>
          <w:sz w:val="26"/>
          <w:szCs w:val="26"/>
          <w:lang w:val="lt-LT"/>
        </w:rPr>
        <w:t xml:space="preserve">autorės </w:t>
      </w:r>
      <w:r w:rsidR="00530605" w:rsidRPr="00C82075">
        <w:rPr>
          <w:sz w:val="26"/>
          <w:szCs w:val="26"/>
          <w:lang w:val="lt-LT"/>
        </w:rPr>
        <w:t>manymu</w:t>
      </w:r>
      <w:r w:rsidR="002077C5" w:rsidRPr="00C82075">
        <w:rPr>
          <w:sz w:val="26"/>
          <w:szCs w:val="26"/>
          <w:lang w:val="lt-LT"/>
        </w:rPr>
        <w:t xml:space="preserve">, </w:t>
      </w:r>
      <w:r w:rsidR="00EA79E7" w:rsidRPr="00C82075">
        <w:rPr>
          <w:sz w:val="26"/>
          <w:szCs w:val="26"/>
          <w:lang w:val="lt-LT"/>
        </w:rPr>
        <w:t xml:space="preserve">tai stebėsenos </w:t>
      </w:r>
      <w:r w:rsidR="00946DD1" w:rsidRPr="00C82075">
        <w:rPr>
          <w:sz w:val="26"/>
          <w:szCs w:val="26"/>
          <w:lang w:val="lt-LT"/>
        </w:rPr>
        <w:t>funkcij</w:t>
      </w:r>
      <w:r w:rsidR="00EA79E7" w:rsidRPr="00C82075">
        <w:rPr>
          <w:sz w:val="26"/>
          <w:szCs w:val="26"/>
          <w:lang w:val="lt-LT"/>
        </w:rPr>
        <w:t xml:space="preserve">a, kurią </w:t>
      </w:r>
      <w:r w:rsidR="00946DD1" w:rsidRPr="00C82075">
        <w:rPr>
          <w:sz w:val="26"/>
          <w:szCs w:val="26"/>
          <w:lang w:val="lt-LT"/>
        </w:rPr>
        <w:t xml:space="preserve">turėtų vykdyti </w:t>
      </w:r>
      <w:r w:rsidR="00EA79E7" w:rsidRPr="00C82075">
        <w:rPr>
          <w:sz w:val="26"/>
          <w:szCs w:val="26"/>
          <w:lang w:val="lt-LT"/>
        </w:rPr>
        <w:t xml:space="preserve">ne tik </w:t>
      </w:r>
      <w:r w:rsidR="00004330" w:rsidRPr="00C82075">
        <w:rPr>
          <w:sz w:val="26"/>
          <w:szCs w:val="26"/>
          <w:lang w:val="lt-LT"/>
        </w:rPr>
        <w:t xml:space="preserve">įmonės </w:t>
      </w:r>
      <w:r w:rsidR="00EA79E7" w:rsidRPr="00C82075">
        <w:rPr>
          <w:sz w:val="26"/>
          <w:szCs w:val="26"/>
          <w:lang w:val="lt-LT"/>
        </w:rPr>
        <w:t xml:space="preserve">vidaus audito padalinys, bet </w:t>
      </w:r>
      <w:r w:rsidR="00004330" w:rsidRPr="00C82075">
        <w:rPr>
          <w:sz w:val="26"/>
          <w:szCs w:val="26"/>
          <w:lang w:val="lt-LT"/>
        </w:rPr>
        <w:t xml:space="preserve">ir </w:t>
      </w:r>
      <w:r w:rsidR="00EA79E7" w:rsidRPr="00C82075">
        <w:rPr>
          <w:sz w:val="26"/>
          <w:szCs w:val="26"/>
          <w:lang w:val="lt-LT"/>
        </w:rPr>
        <w:t xml:space="preserve">vadovybė, </w:t>
      </w:r>
      <w:r w:rsidR="00004330" w:rsidRPr="00C82075">
        <w:rPr>
          <w:sz w:val="26"/>
          <w:szCs w:val="26"/>
          <w:lang w:val="lt-LT"/>
        </w:rPr>
        <w:t xml:space="preserve">vadovaudama ir prižiūrėdama </w:t>
      </w:r>
      <w:r w:rsidR="00EA79E7" w:rsidRPr="00C82075">
        <w:rPr>
          <w:sz w:val="26"/>
          <w:szCs w:val="26"/>
          <w:lang w:val="lt-LT"/>
        </w:rPr>
        <w:t xml:space="preserve">įmonės veiklą. </w:t>
      </w:r>
      <w:r w:rsidR="00CC496D" w:rsidRPr="00C82075">
        <w:rPr>
          <w:sz w:val="26"/>
          <w:szCs w:val="26"/>
          <w:lang w:val="lt-LT"/>
        </w:rPr>
        <w:t xml:space="preserve">Atsižvelgiant į tai, </w:t>
      </w:r>
      <w:r w:rsidR="00CD3D15" w:rsidRPr="00C82075">
        <w:rPr>
          <w:sz w:val="26"/>
          <w:szCs w:val="26"/>
          <w:lang w:val="lt-LT"/>
        </w:rPr>
        <w:t>galima</w:t>
      </w:r>
      <w:r w:rsidR="00A17A88" w:rsidRPr="00C82075">
        <w:rPr>
          <w:sz w:val="26"/>
          <w:szCs w:val="26"/>
          <w:lang w:val="lt-LT"/>
        </w:rPr>
        <w:t xml:space="preserve"> teigti</w:t>
      </w:r>
      <w:r w:rsidR="00CD3D15" w:rsidRPr="00C82075">
        <w:rPr>
          <w:sz w:val="26"/>
          <w:szCs w:val="26"/>
          <w:lang w:val="lt-LT"/>
        </w:rPr>
        <w:t xml:space="preserve">, jog </w:t>
      </w:r>
      <w:r w:rsidR="00CC496D" w:rsidRPr="00C82075">
        <w:rPr>
          <w:sz w:val="26"/>
          <w:szCs w:val="26"/>
          <w:lang w:val="lt-LT"/>
        </w:rPr>
        <w:t>COSO model</w:t>
      </w:r>
      <w:r w:rsidR="00CD3D15" w:rsidRPr="00C82075">
        <w:rPr>
          <w:sz w:val="26"/>
          <w:szCs w:val="26"/>
          <w:lang w:val="lt-LT"/>
        </w:rPr>
        <w:t xml:space="preserve">is </w:t>
      </w:r>
      <w:r w:rsidR="00CC496D" w:rsidRPr="00C82075">
        <w:rPr>
          <w:sz w:val="26"/>
          <w:szCs w:val="26"/>
          <w:lang w:val="lt-LT"/>
        </w:rPr>
        <w:t>(1992)</w:t>
      </w:r>
      <w:r w:rsidR="00337F87" w:rsidRPr="00C82075">
        <w:rPr>
          <w:sz w:val="26"/>
          <w:szCs w:val="26"/>
          <w:lang w:val="lt-LT"/>
        </w:rPr>
        <w:t xml:space="preserve">, kurį remia ir Turnbull vidaus kontrolės modelis (1999, 2005), išskyrus tai, kad pastarajame kontrolės aplinka ir kontrolės veiksmai sujungti į vieną elementą, </w:t>
      </w:r>
      <w:r w:rsidR="00CD3D15" w:rsidRPr="00C82075">
        <w:rPr>
          <w:sz w:val="26"/>
          <w:szCs w:val="26"/>
          <w:lang w:val="lt-LT"/>
        </w:rPr>
        <w:t xml:space="preserve">apima </w:t>
      </w:r>
      <w:r w:rsidR="00043747" w:rsidRPr="00C82075">
        <w:rPr>
          <w:sz w:val="26"/>
          <w:szCs w:val="26"/>
          <w:lang w:val="lt-LT"/>
        </w:rPr>
        <w:t xml:space="preserve">esminius </w:t>
      </w:r>
      <w:r w:rsidR="00CC496D" w:rsidRPr="00C82075">
        <w:rPr>
          <w:sz w:val="26"/>
          <w:szCs w:val="26"/>
          <w:lang w:val="lt-LT"/>
        </w:rPr>
        <w:t xml:space="preserve">vidaus kontrolės sistemos </w:t>
      </w:r>
      <w:r w:rsidR="00CD3D15" w:rsidRPr="00C82075">
        <w:rPr>
          <w:sz w:val="26"/>
          <w:szCs w:val="26"/>
          <w:lang w:val="lt-LT"/>
        </w:rPr>
        <w:t>elementus</w:t>
      </w:r>
      <w:r w:rsidR="00043747" w:rsidRPr="00C82075">
        <w:rPr>
          <w:sz w:val="26"/>
          <w:szCs w:val="26"/>
          <w:lang w:val="lt-LT"/>
        </w:rPr>
        <w:t>, t. y.</w:t>
      </w:r>
      <w:r w:rsidR="00EC17E5" w:rsidRPr="00C82075">
        <w:rPr>
          <w:sz w:val="26"/>
          <w:szCs w:val="26"/>
          <w:lang w:val="lt-LT"/>
        </w:rPr>
        <w:t xml:space="preserve"> </w:t>
      </w:r>
      <w:r w:rsidR="00043747" w:rsidRPr="00C82075">
        <w:rPr>
          <w:sz w:val="26"/>
          <w:szCs w:val="26"/>
          <w:lang w:val="lt-LT"/>
        </w:rPr>
        <w:t>kontrolės aplinką, įmonės rizikos vertinimo procesą, informacinę sistemą ir informavimą, kontrolės veiksmus, kontrolės stebėseną</w:t>
      </w:r>
      <w:r w:rsidR="00CC496D" w:rsidRPr="00C82075">
        <w:rPr>
          <w:sz w:val="26"/>
          <w:szCs w:val="26"/>
          <w:lang w:val="lt-LT"/>
        </w:rPr>
        <w:t>.</w:t>
      </w:r>
      <w:r w:rsidR="0023316F" w:rsidRPr="00C60E01">
        <w:rPr>
          <w:sz w:val="26"/>
          <w:szCs w:val="26"/>
          <w:lang w:val="lt-LT"/>
        </w:rPr>
        <w:t xml:space="preserve"> </w:t>
      </w:r>
      <w:r w:rsidR="00C60E01" w:rsidRPr="00C60E01">
        <w:rPr>
          <w:sz w:val="26"/>
          <w:szCs w:val="26"/>
          <w:lang w:val="lt-LT"/>
        </w:rPr>
        <w:t xml:space="preserve">Toliau apibendrinsime šių elementų </w:t>
      </w:r>
      <w:r w:rsidR="00C60E01">
        <w:rPr>
          <w:sz w:val="26"/>
          <w:szCs w:val="26"/>
          <w:lang w:val="lt-LT"/>
        </w:rPr>
        <w:t>esminius momentus</w:t>
      </w:r>
      <w:r w:rsidR="00C60E01" w:rsidRPr="00C60E01">
        <w:rPr>
          <w:sz w:val="26"/>
          <w:szCs w:val="26"/>
          <w:lang w:val="lt-LT"/>
        </w:rPr>
        <w:t>.</w:t>
      </w:r>
    </w:p>
    <w:p w:rsidR="004C3A6C" w:rsidRPr="00C82075" w:rsidRDefault="001774F6" w:rsidP="00043747">
      <w:pPr>
        <w:spacing w:line="360" w:lineRule="auto"/>
        <w:ind w:firstLine="720"/>
        <w:jc w:val="both"/>
        <w:rPr>
          <w:sz w:val="26"/>
          <w:szCs w:val="26"/>
          <w:lang w:val="lt-LT"/>
        </w:rPr>
      </w:pPr>
      <w:r w:rsidRPr="00C82075">
        <w:rPr>
          <w:i/>
          <w:sz w:val="26"/>
          <w:szCs w:val="26"/>
          <w:lang w:val="lt-LT"/>
        </w:rPr>
        <w:t>Vidaus kontrolės aplinkos</w:t>
      </w:r>
      <w:r w:rsidRPr="00C82075">
        <w:rPr>
          <w:sz w:val="26"/>
          <w:szCs w:val="26"/>
          <w:lang w:val="lt-LT"/>
        </w:rPr>
        <w:t xml:space="preserve"> kitaip „tono iš viršaus“ bei įmonės kultūros ir etikos svarba yra visiškai pripažįstama ir laikoma pagrindu sėkmingai įgyvendinant vidaus kontrolės sistemą (T</w:t>
      </w:r>
      <w:r w:rsidR="00825AB4" w:rsidRPr="00C82075">
        <w:rPr>
          <w:sz w:val="26"/>
          <w:szCs w:val="26"/>
          <w:lang w:val="lt-LT"/>
        </w:rPr>
        <w:t>BF</w:t>
      </w:r>
      <w:r w:rsidRPr="00C82075">
        <w:rPr>
          <w:sz w:val="26"/>
          <w:szCs w:val="26"/>
          <w:lang w:val="lt-LT"/>
        </w:rPr>
        <w:t xml:space="preserve"> </w:t>
      </w:r>
      <w:r w:rsidR="006D71E3" w:rsidRPr="00C82075">
        <w:rPr>
          <w:sz w:val="26"/>
          <w:szCs w:val="26"/>
          <w:lang w:val="lt-LT"/>
        </w:rPr>
        <w:t>Profesionalių b</w:t>
      </w:r>
      <w:r w:rsidRPr="00C82075">
        <w:rPr>
          <w:sz w:val="26"/>
          <w:szCs w:val="26"/>
          <w:lang w:val="lt-LT"/>
        </w:rPr>
        <w:t xml:space="preserve">uhalterių </w:t>
      </w:r>
      <w:r w:rsidR="00CC27E0" w:rsidRPr="00C82075">
        <w:rPr>
          <w:sz w:val="26"/>
          <w:szCs w:val="26"/>
          <w:lang w:val="lt-LT"/>
        </w:rPr>
        <w:t xml:space="preserve">versle komitetas, 2006, p. 14). Šios nuomonės laikosi ir R. Kanapickienė, G. Gipienė ir B. Jefimovas (2004) nurodydami, kad vidaus kontrolės sistema nebus efektyvi, jeigu ją kuriant nebus įvertinta, kokioje aplinkoje ji veiks. </w:t>
      </w:r>
      <w:r w:rsidR="002C3E36" w:rsidRPr="00C82075">
        <w:rPr>
          <w:sz w:val="26"/>
          <w:szCs w:val="26"/>
          <w:lang w:val="lt-LT"/>
        </w:rPr>
        <w:t>A</w:t>
      </w:r>
      <w:r w:rsidRPr="00C82075">
        <w:rPr>
          <w:sz w:val="26"/>
          <w:szCs w:val="26"/>
          <w:lang w:val="lt-LT"/>
        </w:rPr>
        <w:t>not R.</w:t>
      </w:r>
      <w:r w:rsidR="00C82075">
        <w:rPr>
          <w:sz w:val="26"/>
          <w:szCs w:val="26"/>
          <w:lang w:val="lt-LT"/>
        </w:rPr>
        <w:t> </w:t>
      </w:r>
      <w:r w:rsidRPr="00C82075">
        <w:rPr>
          <w:sz w:val="26"/>
          <w:szCs w:val="26"/>
          <w:lang w:val="lt-LT"/>
        </w:rPr>
        <w:t>E</w:t>
      </w:r>
      <w:r w:rsidR="00640811" w:rsidRPr="00C82075">
        <w:rPr>
          <w:sz w:val="26"/>
          <w:szCs w:val="26"/>
          <w:lang w:val="lt-LT"/>
        </w:rPr>
        <w:t>.</w:t>
      </w:r>
      <w:r w:rsidR="00C82075">
        <w:rPr>
          <w:sz w:val="26"/>
          <w:szCs w:val="26"/>
          <w:lang w:val="lt-LT"/>
        </w:rPr>
        <w:t> </w:t>
      </w:r>
      <w:r w:rsidRPr="00C82075">
        <w:rPr>
          <w:sz w:val="26"/>
          <w:szCs w:val="26"/>
          <w:lang w:val="lt-LT"/>
        </w:rPr>
        <w:t xml:space="preserve">Wortmann (2007), </w:t>
      </w:r>
      <w:r w:rsidR="002C3E36" w:rsidRPr="00C82075">
        <w:rPr>
          <w:sz w:val="26"/>
          <w:szCs w:val="26"/>
          <w:lang w:val="lt-LT"/>
        </w:rPr>
        <w:t>kontrolės aplinka,</w:t>
      </w:r>
      <w:r w:rsidR="005C2EB1" w:rsidRPr="00C82075">
        <w:rPr>
          <w:sz w:val="26"/>
          <w:szCs w:val="26"/>
          <w:lang w:val="lt-LT"/>
        </w:rPr>
        <w:t xml:space="preserve"> </w:t>
      </w:r>
      <w:r w:rsidRPr="00C82075">
        <w:rPr>
          <w:sz w:val="26"/>
          <w:szCs w:val="26"/>
          <w:lang w:val="lt-LT"/>
        </w:rPr>
        <w:t>teikia discipliną ir struktūrą visai sistemai. Jei vadovybė nesilaiko ir neskatina vidaus kontrolės politikos ir procedūrų, tuomet kitiems įmonė</w:t>
      </w:r>
      <w:r w:rsidR="00394E0E" w:rsidRPr="00C82075">
        <w:rPr>
          <w:sz w:val="26"/>
          <w:szCs w:val="26"/>
          <w:lang w:val="lt-LT"/>
        </w:rPr>
        <w:t>s</w:t>
      </w:r>
      <w:r w:rsidRPr="00C82075">
        <w:rPr>
          <w:sz w:val="26"/>
          <w:szCs w:val="26"/>
          <w:lang w:val="lt-LT"/>
        </w:rPr>
        <w:t xml:space="preserve"> d</w:t>
      </w:r>
      <w:r w:rsidR="00394E0E" w:rsidRPr="00C82075">
        <w:rPr>
          <w:sz w:val="26"/>
          <w:szCs w:val="26"/>
          <w:lang w:val="lt-LT"/>
        </w:rPr>
        <w:t xml:space="preserve">arbuotojams </w:t>
      </w:r>
      <w:r w:rsidRPr="00C82075">
        <w:rPr>
          <w:sz w:val="26"/>
          <w:szCs w:val="26"/>
          <w:lang w:val="lt-LT"/>
        </w:rPr>
        <w:t xml:space="preserve">kyla klausimas kokia prasmė </w:t>
      </w:r>
      <w:r w:rsidR="00394E0E" w:rsidRPr="00C82075">
        <w:rPr>
          <w:sz w:val="26"/>
          <w:szCs w:val="26"/>
          <w:lang w:val="lt-LT"/>
        </w:rPr>
        <w:t xml:space="preserve">to </w:t>
      </w:r>
      <w:r w:rsidRPr="00C82075">
        <w:rPr>
          <w:sz w:val="26"/>
          <w:szCs w:val="26"/>
          <w:lang w:val="lt-LT"/>
        </w:rPr>
        <w:t xml:space="preserve">laikytis. </w:t>
      </w:r>
      <w:r w:rsidR="00CC27E0" w:rsidRPr="00C82075">
        <w:rPr>
          <w:sz w:val="26"/>
          <w:szCs w:val="26"/>
          <w:lang w:val="lt-LT"/>
        </w:rPr>
        <w:t xml:space="preserve">J. Mackevičius (1999) nurodo, kad vadovybės požiūris į kontrolę svarbus tuo, nes vadovybė naudoja įvairias organizacines priemones, metodus </w:t>
      </w:r>
      <w:r w:rsidR="00CC27E0" w:rsidRPr="00C82075">
        <w:rPr>
          <w:sz w:val="26"/>
          <w:szCs w:val="26"/>
          <w:lang w:val="lt-LT"/>
        </w:rPr>
        <w:lastRenderedPageBreak/>
        <w:t xml:space="preserve">ir procedūras tam, kad užtikrintų efektyvų vadovavimą įmonei, vadovybės nurodymų laikymąsi, turto saugumą, tyčinių bei kitokių klaidų aptikimą ir jų eliminavimą, kad laiku būtų parengta patikima informacija. </w:t>
      </w:r>
      <w:r w:rsidR="00A17A88" w:rsidRPr="00C82075">
        <w:rPr>
          <w:sz w:val="26"/>
          <w:szCs w:val="26"/>
          <w:lang w:val="lt-LT"/>
        </w:rPr>
        <w:t xml:space="preserve">Be to, </w:t>
      </w:r>
      <w:r w:rsidR="006F533C" w:rsidRPr="00C82075">
        <w:rPr>
          <w:sz w:val="26"/>
          <w:szCs w:val="26"/>
          <w:lang w:val="lt-LT"/>
        </w:rPr>
        <w:t xml:space="preserve">daugelis autorių (Chen, Huang, Shih, 2006; Wortmann, 2007) pripažįsta, kad gera kontrolės aplinka nors ir nepašalina apgaulės galimybės, tačiau ji padeda sumažinti riziką dėl apgaulės. </w:t>
      </w:r>
      <w:r w:rsidR="0003738F" w:rsidRPr="00C82075">
        <w:rPr>
          <w:sz w:val="26"/>
          <w:szCs w:val="26"/>
          <w:lang w:val="lt-LT"/>
        </w:rPr>
        <w:t xml:space="preserve">Todėl reikėtų sutikti su </w:t>
      </w:r>
      <w:r w:rsidR="005C2EB1" w:rsidRPr="00C82075">
        <w:rPr>
          <w:sz w:val="26"/>
          <w:szCs w:val="26"/>
          <w:lang w:val="lt-LT"/>
        </w:rPr>
        <w:t>T. G. Kizirian, B.</w:t>
      </w:r>
      <w:r w:rsidR="00C82075">
        <w:rPr>
          <w:sz w:val="26"/>
          <w:szCs w:val="26"/>
          <w:lang w:val="lt-LT"/>
        </w:rPr>
        <w:t> </w:t>
      </w:r>
      <w:r w:rsidR="005C2EB1" w:rsidRPr="00C82075">
        <w:rPr>
          <w:sz w:val="26"/>
          <w:szCs w:val="26"/>
          <w:lang w:val="lt-LT"/>
        </w:rPr>
        <w:t>W</w:t>
      </w:r>
      <w:r w:rsidR="00C82075">
        <w:rPr>
          <w:sz w:val="26"/>
          <w:szCs w:val="26"/>
          <w:lang w:val="lt-LT"/>
        </w:rPr>
        <w:t>. </w:t>
      </w:r>
      <w:r w:rsidR="005C2EB1" w:rsidRPr="00C82075">
        <w:rPr>
          <w:sz w:val="26"/>
          <w:szCs w:val="26"/>
          <w:lang w:val="lt-LT"/>
        </w:rPr>
        <w:t xml:space="preserve">Mayhew ir L. D. Sneathen (2005) bei H. J. Chen, Sh. Y. Huang, K. Shih (2006) </w:t>
      </w:r>
      <w:r w:rsidR="0003738F" w:rsidRPr="00C82075">
        <w:rPr>
          <w:sz w:val="26"/>
          <w:szCs w:val="26"/>
          <w:lang w:val="lt-LT"/>
        </w:rPr>
        <w:t>nuomone, kad</w:t>
      </w:r>
      <w:r w:rsidR="005C2EB1" w:rsidRPr="00C82075">
        <w:rPr>
          <w:sz w:val="26"/>
          <w:szCs w:val="26"/>
          <w:lang w:val="lt-LT"/>
        </w:rPr>
        <w:t xml:space="preserve"> įmonės</w:t>
      </w:r>
      <w:r w:rsidR="00A12AE1" w:rsidRPr="00C82075">
        <w:rPr>
          <w:sz w:val="26"/>
          <w:szCs w:val="26"/>
          <w:lang w:val="lt-LT"/>
        </w:rPr>
        <w:t xml:space="preserve"> </w:t>
      </w:r>
      <w:r w:rsidR="005C2EB1" w:rsidRPr="00C82075">
        <w:rPr>
          <w:sz w:val="26"/>
          <w:szCs w:val="26"/>
          <w:lang w:val="lt-LT"/>
        </w:rPr>
        <w:t xml:space="preserve">kontrolės aplinkos būklė yra susijusi su rizikomis, su kuriomis auditorius susiduria atlikdamas auditą. </w:t>
      </w:r>
      <w:r w:rsidR="00DE0AF9" w:rsidRPr="00C82075">
        <w:rPr>
          <w:sz w:val="26"/>
          <w:szCs w:val="26"/>
          <w:lang w:val="lt-LT"/>
        </w:rPr>
        <w:t>Ne</w:t>
      </w:r>
      <w:r w:rsidR="00901902" w:rsidRPr="00C82075">
        <w:rPr>
          <w:sz w:val="26"/>
          <w:szCs w:val="26"/>
          <w:lang w:val="lt-LT"/>
        </w:rPr>
        <w:t>teisingas kontrolės aplinkos išsiaiškinimas nulems neteisingą įgimtos ir kontrolės rizikų vertinimą, todėl tikėtina, kad nulems klaidas audite, t. y. auditorius neaptiks reikšmingų iškraipymų ir bus suformuluota netinkama nuomonė.</w:t>
      </w:r>
      <w:r w:rsidR="00DE0AF9" w:rsidRPr="00C82075">
        <w:rPr>
          <w:sz w:val="26"/>
          <w:szCs w:val="26"/>
          <w:lang w:val="lt-LT"/>
        </w:rPr>
        <w:t xml:space="preserve"> </w:t>
      </w:r>
      <w:r w:rsidR="005753CF" w:rsidRPr="00C82075">
        <w:rPr>
          <w:sz w:val="26"/>
          <w:szCs w:val="26"/>
          <w:lang w:val="lt-LT"/>
        </w:rPr>
        <w:t xml:space="preserve">Supratimas </w:t>
      </w:r>
      <w:r w:rsidR="00A12AE1" w:rsidRPr="00C82075">
        <w:rPr>
          <w:sz w:val="26"/>
          <w:szCs w:val="26"/>
          <w:lang w:val="lt-LT"/>
        </w:rPr>
        <w:t>apie įmonės</w:t>
      </w:r>
      <w:r w:rsidR="005753CF" w:rsidRPr="00C82075">
        <w:rPr>
          <w:sz w:val="26"/>
          <w:szCs w:val="26"/>
          <w:lang w:val="lt-LT"/>
        </w:rPr>
        <w:t xml:space="preserve"> </w:t>
      </w:r>
      <w:r w:rsidR="005753CF" w:rsidRPr="00C82075">
        <w:rPr>
          <w:i/>
          <w:sz w:val="26"/>
          <w:szCs w:val="26"/>
          <w:lang w:val="lt-LT"/>
        </w:rPr>
        <w:t>rizikos vertinimo procesą</w:t>
      </w:r>
      <w:r w:rsidR="005753CF" w:rsidRPr="00C82075">
        <w:rPr>
          <w:sz w:val="26"/>
          <w:szCs w:val="26"/>
          <w:lang w:val="lt-LT"/>
        </w:rPr>
        <w:t xml:space="preserve"> yra svarbus nusta</w:t>
      </w:r>
      <w:r w:rsidR="00E37C1D" w:rsidRPr="00C82075">
        <w:rPr>
          <w:sz w:val="26"/>
          <w:szCs w:val="26"/>
          <w:lang w:val="lt-LT"/>
        </w:rPr>
        <w:t>tan</w:t>
      </w:r>
      <w:r w:rsidR="005753CF" w:rsidRPr="00C82075">
        <w:rPr>
          <w:sz w:val="26"/>
          <w:szCs w:val="26"/>
          <w:lang w:val="lt-LT"/>
        </w:rPr>
        <w:t>t vidaus kontrolės sistemos kokybę (R. E. Wortmann, 2007)</w:t>
      </w:r>
      <w:r w:rsidR="00C05EAC" w:rsidRPr="00C82075">
        <w:rPr>
          <w:sz w:val="26"/>
          <w:szCs w:val="26"/>
          <w:lang w:val="lt-LT"/>
        </w:rPr>
        <w:t xml:space="preserve">. </w:t>
      </w:r>
      <w:r w:rsidR="006255AA" w:rsidRPr="00C82075">
        <w:rPr>
          <w:sz w:val="26"/>
          <w:szCs w:val="26"/>
          <w:lang w:val="lt-LT"/>
        </w:rPr>
        <w:t xml:space="preserve">Jei tokio proceso nėra, aišku padidėja audito rizika. </w:t>
      </w:r>
      <w:r w:rsidR="00C05EAC" w:rsidRPr="00C82075">
        <w:rPr>
          <w:sz w:val="26"/>
          <w:szCs w:val="26"/>
          <w:lang w:val="lt-LT"/>
        </w:rPr>
        <w:t xml:space="preserve">Būtent su jo pagalba galima išsiaiškinti kaip </w:t>
      </w:r>
      <w:r w:rsidR="00A17A88" w:rsidRPr="00C82075">
        <w:rPr>
          <w:sz w:val="26"/>
          <w:szCs w:val="26"/>
          <w:lang w:val="lt-LT"/>
        </w:rPr>
        <w:t xml:space="preserve">įmonės </w:t>
      </w:r>
      <w:r w:rsidR="00C05EAC" w:rsidRPr="00C82075">
        <w:rPr>
          <w:sz w:val="26"/>
          <w:szCs w:val="26"/>
          <w:lang w:val="lt-LT"/>
        </w:rPr>
        <w:t>vadovybė nustato verslo rizikas</w:t>
      </w:r>
      <w:r w:rsidR="00136E7E" w:rsidRPr="00C82075">
        <w:rPr>
          <w:sz w:val="26"/>
          <w:szCs w:val="26"/>
          <w:lang w:val="lt-LT"/>
        </w:rPr>
        <w:t>, atsižvelgdama į vid</w:t>
      </w:r>
      <w:r w:rsidR="00454D79">
        <w:rPr>
          <w:sz w:val="26"/>
          <w:szCs w:val="26"/>
          <w:lang w:val="lt-LT"/>
        </w:rPr>
        <w:t>aus</w:t>
      </w:r>
      <w:r w:rsidR="00136E7E" w:rsidRPr="00C82075">
        <w:rPr>
          <w:sz w:val="26"/>
          <w:szCs w:val="26"/>
          <w:lang w:val="lt-LT"/>
        </w:rPr>
        <w:t xml:space="preserve"> ir išor</w:t>
      </w:r>
      <w:r w:rsidR="00454D79">
        <w:rPr>
          <w:sz w:val="26"/>
          <w:szCs w:val="26"/>
          <w:lang w:val="lt-LT"/>
        </w:rPr>
        <w:t>ės</w:t>
      </w:r>
      <w:r w:rsidR="00136E7E" w:rsidRPr="00C82075">
        <w:rPr>
          <w:sz w:val="26"/>
          <w:szCs w:val="26"/>
          <w:lang w:val="lt-LT"/>
        </w:rPr>
        <w:t xml:space="preserve"> veiksnių įtaką (auditoriui svarbią įgimtą riziką)</w:t>
      </w:r>
      <w:r w:rsidR="00C05EAC" w:rsidRPr="00C82075">
        <w:rPr>
          <w:sz w:val="26"/>
          <w:szCs w:val="26"/>
          <w:lang w:val="lt-LT"/>
        </w:rPr>
        <w:t>, įvertina jų svarbą ir pasireiškimo galimybę bei nusprendžia kokių veiksmų imtis.</w:t>
      </w:r>
      <w:r w:rsidR="006255AA" w:rsidRPr="00C82075">
        <w:rPr>
          <w:sz w:val="26"/>
          <w:szCs w:val="26"/>
          <w:lang w:val="lt-LT"/>
        </w:rPr>
        <w:t xml:space="preserve"> Pasak, R. B. Dusenbury, J.</w:t>
      </w:r>
      <w:r w:rsidR="00302364">
        <w:rPr>
          <w:sz w:val="26"/>
          <w:szCs w:val="26"/>
          <w:lang w:val="lt-LT"/>
        </w:rPr>
        <w:t> </w:t>
      </w:r>
      <w:r w:rsidR="006255AA" w:rsidRPr="00C82075">
        <w:rPr>
          <w:sz w:val="26"/>
          <w:szCs w:val="26"/>
          <w:lang w:val="lt-LT"/>
        </w:rPr>
        <w:t>L.</w:t>
      </w:r>
      <w:r w:rsidR="00302364">
        <w:rPr>
          <w:sz w:val="26"/>
          <w:szCs w:val="26"/>
          <w:lang w:val="lt-LT"/>
        </w:rPr>
        <w:t> </w:t>
      </w:r>
      <w:r w:rsidR="006255AA" w:rsidRPr="00C82075">
        <w:rPr>
          <w:sz w:val="26"/>
          <w:szCs w:val="26"/>
          <w:lang w:val="lt-LT"/>
        </w:rPr>
        <w:t xml:space="preserve">Reimers, S. W Wheeler (2000b), </w:t>
      </w:r>
      <w:r w:rsidR="000C1528" w:rsidRPr="00C82075">
        <w:rPr>
          <w:sz w:val="26"/>
          <w:szCs w:val="26"/>
          <w:lang w:val="lt-LT"/>
        </w:rPr>
        <w:t>auditorius turėtų žinoti</w:t>
      </w:r>
      <w:r w:rsidR="006255AA" w:rsidRPr="00C82075">
        <w:rPr>
          <w:sz w:val="26"/>
          <w:szCs w:val="26"/>
          <w:lang w:val="lt-LT"/>
        </w:rPr>
        <w:t xml:space="preserve">, jei </w:t>
      </w:r>
      <w:r w:rsidR="000C1528" w:rsidRPr="00C82075">
        <w:rPr>
          <w:sz w:val="26"/>
          <w:szCs w:val="26"/>
          <w:lang w:val="lt-LT"/>
        </w:rPr>
        <w:t xml:space="preserve">įmonės vidaus kontrolės sistema sukurta tam, kad sumažinti įmonės įgimtą riziką, tai </w:t>
      </w:r>
      <w:r w:rsidR="006255AA" w:rsidRPr="00C82075">
        <w:rPr>
          <w:sz w:val="26"/>
          <w:szCs w:val="26"/>
          <w:lang w:val="lt-LT"/>
        </w:rPr>
        <w:t xml:space="preserve">nėra tinkama </w:t>
      </w:r>
      <w:r w:rsidR="000C1528" w:rsidRPr="00C82075">
        <w:rPr>
          <w:sz w:val="26"/>
          <w:szCs w:val="26"/>
          <w:lang w:val="lt-LT"/>
        </w:rPr>
        <w:t xml:space="preserve">vertinti įgimtą ir kontrolės rizikas atskirai. </w:t>
      </w:r>
      <w:r w:rsidR="006E656F" w:rsidRPr="00C82075">
        <w:rPr>
          <w:sz w:val="26"/>
          <w:szCs w:val="26"/>
          <w:lang w:val="lt-LT"/>
        </w:rPr>
        <w:t xml:space="preserve">Tuo tarpu vidaus kontrolės elementas – </w:t>
      </w:r>
      <w:r w:rsidR="006E656F" w:rsidRPr="00C82075">
        <w:rPr>
          <w:i/>
          <w:sz w:val="26"/>
          <w:szCs w:val="26"/>
          <w:lang w:val="lt-LT"/>
        </w:rPr>
        <w:t>informacinė sistema ir informavimas</w:t>
      </w:r>
      <w:r w:rsidR="006E656F" w:rsidRPr="00C82075">
        <w:rPr>
          <w:sz w:val="26"/>
          <w:szCs w:val="26"/>
          <w:lang w:val="lt-LT"/>
        </w:rPr>
        <w:t xml:space="preserve">, </w:t>
      </w:r>
      <w:r w:rsidR="003A3BC3" w:rsidRPr="00C82075">
        <w:rPr>
          <w:sz w:val="26"/>
          <w:szCs w:val="26"/>
          <w:lang w:val="lt-LT"/>
        </w:rPr>
        <w:t xml:space="preserve">apimantis IT ar rankinių sistemų procedūras ir </w:t>
      </w:r>
      <w:r w:rsidR="008C0A50" w:rsidRPr="00C82075">
        <w:rPr>
          <w:sz w:val="26"/>
          <w:szCs w:val="26"/>
          <w:lang w:val="lt-LT"/>
        </w:rPr>
        <w:t xml:space="preserve">susijusius </w:t>
      </w:r>
      <w:r w:rsidR="003A3BC3" w:rsidRPr="00C82075">
        <w:rPr>
          <w:sz w:val="26"/>
          <w:szCs w:val="26"/>
          <w:lang w:val="lt-LT"/>
        </w:rPr>
        <w:t>įraš</w:t>
      </w:r>
      <w:r w:rsidR="008C0A50" w:rsidRPr="00C82075">
        <w:rPr>
          <w:sz w:val="26"/>
          <w:szCs w:val="26"/>
          <w:lang w:val="lt-LT"/>
        </w:rPr>
        <w:t>us</w:t>
      </w:r>
      <w:r w:rsidR="003A3BC3" w:rsidRPr="00C82075">
        <w:rPr>
          <w:sz w:val="26"/>
          <w:szCs w:val="26"/>
          <w:lang w:val="lt-LT"/>
        </w:rPr>
        <w:t xml:space="preserve"> ūkinėms operacijoms/įvykiams inicijuoti, registruoti, apdoroti ir ataskaitoms parengti</w:t>
      </w:r>
      <w:r w:rsidR="008C0A50" w:rsidRPr="00C82075">
        <w:rPr>
          <w:sz w:val="26"/>
          <w:szCs w:val="26"/>
          <w:lang w:val="lt-LT"/>
        </w:rPr>
        <w:t>,</w:t>
      </w:r>
      <w:r w:rsidR="001E47D4" w:rsidRPr="00C82075">
        <w:rPr>
          <w:sz w:val="26"/>
          <w:szCs w:val="26"/>
          <w:lang w:val="lt-LT"/>
        </w:rPr>
        <w:t xml:space="preserve"> </w:t>
      </w:r>
      <w:r w:rsidR="006E656F" w:rsidRPr="00C82075">
        <w:rPr>
          <w:sz w:val="26"/>
          <w:szCs w:val="26"/>
          <w:lang w:val="lt-LT"/>
        </w:rPr>
        <w:t xml:space="preserve">turi </w:t>
      </w:r>
      <w:r w:rsidR="00997FF9" w:rsidRPr="00C82075">
        <w:rPr>
          <w:sz w:val="26"/>
          <w:szCs w:val="26"/>
          <w:lang w:val="lt-LT"/>
        </w:rPr>
        <w:t>didelę</w:t>
      </w:r>
      <w:r w:rsidR="00A12AE1" w:rsidRPr="00C82075">
        <w:rPr>
          <w:sz w:val="26"/>
          <w:szCs w:val="26"/>
          <w:lang w:val="lt-LT"/>
        </w:rPr>
        <w:t xml:space="preserve"> reikšmę įmonės</w:t>
      </w:r>
      <w:r w:rsidR="006E656F" w:rsidRPr="00C82075">
        <w:rPr>
          <w:sz w:val="26"/>
          <w:szCs w:val="26"/>
          <w:lang w:val="lt-LT"/>
        </w:rPr>
        <w:t xml:space="preserve"> finansinių ataskaitų su</w:t>
      </w:r>
      <w:r w:rsidR="00903E7B" w:rsidRPr="00C82075">
        <w:rPr>
          <w:sz w:val="26"/>
          <w:szCs w:val="26"/>
          <w:lang w:val="lt-LT"/>
        </w:rPr>
        <w:t>d</w:t>
      </w:r>
      <w:r w:rsidR="006E656F" w:rsidRPr="00C82075">
        <w:rPr>
          <w:sz w:val="26"/>
          <w:szCs w:val="26"/>
          <w:lang w:val="lt-LT"/>
        </w:rPr>
        <w:t>arymui</w:t>
      </w:r>
      <w:r w:rsidR="0089588E" w:rsidRPr="00C82075">
        <w:rPr>
          <w:sz w:val="26"/>
          <w:szCs w:val="26"/>
          <w:lang w:val="lt-LT"/>
        </w:rPr>
        <w:t xml:space="preserve"> ir jų patikimumui</w:t>
      </w:r>
      <w:r w:rsidR="003B385A" w:rsidRPr="00C82075">
        <w:rPr>
          <w:sz w:val="26"/>
          <w:szCs w:val="26"/>
          <w:lang w:val="lt-LT"/>
        </w:rPr>
        <w:t xml:space="preserve">, todėl ypač </w:t>
      </w:r>
      <w:r w:rsidR="00E37C1D" w:rsidRPr="00C82075">
        <w:rPr>
          <w:sz w:val="26"/>
          <w:szCs w:val="26"/>
          <w:lang w:val="lt-LT"/>
        </w:rPr>
        <w:t>auditoriui svarbu suprasti informacinę sistemą,</w:t>
      </w:r>
      <w:r w:rsidR="003B385A" w:rsidRPr="00C82075">
        <w:rPr>
          <w:i/>
          <w:sz w:val="26"/>
          <w:szCs w:val="26"/>
          <w:lang w:val="lt-LT"/>
        </w:rPr>
        <w:t xml:space="preserve"> </w:t>
      </w:r>
      <w:r w:rsidR="003B385A" w:rsidRPr="00C82075">
        <w:rPr>
          <w:sz w:val="26"/>
          <w:szCs w:val="26"/>
          <w:lang w:val="lt-LT"/>
        </w:rPr>
        <w:t xml:space="preserve">tame tarpe ir </w:t>
      </w:r>
      <w:r w:rsidR="00875A32" w:rsidRPr="00C82075">
        <w:rPr>
          <w:sz w:val="26"/>
          <w:szCs w:val="26"/>
          <w:lang w:val="lt-LT"/>
        </w:rPr>
        <w:t xml:space="preserve">buhalterinės </w:t>
      </w:r>
      <w:r w:rsidR="00A04321" w:rsidRPr="00C82075">
        <w:rPr>
          <w:sz w:val="26"/>
          <w:szCs w:val="26"/>
          <w:lang w:val="lt-LT"/>
        </w:rPr>
        <w:t>apskaitos sistemą</w:t>
      </w:r>
      <w:r w:rsidR="00903E7B" w:rsidRPr="00C82075">
        <w:rPr>
          <w:sz w:val="26"/>
          <w:szCs w:val="26"/>
          <w:lang w:val="lt-LT"/>
        </w:rPr>
        <w:t xml:space="preserve">. </w:t>
      </w:r>
      <w:r w:rsidR="00535E75" w:rsidRPr="00C82075">
        <w:rPr>
          <w:sz w:val="26"/>
          <w:szCs w:val="26"/>
          <w:lang w:val="lt-LT"/>
        </w:rPr>
        <w:t>S</w:t>
      </w:r>
      <w:r w:rsidR="004A576A" w:rsidRPr="00C82075">
        <w:rPr>
          <w:sz w:val="26"/>
          <w:szCs w:val="26"/>
          <w:lang w:val="lt-LT"/>
        </w:rPr>
        <w:t>upratim</w:t>
      </w:r>
      <w:r w:rsidR="00535E75" w:rsidRPr="00C82075">
        <w:rPr>
          <w:sz w:val="26"/>
          <w:szCs w:val="26"/>
          <w:lang w:val="lt-LT"/>
        </w:rPr>
        <w:t>as</w:t>
      </w:r>
      <w:r w:rsidR="004A576A" w:rsidRPr="00C82075">
        <w:rPr>
          <w:sz w:val="26"/>
          <w:szCs w:val="26"/>
          <w:lang w:val="lt-LT"/>
        </w:rPr>
        <w:t xml:space="preserve"> apie </w:t>
      </w:r>
      <w:r w:rsidR="004A576A" w:rsidRPr="00C82075">
        <w:rPr>
          <w:i/>
          <w:sz w:val="26"/>
          <w:szCs w:val="26"/>
          <w:lang w:val="lt-LT"/>
        </w:rPr>
        <w:t>kontrolės veiksmus</w:t>
      </w:r>
      <w:r w:rsidR="00535E75" w:rsidRPr="00C82075">
        <w:rPr>
          <w:sz w:val="26"/>
          <w:szCs w:val="26"/>
          <w:lang w:val="lt-LT"/>
        </w:rPr>
        <w:t xml:space="preserve"> leidžia</w:t>
      </w:r>
      <w:r w:rsidR="004A576A" w:rsidRPr="00C82075">
        <w:rPr>
          <w:sz w:val="26"/>
          <w:szCs w:val="26"/>
          <w:lang w:val="lt-LT"/>
        </w:rPr>
        <w:t xml:space="preserve"> auditoriu</w:t>
      </w:r>
      <w:r w:rsidR="00535E75" w:rsidRPr="00C82075">
        <w:rPr>
          <w:sz w:val="26"/>
          <w:szCs w:val="26"/>
          <w:lang w:val="lt-LT"/>
        </w:rPr>
        <w:t>i</w:t>
      </w:r>
      <w:r w:rsidR="004A576A" w:rsidRPr="00C82075">
        <w:rPr>
          <w:sz w:val="26"/>
          <w:szCs w:val="26"/>
          <w:lang w:val="lt-LT"/>
        </w:rPr>
        <w:t xml:space="preserve"> išsiaiškin</w:t>
      </w:r>
      <w:r w:rsidR="00535E75" w:rsidRPr="00C82075">
        <w:rPr>
          <w:sz w:val="26"/>
          <w:szCs w:val="26"/>
          <w:lang w:val="lt-LT"/>
        </w:rPr>
        <w:t>ti</w:t>
      </w:r>
      <w:r w:rsidR="004A576A" w:rsidRPr="00C82075">
        <w:rPr>
          <w:sz w:val="26"/>
          <w:szCs w:val="26"/>
          <w:lang w:val="lt-LT"/>
        </w:rPr>
        <w:t>, kaip ir ar iš viso tam tikras kontrolės veiksmas atskirai ar kartu su kitais kontrolės veiksmais nustato, ištaiso ar apsaugo nuo reikšmingų iškraipymų</w:t>
      </w:r>
      <w:r w:rsidR="00477DBD" w:rsidRPr="00C82075">
        <w:rPr>
          <w:sz w:val="26"/>
          <w:szCs w:val="26"/>
          <w:lang w:val="lt-LT"/>
        </w:rPr>
        <w:t xml:space="preserve"> </w:t>
      </w:r>
      <w:r w:rsidR="004A576A" w:rsidRPr="00C82075">
        <w:rPr>
          <w:sz w:val="26"/>
          <w:szCs w:val="26"/>
          <w:lang w:val="lt-LT"/>
        </w:rPr>
        <w:t>(315 TSA, 2006)</w:t>
      </w:r>
      <w:r w:rsidR="00625F30" w:rsidRPr="00C82075">
        <w:rPr>
          <w:sz w:val="26"/>
          <w:szCs w:val="26"/>
          <w:lang w:val="lt-LT"/>
        </w:rPr>
        <w:t>.</w:t>
      </w:r>
      <w:r w:rsidR="000066E6" w:rsidRPr="00C82075">
        <w:rPr>
          <w:sz w:val="26"/>
          <w:szCs w:val="26"/>
          <w:lang w:val="lt-LT"/>
        </w:rPr>
        <w:t xml:space="preserve"> Tai reiškia, kad kontrolės veiksmai </w:t>
      </w:r>
      <w:r w:rsidR="00DA2205" w:rsidRPr="00C82075">
        <w:rPr>
          <w:sz w:val="26"/>
          <w:szCs w:val="26"/>
          <w:lang w:val="lt-LT"/>
        </w:rPr>
        <w:t xml:space="preserve">lemia </w:t>
      </w:r>
      <w:r w:rsidR="000066E6" w:rsidRPr="00C82075">
        <w:rPr>
          <w:sz w:val="26"/>
          <w:szCs w:val="26"/>
          <w:lang w:val="lt-LT"/>
        </w:rPr>
        <w:t>įmonės vidaus kontrolės sistemos veiksmingum</w:t>
      </w:r>
      <w:r w:rsidR="00DA2205" w:rsidRPr="00C82075">
        <w:rPr>
          <w:sz w:val="26"/>
          <w:szCs w:val="26"/>
          <w:lang w:val="lt-LT"/>
        </w:rPr>
        <w:t>ą</w:t>
      </w:r>
      <w:r w:rsidR="000066E6" w:rsidRPr="00C82075">
        <w:rPr>
          <w:sz w:val="26"/>
          <w:szCs w:val="26"/>
          <w:lang w:val="lt-LT"/>
        </w:rPr>
        <w:t>.</w:t>
      </w:r>
      <w:r w:rsidR="00625F30" w:rsidRPr="00C82075">
        <w:rPr>
          <w:sz w:val="26"/>
          <w:szCs w:val="26"/>
          <w:lang w:val="lt-LT"/>
        </w:rPr>
        <w:t xml:space="preserve"> </w:t>
      </w:r>
      <w:r w:rsidR="00E37C1D" w:rsidRPr="00C82075">
        <w:rPr>
          <w:i/>
          <w:sz w:val="26"/>
          <w:szCs w:val="26"/>
          <w:lang w:val="lt-LT"/>
        </w:rPr>
        <w:t>Kontrolės stebėsena</w:t>
      </w:r>
      <w:r w:rsidR="00E37C1D" w:rsidRPr="00C82075">
        <w:rPr>
          <w:sz w:val="26"/>
          <w:szCs w:val="26"/>
          <w:lang w:val="lt-LT"/>
        </w:rPr>
        <w:t xml:space="preserve"> </w:t>
      </w:r>
      <w:r w:rsidR="008E5D1C" w:rsidRPr="00C82075">
        <w:rPr>
          <w:sz w:val="26"/>
          <w:szCs w:val="26"/>
          <w:lang w:val="lt-LT"/>
        </w:rPr>
        <w:t xml:space="preserve">atliekama siekiant užtikrinti </w:t>
      </w:r>
      <w:r w:rsidR="008E5D1C" w:rsidRPr="00C82075">
        <w:rPr>
          <w:sz w:val="26"/>
          <w:szCs w:val="26"/>
          <w:lang w:val="lt-LT"/>
        </w:rPr>
        <w:lastRenderedPageBreak/>
        <w:t xml:space="preserve">nuolatinį efektyvų kontrolės procedūrų veikimą, </w:t>
      </w:r>
      <w:r w:rsidR="004D5465" w:rsidRPr="00C82075">
        <w:rPr>
          <w:sz w:val="26"/>
          <w:szCs w:val="26"/>
          <w:lang w:val="lt-LT"/>
        </w:rPr>
        <w:t>ji</w:t>
      </w:r>
      <w:r w:rsidR="00FB6BF8" w:rsidRPr="00C82075">
        <w:rPr>
          <w:sz w:val="26"/>
          <w:szCs w:val="26"/>
          <w:lang w:val="lt-LT"/>
        </w:rPr>
        <w:t xml:space="preserve"> </w:t>
      </w:r>
      <w:r w:rsidR="00133472" w:rsidRPr="00C82075">
        <w:rPr>
          <w:sz w:val="26"/>
          <w:szCs w:val="26"/>
          <w:lang w:val="lt-LT"/>
        </w:rPr>
        <w:t>taip pat padeda</w:t>
      </w:r>
      <w:r w:rsidR="00FB6BF8" w:rsidRPr="00C82075">
        <w:rPr>
          <w:sz w:val="26"/>
          <w:szCs w:val="26"/>
          <w:lang w:val="lt-LT"/>
        </w:rPr>
        <w:t xml:space="preserve"> auditoriui suprasti</w:t>
      </w:r>
      <w:r w:rsidR="0031749C" w:rsidRPr="00C82075">
        <w:rPr>
          <w:sz w:val="26"/>
          <w:szCs w:val="26"/>
          <w:lang w:val="lt-LT"/>
        </w:rPr>
        <w:t>, kokį vaidmenį įmonės vidaus kontrolė</w:t>
      </w:r>
      <w:r w:rsidR="00E60FEC" w:rsidRPr="00C82075">
        <w:rPr>
          <w:sz w:val="26"/>
          <w:szCs w:val="26"/>
          <w:lang w:val="lt-LT"/>
        </w:rPr>
        <w:t>s sistemoj</w:t>
      </w:r>
      <w:r w:rsidR="0031749C" w:rsidRPr="00C82075">
        <w:rPr>
          <w:sz w:val="26"/>
          <w:szCs w:val="26"/>
          <w:lang w:val="lt-LT"/>
        </w:rPr>
        <w:t>e turi</w:t>
      </w:r>
      <w:r w:rsidR="00FB6BF8" w:rsidRPr="00C82075">
        <w:rPr>
          <w:sz w:val="26"/>
          <w:szCs w:val="26"/>
          <w:lang w:val="lt-LT"/>
        </w:rPr>
        <w:t xml:space="preserve"> vadovybė ir už įmonės valdymą atsaking</w:t>
      </w:r>
      <w:r w:rsidR="0031749C" w:rsidRPr="00C82075">
        <w:rPr>
          <w:sz w:val="26"/>
          <w:szCs w:val="26"/>
          <w:lang w:val="lt-LT"/>
        </w:rPr>
        <w:t>i</w:t>
      </w:r>
      <w:r w:rsidR="00FB6BF8" w:rsidRPr="00C82075">
        <w:rPr>
          <w:sz w:val="26"/>
          <w:szCs w:val="26"/>
          <w:lang w:val="lt-LT"/>
        </w:rPr>
        <w:t xml:space="preserve"> asmen</w:t>
      </w:r>
      <w:r w:rsidR="0031749C" w:rsidRPr="00C82075">
        <w:rPr>
          <w:sz w:val="26"/>
          <w:szCs w:val="26"/>
          <w:lang w:val="lt-LT"/>
        </w:rPr>
        <w:t xml:space="preserve">ys bei kaip </w:t>
      </w:r>
      <w:r w:rsidR="00E6199E" w:rsidRPr="00C82075">
        <w:rPr>
          <w:sz w:val="26"/>
          <w:szCs w:val="26"/>
          <w:lang w:val="lt-LT"/>
        </w:rPr>
        <w:t>jų</w:t>
      </w:r>
      <w:r w:rsidR="0031749C" w:rsidRPr="00C82075">
        <w:rPr>
          <w:sz w:val="26"/>
          <w:szCs w:val="26"/>
          <w:lang w:val="lt-LT"/>
        </w:rPr>
        <w:t xml:space="preserve"> kontrolės </w:t>
      </w:r>
      <w:r w:rsidR="008E5D1C" w:rsidRPr="00C82075">
        <w:rPr>
          <w:sz w:val="26"/>
          <w:szCs w:val="26"/>
          <w:lang w:val="lt-LT"/>
        </w:rPr>
        <w:t xml:space="preserve">procedūros </w:t>
      </w:r>
      <w:r w:rsidR="0031749C" w:rsidRPr="00C82075">
        <w:rPr>
          <w:sz w:val="26"/>
          <w:szCs w:val="26"/>
          <w:lang w:val="lt-LT"/>
        </w:rPr>
        <w:t>gali paveikti auditoriaus procedūras</w:t>
      </w:r>
      <w:r w:rsidR="00E6199E" w:rsidRPr="00C82075">
        <w:rPr>
          <w:sz w:val="26"/>
          <w:szCs w:val="26"/>
          <w:lang w:val="lt-LT"/>
        </w:rPr>
        <w:t xml:space="preserve"> (</w:t>
      </w:r>
      <w:r w:rsidR="00AA19AA" w:rsidRPr="00C82075">
        <w:rPr>
          <w:sz w:val="26"/>
          <w:szCs w:val="26"/>
        </w:rPr>
        <w:t>Accountants Today</w:t>
      </w:r>
      <w:r w:rsidR="00AA19AA" w:rsidRPr="00C82075">
        <w:rPr>
          <w:sz w:val="26"/>
          <w:szCs w:val="26"/>
          <w:lang w:val="lt-LT"/>
        </w:rPr>
        <w:t>, 2005, p.</w:t>
      </w:r>
      <w:r w:rsidR="00C518CF" w:rsidRPr="00C82075">
        <w:rPr>
          <w:sz w:val="26"/>
          <w:szCs w:val="26"/>
          <w:lang w:val="lt-LT"/>
        </w:rPr>
        <w:t xml:space="preserve"> </w:t>
      </w:r>
      <w:r w:rsidR="00AA19AA" w:rsidRPr="00C82075">
        <w:rPr>
          <w:sz w:val="26"/>
          <w:szCs w:val="26"/>
          <w:lang w:val="lt-LT"/>
        </w:rPr>
        <w:t>37)</w:t>
      </w:r>
      <w:r w:rsidR="0031749C" w:rsidRPr="00C82075">
        <w:rPr>
          <w:sz w:val="26"/>
          <w:szCs w:val="26"/>
          <w:lang w:val="lt-LT"/>
        </w:rPr>
        <w:t>.</w:t>
      </w:r>
      <w:r w:rsidR="00FD5BEF" w:rsidRPr="00C82075">
        <w:rPr>
          <w:sz w:val="26"/>
          <w:szCs w:val="26"/>
          <w:lang w:val="lt-LT"/>
        </w:rPr>
        <w:t xml:space="preserve"> </w:t>
      </w:r>
    </w:p>
    <w:p w:rsidR="00A654A5" w:rsidRPr="00C82075" w:rsidRDefault="00F004D4" w:rsidP="00A654A5">
      <w:pPr>
        <w:spacing w:line="360" w:lineRule="auto"/>
        <w:ind w:firstLine="720"/>
        <w:jc w:val="both"/>
        <w:rPr>
          <w:color w:val="000000" w:themeColor="text1"/>
          <w:sz w:val="26"/>
          <w:szCs w:val="26"/>
          <w:lang w:val="lt-LT"/>
        </w:rPr>
      </w:pPr>
      <w:r w:rsidRPr="00C82075">
        <w:rPr>
          <w:sz w:val="26"/>
          <w:szCs w:val="26"/>
          <w:lang w:val="lt-LT"/>
        </w:rPr>
        <w:t>Apibendrinus įvairių autorių pareikštas nuomones apie įmonės vidaus kontrolės sistemos elementus, galima išskirti svarbiausius teiginius: 1)</w:t>
      </w:r>
      <w:r w:rsidR="00041860">
        <w:rPr>
          <w:sz w:val="26"/>
          <w:szCs w:val="26"/>
          <w:lang w:val="lt-LT"/>
        </w:rPr>
        <w:t> </w:t>
      </w:r>
      <w:r w:rsidRPr="00C82075">
        <w:rPr>
          <w:sz w:val="26"/>
          <w:szCs w:val="26"/>
          <w:lang w:val="lt-LT"/>
        </w:rPr>
        <w:t xml:space="preserve">kontrolės aplinka teikia discipliną ir struktūrą visai sistemai ir jos būklė yra susijusi su įgimta ir kontrolės rizikomis; 2) rizikos vertinimo procesas atskleidžia vidaus kontrolės sistemos kokybę ir nurodo kaip auditoriui dera vertinti įgimtą ir kontrolės rizikas, atskirai ar kartu; 3) informacinė sistema (buhalterinės apskaitos sistema) tiesiogiai veikia finansinių ataskaitų patikimumą; 4) kontrolės veiksmai lemia vidaus kontrolės sistemos veiksmingumą; 5) kontrolės stebėsena užtikrina nuolatinį efektyvų kontrolės procedūrų veikimą. </w:t>
      </w:r>
      <w:r w:rsidR="00A654A5" w:rsidRPr="00C82075">
        <w:rPr>
          <w:sz w:val="26"/>
          <w:szCs w:val="26"/>
          <w:lang w:val="lt-LT"/>
        </w:rPr>
        <w:t>Taigi, kai</w:t>
      </w:r>
      <w:r w:rsidR="00A654A5" w:rsidRPr="00C82075">
        <w:rPr>
          <w:color w:val="000000" w:themeColor="text1"/>
          <w:sz w:val="26"/>
          <w:szCs w:val="26"/>
          <w:lang w:val="lt-LT"/>
        </w:rPr>
        <w:t xml:space="preserve"> įmonės vidaus kontrolės sistema sukurta tam, kad sumažinti auditoriui svarbią įgimtą riziką, tinkama atlikti bendrą įgimtos ir kontrolės rizikų vertinimą. </w:t>
      </w:r>
    </w:p>
    <w:p w:rsidR="00370A65" w:rsidRPr="00370A65" w:rsidRDefault="00825AB4" w:rsidP="00370A65">
      <w:pPr>
        <w:spacing w:line="360" w:lineRule="auto"/>
        <w:ind w:firstLine="720"/>
        <w:jc w:val="both"/>
        <w:rPr>
          <w:sz w:val="26"/>
          <w:szCs w:val="26"/>
          <w:lang w:val="lt-LT"/>
        </w:rPr>
      </w:pPr>
      <w:r w:rsidRPr="00C82075">
        <w:rPr>
          <w:sz w:val="26"/>
          <w:szCs w:val="26"/>
          <w:lang w:val="lt-LT"/>
        </w:rPr>
        <w:t xml:space="preserve">Pastebėtina, kad CoCo vidaus kontrolės modelis (1995) apibūdina vidaus kontrolę kaip įmonės komponentų (išteklių, sistemų, procesų, kultūros, struktūros ir </w:t>
      </w:r>
      <w:r w:rsidRPr="003E7573">
        <w:rPr>
          <w:sz w:val="26"/>
          <w:szCs w:val="26"/>
          <w:lang w:val="lt-LT"/>
        </w:rPr>
        <w:t xml:space="preserve">užduočių) (žr. </w:t>
      </w:r>
      <w:r w:rsidR="004F620B" w:rsidRPr="003E7573">
        <w:rPr>
          <w:sz w:val="26"/>
          <w:szCs w:val="26"/>
          <w:lang w:val="lt-LT"/>
        </w:rPr>
        <w:t xml:space="preserve">13 </w:t>
      </w:r>
      <w:r w:rsidRPr="003E7573">
        <w:rPr>
          <w:sz w:val="26"/>
          <w:szCs w:val="26"/>
          <w:lang w:val="lt-LT"/>
        </w:rPr>
        <w:t xml:space="preserve">lentelė) </w:t>
      </w:r>
      <w:r w:rsidRPr="00C82075">
        <w:rPr>
          <w:sz w:val="26"/>
          <w:szCs w:val="26"/>
          <w:lang w:val="lt-LT"/>
        </w:rPr>
        <w:t xml:space="preserve">visumą ir pateikia </w:t>
      </w:r>
      <w:r w:rsidR="00722001" w:rsidRPr="00C82075">
        <w:rPr>
          <w:sz w:val="26"/>
          <w:szCs w:val="26"/>
          <w:lang w:val="lt-LT"/>
        </w:rPr>
        <w:t>kiek</w:t>
      </w:r>
      <w:r w:rsidRPr="00C82075">
        <w:rPr>
          <w:sz w:val="26"/>
          <w:szCs w:val="26"/>
          <w:lang w:val="lt-LT"/>
        </w:rPr>
        <w:t xml:space="preserve"> kitokią vidaus kontrolės sistemos sampratą. </w:t>
      </w:r>
      <w:r w:rsidR="00444F29" w:rsidRPr="00C82075">
        <w:rPr>
          <w:sz w:val="26"/>
          <w:szCs w:val="26"/>
          <w:lang w:val="lt-LT"/>
        </w:rPr>
        <w:t xml:space="preserve">CoCo modelio (1995) kūrėjai </w:t>
      </w:r>
      <w:r w:rsidR="00683245" w:rsidRPr="00C82075">
        <w:rPr>
          <w:sz w:val="26"/>
          <w:szCs w:val="26"/>
          <w:lang w:val="lt-LT"/>
        </w:rPr>
        <w:t>aptaria</w:t>
      </w:r>
      <w:r w:rsidR="00444F29" w:rsidRPr="00C82075">
        <w:rPr>
          <w:sz w:val="26"/>
          <w:szCs w:val="26"/>
          <w:lang w:val="lt-LT"/>
        </w:rPr>
        <w:t xml:space="preserve"> </w:t>
      </w:r>
      <w:r w:rsidR="00683245" w:rsidRPr="00C82075">
        <w:rPr>
          <w:sz w:val="26"/>
          <w:szCs w:val="26"/>
          <w:lang w:val="lt-LT"/>
        </w:rPr>
        <w:t>20 kontrolės kriterijų, kurie sugrupuo</w:t>
      </w:r>
      <w:r w:rsidR="00A851ED" w:rsidRPr="00C82075">
        <w:rPr>
          <w:sz w:val="26"/>
          <w:szCs w:val="26"/>
          <w:lang w:val="lt-LT"/>
        </w:rPr>
        <w:t>ti</w:t>
      </w:r>
      <w:r w:rsidR="00683245" w:rsidRPr="00C82075">
        <w:rPr>
          <w:sz w:val="26"/>
          <w:szCs w:val="26"/>
          <w:lang w:val="lt-LT"/>
        </w:rPr>
        <w:t xml:space="preserve"> į </w:t>
      </w:r>
      <w:r w:rsidR="00444F29" w:rsidRPr="00C82075">
        <w:rPr>
          <w:sz w:val="26"/>
          <w:szCs w:val="26"/>
          <w:lang w:val="lt-LT"/>
        </w:rPr>
        <w:t>4 grupes</w:t>
      </w:r>
      <w:r w:rsidR="00A30BB3" w:rsidRPr="00C82075">
        <w:rPr>
          <w:sz w:val="26"/>
          <w:szCs w:val="26"/>
          <w:lang w:val="lt-LT"/>
        </w:rPr>
        <w:t xml:space="preserve"> (Luscombe, 1995, p.</w:t>
      </w:r>
      <w:r w:rsidR="00302364">
        <w:rPr>
          <w:sz w:val="26"/>
          <w:szCs w:val="26"/>
          <w:lang w:val="lt-LT"/>
        </w:rPr>
        <w:t> </w:t>
      </w:r>
      <w:r w:rsidR="00A30BB3" w:rsidRPr="00C82075">
        <w:rPr>
          <w:sz w:val="26"/>
          <w:szCs w:val="26"/>
          <w:lang w:val="lt-LT"/>
        </w:rPr>
        <w:t>3)</w:t>
      </w:r>
      <w:r w:rsidR="00444F29" w:rsidRPr="00C82075">
        <w:rPr>
          <w:sz w:val="26"/>
          <w:szCs w:val="26"/>
          <w:lang w:val="lt-LT"/>
        </w:rPr>
        <w:t xml:space="preserve">: 1) </w:t>
      </w:r>
      <w:r w:rsidR="00444F29" w:rsidRPr="00C82075">
        <w:rPr>
          <w:i/>
          <w:sz w:val="26"/>
          <w:szCs w:val="26"/>
          <w:lang w:val="lt-LT"/>
        </w:rPr>
        <w:t>tikslo kriterijai</w:t>
      </w:r>
      <w:r w:rsidR="00444F29" w:rsidRPr="00C82075">
        <w:rPr>
          <w:sz w:val="26"/>
          <w:szCs w:val="26"/>
          <w:lang w:val="lt-LT"/>
        </w:rPr>
        <w:t xml:space="preserve"> (supratimas apie įmonės kryptį) – atsižvelgiama į įmonės tikslus (įskaitant misiją, viziją, strategiją), rizikas ir galimybes, politikas, planus ir veiklos užduotis bei rodiklius; 2) </w:t>
      </w:r>
      <w:r w:rsidR="00444F29" w:rsidRPr="00C82075">
        <w:rPr>
          <w:i/>
          <w:sz w:val="26"/>
          <w:szCs w:val="26"/>
          <w:lang w:val="lt-LT"/>
        </w:rPr>
        <w:t>atsidavimo kriterijai</w:t>
      </w:r>
      <w:r w:rsidR="00444F29" w:rsidRPr="00C82075">
        <w:rPr>
          <w:sz w:val="26"/>
          <w:szCs w:val="26"/>
          <w:lang w:val="lt-LT"/>
        </w:rPr>
        <w:t xml:space="preserve"> (įmonės identiškumas) – atsižvelgiama į įmonės etines vertybes, žmogiškųjų išteklių politiką, įgaliojimus, pareigas ir atsakomybę bei savitarpio pasitikėjimą; 3) </w:t>
      </w:r>
      <w:r w:rsidR="00444F29" w:rsidRPr="00C82075">
        <w:rPr>
          <w:i/>
          <w:sz w:val="26"/>
          <w:szCs w:val="26"/>
          <w:lang w:val="lt-LT"/>
        </w:rPr>
        <w:t>pajėgumo kriterijai</w:t>
      </w:r>
      <w:r w:rsidR="00444F29" w:rsidRPr="00C82075">
        <w:rPr>
          <w:sz w:val="26"/>
          <w:szCs w:val="26"/>
          <w:lang w:val="lt-LT"/>
        </w:rPr>
        <w:t xml:space="preserve"> (įmonės kompetencija) – žinios, įgūdžiai, priemonės, bendravimo procesai, informacija, koordinavimas ir kontrolės veiksmai; 4) </w:t>
      </w:r>
      <w:r w:rsidR="00444F29" w:rsidRPr="00C82075">
        <w:rPr>
          <w:i/>
          <w:sz w:val="26"/>
          <w:szCs w:val="26"/>
          <w:lang w:val="lt-LT"/>
        </w:rPr>
        <w:t>stebėsenos ir mokymosi kriterijai</w:t>
      </w:r>
      <w:r w:rsidR="00444F29" w:rsidRPr="00C82075">
        <w:rPr>
          <w:sz w:val="26"/>
          <w:szCs w:val="26"/>
          <w:lang w:val="lt-LT"/>
        </w:rPr>
        <w:t xml:space="preserve"> (įmonės vystymasis) – apima vidaus ir išorės aplinkos išsiaiškinimą, veiklos rezultatų lyginimą su užsibrėžtais tikslais ar padarytomis prielaidomis, informacinių poreikių ir sistemų pakartotinį vertinimą, procedūrų </w:t>
      </w:r>
      <w:r w:rsidR="00444F29" w:rsidRPr="00C82075">
        <w:rPr>
          <w:sz w:val="26"/>
          <w:szCs w:val="26"/>
          <w:lang w:val="lt-LT"/>
        </w:rPr>
        <w:lastRenderedPageBreak/>
        <w:t xml:space="preserve">įvedimą ir kontrolės veiksmingumo vertinimą. Anot L. Steinthorsdottir (2004), vidaus kontrolė pagal CoCo (1995) turėtų būti </w:t>
      </w:r>
      <w:r w:rsidR="00A30BB3" w:rsidRPr="00C82075">
        <w:rPr>
          <w:sz w:val="26"/>
          <w:szCs w:val="26"/>
          <w:lang w:val="lt-LT"/>
        </w:rPr>
        <w:t>analizuoja</w:t>
      </w:r>
      <w:r w:rsidR="00444F29" w:rsidRPr="00C82075">
        <w:rPr>
          <w:sz w:val="26"/>
          <w:szCs w:val="26"/>
          <w:lang w:val="lt-LT"/>
        </w:rPr>
        <w:t>ma per užduoties prizmę: asmuo atlieka užduotį remdamasis supratimu apie jos</w:t>
      </w:r>
      <w:r w:rsidR="00444F29" w:rsidRPr="00C82075">
        <w:rPr>
          <w:i/>
          <w:sz w:val="26"/>
          <w:szCs w:val="26"/>
          <w:lang w:val="lt-LT"/>
        </w:rPr>
        <w:t xml:space="preserve"> tikslą</w:t>
      </w:r>
      <w:r w:rsidR="00444F29" w:rsidRPr="00C82075">
        <w:rPr>
          <w:sz w:val="26"/>
          <w:szCs w:val="26"/>
          <w:lang w:val="lt-LT"/>
        </w:rPr>
        <w:t xml:space="preserve"> ir turimais </w:t>
      </w:r>
      <w:r w:rsidR="00444F29" w:rsidRPr="00C82075">
        <w:rPr>
          <w:i/>
          <w:sz w:val="26"/>
          <w:szCs w:val="26"/>
          <w:lang w:val="lt-LT"/>
        </w:rPr>
        <w:t xml:space="preserve">pajėgumais </w:t>
      </w:r>
      <w:r w:rsidR="00444F29" w:rsidRPr="00C82075">
        <w:rPr>
          <w:sz w:val="26"/>
          <w:szCs w:val="26"/>
          <w:lang w:val="lt-LT"/>
        </w:rPr>
        <w:t xml:space="preserve">(informacija, ištekliais, atsargomis, įgūdžiais), tačiau asmeniui reikia </w:t>
      </w:r>
      <w:r w:rsidR="00444F29" w:rsidRPr="00C82075">
        <w:rPr>
          <w:i/>
          <w:sz w:val="26"/>
          <w:szCs w:val="26"/>
          <w:lang w:val="lt-LT"/>
        </w:rPr>
        <w:t>atsidavimo</w:t>
      </w:r>
      <w:r w:rsidR="00444F29" w:rsidRPr="00C82075">
        <w:rPr>
          <w:sz w:val="26"/>
          <w:szCs w:val="26"/>
          <w:lang w:val="lt-LT"/>
        </w:rPr>
        <w:t xml:space="preserve">, kad galėtų tinkamai atlikti užduotį, o taip pat jis </w:t>
      </w:r>
      <w:r w:rsidR="00444F29" w:rsidRPr="00C82075">
        <w:rPr>
          <w:i/>
          <w:sz w:val="26"/>
          <w:szCs w:val="26"/>
          <w:lang w:val="lt-LT"/>
        </w:rPr>
        <w:t xml:space="preserve">stebi </w:t>
      </w:r>
      <w:r w:rsidR="00444F29" w:rsidRPr="00C82075">
        <w:rPr>
          <w:sz w:val="26"/>
          <w:szCs w:val="26"/>
          <w:lang w:val="lt-LT"/>
        </w:rPr>
        <w:t>savo rezultatus ir išor</w:t>
      </w:r>
      <w:r w:rsidR="008E4A5A">
        <w:rPr>
          <w:sz w:val="26"/>
          <w:szCs w:val="26"/>
          <w:lang w:val="lt-LT"/>
        </w:rPr>
        <w:t>ės</w:t>
      </w:r>
      <w:r w:rsidR="00444F29" w:rsidRPr="00C82075">
        <w:rPr>
          <w:sz w:val="26"/>
          <w:szCs w:val="26"/>
          <w:lang w:val="lt-LT"/>
        </w:rPr>
        <w:t xml:space="preserve"> aplinką, kad </w:t>
      </w:r>
      <w:r w:rsidR="00444F29" w:rsidRPr="00C82075">
        <w:rPr>
          <w:i/>
          <w:sz w:val="26"/>
          <w:szCs w:val="26"/>
          <w:lang w:val="lt-LT"/>
        </w:rPr>
        <w:t xml:space="preserve">išmoktų </w:t>
      </w:r>
      <w:r w:rsidR="00444F29" w:rsidRPr="00C82075">
        <w:rPr>
          <w:sz w:val="26"/>
          <w:szCs w:val="26"/>
          <w:lang w:val="lt-LT"/>
        </w:rPr>
        <w:t xml:space="preserve">kaip atlikti užduotį geriau ir atsižvelgtų į pokyčius. </w:t>
      </w:r>
      <w:r w:rsidR="00A851ED" w:rsidRPr="00C82075">
        <w:rPr>
          <w:sz w:val="26"/>
          <w:szCs w:val="26"/>
          <w:lang w:val="lt-LT"/>
        </w:rPr>
        <w:t xml:space="preserve">Aptarti CoCo </w:t>
      </w:r>
      <w:r w:rsidR="00E13548" w:rsidRPr="00C82075">
        <w:rPr>
          <w:sz w:val="26"/>
          <w:szCs w:val="26"/>
          <w:lang w:val="lt-LT"/>
        </w:rPr>
        <w:t xml:space="preserve">vidaus kontrolės modelio </w:t>
      </w:r>
      <w:r w:rsidR="00A851ED" w:rsidRPr="00C82075">
        <w:rPr>
          <w:sz w:val="26"/>
          <w:szCs w:val="26"/>
          <w:lang w:val="lt-LT"/>
        </w:rPr>
        <w:t>(1995) kriterijai ne tik leidžia suprasti įmonės vidaus kontrolės sistemą, bet ir, anot D. J. Cooper, Y.</w:t>
      </w:r>
      <w:r w:rsidR="008872D7">
        <w:rPr>
          <w:sz w:val="26"/>
          <w:szCs w:val="26"/>
          <w:lang w:val="lt-LT"/>
        </w:rPr>
        <w:t> </w:t>
      </w:r>
      <w:r w:rsidR="00A851ED" w:rsidRPr="00C82075">
        <w:rPr>
          <w:sz w:val="26"/>
          <w:szCs w:val="26"/>
          <w:lang w:val="lt-LT"/>
        </w:rPr>
        <w:t>Gendron (2001) ir L.</w:t>
      </w:r>
      <w:r w:rsidR="00302364">
        <w:rPr>
          <w:sz w:val="26"/>
          <w:szCs w:val="26"/>
          <w:lang w:val="lt-LT"/>
        </w:rPr>
        <w:t> </w:t>
      </w:r>
      <w:r w:rsidR="00A851ED" w:rsidRPr="00C82075">
        <w:rPr>
          <w:sz w:val="26"/>
          <w:szCs w:val="26"/>
          <w:lang w:val="lt-LT"/>
        </w:rPr>
        <w:t xml:space="preserve">Steinthorsdottir (2004), </w:t>
      </w:r>
      <w:r w:rsidR="002330B1" w:rsidRPr="00C82075">
        <w:rPr>
          <w:sz w:val="26"/>
          <w:szCs w:val="26"/>
          <w:lang w:val="lt-LT"/>
        </w:rPr>
        <w:t xml:space="preserve">gali </w:t>
      </w:r>
      <w:r w:rsidR="00A851ED" w:rsidRPr="00C82075">
        <w:rPr>
          <w:sz w:val="26"/>
          <w:szCs w:val="26"/>
          <w:lang w:val="lt-LT"/>
        </w:rPr>
        <w:t xml:space="preserve">padėti auditoriams </w:t>
      </w:r>
      <w:r w:rsidR="003246DD" w:rsidRPr="00C82075">
        <w:rPr>
          <w:sz w:val="26"/>
          <w:szCs w:val="26"/>
          <w:lang w:val="lt-LT"/>
        </w:rPr>
        <w:t xml:space="preserve">vertinant </w:t>
      </w:r>
      <w:r w:rsidR="00A851ED" w:rsidRPr="00C82075">
        <w:rPr>
          <w:sz w:val="26"/>
          <w:szCs w:val="26"/>
          <w:lang w:val="lt-LT"/>
        </w:rPr>
        <w:t>įmonės vidaus kontrolės veiksmingum</w:t>
      </w:r>
      <w:r w:rsidR="003246DD" w:rsidRPr="00C82075">
        <w:rPr>
          <w:sz w:val="26"/>
          <w:szCs w:val="26"/>
          <w:lang w:val="lt-LT"/>
        </w:rPr>
        <w:t>ą</w:t>
      </w:r>
      <w:r w:rsidR="00A851ED" w:rsidRPr="00C82075">
        <w:rPr>
          <w:sz w:val="26"/>
          <w:szCs w:val="26"/>
          <w:lang w:val="lt-LT"/>
        </w:rPr>
        <w:t xml:space="preserve">. </w:t>
      </w:r>
      <w:r w:rsidR="00722001" w:rsidRPr="00C82075">
        <w:rPr>
          <w:sz w:val="26"/>
          <w:szCs w:val="26"/>
          <w:lang w:val="lt-LT"/>
        </w:rPr>
        <w:t>Darbo a</w:t>
      </w:r>
      <w:r w:rsidR="00444F29" w:rsidRPr="00C82075">
        <w:rPr>
          <w:sz w:val="26"/>
          <w:szCs w:val="26"/>
          <w:lang w:val="lt-LT"/>
        </w:rPr>
        <w:t>utorės nuomone</w:t>
      </w:r>
      <w:r w:rsidR="008A749A" w:rsidRPr="00C82075">
        <w:rPr>
          <w:sz w:val="26"/>
          <w:szCs w:val="26"/>
          <w:lang w:val="lt-LT"/>
        </w:rPr>
        <w:t>, CoC</w:t>
      </w:r>
      <w:r w:rsidR="006E11B0" w:rsidRPr="00C82075">
        <w:rPr>
          <w:sz w:val="26"/>
          <w:szCs w:val="26"/>
          <w:lang w:val="lt-LT"/>
        </w:rPr>
        <w:t>o (1995) kriterij</w:t>
      </w:r>
      <w:r w:rsidR="000E419E" w:rsidRPr="00C82075">
        <w:rPr>
          <w:sz w:val="26"/>
          <w:szCs w:val="26"/>
          <w:lang w:val="lt-LT"/>
        </w:rPr>
        <w:t xml:space="preserve">ų </w:t>
      </w:r>
      <w:r w:rsidR="00C74252" w:rsidRPr="00C82075">
        <w:rPr>
          <w:sz w:val="26"/>
          <w:szCs w:val="26"/>
          <w:lang w:val="lt-LT"/>
        </w:rPr>
        <w:t>svar</w:t>
      </w:r>
      <w:r w:rsidR="000E419E" w:rsidRPr="00C82075">
        <w:rPr>
          <w:sz w:val="26"/>
          <w:szCs w:val="26"/>
          <w:lang w:val="lt-LT"/>
        </w:rPr>
        <w:t>stymas</w:t>
      </w:r>
      <w:r w:rsidR="0005330D" w:rsidRPr="00C82075">
        <w:rPr>
          <w:sz w:val="26"/>
          <w:szCs w:val="26"/>
          <w:lang w:val="lt-LT"/>
        </w:rPr>
        <w:t xml:space="preserve"> </w:t>
      </w:r>
      <w:r w:rsidR="008E2DC1" w:rsidRPr="00C82075">
        <w:rPr>
          <w:sz w:val="26"/>
          <w:szCs w:val="26"/>
          <w:lang w:val="lt-LT"/>
        </w:rPr>
        <w:t xml:space="preserve">gali būti </w:t>
      </w:r>
      <w:r w:rsidR="000E419E" w:rsidRPr="00C82075">
        <w:rPr>
          <w:sz w:val="26"/>
          <w:szCs w:val="26"/>
          <w:lang w:val="lt-LT"/>
        </w:rPr>
        <w:t>svarbus</w:t>
      </w:r>
      <w:r w:rsidR="003246DD" w:rsidRPr="00C82075">
        <w:rPr>
          <w:sz w:val="26"/>
          <w:szCs w:val="26"/>
          <w:lang w:val="lt-LT"/>
        </w:rPr>
        <w:t xml:space="preserve"> auditoriui</w:t>
      </w:r>
      <w:r w:rsidR="000E419E" w:rsidRPr="00C82075">
        <w:rPr>
          <w:sz w:val="26"/>
          <w:szCs w:val="26"/>
          <w:lang w:val="lt-LT"/>
        </w:rPr>
        <w:t xml:space="preserve">, </w:t>
      </w:r>
      <w:r w:rsidR="00E13548" w:rsidRPr="00C82075">
        <w:rPr>
          <w:sz w:val="26"/>
          <w:szCs w:val="26"/>
          <w:lang w:val="lt-LT"/>
        </w:rPr>
        <w:t xml:space="preserve">nes </w:t>
      </w:r>
      <w:r w:rsidR="002330B1" w:rsidRPr="00C82075">
        <w:rPr>
          <w:sz w:val="26"/>
          <w:szCs w:val="26"/>
          <w:lang w:val="lt-LT"/>
        </w:rPr>
        <w:t xml:space="preserve">šie </w:t>
      </w:r>
      <w:r w:rsidR="003246DD" w:rsidRPr="00C82075">
        <w:rPr>
          <w:sz w:val="26"/>
          <w:szCs w:val="26"/>
          <w:lang w:val="lt-LT"/>
        </w:rPr>
        <w:t xml:space="preserve">kriterijai </w:t>
      </w:r>
      <w:r w:rsidR="006D6523" w:rsidRPr="00C82075">
        <w:rPr>
          <w:sz w:val="26"/>
          <w:szCs w:val="26"/>
          <w:lang w:val="lt-LT"/>
        </w:rPr>
        <w:t>suteik</w:t>
      </w:r>
      <w:r w:rsidR="00DF7205" w:rsidRPr="00C82075">
        <w:rPr>
          <w:sz w:val="26"/>
          <w:szCs w:val="26"/>
          <w:lang w:val="lt-LT"/>
        </w:rPr>
        <w:t>i</w:t>
      </w:r>
      <w:r w:rsidR="008E2DC1" w:rsidRPr="00C82075">
        <w:rPr>
          <w:sz w:val="26"/>
          <w:szCs w:val="26"/>
          <w:lang w:val="lt-LT"/>
        </w:rPr>
        <w:t>a</w:t>
      </w:r>
      <w:r w:rsidR="00DF7205" w:rsidRPr="00C82075">
        <w:rPr>
          <w:sz w:val="26"/>
          <w:szCs w:val="26"/>
          <w:lang w:val="lt-LT"/>
        </w:rPr>
        <w:t xml:space="preserve"> visai kitokį </w:t>
      </w:r>
      <w:r w:rsidR="003246DD" w:rsidRPr="00C82075">
        <w:rPr>
          <w:sz w:val="26"/>
          <w:szCs w:val="26"/>
          <w:lang w:val="lt-LT"/>
        </w:rPr>
        <w:t xml:space="preserve">supratimą </w:t>
      </w:r>
      <w:r w:rsidR="00DF7205" w:rsidRPr="00C82075">
        <w:rPr>
          <w:sz w:val="26"/>
          <w:szCs w:val="26"/>
          <w:lang w:val="lt-LT"/>
        </w:rPr>
        <w:t>apie įmonės vidaus kontrolės sistem</w:t>
      </w:r>
      <w:r w:rsidR="003246DD" w:rsidRPr="00C82075">
        <w:rPr>
          <w:sz w:val="26"/>
          <w:szCs w:val="26"/>
          <w:lang w:val="lt-LT"/>
        </w:rPr>
        <w:t>ą ir jos</w:t>
      </w:r>
      <w:r w:rsidR="00DF7205" w:rsidRPr="00C82075">
        <w:rPr>
          <w:sz w:val="26"/>
          <w:szCs w:val="26"/>
          <w:lang w:val="lt-LT"/>
        </w:rPr>
        <w:t xml:space="preserve"> veiksmingumą</w:t>
      </w:r>
      <w:r w:rsidR="003246DD" w:rsidRPr="00C82075">
        <w:rPr>
          <w:sz w:val="26"/>
          <w:szCs w:val="26"/>
          <w:lang w:val="lt-LT"/>
        </w:rPr>
        <w:t xml:space="preserve">. Todėl </w:t>
      </w:r>
      <w:r w:rsidR="002330B1" w:rsidRPr="00C82075">
        <w:rPr>
          <w:sz w:val="26"/>
          <w:szCs w:val="26"/>
          <w:lang w:val="lt-LT"/>
        </w:rPr>
        <w:t xml:space="preserve">siekiant optimalaus rezultato, </w:t>
      </w:r>
      <w:r w:rsidR="00C64C30" w:rsidRPr="00C82075">
        <w:rPr>
          <w:sz w:val="26"/>
          <w:szCs w:val="26"/>
          <w:lang w:val="lt-LT"/>
        </w:rPr>
        <w:t>vidaus kontrolės sistemos struktūros požiūri</w:t>
      </w:r>
      <w:r w:rsidR="00C64C30">
        <w:rPr>
          <w:sz w:val="26"/>
          <w:szCs w:val="26"/>
          <w:lang w:val="lt-LT"/>
        </w:rPr>
        <w:t>s</w:t>
      </w:r>
      <w:r w:rsidR="00C64C30" w:rsidRPr="00C82075">
        <w:rPr>
          <w:sz w:val="26"/>
          <w:szCs w:val="26"/>
          <w:lang w:val="lt-LT"/>
        </w:rPr>
        <w:t xml:space="preserve"> pagal COSO modelį (1992) turėtų būti derinamas su </w:t>
      </w:r>
      <w:r w:rsidR="003246DD" w:rsidRPr="00C82075">
        <w:rPr>
          <w:sz w:val="26"/>
          <w:szCs w:val="26"/>
          <w:lang w:val="lt-LT"/>
        </w:rPr>
        <w:t>CoCo modelio (1995) kriterijų požiūri</w:t>
      </w:r>
      <w:r w:rsidR="00C64C30">
        <w:rPr>
          <w:sz w:val="26"/>
          <w:szCs w:val="26"/>
          <w:lang w:val="lt-LT"/>
        </w:rPr>
        <w:t>u</w:t>
      </w:r>
      <w:r w:rsidR="003246DD" w:rsidRPr="00C82075">
        <w:rPr>
          <w:sz w:val="26"/>
          <w:szCs w:val="26"/>
          <w:lang w:val="lt-LT"/>
        </w:rPr>
        <w:t xml:space="preserve"> </w:t>
      </w:r>
      <w:r w:rsidR="00043747" w:rsidRPr="00C82075">
        <w:rPr>
          <w:sz w:val="26"/>
          <w:szCs w:val="26"/>
          <w:lang w:val="lt-LT"/>
        </w:rPr>
        <w:t xml:space="preserve">(žr. </w:t>
      </w:r>
      <w:r w:rsidR="00750B2D" w:rsidRPr="00C82075">
        <w:rPr>
          <w:sz w:val="26"/>
          <w:szCs w:val="26"/>
          <w:lang w:val="lt-LT"/>
        </w:rPr>
        <w:t>7</w:t>
      </w:r>
      <w:r w:rsidR="00043747" w:rsidRPr="00C82075">
        <w:rPr>
          <w:sz w:val="26"/>
          <w:szCs w:val="26"/>
          <w:lang w:val="lt-LT"/>
        </w:rPr>
        <w:t xml:space="preserve"> pav</w:t>
      </w:r>
      <w:r w:rsidR="003E7573">
        <w:rPr>
          <w:sz w:val="26"/>
          <w:szCs w:val="26"/>
          <w:lang w:val="lt-LT"/>
        </w:rPr>
        <w:t>.</w:t>
      </w:r>
      <w:r w:rsidR="00043747" w:rsidRPr="00C82075">
        <w:rPr>
          <w:sz w:val="26"/>
          <w:szCs w:val="26"/>
          <w:lang w:val="lt-LT"/>
        </w:rPr>
        <w:t>)</w:t>
      </w:r>
      <w:r w:rsidR="003246DD" w:rsidRPr="00C82075">
        <w:rPr>
          <w:sz w:val="26"/>
          <w:szCs w:val="26"/>
          <w:lang w:val="lt-LT"/>
        </w:rPr>
        <w:t xml:space="preserve">. </w:t>
      </w:r>
    </w:p>
    <w:p w:rsidR="00302364" w:rsidRPr="00C60E01" w:rsidRDefault="00166819" w:rsidP="00C60E01">
      <w:pPr>
        <w:pStyle w:val="Heading3"/>
        <w:tabs>
          <w:tab w:val="left" w:pos="0"/>
        </w:tabs>
        <w:spacing w:before="0" w:after="0"/>
        <w:jc w:val="both"/>
        <w:rPr>
          <w:lang w:val="lt-LT"/>
        </w:rPr>
      </w:pPr>
      <w:r>
        <w:rPr>
          <w:noProof/>
          <w:lang w:val="lt-LT"/>
        </w:rPr>
        <w:pict>
          <v:group id="_x0000_s74483" style="position:absolute;left:0;text-align:left;margin-left:.05pt;margin-top:3.3pt;width:407.5pt;height:290.15pt;z-index:254105600" coordorigin="1815,8955" coordsize="8150,5803">
            <v:shape id="_x0000_s73832" type="#_x0000_t202" style="position:absolute;left:8438;top:9930;width:1477;height:594" o:regroupid="110" filled="f" strokecolor="#bfbfbf [2412]">
              <v:textbox style="mso-next-textbox:#_x0000_s73832">
                <w:txbxContent>
                  <w:p w:rsidR="00BE5795" w:rsidRPr="00302364" w:rsidRDefault="00BE5795" w:rsidP="00043747">
                    <w:pPr>
                      <w:jc w:val="center"/>
                      <w:rPr>
                        <w:sz w:val="22"/>
                        <w:szCs w:val="22"/>
                        <w:lang w:val="lt-LT"/>
                      </w:rPr>
                    </w:pPr>
                    <w:r w:rsidRPr="00302364">
                      <w:rPr>
                        <w:sz w:val="22"/>
                        <w:szCs w:val="22"/>
                        <w:highlight w:val="lightGray"/>
                        <w:lang w:val="lt-LT"/>
                      </w:rPr>
                      <w:t>Tikslo</w:t>
                    </w:r>
                  </w:p>
                </w:txbxContent>
              </v:textbox>
            </v:shape>
            <v:shape id="_x0000_s73833" type="#_x0000_t202" style="position:absolute;left:2047;top:8955;width:2583;height:818" o:regroupid="110" filled="f" strokecolor="#d8d8d8 [2732]" strokeweight="1.5pt">
              <v:textbox style="mso-next-textbox:#_x0000_s73833" inset=".5mm,1mm,.5mm,1mm">
                <w:txbxContent>
                  <w:p w:rsidR="00BE5795" w:rsidRPr="00302364" w:rsidRDefault="00BE5795" w:rsidP="00043747">
                    <w:pPr>
                      <w:spacing w:before="60"/>
                      <w:jc w:val="center"/>
                      <w:rPr>
                        <w:b/>
                        <w:caps/>
                        <w:sz w:val="22"/>
                        <w:szCs w:val="22"/>
                        <w:lang w:val="lt-LT"/>
                      </w:rPr>
                    </w:pPr>
                    <w:r w:rsidRPr="00302364">
                      <w:rPr>
                        <w:b/>
                        <w:caps/>
                        <w:sz w:val="22"/>
                        <w:szCs w:val="22"/>
                        <w:lang w:val="lt-LT"/>
                      </w:rPr>
                      <w:t>Vidaus kontrolės sistema</w:t>
                    </w:r>
                  </w:p>
                </w:txbxContent>
              </v:textbox>
            </v:shape>
            <v:rect id="_x0000_s73834" style="position:absolute;left:2129;top:9930;width:2423;height:762" o:regroupid="110" filled="f" strokecolor="#d8d8d8 [2732]">
              <v:textbox style="mso-next-textbox:#_x0000_s73834">
                <w:txbxContent>
                  <w:p w:rsidR="00BE5795" w:rsidRPr="00302364" w:rsidRDefault="00BE5795" w:rsidP="00043747">
                    <w:pPr>
                      <w:spacing w:before="60"/>
                      <w:jc w:val="center"/>
                      <w:rPr>
                        <w:b/>
                        <w:sz w:val="22"/>
                        <w:szCs w:val="22"/>
                      </w:rPr>
                    </w:pPr>
                    <w:r w:rsidRPr="00302364">
                      <w:rPr>
                        <w:b/>
                        <w:sz w:val="22"/>
                        <w:szCs w:val="22"/>
                        <w:lang w:val="lt-LT"/>
                      </w:rPr>
                      <w:t>Kontrolės aplinka</w:t>
                    </w:r>
                  </w:p>
                </w:txbxContent>
              </v:textbox>
            </v:rect>
            <v:rect id="_x0000_s73841" style="position:absolute;left:2129;top:10860;width:2423;height:773" o:regroupid="110" filled="f" strokecolor="#d8d8d8 [2732]">
              <v:textbox style="mso-next-textbox:#_x0000_s73841">
                <w:txbxContent>
                  <w:p w:rsidR="00BE5795" w:rsidRPr="00302364" w:rsidRDefault="00BE5795" w:rsidP="00043747">
                    <w:pPr>
                      <w:jc w:val="center"/>
                      <w:rPr>
                        <w:b/>
                        <w:sz w:val="22"/>
                        <w:szCs w:val="22"/>
                      </w:rPr>
                    </w:pPr>
                    <w:r w:rsidRPr="00302364">
                      <w:rPr>
                        <w:b/>
                        <w:sz w:val="22"/>
                        <w:szCs w:val="22"/>
                        <w:lang w:val="lt-LT"/>
                      </w:rPr>
                      <w:t>Įmonės rizikos vertinimo procesas</w:t>
                    </w:r>
                  </w:p>
                </w:txbxContent>
              </v:textbox>
            </v:rect>
            <v:rect id="_x0000_s73842" style="position:absolute;left:2129;top:11898;width:2423;height:804" o:regroupid="110" filled="f" strokecolor="#d8d8d8 [2732]">
              <v:textbox style="mso-next-textbox:#_x0000_s73842">
                <w:txbxContent>
                  <w:p w:rsidR="00BE5795" w:rsidRPr="00302364" w:rsidRDefault="00BE5795" w:rsidP="00043747">
                    <w:pPr>
                      <w:jc w:val="center"/>
                      <w:rPr>
                        <w:b/>
                        <w:sz w:val="22"/>
                        <w:szCs w:val="22"/>
                      </w:rPr>
                    </w:pPr>
                    <w:r w:rsidRPr="00302364">
                      <w:rPr>
                        <w:b/>
                        <w:sz w:val="22"/>
                        <w:szCs w:val="22"/>
                        <w:lang w:val="lt-LT"/>
                      </w:rPr>
                      <w:t xml:space="preserve">Informacinė sistema ir informavimas </w:t>
                    </w:r>
                  </w:p>
                </w:txbxContent>
              </v:textbox>
            </v:rect>
            <v:rect id="_x0000_s73843" style="position:absolute;left:2129;top:12942;width:2423;height:795" o:regroupid="110" filled="f" strokecolor="#d8d8d8 [2732]">
              <v:textbox style="mso-next-textbox:#_x0000_s73843">
                <w:txbxContent>
                  <w:p w:rsidR="00BE5795" w:rsidRPr="00302364" w:rsidRDefault="00BE5795" w:rsidP="00043747">
                    <w:pPr>
                      <w:spacing w:before="60"/>
                      <w:jc w:val="center"/>
                      <w:rPr>
                        <w:b/>
                        <w:sz w:val="22"/>
                        <w:szCs w:val="22"/>
                      </w:rPr>
                    </w:pPr>
                    <w:r w:rsidRPr="00302364">
                      <w:rPr>
                        <w:b/>
                        <w:sz w:val="22"/>
                        <w:szCs w:val="22"/>
                        <w:lang w:val="lt-LT"/>
                      </w:rPr>
                      <w:t>Kontrolės veiksmai</w:t>
                    </w:r>
                  </w:p>
                </w:txbxContent>
              </v:textbox>
            </v:rect>
            <v:rect id="_x0000_s73844" style="position:absolute;left:2129;top:13857;width:2423;height:823" o:regroupid="110" filled="f" strokecolor="#d8d8d8 [2732]">
              <v:textbox style="mso-next-textbox:#_x0000_s73844">
                <w:txbxContent>
                  <w:p w:rsidR="00BE5795" w:rsidRPr="00302364" w:rsidRDefault="00BE5795" w:rsidP="00043747">
                    <w:pPr>
                      <w:spacing w:before="60"/>
                      <w:jc w:val="center"/>
                      <w:rPr>
                        <w:b/>
                        <w:sz w:val="22"/>
                        <w:szCs w:val="22"/>
                      </w:rPr>
                    </w:pPr>
                    <w:r w:rsidRPr="00302364">
                      <w:rPr>
                        <w:b/>
                        <w:sz w:val="22"/>
                        <w:szCs w:val="22"/>
                        <w:lang w:val="lt-LT"/>
                      </w:rPr>
                      <w:t>Kontrolės stebėsena</w:t>
                    </w:r>
                  </w:p>
                </w:txbxContent>
              </v:textbox>
            </v:rect>
            <v:shape id="_x0000_s73845" type="#_x0000_t90" style="position:absolute;left:1302;top:13931;width:1340;height:314;rotation:90" o:regroupid="110" adj=",18086,4641" fillcolor="#d8d8d8 [2732]" strokecolor="#d8d8d8 [2732]"/>
            <v:rect id="_x0000_s73846" style="position:absolute;left:4722;top:10845;width:3286;height:893" o:regroupid="110" filled="f" strokecolor="#d8d8d8 [2732]" strokeweight="1pt">
              <v:stroke dashstyle="1 1"/>
              <v:textbox style="mso-next-textbox:#_x0000_s73846">
                <w:txbxContent>
                  <w:p w:rsidR="00BE5795" w:rsidRPr="00302364" w:rsidRDefault="00BE5795" w:rsidP="00043747">
                    <w:pPr>
                      <w:rPr>
                        <w:sz w:val="22"/>
                        <w:szCs w:val="22"/>
                      </w:rPr>
                    </w:pPr>
                    <w:r w:rsidRPr="00302364">
                      <w:rPr>
                        <w:sz w:val="22"/>
                        <w:szCs w:val="22"/>
                        <w:lang w:val="lt-LT"/>
                      </w:rPr>
                      <w:t>Verslo rizikos nustatymas, veiksmai rizikai šalinti ir pasiekti rezultatai.</w:t>
                    </w:r>
                  </w:p>
                </w:txbxContent>
              </v:textbox>
            </v:rect>
            <v:rect id="_x0000_s73847" style="position:absolute;left:4722;top:11898;width:3286;height:934" o:regroupid="110" filled="f" strokecolor="#d8d8d8 [2732]" strokeweight="1pt">
              <v:stroke dashstyle="1 1"/>
              <v:textbox style="mso-next-textbox:#_x0000_s73847" inset=".5mm,1mm,.5mm,1mm">
                <w:txbxContent>
                  <w:p w:rsidR="00BE5795" w:rsidRPr="00302364" w:rsidRDefault="00BE5795" w:rsidP="00043747">
                    <w:pPr>
                      <w:rPr>
                        <w:sz w:val="22"/>
                        <w:szCs w:val="22"/>
                      </w:rPr>
                    </w:pPr>
                    <w:r w:rsidRPr="00302364">
                      <w:rPr>
                        <w:sz w:val="22"/>
                        <w:szCs w:val="22"/>
                        <w:lang w:val="lt-LT"/>
                      </w:rPr>
                      <w:t>Procedūros ir įrašai ūk. operacijoms inicijuoti, registruoti, apdoroti ir ataskaitoms parengti.</w:t>
                    </w:r>
                  </w:p>
                </w:txbxContent>
              </v:textbox>
            </v:rect>
            <v:rect id="_x0000_s73848" style="position:absolute;left:4722;top:10011;width:3286;height:681" o:regroupid="110" filled="f" strokecolor="#d8d8d8 [2732]" strokeweight="1pt">
              <v:stroke dashstyle="1 1"/>
              <v:textbox style="mso-next-textbox:#_x0000_s73848" inset=".5mm,1mm,.5mm,1mm">
                <w:txbxContent>
                  <w:p w:rsidR="00BE5795" w:rsidRPr="00302364" w:rsidRDefault="00BE5795" w:rsidP="00043747">
                    <w:pPr>
                      <w:rPr>
                        <w:sz w:val="22"/>
                        <w:szCs w:val="22"/>
                      </w:rPr>
                    </w:pPr>
                    <w:r w:rsidRPr="00302364">
                      <w:rPr>
                        <w:sz w:val="22"/>
                        <w:szCs w:val="22"/>
                        <w:lang w:val="lt-LT"/>
                      </w:rPr>
                      <w:t>Vadovų požiūris, žinios ir veiksmai dėl įmonės vidaus kontrolės.</w:t>
                    </w:r>
                  </w:p>
                </w:txbxContent>
              </v:textbox>
            </v:rect>
            <v:rect id="_x0000_s73849" style="position:absolute;left:4722;top:13857;width:3286;height:901" o:regroupid="110" filled="f" strokecolor="#d8d8d8 [2732]" strokeweight="1pt">
              <v:stroke dashstyle="1 1"/>
              <v:textbox style="mso-next-textbox:#_x0000_s73849" inset=".5mm,1mm,.5mm,1mm">
                <w:txbxContent>
                  <w:p w:rsidR="00BE5795" w:rsidRPr="00302364" w:rsidRDefault="00BE5795" w:rsidP="00043747">
                    <w:pPr>
                      <w:rPr>
                        <w:sz w:val="22"/>
                        <w:szCs w:val="22"/>
                      </w:rPr>
                    </w:pPr>
                    <w:r w:rsidRPr="00302364">
                      <w:rPr>
                        <w:sz w:val="22"/>
                        <w:szCs w:val="22"/>
                        <w:lang w:val="lt-LT"/>
                      </w:rPr>
                      <w:t>Pačios įmonės atliekamas vidaus kontrolės sistemos veiksmingumo vertinimas.</w:t>
                    </w:r>
                  </w:p>
                  <w:p w:rsidR="00BE5795" w:rsidRDefault="00BE5795" w:rsidP="00043747"/>
                </w:txbxContent>
              </v:textbox>
            </v:rect>
            <v:rect id="_x0000_s73850" style="position:absolute;left:4722;top:12942;width:3286;height:711" o:regroupid="110" filled="f" strokecolor="#d8d8d8 [2732]" strokeweight="1pt">
              <v:stroke dashstyle="1 1"/>
              <v:textbox style="mso-next-textbox:#_x0000_s73850" inset=".5mm,1mm,.5mm,1mm">
                <w:txbxContent>
                  <w:p w:rsidR="00BE5795" w:rsidRPr="00302364" w:rsidRDefault="00BE5795" w:rsidP="00043747">
                    <w:pPr>
                      <w:rPr>
                        <w:sz w:val="22"/>
                        <w:szCs w:val="22"/>
                      </w:rPr>
                    </w:pPr>
                    <w:r w:rsidRPr="00302364">
                      <w:rPr>
                        <w:sz w:val="22"/>
                        <w:szCs w:val="22"/>
                        <w:lang w:val="lt-LT"/>
                      </w:rPr>
                      <w:t>Tvarka ir procedūros užtikrinančios, jog vadovų įsakymai yra vykdomi.</w:t>
                    </w:r>
                  </w:p>
                </w:txbxContent>
              </v:textbox>
            </v:rect>
            <v:shape id="_x0000_s73851" type="#_x0000_t67" style="position:absolute;left:4446;top:10117;width:381;height:170;rotation:270" o:regroupid="110" fillcolor="#d8d8d8 [2732]" strokecolor="#d8d8d8 [2732]"/>
            <v:shape id="_x0000_s73852" type="#_x0000_t67" style="position:absolute;left:4446;top:11158;width:381;height:170;rotation:270" o:regroupid="110" fillcolor="#d8d8d8 [2732]" strokecolor="#d8d8d8 [2732]"/>
            <v:shape id="_x0000_s73853" type="#_x0000_t67" style="position:absolute;left:4446;top:12216;width:381;height:170;rotation:270" o:regroupid="110" fillcolor="#d8d8d8 [2732]" strokecolor="#d8d8d8 [2732]"/>
            <v:shape id="_x0000_s73854" type="#_x0000_t67" style="position:absolute;left:4446;top:13239;width:381;height:170;rotation:270" o:regroupid="110" fillcolor="#d8d8d8 [2732]" strokecolor="#d8d8d8 [2732]"/>
            <v:shape id="_x0000_s73855" type="#_x0000_t67" style="position:absolute;left:4446;top:14379;width:381;height:170;rotation:270" o:regroupid="110" fillcolor="#d8d8d8 [2732]" strokecolor="#d8d8d8 [2732]"/>
            <v:shape id="_x0000_s73856" type="#_x0000_t202" style="position:absolute;left:8438;top:10722;width:1477;height:636" o:regroupid="110" filled="f" strokecolor="#bfbfbf [2412]">
              <v:textbox style="mso-next-textbox:#_x0000_s73856">
                <w:txbxContent>
                  <w:p w:rsidR="00BE5795" w:rsidRPr="00302364" w:rsidRDefault="00BE5795" w:rsidP="00043747">
                    <w:pPr>
                      <w:jc w:val="center"/>
                      <w:rPr>
                        <w:sz w:val="22"/>
                        <w:szCs w:val="22"/>
                        <w:lang w:val="lt-LT"/>
                      </w:rPr>
                    </w:pPr>
                    <w:r w:rsidRPr="00302364">
                      <w:rPr>
                        <w:sz w:val="22"/>
                        <w:szCs w:val="22"/>
                        <w:highlight w:val="lightGray"/>
                        <w:lang w:val="lt-LT"/>
                      </w:rPr>
                      <w:t>Atsidavimo</w:t>
                    </w:r>
                  </w:p>
                </w:txbxContent>
              </v:textbox>
            </v:shape>
            <v:shape id="_x0000_s73857" type="#_x0000_t202" style="position:absolute;left:8438;top:11633;width:1477;height:536" o:regroupid="110" filled="f" strokecolor="#bfbfbf [2412]">
              <v:textbox style="mso-next-textbox:#_x0000_s73857">
                <w:txbxContent>
                  <w:p w:rsidR="00BE5795" w:rsidRPr="00302364" w:rsidRDefault="00BE5795" w:rsidP="00043747">
                    <w:pPr>
                      <w:jc w:val="center"/>
                      <w:rPr>
                        <w:sz w:val="22"/>
                        <w:szCs w:val="22"/>
                        <w:lang w:val="lt-LT"/>
                      </w:rPr>
                    </w:pPr>
                    <w:r w:rsidRPr="00302364">
                      <w:rPr>
                        <w:sz w:val="22"/>
                        <w:szCs w:val="22"/>
                        <w:highlight w:val="lightGray"/>
                        <w:lang w:val="lt-LT"/>
                      </w:rPr>
                      <w:t>Pajėgumų</w:t>
                    </w:r>
                  </w:p>
                </w:txbxContent>
              </v:textbox>
            </v:shape>
            <v:shape id="_x0000_s73858" type="#_x0000_t202" style="position:absolute;left:8438;top:12404;width:1477;height:661" o:regroupid="110" filled="f" strokecolor="#bfbfbf [2412]">
              <v:textbox style="mso-next-textbox:#_x0000_s73858">
                <w:txbxContent>
                  <w:p w:rsidR="00BE5795" w:rsidRPr="00302364" w:rsidRDefault="00BE5795" w:rsidP="00043747">
                    <w:pPr>
                      <w:jc w:val="center"/>
                      <w:rPr>
                        <w:sz w:val="22"/>
                        <w:szCs w:val="22"/>
                        <w:lang w:val="lt-LT"/>
                      </w:rPr>
                    </w:pPr>
                    <w:r w:rsidRPr="00302364">
                      <w:rPr>
                        <w:sz w:val="22"/>
                        <w:szCs w:val="22"/>
                        <w:highlight w:val="lightGray"/>
                        <w:lang w:val="lt-LT"/>
                      </w:rPr>
                      <w:t xml:space="preserve">Stebėsenos </w:t>
                    </w:r>
                    <w:r>
                      <w:rPr>
                        <w:sz w:val="22"/>
                        <w:szCs w:val="22"/>
                        <w:highlight w:val="lightGray"/>
                        <w:lang w:val="lt-LT"/>
                      </w:rPr>
                      <w:t>/</w:t>
                    </w:r>
                    <w:r w:rsidRPr="00302364">
                      <w:rPr>
                        <w:sz w:val="22"/>
                        <w:szCs w:val="22"/>
                        <w:highlight w:val="lightGray"/>
                        <w:lang w:val="lt-LT"/>
                      </w:rPr>
                      <w:t xml:space="preserve"> mokymosi</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73866" type="#_x0000_t66" style="position:absolute;left:4610;top:9095;width:3398;height:433" o:regroupid="110" adj="684,6753" fillcolor="#d8d8d8 [2732]" strokecolor="#d8d8d8 [2732]"/>
            <v:shape id="_x0000_s73859" type="#_x0000_t202" style="position:absolute;left:8008;top:8955;width:1957;height:729" o:regroupid="110" fillcolor="white [3212]" strokecolor="#d8d8d8 [2732]" strokeweight="1.5pt">
              <v:textbox style="mso-next-textbox:#_x0000_s73859" inset=".5mm,1mm,.5mm,1mm">
                <w:txbxContent>
                  <w:p w:rsidR="00BE5795" w:rsidRPr="00302364" w:rsidRDefault="00BE5795" w:rsidP="00641C67">
                    <w:pPr>
                      <w:spacing w:before="180"/>
                      <w:jc w:val="center"/>
                      <w:rPr>
                        <w:b/>
                        <w:caps/>
                        <w:sz w:val="22"/>
                        <w:szCs w:val="22"/>
                        <w:lang w:val="lt-LT"/>
                      </w:rPr>
                    </w:pPr>
                    <w:r w:rsidRPr="00302364">
                      <w:rPr>
                        <w:b/>
                        <w:caps/>
                        <w:sz w:val="22"/>
                        <w:szCs w:val="22"/>
                        <w:lang w:val="lt-LT"/>
                      </w:rPr>
                      <w:t>Kriterijai</w:t>
                    </w:r>
                  </w:p>
                </w:txbxContent>
              </v:textbox>
            </v:shape>
            <v:rect id="_x0000_s73836" style="position:absolute;left:1815;top:9251;width:232;height:197" o:regroupid="111" fillcolor="#d8d8d8 [2732]" strokecolor="#d8d8d8 [2732]"/>
            <v:shape id="_x0000_s73837" type="#_x0000_t90" style="position:absolute;left:1394;top:9869;width:1155;height:314;rotation:90" o:regroupid="111" adj=",18086,4641" fillcolor="#d8d8d8 [2732]" strokecolor="#d8d8d8 [2732]"/>
            <v:shape id="_x0000_s73838" type="#_x0000_t90" style="position:absolute;left:1351;top:10856;width:1241;height:314;rotation:90" o:regroupid="111" adj=",18086,4641" fillcolor="#d8d8d8 [2732]" strokecolor="#d8d8d8 [2732]"/>
            <v:shape id="_x0000_s73839" type="#_x0000_t90" style="position:absolute;left:1339;top:11834;width:1266;height:314;rotation:90" o:regroupid="111" adj=",18086,4641" fillcolor="#d8d8d8 [2732]" strokecolor="#d8d8d8 [2732]"/>
            <v:shape id="_x0000_s73840" type="#_x0000_t90" style="position:absolute;left:1347;top:12872;width:1249;height:314;rotation:90" o:regroupid="111" adj=",18086,4641" fillcolor="#d8d8d8 [2732]" strokecolor="#d8d8d8 [2732]"/>
            <v:shape id="_x0000_s73862" type="#_x0000_t90" style="position:absolute;left:7855;top:9980;width:880;height:287;rotation:90" o:regroupid="112" adj=",18086,4641" fillcolor="#d8d8d8 [2732]" strokecolor="#d8d8d8 [2732]"/>
            <v:shape id="_x0000_s74480" type="#_x0000_t90" style="position:absolute;left:7812;top:10731;width:966;height:287;rotation:90" adj=",18086,4641" fillcolor="#d8d8d8 [2732]" strokecolor="#d8d8d8 [2732]"/>
            <v:shape id="_x0000_s74481" type="#_x0000_t90" style="position:absolute;left:7812;top:12315;width:966;height:287;rotation:90" adj=",18086,4641" fillcolor="#d8d8d8 [2732]" strokecolor="#d8d8d8 [2732]"/>
            <v:shape id="_x0000_s74482" type="#_x0000_t90" style="position:absolute;left:7812;top:11542;width:966;height:287;rotation:90" adj=",18086,4641" fillcolor="#d8d8d8 [2732]" strokecolor="#d8d8d8 [2732]"/>
          </v:group>
        </w:pict>
      </w:r>
    </w:p>
    <w:p w:rsidR="00302364" w:rsidRDefault="00302364" w:rsidP="00302364">
      <w:pPr>
        <w:rPr>
          <w:lang w:val="lt-LT"/>
        </w:rPr>
      </w:pPr>
    </w:p>
    <w:p w:rsidR="00C60E01" w:rsidRDefault="00C60E01" w:rsidP="00302364">
      <w:pPr>
        <w:rPr>
          <w:lang w:val="lt-LT"/>
        </w:rPr>
      </w:pPr>
    </w:p>
    <w:p w:rsidR="00302364" w:rsidRDefault="00302364" w:rsidP="00302364">
      <w:pPr>
        <w:rPr>
          <w:lang w:val="lt-LT"/>
        </w:rPr>
      </w:pPr>
    </w:p>
    <w:p w:rsidR="00302364" w:rsidRDefault="00302364" w:rsidP="00302364">
      <w:pPr>
        <w:rPr>
          <w:lang w:val="lt-LT"/>
        </w:rPr>
      </w:pPr>
    </w:p>
    <w:p w:rsidR="00302364" w:rsidRDefault="00302364" w:rsidP="00302364">
      <w:pPr>
        <w:rPr>
          <w:lang w:val="lt-LT"/>
        </w:rPr>
      </w:pPr>
    </w:p>
    <w:p w:rsidR="00302364" w:rsidRDefault="00302364" w:rsidP="00302364">
      <w:pPr>
        <w:rPr>
          <w:lang w:val="lt-LT"/>
        </w:rPr>
      </w:pPr>
    </w:p>
    <w:p w:rsidR="00302364" w:rsidRDefault="00302364" w:rsidP="00302364">
      <w:pPr>
        <w:rPr>
          <w:lang w:val="lt-LT"/>
        </w:rPr>
      </w:pPr>
    </w:p>
    <w:p w:rsidR="00302364" w:rsidRPr="00302364" w:rsidRDefault="00302364" w:rsidP="00302364">
      <w:pPr>
        <w:rPr>
          <w:lang w:val="lt-LT"/>
        </w:rPr>
      </w:pPr>
    </w:p>
    <w:p w:rsidR="00043747" w:rsidRPr="004D250D" w:rsidRDefault="00043747" w:rsidP="00043747">
      <w:pPr>
        <w:pStyle w:val="Heading3"/>
        <w:tabs>
          <w:tab w:val="left" w:pos="0"/>
        </w:tabs>
        <w:spacing w:before="0" w:after="0"/>
        <w:jc w:val="both"/>
        <w:rPr>
          <w:rFonts w:ascii="Times New Roman" w:hAnsi="Times New Roman" w:cs="Times New Roman"/>
          <w:b w:val="0"/>
          <w:bCs w:val="0"/>
          <w:sz w:val="24"/>
          <w:szCs w:val="24"/>
          <w:lang w:val="lt-LT"/>
        </w:rPr>
      </w:pPr>
    </w:p>
    <w:p w:rsidR="00043747" w:rsidRPr="004D250D" w:rsidRDefault="00043747" w:rsidP="00043747">
      <w:pPr>
        <w:pStyle w:val="Heading3"/>
        <w:tabs>
          <w:tab w:val="left" w:pos="0"/>
        </w:tabs>
        <w:spacing w:before="0" w:after="0"/>
        <w:jc w:val="both"/>
        <w:rPr>
          <w:rFonts w:ascii="Times New Roman" w:hAnsi="Times New Roman" w:cs="Times New Roman"/>
          <w:b w:val="0"/>
          <w:bCs w:val="0"/>
          <w:sz w:val="24"/>
          <w:szCs w:val="24"/>
          <w:lang w:val="lt-LT"/>
        </w:rPr>
      </w:pPr>
    </w:p>
    <w:p w:rsidR="00043747" w:rsidRPr="004D250D" w:rsidRDefault="00043747" w:rsidP="00043747">
      <w:pPr>
        <w:rPr>
          <w:sz w:val="24"/>
          <w:szCs w:val="24"/>
          <w:lang w:val="lt-LT"/>
        </w:rPr>
      </w:pPr>
    </w:p>
    <w:p w:rsidR="00043747" w:rsidRPr="004D250D" w:rsidRDefault="00043747" w:rsidP="00043747">
      <w:pPr>
        <w:rPr>
          <w:sz w:val="24"/>
          <w:szCs w:val="24"/>
          <w:lang w:val="lt-LT"/>
        </w:rPr>
      </w:pPr>
    </w:p>
    <w:p w:rsidR="00043747" w:rsidRPr="004D250D" w:rsidRDefault="00043747" w:rsidP="00043747">
      <w:pPr>
        <w:rPr>
          <w:sz w:val="24"/>
          <w:szCs w:val="24"/>
          <w:lang w:val="lt-LT"/>
        </w:rPr>
      </w:pPr>
    </w:p>
    <w:p w:rsidR="00043747" w:rsidRPr="004D250D" w:rsidRDefault="00043747" w:rsidP="00043747">
      <w:pPr>
        <w:rPr>
          <w:sz w:val="24"/>
          <w:szCs w:val="24"/>
          <w:lang w:val="lt-LT"/>
        </w:rPr>
      </w:pPr>
    </w:p>
    <w:p w:rsidR="00043747" w:rsidRPr="004D250D" w:rsidRDefault="00043747" w:rsidP="00043747">
      <w:pPr>
        <w:rPr>
          <w:sz w:val="24"/>
          <w:szCs w:val="24"/>
          <w:lang w:val="lt-LT"/>
        </w:rPr>
      </w:pPr>
    </w:p>
    <w:p w:rsidR="00043747" w:rsidRPr="004D250D" w:rsidRDefault="00043747" w:rsidP="00043747">
      <w:pPr>
        <w:rPr>
          <w:sz w:val="24"/>
          <w:szCs w:val="24"/>
          <w:lang w:val="lt-LT"/>
        </w:rPr>
      </w:pPr>
    </w:p>
    <w:p w:rsidR="00043747" w:rsidRPr="004D250D" w:rsidRDefault="00043747" w:rsidP="00043747">
      <w:pPr>
        <w:rPr>
          <w:sz w:val="24"/>
          <w:szCs w:val="24"/>
          <w:lang w:val="lt-LT"/>
        </w:rPr>
      </w:pPr>
    </w:p>
    <w:p w:rsidR="00043747" w:rsidRPr="004D250D" w:rsidRDefault="00043747" w:rsidP="00043747">
      <w:pPr>
        <w:rPr>
          <w:sz w:val="24"/>
          <w:szCs w:val="24"/>
          <w:lang w:val="lt-LT"/>
        </w:rPr>
      </w:pPr>
    </w:p>
    <w:p w:rsidR="00043747" w:rsidRPr="004D250D" w:rsidRDefault="00043747" w:rsidP="00043747">
      <w:pPr>
        <w:rPr>
          <w:sz w:val="24"/>
          <w:szCs w:val="24"/>
          <w:lang w:val="lt-LT"/>
        </w:rPr>
      </w:pPr>
    </w:p>
    <w:p w:rsidR="00043747" w:rsidRDefault="00043747" w:rsidP="00043747">
      <w:pPr>
        <w:spacing w:line="360" w:lineRule="auto"/>
        <w:rPr>
          <w:lang w:val="lt-LT"/>
        </w:rPr>
      </w:pPr>
    </w:p>
    <w:p w:rsidR="00043747" w:rsidRDefault="00043747" w:rsidP="00043747">
      <w:pPr>
        <w:spacing w:line="360" w:lineRule="auto"/>
        <w:rPr>
          <w:lang w:val="lt-LT"/>
        </w:rPr>
      </w:pPr>
    </w:p>
    <w:p w:rsidR="00C60E01" w:rsidRDefault="00043747" w:rsidP="00C60E01">
      <w:pPr>
        <w:rPr>
          <w:lang w:val="lt-LT"/>
        </w:rPr>
      </w:pPr>
      <w:r w:rsidRPr="00FE380C">
        <w:rPr>
          <w:lang w:val="lt-LT"/>
        </w:rPr>
        <w:t xml:space="preserve">Šaltinis: sukurta autorės. </w:t>
      </w:r>
    </w:p>
    <w:p w:rsidR="00043747" w:rsidRPr="00C60E01" w:rsidRDefault="00750B2D" w:rsidP="00C60E01">
      <w:pPr>
        <w:jc w:val="center"/>
        <w:rPr>
          <w:lang w:val="lt-LT"/>
        </w:rPr>
      </w:pPr>
      <w:r w:rsidRPr="00982E04">
        <w:rPr>
          <w:b/>
          <w:sz w:val="26"/>
          <w:szCs w:val="26"/>
          <w:lang w:val="lt-LT"/>
        </w:rPr>
        <w:t>7</w:t>
      </w:r>
      <w:r w:rsidR="00043747" w:rsidRPr="00982E04">
        <w:rPr>
          <w:b/>
          <w:sz w:val="26"/>
          <w:szCs w:val="26"/>
          <w:lang w:val="lt-LT"/>
        </w:rPr>
        <w:t xml:space="preserve"> pav. </w:t>
      </w:r>
      <w:r w:rsidR="00F004D4" w:rsidRPr="00982E04">
        <w:rPr>
          <w:b/>
          <w:sz w:val="26"/>
          <w:szCs w:val="26"/>
          <w:lang w:val="lt-LT"/>
        </w:rPr>
        <w:t>COSO v</w:t>
      </w:r>
      <w:r w:rsidR="00043747" w:rsidRPr="00982E04">
        <w:rPr>
          <w:b/>
          <w:sz w:val="26"/>
          <w:szCs w:val="26"/>
          <w:lang w:val="lt-LT"/>
        </w:rPr>
        <w:t xml:space="preserve">idaus kontrolės sistemos vertinimas </w:t>
      </w:r>
      <w:r w:rsidR="00F004D4" w:rsidRPr="00982E04">
        <w:rPr>
          <w:b/>
          <w:sz w:val="26"/>
          <w:szCs w:val="26"/>
          <w:lang w:val="lt-LT"/>
        </w:rPr>
        <w:t>p</w:t>
      </w:r>
      <w:r w:rsidR="00D37A2A" w:rsidRPr="00982E04">
        <w:rPr>
          <w:b/>
          <w:sz w:val="26"/>
          <w:szCs w:val="26"/>
          <w:lang w:val="lt-LT"/>
        </w:rPr>
        <w:t>agal CoC</w:t>
      </w:r>
      <w:r w:rsidR="00043747" w:rsidRPr="00982E04">
        <w:rPr>
          <w:b/>
          <w:sz w:val="26"/>
          <w:szCs w:val="26"/>
          <w:lang w:val="lt-LT"/>
        </w:rPr>
        <w:t xml:space="preserve">o </w:t>
      </w:r>
      <w:r w:rsidR="00F004D4" w:rsidRPr="00982E04">
        <w:rPr>
          <w:b/>
          <w:sz w:val="26"/>
          <w:szCs w:val="26"/>
          <w:lang w:val="lt-LT"/>
        </w:rPr>
        <w:t>model</w:t>
      </w:r>
      <w:r w:rsidR="00641C67" w:rsidRPr="00982E04">
        <w:rPr>
          <w:b/>
          <w:sz w:val="26"/>
          <w:szCs w:val="26"/>
          <w:lang w:val="lt-LT"/>
        </w:rPr>
        <w:t>io kriterijus</w:t>
      </w:r>
    </w:p>
    <w:p w:rsidR="00530605" w:rsidRPr="00982E04" w:rsidRDefault="0005330D" w:rsidP="00F004D4">
      <w:pPr>
        <w:spacing w:before="120" w:line="360" w:lineRule="auto"/>
        <w:ind w:firstLine="720"/>
        <w:jc w:val="both"/>
        <w:rPr>
          <w:color w:val="000000" w:themeColor="text1"/>
          <w:sz w:val="26"/>
          <w:szCs w:val="26"/>
          <w:lang w:val="lt-LT"/>
        </w:rPr>
      </w:pPr>
      <w:r w:rsidRPr="00982E04">
        <w:rPr>
          <w:sz w:val="26"/>
          <w:szCs w:val="26"/>
          <w:lang w:val="lt-LT"/>
        </w:rPr>
        <w:lastRenderedPageBreak/>
        <w:t xml:space="preserve">Nors </w:t>
      </w:r>
      <w:r w:rsidR="00722001" w:rsidRPr="00982E04">
        <w:rPr>
          <w:sz w:val="26"/>
          <w:szCs w:val="26"/>
          <w:lang w:val="lt-LT"/>
        </w:rPr>
        <w:t>veiksminga vidaus kontrolės sistema priklauso nuo</w:t>
      </w:r>
      <w:r w:rsidRPr="00982E04">
        <w:rPr>
          <w:sz w:val="26"/>
          <w:szCs w:val="26"/>
          <w:lang w:val="lt-LT"/>
        </w:rPr>
        <w:t xml:space="preserve"> jos struktūros, tačiau p</w:t>
      </w:r>
      <w:r w:rsidR="00CD6A00" w:rsidRPr="00982E04">
        <w:rPr>
          <w:sz w:val="26"/>
          <w:szCs w:val="26"/>
          <w:lang w:val="lt-LT"/>
        </w:rPr>
        <w:t xml:space="preserve">asitikėti įmonės vidaus kontrolės sistema auditorius gali tik po to, kai nustato, kad kontrolė yra veiksminga (Fogarty, Graham, Schubert, 2007, p. 3). </w:t>
      </w:r>
      <w:r w:rsidR="000E0030" w:rsidRPr="00982E04">
        <w:rPr>
          <w:sz w:val="26"/>
          <w:szCs w:val="26"/>
          <w:lang w:val="lt-LT"/>
        </w:rPr>
        <w:t xml:space="preserve">N. Luscombe (1995) teigimu, kontrolė yra veiksminga tokia apimtimi, kokia ji teikia užtikrinimą, kad įmonės tikslai bus pasiekti arba, priešingai, tokia apimtimi, kad likusios įmonės rizikos yra priimtinos. </w:t>
      </w:r>
      <w:r w:rsidR="00CD6A00" w:rsidRPr="00982E04">
        <w:rPr>
          <w:sz w:val="26"/>
          <w:szCs w:val="26"/>
          <w:lang w:val="lt-LT"/>
        </w:rPr>
        <w:t>Veiksminga laikoma tokia vidaus kontrolės sistema, kuri nustačiusi iškraipymus, juos ištaiso. Tuo tarpu ne</w:t>
      </w:r>
      <w:r w:rsidR="00CD774D" w:rsidRPr="00982E04">
        <w:rPr>
          <w:sz w:val="26"/>
          <w:szCs w:val="26"/>
          <w:lang w:val="lt-LT"/>
        </w:rPr>
        <w:t>veiksminga</w:t>
      </w:r>
      <w:r w:rsidR="00CD6A00" w:rsidRPr="00982E04">
        <w:rPr>
          <w:sz w:val="26"/>
          <w:szCs w:val="26"/>
          <w:lang w:val="lt-LT"/>
        </w:rPr>
        <w:t xml:space="preserve"> vidaus kontrolės sistema, kai</w:t>
      </w:r>
      <w:r w:rsidR="0062092F" w:rsidRPr="00982E04">
        <w:rPr>
          <w:sz w:val="26"/>
          <w:szCs w:val="26"/>
          <w:lang w:val="lt-LT"/>
        </w:rPr>
        <w:t xml:space="preserve"> (Robertson, 1990, p. 181)</w:t>
      </w:r>
      <w:r w:rsidR="002C24E1">
        <w:rPr>
          <w:sz w:val="26"/>
          <w:szCs w:val="26"/>
          <w:lang w:val="lt-LT"/>
        </w:rPr>
        <w:t>: 1) </w:t>
      </w:r>
      <w:r w:rsidR="00CD6A00" w:rsidRPr="00982E04">
        <w:rPr>
          <w:sz w:val="26"/>
          <w:szCs w:val="26"/>
          <w:lang w:val="lt-LT"/>
        </w:rPr>
        <w:t>ji nenustato buhalterinės apskaitos sistemoje esančių iškraipymų, 2)</w:t>
      </w:r>
      <w:r w:rsidR="002C24E1">
        <w:rPr>
          <w:sz w:val="26"/>
          <w:szCs w:val="26"/>
          <w:lang w:val="lt-LT"/>
        </w:rPr>
        <w:t> </w:t>
      </w:r>
      <w:r w:rsidR="00CD6A00" w:rsidRPr="00982E04">
        <w:rPr>
          <w:sz w:val="26"/>
          <w:szCs w:val="26"/>
          <w:lang w:val="lt-LT"/>
        </w:rPr>
        <w:t>užfiksuoja buhalterinės apskaitos sistemoje iškraipymus, nors jų nėra, 3) kai apskaitoje yra iškraipymas, jį nustato, bet jo neištaiso.</w:t>
      </w:r>
      <w:r w:rsidR="00F8741E" w:rsidRPr="00982E04">
        <w:rPr>
          <w:sz w:val="26"/>
          <w:szCs w:val="26"/>
          <w:lang w:val="lt-LT"/>
        </w:rPr>
        <w:t xml:space="preserve"> </w:t>
      </w:r>
      <w:r w:rsidR="006E68F3" w:rsidRPr="00982E04">
        <w:rPr>
          <w:sz w:val="26"/>
          <w:szCs w:val="26"/>
          <w:lang w:val="lt-LT"/>
        </w:rPr>
        <w:t xml:space="preserve">J. D. Staliūnienė (2001) </w:t>
      </w:r>
      <w:r w:rsidR="00021174" w:rsidRPr="00982E04">
        <w:rPr>
          <w:sz w:val="26"/>
          <w:szCs w:val="26"/>
          <w:lang w:val="lt-LT"/>
        </w:rPr>
        <w:t>nurodo</w:t>
      </w:r>
      <w:r w:rsidR="006E68F3" w:rsidRPr="00982E04">
        <w:rPr>
          <w:sz w:val="26"/>
          <w:szCs w:val="26"/>
          <w:lang w:val="lt-LT"/>
        </w:rPr>
        <w:t xml:space="preserve">, </w:t>
      </w:r>
      <w:r w:rsidR="00021174" w:rsidRPr="00982E04">
        <w:rPr>
          <w:sz w:val="26"/>
          <w:szCs w:val="26"/>
          <w:lang w:val="lt-LT"/>
        </w:rPr>
        <w:t xml:space="preserve">kad </w:t>
      </w:r>
      <w:r w:rsidR="006E68F3" w:rsidRPr="00982E04">
        <w:rPr>
          <w:sz w:val="26"/>
          <w:szCs w:val="26"/>
          <w:lang w:val="lt-LT"/>
        </w:rPr>
        <w:t>auditorius neprivalo nustatyti faktinio įmonės vidaus kontrolės sistemos lygio, bet jis turi gauti žinias, kurių reikia auditui planuoti, siekiant jį padaryti efektyvų ir patikimą</w:t>
      </w:r>
      <w:r w:rsidR="00021174" w:rsidRPr="00982E04">
        <w:rPr>
          <w:sz w:val="26"/>
          <w:szCs w:val="26"/>
          <w:lang w:val="lt-LT"/>
        </w:rPr>
        <w:t xml:space="preserve">. </w:t>
      </w:r>
    </w:p>
    <w:p w:rsidR="00230881" w:rsidRPr="00982E04" w:rsidRDefault="006B6802" w:rsidP="0072274E">
      <w:pPr>
        <w:tabs>
          <w:tab w:val="left" w:pos="567"/>
        </w:tabs>
        <w:spacing w:line="360" w:lineRule="auto"/>
        <w:jc w:val="both"/>
        <w:rPr>
          <w:sz w:val="26"/>
          <w:szCs w:val="26"/>
          <w:lang w:val="lt-LT"/>
        </w:rPr>
      </w:pPr>
      <w:r w:rsidRPr="00982E04">
        <w:rPr>
          <w:color w:val="000000" w:themeColor="text1"/>
          <w:sz w:val="26"/>
          <w:szCs w:val="26"/>
          <w:lang w:val="lt-LT"/>
        </w:rPr>
        <w:tab/>
      </w:r>
      <w:r w:rsidR="004F620B" w:rsidRPr="00982E04">
        <w:rPr>
          <w:color w:val="000000" w:themeColor="text1"/>
          <w:sz w:val="26"/>
          <w:szCs w:val="26"/>
          <w:lang w:val="lt-LT"/>
        </w:rPr>
        <w:t>Taigi į</w:t>
      </w:r>
      <w:r w:rsidR="0035501E" w:rsidRPr="00982E04">
        <w:rPr>
          <w:color w:val="000000" w:themeColor="text1"/>
          <w:sz w:val="26"/>
          <w:szCs w:val="26"/>
          <w:lang w:val="lt-LT"/>
        </w:rPr>
        <w:t xml:space="preserve">monės vidaus kontrolės </w:t>
      </w:r>
      <w:r w:rsidR="00A92756" w:rsidRPr="00982E04">
        <w:rPr>
          <w:color w:val="000000" w:themeColor="text1"/>
          <w:sz w:val="26"/>
          <w:szCs w:val="26"/>
          <w:lang w:val="lt-LT"/>
        </w:rPr>
        <w:t xml:space="preserve">sistema </w:t>
      </w:r>
      <w:r w:rsidR="0035501E" w:rsidRPr="00982E04">
        <w:rPr>
          <w:color w:val="000000" w:themeColor="text1"/>
          <w:sz w:val="26"/>
          <w:szCs w:val="26"/>
          <w:lang w:val="lt-LT"/>
        </w:rPr>
        <w:t>lemia auditoriaus atliekamą kontrolės rizikos vertinimą</w:t>
      </w:r>
      <w:r w:rsidR="004F620B" w:rsidRPr="00982E04">
        <w:rPr>
          <w:color w:val="000000" w:themeColor="text1"/>
          <w:sz w:val="26"/>
          <w:szCs w:val="26"/>
          <w:lang w:val="lt-LT"/>
        </w:rPr>
        <w:t xml:space="preserve">: </w:t>
      </w:r>
      <w:r w:rsidR="00A654A5" w:rsidRPr="00982E04">
        <w:rPr>
          <w:color w:val="000000" w:themeColor="text1"/>
          <w:sz w:val="26"/>
          <w:szCs w:val="26"/>
          <w:lang w:val="lt-LT"/>
        </w:rPr>
        <w:t>p</w:t>
      </w:r>
      <w:r w:rsidR="00A654A5" w:rsidRPr="00982E04">
        <w:rPr>
          <w:sz w:val="26"/>
          <w:szCs w:val="26"/>
          <w:lang w:val="lt-LT"/>
        </w:rPr>
        <w:t xml:space="preserve">radinį kontrolės rizikos lygį lemia įmonės vidaus kontrolės sistemos struktūra, o galutinį kontrolės rizikos vertinimą apsprendžia jos veiksmingumas. </w:t>
      </w:r>
      <w:r w:rsidR="00FB0B25" w:rsidRPr="00982E04">
        <w:rPr>
          <w:color w:val="000000" w:themeColor="text1"/>
          <w:sz w:val="26"/>
          <w:szCs w:val="26"/>
          <w:lang w:val="lt-LT"/>
        </w:rPr>
        <w:t xml:space="preserve">Tačiau </w:t>
      </w:r>
      <w:r w:rsidR="00FB0B25" w:rsidRPr="00982E04">
        <w:rPr>
          <w:sz w:val="26"/>
          <w:szCs w:val="26"/>
          <w:lang w:val="lt-LT"/>
        </w:rPr>
        <w:t xml:space="preserve">šis vertinimas bus paremtas auditoriaus įgytu supratimu nei tiksliu kontrolės rizikos išmatavimu. </w:t>
      </w:r>
      <w:r w:rsidR="009F4D8A" w:rsidRPr="00982E04">
        <w:rPr>
          <w:color w:val="000000" w:themeColor="text1"/>
          <w:sz w:val="26"/>
          <w:szCs w:val="26"/>
          <w:lang w:val="lt-LT"/>
        </w:rPr>
        <w:t xml:space="preserve">Auditorius gali tik netiesiogiai paveikti kontrolės riziką patardamas dėl vidaus kontrolės, kurią vadovybė turėtų įgyvendinti (Blokdijk, 2004, p. 187). </w:t>
      </w:r>
    </w:p>
    <w:p w:rsidR="008C7E05" w:rsidRPr="00982E04" w:rsidRDefault="003116F5" w:rsidP="008C7E05">
      <w:pPr>
        <w:spacing w:line="360" w:lineRule="auto"/>
        <w:ind w:firstLine="720"/>
        <w:jc w:val="both"/>
        <w:rPr>
          <w:sz w:val="26"/>
          <w:szCs w:val="26"/>
          <w:lang w:val="lt-LT"/>
        </w:rPr>
      </w:pPr>
      <w:bookmarkStart w:id="21" w:name="_Toc70063221"/>
      <w:bookmarkStart w:id="22" w:name="_Toc72067640"/>
      <w:bookmarkStart w:id="23" w:name="_Toc72067795"/>
      <w:r w:rsidRPr="00982E04">
        <w:rPr>
          <w:sz w:val="26"/>
          <w:szCs w:val="26"/>
          <w:lang w:val="lt-LT"/>
        </w:rPr>
        <w:t xml:space="preserve">Toliau aptarsime aptikimo rizikos sampratos ir </w:t>
      </w:r>
      <w:r w:rsidR="007D41BA" w:rsidRPr="00982E04">
        <w:rPr>
          <w:sz w:val="26"/>
          <w:szCs w:val="26"/>
          <w:lang w:val="lt-LT"/>
        </w:rPr>
        <w:t xml:space="preserve">jos ryšio su įgimta ir kontrolės rizikomis </w:t>
      </w:r>
      <w:r w:rsidRPr="00982E04">
        <w:rPr>
          <w:sz w:val="26"/>
          <w:szCs w:val="26"/>
          <w:lang w:val="lt-LT"/>
        </w:rPr>
        <w:t>vertinimo ypatumus.</w:t>
      </w:r>
    </w:p>
    <w:p w:rsidR="0071187D" w:rsidRPr="00982E04" w:rsidRDefault="000458CE" w:rsidP="00AC3FB1">
      <w:pPr>
        <w:spacing w:line="360" w:lineRule="auto"/>
        <w:ind w:firstLine="720"/>
        <w:jc w:val="both"/>
        <w:rPr>
          <w:sz w:val="26"/>
          <w:szCs w:val="26"/>
          <w:lang w:val="lt-LT"/>
        </w:rPr>
      </w:pPr>
      <w:r w:rsidRPr="00982E04">
        <w:rPr>
          <w:b/>
          <w:sz w:val="26"/>
          <w:szCs w:val="26"/>
          <w:lang w:val="lt-LT"/>
        </w:rPr>
        <w:t>Aptikimo rizika</w:t>
      </w:r>
      <w:bookmarkEnd w:id="21"/>
      <w:bookmarkEnd w:id="22"/>
      <w:bookmarkEnd w:id="23"/>
      <w:r w:rsidR="008C7E05" w:rsidRPr="00982E04">
        <w:rPr>
          <w:b/>
          <w:sz w:val="26"/>
          <w:szCs w:val="26"/>
          <w:lang w:val="lt-LT"/>
        </w:rPr>
        <w:t>.</w:t>
      </w:r>
      <w:r w:rsidR="009F544B" w:rsidRPr="00982E04">
        <w:rPr>
          <w:b/>
          <w:sz w:val="26"/>
          <w:szCs w:val="26"/>
          <w:lang w:val="lt-LT"/>
        </w:rPr>
        <w:t xml:space="preserve"> </w:t>
      </w:r>
      <w:r w:rsidR="00AC7300" w:rsidRPr="00982E04">
        <w:rPr>
          <w:sz w:val="26"/>
          <w:szCs w:val="26"/>
          <w:lang w:val="lt-LT"/>
        </w:rPr>
        <w:t>A</w:t>
      </w:r>
      <w:r w:rsidRPr="00982E04">
        <w:rPr>
          <w:sz w:val="26"/>
          <w:szCs w:val="26"/>
          <w:lang w:val="lt-LT"/>
        </w:rPr>
        <w:t>udito rizikos komponent</w:t>
      </w:r>
      <w:r w:rsidR="00AC7300" w:rsidRPr="00982E04">
        <w:rPr>
          <w:sz w:val="26"/>
          <w:szCs w:val="26"/>
          <w:lang w:val="lt-LT"/>
        </w:rPr>
        <w:t xml:space="preserve">as – </w:t>
      </w:r>
      <w:r w:rsidRPr="00982E04">
        <w:rPr>
          <w:sz w:val="26"/>
          <w:szCs w:val="26"/>
          <w:lang w:val="lt-LT"/>
        </w:rPr>
        <w:t>aptikimo rizika</w:t>
      </w:r>
      <w:r w:rsidR="005E5532" w:rsidRPr="00982E04">
        <w:rPr>
          <w:sz w:val="26"/>
          <w:szCs w:val="26"/>
          <w:lang w:val="lt-LT"/>
        </w:rPr>
        <w:t xml:space="preserve"> (200</w:t>
      </w:r>
      <w:r w:rsidR="00351D74">
        <w:rPr>
          <w:sz w:val="26"/>
          <w:szCs w:val="26"/>
          <w:lang w:val="lt-LT"/>
        </w:rPr>
        <w:t> </w:t>
      </w:r>
      <w:r w:rsidR="005E5532" w:rsidRPr="00982E04">
        <w:rPr>
          <w:sz w:val="26"/>
          <w:szCs w:val="26"/>
          <w:lang w:val="lt-LT"/>
        </w:rPr>
        <w:t>TSA, 2006)</w:t>
      </w:r>
      <w:r w:rsidR="009F544B" w:rsidRPr="00982E04">
        <w:rPr>
          <w:sz w:val="26"/>
          <w:szCs w:val="26"/>
          <w:lang w:val="lt-LT"/>
        </w:rPr>
        <w:t>, mokslo darbuose įvardijamas skirtingai. Vieni autoriai (Mackevičius, 1999</w:t>
      </w:r>
      <w:r w:rsidR="0018088C" w:rsidRPr="00982E04">
        <w:rPr>
          <w:sz w:val="26"/>
          <w:szCs w:val="26"/>
          <w:lang w:val="lt-LT"/>
        </w:rPr>
        <w:t>, 2009</w:t>
      </w:r>
      <w:r w:rsidR="009F544B" w:rsidRPr="00982E04">
        <w:rPr>
          <w:sz w:val="26"/>
          <w:szCs w:val="26"/>
          <w:lang w:val="lt-LT"/>
        </w:rPr>
        <w:t xml:space="preserve">; </w:t>
      </w:r>
      <w:r w:rsidR="00AC3FB1" w:rsidRPr="00982E04">
        <w:rPr>
          <w:sz w:val="26"/>
          <w:szCs w:val="26"/>
          <w:lang w:val="lt-LT"/>
        </w:rPr>
        <w:t xml:space="preserve">Rupeikienė, 2005; </w:t>
      </w:r>
      <w:r w:rsidR="009F544B" w:rsidRPr="00982E04">
        <w:rPr>
          <w:sz w:val="26"/>
          <w:szCs w:val="26"/>
          <w:lang w:val="lt-LT"/>
        </w:rPr>
        <w:t xml:space="preserve">Daujotaitė, 2006; Defliz, Jenik, </w:t>
      </w:r>
      <w:r w:rsidR="009F544B" w:rsidRPr="00982E04">
        <w:rPr>
          <w:sz w:val="26"/>
          <w:szCs w:val="26"/>
        </w:rPr>
        <w:t>O‘Reilly</w:t>
      </w:r>
      <w:r w:rsidR="009F544B" w:rsidRPr="00982E04">
        <w:rPr>
          <w:sz w:val="26"/>
          <w:szCs w:val="26"/>
          <w:lang w:val="lt-LT"/>
        </w:rPr>
        <w:t xml:space="preserve">, 1997; </w:t>
      </w:r>
      <w:r w:rsidR="00862190" w:rsidRPr="00982E04">
        <w:rPr>
          <w:sz w:val="26"/>
          <w:szCs w:val="26"/>
          <w:lang w:val="lt-LT"/>
        </w:rPr>
        <w:t>By</w:t>
      </w:r>
      <w:r w:rsidR="009F544B" w:rsidRPr="00982E04">
        <w:rPr>
          <w:sz w:val="26"/>
          <w:szCs w:val="26"/>
          <w:lang w:val="lt-LT"/>
        </w:rPr>
        <w:t>čkova, 1998; Skobara, 1998</w:t>
      </w:r>
      <w:r w:rsidR="00AC3FB1" w:rsidRPr="00982E04">
        <w:rPr>
          <w:sz w:val="26"/>
          <w:szCs w:val="26"/>
          <w:lang w:val="lt-LT"/>
        </w:rPr>
        <w:t>; Mironova, 2006</w:t>
      </w:r>
      <w:r w:rsidR="009F544B" w:rsidRPr="00982E04">
        <w:rPr>
          <w:sz w:val="26"/>
          <w:szCs w:val="26"/>
          <w:lang w:val="lt-LT"/>
        </w:rPr>
        <w:t xml:space="preserve">) ją vadina neaptikimo, neatpažinimo rizika, kiti, kaip antai J. Kabašinskas, I. Toliatienė (1997) – susekimo rizika, o A. D. Šeremet, V. P. Suijc (1995) – procedūrų rizika. </w:t>
      </w:r>
      <w:r w:rsidR="0096283F" w:rsidRPr="00982E04">
        <w:rPr>
          <w:sz w:val="26"/>
          <w:szCs w:val="26"/>
          <w:lang w:val="lt-LT"/>
        </w:rPr>
        <w:t xml:space="preserve">Tai </w:t>
      </w:r>
      <w:r w:rsidR="009A576E" w:rsidRPr="00982E04">
        <w:rPr>
          <w:sz w:val="26"/>
          <w:szCs w:val="26"/>
          <w:lang w:val="lt-LT"/>
        </w:rPr>
        <w:t xml:space="preserve">200-ajame TSA (2006) apibrėžiama, kaip rizika, kad </w:t>
      </w:r>
      <w:r w:rsidR="00CB0D4F" w:rsidRPr="00982E04">
        <w:rPr>
          <w:sz w:val="26"/>
          <w:szCs w:val="26"/>
          <w:lang w:val="lt-LT"/>
        </w:rPr>
        <w:t>„</w:t>
      </w:r>
      <w:r w:rsidR="009A576E" w:rsidRPr="00982E04">
        <w:rPr>
          <w:sz w:val="26"/>
          <w:szCs w:val="26"/>
          <w:lang w:val="lt-LT"/>
        </w:rPr>
        <w:t>auditorius neaptiks reikšming</w:t>
      </w:r>
      <w:r w:rsidR="009F544B" w:rsidRPr="00982E04">
        <w:rPr>
          <w:sz w:val="26"/>
          <w:szCs w:val="26"/>
          <w:lang w:val="lt-LT"/>
        </w:rPr>
        <w:t>o</w:t>
      </w:r>
      <w:r w:rsidR="009A576E" w:rsidRPr="00982E04">
        <w:rPr>
          <w:sz w:val="26"/>
          <w:szCs w:val="26"/>
          <w:lang w:val="lt-LT"/>
        </w:rPr>
        <w:t xml:space="preserve"> iškraipym</w:t>
      </w:r>
      <w:r w:rsidR="009F544B" w:rsidRPr="00982E04">
        <w:rPr>
          <w:sz w:val="26"/>
          <w:szCs w:val="26"/>
          <w:lang w:val="lt-LT"/>
        </w:rPr>
        <w:t>o</w:t>
      </w:r>
      <w:r w:rsidR="009A576E" w:rsidRPr="00982E04">
        <w:rPr>
          <w:sz w:val="26"/>
          <w:szCs w:val="26"/>
          <w:lang w:val="lt-LT"/>
        </w:rPr>
        <w:t xml:space="preserve"> tvirtinime, kuri</w:t>
      </w:r>
      <w:r w:rsidR="005E5532" w:rsidRPr="00982E04">
        <w:rPr>
          <w:sz w:val="26"/>
          <w:szCs w:val="26"/>
          <w:lang w:val="lt-LT"/>
        </w:rPr>
        <w:t>s</w:t>
      </w:r>
      <w:r w:rsidR="009A576E" w:rsidRPr="00982E04">
        <w:rPr>
          <w:sz w:val="26"/>
          <w:szCs w:val="26"/>
          <w:lang w:val="lt-LT"/>
        </w:rPr>
        <w:t xml:space="preserve"> gali būti reikšming</w:t>
      </w:r>
      <w:r w:rsidR="005E5532" w:rsidRPr="00982E04">
        <w:rPr>
          <w:sz w:val="26"/>
          <w:szCs w:val="26"/>
          <w:lang w:val="lt-LT"/>
        </w:rPr>
        <w:t>as</w:t>
      </w:r>
      <w:r w:rsidR="009A576E" w:rsidRPr="00982E04">
        <w:rPr>
          <w:sz w:val="26"/>
          <w:szCs w:val="26"/>
          <w:lang w:val="lt-LT"/>
        </w:rPr>
        <w:t xml:space="preserve"> pats </w:t>
      </w:r>
      <w:r w:rsidR="009A576E" w:rsidRPr="00982E04">
        <w:rPr>
          <w:sz w:val="26"/>
          <w:szCs w:val="26"/>
          <w:lang w:val="lt-LT"/>
        </w:rPr>
        <w:lastRenderedPageBreak/>
        <w:t>savaime arba kartu su kitais iškraipymais</w:t>
      </w:r>
      <w:r w:rsidR="00CB0D4F" w:rsidRPr="00982E04">
        <w:rPr>
          <w:sz w:val="26"/>
          <w:szCs w:val="26"/>
          <w:lang w:val="lt-LT"/>
        </w:rPr>
        <w:t>“</w:t>
      </w:r>
      <w:r w:rsidR="009A576E" w:rsidRPr="00982E04">
        <w:rPr>
          <w:sz w:val="26"/>
          <w:szCs w:val="26"/>
          <w:lang w:val="lt-LT"/>
        </w:rPr>
        <w:t xml:space="preserve">. </w:t>
      </w:r>
      <w:r w:rsidR="00C57A1C" w:rsidRPr="00982E04">
        <w:rPr>
          <w:sz w:val="26"/>
          <w:szCs w:val="26"/>
          <w:lang w:val="lt-LT"/>
        </w:rPr>
        <w:t xml:space="preserve">Aptikimo rizika </w:t>
      </w:r>
      <w:r w:rsidR="00C57A1C" w:rsidRPr="00982E04">
        <w:rPr>
          <w:i/>
          <w:sz w:val="26"/>
          <w:szCs w:val="26"/>
          <w:lang w:val="lt-LT"/>
        </w:rPr>
        <w:t>priklauso nuo audito procedūros ir jos taikymo efektyvumo</w:t>
      </w:r>
      <w:r w:rsidR="00C57A1C" w:rsidRPr="00982E04">
        <w:rPr>
          <w:sz w:val="26"/>
          <w:szCs w:val="26"/>
          <w:lang w:val="lt-LT"/>
        </w:rPr>
        <w:t xml:space="preserve"> (200 TSA, 2006, p</w:t>
      </w:r>
      <w:r w:rsidR="00ED0973" w:rsidRPr="00982E04">
        <w:rPr>
          <w:sz w:val="26"/>
          <w:szCs w:val="26"/>
          <w:lang w:val="lt-LT"/>
        </w:rPr>
        <w:t xml:space="preserve">. </w:t>
      </w:r>
      <w:r w:rsidR="002636FD" w:rsidRPr="00982E04">
        <w:rPr>
          <w:sz w:val="26"/>
          <w:szCs w:val="26"/>
          <w:lang w:val="lt-LT"/>
        </w:rPr>
        <w:t>31</w:t>
      </w:r>
      <w:r w:rsidR="00ED0973" w:rsidRPr="00982E04">
        <w:rPr>
          <w:sz w:val="26"/>
          <w:szCs w:val="26"/>
          <w:lang w:val="lt-LT"/>
        </w:rPr>
        <w:t>3</w:t>
      </w:r>
      <w:r w:rsidR="002636FD" w:rsidRPr="00982E04">
        <w:rPr>
          <w:sz w:val="26"/>
          <w:szCs w:val="26"/>
          <w:lang w:val="lt-LT"/>
        </w:rPr>
        <w:t>; 107</w:t>
      </w:r>
      <w:r w:rsidR="00982E04">
        <w:rPr>
          <w:sz w:val="26"/>
          <w:szCs w:val="26"/>
          <w:lang w:val="lt-LT"/>
        </w:rPr>
        <w:t> </w:t>
      </w:r>
      <w:r w:rsidR="002636FD" w:rsidRPr="00982E04">
        <w:rPr>
          <w:sz w:val="26"/>
          <w:szCs w:val="26"/>
          <w:lang w:val="lt-LT"/>
        </w:rPr>
        <w:t xml:space="preserve">SAS, 2006, </w:t>
      </w:r>
      <w:r w:rsidR="00ED0973" w:rsidRPr="00982E04">
        <w:rPr>
          <w:sz w:val="26"/>
          <w:szCs w:val="26"/>
          <w:lang w:val="lt-LT"/>
        </w:rPr>
        <w:t>p. 1568</w:t>
      </w:r>
      <w:r w:rsidR="00AD61D8" w:rsidRPr="00982E04">
        <w:rPr>
          <w:sz w:val="26"/>
          <w:szCs w:val="26"/>
          <w:lang w:val="lt-LT"/>
        </w:rPr>
        <w:t xml:space="preserve">). </w:t>
      </w:r>
      <w:r w:rsidRPr="00982E04">
        <w:rPr>
          <w:sz w:val="26"/>
          <w:szCs w:val="26"/>
          <w:lang w:val="lt-LT"/>
        </w:rPr>
        <w:t xml:space="preserve">Mokslo darbuose </w:t>
      </w:r>
      <w:r w:rsidR="00615436" w:rsidRPr="00982E04">
        <w:rPr>
          <w:sz w:val="26"/>
          <w:szCs w:val="26"/>
          <w:lang w:val="lt-LT"/>
        </w:rPr>
        <w:t>(</w:t>
      </w:r>
      <w:r w:rsidR="006A2339" w:rsidRPr="00982E04">
        <w:rPr>
          <w:sz w:val="26"/>
          <w:szCs w:val="26"/>
          <w:lang w:val="lt-LT"/>
        </w:rPr>
        <w:t>Mackevičius, 1999; Kabašinskas, Toliatienė, 1997; Arens, Loebbecke, 199</w:t>
      </w:r>
      <w:r w:rsidR="007733CB" w:rsidRPr="00982E04">
        <w:rPr>
          <w:sz w:val="26"/>
          <w:szCs w:val="26"/>
          <w:lang w:val="lt-LT"/>
        </w:rPr>
        <w:t>5</w:t>
      </w:r>
      <w:r w:rsidR="006A2339" w:rsidRPr="00982E04">
        <w:rPr>
          <w:sz w:val="26"/>
          <w:szCs w:val="26"/>
          <w:lang w:val="lt-LT"/>
        </w:rPr>
        <w:t>; Dodž, 1992; Skobara, 1998</w:t>
      </w:r>
      <w:r w:rsidR="004F264B" w:rsidRPr="00982E04">
        <w:rPr>
          <w:sz w:val="26"/>
          <w:szCs w:val="26"/>
          <w:lang w:val="lt-LT"/>
        </w:rPr>
        <w:t>; Šeremet, Su</w:t>
      </w:r>
      <w:r w:rsidR="00CA5265" w:rsidRPr="00982E04">
        <w:rPr>
          <w:sz w:val="26"/>
          <w:szCs w:val="26"/>
          <w:lang w:val="lt-LT"/>
        </w:rPr>
        <w:t>i</w:t>
      </w:r>
      <w:r w:rsidR="00BC6AA0" w:rsidRPr="00982E04">
        <w:rPr>
          <w:sz w:val="26"/>
          <w:szCs w:val="26"/>
          <w:lang w:val="lt-LT"/>
        </w:rPr>
        <w:t>j</w:t>
      </w:r>
      <w:r w:rsidR="004F264B" w:rsidRPr="00982E04">
        <w:rPr>
          <w:sz w:val="26"/>
          <w:szCs w:val="26"/>
          <w:lang w:val="lt-LT"/>
        </w:rPr>
        <w:t>c</w:t>
      </w:r>
      <w:r w:rsidR="00BC6AA0" w:rsidRPr="00982E04">
        <w:rPr>
          <w:sz w:val="26"/>
          <w:szCs w:val="26"/>
          <w:lang w:val="lt-LT"/>
        </w:rPr>
        <w:t>, 1995</w:t>
      </w:r>
      <w:r w:rsidR="00F13D7D" w:rsidRPr="00982E04">
        <w:rPr>
          <w:sz w:val="26"/>
          <w:szCs w:val="26"/>
          <w:lang w:val="lt-LT"/>
        </w:rPr>
        <w:t>; Knec</w:t>
      </w:r>
      <w:r w:rsidR="003B10E6" w:rsidRPr="00982E04">
        <w:rPr>
          <w:sz w:val="26"/>
          <w:szCs w:val="26"/>
          <w:lang w:val="lt-LT"/>
        </w:rPr>
        <w:t>h</w:t>
      </w:r>
      <w:r w:rsidR="00F13D7D" w:rsidRPr="00982E04">
        <w:rPr>
          <w:sz w:val="26"/>
          <w:szCs w:val="26"/>
          <w:lang w:val="lt-LT"/>
        </w:rPr>
        <w:t>el, 2001</w:t>
      </w:r>
      <w:r w:rsidR="00615436" w:rsidRPr="00982E04">
        <w:rPr>
          <w:sz w:val="26"/>
          <w:szCs w:val="26"/>
          <w:lang w:val="lt-LT"/>
        </w:rPr>
        <w:t xml:space="preserve">) </w:t>
      </w:r>
      <w:r w:rsidRPr="00982E04">
        <w:rPr>
          <w:sz w:val="26"/>
          <w:szCs w:val="26"/>
          <w:lang w:val="lt-LT"/>
        </w:rPr>
        <w:t xml:space="preserve">aptikimo rizika </w:t>
      </w:r>
      <w:r w:rsidR="00AD61D8" w:rsidRPr="00982E04">
        <w:rPr>
          <w:sz w:val="26"/>
          <w:szCs w:val="26"/>
          <w:lang w:val="lt-LT"/>
        </w:rPr>
        <w:t xml:space="preserve">taip pat </w:t>
      </w:r>
      <w:r w:rsidRPr="00982E04">
        <w:rPr>
          <w:sz w:val="26"/>
          <w:szCs w:val="26"/>
          <w:lang w:val="lt-LT"/>
        </w:rPr>
        <w:t>tiesiogiai</w:t>
      </w:r>
      <w:r w:rsidRPr="00982E04">
        <w:rPr>
          <w:i/>
          <w:sz w:val="26"/>
          <w:szCs w:val="26"/>
          <w:lang w:val="lt-LT"/>
        </w:rPr>
        <w:t xml:space="preserve"> siejama su auditoriaus veiksmais</w:t>
      </w:r>
      <w:r w:rsidRPr="00982E04">
        <w:rPr>
          <w:sz w:val="26"/>
          <w:szCs w:val="26"/>
          <w:lang w:val="lt-LT"/>
        </w:rPr>
        <w:t xml:space="preserve">, teigiant, jog ši rizika pasireiškia tuomet, kai audito procedūros nepadeda nustatyti (neaptinka, neatpažįsta) </w:t>
      </w:r>
      <w:r w:rsidR="00BD685C" w:rsidRPr="00982E04">
        <w:rPr>
          <w:sz w:val="26"/>
          <w:szCs w:val="26"/>
          <w:lang w:val="lt-LT"/>
        </w:rPr>
        <w:t xml:space="preserve">reikšmingų </w:t>
      </w:r>
      <w:r w:rsidR="00AD61D8" w:rsidRPr="00982E04">
        <w:rPr>
          <w:sz w:val="26"/>
          <w:szCs w:val="26"/>
          <w:lang w:val="lt-LT"/>
        </w:rPr>
        <w:t>iškraipymų</w:t>
      </w:r>
      <w:r w:rsidRPr="00982E04">
        <w:rPr>
          <w:sz w:val="26"/>
          <w:szCs w:val="26"/>
          <w:lang w:val="lt-LT"/>
        </w:rPr>
        <w:t xml:space="preserve"> ir j</w:t>
      </w:r>
      <w:r w:rsidR="00AD61D8" w:rsidRPr="00982E04">
        <w:rPr>
          <w:sz w:val="26"/>
          <w:szCs w:val="26"/>
          <w:lang w:val="lt-LT"/>
        </w:rPr>
        <w:t>uos</w:t>
      </w:r>
      <w:r w:rsidRPr="00982E04">
        <w:rPr>
          <w:sz w:val="26"/>
          <w:szCs w:val="26"/>
          <w:lang w:val="lt-LT"/>
        </w:rPr>
        <w:t xml:space="preserve"> praleidžia, darant prielaidą, kad ši</w:t>
      </w:r>
      <w:r w:rsidR="00AD61D8" w:rsidRPr="00982E04">
        <w:rPr>
          <w:sz w:val="26"/>
          <w:szCs w:val="26"/>
          <w:lang w:val="lt-LT"/>
        </w:rPr>
        <w:t>e</w:t>
      </w:r>
      <w:r w:rsidRPr="00982E04">
        <w:rPr>
          <w:sz w:val="26"/>
          <w:szCs w:val="26"/>
          <w:lang w:val="lt-LT"/>
        </w:rPr>
        <w:t xml:space="preserve"> </w:t>
      </w:r>
      <w:r w:rsidR="00AD61D8" w:rsidRPr="00982E04">
        <w:rPr>
          <w:sz w:val="26"/>
          <w:szCs w:val="26"/>
          <w:lang w:val="lt-LT"/>
        </w:rPr>
        <w:t xml:space="preserve">iškraipymai </w:t>
      </w:r>
      <w:r w:rsidRPr="00982E04">
        <w:rPr>
          <w:sz w:val="26"/>
          <w:szCs w:val="26"/>
          <w:lang w:val="lt-LT"/>
        </w:rPr>
        <w:t>nebuvo aptikt</w:t>
      </w:r>
      <w:r w:rsidR="00AD61D8" w:rsidRPr="00982E04">
        <w:rPr>
          <w:sz w:val="26"/>
          <w:szCs w:val="26"/>
          <w:lang w:val="lt-LT"/>
        </w:rPr>
        <w:t>i</w:t>
      </w:r>
      <w:r w:rsidRPr="00982E04">
        <w:rPr>
          <w:sz w:val="26"/>
          <w:szCs w:val="26"/>
          <w:lang w:val="lt-LT"/>
        </w:rPr>
        <w:t xml:space="preserve"> ir ištaisyt</w:t>
      </w:r>
      <w:r w:rsidR="00AD61D8" w:rsidRPr="00982E04">
        <w:rPr>
          <w:sz w:val="26"/>
          <w:szCs w:val="26"/>
          <w:lang w:val="lt-LT"/>
        </w:rPr>
        <w:t>i</w:t>
      </w:r>
      <w:r w:rsidRPr="00982E04">
        <w:rPr>
          <w:sz w:val="26"/>
          <w:szCs w:val="26"/>
          <w:lang w:val="lt-LT"/>
        </w:rPr>
        <w:t xml:space="preserve"> įmonės</w:t>
      </w:r>
      <w:r w:rsidR="000372E1" w:rsidRPr="00982E04">
        <w:rPr>
          <w:sz w:val="26"/>
          <w:szCs w:val="26"/>
          <w:lang w:val="lt-LT"/>
        </w:rPr>
        <w:t xml:space="preserve"> </w:t>
      </w:r>
      <w:r w:rsidRPr="00982E04">
        <w:rPr>
          <w:sz w:val="26"/>
          <w:szCs w:val="26"/>
          <w:lang w:val="lt-LT"/>
        </w:rPr>
        <w:t>vidaus kontrol</w:t>
      </w:r>
      <w:r w:rsidR="00AD61D8" w:rsidRPr="00982E04">
        <w:rPr>
          <w:sz w:val="26"/>
          <w:szCs w:val="26"/>
          <w:lang w:val="lt-LT"/>
        </w:rPr>
        <w:t>ės</w:t>
      </w:r>
      <w:r w:rsidRPr="00982E04">
        <w:rPr>
          <w:sz w:val="26"/>
          <w:szCs w:val="26"/>
          <w:lang w:val="lt-LT"/>
        </w:rPr>
        <w:t xml:space="preserve"> sistemos.</w:t>
      </w:r>
      <w:r w:rsidR="000A620D" w:rsidRPr="00982E04">
        <w:rPr>
          <w:sz w:val="26"/>
          <w:szCs w:val="26"/>
          <w:lang w:val="lt-LT"/>
        </w:rPr>
        <w:t xml:space="preserve"> </w:t>
      </w:r>
      <w:r w:rsidRPr="00982E04">
        <w:rPr>
          <w:sz w:val="26"/>
          <w:szCs w:val="26"/>
          <w:lang w:val="lt-LT"/>
        </w:rPr>
        <w:t>J.</w:t>
      </w:r>
      <w:r w:rsidR="00AD61D8" w:rsidRPr="00982E04">
        <w:rPr>
          <w:sz w:val="26"/>
          <w:szCs w:val="26"/>
          <w:lang w:val="lt-LT"/>
        </w:rPr>
        <w:t xml:space="preserve"> </w:t>
      </w:r>
      <w:r w:rsidRPr="00982E04">
        <w:rPr>
          <w:sz w:val="26"/>
          <w:szCs w:val="26"/>
          <w:lang w:val="lt-LT"/>
        </w:rPr>
        <w:t xml:space="preserve">C. Robertson (1990) teigia, jog priešingai įgimtai ir kontrolės rizikai, auditoriai yra atsakingi už </w:t>
      </w:r>
      <w:r w:rsidR="000372E1" w:rsidRPr="00982E04">
        <w:rPr>
          <w:sz w:val="26"/>
          <w:szCs w:val="26"/>
          <w:lang w:val="lt-LT"/>
        </w:rPr>
        <w:t xml:space="preserve">audito </w:t>
      </w:r>
      <w:r w:rsidRPr="00982E04">
        <w:rPr>
          <w:sz w:val="26"/>
          <w:szCs w:val="26"/>
          <w:lang w:val="lt-LT"/>
        </w:rPr>
        <w:t xml:space="preserve">įrodymų rinkimo procedūras, kurios apsprendžia ir kontroliuoja aptikimo riziką. </w:t>
      </w:r>
      <w:r w:rsidR="005E5532" w:rsidRPr="00982E04">
        <w:rPr>
          <w:sz w:val="26"/>
          <w:szCs w:val="26"/>
          <w:lang w:val="lt-LT"/>
        </w:rPr>
        <w:t>Atsižvelgiant į tai, darbo a</w:t>
      </w:r>
      <w:r w:rsidRPr="00982E04">
        <w:rPr>
          <w:sz w:val="26"/>
          <w:szCs w:val="26"/>
          <w:lang w:val="lt-LT"/>
        </w:rPr>
        <w:t xml:space="preserve">utorės nuomone, tinkamiausia ir teisingiausia šią riziką vadinti „aptikimo“ (kaip nurodo </w:t>
      </w:r>
      <w:r w:rsidR="005E5532" w:rsidRPr="00982E04">
        <w:rPr>
          <w:sz w:val="26"/>
          <w:szCs w:val="26"/>
          <w:lang w:val="lt-LT"/>
        </w:rPr>
        <w:t>200-asis TSA</w:t>
      </w:r>
      <w:r w:rsidRPr="00982E04">
        <w:rPr>
          <w:sz w:val="26"/>
          <w:szCs w:val="26"/>
          <w:lang w:val="lt-LT"/>
        </w:rPr>
        <w:t>), kadangi auditorius rizikuoja tuo, kad audito metu neaptiks reikšming</w:t>
      </w:r>
      <w:r w:rsidR="005E5532" w:rsidRPr="00982E04">
        <w:rPr>
          <w:sz w:val="26"/>
          <w:szCs w:val="26"/>
          <w:lang w:val="lt-LT"/>
        </w:rPr>
        <w:t>o</w:t>
      </w:r>
      <w:r w:rsidRPr="00982E04">
        <w:rPr>
          <w:sz w:val="26"/>
          <w:szCs w:val="26"/>
          <w:lang w:val="lt-LT"/>
        </w:rPr>
        <w:t xml:space="preserve"> iškraipym</w:t>
      </w:r>
      <w:r w:rsidR="005E5532" w:rsidRPr="00982E04">
        <w:rPr>
          <w:sz w:val="26"/>
          <w:szCs w:val="26"/>
          <w:lang w:val="lt-LT"/>
        </w:rPr>
        <w:t>o</w:t>
      </w:r>
      <w:r w:rsidRPr="00982E04">
        <w:rPr>
          <w:sz w:val="26"/>
          <w:szCs w:val="26"/>
          <w:lang w:val="lt-LT"/>
        </w:rPr>
        <w:t xml:space="preserve"> finansinė</w:t>
      </w:r>
      <w:r w:rsidR="00086923" w:rsidRPr="00982E04">
        <w:rPr>
          <w:sz w:val="26"/>
          <w:szCs w:val="26"/>
          <w:lang w:val="lt-LT"/>
        </w:rPr>
        <w:t>s</w:t>
      </w:r>
      <w:r w:rsidRPr="00982E04">
        <w:rPr>
          <w:sz w:val="26"/>
          <w:szCs w:val="26"/>
          <w:lang w:val="lt-LT"/>
        </w:rPr>
        <w:t>e at</w:t>
      </w:r>
      <w:r w:rsidR="00086923" w:rsidRPr="00982E04">
        <w:rPr>
          <w:sz w:val="26"/>
          <w:szCs w:val="26"/>
          <w:lang w:val="lt-LT"/>
        </w:rPr>
        <w:t>a</w:t>
      </w:r>
      <w:r w:rsidRPr="00982E04">
        <w:rPr>
          <w:sz w:val="26"/>
          <w:szCs w:val="26"/>
          <w:lang w:val="lt-LT"/>
        </w:rPr>
        <w:t>skaito</w:t>
      </w:r>
      <w:r w:rsidR="00086923" w:rsidRPr="00982E04">
        <w:rPr>
          <w:sz w:val="26"/>
          <w:szCs w:val="26"/>
          <w:lang w:val="lt-LT"/>
        </w:rPr>
        <w:t>s</w:t>
      </w:r>
      <w:r w:rsidRPr="00982E04">
        <w:rPr>
          <w:sz w:val="26"/>
          <w:szCs w:val="26"/>
          <w:lang w:val="lt-LT"/>
        </w:rPr>
        <w:t>e</w:t>
      </w:r>
      <w:r w:rsidR="00CF4241" w:rsidRPr="00982E04">
        <w:rPr>
          <w:sz w:val="26"/>
          <w:szCs w:val="26"/>
          <w:lang w:val="lt-LT"/>
        </w:rPr>
        <w:t xml:space="preserve">, t. y. jo taikomas </w:t>
      </w:r>
      <w:r w:rsidR="0075485B" w:rsidRPr="00982E04">
        <w:rPr>
          <w:sz w:val="26"/>
          <w:szCs w:val="26"/>
          <w:lang w:val="lt-LT"/>
        </w:rPr>
        <w:t>„</w:t>
      </w:r>
      <w:r w:rsidR="00CF4241" w:rsidRPr="00982E04">
        <w:rPr>
          <w:sz w:val="26"/>
          <w:szCs w:val="26"/>
          <w:lang w:val="lt-LT"/>
        </w:rPr>
        <w:t>aptikimo</w:t>
      </w:r>
      <w:r w:rsidR="0075485B" w:rsidRPr="00982E04">
        <w:rPr>
          <w:sz w:val="26"/>
          <w:szCs w:val="26"/>
          <w:lang w:val="lt-LT"/>
        </w:rPr>
        <w:t>“</w:t>
      </w:r>
      <w:r w:rsidR="00CF4241" w:rsidRPr="00982E04">
        <w:rPr>
          <w:sz w:val="26"/>
          <w:szCs w:val="26"/>
          <w:lang w:val="lt-LT"/>
        </w:rPr>
        <w:t xml:space="preserve"> metodas nebus tinkamas</w:t>
      </w:r>
      <w:r w:rsidRPr="00982E04">
        <w:rPr>
          <w:sz w:val="26"/>
          <w:szCs w:val="26"/>
          <w:lang w:val="lt-LT"/>
        </w:rPr>
        <w:t>.</w:t>
      </w:r>
      <w:r w:rsidR="00EE29C4" w:rsidRPr="00982E04">
        <w:rPr>
          <w:sz w:val="26"/>
          <w:szCs w:val="26"/>
          <w:lang w:val="lt-LT"/>
        </w:rPr>
        <w:t xml:space="preserve"> </w:t>
      </w:r>
    </w:p>
    <w:p w:rsidR="002F372E" w:rsidRPr="00351D74" w:rsidRDefault="002F372E" w:rsidP="002F372E">
      <w:pPr>
        <w:spacing w:line="360" w:lineRule="auto"/>
        <w:ind w:firstLine="709"/>
        <w:jc w:val="both"/>
        <w:rPr>
          <w:sz w:val="26"/>
          <w:szCs w:val="26"/>
          <w:lang w:val="lt-LT"/>
        </w:rPr>
      </w:pPr>
      <w:r w:rsidRPr="00351D74">
        <w:rPr>
          <w:sz w:val="26"/>
          <w:szCs w:val="26"/>
          <w:lang w:val="lt-LT"/>
        </w:rPr>
        <w:t xml:space="preserve">Svarbu aptikimo riziką įvertinti tinkamai, nes V. V. Skobaros (1998) teigimu, jei auditorius aptikimo riziką įvertins nepakankamai, jam gali grėsti finansiniai nuostoliai ar įvaizdžio netekimas, o jei jis skirs pernelyg daug dėmesio aptikimo rizikai mažinti – šis auditas taps brangiu tiek darbo, tiek „įvaizdžio“ požiūriu. Teisingas aptikimo rizikos </w:t>
      </w:r>
      <w:r w:rsidR="00C65B48" w:rsidRPr="00351D74">
        <w:rPr>
          <w:sz w:val="26"/>
          <w:szCs w:val="26"/>
          <w:lang w:val="lt-LT"/>
        </w:rPr>
        <w:t>į</w:t>
      </w:r>
      <w:r w:rsidRPr="00351D74">
        <w:rPr>
          <w:sz w:val="26"/>
          <w:szCs w:val="26"/>
          <w:lang w:val="lt-LT"/>
        </w:rPr>
        <w:t>vertinimas yra auditoriaus darbo efektyvumo ir kokybės rodiklis</w:t>
      </w:r>
      <w:r w:rsidR="000D0DEE" w:rsidRPr="00351D74">
        <w:rPr>
          <w:sz w:val="26"/>
          <w:szCs w:val="26"/>
          <w:lang w:val="lt-LT"/>
        </w:rPr>
        <w:t>, todėl būtina išsiaiškinti visas ją lemiančias priežastis.</w:t>
      </w:r>
    </w:p>
    <w:p w:rsidR="00370A65" w:rsidRDefault="00993322" w:rsidP="00390ADC">
      <w:pPr>
        <w:spacing w:line="360" w:lineRule="auto"/>
        <w:ind w:firstLine="720"/>
        <w:jc w:val="both"/>
        <w:rPr>
          <w:sz w:val="26"/>
          <w:szCs w:val="26"/>
          <w:lang w:val="lt-LT"/>
        </w:rPr>
      </w:pPr>
      <w:r w:rsidRPr="00351D74">
        <w:rPr>
          <w:sz w:val="26"/>
          <w:szCs w:val="26"/>
          <w:lang w:val="lt-LT"/>
        </w:rPr>
        <w:t>L</w:t>
      </w:r>
      <w:r w:rsidR="006444A0" w:rsidRPr="00351D74">
        <w:rPr>
          <w:sz w:val="26"/>
          <w:szCs w:val="26"/>
          <w:lang w:val="lt-LT"/>
        </w:rPr>
        <w:t xml:space="preserve">iteratūroje aptikimo rizika išskaidoma į atskiras rūšis. </w:t>
      </w:r>
      <w:r w:rsidR="00E576EA" w:rsidRPr="00351D74">
        <w:rPr>
          <w:sz w:val="26"/>
          <w:szCs w:val="26"/>
          <w:lang w:val="lt-LT"/>
        </w:rPr>
        <w:t>530-ajame TSA</w:t>
      </w:r>
      <w:r w:rsidR="00E576EA" w:rsidRPr="00351D74">
        <w:rPr>
          <w:rStyle w:val="FootnoteReference"/>
          <w:sz w:val="26"/>
          <w:szCs w:val="26"/>
          <w:lang w:val="lt-LT"/>
        </w:rPr>
        <w:footnoteReference w:id="10"/>
      </w:r>
      <w:r w:rsidR="00E576EA" w:rsidRPr="00351D74">
        <w:rPr>
          <w:sz w:val="26"/>
          <w:szCs w:val="26"/>
          <w:lang w:val="lt-LT"/>
        </w:rPr>
        <w:t xml:space="preserve"> (2006) aptikimo rizika skiriama į atrankos riziką ir su atrankos taikymu nesusijusią riziką (ne atrankos rizika)</w:t>
      </w:r>
      <w:r w:rsidR="00390ADC">
        <w:rPr>
          <w:sz w:val="26"/>
          <w:szCs w:val="26"/>
          <w:lang w:val="lt-LT"/>
        </w:rPr>
        <w:t xml:space="preserve">. </w:t>
      </w:r>
      <w:r w:rsidR="006444A0" w:rsidRPr="00351D74">
        <w:rPr>
          <w:sz w:val="26"/>
          <w:szCs w:val="26"/>
          <w:lang w:val="lt-LT"/>
        </w:rPr>
        <w:t>J. Kabašinskas</w:t>
      </w:r>
      <w:r w:rsidR="00862190" w:rsidRPr="00351D74">
        <w:rPr>
          <w:sz w:val="26"/>
          <w:szCs w:val="26"/>
          <w:lang w:val="lt-LT"/>
        </w:rPr>
        <w:t>, I. Toliatienė (1997), S.</w:t>
      </w:r>
      <w:r w:rsidR="00351D74">
        <w:rPr>
          <w:sz w:val="26"/>
          <w:szCs w:val="26"/>
          <w:lang w:val="lt-LT"/>
        </w:rPr>
        <w:t> </w:t>
      </w:r>
      <w:r w:rsidR="00862190" w:rsidRPr="00351D74">
        <w:rPr>
          <w:sz w:val="26"/>
          <w:szCs w:val="26"/>
          <w:lang w:val="lt-LT"/>
        </w:rPr>
        <w:t>M. By</w:t>
      </w:r>
      <w:r w:rsidR="006444A0" w:rsidRPr="00351D74">
        <w:rPr>
          <w:sz w:val="26"/>
          <w:szCs w:val="26"/>
          <w:lang w:val="lt-LT"/>
        </w:rPr>
        <w:t>čkova (1998) aptikimo riziką išskaido į analizės (analitinę) riziką, t. y. iškraipymų praleidimo tikimybė atliekant analitines procedūras</w:t>
      </w:r>
      <w:r w:rsidR="006444A0" w:rsidRPr="00351D74">
        <w:rPr>
          <w:rStyle w:val="FootnoteReference"/>
          <w:sz w:val="26"/>
          <w:szCs w:val="26"/>
          <w:lang w:val="lt-LT"/>
        </w:rPr>
        <w:footnoteReference w:id="11"/>
      </w:r>
      <w:r w:rsidR="006444A0" w:rsidRPr="00351D74">
        <w:rPr>
          <w:sz w:val="26"/>
          <w:szCs w:val="26"/>
          <w:lang w:val="lt-LT"/>
        </w:rPr>
        <w:t xml:space="preserve">, ir atrankos riziką – reikšmingų iškraipymų neaptikimo tikimybę tikrinant atrinktas </w:t>
      </w:r>
      <w:r w:rsidR="006444A0" w:rsidRPr="00351D74">
        <w:rPr>
          <w:sz w:val="26"/>
          <w:szCs w:val="26"/>
          <w:lang w:val="lt-LT"/>
        </w:rPr>
        <w:lastRenderedPageBreak/>
        <w:t xml:space="preserve">operacijas. </w:t>
      </w:r>
      <w:r w:rsidR="00390ADC">
        <w:rPr>
          <w:sz w:val="26"/>
          <w:szCs w:val="26"/>
          <w:lang w:val="lt-LT"/>
        </w:rPr>
        <w:t>Pastaraja</w:t>
      </w:r>
      <w:r w:rsidR="006444A0" w:rsidRPr="00351D74">
        <w:rPr>
          <w:sz w:val="26"/>
          <w:szCs w:val="26"/>
          <w:lang w:val="lt-LT"/>
        </w:rPr>
        <w:t>m skirstymui pritaria ir J.</w:t>
      </w:r>
      <w:r w:rsidR="00982E04" w:rsidRPr="00351D74">
        <w:rPr>
          <w:sz w:val="26"/>
          <w:szCs w:val="26"/>
          <w:lang w:val="lt-LT"/>
        </w:rPr>
        <w:t> </w:t>
      </w:r>
      <w:r w:rsidR="006444A0" w:rsidRPr="00351D74">
        <w:rPr>
          <w:sz w:val="26"/>
          <w:szCs w:val="26"/>
          <w:lang w:val="lt-LT"/>
        </w:rPr>
        <w:t>Mackevičius (1999)</w:t>
      </w:r>
      <w:r w:rsidR="002F4A6C" w:rsidRPr="00351D74">
        <w:rPr>
          <w:sz w:val="26"/>
          <w:szCs w:val="26"/>
          <w:lang w:val="lt-LT"/>
        </w:rPr>
        <w:t>, D.</w:t>
      </w:r>
      <w:r w:rsidR="002C24E1">
        <w:rPr>
          <w:sz w:val="26"/>
          <w:szCs w:val="26"/>
          <w:lang w:val="lt-LT"/>
        </w:rPr>
        <w:t> </w:t>
      </w:r>
      <w:r w:rsidR="002F4A6C" w:rsidRPr="00351D74">
        <w:rPr>
          <w:sz w:val="26"/>
          <w:szCs w:val="26"/>
          <w:lang w:val="lt-LT"/>
        </w:rPr>
        <w:t>Daujotaitė (2006)</w:t>
      </w:r>
      <w:r w:rsidR="006444A0" w:rsidRPr="00351D74">
        <w:rPr>
          <w:sz w:val="26"/>
          <w:szCs w:val="26"/>
          <w:lang w:val="lt-LT"/>
        </w:rPr>
        <w:t>, kuri</w:t>
      </w:r>
      <w:r w:rsidR="002F4A6C" w:rsidRPr="00351D74">
        <w:rPr>
          <w:sz w:val="26"/>
          <w:szCs w:val="26"/>
          <w:lang w:val="lt-LT"/>
        </w:rPr>
        <w:t>e</w:t>
      </w:r>
      <w:r w:rsidR="006444A0" w:rsidRPr="00351D74">
        <w:rPr>
          <w:sz w:val="26"/>
          <w:szCs w:val="26"/>
          <w:lang w:val="lt-LT"/>
        </w:rPr>
        <w:t xml:space="preserve"> siūlo aptikimo riziką išskaidyti į 1) duomenų analizės riziką ir 2)</w:t>
      </w:r>
      <w:r w:rsidR="00351D74">
        <w:rPr>
          <w:sz w:val="26"/>
          <w:szCs w:val="26"/>
          <w:lang w:val="lt-LT"/>
        </w:rPr>
        <w:t> </w:t>
      </w:r>
      <w:r w:rsidR="006444A0" w:rsidRPr="00351D74">
        <w:rPr>
          <w:sz w:val="26"/>
          <w:szCs w:val="26"/>
          <w:lang w:val="lt-LT"/>
        </w:rPr>
        <w:t>kitas aptikimo rizikas, kurios gali būti apskaičiuotos statistiškai ekstrapoliuojant atrankai atliktų testų rezultatus visai populiacijai, arba</w:t>
      </w:r>
      <w:r w:rsidR="005E5532" w:rsidRPr="00351D74">
        <w:rPr>
          <w:sz w:val="26"/>
          <w:szCs w:val="26"/>
          <w:lang w:val="lt-LT"/>
        </w:rPr>
        <w:t>,</w:t>
      </w:r>
      <w:r w:rsidR="006444A0" w:rsidRPr="00351D74">
        <w:rPr>
          <w:sz w:val="26"/>
          <w:szCs w:val="26"/>
          <w:lang w:val="lt-LT"/>
        </w:rPr>
        <w:t xml:space="preserve"> kitaip</w:t>
      </w:r>
      <w:r w:rsidR="005E5532" w:rsidRPr="00351D74">
        <w:rPr>
          <w:sz w:val="26"/>
          <w:szCs w:val="26"/>
          <w:lang w:val="lt-LT"/>
        </w:rPr>
        <w:t xml:space="preserve">, </w:t>
      </w:r>
      <w:r w:rsidR="006444A0" w:rsidRPr="00351D74">
        <w:rPr>
          <w:sz w:val="26"/>
          <w:szCs w:val="26"/>
          <w:lang w:val="lt-LT"/>
        </w:rPr>
        <w:t xml:space="preserve">„atrankos“ rizika. J. Mackevičiaus (1999) nuomone, sudėtinga yra apskaičiuoti duomenų analizės riziką, nes apskaičiuoti dydžiai gali nurodyti problemas, kurių iš tikrųjų nėra, arba nerasti reikšmingų iškraipymų ten, kur jų yra. Todėl duomenų analizės rizika sudaro tam tikrą neapibrėžtumą įvertinant bendrą aptikimo riziką (Mackevičius, 1999, p. 277). Kiti autoriai (Robertson, 1990; </w:t>
      </w:r>
      <w:r w:rsidR="006444A0" w:rsidRPr="00351D74">
        <w:rPr>
          <w:sz w:val="26"/>
          <w:szCs w:val="26"/>
        </w:rPr>
        <w:t>O‘Reilly</w:t>
      </w:r>
      <w:r w:rsidR="006444A0" w:rsidRPr="00351D74">
        <w:rPr>
          <w:sz w:val="26"/>
          <w:szCs w:val="26"/>
          <w:lang w:val="lt-LT"/>
        </w:rPr>
        <w:t>, 1990; Dodž</w:t>
      </w:r>
      <w:r w:rsidR="005E5532" w:rsidRPr="00351D74">
        <w:rPr>
          <w:sz w:val="26"/>
          <w:szCs w:val="26"/>
          <w:lang w:val="lt-LT"/>
        </w:rPr>
        <w:t xml:space="preserve">, </w:t>
      </w:r>
      <w:r w:rsidR="006444A0" w:rsidRPr="00351D74">
        <w:rPr>
          <w:sz w:val="26"/>
          <w:szCs w:val="26"/>
          <w:lang w:val="lt-LT"/>
        </w:rPr>
        <w:t>1992) aptikimo riziką skirsto į analitinių procedūrų riziką – tikimybę, kad analitinės procedūros neaptiks reikšmingų iškraipymų, ir detalių testų riziką – tikimybę, kad detalių testų</w:t>
      </w:r>
      <w:r w:rsidR="006444A0" w:rsidRPr="00351D74">
        <w:rPr>
          <w:rStyle w:val="FootnoteReference"/>
          <w:sz w:val="26"/>
          <w:szCs w:val="26"/>
          <w:lang w:val="lt-LT"/>
        </w:rPr>
        <w:footnoteReference w:id="12"/>
      </w:r>
      <w:r w:rsidR="006444A0" w:rsidRPr="00351D74">
        <w:rPr>
          <w:sz w:val="26"/>
          <w:szCs w:val="26"/>
          <w:lang w:val="lt-LT"/>
        </w:rPr>
        <w:t xml:space="preserve"> metu nebus aptiktos reikšmingos klaidos. Ir kaip teigia V. M. </w:t>
      </w:r>
      <w:r w:rsidR="006444A0" w:rsidRPr="00351D74">
        <w:rPr>
          <w:sz w:val="26"/>
          <w:szCs w:val="26"/>
        </w:rPr>
        <w:t>O‘Reilly</w:t>
      </w:r>
      <w:r w:rsidR="006444A0" w:rsidRPr="00351D74">
        <w:rPr>
          <w:sz w:val="26"/>
          <w:szCs w:val="26"/>
          <w:lang w:val="lt-LT"/>
        </w:rPr>
        <w:t xml:space="preserve"> (1990), kadangi analitinės procedūros ir detalūs testai papildo vienas kitą, tai užtikrinimas gautas iš vien</w:t>
      </w:r>
      <w:r w:rsidR="00950D72" w:rsidRPr="00351D74">
        <w:rPr>
          <w:sz w:val="26"/>
          <w:szCs w:val="26"/>
          <w:lang w:val="lt-LT"/>
        </w:rPr>
        <w:t>ų procedūrų</w:t>
      </w:r>
      <w:r w:rsidR="006444A0" w:rsidRPr="00351D74">
        <w:rPr>
          <w:sz w:val="26"/>
          <w:szCs w:val="26"/>
          <w:lang w:val="lt-LT"/>
        </w:rPr>
        <w:t xml:space="preserve"> proporcingai sumažina užtikrinimą, kurio auditoriui reikia iš </w:t>
      </w:r>
      <w:r w:rsidR="00950D72" w:rsidRPr="00351D74">
        <w:rPr>
          <w:sz w:val="26"/>
          <w:szCs w:val="26"/>
          <w:lang w:val="lt-LT"/>
        </w:rPr>
        <w:t>kitų</w:t>
      </w:r>
      <w:r w:rsidR="006444A0" w:rsidRPr="00351D74">
        <w:rPr>
          <w:sz w:val="26"/>
          <w:szCs w:val="26"/>
          <w:lang w:val="lt-LT"/>
        </w:rPr>
        <w:t xml:space="preserve">, norint sumažinti aptikimo riziką iki priimtino lygio. </w:t>
      </w:r>
      <w:r w:rsidR="0096283F" w:rsidRPr="00351D74">
        <w:rPr>
          <w:sz w:val="26"/>
          <w:szCs w:val="26"/>
          <w:lang w:val="lt-LT"/>
        </w:rPr>
        <w:t>Darbo a</w:t>
      </w:r>
      <w:r w:rsidR="006444A0" w:rsidRPr="00351D74">
        <w:rPr>
          <w:sz w:val="26"/>
          <w:szCs w:val="26"/>
          <w:lang w:val="lt-LT"/>
        </w:rPr>
        <w:t xml:space="preserve">utorės nuomone, aptartos aptikimo rizikos klasifikacijos nėra išsamios, todėl </w:t>
      </w:r>
      <w:r w:rsidR="005E396E" w:rsidRPr="00351D74">
        <w:rPr>
          <w:sz w:val="26"/>
          <w:szCs w:val="26"/>
          <w:lang w:val="lt-LT"/>
        </w:rPr>
        <w:t>norint tinkamai išskirti aptikimo rizikos rūšis, būtina susisteminti</w:t>
      </w:r>
      <w:r w:rsidR="00D6053C" w:rsidRPr="00351D74">
        <w:rPr>
          <w:sz w:val="26"/>
          <w:szCs w:val="26"/>
          <w:lang w:val="lt-LT"/>
        </w:rPr>
        <w:t xml:space="preserve"> </w:t>
      </w:r>
      <w:r w:rsidR="005E396E" w:rsidRPr="00351D74">
        <w:rPr>
          <w:sz w:val="26"/>
          <w:szCs w:val="26"/>
          <w:lang w:val="lt-LT"/>
        </w:rPr>
        <w:t xml:space="preserve">aptikimo rizikos dydį lemiančias sąlygas </w:t>
      </w:r>
      <w:r w:rsidR="00715F70" w:rsidRPr="00351D74">
        <w:rPr>
          <w:sz w:val="26"/>
          <w:szCs w:val="26"/>
          <w:lang w:val="lt-LT"/>
        </w:rPr>
        <w:t xml:space="preserve">(žr. </w:t>
      </w:r>
      <w:r w:rsidR="00750B2D" w:rsidRPr="00351D74">
        <w:rPr>
          <w:sz w:val="26"/>
          <w:szCs w:val="26"/>
          <w:lang w:val="lt-LT"/>
        </w:rPr>
        <w:t>15</w:t>
      </w:r>
      <w:r w:rsidR="00715F70" w:rsidRPr="00351D74">
        <w:rPr>
          <w:sz w:val="26"/>
          <w:szCs w:val="26"/>
          <w:lang w:val="lt-LT"/>
        </w:rPr>
        <w:t xml:space="preserve"> lentelė)</w:t>
      </w:r>
      <w:r w:rsidR="003E00FB" w:rsidRPr="00351D74">
        <w:rPr>
          <w:sz w:val="26"/>
          <w:szCs w:val="26"/>
          <w:lang w:val="lt-LT"/>
        </w:rPr>
        <w:t>.</w:t>
      </w:r>
      <w:r w:rsidR="00370A65" w:rsidRPr="00370A65">
        <w:rPr>
          <w:sz w:val="26"/>
          <w:szCs w:val="26"/>
          <w:lang w:val="lt-LT"/>
        </w:rPr>
        <w:t xml:space="preserve"> </w:t>
      </w:r>
    </w:p>
    <w:p w:rsidR="00370A65" w:rsidRPr="00982E04" w:rsidRDefault="00370A65" w:rsidP="00370A65">
      <w:pPr>
        <w:spacing w:line="360" w:lineRule="auto"/>
        <w:ind w:firstLine="720"/>
        <w:jc w:val="both"/>
        <w:rPr>
          <w:sz w:val="26"/>
          <w:szCs w:val="26"/>
          <w:lang w:val="lt-LT"/>
        </w:rPr>
      </w:pPr>
      <w:r w:rsidRPr="00982E04">
        <w:rPr>
          <w:sz w:val="26"/>
          <w:szCs w:val="26"/>
          <w:lang w:val="lt-LT"/>
        </w:rPr>
        <w:t xml:space="preserve">Galima pastebėti, kad dažniausiai literatūros šaltiniuose (200 TSA, 2006; Mackevičius, 1999; Rupeikienė, 2005; Daujotaitė, 2006; Knechel, 2001, </w:t>
      </w:r>
      <w:r w:rsidRPr="00982E04">
        <w:rPr>
          <w:sz w:val="26"/>
          <w:szCs w:val="26"/>
        </w:rPr>
        <w:t>Bell, Peecher, Solomon, 2005</w:t>
      </w:r>
      <w:r w:rsidRPr="00982E04">
        <w:rPr>
          <w:sz w:val="26"/>
          <w:szCs w:val="26"/>
          <w:lang w:val="lt-LT"/>
        </w:rPr>
        <w:t xml:space="preserve">) pripažįstama, kad aptikimo riziką lemia auditorius (tam tikrų situacijų neatpažinimas, neteisingos išvados) ir jo veiksmai (audito standartų nesilaikymas, netinkamas planavimas, laiko stoka). Be to, J. Mackevičius (1999), L. Rupeikienė (2005) ir D. Daujotaitė (2006) prie aptikimo riziką lemiančių sąlygų priskiria įmonės apskaitos ir vidaus kontrolės būklę, argumentuodami tuo, kad jeigu šiose sistemose būklė prasta, auditoriui rasti klaidas esant netvarkingai apskaitai ir kontrolei bus sunkiau. Darbo autorės nuomone, aptikimo riziką reikėtų suprasti kur kas plačiau nei </w:t>
      </w:r>
      <w:r w:rsidRPr="00982E04">
        <w:rPr>
          <w:sz w:val="26"/>
          <w:szCs w:val="26"/>
          <w:lang w:val="lt-LT"/>
        </w:rPr>
        <w:lastRenderedPageBreak/>
        <w:t xml:space="preserve">nurodoma ir aptikimo riziką lemiančias sąlygas skirstyti į: 1) </w:t>
      </w:r>
      <w:r w:rsidRPr="00982E04">
        <w:rPr>
          <w:i/>
          <w:sz w:val="26"/>
          <w:szCs w:val="26"/>
          <w:lang w:val="lt-LT"/>
        </w:rPr>
        <w:t>audito koncepcijos</w:t>
      </w:r>
      <w:r w:rsidRPr="00982E04">
        <w:rPr>
          <w:sz w:val="26"/>
          <w:szCs w:val="26"/>
          <w:lang w:val="lt-LT"/>
        </w:rPr>
        <w:t xml:space="preserve">, kaip išsiaiškinta </w:t>
      </w:r>
      <w:r w:rsidR="008872D7">
        <w:rPr>
          <w:sz w:val="26"/>
          <w:szCs w:val="26"/>
          <w:lang w:val="lt-LT"/>
        </w:rPr>
        <w:t xml:space="preserve">disertacijos </w:t>
      </w:r>
      <w:r w:rsidRPr="00982E04">
        <w:rPr>
          <w:sz w:val="26"/>
          <w:szCs w:val="26"/>
          <w:lang w:val="lt-LT"/>
        </w:rPr>
        <w:t>1.2.1</w:t>
      </w:r>
      <w:r w:rsidR="008872D7">
        <w:rPr>
          <w:sz w:val="26"/>
          <w:szCs w:val="26"/>
          <w:lang w:val="lt-LT"/>
        </w:rPr>
        <w:t>.</w:t>
      </w:r>
      <w:r w:rsidRPr="00982E04">
        <w:rPr>
          <w:sz w:val="26"/>
          <w:szCs w:val="26"/>
          <w:lang w:val="lt-LT"/>
        </w:rPr>
        <w:t xml:space="preserve"> skyriuje, 2) </w:t>
      </w:r>
      <w:r w:rsidRPr="00982E04">
        <w:rPr>
          <w:i/>
          <w:sz w:val="26"/>
          <w:szCs w:val="26"/>
          <w:lang w:val="lt-LT"/>
        </w:rPr>
        <w:t>auditoriaus savybės</w:t>
      </w:r>
      <w:r w:rsidRPr="00982E04">
        <w:rPr>
          <w:sz w:val="26"/>
          <w:szCs w:val="26"/>
          <w:lang w:val="lt-LT"/>
        </w:rPr>
        <w:t>, 3)</w:t>
      </w:r>
      <w:r>
        <w:rPr>
          <w:sz w:val="26"/>
          <w:szCs w:val="26"/>
          <w:lang w:val="lt-LT"/>
        </w:rPr>
        <w:t> </w:t>
      </w:r>
      <w:r w:rsidRPr="00982E04">
        <w:rPr>
          <w:i/>
          <w:sz w:val="26"/>
          <w:szCs w:val="26"/>
          <w:lang w:val="lt-LT"/>
        </w:rPr>
        <w:t>audito veiksmai</w:t>
      </w:r>
      <w:r w:rsidRPr="00982E04">
        <w:rPr>
          <w:sz w:val="26"/>
          <w:szCs w:val="26"/>
          <w:lang w:val="lt-LT"/>
        </w:rPr>
        <w:t xml:space="preserve"> ir 4) </w:t>
      </w:r>
      <w:r w:rsidRPr="00982E04">
        <w:rPr>
          <w:i/>
          <w:sz w:val="26"/>
          <w:szCs w:val="26"/>
          <w:lang w:val="lt-LT"/>
        </w:rPr>
        <w:t>gautas reikšmingo iškraipymo rizikos</w:t>
      </w:r>
      <w:r w:rsidRPr="00982E04">
        <w:rPr>
          <w:sz w:val="26"/>
          <w:szCs w:val="26"/>
          <w:lang w:val="lt-LT"/>
        </w:rPr>
        <w:t xml:space="preserve"> (įgimtos ir kontrolės rizikų) </w:t>
      </w:r>
      <w:r w:rsidRPr="00982E04">
        <w:rPr>
          <w:i/>
          <w:sz w:val="26"/>
          <w:szCs w:val="26"/>
          <w:lang w:val="lt-LT"/>
        </w:rPr>
        <w:t>įvertinimas</w:t>
      </w:r>
      <w:r w:rsidRPr="00982E04">
        <w:rPr>
          <w:sz w:val="26"/>
          <w:szCs w:val="26"/>
          <w:lang w:val="lt-LT"/>
        </w:rPr>
        <w:t xml:space="preserve">. </w:t>
      </w:r>
    </w:p>
    <w:p w:rsidR="009653B8" w:rsidRPr="00982E04" w:rsidRDefault="00750B2D" w:rsidP="00982E04">
      <w:pPr>
        <w:jc w:val="right"/>
        <w:rPr>
          <w:i/>
          <w:sz w:val="26"/>
          <w:szCs w:val="26"/>
          <w:lang w:val="lt-LT"/>
        </w:rPr>
      </w:pPr>
      <w:r w:rsidRPr="00982E04">
        <w:rPr>
          <w:i/>
          <w:sz w:val="26"/>
          <w:szCs w:val="26"/>
          <w:lang w:val="lt-LT"/>
        </w:rPr>
        <w:t>15</w:t>
      </w:r>
      <w:r w:rsidR="00715F70" w:rsidRPr="00982E04">
        <w:rPr>
          <w:i/>
          <w:sz w:val="26"/>
          <w:szCs w:val="26"/>
          <w:lang w:val="lt-LT"/>
        </w:rPr>
        <w:t xml:space="preserve"> </w:t>
      </w:r>
      <w:r w:rsidR="009653B8" w:rsidRPr="00982E04">
        <w:rPr>
          <w:i/>
          <w:sz w:val="26"/>
          <w:szCs w:val="26"/>
          <w:lang w:val="lt-LT"/>
        </w:rPr>
        <w:t>lentelė</w:t>
      </w:r>
    </w:p>
    <w:p w:rsidR="009653B8" w:rsidRPr="00982E04" w:rsidRDefault="009653B8" w:rsidP="00980009">
      <w:pPr>
        <w:spacing w:after="120"/>
        <w:jc w:val="center"/>
        <w:rPr>
          <w:b/>
          <w:sz w:val="26"/>
          <w:szCs w:val="26"/>
          <w:lang w:val="lt-LT"/>
        </w:rPr>
      </w:pPr>
      <w:r w:rsidRPr="00982E04">
        <w:rPr>
          <w:b/>
          <w:sz w:val="26"/>
          <w:szCs w:val="26"/>
          <w:lang w:val="lt-LT"/>
        </w:rPr>
        <w:t>Aptikimo rizik</w:t>
      </w:r>
      <w:r w:rsidR="00487F4F" w:rsidRPr="00982E04">
        <w:rPr>
          <w:b/>
          <w:sz w:val="26"/>
          <w:szCs w:val="26"/>
          <w:lang w:val="lt-LT"/>
        </w:rPr>
        <w:t>ą lemiančios</w:t>
      </w:r>
      <w:r w:rsidRPr="00982E04">
        <w:rPr>
          <w:b/>
          <w:sz w:val="26"/>
          <w:szCs w:val="26"/>
          <w:lang w:val="lt-LT"/>
        </w:rPr>
        <w:t xml:space="preserve"> sąlygos</w:t>
      </w:r>
    </w:p>
    <w:tbl>
      <w:tblPr>
        <w:tblW w:w="8387"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3"/>
        <w:gridCol w:w="5814"/>
      </w:tblGrid>
      <w:tr w:rsidR="00487F4F" w:rsidRPr="00982E04" w:rsidTr="00351D74">
        <w:trPr>
          <w:jc w:val="center"/>
        </w:trPr>
        <w:tc>
          <w:tcPr>
            <w:tcW w:w="2573" w:type="dxa"/>
          </w:tcPr>
          <w:p w:rsidR="00487F4F" w:rsidRPr="00982E04" w:rsidRDefault="00487F4F" w:rsidP="00715F70">
            <w:pPr>
              <w:jc w:val="center"/>
              <w:rPr>
                <w:b/>
                <w:sz w:val="22"/>
                <w:szCs w:val="22"/>
                <w:lang w:val="lt-LT"/>
              </w:rPr>
            </w:pPr>
            <w:r w:rsidRPr="00982E04">
              <w:rPr>
                <w:b/>
                <w:sz w:val="22"/>
                <w:szCs w:val="22"/>
                <w:lang w:val="lt-LT"/>
              </w:rPr>
              <w:t>Šaltinis</w:t>
            </w:r>
          </w:p>
        </w:tc>
        <w:tc>
          <w:tcPr>
            <w:tcW w:w="5814" w:type="dxa"/>
          </w:tcPr>
          <w:p w:rsidR="00487F4F" w:rsidRPr="00982E04" w:rsidRDefault="00487F4F" w:rsidP="00715F70">
            <w:pPr>
              <w:jc w:val="center"/>
              <w:rPr>
                <w:b/>
                <w:sz w:val="22"/>
                <w:szCs w:val="22"/>
                <w:lang w:val="lt-LT"/>
              </w:rPr>
            </w:pPr>
            <w:r w:rsidRPr="00982E04">
              <w:rPr>
                <w:b/>
                <w:sz w:val="22"/>
                <w:szCs w:val="22"/>
                <w:lang w:val="lt-LT"/>
              </w:rPr>
              <w:t>Sąlyga</w:t>
            </w:r>
          </w:p>
        </w:tc>
      </w:tr>
      <w:tr w:rsidR="00487F4F" w:rsidRPr="00982E04" w:rsidTr="00351D74">
        <w:trPr>
          <w:jc w:val="center"/>
        </w:trPr>
        <w:tc>
          <w:tcPr>
            <w:tcW w:w="2573" w:type="dxa"/>
          </w:tcPr>
          <w:p w:rsidR="00487F4F" w:rsidRPr="00982E04" w:rsidRDefault="00487F4F" w:rsidP="00487F4F">
            <w:pPr>
              <w:jc w:val="both"/>
              <w:rPr>
                <w:sz w:val="22"/>
                <w:szCs w:val="22"/>
                <w:lang w:val="lt-LT"/>
              </w:rPr>
            </w:pPr>
            <w:r w:rsidRPr="00982E04">
              <w:rPr>
                <w:sz w:val="22"/>
                <w:szCs w:val="22"/>
                <w:lang w:val="lt-LT"/>
              </w:rPr>
              <w:t>200 TSA (2006)</w:t>
            </w:r>
          </w:p>
        </w:tc>
        <w:tc>
          <w:tcPr>
            <w:tcW w:w="5814" w:type="dxa"/>
          </w:tcPr>
          <w:p w:rsidR="00487F4F" w:rsidRPr="00982E04" w:rsidRDefault="00487F4F" w:rsidP="00487F4F">
            <w:pPr>
              <w:rPr>
                <w:sz w:val="22"/>
                <w:szCs w:val="22"/>
                <w:lang w:val="lt-LT"/>
              </w:rPr>
            </w:pPr>
            <w:r w:rsidRPr="00982E04">
              <w:rPr>
                <w:sz w:val="22"/>
                <w:szCs w:val="22"/>
                <w:lang w:val="lt-LT"/>
              </w:rPr>
              <w:t xml:space="preserve">1) pasirinkta netinkama audito procedūra, </w:t>
            </w:r>
          </w:p>
          <w:p w:rsidR="00487F4F" w:rsidRPr="00982E04" w:rsidRDefault="00487F4F" w:rsidP="00487F4F">
            <w:pPr>
              <w:rPr>
                <w:sz w:val="22"/>
                <w:szCs w:val="22"/>
                <w:lang w:val="lt-LT"/>
              </w:rPr>
            </w:pPr>
            <w:r w:rsidRPr="00982E04">
              <w:rPr>
                <w:sz w:val="22"/>
                <w:szCs w:val="22"/>
                <w:lang w:val="lt-LT"/>
              </w:rPr>
              <w:t>2) neteisingai pritaikyta tinkama audito procedūra,</w:t>
            </w:r>
          </w:p>
          <w:p w:rsidR="00487F4F" w:rsidRPr="00982E04" w:rsidRDefault="00487F4F" w:rsidP="00487F4F">
            <w:pPr>
              <w:rPr>
                <w:sz w:val="22"/>
                <w:szCs w:val="22"/>
                <w:lang w:val="lt-LT"/>
              </w:rPr>
            </w:pPr>
            <w:r w:rsidRPr="00982E04">
              <w:rPr>
                <w:sz w:val="22"/>
                <w:szCs w:val="22"/>
                <w:lang w:val="lt-LT"/>
              </w:rPr>
              <w:t>3) neteisingai interpretuoti audito rezultatai.</w:t>
            </w:r>
          </w:p>
        </w:tc>
      </w:tr>
      <w:tr w:rsidR="00487F4F" w:rsidRPr="00982E04" w:rsidTr="00351D74">
        <w:trPr>
          <w:jc w:val="center"/>
        </w:trPr>
        <w:tc>
          <w:tcPr>
            <w:tcW w:w="2573" w:type="dxa"/>
          </w:tcPr>
          <w:p w:rsidR="00BE5795" w:rsidRDefault="00487F4F" w:rsidP="00487F4F">
            <w:pPr>
              <w:jc w:val="both"/>
              <w:rPr>
                <w:sz w:val="22"/>
                <w:szCs w:val="22"/>
                <w:lang w:val="lt-LT"/>
              </w:rPr>
            </w:pPr>
            <w:r w:rsidRPr="00982E04">
              <w:rPr>
                <w:sz w:val="22"/>
                <w:szCs w:val="22"/>
                <w:lang w:val="lt-LT"/>
              </w:rPr>
              <w:t>J. Mackevičius (1999)</w:t>
            </w:r>
            <w:r w:rsidR="002F4A6C" w:rsidRPr="00982E04">
              <w:rPr>
                <w:sz w:val="22"/>
                <w:szCs w:val="22"/>
                <w:lang w:val="lt-LT"/>
              </w:rPr>
              <w:t xml:space="preserve">; </w:t>
            </w:r>
          </w:p>
          <w:p w:rsidR="00982E04" w:rsidRDefault="00AC3FB1" w:rsidP="00487F4F">
            <w:pPr>
              <w:jc w:val="both"/>
              <w:rPr>
                <w:sz w:val="22"/>
                <w:szCs w:val="22"/>
                <w:lang w:val="lt-LT"/>
              </w:rPr>
            </w:pPr>
            <w:r w:rsidRPr="00982E04">
              <w:rPr>
                <w:sz w:val="22"/>
                <w:szCs w:val="22"/>
                <w:lang w:val="lt-LT"/>
              </w:rPr>
              <w:t xml:space="preserve">L. Rupeikienė (2005); </w:t>
            </w:r>
          </w:p>
          <w:p w:rsidR="00487F4F" w:rsidRPr="00982E04" w:rsidRDefault="002F4A6C" w:rsidP="00487F4F">
            <w:pPr>
              <w:jc w:val="both"/>
              <w:rPr>
                <w:sz w:val="22"/>
                <w:szCs w:val="22"/>
                <w:lang w:val="lt-LT"/>
              </w:rPr>
            </w:pPr>
            <w:r w:rsidRPr="00982E04">
              <w:rPr>
                <w:sz w:val="22"/>
                <w:szCs w:val="22"/>
                <w:lang w:val="lt-LT"/>
              </w:rPr>
              <w:t>D. Daujotaitė (2006)</w:t>
            </w:r>
          </w:p>
        </w:tc>
        <w:tc>
          <w:tcPr>
            <w:tcW w:w="5814" w:type="dxa"/>
          </w:tcPr>
          <w:p w:rsidR="00487F4F" w:rsidRPr="00982E04" w:rsidRDefault="00487F4F" w:rsidP="00487F4F">
            <w:pPr>
              <w:rPr>
                <w:sz w:val="22"/>
                <w:szCs w:val="22"/>
                <w:lang w:val="lt-LT"/>
              </w:rPr>
            </w:pPr>
            <w:r w:rsidRPr="00982E04">
              <w:rPr>
                <w:sz w:val="22"/>
                <w:szCs w:val="22"/>
                <w:lang w:val="lt-LT"/>
              </w:rPr>
              <w:t xml:space="preserve">1) tikimybė neatpažinti specifinių situacijų, </w:t>
            </w:r>
          </w:p>
          <w:p w:rsidR="00487F4F" w:rsidRPr="00982E04" w:rsidRDefault="00487F4F" w:rsidP="00487F4F">
            <w:pPr>
              <w:rPr>
                <w:sz w:val="22"/>
                <w:szCs w:val="22"/>
                <w:lang w:val="lt-LT"/>
              </w:rPr>
            </w:pPr>
            <w:r w:rsidRPr="00982E04">
              <w:rPr>
                <w:sz w:val="22"/>
                <w:szCs w:val="22"/>
                <w:lang w:val="lt-LT"/>
              </w:rPr>
              <w:t xml:space="preserve">2) tikimybė iš audito duomenų ir analitinės apžvalgos padaryti neteisingas išvadas, </w:t>
            </w:r>
          </w:p>
          <w:p w:rsidR="002F4A6C" w:rsidRPr="00982E04" w:rsidRDefault="00487F4F" w:rsidP="00487F4F">
            <w:pPr>
              <w:rPr>
                <w:sz w:val="22"/>
                <w:szCs w:val="22"/>
                <w:lang w:val="lt-LT"/>
              </w:rPr>
            </w:pPr>
            <w:r w:rsidRPr="00982E04">
              <w:rPr>
                <w:sz w:val="22"/>
                <w:szCs w:val="22"/>
                <w:lang w:val="lt-LT"/>
              </w:rPr>
              <w:t xml:space="preserve">3) netinkamų procedūrų naudojimas svarbioms specifinėms situacijoms, </w:t>
            </w:r>
          </w:p>
          <w:p w:rsidR="00487F4F" w:rsidRPr="00982E04" w:rsidRDefault="00487F4F" w:rsidP="00487F4F">
            <w:pPr>
              <w:rPr>
                <w:sz w:val="22"/>
                <w:szCs w:val="22"/>
                <w:lang w:val="lt-LT"/>
              </w:rPr>
            </w:pPr>
            <w:r w:rsidRPr="00982E04">
              <w:rPr>
                <w:sz w:val="22"/>
                <w:szCs w:val="22"/>
                <w:lang w:val="lt-LT"/>
              </w:rPr>
              <w:t xml:space="preserve">4) tikimybė neatlikti būtino audito darbo dėl laiko stokos ar didelių išlaidų, </w:t>
            </w:r>
          </w:p>
          <w:p w:rsidR="00487F4F" w:rsidRPr="00982E04" w:rsidRDefault="00487F4F" w:rsidP="00487F4F">
            <w:pPr>
              <w:rPr>
                <w:sz w:val="22"/>
                <w:szCs w:val="22"/>
                <w:lang w:val="lt-LT"/>
              </w:rPr>
            </w:pPr>
            <w:r w:rsidRPr="00982E04">
              <w:rPr>
                <w:sz w:val="22"/>
                <w:szCs w:val="22"/>
                <w:lang w:val="lt-LT"/>
              </w:rPr>
              <w:t>5) tikimybė nepastebėti klaidos ar apgaulės dėl netinkamo atrankos metodo,</w:t>
            </w:r>
          </w:p>
          <w:p w:rsidR="00487F4F" w:rsidRPr="00982E04" w:rsidRDefault="00487F4F" w:rsidP="00487F4F">
            <w:pPr>
              <w:rPr>
                <w:sz w:val="22"/>
                <w:szCs w:val="22"/>
                <w:lang w:val="lt-LT"/>
              </w:rPr>
            </w:pPr>
            <w:r w:rsidRPr="00982E04">
              <w:rPr>
                <w:sz w:val="22"/>
                <w:szCs w:val="22"/>
                <w:lang w:val="lt-LT"/>
              </w:rPr>
              <w:t>6) įmonės apskaitos ir vidaus kontrolės būkl</w:t>
            </w:r>
            <w:r w:rsidR="002F4A6C" w:rsidRPr="00982E04">
              <w:rPr>
                <w:sz w:val="22"/>
                <w:szCs w:val="22"/>
                <w:lang w:val="lt-LT"/>
              </w:rPr>
              <w:t>ė.</w:t>
            </w:r>
          </w:p>
        </w:tc>
      </w:tr>
      <w:tr w:rsidR="00487F4F" w:rsidRPr="00982E04" w:rsidTr="00351D74">
        <w:trPr>
          <w:jc w:val="center"/>
        </w:trPr>
        <w:tc>
          <w:tcPr>
            <w:tcW w:w="2573" w:type="dxa"/>
          </w:tcPr>
          <w:p w:rsidR="00487F4F" w:rsidRPr="00982E04" w:rsidRDefault="002F4A6C" w:rsidP="00715F70">
            <w:pPr>
              <w:jc w:val="both"/>
              <w:rPr>
                <w:sz w:val="22"/>
                <w:szCs w:val="22"/>
                <w:lang w:val="lt-LT"/>
              </w:rPr>
            </w:pPr>
            <w:r w:rsidRPr="00982E04">
              <w:rPr>
                <w:sz w:val="22"/>
                <w:szCs w:val="22"/>
                <w:lang w:val="lt-LT"/>
              </w:rPr>
              <w:t>W. R. Knechel (2001)</w:t>
            </w:r>
          </w:p>
        </w:tc>
        <w:tc>
          <w:tcPr>
            <w:tcW w:w="5814" w:type="dxa"/>
          </w:tcPr>
          <w:p w:rsidR="00487F4F" w:rsidRPr="00982E04" w:rsidRDefault="002F4A6C" w:rsidP="00C11EAF">
            <w:pPr>
              <w:rPr>
                <w:sz w:val="22"/>
                <w:szCs w:val="22"/>
                <w:lang w:val="lt-LT"/>
              </w:rPr>
            </w:pPr>
            <w:r w:rsidRPr="00982E04">
              <w:rPr>
                <w:sz w:val="22"/>
                <w:szCs w:val="22"/>
                <w:lang w:val="lt-LT"/>
              </w:rPr>
              <w:t>1) netinkamas planavimas,</w:t>
            </w:r>
          </w:p>
          <w:p w:rsidR="002F4A6C" w:rsidRPr="00982E04" w:rsidRDefault="002F4A6C" w:rsidP="00C11EAF">
            <w:pPr>
              <w:rPr>
                <w:sz w:val="22"/>
                <w:szCs w:val="22"/>
                <w:lang w:val="lt-LT"/>
              </w:rPr>
            </w:pPr>
            <w:r w:rsidRPr="00982E04">
              <w:rPr>
                <w:sz w:val="22"/>
                <w:szCs w:val="22"/>
                <w:lang w:val="lt-LT"/>
              </w:rPr>
              <w:t>2) iškraipymo praleidimas dėl atrankos taikymo,</w:t>
            </w:r>
          </w:p>
          <w:p w:rsidR="00C11EAF" w:rsidRPr="00982E04" w:rsidRDefault="002F4A6C" w:rsidP="00C11EAF">
            <w:pPr>
              <w:rPr>
                <w:sz w:val="22"/>
                <w:szCs w:val="22"/>
                <w:lang w:val="lt-LT"/>
              </w:rPr>
            </w:pPr>
            <w:r w:rsidRPr="00982E04">
              <w:rPr>
                <w:sz w:val="22"/>
                <w:szCs w:val="22"/>
                <w:lang w:val="lt-LT"/>
              </w:rPr>
              <w:t xml:space="preserve">3) </w:t>
            </w:r>
            <w:r w:rsidR="00C11EAF" w:rsidRPr="00982E04">
              <w:rPr>
                <w:sz w:val="22"/>
                <w:szCs w:val="22"/>
                <w:lang w:val="lt-LT"/>
              </w:rPr>
              <w:t>neteisingai pritaikyta procedūra ar nepastebėta klaida</w:t>
            </w:r>
          </w:p>
          <w:p w:rsidR="002F4A6C" w:rsidRPr="00982E04" w:rsidRDefault="00C11EAF" w:rsidP="00C11EAF">
            <w:pPr>
              <w:rPr>
                <w:sz w:val="22"/>
                <w:szCs w:val="22"/>
                <w:lang w:val="lt-LT"/>
              </w:rPr>
            </w:pPr>
            <w:r w:rsidRPr="00982E04">
              <w:rPr>
                <w:sz w:val="22"/>
                <w:szCs w:val="22"/>
                <w:lang w:val="lt-LT"/>
              </w:rPr>
              <w:t>4) netinkami koreguojamieji veiksmai</w:t>
            </w:r>
            <w:r w:rsidR="002F4A6C" w:rsidRPr="00982E04">
              <w:rPr>
                <w:sz w:val="22"/>
                <w:szCs w:val="22"/>
                <w:lang w:val="lt-LT"/>
              </w:rPr>
              <w:t xml:space="preserve"> </w:t>
            </w:r>
          </w:p>
        </w:tc>
      </w:tr>
      <w:tr w:rsidR="00546176" w:rsidRPr="00982E04" w:rsidTr="00351D74">
        <w:trPr>
          <w:jc w:val="center"/>
        </w:trPr>
        <w:tc>
          <w:tcPr>
            <w:tcW w:w="2573" w:type="dxa"/>
          </w:tcPr>
          <w:p w:rsidR="00546176" w:rsidRPr="00982E04" w:rsidRDefault="00546176" w:rsidP="00715F70">
            <w:pPr>
              <w:jc w:val="both"/>
              <w:rPr>
                <w:sz w:val="22"/>
                <w:szCs w:val="22"/>
                <w:lang w:val="lt-LT"/>
              </w:rPr>
            </w:pPr>
            <w:r w:rsidRPr="00982E04">
              <w:rPr>
                <w:sz w:val="22"/>
                <w:szCs w:val="22"/>
              </w:rPr>
              <w:t>T. B. Bell, M. E. Peecher, I. Solomon (2005)</w:t>
            </w:r>
          </w:p>
        </w:tc>
        <w:tc>
          <w:tcPr>
            <w:tcW w:w="5814" w:type="dxa"/>
          </w:tcPr>
          <w:p w:rsidR="00546176" w:rsidRPr="00982E04" w:rsidRDefault="00546176" w:rsidP="00C11EAF">
            <w:pPr>
              <w:rPr>
                <w:sz w:val="22"/>
                <w:szCs w:val="22"/>
                <w:lang w:val="lt-LT"/>
              </w:rPr>
            </w:pPr>
            <w:r w:rsidRPr="00982E04">
              <w:rPr>
                <w:sz w:val="22"/>
                <w:szCs w:val="22"/>
                <w:lang w:val="lt-LT"/>
              </w:rPr>
              <w:t>1) auditoriaus įsitikinimai dėl pakankamų ir tinkamų audito įrodymų gali būti klaidingi,</w:t>
            </w:r>
          </w:p>
          <w:p w:rsidR="00546176" w:rsidRPr="00982E04" w:rsidRDefault="00546176" w:rsidP="00C11EAF">
            <w:pPr>
              <w:rPr>
                <w:sz w:val="22"/>
                <w:szCs w:val="22"/>
                <w:lang w:val="lt-LT"/>
              </w:rPr>
            </w:pPr>
            <w:r w:rsidRPr="00982E04">
              <w:rPr>
                <w:sz w:val="22"/>
                <w:szCs w:val="22"/>
                <w:lang w:val="lt-LT"/>
              </w:rPr>
              <w:t xml:space="preserve">2) apskaitos principų ir audito standartų klaidingas supratimas ar taikymas, </w:t>
            </w:r>
          </w:p>
          <w:p w:rsidR="00546176" w:rsidRPr="00982E04" w:rsidRDefault="00546176" w:rsidP="00C11EAF">
            <w:pPr>
              <w:rPr>
                <w:sz w:val="22"/>
                <w:szCs w:val="22"/>
                <w:lang w:val="lt-LT"/>
              </w:rPr>
            </w:pPr>
            <w:r w:rsidRPr="00982E04">
              <w:rPr>
                <w:sz w:val="22"/>
                <w:szCs w:val="22"/>
                <w:lang w:val="lt-LT"/>
              </w:rPr>
              <w:t xml:space="preserve">3) pakankamo supratimo apie įmonę ir jos aplinką neįgijimas, </w:t>
            </w:r>
          </w:p>
          <w:p w:rsidR="00546176" w:rsidRPr="00982E04" w:rsidRDefault="00546176" w:rsidP="00C11EAF">
            <w:pPr>
              <w:rPr>
                <w:sz w:val="22"/>
                <w:szCs w:val="22"/>
                <w:lang w:val="lt-LT"/>
              </w:rPr>
            </w:pPr>
            <w:r w:rsidRPr="00982E04">
              <w:rPr>
                <w:sz w:val="22"/>
                <w:szCs w:val="22"/>
                <w:lang w:val="lt-LT"/>
              </w:rPr>
              <w:t>4) nesugebėjimas surinkti pakankamų ir tinkamų audito įrodymų, kai reaguojama į įvertintus audito rizikos komponentus.</w:t>
            </w:r>
          </w:p>
        </w:tc>
      </w:tr>
    </w:tbl>
    <w:p w:rsidR="009653B8" w:rsidRPr="00FE380C" w:rsidRDefault="009653B8" w:rsidP="00980009">
      <w:pPr>
        <w:rPr>
          <w:lang w:val="lt-LT"/>
        </w:rPr>
      </w:pPr>
      <w:r w:rsidRPr="00FE380C">
        <w:rPr>
          <w:lang w:val="lt-LT"/>
        </w:rPr>
        <w:t>Šaltinis: sudaryta autorės.</w:t>
      </w:r>
    </w:p>
    <w:p w:rsidR="00486BF4" w:rsidRPr="00982E04" w:rsidRDefault="00970ECF" w:rsidP="00370A65">
      <w:pPr>
        <w:spacing w:before="240" w:line="360" w:lineRule="auto"/>
        <w:ind w:firstLine="709"/>
        <w:jc w:val="both"/>
        <w:rPr>
          <w:sz w:val="26"/>
          <w:szCs w:val="26"/>
          <w:lang w:val="lt-LT"/>
        </w:rPr>
      </w:pPr>
      <w:r w:rsidRPr="00982E04">
        <w:rPr>
          <w:sz w:val="26"/>
          <w:szCs w:val="26"/>
          <w:lang w:val="lt-LT"/>
        </w:rPr>
        <w:t>A</w:t>
      </w:r>
      <w:r w:rsidR="000458CE" w:rsidRPr="00982E04">
        <w:rPr>
          <w:sz w:val="26"/>
          <w:szCs w:val="26"/>
          <w:lang w:val="lt-LT"/>
        </w:rPr>
        <w:t>uditoriaus</w:t>
      </w:r>
      <w:r w:rsidRPr="00982E04">
        <w:rPr>
          <w:sz w:val="26"/>
          <w:szCs w:val="26"/>
          <w:lang w:val="lt-LT"/>
        </w:rPr>
        <w:t xml:space="preserve">, atsakingo už auditą, ir kitų asmenų dalyvaujančių audite </w:t>
      </w:r>
      <w:r w:rsidR="000458CE" w:rsidRPr="00982E04">
        <w:rPr>
          <w:sz w:val="26"/>
          <w:szCs w:val="26"/>
          <w:lang w:val="lt-LT"/>
        </w:rPr>
        <w:t xml:space="preserve">savybes </w:t>
      </w:r>
      <w:r w:rsidRPr="00982E04">
        <w:rPr>
          <w:sz w:val="26"/>
          <w:szCs w:val="26"/>
          <w:lang w:val="lt-LT"/>
        </w:rPr>
        <w:t xml:space="preserve">apsprendžia jų </w:t>
      </w:r>
      <w:r w:rsidR="000458CE" w:rsidRPr="00982E04">
        <w:rPr>
          <w:sz w:val="26"/>
          <w:szCs w:val="26"/>
          <w:lang w:val="lt-LT"/>
        </w:rPr>
        <w:t>kvalifikacij</w:t>
      </w:r>
      <w:r w:rsidRPr="00982E04">
        <w:rPr>
          <w:sz w:val="26"/>
          <w:szCs w:val="26"/>
          <w:lang w:val="lt-LT"/>
        </w:rPr>
        <w:t>a</w:t>
      </w:r>
      <w:r w:rsidR="000458CE" w:rsidRPr="00982E04">
        <w:rPr>
          <w:sz w:val="26"/>
          <w:szCs w:val="26"/>
          <w:lang w:val="lt-LT"/>
        </w:rPr>
        <w:t xml:space="preserve"> ir teorin</w:t>
      </w:r>
      <w:r w:rsidRPr="00982E04">
        <w:rPr>
          <w:sz w:val="26"/>
          <w:szCs w:val="26"/>
          <w:lang w:val="lt-LT"/>
        </w:rPr>
        <w:t>is</w:t>
      </w:r>
      <w:r w:rsidR="000458CE" w:rsidRPr="00982E04">
        <w:rPr>
          <w:sz w:val="26"/>
          <w:szCs w:val="26"/>
          <w:lang w:val="lt-LT"/>
        </w:rPr>
        <w:t xml:space="preserve"> pasirengim</w:t>
      </w:r>
      <w:r w:rsidRPr="00982E04">
        <w:rPr>
          <w:sz w:val="26"/>
          <w:szCs w:val="26"/>
          <w:lang w:val="lt-LT"/>
        </w:rPr>
        <w:t>as</w:t>
      </w:r>
      <w:r w:rsidR="00072397" w:rsidRPr="00982E04">
        <w:rPr>
          <w:sz w:val="26"/>
          <w:szCs w:val="26"/>
          <w:lang w:val="lt-LT"/>
        </w:rPr>
        <w:t>, p</w:t>
      </w:r>
      <w:r w:rsidR="000458CE" w:rsidRPr="00982E04">
        <w:rPr>
          <w:sz w:val="26"/>
          <w:szCs w:val="26"/>
          <w:lang w:val="lt-LT"/>
        </w:rPr>
        <w:t>raktin</w:t>
      </w:r>
      <w:r w:rsidR="00072397" w:rsidRPr="00982E04">
        <w:rPr>
          <w:sz w:val="26"/>
          <w:szCs w:val="26"/>
          <w:lang w:val="lt-LT"/>
        </w:rPr>
        <w:t>ė</w:t>
      </w:r>
      <w:r w:rsidR="000458CE" w:rsidRPr="00982E04">
        <w:rPr>
          <w:sz w:val="26"/>
          <w:szCs w:val="26"/>
          <w:lang w:val="lt-LT"/>
        </w:rPr>
        <w:t xml:space="preserve"> patirt</w:t>
      </w:r>
      <w:r w:rsidR="00072397" w:rsidRPr="00982E04">
        <w:rPr>
          <w:sz w:val="26"/>
          <w:szCs w:val="26"/>
          <w:lang w:val="lt-LT"/>
        </w:rPr>
        <w:t>is</w:t>
      </w:r>
      <w:r w:rsidR="00006C22" w:rsidRPr="00982E04">
        <w:rPr>
          <w:sz w:val="26"/>
          <w:szCs w:val="26"/>
          <w:lang w:val="lt-LT"/>
        </w:rPr>
        <w:t>,</w:t>
      </w:r>
      <w:r w:rsidR="00072397" w:rsidRPr="00982E04">
        <w:rPr>
          <w:sz w:val="26"/>
          <w:szCs w:val="26"/>
          <w:lang w:val="lt-LT"/>
        </w:rPr>
        <w:t xml:space="preserve"> </w:t>
      </w:r>
      <w:r w:rsidR="000458CE" w:rsidRPr="00982E04">
        <w:rPr>
          <w:sz w:val="26"/>
          <w:szCs w:val="26"/>
          <w:lang w:val="lt-LT"/>
        </w:rPr>
        <w:t>asmenin</w:t>
      </w:r>
      <w:r w:rsidR="00072397" w:rsidRPr="00982E04">
        <w:rPr>
          <w:sz w:val="26"/>
          <w:szCs w:val="26"/>
          <w:lang w:val="lt-LT"/>
        </w:rPr>
        <w:t>ė</w:t>
      </w:r>
      <w:r w:rsidR="000458CE" w:rsidRPr="00982E04">
        <w:rPr>
          <w:sz w:val="26"/>
          <w:szCs w:val="26"/>
          <w:lang w:val="lt-LT"/>
        </w:rPr>
        <w:t xml:space="preserve">s </w:t>
      </w:r>
      <w:r w:rsidR="00006C22" w:rsidRPr="00982E04">
        <w:rPr>
          <w:sz w:val="26"/>
          <w:szCs w:val="26"/>
          <w:lang w:val="lt-LT"/>
        </w:rPr>
        <w:t xml:space="preserve">ir etinės </w:t>
      </w:r>
      <w:r w:rsidR="000458CE" w:rsidRPr="00982E04">
        <w:rPr>
          <w:sz w:val="26"/>
          <w:szCs w:val="26"/>
          <w:lang w:val="lt-LT"/>
        </w:rPr>
        <w:t>savyb</w:t>
      </w:r>
      <w:r w:rsidR="00072397" w:rsidRPr="00982E04">
        <w:rPr>
          <w:sz w:val="26"/>
          <w:szCs w:val="26"/>
          <w:lang w:val="lt-LT"/>
        </w:rPr>
        <w:t>ė</w:t>
      </w:r>
      <w:r w:rsidR="000458CE" w:rsidRPr="00982E04">
        <w:rPr>
          <w:sz w:val="26"/>
          <w:szCs w:val="26"/>
          <w:lang w:val="lt-LT"/>
        </w:rPr>
        <w:t xml:space="preserve">s </w:t>
      </w:r>
      <w:r w:rsidR="00072397" w:rsidRPr="00982E04">
        <w:rPr>
          <w:sz w:val="26"/>
          <w:szCs w:val="26"/>
          <w:lang w:val="lt-LT"/>
        </w:rPr>
        <w:t>– sąžiningumas</w:t>
      </w:r>
      <w:r w:rsidR="000458CE" w:rsidRPr="00982E04">
        <w:rPr>
          <w:sz w:val="26"/>
          <w:szCs w:val="26"/>
          <w:lang w:val="lt-LT"/>
        </w:rPr>
        <w:t>, objektyvum</w:t>
      </w:r>
      <w:r w:rsidR="00072397" w:rsidRPr="00982E04">
        <w:rPr>
          <w:sz w:val="26"/>
          <w:szCs w:val="26"/>
          <w:lang w:val="lt-LT"/>
        </w:rPr>
        <w:t>as</w:t>
      </w:r>
      <w:r w:rsidR="000458CE" w:rsidRPr="00982E04">
        <w:rPr>
          <w:sz w:val="26"/>
          <w:szCs w:val="26"/>
          <w:lang w:val="lt-LT"/>
        </w:rPr>
        <w:t xml:space="preserve">, </w:t>
      </w:r>
      <w:r w:rsidR="00974502" w:rsidRPr="00982E04">
        <w:rPr>
          <w:sz w:val="26"/>
          <w:szCs w:val="26"/>
          <w:lang w:val="lt-LT"/>
        </w:rPr>
        <w:t xml:space="preserve">nepriklausomumas, </w:t>
      </w:r>
      <w:r w:rsidR="000458CE" w:rsidRPr="00982E04">
        <w:rPr>
          <w:sz w:val="26"/>
          <w:szCs w:val="26"/>
          <w:lang w:val="lt-LT"/>
        </w:rPr>
        <w:t>darbštum</w:t>
      </w:r>
      <w:r w:rsidR="00072397" w:rsidRPr="00982E04">
        <w:rPr>
          <w:sz w:val="26"/>
          <w:szCs w:val="26"/>
          <w:lang w:val="lt-LT"/>
        </w:rPr>
        <w:t>as</w:t>
      </w:r>
      <w:r w:rsidR="000458CE" w:rsidRPr="00982E04">
        <w:rPr>
          <w:sz w:val="26"/>
          <w:szCs w:val="26"/>
          <w:lang w:val="lt-LT"/>
        </w:rPr>
        <w:t>, apdairum</w:t>
      </w:r>
      <w:r w:rsidR="00072397" w:rsidRPr="00982E04">
        <w:rPr>
          <w:sz w:val="26"/>
          <w:szCs w:val="26"/>
          <w:lang w:val="lt-LT"/>
        </w:rPr>
        <w:t>as.</w:t>
      </w:r>
      <w:r w:rsidR="007B1FDA" w:rsidRPr="00982E04">
        <w:rPr>
          <w:sz w:val="26"/>
          <w:szCs w:val="26"/>
          <w:lang w:val="lt-LT"/>
        </w:rPr>
        <w:t xml:space="preserve"> </w:t>
      </w:r>
      <w:r w:rsidR="00006C22" w:rsidRPr="00982E04">
        <w:rPr>
          <w:sz w:val="26"/>
          <w:szCs w:val="26"/>
          <w:lang w:val="lt-LT"/>
        </w:rPr>
        <w:t>Be to, reikėtų pritarti R.</w:t>
      </w:r>
      <w:r w:rsidR="00982E04">
        <w:rPr>
          <w:sz w:val="26"/>
          <w:szCs w:val="26"/>
          <w:lang w:val="lt-LT"/>
        </w:rPr>
        <w:t> </w:t>
      </w:r>
      <w:r w:rsidR="00BA3A0F" w:rsidRPr="00982E04">
        <w:rPr>
          <w:sz w:val="26"/>
          <w:szCs w:val="26"/>
          <w:lang w:val="lt-LT"/>
        </w:rPr>
        <w:t>Kanapickienė</w:t>
      </w:r>
      <w:r w:rsidR="00006C22" w:rsidRPr="00982E04">
        <w:rPr>
          <w:sz w:val="26"/>
          <w:szCs w:val="26"/>
          <w:lang w:val="lt-LT"/>
        </w:rPr>
        <w:t>s</w:t>
      </w:r>
      <w:r w:rsidR="00BA3A0F" w:rsidRPr="00982E04">
        <w:rPr>
          <w:sz w:val="26"/>
          <w:szCs w:val="26"/>
          <w:lang w:val="lt-LT"/>
        </w:rPr>
        <w:t xml:space="preserve">, </w:t>
      </w:r>
      <w:r w:rsidR="00006C22" w:rsidRPr="00982E04">
        <w:rPr>
          <w:sz w:val="26"/>
          <w:szCs w:val="26"/>
          <w:lang w:val="lt-LT"/>
        </w:rPr>
        <w:t xml:space="preserve">G. </w:t>
      </w:r>
      <w:r w:rsidR="00BA3A0F" w:rsidRPr="00982E04">
        <w:rPr>
          <w:sz w:val="26"/>
          <w:szCs w:val="26"/>
          <w:lang w:val="lt-LT"/>
        </w:rPr>
        <w:t>Gipienė</w:t>
      </w:r>
      <w:r w:rsidR="00006C22" w:rsidRPr="00982E04">
        <w:rPr>
          <w:sz w:val="26"/>
          <w:szCs w:val="26"/>
          <w:lang w:val="lt-LT"/>
        </w:rPr>
        <w:t xml:space="preserve">s ir B. </w:t>
      </w:r>
      <w:r w:rsidR="00BA3A0F" w:rsidRPr="00982E04">
        <w:rPr>
          <w:sz w:val="26"/>
          <w:szCs w:val="26"/>
          <w:lang w:val="lt-LT"/>
        </w:rPr>
        <w:t>Jefimov</w:t>
      </w:r>
      <w:r w:rsidR="00006C22" w:rsidRPr="00982E04">
        <w:rPr>
          <w:sz w:val="26"/>
          <w:szCs w:val="26"/>
          <w:lang w:val="lt-LT"/>
        </w:rPr>
        <w:t>o (</w:t>
      </w:r>
      <w:r w:rsidR="00BA3A0F" w:rsidRPr="00982E04">
        <w:rPr>
          <w:sz w:val="26"/>
          <w:szCs w:val="26"/>
          <w:lang w:val="lt-LT"/>
        </w:rPr>
        <w:t xml:space="preserve">2004) </w:t>
      </w:r>
      <w:r w:rsidR="00006C22" w:rsidRPr="00982E04">
        <w:rPr>
          <w:sz w:val="26"/>
          <w:szCs w:val="26"/>
          <w:lang w:val="lt-LT"/>
        </w:rPr>
        <w:t xml:space="preserve">nuomonei, kurie </w:t>
      </w:r>
      <w:r w:rsidR="00BA3A0F" w:rsidRPr="00982E04">
        <w:rPr>
          <w:sz w:val="26"/>
          <w:szCs w:val="26"/>
          <w:lang w:val="lt-LT"/>
        </w:rPr>
        <w:t xml:space="preserve">pabrėžia profesinio skepticizmo svarbą </w:t>
      </w:r>
      <w:r w:rsidR="00400C96" w:rsidRPr="00982E04">
        <w:rPr>
          <w:sz w:val="26"/>
          <w:szCs w:val="26"/>
          <w:lang w:val="lt-LT"/>
        </w:rPr>
        <w:t xml:space="preserve">auditoriui </w:t>
      </w:r>
      <w:r w:rsidR="00BA3A0F" w:rsidRPr="00982E04">
        <w:rPr>
          <w:sz w:val="26"/>
          <w:szCs w:val="26"/>
          <w:lang w:val="lt-LT"/>
        </w:rPr>
        <w:t xml:space="preserve">siekiant aptikti klaidas ir apgaules. </w:t>
      </w:r>
      <w:r w:rsidR="00072397" w:rsidRPr="00982E04">
        <w:rPr>
          <w:sz w:val="26"/>
          <w:szCs w:val="26"/>
          <w:lang w:val="lt-LT"/>
        </w:rPr>
        <w:t>Audito veiksmai</w:t>
      </w:r>
      <w:r w:rsidRPr="00982E04">
        <w:rPr>
          <w:sz w:val="26"/>
          <w:szCs w:val="26"/>
          <w:lang w:val="lt-LT"/>
        </w:rPr>
        <w:t>, kurių metu turi būti surasti ir ištirti reikšmingi iškraipymai f</w:t>
      </w:r>
      <w:r w:rsidR="00086923" w:rsidRPr="00982E04">
        <w:rPr>
          <w:sz w:val="26"/>
          <w:szCs w:val="26"/>
          <w:lang w:val="lt-LT"/>
        </w:rPr>
        <w:t>inansinės</w:t>
      </w:r>
      <w:r w:rsidR="00072397" w:rsidRPr="00982E04">
        <w:rPr>
          <w:sz w:val="26"/>
          <w:szCs w:val="26"/>
          <w:lang w:val="lt-LT"/>
        </w:rPr>
        <w:t>e at</w:t>
      </w:r>
      <w:r w:rsidR="00086923" w:rsidRPr="00982E04">
        <w:rPr>
          <w:sz w:val="26"/>
          <w:szCs w:val="26"/>
          <w:lang w:val="lt-LT"/>
        </w:rPr>
        <w:t>a</w:t>
      </w:r>
      <w:r w:rsidR="00072397" w:rsidRPr="00982E04">
        <w:rPr>
          <w:sz w:val="26"/>
          <w:szCs w:val="26"/>
          <w:lang w:val="lt-LT"/>
        </w:rPr>
        <w:t>skaito</w:t>
      </w:r>
      <w:r w:rsidR="00086923" w:rsidRPr="00982E04">
        <w:rPr>
          <w:sz w:val="26"/>
          <w:szCs w:val="26"/>
          <w:lang w:val="lt-LT"/>
        </w:rPr>
        <w:t>s</w:t>
      </w:r>
      <w:r w:rsidR="00535E05" w:rsidRPr="00982E04">
        <w:rPr>
          <w:sz w:val="26"/>
          <w:szCs w:val="26"/>
          <w:lang w:val="lt-LT"/>
        </w:rPr>
        <w:t>e</w:t>
      </w:r>
      <w:r w:rsidR="00072397" w:rsidRPr="00982E04">
        <w:rPr>
          <w:sz w:val="26"/>
          <w:szCs w:val="26"/>
          <w:lang w:val="lt-LT"/>
        </w:rPr>
        <w:t>, apima taikytin</w:t>
      </w:r>
      <w:r w:rsidR="007A7EB7" w:rsidRPr="00982E04">
        <w:rPr>
          <w:sz w:val="26"/>
          <w:szCs w:val="26"/>
          <w:lang w:val="lt-LT"/>
        </w:rPr>
        <w:t>ų</w:t>
      </w:r>
      <w:r w:rsidR="00072397" w:rsidRPr="00982E04">
        <w:rPr>
          <w:sz w:val="26"/>
          <w:szCs w:val="26"/>
          <w:lang w:val="lt-LT"/>
        </w:rPr>
        <w:t xml:space="preserve"> </w:t>
      </w:r>
      <w:r w:rsidR="000458CE" w:rsidRPr="00982E04">
        <w:rPr>
          <w:sz w:val="26"/>
          <w:szCs w:val="26"/>
          <w:lang w:val="lt-LT"/>
        </w:rPr>
        <w:t>audito procedūr</w:t>
      </w:r>
      <w:r w:rsidR="007A7EB7" w:rsidRPr="00982E04">
        <w:rPr>
          <w:sz w:val="26"/>
          <w:szCs w:val="26"/>
          <w:lang w:val="lt-LT"/>
        </w:rPr>
        <w:t>ų pobūdį, laiką ir apimtį</w:t>
      </w:r>
      <w:r w:rsidR="00072397" w:rsidRPr="00982E04">
        <w:rPr>
          <w:sz w:val="26"/>
          <w:szCs w:val="26"/>
          <w:lang w:val="lt-LT"/>
        </w:rPr>
        <w:t xml:space="preserve"> bei </w:t>
      </w:r>
      <w:r w:rsidR="000458CE" w:rsidRPr="00982E04">
        <w:rPr>
          <w:sz w:val="26"/>
          <w:szCs w:val="26"/>
          <w:lang w:val="lt-LT"/>
        </w:rPr>
        <w:t xml:space="preserve">nustatytą </w:t>
      </w:r>
      <w:r w:rsidR="00535E05" w:rsidRPr="00982E04">
        <w:rPr>
          <w:sz w:val="26"/>
          <w:szCs w:val="26"/>
          <w:lang w:val="lt-LT"/>
        </w:rPr>
        <w:t>re</w:t>
      </w:r>
      <w:r w:rsidR="000458CE" w:rsidRPr="00982E04">
        <w:rPr>
          <w:sz w:val="26"/>
          <w:szCs w:val="26"/>
          <w:lang w:val="lt-LT"/>
        </w:rPr>
        <w:t>ikšmingumo lygį</w:t>
      </w:r>
      <w:r w:rsidR="005D0A15" w:rsidRPr="00982E04">
        <w:rPr>
          <w:sz w:val="26"/>
          <w:szCs w:val="26"/>
          <w:lang w:val="lt-LT"/>
        </w:rPr>
        <w:t xml:space="preserve">, tačiau tai </w:t>
      </w:r>
      <w:r w:rsidR="00EE5686" w:rsidRPr="00982E04">
        <w:rPr>
          <w:sz w:val="26"/>
          <w:szCs w:val="26"/>
          <w:lang w:val="lt-LT"/>
        </w:rPr>
        <w:t xml:space="preserve">taip pat </w:t>
      </w:r>
      <w:r w:rsidR="005D0A15" w:rsidRPr="00982E04">
        <w:rPr>
          <w:sz w:val="26"/>
          <w:szCs w:val="26"/>
          <w:lang w:val="lt-LT"/>
        </w:rPr>
        <w:t xml:space="preserve">susiję su auditoriaus </w:t>
      </w:r>
      <w:r w:rsidR="005D0A15" w:rsidRPr="00982E04">
        <w:rPr>
          <w:sz w:val="26"/>
          <w:szCs w:val="26"/>
          <w:lang w:val="lt-LT"/>
        </w:rPr>
        <w:lastRenderedPageBreak/>
        <w:t>savybėmis ir patyrimu</w:t>
      </w:r>
      <w:r w:rsidR="000458CE" w:rsidRPr="00982E04">
        <w:rPr>
          <w:sz w:val="26"/>
          <w:szCs w:val="26"/>
          <w:lang w:val="lt-LT"/>
        </w:rPr>
        <w:t>.</w:t>
      </w:r>
      <w:r w:rsidR="00AB0C09" w:rsidRPr="00982E04">
        <w:rPr>
          <w:sz w:val="26"/>
          <w:szCs w:val="26"/>
          <w:lang w:val="lt-LT"/>
        </w:rPr>
        <w:t xml:space="preserve"> </w:t>
      </w:r>
      <w:r w:rsidR="00BD388B" w:rsidRPr="00982E04">
        <w:rPr>
          <w:sz w:val="26"/>
          <w:szCs w:val="26"/>
          <w:lang w:val="lt-LT"/>
        </w:rPr>
        <w:t>Nes, kaip teigia S. Bhattacharjee ir K. Morano (2002)</w:t>
      </w:r>
      <w:r w:rsidR="009737AD" w:rsidRPr="00982E04">
        <w:rPr>
          <w:sz w:val="26"/>
          <w:szCs w:val="26"/>
          <w:lang w:val="lt-LT"/>
        </w:rPr>
        <w:t>,</w:t>
      </w:r>
      <w:r w:rsidR="00BD388B" w:rsidRPr="00982E04">
        <w:rPr>
          <w:sz w:val="26"/>
          <w:szCs w:val="26"/>
          <w:lang w:val="lt-LT"/>
        </w:rPr>
        <w:t xml:space="preserve"> labiau patyrę auditoriai yra labiau linkę ignoruoti nesusijusią su analizuojamu klausimu informaciją ir gali priimti tinkamesnį sprendimą nei mažiau patyrę kolegos.</w:t>
      </w:r>
      <w:r w:rsidR="00F856C8" w:rsidRPr="00982E04">
        <w:rPr>
          <w:sz w:val="26"/>
          <w:szCs w:val="26"/>
          <w:lang w:val="lt-LT"/>
        </w:rPr>
        <w:t xml:space="preserve"> </w:t>
      </w:r>
      <w:r w:rsidR="006A2805" w:rsidRPr="00982E04">
        <w:rPr>
          <w:sz w:val="26"/>
          <w:szCs w:val="26"/>
          <w:lang w:val="lt-LT"/>
        </w:rPr>
        <w:t>Darbo a</w:t>
      </w:r>
      <w:r w:rsidR="00806E4D" w:rsidRPr="00982E04">
        <w:rPr>
          <w:sz w:val="26"/>
          <w:szCs w:val="26"/>
          <w:lang w:val="lt-LT"/>
        </w:rPr>
        <w:t xml:space="preserve">utorės nuomone, remiantis </w:t>
      </w:r>
      <w:r w:rsidR="00CB4B65" w:rsidRPr="00982E04">
        <w:rPr>
          <w:sz w:val="26"/>
          <w:szCs w:val="26"/>
          <w:lang w:val="lt-LT"/>
        </w:rPr>
        <w:t xml:space="preserve">T. C. </w:t>
      </w:r>
      <w:r w:rsidR="001B1E06" w:rsidRPr="00982E04">
        <w:rPr>
          <w:sz w:val="26"/>
          <w:szCs w:val="26"/>
          <w:lang w:val="lt-LT"/>
        </w:rPr>
        <w:t>Wooten</w:t>
      </w:r>
      <w:r w:rsidR="00CB4B65" w:rsidRPr="00982E04">
        <w:rPr>
          <w:sz w:val="26"/>
          <w:szCs w:val="26"/>
          <w:lang w:val="lt-LT"/>
        </w:rPr>
        <w:t xml:space="preserve"> (</w:t>
      </w:r>
      <w:r w:rsidR="001B1E06" w:rsidRPr="00982E04">
        <w:rPr>
          <w:sz w:val="26"/>
          <w:szCs w:val="26"/>
          <w:lang w:val="lt-LT"/>
        </w:rPr>
        <w:t>2003</w:t>
      </w:r>
      <w:r w:rsidR="00CB4B65" w:rsidRPr="00982E04">
        <w:rPr>
          <w:sz w:val="26"/>
          <w:szCs w:val="26"/>
          <w:lang w:val="lt-LT"/>
        </w:rPr>
        <w:t>), T. B.</w:t>
      </w:r>
      <w:r w:rsidR="00F95196" w:rsidRPr="00982E04">
        <w:rPr>
          <w:sz w:val="26"/>
          <w:szCs w:val="26"/>
          <w:lang w:val="lt-LT"/>
        </w:rPr>
        <w:t xml:space="preserve"> Bell, </w:t>
      </w:r>
      <w:r w:rsidR="00CB4B65" w:rsidRPr="00982E04">
        <w:rPr>
          <w:sz w:val="26"/>
          <w:szCs w:val="26"/>
          <w:lang w:val="lt-LT"/>
        </w:rPr>
        <w:t xml:space="preserve">M. E. </w:t>
      </w:r>
      <w:r w:rsidR="00F95196" w:rsidRPr="00982E04">
        <w:rPr>
          <w:sz w:val="26"/>
          <w:szCs w:val="26"/>
          <w:lang w:val="lt-LT"/>
        </w:rPr>
        <w:t xml:space="preserve">Peecher, </w:t>
      </w:r>
      <w:r w:rsidR="00CB4B65" w:rsidRPr="00982E04">
        <w:rPr>
          <w:sz w:val="26"/>
          <w:szCs w:val="26"/>
          <w:lang w:val="lt-LT"/>
        </w:rPr>
        <w:t xml:space="preserve">I. </w:t>
      </w:r>
      <w:r w:rsidR="00F95196" w:rsidRPr="00982E04">
        <w:rPr>
          <w:sz w:val="26"/>
          <w:szCs w:val="26"/>
          <w:lang w:val="lt-LT"/>
        </w:rPr>
        <w:t>Solomon</w:t>
      </w:r>
      <w:r w:rsidR="00CB4B65" w:rsidRPr="00982E04">
        <w:rPr>
          <w:sz w:val="26"/>
          <w:szCs w:val="26"/>
          <w:lang w:val="lt-LT"/>
        </w:rPr>
        <w:t xml:space="preserve"> (</w:t>
      </w:r>
      <w:r w:rsidR="00F95196" w:rsidRPr="00982E04">
        <w:rPr>
          <w:sz w:val="26"/>
          <w:szCs w:val="26"/>
          <w:lang w:val="lt-LT"/>
        </w:rPr>
        <w:t>2005</w:t>
      </w:r>
      <w:r w:rsidR="00CB4B65" w:rsidRPr="00982E04">
        <w:rPr>
          <w:sz w:val="26"/>
          <w:szCs w:val="26"/>
          <w:lang w:val="lt-LT"/>
        </w:rPr>
        <w:t>)</w:t>
      </w:r>
      <w:r w:rsidR="00F95196" w:rsidRPr="00982E04">
        <w:rPr>
          <w:sz w:val="26"/>
          <w:szCs w:val="26"/>
          <w:lang w:val="lt-LT"/>
        </w:rPr>
        <w:t xml:space="preserve"> ir kt.</w:t>
      </w:r>
      <w:r w:rsidR="00CB4B65" w:rsidRPr="00982E04">
        <w:rPr>
          <w:sz w:val="26"/>
          <w:szCs w:val="26"/>
          <w:lang w:val="lt-LT"/>
        </w:rPr>
        <w:t xml:space="preserve"> pasisakymais, </w:t>
      </w:r>
      <w:r w:rsidR="005D0A15" w:rsidRPr="00982E04">
        <w:rPr>
          <w:sz w:val="26"/>
          <w:szCs w:val="26"/>
          <w:lang w:val="lt-LT"/>
        </w:rPr>
        <w:t xml:space="preserve">auditoriaus </w:t>
      </w:r>
      <w:r w:rsidR="00AC2236" w:rsidRPr="00982E04">
        <w:rPr>
          <w:sz w:val="26"/>
          <w:szCs w:val="26"/>
          <w:lang w:val="lt-LT"/>
        </w:rPr>
        <w:t xml:space="preserve">savybių </w:t>
      </w:r>
      <w:r w:rsidR="005D0A15" w:rsidRPr="00982E04">
        <w:rPr>
          <w:sz w:val="26"/>
          <w:szCs w:val="26"/>
          <w:lang w:val="lt-LT"/>
        </w:rPr>
        <w:t>ir audito veiksmų įtaką aptikimo rizikos dydžiui būtų galima sumažinti</w:t>
      </w:r>
      <w:r w:rsidR="00EE5686" w:rsidRPr="00982E04">
        <w:rPr>
          <w:sz w:val="26"/>
          <w:szCs w:val="26"/>
          <w:lang w:val="lt-LT"/>
        </w:rPr>
        <w:t xml:space="preserve"> šiais būdais: 1) </w:t>
      </w:r>
      <w:r w:rsidR="00B06814" w:rsidRPr="00982E04">
        <w:rPr>
          <w:sz w:val="26"/>
          <w:szCs w:val="26"/>
          <w:lang w:val="lt-LT"/>
        </w:rPr>
        <w:t xml:space="preserve">užtikrinus </w:t>
      </w:r>
      <w:r w:rsidR="00E80BB7" w:rsidRPr="00982E04">
        <w:rPr>
          <w:sz w:val="26"/>
          <w:szCs w:val="26"/>
          <w:lang w:val="lt-LT"/>
        </w:rPr>
        <w:t>auditoriaus įsipareigojim</w:t>
      </w:r>
      <w:r w:rsidR="00B06814" w:rsidRPr="00982E04">
        <w:rPr>
          <w:sz w:val="26"/>
          <w:szCs w:val="26"/>
          <w:lang w:val="lt-LT"/>
        </w:rPr>
        <w:t>ą</w:t>
      </w:r>
      <w:r w:rsidR="00E80BB7" w:rsidRPr="00982E04">
        <w:rPr>
          <w:sz w:val="26"/>
          <w:szCs w:val="26"/>
          <w:lang w:val="lt-LT"/>
        </w:rPr>
        <w:t xml:space="preserve"> laikytis </w:t>
      </w:r>
      <w:r w:rsidR="00206AF0" w:rsidRPr="00982E04">
        <w:rPr>
          <w:sz w:val="26"/>
          <w:szCs w:val="26"/>
          <w:lang w:val="lt-LT"/>
        </w:rPr>
        <w:t xml:space="preserve">profesinės </w:t>
      </w:r>
      <w:r w:rsidR="000B3226" w:rsidRPr="00982E04">
        <w:rPr>
          <w:sz w:val="26"/>
          <w:szCs w:val="26"/>
          <w:lang w:val="lt-LT"/>
        </w:rPr>
        <w:t xml:space="preserve">etikos principų, </w:t>
      </w:r>
      <w:r w:rsidR="00E80BB7" w:rsidRPr="00982E04">
        <w:rPr>
          <w:sz w:val="26"/>
          <w:szCs w:val="26"/>
          <w:lang w:val="lt-LT"/>
        </w:rPr>
        <w:t>profesinių standartų</w:t>
      </w:r>
      <w:r w:rsidR="00EE5686" w:rsidRPr="00982E04">
        <w:rPr>
          <w:sz w:val="26"/>
          <w:szCs w:val="26"/>
          <w:lang w:val="lt-LT"/>
        </w:rPr>
        <w:t xml:space="preserve"> ir kitų teisės aktų</w:t>
      </w:r>
      <w:r w:rsidR="00E80BB7" w:rsidRPr="00982E04">
        <w:rPr>
          <w:sz w:val="26"/>
          <w:szCs w:val="26"/>
          <w:lang w:val="lt-LT"/>
        </w:rPr>
        <w:t xml:space="preserve">, reglamentuojančių </w:t>
      </w:r>
      <w:r w:rsidR="000B3226" w:rsidRPr="00982E04">
        <w:rPr>
          <w:sz w:val="26"/>
          <w:szCs w:val="26"/>
          <w:lang w:val="lt-LT"/>
        </w:rPr>
        <w:t xml:space="preserve">auditoriaus veiklą ir </w:t>
      </w:r>
      <w:r w:rsidR="00E80BB7" w:rsidRPr="00982E04">
        <w:rPr>
          <w:sz w:val="26"/>
          <w:szCs w:val="26"/>
          <w:lang w:val="lt-LT"/>
        </w:rPr>
        <w:t>audito atlikimą</w:t>
      </w:r>
      <w:r w:rsidR="00EE5686" w:rsidRPr="00982E04">
        <w:rPr>
          <w:sz w:val="26"/>
          <w:szCs w:val="26"/>
          <w:lang w:val="lt-LT"/>
        </w:rPr>
        <w:t xml:space="preserve">; </w:t>
      </w:r>
      <w:r w:rsidR="000C515E" w:rsidRPr="00982E04">
        <w:rPr>
          <w:sz w:val="26"/>
          <w:szCs w:val="26"/>
          <w:lang w:val="lt-LT"/>
        </w:rPr>
        <w:t>2) paskyrus pakankamai laiko ir išteklių audito atlikimui; 3</w:t>
      </w:r>
      <w:r w:rsidR="00EE5686" w:rsidRPr="00982E04">
        <w:rPr>
          <w:sz w:val="26"/>
          <w:szCs w:val="26"/>
          <w:lang w:val="lt-LT"/>
        </w:rPr>
        <w:t>)</w:t>
      </w:r>
      <w:r w:rsidR="00E80BB7" w:rsidRPr="00982E04">
        <w:rPr>
          <w:sz w:val="26"/>
          <w:szCs w:val="26"/>
          <w:lang w:val="lt-LT"/>
        </w:rPr>
        <w:t xml:space="preserve"> </w:t>
      </w:r>
      <w:r w:rsidR="000C515E" w:rsidRPr="00982E04">
        <w:rPr>
          <w:sz w:val="26"/>
          <w:szCs w:val="26"/>
          <w:lang w:val="lt-LT"/>
        </w:rPr>
        <w:t>tinkamai suplanavus atliekamą darbą</w:t>
      </w:r>
      <w:r w:rsidR="00535E05" w:rsidRPr="00982E04">
        <w:rPr>
          <w:sz w:val="26"/>
          <w:szCs w:val="26"/>
          <w:lang w:val="lt-LT"/>
        </w:rPr>
        <w:t xml:space="preserve">; </w:t>
      </w:r>
      <w:r w:rsidR="000C515E" w:rsidRPr="00982E04">
        <w:rPr>
          <w:sz w:val="26"/>
          <w:szCs w:val="26"/>
          <w:lang w:val="lt-LT"/>
        </w:rPr>
        <w:t>4</w:t>
      </w:r>
      <w:r w:rsidR="00535E05" w:rsidRPr="00982E04">
        <w:rPr>
          <w:sz w:val="26"/>
          <w:szCs w:val="26"/>
          <w:lang w:val="lt-LT"/>
        </w:rPr>
        <w:t>) s</w:t>
      </w:r>
      <w:r w:rsidR="00EE5686" w:rsidRPr="00982E04">
        <w:rPr>
          <w:sz w:val="26"/>
          <w:szCs w:val="26"/>
          <w:lang w:val="lt-LT"/>
        </w:rPr>
        <w:t xml:space="preserve">ustiprinus </w:t>
      </w:r>
      <w:r w:rsidR="00E80BB7" w:rsidRPr="00982E04">
        <w:rPr>
          <w:sz w:val="26"/>
          <w:szCs w:val="26"/>
          <w:lang w:val="lt-LT"/>
        </w:rPr>
        <w:t xml:space="preserve">asmenų dalyvaujančių audite </w:t>
      </w:r>
      <w:r w:rsidR="000B3226" w:rsidRPr="00982E04">
        <w:rPr>
          <w:sz w:val="26"/>
          <w:szCs w:val="26"/>
          <w:lang w:val="lt-LT"/>
        </w:rPr>
        <w:t xml:space="preserve">darbo </w:t>
      </w:r>
      <w:r w:rsidR="00E80BB7" w:rsidRPr="00982E04">
        <w:rPr>
          <w:sz w:val="26"/>
          <w:szCs w:val="26"/>
          <w:lang w:val="lt-LT"/>
        </w:rPr>
        <w:t>priežiūr</w:t>
      </w:r>
      <w:r w:rsidR="00B06814" w:rsidRPr="00982E04">
        <w:rPr>
          <w:sz w:val="26"/>
          <w:szCs w:val="26"/>
          <w:lang w:val="lt-LT"/>
        </w:rPr>
        <w:t>ą</w:t>
      </w:r>
      <w:r w:rsidR="00EE5686" w:rsidRPr="00982E04">
        <w:rPr>
          <w:sz w:val="26"/>
          <w:szCs w:val="26"/>
          <w:lang w:val="lt-LT"/>
        </w:rPr>
        <w:t>, peržiūrą ir vadovavimą</w:t>
      </w:r>
      <w:r w:rsidR="00522BA3" w:rsidRPr="00982E04">
        <w:rPr>
          <w:sz w:val="26"/>
          <w:szCs w:val="26"/>
          <w:lang w:val="lt-LT"/>
        </w:rPr>
        <w:t xml:space="preserve">; </w:t>
      </w:r>
      <w:r w:rsidR="0079655C" w:rsidRPr="00982E04">
        <w:rPr>
          <w:sz w:val="26"/>
          <w:szCs w:val="26"/>
          <w:lang w:val="lt-LT"/>
        </w:rPr>
        <w:t>5</w:t>
      </w:r>
      <w:r w:rsidR="00522BA3" w:rsidRPr="00982E04">
        <w:rPr>
          <w:sz w:val="26"/>
          <w:szCs w:val="26"/>
          <w:lang w:val="lt-LT"/>
        </w:rPr>
        <w:t xml:space="preserve">) </w:t>
      </w:r>
      <w:r w:rsidR="000C6BB4" w:rsidRPr="00982E04">
        <w:rPr>
          <w:sz w:val="26"/>
          <w:szCs w:val="26"/>
          <w:lang w:val="lt-LT"/>
        </w:rPr>
        <w:t xml:space="preserve">įdiegus </w:t>
      </w:r>
      <w:r w:rsidR="00E80BB7" w:rsidRPr="00982E04">
        <w:rPr>
          <w:sz w:val="26"/>
          <w:szCs w:val="26"/>
          <w:lang w:val="lt-LT"/>
        </w:rPr>
        <w:t>tinkam</w:t>
      </w:r>
      <w:r w:rsidR="000C6BB4" w:rsidRPr="00982E04">
        <w:rPr>
          <w:sz w:val="26"/>
          <w:szCs w:val="26"/>
          <w:lang w:val="lt-LT"/>
        </w:rPr>
        <w:t>ą</w:t>
      </w:r>
      <w:r w:rsidR="00E80BB7" w:rsidRPr="00982E04">
        <w:rPr>
          <w:sz w:val="26"/>
          <w:szCs w:val="26"/>
          <w:lang w:val="lt-LT"/>
        </w:rPr>
        <w:t xml:space="preserve"> audito įmonės kokybės kontrolės sistem</w:t>
      </w:r>
      <w:r w:rsidR="000C6BB4" w:rsidRPr="00982E04">
        <w:rPr>
          <w:sz w:val="26"/>
          <w:szCs w:val="26"/>
          <w:lang w:val="lt-LT"/>
        </w:rPr>
        <w:t>ą</w:t>
      </w:r>
      <w:r w:rsidR="00B80A35" w:rsidRPr="00982E04">
        <w:rPr>
          <w:sz w:val="26"/>
          <w:szCs w:val="26"/>
          <w:lang w:val="lt-LT"/>
        </w:rPr>
        <w:t xml:space="preserve"> (</w:t>
      </w:r>
      <w:r w:rsidR="00B80A35" w:rsidRPr="00982E04">
        <w:rPr>
          <w:i/>
          <w:sz w:val="26"/>
          <w:szCs w:val="26"/>
          <w:lang w:val="lt-LT"/>
        </w:rPr>
        <w:t>ex ante</w:t>
      </w:r>
      <w:r w:rsidR="00B80A35" w:rsidRPr="00982E04">
        <w:rPr>
          <w:sz w:val="26"/>
          <w:szCs w:val="26"/>
          <w:lang w:val="lt-LT"/>
        </w:rPr>
        <w:t xml:space="preserve"> priemonė)</w:t>
      </w:r>
      <w:r w:rsidR="0079655C" w:rsidRPr="00982E04">
        <w:rPr>
          <w:sz w:val="26"/>
          <w:szCs w:val="26"/>
          <w:lang w:val="lt-LT"/>
        </w:rPr>
        <w:t>; 6)</w:t>
      </w:r>
      <w:r w:rsidR="00041860">
        <w:rPr>
          <w:sz w:val="26"/>
          <w:szCs w:val="26"/>
          <w:lang w:val="lt-LT"/>
        </w:rPr>
        <w:t> </w:t>
      </w:r>
      <w:r w:rsidR="0079655C" w:rsidRPr="00982E04">
        <w:rPr>
          <w:sz w:val="26"/>
          <w:szCs w:val="26"/>
          <w:lang w:val="lt-LT"/>
        </w:rPr>
        <w:t>taikant</w:t>
      </w:r>
      <w:r w:rsidR="00682D5C" w:rsidRPr="00982E04">
        <w:rPr>
          <w:sz w:val="26"/>
          <w:szCs w:val="26"/>
          <w:lang w:val="lt-LT"/>
        </w:rPr>
        <w:t xml:space="preserve"> išor</w:t>
      </w:r>
      <w:r w:rsidR="008E4A5A">
        <w:rPr>
          <w:sz w:val="26"/>
          <w:szCs w:val="26"/>
          <w:lang w:val="lt-LT"/>
        </w:rPr>
        <w:t>ės</w:t>
      </w:r>
      <w:r w:rsidR="00682D5C" w:rsidRPr="00982E04">
        <w:rPr>
          <w:sz w:val="26"/>
          <w:szCs w:val="26"/>
          <w:lang w:val="lt-LT"/>
        </w:rPr>
        <w:t xml:space="preserve"> </w:t>
      </w:r>
      <w:r w:rsidR="003E67B3" w:rsidRPr="00982E04">
        <w:rPr>
          <w:sz w:val="26"/>
          <w:szCs w:val="26"/>
          <w:lang w:val="lt-LT"/>
        </w:rPr>
        <w:t xml:space="preserve">audito </w:t>
      </w:r>
      <w:r w:rsidR="00682D5C" w:rsidRPr="00982E04">
        <w:rPr>
          <w:sz w:val="26"/>
          <w:szCs w:val="26"/>
          <w:lang w:val="lt-LT"/>
        </w:rPr>
        <w:t xml:space="preserve">kokybės </w:t>
      </w:r>
      <w:r w:rsidR="003E67B3" w:rsidRPr="00982E04">
        <w:rPr>
          <w:sz w:val="26"/>
          <w:szCs w:val="26"/>
          <w:lang w:val="lt-LT"/>
        </w:rPr>
        <w:t>užtikrinimo sistem</w:t>
      </w:r>
      <w:r w:rsidR="0079655C" w:rsidRPr="00982E04">
        <w:rPr>
          <w:sz w:val="26"/>
          <w:szCs w:val="26"/>
          <w:lang w:val="lt-LT"/>
        </w:rPr>
        <w:t>ą</w:t>
      </w:r>
      <w:r w:rsidR="00B80A35" w:rsidRPr="00982E04">
        <w:rPr>
          <w:sz w:val="26"/>
          <w:szCs w:val="26"/>
          <w:lang w:val="lt-LT"/>
        </w:rPr>
        <w:t xml:space="preserve"> (</w:t>
      </w:r>
      <w:r w:rsidR="00B80A35" w:rsidRPr="00982E04">
        <w:rPr>
          <w:i/>
          <w:sz w:val="26"/>
          <w:szCs w:val="26"/>
          <w:lang w:val="lt-LT"/>
        </w:rPr>
        <w:t xml:space="preserve">ex post </w:t>
      </w:r>
      <w:r w:rsidR="00B80A35" w:rsidRPr="00982E04">
        <w:rPr>
          <w:sz w:val="26"/>
          <w:szCs w:val="26"/>
          <w:lang w:val="lt-LT"/>
        </w:rPr>
        <w:t>priemonė).</w:t>
      </w:r>
      <w:r w:rsidR="00682D5C" w:rsidRPr="00982E04">
        <w:rPr>
          <w:sz w:val="26"/>
          <w:szCs w:val="26"/>
          <w:lang w:val="lt-LT"/>
        </w:rPr>
        <w:t xml:space="preserve"> </w:t>
      </w:r>
      <w:r w:rsidR="0079655C" w:rsidRPr="00982E04">
        <w:rPr>
          <w:sz w:val="26"/>
          <w:szCs w:val="26"/>
          <w:lang w:val="lt-LT"/>
        </w:rPr>
        <w:t>Būtent dėl pastarojo būdo</w:t>
      </w:r>
      <w:r w:rsidR="00682D5C" w:rsidRPr="00982E04">
        <w:rPr>
          <w:sz w:val="26"/>
          <w:szCs w:val="26"/>
          <w:lang w:val="lt-LT"/>
        </w:rPr>
        <w:t xml:space="preserve"> Europos direktyv</w:t>
      </w:r>
      <w:r w:rsidR="0079655C" w:rsidRPr="00982E04">
        <w:rPr>
          <w:sz w:val="26"/>
          <w:szCs w:val="26"/>
          <w:lang w:val="lt-LT"/>
        </w:rPr>
        <w:t>a</w:t>
      </w:r>
      <w:r w:rsidR="00682D5C" w:rsidRPr="00982E04">
        <w:rPr>
          <w:sz w:val="26"/>
          <w:szCs w:val="26"/>
          <w:lang w:val="lt-LT"/>
        </w:rPr>
        <w:t xml:space="preserve"> </w:t>
      </w:r>
      <w:r w:rsidR="00327FF5" w:rsidRPr="00982E04">
        <w:rPr>
          <w:sz w:val="26"/>
          <w:szCs w:val="26"/>
          <w:lang w:val="lt-LT"/>
        </w:rPr>
        <w:t>2006/43/EB</w:t>
      </w:r>
      <w:r w:rsidR="00C90FD3" w:rsidRPr="00982E04">
        <w:rPr>
          <w:rStyle w:val="FootnoteReference"/>
          <w:sz w:val="26"/>
          <w:szCs w:val="26"/>
          <w:lang w:val="lt-LT"/>
        </w:rPr>
        <w:footnoteReference w:id="13"/>
      </w:r>
      <w:r w:rsidR="00327FF5" w:rsidRPr="00982E04">
        <w:rPr>
          <w:sz w:val="26"/>
          <w:szCs w:val="26"/>
          <w:lang w:val="lt-LT"/>
        </w:rPr>
        <w:t xml:space="preserve"> </w:t>
      </w:r>
      <w:r w:rsidR="0079655C" w:rsidRPr="00982E04">
        <w:rPr>
          <w:sz w:val="26"/>
          <w:szCs w:val="26"/>
          <w:lang w:val="lt-LT"/>
        </w:rPr>
        <w:t xml:space="preserve">numato, kad </w:t>
      </w:r>
      <w:r w:rsidR="00682D5C" w:rsidRPr="00982E04">
        <w:rPr>
          <w:sz w:val="26"/>
          <w:szCs w:val="26"/>
          <w:lang w:val="lt-LT"/>
        </w:rPr>
        <w:t>valstybėse narėse turi būti įdiegtos kokybės užtikrinimo ir viešosios priežiūros sistemos</w:t>
      </w:r>
      <w:r w:rsidR="0079655C" w:rsidRPr="00982E04">
        <w:rPr>
          <w:sz w:val="26"/>
          <w:szCs w:val="26"/>
          <w:lang w:val="lt-LT"/>
        </w:rPr>
        <w:t xml:space="preserve">, ir pripažįsta, kad </w:t>
      </w:r>
      <w:r w:rsidR="00522BA3" w:rsidRPr="00982E04">
        <w:rPr>
          <w:sz w:val="26"/>
          <w:szCs w:val="26"/>
          <w:lang w:val="lt-LT"/>
        </w:rPr>
        <w:t>r</w:t>
      </w:r>
      <w:r w:rsidR="00522BA3" w:rsidRPr="00982E04">
        <w:rPr>
          <w:sz w:val="26"/>
          <w:szCs w:val="26"/>
          <w:lang w:val="lt-LT" w:eastAsia="en-US"/>
        </w:rPr>
        <w:t>eguliarūs auditorių/audito įmonių tikrinimai</w:t>
      </w:r>
      <w:r w:rsidR="0031436B" w:rsidRPr="00982E04">
        <w:rPr>
          <w:sz w:val="26"/>
          <w:szCs w:val="26"/>
          <w:lang w:val="lt-LT" w:eastAsia="en-US"/>
        </w:rPr>
        <w:t>,</w:t>
      </w:r>
      <w:r w:rsidR="00522BA3" w:rsidRPr="00982E04">
        <w:rPr>
          <w:sz w:val="26"/>
          <w:szCs w:val="26"/>
          <w:lang w:val="lt-LT" w:eastAsia="en-US"/>
        </w:rPr>
        <w:t xml:space="preserve"> </w:t>
      </w:r>
      <w:r w:rsidR="00522BA3" w:rsidRPr="00982E04">
        <w:rPr>
          <w:sz w:val="26"/>
          <w:szCs w:val="26"/>
          <w:lang w:val="lt-LT"/>
        </w:rPr>
        <w:t xml:space="preserve">nors ir atliekami </w:t>
      </w:r>
      <w:r w:rsidR="0031436B" w:rsidRPr="00982E04">
        <w:rPr>
          <w:sz w:val="26"/>
          <w:szCs w:val="26"/>
          <w:lang w:val="lt-LT"/>
        </w:rPr>
        <w:t xml:space="preserve">užbaigus </w:t>
      </w:r>
      <w:r w:rsidR="00522BA3" w:rsidRPr="00982E04">
        <w:rPr>
          <w:sz w:val="26"/>
          <w:szCs w:val="26"/>
          <w:lang w:val="lt-LT"/>
        </w:rPr>
        <w:t>audit</w:t>
      </w:r>
      <w:r w:rsidR="0031436B" w:rsidRPr="00982E04">
        <w:rPr>
          <w:sz w:val="26"/>
          <w:szCs w:val="26"/>
          <w:lang w:val="lt-LT"/>
        </w:rPr>
        <w:t xml:space="preserve">ą, </w:t>
      </w:r>
      <w:r w:rsidR="006A2805" w:rsidRPr="00982E04">
        <w:rPr>
          <w:sz w:val="26"/>
          <w:szCs w:val="26"/>
          <w:lang w:val="lt-LT"/>
        </w:rPr>
        <w:t xml:space="preserve">yra </w:t>
      </w:r>
      <w:r w:rsidR="003E67B3" w:rsidRPr="00982E04">
        <w:rPr>
          <w:sz w:val="26"/>
          <w:szCs w:val="26"/>
          <w:lang w:val="lt-LT" w:eastAsia="en-US"/>
        </w:rPr>
        <w:t>tinkama priemonė gerinti audito kokybę.</w:t>
      </w:r>
      <w:r w:rsidR="00D5789C" w:rsidRPr="00982E04">
        <w:rPr>
          <w:sz w:val="26"/>
          <w:szCs w:val="26"/>
          <w:lang w:val="lt-LT" w:eastAsia="en-US"/>
        </w:rPr>
        <w:t xml:space="preserve"> </w:t>
      </w:r>
    </w:p>
    <w:p w:rsidR="005E396E" w:rsidRPr="00982E04" w:rsidRDefault="00E576EA" w:rsidP="005E396E">
      <w:pPr>
        <w:spacing w:line="360" w:lineRule="auto"/>
        <w:ind w:firstLine="720"/>
        <w:jc w:val="both"/>
        <w:rPr>
          <w:sz w:val="26"/>
          <w:szCs w:val="26"/>
          <w:lang w:val="lt-LT"/>
        </w:rPr>
      </w:pPr>
      <w:r w:rsidRPr="00982E04">
        <w:rPr>
          <w:sz w:val="26"/>
          <w:szCs w:val="26"/>
          <w:lang w:val="lt-LT"/>
        </w:rPr>
        <w:t xml:space="preserve">Atsižvelgiant į </w:t>
      </w:r>
      <w:r w:rsidR="00546176" w:rsidRPr="00982E04">
        <w:rPr>
          <w:sz w:val="26"/>
          <w:szCs w:val="26"/>
          <w:lang w:val="lt-LT"/>
        </w:rPr>
        <w:t xml:space="preserve">išskirtas </w:t>
      </w:r>
      <w:r w:rsidRPr="00982E04">
        <w:rPr>
          <w:sz w:val="26"/>
          <w:szCs w:val="26"/>
          <w:lang w:val="lt-LT"/>
        </w:rPr>
        <w:t>aptikimo riziką lemiančias sąlygas</w:t>
      </w:r>
      <w:r w:rsidR="00546176" w:rsidRPr="00982E04">
        <w:rPr>
          <w:sz w:val="26"/>
          <w:szCs w:val="26"/>
          <w:lang w:val="lt-LT"/>
        </w:rPr>
        <w:t>, d</w:t>
      </w:r>
      <w:r w:rsidRPr="00982E04">
        <w:rPr>
          <w:sz w:val="26"/>
          <w:szCs w:val="26"/>
          <w:lang w:val="lt-LT"/>
        </w:rPr>
        <w:t xml:space="preserve">arbo autorės nuomone, </w:t>
      </w:r>
      <w:r w:rsidR="005E396E" w:rsidRPr="00982E04">
        <w:rPr>
          <w:sz w:val="26"/>
          <w:szCs w:val="26"/>
          <w:lang w:val="lt-LT"/>
        </w:rPr>
        <w:t xml:space="preserve">aptikimo riziką </w:t>
      </w:r>
      <w:r w:rsidR="00546176" w:rsidRPr="00982E04">
        <w:rPr>
          <w:sz w:val="26"/>
          <w:szCs w:val="26"/>
          <w:lang w:val="lt-LT"/>
        </w:rPr>
        <w:t xml:space="preserve">tikslinga </w:t>
      </w:r>
      <w:r w:rsidR="005E396E" w:rsidRPr="00982E04">
        <w:rPr>
          <w:sz w:val="26"/>
          <w:szCs w:val="26"/>
          <w:lang w:val="lt-LT"/>
        </w:rPr>
        <w:t xml:space="preserve">klasifikuoti pagal: 1) </w:t>
      </w:r>
      <w:r w:rsidR="005E396E" w:rsidRPr="00982E04">
        <w:rPr>
          <w:i/>
          <w:sz w:val="26"/>
          <w:szCs w:val="26"/>
          <w:lang w:val="lt-LT"/>
        </w:rPr>
        <w:t>atrankos taikymą</w:t>
      </w:r>
      <w:r w:rsidR="005E396E" w:rsidRPr="00982E04">
        <w:rPr>
          <w:sz w:val="26"/>
          <w:szCs w:val="26"/>
          <w:lang w:val="lt-LT"/>
        </w:rPr>
        <w:t xml:space="preserve">: atrankos rizika; 2) </w:t>
      </w:r>
      <w:r w:rsidR="005E396E" w:rsidRPr="00982E04">
        <w:rPr>
          <w:i/>
          <w:sz w:val="26"/>
          <w:szCs w:val="26"/>
          <w:lang w:val="lt-LT"/>
        </w:rPr>
        <w:t>audito procedūrų pobūdį</w:t>
      </w:r>
      <w:r w:rsidR="005E396E" w:rsidRPr="00982E04">
        <w:rPr>
          <w:sz w:val="26"/>
          <w:szCs w:val="26"/>
          <w:lang w:val="lt-LT"/>
        </w:rPr>
        <w:t xml:space="preserve">: </w:t>
      </w:r>
      <w:r w:rsidR="00174CAF" w:rsidRPr="00982E04">
        <w:rPr>
          <w:sz w:val="26"/>
          <w:szCs w:val="26"/>
          <w:lang w:val="lt-LT"/>
        </w:rPr>
        <w:t xml:space="preserve">audito procedūrų – </w:t>
      </w:r>
      <w:r w:rsidR="005E396E" w:rsidRPr="00982E04">
        <w:rPr>
          <w:sz w:val="26"/>
          <w:szCs w:val="26"/>
          <w:lang w:val="lt-LT"/>
        </w:rPr>
        <w:t xml:space="preserve">kontrolės testų ir detalių procedūrų (detalių testų, analitinių procedūrų) </w:t>
      </w:r>
      <w:r w:rsidR="00174CAF" w:rsidRPr="00982E04">
        <w:rPr>
          <w:sz w:val="26"/>
          <w:szCs w:val="26"/>
          <w:lang w:val="lt-LT"/>
        </w:rPr>
        <w:t xml:space="preserve">– </w:t>
      </w:r>
      <w:r w:rsidR="005E396E" w:rsidRPr="00982E04">
        <w:rPr>
          <w:sz w:val="26"/>
          <w:szCs w:val="26"/>
          <w:lang w:val="lt-LT"/>
        </w:rPr>
        <w:t>rizik</w:t>
      </w:r>
      <w:r w:rsidR="007E4003" w:rsidRPr="00982E04">
        <w:rPr>
          <w:sz w:val="26"/>
          <w:szCs w:val="26"/>
          <w:lang w:val="lt-LT"/>
        </w:rPr>
        <w:t>a</w:t>
      </w:r>
      <w:r w:rsidR="00546176" w:rsidRPr="00982E04">
        <w:rPr>
          <w:sz w:val="26"/>
          <w:szCs w:val="26"/>
          <w:lang w:val="lt-LT"/>
        </w:rPr>
        <w:t xml:space="preserve">; 3) </w:t>
      </w:r>
      <w:r w:rsidR="00546176" w:rsidRPr="00982E04">
        <w:rPr>
          <w:i/>
          <w:sz w:val="26"/>
          <w:szCs w:val="26"/>
          <w:lang w:val="lt-LT"/>
        </w:rPr>
        <w:t>profesines</w:t>
      </w:r>
      <w:r w:rsidR="000D0DEE" w:rsidRPr="00982E04">
        <w:rPr>
          <w:i/>
          <w:sz w:val="26"/>
          <w:szCs w:val="26"/>
          <w:lang w:val="lt-LT"/>
        </w:rPr>
        <w:t xml:space="preserve"> priežastis</w:t>
      </w:r>
      <w:r w:rsidR="00017958" w:rsidRPr="00982E04">
        <w:rPr>
          <w:sz w:val="26"/>
          <w:szCs w:val="26"/>
          <w:lang w:val="lt-LT"/>
        </w:rPr>
        <w:t>, t. y. profesinė rizika</w:t>
      </w:r>
      <w:r w:rsidR="00174CAF" w:rsidRPr="00982E04">
        <w:rPr>
          <w:sz w:val="26"/>
          <w:szCs w:val="26"/>
          <w:lang w:val="lt-LT"/>
        </w:rPr>
        <w:t>, kuri kyla dėl auditoriaus savybių – patirties, kvalifikacijos, ir pagrindinių audito koncepcijų netobulumo ar tinkamo nesilaikymo</w:t>
      </w:r>
      <w:r w:rsidR="005E396E" w:rsidRPr="00982E04">
        <w:rPr>
          <w:sz w:val="26"/>
          <w:szCs w:val="26"/>
          <w:lang w:val="lt-LT"/>
        </w:rPr>
        <w:t xml:space="preserve">. </w:t>
      </w:r>
    </w:p>
    <w:p w:rsidR="005E396E" w:rsidRPr="00982E04" w:rsidRDefault="005E396E" w:rsidP="005E396E">
      <w:pPr>
        <w:spacing w:line="360" w:lineRule="auto"/>
        <w:ind w:firstLine="720"/>
        <w:jc w:val="both"/>
        <w:rPr>
          <w:sz w:val="26"/>
          <w:szCs w:val="26"/>
          <w:lang w:val="lt-LT"/>
        </w:rPr>
      </w:pPr>
      <w:r w:rsidRPr="00982E04">
        <w:rPr>
          <w:sz w:val="26"/>
          <w:szCs w:val="26"/>
          <w:lang w:val="lt-LT"/>
        </w:rPr>
        <w:t xml:space="preserve">Aptikimo rizikos skirstymas pagal atrankos taikymą, atskleidžia ar rizika kyla dėl to, kad auditoriaus išvados padarytos remiantis atrankos duomenimis, gali skirtis nuo išvadų, jei tos pačios audito procedūros būtų buvę taikytos visumai, ar dėl to, kad ją lemia su atrankos dydžiu nesusiję veiksniai (ne atrankos rizika). </w:t>
      </w:r>
      <w:r w:rsidR="00AB1565" w:rsidRPr="00982E04">
        <w:rPr>
          <w:sz w:val="26"/>
          <w:szCs w:val="26"/>
          <w:lang w:val="lt-LT"/>
        </w:rPr>
        <w:t>Svarbu tai, kad a</w:t>
      </w:r>
      <w:r w:rsidR="00980009" w:rsidRPr="00982E04">
        <w:rPr>
          <w:sz w:val="26"/>
          <w:szCs w:val="26"/>
          <w:lang w:val="lt-LT"/>
        </w:rPr>
        <w:t>trankos rizik</w:t>
      </w:r>
      <w:r w:rsidR="00F47572" w:rsidRPr="00982E04">
        <w:rPr>
          <w:sz w:val="26"/>
          <w:szCs w:val="26"/>
          <w:lang w:val="lt-LT"/>
        </w:rPr>
        <w:t>a</w:t>
      </w:r>
      <w:r w:rsidR="00AB1565" w:rsidRPr="00982E04">
        <w:rPr>
          <w:sz w:val="26"/>
          <w:szCs w:val="26"/>
          <w:lang w:val="lt-LT"/>
        </w:rPr>
        <w:t xml:space="preserve"> </w:t>
      </w:r>
      <w:r w:rsidR="00A248B4" w:rsidRPr="00982E04">
        <w:rPr>
          <w:sz w:val="26"/>
          <w:szCs w:val="26"/>
          <w:lang w:val="lt-LT"/>
        </w:rPr>
        <w:t xml:space="preserve">tiek kontrolės testų, tiek </w:t>
      </w:r>
      <w:r w:rsidR="00A248B4" w:rsidRPr="00982E04">
        <w:rPr>
          <w:sz w:val="26"/>
          <w:szCs w:val="26"/>
          <w:lang w:val="lt-LT"/>
        </w:rPr>
        <w:lastRenderedPageBreak/>
        <w:t xml:space="preserve">detalių testų atveju gali būti nesunkiai </w:t>
      </w:r>
      <w:r w:rsidR="00F47572" w:rsidRPr="00982E04">
        <w:rPr>
          <w:sz w:val="26"/>
          <w:szCs w:val="26"/>
          <w:lang w:val="lt-LT"/>
        </w:rPr>
        <w:t>nustat</w:t>
      </w:r>
      <w:r w:rsidR="00AB1565" w:rsidRPr="00982E04">
        <w:rPr>
          <w:sz w:val="26"/>
          <w:szCs w:val="26"/>
          <w:lang w:val="lt-LT"/>
        </w:rPr>
        <w:t>oma</w:t>
      </w:r>
      <w:r w:rsidR="00980009" w:rsidRPr="00982E04">
        <w:rPr>
          <w:sz w:val="26"/>
          <w:szCs w:val="26"/>
          <w:lang w:val="lt-LT"/>
        </w:rPr>
        <w:t xml:space="preserve"> </w:t>
      </w:r>
      <w:r w:rsidR="00A248B4" w:rsidRPr="00982E04">
        <w:rPr>
          <w:sz w:val="26"/>
          <w:szCs w:val="26"/>
          <w:lang w:val="lt-LT"/>
        </w:rPr>
        <w:t xml:space="preserve">pagal formulę, kuri remiasi statistiškai pagrįstu patikimumo faktoriumi </w:t>
      </w:r>
      <w:r w:rsidR="00F47572" w:rsidRPr="00982E04">
        <w:rPr>
          <w:sz w:val="26"/>
          <w:szCs w:val="26"/>
          <w:lang w:val="lt-LT"/>
        </w:rPr>
        <w:t>(Kabašinskas, Toliatienė, 1997, p.</w:t>
      </w:r>
      <w:r w:rsidR="00982E04">
        <w:rPr>
          <w:sz w:val="26"/>
          <w:szCs w:val="26"/>
          <w:lang w:val="lt-LT"/>
        </w:rPr>
        <w:t> </w:t>
      </w:r>
      <w:r w:rsidR="00F47572" w:rsidRPr="00982E04">
        <w:rPr>
          <w:sz w:val="26"/>
          <w:szCs w:val="26"/>
          <w:lang w:val="lt-LT"/>
        </w:rPr>
        <w:t>187; Kneckel, 2007, p. 707, 717</w:t>
      </w:r>
      <w:r w:rsidR="00A248B4" w:rsidRPr="00982E04">
        <w:rPr>
          <w:sz w:val="26"/>
          <w:szCs w:val="26"/>
          <w:lang w:val="lt-LT"/>
        </w:rPr>
        <w:t>)</w:t>
      </w:r>
      <w:r w:rsidR="00980009" w:rsidRPr="00982E04">
        <w:rPr>
          <w:sz w:val="26"/>
          <w:szCs w:val="26"/>
          <w:lang w:val="lt-LT"/>
        </w:rPr>
        <w:t xml:space="preserve">. </w:t>
      </w:r>
      <w:r w:rsidR="009E2829">
        <w:rPr>
          <w:sz w:val="26"/>
          <w:szCs w:val="26"/>
          <w:lang w:val="lt-LT"/>
        </w:rPr>
        <w:t xml:space="preserve">Tuo tarpu </w:t>
      </w:r>
      <w:r w:rsidR="009E2829" w:rsidRPr="00982E04">
        <w:rPr>
          <w:sz w:val="26"/>
          <w:szCs w:val="26"/>
          <w:lang w:val="lt-LT"/>
        </w:rPr>
        <w:t>ne atrankos rizika</w:t>
      </w:r>
      <w:r w:rsidR="009E2829">
        <w:rPr>
          <w:sz w:val="26"/>
          <w:szCs w:val="26"/>
          <w:lang w:val="lt-LT"/>
        </w:rPr>
        <w:t xml:space="preserve"> – </w:t>
      </w:r>
      <w:r w:rsidRPr="00982E04">
        <w:rPr>
          <w:sz w:val="26"/>
          <w:szCs w:val="26"/>
          <w:lang w:val="lt-LT"/>
        </w:rPr>
        <w:t>svarbiausias aptikimo rizikos šaltinis</w:t>
      </w:r>
      <w:r w:rsidR="009E2829">
        <w:rPr>
          <w:sz w:val="26"/>
          <w:szCs w:val="26"/>
          <w:lang w:val="lt-LT"/>
        </w:rPr>
        <w:t>. S</w:t>
      </w:r>
      <w:r w:rsidRPr="00982E04">
        <w:rPr>
          <w:sz w:val="26"/>
          <w:szCs w:val="26"/>
          <w:lang w:val="lt-LT"/>
        </w:rPr>
        <w:t xml:space="preserve">iekiant </w:t>
      </w:r>
      <w:r w:rsidR="002F372E" w:rsidRPr="00982E04">
        <w:rPr>
          <w:sz w:val="26"/>
          <w:szCs w:val="26"/>
          <w:lang w:val="lt-LT"/>
        </w:rPr>
        <w:t xml:space="preserve">jos </w:t>
      </w:r>
      <w:r w:rsidRPr="00982E04">
        <w:rPr>
          <w:sz w:val="26"/>
          <w:szCs w:val="26"/>
          <w:lang w:val="lt-LT"/>
        </w:rPr>
        <w:t>išvengti</w:t>
      </w:r>
      <w:r w:rsidR="009E2829">
        <w:rPr>
          <w:sz w:val="26"/>
          <w:szCs w:val="26"/>
          <w:lang w:val="lt-LT"/>
        </w:rPr>
        <w:t>,</w:t>
      </w:r>
      <w:r w:rsidR="009E2829" w:rsidRPr="009E2829">
        <w:rPr>
          <w:sz w:val="26"/>
          <w:szCs w:val="26"/>
        </w:rPr>
        <w:t xml:space="preserve"> </w:t>
      </w:r>
      <w:r w:rsidR="009E2829" w:rsidRPr="00982E04">
        <w:rPr>
          <w:sz w:val="26"/>
          <w:szCs w:val="26"/>
        </w:rPr>
        <w:t>T. B. Bell, M.</w:t>
      </w:r>
      <w:r w:rsidR="009E2829">
        <w:rPr>
          <w:sz w:val="26"/>
          <w:szCs w:val="26"/>
        </w:rPr>
        <w:t> </w:t>
      </w:r>
      <w:r w:rsidR="009E2829" w:rsidRPr="00982E04">
        <w:rPr>
          <w:sz w:val="26"/>
          <w:szCs w:val="26"/>
        </w:rPr>
        <w:t>E.</w:t>
      </w:r>
      <w:r w:rsidR="009E2829">
        <w:rPr>
          <w:sz w:val="26"/>
          <w:szCs w:val="26"/>
        </w:rPr>
        <w:t> </w:t>
      </w:r>
      <w:r w:rsidR="009E2829" w:rsidRPr="00982E04">
        <w:rPr>
          <w:sz w:val="26"/>
          <w:szCs w:val="26"/>
        </w:rPr>
        <w:t xml:space="preserve">Peecher, I. Solomon (2005) </w:t>
      </w:r>
      <w:r w:rsidR="009E2829" w:rsidRPr="00982E04">
        <w:rPr>
          <w:sz w:val="26"/>
          <w:szCs w:val="26"/>
          <w:lang w:val="lt-LT"/>
        </w:rPr>
        <w:t>nuomone</w:t>
      </w:r>
      <w:r w:rsidR="009E2829">
        <w:rPr>
          <w:sz w:val="26"/>
          <w:szCs w:val="26"/>
          <w:lang w:val="lt-LT"/>
        </w:rPr>
        <w:t>,</w:t>
      </w:r>
      <w:r w:rsidRPr="00982E04">
        <w:rPr>
          <w:sz w:val="26"/>
          <w:szCs w:val="26"/>
          <w:lang w:val="lt-LT"/>
        </w:rPr>
        <w:t xml:space="preserve"> svarbu surinkti audito įrodymus iš visų trijų principinių šaltinių</w:t>
      </w:r>
      <w:r w:rsidRPr="00982E04">
        <w:rPr>
          <w:rStyle w:val="FootnoteReference"/>
          <w:sz w:val="26"/>
          <w:szCs w:val="26"/>
          <w:lang w:val="lt-LT"/>
        </w:rPr>
        <w:footnoteReference w:id="14"/>
      </w:r>
      <w:r w:rsidRPr="00982E04">
        <w:rPr>
          <w:i/>
          <w:sz w:val="26"/>
          <w:szCs w:val="26"/>
          <w:lang w:val="lt-LT"/>
        </w:rPr>
        <w:t xml:space="preserve">: įmonės verslo aplinkos, vadovybės informacijos tarpininkų, vadovybės verslo pareiškimų. </w:t>
      </w:r>
      <w:r w:rsidRPr="00982E04">
        <w:rPr>
          <w:sz w:val="26"/>
          <w:szCs w:val="26"/>
          <w:lang w:val="lt-LT"/>
        </w:rPr>
        <w:t xml:space="preserve">Kitas aptikimo rizikos skirstymas pagal audito procedūrų pobūdį, darbo autorės nuomone, </w:t>
      </w:r>
      <w:r w:rsidR="00F576B9">
        <w:rPr>
          <w:sz w:val="26"/>
          <w:szCs w:val="26"/>
          <w:lang w:val="lt-LT"/>
        </w:rPr>
        <w:t>svarbus tuo, kad būtų atskleidžiama</w:t>
      </w:r>
      <w:r w:rsidRPr="00982E04">
        <w:rPr>
          <w:sz w:val="26"/>
          <w:szCs w:val="26"/>
          <w:lang w:val="lt-LT"/>
        </w:rPr>
        <w:t xml:space="preserve"> skirtingų audito procedūrų įtak</w:t>
      </w:r>
      <w:r w:rsidR="00F576B9">
        <w:rPr>
          <w:sz w:val="26"/>
          <w:szCs w:val="26"/>
          <w:lang w:val="lt-LT"/>
        </w:rPr>
        <w:t>a (surinktų audito įrodymų patikimumas)</w:t>
      </w:r>
      <w:r w:rsidRPr="00982E04">
        <w:rPr>
          <w:sz w:val="26"/>
          <w:szCs w:val="26"/>
          <w:lang w:val="lt-LT"/>
        </w:rPr>
        <w:t xml:space="preserve"> aptikimo rizikai.</w:t>
      </w:r>
    </w:p>
    <w:p w:rsidR="00694ED9" w:rsidRDefault="000458CE" w:rsidP="00CD254B">
      <w:pPr>
        <w:spacing w:line="360" w:lineRule="auto"/>
        <w:ind w:firstLine="709"/>
        <w:jc w:val="both"/>
        <w:rPr>
          <w:sz w:val="26"/>
          <w:szCs w:val="26"/>
          <w:lang w:val="lt-LT"/>
        </w:rPr>
      </w:pPr>
      <w:r w:rsidRPr="00982E04">
        <w:rPr>
          <w:sz w:val="26"/>
          <w:szCs w:val="26"/>
          <w:lang w:val="lt-LT"/>
        </w:rPr>
        <w:t xml:space="preserve">Žinant, kad auditorius visada turi siekti </w:t>
      </w:r>
      <w:r w:rsidR="00C8048D" w:rsidRPr="00982E04">
        <w:rPr>
          <w:sz w:val="26"/>
          <w:szCs w:val="26"/>
          <w:lang w:val="lt-LT"/>
        </w:rPr>
        <w:t>priimtin</w:t>
      </w:r>
      <w:r w:rsidR="00CB4B65" w:rsidRPr="00982E04">
        <w:rPr>
          <w:sz w:val="26"/>
          <w:szCs w:val="26"/>
          <w:lang w:val="lt-LT"/>
        </w:rPr>
        <w:t>ai žem</w:t>
      </w:r>
      <w:r w:rsidR="00C8048D" w:rsidRPr="00982E04">
        <w:rPr>
          <w:sz w:val="26"/>
          <w:szCs w:val="26"/>
          <w:lang w:val="lt-LT"/>
        </w:rPr>
        <w:t xml:space="preserve">o </w:t>
      </w:r>
      <w:r w:rsidRPr="00982E04">
        <w:rPr>
          <w:sz w:val="26"/>
          <w:szCs w:val="26"/>
          <w:lang w:val="lt-LT"/>
        </w:rPr>
        <w:t>audito rizik</w:t>
      </w:r>
      <w:r w:rsidR="00C8048D" w:rsidRPr="00982E04">
        <w:rPr>
          <w:sz w:val="26"/>
          <w:szCs w:val="26"/>
          <w:lang w:val="lt-LT"/>
        </w:rPr>
        <w:t>os lygio</w:t>
      </w:r>
      <w:r w:rsidRPr="00982E04">
        <w:rPr>
          <w:sz w:val="26"/>
          <w:szCs w:val="26"/>
          <w:lang w:val="lt-LT"/>
        </w:rPr>
        <w:t xml:space="preserve">, tai jis gali padaryti tik sumažinus kiekvieną arba bent vieną iš </w:t>
      </w:r>
      <w:r w:rsidR="00C8048D" w:rsidRPr="00982E04">
        <w:rPr>
          <w:sz w:val="26"/>
          <w:szCs w:val="26"/>
          <w:lang w:val="lt-LT"/>
        </w:rPr>
        <w:t xml:space="preserve">audito rizikos </w:t>
      </w:r>
      <w:r w:rsidRPr="00982E04">
        <w:rPr>
          <w:sz w:val="26"/>
          <w:szCs w:val="26"/>
          <w:lang w:val="lt-LT"/>
        </w:rPr>
        <w:t xml:space="preserve">komponentų. </w:t>
      </w:r>
      <w:r w:rsidR="001F039F" w:rsidRPr="00982E04">
        <w:rPr>
          <w:sz w:val="26"/>
          <w:szCs w:val="26"/>
          <w:lang w:val="lt-LT"/>
        </w:rPr>
        <w:t>T</w:t>
      </w:r>
      <w:r w:rsidR="00202A99">
        <w:rPr>
          <w:sz w:val="26"/>
          <w:szCs w:val="26"/>
          <w:lang w:val="lt-LT"/>
        </w:rPr>
        <w:t>odėl</w:t>
      </w:r>
      <w:r w:rsidR="001F039F" w:rsidRPr="00982E04">
        <w:rPr>
          <w:sz w:val="26"/>
          <w:szCs w:val="26"/>
          <w:lang w:val="lt-LT"/>
        </w:rPr>
        <w:t xml:space="preserve"> </w:t>
      </w:r>
      <w:r w:rsidR="00C8048D" w:rsidRPr="00982E04">
        <w:rPr>
          <w:sz w:val="26"/>
          <w:szCs w:val="26"/>
          <w:lang w:val="lt-LT"/>
        </w:rPr>
        <w:t>reikšmingo iškraipymo rizik</w:t>
      </w:r>
      <w:r w:rsidR="00490B2A" w:rsidRPr="00982E04">
        <w:rPr>
          <w:sz w:val="26"/>
          <w:szCs w:val="26"/>
          <w:lang w:val="lt-LT"/>
        </w:rPr>
        <w:t>os</w:t>
      </w:r>
      <w:r w:rsidR="00C8048D" w:rsidRPr="00982E04">
        <w:rPr>
          <w:sz w:val="26"/>
          <w:szCs w:val="26"/>
          <w:lang w:val="lt-LT"/>
        </w:rPr>
        <w:t xml:space="preserve"> </w:t>
      </w:r>
      <w:r w:rsidR="00B80A35" w:rsidRPr="00982E04">
        <w:rPr>
          <w:sz w:val="26"/>
          <w:szCs w:val="26"/>
          <w:lang w:val="lt-LT"/>
        </w:rPr>
        <w:t xml:space="preserve">(įgimtos ir kontrolės rizikų) </w:t>
      </w:r>
      <w:r w:rsidRPr="00982E04">
        <w:rPr>
          <w:sz w:val="26"/>
          <w:szCs w:val="26"/>
          <w:lang w:val="lt-LT"/>
        </w:rPr>
        <w:t>vertinim</w:t>
      </w:r>
      <w:r w:rsidR="001F039F" w:rsidRPr="00982E04">
        <w:rPr>
          <w:sz w:val="26"/>
          <w:szCs w:val="26"/>
          <w:lang w:val="lt-LT"/>
        </w:rPr>
        <w:t>as</w:t>
      </w:r>
      <w:r w:rsidRPr="00982E04">
        <w:rPr>
          <w:sz w:val="26"/>
          <w:szCs w:val="26"/>
          <w:lang w:val="lt-LT"/>
        </w:rPr>
        <w:t xml:space="preserve"> </w:t>
      </w:r>
      <w:r w:rsidR="001F039F" w:rsidRPr="00982E04">
        <w:rPr>
          <w:sz w:val="26"/>
          <w:szCs w:val="26"/>
          <w:lang w:val="lt-LT"/>
        </w:rPr>
        <w:t xml:space="preserve">tampa svarbus </w:t>
      </w:r>
      <w:r w:rsidRPr="00982E04">
        <w:rPr>
          <w:sz w:val="26"/>
          <w:szCs w:val="26"/>
          <w:lang w:val="lt-LT"/>
        </w:rPr>
        <w:t>aptikimo rizikos vertinimui</w:t>
      </w:r>
      <w:r w:rsidR="00684D75" w:rsidRPr="00982E04">
        <w:rPr>
          <w:sz w:val="26"/>
          <w:szCs w:val="26"/>
          <w:lang w:val="lt-LT"/>
        </w:rPr>
        <w:t xml:space="preserve"> ir į tai betarpiškai turėtų būti atsižvelgiama</w:t>
      </w:r>
      <w:r w:rsidRPr="00982E04">
        <w:rPr>
          <w:sz w:val="26"/>
          <w:szCs w:val="26"/>
          <w:lang w:val="lt-LT"/>
        </w:rPr>
        <w:t>. Jei auditorius, išanalizavęs audituojamos įmonės aplinką bei joje veikianči</w:t>
      </w:r>
      <w:r w:rsidR="00C8048D" w:rsidRPr="00982E04">
        <w:rPr>
          <w:sz w:val="26"/>
          <w:szCs w:val="26"/>
          <w:lang w:val="lt-LT"/>
        </w:rPr>
        <w:t xml:space="preserve">ą </w:t>
      </w:r>
      <w:r w:rsidRPr="00982E04">
        <w:rPr>
          <w:sz w:val="26"/>
          <w:szCs w:val="26"/>
          <w:lang w:val="lt-LT"/>
        </w:rPr>
        <w:t>vidaus kontrolės sistem</w:t>
      </w:r>
      <w:r w:rsidR="00C8048D" w:rsidRPr="00982E04">
        <w:rPr>
          <w:sz w:val="26"/>
          <w:szCs w:val="26"/>
          <w:lang w:val="lt-LT"/>
        </w:rPr>
        <w:t>ą</w:t>
      </w:r>
      <w:r w:rsidRPr="00982E04">
        <w:rPr>
          <w:sz w:val="26"/>
          <w:szCs w:val="26"/>
          <w:lang w:val="lt-LT"/>
        </w:rPr>
        <w:t xml:space="preserve">, patvirtina didelę </w:t>
      </w:r>
      <w:r w:rsidR="00C65B48" w:rsidRPr="00982E04">
        <w:rPr>
          <w:sz w:val="26"/>
          <w:szCs w:val="26"/>
          <w:lang w:val="lt-LT"/>
        </w:rPr>
        <w:t xml:space="preserve">reikšmingo iškraipymo </w:t>
      </w:r>
      <w:r w:rsidRPr="00982E04">
        <w:rPr>
          <w:sz w:val="26"/>
          <w:szCs w:val="26"/>
          <w:lang w:val="lt-LT"/>
        </w:rPr>
        <w:t xml:space="preserve">riziką, tai jis yra priverstas </w:t>
      </w:r>
      <w:r w:rsidR="00C8048D" w:rsidRPr="00982E04">
        <w:rPr>
          <w:sz w:val="26"/>
          <w:szCs w:val="26"/>
          <w:lang w:val="lt-LT"/>
        </w:rPr>
        <w:t xml:space="preserve">pasiekti </w:t>
      </w:r>
      <w:r w:rsidRPr="00982E04">
        <w:rPr>
          <w:sz w:val="26"/>
          <w:szCs w:val="26"/>
          <w:lang w:val="lt-LT"/>
        </w:rPr>
        <w:t xml:space="preserve">priimtinai </w:t>
      </w:r>
      <w:r w:rsidR="00C8048D" w:rsidRPr="00982E04">
        <w:rPr>
          <w:sz w:val="26"/>
          <w:szCs w:val="26"/>
          <w:lang w:val="lt-LT"/>
        </w:rPr>
        <w:t>žemą a</w:t>
      </w:r>
      <w:r w:rsidRPr="00982E04">
        <w:rPr>
          <w:sz w:val="26"/>
          <w:szCs w:val="26"/>
          <w:lang w:val="lt-LT"/>
        </w:rPr>
        <w:t xml:space="preserve">ptikimo rizikos </w:t>
      </w:r>
      <w:r w:rsidR="00C8048D" w:rsidRPr="00982E04">
        <w:rPr>
          <w:sz w:val="26"/>
          <w:szCs w:val="26"/>
          <w:lang w:val="lt-LT"/>
        </w:rPr>
        <w:t>lygį</w:t>
      </w:r>
      <w:r w:rsidRPr="00982E04">
        <w:rPr>
          <w:sz w:val="26"/>
          <w:szCs w:val="26"/>
          <w:lang w:val="lt-LT"/>
        </w:rPr>
        <w:t xml:space="preserve">. O </w:t>
      </w:r>
      <w:r w:rsidR="00A97395" w:rsidRPr="00982E04">
        <w:rPr>
          <w:sz w:val="26"/>
          <w:szCs w:val="26"/>
          <w:lang w:val="lt-LT"/>
        </w:rPr>
        <w:t xml:space="preserve">tai </w:t>
      </w:r>
      <w:r w:rsidR="00C8048D" w:rsidRPr="00982E04">
        <w:rPr>
          <w:sz w:val="26"/>
          <w:szCs w:val="26"/>
          <w:lang w:val="lt-LT"/>
        </w:rPr>
        <w:t xml:space="preserve">įmanoma </w:t>
      </w:r>
      <w:r w:rsidR="005142ED" w:rsidRPr="00982E04">
        <w:rPr>
          <w:sz w:val="26"/>
          <w:szCs w:val="26"/>
          <w:lang w:val="lt-LT"/>
        </w:rPr>
        <w:t>pa</w:t>
      </w:r>
      <w:r w:rsidR="0031436B" w:rsidRPr="00982E04">
        <w:rPr>
          <w:sz w:val="26"/>
          <w:szCs w:val="26"/>
          <w:lang w:val="lt-LT"/>
        </w:rPr>
        <w:t>daryti</w:t>
      </w:r>
      <w:r w:rsidR="005142ED" w:rsidRPr="00982E04">
        <w:rPr>
          <w:sz w:val="26"/>
          <w:szCs w:val="26"/>
          <w:lang w:val="lt-LT"/>
        </w:rPr>
        <w:t xml:space="preserve"> </w:t>
      </w:r>
      <w:r w:rsidRPr="00982E04">
        <w:rPr>
          <w:sz w:val="26"/>
          <w:szCs w:val="26"/>
          <w:lang w:val="lt-LT"/>
        </w:rPr>
        <w:t>atli</w:t>
      </w:r>
      <w:r w:rsidR="001518E3" w:rsidRPr="00982E04">
        <w:rPr>
          <w:sz w:val="26"/>
          <w:szCs w:val="26"/>
          <w:lang w:val="lt-LT"/>
        </w:rPr>
        <w:t xml:space="preserve">ekant </w:t>
      </w:r>
      <w:r w:rsidR="00684D75" w:rsidRPr="00982E04">
        <w:rPr>
          <w:sz w:val="26"/>
          <w:szCs w:val="26"/>
          <w:lang w:val="lt-LT"/>
        </w:rPr>
        <w:t>audito</w:t>
      </w:r>
      <w:r w:rsidR="00A97395" w:rsidRPr="00982E04">
        <w:rPr>
          <w:sz w:val="26"/>
          <w:szCs w:val="26"/>
          <w:lang w:val="lt-LT"/>
        </w:rPr>
        <w:t xml:space="preserve"> procedūr</w:t>
      </w:r>
      <w:r w:rsidR="00C9281C" w:rsidRPr="00982E04">
        <w:rPr>
          <w:sz w:val="26"/>
          <w:szCs w:val="26"/>
          <w:lang w:val="lt-LT"/>
        </w:rPr>
        <w:t>as</w:t>
      </w:r>
      <w:r w:rsidR="00CD254B" w:rsidRPr="00982E04">
        <w:rPr>
          <w:sz w:val="26"/>
          <w:szCs w:val="26"/>
          <w:lang w:val="lt-LT"/>
        </w:rPr>
        <w:t xml:space="preserve">, kurių pobūdis, apimtis ir laikas leistų surinkti </w:t>
      </w:r>
      <w:r w:rsidR="005142ED" w:rsidRPr="00982E04">
        <w:rPr>
          <w:sz w:val="26"/>
          <w:szCs w:val="26"/>
          <w:lang w:val="lt-LT"/>
        </w:rPr>
        <w:t xml:space="preserve">tinkamus ir </w:t>
      </w:r>
      <w:r w:rsidRPr="00982E04">
        <w:rPr>
          <w:sz w:val="26"/>
          <w:szCs w:val="26"/>
          <w:lang w:val="lt-LT"/>
        </w:rPr>
        <w:t>pakankamus įrodymus apie finansin</w:t>
      </w:r>
      <w:r w:rsidR="00086923" w:rsidRPr="00982E04">
        <w:rPr>
          <w:sz w:val="26"/>
          <w:szCs w:val="26"/>
          <w:lang w:val="lt-LT"/>
        </w:rPr>
        <w:t>ių</w:t>
      </w:r>
      <w:r w:rsidRPr="00982E04">
        <w:rPr>
          <w:sz w:val="26"/>
          <w:szCs w:val="26"/>
          <w:lang w:val="lt-LT"/>
        </w:rPr>
        <w:t xml:space="preserve"> at</w:t>
      </w:r>
      <w:r w:rsidR="00086923" w:rsidRPr="00982E04">
        <w:rPr>
          <w:sz w:val="26"/>
          <w:szCs w:val="26"/>
          <w:lang w:val="lt-LT"/>
        </w:rPr>
        <w:t>a</w:t>
      </w:r>
      <w:r w:rsidRPr="00982E04">
        <w:rPr>
          <w:sz w:val="26"/>
          <w:szCs w:val="26"/>
          <w:lang w:val="lt-LT"/>
        </w:rPr>
        <w:t>skait</w:t>
      </w:r>
      <w:r w:rsidR="00086923" w:rsidRPr="00982E04">
        <w:rPr>
          <w:sz w:val="26"/>
          <w:szCs w:val="26"/>
          <w:lang w:val="lt-LT"/>
        </w:rPr>
        <w:t>ų</w:t>
      </w:r>
      <w:r w:rsidRPr="00982E04">
        <w:rPr>
          <w:sz w:val="26"/>
          <w:szCs w:val="26"/>
          <w:lang w:val="lt-LT"/>
        </w:rPr>
        <w:t xml:space="preserve"> </w:t>
      </w:r>
      <w:r w:rsidR="005142ED" w:rsidRPr="00982E04">
        <w:rPr>
          <w:sz w:val="26"/>
          <w:szCs w:val="26"/>
          <w:lang w:val="lt-LT"/>
        </w:rPr>
        <w:t>teisingumą</w:t>
      </w:r>
      <w:r w:rsidR="002032BA" w:rsidRPr="00982E04">
        <w:rPr>
          <w:sz w:val="26"/>
          <w:szCs w:val="26"/>
          <w:lang w:val="lt-LT"/>
        </w:rPr>
        <w:t xml:space="preserve"> </w:t>
      </w:r>
      <w:r w:rsidR="00CD254B" w:rsidRPr="00982E04">
        <w:rPr>
          <w:sz w:val="26"/>
          <w:szCs w:val="26"/>
          <w:lang w:val="lt-LT"/>
        </w:rPr>
        <w:t>(</w:t>
      </w:r>
      <w:r w:rsidR="002032BA" w:rsidRPr="00982E04">
        <w:rPr>
          <w:sz w:val="26"/>
          <w:szCs w:val="26"/>
          <w:lang w:val="lt-LT"/>
        </w:rPr>
        <w:t>Guy, Alderman, 1985</w:t>
      </w:r>
      <w:r w:rsidR="00CD254B" w:rsidRPr="00982E04">
        <w:rPr>
          <w:sz w:val="26"/>
          <w:szCs w:val="26"/>
          <w:lang w:val="lt-LT"/>
        </w:rPr>
        <w:t>, p. 196)</w:t>
      </w:r>
      <w:r w:rsidR="005142ED" w:rsidRPr="00982E04">
        <w:rPr>
          <w:sz w:val="26"/>
          <w:szCs w:val="26"/>
          <w:lang w:val="lt-LT"/>
        </w:rPr>
        <w:t>.</w:t>
      </w:r>
      <w:r w:rsidRPr="00982E04">
        <w:rPr>
          <w:sz w:val="26"/>
          <w:szCs w:val="26"/>
          <w:lang w:val="lt-LT"/>
        </w:rPr>
        <w:t xml:space="preserve"> </w:t>
      </w:r>
      <w:r w:rsidR="00797FAC" w:rsidRPr="00982E04">
        <w:rPr>
          <w:sz w:val="26"/>
          <w:szCs w:val="26"/>
          <w:lang w:val="lt-LT"/>
        </w:rPr>
        <w:t>J. A. Fogarty, L. Graham</w:t>
      </w:r>
      <w:r w:rsidR="00C9281C" w:rsidRPr="00982E04">
        <w:rPr>
          <w:sz w:val="26"/>
          <w:szCs w:val="26"/>
          <w:lang w:val="lt-LT"/>
        </w:rPr>
        <w:t xml:space="preserve"> ir</w:t>
      </w:r>
      <w:r w:rsidR="00797FAC" w:rsidRPr="00982E04">
        <w:rPr>
          <w:sz w:val="26"/>
          <w:szCs w:val="26"/>
          <w:lang w:val="lt-LT"/>
        </w:rPr>
        <w:t xml:space="preserve"> D. R. Schubert (2006) teigimu, reikšmingo iškraipymo rizika formuoja teorinį pradžios tašką numatant tolesnes audito procedūras</w:t>
      </w:r>
      <w:r w:rsidR="00CD254B" w:rsidRPr="00982E04">
        <w:rPr>
          <w:sz w:val="26"/>
          <w:szCs w:val="26"/>
          <w:lang w:val="lt-LT"/>
        </w:rPr>
        <w:t>, kas</w:t>
      </w:r>
      <w:r w:rsidR="00197DE0" w:rsidRPr="00982E04">
        <w:rPr>
          <w:sz w:val="26"/>
          <w:szCs w:val="26"/>
          <w:lang w:val="lt-LT"/>
        </w:rPr>
        <w:t xml:space="preserve"> atskleidžia </w:t>
      </w:r>
      <w:r w:rsidR="00197DE0" w:rsidRPr="00982E04">
        <w:rPr>
          <w:i/>
          <w:sz w:val="26"/>
          <w:szCs w:val="26"/>
          <w:lang w:val="lt-LT"/>
        </w:rPr>
        <w:t xml:space="preserve">atvirkštinio ryšio </w:t>
      </w:r>
      <w:r w:rsidR="00197DE0" w:rsidRPr="00982E04">
        <w:rPr>
          <w:sz w:val="26"/>
          <w:szCs w:val="26"/>
          <w:lang w:val="lt-LT"/>
        </w:rPr>
        <w:t xml:space="preserve">tarp aptikimo rizikos ir </w:t>
      </w:r>
      <w:r w:rsidR="00183B06" w:rsidRPr="00982E04">
        <w:rPr>
          <w:sz w:val="26"/>
          <w:szCs w:val="26"/>
          <w:lang w:val="lt-LT"/>
        </w:rPr>
        <w:t>reikšmingo iškraipymo rizikos</w:t>
      </w:r>
      <w:r w:rsidR="00B80A35" w:rsidRPr="00982E04">
        <w:rPr>
          <w:sz w:val="26"/>
          <w:szCs w:val="26"/>
          <w:lang w:val="lt-LT"/>
        </w:rPr>
        <w:t xml:space="preserve"> </w:t>
      </w:r>
      <w:r w:rsidR="00183B06" w:rsidRPr="00982E04">
        <w:rPr>
          <w:sz w:val="26"/>
          <w:szCs w:val="26"/>
          <w:lang w:val="lt-LT"/>
        </w:rPr>
        <w:t>(įgimtos ir kontrolės rizikų)</w:t>
      </w:r>
      <w:r w:rsidR="00197DE0" w:rsidRPr="00982E04">
        <w:rPr>
          <w:sz w:val="26"/>
          <w:szCs w:val="26"/>
          <w:lang w:val="lt-LT"/>
        </w:rPr>
        <w:t xml:space="preserve"> esmę: jei įgimta ir kontrolės </w:t>
      </w:r>
      <w:r w:rsidR="00183B06" w:rsidRPr="00982E04">
        <w:rPr>
          <w:sz w:val="26"/>
          <w:szCs w:val="26"/>
          <w:lang w:val="lt-LT"/>
        </w:rPr>
        <w:t xml:space="preserve">rizikos </w:t>
      </w:r>
      <w:r w:rsidR="00197DE0" w:rsidRPr="00982E04">
        <w:rPr>
          <w:sz w:val="26"/>
          <w:szCs w:val="26"/>
          <w:lang w:val="lt-LT"/>
        </w:rPr>
        <w:t>didelės, aptikimo rizika turėtų būti maža, kad audito rizika būtų sumažinta iki priimtin</w:t>
      </w:r>
      <w:r w:rsidR="00183B06" w:rsidRPr="00982E04">
        <w:rPr>
          <w:sz w:val="26"/>
          <w:szCs w:val="26"/>
          <w:lang w:val="lt-LT"/>
        </w:rPr>
        <w:t>ai žem</w:t>
      </w:r>
      <w:r w:rsidR="00CD254B" w:rsidRPr="00982E04">
        <w:rPr>
          <w:sz w:val="26"/>
          <w:szCs w:val="26"/>
          <w:lang w:val="lt-LT"/>
        </w:rPr>
        <w:t>o lygio, ir atvirkščiai</w:t>
      </w:r>
      <w:r w:rsidR="006411E9" w:rsidRPr="00982E04">
        <w:rPr>
          <w:sz w:val="26"/>
          <w:szCs w:val="26"/>
          <w:lang w:val="lt-LT"/>
        </w:rPr>
        <w:t xml:space="preserve"> (žr. </w:t>
      </w:r>
      <w:r w:rsidR="00F726AC" w:rsidRPr="00982E04">
        <w:rPr>
          <w:sz w:val="26"/>
          <w:szCs w:val="26"/>
          <w:lang w:val="lt-LT"/>
        </w:rPr>
        <w:t>8</w:t>
      </w:r>
      <w:r w:rsidR="006411E9" w:rsidRPr="00982E04">
        <w:rPr>
          <w:sz w:val="26"/>
          <w:szCs w:val="26"/>
          <w:lang w:val="lt-LT"/>
        </w:rPr>
        <w:t xml:space="preserve"> pav.)</w:t>
      </w:r>
      <w:r w:rsidR="00197DE0" w:rsidRPr="00982E04">
        <w:rPr>
          <w:sz w:val="26"/>
          <w:szCs w:val="26"/>
          <w:lang w:val="lt-LT"/>
        </w:rPr>
        <w:t xml:space="preserve">. </w:t>
      </w:r>
      <w:r w:rsidR="00CD254B" w:rsidRPr="00982E04">
        <w:rPr>
          <w:sz w:val="26"/>
          <w:szCs w:val="26"/>
          <w:lang w:val="lt-LT"/>
        </w:rPr>
        <w:t>T</w:t>
      </w:r>
      <w:r w:rsidR="003B5FAF" w:rsidRPr="00982E04">
        <w:rPr>
          <w:sz w:val="26"/>
          <w:szCs w:val="26"/>
          <w:lang w:val="lt-LT"/>
        </w:rPr>
        <w:t>eoriškai, auditorius gal</w:t>
      </w:r>
      <w:r w:rsidR="00BB2338" w:rsidRPr="00982E04">
        <w:rPr>
          <w:sz w:val="26"/>
          <w:szCs w:val="26"/>
          <w:lang w:val="lt-LT"/>
        </w:rPr>
        <w:t>ėtų</w:t>
      </w:r>
      <w:r w:rsidR="003B5FAF" w:rsidRPr="00982E04">
        <w:rPr>
          <w:sz w:val="26"/>
          <w:szCs w:val="26"/>
          <w:lang w:val="lt-LT"/>
        </w:rPr>
        <w:t xml:space="preserve"> </w:t>
      </w:r>
      <w:r w:rsidR="008A19EB" w:rsidRPr="00982E04">
        <w:rPr>
          <w:sz w:val="26"/>
          <w:szCs w:val="26"/>
          <w:lang w:val="lt-LT"/>
        </w:rPr>
        <w:t xml:space="preserve">sumažinti </w:t>
      </w:r>
      <w:r w:rsidR="003B5FAF" w:rsidRPr="00982E04">
        <w:rPr>
          <w:sz w:val="26"/>
          <w:szCs w:val="26"/>
          <w:lang w:val="lt-LT"/>
        </w:rPr>
        <w:t xml:space="preserve">aptikimo riziką </w:t>
      </w:r>
      <w:r w:rsidR="008A19EB" w:rsidRPr="00982E04">
        <w:rPr>
          <w:sz w:val="26"/>
          <w:szCs w:val="26"/>
          <w:lang w:val="lt-LT"/>
        </w:rPr>
        <w:t>iki tokio lygio</w:t>
      </w:r>
      <w:r w:rsidR="003B5FAF" w:rsidRPr="00982E04">
        <w:rPr>
          <w:sz w:val="26"/>
          <w:szCs w:val="26"/>
          <w:lang w:val="lt-LT"/>
        </w:rPr>
        <w:t>,</w:t>
      </w:r>
      <w:r w:rsidR="007273EB" w:rsidRPr="00982E04">
        <w:rPr>
          <w:sz w:val="26"/>
          <w:szCs w:val="26"/>
          <w:lang w:val="lt-LT"/>
        </w:rPr>
        <w:t xml:space="preserve"> </w:t>
      </w:r>
      <w:r w:rsidR="003B5FAF" w:rsidRPr="00982E04">
        <w:rPr>
          <w:sz w:val="26"/>
          <w:szCs w:val="26"/>
          <w:lang w:val="lt-LT"/>
        </w:rPr>
        <w:t>koki</w:t>
      </w:r>
      <w:r w:rsidR="007273EB" w:rsidRPr="00982E04">
        <w:rPr>
          <w:sz w:val="26"/>
          <w:szCs w:val="26"/>
          <w:lang w:val="lt-LT"/>
        </w:rPr>
        <w:t>o</w:t>
      </w:r>
      <w:r w:rsidR="003B5FAF" w:rsidRPr="00982E04">
        <w:rPr>
          <w:sz w:val="26"/>
          <w:szCs w:val="26"/>
          <w:lang w:val="lt-LT"/>
        </w:rPr>
        <w:t xml:space="preserve"> nori. </w:t>
      </w:r>
      <w:r w:rsidR="00694ED9" w:rsidRPr="00982E04">
        <w:rPr>
          <w:sz w:val="26"/>
          <w:szCs w:val="26"/>
          <w:lang w:val="lt-LT"/>
        </w:rPr>
        <w:t xml:space="preserve">Tačiau </w:t>
      </w:r>
      <w:r w:rsidR="00694ED9" w:rsidRPr="00982E04">
        <w:rPr>
          <w:sz w:val="26"/>
          <w:szCs w:val="26"/>
          <w:lang w:val="lt-LT"/>
        </w:rPr>
        <w:lastRenderedPageBreak/>
        <w:t xml:space="preserve">nepaisant to, kad auditorius gali būti labai profesionalus, aptikimo rizika negali būti lygi nuliui. </w:t>
      </w:r>
      <w:r w:rsidR="00182DE5" w:rsidRPr="00982E04">
        <w:rPr>
          <w:sz w:val="26"/>
          <w:szCs w:val="26"/>
          <w:lang w:val="lt-LT"/>
        </w:rPr>
        <w:t>Praktikoje tai tikrai yra neįmanoma – teigia</w:t>
      </w:r>
      <w:r w:rsidR="009A1966" w:rsidRPr="00982E04">
        <w:rPr>
          <w:sz w:val="26"/>
          <w:szCs w:val="26"/>
          <w:lang w:val="lt-LT"/>
        </w:rPr>
        <w:t xml:space="preserve"> </w:t>
      </w:r>
      <w:r w:rsidR="00976D0E" w:rsidRPr="00982E04">
        <w:rPr>
          <w:sz w:val="26"/>
          <w:szCs w:val="26"/>
        </w:rPr>
        <w:t>Ph. L. Defliese, H.</w:t>
      </w:r>
      <w:r w:rsidR="00982E04">
        <w:rPr>
          <w:sz w:val="26"/>
          <w:szCs w:val="26"/>
        </w:rPr>
        <w:t> </w:t>
      </w:r>
      <w:r w:rsidR="00976D0E" w:rsidRPr="00982E04">
        <w:rPr>
          <w:sz w:val="26"/>
          <w:szCs w:val="26"/>
        </w:rPr>
        <w:t>R. Jaenicke, V. M. O</w:t>
      </w:r>
      <w:r w:rsidR="00506008" w:rsidRPr="00982E04">
        <w:rPr>
          <w:sz w:val="26"/>
          <w:szCs w:val="26"/>
        </w:rPr>
        <w:t>’</w:t>
      </w:r>
      <w:r w:rsidR="00976D0E" w:rsidRPr="00982E04">
        <w:rPr>
          <w:sz w:val="26"/>
          <w:szCs w:val="26"/>
        </w:rPr>
        <w:t xml:space="preserve">Reilly, M. B. Hirsch </w:t>
      </w:r>
      <w:r w:rsidR="00182DE5" w:rsidRPr="00982E04">
        <w:rPr>
          <w:sz w:val="26"/>
          <w:szCs w:val="26"/>
          <w:lang w:val="lt-LT"/>
        </w:rPr>
        <w:t>(1997)</w:t>
      </w:r>
      <w:r w:rsidR="00976D0E" w:rsidRPr="00982E04">
        <w:rPr>
          <w:sz w:val="26"/>
          <w:szCs w:val="26"/>
          <w:lang w:val="lt-LT"/>
        </w:rPr>
        <w:t xml:space="preserve"> ir G. Long (1999)</w:t>
      </w:r>
      <w:r w:rsidR="009A1966" w:rsidRPr="00982E04">
        <w:rPr>
          <w:sz w:val="26"/>
          <w:szCs w:val="26"/>
          <w:lang w:val="lt-LT"/>
        </w:rPr>
        <w:t>.</w:t>
      </w:r>
      <w:r w:rsidR="00182DE5" w:rsidRPr="00982E04">
        <w:rPr>
          <w:sz w:val="26"/>
          <w:szCs w:val="26"/>
          <w:lang w:val="lt-LT"/>
        </w:rPr>
        <w:t xml:space="preserve"> Aptikimo rizika</w:t>
      </w:r>
      <w:r w:rsidR="00694ED9" w:rsidRPr="00982E04">
        <w:rPr>
          <w:sz w:val="26"/>
          <w:szCs w:val="26"/>
          <w:lang w:val="lt-LT"/>
        </w:rPr>
        <w:t xml:space="preserve"> egzistuoja visada, net jei, kaip nurodyta 400-ajame </w:t>
      </w:r>
      <w:r w:rsidR="006411E9" w:rsidRPr="00982E04">
        <w:rPr>
          <w:sz w:val="26"/>
          <w:szCs w:val="26"/>
          <w:lang w:val="lt-LT"/>
        </w:rPr>
        <w:t xml:space="preserve">„Rizikos vertinimas ir vidaus kontrolė“ </w:t>
      </w:r>
      <w:r w:rsidR="00694ED9" w:rsidRPr="00982E04">
        <w:rPr>
          <w:sz w:val="26"/>
          <w:szCs w:val="26"/>
          <w:lang w:val="lt-LT"/>
        </w:rPr>
        <w:t>TSA (2004), „auditorius patikrintų 100 proc. sąskaitų likučių ar ūkinių operacijų grupių, kadangi dauguma audito įrodymų yra daugiau įtikinamojo negu sprendžiamojo pobūdžio“. Šios nuomonės laikomasi ir 200-ajame TSA (2006). T</w:t>
      </w:r>
      <w:r w:rsidR="008A19EB" w:rsidRPr="00982E04">
        <w:rPr>
          <w:sz w:val="26"/>
          <w:szCs w:val="26"/>
          <w:lang w:val="lt-LT"/>
        </w:rPr>
        <w:t>ai nėra įmanoma</w:t>
      </w:r>
      <w:r w:rsidR="00694ED9" w:rsidRPr="00982E04">
        <w:rPr>
          <w:sz w:val="26"/>
          <w:szCs w:val="26"/>
          <w:lang w:val="lt-LT"/>
        </w:rPr>
        <w:t>, nes auditas yra neištisinis, t. y. tikrinamos ne visos ūkinės operacijos, veiklos sritys, dokumentai</w:t>
      </w:r>
      <w:r w:rsidR="003B5FAF" w:rsidRPr="00982E04">
        <w:rPr>
          <w:sz w:val="26"/>
          <w:szCs w:val="26"/>
          <w:lang w:val="lt-LT"/>
        </w:rPr>
        <w:t>.</w:t>
      </w:r>
      <w:r w:rsidR="00F96A72" w:rsidRPr="00982E04">
        <w:rPr>
          <w:sz w:val="26"/>
          <w:szCs w:val="26"/>
          <w:lang w:val="lt-LT"/>
        </w:rPr>
        <w:t xml:space="preserve"> </w:t>
      </w:r>
    </w:p>
    <w:tbl>
      <w:tblPr>
        <w:tblW w:w="0" w:type="auto"/>
        <w:jc w:val="center"/>
        <w:tblLayout w:type="fixed"/>
        <w:tblCellMar>
          <w:left w:w="120" w:type="dxa"/>
          <w:right w:w="120" w:type="dxa"/>
        </w:tblCellMar>
        <w:tblLook w:val="0000"/>
      </w:tblPr>
      <w:tblGrid>
        <w:gridCol w:w="2240"/>
        <w:gridCol w:w="1260"/>
        <w:gridCol w:w="1260"/>
        <w:gridCol w:w="1080"/>
        <w:gridCol w:w="1462"/>
      </w:tblGrid>
      <w:tr w:rsidR="001B5EA7" w:rsidRPr="00982E04" w:rsidTr="00982E04">
        <w:trPr>
          <w:cantSplit/>
          <w:trHeight w:val="68"/>
          <w:jc w:val="center"/>
        </w:trPr>
        <w:tc>
          <w:tcPr>
            <w:tcW w:w="2240" w:type="dxa"/>
          </w:tcPr>
          <w:p w:rsidR="001B5EA7" w:rsidRPr="00982E04" w:rsidRDefault="001B5EA7" w:rsidP="00516EB8">
            <w:pPr>
              <w:rPr>
                <w:sz w:val="22"/>
                <w:szCs w:val="22"/>
                <w:lang w:val="lt-LT"/>
              </w:rPr>
            </w:pPr>
          </w:p>
        </w:tc>
        <w:tc>
          <w:tcPr>
            <w:tcW w:w="1260" w:type="dxa"/>
            <w:tcBorders>
              <w:right w:val="single" w:sz="4" w:space="0" w:color="auto"/>
            </w:tcBorders>
          </w:tcPr>
          <w:p w:rsidR="001B5EA7" w:rsidRPr="00982E04" w:rsidRDefault="001B5EA7" w:rsidP="00516EB8">
            <w:pPr>
              <w:rPr>
                <w:sz w:val="22"/>
                <w:szCs w:val="22"/>
                <w:lang w:val="lt-LT"/>
              </w:rPr>
            </w:pPr>
          </w:p>
        </w:tc>
        <w:tc>
          <w:tcPr>
            <w:tcW w:w="3802" w:type="dxa"/>
            <w:gridSpan w:val="3"/>
            <w:tcBorders>
              <w:top w:val="single" w:sz="4" w:space="0" w:color="auto"/>
              <w:left w:val="single" w:sz="4" w:space="0" w:color="auto"/>
              <w:bottom w:val="single" w:sz="4" w:space="0" w:color="auto"/>
              <w:right w:val="single" w:sz="4" w:space="0" w:color="auto"/>
            </w:tcBorders>
          </w:tcPr>
          <w:p w:rsidR="001B5EA7" w:rsidRPr="00982E04" w:rsidRDefault="001B5EA7" w:rsidP="00516EB8">
            <w:pPr>
              <w:spacing w:before="60" w:after="60"/>
              <w:jc w:val="center"/>
              <w:rPr>
                <w:b/>
                <w:sz w:val="22"/>
                <w:szCs w:val="22"/>
                <w:lang w:val="lt-LT"/>
              </w:rPr>
            </w:pPr>
            <w:r w:rsidRPr="00982E04">
              <w:rPr>
                <w:b/>
                <w:sz w:val="22"/>
                <w:szCs w:val="22"/>
                <w:lang w:val="lt-LT"/>
              </w:rPr>
              <w:t>Įvertinta kontrolės rizika</w:t>
            </w:r>
          </w:p>
        </w:tc>
      </w:tr>
      <w:tr w:rsidR="001B5EA7" w:rsidRPr="00982E04" w:rsidTr="00982E04">
        <w:trPr>
          <w:cantSplit/>
          <w:trHeight w:val="68"/>
          <w:jc w:val="center"/>
        </w:trPr>
        <w:tc>
          <w:tcPr>
            <w:tcW w:w="2240" w:type="dxa"/>
            <w:tcBorders>
              <w:bottom w:val="single" w:sz="4" w:space="0" w:color="auto"/>
            </w:tcBorders>
          </w:tcPr>
          <w:p w:rsidR="001B5EA7" w:rsidRPr="00982E04" w:rsidRDefault="001B5EA7" w:rsidP="00516EB8">
            <w:pPr>
              <w:rPr>
                <w:sz w:val="22"/>
                <w:szCs w:val="22"/>
                <w:lang w:val="lt-LT"/>
              </w:rPr>
            </w:pPr>
          </w:p>
        </w:tc>
        <w:tc>
          <w:tcPr>
            <w:tcW w:w="1260" w:type="dxa"/>
            <w:tcBorders>
              <w:bottom w:val="single" w:sz="4" w:space="0" w:color="auto"/>
              <w:right w:val="single" w:sz="4" w:space="0" w:color="auto"/>
            </w:tcBorders>
          </w:tcPr>
          <w:p w:rsidR="001B5EA7" w:rsidRPr="00982E04" w:rsidRDefault="001B5EA7" w:rsidP="00516EB8">
            <w:pPr>
              <w:rPr>
                <w:sz w:val="22"/>
                <w:szCs w:val="22"/>
                <w:lang w:val="lt-LT"/>
              </w:rPr>
            </w:pPr>
          </w:p>
        </w:tc>
        <w:tc>
          <w:tcPr>
            <w:tcW w:w="1260" w:type="dxa"/>
            <w:tcBorders>
              <w:top w:val="single" w:sz="4" w:space="0" w:color="auto"/>
              <w:left w:val="single" w:sz="4" w:space="0" w:color="auto"/>
              <w:bottom w:val="single" w:sz="4" w:space="0" w:color="auto"/>
              <w:right w:val="single" w:sz="4" w:space="0" w:color="auto"/>
            </w:tcBorders>
          </w:tcPr>
          <w:p w:rsidR="001B5EA7" w:rsidRPr="00982E04" w:rsidRDefault="001B5EA7" w:rsidP="00516EB8">
            <w:pPr>
              <w:spacing w:before="60" w:after="60"/>
              <w:jc w:val="center"/>
              <w:rPr>
                <w:sz w:val="22"/>
                <w:szCs w:val="22"/>
                <w:lang w:val="lt-LT"/>
              </w:rPr>
            </w:pPr>
            <w:r w:rsidRPr="00982E04">
              <w:rPr>
                <w:sz w:val="22"/>
                <w:szCs w:val="22"/>
                <w:lang w:val="lt-LT"/>
              </w:rPr>
              <w:t>Didelė</w:t>
            </w:r>
          </w:p>
        </w:tc>
        <w:tc>
          <w:tcPr>
            <w:tcW w:w="1080" w:type="dxa"/>
            <w:tcBorders>
              <w:top w:val="single" w:sz="4" w:space="0" w:color="auto"/>
              <w:left w:val="single" w:sz="4" w:space="0" w:color="auto"/>
              <w:bottom w:val="single" w:sz="4" w:space="0" w:color="auto"/>
              <w:right w:val="single" w:sz="2" w:space="0" w:color="auto"/>
            </w:tcBorders>
          </w:tcPr>
          <w:p w:rsidR="001B5EA7" w:rsidRPr="00982E04" w:rsidRDefault="001B5EA7" w:rsidP="00516EB8">
            <w:pPr>
              <w:spacing w:before="60" w:after="60"/>
              <w:jc w:val="center"/>
              <w:rPr>
                <w:sz w:val="22"/>
                <w:szCs w:val="22"/>
                <w:lang w:val="lt-LT"/>
              </w:rPr>
            </w:pPr>
            <w:r w:rsidRPr="00982E04">
              <w:rPr>
                <w:sz w:val="22"/>
                <w:szCs w:val="22"/>
                <w:lang w:val="lt-LT"/>
              </w:rPr>
              <w:t>Vidutinė</w:t>
            </w:r>
          </w:p>
        </w:tc>
        <w:tc>
          <w:tcPr>
            <w:tcW w:w="1462" w:type="dxa"/>
            <w:tcBorders>
              <w:top w:val="single" w:sz="4" w:space="0" w:color="auto"/>
              <w:left w:val="single" w:sz="2" w:space="0" w:color="auto"/>
              <w:bottom w:val="single" w:sz="4" w:space="0" w:color="auto"/>
              <w:right w:val="single" w:sz="4" w:space="0" w:color="auto"/>
            </w:tcBorders>
          </w:tcPr>
          <w:p w:rsidR="001B5EA7" w:rsidRPr="00982E04" w:rsidRDefault="001B5EA7" w:rsidP="00516EB8">
            <w:pPr>
              <w:spacing w:before="60" w:after="60"/>
              <w:jc w:val="center"/>
              <w:rPr>
                <w:sz w:val="22"/>
                <w:szCs w:val="22"/>
                <w:lang w:val="lt-LT"/>
              </w:rPr>
            </w:pPr>
            <w:r w:rsidRPr="00982E04">
              <w:rPr>
                <w:sz w:val="22"/>
                <w:szCs w:val="22"/>
                <w:lang w:val="lt-LT"/>
              </w:rPr>
              <w:t>Maža</w:t>
            </w:r>
          </w:p>
        </w:tc>
      </w:tr>
      <w:tr w:rsidR="001B5EA7" w:rsidRPr="00982E04" w:rsidTr="00982E04">
        <w:trPr>
          <w:cantSplit/>
          <w:trHeight w:val="393"/>
          <w:jc w:val="center"/>
        </w:trPr>
        <w:tc>
          <w:tcPr>
            <w:tcW w:w="2240" w:type="dxa"/>
            <w:tcBorders>
              <w:top w:val="single" w:sz="4" w:space="0" w:color="auto"/>
              <w:left w:val="single" w:sz="4" w:space="0" w:color="auto"/>
              <w:right w:val="single" w:sz="4" w:space="0" w:color="auto"/>
            </w:tcBorders>
          </w:tcPr>
          <w:p w:rsidR="001B5EA7" w:rsidRPr="00982E04" w:rsidRDefault="001B5EA7" w:rsidP="00516EB8">
            <w:pPr>
              <w:jc w:val="center"/>
              <w:rPr>
                <w:b/>
                <w:sz w:val="22"/>
                <w:szCs w:val="22"/>
                <w:lang w:val="lt-LT"/>
              </w:rPr>
            </w:pPr>
          </w:p>
          <w:p w:rsidR="001B5EA7" w:rsidRPr="00982E04" w:rsidRDefault="001B5EA7" w:rsidP="00516EB8">
            <w:pPr>
              <w:jc w:val="center"/>
              <w:rPr>
                <w:b/>
                <w:sz w:val="22"/>
                <w:szCs w:val="22"/>
                <w:lang w:val="lt-LT"/>
              </w:rPr>
            </w:pPr>
            <w:r w:rsidRPr="00982E04">
              <w:rPr>
                <w:b/>
                <w:sz w:val="22"/>
                <w:szCs w:val="22"/>
                <w:lang w:val="lt-LT"/>
              </w:rPr>
              <w:t xml:space="preserve">Įvertinta </w:t>
            </w:r>
          </w:p>
        </w:tc>
        <w:tc>
          <w:tcPr>
            <w:tcW w:w="1260" w:type="dxa"/>
            <w:tcBorders>
              <w:top w:val="single" w:sz="4" w:space="0" w:color="auto"/>
              <w:left w:val="single" w:sz="4" w:space="0" w:color="auto"/>
              <w:bottom w:val="single" w:sz="4" w:space="0" w:color="auto"/>
              <w:right w:val="single" w:sz="4" w:space="0" w:color="auto"/>
            </w:tcBorders>
            <w:vAlign w:val="center"/>
          </w:tcPr>
          <w:p w:rsidR="001B5EA7" w:rsidRPr="00982E04" w:rsidRDefault="001B5EA7" w:rsidP="00516EB8">
            <w:pPr>
              <w:spacing w:before="60" w:after="60"/>
              <w:jc w:val="center"/>
              <w:rPr>
                <w:sz w:val="22"/>
                <w:szCs w:val="22"/>
                <w:lang w:val="lt-LT"/>
              </w:rPr>
            </w:pPr>
            <w:r w:rsidRPr="00982E04">
              <w:rPr>
                <w:sz w:val="22"/>
                <w:szCs w:val="22"/>
                <w:lang w:val="lt-LT"/>
              </w:rPr>
              <w:t>Didelė</w:t>
            </w:r>
          </w:p>
        </w:tc>
        <w:tc>
          <w:tcPr>
            <w:tcW w:w="1260" w:type="dxa"/>
            <w:tcBorders>
              <w:top w:val="single" w:sz="4" w:space="0" w:color="auto"/>
              <w:left w:val="single" w:sz="4" w:space="0" w:color="auto"/>
              <w:bottom w:val="single" w:sz="6" w:space="0" w:color="auto"/>
              <w:right w:val="single" w:sz="6" w:space="0" w:color="auto"/>
            </w:tcBorders>
            <w:shd w:val="pct10" w:color="auto" w:fill="FFFFFF"/>
            <w:vAlign w:val="center"/>
          </w:tcPr>
          <w:p w:rsidR="001B5EA7" w:rsidRPr="00982E04" w:rsidRDefault="001B5EA7" w:rsidP="00516EB8">
            <w:pPr>
              <w:spacing w:before="60" w:after="60"/>
              <w:jc w:val="center"/>
              <w:rPr>
                <w:sz w:val="22"/>
                <w:szCs w:val="22"/>
                <w:lang w:val="lt-LT"/>
              </w:rPr>
            </w:pPr>
            <w:r w:rsidRPr="00982E04">
              <w:rPr>
                <w:sz w:val="22"/>
                <w:szCs w:val="22"/>
                <w:lang w:val="lt-LT"/>
              </w:rPr>
              <w:t>Mažiausia</w:t>
            </w:r>
          </w:p>
        </w:tc>
        <w:tc>
          <w:tcPr>
            <w:tcW w:w="1080" w:type="dxa"/>
            <w:tcBorders>
              <w:top w:val="single" w:sz="4" w:space="0" w:color="auto"/>
              <w:left w:val="single" w:sz="6" w:space="0" w:color="auto"/>
              <w:bottom w:val="single" w:sz="6" w:space="0" w:color="auto"/>
              <w:right w:val="single" w:sz="6" w:space="0" w:color="auto"/>
            </w:tcBorders>
            <w:shd w:val="pct10" w:color="auto" w:fill="FFFFFF"/>
            <w:vAlign w:val="center"/>
          </w:tcPr>
          <w:p w:rsidR="001B5EA7" w:rsidRPr="00982E04" w:rsidRDefault="001B5EA7" w:rsidP="00516EB8">
            <w:pPr>
              <w:spacing w:before="60" w:after="60"/>
              <w:jc w:val="center"/>
              <w:rPr>
                <w:sz w:val="22"/>
                <w:szCs w:val="22"/>
                <w:lang w:val="lt-LT"/>
              </w:rPr>
            </w:pPr>
            <w:r w:rsidRPr="00982E04">
              <w:rPr>
                <w:sz w:val="22"/>
                <w:szCs w:val="22"/>
                <w:lang w:val="lt-LT"/>
              </w:rPr>
              <w:t>Mažesnė</w:t>
            </w:r>
          </w:p>
        </w:tc>
        <w:tc>
          <w:tcPr>
            <w:tcW w:w="1462" w:type="dxa"/>
            <w:tcBorders>
              <w:top w:val="single" w:sz="4" w:space="0" w:color="auto"/>
              <w:left w:val="single" w:sz="6" w:space="0" w:color="auto"/>
              <w:bottom w:val="single" w:sz="6" w:space="0" w:color="auto"/>
              <w:right w:val="single" w:sz="4" w:space="0" w:color="auto"/>
            </w:tcBorders>
            <w:shd w:val="pct10" w:color="auto" w:fill="FFFFFF"/>
            <w:vAlign w:val="center"/>
          </w:tcPr>
          <w:p w:rsidR="001B5EA7" w:rsidRPr="00982E04" w:rsidRDefault="001B5EA7" w:rsidP="00516EB8">
            <w:pPr>
              <w:spacing w:before="60" w:after="60"/>
              <w:jc w:val="center"/>
              <w:rPr>
                <w:sz w:val="22"/>
                <w:szCs w:val="22"/>
                <w:lang w:val="lt-LT"/>
              </w:rPr>
            </w:pPr>
            <w:r w:rsidRPr="00982E04">
              <w:rPr>
                <w:sz w:val="22"/>
                <w:szCs w:val="22"/>
                <w:lang w:val="lt-LT"/>
              </w:rPr>
              <w:t>Vidutinė</w:t>
            </w:r>
          </w:p>
        </w:tc>
      </w:tr>
      <w:tr w:rsidR="001B5EA7" w:rsidRPr="00982E04" w:rsidTr="00982E04">
        <w:trPr>
          <w:cantSplit/>
          <w:trHeight w:val="68"/>
          <w:jc w:val="center"/>
        </w:trPr>
        <w:tc>
          <w:tcPr>
            <w:tcW w:w="2240" w:type="dxa"/>
            <w:tcBorders>
              <w:left w:val="single" w:sz="4" w:space="0" w:color="auto"/>
              <w:right w:val="single" w:sz="4" w:space="0" w:color="auto"/>
            </w:tcBorders>
          </w:tcPr>
          <w:p w:rsidR="001B5EA7" w:rsidRPr="00982E04" w:rsidRDefault="001B5EA7" w:rsidP="00516EB8">
            <w:pPr>
              <w:jc w:val="center"/>
              <w:rPr>
                <w:b/>
                <w:sz w:val="22"/>
                <w:szCs w:val="22"/>
                <w:lang w:val="lt-LT"/>
              </w:rPr>
            </w:pPr>
            <w:r w:rsidRPr="00982E04">
              <w:rPr>
                <w:b/>
                <w:sz w:val="22"/>
                <w:szCs w:val="22"/>
                <w:lang w:val="lt-LT"/>
              </w:rPr>
              <w:t>įgimta rizika</w:t>
            </w:r>
          </w:p>
        </w:tc>
        <w:tc>
          <w:tcPr>
            <w:tcW w:w="1260" w:type="dxa"/>
            <w:tcBorders>
              <w:top w:val="single" w:sz="4" w:space="0" w:color="auto"/>
              <w:left w:val="single" w:sz="4" w:space="0" w:color="auto"/>
              <w:bottom w:val="single" w:sz="4" w:space="0" w:color="auto"/>
              <w:right w:val="single" w:sz="4" w:space="0" w:color="auto"/>
            </w:tcBorders>
            <w:vAlign w:val="center"/>
          </w:tcPr>
          <w:p w:rsidR="001B5EA7" w:rsidRPr="00982E04" w:rsidRDefault="001B5EA7" w:rsidP="00516EB8">
            <w:pPr>
              <w:spacing w:before="60" w:after="60"/>
              <w:jc w:val="center"/>
              <w:rPr>
                <w:sz w:val="22"/>
                <w:szCs w:val="22"/>
                <w:lang w:val="lt-LT"/>
              </w:rPr>
            </w:pPr>
            <w:r w:rsidRPr="00982E04">
              <w:rPr>
                <w:sz w:val="22"/>
                <w:szCs w:val="22"/>
                <w:lang w:val="lt-LT"/>
              </w:rPr>
              <w:t>Vidutinė</w:t>
            </w:r>
          </w:p>
        </w:tc>
        <w:tc>
          <w:tcPr>
            <w:tcW w:w="1260" w:type="dxa"/>
            <w:tcBorders>
              <w:top w:val="single" w:sz="6" w:space="0" w:color="auto"/>
              <w:left w:val="single" w:sz="4" w:space="0" w:color="auto"/>
              <w:bottom w:val="single" w:sz="6" w:space="0" w:color="auto"/>
              <w:right w:val="single" w:sz="6" w:space="0" w:color="auto"/>
            </w:tcBorders>
            <w:shd w:val="pct10" w:color="auto" w:fill="FFFFFF"/>
            <w:vAlign w:val="center"/>
          </w:tcPr>
          <w:p w:rsidR="001B5EA7" w:rsidRPr="00982E04" w:rsidRDefault="001B5EA7" w:rsidP="00516EB8">
            <w:pPr>
              <w:spacing w:before="60" w:after="60"/>
              <w:jc w:val="center"/>
              <w:rPr>
                <w:sz w:val="22"/>
                <w:szCs w:val="22"/>
                <w:lang w:val="lt-LT"/>
              </w:rPr>
            </w:pPr>
            <w:r w:rsidRPr="00982E04">
              <w:rPr>
                <w:sz w:val="22"/>
                <w:szCs w:val="22"/>
                <w:lang w:val="lt-LT"/>
              </w:rPr>
              <w:t>Mažesnė</w:t>
            </w:r>
          </w:p>
        </w:tc>
        <w:tc>
          <w:tcPr>
            <w:tcW w:w="1080" w:type="dxa"/>
            <w:tcBorders>
              <w:top w:val="single" w:sz="6" w:space="0" w:color="auto"/>
              <w:left w:val="single" w:sz="6" w:space="0" w:color="auto"/>
              <w:bottom w:val="single" w:sz="6" w:space="0" w:color="auto"/>
              <w:right w:val="single" w:sz="6" w:space="0" w:color="auto"/>
            </w:tcBorders>
            <w:shd w:val="pct10" w:color="auto" w:fill="FFFFFF"/>
            <w:vAlign w:val="center"/>
          </w:tcPr>
          <w:p w:rsidR="001B5EA7" w:rsidRPr="00982E04" w:rsidRDefault="001B5EA7" w:rsidP="00516EB8">
            <w:pPr>
              <w:spacing w:before="60" w:after="60"/>
              <w:jc w:val="center"/>
              <w:rPr>
                <w:sz w:val="22"/>
                <w:szCs w:val="22"/>
                <w:lang w:val="lt-LT"/>
              </w:rPr>
            </w:pPr>
            <w:r w:rsidRPr="00982E04">
              <w:rPr>
                <w:sz w:val="22"/>
                <w:szCs w:val="22"/>
                <w:lang w:val="lt-LT"/>
              </w:rPr>
              <w:t>Vidutinė</w:t>
            </w:r>
          </w:p>
        </w:tc>
        <w:tc>
          <w:tcPr>
            <w:tcW w:w="1462" w:type="dxa"/>
            <w:tcBorders>
              <w:top w:val="single" w:sz="6" w:space="0" w:color="auto"/>
              <w:left w:val="single" w:sz="6" w:space="0" w:color="auto"/>
              <w:bottom w:val="single" w:sz="6" w:space="0" w:color="auto"/>
              <w:right w:val="single" w:sz="4" w:space="0" w:color="auto"/>
            </w:tcBorders>
            <w:shd w:val="pct10" w:color="auto" w:fill="FFFFFF"/>
            <w:vAlign w:val="center"/>
          </w:tcPr>
          <w:p w:rsidR="001B5EA7" w:rsidRPr="00982E04" w:rsidRDefault="001B5EA7" w:rsidP="00516EB8">
            <w:pPr>
              <w:spacing w:before="60" w:after="60"/>
              <w:jc w:val="center"/>
              <w:rPr>
                <w:sz w:val="22"/>
                <w:szCs w:val="22"/>
                <w:lang w:val="lt-LT"/>
              </w:rPr>
            </w:pPr>
            <w:r w:rsidRPr="00982E04">
              <w:rPr>
                <w:sz w:val="22"/>
                <w:szCs w:val="22"/>
                <w:lang w:val="lt-LT"/>
              </w:rPr>
              <w:t>Didesnė</w:t>
            </w:r>
          </w:p>
        </w:tc>
      </w:tr>
      <w:tr w:rsidR="001B5EA7" w:rsidRPr="00982E04" w:rsidTr="00982E04">
        <w:trPr>
          <w:cantSplit/>
          <w:trHeight w:val="68"/>
          <w:jc w:val="center"/>
        </w:trPr>
        <w:tc>
          <w:tcPr>
            <w:tcW w:w="2240" w:type="dxa"/>
            <w:tcBorders>
              <w:left w:val="single" w:sz="4" w:space="0" w:color="auto"/>
              <w:bottom w:val="single" w:sz="4" w:space="0" w:color="auto"/>
              <w:right w:val="single" w:sz="4" w:space="0" w:color="auto"/>
            </w:tcBorders>
          </w:tcPr>
          <w:p w:rsidR="001B5EA7" w:rsidRPr="00982E04" w:rsidRDefault="001B5EA7" w:rsidP="00516EB8">
            <w:pPr>
              <w:rPr>
                <w:sz w:val="22"/>
                <w:szCs w:val="22"/>
                <w:lang w:val="lt-LT"/>
              </w:rPr>
            </w:pPr>
          </w:p>
        </w:tc>
        <w:tc>
          <w:tcPr>
            <w:tcW w:w="1260" w:type="dxa"/>
            <w:tcBorders>
              <w:top w:val="single" w:sz="4" w:space="0" w:color="auto"/>
              <w:left w:val="single" w:sz="4" w:space="0" w:color="auto"/>
              <w:bottom w:val="single" w:sz="4" w:space="0" w:color="auto"/>
              <w:right w:val="single" w:sz="4" w:space="0" w:color="auto"/>
            </w:tcBorders>
            <w:vAlign w:val="center"/>
          </w:tcPr>
          <w:p w:rsidR="001B5EA7" w:rsidRPr="00982E04" w:rsidRDefault="001B5EA7" w:rsidP="00516EB8">
            <w:pPr>
              <w:spacing w:before="60" w:after="60"/>
              <w:jc w:val="center"/>
              <w:rPr>
                <w:sz w:val="22"/>
                <w:szCs w:val="22"/>
                <w:lang w:val="lt-LT"/>
              </w:rPr>
            </w:pPr>
            <w:r w:rsidRPr="00982E04">
              <w:rPr>
                <w:sz w:val="22"/>
                <w:szCs w:val="22"/>
                <w:lang w:val="lt-LT"/>
              </w:rPr>
              <w:t>Maža</w:t>
            </w:r>
          </w:p>
        </w:tc>
        <w:tc>
          <w:tcPr>
            <w:tcW w:w="1260" w:type="dxa"/>
            <w:tcBorders>
              <w:top w:val="single" w:sz="6" w:space="0" w:color="auto"/>
              <w:left w:val="single" w:sz="4" w:space="0" w:color="auto"/>
              <w:bottom w:val="single" w:sz="4" w:space="0" w:color="auto"/>
              <w:right w:val="single" w:sz="6" w:space="0" w:color="auto"/>
            </w:tcBorders>
            <w:shd w:val="pct10" w:color="auto" w:fill="FFFFFF"/>
            <w:vAlign w:val="center"/>
          </w:tcPr>
          <w:p w:rsidR="001B5EA7" w:rsidRPr="00982E04" w:rsidRDefault="001B5EA7" w:rsidP="00516EB8">
            <w:pPr>
              <w:spacing w:before="60" w:after="60"/>
              <w:jc w:val="center"/>
              <w:rPr>
                <w:sz w:val="22"/>
                <w:szCs w:val="22"/>
                <w:lang w:val="lt-LT"/>
              </w:rPr>
            </w:pPr>
            <w:r w:rsidRPr="00982E04">
              <w:rPr>
                <w:sz w:val="22"/>
                <w:szCs w:val="22"/>
                <w:lang w:val="lt-LT"/>
              </w:rPr>
              <w:t>Vidutinė</w:t>
            </w:r>
          </w:p>
        </w:tc>
        <w:tc>
          <w:tcPr>
            <w:tcW w:w="1080" w:type="dxa"/>
            <w:tcBorders>
              <w:top w:val="single" w:sz="6" w:space="0" w:color="auto"/>
              <w:left w:val="single" w:sz="6" w:space="0" w:color="auto"/>
              <w:bottom w:val="single" w:sz="4" w:space="0" w:color="auto"/>
              <w:right w:val="single" w:sz="6" w:space="0" w:color="auto"/>
            </w:tcBorders>
            <w:shd w:val="pct10" w:color="auto" w:fill="FFFFFF"/>
            <w:vAlign w:val="center"/>
          </w:tcPr>
          <w:p w:rsidR="001B5EA7" w:rsidRPr="00982E04" w:rsidRDefault="001B5EA7" w:rsidP="00516EB8">
            <w:pPr>
              <w:spacing w:before="60" w:after="60"/>
              <w:jc w:val="center"/>
              <w:rPr>
                <w:sz w:val="22"/>
                <w:szCs w:val="22"/>
                <w:lang w:val="lt-LT"/>
              </w:rPr>
            </w:pPr>
            <w:r w:rsidRPr="00982E04">
              <w:rPr>
                <w:sz w:val="22"/>
                <w:szCs w:val="22"/>
                <w:lang w:val="lt-LT"/>
              </w:rPr>
              <w:t>Didesnė</w:t>
            </w:r>
          </w:p>
        </w:tc>
        <w:tc>
          <w:tcPr>
            <w:tcW w:w="1462" w:type="dxa"/>
            <w:tcBorders>
              <w:top w:val="single" w:sz="6" w:space="0" w:color="auto"/>
              <w:left w:val="single" w:sz="6" w:space="0" w:color="auto"/>
              <w:bottom w:val="single" w:sz="4" w:space="0" w:color="auto"/>
              <w:right w:val="single" w:sz="4" w:space="0" w:color="auto"/>
            </w:tcBorders>
            <w:shd w:val="pct10" w:color="auto" w:fill="FFFFFF"/>
            <w:vAlign w:val="center"/>
          </w:tcPr>
          <w:p w:rsidR="001B5EA7" w:rsidRPr="00982E04" w:rsidRDefault="001B5EA7" w:rsidP="00516EB8">
            <w:pPr>
              <w:spacing w:before="60" w:after="60"/>
              <w:jc w:val="center"/>
              <w:rPr>
                <w:sz w:val="22"/>
                <w:szCs w:val="22"/>
                <w:lang w:val="lt-LT"/>
              </w:rPr>
            </w:pPr>
            <w:r w:rsidRPr="00982E04">
              <w:rPr>
                <w:sz w:val="22"/>
                <w:szCs w:val="22"/>
                <w:lang w:val="lt-LT"/>
              </w:rPr>
              <w:t>Didžiausia</w:t>
            </w:r>
          </w:p>
        </w:tc>
      </w:tr>
    </w:tbl>
    <w:p w:rsidR="001B5EA7" w:rsidRPr="00FE380C" w:rsidRDefault="001B5EA7" w:rsidP="001B5EA7">
      <w:pPr>
        <w:tabs>
          <w:tab w:val="left" w:pos="1134"/>
        </w:tabs>
        <w:jc w:val="both"/>
        <w:rPr>
          <w:lang w:val="lt-LT"/>
        </w:rPr>
      </w:pPr>
      <w:r w:rsidRPr="00FE380C">
        <w:rPr>
          <w:lang w:val="lt-LT"/>
        </w:rPr>
        <w:t>Pastaba: Pilki laukeliai žymi aptikimo riziką.</w:t>
      </w:r>
    </w:p>
    <w:p w:rsidR="001B5EA7" w:rsidRPr="00FE380C" w:rsidRDefault="001B5EA7" w:rsidP="001B5EA7">
      <w:pPr>
        <w:tabs>
          <w:tab w:val="left" w:pos="1134"/>
        </w:tabs>
        <w:jc w:val="both"/>
        <w:rPr>
          <w:lang w:val="lt-LT"/>
        </w:rPr>
      </w:pPr>
      <w:r w:rsidRPr="00FE380C">
        <w:rPr>
          <w:lang w:val="lt-LT"/>
        </w:rPr>
        <w:t>Šaltinis: Buhalterių profesionalų etikos kodeksas. Tarptautiniai audito standartai, 2005, p. 394</w:t>
      </w:r>
      <w:r w:rsidR="00CC27AD" w:rsidRPr="00FE380C">
        <w:rPr>
          <w:rStyle w:val="FootnoteReference"/>
          <w:lang w:val="lt-LT"/>
        </w:rPr>
        <w:footnoteReference w:id="15"/>
      </w:r>
      <w:r w:rsidRPr="00FE380C">
        <w:rPr>
          <w:lang w:val="lt-LT"/>
        </w:rPr>
        <w:t>.</w:t>
      </w:r>
    </w:p>
    <w:p w:rsidR="001B5EA7" w:rsidRPr="00982E04" w:rsidRDefault="00F726AC" w:rsidP="00D45554">
      <w:pPr>
        <w:spacing w:line="360" w:lineRule="auto"/>
        <w:jc w:val="center"/>
        <w:rPr>
          <w:b/>
          <w:sz w:val="26"/>
          <w:szCs w:val="26"/>
          <w:lang w:val="lt-LT"/>
        </w:rPr>
      </w:pPr>
      <w:r w:rsidRPr="00982E04">
        <w:rPr>
          <w:b/>
          <w:sz w:val="26"/>
          <w:szCs w:val="26"/>
          <w:lang w:val="lt-LT"/>
        </w:rPr>
        <w:t>8</w:t>
      </w:r>
      <w:r w:rsidR="001B5EA7" w:rsidRPr="00982E04">
        <w:rPr>
          <w:b/>
          <w:sz w:val="26"/>
          <w:szCs w:val="26"/>
          <w:lang w:val="lt-LT"/>
        </w:rPr>
        <w:t xml:space="preserve"> pav. Audito rizikos komponentų sąveikos schema</w:t>
      </w:r>
    </w:p>
    <w:p w:rsidR="008F4CAD" w:rsidRPr="00982E04" w:rsidRDefault="00625F3E" w:rsidP="001B5EA7">
      <w:pPr>
        <w:spacing w:before="120" w:line="360" w:lineRule="auto"/>
        <w:ind w:firstLine="709"/>
        <w:jc w:val="both"/>
        <w:rPr>
          <w:sz w:val="26"/>
          <w:szCs w:val="26"/>
          <w:lang w:val="lt-LT"/>
        </w:rPr>
      </w:pPr>
      <w:r w:rsidRPr="00982E04">
        <w:rPr>
          <w:sz w:val="26"/>
          <w:szCs w:val="26"/>
          <w:lang w:val="lt-LT"/>
        </w:rPr>
        <w:t>Ištyrus audito rizikos komponentų ir jų pasireiškimą lemiančių veiksnių</w:t>
      </w:r>
      <w:r w:rsidR="004F1E6A" w:rsidRPr="00982E04">
        <w:rPr>
          <w:sz w:val="26"/>
          <w:szCs w:val="26"/>
          <w:lang w:val="lt-LT"/>
        </w:rPr>
        <w:t>/sąlygų</w:t>
      </w:r>
      <w:r w:rsidRPr="00982E04">
        <w:rPr>
          <w:sz w:val="26"/>
          <w:szCs w:val="26"/>
          <w:lang w:val="lt-LT"/>
        </w:rPr>
        <w:t xml:space="preserve"> vertinimo ypatumus, tikslinga išsiaiškinti </w:t>
      </w:r>
      <w:r w:rsidR="00490B2A" w:rsidRPr="00982E04">
        <w:rPr>
          <w:sz w:val="26"/>
          <w:szCs w:val="26"/>
          <w:lang w:val="lt-LT"/>
        </w:rPr>
        <w:t xml:space="preserve">svarbiausius </w:t>
      </w:r>
      <w:r w:rsidRPr="00982E04">
        <w:rPr>
          <w:sz w:val="26"/>
          <w:szCs w:val="26"/>
          <w:lang w:val="lt-LT"/>
        </w:rPr>
        <w:t xml:space="preserve">audito rizikos </w:t>
      </w:r>
      <w:r w:rsidR="001D67DD" w:rsidRPr="00982E04">
        <w:rPr>
          <w:sz w:val="26"/>
          <w:szCs w:val="26"/>
          <w:lang w:val="lt-LT"/>
        </w:rPr>
        <w:t xml:space="preserve">ir jos </w:t>
      </w:r>
      <w:r w:rsidRPr="00982E04">
        <w:rPr>
          <w:sz w:val="26"/>
          <w:szCs w:val="26"/>
          <w:lang w:val="lt-LT"/>
        </w:rPr>
        <w:t xml:space="preserve">komponentų vertinimo aspektus per </w:t>
      </w:r>
      <w:r w:rsidR="009B2B37" w:rsidRPr="00982E04">
        <w:rPr>
          <w:sz w:val="26"/>
          <w:szCs w:val="26"/>
          <w:lang w:val="lt-LT"/>
        </w:rPr>
        <w:t xml:space="preserve">skirtingų </w:t>
      </w:r>
      <w:r w:rsidRPr="00982E04">
        <w:rPr>
          <w:sz w:val="26"/>
          <w:szCs w:val="26"/>
          <w:lang w:val="lt-LT"/>
        </w:rPr>
        <w:t xml:space="preserve">audito rizikos modelių formavimą. </w:t>
      </w:r>
    </w:p>
    <w:p w:rsidR="00625F3E" w:rsidRPr="00202A99" w:rsidRDefault="00625F3E" w:rsidP="003D53E8">
      <w:pPr>
        <w:pStyle w:val="Heading3"/>
        <w:spacing w:after="240"/>
        <w:ind w:firstLine="709"/>
        <w:rPr>
          <w:rFonts w:ascii="Times New Roman" w:hAnsi="Times New Roman" w:cs="Times New Roman"/>
          <w:lang w:val="lt-LT"/>
        </w:rPr>
      </w:pPr>
      <w:bookmarkStart w:id="24" w:name="_Toc253244585"/>
      <w:r w:rsidRPr="00202A99">
        <w:rPr>
          <w:rFonts w:ascii="Times New Roman" w:hAnsi="Times New Roman" w:cs="Times New Roman"/>
          <w:lang w:val="lt-LT" w:eastAsia="en-US"/>
        </w:rPr>
        <w:t>1.2.3. Audito rizikos vertinimo aspektai audito rizikos modeliuose</w:t>
      </w:r>
      <w:bookmarkEnd w:id="24"/>
    </w:p>
    <w:p w:rsidR="00184A76" w:rsidRPr="003D53E8" w:rsidRDefault="00374F23" w:rsidP="009B2B37">
      <w:pPr>
        <w:spacing w:line="360" w:lineRule="auto"/>
        <w:ind w:firstLine="720"/>
        <w:jc w:val="both"/>
        <w:rPr>
          <w:sz w:val="26"/>
          <w:szCs w:val="26"/>
          <w:lang w:val="lt-LT"/>
        </w:rPr>
      </w:pPr>
      <w:bookmarkStart w:id="25" w:name="_Toc70063218"/>
      <w:bookmarkStart w:id="26" w:name="_Toc72067637"/>
      <w:bookmarkStart w:id="27" w:name="_Toc72067792"/>
      <w:r w:rsidRPr="003D53E8">
        <w:rPr>
          <w:sz w:val="26"/>
          <w:szCs w:val="26"/>
          <w:lang w:val="lt-LT"/>
        </w:rPr>
        <w:t xml:space="preserve">Mokslo darbuose (Quadackers, Mock, Maijoor, 1996; Messier, Austen, 2000b) sutinkama nuomonė, kad audito rizikos modelis – konceptualus pagrindas audito atlikimui. </w:t>
      </w:r>
      <w:r w:rsidR="00184A76" w:rsidRPr="003D53E8">
        <w:rPr>
          <w:sz w:val="26"/>
          <w:szCs w:val="26"/>
          <w:lang w:val="lt-LT"/>
        </w:rPr>
        <w:t xml:space="preserve">Nors N. Martinov ir P. Roebuck (1998) savo tyrimu nustatė, jog įvairios audito įmonės remiasi skirtingais </w:t>
      </w:r>
      <w:r w:rsidR="009B2B37" w:rsidRPr="003D53E8">
        <w:rPr>
          <w:sz w:val="26"/>
          <w:szCs w:val="26"/>
          <w:lang w:val="lt-LT"/>
        </w:rPr>
        <w:t xml:space="preserve">audito </w:t>
      </w:r>
      <w:r w:rsidR="00184A76" w:rsidRPr="003D53E8">
        <w:rPr>
          <w:sz w:val="26"/>
          <w:szCs w:val="26"/>
          <w:lang w:val="lt-LT"/>
        </w:rPr>
        <w:t>rizikos modeliais, įgimtos ir kontrolės rizikų koncepcijomis bei jas vertina skirtingu lygmeniu, tačiau mokslo darbuose sutinkami tam tikri audito rizikos modeliai</w:t>
      </w:r>
      <w:r w:rsidR="00745B38" w:rsidRPr="003D53E8">
        <w:rPr>
          <w:sz w:val="26"/>
          <w:szCs w:val="26"/>
          <w:lang w:val="lt-LT"/>
        </w:rPr>
        <w:t xml:space="preserve">, kurie gali </w:t>
      </w:r>
      <w:r w:rsidR="00745B38" w:rsidRPr="003D53E8">
        <w:rPr>
          <w:sz w:val="26"/>
          <w:szCs w:val="26"/>
          <w:lang w:val="lt-LT"/>
        </w:rPr>
        <w:lastRenderedPageBreak/>
        <w:t>būti svarbūs audito rizikos vertinimui</w:t>
      </w:r>
      <w:r w:rsidR="00184A76" w:rsidRPr="003D53E8">
        <w:rPr>
          <w:sz w:val="26"/>
          <w:szCs w:val="26"/>
          <w:lang w:val="lt-LT"/>
        </w:rPr>
        <w:t xml:space="preserve">. </w:t>
      </w:r>
      <w:r w:rsidR="009B2B37" w:rsidRPr="003D53E8">
        <w:rPr>
          <w:sz w:val="26"/>
          <w:szCs w:val="26"/>
          <w:lang w:val="lt-LT"/>
        </w:rPr>
        <w:t>A</w:t>
      </w:r>
      <w:r w:rsidR="00184A76" w:rsidRPr="003D53E8">
        <w:rPr>
          <w:sz w:val="26"/>
          <w:szCs w:val="26"/>
          <w:lang w:val="lt-LT"/>
        </w:rPr>
        <w:t xml:space="preserve">udito rizikos modelių kūrimo pradžia laikomi 1970-ieji, kuomet įvairūs autoriai (D. M. Roberts, 1974; K. Stringer, 1975; C. S. Waren, 1979) ir profesinės organizacijos </w:t>
      </w:r>
      <w:r w:rsidR="009B2B37" w:rsidRPr="003D53E8">
        <w:rPr>
          <w:sz w:val="26"/>
          <w:szCs w:val="26"/>
          <w:lang w:val="lt-LT"/>
        </w:rPr>
        <w:t>(</w:t>
      </w:r>
      <w:r w:rsidR="00184A76" w:rsidRPr="003D53E8">
        <w:rPr>
          <w:sz w:val="26"/>
          <w:szCs w:val="26"/>
          <w:lang w:val="lt-LT"/>
        </w:rPr>
        <w:t>CICA</w:t>
      </w:r>
      <w:r w:rsidR="009B2B37" w:rsidRPr="003D53E8">
        <w:rPr>
          <w:rStyle w:val="FootnoteReference"/>
          <w:sz w:val="26"/>
          <w:szCs w:val="26"/>
          <w:lang w:val="lt-LT"/>
        </w:rPr>
        <w:footnoteReference w:id="16"/>
      </w:r>
      <w:r w:rsidR="00184A76" w:rsidRPr="003D53E8">
        <w:rPr>
          <w:sz w:val="26"/>
          <w:szCs w:val="26"/>
          <w:lang w:val="lt-LT"/>
        </w:rPr>
        <w:t>, AICPA</w:t>
      </w:r>
      <w:r w:rsidR="00F91B5C" w:rsidRPr="003D53E8">
        <w:rPr>
          <w:rStyle w:val="FootnoteReference"/>
          <w:sz w:val="26"/>
          <w:szCs w:val="26"/>
          <w:lang w:val="lt-LT"/>
        </w:rPr>
        <w:footnoteReference w:id="17"/>
      </w:r>
      <w:r w:rsidR="00184A76" w:rsidRPr="003D53E8">
        <w:rPr>
          <w:sz w:val="26"/>
          <w:szCs w:val="26"/>
          <w:lang w:val="lt-LT"/>
        </w:rPr>
        <w:t xml:space="preserve">) pateikė savo siūlymus dėl audito rizikos modelio išraiškos, žr. </w:t>
      </w:r>
      <w:r w:rsidR="009A700C" w:rsidRPr="003D53E8">
        <w:rPr>
          <w:sz w:val="26"/>
          <w:szCs w:val="26"/>
          <w:lang w:val="lt-LT"/>
        </w:rPr>
        <w:t>5</w:t>
      </w:r>
      <w:r w:rsidR="00184A76" w:rsidRPr="003D53E8">
        <w:rPr>
          <w:sz w:val="26"/>
          <w:szCs w:val="26"/>
          <w:lang w:val="lt-LT"/>
        </w:rPr>
        <w:t xml:space="preserve"> priedas.</w:t>
      </w:r>
      <w:r w:rsidR="009B2B37" w:rsidRPr="003D53E8">
        <w:rPr>
          <w:sz w:val="26"/>
          <w:szCs w:val="26"/>
          <w:lang w:val="lt-LT"/>
        </w:rPr>
        <w:t xml:space="preserve"> Tačiau visuotinai priimtiną audito rizikos modelį (toliau – klasikinis audito rizikos modelis) paskelbė AICPA 1983 metais 47-ajame SAS, </w:t>
      </w:r>
      <w:r w:rsidR="00184A76" w:rsidRPr="003D53E8">
        <w:rPr>
          <w:sz w:val="26"/>
          <w:szCs w:val="26"/>
          <w:lang w:val="lt-LT"/>
        </w:rPr>
        <w:t>kur</w:t>
      </w:r>
      <w:r w:rsidR="009B2B37" w:rsidRPr="003D53E8">
        <w:rPr>
          <w:sz w:val="26"/>
          <w:szCs w:val="26"/>
          <w:lang w:val="lt-LT"/>
        </w:rPr>
        <w:t xml:space="preserve">į ir pirmiausia </w:t>
      </w:r>
      <w:r w:rsidR="00184A76" w:rsidRPr="003D53E8">
        <w:rPr>
          <w:sz w:val="26"/>
          <w:szCs w:val="26"/>
          <w:lang w:val="lt-LT"/>
        </w:rPr>
        <w:t>aptarsime</w:t>
      </w:r>
      <w:r w:rsidR="009B2B37" w:rsidRPr="003D53E8">
        <w:rPr>
          <w:sz w:val="26"/>
          <w:szCs w:val="26"/>
          <w:lang w:val="lt-LT"/>
        </w:rPr>
        <w:t>.</w:t>
      </w:r>
    </w:p>
    <w:p w:rsidR="00F406E4" w:rsidRPr="003D53E8" w:rsidRDefault="00184A76" w:rsidP="008C615B">
      <w:pPr>
        <w:tabs>
          <w:tab w:val="left" w:pos="851"/>
        </w:tabs>
        <w:spacing w:line="360" w:lineRule="auto"/>
        <w:jc w:val="both"/>
        <w:rPr>
          <w:sz w:val="26"/>
          <w:szCs w:val="26"/>
          <w:lang w:val="lt-LT"/>
        </w:rPr>
      </w:pPr>
      <w:r w:rsidRPr="003D53E8">
        <w:rPr>
          <w:sz w:val="26"/>
          <w:szCs w:val="26"/>
          <w:lang w:val="lt-LT"/>
        </w:rPr>
        <w:tab/>
      </w:r>
      <w:r w:rsidR="009B6941" w:rsidRPr="003D53E8">
        <w:rPr>
          <w:b/>
          <w:sz w:val="26"/>
          <w:szCs w:val="26"/>
          <w:lang w:val="lt-LT"/>
        </w:rPr>
        <w:t>Klasikinis audito rizikos modelis</w:t>
      </w:r>
      <w:bookmarkEnd w:id="25"/>
      <w:bookmarkEnd w:id="26"/>
      <w:bookmarkEnd w:id="27"/>
      <w:r w:rsidRPr="003D53E8">
        <w:rPr>
          <w:b/>
          <w:sz w:val="26"/>
          <w:szCs w:val="26"/>
          <w:lang w:val="lt-LT"/>
        </w:rPr>
        <w:t>.</w:t>
      </w:r>
      <w:r w:rsidR="009B2B37" w:rsidRPr="003D53E8">
        <w:rPr>
          <w:sz w:val="26"/>
          <w:szCs w:val="26"/>
          <w:lang w:val="lt-LT"/>
        </w:rPr>
        <w:t xml:space="preserve"> Šiame modelyje</w:t>
      </w:r>
      <w:r w:rsidR="009B2B37" w:rsidRPr="003D53E8">
        <w:rPr>
          <w:b/>
          <w:sz w:val="26"/>
          <w:szCs w:val="26"/>
          <w:lang w:val="lt-LT"/>
        </w:rPr>
        <w:t xml:space="preserve"> </w:t>
      </w:r>
      <w:r w:rsidR="009B6941" w:rsidRPr="003D53E8">
        <w:rPr>
          <w:sz w:val="26"/>
          <w:szCs w:val="26"/>
          <w:lang w:val="lt-LT"/>
        </w:rPr>
        <w:t>audito rizika nagrinėjama kaip funkcija įgimtos rizikos, kurios auditorius negali kontroliuoti, bei kontrolės ir aptikimo rizikų</w:t>
      </w:r>
      <w:r w:rsidR="00D2574C" w:rsidRPr="003D53E8">
        <w:rPr>
          <w:sz w:val="26"/>
          <w:szCs w:val="26"/>
          <w:lang w:val="lt-LT"/>
        </w:rPr>
        <w:t>, o s</w:t>
      </w:r>
      <w:r w:rsidR="005F2BAD" w:rsidRPr="003D53E8">
        <w:rPr>
          <w:sz w:val="26"/>
          <w:szCs w:val="26"/>
          <w:lang w:val="lt-LT"/>
        </w:rPr>
        <w:t>ąryšis</w:t>
      </w:r>
      <w:r w:rsidR="009B6941" w:rsidRPr="003D53E8">
        <w:rPr>
          <w:sz w:val="26"/>
          <w:szCs w:val="26"/>
          <w:lang w:val="lt-LT"/>
        </w:rPr>
        <w:t xml:space="preserve"> tarp audito rizikos komponentų (įgimtos, kontrolės ir aptikimo rizikų) matematiškai išreiškiamas formule</w:t>
      </w:r>
      <w:r w:rsidR="005527F5" w:rsidRPr="003D53E8">
        <w:rPr>
          <w:sz w:val="26"/>
          <w:szCs w:val="26"/>
          <w:lang w:val="lt-LT"/>
        </w:rPr>
        <w:t>:</w:t>
      </w:r>
    </w:p>
    <w:p w:rsidR="009B6941" w:rsidRPr="003D53E8" w:rsidRDefault="006504A6">
      <w:pPr>
        <w:spacing w:line="360" w:lineRule="auto"/>
        <w:ind w:left="2160" w:firstLine="720"/>
        <w:jc w:val="both"/>
        <w:rPr>
          <w:i/>
          <w:sz w:val="26"/>
          <w:szCs w:val="26"/>
          <w:lang w:val="lt-LT"/>
        </w:rPr>
      </w:pPr>
      <w:r w:rsidRPr="003D53E8">
        <w:rPr>
          <w:i/>
          <w:sz w:val="26"/>
          <w:szCs w:val="26"/>
          <w:lang w:val="lt-LT"/>
        </w:rPr>
        <w:t>AR = IR x CR x DR</w:t>
      </w:r>
      <w:r w:rsidR="00DF72E0" w:rsidRPr="003D53E8">
        <w:rPr>
          <w:i/>
          <w:sz w:val="26"/>
          <w:szCs w:val="26"/>
          <w:lang w:val="lt-LT"/>
        </w:rPr>
        <w:t xml:space="preserve"> </w:t>
      </w:r>
      <w:r w:rsidR="00DF72E0" w:rsidRPr="003D53E8">
        <w:rPr>
          <w:i/>
          <w:sz w:val="26"/>
          <w:szCs w:val="26"/>
          <w:lang w:val="lt-LT"/>
        </w:rPr>
        <w:tab/>
      </w:r>
      <w:r w:rsidR="00DF72E0" w:rsidRPr="003D53E8">
        <w:rPr>
          <w:i/>
          <w:sz w:val="26"/>
          <w:szCs w:val="26"/>
          <w:lang w:val="lt-LT"/>
        </w:rPr>
        <w:tab/>
      </w:r>
      <w:r w:rsidR="00DF72E0" w:rsidRPr="003D53E8">
        <w:rPr>
          <w:i/>
          <w:sz w:val="26"/>
          <w:szCs w:val="26"/>
          <w:lang w:val="lt-LT"/>
        </w:rPr>
        <w:tab/>
      </w:r>
      <w:r w:rsidR="00DF72E0" w:rsidRPr="003D53E8">
        <w:rPr>
          <w:i/>
          <w:sz w:val="26"/>
          <w:szCs w:val="26"/>
          <w:lang w:val="lt-LT"/>
        </w:rPr>
        <w:tab/>
      </w:r>
      <w:r w:rsidR="00DF72E0" w:rsidRPr="003D53E8">
        <w:rPr>
          <w:i/>
          <w:sz w:val="26"/>
          <w:szCs w:val="26"/>
          <w:lang w:val="lt-LT"/>
        </w:rPr>
        <w:tab/>
        <w:t>(1)</w:t>
      </w:r>
    </w:p>
    <w:p w:rsidR="009B6941" w:rsidRPr="009A3FB3" w:rsidRDefault="009B6941" w:rsidP="006504A6">
      <w:pPr>
        <w:spacing w:line="360" w:lineRule="auto"/>
        <w:jc w:val="both"/>
        <w:rPr>
          <w:sz w:val="22"/>
          <w:szCs w:val="22"/>
          <w:lang w:val="lt-LT"/>
        </w:rPr>
      </w:pPr>
      <w:r w:rsidRPr="009A3FB3">
        <w:rPr>
          <w:sz w:val="22"/>
          <w:szCs w:val="22"/>
          <w:lang w:val="lt-LT"/>
        </w:rPr>
        <w:t xml:space="preserve">kur: AR – audito rizika; IR – įgimta rizika; CR – kontrolės rizika; DR – aptikimo rizika. </w:t>
      </w:r>
    </w:p>
    <w:p w:rsidR="00B47D13" w:rsidRPr="003D53E8" w:rsidRDefault="002A0186" w:rsidP="002A0186">
      <w:pPr>
        <w:tabs>
          <w:tab w:val="left" w:pos="709"/>
        </w:tabs>
        <w:spacing w:line="360" w:lineRule="auto"/>
        <w:jc w:val="both"/>
        <w:rPr>
          <w:sz w:val="26"/>
          <w:szCs w:val="26"/>
          <w:lang w:val="lt-LT"/>
        </w:rPr>
      </w:pPr>
      <w:r w:rsidRPr="003D53E8">
        <w:rPr>
          <w:color w:val="FF0000"/>
          <w:sz w:val="26"/>
          <w:szCs w:val="26"/>
          <w:lang w:val="lt-LT"/>
        </w:rPr>
        <w:tab/>
      </w:r>
      <w:r w:rsidR="009B6941" w:rsidRPr="003D53E8">
        <w:rPr>
          <w:sz w:val="26"/>
          <w:szCs w:val="26"/>
          <w:lang w:val="lt-LT"/>
        </w:rPr>
        <w:t xml:space="preserve">Pažymėtina, jog klasikinis audito rizikos modelis parodo tiesinę priklausomybę tarp audito rizikos </w:t>
      </w:r>
      <w:r w:rsidR="00C61901" w:rsidRPr="003D53E8">
        <w:rPr>
          <w:sz w:val="26"/>
          <w:szCs w:val="26"/>
          <w:lang w:val="lt-LT"/>
        </w:rPr>
        <w:t xml:space="preserve">ir jos </w:t>
      </w:r>
      <w:r w:rsidR="009B6941" w:rsidRPr="003D53E8">
        <w:rPr>
          <w:sz w:val="26"/>
          <w:szCs w:val="26"/>
          <w:lang w:val="lt-LT"/>
        </w:rPr>
        <w:t xml:space="preserve">komponentų: įgimtos, kontrolės ir aptikimo rizikų. </w:t>
      </w:r>
      <w:r w:rsidR="00EE49C5" w:rsidRPr="003D53E8">
        <w:rPr>
          <w:sz w:val="26"/>
          <w:szCs w:val="26"/>
          <w:lang w:val="lt-LT"/>
        </w:rPr>
        <w:t xml:space="preserve">Todėl gali būti naudojami trys būdai norint sumažinti audito riziką iki priimtino lygio: 1) </w:t>
      </w:r>
      <w:r w:rsidR="00EE49C5" w:rsidRPr="003D53E8">
        <w:rPr>
          <w:i/>
          <w:sz w:val="26"/>
          <w:szCs w:val="26"/>
          <w:lang w:val="lt-LT"/>
        </w:rPr>
        <w:t>sumažinant įgimtą riziką:</w:t>
      </w:r>
      <w:r w:rsidR="00EE49C5" w:rsidRPr="003D53E8">
        <w:rPr>
          <w:sz w:val="26"/>
          <w:szCs w:val="26"/>
          <w:lang w:val="lt-LT"/>
        </w:rPr>
        <w:t xml:space="preserve"> auditorius įgimtą riziką įvertina atsižvelgdamas į </w:t>
      </w:r>
      <w:r w:rsidR="0043630A" w:rsidRPr="003D53E8">
        <w:rPr>
          <w:sz w:val="26"/>
          <w:szCs w:val="26"/>
          <w:lang w:val="lt-LT"/>
        </w:rPr>
        <w:t>įmonės</w:t>
      </w:r>
      <w:r w:rsidR="00EE49C5" w:rsidRPr="003D53E8">
        <w:rPr>
          <w:sz w:val="26"/>
          <w:szCs w:val="26"/>
          <w:lang w:val="lt-LT"/>
        </w:rPr>
        <w:t xml:space="preserve"> savybes, tad šis įvertinimas daromas auditą planuojant ir jis dažniausiai nepasikeičia, nebent paaiškėtų tam tikros aplinkybės; 2) </w:t>
      </w:r>
      <w:r w:rsidR="00EE49C5" w:rsidRPr="003D53E8">
        <w:rPr>
          <w:i/>
          <w:sz w:val="26"/>
          <w:szCs w:val="26"/>
          <w:lang w:val="lt-LT"/>
        </w:rPr>
        <w:t>sumažinant kontrolės riziką</w:t>
      </w:r>
      <w:r w:rsidR="00EE49C5" w:rsidRPr="003D53E8">
        <w:rPr>
          <w:sz w:val="26"/>
          <w:szCs w:val="26"/>
          <w:lang w:val="lt-LT"/>
        </w:rPr>
        <w:t xml:space="preserve">: kadangi kontrolės rizikos įvertinimas priklauso nuo įmonės </w:t>
      </w:r>
      <w:r w:rsidR="00A048CA" w:rsidRPr="003D53E8">
        <w:rPr>
          <w:sz w:val="26"/>
          <w:szCs w:val="26"/>
          <w:lang w:val="lt-LT"/>
        </w:rPr>
        <w:t xml:space="preserve">vidaus </w:t>
      </w:r>
      <w:r w:rsidR="00EE49C5" w:rsidRPr="003D53E8">
        <w:rPr>
          <w:sz w:val="26"/>
          <w:szCs w:val="26"/>
          <w:lang w:val="lt-LT"/>
        </w:rPr>
        <w:t>kontrolės sistem</w:t>
      </w:r>
      <w:r w:rsidR="00A048CA" w:rsidRPr="003D53E8">
        <w:rPr>
          <w:sz w:val="26"/>
          <w:szCs w:val="26"/>
          <w:lang w:val="lt-LT"/>
        </w:rPr>
        <w:t>os</w:t>
      </w:r>
      <w:r w:rsidR="00EE49C5" w:rsidRPr="003D53E8">
        <w:rPr>
          <w:sz w:val="26"/>
          <w:szCs w:val="26"/>
          <w:lang w:val="lt-LT"/>
        </w:rPr>
        <w:t xml:space="preserve"> </w:t>
      </w:r>
      <w:r w:rsidR="00146CF2" w:rsidRPr="003D53E8">
        <w:rPr>
          <w:sz w:val="26"/>
          <w:szCs w:val="26"/>
          <w:lang w:val="lt-LT"/>
        </w:rPr>
        <w:t>veiksmingumo</w:t>
      </w:r>
      <w:r w:rsidR="00EE49C5" w:rsidRPr="003D53E8">
        <w:rPr>
          <w:sz w:val="26"/>
          <w:szCs w:val="26"/>
          <w:lang w:val="lt-LT"/>
        </w:rPr>
        <w:t>, tai auditorius gali sumažinti kontrolės riziką atlik</w:t>
      </w:r>
      <w:r w:rsidR="00990D94" w:rsidRPr="003D53E8">
        <w:rPr>
          <w:sz w:val="26"/>
          <w:szCs w:val="26"/>
          <w:lang w:val="lt-LT"/>
        </w:rPr>
        <w:t>ę</w:t>
      </w:r>
      <w:r w:rsidR="00EE49C5" w:rsidRPr="003D53E8">
        <w:rPr>
          <w:sz w:val="26"/>
          <w:szCs w:val="26"/>
          <w:lang w:val="lt-LT"/>
        </w:rPr>
        <w:t>s papildomą kontrolės testų kiekį, kurie patvirtintų, kad įmonė</w:t>
      </w:r>
      <w:r w:rsidR="00990D94" w:rsidRPr="003D53E8">
        <w:rPr>
          <w:sz w:val="26"/>
          <w:szCs w:val="26"/>
          <w:lang w:val="lt-LT"/>
        </w:rPr>
        <w:t>je</w:t>
      </w:r>
      <w:r w:rsidR="00EE49C5" w:rsidRPr="003D53E8">
        <w:rPr>
          <w:sz w:val="26"/>
          <w:szCs w:val="26"/>
          <w:lang w:val="lt-LT"/>
        </w:rPr>
        <w:t xml:space="preserve"> </w:t>
      </w:r>
      <w:r w:rsidR="008C0E58" w:rsidRPr="003D53E8">
        <w:rPr>
          <w:sz w:val="26"/>
          <w:szCs w:val="26"/>
          <w:lang w:val="lt-LT"/>
        </w:rPr>
        <w:t xml:space="preserve">yra veiksminga </w:t>
      </w:r>
      <w:r w:rsidR="00A048CA" w:rsidRPr="003D53E8">
        <w:rPr>
          <w:sz w:val="26"/>
          <w:szCs w:val="26"/>
          <w:lang w:val="lt-LT"/>
        </w:rPr>
        <w:t xml:space="preserve">vidaus </w:t>
      </w:r>
      <w:r w:rsidR="00EE49C5" w:rsidRPr="003D53E8">
        <w:rPr>
          <w:sz w:val="26"/>
          <w:szCs w:val="26"/>
          <w:lang w:val="lt-LT"/>
        </w:rPr>
        <w:t xml:space="preserve">kontrolės sistema; 3) </w:t>
      </w:r>
      <w:r w:rsidR="00EE49C5" w:rsidRPr="003D53E8">
        <w:rPr>
          <w:i/>
          <w:sz w:val="26"/>
          <w:szCs w:val="26"/>
          <w:lang w:val="lt-LT"/>
        </w:rPr>
        <w:t>sumažinant aptikimo riziką</w:t>
      </w:r>
      <w:r w:rsidR="00EE49C5" w:rsidRPr="003D53E8">
        <w:rPr>
          <w:sz w:val="26"/>
          <w:szCs w:val="26"/>
          <w:lang w:val="lt-LT"/>
        </w:rPr>
        <w:t xml:space="preserve">: auditorius, </w:t>
      </w:r>
      <w:r w:rsidR="00990D94" w:rsidRPr="003D53E8">
        <w:rPr>
          <w:sz w:val="26"/>
          <w:szCs w:val="26"/>
          <w:lang w:val="lt-LT"/>
        </w:rPr>
        <w:t>atlikę</w:t>
      </w:r>
      <w:r w:rsidR="00EE49C5" w:rsidRPr="003D53E8">
        <w:rPr>
          <w:sz w:val="26"/>
          <w:szCs w:val="26"/>
          <w:lang w:val="lt-LT"/>
        </w:rPr>
        <w:t>s papildomas audito procedūras ir</w:t>
      </w:r>
      <w:r w:rsidR="00A048CA" w:rsidRPr="003D53E8">
        <w:rPr>
          <w:sz w:val="26"/>
          <w:szCs w:val="26"/>
          <w:lang w:val="lt-LT"/>
        </w:rPr>
        <w:t>/ar</w:t>
      </w:r>
      <w:r w:rsidR="00EE49C5" w:rsidRPr="003D53E8">
        <w:rPr>
          <w:sz w:val="26"/>
          <w:szCs w:val="26"/>
          <w:lang w:val="lt-LT"/>
        </w:rPr>
        <w:t xml:space="preserve"> pritaikęs platesnę atranką gali sumažinti aptikimo riziką, o tuo pačiu ir audito riziką.</w:t>
      </w:r>
      <w:r w:rsidR="00490B2A" w:rsidRPr="003D53E8">
        <w:rPr>
          <w:sz w:val="26"/>
          <w:szCs w:val="26"/>
          <w:lang w:val="lt-LT"/>
        </w:rPr>
        <w:t xml:space="preserve"> </w:t>
      </w:r>
      <w:r w:rsidR="00B47D13" w:rsidRPr="003D53E8">
        <w:rPr>
          <w:sz w:val="26"/>
          <w:szCs w:val="26"/>
          <w:lang w:val="lt-LT"/>
        </w:rPr>
        <w:t>Be to, galima pastebėti, kad klasikinis audito rizikos modelis remiasi tikimybių teorija, kai visi trys audito rizikos komponentai (įgimta, kontrolės ir aptikimo rizikos) yra laikomi kaip atskiri</w:t>
      </w:r>
      <w:r w:rsidR="0024385A" w:rsidRPr="003D53E8">
        <w:rPr>
          <w:sz w:val="26"/>
          <w:szCs w:val="26"/>
          <w:lang w:val="lt-LT"/>
        </w:rPr>
        <w:t xml:space="preserve">, vienas nuo kito </w:t>
      </w:r>
      <w:r w:rsidR="0024385A" w:rsidRPr="003D53E8">
        <w:rPr>
          <w:sz w:val="26"/>
          <w:szCs w:val="26"/>
          <w:lang w:val="lt-LT"/>
        </w:rPr>
        <w:lastRenderedPageBreak/>
        <w:t>nepriklausomi</w:t>
      </w:r>
      <w:r w:rsidR="00B47D13" w:rsidRPr="003D53E8">
        <w:rPr>
          <w:sz w:val="26"/>
          <w:szCs w:val="26"/>
          <w:lang w:val="lt-LT"/>
        </w:rPr>
        <w:t xml:space="preserve"> įvykiai. Todėl </w:t>
      </w:r>
      <w:r w:rsidR="007D68A0" w:rsidRPr="003D53E8">
        <w:rPr>
          <w:sz w:val="26"/>
          <w:szCs w:val="26"/>
          <w:lang w:val="lt-LT"/>
        </w:rPr>
        <w:t xml:space="preserve">jame </w:t>
      </w:r>
      <w:r w:rsidR="00B47D13" w:rsidRPr="003D53E8">
        <w:rPr>
          <w:sz w:val="26"/>
          <w:szCs w:val="26"/>
          <w:lang w:val="lt-LT"/>
        </w:rPr>
        <w:t xml:space="preserve">audito rizika suprantama kaip įvykių rinkinys ir trijų tikimybių rezultatas. </w:t>
      </w:r>
    </w:p>
    <w:p w:rsidR="009B6941" w:rsidRPr="003D53E8" w:rsidRDefault="00490B2A" w:rsidP="00B47D13">
      <w:pPr>
        <w:spacing w:line="360" w:lineRule="auto"/>
        <w:ind w:firstLine="851"/>
        <w:jc w:val="both"/>
        <w:rPr>
          <w:sz w:val="26"/>
          <w:szCs w:val="26"/>
          <w:lang w:val="lt-LT"/>
        </w:rPr>
      </w:pPr>
      <w:r w:rsidRPr="003D53E8">
        <w:rPr>
          <w:sz w:val="26"/>
          <w:szCs w:val="26"/>
          <w:lang w:val="lt-LT"/>
        </w:rPr>
        <w:t>Toliau a</w:t>
      </w:r>
      <w:r w:rsidR="009B6941" w:rsidRPr="003D53E8">
        <w:rPr>
          <w:sz w:val="26"/>
          <w:szCs w:val="26"/>
          <w:lang w:val="lt-LT"/>
        </w:rPr>
        <w:t xml:space="preserve">nalizuojant </w:t>
      </w:r>
      <w:r w:rsidR="00EE49C5" w:rsidRPr="003D53E8">
        <w:rPr>
          <w:sz w:val="26"/>
          <w:szCs w:val="26"/>
          <w:lang w:val="lt-LT"/>
        </w:rPr>
        <w:t xml:space="preserve">klasikinį </w:t>
      </w:r>
      <w:r w:rsidR="009B6941" w:rsidRPr="003D53E8">
        <w:rPr>
          <w:sz w:val="26"/>
          <w:szCs w:val="26"/>
          <w:lang w:val="lt-LT"/>
        </w:rPr>
        <w:t xml:space="preserve">audito rizikos modelį svarbu išsiaiškinti, kokie </w:t>
      </w:r>
      <w:r w:rsidR="000541EE" w:rsidRPr="003D53E8">
        <w:rPr>
          <w:sz w:val="26"/>
          <w:szCs w:val="26"/>
          <w:lang w:val="lt-LT"/>
        </w:rPr>
        <w:t xml:space="preserve">šio </w:t>
      </w:r>
      <w:r w:rsidR="009B6941" w:rsidRPr="003D53E8">
        <w:rPr>
          <w:sz w:val="26"/>
          <w:szCs w:val="26"/>
          <w:lang w:val="lt-LT"/>
        </w:rPr>
        <w:t xml:space="preserve">modelio pranašumai bei trūkumai </w:t>
      </w:r>
      <w:r w:rsidR="00FE5188" w:rsidRPr="003D53E8">
        <w:rPr>
          <w:sz w:val="26"/>
          <w:szCs w:val="26"/>
          <w:lang w:val="lt-LT"/>
        </w:rPr>
        <w:t>aptariami</w:t>
      </w:r>
      <w:r w:rsidR="009B6941" w:rsidRPr="003D53E8">
        <w:rPr>
          <w:sz w:val="26"/>
          <w:szCs w:val="26"/>
          <w:lang w:val="lt-LT"/>
        </w:rPr>
        <w:t xml:space="preserve"> audito teori</w:t>
      </w:r>
      <w:r w:rsidRPr="003D53E8">
        <w:rPr>
          <w:sz w:val="26"/>
          <w:szCs w:val="26"/>
          <w:lang w:val="lt-LT"/>
        </w:rPr>
        <w:t>joje bei praktikoje</w:t>
      </w:r>
      <w:r w:rsidR="009B6941" w:rsidRPr="003D53E8">
        <w:rPr>
          <w:sz w:val="26"/>
          <w:szCs w:val="26"/>
          <w:lang w:val="lt-LT"/>
        </w:rPr>
        <w:t xml:space="preserve">. </w:t>
      </w:r>
    </w:p>
    <w:p w:rsidR="00351EA6" w:rsidRPr="003D53E8" w:rsidRDefault="000343F0" w:rsidP="00806C46">
      <w:pPr>
        <w:spacing w:line="360" w:lineRule="auto"/>
        <w:ind w:firstLine="840"/>
        <w:jc w:val="both"/>
        <w:rPr>
          <w:sz w:val="26"/>
          <w:szCs w:val="26"/>
          <w:lang w:val="lt-LT"/>
        </w:rPr>
      </w:pPr>
      <w:r w:rsidRPr="003D53E8">
        <w:rPr>
          <w:sz w:val="26"/>
          <w:szCs w:val="26"/>
          <w:u w:val="single"/>
          <w:lang w:val="lt-LT"/>
        </w:rPr>
        <w:t>P</w:t>
      </w:r>
      <w:r w:rsidR="009B6941" w:rsidRPr="003D53E8">
        <w:rPr>
          <w:sz w:val="26"/>
          <w:szCs w:val="26"/>
          <w:u w:val="single"/>
          <w:lang w:val="lt-LT"/>
        </w:rPr>
        <w:t>r</w:t>
      </w:r>
      <w:r w:rsidR="00905E53" w:rsidRPr="003D53E8">
        <w:rPr>
          <w:sz w:val="26"/>
          <w:szCs w:val="26"/>
          <w:u w:val="single"/>
          <w:lang w:val="lt-LT"/>
        </w:rPr>
        <w:t>ivalumai</w:t>
      </w:r>
      <w:r w:rsidR="009B6941" w:rsidRPr="003D53E8">
        <w:rPr>
          <w:sz w:val="26"/>
          <w:szCs w:val="26"/>
          <w:u w:val="single"/>
          <w:lang w:val="lt-LT"/>
        </w:rPr>
        <w:t>.</w:t>
      </w:r>
      <w:r w:rsidR="00FE5188" w:rsidRPr="003D53E8">
        <w:rPr>
          <w:sz w:val="26"/>
          <w:szCs w:val="26"/>
          <w:lang w:val="lt-LT"/>
        </w:rPr>
        <w:t xml:space="preserve"> Visų pirma</w:t>
      </w:r>
      <w:r w:rsidR="009B6941" w:rsidRPr="003D53E8">
        <w:rPr>
          <w:sz w:val="26"/>
          <w:szCs w:val="26"/>
          <w:lang w:val="lt-LT"/>
        </w:rPr>
        <w:t xml:space="preserve"> </w:t>
      </w:r>
      <w:r w:rsidR="00FE5188" w:rsidRPr="003D53E8">
        <w:rPr>
          <w:sz w:val="26"/>
          <w:szCs w:val="26"/>
          <w:lang w:val="lt-LT"/>
        </w:rPr>
        <w:t xml:space="preserve">reikėtų pripažinti, kad klasikinis </w:t>
      </w:r>
      <w:r w:rsidR="009B6941" w:rsidRPr="003D53E8">
        <w:rPr>
          <w:sz w:val="26"/>
          <w:szCs w:val="26"/>
          <w:lang w:val="lt-LT"/>
        </w:rPr>
        <w:t xml:space="preserve">audito rizikos modelis </w:t>
      </w:r>
      <w:r w:rsidR="009B6941" w:rsidRPr="003D53E8">
        <w:rPr>
          <w:i/>
          <w:sz w:val="26"/>
          <w:szCs w:val="26"/>
          <w:lang w:val="lt-LT"/>
        </w:rPr>
        <w:t>pateikia tam tikrą supratimą apie audito riziką ir jos komponentus</w:t>
      </w:r>
      <w:r w:rsidR="009B6941" w:rsidRPr="003D53E8">
        <w:rPr>
          <w:sz w:val="26"/>
          <w:szCs w:val="26"/>
          <w:lang w:val="lt-LT"/>
        </w:rPr>
        <w:t xml:space="preserve">. Pagal </w:t>
      </w:r>
      <w:r w:rsidR="00FE5188" w:rsidRPr="003D53E8">
        <w:rPr>
          <w:sz w:val="26"/>
          <w:szCs w:val="26"/>
          <w:lang w:val="lt-LT"/>
        </w:rPr>
        <w:t>jį</w:t>
      </w:r>
      <w:r w:rsidR="009B6941" w:rsidRPr="003D53E8">
        <w:rPr>
          <w:sz w:val="26"/>
          <w:szCs w:val="26"/>
          <w:lang w:val="lt-LT"/>
        </w:rPr>
        <w:t xml:space="preserve"> auditorius </w:t>
      </w:r>
      <w:r w:rsidR="00303356" w:rsidRPr="003D53E8">
        <w:rPr>
          <w:sz w:val="26"/>
          <w:szCs w:val="26"/>
          <w:lang w:val="lt-LT"/>
        </w:rPr>
        <w:t>gali</w:t>
      </w:r>
      <w:r w:rsidR="009B6941" w:rsidRPr="003D53E8">
        <w:rPr>
          <w:sz w:val="26"/>
          <w:szCs w:val="26"/>
          <w:lang w:val="lt-LT"/>
        </w:rPr>
        <w:t xml:space="preserve"> įvertinti audito rizikos komponentus, atsižvelgdamas į jų dydį lemiančius veiksnius. Remdamasis gautais audito </w:t>
      </w:r>
      <w:r w:rsidR="00B904F8" w:rsidRPr="003D53E8">
        <w:rPr>
          <w:sz w:val="26"/>
          <w:szCs w:val="26"/>
          <w:lang w:val="lt-LT"/>
        </w:rPr>
        <w:t>rizikos komponentų įvertinimais</w:t>
      </w:r>
      <w:r w:rsidR="009B6941" w:rsidRPr="003D53E8">
        <w:rPr>
          <w:sz w:val="26"/>
          <w:szCs w:val="26"/>
          <w:lang w:val="lt-LT"/>
        </w:rPr>
        <w:t>, auditorius p</w:t>
      </w:r>
      <w:r w:rsidR="00AC0BD8" w:rsidRPr="003D53E8">
        <w:rPr>
          <w:sz w:val="26"/>
          <w:szCs w:val="26"/>
          <w:lang w:val="lt-LT"/>
        </w:rPr>
        <w:t>riima</w:t>
      </w:r>
      <w:r w:rsidR="009B6941" w:rsidRPr="003D53E8">
        <w:rPr>
          <w:sz w:val="26"/>
          <w:szCs w:val="26"/>
          <w:lang w:val="lt-LT"/>
        </w:rPr>
        <w:t xml:space="preserve"> </w:t>
      </w:r>
      <w:r w:rsidR="00AC0BD8" w:rsidRPr="003D53E8">
        <w:rPr>
          <w:sz w:val="26"/>
          <w:szCs w:val="26"/>
          <w:lang w:val="lt-LT"/>
        </w:rPr>
        <w:t>sprendim</w:t>
      </w:r>
      <w:r w:rsidR="009B6941" w:rsidRPr="003D53E8">
        <w:rPr>
          <w:sz w:val="26"/>
          <w:szCs w:val="26"/>
          <w:lang w:val="lt-LT"/>
        </w:rPr>
        <w:t xml:space="preserve">ą </w:t>
      </w:r>
      <w:r w:rsidR="00B904F8" w:rsidRPr="003D53E8">
        <w:rPr>
          <w:sz w:val="26"/>
          <w:szCs w:val="26"/>
          <w:lang w:val="lt-LT"/>
        </w:rPr>
        <w:t xml:space="preserve">dėl audito </w:t>
      </w:r>
      <w:r w:rsidR="009B6941" w:rsidRPr="003D53E8">
        <w:rPr>
          <w:sz w:val="26"/>
          <w:szCs w:val="26"/>
          <w:lang w:val="lt-LT"/>
        </w:rPr>
        <w:t>įrodym</w:t>
      </w:r>
      <w:r w:rsidR="00130807" w:rsidRPr="003D53E8">
        <w:rPr>
          <w:sz w:val="26"/>
          <w:szCs w:val="26"/>
          <w:lang w:val="lt-LT"/>
        </w:rPr>
        <w:t>ų</w:t>
      </w:r>
      <w:r w:rsidR="009B6941" w:rsidRPr="003D53E8">
        <w:rPr>
          <w:sz w:val="26"/>
          <w:szCs w:val="26"/>
          <w:lang w:val="lt-LT"/>
        </w:rPr>
        <w:t xml:space="preserve"> (iš </w:t>
      </w:r>
      <w:r w:rsidR="006B52B1" w:rsidRPr="003D53E8">
        <w:rPr>
          <w:sz w:val="26"/>
          <w:szCs w:val="26"/>
          <w:lang w:val="lt-LT"/>
        </w:rPr>
        <w:t>įmonės</w:t>
      </w:r>
      <w:r w:rsidR="009B6941" w:rsidRPr="003D53E8">
        <w:rPr>
          <w:sz w:val="26"/>
          <w:szCs w:val="26"/>
          <w:lang w:val="lt-LT"/>
        </w:rPr>
        <w:t xml:space="preserve"> vid</w:t>
      </w:r>
      <w:r w:rsidR="00454D79">
        <w:rPr>
          <w:sz w:val="26"/>
          <w:szCs w:val="26"/>
          <w:lang w:val="lt-LT"/>
        </w:rPr>
        <w:t>aus</w:t>
      </w:r>
      <w:r w:rsidR="009B6941" w:rsidRPr="003D53E8">
        <w:rPr>
          <w:sz w:val="26"/>
          <w:szCs w:val="26"/>
          <w:lang w:val="lt-LT"/>
        </w:rPr>
        <w:t xml:space="preserve"> ir išor</w:t>
      </w:r>
      <w:r w:rsidR="00454D79">
        <w:rPr>
          <w:sz w:val="26"/>
          <w:szCs w:val="26"/>
          <w:lang w:val="lt-LT"/>
        </w:rPr>
        <w:t>ės</w:t>
      </w:r>
      <w:r w:rsidR="009B6941" w:rsidRPr="003D53E8">
        <w:rPr>
          <w:sz w:val="26"/>
          <w:szCs w:val="26"/>
          <w:lang w:val="lt-LT"/>
        </w:rPr>
        <w:t xml:space="preserve"> aplinkos šaltinių), k</w:t>
      </w:r>
      <w:r w:rsidR="00AC0BD8" w:rsidRPr="003D53E8">
        <w:rPr>
          <w:sz w:val="26"/>
          <w:szCs w:val="26"/>
          <w:lang w:val="lt-LT"/>
        </w:rPr>
        <w:t>ad</w:t>
      </w:r>
      <w:r w:rsidR="009B6941" w:rsidRPr="003D53E8">
        <w:rPr>
          <w:sz w:val="26"/>
          <w:szCs w:val="26"/>
          <w:lang w:val="lt-LT"/>
        </w:rPr>
        <w:t xml:space="preserve">, pasak </w:t>
      </w:r>
      <w:r w:rsidR="00D13812">
        <w:rPr>
          <w:sz w:val="26"/>
          <w:szCs w:val="26"/>
          <w:lang w:val="lt-LT"/>
        </w:rPr>
        <w:t>POB</w:t>
      </w:r>
      <w:r w:rsidR="00E17D33">
        <w:rPr>
          <w:sz w:val="26"/>
          <w:szCs w:val="26"/>
          <w:lang w:val="lt-LT"/>
        </w:rPr>
        <w:t>PAE</w:t>
      </w:r>
      <w:r w:rsidR="00D13812">
        <w:rPr>
          <w:rStyle w:val="FootnoteReference"/>
          <w:sz w:val="26"/>
          <w:szCs w:val="26"/>
          <w:lang w:val="lt-LT"/>
        </w:rPr>
        <w:footnoteReference w:id="18"/>
      </w:r>
      <w:r w:rsidR="00D13812">
        <w:rPr>
          <w:sz w:val="26"/>
          <w:szCs w:val="26"/>
          <w:lang w:val="lt-LT"/>
        </w:rPr>
        <w:t xml:space="preserve"> </w:t>
      </w:r>
      <w:r w:rsidR="009B6941" w:rsidRPr="003D53E8">
        <w:rPr>
          <w:sz w:val="26"/>
          <w:szCs w:val="26"/>
          <w:lang w:val="lt-LT"/>
        </w:rPr>
        <w:t xml:space="preserve">(2000), </w:t>
      </w:r>
      <w:r w:rsidR="00AC0BD8" w:rsidRPr="003D53E8">
        <w:rPr>
          <w:sz w:val="26"/>
          <w:szCs w:val="26"/>
          <w:lang w:val="lt-LT"/>
        </w:rPr>
        <w:t xml:space="preserve">būtų pasiektas </w:t>
      </w:r>
      <w:r w:rsidR="009B6941" w:rsidRPr="003D53E8">
        <w:rPr>
          <w:sz w:val="26"/>
          <w:szCs w:val="26"/>
          <w:lang w:val="lt-LT"/>
        </w:rPr>
        <w:t>„</w:t>
      </w:r>
      <w:r w:rsidR="003635DA" w:rsidRPr="003D53E8">
        <w:rPr>
          <w:sz w:val="26"/>
          <w:szCs w:val="26"/>
          <w:lang w:val="lt-LT"/>
        </w:rPr>
        <w:t>pakankam</w:t>
      </w:r>
      <w:r w:rsidR="00AC0BD8" w:rsidRPr="003D53E8">
        <w:rPr>
          <w:sz w:val="26"/>
          <w:szCs w:val="26"/>
          <w:lang w:val="lt-LT"/>
        </w:rPr>
        <w:t>as</w:t>
      </w:r>
      <w:r w:rsidR="003635DA" w:rsidRPr="003D53E8">
        <w:rPr>
          <w:sz w:val="26"/>
          <w:szCs w:val="26"/>
          <w:lang w:val="lt-LT"/>
        </w:rPr>
        <w:t xml:space="preserve"> užtikrinim</w:t>
      </w:r>
      <w:r w:rsidR="00AC0BD8" w:rsidRPr="003D53E8">
        <w:rPr>
          <w:sz w:val="26"/>
          <w:szCs w:val="26"/>
          <w:lang w:val="lt-LT"/>
        </w:rPr>
        <w:t>as</w:t>
      </w:r>
      <w:r w:rsidR="009B6941" w:rsidRPr="003D53E8">
        <w:rPr>
          <w:sz w:val="26"/>
          <w:szCs w:val="26"/>
          <w:lang w:val="lt-LT"/>
        </w:rPr>
        <w:t xml:space="preserve">“. </w:t>
      </w:r>
      <w:r w:rsidR="00B54BDF" w:rsidRPr="003D53E8">
        <w:rPr>
          <w:sz w:val="26"/>
          <w:szCs w:val="26"/>
          <w:lang w:val="lt-LT"/>
        </w:rPr>
        <w:t>Tam pritaria ir P. Lloyd (</w:t>
      </w:r>
      <w:r w:rsidR="007E72CD" w:rsidRPr="003D53E8">
        <w:rPr>
          <w:sz w:val="26"/>
          <w:szCs w:val="26"/>
          <w:lang w:val="lt-LT"/>
        </w:rPr>
        <w:t>2003</w:t>
      </w:r>
      <w:r w:rsidR="00B54BDF" w:rsidRPr="003D53E8">
        <w:rPr>
          <w:sz w:val="26"/>
          <w:szCs w:val="26"/>
          <w:lang w:val="lt-LT"/>
        </w:rPr>
        <w:t xml:space="preserve">) teigdamas, kad audito rizikos modelis rodo, kad audito rizika yra auditoriaus atlikto darbo ir įvairių veiksnių, susijusių su kliento veikla, funkcija. </w:t>
      </w:r>
    </w:p>
    <w:p w:rsidR="009B6941" w:rsidRPr="003D53E8" w:rsidRDefault="009B6941" w:rsidP="00351EA6">
      <w:pPr>
        <w:spacing w:line="360" w:lineRule="auto"/>
        <w:ind w:firstLine="840"/>
        <w:jc w:val="both"/>
        <w:rPr>
          <w:sz w:val="26"/>
          <w:szCs w:val="26"/>
          <w:lang w:val="lt-LT"/>
        </w:rPr>
      </w:pPr>
      <w:r w:rsidRPr="003D53E8">
        <w:rPr>
          <w:sz w:val="26"/>
          <w:szCs w:val="26"/>
          <w:lang w:val="lt-LT"/>
        </w:rPr>
        <w:t xml:space="preserve">J. C. Robertson (1990) </w:t>
      </w:r>
      <w:r w:rsidR="008C0E58" w:rsidRPr="003D53E8">
        <w:rPr>
          <w:sz w:val="26"/>
          <w:szCs w:val="26"/>
          <w:lang w:val="lt-LT"/>
        </w:rPr>
        <w:t xml:space="preserve">taip pat </w:t>
      </w:r>
      <w:r w:rsidRPr="003D53E8">
        <w:rPr>
          <w:sz w:val="26"/>
          <w:szCs w:val="26"/>
          <w:lang w:val="lt-LT"/>
        </w:rPr>
        <w:t>akcentuoja, kad audito rizikos modelis pateikia tam tikrą supratimą</w:t>
      </w:r>
      <w:r w:rsidR="00F35A92" w:rsidRPr="003D53E8">
        <w:rPr>
          <w:sz w:val="26"/>
          <w:szCs w:val="26"/>
          <w:lang w:val="lt-LT"/>
        </w:rPr>
        <w:t xml:space="preserve"> apie audito rizikos komponentus</w:t>
      </w:r>
      <w:r w:rsidRPr="003D53E8">
        <w:rPr>
          <w:sz w:val="26"/>
          <w:szCs w:val="26"/>
          <w:lang w:val="lt-LT"/>
        </w:rPr>
        <w:t>:</w:t>
      </w:r>
      <w:r w:rsidR="000541EE" w:rsidRPr="003D53E8">
        <w:rPr>
          <w:sz w:val="26"/>
          <w:szCs w:val="26"/>
          <w:lang w:val="lt-LT"/>
        </w:rPr>
        <w:t xml:space="preserve"> 1) </w:t>
      </w:r>
      <w:r w:rsidRPr="003D53E8">
        <w:rPr>
          <w:sz w:val="26"/>
          <w:szCs w:val="26"/>
          <w:lang w:val="lt-LT"/>
        </w:rPr>
        <w:t>negali</w:t>
      </w:r>
      <w:r w:rsidR="00F35A92" w:rsidRPr="003D53E8">
        <w:rPr>
          <w:sz w:val="26"/>
          <w:szCs w:val="26"/>
          <w:lang w:val="lt-LT"/>
        </w:rPr>
        <w:t>ma</w:t>
      </w:r>
      <w:r w:rsidRPr="003D53E8">
        <w:rPr>
          <w:sz w:val="26"/>
          <w:szCs w:val="26"/>
          <w:lang w:val="lt-LT"/>
        </w:rPr>
        <w:t xml:space="preserve"> visiškai pasitikėti įgimta rizika</w:t>
      </w:r>
      <w:r w:rsidR="00F35A92" w:rsidRPr="003D53E8">
        <w:rPr>
          <w:sz w:val="26"/>
          <w:szCs w:val="26"/>
          <w:lang w:val="lt-LT"/>
        </w:rPr>
        <w:t xml:space="preserve"> (IR = 0)</w:t>
      </w:r>
      <w:r w:rsidRPr="003D53E8">
        <w:rPr>
          <w:sz w:val="26"/>
          <w:szCs w:val="26"/>
          <w:lang w:val="lt-LT"/>
        </w:rPr>
        <w:t xml:space="preserve">, neatsižvelgiant į kitas </w:t>
      </w:r>
      <w:r w:rsidR="00130807" w:rsidRPr="003D53E8">
        <w:rPr>
          <w:sz w:val="26"/>
          <w:szCs w:val="26"/>
          <w:lang w:val="lt-LT"/>
        </w:rPr>
        <w:t xml:space="preserve">audito </w:t>
      </w:r>
      <w:r w:rsidRPr="003D53E8">
        <w:rPr>
          <w:sz w:val="26"/>
          <w:szCs w:val="26"/>
          <w:lang w:val="lt-LT"/>
        </w:rPr>
        <w:t>procedūras, nes t</w:t>
      </w:r>
      <w:r w:rsidR="00F35A92" w:rsidRPr="003D53E8">
        <w:rPr>
          <w:sz w:val="26"/>
          <w:szCs w:val="26"/>
          <w:lang w:val="lt-LT"/>
        </w:rPr>
        <w:t>ai nulemtų</w:t>
      </w:r>
      <w:r w:rsidRPr="003D53E8">
        <w:rPr>
          <w:sz w:val="26"/>
          <w:szCs w:val="26"/>
          <w:lang w:val="lt-LT"/>
        </w:rPr>
        <w:t>, kad audito riz</w:t>
      </w:r>
      <w:r w:rsidR="002661B1" w:rsidRPr="003D53E8">
        <w:rPr>
          <w:sz w:val="26"/>
          <w:szCs w:val="26"/>
          <w:lang w:val="lt-LT"/>
        </w:rPr>
        <w:t xml:space="preserve">ikos </w:t>
      </w:r>
      <w:r w:rsidR="00806C46" w:rsidRPr="003D53E8">
        <w:rPr>
          <w:sz w:val="26"/>
          <w:szCs w:val="26"/>
          <w:lang w:val="lt-LT"/>
        </w:rPr>
        <w:t>a</w:t>
      </w:r>
      <w:r w:rsidR="002661B1" w:rsidRPr="003D53E8">
        <w:rPr>
          <w:sz w:val="26"/>
          <w:szCs w:val="26"/>
          <w:lang w:val="lt-LT"/>
        </w:rPr>
        <w:t>nalizuojamu atveju nėra;</w:t>
      </w:r>
      <w:r w:rsidR="00806C46" w:rsidRPr="003D53E8">
        <w:rPr>
          <w:sz w:val="26"/>
          <w:szCs w:val="26"/>
          <w:lang w:val="lt-LT"/>
        </w:rPr>
        <w:t xml:space="preserve"> </w:t>
      </w:r>
      <w:r w:rsidRPr="003D53E8">
        <w:rPr>
          <w:sz w:val="26"/>
          <w:szCs w:val="26"/>
          <w:lang w:val="lt-LT"/>
        </w:rPr>
        <w:t>2)</w:t>
      </w:r>
      <w:r w:rsidR="00041860">
        <w:rPr>
          <w:sz w:val="26"/>
          <w:szCs w:val="26"/>
          <w:lang w:val="lt-LT"/>
        </w:rPr>
        <w:t> </w:t>
      </w:r>
      <w:r w:rsidRPr="003D53E8">
        <w:rPr>
          <w:sz w:val="26"/>
          <w:szCs w:val="26"/>
          <w:lang w:val="lt-LT"/>
        </w:rPr>
        <w:t>negali</w:t>
      </w:r>
      <w:r w:rsidR="00806C46" w:rsidRPr="003D53E8">
        <w:rPr>
          <w:sz w:val="26"/>
          <w:szCs w:val="26"/>
          <w:lang w:val="lt-LT"/>
        </w:rPr>
        <w:t>ma</w:t>
      </w:r>
      <w:r w:rsidRPr="003D53E8">
        <w:rPr>
          <w:sz w:val="26"/>
          <w:szCs w:val="26"/>
          <w:lang w:val="lt-LT"/>
        </w:rPr>
        <w:t xml:space="preserve"> visiškai pasitikėti įmonės vidaus kontrolės sistema</w:t>
      </w:r>
      <w:r w:rsidR="00806C46" w:rsidRPr="003D53E8">
        <w:rPr>
          <w:sz w:val="26"/>
          <w:szCs w:val="26"/>
          <w:lang w:val="lt-LT"/>
        </w:rPr>
        <w:t xml:space="preserve"> (CR = 0),</w:t>
      </w:r>
      <w:r w:rsidRPr="003D53E8">
        <w:rPr>
          <w:sz w:val="26"/>
          <w:szCs w:val="26"/>
          <w:lang w:val="lt-LT"/>
        </w:rPr>
        <w:t xml:space="preserve"> neatsižvelgiant į kitas audito</w:t>
      </w:r>
      <w:r w:rsidR="00130807" w:rsidRPr="003D53E8">
        <w:rPr>
          <w:sz w:val="26"/>
          <w:szCs w:val="26"/>
          <w:lang w:val="lt-LT"/>
        </w:rPr>
        <w:t xml:space="preserve"> procedūras, nes </w:t>
      </w:r>
      <w:r w:rsidR="00806C46" w:rsidRPr="003D53E8">
        <w:rPr>
          <w:sz w:val="26"/>
          <w:szCs w:val="26"/>
          <w:lang w:val="lt-LT"/>
        </w:rPr>
        <w:t>tai nulemtų</w:t>
      </w:r>
      <w:r w:rsidRPr="003D53E8">
        <w:rPr>
          <w:sz w:val="26"/>
          <w:szCs w:val="26"/>
          <w:lang w:val="lt-LT"/>
        </w:rPr>
        <w:t xml:space="preserve">, kad </w:t>
      </w:r>
      <w:r w:rsidR="00806C46" w:rsidRPr="003D53E8">
        <w:rPr>
          <w:sz w:val="26"/>
          <w:szCs w:val="26"/>
          <w:lang w:val="lt-LT"/>
        </w:rPr>
        <w:t xml:space="preserve">audito rizikos </w:t>
      </w:r>
      <w:r w:rsidRPr="003D53E8">
        <w:rPr>
          <w:sz w:val="26"/>
          <w:szCs w:val="26"/>
          <w:lang w:val="lt-LT"/>
        </w:rPr>
        <w:t>analizuojamu atveju nėra;</w:t>
      </w:r>
      <w:r w:rsidR="00806C46" w:rsidRPr="003D53E8">
        <w:rPr>
          <w:sz w:val="26"/>
          <w:szCs w:val="26"/>
          <w:lang w:val="lt-LT"/>
        </w:rPr>
        <w:t xml:space="preserve"> </w:t>
      </w:r>
      <w:r w:rsidRPr="003D53E8">
        <w:rPr>
          <w:sz w:val="26"/>
          <w:szCs w:val="26"/>
          <w:lang w:val="lt-LT"/>
        </w:rPr>
        <w:t xml:space="preserve">3) </w:t>
      </w:r>
      <w:r w:rsidR="00806C46" w:rsidRPr="003D53E8">
        <w:rPr>
          <w:sz w:val="26"/>
          <w:szCs w:val="26"/>
          <w:lang w:val="lt-LT"/>
        </w:rPr>
        <w:t xml:space="preserve">audito rizika bus didelė bei </w:t>
      </w:r>
      <w:r w:rsidRPr="003D53E8">
        <w:rPr>
          <w:sz w:val="26"/>
          <w:szCs w:val="26"/>
          <w:lang w:val="lt-LT"/>
        </w:rPr>
        <w:t>auditas nebus tinkamas, jei audito rizikos komponentų įvertinimai bus pernelyg aukšti;</w:t>
      </w:r>
      <w:r w:rsidR="00806C46" w:rsidRPr="003D53E8">
        <w:rPr>
          <w:sz w:val="26"/>
          <w:szCs w:val="26"/>
          <w:lang w:val="lt-LT"/>
        </w:rPr>
        <w:t xml:space="preserve"> 4)</w:t>
      </w:r>
      <w:r w:rsidR="00041860">
        <w:rPr>
          <w:sz w:val="26"/>
          <w:szCs w:val="26"/>
          <w:lang w:val="lt-LT"/>
        </w:rPr>
        <w:t> </w:t>
      </w:r>
      <w:r w:rsidRPr="003D53E8">
        <w:rPr>
          <w:sz w:val="26"/>
          <w:szCs w:val="26"/>
          <w:lang w:val="lt-LT"/>
        </w:rPr>
        <w:t>aptikimo rizikos sumažinimas iki mini</w:t>
      </w:r>
      <w:r w:rsidR="00C71BE8" w:rsidRPr="003D53E8">
        <w:rPr>
          <w:sz w:val="26"/>
          <w:szCs w:val="26"/>
          <w:lang w:val="lt-LT"/>
        </w:rPr>
        <w:t>malaus lygio leidžia sumažinti</w:t>
      </w:r>
      <w:r w:rsidRPr="003D53E8">
        <w:rPr>
          <w:sz w:val="26"/>
          <w:szCs w:val="26"/>
          <w:lang w:val="lt-LT"/>
        </w:rPr>
        <w:t xml:space="preserve"> audito riziką iki priimtin</w:t>
      </w:r>
      <w:r w:rsidR="007D68A0" w:rsidRPr="003D53E8">
        <w:rPr>
          <w:sz w:val="26"/>
          <w:szCs w:val="26"/>
          <w:lang w:val="lt-LT"/>
        </w:rPr>
        <w:t>ai žem</w:t>
      </w:r>
      <w:r w:rsidRPr="003D53E8">
        <w:rPr>
          <w:sz w:val="26"/>
          <w:szCs w:val="26"/>
          <w:lang w:val="lt-LT"/>
        </w:rPr>
        <w:t>o lygio. I. Matickienė (1997) taip pat pritaria trims J.</w:t>
      </w:r>
      <w:r w:rsidR="003D53E8">
        <w:rPr>
          <w:sz w:val="26"/>
          <w:szCs w:val="26"/>
          <w:lang w:val="lt-LT"/>
        </w:rPr>
        <w:t> </w:t>
      </w:r>
      <w:r w:rsidRPr="003D53E8">
        <w:rPr>
          <w:sz w:val="26"/>
          <w:szCs w:val="26"/>
          <w:lang w:val="lt-LT"/>
        </w:rPr>
        <w:t>C. Robertson (1991) sąlygoms, t.</w:t>
      </w:r>
      <w:r w:rsidR="0013506E" w:rsidRPr="003D53E8">
        <w:rPr>
          <w:sz w:val="26"/>
          <w:szCs w:val="26"/>
          <w:lang w:val="lt-LT"/>
        </w:rPr>
        <w:t xml:space="preserve"> </w:t>
      </w:r>
      <w:r w:rsidRPr="003D53E8">
        <w:rPr>
          <w:sz w:val="26"/>
          <w:szCs w:val="26"/>
          <w:lang w:val="lt-LT"/>
        </w:rPr>
        <w:t>y. 1), 2)</w:t>
      </w:r>
      <w:r w:rsidR="00037A04" w:rsidRPr="003D53E8">
        <w:rPr>
          <w:sz w:val="26"/>
          <w:szCs w:val="26"/>
          <w:lang w:val="lt-LT"/>
        </w:rPr>
        <w:t xml:space="preserve"> ir</w:t>
      </w:r>
      <w:r w:rsidRPr="003D53E8">
        <w:rPr>
          <w:sz w:val="26"/>
          <w:szCs w:val="26"/>
          <w:lang w:val="lt-LT"/>
        </w:rPr>
        <w:t xml:space="preserve"> 4). Be to, </w:t>
      </w:r>
      <w:r w:rsidR="006952B3" w:rsidRPr="003D53E8">
        <w:rPr>
          <w:sz w:val="26"/>
          <w:szCs w:val="26"/>
          <w:lang w:val="lt-LT"/>
        </w:rPr>
        <w:t>mokslinink</w:t>
      </w:r>
      <w:r w:rsidRPr="003D53E8">
        <w:rPr>
          <w:sz w:val="26"/>
          <w:szCs w:val="26"/>
          <w:lang w:val="lt-LT"/>
        </w:rPr>
        <w:t xml:space="preserve">ė akcentuoja ir tai, kad: 1) jeigu auditorius nori pasiekti priimtiną audito </w:t>
      </w:r>
      <w:r w:rsidR="008E0423" w:rsidRPr="003D53E8">
        <w:rPr>
          <w:sz w:val="26"/>
          <w:szCs w:val="26"/>
          <w:lang w:val="lt-LT"/>
        </w:rPr>
        <w:t>veiksming</w:t>
      </w:r>
      <w:r w:rsidRPr="003D53E8">
        <w:rPr>
          <w:sz w:val="26"/>
          <w:szCs w:val="26"/>
          <w:lang w:val="lt-LT"/>
        </w:rPr>
        <w:t>umą, tai aptikimo rizikos rodiklis</w:t>
      </w:r>
      <w:r w:rsidR="0013506E" w:rsidRPr="003D53E8">
        <w:rPr>
          <w:sz w:val="26"/>
          <w:szCs w:val="26"/>
          <w:lang w:val="lt-LT"/>
        </w:rPr>
        <w:t xml:space="preserve"> (</w:t>
      </w:r>
      <w:r w:rsidRPr="003D53E8">
        <w:rPr>
          <w:sz w:val="26"/>
          <w:szCs w:val="26"/>
          <w:lang w:val="lt-LT"/>
        </w:rPr>
        <w:t>DR</w:t>
      </w:r>
      <w:r w:rsidR="0013506E" w:rsidRPr="003D53E8">
        <w:rPr>
          <w:sz w:val="26"/>
          <w:szCs w:val="26"/>
          <w:lang w:val="lt-LT"/>
        </w:rPr>
        <w:t>)</w:t>
      </w:r>
      <w:r w:rsidRPr="003D53E8">
        <w:rPr>
          <w:sz w:val="26"/>
          <w:szCs w:val="26"/>
          <w:lang w:val="lt-LT"/>
        </w:rPr>
        <w:t xml:space="preserve"> turi būti labai aukštas, esant nepatikimai įmonės vidaus kontrolės sistemai; 2) negalima planuoti didelės aptikimo rizikos tikimybės, nes tai reikštų, jog bloga audito kokybė yra iš </w:t>
      </w:r>
      <w:r w:rsidRPr="003D53E8">
        <w:rPr>
          <w:sz w:val="26"/>
          <w:szCs w:val="26"/>
          <w:lang w:val="lt-LT"/>
        </w:rPr>
        <w:lastRenderedPageBreak/>
        <w:t>anksto planuojama. Panašiai audito rizikos modelį interpretuoja ir J.</w:t>
      </w:r>
      <w:r w:rsidR="003D53E8">
        <w:rPr>
          <w:sz w:val="26"/>
          <w:szCs w:val="26"/>
          <w:lang w:val="lt-LT"/>
        </w:rPr>
        <w:t> </w:t>
      </w:r>
      <w:r w:rsidRPr="003D53E8">
        <w:rPr>
          <w:sz w:val="26"/>
          <w:szCs w:val="26"/>
          <w:lang w:val="lt-LT"/>
        </w:rPr>
        <w:t>Mackevičius (1999). Anot jo, „praktiškai nebūna tokio atvejo, kad kuri nors rizikos rūšis visai neegzistuotų, t.</w:t>
      </w:r>
      <w:r w:rsidR="00C63D2D" w:rsidRPr="003D53E8">
        <w:rPr>
          <w:sz w:val="26"/>
          <w:szCs w:val="26"/>
          <w:lang w:val="lt-LT"/>
        </w:rPr>
        <w:t xml:space="preserve"> </w:t>
      </w:r>
      <w:r w:rsidRPr="003D53E8">
        <w:rPr>
          <w:sz w:val="26"/>
          <w:szCs w:val="26"/>
          <w:lang w:val="lt-LT"/>
        </w:rPr>
        <w:t xml:space="preserve">y. matematinėje formulėje įgytų nulinę reikšmę. Tai reikštų, kad audito rizikos nėra, o ir atlikti auditą irgi nebūtų prasmės, kadangi ir taip aišku, kad viskas gerai“. Toks autorių (Robertson, 1990; Matickienės, 1997; Mackevičiaus, 1999) </w:t>
      </w:r>
      <w:r w:rsidR="00027E83" w:rsidRPr="003D53E8">
        <w:rPr>
          <w:sz w:val="26"/>
          <w:szCs w:val="26"/>
          <w:lang w:val="lt-LT"/>
        </w:rPr>
        <w:t xml:space="preserve">klasikinio </w:t>
      </w:r>
      <w:r w:rsidRPr="003D53E8">
        <w:rPr>
          <w:sz w:val="26"/>
          <w:szCs w:val="26"/>
          <w:lang w:val="lt-LT"/>
        </w:rPr>
        <w:t>audito rizikos modelio išaiškinimas, kad įgimta, kontrolės ir aptikimo rizi</w:t>
      </w:r>
      <w:r w:rsidR="002661B1" w:rsidRPr="003D53E8">
        <w:rPr>
          <w:sz w:val="26"/>
          <w:szCs w:val="26"/>
          <w:lang w:val="lt-LT"/>
        </w:rPr>
        <w:t>kos negali būti lygios nuliui, patvirtina</w:t>
      </w:r>
      <w:r w:rsidRPr="003D53E8">
        <w:rPr>
          <w:sz w:val="26"/>
          <w:szCs w:val="26"/>
          <w:lang w:val="lt-LT"/>
        </w:rPr>
        <w:t xml:space="preserve"> visų audito rizikos komponentų įvertinimo svarbą, atliekant auditą.</w:t>
      </w:r>
    </w:p>
    <w:p w:rsidR="00E17D33" w:rsidRDefault="004466FD" w:rsidP="00A536A9">
      <w:pPr>
        <w:spacing w:line="360" w:lineRule="auto"/>
        <w:ind w:firstLine="720"/>
        <w:jc w:val="both"/>
        <w:rPr>
          <w:sz w:val="26"/>
          <w:szCs w:val="26"/>
          <w:lang w:val="lt-LT"/>
        </w:rPr>
      </w:pPr>
      <w:r w:rsidRPr="003D53E8">
        <w:rPr>
          <w:sz w:val="26"/>
          <w:szCs w:val="26"/>
          <w:lang w:val="lt-LT"/>
        </w:rPr>
        <w:t>Antra, klasikinis a</w:t>
      </w:r>
      <w:r w:rsidR="00A536A9" w:rsidRPr="003D53E8">
        <w:rPr>
          <w:sz w:val="26"/>
          <w:szCs w:val="26"/>
          <w:lang w:val="lt-LT"/>
        </w:rPr>
        <w:t xml:space="preserve">udito rizikos modelis </w:t>
      </w:r>
      <w:r w:rsidR="00A536A9" w:rsidRPr="003D53E8">
        <w:rPr>
          <w:i/>
          <w:sz w:val="26"/>
          <w:szCs w:val="26"/>
          <w:lang w:val="lt-LT"/>
        </w:rPr>
        <w:t>naudingas planuojant</w:t>
      </w:r>
      <w:r w:rsidR="00E17D33" w:rsidRPr="00E17D33">
        <w:rPr>
          <w:i/>
          <w:sz w:val="26"/>
          <w:szCs w:val="26"/>
          <w:lang w:val="lt-LT"/>
        </w:rPr>
        <w:t xml:space="preserve"> </w:t>
      </w:r>
      <w:r w:rsidR="00E17D33" w:rsidRPr="003D53E8">
        <w:rPr>
          <w:i/>
          <w:sz w:val="26"/>
          <w:szCs w:val="26"/>
          <w:lang w:val="lt-LT"/>
        </w:rPr>
        <w:t>auditą</w:t>
      </w:r>
      <w:r w:rsidR="00A536A9" w:rsidRPr="003D53E8">
        <w:rPr>
          <w:sz w:val="26"/>
          <w:szCs w:val="26"/>
          <w:lang w:val="lt-LT"/>
        </w:rPr>
        <w:t xml:space="preserve">. </w:t>
      </w:r>
      <w:r w:rsidR="00057D2E" w:rsidRPr="003D53E8">
        <w:rPr>
          <w:sz w:val="26"/>
          <w:szCs w:val="26"/>
          <w:lang w:val="lt-LT"/>
        </w:rPr>
        <w:t>T.</w:t>
      </w:r>
      <w:r w:rsidR="003D53E8">
        <w:rPr>
          <w:sz w:val="26"/>
          <w:szCs w:val="26"/>
          <w:lang w:val="lt-LT"/>
        </w:rPr>
        <w:t> </w:t>
      </w:r>
      <w:r w:rsidR="00057D2E" w:rsidRPr="003D53E8">
        <w:rPr>
          <w:sz w:val="26"/>
          <w:szCs w:val="26"/>
          <w:lang w:val="lt-LT"/>
        </w:rPr>
        <w:t>G. Kizirian, B. W Mayhew ir L. D. Sneathen (2005) nuomone, audito rizikos modelis teoriškai veda link audi</w:t>
      </w:r>
      <w:r w:rsidR="00332A95" w:rsidRPr="003D53E8">
        <w:rPr>
          <w:sz w:val="26"/>
          <w:szCs w:val="26"/>
          <w:lang w:val="lt-LT"/>
        </w:rPr>
        <w:t>t</w:t>
      </w:r>
      <w:r w:rsidR="00057D2E" w:rsidRPr="003D53E8">
        <w:rPr>
          <w:sz w:val="26"/>
          <w:szCs w:val="26"/>
          <w:lang w:val="lt-LT"/>
        </w:rPr>
        <w:t>o procedūrų parinkimo, parodyd</w:t>
      </w:r>
      <w:r w:rsidR="00332A95" w:rsidRPr="003D53E8">
        <w:rPr>
          <w:sz w:val="26"/>
          <w:szCs w:val="26"/>
          <w:lang w:val="lt-LT"/>
        </w:rPr>
        <w:t>a</w:t>
      </w:r>
      <w:r w:rsidR="00057D2E" w:rsidRPr="003D53E8">
        <w:rPr>
          <w:sz w:val="26"/>
          <w:szCs w:val="26"/>
          <w:lang w:val="lt-LT"/>
        </w:rPr>
        <w:t>mas veiksmingą ir efektyvų, rizika paremtą</w:t>
      </w:r>
      <w:r w:rsidR="002D7F2A" w:rsidRPr="003D53E8">
        <w:rPr>
          <w:sz w:val="26"/>
          <w:szCs w:val="26"/>
          <w:lang w:val="lt-LT"/>
        </w:rPr>
        <w:t xml:space="preserve"> ir</w:t>
      </w:r>
      <w:r w:rsidR="00332A95" w:rsidRPr="003D53E8">
        <w:rPr>
          <w:sz w:val="26"/>
          <w:szCs w:val="26"/>
          <w:lang w:val="lt-LT"/>
        </w:rPr>
        <w:t xml:space="preserve"> pagrįstą planą, k</w:t>
      </w:r>
      <w:r w:rsidR="002D7F2A" w:rsidRPr="003D53E8">
        <w:rPr>
          <w:sz w:val="26"/>
          <w:szCs w:val="26"/>
          <w:lang w:val="lt-LT"/>
        </w:rPr>
        <w:t>u</w:t>
      </w:r>
      <w:r w:rsidR="00332A95" w:rsidRPr="003D53E8">
        <w:rPr>
          <w:sz w:val="26"/>
          <w:szCs w:val="26"/>
          <w:lang w:val="lt-LT"/>
        </w:rPr>
        <w:t>ris padeda auditoriui nuomonės formulavimo procese.</w:t>
      </w:r>
      <w:r w:rsidR="00057D2E" w:rsidRPr="003D53E8">
        <w:rPr>
          <w:color w:val="0000FF"/>
          <w:sz w:val="26"/>
          <w:szCs w:val="26"/>
          <w:lang w:val="lt-LT"/>
        </w:rPr>
        <w:t xml:space="preserve"> </w:t>
      </w:r>
      <w:r w:rsidR="00A536A9" w:rsidRPr="003D53E8">
        <w:rPr>
          <w:sz w:val="26"/>
          <w:szCs w:val="26"/>
          <w:lang w:val="lt-LT"/>
        </w:rPr>
        <w:t xml:space="preserve">A. A. Arens ir J. K. Loebbecke (1995) išskiria </w:t>
      </w:r>
      <w:r w:rsidR="00303356" w:rsidRPr="003D53E8">
        <w:rPr>
          <w:sz w:val="26"/>
          <w:szCs w:val="26"/>
          <w:lang w:val="lt-LT"/>
        </w:rPr>
        <w:t>tris</w:t>
      </w:r>
      <w:r w:rsidR="00A536A9" w:rsidRPr="003D53E8">
        <w:rPr>
          <w:sz w:val="26"/>
          <w:szCs w:val="26"/>
          <w:lang w:val="lt-LT"/>
        </w:rPr>
        <w:t xml:space="preserve"> audito rizikos modelio panaudojimo būdus planuojant auditą: </w:t>
      </w:r>
    </w:p>
    <w:p w:rsidR="00E17D33" w:rsidRDefault="00A536A9" w:rsidP="00A536A9">
      <w:pPr>
        <w:spacing w:line="360" w:lineRule="auto"/>
        <w:ind w:firstLine="720"/>
        <w:jc w:val="both"/>
        <w:rPr>
          <w:sz w:val="26"/>
          <w:szCs w:val="26"/>
          <w:lang w:val="lt-LT"/>
        </w:rPr>
      </w:pPr>
      <w:r w:rsidRPr="003D53E8">
        <w:rPr>
          <w:sz w:val="26"/>
          <w:szCs w:val="26"/>
          <w:lang w:val="lt-LT"/>
        </w:rPr>
        <w:t xml:space="preserve">1) audito rizikos modelis </w:t>
      </w:r>
      <w:r w:rsidRPr="003D53E8">
        <w:rPr>
          <w:i/>
          <w:sz w:val="26"/>
          <w:szCs w:val="26"/>
          <w:lang w:val="lt-LT"/>
        </w:rPr>
        <w:t>padeda įvertinti audito planą</w:t>
      </w:r>
      <w:r w:rsidRPr="003D53E8">
        <w:rPr>
          <w:sz w:val="26"/>
          <w:szCs w:val="26"/>
          <w:lang w:val="lt-LT"/>
        </w:rPr>
        <w:t xml:space="preserve"> priklausomai nuo auditoriaus kvalifikacijos. </w:t>
      </w:r>
      <w:r w:rsidR="004916F7" w:rsidRPr="003D53E8">
        <w:rPr>
          <w:sz w:val="26"/>
          <w:szCs w:val="26"/>
          <w:lang w:val="lt-LT"/>
        </w:rPr>
        <w:t>Įvertinus audito rizikos komponentus galima apskaičiuoti audito rizikos lygį ir jį palyginti su</w:t>
      </w:r>
      <w:r w:rsidRPr="003D53E8">
        <w:rPr>
          <w:sz w:val="26"/>
          <w:szCs w:val="26"/>
          <w:lang w:val="lt-LT"/>
        </w:rPr>
        <w:t xml:space="preserve"> priimtin</w:t>
      </w:r>
      <w:r w:rsidR="00C71BE8" w:rsidRPr="003D53E8">
        <w:rPr>
          <w:sz w:val="26"/>
          <w:szCs w:val="26"/>
          <w:lang w:val="lt-LT"/>
        </w:rPr>
        <w:t>u</w:t>
      </w:r>
      <w:r w:rsidRPr="003D53E8">
        <w:rPr>
          <w:sz w:val="26"/>
          <w:szCs w:val="26"/>
          <w:lang w:val="lt-LT"/>
        </w:rPr>
        <w:t xml:space="preserve"> audito rizikos lyg</w:t>
      </w:r>
      <w:r w:rsidR="004916F7" w:rsidRPr="003D53E8">
        <w:rPr>
          <w:sz w:val="26"/>
          <w:szCs w:val="26"/>
          <w:lang w:val="lt-LT"/>
        </w:rPr>
        <w:t>iu</w:t>
      </w:r>
      <w:r w:rsidRPr="003D53E8">
        <w:rPr>
          <w:sz w:val="26"/>
          <w:szCs w:val="26"/>
          <w:lang w:val="lt-LT"/>
        </w:rPr>
        <w:t xml:space="preserve">. Nors minėtas įvertinimas gali padėti auditoriui nustatyti priimtiną audito rizikos lygį, tačiau jis </w:t>
      </w:r>
      <w:r w:rsidR="009E14CF" w:rsidRPr="003D53E8">
        <w:rPr>
          <w:sz w:val="26"/>
          <w:szCs w:val="26"/>
          <w:lang w:val="lt-LT"/>
        </w:rPr>
        <w:t>nėra veiksmingas</w:t>
      </w:r>
      <w:r w:rsidRPr="003D53E8">
        <w:rPr>
          <w:sz w:val="26"/>
          <w:szCs w:val="26"/>
          <w:lang w:val="lt-LT"/>
        </w:rPr>
        <w:t xml:space="preserve">; </w:t>
      </w:r>
    </w:p>
    <w:p w:rsidR="00A536A9" w:rsidRPr="003D53E8" w:rsidRDefault="00A536A9" w:rsidP="00A536A9">
      <w:pPr>
        <w:spacing w:line="360" w:lineRule="auto"/>
        <w:ind w:firstLine="720"/>
        <w:jc w:val="both"/>
        <w:rPr>
          <w:sz w:val="26"/>
          <w:szCs w:val="26"/>
          <w:lang w:val="lt-LT"/>
        </w:rPr>
      </w:pPr>
      <w:r w:rsidRPr="003D53E8">
        <w:rPr>
          <w:sz w:val="26"/>
          <w:szCs w:val="26"/>
          <w:lang w:val="lt-LT"/>
        </w:rPr>
        <w:t xml:space="preserve">2) audito rizikos modelis </w:t>
      </w:r>
      <w:r w:rsidRPr="003D53E8">
        <w:rPr>
          <w:i/>
          <w:sz w:val="26"/>
          <w:szCs w:val="26"/>
          <w:lang w:val="lt-LT"/>
        </w:rPr>
        <w:t xml:space="preserve">leidžia </w:t>
      </w:r>
      <w:r w:rsidR="00895A49" w:rsidRPr="003D53E8">
        <w:rPr>
          <w:i/>
          <w:sz w:val="26"/>
          <w:szCs w:val="26"/>
          <w:lang w:val="lt-LT"/>
        </w:rPr>
        <w:t>nu</w:t>
      </w:r>
      <w:r w:rsidR="00EE6E59" w:rsidRPr="003D53E8">
        <w:rPr>
          <w:i/>
          <w:sz w:val="26"/>
          <w:szCs w:val="26"/>
          <w:lang w:val="lt-LT"/>
        </w:rPr>
        <w:t>st</w:t>
      </w:r>
      <w:r w:rsidR="00895A49" w:rsidRPr="003D53E8">
        <w:rPr>
          <w:i/>
          <w:sz w:val="26"/>
          <w:szCs w:val="26"/>
          <w:lang w:val="lt-LT"/>
        </w:rPr>
        <w:t>atyti</w:t>
      </w:r>
      <w:r w:rsidRPr="003D53E8">
        <w:rPr>
          <w:i/>
          <w:sz w:val="26"/>
          <w:szCs w:val="26"/>
          <w:lang w:val="lt-LT"/>
        </w:rPr>
        <w:t xml:space="preserve"> aptikimo riziką</w:t>
      </w:r>
      <w:r w:rsidRPr="003D53E8">
        <w:rPr>
          <w:sz w:val="26"/>
          <w:szCs w:val="26"/>
          <w:lang w:val="lt-LT"/>
        </w:rPr>
        <w:t>. Žinome, kad auditorius, parinkdamas audito procedūras, jų apimt</w:t>
      </w:r>
      <w:r w:rsidR="007B7882" w:rsidRPr="003D53E8">
        <w:rPr>
          <w:sz w:val="26"/>
          <w:szCs w:val="26"/>
          <w:lang w:val="lt-LT"/>
        </w:rPr>
        <w:t>į</w:t>
      </w:r>
      <w:r w:rsidRPr="003D53E8">
        <w:rPr>
          <w:sz w:val="26"/>
          <w:szCs w:val="26"/>
          <w:lang w:val="lt-LT"/>
        </w:rPr>
        <w:t xml:space="preserve"> ir laiką, gali keisti tik aptikimo riziką. Pastaroji rizika iš </w:t>
      </w:r>
      <w:r w:rsidR="00E17D33">
        <w:rPr>
          <w:sz w:val="26"/>
          <w:szCs w:val="26"/>
          <w:lang w:val="lt-LT"/>
        </w:rPr>
        <w:t xml:space="preserve">klasikinio </w:t>
      </w:r>
      <w:r w:rsidRPr="003D53E8">
        <w:rPr>
          <w:sz w:val="26"/>
          <w:szCs w:val="26"/>
          <w:lang w:val="lt-LT"/>
        </w:rPr>
        <w:t>audito rizikos modelio matematinės išraiškos</w:t>
      </w:r>
      <w:r w:rsidR="00E17D33">
        <w:rPr>
          <w:sz w:val="26"/>
          <w:szCs w:val="26"/>
          <w:lang w:val="lt-LT"/>
        </w:rPr>
        <w:t xml:space="preserve"> (1 formulė)</w:t>
      </w:r>
      <w:r w:rsidRPr="003D53E8">
        <w:rPr>
          <w:sz w:val="26"/>
          <w:szCs w:val="26"/>
          <w:lang w:val="lt-LT"/>
        </w:rPr>
        <w:t xml:space="preserve"> bus apskaičiuojama:</w:t>
      </w:r>
    </w:p>
    <w:p w:rsidR="00A536A9" w:rsidRPr="003D53E8" w:rsidRDefault="00A536A9" w:rsidP="00A536A9">
      <w:pPr>
        <w:spacing w:line="360" w:lineRule="auto"/>
        <w:ind w:left="3600"/>
        <w:jc w:val="both"/>
        <w:rPr>
          <w:sz w:val="26"/>
          <w:szCs w:val="26"/>
          <w:lang w:val="lt-LT"/>
        </w:rPr>
      </w:pPr>
      <w:r w:rsidRPr="003D53E8">
        <w:rPr>
          <w:position w:val="-24"/>
          <w:sz w:val="26"/>
          <w:szCs w:val="26"/>
          <w:lang w:val="lt-LT"/>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32.25pt" o:ole="">
            <v:imagedata r:id="rId8" o:title=""/>
          </v:shape>
          <o:OLEObject Type="Embed" ProgID="Equation.3" ShapeID="_x0000_i1027" DrawAspect="Content" ObjectID="_1333704730" r:id="rId9"/>
        </w:object>
      </w:r>
      <w:r w:rsidR="00D84B52" w:rsidRPr="003D53E8">
        <w:rPr>
          <w:position w:val="-24"/>
          <w:sz w:val="26"/>
          <w:szCs w:val="26"/>
          <w:lang w:val="lt-LT"/>
        </w:rPr>
        <w:tab/>
      </w:r>
      <w:r w:rsidR="00D84B52" w:rsidRPr="003D53E8">
        <w:rPr>
          <w:position w:val="-24"/>
          <w:sz w:val="26"/>
          <w:szCs w:val="26"/>
          <w:lang w:val="lt-LT"/>
        </w:rPr>
        <w:tab/>
      </w:r>
      <w:r w:rsidR="00D84B52" w:rsidRPr="003D53E8">
        <w:rPr>
          <w:position w:val="-24"/>
          <w:sz w:val="26"/>
          <w:szCs w:val="26"/>
          <w:lang w:val="lt-LT"/>
        </w:rPr>
        <w:tab/>
      </w:r>
      <w:r w:rsidR="00D84B52" w:rsidRPr="003D53E8">
        <w:rPr>
          <w:position w:val="-24"/>
          <w:sz w:val="26"/>
          <w:szCs w:val="26"/>
          <w:lang w:val="lt-LT"/>
        </w:rPr>
        <w:tab/>
      </w:r>
      <w:r w:rsidR="00D84B52" w:rsidRPr="003D53E8">
        <w:rPr>
          <w:position w:val="-24"/>
          <w:sz w:val="26"/>
          <w:szCs w:val="26"/>
          <w:lang w:val="lt-LT"/>
        </w:rPr>
        <w:tab/>
      </w:r>
      <w:r w:rsidR="00D84B52" w:rsidRPr="003D53E8">
        <w:rPr>
          <w:i/>
          <w:position w:val="-24"/>
          <w:sz w:val="26"/>
          <w:szCs w:val="26"/>
          <w:lang w:val="lt-LT"/>
        </w:rPr>
        <w:t>(2)</w:t>
      </w:r>
    </w:p>
    <w:p w:rsidR="008E0423" w:rsidRPr="003D53E8" w:rsidRDefault="00A536A9" w:rsidP="00E17D33">
      <w:pPr>
        <w:spacing w:line="360" w:lineRule="auto"/>
        <w:ind w:firstLine="720"/>
        <w:jc w:val="both"/>
        <w:rPr>
          <w:sz w:val="26"/>
          <w:szCs w:val="26"/>
          <w:lang w:val="lt-LT"/>
        </w:rPr>
      </w:pPr>
      <w:r w:rsidRPr="003D53E8">
        <w:rPr>
          <w:sz w:val="26"/>
          <w:szCs w:val="26"/>
          <w:lang w:val="lt-LT"/>
        </w:rPr>
        <w:t>3) audito rizikos modeli</w:t>
      </w:r>
      <w:r w:rsidR="00303356" w:rsidRPr="003D53E8">
        <w:rPr>
          <w:sz w:val="26"/>
          <w:szCs w:val="26"/>
          <w:lang w:val="lt-LT"/>
        </w:rPr>
        <w:t xml:space="preserve">s </w:t>
      </w:r>
      <w:r w:rsidRPr="003D53E8">
        <w:rPr>
          <w:sz w:val="26"/>
          <w:szCs w:val="26"/>
          <w:lang w:val="lt-LT"/>
        </w:rPr>
        <w:t xml:space="preserve">taikomas norint suprasti </w:t>
      </w:r>
      <w:r w:rsidRPr="003D53E8">
        <w:rPr>
          <w:i/>
          <w:sz w:val="26"/>
          <w:szCs w:val="26"/>
          <w:lang w:val="lt-LT"/>
        </w:rPr>
        <w:t xml:space="preserve">tarpusavio ryšius tarp audito rizikos komponentų ir tarp jų su </w:t>
      </w:r>
      <w:r w:rsidR="00DC2AD4" w:rsidRPr="003D53E8">
        <w:rPr>
          <w:i/>
          <w:sz w:val="26"/>
          <w:szCs w:val="26"/>
          <w:lang w:val="lt-LT"/>
        </w:rPr>
        <w:t xml:space="preserve">audito </w:t>
      </w:r>
      <w:r w:rsidRPr="003D53E8">
        <w:rPr>
          <w:i/>
          <w:sz w:val="26"/>
          <w:szCs w:val="26"/>
          <w:lang w:val="lt-LT"/>
        </w:rPr>
        <w:t>įrodymais</w:t>
      </w:r>
      <w:r w:rsidRPr="003D53E8">
        <w:rPr>
          <w:sz w:val="26"/>
          <w:szCs w:val="26"/>
          <w:lang w:val="lt-LT"/>
        </w:rPr>
        <w:t xml:space="preserve">. Be abejo, šiuos ryšius suprasti itin svarbu, norint surinkti reikiamą </w:t>
      </w:r>
      <w:r w:rsidR="00DC2AD4" w:rsidRPr="003D53E8">
        <w:rPr>
          <w:sz w:val="26"/>
          <w:szCs w:val="26"/>
          <w:lang w:val="lt-LT"/>
        </w:rPr>
        <w:t xml:space="preserve">audito </w:t>
      </w:r>
      <w:r w:rsidRPr="003D53E8">
        <w:rPr>
          <w:sz w:val="26"/>
          <w:szCs w:val="26"/>
          <w:lang w:val="lt-LT"/>
        </w:rPr>
        <w:t>įrodymų kiekį</w:t>
      </w:r>
      <w:r w:rsidR="008E0423" w:rsidRPr="003D53E8">
        <w:rPr>
          <w:sz w:val="26"/>
          <w:szCs w:val="26"/>
          <w:lang w:val="lt-LT"/>
        </w:rPr>
        <w:t xml:space="preserve"> (žr.</w:t>
      </w:r>
      <w:r w:rsidR="002C24E1">
        <w:rPr>
          <w:sz w:val="26"/>
          <w:szCs w:val="26"/>
          <w:lang w:val="lt-LT"/>
        </w:rPr>
        <w:t> </w:t>
      </w:r>
      <w:r w:rsidR="00F726AC" w:rsidRPr="003D53E8">
        <w:rPr>
          <w:sz w:val="26"/>
          <w:szCs w:val="26"/>
          <w:lang w:val="lt-LT"/>
        </w:rPr>
        <w:t>9</w:t>
      </w:r>
      <w:r w:rsidR="002C24E1">
        <w:rPr>
          <w:sz w:val="26"/>
          <w:szCs w:val="26"/>
          <w:lang w:val="lt-LT"/>
        </w:rPr>
        <w:t> </w:t>
      </w:r>
      <w:r w:rsidR="008E0423" w:rsidRPr="003D53E8">
        <w:rPr>
          <w:sz w:val="26"/>
          <w:szCs w:val="26"/>
          <w:lang w:val="lt-LT"/>
        </w:rPr>
        <w:t>pav.)</w:t>
      </w:r>
      <w:r w:rsidRPr="003D53E8">
        <w:rPr>
          <w:sz w:val="26"/>
          <w:szCs w:val="26"/>
          <w:lang w:val="lt-LT"/>
        </w:rPr>
        <w:t>.</w:t>
      </w:r>
      <w:r w:rsidR="008E0423" w:rsidRPr="003D53E8">
        <w:rPr>
          <w:sz w:val="26"/>
          <w:szCs w:val="26"/>
          <w:lang w:val="lt-LT"/>
        </w:rPr>
        <w:t xml:space="preserve"> </w:t>
      </w:r>
    </w:p>
    <w:p w:rsidR="008E0423" w:rsidRDefault="00166819" w:rsidP="008E0423">
      <w:pPr>
        <w:tabs>
          <w:tab w:val="left" w:pos="567"/>
        </w:tabs>
        <w:jc w:val="both"/>
        <w:rPr>
          <w:sz w:val="24"/>
          <w:szCs w:val="24"/>
          <w:lang w:val="lt-LT"/>
        </w:rPr>
      </w:pPr>
      <w:r>
        <w:rPr>
          <w:noProof/>
          <w:sz w:val="24"/>
          <w:szCs w:val="24"/>
          <w:lang w:val="lt-LT"/>
        </w:rPr>
        <w:lastRenderedPageBreak/>
        <w:pict>
          <v:group id="_x0000_s74280" style="position:absolute;left:0;text-align:left;margin-left:8.3pt;margin-top:6.6pt;width:411.75pt;height:272.25pt;z-index:253637632" coordorigin="1980,10080" coordsize="8235,5445">
            <v:rect id="_x0000_s9068" style="position:absolute;left:2432;top:10080;width:2148;height:618" o:regroupid="89" filled="f" stroked="f">
              <v:textbox style="mso-next-textbox:#_x0000_s9068">
                <w:txbxContent>
                  <w:p w:rsidR="00BE5795" w:rsidRPr="003D53E8" w:rsidRDefault="00BE5795" w:rsidP="00EA5400">
                    <w:pPr>
                      <w:jc w:val="center"/>
                      <w:rPr>
                        <w:b/>
                        <w:sz w:val="22"/>
                        <w:szCs w:val="22"/>
                        <w:lang w:val="lt-LT"/>
                      </w:rPr>
                    </w:pPr>
                    <w:r w:rsidRPr="003D53E8">
                      <w:rPr>
                        <w:b/>
                        <w:sz w:val="22"/>
                        <w:szCs w:val="22"/>
                        <w:lang w:val="lt-LT"/>
                      </w:rPr>
                      <w:t>Planuoti įrodymai</w:t>
                    </w:r>
                  </w:p>
                </w:txbxContent>
              </v:textbox>
            </v:rect>
            <v:rect id="_x0000_s9093" style="position:absolute;left:7292;top:10080;width:2148;height:618" o:regroupid="89" filled="f" stroked="f">
              <v:textbox style="mso-next-textbox:#_x0000_s9093">
                <w:txbxContent>
                  <w:p w:rsidR="00BE5795" w:rsidRPr="003D53E8" w:rsidRDefault="00BE5795" w:rsidP="008E0423">
                    <w:pPr>
                      <w:rPr>
                        <w:b/>
                        <w:sz w:val="22"/>
                        <w:szCs w:val="22"/>
                        <w:lang w:val="lt-LT"/>
                      </w:rPr>
                    </w:pPr>
                    <w:r w:rsidRPr="003D53E8">
                      <w:rPr>
                        <w:b/>
                        <w:sz w:val="22"/>
                        <w:szCs w:val="22"/>
                        <w:lang w:val="lt-LT"/>
                      </w:rPr>
                      <w:t>Faktiniai įrodymai</w:t>
                    </w:r>
                  </w:p>
                </w:txbxContent>
              </v:textbox>
            </v:rect>
            <v:shape id="_x0000_s9108" type="#_x0000_t13" style="position:absolute;left:3430;top:13118;width:369;height:361" o:regroupid="89" fillcolor="#bfbfbf [2412]" strokecolor="#bfbfbf [2412]"/>
            <v:shape id="_x0000_s9109" type="#_x0000_t13" style="position:absolute;left:3430;top:13745;width:369;height:362" o:regroupid="89" fillcolor="#bfbfbf [2412]" strokecolor="#bfbfbf [2412]"/>
            <v:rect id="_x0000_s9103" style="position:absolute;left:7505;top:14728;width:2470;height:797" o:regroupid="89" filled="f" stroked="f">
              <v:textbox style="mso-next-textbox:#_x0000_s9103">
                <w:txbxContent>
                  <w:p w:rsidR="00BE5795" w:rsidRPr="00E91FD7" w:rsidRDefault="00BE5795" w:rsidP="00E91FD7"/>
                </w:txbxContent>
              </v:textbox>
            </v:rect>
            <v:rect id="_x0000_s9066" style="position:absolute;left:1980;top:11714;width:1453;height:708" o:regroupid="89" filled="f" strokecolor="#bfbfbf [2412]">
              <v:textbox style="mso-next-textbox:#_x0000_s9066">
                <w:txbxContent>
                  <w:p w:rsidR="00BE5795" w:rsidRPr="003D53E8" w:rsidRDefault="00BE5795" w:rsidP="008E0423">
                    <w:pPr>
                      <w:jc w:val="center"/>
                      <w:rPr>
                        <w:sz w:val="22"/>
                        <w:szCs w:val="22"/>
                        <w:lang w:val="lt-LT"/>
                      </w:rPr>
                    </w:pPr>
                    <w:r w:rsidRPr="003D53E8">
                      <w:rPr>
                        <w:sz w:val="22"/>
                        <w:szCs w:val="22"/>
                        <w:lang w:val="lt-LT"/>
                      </w:rPr>
                      <w:t>Priimtina audito rizika</w:t>
                    </w:r>
                  </w:p>
                </w:txbxContent>
              </v:textbox>
            </v:rect>
            <v:rect id="_x0000_s9067" style="position:absolute;left:5191;top:13118;width:1159;height:992" o:regroupid="89" filled="f" strokecolor="#bfbfbf [2412]">
              <v:textbox style="mso-next-textbox:#_x0000_s9067">
                <w:txbxContent>
                  <w:p w:rsidR="00BE5795" w:rsidRPr="003D53E8" w:rsidRDefault="00BE5795" w:rsidP="008E0423">
                    <w:pPr>
                      <w:jc w:val="center"/>
                      <w:rPr>
                        <w:sz w:val="22"/>
                        <w:szCs w:val="22"/>
                        <w:lang w:val="lt-LT"/>
                      </w:rPr>
                    </w:pPr>
                    <w:r w:rsidRPr="003D53E8">
                      <w:rPr>
                        <w:sz w:val="22"/>
                        <w:szCs w:val="22"/>
                        <w:lang w:val="lt-LT"/>
                      </w:rPr>
                      <w:t>Planuoti audito įrodymai</w:t>
                    </w:r>
                  </w:p>
                </w:txbxContent>
              </v:textbox>
            </v:rect>
            <v:shape id="_x0000_s9069" type="#_x0000_t32" style="position:absolute;left:3430;top:12154;width:737;height:0" o:connectortype="straight" o:regroupid="89" strokecolor="#bfbfbf [2412]" strokeweight="5pt"/>
            <v:shape id="_x0000_s9071" type="#_x0000_t32" style="position:absolute;left:3430;top:15074;width:2245;height:0" o:connectortype="straight" o:regroupid="89" strokecolor="#bfbfbf [2412]" strokeweight="5pt"/>
            <v:rect id="_x0000_s9075" style="position:absolute;left:7505;top:10605;width:1308;height:708" o:regroupid="89" filled="f" strokecolor="#bfbfbf [2412]">
              <v:textbox style="mso-next-textbox:#_x0000_s9075">
                <w:txbxContent>
                  <w:p w:rsidR="00BE5795" w:rsidRPr="003D53E8" w:rsidRDefault="00BE5795" w:rsidP="003D53E8">
                    <w:pPr>
                      <w:jc w:val="center"/>
                      <w:rPr>
                        <w:sz w:val="22"/>
                        <w:szCs w:val="22"/>
                        <w:lang w:val="lt-LT"/>
                      </w:rPr>
                    </w:pPr>
                    <w:r w:rsidRPr="003D53E8">
                      <w:rPr>
                        <w:sz w:val="22"/>
                        <w:szCs w:val="22"/>
                        <w:lang w:val="lt-LT"/>
                      </w:rPr>
                      <w:t>Įgimta rizika</w:t>
                    </w:r>
                  </w:p>
                </w:txbxContent>
              </v:textbox>
            </v:rect>
            <v:rect id="_x0000_s9076" style="position:absolute;left:7498;top:11541;width:1315;height:708" o:regroupid="89" filled="f" strokecolor="#bfbfbf [2412]">
              <v:textbox style="mso-next-textbox:#_x0000_s9076">
                <w:txbxContent>
                  <w:p w:rsidR="00BE5795" w:rsidRPr="003D53E8" w:rsidRDefault="00BE5795" w:rsidP="008E0423">
                    <w:pPr>
                      <w:jc w:val="center"/>
                      <w:rPr>
                        <w:sz w:val="22"/>
                        <w:szCs w:val="22"/>
                        <w:lang w:val="lt-LT"/>
                      </w:rPr>
                    </w:pPr>
                    <w:r w:rsidRPr="003D53E8">
                      <w:rPr>
                        <w:sz w:val="22"/>
                        <w:szCs w:val="22"/>
                        <w:lang w:val="lt-LT"/>
                      </w:rPr>
                      <w:t>Kontrolės rizika</w:t>
                    </w:r>
                  </w:p>
                </w:txbxContent>
              </v:textbox>
            </v:rect>
            <v:rect id="_x0000_s9077" style="position:absolute;left:7498;top:12425;width:1159;height:1021" o:regroupid="89" filled="f" strokecolor="#bfbfbf [2412]">
              <v:textbox style="mso-next-textbox:#_x0000_s9077">
                <w:txbxContent>
                  <w:p w:rsidR="00BE5795" w:rsidRPr="003D53E8" w:rsidRDefault="00BE5795" w:rsidP="008E0423">
                    <w:pPr>
                      <w:jc w:val="center"/>
                      <w:rPr>
                        <w:sz w:val="22"/>
                        <w:szCs w:val="22"/>
                        <w:lang w:val="lt-LT"/>
                      </w:rPr>
                    </w:pPr>
                    <w:r w:rsidRPr="003D53E8">
                      <w:rPr>
                        <w:sz w:val="22"/>
                        <w:szCs w:val="22"/>
                        <w:lang w:val="lt-LT"/>
                      </w:rPr>
                      <w:t>Pasiekta aptikimo rizika</w:t>
                    </w:r>
                  </w:p>
                </w:txbxContent>
              </v:textbox>
            </v:rect>
            <v:rect id="_x0000_s9078" style="position:absolute;left:9056;top:12453;width:1159;height:993" o:regroupid="89" filled="f" strokecolor="#bfbfbf [2412]">
              <v:textbox style="mso-next-textbox:#_x0000_s9078">
                <w:txbxContent>
                  <w:p w:rsidR="00BE5795" w:rsidRPr="003D53E8" w:rsidRDefault="00BE5795" w:rsidP="008E0423">
                    <w:pPr>
                      <w:jc w:val="center"/>
                      <w:rPr>
                        <w:sz w:val="22"/>
                        <w:szCs w:val="22"/>
                        <w:lang w:val="lt-LT"/>
                      </w:rPr>
                    </w:pPr>
                    <w:r w:rsidRPr="003D53E8">
                      <w:rPr>
                        <w:sz w:val="22"/>
                        <w:szCs w:val="22"/>
                        <w:lang w:val="lt-LT"/>
                      </w:rPr>
                      <w:t>Detalūs audito įrodymai</w:t>
                    </w:r>
                  </w:p>
                </w:txbxContent>
              </v:textbox>
            </v:rect>
            <v:rect id="_x0000_s9081" style="position:absolute;left:1980;top:12714;width:1453;height:708" o:regroupid="89" filled="f" strokecolor="#bfbfbf [2412]">
              <v:textbox style="mso-next-textbox:#_x0000_s9081">
                <w:txbxContent>
                  <w:p w:rsidR="00BE5795" w:rsidRPr="003D53E8" w:rsidRDefault="00BE5795" w:rsidP="003D53E8">
                    <w:pPr>
                      <w:jc w:val="center"/>
                      <w:rPr>
                        <w:sz w:val="22"/>
                        <w:szCs w:val="22"/>
                        <w:lang w:val="lt-LT"/>
                      </w:rPr>
                    </w:pPr>
                    <w:r w:rsidRPr="003D53E8">
                      <w:rPr>
                        <w:sz w:val="22"/>
                        <w:szCs w:val="22"/>
                        <w:lang w:val="lt-LT"/>
                      </w:rPr>
                      <w:t>Įgimta rizika</w:t>
                    </w:r>
                  </w:p>
                </w:txbxContent>
              </v:textbox>
            </v:rect>
            <v:rect id="_x0000_s9082" style="position:absolute;left:1980;top:13720;width:1453;height:708" o:regroupid="89" filled="f" strokecolor="#bfbfbf [2412]">
              <v:textbox style="mso-next-textbox:#_x0000_s9082">
                <w:txbxContent>
                  <w:p w:rsidR="00BE5795" w:rsidRPr="003D53E8" w:rsidRDefault="00BE5795" w:rsidP="008E0423">
                    <w:pPr>
                      <w:jc w:val="center"/>
                      <w:rPr>
                        <w:sz w:val="22"/>
                        <w:szCs w:val="22"/>
                        <w:lang w:val="lt-LT"/>
                      </w:rPr>
                    </w:pPr>
                    <w:r w:rsidRPr="003D53E8">
                      <w:rPr>
                        <w:sz w:val="22"/>
                        <w:szCs w:val="22"/>
                        <w:lang w:val="lt-LT"/>
                      </w:rPr>
                      <w:t>Kontrolės rizika</w:t>
                    </w:r>
                  </w:p>
                </w:txbxContent>
              </v:textbox>
            </v:rect>
            <v:rect id="_x0000_s9083" style="position:absolute;left:1980;top:14728;width:1453;height:797" o:regroupid="89" filled="f" strokecolor="#bfbfbf [2412]">
              <v:textbox style="mso-next-textbox:#_x0000_s9083">
                <w:txbxContent>
                  <w:p w:rsidR="00BE5795" w:rsidRPr="005131F8" w:rsidRDefault="00BE5795" w:rsidP="008E0423">
                    <w:pPr>
                      <w:jc w:val="center"/>
                      <w:rPr>
                        <w:lang w:val="lt-LT"/>
                      </w:rPr>
                    </w:pPr>
                    <w:r w:rsidRPr="003D53E8">
                      <w:rPr>
                        <w:sz w:val="22"/>
                        <w:szCs w:val="22"/>
                        <w:lang w:val="lt-LT"/>
                      </w:rPr>
                      <w:t>Toleruotinas iškraipym</w:t>
                    </w:r>
                    <w:r>
                      <w:rPr>
                        <w:lang w:val="lt-LT"/>
                      </w:rPr>
                      <w:t>as</w:t>
                    </w:r>
                  </w:p>
                </w:txbxContent>
              </v:textbox>
            </v:rect>
            <v:rect id="_x0000_s9087" style="position:absolute;left:5870;top:11406;width:1159;height:993" o:regroupid="89" filled="f" strokecolor="#bfbfbf [2412]">
              <v:textbox style="mso-next-textbox:#_x0000_s9087">
                <w:txbxContent>
                  <w:p w:rsidR="00BE5795" w:rsidRPr="003D53E8" w:rsidRDefault="00BE5795" w:rsidP="008E0423">
                    <w:pPr>
                      <w:jc w:val="center"/>
                      <w:rPr>
                        <w:sz w:val="22"/>
                        <w:szCs w:val="22"/>
                        <w:lang w:val="lt-LT"/>
                      </w:rPr>
                    </w:pPr>
                    <w:r w:rsidRPr="003D53E8">
                      <w:rPr>
                        <w:sz w:val="22"/>
                        <w:szCs w:val="22"/>
                        <w:lang w:val="lt-LT"/>
                      </w:rPr>
                      <w:t>Pasiekta audito rizika</w:t>
                    </w:r>
                  </w:p>
                </w:txbxContent>
              </v:textbox>
            </v:rect>
            <v:shape id="_x0000_s9089" type="#_x0000_t32" style="position:absolute;left:7279;top:10981;width:6;height:1955;flip:x" o:connectortype="straight" o:regroupid="89" strokecolor="#bfbfbf [2412]" strokeweight="5pt"/>
            <v:shape id="_x0000_s9090" type="#_x0000_t32" style="position:absolute;left:7279;top:10981;width:219;height:1" o:connectortype="straight" o:regroupid="89" strokecolor="#bfbfbf [2412]" strokeweight="5pt"/>
            <v:shape id="_x0000_s9092" type="#_x0000_t32" style="position:absolute;left:7292;top:12936;width:213;height:0" o:connectortype="straight" o:regroupid="89" strokecolor="#bfbfbf [2412]" strokeweight="5pt"/>
            <v:rect id="_x0000_s9094" style="position:absolute;left:4170;top:11313;width:1505;height:556" o:regroupid="89" filled="f" stroked="f">
              <v:textbox style="mso-next-textbox:#_x0000_s9094">
                <w:txbxContent>
                  <w:p w:rsidR="00BE5795" w:rsidRPr="003D53E8" w:rsidRDefault="00BE5795" w:rsidP="008E0423">
                    <w:pPr>
                      <w:jc w:val="center"/>
                      <w:rPr>
                        <w:b/>
                        <w:sz w:val="22"/>
                        <w:szCs w:val="22"/>
                        <w:lang w:val="lt-LT"/>
                      </w:rPr>
                    </w:pPr>
                    <w:r w:rsidRPr="003D53E8">
                      <w:rPr>
                        <w:b/>
                        <w:sz w:val="22"/>
                        <w:szCs w:val="22"/>
                        <w:lang w:val="lt-LT"/>
                      </w:rPr>
                      <w:t>Palyginti</w:t>
                    </w:r>
                  </w:p>
                </w:txbxContent>
              </v:textbox>
            </v:rect>
            <v:rect id="_x0000_s9095" style="position:absolute;left:3628;top:11869;width:368;height:466" o:regroupid="89" filled="f" stroked="f">
              <v:textbox style="mso-next-textbox:#_x0000_s9095">
                <w:txbxContent>
                  <w:p w:rsidR="00BE5795" w:rsidRPr="00310C1A" w:rsidRDefault="00BE5795" w:rsidP="008E0423">
                    <w:pPr>
                      <w:rPr>
                        <w:sz w:val="22"/>
                        <w:szCs w:val="22"/>
                        <w:lang w:val="lt-LT"/>
                      </w:rPr>
                    </w:pPr>
                    <w:r w:rsidRPr="00310C1A">
                      <w:rPr>
                        <w:sz w:val="22"/>
                        <w:szCs w:val="22"/>
                        <w:lang w:val="lt-LT"/>
                      </w:rPr>
                      <w:t>T</w:t>
                    </w:r>
                  </w:p>
                </w:txbxContent>
              </v:textbox>
            </v:rect>
            <v:rect id="_x0000_s9096" style="position:absolute;left:7196;top:12399;width:369;height:466" o:regroupid="89" filled="f" stroked="f">
              <v:textbox style="mso-next-textbox:#_x0000_s9096">
                <w:txbxContent>
                  <w:p w:rsidR="00BE5795" w:rsidRPr="00310C1A" w:rsidRDefault="00BE5795" w:rsidP="008E0423">
                    <w:pPr>
                      <w:rPr>
                        <w:sz w:val="22"/>
                        <w:szCs w:val="22"/>
                        <w:lang w:val="lt-LT"/>
                      </w:rPr>
                    </w:pPr>
                    <w:r w:rsidRPr="00310C1A">
                      <w:rPr>
                        <w:sz w:val="22"/>
                        <w:szCs w:val="22"/>
                        <w:lang w:val="lt-LT"/>
                      </w:rPr>
                      <w:t>T</w:t>
                    </w:r>
                  </w:p>
                </w:txbxContent>
              </v:textbox>
            </v:rect>
            <v:rect id="_x0000_s9097" style="position:absolute;left:7196;top:11406;width:369;height:467" o:regroupid="89" filled="f" stroked="f">
              <v:textbox style="mso-next-textbox:#_x0000_s9097">
                <w:txbxContent>
                  <w:p w:rsidR="00BE5795" w:rsidRPr="00310C1A" w:rsidRDefault="00BE5795" w:rsidP="008E0423">
                    <w:pPr>
                      <w:rPr>
                        <w:sz w:val="22"/>
                        <w:szCs w:val="22"/>
                        <w:lang w:val="lt-LT"/>
                      </w:rPr>
                    </w:pPr>
                    <w:r w:rsidRPr="00310C1A">
                      <w:rPr>
                        <w:sz w:val="22"/>
                        <w:szCs w:val="22"/>
                        <w:lang w:val="lt-LT"/>
                      </w:rPr>
                      <w:t>T</w:t>
                    </w:r>
                  </w:p>
                </w:txbxContent>
              </v:textbox>
            </v:rect>
            <v:rect id="_x0000_s9098" style="position:absolute;left:7196;top:10605;width:369;height:466" o:regroupid="89" filled="f" stroked="f">
              <v:textbox style="mso-next-textbox:#_x0000_s9098">
                <w:txbxContent>
                  <w:p w:rsidR="00BE5795" w:rsidRPr="00310C1A" w:rsidRDefault="00BE5795" w:rsidP="008E0423">
                    <w:pPr>
                      <w:rPr>
                        <w:sz w:val="22"/>
                        <w:szCs w:val="22"/>
                        <w:lang w:val="lt-LT"/>
                      </w:rPr>
                    </w:pPr>
                    <w:r w:rsidRPr="00310C1A">
                      <w:rPr>
                        <w:sz w:val="22"/>
                        <w:szCs w:val="22"/>
                        <w:lang w:val="lt-LT"/>
                      </w:rPr>
                      <w:t>T</w:t>
                    </w:r>
                  </w:p>
                </w:txbxContent>
              </v:textbox>
            </v:rect>
            <v:rect id="_x0000_s9099" style="position:absolute;left:3433;top:12829;width:368;height:467" o:regroupid="89" filled="f" stroked="f">
              <v:textbox style="mso-next-textbox:#_x0000_s9099">
                <w:txbxContent>
                  <w:p w:rsidR="00BE5795" w:rsidRPr="00310C1A" w:rsidRDefault="00BE5795" w:rsidP="008E0423">
                    <w:pPr>
                      <w:rPr>
                        <w:sz w:val="22"/>
                        <w:szCs w:val="22"/>
                        <w:lang w:val="lt-LT"/>
                      </w:rPr>
                    </w:pPr>
                    <w:r w:rsidRPr="00310C1A">
                      <w:rPr>
                        <w:sz w:val="22"/>
                        <w:szCs w:val="22"/>
                        <w:lang w:val="lt-LT"/>
                      </w:rPr>
                      <w:t>A</w:t>
                    </w:r>
                  </w:p>
                </w:txbxContent>
              </v:textbox>
            </v:rect>
            <v:rect id="_x0000_s9100" style="position:absolute;left:3433;top:13479;width:368;height:467" o:regroupid="89" filled="f" stroked="f">
              <v:textbox style="mso-next-textbox:#_x0000_s9100">
                <w:txbxContent>
                  <w:p w:rsidR="00BE5795" w:rsidRPr="00310C1A" w:rsidRDefault="00BE5795" w:rsidP="008E0423">
                    <w:pPr>
                      <w:rPr>
                        <w:sz w:val="22"/>
                        <w:szCs w:val="22"/>
                        <w:lang w:val="lt-LT"/>
                      </w:rPr>
                    </w:pPr>
                    <w:r w:rsidRPr="00310C1A">
                      <w:rPr>
                        <w:sz w:val="22"/>
                        <w:szCs w:val="22"/>
                        <w:lang w:val="lt-LT"/>
                      </w:rPr>
                      <w:t>A</w:t>
                    </w:r>
                  </w:p>
                </w:txbxContent>
              </v:textbox>
            </v:rect>
            <v:rect id="_x0000_s9101" style="position:absolute;left:5675;top:14262;width:368;height:466" o:regroupid="89" filled="f" stroked="f">
              <v:textbox style="mso-next-textbox:#_x0000_s9101">
                <w:txbxContent>
                  <w:p w:rsidR="00BE5795" w:rsidRPr="00310C1A" w:rsidRDefault="00BE5795" w:rsidP="008E0423">
                    <w:pPr>
                      <w:rPr>
                        <w:sz w:val="22"/>
                        <w:szCs w:val="22"/>
                        <w:lang w:val="lt-LT"/>
                      </w:rPr>
                    </w:pPr>
                    <w:r w:rsidRPr="00310C1A">
                      <w:rPr>
                        <w:sz w:val="22"/>
                        <w:szCs w:val="22"/>
                        <w:lang w:val="lt-LT"/>
                      </w:rPr>
                      <w:t>A</w:t>
                    </w:r>
                  </w:p>
                </w:txbxContent>
              </v:textbox>
            </v:rect>
            <v:rect id="_x0000_s9102" style="position:absolute;left:8664;top:12537;width:362;height:467" o:regroupid="89" filled="f" stroked="f">
              <v:textbox style="mso-next-textbox:#_x0000_s9102">
                <w:txbxContent>
                  <w:p w:rsidR="00BE5795" w:rsidRPr="00310C1A" w:rsidRDefault="00BE5795" w:rsidP="008E0423">
                    <w:pPr>
                      <w:rPr>
                        <w:sz w:val="22"/>
                        <w:szCs w:val="22"/>
                        <w:lang w:val="lt-LT"/>
                      </w:rPr>
                    </w:pPr>
                    <w:r w:rsidRPr="00310C1A">
                      <w:rPr>
                        <w:sz w:val="22"/>
                        <w:szCs w:val="22"/>
                        <w:lang w:val="lt-LT"/>
                      </w:rPr>
                      <w:t>A</w:t>
                    </w:r>
                  </w:p>
                </w:txbxContent>
              </v:textbox>
            </v:rect>
            <v:shape id="_x0000_s9110" type="#_x0000_t13" style="position:absolute;left:3644;top:12506;width:964;height:260;rotation:90" o:regroupid="89" adj="17085,7032" fillcolor="#bfbfbf [2412]" strokecolor="#bfbfbf [2412]"/>
            <v:shape id="_x0000_s9112" type="#_x0000_t13" style="position:absolute;left:5198;top:14459;width:964;height:260;rotation:270" o:regroupid="89" adj="17085,7032" fillcolor="#bfbfbf [2412]" strokecolor="#bfbfbf [2412]"/>
            <v:shape id="_x0000_s9113" type="#_x0000_t13" style="position:absolute;left:8657;top:12829;width:399;height:362;rotation:180" o:regroupid="89" fillcolor="#bfbfbf [2412]" strokecolor="#bfbfbf [2412]"/>
            <v:shape id="_x0000_s9114" type="#_x0000_t13" style="position:absolute;left:7029;top:11783;width:469;height:361;rotation:180" o:regroupid="89" fillcolor="#bfbfbf [2412]" strokecolor="#bfbfbf [2412]"/>
            <v:shape id="_x0000_s9115" type="#_x0000_t13" style="position:absolute;left:5273;top:11718;width:597;height:247;rotation:180" o:regroupid="89" fillcolor="#bfbfbf [2412]" strokecolor="#bfbfbf [2412]"/>
            <v:shape id="_x0000_s9116" type="#_x0000_t13" style="position:absolute;left:3433;top:11714;width:1228;height:247" o:regroupid="89" adj="19012,5382" fillcolor="#bfbfbf [2412]" strokecolor="#bfbfbf [2412]"/>
            <v:shape id="_x0000_s9117" type="#_x0000_t13" style="position:absolute;left:4953;top:13422;width:238;height:362" o:regroupid="89" fillcolor="#bfbfbf [2412]" strokecolor="#bfbfbf [2412]"/>
            <v:rect id="_x0000_s9084" style="position:absolute;left:3825;top:13114;width:1159;height:993" o:regroupid="89" filled="f" strokecolor="#bfbfbf [2412]">
              <v:textbox style="mso-next-textbox:#_x0000_s9084">
                <w:txbxContent>
                  <w:p w:rsidR="00BE5795" w:rsidRPr="003D53E8" w:rsidRDefault="00BE5795" w:rsidP="008E0423">
                    <w:pPr>
                      <w:jc w:val="center"/>
                      <w:rPr>
                        <w:sz w:val="22"/>
                        <w:szCs w:val="22"/>
                        <w:lang w:val="lt-LT"/>
                      </w:rPr>
                    </w:pPr>
                    <w:r w:rsidRPr="003D53E8">
                      <w:rPr>
                        <w:sz w:val="22"/>
                        <w:szCs w:val="22"/>
                        <w:lang w:val="lt-LT"/>
                      </w:rPr>
                      <w:t>Planuota aptikimo rizika</w:t>
                    </w:r>
                  </w:p>
                </w:txbxContent>
              </v:textbox>
            </v:rect>
          </v:group>
        </w:pict>
      </w: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Pr="000F13C9"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8E0423" w:rsidRDefault="008E0423" w:rsidP="008E0423">
      <w:pPr>
        <w:tabs>
          <w:tab w:val="left" w:pos="567"/>
        </w:tabs>
        <w:jc w:val="both"/>
        <w:rPr>
          <w:sz w:val="24"/>
          <w:szCs w:val="24"/>
          <w:lang w:val="lt-LT"/>
        </w:rPr>
      </w:pPr>
    </w:p>
    <w:p w:rsidR="003D53E8" w:rsidRDefault="003D53E8" w:rsidP="008E0423">
      <w:pPr>
        <w:tabs>
          <w:tab w:val="left" w:pos="567"/>
        </w:tabs>
        <w:jc w:val="both"/>
        <w:rPr>
          <w:sz w:val="24"/>
          <w:szCs w:val="24"/>
          <w:lang w:val="lt-LT"/>
        </w:rPr>
      </w:pPr>
    </w:p>
    <w:p w:rsidR="003D53E8" w:rsidRDefault="003D53E8" w:rsidP="008E0423">
      <w:pPr>
        <w:tabs>
          <w:tab w:val="left" w:pos="567"/>
        </w:tabs>
        <w:jc w:val="both"/>
        <w:rPr>
          <w:sz w:val="24"/>
          <w:szCs w:val="24"/>
          <w:lang w:val="lt-LT"/>
        </w:rPr>
      </w:pPr>
    </w:p>
    <w:p w:rsidR="003D53E8" w:rsidRDefault="003D53E8" w:rsidP="008E0423">
      <w:pPr>
        <w:tabs>
          <w:tab w:val="left" w:pos="567"/>
        </w:tabs>
        <w:jc w:val="both"/>
        <w:rPr>
          <w:sz w:val="24"/>
          <w:szCs w:val="24"/>
          <w:lang w:val="lt-LT"/>
        </w:rPr>
      </w:pPr>
    </w:p>
    <w:p w:rsidR="00310C1A" w:rsidRDefault="00310C1A" w:rsidP="00E91FD7">
      <w:pPr>
        <w:rPr>
          <w:sz w:val="24"/>
          <w:szCs w:val="24"/>
          <w:lang w:val="lt-LT"/>
        </w:rPr>
      </w:pPr>
    </w:p>
    <w:p w:rsidR="00041860" w:rsidRDefault="00041860" w:rsidP="00E91FD7">
      <w:pPr>
        <w:rPr>
          <w:sz w:val="24"/>
          <w:szCs w:val="24"/>
          <w:lang w:val="lt-LT"/>
        </w:rPr>
      </w:pPr>
    </w:p>
    <w:p w:rsidR="00041860" w:rsidRDefault="00041860" w:rsidP="00E91FD7">
      <w:pPr>
        <w:rPr>
          <w:sz w:val="24"/>
          <w:szCs w:val="24"/>
          <w:lang w:val="lt-LT"/>
        </w:rPr>
      </w:pPr>
    </w:p>
    <w:p w:rsidR="00E91FD7" w:rsidRPr="00FE380C" w:rsidRDefault="00E91FD7" w:rsidP="00E91FD7">
      <w:pPr>
        <w:rPr>
          <w:lang w:val="lt-LT"/>
        </w:rPr>
      </w:pPr>
      <w:r w:rsidRPr="00FE380C">
        <w:rPr>
          <w:lang w:val="lt-LT"/>
        </w:rPr>
        <w:t>Pastaba: T – tiesinis ryšys, A – atvirkštinis ryšys.</w:t>
      </w:r>
    </w:p>
    <w:p w:rsidR="00EA5400" w:rsidRPr="00FE380C" w:rsidRDefault="00EA5400" w:rsidP="00EA5400">
      <w:pPr>
        <w:tabs>
          <w:tab w:val="left" w:pos="567"/>
        </w:tabs>
        <w:jc w:val="both"/>
        <w:rPr>
          <w:lang w:val="lt-LT"/>
        </w:rPr>
      </w:pPr>
      <w:r w:rsidRPr="00FE380C">
        <w:rPr>
          <w:lang w:val="lt-LT"/>
        </w:rPr>
        <w:t xml:space="preserve">Šaltinis: </w:t>
      </w:r>
      <w:r w:rsidRPr="00FE380C">
        <w:rPr>
          <w:caps/>
          <w:lang w:val="lt-LT"/>
        </w:rPr>
        <w:t>Arens</w:t>
      </w:r>
      <w:r w:rsidRPr="00FE380C">
        <w:rPr>
          <w:lang w:val="lt-LT"/>
        </w:rPr>
        <w:t xml:space="preserve">, A. A.; </w:t>
      </w:r>
      <w:r w:rsidRPr="00FE380C">
        <w:rPr>
          <w:caps/>
          <w:lang w:val="lt-LT"/>
        </w:rPr>
        <w:t>Elder</w:t>
      </w:r>
      <w:r w:rsidRPr="00FE380C">
        <w:rPr>
          <w:lang w:val="lt-LT"/>
        </w:rPr>
        <w:t xml:space="preserve">, R. J.; </w:t>
      </w:r>
      <w:r w:rsidRPr="00FE380C">
        <w:rPr>
          <w:caps/>
          <w:lang w:val="lt-LT"/>
        </w:rPr>
        <w:t>Beasley</w:t>
      </w:r>
      <w:r w:rsidRPr="00FE380C">
        <w:rPr>
          <w:lang w:val="lt-LT"/>
        </w:rPr>
        <w:t>, M. S.</w:t>
      </w:r>
      <w:r w:rsidR="007453D8" w:rsidRPr="00FE380C">
        <w:rPr>
          <w:lang w:val="lt-LT"/>
        </w:rPr>
        <w:t xml:space="preserve">, </w:t>
      </w:r>
      <w:r w:rsidRPr="00FE380C">
        <w:rPr>
          <w:lang w:val="lt-LT"/>
        </w:rPr>
        <w:t>2006, p. 254.</w:t>
      </w:r>
    </w:p>
    <w:p w:rsidR="00EA5400" w:rsidRPr="00EA5400" w:rsidRDefault="00EA5400" w:rsidP="00EA5400">
      <w:pPr>
        <w:tabs>
          <w:tab w:val="left" w:pos="567"/>
        </w:tabs>
        <w:jc w:val="both"/>
        <w:rPr>
          <w:sz w:val="16"/>
          <w:szCs w:val="16"/>
          <w:lang w:val="lt-LT"/>
        </w:rPr>
      </w:pPr>
    </w:p>
    <w:p w:rsidR="008E0423" w:rsidRPr="00310C1A" w:rsidRDefault="00F726AC" w:rsidP="00310C1A">
      <w:pPr>
        <w:tabs>
          <w:tab w:val="left" w:pos="567"/>
        </w:tabs>
        <w:jc w:val="center"/>
        <w:rPr>
          <w:b/>
          <w:sz w:val="26"/>
          <w:szCs w:val="26"/>
          <w:lang w:val="lt-LT"/>
        </w:rPr>
      </w:pPr>
      <w:r w:rsidRPr="00310C1A">
        <w:rPr>
          <w:b/>
          <w:sz w:val="26"/>
          <w:szCs w:val="26"/>
          <w:lang w:val="lt-LT"/>
        </w:rPr>
        <w:t>9</w:t>
      </w:r>
      <w:r w:rsidR="00EA5400" w:rsidRPr="00310C1A">
        <w:rPr>
          <w:b/>
          <w:sz w:val="26"/>
          <w:szCs w:val="26"/>
          <w:lang w:val="lt-LT"/>
        </w:rPr>
        <w:t xml:space="preserve"> pav. Klasikinis a</w:t>
      </w:r>
      <w:r w:rsidR="008E0423" w:rsidRPr="00310C1A">
        <w:rPr>
          <w:b/>
          <w:sz w:val="26"/>
          <w:szCs w:val="26"/>
          <w:lang w:val="lt-LT"/>
        </w:rPr>
        <w:t>udito rizikos modelis planuojant audito įrodymus ir įvertinant rezultatus</w:t>
      </w:r>
    </w:p>
    <w:p w:rsidR="0009112A" w:rsidRPr="00310C1A" w:rsidRDefault="0009112A" w:rsidP="0009112A">
      <w:pPr>
        <w:spacing w:before="240" w:line="360" w:lineRule="auto"/>
        <w:ind w:firstLine="720"/>
        <w:jc w:val="both"/>
        <w:rPr>
          <w:sz w:val="26"/>
          <w:szCs w:val="26"/>
          <w:lang w:val="lt-LT"/>
        </w:rPr>
      </w:pPr>
      <w:r w:rsidRPr="00310C1A">
        <w:rPr>
          <w:sz w:val="26"/>
          <w:szCs w:val="26"/>
          <w:lang w:val="lt-LT"/>
        </w:rPr>
        <w:t xml:space="preserve">Kiti autoriai (Johnson, 1991; Šeremet, Suijc, 1995; Allen, Hermanson, Kozloski, Ramsay, 2006) taip pat pritaria A. A. Arens, J. K. Loebbecke (1995) nuomonei, kad audito rizikos modelis yra naudingas planavimo tikslais, argumentuodami: 1) auditorius gali pasinaudoti modeliu, norėdamas </w:t>
      </w:r>
      <w:r w:rsidRPr="00310C1A">
        <w:rPr>
          <w:i/>
          <w:sz w:val="26"/>
          <w:szCs w:val="26"/>
          <w:lang w:val="lt-LT"/>
        </w:rPr>
        <w:t>sužinoti atskirų jo kintamųjų įtaką</w:t>
      </w:r>
      <w:r w:rsidRPr="00310C1A">
        <w:rPr>
          <w:sz w:val="26"/>
          <w:szCs w:val="26"/>
          <w:lang w:val="lt-LT"/>
        </w:rPr>
        <w:t xml:space="preserve">; 2) </w:t>
      </w:r>
      <w:r w:rsidRPr="00390ADC">
        <w:rPr>
          <w:i/>
          <w:sz w:val="26"/>
          <w:szCs w:val="26"/>
          <w:lang w:val="lt-LT"/>
        </w:rPr>
        <w:t>n</w:t>
      </w:r>
      <w:r w:rsidRPr="00310C1A">
        <w:rPr>
          <w:i/>
          <w:sz w:val="26"/>
          <w:szCs w:val="26"/>
          <w:lang w:val="lt-LT"/>
        </w:rPr>
        <w:t>ustatyti audito testų ir procedūrų apimtį</w:t>
      </w:r>
      <w:r w:rsidRPr="00310C1A">
        <w:rPr>
          <w:sz w:val="26"/>
          <w:szCs w:val="26"/>
          <w:lang w:val="lt-LT"/>
        </w:rPr>
        <w:t xml:space="preserve">, t. y. apskaičiuojant priimtiną aptikimo riziką, su pageidaujama audito rizika ir egzistuojančiomis įgimta ir kontrolės rizikomis. Be to, H. Johnson (1991) </w:t>
      </w:r>
      <w:r w:rsidR="00310C1A">
        <w:rPr>
          <w:sz w:val="26"/>
          <w:szCs w:val="26"/>
          <w:lang w:val="lt-LT"/>
        </w:rPr>
        <w:t>akcentuoja</w:t>
      </w:r>
      <w:r w:rsidRPr="00310C1A">
        <w:rPr>
          <w:sz w:val="26"/>
          <w:szCs w:val="26"/>
          <w:lang w:val="lt-LT"/>
        </w:rPr>
        <w:t xml:space="preserve">, kad ryšys: kuo mažesnė įgimta ir kontrolės rizikos, tuo didesnė aptikimo rizika, kurią auditorius gali priimti, yra akivaizdus iš audito rizikos modelio; šiai nuomonei pritaria </w:t>
      </w:r>
      <w:r w:rsidRPr="00310C1A">
        <w:rPr>
          <w:sz w:val="26"/>
          <w:szCs w:val="26"/>
        </w:rPr>
        <w:t xml:space="preserve">T. B. Bell, M. E. Peecher, I. Solomon (2005) </w:t>
      </w:r>
      <w:r w:rsidRPr="00310C1A">
        <w:rPr>
          <w:sz w:val="26"/>
          <w:szCs w:val="26"/>
          <w:lang w:val="lt-LT"/>
        </w:rPr>
        <w:t xml:space="preserve">teigdami, kad tą atskleidžia kompensuojamoji modelio forma. </w:t>
      </w:r>
    </w:p>
    <w:p w:rsidR="009B6941" w:rsidRPr="00310C1A" w:rsidRDefault="00677F2D" w:rsidP="0009112A">
      <w:pPr>
        <w:spacing w:line="360" w:lineRule="auto"/>
        <w:ind w:firstLine="720"/>
        <w:jc w:val="both"/>
        <w:rPr>
          <w:sz w:val="26"/>
          <w:szCs w:val="26"/>
          <w:lang w:val="lt-LT"/>
        </w:rPr>
      </w:pPr>
      <w:r w:rsidRPr="00310C1A">
        <w:rPr>
          <w:sz w:val="26"/>
          <w:szCs w:val="26"/>
          <w:lang w:val="lt-LT"/>
        </w:rPr>
        <w:t xml:space="preserve">R. B. Dusenbury, J. L. Reimers ir S. W. Wheeler (2000b) daro išvadą, kad </w:t>
      </w:r>
      <w:r w:rsidR="009E00E9" w:rsidRPr="00310C1A">
        <w:rPr>
          <w:sz w:val="26"/>
          <w:szCs w:val="26"/>
          <w:lang w:val="lt-LT"/>
        </w:rPr>
        <w:t xml:space="preserve">klasikinis </w:t>
      </w:r>
      <w:r w:rsidRPr="00310C1A">
        <w:rPr>
          <w:sz w:val="26"/>
          <w:szCs w:val="26"/>
          <w:lang w:val="lt-LT"/>
        </w:rPr>
        <w:t xml:space="preserve">audito rizikos modelis nesumenkina </w:t>
      </w:r>
      <w:r w:rsidRPr="00310C1A">
        <w:rPr>
          <w:i/>
          <w:sz w:val="26"/>
          <w:szCs w:val="26"/>
          <w:lang w:val="lt-LT"/>
        </w:rPr>
        <w:t>reikšmingo iškraipymo rizikos,</w:t>
      </w:r>
      <w:r w:rsidRPr="00310C1A">
        <w:rPr>
          <w:sz w:val="26"/>
          <w:szCs w:val="26"/>
          <w:lang w:val="lt-LT"/>
        </w:rPr>
        <w:t xml:space="preserve"> Houston et al. (1999) teigia, kad modelis yra </w:t>
      </w:r>
      <w:r w:rsidRPr="00310C1A">
        <w:rPr>
          <w:i/>
          <w:sz w:val="26"/>
          <w:szCs w:val="26"/>
          <w:lang w:val="lt-LT"/>
        </w:rPr>
        <w:t xml:space="preserve">tinkamas </w:t>
      </w:r>
      <w:r w:rsidRPr="00310C1A">
        <w:rPr>
          <w:sz w:val="26"/>
          <w:szCs w:val="26"/>
          <w:lang w:val="lt-LT"/>
        </w:rPr>
        <w:t xml:space="preserve">apibūdinant </w:t>
      </w:r>
      <w:r w:rsidRPr="00310C1A">
        <w:rPr>
          <w:sz w:val="26"/>
          <w:szCs w:val="26"/>
          <w:lang w:val="lt-LT"/>
        </w:rPr>
        <w:lastRenderedPageBreak/>
        <w:t xml:space="preserve">auditoriaus elgesį </w:t>
      </w:r>
      <w:r w:rsidRPr="00310C1A">
        <w:rPr>
          <w:i/>
          <w:sz w:val="26"/>
          <w:szCs w:val="26"/>
          <w:lang w:val="lt-LT"/>
        </w:rPr>
        <w:t>esant netyčinėms finansinių ataskaitų klaidoms</w:t>
      </w:r>
      <w:r w:rsidRPr="00310C1A">
        <w:rPr>
          <w:sz w:val="26"/>
          <w:szCs w:val="26"/>
          <w:lang w:val="lt-LT"/>
        </w:rPr>
        <w:t xml:space="preserve"> (bet jis neveikia dėl apgaulės). </w:t>
      </w:r>
      <w:r w:rsidR="00390ADC">
        <w:rPr>
          <w:sz w:val="26"/>
          <w:szCs w:val="26"/>
          <w:lang w:val="lt-LT"/>
        </w:rPr>
        <w:t>POBPAE</w:t>
      </w:r>
      <w:r w:rsidR="000137C8" w:rsidRPr="00310C1A">
        <w:rPr>
          <w:sz w:val="26"/>
          <w:szCs w:val="26"/>
          <w:lang w:val="lt-LT"/>
        </w:rPr>
        <w:t xml:space="preserve"> </w:t>
      </w:r>
      <w:r w:rsidR="00390ADC">
        <w:rPr>
          <w:sz w:val="26"/>
          <w:szCs w:val="26"/>
          <w:lang w:val="lt-LT"/>
        </w:rPr>
        <w:t>a</w:t>
      </w:r>
      <w:r w:rsidR="000137C8" w:rsidRPr="00310C1A">
        <w:rPr>
          <w:sz w:val="26"/>
          <w:szCs w:val="26"/>
          <w:lang w:val="lt-LT"/>
        </w:rPr>
        <w:t xml:space="preserve">taskaitoje ir </w:t>
      </w:r>
      <w:r w:rsidR="00390ADC">
        <w:rPr>
          <w:sz w:val="26"/>
          <w:szCs w:val="26"/>
          <w:lang w:val="lt-LT"/>
        </w:rPr>
        <w:t>r</w:t>
      </w:r>
      <w:r w:rsidR="000137C8" w:rsidRPr="00310C1A">
        <w:rPr>
          <w:sz w:val="26"/>
          <w:szCs w:val="26"/>
          <w:lang w:val="lt-LT"/>
        </w:rPr>
        <w:t>ekomendacijose (</w:t>
      </w:r>
      <w:r w:rsidR="00964EA3" w:rsidRPr="00310C1A">
        <w:rPr>
          <w:sz w:val="26"/>
          <w:szCs w:val="26"/>
          <w:lang w:val="lt-LT"/>
        </w:rPr>
        <w:t xml:space="preserve">JAV; </w:t>
      </w:r>
      <w:r w:rsidR="000137C8" w:rsidRPr="00310C1A">
        <w:rPr>
          <w:sz w:val="26"/>
          <w:szCs w:val="26"/>
          <w:lang w:val="lt-LT"/>
        </w:rPr>
        <w:t>2000) akcentuoja</w:t>
      </w:r>
      <w:r w:rsidR="009C6FA2" w:rsidRPr="00310C1A">
        <w:rPr>
          <w:sz w:val="26"/>
          <w:szCs w:val="26"/>
          <w:lang w:val="lt-LT"/>
        </w:rPr>
        <w:t>ma</w:t>
      </w:r>
      <w:r w:rsidR="000137C8" w:rsidRPr="00310C1A">
        <w:rPr>
          <w:sz w:val="26"/>
          <w:szCs w:val="26"/>
          <w:lang w:val="lt-LT"/>
        </w:rPr>
        <w:t xml:space="preserve">, kad klasikinis audito rizikos modelis </w:t>
      </w:r>
      <w:r w:rsidR="000137C8" w:rsidRPr="00310C1A">
        <w:rPr>
          <w:i/>
          <w:sz w:val="26"/>
          <w:szCs w:val="26"/>
          <w:lang w:val="lt-LT"/>
        </w:rPr>
        <w:t>įtraukia „reikšmingumo“ koncepciją</w:t>
      </w:r>
      <w:r w:rsidR="000137C8" w:rsidRPr="00310C1A">
        <w:rPr>
          <w:sz w:val="26"/>
          <w:szCs w:val="26"/>
          <w:lang w:val="lt-LT"/>
        </w:rPr>
        <w:t xml:space="preserve">. Auditoriui neturi rūpėti kiekvienas galimas informacijos iškraipymas, kuris </w:t>
      </w:r>
      <w:r w:rsidR="00027E83" w:rsidRPr="00310C1A">
        <w:rPr>
          <w:sz w:val="26"/>
          <w:szCs w:val="26"/>
          <w:lang w:val="lt-LT"/>
        </w:rPr>
        <w:t xml:space="preserve">gali </w:t>
      </w:r>
      <w:r w:rsidR="000137C8" w:rsidRPr="00310C1A">
        <w:rPr>
          <w:sz w:val="26"/>
          <w:szCs w:val="26"/>
          <w:lang w:val="lt-LT"/>
        </w:rPr>
        <w:t>būti įmonės finansinė</w:t>
      </w:r>
      <w:r w:rsidR="00351EA6" w:rsidRPr="00310C1A">
        <w:rPr>
          <w:sz w:val="26"/>
          <w:szCs w:val="26"/>
          <w:lang w:val="lt-LT"/>
        </w:rPr>
        <w:t>s</w:t>
      </w:r>
      <w:r w:rsidR="000137C8" w:rsidRPr="00310C1A">
        <w:rPr>
          <w:sz w:val="26"/>
          <w:szCs w:val="26"/>
          <w:lang w:val="lt-LT"/>
        </w:rPr>
        <w:t>e at</w:t>
      </w:r>
      <w:r w:rsidR="00351EA6" w:rsidRPr="00310C1A">
        <w:rPr>
          <w:sz w:val="26"/>
          <w:szCs w:val="26"/>
          <w:lang w:val="lt-LT"/>
        </w:rPr>
        <w:t>a</w:t>
      </w:r>
      <w:r w:rsidR="000137C8" w:rsidRPr="00310C1A">
        <w:rPr>
          <w:sz w:val="26"/>
          <w:szCs w:val="26"/>
          <w:lang w:val="lt-LT"/>
        </w:rPr>
        <w:t>skaito</w:t>
      </w:r>
      <w:r w:rsidR="00351EA6" w:rsidRPr="00310C1A">
        <w:rPr>
          <w:sz w:val="26"/>
          <w:szCs w:val="26"/>
          <w:lang w:val="lt-LT"/>
        </w:rPr>
        <w:t>s</w:t>
      </w:r>
      <w:r w:rsidR="000137C8" w:rsidRPr="00310C1A">
        <w:rPr>
          <w:sz w:val="26"/>
          <w:szCs w:val="26"/>
          <w:lang w:val="lt-LT"/>
        </w:rPr>
        <w:t xml:space="preserve">e. Todėl, reikšmingumo koncepcija įtraukiama į rizikos vertinimo procesą, o audito procedūrų pobūdžio, apimties ir jų atlikimo laiko parinkimas yra neatskiriama modelio dalis. Antra, audito rizikos modelis </w:t>
      </w:r>
      <w:r w:rsidR="000137C8" w:rsidRPr="00310C1A">
        <w:rPr>
          <w:i/>
          <w:sz w:val="26"/>
          <w:szCs w:val="26"/>
          <w:lang w:val="lt-LT"/>
        </w:rPr>
        <w:t>iššaukia auditoriui padaryti „apgaulės rizikos“ vertinimą</w:t>
      </w:r>
      <w:r w:rsidR="000137C8" w:rsidRPr="00310C1A">
        <w:rPr>
          <w:sz w:val="26"/>
          <w:szCs w:val="26"/>
          <w:lang w:val="lt-LT"/>
        </w:rPr>
        <w:t xml:space="preserve">, kuris turi tiek įgimtos bei kontrolės rizikų bruožų. </w:t>
      </w:r>
      <w:r w:rsidR="00F325E8" w:rsidRPr="00310C1A">
        <w:rPr>
          <w:sz w:val="26"/>
          <w:szCs w:val="26"/>
          <w:lang w:val="lt-LT"/>
        </w:rPr>
        <w:t>Tačiau</w:t>
      </w:r>
      <w:r w:rsidR="007F2C5C" w:rsidRPr="00310C1A">
        <w:rPr>
          <w:sz w:val="26"/>
          <w:szCs w:val="26"/>
          <w:lang w:val="lt-LT"/>
        </w:rPr>
        <w:t>,</w:t>
      </w:r>
      <w:r w:rsidR="00F325E8" w:rsidRPr="00310C1A">
        <w:rPr>
          <w:sz w:val="26"/>
          <w:szCs w:val="26"/>
          <w:lang w:val="lt-LT"/>
        </w:rPr>
        <w:t xml:space="preserve"> </w:t>
      </w:r>
      <w:r w:rsidR="006E0844" w:rsidRPr="00310C1A">
        <w:rPr>
          <w:sz w:val="26"/>
          <w:szCs w:val="26"/>
          <w:lang w:val="lt-LT"/>
        </w:rPr>
        <w:t xml:space="preserve">darbo </w:t>
      </w:r>
      <w:r w:rsidR="00F325E8" w:rsidRPr="00310C1A">
        <w:rPr>
          <w:sz w:val="26"/>
          <w:szCs w:val="26"/>
          <w:lang w:val="lt-LT"/>
        </w:rPr>
        <w:t>autorės nuomone,</w:t>
      </w:r>
      <w:r w:rsidR="007F2C5C" w:rsidRPr="00310C1A">
        <w:rPr>
          <w:sz w:val="26"/>
          <w:szCs w:val="26"/>
          <w:lang w:val="lt-LT"/>
        </w:rPr>
        <w:t xml:space="preserve"> </w:t>
      </w:r>
      <w:r w:rsidR="009E00E9" w:rsidRPr="00310C1A">
        <w:rPr>
          <w:sz w:val="26"/>
          <w:szCs w:val="26"/>
          <w:lang w:val="lt-LT"/>
        </w:rPr>
        <w:t xml:space="preserve">klasikinio audito rizikos modelio sandara neatskleidžia </w:t>
      </w:r>
      <w:r w:rsidR="007F2C5C" w:rsidRPr="00310C1A">
        <w:rPr>
          <w:sz w:val="26"/>
          <w:szCs w:val="26"/>
          <w:lang w:val="lt-LT"/>
        </w:rPr>
        <w:t xml:space="preserve">nei </w:t>
      </w:r>
      <w:r w:rsidR="009E00E9" w:rsidRPr="00310C1A">
        <w:rPr>
          <w:sz w:val="26"/>
          <w:szCs w:val="26"/>
          <w:lang w:val="lt-LT"/>
        </w:rPr>
        <w:t xml:space="preserve">iškraipymų (dėl klaidos ar dėl apgaulės) pobūdžio, nei </w:t>
      </w:r>
      <w:r w:rsidR="007F2C5C" w:rsidRPr="00310C1A">
        <w:rPr>
          <w:sz w:val="26"/>
          <w:szCs w:val="26"/>
          <w:lang w:val="lt-LT"/>
        </w:rPr>
        <w:t xml:space="preserve">„reikšmingumo“ </w:t>
      </w:r>
      <w:r w:rsidR="009E00E9" w:rsidRPr="00310C1A">
        <w:rPr>
          <w:sz w:val="26"/>
          <w:szCs w:val="26"/>
          <w:lang w:val="lt-LT"/>
        </w:rPr>
        <w:t>koncepcijos b</w:t>
      </w:r>
      <w:r w:rsidR="007F2C5C" w:rsidRPr="00310C1A">
        <w:rPr>
          <w:sz w:val="26"/>
          <w:szCs w:val="26"/>
          <w:lang w:val="lt-LT"/>
        </w:rPr>
        <w:t xml:space="preserve">ei </w:t>
      </w:r>
      <w:r w:rsidR="009E00E9" w:rsidRPr="00310C1A">
        <w:rPr>
          <w:sz w:val="26"/>
          <w:szCs w:val="26"/>
          <w:lang w:val="lt-LT"/>
        </w:rPr>
        <w:t xml:space="preserve">neparodo, kad būtina atlikti </w:t>
      </w:r>
      <w:r w:rsidR="007F2C5C" w:rsidRPr="00310C1A">
        <w:rPr>
          <w:sz w:val="26"/>
          <w:szCs w:val="26"/>
          <w:lang w:val="lt-LT"/>
        </w:rPr>
        <w:t>apgaulės rizikos vertinim</w:t>
      </w:r>
      <w:r w:rsidR="009E00E9" w:rsidRPr="00310C1A">
        <w:rPr>
          <w:sz w:val="26"/>
          <w:szCs w:val="26"/>
          <w:lang w:val="lt-LT"/>
        </w:rPr>
        <w:t>ą</w:t>
      </w:r>
      <w:r w:rsidR="007F2C5C" w:rsidRPr="00310C1A">
        <w:rPr>
          <w:sz w:val="26"/>
          <w:szCs w:val="26"/>
          <w:lang w:val="lt-LT"/>
        </w:rPr>
        <w:t>.</w:t>
      </w:r>
      <w:r w:rsidR="00F325E8" w:rsidRPr="00310C1A">
        <w:rPr>
          <w:sz w:val="26"/>
          <w:szCs w:val="26"/>
          <w:lang w:val="lt-LT"/>
        </w:rPr>
        <w:t xml:space="preserve"> </w:t>
      </w:r>
    </w:p>
    <w:p w:rsidR="00463872" w:rsidRPr="00310C1A" w:rsidRDefault="00216C48" w:rsidP="0009112A">
      <w:pPr>
        <w:tabs>
          <w:tab w:val="left" w:pos="709"/>
        </w:tabs>
        <w:spacing w:line="360" w:lineRule="auto"/>
        <w:jc w:val="both"/>
        <w:rPr>
          <w:sz w:val="26"/>
          <w:szCs w:val="26"/>
          <w:lang w:val="lt-LT"/>
        </w:rPr>
      </w:pPr>
      <w:r w:rsidRPr="00310C1A">
        <w:rPr>
          <w:color w:val="FF0000"/>
          <w:sz w:val="26"/>
          <w:szCs w:val="26"/>
          <w:lang w:val="lt-LT"/>
        </w:rPr>
        <w:tab/>
      </w:r>
      <w:r w:rsidR="0009112A" w:rsidRPr="00310C1A">
        <w:rPr>
          <w:color w:val="FF0000"/>
          <w:sz w:val="26"/>
          <w:szCs w:val="26"/>
          <w:lang w:val="lt-LT"/>
        </w:rPr>
        <w:tab/>
      </w:r>
      <w:r w:rsidR="000343F0" w:rsidRPr="00310C1A">
        <w:rPr>
          <w:sz w:val="26"/>
          <w:szCs w:val="26"/>
          <w:u w:val="single"/>
          <w:lang w:val="lt-LT"/>
        </w:rPr>
        <w:t>T</w:t>
      </w:r>
      <w:r w:rsidR="009B6941" w:rsidRPr="00310C1A">
        <w:rPr>
          <w:sz w:val="26"/>
          <w:szCs w:val="26"/>
          <w:u w:val="single"/>
          <w:lang w:val="lt-LT"/>
        </w:rPr>
        <w:t>rūkumai.</w:t>
      </w:r>
      <w:r w:rsidR="009B6941" w:rsidRPr="00310C1A">
        <w:rPr>
          <w:sz w:val="26"/>
          <w:szCs w:val="26"/>
          <w:lang w:val="lt-LT"/>
        </w:rPr>
        <w:t xml:space="preserve"> Nors klasikinis audito rizikos modelis gana tiksliai išreiškiamas matematiškai, tačiau jis praktikoje dažnai kritikuojamas.</w:t>
      </w:r>
      <w:r w:rsidR="009B6941" w:rsidRPr="00310C1A">
        <w:rPr>
          <w:color w:val="0000FF"/>
          <w:sz w:val="26"/>
          <w:szCs w:val="26"/>
          <w:lang w:val="lt-LT"/>
        </w:rPr>
        <w:t xml:space="preserve"> </w:t>
      </w:r>
      <w:r w:rsidR="009B6941" w:rsidRPr="00310C1A">
        <w:rPr>
          <w:sz w:val="26"/>
          <w:szCs w:val="26"/>
          <w:lang w:val="lt-LT"/>
        </w:rPr>
        <w:t xml:space="preserve">Dauguma autorių (Mackevičius,1999; Robertson, 1990; </w:t>
      </w:r>
      <w:r w:rsidR="0069371C" w:rsidRPr="00310C1A">
        <w:rPr>
          <w:sz w:val="26"/>
          <w:szCs w:val="26"/>
          <w:lang w:val="lt-LT"/>
        </w:rPr>
        <w:t xml:space="preserve">Johnson, 1991; </w:t>
      </w:r>
      <w:r w:rsidR="009B6941" w:rsidRPr="00310C1A">
        <w:rPr>
          <w:sz w:val="26"/>
          <w:szCs w:val="26"/>
          <w:lang w:val="lt-LT"/>
        </w:rPr>
        <w:t xml:space="preserve">Arens, Loebbecke, 1995) nurodo, kad audito rizikos modelis padeda auditoriui geriau suprasti įvairių rizikų tarpusavio ryšius, </w:t>
      </w:r>
      <w:r w:rsidR="00C63D2D" w:rsidRPr="00310C1A">
        <w:rPr>
          <w:sz w:val="26"/>
          <w:szCs w:val="26"/>
          <w:lang w:val="lt-LT"/>
        </w:rPr>
        <w:t>tačiau</w:t>
      </w:r>
      <w:r w:rsidR="009B6941" w:rsidRPr="00310C1A">
        <w:rPr>
          <w:sz w:val="26"/>
          <w:szCs w:val="26"/>
          <w:lang w:val="lt-LT"/>
        </w:rPr>
        <w:t xml:space="preserve"> </w:t>
      </w:r>
      <w:r w:rsidR="009B6941" w:rsidRPr="00310C1A">
        <w:rPr>
          <w:i/>
          <w:sz w:val="26"/>
          <w:szCs w:val="26"/>
          <w:lang w:val="lt-LT"/>
        </w:rPr>
        <w:t>nepateikia būdo, kaip šias rizikas apskaičiuoti</w:t>
      </w:r>
      <w:r w:rsidR="009B6941" w:rsidRPr="00310C1A">
        <w:rPr>
          <w:sz w:val="26"/>
          <w:szCs w:val="26"/>
          <w:lang w:val="lt-LT"/>
        </w:rPr>
        <w:t xml:space="preserve">: kaip tiksliai nustatyti įgimtos, kontrolės ir aptikimo rizikų dydžius. </w:t>
      </w:r>
      <w:r w:rsidR="00F325E8" w:rsidRPr="00310C1A">
        <w:rPr>
          <w:sz w:val="26"/>
          <w:szCs w:val="26"/>
          <w:lang w:val="lt-LT"/>
        </w:rPr>
        <w:t xml:space="preserve">Kadangi dažnai </w:t>
      </w:r>
      <w:r w:rsidR="009B6941" w:rsidRPr="00310C1A">
        <w:rPr>
          <w:sz w:val="26"/>
          <w:szCs w:val="26"/>
          <w:lang w:val="lt-LT"/>
        </w:rPr>
        <w:t>priimtinos audito rizikos, įgimtos ir kontrolės rizikų įvertinimai yra gana subjektyvūs ir tik truputį atspinti tikrovę</w:t>
      </w:r>
      <w:r w:rsidR="00E57170" w:rsidRPr="00310C1A">
        <w:rPr>
          <w:sz w:val="26"/>
          <w:szCs w:val="26"/>
          <w:lang w:val="lt-LT"/>
        </w:rPr>
        <w:t xml:space="preserve">, </w:t>
      </w:r>
      <w:r w:rsidR="00F325E8" w:rsidRPr="00310C1A">
        <w:rPr>
          <w:sz w:val="26"/>
          <w:szCs w:val="26"/>
          <w:lang w:val="lt-LT"/>
        </w:rPr>
        <w:t xml:space="preserve">tai, </w:t>
      </w:r>
      <w:r w:rsidR="00E57170" w:rsidRPr="00310C1A">
        <w:rPr>
          <w:sz w:val="26"/>
          <w:szCs w:val="26"/>
          <w:lang w:val="lt-LT"/>
        </w:rPr>
        <w:t>G.</w:t>
      </w:r>
      <w:r w:rsidR="00310C1A">
        <w:rPr>
          <w:sz w:val="26"/>
          <w:szCs w:val="26"/>
          <w:lang w:val="lt-LT"/>
        </w:rPr>
        <w:t> </w:t>
      </w:r>
      <w:r w:rsidR="00E57170" w:rsidRPr="00310C1A">
        <w:rPr>
          <w:sz w:val="26"/>
          <w:szCs w:val="26"/>
          <w:lang w:val="lt-LT"/>
        </w:rPr>
        <w:t xml:space="preserve">Long (1999) nuomone, audito rizikos modelis gali būti realiai netikslus. </w:t>
      </w:r>
      <w:r w:rsidR="00DF3763" w:rsidRPr="00310C1A">
        <w:rPr>
          <w:sz w:val="26"/>
          <w:szCs w:val="26"/>
          <w:lang w:val="lt-LT"/>
        </w:rPr>
        <w:t>P.</w:t>
      </w:r>
      <w:r w:rsidR="00310C1A">
        <w:rPr>
          <w:sz w:val="26"/>
          <w:szCs w:val="26"/>
          <w:lang w:val="lt-LT"/>
        </w:rPr>
        <w:t> </w:t>
      </w:r>
      <w:r w:rsidR="00DF3763" w:rsidRPr="00310C1A">
        <w:rPr>
          <w:sz w:val="26"/>
          <w:szCs w:val="26"/>
          <w:lang w:val="lt-LT"/>
        </w:rPr>
        <w:t>Lloyd ir P.</w:t>
      </w:r>
      <w:r w:rsidR="005218E1" w:rsidRPr="00310C1A">
        <w:rPr>
          <w:sz w:val="26"/>
          <w:szCs w:val="26"/>
          <w:lang w:val="lt-LT"/>
        </w:rPr>
        <w:t xml:space="preserve"> </w:t>
      </w:r>
      <w:r w:rsidR="00DF3763" w:rsidRPr="00310C1A">
        <w:rPr>
          <w:sz w:val="26"/>
          <w:szCs w:val="26"/>
          <w:lang w:val="lt-LT"/>
        </w:rPr>
        <w:t>Goldschmidt (2003) taip pat pastebi, kad audito rizikos modelis nėra taikomas griežta apskaičiavimo prasme.</w:t>
      </w:r>
      <w:r w:rsidR="00975436" w:rsidRPr="00310C1A">
        <w:rPr>
          <w:sz w:val="26"/>
          <w:szCs w:val="26"/>
          <w:lang w:val="lt-LT"/>
        </w:rPr>
        <w:t xml:space="preserve"> </w:t>
      </w:r>
      <w:r w:rsidR="009B6941" w:rsidRPr="00310C1A">
        <w:rPr>
          <w:sz w:val="26"/>
          <w:szCs w:val="26"/>
          <w:lang w:val="lt-LT"/>
        </w:rPr>
        <w:t>Todėl dauguma auditorių, anot A.</w:t>
      </w:r>
      <w:r w:rsidR="00390ADC">
        <w:t> </w:t>
      </w:r>
      <w:r w:rsidR="009B6941" w:rsidRPr="00310C1A">
        <w:rPr>
          <w:sz w:val="26"/>
          <w:szCs w:val="26"/>
          <w:lang w:val="lt-LT"/>
        </w:rPr>
        <w:t>A.</w:t>
      </w:r>
      <w:r w:rsidR="00BE5795">
        <w:rPr>
          <w:sz w:val="26"/>
          <w:szCs w:val="26"/>
          <w:lang w:val="lt-LT"/>
        </w:rPr>
        <w:t> </w:t>
      </w:r>
      <w:r w:rsidR="009B6941" w:rsidRPr="00310C1A">
        <w:rPr>
          <w:sz w:val="26"/>
          <w:szCs w:val="26"/>
          <w:lang w:val="lt-LT"/>
        </w:rPr>
        <w:t>Arens ir J. K. Loebbecke (1995), elgiasi atsargiai atlikdami apskaičiavimus arba nustat</w:t>
      </w:r>
      <w:r w:rsidR="00390ADC">
        <w:rPr>
          <w:sz w:val="26"/>
          <w:szCs w:val="26"/>
          <w:lang w:val="lt-LT"/>
        </w:rPr>
        <w:t>ydami</w:t>
      </w:r>
      <w:r w:rsidR="009B6941" w:rsidRPr="00310C1A">
        <w:rPr>
          <w:sz w:val="26"/>
          <w:szCs w:val="26"/>
          <w:lang w:val="lt-LT"/>
        </w:rPr>
        <w:t xml:space="preserve"> rizikų ribas </w:t>
      </w:r>
      <w:r w:rsidR="00390ADC" w:rsidRPr="00310C1A">
        <w:rPr>
          <w:sz w:val="26"/>
          <w:szCs w:val="26"/>
          <w:lang w:val="lt-LT"/>
        </w:rPr>
        <w:t xml:space="preserve">naudojasi </w:t>
      </w:r>
      <w:r w:rsidR="009B6941" w:rsidRPr="00310C1A">
        <w:rPr>
          <w:sz w:val="26"/>
          <w:szCs w:val="26"/>
          <w:lang w:val="lt-LT"/>
        </w:rPr>
        <w:t>subjektyvių terminų pagalba „maža“, „vidutin</w:t>
      </w:r>
      <w:r w:rsidR="007F2466" w:rsidRPr="00310C1A">
        <w:rPr>
          <w:sz w:val="26"/>
          <w:szCs w:val="26"/>
          <w:lang w:val="lt-LT"/>
        </w:rPr>
        <w:t>ė</w:t>
      </w:r>
      <w:r w:rsidR="009B6941" w:rsidRPr="00310C1A">
        <w:rPr>
          <w:sz w:val="26"/>
          <w:szCs w:val="26"/>
          <w:lang w:val="lt-LT"/>
        </w:rPr>
        <w:t>“, „didelė“</w:t>
      </w:r>
      <w:r w:rsidR="00307654" w:rsidRPr="00310C1A">
        <w:rPr>
          <w:sz w:val="26"/>
          <w:szCs w:val="26"/>
          <w:lang w:val="lt-LT"/>
        </w:rPr>
        <w:t xml:space="preserve"> nei</w:t>
      </w:r>
      <w:r w:rsidR="00FC439A" w:rsidRPr="00310C1A">
        <w:rPr>
          <w:sz w:val="26"/>
          <w:szCs w:val="26"/>
          <w:lang w:val="lt-LT"/>
        </w:rPr>
        <w:t>,</w:t>
      </w:r>
      <w:r w:rsidR="00307654" w:rsidRPr="00310C1A">
        <w:rPr>
          <w:sz w:val="26"/>
          <w:szCs w:val="26"/>
          <w:lang w:val="lt-LT"/>
        </w:rPr>
        <w:t xml:space="preserve"> </w:t>
      </w:r>
      <w:r w:rsidR="00FC439A" w:rsidRPr="00310C1A">
        <w:rPr>
          <w:sz w:val="26"/>
          <w:szCs w:val="26"/>
          <w:lang w:val="lt-LT"/>
        </w:rPr>
        <w:t>B. K. Ghosh (2005) teigimu, remiasi tikimybėmis</w:t>
      </w:r>
      <w:r w:rsidR="009B6941" w:rsidRPr="00310C1A">
        <w:rPr>
          <w:sz w:val="26"/>
          <w:szCs w:val="26"/>
          <w:lang w:val="lt-LT"/>
        </w:rPr>
        <w:t>.</w:t>
      </w:r>
      <w:r w:rsidR="007C0074" w:rsidRPr="00310C1A">
        <w:rPr>
          <w:sz w:val="26"/>
          <w:szCs w:val="26"/>
          <w:lang w:val="lt-LT"/>
        </w:rPr>
        <w:t xml:space="preserve"> </w:t>
      </w:r>
      <w:r w:rsidR="009B6941" w:rsidRPr="00310C1A">
        <w:rPr>
          <w:sz w:val="26"/>
          <w:szCs w:val="26"/>
          <w:lang w:val="lt-LT"/>
        </w:rPr>
        <w:t>J. Mackeviči</w:t>
      </w:r>
      <w:r w:rsidR="00AD6A60" w:rsidRPr="00310C1A">
        <w:rPr>
          <w:sz w:val="26"/>
          <w:szCs w:val="26"/>
          <w:lang w:val="lt-LT"/>
        </w:rPr>
        <w:t>a</w:t>
      </w:r>
      <w:r w:rsidR="009B6941" w:rsidRPr="00310C1A">
        <w:rPr>
          <w:sz w:val="26"/>
          <w:szCs w:val="26"/>
          <w:lang w:val="lt-LT"/>
        </w:rPr>
        <w:t xml:space="preserve">us (1999) </w:t>
      </w:r>
      <w:r w:rsidR="00975436" w:rsidRPr="00310C1A">
        <w:rPr>
          <w:sz w:val="26"/>
          <w:szCs w:val="26"/>
          <w:lang w:val="lt-LT"/>
        </w:rPr>
        <w:t>nu</w:t>
      </w:r>
      <w:r w:rsidR="00AD6A60" w:rsidRPr="00310C1A">
        <w:rPr>
          <w:sz w:val="26"/>
          <w:szCs w:val="26"/>
          <w:lang w:val="lt-LT"/>
        </w:rPr>
        <w:t>omone</w:t>
      </w:r>
      <w:r w:rsidR="009B6941" w:rsidRPr="00310C1A">
        <w:rPr>
          <w:sz w:val="26"/>
          <w:szCs w:val="26"/>
          <w:lang w:val="lt-LT"/>
        </w:rPr>
        <w:t>, audito rizikos ir aptikimo rizikos apskaičiavimo formulių reikšmė daugiau teorinė nei praktinė.</w:t>
      </w:r>
      <w:r w:rsidR="007F2C5C" w:rsidRPr="00310C1A">
        <w:rPr>
          <w:sz w:val="26"/>
          <w:szCs w:val="26"/>
          <w:lang w:val="lt-LT"/>
        </w:rPr>
        <w:t xml:space="preserve"> </w:t>
      </w:r>
      <w:r w:rsidR="00463872" w:rsidRPr="00310C1A">
        <w:rPr>
          <w:sz w:val="26"/>
          <w:szCs w:val="26"/>
          <w:lang w:val="lt-LT"/>
        </w:rPr>
        <w:t>Pateisindam</w:t>
      </w:r>
      <w:r w:rsidR="00F325E8" w:rsidRPr="00310C1A">
        <w:rPr>
          <w:sz w:val="26"/>
          <w:szCs w:val="26"/>
          <w:lang w:val="lt-LT"/>
        </w:rPr>
        <w:t>i</w:t>
      </w:r>
      <w:r w:rsidR="00463872" w:rsidRPr="00310C1A">
        <w:rPr>
          <w:sz w:val="26"/>
          <w:szCs w:val="26"/>
          <w:lang w:val="lt-LT"/>
        </w:rPr>
        <w:t xml:space="preserve"> šio modelio panaudojimą </w:t>
      </w:r>
      <w:r w:rsidR="00F325E8" w:rsidRPr="00310C1A">
        <w:rPr>
          <w:sz w:val="26"/>
          <w:szCs w:val="26"/>
          <w:lang w:val="lt-LT"/>
        </w:rPr>
        <w:t xml:space="preserve">B. E. Cushing, J. K. Loebbecke (1983) teigia, kad audito rizikos modelis buvo pasiūlytas </w:t>
      </w:r>
      <w:r w:rsidR="00236C4D" w:rsidRPr="00310C1A">
        <w:rPr>
          <w:sz w:val="26"/>
          <w:szCs w:val="26"/>
          <w:lang w:val="lt-LT"/>
        </w:rPr>
        <w:t xml:space="preserve">kaip pagalba audito </w:t>
      </w:r>
      <w:r w:rsidR="00236C4D" w:rsidRPr="00310C1A">
        <w:rPr>
          <w:sz w:val="26"/>
          <w:szCs w:val="26"/>
          <w:lang w:val="lt-LT"/>
        </w:rPr>
        <w:lastRenderedPageBreak/>
        <w:t>planavimui ir tai nėra matematinė formulė, į</w:t>
      </w:r>
      <w:r w:rsidR="00915B0C" w:rsidRPr="00310C1A">
        <w:rPr>
          <w:sz w:val="26"/>
          <w:szCs w:val="26"/>
          <w:lang w:val="lt-LT"/>
        </w:rPr>
        <w:t xml:space="preserve"> kurią įtraukti </w:t>
      </w:r>
      <w:r w:rsidR="00236C4D" w:rsidRPr="00310C1A">
        <w:rPr>
          <w:sz w:val="26"/>
          <w:szCs w:val="26"/>
          <w:lang w:val="lt-LT"/>
        </w:rPr>
        <w:t>vis</w:t>
      </w:r>
      <w:r w:rsidR="00915B0C" w:rsidRPr="00310C1A">
        <w:rPr>
          <w:sz w:val="26"/>
          <w:szCs w:val="26"/>
          <w:lang w:val="lt-LT"/>
        </w:rPr>
        <w:t xml:space="preserve">i </w:t>
      </w:r>
      <w:r w:rsidR="00236C4D" w:rsidRPr="00310C1A">
        <w:rPr>
          <w:sz w:val="26"/>
          <w:szCs w:val="26"/>
          <w:lang w:val="lt-LT"/>
        </w:rPr>
        <w:t>veiksni</w:t>
      </w:r>
      <w:r w:rsidR="00915B0C" w:rsidRPr="00310C1A">
        <w:rPr>
          <w:sz w:val="26"/>
          <w:szCs w:val="26"/>
          <w:lang w:val="lt-LT"/>
        </w:rPr>
        <w:t>ai</w:t>
      </w:r>
      <w:r w:rsidR="00236C4D" w:rsidRPr="00310C1A">
        <w:rPr>
          <w:sz w:val="26"/>
          <w:szCs w:val="26"/>
          <w:lang w:val="lt-LT"/>
        </w:rPr>
        <w:t>, kurie galėtų lemti atskirų rizikos komponentų nustatymą.</w:t>
      </w:r>
      <w:r w:rsidR="000D7F38" w:rsidRPr="00310C1A">
        <w:rPr>
          <w:sz w:val="26"/>
          <w:szCs w:val="26"/>
          <w:lang w:val="lt-LT"/>
        </w:rPr>
        <w:t xml:space="preserve"> </w:t>
      </w:r>
      <w:r w:rsidR="00F325E8" w:rsidRPr="00310C1A">
        <w:rPr>
          <w:sz w:val="26"/>
          <w:szCs w:val="26"/>
          <w:lang w:val="lt-LT"/>
        </w:rPr>
        <w:t xml:space="preserve">Be to, </w:t>
      </w:r>
      <w:r w:rsidR="008D1859" w:rsidRPr="00310C1A">
        <w:rPr>
          <w:sz w:val="26"/>
          <w:szCs w:val="26"/>
          <w:lang w:val="lt-LT"/>
        </w:rPr>
        <w:t>K.</w:t>
      </w:r>
      <w:r w:rsidR="00310C1A">
        <w:rPr>
          <w:sz w:val="26"/>
          <w:szCs w:val="26"/>
          <w:lang w:val="lt-LT"/>
        </w:rPr>
        <w:t> </w:t>
      </w:r>
      <w:r w:rsidR="008D1859" w:rsidRPr="00310C1A">
        <w:rPr>
          <w:sz w:val="26"/>
          <w:szCs w:val="26"/>
          <w:lang w:val="lt-LT"/>
        </w:rPr>
        <w:t>H.</w:t>
      </w:r>
      <w:r w:rsidR="00310C1A">
        <w:rPr>
          <w:sz w:val="26"/>
          <w:szCs w:val="26"/>
          <w:lang w:val="lt-LT"/>
        </w:rPr>
        <w:t> </w:t>
      </w:r>
      <w:r w:rsidR="008D1859" w:rsidRPr="00310C1A">
        <w:rPr>
          <w:sz w:val="26"/>
          <w:szCs w:val="26"/>
          <w:lang w:val="lt-LT"/>
        </w:rPr>
        <w:t>S</w:t>
      </w:r>
      <w:r w:rsidR="00EB13F0">
        <w:rPr>
          <w:sz w:val="26"/>
          <w:szCs w:val="26"/>
          <w:lang w:val="lt-LT"/>
        </w:rPr>
        <w:t>pencer</w:t>
      </w:r>
      <w:r w:rsidR="00310C1A">
        <w:rPr>
          <w:sz w:val="26"/>
          <w:szCs w:val="26"/>
          <w:lang w:val="lt-LT"/>
        </w:rPr>
        <w:t> </w:t>
      </w:r>
      <w:r w:rsidR="007F7ACB" w:rsidRPr="00310C1A">
        <w:rPr>
          <w:sz w:val="26"/>
          <w:szCs w:val="26"/>
          <w:lang w:val="lt-LT"/>
        </w:rPr>
        <w:t>Picket</w:t>
      </w:r>
      <w:r w:rsidR="00310C1A">
        <w:rPr>
          <w:sz w:val="26"/>
          <w:szCs w:val="26"/>
          <w:lang w:val="lt-LT"/>
        </w:rPr>
        <w:t> </w:t>
      </w:r>
      <w:r w:rsidR="007F7ACB" w:rsidRPr="00310C1A">
        <w:rPr>
          <w:sz w:val="26"/>
          <w:szCs w:val="26"/>
          <w:lang w:val="lt-LT"/>
        </w:rPr>
        <w:t>(1997)</w:t>
      </w:r>
      <w:r w:rsidR="00463872" w:rsidRPr="00310C1A">
        <w:rPr>
          <w:sz w:val="26"/>
          <w:szCs w:val="26"/>
          <w:lang w:val="lt-LT"/>
        </w:rPr>
        <w:t xml:space="preserve"> nurodo</w:t>
      </w:r>
      <w:r w:rsidR="007F7ACB" w:rsidRPr="00310C1A">
        <w:rPr>
          <w:sz w:val="26"/>
          <w:szCs w:val="26"/>
          <w:lang w:val="lt-LT"/>
        </w:rPr>
        <w:t xml:space="preserve">, kad </w:t>
      </w:r>
      <w:r w:rsidR="009B2EE1" w:rsidRPr="00310C1A">
        <w:rPr>
          <w:sz w:val="26"/>
          <w:szCs w:val="26"/>
          <w:lang w:val="lt-LT"/>
        </w:rPr>
        <w:t xml:space="preserve">audito </w:t>
      </w:r>
      <w:r w:rsidR="007F7ACB" w:rsidRPr="00310C1A">
        <w:rPr>
          <w:sz w:val="26"/>
          <w:szCs w:val="26"/>
          <w:lang w:val="lt-LT"/>
        </w:rPr>
        <w:t>r</w:t>
      </w:r>
      <w:r w:rsidR="008D1859" w:rsidRPr="00310C1A">
        <w:rPr>
          <w:sz w:val="26"/>
          <w:szCs w:val="26"/>
          <w:lang w:val="lt-LT"/>
        </w:rPr>
        <w:t>izikos vertinimas apima daug subjektyvių veiksnių ir negali niekada būti griežtai matematinis</w:t>
      </w:r>
      <w:r w:rsidR="009B2EE1" w:rsidRPr="00310C1A">
        <w:rPr>
          <w:sz w:val="26"/>
          <w:szCs w:val="26"/>
          <w:lang w:val="lt-LT"/>
        </w:rPr>
        <w:t>, o</w:t>
      </w:r>
      <w:r w:rsidR="00C94284" w:rsidRPr="00310C1A">
        <w:rPr>
          <w:sz w:val="26"/>
          <w:szCs w:val="26"/>
          <w:lang w:val="lt-LT"/>
        </w:rPr>
        <w:t xml:space="preserve"> </w:t>
      </w:r>
      <w:r w:rsidR="008D1859" w:rsidRPr="00310C1A">
        <w:rPr>
          <w:sz w:val="26"/>
          <w:szCs w:val="26"/>
          <w:lang w:val="lt-LT"/>
        </w:rPr>
        <w:t xml:space="preserve">visada </w:t>
      </w:r>
      <w:r w:rsidR="007F7ACB" w:rsidRPr="00310C1A">
        <w:rPr>
          <w:sz w:val="26"/>
          <w:szCs w:val="26"/>
          <w:lang w:val="lt-LT"/>
        </w:rPr>
        <w:t>apima</w:t>
      </w:r>
      <w:r w:rsidR="008D1859" w:rsidRPr="00310C1A">
        <w:rPr>
          <w:sz w:val="26"/>
          <w:szCs w:val="26"/>
          <w:lang w:val="lt-LT"/>
        </w:rPr>
        <w:t xml:space="preserve"> „geriausio atspėjimo“ veiksnį</w:t>
      </w:r>
      <w:r w:rsidR="007F7ACB" w:rsidRPr="00310C1A">
        <w:rPr>
          <w:sz w:val="26"/>
          <w:szCs w:val="26"/>
          <w:lang w:val="lt-LT"/>
        </w:rPr>
        <w:t>.</w:t>
      </w:r>
      <w:r w:rsidR="009B6941" w:rsidRPr="00310C1A">
        <w:rPr>
          <w:sz w:val="26"/>
          <w:szCs w:val="26"/>
          <w:lang w:val="lt-LT"/>
        </w:rPr>
        <w:t xml:space="preserve"> </w:t>
      </w:r>
      <w:r w:rsidR="00463872" w:rsidRPr="00310C1A">
        <w:rPr>
          <w:sz w:val="26"/>
          <w:szCs w:val="26"/>
          <w:lang w:val="lt-LT"/>
        </w:rPr>
        <w:t>Tam pritaria ir F. W. Messier, L.</w:t>
      </w:r>
      <w:r w:rsidR="00310C1A">
        <w:rPr>
          <w:sz w:val="26"/>
          <w:szCs w:val="26"/>
          <w:lang w:val="lt-LT"/>
        </w:rPr>
        <w:t> </w:t>
      </w:r>
      <w:r w:rsidR="00463872" w:rsidRPr="00310C1A">
        <w:rPr>
          <w:sz w:val="26"/>
          <w:szCs w:val="26"/>
          <w:lang w:val="lt-LT"/>
        </w:rPr>
        <w:t>A.</w:t>
      </w:r>
      <w:r w:rsidR="00310C1A">
        <w:rPr>
          <w:sz w:val="26"/>
          <w:szCs w:val="26"/>
          <w:lang w:val="lt-LT"/>
        </w:rPr>
        <w:t> </w:t>
      </w:r>
      <w:r w:rsidR="00463872" w:rsidRPr="00310C1A">
        <w:rPr>
          <w:sz w:val="26"/>
          <w:szCs w:val="26"/>
          <w:lang w:val="lt-LT"/>
        </w:rPr>
        <w:t>Austen (2000b) teigdami</w:t>
      </w:r>
      <w:r w:rsidR="00916606" w:rsidRPr="00310C1A">
        <w:rPr>
          <w:sz w:val="26"/>
          <w:szCs w:val="26"/>
          <w:lang w:val="lt-LT"/>
        </w:rPr>
        <w:t>, kad auditorius turi vadovautis profesiniu sprendimu svarstydamas ir derindamas audito rizikos komponentus</w:t>
      </w:r>
      <w:r w:rsidR="00463872" w:rsidRPr="00310C1A">
        <w:rPr>
          <w:sz w:val="26"/>
          <w:szCs w:val="26"/>
          <w:lang w:val="lt-LT"/>
        </w:rPr>
        <w:t>.</w:t>
      </w:r>
      <w:r w:rsidR="00236C4D" w:rsidRPr="00310C1A">
        <w:rPr>
          <w:sz w:val="26"/>
          <w:szCs w:val="26"/>
          <w:lang w:val="lt-LT"/>
        </w:rPr>
        <w:t xml:space="preserve"> Atsižvelgiant į tai, galima pastebėti</w:t>
      </w:r>
      <w:r w:rsidR="00236462" w:rsidRPr="00310C1A">
        <w:rPr>
          <w:sz w:val="26"/>
          <w:szCs w:val="26"/>
          <w:lang w:val="lt-LT"/>
        </w:rPr>
        <w:t>, kad autori</w:t>
      </w:r>
      <w:r w:rsidR="00915B0C" w:rsidRPr="00310C1A">
        <w:rPr>
          <w:sz w:val="26"/>
          <w:szCs w:val="26"/>
          <w:lang w:val="lt-LT"/>
        </w:rPr>
        <w:t>ai (Cushing, Loebbecke</w:t>
      </w:r>
      <w:r w:rsidR="00914611" w:rsidRPr="00310C1A">
        <w:rPr>
          <w:sz w:val="26"/>
          <w:szCs w:val="26"/>
          <w:lang w:val="lt-LT"/>
        </w:rPr>
        <w:t xml:space="preserve">, </w:t>
      </w:r>
      <w:r w:rsidR="00915B0C" w:rsidRPr="00310C1A">
        <w:rPr>
          <w:sz w:val="26"/>
          <w:szCs w:val="26"/>
          <w:lang w:val="lt-LT"/>
        </w:rPr>
        <w:t>1983; Arens</w:t>
      </w:r>
      <w:r w:rsidR="00914611" w:rsidRPr="00310C1A">
        <w:rPr>
          <w:sz w:val="26"/>
          <w:szCs w:val="26"/>
          <w:lang w:val="lt-LT"/>
        </w:rPr>
        <w:t xml:space="preserve">, </w:t>
      </w:r>
      <w:r w:rsidR="00915B0C" w:rsidRPr="00310C1A">
        <w:rPr>
          <w:sz w:val="26"/>
          <w:szCs w:val="26"/>
          <w:lang w:val="lt-LT"/>
        </w:rPr>
        <w:t>Loebbecke</w:t>
      </w:r>
      <w:r w:rsidR="00914611" w:rsidRPr="00310C1A">
        <w:rPr>
          <w:sz w:val="26"/>
          <w:szCs w:val="26"/>
          <w:lang w:val="lt-LT"/>
        </w:rPr>
        <w:t xml:space="preserve">, </w:t>
      </w:r>
      <w:r w:rsidR="00915B0C" w:rsidRPr="00310C1A">
        <w:rPr>
          <w:sz w:val="26"/>
          <w:szCs w:val="26"/>
          <w:lang w:val="lt-LT"/>
        </w:rPr>
        <w:t>1995</w:t>
      </w:r>
      <w:r w:rsidR="00914611" w:rsidRPr="00310C1A">
        <w:rPr>
          <w:sz w:val="26"/>
          <w:szCs w:val="26"/>
          <w:lang w:val="lt-LT"/>
        </w:rPr>
        <w:t xml:space="preserve">; </w:t>
      </w:r>
      <w:r w:rsidR="00EB13F0">
        <w:rPr>
          <w:sz w:val="26"/>
          <w:szCs w:val="26"/>
          <w:lang w:val="lt-LT"/>
        </w:rPr>
        <w:t xml:space="preserve">Spencer </w:t>
      </w:r>
      <w:r w:rsidR="00915B0C" w:rsidRPr="00310C1A">
        <w:rPr>
          <w:sz w:val="26"/>
          <w:szCs w:val="26"/>
          <w:lang w:val="lt-LT"/>
        </w:rPr>
        <w:t>Picket</w:t>
      </w:r>
      <w:r w:rsidR="00914611" w:rsidRPr="00310C1A">
        <w:rPr>
          <w:sz w:val="26"/>
          <w:szCs w:val="26"/>
          <w:lang w:val="lt-LT"/>
        </w:rPr>
        <w:t xml:space="preserve">, </w:t>
      </w:r>
      <w:r w:rsidR="00915B0C" w:rsidRPr="00310C1A">
        <w:rPr>
          <w:sz w:val="26"/>
          <w:szCs w:val="26"/>
          <w:lang w:val="lt-LT"/>
        </w:rPr>
        <w:t xml:space="preserve">1997; </w:t>
      </w:r>
      <w:r w:rsidR="00914611" w:rsidRPr="00310C1A">
        <w:rPr>
          <w:sz w:val="26"/>
          <w:szCs w:val="26"/>
          <w:lang w:val="lt-LT"/>
        </w:rPr>
        <w:t>Messier,</w:t>
      </w:r>
      <w:r w:rsidR="00915B0C" w:rsidRPr="00310C1A">
        <w:rPr>
          <w:sz w:val="26"/>
          <w:szCs w:val="26"/>
          <w:lang w:val="lt-LT"/>
        </w:rPr>
        <w:t xml:space="preserve"> Austen</w:t>
      </w:r>
      <w:r w:rsidR="00914611" w:rsidRPr="00310C1A">
        <w:rPr>
          <w:sz w:val="26"/>
          <w:szCs w:val="26"/>
          <w:lang w:val="lt-LT"/>
        </w:rPr>
        <w:t>, 2000b</w:t>
      </w:r>
      <w:r w:rsidR="00915B0C" w:rsidRPr="00310C1A">
        <w:rPr>
          <w:sz w:val="26"/>
          <w:szCs w:val="26"/>
          <w:lang w:val="lt-LT"/>
        </w:rPr>
        <w:t>)</w:t>
      </w:r>
      <w:r w:rsidR="00236462" w:rsidRPr="00310C1A">
        <w:rPr>
          <w:sz w:val="26"/>
          <w:szCs w:val="26"/>
          <w:lang w:val="lt-LT"/>
        </w:rPr>
        <w:t xml:space="preserve"> pripažįsta, jog modelis ir negali pateikti būdo kaip a</w:t>
      </w:r>
      <w:r w:rsidR="00915B0C" w:rsidRPr="00310C1A">
        <w:rPr>
          <w:sz w:val="26"/>
          <w:szCs w:val="26"/>
          <w:lang w:val="lt-LT"/>
        </w:rPr>
        <w:t>pskaičiuoti audito rizikos komponentus, nes audito rizikos vertinimui yra būdingas subjektyvumo aspektas.</w:t>
      </w:r>
      <w:r w:rsidR="000D7F38" w:rsidRPr="00310C1A">
        <w:rPr>
          <w:sz w:val="26"/>
          <w:szCs w:val="26"/>
          <w:lang w:val="lt-LT"/>
        </w:rPr>
        <w:t xml:space="preserve"> R. D. Allen, D. R. Hermanson, T. M. Kozloski, R. J. Ramsay </w:t>
      </w:r>
      <w:r w:rsidR="00696147" w:rsidRPr="00310C1A">
        <w:rPr>
          <w:sz w:val="26"/>
          <w:szCs w:val="26"/>
          <w:lang w:val="lt-LT"/>
        </w:rPr>
        <w:t xml:space="preserve">(2006) </w:t>
      </w:r>
      <w:r w:rsidR="006E0844" w:rsidRPr="00310C1A">
        <w:rPr>
          <w:sz w:val="26"/>
          <w:szCs w:val="26"/>
          <w:lang w:val="lt-LT"/>
        </w:rPr>
        <w:t>nuomone</w:t>
      </w:r>
      <w:r w:rsidR="00696147" w:rsidRPr="00310C1A">
        <w:rPr>
          <w:sz w:val="26"/>
          <w:szCs w:val="26"/>
          <w:lang w:val="lt-LT"/>
        </w:rPr>
        <w:t>,</w:t>
      </w:r>
      <w:r w:rsidR="00B65017" w:rsidRPr="00310C1A">
        <w:rPr>
          <w:sz w:val="26"/>
          <w:szCs w:val="26"/>
          <w:lang w:val="lt-LT"/>
        </w:rPr>
        <w:t xml:space="preserve"> „</w:t>
      </w:r>
      <w:r w:rsidR="000D7F38" w:rsidRPr="00310C1A">
        <w:rPr>
          <w:sz w:val="26"/>
          <w:szCs w:val="26"/>
          <w:lang w:val="lt-LT"/>
        </w:rPr>
        <w:t>viena iš priežasčių kodėl skiriasi požiūriai į klasikinį audito rizikos modelį gali būti susijusi su tuo, kad vieni požiūriai sieja jį su koncepciniu vadovu, o kiti su tikslia matematine lygtimi.</w:t>
      </w:r>
    </w:p>
    <w:p w:rsidR="009B6941" w:rsidRPr="00310C1A" w:rsidRDefault="009B6941" w:rsidP="007F2466">
      <w:pPr>
        <w:spacing w:line="360" w:lineRule="auto"/>
        <w:ind w:firstLine="720"/>
        <w:jc w:val="both"/>
        <w:rPr>
          <w:sz w:val="26"/>
          <w:szCs w:val="26"/>
          <w:lang w:val="lt-LT"/>
        </w:rPr>
      </w:pPr>
      <w:r w:rsidRPr="00310C1A">
        <w:rPr>
          <w:sz w:val="26"/>
          <w:szCs w:val="26"/>
          <w:lang w:val="lt-LT"/>
        </w:rPr>
        <w:t xml:space="preserve">A. A. Arens, J. K. Loebbecke (1995) </w:t>
      </w:r>
      <w:r w:rsidR="007F7ACB" w:rsidRPr="00310C1A">
        <w:rPr>
          <w:sz w:val="26"/>
          <w:szCs w:val="26"/>
          <w:lang w:val="lt-LT"/>
        </w:rPr>
        <w:t xml:space="preserve">taip pat </w:t>
      </w:r>
      <w:r w:rsidRPr="00310C1A">
        <w:rPr>
          <w:sz w:val="26"/>
          <w:szCs w:val="26"/>
          <w:lang w:val="lt-LT"/>
        </w:rPr>
        <w:t xml:space="preserve">akcentuoja, kad </w:t>
      </w:r>
      <w:r w:rsidR="002300C8" w:rsidRPr="00310C1A">
        <w:rPr>
          <w:sz w:val="26"/>
          <w:szCs w:val="26"/>
          <w:lang w:val="lt-LT"/>
        </w:rPr>
        <w:t xml:space="preserve">klasikinis </w:t>
      </w:r>
      <w:r w:rsidRPr="00310C1A">
        <w:rPr>
          <w:sz w:val="26"/>
          <w:szCs w:val="26"/>
          <w:lang w:val="lt-LT"/>
        </w:rPr>
        <w:t xml:space="preserve">audito rizikos modelis – planavimo modelis ir </w:t>
      </w:r>
      <w:r w:rsidRPr="00310C1A">
        <w:rPr>
          <w:i/>
          <w:sz w:val="26"/>
          <w:szCs w:val="26"/>
          <w:lang w:val="lt-LT"/>
        </w:rPr>
        <w:t xml:space="preserve">galimybė jį panaudoti audito rezultatų įvertinimui ribota. </w:t>
      </w:r>
      <w:r w:rsidRPr="00310C1A">
        <w:rPr>
          <w:sz w:val="26"/>
          <w:szCs w:val="26"/>
          <w:lang w:val="lt-LT"/>
        </w:rPr>
        <w:t>Tuo atveju,</w:t>
      </w:r>
      <w:r w:rsidR="000F2425" w:rsidRPr="00310C1A">
        <w:rPr>
          <w:sz w:val="26"/>
          <w:szCs w:val="26"/>
          <w:lang w:val="lt-LT"/>
        </w:rPr>
        <w:t xml:space="preserve"> </w:t>
      </w:r>
      <w:r w:rsidRPr="00310C1A">
        <w:rPr>
          <w:sz w:val="26"/>
          <w:szCs w:val="26"/>
          <w:lang w:val="lt-LT"/>
        </w:rPr>
        <w:t>jei įvertinus audito rizikos komponentus bei sudarius audito planą, audito įrod</w:t>
      </w:r>
      <w:r w:rsidR="00914611" w:rsidRPr="00310C1A">
        <w:rPr>
          <w:sz w:val="26"/>
          <w:szCs w:val="26"/>
          <w:lang w:val="lt-LT"/>
        </w:rPr>
        <w:t>ymai rodys, kad: 1)</w:t>
      </w:r>
      <w:r w:rsidR="00041860">
        <w:rPr>
          <w:sz w:val="26"/>
          <w:szCs w:val="26"/>
          <w:lang w:val="lt-LT"/>
        </w:rPr>
        <w:t> </w:t>
      </w:r>
      <w:r w:rsidR="00914611" w:rsidRPr="00310C1A">
        <w:rPr>
          <w:sz w:val="26"/>
          <w:szCs w:val="26"/>
          <w:lang w:val="lt-LT"/>
        </w:rPr>
        <w:t>reikšmingų</w:t>
      </w:r>
      <w:r w:rsidRPr="00310C1A">
        <w:rPr>
          <w:sz w:val="26"/>
          <w:szCs w:val="26"/>
          <w:lang w:val="lt-LT"/>
        </w:rPr>
        <w:t xml:space="preserve"> iškraipymų, viršijančių leistiną sumą, nėra, tai įvertinta </w:t>
      </w:r>
      <w:r w:rsidR="000F2425" w:rsidRPr="00310C1A">
        <w:rPr>
          <w:sz w:val="26"/>
          <w:szCs w:val="26"/>
          <w:lang w:val="lt-LT"/>
        </w:rPr>
        <w:t xml:space="preserve">audito </w:t>
      </w:r>
      <w:r w:rsidRPr="00310C1A">
        <w:rPr>
          <w:sz w:val="26"/>
          <w:szCs w:val="26"/>
          <w:lang w:val="lt-LT"/>
        </w:rPr>
        <w:t xml:space="preserve">rizikos suma bus priimtina; 2) egzistuoja reikšmingi iškraipymai, tai tikslinga modelio atsisakyti ir atlikti papildomą audito procedūrų kiekį, kad identifikuoti ir kiekybiškai įvertinti egzistuojančius iškraipymus. </w:t>
      </w:r>
    </w:p>
    <w:p w:rsidR="00576D05" w:rsidRPr="00310C1A" w:rsidRDefault="009B6941" w:rsidP="00576D05">
      <w:pPr>
        <w:spacing w:line="360" w:lineRule="auto"/>
        <w:ind w:firstLine="720"/>
        <w:jc w:val="both"/>
        <w:rPr>
          <w:sz w:val="26"/>
          <w:szCs w:val="26"/>
          <w:lang w:val="lt-LT"/>
        </w:rPr>
      </w:pPr>
      <w:r w:rsidRPr="00310C1A">
        <w:rPr>
          <w:sz w:val="26"/>
          <w:szCs w:val="26"/>
          <w:lang w:val="lt-LT"/>
        </w:rPr>
        <w:t>F. W</w:t>
      </w:r>
      <w:r w:rsidR="008112D3" w:rsidRPr="00310C1A">
        <w:rPr>
          <w:sz w:val="26"/>
          <w:szCs w:val="26"/>
          <w:lang w:val="lt-LT"/>
        </w:rPr>
        <w:t>.</w:t>
      </w:r>
      <w:r w:rsidRPr="00310C1A">
        <w:rPr>
          <w:sz w:val="26"/>
          <w:szCs w:val="26"/>
          <w:lang w:val="lt-LT"/>
        </w:rPr>
        <w:t xml:space="preserve"> Messier, L. A. Austen (2000</w:t>
      </w:r>
      <w:r w:rsidR="00FB0897" w:rsidRPr="00310C1A">
        <w:rPr>
          <w:sz w:val="26"/>
          <w:szCs w:val="26"/>
          <w:lang w:val="lt-LT"/>
        </w:rPr>
        <w:t>a</w:t>
      </w:r>
      <w:r w:rsidR="004D68C2" w:rsidRPr="00310C1A">
        <w:rPr>
          <w:sz w:val="26"/>
          <w:szCs w:val="26"/>
          <w:lang w:val="lt-LT"/>
        </w:rPr>
        <w:t>, 2000b</w:t>
      </w:r>
      <w:r w:rsidRPr="00310C1A">
        <w:rPr>
          <w:sz w:val="26"/>
          <w:szCs w:val="26"/>
          <w:lang w:val="lt-LT"/>
        </w:rPr>
        <w:t xml:space="preserve">) </w:t>
      </w:r>
      <w:r w:rsidR="00D675CE" w:rsidRPr="00310C1A">
        <w:rPr>
          <w:sz w:val="26"/>
          <w:szCs w:val="26"/>
          <w:lang w:val="lt-LT"/>
        </w:rPr>
        <w:t>ir R. B. Dusenbury, J.</w:t>
      </w:r>
      <w:r w:rsidR="009A3FB3">
        <w:rPr>
          <w:sz w:val="26"/>
          <w:szCs w:val="26"/>
          <w:lang w:val="lt-LT"/>
        </w:rPr>
        <w:t> </w:t>
      </w:r>
      <w:r w:rsidR="00D675CE" w:rsidRPr="00310C1A">
        <w:rPr>
          <w:sz w:val="26"/>
          <w:szCs w:val="26"/>
          <w:lang w:val="lt-LT"/>
        </w:rPr>
        <w:t>L.</w:t>
      </w:r>
      <w:r w:rsidR="002C24E1">
        <w:rPr>
          <w:sz w:val="26"/>
          <w:szCs w:val="26"/>
          <w:lang w:val="lt-LT"/>
        </w:rPr>
        <w:t> </w:t>
      </w:r>
      <w:r w:rsidR="00D675CE" w:rsidRPr="00310C1A">
        <w:rPr>
          <w:sz w:val="26"/>
          <w:szCs w:val="26"/>
          <w:lang w:val="lt-LT"/>
        </w:rPr>
        <w:t xml:space="preserve">Reimers, S. W Wheeler (2000a, 2000b) </w:t>
      </w:r>
      <w:r w:rsidRPr="00310C1A">
        <w:rPr>
          <w:sz w:val="26"/>
          <w:szCs w:val="26"/>
          <w:lang w:val="lt-LT"/>
        </w:rPr>
        <w:t xml:space="preserve">pastebi, kad audito rizikos komponentų sandauga reiškia, kad įgimta, kontrolės ir aptikimo rizika yra nepriklausomos viena nuo kitos, ir modelis </w:t>
      </w:r>
      <w:r w:rsidRPr="00310C1A">
        <w:rPr>
          <w:i/>
          <w:sz w:val="26"/>
          <w:szCs w:val="26"/>
          <w:lang w:val="lt-LT"/>
        </w:rPr>
        <w:t>neatspindi priklausomybės tarp įgimtos ir kontrolės rizikų</w:t>
      </w:r>
      <w:r w:rsidRPr="00310C1A">
        <w:rPr>
          <w:sz w:val="26"/>
          <w:szCs w:val="26"/>
          <w:lang w:val="lt-LT"/>
        </w:rPr>
        <w:t xml:space="preserve">. </w:t>
      </w:r>
      <w:r w:rsidR="00F1373E" w:rsidRPr="00310C1A">
        <w:rPr>
          <w:sz w:val="26"/>
          <w:szCs w:val="26"/>
          <w:lang w:val="lt-LT"/>
        </w:rPr>
        <w:t>Tam pritaria ir S.</w:t>
      </w:r>
      <w:r w:rsidR="00924F8C" w:rsidRPr="00310C1A">
        <w:rPr>
          <w:sz w:val="26"/>
          <w:szCs w:val="26"/>
          <w:lang w:val="lt-LT"/>
        </w:rPr>
        <w:t xml:space="preserve"> J. Daniel (</w:t>
      </w:r>
      <w:r w:rsidR="00BE72EE" w:rsidRPr="00310C1A">
        <w:rPr>
          <w:sz w:val="26"/>
          <w:szCs w:val="26"/>
          <w:lang w:val="lt-LT"/>
        </w:rPr>
        <w:t>1988</w:t>
      </w:r>
      <w:r w:rsidR="00924F8C" w:rsidRPr="00310C1A">
        <w:rPr>
          <w:sz w:val="26"/>
          <w:szCs w:val="26"/>
          <w:lang w:val="lt-LT"/>
        </w:rPr>
        <w:t>)</w:t>
      </w:r>
      <w:r w:rsidR="000328E0" w:rsidRPr="00310C1A">
        <w:rPr>
          <w:sz w:val="26"/>
          <w:szCs w:val="26"/>
          <w:lang w:val="lt-LT"/>
        </w:rPr>
        <w:t>,</w:t>
      </w:r>
      <w:r w:rsidR="00924F8C" w:rsidRPr="00310C1A">
        <w:rPr>
          <w:sz w:val="26"/>
          <w:szCs w:val="26"/>
          <w:lang w:val="lt-LT"/>
        </w:rPr>
        <w:t xml:space="preserve"> </w:t>
      </w:r>
      <w:r w:rsidR="009E6786" w:rsidRPr="00310C1A">
        <w:rPr>
          <w:sz w:val="26"/>
          <w:szCs w:val="26"/>
          <w:lang w:val="lt-LT"/>
        </w:rPr>
        <w:t xml:space="preserve">cituodama </w:t>
      </w:r>
      <w:r w:rsidR="002F7CA1" w:rsidRPr="00310C1A">
        <w:rPr>
          <w:sz w:val="26"/>
          <w:szCs w:val="26"/>
          <w:lang w:val="lt-LT"/>
        </w:rPr>
        <w:t>B.</w:t>
      </w:r>
      <w:r w:rsidR="00310C1A">
        <w:rPr>
          <w:sz w:val="26"/>
          <w:szCs w:val="26"/>
          <w:lang w:val="lt-LT"/>
        </w:rPr>
        <w:t> </w:t>
      </w:r>
      <w:r w:rsidR="002F7CA1" w:rsidRPr="00310C1A">
        <w:rPr>
          <w:sz w:val="26"/>
          <w:szCs w:val="26"/>
          <w:lang w:val="lt-LT"/>
        </w:rPr>
        <w:t>E.</w:t>
      </w:r>
      <w:r w:rsidR="00310C1A">
        <w:rPr>
          <w:sz w:val="26"/>
          <w:szCs w:val="26"/>
          <w:lang w:val="lt-LT"/>
        </w:rPr>
        <w:t> </w:t>
      </w:r>
      <w:r w:rsidR="009E6786" w:rsidRPr="00310C1A">
        <w:rPr>
          <w:sz w:val="26"/>
          <w:szCs w:val="26"/>
          <w:lang w:val="lt-LT"/>
        </w:rPr>
        <w:t>Cushing ir J.</w:t>
      </w:r>
      <w:r w:rsidR="002C24E1">
        <w:rPr>
          <w:sz w:val="26"/>
          <w:szCs w:val="26"/>
          <w:lang w:val="lt-LT"/>
        </w:rPr>
        <w:t> </w:t>
      </w:r>
      <w:r w:rsidR="009E6786" w:rsidRPr="00310C1A">
        <w:rPr>
          <w:sz w:val="26"/>
          <w:szCs w:val="26"/>
          <w:lang w:val="lt-LT"/>
        </w:rPr>
        <w:t>K.</w:t>
      </w:r>
      <w:r w:rsidR="002C24E1">
        <w:rPr>
          <w:sz w:val="26"/>
          <w:szCs w:val="26"/>
          <w:lang w:val="lt-LT"/>
        </w:rPr>
        <w:t> </w:t>
      </w:r>
      <w:r w:rsidR="009E6786" w:rsidRPr="00310C1A">
        <w:rPr>
          <w:sz w:val="26"/>
          <w:szCs w:val="26"/>
          <w:lang w:val="lt-LT"/>
        </w:rPr>
        <w:t>Loebbecke (1983)</w:t>
      </w:r>
      <w:r w:rsidR="00E9404D" w:rsidRPr="00310C1A">
        <w:rPr>
          <w:sz w:val="26"/>
          <w:szCs w:val="26"/>
          <w:lang w:val="lt-LT"/>
        </w:rPr>
        <w:t xml:space="preserve"> bei D. A. Leslie (1984)</w:t>
      </w:r>
      <w:r w:rsidR="000328E0" w:rsidRPr="00310C1A">
        <w:rPr>
          <w:sz w:val="26"/>
          <w:szCs w:val="26"/>
          <w:lang w:val="lt-LT"/>
        </w:rPr>
        <w:t xml:space="preserve"> mintis. </w:t>
      </w:r>
      <w:r w:rsidRPr="00310C1A">
        <w:rPr>
          <w:sz w:val="26"/>
          <w:szCs w:val="26"/>
          <w:lang w:val="lt-LT"/>
        </w:rPr>
        <w:t>Jau ankstesn</w:t>
      </w:r>
      <w:r w:rsidR="00C52C63" w:rsidRPr="00310C1A">
        <w:rPr>
          <w:sz w:val="26"/>
          <w:szCs w:val="26"/>
          <w:lang w:val="lt-LT"/>
        </w:rPr>
        <w:t>iuose</w:t>
      </w:r>
      <w:r w:rsidRPr="00310C1A">
        <w:rPr>
          <w:sz w:val="26"/>
          <w:szCs w:val="26"/>
          <w:lang w:val="lt-LT"/>
        </w:rPr>
        <w:t xml:space="preserve"> d</w:t>
      </w:r>
      <w:r w:rsidR="00A900B0">
        <w:rPr>
          <w:sz w:val="26"/>
          <w:szCs w:val="26"/>
          <w:lang w:val="lt-LT"/>
        </w:rPr>
        <w:t>isertacijos</w:t>
      </w:r>
      <w:r w:rsidRPr="00310C1A">
        <w:rPr>
          <w:sz w:val="26"/>
          <w:szCs w:val="26"/>
          <w:lang w:val="lt-LT"/>
        </w:rPr>
        <w:t xml:space="preserve"> </w:t>
      </w:r>
      <w:r w:rsidR="00C52C63" w:rsidRPr="00310C1A">
        <w:rPr>
          <w:sz w:val="26"/>
          <w:szCs w:val="26"/>
          <w:lang w:val="lt-LT"/>
        </w:rPr>
        <w:t>skyriuose</w:t>
      </w:r>
      <w:r w:rsidRPr="00310C1A">
        <w:rPr>
          <w:sz w:val="26"/>
          <w:szCs w:val="26"/>
          <w:lang w:val="lt-LT"/>
        </w:rPr>
        <w:t xml:space="preserve"> iša</w:t>
      </w:r>
      <w:r w:rsidR="0077771C">
        <w:rPr>
          <w:sz w:val="26"/>
          <w:szCs w:val="26"/>
          <w:lang w:val="lt-LT"/>
        </w:rPr>
        <w:t>nalizavom</w:t>
      </w:r>
      <w:r w:rsidRPr="00310C1A">
        <w:rPr>
          <w:sz w:val="26"/>
          <w:szCs w:val="26"/>
          <w:lang w:val="lt-LT"/>
        </w:rPr>
        <w:t>e, jog audito rizikos komponentai iš tikrųjų yra priklausomi vienas nuo kito</w:t>
      </w:r>
      <w:r w:rsidR="00522EE5" w:rsidRPr="00310C1A">
        <w:rPr>
          <w:sz w:val="26"/>
          <w:szCs w:val="26"/>
          <w:lang w:val="lt-LT"/>
        </w:rPr>
        <w:t xml:space="preserve"> ir žinios apie vieną iš </w:t>
      </w:r>
      <w:r w:rsidR="00522EE5" w:rsidRPr="00310C1A">
        <w:rPr>
          <w:sz w:val="26"/>
          <w:szCs w:val="26"/>
          <w:lang w:val="lt-LT"/>
        </w:rPr>
        <w:lastRenderedPageBreak/>
        <w:t>komponentų turi būti pasvertos, norint tinkamai jį įvertinti su kitais, todėl</w:t>
      </w:r>
      <w:r w:rsidRPr="00310C1A">
        <w:rPr>
          <w:sz w:val="26"/>
          <w:szCs w:val="26"/>
          <w:lang w:val="lt-LT"/>
        </w:rPr>
        <w:t xml:space="preserve"> šio sąryšio ignoravimas gali nulemti </w:t>
      </w:r>
      <w:r w:rsidR="00AE4AA8" w:rsidRPr="00310C1A">
        <w:rPr>
          <w:sz w:val="26"/>
          <w:szCs w:val="26"/>
          <w:lang w:val="lt-LT"/>
        </w:rPr>
        <w:t xml:space="preserve">netinkamą </w:t>
      </w:r>
      <w:r w:rsidRPr="00310C1A">
        <w:rPr>
          <w:sz w:val="26"/>
          <w:szCs w:val="26"/>
          <w:lang w:val="lt-LT"/>
        </w:rPr>
        <w:t xml:space="preserve">audito rizikos </w:t>
      </w:r>
      <w:r w:rsidR="0077771C">
        <w:rPr>
          <w:sz w:val="26"/>
          <w:szCs w:val="26"/>
          <w:lang w:val="lt-LT"/>
        </w:rPr>
        <w:t>lygį</w:t>
      </w:r>
      <w:r w:rsidRPr="00310C1A">
        <w:rPr>
          <w:sz w:val="26"/>
          <w:szCs w:val="26"/>
          <w:lang w:val="lt-LT"/>
        </w:rPr>
        <w:t xml:space="preserve">. Šį tarpusavio ryšį </w:t>
      </w:r>
      <w:r w:rsidR="00914611" w:rsidRPr="00310C1A">
        <w:rPr>
          <w:sz w:val="26"/>
          <w:szCs w:val="26"/>
          <w:lang w:val="lt-LT"/>
        </w:rPr>
        <w:t xml:space="preserve">tarp audito rizikos komponentų </w:t>
      </w:r>
      <w:r w:rsidRPr="00310C1A">
        <w:rPr>
          <w:sz w:val="26"/>
          <w:szCs w:val="26"/>
          <w:lang w:val="lt-LT"/>
        </w:rPr>
        <w:t>autoriai (Dusenbury, Reimers, Wheeler, 2000</w:t>
      </w:r>
      <w:r w:rsidR="00AE4585" w:rsidRPr="00310C1A">
        <w:rPr>
          <w:sz w:val="26"/>
          <w:szCs w:val="26"/>
          <w:lang w:val="lt-LT"/>
        </w:rPr>
        <w:t>a</w:t>
      </w:r>
      <w:r w:rsidR="00D675CE" w:rsidRPr="00310C1A">
        <w:rPr>
          <w:sz w:val="26"/>
          <w:szCs w:val="26"/>
          <w:lang w:val="lt-LT"/>
        </w:rPr>
        <w:t>, 2000b</w:t>
      </w:r>
      <w:r w:rsidRPr="00310C1A">
        <w:rPr>
          <w:sz w:val="26"/>
          <w:szCs w:val="26"/>
          <w:lang w:val="lt-LT"/>
        </w:rPr>
        <w:t>) apibūdina kaip „sąlyginai priklausomą“</w:t>
      </w:r>
      <w:r w:rsidR="00525AE0" w:rsidRPr="00310C1A">
        <w:rPr>
          <w:sz w:val="26"/>
          <w:szCs w:val="26"/>
          <w:lang w:val="lt-LT"/>
        </w:rPr>
        <w:t>.</w:t>
      </w:r>
      <w:r w:rsidR="00576D05" w:rsidRPr="00310C1A">
        <w:rPr>
          <w:sz w:val="26"/>
          <w:szCs w:val="26"/>
          <w:lang w:val="lt-LT"/>
        </w:rPr>
        <w:t xml:space="preserve"> R. B. Dusenbury, J.</w:t>
      </w:r>
      <w:r w:rsidR="00310C1A">
        <w:rPr>
          <w:sz w:val="26"/>
          <w:szCs w:val="26"/>
          <w:lang w:val="lt-LT"/>
        </w:rPr>
        <w:t> </w:t>
      </w:r>
      <w:r w:rsidR="00576D05" w:rsidRPr="00310C1A">
        <w:rPr>
          <w:sz w:val="26"/>
          <w:szCs w:val="26"/>
          <w:lang w:val="lt-LT"/>
        </w:rPr>
        <w:t>L.</w:t>
      </w:r>
      <w:r w:rsidR="00310C1A">
        <w:rPr>
          <w:sz w:val="26"/>
          <w:szCs w:val="26"/>
          <w:lang w:val="lt-LT"/>
        </w:rPr>
        <w:t> </w:t>
      </w:r>
      <w:r w:rsidR="00576D05" w:rsidRPr="00310C1A">
        <w:rPr>
          <w:sz w:val="26"/>
          <w:szCs w:val="26"/>
          <w:lang w:val="lt-LT"/>
        </w:rPr>
        <w:t xml:space="preserve">Reimers, S. W. Wheeler (2000b) daro išvadą, kad Bajeso sprendimo priėmimo taisyklė, kuria remiantis komponentai yra sąlyginai susiję ir nustatomi vienas po kito, yra tinkamesnė </w:t>
      </w:r>
      <w:r w:rsidR="00A560E3">
        <w:rPr>
          <w:sz w:val="26"/>
          <w:szCs w:val="26"/>
          <w:lang w:val="lt-LT"/>
        </w:rPr>
        <w:t xml:space="preserve">audito rizikai išreikšti </w:t>
      </w:r>
      <w:r w:rsidR="00576D05" w:rsidRPr="00310C1A">
        <w:rPr>
          <w:sz w:val="26"/>
          <w:szCs w:val="26"/>
          <w:lang w:val="lt-LT"/>
        </w:rPr>
        <w:t xml:space="preserve">nei daugyba </w:t>
      </w:r>
      <w:r w:rsidR="00A560E3">
        <w:rPr>
          <w:sz w:val="26"/>
          <w:szCs w:val="26"/>
          <w:lang w:val="lt-LT"/>
        </w:rPr>
        <w:t>paremtas</w:t>
      </w:r>
      <w:r w:rsidR="00576D05" w:rsidRPr="00310C1A">
        <w:rPr>
          <w:sz w:val="26"/>
          <w:szCs w:val="26"/>
          <w:lang w:val="lt-LT"/>
        </w:rPr>
        <w:t xml:space="preserve"> ryšys tarp audito rizikos komponentų.</w:t>
      </w:r>
      <w:r w:rsidR="00436059" w:rsidRPr="00310C1A">
        <w:rPr>
          <w:sz w:val="26"/>
          <w:szCs w:val="26"/>
          <w:lang w:val="lt-LT"/>
        </w:rPr>
        <w:t xml:space="preserve"> </w:t>
      </w:r>
    </w:p>
    <w:p w:rsidR="004D68C2" w:rsidRPr="00310C1A" w:rsidRDefault="009F77C0" w:rsidP="00A744B5">
      <w:pPr>
        <w:tabs>
          <w:tab w:val="left" w:pos="709"/>
        </w:tabs>
        <w:spacing w:line="360" w:lineRule="auto"/>
        <w:jc w:val="both"/>
        <w:rPr>
          <w:sz w:val="26"/>
          <w:szCs w:val="26"/>
          <w:lang w:val="lt-LT"/>
        </w:rPr>
      </w:pPr>
      <w:r w:rsidRPr="00310C1A">
        <w:rPr>
          <w:sz w:val="26"/>
          <w:szCs w:val="26"/>
          <w:lang w:val="lt-LT"/>
        </w:rPr>
        <w:tab/>
        <w:t xml:space="preserve">Be to, </w:t>
      </w:r>
      <w:r w:rsidR="00AB33BF" w:rsidRPr="00310C1A">
        <w:rPr>
          <w:sz w:val="26"/>
          <w:szCs w:val="26"/>
          <w:lang w:val="lt-LT"/>
        </w:rPr>
        <w:t xml:space="preserve">B. K. Ghosh (2005) nuomone, </w:t>
      </w:r>
      <w:r w:rsidR="0005238A" w:rsidRPr="00310C1A">
        <w:rPr>
          <w:sz w:val="26"/>
          <w:szCs w:val="26"/>
          <w:lang w:val="lt-LT"/>
        </w:rPr>
        <w:t xml:space="preserve">klasikinis </w:t>
      </w:r>
      <w:r w:rsidR="00AB33BF" w:rsidRPr="00310C1A">
        <w:rPr>
          <w:sz w:val="26"/>
          <w:szCs w:val="26"/>
          <w:lang w:val="lt-LT"/>
        </w:rPr>
        <w:t xml:space="preserve">audito rizikos </w:t>
      </w:r>
      <w:r w:rsidR="00050C95" w:rsidRPr="00310C1A">
        <w:rPr>
          <w:sz w:val="26"/>
          <w:szCs w:val="26"/>
          <w:lang w:val="lt-LT"/>
        </w:rPr>
        <w:t xml:space="preserve">modelis </w:t>
      </w:r>
      <w:r w:rsidR="00F93D15" w:rsidRPr="00310C1A">
        <w:rPr>
          <w:sz w:val="26"/>
          <w:szCs w:val="26"/>
          <w:lang w:val="lt-LT"/>
        </w:rPr>
        <w:t xml:space="preserve">pasižymi </w:t>
      </w:r>
      <w:r w:rsidR="003E472C" w:rsidRPr="00310C1A">
        <w:rPr>
          <w:i/>
          <w:sz w:val="26"/>
          <w:szCs w:val="26"/>
          <w:lang w:val="lt-LT"/>
        </w:rPr>
        <w:t>agregacijos (visumos) problema</w:t>
      </w:r>
      <w:r w:rsidR="00F93D15" w:rsidRPr="00310C1A">
        <w:rPr>
          <w:i/>
          <w:sz w:val="26"/>
          <w:szCs w:val="26"/>
          <w:lang w:val="lt-LT"/>
        </w:rPr>
        <w:t>.</w:t>
      </w:r>
      <w:r w:rsidR="00F93D15" w:rsidRPr="00310C1A">
        <w:rPr>
          <w:sz w:val="26"/>
          <w:szCs w:val="26"/>
          <w:lang w:val="lt-LT"/>
        </w:rPr>
        <w:t xml:space="preserve"> B. E. Cushing, J.</w:t>
      </w:r>
      <w:r w:rsidR="009A3FB3">
        <w:rPr>
          <w:sz w:val="26"/>
          <w:szCs w:val="26"/>
          <w:lang w:val="lt-LT"/>
        </w:rPr>
        <w:t> </w:t>
      </w:r>
      <w:r w:rsidR="00F93D15" w:rsidRPr="00310C1A">
        <w:rPr>
          <w:sz w:val="26"/>
          <w:szCs w:val="26"/>
          <w:lang w:val="lt-LT"/>
        </w:rPr>
        <w:t>K.</w:t>
      </w:r>
      <w:r w:rsidR="009A3FB3">
        <w:rPr>
          <w:sz w:val="26"/>
          <w:szCs w:val="26"/>
          <w:lang w:val="lt-LT"/>
        </w:rPr>
        <w:t> </w:t>
      </w:r>
      <w:r w:rsidR="00F93D15" w:rsidRPr="00310C1A">
        <w:rPr>
          <w:sz w:val="26"/>
          <w:szCs w:val="26"/>
          <w:lang w:val="lt-LT"/>
        </w:rPr>
        <w:t>Loebbecke</w:t>
      </w:r>
      <w:r w:rsidR="009A3FB3">
        <w:rPr>
          <w:sz w:val="26"/>
          <w:szCs w:val="26"/>
          <w:lang w:val="lt-LT"/>
        </w:rPr>
        <w:t> </w:t>
      </w:r>
      <w:r w:rsidR="00F93D15" w:rsidRPr="00310C1A">
        <w:rPr>
          <w:sz w:val="26"/>
          <w:szCs w:val="26"/>
          <w:lang w:val="lt-LT"/>
        </w:rPr>
        <w:t>(1983) teigia, jog neįmanoma finansinių ataskaitų audituoti kaip visumos, todėl audito procese finansinės at</w:t>
      </w:r>
      <w:r w:rsidR="00696147" w:rsidRPr="00310C1A">
        <w:rPr>
          <w:sz w:val="26"/>
          <w:szCs w:val="26"/>
          <w:lang w:val="lt-LT"/>
        </w:rPr>
        <w:t>a</w:t>
      </w:r>
      <w:r w:rsidR="00F93D15" w:rsidRPr="00310C1A">
        <w:rPr>
          <w:sz w:val="26"/>
          <w:szCs w:val="26"/>
          <w:lang w:val="lt-LT"/>
        </w:rPr>
        <w:t>skaitos yra suskaidomos į dalis ir kiekvienai jų nustat</w:t>
      </w:r>
      <w:r w:rsidR="00696147" w:rsidRPr="00310C1A">
        <w:rPr>
          <w:sz w:val="26"/>
          <w:szCs w:val="26"/>
          <w:lang w:val="lt-LT"/>
        </w:rPr>
        <w:t xml:space="preserve">omas konkretus audito tikslas. </w:t>
      </w:r>
      <w:r w:rsidR="00F93D15" w:rsidRPr="00310C1A">
        <w:rPr>
          <w:sz w:val="26"/>
          <w:szCs w:val="26"/>
          <w:lang w:val="lt-LT"/>
        </w:rPr>
        <w:t>Atsižvelgiant į tai, audito rizikos modelis turėtų būti taikomas kiekvienam mažiausiam audito elementui. Tuo tarpu sudėtinis audito rizikos modelis nėra parengtas tokiu detalum</w:t>
      </w:r>
      <w:r w:rsidR="00AA57CC" w:rsidRPr="00310C1A">
        <w:rPr>
          <w:sz w:val="26"/>
          <w:szCs w:val="26"/>
          <w:lang w:val="lt-LT"/>
        </w:rPr>
        <w:t>o lygi</w:t>
      </w:r>
      <w:r w:rsidR="00696147" w:rsidRPr="00310C1A">
        <w:rPr>
          <w:sz w:val="26"/>
          <w:szCs w:val="26"/>
          <w:lang w:val="lt-LT"/>
        </w:rPr>
        <w:t xml:space="preserve">u, todėl </w:t>
      </w:r>
      <w:r w:rsidR="00F93D15" w:rsidRPr="00310C1A">
        <w:rPr>
          <w:sz w:val="26"/>
          <w:szCs w:val="26"/>
          <w:lang w:val="lt-LT"/>
        </w:rPr>
        <w:t>reikėtų praplėsti modelį, kad būtų išspręsta agregacijos problema.</w:t>
      </w:r>
      <w:r w:rsidR="00A744B5" w:rsidRPr="00310C1A">
        <w:rPr>
          <w:sz w:val="26"/>
          <w:szCs w:val="26"/>
          <w:lang w:val="lt-LT"/>
        </w:rPr>
        <w:t xml:space="preserve"> A</w:t>
      </w:r>
      <w:r w:rsidR="00C60B74" w:rsidRPr="00310C1A">
        <w:rPr>
          <w:sz w:val="26"/>
          <w:szCs w:val="26"/>
          <w:lang w:val="lt-LT"/>
        </w:rPr>
        <w:t>utoriai (</w:t>
      </w:r>
      <w:r w:rsidR="004D68C2" w:rsidRPr="00310C1A">
        <w:rPr>
          <w:sz w:val="26"/>
          <w:szCs w:val="26"/>
          <w:lang w:val="lt-LT"/>
        </w:rPr>
        <w:t xml:space="preserve">Allen, </w:t>
      </w:r>
      <w:r w:rsidR="00C60B74" w:rsidRPr="00310C1A">
        <w:rPr>
          <w:sz w:val="26"/>
          <w:szCs w:val="26"/>
          <w:lang w:val="lt-LT"/>
        </w:rPr>
        <w:t>H</w:t>
      </w:r>
      <w:r w:rsidR="004D68C2" w:rsidRPr="00310C1A">
        <w:rPr>
          <w:sz w:val="26"/>
          <w:szCs w:val="26"/>
          <w:lang w:val="lt-LT"/>
        </w:rPr>
        <w:t>ermanson, Kozloski, Ramsay</w:t>
      </w:r>
      <w:r w:rsidR="00C60B74" w:rsidRPr="00310C1A">
        <w:rPr>
          <w:sz w:val="26"/>
          <w:szCs w:val="26"/>
          <w:lang w:val="lt-LT"/>
        </w:rPr>
        <w:t xml:space="preserve">, </w:t>
      </w:r>
      <w:r w:rsidR="004D68C2" w:rsidRPr="00310C1A">
        <w:rPr>
          <w:sz w:val="26"/>
          <w:szCs w:val="26"/>
          <w:lang w:val="lt-LT"/>
        </w:rPr>
        <w:t>2006)</w:t>
      </w:r>
      <w:r w:rsidR="00C60B74" w:rsidRPr="00310C1A">
        <w:rPr>
          <w:sz w:val="26"/>
          <w:szCs w:val="26"/>
          <w:lang w:val="lt-LT"/>
        </w:rPr>
        <w:t xml:space="preserve"> </w:t>
      </w:r>
      <w:r w:rsidR="00A744B5" w:rsidRPr="00310C1A">
        <w:rPr>
          <w:sz w:val="26"/>
          <w:szCs w:val="26"/>
          <w:lang w:val="lt-LT"/>
        </w:rPr>
        <w:t xml:space="preserve">apibendrina ir </w:t>
      </w:r>
      <w:r w:rsidR="00C60B74" w:rsidRPr="00310C1A">
        <w:rPr>
          <w:sz w:val="26"/>
          <w:szCs w:val="26"/>
          <w:lang w:val="lt-LT"/>
        </w:rPr>
        <w:t>šiuos klasikinio</w:t>
      </w:r>
      <w:r w:rsidR="004D68C2" w:rsidRPr="00310C1A">
        <w:rPr>
          <w:sz w:val="26"/>
          <w:szCs w:val="26"/>
          <w:lang w:val="lt-LT"/>
        </w:rPr>
        <w:t xml:space="preserve"> a</w:t>
      </w:r>
      <w:r w:rsidR="00C60B74" w:rsidRPr="00310C1A">
        <w:rPr>
          <w:sz w:val="26"/>
          <w:szCs w:val="26"/>
          <w:lang w:val="lt-LT"/>
        </w:rPr>
        <w:t>udito rizikos modelio trūkumus</w:t>
      </w:r>
      <w:r w:rsidR="00A744B5" w:rsidRPr="00310C1A">
        <w:rPr>
          <w:sz w:val="26"/>
          <w:szCs w:val="26"/>
          <w:lang w:val="lt-LT"/>
        </w:rPr>
        <w:t>, susijusius su audito atlikimu</w:t>
      </w:r>
      <w:r w:rsidR="00C60B74" w:rsidRPr="00310C1A">
        <w:rPr>
          <w:sz w:val="26"/>
          <w:szCs w:val="26"/>
          <w:lang w:val="lt-LT"/>
        </w:rPr>
        <w:t>, t. y. modelis</w:t>
      </w:r>
      <w:r w:rsidR="004D68C2" w:rsidRPr="00310C1A">
        <w:rPr>
          <w:sz w:val="26"/>
          <w:szCs w:val="26"/>
          <w:lang w:val="lt-LT"/>
        </w:rPr>
        <w:t>:</w:t>
      </w:r>
      <w:r w:rsidR="00C60B74" w:rsidRPr="00310C1A">
        <w:rPr>
          <w:sz w:val="26"/>
          <w:szCs w:val="26"/>
          <w:lang w:val="lt-LT"/>
        </w:rPr>
        <w:t xml:space="preserve"> 1) </w:t>
      </w:r>
      <w:r w:rsidR="004D68C2" w:rsidRPr="00310C1A">
        <w:rPr>
          <w:i/>
          <w:sz w:val="26"/>
          <w:szCs w:val="26"/>
          <w:lang w:val="lt-LT"/>
        </w:rPr>
        <w:t>nesvarsto audito įrodymų kokybės</w:t>
      </w:r>
      <w:r w:rsidR="004D68C2" w:rsidRPr="00310C1A">
        <w:rPr>
          <w:sz w:val="26"/>
          <w:szCs w:val="26"/>
          <w:lang w:val="lt-LT"/>
        </w:rPr>
        <w:t xml:space="preserve"> (Dusenbury, Reimers, 1996);</w:t>
      </w:r>
      <w:r w:rsidR="00C60B74" w:rsidRPr="00310C1A">
        <w:rPr>
          <w:sz w:val="26"/>
          <w:szCs w:val="26"/>
          <w:lang w:val="lt-LT"/>
        </w:rPr>
        <w:t xml:space="preserve"> 2) </w:t>
      </w:r>
      <w:r w:rsidR="004D68C2" w:rsidRPr="00310C1A">
        <w:rPr>
          <w:i/>
          <w:sz w:val="26"/>
          <w:szCs w:val="26"/>
          <w:lang w:val="lt-LT"/>
        </w:rPr>
        <w:t xml:space="preserve">nesvarsto neteisingo </w:t>
      </w:r>
      <w:r w:rsidR="00C60B74" w:rsidRPr="00310C1A">
        <w:rPr>
          <w:i/>
          <w:sz w:val="26"/>
          <w:szCs w:val="26"/>
          <w:lang w:val="lt-LT"/>
        </w:rPr>
        <w:t xml:space="preserve">atmetimo </w:t>
      </w:r>
      <w:r w:rsidR="004D68C2" w:rsidRPr="00310C1A">
        <w:rPr>
          <w:i/>
          <w:sz w:val="26"/>
          <w:szCs w:val="26"/>
          <w:lang w:val="lt-LT"/>
        </w:rPr>
        <w:t xml:space="preserve">rizikos </w:t>
      </w:r>
      <w:r w:rsidR="004D68C2" w:rsidRPr="00310C1A">
        <w:rPr>
          <w:sz w:val="26"/>
          <w:szCs w:val="26"/>
          <w:lang w:val="lt-LT"/>
        </w:rPr>
        <w:t>(Kinney, 1989, Sennetti, 1990);</w:t>
      </w:r>
      <w:r w:rsidR="00C60B74" w:rsidRPr="00310C1A">
        <w:rPr>
          <w:sz w:val="26"/>
          <w:szCs w:val="26"/>
          <w:lang w:val="lt-LT"/>
        </w:rPr>
        <w:t xml:space="preserve"> </w:t>
      </w:r>
      <w:r w:rsidR="00E532FB" w:rsidRPr="00310C1A">
        <w:rPr>
          <w:sz w:val="26"/>
          <w:szCs w:val="26"/>
          <w:lang w:val="lt-LT"/>
        </w:rPr>
        <w:t xml:space="preserve">3) </w:t>
      </w:r>
      <w:r w:rsidR="004D68C2" w:rsidRPr="00310C1A">
        <w:rPr>
          <w:i/>
          <w:sz w:val="26"/>
          <w:szCs w:val="26"/>
          <w:lang w:val="lt-LT"/>
        </w:rPr>
        <w:t>yra nenuoseklus su faktiniais auditoriaus sprendimais</w:t>
      </w:r>
      <w:r w:rsidR="004D68C2" w:rsidRPr="00310C1A">
        <w:rPr>
          <w:sz w:val="26"/>
          <w:szCs w:val="26"/>
          <w:lang w:val="lt-LT"/>
        </w:rPr>
        <w:t xml:space="preserve"> (Daniel, 1988; Strawser, 1990).</w:t>
      </w:r>
      <w:r w:rsidR="00C60B74" w:rsidRPr="00310C1A">
        <w:rPr>
          <w:sz w:val="26"/>
          <w:szCs w:val="26"/>
          <w:lang w:val="lt-LT"/>
        </w:rPr>
        <w:t xml:space="preserve"> </w:t>
      </w:r>
    </w:p>
    <w:p w:rsidR="00FB6C8F" w:rsidRPr="00310C1A" w:rsidRDefault="00364EC9" w:rsidP="00364EC9">
      <w:pPr>
        <w:spacing w:line="360" w:lineRule="auto"/>
        <w:ind w:firstLine="720"/>
        <w:jc w:val="both"/>
        <w:rPr>
          <w:sz w:val="26"/>
          <w:szCs w:val="26"/>
          <w:lang w:val="lt-LT"/>
        </w:rPr>
      </w:pPr>
      <w:r w:rsidRPr="00310C1A">
        <w:rPr>
          <w:sz w:val="26"/>
          <w:szCs w:val="26"/>
          <w:lang w:val="lt-LT"/>
        </w:rPr>
        <w:t xml:space="preserve">S. J. Daniel (1988), </w:t>
      </w:r>
      <w:r w:rsidR="00F375DD">
        <w:rPr>
          <w:sz w:val="26"/>
          <w:szCs w:val="26"/>
          <w:lang w:val="lt-LT"/>
        </w:rPr>
        <w:t>POBPAB</w:t>
      </w:r>
      <w:r w:rsidR="00B12A12" w:rsidRPr="00310C1A">
        <w:rPr>
          <w:sz w:val="26"/>
          <w:szCs w:val="26"/>
          <w:lang w:val="lt-LT"/>
        </w:rPr>
        <w:t xml:space="preserve"> </w:t>
      </w:r>
      <w:r w:rsidR="00F375DD">
        <w:rPr>
          <w:sz w:val="26"/>
          <w:szCs w:val="26"/>
          <w:lang w:val="lt-LT"/>
        </w:rPr>
        <w:t>(</w:t>
      </w:r>
      <w:r w:rsidR="0072612F" w:rsidRPr="00310C1A">
        <w:rPr>
          <w:sz w:val="26"/>
          <w:szCs w:val="26"/>
          <w:lang w:val="lt-LT"/>
        </w:rPr>
        <w:t xml:space="preserve">2000) </w:t>
      </w:r>
      <w:r w:rsidR="009B6941" w:rsidRPr="00310C1A">
        <w:rPr>
          <w:sz w:val="26"/>
          <w:szCs w:val="26"/>
          <w:lang w:val="lt-LT"/>
        </w:rPr>
        <w:t xml:space="preserve">nurodo, kad </w:t>
      </w:r>
      <w:r w:rsidR="009B6941" w:rsidRPr="00310C1A">
        <w:rPr>
          <w:i/>
          <w:sz w:val="26"/>
          <w:szCs w:val="26"/>
          <w:lang w:val="lt-LT"/>
        </w:rPr>
        <w:t>auditorius yra veikiamas rizikų, kurios nėra įtrauktos į audito rizikos modelį</w:t>
      </w:r>
      <w:r w:rsidR="009B6941" w:rsidRPr="00310C1A">
        <w:rPr>
          <w:sz w:val="26"/>
          <w:szCs w:val="26"/>
          <w:lang w:val="lt-LT"/>
        </w:rPr>
        <w:t xml:space="preserve">. Pavyzdžiui, auditoriai gali patirti nuostolius dėl </w:t>
      </w:r>
      <w:r w:rsidR="0072612F" w:rsidRPr="00310C1A">
        <w:rPr>
          <w:sz w:val="26"/>
          <w:szCs w:val="26"/>
          <w:lang w:val="lt-LT"/>
        </w:rPr>
        <w:t>bylinėjimosi</w:t>
      </w:r>
      <w:r w:rsidR="009B6941" w:rsidRPr="00310C1A">
        <w:rPr>
          <w:sz w:val="26"/>
          <w:szCs w:val="26"/>
          <w:lang w:val="lt-LT"/>
        </w:rPr>
        <w:t xml:space="preserve">, </w:t>
      </w:r>
      <w:r w:rsidR="0072612F" w:rsidRPr="00310C1A">
        <w:rPr>
          <w:sz w:val="26"/>
          <w:szCs w:val="26"/>
          <w:lang w:val="lt-LT"/>
        </w:rPr>
        <w:t>neigiamo viešumo</w:t>
      </w:r>
      <w:r w:rsidR="009B6941" w:rsidRPr="00310C1A">
        <w:rPr>
          <w:sz w:val="26"/>
          <w:szCs w:val="26"/>
          <w:lang w:val="lt-LT"/>
        </w:rPr>
        <w:t xml:space="preserve"> ar kitų įvykių atsiradusių dėl paskelbtos audito</w:t>
      </w:r>
      <w:r w:rsidR="000009CF" w:rsidRPr="00310C1A">
        <w:rPr>
          <w:sz w:val="26"/>
          <w:szCs w:val="26"/>
          <w:lang w:val="lt-LT"/>
        </w:rPr>
        <w:t>riaus</w:t>
      </w:r>
      <w:r w:rsidR="009B6941" w:rsidRPr="00310C1A">
        <w:rPr>
          <w:sz w:val="26"/>
          <w:szCs w:val="26"/>
          <w:lang w:val="lt-LT"/>
        </w:rPr>
        <w:t xml:space="preserve"> išvados</w:t>
      </w:r>
      <w:r w:rsidR="004B77A8" w:rsidRPr="00310C1A">
        <w:rPr>
          <w:sz w:val="26"/>
          <w:szCs w:val="26"/>
          <w:lang w:val="lt-LT"/>
        </w:rPr>
        <w:t xml:space="preserve">. Tokia grėsmė gali iškilti ir tuomet, kai auditorius atlieka kokybišką auditą pagal profesinius standartus ir pateikia tinkamą auditoriaus išvadą apie įmonės finansines ataskaitas. </w:t>
      </w:r>
      <w:r w:rsidR="00933633" w:rsidRPr="00310C1A">
        <w:rPr>
          <w:sz w:val="26"/>
          <w:szCs w:val="26"/>
          <w:lang w:val="lt-LT"/>
        </w:rPr>
        <w:t xml:space="preserve">Todėl H. F. Huss ir F. A. Jacobs (1991) nuomone, audito rizikos modelis turėtų identifikuoti visus svarbius sprendimus audite, įskaitant ir sprendimus, susijusius su kliento priėmimu ar atsisakymu. </w:t>
      </w:r>
      <w:r w:rsidR="004B77A8" w:rsidRPr="00310C1A">
        <w:rPr>
          <w:sz w:val="26"/>
          <w:szCs w:val="26"/>
          <w:lang w:val="lt-LT"/>
        </w:rPr>
        <w:t xml:space="preserve">Mokslo darbuose </w:t>
      </w:r>
      <w:r w:rsidR="00933633" w:rsidRPr="00310C1A">
        <w:rPr>
          <w:sz w:val="26"/>
          <w:szCs w:val="26"/>
          <w:lang w:val="lt-LT"/>
        </w:rPr>
        <w:lastRenderedPageBreak/>
        <w:t>(Johnstone,</w:t>
      </w:r>
      <w:r w:rsidR="002C24E1">
        <w:rPr>
          <w:sz w:val="26"/>
          <w:szCs w:val="26"/>
          <w:lang w:val="lt-LT"/>
        </w:rPr>
        <w:t> </w:t>
      </w:r>
      <w:r w:rsidR="00933633" w:rsidRPr="00310C1A">
        <w:rPr>
          <w:sz w:val="26"/>
          <w:szCs w:val="26"/>
          <w:lang w:val="lt-LT"/>
        </w:rPr>
        <w:t>2000; Knechel, 2001; Niemi, 2002; Guy, Carmichael, Lach, 2003; Mock, Turner, 2005; Houston, Peters, Pratt, 2005; Chen, Huang, Shih, 2006; Arens, Elder, Beasley, 2006) ta</w:t>
      </w:r>
      <w:r w:rsidR="004B77A8" w:rsidRPr="00310C1A">
        <w:rPr>
          <w:sz w:val="26"/>
          <w:szCs w:val="26"/>
          <w:lang w:val="lt-LT"/>
        </w:rPr>
        <w:t xml:space="preserve">i </w:t>
      </w:r>
      <w:r w:rsidR="000556CF" w:rsidRPr="00310C1A">
        <w:rPr>
          <w:sz w:val="26"/>
          <w:szCs w:val="26"/>
          <w:lang w:val="lt-LT"/>
        </w:rPr>
        <w:t xml:space="preserve">vadinama „užduoties rizika“ </w:t>
      </w:r>
      <w:r w:rsidR="004B77A8" w:rsidRPr="00310C1A">
        <w:rPr>
          <w:sz w:val="26"/>
          <w:szCs w:val="26"/>
          <w:lang w:val="lt-LT"/>
        </w:rPr>
        <w:t>ar „auditoriaus verslo rizika“</w:t>
      </w:r>
      <w:r w:rsidR="009B6941" w:rsidRPr="00310C1A">
        <w:rPr>
          <w:sz w:val="26"/>
          <w:szCs w:val="26"/>
          <w:lang w:val="lt-LT"/>
        </w:rPr>
        <w:t xml:space="preserve">. </w:t>
      </w:r>
      <w:r w:rsidR="00190A0C" w:rsidRPr="00310C1A">
        <w:rPr>
          <w:sz w:val="26"/>
          <w:szCs w:val="26"/>
          <w:lang w:val="lt-LT"/>
        </w:rPr>
        <w:t xml:space="preserve">Be to, W. R. Knechel (2007) pastebi, kad auditoriams reikia naujos audito rizikos modelio formuluotės, kuri labiau susietų </w:t>
      </w:r>
      <w:r w:rsidR="00A744B5" w:rsidRPr="00310C1A">
        <w:rPr>
          <w:sz w:val="26"/>
          <w:szCs w:val="26"/>
          <w:lang w:val="lt-LT"/>
        </w:rPr>
        <w:t xml:space="preserve">audituojamos </w:t>
      </w:r>
      <w:r w:rsidR="00190A0C" w:rsidRPr="00310C1A">
        <w:rPr>
          <w:sz w:val="26"/>
          <w:szCs w:val="26"/>
          <w:lang w:val="lt-LT"/>
        </w:rPr>
        <w:t xml:space="preserve">įmonės verslo riziką su audito rizika. </w:t>
      </w:r>
      <w:r w:rsidR="00ED73E3" w:rsidRPr="00310C1A">
        <w:rPr>
          <w:sz w:val="26"/>
          <w:szCs w:val="26"/>
          <w:lang w:val="lt-LT"/>
        </w:rPr>
        <w:t>Šiuo metu r</w:t>
      </w:r>
      <w:r w:rsidR="00190A0C" w:rsidRPr="00310C1A">
        <w:rPr>
          <w:sz w:val="26"/>
          <w:szCs w:val="26"/>
          <w:lang w:val="lt-LT"/>
        </w:rPr>
        <w:t xml:space="preserve">yšiai tarp rizikų, kontrolės procedūrų, rezultatų vertinimo ir finansinių ataskaitų tvirtinimų bei detalaus tikrinimo lieka praktiškai neaiškūs. </w:t>
      </w:r>
      <w:r w:rsidR="00B85484" w:rsidRPr="00310C1A">
        <w:rPr>
          <w:sz w:val="26"/>
          <w:szCs w:val="26"/>
          <w:lang w:val="lt-LT"/>
        </w:rPr>
        <w:t>Tuo tarpu T. B. Bell, M. E. Peecher, I.</w:t>
      </w:r>
      <w:r w:rsidR="002C24E1">
        <w:rPr>
          <w:sz w:val="26"/>
          <w:szCs w:val="26"/>
          <w:lang w:val="lt-LT"/>
        </w:rPr>
        <w:t> </w:t>
      </w:r>
      <w:r w:rsidR="00B85484" w:rsidRPr="00310C1A">
        <w:rPr>
          <w:sz w:val="26"/>
          <w:szCs w:val="26"/>
          <w:lang w:val="lt-LT"/>
        </w:rPr>
        <w:t xml:space="preserve">Solomon (2005) teigimu, </w:t>
      </w:r>
      <w:r w:rsidR="00550158" w:rsidRPr="00310C1A">
        <w:rPr>
          <w:sz w:val="26"/>
          <w:szCs w:val="26"/>
          <w:lang w:val="lt-LT"/>
        </w:rPr>
        <w:t xml:space="preserve">klasikinis </w:t>
      </w:r>
      <w:r w:rsidR="003957FC" w:rsidRPr="00310C1A">
        <w:rPr>
          <w:sz w:val="26"/>
          <w:szCs w:val="26"/>
          <w:lang w:val="lt-LT"/>
        </w:rPr>
        <w:t>audito rizikos modelis aiškiai</w:t>
      </w:r>
      <w:r w:rsidR="003957FC" w:rsidRPr="00310C1A">
        <w:rPr>
          <w:i/>
          <w:sz w:val="26"/>
          <w:szCs w:val="26"/>
          <w:lang w:val="lt-LT"/>
        </w:rPr>
        <w:t xml:space="preserve"> </w:t>
      </w:r>
      <w:r w:rsidR="003957FC" w:rsidRPr="00310C1A">
        <w:rPr>
          <w:sz w:val="26"/>
          <w:szCs w:val="26"/>
          <w:lang w:val="lt-LT"/>
        </w:rPr>
        <w:t xml:space="preserve">neparodo atrankos ir </w:t>
      </w:r>
      <w:r w:rsidR="00550158" w:rsidRPr="00310C1A">
        <w:rPr>
          <w:sz w:val="26"/>
          <w:szCs w:val="26"/>
          <w:lang w:val="lt-LT"/>
        </w:rPr>
        <w:t xml:space="preserve">ne </w:t>
      </w:r>
      <w:r w:rsidR="003957FC" w:rsidRPr="00310C1A">
        <w:rPr>
          <w:sz w:val="26"/>
          <w:szCs w:val="26"/>
          <w:lang w:val="lt-LT"/>
        </w:rPr>
        <w:t>atrankos rizikos.</w:t>
      </w:r>
      <w:r w:rsidR="00550158" w:rsidRPr="00310C1A">
        <w:rPr>
          <w:sz w:val="26"/>
          <w:szCs w:val="26"/>
          <w:lang w:val="lt-LT"/>
        </w:rPr>
        <w:t xml:space="preserve"> O juk netinkama ne atrankos rizikos kontrolė yra susijusi su neaptiktais reikšmingais iškraipymais (ypač su apgaulės būdu sudarytomis finansinėmis ataskaitomis). </w:t>
      </w:r>
    </w:p>
    <w:p w:rsidR="00C14F6E" w:rsidRPr="00310C1A" w:rsidRDefault="00FB6C8F" w:rsidP="00364EC9">
      <w:pPr>
        <w:spacing w:line="360" w:lineRule="auto"/>
        <w:ind w:firstLine="720"/>
        <w:jc w:val="both"/>
        <w:rPr>
          <w:sz w:val="26"/>
          <w:szCs w:val="26"/>
          <w:lang w:val="lt-LT"/>
        </w:rPr>
      </w:pPr>
      <w:r w:rsidRPr="00310C1A">
        <w:rPr>
          <w:sz w:val="26"/>
          <w:szCs w:val="26"/>
          <w:lang w:val="lt-LT"/>
        </w:rPr>
        <w:t>A</w:t>
      </w:r>
      <w:r w:rsidR="00364EC9" w:rsidRPr="00310C1A">
        <w:rPr>
          <w:sz w:val="26"/>
          <w:szCs w:val="26"/>
          <w:lang w:val="lt-LT"/>
        </w:rPr>
        <w:t xml:space="preserve">pibendrinant </w:t>
      </w:r>
      <w:r w:rsidR="00D12B18" w:rsidRPr="00310C1A">
        <w:rPr>
          <w:sz w:val="26"/>
          <w:szCs w:val="26"/>
          <w:lang w:val="lt-LT"/>
        </w:rPr>
        <w:t xml:space="preserve">galima teigti, kad klasikinis audito rizikos modelis </w:t>
      </w:r>
      <w:r w:rsidR="00D12B18" w:rsidRPr="00310C1A">
        <w:rPr>
          <w:i/>
          <w:sz w:val="26"/>
          <w:szCs w:val="26"/>
          <w:lang w:val="lt-LT"/>
        </w:rPr>
        <w:t>iki galo neatspindi audito rizikos komponentų visumos</w:t>
      </w:r>
      <w:r w:rsidR="00364EC9" w:rsidRPr="00310C1A">
        <w:rPr>
          <w:i/>
          <w:sz w:val="26"/>
          <w:szCs w:val="26"/>
          <w:lang w:val="lt-LT"/>
        </w:rPr>
        <w:t xml:space="preserve"> ir</w:t>
      </w:r>
      <w:r w:rsidR="00F948A3" w:rsidRPr="00310C1A">
        <w:rPr>
          <w:i/>
          <w:sz w:val="26"/>
          <w:szCs w:val="26"/>
          <w:lang w:val="lt-LT"/>
        </w:rPr>
        <w:t>/ar</w:t>
      </w:r>
      <w:r w:rsidR="00364EC9" w:rsidRPr="00310C1A">
        <w:rPr>
          <w:i/>
          <w:sz w:val="26"/>
          <w:szCs w:val="26"/>
          <w:lang w:val="lt-LT"/>
        </w:rPr>
        <w:t xml:space="preserve"> jų pagrindinių charakteristikų</w:t>
      </w:r>
      <w:r w:rsidRPr="00310C1A">
        <w:rPr>
          <w:sz w:val="26"/>
          <w:szCs w:val="26"/>
          <w:lang w:val="lt-LT"/>
        </w:rPr>
        <w:t xml:space="preserve">, </w:t>
      </w:r>
      <w:r w:rsidR="00A560E3">
        <w:rPr>
          <w:sz w:val="26"/>
          <w:szCs w:val="26"/>
          <w:lang w:val="lt-LT"/>
        </w:rPr>
        <w:t xml:space="preserve">todėl </w:t>
      </w:r>
      <w:r w:rsidRPr="00310C1A">
        <w:rPr>
          <w:sz w:val="26"/>
          <w:szCs w:val="26"/>
          <w:lang w:val="lt-LT"/>
        </w:rPr>
        <w:t xml:space="preserve">darbo </w:t>
      </w:r>
      <w:r w:rsidR="00B65017" w:rsidRPr="00310C1A">
        <w:rPr>
          <w:sz w:val="26"/>
          <w:szCs w:val="26"/>
          <w:lang w:val="lt-LT"/>
        </w:rPr>
        <w:t xml:space="preserve">autorės </w:t>
      </w:r>
      <w:r w:rsidRPr="00310C1A">
        <w:rPr>
          <w:sz w:val="26"/>
          <w:szCs w:val="26"/>
          <w:lang w:val="lt-LT"/>
        </w:rPr>
        <w:t>s</w:t>
      </w:r>
      <w:r w:rsidR="00A560E3">
        <w:rPr>
          <w:sz w:val="26"/>
          <w:szCs w:val="26"/>
          <w:lang w:val="lt-LT"/>
        </w:rPr>
        <w:t>udarytas</w:t>
      </w:r>
      <w:r w:rsidR="00B65017" w:rsidRPr="00310C1A">
        <w:rPr>
          <w:sz w:val="26"/>
          <w:szCs w:val="26"/>
          <w:lang w:val="lt-LT"/>
        </w:rPr>
        <w:t xml:space="preserve"> audito rizikos vertinimo modelis </w:t>
      </w:r>
      <w:r w:rsidR="00A560E3">
        <w:rPr>
          <w:sz w:val="26"/>
          <w:szCs w:val="26"/>
          <w:lang w:val="lt-LT"/>
        </w:rPr>
        <w:t xml:space="preserve">turi </w:t>
      </w:r>
      <w:r w:rsidR="00B65017" w:rsidRPr="00310C1A">
        <w:rPr>
          <w:sz w:val="26"/>
          <w:szCs w:val="26"/>
          <w:lang w:val="lt-LT"/>
        </w:rPr>
        <w:t>atsižvelgti į minėtus apribojimus.</w:t>
      </w:r>
    </w:p>
    <w:p w:rsidR="009B3997" w:rsidRPr="00310C1A" w:rsidRDefault="009B6941" w:rsidP="009B3997">
      <w:pPr>
        <w:spacing w:line="360" w:lineRule="auto"/>
        <w:ind w:firstLine="720"/>
        <w:jc w:val="both"/>
        <w:rPr>
          <w:sz w:val="26"/>
          <w:szCs w:val="26"/>
          <w:lang w:val="lt-LT"/>
        </w:rPr>
      </w:pPr>
      <w:r w:rsidRPr="00310C1A">
        <w:rPr>
          <w:sz w:val="26"/>
          <w:szCs w:val="26"/>
          <w:lang w:val="lt-LT"/>
        </w:rPr>
        <w:t>J.</w:t>
      </w:r>
      <w:r w:rsidR="000009CF" w:rsidRPr="00310C1A">
        <w:rPr>
          <w:sz w:val="26"/>
          <w:szCs w:val="26"/>
          <w:lang w:val="lt-LT"/>
        </w:rPr>
        <w:t xml:space="preserve"> </w:t>
      </w:r>
      <w:r w:rsidRPr="00310C1A">
        <w:rPr>
          <w:sz w:val="26"/>
          <w:szCs w:val="26"/>
          <w:lang w:val="lt-LT"/>
        </w:rPr>
        <w:t xml:space="preserve">C. Robertson (1990), kritikuodamas klasikinį audito rizikos modelį, </w:t>
      </w:r>
      <w:r w:rsidR="00DC5EEE" w:rsidRPr="00310C1A">
        <w:rPr>
          <w:sz w:val="26"/>
          <w:szCs w:val="26"/>
          <w:lang w:val="lt-LT"/>
        </w:rPr>
        <w:t xml:space="preserve">jį </w:t>
      </w:r>
      <w:r w:rsidRPr="00310C1A">
        <w:rPr>
          <w:sz w:val="26"/>
          <w:szCs w:val="26"/>
          <w:lang w:val="lt-LT"/>
        </w:rPr>
        <w:t>vadina „koncepciniu įrankiu“. T</w:t>
      </w:r>
      <w:r w:rsidR="00856CC2" w:rsidRPr="00310C1A">
        <w:rPr>
          <w:sz w:val="26"/>
          <w:szCs w:val="26"/>
          <w:lang w:val="lt-LT"/>
        </w:rPr>
        <w:t xml:space="preserve">ačiau </w:t>
      </w:r>
      <w:r w:rsidRPr="00310C1A">
        <w:rPr>
          <w:sz w:val="26"/>
          <w:szCs w:val="26"/>
          <w:lang w:val="lt-LT"/>
        </w:rPr>
        <w:t>k</w:t>
      </w:r>
      <w:r w:rsidR="00856CC2" w:rsidRPr="00310C1A">
        <w:rPr>
          <w:sz w:val="26"/>
          <w:szCs w:val="26"/>
          <w:lang w:val="lt-LT"/>
        </w:rPr>
        <w:t xml:space="preserve">iti </w:t>
      </w:r>
      <w:r w:rsidRPr="00310C1A">
        <w:rPr>
          <w:sz w:val="26"/>
          <w:szCs w:val="26"/>
          <w:lang w:val="lt-LT"/>
        </w:rPr>
        <w:t>autoriai (Dodž,</w:t>
      </w:r>
      <w:r w:rsidR="00E9404D" w:rsidRPr="00310C1A">
        <w:rPr>
          <w:sz w:val="26"/>
          <w:szCs w:val="26"/>
          <w:lang w:val="lt-LT"/>
        </w:rPr>
        <w:t xml:space="preserve"> </w:t>
      </w:r>
      <w:r w:rsidRPr="00310C1A">
        <w:rPr>
          <w:sz w:val="26"/>
          <w:szCs w:val="26"/>
          <w:lang w:val="lt-LT"/>
        </w:rPr>
        <w:t xml:space="preserve">1992; Robertson, 1990; </w:t>
      </w:r>
      <w:r w:rsidR="00C14F6E" w:rsidRPr="00310C1A">
        <w:rPr>
          <w:sz w:val="26"/>
          <w:szCs w:val="26"/>
          <w:lang w:val="lt-LT"/>
        </w:rPr>
        <w:t>Kinney</w:t>
      </w:r>
      <w:r w:rsidR="00BE1DBD" w:rsidRPr="00310C1A">
        <w:rPr>
          <w:sz w:val="26"/>
          <w:szCs w:val="26"/>
          <w:lang w:val="lt-LT"/>
        </w:rPr>
        <w:t>, 1989;</w:t>
      </w:r>
      <w:r w:rsidR="00C14F6E" w:rsidRPr="00310C1A">
        <w:rPr>
          <w:sz w:val="26"/>
          <w:szCs w:val="26"/>
          <w:lang w:val="lt-LT"/>
        </w:rPr>
        <w:t xml:space="preserve"> Aldersley</w:t>
      </w:r>
      <w:r w:rsidR="00BE1DBD" w:rsidRPr="00310C1A">
        <w:rPr>
          <w:sz w:val="26"/>
          <w:szCs w:val="26"/>
          <w:lang w:val="lt-LT"/>
        </w:rPr>
        <w:t xml:space="preserve">, </w:t>
      </w:r>
      <w:r w:rsidR="00C14F6E" w:rsidRPr="00310C1A">
        <w:rPr>
          <w:sz w:val="26"/>
          <w:szCs w:val="26"/>
          <w:lang w:val="lt-LT"/>
        </w:rPr>
        <w:t>1989</w:t>
      </w:r>
      <w:r w:rsidR="00BE1DBD" w:rsidRPr="00310C1A">
        <w:rPr>
          <w:sz w:val="26"/>
          <w:szCs w:val="26"/>
          <w:lang w:val="lt-LT"/>
        </w:rPr>
        <w:t>;</w:t>
      </w:r>
      <w:r w:rsidR="00C14F6E" w:rsidRPr="00310C1A">
        <w:rPr>
          <w:sz w:val="26"/>
          <w:szCs w:val="26"/>
          <w:lang w:val="lt-LT"/>
        </w:rPr>
        <w:t xml:space="preserve"> Sennetti</w:t>
      </w:r>
      <w:r w:rsidR="00BE1DBD" w:rsidRPr="00310C1A">
        <w:rPr>
          <w:sz w:val="26"/>
          <w:szCs w:val="26"/>
          <w:lang w:val="lt-LT"/>
        </w:rPr>
        <w:t xml:space="preserve">, </w:t>
      </w:r>
      <w:r w:rsidR="00C14F6E" w:rsidRPr="00310C1A">
        <w:rPr>
          <w:sz w:val="26"/>
          <w:szCs w:val="26"/>
          <w:lang w:val="lt-LT"/>
        </w:rPr>
        <w:t>1990</w:t>
      </w:r>
      <w:r w:rsidR="00BE1DBD" w:rsidRPr="00310C1A">
        <w:rPr>
          <w:sz w:val="26"/>
          <w:szCs w:val="26"/>
          <w:lang w:val="lt-LT"/>
        </w:rPr>
        <w:t>;</w:t>
      </w:r>
      <w:r w:rsidR="00C14F6E" w:rsidRPr="00310C1A">
        <w:rPr>
          <w:sz w:val="26"/>
          <w:szCs w:val="26"/>
        </w:rPr>
        <w:t xml:space="preserve"> </w:t>
      </w:r>
      <w:r w:rsidR="00ED2354" w:rsidRPr="00310C1A">
        <w:rPr>
          <w:color w:val="000000" w:themeColor="text1"/>
          <w:sz w:val="26"/>
          <w:szCs w:val="26"/>
          <w:lang w:val="lt-LT"/>
        </w:rPr>
        <w:t xml:space="preserve">Srivastava, Shafer, 1992; </w:t>
      </w:r>
      <w:r w:rsidRPr="00310C1A">
        <w:rPr>
          <w:sz w:val="26"/>
          <w:szCs w:val="26"/>
        </w:rPr>
        <w:t>Beatie, Fearnley, Brandt</w:t>
      </w:r>
      <w:r w:rsidRPr="00310C1A">
        <w:rPr>
          <w:sz w:val="26"/>
          <w:szCs w:val="26"/>
          <w:lang w:val="lt-LT"/>
        </w:rPr>
        <w:t>, 2002) argumentuodami, kad aptartasis, t.</w:t>
      </w:r>
      <w:r w:rsidR="000009CF" w:rsidRPr="00310C1A">
        <w:rPr>
          <w:sz w:val="26"/>
          <w:szCs w:val="26"/>
          <w:lang w:val="lt-LT"/>
        </w:rPr>
        <w:t xml:space="preserve"> </w:t>
      </w:r>
      <w:r w:rsidRPr="00310C1A">
        <w:rPr>
          <w:sz w:val="26"/>
          <w:szCs w:val="26"/>
          <w:lang w:val="lt-LT"/>
        </w:rPr>
        <w:t>y. klasikinis audito rizikos modelis</w:t>
      </w:r>
      <w:r w:rsidR="00F97B62" w:rsidRPr="00310C1A">
        <w:rPr>
          <w:sz w:val="26"/>
          <w:szCs w:val="26"/>
          <w:lang w:val="lt-LT"/>
        </w:rPr>
        <w:t>,</w:t>
      </w:r>
      <w:r w:rsidRPr="00310C1A">
        <w:rPr>
          <w:sz w:val="26"/>
          <w:szCs w:val="26"/>
          <w:lang w:val="lt-LT"/>
        </w:rPr>
        <w:t xml:space="preserve"> neleidžia tinkamai įvertinti ir apskaičiuoti audito rizikos, pateikia savo modelio interpretacijas.</w:t>
      </w:r>
      <w:bookmarkStart w:id="28" w:name="_Toc70063222"/>
      <w:bookmarkStart w:id="29" w:name="_Toc72067641"/>
      <w:bookmarkStart w:id="30" w:name="_Toc72067796"/>
      <w:bookmarkStart w:id="31" w:name="_Toc72497294"/>
    </w:p>
    <w:p w:rsidR="00502B96" w:rsidRDefault="009B6941" w:rsidP="009B3997">
      <w:pPr>
        <w:spacing w:line="360" w:lineRule="auto"/>
        <w:ind w:firstLine="720"/>
        <w:jc w:val="both"/>
        <w:rPr>
          <w:sz w:val="26"/>
          <w:szCs w:val="26"/>
          <w:lang w:val="lt-LT"/>
        </w:rPr>
      </w:pPr>
      <w:r w:rsidRPr="00310C1A">
        <w:rPr>
          <w:b/>
          <w:sz w:val="26"/>
          <w:szCs w:val="26"/>
          <w:lang w:val="lt-LT"/>
        </w:rPr>
        <w:t>Praplėstas audito rizikos modelis</w:t>
      </w:r>
      <w:bookmarkEnd w:id="28"/>
      <w:bookmarkEnd w:id="29"/>
      <w:bookmarkEnd w:id="30"/>
      <w:bookmarkEnd w:id="31"/>
      <w:r w:rsidR="009B3997" w:rsidRPr="00310C1A">
        <w:rPr>
          <w:sz w:val="26"/>
          <w:szCs w:val="26"/>
          <w:lang w:val="lt-LT"/>
        </w:rPr>
        <w:t xml:space="preserve">. </w:t>
      </w:r>
      <w:r w:rsidR="00F97B62" w:rsidRPr="00310C1A">
        <w:rPr>
          <w:sz w:val="26"/>
          <w:szCs w:val="26"/>
          <w:lang w:val="lt-LT"/>
        </w:rPr>
        <w:t>Autoriai</w:t>
      </w:r>
      <w:r w:rsidRPr="00310C1A">
        <w:rPr>
          <w:sz w:val="26"/>
          <w:szCs w:val="26"/>
          <w:lang w:val="lt-LT"/>
        </w:rPr>
        <w:t xml:space="preserve"> (</w:t>
      </w:r>
      <w:r w:rsidR="00F92A84" w:rsidRPr="00310C1A">
        <w:rPr>
          <w:sz w:val="26"/>
          <w:szCs w:val="26"/>
          <w:lang w:val="lt-LT"/>
        </w:rPr>
        <w:t xml:space="preserve">Robertson, 1990; O‘Reilly, 1990; </w:t>
      </w:r>
      <w:r w:rsidRPr="00310C1A">
        <w:rPr>
          <w:sz w:val="26"/>
          <w:szCs w:val="26"/>
          <w:lang w:val="lt-LT"/>
        </w:rPr>
        <w:t xml:space="preserve">Dodž, 1992) </w:t>
      </w:r>
      <w:r w:rsidR="00F97B62" w:rsidRPr="00310C1A">
        <w:rPr>
          <w:sz w:val="26"/>
          <w:szCs w:val="26"/>
          <w:lang w:val="lt-LT"/>
        </w:rPr>
        <w:t>siūlo</w:t>
      </w:r>
      <w:r w:rsidRPr="00310C1A">
        <w:rPr>
          <w:sz w:val="26"/>
          <w:szCs w:val="26"/>
          <w:lang w:val="lt-LT"/>
        </w:rPr>
        <w:t xml:space="preserve"> praplėstą audito rizikos modelį (</w:t>
      </w:r>
      <w:r w:rsidR="000009CF" w:rsidRPr="00310C1A">
        <w:rPr>
          <w:sz w:val="26"/>
          <w:szCs w:val="26"/>
          <w:lang w:val="lt-LT"/>
        </w:rPr>
        <w:t xml:space="preserve">angl. </w:t>
      </w:r>
      <w:r w:rsidR="004930AB" w:rsidRPr="00310C1A">
        <w:rPr>
          <w:i/>
          <w:sz w:val="26"/>
          <w:szCs w:val="26"/>
        </w:rPr>
        <w:t xml:space="preserve">Expanded </w:t>
      </w:r>
      <w:r w:rsidR="00ED471B" w:rsidRPr="00310C1A">
        <w:rPr>
          <w:i/>
          <w:sz w:val="26"/>
          <w:szCs w:val="26"/>
        </w:rPr>
        <w:t>A</w:t>
      </w:r>
      <w:r w:rsidRPr="00310C1A">
        <w:rPr>
          <w:i/>
          <w:sz w:val="26"/>
          <w:szCs w:val="26"/>
        </w:rPr>
        <w:t xml:space="preserve">udit </w:t>
      </w:r>
      <w:r w:rsidR="004930AB" w:rsidRPr="00310C1A">
        <w:rPr>
          <w:i/>
          <w:sz w:val="26"/>
          <w:szCs w:val="26"/>
        </w:rPr>
        <w:t>R</w:t>
      </w:r>
      <w:r w:rsidRPr="00310C1A">
        <w:rPr>
          <w:i/>
          <w:sz w:val="26"/>
          <w:szCs w:val="26"/>
        </w:rPr>
        <w:t xml:space="preserve">isk </w:t>
      </w:r>
      <w:r w:rsidR="004930AB" w:rsidRPr="00310C1A">
        <w:rPr>
          <w:i/>
          <w:sz w:val="26"/>
          <w:szCs w:val="26"/>
        </w:rPr>
        <w:t>M</w:t>
      </w:r>
      <w:r w:rsidRPr="00310C1A">
        <w:rPr>
          <w:i/>
          <w:sz w:val="26"/>
          <w:szCs w:val="26"/>
        </w:rPr>
        <w:t>odel</w:t>
      </w:r>
      <w:r w:rsidRPr="00310C1A">
        <w:rPr>
          <w:sz w:val="26"/>
          <w:szCs w:val="26"/>
          <w:lang w:val="lt-LT"/>
        </w:rPr>
        <w:t>)</w:t>
      </w:r>
      <w:r w:rsidR="00950D72" w:rsidRPr="00310C1A">
        <w:rPr>
          <w:sz w:val="26"/>
          <w:szCs w:val="26"/>
          <w:lang w:val="lt-LT"/>
        </w:rPr>
        <w:t>. Šiame modelyje</w:t>
      </w:r>
      <w:r w:rsidRPr="00310C1A">
        <w:rPr>
          <w:sz w:val="26"/>
          <w:szCs w:val="26"/>
          <w:lang w:val="lt-LT"/>
        </w:rPr>
        <w:t xml:space="preserve"> aptikimo rizika pakeičiama analitinių procedūrų ir </w:t>
      </w:r>
      <w:r w:rsidR="000009CF" w:rsidRPr="00310C1A">
        <w:rPr>
          <w:sz w:val="26"/>
          <w:szCs w:val="26"/>
          <w:lang w:val="lt-LT"/>
        </w:rPr>
        <w:t xml:space="preserve">detalių </w:t>
      </w:r>
      <w:r w:rsidRPr="00310C1A">
        <w:rPr>
          <w:sz w:val="26"/>
          <w:szCs w:val="26"/>
          <w:lang w:val="lt-LT"/>
        </w:rPr>
        <w:t xml:space="preserve">testų rizikomis. </w:t>
      </w:r>
      <w:r w:rsidR="003E2107" w:rsidRPr="00310C1A">
        <w:rPr>
          <w:sz w:val="26"/>
          <w:szCs w:val="26"/>
          <w:lang w:val="lt-LT"/>
        </w:rPr>
        <w:t>Praplė</w:t>
      </w:r>
      <w:r w:rsidR="00502B96" w:rsidRPr="00310C1A">
        <w:rPr>
          <w:sz w:val="26"/>
          <w:szCs w:val="26"/>
          <w:lang w:val="lt-LT"/>
        </w:rPr>
        <w:t>st</w:t>
      </w:r>
      <w:r w:rsidR="003E2107" w:rsidRPr="00310C1A">
        <w:rPr>
          <w:sz w:val="26"/>
          <w:szCs w:val="26"/>
          <w:lang w:val="lt-LT"/>
        </w:rPr>
        <w:t>o</w:t>
      </w:r>
      <w:r w:rsidR="00502B96" w:rsidRPr="00310C1A">
        <w:rPr>
          <w:sz w:val="26"/>
          <w:szCs w:val="26"/>
          <w:lang w:val="lt-LT"/>
        </w:rPr>
        <w:t xml:space="preserve"> </w:t>
      </w:r>
      <w:r w:rsidRPr="00310C1A">
        <w:rPr>
          <w:sz w:val="26"/>
          <w:szCs w:val="26"/>
          <w:lang w:val="lt-LT"/>
        </w:rPr>
        <w:t>audito rizik</w:t>
      </w:r>
      <w:r w:rsidR="00502B96" w:rsidRPr="00310C1A">
        <w:rPr>
          <w:sz w:val="26"/>
          <w:szCs w:val="26"/>
          <w:lang w:val="lt-LT"/>
        </w:rPr>
        <w:t>os modeli</w:t>
      </w:r>
      <w:r w:rsidR="003E2107" w:rsidRPr="00310C1A">
        <w:rPr>
          <w:sz w:val="26"/>
          <w:szCs w:val="26"/>
          <w:lang w:val="lt-LT"/>
        </w:rPr>
        <w:t>o</w:t>
      </w:r>
      <w:r w:rsidR="00502B96" w:rsidRPr="00310C1A">
        <w:rPr>
          <w:sz w:val="26"/>
          <w:szCs w:val="26"/>
          <w:lang w:val="lt-LT"/>
        </w:rPr>
        <w:t xml:space="preserve"> </w:t>
      </w:r>
      <w:r w:rsidR="003E2107" w:rsidRPr="00310C1A">
        <w:rPr>
          <w:sz w:val="26"/>
          <w:szCs w:val="26"/>
          <w:lang w:val="lt-LT"/>
        </w:rPr>
        <w:t>s</w:t>
      </w:r>
      <w:r w:rsidR="00502B96" w:rsidRPr="00310C1A">
        <w:rPr>
          <w:sz w:val="26"/>
          <w:szCs w:val="26"/>
          <w:lang w:val="lt-LT"/>
        </w:rPr>
        <w:t>truktūr</w:t>
      </w:r>
      <w:r w:rsidR="003E2107" w:rsidRPr="00310C1A">
        <w:rPr>
          <w:sz w:val="26"/>
          <w:szCs w:val="26"/>
          <w:lang w:val="lt-LT"/>
        </w:rPr>
        <w:t>a</w:t>
      </w:r>
      <w:r w:rsidR="00502B96" w:rsidRPr="00310C1A">
        <w:rPr>
          <w:sz w:val="26"/>
          <w:szCs w:val="26"/>
          <w:lang w:val="lt-LT"/>
        </w:rPr>
        <w:t xml:space="preserve"> </w:t>
      </w:r>
      <w:r w:rsidR="003E2107" w:rsidRPr="00310C1A">
        <w:rPr>
          <w:sz w:val="26"/>
          <w:szCs w:val="26"/>
          <w:lang w:val="lt-LT"/>
        </w:rPr>
        <w:t>pavaizduota</w:t>
      </w:r>
      <w:r w:rsidR="00D84B52" w:rsidRPr="00310C1A">
        <w:rPr>
          <w:sz w:val="26"/>
          <w:szCs w:val="26"/>
          <w:lang w:val="lt-LT"/>
        </w:rPr>
        <w:t xml:space="preserve"> </w:t>
      </w:r>
      <w:r w:rsidR="00F726AC" w:rsidRPr="00310C1A">
        <w:rPr>
          <w:sz w:val="26"/>
          <w:szCs w:val="26"/>
          <w:lang w:val="lt-LT"/>
        </w:rPr>
        <w:t>10</w:t>
      </w:r>
      <w:r w:rsidR="00502B96" w:rsidRPr="00310C1A">
        <w:rPr>
          <w:sz w:val="26"/>
          <w:szCs w:val="26"/>
          <w:lang w:val="lt-LT"/>
        </w:rPr>
        <w:t xml:space="preserve"> pav</w:t>
      </w:r>
      <w:r w:rsidR="003E2107" w:rsidRPr="00310C1A">
        <w:rPr>
          <w:sz w:val="26"/>
          <w:szCs w:val="26"/>
          <w:lang w:val="lt-LT"/>
        </w:rPr>
        <w:t>eiksle</w:t>
      </w:r>
      <w:r w:rsidR="00502B96" w:rsidRPr="00310C1A">
        <w:rPr>
          <w:sz w:val="26"/>
          <w:szCs w:val="26"/>
          <w:lang w:val="lt-LT"/>
        </w:rPr>
        <w:t>.</w:t>
      </w:r>
    </w:p>
    <w:p w:rsidR="009A3FB3" w:rsidRPr="00310C1A" w:rsidRDefault="00166819" w:rsidP="009B3997">
      <w:pPr>
        <w:spacing w:line="360" w:lineRule="auto"/>
        <w:ind w:firstLine="720"/>
        <w:jc w:val="both"/>
        <w:rPr>
          <w:sz w:val="26"/>
          <w:szCs w:val="26"/>
          <w:lang w:val="lt-LT"/>
        </w:rPr>
      </w:pPr>
      <w:r w:rsidRPr="00166819">
        <w:rPr>
          <w:color w:val="FF0000"/>
          <w:sz w:val="24"/>
          <w:lang w:val="lt-LT"/>
        </w:rPr>
      </w:r>
      <w:r w:rsidRPr="00166819">
        <w:rPr>
          <w:color w:val="FF0000"/>
          <w:sz w:val="24"/>
          <w:lang w:val="lt-LT"/>
        </w:rPr>
        <w:pict>
          <v:group id="_x0000_s74335" editas="canvas" style="width:323.3pt;height:152.6pt;mso-position-horizontal-relative:char;mso-position-vertical-relative:line" coordorigin="3572,4351" coordsize="4832,2282" o:allowincell="f">
            <o:lock v:ext="edit" aspectratio="t"/>
            <v:shape id="_x0000_s74336" type="#_x0000_t75" style="position:absolute;left:3572;top:4351;width:4832;height:2282" o:preferrelative="f">
              <v:fill o:detectmouseclick="t"/>
              <v:path o:extrusionok="t" o:connecttype="none"/>
              <o:lock v:ext="edit" text="t"/>
            </v:shape>
            <v:shape id="_x0000_s74346" type="#_x0000_t202" style="position:absolute;left:6712;top:6145;width:1355;height:488" o:regroupid="113" filled="f">
              <v:textbox style="mso-next-textbox:#_x0000_s74346">
                <w:txbxContent>
                  <w:p w:rsidR="00BE5795" w:rsidRPr="009A3FB3" w:rsidRDefault="00BE5795" w:rsidP="003E7CBA">
                    <w:pPr>
                      <w:spacing w:line="220" w:lineRule="exact"/>
                      <w:jc w:val="center"/>
                      <w:rPr>
                        <w:sz w:val="22"/>
                        <w:szCs w:val="22"/>
                      </w:rPr>
                    </w:pPr>
                    <w:r w:rsidRPr="009A3FB3">
                      <w:rPr>
                        <w:sz w:val="22"/>
                        <w:szCs w:val="22"/>
                        <w:lang w:val="lt-LT"/>
                      </w:rPr>
                      <w:t>Detalių testų rizika</w:t>
                    </w:r>
                  </w:p>
                </w:txbxContent>
              </v:textbox>
            </v:shape>
            <v:shape id="_x0000_s74347" type="#_x0000_t202" style="position:absolute;left:5161;top:6156;width:1373;height:477" o:regroupid="113" filled="f">
              <v:textbox style="mso-next-textbox:#_x0000_s74347">
                <w:txbxContent>
                  <w:p w:rsidR="00BE5795" w:rsidRPr="009A3FB3" w:rsidRDefault="00BE5795" w:rsidP="003E7CBA">
                    <w:pPr>
                      <w:spacing w:line="220" w:lineRule="exact"/>
                      <w:jc w:val="center"/>
                      <w:rPr>
                        <w:sz w:val="22"/>
                        <w:szCs w:val="22"/>
                        <w:lang w:val="lt-LT"/>
                      </w:rPr>
                    </w:pPr>
                    <w:r w:rsidRPr="009A3FB3">
                      <w:rPr>
                        <w:sz w:val="22"/>
                        <w:szCs w:val="22"/>
                        <w:lang w:val="lt-LT"/>
                      </w:rPr>
                      <w:t>Analitinių procedūrų rizika</w:t>
                    </w:r>
                  </w:p>
                  <w:p w:rsidR="00BE5795" w:rsidRDefault="00BE5795" w:rsidP="009A3FB3"/>
                </w:txbxContent>
              </v:textbox>
            </v:shape>
            <v:group id="_x0000_s74485" style="position:absolute;left:3675;top:4551;width:3465;height:1589" coordorigin="3675,4551" coordsize="3465,1589">
              <v:shape id="_x0000_s74338" type="#_x0000_t202" style="position:absolute;left:4692;top:4551;width:1345;height:448" o:regroupid="113" filled="f">
                <v:textbox style="mso-next-textbox:#_x0000_s74338" inset=",.3mm,,.3mm">
                  <w:txbxContent>
                    <w:p w:rsidR="00BE5795" w:rsidRPr="009A3FB3" w:rsidRDefault="00BE5795" w:rsidP="009A3FB3">
                      <w:pPr>
                        <w:jc w:val="center"/>
                        <w:rPr>
                          <w:b/>
                          <w:caps/>
                          <w:sz w:val="22"/>
                          <w:szCs w:val="22"/>
                          <w:lang w:val="lt-LT"/>
                        </w:rPr>
                      </w:pPr>
                      <w:r w:rsidRPr="009A3FB3">
                        <w:rPr>
                          <w:b/>
                          <w:caps/>
                          <w:sz w:val="22"/>
                          <w:szCs w:val="22"/>
                          <w:lang w:val="lt-LT"/>
                        </w:rPr>
                        <w:t>Audito rizika</w:t>
                      </w:r>
                    </w:p>
                  </w:txbxContent>
                </v:textbox>
              </v:shape>
              <v:shape id="_x0000_s74339" type="#_x0000_t202" style="position:absolute;left:3675;top:5310;width:869;height:511" o:regroupid="113" filled="f">
                <v:textbox style="mso-next-textbox:#_x0000_s74339">
                  <w:txbxContent>
                    <w:p w:rsidR="00BE5795" w:rsidRPr="009A3FB3" w:rsidRDefault="00BE5795" w:rsidP="009A3FB3">
                      <w:pPr>
                        <w:jc w:val="center"/>
                        <w:rPr>
                          <w:sz w:val="22"/>
                          <w:szCs w:val="22"/>
                          <w:lang w:val="lt-LT"/>
                        </w:rPr>
                      </w:pPr>
                      <w:r w:rsidRPr="009A3FB3">
                        <w:rPr>
                          <w:sz w:val="22"/>
                          <w:szCs w:val="22"/>
                          <w:lang w:val="lt-LT"/>
                        </w:rPr>
                        <w:t>Įgimta rizika</w:t>
                      </w:r>
                    </w:p>
                  </w:txbxContent>
                </v:textbox>
              </v:shape>
              <v:shape id="_x0000_s74340" type="#_x0000_t202" style="position:absolute;left:6105;top:5332;width:888;height:502" o:regroupid="113" filled="f">
                <v:textbox style="mso-next-textbox:#_x0000_s74340">
                  <w:txbxContent>
                    <w:p w:rsidR="00BE5795" w:rsidRPr="009A3FB3" w:rsidRDefault="00BE5795" w:rsidP="009A3FB3">
                      <w:pPr>
                        <w:jc w:val="center"/>
                        <w:rPr>
                          <w:sz w:val="22"/>
                          <w:szCs w:val="22"/>
                          <w:lang w:val="lt-LT"/>
                        </w:rPr>
                      </w:pPr>
                      <w:r w:rsidRPr="009A3FB3">
                        <w:rPr>
                          <w:sz w:val="22"/>
                          <w:szCs w:val="22"/>
                          <w:lang w:val="lt-LT"/>
                        </w:rPr>
                        <w:t>Aptikimo rizika</w:t>
                      </w:r>
                    </w:p>
                  </w:txbxContent>
                </v:textbox>
              </v:shape>
              <v:line id="_x0000_s74341" style="position:absolute" from="5392,4990" to="5393,5304" o:regroupid="113" strokecolor="#bfbfbf [2412]" strokeweight="3pt"/>
              <v:line id="_x0000_s74342" style="position:absolute" from="4081,5169" to="6534,5181" o:regroupid="113" strokecolor="#bfbfbf [2412]" strokeweight="3pt"/>
              <v:line id="_x0000_s74343" style="position:absolute;flip:x" from="4080,5169" to="4081,5304" o:regroupid="113" strokecolor="#bfbfbf [2412]" strokeweight="3pt"/>
              <v:line id="_x0000_s74344" style="position:absolute" from="6547,5180" to="6548,5335" o:regroupid="113" strokecolor="#bfbfbf [2412]" strokeweight="3pt"/>
              <v:shape id="_x0000_s74345" type="#_x0000_t202" style="position:absolute;left:4884;top:5318;width:911;height:499" o:regroupid="113" filled="f">
                <v:textbox style="mso-next-textbox:#_x0000_s74345">
                  <w:txbxContent>
                    <w:p w:rsidR="00BE5795" w:rsidRPr="009A3FB3" w:rsidRDefault="00BE5795" w:rsidP="009A3FB3">
                      <w:pPr>
                        <w:jc w:val="center"/>
                        <w:rPr>
                          <w:sz w:val="22"/>
                          <w:szCs w:val="22"/>
                          <w:lang w:val="lt-LT"/>
                        </w:rPr>
                      </w:pPr>
                      <w:r w:rsidRPr="009A3FB3">
                        <w:rPr>
                          <w:sz w:val="22"/>
                          <w:szCs w:val="22"/>
                          <w:lang w:val="lt-LT"/>
                        </w:rPr>
                        <w:t>Kontrolės rizika</w:t>
                      </w:r>
                    </w:p>
                  </w:txbxContent>
                </v:textbox>
              </v:shape>
              <v:line id="_x0000_s74348" style="position:absolute" from="6591,5828" to="6592,5993" o:regroupid="113" strokecolor="#bfbfbf [2412]" strokeweight="3pt"/>
              <v:line id="_x0000_s74349" style="position:absolute" from="6121,5972" to="6124,6130" o:regroupid="113" strokecolor="#bfbfbf [2412]" strokeweight="3pt"/>
              <v:line id="_x0000_s74350" style="position:absolute;flip:x" from="7129,5993" to="7130,6140" o:regroupid="113" strokecolor="#bfbfbf [2412]" strokeweight="3pt"/>
              <v:line id="_x0000_s74351" style="position:absolute" from="6120,5983" to="7140,5984" o:regroupid="113" strokecolor="#bfbfbf [2412]" strokeweight="3pt"/>
            </v:group>
            <w10:wrap type="none" side="left"/>
            <w10:anchorlock/>
          </v:group>
        </w:pict>
      </w:r>
    </w:p>
    <w:p w:rsidR="00502B96" w:rsidRPr="00FE380C" w:rsidRDefault="00502B96" w:rsidP="00DC5EEE">
      <w:pPr>
        <w:spacing w:line="360" w:lineRule="auto"/>
        <w:ind w:firstLine="720"/>
        <w:jc w:val="both"/>
        <w:rPr>
          <w:lang w:val="lt-LT"/>
        </w:rPr>
      </w:pPr>
      <w:r w:rsidRPr="00FE380C">
        <w:rPr>
          <w:lang w:val="lt-LT"/>
        </w:rPr>
        <w:t>Šaltinis: sukurta autor</w:t>
      </w:r>
      <w:r w:rsidR="00746931" w:rsidRPr="00FE380C">
        <w:rPr>
          <w:lang w:val="lt-LT"/>
        </w:rPr>
        <w:t>ės</w:t>
      </w:r>
      <w:r w:rsidR="00C2237C" w:rsidRPr="00FE380C">
        <w:rPr>
          <w:lang w:val="lt-LT"/>
        </w:rPr>
        <w:t xml:space="preserve"> pagal O‘REILLY, </w:t>
      </w:r>
      <w:r w:rsidR="00C076D8" w:rsidRPr="00FE380C">
        <w:rPr>
          <w:lang w:val="lt-LT"/>
        </w:rPr>
        <w:t xml:space="preserve">V. M., </w:t>
      </w:r>
      <w:r w:rsidR="00C2237C" w:rsidRPr="00FE380C">
        <w:rPr>
          <w:lang w:val="lt-LT"/>
        </w:rPr>
        <w:t>Montgomery‘s Auditing, 1990, p. 173.</w:t>
      </w:r>
    </w:p>
    <w:p w:rsidR="00502B96" w:rsidRPr="009A3FB3" w:rsidRDefault="00F726AC" w:rsidP="00C2237C">
      <w:pPr>
        <w:spacing w:line="360" w:lineRule="auto"/>
        <w:jc w:val="center"/>
        <w:rPr>
          <w:b/>
          <w:sz w:val="26"/>
          <w:szCs w:val="26"/>
          <w:lang w:val="lt-LT"/>
        </w:rPr>
      </w:pPr>
      <w:r w:rsidRPr="009A3FB3">
        <w:rPr>
          <w:b/>
          <w:sz w:val="26"/>
          <w:szCs w:val="26"/>
          <w:lang w:val="lt-LT"/>
        </w:rPr>
        <w:t>10</w:t>
      </w:r>
      <w:r w:rsidR="00502B96" w:rsidRPr="009A3FB3">
        <w:rPr>
          <w:b/>
          <w:sz w:val="26"/>
          <w:szCs w:val="26"/>
          <w:lang w:val="lt-LT"/>
        </w:rPr>
        <w:t xml:space="preserve"> pav. </w:t>
      </w:r>
      <w:r w:rsidR="00C2237C" w:rsidRPr="009A3FB3">
        <w:rPr>
          <w:b/>
          <w:sz w:val="26"/>
          <w:szCs w:val="26"/>
          <w:lang w:val="lt-LT"/>
        </w:rPr>
        <w:t>Praplėstas audito rizikos modelis</w:t>
      </w:r>
    </w:p>
    <w:p w:rsidR="00A471A2" w:rsidRPr="009A3FB3" w:rsidRDefault="00A471A2" w:rsidP="00A471A2">
      <w:pPr>
        <w:spacing w:before="120" w:line="360" w:lineRule="auto"/>
        <w:ind w:firstLine="709"/>
        <w:jc w:val="both"/>
        <w:rPr>
          <w:sz w:val="26"/>
          <w:szCs w:val="26"/>
          <w:lang w:val="lt-LT"/>
        </w:rPr>
      </w:pPr>
      <w:r w:rsidRPr="009A3FB3">
        <w:rPr>
          <w:sz w:val="26"/>
          <w:szCs w:val="26"/>
          <w:lang w:val="lt-LT"/>
        </w:rPr>
        <w:t>Sąryšis tarp praplėsto audito rizikos modelio komponentų (įgimtos, kontrolės</w:t>
      </w:r>
      <w:r w:rsidR="006504A6" w:rsidRPr="009A3FB3">
        <w:rPr>
          <w:sz w:val="26"/>
          <w:szCs w:val="26"/>
          <w:lang w:val="lt-LT"/>
        </w:rPr>
        <w:t xml:space="preserve">, analitinių procedūrų ir detalių testų </w:t>
      </w:r>
      <w:r w:rsidRPr="009A3FB3">
        <w:rPr>
          <w:sz w:val="26"/>
          <w:szCs w:val="26"/>
          <w:lang w:val="lt-LT"/>
        </w:rPr>
        <w:t>rizikų) matematiškai išreiškiamas formule:</w:t>
      </w:r>
    </w:p>
    <w:p w:rsidR="009B6941" w:rsidRPr="009A3FB3" w:rsidRDefault="009B6941">
      <w:pPr>
        <w:spacing w:line="360" w:lineRule="auto"/>
        <w:ind w:left="2160" w:firstLine="720"/>
        <w:jc w:val="both"/>
        <w:rPr>
          <w:i/>
          <w:sz w:val="26"/>
          <w:szCs w:val="26"/>
          <w:lang w:val="lt-LT"/>
        </w:rPr>
      </w:pPr>
      <w:r w:rsidRPr="009A3FB3">
        <w:rPr>
          <w:i/>
          <w:sz w:val="26"/>
          <w:szCs w:val="26"/>
          <w:lang w:val="lt-LT"/>
        </w:rPr>
        <w:t>AR = IR x CR x AP x TD</w:t>
      </w:r>
      <w:r w:rsidR="00D84B52" w:rsidRPr="009A3FB3">
        <w:rPr>
          <w:i/>
          <w:sz w:val="26"/>
          <w:szCs w:val="26"/>
          <w:lang w:val="lt-LT"/>
        </w:rPr>
        <w:tab/>
      </w:r>
      <w:r w:rsidR="00D84B52" w:rsidRPr="009A3FB3">
        <w:rPr>
          <w:i/>
          <w:sz w:val="26"/>
          <w:szCs w:val="26"/>
          <w:lang w:val="lt-LT"/>
        </w:rPr>
        <w:tab/>
      </w:r>
      <w:r w:rsidR="00D84B52" w:rsidRPr="009A3FB3">
        <w:rPr>
          <w:i/>
          <w:sz w:val="26"/>
          <w:szCs w:val="26"/>
          <w:lang w:val="lt-LT"/>
        </w:rPr>
        <w:tab/>
      </w:r>
      <w:r w:rsidR="00D84B52" w:rsidRPr="009A3FB3">
        <w:rPr>
          <w:i/>
          <w:sz w:val="26"/>
          <w:szCs w:val="26"/>
          <w:lang w:val="lt-LT"/>
        </w:rPr>
        <w:tab/>
        <w:t>(3)</w:t>
      </w:r>
    </w:p>
    <w:p w:rsidR="009B6941" w:rsidRPr="009A3FB3" w:rsidRDefault="006504A6" w:rsidP="00D65A4A">
      <w:pPr>
        <w:jc w:val="both"/>
        <w:rPr>
          <w:sz w:val="22"/>
          <w:szCs w:val="22"/>
          <w:lang w:val="lt-LT"/>
        </w:rPr>
      </w:pPr>
      <w:r w:rsidRPr="009A3FB3">
        <w:rPr>
          <w:sz w:val="22"/>
          <w:szCs w:val="22"/>
          <w:lang w:val="lt-LT"/>
        </w:rPr>
        <w:t>kur</w:t>
      </w:r>
      <w:r w:rsidR="009B6941" w:rsidRPr="009A3FB3">
        <w:rPr>
          <w:sz w:val="22"/>
          <w:szCs w:val="22"/>
          <w:lang w:val="lt-LT"/>
        </w:rPr>
        <w:t>:</w:t>
      </w:r>
      <w:r w:rsidRPr="009A3FB3">
        <w:rPr>
          <w:sz w:val="22"/>
          <w:szCs w:val="22"/>
          <w:lang w:val="lt-LT"/>
        </w:rPr>
        <w:t xml:space="preserve"> AR – audito rizika; </w:t>
      </w:r>
      <w:r w:rsidR="009B6941" w:rsidRPr="009A3FB3">
        <w:rPr>
          <w:sz w:val="22"/>
          <w:szCs w:val="22"/>
          <w:lang w:val="lt-LT"/>
        </w:rPr>
        <w:t>IR – įgimta rizika; CR – kontrolės rizika; AP</w:t>
      </w:r>
      <w:r w:rsidR="006C51CA" w:rsidRPr="009A3FB3">
        <w:rPr>
          <w:sz w:val="22"/>
          <w:szCs w:val="22"/>
          <w:lang w:val="lt-LT"/>
        </w:rPr>
        <w:t xml:space="preserve"> –</w:t>
      </w:r>
      <w:r w:rsidR="009B6941" w:rsidRPr="009A3FB3">
        <w:rPr>
          <w:sz w:val="22"/>
          <w:szCs w:val="22"/>
          <w:lang w:val="lt-LT"/>
        </w:rPr>
        <w:t xml:space="preserve"> analitinių procedūrų rizika;</w:t>
      </w:r>
      <w:r w:rsidRPr="009A3FB3">
        <w:rPr>
          <w:sz w:val="22"/>
          <w:szCs w:val="22"/>
          <w:lang w:val="lt-LT"/>
        </w:rPr>
        <w:t xml:space="preserve"> </w:t>
      </w:r>
      <w:r w:rsidR="009B6941" w:rsidRPr="009A3FB3">
        <w:rPr>
          <w:sz w:val="22"/>
          <w:szCs w:val="22"/>
          <w:lang w:val="lt-LT"/>
        </w:rPr>
        <w:t xml:space="preserve">TD – </w:t>
      </w:r>
      <w:r w:rsidR="000009CF" w:rsidRPr="009A3FB3">
        <w:rPr>
          <w:sz w:val="22"/>
          <w:szCs w:val="22"/>
          <w:lang w:val="lt-LT"/>
        </w:rPr>
        <w:t>detalių</w:t>
      </w:r>
      <w:r w:rsidR="009B6941" w:rsidRPr="009A3FB3">
        <w:rPr>
          <w:sz w:val="22"/>
          <w:szCs w:val="22"/>
          <w:lang w:val="lt-LT"/>
        </w:rPr>
        <w:t xml:space="preserve"> testų rizika.</w:t>
      </w:r>
    </w:p>
    <w:p w:rsidR="009B6941" w:rsidRPr="009A3FB3" w:rsidRDefault="009B6941" w:rsidP="00D65A4A">
      <w:pPr>
        <w:spacing w:before="120" w:line="360" w:lineRule="auto"/>
        <w:ind w:firstLine="720"/>
        <w:jc w:val="both"/>
        <w:rPr>
          <w:sz w:val="26"/>
          <w:szCs w:val="26"/>
          <w:lang w:val="lt-LT"/>
        </w:rPr>
      </w:pPr>
      <w:r w:rsidRPr="009A3FB3">
        <w:rPr>
          <w:sz w:val="26"/>
          <w:szCs w:val="26"/>
          <w:lang w:val="lt-LT"/>
        </w:rPr>
        <w:t>Matome, jog praplėst</w:t>
      </w:r>
      <w:r w:rsidR="000343F0" w:rsidRPr="009A3FB3">
        <w:rPr>
          <w:sz w:val="26"/>
          <w:szCs w:val="26"/>
          <w:lang w:val="lt-LT"/>
        </w:rPr>
        <w:t>o</w:t>
      </w:r>
      <w:r w:rsidRPr="009A3FB3">
        <w:rPr>
          <w:sz w:val="26"/>
          <w:szCs w:val="26"/>
          <w:lang w:val="lt-LT"/>
        </w:rPr>
        <w:t xml:space="preserve"> audito rizikos modeli</w:t>
      </w:r>
      <w:r w:rsidR="000343F0" w:rsidRPr="009A3FB3">
        <w:rPr>
          <w:sz w:val="26"/>
          <w:szCs w:val="26"/>
          <w:lang w:val="lt-LT"/>
        </w:rPr>
        <w:t xml:space="preserve">o </w:t>
      </w:r>
      <w:r w:rsidR="00502B96" w:rsidRPr="009A3FB3">
        <w:rPr>
          <w:sz w:val="26"/>
          <w:szCs w:val="26"/>
          <w:lang w:val="lt-LT"/>
        </w:rPr>
        <w:t>struktūra</w:t>
      </w:r>
      <w:r w:rsidR="000343F0" w:rsidRPr="009A3FB3">
        <w:rPr>
          <w:sz w:val="26"/>
          <w:szCs w:val="26"/>
          <w:lang w:val="lt-LT"/>
        </w:rPr>
        <w:t xml:space="preserve"> </w:t>
      </w:r>
      <w:r w:rsidRPr="009A3FB3">
        <w:rPr>
          <w:sz w:val="26"/>
          <w:szCs w:val="26"/>
          <w:lang w:val="lt-LT"/>
        </w:rPr>
        <w:t>panaš</w:t>
      </w:r>
      <w:r w:rsidR="000343F0" w:rsidRPr="009A3FB3">
        <w:rPr>
          <w:sz w:val="26"/>
          <w:szCs w:val="26"/>
          <w:lang w:val="lt-LT"/>
        </w:rPr>
        <w:t>i</w:t>
      </w:r>
      <w:r w:rsidRPr="009A3FB3">
        <w:rPr>
          <w:sz w:val="26"/>
          <w:szCs w:val="26"/>
          <w:lang w:val="lt-LT"/>
        </w:rPr>
        <w:t xml:space="preserve"> į klasik</w:t>
      </w:r>
      <w:r w:rsidR="0025219E" w:rsidRPr="009A3FB3">
        <w:rPr>
          <w:sz w:val="26"/>
          <w:szCs w:val="26"/>
          <w:lang w:val="lt-LT"/>
        </w:rPr>
        <w:t>in</w:t>
      </w:r>
      <w:r w:rsidR="000343F0" w:rsidRPr="009A3FB3">
        <w:rPr>
          <w:sz w:val="26"/>
          <w:szCs w:val="26"/>
          <w:lang w:val="lt-LT"/>
        </w:rPr>
        <w:t>io</w:t>
      </w:r>
      <w:r w:rsidRPr="009A3FB3">
        <w:rPr>
          <w:sz w:val="26"/>
          <w:szCs w:val="26"/>
          <w:lang w:val="lt-LT"/>
        </w:rPr>
        <w:t xml:space="preserve"> audito rizikos model</w:t>
      </w:r>
      <w:r w:rsidR="000343F0" w:rsidRPr="009A3FB3">
        <w:rPr>
          <w:sz w:val="26"/>
          <w:szCs w:val="26"/>
          <w:lang w:val="lt-LT"/>
        </w:rPr>
        <w:t>io</w:t>
      </w:r>
      <w:r w:rsidRPr="009A3FB3">
        <w:rPr>
          <w:sz w:val="26"/>
          <w:szCs w:val="26"/>
          <w:lang w:val="lt-LT"/>
        </w:rPr>
        <w:t>. Esminis skirtumas jame yra tas, ka</w:t>
      </w:r>
      <w:r w:rsidR="00106784" w:rsidRPr="009A3FB3">
        <w:rPr>
          <w:sz w:val="26"/>
          <w:szCs w:val="26"/>
          <w:lang w:val="lt-LT"/>
        </w:rPr>
        <w:t>d</w:t>
      </w:r>
      <w:r w:rsidRPr="009A3FB3">
        <w:rPr>
          <w:sz w:val="26"/>
          <w:szCs w:val="26"/>
          <w:lang w:val="lt-LT"/>
        </w:rPr>
        <w:t xml:space="preserve"> aptikimo rizika modelyje išskaidyta į dvi dalis: analitinių procedūrų ir </w:t>
      </w:r>
      <w:r w:rsidR="00106784" w:rsidRPr="009A3FB3">
        <w:rPr>
          <w:sz w:val="26"/>
          <w:szCs w:val="26"/>
          <w:lang w:val="lt-LT"/>
        </w:rPr>
        <w:t>detalių</w:t>
      </w:r>
      <w:r w:rsidRPr="009A3FB3">
        <w:rPr>
          <w:sz w:val="26"/>
          <w:szCs w:val="26"/>
          <w:lang w:val="lt-LT"/>
        </w:rPr>
        <w:t xml:space="preserve"> testų</w:t>
      </w:r>
      <w:r w:rsidR="00D84B52" w:rsidRPr="009A3FB3">
        <w:rPr>
          <w:sz w:val="26"/>
          <w:szCs w:val="26"/>
          <w:lang w:val="lt-LT"/>
        </w:rPr>
        <w:t xml:space="preserve"> rizikas</w:t>
      </w:r>
      <w:r w:rsidRPr="009A3FB3">
        <w:rPr>
          <w:sz w:val="26"/>
          <w:szCs w:val="26"/>
          <w:lang w:val="lt-LT"/>
        </w:rPr>
        <w:t xml:space="preserve">. </w:t>
      </w:r>
      <w:r w:rsidR="00D84022" w:rsidRPr="009A3FB3">
        <w:rPr>
          <w:sz w:val="26"/>
          <w:szCs w:val="26"/>
          <w:lang w:val="lt-LT"/>
        </w:rPr>
        <w:t xml:space="preserve">Tačiau tam tikrus </w:t>
      </w:r>
      <w:r w:rsidRPr="009A3FB3">
        <w:rPr>
          <w:sz w:val="26"/>
          <w:szCs w:val="26"/>
          <w:lang w:val="lt-LT"/>
        </w:rPr>
        <w:t>praplėsto audito rizikos modelio pr</w:t>
      </w:r>
      <w:r w:rsidR="00AF7BEA" w:rsidRPr="009A3FB3">
        <w:rPr>
          <w:sz w:val="26"/>
          <w:szCs w:val="26"/>
          <w:lang w:val="lt-LT"/>
        </w:rPr>
        <w:t>ivalumu</w:t>
      </w:r>
      <w:r w:rsidR="00D84022" w:rsidRPr="009A3FB3">
        <w:rPr>
          <w:sz w:val="26"/>
          <w:szCs w:val="26"/>
          <w:lang w:val="lt-LT"/>
        </w:rPr>
        <w:t>s</w:t>
      </w:r>
      <w:r w:rsidRPr="009A3FB3">
        <w:rPr>
          <w:sz w:val="26"/>
          <w:szCs w:val="26"/>
          <w:lang w:val="lt-LT"/>
        </w:rPr>
        <w:t xml:space="preserve"> ir trūkum</w:t>
      </w:r>
      <w:r w:rsidR="00D84022" w:rsidRPr="009A3FB3">
        <w:rPr>
          <w:sz w:val="26"/>
          <w:szCs w:val="26"/>
          <w:lang w:val="lt-LT"/>
        </w:rPr>
        <w:t>us</w:t>
      </w:r>
      <w:r w:rsidRPr="009A3FB3">
        <w:rPr>
          <w:sz w:val="26"/>
          <w:szCs w:val="26"/>
          <w:lang w:val="lt-LT"/>
        </w:rPr>
        <w:t xml:space="preserve"> aptarsime išsamiau.</w:t>
      </w:r>
    </w:p>
    <w:p w:rsidR="00993504" w:rsidRPr="009A3FB3" w:rsidRDefault="000343F0">
      <w:pPr>
        <w:spacing w:line="360" w:lineRule="auto"/>
        <w:ind w:firstLine="720"/>
        <w:jc w:val="both"/>
        <w:rPr>
          <w:sz w:val="26"/>
          <w:szCs w:val="26"/>
          <w:lang w:val="lt-LT"/>
        </w:rPr>
      </w:pPr>
      <w:r w:rsidRPr="009A3FB3">
        <w:rPr>
          <w:sz w:val="26"/>
          <w:szCs w:val="26"/>
          <w:u w:val="single"/>
          <w:lang w:val="lt-LT"/>
        </w:rPr>
        <w:t>P</w:t>
      </w:r>
      <w:r w:rsidR="009B6941" w:rsidRPr="009A3FB3">
        <w:rPr>
          <w:sz w:val="26"/>
          <w:szCs w:val="26"/>
          <w:u w:val="single"/>
          <w:lang w:val="lt-LT"/>
        </w:rPr>
        <w:t>r</w:t>
      </w:r>
      <w:r w:rsidR="00905E53" w:rsidRPr="009A3FB3">
        <w:rPr>
          <w:sz w:val="26"/>
          <w:szCs w:val="26"/>
          <w:u w:val="single"/>
          <w:lang w:val="lt-LT"/>
        </w:rPr>
        <w:t>ivalumai</w:t>
      </w:r>
      <w:r w:rsidR="009B6941" w:rsidRPr="009A3FB3">
        <w:rPr>
          <w:sz w:val="26"/>
          <w:szCs w:val="26"/>
          <w:u w:val="single"/>
          <w:lang w:val="lt-LT"/>
        </w:rPr>
        <w:t>.</w:t>
      </w:r>
      <w:r w:rsidR="009B6941" w:rsidRPr="009A3FB3">
        <w:rPr>
          <w:sz w:val="26"/>
          <w:szCs w:val="26"/>
          <w:lang w:val="lt-LT"/>
        </w:rPr>
        <w:t xml:space="preserve"> Praplėstas audito rizikos modelis </w:t>
      </w:r>
      <w:r w:rsidR="00905E53" w:rsidRPr="009A3FB3">
        <w:rPr>
          <w:sz w:val="26"/>
          <w:szCs w:val="26"/>
          <w:lang w:val="lt-LT"/>
        </w:rPr>
        <w:t xml:space="preserve">kaip ir klasikinis audito rizikos modelis </w:t>
      </w:r>
      <w:r w:rsidR="009B6941" w:rsidRPr="009A3FB3">
        <w:rPr>
          <w:i/>
          <w:sz w:val="26"/>
          <w:szCs w:val="26"/>
          <w:lang w:val="lt-LT"/>
        </w:rPr>
        <w:t>pateikia supratimą apie audito rizikos komponentus ir jų svarbą audito rizikos vertinimui</w:t>
      </w:r>
      <w:r w:rsidR="009B6941" w:rsidRPr="009A3FB3">
        <w:rPr>
          <w:sz w:val="26"/>
          <w:szCs w:val="26"/>
          <w:lang w:val="lt-LT"/>
        </w:rPr>
        <w:t xml:space="preserve">. </w:t>
      </w:r>
      <w:r w:rsidR="009A5ABA" w:rsidRPr="009A3FB3">
        <w:rPr>
          <w:sz w:val="26"/>
          <w:szCs w:val="26"/>
          <w:lang w:val="lt-LT"/>
        </w:rPr>
        <w:t>Optimalu, kai aptikimo rizika gali būti išskirta</w:t>
      </w:r>
      <w:r w:rsidR="00E336FE" w:rsidRPr="009A3FB3">
        <w:rPr>
          <w:sz w:val="26"/>
          <w:szCs w:val="26"/>
          <w:lang w:val="lt-LT"/>
        </w:rPr>
        <w:t xml:space="preserve"> į analitinių procedūrų riziką </w:t>
      </w:r>
      <w:r w:rsidR="009A5ABA" w:rsidRPr="009A3FB3">
        <w:rPr>
          <w:sz w:val="26"/>
          <w:szCs w:val="26"/>
          <w:lang w:val="lt-LT"/>
        </w:rPr>
        <w:t xml:space="preserve">ir detalių testų riziką (priimtinos rizikos kiekis, atsižvelgiant į kitas rizikas, kad pasiekti </w:t>
      </w:r>
      <w:r w:rsidR="00AC621A" w:rsidRPr="009A3FB3">
        <w:rPr>
          <w:sz w:val="26"/>
          <w:szCs w:val="26"/>
          <w:lang w:val="lt-LT"/>
        </w:rPr>
        <w:t>priimtin</w:t>
      </w:r>
      <w:r w:rsidR="009A5ABA" w:rsidRPr="009A3FB3">
        <w:rPr>
          <w:sz w:val="26"/>
          <w:szCs w:val="26"/>
          <w:lang w:val="lt-LT"/>
        </w:rPr>
        <w:t>ą audito rizikos lygį) (Dusenbury, Reimers, Wheeler, 2000b, p. 107).</w:t>
      </w:r>
      <w:r w:rsidR="00AC621A" w:rsidRPr="009A3FB3">
        <w:rPr>
          <w:sz w:val="26"/>
          <w:szCs w:val="26"/>
          <w:lang w:val="lt-LT"/>
        </w:rPr>
        <w:t xml:space="preserve"> </w:t>
      </w:r>
    </w:p>
    <w:p w:rsidR="009B6941" w:rsidRPr="009A3FB3" w:rsidRDefault="00196FDF">
      <w:pPr>
        <w:spacing w:line="360" w:lineRule="auto"/>
        <w:ind w:firstLine="720"/>
        <w:jc w:val="both"/>
        <w:rPr>
          <w:sz w:val="26"/>
          <w:szCs w:val="26"/>
          <w:lang w:val="lt-LT"/>
        </w:rPr>
      </w:pPr>
      <w:r w:rsidRPr="009A3FB3">
        <w:rPr>
          <w:sz w:val="26"/>
          <w:szCs w:val="26"/>
          <w:lang w:val="lt-LT"/>
        </w:rPr>
        <w:t>Taip pat šis modelis, J. C. Robertson (1990)</w:t>
      </w:r>
      <w:r w:rsidR="009A5ABA" w:rsidRPr="009A3FB3">
        <w:rPr>
          <w:sz w:val="26"/>
          <w:szCs w:val="26"/>
          <w:lang w:val="lt-LT"/>
        </w:rPr>
        <w:t xml:space="preserve">, R. B. </w:t>
      </w:r>
      <w:r w:rsidR="009A3FB3">
        <w:rPr>
          <w:sz w:val="26"/>
          <w:szCs w:val="26"/>
          <w:lang w:val="lt-LT"/>
        </w:rPr>
        <w:t>Dusenbury, J. </w:t>
      </w:r>
      <w:r w:rsidR="009A5ABA" w:rsidRPr="009A3FB3">
        <w:rPr>
          <w:sz w:val="26"/>
          <w:szCs w:val="26"/>
          <w:lang w:val="lt-LT"/>
        </w:rPr>
        <w:t>L.</w:t>
      </w:r>
      <w:r w:rsidR="009A3FB3">
        <w:rPr>
          <w:sz w:val="26"/>
          <w:szCs w:val="26"/>
          <w:lang w:val="lt-LT"/>
        </w:rPr>
        <w:t> </w:t>
      </w:r>
      <w:r w:rsidR="009A5ABA" w:rsidRPr="009A3FB3">
        <w:rPr>
          <w:sz w:val="26"/>
          <w:szCs w:val="26"/>
          <w:lang w:val="lt-LT"/>
        </w:rPr>
        <w:t xml:space="preserve">Reimers, S. W. Wheeler (2000b) </w:t>
      </w:r>
      <w:r w:rsidR="00037E05" w:rsidRPr="009A3FB3">
        <w:rPr>
          <w:sz w:val="26"/>
          <w:szCs w:val="26"/>
          <w:lang w:val="lt-LT"/>
        </w:rPr>
        <w:t>nuomone</w:t>
      </w:r>
      <w:r w:rsidRPr="009A3FB3">
        <w:rPr>
          <w:sz w:val="26"/>
          <w:szCs w:val="26"/>
          <w:lang w:val="lt-LT"/>
        </w:rPr>
        <w:t xml:space="preserve">, gali </w:t>
      </w:r>
      <w:r w:rsidRPr="009A3FB3">
        <w:rPr>
          <w:i/>
          <w:sz w:val="26"/>
          <w:szCs w:val="26"/>
          <w:lang w:val="lt-LT"/>
        </w:rPr>
        <w:t xml:space="preserve">padėti suprasti kai kuriuos atrankos </w:t>
      </w:r>
      <w:r w:rsidR="00640BFA" w:rsidRPr="009A3FB3">
        <w:rPr>
          <w:i/>
          <w:sz w:val="26"/>
          <w:szCs w:val="26"/>
          <w:lang w:val="lt-LT"/>
        </w:rPr>
        <w:t>elementus</w:t>
      </w:r>
      <w:r w:rsidRPr="009A3FB3">
        <w:rPr>
          <w:i/>
          <w:sz w:val="26"/>
          <w:szCs w:val="26"/>
          <w:lang w:val="lt-LT"/>
        </w:rPr>
        <w:t xml:space="preserve"> sąskaitų likučių ir ūkinių operacijų audite. </w:t>
      </w:r>
      <w:r w:rsidR="009B6941" w:rsidRPr="009A3FB3">
        <w:rPr>
          <w:sz w:val="26"/>
          <w:szCs w:val="26"/>
          <w:lang w:val="lt-LT"/>
        </w:rPr>
        <w:t xml:space="preserve">Kadangi auditoriai naudoja profesinį </w:t>
      </w:r>
      <w:r w:rsidR="00106784" w:rsidRPr="009A3FB3">
        <w:rPr>
          <w:sz w:val="26"/>
          <w:szCs w:val="26"/>
          <w:lang w:val="lt-LT"/>
        </w:rPr>
        <w:t>sprendimą</w:t>
      </w:r>
      <w:r w:rsidR="009B6941" w:rsidRPr="009A3FB3">
        <w:rPr>
          <w:sz w:val="26"/>
          <w:szCs w:val="26"/>
          <w:lang w:val="lt-LT"/>
        </w:rPr>
        <w:t xml:space="preserve"> vertin</w:t>
      </w:r>
      <w:r w:rsidR="00106784" w:rsidRPr="009A3FB3">
        <w:rPr>
          <w:sz w:val="26"/>
          <w:szCs w:val="26"/>
          <w:lang w:val="lt-LT"/>
        </w:rPr>
        <w:t>dami</w:t>
      </w:r>
      <w:r w:rsidR="009B6941" w:rsidRPr="009A3FB3">
        <w:rPr>
          <w:sz w:val="26"/>
          <w:szCs w:val="26"/>
          <w:lang w:val="lt-LT"/>
        </w:rPr>
        <w:t xml:space="preserve"> įgimtą (IR), </w:t>
      </w:r>
      <w:r w:rsidR="009B6941" w:rsidRPr="009A3FB3">
        <w:rPr>
          <w:sz w:val="26"/>
          <w:szCs w:val="26"/>
          <w:lang w:val="lt-LT"/>
        </w:rPr>
        <w:lastRenderedPageBreak/>
        <w:t xml:space="preserve">kontrolės (CR) ir analitinių procedūrų (AP) rizikas, tai praplėstas audito rizikos modelis gali </w:t>
      </w:r>
      <w:r w:rsidR="00106784" w:rsidRPr="009A3FB3">
        <w:rPr>
          <w:sz w:val="26"/>
          <w:szCs w:val="26"/>
          <w:lang w:val="lt-LT"/>
        </w:rPr>
        <w:t xml:space="preserve">būti </w:t>
      </w:r>
      <w:r w:rsidR="009B6941" w:rsidRPr="009A3FB3">
        <w:rPr>
          <w:sz w:val="26"/>
          <w:szCs w:val="26"/>
          <w:lang w:val="lt-LT"/>
        </w:rPr>
        <w:t xml:space="preserve">panaudojamas išreiškiant </w:t>
      </w:r>
      <w:r w:rsidR="00106784" w:rsidRPr="009A3FB3">
        <w:rPr>
          <w:sz w:val="26"/>
          <w:szCs w:val="26"/>
          <w:lang w:val="lt-LT"/>
        </w:rPr>
        <w:t>detalių</w:t>
      </w:r>
      <w:r w:rsidR="009B6941" w:rsidRPr="009A3FB3">
        <w:rPr>
          <w:sz w:val="26"/>
          <w:szCs w:val="26"/>
          <w:lang w:val="lt-LT"/>
        </w:rPr>
        <w:t xml:space="preserve"> testų riziką (TD):</w:t>
      </w:r>
    </w:p>
    <w:p w:rsidR="009B6941" w:rsidRPr="009A3FB3" w:rsidRDefault="00D65A4A">
      <w:pPr>
        <w:spacing w:line="360" w:lineRule="auto"/>
        <w:ind w:firstLine="720"/>
        <w:jc w:val="both"/>
        <w:rPr>
          <w:sz w:val="26"/>
          <w:szCs w:val="26"/>
          <w:lang w:val="lt-LT"/>
        </w:rPr>
      </w:pPr>
      <w:r>
        <w:rPr>
          <w:sz w:val="26"/>
          <w:szCs w:val="26"/>
          <w:lang w:val="lt-LT"/>
        </w:rPr>
        <w:tab/>
      </w:r>
      <w:r>
        <w:rPr>
          <w:sz w:val="26"/>
          <w:szCs w:val="26"/>
          <w:lang w:val="lt-LT"/>
        </w:rPr>
        <w:tab/>
      </w:r>
      <w:r w:rsidR="009B6941" w:rsidRPr="009A3FB3">
        <w:rPr>
          <w:sz w:val="26"/>
          <w:szCs w:val="26"/>
          <w:lang w:val="lt-LT"/>
        </w:rPr>
        <w:tab/>
      </w:r>
      <w:r w:rsidR="00BE5448" w:rsidRPr="009A3FB3">
        <w:rPr>
          <w:position w:val="-24"/>
          <w:sz w:val="26"/>
          <w:szCs w:val="26"/>
          <w:lang w:val="lt-LT"/>
        </w:rPr>
        <w:object w:dxaOrig="1719" w:dyaOrig="620">
          <v:shape id="_x0000_i1028" type="#_x0000_t75" style="width:85.5pt;height:32.25pt" o:ole="">
            <v:imagedata r:id="rId10" o:title=""/>
          </v:shape>
          <o:OLEObject Type="Embed" ProgID="Equation.3" ShapeID="_x0000_i1028" DrawAspect="Content" ObjectID="_1333704731" r:id="rId11"/>
        </w:object>
      </w:r>
      <w:r w:rsidR="009A3FB3">
        <w:rPr>
          <w:position w:val="-24"/>
          <w:sz w:val="26"/>
          <w:szCs w:val="26"/>
          <w:lang w:val="lt-LT"/>
        </w:rPr>
        <w:tab/>
      </w:r>
      <w:r w:rsidR="009A3FB3">
        <w:rPr>
          <w:position w:val="-24"/>
          <w:sz w:val="26"/>
          <w:szCs w:val="26"/>
          <w:lang w:val="lt-LT"/>
        </w:rPr>
        <w:tab/>
      </w:r>
      <w:r w:rsidR="004B5DC0" w:rsidRPr="009A3FB3">
        <w:rPr>
          <w:position w:val="-24"/>
          <w:sz w:val="26"/>
          <w:szCs w:val="26"/>
          <w:lang w:val="lt-LT"/>
        </w:rPr>
        <w:tab/>
      </w:r>
      <w:r w:rsidR="004B5DC0" w:rsidRPr="009A3FB3">
        <w:rPr>
          <w:position w:val="-24"/>
          <w:sz w:val="26"/>
          <w:szCs w:val="26"/>
          <w:lang w:val="lt-LT"/>
        </w:rPr>
        <w:tab/>
      </w:r>
      <w:r w:rsidR="00DC3FD4">
        <w:rPr>
          <w:position w:val="-24"/>
          <w:sz w:val="26"/>
          <w:szCs w:val="26"/>
          <w:lang w:val="lt-LT"/>
        </w:rPr>
        <w:tab/>
      </w:r>
      <w:r w:rsidR="004B5DC0" w:rsidRPr="009A3FB3">
        <w:rPr>
          <w:i/>
          <w:position w:val="-24"/>
          <w:sz w:val="26"/>
          <w:szCs w:val="26"/>
          <w:lang w:val="lt-LT"/>
        </w:rPr>
        <w:t>(4)</w:t>
      </w:r>
    </w:p>
    <w:p w:rsidR="009C6FA2" w:rsidRPr="009A3FB3" w:rsidRDefault="00156E01" w:rsidP="00993504">
      <w:pPr>
        <w:tabs>
          <w:tab w:val="left" w:pos="567"/>
        </w:tabs>
        <w:spacing w:line="360" w:lineRule="auto"/>
        <w:jc w:val="both"/>
        <w:rPr>
          <w:sz w:val="26"/>
          <w:szCs w:val="26"/>
          <w:lang w:val="lt-LT"/>
        </w:rPr>
      </w:pPr>
      <w:r w:rsidRPr="009A3FB3">
        <w:rPr>
          <w:sz w:val="26"/>
          <w:szCs w:val="26"/>
          <w:lang w:val="lt-LT"/>
        </w:rPr>
        <w:tab/>
      </w:r>
      <w:r w:rsidRPr="009A3FB3">
        <w:rPr>
          <w:sz w:val="26"/>
          <w:szCs w:val="26"/>
          <w:lang w:val="lt-LT"/>
        </w:rPr>
        <w:tab/>
      </w:r>
      <w:r w:rsidR="009B6941" w:rsidRPr="009A3FB3">
        <w:rPr>
          <w:sz w:val="26"/>
          <w:szCs w:val="26"/>
          <w:lang w:val="lt-LT"/>
        </w:rPr>
        <w:t xml:space="preserve">Iš pateiktos praplėsto audito rizikos modelio išraiškos matyti, kad kuo bus mažesnė </w:t>
      </w:r>
      <w:r w:rsidR="00106784" w:rsidRPr="009A3FB3">
        <w:rPr>
          <w:sz w:val="26"/>
          <w:szCs w:val="26"/>
          <w:lang w:val="lt-LT"/>
        </w:rPr>
        <w:t>detalių</w:t>
      </w:r>
      <w:r w:rsidR="009B6941" w:rsidRPr="009A3FB3">
        <w:rPr>
          <w:sz w:val="26"/>
          <w:szCs w:val="26"/>
          <w:lang w:val="lt-LT"/>
        </w:rPr>
        <w:t xml:space="preserve"> testų rizika, tuo bus mažesnė ir </w:t>
      </w:r>
      <w:r w:rsidR="00455BA8" w:rsidRPr="009A3FB3">
        <w:rPr>
          <w:sz w:val="26"/>
          <w:szCs w:val="26"/>
          <w:lang w:val="lt-LT"/>
        </w:rPr>
        <w:t xml:space="preserve">audito </w:t>
      </w:r>
      <w:r w:rsidR="009B6941" w:rsidRPr="009A3FB3">
        <w:rPr>
          <w:sz w:val="26"/>
          <w:szCs w:val="26"/>
          <w:lang w:val="lt-LT"/>
        </w:rPr>
        <w:t xml:space="preserve">rizika. </w:t>
      </w:r>
      <w:r w:rsidR="00F80B6B" w:rsidRPr="009A3FB3">
        <w:rPr>
          <w:sz w:val="26"/>
          <w:szCs w:val="26"/>
          <w:lang w:val="lt-LT"/>
        </w:rPr>
        <w:t>Detalių</w:t>
      </w:r>
      <w:r w:rsidR="009B6941" w:rsidRPr="009A3FB3">
        <w:rPr>
          <w:sz w:val="26"/>
          <w:szCs w:val="26"/>
          <w:lang w:val="lt-LT"/>
        </w:rPr>
        <w:t xml:space="preserve"> testų rizika yra kaip balansuojantis rodiklis </w:t>
      </w:r>
      <w:r w:rsidR="00F80B6B" w:rsidRPr="009A3FB3">
        <w:rPr>
          <w:sz w:val="26"/>
          <w:szCs w:val="26"/>
          <w:lang w:val="lt-LT"/>
        </w:rPr>
        <w:t>šioje</w:t>
      </w:r>
      <w:r w:rsidR="009B6941" w:rsidRPr="009A3FB3">
        <w:rPr>
          <w:sz w:val="26"/>
          <w:szCs w:val="26"/>
          <w:lang w:val="lt-LT"/>
        </w:rPr>
        <w:t xml:space="preserve"> formulėje</w:t>
      </w:r>
      <w:r w:rsidR="00EF28F9" w:rsidRPr="009A3FB3">
        <w:rPr>
          <w:sz w:val="26"/>
          <w:szCs w:val="26"/>
          <w:lang w:val="lt-LT"/>
        </w:rPr>
        <w:t>:</w:t>
      </w:r>
      <w:r w:rsidR="00455BA8" w:rsidRPr="009A3FB3">
        <w:rPr>
          <w:sz w:val="26"/>
          <w:szCs w:val="26"/>
          <w:lang w:val="lt-LT"/>
        </w:rPr>
        <w:t xml:space="preserve"> </w:t>
      </w:r>
      <w:r w:rsidR="009B6941" w:rsidRPr="009A3FB3">
        <w:rPr>
          <w:sz w:val="26"/>
          <w:szCs w:val="26"/>
          <w:lang w:val="lt-LT"/>
        </w:rPr>
        <w:t xml:space="preserve">1) kuo žemesnis reikalaujamas </w:t>
      </w:r>
      <w:r w:rsidR="00E91586" w:rsidRPr="009A3FB3">
        <w:rPr>
          <w:sz w:val="26"/>
          <w:szCs w:val="26"/>
          <w:lang w:val="lt-LT"/>
        </w:rPr>
        <w:t>užtikrinimo</w:t>
      </w:r>
      <w:r w:rsidR="009B6941" w:rsidRPr="009A3FB3">
        <w:rPr>
          <w:sz w:val="26"/>
          <w:szCs w:val="26"/>
          <w:lang w:val="lt-LT"/>
        </w:rPr>
        <w:t xml:space="preserve"> lygis, tuo bus mažesnis atrankos dydis </w:t>
      </w:r>
      <w:r w:rsidR="00455BA8" w:rsidRPr="009A3FB3">
        <w:rPr>
          <w:sz w:val="26"/>
          <w:szCs w:val="26"/>
          <w:lang w:val="lt-LT"/>
        </w:rPr>
        <w:t>detaliems testams</w:t>
      </w:r>
      <w:r w:rsidR="0025219E" w:rsidRPr="009A3FB3">
        <w:rPr>
          <w:sz w:val="26"/>
          <w:szCs w:val="26"/>
          <w:lang w:val="lt-LT"/>
        </w:rPr>
        <w:t>,</w:t>
      </w:r>
      <w:r w:rsidR="009B6941" w:rsidRPr="009A3FB3">
        <w:rPr>
          <w:sz w:val="26"/>
          <w:szCs w:val="26"/>
          <w:lang w:val="lt-LT"/>
        </w:rPr>
        <w:t xml:space="preserve"> 2) kuo patikimesnė įmonės vidaus kontrolės sistema ir didesnis </w:t>
      </w:r>
      <w:r w:rsidR="00F80B6B" w:rsidRPr="009A3FB3">
        <w:rPr>
          <w:sz w:val="26"/>
          <w:szCs w:val="26"/>
          <w:lang w:val="lt-LT"/>
        </w:rPr>
        <w:t>užtikrinimo</w:t>
      </w:r>
      <w:r w:rsidR="009B6941" w:rsidRPr="009A3FB3">
        <w:rPr>
          <w:sz w:val="26"/>
          <w:szCs w:val="26"/>
          <w:lang w:val="lt-LT"/>
        </w:rPr>
        <w:t xml:space="preserve"> lygis, gautas iš kitų šaltinių „supančios aplinkos“ analizės, tuo mažiau verta kreipti dėmesį į </w:t>
      </w:r>
      <w:r w:rsidR="00F80B6B" w:rsidRPr="009A3FB3">
        <w:rPr>
          <w:sz w:val="26"/>
          <w:szCs w:val="26"/>
          <w:lang w:val="lt-LT"/>
        </w:rPr>
        <w:t>detalius</w:t>
      </w:r>
      <w:r w:rsidR="00455BA8" w:rsidRPr="009A3FB3">
        <w:rPr>
          <w:sz w:val="26"/>
          <w:szCs w:val="26"/>
          <w:lang w:val="lt-LT"/>
        </w:rPr>
        <w:t xml:space="preserve"> testus</w:t>
      </w:r>
      <w:r w:rsidR="0025219E" w:rsidRPr="009A3FB3">
        <w:rPr>
          <w:sz w:val="26"/>
          <w:szCs w:val="26"/>
          <w:lang w:val="lt-LT"/>
        </w:rPr>
        <w:t>,</w:t>
      </w:r>
      <w:r w:rsidR="009B6941" w:rsidRPr="009A3FB3">
        <w:rPr>
          <w:sz w:val="26"/>
          <w:szCs w:val="26"/>
          <w:lang w:val="lt-LT"/>
        </w:rPr>
        <w:t xml:space="preserve"> 3) kuo silpnesni ir mažiau patikimi </w:t>
      </w:r>
      <w:r w:rsidR="00F80B6B" w:rsidRPr="009A3FB3">
        <w:rPr>
          <w:sz w:val="26"/>
          <w:szCs w:val="26"/>
          <w:lang w:val="lt-LT"/>
        </w:rPr>
        <w:t>audito</w:t>
      </w:r>
      <w:r w:rsidR="009B6941" w:rsidRPr="009A3FB3">
        <w:rPr>
          <w:sz w:val="26"/>
          <w:szCs w:val="26"/>
          <w:lang w:val="lt-LT"/>
        </w:rPr>
        <w:t xml:space="preserve"> įrodymai, gauti iš </w:t>
      </w:r>
      <w:r w:rsidR="00455BA8" w:rsidRPr="009A3FB3">
        <w:rPr>
          <w:sz w:val="26"/>
          <w:szCs w:val="26"/>
          <w:lang w:val="lt-LT"/>
        </w:rPr>
        <w:t xml:space="preserve">įmonės </w:t>
      </w:r>
      <w:r w:rsidR="009B6941" w:rsidRPr="009A3FB3">
        <w:rPr>
          <w:sz w:val="26"/>
          <w:szCs w:val="26"/>
          <w:lang w:val="lt-LT"/>
        </w:rPr>
        <w:t xml:space="preserve">vidaus kontrolės </w:t>
      </w:r>
      <w:r w:rsidR="00057533" w:rsidRPr="009A3FB3">
        <w:rPr>
          <w:sz w:val="26"/>
          <w:szCs w:val="26"/>
          <w:lang w:val="lt-LT"/>
        </w:rPr>
        <w:t xml:space="preserve">sistemos </w:t>
      </w:r>
      <w:r w:rsidR="009B6941" w:rsidRPr="009A3FB3">
        <w:rPr>
          <w:sz w:val="26"/>
          <w:szCs w:val="26"/>
          <w:lang w:val="lt-LT"/>
        </w:rPr>
        <w:t xml:space="preserve">įvertinimo, tuo </w:t>
      </w:r>
      <w:r w:rsidR="00037E05" w:rsidRPr="009A3FB3">
        <w:rPr>
          <w:sz w:val="26"/>
          <w:szCs w:val="26"/>
          <w:lang w:val="lt-LT"/>
        </w:rPr>
        <w:t xml:space="preserve">daugiau </w:t>
      </w:r>
      <w:r w:rsidR="009B6941" w:rsidRPr="009A3FB3">
        <w:rPr>
          <w:sz w:val="26"/>
          <w:szCs w:val="26"/>
          <w:lang w:val="lt-LT"/>
        </w:rPr>
        <w:t xml:space="preserve">reikia atlikti </w:t>
      </w:r>
      <w:r w:rsidR="00037E05" w:rsidRPr="009A3FB3">
        <w:rPr>
          <w:sz w:val="26"/>
          <w:szCs w:val="26"/>
          <w:lang w:val="lt-LT"/>
        </w:rPr>
        <w:t>detalių testų</w:t>
      </w:r>
      <w:r w:rsidR="009B6941" w:rsidRPr="009A3FB3">
        <w:rPr>
          <w:sz w:val="26"/>
          <w:szCs w:val="26"/>
          <w:lang w:val="lt-LT"/>
        </w:rPr>
        <w:t xml:space="preserve"> (tai leis sumažinti audito riziką iki priimtino lygio).</w:t>
      </w:r>
      <w:r w:rsidRPr="009A3FB3">
        <w:rPr>
          <w:sz w:val="26"/>
          <w:szCs w:val="26"/>
          <w:lang w:val="lt-LT"/>
        </w:rPr>
        <w:t xml:space="preserve"> </w:t>
      </w:r>
      <w:r w:rsidR="009C6FA2" w:rsidRPr="009A3FB3">
        <w:rPr>
          <w:sz w:val="26"/>
          <w:szCs w:val="26"/>
          <w:lang w:val="lt-LT"/>
        </w:rPr>
        <w:t xml:space="preserve">R. Dodž (1992) </w:t>
      </w:r>
      <w:r w:rsidR="00993504" w:rsidRPr="009A3FB3">
        <w:rPr>
          <w:sz w:val="26"/>
          <w:szCs w:val="26"/>
          <w:lang w:val="lt-LT"/>
        </w:rPr>
        <w:t xml:space="preserve">taip pat </w:t>
      </w:r>
      <w:r w:rsidR="009C6FA2" w:rsidRPr="009A3FB3">
        <w:rPr>
          <w:sz w:val="26"/>
          <w:szCs w:val="26"/>
          <w:lang w:val="lt-LT"/>
        </w:rPr>
        <w:t xml:space="preserve">akcentuoja, jog </w:t>
      </w:r>
      <w:r w:rsidR="00BE1DBD" w:rsidRPr="009A3FB3">
        <w:rPr>
          <w:sz w:val="26"/>
          <w:szCs w:val="26"/>
          <w:lang w:val="lt-LT"/>
        </w:rPr>
        <w:t xml:space="preserve">praplėsto </w:t>
      </w:r>
      <w:r w:rsidR="009C6FA2" w:rsidRPr="009A3FB3">
        <w:rPr>
          <w:sz w:val="26"/>
          <w:szCs w:val="26"/>
          <w:lang w:val="lt-LT"/>
        </w:rPr>
        <w:t xml:space="preserve">audito rizikos modelio privalumas yra tas, kad šis modelis </w:t>
      </w:r>
      <w:r w:rsidR="009C6FA2" w:rsidRPr="009A3FB3">
        <w:rPr>
          <w:i/>
          <w:sz w:val="26"/>
          <w:szCs w:val="26"/>
          <w:lang w:val="lt-LT"/>
        </w:rPr>
        <w:t xml:space="preserve">gali būti įtraukiamas į struktūrizuotą požiūrį, naudojantį statistinę atranką </w:t>
      </w:r>
      <w:r w:rsidRPr="009A3FB3">
        <w:rPr>
          <w:i/>
          <w:sz w:val="26"/>
          <w:szCs w:val="26"/>
          <w:lang w:val="lt-LT"/>
        </w:rPr>
        <w:t xml:space="preserve">detalių </w:t>
      </w:r>
      <w:r w:rsidR="009C6FA2" w:rsidRPr="009A3FB3">
        <w:rPr>
          <w:i/>
          <w:sz w:val="26"/>
          <w:szCs w:val="26"/>
          <w:lang w:val="lt-LT"/>
        </w:rPr>
        <w:t>testų apimčiai nustatyti</w:t>
      </w:r>
      <w:r w:rsidR="009C6FA2" w:rsidRPr="009A3FB3">
        <w:rPr>
          <w:sz w:val="26"/>
          <w:szCs w:val="26"/>
          <w:lang w:val="lt-LT"/>
        </w:rPr>
        <w:t xml:space="preserve">. Dėl to audito įmonė gali išsiaiškinti kriterijus pagal kuriuos apskaičiuojamas „reikalingas užtikrinimas“ (sau prisiimama rizika) sudarant statistinės atrankos planą. Net ir tada, kai audito įmonė ir nenaudoja struktūrizuoto požiūrio, šio modelio pranašumas, anot mokslininko, yra tas, kad rizikos įvertinimas atkreipia dėmesį į jautrias vietas audito planavimo stadijoje. </w:t>
      </w:r>
      <w:r w:rsidR="007F2C5C" w:rsidRPr="009A3FB3">
        <w:rPr>
          <w:sz w:val="26"/>
          <w:szCs w:val="26"/>
          <w:lang w:val="lt-LT"/>
        </w:rPr>
        <w:t xml:space="preserve">B. E. Cushing, J. K. Loebbecke (1983) </w:t>
      </w:r>
      <w:r w:rsidRPr="009A3FB3">
        <w:rPr>
          <w:sz w:val="26"/>
          <w:szCs w:val="26"/>
          <w:lang w:val="lt-LT"/>
        </w:rPr>
        <w:t>nuomone</w:t>
      </w:r>
      <w:r w:rsidR="007F2C5C" w:rsidRPr="009A3FB3">
        <w:rPr>
          <w:sz w:val="26"/>
          <w:szCs w:val="26"/>
          <w:lang w:val="lt-LT"/>
        </w:rPr>
        <w:t xml:space="preserve">, </w:t>
      </w:r>
      <w:r w:rsidRPr="009A3FB3">
        <w:rPr>
          <w:sz w:val="26"/>
          <w:szCs w:val="26"/>
          <w:lang w:val="lt-LT"/>
        </w:rPr>
        <w:t xml:space="preserve">šis </w:t>
      </w:r>
      <w:r w:rsidR="007F2C5C" w:rsidRPr="009A3FB3">
        <w:rPr>
          <w:sz w:val="26"/>
          <w:szCs w:val="26"/>
          <w:lang w:val="lt-LT"/>
        </w:rPr>
        <w:t xml:space="preserve">audito rizikos modelis buvo pasiūlytas kaip pagalba audito planavimui, o ypač </w:t>
      </w:r>
      <w:r w:rsidR="007F2C5C" w:rsidRPr="009A3FB3">
        <w:rPr>
          <w:i/>
          <w:sz w:val="26"/>
          <w:szCs w:val="26"/>
          <w:lang w:val="lt-LT"/>
        </w:rPr>
        <w:t>dėl atitinkamo atrankos rizikos dėl detalių testų lygio nustatymo</w:t>
      </w:r>
      <w:r w:rsidRPr="009A3FB3">
        <w:rPr>
          <w:sz w:val="26"/>
          <w:szCs w:val="26"/>
          <w:lang w:val="lt-LT"/>
        </w:rPr>
        <w:t>. Kadangi detalių procedūrų atlikimas yra brangus, todėl tokių testų atlikimas tokia apimtimi, kuri yra būtina, gali padidinti audito veiksmingumą (Dusenbury, Reimers, Wheeler, 2000b, p. 107).</w:t>
      </w:r>
      <w:r w:rsidR="00E532FB" w:rsidRPr="009A3FB3">
        <w:rPr>
          <w:sz w:val="26"/>
          <w:szCs w:val="26"/>
          <w:lang w:val="lt-LT"/>
        </w:rPr>
        <w:t xml:space="preserve"> Šiam požiūriui pritaria ir B. K. Ghosh (2005).</w:t>
      </w:r>
    </w:p>
    <w:p w:rsidR="008E62C6" w:rsidRPr="009A3FB3" w:rsidRDefault="008E62C6" w:rsidP="008E62C6">
      <w:pPr>
        <w:tabs>
          <w:tab w:val="left" w:pos="709"/>
        </w:tabs>
        <w:spacing w:line="360" w:lineRule="auto"/>
        <w:jc w:val="both"/>
        <w:rPr>
          <w:sz w:val="26"/>
          <w:szCs w:val="26"/>
          <w:lang w:val="lt-LT"/>
        </w:rPr>
      </w:pPr>
      <w:r w:rsidRPr="009A3FB3">
        <w:rPr>
          <w:sz w:val="26"/>
          <w:szCs w:val="26"/>
          <w:lang w:val="lt-LT"/>
        </w:rPr>
        <w:tab/>
      </w:r>
      <w:r w:rsidR="009B6941" w:rsidRPr="009A3FB3">
        <w:rPr>
          <w:sz w:val="26"/>
          <w:szCs w:val="26"/>
          <w:u w:val="single"/>
          <w:lang w:val="lt-LT"/>
        </w:rPr>
        <w:t>Trūkumai.</w:t>
      </w:r>
      <w:r w:rsidR="009B6941" w:rsidRPr="009A3FB3">
        <w:rPr>
          <w:sz w:val="26"/>
          <w:szCs w:val="26"/>
          <w:lang w:val="lt-LT"/>
        </w:rPr>
        <w:t xml:space="preserve"> Praplėstas audito rizikos modelis, anot </w:t>
      </w:r>
      <w:r w:rsidR="00332905" w:rsidRPr="009A3FB3">
        <w:rPr>
          <w:sz w:val="26"/>
          <w:szCs w:val="26"/>
          <w:lang w:val="lt-LT"/>
        </w:rPr>
        <w:t xml:space="preserve">J. C. </w:t>
      </w:r>
      <w:r w:rsidR="009B6941" w:rsidRPr="009A3FB3">
        <w:rPr>
          <w:sz w:val="26"/>
          <w:szCs w:val="26"/>
          <w:lang w:val="lt-LT"/>
        </w:rPr>
        <w:t>Robertson (1990), visgi išlieka „</w:t>
      </w:r>
      <w:r w:rsidR="009B6941" w:rsidRPr="009A3FB3">
        <w:rPr>
          <w:i/>
          <w:sz w:val="26"/>
          <w:szCs w:val="26"/>
          <w:lang w:val="lt-LT"/>
        </w:rPr>
        <w:t>koncepciniu įrankiu</w:t>
      </w:r>
      <w:r w:rsidR="009B6941" w:rsidRPr="009A3FB3">
        <w:rPr>
          <w:sz w:val="26"/>
          <w:szCs w:val="26"/>
          <w:lang w:val="lt-LT"/>
        </w:rPr>
        <w:t>“. Tad modelio išplėtimas nedaro audito profesionalesnio</w:t>
      </w:r>
      <w:r w:rsidR="00D51AA5" w:rsidRPr="009A3FB3">
        <w:rPr>
          <w:sz w:val="26"/>
          <w:szCs w:val="26"/>
          <w:lang w:val="lt-LT"/>
        </w:rPr>
        <w:t>.</w:t>
      </w:r>
      <w:r w:rsidRPr="009A3FB3">
        <w:rPr>
          <w:sz w:val="26"/>
          <w:szCs w:val="26"/>
          <w:lang w:val="lt-LT"/>
        </w:rPr>
        <w:t xml:space="preserve"> B. E. Cushing, J. K. Loebbecke (1983) nu</w:t>
      </w:r>
      <w:r w:rsidR="00210B38" w:rsidRPr="009A3FB3">
        <w:rPr>
          <w:sz w:val="26"/>
          <w:szCs w:val="26"/>
          <w:lang w:val="lt-LT"/>
        </w:rPr>
        <w:t xml:space="preserve">rodo, kad tiesioginis šio audito rizikos modelio </w:t>
      </w:r>
      <w:r w:rsidR="00210B38" w:rsidRPr="009A3FB3">
        <w:rPr>
          <w:i/>
          <w:sz w:val="26"/>
          <w:szCs w:val="26"/>
          <w:lang w:val="lt-LT"/>
        </w:rPr>
        <w:t xml:space="preserve">panaudojimas vertinant audito rezultatus </w:t>
      </w:r>
      <w:r w:rsidR="00210B38" w:rsidRPr="009A3FB3">
        <w:rPr>
          <w:i/>
          <w:sz w:val="26"/>
          <w:szCs w:val="26"/>
          <w:lang w:val="lt-LT"/>
        </w:rPr>
        <w:lastRenderedPageBreak/>
        <w:t>yra negalimas,</w:t>
      </w:r>
      <w:r w:rsidR="00210B38" w:rsidRPr="009A3FB3">
        <w:rPr>
          <w:sz w:val="26"/>
          <w:szCs w:val="26"/>
          <w:lang w:val="lt-LT"/>
        </w:rPr>
        <w:t xml:space="preserve"> tačiau norint tai padaryti, reikia, kad </w:t>
      </w:r>
      <w:r w:rsidRPr="009A3FB3">
        <w:rPr>
          <w:sz w:val="26"/>
          <w:szCs w:val="26"/>
          <w:lang w:val="lt-LT"/>
        </w:rPr>
        <w:t xml:space="preserve">modelis 1) leistų numatyti patikslintus audito rizikos komponentų dydžius, atlikus klaidų pobūdžio įvertinimą ir apsvarsčius </w:t>
      </w:r>
      <w:r w:rsidR="00E35B8D" w:rsidRPr="009A3FB3">
        <w:rPr>
          <w:sz w:val="26"/>
          <w:szCs w:val="26"/>
          <w:lang w:val="lt-LT"/>
        </w:rPr>
        <w:t>jų</w:t>
      </w:r>
      <w:r w:rsidRPr="009A3FB3">
        <w:rPr>
          <w:sz w:val="26"/>
          <w:szCs w:val="26"/>
          <w:lang w:val="lt-LT"/>
        </w:rPr>
        <w:t xml:space="preserve"> poveikį, 2) prisidėtų prie tinkamo nustatytų klaidų tolesnio tyrimo, t. y. jei auditorius nustato klaidą, kuri galėtų kelti didesnę problemą, tinkamas atsakas būtų nepadidinti atrankos apimtį, bet ištirti konkrečius elementus ar sritis, kuriose galimos k</w:t>
      </w:r>
      <w:r w:rsidR="009A3FB3">
        <w:rPr>
          <w:sz w:val="26"/>
          <w:szCs w:val="26"/>
          <w:lang w:val="lt-LT"/>
        </w:rPr>
        <w:t>itos tokio pobūdžio klaidos; 3) </w:t>
      </w:r>
      <w:r w:rsidRPr="009A3FB3">
        <w:rPr>
          <w:sz w:val="26"/>
          <w:szCs w:val="26"/>
          <w:lang w:val="lt-LT"/>
        </w:rPr>
        <w:t>pateiktų nuorodas dėl koregavimų galimybės, t. y. jei nustatyto iškraipymo suma viršija toleruotinos klaidos dydį</w:t>
      </w:r>
      <w:r w:rsidR="00A87564" w:rsidRPr="009A3FB3">
        <w:rPr>
          <w:rStyle w:val="FootnoteReference"/>
          <w:sz w:val="26"/>
          <w:szCs w:val="26"/>
          <w:lang w:val="lt-LT"/>
        </w:rPr>
        <w:footnoteReference w:id="19"/>
      </w:r>
      <w:r w:rsidRPr="009A3FB3">
        <w:rPr>
          <w:sz w:val="26"/>
          <w:szCs w:val="26"/>
          <w:lang w:val="lt-LT"/>
        </w:rPr>
        <w:t xml:space="preserve"> ir to pas</w:t>
      </w:r>
      <w:r w:rsidR="00E336FE" w:rsidRPr="009A3FB3">
        <w:rPr>
          <w:sz w:val="26"/>
          <w:szCs w:val="26"/>
          <w:lang w:val="lt-LT"/>
        </w:rPr>
        <w:t>e</w:t>
      </w:r>
      <w:r w:rsidRPr="009A3FB3">
        <w:rPr>
          <w:sz w:val="26"/>
          <w:szCs w:val="26"/>
          <w:lang w:val="lt-LT"/>
        </w:rPr>
        <w:t>koje koreguojantis įrašas yra padaromas, tai rizika sumažėja iki priimtino lygio.</w:t>
      </w:r>
    </w:p>
    <w:p w:rsidR="009B3997" w:rsidRPr="009A3FB3" w:rsidRDefault="009B3997" w:rsidP="009B3997">
      <w:pPr>
        <w:spacing w:line="360" w:lineRule="auto"/>
        <w:ind w:firstLine="720"/>
        <w:jc w:val="both"/>
        <w:rPr>
          <w:sz w:val="26"/>
          <w:szCs w:val="26"/>
          <w:lang w:val="lt-LT"/>
        </w:rPr>
      </w:pPr>
      <w:r w:rsidRPr="009A3FB3">
        <w:rPr>
          <w:sz w:val="26"/>
          <w:szCs w:val="26"/>
          <w:lang w:val="lt-LT"/>
        </w:rPr>
        <w:t>Darbo a</w:t>
      </w:r>
      <w:r w:rsidR="00BE5448" w:rsidRPr="009A3FB3">
        <w:rPr>
          <w:sz w:val="26"/>
          <w:szCs w:val="26"/>
          <w:lang w:val="lt-LT"/>
        </w:rPr>
        <w:t xml:space="preserve">utorės nuomone, reikėtų pripažinti, kad praplėstas audito rizikos modelis pateikia tam tikrą supratimą apie riziką, susijusią su detalių testų taikymu, tačiau jis </w:t>
      </w:r>
      <w:r w:rsidR="00F60E8D" w:rsidRPr="009A3FB3">
        <w:rPr>
          <w:sz w:val="26"/>
          <w:szCs w:val="26"/>
          <w:lang w:val="lt-LT"/>
        </w:rPr>
        <w:t xml:space="preserve">aiškiai </w:t>
      </w:r>
      <w:r w:rsidR="00BE5448" w:rsidRPr="009A3FB3">
        <w:rPr>
          <w:sz w:val="26"/>
          <w:szCs w:val="26"/>
          <w:lang w:val="lt-LT"/>
        </w:rPr>
        <w:t xml:space="preserve">neparodo </w:t>
      </w:r>
      <w:r w:rsidR="00F60E8D" w:rsidRPr="009A3FB3">
        <w:rPr>
          <w:sz w:val="26"/>
          <w:szCs w:val="26"/>
          <w:lang w:val="lt-LT"/>
        </w:rPr>
        <w:t xml:space="preserve">kiek ji susijusi su </w:t>
      </w:r>
      <w:r w:rsidR="00BE5448" w:rsidRPr="009A3FB3">
        <w:rPr>
          <w:sz w:val="26"/>
          <w:szCs w:val="26"/>
          <w:lang w:val="lt-LT"/>
        </w:rPr>
        <w:t>atr</w:t>
      </w:r>
      <w:r w:rsidR="00CE33F5" w:rsidRPr="009A3FB3">
        <w:rPr>
          <w:sz w:val="26"/>
          <w:szCs w:val="26"/>
          <w:lang w:val="lt-LT"/>
        </w:rPr>
        <w:t>ankos</w:t>
      </w:r>
      <w:r w:rsidR="00BE5448" w:rsidRPr="009A3FB3">
        <w:rPr>
          <w:sz w:val="26"/>
          <w:szCs w:val="26"/>
          <w:lang w:val="lt-LT"/>
        </w:rPr>
        <w:t xml:space="preserve"> </w:t>
      </w:r>
      <w:r w:rsidR="00CE33F5" w:rsidRPr="009A3FB3">
        <w:rPr>
          <w:sz w:val="26"/>
          <w:szCs w:val="26"/>
          <w:lang w:val="lt-LT"/>
        </w:rPr>
        <w:t>ir</w:t>
      </w:r>
      <w:r w:rsidR="00F2417A" w:rsidRPr="009A3FB3">
        <w:rPr>
          <w:sz w:val="26"/>
          <w:szCs w:val="26"/>
          <w:lang w:val="lt-LT"/>
        </w:rPr>
        <w:t xml:space="preserve"> </w:t>
      </w:r>
      <w:r w:rsidR="00F60E8D" w:rsidRPr="009A3FB3">
        <w:rPr>
          <w:sz w:val="26"/>
          <w:szCs w:val="26"/>
          <w:lang w:val="lt-LT"/>
        </w:rPr>
        <w:t>ne atrankos rizik</w:t>
      </w:r>
      <w:r w:rsidR="00CE33F5" w:rsidRPr="009A3FB3">
        <w:rPr>
          <w:sz w:val="26"/>
          <w:szCs w:val="26"/>
          <w:lang w:val="lt-LT"/>
        </w:rPr>
        <w:t>omis</w:t>
      </w:r>
      <w:r w:rsidR="00F60E8D" w:rsidRPr="009A3FB3">
        <w:rPr>
          <w:sz w:val="26"/>
          <w:szCs w:val="26"/>
          <w:lang w:val="lt-LT"/>
        </w:rPr>
        <w:t>. N</w:t>
      </w:r>
      <w:r w:rsidR="000621EF" w:rsidRPr="009A3FB3">
        <w:rPr>
          <w:sz w:val="26"/>
          <w:szCs w:val="26"/>
          <w:lang w:val="lt-LT"/>
        </w:rPr>
        <w:t>e atrankos rizik</w:t>
      </w:r>
      <w:r w:rsidR="00730A84" w:rsidRPr="009A3FB3">
        <w:rPr>
          <w:sz w:val="26"/>
          <w:szCs w:val="26"/>
          <w:lang w:val="lt-LT"/>
        </w:rPr>
        <w:t>a kaip ir atrankos rizika</w:t>
      </w:r>
      <w:r w:rsidR="000621EF" w:rsidRPr="009A3FB3">
        <w:rPr>
          <w:sz w:val="26"/>
          <w:szCs w:val="26"/>
          <w:lang w:val="lt-LT"/>
        </w:rPr>
        <w:t xml:space="preserve"> taip pat turėtų būti </w:t>
      </w:r>
      <w:r w:rsidR="00C9405A" w:rsidRPr="009A3FB3">
        <w:rPr>
          <w:sz w:val="26"/>
          <w:szCs w:val="26"/>
          <w:lang w:val="lt-LT"/>
        </w:rPr>
        <w:t>kontroliuojam</w:t>
      </w:r>
      <w:r w:rsidR="00730A84" w:rsidRPr="009A3FB3">
        <w:rPr>
          <w:sz w:val="26"/>
          <w:szCs w:val="26"/>
          <w:lang w:val="lt-LT"/>
        </w:rPr>
        <w:t>a</w:t>
      </w:r>
      <w:r w:rsidR="000621EF" w:rsidRPr="009A3FB3">
        <w:rPr>
          <w:sz w:val="26"/>
          <w:szCs w:val="26"/>
          <w:lang w:val="lt-LT"/>
        </w:rPr>
        <w:t xml:space="preserve"> per audito rizikos modelį.</w:t>
      </w:r>
      <w:bookmarkStart w:id="32" w:name="_Toc70063223"/>
    </w:p>
    <w:p w:rsidR="00342A04" w:rsidRPr="009A3FB3" w:rsidRDefault="00E8473B" w:rsidP="00345031">
      <w:pPr>
        <w:spacing w:line="360" w:lineRule="auto"/>
        <w:ind w:firstLine="720"/>
        <w:jc w:val="both"/>
        <w:rPr>
          <w:sz w:val="26"/>
          <w:szCs w:val="26"/>
          <w:lang w:val="lt-LT"/>
        </w:rPr>
      </w:pPr>
      <w:r w:rsidRPr="009A3FB3">
        <w:rPr>
          <w:b/>
          <w:sz w:val="26"/>
          <w:szCs w:val="26"/>
          <w:lang w:val="lt-LT"/>
        </w:rPr>
        <w:t>W. R. Kinney,</w:t>
      </w:r>
      <w:r w:rsidR="005C6691" w:rsidRPr="009A3FB3">
        <w:rPr>
          <w:b/>
          <w:sz w:val="26"/>
          <w:szCs w:val="26"/>
          <w:lang w:val="lt-LT"/>
        </w:rPr>
        <w:t xml:space="preserve"> S. J. </w:t>
      </w:r>
      <w:r w:rsidR="005734B0" w:rsidRPr="009A3FB3">
        <w:rPr>
          <w:b/>
          <w:sz w:val="26"/>
          <w:szCs w:val="26"/>
          <w:lang w:val="lt-LT"/>
        </w:rPr>
        <w:t>Aldersley</w:t>
      </w:r>
      <w:r w:rsidR="005C6691" w:rsidRPr="009A3FB3">
        <w:rPr>
          <w:b/>
          <w:sz w:val="26"/>
          <w:szCs w:val="26"/>
          <w:lang w:val="lt-LT"/>
        </w:rPr>
        <w:t xml:space="preserve">, J. T. Sennetti </w:t>
      </w:r>
      <w:r w:rsidR="007C17CA" w:rsidRPr="009A3FB3">
        <w:rPr>
          <w:b/>
          <w:sz w:val="26"/>
          <w:szCs w:val="26"/>
          <w:lang w:val="lt-LT"/>
        </w:rPr>
        <w:t xml:space="preserve">audito rizikos </w:t>
      </w:r>
      <w:r w:rsidRPr="009A3FB3">
        <w:rPr>
          <w:b/>
          <w:sz w:val="26"/>
          <w:szCs w:val="26"/>
          <w:lang w:val="lt-LT"/>
        </w:rPr>
        <w:t>modeli</w:t>
      </w:r>
      <w:r w:rsidR="005734B0" w:rsidRPr="009A3FB3">
        <w:rPr>
          <w:b/>
          <w:sz w:val="26"/>
          <w:szCs w:val="26"/>
          <w:lang w:val="lt-LT"/>
        </w:rPr>
        <w:t>ai</w:t>
      </w:r>
      <w:r w:rsidR="009B3997" w:rsidRPr="009A3FB3">
        <w:rPr>
          <w:b/>
          <w:sz w:val="26"/>
          <w:szCs w:val="26"/>
          <w:lang w:val="lt-LT"/>
        </w:rPr>
        <w:t xml:space="preserve">. </w:t>
      </w:r>
      <w:r w:rsidR="007453D8" w:rsidRPr="009A3FB3">
        <w:rPr>
          <w:sz w:val="26"/>
          <w:szCs w:val="26"/>
          <w:lang w:val="lt-LT"/>
        </w:rPr>
        <w:t>Mokslinėje l</w:t>
      </w:r>
      <w:r w:rsidR="00144FDF" w:rsidRPr="009A3FB3">
        <w:rPr>
          <w:sz w:val="26"/>
          <w:szCs w:val="26"/>
          <w:lang w:val="lt-LT"/>
        </w:rPr>
        <w:t xml:space="preserve">iteratūroje nurodoma, kad </w:t>
      </w:r>
      <w:r w:rsidR="00C120E9" w:rsidRPr="009A3FB3">
        <w:rPr>
          <w:sz w:val="26"/>
          <w:szCs w:val="26"/>
          <w:lang w:val="lt-LT"/>
        </w:rPr>
        <w:t>W. R. Kinney (1989), S.</w:t>
      </w:r>
      <w:r w:rsidR="00351D74">
        <w:rPr>
          <w:sz w:val="26"/>
          <w:szCs w:val="26"/>
          <w:lang w:val="lt-LT"/>
        </w:rPr>
        <w:t> </w:t>
      </w:r>
      <w:r w:rsidR="00C120E9" w:rsidRPr="009A3FB3">
        <w:rPr>
          <w:sz w:val="26"/>
          <w:szCs w:val="26"/>
          <w:lang w:val="lt-LT"/>
        </w:rPr>
        <w:t>J.</w:t>
      </w:r>
      <w:r w:rsidR="00351D74">
        <w:rPr>
          <w:sz w:val="26"/>
          <w:szCs w:val="26"/>
          <w:lang w:val="lt-LT"/>
        </w:rPr>
        <w:t> </w:t>
      </w:r>
      <w:r w:rsidR="00C120E9" w:rsidRPr="009A3FB3">
        <w:rPr>
          <w:sz w:val="26"/>
          <w:szCs w:val="26"/>
          <w:lang w:val="lt-LT"/>
        </w:rPr>
        <w:t>Aldersley</w:t>
      </w:r>
      <w:r w:rsidR="002C24E1">
        <w:rPr>
          <w:sz w:val="26"/>
          <w:szCs w:val="26"/>
          <w:lang w:val="lt-LT"/>
        </w:rPr>
        <w:t> </w:t>
      </w:r>
      <w:r w:rsidR="00306BEA" w:rsidRPr="009A3FB3">
        <w:rPr>
          <w:sz w:val="26"/>
          <w:szCs w:val="26"/>
          <w:lang w:val="lt-LT"/>
        </w:rPr>
        <w:t>(1989)</w:t>
      </w:r>
      <w:r w:rsidR="00C120E9" w:rsidRPr="009A3FB3">
        <w:rPr>
          <w:sz w:val="26"/>
          <w:szCs w:val="26"/>
          <w:lang w:val="lt-LT"/>
        </w:rPr>
        <w:t xml:space="preserve"> audito rizikos modeliai </w:t>
      </w:r>
      <w:r w:rsidR="00DA0CC4" w:rsidRPr="009A3FB3">
        <w:rPr>
          <w:sz w:val="26"/>
          <w:szCs w:val="26"/>
          <w:lang w:val="lt-LT"/>
        </w:rPr>
        <w:t>remiasi Bajeso sprendimo priėmimo taisykle</w:t>
      </w:r>
      <w:r w:rsidR="00342A04" w:rsidRPr="009A3FB3">
        <w:rPr>
          <w:sz w:val="26"/>
          <w:szCs w:val="26"/>
          <w:lang w:val="lt-LT"/>
        </w:rPr>
        <w:t>,</w:t>
      </w:r>
      <w:r w:rsidR="00144FDF" w:rsidRPr="009A3FB3">
        <w:rPr>
          <w:sz w:val="26"/>
          <w:szCs w:val="26"/>
          <w:lang w:val="lt-LT"/>
        </w:rPr>
        <w:t xml:space="preserve"> t</w:t>
      </w:r>
      <w:r w:rsidR="00AF7BEA" w:rsidRPr="009A3FB3">
        <w:rPr>
          <w:sz w:val="26"/>
          <w:szCs w:val="26"/>
          <w:lang w:val="lt-LT"/>
        </w:rPr>
        <w:t xml:space="preserve">odėl </w:t>
      </w:r>
      <w:r w:rsidR="00144FDF" w:rsidRPr="009A3FB3">
        <w:rPr>
          <w:sz w:val="26"/>
          <w:szCs w:val="26"/>
          <w:lang w:val="lt-LT"/>
        </w:rPr>
        <w:t xml:space="preserve">verta </w:t>
      </w:r>
      <w:r w:rsidR="00AF7BEA" w:rsidRPr="009A3FB3">
        <w:rPr>
          <w:sz w:val="26"/>
          <w:szCs w:val="26"/>
          <w:lang w:val="lt-LT"/>
        </w:rPr>
        <w:t>juos aptar</w:t>
      </w:r>
      <w:r w:rsidR="00144FDF" w:rsidRPr="009A3FB3">
        <w:rPr>
          <w:sz w:val="26"/>
          <w:szCs w:val="26"/>
          <w:lang w:val="lt-LT"/>
        </w:rPr>
        <w:t xml:space="preserve">ti </w:t>
      </w:r>
      <w:r w:rsidR="00AF7BEA" w:rsidRPr="009A3FB3">
        <w:rPr>
          <w:sz w:val="26"/>
          <w:szCs w:val="26"/>
          <w:lang w:val="lt-LT"/>
        </w:rPr>
        <w:t>išsamiau.</w:t>
      </w:r>
    </w:p>
    <w:p w:rsidR="00F75AB6" w:rsidRPr="009A3FB3" w:rsidRDefault="00F75AB6" w:rsidP="005676A1">
      <w:pPr>
        <w:tabs>
          <w:tab w:val="left" w:pos="567"/>
        </w:tabs>
        <w:spacing w:line="360" w:lineRule="auto"/>
        <w:ind w:firstLine="709"/>
        <w:jc w:val="both"/>
        <w:rPr>
          <w:sz w:val="26"/>
          <w:szCs w:val="26"/>
          <w:lang w:val="lt-LT"/>
        </w:rPr>
      </w:pPr>
      <w:r w:rsidRPr="009A3FB3">
        <w:rPr>
          <w:sz w:val="26"/>
          <w:szCs w:val="26"/>
          <w:lang w:val="lt-LT"/>
        </w:rPr>
        <w:t xml:space="preserve">W. R. </w:t>
      </w:r>
      <w:r w:rsidR="00342A04" w:rsidRPr="009A3FB3">
        <w:rPr>
          <w:sz w:val="26"/>
          <w:szCs w:val="26"/>
          <w:lang w:val="lt-LT"/>
        </w:rPr>
        <w:t xml:space="preserve">Kinney (1989) audito rizikos modelio </w:t>
      </w:r>
      <w:r w:rsidRPr="009A3FB3">
        <w:rPr>
          <w:sz w:val="26"/>
          <w:szCs w:val="26"/>
          <w:lang w:val="lt-LT"/>
        </w:rPr>
        <w:t>algoritmas („</w:t>
      </w:r>
      <w:r w:rsidR="00993504" w:rsidRPr="009A3FB3">
        <w:rPr>
          <w:sz w:val="26"/>
          <w:szCs w:val="26"/>
          <w:lang w:val="lt-LT"/>
        </w:rPr>
        <w:t xml:space="preserve">audito rizikos </w:t>
      </w:r>
      <w:r w:rsidRPr="009A3FB3">
        <w:rPr>
          <w:sz w:val="26"/>
          <w:szCs w:val="26"/>
          <w:lang w:val="lt-LT"/>
        </w:rPr>
        <w:t>med</w:t>
      </w:r>
      <w:r w:rsidR="00AD12BD" w:rsidRPr="009A3FB3">
        <w:rPr>
          <w:sz w:val="26"/>
          <w:szCs w:val="26"/>
          <w:lang w:val="lt-LT"/>
        </w:rPr>
        <w:t>is</w:t>
      </w:r>
      <w:r w:rsidRPr="009A3FB3">
        <w:rPr>
          <w:sz w:val="26"/>
          <w:szCs w:val="26"/>
          <w:lang w:val="lt-LT"/>
        </w:rPr>
        <w:t>“)</w:t>
      </w:r>
      <w:r w:rsidR="00342A04" w:rsidRPr="009A3FB3">
        <w:rPr>
          <w:sz w:val="26"/>
          <w:szCs w:val="26"/>
          <w:lang w:val="lt-LT"/>
        </w:rPr>
        <w:t xml:space="preserve"> pate</w:t>
      </w:r>
      <w:r w:rsidR="00342A04" w:rsidRPr="00FF6135">
        <w:rPr>
          <w:sz w:val="26"/>
          <w:szCs w:val="26"/>
          <w:lang w:val="lt-LT"/>
        </w:rPr>
        <w:t>ik</w:t>
      </w:r>
      <w:r w:rsidR="00E336FE" w:rsidRPr="00FF6135">
        <w:rPr>
          <w:sz w:val="26"/>
          <w:szCs w:val="26"/>
          <w:lang w:val="lt-LT"/>
        </w:rPr>
        <w:t>tas</w:t>
      </w:r>
      <w:r w:rsidR="00342A04" w:rsidRPr="00FF6135">
        <w:rPr>
          <w:sz w:val="26"/>
          <w:szCs w:val="26"/>
          <w:lang w:val="lt-LT"/>
        </w:rPr>
        <w:t xml:space="preserve"> </w:t>
      </w:r>
      <w:r w:rsidR="009A700C" w:rsidRPr="00FF6135">
        <w:rPr>
          <w:sz w:val="26"/>
          <w:szCs w:val="26"/>
          <w:lang w:val="lt-LT"/>
        </w:rPr>
        <w:t>6</w:t>
      </w:r>
      <w:r w:rsidR="00342A04" w:rsidRPr="00FF6135">
        <w:rPr>
          <w:sz w:val="26"/>
          <w:szCs w:val="26"/>
          <w:lang w:val="lt-LT"/>
        </w:rPr>
        <w:t xml:space="preserve"> pried</w:t>
      </w:r>
      <w:r w:rsidR="000B31F5">
        <w:rPr>
          <w:sz w:val="26"/>
          <w:szCs w:val="26"/>
          <w:lang w:val="lt-LT"/>
        </w:rPr>
        <w:t>e</w:t>
      </w:r>
      <w:r w:rsidR="00AB0F83" w:rsidRPr="009A3FB3">
        <w:rPr>
          <w:sz w:val="26"/>
          <w:szCs w:val="26"/>
          <w:lang w:val="lt-LT"/>
        </w:rPr>
        <w:t>.</w:t>
      </w:r>
      <w:r w:rsidR="00342A04" w:rsidRPr="009A3FB3">
        <w:rPr>
          <w:sz w:val="26"/>
          <w:szCs w:val="26"/>
          <w:lang w:val="lt-LT"/>
        </w:rPr>
        <w:t xml:space="preserve"> Audito rizikos vertinimas pagal </w:t>
      </w:r>
      <w:r w:rsidRPr="009A3FB3">
        <w:rPr>
          <w:sz w:val="26"/>
          <w:szCs w:val="26"/>
          <w:lang w:val="lt-LT"/>
        </w:rPr>
        <w:t>W.</w:t>
      </w:r>
      <w:r w:rsidR="00351D74">
        <w:rPr>
          <w:sz w:val="26"/>
          <w:szCs w:val="26"/>
          <w:lang w:val="lt-LT"/>
        </w:rPr>
        <w:t> </w:t>
      </w:r>
      <w:r w:rsidRPr="009A3FB3">
        <w:rPr>
          <w:sz w:val="26"/>
          <w:szCs w:val="26"/>
          <w:lang w:val="lt-LT"/>
        </w:rPr>
        <w:t>R.</w:t>
      </w:r>
      <w:r w:rsidR="00351D74">
        <w:rPr>
          <w:sz w:val="26"/>
          <w:szCs w:val="26"/>
          <w:lang w:val="lt-LT"/>
        </w:rPr>
        <w:t> </w:t>
      </w:r>
      <w:r w:rsidR="00342A04" w:rsidRPr="009A3FB3">
        <w:rPr>
          <w:sz w:val="26"/>
          <w:szCs w:val="26"/>
          <w:lang w:val="lt-LT"/>
        </w:rPr>
        <w:t xml:space="preserve">Kinney (1989) </w:t>
      </w:r>
      <w:r w:rsidR="00F9359C" w:rsidRPr="009A3FB3">
        <w:rPr>
          <w:sz w:val="26"/>
          <w:szCs w:val="26"/>
          <w:lang w:val="lt-LT"/>
        </w:rPr>
        <w:t xml:space="preserve">audito rizikos modelį </w:t>
      </w:r>
      <w:r w:rsidR="00342A04" w:rsidRPr="009A3FB3">
        <w:rPr>
          <w:sz w:val="26"/>
          <w:szCs w:val="26"/>
          <w:lang w:val="lt-LT"/>
        </w:rPr>
        <w:t xml:space="preserve">turėtų būti suprantamas taip: įvertinęs </w:t>
      </w:r>
      <w:r w:rsidR="00727E67" w:rsidRPr="009A3FB3">
        <w:rPr>
          <w:sz w:val="26"/>
          <w:szCs w:val="26"/>
          <w:lang w:val="lt-LT"/>
        </w:rPr>
        <w:t xml:space="preserve">įgimtą </w:t>
      </w:r>
      <w:r w:rsidR="00342A04" w:rsidRPr="009A3FB3">
        <w:rPr>
          <w:sz w:val="26"/>
          <w:szCs w:val="26"/>
          <w:lang w:val="lt-LT"/>
        </w:rPr>
        <w:t xml:space="preserve">riziką (IR), auditorius </w:t>
      </w:r>
      <w:r w:rsidR="00993504" w:rsidRPr="009A3FB3">
        <w:rPr>
          <w:sz w:val="26"/>
          <w:szCs w:val="26"/>
          <w:lang w:val="lt-LT"/>
        </w:rPr>
        <w:t xml:space="preserve">turi </w:t>
      </w:r>
      <w:r w:rsidR="00342A04" w:rsidRPr="009A3FB3">
        <w:rPr>
          <w:sz w:val="26"/>
          <w:szCs w:val="26"/>
          <w:lang w:val="lt-LT"/>
        </w:rPr>
        <w:t>įgy</w:t>
      </w:r>
      <w:r w:rsidR="00993504" w:rsidRPr="009A3FB3">
        <w:rPr>
          <w:sz w:val="26"/>
          <w:szCs w:val="26"/>
          <w:lang w:val="lt-LT"/>
        </w:rPr>
        <w:t>ti</w:t>
      </w:r>
      <w:r w:rsidR="00342A04" w:rsidRPr="009A3FB3">
        <w:rPr>
          <w:sz w:val="26"/>
          <w:szCs w:val="26"/>
          <w:lang w:val="lt-LT"/>
        </w:rPr>
        <w:t xml:space="preserve"> supratimą apie įmonės vidaus kontrolę</w:t>
      </w:r>
      <w:r w:rsidR="00993504" w:rsidRPr="009A3FB3">
        <w:rPr>
          <w:sz w:val="26"/>
          <w:szCs w:val="26"/>
          <w:lang w:val="lt-LT"/>
        </w:rPr>
        <w:t xml:space="preserve"> ir </w:t>
      </w:r>
      <w:r w:rsidR="00342A04" w:rsidRPr="009A3FB3">
        <w:rPr>
          <w:sz w:val="26"/>
          <w:szCs w:val="26"/>
          <w:lang w:val="lt-LT"/>
        </w:rPr>
        <w:t>teisingai išmatuoti kontrolės riziką</w:t>
      </w:r>
      <w:r w:rsidR="00993504" w:rsidRPr="009A3FB3">
        <w:rPr>
          <w:sz w:val="26"/>
          <w:szCs w:val="26"/>
          <w:lang w:val="lt-LT"/>
        </w:rPr>
        <w:t xml:space="preserve">. Tačiau </w:t>
      </w:r>
      <w:r w:rsidR="00342A04" w:rsidRPr="009A3FB3">
        <w:rPr>
          <w:sz w:val="26"/>
          <w:szCs w:val="26"/>
          <w:lang w:val="lt-LT"/>
        </w:rPr>
        <w:t xml:space="preserve">šiam išmatavimui </w:t>
      </w:r>
      <w:r w:rsidR="00AD12BD" w:rsidRPr="009A3FB3">
        <w:rPr>
          <w:sz w:val="26"/>
          <w:szCs w:val="26"/>
          <w:lang w:val="lt-LT"/>
        </w:rPr>
        <w:t xml:space="preserve">yra </w:t>
      </w:r>
      <w:r w:rsidR="00342A04" w:rsidRPr="009A3FB3">
        <w:rPr>
          <w:sz w:val="26"/>
          <w:szCs w:val="26"/>
          <w:lang w:val="lt-LT"/>
        </w:rPr>
        <w:t>būdinga rizika, kad auditorius nesugebės tinkamai įvertinti kontrolės rizikos jos maksimaliu dydžiu (IC</w:t>
      </w:r>
      <w:r w:rsidR="00342A04" w:rsidRPr="009A3FB3">
        <w:rPr>
          <w:sz w:val="26"/>
          <w:szCs w:val="26"/>
          <w:vertAlign w:val="subscript"/>
          <w:lang w:val="lt-LT"/>
        </w:rPr>
        <w:t>1</w:t>
      </w:r>
      <w:r w:rsidR="00342A04" w:rsidRPr="009A3FB3">
        <w:rPr>
          <w:sz w:val="26"/>
          <w:szCs w:val="26"/>
          <w:lang w:val="lt-LT"/>
        </w:rPr>
        <w:t xml:space="preserve">). To pasekmė </w:t>
      </w:r>
      <w:r w:rsidR="004D4613" w:rsidRPr="009A3FB3">
        <w:rPr>
          <w:sz w:val="26"/>
          <w:szCs w:val="26"/>
          <w:lang w:val="lt-LT"/>
        </w:rPr>
        <w:t xml:space="preserve">– </w:t>
      </w:r>
      <w:r w:rsidR="00342A04" w:rsidRPr="009A3FB3">
        <w:rPr>
          <w:sz w:val="26"/>
          <w:szCs w:val="26"/>
          <w:lang w:val="lt-LT"/>
        </w:rPr>
        <w:t>analitinių procedūrų atlikimas mažesne ar atitinkamai didesne apimtimi</w:t>
      </w:r>
      <w:r w:rsidR="004D4613" w:rsidRPr="009A3FB3">
        <w:rPr>
          <w:sz w:val="26"/>
          <w:szCs w:val="26"/>
          <w:lang w:val="lt-LT"/>
        </w:rPr>
        <w:t>. Be to, pasireiškia a</w:t>
      </w:r>
      <w:r w:rsidR="00342A04" w:rsidRPr="009A3FB3">
        <w:rPr>
          <w:sz w:val="26"/>
          <w:szCs w:val="26"/>
          <w:lang w:val="lt-LT"/>
        </w:rPr>
        <w:t>nalitinių procedūrų rizika (R</w:t>
      </w:r>
      <w:r w:rsidR="00342A04" w:rsidRPr="009A3FB3">
        <w:rPr>
          <w:sz w:val="26"/>
          <w:szCs w:val="26"/>
          <w:vertAlign w:val="subscript"/>
          <w:lang w:val="lt-LT"/>
        </w:rPr>
        <w:t>11</w:t>
      </w:r>
      <w:r w:rsidR="00342A04" w:rsidRPr="009A3FB3">
        <w:rPr>
          <w:sz w:val="26"/>
          <w:szCs w:val="26"/>
          <w:lang w:val="lt-LT"/>
        </w:rPr>
        <w:t xml:space="preserve">), kad šios procedūros neteisingai suteiks įrodymus apie reikšmingo iškraipymo nebuvimą, kai iš tikrųjų jis yra. Atsižvelgdamas į tai, auditorius pritaikys mažiau detalių testų, nes nei vidaus kontrolės </w:t>
      </w:r>
      <w:r w:rsidR="00CB3CC7" w:rsidRPr="009A3FB3">
        <w:rPr>
          <w:sz w:val="26"/>
          <w:szCs w:val="26"/>
          <w:lang w:val="lt-LT"/>
        </w:rPr>
        <w:t xml:space="preserve">struktūros </w:t>
      </w:r>
      <w:r w:rsidR="00342A04" w:rsidRPr="009A3FB3">
        <w:rPr>
          <w:sz w:val="26"/>
          <w:szCs w:val="26"/>
          <w:lang w:val="lt-LT"/>
        </w:rPr>
        <w:lastRenderedPageBreak/>
        <w:t>supratimas</w:t>
      </w:r>
      <w:r w:rsidR="00FF6135">
        <w:rPr>
          <w:sz w:val="26"/>
          <w:szCs w:val="26"/>
          <w:lang w:val="lt-LT"/>
        </w:rPr>
        <w:t xml:space="preserve"> bei </w:t>
      </w:r>
      <w:r w:rsidR="00342A04" w:rsidRPr="009A3FB3">
        <w:rPr>
          <w:sz w:val="26"/>
          <w:szCs w:val="26"/>
          <w:lang w:val="lt-LT"/>
        </w:rPr>
        <w:t>jos testavimas</w:t>
      </w:r>
      <w:r w:rsidR="00FF6135">
        <w:rPr>
          <w:sz w:val="26"/>
          <w:szCs w:val="26"/>
          <w:lang w:val="lt-LT"/>
        </w:rPr>
        <w:t>, nei analitinės procedūros</w:t>
      </w:r>
      <w:r w:rsidR="00342A04" w:rsidRPr="009A3FB3">
        <w:rPr>
          <w:sz w:val="26"/>
          <w:szCs w:val="26"/>
          <w:lang w:val="lt-LT"/>
        </w:rPr>
        <w:t xml:space="preserve"> neparodė, kad reikšmingas iškraipymas egzistuoja. To</w:t>
      </w:r>
      <w:r w:rsidR="00A560E3">
        <w:rPr>
          <w:sz w:val="26"/>
          <w:szCs w:val="26"/>
          <w:lang w:val="lt-LT"/>
        </w:rPr>
        <w:t>dėl</w:t>
      </w:r>
      <w:r w:rsidR="00342A04" w:rsidRPr="009A3FB3">
        <w:rPr>
          <w:sz w:val="26"/>
          <w:szCs w:val="26"/>
          <w:lang w:val="lt-LT"/>
        </w:rPr>
        <w:t xml:space="preserve"> pasireiškia rizika, kad reikšmingas iškraipymas nebus rastas atlikus detalius testus (TD</w:t>
      </w:r>
      <w:r w:rsidR="00342A04" w:rsidRPr="009A3FB3">
        <w:rPr>
          <w:sz w:val="26"/>
          <w:szCs w:val="26"/>
          <w:vertAlign w:val="subscript"/>
          <w:lang w:val="lt-LT"/>
        </w:rPr>
        <w:t>111</w:t>
      </w:r>
      <w:r w:rsidR="00342A04" w:rsidRPr="009A3FB3">
        <w:rPr>
          <w:sz w:val="26"/>
          <w:szCs w:val="26"/>
          <w:lang w:val="lt-LT"/>
        </w:rPr>
        <w:t>)</w:t>
      </w:r>
      <w:r w:rsidR="00FF6135">
        <w:rPr>
          <w:sz w:val="26"/>
          <w:szCs w:val="26"/>
          <w:lang w:val="lt-LT"/>
        </w:rPr>
        <w:t>. G</w:t>
      </w:r>
      <w:r w:rsidR="00342A04" w:rsidRPr="009A3FB3">
        <w:rPr>
          <w:sz w:val="26"/>
          <w:szCs w:val="26"/>
          <w:lang w:val="lt-LT"/>
        </w:rPr>
        <w:t>aliausiai tai lems neteisingo priėmimo sprendimą (IA</w:t>
      </w:r>
      <w:r w:rsidR="00342A04" w:rsidRPr="009A3FB3">
        <w:rPr>
          <w:sz w:val="26"/>
          <w:szCs w:val="26"/>
          <w:vertAlign w:val="subscript"/>
          <w:lang w:val="lt-LT"/>
        </w:rPr>
        <w:t>1</w:t>
      </w:r>
      <w:r w:rsidR="00342A04" w:rsidRPr="009A3FB3">
        <w:rPr>
          <w:sz w:val="26"/>
          <w:szCs w:val="26"/>
          <w:lang w:val="lt-LT"/>
        </w:rPr>
        <w:t xml:space="preserve">). </w:t>
      </w:r>
      <w:r w:rsidR="00E140B0" w:rsidRPr="009A3FB3">
        <w:rPr>
          <w:sz w:val="26"/>
          <w:szCs w:val="26"/>
          <w:lang w:val="lt-LT"/>
        </w:rPr>
        <w:t xml:space="preserve">Kiti </w:t>
      </w:r>
      <w:r w:rsidRPr="009A3FB3">
        <w:rPr>
          <w:sz w:val="26"/>
          <w:szCs w:val="26"/>
          <w:lang w:val="lt-LT"/>
        </w:rPr>
        <w:t>modelyje</w:t>
      </w:r>
      <w:r w:rsidR="00E140B0" w:rsidRPr="009A3FB3">
        <w:rPr>
          <w:sz w:val="26"/>
          <w:szCs w:val="26"/>
          <w:lang w:val="lt-LT"/>
        </w:rPr>
        <w:t xml:space="preserve"> pate</w:t>
      </w:r>
      <w:r w:rsidR="00A4788B" w:rsidRPr="009A3FB3">
        <w:rPr>
          <w:sz w:val="26"/>
          <w:szCs w:val="26"/>
          <w:lang w:val="lt-LT"/>
        </w:rPr>
        <w:t>i</w:t>
      </w:r>
      <w:r w:rsidR="00E140B0" w:rsidRPr="009A3FB3">
        <w:rPr>
          <w:sz w:val="26"/>
          <w:szCs w:val="26"/>
          <w:lang w:val="lt-LT"/>
        </w:rPr>
        <w:t xml:space="preserve">kti atvejai gali būti aiškinami panašiai. </w:t>
      </w:r>
    </w:p>
    <w:p w:rsidR="00342A04" w:rsidRPr="009A3FB3" w:rsidRDefault="00AD12BD" w:rsidP="005676A1">
      <w:pPr>
        <w:tabs>
          <w:tab w:val="left" w:pos="567"/>
        </w:tabs>
        <w:spacing w:line="360" w:lineRule="auto"/>
        <w:ind w:firstLine="709"/>
        <w:jc w:val="both"/>
        <w:rPr>
          <w:sz w:val="26"/>
          <w:szCs w:val="26"/>
          <w:lang w:val="lt-LT"/>
        </w:rPr>
      </w:pPr>
      <w:r w:rsidRPr="009A3FB3">
        <w:rPr>
          <w:sz w:val="26"/>
          <w:szCs w:val="26"/>
          <w:lang w:val="lt-LT"/>
        </w:rPr>
        <w:t>J. T. Sennetti (1990), atsižvelgdamas į W. R. Kinney (1989) audito rizikos modelio algoritmą, pateikia savo audito rizikos modelio matematinę išraišką</w:t>
      </w:r>
      <w:r w:rsidR="00342A04" w:rsidRPr="009A3FB3">
        <w:rPr>
          <w:sz w:val="26"/>
          <w:szCs w:val="26"/>
          <w:lang w:val="lt-LT"/>
        </w:rPr>
        <w:t>:</w:t>
      </w:r>
    </w:p>
    <w:p w:rsidR="000000CE" w:rsidRPr="009A3FB3" w:rsidRDefault="00166819" w:rsidP="000000CE">
      <w:pPr>
        <w:tabs>
          <w:tab w:val="left" w:pos="567"/>
        </w:tabs>
        <w:spacing w:line="360" w:lineRule="auto"/>
        <w:jc w:val="center"/>
        <w:rPr>
          <w:sz w:val="26"/>
          <w:szCs w:val="26"/>
          <w:lang w:val="lt-LT"/>
        </w:rPr>
      </w:pPr>
      <m:oMathPara>
        <m:oMath>
          <m:sSub>
            <m:sSubPr>
              <m:ctrlPr>
                <w:rPr>
                  <w:rFonts w:ascii="Cambria Math" w:hAnsi="Cambria Math"/>
                  <w:i/>
                  <w:sz w:val="26"/>
                  <w:szCs w:val="26"/>
                  <w:lang w:val="lt-LT"/>
                </w:rPr>
              </m:ctrlPr>
            </m:sSubPr>
            <m:e>
              <m:r>
                <w:rPr>
                  <w:rFonts w:ascii="Cambria Math" w:hAnsi="Cambria Math"/>
                  <w:sz w:val="26"/>
                  <w:szCs w:val="26"/>
                  <w:lang w:val="lt-LT"/>
                </w:rPr>
                <m:t>AR</m:t>
              </m:r>
            </m:e>
            <m:sub>
              <m:r>
                <w:rPr>
                  <w:rFonts w:ascii="Cambria Math"/>
                  <w:sz w:val="26"/>
                  <w:szCs w:val="26"/>
                  <w:lang w:val="lt-LT"/>
                </w:rPr>
                <m:t>1</m:t>
              </m:r>
            </m:sub>
          </m:sSub>
          <m:r>
            <w:rPr>
              <w:rFonts w:ascii="Cambria Math"/>
              <w:sz w:val="26"/>
              <w:szCs w:val="26"/>
              <w:lang w:val="lt-LT"/>
            </w:rPr>
            <m:t>=</m:t>
          </m:r>
          <m:f>
            <m:fPr>
              <m:ctrlPr>
                <w:rPr>
                  <w:rFonts w:ascii="Cambria Math" w:hAnsi="Cambria Math"/>
                  <w:i/>
                  <w:sz w:val="26"/>
                  <w:szCs w:val="26"/>
                  <w:lang w:val="lt-LT"/>
                </w:rPr>
              </m:ctrlPr>
            </m:fPr>
            <m:num>
              <m:r>
                <w:rPr>
                  <w:rFonts w:ascii="Cambria Math"/>
                  <w:sz w:val="26"/>
                  <w:szCs w:val="26"/>
                  <w:lang w:val="lt-LT"/>
                </w:rPr>
                <m:t xml:space="preserve">(IR </m:t>
              </m:r>
              <m:r>
                <w:rPr>
                  <w:rFonts w:ascii="Cambria Math" w:hAnsi="Cambria Math"/>
                  <w:sz w:val="26"/>
                  <w:szCs w:val="26"/>
                  <w:lang w:val="lt-LT"/>
                </w:rPr>
                <m:t>×</m:t>
              </m:r>
              <m:sSub>
                <m:sSubPr>
                  <m:ctrlPr>
                    <w:rPr>
                      <w:rFonts w:ascii="Cambria Math" w:hAnsi="Cambria Math"/>
                      <w:i/>
                      <w:sz w:val="26"/>
                      <w:szCs w:val="26"/>
                      <w:lang w:val="lt-LT"/>
                    </w:rPr>
                  </m:ctrlPr>
                </m:sSubPr>
                <m:e>
                  <m:r>
                    <w:rPr>
                      <w:rFonts w:ascii="Cambria Math"/>
                      <w:sz w:val="26"/>
                      <w:szCs w:val="26"/>
                      <w:lang w:val="lt-LT"/>
                    </w:rPr>
                    <m:t>IC</m:t>
                  </m:r>
                </m:e>
                <m:sub>
                  <m:r>
                    <w:rPr>
                      <w:rFonts w:ascii="Cambria Math"/>
                      <w:sz w:val="26"/>
                      <w:szCs w:val="26"/>
                      <w:lang w:val="lt-LT"/>
                    </w:rPr>
                    <m:t>1</m:t>
                  </m:r>
                </m:sub>
              </m:sSub>
              <m:r>
                <w:rPr>
                  <w:rFonts w:ascii="Cambria Math" w:hAnsi="Cambria Math"/>
                  <w:sz w:val="26"/>
                  <w:szCs w:val="26"/>
                  <w:lang w:val="lt-LT"/>
                </w:rPr>
                <m:t>×</m:t>
              </m:r>
              <m:sSub>
                <m:sSubPr>
                  <m:ctrlPr>
                    <w:rPr>
                      <w:rFonts w:ascii="Cambria Math" w:hAnsi="Cambria Math"/>
                      <w:i/>
                      <w:sz w:val="26"/>
                      <w:szCs w:val="26"/>
                      <w:lang w:val="lt-LT"/>
                    </w:rPr>
                  </m:ctrlPr>
                </m:sSubPr>
                <m:e>
                  <m:r>
                    <w:rPr>
                      <w:rFonts w:ascii="Cambria Math"/>
                      <w:sz w:val="26"/>
                      <w:szCs w:val="26"/>
                      <w:lang w:val="lt-LT"/>
                    </w:rPr>
                    <m:t>R</m:t>
                  </m:r>
                </m:e>
                <m:sub>
                  <m:r>
                    <w:rPr>
                      <w:rFonts w:ascii="Cambria Math"/>
                      <w:sz w:val="26"/>
                      <w:szCs w:val="26"/>
                      <w:lang w:val="lt-LT"/>
                    </w:rPr>
                    <m:t>11</m:t>
                  </m:r>
                </m:sub>
              </m:sSub>
              <m:r>
                <w:rPr>
                  <w:rFonts w:ascii="Cambria Math" w:hAnsi="Cambria Math"/>
                  <w:sz w:val="26"/>
                  <w:szCs w:val="26"/>
                  <w:lang w:val="lt-LT"/>
                </w:rPr>
                <m:t>×</m:t>
              </m:r>
              <m:sSub>
                <m:sSubPr>
                  <m:ctrlPr>
                    <w:rPr>
                      <w:rFonts w:ascii="Cambria Math" w:hAnsi="Cambria Math"/>
                      <w:i/>
                      <w:sz w:val="26"/>
                      <w:szCs w:val="26"/>
                      <w:lang w:val="lt-LT"/>
                    </w:rPr>
                  </m:ctrlPr>
                </m:sSubPr>
                <m:e>
                  <m:r>
                    <w:rPr>
                      <w:rFonts w:ascii="Cambria Math"/>
                      <w:sz w:val="26"/>
                      <w:szCs w:val="26"/>
                      <w:lang w:val="lt-LT"/>
                    </w:rPr>
                    <m:t>TD</m:t>
                  </m:r>
                </m:e>
                <m:sub>
                  <m:r>
                    <w:rPr>
                      <w:rFonts w:ascii="Cambria Math"/>
                      <w:sz w:val="26"/>
                      <w:szCs w:val="26"/>
                      <w:lang w:val="lt-LT"/>
                    </w:rPr>
                    <m:t>111</m:t>
                  </m:r>
                </m:sub>
              </m:sSub>
              <m:r>
                <w:rPr>
                  <w:rFonts w:ascii="Cambria Math"/>
                  <w:sz w:val="26"/>
                  <w:szCs w:val="26"/>
                  <w:lang w:val="lt-LT"/>
                </w:rPr>
                <m:t>)</m:t>
              </m:r>
            </m:num>
            <m:den>
              <m:d>
                <m:dPr>
                  <m:ctrlPr>
                    <w:rPr>
                      <w:rFonts w:ascii="Cambria Math" w:hAnsi="Cambria Math"/>
                      <w:i/>
                      <w:sz w:val="26"/>
                      <w:szCs w:val="26"/>
                      <w:lang w:val="lt-LT"/>
                    </w:rPr>
                  </m:ctrlPr>
                </m:dPr>
                <m:e>
                  <m:r>
                    <w:rPr>
                      <w:rFonts w:ascii="Cambria Math"/>
                      <w:sz w:val="26"/>
                      <w:szCs w:val="26"/>
                      <w:lang w:val="lt-LT"/>
                    </w:rPr>
                    <m:t xml:space="preserve">IR </m:t>
                  </m:r>
                  <m:r>
                    <w:rPr>
                      <w:rFonts w:ascii="Cambria Math" w:hAnsi="Cambria Math"/>
                      <w:sz w:val="26"/>
                      <w:szCs w:val="26"/>
                      <w:lang w:val="lt-LT"/>
                    </w:rPr>
                    <m:t>×</m:t>
                  </m:r>
                  <m:sSub>
                    <m:sSubPr>
                      <m:ctrlPr>
                        <w:rPr>
                          <w:rFonts w:ascii="Cambria Math" w:hAnsi="Cambria Math"/>
                          <w:i/>
                          <w:sz w:val="26"/>
                          <w:szCs w:val="26"/>
                          <w:lang w:val="lt-LT"/>
                        </w:rPr>
                      </m:ctrlPr>
                    </m:sSubPr>
                    <m:e>
                      <m:r>
                        <w:rPr>
                          <w:rFonts w:ascii="Cambria Math"/>
                          <w:sz w:val="26"/>
                          <w:szCs w:val="26"/>
                          <w:lang w:val="lt-LT"/>
                        </w:rPr>
                        <m:t>IC</m:t>
                      </m:r>
                    </m:e>
                    <m:sub>
                      <m:r>
                        <w:rPr>
                          <w:rFonts w:ascii="Cambria Math"/>
                          <w:sz w:val="26"/>
                          <w:szCs w:val="26"/>
                          <w:lang w:val="lt-LT"/>
                        </w:rPr>
                        <m:t>1</m:t>
                      </m:r>
                    </m:sub>
                  </m:sSub>
                  <m:r>
                    <w:rPr>
                      <w:rFonts w:ascii="Cambria Math" w:hAnsi="Cambria Math"/>
                      <w:sz w:val="26"/>
                      <w:szCs w:val="26"/>
                      <w:lang w:val="lt-LT"/>
                    </w:rPr>
                    <m:t>×</m:t>
                  </m:r>
                  <m:sSub>
                    <m:sSubPr>
                      <m:ctrlPr>
                        <w:rPr>
                          <w:rFonts w:ascii="Cambria Math" w:hAnsi="Cambria Math"/>
                          <w:i/>
                          <w:sz w:val="26"/>
                          <w:szCs w:val="26"/>
                          <w:lang w:val="lt-LT"/>
                        </w:rPr>
                      </m:ctrlPr>
                    </m:sSubPr>
                    <m:e>
                      <m:r>
                        <w:rPr>
                          <w:rFonts w:ascii="Cambria Math"/>
                          <w:sz w:val="26"/>
                          <w:szCs w:val="26"/>
                          <w:lang w:val="lt-LT"/>
                        </w:rPr>
                        <m:t>R</m:t>
                      </m:r>
                    </m:e>
                    <m:sub>
                      <m:r>
                        <w:rPr>
                          <w:rFonts w:ascii="Cambria Math"/>
                          <w:sz w:val="26"/>
                          <w:szCs w:val="26"/>
                          <w:lang w:val="lt-LT"/>
                        </w:rPr>
                        <m:t>11</m:t>
                      </m:r>
                    </m:sub>
                  </m:sSub>
                  <m:r>
                    <w:rPr>
                      <w:rFonts w:ascii="Cambria Math" w:hAnsi="Cambria Math"/>
                      <w:sz w:val="26"/>
                      <w:szCs w:val="26"/>
                      <w:lang w:val="lt-LT"/>
                    </w:rPr>
                    <m:t>×</m:t>
                  </m:r>
                  <m:sSub>
                    <m:sSubPr>
                      <m:ctrlPr>
                        <w:rPr>
                          <w:rFonts w:ascii="Cambria Math" w:hAnsi="Cambria Math"/>
                          <w:i/>
                          <w:sz w:val="26"/>
                          <w:szCs w:val="26"/>
                          <w:lang w:val="lt-LT"/>
                        </w:rPr>
                      </m:ctrlPr>
                    </m:sSubPr>
                    <m:e>
                      <m:r>
                        <w:rPr>
                          <w:rFonts w:ascii="Cambria Math"/>
                          <w:sz w:val="26"/>
                          <w:szCs w:val="26"/>
                          <w:lang w:val="lt-LT"/>
                        </w:rPr>
                        <m:t>TD</m:t>
                      </m:r>
                    </m:e>
                    <m:sub>
                      <m:r>
                        <w:rPr>
                          <w:rFonts w:ascii="Cambria Math"/>
                          <w:sz w:val="26"/>
                          <w:szCs w:val="26"/>
                          <w:lang w:val="lt-LT"/>
                        </w:rPr>
                        <m:t>111</m:t>
                      </m:r>
                    </m:sub>
                  </m:sSub>
                </m:e>
              </m:d>
              <m:r>
                <w:rPr>
                  <w:rFonts w:ascii="Cambria Math"/>
                  <w:sz w:val="26"/>
                  <w:szCs w:val="26"/>
                  <w:lang w:val="lt-LT"/>
                </w:rPr>
                <m:t>+(</m:t>
              </m:r>
              <m:acc>
                <m:accPr>
                  <m:chr m:val="̅"/>
                  <m:ctrlPr>
                    <w:rPr>
                      <w:rFonts w:ascii="Cambria Math" w:hAnsi="Cambria Math"/>
                      <w:i/>
                      <w:sz w:val="26"/>
                      <w:szCs w:val="26"/>
                      <w:lang w:val="lt-LT"/>
                    </w:rPr>
                  </m:ctrlPr>
                </m:accPr>
                <m:e>
                  <m:r>
                    <w:rPr>
                      <w:rFonts w:ascii="Cambria Math"/>
                      <w:sz w:val="26"/>
                      <w:szCs w:val="26"/>
                      <w:lang w:val="lt-LT"/>
                    </w:rPr>
                    <m:t>IR</m:t>
                  </m:r>
                </m:e>
              </m:acc>
              <m:r>
                <w:rPr>
                  <w:rFonts w:ascii="Cambria Math"/>
                  <w:sz w:val="26"/>
                  <w:szCs w:val="26"/>
                  <w:lang w:val="lt-LT"/>
                </w:rPr>
                <m:t xml:space="preserve"> </m:t>
              </m:r>
              <m:r>
                <w:rPr>
                  <w:rFonts w:ascii="Cambria Math" w:hAnsi="Cambria Math"/>
                  <w:sz w:val="26"/>
                  <w:szCs w:val="26"/>
                  <w:lang w:val="lt-LT"/>
                </w:rPr>
                <m:t>×</m:t>
              </m:r>
              <m:sSub>
                <m:sSubPr>
                  <m:ctrlPr>
                    <w:rPr>
                      <w:rFonts w:ascii="Cambria Math" w:hAnsi="Cambria Math"/>
                      <w:i/>
                      <w:sz w:val="26"/>
                      <w:szCs w:val="26"/>
                      <w:lang w:val="lt-LT"/>
                    </w:rPr>
                  </m:ctrlPr>
                </m:sSubPr>
                <m:e>
                  <m:r>
                    <w:rPr>
                      <w:rFonts w:ascii="Cambria Math"/>
                      <w:sz w:val="26"/>
                      <w:szCs w:val="26"/>
                      <w:lang w:val="lt-LT"/>
                    </w:rPr>
                    <m:t>IC</m:t>
                  </m:r>
                </m:e>
                <m:sub>
                  <m:r>
                    <w:rPr>
                      <w:rFonts w:ascii="Cambria Math"/>
                      <w:sz w:val="26"/>
                      <w:szCs w:val="26"/>
                      <w:lang w:val="lt-LT"/>
                    </w:rPr>
                    <m:t>2</m:t>
                  </m:r>
                </m:sub>
              </m:sSub>
              <m:r>
                <w:rPr>
                  <w:rFonts w:ascii="Cambria Math" w:hAnsi="Cambria Math"/>
                  <w:sz w:val="26"/>
                  <w:szCs w:val="26"/>
                  <w:lang w:val="lt-LT"/>
                </w:rPr>
                <m:t>×</m:t>
              </m:r>
              <m:sSub>
                <m:sSubPr>
                  <m:ctrlPr>
                    <w:rPr>
                      <w:rFonts w:ascii="Cambria Math" w:hAnsi="Cambria Math"/>
                      <w:i/>
                      <w:sz w:val="26"/>
                      <w:szCs w:val="26"/>
                      <w:lang w:val="lt-LT"/>
                    </w:rPr>
                  </m:ctrlPr>
                </m:sSubPr>
                <m:e>
                  <m:r>
                    <w:rPr>
                      <w:rFonts w:ascii="Cambria Math"/>
                      <w:sz w:val="26"/>
                      <w:szCs w:val="26"/>
                      <w:lang w:val="lt-LT"/>
                    </w:rPr>
                    <m:t>R</m:t>
                  </m:r>
                </m:e>
                <m:sub>
                  <m:r>
                    <w:rPr>
                      <w:rFonts w:ascii="Cambria Math"/>
                      <w:sz w:val="26"/>
                      <w:szCs w:val="26"/>
                      <w:lang w:val="lt-LT"/>
                    </w:rPr>
                    <m:t>21</m:t>
                  </m:r>
                </m:sub>
              </m:sSub>
              <m:r>
                <w:rPr>
                  <w:rFonts w:ascii="Cambria Math" w:hAnsi="Cambria Math"/>
                  <w:sz w:val="26"/>
                  <w:szCs w:val="26"/>
                  <w:lang w:val="lt-LT"/>
                </w:rPr>
                <m:t>×</m:t>
              </m:r>
              <m:sSub>
                <m:sSubPr>
                  <m:ctrlPr>
                    <w:rPr>
                      <w:rFonts w:ascii="Cambria Math" w:hAnsi="Cambria Math"/>
                      <w:i/>
                      <w:sz w:val="26"/>
                      <w:szCs w:val="26"/>
                      <w:lang w:val="lt-LT"/>
                    </w:rPr>
                  </m:ctrlPr>
                </m:sSubPr>
                <m:e>
                  <m:r>
                    <w:rPr>
                      <w:rFonts w:ascii="Cambria Math"/>
                      <w:sz w:val="26"/>
                      <w:szCs w:val="26"/>
                      <w:lang w:val="lt-LT"/>
                    </w:rPr>
                    <m:t>TD</m:t>
                  </m:r>
                </m:e>
                <m:sub>
                  <m:r>
                    <w:rPr>
                      <w:rFonts w:ascii="Cambria Math"/>
                      <w:sz w:val="26"/>
                      <w:szCs w:val="26"/>
                      <w:lang w:val="lt-LT"/>
                    </w:rPr>
                    <m:t>211</m:t>
                  </m:r>
                </m:sub>
              </m:sSub>
              <m:r>
                <w:rPr>
                  <w:rFonts w:ascii="Cambria Math"/>
                  <w:sz w:val="26"/>
                  <w:szCs w:val="26"/>
                  <w:lang w:val="lt-LT"/>
                </w:rPr>
                <m:t>)</m:t>
              </m:r>
            </m:den>
          </m:f>
        </m:oMath>
      </m:oMathPara>
    </w:p>
    <w:p w:rsidR="005676A1" w:rsidRPr="009A3FB3" w:rsidRDefault="00166819" w:rsidP="005676A1">
      <w:pPr>
        <w:tabs>
          <w:tab w:val="left" w:pos="567"/>
        </w:tabs>
        <w:spacing w:line="360" w:lineRule="auto"/>
        <w:jc w:val="both"/>
        <w:rPr>
          <w:sz w:val="26"/>
          <w:szCs w:val="26"/>
          <w:lang w:val="lt-LT"/>
        </w:rPr>
      </w:pPr>
      <w:r w:rsidRPr="00166819">
        <w:rPr>
          <w:noProof/>
          <w:color w:val="FF0000"/>
          <w:sz w:val="26"/>
          <w:szCs w:val="26"/>
          <w:lang w:val="lt-LT"/>
        </w:rPr>
        <w:pict>
          <v:rect id="_x0000_s9012" style="position:absolute;left:0;text-align:left;margin-left:385.1pt;margin-top:1.2pt;width:32.85pt;height:19.6pt;z-index:251836416" filled="f" stroked="f">
            <v:textbox style="mso-next-textbox:#_x0000_s9012">
              <w:txbxContent>
                <w:p w:rsidR="00BE5795" w:rsidRPr="000000CE" w:rsidRDefault="00BE5795">
                  <w:pPr>
                    <w:rPr>
                      <w:i/>
                      <w:sz w:val="24"/>
                      <w:szCs w:val="24"/>
                      <w:lang w:val="lt-LT"/>
                    </w:rPr>
                  </w:pPr>
                  <w:r w:rsidRPr="000000CE">
                    <w:rPr>
                      <w:i/>
                      <w:sz w:val="24"/>
                      <w:szCs w:val="24"/>
                      <w:lang w:val="lt-LT"/>
                    </w:rPr>
                    <w:t>(</w:t>
                  </w:r>
                  <w:r>
                    <w:rPr>
                      <w:i/>
                      <w:sz w:val="24"/>
                      <w:szCs w:val="24"/>
                      <w:lang w:val="lt-LT"/>
                    </w:rPr>
                    <w:t>5</w:t>
                  </w:r>
                  <w:r w:rsidRPr="000000CE">
                    <w:rPr>
                      <w:i/>
                      <w:sz w:val="24"/>
                      <w:szCs w:val="24"/>
                      <w:lang w:val="lt-LT"/>
                    </w:rPr>
                    <w:t>)</w:t>
                  </w:r>
                </w:p>
              </w:txbxContent>
            </v:textbox>
          </v:rect>
        </w:pict>
      </w:r>
      <w:r w:rsidR="000000CE" w:rsidRPr="009A3FB3">
        <w:rPr>
          <w:sz w:val="26"/>
          <w:szCs w:val="26"/>
          <w:lang w:val="lt-LT"/>
        </w:rPr>
        <w:tab/>
      </w:r>
      <w:r w:rsidR="000000CE" w:rsidRPr="009A3FB3">
        <w:rPr>
          <w:sz w:val="26"/>
          <w:szCs w:val="26"/>
          <w:lang w:val="lt-LT"/>
        </w:rPr>
        <w:tab/>
      </w:r>
      <w:r w:rsidR="000000CE" w:rsidRPr="009A3FB3">
        <w:rPr>
          <w:sz w:val="26"/>
          <w:szCs w:val="26"/>
          <w:lang w:val="lt-LT"/>
        </w:rPr>
        <w:tab/>
      </w:r>
      <w:r w:rsidR="000000CE" w:rsidRPr="009A3FB3">
        <w:rPr>
          <w:sz w:val="26"/>
          <w:szCs w:val="26"/>
          <w:lang w:val="lt-LT"/>
        </w:rPr>
        <w:tab/>
      </w:r>
      <w:r w:rsidR="000000CE" w:rsidRPr="009A3FB3">
        <w:rPr>
          <w:sz w:val="26"/>
          <w:szCs w:val="26"/>
          <w:lang w:val="lt-LT"/>
        </w:rPr>
        <w:tab/>
      </w:r>
      <w:r w:rsidR="000000CE" w:rsidRPr="009A3FB3">
        <w:rPr>
          <w:sz w:val="26"/>
          <w:szCs w:val="26"/>
          <w:lang w:val="lt-LT"/>
        </w:rPr>
        <w:tab/>
      </w:r>
    </w:p>
    <w:p w:rsidR="00FA0499" w:rsidRDefault="00FF6135" w:rsidP="00760673">
      <w:pPr>
        <w:tabs>
          <w:tab w:val="left" w:pos="567"/>
        </w:tabs>
        <w:jc w:val="both"/>
        <w:rPr>
          <w:sz w:val="22"/>
          <w:szCs w:val="22"/>
          <w:lang w:val="lt-LT"/>
        </w:rPr>
      </w:pPr>
      <w:r w:rsidRPr="00D65A4A">
        <w:rPr>
          <w:sz w:val="22"/>
          <w:szCs w:val="22"/>
          <w:lang w:val="lt-LT"/>
        </w:rPr>
        <w:t>kur: AR</w:t>
      </w:r>
      <w:r w:rsidR="00760673" w:rsidRPr="00D65A4A">
        <w:rPr>
          <w:sz w:val="22"/>
          <w:szCs w:val="22"/>
          <w:vertAlign w:val="subscript"/>
          <w:lang w:val="lt-LT"/>
        </w:rPr>
        <w:t>1</w:t>
      </w:r>
      <w:r w:rsidRPr="00D65A4A">
        <w:rPr>
          <w:sz w:val="22"/>
          <w:szCs w:val="22"/>
          <w:lang w:val="lt-LT"/>
        </w:rPr>
        <w:t xml:space="preserve"> – audito rizika; IR – įgimta rizika</w:t>
      </w:r>
      <w:r w:rsidR="00A9278B">
        <w:rPr>
          <w:sz w:val="22"/>
          <w:szCs w:val="22"/>
          <w:lang w:val="lt-LT"/>
        </w:rPr>
        <w:t>, kad reikšmingas iškraipymas egzistuoja</w:t>
      </w:r>
      <w:r w:rsidRPr="00D65A4A">
        <w:rPr>
          <w:sz w:val="22"/>
          <w:szCs w:val="22"/>
          <w:lang w:val="lt-LT"/>
        </w:rPr>
        <w:t>;</w:t>
      </w:r>
      <w:r w:rsidR="00760673" w:rsidRPr="00D65A4A">
        <w:rPr>
          <w:sz w:val="22"/>
          <w:szCs w:val="22"/>
          <w:lang w:val="lt-LT"/>
        </w:rPr>
        <w:t xml:space="preserve"> IC</w:t>
      </w:r>
      <w:r w:rsidR="00760673" w:rsidRPr="00D65A4A">
        <w:rPr>
          <w:sz w:val="22"/>
          <w:szCs w:val="22"/>
          <w:vertAlign w:val="subscript"/>
          <w:lang w:val="lt-LT"/>
        </w:rPr>
        <w:t>1</w:t>
      </w:r>
      <w:r w:rsidR="00760673" w:rsidRPr="00D65A4A">
        <w:rPr>
          <w:sz w:val="22"/>
          <w:szCs w:val="22"/>
          <w:lang w:val="lt-LT"/>
        </w:rPr>
        <w:t xml:space="preserve"> – rizika, kad auditorius pasitikės kontrolės procedūromis, kai kontrolės rizika vertinama mažiau nei maksimumas, nors iš tikrųjų reikšmingas iškraipymas egzistuoja; R</w:t>
      </w:r>
      <w:r w:rsidR="00760673" w:rsidRPr="00D65A4A">
        <w:rPr>
          <w:sz w:val="22"/>
          <w:szCs w:val="22"/>
          <w:vertAlign w:val="subscript"/>
          <w:lang w:val="lt-LT"/>
        </w:rPr>
        <w:t>11</w:t>
      </w:r>
      <w:r w:rsidR="00760673" w:rsidRPr="00D65A4A">
        <w:rPr>
          <w:sz w:val="22"/>
          <w:szCs w:val="22"/>
          <w:lang w:val="lt-LT"/>
        </w:rPr>
        <w:t xml:space="preserve"> – rizika, kad reikšmingas iškraipymas nebus rastas atlikus analitines procedūras, kai iš tikrųjų reikšmingas iškraipymas egzistuoja; TD</w:t>
      </w:r>
      <w:r w:rsidR="00760673" w:rsidRPr="00D65A4A">
        <w:rPr>
          <w:sz w:val="22"/>
          <w:szCs w:val="22"/>
          <w:vertAlign w:val="subscript"/>
          <w:lang w:val="lt-LT"/>
        </w:rPr>
        <w:t>1</w:t>
      </w:r>
      <w:r w:rsidR="003B2F63">
        <w:rPr>
          <w:sz w:val="22"/>
          <w:szCs w:val="22"/>
          <w:vertAlign w:val="subscript"/>
          <w:lang w:val="lt-LT"/>
        </w:rPr>
        <w:t>11</w:t>
      </w:r>
      <w:r w:rsidR="00760673" w:rsidRPr="00D65A4A">
        <w:rPr>
          <w:sz w:val="22"/>
          <w:szCs w:val="22"/>
          <w:lang w:val="lt-LT"/>
        </w:rPr>
        <w:t xml:space="preserve"> – rizika, kad reikšmingas iškraipymas nebus rastas atlikus detalius testus ir analitines procedūras, po to kai įgimta ir kontrolės rizikos rodo, kad reikšmingo iškraipymo pasireiškimo tikimybė yra maža, nors iš tikrųjų reikšmingas iškraipymas egzistuoja</w:t>
      </w:r>
      <w:r w:rsidR="00D65A4A">
        <w:rPr>
          <w:sz w:val="22"/>
          <w:szCs w:val="22"/>
          <w:lang w:val="lt-LT"/>
        </w:rPr>
        <w:t xml:space="preserve">; </w:t>
      </w:r>
      <m:oMath>
        <m:acc>
          <m:accPr>
            <m:chr m:val="̅"/>
            <m:ctrlPr>
              <w:rPr>
                <w:rFonts w:ascii="Cambria Math" w:hAnsi="Cambria Math"/>
                <w:i/>
                <w:sz w:val="22"/>
                <w:szCs w:val="22"/>
                <w:lang w:val="lt-LT"/>
              </w:rPr>
            </m:ctrlPr>
          </m:accPr>
          <m:e>
            <m:r>
              <w:rPr>
                <w:rFonts w:ascii="Cambria Math" w:hAnsi="Cambria Math"/>
                <w:sz w:val="22"/>
                <w:szCs w:val="22"/>
                <w:lang w:val="lt-LT"/>
              </w:rPr>
              <m:t>IR</m:t>
            </m:r>
          </m:e>
        </m:acc>
      </m:oMath>
      <w:r w:rsidR="00D65A4A">
        <w:rPr>
          <w:sz w:val="22"/>
          <w:szCs w:val="22"/>
          <w:lang w:val="lt-LT"/>
        </w:rPr>
        <w:t xml:space="preserve"> – </w:t>
      </w:r>
      <w:r w:rsidR="003A75FC">
        <w:rPr>
          <w:sz w:val="22"/>
          <w:szCs w:val="22"/>
          <w:lang w:val="lt-LT"/>
        </w:rPr>
        <w:t>galimybė, kad reikšmingo iškraipymo nėra; IC</w:t>
      </w:r>
      <w:r w:rsidR="003A75FC" w:rsidRPr="00FA0499">
        <w:rPr>
          <w:sz w:val="22"/>
          <w:szCs w:val="22"/>
          <w:vertAlign w:val="subscript"/>
          <w:lang w:val="lt-LT"/>
        </w:rPr>
        <w:t>2</w:t>
      </w:r>
      <w:r w:rsidR="003A75FC">
        <w:rPr>
          <w:sz w:val="22"/>
          <w:szCs w:val="22"/>
          <w:lang w:val="lt-LT"/>
        </w:rPr>
        <w:t xml:space="preserve"> –</w:t>
      </w:r>
      <w:r w:rsidR="003B2F63">
        <w:rPr>
          <w:sz w:val="22"/>
          <w:szCs w:val="22"/>
          <w:lang w:val="lt-LT"/>
        </w:rPr>
        <w:t xml:space="preserve"> </w:t>
      </w:r>
      <w:r w:rsidR="003A75FC">
        <w:rPr>
          <w:sz w:val="22"/>
          <w:szCs w:val="22"/>
          <w:lang w:val="lt-LT"/>
        </w:rPr>
        <w:t>ga</w:t>
      </w:r>
      <w:r w:rsidR="00FA0499">
        <w:rPr>
          <w:sz w:val="22"/>
          <w:szCs w:val="22"/>
          <w:lang w:val="lt-LT"/>
        </w:rPr>
        <w:t>limybė pasitikėti kontrolės struktūra, kai iš tiesų iškraipymo nėra; R</w:t>
      </w:r>
      <w:r w:rsidR="00FA0499" w:rsidRPr="00FA0499">
        <w:rPr>
          <w:sz w:val="22"/>
          <w:szCs w:val="22"/>
          <w:vertAlign w:val="subscript"/>
          <w:lang w:val="lt-LT"/>
        </w:rPr>
        <w:t>21</w:t>
      </w:r>
      <w:r w:rsidR="00FA0499">
        <w:rPr>
          <w:sz w:val="22"/>
          <w:szCs w:val="22"/>
          <w:lang w:val="lt-LT"/>
        </w:rPr>
        <w:t xml:space="preserve"> – galimybė nerasti galimo reikšmingo iškraipymo analitinių procedūrų pagalba, kai iš tikrųjų jo nėra; TD</w:t>
      </w:r>
      <w:r w:rsidR="00FA0499" w:rsidRPr="00FA0499">
        <w:rPr>
          <w:sz w:val="22"/>
          <w:szCs w:val="22"/>
          <w:vertAlign w:val="subscript"/>
          <w:lang w:val="lt-LT"/>
        </w:rPr>
        <w:t>211</w:t>
      </w:r>
      <w:r w:rsidR="00FA0499">
        <w:rPr>
          <w:sz w:val="22"/>
          <w:szCs w:val="22"/>
          <w:lang w:val="lt-LT"/>
        </w:rPr>
        <w:t xml:space="preserve"> – galimybė nerasti reikšmingo iškraipymo atliekant detalius testus, kai iš tikrųjų jo nėra. </w:t>
      </w:r>
    </w:p>
    <w:p w:rsidR="005676A1" w:rsidRPr="009A3FB3" w:rsidRDefault="00AF7BEA" w:rsidP="00A9278B">
      <w:pPr>
        <w:tabs>
          <w:tab w:val="left" w:pos="567"/>
        </w:tabs>
        <w:spacing w:before="240" w:line="360" w:lineRule="auto"/>
        <w:ind w:firstLine="709"/>
        <w:jc w:val="both"/>
        <w:rPr>
          <w:sz w:val="26"/>
          <w:szCs w:val="26"/>
          <w:lang w:val="lt-LT"/>
        </w:rPr>
      </w:pPr>
      <w:r w:rsidRPr="009A3FB3">
        <w:rPr>
          <w:sz w:val="26"/>
          <w:szCs w:val="26"/>
          <w:lang w:val="lt-LT"/>
        </w:rPr>
        <w:t xml:space="preserve">S. J. </w:t>
      </w:r>
      <w:r w:rsidR="005676A1" w:rsidRPr="009A3FB3">
        <w:rPr>
          <w:sz w:val="26"/>
          <w:szCs w:val="26"/>
          <w:lang w:val="lt-LT"/>
        </w:rPr>
        <w:t xml:space="preserve">Aldersley (1989) audito rizikos modelis taip pat laikomas tam tikra W. R. Kinney (1989) </w:t>
      </w:r>
      <w:r w:rsidRPr="009A3FB3">
        <w:rPr>
          <w:sz w:val="26"/>
          <w:szCs w:val="26"/>
          <w:lang w:val="lt-LT"/>
        </w:rPr>
        <w:t xml:space="preserve">audito rizikos algoritmo </w:t>
      </w:r>
      <w:r w:rsidR="005676A1" w:rsidRPr="009A3FB3">
        <w:rPr>
          <w:sz w:val="26"/>
          <w:szCs w:val="26"/>
          <w:lang w:val="lt-LT"/>
        </w:rPr>
        <w:t xml:space="preserve">modifikacija (žr. </w:t>
      </w:r>
      <w:r w:rsidR="000B31F5">
        <w:rPr>
          <w:sz w:val="26"/>
          <w:szCs w:val="26"/>
          <w:lang w:val="lt-LT"/>
        </w:rPr>
        <w:t>7</w:t>
      </w:r>
      <w:r w:rsidR="005676A1" w:rsidRPr="009A3FB3">
        <w:rPr>
          <w:sz w:val="26"/>
          <w:szCs w:val="26"/>
          <w:lang w:val="lt-LT"/>
        </w:rPr>
        <w:t xml:space="preserve"> priedas). </w:t>
      </w:r>
      <w:r w:rsidRPr="009A3FB3">
        <w:rPr>
          <w:sz w:val="26"/>
          <w:szCs w:val="26"/>
          <w:lang w:val="lt-LT"/>
        </w:rPr>
        <w:t>S.</w:t>
      </w:r>
      <w:r w:rsidR="00A560E3">
        <w:rPr>
          <w:sz w:val="26"/>
          <w:szCs w:val="26"/>
          <w:lang w:val="lt-LT"/>
        </w:rPr>
        <w:t> </w:t>
      </w:r>
      <w:r w:rsidRPr="009A3FB3">
        <w:rPr>
          <w:sz w:val="26"/>
          <w:szCs w:val="26"/>
          <w:lang w:val="lt-LT"/>
        </w:rPr>
        <w:t>J.</w:t>
      </w:r>
      <w:r w:rsidR="00A560E3">
        <w:rPr>
          <w:sz w:val="26"/>
          <w:szCs w:val="26"/>
          <w:lang w:val="lt-LT"/>
        </w:rPr>
        <w:t> </w:t>
      </w:r>
      <w:r w:rsidRPr="009A3FB3">
        <w:rPr>
          <w:sz w:val="26"/>
          <w:szCs w:val="26"/>
          <w:lang w:val="lt-LT"/>
        </w:rPr>
        <w:t xml:space="preserve">Aldersley (1989) </w:t>
      </w:r>
      <w:r w:rsidR="005676A1" w:rsidRPr="009A3FB3">
        <w:rPr>
          <w:sz w:val="26"/>
          <w:szCs w:val="26"/>
          <w:lang w:val="lt-LT"/>
        </w:rPr>
        <w:t xml:space="preserve">akcentuoja, kad </w:t>
      </w:r>
      <w:r w:rsidRPr="009A3FB3">
        <w:rPr>
          <w:sz w:val="26"/>
          <w:szCs w:val="26"/>
          <w:lang w:val="lt-LT"/>
        </w:rPr>
        <w:t xml:space="preserve">jo siūlomame audito rizikos </w:t>
      </w:r>
      <w:r w:rsidR="005676A1" w:rsidRPr="009A3FB3">
        <w:rPr>
          <w:sz w:val="26"/>
          <w:szCs w:val="26"/>
          <w:lang w:val="lt-LT"/>
        </w:rPr>
        <w:t>modelyje neaptaria</w:t>
      </w:r>
      <w:r w:rsidRPr="009A3FB3">
        <w:rPr>
          <w:sz w:val="26"/>
          <w:szCs w:val="26"/>
          <w:lang w:val="lt-LT"/>
        </w:rPr>
        <w:t>mos</w:t>
      </w:r>
      <w:r w:rsidR="005676A1" w:rsidRPr="009A3FB3">
        <w:rPr>
          <w:sz w:val="26"/>
          <w:szCs w:val="26"/>
          <w:lang w:val="lt-LT"/>
        </w:rPr>
        <w:t xml:space="preserve"> perteklin</w:t>
      </w:r>
      <w:r w:rsidRPr="009A3FB3">
        <w:rPr>
          <w:sz w:val="26"/>
          <w:szCs w:val="26"/>
          <w:lang w:val="lt-LT"/>
        </w:rPr>
        <w:t xml:space="preserve">ės </w:t>
      </w:r>
      <w:r w:rsidR="005676A1" w:rsidRPr="009A3FB3">
        <w:rPr>
          <w:sz w:val="26"/>
          <w:szCs w:val="26"/>
          <w:lang w:val="lt-LT"/>
        </w:rPr>
        <w:t>situacij</w:t>
      </w:r>
      <w:r w:rsidRPr="009A3FB3">
        <w:rPr>
          <w:sz w:val="26"/>
          <w:szCs w:val="26"/>
          <w:lang w:val="lt-LT"/>
        </w:rPr>
        <w:t>os</w:t>
      </w:r>
      <w:r w:rsidR="005676A1" w:rsidRPr="009A3FB3">
        <w:rPr>
          <w:sz w:val="26"/>
          <w:szCs w:val="26"/>
          <w:lang w:val="lt-LT"/>
        </w:rPr>
        <w:t xml:space="preserve"> („medžio šak</w:t>
      </w:r>
      <w:r w:rsidRPr="009A3FB3">
        <w:rPr>
          <w:sz w:val="26"/>
          <w:szCs w:val="26"/>
          <w:lang w:val="lt-LT"/>
        </w:rPr>
        <w:t>os</w:t>
      </w:r>
      <w:r w:rsidR="005676A1" w:rsidRPr="009A3FB3">
        <w:rPr>
          <w:sz w:val="26"/>
          <w:szCs w:val="26"/>
          <w:lang w:val="lt-LT"/>
        </w:rPr>
        <w:t xml:space="preserve">“): </w:t>
      </w:r>
      <w:r w:rsidR="00A9278B">
        <w:rPr>
          <w:sz w:val="26"/>
          <w:szCs w:val="26"/>
          <w:lang w:val="lt-LT"/>
        </w:rPr>
        <w:t xml:space="preserve">1) </w:t>
      </w:r>
      <w:r w:rsidR="005676A1" w:rsidRPr="009A3FB3">
        <w:rPr>
          <w:sz w:val="26"/>
          <w:szCs w:val="26"/>
          <w:lang w:val="lt-LT"/>
        </w:rPr>
        <w:t xml:space="preserve">atsisakoma neteisingo sprendimo priėmimo, kuomet reikšmingas iškraipymas neegzistuoja; </w:t>
      </w:r>
      <w:r w:rsidR="00A9278B">
        <w:rPr>
          <w:sz w:val="26"/>
          <w:szCs w:val="26"/>
          <w:lang w:val="lt-LT"/>
        </w:rPr>
        <w:t xml:space="preserve">2) </w:t>
      </w:r>
      <w:r w:rsidR="005676A1" w:rsidRPr="009A3FB3">
        <w:rPr>
          <w:sz w:val="26"/>
          <w:szCs w:val="26"/>
          <w:lang w:val="lt-LT"/>
        </w:rPr>
        <w:t xml:space="preserve">kai kontrolės rizika įvertinama ties maksimumu, daroma prielaida, kad iškraipymas bus aptiktas; </w:t>
      </w:r>
      <w:r w:rsidR="00A9278B">
        <w:rPr>
          <w:sz w:val="26"/>
          <w:szCs w:val="26"/>
          <w:lang w:val="lt-LT"/>
        </w:rPr>
        <w:t xml:space="preserve">3) </w:t>
      </w:r>
      <w:r w:rsidR="005676A1" w:rsidRPr="009A3FB3">
        <w:rPr>
          <w:sz w:val="26"/>
          <w:szCs w:val="26"/>
          <w:lang w:val="lt-LT"/>
        </w:rPr>
        <w:t xml:space="preserve">jei įrodymai rodo, kad iškraipymo galimybė </w:t>
      </w:r>
      <w:r w:rsidR="00A9278B">
        <w:rPr>
          <w:sz w:val="26"/>
          <w:szCs w:val="26"/>
          <w:lang w:val="lt-LT"/>
        </w:rPr>
        <w:t>yra</w:t>
      </w:r>
      <w:r w:rsidR="005676A1" w:rsidRPr="009A3FB3">
        <w:rPr>
          <w:sz w:val="26"/>
          <w:szCs w:val="26"/>
          <w:lang w:val="lt-LT"/>
        </w:rPr>
        <w:t xml:space="preserve">, tai </w:t>
      </w:r>
      <w:r w:rsidR="00010298" w:rsidRPr="009A3FB3">
        <w:rPr>
          <w:sz w:val="26"/>
          <w:szCs w:val="26"/>
          <w:lang w:val="lt-LT"/>
        </w:rPr>
        <w:t xml:space="preserve">tikimasi, kad </w:t>
      </w:r>
      <w:r w:rsidR="005676A1" w:rsidRPr="009A3FB3">
        <w:rPr>
          <w:sz w:val="26"/>
          <w:szCs w:val="26"/>
          <w:lang w:val="lt-LT"/>
        </w:rPr>
        <w:t xml:space="preserve">jis bus aptiktas. </w:t>
      </w:r>
    </w:p>
    <w:p w:rsidR="00AF7BEA" w:rsidRPr="009A3FB3" w:rsidRDefault="0011437B" w:rsidP="00AF7BEA">
      <w:pPr>
        <w:spacing w:line="360" w:lineRule="auto"/>
        <w:ind w:firstLine="720"/>
        <w:jc w:val="both"/>
        <w:rPr>
          <w:sz w:val="26"/>
          <w:szCs w:val="26"/>
          <w:lang w:val="lt-LT"/>
        </w:rPr>
      </w:pPr>
      <w:r w:rsidRPr="009A3FB3">
        <w:rPr>
          <w:sz w:val="26"/>
          <w:szCs w:val="26"/>
          <w:lang w:val="lt-LT"/>
        </w:rPr>
        <w:t xml:space="preserve">Kadangi </w:t>
      </w:r>
      <w:r w:rsidR="00AF7BEA" w:rsidRPr="009A3FB3">
        <w:rPr>
          <w:sz w:val="26"/>
          <w:szCs w:val="26"/>
          <w:lang w:val="lt-LT"/>
        </w:rPr>
        <w:t>W. R. Kinney (1989), J. T. Sennetti (1990)</w:t>
      </w:r>
      <w:r w:rsidR="00A9278B">
        <w:rPr>
          <w:sz w:val="26"/>
          <w:szCs w:val="26"/>
          <w:lang w:val="lt-LT"/>
        </w:rPr>
        <w:t xml:space="preserve"> ir</w:t>
      </w:r>
      <w:r w:rsidR="00AF7BEA" w:rsidRPr="009A3FB3">
        <w:rPr>
          <w:sz w:val="26"/>
          <w:szCs w:val="26"/>
          <w:lang w:val="lt-LT"/>
        </w:rPr>
        <w:t xml:space="preserve"> S.</w:t>
      </w:r>
      <w:r w:rsidR="00351D74">
        <w:rPr>
          <w:sz w:val="26"/>
          <w:szCs w:val="26"/>
          <w:lang w:val="lt-LT"/>
        </w:rPr>
        <w:t> </w:t>
      </w:r>
      <w:r w:rsidR="00AF7BEA" w:rsidRPr="009A3FB3">
        <w:rPr>
          <w:sz w:val="26"/>
          <w:szCs w:val="26"/>
          <w:lang w:val="lt-LT"/>
        </w:rPr>
        <w:t>J.</w:t>
      </w:r>
      <w:r w:rsidR="00351D74">
        <w:rPr>
          <w:sz w:val="26"/>
          <w:szCs w:val="26"/>
          <w:lang w:val="lt-LT"/>
        </w:rPr>
        <w:t> </w:t>
      </w:r>
      <w:r w:rsidR="00AF7BEA" w:rsidRPr="009A3FB3">
        <w:rPr>
          <w:sz w:val="26"/>
          <w:szCs w:val="26"/>
          <w:lang w:val="lt-LT"/>
        </w:rPr>
        <w:t>Aldersley (1989) siūlom</w:t>
      </w:r>
      <w:r w:rsidRPr="009A3FB3">
        <w:rPr>
          <w:sz w:val="26"/>
          <w:szCs w:val="26"/>
          <w:lang w:val="lt-LT"/>
        </w:rPr>
        <w:t>ų</w:t>
      </w:r>
      <w:r w:rsidR="00AF7BEA" w:rsidRPr="009A3FB3">
        <w:rPr>
          <w:sz w:val="26"/>
          <w:szCs w:val="26"/>
          <w:lang w:val="lt-LT"/>
        </w:rPr>
        <w:t xml:space="preserve"> audito rizikos modeli</w:t>
      </w:r>
      <w:r w:rsidR="006B742F" w:rsidRPr="009A3FB3">
        <w:rPr>
          <w:sz w:val="26"/>
          <w:szCs w:val="26"/>
          <w:lang w:val="lt-LT"/>
        </w:rPr>
        <w:t>ų sampratos yra panašios</w:t>
      </w:r>
      <w:r w:rsidR="00AF7BEA" w:rsidRPr="009A3FB3">
        <w:rPr>
          <w:sz w:val="26"/>
          <w:szCs w:val="26"/>
          <w:lang w:val="lt-LT"/>
        </w:rPr>
        <w:t xml:space="preserve">, </w:t>
      </w:r>
      <w:r w:rsidR="006B742F" w:rsidRPr="009A3FB3">
        <w:rPr>
          <w:sz w:val="26"/>
          <w:szCs w:val="26"/>
          <w:lang w:val="lt-LT"/>
        </w:rPr>
        <w:t xml:space="preserve">todėl </w:t>
      </w:r>
      <w:r w:rsidR="00A9278B">
        <w:rPr>
          <w:sz w:val="26"/>
          <w:szCs w:val="26"/>
          <w:lang w:val="lt-LT"/>
        </w:rPr>
        <w:t xml:space="preserve">tikslinga </w:t>
      </w:r>
      <w:r w:rsidR="006B742F" w:rsidRPr="009A3FB3">
        <w:rPr>
          <w:sz w:val="26"/>
          <w:szCs w:val="26"/>
          <w:lang w:val="lt-LT"/>
        </w:rPr>
        <w:t xml:space="preserve">išskirti </w:t>
      </w:r>
      <w:r w:rsidR="00AF7BEA" w:rsidRPr="009A3FB3">
        <w:rPr>
          <w:sz w:val="26"/>
          <w:szCs w:val="26"/>
          <w:lang w:val="lt-LT"/>
        </w:rPr>
        <w:t>jų privalumus ir trūkumus.</w:t>
      </w:r>
    </w:p>
    <w:p w:rsidR="00EA1AF7" w:rsidRPr="009A3FB3" w:rsidRDefault="008C10B9" w:rsidP="005676A1">
      <w:pPr>
        <w:tabs>
          <w:tab w:val="left" w:pos="567"/>
        </w:tabs>
        <w:spacing w:line="360" w:lineRule="auto"/>
        <w:jc w:val="both"/>
        <w:rPr>
          <w:sz w:val="26"/>
          <w:szCs w:val="26"/>
          <w:lang w:val="lt-LT"/>
        </w:rPr>
      </w:pPr>
      <w:r w:rsidRPr="009A3FB3">
        <w:rPr>
          <w:color w:val="FF0000"/>
          <w:sz w:val="26"/>
          <w:szCs w:val="26"/>
          <w:lang w:val="lt-LT"/>
        </w:rPr>
        <w:tab/>
      </w:r>
      <w:r w:rsidRPr="009A3FB3">
        <w:rPr>
          <w:color w:val="FF0000"/>
          <w:sz w:val="26"/>
          <w:szCs w:val="26"/>
          <w:lang w:val="lt-LT"/>
        </w:rPr>
        <w:tab/>
      </w:r>
      <w:r w:rsidR="004B202D" w:rsidRPr="009A3FB3">
        <w:rPr>
          <w:sz w:val="26"/>
          <w:szCs w:val="26"/>
          <w:u w:val="single"/>
          <w:lang w:val="lt-LT"/>
        </w:rPr>
        <w:t>Privalumai.</w:t>
      </w:r>
      <w:r w:rsidR="004B202D" w:rsidRPr="009A3FB3">
        <w:rPr>
          <w:sz w:val="26"/>
          <w:szCs w:val="26"/>
          <w:lang w:val="lt-LT"/>
        </w:rPr>
        <w:t xml:space="preserve"> J. T. Sennetti (1990) pastebi, kad audito standartuose (47</w:t>
      </w:r>
      <w:r w:rsidR="003F5AB9">
        <w:rPr>
          <w:sz w:val="26"/>
          <w:szCs w:val="26"/>
          <w:lang w:val="lt-LT"/>
        </w:rPr>
        <w:t> </w:t>
      </w:r>
      <w:r w:rsidR="004B202D" w:rsidRPr="009A3FB3">
        <w:rPr>
          <w:sz w:val="26"/>
          <w:szCs w:val="26"/>
          <w:lang w:val="lt-LT"/>
        </w:rPr>
        <w:t xml:space="preserve">SAS, 1988) nurodomas klasikinis audito rizikos modelis neatitinka juose </w:t>
      </w:r>
      <w:r w:rsidR="004B202D" w:rsidRPr="009A3FB3">
        <w:rPr>
          <w:sz w:val="26"/>
          <w:szCs w:val="26"/>
          <w:lang w:val="lt-LT"/>
        </w:rPr>
        <w:lastRenderedPageBreak/>
        <w:t>pateikiamo audito rizikos apibrėžimo.</w:t>
      </w:r>
      <w:r w:rsidR="000B31F5">
        <w:rPr>
          <w:sz w:val="26"/>
          <w:szCs w:val="26"/>
          <w:lang w:val="lt-LT"/>
        </w:rPr>
        <w:t xml:space="preserve"> </w:t>
      </w:r>
      <w:r w:rsidR="004B202D" w:rsidRPr="009A3FB3">
        <w:rPr>
          <w:sz w:val="26"/>
          <w:szCs w:val="26"/>
          <w:lang w:val="lt-LT"/>
        </w:rPr>
        <w:t xml:space="preserve">Jo nuomone, kur kas </w:t>
      </w:r>
      <w:r w:rsidR="004B202D" w:rsidRPr="009A3FB3">
        <w:rPr>
          <w:i/>
          <w:sz w:val="26"/>
          <w:szCs w:val="26"/>
          <w:lang w:val="lt-LT"/>
        </w:rPr>
        <w:t xml:space="preserve">išsamesnius ir su </w:t>
      </w:r>
      <w:r w:rsidR="00D03316" w:rsidRPr="009A3FB3">
        <w:rPr>
          <w:i/>
          <w:sz w:val="26"/>
          <w:szCs w:val="26"/>
          <w:lang w:val="lt-LT"/>
        </w:rPr>
        <w:t xml:space="preserve">audito rizikos </w:t>
      </w:r>
      <w:r w:rsidR="004B202D" w:rsidRPr="009A3FB3">
        <w:rPr>
          <w:i/>
          <w:sz w:val="26"/>
          <w:szCs w:val="26"/>
          <w:lang w:val="lt-LT"/>
        </w:rPr>
        <w:t>apibrėžimu labiau suderintus modelius</w:t>
      </w:r>
      <w:r w:rsidR="004B202D" w:rsidRPr="009A3FB3">
        <w:rPr>
          <w:sz w:val="26"/>
          <w:szCs w:val="26"/>
          <w:lang w:val="lt-LT"/>
        </w:rPr>
        <w:t xml:space="preserve"> pateikia </w:t>
      </w:r>
      <w:r w:rsidR="00494857" w:rsidRPr="009A3FB3">
        <w:rPr>
          <w:sz w:val="26"/>
          <w:szCs w:val="26"/>
          <w:lang w:val="lt-LT"/>
        </w:rPr>
        <w:t xml:space="preserve">jo siūlomas bei </w:t>
      </w:r>
      <w:r w:rsidR="001F3C6B" w:rsidRPr="009A3FB3">
        <w:rPr>
          <w:sz w:val="26"/>
          <w:szCs w:val="26"/>
          <w:lang w:val="lt-LT"/>
        </w:rPr>
        <w:t xml:space="preserve">W. R. </w:t>
      </w:r>
      <w:r w:rsidR="004B202D" w:rsidRPr="009A3FB3">
        <w:rPr>
          <w:sz w:val="26"/>
          <w:szCs w:val="26"/>
          <w:lang w:val="lt-LT"/>
        </w:rPr>
        <w:t xml:space="preserve">Kinney (1989) ir </w:t>
      </w:r>
      <w:r w:rsidR="001F3C6B" w:rsidRPr="009A3FB3">
        <w:rPr>
          <w:sz w:val="26"/>
          <w:szCs w:val="26"/>
          <w:lang w:val="lt-LT"/>
        </w:rPr>
        <w:t>S.</w:t>
      </w:r>
      <w:r w:rsidR="003F5AB9">
        <w:rPr>
          <w:sz w:val="26"/>
          <w:szCs w:val="26"/>
          <w:lang w:val="lt-LT"/>
        </w:rPr>
        <w:t> </w:t>
      </w:r>
      <w:r w:rsidR="001F3C6B" w:rsidRPr="009A3FB3">
        <w:rPr>
          <w:sz w:val="26"/>
          <w:szCs w:val="26"/>
          <w:lang w:val="lt-LT"/>
        </w:rPr>
        <w:t>J.</w:t>
      </w:r>
      <w:r w:rsidR="003F5AB9">
        <w:rPr>
          <w:sz w:val="26"/>
          <w:szCs w:val="26"/>
          <w:lang w:val="lt-LT"/>
        </w:rPr>
        <w:t> </w:t>
      </w:r>
      <w:r w:rsidR="004B202D" w:rsidRPr="009A3FB3">
        <w:rPr>
          <w:sz w:val="26"/>
          <w:szCs w:val="26"/>
          <w:lang w:val="lt-LT"/>
        </w:rPr>
        <w:t xml:space="preserve">Aldersley (1989) audito rizikos modeliai. </w:t>
      </w:r>
      <w:r w:rsidR="005C6EF7" w:rsidRPr="009A3FB3">
        <w:rPr>
          <w:sz w:val="26"/>
          <w:szCs w:val="26"/>
          <w:lang w:val="lt-LT"/>
        </w:rPr>
        <w:t xml:space="preserve">Pagal </w:t>
      </w:r>
      <w:r w:rsidR="00792A32" w:rsidRPr="009A3FB3">
        <w:rPr>
          <w:sz w:val="26"/>
          <w:szCs w:val="26"/>
          <w:lang w:val="lt-LT"/>
        </w:rPr>
        <w:t>J.</w:t>
      </w:r>
      <w:r w:rsidR="000B31F5">
        <w:rPr>
          <w:sz w:val="26"/>
          <w:szCs w:val="26"/>
          <w:lang w:val="lt-LT"/>
        </w:rPr>
        <w:t> </w:t>
      </w:r>
      <w:r w:rsidR="00792A32" w:rsidRPr="009A3FB3">
        <w:rPr>
          <w:sz w:val="26"/>
          <w:szCs w:val="26"/>
          <w:lang w:val="lt-LT"/>
        </w:rPr>
        <w:t xml:space="preserve">T. Sennetti (1990), </w:t>
      </w:r>
      <w:r w:rsidR="005C6EF7" w:rsidRPr="009A3FB3">
        <w:rPr>
          <w:sz w:val="26"/>
          <w:szCs w:val="26"/>
          <w:lang w:val="lt-LT"/>
        </w:rPr>
        <w:t>W.</w:t>
      </w:r>
      <w:r w:rsidR="003F5AB9">
        <w:rPr>
          <w:sz w:val="26"/>
          <w:szCs w:val="26"/>
          <w:lang w:val="lt-LT"/>
        </w:rPr>
        <w:t> </w:t>
      </w:r>
      <w:r w:rsidR="005C6EF7" w:rsidRPr="009A3FB3">
        <w:rPr>
          <w:sz w:val="26"/>
          <w:szCs w:val="26"/>
          <w:lang w:val="lt-LT"/>
        </w:rPr>
        <w:t>R. Kinney (1989) bei S. J. Aldersley (1989) audito rizikos modelius auditorius, surinkęs nepakankamai įrodymų apie galimą reikšmingą iškraipymą, gali atsidurti neteisingo priėmimo padėtyje (IA</w:t>
      </w:r>
      <w:r w:rsidR="005C6EF7" w:rsidRPr="009A3FB3">
        <w:rPr>
          <w:sz w:val="26"/>
          <w:szCs w:val="26"/>
          <w:vertAlign w:val="subscript"/>
          <w:lang w:val="lt-LT"/>
        </w:rPr>
        <w:t>1</w:t>
      </w:r>
      <w:r w:rsidR="005C6EF7" w:rsidRPr="009A3FB3">
        <w:rPr>
          <w:sz w:val="26"/>
          <w:szCs w:val="26"/>
          <w:lang w:val="lt-LT"/>
        </w:rPr>
        <w:t>) arba teisingo priėmimo (CA</w:t>
      </w:r>
      <w:r w:rsidR="005C6EF7" w:rsidRPr="009A3FB3">
        <w:rPr>
          <w:sz w:val="26"/>
          <w:szCs w:val="26"/>
          <w:vertAlign w:val="subscript"/>
          <w:lang w:val="lt-LT"/>
        </w:rPr>
        <w:t>1</w:t>
      </w:r>
      <w:r w:rsidR="005C6EF7" w:rsidRPr="009A3FB3">
        <w:rPr>
          <w:sz w:val="26"/>
          <w:szCs w:val="26"/>
          <w:lang w:val="lt-LT"/>
        </w:rPr>
        <w:t>) padėtyje. Nors audito rizikos apibrėžimas remiasi neteisingo priėmimo atveju – (IA</w:t>
      </w:r>
      <w:r w:rsidR="005C6EF7" w:rsidRPr="009A3FB3">
        <w:rPr>
          <w:sz w:val="26"/>
          <w:szCs w:val="26"/>
          <w:vertAlign w:val="subscript"/>
          <w:lang w:val="lt-LT"/>
        </w:rPr>
        <w:t>1</w:t>
      </w:r>
      <w:r w:rsidR="005C6EF7" w:rsidRPr="009A3FB3">
        <w:rPr>
          <w:sz w:val="26"/>
          <w:szCs w:val="26"/>
          <w:lang w:val="lt-LT"/>
        </w:rPr>
        <w:t xml:space="preserve">), tačiau abu įvykiai galimi. </w:t>
      </w:r>
    </w:p>
    <w:p w:rsidR="00EA1AF7" w:rsidRPr="009A3FB3" w:rsidRDefault="00EA1AF7" w:rsidP="00EA1AF7">
      <w:pPr>
        <w:tabs>
          <w:tab w:val="left" w:pos="709"/>
        </w:tabs>
        <w:spacing w:line="360" w:lineRule="auto"/>
        <w:jc w:val="both"/>
        <w:rPr>
          <w:sz w:val="26"/>
          <w:szCs w:val="26"/>
          <w:lang w:val="lt-LT"/>
        </w:rPr>
      </w:pPr>
      <w:r w:rsidRPr="009A3FB3">
        <w:rPr>
          <w:sz w:val="26"/>
          <w:szCs w:val="26"/>
          <w:lang w:val="lt-LT"/>
        </w:rPr>
        <w:tab/>
        <w:t xml:space="preserve">J. T. Sennetti (1990) nuomone, W. R. Kinney (1989) ir S. J. Aldersley (1989) audito rizikos modeliai gali būti svarbūs ne kaip matematinės taisyklės, o kaip </w:t>
      </w:r>
      <w:r w:rsidRPr="009A3FB3">
        <w:rPr>
          <w:i/>
          <w:sz w:val="26"/>
          <w:szCs w:val="26"/>
          <w:lang w:val="lt-LT"/>
        </w:rPr>
        <w:t>audito rizikos vertinimo orientyrai</w:t>
      </w:r>
      <w:r w:rsidRPr="009A3FB3">
        <w:rPr>
          <w:sz w:val="26"/>
          <w:szCs w:val="26"/>
          <w:lang w:val="lt-LT"/>
        </w:rPr>
        <w:t>.</w:t>
      </w:r>
    </w:p>
    <w:p w:rsidR="009F231C" w:rsidRPr="009A3FB3" w:rsidRDefault="00792A32" w:rsidP="009F231C">
      <w:pPr>
        <w:spacing w:line="360" w:lineRule="auto"/>
        <w:ind w:firstLine="720"/>
        <w:jc w:val="both"/>
        <w:rPr>
          <w:sz w:val="26"/>
          <w:szCs w:val="26"/>
          <w:lang w:val="lt-LT"/>
        </w:rPr>
      </w:pPr>
      <w:r w:rsidRPr="009A3FB3">
        <w:rPr>
          <w:sz w:val="26"/>
          <w:szCs w:val="26"/>
          <w:lang w:val="lt-LT"/>
        </w:rPr>
        <w:t xml:space="preserve">W. R. Kinney (1989) audito rizikos modelis </w:t>
      </w:r>
      <w:r w:rsidRPr="009A3FB3">
        <w:rPr>
          <w:i/>
          <w:sz w:val="26"/>
          <w:szCs w:val="26"/>
          <w:lang w:val="lt-LT"/>
        </w:rPr>
        <w:t xml:space="preserve">yra išsamesnis </w:t>
      </w:r>
      <w:r w:rsidRPr="009A3FB3">
        <w:rPr>
          <w:sz w:val="26"/>
          <w:szCs w:val="26"/>
          <w:lang w:val="lt-LT"/>
        </w:rPr>
        <w:t xml:space="preserve">nei klasikinis audito rizikos modelis </w:t>
      </w:r>
      <w:r w:rsidRPr="009A3FB3">
        <w:rPr>
          <w:i/>
          <w:sz w:val="26"/>
          <w:szCs w:val="26"/>
          <w:lang w:val="lt-LT"/>
        </w:rPr>
        <w:t>audito rizikos planavimo ir įvertinimo tikslais</w:t>
      </w:r>
      <w:r w:rsidRPr="009A3FB3">
        <w:rPr>
          <w:sz w:val="26"/>
          <w:szCs w:val="26"/>
          <w:lang w:val="lt-LT"/>
        </w:rPr>
        <w:t>, nes auditorius turi įvertinti visus atvejus (IA</w:t>
      </w:r>
      <w:r w:rsidRPr="009A3FB3">
        <w:rPr>
          <w:sz w:val="26"/>
          <w:szCs w:val="26"/>
          <w:vertAlign w:val="subscript"/>
          <w:lang w:val="lt-LT"/>
        </w:rPr>
        <w:t>i</w:t>
      </w:r>
      <w:r w:rsidRPr="009A3FB3">
        <w:rPr>
          <w:sz w:val="26"/>
          <w:szCs w:val="26"/>
          <w:lang w:val="lt-LT"/>
        </w:rPr>
        <w:t>, CA</w:t>
      </w:r>
      <w:r w:rsidRPr="009A3FB3">
        <w:rPr>
          <w:sz w:val="26"/>
          <w:szCs w:val="26"/>
          <w:vertAlign w:val="subscript"/>
          <w:lang w:val="lt-LT"/>
        </w:rPr>
        <w:t>i</w:t>
      </w:r>
      <w:r w:rsidRPr="009A3FB3">
        <w:rPr>
          <w:sz w:val="26"/>
          <w:szCs w:val="26"/>
          <w:lang w:val="lt-LT"/>
        </w:rPr>
        <w:t xml:space="preserve">) nustatydamas planuojamą audito rizikos lygį, o planuota audito rizika skiriasi nuo audito rizikos, įvertintos </w:t>
      </w:r>
      <w:r w:rsidRPr="009A3FB3">
        <w:rPr>
          <w:i/>
          <w:sz w:val="26"/>
          <w:szCs w:val="26"/>
          <w:lang w:val="lt-LT"/>
        </w:rPr>
        <w:t>ex post</w:t>
      </w:r>
      <w:r w:rsidRPr="009A3FB3">
        <w:rPr>
          <w:sz w:val="26"/>
          <w:szCs w:val="26"/>
          <w:lang w:val="lt-LT"/>
        </w:rPr>
        <w:t xml:space="preserve"> lygiu, kurios vertimai priklauso nuo tam tikro įvykio pasireiškimo (Sennetti, 1990, p. 109). </w:t>
      </w:r>
      <w:r w:rsidR="00C85F70" w:rsidRPr="009A3FB3">
        <w:rPr>
          <w:sz w:val="26"/>
          <w:szCs w:val="26"/>
          <w:lang w:val="lt-LT"/>
        </w:rPr>
        <w:t xml:space="preserve">Be to, </w:t>
      </w:r>
      <w:r w:rsidR="00EF5239" w:rsidRPr="009A3FB3">
        <w:rPr>
          <w:sz w:val="26"/>
          <w:szCs w:val="26"/>
          <w:lang w:val="lt-LT"/>
        </w:rPr>
        <w:t>W. R. Kinney (1989) ir S.</w:t>
      </w:r>
      <w:r w:rsidR="003F5AB9">
        <w:rPr>
          <w:sz w:val="26"/>
          <w:szCs w:val="26"/>
          <w:lang w:val="lt-LT"/>
        </w:rPr>
        <w:t> </w:t>
      </w:r>
      <w:r w:rsidR="00EF5239" w:rsidRPr="009A3FB3">
        <w:rPr>
          <w:sz w:val="26"/>
          <w:szCs w:val="26"/>
          <w:lang w:val="lt-LT"/>
        </w:rPr>
        <w:t>J.</w:t>
      </w:r>
      <w:r w:rsidR="003F5AB9">
        <w:rPr>
          <w:sz w:val="26"/>
          <w:szCs w:val="26"/>
          <w:lang w:val="lt-LT"/>
        </w:rPr>
        <w:t> </w:t>
      </w:r>
      <w:r w:rsidR="00EF5239" w:rsidRPr="009A3FB3">
        <w:rPr>
          <w:sz w:val="26"/>
          <w:szCs w:val="26"/>
          <w:lang w:val="lt-LT"/>
        </w:rPr>
        <w:t xml:space="preserve">Aldersley (1989) audito rizikos modeliai audito riziką identifikuoja kaip </w:t>
      </w:r>
      <w:r w:rsidR="00EF5239" w:rsidRPr="009A3FB3">
        <w:rPr>
          <w:i/>
          <w:sz w:val="26"/>
          <w:szCs w:val="26"/>
          <w:lang w:val="lt-LT"/>
        </w:rPr>
        <w:t xml:space="preserve">sąlyginę (Bajeso) koncepciją </w:t>
      </w:r>
      <w:r w:rsidR="00EF5239" w:rsidRPr="009A3FB3">
        <w:rPr>
          <w:sz w:val="26"/>
          <w:szCs w:val="26"/>
          <w:lang w:val="lt-LT"/>
        </w:rPr>
        <w:t>ir</w:t>
      </w:r>
      <w:r w:rsidR="00286471" w:rsidRPr="009A3FB3">
        <w:rPr>
          <w:sz w:val="26"/>
          <w:szCs w:val="26"/>
          <w:lang w:val="lt-LT"/>
        </w:rPr>
        <w:t xml:space="preserve"> </w:t>
      </w:r>
      <w:r w:rsidR="00EF5239" w:rsidRPr="009A3FB3">
        <w:rPr>
          <w:sz w:val="26"/>
          <w:szCs w:val="26"/>
          <w:lang w:val="lt-LT"/>
        </w:rPr>
        <w:t>pritaria, kad reikia išankstinės paskyrimo politikos dėl tolesnių procedūrų leistinų rizikų</w:t>
      </w:r>
      <w:r w:rsidR="00286471" w:rsidRPr="009A3FB3">
        <w:rPr>
          <w:sz w:val="26"/>
          <w:szCs w:val="26"/>
          <w:lang w:val="lt-LT"/>
        </w:rPr>
        <w:t xml:space="preserve"> (J. T. Sennetti, 1990, p. 111)</w:t>
      </w:r>
      <w:r w:rsidR="00EF5239" w:rsidRPr="009A3FB3">
        <w:rPr>
          <w:sz w:val="26"/>
          <w:szCs w:val="26"/>
          <w:lang w:val="lt-LT"/>
        </w:rPr>
        <w:t xml:space="preserve">. </w:t>
      </w:r>
      <w:r w:rsidR="00286471" w:rsidRPr="009A3FB3">
        <w:rPr>
          <w:sz w:val="26"/>
          <w:szCs w:val="26"/>
          <w:lang w:val="lt-LT"/>
        </w:rPr>
        <w:t xml:space="preserve">Tai paaiškinama tuo, kad W. R. </w:t>
      </w:r>
      <w:r w:rsidR="001D5455" w:rsidRPr="009A3FB3">
        <w:rPr>
          <w:sz w:val="26"/>
          <w:szCs w:val="26"/>
          <w:lang w:val="lt-LT"/>
        </w:rPr>
        <w:t xml:space="preserve">Kinney (1989) </w:t>
      </w:r>
      <w:r w:rsidR="00286471" w:rsidRPr="009A3FB3">
        <w:rPr>
          <w:sz w:val="26"/>
          <w:szCs w:val="26"/>
          <w:lang w:val="lt-LT"/>
        </w:rPr>
        <w:t xml:space="preserve">ir S. J. Aldersley (1989) </w:t>
      </w:r>
      <w:r w:rsidR="001D5455" w:rsidRPr="009A3FB3">
        <w:rPr>
          <w:sz w:val="26"/>
          <w:szCs w:val="26"/>
          <w:lang w:val="lt-LT"/>
        </w:rPr>
        <w:t>audito rizikos model</w:t>
      </w:r>
      <w:r w:rsidR="00286471" w:rsidRPr="009A3FB3">
        <w:rPr>
          <w:sz w:val="26"/>
          <w:szCs w:val="26"/>
          <w:lang w:val="lt-LT"/>
        </w:rPr>
        <w:t>iuose</w:t>
      </w:r>
      <w:r w:rsidR="001D5455" w:rsidRPr="009A3FB3">
        <w:rPr>
          <w:sz w:val="26"/>
          <w:szCs w:val="26"/>
          <w:lang w:val="lt-LT"/>
        </w:rPr>
        <w:t xml:space="preserve"> (</w:t>
      </w:r>
      <w:r w:rsidR="000B31F5">
        <w:rPr>
          <w:sz w:val="26"/>
          <w:szCs w:val="26"/>
          <w:lang w:val="lt-LT"/>
        </w:rPr>
        <w:t xml:space="preserve">žr. </w:t>
      </w:r>
      <w:r w:rsidR="009A700C" w:rsidRPr="009A3FB3">
        <w:rPr>
          <w:sz w:val="26"/>
          <w:szCs w:val="26"/>
          <w:lang w:val="lt-LT"/>
        </w:rPr>
        <w:t>6</w:t>
      </w:r>
      <w:r w:rsidR="000B31F5">
        <w:rPr>
          <w:sz w:val="26"/>
          <w:szCs w:val="26"/>
          <w:lang w:val="lt-LT"/>
        </w:rPr>
        <w:t>-7</w:t>
      </w:r>
      <w:r w:rsidR="001D5455" w:rsidRPr="009A3FB3">
        <w:rPr>
          <w:sz w:val="26"/>
          <w:szCs w:val="26"/>
          <w:lang w:val="lt-LT"/>
        </w:rPr>
        <w:t xml:space="preserve"> prieda</w:t>
      </w:r>
      <w:r w:rsidR="000B31F5">
        <w:rPr>
          <w:sz w:val="26"/>
          <w:szCs w:val="26"/>
          <w:lang w:val="lt-LT"/>
        </w:rPr>
        <w:t>i</w:t>
      </w:r>
      <w:r w:rsidR="001D5455" w:rsidRPr="009A3FB3">
        <w:rPr>
          <w:sz w:val="26"/>
          <w:szCs w:val="26"/>
          <w:lang w:val="lt-LT"/>
        </w:rPr>
        <w:t>) įgimta ir kontrolės rizikos (</w:t>
      </w:r>
      <w:r w:rsidR="001D5455" w:rsidRPr="009A3FB3">
        <w:rPr>
          <w:i/>
          <w:sz w:val="26"/>
          <w:szCs w:val="26"/>
          <w:lang w:val="lt-LT"/>
        </w:rPr>
        <w:t>IR</w:t>
      </w:r>
      <w:r w:rsidR="00DC3FD4">
        <w:rPr>
          <w:i/>
          <w:sz w:val="26"/>
          <w:szCs w:val="26"/>
          <w:lang w:val="lt-LT"/>
        </w:rPr>
        <w:t> </w:t>
      </w:r>
      <w:r w:rsidR="001D5455" w:rsidRPr="009A3FB3">
        <w:rPr>
          <w:i/>
          <w:sz w:val="26"/>
          <w:szCs w:val="26"/>
          <w:lang w:val="lt-LT"/>
        </w:rPr>
        <w:t>x</w:t>
      </w:r>
      <w:r w:rsidR="00DC3FD4">
        <w:rPr>
          <w:i/>
          <w:sz w:val="26"/>
          <w:szCs w:val="26"/>
          <w:lang w:val="lt-LT"/>
        </w:rPr>
        <w:t> </w:t>
      </w:r>
      <w:r w:rsidR="001D5455" w:rsidRPr="009A3FB3">
        <w:rPr>
          <w:i/>
          <w:sz w:val="26"/>
          <w:szCs w:val="26"/>
          <w:lang w:val="lt-LT"/>
        </w:rPr>
        <w:t>IC</w:t>
      </w:r>
      <w:r w:rsidR="001D5455" w:rsidRPr="009A3FB3">
        <w:rPr>
          <w:i/>
          <w:sz w:val="26"/>
          <w:szCs w:val="26"/>
          <w:vertAlign w:val="subscript"/>
          <w:lang w:val="lt-LT"/>
        </w:rPr>
        <w:t>1</w:t>
      </w:r>
      <w:r w:rsidR="00DC3FD4">
        <w:rPr>
          <w:i/>
          <w:sz w:val="26"/>
          <w:szCs w:val="26"/>
          <w:vertAlign w:val="subscript"/>
          <w:lang w:val="lt-LT"/>
        </w:rPr>
        <w:t> </w:t>
      </w:r>
      <w:r w:rsidR="00DC3FD4">
        <w:rPr>
          <w:i/>
          <w:sz w:val="26"/>
          <w:szCs w:val="26"/>
          <w:lang w:val="lt-LT"/>
        </w:rPr>
        <w:t>= </w:t>
      </w:r>
      <w:r w:rsidR="001D5455" w:rsidRPr="009A3FB3">
        <w:rPr>
          <w:i/>
          <w:sz w:val="26"/>
          <w:szCs w:val="26"/>
          <w:lang w:val="lt-LT"/>
        </w:rPr>
        <w:t>PR</w:t>
      </w:r>
      <w:r w:rsidR="001D5455" w:rsidRPr="009A3FB3">
        <w:rPr>
          <w:i/>
          <w:sz w:val="26"/>
          <w:szCs w:val="26"/>
          <w:vertAlign w:val="subscript"/>
          <w:lang w:val="lt-LT"/>
        </w:rPr>
        <w:t>1</w:t>
      </w:r>
      <w:r w:rsidR="001D5455" w:rsidRPr="009A3FB3">
        <w:rPr>
          <w:sz w:val="26"/>
          <w:szCs w:val="26"/>
          <w:lang w:val="lt-LT"/>
        </w:rPr>
        <w:t xml:space="preserve"> ar </w:t>
      </w:r>
      <m:oMath>
        <m:acc>
          <m:accPr>
            <m:chr m:val="̅"/>
            <m:ctrlPr>
              <w:rPr>
                <w:rFonts w:ascii="Cambria Math" w:hAnsi="Cambria Math"/>
                <w:i/>
                <w:sz w:val="26"/>
                <w:szCs w:val="26"/>
                <w:lang w:val="lt-LT"/>
              </w:rPr>
            </m:ctrlPr>
          </m:accPr>
          <m:e>
            <m:r>
              <w:rPr>
                <w:rFonts w:ascii="Cambria Math" w:hAnsi="Cambria Math"/>
                <w:sz w:val="26"/>
                <w:szCs w:val="26"/>
                <w:lang w:val="lt-LT"/>
              </w:rPr>
              <m:t>IR</m:t>
            </m:r>
          </m:e>
        </m:acc>
      </m:oMath>
      <w:r w:rsidR="001D5455" w:rsidRPr="009A3FB3">
        <w:rPr>
          <w:i/>
          <w:sz w:val="26"/>
          <w:szCs w:val="26"/>
          <w:lang w:val="lt-LT"/>
        </w:rPr>
        <w:t xml:space="preserve"> x IC</w:t>
      </w:r>
      <w:r w:rsidR="001D5455" w:rsidRPr="009A3FB3">
        <w:rPr>
          <w:i/>
          <w:sz w:val="26"/>
          <w:szCs w:val="26"/>
          <w:vertAlign w:val="subscript"/>
          <w:lang w:val="lt-LT"/>
        </w:rPr>
        <w:t>2</w:t>
      </w:r>
      <w:r w:rsidR="001D5455" w:rsidRPr="009A3FB3">
        <w:rPr>
          <w:i/>
          <w:sz w:val="26"/>
          <w:szCs w:val="26"/>
          <w:lang w:val="lt-LT"/>
        </w:rPr>
        <w:t xml:space="preserve"> = PR</w:t>
      </w:r>
      <w:r w:rsidR="001D5455" w:rsidRPr="009A3FB3">
        <w:rPr>
          <w:i/>
          <w:sz w:val="26"/>
          <w:szCs w:val="26"/>
          <w:vertAlign w:val="subscript"/>
          <w:lang w:val="lt-LT"/>
        </w:rPr>
        <w:t>2</w:t>
      </w:r>
      <w:r w:rsidR="001D5455" w:rsidRPr="009A3FB3">
        <w:rPr>
          <w:sz w:val="26"/>
          <w:szCs w:val="26"/>
          <w:lang w:val="lt-LT"/>
        </w:rPr>
        <w:t xml:space="preserve">) gali </w:t>
      </w:r>
      <w:r w:rsidR="009B6868" w:rsidRPr="009A3FB3">
        <w:rPr>
          <w:sz w:val="26"/>
          <w:szCs w:val="26"/>
          <w:lang w:val="lt-LT"/>
        </w:rPr>
        <w:t xml:space="preserve">būti </w:t>
      </w:r>
      <w:r w:rsidR="001D5455" w:rsidRPr="009A3FB3">
        <w:rPr>
          <w:sz w:val="26"/>
          <w:szCs w:val="26"/>
          <w:lang w:val="lt-LT"/>
        </w:rPr>
        <w:t>apibūdintos kaip „pirminės“ rizikos, lemiančius tolesnius audito veiksmus</w:t>
      </w:r>
      <w:r w:rsidR="00286471" w:rsidRPr="009A3FB3">
        <w:rPr>
          <w:sz w:val="26"/>
          <w:szCs w:val="26"/>
          <w:lang w:val="lt-LT"/>
        </w:rPr>
        <w:t xml:space="preserve">, tuo tarpu J. T. Sennetti (1990) audito rizikos modelio formulė rodo tik </w:t>
      </w:r>
      <w:r w:rsidR="00286471" w:rsidRPr="009A3FB3">
        <w:rPr>
          <w:i/>
          <w:sz w:val="26"/>
          <w:szCs w:val="26"/>
          <w:lang w:val="lt-LT"/>
        </w:rPr>
        <w:t xml:space="preserve">ex post </w:t>
      </w:r>
      <w:r w:rsidR="00286471" w:rsidRPr="009A3FB3">
        <w:rPr>
          <w:sz w:val="26"/>
          <w:szCs w:val="26"/>
          <w:lang w:val="lt-LT"/>
        </w:rPr>
        <w:t xml:space="preserve">audito riziką. </w:t>
      </w:r>
    </w:p>
    <w:p w:rsidR="009F231C" w:rsidRPr="009A3FB3" w:rsidRDefault="009F231C" w:rsidP="009F231C">
      <w:pPr>
        <w:spacing w:line="360" w:lineRule="auto"/>
        <w:ind w:firstLine="720"/>
        <w:jc w:val="both"/>
        <w:rPr>
          <w:sz w:val="26"/>
          <w:szCs w:val="26"/>
          <w:lang w:val="lt-LT"/>
        </w:rPr>
      </w:pPr>
      <w:r w:rsidRPr="009A3FB3">
        <w:rPr>
          <w:sz w:val="26"/>
          <w:szCs w:val="26"/>
          <w:lang w:val="lt-LT"/>
        </w:rPr>
        <w:t xml:space="preserve">Be to, W. R. Kinney (1989) </w:t>
      </w:r>
      <w:r w:rsidR="004218C5" w:rsidRPr="009A3FB3">
        <w:rPr>
          <w:sz w:val="26"/>
          <w:szCs w:val="26"/>
          <w:lang w:val="lt-LT"/>
        </w:rPr>
        <w:t>pateikia</w:t>
      </w:r>
      <w:r w:rsidRPr="009A3FB3">
        <w:rPr>
          <w:sz w:val="26"/>
          <w:szCs w:val="26"/>
          <w:lang w:val="lt-LT"/>
        </w:rPr>
        <w:t xml:space="preserve"> klasikinio audito rizikos modelio modifikaciją, kuri pripažįsta priklausomumą tarp dviejų audito rizikos komponentų, t. y. įgimtos ir kontrolės rizikų. Anot W. R. Kinney (1989), įgimtos rizikos (IR</w:t>
      </w:r>
      <w:r w:rsidRPr="009A3FB3">
        <w:rPr>
          <w:sz w:val="26"/>
          <w:szCs w:val="26"/>
          <w:vertAlign w:val="subscript"/>
          <w:lang w:val="lt-LT"/>
        </w:rPr>
        <w:t>nc</w:t>
      </w:r>
      <w:r w:rsidRPr="009A3FB3">
        <w:rPr>
          <w:sz w:val="26"/>
          <w:szCs w:val="26"/>
          <w:lang w:val="lt-LT"/>
        </w:rPr>
        <w:t xml:space="preserve">) veiksniai, kurie negali būti sumažinti kontrolės procedūrų dėka (visaapimantys veiksniai), daro įtaką visai įmonės vidaus kontrolės struktūrai, nes šios rizikos veiksniai susiję su visa įmone ir yra svarbūs visiems </w:t>
      </w:r>
      <w:r w:rsidRPr="009A3FB3">
        <w:rPr>
          <w:sz w:val="26"/>
          <w:szCs w:val="26"/>
          <w:lang w:val="lt-LT"/>
        </w:rPr>
        <w:lastRenderedPageBreak/>
        <w:t>apskaitos ciklams ir sąskaitų likučiams. Kita vertus, įgimtos rizikos (IR</w:t>
      </w:r>
      <w:r w:rsidRPr="009A3FB3">
        <w:rPr>
          <w:sz w:val="26"/>
          <w:szCs w:val="26"/>
          <w:vertAlign w:val="subscript"/>
          <w:lang w:val="lt-LT"/>
        </w:rPr>
        <w:t>c</w:t>
      </w:r>
      <w:r w:rsidRPr="009A3FB3">
        <w:rPr>
          <w:sz w:val="26"/>
          <w:szCs w:val="26"/>
          <w:lang w:val="lt-LT"/>
        </w:rPr>
        <w:t>) veiksniai, kurie sumažinami kontrolės procedūrų dėka</w:t>
      </w:r>
      <w:r w:rsidR="00BB333E">
        <w:rPr>
          <w:sz w:val="26"/>
          <w:szCs w:val="26"/>
          <w:lang w:val="lt-LT"/>
        </w:rPr>
        <w:t>,</w:t>
      </w:r>
      <w:r w:rsidRPr="009A3FB3">
        <w:rPr>
          <w:sz w:val="26"/>
          <w:szCs w:val="26"/>
          <w:lang w:val="lt-LT"/>
        </w:rPr>
        <w:t xml:space="preserve"> (specifiniai veiksniai)</w:t>
      </w:r>
      <w:r w:rsidR="00BB333E">
        <w:rPr>
          <w:sz w:val="26"/>
          <w:szCs w:val="26"/>
          <w:lang w:val="lt-LT"/>
        </w:rPr>
        <w:t xml:space="preserve"> </w:t>
      </w:r>
      <w:r w:rsidRPr="009A3FB3">
        <w:rPr>
          <w:sz w:val="26"/>
          <w:szCs w:val="26"/>
          <w:lang w:val="lt-LT"/>
        </w:rPr>
        <w:t xml:space="preserve">yra svarbūs tam tikriems apskaitos ciklams ir sąskaitų likučiams. W. R. Kinney (1989) siūlo klasikinio audito rizikos modelio matematinę išraišką modifikuoti taip (Messier, Austen, 2000b, p. 121): </w:t>
      </w:r>
    </w:p>
    <w:p w:rsidR="009F231C" w:rsidRPr="009A3FB3" w:rsidRDefault="009F231C" w:rsidP="009F231C">
      <w:pPr>
        <w:spacing w:line="360" w:lineRule="auto"/>
        <w:ind w:left="2160" w:firstLine="720"/>
        <w:jc w:val="both"/>
        <w:rPr>
          <w:i/>
          <w:sz w:val="26"/>
          <w:szCs w:val="26"/>
          <w:lang w:val="lt-LT"/>
        </w:rPr>
      </w:pPr>
      <w:r w:rsidRPr="009A3FB3">
        <w:rPr>
          <w:i/>
          <w:sz w:val="26"/>
          <w:szCs w:val="26"/>
          <w:lang w:val="lt-LT"/>
        </w:rPr>
        <w:t>AR = [IR</w:t>
      </w:r>
      <w:r w:rsidRPr="009A3FB3">
        <w:rPr>
          <w:i/>
          <w:sz w:val="26"/>
          <w:szCs w:val="26"/>
          <w:vertAlign w:val="subscript"/>
          <w:lang w:val="lt-LT"/>
        </w:rPr>
        <w:t>nc</w:t>
      </w:r>
      <w:r w:rsidRPr="009A3FB3">
        <w:rPr>
          <w:i/>
          <w:sz w:val="26"/>
          <w:szCs w:val="26"/>
          <w:lang w:val="lt-LT"/>
        </w:rPr>
        <w:t xml:space="preserve"> + (IR</w:t>
      </w:r>
      <w:r w:rsidRPr="009A3FB3">
        <w:rPr>
          <w:i/>
          <w:sz w:val="26"/>
          <w:szCs w:val="26"/>
          <w:vertAlign w:val="subscript"/>
          <w:lang w:val="lt-LT"/>
        </w:rPr>
        <w:t>c</w:t>
      </w:r>
      <w:r w:rsidRPr="009A3FB3">
        <w:rPr>
          <w:i/>
          <w:sz w:val="26"/>
          <w:szCs w:val="26"/>
          <w:lang w:val="lt-LT"/>
        </w:rPr>
        <w:t xml:space="preserve"> x CR</w:t>
      </w:r>
      <w:r w:rsidRPr="009A3FB3">
        <w:rPr>
          <w:i/>
          <w:sz w:val="26"/>
          <w:szCs w:val="26"/>
          <w:vertAlign w:val="subscript"/>
          <w:lang w:val="lt-LT"/>
        </w:rPr>
        <w:t>c</w:t>
      </w:r>
      <w:r w:rsidRPr="009A3FB3">
        <w:rPr>
          <w:i/>
          <w:sz w:val="26"/>
          <w:szCs w:val="26"/>
          <w:lang w:val="lt-LT"/>
        </w:rPr>
        <w:t>)] x DR</w:t>
      </w:r>
      <w:r w:rsidRPr="009A3FB3">
        <w:rPr>
          <w:i/>
          <w:sz w:val="26"/>
          <w:szCs w:val="26"/>
          <w:lang w:val="lt-LT"/>
        </w:rPr>
        <w:tab/>
      </w:r>
      <w:r w:rsidRPr="009A3FB3">
        <w:rPr>
          <w:i/>
          <w:sz w:val="26"/>
          <w:szCs w:val="26"/>
          <w:lang w:val="lt-LT"/>
        </w:rPr>
        <w:tab/>
      </w:r>
      <w:r w:rsidR="00DC3FD4">
        <w:rPr>
          <w:i/>
          <w:sz w:val="26"/>
          <w:szCs w:val="26"/>
          <w:lang w:val="lt-LT"/>
        </w:rPr>
        <w:tab/>
      </w:r>
      <w:r w:rsidRPr="009A3FB3">
        <w:rPr>
          <w:i/>
          <w:sz w:val="26"/>
          <w:szCs w:val="26"/>
          <w:lang w:val="lt-LT"/>
        </w:rPr>
        <w:t>(6)</w:t>
      </w:r>
    </w:p>
    <w:p w:rsidR="009F231C" w:rsidRPr="003F5AB9" w:rsidRDefault="009F231C" w:rsidP="003F5AB9">
      <w:pPr>
        <w:jc w:val="both"/>
        <w:rPr>
          <w:sz w:val="22"/>
          <w:szCs w:val="22"/>
          <w:lang w:val="lt-LT"/>
        </w:rPr>
      </w:pPr>
      <w:r w:rsidRPr="003F5AB9">
        <w:rPr>
          <w:sz w:val="22"/>
          <w:szCs w:val="22"/>
          <w:lang w:val="lt-LT"/>
        </w:rPr>
        <w:t>kur: AR – audito rizika; IR</w:t>
      </w:r>
      <w:r w:rsidRPr="003F5AB9">
        <w:rPr>
          <w:sz w:val="22"/>
          <w:szCs w:val="22"/>
          <w:vertAlign w:val="subscript"/>
          <w:lang w:val="lt-LT"/>
        </w:rPr>
        <w:t>nc</w:t>
      </w:r>
      <w:r w:rsidRPr="003F5AB9">
        <w:rPr>
          <w:sz w:val="22"/>
          <w:szCs w:val="22"/>
          <w:lang w:val="lt-LT"/>
        </w:rPr>
        <w:t xml:space="preserve"> – įgimta rizika, kuri nesumažinama kontrolės procedūrų pagalba; IR</w:t>
      </w:r>
      <w:r w:rsidRPr="003F5AB9">
        <w:rPr>
          <w:sz w:val="22"/>
          <w:szCs w:val="22"/>
          <w:vertAlign w:val="subscript"/>
          <w:lang w:val="lt-LT"/>
        </w:rPr>
        <w:t>c</w:t>
      </w:r>
      <w:r w:rsidRPr="003F5AB9">
        <w:rPr>
          <w:sz w:val="22"/>
          <w:szCs w:val="22"/>
          <w:lang w:val="lt-LT"/>
        </w:rPr>
        <w:t xml:space="preserve"> – įgimta rizika, kuri sumažinama kontrolės procedūrų dėka; CR</w:t>
      </w:r>
      <w:r w:rsidRPr="003F5AB9">
        <w:rPr>
          <w:sz w:val="22"/>
          <w:szCs w:val="22"/>
          <w:vertAlign w:val="subscript"/>
          <w:lang w:val="lt-LT"/>
        </w:rPr>
        <w:t>c</w:t>
      </w:r>
      <w:r w:rsidRPr="003F5AB9">
        <w:rPr>
          <w:sz w:val="22"/>
          <w:szCs w:val="22"/>
          <w:lang w:val="lt-LT"/>
        </w:rPr>
        <w:t xml:space="preserve"> – kontrolės rizika; DR – aptikimo rizika.</w:t>
      </w:r>
    </w:p>
    <w:p w:rsidR="00DD44FE" w:rsidRPr="009A3FB3" w:rsidRDefault="00162E08" w:rsidP="003F5AB9">
      <w:pPr>
        <w:spacing w:before="120" w:line="360" w:lineRule="auto"/>
        <w:ind w:firstLine="720"/>
        <w:jc w:val="both"/>
        <w:rPr>
          <w:color w:val="000000" w:themeColor="text1"/>
          <w:sz w:val="26"/>
          <w:szCs w:val="26"/>
          <w:lang w:val="lt-LT"/>
        </w:rPr>
      </w:pPr>
      <w:r w:rsidRPr="009A3FB3">
        <w:rPr>
          <w:sz w:val="26"/>
          <w:szCs w:val="26"/>
          <w:lang w:val="lt-LT"/>
        </w:rPr>
        <w:t>Darbo a</w:t>
      </w:r>
      <w:r w:rsidR="00C85F70" w:rsidRPr="009A3FB3">
        <w:rPr>
          <w:sz w:val="26"/>
          <w:szCs w:val="26"/>
          <w:lang w:val="lt-LT"/>
        </w:rPr>
        <w:t xml:space="preserve">utorės nuomone, </w:t>
      </w:r>
      <w:r w:rsidR="009F231C" w:rsidRPr="009A3FB3">
        <w:rPr>
          <w:sz w:val="26"/>
          <w:szCs w:val="26"/>
          <w:lang w:val="lt-LT"/>
        </w:rPr>
        <w:t xml:space="preserve">pastarasis </w:t>
      </w:r>
      <w:r w:rsidR="00C85F70" w:rsidRPr="009A3FB3">
        <w:rPr>
          <w:sz w:val="26"/>
          <w:szCs w:val="26"/>
          <w:lang w:val="lt-LT"/>
        </w:rPr>
        <w:t>W. R. Kinney (1989) siūlymas įgimtos rizikos veiksnius skirstyti į visaapimančius ir į specifinius iš dalies atitinka audito standartuose (200 TSA, 2007) aptartus reikšmingo iškraipymo rizikų pasireiškimo lygmenis, t. y. finansinių ataskaitų lygmuo (visaapimanti</w:t>
      </w:r>
      <w:r w:rsidR="00C85F70" w:rsidRPr="009A3FB3">
        <w:rPr>
          <w:color w:val="000000" w:themeColor="text1"/>
          <w:sz w:val="26"/>
          <w:szCs w:val="26"/>
          <w:lang w:val="lt-LT"/>
        </w:rPr>
        <w:t xml:space="preserve">s), </w:t>
      </w:r>
      <w:r w:rsidR="0025194A" w:rsidRPr="009A3FB3">
        <w:rPr>
          <w:color w:val="000000" w:themeColor="text1"/>
          <w:sz w:val="26"/>
          <w:szCs w:val="26"/>
          <w:lang w:val="lt-LT"/>
        </w:rPr>
        <w:t>tvirtinimo</w:t>
      </w:r>
      <w:r w:rsidR="00C85F70" w:rsidRPr="009A3FB3">
        <w:rPr>
          <w:color w:val="000000" w:themeColor="text1"/>
          <w:sz w:val="26"/>
          <w:szCs w:val="26"/>
          <w:lang w:val="lt-LT"/>
        </w:rPr>
        <w:t xml:space="preserve"> lygmuo (specifinis). Todėl galima teigti, kad W. R. Kinney (1989) audito rizikos modelis</w:t>
      </w:r>
      <w:r w:rsidR="00010298" w:rsidRPr="009A3FB3">
        <w:rPr>
          <w:i/>
          <w:color w:val="000000" w:themeColor="text1"/>
          <w:sz w:val="26"/>
          <w:szCs w:val="26"/>
          <w:lang w:val="lt-LT"/>
        </w:rPr>
        <w:t xml:space="preserve"> </w:t>
      </w:r>
      <w:r w:rsidR="00C85F70" w:rsidRPr="009A3FB3">
        <w:rPr>
          <w:i/>
          <w:color w:val="000000" w:themeColor="text1"/>
          <w:sz w:val="26"/>
          <w:szCs w:val="26"/>
          <w:lang w:val="lt-LT"/>
        </w:rPr>
        <w:t>bando spręsti agregacijos problemą</w:t>
      </w:r>
      <w:r w:rsidR="00C85F70" w:rsidRPr="009A3FB3">
        <w:rPr>
          <w:color w:val="000000" w:themeColor="text1"/>
          <w:sz w:val="26"/>
          <w:szCs w:val="26"/>
          <w:lang w:val="lt-LT"/>
        </w:rPr>
        <w:t>, kuri būdinga klasikiniam audito rizikos modeliui</w:t>
      </w:r>
      <w:r w:rsidR="0068388D" w:rsidRPr="009A3FB3">
        <w:rPr>
          <w:color w:val="000000" w:themeColor="text1"/>
          <w:sz w:val="26"/>
          <w:szCs w:val="26"/>
          <w:lang w:val="lt-LT"/>
        </w:rPr>
        <w:t>.</w:t>
      </w:r>
    </w:p>
    <w:p w:rsidR="002F1B79" w:rsidRPr="009A3FB3" w:rsidRDefault="00DD44FE" w:rsidP="00EA1AF7">
      <w:pPr>
        <w:tabs>
          <w:tab w:val="left" w:pos="567"/>
          <w:tab w:val="left" w:pos="709"/>
        </w:tabs>
        <w:spacing w:line="360" w:lineRule="auto"/>
        <w:jc w:val="both"/>
        <w:rPr>
          <w:sz w:val="26"/>
          <w:szCs w:val="26"/>
          <w:lang w:val="lt-LT"/>
        </w:rPr>
      </w:pPr>
      <w:r w:rsidRPr="009A3FB3">
        <w:rPr>
          <w:color w:val="000000" w:themeColor="text1"/>
          <w:sz w:val="26"/>
          <w:szCs w:val="26"/>
          <w:lang w:val="lt-LT"/>
        </w:rPr>
        <w:tab/>
      </w:r>
      <w:r w:rsidR="00EA1AF7" w:rsidRPr="009A3FB3">
        <w:rPr>
          <w:color w:val="000000" w:themeColor="text1"/>
          <w:sz w:val="26"/>
          <w:szCs w:val="26"/>
          <w:lang w:val="lt-LT"/>
        </w:rPr>
        <w:tab/>
      </w:r>
      <w:r w:rsidR="004B202D" w:rsidRPr="009A3FB3">
        <w:rPr>
          <w:color w:val="000000" w:themeColor="text1"/>
          <w:sz w:val="26"/>
          <w:szCs w:val="26"/>
          <w:u w:val="single"/>
          <w:lang w:val="lt-LT"/>
        </w:rPr>
        <w:t>Trūkumai</w:t>
      </w:r>
      <w:r w:rsidR="004B202D" w:rsidRPr="009A3FB3">
        <w:rPr>
          <w:color w:val="000000" w:themeColor="text1"/>
          <w:sz w:val="26"/>
          <w:szCs w:val="26"/>
          <w:lang w:val="lt-LT"/>
        </w:rPr>
        <w:t xml:space="preserve">. </w:t>
      </w:r>
      <w:r w:rsidR="00B06CD3" w:rsidRPr="009A3FB3">
        <w:rPr>
          <w:color w:val="000000" w:themeColor="text1"/>
          <w:sz w:val="26"/>
          <w:szCs w:val="26"/>
          <w:lang w:val="lt-LT"/>
        </w:rPr>
        <w:t>F. W. Messier</w:t>
      </w:r>
      <w:r w:rsidR="00B06CD3" w:rsidRPr="009A3FB3">
        <w:rPr>
          <w:sz w:val="26"/>
          <w:szCs w:val="26"/>
          <w:lang w:val="lt-LT"/>
        </w:rPr>
        <w:t xml:space="preserve">, L. A. Austen (2000b) </w:t>
      </w:r>
      <w:r w:rsidR="00A93EC3" w:rsidRPr="009A3FB3">
        <w:rPr>
          <w:sz w:val="26"/>
          <w:szCs w:val="26"/>
          <w:lang w:val="lt-LT"/>
        </w:rPr>
        <w:t xml:space="preserve">savo tyrimu </w:t>
      </w:r>
      <w:r w:rsidR="005570AC" w:rsidRPr="009A3FB3">
        <w:rPr>
          <w:sz w:val="26"/>
          <w:szCs w:val="26"/>
          <w:lang w:val="lt-LT"/>
        </w:rPr>
        <w:t>paneigė W.</w:t>
      </w:r>
      <w:r w:rsidR="00DC3FD4">
        <w:rPr>
          <w:sz w:val="26"/>
          <w:szCs w:val="26"/>
          <w:lang w:val="lt-LT"/>
        </w:rPr>
        <w:t> </w:t>
      </w:r>
      <w:r w:rsidR="005570AC" w:rsidRPr="009A3FB3">
        <w:rPr>
          <w:sz w:val="26"/>
          <w:szCs w:val="26"/>
          <w:lang w:val="lt-LT"/>
        </w:rPr>
        <w:t>R. Kinney</w:t>
      </w:r>
      <w:r w:rsidR="0072274E" w:rsidRPr="009A3FB3">
        <w:rPr>
          <w:sz w:val="26"/>
          <w:szCs w:val="26"/>
          <w:lang w:val="lt-LT"/>
        </w:rPr>
        <w:t xml:space="preserve"> </w:t>
      </w:r>
      <w:r w:rsidR="005570AC" w:rsidRPr="009A3FB3">
        <w:rPr>
          <w:sz w:val="26"/>
          <w:szCs w:val="26"/>
          <w:lang w:val="lt-LT"/>
        </w:rPr>
        <w:t xml:space="preserve">(1998) siūlomą </w:t>
      </w:r>
      <w:r w:rsidR="00BF7944" w:rsidRPr="009A3FB3">
        <w:rPr>
          <w:sz w:val="26"/>
          <w:szCs w:val="26"/>
          <w:lang w:val="lt-LT"/>
        </w:rPr>
        <w:t xml:space="preserve">klasikinio </w:t>
      </w:r>
      <w:r w:rsidR="005570AC" w:rsidRPr="009A3FB3">
        <w:rPr>
          <w:sz w:val="26"/>
          <w:szCs w:val="26"/>
          <w:lang w:val="lt-LT"/>
        </w:rPr>
        <w:t xml:space="preserve">audito rizikos modelio modifikaciją </w:t>
      </w:r>
      <w:r w:rsidR="0072274E" w:rsidRPr="009A3FB3">
        <w:rPr>
          <w:sz w:val="26"/>
          <w:szCs w:val="26"/>
          <w:lang w:val="lt-LT"/>
        </w:rPr>
        <w:t>(žr.</w:t>
      </w:r>
      <w:r w:rsidR="00DC3FD4">
        <w:rPr>
          <w:sz w:val="26"/>
          <w:szCs w:val="26"/>
          <w:lang w:val="lt-LT"/>
        </w:rPr>
        <w:t> </w:t>
      </w:r>
      <w:r w:rsidR="009F231C" w:rsidRPr="009A3FB3">
        <w:rPr>
          <w:sz w:val="26"/>
          <w:szCs w:val="26"/>
          <w:lang w:val="lt-LT"/>
        </w:rPr>
        <w:t>6</w:t>
      </w:r>
      <w:r w:rsidR="00DC3FD4">
        <w:rPr>
          <w:sz w:val="26"/>
          <w:szCs w:val="26"/>
          <w:lang w:val="lt-LT"/>
        </w:rPr>
        <w:t> </w:t>
      </w:r>
      <w:r w:rsidR="0072274E" w:rsidRPr="009A3FB3">
        <w:rPr>
          <w:sz w:val="26"/>
          <w:szCs w:val="26"/>
          <w:lang w:val="lt-LT"/>
        </w:rPr>
        <w:t xml:space="preserve">formulė) </w:t>
      </w:r>
      <w:r w:rsidR="005570AC" w:rsidRPr="009A3FB3">
        <w:rPr>
          <w:sz w:val="26"/>
          <w:szCs w:val="26"/>
          <w:lang w:val="lt-LT"/>
        </w:rPr>
        <w:t xml:space="preserve">ir </w:t>
      </w:r>
      <w:r w:rsidR="0036296E" w:rsidRPr="009A3FB3">
        <w:rPr>
          <w:sz w:val="26"/>
          <w:szCs w:val="26"/>
          <w:lang w:val="lt-LT"/>
        </w:rPr>
        <w:t>pagrindė</w:t>
      </w:r>
      <w:r w:rsidR="00B06CD3" w:rsidRPr="009A3FB3">
        <w:rPr>
          <w:sz w:val="26"/>
          <w:szCs w:val="26"/>
          <w:lang w:val="lt-LT"/>
        </w:rPr>
        <w:t>, kad</w:t>
      </w:r>
      <w:r w:rsidR="00A93EC3" w:rsidRPr="009A3FB3">
        <w:rPr>
          <w:sz w:val="26"/>
          <w:szCs w:val="26"/>
          <w:lang w:val="lt-LT"/>
        </w:rPr>
        <w:t xml:space="preserve"> </w:t>
      </w:r>
      <w:r w:rsidR="00A93EC3" w:rsidRPr="009A3FB3">
        <w:rPr>
          <w:i/>
          <w:sz w:val="26"/>
          <w:szCs w:val="26"/>
          <w:lang w:val="lt-LT"/>
        </w:rPr>
        <w:t xml:space="preserve">egzistuoja žiniomis paremtas </w:t>
      </w:r>
      <w:r w:rsidR="00B9729B" w:rsidRPr="009A3FB3">
        <w:rPr>
          <w:i/>
          <w:sz w:val="26"/>
          <w:szCs w:val="26"/>
          <w:lang w:val="lt-LT"/>
        </w:rPr>
        <w:t xml:space="preserve">bendras audito rizikos komponentų </w:t>
      </w:r>
      <w:r w:rsidR="00B9729B" w:rsidRPr="009A3FB3">
        <w:rPr>
          <w:sz w:val="26"/>
          <w:szCs w:val="26"/>
          <w:lang w:val="lt-LT"/>
        </w:rPr>
        <w:t>– įgimtos ir kontrolės rizikų vertinimas</w:t>
      </w:r>
      <w:r w:rsidR="005734B0" w:rsidRPr="009A3FB3">
        <w:rPr>
          <w:sz w:val="26"/>
          <w:szCs w:val="26"/>
          <w:lang w:val="lt-LT"/>
        </w:rPr>
        <w:t>.</w:t>
      </w:r>
      <w:r w:rsidR="00F534B1" w:rsidRPr="009A3FB3">
        <w:rPr>
          <w:sz w:val="26"/>
          <w:szCs w:val="26"/>
          <w:lang w:val="lt-LT"/>
        </w:rPr>
        <w:t xml:space="preserve"> F. W. Messier, L.</w:t>
      </w:r>
      <w:r w:rsidR="00DC3FD4">
        <w:rPr>
          <w:sz w:val="26"/>
          <w:szCs w:val="26"/>
          <w:lang w:val="lt-LT"/>
        </w:rPr>
        <w:t> </w:t>
      </w:r>
      <w:r w:rsidR="00F534B1" w:rsidRPr="009A3FB3">
        <w:rPr>
          <w:sz w:val="26"/>
          <w:szCs w:val="26"/>
          <w:lang w:val="lt-LT"/>
        </w:rPr>
        <w:t>A. Austen (2000b) nustatė</w:t>
      </w:r>
      <w:r w:rsidR="00B9729B" w:rsidRPr="009A3FB3">
        <w:rPr>
          <w:sz w:val="26"/>
          <w:szCs w:val="26"/>
          <w:lang w:val="lt-LT"/>
        </w:rPr>
        <w:t xml:space="preserve">, </w:t>
      </w:r>
      <w:r w:rsidR="005570AC" w:rsidRPr="009A3FB3">
        <w:rPr>
          <w:sz w:val="26"/>
          <w:szCs w:val="26"/>
          <w:lang w:val="lt-LT"/>
        </w:rPr>
        <w:t xml:space="preserve">kad </w:t>
      </w:r>
      <w:r w:rsidR="008F0599" w:rsidRPr="009A3FB3">
        <w:rPr>
          <w:sz w:val="26"/>
          <w:szCs w:val="26"/>
          <w:lang w:val="lt-LT"/>
        </w:rPr>
        <w:t>visaapiman</w:t>
      </w:r>
      <w:r w:rsidR="00760595" w:rsidRPr="009A3FB3">
        <w:rPr>
          <w:sz w:val="26"/>
          <w:szCs w:val="26"/>
          <w:lang w:val="lt-LT"/>
        </w:rPr>
        <w:t>t</w:t>
      </w:r>
      <w:r w:rsidR="008F0599" w:rsidRPr="009A3FB3">
        <w:rPr>
          <w:sz w:val="26"/>
          <w:szCs w:val="26"/>
          <w:lang w:val="lt-LT"/>
        </w:rPr>
        <w:t xml:space="preserve">ys ir </w:t>
      </w:r>
      <w:r w:rsidR="00152569" w:rsidRPr="009A3FB3">
        <w:rPr>
          <w:sz w:val="26"/>
          <w:szCs w:val="26"/>
          <w:lang w:val="lt-LT"/>
        </w:rPr>
        <w:t>specifiniai</w:t>
      </w:r>
      <w:r w:rsidR="008F0599" w:rsidRPr="009A3FB3">
        <w:rPr>
          <w:sz w:val="26"/>
          <w:szCs w:val="26"/>
          <w:lang w:val="lt-LT"/>
        </w:rPr>
        <w:t xml:space="preserve"> įg</w:t>
      </w:r>
      <w:r w:rsidR="00152569" w:rsidRPr="009A3FB3">
        <w:rPr>
          <w:sz w:val="26"/>
          <w:szCs w:val="26"/>
          <w:lang w:val="lt-LT"/>
        </w:rPr>
        <w:t>i</w:t>
      </w:r>
      <w:r w:rsidR="008F0599" w:rsidRPr="009A3FB3">
        <w:rPr>
          <w:sz w:val="26"/>
          <w:szCs w:val="26"/>
          <w:lang w:val="lt-LT"/>
        </w:rPr>
        <w:t xml:space="preserve">mtos ir kontrolės rizikų veiksniai </w:t>
      </w:r>
      <w:r w:rsidR="00152569" w:rsidRPr="009A3FB3">
        <w:rPr>
          <w:sz w:val="26"/>
          <w:szCs w:val="26"/>
          <w:lang w:val="lt-LT"/>
        </w:rPr>
        <w:t>lemia įgimtos rizikos vertinimą,</w:t>
      </w:r>
      <w:r w:rsidR="00F534B1" w:rsidRPr="009A3FB3">
        <w:rPr>
          <w:sz w:val="26"/>
          <w:szCs w:val="26"/>
          <w:lang w:val="lt-LT"/>
        </w:rPr>
        <w:t xml:space="preserve"> ir kad, </w:t>
      </w:r>
      <w:r w:rsidR="00152569" w:rsidRPr="009A3FB3">
        <w:rPr>
          <w:sz w:val="26"/>
          <w:szCs w:val="26"/>
          <w:lang w:val="lt-LT"/>
        </w:rPr>
        <w:t xml:space="preserve">visaapimantys ir specifiniai įgimtos </w:t>
      </w:r>
      <w:r w:rsidR="000A1702" w:rsidRPr="009A3FB3">
        <w:rPr>
          <w:sz w:val="26"/>
          <w:szCs w:val="26"/>
          <w:lang w:val="lt-LT"/>
        </w:rPr>
        <w:t xml:space="preserve">ir kontrolės </w:t>
      </w:r>
      <w:r w:rsidR="00152569" w:rsidRPr="009A3FB3">
        <w:rPr>
          <w:sz w:val="26"/>
          <w:szCs w:val="26"/>
          <w:lang w:val="lt-LT"/>
        </w:rPr>
        <w:t>rizik</w:t>
      </w:r>
      <w:r w:rsidR="000A1702" w:rsidRPr="009A3FB3">
        <w:rPr>
          <w:sz w:val="26"/>
          <w:szCs w:val="26"/>
          <w:lang w:val="lt-LT"/>
        </w:rPr>
        <w:t>ų</w:t>
      </w:r>
      <w:r w:rsidR="005570AC" w:rsidRPr="009A3FB3">
        <w:rPr>
          <w:sz w:val="26"/>
          <w:szCs w:val="26"/>
          <w:lang w:val="lt-LT"/>
        </w:rPr>
        <w:t xml:space="preserve"> </w:t>
      </w:r>
      <w:r w:rsidR="00152569" w:rsidRPr="009A3FB3">
        <w:rPr>
          <w:sz w:val="26"/>
          <w:szCs w:val="26"/>
          <w:lang w:val="lt-LT"/>
        </w:rPr>
        <w:t>veiksniai yra svarbūs kontrolės rizikos vertinimui. Š</w:t>
      </w:r>
      <w:r w:rsidR="00B9729B" w:rsidRPr="009A3FB3">
        <w:rPr>
          <w:sz w:val="26"/>
          <w:szCs w:val="26"/>
          <w:lang w:val="lt-LT"/>
        </w:rPr>
        <w:t xml:space="preserve">i </w:t>
      </w:r>
      <w:r w:rsidR="00A93EC3" w:rsidRPr="009A3FB3">
        <w:rPr>
          <w:sz w:val="26"/>
          <w:szCs w:val="26"/>
          <w:lang w:val="lt-LT"/>
        </w:rPr>
        <w:t>priklausom</w:t>
      </w:r>
      <w:r w:rsidR="00152569" w:rsidRPr="009A3FB3">
        <w:rPr>
          <w:sz w:val="26"/>
          <w:szCs w:val="26"/>
          <w:lang w:val="lt-LT"/>
        </w:rPr>
        <w:t xml:space="preserve">ybė </w:t>
      </w:r>
      <w:r w:rsidR="00931B92" w:rsidRPr="009A3FB3">
        <w:rPr>
          <w:sz w:val="26"/>
          <w:szCs w:val="26"/>
          <w:lang w:val="lt-LT"/>
        </w:rPr>
        <w:t xml:space="preserve">tarp audito rizikos komponentų – įgimtos ir kontrolės rizikų </w:t>
      </w:r>
      <w:r w:rsidR="00B9729B" w:rsidRPr="009A3FB3">
        <w:rPr>
          <w:sz w:val="26"/>
          <w:szCs w:val="26"/>
          <w:lang w:val="lt-LT"/>
        </w:rPr>
        <w:t>pasirei</w:t>
      </w:r>
      <w:r w:rsidR="00454815" w:rsidRPr="009A3FB3">
        <w:rPr>
          <w:sz w:val="26"/>
          <w:szCs w:val="26"/>
          <w:lang w:val="lt-LT"/>
        </w:rPr>
        <w:t>š</w:t>
      </w:r>
      <w:r w:rsidR="00B9729B" w:rsidRPr="009A3FB3">
        <w:rPr>
          <w:sz w:val="26"/>
          <w:szCs w:val="26"/>
          <w:lang w:val="lt-LT"/>
        </w:rPr>
        <w:t>k</w:t>
      </w:r>
      <w:r w:rsidR="00152569" w:rsidRPr="009A3FB3">
        <w:rPr>
          <w:sz w:val="26"/>
          <w:szCs w:val="26"/>
          <w:lang w:val="lt-LT"/>
        </w:rPr>
        <w:t>i</w:t>
      </w:r>
      <w:r w:rsidR="00454815" w:rsidRPr="009A3FB3">
        <w:rPr>
          <w:sz w:val="26"/>
          <w:szCs w:val="26"/>
          <w:lang w:val="lt-LT"/>
        </w:rPr>
        <w:t>a</w:t>
      </w:r>
      <w:r w:rsidR="00152569" w:rsidRPr="009A3FB3">
        <w:rPr>
          <w:sz w:val="26"/>
          <w:szCs w:val="26"/>
          <w:lang w:val="lt-LT"/>
        </w:rPr>
        <w:t xml:space="preserve"> tuo</w:t>
      </w:r>
      <w:r w:rsidR="00B9729B" w:rsidRPr="009A3FB3">
        <w:rPr>
          <w:sz w:val="26"/>
          <w:szCs w:val="26"/>
          <w:lang w:val="lt-LT"/>
        </w:rPr>
        <w:t xml:space="preserve">, kad auditorius turi išankstinių žinių apie </w:t>
      </w:r>
      <w:r w:rsidR="002F1B79" w:rsidRPr="009A3FB3">
        <w:rPr>
          <w:sz w:val="26"/>
          <w:szCs w:val="26"/>
          <w:lang w:val="lt-LT"/>
        </w:rPr>
        <w:t xml:space="preserve">priežastinius </w:t>
      </w:r>
      <w:r w:rsidR="00152569" w:rsidRPr="009A3FB3">
        <w:rPr>
          <w:sz w:val="26"/>
          <w:szCs w:val="26"/>
          <w:lang w:val="lt-LT"/>
        </w:rPr>
        <w:t xml:space="preserve">ryšius tarp </w:t>
      </w:r>
      <w:r w:rsidR="00B9729B" w:rsidRPr="009A3FB3">
        <w:rPr>
          <w:sz w:val="26"/>
          <w:szCs w:val="26"/>
          <w:lang w:val="lt-LT"/>
        </w:rPr>
        <w:t>įmonės</w:t>
      </w:r>
      <w:r w:rsidR="00A93EC3" w:rsidRPr="009A3FB3">
        <w:rPr>
          <w:sz w:val="26"/>
          <w:szCs w:val="26"/>
          <w:lang w:val="lt-LT"/>
        </w:rPr>
        <w:t xml:space="preserve"> įgimtos </w:t>
      </w:r>
      <w:r w:rsidR="00B9729B" w:rsidRPr="009A3FB3">
        <w:rPr>
          <w:sz w:val="26"/>
          <w:szCs w:val="26"/>
          <w:lang w:val="lt-LT"/>
        </w:rPr>
        <w:t xml:space="preserve">rizikos, vidaus kontrolės, praeitų laikotarpių iškraipymų </w:t>
      </w:r>
      <w:r w:rsidR="00A93EC3" w:rsidRPr="009A3FB3">
        <w:rPr>
          <w:sz w:val="26"/>
          <w:szCs w:val="26"/>
          <w:lang w:val="lt-LT"/>
        </w:rPr>
        <w:t xml:space="preserve">ir </w:t>
      </w:r>
      <w:r w:rsidR="00152569" w:rsidRPr="009A3FB3">
        <w:rPr>
          <w:sz w:val="26"/>
          <w:szCs w:val="26"/>
          <w:lang w:val="lt-LT"/>
        </w:rPr>
        <w:t>kitų veiksnių.</w:t>
      </w:r>
      <w:r w:rsidR="00B9729B" w:rsidRPr="009A3FB3">
        <w:rPr>
          <w:sz w:val="26"/>
          <w:szCs w:val="26"/>
          <w:lang w:val="lt-LT"/>
        </w:rPr>
        <w:t xml:space="preserve"> </w:t>
      </w:r>
      <w:r w:rsidR="003C0B5C" w:rsidRPr="009A3FB3">
        <w:rPr>
          <w:sz w:val="26"/>
          <w:szCs w:val="26"/>
          <w:lang w:val="lt-LT"/>
        </w:rPr>
        <w:t>Todėl, p</w:t>
      </w:r>
      <w:r w:rsidR="00931B92" w:rsidRPr="009A3FB3">
        <w:rPr>
          <w:sz w:val="26"/>
          <w:szCs w:val="26"/>
          <w:lang w:val="lt-LT"/>
        </w:rPr>
        <w:t xml:space="preserve">asak </w:t>
      </w:r>
      <w:r w:rsidR="002F1B79" w:rsidRPr="009A3FB3">
        <w:rPr>
          <w:sz w:val="26"/>
          <w:szCs w:val="26"/>
          <w:lang w:val="lt-LT"/>
        </w:rPr>
        <w:t>F. W. Messier, L.</w:t>
      </w:r>
      <w:r w:rsidR="00DC3FD4">
        <w:rPr>
          <w:sz w:val="26"/>
          <w:szCs w:val="26"/>
          <w:lang w:val="lt-LT"/>
        </w:rPr>
        <w:t> </w:t>
      </w:r>
      <w:r w:rsidR="002F1B79" w:rsidRPr="009A3FB3">
        <w:rPr>
          <w:sz w:val="26"/>
          <w:szCs w:val="26"/>
          <w:lang w:val="lt-LT"/>
        </w:rPr>
        <w:t>A.</w:t>
      </w:r>
      <w:r w:rsidR="00DC3FD4">
        <w:rPr>
          <w:sz w:val="26"/>
          <w:szCs w:val="26"/>
          <w:lang w:val="lt-LT"/>
        </w:rPr>
        <w:t> </w:t>
      </w:r>
      <w:r w:rsidR="002F1B79" w:rsidRPr="009A3FB3">
        <w:rPr>
          <w:sz w:val="26"/>
          <w:szCs w:val="26"/>
          <w:lang w:val="lt-LT"/>
        </w:rPr>
        <w:t xml:space="preserve">Austen (2000c), auditoriai turi žinoti apie </w:t>
      </w:r>
      <w:r w:rsidR="00931B92" w:rsidRPr="009A3FB3">
        <w:rPr>
          <w:sz w:val="26"/>
          <w:szCs w:val="26"/>
          <w:lang w:val="lt-LT"/>
        </w:rPr>
        <w:t xml:space="preserve">aptartą audito rizikos komponentų </w:t>
      </w:r>
      <w:r w:rsidR="002F1B79" w:rsidRPr="009A3FB3">
        <w:rPr>
          <w:sz w:val="26"/>
          <w:szCs w:val="26"/>
          <w:lang w:val="lt-LT"/>
        </w:rPr>
        <w:t>priklausom</w:t>
      </w:r>
      <w:r w:rsidR="00931B92" w:rsidRPr="009A3FB3">
        <w:rPr>
          <w:sz w:val="26"/>
          <w:szCs w:val="26"/>
          <w:lang w:val="lt-LT"/>
        </w:rPr>
        <w:t xml:space="preserve">ybę, į kurią </w:t>
      </w:r>
      <w:r w:rsidR="002F1B79" w:rsidRPr="009A3FB3">
        <w:rPr>
          <w:sz w:val="26"/>
          <w:szCs w:val="26"/>
          <w:lang w:val="lt-LT"/>
        </w:rPr>
        <w:t xml:space="preserve">turi </w:t>
      </w:r>
      <w:r w:rsidR="00931B92" w:rsidRPr="009A3FB3">
        <w:rPr>
          <w:sz w:val="26"/>
          <w:szCs w:val="26"/>
          <w:lang w:val="lt-LT"/>
        </w:rPr>
        <w:t xml:space="preserve">atsižvelgti </w:t>
      </w:r>
      <w:r w:rsidR="002F1B79" w:rsidRPr="009A3FB3">
        <w:rPr>
          <w:sz w:val="26"/>
          <w:szCs w:val="26"/>
          <w:lang w:val="lt-LT"/>
        </w:rPr>
        <w:t>atlikdami įgimtos ir kontrolės rizikų vertinimą</w:t>
      </w:r>
      <w:r w:rsidR="005570AC" w:rsidRPr="009A3FB3">
        <w:rPr>
          <w:sz w:val="26"/>
          <w:szCs w:val="26"/>
          <w:lang w:val="lt-LT"/>
        </w:rPr>
        <w:t>, ne</w:t>
      </w:r>
      <w:r w:rsidR="000A1702" w:rsidRPr="009A3FB3">
        <w:rPr>
          <w:sz w:val="26"/>
          <w:szCs w:val="26"/>
          <w:lang w:val="lt-LT"/>
        </w:rPr>
        <w:t xml:space="preserve">paisant to, kad to neparodo </w:t>
      </w:r>
      <w:r w:rsidR="00306BEA" w:rsidRPr="009A3FB3">
        <w:rPr>
          <w:sz w:val="26"/>
          <w:szCs w:val="26"/>
          <w:lang w:val="lt-LT"/>
        </w:rPr>
        <w:t xml:space="preserve">naudojamo </w:t>
      </w:r>
      <w:r w:rsidR="000A1702" w:rsidRPr="009A3FB3">
        <w:rPr>
          <w:sz w:val="26"/>
          <w:szCs w:val="26"/>
          <w:lang w:val="lt-LT"/>
        </w:rPr>
        <w:t>audito rizikos modelio išraiška</w:t>
      </w:r>
      <w:r w:rsidR="002F1B79" w:rsidRPr="009A3FB3">
        <w:rPr>
          <w:sz w:val="26"/>
          <w:szCs w:val="26"/>
          <w:lang w:val="lt-LT"/>
        </w:rPr>
        <w:t>.</w:t>
      </w:r>
    </w:p>
    <w:p w:rsidR="00162E08" w:rsidRPr="009A3FB3" w:rsidRDefault="00162E08" w:rsidP="00162E08">
      <w:pPr>
        <w:spacing w:line="360" w:lineRule="auto"/>
        <w:ind w:firstLine="720"/>
        <w:jc w:val="both"/>
        <w:rPr>
          <w:sz w:val="26"/>
          <w:szCs w:val="26"/>
          <w:lang w:val="lt-LT"/>
        </w:rPr>
      </w:pPr>
      <w:r w:rsidRPr="009A3FB3">
        <w:rPr>
          <w:sz w:val="26"/>
          <w:szCs w:val="26"/>
          <w:lang w:val="lt-LT"/>
        </w:rPr>
        <w:lastRenderedPageBreak/>
        <w:t>Darbo a</w:t>
      </w:r>
      <w:r w:rsidR="00306BEA" w:rsidRPr="009A3FB3">
        <w:rPr>
          <w:sz w:val="26"/>
          <w:szCs w:val="26"/>
          <w:lang w:val="lt-LT"/>
        </w:rPr>
        <w:t xml:space="preserve">utorės nuomone, </w:t>
      </w:r>
      <w:r w:rsidRPr="009A3FB3">
        <w:rPr>
          <w:sz w:val="26"/>
          <w:szCs w:val="26"/>
          <w:lang w:val="lt-LT"/>
        </w:rPr>
        <w:t xml:space="preserve">W. R. Kinney (1989), S. J. Aldersley (1989) </w:t>
      </w:r>
      <w:r w:rsidR="00306BEA" w:rsidRPr="009A3FB3">
        <w:rPr>
          <w:sz w:val="26"/>
          <w:szCs w:val="26"/>
          <w:lang w:val="lt-LT"/>
        </w:rPr>
        <w:t xml:space="preserve">audito rizikos modeliai yra svarbūs tuo, kad jie, </w:t>
      </w:r>
      <w:r w:rsidR="00144FDF" w:rsidRPr="009A3FB3">
        <w:rPr>
          <w:sz w:val="26"/>
          <w:szCs w:val="26"/>
          <w:lang w:val="lt-LT"/>
        </w:rPr>
        <w:t xml:space="preserve">pateikdami supratimą apie audito rizikos vertinimo procesą, </w:t>
      </w:r>
      <w:r w:rsidR="00D03316" w:rsidRPr="009A3FB3">
        <w:rPr>
          <w:sz w:val="26"/>
          <w:szCs w:val="26"/>
          <w:lang w:val="lt-LT"/>
        </w:rPr>
        <w:t xml:space="preserve">nagrinėja </w:t>
      </w:r>
      <w:r w:rsidR="00306BEA" w:rsidRPr="009A3FB3">
        <w:rPr>
          <w:sz w:val="26"/>
          <w:szCs w:val="26"/>
          <w:lang w:val="lt-LT"/>
        </w:rPr>
        <w:t>audito rizikos komponentų priklausomyb</w:t>
      </w:r>
      <w:r w:rsidR="00D03316" w:rsidRPr="009A3FB3">
        <w:rPr>
          <w:sz w:val="26"/>
          <w:szCs w:val="26"/>
          <w:lang w:val="lt-LT"/>
        </w:rPr>
        <w:t>ę</w:t>
      </w:r>
      <w:r w:rsidR="00144FDF" w:rsidRPr="009A3FB3">
        <w:rPr>
          <w:sz w:val="26"/>
          <w:szCs w:val="26"/>
          <w:lang w:val="lt-LT"/>
        </w:rPr>
        <w:t>, pagal kurią audito rizikos komponentai vertinami atsižvelgiant į pirmesnio audito rizikos komponento vertinimo rezultatus</w:t>
      </w:r>
      <w:r w:rsidR="00D03316" w:rsidRPr="009A3FB3">
        <w:rPr>
          <w:sz w:val="26"/>
          <w:szCs w:val="26"/>
          <w:lang w:val="lt-LT"/>
        </w:rPr>
        <w:t>, bei bando spręsti audito rizikos agregacijos problemą</w:t>
      </w:r>
      <w:r w:rsidR="00144FDF" w:rsidRPr="009A3FB3">
        <w:rPr>
          <w:sz w:val="26"/>
          <w:szCs w:val="26"/>
          <w:lang w:val="lt-LT"/>
        </w:rPr>
        <w:t>.</w:t>
      </w:r>
    </w:p>
    <w:p w:rsidR="00D10FDF" w:rsidRPr="009A3FB3" w:rsidRDefault="00EA1AF7" w:rsidP="00162E08">
      <w:pPr>
        <w:spacing w:line="360" w:lineRule="auto"/>
        <w:ind w:firstLine="720"/>
        <w:jc w:val="both"/>
        <w:rPr>
          <w:sz w:val="26"/>
          <w:szCs w:val="26"/>
          <w:lang w:val="lt-LT"/>
        </w:rPr>
      </w:pPr>
      <w:r w:rsidRPr="009A3FB3">
        <w:rPr>
          <w:b/>
          <w:sz w:val="26"/>
          <w:szCs w:val="26"/>
          <w:lang w:val="lt-LT"/>
        </w:rPr>
        <w:t>R. P. Srivastava, G. R. Shafer audito rizikos modeli</w:t>
      </w:r>
      <w:r w:rsidR="00313024" w:rsidRPr="009A3FB3">
        <w:rPr>
          <w:b/>
          <w:sz w:val="26"/>
          <w:szCs w:val="26"/>
          <w:lang w:val="lt-LT"/>
        </w:rPr>
        <w:t>s</w:t>
      </w:r>
      <w:r w:rsidR="00162E08" w:rsidRPr="009A3FB3">
        <w:rPr>
          <w:b/>
          <w:sz w:val="26"/>
          <w:szCs w:val="26"/>
          <w:lang w:val="lt-LT"/>
        </w:rPr>
        <w:t>.</w:t>
      </w:r>
      <w:r w:rsidR="00162E08" w:rsidRPr="009A3FB3">
        <w:rPr>
          <w:sz w:val="26"/>
          <w:szCs w:val="26"/>
          <w:lang w:val="lt-LT"/>
        </w:rPr>
        <w:t xml:space="preserve"> </w:t>
      </w:r>
      <w:r w:rsidR="00AF1072" w:rsidRPr="009A3FB3">
        <w:rPr>
          <w:color w:val="000000" w:themeColor="text1"/>
          <w:sz w:val="26"/>
          <w:szCs w:val="26"/>
          <w:lang w:val="lt-LT"/>
        </w:rPr>
        <w:t>R.</w:t>
      </w:r>
      <w:r w:rsidR="003F5AB9">
        <w:rPr>
          <w:color w:val="000000" w:themeColor="text1"/>
          <w:sz w:val="26"/>
          <w:szCs w:val="26"/>
          <w:lang w:val="lt-LT"/>
        </w:rPr>
        <w:t> </w:t>
      </w:r>
      <w:r w:rsidR="00AF1072" w:rsidRPr="009A3FB3">
        <w:rPr>
          <w:color w:val="000000" w:themeColor="text1"/>
          <w:sz w:val="26"/>
          <w:szCs w:val="26"/>
          <w:lang w:val="lt-LT"/>
        </w:rPr>
        <w:t>P.</w:t>
      </w:r>
      <w:r w:rsidR="003F5AB9">
        <w:rPr>
          <w:color w:val="000000" w:themeColor="text1"/>
          <w:sz w:val="26"/>
          <w:szCs w:val="26"/>
          <w:lang w:val="lt-LT"/>
        </w:rPr>
        <w:t> </w:t>
      </w:r>
      <w:r w:rsidR="00AF1072" w:rsidRPr="009A3FB3">
        <w:rPr>
          <w:color w:val="000000" w:themeColor="text1"/>
          <w:sz w:val="26"/>
          <w:szCs w:val="26"/>
          <w:lang w:val="lt-LT"/>
        </w:rPr>
        <w:t>Srivastava, G. R. Shafer (1992) nurodo, kad įsitikinimo funkcij</w:t>
      </w:r>
      <w:r w:rsidR="000E2E4B" w:rsidRPr="009A3FB3">
        <w:rPr>
          <w:color w:val="000000" w:themeColor="text1"/>
          <w:sz w:val="26"/>
          <w:szCs w:val="26"/>
          <w:lang w:val="lt-LT"/>
        </w:rPr>
        <w:t>os tikėtinumas</w:t>
      </w:r>
      <w:r w:rsidR="00AF1072" w:rsidRPr="009A3FB3">
        <w:rPr>
          <w:color w:val="000000" w:themeColor="text1"/>
          <w:sz w:val="26"/>
          <w:szCs w:val="26"/>
          <w:lang w:val="lt-LT"/>
        </w:rPr>
        <w:t xml:space="preserve"> atskleidžia auditoriaus intuityvų supratimą apie audito riziką geriau nei įprasta tikimybė. </w:t>
      </w:r>
      <w:r w:rsidR="000E2E4B" w:rsidRPr="009A3FB3">
        <w:rPr>
          <w:color w:val="000000" w:themeColor="text1"/>
          <w:sz w:val="26"/>
          <w:szCs w:val="26"/>
          <w:lang w:val="lt-LT"/>
        </w:rPr>
        <w:t>Tikėtinumo tvirtinimas nustato apimtį</w:t>
      </w:r>
      <w:r w:rsidR="00D10FDF" w:rsidRPr="009A3FB3">
        <w:rPr>
          <w:color w:val="000000" w:themeColor="text1"/>
          <w:sz w:val="26"/>
          <w:szCs w:val="26"/>
          <w:lang w:val="lt-LT"/>
        </w:rPr>
        <w:t>, kuria neturima įrodymų apie tvirtinimą.</w:t>
      </w:r>
      <w:r w:rsidR="000E2E4B" w:rsidRPr="009A3FB3">
        <w:rPr>
          <w:color w:val="000000" w:themeColor="text1"/>
          <w:sz w:val="26"/>
          <w:szCs w:val="26"/>
          <w:lang w:val="lt-LT"/>
        </w:rPr>
        <w:t xml:space="preserve"> </w:t>
      </w:r>
      <w:r w:rsidR="00D10FDF" w:rsidRPr="009A3FB3">
        <w:rPr>
          <w:color w:val="000000" w:themeColor="text1"/>
          <w:sz w:val="26"/>
          <w:szCs w:val="26"/>
          <w:lang w:val="lt-LT"/>
        </w:rPr>
        <w:t xml:space="preserve">Didelis iškraipymų tikėtinumas rodo </w:t>
      </w:r>
      <w:r w:rsidR="00313024" w:rsidRPr="009A3FB3">
        <w:rPr>
          <w:color w:val="000000" w:themeColor="text1"/>
          <w:sz w:val="26"/>
          <w:szCs w:val="26"/>
          <w:lang w:val="lt-LT"/>
        </w:rPr>
        <w:t>tik užtikrinimo nebuvimą, o ne pozityvius</w:t>
      </w:r>
      <w:r w:rsidR="00D10FDF" w:rsidRPr="009A3FB3">
        <w:rPr>
          <w:color w:val="000000" w:themeColor="text1"/>
          <w:sz w:val="26"/>
          <w:szCs w:val="26"/>
          <w:lang w:val="lt-LT"/>
        </w:rPr>
        <w:t xml:space="preserve"> įrodymus, kad iškraipymas yra. Prieš rinkdamas, analizuodamas ir apibendrindamas įrodymus, auditorius gali neturėti užtikrinimo, kad finansinės ataskaitos yra teisingos, o tai reikš didelį reikšmingo iškraipymo tikėtinumą. </w:t>
      </w:r>
      <w:r w:rsidR="000D5E40" w:rsidRPr="009A3FB3">
        <w:rPr>
          <w:color w:val="000000" w:themeColor="text1"/>
          <w:sz w:val="26"/>
          <w:szCs w:val="26"/>
          <w:lang w:val="lt-LT"/>
        </w:rPr>
        <w:t>Kadangi šis didelis tikėtinumas nebūtinai reiškia įrodymus, kad ataskaitos yra reikšmingai</w:t>
      </w:r>
      <w:r w:rsidR="00313024" w:rsidRPr="009A3FB3">
        <w:rPr>
          <w:color w:val="000000" w:themeColor="text1"/>
          <w:sz w:val="26"/>
          <w:szCs w:val="26"/>
          <w:lang w:val="lt-LT"/>
        </w:rPr>
        <w:t xml:space="preserve"> iškraipytos, tai nėra tinkama visa to </w:t>
      </w:r>
      <w:r w:rsidR="000D5E40" w:rsidRPr="009A3FB3">
        <w:rPr>
          <w:color w:val="000000" w:themeColor="text1"/>
          <w:sz w:val="26"/>
          <w:szCs w:val="26"/>
          <w:lang w:val="lt-LT"/>
        </w:rPr>
        <w:t>prilyginti reikšmingo iškraipymo tikimybei (Srivastava, Shafer, 1992, p.</w:t>
      </w:r>
      <w:r w:rsidR="003F5AB9">
        <w:rPr>
          <w:color w:val="000000" w:themeColor="text1"/>
          <w:sz w:val="26"/>
          <w:szCs w:val="26"/>
          <w:lang w:val="lt-LT"/>
        </w:rPr>
        <w:t> </w:t>
      </w:r>
      <w:r w:rsidR="000D5E40" w:rsidRPr="009A3FB3">
        <w:rPr>
          <w:color w:val="000000" w:themeColor="text1"/>
          <w:sz w:val="26"/>
          <w:szCs w:val="26"/>
          <w:lang w:val="lt-LT"/>
        </w:rPr>
        <w:t>250).</w:t>
      </w:r>
    </w:p>
    <w:p w:rsidR="003844BC" w:rsidRPr="009A3FB3" w:rsidRDefault="00A1516E" w:rsidP="00024880">
      <w:pPr>
        <w:spacing w:line="360" w:lineRule="auto"/>
        <w:ind w:firstLine="720"/>
        <w:jc w:val="both"/>
        <w:rPr>
          <w:color w:val="000000" w:themeColor="text1"/>
          <w:sz w:val="26"/>
          <w:szCs w:val="26"/>
          <w:lang w:val="lt-LT"/>
        </w:rPr>
      </w:pPr>
      <w:r w:rsidRPr="009A3FB3">
        <w:rPr>
          <w:color w:val="000000" w:themeColor="text1"/>
          <w:sz w:val="26"/>
          <w:szCs w:val="26"/>
          <w:lang w:val="lt-LT"/>
        </w:rPr>
        <w:t>Įsitikinimo funkcijos s</w:t>
      </w:r>
      <w:r w:rsidR="00FC3DBC" w:rsidRPr="009A3FB3">
        <w:rPr>
          <w:color w:val="000000" w:themeColor="text1"/>
          <w:sz w:val="26"/>
          <w:szCs w:val="26"/>
          <w:lang w:val="lt-LT"/>
        </w:rPr>
        <w:t>amprata</w:t>
      </w:r>
      <w:r w:rsidRPr="009A3FB3">
        <w:rPr>
          <w:color w:val="000000" w:themeColor="text1"/>
          <w:sz w:val="26"/>
          <w:szCs w:val="26"/>
          <w:lang w:val="lt-LT"/>
        </w:rPr>
        <w:t xml:space="preserve"> apima tris susijusius dalykus: 1)</w:t>
      </w:r>
      <w:r w:rsidR="007E09C1">
        <w:rPr>
          <w:color w:val="000000" w:themeColor="text1"/>
          <w:sz w:val="26"/>
          <w:szCs w:val="26"/>
          <w:lang w:val="lt-LT"/>
        </w:rPr>
        <w:t> </w:t>
      </w:r>
      <w:r w:rsidRPr="009A3FB3">
        <w:rPr>
          <w:color w:val="000000" w:themeColor="text1"/>
          <w:sz w:val="26"/>
          <w:szCs w:val="26"/>
          <w:lang w:val="lt-LT"/>
        </w:rPr>
        <w:t>įsitikimo funkcij</w:t>
      </w:r>
      <w:r w:rsidR="0034519E" w:rsidRPr="009A3FB3">
        <w:rPr>
          <w:color w:val="000000" w:themeColor="text1"/>
          <w:sz w:val="26"/>
          <w:szCs w:val="26"/>
          <w:lang w:val="lt-LT"/>
        </w:rPr>
        <w:t>ą</w:t>
      </w:r>
      <w:r w:rsidRPr="009A3FB3">
        <w:rPr>
          <w:color w:val="000000" w:themeColor="text1"/>
          <w:sz w:val="26"/>
          <w:szCs w:val="26"/>
          <w:lang w:val="lt-LT"/>
        </w:rPr>
        <w:t xml:space="preserve"> </w:t>
      </w:r>
      <w:r w:rsidR="007005B0" w:rsidRPr="009A3FB3">
        <w:rPr>
          <w:color w:val="000000" w:themeColor="text1"/>
          <w:sz w:val="26"/>
          <w:szCs w:val="26"/>
          <w:lang w:val="lt-LT"/>
        </w:rPr>
        <w:t xml:space="preserve">(Bel) </w:t>
      </w:r>
      <w:r w:rsidRPr="009A3FB3">
        <w:rPr>
          <w:color w:val="000000" w:themeColor="text1"/>
          <w:sz w:val="26"/>
          <w:szCs w:val="26"/>
          <w:lang w:val="lt-LT"/>
        </w:rPr>
        <w:t xml:space="preserve">(angl. </w:t>
      </w:r>
      <w:r w:rsidRPr="009A3FB3">
        <w:rPr>
          <w:i/>
          <w:color w:val="000000" w:themeColor="text1"/>
          <w:sz w:val="26"/>
          <w:szCs w:val="26"/>
        </w:rPr>
        <w:t>belief function</w:t>
      </w:r>
      <w:r w:rsidRPr="009A3FB3">
        <w:rPr>
          <w:color w:val="000000" w:themeColor="text1"/>
          <w:sz w:val="26"/>
          <w:szCs w:val="26"/>
          <w:lang w:val="lt-LT"/>
        </w:rPr>
        <w:t>)</w:t>
      </w:r>
      <w:r w:rsidR="00DC2370" w:rsidRPr="009A3FB3">
        <w:rPr>
          <w:color w:val="000000" w:themeColor="text1"/>
          <w:sz w:val="26"/>
          <w:szCs w:val="26"/>
          <w:lang w:val="lt-LT"/>
        </w:rPr>
        <w:t xml:space="preserve"> – įsitikinimas, kad nėra reikšmingų iškraipymų</w:t>
      </w:r>
      <w:r w:rsidRPr="009A3FB3">
        <w:rPr>
          <w:color w:val="000000" w:themeColor="text1"/>
          <w:sz w:val="26"/>
          <w:szCs w:val="26"/>
          <w:lang w:val="lt-LT"/>
        </w:rPr>
        <w:t xml:space="preserve">; 2) </w:t>
      </w:r>
      <w:r w:rsidR="0034519E" w:rsidRPr="009A3FB3">
        <w:rPr>
          <w:color w:val="000000" w:themeColor="text1"/>
          <w:sz w:val="26"/>
          <w:szCs w:val="26"/>
          <w:lang w:val="lt-LT"/>
        </w:rPr>
        <w:t>tikėtinumo funkciją</w:t>
      </w:r>
      <w:r w:rsidRPr="009A3FB3">
        <w:rPr>
          <w:color w:val="000000" w:themeColor="text1"/>
          <w:sz w:val="26"/>
          <w:szCs w:val="26"/>
          <w:lang w:val="lt-LT"/>
        </w:rPr>
        <w:t xml:space="preserve"> </w:t>
      </w:r>
      <w:r w:rsidR="007005B0" w:rsidRPr="009A3FB3">
        <w:rPr>
          <w:color w:val="000000" w:themeColor="text1"/>
          <w:sz w:val="26"/>
          <w:szCs w:val="26"/>
          <w:lang w:val="lt-LT"/>
        </w:rPr>
        <w:t xml:space="preserve">(PL) </w:t>
      </w:r>
      <w:r w:rsidRPr="009A3FB3">
        <w:rPr>
          <w:color w:val="000000" w:themeColor="text1"/>
          <w:sz w:val="26"/>
          <w:szCs w:val="26"/>
          <w:lang w:val="lt-LT"/>
        </w:rPr>
        <w:t xml:space="preserve">(angl. </w:t>
      </w:r>
      <w:r w:rsidRPr="009A3FB3">
        <w:rPr>
          <w:i/>
          <w:color w:val="000000" w:themeColor="text1"/>
          <w:sz w:val="26"/>
          <w:szCs w:val="26"/>
        </w:rPr>
        <w:t>plausibility function</w:t>
      </w:r>
      <w:r w:rsidRPr="009A3FB3">
        <w:rPr>
          <w:color w:val="000000" w:themeColor="text1"/>
          <w:sz w:val="26"/>
          <w:szCs w:val="26"/>
          <w:lang w:val="lt-LT"/>
        </w:rPr>
        <w:t xml:space="preserve">) </w:t>
      </w:r>
      <w:r w:rsidR="00DC2370" w:rsidRPr="009A3FB3">
        <w:rPr>
          <w:color w:val="000000" w:themeColor="text1"/>
          <w:sz w:val="26"/>
          <w:szCs w:val="26"/>
          <w:lang w:val="lt-LT"/>
        </w:rPr>
        <w:t xml:space="preserve">– reikšmingo iškraipymo tikėtinumas </w:t>
      </w:r>
      <w:r w:rsidR="00CD023F" w:rsidRPr="009A3FB3">
        <w:rPr>
          <w:color w:val="000000" w:themeColor="text1"/>
          <w:sz w:val="26"/>
          <w:szCs w:val="26"/>
          <w:lang w:val="lt-LT"/>
        </w:rPr>
        <w:t>ir 3) pagrindin</w:t>
      </w:r>
      <w:r w:rsidR="0034519E" w:rsidRPr="009A3FB3">
        <w:rPr>
          <w:color w:val="000000" w:themeColor="text1"/>
          <w:sz w:val="26"/>
          <w:szCs w:val="26"/>
          <w:lang w:val="lt-LT"/>
        </w:rPr>
        <w:t>ės</w:t>
      </w:r>
      <w:r w:rsidR="00CD023F" w:rsidRPr="009A3FB3">
        <w:rPr>
          <w:color w:val="000000" w:themeColor="text1"/>
          <w:sz w:val="26"/>
          <w:szCs w:val="26"/>
          <w:lang w:val="lt-LT"/>
        </w:rPr>
        <w:t xml:space="preserve"> tikimybės </w:t>
      </w:r>
      <w:r w:rsidR="0034519E" w:rsidRPr="009A3FB3">
        <w:rPr>
          <w:color w:val="000000" w:themeColor="text1"/>
          <w:sz w:val="26"/>
          <w:szCs w:val="26"/>
          <w:lang w:val="lt-LT"/>
        </w:rPr>
        <w:t xml:space="preserve">(m) </w:t>
      </w:r>
      <w:r w:rsidR="00CD023F" w:rsidRPr="009A3FB3">
        <w:rPr>
          <w:color w:val="000000" w:themeColor="text1"/>
          <w:sz w:val="26"/>
          <w:szCs w:val="26"/>
          <w:lang w:val="lt-LT"/>
        </w:rPr>
        <w:t>reikšmę. R. P. Srivastava, G. R. Shafer (1992) nuomone, pagrindinė tikimybė yra tinkama išreikšti pradinius sprendimus, o tikėtinumo funkcija yra naudinga išreiškiant galutinius sprendimus apie audito riziką. Tikimybės atveju, bendra tikimybių suma yra lygi 1</w:t>
      </w:r>
      <w:r w:rsidR="00024880" w:rsidRPr="009A3FB3">
        <w:rPr>
          <w:color w:val="000000" w:themeColor="text1"/>
          <w:sz w:val="26"/>
          <w:szCs w:val="26"/>
          <w:lang w:val="lt-LT"/>
        </w:rPr>
        <w:t xml:space="preserve">, o </w:t>
      </w:r>
      <w:r w:rsidR="00CF7BE2" w:rsidRPr="009A3FB3">
        <w:rPr>
          <w:color w:val="000000" w:themeColor="text1"/>
          <w:sz w:val="26"/>
          <w:szCs w:val="26"/>
          <w:lang w:val="lt-LT"/>
        </w:rPr>
        <w:t>į</w:t>
      </w:r>
      <w:r w:rsidR="00024880" w:rsidRPr="009A3FB3">
        <w:rPr>
          <w:color w:val="000000" w:themeColor="text1"/>
          <w:sz w:val="26"/>
          <w:szCs w:val="26"/>
          <w:lang w:val="lt-LT"/>
        </w:rPr>
        <w:t xml:space="preserve">sitikinimo </w:t>
      </w:r>
      <w:r w:rsidR="00E00FC2" w:rsidRPr="009A3FB3">
        <w:rPr>
          <w:color w:val="000000" w:themeColor="text1"/>
          <w:sz w:val="26"/>
          <w:szCs w:val="26"/>
          <w:lang w:val="lt-LT"/>
        </w:rPr>
        <w:t xml:space="preserve">funkcija (Bel) </w:t>
      </w:r>
      <w:r w:rsidR="00024880" w:rsidRPr="009A3FB3">
        <w:rPr>
          <w:color w:val="000000" w:themeColor="text1"/>
          <w:sz w:val="26"/>
          <w:szCs w:val="26"/>
          <w:lang w:val="lt-LT"/>
        </w:rPr>
        <w:t>bei tikėtinumo funkcij</w:t>
      </w:r>
      <w:r w:rsidR="00E00FC2" w:rsidRPr="009A3FB3">
        <w:rPr>
          <w:color w:val="000000" w:themeColor="text1"/>
          <w:sz w:val="26"/>
          <w:szCs w:val="26"/>
          <w:lang w:val="lt-LT"/>
        </w:rPr>
        <w:t>a</w:t>
      </w:r>
      <w:r w:rsidR="00024880" w:rsidRPr="009A3FB3">
        <w:rPr>
          <w:color w:val="000000" w:themeColor="text1"/>
          <w:sz w:val="26"/>
          <w:szCs w:val="26"/>
          <w:lang w:val="lt-LT"/>
        </w:rPr>
        <w:t xml:space="preserve"> </w:t>
      </w:r>
      <w:r w:rsidR="00031981" w:rsidRPr="009A3FB3">
        <w:rPr>
          <w:color w:val="000000" w:themeColor="text1"/>
          <w:sz w:val="26"/>
          <w:szCs w:val="26"/>
          <w:lang w:val="lt-LT"/>
        </w:rPr>
        <w:t xml:space="preserve">(PL) </w:t>
      </w:r>
      <w:r w:rsidR="00024880" w:rsidRPr="009A3FB3">
        <w:rPr>
          <w:color w:val="000000" w:themeColor="text1"/>
          <w:sz w:val="26"/>
          <w:szCs w:val="26"/>
          <w:lang w:val="lt-LT"/>
        </w:rPr>
        <w:t>yra išreiškiamos taip:</w:t>
      </w:r>
    </w:p>
    <w:p w:rsidR="003844BC" w:rsidRPr="005065DA" w:rsidRDefault="00024880" w:rsidP="00024880">
      <w:pPr>
        <w:spacing w:line="360" w:lineRule="auto"/>
        <w:ind w:firstLine="720"/>
        <w:jc w:val="center"/>
        <w:rPr>
          <w:i/>
          <w:color w:val="000000" w:themeColor="text1"/>
          <w:sz w:val="26"/>
          <w:szCs w:val="26"/>
          <w:lang w:val="lt-LT"/>
        </w:rPr>
      </w:pPr>
      <w:r w:rsidRPr="005065DA">
        <w:rPr>
          <w:i/>
          <w:color w:val="000000" w:themeColor="text1"/>
          <w:sz w:val="26"/>
          <w:szCs w:val="26"/>
          <w:lang w:val="lt-LT"/>
        </w:rPr>
        <w:t xml:space="preserve">Bel(B) = </w:t>
      </w:r>
      <m:oMath>
        <m:nary>
          <m:naryPr>
            <m:chr m:val="∑"/>
            <m:limLoc m:val="undOvr"/>
            <m:supHide m:val="on"/>
            <m:ctrlPr>
              <w:rPr>
                <w:rFonts w:ascii="Cambria Math" w:hAnsi="Cambria Math"/>
                <w:i/>
                <w:color w:val="000000" w:themeColor="text1"/>
                <w:sz w:val="26"/>
                <w:szCs w:val="26"/>
                <w:lang w:val="lt-LT"/>
              </w:rPr>
            </m:ctrlPr>
          </m:naryPr>
          <m:sub>
            <m:r>
              <w:rPr>
                <w:rFonts w:ascii="Cambria Math" w:hAnsi="Cambria Math"/>
                <w:color w:val="000000" w:themeColor="text1"/>
                <w:sz w:val="26"/>
                <w:szCs w:val="26"/>
                <w:lang w:val="lt-LT"/>
              </w:rPr>
              <m:t>X⊆B</m:t>
            </m:r>
          </m:sub>
          <m:sup/>
          <m:e>
            <m:r>
              <w:rPr>
                <w:rFonts w:ascii="Cambria Math" w:hAnsi="Cambria Math"/>
                <w:color w:val="000000" w:themeColor="text1"/>
                <w:sz w:val="26"/>
                <w:szCs w:val="26"/>
                <w:lang w:val="lt-LT"/>
              </w:rPr>
              <m:t>m</m:t>
            </m:r>
            <m:d>
              <m:dPr>
                <m:ctrlPr>
                  <w:rPr>
                    <w:rFonts w:ascii="Cambria Math" w:hAnsi="Cambria Math"/>
                    <w:i/>
                    <w:color w:val="000000" w:themeColor="text1"/>
                    <w:sz w:val="26"/>
                    <w:szCs w:val="26"/>
                    <w:lang w:val="lt-LT"/>
                  </w:rPr>
                </m:ctrlPr>
              </m:dPr>
              <m:e>
                <m:r>
                  <w:rPr>
                    <w:rFonts w:ascii="Cambria Math" w:hAnsi="Cambria Math"/>
                    <w:color w:val="000000" w:themeColor="text1"/>
                    <w:sz w:val="26"/>
                    <w:szCs w:val="26"/>
                    <w:lang w:val="lt-LT"/>
                  </w:rPr>
                  <m:t>X</m:t>
                </m:r>
              </m:e>
            </m:d>
          </m:e>
        </m:nary>
      </m:oMath>
      <w:r w:rsidRPr="005065DA">
        <w:rPr>
          <w:i/>
          <w:color w:val="000000" w:themeColor="text1"/>
          <w:sz w:val="26"/>
          <w:szCs w:val="26"/>
          <w:lang w:val="lt-LT"/>
        </w:rPr>
        <w:t xml:space="preserve">                    </w:t>
      </w:r>
      <w:r w:rsidR="00C74F6E" w:rsidRPr="005065DA">
        <w:rPr>
          <w:i/>
          <w:color w:val="000000" w:themeColor="text1"/>
          <w:sz w:val="26"/>
          <w:szCs w:val="26"/>
          <w:lang w:val="lt-LT"/>
        </w:rPr>
        <w:t xml:space="preserve">                          </w:t>
      </w:r>
      <w:r w:rsidR="00D03316" w:rsidRPr="005065DA">
        <w:rPr>
          <w:i/>
          <w:color w:val="000000" w:themeColor="text1"/>
          <w:sz w:val="26"/>
          <w:szCs w:val="26"/>
          <w:lang w:val="lt-LT"/>
        </w:rPr>
        <w:t xml:space="preserve">                       </w:t>
      </w:r>
      <w:r w:rsidR="00C74F6E" w:rsidRPr="005065DA">
        <w:rPr>
          <w:i/>
          <w:color w:val="000000" w:themeColor="text1"/>
          <w:sz w:val="26"/>
          <w:szCs w:val="26"/>
          <w:lang w:val="lt-LT"/>
        </w:rPr>
        <w:t>(7)</w:t>
      </w:r>
    </w:p>
    <w:p w:rsidR="00024880" w:rsidRPr="005065DA" w:rsidRDefault="003F5AB9" w:rsidP="003F5AB9">
      <w:pPr>
        <w:spacing w:line="360" w:lineRule="auto"/>
        <w:ind w:left="720"/>
        <w:jc w:val="both"/>
        <w:rPr>
          <w:i/>
          <w:color w:val="000000" w:themeColor="text1"/>
          <w:sz w:val="26"/>
          <w:szCs w:val="26"/>
          <w:lang w:val="lt-LT"/>
        </w:rPr>
      </w:pPr>
      <w:r w:rsidRPr="005065DA">
        <w:rPr>
          <w:i/>
          <w:color w:val="000000" w:themeColor="text1"/>
          <w:sz w:val="26"/>
          <w:szCs w:val="26"/>
          <w:lang w:val="lt-LT"/>
        </w:rPr>
        <w:t xml:space="preserve">   </w:t>
      </w:r>
      <w:r w:rsidR="00CF7BE2" w:rsidRPr="005065DA">
        <w:rPr>
          <w:i/>
          <w:color w:val="000000" w:themeColor="text1"/>
          <w:sz w:val="26"/>
          <w:szCs w:val="26"/>
          <w:lang w:val="lt-LT"/>
        </w:rPr>
        <w:t>PL(</w:t>
      </w:r>
      <w:r w:rsidR="00024880" w:rsidRPr="005065DA">
        <w:rPr>
          <w:i/>
          <w:color w:val="000000" w:themeColor="text1"/>
          <w:sz w:val="26"/>
          <w:szCs w:val="26"/>
          <w:lang w:val="lt-LT"/>
        </w:rPr>
        <w:t xml:space="preserve">B) = </w:t>
      </w:r>
      <m:oMath>
        <m:nary>
          <m:naryPr>
            <m:chr m:val="∑"/>
            <m:limLoc m:val="undOvr"/>
            <m:supHide m:val="on"/>
            <m:ctrlPr>
              <w:rPr>
                <w:rFonts w:ascii="Cambria Math" w:hAnsi="Cambria Math"/>
                <w:i/>
                <w:color w:val="000000" w:themeColor="text1"/>
                <w:sz w:val="26"/>
                <w:szCs w:val="26"/>
                <w:lang w:val="lt-LT"/>
              </w:rPr>
            </m:ctrlPr>
          </m:naryPr>
          <m:sub>
            <m:r>
              <w:rPr>
                <w:rFonts w:ascii="Cambria Math" w:hAnsi="Cambria Math"/>
                <w:color w:val="000000" w:themeColor="text1"/>
                <w:sz w:val="26"/>
                <w:szCs w:val="26"/>
                <w:lang w:val="lt-LT"/>
              </w:rPr>
              <m:t>B⋂X≠∅</m:t>
            </m:r>
          </m:sub>
          <m:sup/>
          <m:e>
            <m:r>
              <w:rPr>
                <w:rFonts w:ascii="Cambria Math" w:hAnsi="Cambria Math"/>
                <w:color w:val="000000" w:themeColor="text1"/>
                <w:sz w:val="26"/>
                <w:szCs w:val="26"/>
                <w:lang w:val="lt-LT"/>
              </w:rPr>
              <m:t>m</m:t>
            </m:r>
            <m:d>
              <m:dPr>
                <m:ctrlPr>
                  <w:rPr>
                    <w:rFonts w:ascii="Cambria Math" w:hAnsi="Cambria Math"/>
                    <w:i/>
                    <w:color w:val="000000" w:themeColor="text1"/>
                    <w:sz w:val="26"/>
                    <w:szCs w:val="26"/>
                    <w:lang w:val="lt-LT"/>
                  </w:rPr>
                </m:ctrlPr>
              </m:dPr>
              <m:e>
                <m:r>
                  <w:rPr>
                    <w:rFonts w:ascii="Cambria Math" w:hAnsi="Cambria Math"/>
                    <w:color w:val="000000" w:themeColor="text1"/>
                    <w:sz w:val="26"/>
                    <w:szCs w:val="26"/>
                    <w:lang w:val="lt-LT"/>
                  </w:rPr>
                  <m:t>X</m:t>
                </m:r>
              </m:e>
            </m:d>
            <m:r>
              <w:rPr>
                <w:rFonts w:ascii="Cambria Math" w:hAnsi="Cambria Math"/>
                <w:color w:val="000000" w:themeColor="text1"/>
                <w:sz w:val="26"/>
                <w:szCs w:val="26"/>
              </w:rPr>
              <m:t>=1-Bel (~</m:t>
            </m:r>
          </m:e>
        </m:nary>
        <m:r>
          <w:rPr>
            <w:rFonts w:ascii="Cambria Math" w:hAnsi="Cambria Math"/>
            <w:color w:val="000000" w:themeColor="text1"/>
            <w:sz w:val="26"/>
            <w:szCs w:val="26"/>
            <w:lang w:val="lt-LT"/>
          </w:rPr>
          <m:t>B)</m:t>
        </m:r>
      </m:oMath>
      <w:r w:rsidR="00C74F6E" w:rsidRPr="005065DA">
        <w:rPr>
          <w:i/>
          <w:color w:val="000000" w:themeColor="text1"/>
          <w:sz w:val="26"/>
          <w:szCs w:val="26"/>
          <w:lang w:val="lt-LT"/>
        </w:rPr>
        <w:t xml:space="preserve">                         </w:t>
      </w:r>
      <w:r w:rsidR="00D03316" w:rsidRPr="005065DA">
        <w:rPr>
          <w:i/>
          <w:color w:val="000000" w:themeColor="text1"/>
          <w:sz w:val="26"/>
          <w:szCs w:val="26"/>
          <w:lang w:val="lt-LT"/>
        </w:rPr>
        <w:t xml:space="preserve">             </w:t>
      </w:r>
      <w:r w:rsidR="00C74F6E" w:rsidRPr="005065DA">
        <w:rPr>
          <w:i/>
          <w:color w:val="000000" w:themeColor="text1"/>
          <w:sz w:val="26"/>
          <w:szCs w:val="26"/>
          <w:lang w:val="lt-LT"/>
        </w:rPr>
        <w:t>(8)</w:t>
      </w:r>
    </w:p>
    <w:p w:rsidR="00D76C1D" w:rsidRPr="009A3FB3" w:rsidRDefault="00D76C1D" w:rsidP="00A1516E">
      <w:pPr>
        <w:spacing w:line="360" w:lineRule="auto"/>
        <w:ind w:firstLine="720"/>
        <w:jc w:val="both"/>
        <w:rPr>
          <w:color w:val="000000" w:themeColor="text1"/>
          <w:sz w:val="26"/>
          <w:szCs w:val="26"/>
          <w:lang w:val="lt-LT"/>
        </w:rPr>
      </w:pPr>
      <w:r w:rsidRPr="009A3FB3">
        <w:rPr>
          <w:color w:val="000000" w:themeColor="text1"/>
          <w:sz w:val="26"/>
          <w:szCs w:val="26"/>
          <w:lang w:val="lt-LT"/>
        </w:rPr>
        <w:lastRenderedPageBreak/>
        <w:t xml:space="preserve">R. P. Srivastava, G. R. Shafer (1992) siūlomos </w:t>
      </w:r>
      <w:r w:rsidR="0021635E" w:rsidRPr="009A3FB3">
        <w:rPr>
          <w:color w:val="000000" w:themeColor="text1"/>
          <w:sz w:val="26"/>
          <w:szCs w:val="26"/>
          <w:lang w:val="lt-LT"/>
        </w:rPr>
        <w:t xml:space="preserve">tikėtinumo funkcijos </w:t>
      </w:r>
      <w:r w:rsidR="005065DA">
        <w:rPr>
          <w:color w:val="000000" w:themeColor="text1"/>
          <w:sz w:val="26"/>
          <w:szCs w:val="26"/>
          <w:lang w:val="lt-LT"/>
        </w:rPr>
        <w:t xml:space="preserve">– </w:t>
      </w:r>
      <w:r w:rsidRPr="009A3FB3">
        <w:rPr>
          <w:color w:val="000000" w:themeColor="text1"/>
          <w:sz w:val="26"/>
          <w:szCs w:val="26"/>
          <w:lang w:val="lt-LT"/>
        </w:rPr>
        <w:t>audito rizikos</w:t>
      </w:r>
      <w:r w:rsidR="00985C12" w:rsidRPr="009A3FB3">
        <w:rPr>
          <w:color w:val="000000" w:themeColor="text1"/>
          <w:sz w:val="26"/>
          <w:szCs w:val="26"/>
          <w:lang w:val="lt-LT"/>
        </w:rPr>
        <w:t xml:space="preserve"> modelio </w:t>
      </w:r>
      <w:r w:rsidRPr="009A3FB3">
        <w:rPr>
          <w:color w:val="000000" w:themeColor="text1"/>
          <w:sz w:val="26"/>
          <w:szCs w:val="26"/>
          <w:lang w:val="lt-LT"/>
        </w:rPr>
        <w:t xml:space="preserve">formulės </w:t>
      </w:r>
      <w:r w:rsidR="0021635E" w:rsidRPr="009A3FB3">
        <w:rPr>
          <w:color w:val="000000" w:themeColor="text1"/>
          <w:sz w:val="26"/>
          <w:szCs w:val="26"/>
          <w:lang w:val="lt-LT"/>
        </w:rPr>
        <w:t>skirtingais pasireiškimo lygmenimis</w:t>
      </w:r>
      <w:r w:rsidR="002B2F67" w:rsidRPr="009A3FB3">
        <w:rPr>
          <w:color w:val="000000" w:themeColor="text1"/>
          <w:sz w:val="26"/>
          <w:szCs w:val="26"/>
          <w:lang w:val="lt-LT"/>
        </w:rPr>
        <w:t xml:space="preserve"> (finansinių ataskaitų, sąskaitos ir audito tikslo)</w:t>
      </w:r>
      <w:r w:rsidR="0021635E" w:rsidRPr="009A3FB3">
        <w:rPr>
          <w:color w:val="000000" w:themeColor="text1"/>
          <w:sz w:val="26"/>
          <w:szCs w:val="26"/>
          <w:lang w:val="lt-LT"/>
        </w:rPr>
        <w:t xml:space="preserve"> apibendrintos </w:t>
      </w:r>
      <w:r w:rsidR="00D64C04" w:rsidRPr="009A3FB3">
        <w:rPr>
          <w:color w:val="000000" w:themeColor="text1"/>
          <w:sz w:val="26"/>
          <w:szCs w:val="26"/>
          <w:lang w:val="lt-LT"/>
        </w:rPr>
        <w:t>1</w:t>
      </w:r>
      <w:r w:rsidR="00750B2D" w:rsidRPr="009A3FB3">
        <w:rPr>
          <w:color w:val="000000" w:themeColor="text1"/>
          <w:sz w:val="26"/>
          <w:szCs w:val="26"/>
          <w:lang w:val="lt-LT"/>
        </w:rPr>
        <w:t>6</w:t>
      </w:r>
      <w:r w:rsidRPr="009A3FB3">
        <w:rPr>
          <w:color w:val="000000" w:themeColor="text1"/>
          <w:sz w:val="26"/>
          <w:szCs w:val="26"/>
          <w:lang w:val="lt-LT"/>
        </w:rPr>
        <w:t xml:space="preserve"> lentelėje.</w:t>
      </w:r>
    </w:p>
    <w:p w:rsidR="0021635E" w:rsidRPr="006F53DE" w:rsidRDefault="003F5AB9" w:rsidP="00A1516E">
      <w:pPr>
        <w:spacing w:line="360" w:lineRule="auto"/>
        <w:ind w:firstLine="720"/>
        <w:jc w:val="both"/>
        <w:rPr>
          <w:i/>
          <w:color w:val="000000" w:themeColor="text1"/>
          <w:sz w:val="26"/>
          <w:szCs w:val="26"/>
          <w:lang w:val="lt-LT"/>
        </w:rPr>
      </w:pP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sidR="0021635E" w:rsidRPr="00D64C04">
        <w:rPr>
          <w:color w:val="000000" w:themeColor="text1"/>
          <w:sz w:val="24"/>
          <w:szCs w:val="24"/>
          <w:lang w:val="lt-LT"/>
        </w:rPr>
        <w:tab/>
      </w:r>
      <w:r w:rsidR="0021635E" w:rsidRPr="00D64C04">
        <w:rPr>
          <w:color w:val="000000" w:themeColor="text1"/>
          <w:sz w:val="24"/>
          <w:szCs w:val="24"/>
          <w:lang w:val="lt-LT"/>
        </w:rPr>
        <w:tab/>
      </w:r>
      <w:r w:rsidR="0021635E" w:rsidRPr="00D64C04">
        <w:rPr>
          <w:color w:val="000000" w:themeColor="text1"/>
          <w:sz w:val="24"/>
          <w:szCs w:val="24"/>
          <w:lang w:val="lt-LT"/>
        </w:rPr>
        <w:tab/>
      </w:r>
      <w:r w:rsidR="0021635E" w:rsidRPr="00D64C04">
        <w:rPr>
          <w:color w:val="000000" w:themeColor="text1"/>
          <w:sz w:val="24"/>
          <w:szCs w:val="24"/>
          <w:lang w:val="lt-LT"/>
        </w:rPr>
        <w:tab/>
      </w:r>
      <w:r w:rsidR="00D64C04" w:rsidRPr="006F53DE">
        <w:rPr>
          <w:i/>
          <w:color w:val="000000" w:themeColor="text1"/>
          <w:sz w:val="26"/>
          <w:szCs w:val="26"/>
          <w:lang w:val="lt-LT"/>
        </w:rPr>
        <w:t>1</w:t>
      </w:r>
      <w:r w:rsidR="00750B2D" w:rsidRPr="006F53DE">
        <w:rPr>
          <w:i/>
          <w:color w:val="000000" w:themeColor="text1"/>
          <w:sz w:val="26"/>
          <w:szCs w:val="26"/>
          <w:lang w:val="lt-LT"/>
        </w:rPr>
        <w:t>6</w:t>
      </w:r>
      <w:r w:rsidR="0021635E" w:rsidRPr="006F53DE">
        <w:rPr>
          <w:i/>
          <w:color w:val="000000" w:themeColor="text1"/>
          <w:sz w:val="26"/>
          <w:szCs w:val="26"/>
          <w:lang w:val="lt-LT"/>
        </w:rPr>
        <w:t xml:space="preserve"> lentelė</w:t>
      </w:r>
    </w:p>
    <w:p w:rsidR="0021635E" w:rsidRPr="006F53DE" w:rsidRDefault="00FC3DBC" w:rsidP="0021635E">
      <w:pPr>
        <w:tabs>
          <w:tab w:val="left" w:pos="567"/>
        </w:tabs>
        <w:spacing w:line="360" w:lineRule="auto"/>
        <w:jc w:val="center"/>
        <w:rPr>
          <w:color w:val="000000" w:themeColor="text1"/>
          <w:sz w:val="26"/>
          <w:szCs w:val="26"/>
          <w:lang w:val="lt-LT"/>
        </w:rPr>
      </w:pPr>
      <w:r w:rsidRPr="006F53DE">
        <w:rPr>
          <w:b/>
          <w:color w:val="000000" w:themeColor="text1"/>
          <w:sz w:val="26"/>
          <w:szCs w:val="26"/>
          <w:lang w:val="lt-LT"/>
        </w:rPr>
        <w:t>Audito rizikos</w:t>
      </w:r>
      <w:r w:rsidR="00832C29" w:rsidRPr="006F53DE">
        <w:rPr>
          <w:b/>
          <w:color w:val="000000" w:themeColor="text1"/>
          <w:sz w:val="26"/>
          <w:szCs w:val="26"/>
          <w:lang w:val="lt-LT"/>
        </w:rPr>
        <w:t xml:space="preserve"> </w:t>
      </w:r>
      <w:r w:rsidRPr="006F53DE">
        <w:rPr>
          <w:b/>
          <w:color w:val="000000" w:themeColor="text1"/>
          <w:sz w:val="26"/>
          <w:szCs w:val="26"/>
          <w:lang w:val="lt-LT"/>
        </w:rPr>
        <w:t>formulės</w:t>
      </w:r>
      <w:r w:rsidR="00832C29" w:rsidRPr="006F53DE">
        <w:rPr>
          <w:b/>
          <w:color w:val="000000" w:themeColor="text1"/>
          <w:sz w:val="26"/>
          <w:szCs w:val="26"/>
          <w:lang w:val="lt-LT"/>
        </w:rPr>
        <w:t xml:space="preserve">, remiantis </w:t>
      </w:r>
      <w:r w:rsidRPr="006F53DE">
        <w:rPr>
          <w:b/>
          <w:color w:val="000000" w:themeColor="text1"/>
          <w:sz w:val="26"/>
          <w:szCs w:val="26"/>
          <w:lang w:val="lt-LT"/>
        </w:rPr>
        <w:t>įsitikinimo</w:t>
      </w:r>
      <w:r w:rsidR="0021635E" w:rsidRPr="006F53DE">
        <w:rPr>
          <w:b/>
          <w:color w:val="000000" w:themeColor="text1"/>
          <w:sz w:val="26"/>
          <w:szCs w:val="26"/>
          <w:lang w:val="lt-LT"/>
        </w:rPr>
        <w:t xml:space="preserve"> fun</w:t>
      </w:r>
      <w:r w:rsidRPr="006F53DE">
        <w:rPr>
          <w:b/>
          <w:color w:val="000000" w:themeColor="text1"/>
          <w:sz w:val="26"/>
          <w:szCs w:val="26"/>
          <w:lang w:val="lt-LT"/>
        </w:rPr>
        <w:t>k</w:t>
      </w:r>
      <w:r w:rsidR="0021635E" w:rsidRPr="006F53DE">
        <w:rPr>
          <w:b/>
          <w:color w:val="000000" w:themeColor="text1"/>
          <w:sz w:val="26"/>
          <w:szCs w:val="26"/>
          <w:lang w:val="lt-LT"/>
        </w:rPr>
        <w:t>cij</w:t>
      </w:r>
      <w:r w:rsidR="00832C29" w:rsidRPr="006F53DE">
        <w:rPr>
          <w:b/>
          <w:color w:val="000000" w:themeColor="text1"/>
          <w:sz w:val="26"/>
          <w:szCs w:val="26"/>
          <w:lang w:val="lt-LT"/>
        </w:rPr>
        <w:t>os samprata</w:t>
      </w:r>
    </w:p>
    <w:tbl>
      <w:tblPr>
        <w:tblStyle w:val="TableGrid"/>
        <w:tblW w:w="8222" w:type="dxa"/>
        <w:tblInd w:w="108" w:type="dxa"/>
        <w:tblLayout w:type="fixed"/>
        <w:tblLook w:val="04A0"/>
      </w:tblPr>
      <w:tblGrid>
        <w:gridCol w:w="1560"/>
        <w:gridCol w:w="6662"/>
      </w:tblGrid>
      <w:tr w:rsidR="00131CBC" w:rsidRPr="00131CBC" w:rsidTr="00921D79">
        <w:tc>
          <w:tcPr>
            <w:tcW w:w="1560" w:type="dxa"/>
          </w:tcPr>
          <w:p w:rsidR="00131CBC" w:rsidRPr="00131CBC" w:rsidRDefault="00131CBC" w:rsidP="00770143">
            <w:pPr>
              <w:jc w:val="center"/>
              <w:rPr>
                <w:b/>
                <w:color w:val="000000" w:themeColor="text1"/>
                <w:sz w:val="22"/>
                <w:szCs w:val="22"/>
                <w:lang w:val="lt-LT"/>
              </w:rPr>
            </w:pPr>
            <w:r w:rsidRPr="00131CBC">
              <w:rPr>
                <w:b/>
                <w:color w:val="000000" w:themeColor="text1"/>
                <w:sz w:val="22"/>
                <w:szCs w:val="22"/>
                <w:lang w:val="lt-LT"/>
              </w:rPr>
              <w:t>Pasireiškimo lygmuo</w:t>
            </w:r>
          </w:p>
        </w:tc>
        <w:tc>
          <w:tcPr>
            <w:tcW w:w="6662" w:type="dxa"/>
            <w:tcBorders>
              <w:bottom w:val="single" w:sz="4" w:space="0" w:color="auto"/>
            </w:tcBorders>
          </w:tcPr>
          <w:p w:rsidR="00131CBC" w:rsidRPr="00131CBC" w:rsidRDefault="00131CBC" w:rsidP="00921D79">
            <w:pPr>
              <w:jc w:val="center"/>
              <w:rPr>
                <w:b/>
                <w:color w:val="000000" w:themeColor="text1"/>
                <w:sz w:val="22"/>
                <w:szCs w:val="22"/>
                <w:lang w:val="lt-LT"/>
              </w:rPr>
            </w:pPr>
            <w:r w:rsidRPr="00131CBC">
              <w:rPr>
                <w:b/>
                <w:color w:val="000000" w:themeColor="text1"/>
                <w:sz w:val="22"/>
                <w:szCs w:val="22"/>
                <w:lang w:val="lt-LT"/>
              </w:rPr>
              <w:t>Tikėtinumo funkcija (PL)</w:t>
            </w:r>
            <w:r>
              <w:rPr>
                <w:b/>
                <w:color w:val="000000" w:themeColor="text1"/>
                <w:sz w:val="22"/>
                <w:szCs w:val="22"/>
                <w:lang w:val="lt-LT"/>
              </w:rPr>
              <w:t xml:space="preserve"> ir </w:t>
            </w:r>
            <w:r w:rsidR="00921D79">
              <w:rPr>
                <w:b/>
                <w:color w:val="000000" w:themeColor="text1"/>
                <w:sz w:val="22"/>
                <w:szCs w:val="22"/>
                <w:lang w:val="lt-LT"/>
              </w:rPr>
              <w:t>į</w:t>
            </w:r>
            <w:r w:rsidRPr="00131CBC">
              <w:rPr>
                <w:b/>
                <w:color w:val="000000" w:themeColor="text1"/>
                <w:sz w:val="22"/>
                <w:szCs w:val="22"/>
                <w:lang w:val="lt-LT"/>
              </w:rPr>
              <w:t>sitikinimo funkcija (Bel)</w:t>
            </w:r>
          </w:p>
        </w:tc>
      </w:tr>
      <w:tr w:rsidR="00921D79" w:rsidRPr="00131CBC" w:rsidTr="00921D79">
        <w:tc>
          <w:tcPr>
            <w:tcW w:w="1560" w:type="dxa"/>
            <w:vMerge w:val="restart"/>
            <w:vAlign w:val="center"/>
          </w:tcPr>
          <w:p w:rsidR="00921D79" w:rsidRPr="00131CBC" w:rsidRDefault="00921D79" w:rsidP="00921D79">
            <w:pPr>
              <w:jc w:val="center"/>
              <w:rPr>
                <w:b/>
                <w:color w:val="000000" w:themeColor="text1"/>
                <w:sz w:val="22"/>
                <w:szCs w:val="22"/>
                <w:lang w:val="lt-LT"/>
              </w:rPr>
            </w:pPr>
            <w:r w:rsidRPr="00131CBC">
              <w:rPr>
                <w:b/>
                <w:color w:val="000000" w:themeColor="text1"/>
                <w:sz w:val="22"/>
                <w:szCs w:val="22"/>
                <w:lang w:val="lt-LT"/>
              </w:rPr>
              <w:t>Finansinių ataskaitų</w:t>
            </w:r>
          </w:p>
        </w:tc>
        <w:tc>
          <w:tcPr>
            <w:tcW w:w="6662" w:type="dxa"/>
            <w:tcBorders>
              <w:bottom w:val="nil"/>
            </w:tcBorders>
          </w:tcPr>
          <w:p w:rsidR="00921D79" w:rsidRPr="00131CBC" w:rsidRDefault="00166819" w:rsidP="00770143">
            <w:pPr>
              <w:jc w:val="both"/>
              <w:rPr>
                <w:i/>
                <w:color w:val="000000" w:themeColor="text1"/>
                <w:sz w:val="22"/>
                <w:szCs w:val="22"/>
                <w:lang w:val="lt-LT"/>
              </w:rPr>
            </w:pPr>
            <m:oMath>
              <m:sSubSup>
                <m:sSubSupPr>
                  <m:ctrlPr>
                    <w:rPr>
                      <w:rFonts w:ascii="Cambria Math" w:hAnsi="Cambria Math"/>
                      <w:b/>
                      <w:i/>
                      <w:color w:val="000000" w:themeColor="text1"/>
                      <w:sz w:val="22"/>
                      <w:szCs w:val="22"/>
                      <w:lang w:val="lt-LT"/>
                    </w:rPr>
                  </m:ctrlPr>
                </m:sSubSupPr>
                <m:e>
                  <m:r>
                    <m:rPr>
                      <m:sty m:val="bi"/>
                    </m:rPr>
                    <w:rPr>
                      <w:rFonts w:ascii="Cambria Math" w:hAnsi="Cambria Math"/>
                      <w:color w:val="000000" w:themeColor="text1"/>
                      <w:sz w:val="22"/>
                      <w:szCs w:val="22"/>
                      <w:lang w:val="lt-LT"/>
                    </w:rPr>
                    <m:t>PL</m:t>
                  </m:r>
                </m:e>
                <m:sub>
                  <m:r>
                    <m:rPr>
                      <m:sty m:val="bi"/>
                    </m:rPr>
                    <w:rPr>
                      <w:rFonts w:ascii="Cambria Math" w:hAnsi="Cambria Math"/>
                      <w:color w:val="000000" w:themeColor="text1"/>
                      <w:sz w:val="22"/>
                      <w:szCs w:val="22"/>
                      <w:lang w:val="lt-LT"/>
                    </w:rPr>
                    <m:t>F</m:t>
                  </m:r>
                </m:sub>
                <m:sup>
                  <m:r>
                    <m:rPr>
                      <m:sty m:val="bi"/>
                    </m:rPr>
                    <w:rPr>
                      <w:rFonts w:ascii="Cambria Math" w:hAnsi="Cambria Math"/>
                      <w:color w:val="000000" w:themeColor="text1"/>
                      <w:sz w:val="22"/>
                      <w:szCs w:val="22"/>
                      <w:lang w:val="lt-LT"/>
                    </w:rPr>
                    <m:t>t</m:t>
                  </m:r>
                </m:sup>
              </m:sSubSup>
              <m:d>
                <m:dPr>
                  <m:ctrlPr>
                    <w:rPr>
                      <w:rFonts w:ascii="Cambria Math" w:hAnsi="Cambria Math"/>
                      <w:b/>
                      <w:i/>
                      <w:color w:val="000000" w:themeColor="text1"/>
                      <w:sz w:val="22"/>
                      <w:szCs w:val="22"/>
                      <w:lang w:val="lt-LT"/>
                    </w:rPr>
                  </m:ctrlPr>
                </m:dPr>
                <m:e>
                  <m:r>
                    <m:rPr>
                      <m:sty m:val="bi"/>
                    </m:rPr>
                    <w:rPr>
                      <w:rFonts w:ascii="Cambria Math" w:hAnsi="Cambria Math"/>
                      <w:color w:val="000000" w:themeColor="text1"/>
                      <w:sz w:val="22"/>
                      <w:szCs w:val="22"/>
                      <w:lang w:val="lt-LT"/>
                    </w:rPr>
                    <m:t>~f</m:t>
                  </m:r>
                </m:e>
              </m:d>
              <m:r>
                <w:rPr>
                  <w:rFonts w:ascii="Cambria Math" w:hAnsi="Cambria Math"/>
                  <w:color w:val="000000" w:themeColor="text1"/>
                  <w:sz w:val="22"/>
                  <w:szCs w:val="22"/>
                  <w:lang w:val="lt-LT"/>
                </w:rPr>
                <m:t xml:space="preserve">= </m:t>
              </m:r>
              <m:sSubSup>
                <m:sSubSupPr>
                  <m:ctrlPr>
                    <w:rPr>
                      <w:rFonts w:ascii="Cambria Math" w:hAnsi="Cambria Math"/>
                      <w:i/>
                      <w:color w:val="000000" w:themeColor="text1"/>
                      <w:sz w:val="22"/>
                      <w:szCs w:val="22"/>
                      <w:lang w:val="lt-LT"/>
                    </w:rPr>
                  </m:ctrlPr>
                </m:sSubSup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F</m:t>
                  </m:r>
                </m:sub>
                <m:sup>
                  <m:r>
                    <w:rPr>
                      <w:rFonts w:ascii="Cambria Math" w:hAnsi="Cambria Math"/>
                      <w:color w:val="000000" w:themeColor="text1"/>
                      <w:sz w:val="22"/>
                      <w:szCs w:val="22"/>
                      <w:lang w:val="lt-LT"/>
                    </w:rPr>
                    <m:t>t</m:t>
                  </m:r>
                </m:sup>
              </m:sSubSup>
              <m:r>
                <w:rPr>
                  <w:rFonts w:ascii="Cambria Math" w:hAnsi="Cambria Math"/>
                  <w:color w:val="000000" w:themeColor="text1"/>
                  <w:sz w:val="22"/>
                  <w:szCs w:val="22"/>
                  <w:lang w:val="lt-LT"/>
                </w:rPr>
                <m:t xml:space="preserve">= </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F</m:t>
                  </m:r>
                </m:sub>
              </m:sSub>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m:t>
                  </m:r>
                </m:e>
                <m:sub>
                  <m:r>
                    <w:rPr>
                      <w:rFonts w:ascii="Cambria Math" w:hAnsi="Cambria Math"/>
                      <w:color w:val="000000" w:themeColor="text1"/>
                      <w:sz w:val="22"/>
                      <w:szCs w:val="22"/>
                      <w:lang w:val="lt-LT"/>
                    </w:rPr>
                    <m:t>A</m:t>
                  </m:r>
                </m:sub>
              </m:sSub>
              <m:d>
                <m:dPr>
                  <m:ctrlPr>
                    <w:rPr>
                      <w:rFonts w:ascii="Cambria Math" w:hAnsi="Cambria Math"/>
                      <w:i/>
                      <w:color w:val="000000" w:themeColor="text1"/>
                      <w:sz w:val="22"/>
                      <w:szCs w:val="22"/>
                      <w:lang w:val="lt-LT"/>
                    </w:rPr>
                  </m:ctrlPr>
                </m:dPr>
                <m:e>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m:t>
                      </m:r>
                    </m:sub>
                  </m:sSub>
                </m:e>
              </m:d>
              <m:r>
                <w:rPr>
                  <w:rFonts w:ascii="Cambria Math" w:hAnsi="Cambria Math"/>
                  <w:color w:val="000000" w:themeColor="text1"/>
                  <w:sz w:val="22"/>
                  <w:szCs w:val="22"/>
                  <w:lang w:val="lt-LT"/>
                </w:rPr>
                <m:t>]</m:t>
              </m:r>
            </m:oMath>
            <w:r w:rsidR="00921D79" w:rsidRPr="00131CBC">
              <w:rPr>
                <w:i/>
                <w:color w:val="000000" w:themeColor="text1"/>
                <w:sz w:val="22"/>
                <w:szCs w:val="22"/>
                <w:lang w:val="lt-LT"/>
              </w:rPr>
              <w:t xml:space="preserve">, </w:t>
            </w:r>
          </w:p>
          <w:p w:rsidR="00921D79" w:rsidRPr="00131CBC" w:rsidRDefault="00921D79" w:rsidP="00770143">
            <w:pPr>
              <w:jc w:val="both"/>
              <w:rPr>
                <w:color w:val="000000" w:themeColor="text1"/>
                <w:sz w:val="22"/>
                <w:szCs w:val="22"/>
                <w:lang w:val="lt-LT"/>
              </w:rPr>
            </w:pPr>
            <w:r w:rsidRPr="00131CBC">
              <w:rPr>
                <w:i/>
                <w:color w:val="000000" w:themeColor="text1"/>
                <w:sz w:val="22"/>
                <w:szCs w:val="22"/>
                <w:lang w:val="lt-LT"/>
              </w:rPr>
              <w:t>kai:</w:t>
            </w:r>
            <m:oMath>
              <m:sSubSup>
                <m:sSubSupPr>
                  <m:ctrlPr>
                    <w:rPr>
                      <w:rFonts w:ascii="Cambria Math" w:hAnsi="Cambria Math"/>
                      <w:i/>
                      <w:color w:val="000000" w:themeColor="text1"/>
                      <w:sz w:val="22"/>
                      <w:szCs w:val="22"/>
                      <w:lang w:val="lt-LT"/>
                    </w:rPr>
                  </m:ctrlPr>
                </m:sSubSup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m:t>
                  </m:r>
                </m:sub>
                <m:sup/>
              </m:sSubSup>
              <m:r>
                <w:rPr>
                  <w:rFonts w:ascii="Cambria Math" w:hAnsi="Cambria Math"/>
                  <w:color w:val="000000" w:themeColor="text1"/>
                  <w:sz w:val="22"/>
                  <w:szCs w:val="22"/>
                  <w:lang w:val="lt-LT"/>
                </w:rPr>
                <m:t xml:space="preserve">=  </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A</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A</m:t>
                  </m:r>
                </m:sub>
              </m:sSub>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m:t>
                  </m:r>
                </m:e>
                <m:sub>
                  <m:r>
                    <w:rPr>
                      <w:rFonts w:ascii="Cambria Math" w:hAnsi="Cambria Math"/>
                      <w:color w:val="000000" w:themeColor="text1"/>
                      <w:sz w:val="22"/>
                      <w:szCs w:val="22"/>
                      <w:lang w:val="lt-LT"/>
                    </w:rPr>
                    <m:t>O</m:t>
                  </m:r>
                </m:sub>
              </m:sSub>
              <m:d>
                <m:dPr>
                  <m:ctrlPr>
                    <w:rPr>
                      <w:rFonts w:ascii="Cambria Math" w:hAnsi="Cambria Math"/>
                      <w:i/>
                      <w:color w:val="000000" w:themeColor="text1"/>
                      <w:sz w:val="22"/>
                      <w:szCs w:val="22"/>
                      <w:lang w:val="lt-LT"/>
                    </w:rPr>
                  </m:ctrlPr>
                </m:dPr>
                <m:e>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AO</m:t>
                      </m:r>
                    </m:sub>
                  </m:sSub>
                </m:e>
              </m:d>
              <m:r>
                <w:rPr>
                  <w:rFonts w:ascii="Cambria Math" w:hAnsi="Cambria Math"/>
                  <w:color w:val="000000" w:themeColor="text1"/>
                  <w:sz w:val="22"/>
                  <w:szCs w:val="22"/>
                  <w:lang w:val="lt-LT"/>
                </w:rPr>
                <m:t>]</m:t>
              </m:r>
            </m:oMath>
            <w:r w:rsidRPr="00131CBC">
              <w:rPr>
                <w:i/>
                <w:color w:val="000000" w:themeColor="text1"/>
                <w:sz w:val="22"/>
                <w:szCs w:val="22"/>
                <w:lang w:val="lt-LT"/>
              </w:rPr>
              <w:t xml:space="preserve">, </w:t>
            </w:r>
            <m:oMath>
              <m:sSubSup>
                <m:sSubSupPr>
                  <m:ctrlPr>
                    <w:rPr>
                      <w:rFonts w:ascii="Cambria Math" w:hAnsi="Cambria Math"/>
                      <w:i/>
                      <w:color w:val="000000" w:themeColor="text1"/>
                      <w:sz w:val="22"/>
                      <w:szCs w:val="22"/>
                      <w:lang w:val="lt-LT"/>
                    </w:rPr>
                  </m:ctrlPr>
                </m:sSubSup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AO</m:t>
                  </m:r>
                </m:sub>
                <m:sup/>
              </m:sSubSup>
              <m:r>
                <w:rPr>
                  <w:rFonts w:ascii="Cambria Math" w:hAnsi="Cambria Math"/>
                  <w:color w:val="000000" w:themeColor="text1"/>
                  <w:sz w:val="22"/>
                  <w:szCs w:val="22"/>
                  <w:lang w:val="lt-LT"/>
                </w:rPr>
                <m:t xml:space="preserve">=  </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AO</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AO</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CR</m:t>
                  </m:r>
                </m:e>
                <m:sub>
                  <m:r>
                    <w:rPr>
                      <w:rFonts w:ascii="Cambria Math" w:hAnsi="Cambria Math"/>
                      <w:color w:val="000000" w:themeColor="text1"/>
                      <w:sz w:val="22"/>
                      <w:szCs w:val="22"/>
                      <w:lang w:val="lt-LT"/>
                    </w:rPr>
                    <m:t>AO</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DR</m:t>
                  </m:r>
                </m:e>
                <m:sub>
                  <m:r>
                    <w:rPr>
                      <w:rFonts w:ascii="Cambria Math" w:hAnsi="Cambria Math"/>
                      <w:color w:val="000000" w:themeColor="text1"/>
                      <w:sz w:val="22"/>
                      <w:szCs w:val="22"/>
                      <w:lang w:val="lt-LT"/>
                    </w:rPr>
                    <m:t>AO</m:t>
                  </m:r>
                </m:sub>
              </m:sSub>
            </m:oMath>
          </w:p>
        </w:tc>
      </w:tr>
      <w:tr w:rsidR="00921D79" w:rsidRPr="00131CBC" w:rsidTr="00921D79">
        <w:tc>
          <w:tcPr>
            <w:tcW w:w="1560" w:type="dxa"/>
            <w:vMerge/>
          </w:tcPr>
          <w:p w:rsidR="00921D79" w:rsidRPr="00131CBC" w:rsidRDefault="00921D79" w:rsidP="00985C12">
            <w:pPr>
              <w:jc w:val="both"/>
              <w:rPr>
                <w:b/>
                <w:color w:val="000000" w:themeColor="text1"/>
                <w:sz w:val="22"/>
                <w:szCs w:val="22"/>
                <w:lang w:val="lt-LT"/>
              </w:rPr>
            </w:pPr>
          </w:p>
        </w:tc>
        <w:tc>
          <w:tcPr>
            <w:tcW w:w="6662" w:type="dxa"/>
            <w:tcBorders>
              <w:top w:val="nil"/>
              <w:bottom w:val="single" w:sz="4" w:space="0" w:color="auto"/>
            </w:tcBorders>
          </w:tcPr>
          <w:p w:rsidR="00921D79" w:rsidRPr="00131CBC" w:rsidRDefault="00166819" w:rsidP="00770143">
            <w:pPr>
              <w:jc w:val="both"/>
              <w:rPr>
                <w:color w:val="000000" w:themeColor="text1"/>
                <w:sz w:val="22"/>
                <w:szCs w:val="22"/>
                <w:lang w:val="lt-LT"/>
              </w:rPr>
            </w:pPr>
            <m:oMathPara>
              <m:oMathParaPr>
                <m:jc m:val="left"/>
              </m:oMathParaPr>
              <m:oMath>
                <m:sSubSup>
                  <m:sSubSupPr>
                    <m:ctrlPr>
                      <w:rPr>
                        <w:rFonts w:ascii="Cambria Math" w:hAnsi="Cambria Math"/>
                        <w:b/>
                        <w:i/>
                        <w:color w:val="000000" w:themeColor="text1"/>
                        <w:sz w:val="22"/>
                        <w:szCs w:val="22"/>
                        <w:lang w:val="lt-LT"/>
                      </w:rPr>
                    </m:ctrlPr>
                  </m:sSubSupPr>
                  <m:e>
                    <m:r>
                      <m:rPr>
                        <m:sty m:val="bi"/>
                      </m:rPr>
                      <w:rPr>
                        <w:rFonts w:ascii="Cambria Math" w:hAnsi="Cambria Math"/>
                        <w:color w:val="000000" w:themeColor="text1"/>
                        <w:sz w:val="22"/>
                        <w:szCs w:val="22"/>
                        <w:lang w:val="lt-LT"/>
                      </w:rPr>
                      <m:t>Bel</m:t>
                    </m:r>
                  </m:e>
                  <m:sub>
                    <m:r>
                      <m:rPr>
                        <m:sty m:val="bi"/>
                      </m:rPr>
                      <w:rPr>
                        <w:rFonts w:ascii="Cambria Math" w:hAnsi="Cambria Math"/>
                        <w:color w:val="000000" w:themeColor="text1"/>
                        <w:sz w:val="22"/>
                        <w:szCs w:val="22"/>
                        <w:lang w:val="lt-LT"/>
                      </w:rPr>
                      <m:t>F</m:t>
                    </m:r>
                  </m:sub>
                  <m:sup>
                    <m:r>
                      <m:rPr>
                        <m:sty m:val="bi"/>
                      </m:rPr>
                      <w:rPr>
                        <w:rFonts w:ascii="Cambria Math" w:hAnsi="Cambria Math"/>
                        <w:color w:val="000000" w:themeColor="text1"/>
                        <w:sz w:val="22"/>
                        <w:szCs w:val="22"/>
                        <w:lang w:val="lt-LT"/>
                      </w:rPr>
                      <m:t>t</m:t>
                    </m:r>
                  </m:sup>
                </m:sSubSup>
                <m:d>
                  <m:dPr>
                    <m:ctrlPr>
                      <w:rPr>
                        <w:rFonts w:ascii="Cambria Math" w:hAnsi="Cambria Math"/>
                        <w:b/>
                        <w:i/>
                        <w:color w:val="000000" w:themeColor="text1"/>
                        <w:sz w:val="22"/>
                        <w:szCs w:val="22"/>
                        <w:lang w:val="lt-LT"/>
                      </w:rPr>
                    </m:ctrlPr>
                  </m:dPr>
                  <m:e>
                    <m:r>
                      <m:rPr>
                        <m:sty m:val="bi"/>
                      </m:rPr>
                      <w:rPr>
                        <w:rFonts w:ascii="Cambria Math" w:hAnsi="Cambria Math"/>
                        <w:color w:val="000000" w:themeColor="text1"/>
                        <w:sz w:val="22"/>
                        <w:szCs w:val="22"/>
                        <w:lang w:val="lt-LT"/>
                      </w:rPr>
                      <m:t>f</m:t>
                    </m:r>
                  </m:e>
                </m:d>
                <m:r>
                  <w:rPr>
                    <w:rFonts w:ascii="Cambria Math" w:hAnsi="Cambria Math"/>
                    <w:color w:val="000000" w:themeColor="text1"/>
                    <w:sz w:val="22"/>
                    <w:szCs w:val="22"/>
                    <w:lang w:val="lt-LT"/>
                  </w:rPr>
                  <m:t xml:space="preserve">= 1- </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F</m:t>
                    </m:r>
                  </m:sub>
                </m:sSub>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m:t>
                    </m:r>
                  </m:e>
                  <m:sub>
                    <m:r>
                      <w:rPr>
                        <w:rFonts w:ascii="Cambria Math" w:hAnsi="Cambria Math"/>
                        <w:color w:val="000000" w:themeColor="text1"/>
                        <w:sz w:val="22"/>
                        <w:szCs w:val="22"/>
                        <w:lang w:val="lt-LT"/>
                      </w:rPr>
                      <m:t>A</m:t>
                    </m:r>
                  </m:sub>
                </m:sSub>
                <m:d>
                  <m:dPr>
                    <m:ctrlPr>
                      <w:rPr>
                        <w:rFonts w:ascii="Cambria Math" w:hAnsi="Cambria Math"/>
                        <w:i/>
                        <w:color w:val="000000" w:themeColor="text1"/>
                        <w:sz w:val="22"/>
                        <w:szCs w:val="22"/>
                        <w:lang w:val="lt-LT"/>
                      </w:rPr>
                    </m:ctrlPr>
                  </m:dPr>
                  <m:e>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m:t>
                        </m:r>
                      </m:sub>
                    </m:sSub>
                  </m:e>
                </m:d>
                <m:r>
                  <w:rPr>
                    <w:rFonts w:ascii="Cambria Math" w:hAnsi="Cambria Math"/>
                    <w:color w:val="000000" w:themeColor="text1"/>
                    <w:sz w:val="22"/>
                    <w:szCs w:val="22"/>
                    <w:lang w:val="lt-LT"/>
                  </w:rPr>
                  <m:t>]</m:t>
                </m:r>
              </m:oMath>
            </m:oMathPara>
          </w:p>
        </w:tc>
      </w:tr>
      <w:tr w:rsidR="00921D79" w:rsidRPr="00131CBC" w:rsidTr="00921D79">
        <w:tc>
          <w:tcPr>
            <w:tcW w:w="1560" w:type="dxa"/>
            <w:vMerge w:val="restart"/>
          </w:tcPr>
          <w:p w:rsidR="00921D79" w:rsidRPr="00131CBC" w:rsidRDefault="00921D79" w:rsidP="00985C12">
            <w:pPr>
              <w:jc w:val="both"/>
              <w:rPr>
                <w:b/>
                <w:color w:val="000000" w:themeColor="text1"/>
                <w:sz w:val="22"/>
                <w:szCs w:val="22"/>
                <w:lang w:val="lt-LT"/>
              </w:rPr>
            </w:pPr>
            <w:r w:rsidRPr="00131CBC">
              <w:rPr>
                <w:b/>
                <w:color w:val="000000" w:themeColor="text1"/>
                <w:sz w:val="22"/>
                <w:szCs w:val="22"/>
                <w:lang w:val="lt-LT"/>
              </w:rPr>
              <w:t>Sąskaitos</w:t>
            </w:r>
          </w:p>
        </w:tc>
        <w:tc>
          <w:tcPr>
            <w:tcW w:w="6662" w:type="dxa"/>
            <w:tcBorders>
              <w:bottom w:val="nil"/>
            </w:tcBorders>
          </w:tcPr>
          <w:p w:rsidR="00921D79" w:rsidRPr="00131CBC" w:rsidRDefault="00166819" w:rsidP="00131CBC">
            <w:pPr>
              <w:jc w:val="both"/>
              <w:rPr>
                <w:color w:val="000000" w:themeColor="text1"/>
                <w:sz w:val="22"/>
                <w:szCs w:val="22"/>
                <w:lang w:val="lt-LT"/>
              </w:rPr>
            </w:pPr>
            <m:oMath>
              <m:sSubSup>
                <m:sSubSupPr>
                  <m:ctrlPr>
                    <w:rPr>
                      <w:rFonts w:ascii="Cambria Math" w:hAnsi="Cambria Math"/>
                      <w:b/>
                      <w:i/>
                      <w:color w:val="000000" w:themeColor="text1"/>
                      <w:sz w:val="22"/>
                      <w:szCs w:val="22"/>
                      <w:lang w:val="lt-LT"/>
                    </w:rPr>
                  </m:ctrlPr>
                </m:sSubSupPr>
                <m:e>
                  <m:r>
                    <m:rPr>
                      <m:sty m:val="bi"/>
                    </m:rPr>
                    <w:rPr>
                      <w:rFonts w:ascii="Cambria Math" w:hAnsi="Cambria Math"/>
                      <w:color w:val="000000" w:themeColor="text1"/>
                      <w:sz w:val="22"/>
                      <w:szCs w:val="22"/>
                      <w:lang w:val="lt-LT"/>
                    </w:rPr>
                    <m:t>PL</m:t>
                  </m:r>
                </m:e>
                <m:sub>
                  <m:r>
                    <m:rPr>
                      <m:sty m:val="bi"/>
                    </m:rPr>
                    <w:rPr>
                      <w:rFonts w:ascii="Cambria Math" w:hAnsi="Cambria Math"/>
                      <w:color w:val="000000" w:themeColor="text1"/>
                      <w:sz w:val="22"/>
                      <w:szCs w:val="22"/>
                      <w:lang w:val="lt-LT"/>
                    </w:rPr>
                    <m:t>A</m:t>
                  </m:r>
                </m:sub>
                <m:sup>
                  <m:r>
                    <m:rPr>
                      <m:sty m:val="bi"/>
                    </m:rPr>
                    <w:rPr>
                      <w:rFonts w:ascii="Cambria Math" w:hAnsi="Cambria Math"/>
                      <w:color w:val="000000" w:themeColor="text1"/>
                      <w:sz w:val="22"/>
                      <w:szCs w:val="22"/>
                      <w:lang w:val="lt-LT"/>
                    </w:rPr>
                    <m:t>t</m:t>
                  </m:r>
                </m:sup>
              </m:sSubSup>
              <m:d>
                <m:dPr>
                  <m:ctrlPr>
                    <w:rPr>
                      <w:rFonts w:ascii="Cambria Math" w:hAnsi="Cambria Math"/>
                      <w:b/>
                      <w:i/>
                      <w:color w:val="000000" w:themeColor="text1"/>
                      <w:sz w:val="22"/>
                      <w:szCs w:val="22"/>
                      <w:lang w:val="lt-LT"/>
                    </w:rPr>
                  </m:ctrlPr>
                </m:dPr>
                <m:e>
                  <m:r>
                    <m:rPr>
                      <m:sty m:val="bi"/>
                    </m:rPr>
                    <w:rPr>
                      <w:rFonts w:ascii="Cambria Math" w:hAnsi="Cambria Math"/>
                      <w:color w:val="000000" w:themeColor="text1"/>
                      <w:sz w:val="22"/>
                      <w:szCs w:val="22"/>
                      <w:lang w:val="lt-LT"/>
                    </w:rPr>
                    <m:t>~a</m:t>
                  </m:r>
                </m:e>
              </m:d>
              <m:r>
                <w:rPr>
                  <w:rFonts w:ascii="Cambria Math" w:hAnsi="Cambria Math"/>
                  <w:color w:val="000000" w:themeColor="text1"/>
                  <w:sz w:val="22"/>
                  <w:szCs w:val="22"/>
                  <w:lang w:val="lt-LT"/>
                </w:rPr>
                <m:t xml:space="preserve">= </m:t>
              </m:r>
              <m:sSubSup>
                <m:sSubSupPr>
                  <m:ctrlPr>
                    <w:rPr>
                      <w:rFonts w:ascii="Cambria Math" w:hAnsi="Cambria Math"/>
                      <w:i/>
                      <w:color w:val="000000" w:themeColor="text1"/>
                      <w:sz w:val="22"/>
                      <w:szCs w:val="22"/>
                      <w:lang w:val="lt-LT"/>
                    </w:rPr>
                  </m:ctrlPr>
                </m:sSubSup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m:t>
                  </m:r>
                </m:sub>
                <m:sup>
                  <m:r>
                    <w:rPr>
                      <w:rFonts w:ascii="Cambria Math" w:hAnsi="Cambria Math"/>
                      <w:color w:val="000000" w:themeColor="text1"/>
                      <w:sz w:val="22"/>
                      <w:szCs w:val="22"/>
                      <w:lang w:val="lt-LT"/>
                    </w:rPr>
                    <m:t>t</m:t>
                  </m:r>
                </m:sup>
              </m:sSubSup>
              <m:r>
                <w:rPr>
                  <w:rFonts w:ascii="Cambria Math" w:hAnsi="Cambria Math"/>
                  <w:color w:val="000000" w:themeColor="text1"/>
                  <w:sz w:val="22"/>
                  <w:szCs w:val="22"/>
                  <w:lang w:val="lt-LT"/>
                </w:rPr>
                <m:t xml:space="preserve">= </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A</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A</m:t>
                  </m:r>
                </m:sub>
              </m:sSub>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m:t>
                  </m:r>
                </m:e>
                <m:sub>
                  <m:r>
                    <w:rPr>
                      <w:rFonts w:ascii="Cambria Math" w:hAnsi="Cambria Math"/>
                      <w:color w:val="000000" w:themeColor="text1"/>
                      <w:sz w:val="22"/>
                      <w:szCs w:val="22"/>
                      <w:lang w:val="lt-LT"/>
                    </w:rPr>
                    <m:t>O</m:t>
                  </m:r>
                </m:sub>
              </m:sSub>
              <m:d>
                <m:dPr>
                  <m:ctrlPr>
                    <w:rPr>
                      <w:rFonts w:ascii="Cambria Math" w:hAnsi="Cambria Math"/>
                      <w:i/>
                      <w:color w:val="000000" w:themeColor="text1"/>
                      <w:sz w:val="22"/>
                      <w:szCs w:val="22"/>
                      <w:lang w:val="lt-LT"/>
                    </w:rPr>
                  </m:ctrlPr>
                </m:dPr>
                <m:e>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AO</m:t>
                      </m:r>
                    </m:sub>
                  </m:sSub>
                </m:e>
              </m:d>
              <m:r>
                <w:rPr>
                  <w:rFonts w:ascii="Cambria Math" w:hAnsi="Cambria Math"/>
                  <w:color w:val="000000" w:themeColor="text1"/>
                  <w:sz w:val="22"/>
                  <w:szCs w:val="22"/>
                  <w:lang w:val="lt-LT"/>
                </w:rPr>
                <m:t>]</m:t>
              </m:r>
            </m:oMath>
            <w:r w:rsidR="00921D79" w:rsidRPr="00131CBC">
              <w:rPr>
                <w:i/>
                <w:color w:val="000000" w:themeColor="text1"/>
                <w:sz w:val="22"/>
                <w:szCs w:val="22"/>
                <w:lang w:val="lt-LT"/>
              </w:rPr>
              <w:t>,</w:t>
            </w:r>
          </w:p>
        </w:tc>
      </w:tr>
      <w:tr w:rsidR="00921D79" w:rsidRPr="00131CBC" w:rsidTr="00921D79">
        <w:tc>
          <w:tcPr>
            <w:tcW w:w="1560" w:type="dxa"/>
            <w:vMerge/>
          </w:tcPr>
          <w:p w:rsidR="00921D79" w:rsidRPr="00131CBC" w:rsidRDefault="00921D79" w:rsidP="00985C12">
            <w:pPr>
              <w:jc w:val="both"/>
              <w:rPr>
                <w:b/>
                <w:color w:val="000000" w:themeColor="text1"/>
                <w:sz w:val="22"/>
                <w:szCs w:val="22"/>
                <w:lang w:val="lt-LT"/>
              </w:rPr>
            </w:pPr>
          </w:p>
        </w:tc>
        <w:tc>
          <w:tcPr>
            <w:tcW w:w="6662" w:type="dxa"/>
            <w:tcBorders>
              <w:top w:val="nil"/>
              <w:bottom w:val="single" w:sz="4" w:space="0" w:color="auto"/>
            </w:tcBorders>
          </w:tcPr>
          <w:p w:rsidR="00921D79" w:rsidRPr="00131CBC" w:rsidRDefault="00166819" w:rsidP="00131CBC">
            <w:pPr>
              <w:rPr>
                <w:color w:val="000000" w:themeColor="text1"/>
                <w:sz w:val="22"/>
                <w:szCs w:val="22"/>
                <w:lang w:val="lt-LT"/>
              </w:rPr>
            </w:pPr>
            <m:oMathPara>
              <m:oMathParaPr>
                <m:jc m:val="left"/>
              </m:oMathParaPr>
              <m:oMath>
                <m:sSubSup>
                  <m:sSubSupPr>
                    <m:ctrlPr>
                      <w:rPr>
                        <w:rFonts w:ascii="Cambria Math" w:hAnsi="Cambria Math"/>
                        <w:b/>
                        <w:i/>
                        <w:color w:val="000000" w:themeColor="text1"/>
                        <w:sz w:val="22"/>
                        <w:szCs w:val="22"/>
                        <w:lang w:val="lt-LT"/>
                      </w:rPr>
                    </m:ctrlPr>
                  </m:sSubSupPr>
                  <m:e>
                    <m:r>
                      <m:rPr>
                        <m:sty m:val="bi"/>
                      </m:rPr>
                      <w:rPr>
                        <w:rFonts w:ascii="Cambria Math" w:hAnsi="Cambria Math"/>
                        <w:color w:val="000000" w:themeColor="text1"/>
                        <w:sz w:val="22"/>
                        <w:szCs w:val="22"/>
                        <w:lang w:val="lt-LT"/>
                      </w:rPr>
                      <m:t>Bel</m:t>
                    </m:r>
                  </m:e>
                  <m:sub>
                    <m:r>
                      <m:rPr>
                        <m:sty m:val="bi"/>
                      </m:rPr>
                      <w:rPr>
                        <w:rFonts w:ascii="Cambria Math" w:hAnsi="Cambria Math"/>
                        <w:color w:val="000000" w:themeColor="text1"/>
                        <w:sz w:val="22"/>
                        <w:szCs w:val="22"/>
                        <w:lang w:val="lt-LT"/>
                      </w:rPr>
                      <m:t>A</m:t>
                    </m:r>
                  </m:sub>
                  <m:sup>
                    <m:r>
                      <m:rPr>
                        <m:sty m:val="bi"/>
                      </m:rPr>
                      <w:rPr>
                        <w:rFonts w:ascii="Cambria Math" w:hAnsi="Cambria Math"/>
                        <w:color w:val="000000" w:themeColor="text1"/>
                        <w:sz w:val="22"/>
                        <w:szCs w:val="22"/>
                        <w:lang w:val="lt-LT"/>
                      </w:rPr>
                      <m:t>t</m:t>
                    </m:r>
                  </m:sup>
                </m:sSubSup>
                <m:d>
                  <m:dPr>
                    <m:ctrlPr>
                      <w:rPr>
                        <w:rFonts w:ascii="Cambria Math" w:hAnsi="Cambria Math"/>
                        <w:b/>
                        <w:i/>
                        <w:color w:val="000000" w:themeColor="text1"/>
                        <w:sz w:val="22"/>
                        <w:szCs w:val="22"/>
                        <w:lang w:val="lt-LT"/>
                      </w:rPr>
                    </m:ctrlPr>
                  </m:dPr>
                  <m:e>
                    <m:r>
                      <m:rPr>
                        <m:sty m:val="bi"/>
                      </m:rPr>
                      <w:rPr>
                        <w:rFonts w:ascii="Cambria Math" w:hAnsi="Cambria Math"/>
                        <w:color w:val="000000" w:themeColor="text1"/>
                        <w:sz w:val="22"/>
                        <w:szCs w:val="22"/>
                        <w:lang w:val="lt-LT"/>
                      </w:rPr>
                      <m:t>a</m:t>
                    </m:r>
                  </m:e>
                </m:d>
                <m:r>
                  <w:rPr>
                    <w:rFonts w:ascii="Cambria Math" w:hAnsi="Cambria Math"/>
                    <w:color w:val="000000" w:themeColor="text1"/>
                    <w:sz w:val="22"/>
                    <w:szCs w:val="22"/>
                    <w:lang w:val="lt-LT"/>
                  </w:rPr>
                  <m:t xml:space="preserve">= 1- </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A</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A</m:t>
                    </m:r>
                  </m:sub>
                </m:sSub>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m:t>
                    </m:r>
                  </m:e>
                  <m:sub>
                    <m:r>
                      <w:rPr>
                        <w:rFonts w:ascii="Cambria Math" w:hAnsi="Cambria Math"/>
                        <w:color w:val="000000" w:themeColor="text1"/>
                        <w:sz w:val="22"/>
                        <w:szCs w:val="22"/>
                        <w:lang w:val="lt-LT"/>
                      </w:rPr>
                      <m:t>O</m:t>
                    </m:r>
                  </m:sub>
                </m:sSub>
                <m:d>
                  <m:dPr>
                    <m:ctrlPr>
                      <w:rPr>
                        <w:rFonts w:ascii="Cambria Math" w:hAnsi="Cambria Math"/>
                        <w:i/>
                        <w:color w:val="000000" w:themeColor="text1"/>
                        <w:sz w:val="22"/>
                        <w:szCs w:val="22"/>
                        <w:lang w:val="lt-LT"/>
                      </w:rPr>
                    </m:ctrlPr>
                  </m:dPr>
                  <m:e>
                    <m:r>
                      <w:rPr>
                        <w:rFonts w:ascii="Cambria Math" w:hAnsi="Cambria Math"/>
                        <w:color w:val="000000" w:themeColor="text1"/>
                        <w:sz w:val="22"/>
                        <w:szCs w:val="22"/>
                        <w:lang w:val="lt-LT"/>
                      </w:rPr>
                      <m:t>1-</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AO</m:t>
                        </m:r>
                      </m:sub>
                    </m:sSub>
                  </m:e>
                </m:d>
                <m:r>
                  <w:rPr>
                    <w:rFonts w:ascii="Cambria Math" w:hAnsi="Cambria Math"/>
                    <w:color w:val="000000" w:themeColor="text1"/>
                    <w:sz w:val="22"/>
                    <w:szCs w:val="22"/>
                    <w:lang w:val="lt-LT"/>
                  </w:rPr>
                  <m:t>]</m:t>
                </m:r>
              </m:oMath>
            </m:oMathPara>
          </w:p>
        </w:tc>
      </w:tr>
      <w:tr w:rsidR="00921D79" w:rsidRPr="00131CBC" w:rsidTr="00921D79">
        <w:tc>
          <w:tcPr>
            <w:tcW w:w="1560" w:type="dxa"/>
            <w:vMerge w:val="restart"/>
          </w:tcPr>
          <w:p w:rsidR="00921D79" w:rsidRPr="00131CBC" w:rsidRDefault="00921D79" w:rsidP="00985C12">
            <w:pPr>
              <w:jc w:val="both"/>
              <w:rPr>
                <w:b/>
                <w:color w:val="000000" w:themeColor="text1"/>
                <w:sz w:val="22"/>
                <w:szCs w:val="22"/>
                <w:lang w:val="lt-LT"/>
              </w:rPr>
            </w:pPr>
            <w:r w:rsidRPr="00131CBC">
              <w:rPr>
                <w:b/>
                <w:color w:val="000000" w:themeColor="text1"/>
                <w:sz w:val="22"/>
                <w:szCs w:val="22"/>
                <w:lang w:val="lt-LT"/>
              </w:rPr>
              <w:t>Tvirtinimo (audito tikslo)</w:t>
            </w:r>
          </w:p>
        </w:tc>
        <w:tc>
          <w:tcPr>
            <w:tcW w:w="6662" w:type="dxa"/>
            <w:tcBorders>
              <w:bottom w:val="nil"/>
            </w:tcBorders>
          </w:tcPr>
          <w:p w:rsidR="00921D79" w:rsidRPr="00131CBC" w:rsidRDefault="00166819" w:rsidP="00770143">
            <w:pPr>
              <w:jc w:val="both"/>
              <w:rPr>
                <w:color w:val="000000" w:themeColor="text1"/>
                <w:sz w:val="22"/>
                <w:szCs w:val="22"/>
                <w:lang w:val="lt-LT"/>
              </w:rPr>
            </w:pPr>
            <m:oMath>
              <m:sSubSup>
                <m:sSubSupPr>
                  <m:ctrlPr>
                    <w:rPr>
                      <w:rFonts w:ascii="Cambria Math" w:hAnsi="Cambria Math"/>
                      <w:b/>
                      <w:i/>
                      <w:color w:val="000000" w:themeColor="text1"/>
                      <w:sz w:val="22"/>
                      <w:szCs w:val="22"/>
                      <w:lang w:val="lt-LT"/>
                    </w:rPr>
                  </m:ctrlPr>
                </m:sSubSupPr>
                <m:e>
                  <m:r>
                    <m:rPr>
                      <m:sty m:val="bi"/>
                    </m:rPr>
                    <w:rPr>
                      <w:rFonts w:ascii="Cambria Math" w:hAnsi="Cambria Math"/>
                      <w:color w:val="000000" w:themeColor="text1"/>
                      <w:sz w:val="22"/>
                      <w:szCs w:val="22"/>
                      <w:lang w:val="lt-LT"/>
                    </w:rPr>
                    <m:t>PL</m:t>
                  </m:r>
                </m:e>
                <m:sub>
                  <m:r>
                    <m:rPr>
                      <m:sty m:val="bi"/>
                    </m:rPr>
                    <w:rPr>
                      <w:rFonts w:ascii="Cambria Math" w:hAnsi="Cambria Math"/>
                      <w:color w:val="000000" w:themeColor="text1"/>
                      <w:sz w:val="22"/>
                      <w:szCs w:val="22"/>
                      <w:lang w:val="lt-LT"/>
                    </w:rPr>
                    <m:t>AO</m:t>
                  </m:r>
                </m:sub>
                <m:sup>
                  <m:r>
                    <m:rPr>
                      <m:sty m:val="bi"/>
                    </m:rPr>
                    <w:rPr>
                      <w:rFonts w:ascii="Cambria Math" w:hAnsi="Cambria Math"/>
                      <w:color w:val="000000" w:themeColor="text1"/>
                      <w:sz w:val="22"/>
                      <w:szCs w:val="22"/>
                      <w:lang w:val="lt-LT"/>
                    </w:rPr>
                    <m:t>t</m:t>
                  </m:r>
                </m:sup>
              </m:sSubSup>
              <m:d>
                <m:dPr>
                  <m:ctrlPr>
                    <w:rPr>
                      <w:rFonts w:ascii="Cambria Math" w:hAnsi="Cambria Math"/>
                      <w:b/>
                      <w:i/>
                      <w:color w:val="000000" w:themeColor="text1"/>
                      <w:sz w:val="22"/>
                      <w:szCs w:val="22"/>
                      <w:lang w:val="lt-LT"/>
                    </w:rPr>
                  </m:ctrlPr>
                </m:dPr>
                <m:e>
                  <m:r>
                    <m:rPr>
                      <m:sty m:val="bi"/>
                    </m:rPr>
                    <w:rPr>
                      <w:rFonts w:ascii="Cambria Math" w:hAnsi="Cambria Math"/>
                      <w:color w:val="000000" w:themeColor="text1"/>
                      <w:sz w:val="22"/>
                      <w:szCs w:val="22"/>
                      <w:lang w:val="lt-LT"/>
                    </w:rPr>
                    <m:t>~ao</m:t>
                  </m:r>
                </m:e>
              </m:d>
              <m:r>
                <w:rPr>
                  <w:rFonts w:ascii="Cambria Math" w:hAnsi="Cambria Math"/>
                  <w:color w:val="000000" w:themeColor="text1"/>
                  <w:sz w:val="22"/>
                  <w:szCs w:val="22"/>
                  <w:lang w:val="lt-LT"/>
                </w:rPr>
                <m:t xml:space="preserve">= </m:t>
              </m:r>
              <m:sSubSup>
                <m:sSubSupPr>
                  <m:ctrlPr>
                    <w:rPr>
                      <w:rFonts w:ascii="Cambria Math" w:hAnsi="Cambria Math"/>
                      <w:i/>
                      <w:color w:val="000000" w:themeColor="text1"/>
                      <w:sz w:val="22"/>
                      <w:szCs w:val="22"/>
                      <w:lang w:val="lt-LT"/>
                    </w:rPr>
                  </m:ctrlPr>
                </m:sSubSup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AO</m:t>
                  </m:r>
                </m:sub>
                <m:sup>
                  <m:r>
                    <w:rPr>
                      <w:rFonts w:ascii="Cambria Math" w:hAnsi="Cambria Math"/>
                      <w:color w:val="000000" w:themeColor="text1"/>
                      <w:sz w:val="22"/>
                      <w:szCs w:val="22"/>
                      <w:lang w:val="lt-LT"/>
                    </w:rPr>
                    <m:t>t</m:t>
                  </m:r>
                </m:sup>
              </m:sSubSup>
              <m:r>
                <w:rPr>
                  <w:rFonts w:ascii="Cambria Math" w:hAnsi="Cambria Math"/>
                  <w:color w:val="000000" w:themeColor="text1"/>
                  <w:sz w:val="22"/>
                  <w:szCs w:val="22"/>
                  <w:lang w:val="lt-LT"/>
                </w:rPr>
                <m:t xml:space="preserve">= </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A</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A</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AO</m:t>
                  </m:r>
                </m:sub>
              </m:sSub>
            </m:oMath>
            <w:r w:rsidR="00921D79" w:rsidRPr="00131CBC">
              <w:rPr>
                <w:color w:val="000000" w:themeColor="text1"/>
                <w:sz w:val="22"/>
                <w:szCs w:val="22"/>
                <w:lang w:val="lt-LT"/>
              </w:rPr>
              <w:t>,</w:t>
            </w:r>
          </w:p>
        </w:tc>
      </w:tr>
      <w:tr w:rsidR="00921D79" w:rsidRPr="00131CBC" w:rsidTr="00921D79">
        <w:tc>
          <w:tcPr>
            <w:tcW w:w="1560" w:type="dxa"/>
            <w:vMerge/>
          </w:tcPr>
          <w:p w:rsidR="00921D79" w:rsidRPr="00131CBC" w:rsidRDefault="00921D79" w:rsidP="00985C12">
            <w:pPr>
              <w:jc w:val="both"/>
              <w:rPr>
                <w:b/>
                <w:color w:val="000000" w:themeColor="text1"/>
                <w:sz w:val="22"/>
                <w:szCs w:val="22"/>
                <w:lang w:val="lt-LT"/>
              </w:rPr>
            </w:pPr>
          </w:p>
        </w:tc>
        <w:tc>
          <w:tcPr>
            <w:tcW w:w="6662" w:type="dxa"/>
            <w:tcBorders>
              <w:top w:val="nil"/>
              <w:bottom w:val="nil"/>
            </w:tcBorders>
          </w:tcPr>
          <w:p w:rsidR="00921D79" w:rsidRPr="00131CBC" w:rsidRDefault="00921D79" w:rsidP="00FE380C">
            <w:pPr>
              <w:jc w:val="both"/>
              <w:rPr>
                <w:color w:val="000000" w:themeColor="text1"/>
                <w:sz w:val="22"/>
                <w:szCs w:val="22"/>
                <w:lang w:val="lt-LT"/>
              </w:rPr>
            </w:pPr>
            <w:r w:rsidRPr="00921D79">
              <w:rPr>
                <w:i/>
                <w:color w:val="000000" w:themeColor="text1"/>
                <w:sz w:val="22"/>
                <w:szCs w:val="22"/>
                <w:lang w:val="lt-LT"/>
              </w:rPr>
              <w:t>arba:</w:t>
            </w:r>
            <m:oMath>
              <m:r>
                <w:rPr>
                  <w:rFonts w:ascii="Cambria Math" w:hAnsi="Cambria Math"/>
                  <w:color w:val="000000" w:themeColor="text1"/>
                  <w:sz w:val="22"/>
                  <w:szCs w:val="22"/>
                  <w:lang w:val="lt-LT"/>
                </w:rPr>
                <m:t xml:space="preserve"> </m:t>
              </m:r>
              <m:sSubSup>
                <m:sSubSupPr>
                  <m:ctrlPr>
                    <w:rPr>
                      <w:rFonts w:ascii="Cambria Math" w:hAnsi="Cambria Math"/>
                      <w:i/>
                      <w:color w:val="000000" w:themeColor="text1"/>
                      <w:sz w:val="22"/>
                      <w:szCs w:val="22"/>
                      <w:lang w:val="lt-LT"/>
                    </w:rPr>
                  </m:ctrlPr>
                </m:sSubSup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AO</m:t>
                  </m:r>
                </m:sub>
                <m:sup>
                  <m:r>
                    <w:rPr>
                      <w:rFonts w:ascii="Cambria Math" w:hAnsi="Cambria Math"/>
                      <w:color w:val="000000" w:themeColor="text1"/>
                      <w:sz w:val="22"/>
                      <w:szCs w:val="22"/>
                      <w:lang w:val="lt-LT"/>
                    </w:rPr>
                    <m:t>t</m:t>
                  </m:r>
                </m:sup>
              </m:sSubSup>
              <m:r>
                <w:rPr>
                  <w:rFonts w:ascii="Cambria Math" w:hAnsi="Cambria Math"/>
                  <w:color w:val="000000" w:themeColor="text1"/>
                  <w:sz w:val="22"/>
                  <w:szCs w:val="22"/>
                  <w:lang w:val="lt-LT"/>
                </w:rPr>
                <m:t xml:space="preserve">=  </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A</m:t>
                  </m:r>
                </m:sub>
              </m:sSub>
              <m:r>
                <w:rPr>
                  <w:rFonts w:ascii="Cambria Math" w:hAnsi="Cambria Math"/>
                  <w:color w:val="000000" w:themeColor="text1"/>
                  <w:sz w:val="22"/>
                  <w:szCs w:val="22"/>
                  <w:lang w:val="lt-LT"/>
                </w:rPr>
                <m:t>I</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R</m:t>
                  </m:r>
                </m:e>
                <m:sub>
                  <m:r>
                    <w:rPr>
                      <w:rFonts w:ascii="Cambria Math" w:hAnsi="Cambria Math"/>
                      <w:color w:val="000000" w:themeColor="text1"/>
                      <w:sz w:val="22"/>
                      <w:szCs w:val="22"/>
                      <w:lang w:val="lt-LT"/>
                    </w:rPr>
                    <m:t>AO</m:t>
                  </m:r>
                </m:sub>
              </m:sSub>
              <m:r>
                <w:rPr>
                  <w:rFonts w:ascii="Cambria Math" w:hAnsi="Cambria Math"/>
                  <w:color w:val="000000" w:themeColor="text1"/>
                  <w:sz w:val="22"/>
                  <w:szCs w:val="22"/>
                  <w:lang w:val="lt-LT"/>
                </w:rPr>
                <m:t>)</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A</m:t>
                  </m:r>
                </m:sub>
              </m:sSub>
              <m:r>
                <w:rPr>
                  <w:rFonts w:ascii="Cambria Math" w:hAnsi="Cambria Math"/>
                  <w:color w:val="000000" w:themeColor="text1"/>
                  <w:sz w:val="22"/>
                  <w:szCs w:val="22"/>
                  <w:lang w:val="lt-LT"/>
                </w:rPr>
                <m:t>AP</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R</m:t>
                  </m:r>
                </m:e>
                <m:sub>
                  <m:r>
                    <w:rPr>
                      <w:rFonts w:ascii="Cambria Math" w:hAnsi="Cambria Math"/>
                      <w:color w:val="000000" w:themeColor="text1"/>
                      <w:sz w:val="22"/>
                      <w:szCs w:val="22"/>
                      <w:lang w:val="lt-LT"/>
                    </w:rPr>
                    <m:t>AO</m:t>
                  </m:r>
                </m:sub>
              </m:sSub>
              <m:r>
                <w:rPr>
                  <w:rFonts w:ascii="Cambria Math" w:hAnsi="Cambria Math"/>
                  <w:color w:val="000000" w:themeColor="text1"/>
                  <w:sz w:val="22"/>
                  <w:szCs w:val="22"/>
                  <w:lang w:val="lt-LT"/>
                </w:rPr>
                <m:t>)(</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CR</m:t>
                  </m:r>
                </m:e>
                <m:sub>
                  <m:r>
                    <w:rPr>
                      <w:rFonts w:ascii="Cambria Math" w:hAnsi="Cambria Math"/>
                      <w:color w:val="000000" w:themeColor="text1"/>
                      <w:sz w:val="22"/>
                      <w:szCs w:val="22"/>
                      <w:lang w:val="lt-LT"/>
                    </w:rPr>
                    <m:t>AO</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DR</m:t>
                  </m:r>
                </m:e>
                <m:sub>
                  <m:r>
                    <w:rPr>
                      <w:rFonts w:ascii="Cambria Math" w:hAnsi="Cambria Math"/>
                      <w:color w:val="000000" w:themeColor="text1"/>
                      <w:sz w:val="22"/>
                      <w:szCs w:val="22"/>
                      <w:lang w:val="lt-LT"/>
                    </w:rPr>
                    <m:t>AO</m:t>
                  </m:r>
                </m:sub>
              </m:sSub>
              <m:r>
                <w:rPr>
                  <w:rFonts w:ascii="Cambria Math" w:hAnsi="Cambria Math"/>
                  <w:color w:val="000000" w:themeColor="text1"/>
                  <w:sz w:val="22"/>
                  <w:szCs w:val="22"/>
                  <w:lang w:val="lt-LT"/>
                </w:rPr>
                <m:t>)</m:t>
              </m:r>
            </m:oMath>
          </w:p>
        </w:tc>
      </w:tr>
      <w:tr w:rsidR="00921D79" w:rsidRPr="00131CBC" w:rsidTr="00921D79">
        <w:tc>
          <w:tcPr>
            <w:tcW w:w="1560" w:type="dxa"/>
            <w:vMerge/>
          </w:tcPr>
          <w:p w:rsidR="00921D79" w:rsidRPr="00131CBC" w:rsidRDefault="00921D79" w:rsidP="00985C12">
            <w:pPr>
              <w:jc w:val="both"/>
              <w:rPr>
                <w:b/>
                <w:color w:val="000000" w:themeColor="text1"/>
                <w:sz w:val="22"/>
                <w:szCs w:val="22"/>
                <w:lang w:val="lt-LT"/>
              </w:rPr>
            </w:pPr>
          </w:p>
        </w:tc>
        <w:tc>
          <w:tcPr>
            <w:tcW w:w="6662" w:type="dxa"/>
            <w:tcBorders>
              <w:top w:val="nil"/>
            </w:tcBorders>
          </w:tcPr>
          <w:p w:rsidR="00921D79" w:rsidRPr="00131CBC" w:rsidRDefault="00166819" w:rsidP="00770143">
            <w:pPr>
              <w:jc w:val="both"/>
              <w:rPr>
                <w:color w:val="000000" w:themeColor="text1"/>
                <w:sz w:val="22"/>
                <w:szCs w:val="22"/>
                <w:lang w:val="lt-LT"/>
              </w:rPr>
            </w:pPr>
            <m:oMathPara>
              <m:oMathParaPr>
                <m:jc m:val="left"/>
              </m:oMathParaPr>
              <m:oMath>
                <m:sSubSup>
                  <m:sSubSupPr>
                    <m:ctrlPr>
                      <w:rPr>
                        <w:rFonts w:ascii="Cambria Math" w:hAnsi="Cambria Math"/>
                        <w:b/>
                        <w:i/>
                        <w:color w:val="000000" w:themeColor="text1"/>
                        <w:sz w:val="22"/>
                        <w:szCs w:val="22"/>
                        <w:lang w:val="lt-LT"/>
                      </w:rPr>
                    </m:ctrlPr>
                  </m:sSubSupPr>
                  <m:e>
                    <m:r>
                      <m:rPr>
                        <m:sty m:val="bi"/>
                      </m:rPr>
                      <w:rPr>
                        <w:rFonts w:ascii="Cambria Math" w:hAnsi="Cambria Math"/>
                        <w:color w:val="000000" w:themeColor="text1"/>
                        <w:sz w:val="22"/>
                        <w:szCs w:val="22"/>
                        <w:lang w:val="lt-LT"/>
                      </w:rPr>
                      <m:t>Bel</m:t>
                    </m:r>
                  </m:e>
                  <m:sub>
                    <m:r>
                      <m:rPr>
                        <m:sty m:val="bi"/>
                      </m:rPr>
                      <w:rPr>
                        <w:rFonts w:ascii="Cambria Math" w:hAnsi="Cambria Math"/>
                        <w:color w:val="000000" w:themeColor="text1"/>
                        <w:sz w:val="22"/>
                        <w:szCs w:val="22"/>
                        <w:lang w:val="lt-LT"/>
                      </w:rPr>
                      <m:t>AO</m:t>
                    </m:r>
                  </m:sub>
                  <m:sup>
                    <m:r>
                      <m:rPr>
                        <m:sty m:val="bi"/>
                      </m:rPr>
                      <w:rPr>
                        <w:rFonts w:ascii="Cambria Math" w:hAnsi="Cambria Math"/>
                        <w:color w:val="000000" w:themeColor="text1"/>
                        <w:sz w:val="22"/>
                        <w:szCs w:val="22"/>
                        <w:lang w:val="lt-LT"/>
                      </w:rPr>
                      <m:t>t</m:t>
                    </m:r>
                  </m:sup>
                </m:sSubSup>
                <m:d>
                  <m:dPr>
                    <m:ctrlPr>
                      <w:rPr>
                        <w:rFonts w:ascii="Cambria Math" w:hAnsi="Cambria Math"/>
                        <w:b/>
                        <w:i/>
                        <w:color w:val="000000" w:themeColor="text1"/>
                        <w:sz w:val="22"/>
                        <w:szCs w:val="22"/>
                        <w:lang w:val="lt-LT"/>
                      </w:rPr>
                    </m:ctrlPr>
                  </m:dPr>
                  <m:e>
                    <m:r>
                      <m:rPr>
                        <m:sty m:val="bi"/>
                      </m:rPr>
                      <w:rPr>
                        <w:rFonts w:ascii="Cambria Math" w:hAnsi="Cambria Math"/>
                        <w:color w:val="000000" w:themeColor="text1"/>
                        <w:sz w:val="22"/>
                        <w:szCs w:val="22"/>
                        <w:lang w:val="lt-LT"/>
                      </w:rPr>
                      <m:t>ao</m:t>
                    </m:r>
                  </m:e>
                </m:d>
                <m:r>
                  <w:rPr>
                    <w:rFonts w:ascii="Cambria Math" w:hAnsi="Cambria Math"/>
                    <w:color w:val="000000" w:themeColor="text1"/>
                    <w:sz w:val="22"/>
                    <w:szCs w:val="22"/>
                    <w:lang w:val="lt-LT"/>
                  </w:rPr>
                  <m:t xml:space="preserve">= 1- </m:t>
                </m:r>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F</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IR</m:t>
                    </m:r>
                  </m:e>
                  <m:sub>
                    <m:r>
                      <w:rPr>
                        <w:rFonts w:ascii="Cambria Math" w:hAnsi="Cambria Math"/>
                        <w:color w:val="000000" w:themeColor="text1"/>
                        <w:sz w:val="22"/>
                        <w:szCs w:val="22"/>
                        <w:lang w:val="lt-LT"/>
                      </w:rPr>
                      <m:t>A</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APR</m:t>
                    </m:r>
                  </m:e>
                  <m:sub>
                    <m:r>
                      <w:rPr>
                        <w:rFonts w:ascii="Cambria Math" w:hAnsi="Cambria Math"/>
                        <w:color w:val="000000" w:themeColor="text1"/>
                        <w:sz w:val="22"/>
                        <w:szCs w:val="22"/>
                        <w:lang w:val="lt-LT"/>
                      </w:rPr>
                      <m:t>A</m:t>
                    </m:r>
                  </m:sub>
                </m:sSub>
                <m:sSub>
                  <m:sSubPr>
                    <m:ctrlPr>
                      <w:rPr>
                        <w:rFonts w:ascii="Cambria Math" w:hAnsi="Cambria Math"/>
                        <w:i/>
                        <w:color w:val="000000" w:themeColor="text1"/>
                        <w:sz w:val="22"/>
                        <w:szCs w:val="22"/>
                        <w:lang w:val="lt-LT"/>
                      </w:rPr>
                    </m:ctrlPr>
                  </m:sSubPr>
                  <m:e>
                    <m:r>
                      <w:rPr>
                        <w:rFonts w:ascii="Cambria Math" w:hAnsi="Cambria Math"/>
                        <w:color w:val="000000" w:themeColor="text1"/>
                        <w:sz w:val="22"/>
                        <w:szCs w:val="22"/>
                        <w:lang w:val="lt-LT"/>
                      </w:rPr>
                      <m:t>AR</m:t>
                    </m:r>
                  </m:e>
                  <m:sub>
                    <m:r>
                      <w:rPr>
                        <w:rFonts w:ascii="Cambria Math" w:hAnsi="Cambria Math"/>
                        <w:color w:val="000000" w:themeColor="text1"/>
                        <w:sz w:val="22"/>
                        <w:szCs w:val="22"/>
                        <w:lang w:val="lt-LT"/>
                      </w:rPr>
                      <m:t xml:space="preserve">AO </m:t>
                    </m:r>
                  </m:sub>
                </m:sSub>
              </m:oMath>
            </m:oMathPara>
          </w:p>
        </w:tc>
      </w:tr>
    </w:tbl>
    <w:p w:rsidR="0021635E" w:rsidRPr="00FE380C" w:rsidRDefault="0006081C" w:rsidP="00921D79">
      <w:pPr>
        <w:ind w:left="142" w:hanging="142"/>
        <w:jc w:val="both"/>
        <w:rPr>
          <w:color w:val="000000" w:themeColor="text1"/>
          <w:lang w:val="lt-LT"/>
        </w:rPr>
      </w:pPr>
      <w:r w:rsidRPr="00FE380C">
        <w:rPr>
          <w:color w:val="000000" w:themeColor="text1"/>
          <w:lang w:val="lt-LT"/>
        </w:rPr>
        <w:t>Pastaba: f – finan</w:t>
      </w:r>
      <w:r w:rsidR="00FD1D3C" w:rsidRPr="00FE380C">
        <w:rPr>
          <w:color w:val="000000" w:themeColor="text1"/>
          <w:lang w:val="lt-LT"/>
        </w:rPr>
        <w:t>sinės atsk</w:t>
      </w:r>
      <w:r w:rsidRPr="00FE380C">
        <w:rPr>
          <w:color w:val="000000" w:themeColor="text1"/>
          <w:lang w:val="lt-LT"/>
        </w:rPr>
        <w:t>a</w:t>
      </w:r>
      <w:r w:rsidR="00FD1D3C" w:rsidRPr="00FE380C">
        <w:rPr>
          <w:color w:val="000000" w:themeColor="text1"/>
          <w:lang w:val="lt-LT"/>
        </w:rPr>
        <w:t>i</w:t>
      </w:r>
      <w:r w:rsidRPr="00FE380C">
        <w:rPr>
          <w:color w:val="000000" w:themeColor="text1"/>
          <w:lang w:val="lt-LT"/>
        </w:rPr>
        <w:t>tos nėra reikšmingai iškraipy</w:t>
      </w:r>
      <w:r w:rsidR="00FD1D3C" w:rsidRPr="00FE380C">
        <w:rPr>
          <w:color w:val="000000" w:themeColor="text1"/>
          <w:lang w:val="lt-LT"/>
        </w:rPr>
        <w:t>t</w:t>
      </w:r>
      <w:r w:rsidRPr="00FE380C">
        <w:rPr>
          <w:color w:val="000000" w:themeColor="text1"/>
          <w:lang w:val="lt-LT"/>
        </w:rPr>
        <w:t xml:space="preserve">os, a – sąskaita nėra reikšmingai iškraipyta, ao – nėra reikšmingo iškraipymo susijusio su sąskaitos </w:t>
      </w:r>
      <w:r w:rsidR="00A40A9E" w:rsidRPr="00FE380C">
        <w:rPr>
          <w:color w:val="000000" w:themeColor="text1"/>
          <w:lang w:val="lt-LT"/>
        </w:rPr>
        <w:t xml:space="preserve">audito </w:t>
      </w:r>
      <w:r w:rsidRPr="00FE380C">
        <w:rPr>
          <w:color w:val="000000" w:themeColor="text1"/>
          <w:lang w:val="lt-LT"/>
        </w:rPr>
        <w:t xml:space="preserve">tikslu; </w:t>
      </w:r>
      <w:r w:rsidR="00FD1D3C" w:rsidRPr="00FE380C">
        <w:rPr>
          <w:color w:val="000000" w:themeColor="text1"/>
          <w:lang w:val="lt-LT"/>
        </w:rPr>
        <w:t xml:space="preserve">AR – audito rizika </w:t>
      </w:r>
      <w:r w:rsidR="00A40A9E" w:rsidRPr="00FE380C">
        <w:rPr>
          <w:color w:val="000000" w:themeColor="text1"/>
          <w:lang w:val="lt-LT"/>
        </w:rPr>
        <w:t xml:space="preserve">audito </w:t>
      </w:r>
      <w:r w:rsidR="00FD1D3C" w:rsidRPr="00FE380C">
        <w:rPr>
          <w:color w:val="000000" w:themeColor="text1"/>
          <w:lang w:val="lt-LT"/>
        </w:rPr>
        <w:t xml:space="preserve">tikslo/sąskaitos/finansinių ataskaitų lygmeniu; </w:t>
      </w:r>
      <w:r w:rsidRPr="00FE380C">
        <w:rPr>
          <w:color w:val="000000" w:themeColor="text1"/>
          <w:lang w:val="lt-LT"/>
        </w:rPr>
        <w:t xml:space="preserve">IR </w:t>
      </w:r>
      <w:r w:rsidR="00FD1D3C" w:rsidRPr="00FE380C">
        <w:rPr>
          <w:color w:val="000000" w:themeColor="text1"/>
          <w:lang w:val="lt-LT"/>
        </w:rPr>
        <w:t xml:space="preserve">– rizika susijusi su įgimtais veiksniais </w:t>
      </w:r>
      <w:r w:rsidR="00A40A9E" w:rsidRPr="00FE380C">
        <w:rPr>
          <w:color w:val="000000" w:themeColor="text1"/>
          <w:lang w:val="lt-LT"/>
        </w:rPr>
        <w:t xml:space="preserve">audito </w:t>
      </w:r>
      <w:r w:rsidR="00FD1D3C" w:rsidRPr="00FE380C">
        <w:rPr>
          <w:color w:val="000000" w:themeColor="text1"/>
          <w:lang w:val="lt-LT"/>
        </w:rPr>
        <w:t xml:space="preserve">tikslo/sąskaitos/finansinių ataskaitų lygmeniu; APR – rizika susijusi su analitinėmis procedūromis, atliktomis </w:t>
      </w:r>
      <w:r w:rsidR="0021635E" w:rsidRPr="00FE380C">
        <w:rPr>
          <w:color w:val="000000" w:themeColor="text1"/>
          <w:lang w:val="lt-LT"/>
        </w:rPr>
        <w:t xml:space="preserve">atitinkamai </w:t>
      </w:r>
      <w:r w:rsidR="00A40A9E" w:rsidRPr="00FE380C">
        <w:rPr>
          <w:color w:val="000000" w:themeColor="text1"/>
          <w:lang w:val="lt-LT"/>
        </w:rPr>
        <w:t>audito</w:t>
      </w:r>
      <w:r w:rsidR="00FD1D3C" w:rsidRPr="00FE380C">
        <w:rPr>
          <w:color w:val="000000" w:themeColor="text1"/>
          <w:lang w:val="lt-LT"/>
        </w:rPr>
        <w:t xml:space="preserve"> tikslo/sąskaitos/finansinių ataskaitų lygmeniu; CR</w:t>
      </w:r>
      <w:r w:rsidR="00FD1D3C" w:rsidRPr="00FE380C">
        <w:rPr>
          <w:color w:val="000000" w:themeColor="text1"/>
          <w:vertAlign w:val="subscript"/>
          <w:lang w:val="lt-LT"/>
        </w:rPr>
        <w:t>AO</w:t>
      </w:r>
      <w:r w:rsidR="00FD1D3C" w:rsidRPr="00FE380C">
        <w:rPr>
          <w:color w:val="000000" w:themeColor="text1"/>
          <w:lang w:val="lt-LT"/>
        </w:rPr>
        <w:t xml:space="preserve"> – kontrolės rizika sąskait</w:t>
      </w:r>
      <w:r w:rsidR="00A40A9E" w:rsidRPr="00FE380C">
        <w:rPr>
          <w:color w:val="000000" w:themeColor="text1"/>
          <w:lang w:val="lt-LT"/>
        </w:rPr>
        <w:t>ai audito</w:t>
      </w:r>
      <w:r w:rsidR="00FD1D3C" w:rsidRPr="00FE380C">
        <w:rPr>
          <w:color w:val="000000" w:themeColor="text1"/>
          <w:lang w:val="lt-LT"/>
        </w:rPr>
        <w:t xml:space="preserve"> tikslo lygmeniu; </w:t>
      </w:r>
      <w:r w:rsidR="0021635E" w:rsidRPr="00FE380C">
        <w:rPr>
          <w:color w:val="000000" w:themeColor="text1"/>
          <w:lang w:val="lt-LT"/>
        </w:rPr>
        <w:t>DR</w:t>
      </w:r>
      <w:r w:rsidR="0021635E" w:rsidRPr="00FE380C">
        <w:rPr>
          <w:color w:val="000000" w:themeColor="text1"/>
          <w:vertAlign w:val="subscript"/>
          <w:lang w:val="lt-LT"/>
        </w:rPr>
        <w:t xml:space="preserve">AO </w:t>
      </w:r>
      <w:r w:rsidR="0021635E" w:rsidRPr="00FE380C">
        <w:rPr>
          <w:color w:val="000000" w:themeColor="text1"/>
          <w:lang w:val="lt-LT"/>
        </w:rPr>
        <w:t>– rizika susijusi su detali</w:t>
      </w:r>
      <w:r w:rsidR="00A40A9E" w:rsidRPr="00FE380C">
        <w:rPr>
          <w:color w:val="000000" w:themeColor="text1"/>
          <w:lang w:val="lt-LT"/>
        </w:rPr>
        <w:t>u</w:t>
      </w:r>
      <w:r w:rsidR="0021635E" w:rsidRPr="00FE380C">
        <w:rPr>
          <w:color w:val="000000" w:themeColor="text1"/>
          <w:lang w:val="lt-LT"/>
        </w:rPr>
        <w:t xml:space="preserve"> </w:t>
      </w:r>
      <w:r w:rsidR="00A40A9E" w:rsidRPr="00FE380C">
        <w:rPr>
          <w:color w:val="000000" w:themeColor="text1"/>
          <w:lang w:val="lt-LT"/>
        </w:rPr>
        <w:t xml:space="preserve">sąskaitos likučio </w:t>
      </w:r>
      <w:r w:rsidR="0021635E" w:rsidRPr="00FE380C">
        <w:rPr>
          <w:color w:val="000000" w:themeColor="text1"/>
          <w:lang w:val="lt-LT"/>
        </w:rPr>
        <w:t>test</w:t>
      </w:r>
      <w:r w:rsidR="00A40A9E" w:rsidRPr="00FE380C">
        <w:rPr>
          <w:color w:val="000000" w:themeColor="text1"/>
          <w:lang w:val="lt-LT"/>
        </w:rPr>
        <w:t>u</w:t>
      </w:r>
      <w:r w:rsidR="0021635E" w:rsidRPr="00FE380C">
        <w:rPr>
          <w:color w:val="000000" w:themeColor="text1"/>
          <w:lang w:val="lt-LT"/>
        </w:rPr>
        <w:t xml:space="preserve"> </w:t>
      </w:r>
      <w:r w:rsidR="00A40A9E" w:rsidRPr="00FE380C">
        <w:rPr>
          <w:color w:val="000000" w:themeColor="text1"/>
          <w:lang w:val="lt-LT"/>
        </w:rPr>
        <w:t xml:space="preserve">audito </w:t>
      </w:r>
      <w:r w:rsidR="0021635E" w:rsidRPr="00FE380C">
        <w:rPr>
          <w:color w:val="000000" w:themeColor="text1"/>
          <w:lang w:val="lt-LT"/>
        </w:rPr>
        <w:t>tikslo lygmeniu.</w:t>
      </w:r>
    </w:p>
    <w:p w:rsidR="00FC3DBC" w:rsidRPr="00FE380C" w:rsidRDefault="00FC3DBC" w:rsidP="00FC3DBC">
      <w:pPr>
        <w:jc w:val="both"/>
        <w:rPr>
          <w:lang w:val="lt-LT"/>
        </w:rPr>
      </w:pPr>
      <w:r w:rsidRPr="00FE380C">
        <w:rPr>
          <w:lang w:val="lt-LT"/>
        </w:rPr>
        <w:t xml:space="preserve">Šaltinis: sudaryta autorės pagal R. P. </w:t>
      </w:r>
      <w:r w:rsidRPr="00FE380C">
        <w:rPr>
          <w:caps/>
          <w:lang w:val="lt-LT"/>
        </w:rPr>
        <w:t>Srivastava</w:t>
      </w:r>
      <w:r w:rsidRPr="00FE380C">
        <w:rPr>
          <w:lang w:val="lt-LT"/>
        </w:rPr>
        <w:t xml:space="preserve">, G. R. </w:t>
      </w:r>
      <w:r w:rsidRPr="00FE380C">
        <w:rPr>
          <w:caps/>
          <w:lang w:val="lt-LT"/>
        </w:rPr>
        <w:t>Shafer</w:t>
      </w:r>
      <w:r w:rsidRPr="00FE380C">
        <w:rPr>
          <w:lang w:val="lt-LT"/>
        </w:rPr>
        <w:t xml:space="preserve">, 1992. </w:t>
      </w:r>
    </w:p>
    <w:p w:rsidR="00985C12" w:rsidRPr="00921D79" w:rsidRDefault="00832C29" w:rsidP="00921D79">
      <w:pPr>
        <w:spacing w:before="240" w:line="360" w:lineRule="auto"/>
        <w:ind w:firstLine="720"/>
        <w:jc w:val="both"/>
        <w:rPr>
          <w:color w:val="000000" w:themeColor="text1"/>
          <w:sz w:val="26"/>
          <w:szCs w:val="26"/>
          <w:lang w:val="lt-LT"/>
        </w:rPr>
      </w:pPr>
      <w:r w:rsidRPr="00921D79">
        <w:rPr>
          <w:color w:val="000000" w:themeColor="text1"/>
          <w:sz w:val="26"/>
          <w:szCs w:val="26"/>
          <w:lang w:val="lt-LT"/>
        </w:rPr>
        <w:t>Iš 1</w:t>
      </w:r>
      <w:r w:rsidR="00750B2D" w:rsidRPr="00921D79">
        <w:rPr>
          <w:color w:val="000000" w:themeColor="text1"/>
          <w:sz w:val="26"/>
          <w:szCs w:val="26"/>
          <w:lang w:val="lt-LT"/>
        </w:rPr>
        <w:t>6</w:t>
      </w:r>
      <w:r w:rsidR="00FF0887" w:rsidRPr="00921D79">
        <w:rPr>
          <w:color w:val="000000" w:themeColor="text1"/>
          <w:sz w:val="26"/>
          <w:szCs w:val="26"/>
          <w:lang w:val="lt-LT"/>
        </w:rPr>
        <w:t xml:space="preserve"> lentelės galima pastebėti, kad tikėtinumo funkcijos formulė </w:t>
      </w:r>
      <w:r w:rsidR="0025194A" w:rsidRPr="00921D79">
        <w:rPr>
          <w:color w:val="000000" w:themeColor="text1"/>
          <w:sz w:val="26"/>
          <w:szCs w:val="26"/>
          <w:lang w:val="lt-LT"/>
        </w:rPr>
        <w:t>tvirtinimo</w:t>
      </w:r>
      <w:r w:rsidR="00985C12" w:rsidRPr="00921D79">
        <w:rPr>
          <w:color w:val="000000" w:themeColor="text1"/>
          <w:sz w:val="26"/>
          <w:szCs w:val="26"/>
          <w:lang w:val="lt-LT"/>
        </w:rPr>
        <w:t xml:space="preserve"> </w:t>
      </w:r>
      <w:r w:rsidR="00FF0887" w:rsidRPr="00921D79">
        <w:rPr>
          <w:color w:val="000000" w:themeColor="text1"/>
          <w:sz w:val="26"/>
          <w:szCs w:val="26"/>
          <w:lang w:val="lt-LT"/>
        </w:rPr>
        <w:t xml:space="preserve">lygmeniu yra panaši į klasikinio audito rizikos modelio formulę, bet </w:t>
      </w:r>
      <w:r w:rsidR="006B0A8F" w:rsidRPr="00921D79">
        <w:rPr>
          <w:color w:val="000000" w:themeColor="text1"/>
          <w:sz w:val="26"/>
          <w:szCs w:val="26"/>
          <w:lang w:val="lt-LT"/>
        </w:rPr>
        <w:t xml:space="preserve">pats audito </w:t>
      </w:r>
      <w:r w:rsidR="00FF0887" w:rsidRPr="00921D79">
        <w:rPr>
          <w:color w:val="000000" w:themeColor="text1"/>
          <w:sz w:val="26"/>
          <w:szCs w:val="26"/>
          <w:lang w:val="lt-LT"/>
        </w:rPr>
        <w:t xml:space="preserve">rizikos supratimas yra visiškai skirtingas, nes atsižvelgiama į </w:t>
      </w:r>
      <w:r w:rsidR="005E2799" w:rsidRPr="00921D79">
        <w:rPr>
          <w:color w:val="000000" w:themeColor="text1"/>
          <w:sz w:val="26"/>
          <w:szCs w:val="26"/>
          <w:lang w:val="lt-LT"/>
        </w:rPr>
        <w:t>vertinimus padarytus</w:t>
      </w:r>
      <w:r w:rsidR="006B0A8F" w:rsidRPr="00921D79">
        <w:rPr>
          <w:color w:val="000000" w:themeColor="text1"/>
          <w:sz w:val="26"/>
          <w:szCs w:val="26"/>
          <w:lang w:val="lt-LT"/>
        </w:rPr>
        <w:t xml:space="preserve"> </w:t>
      </w:r>
      <w:r w:rsidR="0025194A" w:rsidRPr="00921D79">
        <w:rPr>
          <w:color w:val="000000" w:themeColor="text1"/>
          <w:sz w:val="26"/>
          <w:szCs w:val="26"/>
          <w:lang w:val="lt-LT"/>
        </w:rPr>
        <w:t>tvirtinimo</w:t>
      </w:r>
      <w:r w:rsidR="00985C12" w:rsidRPr="00921D79">
        <w:rPr>
          <w:color w:val="000000" w:themeColor="text1"/>
          <w:sz w:val="26"/>
          <w:szCs w:val="26"/>
          <w:lang w:val="lt-LT"/>
        </w:rPr>
        <w:t xml:space="preserve"> (</w:t>
      </w:r>
      <w:r w:rsidR="006B0A8F" w:rsidRPr="00921D79">
        <w:rPr>
          <w:color w:val="000000" w:themeColor="text1"/>
          <w:sz w:val="26"/>
          <w:szCs w:val="26"/>
          <w:lang w:val="lt-LT"/>
        </w:rPr>
        <w:t>audito tikslo</w:t>
      </w:r>
      <w:r w:rsidR="00985C12" w:rsidRPr="00921D79">
        <w:rPr>
          <w:color w:val="000000" w:themeColor="text1"/>
          <w:sz w:val="26"/>
          <w:szCs w:val="26"/>
          <w:lang w:val="lt-LT"/>
        </w:rPr>
        <w:t>)</w:t>
      </w:r>
      <w:r w:rsidR="006B0A8F" w:rsidRPr="00921D79">
        <w:rPr>
          <w:color w:val="000000" w:themeColor="text1"/>
          <w:sz w:val="26"/>
          <w:szCs w:val="26"/>
          <w:lang w:val="lt-LT"/>
        </w:rPr>
        <w:t>, sąskaitos ir finansinių ataskaitų lygmeniu.</w:t>
      </w:r>
      <w:r w:rsidR="00853F15" w:rsidRPr="00921D79">
        <w:rPr>
          <w:color w:val="000000" w:themeColor="text1"/>
          <w:sz w:val="26"/>
          <w:szCs w:val="26"/>
          <w:lang w:val="lt-LT"/>
        </w:rPr>
        <w:t xml:space="preserve"> </w:t>
      </w:r>
      <w:r w:rsidR="00625803" w:rsidRPr="00921D79">
        <w:rPr>
          <w:color w:val="000000" w:themeColor="text1"/>
          <w:sz w:val="26"/>
          <w:szCs w:val="26"/>
          <w:lang w:val="lt-LT"/>
        </w:rPr>
        <w:t xml:space="preserve">Be to, </w:t>
      </w:r>
      <w:r w:rsidR="00D415B4" w:rsidRPr="00921D79">
        <w:rPr>
          <w:color w:val="000000" w:themeColor="text1"/>
          <w:sz w:val="26"/>
          <w:szCs w:val="26"/>
          <w:lang w:val="lt-LT"/>
        </w:rPr>
        <w:t xml:space="preserve">siūlomos </w:t>
      </w:r>
      <w:r w:rsidR="006B0A8F" w:rsidRPr="00921D79">
        <w:rPr>
          <w:color w:val="000000" w:themeColor="text1"/>
          <w:sz w:val="26"/>
          <w:szCs w:val="26"/>
          <w:lang w:val="lt-LT"/>
        </w:rPr>
        <w:t xml:space="preserve">tikėtinumo funkcijos </w:t>
      </w:r>
      <w:r w:rsidR="00FF0887" w:rsidRPr="00921D79">
        <w:rPr>
          <w:color w:val="000000" w:themeColor="text1"/>
          <w:sz w:val="26"/>
          <w:szCs w:val="26"/>
          <w:lang w:val="lt-LT"/>
        </w:rPr>
        <w:t>formulės kit</w:t>
      </w:r>
      <w:r w:rsidR="00625803" w:rsidRPr="00921D79">
        <w:rPr>
          <w:color w:val="000000" w:themeColor="text1"/>
          <w:sz w:val="26"/>
          <w:szCs w:val="26"/>
          <w:lang w:val="lt-LT"/>
        </w:rPr>
        <w:t>uose</w:t>
      </w:r>
      <w:r w:rsidR="00FF0887" w:rsidRPr="00921D79">
        <w:rPr>
          <w:color w:val="000000" w:themeColor="text1"/>
          <w:sz w:val="26"/>
          <w:szCs w:val="26"/>
          <w:lang w:val="lt-LT"/>
        </w:rPr>
        <w:t xml:space="preserve"> lygmen</w:t>
      </w:r>
      <w:r w:rsidR="00625803" w:rsidRPr="00921D79">
        <w:rPr>
          <w:color w:val="000000" w:themeColor="text1"/>
          <w:sz w:val="26"/>
          <w:szCs w:val="26"/>
          <w:lang w:val="lt-LT"/>
        </w:rPr>
        <w:t>yse</w:t>
      </w:r>
      <w:r w:rsidR="00FF0887" w:rsidRPr="00921D79">
        <w:rPr>
          <w:color w:val="000000" w:themeColor="text1"/>
          <w:sz w:val="26"/>
          <w:szCs w:val="26"/>
          <w:lang w:val="lt-LT"/>
        </w:rPr>
        <w:t xml:space="preserve"> </w:t>
      </w:r>
      <w:r w:rsidR="00187771" w:rsidRPr="00921D79">
        <w:rPr>
          <w:color w:val="000000" w:themeColor="text1"/>
          <w:sz w:val="26"/>
          <w:szCs w:val="26"/>
          <w:lang w:val="lt-LT"/>
        </w:rPr>
        <w:t>(finansinių ataskaitų, sąskaitų</w:t>
      </w:r>
      <w:r w:rsidR="006B0A8F" w:rsidRPr="00921D79">
        <w:rPr>
          <w:color w:val="000000" w:themeColor="text1"/>
          <w:sz w:val="26"/>
          <w:szCs w:val="26"/>
          <w:lang w:val="lt-LT"/>
        </w:rPr>
        <w:t xml:space="preserve">) </w:t>
      </w:r>
      <w:r w:rsidR="00FF0887" w:rsidRPr="00921D79">
        <w:rPr>
          <w:color w:val="000000" w:themeColor="text1"/>
          <w:sz w:val="26"/>
          <w:szCs w:val="26"/>
          <w:lang w:val="lt-LT"/>
        </w:rPr>
        <w:t xml:space="preserve">yra </w:t>
      </w:r>
      <w:r w:rsidR="00853F15" w:rsidRPr="00921D79">
        <w:rPr>
          <w:color w:val="000000" w:themeColor="text1"/>
          <w:sz w:val="26"/>
          <w:szCs w:val="26"/>
          <w:lang w:val="lt-LT"/>
        </w:rPr>
        <w:t xml:space="preserve">sudarytos taip, kad </w:t>
      </w:r>
      <w:r w:rsidR="005E2799" w:rsidRPr="00921D79">
        <w:rPr>
          <w:color w:val="000000" w:themeColor="text1"/>
          <w:sz w:val="26"/>
          <w:szCs w:val="26"/>
          <w:lang w:val="lt-LT"/>
        </w:rPr>
        <w:t>būtų</w:t>
      </w:r>
      <w:r w:rsidR="00853F15" w:rsidRPr="00921D79">
        <w:rPr>
          <w:color w:val="000000" w:themeColor="text1"/>
          <w:sz w:val="26"/>
          <w:szCs w:val="26"/>
          <w:lang w:val="lt-LT"/>
        </w:rPr>
        <w:t xml:space="preserve"> atsižvelgiama į </w:t>
      </w:r>
      <w:r w:rsidR="0072095F" w:rsidRPr="00921D79">
        <w:rPr>
          <w:color w:val="000000" w:themeColor="text1"/>
          <w:sz w:val="26"/>
          <w:szCs w:val="26"/>
          <w:lang w:val="lt-LT"/>
        </w:rPr>
        <w:t xml:space="preserve">audito rizikos komponentų pasireiškimą </w:t>
      </w:r>
      <w:r w:rsidR="00D415B4" w:rsidRPr="00921D79">
        <w:rPr>
          <w:color w:val="000000" w:themeColor="text1"/>
          <w:sz w:val="26"/>
          <w:szCs w:val="26"/>
          <w:lang w:val="lt-LT"/>
        </w:rPr>
        <w:t>skirtingu lygmeniu</w:t>
      </w:r>
      <w:r w:rsidR="00625803" w:rsidRPr="00921D79">
        <w:rPr>
          <w:color w:val="000000" w:themeColor="text1"/>
          <w:sz w:val="26"/>
          <w:szCs w:val="26"/>
          <w:lang w:val="lt-LT"/>
        </w:rPr>
        <w:t>.</w:t>
      </w:r>
      <w:r w:rsidR="00D415B4" w:rsidRPr="00921D79">
        <w:rPr>
          <w:color w:val="000000" w:themeColor="text1"/>
          <w:sz w:val="26"/>
          <w:szCs w:val="26"/>
          <w:lang w:val="lt-LT"/>
        </w:rPr>
        <w:t xml:space="preserve"> </w:t>
      </w:r>
      <w:r w:rsidR="00187771" w:rsidRPr="00921D79">
        <w:rPr>
          <w:color w:val="000000" w:themeColor="text1"/>
          <w:sz w:val="26"/>
          <w:szCs w:val="26"/>
          <w:lang w:val="lt-LT"/>
        </w:rPr>
        <w:t xml:space="preserve">Atsižvelgiant į tai, galima išskirti pagrindinius R. P. Srivastava, G. R. Shafer (1992) audito rizikos modelio privalumus. </w:t>
      </w:r>
    </w:p>
    <w:p w:rsidR="00162E08" w:rsidRPr="00921D79" w:rsidRDefault="00985C12" w:rsidP="00162E08">
      <w:pPr>
        <w:spacing w:line="360" w:lineRule="auto"/>
        <w:ind w:firstLine="720"/>
        <w:jc w:val="both"/>
        <w:rPr>
          <w:color w:val="000000" w:themeColor="text1"/>
          <w:sz w:val="26"/>
          <w:szCs w:val="26"/>
          <w:lang w:val="lt-LT"/>
        </w:rPr>
      </w:pPr>
      <w:r w:rsidRPr="00921D79">
        <w:rPr>
          <w:color w:val="000000" w:themeColor="text1"/>
          <w:sz w:val="26"/>
          <w:szCs w:val="26"/>
          <w:u w:val="single"/>
          <w:lang w:val="lt-LT"/>
        </w:rPr>
        <w:t>Privalumai.</w:t>
      </w:r>
      <w:r w:rsidRPr="00921D79">
        <w:rPr>
          <w:color w:val="000000" w:themeColor="text1"/>
          <w:sz w:val="26"/>
          <w:szCs w:val="26"/>
          <w:lang w:val="lt-LT"/>
        </w:rPr>
        <w:t xml:space="preserve"> </w:t>
      </w:r>
      <w:r w:rsidR="00D155D9" w:rsidRPr="00921D79">
        <w:rPr>
          <w:color w:val="000000" w:themeColor="text1"/>
          <w:sz w:val="26"/>
          <w:szCs w:val="26"/>
          <w:lang w:val="lt-LT"/>
        </w:rPr>
        <w:t xml:space="preserve">R. P. Srivastava, G. R. Shafer (1992) nuomone, </w:t>
      </w:r>
      <w:r w:rsidR="0068388D" w:rsidRPr="00921D79">
        <w:rPr>
          <w:color w:val="000000" w:themeColor="text1"/>
          <w:sz w:val="26"/>
          <w:szCs w:val="26"/>
          <w:lang w:val="lt-LT"/>
        </w:rPr>
        <w:t xml:space="preserve">kad </w:t>
      </w:r>
      <w:r w:rsidR="00187771" w:rsidRPr="00921D79">
        <w:rPr>
          <w:color w:val="000000" w:themeColor="text1"/>
          <w:sz w:val="26"/>
          <w:szCs w:val="26"/>
          <w:lang w:val="lt-LT"/>
        </w:rPr>
        <w:t xml:space="preserve">jų </w:t>
      </w:r>
      <w:r w:rsidR="00D155D9" w:rsidRPr="00921D79">
        <w:rPr>
          <w:color w:val="000000" w:themeColor="text1"/>
          <w:sz w:val="26"/>
          <w:szCs w:val="26"/>
          <w:lang w:val="lt-LT"/>
        </w:rPr>
        <w:t xml:space="preserve">siūlomos </w:t>
      </w:r>
      <w:r w:rsidR="0068388D" w:rsidRPr="00921D79">
        <w:rPr>
          <w:color w:val="000000" w:themeColor="text1"/>
          <w:sz w:val="26"/>
          <w:szCs w:val="26"/>
          <w:lang w:val="lt-LT"/>
        </w:rPr>
        <w:t xml:space="preserve">tikėtinumo funkcijos (audito rizikos) </w:t>
      </w:r>
      <w:r w:rsidR="00D155D9" w:rsidRPr="00921D79">
        <w:rPr>
          <w:color w:val="000000" w:themeColor="text1"/>
          <w:sz w:val="26"/>
          <w:szCs w:val="26"/>
          <w:lang w:val="lt-LT"/>
        </w:rPr>
        <w:t xml:space="preserve">formulės yra </w:t>
      </w:r>
      <w:r w:rsidR="00D155D9" w:rsidRPr="00921D79">
        <w:rPr>
          <w:i/>
          <w:color w:val="000000" w:themeColor="text1"/>
          <w:sz w:val="26"/>
          <w:szCs w:val="26"/>
          <w:lang w:val="lt-LT"/>
        </w:rPr>
        <w:t>audito planavimo įrankis,</w:t>
      </w:r>
      <w:r w:rsidR="00D155D9" w:rsidRPr="00921D79">
        <w:rPr>
          <w:color w:val="000000" w:themeColor="text1"/>
          <w:sz w:val="26"/>
          <w:szCs w:val="26"/>
          <w:lang w:val="lt-LT"/>
        </w:rPr>
        <w:t xml:space="preserve"> kuri</w:t>
      </w:r>
      <w:r w:rsidR="006B5386" w:rsidRPr="00921D79">
        <w:rPr>
          <w:color w:val="000000" w:themeColor="text1"/>
          <w:sz w:val="26"/>
          <w:szCs w:val="26"/>
          <w:lang w:val="lt-LT"/>
        </w:rPr>
        <w:t>s</w:t>
      </w:r>
      <w:r w:rsidR="00D155D9" w:rsidRPr="00921D79">
        <w:rPr>
          <w:color w:val="000000" w:themeColor="text1"/>
          <w:sz w:val="26"/>
          <w:szCs w:val="26"/>
          <w:lang w:val="lt-LT"/>
        </w:rPr>
        <w:t xml:space="preserve"> gali būti naudojamas nustatyti siekiamą užtikrinimo lygį iš įvairių šaltinių, kad būtų pasiektas norimas bendras užtikrinimas ar bendras reikšmingo iškraipymo tikėtinumas.</w:t>
      </w:r>
      <w:r w:rsidR="00187771" w:rsidRPr="00921D79">
        <w:rPr>
          <w:color w:val="000000" w:themeColor="text1"/>
          <w:sz w:val="26"/>
          <w:szCs w:val="26"/>
          <w:lang w:val="lt-LT"/>
        </w:rPr>
        <w:t xml:space="preserve"> </w:t>
      </w:r>
      <w:r w:rsidR="00162E08" w:rsidRPr="00921D79">
        <w:rPr>
          <w:color w:val="000000" w:themeColor="text1"/>
          <w:sz w:val="26"/>
          <w:szCs w:val="26"/>
          <w:lang w:val="lt-LT"/>
        </w:rPr>
        <w:t>Darbo a</w:t>
      </w:r>
      <w:r w:rsidRPr="00921D79">
        <w:rPr>
          <w:color w:val="000000" w:themeColor="text1"/>
          <w:sz w:val="26"/>
          <w:szCs w:val="26"/>
          <w:lang w:val="lt-LT"/>
        </w:rPr>
        <w:t>utorės nuomone, kadangi</w:t>
      </w:r>
      <w:r w:rsidR="00187771" w:rsidRPr="00921D79">
        <w:rPr>
          <w:color w:val="000000" w:themeColor="text1"/>
          <w:sz w:val="26"/>
          <w:szCs w:val="26"/>
          <w:lang w:val="lt-LT"/>
        </w:rPr>
        <w:t xml:space="preserve"> </w:t>
      </w:r>
      <w:r w:rsidR="00187771" w:rsidRPr="00921D79">
        <w:rPr>
          <w:color w:val="000000" w:themeColor="text1"/>
          <w:sz w:val="26"/>
          <w:szCs w:val="26"/>
          <w:lang w:val="lt-LT"/>
        </w:rPr>
        <w:lastRenderedPageBreak/>
        <w:t>R.</w:t>
      </w:r>
      <w:r w:rsidR="00921D79">
        <w:rPr>
          <w:color w:val="000000" w:themeColor="text1"/>
          <w:sz w:val="26"/>
          <w:szCs w:val="26"/>
          <w:lang w:val="lt-LT"/>
        </w:rPr>
        <w:t> </w:t>
      </w:r>
      <w:r w:rsidR="00187771" w:rsidRPr="00921D79">
        <w:rPr>
          <w:color w:val="000000" w:themeColor="text1"/>
          <w:sz w:val="26"/>
          <w:szCs w:val="26"/>
          <w:lang w:val="lt-LT"/>
        </w:rPr>
        <w:t>P.</w:t>
      </w:r>
      <w:r w:rsidR="00921D79">
        <w:rPr>
          <w:color w:val="000000" w:themeColor="text1"/>
          <w:sz w:val="26"/>
          <w:szCs w:val="26"/>
          <w:lang w:val="lt-LT"/>
        </w:rPr>
        <w:t> </w:t>
      </w:r>
      <w:r w:rsidR="00D155D9" w:rsidRPr="00921D79">
        <w:rPr>
          <w:color w:val="000000" w:themeColor="text1"/>
          <w:sz w:val="26"/>
          <w:szCs w:val="26"/>
          <w:lang w:val="lt-LT"/>
        </w:rPr>
        <w:t xml:space="preserve">Srivastava, </w:t>
      </w:r>
      <w:r w:rsidR="00187771" w:rsidRPr="00921D79">
        <w:rPr>
          <w:color w:val="000000" w:themeColor="text1"/>
          <w:sz w:val="26"/>
          <w:szCs w:val="26"/>
          <w:lang w:val="lt-LT"/>
        </w:rPr>
        <w:t xml:space="preserve">G. R. </w:t>
      </w:r>
      <w:r w:rsidR="00D155D9" w:rsidRPr="00921D79">
        <w:rPr>
          <w:color w:val="000000" w:themeColor="text1"/>
          <w:sz w:val="26"/>
          <w:szCs w:val="26"/>
          <w:lang w:val="lt-LT"/>
        </w:rPr>
        <w:t>Shafer</w:t>
      </w:r>
      <w:r w:rsidR="00187771" w:rsidRPr="00921D79">
        <w:rPr>
          <w:color w:val="000000" w:themeColor="text1"/>
          <w:sz w:val="26"/>
          <w:szCs w:val="26"/>
          <w:lang w:val="lt-LT"/>
        </w:rPr>
        <w:t xml:space="preserve"> (</w:t>
      </w:r>
      <w:r w:rsidR="00D155D9" w:rsidRPr="00921D79">
        <w:rPr>
          <w:color w:val="000000" w:themeColor="text1"/>
          <w:sz w:val="26"/>
          <w:szCs w:val="26"/>
          <w:lang w:val="lt-LT"/>
        </w:rPr>
        <w:t>1992)</w:t>
      </w:r>
      <w:r w:rsidR="002026B5" w:rsidRPr="00921D79">
        <w:rPr>
          <w:color w:val="000000" w:themeColor="text1"/>
          <w:sz w:val="26"/>
          <w:szCs w:val="26"/>
          <w:lang w:val="lt-LT"/>
        </w:rPr>
        <w:t xml:space="preserve"> </w:t>
      </w:r>
      <w:r w:rsidR="00D155D9" w:rsidRPr="00921D79">
        <w:rPr>
          <w:color w:val="000000" w:themeColor="text1"/>
          <w:sz w:val="26"/>
          <w:szCs w:val="26"/>
          <w:lang w:val="lt-LT"/>
        </w:rPr>
        <w:t xml:space="preserve">siūlomas požiūris </w:t>
      </w:r>
      <w:r w:rsidR="002026B5" w:rsidRPr="00921D79">
        <w:rPr>
          <w:color w:val="000000" w:themeColor="text1"/>
          <w:sz w:val="26"/>
          <w:szCs w:val="26"/>
          <w:lang w:val="lt-LT"/>
        </w:rPr>
        <w:t xml:space="preserve">išskiria įrodymus surinktus trimis skirtingais lygmenimis, </w:t>
      </w:r>
      <w:r w:rsidR="006B5386" w:rsidRPr="00921D79">
        <w:rPr>
          <w:color w:val="000000" w:themeColor="text1"/>
          <w:sz w:val="26"/>
          <w:szCs w:val="26"/>
          <w:lang w:val="lt-LT"/>
        </w:rPr>
        <w:t xml:space="preserve">tai galima teigti, kad </w:t>
      </w:r>
      <w:r w:rsidR="006B5386" w:rsidRPr="00921D79">
        <w:rPr>
          <w:i/>
          <w:color w:val="000000" w:themeColor="text1"/>
          <w:sz w:val="26"/>
          <w:szCs w:val="26"/>
          <w:lang w:val="lt-LT"/>
        </w:rPr>
        <w:t>išsprendžia</w:t>
      </w:r>
      <w:r w:rsidRPr="00921D79">
        <w:rPr>
          <w:i/>
          <w:color w:val="000000" w:themeColor="text1"/>
          <w:sz w:val="26"/>
          <w:szCs w:val="26"/>
          <w:lang w:val="lt-LT"/>
        </w:rPr>
        <w:t>ma</w:t>
      </w:r>
      <w:r w:rsidR="006B5386" w:rsidRPr="00921D79">
        <w:rPr>
          <w:i/>
          <w:color w:val="000000" w:themeColor="text1"/>
          <w:sz w:val="26"/>
          <w:szCs w:val="26"/>
          <w:lang w:val="lt-LT"/>
        </w:rPr>
        <w:t xml:space="preserve"> audito rizikos agregacijos problem</w:t>
      </w:r>
      <w:r w:rsidRPr="00921D79">
        <w:rPr>
          <w:i/>
          <w:color w:val="000000" w:themeColor="text1"/>
          <w:sz w:val="26"/>
          <w:szCs w:val="26"/>
          <w:lang w:val="lt-LT"/>
        </w:rPr>
        <w:t>a</w:t>
      </w:r>
      <w:r w:rsidR="006B5386" w:rsidRPr="00921D79">
        <w:rPr>
          <w:color w:val="000000" w:themeColor="text1"/>
          <w:sz w:val="26"/>
          <w:szCs w:val="26"/>
          <w:lang w:val="lt-LT"/>
        </w:rPr>
        <w:t xml:space="preserve">, </w:t>
      </w:r>
      <w:r w:rsidR="00162E08" w:rsidRPr="00921D79">
        <w:rPr>
          <w:color w:val="000000" w:themeColor="text1"/>
          <w:sz w:val="26"/>
          <w:szCs w:val="26"/>
          <w:lang w:val="lt-LT"/>
        </w:rPr>
        <w:t>todėl</w:t>
      </w:r>
      <w:r w:rsidR="006B5386" w:rsidRPr="00921D79">
        <w:rPr>
          <w:color w:val="000000" w:themeColor="text1"/>
          <w:sz w:val="26"/>
          <w:szCs w:val="26"/>
          <w:lang w:val="lt-LT"/>
        </w:rPr>
        <w:t xml:space="preserve"> </w:t>
      </w:r>
      <w:r w:rsidR="002026B5" w:rsidRPr="00921D79">
        <w:rPr>
          <w:color w:val="000000" w:themeColor="text1"/>
          <w:sz w:val="26"/>
          <w:szCs w:val="26"/>
          <w:lang w:val="lt-LT"/>
        </w:rPr>
        <w:t xml:space="preserve">auditai </w:t>
      </w:r>
      <w:r w:rsidR="00D155D9" w:rsidRPr="00921D79">
        <w:rPr>
          <w:color w:val="000000" w:themeColor="text1"/>
          <w:sz w:val="26"/>
          <w:szCs w:val="26"/>
          <w:lang w:val="lt-LT"/>
        </w:rPr>
        <w:t xml:space="preserve">atliekami remiantis jų siūlomomis formulėmis </w:t>
      </w:r>
      <w:r w:rsidR="00D155D9" w:rsidRPr="00921D79">
        <w:rPr>
          <w:i/>
          <w:color w:val="000000" w:themeColor="text1"/>
          <w:sz w:val="26"/>
          <w:szCs w:val="26"/>
          <w:lang w:val="lt-LT"/>
        </w:rPr>
        <w:t xml:space="preserve">gali būti </w:t>
      </w:r>
      <w:r w:rsidR="002026B5" w:rsidRPr="00921D79">
        <w:rPr>
          <w:i/>
          <w:color w:val="000000" w:themeColor="text1"/>
          <w:sz w:val="26"/>
          <w:szCs w:val="26"/>
          <w:lang w:val="lt-LT"/>
        </w:rPr>
        <w:t>daug veiksmingesni</w:t>
      </w:r>
      <w:r w:rsidR="002026B5" w:rsidRPr="00921D79">
        <w:rPr>
          <w:color w:val="000000" w:themeColor="text1"/>
          <w:sz w:val="26"/>
          <w:szCs w:val="26"/>
          <w:lang w:val="lt-LT"/>
        </w:rPr>
        <w:t xml:space="preserve"> nei auditai, kurie atliekami pagal klasikinio audito rizikos modelio formulę. </w:t>
      </w:r>
      <w:bookmarkStart w:id="33" w:name="_Toc72067642"/>
      <w:bookmarkStart w:id="34" w:name="_Toc72067797"/>
      <w:bookmarkStart w:id="35" w:name="_Toc72497295"/>
    </w:p>
    <w:p w:rsidR="009B6941" w:rsidRPr="00921D79" w:rsidRDefault="009B6941" w:rsidP="00162E08">
      <w:pPr>
        <w:spacing w:line="360" w:lineRule="auto"/>
        <w:ind w:firstLine="720"/>
        <w:jc w:val="both"/>
        <w:rPr>
          <w:color w:val="000000" w:themeColor="text1"/>
          <w:sz w:val="26"/>
          <w:szCs w:val="26"/>
          <w:lang w:val="lt-LT"/>
        </w:rPr>
      </w:pPr>
      <w:r w:rsidRPr="00921D79">
        <w:rPr>
          <w:b/>
          <w:sz w:val="26"/>
          <w:szCs w:val="26"/>
          <w:lang w:val="lt-LT"/>
        </w:rPr>
        <w:t>ABREMA modeli</w:t>
      </w:r>
      <w:bookmarkEnd w:id="32"/>
      <w:bookmarkEnd w:id="33"/>
      <w:bookmarkEnd w:id="34"/>
      <w:bookmarkEnd w:id="35"/>
      <w:r w:rsidR="00162E08" w:rsidRPr="00921D79">
        <w:rPr>
          <w:b/>
          <w:sz w:val="26"/>
          <w:szCs w:val="26"/>
          <w:lang w:val="lt-LT"/>
        </w:rPr>
        <w:t xml:space="preserve">s. </w:t>
      </w:r>
      <w:r w:rsidR="000F2741" w:rsidRPr="00921D79">
        <w:rPr>
          <w:sz w:val="26"/>
          <w:szCs w:val="26"/>
          <w:lang w:val="lt-LT"/>
        </w:rPr>
        <w:t>H. Holmes siūlomame</w:t>
      </w:r>
      <w:r w:rsidR="00901FFC" w:rsidRPr="00921D79">
        <w:rPr>
          <w:i/>
          <w:sz w:val="26"/>
          <w:szCs w:val="26"/>
          <w:lang w:val="lt-LT"/>
        </w:rPr>
        <w:t xml:space="preserve"> </w:t>
      </w:r>
      <w:r w:rsidR="000F2741" w:rsidRPr="00921D79">
        <w:rPr>
          <w:i/>
          <w:sz w:val="26"/>
          <w:szCs w:val="26"/>
          <w:lang w:val="lt-LT"/>
        </w:rPr>
        <w:t>v</w:t>
      </w:r>
      <w:r w:rsidRPr="00921D79">
        <w:rPr>
          <w:i/>
          <w:sz w:val="26"/>
          <w:szCs w:val="26"/>
          <w:lang w:val="lt-LT"/>
        </w:rPr>
        <w:t>eikla paremt</w:t>
      </w:r>
      <w:r w:rsidR="00A06A92" w:rsidRPr="00921D79">
        <w:rPr>
          <w:i/>
          <w:sz w:val="26"/>
          <w:szCs w:val="26"/>
          <w:lang w:val="lt-LT"/>
        </w:rPr>
        <w:t>ame</w:t>
      </w:r>
      <w:r w:rsidRPr="00921D79">
        <w:rPr>
          <w:i/>
          <w:sz w:val="26"/>
          <w:szCs w:val="26"/>
          <w:lang w:val="lt-LT"/>
        </w:rPr>
        <w:t xml:space="preserve"> </w:t>
      </w:r>
      <w:r w:rsidR="00752177" w:rsidRPr="00921D79">
        <w:rPr>
          <w:i/>
          <w:sz w:val="26"/>
          <w:szCs w:val="26"/>
          <w:lang w:val="lt-LT"/>
        </w:rPr>
        <w:t xml:space="preserve">audito </w:t>
      </w:r>
      <w:r w:rsidRPr="00921D79">
        <w:rPr>
          <w:i/>
          <w:sz w:val="26"/>
          <w:szCs w:val="26"/>
          <w:lang w:val="lt-LT"/>
        </w:rPr>
        <w:t>rizikos įvertinimo model</w:t>
      </w:r>
      <w:r w:rsidR="00A06A92" w:rsidRPr="00921D79">
        <w:rPr>
          <w:i/>
          <w:sz w:val="26"/>
          <w:szCs w:val="26"/>
          <w:lang w:val="lt-LT"/>
        </w:rPr>
        <w:t>yje</w:t>
      </w:r>
      <w:r w:rsidR="00752177" w:rsidRPr="00921D79">
        <w:rPr>
          <w:sz w:val="26"/>
          <w:szCs w:val="26"/>
          <w:lang w:val="lt-LT"/>
        </w:rPr>
        <w:t xml:space="preserve"> </w:t>
      </w:r>
      <w:r w:rsidR="004930AB" w:rsidRPr="00921D79">
        <w:rPr>
          <w:sz w:val="26"/>
          <w:szCs w:val="26"/>
          <w:lang w:val="lt-LT"/>
        </w:rPr>
        <w:t xml:space="preserve">(angl. </w:t>
      </w:r>
      <w:r w:rsidR="004930AB" w:rsidRPr="00921D79">
        <w:rPr>
          <w:i/>
          <w:sz w:val="26"/>
          <w:szCs w:val="26"/>
        </w:rPr>
        <w:t>Activity Based Risk Evaluation Model of Auditing</w:t>
      </w:r>
      <w:r w:rsidR="004930AB" w:rsidRPr="00921D79">
        <w:rPr>
          <w:sz w:val="26"/>
          <w:szCs w:val="26"/>
          <w:lang w:val="lt-LT"/>
        </w:rPr>
        <w:t xml:space="preserve">) (toliau – </w:t>
      </w:r>
      <w:r w:rsidRPr="00921D79">
        <w:rPr>
          <w:sz w:val="26"/>
          <w:szCs w:val="26"/>
          <w:lang w:val="lt-LT"/>
        </w:rPr>
        <w:t xml:space="preserve">ABREMA </w:t>
      </w:r>
      <w:r w:rsidR="004930AB" w:rsidRPr="00921D79">
        <w:rPr>
          <w:sz w:val="26"/>
          <w:szCs w:val="26"/>
          <w:lang w:val="lt-LT"/>
        </w:rPr>
        <w:t>modelis)</w:t>
      </w:r>
      <w:r w:rsidRPr="00921D79">
        <w:rPr>
          <w:sz w:val="26"/>
          <w:szCs w:val="26"/>
          <w:lang w:val="lt-LT"/>
        </w:rPr>
        <w:t xml:space="preserve"> </w:t>
      </w:r>
      <w:r w:rsidR="000F2741" w:rsidRPr="00921D79">
        <w:rPr>
          <w:sz w:val="26"/>
          <w:szCs w:val="26"/>
          <w:lang w:val="lt-LT"/>
        </w:rPr>
        <w:t xml:space="preserve">(1995) </w:t>
      </w:r>
      <w:r w:rsidRPr="00921D79">
        <w:rPr>
          <w:sz w:val="26"/>
          <w:szCs w:val="26"/>
          <w:lang w:val="lt-LT"/>
        </w:rPr>
        <w:t xml:space="preserve">audito rizika </w:t>
      </w:r>
      <w:r w:rsidR="00F965DD" w:rsidRPr="00921D79">
        <w:rPr>
          <w:sz w:val="26"/>
          <w:szCs w:val="26"/>
          <w:lang w:val="lt-LT"/>
        </w:rPr>
        <w:t xml:space="preserve">pirmiausia </w:t>
      </w:r>
      <w:r w:rsidRPr="00921D79">
        <w:rPr>
          <w:sz w:val="26"/>
          <w:szCs w:val="26"/>
          <w:lang w:val="lt-LT"/>
        </w:rPr>
        <w:t>išskaidoma į du komponentus: 1) reikšmingo iškraipymo rizik</w:t>
      </w:r>
      <w:r w:rsidR="00FE4B88" w:rsidRPr="00921D79">
        <w:rPr>
          <w:sz w:val="26"/>
          <w:szCs w:val="26"/>
          <w:lang w:val="lt-LT"/>
        </w:rPr>
        <w:t>ą</w:t>
      </w:r>
      <w:r w:rsidRPr="00921D79">
        <w:rPr>
          <w:sz w:val="26"/>
          <w:szCs w:val="26"/>
          <w:lang w:val="lt-LT"/>
        </w:rPr>
        <w:t xml:space="preserve"> neaudituoto</w:t>
      </w:r>
      <w:r w:rsidR="00A06A92" w:rsidRPr="00921D79">
        <w:rPr>
          <w:sz w:val="26"/>
          <w:szCs w:val="26"/>
          <w:lang w:val="lt-LT"/>
        </w:rPr>
        <w:t>se</w:t>
      </w:r>
      <w:r w:rsidRPr="00921D79">
        <w:rPr>
          <w:sz w:val="26"/>
          <w:szCs w:val="26"/>
          <w:lang w:val="lt-LT"/>
        </w:rPr>
        <w:t xml:space="preserve"> finansinė</w:t>
      </w:r>
      <w:r w:rsidR="00A06A92" w:rsidRPr="00921D79">
        <w:rPr>
          <w:sz w:val="26"/>
          <w:szCs w:val="26"/>
          <w:lang w:val="lt-LT"/>
        </w:rPr>
        <w:t>s</w:t>
      </w:r>
      <w:r w:rsidRPr="00921D79">
        <w:rPr>
          <w:sz w:val="26"/>
          <w:szCs w:val="26"/>
          <w:lang w:val="lt-LT"/>
        </w:rPr>
        <w:t>e at</w:t>
      </w:r>
      <w:r w:rsidR="00A06A92" w:rsidRPr="00921D79">
        <w:rPr>
          <w:sz w:val="26"/>
          <w:szCs w:val="26"/>
          <w:lang w:val="lt-LT"/>
        </w:rPr>
        <w:t>a</w:t>
      </w:r>
      <w:r w:rsidRPr="00921D79">
        <w:rPr>
          <w:sz w:val="26"/>
          <w:szCs w:val="26"/>
          <w:lang w:val="lt-LT"/>
        </w:rPr>
        <w:t>skaito</w:t>
      </w:r>
      <w:r w:rsidR="00A06A92" w:rsidRPr="00921D79">
        <w:rPr>
          <w:sz w:val="26"/>
          <w:szCs w:val="26"/>
          <w:lang w:val="lt-LT"/>
        </w:rPr>
        <w:t>se</w:t>
      </w:r>
      <w:r w:rsidRPr="00921D79">
        <w:rPr>
          <w:sz w:val="26"/>
          <w:szCs w:val="26"/>
          <w:lang w:val="lt-LT"/>
        </w:rPr>
        <w:t xml:space="preserve"> </w:t>
      </w:r>
      <w:r w:rsidR="00617F21" w:rsidRPr="00921D79">
        <w:rPr>
          <w:sz w:val="26"/>
          <w:szCs w:val="26"/>
          <w:lang w:val="lt-LT"/>
        </w:rPr>
        <w:t>i</w:t>
      </w:r>
      <w:r w:rsidR="00FE4B88" w:rsidRPr="00921D79">
        <w:rPr>
          <w:sz w:val="26"/>
          <w:szCs w:val="26"/>
          <w:lang w:val="lt-LT"/>
        </w:rPr>
        <w:t>r</w:t>
      </w:r>
      <w:r w:rsidRPr="00921D79">
        <w:rPr>
          <w:sz w:val="26"/>
          <w:szCs w:val="26"/>
          <w:lang w:val="lt-LT"/>
        </w:rPr>
        <w:t xml:space="preserve"> 2) rizik</w:t>
      </w:r>
      <w:r w:rsidR="00FE4B88" w:rsidRPr="00921D79">
        <w:rPr>
          <w:sz w:val="26"/>
          <w:szCs w:val="26"/>
          <w:lang w:val="lt-LT"/>
        </w:rPr>
        <w:t>ą</w:t>
      </w:r>
      <w:r w:rsidRPr="00921D79">
        <w:rPr>
          <w:sz w:val="26"/>
          <w:szCs w:val="26"/>
          <w:lang w:val="lt-LT"/>
        </w:rPr>
        <w:t xml:space="preserve">, kad iškraipymas nebus pastebėtas auditoriaus. </w:t>
      </w:r>
      <w:r w:rsidR="00952855" w:rsidRPr="00921D79">
        <w:rPr>
          <w:sz w:val="26"/>
          <w:szCs w:val="26"/>
          <w:lang w:val="lt-LT"/>
        </w:rPr>
        <w:t>P</w:t>
      </w:r>
      <w:r w:rsidR="00F965DD" w:rsidRPr="00921D79">
        <w:rPr>
          <w:sz w:val="26"/>
          <w:szCs w:val="26"/>
          <w:lang w:val="lt-LT"/>
        </w:rPr>
        <w:t xml:space="preserve">o to </w:t>
      </w:r>
      <w:r w:rsidRPr="00921D79">
        <w:rPr>
          <w:sz w:val="26"/>
          <w:szCs w:val="26"/>
          <w:lang w:val="lt-LT"/>
        </w:rPr>
        <w:t>reikšmingo iškraipymo rizika neaudituoto</w:t>
      </w:r>
      <w:r w:rsidR="00A06A92" w:rsidRPr="00921D79">
        <w:rPr>
          <w:sz w:val="26"/>
          <w:szCs w:val="26"/>
          <w:lang w:val="lt-LT"/>
        </w:rPr>
        <w:t>s</w:t>
      </w:r>
      <w:r w:rsidRPr="00921D79">
        <w:rPr>
          <w:sz w:val="26"/>
          <w:szCs w:val="26"/>
          <w:lang w:val="lt-LT"/>
        </w:rPr>
        <w:t>e finansinė</w:t>
      </w:r>
      <w:r w:rsidR="00A06A92" w:rsidRPr="00921D79">
        <w:rPr>
          <w:sz w:val="26"/>
          <w:szCs w:val="26"/>
          <w:lang w:val="lt-LT"/>
        </w:rPr>
        <w:t>s</w:t>
      </w:r>
      <w:r w:rsidRPr="00921D79">
        <w:rPr>
          <w:sz w:val="26"/>
          <w:szCs w:val="26"/>
          <w:lang w:val="lt-LT"/>
        </w:rPr>
        <w:t>e at</w:t>
      </w:r>
      <w:r w:rsidR="00A06A92" w:rsidRPr="00921D79">
        <w:rPr>
          <w:sz w:val="26"/>
          <w:szCs w:val="26"/>
          <w:lang w:val="lt-LT"/>
        </w:rPr>
        <w:t>a</w:t>
      </w:r>
      <w:r w:rsidRPr="00921D79">
        <w:rPr>
          <w:sz w:val="26"/>
          <w:szCs w:val="26"/>
          <w:lang w:val="lt-LT"/>
        </w:rPr>
        <w:t>skaito</w:t>
      </w:r>
      <w:r w:rsidR="00A06A92" w:rsidRPr="00921D79">
        <w:rPr>
          <w:sz w:val="26"/>
          <w:szCs w:val="26"/>
          <w:lang w:val="lt-LT"/>
        </w:rPr>
        <w:t>se</w:t>
      </w:r>
      <w:r w:rsidRPr="00921D79">
        <w:rPr>
          <w:sz w:val="26"/>
          <w:szCs w:val="26"/>
          <w:lang w:val="lt-LT"/>
        </w:rPr>
        <w:t xml:space="preserve"> </w:t>
      </w:r>
      <w:r w:rsidR="0025219E" w:rsidRPr="00921D79">
        <w:rPr>
          <w:sz w:val="26"/>
          <w:szCs w:val="26"/>
          <w:lang w:val="lt-LT"/>
        </w:rPr>
        <w:t>skiriama į</w:t>
      </w:r>
      <w:r w:rsidRPr="00921D79">
        <w:rPr>
          <w:sz w:val="26"/>
          <w:szCs w:val="26"/>
          <w:lang w:val="lt-LT"/>
        </w:rPr>
        <w:t xml:space="preserve"> įgimtą reikšmingo iškraipymo riziką ir riziką, kad reikšmingas iškraipymas nebus aptiktas pačios įmonės. Pakeitus reikšmingo iškraipymo riziką į dvi jos sudėtines dalis, audito rizika matematiškai pagal ABREMA modelį išreiškiama: </w:t>
      </w:r>
    </w:p>
    <w:p w:rsidR="009B6941" w:rsidRPr="00921D79" w:rsidRDefault="009B6941" w:rsidP="00921D79">
      <w:pPr>
        <w:spacing w:line="360" w:lineRule="auto"/>
        <w:ind w:left="1440"/>
        <w:jc w:val="both"/>
        <w:rPr>
          <w:i/>
          <w:sz w:val="26"/>
          <w:szCs w:val="26"/>
          <w:lang w:val="lt-LT"/>
        </w:rPr>
      </w:pPr>
      <w:r w:rsidRPr="00921D79">
        <w:rPr>
          <w:i/>
          <w:sz w:val="26"/>
          <w:szCs w:val="26"/>
          <w:lang w:val="lt-LT"/>
        </w:rPr>
        <w:t>AR = RMMi x (1-Pr(De)) x (1-Pr(Da))</w:t>
      </w:r>
      <w:r w:rsidR="000F2741" w:rsidRPr="00921D79">
        <w:rPr>
          <w:i/>
          <w:sz w:val="26"/>
          <w:szCs w:val="26"/>
          <w:lang w:val="lt-LT"/>
        </w:rPr>
        <w:tab/>
      </w:r>
      <w:r w:rsidR="000F2741" w:rsidRPr="00921D79">
        <w:rPr>
          <w:i/>
          <w:sz w:val="26"/>
          <w:szCs w:val="26"/>
          <w:lang w:val="lt-LT"/>
        </w:rPr>
        <w:tab/>
      </w:r>
      <w:r w:rsidR="000F2741" w:rsidRPr="00921D79">
        <w:rPr>
          <w:i/>
          <w:sz w:val="26"/>
          <w:szCs w:val="26"/>
          <w:lang w:val="lt-LT"/>
        </w:rPr>
        <w:tab/>
      </w:r>
      <w:r w:rsidR="000F2741" w:rsidRPr="00921D79">
        <w:rPr>
          <w:i/>
          <w:sz w:val="26"/>
          <w:szCs w:val="26"/>
          <w:lang w:val="lt-LT"/>
        </w:rPr>
        <w:tab/>
        <w:t>(</w:t>
      </w:r>
      <w:r w:rsidR="00985C12" w:rsidRPr="00921D79">
        <w:rPr>
          <w:i/>
          <w:sz w:val="26"/>
          <w:szCs w:val="26"/>
          <w:lang w:val="lt-LT"/>
        </w:rPr>
        <w:t>9</w:t>
      </w:r>
      <w:r w:rsidR="000F2741" w:rsidRPr="00921D79">
        <w:rPr>
          <w:i/>
          <w:sz w:val="26"/>
          <w:szCs w:val="26"/>
          <w:lang w:val="lt-LT"/>
        </w:rPr>
        <w:t>)</w:t>
      </w:r>
    </w:p>
    <w:p w:rsidR="009B6941" w:rsidRPr="00DC3FD4" w:rsidRDefault="009B6941" w:rsidP="00DC3FD4">
      <w:pPr>
        <w:jc w:val="both"/>
        <w:rPr>
          <w:sz w:val="22"/>
          <w:szCs w:val="22"/>
          <w:lang w:val="lt-LT"/>
        </w:rPr>
      </w:pPr>
      <w:r w:rsidRPr="00DC3FD4">
        <w:rPr>
          <w:sz w:val="22"/>
          <w:szCs w:val="22"/>
          <w:lang w:val="lt-LT"/>
        </w:rPr>
        <w:t>kur:</w:t>
      </w:r>
      <w:r w:rsidR="00121CCB" w:rsidRPr="00DC3FD4">
        <w:rPr>
          <w:sz w:val="22"/>
          <w:szCs w:val="22"/>
          <w:lang w:val="lt-LT"/>
        </w:rPr>
        <w:t xml:space="preserve"> </w:t>
      </w:r>
      <w:r w:rsidRPr="00DC3FD4">
        <w:rPr>
          <w:sz w:val="22"/>
          <w:szCs w:val="22"/>
          <w:lang w:val="lt-LT"/>
        </w:rPr>
        <w:t>AR –</w:t>
      </w:r>
      <w:r w:rsidR="00727056" w:rsidRPr="00DC3FD4">
        <w:rPr>
          <w:sz w:val="22"/>
          <w:szCs w:val="22"/>
          <w:lang w:val="lt-LT"/>
        </w:rPr>
        <w:t xml:space="preserve"> </w:t>
      </w:r>
      <w:r w:rsidRPr="00DC3FD4">
        <w:rPr>
          <w:sz w:val="22"/>
          <w:szCs w:val="22"/>
          <w:lang w:val="lt-LT"/>
        </w:rPr>
        <w:t>audito rizika; RMMi – įgimta reikšmingo iškraipymo rizika;</w:t>
      </w:r>
      <w:r w:rsidR="00121CCB" w:rsidRPr="00DC3FD4">
        <w:rPr>
          <w:sz w:val="22"/>
          <w:szCs w:val="22"/>
          <w:lang w:val="lt-LT"/>
        </w:rPr>
        <w:t xml:space="preserve"> </w:t>
      </w:r>
      <w:r w:rsidRPr="00DC3FD4">
        <w:rPr>
          <w:sz w:val="22"/>
          <w:szCs w:val="22"/>
          <w:lang w:val="lt-LT"/>
        </w:rPr>
        <w:t xml:space="preserve">1-Pr(De) </w:t>
      </w:r>
      <w:r w:rsidR="00617F21" w:rsidRPr="00DC3FD4">
        <w:rPr>
          <w:sz w:val="22"/>
          <w:szCs w:val="22"/>
          <w:lang w:val="lt-LT"/>
        </w:rPr>
        <w:t>–</w:t>
      </w:r>
      <w:r w:rsidRPr="00DC3FD4">
        <w:rPr>
          <w:sz w:val="22"/>
          <w:szCs w:val="22"/>
          <w:lang w:val="lt-LT"/>
        </w:rPr>
        <w:t xml:space="preserve"> rizika, kad reikšmingas iškraipymas nebus aptiktas pačios įmonės</w:t>
      </w:r>
      <w:r w:rsidR="00617F21" w:rsidRPr="00DC3FD4">
        <w:rPr>
          <w:sz w:val="22"/>
          <w:szCs w:val="22"/>
          <w:lang w:val="lt-LT"/>
        </w:rPr>
        <w:t>, t.</w:t>
      </w:r>
      <w:r w:rsidR="00921D79" w:rsidRPr="00DC3FD4">
        <w:rPr>
          <w:sz w:val="22"/>
          <w:szCs w:val="22"/>
          <w:lang w:val="lt-LT"/>
        </w:rPr>
        <w:t> </w:t>
      </w:r>
      <w:r w:rsidR="00617F21" w:rsidRPr="00DC3FD4">
        <w:rPr>
          <w:sz w:val="22"/>
          <w:szCs w:val="22"/>
          <w:lang w:val="lt-LT"/>
        </w:rPr>
        <w:t>y. vienetas minus įmonės galimybė aptikti reikšmingą iškraipymą</w:t>
      </w:r>
      <w:r w:rsidRPr="00DC3FD4">
        <w:rPr>
          <w:sz w:val="22"/>
          <w:szCs w:val="22"/>
          <w:lang w:val="lt-LT"/>
        </w:rPr>
        <w:t xml:space="preserve">; 1-Pr(Da) </w:t>
      </w:r>
      <w:r w:rsidR="00617F21" w:rsidRPr="00DC3FD4">
        <w:rPr>
          <w:sz w:val="22"/>
          <w:szCs w:val="22"/>
          <w:lang w:val="lt-LT"/>
        </w:rPr>
        <w:t>–</w:t>
      </w:r>
      <w:r w:rsidRPr="00DC3FD4">
        <w:rPr>
          <w:sz w:val="22"/>
          <w:szCs w:val="22"/>
          <w:lang w:val="lt-LT"/>
        </w:rPr>
        <w:t xml:space="preserve"> rizika, kad reikšmingas iškraipymas nebus pastebėtas auditoriaus</w:t>
      </w:r>
      <w:r w:rsidR="00617F21" w:rsidRPr="00DC3FD4">
        <w:rPr>
          <w:sz w:val="22"/>
          <w:szCs w:val="22"/>
          <w:lang w:val="lt-LT"/>
        </w:rPr>
        <w:t>, t. y. vienetas minus auditoriaus aptikimo tikimybė</w:t>
      </w:r>
      <w:r w:rsidRPr="00DC3FD4">
        <w:rPr>
          <w:sz w:val="22"/>
          <w:szCs w:val="22"/>
          <w:lang w:val="lt-LT"/>
        </w:rPr>
        <w:t>.</w:t>
      </w:r>
    </w:p>
    <w:p w:rsidR="006E59AE" w:rsidRPr="00921D79" w:rsidRDefault="009B6941" w:rsidP="00DC3FD4">
      <w:pPr>
        <w:spacing w:before="240" w:line="360" w:lineRule="auto"/>
        <w:ind w:firstLine="720"/>
        <w:jc w:val="both"/>
        <w:rPr>
          <w:sz w:val="26"/>
          <w:szCs w:val="26"/>
          <w:lang w:val="lt-LT"/>
        </w:rPr>
      </w:pPr>
      <w:r w:rsidRPr="00921D79">
        <w:rPr>
          <w:sz w:val="26"/>
          <w:szCs w:val="26"/>
          <w:lang w:val="lt-LT"/>
        </w:rPr>
        <w:t>Iš to galima daryti išvadą, kad: 1) ABREMA modelyje aptarti trys a</w:t>
      </w:r>
      <w:r w:rsidR="00884A1E">
        <w:rPr>
          <w:sz w:val="26"/>
          <w:szCs w:val="26"/>
          <w:lang w:val="lt-LT"/>
        </w:rPr>
        <w:t>udito rizikos komponentai (RMMi</w:t>
      </w:r>
      <w:r w:rsidRPr="00921D79">
        <w:rPr>
          <w:sz w:val="26"/>
          <w:szCs w:val="26"/>
          <w:lang w:val="lt-LT"/>
        </w:rPr>
        <w:t xml:space="preserve">, 1-Pr(De), 1-Pr(Da)) atitinka </w:t>
      </w:r>
      <w:r w:rsidR="00446170" w:rsidRPr="00921D79">
        <w:rPr>
          <w:sz w:val="26"/>
          <w:szCs w:val="26"/>
          <w:lang w:val="lt-LT"/>
        </w:rPr>
        <w:t>klasikinio</w:t>
      </w:r>
      <w:r w:rsidRPr="00921D79">
        <w:rPr>
          <w:sz w:val="26"/>
          <w:szCs w:val="26"/>
          <w:lang w:val="lt-LT"/>
        </w:rPr>
        <w:t xml:space="preserve"> audito rizikos modelio komponentus</w:t>
      </w:r>
      <w:r w:rsidR="00952855" w:rsidRPr="00921D79">
        <w:rPr>
          <w:sz w:val="26"/>
          <w:szCs w:val="26"/>
          <w:lang w:val="lt-LT"/>
        </w:rPr>
        <w:t xml:space="preserve"> (</w:t>
      </w:r>
      <w:r w:rsidRPr="00921D79">
        <w:rPr>
          <w:sz w:val="26"/>
          <w:szCs w:val="26"/>
          <w:lang w:val="lt-LT"/>
        </w:rPr>
        <w:t xml:space="preserve">IR, CR ir </w:t>
      </w:r>
      <w:r w:rsidR="00952855" w:rsidRPr="00921D79">
        <w:rPr>
          <w:sz w:val="26"/>
          <w:szCs w:val="26"/>
          <w:lang w:val="lt-LT"/>
        </w:rPr>
        <w:t xml:space="preserve">DR) </w:t>
      </w:r>
      <w:r w:rsidRPr="00921D79">
        <w:rPr>
          <w:sz w:val="26"/>
          <w:szCs w:val="26"/>
          <w:lang w:val="lt-LT"/>
        </w:rPr>
        <w:t>ir 2) ABREMA modelio matematinė išraiška sutampa su klasikinio audito rizikos modelio išraiška</w:t>
      </w:r>
      <w:r w:rsidR="00DC3FD4">
        <w:rPr>
          <w:sz w:val="26"/>
          <w:szCs w:val="26"/>
          <w:lang w:val="lt-LT"/>
        </w:rPr>
        <w:t xml:space="preserve"> (1</w:t>
      </w:r>
      <w:r w:rsidR="002C24E1">
        <w:rPr>
          <w:sz w:val="26"/>
          <w:szCs w:val="26"/>
          <w:lang w:val="lt-LT"/>
        </w:rPr>
        <w:t> </w:t>
      </w:r>
      <w:r w:rsidR="00DC3FD4">
        <w:rPr>
          <w:sz w:val="26"/>
          <w:szCs w:val="26"/>
          <w:lang w:val="lt-LT"/>
        </w:rPr>
        <w:t>formulė).</w:t>
      </w:r>
    </w:p>
    <w:p w:rsidR="009B6941" w:rsidRDefault="006E59AE">
      <w:pPr>
        <w:spacing w:line="360" w:lineRule="auto"/>
        <w:ind w:firstLine="720"/>
        <w:jc w:val="both"/>
        <w:rPr>
          <w:sz w:val="26"/>
          <w:szCs w:val="26"/>
          <w:lang w:val="lt-LT"/>
        </w:rPr>
      </w:pPr>
      <w:r w:rsidRPr="00921D79">
        <w:rPr>
          <w:sz w:val="26"/>
          <w:szCs w:val="26"/>
          <w:lang w:val="lt-LT"/>
        </w:rPr>
        <w:t xml:space="preserve">Svarbu tai, kad </w:t>
      </w:r>
      <w:r w:rsidR="00BD13E9" w:rsidRPr="00921D79">
        <w:rPr>
          <w:sz w:val="26"/>
          <w:szCs w:val="26"/>
          <w:lang w:val="lt-LT"/>
        </w:rPr>
        <w:t xml:space="preserve">H. Holmes (1995) </w:t>
      </w:r>
      <w:r w:rsidR="003F4E9E" w:rsidRPr="00921D79">
        <w:rPr>
          <w:sz w:val="26"/>
          <w:szCs w:val="26"/>
          <w:lang w:val="lt-LT"/>
        </w:rPr>
        <w:t>iliustruoja audito rizikos vertinimo procesą</w:t>
      </w:r>
      <w:r w:rsidR="0029360B" w:rsidRPr="00921D79">
        <w:rPr>
          <w:sz w:val="26"/>
          <w:szCs w:val="26"/>
          <w:lang w:val="lt-LT"/>
        </w:rPr>
        <w:t xml:space="preserve"> </w:t>
      </w:r>
      <w:r w:rsidR="00BD13E9" w:rsidRPr="00921D79">
        <w:rPr>
          <w:sz w:val="26"/>
          <w:szCs w:val="26"/>
          <w:lang w:val="lt-LT"/>
        </w:rPr>
        <w:t>pagal ABREMA modelį</w:t>
      </w:r>
      <w:r w:rsidRPr="00921D79">
        <w:rPr>
          <w:sz w:val="26"/>
          <w:szCs w:val="26"/>
          <w:lang w:val="lt-LT"/>
        </w:rPr>
        <w:t>, kuris rodo, kad audito rizika vertinama skirtinguose audito etapuose, kuriuose atliekami auditoriaus veiksmai, susiję su audito planavimu, audito įrodymų rinkim</w:t>
      </w:r>
      <w:r w:rsidR="008E0B8C" w:rsidRPr="00921D79">
        <w:rPr>
          <w:sz w:val="26"/>
          <w:szCs w:val="26"/>
          <w:lang w:val="lt-LT"/>
        </w:rPr>
        <w:t>u</w:t>
      </w:r>
      <w:r w:rsidRPr="00921D79">
        <w:rPr>
          <w:sz w:val="26"/>
          <w:szCs w:val="26"/>
          <w:lang w:val="lt-LT"/>
        </w:rPr>
        <w:t xml:space="preserve"> ir </w:t>
      </w:r>
      <w:r w:rsidR="00EF2232" w:rsidRPr="00921D79">
        <w:rPr>
          <w:sz w:val="26"/>
          <w:szCs w:val="26"/>
          <w:lang w:val="lt-LT"/>
        </w:rPr>
        <w:t xml:space="preserve">jų </w:t>
      </w:r>
      <w:r w:rsidRPr="00921D79">
        <w:rPr>
          <w:sz w:val="26"/>
          <w:szCs w:val="26"/>
          <w:lang w:val="lt-LT"/>
        </w:rPr>
        <w:t xml:space="preserve">vertinimu bei </w:t>
      </w:r>
      <w:r w:rsidR="00EF2232" w:rsidRPr="00921D79">
        <w:rPr>
          <w:sz w:val="26"/>
          <w:szCs w:val="26"/>
          <w:lang w:val="lt-LT"/>
        </w:rPr>
        <w:t xml:space="preserve">atitinkamo </w:t>
      </w:r>
      <w:r w:rsidRPr="00921D79">
        <w:rPr>
          <w:sz w:val="26"/>
          <w:szCs w:val="26"/>
          <w:lang w:val="lt-LT"/>
        </w:rPr>
        <w:t>sprendimo priėmimu</w:t>
      </w:r>
      <w:r w:rsidR="0093794E" w:rsidRPr="00921D79">
        <w:rPr>
          <w:sz w:val="26"/>
          <w:szCs w:val="26"/>
          <w:lang w:val="lt-LT"/>
        </w:rPr>
        <w:t xml:space="preserve"> (žr. 1</w:t>
      </w:r>
      <w:r w:rsidR="00F726AC" w:rsidRPr="00921D79">
        <w:rPr>
          <w:sz w:val="26"/>
          <w:szCs w:val="26"/>
          <w:lang w:val="lt-LT"/>
        </w:rPr>
        <w:t>1</w:t>
      </w:r>
      <w:r w:rsidR="0093794E" w:rsidRPr="00921D79">
        <w:rPr>
          <w:sz w:val="26"/>
          <w:szCs w:val="26"/>
          <w:lang w:val="lt-LT"/>
        </w:rPr>
        <w:t xml:space="preserve"> pav.)</w:t>
      </w:r>
      <w:r w:rsidRPr="00921D79">
        <w:rPr>
          <w:sz w:val="26"/>
          <w:szCs w:val="26"/>
          <w:lang w:val="lt-LT"/>
        </w:rPr>
        <w:t>.</w:t>
      </w:r>
    </w:p>
    <w:p w:rsidR="00DC3FD4" w:rsidRDefault="00DC3FD4">
      <w:pPr>
        <w:spacing w:line="360" w:lineRule="auto"/>
        <w:ind w:firstLine="720"/>
        <w:jc w:val="both"/>
        <w:rPr>
          <w:sz w:val="26"/>
          <w:szCs w:val="26"/>
          <w:lang w:val="lt-LT"/>
        </w:rPr>
      </w:pPr>
    </w:p>
    <w:p w:rsidR="000B31F5" w:rsidRPr="00921D79" w:rsidRDefault="000B31F5">
      <w:pPr>
        <w:spacing w:line="360" w:lineRule="auto"/>
        <w:ind w:firstLine="720"/>
        <w:jc w:val="both"/>
        <w:rPr>
          <w:sz w:val="26"/>
          <w:szCs w:val="26"/>
          <w:lang w:val="lt-LT"/>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418"/>
        <w:gridCol w:w="1417"/>
        <w:gridCol w:w="1418"/>
        <w:gridCol w:w="1417"/>
        <w:gridCol w:w="1418"/>
      </w:tblGrid>
      <w:tr w:rsidR="009B6941" w:rsidRPr="00921D79" w:rsidTr="0001429F">
        <w:trPr>
          <w:cantSplit/>
        </w:trPr>
        <w:tc>
          <w:tcPr>
            <w:tcW w:w="1384" w:type="dxa"/>
            <w:vMerge w:val="restart"/>
            <w:vAlign w:val="center"/>
          </w:tcPr>
          <w:p w:rsidR="009B6941" w:rsidRPr="00921D79" w:rsidRDefault="009B6941" w:rsidP="00921D79">
            <w:pPr>
              <w:jc w:val="center"/>
              <w:rPr>
                <w:b/>
                <w:sz w:val="22"/>
                <w:szCs w:val="22"/>
                <w:lang w:val="lt-LT"/>
              </w:rPr>
            </w:pPr>
            <w:r w:rsidRPr="00921D79">
              <w:rPr>
                <w:b/>
                <w:sz w:val="22"/>
                <w:szCs w:val="22"/>
                <w:lang w:val="lt-LT"/>
              </w:rPr>
              <w:lastRenderedPageBreak/>
              <w:t>AUDITO VEIKSMAI</w:t>
            </w:r>
          </w:p>
        </w:tc>
        <w:tc>
          <w:tcPr>
            <w:tcW w:w="7088" w:type="dxa"/>
            <w:gridSpan w:val="5"/>
            <w:vAlign w:val="center"/>
          </w:tcPr>
          <w:p w:rsidR="009B6941" w:rsidRPr="00921D79" w:rsidRDefault="009B6941">
            <w:pPr>
              <w:spacing w:line="360" w:lineRule="auto"/>
              <w:jc w:val="center"/>
              <w:rPr>
                <w:b/>
                <w:sz w:val="22"/>
                <w:szCs w:val="22"/>
                <w:lang w:val="lt-LT"/>
              </w:rPr>
            </w:pPr>
            <w:r w:rsidRPr="00921D79">
              <w:rPr>
                <w:b/>
                <w:sz w:val="22"/>
                <w:szCs w:val="22"/>
                <w:lang w:val="lt-LT"/>
              </w:rPr>
              <w:t>AUDITO ETAPAI</w:t>
            </w:r>
          </w:p>
        </w:tc>
      </w:tr>
      <w:tr w:rsidR="0001429F" w:rsidRPr="00921D79" w:rsidTr="005065DA">
        <w:trPr>
          <w:cantSplit/>
          <w:trHeight w:val="1738"/>
        </w:trPr>
        <w:tc>
          <w:tcPr>
            <w:tcW w:w="1384" w:type="dxa"/>
            <w:vMerge/>
          </w:tcPr>
          <w:p w:rsidR="009B6941" w:rsidRPr="00921D79" w:rsidRDefault="009B6941">
            <w:pPr>
              <w:spacing w:line="360" w:lineRule="auto"/>
              <w:jc w:val="both"/>
              <w:rPr>
                <w:b/>
                <w:sz w:val="22"/>
                <w:szCs w:val="22"/>
                <w:lang w:val="lt-LT"/>
              </w:rPr>
            </w:pPr>
          </w:p>
        </w:tc>
        <w:tc>
          <w:tcPr>
            <w:tcW w:w="1418" w:type="dxa"/>
            <w:textDirection w:val="btLr"/>
            <w:vAlign w:val="center"/>
          </w:tcPr>
          <w:p w:rsidR="009B6941" w:rsidRPr="00921D79" w:rsidRDefault="009B6941" w:rsidP="0001429F">
            <w:pPr>
              <w:ind w:left="113" w:right="113"/>
              <w:jc w:val="center"/>
              <w:rPr>
                <w:b/>
                <w:sz w:val="22"/>
                <w:szCs w:val="22"/>
                <w:lang w:val="lt-LT"/>
              </w:rPr>
            </w:pPr>
            <w:r w:rsidRPr="00921D79">
              <w:rPr>
                <w:b/>
                <w:sz w:val="22"/>
                <w:szCs w:val="22"/>
                <w:lang w:val="lt-LT"/>
              </w:rPr>
              <w:t>Susipažinimas su klientu</w:t>
            </w:r>
          </w:p>
        </w:tc>
        <w:tc>
          <w:tcPr>
            <w:tcW w:w="1417" w:type="dxa"/>
            <w:textDirection w:val="btLr"/>
            <w:vAlign w:val="center"/>
          </w:tcPr>
          <w:p w:rsidR="009B6941" w:rsidRPr="00921D79" w:rsidRDefault="009B6941" w:rsidP="0001429F">
            <w:pPr>
              <w:ind w:left="113" w:right="113"/>
              <w:jc w:val="center"/>
              <w:rPr>
                <w:b/>
                <w:sz w:val="22"/>
                <w:szCs w:val="22"/>
                <w:lang w:val="lt-LT"/>
              </w:rPr>
            </w:pPr>
            <w:r w:rsidRPr="00921D79">
              <w:rPr>
                <w:b/>
                <w:sz w:val="22"/>
                <w:szCs w:val="22"/>
                <w:lang w:val="lt-LT"/>
              </w:rPr>
              <w:t>Audito planavimas</w:t>
            </w:r>
          </w:p>
        </w:tc>
        <w:tc>
          <w:tcPr>
            <w:tcW w:w="1418" w:type="dxa"/>
            <w:textDirection w:val="btLr"/>
            <w:vAlign w:val="center"/>
          </w:tcPr>
          <w:p w:rsidR="009B6941" w:rsidRPr="00921D79" w:rsidRDefault="009B6941" w:rsidP="0001429F">
            <w:pPr>
              <w:ind w:left="113" w:right="113"/>
              <w:jc w:val="center"/>
              <w:rPr>
                <w:b/>
                <w:sz w:val="22"/>
                <w:szCs w:val="22"/>
                <w:lang w:val="lt-LT"/>
              </w:rPr>
            </w:pPr>
            <w:r w:rsidRPr="00921D79">
              <w:rPr>
                <w:b/>
                <w:sz w:val="22"/>
                <w:szCs w:val="22"/>
                <w:lang w:val="lt-LT"/>
              </w:rPr>
              <w:t>Kontrolės tyrimas</w:t>
            </w:r>
          </w:p>
        </w:tc>
        <w:tc>
          <w:tcPr>
            <w:tcW w:w="1417" w:type="dxa"/>
            <w:textDirection w:val="btLr"/>
            <w:vAlign w:val="center"/>
          </w:tcPr>
          <w:p w:rsidR="009B6941" w:rsidRPr="00921D79" w:rsidRDefault="00824F77" w:rsidP="0001429F">
            <w:pPr>
              <w:ind w:left="113" w:right="113"/>
              <w:jc w:val="center"/>
              <w:rPr>
                <w:b/>
                <w:sz w:val="22"/>
                <w:szCs w:val="22"/>
                <w:lang w:val="lt-LT"/>
              </w:rPr>
            </w:pPr>
            <w:r w:rsidRPr="00921D79">
              <w:rPr>
                <w:b/>
                <w:sz w:val="22"/>
                <w:szCs w:val="22"/>
                <w:lang w:val="lt-LT"/>
              </w:rPr>
              <w:t>Detalus tikrinimas</w:t>
            </w:r>
          </w:p>
        </w:tc>
        <w:tc>
          <w:tcPr>
            <w:tcW w:w="1418" w:type="dxa"/>
            <w:textDirection w:val="btLr"/>
            <w:vAlign w:val="center"/>
          </w:tcPr>
          <w:p w:rsidR="009B6941" w:rsidRPr="00921D79" w:rsidRDefault="009B6941" w:rsidP="0001429F">
            <w:pPr>
              <w:ind w:left="113" w:right="113"/>
              <w:jc w:val="center"/>
              <w:rPr>
                <w:b/>
                <w:sz w:val="22"/>
                <w:szCs w:val="22"/>
                <w:lang w:val="lt-LT"/>
              </w:rPr>
            </w:pPr>
            <w:r w:rsidRPr="00921D79">
              <w:rPr>
                <w:b/>
                <w:sz w:val="22"/>
                <w:szCs w:val="22"/>
                <w:lang w:val="lt-LT"/>
              </w:rPr>
              <w:t>Nuomonės formulavimas</w:t>
            </w:r>
          </w:p>
        </w:tc>
      </w:tr>
      <w:tr w:rsidR="0001429F" w:rsidRPr="00921D79" w:rsidTr="005065DA">
        <w:tc>
          <w:tcPr>
            <w:tcW w:w="1384" w:type="dxa"/>
          </w:tcPr>
          <w:p w:rsidR="009B6941" w:rsidRPr="00921D79" w:rsidRDefault="009B6941">
            <w:pPr>
              <w:jc w:val="both"/>
              <w:rPr>
                <w:b/>
                <w:sz w:val="22"/>
                <w:szCs w:val="22"/>
                <w:lang w:val="lt-LT"/>
              </w:rPr>
            </w:pPr>
            <w:r w:rsidRPr="00921D79">
              <w:rPr>
                <w:b/>
                <w:sz w:val="22"/>
                <w:szCs w:val="22"/>
                <w:lang w:val="lt-LT"/>
              </w:rPr>
              <w:t>Planavimas</w:t>
            </w:r>
          </w:p>
        </w:tc>
        <w:tc>
          <w:tcPr>
            <w:tcW w:w="1418" w:type="dxa"/>
          </w:tcPr>
          <w:p w:rsidR="009B6941" w:rsidRPr="00921D79" w:rsidRDefault="009B6941" w:rsidP="0001429F">
            <w:pPr>
              <w:jc w:val="center"/>
              <w:rPr>
                <w:sz w:val="22"/>
                <w:szCs w:val="22"/>
                <w:lang w:val="lt-LT"/>
              </w:rPr>
            </w:pPr>
            <w:r w:rsidRPr="00921D79">
              <w:rPr>
                <w:sz w:val="22"/>
                <w:szCs w:val="22"/>
                <w:lang w:val="lt-LT"/>
              </w:rPr>
              <w:t xml:space="preserve">strateginis </w:t>
            </w:r>
          </w:p>
        </w:tc>
        <w:tc>
          <w:tcPr>
            <w:tcW w:w="1417" w:type="dxa"/>
          </w:tcPr>
          <w:p w:rsidR="009B6941" w:rsidRPr="00921D79" w:rsidRDefault="0025219E" w:rsidP="0001429F">
            <w:pPr>
              <w:jc w:val="center"/>
              <w:rPr>
                <w:sz w:val="22"/>
                <w:szCs w:val="22"/>
                <w:lang w:val="lt-LT"/>
              </w:rPr>
            </w:pPr>
            <w:r w:rsidRPr="00921D79">
              <w:rPr>
                <w:sz w:val="22"/>
                <w:szCs w:val="22"/>
                <w:lang w:val="lt-LT"/>
              </w:rPr>
              <w:t>t</w:t>
            </w:r>
            <w:r w:rsidR="009B6941" w:rsidRPr="00921D79">
              <w:rPr>
                <w:sz w:val="22"/>
                <w:szCs w:val="22"/>
                <w:lang w:val="lt-LT"/>
              </w:rPr>
              <w:t xml:space="preserve">aktinis </w:t>
            </w:r>
          </w:p>
        </w:tc>
        <w:tc>
          <w:tcPr>
            <w:tcW w:w="1418" w:type="dxa"/>
          </w:tcPr>
          <w:p w:rsidR="009B6941" w:rsidRPr="00921D79" w:rsidRDefault="009B6941" w:rsidP="0001429F">
            <w:pPr>
              <w:jc w:val="center"/>
              <w:rPr>
                <w:sz w:val="22"/>
                <w:szCs w:val="22"/>
                <w:lang w:val="lt-LT"/>
              </w:rPr>
            </w:pPr>
            <w:r w:rsidRPr="00921D79">
              <w:rPr>
                <w:sz w:val="22"/>
                <w:szCs w:val="22"/>
                <w:lang w:val="lt-LT"/>
              </w:rPr>
              <w:t xml:space="preserve">operatyvinis </w:t>
            </w:r>
          </w:p>
        </w:tc>
        <w:tc>
          <w:tcPr>
            <w:tcW w:w="1417" w:type="dxa"/>
          </w:tcPr>
          <w:p w:rsidR="009B6941" w:rsidRPr="00921D79" w:rsidRDefault="009B6941" w:rsidP="0001429F">
            <w:pPr>
              <w:jc w:val="center"/>
              <w:rPr>
                <w:sz w:val="22"/>
                <w:szCs w:val="22"/>
                <w:lang w:val="lt-LT"/>
              </w:rPr>
            </w:pPr>
            <w:r w:rsidRPr="00921D79">
              <w:rPr>
                <w:sz w:val="22"/>
                <w:szCs w:val="22"/>
                <w:lang w:val="lt-LT"/>
              </w:rPr>
              <w:t xml:space="preserve">operatyvinis </w:t>
            </w:r>
          </w:p>
        </w:tc>
        <w:tc>
          <w:tcPr>
            <w:tcW w:w="1418" w:type="dxa"/>
          </w:tcPr>
          <w:p w:rsidR="009B6941" w:rsidRPr="00921D79" w:rsidRDefault="009B6941" w:rsidP="0001429F">
            <w:pPr>
              <w:jc w:val="center"/>
              <w:rPr>
                <w:sz w:val="22"/>
                <w:szCs w:val="22"/>
                <w:lang w:val="lt-LT"/>
              </w:rPr>
            </w:pPr>
            <w:r w:rsidRPr="00921D79">
              <w:rPr>
                <w:sz w:val="22"/>
                <w:szCs w:val="22"/>
                <w:lang w:val="lt-LT"/>
              </w:rPr>
              <w:t xml:space="preserve">operatyvinis </w:t>
            </w:r>
          </w:p>
        </w:tc>
      </w:tr>
      <w:tr w:rsidR="0001429F" w:rsidRPr="00921D79" w:rsidTr="005065DA">
        <w:tc>
          <w:tcPr>
            <w:tcW w:w="1384" w:type="dxa"/>
          </w:tcPr>
          <w:p w:rsidR="009B6941" w:rsidRPr="00921D79" w:rsidRDefault="009B6941">
            <w:pPr>
              <w:jc w:val="both"/>
              <w:rPr>
                <w:b/>
                <w:sz w:val="22"/>
                <w:szCs w:val="22"/>
                <w:lang w:val="lt-LT"/>
              </w:rPr>
            </w:pPr>
            <w:r w:rsidRPr="00921D79">
              <w:rPr>
                <w:b/>
                <w:sz w:val="22"/>
                <w:szCs w:val="22"/>
                <w:lang w:val="lt-LT"/>
              </w:rPr>
              <w:t>Įrodymų rinkimas</w:t>
            </w:r>
          </w:p>
        </w:tc>
        <w:tc>
          <w:tcPr>
            <w:tcW w:w="1418" w:type="dxa"/>
          </w:tcPr>
          <w:p w:rsidR="009B6941" w:rsidRPr="00921D79" w:rsidRDefault="009B6941">
            <w:pPr>
              <w:jc w:val="center"/>
              <w:rPr>
                <w:sz w:val="22"/>
                <w:szCs w:val="22"/>
                <w:lang w:val="lt-LT"/>
              </w:rPr>
            </w:pPr>
            <w:r w:rsidRPr="00921D79">
              <w:rPr>
                <w:sz w:val="22"/>
                <w:szCs w:val="22"/>
                <w:lang w:val="lt-LT"/>
              </w:rPr>
              <w:t>preliminarios žinios apie verslą</w:t>
            </w:r>
          </w:p>
        </w:tc>
        <w:tc>
          <w:tcPr>
            <w:tcW w:w="1417" w:type="dxa"/>
          </w:tcPr>
          <w:p w:rsidR="009B6941" w:rsidRPr="00921D79" w:rsidRDefault="009B6941">
            <w:pPr>
              <w:jc w:val="center"/>
              <w:rPr>
                <w:sz w:val="22"/>
                <w:szCs w:val="22"/>
                <w:lang w:val="lt-LT"/>
              </w:rPr>
            </w:pPr>
            <w:r w:rsidRPr="00921D79">
              <w:rPr>
                <w:sz w:val="22"/>
                <w:szCs w:val="22"/>
                <w:lang w:val="lt-LT"/>
              </w:rPr>
              <w:t>išsamios žinios apie verslą</w:t>
            </w:r>
          </w:p>
        </w:tc>
        <w:tc>
          <w:tcPr>
            <w:tcW w:w="1418" w:type="dxa"/>
          </w:tcPr>
          <w:p w:rsidR="009B6941" w:rsidRPr="00921D79" w:rsidRDefault="0025219E" w:rsidP="0001429F">
            <w:pPr>
              <w:jc w:val="center"/>
              <w:rPr>
                <w:sz w:val="22"/>
                <w:szCs w:val="22"/>
                <w:lang w:val="lt-LT"/>
              </w:rPr>
            </w:pPr>
            <w:r w:rsidRPr="00921D79">
              <w:rPr>
                <w:sz w:val="22"/>
                <w:szCs w:val="22"/>
                <w:lang w:val="lt-LT"/>
              </w:rPr>
              <w:t>k</w:t>
            </w:r>
            <w:r w:rsidR="009B6941" w:rsidRPr="00921D79">
              <w:rPr>
                <w:sz w:val="22"/>
                <w:szCs w:val="22"/>
                <w:lang w:val="lt-LT"/>
              </w:rPr>
              <w:t xml:space="preserve">ontrolės </w:t>
            </w:r>
            <w:r w:rsidR="0078372D" w:rsidRPr="00921D79">
              <w:rPr>
                <w:sz w:val="22"/>
                <w:szCs w:val="22"/>
                <w:lang w:val="lt-LT"/>
              </w:rPr>
              <w:t>veik</w:t>
            </w:r>
            <w:r w:rsidR="0001429F">
              <w:rPr>
                <w:sz w:val="22"/>
                <w:szCs w:val="22"/>
                <w:lang w:val="lt-LT"/>
              </w:rPr>
              <w:t>imas</w:t>
            </w:r>
          </w:p>
        </w:tc>
        <w:tc>
          <w:tcPr>
            <w:tcW w:w="1417" w:type="dxa"/>
          </w:tcPr>
          <w:p w:rsidR="009B6941" w:rsidRPr="00921D79" w:rsidRDefault="009B6941">
            <w:pPr>
              <w:jc w:val="center"/>
              <w:rPr>
                <w:sz w:val="22"/>
                <w:szCs w:val="22"/>
                <w:lang w:val="lt-LT"/>
              </w:rPr>
            </w:pPr>
            <w:r w:rsidRPr="00921D79">
              <w:rPr>
                <w:sz w:val="22"/>
                <w:szCs w:val="22"/>
                <w:lang w:val="lt-LT"/>
              </w:rPr>
              <w:t>svarbių faktų</w:t>
            </w:r>
          </w:p>
          <w:p w:rsidR="009B6941" w:rsidRPr="00921D79" w:rsidRDefault="009B6941">
            <w:pPr>
              <w:jc w:val="center"/>
              <w:rPr>
                <w:sz w:val="22"/>
                <w:szCs w:val="22"/>
                <w:lang w:val="lt-LT"/>
              </w:rPr>
            </w:pPr>
            <w:r w:rsidRPr="00921D79">
              <w:rPr>
                <w:sz w:val="22"/>
                <w:szCs w:val="22"/>
                <w:lang w:val="lt-LT"/>
              </w:rPr>
              <w:t>nepriklauso-</w:t>
            </w:r>
          </w:p>
          <w:p w:rsidR="009B6941" w:rsidRPr="00921D79" w:rsidRDefault="009B6941">
            <w:pPr>
              <w:jc w:val="center"/>
              <w:rPr>
                <w:sz w:val="22"/>
                <w:szCs w:val="22"/>
                <w:lang w:val="lt-LT"/>
              </w:rPr>
            </w:pPr>
            <w:r w:rsidRPr="00921D79">
              <w:rPr>
                <w:sz w:val="22"/>
                <w:szCs w:val="22"/>
                <w:lang w:val="lt-LT"/>
              </w:rPr>
              <w:t>mumas</w:t>
            </w:r>
          </w:p>
        </w:tc>
        <w:tc>
          <w:tcPr>
            <w:tcW w:w="1418" w:type="dxa"/>
          </w:tcPr>
          <w:p w:rsidR="009B6941" w:rsidRPr="00921D79" w:rsidRDefault="0025219E">
            <w:pPr>
              <w:jc w:val="center"/>
              <w:rPr>
                <w:sz w:val="22"/>
                <w:szCs w:val="22"/>
                <w:lang w:val="lt-LT"/>
              </w:rPr>
            </w:pPr>
            <w:r w:rsidRPr="00921D79">
              <w:rPr>
                <w:sz w:val="22"/>
                <w:szCs w:val="22"/>
                <w:lang w:val="lt-LT"/>
              </w:rPr>
              <w:t>v</w:t>
            </w:r>
            <w:r w:rsidR="009B6941" w:rsidRPr="00921D79">
              <w:rPr>
                <w:sz w:val="22"/>
                <w:szCs w:val="22"/>
                <w:lang w:val="lt-LT"/>
              </w:rPr>
              <w:t>isuma auditoriaus žinių apie klientą</w:t>
            </w:r>
          </w:p>
        </w:tc>
      </w:tr>
      <w:tr w:rsidR="0001429F" w:rsidRPr="00921D79" w:rsidTr="005065DA">
        <w:tc>
          <w:tcPr>
            <w:tcW w:w="1384" w:type="dxa"/>
          </w:tcPr>
          <w:p w:rsidR="009B6941" w:rsidRPr="00921D79" w:rsidRDefault="009B6941">
            <w:pPr>
              <w:jc w:val="both"/>
              <w:rPr>
                <w:b/>
                <w:sz w:val="22"/>
                <w:szCs w:val="22"/>
                <w:lang w:val="lt-LT"/>
              </w:rPr>
            </w:pPr>
            <w:r w:rsidRPr="00921D79">
              <w:rPr>
                <w:b/>
                <w:sz w:val="22"/>
                <w:szCs w:val="22"/>
                <w:lang w:val="lt-LT"/>
              </w:rPr>
              <w:t>Įrodymų vertinimas</w:t>
            </w:r>
          </w:p>
        </w:tc>
        <w:tc>
          <w:tcPr>
            <w:tcW w:w="1418" w:type="dxa"/>
          </w:tcPr>
          <w:p w:rsidR="009B6941" w:rsidRPr="00921D79" w:rsidRDefault="009B6941">
            <w:pPr>
              <w:jc w:val="center"/>
              <w:rPr>
                <w:sz w:val="22"/>
                <w:szCs w:val="22"/>
                <w:lang w:val="lt-LT"/>
              </w:rPr>
            </w:pPr>
            <w:r w:rsidRPr="00921D79">
              <w:rPr>
                <w:sz w:val="22"/>
                <w:szCs w:val="22"/>
                <w:lang w:val="lt-LT"/>
              </w:rPr>
              <w:t>AR</w:t>
            </w:r>
            <w:r w:rsidRPr="00921D79">
              <w:rPr>
                <w:sz w:val="22"/>
                <w:szCs w:val="22"/>
                <w:vertAlign w:val="subscript"/>
                <w:lang w:val="lt-LT"/>
              </w:rPr>
              <w:t>1</w:t>
            </w:r>
            <w:r w:rsidRPr="00921D79">
              <w:rPr>
                <w:sz w:val="22"/>
                <w:szCs w:val="22"/>
                <w:lang w:val="lt-LT"/>
              </w:rPr>
              <w:t>*</w:t>
            </w:r>
            <w:r w:rsidRPr="00921D79">
              <w:rPr>
                <w:sz w:val="22"/>
                <w:szCs w:val="22"/>
                <w:vertAlign w:val="subscript"/>
                <w:lang w:val="lt-LT"/>
              </w:rPr>
              <w:t xml:space="preserve"> </w:t>
            </w:r>
            <w:r w:rsidRPr="00921D79">
              <w:rPr>
                <w:sz w:val="22"/>
                <w:szCs w:val="22"/>
                <w:lang w:val="lt-LT"/>
              </w:rPr>
              <w:t>~AR</w:t>
            </w:r>
            <w:r w:rsidRPr="00921D79">
              <w:rPr>
                <w:sz w:val="22"/>
                <w:szCs w:val="22"/>
                <w:vertAlign w:val="subscript"/>
                <w:lang w:val="lt-LT"/>
              </w:rPr>
              <w:t>1</w:t>
            </w:r>
          </w:p>
        </w:tc>
        <w:tc>
          <w:tcPr>
            <w:tcW w:w="1417" w:type="dxa"/>
          </w:tcPr>
          <w:p w:rsidR="009B6941" w:rsidRPr="00921D79" w:rsidRDefault="009B6941">
            <w:pPr>
              <w:jc w:val="center"/>
              <w:rPr>
                <w:sz w:val="22"/>
                <w:szCs w:val="22"/>
                <w:lang w:val="lt-LT"/>
              </w:rPr>
            </w:pPr>
            <w:r w:rsidRPr="00921D79">
              <w:rPr>
                <w:sz w:val="22"/>
                <w:szCs w:val="22"/>
                <w:lang w:val="lt-LT"/>
              </w:rPr>
              <w:t>DR</w:t>
            </w:r>
            <w:r w:rsidRPr="00921D79">
              <w:rPr>
                <w:sz w:val="22"/>
                <w:szCs w:val="22"/>
                <w:vertAlign w:val="subscript"/>
                <w:lang w:val="lt-LT"/>
              </w:rPr>
              <w:t>2</w:t>
            </w:r>
            <w:r w:rsidRPr="00921D79">
              <w:rPr>
                <w:sz w:val="22"/>
                <w:szCs w:val="22"/>
                <w:lang w:val="lt-LT"/>
              </w:rPr>
              <w:t>*=AR</w:t>
            </w:r>
            <w:r w:rsidRPr="00921D79">
              <w:rPr>
                <w:sz w:val="22"/>
                <w:szCs w:val="22"/>
                <w:vertAlign w:val="subscript"/>
                <w:lang w:val="lt-LT"/>
              </w:rPr>
              <w:t>2</w:t>
            </w:r>
            <w:r w:rsidRPr="00921D79">
              <w:rPr>
                <w:sz w:val="22"/>
                <w:szCs w:val="22"/>
                <w:lang w:val="lt-LT"/>
              </w:rPr>
              <w:t>*/ IR</w:t>
            </w:r>
            <w:r w:rsidRPr="00921D79">
              <w:rPr>
                <w:sz w:val="22"/>
                <w:szCs w:val="22"/>
                <w:vertAlign w:val="subscript"/>
                <w:lang w:val="lt-LT"/>
              </w:rPr>
              <w:t xml:space="preserve">2 </w:t>
            </w:r>
            <w:r w:rsidR="00BB333E">
              <w:rPr>
                <w:sz w:val="22"/>
                <w:szCs w:val="22"/>
                <w:lang w:val="lt-LT"/>
              </w:rPr>
              <w:t xml:space="preserve">x </w:t>
            </w:r>
            <w:r w:rsidRPr="00921D79">
              <w:rPr>
                <w:sz w:val="22"/>
                <w:szCs w:val="22"/>
                <w:lang w:val="lt-LT"/>
              </w:rPr>
              <w:t>CR</w:t>
            </w:r>
            <w:r w:rsidRPr="00921D79">
              <w:rPr>
                <w:sz w:val="22"/>
                <w:szCs w:val="22"/>
                <w:vertAlign w:val="subscript"/>
                <w:lang w:val="lt-LT"/>
              </w:rPr>
              <w:t>2</w:t>
            </w:r>
          </w:p>
        </w:tc>
        <w:tc>
          <w:tcPr>
            <w:tcW w:w="1418" w:type="dxa"/>
          </w:tcPr>
          <w:p w:rsidR="009B6941" w:rsidRPr="00921D79" w:rsidRDefault="009B6941">
            <w:pPr>
              <w:jc w:val="center"/>
              <w:rPr>
                <w:sz w:val="22"/>
                <w:szCs w:val="22"/>
                <w:lang w:val="lt-LT"/>
              </w:rPr>
            </w:pPr>
            <w:r w:rsidRPr="00921D79">
              <w:rPr>
                <w:sz w:val="22"/>
                <w:szCs w:val="22"/>
                <w:lang w:val="lt-LT"/>
              </w:rPr>
              <w:t>CR</w:t>
            </w:r>
            <w:r w:rsidRPr="00921D79">
              <w:rPr>
                <w:sz w:val="22"/>
                <w:szCs w:val="22"/>
                <w:vertAlign w:val="subscript"/>
                <w:lang w:val="lt-LT"/>
              </w:rPr>
              <w:t xml:space="preserve">2 </w:t>
            </w:r>
            <w:r w:rsidRPr="00921D79">
              <w:rPr>
                <w:sz w:val="22"/>
                <w:szCs w:val="22"/>
                <w:lang w:val="lt-LT"/>
              </w:rPr>
              <w:t>~CR</w:t>
            </w:r>
            <w:r w:rsidRPr="00921D79">
              <w:rPr>
                <w:sz w:val="22"/>
                <w:szCs w:val="22"/>
                <w:vertAlign w:val="subscript"/>
                <w:lang w:val="lt-LT"/>
              </w:rPr>
              <w:t>3</w:t>
            </w:r>
          </w:p>
        </w:tc>
        <w:tc>
          <w:tcPr>
            <w:tcW w:w="1417" w:type="dxa"/>
          </w:tcPr>
          <w:p w:rsidR="009B6941" w:rsidRPr="00921D79" w:rsidRDefault="009B6941">
            <w:pPr>
              <w:jc w:val="center"/>
              <w:rPr>
                <w:sz w:val="22"/>
                <w:szCs w:val="22"/>
                <w:lang w:val="lt-LT"/>
              </w:rPr>
            </w:pPr>
            <w:r w:rsidRPr="00921D79">
              <w:rPr>
                <w:sz w:val="22"/>
                <w:szCs w:val="22"/>
                <w:lang w:val="lt-LT"/>
              </w:rPr>
              <w:t>AR</w:t>
            </w:r>
            <w:r w:rsidRPr="00921D79">
              <w:rPr>
                <w:sz w:val="22"/>
                <w:szCs w:val="22"/>
                <w:vertAlign w:val="subscript"/>
                <w:lang w:val="lt-LT"/>
              </w:rPr>
              <w:t>4</w:t>
            </w:r>
            <w:r w:rsidRPr="00921D79">
              <w:rPr>
                <w:sz w:val="22"/>
                <w:szCs w:val="22"/>
                <w:lang w:val="lt-LT"/>
              </w:rPr>
              <w:t>*</w:t>
            </w:r>
            <w:r w:rsidRPr="00921D79">
              <w:rPr>
                <w:sz w:val="22"/>
                <w:szCs w:val="22"/>
                <w:vertAlign w:val="subscript"/>
                <w:lang w:val="lt-LT"/>
              </w:rPr>
              <w:t xml:space="preserve"> </w:t>
            </w:r>
            <w:r w:rsidRPr="00921D79">
              <w:rPr>
                <w:sz w:val="22"/>
                <w:szCs w:val="22"/>
                <w:lang w:val="lt-LT"/>
              </w:rPr>
              <w:t>~AR</w:t>
            </w:r>
            <w:r w:rsidRPr="00921D79">
              <w:rPr>
                <w:sz w:val="22"/>
                <w:szCs w:val="22"/>
                <w:vertAlign w:val="subscript"/>
                <w:lang w:val="lt-LT"/>
              </w:rPr>
              <w:t>4</w:t>
            </w:r>
          </w:p>
        </w:tc>
        <w:tc>
          <w:tcPr>
            <w:tcW w:w="1418" w:type="dxa"/>
          </w:tcPr>
          <w:p w:rsidR="009B6941" w:rsidRPr="00921D79" w:rsidRDefault="009B6941">
            <w:pPr>
              <w:jc w:val="center"/>
              <w:rPr>
                <w:sz w:val="22"/>
                <w:szCs w:val="22"/>
                <w:lang w:val="lt-LT"/>
              </w:rPr>
            </w:pPr>
            <w:r w:rsidRPr="00921D79">
              <w:rPr>
                <w:sz w:val="22"/>
                <w:szCs w:val="22"/>
                <w:lang w:val="lt-LT"/>
              </w:rPr>
              <w:t>AR</w:t>
            </w:r>
            <w:r w:rsidRPr="00921D79">
              <w:rPr>
                <w:sz w:val="22"/>
                <w:szCs w:val="22"/>
                <w:vertAlign w:val="subscript"/>
                <w:lang w:val="lt-LT"/>
              </w:rPr>
              <w:t>5</w:t>
            </w:r>
            <w:r w:rsidRPr="00921D79">
              <w:rPr>
                <w:sz w:val="22"/>
                <w:szCs w:val="22"/>
                <w:lang w:val="lt-LT"/>
              </w:rPr>
              <w:t>*</w:t>
            </w:r>
            <w:r w:rsidRPr="00921D79">
              <w:rPr>
                <w:sz w:val="22"/>
                <w:szCs w:val="22"/>
                <w:vertAlign w:val="subscript"/>
                <w:lang w:val="lt-LT"/>
              </w:rPr>
              <w:t xml:space="preserve"> </w:t>
            </w:r>
            <w:r w:rsidRPr="00921D79">
              <w:rPr>
                <w:sz w:val="22"/>
                <w:szCs w:val="22"/>
                <w:lang w:val="lt-LT"/>
              </w:rPr>
              <w:t>~AR</w:t>
            </w:r>
            <w:r w:rsidRPr="00921D79">
              <w:rPr>
                <w:sz w:val="22"/>
                <w:szCs w:val="22"/>
                <w:vertAlign w:val="subscript"/>
                <w:lang w:val="lt-LT"/>
              </w:rPr>
              <w:t>5</w:t>
            </w:r>
          </w:p>
        </w:tc>
      </w:tr>
      <w:tr w:rsidR="0001429F" w:rsidRPr="00921D79" w:rsidTr="005065DA">
        <w:trPr>
          <w:trHeight w:val="497"/>
        </w:trPr>
        <w:tc>
          <w:tcPr>
            <w:tcW w:w="1384" w:type="dxa"/>
          </w:tcPr>
          <w:p w:rsidR="009B6941" w:rsidRPr="00921D79" w:rsidRDefault="009B6941">
            <w:pPr>
              <w:jc w:val="both"/>
              <w:rPr>
                <w:b/>
                <w:sz w:val="22"/>
                <w:szCs w:val="22"/>
                <w:lang w:val="lt-LT"/>
              </w:rPr>
            </w:pPr>
            <w:r w:rsidRPr="00921D79">
              <w:rPr>
                <w:b/>
                <w:sz w:val="22"/>
                <w:szCs w:val="22"/>
                <w:lang w:val="lt-LT"/>
              </w:rPr>
              <w:t xml:space="preserve">Sprendimo priėmimas </w:t>
            </w:r>
          </w:p>
        </w:tc>
        <w:tc>
          <w:tcPr>
            <w:tcW w:w="1418" w:type="dxa"/>
          </w:tcPr>
          <w:p w:rsidR="0001429F" w:rsidRDefault="009B6941">
            <w:pPr>
              <w:jc w:val="center"/>
              <w:rPr>
                <w:sz w:val="22"/>
                <w:szCs w:val="22"/>
                <w:lang w:val="lt-LT"/>
              </w:rPr>
            </w:pPr>
            <w:r w:rsidRPr="00921D79">
              <w:rPr>
                <w:sz w:val="22"/>
                <w:szCs w:val="22"/>
                <w:lang w:val="lt-LT"/>
              </w:rPr>
              <w:t>priimti/</w:t>
            </w:r>
          </w:p>
          <w:p w:rsidR="009B6941" w:rsidRPr="00921D79" w:rsidRDefault="009B6941">
            <w:pPr>
              <w:jc w:val="center"/>
              <w:rPr>
                <w:sz w:val="22"/>
                <w:szCs w:val="22"/>
                <w:lang w:val="lt-LT"/>
              </w:rPr>
            </w:pPr>
            <w:r w:rsidRPr="00921D79">
              <w:rPr>
                <w:sz w:val="22"/>
                <w:szCs w:val="22"/>
                <w:lang w:val="lt-LT"/>
              </w:rPr>
              <w:t>atsisakyti</w:t>
            </w:r>
          </w:p>
        </w:tc>
        <w:tc>
          <w:tcPr>
            <w:tcW w:w="1417" w:type="dxa"/>
          </w:tcPr>
          <w:p w:rsidR="009B6941" w:rsidRPr="00921D79" w:rsidRDefault="009B6941">
            <w:pPr>
              <w:jc w:val="center"/>
              <w:rPr>
                <w:sz w:val="22"/>
                <w:szCs w:val="22"/>
                <w:lang w:val="lt-LT"/>
              </w:rPr>
            </w:pPr>
            <w:r w:rsidRPr="00921D79">
              <w:rPr>
                <w:sz w:val="22"/>
                <w:szCs w:val="22"/>
                <w:lang w:val="lt-LT"/>
              </w:rPr>
              <w:t xml:space="preserve">audito </w:t>
            </w:r>
            <w:r w:rsidR="00744EAF" w:rsidRPr="00921D79">
              <w:rPr>
                <w:sz w:val="22"/>
                <w:szCs w:val="22"/>
                <w:lang w:val="lt-LT"/>
              </w:rPr>
              <w:t>metodika</w:t>
            </w:r>
          </w:p>
          <w:p w:rsidR="000E44D8" w:rsidRPr="00921D79" w:rsidRDefault="000E44D8">
            <w:pPr>
              <w:jc w:val="center"/>
              <w:rPr>
                <w:sz w:val="22"/>
                <w:szCs w:val="22"/>
                <w:lang w:val="lt-LT"/>
              </w:rPr>
            </w:pPr>
          </w:p>
        </w:tc>
        <w:tc>
          <w:tcPr>
            <w:tcW w:w="1418" w:type="dxa"/>
          </w:tcPr>
          <w:p w:rsidR="009B6941" w:rsidRPr="00921D79" w:rsidRDefault="009B6941" w:rsidP="0001429F">
            <w:pPr>
              <w:jc w:val="center"/>
              <w:rPr>
                <w:sz w:val="22"/>
                <w:szCs w:val="22"/>
                <w:lang w:val="lt-LT"/>
              </w:rPr>
            </w:pPr>
            <w:r w:rsidRPr="00921D79">
              <w:rPr>
                <w:sz w:val="22"/>
                <w:szCs w:val="22"/>
                <w:lang w:val="lt-LT"/>
              </w:rPr>
              <w:t>pasikli</w:t>
            </w:r>
            <w:r w:rsidR="0001429F">
              <w:rPr>
                <w:sz w:val="22"/>
                <w:szCs w:val="22"/>
                <w:lang w:val="lt-LT"/>
              </w:rPr>
              <w:t>auti</w:t>
            </w:r>
            <w:r w:rsidRPr="00921D79">
              <w:rPr>
                <w:sz w:val="22"/>
                <w:szCs w:val="22"/>
                <w:lang w:val="lt-LT"/>
              </w:rPr>
              <w:t xml:space="preserve"> kontrole</w:t>
            </w:r>
          </w:p>
        </w:tc>
        <w:tc>
          <w:tcPr>
            <w:tcW w:w="1417" w:type="dxa"/>
          </w:tcPr>
          <w:p w:rsidR="009B6941" w:rsidRPr="00921D79" w:rsidRDefault="0025219E">
            <w:pPr>
              <w:jc w:val="center"/>
              <w:rPr>
                <w:sz w:val="22"/>
                <w:szCs w:val="22"/>
                <w:lang w:val="lt-LT"/>
              </w:rPr>
            </w:pPr>
            <w:r w:rsidRPr="00921D79">
              <w:rPr>
                <w:sz w:val="22"/>
                <w:szCs w:val="22"/>
                <w:lang w:val="lt-LT"/>
              </w:rPr>
              <w:t>i</w:t>
            </w:r>
            <w:r w:rsidR="009B6941" w:rsidRPr="00921D79">
              <w:rPr>
                <w:sz w:val="22"/>
                <w:szCs w:val="22"/>
                <w:lang w:val="lt-LT"/>
              </w:rPr>
              <w:t xml:space="preserve">švados pagal svarbius faktus </w:t>
            </w:r>
          </w:p>
        </w:tc>
        <w:tc>
          <w:tcPr>
            <w:tcW w:w="1418" w:type="dxa"/>
          </w:tcPr>
          <w:p w:rsidR="009B6941" w:rsidRPr="00921D79" w:rsidRDefault="009B6941">
            <w:pPr>
              <w:jc w:val="center"/>
              <w:rPr>
                <w:sz w:val="22"/>
                <w:szCs w:val="22"/>
                <w:lang w:val="lt-LT"/>
              </w:rPr>
            </w:pPr>
            <w:r w:rsidRPr="00921D79">
              <w:rPr>
                <w:sz w:val="22"/>
                <w:szCs w:val="22"/>
                <w:lang w:val="lt-LT"/>
              </w:rPr>
              <w:t>audito nuomonė</w:t>
            </w:r>
          </w:p>
        </w:tc>
      </w:tr>
    </w:tbl>
    <w:p w:rsidR="009B6941" w:rsidRPr="00FE380C" w:rsidRDefault="005065DA">
      <w:pPr>
        <w:jc w:val="both"/>
        <w:rPr>
          <w:lang w:val="lt-LT"/>
        </w:rPr>
      </w:pPr>
      <w:r>
        <w:rPr>
          <w:lang w:val="lt-LT"/>
        </w:rPr>
        <w:t xml:space="preserve">Pastaba: AR </w:t>
      </w:r>
      <w:r w:rsidR="00BB333E" w:rsidRPr="00FE380C">
        <w:rPr>
          <w:lang w:val="lt-LT"/>
        </w:rPr>
        <w:t xml:space="preserve">– </w:t>
      </w:r>
      <w:r w:rsidR="009B6941" w:rsidRPr="00FE380C">
        <w:rPr>
          <w:lang w:val="lt-LT"/>
        </w:rPr>
        <w:t>pasieki</w:t>
      </w:r>
      <w:r>
        <w:rPr>
          <w:lang w:val="lt-LT"/>
        </w:rPr>
        <w:t xml:space="preserve">amas audito rizikos lygis, AR* </w:t>
      </w:r>
      <w:r w:rsidR="00BB333E" w:rsidRPr="00FE380C">
        <w:rPr>
          <w:lang w:val="lt-LT"/>
        </w:rPr>
        <w:t xml:space="preserve">– </w:t>
      </w:r>
      <w:r w:rsidR="009B6941" w:rsidRPr="00FE380C">
        <w:rPr>
          <w:lang w:val="lt-LT"/>
        </w:rPr>
        <w:t>priimtinas audito rizikos lygis, DR</w:t>
      </w:r>
      <w:r w:rsidR="00BB333E" w:rsidRPr="00FE380C">
        <w:rPr>
          <w:lang w:val="lt-LT"/>
        </w:rPr>
        <w:t xml:space="preserve"> – </w:t>
      </w:r>
      <w:r w:rsidR="00BB333E">
        <w:rPr>
          <w:lang w:val="lt-LT"/>
        </w:rPr>
        <w:t>aptikimo rizika, DR*</w:t>
      </w:r>
      <w:r w:rsidR="00BB333E" w:rsidRPr="00FE380C">
        <w:rPr>
          <w:lang w:val="lt-LT"/>
        </w:rPr>
        <w:t xml:space="preserve"> – </w:t>
      </w:r>
      <w:r w:rsidR="009B6941" w:rsidRPr="00FE380C">
        <w:rPr>
          <w:lang w:val="lt-LT"/>
        </w:rPr>
        <w:t>leistinas aptikimo rizikos lygis, CR – kontrolės rizika, IR – įgimta rizika.</w:t>
      </w:r>
    </w:p>
    <w:p w:rsidR="009B6941" w:rsidRPr="00FE380C" w:rsidRDefault="009B6941">
      <w:pPr>
        <w:spacing w:line="360" w:lineRule="auto"/>
        <w:jc w:val="both"/>
        <w:rPr>
          <w:lang w:val="lt-LT"/>
        </w:rPr>
      </w:pPr>
      <w:r w:rsidRPr="00FE380C">
        <w:rPr>
          <w:lang w:val="lt-LT"/>
        </w:rPr>
        <w:t xml:space="preserve">Šaltinis: ABREMA </w:t>
      </w:r>
      <w:r w:rsidR="00015B73" w:rsidRPr="00FE380C">
        <w:rPr>
          <w:lang w:val="lt-LT"/>
        </w:rPr>
        <w:t>–</w:t>
      </w:r>
      <w:r w:rsidRPr="00FE380C">
        <w:rPr>
          <w:lang w:val="lt-LT"/>
        </w:rPr>
        <w:t xml:space="preserve"> </w:t>
      </w:r>
      <w:hyperlink r:id="rId12" w:history="1">
        <w:r w:rsidRPr="00FE380C">
          <w:rPr>
            <w:rStyle w:val="Hyperlink"/>
            <w:color w:val="auto"/>
            <w:u w:val="none"/>
            <w:lang w:val="lt-LT"/>
          </w:rPr>
          <w:t>http://www.abrema.net/abrema/</w:t>
        </w:r>
      </w:hyperlink>
      <w:r w:rsidRPr="00FE380C">
        <w:rPr>
          <w:rStyle w:val="terms"/>
          <w:lang w:val="lt-LT"/>
        </w:rPr>
        <w:t>.</w:t>
      </w:r>
    </w:p>
    <w:p w:rsidR="009B6941" w:rsidRPr="0001429F" w:rsidRDefault="00290BC2" w:rsidP="0001429F">
      <w:pPr>
        <w:spacing w:line="360" w:lineRule="auto"/>
        <w:jc w:val="center"/>
        <w:rPr>
          <w:b/>
          <w:sz w:val="26"/>
          <w:szCs w:val="26"/>
          <w:lang w:val="lt-LT"/>
        </w:rPr>
      </w:pPr>
      <w:r w:rsidRPr="0001429F">
        <w:rPr>
          <w:b/>
          <w:sz w:val="26"/>
          <w:szCs w:val="26"/>
          <w:lang w:val="lt-LT"/>
        </w:rPr>
        <w:t>1</w:t>
      </w:r>
      <w:r w:rsidR="00F726AC" w:rsidRPr="0001429F">
        <w:rPr>
          <w:b/>
          <w:sz w:val="26"/>
          <w:szCs w:val="26"/>
          <w:lang w:val="lt-LT"/>
        </w:rPr>
        <w:t>1</w:t>
      </w:r>
      <w:r w:rsidR="009B6941" w:rsidRPr="0001429F">
        <w:rPr>
          <w:b/>
          <w:sz w:val="26"/>
          <w:szCs w:val="26"/>
          <w:lang w:val="lt-LT"/>
        </w:rPr>
        <w:t xml:space="preserve"> pav. </w:t>
      </w:r>
      <w:r w:rsidR="003F4E9E" w:rsidRPr="0001429F">
        <w:rPr>
          <w:b/>
          <w:sz w:val="26"/>
          <w:szCs w:val="26"/>
          <w:lang w:val="lt-LT"/>
        </w:rPr>
        <w:t xml:space="preserve">Audito rizikos vertinimo procesas pagal </w:t>
      </w:r>
      <w:r w:rsidR="00D30AE5" w:rsidRPr="0001429F">
        <w:rPr>
          <w:b/>
          <w:sz w:val="26"/>
          <w:szCs w:val="26"/>
          <w:lang w:val="lt-LT"/>
        </w:rPr>
        <w:t xml:space="preserve">ABREMA </w:t>
      </w:r>
      <w:r w:rsidR="009B6941" w:rsidRPr="0001429F">
        <w:rPr>
          <w:b/>
          <w:sz w:val="26"/>
          <w:szCs w:val="26"/>
          <w:lang w:val="lt-LT"/>
        </w:rPr>
        <w:t>model</w:t>
      </w:r>
      <w:r w:rsidR="003F4E9E" w:rsidRPr="0001429F">
        <w:rPr>
          <w:b/>
          <w:sz w:val="26"/>
          <w:szCs w:val="26"/>
          <w:lang w:val="lt-LT"/>
        </w:rPr>
        <w:t>į</w:t>
      </w:r>
    </w:p>
    <w:p w:rsidR="003F4E9E" w:rsidRPr="0001429F" w:rsidRDefault="009B6941" w:rsidP="003F4E9E">
      <w:pPr>
        <w:spacing w:before="120" w:line="360" w:lineRule="auto"/>
        <w:ind w:firstLine="720"/>
        <w:jc w:val="both"/>
        <w:rPr>
          <w:sz w:val="26"/>
          <w:szCs w:val="26"/>
          <w:lang w:val="lt-LT"/>
        </w:rPr>
      </w:pPr>
      <w:r w:rsidRPr="0001429F">
        <w:rPr>
          <w:sz w:val="26"/>
          <w:szCs w:val="26"/>
          <w:u w:val="single"/>
          <w:lang w:val="lt-LT"/>
        </w:rPr>
        <w:t>Trūkumai ir pr</w:t>
      </w:r>
      <w:r w:rsidR="00905E53" w:rsidRPr="0001429F">
        <w:rPr>
          <w:sz w:val="26"/>
          <w:szCs w:val="26"/>
          <w:u w:val="single"/>
          <w:lang w:val="lt-LT"/>
        </w:rPr>
        <w:t>ivalumai</w:t>
      </w:r>
      <w:r w:rsidRPr="0001429F">
        <w:rPr>
          <w:sz w:val="26"/>
          <w:szCs w:val="26"/>
          <w:u w:val="single"/>
          <w:lang w:val="lt-LT"/>
        </w:rPr>
        <w:t>.</w:t>
      </w:r>
      <w:r w:rsidRPr="0001429F">
        <w:rPr>
          <w:sz w:val="26"/>
          <w:szCs w:val="26"/>
          <w:lang w:val="lt-LT"/>
        </w:rPr>
        <w:t xml:space="preserve"> Kadangi ABREMA modelis tapatinamas su klasikiniu audito rizikos modeliu, todėl ir ši</w:t>
      </w:r>
      <w:r w:rsidR="005F4665" w:rsidRPr="0001429F">
        <w:rPr>
          <w:sz w:val="26"/>
          <w:szCs w:val="26"/>
          <w:lang w:val="lt-LT"/>
        </w:rPr>
        <w:t>o</w:t>
      </w:r>
      <w:r w:rsidRPr="0001429F">
        <w:rPr>
          <w:sz w:val="26"/>
          <w:szCs w:val="26"/>
          <w:lang w:val="lt-LT"/>
        </w:rPr>
        <w:t xml:space="preserve"> modeli</w:t>
      </w:r>
      <w:r w:rsidR="005F4665" w:rsidRPr="0001429F">
        <w:rPr>
          <w:sz w:val="26"/>
          <w:szCs w:val="26"/>
          <w:lang w:val="lt-LT"/>
        </w:rPr>
        <w:t>o</w:t>
      </w:r>
      <w:r w:rsidRPr="0001429F">
        <w:rPr>
          <w:sz w:val="26"/>
          <w:szCs w:val="26"/>
          <w:lang w:val="lt-LT"/>
        </w:rPr>
        <w:t xml:space="preserve"> pr</w:t>
      </w:r>
      <w:r w:rsidR="00905E53" w:rsidRPr="0001429F">
        <w:rPr>
          <w:sz w:val="26"/>
          <w:szCs w:val="26"/>
          <w:lang w:val="lt-LT"/>
        </w:rPr>
        <w:t>ivalumai</w:t>
      </w:r>
      <w:r w:rsidRPr="0001429F">
        <w:rPr>
          <w:sz w:val="26"/>
          <w:szCs w:val="26"/>
          <w:lang w:val="lt-LT"/>
        </w:rPr>
        <w:t xml:space="preserve"> bei trūkumai yra </w:t>
      </w:r>
      <w:r w:rsidR="00080688" w:rsidRPr="0001429F">
        <w:rPr>
          <w:sz w:val="26"/>
          <w:szCs w:val="26"/>
          <w:lang w:val="lt-LT"/>
        </w:rPr>
        <w:t>būdingi ir</w:t>
      </w:r>
      <w:r w:rsidR="005F4665" w:rsidRPr="0001429F">
        <w:rPr>
          <w:sz w:val="26"/>
          <w:szCs w:val="26"/>
          <w:lang w:val="lt-LT"/>
        </w:rPr>
        <w:t xml:space="preserve"> klasikiniam audito rizikos modeliui</w:t>
      </w:r>
      <w:r w:rsidRPr="0001429F">
        <w:rPr>
          <w:sz w:val="26"/>
          <w:szCs w:val="26"/>
          <w:lang w:val="lt-LT"/>
        </w:rPr>
        <w:t xml:space="preserve">. </w:t>
      </w:r>
      <w:r w:rsidR="00EF2232" w:rsidRPr="0001429F">
        <w:rPr>
          <w:sz w:val="26"/>
          <w:szCs w:val="26"/>
          <w:lang w:val="lt-LT"/>
        </w:rPr>
        <w:t>H. Holmes (1995)</w:t>
      </w:r>
      <w:r w:rsidR="00080688" w:rsidRPr="0001429F">
        <w:rPr>
          <w:sz w:val="26"/>
          <w:szCs w:val="26"/>
          <w:lang w:val="lt-LT"/>
        </w:rPr>
        <w:t xml:space="preserve"> </w:t>
      </w:r>
      <w:r w:rsidRPr="0001429F">
        <w:rPr>
          <w:sz w:val="26"/>
          <w:szCs w:val="26"/>
          <w:lang w:val="lt-LT"/>
        </w:rPr>
        <w:t xml:space="preserve">pripažįsta, kad </w:t>
      </w:r>
      <w:r w:rsidR="00FA6822" w:rsidRPr="0001429F">
        <w:rPr>
          <w:sz w:val="26"/>
          <w:szCs w:val="26"/>
          <w:lang w:val="lt-LT"/>
        </w:rPr>
        <w:t xml:space="preserve">ABREMA </w:t>
      </w:r>
      <w:r w:rsidRPr="0001429F">
        <w:rPr>
          <w:sz w:val="26"/>
          <w:szCs w:val="26"/>
          <w:lang w:val="lt-LT"/>
        </w:rPr>
        <w:t xml:space="preserve">modelis, pritaikant jį praktikoje, turi keletą reikšmingų trūkumų. Pirmasis jų </w:t>
      </w:r>
      <w:r w:rsidR="005F4665" w:rsidRPr="0001429F">
        <w:rPr>
          <w:sz w:val="26"/>
          <w:szCs w:val="26"/>
          <w:lang w:val="lt-LT"/>
        </w:rPr>
        <w:t>–</w:t>
      </w:r>
      <w:r w:rsidRPr="0001429F">
        <w:rPr>
          <w:sz w:val="26"/>
          <w:szCs w:val="26"/>
          <w:lang w:val="lt-LT"/>
        </w:rPr>
        <w:t xml:space="preserve"> </w:t>
      </w:r>
      <w:r w:rsidRPr="0001429F">
        <w:rPr>
          <w:i/>
          <w:sz w:val="26"/>
          <w:szCs w:val="26"/>
          <w:lang w:val="lt-LT"/>
        </w:rPr>
        <w:t>siejamas klasikinio audito rizikos modelio sandara</w:t>
      </w:r>
      <w:r w:rsidRPr="0001429F">
        <w:rPr>
          <w:sz w:val="26"/>
          <w:szCs w:val="26"/>
          <w:lang w:val="lt-LT"/>
        </w:rPr>
        <w:t xml:space="preserve">, su kuriuo </w:t>
      </w:r>
      <w:r w:rsidR="00FA6822" w:rsidRPr="0001429F">
        <w:rPr>
          <w:sz w:val="26"/>
          <w:szCs w:val="26"/>
          <w:lang w:val="lt-LT"/>
        </w:rPr>
        <w:t>šis</w:t>
      </w:r>
      <w:r w:rsidRPr="0001429F">
        <w:rPr>
          <w:sz w:val="26"/>
          <w:szCs w:val="26"/>
          <w:lang w:val="lt-LT"/>
        </w:rPr>
        <w:t xml:space="preserve"> modelis stipriai susijęs. </w:t>
      </w:r>
      <w:r w:rsidR="00A1477E" w:rsidRPr="0001429F">
        <w:rPr>
          <w:sz w:val="26"/>
          <w:szCs w:val="26"/>
          <w:lang w:val="lt-LT"/>
        </w:rPr>
        <w:t>Kadangi k</w:t>
      </w:r>
      <w:r w:rsidRPr="0001429F">
        <w:rPr>
          <w:sz w:val="26"/>
          <w:szCs w:val="26"/>
          <w:lang w:val="lt-LT"/>
        </w:rPr>
        <w:t>lasikini</w:t>
      </w:r>
      <w:r w:rsidR="00A1477E" w:rsidRPr="0001429F">
        <w:rPr>
          <w:sz w:val="26"/>
          <w:szCs w:val="26"/>
          <w:lang w:val="lt-LT"/>
        </w:rPr>
        <w:t xml:space="preserve">ame </w:t>
      </w:r>
      <w:r w:rsidRPr="0001429F">
        <w:rPr>
          <w:sz w:val="26"/>
          <w:szCs w:val="26"/>
          <w:lang w:val="lt-LT"/>
        </w:rPr>
        <w:t xml:space="preserve">audito rizikos modelyje akcentuojama </w:t>
      </w:r>
      <w:r w:rsidR="00101D48" w:rsidRPr="0001429F">
        <w:rPr>
          <w:sz w:val="26"/>
          <w:szCs w:val="26"/>
          <w:lang w:val="lt-LT"/>
        </w:rPr>
        <w:t xml:space="preserve">agregacijos </w:t>
      </w:r>
      <w:r w:rsidRPr="0001429F">
        <w:rPr>
          <w:sz w:val="26"/>
          <w:szCs w:val="26"/>
          <w:lang w:val="lt-LT"/>
        </w:rPr>
        <w:t>problema, nepriklausom</w:t>
      </w:r>
      <w:r w:rsidR="007C5167" w:rsidRPr="0001429F">
        <w:rPr>
          <w:sz w:val="26"/>
          <w:szCs w:val="26"/>
          <w:lang w:val="lt-LT"/>
        </w:rPr>
        <w:t>umo</w:t>
      </w:r>
      <w:r w:rsidRPr="0001429F">
        <w:rPr>
          <w:sz w:val="26"/>
          <w:szCs w:val="26"/>
          <w:lang w:val="lt-LT"/>
        </w:rPr>
        <w:t xml:space="preserve"> tarp kintamųjų</w:t>
      </w:r>
      <w:r w:rsidR="00101D48" w:rsidRPr="0001429F">
        <w:rPr>
          <w:sz w:val="26"/>
          <w:szCs w:val="26"/>
          <w:lang w:val="lt-LT"/>
        </w:rPr>
        <w:t xml:space="preserve"> trūkumas</w:t>
      </w:r>
      <w:r w:rsidRPr="0001429F">
        <w:rPr>
          <w:sz w:val="26"/>
          <w:szCs w:val="26"/>
          <w:lang w:val="lt-LT"/>
        </w:rPr>
        <w:t xml:space="preserve">, </w:t>
      </w:r>
      <w:r w:rsidRPr="0001429F">
        <w:rPr>
          <w:i/>
          <w:sz w:val="26"/>
          <w:szCs w:val="26"/>
          <w:lang w:val="lt-LT"/>
        </w:rPr>
        <w:t xml:space="preserve">ex post </w:t>
      </w:r>
      <w:r w:rsidRPr="0001429F">
        <w:rPr>
          <w:sz w:val="26"/>
          <w:szCs w:val="26"/>
          <w:lang w:val="lt-LT"/>
        </w:rPr>
        <w:t>audito rizikos pobūdis ir tai, kad modelis telkia</w:t>
      </w:r>
      <w:r w:rsidR="00101D48" w:rsidRPr="0001429F">
        <w:rPr>
          <w:sz w:val="26"/>
          <w:szCs w:val="26"/>
          <w:lang w:val="lt-LT"/>
        </w:rPr>
        <w:t>si</w:t>
      </w:r>
      <w:r w:rsidRPr="0001429F">
        <w:rPr>
          <w:sz w:val="26"/>
          <w:szCs w:val="26"/>
          <w:lang w:val="lt-LT"/>
        </w:rPr>
        <w:t xml:space="preserve"> tiktai ties vienu sprendimu – audito </w:t>
      </w:r>
      <w:r w:rsidR="00101D48" w:rsidRPr="0001429F">
        <w:rPr>
          <w:sz w:val="26"/>
          <w:szCs w:val="26"/>
          <w:lang w:val="lt-LT"/>
        </w:rPr>
        <w:t>metodika</w:t>
      </w:r>
      <w:r w:rsidR="00390C06" w:rsidRPr="0001429F">
        <w:rPr>
          <w:sz w:val="26"/>
          <w:szCs w:val="26"/>
          <w:lang w:val="lt-LT"/>
        </w:rPr>
        <w:t>, tai š</w:t>
      </w:r>
      <w:r w:rsidRPr="0001429F">
        <w:rPr>
          <w:sz w:val="26"/>
          <w:szCs w:val="26"/>
          <w:lang w:val="lt-LT"/>
        </w:rPr>
        <w:t xml:space="preserve">ie trūkumai </w:t>
      </w:r>
      <w:r w:rsidR="00A616B2" w:rsidRPr="0001429F">
        <w:rPr>
          <w:sz w:val="26"/>
          <w:szCs w:val="26"/>
          <w:lang w:val="lt-LT"/>
        </w:rPr>
        <w:t xml:space="preserve">tam tikra apimtimi </w:t>
      </w:r>
      <w:r w:rsidRPr="0001429F">
        <w:rPr>
          <w:sz w:val="26"/>
          <w:szCs w:val="26"/>
          <w:lang w:val="lt-LT"/>
        </w:rPr>
        <w:t>adresuojami ir ABREMA modeliui</w:t>
      </w:r>
      <w:r w:rsidR="00390C06" w:rsidRPr="0001429F">
        <w:rPr>
          <w:sz w:val="26"/>
          <w:szCs w:val="26"/>
          <w:lang w:val="lt-LT"/>
        </w:rPr>
        <w:t>. N</w:t>
      </w:r>
      <w:r w:rsidRPr="0001429F">
        <w:rPr>
          <w:sz w:val="26"/>
          <w:szCs w:val="26"/>
          <w:lang w:val="lt-LT"/>
        </w:rPr>
        <w:t xml:space="preserve">orint </w:t>
      </w:r>
      <w:r w:rsidR="00390C06" w:rsidRPr="0001429F">
        <w:rPr>
          <w:sz w:val="26"/>
          <w:szCs w:val="26"/>
          <w:lang w:val="lt-LT"/>
        </w:rPr>
        <w:t>to</w:t>
      </w:r>
      <w:r w:rsidRPr="0001429F">
        <w:rPr>
          <w:sz w:val="26"/>
          <w:szCs w:val="26"/>
          <w:lang w:val="lt-LT"/>
        </w:rPr>
        <w:t xml:space="preserve"> išvengti, siūloma</w:t>
      </w:r>
      <w:r w:rsidR="00735C5A" w:rsidRPr="0001429F">
        <w:rPr>
          <w:sz w:val="26"/>
          <w:szCs w:val="26"/>
          <w:lang w:val="lt-LT"/>
        </w:rPr>
        <w:t xml:space="preserve"> </w:t>
      </w:r>
      <w:r w:rsidRPr="0001429F">
        <w:rPr>
          <w:sz w:val="26"/>
          <w:szCs w:val="26"/>
          <w:lang w:val="lt-LT"/>
        </w:rPr>
        <w:t>1)</w:t>
      </w:r>
      <w:r w:rsidR="00233C9A">
        <w:rPr>
          <w:sz w:val="26"/>
          <w:szCs w:val="26"/>
          <w:lang w:val="lt-LT"/>
        </w:rPr>
        <w:t> </w:t>
      </w:r>
      <w:r w:rsidRPr="0001429F">
        <w:rPr>
          <w:sz w:val="26"/>
          <w:szCs w:val="26"/>
          <w:lang w:val="lt-LT"/>
        </w:rPr>
        <w:t>audito riziką įvertinti ne tiktai finansin</w:t>
      </w:r>
      <w:r w:rsidR="003F4E9E" w:rsidRPr="0001429F">
        <w:rPr>
          <w:sz w:val="26"/>
          <w:szCs w:val="26"/>
          <w:lang w:val="lt-LT"/>
        </w:rPr>
        <w:t>ių</w:t>
      </w:r>
      <w:r w:rsidRPr="0001429F">
        <w:rPr>
          <w:sz w:val="26"/>
          <w:szCs w:val="26"/>
          <w:lang w:val="lt-LT"/>
        </w:rPr>
        <w:t xml:space="preserve"> at</w:t>
      </w:r>
      <w:r w:rsidR="003F4E9E" w:rsidRPr="0001429F">
        <w:rPr>
          <w:sz w:val="26"/>
          <w:szCs w:val="26"/>
          <w:lang w:val="lt-LT"/>
        </w:rPr>
        <w:t>a</w:t>
      </w:r>
      <w:r w:rsidRPr="0001429F">
        <w:rPr>
          <w:sz w:val="26"/>
          <w:szCs w:val="26"/>
          <w:lang w:val="lt-LT"/>
        </w:rPr>
        <w:t>skait</w:t>
      </w:r>
      <w:r w:rsidR="003F4E9E" w:rsidRPr="0001429F">
        <w:rPr>
          <w:sz w:val="26"/>
          <w:szCs w:val="26"/>
          <w:lang w:val="lt-LT"/>
        </w:rPr>
        <w:t>ų</w:t>
      </w:r>
      <w:r w:rsidRPr="0001429F">
        <w:rPr>
          <w:sz w:val="26"/>
          <w:szCs w:val="26"/>
          <w:lang w:val="lt-LT"/>
        </w:rPr>
        <w:t xml:space="preserve"> lygmen</w:t>
      </w:r>
      <w:r w:rsidR="005F4665" w:rsidRPr="0001429F">
        <w:rPr>
          <w:sz w:val="26"/>
          <w:szCs w:val="26"/>
          <w:lang w:val="lt-LT"/>
        </w:rPr>
        <w:t>iu</w:t>
      </w:r>
      <w:r w:rsidRPr="0001429F">
        <w:rPr>
          <w:sz w:val="26"/>
          <w:szCs w:val="26"/>
          <w:lang w:val="lt-LT"/>
        </w:rPr>
        <w:t xml:space="preserve">, bet ir </w:t>
      </w:r>
      <w:r w:rsidR="0025194A" w:rsidRPr="0001429F">
        <w:rPr>
          <w:sz w:val="26"/>
          <w:szCs w:val="26"/>
          <w:lang w:val="lt-LT"/>
        </w:rPr>
        <w:t>tvirtinimo</w:t>
      </w:r>
      <w:r w:rsidR="003F4E9E" w:rsidRPr="0001429F">
        <w:rPr>
          <w:sz w:val="26"/>
          <w:szCs w:val="26"/>
          <w:lang w:val="lt-LT"/>
        </w:rPr>
        <w:t xml:space="preserve"> </w:t>
      </w:r>
      <w:r w:rsidRPr="0001429F">
        <w:rPr>
          <w:sz w:val="26"/>
          <w:szCs w:val="26"/>
          <w:lang w:val="lt-LT"/>
        </w:rPr>
        <w:t>lygmen</w:t>
      </w:r>
      <w:r w:rsidR="005F4665" w:rsidRPr="0001429F">
        <w:rPr>
          <w:sz w:val="26"/>
          <w:szCs w:val="26"/>
          <w:lang w:val="lt-LT"/>
        </w:rPr>
        <w:t>iu</w:t>
      </w:r>
      <w:r w:rsidR="002561FF" w:rsidRPr="0001429F">
        <w:rPr>
          <w:sz w:val="26"/>
          <w:szCs w:val="26"/>
          <w:lang w:val="lt-LT"/>
        </w:rPr>
        <w:t xml:space="preserve"> (</w:t>
      </w:r>
      <w:r w:rsidR="00A616B2" w:rsidRPr="0001429F">
        <w:rPr>
          <w:sz w:val="26"/>
          <w:szCs w:val="26"/>
          <w:lang w:val="lt-LT"/>
        </w:rPr>
        <w:t xml:space="preserve">tuo išsprendžiama </w:t>
      </w:r>
      <w:r w:rsidR="00D55143" w:rsidRPr="0001429F">
        <w:rPr>
          <w:sz w:val="26"/>
          <w:szCs w:val="26"/>
          <w:lang w:val="lt-LT"/>
        </w:rPr>
        <w:t>agregacijo</w:t>
      </w:r>
      <w:r w:rsidR="002561FF" w:rsidRPr="0001429F">
        <w:rPr>
          <w:sz w:val="26"/>
          <w:szCs w:val="26"/>
          <w:lang w:val="lt-LT"/>
        </w:rPr>
        <w:t>s problema)</w:t>
      </w:r>
      <w:r w:rsidRPr="0001429F">
        <w:rPr>
          <w:sz w:val="26"/>
          <w:szCs w:val="26"/>
          <w:lang w:val="lt-LT"/>
        </w:rPr>
        <w:t>; 2) dėmesį sutelkti ties bendru reikšmingo iškraipymo rizikos (</w:t>
      </w:r>
      <w:r w:rsidR="00D55143" w:rsidRPr="0001429F">
        <w:rPr>
          <w:sz w:val="26"/>
          <w:szCs w:val="26"/>
          <w:lang w:val="lt-LT"/>
        </w:rPr>
        <w:t>R</w:t>
      </w:r>
      <w:r w:rsidR="00747373" w:rsidRPr="0001429F">
        <w:rPr>
          <w:sz w:val="26"/>
          <w:szCs w:val="26"/>
          <w:lang w:val="lt-LT"/>
        </w:rPr>
        <w:t xml:space="preserve">MM = </w:t>
      </w:r>
      <w:r w:rsidRPr="0001429F">
        <w:rPr>
          <w:sz w:val="26"/>
          <w:szCs w:val="26"/>
          <w:lang w:val="lt-LT"/>
        </w:rPr>
        <w:t>IR x CR) įvertinimu nei ties individualiais įgimtos ir kontrolės rizikos įvertinimais (nepriklausom</w:t>
      </w:r>
      <w:r w:rsidR="007C5167" w:rsidRPr="0001429F">
        <w:rPr>
          <w:sz w:val="26"/>
          <w:szCs w:val="26"/>
          <w:lang w:val="lt-LT"/>
        </w:rPr>
        <w:t>umo</w:t>
      </w:r>
      <w:r w:rsidRPr="0001429F">
        <w:rPr>
          <w:sz w:val="26"/>
          <w:szCs w:val="26"/>
          <w:lang w:val="lt-LT"/>
        </w:rPr>
        <w:t xml:space="preserve"> </w:t>
      </w:r>
      <w:r w:rsidR="00735C5A" w:rsidRPr="0001429F">
        <w:rPr>
          <w:sz w:val="26"/>
          <w:szCs w:val="26"/>
          <w:lang w:val="lt-LT"/>
        </w:rPr>
        <w:t>trūkumo</w:t>
      </w:r>
      <w:r w:rsidRPr="0001429F">
        <w:rPr>
          <w:sz w:val="26"/>
          <w:szCs w:val="26"/>
          <w:lang w:val="lt-LT"/>
        </w:rPr>
        <w:t xml:space="preserve"> problem</w:t>
      </w:r>
      <w:r w:rsidR="007C5167" w:rsidRPr="0001429F">
        <w:rPr>
          <w:sz w:val="26"/>
          <w:szCs w:val="26"/>
          <w:lang w:val="lt-LT"/>
        </w:rPr>
        <w:t>os išsprendimas</w:t>
      </w:r>
      <w:r w:rsidRPr="0001429F">
        <w:rPr>
          <w:sz w:val="26"/>
          <w:szCs w:val="26"/>
          <w:lang w:val="lt-LT"/>
        </w:rPr>
        <w:t xml:space="preserve">); 3) audito riziką vertinti tik </w:t>
      </w:r>
      <w:r w:rsidRPr="0001429F">
        <w:rPr>
          <w:i/>
          <w:sz w:val="26"/>
          <w:szCs w:val="26"/>
          <w:lang w:val="lt-LT"/>
        </w:rPr>
        <w:t>ex ante</w:t>
      </w:r>
      <w:r w:rsidRPr="0001429F">
        <w:rPr>
          <w:sz w:val="26"/>
          <w:szCs w:val="26"/>
          <w:lang w:val="lt-LT"/>
        </w:rPr>
        <w:t xml:space="preserve"> požiūriu (</w:t>
      </w:r>
      <w:r w:rsidRPr="0001429F">
        <w:rPr>
          <w:i/>
          <w:sz w:val="26"/>
          <w:szCs w:val="26"/>
          <w:lang w:val="lt-LT"/>
        </w:rPr>
        <w:t>ex post</w:t>
      </w:r>
      <w:r w:rsidRPr="0001429F">
        <w:rPr>
          <w:sz w:val="26"/>
          <w:szCs w:val="26"/>
          <w:lang w:val="lt-LT"/>
        </w:rPr>
        <w:t xml:space="preserve"> problem</w:t>
      </w:r>
      <w:r w:rsidR="00735C5A" w:rsidRPr="0001429F">
        <w:rPr>
          <w:sz w:val="26"/>
          <w:szCs w:val="26"/>
          <w:lang w:val="lt-LT"/>
        </w:rPr>
        <w:t>os panaikinimas</w:t>
      </w:r>
      <w:r w:rsidRPr="0001429F">
        <w:rPr>
          <w:sz w:val="26"/>
          <w:szCs w:val="26"/>
          <w:lang w:val="lt-LT"/>
        </w:rPr>
        <w:t>) bei 4) audi</w:t>
      </w:r>
      <w:r w:rsidR="0025219E" w:rsidRPr="0001429F">
        <w:rPr>
          <w:sz w:val="26"/>
          <w:szCs w:val="26"/>
          <w:lang w:val="lt-LT"/>
        </w:rPr>
        <w:t xml:space="preserve">to riziką ir/ar </w:t>
      </w:r>
      <w:r w:rsidR="0025219E" w:rsidRPr="0001429F">
        <w:rPr>
          <w:sz w:val="26"/>
          <w:szCs w:val="26"/>
          <w:lang w:val="lt-LT"/>
        </w:rPr>
        <w:lastRenderedPageBreak/>
        <w:t xml:space="preserve">jos komponentus </w:t>
      </w:r>
      <w:r w:rsidRPr="0001429F">
        <w:rPr>
          <w:sz w:val="26"/>
          <w:szCs w:val="26"/>
          <w:lang w:val="lt-LT"/>
        </w:rPr>
        <w:t>(per)įvertinti kiekvien</w:t>
      </w:r>
      <w:r w:rsidR="002561FF" w:rsidRPr="0001429F">
        <w:rPr>
          <w:sz w:val="26"/>
          <w:szCs w:val="26"/>
          <w:lang w:val="lt-LT"/>
        </w:rPr>
        <w:t>ame</w:t>
      </w:r>
      <w:r w:rsidRPr="0001429F">
        <w:rPr>
          <w:sz w:val="26"/>
          <w:szCs w:val="26"/>
          <w:lang w:val="lt-LT"/>
        </w:rPr>
        <w:t xml:space="preserve"> audito </w:t>
      </w:r>
      <w:r w:rsidR="002561FF" w:rsidRPr="0001429F">
        <w:rPr>
          <w:sz w:val="26"/>
          <w:szCs w:val="26"/>
          <w:lang w:val="lt-LT"/>
        </w:rPr>
        <w:t xml:space="preserve">etape </w:t>
      </w:r>
      <w:r w:rsidRPr="0001429F">
        <w:rPr>
          <w:sz w:val="26"/>
          <w:szCs w:val="26"/>
          <w:lang w:val="lt-LT"/>
        </w:rPr>
        <w:t>(</w:t>
      </w:r>
      <w:r w:rsidR="0098296B" w:rsidRPr="0001429F">
        <w:rPr>
          <w:sz w:val="26"/>
          <w:szCs w:val="26"/>
          <w:lang w:val="lt-LT"/>
        </w:rPr>
        <w:t>metodikos savitumo</w:t>
      </w:r>
      <w:r w:rsidR="0036638C" w:rsidRPr="0001429F">
        <w:rPr>
          <w:sz w:val="26"/>
          <w:szCs w:val="26"/>
          <w:lang w:val="lt-LT"/>
        </w:rPr>
        <w:t xml:space="preserve"> išvengimas</w:t>
      </w:r>
      <w:r w:rsidRPr="0001429F">
        <w:rPr>
          <w:sz w:val="26"/>
          <w:szCs w:val="26"/>
          <w:lang w:val="lt-LT"/>
        </w:rPr>
        <w:t xml:space="preserve">). </w:t>
      </w:r>
    </w:p>
    <w:p w:rsidR="00D30AE5" w:rsidRPr="0001429F" w:rsidRDefault="00806F6A" w:rsidP="003F4E9E">
      <w:pPr>
        <w:spacing w:line="360" w:lineRule="auto"/>
        <w:ind w:firstLine="720"/>
        <w:jc w:val="both"/>
        <w:rPr>
          <w:sz w:val="26"/>
          <w:szCs w:val="26"/>
          <w:lang w:val="lt-LT"/>
        </w:rPr>
      </w:pPr>
      <w:r w:rsidRPr="0001429F">
        <w:rPr>
          <w:sz w:val="26"/>
          <w:szCs w:val="26"/>
          <w:lang w:val="lt-LT"/>
        </w:rPr>
        <w:t>Kitas</w:t>
      </w:r>
      <w:r w:rsidR="009B6941" w:rsidRPr="0001429F">
        <w:rPr>
          <w:sz w:val="26"/>
          <w:szCs w:val="26"/>
          <w:lang w:val="lt-LT"/>
        </w:rPr>
        <w:t xml:space="preserve"> ABREMA modelio trūkumas išryškėja</w:t>
      </w:r>
      <w:r w:rsidR="009B6941" w:rsidRPr="0001429F">
        <w:rPr>
          <w:i/>
          <w:sz w:val="26"/>
          <w:szCs w:val="26"/>
          <w:lang w:val="lt-LT"/>
        </w:rPr>
        <w:t xml:space="preserve"> vertinant iteratyvinę sprendimų priėmimo proceso prigimtį</w:t>
      </w:r>
      <w:r w:rsidR="009B6941" w:rsidRPr="0001429F">
        <w:rPr>
          <w:sz w:val="26"/>
          <w:szCs w:val="26"/>
          <w:lang w:val="lt-LT"/>
        </w:rPr>
        <w:t xml:space="preserve">. Audito teorijoje teigiama, kad auditas yra </w:t>
      </w:r>
      <w:r w:rsidR="00450B2C" w:rsidRPr="0001429F">
        <w:rPr>
          <w:sz w:val="26"/>
          <w:szCs w:val="26"/>
          <w:lang w:val="lt-LT"/>
        </w:rPr>
        <w:t xml:space="preserve">nuolatinis </w:t>
      </w:r>
      <w:r w:rsidR="009B6941" w:rsidRPr="0001429F">
        <w:rPr>
          <w:sz w:val="26"/>
          <w:szCs w:val="26"/>
          <w:lang w:val="lt-LT"/>
        </w:rPr>
        <w:t xml:space="preserve">informacijos gavimo procesas (įskaitant ir grįžtamuosius ryšius iš ankstesnių veiksmų) pasirenkant veikti ar neveikti, gaunant papildomos informacijos, ir vėl pasirenkant veikti ar neveikti ir </w:t>
      </w:r>
      <w:r w:rsidR="002561FF" w:rsidRPr="0001429F">
        <w:rPr>
          <w:sz w:val="26"/>
          <w:szCs w:val="26"/>
          <w:lang w:val="lt-LT"/>
        </w:rPr>
        <w:t>pan</w:t>
      </w:r>
      <w:r w:rsidR="009B6941" w:rsidRPr="0001429F">
        <w:rPr>
          <w:sz w:val="26"/>
          <w:szCs w:val="26"/>
          <w:lang w:val="lt-LT"/>
        </w:rPr>
        <w:t>. Tai vyksta palaipsniui, o ne surinkus visą informaciją ir ją integravus prieš pasirenkant a</w:t>
      </w:r>
      <w:r w:rsidR="00454A2A" w:rsidRPr="0001429F">
        <w:rPr>
          <w:sz w:val="26"/>
          <w:szCs w:val="26"/>
          <w:lang w:val="lt-LT"/>
        </w:rPr>
        <w:t xml:space="preserve">tsakymą. Tačiau </w:t>
      </w:r>
      <w:r w:rsidR="00DC186F" w:rsidRPr="0001429F">
        <w:rPr>
          <w:sz w:val="26"/>
          <w:szCs w:val="26"/>
          <w:lang w:val="lt-LT"/>
        </w:rPr>
        <w:t xml:space="preserve">audito rizikos vertinimo procesas pagal </w:t>
      </w:r>
      <w:r w:rsidR="00454A2A" w:rsidRPr="0001429F">
        <w:rPr>
          <w:sz w:val="26"/>
          <w:szCs w:val="26"/>
          <w:lang w:val="lt-LT"/>
        </w:rPr>
        <w:t>ABREMA model</w:t>
      </w:r>
      <w:r w:rsidR="00DC186F" w:rsidRPr="0001429F">
        <w:rPr>
          <w:sz w:val="26"/>
          <w:szCs w:val="26"/>
          <w:lang w:val="lt-LT"/>
        </w:rPr>
        <w:t>į</w:t>
      </w:r>
      <w:r w:rsidR="009B6941" w:rsidRPr="0001429F">
        <w:rPr>
          <w:sz w:val="26"/>
          <w:szCs w:val="26"/>
          <w:lang w:val="lt-LT"/>
        </w:rPr>
        <w:t xml:space="preserve"> </w:t>
      </w:r>
      <w:r w:rsidR="00454A2A" w:rsidRPr="0001429F">
        <w:rPr>
          <w:sz w:val="26"/>
          <w:szCs w:val="26"/>
          <w:lang w:val="lt-LT"/>
        </w:rPr>
        <w:t>rodo</w:t>
      </w:r>
      <w:r w:rsidR="009B6941" w:rsidRPr="0001429F">
        <w:rPr>
          <w:sz w:val="26"/>
          <w:szCs w:val="26"/>
          <w:lang w:val="lt-LT"/>
        </w:rPr>
        <w:t>, kad auditoriai visų pirma surenka reiki</w:t>
      </w:r>
      <w:r w:rsidR="00254AD7" w:rsidRPr="0001429F">
        <w:rPr>
          <w:sz w:val="26"/>
          <w:szCs w:val="26"/>
          <w:lang w:val="lt-LT"/>
        </w:rPr>
        <w:t>amu</w:t>
      </w:r>
      <w:r w:rsidR="009B6941" w:rsidRPr="0001429F">
        <w:rPr>
          <w:sz w:val="26"/>
          <w:szCs w:val="26"/>
          <w:lang w:val="lt-LT"/>
        </w:rPr>
        <w:t xml:space="preserve">s </w:t>
      </w:r>
      <w:r w:rsidR="003A324A" w:rsidRPr="0001429F">
        <w:rPr>
          <w:sz w:val="26"/>
          <w:szCs w:val="26"/>
          <w:lang w:val="lt-LT"/>
        </w:rPr>
        <w:t xml:space="preserve">audito </w:t>
      </w:r>
      <w:r w:rsidR="009B6941" w:rsidRPr="0001429F">
        <w:rPr>
          <w:sz w:val="26"/>
          <w:szCs w:val="26"/>
          <w:lang w:val="lt-LT"/>
        </w:rPr>
        <w:t xml:space="preserve">įrodymus, o paskui juos įvertina skirtingai negu </w:t>
      </w:r>
      <w:r w:rsidR="00450B2C" w:rsidRPr="0001429F">
        <w:rPr>
          <w:sz w:val="26"/>
          <w:szCs w:val="26"/>
          <w:lang w:val="lt-LT"/>
        </w:rPr>
        <w:t xml:space="preserve">nuolatinis </w:t>
      </w:r>
      <w:r w:rsidR="009B6941" w:rsidRPr="0001429F">
        <w:rPr>
          <w:sz w:val="26"/>
          <w:szCs w:val="26"/>
          <w:lang w:val="lt-LT"/>
        </w:rPr>
        <w:t xml:space="preserve">ir iteratyvinis procesas apibūdintas aukščiau. Pasak </w:t>
      </w:r>
      <w:r w:rsidR="00080688" w:rsidRPr="0001429F">
        <w:rPr>
          <w:sz w:val="26"/>
          <w:szCs w:val="26"/>
          <w:lang w:val="lt-LT"/>
        </w:rPr>
        <w:t>H. Holmes (1995)</w:t>
      </w:r>
      <w:r w:rsidR="009B6941" w:rsidRPr="0001429F">
        <w:rPr>
          <w:sz w:val="26"/>
          <w:szCs w:val="26"/>
          <w:lang w:val="lt-LT"/>
        </w:rPr>
        <w:t xml:space="preserve">, nors </w:t>
      </w:r>
      <w:r w:rsidR="00D30AE5" w:rsidRPr="0001429F">
        <w:rPr>
          <w:sz w:val="26"/>
          <w:szCs w:val="26"/>
          <w:lang w:val="lt-LT"/>
        </w:rPr>
        <w:t xml:space="preserve">iš </w:t>
      </w:r>
      <w:r w:rsidR="00DC186F" w:rsidRPr="0001429F">
        <w:rPr>
          <w:sz w:val="26"/>
          <w:szCs w:val="26"/>
          <w:lang w:val="lt-LT"/>
        </w:rPr>
        <w:t>a</w:t>
      </w:r>
      <w:r w:rsidR="00D30AE5" w:rsidRPr="0001429F">
        <w:rPr>
          <w:sz w:val="26"/>
          <w:szCs w:val="26"/>
          <w:lang w:val="lt-LT"/>
        </w:rPr>
        <w:t xml:space="preserve">udito rizikos vertinimo proceso, pateikto </w:t>
      </w:r>
      <w:r w:rsidRPr="0001429F">
        <w:rPr>
          <w:sz w:val="26"/>
          <w:szCs w:val="26"/>
          <w:lang w:val="lt-LT"/>
        </w:rPr>
        <w:t>1</w:t>
      </w:r>
      <w:r w:rsidR="005065DA">
        <w:rPr>
          <w:sz w:val="26"/>
          <w:szCs w:val="26"/>
          <w:lang w:val="lt-LT"/>
        </w:rPr>
        <w:t>1</w:t>
      </w:r>
      <w:r w:rsidR="00080688" w:rsidRPr="0001429F">
        <w:rPr>
          <w:sz w:val="26"/>
          <w:szCs w:val="26"/>
          <w:lang w:val="lt-LT"/>
        </w:rPr>
        <w:t xml:space="preserve"> </w:t>
      </w:r>
      <w:r w:rsidR="009B6941" w:rsidRPr="0001429F">
        <w:rPr>
          <w:sz w:val="26"/>
          <w:szCs w:val="26"/>
          <w:lang w:val="lt-LT"/>
        </w:rPr>
        <w:t>pav.</w:t>
      </w:r>
      <w:r w:rsidR="00D30AE5" w:rsidRPr="0001429F">
        <w:rPr>
          <w:sz w:val="26"/>
          <w:szCs w:val="26"/>
          <w:lang w:val="lt-LT"/>
        </w:rPr>
        <w:t>, gali su</w:t>
      </w:r>
      <w:r w:rsidR="00105839" w:rsidRPr="0001429F">
        <w:rPr>
          <w:sz w:val="26"/>
          <w:szCs w:val="26"/>
          <w:lang w:val="lt-LT"/>
        </w:rPr>
        <w:t>si</w:t>
      </w:r>
      <w:r w:rsidR="00D30AE5" w:rsidRPr="0001429F">
        <w:rPr>
          <w:sz w:val="26"/>
          <w:szCs w:val="26"/>
          <w:lang w:val="lt-LT"/>
        </w:rPr>
        <w:t>daryti įspūdis</w:t>
      </w:r>
      <w:r w:rsidR="009B6941" w:rsidRPr="0001429F">
        <w:rPr>
          <w:sz w:val="26"/>
          <w:szCs w:val="26"/>
          <w:lang w:val="lt-LT"/>
        </w:rPr>
        <w:t>, kad iteratyvinis informacijos surinkimo ir sprendimų priėmimo procesas yra ignoruojamas, tačiau reik</w:t>
      </w:r>
      <w:r w:rsidR="00C205E0">
        <w:rPr>
          <w:sz w:val="26"/>
          <w:szCs w:val="26"/>
          <w:lang w:val="lt-LT"/>
        </w:rPr>
        <w:t>ė</w:t>
      </w:r>
      <w:r w:rsidR="009B6941" w:rsidRPr="0001429F">
        <w:rPr>
          <w:sz w:val="26"/>
          <w:szCs w:val="26"/>
          <w:lang w:val="lt-LT"/>
        </w:rPr>
        <w:t>tų žinoti, kad to ne</w:t>
      </w:r>
      <w:r w:rsidR="002029E7" w:rsidRPr="0001429F">
        <w:rPr>
          <w:sz w:val="26"/>
          <w:szCs w:val="26"/>
          <w:lang w:val="lt-LT"/>
        </w:rPr>
        <w:t>parodo</w:t>
      </w:r>
      <w:r w:rsidR="009B6941" w:rsidRPr="0001429F">
        <w:rPr>
          <w:sz w:val="26"/>
          <w:szCs w:val="26"/>
          <w:lang w:val="lt-LT"/>
        </w:rPr>
        <w:t xml:space="preserve"> tik paties ABREMA modelio </w:t>
      </w:r>
      <w:r w:rsidR="002029E7" w:rsidRPr="0001429F">
        <w:rPr>
          <w:sz w:val="26"/>
          <w:szCs w:val="26"/>
          <w:lang w:val="lt-LT"/>
        </w:rPr>
        <w:t>išraiška</w:t>
      </w:r>
      <w:r w:rsidR="009B6941" w:rsidRPr="0001429F">
        <w:rPr>
          <w:sz w:val="26"/>
          <w:szCs w:val="26"/>
          <w:lang w:val="lt-LT"/>
        </w:rPr>
        <w:t xml:space="preserve">. </w:t>
      </w:r>
    </w:p>
    <w:p w:rsidR="009B6941" w:rsidRPr="0001429F" w:rsidRDefault="009B6941" w:rsidP="000B7F78">
      <w:pPr>
        <w:spacing w:line="360" w:lineRule="auto"/>
        <w:ind w:firstLine="720"/>
        <w:jc w:val="both"/>
        <w:rPr>
          <w:sz w:val="26"/>
          <w:szCs w:val="26"/>
          <w:lang w:val="lt-LT"/>
        </w:rPr>
      </w:pPr>
      <w:r w:rsidRPr="0001429F">
        <w:rPr>
          <w:sz w:val="26"/>
          <w:szCs w:val="26"/>
          <w:lang w:val="lt-LT"/>
        </w:rPr>
        <w:t xml:space="preserve">Trečiasis ABREMA modelio trūkumas susijęs </w:t>
      </w:r>
      <w:r w:rsidRPr="0001429F">
        <w:rPr>
          <w:i/>
          <w:sz w:val="26"/>
          <w:szCs w:val="26"/>
          <w:lang w:val="lt-LT"/>
        </w:rPr>
        <w:t xml:space="preserve">su audito </w:t>
      </w:r>
      <w:r w:rsidR="0070205F" w:rsidRPr="0001429F">
        <w:rPr>
          <w:i/>
          <w:sz w:val="26"/>
          <w:szCs w:val="26"/>
          <w:lang w:val="lt-LT"/>
        </w:rPr>
        <w:t>etapų</w:t>
      </w:r>
      <w:r w:rsidRPr="0001429F">
        <w:rPr>
          <w:i/>
          <w:sz w:val="26"/>
          <w:szCs w:val="26"/>
          <w:lang w:val="lt-LT"/>
        </w:rPr>
        <w:t xml:space="preserve"> koncepcijų pritaikymu audito praktikoj</w:t>
      </w:r>
      <w:r w:rsidRPr="0001429F">
        <w:rPr>
          <w:sz w:val="26"/>
          <w:szCs w:val="26"/>
          <w:lang w:val="lt-LT"/>
        </w:rPr>
        <w:t xml:space="preserve">e. </w:t>
      </w:r>
      <w:r w:rsidR="006E59AE" w:rsidRPr="0001429F">
        <w:rPr>
          <w:sz w:val="26"/>
          <w:szCs w:val="26"/>
          <w:lang w:val="lt-LT"/>
        </w:rPr>
        <w:t>Iš pateikto a</w:t>
      </w:r>
      <w:r w:rsidR="00FA6822" w:rsidRPr="0001429F">
        <w:rPr>
          <w:sz w:val="26"/>
          <w:szCs w:val="26"/>
          <w:lang w:val="lt-LT"/>
        </w:rPr>
        <w:t>udito rizikos vertinimo proces</w:t>
      </w:r>
      <w:r w:rsidR="006E59AE" w:rsidRPr="0001429F">
        <w:rPr>
          <w:sz w:val="26"/>
          <w:szCs w:val="26"/>
          <w:lang w:val="lt-LT"/>
        </w:rPr>
        <w:t>o</w:t>
      </w:r>
      <w:r w:rsidR="00FA6822" w:rsidRPr="0001429F">
        <w:rPr>
          <w:sz w:val="26"/>
          <w:szCs w:val="26"/>
          <w:lang w:val="lt-LT"/>
        </w:rPr>
        <w:t xml:space="preserve"> pagal </w:t>
      </w:r>
      <w:r w:rsidR="000B7F78" w:rsidRPr="0001429F">
        <w:rPr>
          <w:sz w:val="26"/>
          <w:szCs w:val="26"/>
          <w:lang w:val="lt-LT"/>
        </w:rPr>
        <w:t>ABREMA model</w:t>
      </w:r>
      <w:r w:rsidR="00FA6822" w:rsidRPr="0001429F">
        <w:rPr>
          <w:sz w:val="26"/>
          <w:szCs w:val="26"/>
          <w:lang w:val="lt-LT"/>
        </w:rPr>
        <w:t>į</w:t>
      </w:r>
      <w:r w:rsidR="006E59AE" w:rsidRPr="0001429F">
        <w:rPr>
          <w:sz w:val="26"/>
          <w:szCs w:val="26"/>
          <w:lang w:val="lt-LT"/>
        </w:rPr>
        <w:t xml:space="preserve"> matyti, kad </w:t>
      </w:r>
      <w:r w:rsidR="000B7F78" w:rsidRPr="0001429F">
        <w:rPr>
          <w:sz w:val="26"/>
          <w:szCs w:val="26"/>
          <w:lang w:val="lt-LT"/>
        </w:rPr>
        <w:t>v</w:t>
      </w:r>
      <w:r w:rsidR="00991012" w:rsidRPr="0001429F">
        <w:rPr>
          <w:sz w:val="26"/>
          <w:szCs w:val="26"/>
          <w:lang w:val="lt-LT"/>
        </w:rPr>
        <w:t xml:space="preserve">isi </w:t>
      </w:r>
      <w:r w:rsidRPr="0001429F">
        <w:rPr>
          <w:sz w:val="26"/>
          <w:szCs w:val="26"/>
          <w:lang w:val="lt-LT"/>
        </w:rPr>
        <w:t xml:space="preserve">penki audito </w:t>
      </w:r>
      <w:r w:rsidR="0070205F" w:rsidRPr="0001429F">
        <w:rPr>
          <w:sz w:val="26"/>
          <w:szCs w:val="26"/>
          <w:lang w:val="lt-LT"/>
        </w:rPr>
        <w:t>etapai</w:t>
      </w:r>
      <w:r w:rsidRPr="0001429F">
        <w:rPr>
          <w:sz w:val="26"/>
          <w:szCs w:val="26"/>
          <w:lang w:val="lt-LT"/>
        </w:rPr>
        <w:t xml:space="preserve"> yra nuosekl</w:t>
      </w:r>
      <w:r w:rsidR="0070205F" w:rsidRPr="0001429F">
        <w:rPr>
          <w:sz w:val="26"/>
          <w:szCs w:val="26"/>
          <w:lang w:val="lt-LT"/>
        </w:rPr>
        <w:t>ūs</w:t>
      </w:r>
      <w:r w:rsidRPr="0001429F">
        <w:rPr>
          <w:sz w:val="26"/>
          <w:szCs w:val="26"/>
          <w:lang w:val="lt-LT"/>
        </w:rPr>
        <w:t xml:space="preserve">, </w:t>
      </w:r>
      <w:r w:rsidR="00991012" w:rsidRPr="0001429F">
        <w:rPr>
          <w:sz w:val="26"/>
          <w:szCs w:val="26"/>
          <w:lang w:val="lt-LT"/>
        </w:rPr>
        <w:t>t. y.</w:t>
      </w:r>
      <w:r w:rsidRPr="0001429F">
        <w:rPr>
          <w:sz w:val="26"/>
          <w:szCs w:val="26"/>
          <w:lang w:val="lt-LT"/>
        </w:rPr>
        <w:t xml:space="preserve"> kontrolės t</w:t>
      </w:r>
      <w:r w:rsidR="00991012" w:rsidRPr="0001429F">
        <w:rPr>
          <w:sz w:val="26"/>
          <w:szCs w:val="26"/>
          <w:lang w:val="lt-LT"/>
        </w:rPr>
        <w:t>yrimo etapas yra pirmiau detal</w:t>
      </w:r>
      <w:r w:rsidR="00D30AE5" w:rsidRPr="0001429F">
        <w:rPr>
          <w:sz w:val="26"/>
          <w:szCs w:val="26"/>
          <w:lang w:val="lt-LT"/>
        </w:rPr>
        <w:t>aus</w:t>
      </w:r>
      <w:r w:rsidR="00991012" w:rsidRPr="0001429F">
        <w:rPr>
          <w:sz w:val="26"/>
          <w:szCs w:val="26"/>
          <w:lang w:val="lt-LT"/>
        </w:rPr>
        <w:t xml:space="preserve"> tikrinimo etap</w:t>
      </w:r>
      <w:r w:rsidR="00D30AE5" w:rsidRPr="0001429F">
        <w:rPr>
          <w:sz w:val="26"/>
          <w:szCs w:val="26"/>
          <w:lang w:val="lt-LT"/>
        </w:rPr>
        <w:t>o, o tai leidžia suprasti</w:t>
      </w:r>
      <w:r w:rsidR="00C85F95" w:rsidRPr="0001429F">
        <w:rPr>
          <w:sz w:val="26"/>
          <w:szCs w:val="26"/>
          <w:lang w:val="lt-LT"/>
        </w:rPr>
        <w:t xml:space="preserve">, kad auditoriai kontrolės testus atlieka </w:t>
      </w:r>
      <w:r w:rsidR="0070205F" w:rsidRPr="0001429F">
        <w:rPr>
          <w:sz w:val="26"/>
          <w:szCs w:val="26"/>
          <w:lang w:val="lt-LT"/>
        </w:rPr>
        <w:t>pirmiau</w:t>
      </w:r>
      <w:r w:rsidRPr="0001429F">
        <w:rPr>
          <w:sz w:val="26"/>
          <w:szCs w:val="26"/>
          <w:lang w:val="lt-LT"/>
        </w:rPr>
        <w:t xml:space="preserve"> </w:t>
      </w:r>
      <w:r w:rsidR="00C85F95" w:rsidRPr="0001429F">
        <w:rPr>
          <w:sz w:val="26"/>
          <w:szCs w:val="26"/>
          <w:lang w:val="lt-LT"/>
        </w:rPr>
        <w:t xml:space="preserve">nei </w:t>
      </w:r>
      <w:r w:rsidR="0070205F" w:rsidRPr="0001429F">
        <w:rPr>
          <w:sz w:val="26"/>
          <w:szCs w:val="26"/>
          <w:lang w:val="lt-LT"/>
        </w:rPr>
        <w:t xml:space="preserve">detalius </w:t>
      </w:r>
      <w:r w:rsidRPr="0001429F">
        <w:rPr>
          <w:sz w:val="26"/>
          <w:szCs w:val="26"/>
          <w:lang w:val="lt-LT"/>
        </w:rPr>
        <w:t>test</w:t>
      </w:r>
      <w:r w:rsidR="0070205F" w:rsidRPr="0001429F">
        <w:rPr>
          <w:sz w:val="26"/>
          <w:szCs w:val="26"/>
          <w:lang w:val="lt-LT"/>
        </w:rPr>
        <w:t>us</w:t>
      </w:r>
      <w:r w:rsidR="00C85F95" w:rsidRPr="0001429F">
        <w:rPr>
          <w:sz w:val="26"/>
          <w:szCs w:val="26"/>
          <w:lang w:val="lt-LT"/>
        </w:rPr>
        <w:t xml:space="preserve">. </w:t>
      </w:r>
      <w:r w:rsidRPr="0001429F">
        <w:rPr>
          <w:sz w:val="26"/>
          <w:szCs w:val="26"/>
          <w:lang w:val="lt-LT"/>
        </w:rPr>
        <w:t xml:space="preserve">Dažnai praktikoje </w:t>
      </w:r>
      <w:r w:rsidR="00AF77D8" w:rsidRPr="0001429F">
        <w:rPr>
          <w:sz w:val="26"/>
          <w:szCs w:val="26"/>
          <w:lang w:val="lt-LT"/>
        </w:rPr>
        <w:t xml:space="preserve">audito </w:t>
      </w:r>
      <w:r w:rsidRPr="0001429F">
        <w:rPr>
          <w:sz w:val="26"/>
          <w:szCs w:val="26"/>
          <w:lang w:val="lt-LT"/>
        </w:rPr>
        <w:t xml:space="preserve">įrodymai susiję su kontrolės </w:t>
      </w:r>
      <w:r w:rsidR="0070205F" w:rsidRPr="0001429F">
        <w:rPr>
          <w:sz w:val="26"/>
          <w:szCs w:val="26"/>
          <w:lang w:val="lt-LT"/>
        </w:rPr>
        <w:t xml:space="preserve">veiksmingumu </w:t>
      </w:r>
      <w:r w:rsidRPr="0001429F">
        <w:rPr>
          <w:sz w:val="26"/>
          <w:szCs w:val="26"/>
          <w:lang w:val="lt-LT"/>
        </w:rPr>
        <w:t xml:space="preserve">renkami kartu su </w:t>
      </w:r>
      <w:r w:rsidR="0070205F" w:rsidRPr="0001429F">
        <w:rPr>
          <w:sz w:val="26"/>
          <w:szCs w:val="26"/>
          <w:lang w:val="lt-LT"/>
        </w:rPr>
        <w:t>detalių</w:t>
      </w:r>
      <w:r w:rsidRPr="0001429F">
        <w:rPr>
          <w:sz w:val="26"/>
          <w:szCs w:val="26"/>
          <w:lang w:val="lt-LT"/>
        </w:rPr>
        <w:t xml:space="preserve"> testų įrodymais </w:t>
      </w:r>
      <w:r w:rsidR="00AF77D8" w:rsidRPr="0001429F">
        <w:rPr>
          <w:sz w:val="26"/>
          <w:szCs w:val="26"/>
          <w:lang w:val="lt-LT"/>
        </w:rPr>
        <w:t>(atliekami</w:t>
      </w:r>
      <w:r w:rsidRPr="0001429F">
        <w:rPr>
          <w:sz w:val="26"/>
          <w:szCs w:val="26"/>
          <w:lang w:val="lt-LT"/>
        </w:rPr>
        <w:t xml:space="preserve"> dvigubos naudos test</w:t>
      </w:r>
      <w:r w:rsidR="00AF77D8" w:rsidRPr="0001429F">
        <w:rPr>
          <w:sz w:val="26"/>
          <w:szCs w:val="26"/>
          <w:lang w:val="lt-LT"/>
        </w:rPr>
        <w:t>ai</w:t>
      </w:r>
      <w:r w:rsidRPr="0001429F">
        <w:rPr>
          <w:sz w:val="26"/>
          <w:szCs w:val="26"/>
          <w:lang w:val="lt-LT"/>
        </w:rPr>
        <w:t xml:space="preserve">). </w:t>
      </w:r>
      <w:r w:rsidR="00DD7D35" w:rsidRPr="0001429F">
        <w:rPr>
          <w:sz w:val="26"/>
          <w:szCs w:val="26"/>
          <w:lang w:val="lt-LT"/>
        </w:rPr>
        <w:t xml:space="preserve">Todėl </w:t>
      </w:r>
      <w:r w:rsidR="00AF77D8" w:rsidRPr="0001429F">
        <w:rPr>
          <w:sz w:val="26"/>
          <w:szCs w:val="26"/>
          <w:lang w:val="lt-LT"/>
        </w:rPr>
        <w:t>ABREMA m</w:t>
      </w:r>
      <w:r w:rsidRPr="0001429F">
        <w:rPr>
          <w:sz w:val="26"/>
          <w:szCs w:val="26"/>
          <w:lang w:val="lt-LT"/>
        </w:rPr>
        <w:t xml:space="preserve">odelio nesėkmė </w:t>
      </w:r>
      <w:r w:rsidR="00DD7D35" w:rsidRPr="0001429F">
        <w:rPr>
          <w:sz w:val="26"/>
          <w:szCs w:val="26"/>
          <w:lang w:val="lt-LT"/>
        </w:rPr>
        <w:t xml:space="preserve">yra </w:t>
      </w:r>
      <w:r w:rsidRPr="0001429F">
        <w:rPr>
          <w:sz w:val="26"/>
          <w:szCs w:val="26"/>
          <w:lang w:val="lt-LT"/>
        </w:rPr>
        <w:t>ta, kad</w:t>
      </w:r>
      <w:r w:rsidR="00F70FFA" w:rsidRPr="0001429F">
        <w:rPr>
          <w:sz w:val="26"/>
          <w:szCs w:val="26"/>
          <w:lang w:val="lt-LT"/>
        </w:rPr>
        <w:t xml:space="preserve"> </w:t>
      </w:r>
      <w:r w:rsidR="00DD7D35" w:rsidRPr="0001429F">
        <w:rPr>
          <w:sz w:val="26"/>
          <w:szCs w:val="26"/>
          <w:lang w:val="lt-LT"/>
        </w:rPr>
        <w:t xml:space="preserve">jis </w:t>
      </w:r>
      <w:r w:rsidR="00F70FFA" w:rsidRPr="0001429F">
        <w:rPr>
          <w:sz w:val="26"/>
          <w:szCs w:val="26"/>
          <w:lang w:val="lt-LT"/>
        </w:rPr>
        <w:t xml:space="preserve">sukurtas </w:t>
      </w:r>
      <w:r w:rsidR="00B61BF3" w:rsidRPr="0001429F">
        <w:rPr>
          <w:sz w:val="26"/>
          <w:szCs w:val="26"/>
          <w:lang w:val="lt-LT"/>
        </w:rPr>
        <w:t xml:space="preserve">lyg </w:t>
      </w:r>
      <w:r w:rsidR="00F70FFA" w:rsidRPr="0001429F">
        <w:rPr>
          <w:sz w:val="26"/>
          <w:szCs w:val="26"/>
          <w:lang w:val="lt-LT"/>
        </w:rPr>
        <w:t>ta</w:t>
      </w:r>
      <w:r w:rsidR="00117B4F" w:rsidRPr="0001429F">
        <w:rPr>
          <w:sz w:val="26"/>
          <w:szCs w:val="26"/>
          <w:lang w:val="lt-LT"/>
        </w:rPr>
        <w:t>ip</w:t>
      </w:r>
      <w:r w:rsidR="00F70FFA" w:rsidRPr="0001429F">
        <w:rPr>
          <w:sz w:val="26"/>
          <w:szCs w:val="26"/>
          <w:lang w:val="lt-LT"/>
        </w:rPr>
        <w:t xml:space="preserve">, kad </w:t>
      </w:r>
      <w:r w:rsidR="00117B4F" w:rsidRPr="0001429F">
        <w:rPr>
          <w:sz w:val="26"/>
          <w:szCs w:val="26"/>
          <w:lang w:val="lt-LT"/>
        </w:rPr>
        <w:t xml:space="preserve">pabrėžtų </w:t>
      </w:r>
      <w:r w:rsidR="00F70FFA" w:rsidRPr="0001429F">
        <w:rPr>
          <w:sz w:val="26"/>
          <w:szCs w:val="26"/>
          <w:lang w:val="lt-LT"/>
        </w:rPr>
        <w:t>detalių</w:t>
      </w:r>
      <w:r w:rsidRPr="0001429F">
        <w:rPr>
          <w:sz w:val="26"/>
          <w:szCs w:val="26"/>
          <w:lang w:val="lt-LT"/>
        </w:rPr>
        <w:t xml:space="preserve"> </w:t>
      </w:r>
      <w:r w:rsidR="00A1477E" w:rsidRPr="0001429F">
        <w:rPr>
          <w:sz w:val="26"/>
          <w:szCs w:val="26"/>
          <w:lang w:val="lt-LT"/>
        </w:rPr>
        <w:t>procedūrų</w:t>
      </w:r>
      <w:r w:rsidRPr="0001429F">
        <w:rPr>
          <w:sz w:val="26"/>
          <w:szCs w:val="26"/>
          <w:lang w:val="lt-LT"/>
        </w:rPr>
        <w:t xml:space="preserve"> pobūd</w:t>
      </w:r>
      <w:r w:rsidR="00A1477E" w:rsidRPr="0001429F">
        <w:rPr>
          <w:sz w:val="26"/>
          <w:szCs w:val="26"/>
          <w:lang w:val="lt-LT"/>
        </w:rPr>
        <w:t>žio</w:t>
      </w:r>
      <w:r w:rsidRPr="0001429F">
        <w:rPr>
          <w:sz w:val="26"/>
          <w:szCs w:val="26"/>
          <w:lang w:val="lt-LT"/>
        </w:rPr>
        <w:t xml:space="preserve">, laiko ir apimties priklausomybę </w:t>
      </w:r>
      <w:r w:rsidR="00A1477E" w:rsidRPr="0001429F">
        <w:rPr>
          <w:sz w:val="26"/>
          <w:szCs w:val="26"/>
          <w:lang w:val="lt-LT"/>
        </w:rPr>
        <w:t xml:space="preserve">nuo </w:t>
      </w:r>
      <w:r w:rsidRPr="0001429F">
        <w:rPr>
          <w:sz w:val="26"/>
          <w:szCs w:val="26"/>
          <w:lang w:val="lt-LT"/>
        </w:rPr>
        <w:t>kontrolės testų rezultat</w:t>
      </w:r>
      <w:r w:rsidR="00A1477E" w:rsidRPr="0001429F">
        <w:rPr>
          <w:sz w:val="26"/>
          <w:szCs w:val="26"/>
          <w:lang w:val="lt-LT"/>
        </w:rPr>
        <w:t>ų</w:t>
      </w:r>
      <w:r w:rsidRPr="0001429F">
        <w:rPr>
          <w:sz w:val="26"/>
          <w:szCs w:val="26"/>
          <w:lang w:val="lt-LT"/>
        </w:rPr>
        <w:t>.</w:t>
      </w:r>
    </w:p>
    <w:p w:rsidR="000E7759" w:rsidRPr="0001429F" w:rsidRDefault="00AA2541" w:rsidP="000E7759">
      <w:pPr>
        <w:spacing w:line="360" w:lineRule="auto"/>
        <w:ind w:firstLine="720"/>
        <w:jc w:val="both"/>
        <w:rPr>
          <w:sz w:val="26"/>
          <w:szCs w:val="26"/>
          <w:lang w:val="lt-LT"/>
        </w:rPr>
      </w:pPr>
      <w:bookmarkStart w:id="36" w:name="_Toc70063224"/>
      <w:bookmarkStart w:id="37" w:name="_Toc72067643"/>
      <w:bookmarkStart w:id="38" w:name="_Toc72067798"/>
      <w:bookmarkStart w:id="39" w:name="_Toc72497296"/>
      <w:r w:rsidRPr="0001429F">
        <w:rPr>
          <w:sz w:val="26"/>
          <w:szCs w:val="26"/>
          <w:lang w:val="lt-LT"/>
        </w:rPr>
        <w:t>Nepaisant to,</w:t>
      </w:r>
      <w:r w:rsidR="006E59AE" w:rsidRPr="0001429F">
        <w:rPr>
          <w:sz w:val="26"/>
          <w:szCs w:val="26"/>
          <w:lang w:val="lt-LT"/>
        </w:rPr>
        <w:t xml:space="preserve"> </w:t>
      </w:r>
      <w:r w:rsidR="000E7759" w:rsidRPr="0001429F">
        <w:rPr>
          <w:sz w:val="26"/>
          <w:szCs w:val="26"/>
          <w:lang w:val="lt-LT"/>
        </w:rPr>
        <w:t xml:space="preserve">darbo </w:t>
      </w:r>
      <w:r w:rsidR="006E59AE" w:rsidRPr="0001429F">
        <w:rPr>
          <w:sz w:val="26"/>
          <w:szCs w:val="26"/>
          <w:lang w:val="lt-LT"/>
        </w:rPr>
        <w:t xml:space="preserve">autorės nuomone, </w:t>
      </w:r>
      <w:r w:rsidR="000B7F78" w:rsidRPr="0001429F">
        <w:rPr>
          <w:sz w:val="26"/>
          <w:szCs w:val="26"/>
          <w:lang w:val="lt-LT"/>
        </w:rPr>
        <w:t xml:space="preserve">ABREMA modelis svarbus </w:t>
      </w:r>
      <w:r w:rsidR="006E59AE" w:rsidRPr="0001429F">
        <w:rPr>
          <w:sz w:val="26"/>
          <w:szCs w:val="26"/>
          <w:lang w:val="lt-LT"/>
        </w:rPr>
        <w:t xml:space="preserve">yra </w:t>
      </w:r>
      <w:r w:rsidR="000B7F78" w:rsidRPr="0001429F">
        <w:rPr>
          <w:sz w:val="26"/>
          <w:szCs w:val="26"/>
          <w:lang w:val="lt-LT"/>
        </w:rPr>
        <w:t xml:space="preserve">tuo, kad </w:t>
      </w:r>
      <w:r w:rsidRPr="0001429F">
        <w:rPr>
          <w:sz w:val="26"/>
          <w:szCs w:val="26"/>
          <w:lang w:val="lt-LT"/>
        </w:rPr>
        <w:t>audito rizikos vertinim</w:t>
      </w:r>
      <w:r w:rsidR="00ED5FF5" w:rsidRPr="0001429F">
        <w:rPr>
          <w:sz w:val="26"/>
          <w:szCs w:val="26"/>
          <w:lang w:val="lt-LT"/>
        </w:rPr>
        <w:t>o eigą</w:t>
      </w:r>
      <w:r w:rsidRPr="0001429F">
        <w:rPr>
          <w:sz w:val="26"/>
          <w:szCs w:val="26"/>
          <w:lang w:val="lt-LT"/>
        </w:rPr>
        <w:t xml:space="preserve"> </w:t>
      </w:r>
      <w:r w:rsidR="000B7F78" w:rsidRPr="0001429F">
        <w:rPr>
          <w:sz w:val="26"/>
          <w:szCs w:val="26"/>
          <w:lang w:val="lt-LT"/>
        </w:rPr>
        <w:t xml:space="preserve">iliustruoja </w:t>
      </w:r>
      <w:r w:rsidRPr="0001429F">
        <w:rPr>
          <w:sz w:val="26"/>
          <w:szCs w:val="26"/>
          <w:lang w:val="lt-LT"/>
        </w:rPr>
        <w:t xml:space="preserve">per </w:t>
      </w:r>
      <w:r w:rsidR="000B7F78" w:rsidRPr="0001429F">
        <w:rPr>
          <w:sz w:val="26"/>
          <w:szCs w:val="26"/>
          <w:lang w:val="lt-LT"/>
        </w:rPr>
        <w:t xml:space="preserve">audito </w:t>
      </w:r>
      <w:r w:rsidRPr="0001429F">
        <w:rPr>
          <w:sz w:val="26"/>
          <w:szCs w:val="26"/>
          <w:lang w:val="lt-LT"/>
        </w:rPr>
        <w:t>etapų prizmę.</w:t>
      </w:r>
    </w:p>
    <w:p w:rsidR="00D45554" w:rsidRDefault="00E25794" w:rsidP="00290BC2">
      <w:pPr>
        <w:spacing w:line="360" w:lineRule="auto"/>
        <w:ind w:firstLine="720"/>
        <w:jc w:val="both"/>
        <w:rPr>
          <w:sz w:val="26"/>
          <w:szCs w:val="26"/>
          <w:lang w:val="lt-LT"/>
        </w:rPr>
      </w:pPr>
      <w:r w:rsidRPr="0001429F">
        <w:rPr>
          <w:b/>
          <w:sz w:val="26"/>
          <w:szCs w:val="26"/>
          <w:lang w:val="lt-LT"/>
        </w:rPr>
        <w:t xml:space="preserve">V. </w:t>
      </w:r>
      <w:r w:rsidR="009B6941" w:rsidRPr="0001429F">
        <w:rPr>
          <w:b/>
          <w:sz w:val="26"/>
          <w:szCs w:val="26"/>
          <w:lang w:val="lt-LT"/>
        </w:rPr>
        <w:t xml:space="preserve">Beatie, </w:t>
      </w:r>
      <w:r w:rsidRPr="0001429F">
        <w:rPr>
          <w:b/>
          <w:sz w:val="26"/>
          <w:szCs w:val="26"/>
          <w:lang w:val="lt-LT"/>
        </w:rPr>
        <w:t>S.</w:t>
      </w:r>
      <w:r w:rsidR="00F358A1" w:rsidRPr="0001429F">
        <w:rPr>
          <w:b/>
          <w:sz w:val="26"/>
          <w:szCs w:val="26"/>
          <w:lang w:val="lt-LT"/>
        </w:rPr>
        <w:t xml:space="preserve"> </w:t>
      </w:r>
      <w:r w:rsidR="009B6941" w:rsidRPr="0001429F">
        <w:rPr>
          <w:b/>
          <w:sz w:val="26"/>
          <w:szCs w:val="26"/>
          <w:lang w:val="lt-LT"/>
        </w:rPr>
        <w:t xml:space="preserve">Fearnley ir </w:t>
      </w:r>
      <w:r w:rsidRPr="0001429F">
        <w:rPr>
          <w:b/>
          <w:sz w:val="26"/>
          <w:szCs w:val="26"/>
          <w:lang w:val="lt-LT"/>
        </w:rPr>
        <w:t xml:space="preserve">R. </w:t>
      </w:r>
      <w:r w:rsidR="009B6941" w:rsidRPr="0001429F">
        <w:rPr>
          <w:b/>
          <w:sz w:val="26"/>
          <w:szCs w:val="26"/>
          <w:lang w:val="lt-LT"/>
        </w:rPr>
        <w:t>Brandt audito rizikos modelis</w:t>
      </w:r>
      <w:bookmarkEnd w:id="36"/>
      <w:bookmarkEnd w:id="37"/>
      <w:bookmarkEnd w:id="38"/>
      <w:bookmarkEnd w:id="39"/>
      <w:r w:rsidR="000E7759" w:rsidRPr="0001429F">
        <w:rPr>
          <w:sz w:val="26"/>
          <w:szCs w:val="26"/>
          <w:lang w:val="lt-LT"/>
        </w:rPr>
        <w:t xml:space="preserve">. </w:t>
      </w:r>
      <w:r w:rsidR="009B6941" w:rsidRPr="0001429F">
        <w:rPr>
          <w:sz w:val="26"/>
          <w:szCs w:val="26"/>
          <w:lang w:val="lt-LT"/>
        </w:rPr>
        <w:t>V. Beatie, S. Fearnley ir R. Brandt (2002</w:t>
      </w:r>
      <w:r w:rsidR="00D57A85" w:rsidRPr="0001429F">
        <w:rPr>
          <w:sz w:val="26"/>
          <w:szCs w:val="26"/>
          <w:lang w:val="lt-LT"/>
        </w:rPr>
        <w:t>, 2005</w:t>
      </w:r>
      <w:r w:rsidR="009B6941" w:rsidRPr="0001429F">
        <w:rPr>
          <w:sz w:val="26"/>
          <w:szCs w:val="26"/>
          <w:lang w:val="lt-LT"/>
        </w:rPr>
        <w:t xml:space="preserve">), apibūdindami audito rizikos esmę, akcentuoja, kad auditoriui gali nepavykti aptikti reikšmingų iškraipymų arba, aptikus juos, jų neatpažinti, dėl trijų pagrindinių priežasčių: 1) kadangi auditas </w:t>
      </w:r>
      <w:r w:rsidR="009B6941" w:rsidRPr="0001429F">
        <w:rPr>
          <w:sz w:val="26"/>
          <w:szCs w:val="26"/>
          <w:lang w:val="lt-LT"/>
        </w:rPr>
        <w:lastRenderedPageBreak/>
        <w:t>buvo atliktas ne</w:t>
      </w:r>
      <w:r w:rsidR="0025219E" w:rsidRPr="0001429F">
        <w:rPr>
          <w:sz w:val="26"/>
          <w:szCs w:val="26"/>
          <w:lang w:val="lt-LT"/>
        </w:rPr>
        <w:t>silaikanti</w:t>
      </w:r>
      <w:r w:rsidR="009B6941" w:rsidRPr="0001429F">
        <w:rPr>
          <w:sz w:val="26"/>
          <w:szCs w:val="26"/>
          <w:lang w:val="lt-LT"/>
        </w:rPr>
        <w:t>s standartų – t.</w:t>
      </w:r>
      <w:r w:rsidR="00F70FFA" w:rsidRPr="0001429F">
        <w:rPr>
          <w:sz w:val="26"/>
          <w:szCs w:val="26"/>
          <w:lang w:val="lt-LT"/>
        </w:rPr>
        <w:t xml:space="preserve"> </w:t>
      </w:r>
      <w:r w:rsidR="009B6941" w:rsidRPr="0001429F">
        <w:rPr>
          <w:sz w:val="26"/>
          <w:szCs w:val="26"/>
          <w:lang w:val="lt-LT"/>
        </w:rPr>
        <w:t>y. auditorius nėra kompetentingas; 2)</w:t>
      </w:r>
      <w:r w:rsidR="00233C9A">
        <w:rPr>
          <w:sz w:val="26"/>
          <w:szCs w:val="26"/>
          <w:lang w:val="lt-LT"/>
        </w:rPr>
        <w:t> </w:t>
      </w:r>
      <w:r w:rsidR="009B6941" w:rsidRPr="0001429F">
        <w:rPr>
          <w:sz w:val="26"/>
          <w:szCs w:val="26"/>
          <w:lang w:val="lt-LT"/>
        </w:rPr>
        <w:t>auditorius, nustatęs reikšmingus iškraipymus, jų nepraneša arba neištaiso – t.</w:t>
      </w:r>
      <w:r w:rsidR="00F70FFA" w:rsidRPr="0001429F">
        <w:rPr>
          <w:sz w:val="26"/>
          <w:szCs w:val="26"/>
          <w:lang w:val="lt-LT"/>
        </w:rPr>
        <w:t xml:space="preserve"> </w:t>
      </w:r>
      <w:r w:rsidR="009B6941" w:rsidRPr="0001429F">
        <w:rPr>
          <w:sz w:val="26"/>
          <w:szCs w:val="26"/>
          <w:lang w:val="lt-LT"/>
        </w:rPr>
        <w:t>y. auditoriui trūksta nepriklausom</w:t>
      </w:r>
      <w:r w:rsidR="00F70FFA" w:rsidRPr="0001429F">
        <w:rPr>
          <w:sz w:val="26"/>
          <w:szCs w:val="26"/>
          <w:lang w:val="lt-LT"/>
        </w:rPr>
        <w:t>umo</w:t>
      </w:r>
      <w:r w:rsidR="009B6941" w:rsidRPr="0001429F">
        <w:rPr>
          <w:sz w:val="26"/>
          <w:szCs w:val="26"/>
          <w:lang w:val="lt-LT"/>
        </w:rPr>
        <w:t xml:space="preserve">; 3) įmonės vadovybė siekia tyčia suklaidinti auditorių. Paskutiniuoju atveju, auditorius nebus atsakingas už nepasisekimą aptikti </w:t>
      </w:r>
      <w:r w:rsidR="00B72C3E" w:rsidRPr="0001429F">
        <w:rPr>
          <w:sz w:val="26"/>
          <w:szCs w:val="26"/>
          <w:lang w:val="lt-LT"/>
        </w:rPr>
        <w:t>iškraipymus</w:t>
      </w:r>
      <w:r w:rsidR="009B6941" w:rsidRPr="0001429F">
        <w:rPr>
          <w:sz w:val="26"/>
          <w:szCs w:val="26"/>
          <w:lang w:val="lt-LT"/>
        </w:rPr>
        <w:t>, o pirmosios dvi priežastys priskirtinos audito nesėkmei. Todėl autoriai (</w:t>
      </w:r>
      <w:r w:rsidR="00757907" w:rsidRPr="0001429F">
        <w:rPr>
          <w:sz w:val="26"/>
          <w:szCs w:val="26"/>
          <w:lang w:val="lt-LT"/>
        </w:rPr>
        <w:t xml:space="preserve">V. </w:t>
      </w:r>
      <w:r w:rsidR="009B6941" w:rsidRPr="0001429F">
        <w:rPr>
          <w:sz w:val="26"/>
          <w:szCs w:val="26"/>
          <w:lang w:val="lt-LT"/>
        </w:rPr>
        <w:t xml:space="preserve">Beatie, </w:t>
      </w:r>
      <w:r w:rsidR="00757907" w:rsidRPr="0001429F">
        <w:rPr>
          <w:sz w:val="26"/>
          <w:szCs w:val="26"/>
          <w:lang w:val="lt-LT"/>
        </w:rPr>
        <w:t xml:space="preserve">S. </w:t>
      </w:r>
      <w:r w:rsidR="009B6941" w:rsidRPr="0001429F">
        <w:rPr>
          <w:sz w:val="26"/>
          <w:szCs w:val="26"/>
          <w:lang w:val="lt-LT"/>
        </w:rPr>
        <w:t>Fearnley</w:t>
      </w:r>
      <w:r w:rsidR="00757907" w:rsidRPr="0001429F">
        <w:rPr>
          <w:sz w:val="26"/>
          <w:szCs w:val="26"/>
          <w:lang w:val="lt-LT"/>
        </w:rPr>
        <w:t xml:space="preserve"> ir R.</w:t>
      </w:r>
      <w:r w:rsidR="0025219E" w:rsidRPr="0001429F">
        <w:rPr>
          <w:sz w:val="26"/>
          <w:szCs w:val="26"/>
          <w:lang w:val="lt-LT"/>
        </w:rPr>
        <w:t xml:space="preserve"> Brandt, 2002</w:t>
      </w:r>
      <w:r w:rsidR="00D57A85" w:rsidRPr="0001429F">
        <w:rPr>
          <w:sz w:val="26"/>
          <w:szCs w:val="26"/>
          <w:lang w:val="lt-LT"/>
        </w:rPr>
        <w:t>, 2005</w:t>
      </w:r>
      <w:r w:rsidR="0025219E" w:rsidRPr="0001429F">
        <w:rPr>
          <w:sz w:val="26"/>
          <w:szCs w:val="26"/>
          <w:lang w:val="lt-LT"/>
        </w:rPr>
        <w:t>) akcentuoja, kad</w:t>
      </w:r>
      <w:r w:rsidR="009B6941" w:rsidRPr="0001429F">
        <w:rPr>
          <w:sz w:val="26"/>
          <w:szCs w:val="26"/>
          <w:lang w:val="lt-LT"/>
        </w:rPr>
        <w:t xml:space="preserve">: 1) klasikinis audito rizikos modelis apsiriboja tik </w:t>
      </w:r>
      <w:r w:rsidR="002112E1" w:rsidRPr="0001429F">
        <w:rPr>
          <w:sz w:val="26"/>
          <w:szCs w:val="26"/>
          <w:lang w:val="lt-LT"/>
        </w:rPr>
        <w:t xml:space="preserve">ties </w:t>
      </w:r>
      <w:r w:rsidR="009B6941" w:rsidRPr="0001429F">
        <w:rPr>
          <w:sz w:val="26"/>
          <w:szCs w:val="26"/>
          <w:lang w:val="lt-LT"/>
        </w:rPr>
        <w:t>aptikimo rizika, t.</w:t>
      </w:r>
      <w:r w:rsidR="00F70FFA" w:rsidRPr="0001429F">
        <w:rPr>
          <w:sz w:val="26"/>
          <w:szCs w:val="26"/>
          <w:lang w:val="lt-LT"/>
        </w:rPr>
        <w:t xml:space="preserve"> </w:t>
      </w:r>
      <w:r w:rsidR="009B6941" w:rsidRPr="0001429F">
        <w:rPr>
          <w:sz w:val="26"/>
          <w:szCs w:val="26"/>
          <w:lang w:val="lt-LT"/>
        </w:rPr>
        <w:t>y. ties riba kuomet audito įmonė identifikuoja problemą</w:t>
      </w:r>
      <w:r w:rsidR="00AA2541" w:rsidRPr="0001429F">
        <w:rPr>
          <w:sz w:val="26"/>
          <w:szCs w:val="26"/>
          <w:lang w:val="lt-LT"/>
        </w:rPr>
        <w:t>, bet p</w:t>
      </w:r>
      <w:r w:rsidR="009B6941" w:rsidRPr="0001429F">
        <w:rPr>
          <w:sz w:val="26"/>
          <w:szCs w:val="26"/>
          <w:lang w:val="lt-LT"/>
        </w:rPr>
        <w:t xml:space="preserve">roblemos identifikavimo faktas dar nereiškia, kad bus pateikta tinkama </w:t>
      </w:r>
      <w:r w:rsidR="00F70FFA" w:rsidRPr="0001429F">
        <w:rPr>
          <w:sz w:val="26"/>
          <w:szCs w:val="26"/>
          <w:lang w:val="lt-LT"/>
        </w:rPr>
        <w:t xml:space="preserve">auditoriaus </w:t>
      </w:r>
      <w:r w:rsidR="00AA2541" w:rsidRPr="0001429F">
        <w:rPr>
          <w:sz w:val="26"/>
          <w:szCs w:val="26"/>
          <w:lang w:val="lt-LT"/>
        </w:rPr>
        <w:t>išvada. Ir jei audito įmonei</w:t>
      </w:r>
      <w:r w:rsidR="007E77D4" w:rsidRPr="0001429F">
        <w:rPr>
          <w:sz w:val="26"/>
          <w:szCs w:val="26"/>
          <w:lang w:val="lt-LT"/>
        </w:rPr>
        <w:t xml:space="preserve"> (</w:t>
      </w:r>
      <w:r w:rsidR="00725432" w:rsidRPr="0001429F">
        <w:rPr>
          <w:sz w:val="26"/>
          <w:szCs w:val="26"/>
          <w:lang w:val="lt-LT"/>
        </w:rPr>
        <w:t>auditoriui</w:t>
      </w:r>
      <w:r w:rsidR="007E77D4" w:rsidRPr="0001429F">
        <w:rPr>
          <w:sz w:val="26"/>
          <w:szCs w:val="26"/>
          <w:lang w:val="lt-LT"/>
        </w:rPr>
        <w:t>)</w:t>
      </w:r>
      <w:r w:rsidR="00725432" w:rsidRPr="0001429F">
        <w:rPr>
          <w:sz w:val="26"/>
          <w:szCs w:val="26"/>
          <w:lang w:val="lt-LT"/>
        </w:rPr>
        <w:t xml:space="preserve"> </w:t>
      </w:r>
      <w:r w:rsidR="009B6941" w:rsidRPr="0001429F">
        <w:rPr>
          <w:sz w:val="26"/>
          <w:szCs w:val="26"/>
          <w:lang w:val="lt-LT"/>
        </w:rPr>
        <w:t xml:space="preserve">dėl tam tikrų priežasčių trūksta </w:t>
      </w:r>
      <w:r w:rsidR="00725432" w:rsidRPr="0001429F">
        <w:rPr>
          <w:sz w:val="26"/>
          <w:szCs w:val="26"/>
          <w:lang w:val="lt-LT"/>
        </w:rPr>
        <w:t xml:space="preserve">nuomonės </w:t>
      </w:r>
      <w:r w:rsidR="009B6941" w:rsidRPr="0001429F">
        <w:rPr>
          <w:sz w:val="26"/>
          <w:szCs w:val="26"/>
          <w:lang w:val="lt-LT"/>
        </w:rPr>
        <w:t>nepriklausom</w:t>
      </w:r>
      <w:r w:rsidR="00F70FFA" w:rsidRPr="0001429F">
        <w:rPr>
          <w:sz w:val="26"/>
          <w:szCs w:val="26"/>
          <w:lang w:val="lt-LT"/>
        </w:rPr>
        <w:t>umo</w:t>
      </w:r>
      <w:r w:rsidR="009B6941" w:rsidRPr="0001429F">
        <w:rPr>
          <w:sz w:val="26"/>
          <w:szCs w:val="26"/>
          <w:lang w:val="lt-LT"/>
        </w:rPr>
        <w:t xml:space="preserve">, </w:t>
      </w:r>
      <w:r w:rsidR="00725432" w:rsidRPr="0001429F">
        <w:rPr>
          <w:sz w:val="26"/>
          <w:szCs w:val="26"/>
          <w:lang w:val="lt-LT"/>
        </w:rPr>
        <w:t>bus</w:t>
      </w:r>
      <w:r w:rsidR="009B6941" w:rsidRPr="0001429F">
        <w:rPr>
          <w:sz w:val="26"/>
          <w:szCs w:val="26"/>
          <w:lang w:val="lt-LT"/>
        </w:rPr>
        <w:t xml:space="preserve"> ne</w:t>
      </w:r>
      <w:r w:rsidR="00725432" w:rsidRPr="0001429F">
        <w:rPr>
          <w:sz w:val="26"/>
          <w:szCs w:val="26"/>
          <w:lang w:val="lt-LT"/>
        </w:rPr>
        <w:t>įmanoma</w:t>
      </w:r>
      <w:r w:rsidR="009B6941" w:rsidRPr="0001429F">
        <w:rPr>
          <w:sz w:val="26"/>
          <w:szCs w:val="26"/>
          <w:lang w:val="lt-LT"/>
        </w:rPr>
        <w:t xml:space="preserve"> pa</w:t>
      </w:r>
      <w:r w:rsidR="00725432" w:rsidRPr="0001429F">
        <w:rPr>
          <w:sz w:val="26"/>
          <w:szCs w:val="26"/>
          <w:lang w:val="lt-LT"/>
        </w:rPr>
        <w:t xml:space="preserve">reikšti </w:t>
      </w:r>
      <w:r w:rsidR="009B6941" w:rsidRPr="0001429F">
        <w:rPr>
          <w:sz w:val="26"/>
          <w:szCs w:val="26"/>
          <w:lang w:val="lt-LT"/>
        </w:rPr>
        <w:t xml:space="preserve">teisingos </w:t>
      </w:r>
      <w:r w:rsidR="00725432" w:rsidRPr="0001429F">
        <w:rPr>
          <w:sz w:val="26"/>
          <w:szCs w:val="26"/>
          <w:lang w:val="lt-LT"/>
        </w:rPr>
        <w:t>nuomonės</w:t>
      </w:r>
      <w:r w:rsidR="009B6941" w:rsidRPr="0001429F">
        <w:rPr>
          <w:sz w:val="26"/>
          <w:szCs w:val="26"/>
          <w:lang w:val="lt-LT"/>
        </w:rPr>
        <w:t>. Todėl auditoriaus nepriklausom</w:t>
      </w:r>
      <w:r w:rsidR="00F70FFA" w:rsidRPr="0001429F">
        <w:rPr>
          <w:sz w:val="26"/>
          <w:szCs w:val="26"/>
          <w:lang w:val="lt-LT"/>
        </w:rPr>
        <w:t>umo</w:t>
      </w:r>
      <w:r w:rsidR="009B6941" w:rsidRPr="0001429F">
        <w:rPr>
          <w:sz w:val="26"/>
          <w:szCs w:val="26"/>
          <w:lang w:val="lt-LT"/>
        </w:rPr>
        <w:t xml:space="preserve"> faktorius turi būti įtrauktas į audito rizikos modelį; 2) audito rizikos modelyje turėtų būti kreipiamas dėmesys į </w:t>
      </w:r>
      <w:r w:rsidR="007E77D4" w:rsidRPr="0001429F">
        <w:rPr>
          <w:sz w:val="26"/>
          <w:szCs w:val="26"/>
          <w:lang w:val="lt-LT"/>
        </w:rPr>
        <w:t>audito įmonės (auditoriaus)</w:t>
      </w:r>
      <w:r w:rsidR="009B6941" w:rsidRPr="0001429F">
        <w:rPr>
          <w:sz w:val="26"/>
          <w:szCs w:val="26"/>
          <w:lang w:val="lt-LT"/>
        </w:rPr>
        <w:t xml:space="preserve"> sugebėjimą tinkamai spręsti problemas su kuriomis susiduria. Nesugebėjimas atpažinti problemų svarbos atsiradusių iš audito yra ne kas k</w:t>
      </w:r>
      <w:r w:rsidR="001B0719" w:rsidRPr="0001429F">
        <w:rPr>
          <w:sz w:val="26"/>
          <w:szCs w:val="26"/>
          <w:lang w:val="lt-LT"/>
        </w:rPr>
        <w:t>itas kaip kompetencijos rizika</w:t>
      </w:r>
      <w:r w:rsidR="007E77D4" w:rsidRPr="0001429F">
        <w:rPr>
          <w:sz w:val="26"/>
          <w:szCs w:val="26"/>
          <w:lang w:val="lt-LT"/>
        </w:rPr>
        <w:t xml:space="preserve"> (žr. 12 pav.)</w:t>
      </w:r>
      <w:r w:rsidR="001B0719" w:rsidRPr="0001429F">
        <w:rPr>
          <w:sz w:val="26"/>
          <w:szCs w:val="26"/>
          <w:lang w:val="lt-LT"/>
        </w:rPr>
        <w:t>.</w:t>
      </w:r>
      <w:r w:rsidR="00D45554" w:rsidRPr="0001429F">
        <w:rPr>
          <w:sz w:val="26"/>
          <w:szCs w:val="26"/>
          <w:lang w:val="lt-LT"/>
        </w:rPr>
        <w:t xml:space="preserve"> </w:t>
      </w:r>
    </w:p>
    <w:p w:rsidR="002F265F" w:rsidRDefault="00166819" w:rsidP="002F265F">
      <w:pPr>
        <w:spacing w:line="360" w:lineRule="auto"/>
        <w:jc w:val="both"/>
        <w:rPr>
          <w:sz w:val="26"/>
          <w:szCs w:val="26"/>
          <w:lang w:val="lt-LT"/>
        </w:rPr>
      </w:pPr>
      <w:r w:rsidRPr="00166819">
        <w:rPr>
          <w:sz w:val="24"/>
          <w:lang w:val="lt-LT"/>
        </w:rPr>
      </w:r>
      <w:r w:rsidRPr="00166819">
        <w:rPr>
          <w:sz w:val="24"/>
          <w:lang w:val="lt-LT"/>
        </w:rPr>
        <w:pict>
          <v:group id="_x0000_s74389" editas="canvas" style="width:418.15pt;height:236.4pt;mso-position-horizontal-relative:char;mso-position-vertical-relative:line" coordorigin="2546,8063" coordsize="6248,3532" o:allowincell="f">
            <o:lock v:ext="edit" aspectratio="t"/>
            <v:shape id="_x0000_s74390" type="#_x0000_t75" style="position:absolute;left:2546;top:8063;width:6248;height:3532" o:preferrelative="f">
              <v:fill o:detectmouseclick="t"/>
              <v:path o:extrusionok="t" o:connecttype="none"/>
              <o:lock v:ext="edit" text="t"/>
            </v:shape>
            <v:shape id="_x0000_s74395" type="#_x0000_t202" style="position:absolute;left:3505;top:9563;width:1058;height:613" filled="f">
              <v:textbox style="mso-next-textbox:#_x0000_s74395">
                <w:txbxContent>
                  <w:p w:rsidR="00BE5795" w:rsidRPr="002F265F" w:rsidRDefault="00BE5795" w:rsidP="002F265F">
                    <w:pPr>
                      <w:jc w:val="center"/>
                      <w:rPr>
                        <w:sz w:val="22"/>
                        <w:szCs w:val="22"/>
                        <w:lang w:val="lt-LT"/>
                      </w:rPr>
                    </w:pPr>
                    <w:r w:rsidRPr="002F265F">
                      <w:rPr>
                        <w:sz w:val="22"/>
                        <w:szCs w:val="22"/>
                        <w:lang w:val="lt-LT"/>
                      </w:rPr>
                      <w:t>Motyvacijos rizika</w:t>
                    </w:r>
                  </w:p>
                </w:txbxContent>
              </v:textbox>
            </v:shape>
            <v:line id="_x0000_s74411" style="position:absolute" from="7372,9338" to="7372,9489"/>
            <v:group id="_x0000_s74414" style="position:absolute;left:2546;top:8069;width:6248;height:3526" coordorigin="2546,8069" coordsize="6248,3526">
              <v:shape id="_x0000_s74391" type="#_x0000_t202" style="position:absolute;left:5096;top:8069;width:1165;height:675" filled="f">
                <v:textbox style="mso-next-textbox:#_x0000_s74391">
                  <w:txbxContent>
                    <w:p w:rsidR="00BE5795" w:rsidRPr="006541E3" w:rsidRDefault="00BE5795" w:rsidP="002F265F">
                      <w:pPr>
                        <w:jc w:val="center"/>
                        <w:rPr>
                          <w:b/>
                          <w:caps/>
                          <w:sz w:val="22"/>
                          <w:szCs w:val="22"/>
                          <w:lang w:val="lt-LT"/>
                        </w:rPr>
                      </w:pPr>
                      <w:r w:rsidRPr="006541E3">
                        <w:rPr>
                          <w:b/>
                          <w:caps/>
                          <w:sz w:val="22"/>
                          <w:szCs w:val="22"/>
                          <w:lang w:val="lt-LT"/>
                        </w:rPr>
                        <w:t>Bendra audito rizika</w:t>
                      </w:r>
                    </w:p>
                  </w:txbxContent>
                </v:textbox>
              </v:shape>
              <v:shape id="_x0000_s74392" type="#_x0000_t202" style="position:absolute;left:3354;top:8801;width:1433;height:537" filled="f">
                <v:textbox style="mso-next-textbox:#_x0000_s74392">
                  <w:txbxContent>
                    <w:p w:rsidR="00BE5795" w:rsidRPr="002F265F" w:rsidRDefault="00BE5795" w:rsidP="006541E3">
                      <w:pPr>
                        <w:spacing w:before="60"/>
                        <w:rPr>
                          <w:sz w:val="22"/>
                          <w:szCs w:val="22"/>
                          <w:lang w:val="lt-LT"/>
                        </w:rPr>
                      </w:pPr>
                      <w:r w:rsidRPr="002F265F">
                        <w:rPr>
                          <w:sz w:val="22"/>
                          <w:szCs w:val="22"/>
                          <w:lang w:val="lt-LT"/>
                        </w:rPr>
                        <w:t>Rizika dėl kliento</w:t>
                      </w:r>
                    </w:p>
                  </w:txbxContent>
                </v:textbox>
              </v:shape>
              <v:shape id="_x0000_s74393" type="#_x0000_t202" style="position:absolute;left:6551;top:8801;width:1569;height:537" filled="f">
                <v:textbox style="mso-next-textbox:#_x0000_s74393">
                  <w:txbxContent>
                    <w:p w:rsidR="00BE5795" w:rsidRPr="002F265F" w:rsidRDefault="00BE5795" w:rsidP="002F265F">
                      <w:pPr>
                        <w:jc w:val="center"/>
                        <w:rPr>
                          <w:sz w:val="22"/>
                          <w:szCs w:val="22"/>
                          <w:lang w:val="lt-LT"/>
                        </w:rPr>
                      </w:pPr>
                      <w:r w:rsidRPr="002F265F">
                        <w:rPr>
                          <w:sz w:val="22"/>
                          <w:szCs w:val="22"/>
                          <w:lang w:val="lt-LT"/>
                        </w:rPr>
                        <w:t>Rizika dėl audito įmonės</w:t>
                      </w:r>
                    </w:p>
                  </w:txbxContent>
                </v:textbox>
              </v:shape>
              <v:shape id="_x0000_s74394" type="#_x0000_t202" style="position:absolute;left:2546;top:9563;width:869;height:613" filled="f">
                <v:textbox style="mso-next-textbox:#_x0000_s74394">
                  <w:txbxContent>
                    <w:p w:rsidR="00BE5795" w:rsidRPr="002F265F" w:rsidRDefault="00BE5795" w:rsidP="002F265F">
                      <w:pPr>
                        <w:jc w:val="center"/>
                        <w:rPr>
                          <w:sz w:val="22"/>
                          <w:szCs w:val="22"/>
                          <w:lang w:val="lt-LT"/>
                        </w:rPr>
                      </w:pPr>
                      <w:r w:rsidRPr="002F265F">
                        <w:rPr>
                          <w:sz w:val="22"/>
                          <w:szCs w:val="22"/>
                          <w:lang w:val="lt-LT"/>
                        </w:rPr>
                        <w:t>Įgimta rizika</w:t>
                      </w:r>
                    </w:p>
                  </w:txbxContent>
                </v:textbox>
              </v:shape>
              <v:shape id="_x0000_s74396" type="#_x0000_t202" style="position:absolute;left:4668;top:9563;width:977;height:613" filled="f">
                <v:textbox style="mso-next-textbox:#_x0000_s74396">
                  <w:txbxContent>
                    <w:p w:rsidR="00BE5795" w:rsidRPr="002F265F" w:rsidRDefault="00BE5795" w:rsidP="002F265F">
                      <w:pPr>
                        <w:jc w:val="center"/>
                        <w:rPr>
                          <w:sz w:val="22"/>
                          <w:szCs w:val="22"/>
                          <w:lang w:val="lt-LT"/>
                        </w:rPr>
                      </w:pPr>
                      <w:r w:rsidRPr="002F265F">
                        <w:rPr>
                          <w:sz w:val="22"/>
                          <w:szCs w:val="22"/>
                          <w:lang w:val="lt-LT"/>
                        </w:rPr>
                        <w:t>Kontrolės rizika</w:t>
                      </w:r>
                    </w:p>
                  </w:txbxContent>
                </v:textbox>
              </v:shape>
              <v:shape id="_x0000_s74397" type="#_x0000_t202" style="position:absolute;left:5836;top:9473;width:939;height:703" filled="f">
                <v:textbox style="mso-next-textbox:#_x0000_s74397">
                  <w:txbxContent>
                    <w:p w:rsidR="00BE5795" w:rsidRPr="002F265F" w:rsidRDefault="00BE5795" w:rsidP="002F265F">
                      <w:pPr>
                        <w:jc w:val="center"/>
                        <w:rPr>
                          <w:sz w:val="22"/>
                          <w:szCs w:val="22"/>
                          <w:lang w:val="lt-LT"/>
                        </w:rPr>
                      </w:pPr>
                      <w:r w:rsidRPr="002F265F">
                        <w:rPr>
                          <w:sz w:val="22"/>
                          <w:szCs w:val="22"/>
                          <w:lang w:val="lt-LT"/>
                        </w:rPr>
                        <w:t>Aptikimo rizika</w:t>
                      </w:r>
                    </w:p>
                  </w:txbxContent>
                </v:textbox>
              </v:shape>
              <v:shape id="_x0000_s74398" type="#_x0000_t202" style="position:absolute;left:6894;top:9489;width:867;height:687" filled="f">
                <v:textbox style="mso-next-textbox:#_x0000_s74398">
                  <w:txbxContent>
                    <w:p w:rsidR="00BE5795" w:rsidRPr="002F265F" w:rsidRDefault="00BE5795" w:rsidP="002F265F">
                      <w:pPr>
                        <w:jc w:val="center"/>
                        <w:rPr>
                          <w:sz w:val="22"/>
                          <w:szCs w:val="22"/>
                          <w:lang w:val="lt-LT"/>
                        </w:rPr>
                      </w:pPr>
                      <w:r w:rsidRPr="002F265F">
                        <w:rPr>
                          <w:sz w:val="22"/>
                          <w:szCs w:val="22"/>
                          <w:lang w:val="lt-LT"/>
                        </w:rPr>
                        <w:t>Kompetencijos                   rizika</w:t>
                      </w:r>
                    </w:p>
                  </w:txbxContent>
                </v:textbox>
              </v:shape>
              <v:shape id="_x0000_s74399" type="#_x0000_t202" style="position:absolute;left:7866;top:9489;width:928;height:687" filled="f">
                <v:textbox style="mso-next-textbox:#_x0000_s74399">
                  <w:txbxContent>
                    <w:p w:rsidR="00BE5795" w:rsidRPr="002F265F" w:rsidRDefault="00BE5795" w:rsidP="002F265F">
                      <w:pPr>
                        <w:jc w:val="center"/>
                        <w:rPr>
                          <w:sz w:val="22"/>
                          <w:szCs w:val="22"/>
                          <w:lang w:val="lt-LT"/>
                        </w:rPr>
                      </w:pPr>
                      <w:r w:rsidRPr="002F265F">
                        <w:rPr>
                          <w:sz w:val="22"/>
                          <w:szCs w:val="22"/>
                          <w:lang w:val="lt-LT"/>
                        </w:rPr>
                        <w:t>Nepriklausomumo rizika</w:t>
                      </w:r>
                    </w:p>
                  </w:txbxContent>
                </v:textbox>
              </v:shape>
              <v:shape id="_x0000_s74400" type="#_x0000_t202" style="position:absolute;left:3235;top:10489;width:1942;height:361" filled="f">
                <v:textbox style="mso-next-textbox:#_x0000_s74400">
                  <w:txbxContent>
                    <w:p w:rsidR="00BE5795" w:rsidRPr="002F265F" w:rsidRDefault="00BE5795" w:rsidP="002F265F">
                      <w:pPr>
                        <w:rPr>
                          <w:sz w:val="22"/>
                          <w:szCs w:val="22"/>
                          <w:lang w:val="lt-LT"/>
                        </w:rPr>
                      </w:pPr>
                      <w:r w:rsidRPr="002F265F">
                        <w:rPr>
                          <w:sz w:val="22"/>
                          <w:szCs w:val="22"/>
                          <w:lang w:val="lt-LT"/>
                        </w:rPr>
                        <w:t>Periodų specifinė rizika</w:t>
                      </w:r>
                    </w:p>
                  </w:txbxContent>
                </v:textbox>
              </v:shape>
              <v:shape id="_x0000_s74401" type="#_x0000_t202" style="position:absolute;left:3235;top:11117;width:1717;height:478" filled="f">
                <v:textbox style="mso-next-textbox:#_x0000_s74401">
                  <w:txbxContent>
                    <w:p w:rsidR="00BE5795" w:rsidRPr="002F265F" w:rsidRDefault="00BE5795" w:rsidP="002F265F">
                      <w:pPr>
                        <w:jc w:val="center"/>
                        <w:rPr>
                          <w:sz w:val="22"/>
                          <w:szCs w:val="22"/>
                          <w:lang w:val="lt-LT"/>
                        </w:rPr>
                      </w:pPr>
                      <w:r w:rsidRPr="002F265F">
                        <w:rPr>
                          <w:sz w:val="22"/>
                          <w:szCs w:val="22"/>
                          <w:lang w:val="lt-LT"/>
                        </w:rPr>
                        <w:t>Sandorių specifinė  rizika</w:t>
                      </w:r>
                    </w:p>
                  </w:txbxContent>
                </v:textbox>
              </v:shape>
              <v:line id="_x0000_s74402" style="position:absolute" from="4025,9338" to="4026,9563"/>
              <v:line id="_x0000_s74403" style="position:absolute;flip:x" from="3158,9338" to="4025,9563"/>
              <v:line id="_x0000_s74404" style="position:absolute" from="4040,9338" to="4952,9563"/>
              <v:line id="_x0000_s74405" style="position:absolute;flip:x" from="4040,10176" to="4041,10489"/>
              <v:line id="_x0000_s74406" style="position:absolute;flip:x" from="4040,10850" to="4041,11117"/>
              <v:line id="_x0000_s74407" style="position:absolute" from="3158,10176" to="4025,10489"/>
              <v:line id="_x0000_s74408" style="position:absolute;flip:x" from="4040,10176" to="5029,10489"/>
              <v:line id="_x0000_s74409" style="position:absolute;flip:x" from="4787,8598" to="5096,8801"/>
              <v:line id="_x0000_s74410" style="position:absolute" from="6261,8598" to="6551,8801"/>
              <v:line id="_x0000_s74412" style="position:absolute;flip:x" from="6551,9338" to="7372,9473"/>
              <v:line id="_x0000_s74413" style="position:absolute" from="7372,9338" to="8120,9489"/>
            </v:group>
            <w10:wrap type="none" side="left"/>
            <w10:anchorlock/>
          </v:group>
        </w:pict>
      </w:r>
    </w:p>
    <w:p w:rsidR="009B6941" w:rsidRPr="00FE380C" w:rsidRDefault="009B6941" w:rsidP="00233C9A">
      <w:pPr>
        <w:jc w:val="both"/>
        <w:rPr>
          <w:lang w:val="lt-LT"/>
        </w:rPr>
      </w:pPr>
      <w:r w:rsidRPr="00FE380C">
        <w:rPr>
          <w:lang w:val="lt-LT"/>
        </w:rPr>
        <w:t xml:space="preserve">Šaltinis: </w:t>
      </w:r>
      <w:r w:rsidRPr="00FE380C">
        <w:rPr>
          <w:caps/>
          <w:lang w:val="lt-LT"/>
        </w:rPr>
        <w:t>Beatie</w:t>
      </w:r>
      <w:r w:rsidRPr="00FE380C">
        <w:rPr>
          <w:lang w:val="lt-LT"/>
        </w:rPr>
        <w:t xml:space="preserve">, V., </w:t>
      </w:r>
      <w:r w:rsidRPr="00FE380C">
        <w:rPr>
          <w:caps/>
          <w:lang w:val="lt-LT"/>
        </w:rPr>
        <w:t>Fearnley</w:t>
      </w:r>
      <w:r w:rsidRPr="00FE380C">
        <w:rPr>
          <w:lang w:val="lt-LT"/>
        </w:rPr>
        <w:t xml:space="preserve">, S., </w:t>
      </w:r>
      <w:r w:rsidRPr="00FE380C">
        <w:rPr>
          <w:caps/>
          <w:lang w:val="lt-LT"/>
        </w:rPr>
        <w:t>Brandt</w:t>
      </w:r>
      <w:r w:rsidRPr="00FE380C">
        <w:rPr>
          <w:lang w:val="lt-LT"/>
        </w:rPr>
        <w:t>, R.</w:t>
      </w:r>
      <w:r w:rsidR="00015B73" w:rsidRPr="00FE380C">
        <w:rPr>
          <w:lang w:val="lt-LT"/>
        </w:rPr>
        <w:t>,</w:t>
      </w:r>
      <w:r w:rsidRPr="00FE380C">
        <w:rPr>
          <w:lang w:val="lt-LT"/>
        </w:rPr>
        <w:t xml:space="preserve"> 2002, p. 42</w:t>
      </w:r>
      <w:r w:rsidR="006B2A1F" w:rsidRPr="00FE380C">
        <w:rPr>
          <w:lang w:val="lt-LT"/>
        </w:rPr>
        <w:t>.</w:t>
      </w:r>
    </w:p>
    <w:p w:rsidR="009B6941" w:rsidRPr="002F265F" w:rsidRDefault="009B6941">
      <w:pPr>
        <w:spacing w:line="360" w:lineRule="auto"/>
        <w:ind w:firstLine="720"/>
        <w:jc w:val="center"/>
        <w:rPr>
          <w:b/>
          <w:sz w:val="26"/>
          <w:szCs w:val="26"/>
          <w:lang w:val="lt-LT"/>
        </w:rPr>
      </w:pPr>
      <w:r w:rsidRPr="002F265F">
        <w:rPr>
          <w:b/>
          <w:sz w:val="26"/>
          <w:szCs w:val="26"/>
          <w:lang w:val="lt-LT"/>
        </w:rPr>
        <w:t>1</w:t>
      </w:r>
      <w:r w:rsidR="00F726AC" w:rsidRPr="002F265F">
        <w:rPr>
          <w:b/>
          <w:sz w:val="26"/>
          <w:szCs w:val="26"/>
          <w:lang w:val="lt-LT"/>
        </w:rPr>
        <w:t>2</w:t>
      </w:r>
      <w:r w:rsidRPr="002F265F">
        <w:rPr>
          <w:b/>
          <w:sz w:val="26"/>
          <w:szCs w:val="26"/>
          <w:lang w:val="lt-LT"/>
        </w:rPr>
        <w:t xml:space="preserve"> pav. </w:t>
      </w:r>
      <w:r w:rsidR="00E25794" w:rsidRPr="002F265F">
        <w:rPr>
          <w:b/>
          <w:sz w:val="26"/>
          <w:szCs w:val="26"/>
          <w:lang w:val="lt-LT"/>
        </w:rPr>
        <w:t xml:space="preserve">V. </w:t>
      </w:r>
      <w:r w:rsidRPr="002F265F">
        <w:rPr>
          <w:b/>
          <w:sz w:val="26"/>
          <w:szCs w:val="26"/>
          <w:lang w:val="lt-LT"/>
        </w:rPr>
        <w:t xml:space="preserve">Beatie, </w:t>
      </w:r>
      <w:r w:rsidR="00E25794" w:rsidRPr="002F265F">
        <w:rPr>
          <w:b/>
          <w:sz w:val="26"/>
          <w:szCs w:val="26"/>
          <w:lang w:val="lt-LT"/>
        </w:rPr>
        <w:t xml:space="preserve">S. </w:t>
      </w:r>
      <w:r w:rsidRPr="002F265F">
        <w:rPr>
          <w:b/>
          <w:sz w:val="26"/>
          <w:szCs w:val="26"/>
          <w:lang w:val="lt-LT"/>
        </w:rPr>
        <w:t xml:space="preserve">Fearnley ir </w:t>
      </w:r>
      <w:r w:rsidR="00E25794" w:rsidRPr="002F265F">
        <w:rPr>
          <w:b/>
          <w:sz w:val="26"/>
          <w:szCs w:val="26"/>
          <w:lang w:val="lt-LT"/>
        </w:rPr>
        <w:t xml:space="preserve">R. </w:t>
      </w:r>
      <w:r w:rsidRPr="002F265F">
        <w:rPr>
          <w:b/>
          <w:sz w:val="26"/>
          <w:szCs w:val="26"/>
          <w:lang w:val="lt-LT"/>
        </w:rPr>
        <w:t>Brandt audito rizikos modelis</w:t>
      </w:r>
    </w:p>
    <w:p w:rsidR="007E77D4" w:rsidRPr="006541E3" w:rsidRDefault="007E77D4" w:rsidP="006541E3">
      <w:pPr>
        <w:spacing w:before="120" w:line="360" w:lineRule="auto"/>
        <w:ind w:firstLine="720"/>
        <w:jc w:val="both"/>
        <w:rPr>
          <w:sz w:val="26"/>
          <w:szCs w:val="26"/>
          <w:lang w:val="lt-LT"/>
        </w:rPr>
      </w:pPr>
      <w:r w:rsidRPr="006541E3">
        <w:rPr>
          <w:sz w:val="26"/>
          <w:szCs w:val="26"/>
          <w:lang w:val="lt-LT"/>
        </w:rPr>
        <w:t xml:space="preserve">Argumentuodami, kad grėsmės, galinčios kilti iš pačių audito įmonių (auditorių), nėra pripažįstamos klasikiniame audito rizikos modelyje, nes </w:t>
      </w:r>
      <w:r w:rsidRPr="006541E3">
        <w:rPr>
          <w:sz w:val="26"/>
          <w:szCs w:val="26"/>
          <w:lang w:val="lt-LT"/>
        </w:rPr>
        <w:lastRenderedPageBreak/>
        <w:t xml:space="preserve">pastarajame dėmesys kreipiamas tiktai į reikšmingų iškraipymų susekimą, o ne į jų sprendimą, V. Beatie, S. Fearnley ir R. Brandt (2002, 2005) savo siūlomame audito rizikos modelyje (toliau – V. Beatie, S. Fearnley ir R. Brandt audito rizikos modelis) įveda tokius naujus audito rizikos komponentus kaip nepriklausomumo ir kompetencijos rizikas. </w:t>
      </w:r>
    </w:p>
    <w:p w:rsidR="00F00392" w:rsidRPr="006541E3" w:rsidRDefault="00F00392" w:rsidP="006541E3">
      <w:pPr>
        <w:spacing w:line="360" w:lineRule="auto"/>
        <w:ind w:firstLine="720"/>
        <w:jc w:val="both"/>
        <w:rPr>
          <w:sz w:val="26"/>
          <w:szCs w:val="26"/>
          <w:lang w:val="lt-LT"/>
        </w:rPr>
      </w:pPr>
      <w:r w:rsidRPr="006541E3">
        <w:rPr>
          <w:sz w:val="26"/>
          <w:szCs w:val="26"/>
          <w:lang w:val="lt-LT"/>
        </w:rPr>
        <w:t xml:space="preserve">Be to, V. Beatie, S. Fearnley ir R. Brandt audito rizikos modelyje įtraukiamos ir šios rizikos: 1) motyvacijos rizika, t. y. vadovybės elgesio suvokimas, 2) specifinių periodų ir specifinių sandorių rizikos. Pastarosios rizikos, modelio kūrėjų nuomone, svarbios tuo, nes auditorius turėtų daugiau dėmesio skirti specifiniams apskaitos periodams bei specifiniams sandoriams, priklausantiems nuo vadovybės motyvacijos. Taip pat pastarajame modelyje išskiriamos rizikos, kurios kyla dėl </w:t>
      </w:r>
      <w:r w:rsidR="006925D8" w:rsidRPr="006541E3">
        <w:rPr>
          <w:sz w:val="26"/>
          <w:szCs w:val="26"/>
          <w:lang w:val="lt-LT"/>
        </w:rPr>
        <w:t xml:space="preserve">audituojamos </w:t>
      </w:r>
      <w:r w:rsidRPr="006541E3">
        <w:rPr>
          <w:sz w:val="26"/>
          <w:szCs w:val="26"/>
          <w:lang w:val="lt-LT"/>
        </w:rPr>
        <w:t xml:space="preserve">įmonės ir dėl audito įmonės, kad būtų parodoma kaip nepriklausomumo sistema pripažįsta apsaugos priemones. Be to, priskyrus riziką audito įmonei, pripažįstama, kad audito standartų kokybė ir apimtis, kuria auditorius jų laikosi, turėtų sumažinti aptikimo riziką. O kokybės kontrolė (įskaitant kliento priėmimo procedūras), apmokymai ir etinis poveikis audito įmonėje, suderintas su reguliavimo priežiūra, turėtų sumažinti kompetencijos ir nepriklausomumo rizikas (Beatie, Fearnley, Brandt, 2005, p. 67). </w:t>
      </w:r>
    </w:p>
    <w:p w:rsidR="009B6941" w:rsidRPr="006541E3" w:rsidRDefault="009B6941" w:rsidP="00F00392">
      <w:pPr>
        <w:spacing w:line="360" w:lineRule="auto"/>
        <w:ind w:firstLine="720"/>
        <w:jc w:val="both"/>
        <w:rPr>
          <w:sz w:val="26"/>
          <w:szCs w:val="26"/>
          <w:lang w:val="lt-LT"/>
        </w:rPr>
      </w:pPr>
      <w:r w:rsidRPr="006541E3">
        <w:rPr>
          <w:sz w:val="26"/>
          <w:szCs w:val="26"/>
          <w:u w:val="single"/>
          <w:lang w:val="lt-LT"/>
        </w:rPr>
        <w:t>Pr</w:t>
      </w:r>
      <w:r w:rsidR="00905E53" w:rsidRPr="006541E3">
        <w:rPr>
          <w:sz w:val="26"/>
          <w:szCs w:val="26"/>
          <w:u w:val="single"/>
          <w:lang w:val="lt-LT"/>
        </w:rPr>
        <w:t>ivalumai</w:t>
      </w:r>
      <w:r w:rsidRPr="006541E3">
        <w:rPr>
          <w:sz w:val="26"/>
          <w:szCs w:val="26"/>
          <w:u w:val="single"/>
          <w:lang w:val="lt-LT"/>
        </w:rPr>
        <w:t>.</w:t>
      </w:r>
      <w:r w:rsidRPr="006541E3">
        <w:rPr>
          <w:sz w:val="26"/>
          <w:szCs w:val="26"/>
          <w:lang w:val="lt-LT"/>
        </w:rPr>
        <w:t xml:space="preserve"> V. Beatie, S. Fearnley ir R. Brandt (2002</w:t>
      </w:r>
      <w:r w:rsidR="00D57A85" w:rsidRPr="006541E3">
        <w:rPr>
          <w:sz w:val="26"/>
          <w:szCs w:val="26"/>
          <w:lang w:val="lt-LT"/>
        </w:rPr>
        <w:t>, 2005</w:t>
      </w:r>
      <w:r w:rsidRPr="006541E3">
        <w:rPr>
          <w:sz w:val="26"/>
          <w:szCs w:val="26"/>
          <w:lang w:val="lt-LT"/>
        </w:rPr>
        <w:t xml:space="preserve">) teigia, kad jų siūlomas audito rizikos modelis </w:t>
      </w:r>
      <w:r w:rsidRPr="006541E3">
        <w:rPr>
          <w:i/>
          <w:sz w:val="26"/>
          <w:szCs w:val="26"/>
          <w:lang w:val="lt-LT"/>
        </w:rPr>
        <w:t>pripažįsta audito rizikų visumą</w:t>
      </w:r>
      <w:r w:rsidRPr="006541E3">
        <w:rPr>
          <w:sz w:val="26"/>
          <w:szCs w:val="26"/>
          <w:lang w:val="lt-LT"/>
        </w:rPr>
        <w:t>, o klasikinis modelis parodo tiktai aptikimo pasekmes</w:t>
      </w:r>
      <w:r w:rsidR="00290BC2" w:rsidRPr="006541E3">
        <w:rPr>
          <w:sz w:val="26"/>
          <w:szCs w:val="26"/>
          <w:lang w:val="lt-LT"/>
        </w:rPr>
        <w:t>,</w:t>
      </w:r>
      <w:r w:rsidRPr="006541E3">
        <w:rPr>
          <w:sz w:val="26"/>
          <w:szCs w:val="26"/>
          <w:lang w:val="lt-LT"/>
        </w:rPr>
        <w:t xml:space="preserve"> bet ne pakankamus sprendimus ar vadovybės motyvaciją. Iš tiesų, grėsmės, kurios kyla dėl audito įmonių nėra aiškiai pripažįstamos klasikiniame audito rizikos modelyje. Tuo tarpu V.</w:t>
      </w:r>
      <w:r w:rsidR="006541E3">
        <w:rPr>
          <w:sz w:val="26"/>
          <w:szCs w:val="26"/>
          <w:lang w:val="lt-LT"/>
        </w:rPr>
        <w:t> </w:t>
      </w:r>
      <w:r w:rsidRPr="006541E3">
        <w:rPr>
          <w:sz w:val="26"/>
          <w:szCs w:val="26"/>
          <w:lang w:val="lt-LT"/>
        </w:rPr>
        <w:t>Beatie, S. Fearnley ir R. Brandt audito rizikos modelyje aiškiai parodoma, kas g</w:t>
      </w:r>
      <w:r w:rsidR="00290BC2" w:rsidRPr="006541E3">
        <w:rPr>
          <w:sz w:val="26"/>
          <w:szCs w:val="26"/>
          <w:lang w:val="lt-LT"/>
        </w:rPr>
        <w:t xml:space="preserve">ali nulemti audito rizikos dydį. Tai </w:t>
      </w:r>
      <w:r w:rsidRPr="006541E3">
        <w:rPr>
          <w:sz w:val="26"/>
          <w:szCs w:val="26"/>
          <w:lang w:val="lt-LT"/>
        </w:rPr>
        <w:t>1) audituojamo</w:t>
      </w:r>
      <w:r w:rsidR="00C50BF6" w:rsidRPr="006541E3">
        <w:rPr>
          <w:sz w:val="26"/>
          <w:szCs w:val="26"/>
          <w:lang w:val="lt-LT"/>
        </w:rPr>
        <w:t>s įmonės</w:t>
      </w:r>
      <w:r w:rsidRPr="006541E3">
        <w:rPr>
          <w:sz w:val="26"/>
          <w:szCs w:val="26"/>
          <w:lang w:val="lt-LT"/>
        </w:rPr>
        <w:t xml:space="preserve"> ir 2) audito įmonės veiksmai. </w:t>
      </w:r>
      <w:r w:rsidR="00290BC2" w:rsidRPr="006541E3">
        <w:rPr>
          <w:sz w:val="26"/>
          <w:szCs w:val="26"/>
          <w:lang w:val="lt-LT"/>
        </w:rPr>
        <w:t>A</w:t>
      </w:r>
      <w:r w:rsidRPr="006541E3">
        <w:rPr>
          <w:sz w:val="26"/>
          <w:szCs w:val="26"/>
          <w:lang w:val="lt-LT"/>
        </w:rPr>
        <w:t>uditorius</w:t>
      </w:r>
      <w:r w:rsidR="003D1797" w:rsidRPr="006541E3">
        <w:rPr>
          <w:sz w:val="26"/>
          <w:szCs w:val="26"/>
          <w:lang w:val="lt-LT"/>
        </w:rPr>
        <w:t xml:space="preserve"> turi žinoti, kad rizika gali </w:t>
      </w:r>
      <w:r w:rsidRPr="006541E3">
        <w:rPr>
          <w:sz w:val="26"/>
          <w:szCs w:val="26"/>
          <w:lang w:val="lt-LT"/>
        </w:rPr>
        <w:t>egzistuo</w:t>
      </w:r>
      <w:r w:rsidR="003D1797" w:rsidRPr="006541E3">
        <w:rPr>
          <w:sz w:val="26"/>
          <w:szCs w:val="26"/>
          <w:lang w:val="lt-LT"/>
        </w:rPr>
        <w:t>ti</w:t>
      </w:r>
      <w:r w:rsidRPr="006541E3">
        <w:rPr>
          <w:sz w:val="26"/>
          <w:szCs w:val="26"/>
          <w:lang w:val="lt-LT"/>
        </w:rPr>
        <w:t xml:space="preserve"> ne tik </w:t>
      </w:r>
      <w:r w:rsidR="003D1797" w:rsidRPr="006541E3">
        <w:rPr>
          <w:sz w:val="26"/>
          <w:szCs w:val="26"/>
          <w:lang w:val="lt-LT"/>
        </w:rPr>
        <w:t>dėl</w:t>
      </w:r>
      <w:r w:rsidRPr="006541E3">
        <w:rPr>
          <w:sz w:val="26"/>
          <w:szCs w:val="26"/>
          <w:lang w:val="lt-LT"/>
        </w:rPr>
        <w:t xml:space="preserve"> jo paties </w:t>
      </w:r>
      <w:r w:rsidR="003D1797" w:rsidRPr="006541E3">
        <w:rPr>
          <w:sz w:val="26"/>
          <w:szCs w:val="26"/>
          <w:lang w:val="lt-LT"/>
        </w:rPr>
        <w:t xml:space="preserve">ar audito įmonės </w:t>
      </w:r>
      <w:r w:rsidRPr="006541E3">
        <w:rPr>
          <w:sz w:val="26"/>
          <w:szCs w:val="26"/>
          <w:lang w:val="lt-LT"/>
        </w:rPr>
        <w:t xml:space="preserve">veiksmų, bet ir </w:t>
      </w:r>
      <w:r w:rsidR="003D1797" w:rsidRPr="006541E3">
        <w:rPr>
          <w:sz w:val="26"/>
          <w:szCs w:val="26"/>
          <w:lang w:val="lt-LT"/>
        </w:rPr>
        <w:t xml:space="preserve">dėl </w:t>
      </w:r>
      <w:r w:rsidR="004D360B" w:rsidRPr="006541E3">
        <w:rPr>
          <w:sz w:val="26"/>
          <w:szCs w:val="26"/>
          <w:lang w:val="lt-LT"/>
        </w:rPr>
        <w:t xml:space="preserve">audituojamos </w:t>
      </w:r>
      <w:r w:rsidR="003D1797" w:rsidRPr="006541E3">
        <w:rPr>
          <w:sz w:val="26"/>
          <w:szCs w:val="26"/>
          <w:lang w:val="lt-LT"/>
        </w:rPr>
        <w:t>į</w:t>
      </w:r>
      <w:r w:rsidRPr="006541E3">
        <w:rPr>
          <w:sz w:val="26"/>
          <w:szCs w:val="26"/>
          <w:lang w:val="lt-LT"/>
        </w:rPr>
        <w:t>monės</w:t>
      </w:r>
      <w:r w:rsidR="003D1797" w:rsidRPr="006541E3">
        <w:rPr>
          <w:sz w:val="26"/>
          <w:szCs w:val="26"/>
          <w:lang w:val="lt-LT"/>
        </w:rPr>
        <w:t xml:space="preserve"> ypatybių</w:t>
      </w:r>
      <w:r w:rsidRPr="006541E3">
        <w:rPr>
          <w:sz w:val="26"/>
          <w:szCs w:val="26"/>
          <w:lang w:val="lt-LT"/>
        </w:rPr>
        <w:t xml:space="preserve">. </w:t>
      </w:r>
      <w:r w:rsidR="00036106" w:rsidRPr="006541E3">
        <w:rPr>
          <w:sz w:val="26"/>
          <w:szCs w:val="26"/>
          <w:lang w:val="lt-LT"/>
        </w:rPr>
        <w:t>Darbo a</w:t>
      </w:r>
      <w:r w:rsidR="003D1797" w:rsidRPr="006541E3">
        <w:rPr>
          <w:sz w:val="26"/>
          <w:szCs w:val="26"/>
          <w:lang w:val="lt-LT"/>
        </w:rPr>
        <w:t>utorės nuomone, s</w:t>
      </w:r>
      <w:r w:rsidRPr="006541E3">
        <w:rPr>
          <w:sz w:val="26"/>
          <w:szCs w:val="26"/>
          <w:lang w:val="lt-LT"/>
        </w:rPr>
        <w:t>varbu tai, kad auditoriaus nepriklausom</w:t>
      </w:r>
      <w:r w:rsidR="00423E4D" w:rsidRPr="006541E3">
        <w:rPr>
          <w:sz w:val="26"/>
          <w:szCs w:val="26"/>
          <w:lang w:val="lt-LT"/>
        </w:rPr>
        <w:t>umo</w:t>
      </w:r>
      <w:r w:rsidRPr="006541E3">
        <w:rPr>
          <w:sz w:val="26"/>
          <w:szCs w:val="26"/>
          <w:lang w:val="lt-LT"/>
        </w:rPr>
        <w:t xml:space="preserve"> ribotumas bei nesugebėjimas pamatyti problemų ar nesugebėjimas pripažinti jų svarbumo dėl kvalifikacijos stokos įtrauk</w:t>
      </w:r>
      <w:r w:rsidR="003D1797" w:rsidRPr="006541E3">
        <w:rPr>
          <w:sz w:val="26"/>
          <w:szCs w:val="26"/>
          <w:lang w:val="lt-LT"/>
        </w:rPr>
        <w:t>tas</w:t>
      </w:r>
      <w:r w:rsidRPr="006541E3">
        <w:rPr>
          <w:sz w:val="26"/>
          <w:szCs w:val="26"/>
          <w:lang w:val="lt-LT"/>
        </w:rPr>
        <w:t xml:space="preserve"> į </w:t>
      </w:r>
      <w:r w:rsidR="003D1797" w:rsidRPr="006541E3">
        <w:rPr>
          <w:sz w:val="26"/>
          <w:szCs w:val="26"/>
          <w:lang w:val="lt-LT"/>
        </w:rPr>
        <w:t xml:space="preserve">V. Beatie, S. Fearnley ir </w:t>
      </w:r>
      <w:r w:rsidR="003D1797" w:rsidRPr="006541E3">
        <w:rPr>
          <w:sz w:val="26"/>
          <w:szCs w:val="26"/>
          <w:lang w:val="lt-LT"/>
        </w:rPr>
        <w:lastRenderedPageBreak/>
        <w:t>R.</w:t>
      </w:r>
      <w:r w:rsidR="006541E3">
        <w:rPr>
          <w:sz w:val="26"/>
          <w:szCs w:val="26"/>
          <w:lang w:val="lt-LT"/>
        </w:rPr>
        <w:t> </w:t>
      </w:r>
      <w:r w:rsidR="003D1797" w:rsidRPr="006541E3">
        <w:rPr>
          <w:sz w:val="26"/>
          <w:szCs w:val="26"/>
          <w:lang w:val="lt-LT"/>
        </w:rPr>
        <w:t xml:space="preserve">Brandt </w:t>
      </w:r>
      <w:r w:rsidRPr="006541E3">
        <w:rPr>
          <w:sz w:val="26"/>
          <w:szCs w:val="26"/>
          <w:lang w:val="lt-LT"/>
        </w:rPr>
        <w:t xml:space="preserve">audito rizikos modelį. </w:t>
      </w:r>
      <w:r w:rsidR="00F37801" w:rsidRPr="006541E3">
        <w:rPr>
          <w:sz w:val="26"/>
          <w:szCs w:val="26"/>
          <w:lang w:val="lt-LT"/>
        </w:rPr>
        <w:t>A</w:t>
      </w:r>
      <w:r w:rsidRPr="006541E3">
        <w:rPr>
          <w:sz w:val="26"/>
          <w:szCs w:val="26"/>
          <w:lang w:val="lt-LT"/>
        </w:rPr>
        <w:t>uditoriaus nepriklausom</w:t>
      </w:r>
      <w:r w:rsidR="00EA346F" w:rsidRPr="006541E3">
        <w:rPr>
          <w:sz w:val="26"/>
          <w:szCs w:val="26"/>
          <w:lang w:val="lt-LT"/>
        </w:rPr>
        <w:t>umo</w:t>
      </w:r>
      <w:r w:rsidRPr="006541E3">
        <w:rPr>
          <w:sz w:val="26"/>
          <w:szCs w:val="26"/>
          <w:lang w:val="lt-LT"/>
        </w:rPr>
        <w:t xml:space="preserve"> bei kompetencijos rizikos yra svarb</w:t>
      </w:r>
      <w:r w:rsidR="00036106" w:rsidRPr="006541E3">
        <w:rPr>
          <w:sz w:val="26"/>
          <w:szCs w:val="26"/>
          <w:lang w:val="lt-LT"/>
        </w:rPr>
        <w:t>ios aptikimo rizikos sąlygos</w:t>
      </w:r>
      <w:r w:rsidR="00290BC2" w:rsidRPr="006541E3">
        <w:rPr>
          <w:sz w:val="26"/>
          <w:szCs w:val="26"/>
          <w:lang w:val="lt-LT"/>
        </w:rPr>
        <w:t xml:space="preserve">, </w:t>
      </w:r>
      <w:r w:rsidRPr="006541E3">
        <w:rPr>
          <w:sz w:val="26"/>
          <w:szCs w:val="26"/>
          <w:lang w:val="lt-LT"/>
        </w:rPr>
        <w:t>į kuri</w:t>
      </w:r>
      <w:r w:rsidR="00036106" w:rsidRPr="006541E3">
        <w:rPr>
          <w:sz w:val="26"/>
          <w:szCs w:val="26"/>
          <w:lang w:val="lt-LT"/>
        </w:rPr>
        <w:t>a</w:t>
      </w:r>
      <w:r w:rsidRPr="006541E3">
        <w:rPr>
          <w:sz w:val="26"/>
          <w:szCs w:val="26"/>
          <w:lang w:val="lt-LT"/>
        </w:rPr>
        <w:t>s turi būti atsižvelgiama vertinant audito rizikos pasireiškim</w:t>
      </w:r>
      <w:r w:rsidR="00036106" w:rsidRPr="006541E3">
        <w:rPr>
          <w:sz w:val="26"/>
          <w:szCs w:val="26"/>
          <w:lang w:val="lt-LT"/>
        </w:rPr>
        <w:t>ą</w:t>
      </w:r>
      <w:r w:rsidRPr="006541E3">
        <w:rPr>
          <w:sz w:val="26"/>
          <w:szCs w:val="26"/>
          <w:lang w:val="lt-LT"/>
        </w:rPr>
        <w:t xml:space="preserve">. </w:t>
      </w:r>
    </w:p>
    <w:p w:rsidR="000E7759" w:rsidRPr="006541E3" w:rsidRDefault="009B6941" w:rsidP="000E7759">
      <w:pPr>
        <w:spacing w:line="360" w:lineRule="auto"/>
        <w:ind w:firstLine="720"/>
        <w:jc w:val="both"/>
        <w:rPr>
          <w:sz w:val="26"/>
          <w:szCs w:val="26"/>
          <w:lang w:val="lt-LT"/>
        </w:rPr>
      </w:pPr>
      <w:r w:rsidRPr="006541E3">
        <w:rPr>
          <w:sz w:val="26"/>
          <w:szCs w:val="26"/>
          <w:u w:val="single"/>
          <w:lang w:val="lt-LT"/>
        </w:rPr>
        <w:t>Trūkumai.</w:t>
      </w:r>
      <w:r w:rsidRPr="006541E3">
        <w:rPr>
          <w:b/>
          <w:sz w:val="26"/>
          <w:szCs w:val="26"/>
          <w:lang w:val="lt-LT"/>
        </w:rPr>
        <w:t xml:space="preserve"> </w:t>
      </w:r>
      <w:r w:rsidR="00DD31DB" w:rsidRPr="006541E3">
        <w:rPr>
          <w:sz w:val="26"/>
          <w:szCs w:val="26"/>
          <w:lang w:val="lt-LT"/>
        </w:rPr>
        <w:t>V.</w:t>
      </w:r>
      <w:r w:rsidR="00DD31DB" w:rsidRPr="006541E3">
        <w:rPr>
          <w:b/>
          <w:sz w:val="26"/>
          <w:szCs w:val="26"/>
          <w:lang w:val="lt-LT"/>
        </w:rPr>
        <w:t xml:space="preserve"> </w:t>
      </w:r>
      <w:r w:rsidRPr="006541E3">
        <w:rPr>
          <w:sz w:val="26"/>
          <w:szCs w:val="26"/>
          <w:lang w:val="lt-LT"/>
        </w:rPr>
        <w:t xml:space="preserve">Beatie, </w:t>
      </w:r>
      <w:r w:rsidR="00DD31DB" w:rsidRPr="006541E3">
        <w:rPr>
          <w:sz w:val="26"/>
          <w:szCs w:val="26"/>
          <w:lang w:val="lt-LT"/>
        </w:rPr>
        <w:t xml:space="preserve">S. </w:t>
      </w:r>
      <w:r w:rsidRPr="006541E3">
        <w:rPr>
          <w:sz w:val="26"/>
          <w:szCs w:val="26"/>
          <w:lang w:val="lt-LT"/>
        </w:rPr>
        <w:t xml:space="preserve">Fearnley, </w:t>
      </w:r>
      <w:r w:rsidR="00DD31DB" w:rsidRPr="006541E3">
        <w:rPr>
          <w:sz w:val="26"/>
          <w:szCs w:val="26"/>
          <w:lang w:val="lt-LT"/>
        </w:rPr>
        <w:t xml:space="preserve">R. </w:t>
      </w:r>
      <w:r w:rsidRPr="006541E3">
        <w:rPr>
          <w:sz w:val="26"/>
          <w:szCs w:val="26"/>
          <w:lang w:val="lt-LT"/>
        </w:rPr>
        <w:t>Brandt</w:t>
      </w:r>
      <w:r w:rsidR="00DD31DB" w:rsidRPr="006541E3">
        <w:rPr>
          <w:sz w:val="26"/>
          <w:szCs w:val="26"/>
          <w:lang w:val="lt-LT"/>
        </w:rPr>
        <w:t xml:space="preserve"> </w:t>
      </w:r>
      <w:r w:rsidRPr="006541E3">
        <w:rPr>
          <w:sz w:val="26"/>
          <w:szCs w:val="26"/>
          <w:lang w:val="lt-LT"/>
        </w:rPr>
        <w:t xml:space="preserve">audito rizikos modelis gana nesunkiai išreiškiamas bei suvokiamas schematiškai, tačiau </w:t>
      </w:r>
      <w:r w:rsidRPr="006541E3">
        <w:rPr>
          <w:i/>
          <w:sz w:val="26"/>
          <w:szCs w:val="26"/>
          <w:lang w:val="lt-LT"/>
        </w:rPr>
        <w:t>nepateikiama jo matematinė išraiška</w:t>
      </w:r>
      <w:r w:rsidRPr="006541E3">
        <w:rPr>
          <w:sz w:val="26"/>
          <w:szCs w:val="26"/>
          <w:lang w:val="lt-LT"/>
        </w:rPr>
        <w:t>. Matematinė išraiška parodytų, kokie ryšiai egzistuoja tarp audito rizikos komponentų ir</w:t>
      </w:r>
      <w:r w:rsidR="00290BC2" w:rsidRPr="006541E3">
        <w:rPr>
          <w:sz w:val="26"/>
          <w:szCs w:val="26"/>
          <w:lang w:val="lt-LT"/>
        </w:rPr>
        <w:t xml:space="preserve"> </w:t>
      </w:r>
      <w:r w:rsidR="00F37801" w:rsidRPr="006541E3">
        <w:rPr>
          <w:sz w:val="26"/>
          <w:szCs w:val="26"/>
          <w:lang w:val="lt-LT"/>
        </w:rPr>
        <w:t>kaip vieni audito rizikos komponentai galėtų būti išreiškiami per kitus modelio komponentus</w:t>
      </w:r>
      <w:r w:rsidRPr="006541E3">
        <w:rPr>
          <w:sz w:val="26"/>
          <w:szCs w:val="26"/>
          <w:lang w:val="lt-LT"/>
        </w:rPr>
        <w:t xml:space="preserve">. </w:t>
      </w:r>
      <w:r w:rsidR="00154335" w:rsidRPr="006541E3">
        <w:rPr>
          <w:sz w:val="26"/>
          <w:szCs w:val="26"/>
          <w:lang w:val="lt-LT"/>
        </w:rPr>
        <w:t>V.</w:t>
      </w:r>
      <w:r w:rsidR="00154335" w:rsidRPr="006541E3">
        <w:rPr>
          <w:b/>
          <w:sz w:val="26"/>
          <w:szCs w:val="26"/>
          <w:lang w:val="lt-LT"/>
        </w:rPr>
        <w:t xml:space="preserve"> </w:t>
      </w:r>
      <w:r w:rsidR="00154335" w:rsidRPr="006541E3">
        <w:rPr>
          <w:sz w:val="26"/>
          <w:szCs w:val="26"/>
          <w:lang w:val="lt-LT"/>
        </w:rPr>
        <w:t xml:space="preserve">Beatie, S. Fearnley, R. Brandt audito rizikos </w:t>
      </w:r>
      <w:r w:rsidRPr="006541E3">
        <w:rPr>
          <w:sz w:val="26"/>
          <w:szCs w:val="26"/>
          <w:lang w:val="lt-LT"/>
        </w:rPr>
        <w:t xml:space="preserve">modelyje šalia </w:t>
      </w:r>
      <w:r w:rsidR="00D27409" w:rsidRPr="006541E3">
        <w:rPr>
          <w:sz w:val="26"/>
          <w:szCs w:val="26"/>
          <w:lang w:val="lt-LT"/>
        </w:rPr>
        <w:t>įgimtos ir kontrolės rizikų</w:t>
      </w:r>
      <w:r w:rsidRPr="006541E3">
        <w:rPr>
          <w:sz w:val="26"/>
          <w:szCs w:val="26"/>
          <w:lang w:val="lt-LT"/>
        </w:rPr>
        <w:t xml:space="preserve"> priskiriama </w:t>
      </w:r>
      <w:r w:rsidR="00D27409" w:rsidRPr="006541E3">
        <w:rPr>
          <w:sz w:val="26"/>
          <w:szCs w:val="26"/>
          <w:lang w:val="lt-LT"/>
        </w:rPr>
        <w:t xml:space="preserve">ir </w:t>
      </w:r>
      <w:r w:rsidRPr="006541E3">
        <w:rPr>
          <w:sz w:val="26"/>
          <w:szCs w:val="26"/>
          <w:lang w:val="lt-LT"/>
        </w:rPr>
        <w:t xml:space="preserve">motyvacijos rizika. </w:t>
      </w:r>
      <w:r w:rsidR="00C50BF6" w:rsidRPr="006541E3">
        <w:rPr>
          <w:sz w:val="26"/>
          <w:szCs w:val="26"/>
          <w:lang w:val="lt-LT"/>
        </w:rPr>
        <w:t>Darbo a</w:t>
      </w:r>
      <w:r w:rsidR="00154335" w:rsidRPr="006541E3">
        <w:rPr>
          <w:sz w:val="26"/>
          <w:szCs w:val="26"/>
          <w:lang w:val="lt-LT"/>
        </w:rPr>
        <w:t xml:space="preserve">utorės nuomone, </w:t>
      </w:r>
      <w:r w:rsidRPr="006541E3">
        <w:rPr>
          <w:sz w:val="26"/>
          <w:szCs w:val="26"/>
          <w:lang w:val="lt-LT"/>
        </w:rPr>
        <w:t xml:space="preserve">motyvacijos rizika </w:t>
      </w:r>
      <w:r w:rsidR="00290BC2" w:rsidRPr="006541E3">
        <w:rPr>
          <w:sz w:val="26"/>
          <w:szCs w:val="26"/>
          <w:lang w:val="lt-LT"/>
        </w:rPr>
        <w:t xml:space="preserve">– </w:t>
      </w:r>
      <w:r w:rsidRPr="006541E3">
        <w:rPr>
          <w:sz w:val="26"/>
          <w:szCs w:val="26"/>
          <w:lang w:val="lt-LT"/>
        </w:rPr>
        <w:t xml:space="preserve">įmonės vadovybės elgesio suvokimas, turi būti įvertinama kartu su įgimta ir kontrolės rizika. Kadangi, kaip </w:t>
      </w:r>
      <w:r w:rsidR="00290BC2" w:rsidRPr="006541E3">
        <w:rPr>
          <w:sz w:val="26"/>
          <w:szCs w:val="26"/>
          <w:lang w:val="lt-LT"/>
        </w:rPr>
        <w:t xml:space="preserve">pateikta </w:t>
      </w:r>
      <w:r w:rsidRPr="006541E3">
        <w:rPr>
          <w:sz w:val="26"/>
          <w:szCs w:val="26"/>
          <w:lang w:val="lt-LT"/>
        </w:rPr>
        <w:t>ankstesn</w:t>
      </w:r>
      <w:r w:rsidR="00D27409" w:rsidRPr="006541E3">
        <w:rPr>
          <w:sz w:val="26"/>
          <w:szCs w:val="26"/>
          <w:lang w:val="lt-LT"/>
        </w:rPr>
        <w:t>iuose</w:t>
      </w:r>
      <w:r w:rsidRPr="006541E3">
        <w:rPr>
          <w:sz w:val="26"/>
          <w:szCs w:val="26"/>
          <w:lang w:val="lt-LT"/>
        </w:rPr>
        <w:t xml:space="preserve"> d</w:t>
      </w:r>
      <w:r w:rsidR="00A900B0">
        <w:rPr>
          <w:sz w:val="26"/>
          <w:szCs w:val="26"/>
          <w:lang w:val="lt-LT"/>
        </w:rPr>
        <w:t>isertacijos</w:t>
      </w:r>
      <w:r w:rsidRPr="006541E3">
        <w:rPr>
          <w:sz w:val="26"/>
          <w:szCs w:val="26"/>
          <w:lang w:val="lt-LT"/>
        </w:rPr>
        <w:t xml:space="preserve"> </w:t>
      </w:r>
      <w:r w:rsidR="00D27409" w:rsidRPr="006541E3">
        <w:rPr>
          <w:sz w:val="26"/>
          <w:szCs w:val="26"/>
          <w:lang w:val="lt-LT"/>
        </w:rPr>
        <w:t>skyriuose</w:t>
      </w:r>
      <w:r w:rsidRPr="006541E3">
        <w:rPr>
          <w:sz w:val="26"/>
          <w:szCs w:val="26"/>
          <w:lang w:val="lt-LT"/>
        </w:rPr>
        <w:t>: 1) vienas iš įgimtos rizikos veiksnių yra vadovybės sąžiningumas, patirtis bei ketinimai daryti tam tikrus pakeitimus finansinė</w:t>
      </w:r>
      <w:r w:rsidR="00DF6500" w:rsidRPr="006541E3">
        <w:rPr>
          <w:sz w:val="26"/>
          <w:szCs w:val="26"/>
          <w:lang w:val="lt-LT"/>
        </w:rPr>
        <w:t>s</w:t>
      </w:r>
      <w:r w:rsidRPr="006541E3">
        <w:rPr>
          <w:sz w:val="26"/>
          <w:szCs w:val="26"/>
          <w:lang w:val="lt-LT"/>
        </w:rPr>
        <w:t>e at</w:t>
      </w:r>
      <w:r w:rsidR="00DF6500" w:rsidRPr="006541E3">
        <w:rPr>
          <w:sz w:val="26"/>
          <w:szCs w:val="26"/>
          <w:lang w:val="lt-LT"/>
        </w:rPr>
        <w:t>a</w:t>
      </w:r>
      <w:r w:rsidRPr="006541E3">
        <w:rPr>
          <w:sz w:val="26"/>
          <w:szCs w:val="26"/>
          <w:lang w:val="lt-LT"/>
        </w:rPr>
        <w:t>skaito</w:t>
      </w:r>
      <w:r w:rsidR="00DF6500" w:rsidRPr="006541E3">
        <w:rPr>
          <w:sz w:val="26"/>
          <w:szCs w:val="26"/>
          <w:lang w:val="lt-LT"/>
        </w:rPr>
        <w:t>s</w:t>
      </w:r>
      <w:r w:rsidRPr="006541E3">
        <w:rPr>
          <w:sz w:val="26"/>
          <w:szCs w:val="26"/>
          <w:lang w:val="lt-LT"/>
        </w:rPr>
        <w:t>e; 2) įmonės vadovybė taiko tokią vidaus kontrolės sistemą, kuri užtikrina veiksmingą vadovavimą verslui. Todėl motyvacijos rizikos</w:t>
      </w:r>
      <w:r w:rsidR="00290BC2" w:rsidRPr="006541E3">
        <w:rPr>
          <w:sz w:val="26"/>
          <w:szCs w:val="26"/>
          <w:lang w:val="lt-LT"/>
        </w:rPr>
        <w:t xml:space="preserve">, kaip naujo audito rizikos komponento, </w:t>
      </w:r>
      <w:r w:rsidRPr="006541E3">
        <w:rPr>
          <w:sz w:val="26"/>
          <w:szCs w:val="26"/>
          <w:lang w:val="lt-LT"/>
        </w:rPr>
        <w:t xml:space="preserve">išskyrimas </w:t>
      </w:r>
      <w:r w:rsidR="00290BC2" w:rsidRPr="006541E3">
        <w:rPr>
          <w:sz w:val="26"/>
          <w:szCs w:val="26"/>
          <w:lang w:val="lt-LT"/>
        </w:rPr>
        <w:t xml:space="preserve">daro </w:t>
      </w:r>
      <w:r w:rsidR="003826BC" w:rsidRPr="006541E3">
        <w:rPr>
          <w:sz w:val="26"/>
          <w:szCs w:val="26"/>
          <w:lang w:val="lt-LT"/>
        </w:rPr>
        <w:t xml:space="preserve">šį </w:t>
      </w:r>
      <w:r w:rsidR="00290BC2" w:rsidRPr="006541E3">
        <w:rPr>
          <w:sz w:val="26"/>
          <w:szCs w:val="26"/>
          <w:lang w:val="lt-LT"/>
        </w:rPr>
        <w:t xml:space="preserve">audito rizikos </w:t>
      </w:r>
      <w:r w:rsidRPr="006541E3">
        <w:rPr>
          <w:sz w:val="26"/>
          <w:szCs w:val="26"/>
          <w:lang w:val="lt-LT"/>
        </w:rPr>
        <w:t xml:space="preserve">modelį </w:t>
      </w:r>
      <w:r w:rsidRPr="006541E3">
        <w:rPr>
          <w:i/>
          <w:sz w:val="26"/>
          <w:szCs w:val="26"/>
          <w:lang w:val="lt-LT"/>
        </w:rPr>
        <w:t>sudėtingesnį, o ne labiau suprantamesnį</w:t>
      </w:r>
      <w:r w:rsidRPr="006541E3">
        <w:rPr>
          <w:sz w:val="26"/>
          <w:szCs w:val="26"/>
          <w:lang w:val="lt-LT"/>
        </w:rPr>
        <w:t xml:space="preserve">. </w:t>
      </w:r>
      <w:r w:rsidR="00154335" w:rsidRPr="006541E3">
        <w:rPr>
          <w:sz w:val="26"/>
          <w:szCs w:val="26"/>
          <w:lang w:val="lt-LT"/>
        </w:rPr>
        <w:t>Atkreiptinas dėmesys</w:t>
      </w:r>
      <w:r w:rsidRPr="006541E3">
        <w:rPr>
          <w:sz w:val="26"/>
          <w:szCs w:val="26"/>
          <w:lang w:val="lt-LT"/>
        </w:rPr>
        <w:t xml:space="preserve">, </w:t>
      </w:r>
      <w:r w:rsidR="00154335" w:rsidRPr="006541E3">
        <w:rPr>
          <w:sz w:val="26"/>
          <w:szCs w:val="26"/>
          <w:lang w:val="lt-LT"/>
        </w:rPr>
        <w:t xml:space="preserve">kad </w:t>
      </w:r>
      <w:r w:rsidR="000C2B2B" w:rsidRPr="006541E3">
        <w:rPr>
          <w:sz w:val="26"/>
          <w:szCs w:val="26"/>
          <w:lang w:val="lt-LT"/>
        </w:rPr>
        <w:t>šiame</w:t>
      </w:r>
      <w:r w:rsidRPr="006541E3">
        <w:rPr>
          <w:sz w:val="26"/>
          <w:szCs w:val="26"/>
          <w:lang w:val="lt-LT"/>
        </w:rPr>
        <w:t xml:space="preserve"> modelyje išskiria</w:t>
      </w:r>
      <w:r w:rsidR="000C2B2B" w:rsidRPr="006541E3">
        <w:rPr>
          <w:sz w:val="26"/>
          <w:szCs w:val="26"/>
          <w:lang w:val="lt-LT"/>
        </w:rPr>
        <w:t>ma</w:t>
      </w:r>
      <w:r w:rsidRPr="006541E3">
        <w:rPr>
          <w:sz w:val="26"/>
          <w:szCs w:val="26"/>
          <w:lang w:val="lt-LT"/>
        </w:rPr>
        <w:t xml:space="preserve"> specifinių periodų ir specifinių sandorių rizik</w:t>
      </w:r>
      <w:r w:rsidR="000C2B2B" w:rsidRPr="006541E3">
        <w:rPr>
          <w:sz w:val="26"/>
          <w:szCs w:val="26"/>
          <w:lang w:val="lt-LT"/>
        </w:rPr>
        <w:t>o</w:t>
      </w:r>
      <w:r w:rsidRPr="006541E3">
        <w:rPr>
          <w:sz w:val="26"/>
          <w:szCs w:val="26"/>
          <w:lang w:val="lt-LT"/>
        </w:rPr>
        <w:t>s, tačiau toks išskyrimas taip</w:t>
      </w:r>
      <w:r w:rsidR="000C2B2B" w:rsidRPr="006541E3">
        <w:rPr>
          <w:sz w:val="26"/>
          <w:szCs w:val="26"/>
          <w:lang w:val="lt-LT"/>
        </w:rPr>
        <w:t xml:space="preserve"> pat</w:t>
      </w:r>
      <w:r w:rsidRPr="006541E3">
        <w:rPr>
          <w:sz w:val="26"/>
          <w:szCs w:val="26"/>
          <w:lang w:val="lt-LT"/>
        </w:rPr>
        <w:t xml:space="preserve"> vertas diskusijos. Žinoma, vykdant naujus, neįprastus sandorius ar atliekant ūkines operacijas specifiniais periodais rizika padaryti klaidingą buhalterinį įrašą padidėja, tačiau tuo pačiu padidėja ir įgimta bei kontrolės rizika, t.</w:t>
      </w:r>
      <w:r w:rsidR="0078372D" w:rsidRPr="006541E3">
        <w:rPr>
          <w:sz w:val="26"/>
          <w:szCs w:val="26"/>
          <w:lang w:val="lt-LT"/>
        </w:rPr>
        <w:t xml:space="preserve"> </w:t>
      </w:r>
      <w:r w:rsidRPr="006541E3">
        <w:rPr>
          <w:sz w:val="26"/>
          <w:szCs w:val="26"/>
          <w:lang w:val="lt-LT"/>
        </w:rPr>
        <w:t xml:space="preserve">y. rizika, kad šie reikšmingi iškraipymai nebus aptikti ir ištaisyti </w:t>
      </w:r>
      <w:r w:rsidR="0078372D" w:rsidRPr="006541E3">
        <w:rPr>
          <w:sz w:val="26"/>
          <w:szCs w:val="26"/>
          <w:lang w:val="lt-LT"/>
        </w:rPr>
        <w:t xml:space="preserve">įmonės </w:t>
      </w:r>
      <w:r w:rsidRPr="006541E3">
        <w:rPr>
          <w:sz w:val="26"/>
          <w:szCs w:val="26"/>
          <w:lang w:val="lt-LT"/>
        </w:rPr>
        <w:t>vidaus kontrolės sistemos</w:t>
      </w:r>
      <w:r w:rsidR="0078372D" w:rsidRPr="006541E3">
        <w:rPr>
          <w:sz w:val="26"/>
          <w:szCs w:val="26"/>
          <w:lang w:val="lt-LT"/>
        </w:rPr>
        <w:t xml:space="preserve"> pagalba</w:t>
      </w:r>
      <w:r w:rsidRPr="006541E3">
        <w:rPr>
          <w:sz w:val="26"/>
          <w:szCs w:val="26"/>
          <w:lang w:val="lt-LT"/>
        </w:rPr>
        <w:t>. T</w:t>
      </w:r>
      <w:r w:rsidR="000C2B2B" w:rsidRPr="006541E3">
        <w:rPr>
          <w:sz w:val="26"/>
          <w:szCs w:val="26"/>
          <w:lang w:val="lt-LT"/>
        </w:rPr>
        <w:t>o</w:t>
      </w:r>
      <w:r w:rsidRPr="006541E3">
        <w:rPr>
          <w:sz w:val="26"/>
          <w:szCs w:val="26"/>
          <w:lang w:val="lt-LT"/>
        </w:rPr>
        <w:t>d</w:t>
      </w:r>
      <w:r w:rsidR="000C2B2B" w:rsidRPr="006541E3">
        <w:rPr>
          <w:sz w:val="26"/>
          <w:szCs w:val="26"/>
          <w:lang w:val="lt-LT"/>
        </w:rPr>
        <w:t>ėl atskirai išskirti</w:t>
      </w:r>
      <w:r w:rsidR="005F5197" w:rsidRPr="006541E3">
        <w:rPr>
          <w:sz w:val="26"/>
          <w:szCs w:val="26"/>
          <w:lang w:val="lt-LT"/>
        </w:rPr>
        <w:t xml:space="preserve"> šias rizikas audito rizikos modelyje</w:t>
      </w:r>
      <w:r w:rsidR="00F43BC5" w:rsidRPr="006541E3">
        <w:rPr>
          <w:sz w:val="26"/>
          <w:szCs w:val="26"/>
          <w:lang w:val="lt-LT"/>
        </w:rPr>
        <w:t xml:space="preserve">, </w:t>
      </w:r>
      <w:r w:rsidR="004D360B" w:rsidRPr="006541E3">
        <w:rPr>
          <w:sz w:val="26"/>
          <w:szCs w:val="26"/>
          <w:lang w:val="lt-LT"/>
        </w:rPr>
        <w:t xml:space="preserve">darbo </w:t>
      </w:r>
      <w:r w:rsidR="00F43BC5" w:rsidRPr="006541E3">
        <w:rPr>
          <w:sz w:val="26"/>
          <w:szCs w:val="26"/>
          <w:lang w:val="lt-LT"/>
        </w:rPr>
        <w:t>autorės nuomone,</w:t>
      </w:r>
      <w:r w:rsidR="000C2B2B" w:rsidRPr="006541E3">
        <w:rPr>
          <w:sz w:val="26"/>
          <w:szCs w:val="26"/>
          <w:lang w:val="lt-LT"/>
        </w:rPr>
        <w:t xml:space="preserve"> </w:t>
      </w:r>
      <w:r w:rsidR="0078372D" w:rsidRPr="006541E3">
        <w:rPr>
          <w:sz w:val="26"/>
          <w:szCs w:val="26"/>
          <w:lang w:val="lt-LT"/>
        </w:rPr>
        <w:t>yra netikslinga</w:t>
      </w:r>
      <w:r w:rsidR="000C2B2B" w:rsidRPr="006541E3">
        <w:rPr>
          <w:sz w:val="26"/>
          <w:szCs w:val="26"/>
          <w:lang w:val="lt-LT"/>
        </w:rPr>
        <w:t>.</w:t>
      </w:r>
      <w:r w:rsidRPr="006541E3">
        <w:rPr>
          <w:sz w:val="26"/>
          <w:szCs w:val="26"/>
          <w:lang w:val="lt-LT"/>
        </w:rPr>
        <w:t xml:space="preserve"> </w:t>
      </w:r>
    </w:p>
    <w:p w:rsidR="0093794E" w:rsidRPr="006541E3" w:rsidRDefault="00FE371C" w:rsidP="000E7759">
      <w:pPr>
        <w:spacing w:line="360" w:lineRule="auto"/>
        <w:ind w:firstLine="720"/>
        <w:jc w:val="both"/>
        <w:rPr>
          <w:sz w:val="26"/>
          <w:szCs w:val="26"/>
          <w:lang w:val="lt-LT"/>
        </w:rPr>
      </w:pPr>
      <w:r w:rsidRPr="006541E3">
        <w:rPr>
          <w:b/>
          <w:sz w:val="26"/>
          <w:szCs w:val="26"/>
          <w:lang w:val="lt-LT"/>
        </w:rPr>
        <w:t xml:space="preserve">J. L. </w:t>
      </w:r>
      <w:r w:rsidR="00011C9A" w:rsidRPr="006541E3">
        <w:rPr>
          <w:b/>
          <w:sz w:val="26"/>
          <w:szCs w:val="26"/>
          <w:lang w:val="lt-LT"/>
        </w:rPr>
        <w:t>Turner</w:t>
      </w:r>
      <w:r w:rsidRPr="006541E3">
        <w:rPr>
          <w:b/>
          <w:sz w:val="26"/>
          <w:szCs w:val="26"/>
          <w:lang w:val="lt-LT"/>
        </w:rPr>
        <w:t>,</w:t>
      </w:r>
      <w:r w:rsidR="00011C9A" w:rsidRPr="006541E3">
        <w:rPr>
          <w:b/>
          <w:sz w:val="26"/>
          <w:szCs w:val="26"/>
          <w:lang w:val="lt-LT"/>
        </w:rPr>
        <w:t xml:space="preserve"> </w:t>
      </w:r>
      <w:r w:rsidRPr="006541E3">
        <w:rPr>
          <w:b/>
          <w:sz w:val="26"/>
          <w:szCs w:val="26"/>
          <w:lang w:val="lt-LT"/>
        </w:rPr>
        <w:t xml:space="preserve">T. J. </w:t>
      </w:r>
      <w:r w:rsidR="00011C9A" w:rsidRPr="006541E3">
        <w:rPr>
          <w:b/>
          <w:sz w:val="26"/>
          <w:szCs w:val="26"/>
          <w:lang w:val="lt-LT"/>
        </w:rPr>
        <w:t xml:space="preserve">Mock, </w:t>
      </w:r>
      <w:r w:rsidRPr="006541E3">
        <w:rPr>
          <w:b/>
          <w:sz w:val="26"/>
          <w:szCs w:val="26"/>
          <w:lang w:val="lt-LT"/>
        </w:rPr>
        <w:t xml:space="preserve">R. P. </w:t>
      </w:r>
      <w:r w:rsidR="00011C9A" w:rsidRPr="006541E3">
        <w:rPr>
          <w:b/>
          <w:sz w:val="26"/>
          <w:szCs w:val="26"/>
          <w:lang w:val="lt-LT"/>
        </w:rPr>
        <w:t>Srivastava</w:t>
      </w:r>
      <w:r w:rsidRPr="006541E3">
        <w:rPr>
          <w:b/>
          <w:sz w:val="26"/>
          <w:szCs w:val="26"/>
          <w:lang w:val="lt-LT"/>
        </w:rPr>
        <w:t xml:space="preserve"> audito rizikos</w:t>
      </w:r>
      <w:r w:rsidR="00011C9A" w:rsidRPr="006541E3">
        <w:rPr>
          <w:b/>
          <w:sz w:val="26"/>
          <w:szCs w:val="26"/>
          <w:lang w:val="lt-LT"/>
        </w:rPr>
        <w:t xml:space="preserve"> modelis</w:t>
      </w:r>
      <w:r w:rsidR="000E7759" w:rsidRPr="006541E3">
        <w:rPr>
          <w:b/>
          <w:sz w:val="26"/>
          <w:szCs w:val="26"/>
          <w:lang w:val="lt-LT"/>
        </w:rPr>
        <w:t xml:space="preserve">. </w:t>
      </w:r>
      <w:r w:rsidR="00884A1E">
        <w:rPr>
          <w:sz w:val="26"/>
          <w:szCs w:val="26"/>
          <w:lang w:val="lt-LT"/>
        </w:rPr>
        <w:t>S. </w:t>
      </w:r>
      <w:r w:rsidR="00B845FC" w:rsidRPr="006541E3">
        <w:rPr>
          <w:sz w:val="26"/>
          <w:szCs w:val="26"/>
          <w:lang w:val="lt-LT"/>
        </w:rPr>
        <w:t xml:space="preserve">K. Dutta, K. Harison ir R. P. Srivastava (1998) teigia, kad rimti audito rizikos neįvertinimai gali atsirasti, jei audito rizikos modelis yra panaudojamas be jokio specialaus rizikų, susijusių su vadovybės vykdoma apgaule, svarstymo. </w:t>
      </w:r>
      <w:r w:rsidR="003508C2" w:rsidRPr="006541E3">
        <w:rPr>
          <w:sz w:val="26"/>
          <w:szCs w:val="26"/>
          <w:lang w:val="lt-LT"/>
        </w:rPr>
        <w:t xml:space="preserve">Šiai nuomonei pritaria </w:t>
      </w:r>
      <w:r w:rsidR="00B845FC" w:rsidRPr="006541E3">
        <w:rPr>
          <w:sz w:val="26"/>
          <w:szCs w:val="26"/>
          <w:lang w:val="lt-LT"/>
        </w:rPr>
        <w:t xml:space="preserve">J. L. Turner, T. J. Mock, R. P. Srivastava </w:t>
      </w:r>
      <w:r w:rsidR="00B845FC" w:rsidRPr="006541E3">
        <w:rPr>
          <w:sz w:val="26"/>
          <w:szCs w:val="26"/>
          <w:lang w:val="lt-LT"/>
        </w:rPr>
        <w:lastRenderedPageBreak/>
        <w:t>(2003)</w:t>
      </w:r>
      <w:r w:rsidR="00523EA8" w:rsidRPr="006541E3">
        <w:rPr>
          <w:sz w:val="26"/>
          <w:szCs w:val="26"/>
          <w:lang w:val="lt-LT"/>
        </w:rPr>
        <w:t>, todėl</w:t>
      </w:r>
      <w:r w:rsidR="003508C2" w:rsidRPr="006541E3">
        <w:rPr>
          <w:sz w:val="26"/>
          <w:szCs w:val="26"/>
          <w:lang w:val="lt-LT"/>
        </w:rPr>
        <w:t xml:space="preserve"> pateiki</w:t>
      </w:r>
      <w:r w:rsidR="00523EA8" w:rsidRPr="006541E3">
        <w:rPr>
          <w:sz w:val="26"/>
          <w:szCs w:val="26"/>
          <w:lang w:val="lt-LT"/>
        </w:rPr>
        <w:t>a</w:t>
      </w:r>
      <w:r w:rsidR="003508C2" w:rsidRPr="006541E3">
        <w:rPr>
          <w:sz w:val="26"/>
          <w:szCs w:val="26"/>
          <w:lang w:val="lt-LT"/>
        </w:rPr>
        <w:t xml:space="preserve"> audito rizikos modelį su </w:t>
      </w:r>
      <w:r w:rsidR="00884A1E">
        <w:rPr>
          <w:sz w:val="26"/>
          <w:szCs w:val="26"/>
          <w:lang w:val="lt-LT"/>
        </w:rPr>
        <w:t>apgaulės rizikos vertinimu (žr. </w:t>
      </w:r>
      <w:r w:rsidR="003508C2" w:rsidRPr="006541E3">
        <w:rPr>
          <w:sz w:val="26"/>
          <w:szCs w:val="26"/>
          <w:lang w:val="lt-LT"/>
        </w:rPr>
        <w:t>1</w:t>
      </w:r>
      <w:r w:rsidR="00F726AC" w:rsidRPr="006541E3">
        <w:rPr>
          <w:sz w:val="26"/>
          <w:szCs w:val="26"/>
          <w:lang w:val="lt-LT"/>
        </w:rPr>
        <w:t>3</w:t>
      </w:r>
      <w:r w:rsidR="003508C2" w:rsidRPr="006541E3">
        <w:rPr>
          <w:sz w:val="26"/>
          <w:szCs w:val="26"/>
          <w:lang w:val="lt-LT"/>
        </w:rPr>
        <w:t xml:space="preserve"> pav.). </w:t>
      </w:r>
    </w:p>
    <w:p w:rsidR="0015676E" w:rsidRDefault="00166819" w:rsidP="000E7759">
      <w:pPr>
        <w:tabs>
          <w:tab w:val="left" w:pos="709"/>
        </w:tabs>
        <w:spacing w:line="360" w:lineRule="auto"/>
        <w:jc w:val="both"/>
        <w:rPr>
          <w:sz w:val="24"/>
          <w:szCs w:val="24"/>
          <w:lang w:val="lt-LT"/>
        </w:rPr>
      </w:pPr>
      <w:r>
        <w:rPr>
          <w:noProof/>
          <w:sz w:val="24"/>
          <w:szCs w:val="24"/>
          <w:lang w:val="lt-LT"/>
        </w:rPr>
        <w:pict>
          <v:group id="_x0000_s74559" style="position:absolute;left:0;text-align:left;margin-left:4.55pt;margin-top:1.2pt;width:409.2pt;height:320.8pt;z-index:254529536" coordorigin="1905,1498" coordsize="8184,6416">
            <v:shape id="_x0000_s8390" type="#_x0000_t202" style="position:absolute;left:2302;top:1498;width:1940;height:665;mso-height-percent:200;mso-height-percent:200;mso-width-relative:margin;mso-height-relative:margin" o:regroupid="124">
              <v:textbox style="mso-next-textbox:#_x0000_s8390;mso-fit-shape-to-text:t">
                <w:txbxContent>
                  <w:p w:rsidR="00BE5795" w:rsidRPr="00FE380C" w:rsidRDefault="00BE5795" w:rsidP="00011C9A">
                    <w:pPr>
                      <w:jc w:val="center"/>
                      <w:rPr>
                        <w:sz w:val="22"/>
                        <w:szCs w:val="22"/>
                        <w:lang w:val="lt-LT"/>
                      </w:rPr>
                    </w:pPr>
                    <w:r w:rsidRPr="00FE380C">
                      <w:rPr>
                        <w:sz w:val="22"/>
                        <w:szCs w:val="22"/>
                        <w:lang w:val="lt-LT"/>
                      </w:rPr>
                      <w:t>Baigiamoji analitinė apžvalga</w:t>
                    </w:r>
                  </w:p>
                </w:txbxContent>
              </v:textbox>
            </v:shape>
            <v:roundrect id="_x0000_s8391" style="position:absolute;left:1905;top:2508;width:2606;height:752" arcsize="10923f" o:regroupid="124" filled="f">
              <v:textbox style="mso-next-textbox:#_x0000_s8391">
                <w:txbxContent>
                  <w:p w:rsidR="00BE5795" w:rsidRPr="00FE380C" w:rsidRDefault="00BE5795" w:rsidP="00011C9A">
                    <w:pPr>
                      <w:jc w:val="center"/>
                      <w:rPr>
                        <w:sz w:val="22"/>
                        <w:szCs w:val="22"/>
                        <w:lang w:val="lt-LT"/>
                      </w:rPr>
                    </w:pPr>
                    <w:r w:rsidRPr="00FE380C">
                      <w:rPr>
                        <w:sz w:val="22"/>
                        <w:szCs w:val="22"/>
                        <w:lang w:val="lt-LT"/>
                      </w:rPr>
                      <w:t>Finansinės ataskaitos pateiktos teisingai</w:t>
                    </w:r>
                  </w:p>
                </w:txbxContent>
              </v:textbox>
            </v:roundrect>
            <v:roundrect id="_x0000_s8392" style="position:absolute;left:4959;top:1806;width:1760;height:526" arcsize="10923f" o:regroupid="124" filled="f">
              <v:textbox style="mso-next-textbox:#_x0000_s8392">
                <w:txbxContent>
                  <w:p w:rsidR="00BE5795" w:rsidRPr="00FE380C" w:rsidRDefault="00BE5795" w:rsidP="00011C9A">
                    <w:pPr>
                      <w:jc w:val="center"/>
                      <w:rPr>
                        <w:b/>
                        <w:sz w:val="22"/>
                        <w:szCs w:val="22"/>
                        <w:lang w:val="lt-LT"/>
                      </w:rPr>
                    </w:pPr>
                    <w:r w:rsidRPr="00FE380C">
                      <w:rPr>
                        <w:b/>
                        <w:sz w:val="22"/>
                        <w:szCs w:val="22"/>
                        <w:lang w:val="lt-LT"/>
                      </w:rPr>
                      <w:t>Nėra klaidų</w:t>
                    </w:r>
                  </w:p>
                </w:txbxContent>
              </v:textbox>
            </v:roundrect>
            <v:roundrect id="_x0000_s8393" style="position:absolute;left:4959;top:3345;width:1891;height:1800" arcsize="10923f" o:regroupid="124" filled="f">
              <v:textbox style="mso-next-textbox:#_x0000_s8393">
                <w:txbxContent>
                  <w:p w:rsidR="00BE5795" w:rsidRPr="00FE380C" w:rsidRDefault="00BE5795" w:rsidP="00011C9A">
                    <w:pPr>
                      <w:jc w:val="center"/>
                      <w:rPr>
                        <w:sz w:val="22"/>
                        <w:szCs w:val="22"/>
                        <w:lang w:val="lt-LT"/>
                      </w:rPr>
                    </w:pPr>
                    <w:r w:rsidRPr="00FE380C">
                      <w:rPr>
                        <w:b/>
                        <w:sz w:val="22"/>
                        <w:szCs w:val="22"/>
                        <w:lang w:val="lt-LT"/>
                      </w:rPr>
                      <w:t xml:space="preserve">Nėra apgaulės </w:t>
                    </w:r>
                    <w:r w:rsidRPr="00FE380C">
                      <w:rPr>
                        <w:sz w:val="22"/>
                        <w:szCs w:val="22"/>
                        <w:lang w:val="lt-LT"/>
                      </w:rPr>
                      <w:t>finansinėse ataskaitose ar neteisėtai pasisavinto turto</w:t>
                    </w:r>
                  </w:p>
                </w:txbxContent>
              </v:textbox>
            </v:roundrect>
            <v:shape id="_x0000_s8394" type="#_x0000_t202" style="position:absolute;left:8022;top:1690;width:2060;height:1424;mso-height-percent:200;mso-height-percent:200;mso-width-relative:margin;mso-height-relative:margin" o:regroupid="124">
              <v:textbox style="mso-next-textbox:#_x0000_s8394;mso-fit-shape-to-text:t">
                <w:txbxContent>
                  <w:p w:rsidR="00BE5795" w:rsidRPr="00FE380C" w:rsidRDefault="00BE5795" w:rsidP="00011C9A">
                    <w:pPr>
                      <w:jc w:val="center"/>
                      <w:rPr>
                        <w:sz w:val="22"/>
                        <w:szCs w:val="22"/>
                        <w:lang w:val="lt-LT"/>
                      </w:rPr>
                    </w:pPr>
                    <w:r w:rsidRPr="00FE380C">
                      <w:rPr>
                        <w:sz w:val="22"/>
                        <w:szCs w:val="22"/>
                        <w:lang w:val="lt-LT"/>
                      </w:rPr>
                      <w:t>Įgimtų veiksnių, kontrolės aplinkos įvertinimas ir kontrolės supratimas</w:t>
                    </w:r>
                  </w:p>
                </w:txbxContent>
              </v:textbox>
            </v:shape>
            <v:shape id="_x0000_s8395" type="#_x0000_t202" style="position:absolute;left:8022;top:3068;width:2060;height:412;mso-height-percent:200;mso-height-percent:200;mso-width-relative:margin;mso-height-relative:margin" o:regroupid="124">
              <v:textbox style="mso-next-textbox:#_x0000_s8395;mso-fit-shape-to-text:t">
                <w:txbxContent>
                  <w:p w:rsidR="00BE5795" w:rsidRPr="00FE380C" w:rsidRDefault="00BE5795" w:rsidP="00011C9A">
                    <w:pPr>
                      <w:jc w:val="center"/>
                      <w:rPr>
                        <w:sz w:val="22"/>
                        <w:szCs w:val="22"/>
                        <w:lang w:val="lt-LT"/>
                      </w:rPr>
                    </w:pPr>
                    <w:r w:rsidRPr="00FE380C">
                      <w:rPr>
                        <w:sz w:val="22"/>
                        <w:szCs w:val="22"/>
                        <w:lang w:val="lt-LT"/>
                      </w:rPr>
                      <w:t>Kontrolės testai</w:t>
                    </w:r>
                  </w:p>
                </w:txbxContent>
              </v:textbox>
            </v:shape>
            <v:shape id="_x0000_s8396" type="#_x0000_t202" style="position:absolute;left:8022;top:4370;width:2060;height:412;mso-height-percent:200;mso-height-percent:200;mso-width-relative:margin;mso-height-relative:margin" o:regroupid="124">
              <v:textbox style="mso-next-textbox:#_x0000_s8396;mso-fit-shape-to-text:t">
                <w:txbxContent>
                  <w:p w:rsidR="00BE5795" w:rsidRPr="00FE380C" w:rsidRDefault="00BE5795" w:rsidP="00011C9A">
                    <w:pPr>
                      <w:jc w:val="center"/>
                      <w:rPr>
                        <w:sz w:val="22"/>
                        <w:szCs w:val="22"/>
                        <w:lang w:val="lt-LT"/>
                      </w:rPr>
                    </w:pPr>
                    <w:r w:rsidRPr="00FE380C">
                      <w:rPr>
                        <w:sz w:val="22"/>
                        <w:szCs w:val="22"/>
                        <w:lang w:val="lt-LT"/>
                      </w:rPr>
                      <w:t>Detalūs testai</w:t>
                    </w:r>
                  </w:p>
                </w:txbxContent>
              </v:textbox>
            </v:shape>
            <v:shape id="_x0000_s8397" type="#_x0000_t202" style="position:absolute;left:8028;top:3618;width:2061;height:665;mso-height-percent:200;mso-height-percent:200;mso-width-relative:margin;mso-height-relative:margin" o:regroupid="124">
              <v:textbox style="mso-next-textbox:#_x0000_s8397;mso-fit-shape-to-text:t">
                <w:txbxContent>
                  <w:p w:rsidR="00BE5795" w:rsidRPr="00FE380C" w:rsidRDefault="00BE5795" w:rsidP="00011C9A">
                    <w:pPr>
                      <w:jc w:val="center"/>
                      <w:rPr>
                        <w:sz w:val="22"/>
                        <w:szCs w:val="22"/>
                        <w:lang w:val="lt-LT"/>
                      </w:rPr>
                    </w:pPr>
                    <w:r w:rsidRPr="00FE380C">
                      <w:rPr>
                        <w:sz w:val="22"/>
                        <w:szCs w:val="22"/>
                        <w:lang w:val="lt-LT"/>
                      </w:rPr>
                      <w:t>Analitinės procedūros</w:t>
                    </w:r>
                  </w:p>
                </w:txbxContent>
              </v:textbox>
            </v:shape>
            <v:shape id="_x0000_s8398" type="#_x0000_t32" style="position:absolute;left:3197;top:2100;width:0;height:408" o:connectortype="straight" o:regroupid="124">
              <v:stroke endarrow="block"/>
            </v:shape>
            <v:shape id="_x0000_s8399" type="#_x0000_t202" style="position:absolute;left:7602;top:5310;width:2060;height:665;mso-height-percent:200;mso-height-percent:200;mso-width-relative:margin;mso-height-relative:margin" o:regroupid="124">
              <v:textbox style="mso-next-textbox:#_x0000_s8399;mso-fit-shape-to-text:t">
                <w:txbxContent>
                  <w:p w:rsidR="00BE5795" w:rsidRPr="00FE380C" w:rsidRDefault="00BE5795" w:rsidP="00011C9A">
                    <w:pPr>
                      <w:jc w:val="center"/>
                      <w:rPr>
                        <w:sz w:val="22"/>
                        <w:szCs w:val="22"/>
                        <w:lang w:val="lt-LT"/>
                      </w:rPr>
                    </w:pPr>
                    <w:r w:rsidRPr="00FE380C">
                      <w:rPr>
                        <w:sz w:val="22"/>
                        <w:szCs w:val="22"/>
                        <w:lang w:val="lt-LT"/>
                      </w:rPr>
                      <w:t>Modifikuotos audito procedūros</w:t>
                    </w:r>
                  </w:p>
                </w:txbxContent>
              </v:textbox>
            </v:shape>
            <v:shape id="_x0000_s8400" type="#_x0000_t32" style="position:absolute;left:6719;top:1994;width:1270;height:514;flip:x y" o:connectortype="straight" o:regroupid="124">
              <v:stroke endarrow="block"/>
            </v:shape>
            <v:shape id="_x0000_s8401" type="#_x0000_t32" style="position:absolute;left:6850;top:4536;width:718;height:1004;flip:x y" o:connectortype="straight" o:regroupid="124">
              <v:stroke endarrow="block"/>
            </v:shape>
            <v:shape id="_x0000_s8402" type="#_x0000_t32" style="position:absolute;left:6719;top:2157;width:1270;height:1093;flip:x y" o:connectortype="straight" o:regroupid="124">
              <v:stroke endarrow="block"/>
            </v:shape>
            <v:shape id="_x0000_s8403" type="#_x0000_t32" style="position:absolute;left:6719;top:2332;width:1270;height:1498;flip:x y" o:connectortype="straight" o:regroupid="124">
              <v:stroke endarrow="block"/>
            </v:shape>
            <v:shape id="_x0000_s8404" type="#_x0000_t32" style="position:absolute;left:6501;top:2332;width:1488;height:2204;flip:x y" o:connectortype="straight" o:regroupid="124">
              <v:stroke endarrow="block"/>
            </v:shape>
            <v:shape id="_x0000_s8405" type="#_x0000_t32" style="position:absolute;left:6832;top:2508;width:1157;height:1189;flip:x" o:connectortype="straight" o:regroupid="124">
              <v:stroke dashstyle="dash" endarrow="block"/>
            </v:shape>
            <v:shape id="_x0000_s8406" type="#_x0000_t32" style="position:absolute;left:6850;top:3250;width:1139;height:836;flip:x" o:connectortype="straight" o:regroupid="124">
              <v:stroke dashstyle="dash" endarrow="block"/>
            </v:shape>
            <v:shape id="_x0000_s8407" type="#_x0000_t32" style="position:absolute;left:6850;top:3808;width:1157;height:528;flip:x" o:connectortype="straight" o:regroupid="124">
              <v:stroke dashstyle="dash" endarrow="block"/>
            </v:shape>
            <v:shape id="_x0000_s8408" type="#_x0000_t32" style="position:absolute;left:6832;top:4458;width:1157;height:78;flip:x y" o:connectortype="straight" o:regroupid="124">
              <v:stroke dashstyle="dash" endarrow="block"/>
            </v:shape>
            <v:shape id="_x0000_s8409" type="#_x0000_t32" style="position:absolute;left:4511;top:2883;width:325;height:0" o:connectortype="straight" o:regroupid="124"/>
            <v:oval id="_x0000_s8410" style="position:absolute;left:4836;top:2632;width:507;height:526" o:regroupid="124" filled="f">
              <v:textbox style="mso-next-textbox:#_x0000_s8410">
                <w:txbxContent>
                  <w:p w:rsidR="00BE5795" w:rsidRPr="00E22484" w:rsidRDefault="00BE5795" w:rsidP="00011C9A">
                    <w:pPr>
                      <w:rPr>
                        <w:lang w:val="lt-LT"/>
                      </w:rPr>
                    </w:pPr>
                    <w:r w:rsidRPr="00FE380C">
                      <w:rPr>
                        <w:sz w:val="22"/>
                        <w:szCs w:val="22"/>
                        <w:lang w:val="lt-LT"/>
                      </w:rPr>
                      <w:t>ir</w:t>
                    </w:r>
                    <w:r>
                      <w:rPr>
                        <w:lang w:val="lt-LT"/>
                      </w:rPr>
                      <w:t>r</w:t>
                    </w:r>
                  </w:p>
                </w:txbxContent>
              </v:textbox>
            </v:oval>
            <v:shape id="_x0000_s8411" type="#_x0000_t32" style="position:absolute;left:5211;top:3158;width:725;height:187" o:connectortype="straight" o:regroupid="124"/>
            <v:shape id="_x0000_s8412" type="#_x0000_t32" style="position:absolute;left:5114;top:2332;width:676;height:311;flip:y" o:connectortype="straight" o:regroupid="124"/>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8413" type="#_x0000_t9" style="position:absolute;left:5548;top:5405;width:603;height:489" o:regroupid="124" filled="f">
              <v:textbox style="mso-next-textbox:#_x0000_s8413">
                <w:txbxContent>
                  <w:p w:rsidR="00BE5795" w:rsidRPr="00FE380C" w:rsidRDefault="00BE5795" w:rsidP="00011C9A">
                    <w:pPr>
                      <w:rPr>
                        <w:sz w:val="22"/>
                        <w:szCs w:val="22"/>
                        <w:lang w:val="lt-LT"/>
                      </w:rPr>
                    </w:pPr>
                    <w:r w:rsidRPr="00FE380C">
                      <w:rPr>
                        <w:sz w:val="22"/>
                        <w:szCs w:val="22"/>
                        <w:lang w:val="lt-LT"/>
                      </w:rPr>
                      <w:t>ar</w:t>
                    </w:r>
                  </w:p>
                </w:txbxContent>
              </v:textbox>
            </v:shape>
            <v:roundrect id="_x0000_s8414" style="position:absolute;left:2900;top:6134;width:1707;height:752" arcsize="10923f" o:regroupid="124" filled="f">
              <v:textbox style="mso-next-textbox:#_x0000_s8414">
                <w:txbxContent>
                  <w:p w:rsidR="00BE5795" w:rsidRPr="00FE380C" w:rsidRDefault="00BE5795" w:rsidP="00011C9A">
                    <w:pPr>
                      <w:jc w:val="center"/>
                      <w:rPr>
                        <w:sz w:val="22"/>
                        <w:szCs w:val="22"/>
                        <w:lang w:val="lt-LT"/>
                      </w:rPr>
                    </w:pPr>
                    <w:r w:rsidRPr="00FE380C">
                      <w:rPr>
                        <w:sz w:val="22"/>
                        <w:szCs w:val="22"/>
                        <w:lang w:val="lt-LT"/>
                      </w:rPr>
                      <w:t>Nėra paskatos/</w:t>
                    </w:r>
                  </w:p>
                  <w:p w:rsidR="00BE5795" w:rsidRPr="00FE380C" w:rsidRDefault="00BE5795" w:rsidP="00011C9A">
                    <w:pPr>
                      <w:jc w:val="center"/>
                      <w:rPr>
                        <w:sz w:val="22"/>
                        <w:szCs w:val="22"/>
                        <w:lang w:val="lt-LT"/>
                      </w:rPr>
                    </w:pPr>
                    <w:r w:rsidRPr="00FE380C">
                      <w:rPr>
                        <w:sz w:val="22"/>
                        <w:szCs w:val="22"/>
                        <w:lang w:val="lt-LT"/>
                      </w:rPr>
                      <w:t>spaudimo</w:t>
                    </w:r>
                  </w:p>
                </w:txbxContent>
              </v:textbox>
            </v:roundrect>
            <v:roundrect id="_x0000_s8415" style="position:absolute;left:4836;top:6134;width:1665;height:752" arcsize="10923f" o:regroupid="124" filled="f">
              <v:textbox style="mso-next-textbox:#_x0000_s8415">
                <w:txbxContent>
                  <w:p w:rsidR="00BE5795" w:rsidRPr="00FE380C" w:rsidRDefault="00BE5795" w:rsidP="00011C9A">
                    <w:pPr>
                      <w:jc w:val="center"/>
                      <w:rPr>
                        <w:sz w:val="22"/>
                        <w:szCs w:val="22"/>
                        <w:lang w:val="lt-LT"/>
                      </w:rPr>
                    </w:pPr>
                    <w:r w:rsidRPr="00FE380C">
                      <w:rPr>
                        <w:sz w:val="22"/>
                        <w:szCs w:val="22"/>
                        <w:lang w:val="lt-LT"/>
                      </w:rPr>
                      <w:t>Vadovybės sąžiningumas</w:t>
                    </w:r>
                  </w:p>
                </w:txbxContent>
              </v:textbox>
            </v:roundrect>
            <v:roundrect id="_x0000_s8416" style="position:absolute;left:6798;top:6134;width:1542;height:752" arcsize="10923f" o:regroupid="124" filled="f">
              <v:textbox style="mso-next-textbox:#_x0000_s8416">
                <w:txbxContent>
                  <w:p w:rsidR="00BE5795" w:rsidRPr="00FE380C" w:rsidRDefault="00BE5795" w:rsidP="00011C9A">
                    <w:pPr>
                      <w:jc w:val="center"/>
                      <w:rPr>
                        <w:sz w:val="22"/>
                        <w:szCs w:val="22"/>
                        <w:lang w:val="lt-LT"/>
                      </w:rPr>
                    </w:pPr>
                    <w:r w:rsidRPr="00FE380C">
                      <w:rPr>
                        <w:sz w:val="22"/>
                        <w:szCs w:val="22"/>
                        <w:lang w:val="lt-LT"/>
                      </w:rPr>
                      <w:t>Nėra galimybės</w:t>
                    </w:r>
                  </w:p>
                </w:txbxContent>
              </v:textbox>
            </v:roundrect>
            <v:shape id="_x0000_s8417" type="#_x0000_t32" style="position:absolute;left:4607;top:6514;width:229;height:0" o:connectortype="straight" o:regroupid="124"/>
            <v:shape id="_x0000_s8418" type="#_x0000_t32" style="position:absolute;left:6472;top:6514;width:326;height:0" o:connectortype="straight" o:regroupid="124"/>
            <v:shape id="_x0000_s8419" type="#_x0000_t32" style="position:absolute;left:3811;top:5638;width:1737;height:496;flip:y" o:connectortype="straight" o:regroupid="124"/>
            <v:shape id="_x0000_s8420" type="#_x0000_t32" style="position:absolute;left:6151;top:5638;width:1557;height:496" o:connectortype="straight" o:regroupid="124"/>
            <v:shape id="_x0000_s8421" type="#_x0000_t32" style="position:absolute;left:5862;top:5145;width:1;height:260" o:connectortype="straight" o:regroupid="124"/>
            <v:shape id="_x0000_s8422" type="#_x0000_t202" style="position:absolute;left:2025;top:7142;width:2607;height:772;mso-width-relative:margin;mso-height-relative:margin" o:regroupid="124">
              <v:textbox style="mso-next-textbox:#_x0000_s8422">
                <w:txbxContent>
                  <w:p w:rsidR="00BE5795" w:rsidRPr="00FE380C" w:rsidRDefault="00BE5795" w:rsidP="00011C9A">
                    <w:pPr>
                      <w:jc w:val="center"/>
                      <w:rPr>
                        <w:sz w:val="22"/>
                        <w:szCs w:val="22"/>
                        <w:lang w:val="lt-LT"/>
                      </w:rPr>
                    </w:pPr>
                    <w:r w:rsidRPr="00FE380C">
                      <w:rPr>
                        <w:sz w:val="22"/>
                        <w:szCs w:val="22"/>
                        <w:lang w:val="lt-LT"/>
                      </w:rPr>
                      <w:t>Paskatos/spaudimo apgaulės rizikos veiksniai</w:t>
                    </w:r>
                  </w:p>
                </w:txbxContent>
              </v:textbox>
            </v:shape>
            <v:shape id="_x0000_s8423" type="#_x0000_t202" style="position:absolute;left:4740;top:7116;width:2610;height:798;mso-width-relative:margin;mso-height-relative:margin" o:regroupid="124">
              <v:textbox style="mso-next-textbox:#_x0000_s8423">
                <w:txbxContent>
                  <w:p w:rsidR="00BE5795" w:rsidRPr="00FE380C" w:rsidRDefault="00BE5795" w:rsidP="00FE380C">
                    <w:pPr>
                      <w:spacing w:before="60"/>
                      <w:jc w:val="center"/>
                      <w:rPr>
                        <w:sz w:val="22"/>
                        <w:szCs w:val="22"/>
                        <w:lang w:val="lt-LT"/>
                      </w:rPr>
                    </w:pPr>
                    <w:r w:rsidRPr="00FE380C">
                      <w:rPr>
                        <w:sz w:val="22"/>
                        <w:szCs w:val="22"/>
                        <w:lang w:val="lt-LT"/>
                      </w:rPr>
                      <w:t>Požiūrio/Racionalizacijos apgaulės rizikos veiksniai</w:t>
                    </w:r>
                  </w:p>
                </w:txbxContent>
              </v:textbox>
            </v:shape>
            <v:shape id="_x0000_s8424" type="#_x0000_t202" style="position:absolute;left:7479;top:7133;width:2401;height:781;mso-width-relative:margin;mso-height-relative:margin" o:regroupid="124">
              <v:textbox style="mso-next-textbox:#_x0000_s8424">
                <w:txbxContent>
                  <w:p w:rsidR="00BE5795" w:rsidRPr="00FE380C" w:rsidRDefault="00BE5795" w:rsidP="00011C9A">
                    <w:pPr>
                      <w:jc w:val="center"/>
                      <w:rPr>
                        <w:sz w:val="22"/>
                        <w:szCs w:val="22"/>
                        <w:lang w:val="lt-LT"/>
                      </w:rPr>
                    </w:pPr>
                    <w:r w:rsidRPr="00FE380C">
                      <w:rPr>
                        <w:sz w:val="22"/>
                        <w:szCs w:val="22"/>
                        <w:lang w:val="lt-LT"/>
                      </w:rPr>
                      <w:t>Galimybės apgaulės rizikos veiksniai</w:t>
                    </w:r>
                  </w:p>
                </w:txbxContent>
              </v:textbox>
            </v:shape>
            <v:shape id="_x0000_s8425" type="#_x0000_t32" style="position:absolute;left:3811;top:6896;width:0;height:230;flip:y" o:connectortype="straight" o:regroupid="124">
              <v:stroke endarrow="block"/>
            </v:shape>
            <v:shape id="_x0000_s8426" type="#_x0000_t32" style="position:absolute;left:5718;top:6896;width:0;height:230;flip:y" o:connectortype="straight" o:regroupid="124">
              <v:stroke endarrow="block"/>
            </v:shape>
            <v:shape id="_x0000_s8427" type="#_x0000_t32" style="position:absolute;left:7692;top:6886;width:0;height:230;flip:y" o:connectortype="straight" o:regroupid="124">
              <v:stroke endarrow="block"/>
            </v:shape>
            <v:shape id="_x0000_s8428" type="#_x0000_t32" style="position:absolute;left:5862;top:5894;width:0;height:240" o:connectortype="straight" o:regroupid="124"/>
          </v:group>
        </w:pict>
      </w:r>
      <w:r w:rsidR="00ED5FF5">
        <w:rPr>
          <w:sz w:val="24"/>
          <w:szCs w:val="24"/>
          <w:lang w:val="lt-LT"/>
        </w:rPr>
        <w:tab/>
      </w:r>
      <w:r w:rsidR="0093794E">
        <w:rPr>
          <w:sz w:val="24"/>
          <w:szCs w:val="24"/>
          <w:lang w:val="lt-LT"/>
        </w:rPr>
        <w:tab/>
      </w:r>
    </w:p>
    <w:p w:rsidR="00F2417A" w:rsidRDefault="00F2417A" w:rsidP="003508C2">
      <w:pPr>
        <w:tabs>
          <w:tab w:val="left" w:pos="567"/>
        </w:tabs>
        <w:spacing w:line="360" w:lineRule="auto"/>
        <w:jc w:val="both"/>
        <w:rPr>
          <w:sz w:val="24"/>
          <w:szCs w:val="24"/>
          <w:lang w:val="lt-LT"/>
        </w:rPr>
      </w:pPr>
    </w:p>
    <w:p w:rsidR="00011C9A" w:rsidRDefault="00011C9A" w:rsidP="003508C2">
      <w:pPr>
        <w:tabs>
          <w:tab w:val="left" w:pos="567"/>
        </w:tabs>
        <w:spacing w:line="360" w:lineRule="auto"/>
        <w:jc w:val="both"/>
        <w:rPr>
          <w:sz w:val="24"/>
          <w:szCs w:val="24"/>
          <w:lang w:val="lt-LT"/>
        </w:rPr>
      </w:pPr>
    </w:p>
    <w:p w:rsidR="00011C9A" w:rsidRDefault="00011C9A" w:rsidP="00011C9A">
      <w:pPr>
        <w:tabs>
          <w:tab w:val="left" w:pos="27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011C9A" w:rsidRDefault="00011C9A" w:rsidP="00011C9A">
      <w:pPr>
        <w:tabs>
          <w:tab w:val="left" w:pos="567"/>
        </w:tabs>
        <w:jc w:val="both"/>
        <w:rPr>
          <w:sz w:val="24"/>
          <w:szCs w:val="24"/>
          <w:lang w:val="lt-LT"/>
        </w:rPr>
      </w:pPr>
    </w:p>
    <w:p w:rsidR="00FE380C" w:rsidRDefault="00FE380C" w:rsidP="00011C9A">
      <w:pPr>
        <w:tabs>
          <w:tab w:val="left" w:pos="567"/>
        </w:tabs>
        <w:jc w:val="both"/>
        <w:rPr>
          <w:sz w:val="24"/>
          <w:szCs w:val="24"/>
          <w:lang w:val="lt-LT"/>
        </w:rPr>
      </w:pPr>
    </w:p>
    <w:p w:rsidR="004D360B" w:rsidRDefault="004D360B" w:rsidP="00011C9A">
      <w:pPr>
        <w:tabs>
          <w:tab w:val="left" w:pos="567"/>
        </w:tabs>
        <w:jc w:val="both"/>
        <w:rPr>
          <w:sz w:val="24"/>
          <w:szCs w:val="24"/>
          <w:lang w:val="lt-LT"/>
        </w:rPr>
      </w:pPr>
    </w:p>
    <w:p w:rsidR="004D360B" w:rsidRDefault="004D360B" w:rsidP="00011C9A">
      <w:pPr>
        <w:tabs>
          <w:tab w:val="left" w:pos="567"/>
        </w:tabs>
        <w:jc w:val="both"/>
        <w:rPr>
          <w:lang w:val="lt-LT"/>
        </w:rPr>
      </w:pPr>
    </w:p>
    <w:p w:rsidR="00011C9A" w:rsidRPr="00FE380C" w:rsidRDefault="00011C9A" w:rsidP="00011C9A">
      <w:pPr>
        <w:tabs>
          <w:tab w:val="left" w:pos="567"/>
        </w:tabs>
        <w:jc w:val="both"/>
        <w:rPr>
          <w:lang w:val="lt-LT"/>
        </w:rPr>
      </w:pPr>
      <w:r w:rsidRPr="00FE380C">
        <w:rPr>
          <w:lang w:val="lt-LT"/>
        </w:rPr>
        <w:t xml:space="preserve">Šaltinis: </w:t>
      </w:r>
      <w:r w:rsidR="00825EB7" w:rsidRPr="00FE380C">
        <w:rPr>
          <w:lang w:val="lt-LT"/>
        </w:rPr>
        <w:t xml:space="preserve">sudaryta pagal </w:t>
      </w:r>
      <w:r w:rsidRPr="00FE380C">
        <w:rPr>
          <w:caps/>
          <w:lang w:val="lt-LT"/>
        </w:rPr>
        <w:t>Turner</w:t>
      </w:r>
      <w:r w:rsidRPr="00FE380C">
        <w:rPr>
          <w:lang w:val="lt-LT"/>
        </w:rPr>
        <w:t xml:space="preserve">, </w:t>
      </w:r>
      <w:r w:rsidR="00C076D8" w:rsidRPr="00FE380C">
        <w:rPr>
          <w:lang w:val="lt-LT"/>
        </w:rPr>
        <w:t xml:space="preserve">J. L., </w:t>
      </w:r>
      <w:r w:rsidRPr="00FE380C">
        <w:rPr>
          <w:caps/>
          <w:lang w:val="lt-LT"/>
        </w:rPr>
        <w:t>Mock</w:t>
      </w:r>
      <w:r w:rsidRPr="00FE380C">
        <w:rPr>
          <w:lang w:val="lt-LT"/>
        </w:rPr>
        <w:t xml:space="preserve">, </w:t>
      </w:r>
      <w:r w:rsidR="00C076D8" w:rsidRPr="00FE380C">
        <w:rPr>
          <w:lang w:val="lt-LT"/>
        </w:rPr>
        <w:t xml:space="preserve">T. J., </w:t>
      </w:r>
      <w:r w:rsidRPr="00FE380C">
        <w:rPr>
          <w:caps/>
          <w:lang w:val="lt-LT"/>
        </w:rPr>
        <w:t>Srivastava</w:t>
      </w:r>
      <w:r w:rsidR="00825EB7" w:rsidRPr="00FE380C">
        <w:rPr>
          <w:lang w:val="lt-LT"/>
        </w:rPr>
        <w:t>,</w:t>
      </w:r>
      <w:r w:rsidRPr="00FE380C">
        <w:rPr>
          <w:lang w:val="lt-LT"/>
        </w:rPr>
        <w:t xml:space="preserve"> </w:t>
      </w:r>
      <w:r w:rsidR="00C076D8" w:rsidRPr="00FE380C">
        <w:rPr>
          <w:lang w:val="lt-LT"/>
        </w:rPr>
        <w:t xml:space="preserve">R. P., </w:t>
      </w:r>
      <w:r w:rsidRPr="00FE380C">
        <w:rPr>
          <w:lang w:val="lt-LT"/>
        </w:rPr>
        <w:t>2003, p. 17.</w:t>
      </w:r>
    </w:p>
    <w:p w:rsidR="00011C9A" w:rsidRPr="00FE380C" w:rsidRDefault="004E236C" w:rsidP="00011C9A">
      <w:pPr>
        <w:spacing w:before="120" w:after="120" w:line="360" w:lineRule="auto"/>
        <w:jc w:val="center"/>
        <w:rPr>
          <w:b/>
          <w:sz w:val="26"/>
          <w:szCs w:val="26"/>
          <w:lang w:val="lt-LT"/>
        </w:rPr>
      </w:pPr>
      <w:r w:rsidRPr="00FE380C">
        <w:rPr>
          <w:b/>
          <w:sz w:val="26"/>
          <w:szCs w:val="26"/>
          <w:lang w:val="lt-LT"/>
        </w:rPr>
        <w:t>1</w:t>
      </w:r>
      <w:r w:rsidR="00F726AC" w:rsidRPr="00FE380C">
        <w:rPr>
          <w:b/>
          <w:sz w:val="26"/>
          <w:szCs w:val="26"/>
          <w:lang w:val="lt-LT"/>
        </w:rPr>
        <w:t>3</w:t>
      </w:r>
      <w:r w:rsidR="00011C9A" w:rsidRPr="00FE380C">
        <w:rPr>
          <w:b/>
          <w:sz w:val="26"/>
          <w:szCs w:val="26"/>
          <w:lang w:val="lt-LT"/>
        </w:rPr>
        <w:t xml:space="preserve"> pav. Audito rizikos modelis su apgaulės rizikos vertinimu</w:t>
      </w:r>
    </w:p>
    <w:p w:rsidR="00490CD6" w:rsidRPr="00FE380C" w:rsidRDefault="003508C2" w:rsidP="00490CD6">
      <w:pPr>
        <w:tabs>
          <w:tab w:val="left" w:pos="709"/>
        </w:tabs>
        <w:spacing w:line="360" w:lineRule="auto"/>
        <w:jc w:val="both"/>
        <w:rPr>
          <w:sz w:val="26"/>
          <w:szCs w:val="26"/>
          <w:lang w:val="lt-LT"/>
        </w:rPr>
      </w:pPr>
      <w:r w:rsidRPr="00FE380C">
        <w:rPr>
          <w:sz w:val="26"/>
          <w:szCs w:val="26"/>
          <w:lang w:val="lt-LT"/>
        </w:rPr>
        <w:tab/>
      </w:r>
      <w:r w:rsidRPr="00FE380C">
        <w:rPr>
          <w:sz w:val="26"/>
          <w:szCs w:val="26"/>
          <w:lang w:val="lt-LT"/>
        </w:rPr>
        <w:tab/>
      </w:r>
      <w:r w:rsidR="00490CD6" w:rsidRPr="00FE380C">
        <w:rPr>
          <w:sz w:val="26"/>
          <w:szCs w:val="26"/>
          <w:lang w:val="lt-LT"/>
        </w:rPr>
        <w:t xml:space="preserve">J. L. Turner, T. J. Mock, R. P. Srivastava (2003) nuomone, apgaulės trikampio komponentai ir jų tarpusavio ryšiai turi didelę įtaką audito rizikai, todėl </w:t>
      </w:r>
      <w:r w:rsidR="00490CD6" w:rsidRPr="00FE380C">
        <w:rPr>
          <w:i/>
          <w:sz w:val="26"/>
          <w:szCs w:val="26"/>
          <w:lang w:val="lt-LT"/>
        </w:rPr>
        <w:t>įtraukia apgaulės trikampio komponentus į audito rizikos modelį</w:t>
      </w:r>
      <w:r w:rsidR="00490CD6" w:rsidRPr="00FE380C">
        <w:rPr>
          <w:sz w:val="26"/>
          <w:szCs w:val="26"/>
          <w:lang w:val="lt-LT"/>
        </w:rPr>
        <w:t xml:space="preserve">, įskaitant ryšius tarp požiūrio – vadovybės sąžiningumo ir paskatų bei tarp vadovybės sąžiningumo ir galimybių. Ryšys tarp vadovybės sąžiningumo ir paskatų rodo, kad esant nedideliam paskatų lygiui, vadovybė demonstruoja labai didelį sąžiningumą ir veikia siekdama sumažinti jas. </w:t>
      </w:r>
      <w:r w:rsidR="00884A1E">
        <w:rPr>
          <w:sz w:val="26"/>
          <w:szCs w:val="26"/>
          <w:lang w:val="lt-LT"/>
        </w:rPr>
        <w:t>O</w:t>
      </w:r>
      <w:r w:rsidR="00490CD6" w:rsidRPr="00FE380C">
        <w:rPr>
          <w:sz w:val="26"/>
          <w:szCs w:val="26"/>
          <w:lang w:val="lt-LT"/>
        </w:rPr>
        <w:t xml:space="preserve"> esant dideliam paskatų lygiui vadovybės sąžiningumas sukompromituojamas ir aktyviai siekiama galimos naudos. Be to, šis ryšys pripažįsta, kad vadovybė su mažesniu sąžiningumu gali siekti sukurti ar padidinti esamas paskatas. </w:t>
      </w:r>
      <w:r w:rsidR="00884A1E">
        <w:rPr>
          <w:sz w:val="26"/>
          <w:szCs w:val="26"/>
          <w:lang w:val="lt-LT"/>
        </w:rPr>
        <w:t>R</w:t>
      </w:r>
      <w:r w:rsidR="00490CD6" w:rsidRPr="00FE380C">
        <w:rPr>
          <w:sz w:val="26"/>
          <w:szCs w:val="26"/>
          <w:lang w:val="lt-LT"/>
        </w:rPr>
        <w:t xml:space="preserve">yšis tarp vadovybės sąžiningumo ir galimybių gali būti aiškinamas taip: kai yra didelės galimybės dėl jų patrauklumo vadovybės sąžiningumas </w:t>
      </w:r>
      <w:r w:rsidR="00490CD6" w:rsidRPr="00FE380C">
        <w:rPr>
          <w:sz w:val="26"/>
          <w:szCs w:val="26"/>
          <w:lang w:val="lt-LT"/>
        </w:rPr>
        <w:lastRenderedPageBreak/>
        <w:t>sukompromituojamas ir apgaulės rizika padidėja. Tačiau ryšys pripažįsta, kad vadovybė su mažesniu sąžiningumu gali siekti sukurti ar padidinti esamas galimybes (Turner, Mock, Srivastava, 2003, p. 17).</w:t>
      </w:r>
    </w:p>
    <w:p w:rsidR="00B95151" w:rsidRPr="00FE380C" w:rsidRDefault="00490CD6" w:rsidP="000E7759">
      <w:pPr>
        <w:tabs>
          <w:tab w:val="left" w:pos="709"/>
        </w:tabs>
        <w:spacing w:line="360" w:lineRule="auto"/>
        <w:jc w:val="both"/>
        <w:rPr>
          <w:sz w:val="26"/>
          <w:szCs w:val="26"/>
          <w:lang w:val="lt-LT"/>
        </w:rPr>
      </w:pPr>
      <w:r w:rsidRPr="00FE380C">
        <w:rPr>
          <w:sz w:val="26"/>
          <w:szCs w:val="26"/>
          <w:lang w:val="lt-LT"/>
        </w:rPr>
        <w:tab/>
      </w:r>
      <w:r w:rsidR="0040100A" w:rsidRPr="00FE380C">
        <w:rPr>
          <w:sz w:val="26"/>
          <w:szCs w:val="26"/>
          <w:u w:val="single"/>
          <w:lang w:val="lt-LT"/>
        </w:rPr>
        <w:t>Privalumai ir trūkumai</w:t>
      </w:r>
      <w:r w:rsidR="0040100A" w:rsidRPr="00FE380C">
        <w:rPr>
          <w:sz w:val="26"/>
          <w:szCs w:val="26"/>
          <w:lang w:val="lt-LT"/>
        </w:rPr>
        <w:t xml:space="preserve">. </w:t>
      </w:r>
      <w:r w:rsidR="000E7759" w:rsidRPr="00FE380C">
        <w:rPr>
          <w:sz w:val="26"/>
          <w:szCs w:val="26"/>
          <w:lang w:val="lt-LT"/>
        </w:rPr>
        <w:t>Darbo a</w:t>
      </w:r>
      <w:r w:rsidR="00825EB7" w:rsidRPr="00FE380C">
        <w:rPr>
          <w:sz w:val="26"/>
          <w:szCs w:val="26"/>
          <w:lang w:val="lt-LT"/>
        </w:rPr>
        <w:t xml:space="preserve">utorės nuomone, apgaulės </w:t>
      </w:r>
      <w:r w:rsidR="000621EF" w:rsidRPr="00FE380C">
        <w:rPr>
          <w:sz w:val="26"/>
          <w:szCs w:val="26"/>
          <w:lang w:val="lt-LT"/>
        </w:rPr>
        <w:t xml:space="preserve">veiksnys </w:t>
      </w:r>
      <w:r w:rsidR="00825EB7" w:rsidRPr="00FE380C">
        <w:rPr>
          <w:sz w:val="26"/>
          <w:szCs w:val="26"/>
          <w:lang w:val="lt-LT"/>
        </w:rPr>
        <w:t>yra visaapimančio pobūdžio</w:t>
      </w:r>
      <w:r w:rsidR="000621EF" w:rsidRPr="00FE380C">
        <w:rPr>
          <w:sz w:val="26"/>
          <w:szCs w:val="26"/>
          <w:lang w:val="lt-LT"/>
        </w:rPr>
        <w:t xml:space="preserve">, todėl </w:t>
      </w:r>
      <w:r w:rsidR="000621EF" w:rsidRPr="00FE380C">
        <w:rPr>
          <w:i/>
          <w:sz w:val="26"/>
          <w:szCs w:val="26"/>
          <w:lang w:val="lt-LT"/>
        </w:rPr>
        <w:t>apgaulės rizik</w:t>
      </w:r>
      <w:r w:rsidR="00825EB7" w:rsidRPr="00FE380C">
        <w:rPr>
          <w:i/>
          <w:sz w:val="26"/>
          <w:szCs w:val="26"/>
          <w:lang w:val="lt-LT"/>
        </w:rPr>
        <w:t>os vertinim</w:t>
      </w:r>
      <w:r w:rsidR="00EE0158" w:rsidRPr="00FE380C">
        <w:rPr>
          <w:i/>
          <w:sz w:val="26"/>
          <w:szCs w:val="26"/>
          <w:lang w:val="lt-LT"/>
        </w:rPr>
        <w:t xml:space="preserve">ui </w:t>
      </w:r>
      <w:r w:rsidR="00EE0158" w:rsidRPr="00FE380C">
        <w:rPr>
          <w:sz w:val="26"/>
          <w:szCs w:val="26"/>
          <w:lang w:val="lt-LT"/>
        </w:rPr>
        <w:t xml:space="preserve">turi būti </w:t>
      </w:r>
      <w:r w:rsidR="00EE0158" w:rsidRPr="00FE380C">
        <w:rPr>
          <w:i/>
          <w:sz w:val="26"/>
          <w:szCs w:val="26"/>
          <w:lang w:val="lt-LT"/>
        </w:rPr>
        <w:t>skiriamas ypatingas dėmesys</w:t>
      </w:r>
      <w:r w:rsidR="0040100A" w:rsidRPr="00FE380C">
        <w:rPr>
          <w:sz w:val="26"/>
          <w:szCs w:val="26"/>
          <w:lang w:val="lt-LT"/>
        </w:rPr>
        <w:t>, kaip tai ir siūloma J. L. Turner,</w:t>
      </w:r>
      <w:r w:rsidR="003E7B1F">
        <w:rPr>
          <w:sz w:val="26"/>
          <w:szCs w:val="26"/>
          <w:lang w:val="lt-LT"/>
        </w:rPr>
        <w:t xml:space="preserve"> T. J. Mock, R. P. </w:t>
      </w:r>
      <w:r w:rsidR="0040100A" w:rsidRPr="00FE380C">
        <w:rPr>
          <w:sz w:val="26"/>
          <w:szCs w:val="26"/>
          <w:lang w:val="lt-LT"/>
        </w:rPr>
        <w:t>Srivastava (2003) audito rizikos modelyje</w:t>
      </w:r>
      <w:r w:rsidR="00EE0158" w:rsidRPr="00FE380C">
        <w:rPr>
          <w:sz w:val="26"/>
          <w:szCs w:val="26"/>
          <w:lang w:val="lt-LT"/>
        </w:rPr>
        <w:t xml:space="preserve">. </w:t>
      </w:r>
      <w:r w:rsidR="0040100A" w:rsidRPr="00FE380C">
        <w:rPr>
          <w:sz w:val="26"/>
          <w:szCs w:val="26"/>
          <w:lang w:val="lt-LT"/>
        </w:rPr>
        <w:t xml:space="preserve">Tačiau </w:t>
      </w:r>
      <w:r w:rsidR="00EE0158" w:rsidRPr="00FE380C">
        <w:rPr>
          <w:sz w:val="26"/>
          <w:szCs w:val="26"/>
          <w:lang w:val="lt-LT"/>
        </w:rPr>
        <w:t>pirm</w:t>
      </w:r>
      <w:r w:rsidR="0040100A" w:rsidRPr="00FE380C">
        <w:rPr>
          <w:sz w:val="26"/>
          <w:szCs w:val="26"/>
          <w:lang w:val="lt-LT"/>
        </w:rPr>
        <w:t>iausia šis</w:t>
      </w:r>
      <w:r w:rsidR="00EE0158" w:rsidRPr="00FE380C">
        <w:rPr>
          <w:sz w:val="26"/>
          <w:szCs w:val="26"/>
          <w:lang w:val="lt-LT"/>
        </w:rPr>
        <w:t xml:space="preserve"> vertinimas turėtų būti atliekamas </w:t>
      </w:r>
      <w:r w:rsidR="00825EB7" w:rsidRPr="00FE380C">
        <w:rPr>
          <w:sz w:val="26"/>
          <w:szCs w:val="26"/>
          <w:lang w:val="lt-LT"/>
        </w:rPr>
        <w:t>finansinių ataskaitų lygmeniu</w:t>
      </w:r>
      <w:r w:rsidR="00EE0158" w:rsidRPr="00FE380C">
        <w:rPr>
          <w:sz w:val="26"/>
          <w:szCs w:val="26"/>
          <w:lang w:val="lt-LT"/>
        </w:rPr>
        <w:t xml:space="preserve">, kuris lemtų atitinkamus auditoriaus veiksmus </w:t>
      </w:r>
      <w:r w:rsidR="0025194A" w:rsidRPr="00FE380C">
        <w:rPr>
          <w:sz w:val="26"/>
          <w:szCs w:val="26"/>
          <w:lang w:val="lt-LT"/>
        </w:rPr>
        <w:t>tvirtinimo</w:t>
      </w:r>
      <w:r w:rsidR="00EE0158" w:rsidRPr="00FE380C">
        <w:rPr>
          <w:sz w:val="26"/>
          <w:szCs w:val="26"/>
          <w:lang w:val="lt-LT"/>
        </w:rPr>
        <w:t xml:space="preserve"> lygmeniu. </w:t>
      </w:r>
      <w:r w:rsidR="0040100A" w:rsidRPr="00FE380C">
        <w:rPr>
          <w:sz w:val="26"/>
          <w:szCs w:val="26"/>
          <w:lang w:val="lt-LT"/>
        </w:rPr>
        <w:t xml:space="preserve">Į tai turėtų būti atsižvelgiama, kuriant </w:t>
      </w:r>
      <w:r w:rsidR="00203AF6" w:rsidRPr="00FE380C">
        <w:rPr>
          <w:sz w:val="26"/>
          <w:szCs w:val="26"/>
          <w:lang w:val="lt-LT"/>
        </w:rPr>
        <w:t xml:space="preserve">darbo autorės siūlomą </w:t>
      </w:r>
      <w:r w:rsidR="0040100A" w:rsidRPr="00FE380C">
        <w:rPr>
          <w:sz w:val="26"/>
          <w:szCs w:val="26"/>
          <w:lang w:val="lt-LT"/>
        </w:rPr>
        <w:t>audito rizikos vertinim</w:t>
      </w:r>
      <w:r w:rsidR="00EE0158" w:rsidRPr="00FE380C">
        <w:rPr>
          <w:sz w:val="26"/>
          <w:szCs w:val="26"/>
          <w:lang w:val="lt-LT"/>
        </w:rPr>
        <w:t xml:space="preserve">o </w:t>
      </w:r>
      <w:r w:rsidR="0040100A" w:rsidRPr="00FE380C">
        <w:rPr>
          <w:sz w:val="26"/>
          <w:szCs w:val="26"/>
          <w:lang w:val="lt-LT"/>
        </w:rPr>
        <w:t>modelį</w:t>
      </w:r>
      <w:r w:rsidR="00EE0158" w:rsidRPr="00FE380C">
        <w:rPr>
          <w:sz w:val="26"/>
          <w:szCs w:val="26"/>
          <w:lang w:val="lt-LT"/>
        </w:rPr>
        <w:t>.</w:t>
      </w:r>
    </w:p>
    <w:p w:rsidR="005F44E6" w:rsidRDefault="00166819" w:rsidP="00FB4A79">
      <w:pPr>
        <w:tabs>
          <w:tab w:val="left" w:pos="709"/>
        </w:tabs>
        <w:spacing w:line="360" w:lineRule="auto"/>
        <w:jc w:val="both"/>
        <w:rPr>
          <w:sz w:val="26"/>
          <w:szCs w:val="26"/>
          <w:lang w:val="lt-LT"/>
        </w:rPr>
      </w:pPr>
      <w:r>
        <w:rPr>
          <w:noProof/>
          <w:sz w:val="26"/>
          <w:szCs w:val="26"/>
          <w:lang w:val="lt-LT"/>
        </w:rPr>
        <w:pict>
          <v:group id="_x0000_s74560" style="position:absolute;left:0;text-align:left;margin-left:2.1pt;margin-top:65.35pt;width:408.85pt;height:227.55pt;z-index:254778368" coordorigin="1856,6817" coordsize="8177,4551">
            <v:rect id="_x0000_s73872" style="position:absolute;left:2519;top:7325;width:1916;height:588" o:regroupid="125" filled="f" stroked="f">
              <v:textbox style="mso-next-textbox:#_x0000_s73872" inset=".5mm,0,.5mm,0">
                <w:txbxContent>
                  <w:p w:rsidR="00BE5795" w:rsidRPr="00392A41" w:rsidRDefault="00BE5795" w:rsidP="00FB4A79">
                    <w:pPr>
                      <w:jc w:val="center"/>
                      <w:rPr>
                        <w:b/>
                        <w:sz w:val="22"/>
                        <w:szCs w:val="22"/>
                        <w:lang w:val="lt-LT"/>
                      </w:rPr>
                    </w:pPr>
                    <w:r w:rsidRPr="00392A41">
                      <w:rPr>
                        <w:b/>
                        <w:sz w:val="22"/>
                        <w:szCs w:val="22"/>
                        <w:lang w:val="lt-LT"/>
                      </w:rPr>
                      <w:t>Nuolatinis rizikos vertinimas</w:t>
                    </w:r>
                  </w:p>
                </w:txbxContent>
              </v:textbox>
            </v:rect>
            <v:rect id="_x0000_s73873" style="position:absolute;left:2695;top:8039;width:1602;height:831" o:regroupid="125" filled="f" stroked="f">
              <v:textbox style="mso-next-textbox:#_x0000_s73873" inset=".5mm,0,.5mm,0">
                <w:txbxContent>
                  <w:p w:rsidR="00BE5795" w:rsidRPr="00392A41" w:rsidRDefault="00BE5795" w:rsidP="00FB4A79">
                    <w:pPr>
                      <w:jc w:val="center"/>
                      <w:rPr>
                        <w:sz w:val="22"/>
                        <w:szCs w:val="22"/>
                        <w:lang w:val="lt-LT"/>
                      </w:rPr>
                    </w:pPr>
                    <w:r w:rsidRPr="00392A41">
                      <w:rPr>
                        <w:sz w:val="22"/>
                        <w:szCs w:val="22"/>
                        <w:lang w:val="lt-LT"/>
                      </w:rPr>
                      <w:t>Nustatyti tikslus</w:t>
                    </w:r>
                  </w:p>
                  <w:p w:rsidR="00BE5795" w:rsidRPr="00392A41" w:rsidRDefault="00BE5795" w:rsidP="00FB4A79">
                    <w:pPr>
                      <w:jc w:val="center"/>
                      <w:rPr>
                        <w:sz w:val="22"/>
                        <w:szCs w:val="22"/>
                        <w:lang w:val="lt-LT"/>
                      </w:rPr>
                    </w:pPr>
                    <w:r w:rsidRPr="00392A41">
                      <w:rPr>
                        <w:sz w:val="22"/>
                        <w:szCs w:val="22"/>
                        <w:lang w:val="lt-LT"/>
                      </w:rPr>
                      <w:t>ir suplanuoti procedūras</w:t>
                    </w:r>
                  </w:p>
                </w:txbxContent>
              </v:textbox>
            </v:rect>
            <v:rect id="_x0000_s73874" style="position:absolute;left:3710;top:9040;width:1260;height:1077" o:regroupid="125" filled="f" stroked="f">
              <v:textbox style="mso-next-textbox:#_x0000_s73874" inset=".5mm,0,.5mm,0">
                <w:txbxContent>
                  <w:p w:rsidR="00BE5795" w:rsidRPr="00392A41" w:rsidRDefault="00BE5795" w:rsidP="00FB4A79">
                    <w:pPr>
                      <w:jc w:val="center"/>
                      <w:rPr>
                        <w:sz w:val="22"/>
                        <w:szCs w:val="22"/>
                        <w:lang w:val="lt-LT"/>
                      </w:rPr>
                    </w:pPr>
                    <w:r w:rsidRPr="00392A41">
                      <w:rPr>
                        <w:sz w:val="22"/>
                        <w:szCs w:val="22"/>
                        <w:lang w:val="lt-LT"/>
                      </w:rPr>
                      <w:t xml:space="preserve">Surinkti ir </w:t>
                    </w:r>
                  </w:p>
                  <w:p w:rsidR="00BE5795" w:rsidRPr="00392A41" w:rsidRDefault="00BE5795" w:rsidP="00FB4A79">
                    <w:pPr>
                      <w:jc w:val="center"/>
                      <w:rPr>
                        <w:sz w:val="22"/>
                        <w:szCs w:val="22"/>
                        <w:lang w:val="lt-LT"/>
                      </w:rPr>
                    </w:pPr>
                    <w:r w:rsidRPr="00392A41">
                      <w:rPr>
                        <w:sz w:val="22"/>
                        <w:szCs w:val="22"/>
                        <w:lang w:val="lt-LT"/>
                      </w:rPr>
                      <w:t xml:space="preserve">interpretuoti </w:t>
                    </w:r>
                  </w:p>
                  <w:p w:rsidR="00BE5795" w:rsidRPr="00392A41" w:rsidRDefault="00BE5795" w:rsidP="00FB4A79">
                    <w:pPr>
                      <w:jc w:val="center"/>
                      <w:rPr>
                        <w:sz w:val="22"/>
                        <w:szCs w:val="22"/>
                        <w:lang w:val="lt-LT"/>
                      </w:rPr>
                    </w:pPr>
                    <w:r w:rsidRPr="00392A41">
                      <w:rPr>
                        <w:sz w:val="22"/>
                        <w:szCs w:val="22"/>
                        <w:lang w:val="lt-LT"/>
                      </w:rPr>
                      <w:t>įrodymus</w:t>
                    </w:r>
                  </w:p>
                </w:txbxContent>
              </v:textbox>
            </v:rect>
            <v:rect id="_x0000_s73875" style="position:absolute;left:2295;top:9940;width:2002;height:1061" o:regroupid="125" filled="f" stroked="f">
              <v:textbox style="mso-next-textbox:#_x0000_s73875" inset="1.5mm,0,.5mm,0">
                <w:txbxContent>
                  <w:p w:rsidR="00BE5795" w:rsidRPr="00392A41" w:rsidRDefault="00BE5795" w:rsidP="00FB4A79">
                    <w:pPr>
                      <w:jc w:val="center"/>
                      <w:rPr>
                        <w:sz w:val="22"/>
                        <w:szCs w:val="22"/>
                        <w:lang w:val="lt-LT"/>
                      </w:rPr>
                    </w:pPr>
                    <w:r w:rsidRPr="00392A41">
                      <w:rPr>
                        <w:sz w:val="22"/>
                        <w:szCs w:val="22"/>
                        <w:lang w:val="lt-LT"/>
                      </w:rPr>
                      <w:t xml:space="preserve">Formuoti/peržiūrėti įsitikimus, atnaujinti modelį ir numatyti </w:t>
                    </w:r>
                  </w:p>
                  <w:p w:rsidR="00BE5795" w:rsidRPr="003728F0" w:rsidRDefault="00BE5795" w:rsidP="00FB4A79">
                    <w:pPr>
                      <w:jc w:val="center"/>
                      <w:rPr>
                        <w:lang w:val="lt-LT"/>
                      </w:rPr>
                    </w:pPr>
                    <w:r w:rsidRPr="00392A41">
                      <w:rPr>
                        <w:sz w:val="22"/>
                        <w:szCs w:val="22"/>
                        <w:lang w:val="lt-LT"/>
                      </w:rPr>
                      <w:t>lūkesčius</w:t>
                    </w:r>
                  </w:p>
                </w:txbxContent>
              </v:textbox>
            </v:rect>
            <v:rect id="_x0000_s73876" style="position:absolute;left:1856;top:8979;width:914;height:1077" o:regroupid="125" filled="f" stroked="f">
              <v:textbox style="mso-next-textbox:#_x0000_s73876" inset=".5mm,,.5mm">
                <w:txbxContent>
                  <w:p w:rsidR="00BE5795" w:rsidRPr="00392A41" w:rsidRDefault="00BE5795" w:rsidP="00FB4A79">
                    <w:pPr>
                      <w:jc w:val="center"/>
                      <w:rPr>
                        <w:sz w:val="22"/>
                        <w:szCs w:val="22"/>
                        <w:lang w:val="lt-LT"/>
                      </w:rPr>
                    </w:pPr>
                    <w:r w:rsidRPr="00392A41">
                      <w:rPr>
                        <w:sz w:val="22"/>
                        <w:szCs w:val="22"/>
                        <w:lang w:val="lt-LT"/>
                      </w:rPr>
                      <w:t>Vertinti rizikas</w:t>
                    </w:r>
                  </w:p>
                </w:txbxContent>
              </v:textbox>
            </v:rect>
            <v:shape id="_x0000_s73877" type="#_x0000_t32" style="position:absolute;left:2519;top:7913;width:1853;height:0" o:connectortype="straight" o:regroupid="125"/>
            <v:shape id="_x0000_s73878" type="#_x0000_t34" style="position:absolute;left:4216;top:8445;width:726;height:539;rotation:90;flip:x" o:connectortype="elbow" o:regroupid="125" adj=",232831,-118086">
              <v:stroke endarrow="block"/>
            </v:shape>
            <v:shape id="_x0000_s73879" type="#_x0000_t34" style="position:absolute;left:4171;top:9891;width:803;height:551;rotation:90" o:connectortype="elbow" o:regroupid="125" adj="10787,-289620,-126318">
              <v:stroke endarrow="block"/>
            </v:shape>
            <v:shape id="_x0000_s73880" type="#_x0000_t34" style="position:absolute;left:1693;top:9866;width:813;height:390;rotation:270;flip:x" o:connectortype="elbow" o:regroupid="125" adj="10787,568246,-63312">
              <v:stroke endarrow="block"/>
            </v:shape>
            <v:shape id="_x0000_s73881" type="#_x0000_t34" style="position:absolute;left:1993;top:8314;width:914;height:438;flip:y" o:connectortype="elbow" o:regroupid="125" adj=",308121,-43507">
              <v:stroke endarrow="block"/>
            </v:shape>
            <v:rect id="_x0000_s73909" style="position:absolute;left:8056;top:7115;width:1547;height:824" o:regroupid="125" filled="f" stroked="f">
              <v:textbox style="mso-next-textbox:#_x0000_s73909" inset=".5mm,2mm,.5mm,0">
                <w:txbxContent>
                  <w:p w:rsidR="00BE5795" w:rsidRPr="00392A41" w:rsidRDefault="00BE5795" w:rsidP="002F19AE">
                    <w:pPr>
                      <w:jc w:val="center"/>
                      <w:rPr>
                        <w:b/>
                        <w:sz w:val="22"/>
                        <w:szCs w:val="22"/>
                        <w:lang w:val="lt-LT"/>
                      </w:rPr>
                    </w:pPr>
                    <w:r w:rsidRPr="00392A41">
                      <w:rPr>
                        <w:b/>
                        <w:sz w:val="22"/>
                        <w:szCs w:val="22"/>
                        <w:lang w:val="lt-LT"/>
                      </w:rPr>
                      <w:t>Įvertintos</w:t>
                    </w:r>
                  </w:p>
                  <w:p w:rsidR="00BE5795" w:rsidRPr="00392A41" w:rsidRDefault="00BE5795" w:rsidP="002F19AE">
                    <w:pPr>
                      <w:jc w:val="center"/>
                      <w:rPr>
                        <w:b/>
                        <w:sz w:val="22"/>
                        <w:szCs w:val="22"/>
                        <w:lang w:val="lt-LT"/>
                      </w:rPr>
                    </w:pPr>
                    <w:r w:rsidRPr="00392A41">
                      <w:rPr>
                        <w:b/>
                        <w:sz w:val="22"/>
                        <w:szCs w:val="22"/>
                        <w:lang w:val="lt-LT"/>
                      </w:rPr>
                      <w:t>rizikos</w:t>
                    </w:r>
                  </w:p>
                  <w:p w:rsidR="00BE5795" w:rsidRPr="002F19AE" w:rsidRDefault="00BE5795" w:rsidP="00AE359E">
                    <w:pPr>
                      <w:jc w:val="center"/>
                      <w:rPr>
                        <w:lang w:val="lt-LT"/>
                      </w:rPr>
                    </w:pPr>
                    <w:r w:rsidRPr="002F19AE">
                      <w:rPr>
                        <w:lang w:val="lt-LT"/>
                      </w:rPr>
                      <w:t>(apgaulė/klaida</w:t>
                    </w:r>
                  </w:p>
                </w:txbxContent>
              </v:textbox>
            </v:rect>
            <v:rect id="_x0000_s73941" style="position:absolute;left:8965;top:10200;width:991;height:644" o:regroupid="125" filled="f" stroked="f">
              <v:textbox style="mso-next-textbox:#_x0000_s73941" inset=".5mm,0,.5mm,0">
                <w:txbxContent>
                  <w:p w:rsidR="00BE5795" w:rsidRPr="00392A41" w:rsidRDefault="00BE5795" w:rsidP="00FB4A79">
                    <w:pPr>
                      <w:rPr>
                        <w:b/>
                        <w:sz w:val="22"/>
                        <w:szCs w:val="22"/>
                      </w:rPr>
                    </w:pPr>
                    <w:r w:rsidRPr="00392A41">
                      <w:rPr>
                        <w:b/>
                        <w:sz w:val="22"/>
                        <w:szCs w:val="22"/>
                        <w:lang w:val="lt-LT"/>
                      </w:rPr>
                      <w:t>Kokybės kontrolė</w:t>
                    </w:r>
                  </w:p>
                </w:txbxContent>
              </v:textbox>
            </v:rect>
            <v:shape id="_x0000_s74487" type="#_x0000_t32" style="position:absolute;left:4970;top:7214;width:0;height:4075" o:connectortype="straight" o:regroupid="125" strokecolor="#bfbfbf [2412]" strokeweight="2pt">
              <v:stroke dashstyle="1 1"/>
            </v:shape>
            <v:shape id="_x0000_s74488" type="#_x0000_t32" style="position:absolute;left:8056;top:7293;width:0;height:4075" o:connectortype="straight" o:regroupid="125" strokecolor="#bfbfbf [2412]" strokeweight="2pt">
              <v:stroke dashstyle="1 1"/>
            </v:shape>
            <v:rect id="_x0000_s73871" style="position:absolute;left:5740;top:7538;width:689;height:401" o:regroupid="125" filled="f" stroked="f">
              <v:textbox style="mso-next-textbox:#_x0000_s73871">
                <w:txbxContent>
                  <w:p w:rsidR="00BE5795" w:rsidRPr="00584FCD" w:rsidRDefault="00BE5795" w:rsidP="00FB4A79">
                    <w:pPr>
                      <w:rPr>
                        <w:b/>
                        <w:lang w:val="lt-LT"/>
                      </w:rPr>
                    </w:pPr>
                    <w:r w:rsidRPr="00584FCD">
                      <w:rPr>
                        <w:b/>
                        <w:lang w:val="lt-LT"/>
                      </w:rPr>
                      <w:t>ĮV</w:t>
                    </w:r>
                    <w:r>
                      <w:rPr>
                        <w:b/>
                        <w:lang w:val="lt-LT"/>
                      </w:rPr>
                      <w:t>A</w:t>
                    </w:r>
                  </w:p>
                </w:txbxContent>
              </v:textbox>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73882" type="#_x0000_t16" style="position:absolute;left:5051;top:7939;width:2943;height:3118" o:regroupid="125" adj="5288" filled="f"/>
            <v:shape id="_x0000_s73883" type="#_x0000_t32" style="position:absolute;left:5453;top:8202;width:2254;height:0" o:connectortype="straight" o:regroupid="125"/>
            <v:shape id="_x0000_s73884" type="#_x0000_t32" style="position:absolute;left:5232;top:8453;width:2254;height:0" o:connectortype="straight" o:regroupid="125"/>
            <v:shape id="_x0000_s73885" type="#_x0000_t32" style="position:absolute;left:7707;top:8202;width:0;height:2392" o:connectortype="straight" o:regroupid="125"/>
            <v:shape id="_x0000_s73886" type="#_x0000_t32" style="position:absolute;left:7486;top:8453;width:0;height:2391" o:connectortype="straight" o:regroupid="125"/>
            <v:shape id="_x0000_s73887" type="#_x0000_t32" style="position:absolute;left:5828;top:7939;width:701;height:714;flip:x" o:connectortype="straight" o:regroupid="125"/>
            <v:shape id="_x0000_s73888" type="#_x0000_t32" style="position:absolute;left:6529;top:7939;width:739;height:714;flip:x" o:connectortype="straight" o:regroupid="125"/>
            <v:shape id="_x0000_s73889" type="#_x0000_t32" style="position:absolute;left:5828;top:8653;width:0;height:2404" o:connectortype="straight" o:regroupid="125"/>
            <v:shape id="_x0000_s73890" type="#_x0000_t32" style="position:absolute;left:6529;top:8653;width:0;height:2404" o:connectortype="straight" o:regroupid="125"/>
            <v:shape id="_x0000_s73891" type="#_x0000_t32" style="position:absolute;left:5051;top:9217;width:2217;height:0" o:connectortype="straight" o:regroupid="125"/>
            <v:shape id="_x0000_s73892" type="#_x0000_t32" style="position:absolute;left:5051;top:9793;width:2217;height:0" o:connectortype="straight" o:regroupid="125"/>
            <v:shape id="_x0000_s73893" type="#_x0000_t32" style="position:absolute;left:7268;top:8479;width:726;height:738;flip:y" o:connectortype="straight" o:regroupid="125"/>
            <v:shape id="_x0000_s73894" type="#_x0000_t32" style="position:absolute;left:7268;top:9055;width:726;height:738;flip:y" o:connectortype="straight" o:regroupid="125"/>
            <v:rect id="_x0000_s73895" style="position:absolute;left:6429;top:7538;width:689;height:401" o:regroupid="125" filled="f" stroked="f">
              <v:textbox style="mso-next-textbox:#_x0000_s73895">
                <w:txbxContent>
                  <w:p w:rsidR="00BE5795" w:rsidRPr="00584FCD" w:rsidRDefault="00BE5795" w:rsidP="00FB4A79">
                    <w:pPr>
                      <w:rPr>
                        <w:b/>
                        <w:lang w:val="lt-LT"/>
                      </w:rPr>
                    </w:pPr>
                    <w:r>
                      <w:rPr>
                        <w:b/>
                        <w:lang w:val="lt-LT"/>
                      </w:rPr>
                      <w:t>VIT</w:t>
                    </w:r>
                  </w:p>
                </w:txbxContent>
              </v:textbox>
            </v:rect>
            <v:rect id="_x0000_s73896" style="position:absolute;left:7268;top:7538;width:726;height:401" o:regroupid="125" filled="f" stroked="f">
              <v:textbox style="mso-next-textbox:#_x0000_s73896">
                <w:txbxContent>
                  <w:p w:rsidR="00BE5795" w:rsidRPr="00584FCD" w:rsidRDefault="00BE5795" w:rsidP="00FB4A79">
                    <w:pPr>
                      <w:rPr>
                        <w:b/>
                        <w:lang w:val="lt-LT"/>
                      </w:rPr>
                    </w:pPr>
                    <w:r>
                      <w:rPr>
                        <w:b/>
                        <w:lang w:val="lt-LT"/>
                      </w:rPr>
                      <w:t>VVP</w:t>
                    </w:r>
                  </w:p>
                </w:txbxContent>
              </v:textbox>
            </v:rect>
            <v:rect id="_x0000_s73897" style="position:absolute;left:5232;top:7714;width:689;height:401" o:regroupid="125" filled="f" stroked="f">
              <v:textbox style="mso-next-textbox:#_x0000_s73897">
                <w:txbxContent>
                  <w:p w:rsidR="00BE5795" w:rsidRPr="00584FCD" w:rsidRDefault="00BE5795" w:rsidP="00FB4A79">
                    <w:pPr>
                      <w:rPr>
                        <w:b/>
                        <w:lang w:val="lt-LT"/>
                      </w:rPr>
                    </w:pPr>
                    <w:r>
                      <w:rPr>
                        <w:b/>
                        <w:lang w:val="lt-LT"/>
                      </w:rPr>
                      <w:t>F/A</w:t>
                    </w:r>
                    <w:r w:rsidRPr="00584FCD">
                      <w:rPr>
                        <w:b/>
                        <w:lang w:val="lt-LT"/>
                      </w:rPr>
                      <w:t>VP</w:t>
                    </w:r>
                  </w:p>
                </w:txbxContent>
              </v:textbox>
            </v:rect>
            <v:rect id="_x0000_s73898" style="position:absolute;left:4800;top:7989;width:940;height:401" o:regroupid="125" filled="f" stroked="f">
              <v:textbox style="mso-next-textbox:#_x0000_s73898">
                <w:txbxContent>
                  <w:p w:rsidR="00BE5795" w:rsidRPr="00584FCD" w:rsidRDefault="00BE5795" w:rsidP="00FB4A79">
                    <w:pPr>
                      <w:rPr>
                        <w:b/>
                        <w:lang w:val="lt-LT"/>
                      </w:rPr>
                    </w:pPr>
                    <w:r>
                      <w:rPr>
                        <w:b/>
                        <w:lang w:val="lt-LT"/>
                      </w:rPr>
                      <w:t>O/L</w:t>
                    </w:r>
                  </w:p>
                </w:txbxContent>
              </v:textbox>
            </v:rect>
            <v:rect id="_x0000_s73899" style="position:absolute;left:4588;top:8292;width:940;height:401" o:regroupid="125" filled="f" stroked="f">
              <v:textbox style="mso-next-textbox:#_x0000_s73899">
                <w:txbxContent>
                  <w:p w:rsidR="00BE5795" w:rsidRPr="00584FCD" w:rsidRDefault="00BE5795" w:rsidP="00FB4A79">
                    <w:pPr>
                      <w:rPr>
                        <w:b/>
                        <w:lang w:val="lt-LT"/>
                      </w:rPr>
                    </w:pPr>
                    <w:r>
                      <w:rPr>
                        <w:b/>
                        <w:lang w:val="lt-LT"/>
                      </w:rPr>
                      <w:t>TV</w:t>
                    </w:r>
                  </w:p>
                </w:txbxContent>
              </v:textbox>
            </v:rect>
            <v:rect id="_x0000_s73900" style="position:absolute;left:4435;top:7677;width:1603;height:438" o:regroupid="125" filled="f" stroked="f">
              <v:textbox style="mso-next-textbox:#_x0000_s73900">
                <w:txbxContent>
                  <w:p w:rsidR="00BE5795" w:rsidRPr="00392A41" w:rsidRDefault="00BE5795" w:rsidP="00FB4A79">
                    <w:pPr>
                      <w:rPr>
                        <w:i/>
                        <w:sz w:val="22"/>
                        <w:szCs w:val="22"/>
                        <w:lang w:val="lt-LT"/>
                      </w:rPr>
                    </w:pPr>
                    <w:r w:rsidRPr="00392A41">
                      <w:rPr>
                        <w:i/>
                        <w:sz w:val="22"/>
                        <w:szCs w:val="22"/>
                        <w:lang w:val="lt-LT"/>
                      </w:rPr>
                      <w:t>Lygmuo</w:t>
                    </w:r>
                  </w:p>
                </w:txbxContent>
              </v:textbox>
            </v:rect>
            <v:rect id="_x0000_s73901" style="position:absolute;left:5453;top:8716;width:1440;height:438" o:regroupid="125" filled="f" stroked="f">
              <v:textbox style="mso-next-textbox:#_x0000_s73901">
                <w:txbxContent>
                  <w:p w:rsidR="00BE5795" w:rsidRPr="00392A41" w:rsidRDefault="00BE5795" w:rsidP="00FB4A79">
                    <w:pPr>
                      <w:rPr>
                        <w:sz w:val="22"/>
                        <w:szCs w:val="22"/>
                      </w:rPr>
                    </w:pPr>
                    <w:r w:rsidRPr="00392A41">
                      <w:rPr>
                        <w:b/>
                        <w:sz w:val="22"/>
                        <w:szCs w:val="22"/>
                        <w:highlight w:val="lightGray"/>
                        <w:lang w:val="lt-LT"/>
                      </w:rPr>
                      <w:t>Planavimas</w:t>
                    </w:r>
                  </w:p>
                </w:txbxContent>
              </v:textbox>
            </v:rect>
            <v:shape id="_x0000_s73902" type="#_x0000_t32" style="position:absolute;left:5051;top:10444;width:2217;height:0" o:connectortype="straight" o:regroupid="125"/>
            <v:shape id="_x0000_s73903" type="#_x0000_t32" style="position:absolute;left:7268;top:9706;width:726;height:738;flip:y" o:connectortype="straight" o:regroupid="125"/>
            <v:rect id="_x0000_s73904" style="position:absolute;left:5051;top:9268;width:2217;height:438" o:regroupid="125" filled="f" stroked="f">
              <v:textbox style="mso-next-textbox:#_x0000_s73904" inset=".5mm,1mm,.5mm,0">
                <w:txbxContent>
                  <w:p w:rsidR="00BE5795" w:rsidRPr="00392A41" w:rsidRDefault="00BE5795" w:rsidP="00FB4A79">
                    <w:pPr>
                      <w:rPr>
                        <w:sz w:val="22"/>
                        <w:szCs w:val="22"/>
                      </w:rPr>
                    </w:pPr>
                    <w:r w:rsidRPr="00392A41">
                      <w:rPr>
                        <w:b/>
                        <w:sz w:val="22"/>
                        <w:szCs w:val="22"/>
                        <w:highlight w:val="lightGray"/>
                        <w:lang w:val="lt-LT"/>
                      </w:rPr>
                      <w:t>Kontrolės</w:t>
                    </w:r>
                    <w:r>
                      <w:rPr>
                        <w:b/>
                        <w:sz w:val="22"/>
                        <w:szCs w:val="22"/>
                        <w:highlight w:val="lightGray"/>
                        <w:lang w:val="lt-LT"/>
                      </w:rPr>
                      <w:t xml:space="preserve"> tyrimas</w:t>
                    </w:r>
                  </w:p>
                </w:txbxContent>
              </v:textbox>
            </v:rect>
            <v:rect id="_x0000_s73905" style="position:absolute;left:5141;top:9946;width:2217;height:438" o:regroupid="125" filled="f" stroked="f">
              <v:textbox style="mso-next-textbox:#_x0000_s73905">
                <w:txbxContent>
                  <w:p w:rsidR="00BE5795" w:rsidRPr="00392A41" w:rsidRDefault="00BE5795" w:rsidP="00FB4A79">
                    <w:pPr>
                      <w:rPr>
                        <w:sz w:val="22"/>
                        <w:szCs w:val="22"/>
                      </w:rPr>
                    </w:pPr>
                    <w:r w:rsidRPr="00392A41">
                      <w:rPr>
                        <w:b/>
                        <w:sz w:val="22"/>
                        <w:szCs w:val="22"/>
                        <w:highlight w:val="lightGray"/>
                        <w:lang w:val="lt-LT"/>
                      </w:rPr>
                      <w:t>Detalus tikrinimas</w:t>
                    </w:r>
                  </w:p>
                </w:txbxContent>
              </v:textbox>
            </v:rect>
            <v:rect id="_x0000_s73906" style="position:absolute;left:5528;top:10519;width:1314;height:438" o:regroupid="125" filled="f" stroked="f">
              <v:textbox style="mso-next-textbox:#_x0000_s73906" inset=".5mm,,.5mm">
                <w:txbxContent>
                  <w:p w:rsidR="00BE5795" w:rsidRPr="00392A41" w:rsidRDefault="00BE5795" w:rsidP="00FB4A79">
                    <w:pPr>
                      <w:rPr>
                        <w:sz w:val="22"/>
                        <w:szCs w:val="22"/>
                      </w:rPr>
                    </w:pPr>
                    <w:r w:rsidRPr="00392A41">
                      <w:rPr>
                        <w:b/>
                        <w:sz w:val="22"/>
                        <w:szCs w:val="22"/>
                        <w:highlight w:val="lightGray"/>
                        <w:lang w:val="lt-LT"/>
                      </w:rPr>
                      <w:t>Pabaigimas</w:t>
                    </w:r>
                  </w:p>
                </w:txbxContent>
              </v:textbox>
            </v:rect>
            <v:rect id="_x0000_s73907" style="position:absolute;left:5141;top:11077;width:2127;height:288" o:regroupid="125" filled="f" stroked="f">
              <v:textbox style="mso-next-textbox:#_x0000_s73907" inset=",0,,0">
                <w:txbxContent>
                  <w:p w:rsidR="00BE5795" w:rsidRPr="00392A41" w:rsidRDefault="00BE5795" w:rsidP="00FB4A79">
                    <w:pPr>
                      <w:rPr>
                        <w:sz w:val="22"/>
                        <w:szCs w:val="22"/>
                      </w:rPr>
                    </w:pPr>
                    <w:r w:rsidRPr="00392A41">
                      <w:rPr>
                        <w:i/>
                        <w:sz w:val="22"/>
                        <w:szCs w:val="22"/>
                        <w:lang w:val="lt-LT"/>
                      </w:rPr>
                      <w:t>Audito etapai</w:t>
                    </w:r>
                  </w:p>
                </w:txbxContent>
              </v:textbox>
            </v:rect>
            <v:rect id="_x0000_s73908" style="position:absolute;left:5921;top:7325;width:2135;height:352" o:regroupid="125" filled="f" stroked="f">
              <v:textbox style="mso-next-textbox:#_x0000_s73908" inset=",0,,0">
                <w:txbxContent>
                  <w:p w:rsidR="00BE5795" w:rsidRPr="00392A41" w:rsidRDefault="00BE5795" w:rsidP="00FB4A79">
                    <w:pPr>
                      <w:rPr>
                        <w:sz w:val="22"/>
                        <w:szCs w:val="22"/>
                      </w:rPr>
                    </w:pPr>
                    <w:r w:rsidRPr="00392A41">
                      <w:rPr>
                        <w:i/>
                        <w:sz w:val="22"/>
                        <w:szCs w:val="22"/>
                        <w:lang w:val="lt-LT"/>
                      </w:rPr>
                      <w:t>Įrodymų šaltiniai</w:t>
                    </w:r>
                  </w:p>
                </w:txbxContent>
              </v:textbox>
            </v:rect>
            <v:group id="_x0000_s73915" style="position:absolute;left:7358;top:9292;width:1087;height:676" coordorigin="8304,5535" coordsize="1087,676" o:regroupid="125">
              <v:shape id="_x0000_s73916" type="#_x0000_t32" style="position:absolute;left:8790;top:5535;width:601;height:177;flip:y" o:connectortype="straight"/>
              <v:shape id="_x0000_s73917" type="#_x0000_t32" style="position:absolute;left:8503;top:5535;width:888;height:438;flip:x" o:connectortype="straight"/>
              <v:shape id="_x0000_s73918" type="#_x0000_t32" style="position:absolute;left:8304;top:5535;width:1087;height:676;flip:y" o:connectortype="straight"/>
            </v:group>
            <v:group id="_x0000_s73919" style="position:absolute;left:7358;top:8693;width:1087;height:676" coordorigin="8304,5535" coordsize="1087,676" o:regroupid="125">
              <v:shape id="_x0000_s73920" type="#_x0000_t32" style="position:absolute;left:8790;top:5535;width:601;height:177;flip:y" o:connectortype="straight"/>
              <v:shape id="_x0000_s73921" type="#_x0000_t32" style="position:absolute;left:8503;top:5535;width:888;height:438;flip:x" o:connectortype="straight"/>
              <v:shape id="_x0000_s73922" type="#_x0000_t32" style="position:absolute;left:8304;top:5535;width:1087;height:676;flip:y" o:connectortype="straight"/>
            </v:group>
            <v:group id="_x0000_s73923" style="position:absolute;left:7358;top:8115;width:1087;height:676" coordorigin="8304,5535" coordsize="1087,676" o:regroupid="125">
              <v:shape id="_x0000_s73924" type="#_x0000_t32" style="position:absolute;left:8790;top:5535;width:601;height:177;flip:y" o:connectortype="straight"/>
              <v:shape id="_x0000_s73925" type="#_x0000_t32" style="position:absolute;left:8503;top:5535;width:888;height:438;flip:x" o:connectortype="straight"/>
              <v:shape id="_x0000_s73926" type="#_x0000_t32" style="position:absolute;left:8304;top:5535;width:1087;height:676;flip:y" o:connectortype="straight"/>
            </v:group>
            <v:group id="_x0000_s73927" style="position:absolute;left:7268;top:9793;width:1104;height:851" coordorigin="8304,5535" coordsize="1087,676" o:regroupid="125">
              <v:shape id="_x0000_s73928" type="#_x0000_t32" style="position:absolute;left:8790;top:5535;width:601;height:177;flip:y" o:connectortype="straight"/>
              <v:shape id="_x0000_s73929" type="#_x0000_t32" style="position:absolute;left:8503;top:5535;width:888;height:438;flip:x" o:connectortype="straight"/>
              <v:shape id="_x0000_s73930" type="#_x0000_t32" style="position:absolute;left:8304;top:5535;width:1087;height:676;flip:y" o:connectortype="straight"/>
            </v:group>
            <v:shape id="_x0000_s73910" type="#_x0000_t32" style="position:absolute;left:8205;top:7989;width:1027;height:0" o:connectortype="straight" o:regroupid="125"/>
            <v:rect id="_x0000_s73911" style="position:absolute;left:8282;top:7939;width:1037;height:401" o:regroupid="125" filled="f" stroked="f">
              <v:textbox style="mso-next-textbox:#_x0000_s73911">
                <w:txbxContent>
                  <w:p w:rsidR="00BE5795" w:rsidRPr="00692556" w:rsidRDefault="00BE5795" w:rsidP="00FB4A79">
                    <w:pPr>
                      <w:rPr>
                        <w:b/>
                        <w:vertAlign w:val="subscript"/>
                        <w:lang w:val="lt-LT"/>
                      </w:rPr>
                    </w:pPr>
                    <w:r>
                      <w:rPr>
                        <w:b/>
                        <w:lang w:val="lt-LT"/>
                      </w:rPr>
                      <w:t>RMM</w:t>
                    </w:r>
                    <w:r>
                      <w:rPr>
                        <w:b/>
                        <w:vertAlign w:val="subscript"/>
                        <w:lang w:val="lt-LT"/>
                      </w:rPr>
                      <w:t>PL</w:t>
                    </w:r>
                  </w:p>
                </w:txbxContent>
              </v:textbox>
            </v:rect>
            <v:rect id="_x0000_s73912" style="position:absolute;left:8282;top:8427;width:1037;height:401" o:regroupid="125" filled="f" stroked="f">
              <v:textbox style="mso-next-textbox:#_x0000_s73912">
                <w:txbxContent>
                  <w:p w:rsidR="00BE5795" w:rsidRPr="00692556" w:rsidRDefault="00BE5795" w:rsidP="00FB4A79">
                    <w:pPr>
                      <w:rPr>
                        <w:b/>
                        <w:vertAlign w:val="subscript"/>
                        <w:lang w:val="lt-LT"/>
                      </w:rPr>
                    </w:pPr>
                    <w:r>
                      <w:rPr>
                        <w:b/>
                        <w:lang w:val="lt-LT"/>
                      </w:rPr>
                      <w:t>RMM</w:t>
                    </w:r>
                    <w:r>
                      <w:rPr>
                        <w:b/>
                        <w:vertAlign w:val="subscript"/>
                        <w:lang w:val="lt-LT"/>
                      </w:rPr>
                      <w:t>KT</w:t>
                    </w:r>
                  </w:p>
                </w:txbxContent>
              </v:textbox>
            </v:rect>
            <v:rect id="_x0000_s73913" style="position:absolute;left:8282;top:9003;width:1037;height:401" o:regroupid="125" filled="f" stroked="f">
              <v:textbox style="mso-next-textbox:#_x0000_s73913">
                <w:txbxContent>
                  <w:p w:rsidR="00BE5795" w:rsidRPr="00692556" w:rsidRDefault="00BE5795" w:rsidP="00FB4A79">
                    <w:pPr>
                      <w:rPr>
                        <w:b/>
                        <w:vertAlign w:val="subscript"/>
                        <w:lang w:val="lt-LT"/>
                      </w:rPr>
                    </w:pPr>
                    <w:r>
                      <w:rPr>
                        <w:b/>
                        <w:lang w:val="lt-LT"/>
                      </w:rPr>
                      <w:t>RMM</w:t>
                    </w:r>
                    <w:r>
                      <w:rPr>
                        <w:b/>
                        <w:vertAlign w:val="subscript"/>
                        <w:lang w:val="lt-LT"/>
                      </w:rPr>
                      <w:t>DT</w:t>
                    </w:r>
                  </w:p>
                </w:txbxContent>
              </v:textbox>
            </v:rect>
            <v:rect id="_x0000_s73914" style="position:absolute;left:8282;top:9591;width:1037;height:401" o:regroupid="125" filled="f" stroked="f">
              <v:textbox style="mso-next-textbox:#_x0000_s73914">
                <w:txbxContent>
                  <w:p w:rsidR="00BE5795" w:rsidRPr="00692556" w:rsidRDefault="00BE5795" w:rsidP="00FB4A79">
                    <w:pPr>
                      <w:rPr>
                        <w:b/>
                        <w:vertAlign w:val="subscript"/>
                        <w:lang w:val="lt-LT"/>
                      </w:rPr>
                    </w:pPr>
                    <w:r>
                      <w:rPr>
                        <w:b/>
                        <w:lang w:val="lt-LT"/>
                      </w:rPr>
                      <w:t>RMM</w:t>
                    </w:r>
                    <w:r>
                      <w:rPr>
                        <w:b/>
                        <w:vertAlign w:val="subscript"/>
                        <w:lang w:val="lt-LT"/>
                      </w:rPr>
                      <w:t>PB</w:t>
                    </w:r>
                  </w:p>
                </w:txbxContent>
              </v:textbox>
            </v:rect>
            <v:shape id="_x0000_s73931" type="#_x0000_t32" style="position:absolute;left:8631;top:8292;width:12;height:187" o:connectortype="straight" o:regroupid="125">
              <v:stroke endarrow="block"/>
            </v:shape>
            <v:shape id="_x0000_s73932" type="#_x0000_t32" style="position:absolute;left:8643;top:8816;width:12;height:187" o:connectortype="straight" o:regroupid="125">
              <v:stroke endarrow="block"/>
            </v:shape>
            <v:shape id="_x0000_s73933" type="#_x0000_t32" style="position:absolute;left:8619;top:9404;width:12;height:187" o:connectortype="straight" o:regroupid="125">
              <v:stroke endarrow="block"/>
            </v:shape>
            <v:group id="_x0000_s74491" style="position:absolute;left:9119;top:8115;width:914;height:2083" coordorigin="9434,7756" coordsize="914,2007" o:regroupid="125">
              <v:rect id="_x0000_s73934" style="position:absolute;left:9434;top:7756;width:837;height:401" o:regroupid="116" filled="f" stroked="f">
                <v:textbox style="mso-next-textbox:#_x0000_s73934">
                  <w:txbxContent>
                    <w:p w:rsidR="00BE5795" w:rsidRPr="00584FCD" w:rsidRDefault="00BE5795" w:rsidP="00FB4A79">
                      <w:pPr>
                        <w:rPr>
                          <w:b/>
                          <w:lang w:val="lt-LT"/>
                        </w:rPr>
                      </w:pPr>
                      <w:r>
                        <w:rPr>
                          <w:b/>
                          <w:lang w:val="lt-LT"/>
                        </w:rPr>
                        <w:t>DR</w:t>
                      </w:r>
                      <w:r w:rsidRPr="004D4609">
                        <w:rPr>
                          <w:b/>
                          <w:vertAlign w:val="subscript"/>
                          <w:lang w:val="lt-LT"/>
                        </w:rPr>
                        <w:t>PL</w:t>
                      </w:r>
                      <w:r>
                        <w:rPr>
                          <w:b/>
                          <w:lang w:val="lt-LT"/>
                        </w:rPr>
                        <w:t>?</w:t>
                      </w:r>
                    </w:p>
                  </w:txbxContent>
                </v:textbox>
              </v:rect>
              <v:rect id="_x0000_s73935" style="position:absolute;left:9434;top:8244;width:914;height:401" o:regroupid="116" filled="f" stroked="f">
                <v:textbox style="mso-next-textbox:#_x0000_s73935">
                  <w:txbxContent>
                    <w:p w:rsidR="00BE5795" w:rsidRPr="00584FCD" w:rsidRDefault="00BE5795" w:rsidP="00FB4A79">
                      <w:pPr>
                        <w:rPr>
                          <w:b/>
                          <w:lang w:val="lt-LT"/>
                        </w:rPr>
                      </w:pPr>
                      <w:r>
                        <w:rPr>
                          <w:b/>
                          <w:lang w:val="lt-LT"/>
                        </w:rPr>
                        <w:t>DR</w:t>
                      </w:r>
                      <w:r>
                        <w:rPr>
                          <w:b/>
                          <w:vertAlign w:val="subscript"/>
                          <w:lang w:val="lt-LT"/>
                        </w:rPr>
                        <w:t>KT</w:t>
                      </w:r>
                    </w:p>
                  </w:txbxContent>
                </v:textbox>
              </v:rect>
              <v:rect id="_x0000_s73936" style="position:absolute;left:9511;top:8820;width:837;height:401" o:regroupid="116" filled="f" stroked="f">
                <v:textbox style="mso-next-textbox:#_x0000_s73936">
                  <w:txbxContent>
                    <w:p w:rsidR="00BE5795" w:rsidRPr="00584FCD" w:rsidRDefault="00BE5795" w:rsidP="00FB4A79">
                      <w:pPr>
                        <w:rPr>
                          <w:b/>
                          <w:lang w:val="lt-LT"/>
                        </w:rPr>
                      </w:pPr>
                      <w:r>
                        <w:rPr>
                          <w:b/>
                          <w:lang w:val="lt-LT"/>
                        </w:rPr>
                        <w:t>DR</w:t>
                      </w:r>
                      <w:r>
                        <w:rPr>
                          <w:b/>
                          <w:vertAlign w:val="subscript"/>
                          <w:lang w:val="lt-LT"/>
                        </w:rPr>
                        <w:t>DT</w:t>
                      </w:r>
                    </w:p>
                  </w:txbxContent>
                </v:textbox>
              </v:rect>
              <v:rect id="_x0000_s73937" style="position:absolute;left:9511;top:9362;width:837;height:401" o:regroupid="116" filled="f" stroked="f">
                <v:textbox style="mso-next-textbox:#_x0000_s73937">
                  <w:txbxContent>
                    <w:p w:rsidR="00BE5795" w:rsidRPr="00584FCD" w:rsidRDefault="00BE5795" w:rsidP="00FB4A79">
                      <w:pPr>
                        <w:rPr>
                          <w:b/>
                          <w:lang w:val="lt-LT"/>
                        </w:rPr>
                      </w:pPr>
                      <w:r>
                        <w:rPr>
                          <w:b/>
                          <w:lang w:val="lt-LT"/>
                        </w:rPr>
                        <w:t>DR</w:t>
                      </w:r>
                      <w:r>
                        <w:rPr>
                          <w:b/>
                          <w:vertAlign w:val="subscript"/>
                          <w:lang w:val="lt-LT"/>
                        </w:rPr>
                        <w:t>PB</w:t>
                      </w:r>
                    </w:p>
                  </w:txbxContent>
                </v:textbox>
              </v:rect>
              <v:shape id="_x0000_s73938" type="#_x0000_t32" style="position:absolute;left:9808;top:8109;width:12;height:187" o:connectortype="straight" o:regroupid="116">
                <v:stroke endarrow="block"/>
              </v:shape>
              <v:shape id="_x0000_s73939" type="#_x0000_t32" style="position:absolute;left:9808;top:8685;width:12;height:187" o:connectortype="straight" o:regroupid="116">
                <v:stroke endarrow="block"/>
              </v:shape>
              <v:shape id="_x0000_s73940" type="#_x0000_t32" style="position:absolute;left:9820;top:9175;width:12;height:187" o:connectortype="straight" o:regroupid="116">
                <v:stroke endarrow="block"/>
              </v:shape>
            </v:group>
            <v:shape id="_x0000_s74492" type="#_x0000_t32" style="position:absolute;left:8965;top:10117;width:1068;height:0" o:connectortype="straight" o:regroupid="125"/>
            <v:shape id="_x0000_s74493" type="#_x0000_t202" style="position:absolute;left:3117;top:6817;width:405;height:397;mso-height-percent:200;mso-height-percent:200;mso-width-relative:margin;mso-height-relative:margin" o:regroupid="125" stroked="f">
              <v:textbox style="mso-next-textbox:#_x0000_s74493;mso-fit-shape-to-text:t">
                <w:txbxContent>
                  <w:p w:rsidR="00BE5795" w:rsidRPr="00AE359E" w:rsidRDefault="00BE5795">
                    <w:pPr>
                      <w:rPr>
                        <w:b/>
                        <w:sz w:val="22"/>
                        <w:szCs w:val="22"/>
                      </w:rPr>
                    </w:pPr>
                    <w:r w:rsidRPr="00AE359E">
                      <w:rPr>
                        <w:b/>
                        <w:sz w:val="22"/>
                        <w:szCs w:val="22"/>
                      </w:rPr>
                      <w:t>A</w:t>
                    </w:r>
                  </w:p>
                </w:txbxContent>
              </v:textbox>
            </v:shape>
            <v:shape id="_x0000_s74494" type="#_x0000_t202" style="position:absolute;left:6327;top:6817;width:405;height:397;mso-height-percent:200;mso-height-percent:200;mso-width-relative:margin;mso-height-relative:margin" o:regroupid="125" stroked="f">
              <v:textbox style="mso-next-textbox:#_x0000_s74494;mso-fit-shape-to-text:t">
                <w:txbxContent>
                  <w:p w:rsidR="00BE5795" w:rsidRPr="00AE359E" w:rsidRDefault="00BE5795" w:rsidP="00AE359E">
                    <w:pPr>
                      <w:rPr>
                        <w:b/>
                        <w:sz w:val="22"/>
                        <w:szCs w:val="22"/>
                      </w:rPr>
                    </w:pPr>
                    <w:r>
                      <w:rPr>
                        <w:b/>
                        <w:sz w:val="22"/>
                        <w:szCs w:val="22"/>
                      </w:rPr>
                      <w:t>B</w:t>
                    </w:r>
                  </w:p>
                </w:txbxContent>
              </v:textbox>
            </v:shape>
            <v:shape id="_x0000_s74495" type="#_x0000_t202" style="position:absolute;left:8914;top:6817;width:405;height:397;mso-height-percent:200;mso-height-percent:200;mso-width-relative:margin;mso-height-relative:margin" o:regroupid="125" stroked="f">
              <v:textbox style="mso-next-textbox:#_x0000_s74495;mso-fit-shape-to-text:t">
                <w:txbxContent>
                  <w:p w:rsidR="00BE5795" w:rsidRPr="00AE359E" w:rsidRDefault="00BE5795" w:rsidP="00AE359E">
                    <w:pPr>
                      <w:rPr>
                        <w:b/>
                        <w:sz w:val="22"/>
                        <w:szCs w:val="22"/>
                      </w:rPr>
                    </w:pPr>
                    <w:r>
                      <w:rPr>
                        <w:b/>
                        <w:sz w:val="22"/>
                        <w:szCs w:val="22"/>
                      </w:rPr>
                      <w:t>C</w:t>
                    </w:r>
                  </w:p>
                </w:txbxContent>
              </v:textbox>
            </v:shape>
            <v:shape id="_x0000_s74496" type="#_x0000_t32" style="position:absolute;left:1905;top:7214;width:7950;height:0" o:connectortype="straight" o:regroupid="125" strokecolor="#bfbfbf [2412]" strokeweight="2pt">
              <v:stroke dashstyle="1 1"/>
            </v:shape>
          </v:group>
        </w:pict>
      </w:r>
      <w:r w:rsidR="00FB4A79" w:rsidRPr="00FE380C">
        <w:rPr>
          <w:color w:val="FF0000"/>
          <w:sz w:val="26"/>
          <w:szCs w:val="26"/>
          <w:lang w:val="lt-LT"/>
        </w:rPr>
        <w:tab/>
      </w:r>
      <w:r w:rsidR="00FB4A79" w:rsidRPr="00FE380C">
        <w:rPr>
          <w:b/>
          <w:sz w:val="26"/>
          <w:szCs w:val="26"/>
          <w:lang w:val="lt-LT"/>
        </w:rPr>
        <w:t>B. Bell, M. E. Peecher, I. Solomon</w:t>
      </w:r>
      <w:r w:rsidR="000E7759" w:rsidRPr="00FE380C">
        <w:rPr>
          <w:b/>
          <w:sz w:val="26"/>
          <w:szCs w:val="26"/>
          <w:lang w:val="lt-LT"/>
        </w:rPr>
        <w:t xml:space="preserve"> audito rizikos modelis. </w:t>
      </w:r>
      <w:r w:rsidR="00FB4A79" w:rsidRPr="00FE380C">
        <w:rPr>
          <w:sz w:val="26"/>
          <w:szCs w:val="26"/>
          <w:lang w:val="lt-LT"/>
        </w:rPr>
        <w:t xml:space="preserve">T. B. Bell, M. E. Peecher, I. Solomon (2005) </w:t>
      </w:r>
      <w:r w:rsidR="00BE39C8" w:rsidRPr="00FE380C">
        <w:rPr>
          <w:sz w:val="26"/>
          <w:szCs w:val="26"/>
          <w:lang w:val="lt-LT"/>
        </w:rPr>
        <w:t xml:space="preserve">siūlo </w:t>
      </w:r>
      <w:r w:rsidR="00537722" w:rsidRPr="00FE380C">
        <w:rPr>
          <w:sz w:val="26"/>
          <w:szCs w:val="26"/>
          <w:lang w:val="lt-LT"/>
        </w:rPr>
        <w:t>vertina</w:t>
      </w:r>
      <w:r w:rsidR="00406E84" w:rsidRPr="00FE380C">
        <w:rPr>
          <w:sz w:val="26"/>
          <w:szCs w:val="26"/>
          <w:lang w:val="lt-LT"/>
        </w:rPr>
        <w:t>n</w:t>
      </w:r>
      <w:r w:rsidR="00537722" w:rsidRPr="00FE380C">
        <w:rPr>
          <w:sz w:val="26"/>
          <w:szCs w:val="26"/>
          <w:lang w:val="lt-LT"/>
        </w:rPr>
        <w:t xml:space="preserve">t audito riziką </w:t>
      </w:r>
      <w:r w:rsidR="00406E84" w:rsidRPr="00FE380C">
        <w:rPr>
          <w:sz w:val="26"/>
          <w:szCs w:val="26"/>
          <w:lang w:val="lt-LT"/>
        </w:rPr>
        <w:t xml:space="preserve">remtis </w:t>
      </w:r>
      <w:r w:rsidR="00FB4A79" w:rsidRPr="00FE380C">
        <w:rPr>
          <w:sz w:val="26"/>
          <w:szCs w:val="26"/>
          <w:lang w:val="lt-LT"/>
        </w:rPr>
        <w:t>trianguliacijos požiūri</w:t>
      </w:r>
      <w:r w:rsidR="00406E84" w:rsidRPr="00FE380C">
        <w:rPr>
          <w:sz w:val="26"/>
          <w:szCs w:val="26"/>
          <w:lang w:val="lt-LT"/>
        </w:rPr>
        <w:t>u</w:t>
      </w:r>
      <w:r w:rsidR="0040100A" w:rsidRPr="00FE380C">
        <w:rPr>
          <w:sz w:val="26"/>
          <w:szCs w:val="26"/>
          <w:lang w:val="lt-LT"/>
        </w:rPr>
        <w:t xml:space="preserve"> (žr</w:t>
      </w:r>
      <w:r w:rsidR="00490CD6" w:rsidRPr="00FE380C">
        <w:rPr>
          <w:sz w:val="26"/>
          <w:szCs w:val="26"/>
          <w:lang w:val="lt-LT"/>
        </w:rPr>
        <w:t>. 1</w:t>
      </w:r>
      <w:r w:rsidR="00F726AC" w:rsidRPr="00FE380C">
        <w:rPr>
          <w:sz w:val="26"/>
          <w:szCs w:val="26"/>
          <w:lang w:val="lt-LT"/>
        </w:rPr>
        <w:t>4</w:t>
      </w:r>
      <w:r w:rsidR="00490CD6" w:rsidRPr="00FE380C">
        <w:rPr>
          <w:sz w:val="26"/>
          <w:szCs w:val="26"/>
          <w:lang w:val="lt-LT"/>
        </w:rPr>
        <w:t xml:space="preserve"> pav.)</w:t>
      </w:r>
      <w:r w:rsidR="00FB4A79" w:rsidRPr="00FE380C">
        <w:rPr>
          <w:sz w:val="26"/>
          <w:szCs w:val="26"/>
          <w:lang w:val="lt-LT"/>
        </w:rPr>
        <w:t>.</w:t>
      </w:r>
    </w:p>
    <w:p w:rsidR="00AE359E" w:rsidRDefault="00AE359E" w:rsidP="00FB4A79">
      <w:pPr>
        <w:tabs>
          <w:tab w:val="left" w:pos="709"/>
        </w:tabs>
        <w:spacing w:line="360" w:lineRule="auto"/>
        <w:jc w:val="both"/>
        <w:rPr>
          <w:sz w:val="26"/>
          <w:szCs w:val="26"/>
          <w:lang w:val="lt-LT"/>
        </w:rPr>
      </w:pPr>
    </w:p>
    <w:p w:rsidR="00FB4A79" w:rsidRPr="000F13C9" w:rsidRDefault="00FB4A79" w:rsidP="00186A71">
      <w:pPr>
        <w:tabs>
          <w:tab w:val="left" w:pos="709"/>
        </w:tabs>
        <w:spacing w:line="360" w:lineRule="auto"/>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FB4A79" w:rsidRDefault="00FB4A79" w:rsidP="00FB4A79">
      <w:pPr>
        <w:tabs>
          <w:tab w:val="left" w:pos="567"/>
        </w:tabs>
        <w:jc w:val="both"/>
        <w:rPr>
          <w:sz w:val="24"/>
          <w:szCs w:val="24"/>
          <w:lang w:val="lt-LT"/>
        </w:rPr>
      </w:pPr>
    </w:p>
    <w:p w:rsidR="00AE359E" w:rsidRDefault="00AE359E" w:rsidP="00FB4A79">
      <w:pPr>
        <w:jc w:val="both"/>
        <w:rPr>
          <w:color w:val="000000" w:themeColor="text1"/>
          <w:lang w:val="lt-LT"/>
        </w:rPr>
      </w:pPr>
    </w:p>
    <w:p w:rsidR="00FB4A79" w:rsidRPr="004D09A1" w:rsidRDefault="00FB4A79" w:rsidP="00FB4A79">
      <w:pPr>
        <w:jc w:val="both"/>
        <w:rPr>
          <w:color w:val="000000" w:themeColor="text1"/>
          <w:highlight w:val="green"/>
          <w:lang w:val="lt-LT"/>
        </w:rPr>
      </w:pPr>
      <w:r w:rsidRPr="004D09A1">
        <w:rPr>
          <w:color w:val="000000" w:themeColor="text1"/>
          <w:lang w:val="lt-LT"/>
        </w:rPr>
        <w:t xml:space="preserve">Pastaba: </w:t>
      </w:r>
      <w:r w:rsidR="00C205E0">
        <w:rPr>
          <w:color w:val="000000" w:themeColor="text1"/>
          <w:lang w:val="lt-LT"/>
        </w:rPr>
        <w:t xml:space="preserve">Lygmuo: </w:t>
      </w:r>
      <w:r w:rsidRPr="004D09A1">
        <w:rPr>
          <w:color w:val="000000" w:themeColor="text1"/>
          <w:lang w:val="lt-LT"/>
        </w:rPr>
        <w:t>F/A – finansinių ataskaitų, O/L – ūkinių operacijų grupių ir sąsk</w:t>
      </w:r>
      <w:r>
        <w:rPr>
          <w:color w:val="000000" w:themeColor="text1"/>
          <w:lang w:val="lt-LT"/>
        </w:rPr>
        <w:t>aitos likučių, TV – tvirtinimo</w:t>
      </w:r>
      <w:r w:rsidRPr="004D09A1">
        <w:rPr>
          <w:color w:val="000000" w:themeColor="text1"/>
          <w:lang w:val="lt-LT"/>
        </w:rPr>
        <w:t>; įrodymų šaltiniai: ĮVA – įmonės verslo aplinka, VIT – vadovybės informacijos tarpininkai, VV</w:t>
      </w:r>
      <w:r>
        <w:rPr>
          <w:color w:val="000000" w:themeColor="text1"/>
          <w:lang w:val="lt-LT"/>
        </w:rPr>
        <w:t>P – vadovybės verslo pareiškim</w:t>
      </w:r>
      <w:r w:rsidRPr="004D09A1">
        <w:rPr>
          <w:color w:val="000000" w:themeColor="text1"/>
          <w:lang w:val="lt-LT"/>
        </w:rPr>
        <w:t>ai; RMM – reikšmingo iškraipymo rizika</w:t>
      </w:r>
      <w:r>
        <w:rPr>
          <w:color w:val="000000" w:themeColor="text1"/>
          <w:lang w:val="lt-LT"/>
        </w:rPr>
        <w:t>;</w:t>
      </w:r>
      <w:r w:rsidRPr="004D09A1">
        <w:rPr>
          <w:color w:val="000000" w:themeColor="text1"/>
          <w:lang w:val="lt-LT"/>
        </w:rPr>
        <w:t xml:space="preserve"> DR – aptikimo rizika. </w:t>
      </w:r>
    </w:p>
    <w:p w:rsidR="00FB4A79" w:rsidRDefault="00FB4A79" w:rsidP="00C618DD">
      <w:pPr>
        <w:tabs>
          <w:tab w:val="left" w:pos="567"/>
        </w:tabs>
        <w:spacing w:before="120"/>
        <w:jc w:val="both"/>
        <w:rPr>
          <w:sz w:val="24"/>
          <w:szCs w:val="24"/>
          <w:lang w:val="lt-LT"/>
        </w:rPr>
      </w:pPr>
      <w:r w:rsidRPr="00A82E89">
        <w:rPr>
          <w:lang w:val="lt-LT"/>
        </w:rPr>
        <w:t>Šaltinis: sukurta autorės pagal</w:t>
      </w:r>
      <w:r w:rsidRPr="002A0CA1">
        <w:rPr>
          <w:lang w:val="lt-LT"/>
        </w:rPr>
        <w:t xml:space="preserve"> </w:t>
      </w:r>
      <w:r w:rsidRPr="00B121C9">
        <w:rPr>
          <w:caps/>
          <w:lang w:val="lt-LT"/>
        </w:rPr>
        <w:t>Bell</w:t>
      </w:r>
      <w:r w:rsidRPr="00D65802">
        <w:rPr>
          <w:lang w:val="lt-LT"/>
        </w:rPr>
        <w:t>,</w:t>
      </w:r>
      <w:r w:rsidR="00C076D8" w:rsidRPr="00C076D8">
        <w:rPr>
          <w:lang w:val="lt-LT"/>
        </w:rPr>
        <w:t xml:space="preserve"> </w:t>
      </w:r>
      <w:r w:rsidR="00C076D8">
        <w:rPr>
          <w:lang w:val="lt-LT"/>
        </w:rPr>
        <w:t>T. B.,</w:t>
      </w:r>
      <w:r w:rsidRPr="00D65802">
        <w:rPr>
          <w:lang w:val="lt-LT"/>
        </w:rPr>
        <w:t xml:space="preserve"> </w:t>
      </w:r>
      <w:r w:rsidRPr="00B121C9">
        <w:rPr>
          <w:caps/>
          <w:lang w:val="lt-LT"/>
        </w:rPr>
        <w:t>Peecher,</w:t>
      </w:r>
      <w:r w:rsidRPr="00D65802">
        <w:rPr>
          <w:lang w:val="lt-LT"/>
        </w:rPr>
        <w:t xml:space="preserve"> </w:t>
      </w:r>
      <w:r w:rsidR="00C076D8">
        <w:rPr>
          <w:lang w:val="lt-LT"/>
        </w:rPr>
        <w:t xml:space="preserve">M. E., </w:t>
      </w:r>
      <w:r w:rsidRPr="00B121C9">
        <w:rPr>
          <w:caps/>
          <w:lang w:val="lt-LT"/>
        </w:rPr>
        <w:t>Solomon</w:t>
      </w:r>
      <w:r>
        <w:rPr>
          <w:lang w:val="lt-LT"/>
        </w:rPr>
        <w:t xml:space="preserve">, </w:t>
      </w:r>
      <w:r w:rsidR="00C076D8">
        <w:rPr>
          <w:lang w:val="lt-LT"/>
        </w:rPr>
        <w:t xml:space="preserve">I., </w:t>
      </w:r>
      <w:r w:rsidRPr="00D65802">
        <w:rPr>
          <w:lang w:val="lt-LT"/>
        </w:rPr>
        <w:t>2005</w:t>
      </w:r>
      <w:r>
        <w:rPr>
          <w:lang w:val="lt-LT"/>
        </w:rPr>
        <w:t>, p. 41.</w:t>
      </w:r>
    </w:p>
    <w:p w:rsidR="00FB4A79" w:rsidRPr="005F44E6" w:rsidRDefault="00FB4A79" w:rsidP="00C618DD">
      <w:pPr>
        <w:tabs>
          <w:tab w:val="left" w:pos="567"/>
        </w:tabs>
        <w:spacing w:before="120"/>
        <w:jc w:val="center"/>
        <w:rPr>
          <w:b/>
          <w:sz w:val="26"/>
          <w:szCs w:val="26"/>
          <w:lang w:val="lt-LT"/>
        </w:rPr>
      </w:pPr>
      <w:r w:rsidRPr="005F44E6">
        <w:rPr>
          <w:b/>
          <w:sz w:val="26"/>
          <w:szCs w:val="26"/>
          <w:lang w:val="lt-LT"/>
        </w:rPr>
        <w:t>1</w:t>
      </w:r>
      <w:r w:rsidR="00F726AC" w:rsidRPr="005F44E6">
        <w:rPr>
          <w:b/>
          <w:sz w:val="26"/>
          <w:szCs w:val="26"/>
          <w:lang w:val="lt-LT"/>
        </w:rPr>
        <w:t>4</w:t>
      </w:r>
      <w:r w:rsidRPr="005F44E6">
        <w:rPr>
          <w:b/>
          <w:sz w:val="26"/>
          <w:szCs w:val="26"/>
          <w:lang w:val="lt-LT"/>
        </w:rPr>
        <w:t xml:space="preserve"> pav. Trianguliacijos požiūrio taikymas vertinant audito riziką </w:t>
      </w:r>
    </w:p>
    <w:p w:rsidR="00B121C9" w:rsidRPr="005F44E6" w:rsidRDefault="00FB4A79" w:rsidP="007E4990">
      <w:pPr>
        <w:tabs>
          <w:tab w:val="left" w:pos="709"/>
        </w:tabs>
        <w:spacing w:before="240" w:line="360" w:lineRule="auto"/>
        <w:jc w:val="both"/>
        <w:rPr>
          <w:sz w:val="26"/>
          <w:szCs w:val="26"/>
          <w:lang w:val="lt-LT"/>
        </w:rPr>
      </w:pPr>
      <w:r w:rsidRPr="00BA349E">
        <w:rPr>
          <w:color w:val="000000" w:themeColor="text1"/>
          <w:sz w:val="24"/>
          <w:szCs w:val="24"/>
          <w:lang w:val="lt-LT"/>
        </w:rPr>
        <w:tab/>
      </w:r>
      <w:r w:rsidR="00B121C9" w:rsidRPr="005F44E6">
        <w:rPr>
          <w:sz w:val="26"/>
          <w:szCs w:val="26"/>
          <w:lang w:val="lt-LT"/>
        </w:rPr>
        <w:t xml:space="preserve">Trianguliacija pasireiškia, kai auditorius pasiekia tokį laipsnį, kuriuo tas pats audito sprendimas yra grindžiamas įrodymais iš visų trijų principinių </w:t>
      </w:r>
      <w:r w:rsidR="00B121C9" w:rsidRPr="005F44E6">
        <w:rPr>
          <w:sz w:val="26"/>
          <w:szCs w:val="26"/>
          <w:lang w:val="lt-LT"/>
        </w:rPr>
        <w:lastRenderedPageBreak/>
        <w:t>šaltinių</w:t>
      </w:r>
      <w:r w:rsidR="00B121C9" w:rsidRPr="005F44E6">
        <w:rPr>
          <w:rStyle w:val="FootnoteReference"/>
          <w:sz w:val="26"/>
          <w:szCs w:val="26"/>
          <w:lang w:val="lt-LT"/>
        </w:rPr>
        <w:footnoteReference w:id="20"/>
      </w:r>
      <w:r w:rsidR="00B121C9" w:rsidRPr="005F44E6">
        <w:rPr>
          <w:sz w:val="26"/>
          <w:szCs w:val="26"/>
          <w:lang w:val="lt-LT"/>
        </w:rPr>
        <w:t xml:space="preserve">: </w:t>
      </w:r>
      <w:r w:rsidR="00B121C9" w:rsidRPr="005F44E6">
        <w:rPr>
          <w:i/>
          <w:sz w:val="26"/>
          <w:szCs w:val="26"/>
          <w:lang w:val="lt-LT"/>
        </w:rPr>
        <w:t xml:space="preserve">įmonės verslo aplinkos </w:t>
      </w:r>
      <w:r w:rsidR="00B121C9" w:rsidRPr="005F44E6">
        <w:rPr>
          <w:sz w:val="26"/>
          <w:szCs w:val="26"/>
          <w:lang w:val="lt-LT"/>
        </w:rPr>
        <w:t>(</w:t>
      </w:r>
      <w:r w:rsidR="007E4990">
        <w:rPr>
          <w:sz w:val="26"/>
          <w:szCs w:val="26"/>
          <w:lang w:val="lt-LT"/>
        </w:rPr>
        <w:t xml:space="preserve">toliau – </w:t>
      </w:r>
      <w:r w:rsidR="00B121C9" w:rsidRPr="005F44E6">
        <w:rPr>
          <w:sz w:val="26"/>
          <w:szCs w:val="26"/>
          <w:lang w:val="lt-LT"/>
        </w:rPr>
        <w:t xml:space="preserve">ĮVA), </w:t>
      </w:r>
      <w:r w:rsidR="00B121C9" w:rsidRPr="005F44E6">
        <w:rPr>
          <w:i/>
          <w:sz w:val="26"/>
          <w:szCs w:val="26"/>
          <w:lang w:val="lt-LT"/>
        </w:rPr>
        <w:t xml:space="preserve">vadovybės informacijos tarpininkų </w:t>
      </w:r>
      <w:r w:rsidR="00B121C9" w:rsidRPr="005F44E6">
        <w:rPr>
          <w:sz w:val="26"/>
          <w:szCs w:val="26"/>
          <w:lang w:val="lt-LT"/>
        </w:rPr>
        <w:t>(</w:t>
      </w:r>
      <w:r w:rsidR="007E4990">
        <w:rPr>
          <w:sz w:val="26"/>
          <w:szCs w:val="26"/>
          <w:lang w:val="lt-LT"/>
        </w:rPr>
        <w:t xml:space="preserve">toliau – </w:t>
      </w:r>
      <w:r w:rsidR="00B121C9" w:rsidRPr="005F44E6">
        <w:rPr>
          <w:sz w:val="26"/>
          <w:szCs w:val="26"/>
          <w:lang w:val="lt-LT"/>
        </w:rPr>
        <w:t>VIT)</w:t>
      </w:r>
      <w:r w:rsidR="00B121C9" w:rsidRPr="005F44E6">
        <w:rPr>
          <w:i/>
          <w:sz w:val="26"/>
          <w:szCs w:val="26"/>
          <w:lang w:val="lt-LT"/>
        </w:rPr>
        <w:t>,</w:t>
      </w:r>
      <w:r w:rsidR="00B121C9" w:rsidRPr="005F44E6">
        <w:rPr>
          <w:sz w:val="26"/>
          <w:szCs w:val="26"/>
          <w:lang w:val="lt-LT"/>
        </w:rPr>
        <w:t xml:space="preserve"> </w:t>
      </w:r>
      <w:r w:rsidR="00B121C9" w:rsidRPr="005F44E6">
        <w:rPr>
          <w:i/>
          <w:sz w:val="26"/>
          <w:szCs w:val="26"/>
          <w:lang w:val="lt-LT"/>
        </w:rPr>
        <w:t xml:space="preserve">vadovybės verslo pareiškimų </w:t>
      </w:r>
      <w:r w:rsidR="00B121C9" w:rsidRPr="005F44E6">
        <w:rPr>
          <w:sz w:val="26"/>
          <w:szCs w:val="26"/>
          <w:lang w:val="lt-LT"/>
        </w:rPr>
        <w:t>(</w:t>
      </w:r>
      <w:r w:rsidR="007E4990">
        <w:rPr>
          <w:sz w:val="26"/>
          <w:szCs w:val="26"/>
          <w:lang w:val="lt-LT"/>
        </w:rPr>
        <w:t xml:space="preserve">toliau – </w:t>
      </w:r>
      <w:r w:rsidR="00B121C9" w:rsidRPr="005F44E6">
        <w:rPr>
          <w:sz w:val="26"/>
          <w:szCs w:val="26"/>
          <w:lang w:val="lt-LT"/>
        </w:rPr>
        <w:t>VVP)</w:t>
      </w:r>
      <w:r w:rsidR="00B121C9" w:rsidRPr="005F44E6">
        <w:rPr>
          <w:i/>
          <w:sz w:val="26"/>
          <w:szCs w:val="26"/>
          <w:lang w:val="lt-LT"/>
        </w:rPr>
        <w:t>.</w:t>
      </w:r>
      <w:r w:rsidR="00B121C9" w:rsidRPr="005F44E6">
        <w:rPr>
          <w:sz w:val="26"/>
          <w:szCs w:val="26"/>
          <w:lang w:val="lt-LT"/>
        </w:rPr>
        <w:t xml:space="preserve"> Jei 315-ajame</w:t>
      </w:r>
      <w:r w:rsidR="00B121C9" w:rsidRPr="005F44E6">
        <w:rPr>
          <w:b/>
          <w:sz w:val="26"/>
          <w:szCs w:val="26"/>
          <w:lang w:val="lt-LT"/>
        </w:rPr>
        <w:t xml:space="preserve"> </w:t>
      </w:r>
      <w:r w:rsidR="00B121C9" w:rsidRPr="005F44E6">
        <w:rPr>
          <w:sz w:val="26"/>
          <w:szCs w:val="26"/>
          <w:lang w:val="lt-LT"/>
        </w:rPr>
        <w:t>TSA (2006)</w:t>
      </w:r>
      <w:r w:rsidR="00B121C9" w:rsidRPr="005F44E6">
        <w:rPr>
          <w:color w:val="000000" w:themeColor="text1"/>
          <w:sz w:val="26"/>
          <w:szCs w:val="26"/>
          <w:lang w:val="lt-LT"/>
        </w:rPr>
        <w:t xml:space="preserve"> išryškinta ĮVA kaip įrodymų šaltinio pradiniame audito etape reikšmė, tai trianguliacijos požiūris pripažįsta, jog įrodymų iš VIT ir VVP sutapimas dar negarantuoja, kad VVP apima patikimus ĮVA pareiškimus (Bell, Peecher, Solomon, 2005, p. 28). </w:t>
      </w:r>
      <w:r w:rsidR="00B121C9" w:rsidRPr="005F44E6">
        <w:rPr>
          <w:sz w:val="26"/>
          <w:szCs w:val="26"/>
          <w:lang w:val="lt-LT"/>
        </w:rPr>
        <w:t xml:space="preserve">Taikant trianguliaciją galvojama apie tai, „kaip įrodymai iš vieno principinio šaltinio tuo pačiu teikia naują informaciją ir atsakymus ar kelia klausimus apie įrodymų iš kitų principinių šaltinių patikimumą“ (Bell, Peecher, Solomon, 2005, p. 65). </w:t>
      </w:r>
      <w:r w:rsidR="00B121C9" w:rsidRPr="005F44E6">
        <w:rPr>
          <w:color w:val="000000" w:themeColor="text1"/>
          <w:sz w:val="26"/>
          <w:szCs w:val="26"/>
          <w:lang w:val="lt-LT"/>
        </w:rPr>
        <w:t>Todėl pagrindinis šio požiūrio principas yra tas, kad įrodyma</w:t>
      </w:r>
      <w:r w:rsidR="00B121C9" w:rsidRPr="005F44E6">
        <w:rPr>
          <w:sz w:val="26"/>
          <w:szCs w:val="26"/>
          <w:lang w:val="lt-LT"/>
        </w:rPr>
        <w:t xml:space="preserve">i iš vieno principinio šaltinio </w:t>
      </w:r>
      <w:r w:rsidR="00B121C9" w:rsidRPr="005F44E6">
        <w:rPr>
          <w:i/>
          <w:sz w:val="26"/>
          <w:szCs w:val="26"/>
          <w:lang w:val="lt-LT"/>
        </w:rPr>
        <w:t xml:space="preserve">papildo, </w:t>
      </w:r>
      <w:r w:rsidR="00B121C9" w:rsidRPr="005F44E6">
        <w:rPr>
          <w:sz w:val="26"/>
          <w:szCs w:val="26"/>
          <w:lang w:val="lt-LT"/>
        </w:rPr>
        <w:t>o</w:t>
      </w:r>
      <w:r w:rsidR="00B121C9" w:rsidRPr="005F44E6">
        <w:rPr>
          <w:i/>
          <w:sz w:val="26"/>
          <w:szCs w:val="26"/>
          <w:lang w:val="lt-LT"/>
        </w:rPr>
        <w:t xml:space="preserve"> ne kompensuoja</w:t>
      </w:r>
      <w:r w:rsidR="00B121C9" w:rsidRPr="005F44E6">
        <w:rPr>
          <w:sz w:val="26"/>
          <w:szCs w:val="26"/>
          <w:lang w:val="lt-LT"/>
        </w:rPr>
        <w:t xml:space="preserve"> įrodymus, tiek surinktus iš kito šaltinio, tiek surinktus apie kitą šaltinį. Tai sustiprina bendrąjį įrodymų įtikinamumą, kuriuo auditorius remiasi darydamas audito sprendimus. </w:t>
      </w:r>
    </w:p>
    <w:p w:rsidR="00287182" w:rsidRPr="005F44E6" w:rsidRDefault="00B121C9" w:rsidP="007E77D4">
      <w:pPr>
        <w:tabs>
          <w:tab w:val="left" w:pos="709"/>
        </w:tabs>
        <w:spacing w:line="360" w:lineRule="auto"/>
        <w:jc w:val="both"/>
        <w:rPr>
          <w:sz w:val="26"/>
          <w:szCs w:val="26"/>
          <w:lang w:val="lt-LT"/>
        </w:rPr>
      </w:pPr>
      <w:r w:rsidRPr="005F44E6">
        <w:rPr>
          <w:color w:val="000000" w:themeColor="text1"/>
          <w:sz w:val="26"/>
          <w:szCs w:val="26"/>
          <w:lang w:val="lt-LT"/>
        </w:rPr>
        <w:tab/>
      </w:r>
      <w:r w:rsidR="00ED5FF5" w:rsidRPr="005F44E6">
        <w:rPr>
          <w:color w:val="000000" w:themeColor="text1"/>
          <w:sz w:val="26"/>
          <w:szCs w:val="26"/>
          <w:lang w:val="lt-LT"/>
        </w:rPr>
        <w:t>1</w:t>
      </w:r>
      <w:r w:rsidR="00F726AC" w:rsidRPr="005F44E6">
        <w:rPr>
          <w:color w:val="000000" w:themeColor="text1"/>
          <w:sz w:val="26"/>
          <w:szCs w:val="26"/>
          <w:lang w:val="lt-LT"/>
        </w:rPr>
        <w:t>4</w:t>
      </w:r>
      <w:r w:rsidR="00ED5FF5" w:rsidRPr="005F44E6">
        <w:rPr>
          <w:color w:val="000000" w:themeColor="text1"/>
          <w:sz w:val="26"/>
          <w:szCs w:val="26"/>
          <w:lang w:val="lt-LT"/>
        </w:rPr>
        <w:t xml:space="preserve"> pav</w:t>
      </w:r>
      <w:r w:rsidR="00F726AC" w:rsidRPr="005F44E6">
        <w:rPr>
          <w:color w:val="000000" w:themeColor="text1"/>
          <w:sz w:val="26"/>
          <w:szCs w:val="26"/>
          <w:lang w:val="lt-LT"/>
        </w:rPr>
        <w:t>.</w:t>
      </w:r>
      <w:r w:rsidR="00ED5FF5" w:rsidRPr="005F44E6">
        <w:rPr>
          <w:color w:val="000000" w:themeColor="text1"/>
          <w:sz w:val="26"/>
          <w:szCs w:val="26"/>
          <w:lang w:val="lt-LT"/>
        </w:rPr>
        <w:t xml:space="preserve"> </w:t>
      </w:r>
      <w:r w:rsidR="007E4990">
        <w:rPr>
          <w:color w:val="000000" w:themeColor="text1"/>
          <w:sz w:val="26"/>
          <w:szCs w:val="26"/>
          <w:lang w:val="lt-LT"/>
        </w:rPr>
        <w:t xml:space="preserve">A dalyje </w:t>
      </w:r>
      <w:r w:rsidR="00ED5FF5" w:rsidRPr="005F44E6">
        <w:rPr>
          <w:color w:val="000000" w:themeColor="text1"/>
          <w:sz w:val="26"/>
          <w:szCs w:val="26"/>
          <w:lang w:val="lt-LT"/>
        </w:rPr>
        <w:t>pavaizduot</w:t>
      </w:r>
      <w:r w:rsidR="00287182" w:rsidRPr="005F44E6">
        <w:rPr>
          <w:color w:val="000000" w:themeColor="text1"/>
          <w:sz w:val="26"/>
          <w:szCs w:val="26"/>
          <w:lang w:val="lt-LT"/>
        </w:rPr>
        <w:t>i</w:t>
      </w:r>
      <w:r w:rsidR="00ED5FF5" w:rsidRPr="005F44E6">
        <w:rPr>
          <w:color w:val="000000" w:themeColor="text1"/>
          <w:sz w:val="26"/>
          <w:szCs w:val="26"/>
          <w:lang w:val="lt-LT"/>
        </w:rPr>
        <w:t xml:space="preserve"> atskiros rizikos vertinimo procedūros, atliekamos audito metu, etapai</w:t>
      </w:r>
      <w:r w:rsidR="007E4990">
        <w:rPr>
          <w:color w:val="000000" w:themeColor="text1"/>
          <w:sz w:val="26"/>
          <w:szCs w:val="26"/>
          <w:lang w:val="lt-LT"/>
        </w:rPr>
        <w:t xml:space="preserve">. Šie etapai </w:t>
      </w:r>
      <w:r w:rsidR="00ED5FF5" w:rsidRPr="005F44E6">
        <w:rPr>
          <w:color w:val="000000" w:themeColor="text1"/>
          <w:sz w:val="26"/>
          <w:szCs w:val="26"/>
          <w:lang w:val="lt-LT"/>
        </w:rPr>
        <w:t xml:space="preserve">rodo, kad audito metu auditorius atlieka nuolatinį rizikos vertinimą, kurio metu nustatomi tikslai ir planuojamos procedūros, surenkami ir interpretuojami įrodymai, formuojami ir peržiūrimi įsitikinimai bei numatomi lūkesčiai, kurie panaudojami nustatyti ir vertinti rizikas. Kubas, </w:t>
      </w:r>
      <w:r w:rsidR="00F726AC" w:rsidRPr="005F44E6">
        <w:rPr>
          <w:color w:val="000000" w:themeColor="text1"/>
          <w:sz w:val="26"/>
          <w:szCs w:val="26"/>
          <w:lang w:val="lt-LT"/>
        </w:rPr>
        <w:t>14</w:t>
      </w:r>
      <w:r w:rsidR="00287182" w:rsidRPr="005F44E6">
        <w:rPr>
          <w:color w:val="000000" w:themeColor="text1"/>
          <w:sz w:val="26"/>
          <w:szCs w:val="26"/>
          <w:lang w:val="lt-LT"/>
        </w:rPr>
        <w:t xml:space="preserve"> </w:t>
      </w:r>
      <w:r w:rsidR="00ED5FF5" w:rsidRPr="005F44E6">
        <w:rPr>
          <w:color w:val="000000" w:themeColor="text1"/>
          <w:sz w:val="26"/>
          <w:szCs w:val="26"/>
          <w:lang w:val="lt-LT"/>
        </w:rPr>
        <w:t>pav</w:t>
      </w:r>
      <w:r w:rsidR="00287182" w:rsidRPr="005F44E6">
        <w:rPr>
          <w:color w:val="000000" w:themeColor="text1"/>
          <w:sz w:val="26"/>
          <w:szCs w:val="26"/>
          <w:lang w:val="lt-LT"/>
        </w:rPr>
        <w:t>.</w:t>
      </w:r>
      <w:r w:rsidR="00ED5FF5" w:rsidRPr="005F44E6">
        <w:rPr>
          <w:color w:val="000000" w:themeColor="text1"/>
          <w:sz w:val="26"/>
          <w:szCs w:val="26"/>
          <w:lang w:val="lt-LT"/>
        </w:rPr>
        <w:t xml:space="preserve"> </w:t>
      </w:r>
      <w:r w:rsidR="007E4990">
        <w:rPr>
          <w:color w:val="000000" w:themeColor="text1"/>
          <w:sz w:val="26"/>
          <w:szCs w:val="26"/>
          <w:lang w:val="lt-LT"/>
        </w:rPr>
        <w:t>B dalyje</w:t>
      </w:r>
      <w:r w:rsidR="00ED5FF5" w:rsidRPr="005F44E6">
        <w:rPr>
          <w:color w:val="000000" w:themeColor="text1"/>
          <w:sz w:val="26"/>
          <w:szCs w:val="26"/>
          <w:lang w:val="lt-LT"/>
        </w:rPr>
        <w:t xml:space="preserve">, parodo audito rizikos vertinimo sritį kaip devynis susijusius komponentus kiekvienam audito etapui. Kiekvienas iš šių komponentų atstovauja vieną iš trijų principinių įrodymų šaltinių (ĮVA, VIT, VVP) viename iš trijų pasireiškimo lygmenų (finansinių ataskaitų (F/A), ūkinių operacijų grupių ir sąskaitos likučių (O/L), </w:t>
      </w:r>
      <w:r w:rsidR="0025194A" w:rsidRPr="005F44E6">
        <w:rPr>
          <w:color w:val="000000" w:themeColor="text1"/>
          <w:sz w:val="26"/>
          <w:szCs w:val="26"/>
          <w:lang w:val="lt-LT"/>
        </w:rPr>
        <w:t>tvirtinimo</w:t>
      </w:r>
      <w:r w:rsidR="00ED5FF5" w:rsidRPr="005F44E6">
        <w:rPr>
          <w:color w:val="000000" w:themeColor="text1"/>
          <w:sz w:val="26"/>
          <w:szCs w:val="26"/>
          <w:lang w:val="lt-LT"/>
        </w:rPr>
        <w:t xml:space="preserve"> (TV)). </w:t>
      </w:r>
      <w:r w:rsidR="00FB4A79" w:rsidRPr="005F44E6">
        <w:rPr>
          <w:color w:val="000000" w:themeColor="text1"/>
          <w:sz w:val="26"/>
          <w:szCs w:val="26"/>
          <w:lang w:val="lt-LT"/>
        </w:rPr>
        <w:t>Tuo tarpu 1</w:t>
      </w:r>
      <w:r w:rsidR="008D1DE4" w:rsidRPr="005F44E6">
        <w:rPr>
          <w:color w:val="000000" w:themeColor="text1"/>
          <w:sz w:val="26"/>
          <w:szCs w:val="26"/>
          <w:lang w:val="lt-LT"/>
        </w:rPr>
        <w:t xml:space="preserve">4 </w:t>
      </w:r>
      <w:r w:rsidR="00FB4A79" w:rsidRPr="005F44E6">
        <w:rPr>
          <w:color w:val="000000" w:themeColor="text1"/>
          <w:sz w:val="26"/>
          <w:szCs w:val="26"/>
          <w:lang w:val="lt-LT"/>
        </w:rPr>
        <w:t>pav</w:t>
      </w:r>
      <w:r w:rsidR="008D1DE4" w:rsidRPr="005F44E6">
        <w:rPr>
          <w:color w:val="000000" w:themeColor="text1"/>
          <w:sz w:val="26"/>
          <w:szCs w:val="26"/>
          <w:lang w:val="lt-LT"/>
        </w:rPr>
        <w:t>.</w:t>
      </w:r>
      <w:r w:rsidR="00FB4A79" w:rsidRPr="005F44E6">
        <w:rPr>
          <w:color w:val="000000" w:themeColor="text1"/>
          <w:sz w:val="26"/>
          <w:szCs w:val="26"/>
          <w:lang w:val="lt-LT"/>
        </w:rPr>
        <w:t xml:space="preserve"> </w:t>
      </w:r>
      <w:r w:rsidR="007E4990">
        <w:rPr>
          <w:color w:val="000000" w:themeColor="text1"/>
          <w:sz w:val="26"/>
          <w:szCs w:val="26"/>
          <w:lang w:val="lt-LT"/>
        </w:rPr>
        <w:t xml:space="preserve">C dalyje </w:t>
      </w:r>
      <w:r w:rsidR="00FB4A79" w:rsidRPr="005F44E6">
        <w:rPr>
          <w:color w:val="000000" w:themeColor="text1"/>
          <w:sz w:val="26"/>
          <w:szCs w:val="26"/>
          <w:lang w:val="lt-LT"/>
        </w:rPr>
        <w:t xml:space="preserve">pavaizduota, kad auditorius svarsto rizikas dėl apgaulės ir dėl klaidos, rengdamas įrodymų </w:t>
      </w:r>
      <w:r w:rsidR="007E4990">
        <w:rPr>
          <w:color w:val="000000" w:themeColor="text1"/>
          <w:sz w:val="26"/>
          <w:szCs w:val="26"/>
          <w:lang w:val="lt-LT"/>
        </w:rPr>
        <w:t>surinkimo</w:t>
      </w:r>
      <w:r w:rsidR="00FB4A79" w:rsidRPr="005F44E6">
        <w:rPr>
          <w:color w:val="000000" w:themeColor="text1"/>
          <w:sz w:val="26"/>
          <w:szCs w:val="26"/>
          <w:lang w:val="lt-LT"/>
        </w:rPr>
        <w:t xml:space="preserve"> strategiją, nustatydamas tikslus ir planuodamas rizikos vertinimo procedūras, skirtas vertinti reikšmingo iškraipymo riziką (RMM) ir aptikimo riziką (DR) audito metu. </w:t>
      </w:r>
      <w:r w:rsidR="00287182" w:rsidRPr="005F44E6">
        <w:rPr>
          <w:color w:val="000000" w:themeColor="text1"/>
          <w:sz w:val="26"/>
          <w:szCs w:val="26"/>
          <w:lang w:val="lt-LT"/>
        </w:rPr>
        <w:t>Be to, k</w:t>
      </w:r>
      <w:r w:rsidR="00FB4A79" w:rsidRPr="005F44E6">
        <w:rPr>
          <w:color w:val="000000" w:themeColor="text1"/>
          <w:sz w:val="26"/>
          <w:szCs w:val="26"/>
          <w:lang w:val="lt-LT"/>
        </w:rPr>
        <w:t xml:space="preserve">iekviename audito etapo </w:t>
      </w:r>
      <w:r w:rsidR="00FB4A79" w:rsidRPr="005F44E6">
        <w:rPr>
          <w:color w:val="000000" w:themeColor="text1"/>
          <w:sz w:val="26"/>
          <w:szCs w:val="26"/>
          <w:lang w:val="lt-LT"/>
        </w:rPr>
        <w:lastRenderedPageBreak/>
        <w:t>komponente auditorius prima profesinį sprendimą vertindamas ir kontroliuodamas aptikimo riziką (DR), susijusią su pasirinktais tikslais, ir planuoja bei atlieka nuolatinį rizikos vertinimą. Veiksminga audito kokybės kontrolė reikalauja savalaikio įvertinimo, ar pakankam</w:t>
      </w:r>
      <w:r w:rsidR="00FB4A79" w:rsidRPr="005F44E6">
        <w:rPr>
          <w:sz w:val="26"/>
          <w:szCs w:val="26"/>
          <w:lang w:val="lt-LT"/>
        </w:rPr>
        <w:t xml:space="preserve">i ir tinkami audito įrodymai buvo surinkti apie kiekvieną audito etapo komponentą, ir tai palengvina auditoriui suformuoti pagrįstus įsitikinimus bei priimti tinkamus audito sprendimus. </w:t>
      </w:r>
    </w:p>
    <w:p w:rsidR="00FB4A79" w:rsidRPr="005F44E6" w:rsidRDefault="00287182" w:rsidP="00FB4A79">
      <w:pPr>
        <w:tabs>
          <w:tab w:val="left" w:pos="709"/>
        </w:tabs>
        <w:spacing w:line="360" w:lineRule="auto"/>
        <w:jc w:val="both"/>
        <w:rPr>
          <w:sz w:val="26"/>
          <w:szCs w:val="26"/>
          <w:lang w:val="lt-LT"/>
        </w:rPr>
      </w:pPr>
      <w:r w:rsidRPr="005F44E6">
        <w:rPr>
          <w:sz w:val="26"/>
          <w:szCs w:val="26"/>
          <w:lang w:val="lt-LT"/>
        </w:rPr>
        <w:tab/>
      </w:r>
      <w:r w:rsidR="00320EC2" w:rsidRPr="005F44E6">
        <w:rPr>
          <w:sz w:val="26"/>
          <w:szCs w:val="26"/>
          <w:u w:val="single"/>
          <w:lang w:val="lt-LT"/>
        </w:rPr>
        <w:t>Privalumai ir tr</w:t>
      </w:r>
      <w:r w:rsidR="007E4990">
        <w:rPr>
          <w:sz w:val="26"/>
          <w:szCs w:val="26"/>
          <w:u w:val="single"/>
          <w:lang w:val="lt-LT"/>
        </w:rPr>
        <w:t>ū</w:t>
      </w:r>
      <w:r w:rsidR="00320EC2" w:rsidRPr="005F44E6">
        <w:rPr>
          <w:sz w:val="26"/>
          <w:szCs w:val="26"/>
          <w:u w:val="single"/>
          <w:lang w:val="lt-LT"/>
        </w:rPr>
        <w:t>kumai</w:t>
      </w:r>
      <w:r w:rsidR="00320EC2" w:rsidRPr="005F44E6">
        <w:rPr>
          <w:sz w:val="26"/>
          <w:szCs w:val="26"/>
          <w:lang w:val="lt-LT"/>
        </w:rPr>
        <w:t>. G</w:t>
      </w:r>
      <w:r w:rsidR="00BE39C8" w:rsidRPr="005F44E6">
        <w:rPr>
          <w:sz w:val="26"/>
          <w:szCs w:val="26"/>
          <w:lang w:val="lt-LT"/>
        </w:rPr>
        <w:t xml:space="preserve">alima </w:t>
      </w:r>
      <w:r w:rsidR="00320EC2" w:rsidRPr="005F44E6">
        <w:rPr>
          <w:sz w:val="26"/>
          <w:szCs w:val="26"/>
          <w:lang w:val="lt-LT"/>
        </w:rPr>
        <w:t>teigti</w:t>
      </w:r>
      <w:r w:rsidR="00BE39C8" w:rsidRPr="005F44E6">
        <w:rPr>
          <w:sz w:val="26"/>
          <w:szCs w:val="26"/>
          <w:lang w:val="lt-LT"/>
        </w:rPr>
        <w:t xml:space="preserve">, kad </w:t>
      </w:r>
      <w:r w:rsidR="00FB4A79" w:rsidRPr="005F44E6">
        <w:rPr>
          <w:sz w:val="26"/>
          <w:szCs w:val="26"/>
          <w:lang w:val="lt-LT"/>
        </w:rPr>
        <w:t xml:space="preserve">remdamasis trianguliacijos požiūriu, auditorius susistemina įrodymus surinktus nuolatinio rizikos vertinimo metu, apsvarsto ar pakankami ir tinkami audito įrodymai buvo </w:t>
      </w:r>
      <w:r w:rsidR="00F974D5">
        <w:rPr>
          <w:sz w:val="26"/>
          <w:szCs w:val="26"/>
          <w:lang w:val="lt-LT"/>
        </w:rPr>
        <w:t>surinkti</w:t>
      </w:r>
      <w:r w:rsidR="00FB4A79" w:rsidRPr="005F44E6">
        <w:rPr>
          <w:sz w:val="26"/>
          <w:szCs w:val="26"/>
          <w:lang w:val="lt-LT"/>
        </w:rPr>
        <w:t xml:space="preserve"> kiekvienu audito etapu iš visų princip</w:t>
      </w:r>
      <w:r w:rsidR="00EA620C" w:rsidRPr="005F44E6">
        <w:rPr>
          <w:sz w:val="26"/>
          <w:szCs w:val="26"/>
          <w:lang w:val="lt-LT"/>
        </w:rPr>
        <w:t>ini</w:t>
      </w:r>
      <w:r w:rsidR="00FB4A79" w:rsidRPr="005F44E6">
        <w:rPr>
          <w:sz w:val="26"/>
          <w:szCs w:val="26"/>
          <w:lang w:val="lt-LT"/>
        </w:rPr>
        <w:t>ų įrodymų šaltinių ir atitinkamu pasireiškimo lygmeniu, kad būtų galima vertinti ir atsakyti į visas svarbias audito rizikas</w:t>
      </w:r>
      <w:r w:rsidR="00186A71" w:rsidRPr="005F44E6">
        <w:rPr>
          <w:sz w:val="26"/>
          <w:szCs w:val="26"/>
          <w:lang w:val="lt-LT"/>
        </w:rPr>
        <w:t xml:space="preserve"> (</w:t>
      </w:r>
      <w:r w:rsidR="00186A71" w:rsidRPr="005F44E6">
        <w:rPr>
          <w:i/>
          <w:sz w:val="26"/>
          <w:szCs w:val="26"/>
          <w:lang w:val="lt-LT"/>
        </w:rPr>
        <w:t>sprendžiama agregacijos problema</w:t>
      </w:r>
      <w:r w:rsidR="00186A71" w:rsidRPr="005F44E6">
        <w:rPr>
          <w:sz w:val="26"/>
          <w:szCs w:val="26"/>
          <w:lang w:val="lt-LT"/>
        </w:rPr>
        <w:t>)</w:t>
      </w:r>
      <w:r w:rsidR="00FB4A79" w:rsidRPr="005F44E6">
        <w:rPr>
          <w:sz w:val="26"/>
          <w:szCs w:val="26"/>
          <w:lang w:val="lt-LT"/>
        </w:rPr>
        <w:t>, ir nusprendžia ar suformuoti įsitikinimai dėl galutinio rizikos vertinimo yra pagrįsti.</w:t>
      </w:r>
      <w:r w:rsidR="00E478DF" w:rsidRPr="005F44E6">
        <w:rPr>
          <w:sz w:val="26"/>
          <w:szCs w:val="26"/>
          <w:lang w:val="lt-LT"/>
        </w:rPr>
        <w:t xml:space="preserve"> Be to, t</w:t>
      </w:r>
      <w:r w:rsidR="00FB4A79" w:rsidRPr="005F44E6">
        <w:rPr>
          <w:sz w:val="26"/>
          <w:szCs w:val="26"/>
          <w:lang w:val="lt-LT"/>
        </w:rPr>
        <w:t xml:space="preserve">rianguliacijos požiūris, anot T. B. Bell, M. E. Peecher, I Solomon (2005), leidžia pagerinti audito kokybę dviem būdais: 1) surinktų ĮVA, VIT ir VVP įrodymų palyginimai </w:t>
      </w:r>
      <w:r w:rsidR="00FB4A79" w:rsidRPr="005F44E6">
        <w:rPr>
          <w:i/>
          <w:sz w:val="26"/>
          <w:szCs w:val="26"/>
          <w:lang w:val="lt-LT"/>
        </w:rPr>
        <w:t xml:space="preserve">padeda auditoriui </w:t>
      </w:r>
      <w:r w:rsidR="00F974D5">
        <w:rPr>
          <w:i/>
          <w:sz w:val="26"/>
          <w:szCs w:val="26"/>
          <w:lang w:val="lt-LT"/>
        </w:rPr>
        <w:t>mažinti</w:t>
      </w:r>
      <w:r w:rsidR="00FB4A79" w:rsidRPr="005F44E6">
        <w:rPr>
          <w:i/>
          <w:sz w:val="26"/>
          <w:szCs w:val="26"/>
          <w:lang w:val="lt-LT"/>
        </w:rPr>
        <w:t xml:space="preserve"> netyčinių finansinių ataskaitų iškraipymų rizikas</w:t>
      </w:r>
      <w:r w:rsidR="00FB4A79" w:rsidRPr="005F44E6">
        <w:rPr>
          <w:sz w:val="26"/>
          <w:szCs w:val="26"/>
          <w:lang w:val="lt-LT"/>
        </w:rPr>
        <w:t xml:space="preserve">. VIT paremti įrodymai tampa dar informatyvesniais, jei formuojami ĮVA ir VVP paremtais įrodymais ir jei jų analizė yra nulemta ĮVA ir VVP paremtais įrodymais; 2) </w:t>
      </w:r>
      <w:r w:rsidR="00FB4A79" w:rsidRPr="005F44E6">
        <w:rPr>
          <w:i/>
          <w:sz w:val="26"/>
          <w:szCs w:val="26"/>
          <w:lang w:val="lt-LT"/>
        </w:rPr>
        <w:t>padeda auditoriui kovoti su tyčiniu iškraipymu</w:t>
      </w:r>
      <w:r w:rsidR="00FB4A79" w:rsidRPr="005F44E6">
        <w:rPr>
          <w:sz w:val="26"/>
          <w:szCs w:val="26"/>
          <w:lang w:val="lt-LT"/>
        </w:rPr>
        <w:t>. Auditorius, taikantis trianguliaciją, surinks įrodymus apie ir iš ĮVA, o įmonės vadovybei tam tikrus šiuos įrodymus yra daug sunkiau suklastoti nei įrodymus apie ir iš VIT ir VVP. Be to, jei įmonės vadovybė žino, kad auditoriai renka įrodymus iš ĮVA, ji gali būti mažiau linkusi į apgaulę.</w:t>
      </w:r>
    </w:p>
    <w:p w:rsidR="00532538" w:rsidRDefault="00532538" w:rsidP="00532538">
      <w:pPr>
        <w:spacing w:line="360" w:lineRule="auto"/>
        <w:ind w:firstLine="720"/>
        <w:jc w:val="both"/>
        <w:rPr>
          <w:sz w:val="26"/>
          <w:szCs w:val="26"/>
          <w:lang w:val="lt-LT"/>
        </w:rPr>
      </w:pPr>
      <w:r>
        <w:rPr>
          <w:sz w:val="26"/>
          <w:szCs w:val="26"/>
          <w:lang w:val="lt-LT"/>
        </w:rPr>
        <w:t>K</w:t>
      </w:r>
      <w:r w:rsidR="001B4B57" w:rsidRPr="005F44E6">
        <w:rPr>
          <w:sz w:val="26"/>
          <w:szCs w:val="26"/>
          <w:lang w:val="lt-LT"/>
        </w:rPr>
        <w:t xml:space="preserve">ritinė mokslo darbuose siūlomų </w:t>
      </w:r>
      <w:r w:rsidR="00745B38" w:rsidRPr="005F44E6">
        <w:rPr>
          <w:sz w:val="26"/>
          <w:szCs w:val="26"/>
          <w:lang w:val="lt-LT"/>
        </w:rPr>
        <w:t>a</w:t>
      </w:r>
      <w:r w:rsidR="002E76AB" w:rsidRPr="005F44E6">
        <w:rPr>
          <w:sz w:val="26"/>
          <w:szCs w:val="26"/>
          <w:lang w:val="lt-LT"/>
        </w:rPr>
        <w:t xml:space="preserve">udito rizikos modelių </w:t>
      </w:r>
      <w:r w:rsidR="00286C5C" w:rsidRPr="005F44E6">
        <w:rPr>
          <w:sz w:val="26"/>
          <w:szCs w:val="26"/>
          <w:lang w:val="lt-LT"/>
        </w:rPr>
        <w:t>(klasikin</w:t>
      </w:r>
      <w:r w:rsidR="002E76AB" w:rsidRPr="005F44E6">
        <w:rPr>
          <w:sz w:val="26"/>
          <w:szCs w:val="26"/>
          <w:lang w:val="lt-LT"/>
        </w:rPr>
        <w:t>io</w:t>
      </w:r>
      <w:r w:rsidR="00286C5C" w:rsidRPr="005F44E6">
        <w:rPr>
          <w:sz w:val="26"/>
          <w:szCs w:val="26"/>
          <w:lang w:val="lt-LT"/>
        </w:rPr>
        <w:t>, praplėst</w:t>
      </w:r>
      <w:r w:rsidR="002E76AB" w:rsidRPr="005F44E6">
        <w:rPr>
          <w:sz w:val="26"/>
          <w:szCs w:val="26"/>
          <w:lang w:val="lt-LT"/>
        </w:rPr>
        <w:t>o</w:t>
      </w:r>
      <w:r w:rsidR="00286C5C" w:rsidRPr="005F44E6">
        <w:rPr>
          <w:sz w:val="26"/>
          <w:szCs w:val="26"/>
          <w:lang w:val="lt-LT"/>
        </w:rPr>
        <w:t xml:space="preserve">, </w:t>
      </w:r>
      <w:r w:rsidR="000621EF" w:rsidRPr="005F44E6">
        <w:rPr>
          <w:sz w:val="26"/>
          <w:szCs w:val="26"/>
          <w:lang w:val="lt-LT"/>
        </w:rPr>
        <w:t>W. R. Kinney (1989)</w:t>
      </w:r>
      <w:r w:rsidR="00315752" w:rsidRPr="005F44E6">
        <w:rPr>
          <w:sz w:val="26"/>
          <w:szCs w:val="26"/>
          <w:lang w:val="lt-LT"/>
        </w:rPr>
        <w:t>,</w:t>
      </w:r>
      <w:r w:rsidR="000621EF" w:rsidRPr="005F44E6">
        <w:rPr>
          <w:sz w:val="26"/>
          <w:szCs w:val="26"/>
          <w:lang w:val="lt-LT"/>
        </w:rPr>
        <w:t xml:space="preserve"> S. J. Aldersley (1989)</w:t>
      </w:r>
      <w:r w:rsidR="00315752" w:rsidRPr="005F44E6">
        <w:rPr>
          <w:sz w:val="26"/>
          <w:szCs w:val="26"/>
          <w:lang w:val="lt-LT"/>
        </w:rPr>
        <w:t>,</w:t>
      </w:r>
      <w:r w:rsidR="000621EF" w:rsidRPr="005F44E6">
        <w:rPr>
          <w:sz w:val="26"/>
          <w:szCs w:val="26"/>
          <w:lang w:val="lt-LT"/>
        </w:rPr>
        <w:t xml:space="preserve"> J.</w:t>
      </w:r>
      <w:r w:rsidR="005F44E6">
        <w:rPr>
          <w:sz w:val="26"/>
          <w:szCs w:val="26"/>
          <w:lang w:val="lt-LT"/>
        </w:rPr>
        <w:t> </w:t>
      </w:r>
      <w:r w:rsidR="000621EF" w:rsidRPr="005F44E6">
        <w:rPr>
          <w:sz w:val="26"/>
          <w:szCs w:val="26"/>
          <w:lang w:val="lt-LT"/>
        </w:rPr>
        <w:t>T.</w:t>
      </w:r>
      <w:r w:rsidR="005F44E6">
        <w:rPr>
          <w:sz w:val="26"/>
          <w:szCs w:val="26"/>
          <w:lang w:val="lt-LT"/>
        </w:rPr>
        <w:t> </w:t>
      </w:r>
      <w:r w:rsidR="000621EF" w:rsidRPr="005F44E6">
        <w:rPr>
          <w:sz w:val="26"/>
          <w:szCs w:val="26"/>
          <w:lang w:val="lt-LT"/>
        </w:rPr>
        <w:t>Sennetti (1990)</w:t>
      </w:r>
      <w:r w:rsidR="00315752" w:rsidRPr="005F44E6">
        <w:rPr>
          <w:sz w:val="26"/>
          <w:szCs w:val="26"/>
          <w:lang w:val="lt-LT"/>
        </w:rPr>
        <w:t>,</w:t>
      </w:r>
      <w:r w:rsidR="00286C5C" w:rsidRPr="005F44E6">
        <w:rPr>
          <w:sz w:val="26"/>
          <w:szCs w:val="26"/>
          <w:lang w:val="lt-LT"/>
        </w:rPr>
        <w:t xml:space="preserve"> </w:t>
      </w:r>
      <w:r w:rsidR="00315752" w:rsidRPr="005F44E6">
        <w:rPr>
          <w:color w:val="000000" w:themeColor="text1"/>
          <w:sz w:val="26"/>
          <w:szCs w:val="26"/>
          <w:lang w:val="lt-LT"/>
        </w:rPr>
        <w:t xml:space="preserve">R. P. Srivastava, G. R. Shafer (1992), </w:t>
      </w:r>
      <w:r w:rsidR="00315752" w:rsidRPr="005F44E6">
        <w:rPr>
          <w:sz w:val="26"/>
          <w:szCs w:val="26"/>
          <w:lang w:val="lt-LT"/>
        </w:rPr>
        <w:t xml:space="preserve">ABREMA (1995), </w:t>
      </w:r>
      <w:r w:rsidR="00286C5C" w:rsidRPr="005F44E6">
        <w:rPr>
          <w:sz w:val="26"/>
          <w:szCs w:val="26"/>
          <w:lang w:val="lt-LT"/>
        </w:rPr>
        <w:t>V.</w:t>
      </w:r>
      <w:r w:rsidR="00286C5C" w:rsidRPr="005F44E6">
        <w:rPr>
          <w:b/>
          <w:sz w:val="26"/>
          <w:szCs w:val="26"/>
          <w:lang w:val="lt-LT"/>
        </w:rPr>
        <w:t xml:space="preserve"> </w:t>
      </w:r>
      <w:r w:rsidR="00286C5C" w:rsidRPr="005F44E6">
        <w:rPr>
          <w:sz w:val="26"/>
          <w:szCs w:val="26"/>
          <w:lang w:val="lt-LT"/>
        </w:rPr>
        <w:t>Beatie, S.</w:t>
      </w:r>
      <w:r w:rsidR="00305F53">
        <w:rPr>
          <w:sz w:val="26"/>
          <w:szCs w:val="26"/>
          <w:lang w:val="lt-LT"/>
        </w:rPr>
        <w:t> </w:t>
      </w:r>
      <w:r w:rsidR="00286C5C" w:rsidRPr="005F44E6">
        <w:rPr>
          <w:sz w:val="26"/>
          <w:szCs w:val="26"/>
          <w:lang w:val="lt-LT"/>
        </w:rPr>
        <w:t>Fearnley, R. Brandt</w:t>
      </w:r>
      <w:r w:rsidR="000621EF" w:rsidRPr="005F44E6">
        <w:rPr>
          <w:sz w:val="26"/>
          <w:szCs w:val="26"/>
          <w:lang w:val="lt-LT"/>
        </w:rPr>
        <w:t xml:space="preserve"> (2002)</w:t>
      </w:r>
      <w:r w:rsidR="002402F1" w:rsidRPr="005F44E6">
        <w:rPr>
          <w:sz w:val="26"/>
          <w:szCs w:val="26"/>
          <w:lang w:val="lt-LT"/>
        </w:rPr>
        <w:t>,</w:t>
      </w:r>
      <w:r w:rsidR="000621EF" w:rsidRPr="005F44E6">
        <w:rPr>
          <w:sz w:val="26"/>
          <w:szCs w:val="26"/>
          <w:lang w:val="lt-LT"/>
        </w:rPr>
        <w:t xml:space="preserve"> J. L. Turner, T. J. Mock, R.</w:t>
      </w:r>
      <w:r w:rsidR="005F44E6">
        <w:rPr>
          <w:sz w:val="26"/>
          <w:szCs w:val="26"/>
          <w:lang w:val="lt-LT"/>
        </w:rPr>
        <w:t> </w:t>
      </w:r>
      <w:r w:rsidR="000621EF" w:rsidRPr="005F44E6">
        <w:rPr>
          <w:sz w:val="26"/>
          <w:szCs w:val="26"/>
          <w:lang w:val="lt-LT"/>
        </w:rPr>
        <w:t>P.</w:t>
      </w:r>
      <w:r w:rsidR="005F44E6">
        <w:rPr>
          <w:sz w:val="26"/>
          <w:szCs w:val="26"/>
          <w:lang w:val="lt-LT"/>
        </w:rPr>
        <w:t> </w:t>
      </w:r>
      <w:r w:rsidR="000621EF" w:rsidRPr="005F44E6">
        <w:rPr>
          <w:sz w:val="26"/>
          <w:szCs w:val="26"/>
          <w:lang w:val="lt-LT"/>
        </w:rPr>
        <w:t>Srivastava (2003)</w:t>
      </w:r>
      <w:r w:rsidR="002402F1" w:rsidRPr="005F44E6">
        <w:rPr>
          <w:sz w:val="26"/>
          <w:szCs w:val="26"/>
          <w:lang w:val="lt-LT"/>
        </w:rPr>
        <w:t xml:space="preserve"> ir T. B. Bell, M. E. Peecher, I. Solomon (2005)</w:t>
      </w:r>
      <w:r w:rsidR="00315752" w:rsidRPr="005F44E6">
        <w:rPr>
          <w:sz w:val="26"/>
          <w:szCs w:val="26"/>
          <w:lang w:val="lt-LT"/>
        </w:rPr>
        <w:t>)</w:t>
      </w:r>
      <w:r w:rsidR="00286C5C" w:rsidRPr="005F44E6">
        <w:rPr>
          <w:sz w:val="26"/>
          <w:szCs w:val="26"/>
          <w:lang w:val="lt-LT"/>
        </w:rPr>
        <w:t xml:space="preserve"> </w:t>
      </w:r>
      <w:r w:rsidR="00745B38" w:rsidRPr="005F44E6">
        <w:rPr>
          <w:sz w:val="26"/>
          <w:szCs w:val="26"/>
          <w:lang w:val="lt-LT"/>
        </w:rPr>
        <w:t xml:space="preserve">lyginamoji </w:t>
      </w:r>
      <w:r w:rsidR="002E76AB" w:rsidRPr="005F44E6">
        <w:rPr>
          <w:sz w:val="26"/>
          <w:szCs w:val="26"/>
          <w:lang w:val="lt-LT"/>
        </w:rPr>
        <w:t>analiz</w:t>
      </w:r>
      <w:r w:rsidR="00745B38" w:rsidRPr="005F44E6">
        <w:rPr>
          <w:sz w:val="26"/>
          <w:szCs w:val="26"/>
          <w:lang w:val="lt-LT"/>
        </w:rPr>
        <w:t>ė</w:t>
      </w:r>
      <w:r w:rsidR="002E76AB" w:rsidRPr="005F44E6">
        <w:rPr>
          <w:sz w:val="26"/>
          <w:szCs w:val="26"/>
          <w:lang w:val="lt-LT"/>
        </w:rPr>
        <w:t xml:space="preserve"> </w:t>
      </w:r>
      <w:r w:rsidR="00745B38" w:rsidRPr="005F44E6">
        <w:rPr>
          <w:sz w:val="26"/>
          <w:szCs w:val="26"/>
          <w:lang w:val="lt-LT"/>
        </w:rPr>
        <w:t xml:space="preserve">leido </w:t>
      </w:r>
      <w:r w:rsidR="002E76AB" w:rsidRPr="005F44E6">
        <w:rPr>
          <w:sz w:val="26"/>
          <w:szCs w:val="26"/>
          <w:lang w:val="lt-LT"/>
        </w:rPr>
        <w:t xml:space="preserve">išskirti </w:t>
      </w:r>
      <w:r w:rsidR="00745B38" w:rsidRPr="005F44E6">
        <w:rPr>
          <w:sz w:val="26"/>
          <w:szCs w:val="26"/>
          <w:lang w:val="lt-LT"/>
        </w:rPr>
        <w:t>jiems būdingus bruožus pagal šių modelių išraiškos, komponentų sampratos ir panaudojimo audite kriterijus (žr.</w:t>
      </w:r>
      <w:r w:rsidR="005F44E6">
        <w:rPr>
          <w:sz w:val="26"/>
          <w:szCs w:val="26"/>
          <w:lang w:val="lt-LT"/>
        </w:rPr>
        <w:t> </w:t>
      </w:r>
      <w:r>
        <w:rPr>
          <w:sz w:val="26"/>
          <w:szCs w:val="26"/>
          <w:lang w:val="lt-LT"/>
        </w:rPr>
        <w:t>1</w:t>
      </w:r>
      <w:r w:rsidR="00745B38" w:rsidRPr="005F44E6">
        <w:rPr>
          <w:sz w:val="26"/>
          <w:szCs w:val="26"/>
          <w:lang w:val="lt-LT"/>
        </w:rPr>
        <w:t>7</w:t>
      </w:r>
      <w:r w:rsidR="005F44E6">
        <w:rPr>
          <w:sz w:val="26"/>
          <w:szCs w:val="26"/>
          <w:lang w:val="lt-LT"/>
        </w:rPr>
        <w:t> </w:t>
      </w:r>
      <w:r>
        <w:rPr>
          <w:sz w:val="26"/>
          <w:szCs w:val="26"/>
          <w:lang w:val="lt-LT"/>
        </w:rPr>
        <w:t>lentelė</w:t>
      </w:r>
      <w:r w:rsidR="00745B38" w:rsidRPr="005F44E6">
        <w:rPr>
          <w:sz w:val="26"/>
          <w:szCs w:val="26"/>
          <w:lang w:val="lt-LT"/>
        </w:rPr>
        <w:t xml:space="preserve">). </w:t>
      </w:r>
      <w:r>
        <w:rPr>
          <w:sz w:val="26"/>
          <w:szCs w:val="26"/>
          <w:lang w:val="lt-LT"/>
        </w:rPr>
        <w:br w:type="page"/>
      </w:r>
    </w:p>
    <w:p w:rsidR="00532538" w:rsidRDefault="00532538" w:rsidP="00532538">
      <w:pPr>
        <w:jc w:val="center"/>
        <w:rPr>
          <w:b/>
          <w:caps/>
          <w:sz w:val="24"/>
          <w:lang w:val="lt-LT"/>
        </w:rPr>
        <w:sectPr w:rsidR="00532538" w:rsidSect="004D51F0">
          <w:footerReference w:type="even" r:id="rId13"/>
          <w:footerReference w:type="default" r:id="rId14"/>
          <w:pgSz w:w="11906" w:h="16838" w:code="9"/>
          <w:pgMar w:top="1474" w:right="1814" w:bottom="1474" w:left="1814" w:header="1134" w:footer="1134" w:gutter="0"/>
          <w:cols w:space="1296"/>
          <w:titlePg/>
        </w:sectPr>
      </w:pPr>
    </w:p>
    <w:p w:rsidR="00532538" w:rsidRPr="004511D2" w:rsidRDefault="004511D2" w:rsidP="004511D2">
      <w:pPr>
        <w:tabs>
          <w:tab w:val="left" w:pos="567"/>
        </w:tabs>
        <w:spacing w:line="220" w:lineRule="atLeast"/>
        <w:rPr>
          <w:i/>
          <w:color w:val="000000" w:themeColor="text1"/>
          <w:sz w:val="26"/>
          <w:szCs w:val="26"/>
          <w:lang w:val="lt-LT"/>
        </w:rPr>
      </w:pPr>
      <w:r>
        <w:rPr>
          <w:b/>
          <w:sz w:val="26"/>
          <w:szCs w:val="26"/>
          <w:lang w:val="lt-LT"/>
        </w:rPr>
        <w:lastRenderedPageBreak/>
        <w:tab/>
      </w:r>
      <w:r>
        <w:rPr>
          <w:b/>
          <w:sz w:val="26"/>
          <w:szCs w:val="26"/>
          <w:lang w:val="lt-LT"/>
        </w:rPr>
        <w:tab/>
      </w:r>
      <w:r>
        <w:rPr>
          <w:b/>
          <w:sz w:val="26"/>
          <w:szCs w:val="26"/>
          <w:lang w:val="lt-LT"/>
        </w:rPr>
        <w:tab/>
      </w:r>
      <w:r>
        <w:rPr>
          <w:b/>
          <w:sz w:val="26"/>
          <w:szCs w:val="26"/>
          <w:lang w:val="lt-LT"/>
        </w:rPr>
        <w:tab/>
      </w:r>
      <w:r>
        <w:rPr>
          <w:b/>
          <w:sz w:val="26"/>
          <w:szCs w:val="26"/>
          <w:lang w:val="lt-LT"/>
        </w:rPr>
        <w:tab/>
      </w:r>
      <w:r>
        <w:rPr>
          <w:b/>
          <w:sz w:val="26"/>
          <w:szCs w:val="26"/>
          <w:lang w:val="lt-LT"/>
        </w:rPr>
        <w:tab/>
      </w:r>
      <w:r>
        <w:rPr>
          <w:b/>
          <w:sz w:val="26"/>
          <w:szCs w:val="26"/>
          <w:lang w:val="lt-LT"/>
        </w:rPr>
        <w:tab/>
      </w:r>
      <w:r>
        <w:rPr>
          <w:b/>
          <w:sz w:val="26"/>
          <w:szCs w:val="26"/>
          <w:lang w:val="lt-LT"/>
        </w:rPr>
        <w:tab/>
      </w:r>
      <w:r w:rsidR="00532538" w:rsidRPr="004511D2">
        <w:rPr>
          <w:b/>
          <w:sz w:val="26"/>
          <w:szCs w:val="26"/>
          <w:lang w:val="lt-LT"/>
        </w:rPr>
        <w:t>Audito rizikos modelių palyginimas</w:t>
      </w:r>
      <w:r>
        <w:rPr>
          <w:b/>
          <w:sz w:val="26"/>
          <w:szCs w:val="26"/>
          <w:lang w:val="lt-LT"/>
        </w:rPr>
        <w:tab/>
      </w:r>
      <w:r>
        <w:rPr>
          <w:b/>
          <w:sz w:val="26"/>
          <w:szCs w:val="26"/>
          <w:lang w:val="lt-LT"/>
        </w:rPr>
        <w:tab/>
      </w:r>
      <w:r>
        <w:rPr>
          <w:b/>
          <w:sz w:val="26"/>
          <w:szCs w:val="26"/>
          <w:lang w:val="lt-LT"/>
        </w:rPr>
        <w:tab/>
      </w:r>
      <w:r>
        <w:rPr>
          <w:b/>
          <w:sz w:val="26"/>
          <w:szCs w:val="26"/>
          <w:lang w:val="lt-LT"/>
        </w:rPr>
        <w:tab/>
      </w:r>
      <w:r>
        <w:rPr>
          <w:b/>
          <w:sz w:val="26"/>
          <w:szCs w:val="26"/>
          <w:lang w:val="lt-LT"/>
        </w:rPr>
        <w:tab/>
        <w:t xml:space="preserve">         </w:t>
      </w:r>
      <w:r w:rsidRPr="005F44E6">
        <w:rPr>
          <w:i/>
          <w:sz w:val="26"/>
          <w:szCs w:val="26"/>
          <w:lang w:val="lt-LT"/>
        </w:rPr>
        <w:t>17</w:t>
      </w:r>
      <w:r w:rsidRPr="005F44E6">
        <w:rPr>
          <w:i/>
          <w:color w:val="000000" w:themeColor="text1"/>
          <w:sz w:val="26"/>
          <w:szCs w:val="26"/>
          <w:lang w:val="lt-LT"/>
        </w:rPr>
        <w:t xml:space="preserve"> lentelė</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905"/>
        <w:gridCol w:w="708"/>
        <w:gridCol w:w="709"/>
        <w:gridCol w:w="851"/>
        <w:gridCol w:w="708"/>
        <w:gridCol w:w="851"/>
        <w:gridCol w:w="709"/>
        <w:gridCol w:w="850"/>
        <w:gridCol w:w="709"/>
      </w:tblGrid>
      <w:tr w:rsidR="00532538" w:rsidRPr="00532538" w:rsidTr="004511D2">
        <w:tc>
          <w:tcPr>
            <w:tcW w:w="7905" w:type="dxa"/>
            <w:vMerge w:val="restart"/>
            <w:vAlign w:val="center"/>
          </w:tcPr>
          <w:p w:rsidR="00532538" w:rsidRPr="00532538" w:rsidRDefault="00532538" w:rsidP="00532538">
            <w:pPr>
              <w:jc w:val="center"/>
              <w:rPr>
                <w:b/>
                <w:sz w:val="22"/>
                <w:szCs w:val="22"/>
                <w:lang w:val="lt-LT"/>
              </w:rPr>
            </w:pPr>
            <w:r w:rsidRPr="00532538">
              <w:rPr>
                <w:b/>
                <w:sz w:val="22"/>
                <w:szCs w:val="22"/>
                <w:lang w:val="lt-LT"/>
              </w:rPr>
              <w:t>Požymis</w:t>
            </w:r>
          </w:p>
        </w:tc>
        <w:tc>
          <w:tcPr>
            <w:tcW w:w="6095" w:type="dxa"/>
            <w:gridSpan w:val="8"/>
          </w:tcPr>
          <w:p w:rsidR="00532538" w:rsidRPr="00532538" w:rsidRDefault="00532538" w:rsidP="00532538">
            <w:pPr>
              <w:jc w:val="center"/>
              <w:rPr>
                <w:b/>
                <w:sz w:val="22"/>
                <w:szCs w:val="22"/>
                <w:lang w:val="lt-LT"/>
              </w:rPr>
            </w:pPr>
            <w:r w:rsidRPr="00532538">
              <w:rPr>
                <w:b/>
                <w:sz w:val="22"/>
                <w:szCs w:val="22"/>
                <w:lang w:val="lt-LT"/>
              </w:rPr>
              <w:t>Audito rizikos modelis</w:t>
            </w:r>
          </w:p>
        </w:tc>
      </w:tr>
      <w:tr w:rsidR="00532538" w:rsidRPr="00532538" w:rsidTr="00472805">
        <w:trPr>
          <w:cantSplit/>
          <w:trHeight w:val="1702"/>
        </w:trPr>
        <w:tc>
          <w:tcPr>
            <w:tcW w:w="7905" w:type="dxa"/>
            <w:vMerge/>
          </w:tcPr>
          <w:p w:rsidR="00532538" w:rsidRPr="00532538" w:rsidRDefault="00532538" w:rsidP="00532538">
            <w:pPr>
              <w:rPr>
                <w:b/>
                <w:sz w:val="22"/>
                <w:szCs w:val="22"/>
                <w:lang w:val="lt-LT"/>
              </w:rPr>
            </w:pPr>
          </w:p>
        </w:tc>
        <w:tc>
          <w:tcPr>
            <w:tcW w:w="708" w:type="dxa"/>
            <w:textDirection w:val="btLr"/>
          </w:tcPr>
          <w:p w:rsidR="00532538" w:rsidRPr="00472805" w:rsidRDefault="00532538" w:rsidP="00532538">
            <w:pPr>
              <w:ind w:left="113" w:right="113"/>
              <w:rPr>
                <w:b/>
                <w:lang w:val="lt-LT"/>
              </w:rPr>
            </w:pPr>
            <w:r w:rsidRPr="00472805">
              <w:rPr>
                <w:b/>
                <w:lang w:val="lt-LT"/>
              </w:rPr>
              <w:t>Klasikinis (1983)</w:t>
            </w:r>
          </w:p>
        </w:tc>
        <w:tc>
          <w:tcPr>
            <w:tcW w:w="709" w:type="dxa"/>
            <w:textDirection w:val="btLr"/>
          </w:tcPr>
          <w:p w:rsidR="00532538" w:rsidRPr="00472805" w:rsidRDefault="00532538" w:rsidP="00532538">
            <w:pPr>
              <w:ind w:left="113" w:right="113"/>
              <w:rPr>
                <w:b/>
                <w:lang w:val="lt-LT"/>
              </w:rPr>
            </w:pPr>
            <w:r w:rsidRPr="00472805">
              <w:rPr>
                <w:b/>
                <w:lang w:val="lt-LT"/>
              </w:rPr>
              <w:t>Praplėstas</w:t>
            </w:r>
          </w:p>
          <w:p w:rsidR="00532538" w:rsidRPr="00472805" w:rsidRDefault="00532538" w:rsidP="00532538">
            <w:pPr>
              <w:ind w:left="113" w:right="113"/>
              <w:rPr>
                <w:b/>
                <w:lang w:val="lt-LT"/>
              </w:rPr>
            </w:pPr>
            <w:r w:rsidRPr="00472805">
              <w:rPr>
                <w:b/>
                <w:lang w:val="lt-LT"/>
              </w:rPr>
              <w:t xml:space="preserve">(1983) </w:t>
            </w:r>
          </w:p>
        </w:tc>
        <w:tc>
          <w:tcPr>
            <w:tcW w:w="851" w:type="dxa"/>
            <w:textDirection w:val="btLr"/>
          </w:tcPr>
          <w:p w:rsidR="00532538" w:rsidRPr="00472805" w:rsidRDefault="00532538" w:rsidP="00532538">
            <w:pPr>
              <w:ind w:left="113" w:right="113"/>
              <w:rPr>
                <w:b/>
                <w:lang w:val="lt-LT"/>
              </w:rPr>
            </w:pPr>
            <w:r w:rsidRPr="00472805">
              <w:rPr>
                <w:b/>
                <w:lang w:val="lt-LT"/>
              </w:rPr>
              <w:t xml:space="preserve">Kinney (1989), </w:t>
            </w:r>
          </w:p>
          <w:p w:rsidR="00532538" w:rsidRPr="00472805" w:rsidRDefault="00532538" w:rsidP="00532538">
            <w:pPr>
              <w:ind w:left="113" w:right="113"/>
              <w:rPr>
                <w:b/>
                <w:lang w:val="lt-LT"/>
              </w:rPr>
            </w:pPr>
            <w:r w:rsidRPr="00472805">
              <w:rPr>
                <w:b/>
                <w:lang w:val="lt-LT"/>
              </w:rPr>
              <w:t xml:space="preserve">Aldersley (1989), </w:t>
            </w:r>
          </w:p>
          <w:p w:rsidR="00532538" w:rsidRPr="00472805" w:rsidRDefault="00532538" w:rsidP="00532538">
            <w:pPr>
              <w:ind w:left="113" w:right="113"/>
              <w:rPr>
                <w:b/>
                <w:lang w:val="lt-LT"/>
              </w:rPr>
            </w:pPr>
            <w:r w:rsidRPr="00472805">
              <w:rPr>
                <w:b/>
                <w:lang w:val="lt-LT"/>
              </w:rPr>
              <w:t>Sennetti (1990)</w:t>
            </w:r>
          </w:p>
        </w:tc>
        <w:tc>
          <w:tcPr>
            <w:tcW w:w="708" w:type="dxa"/>
            <w:textDirection w:val="btLr"/>
          </w:tcPr>
          <w:p w:rsidR="00D02C3C" w:rsidRPr="00472805" w:rsidRDefault="00532538" w:rsidP="00D02C3C">
            <w:pPr>
              <w:ind w:left="113" w:right="113"/>
              <w:rPr>
                <w:b/>
                <w:color w:val="000000" w:themeColor="text1"/>
                <w:lang w:val="lt-LT"/>
              </w:rPr>
            </w:pPr>
            <w:r w:rsidRPr="00472805">
              <w:rPr>
                <w:b/>
                <w:color w:val="000000" w:themeColor="text1"/>
                <w:lang w:val="lt-LT"/>
              </w:rPr>
              <w:t xml:space="preserve">Srivastava, </w:t>
            </w:r>
          </w:p>
          <w:p w:rsidR="00532538" w:rsidRPr="00472805" w:rsidRDefault="00532538" w:rsidP="00D02C3C">
            <w:pPr>
              <w:ind w:left="113" w:right="113"/>
              <w:rPr>
                <w:b/>
                <w:lang w:val="lt-LT"/>
              </w:rPr>
            </w:pPr>
            <w:r w:rsidRPr="00472805">
              <w:rPr>
                <w:b/>
                <w:color w:val="000000" w:themeColor="text1"/>
                <w:lang w:val="lt-LT"/>
              </w:rPr>
              <w:t>Shafer (1992)</w:t>
            </w:r>
          </w:p>
        </w:tc>
        <w:tc>
          <w:tcPr>
            <w:tcW w:w="851" w:type="dxa"/>
            <w:textDirection w:val="btLr"/>
          </w:tcPr>
          <w:p w:rsidR="00532538" w:rsidRPr="00472805" w:rsidRDefault="00532538" w:rsidP="00532538">
            <w:pPr>
              <w:ind w:left="113" w:right="113"/>
              <w:rPr>
                <w:b/>
                <w:lang w:val="lt-LT"/>
              </w:rPr>
            </w:pPr>
            <w:r w:rsidRPr="00472805">
              <w:rPr>
                <w:b/>
                <w:lang w:val="lt-LT"/>
              </w:rPr>
              <w:t>ABREMA (1995)</w:t>
            </w:r>
          </w:p>
        </w:tc>
        <w:tc>
          <w:tcPr>
            <w:tcW w:w="709" w:type="dxa"/>
            <w:textDirection w:val="btLr"/>
          </w:tcPr>
          <w:p w:rsidR="00532538" w:rsidRPr="00472805" w:rsidRDefault="00532538" w:rsidP="00D02C3C">
            <w:pPr>
              <w:ind w:left="113" w:right="113"/>
              <w:rPr>
                <w:b/>
                <w:lang w:val="lt-LT"/>
              </w:rPr>
            </w:pPr>
            <w:r w:rsidRPr="00472805">
              <w:rPr>
                <w:b/>
                <w:lang w:val="lt-LT"/>
              </w:rPr>
              <w:t>Beatie, Fearnley, Brandt (2002)</w:t>
            </w:r>
          </w:p>
        </w:tc>
        <w:tc>
          <w:tcPr>
            <w:tcW w:w="850" w:type="dxa"/>
            <w:textDirection w:val="btLr"/>
          </w:tcPr>
          <w:p w:rsidR="00532538" w:rsidRPr="00472805" w:rsidRDefault="00532538" w:rsidP="00D02C3C">
            <w:pPr>
              <w:ind w:left="113" w:right="113"/>
              <w:rPr>
                <w:b/>
                <w:lang w:val="lt-LT"/>
              </w:rPr>
            </w:pPr>
            <w:r w:rsidRPr="00472805">
              <w:rPr>
                <w:b/>
                <w:lang w:val="lt-LT"/>
              </w:rPr>
              <w:t xml:space="preserve">Turner, </w:t>
            </w:r>
            <w:r w:rsidR="00D02C3C" w:rsidRPr="00472805">
              <w:rPr>
                <w:b/>
                <w:lang w:val="lt-LT"/>
              </w:rPr>
              <w:t>Mock,</w:t>
            </w:r>
            <w:r w:rsidRPr="00472805">
              <w:rPr>
                <w:b/>
                <w:lang w:val="lt-LT"/>
              </w:rPr>
              <w:t xml:space="preserve"> Srivastava (2003)</w:t>
            </w:r>
          </w:p>
        </w:tc>
        <w:tc>
          <w:tcPr>
            <w:tcW w:w="709" w:type="dxa"/>
            <w:textDirection w:val="btLr"/>
          </w:tcPr>
          <w:p w:rsidR="00532538" w:rsidRPr="00472805" w:rsidRDefault="00532538" w:rsidP="00532538">
            <w:pPr>
              <w:ind w:left="113" w:right="113"/>
              <w:rPr>
                <w:b/>
                <w:lang w:val="lt-LT"/>
              </w:rPr>
            </w:pPr>
            <w:r w:rsidRPr="00472805">
              <w:rPr>
                <w:b/>
                <w:lang w:val="lt-LT"/>
              </w:rPr>
              <w:t>Bell, Peecher, Solomon (2005)</w:t>
            </w:r>
          </w:p>
        </w:tc>
      </w:tr>
      <w:tr w:rsidR="00532538" w:rsidRPr="00532538" w:rsidTr="00472805">
        <w:trPr>
          <w:trHeight w:hRule="exact" w:val="227"/>
        </w:trPr>
        <w:tc>
          <w:tcPr>
            <w:tcW w:w="14000" w:type="dxa"/>
            <w:gridSpan w:val="9"/>
            <w:shd w:val="clear" w:color="auto" w:fill="D9D9D9" w:themeFill="background1" w:themeFillShade="D9"/>
          </w:tcPr>
          <w:p w:rsidR="00532538" w:rsidRPr="00532538" w:rsidRDefault="00532538" w:rsidP="00532538">
            <w:pPr>
              <w:rPr>
                <w:b/>
                <w:sz w:val="22"/>
                <w:szCs w:val="22"/>
                <w:lang w:val="lt-LT"/>
              </w:rPr>
            </w:pPr>
            <w:r w:rsidRPr="00532538">
              <w:rPr>
                <w:b/>
                <w:sz w:val="22"/>
                <w:szCs w:val="22"/>
                <w:lang w:val="lt-LT"/>
              </w:rPr>
              <w:t>Išraiška</w:t>
            </w:r>
          </w:p>
        </w:tc>
      </w:tr>
      <w:tr w:rsidR="00532538" w:rsidRPr="00532538" w:rsidTr="004511D2">
        <w:tc>
          <w:tcPr>
            <w:tcW w:w="7905" w:type="dxa"/>
          </w:tcPr>
          <w:p w:rsidR="00532538" w:rsidRPr="00532538" w:rsidRDefault="00532538" w:rsidP="00532538">
            <w:pPr>
              <w:rPr>
                <w:b/>
                <w:sz w:val="22"/>
                <w:szCs w:val="22"/>
                <w:lang w:val="lt-LT"/>
              </w:rPr>
            </w:pPr>
            <w:r w:rsidRPr="00532538">
              <w:rPr>
                <w:sz w:val="22"/>
                <w:szCs w:val="22"/>
                <w:lang w:val="lt-LT"/>
              </w:rPr>
              <w:t xml:space="preserve">matematinė </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 xml:space="preserve">struktūrinė </w:t>
            </w:r>
          </w:p>
        </w:tc>
        <w:tc>
          <w:tcPr>
            <w:tcW w:w="708" w:type="dxa"/>
          </w:tcPr>
          <w:p w:rsidR="00532538" w:rsidRPr="00532538" w:rsidRDefault="007D690B" w:rsidP="00532538">
            <w:pPr>
              <w:jc w:val="center"/>
              <w:rPr>
                <w:b/>
                <w:sz w:val="22"/>
                <w:szCs w:val="22"/>
                <w:lang w:val="lt-LT"/>
              </w:rPr>
            </w:pPr>
            <w:r>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0" w:type="dxa"/>
          </w:tcPr>
          <w:p w:rsidR="00532538" w:rsidRPr="00532538" w:rsidRDefault="007D690B"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kitos formos (lentelės)</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7D690B"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r>
      <w:tr w:rsidR="00532538" w:rsidRPr="00532538" w:rsidTr="004511D2">
        <w:tc>
          <w:tcPr>
            <w:tcW w:w="14000" w:type="dxa"/>
            <w:gridSpan w:val="9"/>
            <w:shd w:val="clear" w:color="auto" w:fill="D9D9D9" w:themeFill="background1" w:themeFillShade="D9"/>
          </w:tcPr>
          <w:p w:rsidR="00532538" w:rsidRPr="00532538" w:rsidRDefault="00532538" w:rsidP="00532538">
            <w:pPr>
              <w:rPr>
                <w:b/>
                <w:sz w:val="22"/>
                <w:szCs w:val="22"/>
                <w:lang w:val="lt-LT"/>
              </w:rPr>
            </w:pPr>
            <w:r w:rsidRPr="00532538">
              <w:rPr>
                <w:b/>
                <w:sz w:val="22"/>
                <w:szCs w:val="22"/>
                <w:lang w:val="lt-LT"/>
              </w:rPr>
              <w:t>Komponentai</w:t>
            </w:r>
          </w:p>
        </w:tc>
      </w:tr>
      <w:tr w:rsidR="00532538" w:rsidRPr="00532538" w:rsidTr="004511D2">
        <w:tc>
          <w:tcPr>
            <w:tcW w:w="7905" w:type="dxa"/>
          </w:tcPr>
          <w:p w:rsidR="00532538" w:rsidRPr="00532538" w:rsidRDefault="00532538" w:rsidP="00532538">
            <w:pPr>
              <w:rPr>
                <w:b/>
                <w:sz w:val="22"/>
                <w:szCs w:val="22"/>
                <w:lang w:val="lt-LT"/>
              </w:rPr>
            </w:pPr>
            <w:r w:rsidRPr="00532538">
              <w:rPr>
                <w:sz w:val="22"/>
                <w:szCs w:val="22"/>
                <w:lang w:val="lt-LT"/>
              </w:rPr>
              <w:t>pateikia tam tikrą supratimą apie audito riziką ir jos komponentus</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0"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išskiria kiekvieną audito rizikos komponentą,</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atspindi priklausomybę tarp audito rizikos komponentų</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leidžia išreikšti vieną audito rizikos komponentą per kitus</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parodo tarpusavio ryšius tarp audito rizikos komponentų ir tarp jų su audito įrodymais</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nurodo, jog nei vienas iš audito rizikos komponentų negali būti lygus nuliui;</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pateikia būdą kaip apskaičiuoti audito riziką ir/ar jos komponentus</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apima daugiau audito rizikos komponentų</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0"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b/>
                <w:sz w:val="22"/>
                <w:szCs w:val="22"/>
                <w:lang w:val="lt-LT"/>
              </w:rPr>
            </w:pPr>
            <w:r w:rsidRPr="00532538">
              <w:rPr>
                <w:sz w:val="22"/>
                <w:szCs w:val="22"/>
                <w:lang w:val="lt-LT"/>
              </w:rPr>
              <w:t>pripažįsta audito rizikos komponentų visumą</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72805">
        <w:trPr>
          <w:cantSplit/>
        </w:trPr>
        <w:tc>
          <w:tcPr>
            <w:tcW w:w="14000" w:type="dxa"/>
            <w:gridSpan w:val="9"/>
            <w:shd w:val="clear" w:color="auto" w:fill="D9D9D9" w:themeFill="background1" w:themeFillShade="D9"/>
          </w:tcPr>
          <w:p w:rsidR="00532538" w:rsidRPr="00532538" w:rsidRDefault="00532538" w:rsidP="00532538">
            <w:pPr>
              <w:rPr>
                <w:b/>
                <w:sz w:val="22"/>
                <w:szCs w:val="22"/>
                <w:lang w:val="lt-LT"/>
              </w:rPr>
            </w:pPr>
            <w:r w:rsidRPr="00532538">
              <w:rPr>
                <w:b/>
                <w:sz w:val="22"/>
                <w:szCs w:val="22"/>
                <w:lang w:val="lt-LT"/>
              </w:rPr>
              <w:t>Panaudojimas audite</w:t>
            </w:r>
          </w:p>
        </w:tc>
      </w:tr>
      <w:tr w:rsidR="00532538" w:rsidRPr="00532538" w:rsidTr="004511D2">
        <w:tc>
          <w:tcPr>
            <w:tcW w:w="7905" w:type="dxa"/>
          </w:tcPr>
          <w:p w:rsidR="00532538" w:rsidRPr="00532538" w:rsidRDefault="00532538" w:rsidP="00532538">
            <w:pPr>
              <w:rPr>
                <w:b/>
                <w:sz w:val="22"/>
                <w:szCs w:val="22"/>
                <w:lang w:val="lt-LT"/>
              </w:rPr>
            </w:pPr>
            <w:r w:rsidRPr="00532538">
              <w:rPr>
                <w:sz w:val="22"/>
                <w:szCs w:val="22"/>
                <w:lang w:val="lt-LT"/>
              </w:rPr>
              <w:t>padeda įvertinti audito planą</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shd w:val="clear" w:color="auto" w:fill="auto"/>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gali būti naudojamas įvertinant audito rezultatus</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shd w:val="clear" w:color="auto" w:fill="auto"/>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gali būti įtraukiamas į struktūrizuotą požiūrį (statistinės atrankos apskaičiavimui)</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4511D2">
            <w:pPr>
              <w:rPr>
                <w:sz w:val="22"/>
                <w:szCs w:val="22"/>
                <w:lang w:val="lt-LT"/>
              </w:rPr>
            </w:pPr>
            <w:r w:rsidRPr="00532538">
              <w:rPr>
                <w:sz w:val="22"/>
                <w:szCs w:val="22"/>
                <w:lang w:val="lt-LT"/>
              </w:rPr>
              <w:t xml:space="preserve">atskleidžia, jog audito rizika </w:t>
            </w:r>
            <w:r w:rsidR="004511D2">
              <w:rPr>
                <w:sz w:val="22"/>
                <w:szCs w:val="22"/>
                <w:lang w:val="lt-LT"/>
              </w:rPr>
              <w:t>(</w:t>
            </w:r>
            <w:r w:rsidRPr="00532538">
              <w:rPr>
                <w:sz w:val="22"/>
                <w:szCs w:val="22"/>
                <w:lang w:val="lt-LT"/>
              </w:rPr>
              <w:t>komponentai</w:t>
            </w:r>
            <w:r w:rsidR="004511D2">
              <w:rPr>
                <w:sz w:val="22"/>
                <w:szCs w:val="22"/>
                <w:lang w:val="lt-LT"/>
              </w:rPr>
              <w:t>)</w:t>
            </w:r>
            <w:r w:rsidRPr="00532538">
              <w:rPr>
                <w:sz w:val="22"/>
                <w:szCs w:val="22"/>
                <w:lang w:val="lt-LT"/>
              </w:rPr>
              <w:t xml:space="preserve"> (per)vertinami kiekviename audito etape</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X</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audito etapus pateikia pagal taikomą audito praktiką</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parodo iteratyvinę audito sprendimų priėmimo proceso prigimtį</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r>
      <w:tr w:rsidR="00532538" w:rsidRPr="00532538" w:rsidTr="004511D2">
        <w:tc>
          <w:tcPr>
            <w:tcW w:w="7905" w:type="dxa"/>
          </w:tcPr>
          <w:p w:rsidR="00532538" w:rsidRPr="00532538" w:rsidRDefault="00532538" w:rsidP="00532538">
            <w:pPr>
              <w:rPr>
                <w:sz w:val="22"/>
                <w:szCs w:val="22"/>
                <w:lang w:val="lt-LT"/>
              </w:rPr>
            </w:pPr>
            <w:r w:rsidRPr="00532538">
              <w:rPr>
                <w:sz w:val="22"/>
                <w:szCs w:val="22"/>
                <w:lang w:val="lt-LT"/>
              </w:rPr>
              <w:t>išsprendžia agregacijos problemą</w:t>
            </w:r>
          </w:p>
        </w:tc>
        <w:tc>
          <w:tcPr>
            <w:tcW w:w="708"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8" w:type="dxa"/>
          </w:tcPr>
          <w:p w:rsidR="00532538" w:rsidRPr="00532538" w:rsidRDefault="00532538" w:rsidP="00532538">
            <w:pPr>
              <w:jc w:val="center"/>
              <w:rPr>
                <w:b/>
                <w:sz w:val="22"/>
                <w:szCs w:val="22"/>
                <w:lang w:val="lt-LT"/>
              </w:rPr>
            </w:pPr>
            <w:r w:rsidRPr="00532538">
              <w:rPr>
                <w:b/>
                <w:sz w:val="22"/>
                <w:szCs w:val="22"/>
                <w:lang w:val="lt-LT"/>
              </w:rPr>
              <w:t>X</w:t>
            </w:r>
          </w:p>
        </w:tc>
        <w:tc>
          <w:tcPr>
            <w:tcW w:w="851"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w:t>
            </w:r>
          </w:p>
        </w:tc>
        <w:tc>
          <w:tcPr>
            <w:tcW w:w="850" w:type="dxa"/>
          </w:tcPr>
          <w:p w:rsidR="00532538" w:rsidRPr="00532538" w:rsidRDefault="00532538" w:rsidP="00532538">
            <w:pPr>
              <w:jc w:val="center"/>
              <w:rPr>
                <w:b/>
                <w:sz w:val="22"/>
                <w:szCs w:val="22"/>
                <w:lang w:val="lt-LT"/>
              </w:rPr>
            </w:pPr>
            <w:r w:rsidRPr="00532538">
              <w:rPr>
                <w:b/>
                <w:sz w:val="22"/>
                <w:szCs w:val="22"/>
                <w:lang w:val="lt-LT"/>
              </w:rPr>
              <w:t>–</w:t>
            </w:r>
          </w:p>
        </w:tc>
        <w:tc>
          <w:tcPr>
            <w:tcW w:w="709" w:type="dxa"/>
          </w:tcPr>
          <w:p w:rsidR="00532538" w:rsidRPr="00532538" w:rsidRDefault="00532538" w:rsidP="00532538">
            <w:pPr>
              <w:jc w:val="center"/>
              <w:rPr>
                <w:b/>
                <w:sz w:val="22"/>
                <w:szCs w:val="22"/>
                <w:lang w:val="lt-LT"/>
              </w:rPr>
            </w:pPr>
            <w:r w:rsidRPr="00532538">
              <w:rPr>
                <w:b/>
                <w:sz w:val="22"/>
                <w:szCs w:val="22"/>
                <w:lang w:val="lt-LT"/>
              </w:rPr>
              <w:t>X</w:t>
            </w:r>
          </w:p>
        </w:tc>
      </w:tr>
    </w:tbl>
    <w:p w:rsidR="00532538" w:rsidRPr="00103EE6" w:rsidRDefault="00166819" w:rsidP="00532538">
      <w:pPr>
        <w:jc w:val="both"/>
        <w:rPr>
          <w:lang w:val="lt-LT"/>
        </w:rPr>
      </w:pPr>
      <w:r>
        <w:rPr>
          <w:noProof/>
          <w:lang w:val="lt-LT"/>
        </w:rPr>
        <w:pict>
          <v:shape id="_x0000_s74571" type="#_x0000_t202" style="position:absolute;left:0;text-align:left;margin-left:310.45pt;margin-top:24.35pt;width:44.25pt;height:31.5pt;z-index:254780416;mso-position-horizontal-relative:text;mso-position-vertical-relative:text" filled="f" strokecolor="white [3212]">
            <v:textbox>
              <w:txbxContent>
                <w:p w:rsidR="00BE5795" w:rsidRDefault="00BE5795" w:rsidP="00AF4553">
                  <w:pPr>
                    <w:jc w:val="center"/>
                  </w:pPr>
                  <w:r>
                    <w:t>89</w:t>
                  </w:r>
                </w:p>
              </w:txbxContent>
            </v:textbox>
          </v:shape>
        </w:pict>
      </w:r>
      <w:r w:rsidR="00532538" w:rsidRPr="00103EE6">
        <w:rPr>
          <w:lang w:val="lt-LT"/>
        </w:rPr>
        <w:t xml:space="preserve">Šaltinis: </w:t>
      </w:r>
      <w:r w:rsidR="00532538">
        <w:rPr>
          <w:lang w:val="lt-LT"/>
        </w:rPr>
        <w:t>sudaryta autorės</w:t>
      </w:r>
      <w:r w:rsidR="00532538" w:rsidRPr="00103EE6">
        <w:rPr>
          <w:lang w:val="lt-LT"/>
        </w:rPr>
        <w:t xml:space="preserve">. </w:t>
      </w:r>
    </w:p>
    <w:p w:rsidR="00532538" w:rsidRDefault="00532538">
      <w:pPr>
        <w:rPr>
          <w:sz w:val="26"/>
          <w:szCs w:val="26"/>
          <w:lang w:val="lt-LT"/>
        </w:rPr>
        <w:sectPr w:rsidR="00532538" w:rsidSect="00532538">
          <w:pgSz w:w="16838" w:h="11906" w:orient="landscape" w:code="9"/>
          <w:pgMar w:top="1814" w:right="1474" w:bottom="1814" w:left="1474" w:header="1134" w:footer="1134" w:gutter="0"/>
          <w:cols w:space="1296"/>
          <w:titlePg/>
        </w:sectPr>
      </w:pPr>
    </w:p>
    <w:p w:rsidR="00262A15" w:rsidRPr="005F44E6" w:rsidRDefault="005918B5" w:rsidP="00F948A3">
      <w:pPr>
        <w:spacing w:line="360" w:lineRule="auto"/>
        <w:ind w:firstLine="720"/>
        <w:jc w:val="both"/>
        <w:rPr>
          <w:sz w:val="26"/>
          <w:szCs w:val="26"/>
          <w:lang w:val="lt-LT"/>
        </w:rPr>
      </w:pPr>
      <w:r w:rsidRPr="005F44E6">
        <w:rPr>
          <w:sz w:val="26"/>
          <w:szCs w:val="26"/>
          <w:lang w:val="lt-LT"/>
        </w:rPr>
        <w:lastRenderedPageBreak/>
        <w:t>Rezultatai</w:t>
      </w:r>
      <w:r w:rsidR="002E76AB" w:rsidRPr="005F44E6">
        <w:rPr>
          <w:sz w:val="26"/>
          <w:szCs w:val="26"/>
          <w:lang w:val="lt-LT"/>
        </w:rPr>
        <w:t xml:space="preserve"> rodo</w:t>
      </w:r>
      <w:r w:rsidR="002402F1" w:rsidRPr="005F44E6">
        <w:rPr>
          <w:sz w:val="26"/>
          <w:szCs w:val="26"/>
          <w:lang w:val="lt-LT"/>
        </w:rPr>
        <w:t xml:space="preserve">, kad visi </w:t>
      </w:r>
      <w:r w:rsidR="00566956" w:rsidRPr="005F44E6">
        <w:rPr>
          <w:sz w:val="26"/>
          <w:szCs w:val="26"/>
          <w:lang w:val="lt-LT"/>
        </w:rPr>
        <w:t xml:space="preserve">darbe nagrinėti </w:t>
      </w:r>
      <w:r w:rsidR="002402F1" w:rsidRPr="005F44E6">
        <w:rPr>
          <w:sz w:val="26"/>
          <w:szCs w:val="26"/>
          <w:lang w:val="lt-LT"/>
        </w:rPr>
        <w:t xml:space="preserve">audito rizikos modeliai išreikšti tam tikra forma, t. y. formule, schema ar lentele, ir yra svarbūs audito procese, nes: 1) pateikia bendrą supratimą apie audito riziką ir jos komponentus, </w:t>
      </w:r>
      <w:r w:rsidR="00320EC2" w:rsidRPr="005F44E6">
        <w:rPr>
          <w:sz w:val="26"/>
          <w:szCs w:val="26"/>
          <w:lang w:val="lt-LT"/>
        </w:rPr>
        <w:t xml:space="preserve">nors ir </w:t>
      </w:r>
      <w:r w:rsidR="002402F1" w:rsidRPr="005F44E6">
        <w:rPr>
          <w:sz w:val="26"/>
          <w:szCs w:val="26"/>
          <w:lang w:val="lt-LT"/>
        </w:rPr>
        <w:t xml:space="preserve">nepateikia </w:t>
      </w:r>
      <w:r w:rsidR="00320EC2" w:rsidRPr="005F44E6">
        <w:rPr>
          <w:sz w:val="26"/>
          <w:szCs w:val="26"/>
          <w:lang w:val="lt-LT"/>
        </w:rPr>
        <w:t xml:space="preserve">konkretaus </w:t>
      </w:r>
      <w:r w:rsidR="002402F1" w:rsidRPr="005F44E6">
        <w:rPr>
          <w:sz w:val="26"/>
          <w:szCs w:val="26"/>
          <w:lang w:val="lt-LT"/>
        </w:rPr>
        <w:t xml:space="preserve">būdo, kaip šias rizikas apskaičiuoti; 2) išskiria </w:t>
      </w:r>
      <w:r w:rsidR="001B4B57" w:rsidRPr="005F44E6">
        <w:rPr>
          <w:sz w:val="26"/>
          <w:szCs w:val="26"/>
          <w:lang w:val="lt-LT"/>
        </w:rPr>
        <w:t>atskirus</w:t>
      </w:r>
      <w:r w:rsidR="002402F1" w:rsidRPr="005F44E6">
        <w:rPr>
          <w:sz w:val="26"/>
          <w:szCs w:val="26"/>
          <w:lang w:val="lt-LT"/>
        </w:rPr>
        <w:t xml:space="preserve"> audito rizikos komponent</w:t>
      </w:r>
      <w:r w:rsidR="00203AF6" w:rsidRPr="005F44E6">
        <w:rPr>
          <w:sz w:val="26"/>
          <w:szCs w:val="26"/>
          <w:lang w:val="lt-LT"/>
        </w:rPr>
        <w:t>us</w:t>
      </w:r>
      <w:r w:rsidR="002402F1" w:rsidRPr="005F44E6">
        <w:rPr>
          <w:sz w:val="26"/>
          <w:szCs w:val="26"/>
          <w:lang w:val="lt-LT"/>
        </w:rPr>
        <w:t>, tačiau tik W.</w:t>
      </w:r>
      <w:r w:rsidR="005F44E6">
        <w:rPr>
          <w:sz w:val="26"/>
          <w:szCs w:val="26"/>
          <w:lang w:val="lt-LT"/>
        </w:rPr>
        <w:t> </w:t>
      </w:r>
      <w:r w:rsidR="002402F1" w:rsidRPr="005F44E6">
        <w:rPr>
          <w:sz w:val="26"/>
          <w:szCs w:val="26"/>
          <w:lang w:val="lt-LT"/>
        </w:rPr>
        <w:t>R.</w:t>
      </w:r>
      <w:r w:rsidR="005F44E6">
        <w:rPr>
          <w:sz w:val="26"/>
          <w:szCs w:val="26"/>
          <w:lang w:val="lt-LT"/>
        </w:rPr>
        <w:t> </w:t>
      </w:r>
      <w:r w:rsidR="002402F1" w:rsidRPr="005F44E6">
        <w:rPr>
          <w:sz w:val="26"/>
          <w:szCs w:val="26"/>
          <w:lang w:val="lt-LT"/>
        </w:rPr>
        <w:t>Kinney (1989), S. J. Aldersley (1989)</w:t>
      </w:r>
      <w:r w:rsidR="004A0F00" w:rsidRPr="005F44E6">
        <w:rPr>
          <w:sz w:val="26"/>
          <w:szCs w:val="26"/>
          <w:lang w:val="lt-LT"/>
        </w:rPr>
        <w:t>,</w:t>
      </w:r>
      <w:r w:rsidR="002402F1" w:rsidRPr="005F44E6">
        <w:rPr>
          <w:sz w:val="26"/>
          <w:szCs w:val="26"/>
          <w:lang w:val="lt-LT"/>
        </w:rPr>
        <w:t xml:space="preserve"> </w:t>
      </w:r>
      <w:r w:rsidR="002402F1" w:rsidRPr="005F44E6">
        <w:rPr>
          <w:color w:val="000000" w:themeColor="text1"/>
          <w:sz w:val="26"/>
          <w:szCs w:val="26"/>
          <w:lang w:val="lt-LT"/>
        </w:rPr>
        <w:t>R. P. Srivastava, G. R. Shafer (1992)</w:t>
      </w:r>
      <w:r w:rsidR="004A0F00" w:rsidRPr="005F44E6">
        <w:rPr>
          <w:color w:val="000000" w:themeColor="text1"/>
          <w:sz w:val="26"/>
          <w:szCs w:val="26"/>
          <w:lang w:val="lt-LT"/>
        </w:rPr>
        <w:t xml:space="preserve"> bei </w:t>
      </w:r>
      <w:r w:rsidR="004A0F00" w:rsidRPr="005F44E6">
        <w:rPr>
          <w:sz w:val="26"/>
          <w:szCs w:val="26"/>
          <w:lang w:val="lt-LT"/>
        </w:rPr>
        <w:t>B. Bell, M. E. Peecher, I.</w:t>
      </w:r>
      <w:r w:rsidR="001B24B3">
        <w:rPr>
          <w:sz w:val="26"/>
          <w:szCs w:val="26"/>
          <w:lang w:val="lt-LT"/>
        </w:rPr>
        <w:t> </w:t>
      </w:r>
      <w:r w:rsidR="004A0F00" w:rsidRPr="005F44E6">
        <w:rPr>
          <w:sz w:val="26"/>
          <w:szCs w:val="26"/>
          <w:lang w:val="lt-LT"/>
        </w:rPr>
        <w:t>Solomon (2005)</w:t>
      </w:r>
      <w:r w:rsidR="002402F1" w:rsidRPr="005F44E6">
        <w:rPr>
          <w:sz w:val="26"/>
          <w:szCs w:val="26"/>
          <w:lang w:val="lt-LT"/>
        </w:rPr>
        <w:t xml:space="preserve"> audito rizikos modeliai bando spręsti audito rizikos komponentų priklausomybės problemą, pagal kurią audito rizikos komponentai vertinami atsižvelgiant į pirmesnio audito rizikos komponento vertinimo rezultatus. Be to, matematine formule išreikšti audito rizikos modeliai (klasikinis, praplėstas, W. R. Kinney (1989), J.</w:t>
      </w:r>
      <w:r w:rsidR="005F44E6">
        <w:rPr>
          <w:sz w:val="26"/>
          <w:szCs w:val="26"/>
          <w:lang w:val="lt-LT"/>
        </w:rPr>
        <w:t> </w:t>
      </w:r>
      <w:r w:rsidR="002402F1" w:rsidRPr="005F44E6">
        <w:rPr>
          <w:sz w:val="26"/>
          <w:szCs w:val="26"/>
          <w:lang w:val="lt-LT"/>
        </w:rPr>
        <w:t>T.</w:t>
      </w:r>
      <w:r w:rsidR="005F44E6">
        <w:rPr>
          <w:sz w:val="26"/>
          <w:szCs w:val="26"/>
          <w:lang w:val="lt-LT"/>
        </w:rPr>
        <w:t> </w:t>
      </w:r>
      <w:r w:rsidR="002402F1" w:rsidRPr="005F44E6">
        <w:rPr>
          <w:sz w:val="26"/>
          <w:szCs w:val="26"/>
          <w:lang w:val="lt-LT"/>
        </w:rPr>
        <w:t xml:space="preserve">Sennetti (1990), </w:t>
      </w:r>
      <w:r w:rsidR="002402F1" w:rsidRPr="005F44E6">
        <w:rPr>
          <w:color w:val="000000" w:themeColor="text1"/>
          <w:sz w:val="26"/>
          <w:szCs w:val="26"/>
          <w:lang w:val="lt-LT"/>
        </w:rPr>
        <w:t>R.</w:t>
      </w:r>
      <w:r w:rsidR="001B24B3">
        <w:rPr>
          <w:color w:val="000000" w:themeColor="text1"/>
          <w:sz w:val="26"/>
          <w:szCs w:val="26"/>
          <w:lang w:val="lt-LT"/>
        </w:rPr>
        <w:t> </w:t>
      </w:r>
      <w:r w:rsidR="002402F1" w:rsidRPr="005F44E6">
        <w:rPr>
          <w:color w:val="000000" w:themeColor="text1"/>
          <w:sz w:val="26"/>
          <w:szCs w:val="26"/>
          <w:lang w:val="lt-LT"/>
        </w:rPr>
        <w:t>P.</w:t>
      </w:r>
      <w:r w:rsidR="001B24B3">
        <w:rPr>
          <w:color w:val="000000" w:themeColor="text1"/>
          <w:sz w:val="26"/>
          <w:szCs w:val="26"/>
          <w:lang w:val="lt-LT"/>
        </w:rPr>
        <w:t> </w:t>
      </w:r>
      <w:r w:rsidR="002402F1" w:rsidRPr="005F44E6">
        <w:rPr>
          <w:color w:val="000000" w:themeColor="text1"/>
          <w:sz w:val="26"/>
          <w:szCs w:val="26"/>
          <w:lang w:val="lt-LT"/>
        </w:rPr>
        <w:t>Srivastava, G. R. Shafer (1992)</w:t>
      </w:r>
      <w:r w:rsidR="002402F1" w:rsidRPr="005F44E6">
        <w:rPr>
          <w:sz w:val="26"/>
          <w:szCs w:val="26"/>
          <w:lang w:val="lt-LT"/>
        </w:rPr>
        <w:t xml:space="preserve"> ir ABREMA (1995): 1) įrodo, jog nė vienas iš audito rizikos komponentų negali būti lygus nuliui, nes kitaip tai reikštų, kad analizuojamu atveju audito rizikos nėra; 2)</w:t>
      </w:r>
      <w:r w:rsidR="005F44E6">
        <w:rPr>
          <w:sz w:val="26"/>
          <w:szCs w:val="26"/>
          <w:lang w:val="lt-LT"/>
        </w:rPr>
        <w:t> </w:t>
      </w:r>
      <w:r w:rsidR="002402F1" w:rsidRPr="005F44E6">
        <w:rPr>
          <w:sz w:val="26"/>
          <w:szCs w:val="26"/>
          <w:lang w:val="lt-LT"/>
        </w:rPr>
        <w:t>leidžia išreikšti vieną audito rizikos komponentą per kitus, nustatyti audito procedūrų apimtį, reikšmingumo lygį, kas gali būti svarbu planuojant statistinę atranką</w:t>
      </w:r>
      <w:r w:rsidR="00B70265" w:rsidRPr="005F44E6">
        <w:rPr>
          <w:sz w:val="26"/>
          <w:szCs w:val="26"/>
          <w:lang w:val="lt-LT"/>
        </w:rPr>
        <w:t xml:space="preserve">, nors </w:t>
      </w:r>
      <w:r w:rsidR="00622B72" w:rsidRPr="005F44E6">
        <w:rPr>
          <w:sz w:val="26"/>
          <w:szCs w:val="26"/>
          <w:lang w:val="lt-LT"/>
        </w:rPr>
        <w:t xml:space="preserve">didesnės vertės apskaičiuojant </w:t>
      </w:r>
      <w:r w:rsidR="00B70265" w:rsidRPr="005F44E6">
        <w:rPr>
          <w:sz w:val="26"/>
          <w:szCs w:val="26"/>
          <w:lang w:val="lt-LT"/>
        </w:rPr>
        <w:t xml:space="preserve">audito riziką ir/ar </w:t>
      </w:r>
      <w:r w:rsidR="00533796" w:rsidRPr="005F44E6">
        <w:rPr>
          <w:sz w:val="26"/>
          <w:szCs w:val="26"/>
          <w:lang w:val="lt-LT"/>
        </w:rPr>
        <w:t>atskir</w:t>
      </w:r>
      <w:r w:rsidR="00B70265" w:rsidRPr="005F44E6">
        <w:rPr>
          <w:sz w:val="26"/>
          <w:szCs w:val="26"/>
          <w:lang w:val="lt-LT"/>
        </w:rPr>
        <w:t>us</w:t>
      </w:r>
      <w:r w:rsidR="00533796" w:rsidRPr="005F44E6">
        <w:rPr>
          <w:sz w:val="26"/>
          <w:szCs w:val="26"/>
          <w:lang w:val="lt-LT"/>
        </w:rPr>
        <w:t xml:space="preserve"> </w:t>
      </w:r>
      <w:r w:rsidR="00B70265" w:rsidRPr="005F44E6">
        <w:rPr>
          <w:sz w:val="26"/>
          <w:szCs w:val="26"/>
          <w:lang w:val="lt-LT"/>
        </w:rPr>
        <w:t xml:space="preserve">jos </w:t>
      </w:r>
      <w:r w:rsidR="00533796" w:rsidRPr="005F44E6">
        <w:rPr>
          <w:sz w:val="26"/>
          <w:szCs w:val="26"/>
          <w:lang w:val="lt-LT"/>
        </w:rPr>
        <w:t>komponent</w:t>
      </w:r>
      <w:r w:rsidR="00B70265" w:rsidRPr="005F44E6">
        <w:rPr>
          <w:sz w:val="26"/>
          <w:szCs w:val="26"/>
          <w:lang w:val="lt-LT"/>
        </w:rPr>
        <w:t>us jie nesuteikia.</w:t>
      </w:r>
      <w:r w:rsidR="00533796" w:rsidRPr="005F44E6">
        <w:rPr>
          <w:sz w:val="26"/>
          <w:szCs w:val="26"/>
          <w:lang w:val="lt-LT"/>
        </w:rPr>
        <w:t xml:space="preserve"> </w:t>
      </w:r>
    </w:p>
    <w:p w:rsidR="00203AF6" w:rsidRPr="005F44E6" w:rsidRDefault="00305F53" w:rsidP="00DB76EF">
      <w:pPr>
        <w:spacing w:line="360" w:lineRule="auto"/>
        <w:ind w:firstLine="720"/>
        <w:jc w:val="both"/>
        <w:rPr>
          <w:sz w:val="26"/>
          <w:szCs w:val="26"/>
          <w:lang w:val="lt-LT"/>
        </w:rPr>
      </w:pPr>
      <w:r>
        <w:rPr>
          <w:sz w:val="26"/>
          <w:szCs w:val="26"/>
          <w:lang w:val="lt-LT"/>
        </w:rPr>
        <w:t>Tačiau šie modeliai pilnai neatskleidžia audito rizikos vertinimo esmės, nes j</w:t>
      </w:r>
      <w:r w:rsidR="009D5062" w:rsidRPr="005F44E6">
        <w:rPr>
          <w:sz w:val="26"/>
          <w:szCs w:val="26"/>
          <w:lang w:val="lt-LT"/>
        </w:rPr>
        <w:t xml:space="preserve">ie </w:t>
      </w:r>
      <w:r w:rsidR="00F948A3" w:rsidRPr="005F44E6">
        <w:rPr>
          <w:sz w:val="26"/>
          <w:szCs w:val="26"/>
          <w:lang w:val="lt-LT"/>
        </w:rPr>
        <w:t>iki galo neatspindi audito rizikos komponentų visumos ir/ar jų pagrindinių charakteristikų</w:t>
      </w:r>
      <w:r w:rsidR="00203AF6" w:rsidRPr="005F44E6">
        <w:rPr>
          <w:sz w:val="26"/>
          <w:szCs w:val="26"/>
          <w:lang w:val="lt-LT"/>
        </w:rPr>
        <w:t>:</w:t>
      </w:r>
      <w:r w:rsidR="00262A15" w:rsidRPr="005F44E6">
        <w:rPr>
          <w:sz w:val="26"/>
          <w:szCs w:val="26"/>
          <w:lang w:val="lt-LT"/>
        </w:rPr>
        <w:t xml:space="preserve"> </w:t>
      </w:r>
    </w:p>
    <w:p w:rsidR="00203AF6" w:rsidRPr="007D690B" w:rsidRDefault="00166819" w:rsidP="00D730C0">
      <w:pPr>
        <w:pStyle w:val="ListParagraph"/>
        <w:numPr>
          <w:ilvl w:val="0"/>
          <w:numId w:val="23"/>
        </w:numPr>
        <w:tabs>
          <w:tab w:val="left" w:pos="1134"/>
        </w:tabs>
        <w:spacing w:line="360" w:lineRule="auto"/>
        <w:ind w:left="0" w:firstLine="720"/>
        <w:jc w:val="both"/>
        <w:rPr>
          <w:i/>
          <w:sz w:val="26"/>
          <w:szCs w:val="26"/>
          <w:lang w:val="lt-LT"/>
        </w:rPr>
      </w:pPr>
      <w:r w:rsidRPr="00166819">
        <w:rPr>
          <w:noProof/>
          <w:sz w:val="26"/>
          <w:szCs w:val="26"/>
          <w:lang w:val="lt-LT"/>
        </w:rPr>
        <w:pict>
          <v:shape id="_x0000_s74572" type="#_x0000_t202" style="position:absolute;left:0;text-align:left;margin-left:165.95pt;margin-top:228.65pt;width:44.25pt;height:31.5pt;z-index:254781440" filled="f" strokecolor="white [3212]">
            <v:textbox>
              <w:txbxContent>
                <w:p w:rsidR="00BE5795" w:rsidRDefault="00BE5795" w:rsidP="00AF4553">
                  <w:pPr>
                    <w:jc w:val="center"/>
                  </w:pPr>
                  <w:r>
                    <w:t>90</w:t>
                  </w:r>
                </w:p>
              </w:txbxContent>
            </v:textbox>
          </v:shape>
        </w:pict>
      </w:r>
      <w:r w:rsidR="00203AF6" w:rsidRPr="005F44E6">
        <w:rPr>
          <w:i/>
          <w:sz w:val="26"/>
          <w:szCs w:val="26"/>
          <w:lang w:val="lt-LT"/>
        </w:rPr>
        <w:t>a</w:t>
      </w:r>
      <w:r w:rsidR="00315752" w:rsidRPr="005F44E6">
        <w:rPr>
          <w:i/>
          <w:sz w:val="26"/>
          <w:szCs w:val="26"/>
          <w:lang w:val="lt-LT"/>
        </w:rPr>
        <w:t xml:space="preserve">udito riziką lemiančias sąlygas </w:t>
      </w:r>
      <w:r w:rsidR="00315752" w:rsidRPr="005F44E6">
        <w:rPr>
          <w:sz w:val="26"/>
          <w:szCs w:val="26"/>
          <w:lang w:val="lt-LT"/>
        </w:rPr>
        <w:t>(</w:t>
      </w:r>
      <w:r w:rsidR="000770FB" w:rsidRPr="005F44E6">
        <w:rPr>
          <w:sz w:val="26"/>
          <w:szCs w:val="26"/>
          <w:lang w:val="lt-LT"/>
        </w:rPr>
        <w:t xml:space="preserve">dėl </w:t>
      </w:r>
      <w:r w:rsidR="00315752" w:rsidRPr="005F44E6">
        <w:rPr>
          <w:sz w:val="26"/>
          <w:szCs w:val="26"/>
          <w:lang w:val="lt-LT"/>
        </w:rPr>
        <w:t xml:space="preserve">atrankos </w:t>
      </w:r>
      <w:r w:rsidR="000770FB" w:rsidRPr="005F44E6">
        <w:rPr>
          <w:sz w:val="26"/>
          <w:szCs w:val="26"/>
          <w:lang w:val="lt-LT"/>
        </w:rPr>
        <w:t>taikymo</w:t>
      </w:r>
      <w:r w:rsidR="00315752" w:rsidRPr="005F44E6">
        <w:rPr>
          <w:sz w:val="26"/>
          <w:szCs w:val="26"/>
          <w:lang w:val="lt-LT"/>
        </w:rPr>
        <w:t xml:space="preserve">, </w:t>
      </w:r>
      <w:r w:rsidR="000770FB" w:rsidRPr="005F44E6">
        <w:rPr>
          <w:sz w:val="26"/>
          <w:szCs w:val="26"/>
          <w:lang w:val="lt-LT"/>
        </w:rPr>
        <w:t xml:space="preserve">apgaulės pasireiškimo, </w:t>
      </w:r>
      <w:r w:rsidR="00F90A8F" w:rsidRPr="005F44E6">
        <w:rPr>
          <w:sz w:val="26"/>
          <w:szCs w:val="26"/>
          <w:lang w:val="lt-LT"/>
        </w:rPr>
        <w:t xml:space="preserve">audituojamos įmonės </w:t>
      </w:r>
      <w:r w:rsidR="000770FB" w:rsidRPr="005F44E6">
        <w:rPr>
          <w:sz w:val="26"/>
          <w:szCs w:val="26"/>
          <w:lang w:val="lt-LT"/>
        </w:rPr>
        <w:t>verslo rizikos</w:t>
      </w:r>
      <w:r w:rsidR="00F90A8F" w:rsidRPr="005F44E6">
        <w:rPr>
          <w:sz w:val="26"/>
          <w:szCs w:val="26"/>
          <w:lang w:val="lt-LT"/>
        </w:rPr>
        <w:t xml:space="preserve">, </w:t>
      </w:r>
      <w:r w:rsidR="00D86169" w:rsidRPr="005F44E6">
        <w:rPr>
          <w:sz w:val="26"/>
          <w:szCs w:val="26"/>
          <w:lang w:val="lt-LT"/>
        </w:rPr>
        <w:t xml:space="preserve">audito įmonės </w:t>
      </w:r>
      <w:r w:rsidR="00F90A8F" w:rsidRPr="005F44E6">
        <w:rPr>
          <w:sz w:val="26"/>
          <w:szCs w:val="26"/>
          <w:lang w:val="lt-LT"/>
        </w:rPr>
        <w:t>užduoties rizikos</w:t>
      </w:r>
      <w:r w:rsidR="000770FB" w:rsidRPr="005F44E6">
        <w:rPr>
          <w:sz w:val="26"/>
          <w:szCs w:val="26"/>
          <w:lang w:val="lt-LT"/>
        </w:rPr>
        <w:t xml:space="preserve"> ar </w:t>
      </w:r>
      <w:r w:rsidR="00D86169" w:rsidRPr="005F44E6">
        <w:rPr>
          <w:sz w:val="26"/>
          <w:szCs w:val="26"/>
          <w:lang w:val="lt-LT"/>
        </w:rPr>
        <w:t xml:space="preserve">kitų </w:t>
      </w:r>
      <w:r w:rsidR="00315752" w:rsidRPr="005F44E6">
        <w:rPr>
          <w:sz w:val="26"/>
          <w:szCs w:val="26"/>
          <w:lang w:val="lt-LT"/>
        </w:rPr>
        <w:t>a</w:t>
      </w:r>
      <w:r w:rsidR="00F90A8F" w:rsidRPr="005F44E6">
        <w:rPr>
          <w:sz w:val="26"/>
          <w:szCs w:val="26"/>
          <w:lang w:val="lt-LT"/>
        </w:rPr>
        <w:t xml:space="preserve">ptikimo </w:t>
      </w:r>
      <w:r w:rsidR="00D86169" w:rsidRPr="005F44E6">
        <w:rPr>
          <w:sz w:val="26"/>
          <w:szCs w:val="26"/>
          <w:lang w:val="lt-LT"/>
        </w:rPr>
        <w:t>galimybių</w:t>
      </w:r>
      <w:r w:rsidR="00315752" w:rsidRPr="005F44E6">
        <w:rPr>
          <w:sz w:val="26"/>
          <w:szCs w:val="26"/>
          <w:lang w:val="lt-LT"/>
        </w:rPr>
        <w:t xml:space="preserve">) </w:t>
      </w:r>
      <w:r w:rsidR="00315752" w:rsidRPr="005F44E6">
        <w:rPr>
          <w:i/>
          <w:sz w:val="26"/>
          <w:szCs w:val="26"/>
          <w:lang w:val="lt-LT"/>
        </w:rPr>
        <w:t>nagrinėja tik atskiri audito rizikos modeliai</w:t>
      </w:r>
      <w:r w:rsidR="00F948A3" w:rsidRPr="005F44E6">
        <w:rPr>
          <w:i/>
          <w:sz w:val="26"/>
          <w:szCs w:val="26"/>
          <w:lang w:val="lt-LT"/>
        </w:rPr>
        <w:t xml:space="preserve"> </w:t>
      </w:r>
      <w:r w:rsidR="00F948A3" w:rsidRPr="005F44E6">
        <w:rPr>
          <w:sz w:val="26"/>
          <w:szCs w:val="26"/>
          <w:lang w:val="lt-LT"/>
        </w:rPr>
        <w:t>(p</w:t>
      </w:r>
      <w:r w:rsidR="00315752" w:rsidRPr="005F44E6">
        <w:rPr>
          <w:sz w:val="26"/>
          <w:szCs w:val="26"/>
          <w:lang w:val="lt-LT"/>
        </w:rPr>
        <w:t>raplėstas</w:t>
      </w:r>
      <w:r w:rsidR="00F948A3" w:rsidRPr="005F44E6">
        <w:rPr>
          <w:sz w:val="26"/>
          <w:szCs w:val="26"/>
          <w:lang w:val="lt-LT"/>
        </w:rPr>
        <w:t xml:space="preserve"> audito rizikos modelis </w:t>
      </w:r>
      <w:r w:rsidR="00315752" w:rsidRPr="005F44E6">
        <w:rPr>
          <w:sz w:val="26"/>
          <w:szCs w:val="26"/>
          <w:lang w:val="lt-LT"/>
        </w:rPr>
        <w:t>pateikia tam tikrą supratimą apie riziką, susijusią su detalių testų taikymu</w:t>
      </w:r>
      <w:r w:rsidR="00F948A3" w:rsidRPr="005F44E6">
        <w:rPr>
          <w:sz w:val="26"/>
          <w:szCs w:val="26"/>
          <w:lang w:val="lt-LT"/>
        </w:rPr>
        <w:t xml:space="preserve">; </w:t>
      </w:r>
      <w:r w:rsidR="00CE33F5" w:rsidRPr="005F44E6">
        <w:rPr>
          <w:sz w:val="26"/>
          <w:szCs w:val="26"/>
          <w:lang w:val="lt-LT"/>
        </w:rPr>
        <w:t xml:space="preserve">J. L. Turner, T. J. Mock, R. P. Srivastava (2003) audito rizikos modelyje </w:t>
      </w:r>
      <w:r w:rsidR="00262A15" w:rsidRPr="005F44E6">
        <w:rPr>
          <w:sz w:val="26"/>
          <w:szCs w:val="26"/>
          <w:lang w:val="lt-LT"/>
        </w:rPr>
        <w:t>aptari</w:t>
      </w:r>
      <w:r w:rsidR="000E02C5" w:rsidRPr="005F44E6">
        <w:rPr>
          <w:sz w:val="26"/>
          <w:szCs w:val="26"/>
          <w:lang w:val="lt-LT"/>
        </w:rPr>
        <w:t>a</w:t>
      </w:r>
      <w:r w:rsidR="00262A15" w:rsidRPr="005F44E6">
        <w:rPr>
          <w:sz w:val="26"/>
          <w:szCs w:val="26"/>
          <w:lang w:val="lt-LT"/>
        </w:rPr>
        <w:t>mas</w:t>
      </w:r>
      <w:r w:rsidR="00CE33F5" w:rsidRPr="005F44E6">
        <w:rPr>
          <w:sz w:val="26"/>
          <w:szCs w:val="26"/>
          <w:lang w:val="lt-LT"/>
        </w:rPr>
        <w:t xml:space="preserve"> apgaulės rizikos vertinim</w:t>
      </w:r>
      <w:r w:rsidR="00262A15" w:rsidRPr="005F44E6">
        <w:rPr>
          <w:sz w:val="26"/>
          <w:szCs w:val="26"/>
          <w:lang w:val="lt-LT"/>
        </w:rPr>
        <w:t>as</w:t>
      </w:r>
      <w:r w:rsidR="00CE33F5" w:rsidRPr="005F44E6">
        <w:rPr>
          <w:sz w:val="26"/>
          <w:szCs w:val="26"/>
          <w:lang w:val="lt-LT"/>
        </w:rPr>
        <w:t xml:space="preserve"> pagal apgaulės trikampio komponentus</w:t>
      </w:r>
      <w:r w:rsidR="00F948A3" w:rsidRPr="005F44E6">
        <w:rPr>
          <w:sz w:val="26"/>
          <w:szCs w:val="26"/>
          <w:lang w:val="lt-LT"/>
        </w:rPr>
        <w:t xml:space="preserve">; </w:t>
      </w:r>
      <w:r w:rsidR="00CE33F5" w:rsidRPr="005F44E6">
        <w:rPr>
          <w:sz w:val="26"/>
          <w:szCs w:val="26"/>
          <w:lang w:val="lt-LT"/>
        </w:rPr>
        <w:t>V. Beatie, S. Fearnley, R. Brandt (2002) audito rizikos modelyje išskir</w:t>
      </w:r>
      <w:r w:rsidR="00262A15" w:rsidRPr="005F44E6">
        <w:rPr>
          <w:sz w:val="26"/>
          <w:szCs w:val="26"/>
          <w:lang w:val="lt-LT"/>
        </w:rPr>
        <w:t xml:space="preserve">tos </w:t>
      </w:r>
      <w:r w:rsidR="00CE33F5" w:rsidRPr="005F44E6">
        <w:rPr>
          <w:sz w:val="26"/>
          <w:szCs w:val="26"/>
          <w:lang w:val="lt-LT"/>
        </w:rPr>
        <w:t>audito įmonės (auditoriaus) nepriklausomumo ir kompetencijos rizik</w:t>
      </w:r>
      <w:r w:rsidR="00262A15" w:rsidRPr="005F44E6">
        <w:rPr>
          <w:sz w:val="26"/>
          <w:szCs w:val="26"/>
          <w:lang w:val="lt-LT"/>
        </w:rPr>
        <w:t xml:space="preserve">os). </w:t>
      </w:r>
      <w:r w:rsidR="00305F53">
        <w:rPr>
          <w:sz w:val="26"/>
          <w:szCs w:val="26"/>
          <w:lang w:val="lt-LT"/>
        </w:rPr>
        <w:t xml:space="preserve">Nors </w:t>
      </w:r>
      <w:r w:rsidR="00262A15" w:rsidRPr="005F44E6">
        <w:rPr>
          <w:sz w:val="26"/>
          <w:szCs w:val="26"/>
          <w:lang w:val="lt-LT"/>
        </w:rPr>
        <w:t xml:space="preserve">V. Beatie, S. Fearnley, R. Brandt (2002) audito rizikos </w:t>
      </w:r>
      <w:r w:rsidR="00F2417A" w:rsidRPr="005F44E6">
        <w:rPr>
          <w:sz w:val="26"/>
          <w:szCs w:val="26"/>
          <w:lang w:val="lt-LT"/>
        </w:rPr>
        <w:t xml:space="preserve">modelis pripažįsta audito rizikos komponentų visumą, t. y. riziką dėl </w:t>
      </w:r>
      <w:r w:rsidR="00C527C2" w:rsidRPr="005F44E6">
        <w:rPr>
          <w:sz w:val="26"/>
          <w:szCs w:val="26"/>
          <w:lang w:val="lt-LT"/>
        </w:rPr>
        <w:lastRenderedPageBreak/>
        <w:t xml:space="preserve">audituojamos </w:t>
      </w:r>
      <w:r w:rsidR="00F2417A" w:rsidRPr="005F44E6">
        <w:rPr>
          <w:sz w:val="26"/>
          <w:szCs w:val="26"/>
          <w:lang w:val="lt-LT"/>
        </w:rPr>
        <w:t>įmonės ir dėl audito įmo</w:t>
      </w:r>
      <w:r w:rsidR="00F2417A" w:rsidRPr="007D690B">
        <w:rPr>
          <w:sz w:val="26"/>
          <w:szCs w:val="26"/>
          <w:lang w:val="lt-LT"/>
        </w:rPr>
        <w:t>nės</w:t>
      </w:r>
      <w:r w:rsidR="00305F53" w:rsidRPr="007D690B">
        <w:rPr>
          <w:sz w:val="26"/>
          <w:szCs w:val="26"/>
          <w:lang w:val="lt-LT"/>
        </w:rPr>
        <w:t>, tačiau j</w:t>
      </w:r>
      <w:r w:rsidR="00684757" w:rsidRPr="007D690B">
        <w:rPr>
          <w:sz w:val="26"/>
          <w:szCs w:val="26"/>
          <w:lang w:val="lt-LT"/>
        </w:rPr>
        <w:t>ame papildomai išskirtos motyvacijos rizika, periodų ir sandorių specifinės rizikos daro š</w:t>
      </w:r>
      <w:r w:rsidR="001C52FC" w:rsidRPr="007D690B">
        <w:rPr>
          <w:sz w:val="26"/>
          <w:szCs w:val="26"/>
          <w:lang w:val="lt-LT"/>
        </w:rPr>
        <w:t>ių autorių siūlomą</w:t>
      </w:r>
      <w:r w:rsidR="00684757" w:rsidRPr="007D690B">
        <w:rPr>
          <w:sz w:val="26"/>
          <w:szCs w:val="26"/>
          <w:lang w:val="lt-LT"/>
        </w:rPr>
        <w:t xml:space="preserve"> modelį tik sudėtingesnį, o ne suprantamesnį</w:t>
      </w:r>
      <w:r w:rsidR="00203AF6" w:rsidRPr="007D690B">
        <w:rPr>
          <w:sz w:val="26"/>
          <w:szCs w:val="26"/>
          <w:lang w:val="lt-LT"/>
        </w:rPr>
        <w:t>;</w:t>
      </w:r>
    </w:p>
    <w:p w:rsidR="00611DE5" w:rsidRPr="007D690B" w:rsidRDefault="009E7EF1" w:rsidP="00D730C0">
      <w:pPr>
        <w:pStyle w:val="ListParagraph"/>
        <w:numPr>
          <w:ilvl w:val="0"/>
          <w:numId w:val="23"/>
        </w:numPr>
        <w:tabs>
          <w:tab w:val="left" w:pos="1134"/>
        </w:tabs>
        <w:spacing w:line="360" w:lineRule="auto"/>
        <w:ind w:left="0" w:firstLine="720"/>
        <w:jc w:val="both"/>
        <w:rPr>
          <w:i/>
          <w:sz w:val="26"/>
          <w:szCs w:val="26"/>
          <w:lang w:val="lt-LT"/>
        </w:rPr>
      </w:pPr>
      <w:r w:rsidRPr="005F44E6">
        <w:rPr>
          <w:sz w:val="26"/>
          <w:szCs w:val="26"/>
          <w:lang w:val="lt-LT"/>
        </w:rPr>
        <w:t xml:space="preserve"> </w:t>
      </w:r>
      <w:r w:rsidR="00E05B00" w:rsidRPr="005F44E6">
        <w:rPr>
          <w:sz w:val="26"/>
          <w:szCs w:val="26"/>
          <w:lang w:val="lt-LT"/>
        </w:rPr>
        <w:t>nagrinėti</w:t>
      </w:r>
      <w:r w:rsidR="00E7008D" w:rsidRPr="005F44E6">
        <w:rPr>
          <w:sz w:val="26"/>
          <w:szCs w:val="26"/>
          <w:lang w:val="lt-LT"/>
        </w:rPr>
        <w:t xml:space="preserve"> </w:t>
      </w:r>
      <w:r w:rsidR="00813746" w:rsidRPr="005F44E6">
        <w:rPr>
          <w:sz w:val="26"/>
          <w:szCs w:val="26"/>
          <w:lang w:val="lt-LT"/>
        </w:rPr>
        <w:t xml:space="preserve">audito rizikos </w:t>
      </w:r>
      <w:r w:rsidR="009D2096" w:rsidRPr="005F44E6">
        <w:rPr>
          <w:sz w:val="26"/>
          <w:szCs w:val="26"/>
          <w:lang w:val="lt-LT"/>
        </w:rPr>
        <w:t>modeli</w:t>
      </w:r>
      <w:r w:rsidR="00E7008D" w:rsidRPr="005F44E6">
        <w:rPr>
          <w:sz w:val="26"/>
          <w:szCs w:val="26"/>
          <w:lang w:val="lt-LT"/>
        </w:rPr>
        <w:t xml:space="preserve">ai, išskyrus </w:t>
      </w:r>
      <w:r w:rsidR="00E7008D" w:rsidRPr="005F44E6">
        <w:rPr>
          <w:color w:val="000000" w:themeColor="text1"/>
          <w:sz w:val="26"/>
          <w:szCs w:val="26"/>
          <w:lang w:val="lt-LT"/>
        </w:rPr>
        <w:t>R. P. Srivastava, G.</w:t>
      </w:r>
      <w:r w:rsidR="005F44E6">
        <w:rPr>
          <w:color w:val="000000" w:themeColor="text1"/>
          <w:sz w:val="26"/>
          <w:szCs w:val="26"/>
          <w:lang w:val="lt-LT"/>
        </w:rPr>
        <w:t> </w:t>
      </w:r>
      <w:r w:rsidR="00E7008D" w:rsidRPr="005F44E6">
        <w:rPr>
          <w:color w:val="000000" w:themeColor="text1"/>
          <w:sz w:val="26"/>
          <w:szCs w:val="26"/>
          <w:lang w:val="lt-LT"/>
        </w:rPr>
        <w:t>R.</w:t>
      </w:r>
      <w:r w:rsidR="005F44E6">
        <w:rPr>
          <w:color w:val="000000" w:themeColor="text1"/>
          <w:sz w:val="26"/>
          <w:szCs w:val="26"/>
          <w:lang w:val="lt-LT"/>
        </w:rPr>
        <w:t> </w:t>
      </w:r>
      <w:r w:rsidR="00E7008D" w:rsidRPr="005F44E6">
        <w:rPr>
          <w:color w:val="000000" w:themeColor="text1"/>
          <w:sz w:val="26"/>
          <w:szCs w:val="26"/>
          <w:lang w:val="lt-LT"/>
        </w:rPr>
        <w:t>Shafer (1992)</w:t>
      </w:r>
      <w:r w:rsidRPr="005F44E6">
        <w:rPr>
          <w:color w:val="000000" w:themeColor="text1"/>
          <w:sz w:val="26"/>
          <w:szCs w:val="26"/>
          <w:lang w:val="lt-LT"/>
        </w:rPr>
        <w:t xml:space="preserve"> ir </w:t>
      </w:r>
      <w:r w:rsidRPr="005F44E6">
        <w:rPr>
          <w:sz w:val="26"/>
          <w:szCs w:val="26"/>
          <w:lang w:val="lt-LT"/>
        </w:rPr>
        <w:t xml:space="preserve">B. Bell, M. E. Peecher, I. Solomon (2005) </w:t>
      </w:r>
      <w:r w:rsidR="00E7008D" w:rsidRPr="005F44E6">
        <w:rPr>
          <w:color w:val="000000" w:themeColor="text1"/>
          <w:sz w:val="26"/>
          <w:szCs w:val="26"/>
          <w:lang w:val="lt-LT"/>
        </w:rPr>
        <w:t>model</w:t>
      </w:r>
      <w:r w:rsidRPr="005F44E6">
        <w:rPr>
          <w:color w:val="000000" w:themeColor="text1"/>
          <w:sz w:val="26"/>
          <w:szCs w:val="26"/>
          <w:lang w:val="lt-LT"/>
        </w:rPr>
        <w:t>ius</w:t>
      </w:r>
      <w:r w:rsidR="00E7008D" w:rsidRPr="005F44E6">
        <w:rPr>
          <w:color w:val="000000" w:themeColor="text1"/>
          <w:sz w:val="26"/>
          <w:szCs w:val="26"/>
          <w:lang w:val="lt-LT"/>
        </w:rPr>
        <w:t xml:space="preserve">, </w:t>
      </w:r>
      <w:r w:rsidR="009D2096" w:rsidRPr="005F44E6">
        <w:rPr>
          <w:i/>
          <w:sz w:val="26"/>
          <w:szCs w:val="26"/>
          <w:lang w:val="lt-LT"/>
        </w:rPr>
        <w:t>neišsprendžia agregacijos problemos</w:t>
      </w:r>
      <w:r w:rsidR="009D2096" w:rsidRPr="005F44E6">
        <w:rPr>
          <w:sz w:val="26"/>
          <w:szCs w:val="26"/>
          <w:lang w:val="lt-LT"/>
        </w:rPr>
        <w:t xml:space="preserve">, t. y. neparodo, kad </w:t>
      </w:r>
      <w:r w:rsidR="004655E1" w:rsidRPr="005F44E6">
        <w:rPr>
          <w:sz w:val="26"/>
          <w:szCs w:val="26"/>
          <w:lang w:val="lt-LT"/>
        </w:rPr>
        <w:t xml:space="preserve">audito riziką ir kiekvieną jos komponentą reikia (per)vertinti ne tiktai </w:t>
      </w:r>
      <w:r w:rsidR="0025194A" w:rsidRPr="005F44E6">
        <w:rPr>
          <w:sz w:val="26"/>
          <w:szCs w:val="26"/>
          <w:lang w:val="lt-LT"/>
        </w:rPr>
        <w:t>tvirtinimo</w:t>
      </w:r>
      <w:r w:rsidR="00ED471B" w:rsidRPr="005F44E6">
        <w:rPr>
          <w:sz w:val="26"/>
          <w:szCs w:val="26"/>
          <w:lang w:val="lt-LT"/>
        </w:rPr>
        <w:t xml:space="preserve"> </w:t>
      </w:r>
      <w:r w:rsidR="004655E1" w:rsidRPr="005F44E6">
        <w:rPr>
          <w:sz w:val="26"/>
          <w:szCs w:val="26"/>
          <w:lang w:val="lt-LT"/>
        </w:rPr>
        <w:t>lygmen</w:t>
      </w:r>
      <w:r w:rsidR="001B186D" w:rsidRPr="005F44E6">
        <w:rPr>
          <w:sz w:val="26"/>
          <w:szCs w:val="26"/>
          <w:lang w:val="lt-LT"/>
        </w:rPr>
        <w:t>iu</w:t>
      </w:r>
      <w:r w:rsidR="00203AF6" w:rsidRPr="005F44E6">
        <w:rPr>
          <w:sz w:val="26"/>
          <w:szCs w:val="26"/>
          <w:lang w:val="lt-LT"/>
        </w:rPr>
        <w:t xml:space="preserve">, </w:t>
      </w:r>
      <w:r w:rsidR="00611DE5" w:rsidRPr="005F44E6">
        <w:rPr>
          <w:sz w:val="26"/>
          <w:szCs w:val="26"/>
          <w:lang w:val="lt-LT"/>
        </w:rPr>
        <w:t>ūkinių operacijų grupių ir sąskaitų likučių,</w:t>
      </w:r>
      <w:r w:rsidR="00FE3259" w:rsidRPr="005F44E6">
        <w:rPr>
          <w:sz w:val="26"/>
          <w:szCs w:val="26"/>
          <w:lang w:val="lt-LT"/>
        </w:rPr>
        <w:t xml:space="preserve"> bet ir finansinių ataskaitų lygmeniu</w:t>
      </w:r>
      <w:r w:rsidR="00611DE5" w:rsidRPr="005F44E6">
        <w:rPr>
          <w:sz w:val="26"/>
          <w:szCs w:val="26"/>
          <w:lang w:val="lt-LT"/>
        </w:rPr>
        <w:t xml:space="preserve">. </w:t>
      </w:r>
      <w:r w:rsidR="00611DE5" w:rsidRPr="007D690B">
        <w:rPr>
          <w:sz w:val="26"/>
          <w:szCs w:val="26"/>
          <w:lang w:val="lt-LT"/>
        </w:rPr>
        <w:t>T</w:t>
      </w:r>
      <w:r w:rsidR="00684757" w:rsidRPr="007D690B">
        <w:rPr>
          <w:sz w:val="26"/>
          <w:szCs w:val="26"/>
          <w:lang w:val="lt-LT"/>
        </w:rPr>
        <w:t>odėl toliau plėtojant audito rizikos vertinimo modelį</w:t>
      </w:r>
      <w:r w:rsidR="002247C6" w:rsidRPr="007D690B">
        <w:rPr>
          <w:sz w:val="26"/>
          <w:szCs w:val="26"/>
          <w:lang w:val="lt-LT"/>
        </w:rPr>
        <w:t xml:space="preserve">, </w:t>
      </w:r>
      <w:r w:rsidR="00611DE5" w:rsidRPr="007D690B">
        <w:rPr>
          <w:sz w:val="26"/>
          <w:szCs w:val="26"/>
          <w:lang w:val="lt-LT"/>
        </w:rPr>
        <w:t>audito rizikos agregacijos problem</w:t>
      </w:r>
      <w:r w:rsidR="002247C6" w:rsidRPr="007D690B">
        <w:rPr>
          <w:sz w:val="26"/>
          <w:szCs w:val="26"/>
          <w:lang w:val="lt-LT"/>
        </w:rPr>
        <w:t xml:space="preserve">ą tikslinga spręsti </w:t>
      </w:r>
      <w:r w:rsidR="00611DE5" w:rsidRPr="007D690B">
        <w:rPr>
          <w:sz w:val="26"/>
          <w:szCs w:val="26"/>
          <w:lang w:val="lt-LT"/>
        </w:rPr>
        <w:t>finansinių ataskaitų ir atskir</w:t>
      </w:r>
      <w:r w:rsidR="00EA620C" w:rsidRPr="007D690B">
        <w:rPr>
          <w:sz w:val="26"/>
          <w:szCs w:val="26"/>
          <w:lang w:val="lt-LT"/>
        </w:rPr>
        <w:t>o</w:t>
      </w:r>
      <w:r w:rsidR="00611DE5" w:rsidRPr="007D690B">
        <w:rPr>
          <w:sz w:val="26"/>
          <w:szCs w:val="26"/>
          <w:lang w:val="lt-LT"/>
        </w:rPr>
        <w:t xml:space="preserve"> tvirtinim</w:t>
      </w:r>
      <w:r w:rsidR="00EA620C" w:rsidRPr="007D690B">
        <w:rPr>
          <w:sz w:val="26"/>
          <w:szCs w:val="26"/>
          <w:lang w:val="lt-LT"/>
        </w:rPr>
        <w:t>o</w:t>
      </w:r>
      <w:r w:rsidR="00611DE5" w:rsidRPr="007D690B">
        <w:rPr>
          <w:sz w:val="26"/>
          <w:szCs w:val="26"/>
          <w:lang w:val="lt-LT"/>
        </w:rPr>
        <w:t xml:space="preserve"> lygmenimis, </w:t>
      </w:r>
      <w:r w:rsidR="002247C6" w:rsidRPr="007D690B">
        <w:rPr>
          <w:sz w:val="26"/>
          <w:szCs w:val="26"/>
          <w:lang w:val="lt-LT"/>
        </w:rPr>
        <w:t>o a</w:t>
      </w:r>
      <w:r w:rsidR="00611DE5" w:rsidRPr="007D690B">
        <w:rPr>
          <w:sz w:val="26"/>
          <w:szCs w:val="26"/>
          <w:lang w:val="lt-LT"/>
        </w:rPr>
        <w:t xml:space="preserve">udito rizikos komponentų vertinimas </w:t>
      </w:r>
      <w:r w:rsidR="0025194A" w:rsidRPr="007D690B">
        <w:rPr>
          <w:sz w:val="26"/>
          <w:szCs w:val="26"/>
          <w:lang w:val="lt-LT"/>
        </w:rPr>
        <w:t>tvirtinimo</w:t>
      </w:r>
      <w:r w:rsidR="00611DE5" w:rsidRPr="007D690B">
        <w:rPr>
          <w:sz w:val="26"/>
          <w:szCs w:val="26"/>
          <w:lang w:val="lt-LT"/>
        </w:rPr>
        <w:t xml:space="preserve"> lyg</w:t>
      </w:r>
      <w:r w:rsidR="00611DE5" w:rsidRPr="005F44E6">
        <w:rPr>
          <w:sz w:val="26"/>
          <w:szCs w:val="26"/>
          <w:lang w:val="lt-LT"/>
        </w:rPr>
        <w:t>meniu turėtų apimti atskirų ūkinių operacijų</w:t>
      </w:r>
      <w:r w:rsidR="002247C6">
        <w:rPr>
          <w:sz w:val="26"/>
          <w:szCs w:val="26"/>
          <w:lang w:val="lt-LT"/>
        </w:rPr>
        <w:t xml:space="preserve"> grupių</w:t>
      </w:r>
      <w:r w:rsidR="00611DE5" w:rsidRPr="005F44E6">
        <w:rPr>
          <w:sz w:val="26"/>
          <w:szCs w:val="26"/>
          <w:lang w:val="lt-LT"/>
        </w:rPr>
        <w:t>, sąskaitų likučių ir susijusių atskleidimų ypatumų svarstymą</w:t>
      </w:r>
      <w:r w:rsidR="00C731C6" w:rsidRPr="005F44E6">
        <w:rPr>
          <w:sz w:val="26"/>
          <w:szCs w:val="26"/>
          <w:lang w:val="lt-LT"/>
        </w:rPr>
        <w:t xml:space="preserve">. </w:t>
      </w:r>
      <w:r w:rsidR="002247C6">
        <w:rPr>
          <w:sz w:val="26"/>
          <w:szCs w:val="26"/>
          <w:lang w:val="lt-LT"/>
        </w:rPr>
        <w:t xml:space="preserve">Tokios nuomonės laikosi </w:t>
      </w:r>
      <w:r w:rsidR="00C731C6" w:rsidRPr="005F44E6">
        <w:rPr>
          <w:sz w:val="26"/>
          <w:szCs w:val="26"/>
          <w:lang w:val="lt-LT"/>
        </w:rPr>
        <w:t>H. Holmes (1995)</w:t>
      </w:r>
      <w:r w:rsidR="00884A1E">
        <w:rPr>
          <w:sz w:val="26"/>
          <w:szCs w:val="26"/>
          <w:lang w:val="lt-LT"/>
        </w:rPr>
        <w:t xml:space="preserve"> ir</w:t>
      </w:r>
      <w:r w:rsidR="00C731C6" w:rsidRPr="005F44E6">
        <w:rPr>
          <w:sz w:val="26"/>
          <w:szCs w:val="26"/>
          <w:lang w:val="lt-LT"/>
        </w:rPr>
        <w:t xml:space="preserve"> B. K</w:t>
      </w:r>
      <w:r w:rsidR="00C731C6" w:rsidRPr="007D690B">
        <w:rPr>
          <w:sz w:val="26"/>
          <w:szCs w:val="26"/>
          <w:lang w:val="lt-LT"/>
        </w:rPr>
        <w:t>. Ghosh (2005)</w:t>
      </w:r>
      <w:r w:rsidR="002247C6" w:rsidRPr="007D690B">
        <w:rPr>
          <w:sz w:val="26"/>
          <w:szCs w:val="26"/>
          <w:lang w:val="lt-LT"/>
        </w:rPr>
        <w:t xml:space="preserve">, tačiau jie </w:t>
      </w:r>
      <w:r w:rsidR="001C52FC" w:rsidRPr="007D690B">
        <w:rPr>
          <w:sz w:val="26"/>
          <w:szCs w:val="26"/>
          <w:lang w:val="lt-LT"/>
        </w:rPr>
        <w:t xml:space="preserve">to </w:t>
      </w:r>
      <w:r w:rsidR="002247C6" w:rsidRPr="007D690B">
        <w:rPr>
          <w:sz w:val="26"/>
          <w:szCs w:val="26"/>
          <w:lang w:val="lt-LT"/>
        </w:rPr>
        <w:t>neapibendrina</w:t>
      </w:r>
      <w:r w:rsidR="001C52FC" w:rsidRPr="007D690B">
        <w:rPr>
          <w:sz w:val="26"/>
          <w:szCs w:val="26"/>
          <w:lang w:val="lt-LT"/>
        </w:rPr>
        <w:t xml:space="preserve"> savo modeliuose</w:t>
      </w:r>
      <w:r w:rsidR="00611DE5" w:rsidRPr="007D690B">
        <w:rPr>
          <w:sz w:val="26"/>
          <w:szCs w:val="26"/>
          <w:lang w:val="lt-LT"/>
        </w:rPr>
        <w:t>;</w:t>
      </w:r>
    </w:p>
    <w:p w:rsidR="00DB76EF" w:rsidRPr="007D690B" w:rsidRDefault="009E7EF1" w:rsidP="00D730C0">
      <w:pPr>
        <w:pStyle w:val="ListParagraph"/>
        <w:numPr>
          <w:ilvl w:val="0"/>
          <w:numId w:val="23"/>
        </w:numPr>
        <w:tabs>
          <w:tab w:val="left" w:pos="1134"/>
        </w:tabs>
        <w:spacing w:line="360" w:lineRule="auto"/>
        <w:ind w:left="0" w:firstLine="720"/>
        <w:jc w:val="both"/>
        <w:rPr>
          <w:i/>
          <w:sz w:val="26"/>
          <w:szCs w:val="26"/>
          <w:lang w:val="lt-LT"/>
        </w:rPr>
      </w:pPr>
      <w:r w:rsidRPr="007D690B">
        <w:rPr>
          <w:sz w:val="26"/>
          <w:szCs w:val="26"/>
          <w:lang w:val="lt-LT"/>
        </w:rPr>
        <w:t xml:space="preserve">tik ABREMA </w:t>
      </w:r>
      <w:r w:rsidR="00E478DF" w:rsidRPr="007D690B">
        <w:rPr>
          <w:sz w:val="26"/>
          <w:szCs w:val="26"/>
          <w:lang w:val="lt-LT"/>
        </w:rPr>
        <w:t xml:space="preserve">(1995) ir B. Bell, M. E. Peecher, I. Solomon (2005) audito rizikos modeliai </w:t>
      </w:r>
      <w:r w:rsidRPr="007D690B">
        <w:rPr>
          <w:sz w:val="26"/>
          <w:szCs w:val="26"/>
          <w:lang w:val="lt-LT"/>
        </w:rPr>
        <w:t xml:space="preserve">atskleidžia, kad </w:t>
      </w:r>
      <w:r w:rsidRPr="007D690B">
        <w:rPr>
          <w:i/>
          <w:sz w:val="26"/>
          <w:szCs w:val="26"/>
          <w:lang w:val="lt-LT"/>
        </w:rPr>
        <w:t xml:space="preserve">audito rizika ir/ar jos komponentai </w:t>
      </w:r>
      <w:r w:rsidR="00C731C6" w:rsidRPr="007D690B">
        <w:rPr>
          <w:i/>
          <w:sz w:val="26"/>
          <w:szCs w:val="26"/>
          <w:lang w:val="lt-LT"/>
        </w:rPr>
        <w:t>(per)</w:t>
      </w:r>
      <w:r w:rsidRPr="007D690B">
        <w:rPr>
          <w:i/>
          <w:sz w:val="26"/>
          <w:szCs w:val="26"/>
          <w:lang w:val="lt-LT"/>
        </w:rPr>
        <w:t xml:space="preserve">vertinami </w:t>
      </w:r>
      <w:r w:rsidR="00692D56" w:rsidRPr="007D690B">
        <w:rPr>
          <w:i/>
          <w:sz w:val="26"/>
          <w:szCs w:val="26"/>
          <w:lang w:val="lt-LT"/>
        </w:rPr>
        <w:t>tam tikrame</w:t>
      </w:r>
      <w:r w:rsidRPr="007D690B">
        <w:rPr>
          <w:i/>
          <w:sz w:val="26"/>
          <w:szCs w:val="26"/>
          <w:lang w:val="lt-LT"/>
        </w:rPr>
        <w:t xml:space="preserve"> audito etape</w:t>
      </w:r>
      <w:r w:rsidRPr="007D690B">
        <w:rPr>
          <w:sz w:val="26"/>
          <w:szCs w:val="26"/>
          <w:lang w:val="lt-LT"/>
        </w:rPr>
        <w:t xml:space="preserve">, tačiau </w:t>
      </w:r>
      <w:r w:rsidR="008E62C6" w:rsidRPr="007D690B">
        <w:rPr>
          <w:sz w:val="26"/>
          <w:szCs w:val="26"/>
          <w:lang w:val="lt-LT"/>
        </w:rPr>
        <w:t xml:space="preserve">nei vienas iš aptartųjų audito rizikos modelių </w:t>
      </w:r>
      <w:r w:rsidR="008E62C6" w:rsidRPr="007D690B">
        <w:rPr>
          <w:i/>
          <w:sz w:val="26"/>
          <w:szCs w:val="26"/>
          <w:lang w:val="lt-LT"/>
        </w:rPr>
        <w:t xml:space="preserve">neatskleidžia </w:t>
      </w:r>
      <w:r w:rsidR="004E6E52" w:rsidRPr="007D690B">
        <w:rPr>
          <w:i/>
          <w:sz w:val="26"/>
          <w:szCs w:val="26"/>
          <w:lang w:val="lt-LT"/>
        </w:rPr>
        <w:t>iteratyvin</w:t>
      </w:r>
      <w:r w:rsidR="008E62C6" w:rsidRPr="007D690B">
        <w:rPr>
          <w:i/>
          <w:sz w:val="26"/>
          <w:szCs w:val="26"/>
          <w:lang w:val="lt-LT"/>
        </w:rPr>
        <w:t>ės</w:t>
      </w:r>
      <w:r w:rsidR="004E6E52" w:rsidRPr="007D690B">
        <w:rPr>
          <w:i/>
          <w:sz w:val="26"/>
          <w:szCs w:val="26"/>
          <w:lang w:val="lt-LT"/>
        </w:rPr>
        <w:t xml:space="preserve"> sprendimų priėmimo proceso prigimt</w:t>
      </w:r>
      <w:r w:rsidR="008E62C6" w:rsidRPr="007D690B">
        <w:rPr>
          <w:i/>
          <w:sz w:val="26"/>
          <w:szCs w:val="26"/>
          <w:lang w:val="lt-LT"/>
        </w:rPr>
        <w:t>ies</w:t>
      </w:r>
      <w:r w:rsidR="008E62C6" w:rsidRPr="007D690B">
        <w:rPr>
          <w:sz w:val="26"/>
          <w:szCs w:val="26"/>
          <w:lang w:val="lt-LT"/>
        </w:rPr>
        <w:t xml:space="preserve"> arba</w:t>
      </w:r>
      <w:r w:rsidR="00E478DF" w:rsidRPr="007D690B">
        <w:rPr>
          <w:sz w:val="26"/>
          <w:szCs w:val="26"/>
          <w:lang w:val="lt-LT"/>
        </w:rPr>
        <w:t xml:space="preserve"> kitaip „</w:t>
      </w:r>
      <w:r w:rsidR="004E6E52" w:rsidRPr="007D690B">
        <w:rPr>
          <w:sz w:val="26"/>
          <w:szCs w:val="26"/>
          <w:lang w:val="lt-LT"/>
        </w:rPr>
        <w:t>įrodymais ir įsitikinimu paremt</w:t>
      </w:r>
      <w:r w:rsidR="00566956" w:rsidRPr="007D690B">
        <w:rPr>
          <w:sz w:val="26"/>
          <w:szCs w:val="26"/>
          <w:lang w:val="lt-LT"/>
        </w:rPr>
        <w:t>o</w:t>
      </w:r>
      <w:r w:rsidR="004E6E52" w:rsidRPr="007D690B">
        <w:rPr>
          <w:sz w:val="26"/>
          <w:szCs w:val="26"/>
          <w:lang w:val="lt-LT"/>
        </w:rPr>
        <w:t xml:space="preserve"> rizikos vertinim</w:t>
      </w:r>
      <w:r w:rsidR="008E62C6" w:rsidRPr="007D690B">
        <w:rPr>
          <w:sz w:val="26"/>
          <w:szCs w:val="26"/>
          <w:lang w:val="lt-LT"/>
        </w:rPr>
        <w:t xml:space="preserve">o </w:t>
      </w:r>
      <w:r w:rsidR="004E6E52" w:rsidRPr="007D690B">
        <w:rPr>
          <w:sz w:val="26"/>
          <w:szCs w:val="26"/>
          <w:lang w:val="lt-LT"/>
        </w:rPr>
        <w:t>pasikartojanči</w:t>
      </w:r>
      <w:r w:rsidR="008E62C6" w:rsidRPr="007D690B">
        <w:rPr>
          <w:sz w:val="26"/>
          <w:szCs w:val="26"/>
          <w:lang w:val="lt-LT"/>
        </w:rPr>
        <w:t>o</w:t>
      </w:r>
      <w:r w:rsidR="004E6E52" w:rsidRPr="007D690B">
        <w:rPr>
          <w:sz w:val="26"/>
          <w:szCs w:val="26"/>
          <w:lang w:val="lt-LT"/>
        </w:rPr>
        <w:t>-nuolatini</w:t>
      </w:r>
      <w:r w:rsidR="008E62C6" w:rsidRPr="007D690B">
        <w:rPr>
          <w:sz w:val="26"/>
          <w:szCs w:val="26"/>
          <w:lang w:val="lt-LT"/>
        </w:rPr>
        <w:t>o</w:t>
      </w:r>
      <w:r w:rsidR="004E6E52" w:rsidRPr="007D690B">
        <w:rPr>
          <w:sz w:val="26"/>
          <w:szCs w:val="26"/>
          <w:lang w:val="lt-LT"/>
        </w:rPr>
        <w:t xml:space="preserve"> proces</w:t>
      </w:r>
      <w:r w:rsidR="008E62C6" w:rsidRPr="007D690B">
        <w:rPr>
          <w:sz w:val="26"/>
          <w:szCs w:val="26"/>
          <w:lang w:val="lt-LT"/>
        </w:rPr>
        <w:t>o</w:t>
      </w:r>
      <w:r w:rsidR="00E478DF" w:rsidRPr="007D690B">
        <w:rPr>
          <w:sz w:val="26"/>
          <w:szCs w:val="26"/>
          <w:lang w:val="lt-LT"/>
        </w:rPr>
        <w:t>“</w:t>
      </w:r>
      <w:r w:rsidR="004E6E52" w:rsidRPr="007D690B">
        <w:rPr>
          <w:sz w:val="26"/>
          <w:szCs w:val="26"/>
          <w:lang w:val="lt-LT"/>
        </w:rPr>
        <w:t xml:space="preserve">. </w:t>
      </w:r>
      <w:r w:rsidR="00530F56" w:rsidRPr="007D690B">
        <w:rPr>
          <w:sz w:val="26"/>
          <w:szCs w:val="26"/>
          <w:lang w:val="lt-LT"/>
        </w:rPr>
        <w:t xml:space="preserve">O juk </w:t>
      </w:r>
      <w:r w:rsidR="00B95151" w:rsidRPr="007D690B">
        <w:rPr>
          <w:sz w:val="26"/>
          <w:szCs w:val="26"/>
          <w:lang w:val="lt-LT"/>
        </w:rPr>
        <w:t xml:space="preserve">pasikeitimai </w:t>
      </w:r>
      <w:r w:rsidR="00530F56" w:rsidRPr="007D690B">
        <w:rPr>
          <w:sz w:val="26"/>
          <w:szCs w:val="26"/>
          <w:lang w:val="lt-LT"/>
        </w:rPr>
        <w:t>audito rizikos vertinime</w:t>
      </w:r>
      <w:r w:rsidR="00B95151" w:rsidRPr="007D690B">
        <w:rPr>
          <w:sz w:val="26"/>
          <w:szCs w:val="26"/>
          <w:lang w:val="lt-LT"/>
        </w:rPr>
        <w:t xml:space="preserve"> turėtų veikti auditoriaus darbą</w:t>
      </w:r>
      <w:r w:rsidR="00DB76EF" w:rsidRPr="007D690B">
        <w:rPr>
          <w:sz w:val="26"/>
          <w:szCs w:val="26"/>
          <w:lang w:val="lt-LT"/>
        </w:rPr>
        <w:t xml:space="preserve"> (numatant patikslintus audito rizikos komponentų dydžius, toliau tiriant nustatytus iškraipymus</w:t>
      </w:r>
      <w:r w:rsidR="00516222" w:rsidRPr="007D690B">
        <w:rPr>
          <w:sz w:val="26"/>
          <w:szCs w:val="26"/>
          <w:lang w:val="lt-LT"/>
        </w:rPr>
        <w:t xml:space="preserve"> ir atitinkamai juos</w:t>
      </w:r>
      <w:r w:rsidR="00DB76EF" w:rsidRPr="007D690B">
        <w:rPr>
          <w:sz w:val="26"/>
          <w:szCs w:val="26"/>
          <w:lang w:val="lt-LT"/>
        </w:rPr>
        <w:t xml:space="preserve"> koreg</w:t>
      </w:r>
      <w:r w:rsidR="00516222" w:rsidRPr="007D690B">
        <w:rPr>
          <w:sz w:val="26"/>
          <w:szCs w:val="26"/>
          <w:lang w:val="lt-LT"/>
        </w:rPr>
        <w:t>uojant)</w:t>
      </w:r>
      <w:r w:rsidR="00DB76EF" w:rsidRPr="007D690B">
        <w:rPr>
          <w:sz w:val="26"/>
          <w:szCs w:val="26"/>
          <w:lang w:val="lt-LT"/>
        </w:rPr>
        <w:t>.</w:t>
      </w:r>
      <w:r w:rsidR="001C52FC" w:rsidRPr="007D690B">
        <w:rPr>
          <w:sz w:val="26"/>
          <w:szCs w:val="26"/>
          <w:lang w:val="lt-LT"/>
        </w:rPr>
        <w:t xml:space="preserve"> Todėl šiuo atžvilgiu audito rizikos vertinimo modelis taip pat yra tobulintinas.</w:t>
      </w:r>
    </w:p>
    <w:p w:rsidR="001C52FC" w:rsidRPr="007D690B" w:rsidRDefault="001C52FC" w:rsidP="001C52FC">
      <w:pPr>
        <w:tabs>
          <w:tab w:val="left" w:pos="567"/>
        </w:tabs>
        <w:spacing w:line="360" w:lineRule="auto"/>
        <w:jc w:val="both"/>
        <w:rPr>
          <w:sz w:val="26"/>
          <w:szCs w:val="26"/>
          <w:lang w:val="lt-LT"/>
        </w:rPr>
      </w:pPr>
      <w:r>
        <w:rPr>
          <w:sz w:val="26"/>
          <w:szCs w:val="26"/>
          <w:lang w:val="lt-LT"/>
        </w:rPr>
        <w:tab/>
      </w:r>
      <w:r w:rsidRPr="007D690B">
        <w:rPr>
          <w:sz w:val="26"/>
          <w:szCs w:val="26"/>
          <w:lang w:val="lt-LT"/>
        </w:rPr>
        <w:t xml:space="preserve">Kadangi nė vienas iš </w:t>
      </w:r>
      <w:r w:rsidR="00AD4AB9" w:rsidRPr="007D690B">
        <w:rPr>
          <w:sz w:val="26"/>
          <w:szCs w:val="26"/>
          <w:lang w:val="lt-LT"/>
        </w:rPr>
        <w:t xml:space="preserve">10 </w:t>
      </w:r>
      <w:r w:rsidRPr="007D690B">
        <w:rPr>
          <w:sz w:val="26"/>
          <w:szCs w:val="26"/>
          <w:lang w:val="lt-LT"/>
        </w:rPr>
        <w:t xml:space="preserve">analizuotų audito rizikos modelių nėra pakankamai išsamus ir pilnai neatspindi audito rizikos vertinimo esmės, </w:t>
      </w:r>
      <w:r w:rsidR="00AD4AB9" w:rsidRPr="007D690B">
        <w:rPr>
          <w:sz w:val="26"/>
          <w:szCs w:val="26"/>
          <w:lang w:val="lt-LT"/>
        </w:rPr>
        <w:t xml:space="preserve">darbo autorės siūlomos </w:t>
      </w:r>
      <w:r w:rsidRPr="007D690B">
        <w:rPr>
          <w:sz w:val="26"/>
          <w:szCs w:val="26"/>
          <w:lang w:val="lt-LT"/>
        </w:rPr>
        <w:t>audito rizikos vertinimo modeli</w:t>
      </w:r>
      <w:r w:rsidR="00CE2736" w:rsidRPr="007D690B">
        <w:rPr>
          <w:sz w:val="26"/>
          <w:szCs w:val="26"/>
          <w:lang w:val="lt-LT"/>
        </w:rPr>
        <w:t>o tobulinimo kryptys</w:t>
      </w:r>
      <w:r w:rsidR="00AD4AB9" w:rsidRPr="007D690B">
        <w:rPr>
          <w:sz w:val="26"/>
          <w:szCs w:val="26"/>
          <w:lang w:val="lt-LT"/>
        </w:rPr>
        <w:t xml:space="preserve"> apibendrintos 18</w:t>
      </w:r>
      <w:r w:rsidRPr="007D690B">
        <w:rPr>
          <w:sz w:val="26"/>
          <w:szCs w:val="26"/>
          <w:lang w:val="lt-LT"/>
        </w:rPr>
        <w:t xml:space="preserve"> lentelėje. </w:t>
      </w:r>
      <w:r w:rsidR="00B8157B" w:rsidRPr="007D690B">
        <w:rPr>
          <w:sz w:val="26"/>
          <w:szCs w:val="26"/>
          <w:lang w:val="lt-LT"/>
        </w:rPr>
        <w:t>Šioje lentelėje taip pat pateiktos audito rizikos vertinimo m</w:t>
      </w:r>
      <w:r w:rsidR="00AD4AB9" w:rsidRPr="007D690B">
        <w:rPr>
          <w:sz w:val="26"/>
          <w:szCs w:val="26"/>
          <w:lang w:val="lt-LT"/>
        </w:rPr>
        <w:t>odelio tobulinimo kryptys, kuria</w:t>
      </w:r>
      <w:r w:rsidR="00B8157B" w:rsidRPr="007D690B">
        <w:rPr>
          <w:sz w:val="26"/>
          <w:szCs w:val="26"/>
          <w:lang w:val="lt-LT"/>
        </w:rPr>
        <w:t xml:space="preserve">s </w:t>
      </w:r>
      <w:r w:rsidR="00AD4AB9" w:rsidRPr="007D690B">
        <w:rPr>
          <w:sz w:val="26"/>
          <w:szCs w:val="26"/>
          <w:lang w:val="lt-LT"/>
        </w:rPr>
        <w:t>įvardijo B. E. Cushing ir J.</w:t>
      </w:r>
      <w:r w:rsidR="002C24E1">
        <w:rPr>
          <w:sz w:val="26"/>
          <w:szCs w:val="26"/>
          <w:lang w:val="lt-LT"/>
        </w:rPr>
        <w:t> </w:t>
      </w:r>
      <w:r w:rsidR="00AD4AB9" w:rsidRPr="007D690B">
        <w:rPr>
          <w:sz w:val="26"/>
          <w:szCs w:val="26"/>
          <w:lang w:val="lt-LT"/>
        </w:rPr>
        <w:t>K.</w:t>
      </w:r>
      <w:r w:rsidR="002C24E1">
        <w:rPr>
          <w:sz w:val="26"/>
          <w:szCs w:val="26"/>
          <w:lang w:val="lt-LT"/>
        </w:rPr>
        <w:t> </w:t>
      </w:r>
      <w:r w:rsidR="00AD4AB9" w:rsidRPr="007D690B">
        <w:rPr>
          <w:sz w:val="26"/>
          <w:szCs w:val="26"/>
          <w:lang w:val="lt-LT"/>
        </w:rPr>
        <w:t>Loebbecke (1983)</w:t>
      </w:r>
      <w:r w:rsidR="00B86676" w:rsidRPr="007D690B">
        <w:rPr>
          <w:sz w:val="26"/>
          <w:szCs w:val="26"/>
          <w:lang w:val="lt-LT"/>
        </w:rPr>
        <w:t>,</w:t>
      </w:r>
      <w:r w:rsidR="00AD4AB9" w:rsidRPr="007D690B">
        <w:rPr>
          <w:sz w:val="26"/>
          <w:szCs w:val="26"/>
          <w:lang w:val="lt-LT"/>
        </w:rPr>
        <w:t xml:space="preserve"> išnagrinėję klasikinio ir praplėsto audito rizikos modelio taikymo praktikoje galimybes.</w:t>
      </w:r>
      <w:r w:rsidR="00AD4AB9" w:rsidRPr="007D690B">
        <w:rPr>
          <w:b/>
          <w:sz w:val="22"/>
          <w:szCs w:val="22"/>
          <w:lang w:val="lt-LT"/>
        </w:rPr>
        <w:t xml:space="preserve"> </w:t>
      </w:r>
    </w:p>
    <w:p w:rsidR="00015DD5" w:rsidRPr="006F53DE" w:rsidRDefault="00516222" w:rsidP="007E77D4">
      <w:pPr>
        <w:tabs>
          <w:tab w:val="left" w:pos="567"/>
        </w:tabs>
        <w:spacing w:line="360" w:lineRule="auto"/>
        <w:jc w:val="both"/>
        <w:rPr>
          <w:i/>
          <w:sz w:val="26"/>
          <w:szCs w:val="26"/>
          <w:lang w:val="lt-LT"/>
        </w:rPr>
      </w:pPr>
      <w:r w:rsidRPr="005F44E6">
        <w:rPr>
          <w:sz w:val="26"/>
          <w:szCs w:val="26"/>
          <w:lang w:val="lt-LT"/>
        </w:rPr>
        <w:lastRenderedPageBreak/>
        <w:tab/>
      </w:r>
      <w:r w:rsidRPr="005F44E6">
        <w:rPr>
          <w:sz w:val="26"/>
          <w:szCs w:val="26"/>
          <w:lang w:val="lt-LT"/>
        </w:rPr>
        <w:tab/>
      </w:r>
      <w:r w:rsidR="00446A21" w:rsidRPr="005F44E6">
        <w:rPr>
          <w:sz w:val="26"/>
          <w:szCs w:val="26"/>
          <w:lang w:val="lt-LT"/>
        </w:rPr>
        <w:tab/>
      </w:r>
      <w:r w:rsidR="00277588" w:rsidRPr="005F44E6">
        <w:rPr>
          <w:sz w:val="26"/>
          <w:szCs w:val="26"/>
          <w:lang w:val="lt-LT"/>
        </w:rPr>
        <w:tab/>
      </w:r>
      <w:r w:rsidR="00015DD5" w:rsidRPr="005F44E6">
        <w:rPr>
          <w:sz w:val="26"/>
          <w:szCs w:val="26"/>
          <w:lang w:val="lt-LT"/>
        </w:rPr>
        <w:tab/>
      </w:r>
      <w:r w:rsidR="00015DD5" w:rsidRPr="005F44E6">
        <w:rPr>
          <w:sz w:val="26"/>
          <w:szCs w:val="26"/>
          <w:lang w:val="lt-LT"/>
        </w:rPr>
        <w:tab/>
      </w:r>
      <w:r w:rsidR="00015DD5" w:rsidRPr="005F44E6">
        <w:rPr>
          <w:sz w:val="26"/>
          <w:szCs w:val="26"/>
          <w:lang w:val="lt-LT"/>
        </w:rPr>
        <w:tab/>
      </w:r>
      <w:r w:rsidR="00015DD5" w:rsidRPr="005F44E6">
        <w:rPr>
          <w:sz w:val="26"/>
          <w:szCs w:val="26"/>
          <w:lang w:val="lt-LT"/>
        </w:rPr>
        <w:tab/>
      </w:r>
      <w:r w:rsidR="00015DD5" w:rsidRPr="005F44E6">
        <w:rPr>
          <w:sz w:val="26"/>
          <w:szCs w:val="26"/>
          <w:lang w:val="lt-LT"/>
        </w:rPr>
        <w:tab/>
      </w:r>
      <w:r w:rsidR="00015DD5" w:rsidRPr="005F44E6">
        <w:rPr>
          <w:sz w:val="26"/>
          <w:szCs w:val="26"/>
          <w:lang w:val="lt-LT"/>
        </w:rPr>
        <w:tab/>
      </w:r>
      <w:r w:rsidR="00015DD5" w:rsidRPr="005F44E6">
        <w:rPr>
          <w:sz w:val="26"/>
          <w:szCs w:val="26"/>
          <w:lang w:val="lt-LT"/>
        </w:rPr>
        <w:tab/>
      </w:r>
      <w:r w:rsidR="009A700C" w:rsidRPr="006F53DE">
        <w:rPr>
          <w:i/>
          <w:sz w:val="26"/>
          <w:szCs w:val="26"/>
          <w:lang w:val="lt-LT"/>
        </w:rPr>
        <w:t>1</w:t>
      </w:r>
      <w:r w:rsidR="00AD4AB9" w:rsidRPr="006F53DE">
        <w:rPr>
          <w:i/>
          <w:sz w:val="26"/>
          <w:szCs w:val="26"/>
          <w:lang w:val="lt-LT"/>
        </w:rPr>
        <w:t>8</w:t>
      </w:r>
      <w:r w:rsidR="00015DD5" w:rsidRPr="006F53DE">
        <w:rPr>
          <w:i/>
          <w:sz w:val="26"/>
          <w:szCs w:val="26"/>
          <w:lang w:val="lt-LT"/>
        </w:rPr>
        <w:t xml:space="preserve"> lentelė</w:t>
      </w:r>
    </w:p>
    <w:p w:rsidR="009A52A4" w:rsidRPr="005F44E6" w:rsidRDefault="00FF4364" w:rsidP="00DB0E1C">
      <w:pPr>
        <w:tabs>
          <w:tab w:val="left" w:pos="567"/>
        </w:tabs>
        <w:jc w:val="center"/>
        <w:rPr>
          <w:b/>
          <w:sz w:val="26"/>
          <w:szCs w:val="26"/>
          <w:lang w:val="lt-LT"/>
        </w:rPr>
      </w:pPr>
      <w:r w:rsidRPr="005F44E6">
        <w:rPr>
          <w:b/>
          <w:sz w:val="26"/>
          <w:szCs w:val="26"/>
          <w:lang w:val="lt-LT"/>
        </w:rPr>
        <w:t>A</w:t>
      </w:r>
      <w:r w:rsidR="009A52A4" w:rsidRPr="005F44E6">
        <w:rPr>
          <w:b/>
          <w:sz w:val="26"/>
          <w:szCs w:val="26"/>
          <w:lang w:val="lt-LT"/>
        </w:rPr>
        <w:t>udito rizikos vertinimo modeli</w:t>
      </w:r>
      <w:r w:rsidR="00015DD5" w:rsidRPr="005F44E6">
        <w:rPr>
          <w:b/>
          <w:sz w:val="26"/>
          <w:szCs w:val="26"/>
          <w:lang w:val="lt-LT"/>
        </w:rPr>
        <w:t xml:space="preserve">o </w:t>
      </w:r>
      <w:r w:rsidR="00CA0BA6">
        <w:rPr>
          <w:b/>
          <w:sz w:val="26"/>
          <w:szCs w:val="26"/>
          <w:lang w:val="lt-LT"/>
        </w:rPr>
        <w:t>tobulinimo kryptys</w:t>
      </w:r>
    </w:p>
    <w:tbl>
      <w:tblPr>
        <w:tblStyle w:val="TableGrid"/>
        <w:tblW w:w="8364" w:type="dxa"/>
        <w:tblInd w:w="108" w:type="dxa"/>
        <w:tblLook w:val="04A0"/>
      </w:tblPr>
      <w:tblGrid>
        <w:gridCol w:w="3969"/>
        <w:gridCol w:w="4395"/>
      </w:tblGrid>
      <w:tr w:rsidR="009A52A4" w:rsidRPr="005F44E6" w:rsidTr="005F44E6">
        <w:tc>
          <w:tcPr>
            <w:tcW w:w="3969" w:type="dxa"/>
          </w:tcPr>
          <w:p w:rsidR="009A52A4" w:rsidRPr="005F44E6" w:rsidRDefault="00B8157B" w:rsidP="00B8157B">
            <w:pPr>
              <w:jc w:val="both"/>
              <w:rPr>
                <w:b/>
                <w:sz w:val="22"/>
                <w:szCs w:val="22"/>
                <w:lang w:val="lt-LT"/>
              </w:rPr>
            </w:pPr>
            <w:r>
              <w:rPr>
                <w:b/>
                <w:sz w:val="22"/>
                <w:szCs w:val="22"/>
                <w:lang w:val="lt-LT"/>
              </w:rPr>
              <w:t>D</w:t>
            </w:r>
            <w:r w:rsidR="009A52A4" w:rsidRPr="005F44E6">
              <w:rPr>
                <w:b/>
                <w:sz w:val="22"/>
                <w:szCs w:val="22"/>
                <w:lang w:val="lt-LT"/>
              </w:rPr>
              <w:t>arbo autorės</w:t>
            </w:r>
            <w:r w:rsidR="00015DD5" w:rsidRPr="005F44E6">
              <w:rPr>
                <w:b/>
                <w:sz w:val="22"/>
                <w:szCs w:val="22"/>
                <w:lang w:val="lt-LT"/>
              </w:rPr>
              <w:t xml:space="preserve"> </w:t>
            </w:r>
            <w:r>
              <w:rPr>
                <w:b/>
                <w:sz w:val="22"/>
                <w:szCs w:val="22"/>
                <w:lang w:val="lt-LT"/>
              </w:rPr>
              <w:t xml:space="preserve">pagal atliktą 10 audito rizikos modelių </w:t>
            </w:r>
            <w:r w:rsidR="00F07616" w:rsidRPr="005F44E6">
              <w:rPr>
                <w:b/>
                <w:sz w:val="22"/>
                <w:szCs w:val="22"/>
                <w:lang w:val="lt-LT"/>
              </w:rPr>
              <w:t>analiz</w:t>
            </w:r>
            <w:r>
              <w:rPr>
                <w:b/>
                <w:sz w:val="22"/>
                <w:szCs w:val="22"/>
                <w:lang w:val="lt-LT"/>
              </w:rPr>
              <w:t>ę</w:t>
            </w:r>
          </w:p>
        </w:tc>
        <w:tc>
          <w:tcPr>
            <w:tcW w:w="4395" w:type="dxa"/>
          </w:tcPr>
          <w:p w:rsidR="009A52A4" w:rsidRPr="005F44E6" w:rsidRDefault="009A52A4" w:rsidP="009A52A4">
            <w:pPr>
              <w:jc w:val="both"/>
              <w:rPr>
                <w:b/>
                <w:sz w:val="22"/>
                <w:szCs w:val="22"/>
                <w:lang w:val="lt-LT"/>
              </w:rPr>
            </w:pPr>
            <w:r w:rsidRPr="005F44E6">
              <w:rPr>
                <w:b/>
                <w:sz w:val="22"/>
                <w:szCs w:val="22"/>
                <w:lang w:val="lt-LT"/>
              </w:rPr>
              <w:t>B. E. Cushing, J. K. Loebbecke (1983)</w:t>
            </w:r>
            <w:r w:rsidR="00B8157B">
              <w:rPr>
                <w:b/>
                <w:sz w:val="22"/>
                <w:szCs w:val="22"/>
                <w:lang w:val="lt-LT"/>
              </w:rPr>
              <w:t xml:space="preserve"> pagal </w:t>
            </w:r>
            <w:r w:rsidR="00E27DC3">
              <w:rPr>
                <w:b/>
                <w:sz w:val="22"/>
                <w:szCs w:val="22"/>
                <w:lang w:val="lt-LT"/>
              </w:rPr>
              <w:t xml:space="preserve">atliktą </w:t>
            </w:r>
            <w:r w:rsidR="00B8157B">
              <w:rPr>
                <w:b/>
                <w:sz w:val="22"/>
                <w:szCs w:val="22"/>
                <w:lang w:val="lt-LT"/>
              </w:rPr>
              <w:t>klasikinio ir praplėsto audito rizikos modelių analizę</w:t>
            </w:r>
          </w:p>
        </w:tc>
      </w:tr>
      <w:tr w:rsidR="00B7171E" w:rsidRPr="005F44E6" w:rsidTr="005F44E6">
        <w:tc>
          <w:tcPr>
            <w:tcW w:w="3969" w:type="dxa"/>
            <w:vMerge w:val="restart"/>
          </w:tcPr>
          <w:p w:rsidR="00B7171E" w:rsidRPr="005F44E6" w:rsidRDefault="00B7171E" w:rsidP="00E478DF">
            <w:pPr>
              <w:jc w:val="both"/>
              <w:rPr>
                <w:b/>
                <w:sz w:val="22"/>
                <w:szCs w:val="22"/>
                <w:lang w:val="lt-LT"/>
              </w:rPr>
            </w:pPr>
            <w:r w:rsidRPr="005F44E6">
              <w:rPr>
                <w:sz w:val="22"/>
                <w:szCs w:val="22"/>
                <w:lang w:val="lt-LT"/>
              </w:rPr>
              <w:t>pripažinti audito rizikos komponentų visumą ir jų pagrindines charakteristikas (dėl atrankos taikymo, apgaulės pasireiškimo,</w:t>
            </w:r>
            <w:r w:rsidRPr="007D690B">
              <w:rPr>
                <w:sz w:val="22"/>
                <w:szCs w:val="22"/>
                <w:lang w:val="lt-LT"/>
              </w:rPr>
              <w:t xml:space="preserve"> audituojamos </w:t>
            </w:r>
            <w:r w:rsidR="00E478DF" w:rsidRPr="007D690B">
              <w:rPr>
                <w:sz w:val="22"/>
                <w:szCs w:val="22"/>
                <w:lang w:val="lt-LT"/>
              </w:rPr>
              <w:t xml:space="preserve">įmonės </w:t>
            </w:r>
            <w:r w:rsidRPr="007D690B">
              <w:rPr>
                <w:sz w:val="22"/>
                <w:szCs w:val="22"/>
                <w:lang w:val="lt-LT"/>
              </w:rPr>
              <w:t xml:space="preserve">verslo rizikos, </w:t>
            </w:r>
            <w:r w:rsidR="00E478DF" w:rsidRPr="007D690B">
              <w:rPr>
                <w:sz w:val="22"/>
                <w:szCs w:val="22"/>
                <w:lang w:val="lt-LT"/>
              </w:rPr>
              <w:t xml:space="preserve">audito įmonės </w:t>
            </w:r>
            <w:r w:rsidRPr="007D690B">
              <w:rPr>
                <w:sz w:val="22"/>
                <w:szCs w:val="22"/>
                <w:lang w:val="lt-LT"/>
              </w:rPr>
              <w:t>užduoties rizikos</w:t>
            </w:r>
            <w:r w:rsidR="00E478DF" w:rsidRPr="007D690B">
              <w:rPr>
                <w:sz w:val="22"/>
                <w:szCs w:val="22"/>
                <w:lang w:val="lt-LT"/>
              </w:rPr>
              <w:t xml:space="preserve"> ar kitų</w:t>
            </w:r>
            <w:r w:rsidRPr="007D690B">
              <w:rPr>
                <w:sz w:val="22"/>
                <w:szCs w:val="22"/>
                <w:lang w:val="lt-LT"/>
              </w:rPr>
              <w:t xml:space="preserve"> aptikimo </w:t>
            </w:r>
            <w:r w:rsidR="00E478DF" w:rsidRPr="007D690B">
              <w:rPr>
                <w:sz w:val="22"/>
                <w:szCs w:val="22"/>
                <w:lang w:val="lt-LT"/>
              </w:rPr>
              <w:t>galimybių</w:t>
            </w:r>
            <w:r w:rsidRPr="007D690B">
              <w:rPr>
                <w:sz w:val="22"/>
                <w:szCs w:val="22"/>
                <w:lang w:val="lt-LT"/>
              </w:rPr>
              <w:t>)</w:t>
            </w:r>
            <w:r w:rsidR="00AF7540" w:rsidRPr="007D690B">
              <w:rPr>
                <w:sz w:val="22"/>
                <w:szCs w:val="22"/>
                <w:lang w:val="lt-LT"/>
              </w:rPr>
              <w:t xml:space="preserve"> bei lemiančias sąlygas</w:t>
            </w:r>
            <w:r w:rsidRPr="007D690B">
              <w:rPr>
                <w:sz w:val="22"/>
                <w:szCs w:val="22"/>
                <w:lang w:val="lt-LT"/>
              </w:rPr>
              <w:t>;</w:t>
            </w:r>
          </w:p>
        </w:tc>
        <w:tc>
          <w:tcPr>
            <w:tcW w:w="4395" w:type="dxa"/>
          </w:tcPr>
          <w:p w:rsidR="00B7171E" w:rsidRPr="005F44E6" w:rsidRDefault="00B7171E" w:rsidP="00563651">
            <w:pPr>
              <w:jc w:val="both"/>
              <w:rPr>
                <w:b/>
                <w:sz w:val="22"/>
                <w:szCs w:val="22"/>
                <w:lang w:val="lt-LT"/>
              </w:rPr>
            </w:pPr>
            <w:r w:rsidRPr="005F44E6">
              <w:rPr>
                <w:sz w:val="22"/>
                <w:szCs w:val="22"/>
                <w:lang w:val="lt-LT"/>
              </w:rPr>
              <w:t xml:space="preserve">identifikuoti ir aiškiai apjungti visus susijusius parametrus – audito sąnaudas, </w:t>
            </w:r>
            <w:r w:rsidR="00563651" w:rsidRPr="005F44E6">
              <w:rPr>
                <w:sz w:val="22"/>
                <w:szCs w:val="22"/>
                <w:lang w:val="lt-LT"/>
              </w:rPr>
              <w:t>ekonomin</w:t>
            </w:r>
            <w:r w:rsidR="00563651">
              <w:rPr>
                <w:sz w:val="22"/>
                <w:szCs w:val="22"/>
                <w:lang w:val="lt-LT"/>
              </w:rPr>
              <w:t>ių</w:t>
            </w:r>
            <w:r w:rsidR="00563651" w:rsidRPr="005F44E6">
              <w:rPr>
                <w:sz w:val="22"/>
                <w:szCs w:val="22"/>
                <w:lang w:val="lt-LT"/>
              </w:rPr>
              <w:t xml:space="preserve"> </w:t>
            </w:r>
            <w:r w:rsidR="00563651">
              <w:rPr>
                <w:sz w:val="22"/>
                <w:szCs w:val="22"/>
                <w:lang w:val="lt-LT"/>
              </w:rPr>
              <w:t xml:space="preserve">veiksnių </w:t>
            </w:r>
            <w:r w:rsidR="00563651" w:rsidRPr="005F44E6">
              <w:rPr>
                <w:sz w:val="22"/>
                <w:szCs w:val="22"/>
                <w:lang w:val="lt-LT"/>
              </w:rPr>
              <w:t xml:space="preserve">įtaką </w:t>
            </w:r>
            <w:r w:rsidRPr="005F44E6">
              <w:rPr>
                <w:sz w:val="22"/>
                <w:szCs w:val="22"/>
                <w:lang w:val="lt-LT"/>
              </w:rPr>
              <w:t>finansin</w:t>
            </w:r>
            <w:r w:rsidR="00563651">
              <w:rPr>
                <w:sz w:val="22"/>
                <w:szCs w:val="22"/>
                <w:lang w:val="lt-LT"/>
              </w:rPr>
              <w:t>ėms</w:t>
            </w:r>
            <w:r w:rsidRPr="005F44E6">
              <w:rPr>
                <w:sz w:val="22"/>
                <w:szCs w:val="22"/>
                <w:lang w:val="lt-LT"/>
              </w:rPr>
              <w:t xml:space="preserve"> ataskait</w:t>
            </w:r>
            <w:r w:rsidR="00563651">
              <w:rPr>
                <w:sz w:val="22"/>
                <w:szCs w:val="22"/>
                <w:lang w:val="lt-LT"/>
              </w:rPr>
              <w:t>oms</w:t>
            </w:r>
            <w:r w:rsidRPr="005F44E6">
              <w:rPr>
                <w:sz w:val="22"/>
                <w:szCs w:val="22"/>
                <w:lang w:val="lt-LT"/>
              </w:rPr>
              <w:t>, reikšmingumą, auditoriaus ankstesnį įsitikinimą apie įmonės pateiktas sumas ir apie įvairių audito procedūrų veiksmingumą ir atrankos rizikas</w:t>
            </w:r>
            <w:r w:rsidR="009F49F8">
              <w:rPr>
                <w:sz w:val="22"/>
                <w:szCs w:val="22"/>
                <w:lang w:val="lt-LT"/>
              </w:rPr>
              <w:t>;</w:t>
            </w:r>
          </w:p>
        </w:tc>
      </w:tr>
      <w:tr w:rsidR="00B7171E" w:rsidRPr="005F44E6" w:rsidTr="005F44E6">
        <w:tc>
          <w:tcPr>
            <w:tcW w:w="3969" w:type="dxa"/>
            <w:vMerge/>
          </w:tcPr>
          <w:p w:rsidR="00B7171E" w:rsidRPr="005F44E6" w:rsidRDefault="00B7171E" w:rsidP="00036106">
            <w:pPr>
              <w:jc w:val="both"/>
              <w:rPr>
                <w:sz w:val="22"/>
                <w:szCs w:val="22"/>
                <w:lang w:val="lt-LT"/>
              </w:rPr>
            </w:pPr>
          </w:p>
        </w:tc>
        <w:tc>
          <w:tcPr>
            <w:tcW w:w="4395" w:type="dxa"/>
          </w:tcPr>
          <w:p w:rsidR="00B7171E" w:rsidRPr="005F44E6" w:rsidRDefault="00B7171E" w:rsidP="009A52A4">
            <w:pPr>
              <w:jc w:val="both"/>
              <w:rPr>
                <w:sz w:val="22"/>
                <w:szCs w:val="22"/>
                <w:lang w:val="lt-LT"/>
              </w:rPr>
            </w:pPr>
            <w:r w:rsidRPr="005F44E6">
              <w:rPr>
                <w:sz w:val="22"/>
                <w:szCs w:val="22"/>
                <w:lang w:val="lt-LT"/>
              </w:rPr>
              <w:t>prasidėti aiškia prielaida dėl audito vaidmens visuomenėje, plėtojant „auditoriaus tikslo funkciją“, kas orientuotų auditorių per visą audito procesą</w:t>
            </w:r>
            <w:r w:rsidR="009F49F8">
              <w:rPr>
                <w:sz w:val="22"/>
                <w:szCs w:val="22"/>
                <w:lang w:val="lt-LT"/>
              </w:rPr>
              <w:t>;</w:t>
            </w:r>
          </w:p>
        </w:tc>
      </w:tr>
      <w:tr w:rsidR="00D84DFC" w:rsidRPr="005F44E6" w:rsidTr="005F44E6">
        <w:tc>
          <w:tcPr>
            <w:tcW w:w="3969" w:type="dxa"/>
          </w:tcPr>
          <w:p w:rsidR="00D84DFC" w:rsidRPr="005F44E6" w:rsidRDefault="00D84DFC" w:rsidP="000F181C">
            <w:pPr>
              <w:tabs>
                <w:tab w:val="left" w:pos="567"/>
              </w:tabs>
              <w:jc w:val="both"/>
              <w:rPr>
                <w:sz w:val="22"/>
                <w:szCs w:val="22"/>
                <w:lang w:val="lt-LT"/>
              </w:rPr>
            </w:pPr>
            <w:r w:rsidRPr="005F44E6">
              <w:rPr>
                <w:sz w:val="22"/>
                <w:szCs w:val="22"/>
                <w:lang w:val="lt-LT"/>
              </w:rPr>
              <w:t>atskleisti priklausomybę tarp audito rizikos komponentų;</w:t>
            </w:r>
          </w:p>
        </w:tc>
        <w:tc>
          <w:tcPr>
            <w:tcW w:w="4395" w:type="dxa"/>
            <w:vMerge w:val="restart"/>
          </w:tcPr>
          <w:p w:rsidR="00D84DFC" w:rsidRPr="005F44E6" w:rsidRDefault="00D84DFC" w:rsidP="00B7171E">
            <w:pPr>
              <w:jc w:val="both"/>
              <w:rPr>
                <w:sz w:val="22"/>
                <w:szCs w:val="22"/>
                <w:lang w:val="lt-LT"/>
              </w:rPr>
            </w:pPr>
            <w:r w:rsidRPr="005F44E6">
              <w:rPr>
                <w:sz w:val="22"/>
                <w:szCs w:val="22"/>
                <w:lang w:val="lt-LT"/>
              </w:rPr>
              <w:t>atskirti subjektyvius vertinimus nuo objektyviai patikrinamų parametrų, priskiriant atitinkamas vertes kiekvienam jų</w:t>
            </w:r>
            <w:r w:rsidR="009F49F8">
              <w:rPr>
                <w:sz w:val="22"/>
                <w:szCs w:val="22"/>
                <w:lang w:val="lt-LT"/>
              </w:rPr>
              <w:t>;</w:t>
            </w:r>
            <w:r w:rsidRPr="005F44E6">
              <w:rPr>
                <w:sz w:val="22"/>
                <w:szCs w:val="22"/>
                <w:lang w:val="lt-LT"/>
              </w:rPr>
              <w:t xml:space="preserve"> </w:t>
            </w:r>
          </w:p>
        </w:tc>
      </w:tr>
      <w:tr w:rsidR="00D84DFC" w:rsidRPr="005F44E6" w:rsidTr="005F44E6">
        <w:tc>
          <w:tcPr>
            <w:tcW w:w="3969" w:type="dxa"/>
          </w:tcPr>
          <w:p w:rsidR="00D84DFC" w:rsidRPr="005F44E6" w:rsidRDefault="00516222" w:rsidP="00516222">
            <w:pPr>
              <w:tabs>
                <w:tab w:val="left" w:pos="567"/>
              </w:tabs>
              <w:jc w:val="both"/>
              <w:rPr>
                <w:sz w:val="22"/>
                <w:szCs w:val="22"/>
                <w:lang w:val="lt-LT"/>
              </w:rPr>
            </w:pPr>
            <w:r w:rsidRPr="005F44E6">
              <w:rPr>
                <w:sz w:val="22"/>
                <w:szCs w:val="22"/>
                <w:lang w:val="lt-LT"/>
              </w:rPr>
              <w:t>pritaikyti v</w:t>
            </w:r>
            <w:r w:rsidR="00D84DFC" w:rsidRPr="005F44E6">
              <w:rPr>
                <w:sz w:val="22"/>
                <w:szCs w:val="22"/>
                <w:lang w:val="lt-LT"/>
              </w:rPr>
              <w:t>ertinant audito rezultatus</w:t>
            </w:r>
            <w:r w:rsidR="00E478DF" w:rsidRPr="005F44E6">
              <w:rPr>
                <w:sz w:val="22"/>
                <w:szCs w:val="22"/>
                <w:lang w:val="lt-LT"/>
              </w:rPr>
              <w:t>;</w:t>
            </w:r>
          </w:p>
        </w:tc>
        <w:tc>
          <w:tcPr>
            <w:tcW w:w="4395" w:type="dxa"/>
            <w:vMerge/>
          </w:tcPr>
          <w:p w:rsidR="00D84DFC" w:rsidRPr="005F44E6" w:rsidRDefault="00D84DFC" w:rsidP="00D84DFC">
            <w:pPr>
              <w:rPr>
                <w:sz w:val="22"/>
                <w:szCs w:val="22"/>
                <w:lang w:val="lt-LT"/>
              </w:rPr>
            </w:pPr>
          </w:p>
        </w:tc>
      </w:tr>
      <w:tr w:rsidR="009A52A4" w:rsidRPr="005F44E6" w:rsidTr="005F44E6">
        <w:tc>
          <w:tcPr>
            <w:tcW w:w="3969" w:type="dxa"/>
          </w:tcPr>
          <w:p w:rsidR="009A52A4" w:rsidRPr="005F44E6" w:rsidRDefault="009A52A4" w:rsidP="00692D56">
            <w:pPr>
              <w:jc w:val="both"/>
              <w:rPr>
                <w:sz w:val="22"/>
                <w:szCs w:val="22"/>
                <w:lang w:val="lt-LT"/>
              </w:rPr>
            </w:pPr>
            <w:r w:rsidRPr="005F44E6">
              <w:rPr>
                <w:sz w:val="22"/>
                <w:szCs w:val="22"/>
                <w:lang w:val="lt-LT"/>
              </w:rPr>
              <w:t>nurodyti, kad audito rizika ir/ar jos komponentai vertinami kiekviename audito etape ir skirtingu pasireiškimo lygmeniu (agregacijos problemos išsprendimas);</w:t>
            </w:r>
          </w:p>
        </w:tc>
        <w:tc>
          <w:tcPr>
            <w:tcW w:w="4395" w:type="dxa"/>
          </w:tcPr>
          <w:p w:rsidR="009A52A4" w:rsidRPr="005F44E6" w:rsidRDefault="00692D56" w:rsidP="003704F0">
            <w:pPr>
              <w:jc w:val="both"/>
              <w:rPr>
                <w:sz w:val="22"/>
                <w:szCs w:val="22"/>
                <w:lang w:val="lt-LT"/>
              </w:rPr>
            </w:pPr>
            <w:r w:rsidRPr="005F44E6">
              <w:rPr>
                <w:sz w:val="22"/>
                <w:szCs w:val="22"/>
                <w:lang w:val="lt-LT"/>
              </w:rPr>
              <w:t>išspręsti audito įrodymų agregacijos problemą dėl atskirų sistemų ir sąskaitų formuluojant bendrą nuomonę apie finansines ataskaitas</w:t>
            </w:r>
            <w:r w:rsidR="009F49F8">
              <w:rPr>
                <w:sz w:val="22"/>
                <w:szCs w:val="22"/>
                <w:lang w:val="lt-LT"/>
              </w:rPr>
              <w:t>;</w:t>
            </w:r>
          </w:p>
        </w:tc>
      </w:tr>
      <w:tr w:rsidR="009A52A4" w:rsidRPr="005F44E6" w:rsidTr="005F44E6">
        <w:tc>
          <w:tcPr>
            <w:tcW w:w="3969" w:type="dxa"/>
          </w:tcPr>
          <w:p w:rsidR="009A52A4" w:rsidRPr="005F44E6" w:rsidRDefault="00E85D72" w:rsidP="009A52A4">
            <w:pPr>
              <w:jc w:val="both"/>
              <w:rPr>
                <w:sz w:val="22"/>
                <w:szCs w:val="22"/>
                <w:lang w:val="lt-LT"/>
              </w:rPr>
            </w:pPr>
            <w:r w:rsidRPr="005F44E6">
              <w:rPr>
                <w:sz w:val="22"/>
                <w:szCs w:val="22"/>
                <w:lang w:val="lt-LT"/>
              </w:rPr>
              <w:t>pateikti audito etapus pagal taikomą audito praktiką</w:t>
            </w:r>
            <w:r w:rsidR="00692D56" w:rsidRPr="005F44E6">
              <w:rPr>
                <w:sz w:val="22"/>
                <w:szCs w:val="22"/>
                <w:lang w:val="lt-LT"/>
              </w:rPr>
              <w:t xml:space="preserve"> ir a</w:t>
            </w:r>
            <w:r w:rsidR="009A52A4" w:rsidRPr="005F44E6">
              <w:rPr>
                <w:sz w:val="22"/>
                <w:szCs w:val="22"/>
                <w:lang w:val="lt-LT"/>
              </w:rPr>
              <w:t>tskleisti iteratyvinę sprendimų priėmimo riz</w:t>
            </w:r>
            <w:r w:rsidR="009F49F8">
              <w:rPr>
                <w:sz w:val="22"/>
                <w:szCs w:val="22"/>
                <w:lang w:val="lt-LT"/>
              </w:rPr>
              <w:t>ikos vertinimo procese prigimtį.</w:t>
            </w:r>
          </w:p>
          <w:p w:rsidR="009A52A4" w:rsidRPr="005F44E6" w:rsidRDefault="009A52A4" w:rsidP="009A52A4">
            <w:pPr>
              <w:jc w:val="both"/>
              <w:rPr>
                <w:sz w:val="22"/>
                <w:szCs w:val="22"/>
                <w:lang w:val="lt-LT"/>
              </w:rPr>
            </w:pPr>
          </w:p>
        </w:tc>
        <w:tc>
          <w:tcPr>
            <w:tcW w:w="4395" w:type="dxa"/>
          </w:tcPr>
          <w:p w:rsidR="009A52A4" w:rsidRPr="005F44E6" w:rsidRDefault="009A52A4" w:rsidP="009A52A4">
            <w:pPr>
              <w:jc w:val="both"/>
              <w:rPr>
                <w:sz w:val="22"/>
                <w:szCs w:val="22"/>
                <w:lang w:val="lt-LT"/>
              </w:rPr>
            </w:pPr>
            <w:r w:rsidRPr="005F44E6">
              <w:rPr>
                <w:sz w:val="22"/>
                <w:szCs w:val="22"/>
                <w:lang w:val="lt-LT"/>
              </w:rPr>
              <w:t>aiškiai identifikuoti visus svarbiausius audito sprendimus, įskaitant kliento priėmimo ir atmetimo klausimą, vidaus kontrolės sistemos įvertinimo etapą, detalių testų planavimo ir įvertinimo etapus, nuomonės formulavimo etapą ir turėtų koordinuoti sprendimo procesus kiekvieno iš šių klausimų metu</w:t>
            </w:r>
            <w:r w:rsidR="009F49F8">
              <w:rPr>
                <w:sz w:val="22"/>
                <w:szCs w:val="22"/>
                <w:lang w:val="lt-LT"/>
              </w:rPr>
              <w:t>.</w:t>
            </w:r>
          </w:p>
        </w:tc>
      </w:tr>
    </w:tbl>
    <w:p w:rsidR="00015DD5" w:rsidRPr="00015DD5" w:rsidRDefault="00015DD5" w:rsidP="00015DD5">
      <w:pPr>
        <w:tabs>
          <w:tab w:val="left" w:pos="567"/>
        </w:tabs>
        <w:jc w:val="both"/>
        <w:rPr>
          <w:lang w:val="lt-LT"/>
        </w:rPr>
      </w:pPr>
      <w:r w:rsidRPr="00015DD5">
        <w:rPr>
          <w:lang w:val="lt-LT"/>
        </w:rPr>
        <w:t xml:space="preserve">Šaltinis: sudaryta autorės pagal lyginamąją audito rizikos modelių analizę ir </w:t>
      </w:r>
      <w:r w:rsidRPr="00B121C9">
        <w:rPr>
          <w:caps/>
          <w:lang w:val="lt-LT"/>
        </w:rPr>
        <w:t>Cushing</w:t>
      </w:r>
      <w:r w:rsidRPr="00015DD5">
        <w:rPr>
          <w:lang w:val="lt-LT"/>
        </w:rPr>
        <w:t xml:space="preserve">, </w:t>
      </w:r>
      <w:r w:rsidR="00C076D8" w:rsidRPr="00015DD5">
        <w:rPr>
          <w:lang w:val="lt-LT"/>
        </w:rPr>
        <w:t>B. E.</w:t>
      </w:r>
      <w:r w:rsidR="00C076D8">
        <w:rPr>
          <w:lang w:val="lt-LT"/>
        </w:rPr>
        <w:t xml:space="preserve">, </w:t>
      </w:r>
      <w:r w:rsidRPr="00B121C9">
        <w:rPr>
          <w:caps/>
          <w:lang w:val="lt-LT"/>
        </w:rPr>
        <w:t>Loebbecke</w:t>
      </w:r>
      <w:r w:rsidR="00B121C9">
        <w:rPr>
          <w:lang w:val="lt-LT"/>
        </w:rPr>
        <w:t xml:space="preserve">, </w:t>
      </w:r>
      <w:r w:rsidR="00C076D8" w:rsidRPr="00015DD5">
        <w:rPr>
          <w:lang w:val="lt-LT"/>
        </w:rPr>
        <w:t>J. K.</w:t>
      </w:r>
      <w:r w:rsidR="00C076D8">
        <w:rPr>
          <w:lang w:val="lt-LT"/>
        </w:rPr>
        <w:t xml:space="preserve">, </w:t>
      </w:r>
      <w:r w:rsidRPr="00015DD5">
        <w:rPr>
          <w:lang w:val="lt-LT"/>
        </w:rPr>
        <w:t>1983, p. 39.</w:t>
      </w:r>
    </w:p>
    <w:p w:rsidR="00B86676" w:rsidRPr="00F550FA" w:rsidRDefault="007E77D4" w:rsidP="006B045D">
      <w:pPr>
        <w:tabs>
          <w:tab w:val="left" w:pos="567"/>
        </w:tabs>
        <w:spacing w:before="240" w:line="360" w:lineRule="auto"/>
        <w:jc w:val="both"/>
        <w:rPr>
          <w:sz w:val="26"/>
          <w:szCs w:val="26"/>
          <w:lang w:val="lt-LT"/>
        </w:rPr>
      </w:pPr>
      <w:r>
        <w:rPr>
          <w:sz w:val="24"/>
          <w:szCs w:val="24"/>
          <w:lang w:val="lt-LT"/>
        </w:rPr>
        <w:tab/>
      </w:r>
      <w:r w:rsidR="00E27DC3" w:rsidRPr="00E27DC3">
        <w:rPr>
          <w:sz w:val="26"/>
          <w:szCs w:val="26"/>
          <w:lang w:val="lt-LT"/>
        </w:rPr>
        <w:t>1</w:t>
      </w:r>
      <w:r w:rsidR="00E27DC3">
        <w:rPr>
          <w:sz w:val="26"/>
          <w:szCs w:val="26"/>
          <w:lang w:val="lt-LT"/>
        </w:rPr>
        <w:t xml:space="preserve">8 lentelėje </w:t>
      </w:r>
      <w:r w:rsidR="00E27DC3" w:rsidRPr="00E27DC3">
        <w:rPr>
          <w:sz w:val="26"/>
          <w:szCs w:val="26"/>
          <w:lang w:val="lt-LT"/>
        </w:rPr>
        <w:t xml:space="preserve">atliktas </w:t>
      </w:r>
      <w:r w:rsidR="00E27DC3">
        <w:rPr>
          <w:sz w:val="26"/>
          <w:szCs w:val="26"/>
          <w:lang w:val="lt-LT"/>
        </w:rPr>
        <w:t>palyginimas rodo, kad spręstinos audi</w:t>
      </w:r>
      <w:r w:rsidR="00AD4AB9" w:rsidRPr="00AD4AB9">
        <w:rPr>
          <w:sz w:val="26"/>
          <w:szCs w:val="26"/>
          <w:lang w:val="lt-LT"/>
        </w:rPr>
        <w:t xml:space="preserve">to rizikos </w:t>
      </w:r>
      <w:r w:rsidR="00E27DC3">
        <w:rPr>
          <w:sz w:val="26"/>
          <w:szCs w:val="26"/>
          <w:lang w:val="lt-LT"/>
        </w:rPr>
        <w:t>vertinimo modelio tobulinimo kryptys yra panašios:</w:t>
      </w:r>
      <w:r w:rsidR="003704F0">
        <w:rPr>
          <w:sz w:val="26"/>
          <w:szCs w:val="26"/>
          <w:lang w:val="lt-LT"/>
        </w:rPr>
        <w:t xml:space="preserve"> 1)</w:t>
      </w:r>
      <w:r w:rsidR="002C24E1">
        <w:rPr>
          <w:sz w:val="26"/>
          <w:szCs w:val="26"/>
          <w:lang w:val="lt-LT"/>
        </w:rPr>
        <w:t> </w:t>
      </w:r>
      <w:r w:rsidR="00E27DC3">
        <w:rPr>
          <w:sz w:val="26"/>
          <w:szCs w:val="26"/>
          <w:lang w:val="lt-LT"/>
        </w:rPr>
        <w:t>audito rizikos komponentų visumos problema;</w:t>
      </w:r>
      <w:r w:rsidR="003704F0">
        <w:rPr>
          <w:sz w:val="26"/>
          <w:szCs w:val="26"/>
          <w:lang w:val="lt-LT"/>
        </w:rPr>
        <w:t xml:space="preserve"> 2)</w:t>
      </w:r>
      <w:r w:rsidR="002C24E1">
        <w:rPr>
          <w:sz w:val="26"/>
          <w:szCs w:val="26"/>
          <w:lang w:val="lt-LT"/>
        </w:rPr>
        <w:t> </w:t>
      </w:r>
      <w:r w:rsidR="00E27DC3">
        <w:rPr>
          <w:sz w:val="26"/>
          <w:szCs w:val="26"/>
          <w:lang w:val="lt-LT"/>
        </w:rPr>
        <w:t xml:space="preserve">audito rizikos komponentų priklausomybės </w:t>
      </w:r>
      <w:r w:rsidR="003704F0">
        <w:rPr>
          <w:sz w:val="26"/>
          <w:szCs w:val="26"/>
          <w:lang w:val="lt-LT"/>
        </w:rPr>
        <w:t>atskleidimas</w:t>
      </w:r>
      <w:r w:rsidR="00E27DC3">
        <w:rPr>
          <w:sz w:val="26"/>
          <w:szCs w:val="26"/>
          <w:lang w:val="lt-LT"/>
        </w:rPr>
        <w:t>;</w:t>
      </w:r>
      <w:r w:rsidR="003704F0">
        <w:rPr>
          <w:sz w:val="26"/>
          <w:szCs w:val="26"/>
          <w:lang w:val="lt-LT"/>
        </w:rPr>
        <w:t xml:space="preserve"> 3)</w:t>
      </w:r>
      <w:r w:rsidR="002C24E1">
        <w:rPr>
          <w:sz w:val="26"/>
          <w:szCs w:val="26"/>
          <w:lang w:val="lt-LT"/>
        </w:rPr>
        <w:t> </w:t>
      </w:r>
      <w:r w:rsidR="001361A8">
        <w:rPr>
          <w:sz w:val="26"/>
          <w:szCs w:val="26"/>
          <w:lang w:val="lt-LT"/>
        </w:rPr>
        <w:t xml:space="preserve">modelio </w:t>
      </w:r>
      <w:r w:rsidR="003704F0">
        <w:rPr>
          <w:sz w:val="26"/>
          <w:szCs w:val="26"/>
          <w:lang w:val="lt-LT"/>
        </w:rPr>
        <w:t>pritaikymas praktikoje</w:t>
      </w:r>
      <w:r w:rsidR="001361A8">
        <w:rPr>
          <w:sz w:val="26"/>
          <w:szCs w:val="26"/>
          <w:lang w:val="lt-LT"/>
        </w:rPr>
        <w:t xml:space="preserve"> vertinant audito rezultatus</w:t>
      </w:r>
      <w:r w:rsidR="003704F0">
        <w:rPr>
          <w:sz w:val="26"/>
          <w:szCs w:val="26"/>
          <w:lang w:val="lt-LT"/>
        </w:rPr>
        <w:t>; 4)</w:t>
      </w:r>
      <w:r w:rsidR="002C24E1">
        <w:rPr>
          <w:sz w:val="26"/>
          <w:szCs w:val="26"/>
          <w:lang w:val="lt-LT"/>
        </w:rPr>
        <w:t> </w:t>
      </w:r>
      <w:r w:rsidR="003704F0">
        <w:rPr>
          <w:sz w:val="26"/>
          <w:szCs w:val="26"/>
          <w:lang w:val="lt-LT"/>
        </w:rPr>
        <w:t>agregacijos problemos išsprendimas; 5)</w:t>
      </w:r>
      <w:r w:rsidR="002C24E1">
        <w:rPr>
          <w:sz w:val="26"/>
          <w:szCs w:val="26"/>
          <w:lang w:val="lt-LT"/>
        </w:rPr>
        <w:t> </w:t>
      </w:r>
      <w:r w:rsidR="003704F0">
        <w:rPr>
          <w:sz w:val="26"/>
          <w:szCs w:val="26"/>
          <w:lang w:val="lt-LT"/>
        </w:rPr>
        <w:t>iteratyvini</w:t>
      </w:r>
      <w:r w:rsidR="001361A8">
        <w:rPr>
          <w:sz w:val="26"/>
          <w:szCs w:val="26"/>
          <w:lang w:val="lt-LT"/>
        </w:rPr>
        <w:t>s</w:t>
      </w:r>
      <w:r w:rsidR="003704F0">
        <w:rPr>
          <w:sz w:val="26"/>
          <w:szCs w:val="26"/>
          <w:lang w:val="lt-LT"/>
        </w:rPr>
        <w:t xml:space="preserve"> </w:t>
      </w:r>
      <w:r w:rsidR="00563651">
        <w:rPr>
          <w:sz w:val="26"/>
          <w:szCs w:val="26"/>
          <w:lang w:val="lt-LT"/>
        </w:rPr>
        <w:t xml:space="preserve">sprendimo </w:t>
      </w:r>
      <w:r w:rsidR="001361A8">
        <w:rPr>
          <w:sz w:val="26"/>
          <w:szCs w:val="26"/>
          <w:lang w:val="lt-LT"/>
        </w:rPr>
        <w:t xml:space="preserve">priėmimas </w:t>
      </w:r>
      <w:r w:rsidR="003704F0">
        <w:rPr>
          <w:sz w:val="26"/>
          <w:szCs w:val="26"/>
          <w:lang w:val="lt-LT"/>
        </w:rPr>
        <w:t>audito proces</w:t>
      </w:r>
      <w:r w:rsidR="001361A8">
        <w:rPr>
          <w:sz w:val="26"/>
          <w:szCs w:val="26"/>
          <w:lang w:val="lt-LT"/>
        </w:rPr>
        <w:t>e. Tačiau</w:t>
      </w:r>
      <w:r w:rsidR="001361A8" w:rsidRPr="00F550FA">
        <w:rPr>
          <w:sz w:val="26"/>
          <w:szCs w:val="26"/>
          <w:lang w:val="lt-LT"/>
        </w:rPr>
        <w:t xml:space="preserve"> B. E. Cushing ir J. K. Loebbecke (1983) </w:t>
      </w:r>
      <w:r w:rsidR="009F49F8" w:rsidRPr="00F550FA">
        <w:rPr>
          <w:sz w:val="26"/>
          <w:szCs w:val="26"/>
          <w:lang w:val="lt-LT"/>
        </w:rPr>
        <w:t xml:space="preserve">aiškiai </w:t>
      </w:r>
      <w:r w:rsidR="00EA4632" w:rsidRPr="00F550FA">
        <w:rPr>
          <w:sz w:val="26"/>
          <w:szCs w:val="26"/>
          <w:lang w:val="lt-LT"/>
        </w:rPr>
        <w:t>neatskleidė, ka</w:t>
      </w:r>
      <w:r w:rsidR="009F49F8" w:rsidRPr="00F550FA">
        <w:rPr>
          <w:sz w:val="26"/>
          <w:szCs w:val="26"/>
          <w:lang w:val="lt-LT"/>
        </w:rPr>
        <w:t xml:space="preserve">ip </w:t>
      </w:r>
      <w:r w:rsidR="00EA4632" w:rsidRPr="00F550FA">
        <w:rPr>
          <w:sz w:val="26"/>
          <w:szCs w:val="26"/>
          <w:lang w:val="lt-LT"/>
        </w:rPr>
        <w:t xml:space="preserve">audito rizikos vertinimo modelis </w:t>
      </w:r>
      <w:r w:rsidR="009F49F8" w:rsidRPr="00F550FA">
        <w:rPr>
          <w:sz w:val="26"/>
          <w:szCs w:val="26"/>
          <w:lang w:val="lt-LT"/>
        </w:rPr>
        <w:t>turi būti formuojamas atsižvelgiant į besikeičianči</w:t>
      </w:r>
      <w:r w:rsidR="006B045D" w:rsidRPr="00F550FA">
        <w:rPr>
          <w:sz w:val="26"/>
          <w:szCs w:val="26"/>
          <w:lang w:val="lt-LT"/>
        </w:rPr>
        <w:t>ą</w:t>
      </w:r>
      <w:r w:rsidR="009F49F8" w:rsidRPr="00F550FA">
        <w:rPr>
          <w:sz w:val="26"/>
          <w:szCs w:val="26"/>
          <w:lang w:val="lt-LT"/>
        </w:rPr>
        <w:t xml:space="preserve"> verslo </w:t>
      </w:r>
      <w:r w:rsidR="006B045D" w:rsidRPr="00F550FA">
        <w:rPr>
          <w:sz w:val="26"/>
          <w:szCs w:val="26"/>
          <w:lang w:val="lt-LT"/>
        </w:rPr>
        <w:t xml:space="preserve">aplinką ir kaip turi būti apskaičiuojama audito rizika ir jos komponentai. </w:t>
      </w:r>
      <w:r w:rsidR="00421730" w:rsidRPr="00F550FA">
        <w:rPr>
          <w:sz w:val="26"/>
          <w:szCs w:val="26"/>
          <w:lang w:val="lt-LT"/>
        </w:rPr>
        <w:t xml:space="preserve">Nors </w:t>
      </w:r>
      <w:r w:rsidR="00B86676" w:rsidRPr="00F550FA">
        <w:rPr>
          <w:sz w:val="26"/>
          <w:szCs w:val="26"/>
          <w:lang w:val="lt-LT"/>
        </w:rPr>
        <w:t xml:space="preserve">ir kituose mokslo darbuose (Arens, Loebbecke, 1995; </w:t>
      </w:r>
      <w:r w:rsidR="00EB13F0" w:rsidRPr="00F550FA">
        <w:rPr>
          <w:sz w:val="26"/>
          <w:szCs w:val="26"/>
          <w:lang w:val="lt-LT"/>
        </w:rPr>
        <w:t xml:space="preserve">Spencer </w:t>
      </w:r>
      <w:r w:rsidR="00B86676" w:rsidRPr="00F550FA">
        <w:rPr>
          <w:sz w:val="26"/>
          <w:szCs w:val="26"/>
          <w:lang w:val="lt-LT"/>
        </w:rPr>
        <w:t xml:space="preserve">Picket, 1997; </w:t>
      </w:r>
      <w:r w:rsidR="00B86676" w:rsidRPr="00F550FA">
        <w:rPr>
          <w:sz w:val="26"/>
          <w:szCs w:val="26"/>
        </w:rPr>
        <w:t xml:space="preserve">Defliese, Jaenicke, O’Reilly, Hirsch; </w:t>
      </w:r>
      <w:r w:rsidR="00B86676" w:rsidRPr="00F550FA">
        <w:rPr>
          <w:sz w:val="26"/>
          <w:szCs w:val="26"/>
          <w:lang w:val="lt-LT"/>
        </w:rPr>
        <w:t xml:space="preserve">1997, Mackevičius, 199a; Messier, Austen, 2000b) abejojama, jog galima </w:t>
      </w:r>
      <w:r w:rsidR="00B86676" w:rsidRPr="00F550FA">
        <w:rPr>
          <w:sz w:val="26"/>
          <w:szCs w:val="26"/>
          <w:lang w:val="lt-LT"/>
        </w:rPr>
        <w:lastRenderedPageBreak/>
        <w:t>tinkamai apskaičiuoti audito riziką</w:t>
      </w:r>
      <w:r w:rsidR="00421730" w:rsidRPr="00F550FA">
        <w:rPr>
          <w:sz w:val="26"/>
          <w:szCs w:val="26"/>
          <w:lang w:val="lt-LT"/>
        </w:rPr>
        <w:t xml:space="preserve">, t. y. </w:t>
      </w:r>
      <w:r w:rsidR="00AF7540" w:rsidRPr="00F550FA">
        <w:rPr>
          <w:sz w:val="26"/>
          <w:szCs w:val="26"/>
          <w:lang w:val="lt-LT"/>
        </w:rPr>
        <w:t xml:space="preserve">šie </w:t>
      </w:r>
      <w:r w:rsidR="00B86676" w:rsidRPr="00F550FA">
        <w:rPr>
          <w:sz w:val="26"/>
          <w:szCs w:val="26"/>
          <w:lang w:val="lt-LT"/>
        </w:rPr>
        <w:t xml:space="preserve">mokslininkai </w:t>
      </w:r>
      <w:r w:rsidR="00421730" w:rsidRPr="00F550FA">
        <w:rPr>
          <w:sz w:val="26"/>
          <w:szCs w:val="26"/>
          <w:lang w:val="lt-LT"/>
        </w:rPr>
        <w:t xml:space="preserve">pripažįsta, kad neįmanoma objektyviai </w:t>
      </w:r>
      <w:r w:rsidR="00BA6EED" w:rsidRPr="00F550FA">
        <w:rPr>
          <w:sz w:val="26"/>
          <w:szCs w:val="26"/>
          <w:lang w:val="lt-LT"/>
        </w:rPr>
        <w:t>aps</w:t>
      </w:r>
      <w:r w:rsidR="00421730" w:rsidRPr="00F550FA">
        <w:rPr>
          <w:sz w:val="26"/>
          <w:szCs w:val="26"/>
          <w:lang w:val="lt-LT"/>
        </w:rPr>
        <w:t>kaičiuoti audito rizikos komponent</w:t>
      </w:r>
      <w:r w:rsidR="00B86676" w:rsidRPr="00F550FA">
        <w:rPr>
          <w:sz w:val="26"/>
          <w:szCs w:val="26"/>
          <w:lang w:val="lt-LT"/>
        </w:rPr>
        <w:t>ų</w:t>
      </w:r>
      <w:r w:rsidR="00421730" w:rsidRPr="00F550FA">
        <w:rPr>
          <w:sz w:val="26"/>
          <w:szCs w:val="26"/>
          <w:lang w:val="lt-LT"/>
        </w:rPr>
        <w:t xml:space="preserve"> dėl didelio kintamųjų skaičiaus ir jų subjektyvių savybių, tačiau </w:t>
      </w:r>
      <w:r w:rsidR="00B86676" w:rsidRPr="00F550FA">
        <w:rPr>
          <w:sz w:val="26"/>
          <w:szCs w:val="26"/>
          <w:lang w:val="lt-LT"/>
        </w:rPr>
        <w:t xml:space="preserve">audito rizikos vertinimo modelio </w:t>
      </w:r>
      <w:r w:rsidR="00F550FA">
        <w:rPr>
          <w:sz w:val="26"/>
          <w:szCs w:val="26"/>
          <w:lang w:val="lt-LT"/>
        </w:rPr>
        <w:t>formavimui</w:t>
      </w:r>
      <w:r w:rsidR="00B86676" w:rsidRPr="00F550FA">
        <w:rPr>
          <w:sz w:val="26"/>
          <w:szCs w:val="26"/>
          <w:lang w:val="lt-LT"/>
        </w:rPr>
        <w:t xml:space="preserve"> tai yra būtina </w:t>
      </w:r>
      <w:r w:rsidR="00426AD1" w:rsidRPr="00F550FA">
        <w:rPr>
          <w:sz w:val="26"/>
          <w:szCs w:val="26"/>
          <w:lang w:val="lt-LT"/>
        </w:rPr>
        <w:t>sąlyg</w:t>
      </w:r>
      <w:r w:rsidR="00B86676" w:rsidRPr="00F550FA">
        <w:rPr>
          <w:sz w:val="26"/>
          <w:szCs w:val="26"/>
          <w:lang w:val="lt-LT"/>
        </w:rPr>
        <w:t xml:space="preserve">a. </w:t>
      </w:r>
    </w:p>
    <w:p w:rsidR="00AD4518" w:rsidRPr="005F44E6" w:rsidRDefault="00741FBF" w:rsidP="00283B1D">
      <w:pPr>
        <w:pStyle w:val="NormalWeb"/>
        <w:spacing w:before="0" w:beforeAutospacing="0" w:after="0" w:afterAutospacing="0" w:line="360" w:lineRule="auto"/>
        <w:ind w:firstLine="720"/>
        <w:jc w:val="both"/>
        <w:rPr>
          <w:i/>
          <w:sz w:val="26"/>
          <w:szCs w:val="26"/>
          <w:lang w:val="lt-LT"/>
        </w:rPr>
      </w:pPr>
      <w:r w:rsidRPr="005F44E6">
        <w:rPr>
          <w:i/>
          <w:sz w:val="26"/>
          <w:szCs w:val="26"/>
          <w:lang w:val="lt-LT"/>
        </w:rPr>
        <w:t xml:space="preserve">Pirmoje disertacijos </w:t>
      </w:r>
      <w:r w:rsidR="00C34065" w:rsidRPr="005F44E6">
        <w:rPr>
          <w:i/>
          <w:sz w:val="26"/>
          <w:szCs w:val="26"/>
          <w:lang w:val="lt-LT"/>
        </w:rPr>
        <w:t xml:space="preserve">dalyje </w:t>
      </w:r>
      <w:r w:rsidR="001C3C2D" w:rsidRPr="005F44E6">
        <w:rPr>
          <w:i/>
          <w:sz w:val="26"/>
          <w:szCs w:val="26"/>
          <w:lang w:val="lt-LT"/>
        </w:rPr>
        <w:t xml:space="preserve">aptarus </w:t>
      </w:r>
      <w:r w:rsidR="003972CF" w:rsidRPr="005F44E6">
        <w:rPr>
          <w:i/>
          <w:sz w:val="26"/>
          <w:szCs w:val="26"/>
          <w:lang w:val="lt-LT"/>
        </w:rPr>
        <w:t>rizikos s</w:t>
      </w:r>
      <w:r w:rsidR="008760DA" w:rsidRPr="005F44E6">
        <w:rPr>
          <w:i/>
          <w:sz w:val="26"/>
          <w:szCs w:val="26"/>
          <w:lang w:val="lt-LT"/>
        </w:rPr>
        <w:t>ąvok</w:t>
      </w:r>
      <w:r w:rsidR="002B4122" w:rsidRPr="005F44E6">
        <w:rPr>
          <w:i/>
          <w:sz w:val="26"/>
          <w:szCs w:val="26"/>
          <w:lang w:val="lt-LT"/>
        </w:rPr>
        <w:t>ą,</w:t>
      </w:r>
      <w:r w:rsidR="003972CF" w:rsidRPr="005F44E6">
        <w:rPr>
          <w:i/>
          <w:sz w:val="26"/>
          <w:szCs w:val="26"/>
          <w:lang w:val="lt-LT"/>
        </w:rPr>
        <w:t xml:space="preserve"> jos vertinimo įmonėje</w:t>
      </w:r>
      <w:r w:rsidR="002B4122" w:rsidRPr="005F44E6">
        <w:rPr>
          <w:i/>
          <w:sz w:val="26"/>
          <w:szCs w:val="26"/>
          <w:lang w:val="lt-LT"/>
        </w:rPr>
        <w:t xml:space="preserve"> procesą ir metodus,</w:t>
      </w:r>
      <w:r w:rsidR="003972CF" w:rsidRPr="005F44E6">
        <w:rPr>
          <w:i/>
          <w:sz w:val="26"/>
          <w:szCs w:val="26"/>
          <w:lang w:val="lt-LT"/>
        </w:rPr>
        <w:t xml:space="preserve"> </w:t>
      </w:r>
      <w:r w:rsidR="001C3C2D" w:rsidRPr="005F44E6">
        <w:rPr>
          <w:i/>
          <w:sz w:val="26"/>
          <w:szCs w:val="26"/>
          <w:lang w:val="lt-LT"/>
        </w:rPr>
        <w:t xml:space="preserve">o po to išnagrinėjus </w:t>
      </w:r>
      <w:r w:rsidRPr="005F44E6">
        <w:rPr>
          <w:i/>
          <w:sz w:val="26"/>
          <w:szCs w:val="26"/>
          <w:lang w:val="lt-LT"/>
        </w:rPr>
        <w:t>audito rizikos samprat</w:t>
      </w:r>
      <w:r w:rsidR="001C3C2D" w:rsidRPr="005F44E6">
        <w:rPr>
          <w:i/>
          <w:sz w:val="26"/>
          <w:szCs w:val="26"/>
          <w:lang w:val="lt-LT"/>
        </w:rPr>
        <w:t>ą</w:t>
      </w:r>
      <w:r w:rsidR="008760DA" w:rsidRPr="005F44E6">
        <w:rPr>
          <w:i/>
          <w:sz w:val="26"/>
          <w:szCs w:val="26"/>
          <w:lang w:val="lt-LT"/>
        </w:rPr>
        <w:t xml:space="preserve"> ir jos vertinim</w:t>
      </w:r>
      <w:r w:rsidR="001C3C2D" w:rsidRPr="005F44E6">
        <w:rPr>
          <w:i/>
          <w:sz w:val="26"/>
          <w:szCs w:val="26"/>
          <w:lang w:val="lt-LT"/>
        </w:rPr>
        <w:t>ą</w:t>
      </w:r>
      <w:r w:rsidR="002B4122" w:rsidRPr="005F44E6">
        <w:rPr>
          <w:i/>
          <w:sz w:val="26"/>
          <w:szCs w:val="26"/>
          <w:lang w:val="lt-LT"/>
        </w:rPr>
        <w:t xml:space="preserve"> </w:t>
      </w:r>
      <w:r w:rsidR="001C3C2D" w:rsidRPr="005F44E6">
        <w:rPr>
          <w:i/>
          <w:sz w:val="26"/>
          <w:szCs w:val="26"/>
          <w:lang w:val="lt-LT"/>
        </w:rPr>
        <w:t xml:space="preserve">per </w:t>
      </w:r>
      <w:r w:rsidR="008760DA" w:rsidRPr="005F44E6">
        <w:rPr>
          <w:i/>
          <w:sz w:val="26"/>
          <w:szCs w:val="26"/>
          <w:lang w:val="lt-LT"/>
        </w:rPr>
        <w:t>atskir</w:t>
      </w:r>
      <w:r w:rsidR="001C3C2D" w:rsidRPr="005F44E6">
        <w:rPr>
          <w:i/>
          <w:sz w:val="26"/>
          <w:szCs w:val="26"/>
          <w:lang w:val="lt-LT"/>
        </w:rPr>
        <w:t>ų</w:t>
      </w:r>
      <w:r w:rsidR="008760DA" w:rsidRPr="005F44E6">
        <w:rPr>
          <w:i/>
          <w:sz w:val="26"/>
          <w:szCs w:val="26"/>
          <w:lang w:val="lt-LT"/>
        </w:rPr>
        <w:t xml:space="preserve"> </w:t>
      </w:r>
      <w:r w:rsidR="001C3C2D" w:rsidRPr="005F44E6">
        <w:rPr>
          <w:i/>
          <w:sz w:val="26"/>
          <w:szCs w:val="26"/>
          <w:lang w:val="lt-LT"/>
        </w:rPr>
        <w:t xml:space="preserve">audito rizikos komponentų analizę bei </w:t>
      </w:r>
      <w:r w:rsidR="007E309B" w:rsidRPr="005F44E6">
        <w:rPr>
          <w:i/>
          <w:sz w:val="26"/>
          <w:szCs w:val="26"/>
          <w:lang w:val="lt-LT"/>
        </w:rPr>
        <w:t xml:space="preserve">atlikus </w:t>
      </w:r>
      <w:r w:rsidR="008760DA" w:rsidRPr="005F44E6">
        <w:rPr>
          <w:i/>
          <w:sz w:val="26"/>
          <w:szCs w:val="26"/>
          <w:lang w:val="lt-LT"/>
        </w:rPr>
        <w:t>skirtingu</w:t>
      </w:r>
      <w:r w:rsidR="001C3C2D" w:rsidRPr="005F44E6">
        <w:rPr>
          <w:i/>
          <w:sz w:val="26"/>
          <w:szCs w:val="26"/>
          <w:lang w:val="lt-LT"/>
        </w:rPr>
        <w:t>ose</w:t>
      </w:r>
      <w:r w:rsidR="008760DA" w:rsidRPr="005F44E6">
        <w:rPr>
          <w:i/>
          <w:sz w:val="26"/>
          <w:szCs w:val="26"/>
          <w:lang w:val="lt-LT"/>
        </w:rPr>
        <w:t xml:space="preserve"> mokslo darbuose siūlom</w:t>
      </w:r>
      <w:r w:rsidR="001C3C2D" w:rsidRPr="005F44E6">
        <w:rPr>
          <w:i/>
          <w:sz w:val="26"/>
          <w:szCs w:val="26"/>
          <w:lang w:val="lt-LT"/>
        </w:rPr>
        <w:t>ų</w:t>
      </w:r>
      <w:r w:rsidR="008760DA" w:rsidRPr="005F44E6">
        <w:rPr>
          <w:i/>
          <w:sz w:val="26"/>
          <w:szCs w:val="26"/>
          <w:lang w:val="lt-LT"/>
        </w:rPr>
        <w:t xml:space="preserve"> audito rizikos modeli</w:t>
      </w:r>
      <w:r w:rsidR="001C3C2D" w:rsidRPr="005F44E6">
        <w:rPr>
          <w:i/>
          <w:sz w:val="26"/>
          <w:szCs w:val="26"/>
          <w:lang w:val="lt-LT"/>
        </w:rPr>
        <w:t xml:space="preserve">ų </w:t>
      </w:r>
      <w:r w:rsidR="00F00392" w:rsidRPr="005F44E6">
        <w:rPr>
          <w:i/>
          <w:sz w:val="26"/>
          <w:szCs w:val="26"/>
          <w:lang w:val="lt-LT"/>
        </w:rPr>
        <w:t>teorin</w:t>
      </w:r>
      <w:r w:rsidR="001C3C2D" w:rsidRPr="005F44E6">
        <w:rPr>
          <w:i/>
          <w:sz w:val="26"/>
          <w:szCs w:val="26"/>
          <w:lang w:val="lt-LT"/>
        </w:rPr>
        <w:t>į</w:t>
      </w:r>
      <w:r w:rsidR="002B4122" w:rsidRPr="005F44E6">
        <w:rPr>
          <w:i/>
          <w:sz w:val="26"/>
          <w:szCs w:val="26"/>
          <w:lang w:val="lt-LT"/>
        </w:rPr>
        <w:t xml:space="preserve"> </w:t>
      </w:r>
      <w:r w:rsidR="001C3C2D" w:rsidRPr="005F44E6">
        <w:rPr>
          <w:i/>
          <w:sz w:val="26"/>
          <w:szCs w:val="26"/>
          <w:lang w:val="lt-LT"/>
        </w:rPr>
        <w:t>palyginimą</w:t>
      </w:r>
      <w:r w:rsidRPr="005F44E6">
        <w:rPr>
          <w:i/>
          <w:sz w:val="26"/>
          <w:szCs w:val="26"/>
          <w:lang w:val="lt-LT"/>
        </w:rPr>
        <w:t>, galima teigti, kad audito rizik</w:t>
      </w:r>
      <w:r w:rsidR="002F5365" w:rsidRPr="005F44E6">
        <w:rPr>
          <w:i/>
          <w:sz w:val="26"/>
          <w:szCs w:val="26"/>
          <w:lang w:val="lt-LT"/>
        </w:rPr>
        <w:t>a</w:t>
      </w:r>
      <w:r w:rsidR="003D16AC" w:rsidRPr="005F44E6">
        <w:rPr>
          <w:i/>
          <w:sz w:val="26"/>
          <w:szCs w:val="26"/>
          <w:lang w:val="lt-LT"/>
        </w:rPr>
        <w:t xml:space="preserve"> </w:t>
      </w:r>
      <w:r w:rsidR="005D224A" w:rsidRPr="005F44E6">
        <w:rPr>
          <w:i/>
          <w:sz w:val="26"/>
          <w:szCs w:val="26"/>
          <w:lang w:val="lt-LT"/>
        </w:rPr>
        <w:t xml:space="preserve">– </w:t>
      </w:r>
      <w:r w:rsidR="001166F9" w:rsidRPr="005F44E6">
        <w:rPr>
          <w:i/>
          <w:sz w:val="26"/>
          <w:szCs w:val="26"/>
          <w:lang w:val="lt-LT"/>
        </w:rPr>
        <w:t>ekonomin</w:t>
      </w:r>
      <w:r w:rsidR="002206AB" w:rsidRPr="005F44E6">
        <w:rPr>
          <w:i/>
          <w:sz w:val="26"/>
          <w:szCs w:val="26"/>
          <w:lang w:val="lt-LT"/>
        </w:rPr>
        <w:t>ė</w:t>
      </w:r>
      <w:r w:rsidR="001166F9" w:rsidRPr="005F44E6">
        <w:rPr>
          <w:i/>
          <w:sz w:val="26"/>
          <w:szCs w:val="26"/>
          <w:lang w:val="lt-LT"/>
        </w:rPr>
        <w:t xml:space="preserve"> rizika audito įmonės atžvilgiu. Audito rizika susijusi su sprendimo priėmimu</w:t>
      </w:r>
      <w:r w:rsidR="005D224A" w:rsidRPr="005F44E6">
        <w:rPr>
          <w:i/>
          <w:sz w:val="26"/>
          <w:szCs w:val="26"/>
          <w:lang w:val="lt-LT"/>
        </w:rPr>
        <w:t xml:space="preserve"> (</w:t>
      </w:r>
      <w:r w:rsidR="000D0DEE" w:rsidRPr="005F44E6">
        <w:rPr>
          <w:i/>
          <w:sz w:val="26"/>
          <w:szCs w:val="26"/>
          <w:lang w:val="lt-LT"/>
        </w:rPr>
        <w:t xml:space="preserve">tinkamos </w:t>
      </w:r>
      <w:r w:rsidR="001166F9" w:rsidRPr="005F44E6">
        <w:rPr>
          <w:i/>
          <w:sz w:val="26"/>
          <w:szCs w:val="26"/>
          <w:lang w:val="lt-LT"/>
        </w:rPr>
        <w:t>nuomonės apie finansines ataskaitas pareiškimu</w:t>
      </w:r>
      <w:r w:rsidR="005D224A" w:rsidRPr="005F44E6">
        <w:rPr>
          <w:i/>
          <w:sz w:val="26"/>
          <w:szCs w:val="26"/>
          <w:lang w:val="lt-LT"/>
        </w:rPr>
        <w:t xml:space="preserve">), susijusi su nuostoliais </w:t>
      </w:r>
      <w:r w:rsidR="00C91943" w:rsidRPr="005F44E6">
        <w:rPr>
          <w:i/>
          <w:sz w:val="26"/>
          <w:szCs w:val="26"/>
          <w:lang w:val="lt-LT"/>
        </w:rPr>
        <w:t xml:space="preserve">(audito įmonės reputacijos netekimu, galimais teisminiais ginčais ar materialine atsakomybe) </w:t>
      </w:r>
      <w:r w:rsidR="005D224A" w:rsidRPr="005F44E6">
        <w:rPr>
          <w:i/>
          <w:sz w:val="26"/>
          <w:szCs w:val="26"/>
          <w:lang w:val="lt-LT"/>
        </w:rPr>
        <w:t>ir siekiamu tikslu (sėkminga audito įmonės veikla) bei yra tikimybinė kategorija. Tuo pačiu audito rizikai būdingas neapibrėžtumas, kurį lemia audituojamos įmonės aplinka.</w:t>
      </w:r>
      <w:r w:rsidR="00283B1D" w:rsidRPr="005F44E6">
        <w:rPr>
          <w:i/>
          <w:sz w:val="26"/>
          <w:szCs w:val="26"/>
          <w:lang w:val="lt-LT"/>
        </w:rPr>
        <w:t xml:space="preserve"> </w:t>
      </w:r>
    </w:p>
    <w:p w:rsidR="00283B1D" w:rsidRPr="005F44E6" w:rsidRDefault="00937863" w:rsidP="00937863">
      <w:pPr>
        <w:pStyle w:val="NormalWeb"/>
        <w:spacing w:before="0" w:beforeAutospacing="0" w:after="0" w:afterAutospacing="0" w:line="360" w:lineRule="auto"/>
        <w:ind w:firstLine="720"/>
        <w:jc w:val="both"/>
        <w:rPr>
          <w:i/>
          <w:sz w:val="26"/>
          <w:szCs w:val="26"/>
          <w:lang w:val="lt-LT"/>
        </w:rPr>
      </w:pPr>
      <w:r w:rsidRPr="005F44E6">
        <w:rPr>
          <w:i/>
          <w:sz w:val="26"/>
          <w:szCs w:val="26"/>
          <w:lang w:val="lt-LT"/>
        </w:rPr>
        <w:t>Kadangi rizikos vertinimas</w:t>
      </w:r>
      <w:r w:rsidR="007E309B" w:rsidRPr="005F44E6">
        <w:rPr>
          <w:i/>
          <w:sz w:val="26"/>
          <w:szCs w:val="26"/>
          <w:lang w:val="lt-LT"/>
        </w:rPr>
        <w:t xml:space="preserve"> turėtų būti suprantamas kaip</w:t>
      </w:r>
      <w:r w:rsidRPr="005F44E6">
        <w:rPr>
          <w:i/>
          <w:sz w:val="26"/>
          <w:szCs w:val="26"/>
          <w:lang w:val="lt-LT"/>
        </w:rPr>
        <w:t xml:space="preserve"> bendras rizikų apskaičiavimo ir įvertinimo procesas, kurio metu atskiros rizikos yra apskaičiuojamos, nustata</w:t>
      </w:r>
      <w:r w:rsidR="00812A7F" w:rsidRPr="005F44E6">
        <w:rPr>
          <w:i/>
          <w:sz w:val="26"/>
          <w:szCs w:val="26"/>
          <w:lang w:val="lt-LT"/>
        </w:rPr>
        <w:t xml:space="preserve">nt jų tikimybę ir galimą įtaką </w:t>
      </w:r>
      <w:r w:rsidRPr="005F44E6">
        <w:rPr>
          <w:i/>
          <w:sz w:val="26"/>
          <w:szCs w:val="26"/>
          <w:lang w:val="lt-LT"/>
        </w:rPr>
        <w:t xml:space="preserve">bei įvertinama bendra rizikos įtaka, tai ir audito rizikos vertinimas turėtų būti siejamas ne tik su atskirų audito rizikos komponentų nagrinėjimu, bet ir </w:t>
      </w:r>
      <w:r w:rsidR="007E77D4" w:rsidRPr="005F44E6">
        <w:rPr>
          <w:i/>
          <w:sz w:val="26"/>
          <w:szCs w:val="26"/>
          <w:lang w:val="lt-LT"/>
        </w:rPr>
        <w:t>su</w:t>
      </w:r>
      <w:r w:rsidR="007D34A8" w:rsidRPr="005F44E6">
        <w:rPr>
          <w:i/>
          <w:sz w:val="26"/>
          <w:szCs w:val="26"/>
          <w:lang w:val="lt-LT"/>
        </w:rPr>
        <w:t xml:space="preserve"> juos lemiančių veiksnių (sąlygų)</w:t>
      </w:r>
      <w:r w:rsidRPr="005F44E6">
        <w:rPr>
          <w:i/>
          <w:sz w:val="26"/>
          <w:szCs w:val="26"/>
          <w:lang w:val="lt-LT"/>
        </w:rPr>
        <w:t xml:space="preserve"> tikimybės bei įtakos bendru įvertinimu. Tačiau </w:t>
      </w:r>
      <w:r w:rsidR="00792702" w:rsidRPr="005F44E6">
        <w:rPr>
          <w:i/>
          <w:sz w:val="26"/>
          <w:szCs w:val="26"/>
          <w:lang w:val="lt-LT"/>
        </w:rPr>
        <w:t xml:space="preserve">audito rizikos </w:t>
      </w:r>
      <w:r w:rsidR="00741FBF" w:rsidRPr="005F44E6">
        <w:rPr>
          <w:i/>
          <w:sz w:val="26"/>
          <w:szCs w:val="26"/>
          <w:lang w:val="lt-LT"/>
        </w:rPr>
        <w:t>vertinim</w:t>
      </w:r>
      <w:r w:rsidR="00240350" w:rsidRPr="005F44E6">
        <w:rPr>
          <w:i/>
          <w:sz w:val="26"/>
          <w:szCs w:val="26"/>
          <w:lang w:val="lt-LT"/>
        </w:rPr>
        <w:t>as</w:t>
      </w:r>
      <w:r w:rsidR="00741FBF" w:rsidRPr="005F44E6">
        <w:rPr>
          <w:i/>
          <w:sz w:val="26"/>
          <w:szCs w:val="26"/>
          <w:lang w:val="lt-LT"/>
        </w:rPr>
        <w:t xml:space="preserve"> </w:t>
      </w:r>
      <w:r w:rsidR="00240350" w:rsidRPr="005F44E6">
        <w:rPr>
          <w:i/>
          <w:sz w:val="26"/>
          <w:szCs w:val="26"/>
          <w:lang w:val="lt-LT"/>
        </w:rPr>
        <w:t xml:space="preserve">mokslo darbuose </w:t>
      </w:r>
      <w:r w:rsidR="00C34065" w:rsidRPr="005F44E6">
        <w:rPr>
          <w:i/>
          <w:sz w:val="26"/>
          <w:szCs w:val="26"/>
          <w:lang w:val="lt-LT"/>
        </w:rPr>
        <w:t>nagrinėja</w:t>
      </w:r>
      <w:r w:rsidR="00240350" w:rsidRPr="005F44E6">
        <w:rPr>
          <w:i/>
          <w:sz w:val="26"/>
          <w:szCs w:val="26"/>
          <w:lang w:val="lt-LT"/>
        </w:rPr>
        <w:t>mas</w:t>
      </w:r>
      <w:r w:rsidR="00C34065" w:rsidRPr="005F44E6">
        <w:rPr>
          <w:i/>
          <w:sz w:val="26"/>
          <w:szCs w:val="26"/>
          <w:lang w:val="lt-LT"/>
        </w:rPr>
        <w:t xml:space="preserve"> siauru požiūriu, </w:t>
      </w:r>
      <w:r w:rsidR="00D91FD0" w:rsidRPr="005F44E6">
        <w:rPr>
          <w:i/>
          <w:sz w:val="26"/>
          <w:szCs w:val="26"/>
          <w:lang w:val="lt-LT"/>
        </w:rPr>
        <w:t>t. y. 1)</w:t>
      </w:r>
      <w:r w:rsidR="005F44E6">
        <w:rPr>
          <w:i/>
          <w:sz w:val="26"/>
          <w:szCs w:val="26"/>
          <w:lang w:val="lt-LT"/>
        </w:rPr>
        <w:t> </w:t>
      </w:r>
      <w:r w:rsidR="00C34065" w:rsidRPr="005F44E6">
        <w:rPr>
          <w:i/>
          <w:sz w:val="26"/>
          <w:szCs w:val="26"/>
          <w:lang w:val="lt-LT"/>
        </w:rPr>
        <w:t>akcentuoja</w:t>
      </w:r>
      <w:r w:rsidR="00240350" w:rsidRPr="005F44E6">
        <w:rPr>
          <w:i/>
          <w:sz w:val="26"/>
          <w:szCs w:val="26"/>
          <w:lang w:val="lt-LT"/>
        </w:rPr>
        <w:t>nt</w:t>
      </w:r>
      <w:r w:rsidR="00C34065" w:rsidRPr="005F44E6">
        <w:rPr>
          <w:i/>
          <w:sz w:val="26"/>
          <w:szCs w:val="26"/>
          <w:lang w:val="lt-LT"/>
        </w:rPr>
        <w:t xml:space="preserve"> </w:t>
      </w:r>
      <w:r w:rsidR="00B13249" w:rsidRPr="005F44E6">
        <w:rPr>
          <w:i/>
          <w:sz w:val="26"/>
          <w:szCs w:val="26"/>
          <w:lang w:val="lt-LT"/>
        </w:rPr>
        <w:t xml:space="preserve">atskirus </w:t>
      </w:r>
      <w:r w:rsidR="00792702" w:rsidRPr="005F44E6">
        <w:rPr>
          <w:i/>
          <w:sz w:val="26"/>
          <w:szCs w:val="26"/>
          <w:lang w:val="lt-LT"/>
        </w:rPr>
        <w:t xml:space="preserve">audito rizikos komponentus </w:t>
      </w:r>
      <w:r w:rsidR="00E1691B" w:rsidRPr="005F44E6">
        <w:rPr>
          <w:i/>
          <w:sz w:val="26"/>
          <w:szCs w:val="26"/>
          <w:lang w:val="lt-LT"/>
        </w:rPr>
        <w:t xml:space="preserve">(įgimtą, kontrolės ir aptikimo rizikas) </w:t>
      </w:r>
      <w:r w:rsidR="00792702" w:rsidRPr="005F44E6">
        <w:rPr>
          <w:i/>
          <w:sz w:val="26"/>
          <w:szCs w:val="26"/>
          <w:lang w:val="lt-LT"/>
        </w:rPr>
        <w:t xml:space="preserve">ir </w:t>
      </w:r>
      <w:r w:rsidR="002206AB" w:rsidRPr="005F44E6">
        <w:rPr>
          <w:i/>
          <w:sz w:val="26"/>
          <w:szCs w:val="26"/>
          <w:lang w:val="lt-LT"/>
        </w:rPr>
        <w:t xml:space="preserve">tam tikras </w:t>
      </w:r>
      <w:r w:rsidR="00AE5289" w:rsidRPr="005F44E6">
        <w:rPr>
          <w:i/>
          <w:sz w:val="26"/>
          <w:szCs w:val="26"/>
          <w:lang w:val="lt-LT"/>
        </w:rPr>
        <w:t xml:space="preserve">juos </w:t>
      </w:r>
      <w:r w:rsidR="00792702" w:rsidRPr="005F44E6">
        <w:rPr>
          <w:i/>
          <w:sz w:val="26"/>
          <w:szCs w:val="26"/>
          <w:lang w:val="lt-LT"/>
        </w:rPr>
        <w:t>lemianči</w:t>
      </w:r>
      <w:r w:rsidR="004F1E6A" w:rsidRPr="005F44E6">
        <w:rPr>
          <w:i/>
          <w:sz w:val="26"/>
          <w:szCs w:val="26"/>
          <w:lang w:val="lt-LT"/>
        </w:rPr>
        <w:t>us veiksnius/</w:t>
      </w:r>
      <w:r w:rsidR="002206AB" w:rsidRPr="005F44E6">
        <w:rPr>
          <w:i/>
          <w:sz w:val="26"/>
          <w:szCs w:val="26"/>
          <w:lang w:val="lt-LT"/>
        </w:rPr>
        <w:t>sąlygas</w:t>
      </w:r>
      <w:r w:rsidR="005B5943" w:rsidRPr="005F44E6">
        <w:rPr>
          <w:i/>
          <w:sz w:val="26"/>
          <w:szCs w:val="26"/>
          <w:lang w:val="lt-LT"/>
        </w:rPr>
        <w:t xml:space="preserve">, neaptariant audito rizikos komponentų visumos ir </w:t>
      </w:r>
      <w:r w:rsidR="00792702" w:rsidRPr="005F44E6">
        <w:rPr>
          <w:i/>
          <w:sz w:val="26"/>
          <w:szCs w:val="26"/>
          <w:lang w:val="lt-LT"/>
        </w:rPr>
        <w:t>ne</w:t>
      </w:r>
      <w:r w:rsidR="002206AB" w:rsidRPr="005F44E6">
        <w:rPr>
          <w:i/>
          <w:sz w:val="26"/>
          <w:szCs w:val="26"/>
          <w:lang w:val="lt-LT"/>
        </w:rPr>
        <w:t xml:space="preserve">pateikiant </w:t>
      </w:r>
      <w:r w:rsidR="00AE5289" w:rsidRPr="005F44E6">
        <w:rPr>
          <w:i/>
          <w:sz w:val="26"/>
          <w:szCs w:val="26"/>
          <w:lang w:val="lt-LT"/>
        </w:rPr>
        <w:t>apibendrintos</w:t>
      </w:r>
      <w:r w:rsidR="002206AB" w:rsidRPr="005F44E6">
        <w:rPr>
          <w:i/>
          <w:sz w:val="26"/>
          <w:szCs w:val="26"/>
          <w:lang w:val="lt-LT"/>
        </w:rPr>
        <w:t xml:space="preserve"> </w:t>
      </w:r>
      <w:r w:rsidR="00FF4364" w:rsidRPr="005F44E6">
        <w:rPr>
          <w:i/>
          <w:sz w:val="26"/>
          <w:szCs w:val="26"/>
          <w:lang w:val="lt-LT"/>
        </w:rPr>
        <w:t xml:space="preserve">audito riziką lemiančių </w:t>
      </w:r>
      <w:r w:rsidR="002206AB" w:rsidRPr="005F44E6">
        <w:rPr>
          <w:i/>
          <w:sz w:val="26"/>
          <w:szCs w:val="26"/>
          <w:lang w:val="lt-LT"/>
        </w:rPr>
        <w:t xml:space="preserve">sąlygų </w:t>
      </w:r>
      <w:r w:rsidR="00E1691B" w:rsidRPr="005F44E6">
        <w:rPr>
          <w:i/>
          <w:sz w:val="26"/>
          <w:szCs w:val="26"/>
          <w:lang w:val="lt-LT"/>
        </w:rPr>
        <w:t>klasifikacijos</w:t>
      </w:r>
      <w:r w:rsidR="00AE5289" w:rsidRPr="005F44E6">
        <w:rPr>
          <w:i/>
          <w:sz w:val="26"/>
          <w:szCs w:val="26"/>
          <w:lang w:val="lt-LT"/>
        </w:rPr>
        <w:t>;</w:t>
      </w:r>
      <w:r w:rsidR="00792702" w:rsidRPr="005F44E6">
        <w:rPr>
          <w:i/>
          <w:sz w:val="26"/>
          <w:szCs w:val="26"/>
          <w:lang w:val="lt-LT"/>
        </w:rPr>
        <w:t xml:space="preserve"> </w:t>
      </w:r>
      <w:r w:rsidR="00D91FD0" w:rsidRPr="005F44E6">
        <w:rPr>
          <w:i/>
          <w:sz w:val="26"/>
          <w:szCs w:val="26"/>
          <w:lang w:val="lt-LT"/>
        </w:rPr>
        <w:t>2) pateikiant</w:t>
      </w:r>
      <w:r w:rsidR="00FF4364" w:rsidRPr="005F44E6">
        <w:rPr>
          <w:i/>
          <w:sz w:val="26"/>
          <w:szCs w:val="26"/>
          <w:lang w:val="lt-LT"/>
        </w:rPr>
        <w:t xml:space="preserve"> daugiau </w:t>
      </w:r>
      <w:r w:rsidR="00D91FD0" w:rsidRPr="005F44E6">
        <w:rPr>
          <w:i/>
          <w:sz w:val="26"/>
          <w:szCs w:val="26"/>
          <w:lang w:val="lt-LT"/>
        </w:rPr>
        <w:t xml:space="preserve">teorinius audito rizikos sampratos modelius, </w:t>
      </w:r>
      <w:r w:rsidR="005B5943" w:rsidRPr="005F44E6">
        <w:rPr>
          <w:i/>
          <w:sz w:val="26"/>
          <w:szCs w:val="26"/>
          <w:lang w:val="lt-LT"/>
        </w:rPr>
        <w:t xml:space="preserve">neatskleidžiant </w:t>
      </w:r>
      <w:r w:rsidR="00D91FD0" w:rsidRPr="005F44E6">
        <w:rPr>
          <w:i/>
          <w:sz w:val="26"/>
          <w:szCs w:val="26"/>
          <w:lang w:val="lt-LT"/>
        </w:rPr>
        <w:t>juose r</w:t>
      </w:r>
      <w:r w:rsidR="00792702" w:rsidRPr="005F44E6">
        <w:rPr>
          <w:i/>
          <w:sz w:val="26"/>
          <w:szCs w:val="26"/>
          <w:lang w:val="lt-LT"/>
        </w:rPr>
        <w:t>yši</w:t>
      </w:r>
      <w:r w:rsidR="00D91FD0" w:rsidRPr="005F44E6">
        <w:rPr>
          <w:i/>
          <w:sz w:val="26"/>
          <w:szCs w:val="26"/>
          <w:lang w:val="lt-LT"/>
        </w:rPr>
        <w:t xml:space="preserve">ų tarp atskirų audito rizikos komponentų ir </w:t>
      </w:r>
      <w:r w:rsidR="00E1691B" w:rsidRPr="005F44E6">
        <w:rPr>
          <w:i/>
          <w:sz w:val="26"/>
          <w:szCs w:val="26"/>
          <w:lang w:val="lt-LT"/>
        </w:rPr>
        <w:t xml:space="preserve">tinkamai </w:t>
      </w:r>
      <w:r w:rsidR="00D91FD0" w:rsidRPr="005F44E6">
        <w:rPr>
          <w:i/>
          <w:sz w:val="26"/>
          <w:szCs w:val="26"/>
          <w:lang w:val="lt-LT"/>
        </w:rPr>
        <w:t>ne</w:t>
      </w:r>
      <w:r w:rsidR="00E1691B" w:rsidRPr="005F44E6">
        <w:rPr>
          <w:i/>
          <w:sz w:val="26"/>
          <w:szCs w:val="26"/>
          <w:lang w:val="lt-LT"/>
        </w:rPr>
        <w:t xml:space="preserve">susiejant viso to su </w:t>
      </w:r>
      <w:r w:rsidR="005B5943" w:rsidRPr="005F44E6">
        <w:rPr>
          <w:i/>
          <w:sz w:val="26"/>
          <w:szCs w:val="26"/>
          <w:lang w:val="lt-LT"/>
        </w:rPr>
        <w:t xml:space="preserve">audito rizikos vertinimu bei pačiu </w:t>
      </w:r>
      <w:r w:rsidR="00E1691B" w:rsidRPr="005F44E6">
        <w:rPr>
          <w:i/>
          <w:sz w:val="26"/>
          <w:szCs w:val="26"/>
          <w:lang w:val="lt-LT"/>
        </w:rPr>
        <w:t xml:space="preserve">audito </w:t>
      </w:r>
      <w:r w:rsidR="00D91FD0" w:rsidRPr="005F44E6">
        <w:rPr>
          <w:i/>
          <w:sz w:val="26"/>
          <w:szCs w:val="26"/>
          <w:lang w:val="lt-LT"/>
        </w:rPr>
        <w:t>proces</w:t>
      </w:r>
      <w:r w:rsidR="00E1691B" w:rsidRPr="005F44E6">
        <w:rPr>
          <w:i/>
          <w:sz w:val="26"/>
          <w:szCs w:val="26"/>
          <w:lang w:val="lt-LT"/>
        </w:rPr>
        <w:t>u</w:t>
      </w:r>
      <w:r w:rsidR="00D91FD0" w:rsidRPr="005F44E6">
        <w:rPr>
          <w:i/>
          <w:sz w:val="26"/>
          <w:szCs w:val="26"/>
          <w:lang w:val="lt-LT"/>
        </w:rPr>
        <w:t>.</w:t>
      </w:r>
      <w:r w:rsidR="00E1691B" w:rsidRPr="005F44E6">
        <w:rPr>
          <w:i/>
          <w:sz w:val="26"/>
          <w:szCs w:val="26"/>
          <w:lang w:val="lt-LT"/>
        </w:rPr>
        <w:t xml:space="preserve"> </w:t>
      </w:r>
    </w:p>
    <w:p w:rsidR="005F44E6" w:rsidRDefault="00AD4518" w:rsidP="00FF4364">
      <w:pPr>
        <w:pStyle w:val="NormalWeb"/>
        <w:spacing w:before="0" w:beforeAutospacing="0" w:after="0" w:afterAutospacing="0" w:line="360" w:lineRule="auto"/>
        <w:ind w:firstLine="720"/>
        <w:jc w:val="both"/>
        <w:rPr>
          <w:i/>
          <w:sz w:val="26"/>
          <w:szCs w:val="26"/>
          <w:lang w:val="lt-LT"/>
        </w:rPr>
      </w:pPr>
      <w:r w:rsidRPr="005F44E6">
        <w:rPr>
          <w:i/>
          <w:sz w:val="26"/>
          <w:szCs w:val="26"/>
          <w:lang w:val="lt-LT"/>
        </w:rPr>
        <w:lastRenderedPageBreak/>
        <w:t>I</w:t>
      </w:r>
      <w:r w:rsidR="005B5943" w:rsidRPr="005F44E6">
        <w:rPr>
          <w:i/>
          <w:sz w:val="26"/>
          <w:szCs w:val="26"/>
          <w:lang w:val="lt-LT"/>
        </w:rPr>
        <w:t xml:space="preserve">šdėstytos teorinės prielaidos ir interpretacijos </w:t>
      </w:r>
      <w:r w:rsidR="00FF4364" w:rsidRPr="005F44E6">
        <w:rPr>
          <w:i/>
          <w:sz w:val="26"/>
          <w:szCs w:val="26"/>
          <w:lang w:val="lt-LT"/>
        </w:rPr>
        <w:t>patvirtina</w:t>
      </w:r>
      <w:r w:rsidR="00A272A1" w:rsidRPr="005F44E6">
        <w:rPr>
          <w:i/>
          <w:sz w:val="26"/>
          <w:szCs w:val="26"/>
          <w:lang w:val="lt-LT"/>
        </w:rPr>
        <w:t xml:space="preserve">, kad </w:t>
      </w:r>
      <w:r w:rsidR="00856AC3" w:rsidRPr="005F44E6">
        <w:rPr>
          <w:i/>
          <w:sz w:val="26"/>
          <w:szCs w:val="26"/>
          <w:lang w:val="lt-LT"/>
        </w:rPr>
        <w:t>būtinas</w:t>
      </w:r>
      <w:r w:rsidR="00A272A1" w:rsidRPr="005F44E6">
        <w:rPr>
          <w:i/>
          <w:sz w:val="26"/>
          <w:szCs w:val="26"/>
          <w:lang w:val="lt-LT"/>
        </w:rPr>
        <w:t xml:space="preserve"> sisteminis požiūris į tiriamą objektą bei sudaro teorinį pagrindą kuriant </w:t>
      </w:r>
      <w:r w:rsidR="00FF4364" w:rsidRPr="005F44E6">
        <w:rPr>
          <w:i/>
          <w:sz w:val="26"/>
          <w:szCs w:val="26"/>
          <w:lang w:val="lt-LT"/>
        </w:rPr>
        <w:t>darbo autorės siūlomą audito rizikos vertinimo modelį</w:t>
      </w:r>
      <w:r w:rsidR="00A272A1" w:rsidRPr="005F44E6">
        <w:rPr>
          <w:i/>
          <w:sz w:val="26"/>
          <w:szCs w:val="26"/>
          <w:lang w:val="lt-LT"/>
        </w:rPr>
        <w:t>.</w:t>
      </w:r>
    </w:p>
    <w:p w:rsidR="005F44E6" w:rsidRDefault="005F44E6">
      <w:pPr>
        <w:rPr>
          <w:i/>
          <w:sz w:val="26"/>
          <w:szCs w:val="26"/>
          <w:lang w:val="lt-LT" w:eastAsia="en-US"/>
        </w:rPr>
      </w:pPr>
      <w:r>
        <w:rPr>
          <w:i/>
          <w:sz w:val="26"/>
          <w:szCs w:val="26"/>
          <w:lang w:val="lt-LT"/>
        </w:rPr>
        <w:br w:type="page"/>
      </w:r>
    </w:p>
    <w:p w:rsidR="000D3D46" w:rsidRPr="000D3D46" w:rsidRDefault="00C6582E" w:rsidP="00C6582E">
      <w:pPr>
        <w:pStyle w:val="Heading1"/>
        <w:rPr>
          <w:lang w:val="lt-LT"/>
        </w:rPr>
      </w:pPr>
      <w:bookmarkStart w:id="40" w:name="_Toc253244586"/>
      <w:r>
        <w:rPr>
          <w:lang w:val="lt-LT"/>
        </w:rPr>
        <w:lastRenderedPageBreak/>
        <w:t>2</w:t>
      </w:r>
      <w:r w:rsidR="000D3D46" w:rsidRPr="000D3D46">
        <w:rPr>
          <w:lang w:val="lt-LT"/>
        </w:rPr>
        <w:t>. Audito rizikos vertinimo modelio sudarymas</w:t>
      </w:r>
      <w:bookmarkEnd w:id="40"/>
    </w:p>
    <w:p w:rsidR="00856AC3" w:rsidRPr="00F550FA" w:rsidRDefault="00606472" w:rsidP="005F44E6">
      <w:pPr>
        <w:pStyle w:val="NormalWeb"/>
        <w:spacing w:before="240" w:beforeAutospacing="0" w:after="0" w:afterAutospacing="0" w:line="360" w:lineRule="auto"/>
        <w:ind w:firstLine="720"/>
        <w:jc w:val="both"/>
        <w:rPr>
          <w:i/>
          <w:sz w:val="26"/>
          <w:szCs w:val="26"/>
          <w:lang w:val="lt-LT"/>
        </w:rPr>
      </w:pPr>
      <w:r w:rsidRPr="005F44E6">
        <w:rPr>
          <w:sz w:val="26"/>
          <w:szCs w:val="26"/>
          <w:lang w:val="lt-LT"/>
        </w:rPr>
        <w:t>Ši disertacijos dal</w:t>
      </w:r>
      <w:r w:rsidR="00145500" w:rsidRPr="005F44E6">
        <w:rPr>
          <w:sz w:val="26"/>
          <w:szCs w:val="26"/>
          <w:lang w:val="lt-LT"/>
        </w:rPr>
        <w:t>is</w:t>
      </w:r>
      <w:r w:rsidRPr="005F44E6">
        <w:rPr>
          <w:sz w:val="26"/>
          <w:szCs w:val="26"/>
          <w:lang w:val="lt-LT"/>
        </w:rPr>
        <w:t xml:space="preserve"> </w:t>
      </w:r>
      <w:r w:rsidR="00145500" w:rsidRPr="005F44E6">
        <w:rPr>
          <w:sz w:val="26"/>
          <w:szCs w:val="26"/>
          <w:lang w:val="lt-LT"/>
        </w:rPr>
        <w:t xml:space="preserve">skirta </w:t>
      </w:r>
      <w:r w:rsidRPr="005F44E6">
        <w:rPr>
          <w:sz w:val="26"/>
          <w:szCs w:val="26"/>
          <w:lang w:val="lt-LT"/>
        </w:rPr>
        <w:t>iš</w:t>
      </w:r>
      <w:r w:rsidR="00046E55">
        <w:rPr>
          <w:sz w:val="26"/>
          <w:szCs w:val="26"/>
          <w:lang w:val="lt-LT"/>
        </w:rPr>
        <w:t xml:space="preserve">analizuoti problemoms su kuriomis </w:t>
      </w:r>
      <w:r w:rsidR="00046E55" w:rsidRPr="005F44E6">
        <w:rPr>
          <w:sz w:val="26"/>
          <w:szCs w:val="26"/>
          <w:lang w:val="lt-LT"/>
        </w:rPr>
        <w:t>susiduriama</w:t>
      </w:r>
      <w:r w:rsidR="00046E55">
        <w:rPr>
          <w:sz w:val="26"/>
          <w:szCs w:val="26"/>
          <w:lang w:val="lt-LT"/>
        </w:rPr>
        <w:t xml:space="preserve"> prakti</w:t>
      </w:r>
      <w:r w:rsidRPr="005F44E6">
        <w:rPr>
          <w:sz w:val="26"/>
          <w:szCs w:val="26"/>
          <w:lang w:val="lt-LT"/>
        </w:rPr>
        <w:t>koje vertinant audito riziką</w:t>
      </w:r>
      <w:r w:rsidR="00046E55">
        <w:rPr>
          <w:sz w:val="26"/>
          <w:szCs w:val="26"/>
          <w:lang w:val="lt-LT"/>
        </w:rPr>
        <w:t xml:space="preserve">, kaip būtų </w:t>
      </w:r>
      <w:r w:rsidRPr="005F44E6">
        <w:rPr>
          <w:sz w:val="26"/>
          <w:szCs w:val="26"/>
          <w:lang w:val="lt-LT"/>
        </w:rPr>
        <w:t>galima j</w:t>
      </w:r>
      <w:r w:rsidR="00046E55">
        <w:rPr>
          <w:sz w:val="26"/>
          <w:szCs w:val="26"/>
          <w:lang w:val="lt-LT"/>
        </w:rPr>
        <w:t>a</w:t>
      </w:r>
      <w:r w:rsidRPr="005F44E6">
        <w:rPr>
          <w:sz w:val="26"/>
          <w:szCs w:val="26"/>
          <w:lang w:val="lt-LT"/>
        </w:rPr>
        <w:t xml:space="preserve">s išspręsti </w:t>
      </w:r>
      <w:r w:rsidR="00145500" w:rsidRPr="005F44E6">
        <w:rPr>
          <w:sz w:val="26"/>
          <w:szCs w:val="26"/>
          <w:lang w:val="lt-LT"/>
        </w:rPr>
        <w:t xml:space="preserve">bei </w:t>
      </w:r>
      <w:r w:rsidRPr="005F44E6">
        <w:rPr>
          <w:i/>
          <w:sz w:val="26"/>
          <w:szCs w:val="26"/>
          <w:lang w:val="lt-LT"/>
        </w:rPr>
        <w:t>sudaryti audito rizikos vertinimo modelį</w:t>
      </w:r>
      <w:r w:rsidRPr="005F44E6">
        <w:rPr>
          <w:sz w:val="26"/>
          <w:szCs w:val="26"/>
          <w:lang w:val="lt-LT"/>
        </w:rPr>
        <w:t>.</w:t>
      </w:r>
      <w:r w:rsidR="00856AC3" w:rsidRPr="005F44E6">
        <w:rPr>
          <w:sz w:val="26"/>
          <w:szCs w:val="26"/>
          <w:lang w:val="lt-LT"/>
        </w:rPr>
        <w:t xml:space="preserve"> </w:t>
      </w:r>
      <w:r w:rsidR="001B7075" w:rsidRPr="005F44E6">
        <w:rPr>
          <w:sz w:val="26"/>
          <w:szCs w:val="26"/>
          <w:lang w:val="lt-LT"/>
        </w:rPr>
        <w:t>Atliktas teorinis audito rizikos ir jos komponentų sampratos bei vertinimo aspektų tyrimas atskleidė, kad mokslo darbuose nepateikiamas išsamus audito rizikos vertinimo modelis</w:t>
      </w:r>
      <w:r w:rsidR="00437E66" w:rsidRPr="005F44E6">
        <w:rPr>
          <w:sz w:val="26"/>
          <w:szCs w:val="26"/>
          <w:lang w:val="lt-LT"/>
        </w:rPr>
        <w:t>, todėl s</w:t>
      </w:r>
      <w:r w:rsidR="001B7075" w:rsidRPr="005F44E6">
        <w:rPr>
          <w:sz w:val="26"/>
          <w:szCs w:val="26"/>
          <w:lang w:val="lt-LT"/>
        </w:rPr>
        <w:t xml:space="preserve">iekiant </w:t>
      </w:r>
      <w:r w:rsidR="00983C68" w:rsidRPr="005F44E6">
        <w:rPr>
          <w:sz w:val="26"/>
          <w:szCs w:val="26"/>
          <w:lang w:val="lt-LT"/>
        </w:rPr>
        <w:t xml:space="preserve">nustatyti </w:t>
      </w:r>
      <w:r w:rsidR="001B7075" w:rsidRPr="005F44E6">
        <w:rPr>
          <w:sz w:val="26"/>
          <w:szCs w:val="26"/>
          <w:lang w:val="lt-LT"/>
        </w:rPr>
        <w:t>audito rizikos vertinim</w:t>
      </w:r>
      <w:r w:rsidR="00046E55">
        <w:rPr>
          <w:sz w:val="26"/>
          <w:szCs w:val="26"/>
          <w:lang w:val="lt-LT"/>
        </w:rPr>
        <w:t xml:space="preserve">o auditoriams </w:t>
      </w:r>
      <w:r w:rsidR="001B7075" w:rsidRPr="005F44E6">
        <w:rPr>
          <w:sz w:val="26"/>
          <w:szCs w:val="26"/>
          <w:lang w:val="lt-LT"/>
        </w:rPr>
        <w:t>praktikoje aktualumą, atlikta anketinė Lietuvos auditorių apklausa, kurios rezultatai apibendrinti d</w:t>
      </w:r>
      <w:r w:rsidR="00A900B0">
        <w:rPr>
          <w:sz w:val="26"/>
          <w:szCs w:val="26"/>
          <w:lang w:val="lt-LT"/>
        </w:rPr>
        <w:t>isertacijos</w:t>
      </w:r>
      <w:r w:rsidR="001B7075" w:rsidRPr="005F44E6">
        <w:rPr>
          <w:sz w:val="26"/>
          <w:szCs w:val="26"/>
          <w:lang w:val="lt-LT"/>
        </w:rPr>
        <w:t xml:space="preserve"> </w:t>
      </w:r>
      <w:r w:rsidR="00A900B0" w:rsidRPr="005F44E6">
        <w:rPr>
          <w:sz w:val="26"/>
          <w:szCs w:val="26"/>
          <w:lang w:val="lt-LT"/>
        </w:rPr>
        <w:t>2.1</w:t>
      </w:r>
      <w:r w:rsidR="00A900B0">
        <w:rPr>
          <w:sz w:val="26"/>
          <w:szCs w:val="26"/>
          <w:lang w:val="lt-LT"/>
        </w:rPr>
        <w:t>. </w:t>
      </w:r>
      <w:r w:rsidR="001B7075" w:rsidRPr="005F44E6">
        <w:rPr>
          <w:sz w:val="26"/>
          <w:szCs w:val="26"/>
          <w:lang w:val="lt-LT"/>
        </w:rPr>
        <w:t xml:space="preserve">skyriuje. </w:t>
      </w:r>
      <w:r w:rsidR="00437E66" w:rsidRPr="005F44E6">
        <w:rPr>
          <w:sz w:val="26"/>
          <w:szCs w:val="26"/>
          <w:lang w:val="lt-LT"/>
        </w:rPr>
        <w:t xml:space="preserve">Toliau </w:t>
      </w:r>
      <w:r w:rsidR="00856AC3" w:rsidRPr="005F44E6">
        <w:rPr>
          <w:sz w:val="26"/>
          <w:szCs w:val="26"/>
          <w:lang w:val="lt-LT"/>
        </w:rPr>
        <w:t xml:space="preserve">remiantis </w:t>
      </w:r>
      <w:r w:rsidR="00C039F3" w:rsidRPr="005F44E6">
        <w:rPr>
          <w:sz w:val="26"/>
          <w:szCs w:val="26"/>
          <w:lang w:val="lt-LT"/>
        </w:rPr>
        <w:t xml:space="preserve">atliktais teoriniais ir praktiniais audito rizikos vertinimo tyrimais bei darbo autorės </w:t>
      </w:r>
      <w:r w:rsidR="001B7075" w:rsidRPr="005F44E6">
        <w:rPr>
          <w:sz w:val="26"/>
          <w:szCs w:val="26"/>
          <w:lang w:val="lt-LT"/>
        </w:rPr>
        <w:t>požiūriu į tiriamą objektą</w:t>
      </w:r>
      <w:r w:rsidR="001267A8" w:rsidRPr="005F44E6">
        <w:rPr>
          <w:sz w:val="26"/>
          <w:szCs w:val="26"/>
          <w:lang w:val="lt-LT"/>
        </w:rPr>
        <w:t>, 2.2</w:t>
      </w:r>
      <w:r w:rsidR="00A900B0">
        <w:rPr>
          <w:sz w:val="26"/>
          <w:szCs w:val="26"/>
          <w:lang w:val="lt-LT"/>
        </w:rPr>
        <w:t>.</w:t>
      </w:r>
      <w:r w:rsidR="002C24E1">
        <w:rPr>
          <w:sz w:val="26"/>
          <w:szCs w:val="26"/>
          <w:lang w:val="lt-LT"/>
        </w:rPr>
        <w:t> </w:t>
      </w:r>
      <w:r w:rsidR="001267A8" w:rsidRPr="005F44E6">
        <w:rPr>
          <w:sz w:val="26"/>
          <w:szCs w:val="26"/>
          <w:lang w:val="lt-LT"/>
        </w:rPr>
        <w:t xml:space="preserve">skyriuje pateikiamas darbo </w:t>
      </w:r>
      <w:r w:rsidR="001267A8" w:rsidRPr="00F550FA">
        <w:rPr>
          <w:sz w:val="26"/>
          <w:szCs w:val="26"/>
          <w:lang w:val="lt-LT"/>
        </w:rPr>
        <w:t>autorės sudarytas audito rizikos vertinimo modelis</w:t>
      </w:r>
      <w:r w:rsidR="00FC44DD" w:rsidRPr="00F550FA">
        <w:rPr>
          <w:sz w:val="26"/>
          <w:szCs w:val="26"/>
          <w:lang w:val="lt-LT"/>
        </w:rPr>
        <w:t xml:space="preserve"> ir </w:t>
      </w:r>
      <w:r w:rsidR="001267A8" w:rsidRPr="00F550FA">
        <w:rPr>
          <w:sz w:val="26"/>
          <w:szCs w:val="26"/>
          <w:lang w:val="lt-LT"/>
        </w:rPr>
        <w:t>jo</w:t>
      </w:r>
      <w:r w:rsidR="00983C68" w:rsidRPr="00F550FA">
        <w:rPr>
          <w:sz w:val="26"/>
          <w:szCs w:val="26"/>
          <w:lang w:val="lt-LT"/>
        </w:rPr>
        <w:t xml:space="preserve"> struktūros</w:t>
      </w:r>
      <w:r w:rsidR="001267A8" w:rsidRPr="00F550FA">
        <w:rPr>
          <w:sz w:val="26"/>
          <w:szCs w:val="26"/>
          <w:lang w:val="lt-LT"/>
        </w:rPr>
        <w:t xml:space="preserve"> aprašymas</w:t>
      </w:r>
      <w:r w:rsidR="00ED403F" w:rsidRPr="00F550FA">
        <w:rPr>
          <w:sz w:val="26"/>
          <w:szCs w:val="26"/>
          <w:lang w:val="lt-LT"/>
        </w:rPr>
        <w:t xml:space="preserve"> </w:t>
      </w:r>
      <w:r w:rsidR="00FC44DD" w:rsidRPr="00F550FA">
        <w:rPr>
          <w:sz w:val="26"/>
          <w:szCs w:val="26"/>
          <w:lang w:val="lt-LT"/>
        </w:rPr>
        <w:t xml:space="preserve">bei aptariamos modelio </w:t>
      </w:r>
      <w:r w:rsidR="00F550FA">
        <w:rPr>
          <w:sz w:val="26"/>
          <w:szCs w:val="26"/>
          <w:lang w:val="lt-LT"/>
        </w:rPr>
        <w:t>pri</w:t>
      </w:r>
      <w:r w:rsidR="00FC44DD" w:rsidRPr="00F550FA">
        <w:rPr>
          <w:sz w:val="26"/>
          <w:szCs w:val="26"/>
          <w:lang w:val="lt-LT"/>
        </w:rPr>
        <w:t xml:space="preserve">taikymui svarbios </w:t>
      </w:r>
      <w:r w:rsidR="00ED403F" w:rsidRPr="00F550FA">
        <w:rPr>
          <w:sz w:val="26"/>
          <w:szCs w:val="26"/>
          <w:lang w:val="lt-LT"/>
        </w:rPr>
        <w:t>audito rizikos vertinimo metodi</w:t>
      </w:r>
      <w:r w:rsidR="00FC44DD" w:rsidRPr="00F550FA">
        <w:rPr>
          <w:sz w:val="26"/>
          <w:szCs w:val="26"/>
          <w:lang w:val="lt-LT"/>
        </w:rPr>
        <w:t>kos</w:t>
      </w:r>
      <w:r w:rsidR="001267A8" w:rsidRPr="00F550FA">
        <w:rPr>
          <w:sz w:val="26"/>
          <w:szCs w:val="26"/>
          <w:lang w:val="lt-LT"/>
        </w:rPr>
        <w:t>.</w:t>
      </w:r>
    </w:p>
    <w:p w:rsidR="000D3D46" w:rsidRPr="005F44E6" w:rsidRDefault="000D3D46" w:rsidP="00C6582E">
      <w:pPr>
        <w:pStyle w:val="Heading2"/>
        <w:jc w:val="center"/>
        <w:rPr>
          <w:rFonts w:ascii="Times New Roman" w:hAnsi="Times New Roman" w:cs="Times New Roman"/>
          <w:lang w:val="lt-LT" w:eastAsia="en-US"/>
        </w:rPr>
      </w:pPr>
      <w:bookmarkStart w:id="41" w:name="_Toc253244587"/>
      <w:r w:rsidRPr="005F44E6">
        <w:rPr>
          <w:rFonts w:ascii="Times New Roman" w:hAnsi="Times New Roman" w:cs="Times New Roman"/>
          <w:lang w:val="lt-LT" w:eastAsia="en-US"/>
        </w:rPr>
        <w:t>2.1. Audito rizikos vertinimo modelio poreikio tyrimas</w:t>
      </w:r>
      <w:bookmarkEnd w:id="41"/>
    </w:p>
    <w:p w:rsidR="00CE6F54" w:rsidRPr="005F44E6" w:rsidRDefault="00035845" w:rsidP="004C1D26">
      <w:pPr>
        <w:spacing w:before="120" w:line="360" w:lineRule="auto"/>
        <w:ind w:firstLine="720"/>
        <w:jc w:val="both"/>
        <w:rPr>
          <w:sz w:val="26"/>
          <w:szCs w:val="26"/>
          <w:lang w:val="lt-LT"/>
        </w:rPr>
      </w:pPr>
      <w:r w:rsidRPr="005F44E6">
        <w:rPr>
          <w:sz w:val="26"/>
          <w:szCs w:val="26"/>
          <w:lang w:val="lt-LT"/>
        </w:rPr>
        <w:t>S</w:t>
      </w:r>
      <w:r w:rsidR="00615ABB" w:rsidRPr="005F44E6">
        <w:rPr>
          <w:sz w:val="26"/>
          <w:szCs w:val="26"/>
          <w:lang w:val="lt-LT"/>
        </w:rPr>
        <w:t xml:space="preserve">iekiant išsiaiškinti problemos į </w:t>
      </w:r>
      <w:r w:rsidR="00983C68" w:rsidRPr="005F44E6">
        <w:rPr>
          <w:sz w:val="26"/>
          <w:szCs w:val="26"/>
          <w:lang w:val="lt-LT"/>
        </w:rPr>
        <w:t>audito rizikos vertinimą</w:t>
      </w:r>
      <w:r w:rsidR="00615ABB" w:rsidRPr="005F44E6">
        <w:rPr>
          <w:sz w:val="26"/>
          <w:szCs w:val="26"/>
          <w:lang w:val="lt-LT"/>
        </w:rPr>
        <w:t xml:space="preserve"> </w:t>
      </w:r>
      <w:r w:rsidR="00C14F99" w:rsidRPr="005F44E6">
        <w:rPr>
          <w:sz w:val="26"/>
          <w:szCs w:val="26"/>
          <w:lang w:val="lt-LT"/>
        </w:rPr>
        <w:t xml:space="preserve">praktikoje </w:t>
      </w:r>
      <w:r w:rsidR="00615ABB" w:rsidRPr="005F44E6">
        <w:rPr>
          <w:sz w:val="26"/>
          <w:szCs w:val="26"/>
          <w:lang w:val="lt-LT"/>
        </w:rPr>
        <w:t xml:space="preserve">aktualumą atliktas </w:t>
      </w:r>
      <w:r w:rsidR="00071F5B" w:rsidRPr="005F44E6">
        <w:rPr>
          <w:sz w:val="26"/>
          <w:szCs w:val="26"/>
          <w:lang w:val="lt-LT"/>
        </w:rPr>
        <w:t xml:space="preserve">audito rizikos vertinimo modelio poreikio </w:t>
      </w:r>
      <w:r w:rsidR="00615ABB" w:rsidRPr="005F44E6">
        <w:rPr>
          <w:sz w:val="26"/>
          <w:szCs w:val="26"/>
          <w:lang w:val="lt-LT"/>
        </w:rPr>
        <w:t xml:space="preserve">tyrimas. </w:t>
      </w:r>
    </w:p>
    <w:p w:rsidR="00B8501E" w:rsidRPr="005F44E6" w:rsidRDefault="00B8501E" w:rsidP="004C1D26">
      <w:pPr>
        <w:spacing w:line="360" w:lineRule="auto"/>
        <w:ind w:firstLine="720"/>
        <w:jc w:val="both"/>
        <w:rPr>
          <w:sz w:val="26"/>
          <w:szCs w:val="26"/>
          <w:lang w:val="lt-LT"/>
        </w:rPr>
      </w:pPr>
      <w:r w:rsidRPr="005F44E6">
        <w:rPr>
          <w:sz w:val="26"/>
          <w:szCs w:val="26"/>
          <w:u w:val="single"/>
          <w:lang w:val="lt-LT"/>
        </w:rPr>
        <w:t>T</w:t>
      </w:r>
      <w:r w:rsidRPr="005F44E6">
        <w:rPr>
          <w:i/>
          <w:sz w:val="26"/>
          <w:szCs w:val="26"/>
          <w:u w:val="single"/>
          <w:lang w:val="lt-LT"/>
        </w:rPr>
        <w:t>yrimo tikslas</w:t>
      </w:r>
      <w:r w:rsidRPr="005F44E6">
        <w:rPr>
          <w:b/>
          <w:sz w:val="26"/>
          <w:szCs w:val="26"/>
          <w:lang w:val="lt-LT"/>
        </w:rPr>
        <w:t xml:space="preserve"> – </w:t>
      </w:r>
      <w:r w:rsidRPr="005F44E6">
        <w:rPr>
          <w:sz w:val="26"/>
          <w:szCs w:val="26"/>
          <w:lang w:val="lt-LT"/>
        </w:rPr>
        <w:t>iš</w:t>
      </w:r>
      <w:r w:rsidR="004C1D26" w:rsidRPr="005F44E6">
        <w:rPr>
          <w:sz w:val="26"/>
          <w:szCs w:val="26"/>
          <w:lang w:val="lt-LT"/>
        </w:rPr>
        <w:t xml:space="preserve">siaiškinti </w:t>
      </w:r>
      <w:r w:rsidRPr="005F44E6">
        <w:rPr>
          <w:sz w:val="26"/>
          <w:szCs w:val="26"/>
          <w:lang w:val="lt-LT"/>
        </w:rPr>
        <w:t>Lietuvos auditori</w:t>
      </w:r>
      <w:r w:rsidR="004C1D26" w:rsidRPr="005F44E6">
        <w:rPr>
          <w:sz w:val="26"/>
          <w:szCs w:val="26"/>
          <w:lang w:val="lt-LT"/>
        </w:rPr>
        <w:t xml:space="preserve">ų patirtį </w:t>
      </w:r>
      <w:r w:rsidRPr="005F44E6">
        <w:rPr>
          <w:sz w:val="26"/>
          <w:szCs w:val="26"/>
          <w:lang w:val="lt-LT"/>
        </w:rPr>
        <w:t>vertina</w:t>
      </w:r>
      <w:r w:rsidR="004C1D26" w:rsidRPr="005F44E6">
        <w:rPr>
          <w:sz w:val="26"/>
          <w:szCs w:val="26"/>
          <w:lang w:val="lt-LT"/>
        </w:rPr>
        <w:t xml:space="preserve">nt </w:t>
      </w:r>
      <w:r w:rsidRPr="005F44E6">
        <w:rPr>
          <w:sz w:val="26"/>
          <w:szCs w:val="26"/>
          <w:lang w:val="lt-LT"/>
        </w:rPr>
        <w:t>audito riziką.</w:t>
      </w:r>
    </w:p>
    <w:p w:rsidR="00B8501E" w:rsidRPr="005F44E6" w:rsidRDefault="00B8501E" w:rsidP="004C1D26">
      <w:pPr>
        <w:spacing w:line="360" w:lineRule="auto"/>
        <w:ind w:firstLine="720"/>
        <w:jc w:val="both"/>
        <w:rPr>
          <w:sz w:val="26"/>
          <w:szCs w:val="26"/>
          <w:lang w:val="lt-LT"/>
        </w:rPr>
      </w:pPr>
      <w:r w:rsidRPr="005F44E6">
        <w:rPr>
          <w:i/>
          <w:sz w:val="26"/>
          <w:szCs w:val="26"/>
          <w:u w:val="single"/>
          <w:lang w:val="lt-LT"/>
        </w:rPr>
        <w:t>Tyrimo objektas</w:t>
      </w:r>
      <w:r w:rsidRPr="005F44E6">
        <w:rPr>
          <w:sz w:val="26"/>
          <w:szCs w:val="26"/>
          <w:lang w:val="lt-LT"/>
        </w:rPr>
        <w:t xml:space="preserve"> – audito rizik</w:t>
      </w:r>
      <w:r w:rsidR="004C1D26" w:rsidRPr="005F44E6">
        <w:rPr>
          <w:sz w:val="26"/>
          <w:szCs w:val="26"/>
          <w:lang w:val="lt-LT"/>
        </w:rPr>
        <w:t>os vertinimas</w:t>
      </w:r>
      <w:r w:rsidRPr="005F44E6">
        <w:rPr>
          <w:sz w:val="26"/>
          <w:szCs w:val="26"/>
          <w:lang w:val="lt-LT"/>
        </w:rPr>
        <w:t xml:space="preserve">. </w:t>
      </w:r>
    </w:p>
    <w:p w:rsidR="002F2F44" w:rsidRPr="005F44E6" w:rsidRDefault="00B8501E" w:rsidP="004C1D26">
      <w:pPr>
        <w:spacing w:line="360" w:lineRule="auto"/>
        <w:ind w:firstLine="720"/>
        <w:jc w:val="both"/>
        <w:rPr>
          <w:sz w:val="26"/>
          <w:szCs w:val="26"/>
          <w:lang w:val="lt-LT"/>
        </w:rPr>
      </w:pPr>
      <w:r w:rsidRPr="005F44E6">
        <w:rPr>
          <w:i/>
          <w:sz w:val="26"/>
          <w:szCs w:val="26"/>
          <w:u w:val="single"/>
          <w:lang w:val="lt-LT"/>
        </w:rPr>
        <w:t>Tiriamoji visuma</w:t>
      </w:r>
      <w:r w:rsidRPr="005F44E6">
        <w:rPr>
          <w:sz w:val="26"/>
          <w:szCs w:val="26"/>
          <w:lang w:val="lt-LT"/>
        </w:rPr>
        <w:t xml:space="preserve"> – organizuojant tyrimus svarbu tinkamai nusakyti tiriamąją visumą. V. Pranulis (1998) tiriamąją visumą apibrėžia kaip aibę, „išskirtų pagal tam tikrą požymį objektų, iš kurių norima gauti informacijos“. Remiantis šia formuluote, šio </w:t>
      </w:r>
      <w:r w:rsidR="00983C68" w:rsidRPr="005F44E6">
        <w:rPr>
          <w:sz w:val="26"/>
          <w:szCs w:val="26"/>
          <w:lang w:val="lt-LT"/>
        </w:rPr>
        <w:t>tyrimo</w:t>
      </w:r>
      <w:r w:rsidRPr="005F44E6">
        <w:rPr>
          <w:sz w:val="26"/>
          <w:szCs w:val="26"/>
          <w:lang w:val="lt-LT"/>
        </w:rPr>
        <w:t xml:space="preserve"> tiriamoji visuma –</w:t>
      </w:r>
      <w:r w:rsidR="00CB08AB" w:rsidRPr="005F44E6">
        <w:rPr>
          <w:sz w:val="26"/>
          <w:szCs w:val="26"/>
          <w:lang w:val="lt-LT"/>
        </w:rPr>
        <w:t xml:space="preserve"> </w:t>
      </w:r>
      <w:r w:rsidRPr="005F44E6">
        <w:rPr>
          <w:sz w:val="26"/>
          <w:szCs w:val="26"/>
          <w:lang w:val="lt-LT"/>
        </w:rPr>
        <w:t xml:space="preserve">Lietuvos </w:t>
      </w:r>
      <w:r w:rsidR="00CB08AB" w:rsidRPr="005F44E6">
        <w:rPr>
          <w:sz w:val="26"/>
          <w:szCs w:val="26"/>
          <w:lang w:val="lt-LT"/>
        </w:rPr>
        <w:t xml:space="preserve">atestuoti </w:t>
      </w:r>
      <w:r w:rsidRPr="005F44E6">
        <w:rPr>
          <w:sz w:val="26"/>
          <w:szCs w:val="26"/>
          <w:lang w:val="lt-LT"/>
        </w:rPr>
        <w:t>auditoriai</w:t>
      </w:r>
      <w:r w:rsidR="00CB08AB" w:rsidRPr="005F44E6">
        <w:rPr>
          <w:sz w:val="26"/>
          <w:szCs w:val="26"/>
          <w:lang w:val="lt-LT"/>
        </w:rPr>
        <w:t xml:space="preserve"> (toliau – auditorius)</w:t>
      </w:r>
      <w:r w:rsidR="004C1D26" w:rsidRPr="005F44E6">
        <w:rPr>
          <w:sz w:val="26"/>
          <w:szCs w:val="26"/>
          <w:lang w:val="lt-LT"/>
        </w:rPr>
        <w:t>, dirbantys audito įmonė</w:t>
      </w:r>
      <w:r w:rsidR="00983C68" w:rsidRPr="005F44E6">
        <w:rPr>
          <w:sz w:val="26"/>
          <w:szCs w:val="26"/>
          <w:lang w:val="lt-LT"/>
        </w:rPr>
        <w:t>s</w:t>
      </w:r>
      <w:r w:rsidR="004C1D26" w:rsidRPr="005F44E6">
        <w:rPr>
          <w:sz w:val="26"/>
          <w:szCs w:val="26"/>
          <w:lang w:val="lt-LT"/>
        </w:rPr>
        <w:t>e</w:t>
      </w:r>
      <w:r w:rsidRPr="005F44E6">
        <w:rPr>
          <w:sz w:val="26"/>
          <w:szCs w:val="26"/>
          <w:lang w:val="lt-LT"/>
        </w:rPr>
        <w:t xml:space="preserve">. </w:t>
      </w:r>
      <w:r w:rsidR="00983C68" w:rsidRPr="005F44E6">
        <w:rPr>
          <w:sz w:val="26"/>
          <w:szCs w:val="26"/>
          <w:lang w:val="lt-LT"/>
        </w:rPr>
        <w:t>Pagal L</w:t>
      </w:r>
      <w:r w:rsidR="00DC1D93" w:rsidRPr="005F44E6">
        <w:rPr>
          <w:sz w:val="26"/>
          <w:szCs w:val="26"/>
          <w:lang w:val="lt-LT"/>
        </w:rPr>
        <w:t>ietuvos Respublikos (toliau – L</w:t>
      </w:r>
      <w:r w:rsidR="00983C68" w:rsidRPr="005F44E6">
        <w:rPr>
          <w:sz w:val="26"/>
          <w:szCs w:val="26"/>
          <w:lang w:val="lt-LT"/>
        </w:rPr>
        <w:t>R</w:t>
      </w:r>
      <w:r w:rsidR="00DC1D93" w:rsidRPr="005F44E6">
        <w:rPr>
          <w:sz w:val="26"/>
          <w:szCs w:val="26"/>
          <w:lang w:val="lt-LT"/>
        </w:rPr>
        <w:t>)</w:t>
      </w:r>
      <w:r w:rsidR="00983C68" w:rsidRPr="005F44E6">
        <w:rPr>
          <w:sz w:val="26"/>
          <w:szCs w:val="26"/>
          <w:lang w:val="lt-LT"/>
        </w:rPr>
        <w:t xml:space="preserve"> audito įstatym</w:t>
      </w:r>
      <w:r w:rsidR="002F2F44" w:rsidRPr="005F44E6">
        <w:rPr>
          <w:sz w:val="26"/>
          <w:szCs w:val="26"/>
          <w:lang w:val="lt-LT"/>
        </w:rPr>
        <w:t>o</w:t>
      </w:r>
      <w:r w:rsidR="00983C68" w:rsidRPr="005F44E6">
        <w:rPr>
          <w:sz w:val="26"/>
          <w:szCs w:val="26"/>
          <w:lang w:val="lt-LT"/>
        </w:rPr>
        <w:t xml:space="preserve"> (2008) </w:t>
      </w:r>
      <w:r w:rsidR="002F2F44" w:rsidRPr="005F44E6">
        <w:rPr>
          <w:sz w:val="26"/>
          <w:szCs w:val="26"/>
          <w:lang w:val="lt-LT"/>
        </w:rPr>
        <w:t xml:space="preserve">27 str. 1 dalį „auditą gali atlikti tik auditorius ir tik jeigu jis yra individualios audito įmonės savininkas, tikrosios ūkinės bendrijos ar komanditinės ūkinės bendrijos tikrasis narys arba dirba audito įmonėje”. </w:t>
      </w:r>
      <w:r w:rsidRPr="005F44E6">
        <w:rPr>
          <w:sz w:val="26"/>
          <w:szCs w:val="26"/>
          <w:lang w:val="lt-LT"/>
        </w:rPr>
        <w:t xml:space="preserve">Lietuvos </w:t>
      </w:r>
      <w:r w:rsidR="004C1D26" w:rsidRPr="005F44E6">
        <w:rPr>
          <w:sz w:val="26"/>
          <w:szCs w:val="26"/>
          <w:lang w:val="lt-LT"/>
        </w:rPr>
        <w:t>a</w:t>
      </w:r>
      <w:r w:rsidRPr="005F44E6">
        <w:rPr>
          <w:sz w:val="26"/>
          <w:szCs w:val="26"/>
          <w:lang w:val="lt-LT"/>
        </w:rPr>
        <w:t>udito</w:t>
      </w:r>
      <w:r w:rsidR="004C1D26" w:rsidRPr="005F44E6">
        <w:rPr>
          <w:sz w:val="26"/>
          <w:szCs w:val="26"/>
          <w:lang w:val="lt-LT"/>
        </w:rPr>
        <w:t>rių</w:t>
      </w:r>
      <w:r w:rsidRPr="005F44E6">
        <w:rPr>
          <w:sz w:val="26"/>
          <w:szCs w:val="26"/>
          <w:lang w:val="lt-LT"/>
        </w:rPr>
        <w:t xml:space="preserve"> rūmų </w:t>
      </w:r>
      <w:r w:rsidR="00D520EE" w:rsidRPr="005F44E6">
        <w:rPr>
          <w:sz w:val="26"/>
          <w:szCs w:val="26"/>
          <w:lang w:val="lt-LT"/>
        </w:rPr>
        <w:t xml:space="preserve">(toliau – LAR) </w:t>
      </w:r>
      <w:r w:rsidRPr="005F44E6">
        <w:rPr>
          <w:sz w:val="26"/>
          <w:szCs w:val="26"/>
          <w:lang w:val="lt-LT"/>
        </w:rPr>
        <w:t>duomeni</w:t>
      </w:r>
      <w:r w:rsidR="004C1D26" w:rsidRPr="005F44E6">
        <w:rPr>
          <w:sz w:val="26"/>
          <w:szCs w:val="26"/>
          <w:lang w:val="lt-LT"/>
        </w:rPr>
        <w:t>mis</w:t>
      </w:r>
      <w:r w:rsidR="00DD5A53" w:rsidRPr="005F44E6">
        <w:rPr>
          <w:rStyle w:val="FootnoteReference"/>
          <w:sz w:val="26"/>
          <w:szCs w:val="26"/>
          <w:lang w:val="lt-LT"/>
        </w:rPr>
        <w:footnoteReference w:id="21"/>
      </w:r>
      <w:r w:rsidRPr="005F44E6">
        <w:rPr>
          <w:sz w:val="26"/>
          <w:szCs w:val="26"/>
          <w:lang w:val="lt-LT"/>
        </w:rPr>
        <w:t xml:space="preserve"> 200</w:t>
      </w:r>
      <w:r w:rsidR="00DD5A53" w:rsidRPr="005F44E6">
        <w:rPr>
          <w:sz w:val="26"/>
          <w:szCs w:val="26"/>
          <w:lang w:val="lt-LT"/>
        </w:rPr>
        <w:t>8</w:t>
      </w:r>
      <w:r w:rsidRPr="005F44E6">
        <w:rPr>
          <w:sz w:val="26"/>
          <w:szCs w:val="26"/>
          <w:lang w:val="lt-LT"/>
        </w:rPr>
        <w:t xml:space="preserve"> m. </w:t>
      </w:r>
      <w:r w:rsidR="00F810F2" w:rsidRPr="005F44E6">
        <w:rPr>
          <w:sz w:val="26"/>
          <w:szCs w:val="26"/>
          <w:lang w:val="lt-LT"/>
        </w:rPr>
        <w:t xml:space="preserve">spalio </w:t>
      </w:r>
      <w:r w:rsidR="00CB08AB" w:rsidRPr="005F44E6">
        <w:rPr>
          <w:sz w:val="26"/>
          <w:szCs w:val="26"/>
          <w:lang w:val="lt-LT"/>
        </w:rPr>
        <w:t>1</w:t>
      </w:r>
      <w:r w:rsidR="00F810F2" w:rsidRPr="005F44E6">
        <w:rPr>
          <w:sz w:val="26"/>
          <w:szCs w:val="26"/>
          <w:lang w:val="lt-LT"/>
        </w:rPr>
        <w:t>5</w:t>
      </w:r>
      <w:r w:rsidR="00CB08AB" w:rsidRPr="005F44E6">
        <w:rPr>
          <w:sz w:val="26"/>
          <w:szCs w:val="26"/>
          <w:lang w:val="lt-LT"/>
        </w:rPr>
        <w:t xml:space="preserve"> d. buvo 399 </w:t>
      </w:r>
      <w:r w:rsidRPr="005F44E6">
        <w:rPr>
          <w:sz w:val="26"/>
          <w:szCs w:val="26"/>
          <w:lang w:val="lt-LT"/>
        </w:rPr>
        <w:t xml:space="preserve">auditoriai, </w:t>
      </w:r>
      <w:r w:rsidR="00CB08AB" w:rsidRPr="005F44E6">
        <w:rPr>
          <w:sz w:val="26"/>
          <w:szCs w:val="26"/>
          <w:lang w:val="lt-LT"/>
        </w:rPr>
        <w:t xml:space="preserve">iš </w:t>
      </w:r>
      <w:r w:rsidRPr="005F44E6">
        <w:rPr>
          <w:sz w:val="26"/>
          <w:szCs w:val="26"/>
          <w:lang w:val="lt-LT"/>
        </w:rPr>
        <w:t>kuri</w:t>
      </w:r>
      <w:r w:rsidR="00CB08AB" w:rsidRPr="005F44E6">
        <w:rPr>
          <w:sz w:val="26"/>
          <w:szCs w:val="26"/>
          <w:lang w:val="lt-LT"/>
        </w:rPr>
        <w:t>ų</w:t>
      </w:r>
      <w:r w:rsidRPr="005F44E6">
        <w:rPr>
          <w:sz w:val="26"/>
          <w:szCs w:val="26"/>
          <w:lang w:val="lt-LT"/>
        </w:rPr>
        <w:t xml:space="preserve"> </w:t>
      </w:r>
      <w:r w:rsidR="00CB08AB" w:rsidRPr="005F44E6">
        <w:rPr>
          <w:sz w:val="26"/>
          <w:szCs w:val="26"/>
          <w:lang w:val="lt-LT"/>
        </w:rPr>
        <w:t xml:space="preserve">256 dirbo audito įmonėse. </w:t>
      </w:r>
    </w:p>
    <w:p w:rsidR="00B8501E" w:rsidRPr="005F44E6" w:rsidRDefault="00CB08AB" w:rsidP="004C1D26">
      <w:pPr>
        <w:spacing w:line="360" w:lineRule="auto"/>
        <w:ind w:firstLine="720"/>
        <w:jc w:val="both"/>
        <w:rPr>
          <w:sz w:val="26"/>
          <w:szCs w:val="26"/>
          <w:lang w:val="lt-LT"/>
        </w:rPr>
      </w:pPr>
      <w:r w:rsidRPr="005F44E6">
        <w:rPr>
          <w:sz w:val="26"/>
          <w:szCs w:val="26"/>
          <w:lang w:val="lt-LT"/>
        </w:rPr>
        <w:lastRenderedPageBreak/>
        <w:t>Visumos elementai tyrimui pasirinkti vykdant tikimybinę atsitiktinę atranką, kai visi audito įmonėse dirbantys auditoriai turėjo vienodas galimybes patekti į atranką, neatsižvelgiant į savybes ar skirtumus (V. Čeka</w:t>
      </w:r>
      <w:r w:rsidR="00602336" w:rsidRPr="005F44E6">
        <w:rPr>
          <w:sz w:val="26"/>
          <w:szCs w:val="26"/>
          <w:lang w:val="lt-LT"/>
        </w:rPr>
        <w:t>na</w:t>
      </w:r>
      <w:r w:rsidRPr="005F44E6">
        <w:rPr>
          <w:sz w:val="26"/>
          <w:szCs w:val="26"/>
          <w:lang w:val="lt-LT"/>
        </w:rPr>
        <w:t>vičius, G.</w:t>
      </w:r>
      <w:r w:rsidR="00BB05DB">
        <w:rPr>
          <w:sz w:val="26"/>
          <w:szCs w:val="26"/>
          <w:lang w:val="lt-LT"/>
        </w:rPr>
        <w:t> </w:t>
      </w:r>
      <w:r w:rsidRPr="005F44E6">
        <w:rPr>
          <w:sz w:val="26"/>
          <w:szCs w:val="26"/>
          <w:lang w:val="lt-LT"/>
        </w:rPr>
        <w:t>Murauskas, 200</w:t>
      </w:r>
      <w:r w:rsidR="00DD27A4" w:rsidRPr="005F44E6">
        <w:rPr>
          <w:sz w:val="26"/>
          <w:szCs w:val="26"/>
          <w:lang w:val="lt-LT"/>
        </w:rPr>
        <w:t>6</w:t>
      </w:r>
      <w:r w:rsidRPr="005F44E6">
        <w:rPr>
          <w:sz w:val="26"/>
          <w:szCs w:val="26"/>
          <w:lang w:val="lt-LT"/>
        </w:rPr>
        <w:t xml:space="preserve">). </w:t>
      </w:r>
    </w:p>
    <w:p w:rsidR="00B8501E" w:rsidRPr="005F44E6" w:rsidRDefault="00B8501E" w:rsidP="00B8501E">
      <w:pPr>
        <w:spacing w:line="360" w:lineRule="auto"/>
        <w:ind w:firstLine="720"/>
        <w:jc w:val="both"/>
        <w:rPr>
          <w:sz w:val="26"/>
          <w:szCs w:val="26"/>
          <w:lang w:val="lt-LT"/>
        </w:rPr>
      </w:pPr>
      <w:r w:rsidRPr="005F44E6">
        <w:rPr>
          <w:i/>
          <w:sz w:val="26"/>
          <w:szCs w:val="26"/>
          <w:u w:val="single"/>
          <w:lang w:val="lt-LT"/>
        </w:rPr>
        <w:t>Minimalus atrankos dydis</w:t>
      </w:r>
      <w:r w:rsidRPr="005F44E6">
        <w:rPr>
          <w:sz w:val="26"/>
          <w:szCs w:val="26"/>
          <w:lang w:val="lt-LT"/>
        </w:rPr>
        <w:t xml:space="preserve">. Atrankinio tyrimo rezultatai visada turi didesnį ar mažesnį neapibrėžtumą, kuris mažėja, o tuo pačiu didėja daromų išvadų tikslumas, didinant atrankos </w:t>
      </w:r>
      <w:r w:rsidR="003E4262" w:rsidRPr="005F44E6">
        <w:rPr>
          <w:sz w:val="26"/>
          <w:szCs w:val="26"/>
          <w:lang w:val="lt-LT"/>
        </w:rPr>
        <w:t>dydį</w:t>
      </w:r>
      <w:r w:rsidRPr="005F44E6">
        <w:rPr>
          <w:sz w:val="26"/>
          <w:szCs w:val="26"/>
          <w:lang w:val="lt-LT"/>
        </w:rPr>
        <w:t xml:space="preserve">. Todėl svarbu nustatyti minimalų atrankos dydį </w:t>
      </w:r>
      <w:r w:rsidRPr="005F44E6">
        <w:rPr>
          <w:i/>
          <w:sz w:val="26"/>
          <w:szCs w:val="26"/>
          <w:lang w:val="lt-LT"/>
        </w:rPr>
        <w:t>n</w:t>
      </w:r>
      <w:r w:rsidRPr="005F44E6">
        <w:rPr>
          <w:sz w:val="26"/>
          <w:szCs w:val="26"/>
          <w:vertAlign w:val="subscript"/>
          <w:lang w:val="lt-LT"/>
        </w:rPr>
        <w:t>min</w:t>
      </w:r>
      <w:r w:rsidRPr="005F44E6">
        <w:rPr>
          <w:sz w:val="26"/>
          <w:szCs w:val="26"/>
          <w:lang w:val="lt-LT"/>
        </w:rPr>
        <w:t>,</w:t>
      </w:r>
      <w:r w:rsidRPr="005F44E6">
        <w:rPr>
          <w:sz w:val="26"/>
          <w:szCs w:val="26"/>
          <w:vertAlign w:val="subscript"/>
          <w:lang w:val="lt-LT"/>
        </w:rPr>
        <w:t xml:space="preserve"> </w:t>
      </w:r>
      <w:r w:rsidRPr="005F44E6">
        <w:rPr>
          <w:sz w:val="26"/>
          <w:szCs w:val="26"/>
          <w:lang w:val="lt-LT"/>
        </w:rPr>
        <w:t>kuris apskaičiuojamas pagal formulę (</w:t>
      </w:r>
      <w:bookmarkStart w:id="42" w:name="OLE_LINK3"/>
      <w:bookmarkStart w:id="43" w:name="OLE_LINK4"/>
      <w:r w:rsidRPr="005F44E6">
        <w:rPr>
          <w:sz w:val="26"/>
          <w:szCs w:val="26"/>
          <w:lang w:val="lt-LT"/>
        </w:rPr>
        <w:t>Martišius,</w:t>
      </w:r>
      <w:r w:rsidR="002C24E1">
        <w:rPr>
          <w:sz w:val="26"/>
          <w:szCs w:val="26"/>
          <w:lang w:val="lt-LT"/>
        </w:rPr>
        <w:t xml:space="preserve"> </w:t>
      </w:r>
      <w:r w:rsidRPr="005F44E6">
        <w:rPr>
          <w:sz w:val="26"/>
          <w:szCs w:val="26"/>
          <w:lang w:val="lt-LT"/>
        </w:rPr>
        <w:t>1997</w:t>
      </w:r>
      <w:bookmarkEnd w:id="42"/>
      <w:bookmarkEnd w:id="43"/>
      <w:r w:rsidRPr="005F44E6">
        <w:rPr>
          <w:sz w:val="26"/>
          <w:szCs w:val="26"/>
          <w:lang w:val="lt-LT"/>
        </w:rPr>
        <w:t>):</w:t>
      </w:r>
    </w:p>
    <w:p w:rsidR="00B8501E" w:rsidRPr="005F44E6" w:rsidRDefault="00BB05DB" w:rsidP="00B8501E">
      <w:pPr>
        <w:spacing w:line="360" w:lineRule="auto"/>
        <w:ind w:firstLine="720"/>
        <w:jc w:val="both"/>
        <w:rPr>
          <w:sz w:val="26"/>
          <w:szCs w:val="26"/>
          <w:lang w:val="lt-LT"/>
        </w:rPr>
      </w:pPr>
      <w:r>
        <w:rPr>
          <w:sz w:val="26"/>
          <w:szCs w:val="26"/>
          <w:lang w:val="lt-LT"/>
        </w:rPr>
        <w:tab/>
      </w:r>
      <w:r w:rsidR="00B8501E" w:rsidRPr="005F44E6">
        <w:rPr>
          <w:sz w:val="26"/>
          <w:szCs w:val="26"/>
          <w:lang w:val="lt-LT"/>
        </w:rPr>
        <w:tab/>
      </w:r>
      <w:r w:rsidR="00B8501E" w:rsidRPr="005F44E6">
        <w:rPr>
          <w:position w:val="-30"/>
          <w:sz w:val="26"/>
          <w:szCs w:val="26"/>
          <w:lang w:val="lt-LT"/>
        </w:rPr>
        <w:object w:dxaOrig="3220" w:dyaOrig="720">
          <v:shape id="_x0000_i1029" type="#_x0000_t75" style="width:161.25pt;height:36pt" o:ole="" fillcolor="window">
            <v:imagedata r:id="rId15" o:title=""/>
          </v:shape>
          <o:OLEObject Type="Embed" ProgID="Equation.3" ShapeID="_x0000_i1029" DrawAspect="Content" ObjectID="_1333704732" r:id="rId16"/>
        </w:object>
      </w:r>
      <w:r w:rsidR="003E4262" w:rsidRPr="005F44E6">
        <w:rPr>
          <w:position w:val="-30"/>
          <w:sz w:val="26"/>
          <w:szCs w:val="26"/>
          <w:lang w:val="lt-LT"/>
        </w:rPr>
        <w:tab/>
      </w:r>
      <w:r w:rsidR="003E4262" w:rsidRPr="005F44E6">
        <w:rPr>
          <w:position w:val="-30"/>
          <w:sz w:val="26"/>
          <w:szCs w:val="26"/>
          <w:lang w:val="lt-LT"/>
        </w:rPr>
        <w:tab/>
      </w:r>
      <w:r w:rsidR="003E4262" w:rsidRPr="005F44E6">
        <w:rPr>
          <w:position w:val="-30"/>
          <w:sz w:val="26"/>
          <w:szCs w:val="26"/>
          <w:lang w:val="lt-LT"/>
        </w:rPr>
        <w:tab/>
      </w:r>
      <w:r w:rsidR="003E4262" w:rsidRPr="005F44E6">
        <w:rPr>
          <w:i/>
          <w:position w:val="-30"/>
          <w:sz w:val="26"/>
          <w:szCs w:val="26"/>
          <w:lang w:val="lt-LT"/>
        </w:rPr>
        <w:t>(</w:t>
      </w:r>
      <w:r w:rsidR="00CB21A6" w:rsidRPr="005F44E6">
        <w:rPr>
          <w:i/>
          <w:position w:val="-30"/>
          <w:sz w:val="26"/>
          <w:szCs w:val="26"/>
          <w:lang w:val="lt-LT"/>
        </w:rPr>
        <w:t>10</w:t>
      </w:r>
      <w:r w:rsidR="003E4262" w:rsidRPr="005F44E6">
        <w:rPr>
          <w:i/>
          <w:position w:val="-30"/>
          <w:sz w:val="26"/>
          <w:szCs w:val="26"/>
          <w:lang w:val="lt-LT"/>
        </w:rPr>
        <w:t>)</w:t>
      </w:r>
    </w:p>
    <w:p w:rsidR="00B8501E" w:rsidRPr="005F44E6" w:rsidRDefault="00B8501E" w:rsidP="00B8501E">
      <w:pPr>
        <w:spacing w:line="360" w:lineRule="auto"/>
        <w:ind w:firstLine="720"/>
        <w:jc w:val="both"/>
        <w:rPr>
          <w:sz w:val="26"/>
          <w:szCs w:val="26"/>
          <w:lang w:val="lt-LT"/>
        </w:rPr>
      </w:pPr>
      <w:r w:rsidRPr="005F44E6">
        <w:rPr>
          <w:sz w:val="26"/>
          <w:szCs w:val="26"/>
          <w:lang w:val="lt-LT"/>
        </w:rPr>
        <w:t xml:space="preserve">čia: </w:t>
      </w:r>
    </w:p>
    <w:p w:rsidR="00B8501E" w:rsidRPr="005F44E6" w:rsidRDefault="00B8501E" w:rsidP="00B8501E">
      <w:pPr>
        <w:spacing w:line="360" w:lineRule="auto"/>
        <w:ind w:firstLine="720"/>
        <w:jc w:val="both"/>
        <w:rPr>
          <w:sz w:val="26"/>
          <w:szCs w:val="26"/>
          <w:lang w:val="lt-LT"/>
        </w:rPr>
      </w:pPr>
      <w:r w:rsidRPr="005F44E6">
        <w:rPr>
          <w:i/>
          <w:sz w:val="26"/>
          <w:szCs w:val="26"/>
          <w:lang w:val="lt-LT"/>
        </w:rPr>
        <w:t>N</w:t>
      </w:r>
      <w:r w:rsidRPr="005F44E6">
        <w:rPr>
          <w:sz w:val="26"/>
          <w:szCs w:val="26"/>
          <w:lang w:val="lt-LT"/>
        </w:rPr>
        <w:t xml:space="preserve"> – visumos dydis. </w:t>
      </w:r>
      <w:r w:rsidR="003E4262" w:rsidRPr="005F44E6">
        <w:rPr>
          <w:sz w:val="26"/>
          <w:szCs w:val="26"/>
          <w:lang w:val="lt-LT"/>
        </w:rPr>
        <w:t>T</w:t>
      </w:r>
      <w:r w:rsidRPr="005F44E6">
        <w:rPr>
          <w:sz w:val="26"/>
          <w:szCs w:val="26"/>
          <w:lang w:val="lt-LT"/>
        </w:rPr>
        <w:t xml:space="preserve">iriami </w:t>
      </w:r>
      <w:r w:rsidR="003E4262" w:rsidRPr="005F44E6">
        <w:rPr>
          <w:sz w:val="26"/>
          <w:szCs w:val="26"/>
          <w:lang w:val="lt-LT"/>
        </w:rPr>
        <w:t>256</w:t>
      </w:r>
      <w:r w:rsidRPr="005F44E6">
        <w:rPr>
          <w:sz w:val="26"/>
          <w:szCs w:val="26"/>
          <w:lang w:val="lt-LT"/>
        </w:rPr>
        <w:t xml:space="preserve"> auditoriai;</w:t>
      </w:r>
    </w:p>
    <w:p w:rsidR="00B8501E" w:rsidRPr="005F44E6" w:rsidRDefault="003E4262" w:rsidP="00B8501E">
      <w:pPr>
        <w:spacing w:line="360" w:lineRule="auto"/>
        <w:ind w:firstLine="720"/>
        <w:jc w:val="both"/>
        <w:rPr>
          <w:sz w:val="26"/>
          <w:szCs w:val="26"/>
          <w:lang w:val="lt-LT"/>
        </w:rPr>
      </w:pPr>
      <w:r w:rsidRPr="005F44E6">
        <w:rPr>
          <w:i/>
          <w:sz w:val="26"/>
          <w:szCs w:val="26"/>
          <w:lang w:val="lt-LT"/>
        </w:rPr>
        <w:t xml:space="preserve">p </w:t>
      </w:r>
      <w:r w:rsidRPr="005F44E6">
        <w:rPr>
          <w:sz w:val="26"/>
          <w:szCs w:val="26"/>
          <w:lang w:val="lt-LT"/>
        </w:rPr>
        <w:t xml:space="preserve">– </w:t>
      </w:r>
      <w:r w:rsidR="00B8501E" w:rsidRPr="005F44E6">
        <w:rPr>
          <w:sz w:val="26"/>
          <w:szCs w:val="26"/>
          <w:lang w:val="lt-LT"/>
        </w:rPr>
        <w:t>požymio tikimybė</w:t>
      </w:r>
      <w:r w:rsidRPr="005F44E6">
        <w:rPr>
          <w:sz w:val="26"/>
          <w:szCs w:val="26"/>
          <w:lang w:val="lt-LT"/>
        </w:rPr>
        <w:t xml:space="preserve">. Kadangi dažniausiai </w:t>
      </w:r>
      <w:r w:rsidRPr="005F44E6">
        <w:rPr>
          <w:i/>
          <w:sz w:val="26"/>
          <w:szCs w:val="26"/>
          <w:lang w:val="lt-LT"/>
        </w:rPr>
        <w:t>p</w:t>
      </w:r>
      <w:r w:rsidRPr="005F44E6">
        <w:rPr>
          <w:sz w:val="26"/>
          <w:szCs w:val="26"/>
          <w:lang w:val="lt-LT"/>
        </w:rPr>
        <w:t xml:space="preserve"> dydis nėra žinomas</w:t>
      </w:r>
      <w:r w:rsidR="00B8501E" w:rsidRPr="005F44E6">
        <w:rPr>
          <w:sz w:val="26"/>
          <w:szCs w:val="26"/>
          <w:lang w:val="lt-LT"/>
        </w:rPr>
        <w:t xml:space="preserve">, </w:t>
      </w:r>
      <w:r w:rsidRPr="005F44E6">
        <w:rPr>
          <w:sz w:val="26"/>
          <w:szCs w:val="26"/>
          <w:lang w:val="lt-LT"/>
        </w:rPr>
        <w:t xml:space="preserve">tai nustatomas p </w:t>
      </w:r>
      <w:r w:rsidRPr="005F44E6">
        <w:rPr>
          <w:sz w:val="26"/>
          <w:szCs w:val="26"/>
        </w:rPr>
        <w:t>=</w:t>
      </w:r>
      <w:r w:rsidR="00B8501E" w:rsidRPr="005F44E6">
        <w:rPr>
          <w:sz w:val="26"/>
          <w:szCs w:val="26"/>
          <w:lang w:val="lt-LT"/>
        </w:rPr>
        <w:t xml:space="preserve"> </w:t>
      </w:r>
      <w:r w:rsidRPr="005F44E6">
        <w:rPr>
          <w:sz w:val="26"/>
          <w:szCs w:val="26"/>
          <w:lang w:val="lt-LT"/>
        </w:rPr>
        <w:t>0,</w:t>
      </w:r>
      <w:r w:rsidR="00B8501E" w:rsidRPr="005F44E6">
        <w:rPr>
          <w:sz w:val="26"/>
          <w:szCs w:val="26"/>
          <w:lang w:val="lt-LT"/>
        </w:rPr>
        <w:t>5</w:t>
      </w:r>
      <w:r w:rsidRPr="005F44E6">
        <w:rPr>
          <w:sz w:val="26"/>
          <w:szCs w:val="26"/>
          <w:lang w:val="lt-LT"/>
        </w:rPr>
        <w:t xml:space="preserve"> (Martišius,1997</w:t>
      </w:r>
      <w:r w:rsidR="001A052A" w:rsidRPr="005F44E6">
        <w:rPr>
          <w:sz w:val="26"/>
          <w:szCs w:val="26"/>
          <w:lang w:val="lt-LT"/>
        </w:rPr>
        <w:t>, p. 55</w:t>
      </w:r>
      <w:r w:rsidRPr="005F44E6">
        <w:rPr>
          <w:sz w:val="26"/>
          <w:szCs w:val="26"/>
          <w:lang w:val="lt-LT"/>
        </w:rPr>
        <w:t>)</w:t>
      </w:r>
      <w:r w:rsidR="00B8501E" w:rsidRPr="005F44E6">
        <w:rPr>
          <w:sz w:val="26"/>
          <w:szCs w:val="26"/>
          <w:lang w:val="lt-LT"/>
        </w:rPr>
        <w:t>;</w:t>
      </w:r>
    </w:p>
    <w:p w:rsidR="00B8501E" w:rsidRPr="005F44E6" w:rsidRDefault="00B8501E" w:rsidP="00B8501E">
      <w:pPr>
        <w:spacing w:line="360" w:lineRule="auto"/>
        <w:ind w:firstLine="720"/>
        <w:jc w:val="both"/>
        <w:rPr>
          <w:sz w:val="26"/>
          <w:szCs w:val="26"/>
          <w:lang w:val="lt-LT"/>
        </w:rPr>
      </w:pPr>
      <w:r w:rsidRPr="005F44E6">
        <w:rPr>
          <w:i/>
          <w:position w:val="-4"/>
          <w:sz w:val="26"/>
          <w:szCs w:val="26"/>
        </w:rPr>
        <w:object w:dxaOrig="220" w:dyaOrig="260">
          <v:shape id="_x0000_i1030" type="#_x0000_t75" style="width:10.5pt;height:13.5pt" o:ole="" fillcolor="window">
            <v:imagedata r:id="rId17" o:title=""/>
          </v:shape>
          <o:OLEObject Type="Embed" ProgID="Equation.3" ShapeID="_x0000_i1030" DrawAspect="Content" ObjectID="_1333704733" r:id="rId18"/>
        </w:object>
      </w:r>
      <w:r w:rsidRPr="005F44E6">
        <w:rPr>
          <w:i/>
          <w:sz w:val="26"/>
          <w:szCs w:val="26"/>
        </w:rPr>
        <w:t>p</w:t>
      </w:r>
      <w:r w:rsidRPr="005F44E6">
        <w:rPr>
          <w:sz w:val="26"/>
          <w:szCs w:val="26"/>
          <w:lang w:val="lt-LT"/>
        </w:rPr>
        <w:t xml:space="preserve"> – požymio dalies paklaida. </w:t>
      </w:r>
      <w:r w:rsidR="001A052A" w:rsidRPr="005F44E6">
        <w:rPr>
          <w:sz w:val="26"/>
          <w:szCs w:val="26"/>
          <w:lang w:val="lt-LT"/>
        </w:rPr>
        <w:t>Tyrimo rezultatus pateiksime su 20 % paklaida</w:t>
      </w:r>
      <w:r w:rsidRPr="005F44E6">
        <w:rPr>
          <w:sz w:val="26"/>
          <w:szCs w:val="26"/>
          <w:lang w:val="lt-LT"/>
        </w:rPr>
        <w:t>;</w:t>
      </w:r>
    </w:p>
    <w:p w:rsidR="00B8501E" w:rsidRPr="005F44E6" w:rsidRDefault="00B8501E" w:rsidP="00B8501E">
      <w:pPr>
        <w:spacing w:line="360" w:lineRule="auto"/>
        <w:ind w:firstLine="720"/>
        <w:jc w:val="both"/>
        <w:rPr>
          <w:sz w:val="26"/>
          <w:szCs w:val="26"/>
          <w:lang w:val="lt-LT"/>
        </w:rPr>
      </w:pPr>
      <w:r w:rsidRPr="005F44E6">
        <w:rPr>
          <w:sz w:val="26"/>
          <w:szCs w:val="26"/>
          <w:lang w:val="lt-LT"/>
        </w:rPr>
        <w:t>z</w:t>
      </w:r>
      <w:r w:rsidRPr="005F44E6">
        <w:rPr>
          <w:position w:val="-6"/>
          <w:sz w:val="26"/>
          <w:szCs w:val="26"/>
          <w:vertAlign w:val="subscript"/>
        </w:rPr>
        <w:object w:dxaOrig="180" w:dyaOrig="180">
          <v:shape id="_x0000_i1031" type="#_x0000_t75" style="width:9.75pt;height:10.5pt" o:ole="" fillcolor="window">
            <v:imagedata r:id="rId19" o:title=""/>
          </v:shape>
          <o:OLEObject Type="Embed" ProgID="Equation.3" ShapeID="_x0000_i1031" DrawAspect="Content" ObjectID="_1333704734" r:id="rId20"/>
        </w:object>
      </w:r>
      <w:r w:rsidRPr="005F44E6">
        <w:rPr>
          <w:sz w:val="26"/>
          <w:szCs w:val="26"/>
          <w:lang w:val="lt-LT"/>
        </w:rPr>
        <w:t xml:space="preserve"> – normaliojo skirstinio koeficientas. Priimkime, kad visus tyrimo rezultatus gausime su 9</w:t>
      </w:r>
      <w:r w:rsidR="003042D4" w:rsidRPr="005F44E6">
        <w:rPr>
          <w:sz w:val="26"/>
          <w:szCs w:val="26"/>
          <w:lang w:val="lt-LT"/>
        </w:rPr>
        <w:t>5</w:t>
      </w:r>
      <w:r w:rsidRPr="005F44E6">
        <w:rPr>
          <w:sz w:val="26"/>
          <w:szCs w:val="26"/>
          <w:lang w:val="lt-LT"/>
        </w:rPr>
        <w:t xml:space="preserve"> proc. tikimybe, tai tada normaliojo skirstinio koeficientas z</w:t>
      </w:r>
      <w:r w:rsidRPr="005F44E6">
        <w:rPr>
          <w:position w:val="-6"/>
          <w:sz w:val="26"/>
          <w:szCs w:val="26"/>
          <w:vertAlign w:val="subscript"/>
        </w:rPr>
        <w:object w:dxaOrig="180" w:dyaOrig="180">
          <v:shape id="_x0000_i1032" type="#_x0000_t75" style="width:9.75pt;height:10.5pt" o:ole="" fillcolor="window">
            <v:imagedata r:id="rId19" o:title=""/>
          </v:shape>
          <o:OLEObject Type="Embed" ProgID="Equation.3" ShapeID="_x0000_i1032" DrawAspect="Content" ObjectID="_1333704735" r:id="rId21"/>
        </w:object>
      </w:r>
      <w:r w:rsidRPr="005F44E6">
        <w:rPr>
          <w:sz w:val="26"/>
          <w:szCs w:val="26"/>
          <w:lang w:val="lt-LT"/>
        </w:rPr>
        <w:t xml:space="preserve"> </w:t>
      </w:r>
      <w:r w:rsidRPr="005F44E6">
        <w:rPr>
          <w:sz w:val="26"/>
          <w:szCs w:val="26"/>
          <w:lang w:val="lt-LT"/>
        </w:rPr>
        <w:softHyphen/>
      </w:r>
      <w:r w:rsidRPr="005F44E6">
        <w:rPr>
          <w:sz w:val="26"/>
          <w:szCs w:val="26"/>
        </w:rPr>
        <w:t xml:space="preserve">= </w:t>
      </w:r>
      <w:r w:rsidRPr="005F44E6">
        <w:rPr>
          <w:sz w:val="26"/>
          <w:szCs w:val="26"/>
          <w:lang w:val="lt-LT"/>
        </w:rPr>
        <w:t>1,96.</w:t>
      </w:r>
    </w:p>
    <w:p w:rsidR="00B8501E" w:rsidRPr="005F44E6" w:rsidRDefault="00B8501E" w:rsidP="00B8501E">
      <w:pPr>
        <w:spacing w:line="360" w:lineRule="auto"/>
        <w:ind w:firstLine="720"/>
        <w:jc w:val="both"/>
        <w:rPr>
          <w:sz w:val="26"/>
          <w:szCs w:val="26"/>
          <w:lang w:val="lt-LT"/>
        </w:rPr>
      </w:pPr>
      <w:r w:rsidRPr="005F44E6">
        <w:rPr>
          <w:sz w:val="26"/>
          <w:szCs w:val="26"/>
          <w:lang w:val="lt-LT"/>
        </w:rPr>
        <w:t>Visus dydžius į</w:t>
      </w:r>
      <w:r w:rsidR="003042D4" w:rsidRPr="005F44E6">
        <w:rPr>
          <w:sz w:val="26"/>
          <w:szCs w:val="26"/>
          <w:lang w:val="lt-LT"/>
        </w:rPr>
        <w:t>rašius</w:t>
      </w:r>
      <w:r w:rsidRPr="005F44E6">
        <w:rPr>
          <w:sz w:val="26"/>
          <w:szCs w:val="26"/>
          <w:lang w:val="lt-LT"/>
        </w:rPr>
        <w:t xml:space="preserve"> į formulę, gau</w:t>
      </w:r>
      <w:r w:rsidR="003042D4" w:rsidRPr="005F44E6">
        <w:rPr>
          <w:sz w:val="26"/>
          <w:szCs w:val="26"/>
          <w:lang w:val="lt-LT"/>
        </w:rPr>
        <w:t>name</w:t>
      </w:r>
      <w:r w:rsidRPr="005F44E6">
        <w:rPr>
          <w:sz w:val="26"/>
          <w:szCs w:val="26"/>
          <w:lang w:val="lt-LT"/>
        </w:rPr>
        <w:t xml:space="preserve"> kad </w:t>
      </w:r>
      <w:r w:rsidRPr="005F44E6">
        <w:rPr>
          <w:i/>
          <w:sz w:val="26"/>
          <w:szCs w:val="26"/>
          <w:lang w:val="lt-LT"/>
        </w:rPr>
        <w:t>n</w:t>
      </w:r>
      <w:r w:rsidRPr="005F44E6">
        <w:rPr>
          <w:sz w:val="26"/>
          <w:szCs w:val="26"/>
          <w:vertAlign w:val="subscript"/>
          <w:lang w:val="lt-LT"/>
        </w:rPr>
        <w:t xml:space="preserve">min </w:t>
      </w:r>
      <w:r w:rsidRPr="005F44E6">
        <w:rPr>
          <w:sz w:val="26"/>
          <w:szCs w:val="26"/>
          <w:lang w:val="lt-LT"/>
        </w:rPr>
        <w:t xml:space="preserve"> = </w:t>
      </w:r>
      <w:r w:rsidR="001A052A" w:rsidRPr="005F44E6">
        <w:rPr>
          <w:sz w:val="26"/>
          <w:szCs w:val="26"/>
          <w:lang w:val="lt-LT"/>
        </w:rPr>
        <w:t>22</w:t>
      </w:r>
      <w:r w:rsidRPr="005F44E6">
        <w:rPr>
          <w:sz w:val="26"/>
          <w:szCs w:val="26"/>
          <w:lang w:val="lt-LT"/>
        </w:rPr>
        <w:t>, t.</w:t>
      </w:r>
      <w:r w:rsidR="003042D4" w:rsidRPr="005F44E6">
        <w:rPr>
          <w:sz w:val="26"/>
          <w:szCs w:val="26"/>
          <w:lang w:val="lt-LT"/>
        </w:rPr>
        <w:t xml:space="preserve"> </w:t>
      </w:r>
      <w:r w:rsidRPr="005F44E6">
        <w:rPr>
          <w:sz w:val="26"/>
          <w:szCs w:val="26"/>
          <w:lang w:val="lt-LT"/>
        </w:rPr>
        <w:t>y. norint rezultatus gauti su 9</w:t>
      </w:r>
      <w:r w:rsidR="00B81DC1" w:rsidRPr="005F44E6">
        <w:rPr>
          <w:sz w:val="26"/>
          <w:szCs w:val="26"/>
          <w:lang w:val="lt-LT"/>
        </w:rPr>
        <w:t xml:space="preserve">5 proc. tikimybe bei </w:t>
      </w:r>
      <w:r w:rsidR="001A052A" w:rsidRPr="005F44E6">
        <w:rPr>
          <w:sz w:val="26"/>
          <w:szCs w:val="26"/>
          <w:lang w:val="lt-LT"/>
        </w:rPr>
        <w:t>20</w:t>
      </w:r>
      <w:r w:rsidRPr="005F44E6">
        <w:rPr>
          <w:sz w:val="26"/>
          <w:szCs w:val="26"/>
          <w:lang w:val="lt-LT"/>
        </w:rPr>
        <w:t xml:space="preserve"> proc. paklaida duomenys tu</w:t>
      </w:r>
      <w:r w:rsidR="001A052A" w:rsidRPr="005F44E6">
        <w:rPr>
          <w:sz w:val="26"/>
          <w:szCs w:val="26"/>
          <w:lang w:val="lt-LT"/>
        </w:rPr>
        <w:t>ri būti surinkti mažiausiai iš 22</w:t>
      </w:r>
      <w:r w:rsidRPr="005F44E6">
        <w:rPr>
          <w:sz w:val="26"/>
          <w:szCs w:val="26"/>
          <w:lang w:val="lt-LT"/>
        </w:rPr>
        <w:t xml:space="preserve"> auditorių.</w:t>
      </w:r>
    </w:p>
    <w:p w:rsidR="001614C1" w:rsidRPr="005F44E6" w:rsidRDefault="00B81DC1" w:rsidP="00B8501E">
      <w:pPr>
        <w:spacing w:line="360" w:lineRule="auto"/>
        <w:ind w:firstLine="720"/>
        <w:jc w:val="both"/>
        <w:rPr>
          <w:sz w:val="26"/>
          <w:szCs w:val="26"/>
          <w:lang w:val="lt-LT"/>
        </w:rPr>
      </w:pPr>
      <w:r w:rsidRPr="005F44E6">
        <w:rPr>
          <w:i/>
          <w:sz w:val="26"/>
          <w:szCs w:val="26"/>
          <w:u w:val="single"/>
          <w:lang w:val="lt-LT"/>
        </w:rPr>
        <w:t>D</w:t>
      </w:r>
      <w:r w:rsidR="00B8501E" w:rsidRPr="005F44E6">
        <w:rPr>
          <w:i/>
          <w:sz w:val="26"/>
          <w:szCs w:val="26"/>
          <w:u w:val="single"/>
          <w:lang w:val="lt-LT"/>
        </w:rPr>
        <w:t>uomenų rinkimo metodas.</w:t>
      </w:r>
      <w:r w:rsidR="00B8501E" w:rsidRPr="005F44E6">
        <w:rPr>
          <w:sz w:val="26"/>
          <w:szCs w:val="26"/>
          <w:lang w:val="lt-LT"/>
        </w:rPr>
        <w:t xml:space="preserve"> </w:t>
      </w:r>
      <w:r w:rsidR="00071092" w:rsidRPr="005F44E6">
        <w:rPr>
          <w:sz w:val="26"/>
          <w:szCs w:val="26"/>
          <w:lang w:val="lt-LT"/>
        </w:rPr>
        <w:t xml:space="preserve">Kadangi apklausa, anot K. Kardelio (2002), lyginant su kitais duomenų rinkimo metodais, pasižymi gana dideliu patikimumu, </w:t>
      </w:r>
      <w:r w:rsidR="001614C1" w:rsidRPr="005F44E6">
        <w:rPr>
          <w:sz w:val="26"/>
          <w:szCs w:val="26"/>
          <w:lang w:val="lt-LT"/>
        </w:rPr>
        <w:t xml:space="preserve">o nuvykus į audito įmones auditoriaus tiesiogiai apklausti gali ir nepavykti, </w:t>
      </w:r>
      <w:r w:rsidR="00071092" w:rsidRPr="005F44E6">
        <w:rPr>
          <w:sz w:val="26"/>
          <w:szCs w:val="26"/>
          <w:lang w:val="lt-LT"/>
        </w:rPr>
        <w:t>ty</w:t>
      </w:r>
      <w:r w:rsidR="00B8501E" w:rsidRPr="005F44E6">
        <w:rPr>
          <w:sz w:val="26"/>
          <w:szCs w:val="26"/>
          <w:lang w:val="lt-LT"/>
        </w:rPr>
        <w:t>rim</w:t>
      </w:r>
      <w:r w:rsidRPr="005F44E6">
        <w:rPr>
          <w:sz w:val="26"/>
          <w:szCs w:val="26"/>
          <w:lang w:val="lt-LT"/>
        </w:rPr>
        <w:t>ui pasirinkta</w:t>
      </w:r>
      <w:r w:rsidR="00071092" w:rsidRPr="005F44E6">
        <w:rPr>
          <w:sz w:val="26"/>
          <w:szCs w:val="26"/>
          <w:lang w:val="lt-LT"/>
        </w:rPr>
        <w:t xml:space="preserve"> </w:t>
      </w:r>
      <w:r w:rsidRPr="005F44E6">
        <w:rPr>
          <w:sz w:val="26"/>
          <w:szCs w:val="26"/>
          <w:lang w:val="lt-LT"/>
        </w:rPr>
        <w:t>individuali anketinė apklausa</w:t>
      </w:r>
      <w:r w:rsidR="001614C1" w:rsidRPr="005F44E6">
        <w:rPr>
          <w:sz w:val="26"/>
          <w:szCs w:val="26"/>
          <w:lang w:val="lt-LT"/>
        </w:rPr>
        <w:t>.</w:t>
      </w:r>
      <w:r w:rsidRPr="005F44E6">
        <w:rPr>
          <w:sz w:val="26"/>
          <w:szCs w:val="26"/>
          <w:lang w:val="lt-LT"/>
        </w:rPr>
        <w:t xml:space="preserve"> </w:t>
      </w:r>
      <w:r w:rsidR="001614C1" w:rsidRPr="005F44E6">
        <w:rPr>
          <w:sz w:val="26"/>
          <w:szCs w:val="26"/>
          <w:lang w:val="lt-LT"/>
        </w:rPr>
        <w:t>S</w:t>
      </w:r>
      <w:r w:rsidR="00B8501E" w:rsidRPr="005F44E6">
        <w:rPr>
          <w:sz w:val="26"/>
          <w:szCs w:val="26"/>
          <w:lang w:val="lt-LT"/>
        </w:rPr>
        <w:t>iekiant užtikrinti didžiausią respondentų anonimiškumą</w:t>
      </w:r>
      <w:r w:rsidR="001614C1" w:rsidRPr="005F44E6">
        <w:rPr>
          <w:sz w:val="26"/>
          <w:szCs w:val="26"/>
          <w:lang w:val="lt-LT"/>
        </w:rPr>
        <w:t xml:space="preserve">, reikiamo laiko skyrimą </w:t>
      </w:r>
      <w:r w:rsidR="00B8501E" w:rsidRPr="005F44E6">
        <w:rPr>
          <w:sz w:val="26"/>
          <w:szCs w:val="26"/>
          <w:lang w:val="lt-LT"/>
        </w:rPr>
        <w:t>bei kuo aukštesnį duomenų patikimumą, buvo pasirinktas anket</w:t>
      </w:r>
      <w:r w:rsidR="00071092" w:rsidRPr="005F44E6">
        <w:rPr>
          <w:sz w:val="26"/>
          <w:szCs w:val="26"/>
          <w:lang w:val="lt-LT"/>
        </w:rPr>
        <w:t xml:space="preserve">ų </w:t>
      </w:r>
      <w:r w:rsidR="001614C1" w:rsidRPr="005F44E6">
        <w:rPr>
          <w:sz w:val="26"/>
          <w:szCs w:val="26"/>
          <w:lang w:val="lt-LT"/>
        </w:rPr>
        <w:t xml:space="preserve">išsiuntimas respondentams elektroniniu paštu. </w:t>
      </w:r>
    </w:p>
    <w:p w:rsidR="00532D67" w:rsidRPr="005F44E6" w:rsidRDefault="00B8501E" w:rsidP="00B8501E">
      <w:pPr>
        <w:spacing w:line="360" w:lineRule="auto"/>
        <w:ind w:firstLine="720"/>
        <w:jc w:val="both"/>
        <w:rPr>
          <w:sz w:val="26"/>
          <w:szCs w:val="26"/>
          <w:lang w:val="lt-LT"/>
        </w:rPr>
      </w:pPr>
      <w:r w:rsidRPr="005F44E6">
        <w:rPr>
          <w:sz w:val="26"/>
          <w:szCs w:val="26"/>
          <w:lang w:val="lt-LT"/>
        </w:rPr>
        <w:lastRenderedPageBreak/>
        <w:t>Tyrim</w:t>
      </w:r>
      <w:r w:rsidR="00216799" w:rsidRPr="005F44E6">
        <w:rPr>
          <w:sz w:val="26"/>
          <w:szCs w:val="26"/>
          <w:lang w:val="lt-LT"/>
        </w:rPr>
        <w:t>ui</w:t>
      </w:r>
      <w:r w:rsidRPr="005F44E6">
        <w:rPr>
          <w:sz w:val="26"/>
          <w:szCs w:val="26"/>
          <w:lang w:val="lt-LT"/>
        </w:rPr>
        <w:t xml:space="preserve"> naudotą anketą </w:t>
      </w:r>
      <w:r w:rsidR="00532D67" w:rsidRPr="005F44E6">
        <w:rPr>
          <w:sz w:val="26"/>
          <w:szCs w:val="26"/>
          <w:lang w:val="lt-LT"/>
        </w:rPr>
        <w:t xml:space="preserve">(žr. </w:t>
      </w:r>
      <w:r w:rsidR="009A700C" w:rsidRPr="005F44E6">
        <w:rPr>
          <w:sz w:val="26"/>
          <w:szCs w:val="26"/>
          <w:lang w:val="lt-LT"/>
        </w:rPr>
        <w:t>8 priedas</w:t>
      </w:r>
      <w:r w:rsidR="00532D67" w:rsidRPr="005F44E6">
        <w:rPr>
          <w:sz w:val="26"/>
          <w:szCs w:val="26"/>
          <w:lang w:val="lt-LT"/>
        </w:rPr>
        <w:t xml:space="preserve">) </w:t>
      </w:r>
      <w:r w:rsidR="00216799" w:rsidRPr="005F44E6">
        <w:rPr>
          <w:sz w:val="26"/>
          <w:szCs w:val="26"/>
          <w:lang w:val="lt-LT"/>
        </w:rPr>
        <w:t xml:space="preserve">sudaro: 1) </w:t>
      </w:r>
      <w:r w:rsidR="00216799" w:rsidRPr="005F44E6">
        <w:rPr>
          <w:i/>
          <w:sz w:val="26"/>
          <w:szCs w:val="26"/>
          <w:lang w:val="lt-LT"/>
        </w:rPr>
        <w:t>įvadinė dalis</w:t>
      </w:r>
      <w:r w:rsidR="00216799" w:rsidRPr="005F44E6">
        <w:rPr>
          <w:sz w:val="26"/>
          <w:szCs w:val="26"/>
          <w:lang w:val="lt-LT"/>
        </w:rPr>
        <w:t xml:space="preserve">, kurioje nurodyta, kas organizuoja anketinę apklausą, paaiškintas tyrimo tikslas, išdėstyta, kur bus panaudoti apklausos rezultatai, nurodyta organizuojamos apklausos svarba, užtikrintas surinktų duomenų anonimiškumas, aiškiai išdėstytos taisyklės kaip užpildyti anketą ir </w:t>
      </w:r>
      <w:r w:rsidR="00532D67" w:rsidRPr="005F44E6">
        <w:rPr>
          <w:sz w:val="26"/>
          <w:szCs w:val="26"/>
          <w:lang w:val="lt-LT"/>
        </w:rPr>
        <w:t xml:space="preserve">ją grąžinti; 2) </w:t>
      </w:r>
      <w:r w:rsidR="00532D67" w:rsidRPr="005F44E6">
        <w:rPr>
          <w:i/>
          <w:sz w:val="26"/>
          <w:szCs w:val="26"/>
          <w:lang w:val="lt-LT"/>
        </w:rPr>
        <w:t>pagrindinė dalis</w:t>
      </w:r>
      <w:r w:rsidR="00532D67" w:rsidRPr="005F44E6">
        <w:rPr>
          <w:sz w:val="26"/>
          <w:szCs w:val="26"/>
          <w:lang w:val="lt-LT"/>
        </w:rPr>
        <w:t xml:space="preserve">, kurioje išdėstyti klausimai, nuosekliai išsiaiškinantys auditoriaus audito rizikos vertinimo praktiką (nuo audito rizikos </w:t>
      </w:r>
      <w:r w:rsidR="00B51A0B" w:rsidRPr="005F44E6">
        <w:rPr>
          <w:sz w:val="26"/>
          <w:szCs w:val="26"/>
          <w:lang w:val="lt-LT"/>
        </w:rPr>
        <w:t xml:space="preserve">svarbos pripažinimo </w:t>
      </w:r>
      <w:r w:rsidR="006F0C8B" w:rsidRPr="005F44E6">
        <w:rPr>
          <w:sz w:val="26"/>
          <w:szCs w:val="26"/>
          <w:lang w:val="lt-LT"/>
        </w:rPr>
        <w:t xml:space="preserve">atliekant </w:t>
      </w:r>
      <w:r w:rsidR="00B51A0B" w:rsidRPr="005F44E6">
        <w:rPr>
          <w:sz w:val="26"/>
          <w:szCs w:val="26"/>
          <w:lang w:val="lt-LT"/>
        </w:rPr>
        <w:t>audit</w:t>
      </w:r>
      <w:r w:rsidR="006F0C8B" w:rsidRPr="005F44E6">
        <w:rPr>
          <w:sz w:val="26"/>
          <w:szCs w:val="26"/>
          <w:lang w:val="lt-LT"/>
        </w:rPr>
        <w:t>ą</w:t>
      </w:r>
      <w:r w:rsidR="00B51A0B" w:rsidRPr="005F44E6">
        <w:rPr>
          <w:sz w:val="26"/>
          <w:szCs w:val="26"/>
          <w:lang w:val="lt-LT"/>
        </w:rPr>
        <w:t xml:space="preserve"> iki patobulinto audito rizikos vertinimo modelio sandaros nustatymo); 3)</w:t>
      </w:r>
      <w:r w:rsidR="00BB05DB">
        <w:rPr>
          <w:sz w:val="26"/>
          <w:szCs w:val="26"/>
          <w:lang w:val="lt-LT"/>
        </w:rPr>
        <w:t> </w:t>
      </w:r>
      <w:r w:rsidR="00B51A0B" w:rsidRPr="005F44E6">
        <w:rPr>
          <w:i/>
          <w:sz w:val="26"/>
          <w:szCs w:val="26"/>
          <w:lang w:val="lt-LT"/>
        </w:rPr>
        <w:t>demografinė dalis</w:t>
      </w:r>
      <w:r w:rsidR="00B51A0B" w:rsidRPr="005F44E6">
        <w:rPr>
          <w:sz w:val="26"/>
          <w:szCs w:val="26"/>
          <w:lang w:val="lt-LT"/>
        </w:rPr>
        <w:t>, apimanti klausimus apie apklausiamo a</w:t>
      </w:r>
      <w:r w:rsidR="00F810F2" w:rsidRPr="005F44E6">
        <w:rPr>
          <w:sz w:val="26"/>
          <w:szCs w:val="26"/>
          <w:lang w:val="lt-LT"/>
        </w:rPr>
        <w:t>uditoriaus</w:t>
      </w:r>
      <w:r w:rsidR="00B51A0B" w:rsidRPr="005F44E6">
        <w:rPr>
          <w:sz w:val="26"/>
          <w:szCs w:val="26"/>
          <w:lang w:val="lt-LT"/>
        </w:rPr>
        <w:t xml:space="preserve"> darbo patirtį atliekant audit</w:t>
      </w:r>
      <w:r w:rsidR="006F0C8B" w:rsidRPr="005F44E6">
        <w:rPr>
          <w:sz w:val="26"/>
          <w:szCs w:val="26"/>
          <w:lang w:val="lt-LT"/>
        </w:rPr>
        <w:t>us</w:t>
      </w:r>
      <w:r w:rsidR="00B51A0B" w:rsidRPr="005F44E6">
        <w:rPr>
          <w:sz w:val="26"/>
          <w:szCs w:val="26"/>
          <w:lang w:val="lt-LT"/>
        </w:rPr>
        <w:t xml:space="preserve"> (metų ir atliekamų auditų skaičius) bei taikomus audito standartus</w:t>
      </w:r>
      <w:r w:rsidR="00532D67" w:rsidRPr="005F44E6">
        <w:rPr>
          <w:sz w:val="26"/>
          <w:szCs w:val="26"/>
          <w:lang w:val="lt-LT"/>
        </w:rPr>
        <w:t>.</w:t>
      </w:r>
    </w:p>
    <w:p w:rsidR="002F2F44" w:rsidRPr="005F44E6" w:rsidRDefault="00656A78" w:rsidP="00222CD6">
      <w:pPr>
        <w:spacing w:line="360" w:lineRule="auto"/>
        <w:ind w:firstLine="720"/>
        <w:jc w:val="both"/>
        <w:rPr>
          <w:sz w:val="26"/>
          <w:szCs w:val="26"/>
          <w:lang w:val="lt-LT"/>
        </w:rPr>
      </w:pPr>
      <w:r w:rsidRPr="005F44E6">
        <w:rPr>
          <w:i/>
          <w:sz w:val="26"/>
          <w:szCs w:val="26"/>
          <w:u w:val="single"/>
          <w:lang w:val="lt-LT"/>
        </w:rPr>
        <w:t xml:space="preserve">Duomenų </w:t>
      </w:r>
      <w:r w:rsidR="00ED6417" w:rsidRPr="005F44E6">
        <w:rPr>
          <w:i/>
          <w:sz w:val="26"/>
          <w:szCs w:val="26"/>
          <w:u w:val="single"/>
          <w:lang w:val="lt-LT"/>
        </w:rPr>
        <w:t>apdorojimo metodai</w:t>
      </w:r>
      <w:r w:rsidRPr="005F44E6">
        <w:rPr>
          <w:i/>
          <w:sz w:val="26"/>
          <w:szCs w:val="26"/>
          <w:lang w:val="lt-LT"/>
        </w:rPr>
        <w:t xml:space="preserve">. </w:t>
      </w:r>
      <w:r w:rsidRPr="005F44E6">
        <w:rPr>
          <w:sz w:val="26"/>
          <w:szCs w:val="26"/>
          <w:lang w:val="lt-LT"/>
        </w:rPr>
        <w:t>Surinkti duomenys apdoroti</w:t>
      </w:r>
      <w:r w:rsidR="00B5598E" w:rsidRPr="005F44E6">
        <w:rPr>
          <w:sz w:val="26"/>
          <w:szCs w:val="26"/>
          <w:lang w:val="lt-LT"/>
        </w:rPr>
        <w:t xml:space="preserve"> pasitelkus kokybin</w:t>
      </w:r>
      <w:r w:rsidR="00ED6417" w:rsidRPr="005F44E6">
        <w:rPr>
          <w:sz w:val="26"/>
          <w:szCs w:val="26"/>
          <w:lang w:val="lt-LT"/>
        </w:rPr>
        <w:t>ius</w:t>
      </w:r>
      <w:r w:rsidR="00B5598E" w:rsidRPr="005F44E6">
        <w:rPr>
          <w:sz w:val="26"/>
          <w:szCs w:val="26"/>
          <w:lang w:val="lt-LT"/>
        </w:rPr>
        <w:t xml:space="preserve"> ir kiekybin</w:t>
      </w:r>
      <w:r w:rsidR="00ED6417" w:rsidRPr="005F44E6">
        <w:rPr>
          <w:sz w:val="26"/>
          <w:szCs w:val="26"/>
          <w:lang w:val="lt-LT"/>
        </w:rPr>
        <w:t>ius</w:t>
      </w:r>
      <w:r w:rsidR="00B5598E" w:rsidRPr="005F44E6">
        <w:rPr>
          <w:sz w:val="26"/>
          <w:szCs w:val="26"/>
          <w:lang w:val="lt-LT"/>
        </w:rPr>
        <w:t xml:space="preserve"> </w:t>
      </w:r>
      <w:r w:rsidR="00ED6417" w:rsidRPr="005F44E6">
        <w:rPr>
          <w:sz w:val="26"/>
          <w:szCs w:val="26"/>
          <w:lang w:val="lt-LT"/>
        </w:rPr>
        <w:t>metodus</w:t>
      </w:r>
      <w:r w:rsidR="00B5598E" w:rsidRPr="005F44E6">
        <w:rPr>
          <w:sz w:val="26"/>
          <w:szCs w:val="26"/>
          <w:lang w:val="lt-LT"/>
        </w:rPr>
        <w:t>.</w:t>
      </w:r>
      <w:r w:rsidR="00ED6417" w:rsidRPr="005F44E6">
        <w:rPr>
          <w:sz w:val="26"/>
          <w:szCs w:val="26"/>
          <w:lang w:val="lt-LT"/>
        </w:rPr>
        <w:t xml:space="preserve"> </w:t>
      </w:r>
    </w:p>
    <w:p w:rsidR="002F2F44" w:rsidRPr="005F44E6" w:rsidRDefault="00B5598E" w:rsidP="00222CD6">
      <w:pPr>
        <w:spacing w:line="360" w:lineRule="auto"/>
        <w:ind w:firstLine="720"/>
        <w:jc w:val="both"/>
        <w:rPr>
          <w:sz w:val="26"/>
          <w:szCs w:val="26"/>
          <w:lang w:val="lt-LT"/>
        </w:rPr>
      </w:pPr>
      <w:r w:rsidRPr="005F44E6">
        <w:rPr>
          <w:sz w:val="26"/>
          <w:szCs w:val="26"/>
          <w:lang w:val="lt-LT"/>
        </w:rPr>
        <w:t>Kokybin</w:t>
      </w:r>
      <w:r w:rsidR="00ED6417" w:rsidRPr="005F44E6">
        <w:rPr>
          <w:sz w:val="26"/>
          <w:szCs w:val="26"/>
          <w:lang w:val="lt-LT"/>
        </w:rPr>
        <w:t xml:space="preserve">iai metodai – analizė, sintezė, abstrahavimas, </w:t>
      </w:r>
      <w:r w:rsidR="009F1845" w:rsidRPr="005F44E6">
        <w:rPr>
          <w:sz w:val="26"/>
          <w:szCs w:val="26"/>
          <w:lang w:val="lt-LT"/>
        </w:rPr>
        <w:t xml:space="preserve">indukcija, dedukcija, </w:t>
      </w:r>
      <w:r w:rsidR="00ED6417" w:rsidRPr="005F44E6">
        <w:rPr>
          <w:sz w:val="26"/>
          <w:szCs w:val="26"/>
          <w:lang w:val="lt-LT"/>
        </w:rPr>
        <w:t>sisteminimas ir klasifikavimas, pasak K. Kardelio (2002), padeda išsiaiškinti dėsningus priežastinius reiškinių ryšius</w:t>
      </w:r>
      <w:r w:rsidR="009F1845" w:rsidRPr="005F44E6">
        <w:rPr>
          <w:sz w:val="26"/>
          <w:szCs w:val="26"/>
          <w:lang w:val="lt-LT"/>
        </w:rPr>
        <w:t xml:space="preserve">. I. Luobikienės (2002) nuomone, kokybinė surinktos informacijos analizė grindžiama teoretizavimu, individualia tyrėjo patirtimi, sugebėjimu įsigilinti į pakankamai didelius suriktos informacijos srautus, surasti juose tai, kas yra esmingiausia ir tinkamai tai interpretuoti. </w:t>
      </w:r>
    </w:p>
    <w:p w:rsidR="002F2F44" w:rsidRPr="005F44E6" w:rsidRDefault="00C17881" w:rsidP="00222CD6">
      <w:pPr>
        <w:spacing w:line="360" w:lineRule="auto"/>
        <w:ind w:firstLine="720"/>
        <w:jc w:val="both"/>
        <w:rPr>
          <w:sz w:val="26"/>
          <w:szCs w:val="26"/>
          <w:lang w:val="lt-LT"/>
        </w:rPr>
      </w:pPr>
      <w:r w:rsidRPr="005F44E6">
        <w:rPr>
          <w:sz w:val="26"/>
          <w:szCs w:val="26"/>
          <w:lang w:val="lt-LT"/>
        </w:rPr>
        <w:t xml:space="preserve">Kiekybinei duomenų analizei </w:t>
      </w:r>
      <w:r w:rsidR="002F2F44" w:rsidRPr="005F44E6">
        <w:rPr>
          <w:sz w:val="26"/>
          <w:szCs w:val="26"/>
          <w:lang w:val="lt-LT"/>
        </w:rPr>
        <w:t>pa</w:t>
      </w:r>
      <w:r w:rsidRPr="005F44E6">
        <w:rPr>
          <w:sz w:val="26"/>
          <w:szCs w:val="26"/>
          <w:lang w:val="lt-LT"/>
        </w:rPr>
        <w:t>naudo</w:t>
      </w:r>
      <w:r w:rsidR="002F2F44" w:rsidRPr="005F44E6">
        <w:rPr>
          <w:sz w:val="26"/>
          <w:szCs w:val="26"/>
          <w:lang w:val="lt-LT"/>
        </w:rPr>
        <w:t>ti</w:t>
      </w:r>
      <w:r w:rsidRPr="005F44E6">
        <w:rPr>
          <w:sz w:val="26"/>
          <w:szCs w:val="26"/>
          <w:lang w:val="lt-LT"/>
        </w:rPr>
        <w:t xml:space="preserve"> aprašomosios statistikos</w:t>
      </w:r>
      <w:r w:rsidR="00656190" w:rsidRPr="005F44E6">
        <w:rPr>
          <w:sz w:val="26"/>
          <w:szCs w:val="26"/>
          <w:lang w:val="lt-LT"/>
        </w:rPr>
        <w:t xml:space="preserve">, kurie pagrįsti statistiniu dažnumu, pvz. procentų apskaičiavimu, </w:t>
      </w:r>
      <w:r w:rsidRPr="005F44E6">
        <w:rPr>
          <w:sz w:val="26"/>
          <w:szCs w:val="26"/>
          <w:lang w:val="lt-LT"/>
        </w:rPr>
        <w:t>grafini</w:t>
      </w:r>
      <w:r w:rsidR="00656190" w:rsidRPr="005F44E6">
        <w:rPr>
          <w:sz w:val="26"/>
          <w:szCs w:val="26"/>
          <w:lang w:val="lt-LT"/>
        </w:rPr>
        <w:t>u</w:t>
      </w:r>
      <w:r w:rsidRPr="005F44E6">
        <w:rPr>
          <w:sz w:val="26"/>
          <w:szCs w:val="26"/>
          <w:lang w:val="lt-LT"/>
        </w:rPr>
        <w:t xml:space="preserve"> duomenų vaizdavim</w:t>
      </w:r>
      <w:r w:rsidR="00656190" w:rsidRPr="005F44E6">
        <w:rPr>
          <w:sz w:val="26"/>
          <w:szCs w:val="26"/>
          <w:lang w:val="lt-LT"/>
        </w:rPr>
        <w:t xml:space="preserve">u, ir </w:t>
      </w:r>
      <w:r w:rsidRPr="005F44E6">
        <w:rPr>
          <w:sz w:val="26"/>
          <w:szCs w:val="26"/>
          <w:lang w:val="lt-LT"/>
        </w:rPr>
        <w:t>regresinės analizės metodai</w:t>
      </w:r>
      <w:r w:rsidR="00CB21A6" w:rsidRPr="005F44E6">
        <w:rPr>
          <w:sz w:val="26"/>
          <w:szCs w:val="26"/>
          <w:lang w:val="lt-LT"/>
        </w:rPr>
        <w:t>s</w:t>
      </w:r>
      <w:r w:rsidRPr="005F44E6">
        <w:rPr>
          <w:sz w:val="26"/>
          <w:szCs w:val="26"/>
          <w:lang w:val="lt-LT"/>
        </w:rPr>
        <w:t xml:space="preserve"> (koreliacija).</w:t>
      </w:r>
      <w:r w:rsidR="00222CD6" w:rsidRPr="005F44E6">
        <w:rPr>
          <w:sz w:val="26"/>
          <w:szCs w:val="26"/>
          <w:lang w:val="lt-LT"/>
        </w:rPr>
        <w:t xml:space="preserve"> </w:t>
      </w:r>
    </w:p>
    <w:p w:rsidR="00222CD6" w:rsidRPr="005F44E6" w:rsidRDefault="00222CD6" w:rsidP="00222CD6">
      <w:pPr>
        <w:spacing w:line="360" w:lineRule="auto"/>
        <w:ind w:firstLine="720"/>
        <w:jc w:val="both"/>
        <w:rPr>
          <w:sz w:val="26"/>
          <w:szCs w:val="26"/>
          <w:lang w:val="lt-LT"/>
        </w:rPr>
      </w:pPr>
      <w:r w:rsidRPr="005F44E6">
        <w:rPr>
          <w:sz w:val="26"/>
          <w:szCs w:val="26"/>
          <w:lang w:val="lt-LT"/>
        </w:rPr>
        <w:t xml:space="preserve">Statistiniai duomenys apibendrinti, pasitelkus statistinių išvadų teoriją, o gautos išvados pagrįstai buvo </w:t>
      </w:r>
      <w:r w:rsidR="002F2F44" w:rsidRPr="005F44E6">
        <w:rPr>
          <w:sz w:val="26"/>
          <w:szCs w:val="26"/>
          <w:lang w:val="lt-LT"/>
        </w:rPr>
        <w:t>pa</w:t>
      </w:r>
      <w:r w:rsidRPr="005F44E6">
        <w:rPr>
          <w:sz w:val="26"/>
          <w:szCs w:val="26"/>
          <w:lang w:val="lt-LT"/>
        </w:rPr>
        <w:t xml:space="preserve">naudotos </w:t>
      </w:r>
      <w:r w:rsidR="002F2F44" w:rsidRPr="005F44E6">
        <w:rPr>
          <w:sz w:val="26"/>
          <w:szCs w:val="26"/>
          <w:lang w:val="lt-LT"/>
        </w:rPr>
        <w:t xml:space="preserve">apibūdinant </w:t>
      </w:r>
      <w:r w:rsidRPr="005F44E6">
        <w:rPr>
          <w:sz w:val="26"/>
          <w:szCs w:val="26"/>
          <w:lang w:val="lt-LT"/>
        </w:rPr>
        <w:t>visum</w:t>
      </w:r>
      <w:r w:rsidR="002F2F44" w:rsidRPr="005F44E6">
        <w:rPr>
          <w:sz w:val="26"/>
          <w:szCs w:val="26"/>
          <w:lang w:val="lt-LT"/>
        </w:rPr>
        <w:t>ą</w:t>
      </w:r>
      <w:r w:rsidRPr="005F44E6">
        <w:rPr>
          <w:sz w:val="26"/>
          <w:szCs w:val="26"/>
          <w:lang w:val="lt-LT"/>
        </w:rPr>
        <w:t>.</w:t>
      </w:r>
    </w:p>
    <w:p w:rsidR="00CB21A6" w:rsidRPr="005F44E6" w:rsidRDefault="00E33DD1" w:rsidP="00B8501E">
      <w:pPr>
        <w:spacing w:line="360" w:lineRule="auto"/>
        <w:ind w:firstLine="720"/>
        <w:jc w:val="both"/>
        <w:rPr>
          <w:sz w:val="26"/>
          <w:szCs w:val="26"/>
          <w:lang w:val="lt-LT"/>
        </w:rPr>
      </w:pPr>
      <w:r w:rsidRPr="005F44E6">
        <w:rPr>
          <w:sz w:val="26"/>
          <w:szCs w:val="26"/>
          <w:lang w:val="lt-LT"/>
        </w:rPr>
        <w:t>Ryšio stiprumui tarp dviejų kintamųjų tirti naudotas Spirmeno (r</w:t>
      </w:r>
      <w:r w:rsidR="00387A98" w:rsidRPr="005F44E6">
        <w:rPr>
          <w:sz w:val="26"/>
          <w:szCs w:val="26"/>
          <w:lang w:val="lt-LT"/>
        </w:rPr>
        <w:t>angų) koreliacijos koeficientas</w:t>
      </w:r>
      <w:r w:rsidR="006D3E2D" w:rsidRPr="005F44E6">
        <w:rPr>
          <w:sz w:val="26"/>
          <w:szCs w:val="26"/>
          <w:lang w:val="lt-LT"/>
        </w:rPr>
        <w:t xml:space="preserve"> (</w:t>
      </w:r>
      <w:r w:rsidR="006D3E2D" w:rsidRPr="005F44E6">
        <w:rPr>
          <w:i/>
          <w:sz w:val="26"/>
          <w:szCs w:val="26"/>
          <w:lang w:val="lt-LT"/>
        </w:rPr>
        <w:t>r</w:t>
      </w:r>
      <w:r w:rsidR="006D3E2D" w:rsidRPr="005F44E6">
        <w:rPr>
          <w:i/>
          <w:sz w:val="26"/>
          <w:szCs w:val="26"/>
          <w:vertAlign w:val="subscript"/>
          <w:lang w:val="lt-LT"/>
        </w:rPr>
        <w:t>s</w:t>
      </w:r>
      <w:r w:rsidR="006D3E2D" w:rsidRPr="005F44E6">
        <w:rPr>
          <w:sz w:val="26"/>
          <w:szCs w:val="26"/>
          <w:lang w:val="lt-LT"/>
        </w:rPr>
        <w:t>)</w:t>
      </w:r>
      <w:r w:rsidR="00387A98" w:rsidRPr="005F44E6">
        <w:rPr>
          <w:sz w:val="26"/>
          <w:szCs w:val="26"/>
          <w:lang w:val="lt-LT"/>
        </w:rPr>
        <w:t xml:space="preserve">. Šio koreliacijos koeficiento ribinės reikšmės – nuo -1 iki +1, todėl kuo koeficientas absoliučiu didumu didesnis, tuo priklausomybė stipresnė. Teigiamas Spirmeno koreliacijos koeficientas rodo tiesioginę priklausomybę (didesnes vieno kintamojo reikšmes atitinka didesnės kito kintamojo reikšmės), neigiamas – atvirkštinę (Čekanavičius, Murauskas, </w:t>
      </w:r>
      <w:r w:rsidR="00387A98" w:rsidRPr="005F44E6">
        <w:rPr>
          <w:sz w:val="26"/>
          <w:szCs w:val="26"/>
          <w:lang w:val="lt-LT"/>
        </w:rPr>
        <w:lastRenderedPageBreak/>
        <w:t>2008, p. 33).</w:t>
      </w:r>
      <w:r w:rsidR="00323716" w:rsidRPr="005F44E6">
        <w:rPr>
          <w:sz w:val="26"/>
          <w:szCs w:val="26"/>
          <w:lang w:val="lt-LT"/>
        </w:rPr>
        <w:t xml:space="preserve"> </w:t>
      </w:r>
      <w:r w:rsidR="008E6567" w:rsidRPr="005F44E6">
        <w:rPr>
          <w:sz w:val="26"/>
          <w:szCs w:val="26"/>
          <w:lang w:val="lt-LT"/>
        </w:rPr>
        <w:t>Kaip teigia K. Kardelis (2002), hipotezė apie Spirmeno koreliacijos koeficient</w:t>
      </w:r>
      <w:r w:rsidR="00CB21A6" w:rsidRPr="005F44E6">
        <w:rPr>
          <w:sz w:val="26"/>
          <w:szCs w:val="26"/>
          <w:lang w:val="lt-LT"/>
        </w:rPr>
        <w:t>o</w:t>
      </w:r>
      <w:r w:rsidR="008E6567" w:rsidRPr="005F44E6">
        <w:rPr>
          <w:sz w:val="26"/>
          <w:szCs w:val="26"/>
          <w:lang w:val="lt-LT"/>
        </w:rPr>
        <w:t xml:space="preserve"> lygybę nuliui tikrinama naudojant Studento (</w:t>
      </w:r>
      <w:r w:rsidR="008E6567" w:rsidRPr="005F44E6">
        <w:rPr>
          <w:i/>
          <w:sz w:val="26"/>
          <w:szCs w:val="26"/>
          <w:lang w:val="lt-LT"/>
        </w:rPr>
        <w:t>t</w:t>
      </w:r>
      <w:r w:rsidR="008E6567" w:rsidRPr="005F44E6">
        <w:rPr>
          <w:sz w:val="26"/>
          <w:szCs w:val="26"/>
          <w:lang w:val="lt-LT"/>
        </w:rPr>
        <w:t xml:space="preserve">) kriterijų. Hipotezė neatmetama, jie jos patikrinimas rodo, kad gauti skirtumai yra statistiškai argumentuoti, t. y. jei gauname 95 </w:t>
      </w:r>
      <w:r w:rsidR="008E6567" w:rsidRPr="005F44E6">
        <w:rPr>
          <w:sz w:val="26"/>
          <w:szCs w:val="26"/>
          <w:lang w:val="ru-RU"/>
        </w:rPr>
        <w:t>%</w:t>
      </w:r>
      <w:r w:rsidR="008E6567" w:rsidRPr="005F44E6">
        <w:rPr>
          <w:sz w:val="26"/>
          <w:szCs w:val="26"/>
        </w:rPr>
        <w:t xml:space="preserve"> ir 99 </w:t>
      </w:r>
      <w:r w:rsidR="008E6567" w:rsidRPr="005F44E6">
        <w:rPr>
          <w:sz w:val="26"/>
          <w:szCs w:val="26"/>
          <w:lang w:val="ru-RU"/>
        </w:rPr>
        <w:t>%</w:t>
      </w:r>
      <w:r w:rsidR="008E6567" w:rsidRPr="005F44E6">
        <w:rPr>
          <w:sz w:val="26"/>
          <w:szCs w:val="26"/>
          <w:lang w:val="lt-LT"/>
        </w:rPr>
        <w:t xml:space="preserve"> patikimumą (atitinkamai p&lt;0,05 ir </w:t>
      </w:r>
      <w:r w:rsidR="00CB21A6" w:rsidRPr="005F44E6">
        <w:rPr>
          <w:sz w:val="26"/>
          <w:szCs w:val="26"/>
          <w:lang w:val="lt-LT"/>
        </w:rPr>
        <w:t>p</w:t>
      </w:r>
      <w:r w:rsidR="008E6567" w:rsidRPr="005F44E6">
        <w:rPr>
          <w:sz w:val="26"/>
          <w:szCs w:val="26"/>
          <w:lang w:val="lt-LT"/>
        </w:rPr>
        <w:t>&lt;0,01). Vadinasi nulinė hipotezė atmetama, nes tokio laipsnio tikimybė patvirtina, kad ryšiai nėra atsitiktiniai arba gauti dėl tyrimo klaidų.</w:t>
      </w:r>
      <w:r w:rsidR="00740AE5" w:rsidRPr="005F44E6">
        <w:rPr>
          <w:sz w:val="26"/>
          <w:szCs w:val="26"/>
          <w:lang w:val="lt-LT"/>
        </w:rPr>
        <w:t xml:space="preserve"> Jei gautoji reikšmė neviršija 0,05, daroma išvada, kad kintamieji koreliuoja, o jei viršija –</w:t>
      </w:r>
      <w:r w:rsidR="00740AE5" w:rsidRPr="005F44E6">
        <w:rPr>
          <w:sz w:val="26"/>
          <w:szCs w:val="26"/>
        </w:rPr>
        <w:t xml:space="preserve"> </w:t>
      </w:r>
      <w:r w:rsidR="00740AE5" w:rsidRPr="005F44E6">
        <w:rPr>
          <w:sz w:val="26"/>
          <w:szCs w:val="26"/>
          <w:lang w:val="lt-LT"/>
        </w:rPr>
        <w:t>galima teigti, kad koreliacija statistiškai nepatikima.</w:t>
      </w:r>
      <w:r w:rsidR="00CB21A6" w:rsidRPr="005F44E6">
        <w:rPr>
          <w:sz w:val="26"/>
          <w:szCs w:val="26"/>
          <w:lang w:val="lt-LT"/>
        </w:rPr>
        <w:t xml:space="preserve"> Esant statistiškai patikimai koreliacijai, ry</w:t>
      </w:r>
      <w:r w:rsidR="00222CD6" w:rsidRPr="005F44E6">
        <w:rPr>
          <w:sz w:val="26"/>
          <w:szCs w:val="26"/>
          <w:lang w:val="lt-LT"/>
        </w:rPr>
        <w:t>šio stiprumas vertinamas pagal koreliacijos koeficiento (</w:t>
      </w:r>
      <w:r w:rsidR="00222CD6" w:rsidRPr="005F44E6">
        <w:rPr>
          <w:i/>
          <w:sz w:val="26"/>
          <w:szCs w:val="26"/>
          <w:lang w:val="lt-LT"/>
        </w:rPr>
        <w:t>r</w:t>
      </w:r>
      <w:r w:rsidR="00222CD6" w:rsidRPr="005F44E6">
        <w:rPr>
          <w:i/>
          <w:sz w:val="26"/>
          <w:szCs w:val="26"/>
          <w:vertAlign w:val="subscript"/>
          <w:lang w:val="lt-LT"/>
        </w:rPr>
        <w:t>s</w:t>
      </w:r>
      <w:r w:rsidR="00222CD6" w:rsidRPr="005F44E6">
        <w:rPr>
          <w:sz w:val="26"/>
          <w:szCs w:val="26"/>
          <w:lang w:val="lt-LT"/>
        </w:rPr>
        <w:t xml:space="preserve">) reikšmę. </w:t>
      </w:r>
      <w:r w:rsidR="00CB21A6" w:rsidRPr="005F44E6">
        <w:rPr>
          <w:sz w:val="26"/>
          <w:szCs w:val="26"/>
          <w:lang w:val="lt-LT"/>
        </w:rPr>
        <w:t xml:space="preserve">Kai: 1) </w:t>
      </w:r>
      <w:r w:rsidR="00CB21A6" w:rsidRPr="005F44E6">
        <w:rPr>
          <w:i/>
          <w:sz w:val="26"/>
          <w:szCs w:val="26"/>
          <w:lang w:val="lt-LT"/>
        </w:rPr>
        <w:t>r</w:t>
      </w:r>
      <w:r w:rsidR="00CB21A6" w:rsidRPr="005F44E6">
        <w:rPr>
          <w:i/>
          <w:sz w:val="26"/>
          <w:szCs w:val="26"/>
          <w:vertAlign w:val="subscript"/>
          <w:lang w:val="lt-LT"/>
        </w:rPr>
        <w:t>s</w:t>
      </w:r>
      <w:r w:rsidR="00CB21A6" w:rsidRPr="005F44E6">
        <w:rPr>
          <w:sz w:val="26"/>
          <w:szCs w:val="26"/>
          <w:lang w:val="lt-LT"/>
        </w:rPr>
        <w:t xml:space="preserve"> ≤ 0,1 laikoma, kad ryšys yra labai silpnas; 2) 0,1 &lt;</w:t>
      </w:r>
      <w:r w:rsidR="00CB21A6" w:rsidRPr="005F44E6">
        <w:rPr>
          <w:i/>
          <w:sz w:val="26"/>
          <w:szCs w:val="26"/>
          <w:lang w:val="lt-LT"/>
        </w:rPr>
        <w:t>r</w:t>
      </w:r>
      <w:r w:rsidR="00CB21A6" w:rsidRPr="005F44E6">
        <w:rPr>
          <w:i/>
          <w:sz w:val="26"/>
          <w:szCs w:val="26"/>
          <w:vertAlign w:val="subscript"/>
          <w:lang w:val="lt-LT"/>
        </w:rPr>
        <w:t xml:space="preserve">s </w:t>
      </w:r>
      <w:r w:rsidR="00CB21A6" w:rsidRPr="005F44E6">
        <w:rPr>
          <w:sz w:val="26"/>
          <w:szCs w:val="26"/>
          <w:lang w:val="lt-LT"/>
        </w:rPr>
        <w:t xml:space="preserve">≤ 0,4 – ryšys silpnas; 3) 0,4&lt; </w:t>
      </w:r>
      <w:r w:rsidR="00CB21A6" w:rsidRPr="005F44E6">
        <w:rPr>
          <w:i/>
          <w:sz w:val="26"/>
          <w:szCs w:val="26"/>
          <w:lang w:val="lt-LT"/>
        </w:rPr>
        <w:t>r</w:t>
      </w:r>
      <w:r w:rsidR="00CB21A6" w:rsidRPr="005F44E6">
        <w:rPr>
          <w:i/>
          <w:sz w:val="26"/>
          <w:szCs w:val="26"/>
          <w:vertAlign w:val="subscript"/>
          <w:lang w:val="lt-LT"/>
        </w:rPr>
        <w:t xml:space="preserve">s </w:t>
      </w:r>
      <w:r w:rsidR="00CB21A6" w:rsidRPr="005F44E6">
        <w:rPr>
          <w:sz w:val="26"/>
          <w:szCs w:val="26"/>
          <w:lang w:val="lt-LT"/>
        </w:rPr>
        <w:t xml:space="preserve">≤ 0,6 – ryšio stiprumas vidutinis; 4) 0,6 &lt; </w:t>
      </w:r>
      <w:r w:rsidR="00CB21A6" w:rsidRPr="005F44E6">
        <w:rPr>
          <w:i/>
          <w:sz w:val="26"/>
          <w:szCs w:val="26"/>
          <w:lang w:val="lt-LT"/>
        </w:rPr>
        <w:t>r</w:t>
      </w:r>
      <w:r w:rsidR="00CB21A6" w:rsidRPr="005F44E6">
        <w:rPr>
          <w:i/>
          <w:sz w:val="26"/>
          <w:szCs w:val="26"/>
          <w:vertAlign w:val="subscript"/>
          <w:lang w:val="lt-LT"/>
        </w:rPr>
        <w:t>s</w:t>
      </w:r>
      <w:r w:rsidR="00CB21A6" w:rsidRPr="005F44E6">
        <w:rPr>
          <w:sz w:val="26"/>
          <w:szCs w:val="26"/>
          <w:lang w:val="lt-LT"/>
        </w:rPr>
        <w:t xml:space="preserve"> ≤ 0,8 – ryšys stiprus; 5) </w:t>
      </w:r>
      <w:r w:rsidR="00CB21A6" w:rsidRPr="005F44E6">
        <w:rPr>
          <w:i/>
          <w:sz w:val="26"/>
          <w:szCs w:val="26"/>
          <w:lang w:val="lt-LT"/>
        </w:rPr>
        <w:t>r</w:t>
      </w:r>
      <w:r w:rsidR="00CB21A6" w:rsidRPr="005F44E6">
        <w:rPr>
          <w:i/>
          <w:sz w:val="26"/>
          <w:szCs w:val="26"/>
          <w:vertAlign w:val="subscript"/>
          <w:lang w:val="lt-LT"/>
        </w:rPr>
        <w:t>s</w:t>
      </w:r>
      <w:r w:rsidR="00CB21A6" w:rsidRPr="005F44E6">
        <w:rPr>
          <w:sz w:val="26"/>
          <w:szCs w:val="26"/>
          <w:lang w:val="lt-LT"/>
        </w:rPr>
        <w:t xml:space="preserve"> &gt; 0,8 – ryšys labai stiprus.</w:t>
      </w:r>
    </w:p>
    <w:p w:rsidR="00B8501E" w:rsidRPr="005F44E6" w:rsidRDefault="00740AE5" w:rsidP="00B8501E">
      <w:pPr>
        <w:spacing w:line="360" w:lineRule="auto"/>
        <w:ind w:firstLine="720"/>
        <w:jc w:val="both"/>
        <w:rPr>
          <w:sz w:val="26"/>
          <w:szCs w:val="26"/>
          <w:lang w:val="lt-LT"/>
        </w:rPr>
      </w:pPr>
      <w:r w:rsidRPr="005F44E6">
        <w:rPr>
          <w:i/>
          <w:sz w:val="26"/>
          <w:szCs w:val="26"/>
          <w:u w:val="single"/>
          <w:lang w:val="lt-LT"/>
        </w:rPr>
        <w:t xml:space="preserve">Tyrimo </w:t>
      </w:r>
      <w:r w:rsidR="004059EC" w:rsidRPr="005F44E6">
        <w:rPr>
          <w:i/>
          <w:sz w:val="26"/>
          <w:szCs w:val="26"/>
          <w:u w:val="single"/>
          <w:lang w:val="lt-LT"/>
        </w:rPr>
        <w:t>imtis</w:t>
      </w:r>
      <w:r w:rsidRPr="005F44E6">
        <w:rPr>
          <w:i/>
          <w:sz w:val="26"/>
          <w:szCs w:val="26"/>
          <w:u w:val="single"/>
          <w:lang w:val="lt-LT"/>
        </w:rPr>
        <w:t>.</w:t>
      </w:r>
      <w:r w:rsidRPr="005F44E6">
        <w:rPr>
          <w:sz w:val="26"/>
          <w:szCs w:val="26"/>
          <w:lang w:val="lt-LT"/>
        </w:rPr>
        <w:t xml:space="preserve"> </w:t>
      </w:r>
      <w:r w:rsidR="00B8501E" w:rsidRPr="005F44E6">
        <w:rPr>
          <w:sz w:val="26"/>
          <w:szCs w:val="26"/>
          <w:lang w:val="lt-LT"/>
        </w:rPr>
        <w:t>200</w:t>
      </w:r>
      <w:r w:rsidR="00F810F2" w:rsidRPr="005F44E6">
        <w:rPr>
          <w:sz w:val="26"/>
          <w:szCs w:val="26"/>
          <w:lang w:val="lt-LT"/>
        </w:rPr>
        <w:t>8</w:t>
      </w:r>
      <w:r w:rsidR="00B8501E" w:rsidRPr="005F44E6">
        <w:rPr>
          <w:sz w:val="26"/>
          <w:szCs w:val="26"/>
          <w:lang w:val="lt-LT"/>
        </w:rPr>
        <w:t xml:space="preserve"> m. </w:t>
      </w:r>
      <w:r w:rsidR="00F810F2" w:rsidRPr="005F44E6">
        <w:rPr>
          <w:sz w:val="26"/>
          <w:szCs w:val="26"/>
          <w:lang w:val="lt-LT"/>
        </w:rPr>
        <w:t>spalio mėn.</w:t>
      </w:r>
      <w:r w:rsidR="00B8501E" w:rsidRPr="005F44E6">
        <w:rPr>
          <w:sz w:val="26"/>
          <w:szCs w:val="26"/>
          <w:lang w:val="lt-LT"/>
        </w:rPr>
        <w:t xml:space="preserve"> buvo išplatinta </w:t>
      </w:r>
      <w:r w:rsidR="00F810F2" w:rsidRPr="005F44E6">
        <w:rPr>
          <w:sz w:val="26"/>
          <w:szCs w:val="26"/>
          <w:lang w:val="lt-LT"/>
        </w:rPr>
        <w:t>30</w:t>
      </w:r>
      <w:r w:rsidR="00B8501E" w:rsidRPr="005F44E6">
        <w:rPr>
          <w:sz w:val="26"/>
          <w:szCs w:val="26"/>
          <w:lang w:val="lt-LT"/>
        </w:rPr>
        <w:t xml:space="preserve"> anketų, iš jų </w:t>
      </w:r>
      <w:r w:rsidR="00B00F3F" w:rsidRPr="005F44E6">
        <w:rPr>
          <w:sz w:val="26"/>
          <w:szCs w:val="26"/>
          <w:lang w:val="lt-LT"/>
        </w:rPr>
        <w:t>8</w:t>
      </w:r>
      <w:r w:rsidR="00F810F2" w:rsidRPr="005F44E6">
        <w:rPr>
          <w:sz w:val="26"/>
          <w:szCs w:val="26"/>
          <w:lang w:val="lt-LT"/>
        </w:rPr>
        <w:t xml:space="preserve"> respondentai visai neatsakė, </w:t>
      </w:r>
      <w:r w:rsidR="00B8501E" w:rsidRPr="005F44E6">
        <w:rPr>
          <w:sz w:val="26"/>
          <w:szCs w:val="26"/>
          <w:lang w:val="lt-LT"/>
        </w:rPr>
        <w:t>2</w:t>
      </w:r>
      <w:r w:rsidR="00B00F3F" w:rsidRPr="005F44E6">
        <w:rPr>
          <w:sz w:val="26"/>
          <w:szCs w:val="26"/>
          <w:lang w:val="lt-LT"/>
        </w:rPr>
        <w:t>2</w:t>
      </w:r>
      <w:r w:rsidR="00B8501E" w:rsidRPr="005F44E6">
        <w:rPr>
          <w:sz w:val="26"/>
          <w:szCs w:val="26"/>
          <w:lang w:val="lt-LT"/>
        </w:rPr>
        <w:t xml:space="preserve"> grąžint</w:t>
      </w:r>
      <w:r w:rsidR="00F810F2" w:rsidRPr="005F44E6">
        <w:rPr>
          <w:sz w:val="26"/>
          <w:szCs w:val="26"/>
          <w:lang w:val="lt-LT"/>
        </w:rPr>
        <w:t>a</w:t>
      </w:r>
      <w:r w:rsidR="00B8501E" w:rsidRPr="005F44E6">
        <w:rPr>
          <w:sz w:val="26"/>
          <w:szCs w:val="26"/>
          <w:lang w:val="lt-LT"/>
        </w:rPr>
        <w:t xml:space="preserve">. </w:t>
      </w:r>
      <w:r w:rsidR="00DD27A4" w:rsidRPr="005F44E6">
        <w:rPr>
          <w:sz w:val="26"/>
          <w:szCs w:val="26"/>
          <w:lang w:val="lt-LT"/>
        </w:rPr>
        <w:t>Todėl a</w:t>
      </w:r>
      <w:r w:rsidR="004059EC" w:rsidRPr="005F44E6">
        <w:rPr>
          <w:sz w:val="26"/>
          <w:szCs w:val="26"/>
          <w:lang w:val="lt-LT"/>
        </w:rPr>
        <w:t>tsakymo lygis</w:t>
      </w:r>
      <w:r w:rsidR="00827464" w:rsidRPr="005F44E6">
        <w:rPr>
          <w:sz w:val="26"/>
          <w:szCs w:val="26"/>
          <w:lang w:val="lt-LT"/>
        </w:rPr>
        <w:t>, apskaičiuojamas kaip atsakiusių respondentų skaičiaus ir visų parinktų respondentų skaičiaus santykis</w:t>
      </w:r>
      <w:r w:rsidR="004059EC" w:rsidRPr="005F44E6">
        <w:rPr>
          <w:sz w:val="26"/>
          <w:szCs w:val="26"/>
          <w:lang w:val="lt-LT"/>
        </w:rPr>
        <w:t xml:space="preserve"> </w:t>
      </w:r>
      <w:r w:rsidR="00DD27A4" w:rsidRPr="005F44E6">
        <w:rPr>
          <w:sz w:val="26"/>
          <w:szCs w:val="26"/>
          <w:lang w:val="lt-LT"/>
        </w:rPr>
        <w:t xml:space="preserve">(Čekanavičius, Murauskas, 2008, p. 15) </w:t>
      </w:r>
      <w:r w:rsidR="004059EC" w:rsidRPr="005F44E6">
        <w:rPr>
          <w:sz w:val="26"/>
          <w:szCs w:val="26"/>
          <w:lang w:val="lt-LT"/>
        </w:rPr>
        <w:t>lygus 0,73</w:t>
      </w:r>
      <w:r w:rsidR="00DD27A4" w:rsidRPr="005F44E6">
        <w:rPr>
          <w:sz w:val="26"/>
          <w:szCs w:val="26"/>
          <w:lang w:val="lt-LT"/>
        </w:rPr>
        <w:t>, o sistemingoji paklaida nėra didelė.</w:t>
      </w:r>
      <w:r w:rsidR="004059EC" w:rsidRPr="005F44E6">
        <w:rPr>
          <w:sz w:val="26"/>
          <w:szCs w:val="26"/>
          <w:lang w:val="lt-LT"/>
        </w:rPr>
        <w:t xml:space="preserve"> </w:t>
      </w:r>
      <w:r w:rsidR="00B8501E" w:rsidRPr="005F44E6">
        <w:rPr>
          <w:sz w:val="26"/>
          <w:szCs w:val="26"/>
          <w:lang w:val="lt-LT"/>
        </w:rPr>
        <w:t>Atsižvelg</w:t>
      </w:r>
      <w:r w:rsidR="00827464" w:rsidRPr="005F44E6">
        <w:rPr>
          <w:sz w:val="26"/>
          <w:szCs w:val="26"/>
          <w:lang w:val="lt-LT"/>
        </w:rPr>
        <w:t xml:space="preserve">iant </w:t>
      </w:r>
      <w:r w:rsidR="00B8501E" w:rsidRPr="005F44E6">
        <w:rPr>
          <w:sz w:val="26"/>
          <w:szCs w:val="26"/>
          <w:lang w:val="lt-LT"/>
        </w:rPr>
        <w:t xml:space="preserve">į tai, </w:t>
      </w:r>
      <w:r w:rsidR="00827464" w:rsidRPr="005F44E6">
        <w:rPr>
          <w:sz w:val="26"/>
          <w:szCs w:val="26"/>
          <w:lang w:val="lt-LT"/>
        </w:rPr>
        <w:t xml:space="preserve">tolesnei duomenų </w:t>
      </w:r>
      <w:r w:rsidR="00B8501E" w:rsidRPr="005F44E6">
        <w:rPr>
          <w:sz w:val="26"/>
          <w:szCs w:val="26"/>
          <w:lang w:val="lt-LT"/>
        </w:rPr>
        <w:t>analizei atrinkt</w:t>
      </w:r>
      <w:r w:rsidR="00DD27A4" w:rsidRPr="005F44E6">
        <w:rPr>
          <w:sz w:val="26"/>
          <w:szCs w:val="26"/>
          <w:lang w:val="lt-LT"/>
        </w:rPr>
        <w:t>os</w:t>
      </w:r>
      <w:r w:rsidR="00B8501E" w:rsidRPr="005F44E6">
        <w:rPr>
          <w:sz w:val="26"/>
          <w:szCs w:val="26"/>
          <w:lang w:val="lt-LT"/>
        </w:rPr>
        <w:t xml:space="preserve"> 2</w:t>
      </w:r>
      <w:r w:rsidR="00B00F3F" w:rsidRPr="005F44E6">
        <w:rPr>
          <w:sz w:val="26"/>
          <w:szCs w:val="26"/>
          <w:lang w:val="lt-LT"/>
        </w:rPr>
        <w:t>2</w:t>
      </w:r>
      <w:r w:rsidR="00B8501E" w:rsidRPr="005F44E6">
        <w:rPr>
          <w:sz w:val="26"/>
          <w:szCs w:val="26"/>
          <w:lang w:val="lt-LT"/>
        </w:rPr>
        <w:t xml:space="preserve"> anket</w:t>
      </w:r>
      <w:r w:rsidR="00AB4510" w:rsidRPr="005F44E6">
        <w:rPr>
          <w:sz w:val="26"/>
          <w:szCs w:val="26"/>
          <w:lang w:val="lt-LT"/>
        </w:rPr>
        <w:t>os</w:t>
      </w:r>
      <w:r w:rsidR="00B8501E" w:rsidRPr="005F44E6">
        <w:rPr>
          <w:sz w:val="26"/>
          <w:szCs w:val="26"/>
          <w:lang w:val="lt-LT"/>
        </w:rPr>
        <w:t>.</w:t>
      </w:r>
      <w:r w:rsidR="00F810F2" w:rsidRPr="005F44E6">
        <w:rPr>
          <w:sz w:val="26"/>
          <w:szCs w:val="26"/>
          <w:lang w:val="lt-LT"/>
        </w:rPr>
        <w:t xml:space="preserve"> </w:t>
      </w:r>
      <w:r w:rsidR="00B8501E" w:rsidRPr="005F44E6">
        <w:rPr>
          <w:sz w:val="26"/>
          <w:szCs w:val="26"/>
          <w:lang w:val="lt-LT"/>
        </w:rPr>
        <w:t xml:space="preserve">Kadangi </w:t>
      </w:r>
      <w:r w:rsidR="00F810F2" w:rsidRPr="005F44E6">
        <w:rPr>
          <w:sz w:val="26"/>
          <w:szCs w:val="26"/>
          <w:lang w:val="lt-LT"/>
        </w:rPr>
        <w:t xml:space="preserve">šis anketų skaičius </w:t>
      </w:r>
      <w:r w:rsidR="001A052A" w:rsidRPr="005F44E6">
        <w:rPr>
          <w:sz w:val="26"/>
          <w:szCs w:val="26"/>
          <w:lang w:val="lt-LT"/>
        </w:rPr>
        <w:t xml:space="preserve">atitinka </w:t>
      </w:r>
      <w:r w:rsidR="00F810F2" w:rsidRPr="005F44E6">
        <w:rPr>
          <w:sz w:val="26"/>
          <w:szCs w:val="26"/>
          <w:lang w:val="lt-LT"/>
        </w:rPr>
        <w:t>minimalų atrankos dydį, tai tyrimo re</w:t>
      </w:r>
      <w:r w:rsidR="00B8501E" w:rsidRPr="005F44E6">
        <w:rPr>
          <w:sz w:val="26"/>
          <w:szCs w:val="26"/>
          <w:lang w:val="lt-LT"/>
        </w:rPr>
        <w:t>zultatus ga</w:t>
      </w:r>
      <w:r w:rsidR="00F810F2" w:rsidRPr="005F44E6">
        <w:rPr>
          <w:sz w:val="26"/>
          <w:szCs w:val="26"/>
          <w:lang w:val="lt-LT"/>
        </w:rPr>
        <w:t>lima laikyti reprezentatyviais.</w:t>
      </w:r>
      <w:r w:rsidR="00B713CF" w:rsidRPr="005F44E6">
        <w:rPr>
          <w:sz w:val="26"/>
          <w:szCs w:val="26"/>
          <w:lang w:val="lt-LT"/>
        </w:rPr>
        <w:t xml:space="preserve"> Jie gauti su </w:t>
      </w:r>
      <w:r w:rsidR="001A052A" w:rsidRPr="005F44E6">
        <w:rPr>
          <w:sz w:val="26"/>
          <w:szCs w:val="26"/>
          <w:lang w:val="lt-LT"/>
        </w:rPr>
        <w:t>95</w:t>
      </w:r>
      <w:r w:rsidR="00B713CF" w:rsidRPr="005F44E6">
        <w:rPr>
          <w:sz w:val="26"/>
          <w:szCs w:val="26"/>
          <w:lang w:val="lt-LT"/>
        </w:rPr>
        <w:t xml:space="preserve"> proc. tikimybe bei </w:t>
      </w:r>
      <w:r w:rsidR="001A052A" w:rsidRPr="005F44E6">
        <w:rPr>
          <w:sz w:val="26"/>
          <w:szCs w:val="26"/>
          <w:lang w:val="lt-LT"/>
        </w:rPr>
        <w:t>20</w:t>
      </w:r>
      <w:r w:rsidR="00B713CF" w:rsidRPr="005F44E6">
        <w:rPr>
          <w:sz w:val="26"/>
          <w:szCs w:val="26"/>
          <w:lang w:val="lt-LT"/>
        </w:rPr>
        <w:t xml:space="preserve"> proc. paklaida.</w:t>
      </w:r>
    </w:p>
    <w:p w:rsidR="00B8501E" w:rsidRPr="005F44E6" w:rsidRDefault="00B8501E" w:rsidP="00AE0DA9">
      <w:pPr>
        <w:spacing w:line="360" w:lineRule="auto"/>
        <w:ind w:firstLine="720"/>
        <w:jc w:val="both"/>
        <w:rPr>
          <w:sz w:val="26"/>
          <w:szCs w:val="26"/>
          <w:lang w:val="lt-LT"/>
        </w:rPr>
      </w:pPr>
      <w:r w:rsidRPr="005F44E6">
        <w:rPr>
          <w:i/>
          <w:sz w:val="26"/>
          <w:szCs w:val="26"/>
          <w:u w:val="single"/>
          <w:lang w:val="lt-LT"/>
        </w:rPr>
        <w:t>Surinktų duomenų analizė.</w:t>
      </w:r>
      <w:r w:rsidRPr="005F44E6">
        <w:rPr>
          <w:sz w:val="26"/>
          <w:szCs w:val="26"/>
          <w:lang w:val="lt-LT"/>
        </w:rPr>
        <w:t xml:space="preserve"> Nagrinėjant atsakymus </w:t>
      </w:r>
      <w:r w:rsidR="006F0C8B" w:rsidRPr="005F44E6">
        <w:rPr>
          <w:sz w:val="26"/>
          <w:szCs w:val="26"/>
          <w:lang w:val="lt-LT"/>
        </w:rPr>
        <w:t xml:space="preserve">apie </w:t>
      </w:r>
      <w:r w:rsidR="004A1839" w:rsidRPr="005F44E6">
        <w:rPr>
          <w:sz w:val="26"/>
          <w:szCs w:val="26"/>
          <w:lang w:val="lt-LT"/>
        </w:rPr>
        <w:t>sukaupt</w:t>
      </w:r>
      <w:r w:rsidR="007F2DAA" w:rsidRPr="005F44E6">
        <w:rPr>
          <w:sz w:val="26"/>
          <w:szCs w:val="26"/>
          <w:lang w:val="lt-LT"/>
        </w:rPr>
        <w:t xml:space="preserve">ą </w:t>
      </w:r>
      <w:r w:rsidRPr="005F44E6">
        <w:rPr>
          <w:sz w:val="26"/>
          <w:szCs w:val="26"/>
          <w:lang w:val="lt-LT"/>
        </w:rPr>
        <w:t>auditori</w:t>
      </w:r>
      <w:r w:rsidR="006F0C8B" w:rsidRPr="005F44E6">
        <w:rPr>
          <w:sz w:val="26"/>
          <w:szCs w:val="26"/>
          <w:lang w:val="lt-LT"/>
        </w:rPr>
        <w:t>aus darbo patirtį atliekant auditus nustatyta</w:t>
      </w:r>
      <w:r w:rsidRPr="005F44E6">
        <w:rPr>
          <w:sz w:val="26"/>
          <w:szCs w:val="26"/>
          <w:lang w:val="lt-LT"/>
        </w:rPr>
        <w:t xml:space="preserve">, kad </w:t>
      </w:r>
      <w:r w:rsidR="00B00F3F" w:rsidRPr="005F44E6">
        <w:rPr>
          <w:sz w:val="26"/>
          <w:szCs w:val="26"/>
          <w:lang w:val="lt-LT"/>
        </w:rPr>
        <w:t>81,8</w:t>
      </w:r>
      <w:r w:rsidRPr="005F44E6">
        <w:rPr>
          <w:sz w:val="26"/>
          <w:szCs w:val="26"/>
          <w:lang w:val="lt-LT"/>
        </w:rPr>
        <w:t xml:space="preserve"> proc. apklaustųjų auditorių </w:t>
      </w:r>
      <w:r w:rsidR="002B3E72" w:rsidRPr="005F44E6">
        <w:rPr>
          <w:sz w:val="26"/>
          <w:szCs w:val="26"/>
          <w:lang w:val="lt-LT"/>
        </w:rPr>
        <w:t>atlieka auditus daugiau</w:t>
      </w:r>
      <w:r w:rsidRPr="005F44E6">
        <w:rPr>
          <w:sz w:val="26"/>
          <w:szCs w:val="26"/>
          <w:lang w:val="lt-LT"/>
        </w:rPr>
        <w:t xml:space="preserve"> nei </w:t>
      </w:r>
      <w:r w:rsidR="00B00F3F" w:rsidRPr="005F44E6">
        <w:rPr>
          <w:sz w:val="26"/>
          <w:szCs w:val="26"/>
          <w:lang w:val="lt-LT"/>
        </w:rPr>
        <w:t>7</w:t>
      </w:r>
      <w:r w:rsidRPr="005F44E6">
        <w:rPr>
          <w:sz w:val="26"/>
          <w:szCs w:val="26"/>
          <w:lang w:val="lt-LT"/>
        </w:rPr>
        <w:t xml:space="preserve"> met</w:t>
      </w:r>
      <w:r w:rsidR="002B3E72" w:rsidRPr="005F44E6">
        <w:rPr>
          <w:sz w:val="26"/>
          <w:szCs w:val="26"/>
          <w:lang w:val="lt-LT"/>
        </w:rPr>
        <w:t>us</w:t>
      </w:r>
      <w:r w:rsidR="00B00F3F" w:rsidRPr="005F44E6">
        <w:rPr>
          <w:sz w:val="26"/>
          <w:szCs w:val="26"/>
          <w:lang w:val="lt-LT"/>
        </w:rPr>
        <w:t xml:space="preserve"> (iš kurių 54,5 proc. d</w:t>
      </w:r>
      <w:r w:rsidR="002B3E72" w:rsidRPr="005F44E6">
        <w:rPr>
          <w:sz w:val="26"/>
          <w:szCs w:val="26"/>
          <w:lang w:val="lt-LT"/>
        </w:rPr>
        <w:t xml:space="preserve">augiau </w:t>
      </w:r>
      <w:r w:rsidR="00B00F3F" w:rsidRPr="005F44E6">
        <w:rPr>
          <w:sz w:val="26"/>
          <w:szCs w:val="26"/>
          <w:lang w:val="lt-LT"/>
        </w:rPr>
        <w:t>nei 11 metų), o 4,5 proc.</w:t>
      </w:r>
      <w:r w:rsidRPr="005F44E6">
        <w:rPr>
          <w:sz w:val="26"/>
          <w:szCs w:val="26"/>
          <w:lang w:val="lt-LT"/>
        </w:rPr>
        <w:t xml:space="preserve"> – </w:t>
      </w:r>
      <w:r w:rsidR="002B3E72" w:rsidRPr="005F44E6">
        <w:rPr>
          <w:sz w:val="26"/>
          <w:szCs w:val="26"/>
          <w:lang w:val="lt-LT"/>
        </w:rPr>
        <w:t xml:space="preserve">turi </w:t>
      </w:r>
      <w:r w:rsidRPr="005F44E6">
        <w:rPr>
          <w:sz w:val="26"/>
          <w:szCs w:val="26"/>
          <w:lang w:val="lt-LT"/>
        </w:rPr>
        <w:t xml:space="preserve">iki </w:t>
      </w:r>
      <w:r w:rsidR="00B00F3F" w:rsidRPr="005F44E6">
        <w:rPr>
          <w:sz w:val="26"/>
          <w:szCs w:val="26"/>
          <w:lang w:val="lt-LT"/>
        </w:rPr>
        <w:t>3</w:t>
      </w:r>
      <w:r w:rsidRPr="005F44E6">
        <w:rPr>
          <w:sz w:val="26"/>
          <w:szCs w:val="26"/>
          <w:lang w:val="lt-LT"/>
        </w:rPr>
        <w:t xml:space="preserve"> metų</w:t>
      </w:r>
      <w:r w:rsidR="002B3E72" w:rsidRPr="005F44E6">
        <w:rPr>
          <w:sz w:val="26"/>
          <w:szCs w:val="26"/>
          <w:lang w:val="lt-LT"/>
        </w:rPr>
        <w:t xml:space="preserve"> auditoriaus darbo patirtį</w:t>
      </w:r>
      <w:r w:rsidRPr="005F44E6">
        <w:rPr>
          <w:sz w:val="26"/>
          <w:szCs w:val="26"/>
          <w:lang w:val="lt-LT"/>
        </w:rPr>
        <w:t xml:space="preserve">. </w:t>
      </w:r>
      <w:r w:rsidR="002B3E72" w:rsidRPr="005F44E6">
        <w:rPr>
          <w:sz w:val="26"/>
          <w:szCs w:val="26"/>
          <w:lang w:val="lt-LT"/>
        </w:rPr>
        <w:t>Be to, 81,8</w:t>
      </w:r>
      <w:r w:rsidR="00BB05DB">
        <w:rPr>
          <w:sz w:val="26"/>
          <w:szCs w:val="26"/>
          <w:lang w:val="lt-LT"/>
        </w:rPr>
        <w:t> </w:t>
      </w:r>
      <w:r w:rsidR="002B3E72" w:rsidRPr="005F44E6">
        <w:rPr>
          <w:sz w:val="26"/>
          <w:szCs w:val="26"/>
          <w:lang w:val="lt-LT"/>
        </w:rPr>
        <w:t>proc. tyrime dalyvavusių auditorių atlieka daugiau nei 10 auditų per metus</w:t>
      </w:r>
      <w:r w:rsidR="007F2DAA" w:rsidRPr="005F44E6">
        <w:rPr>
          <w:sz w:val="26"/>
          <w:szCs w:val="26"/>
          <w:lang w:val="lt-LT"/>
        </w:rPr>
        <w:t xml:space="preserve"> arba </w:t>
      </w:r>
      <w:r w:rsidR="00AE0DA9" w:rsidRPr="005F44E6">
        <w:rPr>
          <w:sz w:val="26"/>
          <w:szCs w:val="26"/>
          <w:lang w:val="lt-LT"/>
        </w:rPr>
        <w:t xml:space="preserve">50 proc. </w:t>
      </w:r>
      <w:r w:rsidR="007F2DAA" w:rsidRPr="005F44E6">
        <w:rPr>
          <w:sz w:val="26"/>
          <w:szCs w:val="26"/>
          <w:lang w:val="lt-LT"/>
        </w:rPr>
        <w:t xml:space="preserve">jų atlieka </w:t>
      </w:r>
      <w:r w:rsidR="00AE0DA9" w:rsidRPr="005F44E6">
        <w:rPr>
          <w:sz w:val="26"/>
          <w:szCs w:val="26"/>
          <w:lang w:val="lt-LT"/>
        </w:rPr>
        <w:t>daugiau nei 20</w:t>
      </w:r>
      <w:r w:rsidR="007F2DAA" w:rsidRPr="005F44E6">
        <w:rPr>
          <w:sz w:val="26"/>
          <w:szCs w:val="26"/>
          <w:lang w:val="lt-LT"/>
        </w:rPr>
        <w:t xml:space="preserve"> auditų per metus</w:t>
      </w:r>
      <w:r w:rsidR="00AE0DA9" w:rsidRPr="005F44E6">
        <w:rPr>
          <w:sz w:val="26"/>
          <w:szCs w:val="26"/>
          <w:lang w:val="lt-LT"/>
        </w:rPr>
        <w:t xml:space="preserve">. </w:t>
      </w:r>
      <w:r w:rsidR="00394D5B" w:rsidRPr="005F44E6">
        <w:rPr>
          <w:sz w:val="26"/>
          <w:szCs w:val="26"/>
          <w:lang w:val="lt-LT"/>
        </w:rPr>
        <w:t>Įdomu tai, kad 36,</w:t>
      </w:r>
      <w:r w:rsidR="002B3E72" w:rsidRPr="005F44E6">
        <w:rPr>
          <w:sz w:val="26"/>
          <w:szCs w:val="26"/>
          <w:lang w:val="lt-LT"/>
        </w:rPr>
        <w:t>4</w:t>
      </w:r>
      <w:r w:rsidR="00BB05DB">
        <w:rPr>
          <w:sz w:val="26"/>
          <w:szCs w:val="26"/>
          <w:lang w:val="lt-LT"/>
        </w:rPr>
        <w:t> </w:t>
      </w:r>
      <w:r w:rsidR="00394D5B" w:rsidRPr="005F44E6">
        <w:rPr>
          <w:sz w:val="26"/>
          <w:szCs w:val="26"/>
          <w:lang w:val="lt-LT"/>
        </w:rPr>
        <w:t xml:space="preserve">proc. apklaustųjų auditorių vadovaujasi tik tarptautiniais audito standartais, 22,7 proc. tik </w:t>
      </w:r>
      <w:r w:rsidRPr="005F44E6">
        <w:rPr>
          <w:sz w:val="26"/>
          <w:szCs w:val="26"/>
          <w:lang w:val="lt-LT"/>
        </w:rPr>
        <w:t xml:space="preserve">nacionaliniais </w:t>
      </w:r>
      <w:r w:rsidR="00394D5B" w:rsidRPr="005F44E6">
        <w:rPr>
          <w:sz w:val="26"/>
          <w:szCs w:val="26"/>
          <w:lang w:val="lt-LT"/>
        </w:rPr>
        <w:t xml:space="preserve">audito </w:t>
      </w:r>
      <w:r w:rsidRPr="005F44E6">
        <w:rPr>
          <w:sz w:val="26"/>
          <w:szCs w:val="26"/>
          <w:lang w:val="lt-LT"/>
        </w:rPr>
        <w:t xml:space="preserve">standartais, </w:t>
      </w:r>
      <w:r w:rsidR="00394D5B" w:rsidRPr="005F44E6">
        <w:rPr>
          <w:sz w:val="26"/>
          <w:szCs w:val="26"/>
          <w:lang w:val="lt-LT"/>
        </w:rPr>
        <w:t xml:space="preserve">o </w:t>
      </w:r>
      <w:r w:rsidR="002B3E72" w:rsidRPr="005F44E6">
        <w:rPr>
          <w:sz w:val="26"/>
          <w:szCs w:val="26"/>
          <w:lang w:val="lt-LT"/>
        </w:rPr>
        <w:t xml:space="preserve">likę 40,9 proc. </w:t>
      </w:r>
      <w:r w:rsidR="007F2DAA" w:rsidRPr="005F44E6">
        <w:rPr>
          <w:sz w:val="26"/>
          <w:szCs w:val="26"/>
          <w:lang w:val="lt-LT"/>
        </w:rPr>
        <w:t xml:space="preserve">vadovaujasi atitinkamu </w:t>
      </w:r>
      <w:r w:rsidR="002B3E72" w:rsidRPr="005F44E6">
        <w:rPr>
          <w:sz w:val="26"/>
          <w:szCs w:val="26"/>
          <w:lang w:val="lt-LT"/>
        </w:rPr>
        <w:t>audito standart</w:t>
      </w:r>
      <w:r w:rsidR="00AE0DA9" w:rsidRPr="005F44E6">
        <w:rPr>
          <w:sz w:val="26"/>
          <w:szCs w:val="26"/>
          <w:lang w:val="lt-LT"/>
        </w:rPr>
        <w:t>ų rinkin</w:t>
      </w:r>
      <w:r w:rsidR="007F2DAA" w:rsidRPr="005F44E6">
        <w:rPr>
          <w:sz w:val="26"/>
          <w:szCs w:val="26"/>
          <w:lang w:val="lt-LT"/>
        </w:rPr>
        <w:t>iu</w:t>
      </w:r>
      <w:r w:rsidR="00AE0DA9" w:rsidRPr="005F44E6">
        <w:rPr>
          <w:sz w:val="26"/>
          <w:szCs w:val="26"/>
          <w:lang w:val="lt-LT"/>
        </w:rPr>
        <w:t xml:space="preserve"> atsižvelgdami į </w:t>
      </w:r>
      <w:r w:rsidR="00CD73A6" w:rsidRPr="005F44E6">
        <w:rPr>
          <w:sz w:val="26"/>
          <w:szCs w:val="26"/>
          <w:lang w:val="lt-LT"/>
        </w:rPr>
        <w:t xml:space="preserve">atitinkamas </w:t>
      </w:r>
      <w:r w:rsidR="002B3E72" w:rsidRPr="005F44E6">
        <w:rPr>
          <w:sz w:val="26"/>
          <w:szCs w:val="26"/>
          <w:lang w:val="lt-LT"/>
        </w:rPr>
        <w:t xml:space="preserve">aplinkybes. </w:t>
      </w:r>
      <w:r w:rsidRPr="005F44E6">
        <w:rPr>
          <w:sz w:val="26"/>
          <w:szCs w:val="26"/>
          <w:lang w:val="lt-LT"/>
        </w:rPr>
        <w:t xml:space="preserve">Todėl galima teigti, kad </w:t>
      </w:r>
      <w:r w:rsidR="00CD73A6" w:rsidRPr="005F44E6">
        <w:rPr>
          <w:sz w:val="26"/>
          <w:szCs w:val="26"/>
          <w:lang w:val="lt-LT"/>
        </w:rPr>
        <w:t>anketinėje a</w:t>
      </w:r>
      <w:r w:rsidRPr="005F44E6">
        <w:rPr>
          <w:sz w:val="26"/>
          <w:szCs w:val="26"/>
          <w:lang w:val="lt-LT"/>
        </w:rPr>
        <w:t>pklaus</w:t>
      </w:r>
      <w:r w:rsidR="00CD73A6" w:rsidRPr="005F44E6">
        <w:rPr>
          <w:sz w:val="26"/>
          <w:szCs w:val="26"/>
          <w:lang w:val="lt-LT"/>
        </w:rPr>
        <w:t xml:space="preserve">oje dalyvavę </w:t>
      </w:r>
      <w:r w:rsidRPr="005F44E6">
        <w:rPr>
          <w:sz w:val="26"/>
          <w:szCs w:val="26"/>
          <w:lang w:val="lt-LT"/>
        </w:rPr>
        <w:t xml:space="preserve">auditoriai </w:t>
      </w:r>
      <w:r w:rsidRPr="005F44E6">
        <w:rPr>
          <w:sz w:val="26"/>
          <w:szCs w:val="26"/>
          <w:lang w:val="lt-LT"/>
        </w:rPr>
        <w:lastRenderedPageBreak/>
        <w:t xml:space="preserve">turi pakankamą darbo patirtį, gerai supranta </w:t>
      </w:r>
      <w:r w:rsidR="00AE0DA9" w:rsidRPr="005F44E6">
        <w:rPr>
          <w:sz w:val="26"/>
          <w:szCs w:val="26"/>
          <w:lang w:val="lt-LT"/>
        </w:rPr>
        <w:t>tyrimo objektą</w:t>
      </w:r>
      <w:r w:rsidRPr="005F44E6">
        <w:rPr>
          <w:sz w:val="26"/>
          <w:szCs w:val="26"/>
          <w:lang w:val="lt-LT"/>
        </w:rPr>
        <w:t xml:space="preserve"> ir </w:t>
      </w:r>
      <w:r w:rsidR="00AE0DA9" w:rsidRPr="005F44E6">
        <w:rPr>
          <w:sz w:val="26"/>
          <w:szCs w:val="26"/>
          <w:lang w:val="lt-LT"/>
        </w:rPr>
        <w:t xml:space="preserve">yra </w:t>
      </w:r>
      <w:r w:rsidR="00B713CF" w:rsidRPr="005F44E6">
        <w:rPr>
          <w:sz w:val="26"/>
          <w:szCs w:val="26"/>
          <w:lang w:val="lt-LT"/>
        </w:rPr>
        <w:t xml:space="preserve">aukštos </w:t>
      </w:r>
      <w:r w:rsidRPr="005F44E6">
        <w:rPr>
          <w:sz w:val="26"/>
          <w:szCs w:val="26"/>
          <w:lang w:val="lt-LT"/>
        </w:rPr>
        <w:t>kvalifik</w:t>
      </w:r>
      <w:r w:rsidR="00B713CF" w:rsidRPr="005F44E6">
        <w:rPr>
          <w:sz w:val="26"/>
          <w:szCs w:val="26"/>
          <w:lang w:val="lt-LT"/>
        </w:rPr>
        <w:t>acijos</w:t>
      </w:r>
      <w:r w:rsidRPr="005F44E6">
        <w:rPr>
          <w:sz w:val="26"/>
          <w:szCs w:val="26"/>
          <w:lang w:val="lt-LT"/>
        </w:rPr>
        <w:t xml:space="preserve">. </w:t>
      </w:r>
    </w:p>
    <w:p w:rsidR="0051190E" w:rsidRPr="005F44E6" w:rsidRDefault="0051190E" w:rsidP="00AE0DA9">
      <w:pPr>
        <w:spacing w:line="360" w:lineRule="auto"/>
        <w:ind w:firstLine="720"/>
        <w:jc w:val="both"/>
        <w:rPr>
          <w:sz w:val="26"/>
          <w:szCs w:val="26"/>
          <w:lang w:val="lt-LT"/>
        </w:rPr>
      </w:pPr>
      <w:r w:rsidRPr="005F44E6">
        <w:rPr>
          <w:sz w:val="26"/>
          <w:szCs w:val="26"/>
          <w:lang w:val="lt-LT"/>
        </w:rPr>
        <w:t>Didžioji dauguma (90,9 proc.) tyrime dalyvavusių auditorių patvirtino audito rizikos vertinimo svarbą atliekant auditą ir tai, kad audito riziką vertina atskirai kiekviename audite</w:t>
      </w:r>
      <w:r w:rsidR="00A54970" w:rsidRPr="005F44E6">
        <w:rPr>
          <w:sz w:val="26"/>
          <w:szCs w:val="26"/>
          <w:lang w:val="lt-LT"/>
        </w:rPr>
        <w:t xml:space="preserve"> (1-2 klausimai)</w:t>
      </w:r>
      <w:r w:rsidRPr="005F44E6">
        <w:rPr>
          <w:sz w:val="26"/>
          <w:szCs w:val="26"/>
          <w:lang w:val="lt-LT"/>
        </w:rPr>
        <w:t xml:space="preserve">. Svarbu tai, kad </w:t>
      </w:r>
      <w:r w:rsidR="0070243A" w:rsidRPr="005F44E6">
        <w:rPr>
          <w:sz w:val="26"/>
          <w:szCs w:val="26"/>
          <w:lang w:val="lt-LT"/>
        </w:rPr>
        <w:t xml:space="preserve">dauguma </w:t>
      </w:r>
      <w:r w:rsidRPr="005F44E6">
        <w:rPr>
          <w:sz w:val="26"/>
          <w:szCs w:val="26"/>
          <w:lang w:val="lt-LT"/>
        </w:rPr>
        <w:t>respondentų pripažino</w:t>
      </w:r>
      <w:r w:rsidR="00C32014" w:rsidRPr="005F44E6">
        <w:rPr>
          <w:sz w:val="26"/>
          <w:szCs w:val="26"/>
          <w:lang w:val="lt-LT"/>
        </w:rPr>
        <w:t xml:space="preserve">, jog </w:t>
      </w:r>
      <w:r w:rsidR="00035845" w:rsidRPr="005F44E6">
        <w:rPr>
          <w:sz w:val="26"/>
          <w:szCs w:val="26"/>
          <w:lang w:val="lt-LT"/>
        </w:rPr>
        <w:t xml:space="preserve">1) </w:t>
      </w:r>
      <w:r w:rsidR="00CD47FC" w:rsidRPr="005F44E6">
        <w:rPr>
          <w:sz w:val="26"/>
          <w:szCs w:val="26"/>
          <w:lang w:val="lt-LT"/>
        </w:rPr>
        <w:t xml:space="preserve">susiduria su </w:t>
      </w:r>
      <w:r w:rsidR="00884A1E">
        <w:rPr>
          <w:sz w:val="26"/>
          <w:szCs w:val="26"/>
          <w:lang w:val="lt-LT"/>
        </w:rPr>
        <w:t>problemomis</w:t>
      </w:r>
      <w:r w:rsidR="00CD47FC" w:rsidRPr="005F44E6">
        <w:rPr>
          <w:sz w:val="26"/>
          <w:szCs w:val="26"/>
          <w:lang w:val="lt-LT"/>
        </w:rPr>
        <w:t xml:space="preserve"> vertindami audito riziką</w:t>
      </w:r>
      <w:r w:rsidR="00C32014" w:rsidRPr="005F44E6">
        <w:rPr>
          <w:sz w:val="26"/>
          <w:szCs w:val="26"/>
          <w:lang w:val="lt-LT"/>
        </w:rPr>
        <w:t xml:space="preserve"> (77,3 proc.)</w:t>
      </w:r>
      <w:r w:rsidR="00A54970" w:rsidRPr="005F44E6">
        <w:rPr>
          <w:sz w:val="26"/>
          <w:szCs w:val="26"/>
          <w:lang w:val="lt-LT"/>
        </w:rPr>
        <w:t xml:space="preserve"> (3 klausimas)</w:t>
      </w:r>
      <w:r w:rsidR="00035845" w:rsidRPr="005F44E6">
        <w:rPr>
          <w:sz w:val="26"/>
          <w:szCs w:val="26"/>
          <w:lang w:val="lt-LT"/>
        </w:rPr>
        <w:t>, 2) nėra lengva įvertinti reikšmingo iškraipymo rizik</w:t>
      </w:r>
      <w:r w:rsidR="00CD73A6" w:rsidRPr="005F44E6">
        <w:rPr>
          <w:sz w:val="26"/>
          <w:szCs w:val="26"/>
          <w:lang w:val="lt-LT"/>
        </w:rPr>
        <w:t>ą</w:t>
      </w:r>
      <w:r w:rsidR="00035845" w:rsidRPr="005F44E6">
        <w:rPr>
          <w:sz w:val="26"/>
          <w:szCs w:val="26"/>
          <w:lang w:val="lt-LT"/>
        </w:rPr>
        <w:t xml:space="preserve"> (įgimtą riziką ir kontrolės riziką)</w:t>
      </w:r>
      <w:r w:rsidR="00CD47FC" w:rsidRPr="005F44E6">
        <w:rPr>
          <w:sz w:val="26"/>
          <w:szCs w:val="26"/>
          <w:lang w:val="lt-LT"/>
        </w:rPr>
        <w:t xml:space="preserve"> </w:t>
      </w:r>
      <w:r w:rsidR="00C32014" w:rsidRPr="005F44E6">
        <w:rPr>
          <w:sz w:val="26"/>
          <w:szCs w:val="26"/>
          <w:lang w:val="lt-LT"/>
        </w:rPr>
        <w:t>(72,7 proc.)</w:t>
      </w:r>
      <w:r w:rsidR="00A54970" w:rsidRPr="005F44E6">
        <w:rPr>
          <w:sz w:val="26"/>
          <w:szCs w:val="26"/>
          <w:lang w:val="lt-LT"/>
        </w:rPr>
        <w:t xml:space="preserve"> (8 klausimas)</w:t>
      </w:r>
      <w:r w:rsidR="00C32014" w:rsidRPr="005F44E6">
        <w:rPr>
          <w:sz w:val="26"/>
          <w:szCs w:val="26"/>
          <w:lang w:val="lt-LT"/>
        </w:rPr>
        <w:t>. Pagrindin</w:t>
      </w:r>
      <w:r w:rsidR="00676BFE" w:rsidRPr="005F44E6">
        <w:rPr>
          <w:sz w:val="26"/>
          <w:szCs w:val="26"/>
          <w:lang w:val="lt-LT"/>
        </w:rPr>
        <w:t xml:space="preserve">iai </w:t>
      </w:r>
      <w:r w:rsidR="00C32014" w:rsidRPr="005F44E6">
        <w:rPr>
          <w:sz w:val="26"/>
          <w:szCs w:val="26"/>
          <w:lang w:val="lt-LT"/>
        </w:rPr>
        <w:t xml:space="preserve">audito rizikos </w:t>
      </w:r>
      <w:r w:rsidR="004E1658" w:rsidRPr="005F44E6">
        <w:rPr>
          <w:sz w:val="26"/>
          <w:szCs w:val="26"/>
          <w:lang w:val="lt-LT"/>
        </w:rPr>
        <w:t xml:space="preserve">vertinimo </w:t>
      </w:r>
      <w:r w:rsidR="00676BFE" w:rsidRPr="005F44E6">
        <w:rPr>
          <w:sz w:val="26"/>
          <w:szCs w:val="26"/>
          <w:lang w:val="lt-LT"/>
        </w:rPr>
        <w:t xml:space="preserve">apribojimai </w:t>
      </w:r>
      <w:r w:rsidR="004E1658" w:rsidRPr="005F44E6">
        <w:rPr>
          <w:sz w:val="26"/>
          <w:szCs w:val="26"/>
          <w:lang w:val="lt-LT"/>
        </w:rPr>
        <w:t xml:space="preserve">yra šio </w:t>
      </w:r>
      <w:r w:rsidR="00F550FA">
        <w:rPr>
          <w:sz w:val="26"/>
          <w:szCs w:val="26"/>
          <w:lang w:val="lt-LT"/>
        </w:rPr>
        <w:t xml:space="preserve">ekonominio </w:t>
      </w:r>
      <w:r w:rsidR="00C32014" w:rsidRPr="005F44E6">
        <w:rPr>
          <w:sz w:val="26"/>
          <w:szCs w:val="26"/>
          <w:lang w:val="lt-LT"/>
        </w:rPr>
        <w:t xml:space="preserve">reiškinio </w:t>
      </w:r>
      <w:r w:rsidR="00F550FA">
        <w:rPr>
          <w:sz w:val="26"/>
          <w:szCs w:val="26"/>
          <w:lang w:val="lt-LT"/>
        </w:rPr>
        <w:t>vertinimo sunkuma</w:t>
      </w:r>
      <w:r w:rsidR="00735CB0">
        <w:rPr>
          <w:sz w:val="26"/>
          <w:szCs w:val="26"/>
          <w:lang w:val="lt-LT"/>
        </w:rPr>
        <w:t>i</w:t>
      </w:r>
      <w:r w:rsidR="00F550FA">
        <w:rPr>
          <w:sz w:val="26"/>
          <w:szCs w:val="26"/>
          <w:lang w:val="lt-LT"/>
        </w:rPr>
        <w:t xml:space="preserve"> </w:t>
      </w:r>
      <w:r w:rsidR="00C32014" w:rsidRPr="005F44E6">
        <w:rPr>
          <w:sz w:val="26"/>
          <w:szCs w:val="26"/>
          <w:lang w:val="lt-LT"/>
        </w:rPr>
        <w:t>ir audituojamos įmonės verslo sudėtingumas</w:t>
      </w:r>
      <w:r w:rsidR="004E1658" w:rsidRPr="005F44E6">
        <w:rPr>
          <w:sz w:val="26"/>
          <w:szCs w:val="26"/>
          <w:lang w:val="lt-LT"/>
        </w:rPr>
        <w:t xml:space="preserve">, </w:t>
      </w:r>
      <w:r w:rsidR="00676BFE" w:rsidRPr="005F44E6">
        <w:rPr>
          <w:sz w:val="26"/>
          <w:szCs w:val="26"/>
          <w:lang w:val="lt-LT"/>
        </w:rPr>
        <w:t xml:space="preserve">o </w:t>
      </w:r>
      <w:r w:rsidR="004E1658" w:rsidRPr="005F44E6">
        <w:rPr>
          <w:sz w:val="26"/>
          <w:szCs w:val="26"/>
          <w:lang w:val="lt-LT"/>
        </w:rPr>
        <w:t>reikšmingo iškraipymo rizik</w:t>
      </w:r>
      <w:r w:rsidR="00CD73A6" w:rsidRPr="005F44E6">
        <w:rPr>
          <w:sz w:val="26"/>
          <w:szCs w:val="26"/>
          <w:lang w:val="lt-LT"/>
        </w:rPr>
        <w:t>os</w:t>
      </w:r>
      <w:r w:rsidR="004E1658" w:rsidRPr="005F44E6">
        <w:rPr>
          <w:sz w:val="26"/>
          <w:szCs w:val="26"/>
          <w:lang w:val="lt-LT"/>
        </w:rPr>
        <w:t xml:space="preserve"> </w:t>
      </w:r>
      <w:r w:rsidR="00676BFE" w:rsidRPr="005F44E6">
        <w:rPr>
          <w:sz w:val="26"/>
          <w:szCs w:val="26"/>
          <w:lang w:val="lt-LT"/>
        </w:rPr>
        <w:t>vertinimą apsunkina j</w:t>
      </w:r>
      <w:r w:rsidR="00CD73A6" w:rsidRPr="005F44E6">
        <w:rPr>
          <w:sz w:val="26"/>
          <w:szCs w:val="26"/>
          <w:lang w:val="lt-LT"/>
        </w:rPr>
        <w:t>ą</w:t>
      </w:r>
      <w:r w:rsidR="00676BFE" w:rsidRPr="005F44E6">
        <w:rPr>
          <w:sz w:val="26"/>
          <w:szCs w:val="26"/>
          <w:lang w:val="lt-LT"/>
        </w:rPr>
        <w:t xml:space="preserve"> lemiančių </w:t>
      </w:r>
      <w:r w:rsidR="00CD73A6" w:rsidRPr="005F44E6">
        <w:rPr>
          <w:sz w:val="26"/>
          <w:szCs w:val="26"/>
          <w:lang w:val="lt-LT"/>
        </w:rPr>
        <w:t>sąlygų</w:t>
      </w:r>
      <w:r w:rsidR="00884A1E">
        <w:rPr>
          <w:sz w:val="26"/>
          <w:szCs w:val="26"/>
          <w:lang w:val="lt-LT"/>
        </w:rPr>
        <w:t xml:space="preserve"> (</w:t>
      </w:r>
      <w:r w:rsidR="004E1658" w:rsidRPr="005F44E6">
        <w:rPr>
          <w:sz w:val="26"/>
          <w:szCs w:val="26"/>
          <w:lang w:val="lt-LT"/>
        </w:rPr>
        <w:t>veiksnių</w:t>
      </w:r>
      <w:r w:rsidR="00884A1E">
        <w:rPr>
          <w:sz w:val="26"/>
          <w:szCs w:val="26"/>
          <w:lang w:val="lt-LT"/>
        </w:rPr>
        <w:t>)</w:t>
      </w:r>
      <w:r w:rsidR="004E1658" w:rsidRPr="005F44E6">
        <w:rPr>
          <w:sz w:val="26"/>
          <w:szCs w:val="26"/>
          <w:lang w:val="lt-LT"/>
        </w:rPr>
        <w:t xml:space="preserve"> </w:t>
      </w:r>
      <w:r w:rsidR="007F2DAA" w:rsidRPr="005F44E6">
        <w:rPr>
          <w:sz w:val="26"/>
          <w:szCs w:val="26"/>
          <w:lang w:val="lt-LT"/>
        </w:rPr>
        <w:t xml:space="preserve">įvairovė </w:t>
      </w:r>
      <w:r w:rsidR="00676BFE" w:rsidRPr="005F44E6">
        <w:rPr>
          <w:sz w:val="26"/>
          <w:szCs w:val="26"/>
          <w:lang w:val="lt-LT"/>
        </w:rPr>
        <w:t xml:space="preserve">bei </w:t>
      </w:r>
      <w:r w:rsidR="004E1658" w:rsidRPr="005F44E6">
        <w:rPr>
          <w:sz w:val="26"/>
          <w:szCs w:val="26"/>
          <w:lang w:val="lt-LT"/>
        </w:rPr>
        <w:t xml:space="preserve">audituojamos įmonės vidaus kontrolės </w:t>
      </w:r>
      <w:r w:rsidR="00CD73A6" w:rsidRPr="005F44E6">
        <w:rPr>
          <w:sz w:val="26"/>
          <w:szCs w:val="26"/>
          <w:lang w:val="lt-LT"/>
        </w:rPr>
        <w:t xml:space="preserve">sistemos </w:t>
      </w:r>
      <w:r w:rsidR="004E1658" w:rsidRPr="005F44E6">
        <w:rPr>
          <w:sz w:val="26"/>
          <w:szCs w:val="26"/>
          <w:lang w:val="lt-LT"/>
        </w:rPr>
        <w:t xml:space="preserve">sudėtingumas, žr. </w:t>
      </w:r>
      <w:r w:rsidR="00981EDB" w:rsidRPr="005F44E6">
        <w:rPr>
          <w:sz w:val="26"/>
          <w:szCs w:val="26"/>
          <w:lang w:val="lt-LT"/>
        </w:rPr>
        <w:t>1</w:t>
      </w:r>
      <w:r w:rsidR="008D1DE4" w:rsidRPr="005F44E6">
        <w:rPr>
          <w:sz w:val="26"/>
          <w:szCs w:val="26"/>
          <w:lang w:val="lt-LT"/>
        </w:rPr>
        <w:t>5</w:t>
      </w:r>
      <w:r w:rsidR="00CD47FC" w:rsidRPr="005F44E6">
        <w:rPr>
          <w:sz w:val="26"/>
          <w:szCs w:val="26"/>
          <w:lang w:val="lt-LT"/>
        </w:rPr>
        <w:t xml:space="preserve"> pav.</w:t>
      </w:r>
      <w:r w:rsidR="00AC7474" w:rsidRPr="005F44E6">
        <w:rPr>
          <w:sz w:val="26"/>
          <w:szCs w:val="26"/>
          <w:lang w:val="lt-LT"/>
        </w:rPr>
        <w:t xml:space="preserve"> </w:t>
      </w:r>
    </w:p>
    <w:p w:rsidR="00E91FD7" w:rsidRPr="00E91FD7" w:rsidRDefault="00676BFE" w:rsidP="00BB05DB">
      <w:pPr>
        <w:spacing w:line="360" w:lineRule="auto"/>
        <w:jc w:val="both"/>
        <w:rPr>
          <w:lang w:val="lt-LT"/>
        </w:rPr>
      </w:pPr>
      <w:r w:rsidRPr="00676BFE">
        <w:rPr>
          <w:b/>
          <w:noProof/>
          <w:color w:val="FF0000"/>
          <w:sz w:val="24"/>
          <w:szCs w:val="24"/>
          <w:lang w:val="lt-LT"/>
        </w:rPr>
        <w:drawing>
          <wp:inline distT="0" distB="0" distL="0" distR="0">
            <wp:extent cx="5343525" cy="3629025"/>
            <wp:effectExtent l="0" t="0" r="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E91FD7" w:rsidRPr="00E91FD7">
        <w:rPr>
          <w:lang w:val="lt-LT"/>
        </w:rPr>
        <w:t xml:space="preserve"> Šaltinis: </w:t>
      </w:r>
      <w:r w:rsidR="00E91FD7">
        <w:rPr>
          <w:lang w:val="lt-LT"/>
        </w:rPr>
        <w:t>s</w:t>
      </w:r>
      <w:r w:rsidR="00E91FD7" w:rsidRPr="00E91FD7">
        <w:rPr>
          <w:lang w:val="lt-LT"/>
        </w:rPr>
        <w:t>ukurta autorės.</w:t>
      </w:r>
    </w:p>
    <w:p w:rsidR="004E1658" w:rsidRPr="00BB05DB" w:rsidRDefault="00981EDB" w:rsidP="00046E55">
      <w:pPr>
        <w:jc w:val="center"/>
        <w:rPr>
          <w:b/>
          <w:sz w:val="26"/>
          <w:szCs w:val="26"/>
          <w:lang w:val="lt-LT"/>
        </w:rPr>
      </w:pPr>
      <w:r w:rsidRPr="00BB05DB">
        <w:rPr>
          <w:b/>
          <w:sz w:val="26"/>
          <w:szCs w:val="26"/>
          <w:lang w:val="lt-LT"/>
        </w:rPr>
        <w:t>1</w:t>
      </w:r>
      <w:r w:rsidR="008D1DE4" w:rsidRPr="00BB05DB">
        <w:rPr>
          <w:b/>
          <w:sz w:val="26"/>
          <w:szCs w:val="26"/>
          <w:lang w:val="lt-LT"/>
        </w:rPr>
        <w:t>5</w:t>
      </w:r>
      <w:r w:rsidR="004E1658" w:rsidRPr="00BB05DB">
        <w:rPr>
          <w:b/>
          <w:sz w:val="26"/>
          <w:szCs w:val="26"/>
          <w:lang w:val="lt-LT"/>
        </w:rPr>
        <w:t xml:space="preserve"> pav. Audito rizikos ir reikšmingo iškraipymo rizik</w:t>
      </w:r>
      <w:r w:rsidR="00676BFE" w:rsidRPr="00BB05DB">
        <w:rPr>
          <w:b/>
          <w:sz w:val="26"/>
          <w:szCs w:val="26"/>
          <w:lang w:val="lt-LT"/>
        </w:rPr>
        <w:t>ų</w:t>
      </w:r>
      <w:r w:rsidR="004E1658" w:rsidRPr="00BB05DB">
        <w:rPr>
          <w:b/>
          <w:sz w:val="26"/>
          <w:szCs w:val="26"/>
          <w:lang w:val="lt-LT"/>
        </w:rPr>
        <w:t xml:space="preserve"> vertinimo apribojimai</w:t>
      </w:r>
    </w:p>
    <w:p w:rsidR="00046E55" w:rsidRPr="005F44E6" w:rsidRDefault="00046E55" w:rsidP="00046E55">
      <w:pPr>
        <w:spacing w:before="240" w:line="360" w:lineRule="auto"/>
        <w:ind w:firstLine="720"/>
        <w:jc w:val="both"/>
        <w:rPr>
          <w:sz w:val="26"/>
          <w:szCs w:val="26"/>
          <w:lang w:val="lt-LT"/>
        </w:rPr>
      </w:pPr>
      <w:r w:rsidRPr="005F44E6">
        <w:rPr>
          <w:sz w:val="26"/>
          <w:szCs w:val="26"/>
          <w:lang w:val="lt-LT"/>
        </w:rPr>
        <w:t xml:space="preserve">Taip pat pastebėtina, kad tam tikra tyrime dalyvavusių auditorių dalis pripažino sukauptos patirties ir žinių stoką (16,7 proc.) bei tinkamos audito </w:t>
      </w:r>
      <w:r w:rsidRPr="005F44E6">
        <w:rPr>
          <w:sz w:val="26"/>
          <w:szCs w:val="26"/>
          <w:lang w:val="lt-LT"/>
        </w:rPr>
        <w:lastRenderedPageBreak/>
        <w:t>atlikimo metodikos neturėjimą (25 proc.). Vertinant pastarojo apribojimo įtaką nustatyta, kad visi tyrime dalyvavę auditoriai turi audito rizikos vertinimo metodiką (6 klausimas), kuri dažniausiai (63,6 proc.) yra LAR platinama metodika. Atsižvelgiant į tai, galima teigti, kad apklausoje dalyvavę auditoriai nemano, kad LAR platinama metodika yra tinkama vertinant audito riziką</w:t>
      </w:r>
      <w:r w:rsidR="00B843A9">
        <w:rPr>
          <w:sz w:val="26"/>
          <w:szCs w:val="26"/>
          <w:lang w:val="lt-LT"/>
        </w:rPr>
        <w:t xml:space="preserve">. Tai parodo problemos buvimą praktinėje veikloje ir </w:t>
      </w:r>
      <w:r w:rsidRPr="005F44E6">
        <w:rPr>
          <w:sz w:val="26"/>
          <w:szCs w:val="26"/>
          <w:lang w:val="lt-LT"/>
        </w:rPr>
        <w:t xml:space="preserve">būtinybę </w:t>
      </w:r>
      <w:r w:rsidR="00B843A9">
        <w:rPr>
          <w:sz w:val="26"/>
          <w:szCs w:val="26"/>
          <w:lang w:val="lt-LT"/>
        </w:rPr>
        <w:t>ją spręsti</w:t>
      </w:r>
      <w:r w:rsidRPr="005F44E6">
        <w:rPr>
          <w:sz w:val="26"/>
          <w:szCs w:val="26"/>
          <w:lang w:val="lt-LT"/>
        </w:rPr>
        <w:t xml:space="preserve">. </w:t>
      </w:r>
    </w:p>
    <w:p w:rsidR="00CD73A6" w:rsidRPr="00BB05DB" w:rsidRDefault="00236B34" w:rsidP="00B843A9">
      <w:pPr>
        <w:spacing w:line="360" w:lineRule="auto"/>
        <w:ind w:firstLine="720"/>
        <w:jc w:val="both"/>
        <w:rPr>
          <w:sz w:val="26"/>
          <w:szCs w:val="26"/>
          <w:lang w:val="lt-LT"/>
        </w:rPr>
      </w:pPr>
      <w:r w:rsidRPr="00BB05DB">
        <w:rPr>
          <w:sz w:val="26"/>
          <w:szCs w:val="26"/>
          <w:lang w:val="lt-LT"/>
        </w:rPr>
        <w:t xml:space="preserve">Tyrimo </w:t>
      </w:r>
      <w:r w:rsidR="009312E0" w:rsidRPr="00BB05DB">
        <w:rPr>
          <w:sz w:val="26"/>
          <w:szCs w:val="26"/>
          <w:lang w:val="lt-LT"/>
        </w:rPr>
        <w:t xml:space="preserve">metu </w:t>
      </w:r>
      <w:r w:rsidR="00DE4C8B" w:rsidRPr="00BB05DB">
        <w:rPr>
          <w:sz w:val="26"/>
          <w:szCs w:val="26"/>
          <w:lang w:val="lt-LT"/>
        </w:rPr>
        <w:t>iš</w:t>
      </w:r>
      <w:r w:rsidR="009312E0" w:rsidRPr="00BB05DB">
        <w:rPr>
          <w:sz w:val="26"/>
          <w:szCs w:val="26"/>
          <w:lang w:val="lt-LT"/>
        </w:rPr>
        <w:t xml:space="preserve">kelti </w:t>
      </w:r>
      <w:r w:rsidRPr="00BB05DB">
        <w:rPr>
          <w:sz w:val="26"/>
          <w:szCs w:val="26"/>
          <w:lang w:val="lt-LT"/>
        </w:rPr>
        <w:t>klausimai apie audito rizikos vertinimo praktiką</w:t>
      </w:r>
      <w:r w:rsidR="009D7999" w:rsidRPr="00BB05DB">
        <w:rPr>
          <w:sz w:val="26"/>
          <w:szCs w:val="26"/>
          <w:lang w:val="lt-LT"/>
        </w:rPr>
        <w:t xml:space="preserve"> (4</w:t>
      </w:r>
      <w:r w:rsidR="00A54970" w:rsidRPr="00BB05DB">
        <w:rPr>
          <w:sz w:val="26"/>
          <w:szCs w:val="26"/>
          <w:lang w:val="lt-LT"/>
        </w:rPr>
        <w:t>,</w:t>
      </w:r>
      <w:r w:rsidR="002C24E1">
        <w:rPr>
          <w:sz w:val="26"/>
          <w:szCs w:val="26"/>
          <w:lang w:val="lt-LT"/>
        </w:rPr>
        <w:t> </w:t>
      </w:r>
      <w:r w:rsidR="00A54970" w:rsidRPr="00BB05DB">
        <w:rPr>
          <w:sz w:val="26"/>
          <w:szCs w:val="26"/>
          <w:lang w:val="lt-LT"/>
        </w:rPr>
        <w:t xml:space="preserve">5, </w:t>
      </w:r>
      <w:r w:rsidR="009D7999" w:rsidRPr="00BB05DB">
        <w:rPr>
          <w:sz w:val="26"/>
          <w:szCs w:val="26"/>
          <w:lang w:val="lt-LT"/>
        </w:rPr>
        <w:t>7</w:t>
      </w:r>
      <w:r w:rsidR="00F87588" w:rsidRPr="00BB05DB">
        <w:rPr>
          <w:sz w:val="26"/>
          <w:szCs w:val="26"/>
          <w:lang w:val="lt-LT"/>
        </w:rPr>
        <w:t xml:space="preserve"> </w:t>
      </w:r>
      <w:r w:rsidR="009D7999" w:rsidRPr="00BB05DB">
        <w:rPr>
          <w:sz w:val="26"/>
          <w:szCs w:val="26"/>
          <w:lang w:val="lt-LT"/>
        </w:rPr>
        <w:t>klausimai)</w:t>
      </w:r>
      <w:r w:rsidRPr="00BB05DB">
        <w:rPr>
          <w:sz w:val="26"/>
          <w:szCs w:val="26"/>
          <w:lang w:val="lt-LT"/>
        </w:rPr>
        <w:t>, atskleidė ši</w:t>
      </w:r>
      <w:r w:rsidR="00B843A9">
        <w:rPr>
          <w:sz w:val="26"/>
          <w:szCs w:val="26"/>
          <w:lang w:val="lt-LT"/>
        </w:rPr>
        <w:t>as</w:t>
      </w:r>
      <w:r w:rsidRPr="00BB05DB">
        <w:rPr>
          <w:sz w:val="26"/>
          <w:szCs w:val="26"/>
          <w:lang w:val="lt-LT"/>
        </w:rPr>
        <w:t xml:space="preserve"> tendenci</w:t>
      </w:r>
      <w:r w:rsidR="00B843A9">
        <w:rPr>
          <w:sz w:val="26"/>
          <w:szCs w:val="26"/>
          <w:lang w:val="lt-LT"/>
        </w:rPr>
        <w:t>jas:</w:t>
      </w:r>
      <w:r w:rsidRPr="00BB05DB">
        <w:rPr>
          <w:sz w:val="26"/>
          <w:szCs w:val="26"/>
          <w:lang w:val="lt-LT"/>
        </w:rPr>
        <w:t xml:space="preserve"> 1) v</w:t>
      </w:r>
      <w:r w:rsidR="00676BFE" w:rsidRPr="00BB05DB">
        <w:rPr>
          <w:sz w:val="26"/>
          <w:szCs w:val="26"/>
          <w:lang w:val="lt-LT"/>
        </w:rPr>
        <w:t xml:space="preserve">isiems tyrime </w:t>
      </w:r>
      <w:r w:rsidR="00AC7474" w:rsidRPr="00BB05DB">
        <w:rPr>
          <w:sz w:val="26"/>
          <w:szCs w:val="26"/>
          <w:lang w:val="lt-LT"/>
        </w:rPr>
        <w:t xml:space="preserve">dalyvavusiems </w:t>
      </w:r>
      <w:r w:rsidR="00676BFE" w:rsidRPr="00BB05DB">
        <w:rPr>
          <w:sz w:val="26"/>
          <w:szCs w:val="26"/>
          <w:lang w:val="lt-LT"/>
        </w:rPr>
        <w:t xml:space="preserve">auditoriams </w:t>
      </w:r>
      <w:r w:rsidR="00676BFE" w:rsidRPr="00BB05DB">
        <w:rPr>
          <w:i/>
          <w:sz w:val="26"/>
          <w:szCs w:val="26"/>
          <w:lang w:val="lt-LT"/>
        </w:rPr>
        <w:t xml:space="preserve">priimtinas </w:t>
      </w:r>
      <w:r w:rsidR="00AC7474" w:rsidRPr="00BB05DB">
        <w:rPr>
          <w:i/>
          <w:sz w:val="26"/>
          <w:szCs w:val="26"/>
          <w:lang w:val="lt-LT"/>
        </w:rPr>
        <w:t>audito rizikos lygis yra iki 10 proc.</w:t>
      </w:r>
      <w:r w:rsidR="00AC7474" w:rsidRPr="00BB05DB">
        <w:rPr>
          <w:sz w:val="26"/>
          <w:szCs w:val="26"/>
          <w:lang w:val="lt-LT"/>
        </w:rPr>
        <w:t>, t. y.</w:t>
      </w:r>
      <w:r w:rsidR="00676BFE" w:rsidRPr="00BB05DB">
        <w:rPr>
          <w:sz w:val="26"/>
          <w:szCs w:val="26"/>
          <w:lang w:val="lt-LT"/>
        </w:rPr>
        <w:t xml:space="preserve"> </w:t>
      </w:r>
      <w:r w:rsidR="00AC7474" w:rsidRPr="00BB05DB">
        <w:rPr>
          <w:sz w:val="26"/>
          <w:szCs w:val="26"/>
          <w:lang w:val="lt-LT"/>
        </w:rPr>
        <w:t>33,3 proc. auditorių priimtiną audito rizikos lygį nustato iki 5 proc., o 66,7</w:t>
      </w:r>
      <w:r w:rsidR="00BB05DB">
        <w:rPr>
          <w:sz w:val="26"/>
          <w:szCs w:val="26"/>
          <w:lang w:val="lt-LT"/>
        </w:rPr>
        <w:t> </w:t>
      </w:r>
      <w:r w:rsidR="00AC7474" w:rsidRPr="00BB05DB">
        <w:rPr>
          <w:sz w:val="26"/>
          <w:szCs w:val="26"/>
          <w:lang w:val="lt-LT"/>
        </w:rPr>
        <w:t>proc. –</w:t>
      </w:r>
      <w:r w:rsidR="00AC7474" w:rsidRPr="00BB05DB">
        <w:rPr>
          <w:sz w:val="26"/>
          <w:szCs w:val="26"/>
        </w:rPr>
        <w:t xml:space="preserve"> </w:t>
      </w:r>
      <w:r w:rsidR="00AC7474" w:rsidRPr="00BB05DB">
        <w:rPr>
          <w:sz w:val="26"/>
          <w:szCs w:val="26"/>
          <w:lang w:val="lt-LT"/>
        </w:rPr>
        <w:t>nuo 5</w:t>
      </w:r>
      <w:r w:rsidR="002C24E1">
        <w:rPr>
          <w:sz w:val="26"/>
          <w:szCs w:val="26"/>
          <w:lang w:val="lt-LT"/>
        </w:rPr>
        <w:t> </w:t>
      </w:r>
      <w:r w:rsidR="00AC7474" w:rsidRPr="00BB05DB">
        <w:rPr>
          <w:sz w:val="26"/>
          <w:szCs w:val="26"/>
          <w:lang w:val="lt-LT"/>
        </w:rPr>
        <w:t>iki 10 proc.</w:t>
      </w:r>
      <w:r w:rsidRPr="00BB05DB">
        <w:rPr>
          <w:sz w:val="26"/>
          <w:szCs w:val="26"/>
          <w:lang w:val="lt-LT"/>
        </w:rPr>
        <w:t>; 2) d</w:t>
      </w:r>
      <w:r w:rsidR="00097CF2" w:rsidRPr="00BB05DB">
        <w:rPr>
          <w:sz w:val="26"/>
          <w:szCs w:val="26"/>
          <w:lang w:val="lt-LT"/>
        </w:rPr>
        <w:t>ažniausiai (83,3 proc.</w:t>
      </w:r>
      <w:r w:rsidRPr="00BB05DB">
        <w:rPr>
          <w:sz w:val="26"/>
          <w:szCs w:val="26"/>
          <w:lang w:val="lt-LT"/>
        </w:rPr>
        <w:t xml:space="preserve"> auditorių</w:t>
      </w:r>
      <w:r w:rsidR="00097CF2" w:rsidRPr="00BB05DB">
        <w:rPr>
          <w:sz w:val="26"/>
          <w:szCs w:val="26"/>
          <w:lang w:val="lt-LT"/>
        </w:rPr>
        <w:t xml:space="preserve">) </w:t>
      </w:r>
      <w:r w:rsidR="00097CF2" w:rsidRPr="00BB05DB">
        <w:rPr>
          <w:i/>
          <w:sz w:val="26"/>
          <w:szCs w:val="26"/>
          <w:lang w:val="lt-LT"/>
        </w:rPr>
        <w:t>audito rizika yra vertinama kokybiška</w:t>
      </w:r>
      <w:r w:rsidRPr="00BB05DB">
        <w:rPr>
          <w:i/>
          <w:sz w:val="26"/>
          <w:szCs w:val="26"/>
          <w:lang w:val="lt-LT"/>
        </w:rPr>
        <w:t>i</w:t>
      </w:r>
      <w:r w:rsidR="00097CF2" w:rsidRPr="00BB05DB">
        <w:rPr>
          <w:sz w:val="26"/>
          <w:szCs w:val="26"/>
          <w:lang w:val="lt-LT"/>
        </w:rPr>
        <w:t>, t. y. didelė, vidutinė, maža</w:t>
      </w:r>
      <w:r w:rsidRPr="00BB05DB">
        <w:rPr>
          <w:sz w:val="26"/>
          <w:szCs w:val="26"/>
          <w:lang w:val="lt-LT"/>
        </w:rPr>
        <w:t xml:space="preserve">; 3) </w:t>
      </w:r>
      <w:r w:rsidR="009312E0" w:rsidRPr="00BB05DB">
        <w:rPr>
          <w:sz w:val="26"/>
          <w:szCs w:val="26"/>
          <w:lang w:val="lt-LT"/>
        </w:rPr>
        <w:t xml:space="preserve">audito metu </w:t>
      </w:r>
      <w:r w:rsidR="009312E0" w:rsidRPr="00BB05DB">
        <w:rPr>
          <w:i/>
          <w:sz w:val="26"/>
          <w:szCs w:val="26"/>
          <w:lang w:val="lt-LT"/>
        </w:rPr>
        <w:t xml:space="preserve">vertinami </w:t>
      </w:r>
      <w:r w:rsidR="009312E0" w:rsidRPr="00BB05DB">
        <w:rPr>
          <w:sz w:val="26"/>
          <w:szCs w:val="26"/>
          <w:lang w:val="lt-LT"/>
        </w:rPr>
        <w:t xml:space="preserve">audito rizikos komponentai – </w:t>
      </w:r>
      <w:r w:rsidR="009312E0" w:rsidRPr="00BB05DB">
        <w:rPr>
          <w:i/>
          <w:sz w:val="26"/>
          <w:szCs w:val="26"/>
          <w:lang w:val="lt-LT"/>
        </w:rPr>
        <w:t>reikšmingo iškraipymo rizika</w:t>
      </w:r>
      <w:r w:rsidR="009312E0" w:rsidRPr="00BB05DB">
        <w:rPr>
          <w:sz w:val="26"/>
          <w:szCs w:val="26"/>
          <w:lang w:val="lt-LT"/>
        </w:rPr>
        <w:t xml:space="preserve"> (100</w:t>
      </w:r>
      <w:r w:rsidR="00BB05DB">
        <w:rPr>
          <w:sz w:val="26"/>
          <w:szCs w:val="26"/>
          <w:lang w:val="lt-LT"/>
        </w:rPr>
        <w:t> </w:t>
      </w:r>
      <w:r w:rsidR="009312E0" w:rsidRPr="00BB05DB">
        <w:rPr>
          <w:sz w:val="26"/>
          <w:szCs w:val="26"/>
          <w:lang w:val="lt-LT"/>
        </w:rPr>
        <w:t>proc.</w:t>
      </w:r>
      <w:r w:rsidR="000D7E37" w:rsidRPr="00BB05DB">
        <w:rPr>
          <w:sz w:val="26"/>
          <w:szCs w:val="26"/>
          <w:lang w:val="lt-LT"/>
        </w:rPr>
        <w:t xml:space="preserve"> auditorių</w:t>
      </w:r>
      <w:r w:rsidR="009312E0" w:rsidRPr="00BB05DB">
        <w:rPr>
          <w:sz w:val="26"/>
          <w:szCs w:val="26"/>
          <w:lang w:val="lt-LT"/>
        </w:rPr>
        <w:t xml:space="preserve">) </w:t>
      </w:r>
      <w:r w:rsidR="009312E0" w:rsidRPr="00BB05DB">
        <w:rPr>
          <w:i/>
          <w:sz w:val="26"/>
          <w:szCs w:val="26"/>
          <w:lang w:val="lt-LT"/>
        </w:rPr>
        <w:t>ir aptikimo rizika</w:t>
      </w:r>
      <w:r w:rsidR="009312E0" w:rsidRPr="00BB05DB">
        <w:rPr>
          <w:sz w:val="26"/>
          <w:szCs w:val="26"/>
          <w:lang w:val="lt-LT"/>
        </w:rPr>
        <w:t xml:space="preserve"> (59 proc.</w:t>
      </w:r>
      <w:r w:rsidR="000D7E37" w:rsidRPr="00BB05DB">
        <w:rPr>
          <w:sz w:val="26"/>
          <w:szCs w:val="26"/>
          <w:lang w:val="lt-LT"/>
        </w:rPr>
        <w:t xml:space="preserve"> auditorių</w:t>
      </w:r>
      <w:r w:rsidR="009312E0" w:rsidRPr="00BB05DB">
        <w:rPr>
          <w:sz w:val="26"/>
          <w:szCs w:val="26"/>
          <w:lang w:val="lt-LT"/>
        </w:rPr>
        <w:t>)</w:t>
      </w:r>
      <w:r w:rsidR="00200B8F" w:rsidRPr="00BB05DB">
        <w:rPr>
          <w:sz w:val="26"/>
          <w:szCs w:val="26"/>
          <w:lang w:val="lt-LT"/>
        </w:rPr>
        <w:t>.</w:t>
      </w:r>
      <w:r w:rsidR="003B23BC" w:rsidRPr="00BB05DB">
        <w:rPr>
          <w:sz w:val="26"/>
          <w:szCs w:val="26"/>
          <w:lang w:val="lt-LT"/>
        </w:rPr>
        <w:t xml:space="preserve"> </w:t>
      </w:r>
    </w:p>
    <w:p w:rsidR="00FA3F12" w:rsidRPr="00BB05DB" w:rsidRDefault="00F33FA9" w:rsidP="00884A1E">
      <w:pPr>
        <w:spacing w:line="360" w:lineRule="auto"/>
        <w:ind w:firstLine="720"/>
        <w:jc w:val="both"/>
        <w:rPr>
          <w:sz w:val="26"/>
          <w:szCs w:val="26"/>
          <w:lang w:val="lt-LT"/>
        </w:rPr>
      </w:pPr>
      <w:r w:rsidRPr="00BB05DB">
        <w:rPr>
          <w:sz w:val="26"/>
          <w:szCs w:val="26"/>
          <w:lang w:val="lt-LT"/>
        </w:rPr>
        <w:t>Siekiant nustatyt</w:t>
      </w:r>
      <w:r w:rsidR="00027463" w:rsidRPr="00BB05DB">
        <w:rPr>
          <w:sz w:val="26"/>
          <w:szCs w:val="26"/>
          <w:lang w:val="lt-LT"/>
        </w:rPr>
        <w:t>i</w:t>
      </w:r>
      <w:r w:rsidRPr="00BB05DB">
        <w:rPr>
          <w:sz w:val="26"/>
          <w:szCs w:val="26"/>
          <w:lang w:val="lt-LT"/>
        </w:rPr>
        <w:t xml:space="preserve">, ar egzistuoja ryšys tarp taikomo priimtino audito rizikos lygio, rizikos vertinimo </w:t>
      </w:r>
      <w:r w:rsidR="00027463" w:rsidRPr="00BB05DB">
        <w:rPr>
          <w:sz w:val="26"/>
          <w:szCs w:val="26"/>
          <w:lang w:val="lt-LT"/>
        </w:rPr>
        <w:t>metodų (kiekybinių, kokybinių)</w:t>
      </w:r>
      <w:r w:rsidRPr="00BB05DB">
        <w:rPr>
          <w:sz w:val="26"/>
          <w:szCs w:val="26"/>
          <w:lang w:val="lt-LT"/>
        </w:rPr>
        <w:t xml:space="preserve"> ir audito rizikos komponentų vertinimo praktikos nuo auditori</w:t>
      </w:r>
      <w:r w:rsidR="00CD73A6" w:rsidRPr="00BB05DB">
        <w:rPr>
          <w:sz w:val="26"/>
          <w:szCs w:val="26"/>
          <w:lang w:val="lt-LT"/>
        </w:rPr>
        <w:t>ų</w:t>
      </w:r>
      <w:r w:rsidRPr="00BB05DB">
        <w:rPr>
          <w:sz w:val="26"/>
          <w:szCs w:val="26"/>
          <w:lang w:val="lt-LT"/>
        </w:rPr>
        <w:t xml:space="preserve"> darbo patirties </w:t>
      </w:r>
      <w:r w:rsidR="00BB5BF2" w:rsidRPr="00BB05DB">
        <w:rPr>
          <w:sz w:val="26"/>
          <w:szCs w:val="26"/>
          <w:lang w:val="lt-LT"/>
        </w:rPr>
        <w:t xml:space="preserve">ir atliekamų </w:t>
      </w:r>
      <w:r w:rsidR="00BB5BF2" w:rsidRPr="000B31F5">
        <w:rPr>
          <w:sz w:val="26"/>
          <w:szCs w:val="26"/>
          <w:lang w:val="lt-LT"/>
        </w:rPr>
        <w:t xml:space="preserve">auditų skaičiaus per metus, apskaičiuotas Spirmeno koreliacijos koeficientas (žr. </w:t>
      </w:r>
      <w:r w:rsidR="00222CD6" w:rsidRPr="000B31F5">
        <w:rPr>
          <w:sz w:val="26"/>
          <w:szCs w:val="26"/>
          <w:lang w:val="lt-LT"/>
        </w:rPr>
        <w:t>9</w:t>
      </w:r>
      <w:r w:rsidRPr="000B31F5">
        <w:rPr>
          <w:sz w:val="26"/>
          <w:szCs w:val="26"/>
          <w:lang w:val="lt-LT"/>
        </w:rPr>
        <w:t xml:space="preserve"> </w:t>
      </w:r>
      <w:r w:rsidR="00BB5BF2" w:rsidRPr="000B31F5">
        <w:rPr>
          <w:sz w:val="26"/>
          <w:szCs w:val="26"/>
          <w:lang w:val="lt-LT"/>
        </w:rPr>
        <w:t xml:space="preserve">priedas). </w:t>
      </w:r>
      <w:r w:rsidR="007B7D7A" w:rsidRPr="000B31F5">
        <w:rPr>
          <w:sz w:val="26"/>
          <w:szCs w:val="26"/>
          <w:lang w:val="lt-LT"/>
        </w:rPr>
        <w:t>Rezu</w:t>
      </w:r>
      <w:r w:rsidR="007B7D7A" w:rsidRPr="00BB05DB">
        <w:rPr>
          <w:sz w:val="26"/>
          <w:szCs w:val="26"/>
          <w:lang w:val="lt-LT"/>
        </w:rPr>
        <w:t xml:space="preserve">ltatai rodo, kad </w:t>
      </w:r>
      <w:r w:rsidR="00027463" w:rsidRPr="00BB05DB">
        <w:rPr>
          <w:sz w:val="26"/>
          <w:szCs w:val="26"/>
          <w:lang w:val="lt-LT"/>
        </w:rPr>
        <w:t>ryšys tarp priimtino rizikos lygio</w:t>
      </w:r>
      <w:r w:rsidR="00FA3F12" w:rsidRPr="00BB05DB">
        <w:rPr>
          <w:sz w:val="26"/>
          <w:szCs w:val="26"/>
          <w:lang w:val="lt-LT"/>
        </w:rPr>
        <w:t>,</w:t>
      </w:r>
      <w:r w:rsidR="00027463" w:rsidRPr="00BB05DB">
        <w:rPr>
          <w:sz w:val="26"/>
          <w:szCs w:val="26"/>
          <w:lang w:val="lt-LT"/>
        </w:rPr>
        <w:t xml:space="preserve"> </w:t>
      </w:r>
      <w:r w:rsidR="00FA3F12" w:rsidRPr="00BB05DB">
        <w:rPr>
          <w:sz w:val="26"/>
          <w:szCs w:val="26"/>
          <w:lang w:val="lt-LT"/>
        </w:rPr>
        <w:t xml:space="preserve">audito rizikos vertinimo metodų </w:t>
      </w:r>
      <w:r w:rsidR="00027463" w:rsidRPr="00BB05DB">
        <w:rPr>
          <w:sz w:val="26"/>
          <w:szCs w:val="26"/>
          <w:lang w:val="lt-LT"/>
        </w:rPr>
        <w:t>ir auditorių darbo patirties bei praktikos</w:t>
      </w:r>
      <w:r w:rsidR="00FA3F12" w:rsidRPr="00BB05DB">
        <w:rPr>
          <w:sz w:val="26"/>
          <w:szCs w:val="26"/>
          <w:lang w:val="lt-LT"/>
        </w:rPr>
        <w:t xml:space="preserve"> yra silpnas. Tačiau </w:t>
      </w:r>
      <w:r w:rsidR="007B7D7A" w:rsidRPr="00BB05DB">
        <w:rPr>
          <w:sz w:val="26"/>
          <w:szCs w:val="26"/>
          <w:lang w:val="lt-LT"/>
        </w:rPr>
        <w:t xml:space="preserve">auditoriai su didesne darbo patirtimi </w:t>
      </w:r>
      <w:r w:rsidR="00A3747F" w:rsidRPr="00BB05DB">
        <w:rPr>
          <w:sz w:val="26"/>
          <w:szCs w:val="26"/>
          <w:lang w:val="lt-LT"/>
        </w:rPr>
        <w:t>dažniau atlieka</w:t>
      </w:r>
      <w:r w:rsidR="00027463" w:rsidRPr="00BB05DB">
        <w:rPr>
          <w:sz w:val="26"/>
          <w:szCs w:val="26"/>
          <w:lang w:val="lt-LT"/>
        </w:rPr>
        <w:t xml:space="preserve"> </w:t>
      </w:r>
      <w:r w:rsidR="007B7D7A" w:rsidRPr="00BB05DB">
        <w:rPr>
          <w:sz w:val="26"/>
          <w:szCs w:val="26"/>
          <w:lang w:val="lt-LT"/>
        </w:rPr>
        <w:t xml:space="preserve">reikšmingo </w:t>
      </w:r>
      <w:r w:rsidR="00027463" w:rsidRPr="00BB05DB">
        <w:rPr>
          <w:sz w:val="26"/>
          <w:szCs w:val="26"/>
          <w:lang w:val="lt-LT"/>
        </w:rPr>
        <w:t>iškraipymo rizik</w:t>
      </w:r>
      <w:r w:rsidR="00A3747F" w:rsidRPr="00BB05DB">
        <w:rPr>
          <w:sz w:val="26"/>
          <w:szCs w:val="26"/>
          <w:lang w:val="lt-LT"/>
        </w:rPr>
        <w:t>os</w:t>
      </w:r>
      <w:r w:rsidR="00FA3F12" w:rsidRPr="00BB05DB">
        <w:rPr>
          <w:sz w:val="26"/>
          <w:szCs w:val="26"/>
          <w:lang w:val="lt-LT"/>
        </w:rPr>
        <w:t xml:space="preserve"> nei </w:t>
      </w:r>
      <w:r w:rsidR="00CD73A6" w:rsidRPr="00BB05DB">
        <w:rPr>
          <w:sz w:val="26"/>
          <w:szCs w:val="26"/>
          <w:lang w:val="lt-LT"/>
        </w:rPr>
        <w:t>a</w:t>
      </w:r>
      <w:r w:rsidR="00A3747F" w:rsidRPr="00BB05DB">
        <w:rPr>
          <w:sz w:val="26"/>
          <w:szCs w:val="26"/>
          <w:lang w:val="lt-LT"/>
        </w:rPr>
        <w:t>ptikimo</w:t>
      </w:r>
      <w:r w:rsidR="00CD73A6" w:rsidRPr="00BB05DB">
        <w:rPr>
          <w:sz w:val="26"/>
          <w:szCs w:val="26"/>
          <w:lang w:val="lt-LT"/>
        </w:rPr>
        <w:t xml:space="preserve"> </w:t>
      </w:r>
      <w:r w:rsidR="00027463" w:rsidRPr="00BB05DB">
        <w:rPr>
          <w:sz w:val="26"/>
          <w:szCs w:val="26"/>
          <w:lang w:val="lt-LT"/>
        </w:rPr>
        <w:t>rizik</w:t>
      </w:r>
      <w:r w:rsidR="00A3747F" w:rsidRPr="00BB05DB">
        <w:rPr>
          <w:sz w:val="26"/>
          <w:szCs w:val="26"/>
          <w:lang w:val="lt-LT"/>
        </w:rPr>
        <w:t>o</w:t>
      </w:r>
      <w:r w:rsidR="00027463" w:rsidRPr="00BB05DB">
        <w:rPr>
          <w:sz w:val="26"/>
          <w:szCs w:val="26"/>
          <w:lang w:val="lt-LT"/>
        </w:rPr>
        <w:t xml:space="preserve">s </w:t>
      </w:r>
      <w:r w:rsidR="00A3747F" w:rsidRPr="00BB05DB">
        <w:rPr>
          <w:sz w:val="26"/>
          <w:szCs w:val="26"/>
          <w:lang w:val="lt-LT"/>
        </w:rPr>
        <w:t xml:space="preserve">vertinimą </w:t>
      </w:r>
      <w:r w:rsidR="00FA3F12" w:rsidRPr="00BB05DB">
        <w:rPr>
          <w:sz w:val="26"/>
          <w:szCs w:val="26"/>
          <w:lang w:val="lt-LT"/>
        </w:rPr>
        <w:t>(r</w:t>
      </w:r>
      <w:r w:rsidR="00FA3F12" w:rsidRPr="00BB05DB">
        <w:rPr>
          <w:sz w:val="26"/>
          <w:szCs w:val="26"/>
          <w:vertAlign w:val="subscript"/>
          <w:lang w:val="lt-LT"/>
        </w:rPr>
        <w:t>s</w:t>
      </w:r>
      <w:r w:rsidR="00FA3F12" w:rsidRPr="00BB05DB">
        <w:rPr>
          <w:sz w:val="26"/>
          <w:szCs w:val="26"/>
          <w:lang w:val="lt-LT"/>
        </w:rPr>
        <w:t xml:space="preserve"> </w:t>
      </w:r>
      <w:r w:rsidR="00FA3F12" w:rsidRPr="00BB05DB">
        <w:rPr>
          <w:sz w:val="26"/>
          <w:szCs w:val="26"/>
          <w:lang w:val="ru-RU"/>
        </w:rPr>
        <w:t xml:space="preserve">= </w:t>
      </w:r>
      <w:r w:rsidR="00FA3F12" w:rsidRPr="00BB05DB">
        <w:rPr>
          <w:sz w:val="26"/>
          <w:szCs w:val="26"/>
          <w:lang w:val="lt-LT"/>
        </w:rPr>
        <w:t>-0,430)</w:t>
      </w:r>
      <w:r w:rsidR="00027463" w:rsidRPr="00BB05DB">
        <w:rPr>
          <w:sz w:val="26"/>
          <w:szCs w:val="26"/>
          <w:lang w:val="lt-LT"/>
        </w:rPr>
        <w:t xml:space="preserve">, o daugiau auditų atliekantys auditoriai </w:t>
      </w:r>
      <w:r w:rsidR="00A3747F" w:rsidRPr="00BB05DB">
        <w:rPr>
          <w:sz w:val="26"/>
          <w:szCs w:val="26"/>
          <w:lang w:val="lt-LT"/>
        </w:rPr>
        <w:t xml:space="preserve">dažniausiai </w:t>
      </w:r>
      <w:r w:rsidR="00027463" w:rsidRPr="00BB05DB">
        <w:rPr>
          <w:sz w:val="26"/>
          <w:szCs w:val="26"/>
          <w:lang w:val="lt-LT"/>
        </w:rPr>
        <w:t xml:space="preserve">vertina abu </w:t>
      </w:r>
      <w:r w:rsidR="00A3747F" w:rsidRPr="00BB05DB">
        <w:rPr>
          <w:sz w:val="26"/>
          <w:szCs w:val="26"/>
          <w:lang w:val="lt-LT"/>
        </w:rPr>
        <w:t xml:space="preserve">minėtus audito rizikos </w:t>
      </w:r>
      <w:r w:rsidR="00027463" w:rsidRPr="00BB05DB">
        <w:rPr>
          <w:sz w:val="26"/>
          <w:szCs w:val="26"/>
          <w:lang w:val="lt-LT"/>
        </w:rPr>
        <w:t>komponentus</w:t>
      </w:r>
      <w:r w:rsidR="00FA3F12" w:rsidRPr="00BB05DB">
        <w:rPr>
          <w:sz w:val="26"/>
          <w:szCs w:val="26"/>
          <w:lang w:val="lt-LT"/>
        </w:rPr>
        <w:t xml:space="preserve"> (r</w:t>
      </w:r>
      <w:r w:rsidR="00FA3F12" w:rsidRPr="00BB05DB">
        <w:rPr>
          <w:sz w:val="26"/>
          <w:szCs w:val="26"/>
          <w:vertAlign w:val="subscript"/>
          <w:lang w:val="lt-LT"/>
        </w:rPr>
        <w:t>s</w:t>
      </w:r>
      <w:r w:rsidR="00FA3F12" w:rsidRPr="00BB05DB">
        <w:rPr>
          <w:sz w:val="26"/>
          <w:szCs w:val="26"/>
          <w:lang w:val="lt-LT"/>
        </w:rPr>
        <w:t xml:space="preserve"> </w:t>
      </w:r>
      <w:r w:rsidR="00FA3F12" w:rsidRPr="00BB05DB">
        <w:rPr>
          <w:sz w:val="26"/>
          <w:szCs w:val="26"/>
          <w:lang w:val="ru-RU"/>
        </w:rPr>
        <w:t xml:space="preserve">= </w:t>
      </w:r>
      <w:r w:rsidR="00FA3F12" w:rsidRPr="00BB05DB">
        <w:rPr>
          <w:sz w:val="26"/>
          <w:szCs w:val="26"/>
          <w:lang w:val="lt-LT"/>
        </w:rPr>
        <w:t>0,454)</w:t>
      </w:r>
      <w:r w:rsidR="00027463" w:rsidRPr="00BB05DB">
        <w:rPr>
          <w:sz w:val="26"/>
          <w:szCs w:val="26"/>
          <w:lang w:val="lt-LT"/>
        </w:rPr>
        <w:t xml:space="preserve">. </w:t>
      </w:r>
      <w:r w:rsidR="003B23BC" w:rsidRPr="00BB05DB">
        <w:rPr>
          <w:sz w:val="26"/>
          <w:szCs w:val="26"/>
          <w:lang w:val="lt-LT"/>
        </w:rPr>
        <w:t xml:space="preserve">Tai patvirtina </w:t>
      </w:r>
      <w:r w:rsidR="00A3747F" w:rsidRPr="00BB05DB">
        <w:rPr>
          <w:sz w:val="26"/>
          <w:szCs w:val="26"/>
          <w:lang w:val="lt-LT"/>
        </w:rPr>
        <w:t>tiek reikšmingo iškraipymo rizikos, tiek aptikimo ri</w:t>
      </w:r>
      <w:r w:rsidR="003B23BC" w:rsidRPr="00BB05DB">
        <w:rPr>
          <w:sz w:val="26"/>
          <w:szCs w:val="26"/>
          <w:lang w:val="lt-LT"/>
        </w:rPr>
        <w:t>zikos vertinimo svarbą, tačiau svarbesniu komponentu laikoma reikšmingo iškraipymo rizika.</w:t>
      </w:r>
    </w:p>
    <w:p w:rsidR="00001EB6" w:rsidRPr="00BB05DB" w:rsidRDefault="006C20A9" w:rsidP="006C20A9">
      <w:pPr>
        <w:tabs>
          <w:tab w:val="left" w:pos="709"/>
        </w:tabs>
        <w:spacing w:line="360" w:lineRule="auto"/>
        <w:jc w:val="both"/>
        <w:rPr>
          <w:sz w:val="26"/>
          <w:szCs w:val="26"/>
          <w:lang w:val="lt-LT"/>
        </w:rPr>
      </w:pPr>
      <w:r w:rsidRPr="00BB05DB">
        <w:rPr>
          <w:sz w:val="26"/>
          <w:szCs w:val="26"/>
          <w:lang w:val="lt-LT"/>
        </w:rPr>
        <w:tab/>
      </w:r>
      <w:r w:rsidR="00752620" w:rsidRPr="00BB05DB">
        <w:rPr>
          <w:sz w:val="26"/>
          <w:szCs w:val="26"/>
          <w:lang w:val="lt-LT"/>
        </w:rPr>
        <w:t xml:space="preserve">Ištyrus </w:t>
      </w:r>
      <w:r w:rsidR="004F432C" w:rsidRPr="00BB05DB">
        <w:rPr>
          <w:sz w:val="26"/>
          <w:szCs w:val="26"/>
          <w:lang w:val="lt-LT"/>
        </w:rPr>
        <w:t xml:space="preserve">svarbiausius </w:t>
      </w:r>
      <w:r w:rsidR="00752620" w:rsidRPr="00BB05DB">
        <w:rPr>
          <w:sz w:val="26"/>
          <w:szCs w:val="26"/>
          <w:lang w:val="lt-LT"/>
        </w:rPr>
        <w:t>r</w:t>
      </w:r>
      <w:r w:rsidR="00E84556" w:rsidRPr="00BB05DB">
        <w:rPr>
          <w:sz w:val="26"/>
          <w:szCs w:val="26"/>
          <w:lang w:val="lt-LT"/>
        </w:rPr>
        <w:t>eikšmingo iškraipymo rizik</w:t>
      </w:r>
      <w:r w:rsidR="003B23BC" w:rsidRPr="00BB05DB">
        <w:rPr>
          <w:sz w:val="26"/>
          <w:szCs w:val="26"/>
          <w:lang w:val="lt-LT"/>
        </w:rPr>
        <w:t>os</w:t>
      </w:r>
      <w:r w:rsidR="00E84556" w:rsidRPr="00BB05DB">
        <w:rPr>
          <w:sz w:val="26"/>
          <w:szCs w:val="26"/>
          <w:lang w:val="lt-LT"/>
        </w:rPr>
        <w:t xml:space="preserve"> vertinimo </w:t>
      </w:r>
      <w:r w:rsidR="004F432C" w:rsidRPr="00BB05DB">
        <w:rPr>
          <w:sz w:val="26"/>
          <w:szCs w:val="26"/>
          <w:lang w:val="lt-LT"/>
        </w:rPr>
        <w:t>aspektus</w:t>
      </w:r>
      <w:r w:rsidR="009D7999" w:rsidRPr="00BB05DB">
        <w:rPr>
          <w:sz w:val="26"/>
          <w:szCs w:val="26"/>
          <w:lang w:val="lt-LT"/>
        </w:rPr>
        <w:t xml:space="preserve"> (9-10 klausimai)</w:t>
      </w:r>
      <w:r w:rsidR="00E84556" w:rsidRPr="00BB05DB">
        <w:rPr>
          <w:sz w:val="26"/>
          <w:szCs w:val="26"/>
          <w:lang w:val="lt-LT"/>
        </w:rPr>
        <w:t xml:space="preserve">, išsiaiškinta, kad </w:t>
      </w:r>
      <w:r w:rsidR="000D7E37" w:rsidRPr="00BB05DB">
        <w:rPr>
          <w:sz w:val="26"/>
          <w:szCs w:val="26"/>
          <w:lang w:val="lt-LT"/>
        </w:rPr>
        <w:t xml:space="preserve">visi auditoriai </w:t>
      </w:r>
      <w:r w:rsidR="000D7E37" w:rsidRPr="00BB05DB">
        <w:rPr>
          <w:i/>
          <w:sz w:val="26"/>
          <w:szCs w:val="26"/>
          <w:lang w:val="lt-LT"/>
        </w:rPr>
        <w:t>reikšmingo iškraipymo rizik</w:t>
      </w:r>
      <w:r w:rsidR="003B23BC" w:rsidRPr="00BB05DB">
        <w:rPr>
          <w:i/>
          <w:sz w:val="26"/>
          <w:szCs w:val="26"/>
          <w:lang w:val="lt-LT"/>
        </w:rPr>
        <w:t>os</w:t>
      </w:r>
      <w:r w:rsidR="000D7E37" w:rsidRPr="00BB05DB">
        <w:rPr>
          <w:i/>
          <w:sz w:val="26"/>
          <w:szCs w:val="26"/>
          <w:lang w:val="lt-LT"/>
        </w:rPr>
        <w:t xml:space="preserve"> lygį nustato per jas lemiančių sąlygų ir susijusių veiksnių nagrinėjimą</w:t>
      </w:r>
      <w:r w:rsidR="004F432C" w:rsidRPr="00BB05DB">
        <w:rPr>
          <w:i/>
          <w:sz w:val="26"/>
          <w:szCs w:val="26"/>
          <w:lang w:val="lt-LT"/>
        </w:rPr>
        <w:t xml:space="preserve">. </w:t>
      </w:r>
      <w:r w:rsidR="004F432C" w:rsidRPr="00BB05DB">
        <w:rPr>
          <w:sz w:val="26"/>
          <w:szCs w:val="26"/>
          <w:lang w:val="lt-LT"/>
        </w:rPr>
        <w:t>T</w:t>
      </w:r>
      <w:r w:rsidR="00752620" w:rsidRPr="00BB05DB">
        <w:rPr>
          <w:sz w:val="26"/>
          <w:szCs w:val="26"/>
          <w:lang w:val="lt-LT"/>
        </w:rPr>
        <w:t xml:space="preserve">ačiau </w:t>
      </w:r>
      <w:r w:rsidR="004F432C" w:rsidRPr="00BB05DB">
        <w:rPr>
          <w:sz w:val="26"/>
          <w:szCs w:val="26"/>
          <w:lang w:val="lt-LT"/>
        </w:rPr>
        <w:t>reikėtų pripažinti, j</w:t>
      </w:r>
      <w:r w:rsidR="009D7999" w:rsidRPr="00BB05DB">
        <w:rPr>
          <w:sz w:val="26"/>
          <w:szCs w:val="26"/>
          <w:lang w:val="lt-LT"/>
        </w:rPr>
        <w:t xml:space="preserve">og </w:t>
      </w:r>
      <w:r w:rsidR="00D40AEB" w:rsidRPr="00BB05DB">
        <w:rPr>
          <w:sz w:val="26"/>
          <w:szCs w:val="26"/>
          <w:lang w:val="lt-LT"/>
        </w:rPr>
        <w:t>nėra vieningos praktiko</w:t>
      </w:r>
      <w:r w:rsidR="000D7E37" w:rsidRPr="00BB05DB">
        <w:rPr>
          <w:sz w:val="26"/>
          <w:szCs w:val="26"/>
          <w:lang w:val="lt-LT"/>
        </w:rPr>
        <w:t xml:space="preserve">s dėl </w:t>
      </w:r>
      <w:r w:rsidR="00752620" w:rsidRPr="00BB05DB">
        <w:rPr>
          <w:sz w:val="26"/>
          <w:szCs w:val="26"/>
          <w:lang w:val="lt-LT"/>
        </w:rPr>
        <w:t xml:space="preserve">šio audito rizikos komponento </w:t>
      </w:r>
      <w:r w:rsidR="000D7E37" w:rsidRPr="00BB05DB">
        <w:rPr>
          <w:sz w:val="26"/>
          <w:szCs w:val="26"/>
          <w:lang w:val="lt-LT"/>
        </w:rPr>
        <w:t>vertinimo</w:t>
      </w:r>
      <w:r w:rsidR="00D40AEB" w:rsidRPr="00BB05DB">
        <w:rPr>
          <w:sz w:val="26"/>
          <w:szCs w:val="26"/>
          <w:lang w:val="lt-LT"/>
        </w:rPr>
        <w:t xml:space="preserve">: </w:t>
      </w:r>
      <w:r w:rsidR="00DE4C8B" w:rsidRPr="00BB05DB">
        <w:rPr>
          <w:sz w:val="26"/>
          <w:szCs w:val="26"/>
          <w:lang w:val="lt-LT"/>
        </w:rPr>
        <w:t xml:space="preserve">1) </w:t>
      </w:r>
      <w:r w:rsidR="00D40AEB" w:rsidRPr="00BB05DB">
        <w:rPr>
          <w:sz w:val="26"/>
          <w:szCs w:val="26"/>
          <w:lang w:val="lt-LT"/>
        </w:rPr>
        <w:t xml:space="preserve">90,9 proc. </w:t>
      </w:r>
      <w:r w:rsidR="009D7999" w:rsidRPr="00BB05DB">
        <w:rPr>
          <w:sz w:val="26"/>
          <w:szCs w:val="26"/>
          <w:lang w:val="lt-LT"/>
        </w:rPr>
        <w:t xml:space="preserve">tyrime dalyvavusių auditorių </w:t>
      </w:r>
      <w:r w:rsidR="00D40AEB" w:rsidRPr="00BB05DB">
        <w:rPr>
          <w:sz w:val="26"/>
          <w:szCs w:val="26"/>
          <w:lang w:val="lt-LT"/>
        </w:rPr>
        <w:t xml:space="preserve">nurodo, kad </w:t>
      </w:r>
      <w:r w:rsidR="00D40AEB" w:rsidRPr="00BB05DB">
        <w:rPr>
          <w:sz w:val="26"/>
          <w:szCs w:val="26"/>
          <w:lang w:val="lt-LT"/>
        </w:rPr>
        <w:lastRenderedPageBreak/>
        <w:t>atlieka bendrą reikšmingo iškraipymo rizik</w:t>
      </w:r>
      <w:r w:rsidR="00110CAB" w:rsidRPr="00BB05DB">
        <w:rPr>
          <w:sz w:val="26"/>
          <w:szCs w:val="26"/>
          <w:lang w:val="lt-LT"/>
        </w:rPr>
        <w:t>os</w:t>
      </w:r>
      <w:r w:rsidR="00D40AEB" w:rsidRPr="00BB05DB">
        <w:rPr>
          <w:sz w:val="26"/>
          <w:szCs w:val="26"/>
          <w:lang w:val="lt-LT"/>
        </w:rPr>
        <w:t xml:space="preserve"> (įgimtos rizikos ir kontrolės rizikos</w:t>
      </w:r>
      <w:r w:rsidR="00752620" w:rsidRPr="00BB05DB">
        <w:rPr>
          <w:sz w:val="26"/>
          <w:szCs w:val="26"/>
          <w:lang w:val="lt-LT"/>
        </w:rPr>
        <w:t>)</w:t>
      </w:r>
      <w:r w:rsidR="00D40AEB" w:rsidRPr="00BB05DB">
        <w:rPr>
          <w:sz w:val="26"/>
          <w:szCs w:val="26"/>
          <w:lang w:val="lt-LT"/>
        </w:rPr>
        <w:t xml:space="preserve"> vertinimą, </w:t>
      </w:r>
      <w:r w:rsidR="00735CB0">
        <w:rPr>
          <w:sz w:val="26"/>
          <w:szCs w:val="26"/>
          <w:lang w:val="lt-LT"/>
        </w:rPr>
        <w:t xml:space="preserve">o </w:t>
      </w:r>
      <w:r w:rsidR="00D40AEB" w:rsidRPr="00BB05DB">
        <w:rPr>
          <w:sz w:val="26"/>
          <w:szCs w:val="26"/>
          <w:lang w:val="lt-LT"/>
        </w:rPr>
        <w:t>likę 9,1 proc. tai daro ne visada</w:t>
      </w:r>
      <w:r w:rsidR="00D94E2B" w:rsidRPr="00BB05DB">
        <w:rPr>
          <w:sz w:val="26"/>
          <w:szCs w:val="26"/>
          <w:lang w:val="lt-LT"/>
        </w:rPr>
        <w:t>;</w:t>
      </w:r>
      <w:r w:rsidR="00D40AEB" w:rsidRPr="00BB05DB">
        <w:rPr>
          <w:sz w:val="26"/>
          <w:szCs w:val="26"/>
          <w:lang w:val="lt-LT"/>
        </w:rPr>
        <w:t xml:space="preserve"> </w:t>
      </w:r>
      <w:r w:rsidR="00DE4C8B" w:rsidRPr="00BB05DB">
        <w:rPr>
          <w:sz w:val="26"/>
          <w:szCs w:val="26"/>
          <w:lang w:val="lt-LT"/>
        </w:rPr>
        <w:t xml:space="preserve">2) </w:t>
      </w:r>
      <w:r w:rsidR="00D40AEB" w:rsidRPr="00BB05DB">
        <w:rPr>
          <w:sz w:val="26"/>
          <w:szCs w:val="26"/>
          <w:lang w:val="lt-LT"/>
        </w:rPr>
        <w:t>8</w:t>
      </w:r>
      <w:r w:rsidR="00D94E2B" w:rsidRPr="00BB05DB">
        <w:rPr>
          <w:sz w:val="26"/>
          <w:szCs w:val="26"/>
          <w:lang w:val="lt-LT"/>
        </w:rPr>
        <w:t>1</w:t>
      </w:r>
      <w:r w:rsidR="00D40AEB" w:rsidRPr="00BB05DB">
        <w:rPr>
          <w:sz w:val="26"/>
          <w:szCs w:val="26"/>
          <w:lang w:val="lt-LT"/>
        </w:rPr>
        <w:t xml:space="preserve"> proc. </w:t>
      </w:r>
      <w:r w:rsidR="00D94E2B" w:rsidRPr="00BB05DB">
        <w:rPr>
          <w:sz w:val="26"/>
          <w:szCs w:val="26"/>
          <w:lang w:val="lt-LT"/>
        </w:rPr>
        <w:t xml:space="preserve">auditorių </w:t>
      </w:r>
      <w:r w:rsidR="00D40AEB" w:rsidRPr="00BB05DB">
        <w:rPr>
          <w:sz w:val="26"/>
          <w:szCs w:val="26"/>
          <w:lang w:val="lt-LT"/>
        </w:rPr>
        <w:t>mano, kad įgimta rizika ir kontrolės rizika yra susijusios ir viena kitą veikia</w:t>
      </w:r>
      <w:r w:rsidR="00D94E2B" w:rsidRPr="00BB05DB">
        <w:rPr>
          <w:sz w:val="26"/>
          <w:szCs w:val="26"/>
          <w:lang w:val="lt-LT"/>
        </w:rPr>
        <w:t>, o 19</w:t>
      </w:r>
      <w:r w:rsidR="00BB05DB">
        <w:rPr>
          <w:sz w:val="26"/>
          <w:szCs w:val="26"/>
          <w:lang w:val="lt-LT"/>
        </w:rPr>
        <w:t> </w:t>
      </w:r>
      <w:r w:rsidR="00D94E2B" w:rsidRPr="00BB05DB">
        <w:rPr>
          <w:sz w:val="26"/>
          <w:szCs w:val="26"/>
          <w:lang w:val="lt-LT"/>
        </w:rPr>
        <w:t>proc. jų mano, kad šios rizikos turi būti vertinamos atskirai, nepriklausomai viena nuo kitos.</w:t>
      </w:r>
      <w:r w:rsidR="00E84556" w:rsidRPr="00BB05DB">
        <w:rPr>
          <w:sz w:val="26"/>
          <w:szCs w:val="26"/>
          <w:lang w:val="lt-LT"/>
        </w:rPr>
        <w:t xml:space="preserve"> </w:t>
      </w:r>
      <w:r w:rsidR="00346A14" w:rsidRPr="00BB05DB">
        <w:rPr>
          <w:sz w:val="26"/>
          <w:szCs w:val="26"/>
          <w:lang w:val="lt-LT"/>
        </w:rPr>
        <w:t xml:space="preserve">Tačiau </w:t>
      </w:r>
      <w:r w:rsidRPr="00BB05DB">
        <w:rPr>
          <w:sz w:val="26"/>
          <w:szCs w:val="26"/>
          <w:lang w:val="lt-LT"/>
        </w:rPr>
        <w:t xml:space="preserve">stipraus </w:t>
      </w:r>
      <w:r w:rsidR="007A55A5" w:rsidRPr="00BB05DB">
        <w:rPr>
          <w:sz w:val="26"/>
          <w:szCs w:val="26"/>
          <w:lang w:val="lt-LT"/>
        </w:rPr>
        <w:t xml:space="preserve">ir statistiškai patikimo </w:t>
      </w:r>
      <w:r w:rsidRPr="00BB05DB">
        <w:rPr>
          <w:sz w:val="26"/>
          <w:szCs w:val="26"/>
          <w:lang w:val="lt-LT"/>
        </w:rPr>
        <w:t>ryšio (r</w:t>
      </w:r>
      <w:r w:rsidRPr="00BB05DB">
        <w:rPr>
          <w:sz w:val="26"/>
          <w:szCs w:val="26"/>
          <w:vertAlign w:val="subscript"/>
          <w:lang w:val="lt-LT"/>
        </w:rPr>
        <w:t>s</w:t>
      </w:r>
      <w:r w:rsidRPr="00BB05DB">
        <w:rPr>
          <w:sz w:val="26"/>
          <w:szCs w:val="26"/>
          <w:lang w:val="lt-LT"/>
        </w:rPr>
        <w:t>) tarp reikšmingo iškraipymo rizikos vertinimo praktikos ir auditorių darbo patirties/</w:t>
      </w:r>
      <w:r w:rsidR="004A1839" w:rsidRPr="00BB05DB">
        <w:rPr>
          <w:sz w:val="26"/>
          <w:szCs w:val="26"/>
          <w:lang w:val="lt-LT"/>
        </w:rPr>
        <w:t xml:space="preserve">jų </w:t>
      </w:r>
      <w:r w:rsidRPr="00BB05DB">
        <w:rPr>
          <w:sz w:val="26"/>
          <w:szCs w:val="26"/>
          <w:lang w:val="lt-LT"/>
        </w:rPr>
        <w:t xml:space="preserve">atliekamų auditų skaičiaus per metus nenustatyta (žr. </w:t>
      </w:r>
      <w:r w:rsidR="00222CD6" w:rsidRPr="00BB05DB">
        <w:rPr>
          <w:sz w:val="26"/>
          <w:szCs w:val="26"/>
          <w:lang w:val="lt-LT"/>
        </w:rPr>
        <w:t>10</w:t>
      </w:r>
      <w:r w:rsidRPr="00BB05DB">
        <w:rPr>
          <w:sz w:val="26"/>
          <w:szCs w:val="26"/>
          <w:lang w:val="lt-LT"/>
        </w:rPr>
        <w:t xml:space="preserve"> priedas). </w:t>
      </w:r>
      <w:r w:rsidR="00001EB6" w:rsidRPr="00BB05DB">
        <w:rPr>
          <w:sz w:val="26"/>
          <w:szCs w:val="26"/>
          <w:lang w:val="lt-LT"/>
        </w:rPr>
        <w:t>Todėl galima daryti išvadą</w:t>
      </w:r>
      <w:r w:rsidR="00752620" w:rsidRPr="00BB05DB">
        <w:rPr>
          <w:sz w:val="26"/>
          <w:szCs w:val="26"/>
          <w:lang w:val="lt-LT"/>
        </w:rPr>
        <w:t xml:space="preserve">, kad </w:t>
      </w:r>
      <w:r w:rsidR="00DE4C8B" w:rsidRPr="00BB05DB">
        <w:rPr>
          <w:sz w:val="26"/>
          <w:szCs w:val="26"/>
          <w:lang w:val="lt-LT"/>
        </w:rPr>
        <w:t xml:space="preserve">bendras </w:t>
      </w:r>
      <w:r w:rsidR="00752620" w:rsidRPr="00BB05DB">
        <w:rPr>
          <w:sz w:val="26"/>
          <w:szCs w:val="26"/>
          <w:lang w:val="lt-LT"/>
        </w:rPr>
        <w:t>įgimtos ir kontrolės rizikų</w:t>
      </w:r>
      <w:r w:rsidR="00001EB6" w:rsidRPr="00BB05DB">
        <w:rPr>
          <w:sz w:val="26"/>
          <w:szCs w:val="26"/>
          <w:lang w:val="lt-LT"/>
        </w:rPr>
        <w:t xml:space="preserve"> vertinimas </w:t>
      </w:r>
      <w:r w:rsidR="00DE4C8B" w:rsidRPr="00BB05DB">
        <w:rPr>
          <w:sz w:val="26"/>
          <w:szCs w:val="26"/>
          <w:lang w:val="lt-LT"/>
        </w:rPr>
        <w:t xml:space="preserve">atliekamas </w:t>
      </w:r>
      <w:r w:rsidR="00001EB6" w:rsidRPr="00BB05DB">
        <w:rPr>
          <w:sz w:val="26"/>
          <w:szCs w:val="26"/>
          <w:lang w:val="lt-LT"/>
        </w:rPr>
        <w:t>atsižvelgiant į audituojamos įmonės aplinkybes</w:t>
      </w:r>
      <w:r w:rsidRPr="00BB05DB">
        <w:rPr>
          <w:sz w:val="26"/>
          <w:szCs w:val="26"/>
          <w:lang w:val="lt-LT"/>
        </w:rPr>
        <w:t xml:space="preserve"> ir negalima teigti, kad tik labiau patyrę auditoriai atlieka bendrą reikšmingo iškraipymo rizikos vertinimą</w:t>
      </w:r>
      <w:r w:rsidR="00001EB6" w:rsidRPr="00BB05DB">
        <w:rPr>
          <w:sz w:val="26"/>
          <w:szCs w:val="26"/>
          <w:lang w:val="lt-LT"/>
        </w:rPr>
        <w:t>.</w:t>
      </w:r>
    </w:p>
    <w:p w:rsidR="007A4BDB" w:rsidRPr="00BB05DB" w:rsidRDefault="005B40C0" w:rsidP="007A4BDB">
      <w:pPr>
        <w:spacing w:line="360" w:lineRule="auto"/>
        <w:ind w:firstLine="720"/>
        <w:jc w:val="both"/>
        <w:rPr>
          <w:sz w:val="26"/>
          <w:szCs w:val="26"/>
          <w:lang w:val="lt-LT"/>
        </w:rPr>
      </w:pPr>
      <w:r w:rsidRPr="00BB05DB">
        <w:rPr>
          <w:sz w:val="26"/>
          <w:szCs w:val="26"/>
          <w:lang w:val="lt-LT"/>
        </w:rPr>
        <w:t xml:space="preserve">Tyrimo </w:t>
      </w:r>
      <w:r w:rsidR="009D7999" w:rsidRPr="00BB05DB">
        <w:rPr>
          <w:sz w:val="26"/>
          <w:szCs w:val="26"/>
          <w:lang w:val="lt-LT"/>
        </w:rPr>
        <w:t>rezultatai rodo</w:t>
      </w:r>
      <w:r w:rsidRPr="00BB05DB">
        <w:rPr>
          <w:sz w:val="26"/>
          <w:szCs w:val="26"/>
          <w:lang w:val="lt-LT"/>
        </w:rPr>
        <w:t xml:space="preserve"> (11-13 klausimai)</w:t>
      </w:r>
      <w:r w:rsidR="009D7999" w:rsidRPr="00BB05DB">
        <w:rPr>
          <w:sz w:val="26"/>
          <w:szCs w:val="26"/>
          <w:lang w:val="lt-LT"/>
        </w:rPr>
        <w:t xml:space="preserve">, kad </w:t>
      </w:r>
      <w:r w:rsidR="00D15614" w:rsidRPr="00BB05DB">
        <w:rPr>
          <w:sz w:val="26"/>
          <w:szCs w:val="26"/>
          <w:lang w:val="lt-LT"/>
        </w:rPr>
        <w:t xml:space="preserve">visi </w:t>
      </w:r>
      <w:r w:rsidR="009D7999" w:rsidRPr="00BB05DB">
        <w:rPr>
          <w:sz w:val="26"/>
          <w:szCs w:val="26"/>
          <w:lang w:val="lt-LT"/>
        </w:rPr>
        <w:t>auditoriai yra susipažinę su klasikiniu audito rizikos modeliu</w:t>
      </w:r>
      <w:r w:rsidR="008558EC" w:rsidRPr="00BB05DB">
        <w:rPr>
          <w:sz w:val="26"/>
          <w:szCs w:val="26"/>
          <w:lang w:val="lt-LT"/>
        </w:rPr>
        <w:t>;</w:t>
      </w:r>
      <w:r w:rsidR="00D15614" w:rsidRPr="00BB05DB">
        <w:rPr>
          <w:sz w:val="26"/>
          <w:szCs w:val="26"/>
          <w:lang w:val="lt-LT"/>
        </w:rPr>
        <w:t xml:space="preserve"> net </w:t>
      </w:r>
      <w:r w:rsidR="007B715C" w:rsidRPr="00BB05DB">
        <w:rPr>
          <w:sz w:val="26"/>
          <w:szCs w:val="26"/>
          <w:lang w:val="lt-LT"/>
        </w:rPr>
        <w:t>90,9 proc. jų remiasi savo praktikoje</w:t>
      </w:r>
      <w:r w:rsidR="00D15614" w:rsidRPr="00BB05DB">
        <w:rPr>
          <w:sz w:val="26"/>
          <w:szCs w:val="26"/>
          <w:lang w:val="lt-LT"/>
        </w:rPr>
        <w:t xml:space="preserve">, o </w:t>
      </w:r>
      <w:r w:rsidR="007B715C" w:rsidRPr="00BB05DB">
        <w:rPr>
          <w:sz w:val="26"/>
          <w:szCs w:val="26"/>
          <w:lang w:val="lt-LT"/>
        </w:rPr>
        <w:t xml:space="preserve">likę </w:t>
      </w:r>
      <w:r w:rsidR="00A3675E" w:rsidRPr="00BB05DB">
        <w:rPr>
          <w:sz w:val="26"/>
          <w:szCs w:val="26"/>
          <w:lang w:val="lt-LT"/>
        </w:rPr>
        <w:t xml:space="preserve">9,1 proc. nurodė, jog </w:t>
      </w:r>
      <w:r w:rsidR="00D15614" w:rsidRPr="00BB05DB">
        <w:rPr>
          <w:sz w:val="26"/>
          <w:szCs w:val="26"/>
          <w:lang w:val="lt-LT"/>
        </w:rPr>
        <w:t xml:space="preserve">taiko atitinkamo audito įmonių tinklo rizikos vertinimo </w:t>
      </w:r>
      <w:r w:rsidR="007B715C" w:rsidRPr="00BB05DB">
        <w:rPr>
          <w:sz w:val="26"/>
          <w:szCs w:val="26"/>
          <w:lang w:val="lt-LT"/>
        </w:rPr>
        <w:t>model</w:t>
      </w:r>
      <w:r w:rsidR="00D15614" w:rsidRPr="00BB05DB">
        <w:rPr>
          <w:sz w:val="26"/>
          <w:szCs w:val="26"/>
          <w:lang w:val="lt-LT"/>
        </w:rPr>
        <w:t xml:space="preserve">į. </w:t>
      </w:r>
      <w:r w:rsidR="007A4BDB" w:rsidRPr="00BB05DB">
        <w:rPr>
          <w:sz w:val="26"/>
          <w:szCs w:val="26"/>
          <w:lang w:val="lt-LT"/>
        </w:rPr>
        <w:t xml:space="preserve">Be to, svarbu tai, kad auditoriai nežino kitų praktikoje taikomų audito rizikos vertinimo modelių be anksčiau minėtųjų. Klasikinio audito rizikos modelio taikymo </w:t>
      </w:r>
      <w:r w:rsidRPr="00BB05DB">
        <w:rPr>
          <w:sz w:val="26"/>
          <w:szCs w:val="26"/>
          <w:lang w:val="lt-LT"/>
        </w:rPr>
        <w:t xml:space="preserve">auditorių </w:t>
      </w:r>
      <w:r w:rsidR="007A4BDB" w:rsidRPr="00BB05DB">
        <w:rPr>
          <w:sz w:val="26"/>
          <w:szCs w:val="26"/>
          <w:lang w:val="lt-LT"/>
        </w:rPr>
        <w:t>praktikoje privalumų ir trūkumų priežastys apibendrintos 1</w:t>
      </w:r>
      <w:r w:rsidR="00B843A9">
        <w:rPr>
          <w:sz w:val="26"/>
          <w:szCs w:val="26"/>
          <w:lang w:val="lt-LT"/>
        </w:rPr>
        <w:t>6</w:t>
      </w:r>
      <w:r w:rsidR="007A4BDB" w:rsidRPr="00BB05DB">
        <w:rPr>
          <w:sz w:val="26"/>
          <w:szCs w:val="26"/>
          <w:lang w:val="lt-LT"/>
        </w:rPr>
        <w:t xml:space="preserve"> pav. </w:t>
      </w:r>
    </w:p>
    <w:p w:rsidR="007A4BDB" w:rsidRPr="00BB05DB" w:rsidRDefault="007A4BDB" w:rsidP="007A4BDB">
      <w:pPr>
        <w:spacing w:line="360" w:lineRule="auto"/>
        <w:ind w:firstLine="720"/>
        <w:jc w:val="both"/>
        <w:rPr>
          <w:sz w:val="26"/>
          <w:szCs w:val="26"/>
          <w:lang w:val="lt-LT"/>
        </w:rPr>
      </w:pPr>
      <w:r w:rsidRPr="00BB05DB">
        <w:rPr>
          <w:sz w:val="26"/>
          <w:szCs w:val="26"/>
          <w:lang w:val="lt-LT"/>
        </w:rPr>
        <w:t>Kaip matyti iš 1</w:t>
      </w:r>
      <w:r w:rsidR="008D1DE4" w:rsidRPr="00BB05DB">
        <w:rPr>
          <w:sz w:val="26"/>
          <w:szCs w:val="26"/>
          <w:lang w:val="lt-LT"/>
        </w:rPr>
        <w:t>6</w:t>
      </w:r>
      <w:r w:rsidRPr="00BB05DB">
        <w:rPr>
          <w:sz w:val="26"/>
          <w:szCs w:val="26"/>
          <w:lang w:val="lt-LT"/>
        </w:rPr>
        <w:t xml:space="preserve"> pav., dauguma auditorių (76,5 proc.) nurodė, jog klasikinis audito rizikos modelis yra tinkamas planuojant auditą, tačiau tolesnis jo taikymas audito eigoje yra abejotinas (visi auditoriai, nepritariantys klasikiniam audito rizikos modeliui, atskleidė, kad pagal jį sunku kiekybiškai įvertinti audito rizikos komponentus ir 66,7 proc. – šį modelį sunku įgyvendinti praktiškai). Be to, 66,7 proc. nepritariančiųjų auditorių nuomone, klasikinis audito rizikos modelis teisingai neatspindi audito rizikos komponentų priklausomybės ir neatsižvelgia į kitus veiksnius, lemiančius audito riziką. </w:t>
      </w:r>
    </w:p>
    <w:p w:rsidR="00E91FD7" w:rsidRPr="00E91FD7" w:rsidRDefault="0080027B" w:rsidP="00BB05DB">
      <w:pPr>
        <w:spacing w:line="360" w:lineRule="auto"/>
        <w:rPr>
          <w:lang w:val="lt-LT"/>
        </w:rPr>
      </w:pPr>
      <w:r w:rsidRPr="0080027B">
        <w:rPr>
          <w:noProof/>
          <w:sz w:val="24"/>
          <w:lang w:val="lt-LT"/>
        </w:rPr>
        <w:lastRenderedPageBreak/>
        <w:drawing>
          <wp:inline distT="0" distB="0" distL="0" distR="0">
            <wp:extent cx="5314950" cy="4267200"/>
            <wp:effectExtent l="0" t="0" r="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E91FD7" w:rsidRPr="00E91FD7">
        <w:rPr>
          <w:lang w:val="lt-LT"/>
        </w:rPr>
        <w:t xml:space="preserve"> Šaltinis: </w:t>
      </w:r>
      <w:r w:rsidR="00E91FD7">
        <w:rPr>
          <w:lang w:val="lt-LT"/>
        </w:rPr>
        <w:t>s</w:t>
      </w:r>
      <w:r w:rsidR="00E91FD7" w:rsidRPr="00E91FD7">
        <w:rPr>
          <w:lang w:val="lt-LT"/>
        </w:rPr>
        <w:t>ukurta autorės.</w:t>
      </w:r>
    </w:p>
    <w:p w:rsidR="00373F54" w:rsidRPr="00BB05DB" w:rsidRDefault="00981EDB" w:rsidP="0080027B">
      <w:pPr>
        <w:spacing w:line="360" w:lineRule="auto"/>
        <w:ind w:firstLine="720"/>
        <w:jc w:val="center"/>
        <w:rPr>
          <w:b/>
          <w:sz w:val="26"/>
          <w:szCs w:val="26"/>
          <w:lang w:val="lt-LT"/>
        </w:rPr>
      </w:pPr>
      <w:r w:rsidRPr="00BB05DB">
        <w:rPr>
          <w:b/>
          <w:sz w:val="26"/>
          <w:szCs w:val="26"/>
          <w:lang w:val="lt-LT"/>
        </w:rPr>
        <w:t>1</w:t>
      </w:r>
      <w:r w:rsidR="008D1DE4" w:rsidRPr="00BB05DB">
        <w:rPr>
          <w:b/>
          <w:sz w:val="26"/>
          <w:szCs w:val="26"/>
          <w:lang w:val="lt-LT"/>
        </w:rPr>
        <w:t>6</w:t>
      </w:r>
      <w:r w:rsidR="00373F54" w:rsidRPr="00BB05DB">
        <w:rPr>
          <w:b/>
          <w:sz w:val="26"/>
          <w:szCs w:val="26"/>
          <w:lang w:val="lt-LT"/>
        </w:rPr>
        <w:t xml:space="preserve"> pav. </w:t>
      </w:r>
      <w:r w:rsidR="00340796" w:rsidRPr="00BB05DB">
        <w:rPr>
          <w:b/>
          <w:sz w:val="26"/>
          <w:szCs w:val="26"/>
          <w:lang w:val="lt-LT"/>
        </w:rPr>
        <w:t>Klasikinio a</w:t>
      </w:r>
      <w:r w:rsidR="00373F54" w:rsidRPr="00BB05DB">
        <w:rPr>
          <w:b/>
          <w:sz w:val="26"/>
          <w:szCs w:val="26"/>
          <w:lang w:val="lt-LT"/>
        </w:rPr>
        <w:t xml:space="preserve">udito rizikos </w:t>
      </w:r>
      <w:r w:rsidR="00340796" w:rsidRPr="00BB05DB">
        <w:rPr>
          <w:b/>
          <w:sz w:val="26"/>
          <w:szCs w:val="26"/>
          <w:lang w:val="lt-LT"/>
        </w:rPr>
        <w:t xml:space="preserve">modelio </w:t>
      </w:r>
      <w:r w:rsidR="00835E85" w:rsidRPr="00BB05DB">
        <w:rPr>
          <w:b/>
          <w:sz w:val="26"/>
          <w:szCs w:val="26"/>
          <w:lang w:val="lt-LT"/>
        </w:rPr>
        <w:t>taikymo priežastys</w:t>
      </w:r>
    </w:p>
    <w:p w:rsidR="006B520D" w:rsidRPr="00BB05DB" w:rsidRDefault="00502B0A" w:rsidP="00B843A9">
      <w:pPr>
        <w:spacing w:before="240" w:line="360" w:lineRule="auto"/>
        <w:ind w:firstLine="720"/>
        <w:jc w:val="both"/>
        <w:rPr>
          <w:sz w:val="26"/>
          <w:szCs w:val="26"/>
          <w:lang w:val="lt-LT"/>
        </w:rPr>
      </w:pPr>
      <w:r w:rsidRPr="00BB05DB">
        <w:rPr>
          <w:sz w:val="26"/>
          <w:szCs w:val="26"/>
          <w:lang w:val="lt-LT"/>
        </w:rPr>
        <w:t xml:space="preserve">Tiriant klasikinio audito rizikos modelio privalumų tarpusavio ryšį </w:t>
      </w:r>
      <w:r w:rsidR="00BA4911" w:rsidRPr="00BB05DB">
        <w:rPr>
          <w:sz w:val="26"/>
          <w:szCs w:val="26"/>
          <w:lang w:val="lt-LT"/>
        </w:rPr>
        <w:t>(r</w:t>
      </w:r>
      <w:r w:rsidR="00BA4911" w:rsidRPr="00BB05DB">
        <w:rPr>
          <w:sz w:val="26"/>
          <w:szCs w:val="26"/>
          <w:vertAlign w:val="subscript"/>
          <w:lang w:val="lt-LT"/>
        </w:rPr>
        <w:t>s</w:t>
      </w:r>
      <w:r w:rsidR="00BA4911" w:rsidRPr="00BB05DB">
        <w:rPr>
          <w:sz w:val="26"/>
          <w:szCs w:val="26"/>
          <w:lang w:val="lt-LT"/>
        </w:rPr>
        <w:t xml:space="preserve">) </w:t>
      </w:r>
      <w:r w:rsidRPr="00BB05DB">
        <w:rPr>
          <w:sz w:val="26"/>
          <w:szCs w:val="26"/>
          <w:lang w:val="lt-LT"/>
        </w:rPr>
        <w:t xml:space="preserve">(žr. </w:t>
      </w:r>
      <w:r w:rsidR="00222CD6" w:rsidRPr="00BB05DB">
        <w:rPr>
          <w:sz w:val="26"/>
          <w:szCs w:val="26"/>
          <w:lang w:val="lt-LT"/>
        </w:rPr>
        <w:t>1</w:t>
      </w:r>
      <w:r w:rsidR="006F53DE">
        <w:rPr>
          <w:sz w:val="26"/>
          <w:szCs w:val="26"/>
          <w:lang w:val="lt-LT"/>
        </w:rPr>
        <w:t>9</w:t>
      </w:r>
      <w:r w:rsidR="006B520D" w:rsidRPr="00BB05DB">
        <w:rPr>
          <w:sz w:val="26"/>
          <w:szCs w:val="26"/>
          <w:lang w:val="lt-LT"/>
        </w:rPr>
        <w:t xml:space="preserve"> lentelė</w:t>
      </w:r>
      <w:r w:rsidR="00BA4911" w:rsidRPr="00BB05DB">
        <w:rPr>
          <w:sz w:val="26"/>
          <w:szCs w:val="26"/>
          <w:lang w:val="lt-LT"/>
        </w:rPr>
        <w:t>, 1</w:t>
      </w:r>
      <w:r w:rsidR="00222CD6" w:rsidRPr="00BB05DB">
        <w:rPr>
          <w:sz w:val="26"/>
          <w:szCs w:val="26"/>
          <w:lang w:val="lt-LT"/>
        </w:rPr>
        <w:t>1</w:t>
      </w:r>
      <w:r w:rsidR="00BA4911" w:rsidRPr="00BB05DB">
        <w:rPr>
          <w:sz w:val="26"/>
          <w:szCs w:val="26"/>
          <w:lang w:val="lt-LT"/>
        </w:rPr>
        <w:t xml:space="preserve"> priedas</w:t>
      </w:r>
      <w:r w:rsidRPr="00BB05DB">
        <w:rPr>
          <w:sz w:val="26"/>
          <w:szCs w:val="26"/>
          <w:lang w:val="lt-LT"/>
        </w:rPr>
        <w:t xml:space="preserve">) nustatyta, kad šio </w:t>
      </w:r>
      <w:r w:rsidR="00BA4911" w:rsidRPr="00BB05DB">
        <w:rPr>
          <w:sz w:val="26"/>
          <w:szCs w:val="26"/>
          <w:lang w:val="lt-LT"/>
        </w:rPr>
        <w:t>modelio pritaikomumą praktikoje lemia aiški jo struktūra ir svarbiausių audito rizikos vertinimo aspektų akivaizdumas iš pačios modelio sandaros.</w:t>
      </w:r>
      <w:r w:rsidR="0098364C" w:rsidRPr="00BB05DB">
        <w:rPr>
          <w:sz w:val="26"/>
          <w:szCs w:val="26"/>
          <w:lang w:val="lt-LT"/>
        </w:rPr>
        <w:t xml:space="preserve"> </w:t>
      </w:r>
    </w:p>
    <w:p w:rsidR="006B520D" w:rsidRPr="00BB05DB" w:rsidRDefault="006B520D" w:rsidP="006B520D">
      <w:pPr>
        <w:spacing w:line="360" w:lineRule="auto"/>
        <w:ind w:firstLine="709"/>
        <w:jc w:val="both"/>
        <w:rPr>
          <w:i/>
          <w:sz w:val="26"/>
          <w:szCs w:val="26"/>
          <w:lang w:val="lt-LT"/>
        </w:rPr>
      </w:pPr>
      <w:r w:rsidRPr="00BB05DB">
        <w:rPr>
          <w:sz w:val="26"/>
          <w:szCs w:val="26"/>
          <w:lang w:val="lt-LT"/>
        </w:rPr>
        <w:tab/>
      </w:r>
      <w:r w:rsidRPr="00BB05DB">
        <w:rPr>
          <w:sz w:val="26"/>
          <w:szCs w:val="26"/>
          <w:lang w:val="lt-LT"/>
        </w:rPr>
        <w:tab/>
      </w:r>
      <w:r w:rsidRPr="00BB05DB">
        <w:rPr>
          <w:sz w:val="26"/>
          <w:szCs w:val="26"/>
          <w:lang w:val="lt-LT"/>
        </w:rPr>
        <w:tab/>
      </w:r>
      <w:r w:rsidRPr="00BB05DB">
        <w:rPr>
          <w:sz w:val="26"/>
          <w:szCs w:val="26"/>
          <w:lang w:val="lt-LT"/>
        </w:rPr>
        <w:tab/>
      </w:r>
      <w:r w:rsidRPr="00BB05DB">
        <w:rPr>
          <w:sz w:val="26"/>
          <w:szCs w:val="26"/>
          <w:lang w:val="lt-LT"/>
        </w:rPr>
        <w:tab/>
      </w:r>
      <w:r w:rsidRPr="00BB05DB">
        <w:rPr>
          <w:sz w:val="26"/>
          <w:szCs w:val="26"/>
          <w:lang w:val="lt-LT"/>
        </w:rPr>
        <w:tab/>
      </w:r>
      <w:r w:rsidRPr="00BB05DB">
        <w:rPr>
          <w:sz w:val="26"/>
          <w:szCs w:val="26"/>
          <w:lang w:val="lt-LT"/>
        </w:rPr>
        <w:tab/>
      </w:r>
      <w:r w:rsidRPr="00BB05DB">
        <w:rPr>
          <w:sz w:val="26"/>
          <w:szCs w:val="26"/>
          <w:lang w:val="lt-LT"/>
        </w:rPr>
        <w:tab/>
      </w:r>
      <w:r w:rsidRPr="00BB05DB">
        <w:rPr>
          <w:sz w:val="26"/>
          <w:szCs w:val="26"/>
          <w:lang w:val="lt-LT"/>
        </w:rPr>
        <w:tab/>
      </w:r>
      <w:r w:rsidRPr="00BB05DB">
        <w:rPr>
          <w:sz w:val="26"/>
          <w:szCs w:val="26"/>
          <w:lang w:val="lt-LT"/>
        </w:rPr>
        <w:tab/>
      </w:r>
      <w:r w:rsidR="00222CD6" w:rsidRPr="006F53DE">
        <w:rPr>
          <w:i/>
          <w:sz w:val="26"/>
          <w:szCs w:val="26"/>
          <w:lang w:val="lt-LT"/>
        </w:rPr>
        <w:t>1</w:t>
      </w:r>
      <w:r w:rsidR="006F53DE" w:rsidRPr="006F53DE">
        <w:rPr>
          <w:i/>
          <w:sz w:val="26"/>
          <w:szCs w:val="26"/>
          <w:lang w:val="lt-LT"/>
        </w:rPr>
        <w:t>9</w:t>
      </w:r>
      <w:r w:rsidRPr="006F53DE">
        <w:rPr>
          <w:i/>
          <w:sz w:val="26"/>
          <w:szCs w:val="26"/>
          <w:lang w:val="lt-LT"/>
        </w:rPr>
        <w:t xml:space="preserve"> lentelė</w:t>
      </w:r>
    </w:p>
    <w:p w:rsidR="00486D02" w:rsidRPr="00BB05DB" w:rsidRDefault="00486D02" w:rsidP="00486D02">
      <w:pPr>
        <w:tabs>
          <w:tab w:val="left" w:pos="567"/>
        </w:tabs>
        <w:jc w:val="center"/>
        <w:rPr>
          <w:b/>
          <w:sz w:val="26"/>
          <w:szCs w:val="26"/>
          <w:lang w:val="lt-LT"/>
        </w:rPr>
      </w:pPr>
      <w:r w:rsidRPr="00BB05DB">
        <w:rPr>
          <w:b/>
          <w:noProof/>
          <w:sz w:val="26"/>
          <w:szCs w:val="26"/>
          <w:lang w:val="lt-LT"/>
        </w:rPr>
        <w:t xml:space="preserve">Klasikinio audito rizikos modelio privalumų tarpusavio ryšys </w:t>
      </w:r>
      <w:r w:rsidRPr="00BB05DB">
        <w:rPr>
          <w:b/>
          <w:sz w:val="26"/>
          <w:szCs w:val="26"/>
          <w:lang w:val="lt-LT"/>
        </w:rPr>
        <w:t>(r</w:t>
      </w:r>
      <w:r w:rsidRPr="00BB05DB">
        <w:rPr>
          <w:b/>
          <w:sz w:val="26"/>
          <w:szCs w:val="26"/>
          <w:vertAlign w:val="subscript"/>
          <w:lang w:val="lt-LT"/>
        </w:rPr>
        <w:t>s</w:t>
      </w:r>
      <w:r w:rsidRPr="00BB05DB">
        <w:rPr>
          <w:b/>
          <w:sz w:val="26"/>
          <w:szCs w:val="26"/>
          <w:lang w:val="lt-LT"/>
        </w:rPr>
        <w:t>)</w:t>
      </w:r>
    </w:p>
    <w:p w:rsidR="00810471" w:rsidRPr="00BB05DB" w:rsidRDefault="00810471" w:rsidP="00486D02">
      <w:pPr>
        <w:tabs>
          <w:tab w:val="left" w:pos="567"/>
        </w:tabs>
        <w:jc w:val="center"/>
        <w:rPr>
          <w:b/>
          <w:sz w:val="26"/>
          <w:szCs w:val="26"/>
          <w:lang w:val="lt-LT"/>
        </w:rPr>
      </w:pPr>
    </w:p>
    <w:tbl>
      <w:tblPr>
        <w:tblStyle w:val="TableGrid"/>
        <w:tblW w:w="0" w:type="auto"/>
        <w:jc w:val="center"/>
        <w:tblLook w:val="04A0"/>
      </w:tblPr>
      <w:tblGrid>
        <w:gridCol w:w="3227"/>
        <w:gridCol w:w="2835"/>
      </w:tblGrid>
      <w:tr w:rsidR="002C0D13" w:rsidRPr="00BB05DB" w:rsidTr="002C0D13">
        <w:trPr>
          <w:jc w:val="center"/>
        </w:trPr>
        <w:tc>
          <w:tcPr>
            <w:tcW w:w="3227" w:type="dxa"/>
          </w:tcPr>
          <w:p w:rsidR="002C0D13" w:rsidRPr="00BB05DB" w:rsidRDefault="002C0D13" w:rsidP="00502B0A">
            <w:pPr>
              <w:jc w:val="center"/>
              <w:rPr>
                <w:b/>
                <w:sz w:val="22"/>
                <w:szCs w:val="22"/>
                <w:lang w:val="lt-LT"/>
              </w:rPr>
            </w:pPr>
            <w:r w:rsidRPr="00BB05DB">
              <w:rPr>
                <w:b/>
                <w:sz w:val="22"/>
                <w:szCs w:val="22"/>
                <w:lang w:val="lt-LT"/>
              </w:rPr>
              <w:t>Privalumas</w:t>
            </w:r>
          </w:p>
        </w:tc>
        <w:tc>
          <w:tcPr>
            <w:tcW w:w="2835" w:type="dxa"/>
          </w:tcPr>
          <w:p w:rsidR="002C0D13" w:rsidRPr="00BB05DB" w:rsidRDefault="002C0D13" w:rsidP="002C0D13">
            <w:pPr>
              <w:jc w:val="both"/>
              <w:rPr>
                <w:sz w:val="22"/>
                <w:szCs w:val="22"/>
                <w:lang w:val="lt-LT"/>
              </w:rPr>
            </w:pPr>
            <w:r w:rsidRPr="00BB05DB">
              <w:rPr>
                <w:sz w:val="22"/>
                <w:szCs w:val="22"/>
                <w:lang w:val="lt-LT"/>
              </w:rPr>
              <w:t>lengvai</w:t>
            </w:r>
            <w:r w:rsidRPr="00BB05DB">
              <w:rPr>
                <w:sz w:val="22"/>
                <w:szCs w:val="22"/>
              </w:rPr>
              <w:t xml:space="preserve"> </w:t>
            </w:r>
            <w:r w:rsidRPr="00BB05DB">
              <w:rPr>
                <w:sz w:val="22"/>
                <w:szCs w:val="22"/>
                <w:lang w:val="lt-LT"/>
              </w:rPr>
              <w:t>pritaikomas</w:t>
            </w:r>
            <w:r w:rsidRPr="00BB05DB">
              <w:rPr>
                <w:sz w:val="22"/>
                <w:szCs w:val="22"/>
              </w:rPr>
              <w:t xml:space="preserve"> </w:t>
            </w:r>
            <w:r w:rsidRPr="00BB05DB">
              <w:rPr>
                <w:sz w:val="22"/>
                <w:szCs w:val="22"/>
                <w:lang w:val="lt-LT"/>
              </w:rPr>
              <w:t>įvertinant</w:t>
            </w:r>
            <w:r w:rsidRPr="00BB05DB">
              <w:rPr>
                <w:sz w:val="22"/>
                <w:szCs w:val="22"/>
              </w:rPr>
              <w:t xml:space="preserve"> </w:t>
            </w:r>
            <w:r w:rsidRPr="00BB05DB">
              <w:rPr>
                <w:sz w:val="22"/>
                <w:szCs w:val="22"/>
                <w:lang w:val="lt-LT"/>
              </w:rPr>
              <w:t>audito</w:t>
            </w:r>
            <w:r w:rsidRPr="00BB05DB">
              <w:rPr>
                <w:sz w:val="22"/>
                <w:szCs w:val="22"/>
              </w:rPr>
              <w:t xml:space="preserve"> </w:t>
            </w:r>
            <w:r w:rsidRPr="00BB05DB">
              <w:rPr>
                <w:sz w:val="22"/>
                <w:szCs w:val="22"/>
                <w:lang w:val="lt-LT"/>
              </w:rPr>
              <w:t>riziką</w:t>
            </w:r>
          </w:p>
        </w:tc>
      </w:tr>
      <w:tr w:rsidR="002C0D13" w:rsidRPr="00BB05DB" w:rsidTr="002C0D13">
        <w:trPr>
          <w:jc w:val="center"/>
        </w:trPr>
        <w:tc>
          <w:tcPr>
            <w:tcW w:w="3227" w:type="dxa"/>
          </w:tcPr>
          <w:p w:rsidR="002C0D13" w:rsidRPr="00BB05DB" w:rsidRDefault="002C0D13" w:rsidP="002C0D13">
            <w:pPr>
              <w:jc w:val="both"/>
              <w:rPr>
                <w:sz w:val="22"/>
                <w:szCs w:val="22"/>
                <w:lang w:val="lt-LT"/>
              </w:rPr>
            </w:pPr>
            <w:r w:rsidRPr="00BB05DB">
              <w:rPr>
                <w:sz w:val="22"/>
                <w:szCs w:val="22"/>
                <w:lang w:val="lt-LT"/>
              </w:rPr>
              <w:t>modelio struktūra labai aiški</w:t>
            </w:r>
          </w:p>
        </w:tc>
        <w:tc>
          <w:tcPr>
            <w:tcW w:w="2835" w:type="dxa"/>
          </w:tcPr>
          <w:p w:rsidR="002C0D13" w:rsidRPr="00BB05DB" w:rsidRDefault="002C0D13" w:rsidP="002C0D13">
            <w:pPr>
              <w:jc w:val="both"/>
              <w:rPr>
                <w:sz w:val="22"/>
                <w:szCs w:val="22"/>
                <w:lang w:val="lt-LT"/>
              </w:rPr>
            </w:pPr>
            <w:r w:rsidRPr="00BB05DB">
              <w:rPr>
                <w:sz w:val="22"/>
                <w:szCs w:val="22"/>
                <w:lang w:val="lt-LT"/>
              </w:rPr>
              <w:t>0,694**</w:t>
            </w:r>
          </w:p>
        </w:tc>
      </w:tr>
      <w:tr w:rsidR="002C0D13" w:rsidRPr="00BB05DB" w:rsidTr="002C0D13">
        <w:trPr>
          <w:jc w:val="center"/>
        </w:trPr>
        <w:tc>
          <w:tcPr>
            <w:tcW w:w="3227" w:type="dxa"/>
          </w:tcPr>
          <w:p w:rsidR="002C0D13" w:rsidRPr="00BB05DB" w:rsidRDefault="002C0D13" w:rsidP="002C0D13">
            <w:pPr>
              <w:jc w:val="both"/>
              <w:rPr>
                <w:sz w:val="22"/>
                <w:szCs w:val="22"/>
                <w:lang w:val="lt-LT"/>
              </w:rPr>
            </w:pPr>
            <w:r w:rsidRPr="00BB05DB">
              <w:rPr>
                <w:sz w:val="22"/>
                <w:szCs w:val="22"/>
                <w:lang w:val="lt-LT"/>
              </w:rPr>
              <w:t>modelis atskleidžia svarbiausius audito rizikos vertinimo aspektus</w:t>
            </w:r>
          </w:p>
        </w:tc>
        <w:tc>
          <w:tcPr>
            <w:tcW w:w="2835" w:type="dxa"/>
          </w:tcPr>
          <w:p w:rsidR="002C0D13" w:rsidRPr="00BB05DB" w:rsidRDefault="002C0D13" w:rsidP="002C0D13">
            <w:pPr>
              <w:jc w:val="both"/>
              <w:rPr>
                <w:sz w:val="22"/>
                <w:szCs w:val="22"/>
                <w:lang w:val="lt-LT"/>
              </w:rPr>
            </w:pPr>
            <w:r w:rsidRPr="00BB05DB">
              <w:rPr>
                <w:sz w:val="22"/>
                <w:szCs w:val="22"/>
                <w:lang w:val="lt-LT"/>
              </w:rPr>
              <w:t>0,505*</w:t>
            </w:r>
          </w:p>
        </w:tc>
      </w:tr>
    </w:tbl>
    <w:p w:rsidR="00486D02" w:rsidRPr="00E91FD7" w:rsidRDefault="00BB05DB" w:rsidP="00BB05DB">
      <w:pPr>
        <w:pStyle w:val="Normal-pr"/>
        <w:ind w:left="720"/>
        <w:rPr>
          <w:sz w:val="20"/>
        </w:rPr>
      </w:pPr>
      <w:r>
        <w:rPr>
          <w:sz w:val="20"/>
        </w:rPr>
        <w:t xml:space="preserve">  </w:t>
      </w:r>
      <w:r w:rsidR="00E91FD7">
        <w:rPr>
          <w:sz w:val="20"/>
        </w:rPr>
        <w:t xml:space="preserve">      Pastaba: </w:t>
      </w:r>
      <w:r w:rsidR="002C0D13" w:rsidRPr="00E91FD7">
        <w:rPr>
          <w:sz w:val="20"/>
        </w:rPr>
        <w:t xml:space="preserve">patikimumo lygmuo – *p &lt;0,05; </w:t>
      </w:r>
      <w:r w:rsidR="00BE7586">
        <w:rPr>
          <w:sz w:val="20"/>
        </w:rPr>
        <w:t>**</w:t>
      </w:r>
      <w:r w:rsidR="002C0D13" w:rsidRPr="00E91FD7">
        <w:rPr>
          <w:sz w:val="20"/>
        </w:rPr>
        <w:t>p &lt; 0,01</w:t>
      </w:r>
    </w:p>
    <w:p w:rsidR="00E91FD7" w:rsidRPr="00E91FD7" w:rsidRDefault="00BB05DB" w:rsidP="00BB05DB">
      <w:pPr>
        <w:pStyle w:val="Normal-pr"/>
        <w:rPr>
          <w:sz w:val="20"/>
        </w:rPr>
      </w:pPr>
      <w:r>
        <w:rPr>
          <w:sz w:val="20"/>
        </w:rPr>
        <w:t xml:space="preserve">                 </w:t>
      </w:r>
      <w:r w:rsidR="00E91FD7">
        <w:rPr>
          <w:sz w:val="20"/>
        </w:rPr>
        <w:t xml:space="preserve">      </w:t>
      </w:r>
      <w:r w:rsidR="00E91FD7" w:rsidRPr="00E91FD7">
        <w:rPr>
          <w:sz w:val="20"/>
        </w:rPr>
        <w:t>Šaltinis sudaryta autorės.</w:t>
      </w:r>
    </w:p>
    <w:p w:rsidR="002C0D13" w:rsidRDefault="002C0D13" w:rsidP="00486D02">
      <w:pPr>
        <w:pStyle w:val="Normal-pr"/>
        <w:rPr>
          <w:sz w:val="20"/>
        </w:rPr>
      </w:pPr>
    </w:p>
    <w:p w:rsidR="002C0D13" w:rsidRPr="00BB05DB" w:rsidRDefault="00BA4911" w:rsidP="00BA4911">
      <w:pPr>
        <w:pStyle w:val="Normal-pr"/>
        <w:spacing w:line="360" w:lineRule="auto"/>
        <w:rPr>
          <w:sz w:val="26"/>
          <w:szCs w:val="26"/>
        </w:rPr>
      </w:pPr>
      <w:r>
        <w:rPr>
          <w:sz w:val="20"/>
        </w:rPr>
        <w:tab/>
      </w:r>
      <w:r w:rsidRPr="00BB05DB">
        <w:rPr>
          <w:sz w:val="26"/>
          <w:szCs w:val="26"/>
        </w:rPr>
        <w:t>Tuo tarpu klasikinio audito rizikos modelio trūkumų tarpusavio ryšio (r</w:t>
      </w:r>
      <w:r w:rsidRPr="00BB05DB">
        <w:rPr>
          <w:sz w:val="26"/>
          <w:szCs w:val="26"/>
          <w:vertAlign w:val="subscript"/>
        </w:rPr>
        <w:t>s</w:t>
      </w:r>
      <w:r w:rsidRPr="00BB05DB">
        <w:rPr>
          <w:sz w:val="26"/>
          <w:szCs w:val="26"/>
        </w:rPr>
        <w:t>) ana</w:t>
      </w:r>
      <w:r w:rsidRPr="00EF416C">
        <w:rPr>
          <w:sz w:val="26"/>
          <w:szCs w:val="26"/>
        </w:rPr>
        <w:t>lizė (</w:t>
      </w:r>
      <w:r w:rsidR="00B843A9" w:rsidRPr="00EF416C">
        <w:rPr>
          <w:sz w:val="26"/>
          <w:szCs w:val="26"/>
        </w:rPr>
        <w:t xml:space="preserve">žr. </w:t>
      </w:r>
      <w:r w:rsidRPr="00EF416C">
        <w:rPr>
          <w:sz w:val="26"/>
          <w:szCs w:val="26"/>
        </w:rPr>
        <w:t>1</w:t>
      </w:r>
      <w:r w:rsidR="00222CD6" w:rsidRPr="00EF416C">
        <w:rPr>
          <w:sz w:val="26"/>
          <w:szCs w:val="26"/>
        </w:rPr>
        <w:t>2</w:t>
      </w:r>
      <w:r w:rsidRPr="00EF416C">
        <w:rPr>
          <w:sz w:val="26"/>
          <w:szCs w:val="26"/>
        </w:rPr>
        <w:t xml:space="preserve"> priedas) atskleidė,</w:t>
      </w:r>
      <w:r w:rsidRPr="00BB05DB">
        <w:rPr>
          <w:sz w:val="26"/>
          <w:szCs w:val="26"/>
        </w:rPr>
        <w:t xml:space="preserve"> kad </w:t>
      </w:r>
      <w:r w:rsidR="00051A0B" w:rsidRPr="00BB05DB">
        <w:rPr>
          <w:sz w:val="26"/>
          <w:szCs w:val="26"/>
        </w:rPr>
        <w:t xml:space="preserve">įvardinti trūkumai yra vienas su kitu </w:t>
      </w:r>
      <w:r w:rsidR="00051A0B" w:rsidRPr="00BB05DB">
        <w:rPr>
          <w:sz w:val="26"/>
          <w:szCs w:val="26"/>
        </w:rPr>
        <w:lastRenderedPageBreak/>
        <w:t xml:space="preserve">susiję, t. y. </w:t>
      </w:r>
      <w:r w:rsidR="008F1DF2" w:rsidRPr="00BB05DB">
        <w:rPr>
          <w:sz w:val="26"/>
          <w:szCs w:val="26"/>
        </w:rPr>
        <w:t xml:space="preserve">statistiškai patikimas </w:t>
      </w:r>
      <w:r w:rsidR="00051A0B" w:rsidRPr="00BB05DB">
        <w:rPr>
          <w:sz w:val="26"/>
          <w:szCs w:val="26"/>
        </w:rPr>
        <w:t>vidutinio stiprumo ryšys (r</w:t>
      </w:r>
      <w:r w:rsidR="00051A0B" w:rsidRPr="00BB05DB">
        <w:rPr>
          <w:sz w:val="26"/>
          <w:szCs w:val="26"/>
          <w:vertAlign w:val="subscript"/>
        </w:rPr>
        <w:t>s</w:t>
      </w:r>
      <w:r w:rsidR="00051A0B" w:rsidRPr="00BB05DB">
        <w:rPr>
          <w:sz w:val="26"/>
          <w:szCs w:val="26"/>
        </w:rPr>
        <w:t>) svyruoja nuo 0,549 iki 1,000</w:t>
      </w:r>
      <w:r w:rsidR="008F1DF2" w:rsidRPr="00BB05DB">
        <w:rPr>
          <w:sz w:val="26"/>
          <w:szCs w:val="26"/>
        </w:rPr>
        <w:t xml:space="preserve">, kuris </w:t>
      </w:r>
      <w:r w:rsidR="0098364C" w:rsidRPr="00BB05DB">
        <w:rPr>
          <w:sz w:val="26"/>
          <w:szCs w:val="26"/>
        </w:rPr>
        <w:t>egzistuoja tarp visų įvardintų klasikinio audito rizikos modelio trūkumų</w:t>
      </w:r>
      <w:r w:rsidR="00051A0B" w:rsidRPr="00BB05DB">
        <w:rPr>
          <w:sz w:val="26"/>
          <w:szCs w:val="26"/>
        </w:rPr>
        <w:t>.</w:t>
      </w:r>
    </w:p>
    <w:p w:rsidR="00B64591" w:rsidRPr="00BB05DB" w:rsidRDefault="004F4AC6" w:rsidP="005776EC">
      <w:pPr>
        <w:spacing w:line="360" w:lineRule="auto"/>
        <w:ind w:firstLine="709"/>
        <w:jc w:val="both"/>
        <w:rPr>
          <w:sz w:val="26"/>
          <w:szCs w:val="26"/>
          <w:lang w:val="lt-LT"/>
        </w:rPr>
      </w:pPr>
      <w:r w:rsidRPr="00BB05DB">
        <w:rPr>
          <w:sz w:val="26"/>
          <w:szCs w:val="26"/>
          <w:lang w:val="lt-LT"/>
        </w:rPr>
        <w:t>Nustatant patobulinto audito rizikos vertinimo modelio kūrimo prielaidų</w:t>
      </w:r>
      <w:r w:rsidR="00B1553A" w:rsidRPr="00BB05DB">
        <w:rPr>
          <w:sz w:val="26"/>
          <w:szCs w:val="26"/>
          <w:lang w:val="lt-LT"/>
        </w:rPr>
        <w:t xml:space="preserve"> </w:t>
      </w:r>
      <w:r w:rsidRPr="00BB05DB">
        <w:rPr>
          <w:sz w:val="26"/>
          <w:szCs w:val="26"/>
          <w:lang w:val="lt-LT"/>
        </w:rPr>
        <w:t>tinkamumą (14-</w:t>
      </w:r>
      <w:r w:rsidR="00A824D9" w:rsidRPr="00BB05DB">
        <w:rPr>
          <w:sz w:val="26"/>
          <w:szCs w:val="26"/>
          <w:lang w:val="lt-LT"/>
        </w:rPr>
        <w:t>19</w:t>
      </w:r>
      <w:r w:rsidRPr="00BB05DB">
        <w:rPr>
          <w:sz w:val="26"/>
          <w:szCs w:val="26"/>
          <w:lang w:val="lt-LT"/>
        </w:rPr>
        <w:t xml:space="preserve"> klausimai) </w:t>
      </w:r>
      <w:r w:rsidR="00E741AD" w:rsidRPr="00BB05DB">
        <w:rPr>
          <w:sz w:val="26"/>
          <w:szCs w:val="26"/>
          <w:lang w:val="lt-LT"/>
        </w:rPr>
        <w:t xml:space="preserve">siekta </w:t>
      </w:r>
      <w:r w:rsidRPr="00BB05DB">
        <w:rPr>
          <w:sz w:val="26"/>
          <w:szCs w:val="26"/>
          <w:lang w:val="lt-LT"/>
        </w:rPr>
        <w:t>išsiaiškint</w:t>
      </w:r>
      <w:r w:rsidR="00E741AD" w:rsidRPr="00BB05DB">
        <w:rPr>
          <w:sz w:val="26"/>
          <w:szCs w:val="26"/>
          <w:lang w:val="lt-LT"/>
        </w:rPr>
        <w:t>i</w:t>
      </w:r>
      <w:r w:rsidR="004409C2" w:rsidRPr="00BB05DB">
        <w:rPr>
          <w:sz w:val="26"/>
          <w:szCs w:val="26"/>
          <w:lang w:val="lt-LT"/>
        </w:rPr>
        <w:t xml:space="preserve"> auditorių praktiką</w:t>
      </w:r>
      <w:r w:rsidR="00E741AD" w:rsidRPr="00BB05DB">
        <w:rPr>
          <w:sz w:val="26"/>
          <w:szCs w:val="26"/>
          <w:lang w:val="lt-LT"/>
        </w:rPr>
        <w:t xml:space="preserve">: 1) </w:t>
      </w:r>
      <w:r w:rsidR="004409C2" w:rsidRPr="00BB05DB">
        <w:rPr>
          <w:sz w:val="26"/>
          <w:szCs w:val="26"/>
          <w:lang w:val="lt-LT"/>
        </w:rPr>
        <w:t xml:space="preserve">vertinant </w:t>
      </w:r>
      <w:r w:rsidR="00E741AD" w:rsidRPr="00BB05DB">
        <w:rPr>
          <w:sz w:val="26"/>
          <w:szCs w:val="26"/>
          <w:lang w:val="lt-LT"/>
        </w:rPr>
        <w:t>audito rizik</w:t>
      </w:r>
      <w:r w:rsidR="004409C2" w:rsidRPr="00BB05DB">
        <w:rPr>
          <w:sz w:val="26"/>
          <w:szCs w:val="26"/>
          <w:lang w:val="lt-LT"/>
        </w:rPr>
        <w:t>ą</w:t>
      </w:r>
      <w:r w:rsidR="00E741AD" w:rsidRPr="00BB05DB">
        <w:rPr>
          <w:sz w:val="26"/>
          <w:szCs w:val="26"/>
          <w:lang w:val="lt-LT"/>
        </w:rPr>
        <w:t xml:space="preserve"> ir/ar jos komponent</w:t>
      </w:r>
      <w:r w:rsidR="004409C2" w:rsidRPr="00BB05DB">
        <w:rPr>
          <w:sz w:val="26"/>
          <w:szCs w:val="26"/>
          <w:lang w:val="lt-LT"/>
        </w:rPr>
        <w:t>us</w:t>
      </w:r>
      <w:r w:rsidR="00E741AD" w:rsidRPr="00BB05DB">
        <w:rPr>
          <w:sz w:val="26"/>
          <w:szCs w:val="26"/>
          <w:lang w:val="lt-LT"/>
        </w:rPr>
        <w:t xml:space="preserve"> skirtingu pasireiškimo lygmeniu ir audito proce</w:t>
      </w:r>
      <w:r w:rsidR="004409C2" w:rsidRPr="00BB05DB">
        <w:rPr>
          <w:sz w:val="26"/>
          <w:szCs w:val="26"/>
          <w:lang w:val="lt-LT"/>
        </w:rPr>
        <w:t xml:space="preserve">so eigoje; 2) </w:t>
      </w:r>
      <w:r w:rsidR="006641DB" w:rsidRPr="00BB05DB">
        <w:rPr>
          <w:sz w:val="26"/>
          <w:szCs w:val="26"/>
          <w:lang w:val="lt-LT"/>
        </w:rPr>
        <w:t>nagrinėjant reikšmingo iškraipymo rizik</w:t>
      </w:r>
      <w:r w:rsidR="007A4BDB" w:rsidRPr="00BB05DB">
        <w:rPr>
          <w:sz w:val="26"/>
          <w:szCs w:val="26"/>
          <w:lang w:val="lt-LT"/>
        </w:rPr>
        <w:t>ą</w:t>
      </w:r>
      <w:r w:rsidR="006641DB" w:rsidRPr="00BB05DB">
        <w:rPr>
          <w:sz w:val="26"/>
          <w:szCs w:val="26"/>
          <w:lang w:val="lt-LT"/>
        </w:rPr>
        <w:t xml:space="preserve"> pasireiškianči</w:t>
      </w:r>
      <w:r w:rsidR="007A4BDB" w:rsidRPr="00BB05DB">
        <w:rPr>
          <w:sz w:val="26"/>
          <w:szCs w:val="26"/>
          <w:lang w:val="lt-LT"/>
        </w:rPr>
        <w:t>ą</w:t>
      </w:r>
      <w:r w:rsidR="006641DB" w:rsidRPr="00BB05DB">
        <w:rPr>
          <w:sz w:val="26"/>
          <w:szCs w:val="26"/>
          <w:lang w:val="lt-LT"/>
        </w:rPr>
        <w:t xml:space="preserve"> dėl apgaulės ir dėl klaidos; 3) nagrinėjant </w:t>
      </w:r>
      <w:r w:rsidR="006F7800" w:rsidRPr="00BB05DB">
        <w:rPr>
          <w:sz w:val="26"/>
          <w:szCs w:val="26"/>
          <w:lang w:val="lt-LT"/>
        </w:rPr>
        <w:t xml:space="preserve">audituojamos </w:t>
      </w:r>
      <w:r w:rsidR="006641DB" w:rsidRPr="00BB05DB">
        <w:rPr>
          <w:sz w:val="26"/>
          <w:szCs w:val="26"/>
          <w:lang w:val="lt-LT"/>
        </w:rPr>
        <w:t>įmonės verslo riziką reikšmingo iškraipymo rizikos vertinime; 4) vertinant aptikimo riziką dėl atrankos taikymo.</w:t>
      </w:r>
      <w:r w:rsidR="00A824D9" w:rsidRPr="00BB05DB">
        <w:rPr>
          <w:sz w:val="26"/>
          <w:szCs w:val="26"/>
          <w:lang w:val="lt-LT"/>
        </w:rPr>
        <w:t xml:space="preserve"> </w:t>
      </w:r>
      <w:r w:rsidR="007A4BDB" w:rsidRPr="00BB05DB">
        <w:rPr>
          <w:sz w:val="26"/>
          <w:szCs w:val="26"/>
          <w:lang w:val="lt-LT"/>
        </w:rPr>
        <w:t>Atlikto t</w:t>
      </w:r>
      <w:r w:rsidR="00A824D9" w:rsidRPr="00BB05DB">
        <w:rPr>
          <w:sz w:val="26"/>
          <w:szCs w:val="26"/>
          <w:lang w:val="lt-LT"/>
        </w:rPr>
        <w:t xml:space="preserve">yrimo rezultatai </w:t>
      </w:r>
      <w:r w:rsidR="007A4BDB" w:rsidRPr="00BB05DB">
        <w:rPr>
          <w:sz w:val="26"/>
          <w:szCs w:val="26"/>
          <w:lang w:val="lt-LT"/>
        </w:rPr>
        <w:t>atskleidė</w:t>
      </w:r>
      <w:r w:rsidR="00A824D9" w:rsidRPr="00BB05DB">
        <w:rPr>
          <w:sz w:val="26"/>
          <w:szCs w:val="26"/>
          <w:lang w:val="lt-LT"/>
        </w:rPr>
        <w:t>, kad</w:t>
      </w:r>
      <w:r w:rsidRPr="00BB05DB">
        <w:rPr>
          <w:sz w:val="26"/>
          <w:szCs w:val="26"/>
          <w:lang w:val="lt-LT"/>
        </w:rPr>
        <w:t xml:space="preserve"> </w:t>
      </w:r>
      <w:r w:rsidR="00A824D9" w:rsidRPr="00BB05DB">
        <w:rPr>
          <w:sz w:val="26"/>
          <w:szCs w:val="26"/>
          <w:lang w:val="lt-LT"/>
        </w:rPr>
        <w:t xml:space="preserve">auditoriai </w:t>
      </w:r>
      <w:r w:rsidR="00200B8F" w:rsidRPr="00BB05DB">
        <w:rPr>
          <w:sz w:val="26"/>
          <w:szCs w:val="26"/>
          <w:lang w:val="lt-LT"/>
        </w:rPr>
        <w:t>audito rizik</w:t>
      </w:r>
      <w:r w:rsidR="00A824D9" w:rsidRPr="00BB05DB">
        <w:rPr>
          <w:sz w:val="26"/>
          <w:szCs w:val="26"/>
          <w:lang w:val="lt-LT"/>
        </w:rPr>
        <w:t>ą</w:t>
      </w:r>
      <w:r w:rsidR="00200B8F" w:rsidRPr="00BB05DB">
        <w:rPr>
          <w:sz w:val="26"/>
          <w:szCs w:val="26"/>
          <w:lang w:val="lt-LT"/>
        </w:rPr>
        <w:t xml:space="preserve"> ir/ar jos komponent</w:t>
      </w:r>
      <w:r w:rsidR="00A824D9" w:rsidRPr="00BB05DB">
        <w:rPr>
          <w:sz w:val="26"/>
          <w:szCs w:val="26"/>
          <w:lang w:val="lt-LT"/>
        </w:rPr>
        <w:t>us</w:t>
      </w:r>
      <w:r w:rsidR="00E741AD" w:rsidRPr="00BB05DB">
        <w:rPr>
          <w:sz w:val="26"/>
          <w:szCs w:val="26"/>
          <w:lang w:val="lt-LT"/>
        </w:rPr>
        <w:t xml:space="preserve"> </w:t>
      </w:r>
      <w:r w:rsidR="00200B8F" w:rsidRPr="00BB05DB">
        <w:rPr>
          <w:i/>
          <w:sz w:val="26"/>
          <w:szCs w:val="26"/>
          <w:lang w:val="lt-LT"/>
        </w:rPr>
        <w:t>vertina skirtingu pasireiškimo lygmeniu</w:t>
      </w:r>
      <w:r w:rsidR="00200B8F" w:rsidRPr="00BB05DB">
        <w:rPr>
          <w:sz w:val="26"/>
          <w:szCs w:val="26"/>
          <w:lang w:val="lt-LT"/>
        </w:rPr>
        <w:t>, t. y. 86,4</w:t>
      </w:r>
      <w:r w:rsidR="00BB05DB">
        <w:rPr>
          <w:sz w:val="26"/>
          <w:szCs w:val="26"/>
          <w:lang w:val="lt-LT"/>
        </w:rPr>
        <w:t> </w:t>
      </w:r>
      <w:r w:rsidR="00200B8F" w:rsidRPr="00BB05DB">
        <w:rPr>
          <w:sz w:val="26"/>
          <w:szCs w:val="26"/>
          <w:lang w:val="lt-LT"/>
        </w:rPr>
        <w:t>proc. auditorių vertina audito riziką arba jos komponentus ūkinių operacijų grupių, sąskaitų likučių ir atskleidimų lygmeniu, 50 proc. – finansinių ataskaitų lygmeniu ir 45,5 proc. konkretaus tvirtinimo lygmeniu</w:t>
      </w:r>
      <w:r w:rsidR="005776EC" w:rsidRPr="00BB05DB">
        <w:rPr>
          <w:sz w:val="26"/>
          <w:szCs w:val="26"/>
          <w:lang w:val="lt-LT"/>
        </w:rPr>
        <w:t xml:space="preserve">. </w:t>
      </w:r>
      <w:r w:rsidR="00735CB0">
        <w:rPr>
          <w:sz w:val="26"/>
          <w:szCs w:val="26"/>
          <w:lang w:val="lt-LT"/>
        </w:rPr>
        <w:t>Iš to matyti</w:t>
      </w:r>
      <w:r w:rsidR="00D00ACA" w:rsidRPr="00BB05DB">
        <w:rPr>
          <w:sz w:val="26"/>
          <w:szCs w:val="26"/>
          <w:lang w:val="lt-LT"/>
        </w:rPr>
        <w:t xml:space="preserve">, </w:t>
      </w:r>
      <w:r w:rsidR="00735CB0">
        <w:rPr>
          <w:sz w:val="26"/>
          <w:szCs w:val="26"/>
          <w:lang w:val="lt-LT"/>
        </w:rPr>
        <w:t xml:space="preserve">kad </w:t>
      </w:r>
      <w:r w:rsidR="00C8694D" w:rsidRPr="00BB05DB">
        <w:rPr>
          <w:sz w:val="26"/>
          <w:szCs w:val="26"/>
          <w:lang w:val="lt-LT"/>
        </w:rPr>
        <w:t xml:space="preserve">audito rizikos ir/ar komponentų (per)vertinimas finansinių ataskaitų lygmeniu ir </w:t>
      </w:r>
      <w:r w:rsidR="0025194A" w:rsidRPr="00BB05DB">
        <w:rPr>
          <w:sz w:val="26"/>
          <w:szCs w:val="26"/>
          <w:lang w:val="lt-LT"/>
        </w:rPr>
        <w:t>tvirtinimo</w:t>
      </w:r>
      <w:r w:rsidR="00C8694D" w:rsidRPr="00BB05DB">
        <w:rPr>
          <w:sz w:val="26"/>
          <w:szCs w:val="26"/>
          <w:lang w:val="lt-LT"/>
        </w:rPr>
        <w:t xml:space="preserve"> lygmeniu </w:t>
      </w:r>
      <w:r w:rsidR="00D00ACA" w:rsidRPr="00BB05DB">
        <w:rPr>
          <w:sz w:val="26"/>
          <w:szCs w:val="26"/>
          <w:lang w:val="lt-LT"/>
        </w:rPr>
        <w:t xml:space="preserve">auditorių </w:t>
      </w:r>
      <w:r w:rsidR="00C8694D" w:rsidRPr="00BB05DB">
        <w:rPr>
          <w:sz w:val="26"/>
          <w:szCs w:val="26"/>
          <w:lang w:val="lt-LT"/>
        </w:rPr>
        <w:t>nėra ignoruojamas</w:t>
      </w:r>
      <w:r w:rsidR="00D00ACA" w:rsidRPr="00BB05DB">
        <w:rPr>
          <w:sz w:val="26"/>
          <w:szCs w:val="26"/>
          <w:lang w:val="lt-LT"/>
        </w:rPr>
        <w:t>, tačiau dažniausiai atliekamas audito rizikos vertinimas ūkinių operacijų grupių, sąskaitų likučių ir atskleidimų lygmeniu</w:t>
      </w:r>
      <w:r w:rsidR="00C8694D" w:rsidRPr="00BB05DB">
        <w:rPr>
          <w:sz w:val="26"/>
          <w:szCs w:val="26"/>
          <w:lang w:val="lt-LT"/>
        </w:rPr>
        <w:t xml:space="preserve">. </w:t>
      </w:r>
      <w:r w:rsidR="005776EC" w:rsidRPr="00BB05DB">
        <w:rPr>
          <w:sz w:val="26"/>
          <w:szCs w:val="26"/>
          <w:lang w:val="lt-LT"/>
        </w:rPr>
        <w:t>Tiriant a</w:t>
      </w:r>
      <w:r w:rsidR="005776EC" w:rsidRPr="00BB05DB">
        <w:rPr>
          <w:noProof/>
          <w:sz w:val="26"/>
          <w:szCs w:val="26"/>
          <w:lang w:val="lt-LT"/>
        </w:rPr>
        <w:t xml:space="preserve">udito rizikos vertinimo skirtingu pasireiškimo lygmeniu priklausomybę </w:t>
      </w:r>
      <w:r w:rsidR="005776EC" w:rsidRPr="00BB05DB">
        <w:rPr>
          <w:sz w:val="26"/>
          <w:szCs w:val="26"/>
          <w:lang w:val="lt-LT"/>
        </w:rPr>
        <w:t>(r</w:t>
      </w:r>
      <w:r w:rsidR="005776EC" w:rsidRPr="00BB05DB">
        <w:rPr>
          <w:sz w:val="26"/>
          <w:szCs w:val="26"/>
          <w:vertAlign w:val="subscript"/>
          <w:lang w:val="lt-LT"/>
        </w:rPr>
        <w:t>s</w:t>
      </w:r>
      <w:r w:rsidR="005776EC" w:rsidRPr="00BB05DB">
        <w:rPr>
          <w:sz w:val="26"/>
          <w:szCs w:val="26"/>
          <w:lang w:val="lt-LT"/>
        </w:rPr>
        <w:t>) nuo auditoriaus darbo patirties ir atliekamų auditų skaičiaus per metus (žr.</w:t>
      </w:r>
      <w:r w:rsidR="00222CD6" w:rsidRPr="00BB05DB">
        <w:rPr>
          <w:sz w:val="26"/>
          <w:szCs w:val="26"/>
          <w:lang w:val="lt-LT"/>
        </w:rPr>
        <w:t>13</w:t>
      </w:r>
      <w:r w:rsidR="005776EC" w:rsidRPr="00BB05DB">
        <w:rPr>
          <w:sz w:val="26"/>
          <w:szCs w:val="26"/>
          <w:lang w:val="lt-LT"/>
        </w:rPr>
        <w:t xml:space="preserve"> priedas), nustatyta, kad nėra stipraus </w:t>
      </w:r>
      <w:r w:rsidR="008F1DF2" w:rsidRPr="00BB05DB">
        <w:rPr>
          <w:sz w:val="26"/>
          <w:szCs w:val="26"/>
          <w:lang w:val="lt-LT"/>
        </w:rPr>
        <w:t xml:space="preserve">ir statistiškai patikimo </w:t>
      </w:r>
      <w:r w:rsidR="005776EC" w:rsidRPr="00BB05DB">
        <w:rPr>
          <w:sz w:val="26"/>
          <w:szCs w:val="26"/>
          <w:lang w:val="lt-LT"/>
        </w:rPr>
        <w:t>ryšio tarp šių kintamųjų. T</w:t>
      </w:r>
      <w:r w:rsidR="00EF657F" w:rsidRPr="00BB05DB">
        <w:rPr>
          <w:sz w:val="26"/>
          <w:szCs w:val="26"/>
          <w:lang w:val="lt-LT"/>
        </w:rPr>
        <w:t xml:space="preserve">odėl galima, teigti, kad auditoriai atlieka audito rizikos ir/ar jos komponentų </w:t>
      </w:r>
      <w:r w:rsidR="00C8694D" w:rsidRPr="00BB05DB">
        <w:rPr>
          <w:sz w:val="26"/>
          <w:szCs w:val="26"/>
          <w:lang w:val="lt-LT"/>
        </w:rPr>
        <w:t>(per)</w:t>
      </w:r>
      <w:r w:rsidR="00EF657F" w:rsidRPr="00BB05DB">
        <w:rPr>
          <w:sz w:val="26"/>
          <w:szCs w:val="26"/>
          <w:lang w:val="lt-LT"/>
        </w:rPr>
        <w:t xml:space="preserve">vertinimą skirtingu pasireiškimo lygmeniu atsižvelgiant į audituojamos įmonės aplinkybes ar taikomą audito rizikos vertinimo metodiką. </w:t>
      </w:r>
    </w:p>
    <w:p w:rsidR="007A55A5" w:rsidRPr="00BB05DB" w:rsidRDefault="007A55A5" w:rsidP="001675AA">
      <w:pPr>
        <w:tabs>
          <w:tab w:val="left" w:pos="567"/>
          <w:tab w:val="left" w:pos="709"/>
        </w:tabs>
        <w:spacing w:line="360" w:lineRule="auto"/>
        <w:jc w:val="both"/>
        <w:rPr>
          <w:noProof/>
          <w:sz w:val="26"/>
          <w:szCs w:val="26"/>
          <w:lang w:val="lt-LT"/>
        </w:rPr>
      </w:pPr>
      <w:r w:rsidRPr="00BB05DB">
        <w:rPr>
          <w:sz w:val="26"/>
          <w:szCs w:val="26"/>
          <w:lang w:val="lt-LT"/>
        </w:rPr>
        <w:tab/>
      </w:r>
      <w:r w:rsidR="001675AA">
        <w:rPr>
          <w:sz w:val="26"/>
          <w:szCs w:val="26"/>
          <w:lang w:val="lt-LT"/>
        </w:rPr>
        <w:tab/>
      </w:r>
      <w:r w:rsidR="007070B2" w:rsidRPr="00BB05DB">
        <w:rPr>
          <w:sz w:val="26"/>
          <w:szCs w:val="26"/>
          <w:lang w:val="lt-LT"/>
        </w:rPr>
        <w:t>I</w:t>
      </w:r>
      <w:r w:rsidR="00B64591" w:rsidRPr="00BB05DB">
        <w:rPr>
          <w:sz w:val="26"/>
          <w:szCs w:val="26"/>
          <w:lang w:val="lt-LT"/>
        </w:rPr>
        <w:t>tin svarbu, kad auditoriai a</w:t>
      </w:r>
      <w:r w:rsidR="00200B8F" w:rsidRPr="00BB05DB">
        <w:rPr>
          <w:sz w:val="26"/>
          <w:szCs w:val="26"/>
          <w:lang w:val="lt-LT"/>
        </w:rPr>
        <w:t>udito rizik</w:t>
      </w:r>
      <w:r w:rsidR="00A824D9" w:rsidRPr="00BB05DB">
        <w:rPr>
          <w:sz w:val="26"/>
          <w:szCs w:val="26"/>
          <w:lang w:val="lt-LT"/>
        </w:rPr>
        <w:t>ą</w:t>
      </w:r>
      <w:r w:rsidR="00200B8F" w:rsidRPr="00BB05DB">
        <w:rPr>
          <w:sz w:val="26"/>
          <w:szCs w:val="26"/>
          <w:lang w:val="lt-LT"/>
        </w:rPr>
        <w:t xml:space="preserve"> ir/ar jos komponent</w:t>
      </w:r>
      <w:r w:rsidR="00A824D9" w:rsidRPr="00BB05DB">
        <w:rPr>
          <w:sz w:val="26"/>
          <w:szCs w:val="26"/>
          <w:lang w:val="lt-LT"/>
        </w:rPr>
        <w:t>us</w:t>
      </w:r>
      <w:r w:rsidR="00200B8F" w:rsidRPr="00BB05DB">
        <w:rPr>
          <w:sz w:val="26"/>
          <w:szCs w:val="26"/>
          <w:lang w:val="lt-LT"/>
        </w:rPr>
        <w:t xml:space="preserve"> </w:t>
      </w:r>
      <w:r w:rsidR="00A54970" w:rsidRPr="00BB05DB">
        <w:rPr>
          <w:sz w:val="26"/>
          <w:szCs w:val="26"/>
          <w:lang w:val="lt-LT"/>
        </w:rPr>
        <w:t>(reikš</w:t>
      </w:r>
      <w:r w:rsidR="00981EDB" w:rsidRPr="00BB05DB">
        <w:rPr>
          <w:sz w:val="26"/>
          <w:szCs w:val="26"/>
          <w:lang w:val="lt-LT"/>
        </w:rPr>
        <w:t>m</w:t>
      </w:r>
      <w:r w:rsidR="00A54970" w:rsidRPr="00BB05DB">
        <w:rPr>
          <w:sz w:val="26"/>
          <w:szCs w:val="26"/>
          <w:lang w:val="lt-LT"/>
        </w:rPr>
        <w:t>ingo iškraipymo rizik</w:t>
      </w:r>
      <w:r w:rsidR="00B64591" w:rsidRPr="00BB05DB">
        <w:rPr>
          <w:sz w:val="26"/>
          <w:szCs w:val="26"/>
          <w:lang w:val="lt-LT"/>
        </w:rPr>
        <w:t>ą</w:t>
      </w:r>
      <w:r w:rsidR="00A54970" w:rsidRPr="00BB05DB">
        <w:rPr>
          <w:sz w:val="26"/>
          <w:szCs w:val="26"/>
          <w:lang w:val="lt-LT"/>
        </w:rPr>
        <w:t xml:space="preserve"> ir aptikimo riziką) </w:t>
      </w:r>
      <w:r w:rsidR="00200B8F" w:rsidRPr="00BB05DB">
        <w:rPr>
          <w:i/>
          <w:sz w:val="26"/>
          <w:szCs w:val="26"/>
          <w:lang w:val="lt-LT"/>
        </w:rPr>
        <w:t xml:space="preserve">vertina ne viename audito proceso etape </w:t>
      </w:r>
      <w:r w:rsidR="00200B8F" w:rsidRPr="00BB05DB">
        <w:rPr>
          <w:sz w:val="26"/>
          <w:szCs w:val="26"/>
          <w:lang w:val="lt-LT"/>
        </w:rPr>
        <w:t>(</w:t>
      </w:r>
      <w:r w:rsidR="00981EDB" w:rsidRPr="00BB05DB">
        <w:rPr>
          <w:sz w:val="26"/>
          <w:szCs w:val="26"/>
          <w:lang w:val="lt-LT"/>
        </w:rPr>
        <w:t>žr. 1</w:t>
      </w:r>
      <w:r w:rsidR="008D1DE4" w:rsidRPr="00BB05DB">
        <w:rPr>
          <w:sz w:val="26"/>
          <w:szCs w:val="26"/>
          <w:lang w:val="lt-LT"/>
        </w:rPr>
        <w:t>7</w:t>
      </w:r>
      <w:r w:rsidR="00200B8F" w:rsidRPr="00BB05DB">
        <w:rPr>
          <w:sz w:val="26"/>
          <w:szCs w:val="26"/>
          <w:lang w:val="lt-LT"/>
        </w:rPr>
        <w:t xml:space="preserve"> pav.). </w:t>
      </w:r>
      <w:r w:rsidR="007070B2" w:rsidRPr="00BB05DB">
        <w:rPr>
          <w:sz w:val="26"/>
          <w:szCs w:val="26"/>
          <w:lang w:val="lt-LT"/>
        </w:rPr>
        <w:t>Tai auditoriai daro atsižvelgdami į taikomą audito rizikos vertinimo metodiką, nes statistiškai patikimo stipraus ryšio (r</w:t>
      </w:r>
      <w:r w:rsidR="007070B2" w:rsidRPr="00BB05DB">
        <w:rPr>
          <w:sz w:val="26"/>
          <w:szCs w:val="26"/>
          <w:vertAlign w:val="subscript"/>
          <w:lang w:val="lt-LT"/>
        </w:rPr>
        <w:t>s</w:t>
      </w:r>
      <w:r w:rsidR="007070B2" w:rsidRPr="00BB05DB">
        <w:rPr>
          <w:sz w:val="26"/>
          <w:szCs w:val="26"/>
          <w:lang w:val="lt-LT"/>
        </w:rPr>
        <w:t>) tarp a</w:t>
      </w:r>
      <w:r w:rsidR="007070B2" w:rsidRPr="00BB05DB">
        <w:rPr>
          <w:noProof/>
          <w:sz w:val="26"/>
          <w:szCs w:val="26"/>
          <w:lang w:val="lt-LT"/>
        </w:rPr>
        <w:t xml:space="preserve">udito rizikos komponentų vertinimo audito procese ir </w:t>
      </w:r>
      <w:r w:rsidR="007070B2" w:rsidRPr="00BB05DB">
        <w:rPr>
          <w:sz w:val="26"/>
          <w:szCs w:val="26"/>
          <w:lang w:val="lt-LT"/>
        </w:rPr>
        <w:t>auditorių darbo patirties</w:t>
      </w:r>
      <w:r w:rsidR="00735CB0">
        <w:rPr>
          <w:sz w:val="26"/>
          <w:szCs w:val="26"/>
          <w:lang w:val="lt-LT"/>
        </w:rPr>
        <w:t xml:space="preserve"> bei </w:t>
      </w:r>
      <w:r w:rsidR="007070B2" w:rsidRPr="00BB05DB">
        <w:rPr>
          <w:sz w:val="26"/>
          <w:szCs w:val="26"/>
          <w:lang w:val="lt-LT"/>
        </w:rPr>
        <w:t xml:space="preserve">atliktų auditų skaičiaus per metus </w:t>
      </w:r>
      <w:r w:rsidR="005F3C89" w:rsidRPr="00BB05DB">
        <w:rPr>
          <w:sz w:val="26"/>
          <w:szCs w:val="26"/>
          <w:lang w:val="lt-LT"/>
        </w:rPr>
        <w:t>nenustatyta (žr. 14</w:t>
      </w:r>
      <w:r w:rsidR="007070B2" w:rsidRPr="00BB05DB">
        <w:rPr>
          <w:sz w:val="26"/>
          <w:szCs w:val="26"/>
          <w:lang w:val="lt-LT"/>
        </w:rPr>
        <w:t xml:space="preserve"> priedas). </w:t>
      </w:r>
    </w:p>
    <w:p w:rsidR="00E91FD7" w:rsidRDefault="00200B8F" w:rsidP="00E91FD7">
      <w:pPr>
        <w:spacing w:line="360" w:lineRule="auto"/>
        <w:ind w:firstLine="709"/>
        <w:rPr>
          <w:lang w:val="lt-LT"/>
        </w:rPr>
      </w:pPr>
      <w:r w:rsidRPr="004A2B00">
        <w:rPr>
          <w:noProof/>
          <w:sz w:val="24"/>
          <w:lang w:val="lt-LT"/>
        </w:rPr>
        <w:lastRenderedPageBreak/>
        <w:drawing>
          <wp:inline distT="0" distB="0" distL="0" distR="0">
            <wp:extent cx="4572000" cy="2743200"/>
            <wp:effectExtent l="0" t="0" r="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91FD7" w:rsidRPr="00E91FD7">
        <w:rPr>
          <w:lang w:val="lt-LT"/>
        </w:rPr>
        <w:t xml:space="preserve"> </w:t>
      </w:r>
    </w:p>
    <w:p w:rsidR="00E91FD7" w:rsidRPr="00E91FD7" w:rsidRDefault="00E91FD7" w:rsidP="00E91FD7">
      <w:pPr>
        <w:spacing w:line="360" w:lineRule="auto"/>
        <w:ind w:firstLine="709"/>
        <w:rPr>
          <w:lang w:val="lt-LT"/>
        </w:rPr>
      </w:pPr>
      <w:r w:rsidRPr="00E91FD7">
        <w:rPr>
          <w:lang w:val="lt-LT"/>
        </w:rPr>
        <w:t xml:space="preserve">Šaltinis: </w:t>
      </w:r>
      <w:r>
        <w:rPr>
          <w:lang w:val="lt-LT"/>
        </w:rPr>
        <w:t>s</w:t>
      </w:r>
      <w:r w:rsidRPr="00E91FD7">
        <w:rPr>
          <w:lang w:val="lt-LT"/>
        </w:rPr>
        <w:t>ukurta autorės.</w:t>
      </w:r>
    </w:p>
    <w:p w:rsidR="00200B8F" w:rsidRPr="00BB05DB" w:rsidRDefault="00981EDB" w:rsidP="00BB05DB">
      <w:pPr>
        <w:ind w:firstLine="709"/>
        <w:jc w:val="center"/>
        <w:rPr>
          <w:sz w:val="26"/>
          <w:szCs w:val="26"/>
          <w:lang w:val="lt-LT"/>
        </w:rPr>
      </w:pPr>
      <w:r w:rsidRPr="00BB05DB">
        <w:rPr>
          <w:b/>
          <w:sz w:val="26"/>
          <w:szCs w:val="26"/>
          <w:lang w:val="lt-LT"/>
        </w:rPr>
        <w:t>1</w:t>
      </w:r>
      <w:r w:rsidR="008D1DE4" w:rsidRPr="00BB05DB">
        <w:rPr>
          <w:b/>
          <w:sz w:val="26"/>
          <w:szCs w:val="26"/>
          <w:lang w:val="lt-LT"/>
        </w:rPr>
        <w:t>7</w:t>
      </w:r>
      <w:r w:rsidR="00200B8F" w:rsidRPr="00BB05DB">
        <w:rPr>
          <w:b/>
          <w:sz w:val="26"/>
          <w:szCs w:val="26"/>
          <w:lang w:val="lt-LT"/>
        </w:rPr>
        <w:t xml:space="preserve"> pav. Audito rizikos komponentų vertinimo praktika audito procese</w:t>
      </w:r>
    </w:p>
    <w:p w:rsidR="00756C8A" w:rsidRPr="00BB05DB" w:rsidRDefault="00756C8A" w:rsidP="00756C8A">
      <w:pPr>
        <w:tabs>
          <w:tab w:val="left" w:pos="567"/>
        </w:tabs>
        <w:spacing w:before="240" w:line="360" w:lineRule="auto"/>
        <w:jc w:val="both"/>
        <w:rPr>
          <w:noProof/>
          <w:sz w:val="26"/>
          <w:szCs w:val="26"/>
          <w:lang w:val="lt-LT"/>
        </w:rPr>
      </w:pPr>
      <w:r>
        <w:rPr>
          <w:sz w:val="24"/>
          <w:lang w:val="lt-LT"/>
        </w:rPr>
        <w:tab/>
      </w:r>
      <w:r w:rsidRPr="00BB05DB">
        <w:rPr>
          <w:sz w:val="26"/>
          <w:szCs w:val="26"/>
          <w:lang w:val="lt-LT"/>
        </w:rPr>
        <w:t>Nors dauguma auditorių (80-95,2 proc.) nurodė, kad audito rizikos komponentus vertina audito planavimo ir kontrolės tyrimo/detalaus tikrinimo etapuose, tačiau jie taip pat pripažįsta audito rizikos komponentų (per)vertinimo svarbą ir kituose audito proceso etapuose. Be to, tiriant a</w:t>
      </w:r>
      <w:r w:rsidRPr="00BB05DB">
        <w:rPr>
          <w:noProof/>
          <w:sz w:val="26"/>
          <w:szCs w:val="26"/>
          <w:lang w:val="lt-LT"/>
        </w:rPr>
        <w:t xml:space="preserve">udito rizikos komponentų vertinimo audito etapuose ryšį </w:t>
      </w:r>
      <w:r w:rsidRPr="00BB05DB">
        <w:rPr>
          <w:sz w:val="26"/>
          <w:szCs w:val="26"/>
          <w:lang w:val="lt-LT"/>
        </w:rPr>
        <w:t>(r</w:t>
      </w:r>
      <w:r w:rsidRPr="00BB05DB">
        <w:rPr>
          <w:sz w:val="26"/>
          <w:szCs w:val="26"/>
          <w:vertAlign w:val="subscript"/>
          <w:lang w:val="lt-LT"/>
        </w:rPr>
        <w:t>s</w:t>
      </w:r>
      <w:r w:rsidRPr="00BB05DB">
        <w:rPr>
          <w:sz w:val="26"/>
          <w:szCs w:val="26"/>
          <w:lang w:val="lt-LT"/>
        </w:rPr>
        <w:t xml:space="preserve">) (žr. 15 priedas), nustatyta, kad įprastai auditoriai nuomonės formulavimo etape vertina abu audito rizikos komponentus (reikšmingo iškraipymo riziką ir </w:t>
      </w:r>
      <w:r w:rsidR="003B0F57" w:rsidRPr="00BB05DB">
        <w:rPr>
          <w:sz w:val="26"/>
          <w:szCs w:val="26"/>
          <w:lang w:val="lt-LT"/>
        </w:rPr>
        <w:t>aptikimo</w:t>
      </w:r>
      <w:r w:rsidRPr="00BB05DB">
        <w:rPr>
          <w:sz w:val="26"/>
          <w:szCs w:val="26"/>
          <w:lang w:val="lt-LT"/>
        </w:rPr>
        <w:t xml:space="preserve"> riziką), t. y. (r</w:t>
      </w:r>
      <w:r w:rsidRPr="00BB05DB">
        <w:rPr>
          <w:sz w:val="26"/>
          <w:szCs w:val="26"/>
          <w:vertAlign w:val="subscript"/>
          <w:lang w:val="lt-LT"/>
        </w:rPr>
        <w:t>s</w:t>
      </w:r>
      <w:r w:rsidRPr="00BB05DB">
        <w:rPr>
          <w:sz w:val="26"/>
          <w:szCs w:val="26"/>
          <w:lang w:val="lt-LT"/>
        </w:rPr>
        <w:t xml:space="preserve"> </w:t>
      </w:r>
      <w:r w:rsidRPr="00BB05DB">
        <w:rPr>
          <w:sz w:val="26"/>
          <w:szCs w:val="26"/>
          <w:lang w:val="ru-RU"/>
        </w:rPr>
        <w:t xml:space="preserve">= </w:t>
      </w:r>
      <w:r w:rsidRPr="00BB05DB">
        <w:rPr>
          <w:sz w:val="26"/>
          <w:szCs w:val="26"/>
          <w:lang w:val="lt-LT"/>
        </w:rPr>
        <w:t xml:space="preserve">0,671, kai </w:t>
      </w:r>
      <w:r w:rsidRPr="00BB05DB">
        <w:rPr>
          <w:sz w:val="26"/>
          <w:szCs w:val="26"/>
        </w:rPr>
        <w:t>p &lt; 0,01</w:t>
      </w:r>
      <w:r w:rsidRPr="00BB05DB">
        <w:rPr>
          <w:sz w:val="26"/>
          <w:szCs w:val="26"/>
          <w:lang w:val="lt-LT"/>
        </w:rPr>
        <w:t xml:space="preserve">). </w:t>
      </w:r>
    </w:p>
    <w:p w:rsidR="00B64591" w:rsidRPr="00BB05DB" w:rsidRDefault="00A824D9" w:rsidP="00756C8A">
      <w:pPr>
        <w:spacing w:line="360" w:lineRule="auto"/>
        <w:ind w:firstLine="709"/>
        <w:jc w:val="both"/>
        <w:rPr>
          <w:sz w:val="26"/>
          <w:szCs w:val="26"/>
          <w:lang w:val="lt-LT"/>
        </w:rPr>
      </w:pPr>
      <w:r w:rsidRPr="00BB05DB">
        <w:rPr>
          <w:sz w:val="26"/>
          <w:szCs w:val="26"/>
          <w:lang w:val="lt-LT"/>
        </w:rPr>
        <w:t xml:space="preserve">90,5 proc. </w:t>
      </w:r>
      <w:r w:rsidR="006829E5" w:rsidRPr="00BB05DB">
        <w:rPr>
          <w:sz w:val="26"/>
          <w:szCs w:val="26"/>
          <w:lang w:val="lt-LT"/>
        </w:rPr>
        <w:t xml:space="preserve">tyrime dalyvavusių </w:t>
      </w:r>
      <w:r w:rsidRPr="00BB05DB">
        <w:rPr>
          <w:sz w:val="26"/>
          <w:szCs w:val="26"/>
          <w:lang w:val="lt-LT"/>
        </w:rPr>
        <w:t xml:space="preserve">auditorių nurodė, jog </w:t>
      </w:r>
      <w:r w:rsidRPr="00BB05DB">
        <w:rPr>
          <w:i/>
          <w:sz w:val="26"/>
          <w:szCs w:val="26"/>
          <w:lang w:val="lt-LT"/>
        </w:rPr>
        <w:t>reikšmingo iškraipymo rizikas pasireiškiančias dėl apgaulės ir dėl klaidos vertina atskirai</w:t>
      </w:r>
      <w:r w:rsidR="006829E5" w:rsidRPr="00BB05DB">
        <w:rPr>
          <w:sz w:val="26"/>
          <w:szCs w:val="26"/>
          <w:lang w:val="lt-LT"/>
        </w:rPr>
        <w:t>,</w:t>
      </w:r>
      <w:r w:rsidRPr="00BB05DB">
        <w:rPr>
          <w:sz w:val="26"/>
          <w:szCs w:val="26"/>
          <w:lang w:val="lt-LT"/>
        </w:rPr>
        <w:t xml:space="preserve"> šią nuomonę pagr</w:t>
      </w:r>
      <w:r w:rsidR="006829E5" w:rsidRPr="00BB05DB">
        <w:rPr>
          <w:sz w:val="26"/>
          <w:szCs w:val="26"/>
          <w:lang w:val="lt-LT"/>
        </w:rPr>
        <w:t>indė</w:t>
      </w:r>
      <w:r w:rsidRPr="00BB05DB">
        <w:rPr>
          <w:sz w:val="26"/>
          <w:szCs w:val="26"/>
          <w:lang w:val="lt-LT"/>
        </w:rPr>
        <w:t xml:space="preserve"> tuo, kad: 1) apgaulę daug sunkiau nustatyti (75 proc.), 2)</w:t>
      </w:r>
      <w:r w:rsidR="00BB05DB">
        <w:rPr>
          <w:sz w:val="26"/>
          <w:szCs w:val="26"/>
          <w:lang w:val="lt-LT"/>
        </w:rPr>
        <w:t> </w:t>
      </w:r>
      <w:r w:rsidRPr="00BB05DB">
        <w:rPr>
          <w:sz w:val="26"/>
          <w:szCs w:val="26"/>
          <w:lang w:val="lt-LT"/>
        </w:rPr>
        <w:t>apgaulę dažniau vykdo įmonės vadovybė nei jos darbuotojai (</w:t>
      </w:r>
      <w:r w:rsidR="006829E5" w:rsidRPr="00BB05DB">
        <w:rPr>
          <w:sz w:val="26"/>
          <w:szCs w:val="26"/>
          <w:lang w:val="lt-LT"/>
        </w:rPr>
        <w:t>70 proc.), 3)</w:t>
      </w:r>
      <w:r w:rsidR="00BB05DB">
        <w:rPr>
          <w:sz w:val="26"/>
          <w:szCs w:val="26"/>
          <w:lang w:val="lt-LT"/>
        </w:rPr>
        <w:t> </w:t>
      </w:r>
      <w:r w:rsidR="006829E5" w:rsidRPr="00BB05DB">
        <w:rPr>
          <w:sz w:val="26"/>
          <w:szCs w:val="26"/>
          <w:lang w:val="lt-LT"/>
        </w:rPr>
        <w:t>apgaulės nagrinėjimui turi būti skiriamas didesnis dėmesys (60 proc.), 4)</w:t>
      </w:r>
      <w:r w:rsidR="00BB05DB">
        <w:rPr>
          <w:sz w:val="26"/>
          <w:szCs w:val="26"/>
          <w:lang w:val="lt-LT"/>
        </w:rPr>
        <w:t> </w:t>
      </w:r>
      <w:r w:rsidR="006829E5" w:rsidRPr="00BB05DB">
        <w:rPr>
          <w:sz w:val="26"/>
          <w:szCs w:val="26"/>
          <w:lang w:val="lt-LT"/>
        </w:rPr>
        <w:t>apgaulės vertinimui svarbūs ir asmens vykdančio asmens sugebėjimai (55</w:t>
      </w:r>
      <w:r w:rsidR="00BB05DB">
        <w:rPr>
          <w:sz w:val="26"/>
          <w:szCs w:val="26"/>
          <w:lang w:val="lt-LT"/>
        </w:rPr>
        <w:t> </w:t>
      </w:r>
      <w:r w:rsidR="006829E5" w:rsidRPr="00BB05DB">
        <w:rPr>
          <w:sz w:val="26"/>
          <w:szCs w:val="26"/>
          <w:lang w:val="lt-LT"/>
        </w:rPr>
        <w:t xml:space="preserve">proc.), 5) apgaulę lemia sąlygos (spaudimas/galimybės/racionalizacija), kurios nėra svarbos klaidų atsiradimui (50 proc.). </w:t>
      </w:r>
    </w:p>
    <w:p w:rsidR="008F1DF2" w:rsidRPr="00BB05DB" w:rsidRDefault="008F1DF2" w:rsidP="003B0F57">
      <w:pPr>
        <w:spacing w:line="360" w:lineRule="auto"/>
        <w:ind w:firstLine="709"/>
        <w:jc w:val="both"/>
        <w:rPr>
          <w:sz w:val="26"/>
          <w:szCs w:val="26"/>
          <w:lang w:val="lt-LT"/>
        </w:rPr>
      </w:pPr>
      <w:r w:rsidRPr="00BB05DB">
        <w:rPr>
          <w:sz w:val="26"/>
          <w:szCs w:val="26"/>
          <w:lang w:val="lt-LT"/>
        </w:rPr>
        <w:lastRenderedPageBreak/>
        <w:t xml:space="preserve">Statistiškai patikimi Spirmeno koreliacijos koeficientai, kurie parodo apgaulės nagrinėjimo priežasčių tarpusavio ryšį ir jų ryšį su auditoriaus darbo patirtimi, pagal </w:t>
      </w:r>
      <w:r w:rsidR="005F3C89" w:rsidRPr="00BB05DB">
        <w:rPr>
          <w:sz w:val="26"/>
          <w:szCs w:val="26"/>
          <w:lang w:val="lt-LT"/>
        </w:rPr>
        <w:t>16</w:t>
      </w:r>
      <w:r w:rsidRPr="00BB05DB">
        <w:rPr>
          <w:sz w:val="26"/>
          <w:szCs w:val="26"/>
          <w:lang w:val="lt-LT"/>
        </w:rPr>
        <w:t xml:space="preserve"> priedo duomenis </w:t>
      </w:r>
      <w:r w:rsidR="003B0F57" w:rsidRPr="00BB05DB">
        <w:rPr>
          <w:sz w:val="26"/>
          <w:szCs w:val="26"/>
          <w:lang w:val="lt-LT"/>
        </w:rPr>
        <w:t>apibendrinti</w:t>
      </w:r>
      <w:r w:rsidRPr="00BB05DB">
        <w:rPr>
          <w:sz w:val="26"/>
          <w:szCs w:val="26"/>
          <w:lang w:val="lt-LT"/>
        </w:rPr>
        <w:t xml:space="preserve"> </w:t>
      </w:r>
      <w:r w:rsidR="006F53DE">
        <w:rPr>
          <w:sz w:val="26"/>
          <w:szCs w:val="26"/>
          <w:lang w:val="lt-LT"/>
        </w:rPr>
        <w:t>20</w:t>
      </w:r>
      <w:r w:rsidRPr="00BB05DB">
        <w:rPr>
          <w:sz w:val="26"/>
          <w:szCs w:val="26"/>
          <w:lang w:val="lt-LT"/>
        </w:rPr>
        <w:t xml:space="preserve"> lentelėje.</w:t>
      </w:r>
    </w:p>
    <w:p w:rsidR="00810471" w:rsidRPr="00BB05DB" w:rsidRDefault="006F53DE" w:rsidP="00810471">
      <w:pPr>
        <w:spacing w:line="360" w:lineRule="auto"/>
        <w:ind w:firstLine="709"/>
        <w:jc w:val="right"/>
        <w:rPr>
          <w:i/>
          <w:sz w:val="26"/>
          <w:szCs w:val="26"/>
          <w:lang w:val="lt-LT"/>
        </w:rPr>
      </w:pPr>
      <w:r>
        <w:rPr>
          <w:i/>
          <w:sz w:val="26"/>
          <w:szCs w:val="26"/>
          <w:lang w:val="lt-LT"/>
        </w:rPr>
        <w:t>20</w:t>
      </w:r>
      <w:r w:rsidR="00810471" w:rsidRPr="00BB05DB">
        <w:rPr>
          <w:i/>
          <w:sz w:val="26"/>
          <w:szCs w:val="26"/>
          <w:lang w:val="lt-LT"/>
        </w:rPr>
        <w:t xml:space="preserve"> lentelė</w:t>
      </w:r>
    </w:p>
    <w:p w:rsidR="00810471" w:rsidRPr="00BB05DB" w:rsidRDefault="00810471" w:rsidP="00810471">
      <w:pPr>
        <w:tabs>
          <w:tab w:val="left" w:pos="567"/>
        </w:tabs>
        <w:jc w:val="center"/>
        <w:rPr>
          <w:b/>
          <w:sz w:val="26"/>
          <w:szCs w:val="26"/>
          <w:lang w:val="lt-LT"/>
        </w:rPr>
      </w:pPr>
      <w:r w:rsidRPr="00BB05DB">
        <w:rPr>
          <w:b/>
          <w:noProof/>
          <w:sz w:val="26"/>
          <w:szCs w:val="26"/>
          <w:lang w:val="lt-LT"/>
        </w:rPr>
        <w:t xml:space="preserve">Apgaulės nagrinėjimo priežasčių tarpusavio </w:t>
      </w:r>
      <w:r w:rsidR="002A02D2" w:rsidRPr="00BB05DB">
        <w:rPr>
          <w:b/>
          <w:noProof/>
          <w:sz w:val="26"/>
          <w:szCs w:val="26"/>
          <w:lang w:val="lt-LT"/>
        </w:rPr>
        <w:t xml:space="preserve">ryšys </w:t>
      </w:r>
      <w:r w:rsidRPr="00BB05DB">
        <w:rPr>
          <w:b/>
          <w:noProof/>
          <w:sz w:val="26"/>
          <w:szCs w:val="26"/>
          <w:lang w:val="lt-LT"/>
        </w:rPr>
        <w:t xml:space="preserve">ir </w:t>
      </w:r>
      <w:r w:rsidR="002A02D2" w:rsidRPr="00BB05DB">
        <w:rPr>
          <w:b/>
          <w:noProof/>
          <w:sz w:val="26"/>
          <w:szCs w:val="26"/>
          <w:lang w:val="lt-LT"/>
        </w:rPr>
        <w:t xml:space="preserve">jų </w:t>
      </w:r>
      <w:r w:rsidRPr="00BB05DB">
        <w:rPr>
          <w:b/>
          <w:noProof/>
          <w:sz w:val="26"/>
          <w:szCs w:val="26"/>
          <w:lang w:val="lt-LT"/>
        </w:rPr>
        <w:t xml:space="preserve">ryšys </w:t>
      </w:r>
      <w:r w:rsidRPr="00BB05DB">
        <w:rPr>
          <w:b/>
          <w:sz w:val="26"/>
          <w:szCs w:val="26"/>
          <w:lang w:val="lt-LT"/>
        </w:rPr>
        <w:t>(r</w:t>
      </w:r>
      <w:r w:rsidRPr="00BB05DB">
        <w:rPr>
          <w:b/>
          <w:sz w:val="26"/>
          <w:szCs w:val="26"/>
          <w:vertAlign w:val="subscript"/>
          <w:lang w:val="lt-LT"/>
        </w:rPr>
        <w:t>s</w:t>
      </w:r>
      <w:r w:rsidRPr="00BB05DB">
        <w:rPr>
          <w:b/>
          <w:sz w:val="26"/>
          <w:szCs w:val="26"/>
          <w:lang w:val="lt-LT"/>
        </w:rPr>
        <w:t xml:space="preserve">) su auditoriaus darbo patirtimi </w:t>
      </w:r>
    </w:p>
    <w:p w:rsidR="00810471" w:rsidRPr="00810471" w:rsidRDefault="00810471" w:rsidP="00810471">
      <w:pPr>
        <w:tabs>
          <w:tab w:val="left" w:pos="567"/>
        </w:tabs>
        <w:jc w:val="center"/>
        <w:rPr>
          <w:b/>
          <w:sz w:val="16"/>
          <w:szCs w:val="16"/>
          <w:lang w:val="lt-LT"/>
        </w:rPr>
      </w:pPr>
    </w:p>
    <w:tbl>
      <w:tblPr>
        <w:tblStyle w:val="TableGrid"/>
        <w:tblW w:w="0" w:type="auto"/>
        <w:jc w:val="center"/>
        <w:tblLook w:val="04A0"/>
      </w:tblPr>
      <w:tblGrid>
        <w:gridCol w:w="3261"/>
        <w:gridCol w:w="2100"/>
        <w:gridCol w:w="1548"/>
        <w:gridCol w:w="1585"/>
      </w:tblGrid>
      <w:tr w:rsidR="00012ED2" w:rsidRPr="00BB05DB" w:rsidTr="002967E2">
        <w:trPr>
          <w:jc w:val="center"/>
        </w:trPr>
        <w:tc>
          <w:tcPr>
            <w:tcW w:w="3599" w:type="dxa"/>
          </w:tcPr>
          <w:p w:rsidR="002967E2" w:rsidRPr="00BB05DB" w:rsidRDefault="002967E2" w:rsidP="002967E2">
            <w:pPr>
              <w:jc w:val="center"/>
              <w:rPr>
                <w:b/>
                <w:sz w:val="22"/>
                <w:szCs w:val="22"/>
                <w:lang w:val="lt-LT"/>
              </w:rPr>
            </w:pPr>
          </w:p>
          <w:p w:rsidR="00012ED2" w:rsidRPr="00BB05DB" w:rsidRDefault="002967E2" w:rsidP="002967E2">
            <w:pPr>
              <w:jc w:val="center"/>
              <w:rPr>
                <w:b/>
                <w:sz w:val="22"/>
                <w:szCs w:val="22"/>
                <w:lang w:val="lt-LT"/>
              </w:rPr>
            </w:pPr>
            <w:r w:rsidRPr="00BB05DB">
              <w:rPr>
                <w:b/>
                <w:sz w:val="22"/>
                <w:szCs w:val="22"/>
                <w:lang w:val="lt-LT"/>
              </w:rPr>
              <w:t>Kintamasis</w:t>
            </w:r>
          </w:p>
        </w:tc>
        <w:tc>
          <w:tcPr>
            <w:tcW w:w="2552" w:type="dxa"/>
          </w:tcPr>
          <w:p w:rsidR="00012ED2" w:rsidRPr="00BB05DB" w:rsidRDefault="00BB05DB" w:rsidP="00BB05DB">
            <w:pPr>
              <w:jc w:val="both"/>
              <w:rPr>
                <w:sz w:val="22"/>
                <w:szCs w:val="22"/>
                <w:lang w:val="lt-LT"/>
              </w:rPr>
            </w:pPr>
            <w:r>
              <w:rPr>
                <w:sz w:val="22"/>
                <w:szCs w:val="22"/>
                <w:lang w:val="lt-LT"/>
              </w:rPr>
              <w:t>A</w:t>
            </w:r>
            <w:r w:rsidR="002A02D2" w:rsidRPr="00BB05DB">
              <w:rPr>
                <w:sz w:val="22"/>
                <w:szCs w:val="22"/>
                <w:lang w:val="lt-LT"/>
              </w:rPr>
              <w:t>pgaulę dažniau vykdo įmonės vadovybė nei jos darbuotojai</w:t>
            </w:r>
          </w:p>
        </w:tc>
        <w:tc>
          <w:tcPr>
            <w:tcW w:w="1842" w:type="dxa"/>
          </w:tcPr>
          <w:p w:rsidR="00012ED2" w:rsidRPr="00BB05DB" w:rsidRDefault="00BB05DB" w:rsidP="00BB05DB">
            <w:pPr>
              <w:jc w:val="both"/>
              <w:rPr>
                <w:sz w:val="22"/>
                <w:szCs w:val="22"/>
                <w:lang w:val="lt-LT"/>
              </w:rPr>
            </w:pPr>
            <w:r>
              <w:rPr>
                <w:sz w:val="22"/>
                <w:szCs w:val="22"/>
                <w:lang w:val="lt-LT"/>
              </w:rPr>
              <w:t>A</w:t>
            </w:r>
            <w:r w:rsidR="00012ED2" w:rsidRPr="00BB05DB">
              <w:rPr>
                <w:sz w:val="22"/>
                <w:szCs w:val="22"/>
                <w:lang w:val="lt-LT"/>
              </w:rPr>
              <w:t>pgaulę daug sunkiau nustatyti</w:t>
            </w:r>
          </w:p>
        </w:tc>
        <w:tc>
          <w:tcPr>
            <w:tcW w:w="1754" w:type="dxa"/>
          </w:tcPr>
          <w:p w:rsidR="00012ED2" w:rsidRPr="00BB05DB" w:rsidRDefault="00BB05DB" w:rsidP="002967E2">
            <w:pPr>
              <w:jc w:val="both"/>
              <w:rPr>
                <w:sz w:val="22"/>
                <w:szCs w:val="22"/>
                <w:lang w:val="lt-LT"/>
              </w:rPr>
            </w:pPr>
            <w:r>
              <w:rPr>
                <w:sz w:val="22"/>
                <w:szCs w:val="22"/>
                <w:lang w:val="lt-LT"/>
              </w:rPr>
              <w:t>A</w:t>
            </w:r>
            <w:r w:rsidR="002A02D2" w:rsidRPr="00BB05DB">
              <w:rPr>
                <w:sz w:val="22"/>
                <w:szCs w:val="22"/>
                <w:lang w:val="lt-LT"/>
              </w:rPr>
              <w:t>uditoriaus darbo patirtis</w:t>
            </w:r>
          </w:p>
        </w:tc>
      </w:tr>
      <w:tr w:rsidR="00012ED2" w:rsidRPr="00BB05DB" w:rsidTr="002967E2">
        <w:trPr>
          <w:trHeight w:val="330"/>
          <w:jc w:val="center"/>
        </w:trPr>
        <w:tc>
          <w:tcPr>
            <w:tcW w:w="3599" w:type="dxa"/>
          </w:tcPr>
          <w:p w:rsidR="00012ED2" w:rsidRPr="00BB05DB" w:rsidRDefault="002A02D2" w:rsidP="002967E2">
            <w:pPr>
              <w:rPr>
                <w:sz w:val="22"/>
                <w:szCs w:val="22"/>
                <w:lang w:val="lt-LT"/>
              </w:rPr>
            </w:pPr>
            <w:r w:rsidRPr="00BB05DB">
              <w:rPr>
                <w:sz w:val="22"/>
                <w:szCs w:val="22"/>
                <w:lang w:val="lt-LT"/>
              </w:rPr>
              <w:t>apgaulės nagrinėjimui turi būti skiriamas didesnis dėmesys</w:t>
            </w:r>
          </w:p>
        </w:tc>
        <w:tc>
          <w:tcPr>
            <w:tcW w:w="2552" w:type="dxa"/>
          </w:tcPr>
          <w:p w:rsidR="00012ED2" w:rsidRPr="00BB05DB" w:rsidRDefault="00012ED2" w:rsidP="002967E2">
            <w:pPr>
              <w:jc w:val="center"/>
              <w:rPr>
                <w:sz w:val="22"/>
                <w:szCs w:val="22"/>
                <w:lang w:val="lt-LT"/>
              </w:rPr>
            </w:pPr>
            <w:r w:rsidRPr="00BB05DB">
              <w:rPr>
                <w:sz w:val="22"/>
                <w:szCs w:val="22"/>
                <w:lang w:val="lt-LT"/>
              </w:rPr>
              <w:t>0,449*</w:t>
            </w:r>
          </w:p>
        </w:tc>
        <w:tc>
          <w:tcPr>
            <w:tcW w:w="1842" w:type="dxa"/>
          </w:tcPr>
          <w:p w:rsidR="00012ED2" w:rsidRPr="00BB05DB" w:rsidRDefault="003B0F57" w:rsidP="002967E2">
            <w:pPr>
              <w:jc w:val="center"/>
              <w:rPr>
                <w:sz w:val="22"/>
                <w:szCs w:val="22"/>
                <w:lang w:val="lt-LT"/>
              </w:rPr>
            </w:pPr>
            <w:r w:rsidRPr="00BB05DB">
              <w:rPr>
                <w:sz w:val="22"/>
                <w:szCs w:val="22"/>
                <w:lang w:val="lt-LT"/>
              </w:rPr>
              <w:t>-</w:t>
            </w:r>
          </w:p>
        </w:tc>
        <w:tc>
          <w:tcPr>
            <w:tcW w:w="1754" w:type="dxa"/>
          </w:tcPr>
          <w:p w:rsidR="00012ED2" w:rsidRPr="00BB05DB" w:rsidRDefault="002A02D2" w:rsidP="002967E2">
            <w:pPr>
              <w:jc w:val="center"/>
              <w:rPr>
                <w:sz w:val="22"/>
                <w:szCs w:val="22"/>
                <w:lang w:val="lt-LT"/>
              </w:rPr>
            </w:pPr>
            <w:r w:rsidRPr="00BB05DB">
              <w:rPr>
                <w:sz w:val="22"/>
                <w:szCs w:val="22"/>
                <w:lang w:val="lt-LT"/>
              </w:rPr>
              <w:t>-0,524*</w:t>
            </w:r>
          </w:p>
        </w:tc>
      </w:tr>
      <w:tr w:rsidR="00012ED2" w:rsidRPr="00BB05DB" w:rsidTr="002967E2">
        <w:trPr>
          <w:trHeight w:val="330"/>
          <w:jc w:val="center"/>
        </w:trPr>
        <w:tc>
          <w:tcPr>
            <w:tcW w:w="3599" w:type="dxa"/>
          </w:tcPr>
          <w:p w:rsidR="00012ED2" w:rsidRPr="00BB05DB" w:rsidRDefault="00012ED2" w:rsidP="002967E2">
            <w:pPr>
              <w:rPr>
                <w:sz w:val="22"/>
                <w:szCs w:val="22"/>
                <w:lang w:val="lt-LT"/>
              </w:rPr>
            </w:pPr>
            <w:r w:rsidRPr="00BB05DB">
              <w:rPr>
                <w:sz w:val="22"/>
                <w:szCs w:val="22"/>
                <w:lang w:val="lt-LT"/>
              </w:rPr>
              <w:t>apgaulę lemia sąlygos (spaudimas</w:t>
            </w:r>
            <w:r w:rsidR="002967E2" w:rsidRPr="00BB05DB">
              <w:rPr>
                <w:sz w:val="22"/>
                <w:szCs w:val="22"/>
                <w:lang w:val="lt-LT"/>
              </w:rPr>
              <w:t xml:space="preserve"> </w:t>
            </w:r>
            <w:r w:rsidRPr="00BB05DB">
              <w:rPr>
                <w:sz w:val="22"/>
                <w:szCs w:val="22"/>
                <w:lang w:val="lt-LT"/>
              </w:rPr>
              <w:t>/galimybės/racionalizacija)</w:t>
            </w:r>
          </w:p>
        </w:tc>
        <w:tc>
          <w:tcPr>
            <w:tcW w:w="2552" w:type="dxa"/>
          </w:tcPr>
          <w:p w:rsidR="00012ED2" w:rsidRPr="00BB05DB" w:rsidRDefault="003B0F57" w:rsidP="002967E2">
            <w:pPr>
              <w:jc w:val="center"/>
              <w:rPr>
                <w:sz w:val="22"/>
                <w:szCs w:val="22"/>
                <w:lang w:val="lt-LT"/>
              </w:rPr>
            </w:pPr>
            <w:r w:rsidRPr="00BB05DB">
              <w:rPr>
                <w:sz w:val="22"/>
                <w:szCs w:val="22"/>
                <w:lang w:val="lt-LT"/>
              </w:rPr>
              <w:t>-</w:t>
            </w:r>
          </w:p>
        </w:tc>
        <w:tc>
          <w:tcPr>
            <w:tcW w:w="1842" w:type="dxa"/>
          </w:tcPr>
          <w:p w:rsidR="00012ED2" w:rsidRPr="00BB05DB" w:rsidRDefault="00012ED2" w:rsidP="002967E2">
            <w:pPr>
              <w:jc w:val="center"/>
              <w:rPr>
                <w:sz w:val="22"/>
                <w:szCs w:val="22"/>
                <w:lang w:val="lt-LT"/>
              </w:rPr>
            </w:pPr>
            <w:r w:rsidRPr="00BB05DB">
              <w:rPr>
                <w:sz w:val="22"/>
                <w:szCs w:val="22"/>
                <w:lang w:val="lt-LT"/>
              </w:rPr>
              <w:t>0,428*</w:t>
            </w:r>
          </w:p>
        </w:tc>
        <w:tc>
          <w:tcPr>
            <w:tcW w:w="1754" w:type="dxa"/>
          </w:tcPr>
          <w:p w:rsidR="00012ED2" w:rsidRPr="00BB05DB" w:rsidRDefault="003B0F57" w:rsidP="002967E2">
            <w:pPr>
              <w:jc w:val="center"/>
              <w:rPr>
                <w:sz w:val="22"/>
                <w:szCs w:val="22"/>
                <w:lang w:val="lt-LT"/>
              </w:rPr>
            </w:pPr>
            <w:r w:rsidRPr="00BB05DB">
              <w:rPr>
                <w:sz w:val="22"/>
                <w:szCs w:val="22"/>
                <w:lang w:val="lt-LT"/>
              </w:rPr>
              <w:t>-</w:t>
            </w:r>
          </w:p>
        </w:tc>
      </w:tr>
      <w:tr w:rsidR="002A02D2" w:rsidRPr="00BB05DB" w:rsidTr="002967E2">
        <w:trPr>
          <w:trHeight w:val="330"/>
          <w:jc w:val="center"/>
        </w:trPr>
        <w:tc>
          <w:tcPr>
            <w:tcW w:w="3599" w:type="dxa"/>
          </w:tcPr>
          <w:p w:rsidR="002A02D2" w:rsidRPr="00BB05DB" w:rsidRDefault="002967E2" w:rsidP="002967E2">
            <w:pPr>
              <w:rPr>
                <w:sz w:val="22"/>
                <w:szCs w:val="22"/>
                <w:lang w:val="lt-LT"/>
              </w:rPr>
            </w:pPr>
            <w:r w:rsidRPr="00BB05DB">
              <w:rPr>
                <w:sz w:val="22"/>
                <w:szCs w:val="22"/>
                <w:lang w:val="lt-LT"/>
              </w:rPr>
              <w:t xml:space="preserve">apgaulės vertinimui </w:t>
            </w:r>
            <w:r w:rsidR="002A02D2" w:rsidRPr="00BB05DB">
              <w:rPr>
                <w:sz w:val="22"/>
                <w:szCs w:val="22"/>
                <w:lang w:val="lt-LT"/>
              </w:rPr>
              <w:t>svarbūs ir asmens vykdančio apgaulę sugebėjimai</w:t>
            </w:r>
          </w:p>
        </w:tc>
        <w:tc>
          <w:tcPr>
            <w:tcW w:w="2552" w:type="dxa"/>
          </w:tcPr>
          <w:p w:rsidR="002A02D2" w:rsidRPr="00BB05DB" w:rsidRDefault="002A02D2" w:rsidP="002967E2">
            <w:pPr>
              <w:jc w:val="center"/>
              <w:rPr>
                <w:sz w:val="22"/>
                <w:szCs w:val="22"/>
                <w:lang w:val="lt-LT"/>
              </w:rPr>
            </w:pPr>
            <w:r w:rsidRPr="00BB05DB">
              <w:rPr>
                <w:sz w:val="22"/>
                <w:szCs w:val="22"/>
                <w:lang w:val="lt-LT"/>
              </w:rPr>
              <w:t>0,567**</w:t>
            </w:r>
          </w:p>
        </w:tc>
        <w:tc>
          <w:tcPr>
            <w:tcW w:w="1842" w:type="dxa"/>
          </w:tcPr>
          <w:p w:rsidR="002A02D2" w:rsidRPr="00BB05DB" w:rsidRDefault="002A02D2" w:rsidP="002967E2">
            <w:pPr>
              <w:jc w:val="center"/>
              <w:rPr>
                <w:sz w:val="22"/>
                <w:szCs w:val="22"/>
                <w:lang w:val="lt-LT"/>
              </w:rPr>
            </w:pPr>
            <w:r w:rsidRPr="00BB05DB">
              <w:rPr>
                <w:sz w:val="22"/>
                <w:szCs w:val="22"/>
                <w:lang w:val="lt-LT"/>
              </w:rPr>
              <w:t>0,488*</w:t>
            </w:r>
          </w:p>
        </w:tc>
        <w:tc>
          <w:tcPr>
            <w:tcW w:w="1754" w:type="dxa"/>
          </w:tcPr>
          <w:p w:rsidR="002A02D2" w:rsidRPr="00BB05DB" w:rsidRDefault="003B0F57" w:rsidP="002967E2">
            <w:pPr>
              <w:jc w:val="center"/>
              <w:rPr>
                <w:sz w:val="22"/>
                <w:szCs w:val="22"/>
                <w:lang w:val="lt-LT"/>
              </w:rPr>
            </w:pPr>
            <w:r w:rsidRPr="00BB05DB">
              <w:rPr>
                <w:sz w:val="22"/>
                <w:szCs w:val="22"/>
                <w:lang w:val="lt-LT"/>
              </w:rPr>
              <w:t>-</w:t>
            </w:r>
          </w:p>
        </w:tc>
      </w:tr>
    </w:tbl>
    <w:p w:rsidR="00810471" w:rsidRPr="00E91FD7" w:rsidRDefault="00E91FD7" w:rsidP="00810471">
      <w:pPr>
        <w:pStyle w:val="Normal-pr"/>
        <w:rPr>
          <w:sz w:val="20"/>
        </w:rPr>
      </w:pPr>
      <w:r>
        <w:rPr>
          <w:sz w:val="20"/>
        </w:rPr>
        <w:t>Pastaba:</w:t>
      </w:r>
      <w:r w:rsidR="00810471" w:rsidRPr="00E91FD7">
        <w:rPr>
          <w:sz w:val="20"/>
        </w:rPr>
        <w:t xml:space="preserve"> patikimumo lygmuo – *p &lt;0,05; </w:t>
      </w:r>
      <w:r w:rsidR="00BE7586">
        <w:rPr>
          <w:sz w:val="20"/>
        </w:rPr>
        <w:t>**</w:t>
      </w:r>
      <w:r w:rsidR="00810471" w:rsidRPr="00E91FD7">
        <w:rPr>
          <w:sz w:val="20"/>
        </w:rPr>
        <w:t>p &lt; 0,01</w:t>
      </w:r>
    </w:p>
    <w:p w:rsidR="00E91FD7" w:rsidRPr="00E91FD7" w:rsidRDefault="00E91FD7" w:rsidP="00810471">
      <w:pPr>
        <w:pStyle w:val="Normal-pr"/>
        <w:rPr>
          <w:sz w:val="20"/>
        </w:rPr>
      </w:pPr>
      <w:r w:rsidRPr="00E91FD7">
        <w:rPr>
          <w:sz w:val="20"/>
        </w:rPr>
        <w:t>Šaltinis: sudaryta autorės.</w:t>
      </w:r>
    </w:p>
    <w:p w:rsidR="00937504" w:rsidRPr="00BB05DB" w:rsidRDefault="00937504" w:rsidP="003B0F57">
      <w:pPr>
        <w:spacing w:before="240" w:line="360" w:lineRule="auto"/>
        <w:ind w:firstLine="709"/>
        <w:jc w:val="both"/>
        <w:rPr>
          <w:sz w:val="26"/>
          <w:szCs w:val="26"/>
        </w:rPr>
      </w:pPr>
      <w:r w:rsidRPr="00BB05DB">
        <w:rPr>
          <w:sz w:val="26"/>
          <w:szCs w:val="26"/>
          <w:lang w:val="lt-LT"/>
        </w:rPr>
        <w:t>R</w:t>
      </w:r>
      <w:r w:rsidR="00D05A35" w:rsidRPr="00BB05DB">
        <w:rPr>
          <w:sz w:val="26"/>
          <w:szCs w:val="26"/>
          <w:lang w:val="lt-LT"/>
        </w:rPr>
        <w:t>ezultatai rodo, kad apgaulės nagrinėjimui turi būti skiriamas didesnis dėmesys, nes dažniau su tuo yra susijusi vadovybė (r</w:t>
      </w:r>
      <w:r w:rsidR="00D05A35" w:rsidRPr="00BB05DB">
        <w:rPr>
          <w:sz w:val="26"/>
          <w:szCs w:val="26"/>
          <w:vertAlign w:val="subscript"/>
          <w:lang w:val="lt-LT"/>
        </w:rPr>
        <w:t>s</w:t>
      </w:r>
      <w:r w:rsidR="00D05A35" w:rsidRPr="00BB05DB">
        <w:rPr>
          <w:sz w:val="26"/>
          <w:szCs w:val="26"/>
          <w:lang w:val="lt-LT"/>
        </w:rPr>
        <w:t xml:space="preserve"> </w:t>
      </w:r>
      <w:r w:rsidR="00D05A35" w:rsidRPr="00BB05DB">
        <w:rPr>
          <w:sz w:val="26"/>
          <w:szCs w:val="26"/>
          <w:lang w:val="ru-RU"/>
        </w:rPr>
        <w:t xml:space="preserve">= </w:t>
      </w:r>
      <w:r w:rsidR="00D05A35" w:rsidRPr="00BB05DB">
        <w:rPr>
          <w:sz w:val="26"/>
          <w:szCs w:val="26"/>
        </w:rPr>
        <w:t xml:space="preserve">0,449), </w:t>
      </w:r>
      <w:r w:rsidR="00D05A35" w:rsidRPr="00BB05DB">
        <w:rPr>
          <w:sz w:val="26"/>
          <w:szCs w:val="26"/>
          <w:lang w:val="lt-LT"/>
        </w:rPr>
        <w:t>kuri gali turėti apgaulei įvykdyti būtinus sugebėjimus (r</w:t>
      </w:r>
      <w:r w:rsidR="00D05A35" w:rsidRPr="00BB05DB">
        <w:rPr>
          <w:sz w:val="26"/>
          <w:szCs w:val="26"/>
          <w:vertAlign w:val="subscript"/>
          <w:lang w:val="lt-LT"/>
        </w:rPr>
        <w:t>s</w:t>
      </w:r>
      <w:r w:rsidR="00D05A35" w:rsidRPr="00BB05DB">
        <w:rPr>
          <w:sz w:val="26"/>
          <w:szCs w:val="26"/>
          <w:lang w:val="lt-LT"/>
        </w:rPr>
        <w:t xml:space="preserve"> </w:t>
      </w:r>
      <w:r w:rsidR="00D05A35" w:rsidRPr="00BB05DB">
        <w:rPr>
          <w:sz w:val="26"/>
          <w:szCs w:val="26"/>
          <w:lang w:val="ru-RU"/>
        </w:rPr>
        <w:t xml:space="preserve">= </w:t>
      </w:r>
      <w:r w:rsidR="00D05A35" w:rsidRPr="00BB05DB">
        <w:rPr>
          <w:sz w:val="26"/>
          <w:szCs w:val="26"/>
        </w:rPr>
        <w:t>0,567)</w:t>
      </w:r>
      <w:r w:rsidR="00D05A35" w:rsidRPr="00BB05DB">
        <w:rPr>
          <w:sz w:val="26"/>
          <w:szCs w:val="26"/>
          <w:lang w:val="lt-LT"/>
        </w:rPr>
        <w:t>. Taip pat apgaulę daug sunkiau nustatyti, kadangi ją lem</w:t>
      </w:r>
      <w:r w:rsidRPr="00BB05DB">
        <w:rPr>
          <w:sz w:val="26"/>
          <w:szCs w:val="26"/>
          <w:lang w:val="lt-LT"/>
        </w:rPr>
        <w:t xml:space="preserve">ia ne tik apgaulės trikampio sąlygos (spaudimas, galimybės, racionalizacija) bet ir asmens vykdančio apgaulę sugebėjimai. </w:t>
      </w:r>
      <w:r w:rsidR="00F3423B" w:rsidRPr="00BB05DB">
        <w:rPr>
          <w:sz w:val="26"/>
          <w:szCs w:val="26"/>
          <w:lang w:val="lt-LT"/>
        </w:rPr>
        <w:t xml:space="preserve">Tuo </w:t>
      </w:r>
      <w:r w:rsidR="003B0F57" w:rsidRPr="00BB05DB">
        <w:rPr>
          <w:sz w:val="26"/>
          <w:szCs w:val="26"/>
          <w:lang w:val="lt-LT"/>
        </w:rPr>
        <w:t>tyrime dalyvavę auditoriai patvirtino</w:t>
      </w:r>
      <w:r w:rsidR="00F3423B" w:rsidRPr="00BB05DB">
        <w:rPr>
          <w:sz w:val="26"/>
          <w:szCs w:val="26"/>
          <w:lang w:val="lt-LT"/>
        </w:rPr>
        <w:t xml:space="preserve"> </w:t>
      </w:r>
      <w:r w:rsidR="00BE7586" w:rsidRPr="00BB05DB">
        <w:rPr>
          <w:sz w:val="26"/>
          <w:szCs w:val="26"/>
          <w:lang w:val="lt-LT"/>
        </w:rPr>
        <w:t>„</w:t>
      </w:r>
      <w:r w:rsidR="00F3423B" w:rsidRPr="00BB05DB">
        <w:rPr>
          <w:sz w:val="26"/>
          <w:szCs w:val="26"/>
          <w:lang w:val="lt-LT"/>
        </w:rPr>
        <w:t>apgaulės rombo</w:t>
      </w:r>
      <w:r w:rsidR="00BE7586" w:rsidRPr="00BB05DB">
        <w:rPr>
          <w:sz w:val="26"/>
          <w:szCs w:val="26"/>
          <w:lang w:val="lt-LT"/>
        </w:rPr>
        <w:t>“</w:t>
      </w:r>
      <w:r w:rsidR="00F3423B" w:rsidRPr="00BB05DB">
        <w:rPr>
          <w:sz w:val="26"/>
          <w:szCs w:val="26"/>
          <w:lang w:val="lt-LT"/>
        </w:rPr>
        <w:t xml:space="preserve"> taisykl</w:t>
      </w:r>
      <w:r w:rsidR="003B0F57" w:rsidRPr="00BB05DB">
        <w:rPr>
          <w:sz w:val="26"/>
          <w:szCs w:val="26"/>
          <w:lang w:val="lt-LT"/>
        </w:rPr>
        <w:t xml:space="preserve">ę, apibendrintą </w:t>
      </w:r>
      <w:r w:rsidR="00A900B0">
        <w:rPr>
          <w:sz w:val="26"/>
          <w:szCs w:val="26"/>
          <w:lang w:val="lt-LT"/>
        </w:rPr>
        <w:t xml:space="preserve">disertacijos </w:t>
      </w:r>
      <w:r w:rsidR="007C26EC" w:rsidRPr="00BB05DB">
        <w:rPr>
          <w:sz w:val="26"/>
          <w:szCs w:val="26"/>
          <w:lang w:val="lt-LT"/>
        </w:rPr>
        <w:t xml:space="preserve">1.2.1. </w:t>
      </w:r>
      <w:r w:rsidR="003B0F57" w:rsidRPr="00BB05DB">
        <w:rPr>
          <w:sz w:val="26"/>
          <w:szCs w:val="26"/>
          <w:lang w:val="lt-LT"/>
        </w:rPr>
        <w:t>skyriuje</w:t>
      </w:r>
      <w:r w:rsidR="00F3423B" w:rsidRPr="00BB05DB">
        <w:rPr>
          <w:sz w:val="26"/>
          <w:szCs w:val="26"/>
          <w:lang w:val="lt-LT"/>
        </w:rPr>
        <w:t xml:space="preserve">. </w:t>
      </w:r>
      <w:r w:rsidRPr="00BB05DB">
        <w:rPr>
          <w:sz w:val="26"/>
          <w:szCs w:val="26"/>
          <w:lang w:val="lt-LT"/>
        </w:rPr>
        <w:t>Be t</w:t>
      </w:r>
      <w:r w:rsidR="003D315B">
        <w:rPr>
          <w:sz w:val="26"/>
          <w:szCs w:val="26"/>
          <w:lang w:val="lt-LT"/>
        </w:rPr>
        <w:t xml:space="preserve">o, </w:t>
      </w:r>
      <w:r w:rsidRPr="00BB05DB">
        <w:rPr>
          <w:sz w:val="26"/>
          <w:szCs w:val="26"/>
          <w:lang w:val="lt-LT"/>
        </w:rPr>
        <w:t xml:space="preserve">labiau patyrę auditoriai nesiūlo skirti didesnio dėmesio </w:t>
      </w:r>
      <w:r w:rsidR="00F46CD6" w:rsidRPr="00BB05DB">
        <w:rPr>
          <w:sz w:val="26"/>
          <w:szCs w:val="26"/>
          <w:lang w:val="lt-LT"/>
        </w:rPr>
        <w:t xml:space="preserve">apgaulės nagrinėjimui </w:t>
      </w:r>
      <w:r w:rsidRPr="00BB05DB">
        <w:rPr>
          <w:sz w:val="26"/>
          <w:szCs w:val="26"/>
          <w:lang w:val="lt-LT"/>
        </w:rPr>
        <w:t>nei mažesnę patirtį turintys jų kolegos (r</w:t>
      </w:r>
      <w:r w:rsidRPr="00BB05DB">
        <w:rPr>
          <w:sz w:val="26"/>
          <w:szCs w:val="26"/>
          <w:vertAlign w:val="subscript"/>
          <w:lang w:val="lt-LT"/>
        </w:rPr>
        <w:t>s</w:t>
      </w:r>
      <w:r w:rsidRPr="00BB05DB">
        <w:rPr>
          <w:sz w:val="26"/>
          <w:szCs w:val="26"/>
          <w:lang w:val="lt-LT"/>
        </w:rPr>
        <w:t xml:space="preserve"> </w:t>
      </w:r>
      <w:r w:rsidRPr="00BB05DB">
        <w:rPr>
          <w:sz w:val="26"/>
          <w:szCs w:val="26"/>
          <w:lang w:val="ru-RU"/>
        </w:rPr>
        <w:t xml:space="preserve">= </w:t>
      </w:r>
      <w:r w:rsidRPr="00BB05DB">
        <w:rPr>
          <w:sz w:val="26"/>
          <w:szCs w:val="26"/>
          <w:lang w:val="lt-LT"/>
        </w:rPr>
        <w:t>-</w:t>
      </w:r>
      <w:r w:rsidRPr="00BB05DB">
        <w:rPr>
          <w:sz w:val="26"/>
          <w:szCs w:val="26"/>
        </w:rPr>
        <w:t>0,524).</w:t>
      </w:r>
    </w:p>
    <w:p w:rsidR="00FD6D4A" w:rsidRPr="00BB05DB" w:rsidRDefault="003D315B" w:rsidP="00F3423B">
      <w:pPr>
        <w:spacing w:line="360" w:lineRule="auto"/>
        <w:ind w:firstLine="709"/>
        <w:jc w:val="both"/>
        <w:rPr>
          <w:sz w:val="26"/>
          <w:szCs w:val="26"/>
          <w:lang w:val="lt-LT"/>
        </w:rPr>
      </w:pPr>
      <w:r>
        <w:rPr>
          <w:sz w:val="26"/>
          <w:szCs w:val="26"/>
          <w:lang w:val="lt-LT"/>
        </w:rPr>
        <w:t>V</w:t>
      </w:r>
      <w:r w:rsidR="006829E5" w:rsidRPr="00BB05DB">
        <w:rPr>
          <w:sz w:val="26"/>
          <w:szCs w:val="26"/>
          <w:lang w:val="lt-LT"/>
        </w:rPr>
        <w:t>isi auditoriai</w:t>
      </w:r>
      <w:r w:rsidR="00A824D9" w:rsidRPr="00BB05DB">
        <w:rPr>
          <w:sz w:val="26"/>
          <w:szCs w:val="26"/>
          <w:lang w:val="lt-LT"/>
        </w:rPr>
        <w:t xml:space="preserve"> </w:t>
      </w:r>
      <w:r w:rsidR="006829E5" w:rsidRPr="00BB05DB">
        <w:rPr>
          <w:sz w:val="26"/>
          <w:szCs w:val="26"/>
          <w:lang w:val="lt-LT"/>
        </w:rPr>
        <w:t xml:space="preserve">vertindami </w:t>
      </w:r>
      <w:r w:rsidR="00A824D9" w:rsidRPr="00BB05DB">
        <w:rPr>
          <w:sz w:val="26"/>
          <w:szCs w:val="26"/>
          <w:lang w:val="lt-LT"/>
        </w:rPr>
        <w:t xml:space="preserve">reikšmingo </w:t>
      </w:r>
      <w:r w:rsidR="006829E5" w:rsidRPr="00BB05DB">
        <w:rPr>
          <w:sz w:val="26"/>
          <w:szCs w:val="26"/>
          <w:lang w:val="lt-LT"/>
        </w:rPr>
        <w:t>iškraipymo rizika</w:t>
      </w:r>
      <w:r w:rsidR="00A824D9" w:rsidRPr="00BB05DB">
        <w:rPr>
          <w:sz w:val="26"/>
          <w:szCs w:val="26"/>
          <w:lang w:val="lt-LT"/>
        </w:rPr>
        <w:t xml:space="preserve">s </w:t>
      </w:r>
      <w:r w:rsidR="006829E5" w:rsidRPr="00BB05DB">
        <w:rPr>
          <w:sz w:val="26"/>
          <w:szCs w:val="26"/>
          <w:lang w:val="lt-LT"/>
        </w:rPr>
        <w:t>n</w:t>
      </w:r>
      <w:r w:rsidR="006829E5" w:rsidRPr="00BB05DB">
        <w:rPr>
          <w:i/>
          <w:sz w:val="26"/>
          <w:szCs w:val="26"/>
          <w:lang w:val="lt-LT"/>
        </w:rPr>
        <w:t xml:space="preserve">agrinėja </w:t>
      </w:r>
      <w:r w:rsidR="006F7800" w:rsidRPr="00BB05DB">
        <w:rPr>
          <w:i/>
          <w:sz w:val="26"/>
          <w:szCs w:val="26"/>
          <w:lang w:val="lt-LT"/>
        </w:rPr>
        <w:t xml:space="preserve">audituojamos </w:t>
      </w:r>
      <w:r w:rsidR="006829E5" w:rsidRPr="00BB05DB">
        <w:rPr>
          <w:i/>
          <w:sz w:val="26"/>
          <w:szCs w:val="26"/>
          <w:lang w:val="lt-LT"/>
        </w:rPr>
        <w:t>įmonės verslo riziką</w:t>
      </w:r>
      <w:r w:rsidR="006829E5" w:rsidRPr="00BB05DB">
        <w:rPr>
          <w:sz w:val="26"/>
          <w:szCs w:val="26"/>
          <w:lang w:val="lt-LT"/>
        </w:rPr>
        <w:t>, tačiau teiginiui, kad „audituojamos įmonės verslo rizikai reikėtų skirti daugiau dėmesio ir atskirai ją nagrinėti</w:t>
      </w:r>
      <w:r w:rsidR="0098241B" w:rsidRPr="00BB05DB">
        <w:rPr>
          <w:sz w:val="26"/>
          <w:szCs w:val="26"/>
          <w:lang w:val="lt-LT"/>
        </w:rPr>
        <w:t>“ pritarė 61,9</w:t>
      </w:r>
      <w:r w:rsidR="002C24E1">
        <w:rPr>
          <w:sz w:val="26"/>
          <w:szCs w:val="26"/>
          <w:lang w:val="lt-LT"/>
        </w:rPr>
        <w:t> </w:t>
      </w:r>
      <w:r w:rsidR="0098241B" w:rsidRPr="00BB05DB">
        <w:rPr>
          <w:sz w:val="26"/>
          <w:szCs w:val="26"/>
          <w:lang w:val="lt-LT"/>
        </w:rPr>
        <w:t xml:space="preserve">proc. Atsižvelgiant į tai, galima teigti, kad </w:t>
      </w:r>
      <w:r w:rsidR="008558EC" w:rsidRPr="00BB05DB">
        <w:rPr>
          <w:sz w:val="26"/>
          <w:szCs w:val="26"/>
          <w:lang w:val="lt-LT"/>
        </w:rPr>
        <w:t xml:space="preserve">audituojamos įmonės </w:t>
      </w:r>
      <w:r w:rsidR="0098241B" w:rsidRPr="00BB05DB">
        <w:rPr>
          <w:sz w:val="26"/>
          <w:szCs w:val="26"/>
          <w:lang w:val="lt-LT"/>
        </w:rPr>
        <w:t xml:space="preserve">verslo rizika suprantama kaip sudėtinė reikšmingo iškraipymo rizikos dalis. Tuo tarpu </w:t>
      </w:r>
      <w:r w:rsidR="004E5821" w:rsidRPr="00BB05DB">
        <w:rPr>
          <w:sz w:val="26"/>
          <w:szCs w:val="26"/>
          <w:lang w:val="lt-LT"/>
        </w:rPr>
        <w:t xml:space="preserve">aptikimo rizikos atskiram vertinimui </w:t>
      </w:r>
      <w:r w:rsidR="00A824D9" w:rsidRPr="00BB05DB">
        <w:rPr>
          <w:sz w:val="26"/>
          <w:szCs w:val="26"/>
          <w:lang w:val="lt-LT"/>
        </w:rPr>
        <w:t>dėl atrankos taikymo</w:t>
      </w:r>
      <w:r w:rsidR="004E5821" w:rsidRPr="00BB05DB">
        <w:rPr>
          <w:sz w:val="26"/>
          <w:szCs w:val="26"/>
          <w:lang w:val="lt-LT"/>
        </w:rPr>
        <w:t xml:space="preserve"> ir ne dėl atrankos taikymo pritaria 68,2 proc. auditorių, t. y. 50 proc. jų atsakė, kad tokį vertinimą jau atlieka, o likusieji 18,2 proc. mano, kad toks vertinimas galėtų būti </w:t>
      </w:r>
      <w:r w:rsidR="004E5821" w:rsidRPr="00BB05DB">
        <w:rPr>
          <w:sz w:val="26"/>
          <w:szCs w:val="26"/>
          <w:lang w:val="lt-LT"/>
        </w:rPr>
        <w:lastRenderedPageBreak/>
        <w:t>efektyvus. Be to, 45,4 proc. auditorių nurodė, kad atrankos riziką vertina tik tuomet</w:t>
      </w:r>
      <w:r w:rsidR="005120E3" w:rsidRPr="00BB05DB">
        <w:rPr>
          <w:sz w:val="26"/>
          <w:szCs w:val="26"/>
          <w:lang w:val="lt-LT"/>
        </w:rPr>
        <w:t>,</w:t>
      </w:r>
      <w:r w:rsidR="004E5821" w:rsidRPr="00BB05DB">
        <w:rPr>
          <w:sz w:val="26"/>
          <w:szCs w:val="26"/>
          <w:lang w:val="lt-LT"/>
        </w:rPr>
        <w:t xml:space="preserve"> kai naudoja statistinį atrankos būdą</w:t>
      </w:r>
      <w:r w:rsidR="005120E3" w:rsidRPr="00BB05DB">
        <w:rPr>
          <w:sz w:val="26"/>
          <w:szCs w:val="26"/>
          <w:lang w:val="lt-LT"/>
        </w:rPr>
        <w:t>.</w:t>
      </w:r>
      <w:r w:rsidR="00FD6D4A" w:rsidRPr="00BB05DB">
        <w:rPr>
          <w:sz w:val="26"/>
          <w:szCs w:val="26"/>
          <w:lang w:val="lt-LT"/>
        </w:rPr>
        <w:t xml:space="preserve"> </w:t>
      </w:r>
    </w:p>
    <w:p w:rsidR="00701E74" w:rsidRPr="00BB05DB" w:rsidRDefault="00F25FD2" w:rsidP="00701E74">
      <w:pPr>
        <w:spacing w:line="360" w:lineRule="auto"/>
        <w:ind w:firstLine="709"/>
        <w:jc w:val="both"/>
        <w:rPr>
          <w:sz w:val="26"/>
          <w:szCs w:val="26"/>
          <w:lang w:val="lt-LT"/>
        </w:rPr>
      </w:pPr>
      <w:r w:rsidRPr="00BB05DB">
        <w:rPr>
          <w:sz w:val="26"/>
          <w:szCs w:val="26"/>
          <w:lang w:val="lt-LT"/>
        </w:rPr>
        <w:t xml:space="preserve">Nors atsakymai į 20-ąjį tyrimo klausimą „Ar manote, kad klasikinio audito rizikos modelio sandarą ir matematinę išraišką reikėtų peržiūrėti“ </w:t>
      </w:r>
      <w:r w:rsidR="00DE4C8B" w:rsidRPr="00BB05DB">
        <w:rPr>
          <w:sz w:val="26"/>
          <w:szCs w:val="26"/>
          <w:lang w:val="lt-LT"/>
        </w:rPr>
        <w:t>nėra vienareikšmiai (</w:t>
      </w:r>
      <w:r w:rsidRPr="00BB05DB">
        <w:rPr>
          <w:sz w:val="26"/>
          <w:szCs w:val="26"/>
          <w:lang w:val="lt-LT"/>
        </w:rPr>
        <w:t>50 proc. auditorių mano, kad reikėtų jį peržiūrėti, o 50 proc. nemano, kad reikia jį tobulinti</w:t>
      </w:r>
      <w:r w:rsidR="00DE4C8B" w:rsidRPr="00BB05DB">
        <w:rPr>
          <w:sz w:val="26"/>
          <w:szCs w:val="26"/>
          <w:lang w:val="lt-LT"/>
        </w:rPr>
        <w:t>)</w:t>
      </w:r>
      <w:r w:rsidRPr="00BB05DB">
        <w:rPr>
          <w:sz w:val="26"/>
          <w:szCs w:val="26"/>
          <w:lang w:val="lt-LT"/>
        </w:rPr>
        <w:t xml:space="preserve">, tačiau </w:t>
      </w:r>
      <w:r w:rsidR="00FD6D4A" w:rsidRPr="00BB05DB">
        <w:rPr>
          <w:sz w:val="26"/>
          <w:szCs w:val="26"/>
          <w:lang w:val="lt-LT"/>
        </w:rPr>
        <w:t xml:space="preserve">bendra </w:t>
      </w:r>
      <w:r w:rsidR="00F46CD6" w:rsidRPr="00BB05DB">
        <w:rPr>
          <w:sz w:val="26"/>
          <w:szCs w:val="26"/>
          <w:lang w:val="lt-LT"/>
        </w:rPr>
        <w:t xml:space="preserve">apklausos </w:t>
      </w:r>
      <w:r w:rsidR="00FD6D4A" w:rsidRPr="00BB05DB">
        <w:rPr>
          <w:sz w:val="26"/>
          <w:szCs w:val="26"/>
          <w:lang w:val="lt-LT"/>
        </w:rPr>
        <w:t>rezultatų analizė rodo, kad auditoriai pripažįsta klasikinio audito rizikos modelio trūkumus ir pritaria</w:t>
      </w:r>
      <w:r w:rsidRPr="00BB05DB">
        <w:rPr>
          <w:sz w:val="26"/>
          <w:szCs w:val="26"/>
          <w:lang w:val="lt-LT"/>
        </w:rPr>
        <w:t xml:space="preserve"> </w:t>
      </w:r>
      <w:r w:rsidR="00735CB0">
        <w:rPr>
          <w:sz w:val="26"/>
          <w:szCs w:val="26"/>
          <w:lang w:val="lt-LT"/>
        </w:rPr>
        <w:t>būtinybei</w:t>
      </w:r>
      <w:r w:rsidRPr="00BB05DB">
        <w:rPr>
          <w:sz w:val="26"/>
          <w:szCs w:val="26"/>
          <w:lang w:val="lt-LT"/>
        </w:rPr>
        <w:t xml:space="preserve"> jį tobulinti</w:t>
      </w:r>
      <w:r w:rsidR="00735CB0">
        <w:rPr>
          <w:sz w:val="26"/>
          <w:szCs w:val="26"/>
          <w:lang w:val="lt-LT"/>
        </w:rPr>
        <w:t>.</w:t>
      </w:r>
      <w:r w:rsidR="006F5393" w:rsidRPr="00BB05DB">
        <w:rPr>
          <w:sz w:val="26"/>
          <w:szCs w:val="26"/>
          <w:lang w:val="lt-LT"/>
        </w:rPr>
        <w:t xml:space="preserve"> 72,7 proc. tyrime dalyvavusių auditorių mano, kad vertinant audito riziką reikėtų atsižvelgti į kitas rizikas neaptartas klasikiniame audito rizikos modelyje (1</w:t>
      </w:r>
      <w:r w:rsidR="008D1DE4" w:rsidRPr="00BB05DB">
        <w:rPr>
          <w:sz w:val="26"/>
          <w:szCs w:val="26"/>
          <w:lang w:val="lt-LT"/>
        </w:rPr>
        <w:t>8</w:t>
      </w:r>
      <w:r w:rsidR="006F5393" w:rsidRPr="00BB05DB">
        <w:rPr>
          <w:sz w:val="26"/>
          <w:szCs w:val="26"/>
          <w:lang w:val="lt-LT"/>
        </w:rPr>
        <w:t xml:space="preserve"> pav.)</w:t>
      </w:r>
      <w:r w:rsidRPr="00BB05DB">
        <w:rPr>
          <w:sz w:val="26"/>
          <w:szCs w:val="26"/>
          <w:lang w:val="lt-LT"/>
        </w:rPr>
        <w:t xml:space="preserve">. </w:t>
      </w:r>
      <w:r w:rsidR="00F46CD6" w:rsidRPr="00BB05DB">
        <w:rPr>
          <w:sz w:val="26"/>
          <w:szCs w:val="26"/>
          <w:lang w:val="lt-LT"/>
        </w:rPr>
        <w:tab/>
        <w:t>Be to, svarbu ir tai, kad šiems siūlymams pritaria ne tik išskirtinai auditoriai, turintys didesnę darbo patirtį bei atliekantys daugiau auditų, t. y. stipraus ir statistiškai patikimo ryšio šiuo atveju nenustatyta (žr. 17 priedas).</w:t>
      </w:r>
    </w:p>
    <w:p w:rsidR="00E91FD7" w:rsidRPr="00E91FD7" w:rsidRDefault="00B47BD4" w:rsidP="003D315B">
      <w:pPr>
        <w:spacing w:line="360" w:lineRule="auto"/>
        <w:rPr>
          <w:lang w:val="lt-LT"/>
        </w:rPr>
      </w:pPr>
      <w:r w:rsidRPr="00B47BD4">
        <w:rPr>
          <w:b/>
          <w:noProof/>
          <w:sz w:val="24"/>
          <w:szCs w:val="24"/>
          <w:lang w:val="lt-LT"/>
        </w:rPr>
        <w:drawing>
          <wp:inline distT="0" distB="0" distL="0" distR="0">
            <wp:extent cx="4953000" cy="28575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E91FD7" w:rsidRPr="00E91FD7">
        <w:rPr>
          <w:lang w:val="lt-LT"/>
        </w:rPr>
        <w:t xml:space="preserve">Šaltinis: </w:t>
      </w:r>
      <w:r w:rsidR="00E91FD7">
        <w:rPr>
          <w:lang w:val="lt-LT"/>
        </w:rPr>
        <w:t>s</w:t>
      </w:r>
      <w:r w:rsidR="00E91FD7" w:rsidRPr="00E91FD7">
        <w:rPr>
          <w:lang w:val="lt-LT"/>
        </w:rPr>
        <w:t>ukurta autorės.</w:t>
      </w:r>
    </w:p>
    <w:p w:rsidR="003A3C61" w:rsidRPr="007B5A44" w:rsidRDefault="00981EDB" w:rsidP="003D315B">
      <w:pPr>
        <w:spacing w:line="360" w:lineRule="auto"/>
        <w:jc w:val="center"/>
        <w:rPr>
          <w:sz w:val="26"/>
          <w:szCs w:val="26"/>
          <w:lang w:val="lt-LT"/>
        </w:rPr>
      </w:pPr>
      <w:r w:rsidRPr="007B5A44">
        <w:rPr>
          <w:b/>
          <w:sz w:val="26"/>
          <w:szCs w:val="26"/>
          <w:lang w:val="lt-LT"/>
        </w:rPr>
        <w:t>1</w:t>
      </w:r>
      <w:r w:rsidR="008D1DE4" w:rsidRPr="007B5A44">
        <w:rPr>
          <w:b/>
          <w:sz w:val="26"/>
          <w:szCs w:val="26"/>
          <w:lang w:val="lt-LT"/>
        </w:rPr>
        <w:t>8</w:t>
      </w:r>
      <w:r w:rsidR="003A3C61" w:rsidRPr="007B5A44">
        <w:rPr>
          <w:b/>
          <w:sz w:val="26"/>
          <w:szCs w:val="26"/>
          <w:lang w:val="lt-LT"/>
        </w:rPr>
        <w:t xml:space="preserve"> pav. </w:t>
      </w:r>
      <w:r w:rsidR="0015210F" w:rsidRPr="007B5A44">
        <w:rPr>
          <w:b/>
          <w:sz w:val="26"/>
          <w:szCs w:val="26"/>
          <w:lang w:val="lt-LT"/>
        </w:rPr>
        <w:t>R</w:t>
      </w:r>
      <w:r w:rsidR="003A3C61" w:rsidRPr="007B5A44">
        <w:rPr>
          <w:b/>
          <w:sz w:val="26"/>
          <w:szCs w:val="26"/>
          <w:lang w:val="lt-LT"/>
        </w:rPr>
        <w:t>izikos</w:t>
      </w:r>
      <w:r w:rsidR="0015210F" w:rsidRPr="007B5A44">
        <w:rPr>
          <w:b/>
          <w:sz w:val="26"/>
          <w:szCs w:val="26"/>
          <w:lang w:val="lt-LT"/>
        </w:rPr>
        <w:t>, svarbios klasikinio audito rizikos</w:t>
      </w:r>
      <w:r w:rsidR="003A3C61" w:rsidRPr="007B5A44">
        <w:rPr>
          <w:b/>
          <w:sz w:val="26"/>
          <w:szCs w:val="26"/>
          <w:lang w:val="lt-LT"/>
        </w:rPr>
        <w:t xml:space="preserve"> </w:t>
      </w:r>
      <w:r w:rsidRPr="007B5A44">
        <w:rPr>
          <w:b/>
          <w:sz w:val="26"/>
          <w:szCs w:val="26"/>
          <w:lang w:val="lt-LT"/>
        </w:rPr>
        <w:t xml:space="preserve">modelio </w:t>
      </w:r>
      <w:r w:rsidR="0015210F" w:rsidRPr="007B5A44">
        <w:rPr>
          <w:b/>
          <w:sz w:val="26"/>
          <w:szCs w:val="26"/>
          <w:lang w:val="lt-LT"/>
        </w:rPr>
        <w:t>tobulinimui</w:t>
      </w:r>
    </w:p>
    <w:p w:rsidR="00F46CD6" w:rsidRPr="007B5A44" w:rsidRDefault="00F46CD6" w:rsidP="00F46CD6">
      <w:pPr>
        <w:spacing w:before="240" w:line="360" w:lineRule="auto"/>
        <w:ind w:firstLine="709"/>
        <w:jc w:val="both"/>
        <w:rPr>
          <w:sz w:val="26"/>
          <w:szCs w:val="26"/>
          <w:lang w:val="lt-LT"/>
        </w:rPr>
      </w:pPr>
      <w:r w:rsidRPr="007B5A44">
        <w:rPr>
          <w:sz w:val="26"/>
          <w:szCs w:val="26"/>
          <w:lang w:val="lt-LT"/>
        </w:rPr>
        <w:t>Atsižvelgiant į tai, daugiau nei pusė auditorių pritaria nuomonei, kad būtų išskirtos tokios rizikos kaip audituojamos įmonės verslo rizika (87,5</w:t>
      </w:r>
      <w:r w:rsidR="007B5A44">
        <w:rPr>
          <w:sz w:val="26"/>
          <w:szCs w:val="26"/>
          <w:lang w:val="lt-LT"/>
        </w:rPr>
        <w:t> </w:t>
      </w:r>
      <w:r w:rsidRPr="007B5A44">
        <w:rPr>
          <w:sz w:val="26"/>
          <w:szCs w:val="26"/>
          <w:lang w:val="lt-LT"/>
        </w:rPr>
        <w:t xml:space="preserve">proc.), reikšmingo iškraipymo rizikos pasireiškiančios dėl klaidos ir apgaulės (87,5 proc.), aptikimo rizika dėl atrankos ir ne dėl atrankos taikymo (50,0 proc.). Tuo tarpu siūlymui, kad reikėtų atsižvelgti į auditoriaus užduoties </w:t>
      </w:r>
      <w:r w:rsidRPr="007B5A44">
        <w:rPr>
          <w:sz w:val="26"/>
          <w:szCs w:val="26"/>
          <w:lang w:val="lt-LT"/>
        </w:rPr>
        <w:lastRenderedPageBreak/>
        <w:t>riziką ir auditoriaus profesinės etikos riziką, pritarė tik nedaugelis. Darbo autorės nuomone, tai gali būti paaiškinama tuo, kad auditoriaus užduoties rizika dažnai įvertinama pačioje audito atlikimo pradžioje, priimant sprendimą ar atlikti auditą, o profesinės etikos rizika yra neišvengimai susijusi su aptikimo rizika.</w:t>
      </w:r>
    </w:p>
    <w:p w:rsidR="000164C6" w:rsidRPr="007B5A44" w:rsidRDefault="003D315B" w:rsidP="00F46CD6">
      <w:pPr>
        <w:spacing w:line="360" w:lineRule="auto"/>
        <w:ind w:firstLine="709"/>
        <w:jc w:val="both"/>
        <w:rPr>
          <w:noProof/>
          <w:sz w:val="26"/>
          <w:szCs w:val="26"/>
          <w:lang w:val="lt-LT"/>
        </w:rPr>
      </w:pPr>
      <w:r>
        <w:rPr>
          <w:sz w:val="26"/>
          <w:szCs w:val="26"/>
          <w:lang w:val="lt-LT"/>
        </w:rPr>
        <w:t>Tiriant</w:t>
      </w:r>
      <w:r w:rsidR="00F46CD6" w:rsidRPr="007B5A44">
        <w:rPr>
          <w:sz w:val="26"/>
          <w:szCs w:val="26"/>
          <w:lang w:val="lt-LT"/>
        </w:rPr>
        <w:t>,</w:t>
      </w:r>
      <w:r w:rsidR="000164C6" w:rsidRPr="007B5A44">
        <w:rPr>
          <w:sz w:val="26"/>
          <w:szCs w:val="26"/>
          <w:lang w:val="lt-LT"/>
        </w:rPr>
        <w:t xml:space="preserve"> </w:t>
      </w:r>
      <w:r w:rsidR="00F46CD6" w:rsidRPr="007B5A44">
        <w:rPr>
          <w:sz w:val="26"/>
          <w:szCs w:val="26"/>
          <w:lang w:val="lt-LT"/>
        </w:rPr>
        <w:t xml:space="preserve">ar egzistuoja </w:t>
      </w:r>
      <w:r w:rsidR="004957D4" w:rsidRPr="007B5A44">
        <w:rPr>
          <w:sz w:val="26"/>
          <w:szCs w:val="26"/>
          <w:lang w:val="lt-LT"/>
        </w:rPr>
        <w:t>statistiškai patikim</w:t>
      </w:r>
      <w:r w:rsidR="00F46CD6" w:rsidRPr="007B5A44">
        <w:rPr>
          <w:sz w:val="26"/>
          <w:szCs w:val="26"/>
          <w:lang w:val="lt-LT"/>
        </w:rPr>
        <w:t>as</w:t>
      </w:r>
      <w:r w:rsidR="004957D4" w:rsidRPr="007B5A44">
        <w:rPr>
          <w:sz w:val="26"/>
          <w:szCs w:val="26"/>
          <w:lang w:val="lt-LT"/>
        </w:rPr>
        <w:t xml:space="preserve"> </w:t>
      </w:r>
      <w:r w:rsidR="000164C6" w:rsidRPr="007B5A44">
        <w:rPr>
          <w:sz w:val="26"/>
          <w:szCs w:val="26"/>
          <w:lang w:val="lt-LT"/>
        </w:rPr>
        <w:t>k</w:t>
      </w:r>
      <w:r w:rsidR="000164C6" w:rsidRPr="007B5A44">
        <w:rPr>
          <w:noProof/>
          <w:sz w:val="26"/>
          <w:szCs w:val="26"/>
          <w:lang w:val="lt-LT"/>
        </w:rPr>
        <w:t>itų rizikų vertinimo ryš</w:t>
      </w:r>
      <w:r w:rsidR="00B47BD4" w:rsidRPr="007B5A44">
        <w:rPr>
          <w:noProof/>
          <w:sz w:val="26"/>
          <w:szCs w:val="26"/>
          <w:lang w:val="lt-LT"/>
        </w:rPr>
        <w:t>ys</w:t>
      </w:r>
      <w:r w:rsidR="000164C6" w:rsidRPr="007B5A44">
        <w:rPr>
          <w:noProof/>
          <w:sz w:val="26"/>
          <w:szCs w:val="26"/>
          <w:lang w:val="lt-LT"/>
        </w:rPr>
        <w:t xml:space="preserve"> </w:t>
      </w:r>
      <w:r w:rsidR="000164C6" w:rsidRPr="007B5A44">
        <w:rPr>
          <w:sz w:val="26"/>
          <w:szCs w:val="26"/>
          <w:lang w:val="lt-LT"/>
        </w:rPr>
        <w:t>(r</w:t>
      </w:r>
      <w:r w:rsidR="000164C6" w:rsidRPr="007B5A44">
        <w:rPr>
          <w:sz w:val="26"/>
          <w:szCs w:val="26"/>
          <w:vertAlign w:val="subscript"/>
          <w:lang w:val="lt-LT"/>
        </w:rPr>
        <w:t>s</w:t>
      </w:r>
      <w:r w:rsidR="000164C6" w:rsidRPr="007B5A44">
        <w:rPr>
          <w:sz w:val="26"/>
          <w:szCs w:val="26"/>
          <w:lang w:val="lt-LT"/>
        </w:rPr>
        <w:t xml:space="preserve">) su auditoriaus darbo patirtimi ir atliekamų </w:t>
      </w:r>
      <w:r w:rsidR="00EF416C">
        <w:rPr>
          <w:sz w:val="26"/>
          <w:szCs w:val="26"/>
          <w:lang w:val="lt-LT"/>
        </w:rPr>
        <w:t>auditų skaičiumi per metus (žr. </w:t>
      </w:r>
      <w:r w:rsidR="005F3C89" w:rsidRPr="007B5A44">
        <w:rPr>
          <w:sz w:val="26"/>
          <w:szCs w:val="26"/>
          <w:lang w:val="lt-LT"/>
        </w:rPr>
        <w:t>18</w:t>
      </w:r>
      <w:r w:rsidR="000164C6" w:rsidRPr="007B5A44">
        <w:rPr>
          <w:sz w:val="26"/>
          <w:szCs w:val="26"/>
          <w:lang w:val="lt-LT"/>
        </w:rPr>
        <w:t xml:space="preserve"> priedas), nustatyta, kad auditoriai siūlę atsižvelgti į audituojamos įmonės verslo riziką laikėsi nuomonės, jog reikia atskirai nagrinėti reikšmingo iškraipymo rizik</w:t>
      </w:r>
      <w:r w:rsidR="00F46CD6" w:rsidRPr="007B5A44">
        <w:rPr>
          <w:sz w:val="26"/>
          <w:szCs w:val="26"/>
          <w:lang w:val="lt-LT"/>
        </w:rPr>
        <w:t>ą</w:t>
      </w:r>
      <w:r w:rsidR="000164C6" w:rsidRPr="007B5A44">
        <w:rPr>
          <w:sz w:val="26"/>
          <w:szCs w:val="26"/>
          <w:lang w:val="lt-LT"/>
        </w:rPr>
        <w:t>, pasireiškianči</w:t>
      </w:r>
      <w:r w:rsidR="00F46CD6" w:rsidRPr="007B5A44">
        <w:rPr>
          <w:sz w:val="26"/>
          <w:szCs w:val="26"/>
          <w:lang w:val="lt-LT"/>
        </w:rPr>
        <w:t>ą</w:t>
      </w:r>
      <w:r w:rsidR="000164C6" w:rsidRPr="007B5A44">
        <w:rPr>
          <w:sz w:val="26"/>
          <w:szCs w:val="26"/>
          <w:lang w:val="lt-LT"/>
        </w:rPr>
        <w:t xml:space="preserve"> dėl klaidos ir dėl apgaulės, t. y. (r</w:t>
      </w:r>
      <w:r w:rsidR="000164C6" w:rsidRPr="007B5A44">
        <w:rPr>
          <w:sz w:val="26"/>
          <w:szCs w:val="26"/>
          <w:vertAlign w:val="subscript"/>
          <w:lang w:val="lt-LT"/>
        </w:rPr>
        <w:t>s</w:t>
      </w:r>
      <w:r w:rsidR="000164C6" w:rsidRPr="007B5A44">
        <w:rPr>
          <w:sz w:val="26"/>
          <w:szCs w:val="26"/>
          <w:lang w:val="lt-LT"/>
        </w:rPr>
        <w:t xml:space="preserve"> = 0,607, kai p &lt; 0,01). </w:t>
      </w:r>
    </w:p>
    <w:p w:rsidR="00C60A93" w:rsidRPr="007B5A44" w:rsidRDefault="00491EB5" w:rsidP="004957D4">
      <w:pPr>
        <w:spacing w:line="360" w:lineRule="auto"/>
        <w:ind w:firstLine="709"/>
        <w:jc w:val="both"/>
        <w:rPr>
          <w:sz w:val="26"/>
          <w:szCs w:val="26"/>
          <w:lang w:val="lt-LT"/>
        </w:rPr>
      </w:pPr>
      <w:r w:rsidRPr="007B5A44">
        <w:rPr>
          <w:sz w:val="26"/>
          <w:szCs w:val="26"/>
          <w:lang w:val="lt-LT"/>
        </w:rPr>
        <w:t>Taigi i</w:t>
      </w:r>
      <w:r w:rsidR="00AB4510" w:rsidRPr="007B5A44">
        <w:rPr>
          <w:sz w:val="26"/>
          <w:szCs w:val="26"/>
          <w:lang w:val="lt-LT"/>
        </w:rPr>
        <w:t xml:space="preserve">š atliktos </w:t>
      </w:r>
      <w:r w:rsidR="003A3C61" w:rsidRPr="007B5A44">
        <w:rPr>
          <w:sz w:val="26"/>
          <w:szCs w:val="26"/>
          <w:lang w:val="lt-LT"/>
        </w:rPr>
        <w:t>tyrimo rezultatų analizė</w:t>
      </w:r>
      <w:r w:rsidR="00C60A93" w:rsidRPr="007B5A44">
        <w:rPr>
          <w:sz w:val="26"/>
          <w:szCs w:val="26"/>
          <w:lang w:val="lt-LT"/>
        </w:rPr>
        <w:t>s</w:t>
      </w:r>
      <w:r w:rsidR="003A3C61" w:rsidRPr="007B5A44">
        <w:rPr>
          <w:sz w:val="26"/>
          <w:szCs w:val="26"/>
          <w:lang w:val="lt-LT"/>
        </w:rPr>
        <w:t xml:space="preserve"> </w:t>
      </w:r>
      <w:r w:rsidR="00AB4510" w:rsidRPr="007B5A44">
        <w:rPr>
          <w:sz w:val="26"/>
          <w:szCs w:val="26"/>
          <w:lang w:val="lt-LT"/>
        </w:rPr>
        <w:t>akivaizdu, kad klasikin</w:t>
      </w:r>
      <w:r w:rsidR="00C60A93" w:rsidRPr="007B5A44">
        <w:rPr>
          <w:sz w:val="26"/>
          <w:szCs w:val="26"/>
          <w:lang w:val="lt-LT"/>
        </w:rPr>
        <w:t>is</w:t>
      </w:r>
      <w:r w:rsidR="00AB4510" w:rsidRPr="007B5A44">
        <w:rPr>
          <w:sz w:val="26"/>
          <w:szCs w:val="26"/>
          <w:lang w:val="lt-LT"/>
        </w:rPr>
        <w:t xml:space="preserve"> audito rizikos modelis nėra tinkam</w:t>
      </w:r>
      <w:r w:rsidR="00C60A93" w:rsidRPr="007B5A44">
        <w:rPr>
          <w:sz w:val="26"/>
          <w:szCs w:val="26"/>
          <w:lang w:val="lt-LT"/>
        </w:rPr>
        <w:t xml:space="preserve">as </w:t>
      </w:r>
      <w:r w:rsidR="004957D4" w:rsidRPr="007B5A44">
        <w:rPr>
          <w:sz w:val="26"/>
          <w:szCs w:val="26"/>
          <w:lang w:val="lt-LT"/>
        </w:rPr>
        <w:t xml:space="preserve">šiandieninėje verslo aplinkoje </w:t>
      </w:r>
      <w:r w:rsidR="00C60A93" w:rsidRPr="007B5A44">
        <w:rPr>
          <w:sz w:val="26"/>
          <w:szCs w:val="26"/>
          <w:lang w:val="lt-LT"/>
        </w:rPr>
        <w:t>vertinant audito riziką</w:t>
      </w:r>
      <w:r w:rsidR="002D2952" w:rsidRPr="007B5A44">
        <w:rPr>
          <w:sz w:val="26"/>
          <w:szCs w:val="26"/>
          <w:lang w:val="lt-LT"/>
        </w:rPr>
        <w:t xml:space="preserve"> ir jį </w:t>
      </w:r>
      <w:r w:rsidR="004957D4" w:rsidRPr="007B5A44">
        <w:rPr>
          <w:sz w:val="26"/>
          <w:szCs w:val="26"/>
          <w:lang w:val="lt-LT"/>
        </w:rPr>
        <w:t xml:space="preserve">auditoriams </w:t>
      </w:r>
      <w:r w:rsidR="002D2952" w:rsidRPr="007B5A44">
        <w:rPr>
          <w:sz w:val="26"/>
          <w:szCs w:val="26"/>
          <w:lang w:val="lt-LT"/>
        </w:rPr>
        <w:t>sunku taikyti praktik</w:t>
      </w:r>
      <w:r w:rsidR="00735CB0">
        <w:rPr>
          <w:sz w:val="26"/>
          <w:szCs w:val="26"/>
          <w:lang w:val="lt-LT"/>
        </w:rPr>
        <w:t>oje</w:t>
      </w:r>
      <w:r w:rsidR="004957D4" w:rsidRPr="007B5A44">
        <w:rPr>
          <w:sz w:val="26"/>
          <w:szCs w:val="26"/>
          <w:lang w:val="lt-LT"/>
        </w:rPr>
        <w:t xml:space="preserve">. </w:t>
      </w:r>
      <w:r w:rsidR="00C60A93" w:rsidRPr="007B5A44">
        <w:rPr>
          <w:sz w:val="26"/>
          <w:szCs w:val="26"/>
          <w:lang w:val="lt-LT"/>
        </w:rPr>
        <w:t xml:space="preserve">Svarbiausios </w:t>
      </w:r>
      <w:r w:rsidR="00AB4510" w:rsidRPr="007B5A44">
        <w:rPr>
          <w:sz w:val="26"/>
          <w:szCs w:val="26"/>
          <w:lang w:val="lt-LT"/>
        </w:rPr>
        <w:t xml:space="preserve">audito rizikos </w:t>
      </w:r>
      <w:r w:rsidR="00C414A5" w:rsidRPr="007B5A44">
        <w:rPr>
          <w:sz w:val="26"/>
          <w:szCs w:val="26"/>
          <w:lang w:val="lt-LT"/>
        </w:rPr>
        <w:t xml:space="preserve">vertinimo </w:t>
      </w:r>
      <w:r w:rsidR="00AB4510" w:rsidRPr="007B5A44">
        <w:rPr>
          <w:sz w:val="26"/>
          <w:szCs w:val="26"/>
          <w:lang w:val="lt-LT"/>
        </w:rPr>
        <w:t>modeli</w:t>
      </w:r>
      <w:r w:rsidR="00C60A93" w:rsidRPr="007B5A44">
        <w:rPr>
          <w:sz w:val="26"/>
          <w:szCs w:val="26"/>
          <w:lang w:val="lt-LT"/>
        </w:rPr>
        <w:t>o tobulinimo sąlygos</w:t>
      </w:r>
      <w:r w:rsidR="003B3B4C" w:rsidRPr="007B5A44">
        <w:rPr>
          <w:sz w:val="26"/>
          <w:szCs w:val="26"/>
          <w:lang w:val="lt-LT"/>
        </w:rPr>
        <w:t xml:space="preserve">, kad jis galėtų būti </w:t>
      </w:r>
      <w:r w:rsidR="004957D4" w:rsidRPr="007B5A44">
        <w:rPr>
          <w:sz w:val="26"/>
          <w:szCs w:val="26"/>
          <w:lang w:val="lt-LT"/>
        </w:rPr>
        <w:t>lengvai pri</w:t>
      </w:r>
      <w:r w:rsidR="003B3B4C" w:rsidRPr="007B5A44">
        <w:rPr>
          <w:sz w:val="26"/>
          <w:szCs w:val="26"/>
          <w:lang w:val="lt-LT"/>
        </w:rPr>
        <w:t>taikomas praktikoje,</w:t>
      </w:r>
      <w:r w:rsidR="00C60A93" w:rsidRPr="007B5A44">
        <w:rPr>
          <w:sz w:val="26"/>
          <w:szCs w:val="26"/>
          <w:lang w:val="lt-LT"/>
        </w:rPr>
        <w:t xml:space="preserve"> būtų šios</w:t>
      </w:r>
      <w:r w:rsidR="009D250F" w:rsidRPr="007B5A44">
        <w:rPr>
          <w:sz w:val="26"/>
          <w:szCs w:val="26"/>
          <w:lang w:val="lt-LT"/>
        </w:rPr>
        <w:t>, t. y. modelis turėtų</w:t>
      </w:r>
      <w:r w:rsidR="00C60A93" w:rsidRPr="007B5A44">
        <w:rPr>
          <w:sz w:val="26"/>
          <w:szCs w:val="26"/>
          <w:lang w:val="lt-LT"/>
        </w:rPr>
        <w:t>:</w:t>
      </w:r>
    </w:p>
    <w:p w:rsidR="009D250F" w:rsidRPr="007B5A44" w:rsidRDefault="00C60A93" w:rsidP="00D730C0">
      <w:pPr>
        <w:pStyle w:val="ListParagraph"/>
        <w:numPr>
          <w:ilvl w:val="0"/>
          <w:numId w:val="12"/>
        </w:numPr>
        <w:spacing w:line="360" w:lineRule="auto"/>
        <w:ind w:left="1066" w:hanging="357"/>
        <w:jc w:val="both"/>
        <w:rPr>
          <w:sz w:val="26"/>
          <w:szCs w:val="26"/>
          <w:lang w:val="lt-LT"/>
        </w:rPr>
      </w:pPr>
      <w:r w:rsidRPr="007B5A44">
        <w:rPr>
          <w:sz w:val="26"/>
          <w:szCs w:val="26"/>
          <w:lang w:val="lt-LT"/>
        </w:rPr>
        <w:t>parodyti audito rizikos komponentų tarpusavio priklausomybę</w:t>
      </w:r>
      <w:r w:rsidR="009D250F" w:rsidRPr="007B5A44">
        <w:rPr>
          <w:sz w:val="26"/>
          <w:szCs w:val="26"/>
          <w:lang w:val="lt-LT"/>
        </w:rPr>
        <w:t>;</w:t>
      </w:r>
    </w:p>
    <w:p w:rsidR="009D250F" w:rsidRPr="007B5A44" w:rsidRDefault="009D250F" w:rsidP="00D730C0">
      <w:pPr>
        <w:pStyle w:val="ListParagraph"/>
        <w:numPr>
          <w:ilvl w:val="0"/>
          <w:numId w:val="12"/>
        </w:numPr>
        <w:spacing w:line="360" w:lineRule="auto"/>
        <w:ind w:left="1066" w:hanging="357"/>
        <w:jc w:val="both"/>
        <w:rPr>
          <w:sz w:val="26"/>
          <w:szCs w:val="26"/>
          <w:lang w:val="lt-LT"/>
        </w:rPr>
      </w:pPr>
      <w:r w:rsidRPr="007B5A44">
        <w:rPr>
          <w:sz w:val="26"/>
          <w:szCs w:val="26"/>
          <w:lang w:val="lt-LT"/>
        </w:rPr>
        <w:t>nurodyti, kad audito rizika ir/ar jos komponentai vertinami kiekviename audito etape ir skirtingu pasireiškimo lygmeniu</w:t>
      </w:r>
      <w:r w:rsidR="00C414A5" w:rsidRPr="007B5A44">
        <w:rPr>
          <w:sz w:val="26"/>
          <w:szCs w:val="26"/>
          <w:lang w:val="lt-LT"/>
        </w:rPr>
        <w:t xml:space="preserve"> tam, kad būtų pasiektas priimtinas audito rizikos lygis</w:t>
      </w:r>
      <w:r w:rsidRPr="007B5A44">
        <w:rPr>
          <w:sz w:val="26"/>
          <w:szCs w:val="26"/>
          <w:lang w:val="lt-LT"/>
        </w:rPr>
        <w:t>;</w:t>
      </w:r>
    </w:p>
    <w:p w:rsidR="006F7800" w:rsidRPr="007B5A44" w:rsidRDefault="009D250F" w:rsidP="00D730C0">
      <w:pPr>
        <w:pStyle w:val="ListParagraph"/>
        <w:numPr>
          <w:ilvl w:val="0"/>
          <w:numId w:val="12"/>
        </w:numPr>
        <w:spacing w:line="360" w:lineRule="auto"/>
        <w:ind w:left="1066" w:hanging="357"/>
        <w:jc w:val="both"/>
        <w:rPr>
          <w:sz w:val="26"/>
          <w:szCs w:val="26"/>
          <w:lang w:val="lt-LT"/>
        </w:rPr>
      </w:pPr>
      <w:r w:rsidRPr="007B5A44">
        <w:rPr>
          <w:sz w:val="26"/>
          <w:szCs w:val="26"/>
          <w:lang w:val="lt-LT"/>
        </w:rPr>
        <w:t xml:space="preserve">audito rizikos komponentus </w:t>
      </w:r>
      <w:r w:rsidR="00C414A5" w:rsidRPr="007B5A44">
        <w:rPr>
          <w:sz w:val="26"/>
          <w:szCs w:val="26"/>
          <w:lang w:val="lt-LT"/>
        </w:rPr>
        <w:t xml:space="preserve">išskirti taip, kad </w:t>
      </w:r>
      <w:r w:rsidR="006F7800" w:rsidRPr="007B5A44">
        <w:rPr>
          <w:sz w:val="26"/>
          <w:szCs w:val="26"/>
          <w:lang w:val="lt-LT"/>
        </w:rPr>
        <w:t>reikšmingo iškraipymo rizika būtų skiriama į pasireiškiančią dėl apgaulės ir dėl klaidos</w:t>
      </w:r>
      <w:r w:rsidR="00C30207" w:rsidRPr="007B5A44">
        <w:rPr>
          <w:sz w:val="26"/>
          <w:szCs w:val="26"/>
          <w:lang w:val="lt-LT"/>
        </w:rPr>
        <w:t>;</w:t>
      </w:r>
      <w:r w:rsidR="006F7800" w:rsidRPr="007B5A44">
        <w:rPr>
          <w:sz w:val="26"/>
          <w:szCs w:val="26"/>
          <w:lang w:val="lt-LT"/>
        </w:rPr>
        <w:t xml:space="preserve"> audituojamos </w:t>
      </w:r>
      <w:r w:rsidR="00C414A5" w:rsidRPr="007B5A44">
        <w:rPr>
          <w:sz w:val="26"/>
          <w:szCs w:val="26"/>
          <w:lang w:val="lt-LT"/>
        </w:rPr>
        <w:t>įmonės verslo rizik</w:t>
      </w:r>
      <w:r w:rsidR="006F7800" w:rsidRPr="007B5A44">
        <w:rPr>
          <w:sz w:val="26"/>
          <w:szCs w:val="26"/>
          <w:lang w:val="lt-LT"/>
        </w:rPr>
        <w:t>a</w:t>
      </w:r>
      <w:r w:rsidR="00C414A5" w:rsidRPr="007B5A44">
        <w:rPr>
          <w:sz w:val="26"/>
          <w:szCs w:val="26"/>
          <w:lang w:val="lt-LT"/>
        </w:rPr>
        <w:t xml:space="preserve"> </w:t>
      </w:r>
      <w:r w:rsidR="006F7800" w:rsidRPr="007B5A44">
        <w:rPr>
          <w:sz w:val="26"/>
          <w:szCs w:val="26"/>
          <w:lang w:val="lt-LT"/>
        </w:rPr>
        <w:t xml:space="preserve">būtų suprantama kaip sudėtinė </w:t>
      </w:r>
      <w:r w:rsidR="00C414A5" w:rsidRPr="007B5A44">
        <w:rPr>
          <w:sz w:val="26"/>
          <w:szCs w:val="26"/>
          <w:lang w:val="lt-LT"/>
        </w:rPr>
        <w:t xml:space="preserve">reikšmingo iškraipymo rizikos </w:t>
      </w:r>
      <w:r w:rsidR="006F7800" w:rsidRPr="007B5A44">
        <w:rPr>
          <w:sz w:val="26"/>
          <w:szCs w:val="26"/>
          <w:lang w:val="lt-LT"/>
        </w:rPr>
        <w:t xml:space="preserve">dalis, o </w:t>
      </w:r>
      <w:r w:rsidR="00C414A5" w:rsidRPr="007B5A44">
        <w:rPr>
          <w:sz w:val="26"/>
          <w:szCs w:val="26"/>
          <w:lang w:val="lt-LT"/>
        </w:rPr>
        <w:t xml:space="preserve">aptikimo </w:t>
      </w:r>
      <w:r w:rsidR="006F7800" w:rsidRPr="007B5A44">
        <w:rPr>
          <w:sz w:val="26"/>
          <w:szCs w:val="26"/>
          <w:lang w:val="lt-LT"/>
        </w:rPr>
        <w:t>rizika dėl atrankos ir ne dėl atrankos taikymo būtų analizuojama atskir</w:t>
      </w:r>
      <w:r w:rsidR="009E4D9B" w:rsidRPr="007B5A44">
        <w:rPr>
          <w:sz w:val="26"/>
          <w:szCs w:val="26"/>
          <w:lang w:val="lt-LT"/>
        </w:rPr>
        <w:t>ai;</w:t>
      </w:r>
    </w:p>
    <w:p w:rsidR="00C60A93" w:rsidRPr="007B5A44" w:rsidRDefault="00C60A93" w:rsidP="00D730C0">
      <w:pPr>
        <w:pStyle w:val="ListParagraph"/>
        <w:numPr>
          <w:ilvl w:val="0"/>
          <w:numId w:val="12"/>
        </w:numPr>
        <w:spacing w:before="120" w:line="360" w:lineRule="auto"/>
        <w:jc w:val="both"/>
        <w:rPr>
          <w:sz w:val="26"/>
          <w:szCs w:val="26"/>
          <w:lang w:val="lt-LT"/>
        </w:rPr>
      </w:pPr>
      <w:r w:rsidRPr="007B5A44">
        <w:rPr>
          <w:sz w:val="26"/>
          <w:szCs w:val="26"/>
          <w:lang w:val="lt-LT"/>
        </w:rPr>
        <w:t>atsižvelg</w:t>
      </w:r>
      <w:r w:rsidR="009D250F" w:rsidRPr="007B5A44">
        <w:rPr>
          <w:sz w:val="26"/>
          <w:szCs w:val="26"/>
          <w:lang w:val="lt-LT"/>
        </w:rPr>
        <w:t xml:space="preserve">ti </w:t>
      </w:r>
      <w:r w:rsidRPr="007B5A44">
        <w:rPr>
          <w:sz w:val="26"/>
          <w:szCs w:val="26"/>
          <w:lang w:val="lt-LT"/>
        </w:rPr>
        <w:t>į kitus veik</w:t>
      </w:r>
      <w:r w:rsidR="009E4D9B" w:rsidRPr="007B5A44">
        <w:rPr>
          <w:sz w:val="26"/>
          <w:szCs w:val="26"/>
          <w:lang w:val="lt-LT"/>
        </w:rPr>
        <w:t>snius, lemiančius audito riziką.</w:t>
      </w:r>
    </w:p>
    <w:p w:rsidR="00D035BA" w:rsidRPr="007B5A44" w:rsidRDefault="00B9531C" w:rsidP="00B9531C">
      <w:pPr>
        <w:pStyle w:val="ListParagraph"/>
        <w:spacing w:line="360" w:lineRule="auto"/>
        <w:ind w:left="0" w:firstLine="709"/>
        <w:jc w:val="both"/>
        <w:rPr>
          <w:sz w:val="26"/>
          <w:szCs w:val="26"/>
          <w:lang w:val="lt-LT" w:eastAsia="en-US"/>
        </w:rPr>
      </w:pPr>
      <w:r w:rsidRPr="007B5A44">
        <w:rPr>
          <w:sz w:val="26"/>
          <w:szCs w:val="26"/>
          <w:lang w:val="lt-LT" w:eastAsia="en-US"/>
        </w:rPr>
        <w:t xml:space="preserve">Kadangi atliktas </w:t>
      </w:r>
      <w:r w:rsidR="009E4D9B" w:rsidRPr="007B5A44">
        <w:rPr>
          <w:sz w:val="26"/>
          <w:szCs w:val="26"/>
          <w:lang w:val="lt-LT" w:eastAsia="en-US"/>
        </w:rPr>
        <w:t xml:space="preserve">empirinis </w:t>
      </w:r>
      <w:r w:rsidRPr="007B5A44">
        <w:rPr>
          <w:sz w:val="26"/>
          <w:szCs w:val="26"/>
          <w:lang w:val="lt-LT" w:eastAsia="en-US"/>
        </w:rPr>
        <w:t xml:space="preserve">tyrimas patvirtino </w:t>
      </w:r>
      <w:r w:rsidR="00D035BA" w:rsidRPr="007B5A44">
        <w:rPr>
          <w:sz w:val="26"/>
          <w:szCs w:val="26"/>
          <w:lang w:val="lt-LT"/>
        </w:rPr>
        <w:t xml:space="preserve">audito rizikos vertinimo svarbą atliekant auditą ir nurodė, kad </w:t>
      </w:r>
      <w:r w:rsidR="007C7F73" w:rsidRPr="007B5A44">
        <w:rPr>
          <w:sz w:val="26"/>
          <w:szCs w:val="26"/>
          <w:lang w:val="lt-LT"/>
        </w:rPr>
        <w:t xml:space="preserve">Lietuvos </w:t>
      </w:r>
      <w:r w:rsidR="00D035BA" w:rsidRPr="007B5A44">
        <w:rPr>
          <w:sz w:val="26"/>
          <w:szCs w:val="26"/>
          <w:lang w:val="lt-LT"/>
        </w:rPr>
        <w:t xml:space="preserve">auditoriai susiduria su </w:t>
      </w:r>
      <w:r w:rsidR="00735CB0">
        <w:rPr>
          <w:sz w:val="26"/>
          <w:szCs w:val="26"/>
          <w:lang w:val="lt-LT"/>
        </w:rPr>
        <w:t>problemomis</w:t>
      </w:r>
      <w:r w:rsidR="00D035BA" w:rsidRPr="007B5A44">
        <w:rPr>
          <w:sz w:val="26"/>
          <w:szCs w:val="26"/>
          <w:lang w:val="lt-LT"/>
        </w:rPr>
        <w:t xml:space="preserve"> vertindami audito riziką, tai yra pakankama priežastis sukurti </w:t>
      </w:r>
      <w:r w:rsidRPr="007B5A44">
        <w:rPr>
          <w:sz w:val="26"/>
          <w:szCs w:val="26"/>
          <w:lang w:val="lt-LT" w:eastAsia="en-US"/>
        </w:rPr>
        <w:t>patobulint</w:t>
      </w:r>
      <w:r w:rsidR="00D035BA" w:rsidRPr="007B5A44">
        <w:rPr>
          <w:sz w:val="26"/>
          <w:szCs w:val="26"/>
          <w:lang w:val="lt-LT" w:eastAsia="en-US"/>
        </w:rPr>
        <w:t>ą</w:t>
      </w:r>
      <w:r w:rsidRPr="007B5A44">
        <w:rPr>
          <w:sz w:val="26"/>
          <w:szCs w:val="26"/>
          <w:lang w:val="lt-LT" w:eastAsia="en-US"/>
        </w:rPr>
        <w:t xml:space="preserve"> audito rizikos vertinimo model</w:t>
      </w:r>
      <w:r w:rsidR="00D035BA" w:rsidRPr="007B5A44">
        <w:rPr>
          <w:sz w:val="26"/>
          <w:szCs w:val="26"/>
          <w:lang w:val="lt-LT" w:eastAsia="en-US"/>
        </w:rPr>
        <w:t>į</w:t>
      </w:r>
      <w:r w:rsidRPr="007B5A44">
        <w:rPr>
          <w:sz w:val="26"/>
          <w:szCs w:val="26"/>
          <w:lang w:val="lt-LT" w:eastAsia="en-US"/>
        </w:rPr>
        <w:t xml:space="preserve">, </w:t>
      </w:r>
      <w:r w:rsidR="00D035BA" w:rsidRPr="007B5A44">
        <w:rPr>
          <w:sz w:val="26"/>
          <w:szCs w:val="26"/>
          <w:lang w:val="lt-LT" w:eastAsia="en-US"/>
        </w:rPr>
        <w:t xml:space="preserve">atspindintį </w:t>
      </w:r>
      <w:r w:rsidR="001E2015" w:rsidRPr="007B5A44">
        <w:rPr>
          <w:sz w:val="26"/>
          <w:szCs w:val="26"/>
          <w:lang w:val="lt-LT" w:eastAsia="en-US"/>
        </w:rPr>
        <w:t>sisteminį</w:t>
      </w:r>
      <w:r w:rsidR="00D035BA" w:rsidRPr="007B5A44">
        <w:rPr>
          <w:sz w:val="26"/>
          <w:szCs w:val="26"/>
          <w:lang w:val="lt-LT" w:eastAsia="en-US"/>
        </w:rPr>
        <w:t xml:space="preserve"> </w:t>
      </w:r>
      <w:r w:rsidR="001E2015" w:rsidRPr="007B5A44">
        <w:rPr>
          <w:sz w:val="26"/>
          <w:szCs w:val="26"/>
          <w:lang w:val="lt-LT" w:eastAsia="en-US"/>
        </w:rPr>
        <w:t xml:space="preserve">požiūrį į </w:t>
      </w:r>
      <w:r w:rsidR="00D035BA" w:rsidRPr="007B5A44">
        <w:rPr>
          <w:sz w:val="26"/>
          <w:szCs w:val="26"/>
          <w:lang w:val="lt-LT" w:eastAsia="en-US"/>
        </w:rPr>
        <w:lastRenderedPageBreak/>
        <w:t>audito rizikos vertinim</w:t>
      </w:r>
      <w:r w:rsidR="001E2015" w:rsidRPr="007B5A44">
        <w:rPr>
          <w:sz w:val="26"/>
          <w:szCs w:val="26"/>
          <w:lang w:val="lt-LT" w:eastAsia="en-US"/>
        </w:rPr>
        <w:t>ą</w:t>
      </w:r>
      <w:r w:rsidR="00A43C98">
        <w:rPr>
          <w:sz w:val="26"/>
          <w:szCs w:val="26"/>
          <w:lang w:val="lt-LT" w:eastAsia="en-US"/>
        </w:rPr>
        <w:t>. Taip pat svarbu, kad šis modelis būtų pritaikomas praktikoje.</w:t>
      </w:r>
    </w:p>
    <w:p w:rsidR="000D3D46" w:rsidRPr="007B5A44" w:rsidRDefault="000D3D46" w:rsidP="00C6582E">
      <w:pPr>
        <w:pStyle w:val="Heading2"/>
        <w:jc w:val="center"/>
        <w:rPr>
          <w:rFonts w:ascii="Times New Roman" w:hAnsi="Times New Roman" w:cs="Times New Roman"/>
          <w:lang w:val="lt-LT" w:eastAsia="en-US"/>
        </w:rPr>
      </w:pPr>
      <w:bookmarkStart w:id="44" w:name="_Toc253244588"/>
      <w:r w:rsidRPr="007B5A44">
        <w:rPr>
          <w:rFonts w:ascii="Times New Roman" w:hAnsi="Times New Roman" w:cs="Times New Roman"/>
          <w:lang w:val="lt-LT" w:eastAsia="en-US"/>
        </w:rPr>
        <w:t>2.2 Siūlomas audito rizikos vertinimo modelis</w:t>
      </w:r>
      <w:bookmarkEnd w:id="44"/>
    </w:p>
    <w:p w:rsidR="0054013C" w:rsidRPr="007B5A44" w:rsidRDefault="0054013C" w:rsidP="0054013C">
      <w:pPr>
        <w:spacing w:before="120" w:line="360" w:lineRule="auto"/>
        <w:ind w:firstLine="720"/>
        <w:jc w:val="both"/>
        <w:rPr>
          <w:sz w:val="26"/>
          <w:szCs w:val="26"/>
          <w:lang w:val="lt-LT"/>
        </w:rPr>
      </w:pPr>
      <w:r w:rsidRPr="007B5A44">
        <w:rPr>
          <w:sz w:val="26"/>
          <w:szCs w:val="26"/>
          <w:lang w:val="lt-LT"/>
        </w:rPr>
        <w:t>Modeliai yra tikrovės abstrakcijos, jie naudojami įgyti geresnį tikrovės supratimą ir siekiant padaryti patikimas ir naudingas prognozes. Tačiau jie visada supaprastinti, t. y. retai kada visi tikrovės aspektai gali būti tinkamai įtraukti į modelį. Toks supaprastinimas tinkamas tol, kol jis yra neperdėtas</w:t>
      </w:r>
      <w:r w:rsidR="009E4D9B" w:rsidRPr="007B5A44">
        <w:rPr>
          <w:sz w:val="26"/>
          <w:szCs w:val="26"/>
          <w:lang w:val="lt-LT"/>
        </w:rPr>
        <w:t xml:space="preserve"> ar sudarytas netinkamai (</w:t>
      </w:r>
      <w:r w:rsidRPr="007B5A44">
        <w:rPr>
          <w:sz w:val="26"/>
          <w:szCs w:val="26"/>
          <w:lang w:val="lt-LT"/>
        </w:rPr>
        <w:t>Cushing, Loebbecke</w:t>
      </w:r>
      <w:r w:rsidR="009E4D9B" w:rsidRPr="007B5A44">
        <w:rPr>
          <w:sz w:val="26"/>
          <w:szCs w:val="26"/>
          <w:lang w:val="lt-LT"/>
        </w:rPr>
        <w:t xml:space="preserve">, </w:t>
      </w:r>
      <w:r w:rsidRPr="007B5A44">
        <w:rPr>
          <w:sz w:val="26"/>
          <w:szCs w:val="26"/>
          <w:lang w:val="lt-LT"/>
        </w:rPr>
        <w:t>1983</w:t>
      </w:r>
      <w:r w:rsidR="009E4D9B" w:rsidRPr="007B5A44">
        <w:rPr>
          <w:sz w:val="26"/>
          <w:szCs w:val="26"/>
          <w:lang w:val="lt-LT"/>
        </w:rPr>
        <w:t>, p. 27</w:t>
      </w:r>
      <w:r w:rsidRPr="007B5A44">
        <w:rPr>
          <w:sz w:val="26"/>
          <w:szCs w:val="26"/>
          <w:lang w:val="lt-LT"/>
        </w:rPr>
        <w:t xml:space="preserve">). </w:t>
      </w:r>
      <w:r w:rsidR="00807F80">
        <w:rPr>
          <w:sz w:val="26"/>
          <w:szCs w:val="26"/>
          <w:lang w:val="lt-LT"/>
        </w:rPr>
        <w:t>E</w:t>
      </w:r>
      <w:r w:rsidRPr="007B5A44">
        <w:rPr>
          <w:sz w:val="26"/>
          <w:szCs w:val="26"/>
          <w:lang w:val="lt-LT"/>
        </w:rPr>
        <w:t xml:space="preserve">konominis modelis – supaprastintas tikrovės atvaizdas, </w:t>
      </w:r>
      <w:r w:rsidR="001F7F44" w:rsidRPr="007B5A44">
        <w:rPr>
          <w:sz w:val="26"/>
          <w:szCs w:val="26"/>
          <w:lang w:val="lt-LT"/>
        </w:rPr>
        <w:t xml:space="preserve">jis </w:t>
      </w:r>
      <w:r w:rsidRPr="007B5A44">
        <w:rPr>
          <w:sz w:val="26"/>
          <w:szCs w:val="26"/>
          <w:lang w:val="lt-LT"/>
        </w:rPr>
        <w:t>gali būti išreikštas žodžiais, grafikais arba formulėmis (Jakutis, Petraškevičius ir kt. (2005)).</w:t>
      </w:r>
    </w:p>
    <w:p w:rsidR="007B00E5" w:rsidRPr="007B5A44" w:rsidRDefault="0008162C" w:rsidP="007B00E5">
      <w:pPr>
        <w:spacing w:line="360" w:lineRule="auto"/>
        <w:ind w:firstLine="720"/>
        <w:jc w:val="both"/>
        <w:rPr>
          <w:sz w:val="26"/>
          <w:szCs w:val="26"/>
          <w:lang w:val="lt-LT"/>
        </w:rPr>
      </w:pPr>
      <w:r w:rsidRPr="007B5A44">
        <w:rPr>
          <w:sz w:val="26"/>
          <w:szCs w:val="26"/>
          <w:lang w:val="lt-LT"/>
        </w:rPr>
        <w:t xml:space="preserve">Atlikus teorinius </w:t>
      </w:r>
      <w:r w:rsidR="00AB0D6A" w:rsidRPr="007B5A44">
        <w:rPr>
          <w:sz w:val="26"/>
          <w:szCs w:val="26"/>
          <w:lang w:val="lt-LT"/>
        </w:rPr>
        <w:t xml:space="preserve">(mokslo darbuose aptariamus) </w:t>
      </w:r>
      <w:r w:rsidRPr="007B5A44">
        <w:rPr>
          <w:sz w:val="26"/>
          <w:szCs w:val="26"/>
          <w:lang w:val="lt-LT"/>
        </w:rPr>
        <w:t xml:space="preserve">ir praktinius (auditorių patirties) audito rizikos vertinimo tyrimus galima teigti, kad nėra formalizuoto </w:t>
      </w:r>
      <w:r w:rsidR="004D7103" w:rsidRPr="007B5A44">
        <w:rPr>
          <w:sz w:val="26"/>
          <w:szCs w:val="26"/>
          <w:lang w:val="lt-LT"/>
        </w:rPr>
        <w:t xml:space="preserve">išsamaus </w:t>
      </w:r>
      <w:r w:rsidRPr="007B5A44">
        <w:rPr>
          <w:sz w:val="26"/>
          <w:szCs w:val="26"/>
          <w:lang w:val="lt-LT"/>
        </w:rPr>
        <w:t xml:space="preserve">audito rizikos vertinimo modelio, kuris </w:t>
      </w:r>
      <w:r w:rsidR="004D7103" w:rsidRPr="007B5A44">
        <w:rPr>
          <w:sz w:val="26"/>
          <w:szCs w:val="26"/>
          <w:lang w:val="lt-LT"/>
        </w:rPr>
        <w:t>atskleistų sisteminį požiūrį į audito rizikos vertinimą.</w:t>
      </w:r>
      <w:r w:rsidR="00233185" w:rsidRPr="007B5A44">
        <w:rPr>
          <w:sz w:val="26"/>
          <w:szCs w:val="26"/>
          <w:lang w:val="lt-LT"/>
        </w:rPr>
        <w:t xml:space="preserve"> </w:t>
      </w:r>
      <w:r w:rsidR="00D423CB" w:rsidRPr="007B5A44">
        <w:rPr>
          <w:sz w:val="26"/>
          <w:szCs w:val="26"/>
          <w:lang w:val="lt-LT"/>
        </w:rPr>
        <w:t xml:space="preserve">Atsižvelgiant į tai, </w:t>
      </w:r>
      <w:r w:rsidR="004C6E96" w:rsidRPr="007B5A44">
        <w:rPr>
          <w:sz w:val="26"/>
          <w:szCs w:val="26"/>
          <w:lang w:val="lt-LT"/>
        </w:rPr>
        <w:t>sudar</w:t>
      </w:r>
      <w:r w:rsidR="0054013C" w:rsidRPr="007B5A44">
        <w:rPr>
          <w:sz w:val="26"/>
          <w:szCs w:val="26"/>
          <w:lang w:val="lt-LT"/>
        </w:rPr>
        <w:t xml:space="preserve">ytas darbo autorės siūlomas </w:t>
      </w:r>
      <w:r w:rsidR="004D7103" w:rsidRPr="007B5A44">
        <w:rPr>
          <w:sz w:val="26"/>
          <w:szCs w:val="26"/>
          <w:lang w:val="lt-LT"/>
        </w:rPr>
        <w:t xml:space="preserve">audito rizikos vertinimo </w:t>
      </w:r>
      <w:r w:rsidR="004C6E96" w:rsidRPr="007B5A44">
        <w:rPr>
          <w:sz w:val="26"/>
          <w:szCs w:val="26"/>
          <w:lang w:val="lt-LT"/>
        </w:rPr>
        <w:t>model</w:t>
      </w:r>
      <w:r w:rsidR="0054013C" w:rsidRPr="007B5A44">
        <w:rPr>
          <w:sz w:val="26"/>
          <w:szCs w:val="26"/>
          <w:lang w:val="lt-LT"/>
        </w:rPr>
        <w:t>is</w:t>
      </w:r>
      <w:r w:rsidR="007B00E5" w:rsidRPr="007B5A44">
        <w:rPr>
          <w:sz w:val="26"/>
          <w:szCs w:val="26"/>
          <w:lang w:val="lt-LT"/>
        </w:rPr>
        <w:t>.</w:t>
      </w:r>
    </w:p>
    <w:p w:rsidR="001F04DE" w:rsidRPr="007B5A44" w:rsidRDefault="001F04DE" w:rsidP="007B00E5">
      <w:pPr>
        <w:spacing w:line="360" w:lineRule="auto"/>
        <w:ind w:firstLine="720"/>
        <w:jc w:val="both"/>
        <w:rPr>
          <w:sz w:val="26"/>
          <w:szCs w:val="26"/>
          <w:lang w:val="lt-LT"/>
        </w:rPr>
      </w:pPr>
      <w:r w:rsidRPr="007B5A44">
        <w:rPr>
          <w:sz w:val="26"/>
          <w:szCs w:val="26"/>
          <w:lang w:val="lt-LT"/>
        </w:rPr>
        <w:t xml:space="preserve">Audito rizikos vertinimo modelis nuosekliai kurtas šiais </w:t>
      </w:r>
      <w:r w:rsidRPr="007B5A44">
        <w:rPr>
          <w:b/>
          <w:sz w:val="26"/>
          <w:szCs w:val="26"/>
          <w:lang w:val="lt-LT"/>
        </w:rPr>
        <w:t>etapais</w:t>
      </w:r>
      <w:r w:rsidRPr="007B5A44">
        <w:rPr>
          <w:sz w:val="26"/>
          <w:szCs w:val="26"/>
          <w:lang w:val="lt-LT"/>
        </w:rPr>
        <w:t>:</w:t>
      </w:r>
    </w:p>
    <w:p w:rsidR="001F04DE" w:rsidRPr="007B5A44" w:rsidRDefault="001F04DE" w:rsidP="00D730C0">
      <w:pPr>
        <w:pStyle w:val="ListParagraph"/>
        <w:numPr>
          <w:ilvl w:val="0"/>
          <w:numId w:val="13"/>
        </w:numPr>
        <w:tabs>
          <w:tab w:val="left" w:pos="1134"/>
        </w:tabs>
        <w:spacing w:line="360" w:lineRule="auto"/>
        <w:ind w:left="0" w:firstLine="720"/>
        <w:jc w:val="both"/>
        <w:rPr>
          <w:sz w:val="26"/>
          <w:szCs w:val="26"/>
          <w:lang w:val="lt-LT"/>
        </w:rPr>
      </w:pPr>
      <w:r w:rsidRPr="007B5A44">
        <w:rPr>
          <w:i/>
          <w:sz w:val="26"/>
          <w:szCs w:val="26"/>
          <w:lang w:val="lt-LT"/>
        </w:rPr>
        <w:t>atlikta rizikos sąvokos analizė</w:t>
      </w:r>
      <w:r w:rsidRPr="007B5A44">
        <w:rPr>
          <w:sz w:val="26"/>
          <w:szCs w:val="26"/>
          <w:lang w:val="lt-LT"/>
        </w:rPr>
        <w:t xml:space="preserve"> atskleidė šio ekonominio reiškinio prigimtį</w:t>
      </w:r>
      <w:r w:rsidR="00F85D10" w:rsidRPr="007B5A44">
        <w:rPr>
          <w:sz w:val="26"/>
          <w:szCs w:val="26"/>
          <w:lang w:val="lt-LT"/>
        </w:rPr>
        <w:t xml:space="preserve"> ir</w:t>
      </w:r>
      <w:r w:rsidR="00FC6B9E" w:rsidRPr="007B5A44">
        <w:rPr>
          <w:sz w:val="26"/>
          <w:szCs w:val="26"/>
          <w:lang w:val="lt-LT"/>
        </w:rPr>
        <w:t xml:space="preserve"> pasireiškimo priežastis</w:t>
      </w:r>
      <w:r w:rsidR="00F85D10" w:rsidRPr="007B5A44">
        <w:rPr>
          <w:sz w:val="26"/>
          <w:szCs w:val="26"/>
          <w:lang w:val="lt-LT"/>
        </w:rPr>
        <w:t>, kas galiausiai buvo p</w:t>
      </w:r>
      <w:r w:rsidR="0024246A" w:rsidRPr="007B5A44">
        <w:rPr>
          <w:sz w:val="26"/>
          <w:szCs w:val="26"/>
          <w:lang w:val="lt-LT"/>
        </w:rPr>
        <w:t>a</w:t>
      </w:r>
      <w:r w:rsidR="00F85D10" w:rsidRPr="007B5A44">
        <w:rPr>
          <w:sz w:val="26"/>
          <w:szCs w:val="26"/>
          <w:lang w:val="lt-LT"/>
        </w:rPr>
        <w:t xml:space="preserve">lyginta su </w:t>
      </w:r>
      <w:r w:rsidR="00B72CF0" w:rsidRPr="007B5A44">
        <w:rPr>
          <w:sz w:val="26"/>
          <w:szCs w:val="26"/>
          <w:lang w:val="lt-LT"/>
        </w:rPr>
        <w:t>audito rizik</w:t>
      </w:r>
      <w:r w:rsidR="00F85D10" w:rsidRPr="007B5A44">
        <w:rPr>
          <w:sz w:val="26"/>
          <w:szCs w:val="26"/>
          <w:lang w:val="lt-LT"/>
        </w:rPr>
        <w:t xml:space="preserve">os samprata. </w:t>
      </w:r>
      <w:r w:rsidR="00E064C5" w:rsidRPr="007B5A44">
        <w:rPr>
          <w:sz w:val="26"/>
          <w:szCs w:val="26"/>
          <w:lang w:val="lt-LT"/>
        </w:rPr>
        <w:t>Audito rizika susijusi su sprendimo priėmimu (</w:t>
      </w:r>
      <w:r w:rsidR="00AB0D6A" w:rsidRPr="007B5A44">
        <w:rPr>
          <w:sz w:val="26"/>
          <w:szCs w:val="26"/>
          <w:lang w:val="lt-LT"/>
        </w:rPr>
        <w:t xml:space="preserve">tinkamos </w:t>
      </w:r>
      <w:r w:rsidR="00E064C5" w:rsidRPr="007B5A44">
        <w:rPr>
          <w:sz w:val="26"/>
          <w:szCs w:val="26"/>
          <w:lang w:val="lt-LT"/>
        </w:rPr>
        <w:t>nuomonės apie finansines ataskaitas pareiškimu), susijusi su nuostoliais (</w:t>
      </w:r>
      <w:r w:rsidR="008B5D53" w:rsidRPr="007B5A44">
        <w:rPr>
          <w:sz w:val="26"/>
          <w:szCs w:val="26"/>
          <w:lang w:val="lt-LT"/>
        </w:rPr>
        <w:t xml:space="preserve">geros </w:t>
      </w:r>
      <w:r w:rsidR="00E064C5" w:rsidRPr="007B5A44">
        <w:rPr>
          <w:sz w:val="26"/>
          <w:szCs w:val="26"/>
          <w:lang w:val="lt-LT"/>
        </w:rPr>
        <w:t xml:space="preserve">audito įmonės reputacijos netekimu, galimais teisminiais ginčais ar materialine atsakomybe) ir siekiamu tikslu (sėkminga audito įmonės veikla) bei yra tikimybinė kategorija. Tuo pačiu audito rizikai būdingas neapibrėžtumas, kurį </w:t>
      </w:r>
      <w:r w:rsidR="0024246A" w:rsidRPr="007B5A44">
        <w:rPr>
          <w:sz w:val="26"/>
          <w:szCs w:val="26"/>
          <w:lang w:val="lt-LT"/>
        </w:rPr>
        <w:t xml:space="preserve">labiausiai </w:t>
      </w:r>
      <w:r w:rsidR="00E064C5" w:rsidRPr="007B5A44">
        <w:rPr>
          <w:sz w:val="26"/>
          <w:szCs w:val="26"/>
          <w:lang w:val="lt-LT"/>
        </w:rPr>
        <w:t>lemia audituojamos įmonės aplinka;</w:t>
      </w:r>
    </w:p>
    <w:p w:rsidR="005C3EAD" w:rsidRPr="007B5A44" w:rsidRDefault="00C11335" w:rsidP="00D730C0">
      <w:pPr>
        <w:pStyle w:val="ListParagraph"/>
        <w:numPr>
          <w:ilvl w:val="0"/>
          <w:numId w:val="13"/>
        </w:numPr>
        <w:tabs>
          <w:tab w:val="left" w:pos="1134"/>
        </w:tabs>
        <w:spacing w:line="360" w:lineRule="auto"/>
        <w:ind w:left="0" w:firstLine="720"/>
        <w:jc w:val="both"/>
        <w:rPr>
          <w:sz w:val="26"/>
          <w:szCs w:val="26"/>
          <w:lang w:val="lt-LT"/>
        </w:rPr>
      </w:pPr>
      <w:r>
        <w:rPr>
          <w:i/>
          <w:sz w:val="26"/>
          <w:szCs w:val="26"/>
          <w:lang w:val="lt-LT"/>
        </w:rPr>
        <w:t xml:space="preserve">išanalizuotos </w:t>
      </w:r>
      <w:r w:rsidR="001F04DE" w:rsidRPr="007B5A44">
        <w:rPr>
          <w:i/>
          <w:sz w:val="26"/>
          <w:szCs w:val="26"/>
          <w:lang w:val="lt-LT"/>
        </w:rPr>
        <w:t>rizikos vertinim</w:t>
      </w:r>
      <w:r w:rsidR="00807F80">
        <w:rPr>
          <w:i/>
          <w:sz w:val="26"/>
          <w:szCs w:val="26"/>
          <w:lang w:val="lt-LT"/>
        </w:rPr>
        <w:t>as</w:t>
      </w:r>
      <w:r w:rsidR="001F04DE" w:rsidRPr="007B5A44">
        <w:rPr>
          <w:i/>
          <w:sz w:val="26"/>
          <w:szCs w:val="26"/>
          <w:lang w:val="lt-LT"/>
        </w:rPr>
        <w:t xml:space="preserve"> įmonėje: procesas ir metodai</w:t>
      </w:r>
      <w:r w:rsidR="001F04DE" w:rsidRPr="007B5A44">
        <w:rPr>
          <w:sz w:val="26"/>
          <w:szCs w:val="26"/>
          <w:lang w:val="lt-LT"/>
        </w:rPr>
        <w:t>, kuri</w:t>
      </w:r>
      <w:r w:rsidR="00807F80">
        <w:rPr>
          <w:sz w:val="26"/>
          <w:szCs w:val="26"/>
          <w:lang w:val="lt-LT"/>
        </w:rPr>
        <w:t>e</w:t>
      </w:r>
      <w:r w:rsidR="001F04DE" w:rsidRPr="007B5A44">
        <w:rPr>
          <w:sz w:val="26"/>
          <w:szCs w:val="26"/>
          <w:lang w:val="lt-LT"/>
        </w:rPr>
        <w:t xml:space="preserve"> turi būti įgyvendinam</w:t>
      </w:r>
      <w:r w:rsidR="00807F80">
        <w:rPr>
          <w:sz w:val="26"/>
          <w:szCs w:val="26"/>
          <w:lang w:val="lt-LT"/>
        </w:rPr>
        <w:t>i</w:t>
      </w:r>
      <w:r w:rsidR="001F04DE" w:rsidRPr="007B5A44">
        <w:rPr>
          <w:sz w:val="26"/>
          <w:szCs w:val="26"/>
          <w:lang w:val="lt-LT"/>
        </w:rPr>
        <w:t xml:space="preserve"> norint tinkamai reaguoti į galimus pavojus/grėsmes ir kovoti su pasireiškiančiomis rizikomis</w:t>
      </w:r>
      <w:r w:rsidR="00D5299F" w:rsidRPr="007B5A44">
        <w:rPr>
          <w:sz w:val="26"/>
          <w:szCs w:val="26"/>
          <w:lang w:val="lt-LT"/>
        </w:rPr>
        <w:t xml:space="preserve">. </w:t>
      </w:r>
      <w:r w:rsidR="00F555EE" w:rsidRPr="007B5A44">
        <w:rPr>
          <w:sz w:val="26"/>
          <w:szCs w:val="26"/>
          <w:lang w:val="lt-LT"/>
        </w:rPr>
        <w:t>Apibendrintas r</w:t>
      </w:r>
      <w:r w:rsidR="00136EC7" w:rsidRPr="007B5A44">
        <w:rPr>
          <w:sz w:val="26"/>
          <w:szCs w:val="26"/>
          <w:lang w:val="lt-LT"/>
        </w:rPr>
        <w:t xml:space="preserve">izikos valdymo procesas, </w:t>
      </w:r>
      <w:r w:rsidR="0024246A" w:rsidRPr="007B5A44">
        <w:rPr>
          <w:sz w:val="26"/>
          <w:szCs w:val="26"/>
          <w:lang w:val="lt-LT"/>
        </w:rPr>
        <w:t xml:space="preserve">leido </w:t>
      </w:r>
      <w:r w:rsidR="00136EC7" w:rsidRPr="007B5A44">
        <w:rPr>
          <w:sz w:val="26"/>
          <w:szCs w:val="26"/>
          <w:lang w:val="lt-LT"/>
        </w:rPr>
        <w:t>iš</w:t>
      </w:r>
      <w:r w:rsidR="001A2BF6" w:rsidRPr="007B5A44">
        <w:rPr>
          <w:sz w:val="26"/>
          <w:szCs w:val="26"/>
          <w:lang w:val="lt-LT"/>
        </w:rPr>
        <w:t>skirti</w:t>
      </w:r>
      <w:r w:rsidR="0024246A" w:rsidRPr="007B5A44">
        <w:rPr>
          <w:sz w:val="26"/>
          <w:szCs w:val="26"/>
          <w:lang w:val="lt-LT"/>
        </w:rPr>
        <w:t xml:space="preserve"> </w:t>
      </w:r>
      <w:r w:rsidR="001A2BF6" w:rsidRPr="007B5A44">
        <w:rPr>
          <w:sz w:val="26"/>
          <w:szCs w:val="26"/>
          <w:lang w:val="lt-LT"/>
        </w:rPr>
        <w:t>svarbiausio jo etapo – rizikos vertinim</w:t>
      </w:r>
      <w:r>
        <w:rPr>
          <w:sz w:val="26"/>
          <w:szCs w:val="26"/>
          <w:lang w:val="lt-LT"/>
        </w:rPr>
        <w:t>o</w:t>
      </w:r>
      <w:r w:rsidR="001A2BF6" w:rsidRPr="007B5A44">
        <w:rPr>
          <w:sz w:val="26"/>
          <w:szCs w:val="26"/>
          <w:lang w:val="lt-LT"/>
        </w:rPr>
        <w:t xml:space="preserve"> – </w:t>
      </w:r>
      <w:r w:rsidR="0024246A" w:rsidRPr="007B5A44">
        <w:rPr>
          <w:sz w:val="26"/>
          <w:szCs w:val="26"/>
          <w:lang w:val="lt-LT"/>
        </w:rPr>
        <w:t>esmę</w:t>
      </w:r>
      <w:r w:rsidR="001A2BF6" w:rsidRPr="007B5A44">
        <w:rPr>
          <w:sz w:val="26"/>
          <w:szCs w:val="26"/>
          <w:lang w:val="lt-LT"/>
        </w:rPr>
        <w:t>, t. y.</w:t>
      </w:r>
      <w:r w:rsidR="0024246A" w:rsidRPr="007B5A44">
        <w:rPr>
          <w:sz w:val="26"/>
          <w:szCs w:val="26"/>
          <w:lang w:val="lt-LT"/>
        </w:rPr>
        <w:t xml:space="preserve"> </w:t>
      </w:r>
      <w:r w:rsidR="002669A6" w:rsidRPr="007B5A44">
        <w:rPr>
          <w:sz w:val="26"/>
          <w:szCs w:val="26"/>
          <w:lang w:val="lt-LT"/>
        </w:rPr>
        <w:t xml:space="preserve">rizikos vertinimas – </w:t>
      </w:r>
      <w:r w:rsidR="0024246A" w:rsidRPr="007B5A44">
        <w:rPr>
          <w:sz w:val="26"/>
          <w:szCs w:val="26"/>
          <w:lang w:val="lt-LT"/>
        </w:rPr>
        <w:t>bendras rizikų apskaičiavimo ir įvertini</w:t>
      </w:r>
      <w:r w:rsidR="001A2BF6" w:rsidRPr="007B5A44">
        <w:rPr>
          <w:sz w:val="26"/>
          <w:szCs w:val="26"/>
          <w:lang w:val="lt-LT"/>
        </w:rPr>
        <w:t>mo procesas, kurio metu atskir</w:t>
      </w:r>
      <w:r w:rsidR="0024246A" w:rsidRPr="007B5A44">
        <w:rPr>
          <w:sz w:val="26"/>
          <w:szCs w:val="26"/>
          <w:lang w:val="lt-LT"/>
        </w:rPr>
        <w:t>o</w:t>
      </w:r>
      <w:r w:rsidR="001A2BF6" w:rsidRPr="007B5A44">
        <w:rPr>
          <w:sz w:val="26"/>
          <w:szCs w:val="26"/>
          <w:lang w:val="lt-LT"/>
        </w:rPr>
        <w:t>s</w:t>
      </w:r>
      <w:r w:rsidR="0024246A" w:rsidRPr="007B5A44">
        <w:rPr>
          <w:sz w:val="26"/>
          <w:szCs w:val="26"/>
          <w:lang w:val="lt-LT"/>
        </w:rPr>
        <w:t xml:space="preserve"> rizikos yra apskaičiuojam</w:t>
      </w:r>
      <w:r w:rsidR="001A2BF6" w:rsidRPr="007B5A44">
        <w:rPr>
          <w:sz w:val="26"/>
          <w:szCs w:val="26"/>
          <w:lang w:val="lt-LT"/>
        </w:rPr>
        <w:t>os</w:t>
      </w:r>
      <w:r w:rsidR="0024246A" w:rsidRPr="007B5A44">
        <w:rPr>
          <w:sz w:val="26"/>
          <w:szCs w:val="26"/>
          <w:lang w:val="lt-LT"/>
        </w:rPr>
        <w:t>, nustata</w:t>
      </w:r>
      <w:r w:rsidR="00812A7F" w:rsidRPr="007B5A44">
        <w:rPr>
          <w:sz w:val="26"/>
          <w:szCs w:val="26"/>
          <w:lang w:val="lt-LT"/>
        </w:rPr>
        <w:t xml:space="preserve">nt jų tikimybę ir galimą įtaką </w:t>
      </w:r>
      <w:r w:rsidR="0024246A" w:rsidRPr="007B5A44">
        <w:rPr>
          <w:sz w:val="26"/>
          <w:szCs w:val="26"/>
          <w:lang w:val="lt-LT"/>
        </w:rPr>
        <w:lastRenderedPageBreak/>
        <w:t>bei įvertinama bendra rizikos įtaka.</w:t>
      </w:r>
      <w:r w:rsidR="001A2BF6" w:rsidRPr="007B5A44">
        <w:rPr>
          <w:sz w:val="26"/>
          <w:szCs w:val="26"/>
          <w:lang w:val="lt-LT"/>
        </w:rPr>
        <w:t xml:space="preserve"> </w:t>
      </w:r>
      <w:r w:rsidR="00691210" w:rsidRPr="007B5A44">
        <w:rPr>
          <w:sz w:val="26"/>
          <w:szCs w:val="26"/>
          <w:lang w:val="lt-LT"/>
        </w:rPr>
        <w:t xml:space="preserve">Atsižvelgiant į tai, </w:t>
      </w:r>
      <w:r w:rsidR="001A2BF6" w:rsidRPr="007B5A44">
        <w:rPr>
          <w:sz w:val="26"/>
          <w:szCs w:val="26"/>
          <w:lang w:val="lt-LT"/>
        </w:rPr>
        <w:t>audito rizikos vertin</w:t>
      </w:r>
      <w:r w:rsidR="002669A6" w:rsidRPr="007B5A44">
        <w:rPr>
          <w:sz w:val="26"/>
          <w:szCs w:val="26"/>
          <w:lang w:val="lt-LT"/>
        </w:rPr>
        <w:t>i</w:t>
      </w:r>
      <w:r w:rsidR="001A2BF6" w:rsidRPr="007B5A44">
        <w:rPr>
          <w:sz w:val="26"/>
          <w:szCs w:val="26"/>
          <w:lang w:val="lt-LT"/>
        </w:rPr>
        <w:t xml:space="preserve">mas </w:t>
      </w:r>
      <w:r w:rsidR="002669A6" w:rsidRPr="007B5A44">
        <w:rPr>
          <w:sz w:val="26"/>
          <w:szCs w:val="26"/>
          <w:lang w:val="lt-LT"/>
        </w:rPr>
        <w:t>tur</w:t>
      </w:r>
      <w:r w:rsidR="00807F80">
        <w:rPr>
          <w:sz w:val="26"/>
          <w:szCs w:val="26"/>
          <w:lang w:val="lt-LT"/>
        </w:rPr>
        <w:t>i būti</w:t>
      </w:r>
      <w:r w:rsidR="002669A6" w:rsidRPr="007B5A44">
        <w:rPr>
          <w:sz w:val="26"/>
          <w:szCs w:val="26"/>
          <w:lang w:val="lt-LT"/>
        </w:rPr>
        <w:t xml:space="preserve"> siejamas ne tik su atskirų audito rizikos komponentų nagrinėjimu, bet ir jų </w:t>
      </w:r>
      <w:r w:rsidR="00463007" w:rsidRPr="007B5A44">
        <w:rPr>
          <w:sz w:val="26"/>
          <w:szCs w:val="26"/>
          <w:lang w:val="lt-LT"/>
        </w:rPr>
        <w:t xml:space="preserve">tikimybės bei </w:t>
      </w:r>
      <w:r w:rsidR="007B00E5" w:rsidRPr="007B5A44">
        <w:rPr>
          <w:sz w:val="26"/>
          <w:szCs w:val="26"/>
          <w:lang w:val="lt-LT"/>
        </w:rPr>
        <w:t xml:space="preserve">pasireiškimo </w:t>
      </w:r>
      <w:r w:rsidR="002669A6" w:rsidRPr="007B5A44">
        <w:rPr>
          <w:sz w:val="26"/>
          <w:szCs w:val="26"/>
          <w:lang w:val="lt-LT"/>
        </w:rPr>
        <w:t xml:space="preserve">įtakos </w:t>
      </w:r>
      <w:r w:rsidR="00463007" w:rsidRPr="007B5A44">
        <w:rPr>
          <w:sz w:val="26"/>
          <w:szCs w:val="26"/>
          <w:lang w:val="lt-LT"/>
        </w:rPr>
        <w:t>bendru įvertinimu</w:t>
      </w:r>
      <w:r w:rsidR="00691210" w:rsidRPr="007B5A44">
        <w:rPr>
          <w:sz w:val="26"/>
          <w:szCs w:val="26"/>
          <w:lang w:val="lt-LT"/>
        </w:rPr>
        <w:t xml:space="preserve">, kurį būtų galima atlikti su tam tikrų rizikos vertinimo metodų pagalba. </w:t>
      </w:r>
      <w:r w:rsidR="005C3EAD" w:rsidRPr="007B5A44">
        <w:rPr>
          <w:sz w:val="26"/>
          <w:szCs w:val="26"/>
          <w:lang w:val="lt-LT"/>
        </w:rPr>
        <w:t>Nors</w:t>
      </w:r>
      <w:r w:rsidR="007B00E5" w:rsidRPr="007B5A44">
        <w:rPr>
          <w:sz w:val="26"/>
          <w:szCs w:val="26"/>
          <w:lang w:val="lt-LT"/>
        </w:rPr>
        <w:t xml:space="preserve"> </w:t>
      </w:r>
      <w:r w:rsidR="00A900B0">
        <w:rPr>
          <w:sz w:val="26"/>
          <w:szCs w:val="26"/>
          <w:lang w:val="lt-LT"/>
        </w:rPr>
        <w:t xml:space="preserve">disertacijos </w:t>
      </w:r>
      <w:r w:rsidR="007B00E5" w:rsidRPr="007B5A44">
        <w:rPr>
          <w:sz w:val="26"/>
          <w:szCs w:val="26"/>
          <w:lang w:val="lt-LT"/>
        </w:rPr>
        <w:t>1.1.2</w:t>
      </w:r>
      <w:r w:rsidR="002C24E1">
        <w:rPr>
          <w:sz w:val="26"/>
          <w:szCs w:val="26"/>
          <w:lang w:val="lt-LT"/>
        </w:rPr>
        <w:t> </w:t>
      </w:r>
      <w:r w:rsidR="007B00E5" w:rsidRPr="007B5A44">
        <w:rPr>
          <w:sz w:val="26"/>
          <w:szCs w:val="26"/>
          <w:lang w:val="lt-LT"/>
        </w:rPr>
        <w:t xml:space="preserve">skyriuje </w:t>
      </w:r>
      <w:r w:rsidR="007E309B" w:rsidRPr="007B5A44">
        <w:rPr>
          <w:sz w:val="26"/>
          <w:szCs w:val="26"/>
          <w:lang w:val="lt-LT"/>
        </w:rPr>
        <w:t>p</w:t>
      </w:r>
      <w:r w:rsidR="007B00E5" w:rsidRPr="007B5A44">
        <w:rPr>
          <w:sz w:val="26"/>
          <w:szCs w:val="26"/>
          <w:lang w:val="lt-LT"/>
        </w:rPr>
        <w:t>ateikta</w:t>
      </w:r>
      <w:r w:rsidR="005C3EAD" w:rsidRPr="007B5A44">
        <w:rPr>
          <w:sz w:val="26"/>
          <w:szCs w:val="26"/>
          <w:lang w:val="lt-LT"/>
        </w:rPr>
        <w:t xml:space="preserve"> sisteminė rizikos vertinimo metodų klasifikacija rodo, jog įvairūs rizikos vertinimo metodai, priklausomai nuo rizikos pobūdžio, susijusios informacijos ir </w:t>
      </w:r>
      <w:r w:rsidR="00161252" w:rsidRPr="007B5A44">
        <w:rPr>
          <w:sz w:val="26"/>
          <w:szCs w:val="26"/>
          <w:lang w:val="lt-LT"/>
        </w:rPr>
        <w:t>IT</w:t>
      </w:r>
      <w:r w:rsidR="005C3EAD" w:rsidRPr="007B5A44">
        <w:rPr>
          <w:sz w:val="26"/>
          <w:szCs w:val="26"/>
          <w:lang w:val="lt-LT"/>
        </w:rPr>
        <w:t xml:space="preserve"> prieinamumo, gali būti taikomi, tačiau </w:t>
      </w:r>
      <w:r w:rsidR="00B956EE" w:rsidRPr="007B5A44">
        <w:rPr>
          <w:sz w:val="26"/>
          <w:szCs w:val="26"/>
          <w:lang w:val="lt-LT"/>
        </w:rPr>
        <w:t xml:space="preserve">tiriant </w:t>
      </w:r>
      <w:r w:rsidR="005C3EAD" w:rsidRPr="007B5A44">
        <w:rPr>
          <w:sz w:val="26"/>
          <w:szCs w:val="26"/>
          <w:lang w:val="lt-LT"/>
        </w:rPr>
        <w:t>audito rizik</w:t>
      </w:r>
      <w:r w:rsidR="00B956EE" w:rsidRPr="007B5A44">
        <w:rPr>
          <w:sz w:val="26"/>
          <w:szCs w:val="26"/>
          <w:lang w:val="lt-LT"/>
        </w:rPr>
        <w:t>ą</w:t>
      </w:r>
      <w:r w:rsidR="005C3EAD" w:rsidRPr="007B5A44">
        <w:rPr>
          <w:sz w:val="26"/>
          <w:szCs w:val="26"/>
          <w:lang w:val="lt-LT"/>
        </w:rPr>
        <w:t xml:space="preserve"> </w:t>
      </w:r>
      <w:r w:rsidR="00691210" w:rsidRPr="007B5A44">
        <w:rPr>
          <w:sz w:val="26"/>
          <w:szCs w:val="26"/>
          <w:lang w:val="lt-LT"/>
        </w:rPr>
        <w:t>tikslinga remtis rizikos pasireiškimo nustatymo ir/ar sukauptos patirties rizikos vertinimo metodais nei naudoti</w:t>
      </w:r>
      <w:r w:rsidR="00B956EE" w:rsidRPr="007B5A44">
        <w:rPr>
          <w:sz w:val="26"/>
          <w:szCs w:val="26"/>
          <w:lang w:val="lt-LT"/>
        </w:rPr>
        <w:t>s</w:t>
      </w:r>
      <w:r w:rsidR="00691210" w:rsidRPr="007B5A44">
        <w:rPr>
          <w:sz w:val="26"/>
          <w:szCs w:val="26"/>
          <w:lang w:val="lt-LT"/>
        </w:rPr>
        <w:t xml:space="preserve"> sudėting</w:t>
      </w:r>
      <w:r w:rsidR="00B956EE" w:rsidRPr="007B5A44">
        <w:rPr>
          <w:sz w:val="26"/>
          <w:szCs w:val="26"/>
          <w:lang w:val="lt-LT"/>
        </w:rPr>
        <w:t>ai</w:t>
      </w:r>
      <w:r w:rsidR="00691210" w:rsidRPr="007B5A44">
        <w:rPr>
          <w:sz w:val="26"/>
          <w:szCs w:val="26"/>
          <w:lang w:val="lt-LT"/>
        </w:rPr>
        <w:t>s ekonomini</w:t>
      </w:r>
      <w:r w:rsidR="00B956EE" w:rsidRPr="007B5A44">
        <w:rPr>
          <w:sz w:val="26"/>
          <w:szCs w:val="26"/>
          <w:lang w:val="lt-LT"/>
        </w:rPr>
        <w:t>ais</w:t>
      </w:r>
      <w:r w:rsidR="0020175B" w:rsidRPr="007B5A44">
        <w:rPr>
          <w:sz w:val="26"/>
          <w:szCs w:val="26"/>
          <w:lang w:val="lt-LT"/>
        </w:rPr>
        <w:t>, tikimybių teorijos</w:t>
      </w:r>
      <w:r w:rsidR="00691210" w:rsidRPr="007B5A44">
        <w:rPr>
          <w:sz w:val="26"/>
          <w:szCs w:val="26"/>
          <w:lang w:val="lt-LT"/>
        </w:rPr>
        <w:t xml:space="preserve"> ar kompiuterinio modeliavimo metod</w:t>
      </w:r>
      <w:r w:rsidR="00B956EE" w:rsidRPr="007B5A44">
        <w:rPr>
          <w:sz w:val="26"/>
          <w:szCs w:val="26"/>
          <w:lang w:val="lt-LT"/>
        </w:rPr>
        <w:t>ais</w:t>
      </w:r>
      <w:r w:rsidR="005C3EAD" w:rsidRPr="007B5A44">
        <w:rPr>
          <w:sz w:val="26"/>
          <w:szCs w:val="26"/>
          <w:lang w:val="lt-LT"/>
        </w:rPr>
        <w:t xml:space="preserve">. Tai pagrindžiama tuo, jog </w:t>
      </w:r>
      <w:r w:rsidR="0031049C" w:rsidRPr="007B5A44">
        <w:rPr>
          <w:sz w:val="26"/>
          <w:szCs w:val="26"/>
          <w:lang w:val="lt-LT"/>
        </w:rPr>
        <w:t xml:space="preserve">audito rizikai </w:t>
      </w:r>
      <w:r w:rsidR="005C3EAD" w:rsidRPr="007B5A44">
        <w:rPr>
          <w:sz w:val="26"/>
          <w:szCs w:val="26"/>
          <w:lang w:val="lt-LT"/>
        </w:rPr>
        <w:t xml:space="preserve">būdingas subjektyvus </w:t>
      </w:r>
      <w:r w:rsidR="0031049C" w:rsidRPr="007B5A44">
        <w:rPr>
          <w:sz w:val="26"/>
          <w:szCs w:val="26"/>
          <w:lang w:val="lt-LT"/>
        </w:rPr>
        <w:t>jos komponentų</w:t>
      </w:r>
      <w:r w:rsidR="0017316C" w:rsidRPr="007B5A44">
        <w:rPr>
          <w:sz w:val="26"/>
          <w:szCs w:val="26"/>
          <w:lang w:val="lt-LT"/>
        </w:rPr>
        <w:t>,</w:t>
      </w:r>
      <w:r w:rsidR="0031049C" w:rsidRPr="007B5A44">
        <w:rPr>
          <w:sz w:val="26"/>
          <w:szCs w:val="26"/>
          <w:lang w:val="lt-LT"/>
        </w:rPr>
        <w:t xml:space="preserve"> </w:t>
      </w:r>
      <w:r w:rsidR="005C3EAD" w:rsidRPr="007B5A44">
        <w:rPr>
          <w:sz w:val="26"/>
          <w:szCs w:val="26"/>
          <w:lang w:val="lt-LT"/>
        </w:rPr>
        <w:t>priežasčių</w:t>
      </w:r>
      <w:r w:rsidR="0031049C" w:rsidRPr="007B5A44">
        <w:rPr>
          <w:sz w:val="26"/>
          <w:szCs w:val="26"/>
          <w:lang w:val="lt-LT"/>
        </w:rPr>
        <w:t xml:space="preserve"> (sąlygų)</w:t>
      </w:r>
      <w:r w:rsidR="005C3EAD" w:rsidRPr="007B5A44">
        <w:rPr>
          <w:sz w:val="26"/>
          <w:szCs w:val="26"/>
          <w:lang w:val="lt-LT"/>
        </w:rPr>
        <w:t xml:space="preserve">, tikimybės ir </w:t>
      </w:r>
      <w:r w:rsidR="00DF5658" w:rsidRPr="007B5A44">
        <w:rPr>
          <w:sz w:val="26"/>
          <w:szCs w:val="26"/>
          <w:lang w:val="lt-LT"/>
        </w:rPr>
        <w:t xml:space="preserve">pasireiškimo </w:t>
      </w:r>
      <w:r w:rsidR="005C3EAD" w:rsidRPr="007B5A44">
        <w:rPr>
          <w:sz w:val="26"/>
          <w:szCs w:val="26"/>
          <w:lang w:val="lt-LT"/>
        </w:rPr>
        <w:t>įtakos nustatymas</w:t>
      </w:r>
      <w:r w:rsidR="00DF5658" w:rsidRPr="007B5A44">
        <w:rPr>
          <w:sz w:val="26"/>
          <w:szCs w:val="26"/>
          <w:lang w:val="lt-LT"/>
        </w:rPr>
        <w:t>;</w:t>
      </w:r>
    </w:p>
    <w:p w:rsidR="001F04DE" w:rsidRPr="007B5A44" w:rsidRDefault="00437677" w:rsidP="00D730C0">
      <w:pPr>
        <w:pStyle w:val="ListParagraph"/>
        <w:numPr>
          <w:ilvl w:val="0"/>
          <w:numId w:val="13"/>
        </w:numPr>
        <w:tabs>
          <w:tab w:val="left" w:pos="1134"/>
        </w:tabs>
        <w:spacing w:line="360" w:lineRule="auto"/>
        <w:ind w:left="0" w:firstLine="720"/>
        <w:jc w:val="both"/>
        <w:rPr>
          <w:sz w:val="26"/>
          <w:szCs w:val="26"/>
          <w:lang w:val="lt-LT"/>
        </w:rPr>
      </w:pPr>
      <w:r w:rsidRPr="007B5A44">
        <w:rPr>
          <w:i/>
          <w:sz w:val="26"/>
          <w:szCs w:val="26"/>
          <w:lang w:val="lt-LT"/>
        </w:rPr>
        <w:t>iš</w:t>
      </w:r>
      <w:r w:rsidR="00C11335">
        <w:rPr>
          <w:i/>
          <w:sz w:val="26"/>
          <w:szCs w:val="26"/>
          <w:lang w:val="lt-LT"/>
        </w:rPr>
        <w:t>tirta</w:t>
      </w:r>
      <w:r w:rsidRPr="007B5A44">
        <w:rPr>
          <w:i/>
          <w:sz w:val="26"/>
          <w:szCs w:val="26"/>
          <w:lang w:val="lt-LT"/>
        </w:rPr>
        <w:t xml:space="preserve"> </w:t>
      </w:r>
      <w:r w:rsidR="007E309B" w:rsidRPr="007B5A44">
        <w:rPr>
          <w:i/>
          <w:sz w:val="26"/>
          <w:szCs w:val="26"/>
          <w:lang w:val="lt-LT"/>
        </w:rPr>
        <w:t>audito rizikos samprat</w:t>
      </w:r>
      <w:r w:rsidR="007E309B" w:rsidRPr="007B5A44">
        <w:rPr>
          <w:sz w:val="26"/>
          <w:szCs w:val="26"/>
          <w:lang w:val="lt-LT"/>
        </w:rPr>
        <w:t xml:space="preserve">a, t. y. atskleista </w:t>
      </w:r>
      <w:r w:rsidRPr="007B5A44">
        <w:rPr>
          <w:sz w:val="26"/>
          <w:szCs w:val="26"/>
          <w:lang w:val="lt-LT"/>
        </w:rPr>
        <w:t>dvejopa audito rizikos prigimtis (dėl auditoriaus kaltės ir dėl jo nepriklausančių aplinkybių) bei du galimi netinkamos auditoriaus išvados pareiškimo atvejai</w:t>
      </w:r>
      <w:r w:rsidR="005569A1" w:rsidRPr="007B5A44">
        <w:rPr>
          <w:sz w:val="26"/>
          <w:szCs w:val="26"/>
          <w:lang w:val="lt-LT"/>
        </w:rPr>
        <w:t xml:space="preserve"> </w:t>
      </w:r>
      <w:r w:rsidRPr="007B5A44">
        <w:rPr>
          <w:sz w:val="26"/>
          <w:szCs w:val="26"/>
          <w:lang w:val="lt-LT"/>
        </w:rPr>
        <w:t xml:space="preserve">ir </w:t>
      </w:r>
      <w:r w:rsidR="001F04DE" w:rsidRPr="007B5A44">
        <w:rPr>
          <w:sz w:val="26"/>
          <w:szCs w:val="26"/>
          <w:lang w:val="lt-LT"/>
        </w:rPr>
        <w:t>pateikta audito rizikos sampratos principinė schema</w:t>
      </w:r>
      <w:r w:rsidRPr="007B5A44">
        <w:rPr>
          <w:sz w:val="26"/>
          <w:szCs w:val="26"/>
          <w:lang w:val="lt-LT"/>
        </w:rPr>
        <w:t>. Audito rizikos sampratos principinėje schemoje</w:t>
      </w:r>
      <w:r w:rsidR="001F04DE" w:rsidRPr="007B5A44">
        <w:rPr>
          <w:sz w:val="26"/>
          <w:szCs w:val="26"/>
          <w:lang w:val="lt-LT"/>
        </w:rPr>
        <w:t xml:space="preserve"> atsispindi svarbiausios reikšmingą iškraipymą finansinėse ataskaitose lemiančios priežastys: audituojamos įmonės aplinkybės (darbuotojų</w:t>
      </w:r>
      <w:r w:rsidR="005569A1" w:rsidRPr="007B5A44">
        <w:rPr>
          <w:sz w:val="26"/>
          <w:szCs w:val="26"/>
          <w:lang w:val="lt-LT"/>
        </w:rPr>
        <w:t>/</w:t>
      </w:r>
      <w:r w:rsidR="001F04DE" w:rsidRPr="007B5A44">
        <w:rPr>
          <w:sz w:val="26"/>
          <w:szCs w:val="26"/>
          <w:lang w:val="lt-LT"/>
        </w:rPr>
        <w:t>vadovybės klaida ar apgaulė) ir audito veiksmai (audito koncepcijų aplinkybės ir kitos priežastys);</w:t>
      </w:r>
    </w:p>
    <w:p w:rsidR="000B5EF7" w:rsidRPr="007B5A44" w:rsidRDefault="001F04DE" w:rsidP="00D730C0">
      <w:pPr>
        <w:pStyle w:val="ListParagraph"/>
        <w:numPr>
          <w:ilvl w:val="0"/>
          <w:numId w:val="13"/>
        </w:numPr>
        <w:tabs>
          <w:tab w:val="left" w:pos="1134"/>
        </w:tabs>
        <w:spacing w:line="360" w:lineRule="auto"/>
        <w:ind w:left="0" w:firstLine="720"/>
        <w:jc w:val="both"/>
        <w:rPr>
          <w:sz w:val="26"/>
          <w:szCs w:val="26"/>
          <w:lang w:val="lt-LT"/>
        </w:rPr>
      </w:pPr>
      <w:r w:rsidRPr="007B5A44">
        <w:rPr>
          <w:i/>
          <w:sz w:val="26"/>
          <w:szCs w:val="26"/>
          <w:lang w:val="lt-LT"/>
        </w:rPr>
        <w:t>iš</w:t>
      </w:r>
      <w:r w:rsidR="006419AE" w:rsidRPr="007B5A44">
        <w:rPr>
          <w:i/>
          <w:sz w:val="26"/>
          <w:szCs w:val="26"/>
          <w:lang w:val="lt-LT"/>
        </w:rPr>
        <w:t xml:space="preserve">nagrinėti </w:t>
      </w:r>
      <w:r w:rsidRPr="007B5A44">
        <w:rPr>
          <w:i/>
          <w:sz w:val="26"/>
          <w:szCs w:val="26"/>
          <w:lang w:val="lt-LT"/>
        </w:rPr>
        <w:t xml:space="preserve">audito rizikos </w:t>
      </w:r>
      <w:r w:rsidR="00C6156A" w:rsidRPr="007B5A44">
        <w:rPr>
          <w:i/>
          <w:sz w:val="26"/>
          <w:szCs w:val="26"/>
          <w:lang w:val="lt-LT"/>
        </w:rPr>
        <w:t>komponentų</w:t>
      </w:r>
      <w:r w:rsidR="00C6156A" w:rsidRPr="007B5A44">
        <w:rPr>
          <w:sz w:val="26"/>
          <w:szCs w:val="26"/>
          <w:lang w:val="lt-LT"/>
        </w:rPr>
        <w:t xml:space="preserve">, pasireiškiančių skirtingu pasireiškimo lygmeniu, ir jas lemiančias sąlygų </w:t>
      </w:r>
      <w:r w:rsidRPr="007B5A44">
        <w:rPr>
          <w:i/>
          <w:sz w:val="26"/>
          <w:szCs w:val="26"/>
          <w:lang w:val="lt-LT"/>
        </w:rPr>
        <w:t xml:space="preserve">vertinimo </w:t>
      </w:r>
      <w:r w:rsidR="004F1E6A" w:rsidRPr="007B5A44">
        <w:rPr>
          <w:i/>
          <w:sz w:val="26"/>
          <w:szCs w:val="26"/>
          <w:lang w:val="lt-LT"/>
        </w:rPr>
        <w:t>ypatumai</w:t>
      </w:r>
      <w:r w:rsidR="004156FD" w:rsidRPr="007B5A44">
        <w:rPr>
          <w:sz w:val="26"/>
          <w:szCs w:val="26"/>
          <w:lang w:val="lt-LT"/>
        </w:rPr>
        <w:t xml:space="preserve">: </w:t>
      </w:r>
    </w:p>
    <w:p w:rsidR="000B5EF7" w:rsidRPr="007B5A44" w:rsidRDefault="000B5EF7" w:rsidP="00D730C0">
      <w:pPr>
        <w:pStyle w:val="ListParagraph"/>
        <w:numPr>
          <w:ilvl w:val="0"/>
          <w:numId w:val="19"/>
        </w:numPr>
        <w:tabs>
          <w:tab w:val="left" w:pos="1134"/>
        </w:tabs>
        <w:spacing w:line="360" w:lineRule="auto"/>
        <w:ind w:left="1134" w:hanging="425"/>
        <w:jc w:val="both"/>
        <w:rPr>
          <w:sz w:val="26"/>
          <w:szCs w:val="26"/>
          <w:lang w:val="lt-LT"/>
        </w:rPr>
      </w:pPr>
      <w:r w:rsidRPr="007B5A44">
        <w:rPr>
          <w:b/>
          <w:i/>
          <w:sz w:val="26"/>
          <w:szCs w:val="26"/>
          <w:lang w:val="lt-LT"/>
        </w:rPr>
        <w:t>reikšmingo iškraipymo rizikos finansinių ataskaitų lygmeniu</w:t>
      </w:r>
      <w:r w:rsidRPr="007B5A44">
        <w:rPr>
          <w:sz w:val="26"/>
          <w:szCs w:val="26"/>
          <w:lang w:val="lt-LT"/>
        </w:rPr>
        <w:t xml:space="preserve"> vertinimas yra vienas svarbiausių ir atsakingiausių auditoriaus darbų, nuo kurio priklauso </w:t>
      </w:r>
      <w:r w:rsidR="003A3292" w:rsidRPr="007B5A44">
        <w:rPr>
          <w:sz w:val="26"/>
          <w:szCs w:val="26"/>
          <w:lang w:val="lt-LT"/>
        </w:rPr>
        <w:t xml:space="preserve">kitų </w:t>
      </w:r>
      <w:r w:rsidRPr="007B5A44">
        <w:rPr>
          <w:sz w:val="26"/>
          <w:szCs w:val="26"/>
          <w:lang w:val="lt-LT"/>
        </w:rPr>
        <w:t xml:space="preserve">audito rizikos komponentų vertinimas. Atsižvelgiant į tai, pasiūlyta </w:t>
      </w:r>
      <w:r w:rsidR="00807F80" w:rsidRPr="007B5A44">
        <w:rPr>
          <w:sz w:val="26"/>
          <w:szCs w:val="26"/>
          <w:lang w:val="lt-LT"/>
        </w:rPr>
        <w:t>sąlygas</w:t>
      </w:r>
      <w:r w:rsidR="00807F80">
        <w:rPr>
          <w:sz w:val="26"/>
          <w:szCs w:val="26"/>
          <w:lang w:val="lt-LT"/>
        </w:rPr>
        <w:t>,</w:t>
      </w:r>
      <w:r w:rsidR="00807F80" w:rsidRPr="007B5A44">
        <w:rPr>
          <w:sz w:val="26"/>
          <w:szCs w:val="26"/>
          <w:lang w:val="lt-LT"/>
        </w:rPr>
        <w:t xml:space="preserve"> lemiančias </w:t>
      </w:r>
      <w:r w:rsidRPr="007B5A44">
        <w:rPr>
          <w:sz w:val="26"/>
          <w:szCs w:val="26"/>
          <w:lang w:val="lt-LT"/>
        </w:rPr>
        <w:t>š</w:t>
      </w:r>
      <w:r w:rsidR="00807F80">
        <w:rPr>
          <w:sz w:val="26"/>
          <w:szCs w:val="26"/>
          <w:lang w:val="lt-LT"/>
        </w:rPr>
        <w:t>į</w:t>
      </w:r>
      <w:r w:rsidRPr="007B5A44">
        <w:rPr>
          <w:sz w:val="26"/>
          <w:szCs w:val="26"/>
          <w:lang w:val="lt-LT"/>
        </w:rPr>
        <w:t xml:space="preserve"> audito rizikos komponentą</w:t>
      </w:r>
      <w:r w:rsidR="00807F80">
        <w:rPr>
          <w:sz w:val="26"/>
          <w:szCs w:val="26"/>
          <w:lang w:val="lt-LT"/>
        </w:rPr>
        <w:t>,</w:t>
      </w:r>
      <w:r w:rsidRPr="007B5A44">
        <w:rPr>
          <w:sz w:val="26"/>
          <w:szCs w:val="26"/>
          <w:lang w:val="lt-LT"/>
        </w:rPr>
        <w:t xml:space="preserve"> klasifikuoti į įmonės išor</w:t>
      </w:r>
      <w:r w:rsidR="00454D79">
        <w:rPr>
          <w:sz w:val="26"/>
          <w:szCs w:val="26"/>
          <w:lang w:val="lt-LT"/>
        </w:rPr>
        <w:t>ės</w:t>
      </w:r>
      <w:r w:rsidRPr="007B5A44">
        <w:rPr>
          <w:sz w:val="26"/>
          <w:szCs w:val="26"/>
          <w:lang w:val="lt-LT"/>
        </w:rPr>
        <w:t xml:space="preserve"> ir vid</w:t>
      </w:r>
      <w:r w:rsidR="00454D79">
        <w:rPr>
          <w:sz w:val="26"/>
          <w:szCs w:val="26"/>
          <w:lang w:val="lt-LT"/>
        </w:rPr>
        <w:t>aus</w:t>
      </w:r>
      <w:r w:rsidRPr="007B5A44">
        <w:rPr>
          <w:sz w:val="26"/>
          <w:szCs w:val="26"/>
          <w:lang w:val="lt-LT"/>
        </w:rPr>
        <w:t xml:space="preserve"> aplinkos sąlygas, toliau </w:t>
      </w:r>
      <w:r w:rsidRPr="00C11335">
        <w:rPr>
          <w:sz w:val="26"/>
          <w:szCs w:val="26"/>
          <w:lang w:val="lt-LT"/>
        </w:rPr>
        <w:t>išsiaiškinant, ar t</w:t>
      </w:r>
      <w:r w:rsidRPr="007B5A44">
        <w:rPr>
          <w:sz w:val="26"/>
          <w:szCs w:val="26"/>
          <w:lang w:val="lt-LT"/>
        </w:rPr>
        <w:t>ai susiję su įmonės verslo rizika</w:t>
      </w:r>
      <w:r w:rsidR="003A3292" w:rsidRPr="007B5A44">
        <w:rPr>
          <w:sz w:val="26"/>
          <w:szCs w:val="26"/>
          <w:lang w:val="lt-LT"/>
        </w:rPr>
        <w:t>,</w:t>
      </w:r>
      <w:r w:rsidRPr="007B5A44">
        <w:rPr>
          <w:sz w:val="26"/>
          <w:szCs w:val="26"/>
          <w:lang w:val="lt-LT"/>
        </w:rPr>
        <w:t xml:space="preserve"> apgaulės vykdymu</w:t>
      </w:r>
      <w:r w:rsidR="003A3292" w:rsidRPr="007B5A44">
        <w:rPr>
          <w:sz w:val="26"/>
          <w:szCs w:val="26"/>
          <w:lang w:val="lt-LT"/>
        </w:rPr>
        <w:t xml:space="preserve"> ar kitomis </w:t>
      </w:r>
      <w:r w:rsidR="00DF5658" w:rsidRPr="007B5A44">
        <w:rPr>
          <w:sz w:val="26"/>
          <w:szCs w:val="26"/>
          <w:lang w:val="lt-LT"/>
        </w:rPr>
        <w:t xml:space="preserve">audituojamos </w:t>
      </w:r>
      <w:r w:rsidR="003A3292" w:rsidRPr="007B5A44">
        <w:rPr>
          <w:sz w:val="26"/>
          <w:szCs w:val="26"/>
          <w:lang w:val="lt-LT"/>
        </w:rPr>
        <w:t>įmonės aplinkybėmis</w:t>
      </w:r>
      <w:r w:rsidR="00B41C79" w:rsidRPr="007B5A44">
        <w:rPr>
          <w:sz w:val="26"/>
          <w:szCs w:val="26"/>
          <w:lang w:val="lt-LT"/>
        </w:rPr>
        <w:t xml:space="preserve"> (įmonės rizika)</w:t>
      </w:r>
      <w:r w:rsidRPr="007B5A44">
        <w:rPr>
          <w:sz w:val="26"/>
          <w:szCs w:val="26"/>
          <w:lang w:val="lt-LT"/>
        </w:rPr>
        <w:t xml:space="preserve">. Savo ruožtu verslo rizikos vertinimas </w:t>
      </w:r>
      <w:r w:rsidRPr="007B5A44">
        <w:rPr>
          <w:sz w:val="26"/>
          <w:szCs w:val="26"/>
          <w:lang w:val="lt-LT"/>
        </w:rPr>
        <w:lastRenderedPageBreak/>
        <w:t>tur</w:t>
      </w:r>
      <w:r w:rsidR="00807F80">
        <w:rPr>
          <w:sz w:val="26"/>
          <w:szCs w:val="26"/>
          <w:lang w:val="lt-LT"/>
        </w:rPr>
        <w:t>i</w:t>
      </w:r>
      <w:r w:rsidRPr="007B5A44">
        <w:rPr>
          <w:sz w:val="26"/>
          <w:szCs w:val="26"/>
          <w:lang w:val="lt-LT"/>
        </w:rPr>
        <w:t xml:space="preserve"> remtis požiūriu „iš viršaus į apačią“, t. y. žiūrint į įmonės strategines verslo rizikas, po to į proceso verslo rizikas, o svarstant apgaulės atvejus būti</w:t>
      </w:r>
      <w:r w:rsidR="00807F80">
        <w:rPr>
          <w:sz w:val="26"/>
          <w:szCs w:val="26"/>
          <w:lang w:val="lt-LT"/>
        </w:rPr>
        <w:t>na</w:t>
      </w:r>
      <w:r w:rsidRPr="007B5A44">
        <w:rPr>
          <w:sz w:val="26"/>
          <w:szCs w:val="26"/>
          <w:lang w:val="lt-LT"/>
        </w:rPr>
        <w:t xml:space="preserve"> nagrinė</w:t>
      </w:r>
      <w:r w:rsidR="00807F80">
        <w:rPr>
          <w:sz w:val="26"/>
          <w:szCs w:val="26"/>
          <w:lang w:val="lt-LT"/>
        </w:rPr>
        <w:t>ti</w:t>
      </w:r>
      <w:r w:rsidRPr="007B5A44">
        <w:rPr>
          <w:sz w:val="26"/>
          <w:szCs w:val="26"/>
          <w:lang w:val="lt-LT"/>
        </w:rPr>
        <w:t xml:space="preserve"> samdomų darbuotojų ar vadovybės galim</w:t>
      </w:r>
      <w:r w:rsidR="00807F80">
        <w:rPr>
          <w:sz w:val="26"/>
          <w:szCs w:val="26"/>
          <w:lang w:val="lt-LT"/>
        </w:rPr>
        <w:t>ą</w:t>
      </w:r>
      <w:r w:rsidRPr="007B5A44">
        <w:rPr>
          <w:sz w:val="26"/>
          <w:szCs w:val="26"/>
          <w:lang w:val="lt-LT"/>
        </w:rPr>
        <w:t xml:space="preserve"> apgaul</w:t>
      </w:r>
      <w:r w:rsidR="00807F80">
        <w:rPr>
          <w:sz w:val="26"/>
          <w:szCs w:val="26"/>
          <w:lang w:val="lt-LT"/>
        </w:rPr>
        <w:t>ę</w:t>
      </w:r>
      <w:r w:rsidRPr="007B5A44">
        <w:rPr>
          <w:sz w:val="26"/>
          <w:szCs w:val="26"/>
          <w:lang w:val="lt-LT"/>
        </w:rPr>
        <w:t xml:space="preserve"> per „apgaulės rombo“ prizmę; </w:t>
      </w:r>
    </w:p>
    <w:p w:rsidR="000B5EF7" w:rsidRPr="007B5A44" w:rsidRDefault="00C11335" w:rsidP="00D730C0">
      <w:pPr>
        <w:pStyle w:val="ListParagraph"/>
        <w:numPr>
          <w:ilvl w:val="0"/>
          <w:numId w:val="19"/>
        </w:numPr>
        <w:tabs>
          <w:tab w:val="left" w:pos="1134"/>
        </w:tabs>
        <w:spacing w:line="360" w:lineRule="auto"/>
        <w:ind w:left="1134" w:hanging="425"/>
        <w:jc w:val="both"/>
        <w:rPr>
          <w:sz w:val="26"/>
          <w:szCs w:val="26"/>
          <w:lang w:val="lt-LT"/>
        </w:rPr>
      </w:pPr>
      <w:r>
        <w:rPr>
          <w:sz w:val="26"/>
          <w:szCs w:val="26"/>
          <w:lang w:val="lt-LT"/>
        </w:rPr>
        <w:t>nustatyta</w:t>
      </w:r>
      <w:r w:rsidR="000B5EF7" w:rsidRPr="007B5A44">
        <w:rPr>
          <w:sz w:val="26"/>
          <w:szCs w:val="26"/>
          <w:lang w:val="lt-LT"/>
        </w:rPr>
        <w:t>, ka</w:t>
      </w:r>
      <w:r w:rsidR="000B5EF7" w:rsidRPr="00807F80">
        <w:rPr>
          <w:sz w:val="26"/>
          <w:szCs w:val="26"/>
          <w:lang w:val="lt-LT"/>
        </w:rPr>
        <w:t xml:space="preserve">d </w:t>
      </w:r>
      <w:r w:rsidR="00C64C30" w:rsidRPr="00807F80">
        <w:rPr>
          <w:sz w:val="26"/>
          <w:szCs w:val="26"/>
          <w:lang w:val="lt-LT"/>
        </w:rPr>
        <w:t xml:space="preserve">turi </w:t>
      </w:r>
      <w:r w:rsidR="000B5EF7" w:rsidRPr="00807F80">
        <w:rPr>
          <w:sz w:val="26"/>
          <w:szCs w:val="26"/>
          <w:lang w:val="lt-LT"/>
        </w:rPr>
        <w:t xml:space="preserve">būti atliekamas bendras </w:t>
      </w:r>
      <w:r w:rsidR="004131C5" w:rsidRPr="00807F80">
        <w:rPr>
          <w:sz w:val="26"/>
          <w:szCs w:val="26"/>
          <w:lang w:val="lt-LT"/>
        </w:rPr>
        <w:t>įgimtos ir kontrolės rizikų</w:t>
      </w:r>
      <w:r w:rsidR="000B5EF7" w:rsidRPr="00807F80">
        <w:rPr>
          <w:sz w:val="26"/>
          <w:szCs w:val="26"/>
          <w:lang w:val="lt-LT"/>
        </w:rPr>
        <w:t xml:space="preserve"> arba kitaip</w:t>
      </w:r>
      <w:r w:rsidR="004131C5" w:rsidRPr="00807F80">
        <w:rPr>
          <w:sz w:val="26"/>
          <w:szCs w:val="26"/>
          <w:lang w:val="lt-LT"/>
        </w:rPr>
        <w:t xml:space="preserve">, </w:t>
      </w:r>
      <w:r w:rsidR="004131C5" w:rsidRPr="00807F80">
        <w:rPr>
          <w:b/>
          <w:i/>
          <w:sz w:val="26"/>
          <w:szCs w:val="26"/>
          <w:lang w:val="lt-LT"/>
        </w:rPr>
        <w:t>reikš</w:t>
      </w:r>
      <w:r w:rsidR="004131C5" w:rsidRPr="007B5A44">
        <w:rPr>
          <w:b/>
          <w:i/>
          <w:sz w:val="26"/>
          <w:szCs w:val="26"/>
          <w:lang w:val="lt-LT"/>
        </w:rPr>
        <w:t xml:space="preserve">mingo iškraipymo rizikos </w:t>
      </w:r>
      <w:r w:rsidR="0025194A" w:rsidRPr="007B5A44">
        <w:rPr>
          <w:b/>
          <w:i/>
          <w:sz w:val="26"/>
          <w:szCs w:val="26"/>
          <w:lang w:val="lt-LT"/>
        </w:rPr>
        <w:t>tvirtinimo</w:t>
      </w:r>
      <w:r w:rsidR="004131C5" w:rsidRPr="007B5A44">
        <w:rPr>
          <w:b/>
          <w:i/>
          <w:sz w:val="26"/>
          <w:szCs w:val="26"/>
          <w:lang w:val="lt-LT"/>
        </w:rPr>
        <w:t xml:space="preserve"> lygmeniu</w:t>
      </w:r>
      <w:r w:rsidR="000B5EF7" w:rsidRPr="007B5A44">
        <w:rPr>
          <w:sz w:val="26"/>
          <w:szCs w:val="26"/>
          <w:lang w:val="lt-LT"/>
        </w:rPr>
        <w:t xml:space="preserve">, vertinimas, </w:t>
      </w:r>
      <w:r w:rsidR="00B41C79" w:rsidRPr="007B5A44">
        <w:rPr>
          <w:sz w:val="26"/>
          <w:szCs w:val="26"/>
          <w:lang w:val="lt-LT"/>
        </w:rPr>
        <w:t xml:space="preserve">nes </w:t>
      </w:r>
      <w:r w:rsidR="00DF5658" w:rsidRPr="007B5A44">
        <w:rPr>
          <w:sz w:val="26"/>
          <w:szCs w:val="26"/>
          <w:lang w:val="lt-LT"/>
        </w:rPr>
        <w:t xml:space="preserve">audituojamos </w:t>
      </w:r>
      <w:r w:rsidR="000B5EF7" w:rsidRPr="007B5A44">
        <w:rPr>
          <w:sz w:val="26"/>
          <w:szCs w:val="26"/>
          <w:lang w:val="lt-LT"/>
        </w:rPr>
        <w:t>įmonės vidaus kontrolės sistema kur</w:t>
      </w:r>
      <w:r w:rsidR="00BE45A6" w:rsidRPr="007B5A44">
        <w:rPr>
          <w:sz w:val="26"/>
          <w:szCs w:val="26"/>
          <w:lang w:val="lt-LT"/>
        </w:rPr>
        <w:t>iam</w:t>
      </w:r>
      <w:r w:rsidR="000B5EF7" w:rsidRPr="007B5A44">
        <w:rPr>
          <w:sz w:val="26"/>
          <w:szCs w:val="26"/>
          <w:lang w:val="lt-LT"/>
        </w:rPr>
        <w:t xml:space="preserve">a tam, kad sumažinti verslo </w:t>
      </w:r>
      <w:r w:rsidR="003A3292" w:rsidRPr="007B5A44">
        <w:rPr>
          <w:sz w:val="26"/>
          <w:szCs w:val="26"/>
          <w:lang w:val="lt-LT"/>
        </w:rPr>
        <w:t xml:space="preserve">ir kitų </w:t>
      </w:r>
      <w:r w:rsidR="000B5EF7" w:rsidRPr="007B5A44">
        <w:rPr>
          <w:sz w:val="26"/>
          <w:szCs w:val="26"/>
          <w:lang w:val="lt-LT"/>
        </w:rPr>
        <w:t>rizikų galimą įtaką įmonės veiklai. Šio vertinimo metu reik</w:t>
      </w:r>
      <w:r>
        <w:rPr>
          <w:sz w:val="26"/>
          <w:szCs w:val="26"/>
          <w:lang w:val="lt-LT"/>
        </w:rPr>
        <w:t>ia</w:t>
      </w:r>
      <w:r w:rsidR="000B5EF7" w:rsidRPr="007B5A44">
        <w:rPr>
          <w:sz w:val="26"/>
          <w:szCs w:val="26"/>
          <w:lang w:val="lt-LT"/>
        </w:rPr>
        <w:t xml:space="preserve"> atsižvelgti į </w:t>
      </w:r>
      <w:r w:rsidR="00F26289" w:rsidRPr="007B5A44">
        <w:rPr>
          <w:sz w:val="26"/>
          <w:szCs w:val="26"/>
          <w:lang w:val="lt-LT"/>
        </w:rPr>
        <w:t xml:space="preserve">audituojamos </w:t>
      </w:r>
      <w:r w:rsidR="000B5EF7" w:rsidRPr="007B5A44">
        <w:rPr>
          <w:sz w:val="26"/>
          <w:szCs w:val="26"/>
          <w:lang w:val="lt-LT"/>
        </w:rPr>
        <w:t>įmonės išor</w:t>
      </w:r>
      <w:r w:rsidR="00454D79">
        <w:rPr>
          <w:sz w:val="26"/>
          <w:szCs w:val="26"/>
          <w:lang w:val="lt-LT"/>
        </w:rPr>
        <w:t>ės</w:t>
      </w:r>
      <w:r w:rsidR="000B5EF7" w:rsidRPr="007B5A44">
        <w:rPr>
          <w:sz w:val="26"/>
          <w:szCs w:val="26"/>
          <w:lang w:val="lt-LT"/>
        </w:rPr>
        <w:t xml:space="preserve"> ir vid</w:t>
      </w:r>
      <w:r w:rsidR="00454D79">
        <w:rPr>
          <w:sz w:val="26"/>
          <w:szCs w:val="26"/>
          <w:lang w:val="lt-LT"/>
        </w:rPr>
        <w:t>aus</w:t>
      </w:r>
      <w:r w:rsidR="000B5EF7" w:rsidRPr="007B5A44">
        <w:rPr>
          <w:sz w:val="26"/>
          <w:szCs w:val="26"/>
          <w:lang w:val="lt-LT"/>
        </w:rPr>
        <w:t xml:space="preserve"> aplinkos bei atskirų finansinių ataskaitų elementų ar su jais susijusių tvirtinimų pobūdį bei į įmonės vidaus kontrolės sistemos struktūrą ir jos veiksmingumą. Pasiūlyta, kad siekiant suprasti įmonės vidaus kontrolės sistemą ir jos veiksmingumą, </w:t>
      </w:r>
      <w:r w:rsidRPr="007B5A44">
        <w:rPr>
          <w:sz w:val="26"/>
          <w:szCs w:val="26"/>
          <w:lang w:val="lt-LT"/>
        </w:rPr>
        <w:t>vidaus kontrolės sistemos struktūros (kontrolės aplinka, įmonės rizikos vertinimo procesas, informacinė sistema ir informavimas, kontrolės veiksmai ir kontrolės stebėsena) požiūri</w:t>
      </w:r>
      <w:r>
        <w:rPr>
          <w:sz w:val="26"/>
          <w:szCs w:val="26"/>
          <w:lang w:val="lt-LT"/>
        </w:rPr>
        <w:t>s</w:t>
      </w:r>
      <w:r w:rsidRPr="007B5A44">
        <w:rPr>
          <w:sz w:val="26"/>
          <w:szCs w:val="26"/>
          <w:lang w:val="lt-LT"/>
        </w:rPr>
        <w:t xml:space="preserve"> pagal COSO modelį (1992)</w:t>
      </w:r>
      <w:r>
        <w:rPr>
          <w:sz w:val="26"/>
          <w:szCs w:val="26"/>
          <w:lang w:val="lt-LT"/>
        </w:rPr>
        <w:t xml:space="preserve"> </w:t>
      </w:r>
      <w:r w:rsidRPr="007B5A44">
        <w:rPr>
          <w:sz w:val="26"/>
          <w:szCs w:val="26"/>
          <w:lang w:val="lt-LT"/>
        </w:rPr>
        <w:t xml:space="preserve">būtų derinamas su </w:t>
      </w:r>
      <w:r w:rsidR="000B5EF7" w:rsidRPr="007B5A44">
        <w:rPr>
          <w:sz w:val="26"/>
          <w:szCs w:val="26"/>
          <w:lang w:val="lt-LT"/>
        </w:rPr>
        <w:t>CoCo vidaus kontrolės modelio (1995) kriterijų – tikslo, atsidavimo, pajėgumo, stebėsenos ir mokymosi – požiūri</w:t>
      </w:r>
      <w:r w:rsidR="00926457">
        <w:rPr>
          <w:sz w:val="26"/>
          <w:szCs w:val="26"/>
          <w:lang w:val="lt-LT"/>
        </w:rPr>
        <w:t>u</w:t>
      </w:r>
      <w:r w:rsidR="000B5EF7" w:rsidRPr="007B5A44">
        <w:rPr>
          <w:sz w:val="26"/>
          <w:szCs w:val="26"/>
          <w:lang w:val="lt-LT"/>
        </w:rPr>
        <w:t xml:space="preserve">; </w:t>
      </w:r>
    </w:p>
    <w:p w:rsidR="000B5EF7" w:rsidRPr="007B5A44" w:rsidRDefault="000B5EF7" w:rsidP="00D730C0">
      <w:pPr>
        <w:pStyle w:val="ListParagraph"/>
        <w:numPr>
          <w:ilvl w:val="0"/>
          <w:numId w:val="19"/>
        </w:numPr>
        <w:tabs>
          <w:tab w:val="left" w:pos="1134"/>
        </w:tabs>
        <w:spacing w:line="360" w:lineRule="auto"/>
        <w:ind w:left="1134" w:hanging="425"/>
        <w:jc w:val="both"/>
        <w:rPr>
          <w:sz w:val="26"/>
          <w:szCs w:val="26"/>
          <w:lang w:val="lt-LT"/>
        </w:rPr>
      </w:pPr>
      <w:r w:rsidRPr="007B5A44">
        <w:rPr>
          <w:sz w:val="26"/>
          <w:szCs w:val="26"/>
          <w:lang w:val="lt-LT"/>
        </w:rPr>
        <w:t>nustatyta, kad auditoriaus kontroliuojama</w:t>
      </w:r>
      <w:r w:rsidRPr="007B5A44">
        <w:rPr>
          <w:b/>
          <w:i/>
          <w:sz w:val="26"/>
          <w:szCs w:val="26"/>
          <w:lang w:val="lt-LT"/>
        </w:rPr>
        <w:t xml:space="preserve"> aptikimo rizika</w:t>
      </w:r>
      <w:r w:rsidRPr="007B5A44">
        <w:rPr>
          <w:sz w:val="26"/>
          <w:szCs w:val="26"/>
          <w:lang w:val="lt-LT"/>
        </w:rPr>
        <w:t xml:space="preserve"> tur</w:t>
      </w:r>
      <w:r w:rsidR="00496EA9">
        <w:rPr>
          <w:sz w:val="26"/>
          <w:szCs w:val="26"/>
          <w:lang w:val="lt-LT"/>
        </w:rPr>
        <w:t>i</w:t>
      </w:r>
      <w:r w:rsidRPr="007B5A44">
        <w:rPr>
          <w:sz w:val="26"/>
          <w:szCs w:val="26"/>
          <w:lang w:val="lt-LT"/>
        </w:rPr>
        <w:t xml:space="preserve"> būti suprantama </w:t>
      </w:r>
      <w:r w:rsidR="00807F80">
        <w:rPr>
          <w:sz w:val="26"/>
          <w:szCs w:val="26"/>
          <w:lang w:val="lt-LT"/>
        </w:rPr>
        <w:t xml:space="preserve">kur kas </w:t>
      </w:r>
      <w:r w:rsidRPr="007B5A44">
        <w:rPr>
          <w:sz w:val="26"/>
          <w:szCs w:val="26"/>
          <w:lang w:val="lt-LT"/>
        </w:rPr>
        <w:t>plačiau</w:t>
      </w:r>
      <w:r w:rsidR="00280595" w:rsidRPr="007B5A44">
        <w:rPr>
          <w:sz w:val="26"/>
          <w:szCs w:val="26"/>
          <w:lang w:val="lt-LT"/>
        </w:rPr>
        <w:t xml:space="preserve">. Aptikimo riziką pasiūlyta klasifikuoti </w:t>
      </w:r>
      <w:r w:rsidR="00174CAF" w:rsidRPr="007B5A44">
        <w:rPr>
          <w:sz w:val="26"/>
          <w:szCs w:val="26"/>
          <w:lang w:val="lt-LT"/>
        </w:rPr>
        <w:t>į 1) a</w:t>
      </w:r>
      <w:r w:rsidR="00280595" w:rsidRPr="007B5A44">
        <w:rPr>
          <w:sz w:val="26"/>
          <w:szCs w:val="26"/>
          <w:lang w:val="lt-LT"/>
        </w:rPr>
        <w:t xml:space="preserve">trankos </w:t>
      </w:r>
      <w:r w:rsidR="003A3292" w:rsidRPr="007B5A44">
        <w:rPr>
          <w:sz w:val="26"/>
          <w:szCs w:val="26"/>
          <w:lang w:val="lt-LT"/>
        </w:rPr>
        <w:t>rizik</w:t>
      </w:r>
      <w:r w:rsidR="00174CAF" w:rsidRPr="007B5A44">
        <w:rPr>
          <w:sz w:val="26"/>
          <w:szCs w:val="26"/>
          <w:lang w:val="lt-LT"/>
        </w:rPr>
        <w:t>ą,</w:t>
      </w:r>
      <w:r w:rsidR="00280595" w:rsidRPr="007B5A44">
        <w:rPr>
          <w:sz w:val="26"/>
          <w:szCs w:val="26"/>
          <w:lang w:val="lt-LT"/>
        </w:rPr>
        <w:t xml:space="preserve"> 2) audito procedūrų rizik</w:t>
      </w:r>
      <w:r w:rsidR="00174CAF" w:rsidRPr="007B5A44">
        <w:rPr>
          <w:sz w:val="26"/>
          <w:szCs w:val="26"/>
          <w:lang w:val="lt-LT"/>
        </w:rPr>
        <w:t xml:space="preserve">ą ir </w:t>
      </w:r>
      <w:r w:rsidR="00017958" w:rsidRPr="007B5A44">
        <w:rPr>
          <w:sz w:val="26"/>
          <w:szCs w:val="26"/>
          <w:lang w:val="lt-LT"/>
        </w:rPr>
        <w:t>3) profesin</w:t>
      </w:r>
      <w:r w:rsidR="00174CAF" w:rsidRPr="007B5A44">
        <w:rPr>
          <w:sz w:val="26"/>
          <w:szCs w:val="26"/>
          <w:lang w:val="lt-LT"/>
        </w:rPr>
        <w:t>ę</w:t>
      </w:r>
      <w:r w:rsidR="00017958" w:rsidRPr="007B5A44">
        <w:rPr>
          <w:sz w:val="26"/>
          <w:szCs w:val="26"/>
          <w:lang w:val="lt-LT"/>
        </w:rPr>
        <w:t xml:space="preserve"> rizik</w:t>
      </w:r>
      <w:r w:rsidR="00174CAF" w:rsidRPr="007B5A44">
        <w:rPr>
          <w:sz w:val="26"/>
          <w:szCs w:val="26"/>
          <w:lang w:val="lt-LT"/>
        </w:rPr>
        <w:t xml:space="preserve">ą, kadangi </w:t>
      </w:r>
      <w:r w:rsidRPr="007B5A44">
        <w:rPr>
          <w:sz w:val="26"/>
          <w:szCs w:val="26"/>
          <w:lang w:val="lt-LT"/>
        </w:rPr>
        <w:t xml:space="preserve">ją gali lemti ne tik </w:t>
      </w:r>
      <w:r w:rsidR="00174CAF" w:rsidRPr="007B5A44">
        <w:rPr>
          <w:sz w:val="26"/>
          <w:szCs w:val="26"/>
          <w:lang w:val="lt-LT"/>
        </w:rPr>
        <w:t xml:space="preserve">audito atlikimo pagrindo priežastys, </w:t>
      </w:r>
      <w:r w:rsidRPr="007B5A44">
        <w:rPr>
          <w:sz w:val="26"/>
          <w:szCs w:val="26"/>
          <w:lang w:val="lt-LT"/>
        </w:rPr>
        <w:t>audito veiksmai, auditoriaus savybės bet ir gautas reikšmingo iškraipymo rizikos (įgimtos ir kontrolės rizikų</w:t>
      </w:r>
      <w:r w:rsidR="00A50F48" w:rsidRPr="007B5A44">
        <w:rPr>
          <w:sz w:val="26"/>
          <w:szCs w:val="26"/>
          <w:lang w:val="lt-LT"/>
        </w:rPr>
        <w:t>)</w:t>
      </w:r>
      <w:r w:rsidRPr="007B5A44">
        <w:rPr>
          <w:sz w:val="26"/>
          <w:szCs w:val="26"/>
          <w:lang w:val="lt-LT"/>
        </w:rPr>
        <w:t xml:space="preserve"> įvertinimas. </w:t>
      </w:r>
      <w:r w:rsidR="00280595" w:rsidRPr="007B5A44">
        <w:rPr>
          <w:sz w:val="26"/>
          <w:szCs w:val="26"/>
          <w:lang w:val="lt-LT"/>
        </w:rPr>
        <w:t xml:space="preserve">Kadangi reikšmingo iškraipymo rizika </w:t>
      </w:r>
      <w:r w:rsidR="0025194A" w:rsidRPr="007B5A44">
        <w:rPr>
          <w:sz w:val="26"/>
          <w:szCs w:val="26"/>
          <w:lang w:val="lt-LT"/>
        </w:rPr>
        <w:t>tvirtinimo</w:t>
      </w:r>
      <w:r w:rsidR="00280595" w:rsidRPr="007B5A44">
        <w:rPr>
          <w:sz w:val="26"/>
          <w:szCs w:val="26"/>
          <w:lang w:val="lt-LT"/>
        </w:rPr>
        <w:t xml:space="preserve"> lygmeniu apsprendžia tolesnių audito procedūrų </w:t>
      </w:r>
      <w:r w:rsidR="00F34309" w:rsidRPr="007B5A44">
        <w:rPr>
          <w:sz w:val="26"/>
          <w:szCs w:val="26"/>
          <w:lang w:val="lt-LT"/>
        </w:rPr>
        <w:t xml:space="preserve">atlikimą, tai </w:t>
      </w:r>
      <w:r w:rsidR="00A50F48" w:rsidRPr="007B5A44">
        <w:rPr>
          <w:sz w:val="26"/>
          <w:szCs w:val="26"/>
          <w:lang w:val="lt-LT"/>
        </w:rPr>
        <w:t xml:space="preserve">atvirkštinis ryšys tarp aptikimo rizikos ir reikšmingo iškraipymo rizikos </w:t>
      </w:r>
      <w:r w:rsidR="0025194A" w:rsidRPr="007B5A44">
        <w:rPr>
          <w:sz w:val="26"/>
          <w:szCs w:val="26"/>
          <w:lang w:val="lt-LT"/>
        </w:rPr>
        <w:t>tvirtinimo</w:t>
      </w:r>
      <w:r w:rsidR="00A50F48" w:rsidRPr="007B5A44">
        <w:rPr>
          <w:sz w:val="26"/>
          <w:szCs w:val="26"/>
          <w:lang w:val="lt-LT"/>
        </w:rPr>
        <w:t xml:space="preserve"> lygmeniu </w:t>
      </w:r>
      <w:r w:rsidR="00F34309" w:rsidRPr="007B5A44">
        <w:rPr>
          <w:sz w:val="26"/>
          <w:szCs w:val="26"/>
          <w:lang w:val="lt-LT"/>
        </w:rPr>
        <w:t>tur</w:t>
      </w:r>
      <w:r w:rsidR="00496EA9">
        <w:rPr>
          <w:sz w:val="26"/>
          <w:szCs w:val="26"/>
          <w:lang w:val="lt-LT"/>
        </w:rPr>
        <w:t>i</w:t>
      </w:r>
      <w:r w:rsidR="00F34309" w:rsidRPr="007B5A44">
        <w:rPr>
          <w:sz w:val="26"/>
          <w:szCs w:val="26"/>
          <w:lang w:val="lt-LT"/>
        </w:rPr>
        <w:t xml:space="preserve"> būti aiškiai </w:t>
      </w:r>
      <w:r w:rsidR="00B47A57" w:rsidRPr="007B5A44">
        <w:rPr>
          <w:sz w:val="26"/>
          <w:szCs w:val="26"/>
          <w:lang w:val="lt-LT"/>
        </w:rPr>
        <w:t>akcentu</w:t>
      </w:r>
      <w:r w:rsidR="00DF5658" w:rsidRPr="007B5A44">
        <w:rPr>
          <w:sz w:val="26"/>
          <w:szCs w:val="26"/>
          <w:lang w:val="lt-LT"/>
        </w:rPr>
        <w:t>ojamas audito rizikos vertinime;</w:t>
      </w:r>
    </w:p>
    <w:p w:rsidR="001F04DE" w:rsidRPr="007B5A44" w:rsidRDefault="00B15EFF" w:rsidP="00D730C0">
      <w:pPr>
        <w:pStyle w:val="ListParagraph"/>
        <w:numPr>
          <w:ilvl w:val="0"/>
          <w:numId w:val="13"/>
        </w:numPr>
        <w:tabs>
          <w:tab w:val="left" w:pos="1134"/>
        </w:tabs>
        <w:spacing w:line="360" w:lineRule="auto"/>
        <w:ind w:left="0" w:firstLine="720"/>
        <w:jc w:val="both"/>
        <w:rPr>
          <w:sz w:val="26"/>
          <w:szCs w:val="26"/>
          <w:lang w:val="lt-LT"/>
        </w:rPr>
      </w:pPr>
      <w:r w:rsidRPr="007B5A44">
        <w:rPr>
          <w:sz w:val="26"/>
          <w:szCs w:val="26"/>
          <w:lang w:val="lt-LT"/>
        </w:rPr>
        <w:lastRenderedPageBreak/>
        <w:t xml:space="preserve">siekiant </w:t>
      </w:r>
      <w:r w:rsidR="00907DDA" w:rsidRPr="007B5A44">
        <w:rPr>
          <w:sz w:val="26"/>
          <w:szCs w:val="26"/>
          <w:lang w:val="lt-LT"/>
        </w:rPr>
        <w:t xml:space="preserve">išnagrinėti </w:t>
      </w:r>
      <w:r w:rsidR="008B37EA" w:rsidRPr="007B5A44">
        <w:rPr>
          <w:sz w:val="26"/>
          <w:szCs w:val="26"/>
          <w:lang w:val="lt-LT"/>
        </w:rPr>
        <w:t xml:space="preserve">svarbiausius </w:t>
      </w:r>
      <w:r w:rsidR="00C30207" w:rsidRPr="007B5A44">
        <w:rPr>
          <w:sz w:val="26"/>
          <w:szCs w:val="26"/>
          <w:lang w:val="lt-LT"/>
        </w:rPr>
        <w:t>audito rizikos</w:t>
      </w:r>
      <w:r w:rsidR="008B37EA" w:rsidRPr="007B5A44">
        <w:rPr>
          <w:sz w:val="26"/>
          <w:szCs w:val="26"/>
          <w:lang w:val="lt-LT"/>
        </w:rPr>
        <w:t xml:space="preserve"> ir jos komponentų vertinimo aspektus,</w:t>
      </w:r>
      <w:r w:rsidR="00C30207" w:rsidRPr="007B5A44">
        <w:rPr>
          <w:i/>
          <w:sz w:val="26"/>
          <w:szCs w:val="26"/>
          <w:lang w:val="lt-LT"/>
        </w:rPr>
        <w:t xml:space="preserve"> </w:t>
      </w:r>
      <w:r w:rsidR="001F04DE" w:rsidRPr="007B5A44">
        <w:rPr>
          <w:i/>
          <w:sz w:val="26"/>
          <w:szCs w:val="26"/>
          <w:lang w:val="lt-LT"/>
        </w:rPr>
        <w:t>atlikta kritin</w:t>
      </w:r>
      <w:r w:rsidR="00B47A57" w:rsidRPr="007B5A44">
        <w:rPr>
          <w:i/>
          <w:sz w:val="26"/>
          <w:szCs w:val="26"/>
          <w:lang w:val="lt-LT"/>
        </w:rPr>
        <w:t>ė</w:t>
      </w:r>
      <w:r w:rsidR="001F04DE" w:rsidRPr="007B5A44">
        <w:rPr>
          <w:i/>
          <w:sz w:val="26"/>
          <w:szCs w:val="26"/>
          <w:lang w:val="lt-LT"/>
        </w:rPr>
        <w:t xml:space="preserve"> mokslo darbuose </w:t>
      </w:r>
      <w:r w:rsidR="00B47A57" w:rsidRPr="007B5A44">
        <w:rPr>
          <w:i/>
          <w:sz w:val="26"/>
          <w:szCs w:val="26"/>
          <w:lang w:val="lt-LT"/>
        </w:rPr>
        <w:t xml:space="preserve">siūlomų </w:t>
      </w:r>
      <w:r w:rsidR="001F04DE" w:rsidRPr="007B5A44">
        <w:rPr>
          <w:i/>
          <w:sz w:val="26"/>
          <w:szCs w:val="26"/>
          <w:lang w:val="lt-LT"/>
        </w:rPr>
        <w:t>audito rizikos modelių</w:t>
      </w:r>
      <w:r w:rsidR="001F04DE" w:rsidRPr="007B5A44">
        <w:rPr>
          <w:sz w:val="26"/>
          <w:szCs w:val="26"/>
          <w:lang w:val="lt-LT"/>
        </w:rPr>
        <w:t xml:space="preserve"> </w:t>
      </w:r>
      <w:r w:rsidR="00565C82" w:rsidRPr="007B5A44">
        <w:rPr>
          <w:sz w:val="26"/>
          <w:szCs w:val="26"/>
          <w:lang w:val="lt-LT"/>
        </w:rPr>
        <w:t>(klasikinio, praplėsto, W. R. Kinney (1989), S. J. Aldersley (1989),</w:t>
      </w:r>
      <w:r w:rsidR="007B5A44">
        <w:rPr>
          <w:sz w:val="26"/>
          <w:szCs w:val="26"/>
          <w:lang w:val="lt-LT"/>
        </w:rPr>
        <w:t xml:space="preserve"> J. </w:t>
      </w:r>
      <w:r w:rsidR="00565C82" w:rsidRPr="007B5A44">
        <w:rPr>
          <w:sz w:val="26"/>
          <w:szCs w:val="26"/>
          <w:lang w:val="lt-LT"/>
        </w:rPr>
        <w:t xml:space="preserve">T. Sennetti (1990), </w:t>
      </w:r>
      <w:r w:rsidR="00565C82" w:rsidRPr="007B5A44">
        <w:rPr>
          <w:color w:val="000000" w:themeColor="text1"/>
          <w:sz w:val="26"/>
          <w:szCs w:val="26"/>
          <w:lang w:val="lt-LT"/>
        </w:rPr>
        <w:t xml:space="preserve">R. P. Srivastava, G. R. Shafer (1992), </w:t>
      </w:r>
      <w:r w:rsidR="00565C82" w:rsidRPr="007B5A44">
        <w:rPr>
          <w:sz w:val="26"/>
          <w:szCs w:val="26"/>
          <w:lang w:val="lt-LT"/>
        </w:rPr>
        <w:t>ABREMA (1995), V.</w:t>
      </w:r>
      <w:r w:rsidR="00565C82" w:rsidRPr="007B5A44">
        <w:rPr>
          <w:b/>
          <w:sz w:val="26"/>
          <w:szCs w:val="26"/>
          <w:lang w:val="lt-LT"/>
        </w:rPr>
        <w:t xml:space="preserve"> </w:t>
      </w:r>
      <w:r w:rsidR="00565C82" w:rsidRPr="007B5A44">
        <w:rPr>
          <w:sz w:val="26"/>
          <w:szCs w:val="26"/>
          <w:lang w:val="lt-LT"/>
        </w:rPr>
        <w:t>Beatie, S. Fearnley, R. Brandt (2002), J. L. Turner, T. J. Mock, R.</w:t>
      </w:r>
      <w:r w:rsidR="007B5A44">
        <w:rPr>
          <w:sz w:val="26"/>
          <w:szCs w:val="26"/>
          <w:lang w:val="lt-LT"/>
        </w:rPr>
        <w:t> </w:t>
      </w:r>
      <w:r w:rsidR="00565C82" w:rsidRPr="007B5A44">
        <w:rPr>
          <w:sz w:val="26"/>
          <w:szCs w:val="26"/>
          <w:lang w:val="lt-LT"/>
        </w:rPr>
        <w:t>P.</w:t>
      </w:r>
      <w:r w:rsidR="007B5A44">
        <w:rPr>
          <w:sz w:val="26"/>
          <w:szCs w:val="26"/>
          <w:lang w:val="lt-LT"/>
        </w:rPr>
        <w:t> </w:t>
      </w:r>
      <w:r w:rsidR="00565C82" w:rsidRPr="007B5A44">
        <w:rPr>
          <w:sz w:val="26"/>
          <w:szCs w:val="26"/>
          <w:lang w:val="lt-LT"/>
        </w:rPr>
        <w:t xml:space="preserve">Srivastava (2003) ir T. B. Bell, M. E. Peecher, I. Solomon (2005) </w:t>
      </w:r>
      <w:r w:rsidR="001F04DE" w:rsidRPr="007B5A44">
        <w:rPr>
          <w:i/>
          <w:sz w:val="26"/>
          <w:szCs w:val="26"/>
          <w:lang w:val="lt-LT"/>
        </w:rPr>
        <w:t>lygin</w:t>
      </w:r>
      <w:r w:rsidR="00B47A57" w:rsidRPr="007B5A44">
        <w:rPr>
          <w:i/>
          <w:sz w:val="26"/>
          <w:szCs w:val="26"/>
          <w:lang w:val="lt-LT"/>
        </w:rPr>
        <w:t xml:space="preserve">amoji </w:t>
      </w:r>
      <w:r w:rsidR="00174DD1" w:rsidRPr="007B5A44">
        <w:rPr>
          <w:i/>
          <w:sz w:val="26"/>
          <w:szCs w:val="26"/>
          <w:lang w:val="lt-LT"/>
        </w:rPr>
        <w:t>analizė</w:t>
      </w:r>
      <w:r w:rsidR="008B37EA" w:rsidRPr="007B5A44">
        <w:rPr>
          <w:i/>
          <w:sz w:val="26"/>
          <w:szCs w:val="26"/>
          <w:lang w:val="lt-LT"/>
        </w:rPr>
        <w:t>. A</w:t>
      </w:r>
      <w:r w:rsidR="008B37EA" w:rsidRPr="007B5A44">
        <w:rPr>
          <w:sz w:val="26"/>
          <w:szCs w:val="26"/>
          <w:lang w:val="lt-LT"/>
        </w:rPr>
        <w:t>nalizės rezultatai</w:t>
      </w:r>
      <w:r w:rsidR="00174DD1" w:rsidRPr="007B5A44">
        <w:rPr>
          <w:sz w:val="26"/>
          <w:szCs w:val="26"/>
          <w:lang w:val="lt-LT"/>
        </w:rPr>
        <w:t xml:space="preserve"> parodė</w:t>
      </w:r>
      <w:r w:rsidR="001F04DE" w:rsidRPr="007B5A44">
        <w:rPr>
          <w:sz w:val="26"/>
          <w:szCs w:val="26"/>
          <w:lang w:val="lt-LT"/>
        </w:rPr>
        <w:t xml:space="preserve">, </w:t>
      </w:r>
      <w:r w:rsidR="00174DD1" w:rsidRPr="007B5A44">
        <w:rPr>
          <w:sz w:val="26"/>
          <w:szCs w:val="26"/>
          <w:lang w:val="lt-LT"/>
        </w:rPr>
        <w:t xml:space="preserve">kad šie audito rizikos modeliai </w:t>
      </w:r>
      <w:r w:rsidR="008B37EA" w:rsidRPr="007B5A44">
        <w:rPr>
          <w:sz w:val="26"/>
          <w:szCs w:val="26"/>
          <w:lang w:val="lt-LT"/>
        </w:rPr>
        <w:t>yra daugiau skirti</w:t>
      </w:r>
      <w:r w:rsidR="00174DD1" w:rsidRPr="007B5A44">
        <w:rPr>
          <w:sz w:val="26"/>
          <w:szCs w:val="26"/>
          <w:lang w:val="lt-LT"/>
        </w:rPr>
        <w:t xml:space="preserve"> audito rizikos sampratos</w:t>
      </w:r>
      <w:r w:rsidR="00565C82" w:rsidRPr="007B5A44">
        <w:rPr>
          <w:sz w:val="26"/>
          <w:szCs w:val="26"/>
          <w:lang w:val="lt-LT"/>
        </w:rPr>
        <w:t>, o</w:t>
      </w:r>
      <w:r w:rsidR="00174DD1" w:rsidRPr="007B5A44">
        <w:rPr>
          <w:sz w:val="26"/>
          <w:szCs w:val="26"/>
          <w:lang w:val="lt-LT"/>
        </w:rPr>
        <w:t xml:space="preserve"> ne jos vertinimo </w:t>
      </w:r>
      <w:r w:rsidR="008B37EA" w:rsidRPr="007B5A44">
        <w:rPr>
          <w:sz w:val="26"/>
          <w:szCs w:val="26"/>
          <w:lang w:val="lt-LT"/>
        </w:rPr>
        <w:t>klausimams spręsti</w:t>
      </w:r>
      <w:r w:rsidR="00174DD1" w:rsidRPr="007B5A44">
        <w:rPr>
          <w:sz w:val="26"/>
          <w:szCs w:val="26"/>
          <w:lang w:val="lt-LT"/>
        </w:rPr>
        <w:t xml:space="preserve">. </w:t>
      </w:r>
      <w:r w:rsidR="00F07616" w:rsidRPr="007B5A44">
        <w:rPr>
          <w:sz w:val="26"/>
          <w:szCs w:val="26"/>
          <w:lang w:val="lt-LT"/>
        </w:rPr>
        <w:t>Atsižvelgiant į tai buv</w:t>
      </w:r>
      <w:r w:rsidR="001F04DE" w:rsidRPr="007B5A44">
        <w:rPr>
          <w:sz w:val="26"/>
          <w:szCs w:val="26"/>
          <w:lang w:val="lt-LT"/>
        </w:rPr>
        <w:t xml:space="preserve">o </w:t>
      </w:r>
      <w:r w:rsidR="001F04DE" w:rsidRPr="007B5A44">
        <w:rPr>
          <w:i/>
          <w:sz w:val="26"/>
          <w:szCs w:val="26"/>
          <w:lang w:val="lt-LT"/>
        </w:rPr>
        <w:t>suformuluot</w:t>
      </w:r>
      <w:r w:rsidR="00F07616" w:rsidRPr="007B5A44">
        <w:rPr>
          <w:i/>
          <w:sz w:val="26"/>
          <w:szCs w:val="26"/>
          <w:lang w:val="lt-LT"/>
        </w:rPr>
        <w:t>os</w:t>
      </w:r>
      <w:r w:rsidR="00DF5658" w:rsidRPr="007B5A44">
        <w:rPr>
          <w:i/>
          <w:sz w:val="26"/>
          <w:szCs w:val="26"/>
          <w:lang w:val="lt-LT"/>
        </w:rPr>
        <w:t xml:space="preserve"> </w:t>
      </w:r>
      <w:r w:rsidR="00496EA9">
        <w:rPr>
          <w:i/>
          <w:sz w:val="26"/>
          <w:szCs w:val="26"/>
          <w:lang w:val="lt-LT"/>
        </w:rPr>
        <w:t>audito rizikos vertinimo modelio tobulinimo kryptys</w:t>
      </w:r>
      <w:r w:rsidR="00C2603E" w:rsidRPr="007B5A44">
        <w:rPr>
          <w:i/>
          <w:sz w:val="26"/>
          <w:szCs w:val="26"/>
          <w:lang w:val="lt-LT"/>
        </w:rPr>
        <w:t xml:space="preserve"> </w:t>
      </w:r>
      <w:r w:rsidR="00C2603E" w:rsidRPr="007B5A44">
        <w:rPr>
          <w:sz w:val="26"/>
          <w:szCs w:val="26"/>
          <w:lang w:val="lt-LT"/>
        </w:rPr>
        <w:t>(žr</w:t>
      </w:r>
      <w:r w:rsidR="00C2603E" w:rsidRPr="006F53DE">
        <w:rPr>
          <w:sz w:val="26"/>
          <w:szCs w:val="26"/>
          <w:lang w:val="lt-LT"/>
        </w:rPr>
        <w:t>. 1</w:t>
      </w:r>
      <w:r w:rsidR="006F53DE" w:rsidRPr="006F53DE">
        <w:rPr>
          <w:sz w:val="26"/>
          <w:szCs w:val="26"/>
          <w:lang w:val="lt-LT"/>
        </w:rPr>
        <w:t>8</w:t>
      </w:r>
      <w:r w:rsidR="00C2603E" w:rsidRPr="006F53DE">
        <w:rPr>
          <w:sz w:val="26"/>
          <w:szCs w:val="26"/>
          <w:lang w:val="lt-LT"/>
        </w:rPr>
        <w:t xml:space="preserve"> lentelė).</w:t>
      </w:r>
      <w:r w:rsidR="00F07616" w:rsidRPr="007B5A44">
        <w:rPr>
          <w:sz w:val="26"/>
          <w:szCs w:val="26"/>
          <w:lang w:val="lt-LT"/>
        </w:rPr>
        <w:t xml:space="preserve"> </w:t>
      </w:r>
    </w:p>
    <w:p w:rsidR="00C33476" w:rsidRPr="007B5A44" w:rsidRDefault="00B15EFF" w:rsidP="00D730C0">
      <w:pPr>
        <w:pStyle w:val="ListParagraph"/>
        <w:numPr>
          <w:ilvl w:val="0"/>
          <w:numId w:val="13"/>
        </w:numPr>
        <w:tabs>
          <w:tab w:val="left" w:pos="0"/>
          <w:tab w:val="left" w:pos="1134"/>
        </w:tabs>
        <w:spacing w:before="120" w:line="360" w:lineRule="auto"/>
        <w:ind w:left="0" w:firstLine="720"/>
        <w:jc w:val="both"/>
        <w:rPr>
          <w:sz w:val="26"/>
          <w:szCs w:val="26"/>
          <w:lang w:val="lt-LT"/>
        </w:rPr>
      </w:pPr>
      <w:r w:rsidRPr="007B5A44">
        <w:rPr>
          <w:i/>
          <w:sz w:val="26"/>
          <w:szCs w:val="26"/>
          <w:lang w:val="lt-LT"/>
        </w:rPr>
        <w:t>a</w:t>
      </w:r>
      <w:r w:rsidR="00907DDA" w:rsidRPr="007B5A44">
        <w:rPr>
          <w:i/>
          <w:sz w:val="26"/>
          <w:szCs w:val="26"/>
          <w:lang w:val="lt-LT"/>
        </w:rPr>
        <w:t>pibendrin</w:t>
      </w:r>
      <w:r w:rsidR="00807F80">
        <w:rPr>
          <w:i/>
          <w:sz w:val="26"/>
          <w:szCs w:val="26"/>
          <w:lang w:val="lt-LT"/>
        </w:rPr>
        <w:t>us</w:t>
      </w:r>
      <w:r w:rsidR="00907DDA" w:rsidRPr="007B5A44">
        <w:rPr>
          <w:i/>
          <w:sz w:val="26"/>
          <w:szCs w:val="26"/>
          <w:lang w:val="lt-LT"/>
        </w:rPr>
        <w:t xml:space="preserve"> atliktos anketinės apklausos,</w:t>
      </w:r>
      <w:r w:rsidR="00907DDA" w:rsidRPr="007B5A44">
        <w:rPr>
          <w:sz w:val="26"/>
          <w:szCs w:val="26"/>
          <w:lang w:val="lt-LT"/>
        </w:rPr>
        <w:t xml:space="preserve"> orientuotos į </w:t>
      </w:r>
      <w:r w:rsidRPr="007B5A44">
        <w:rPr>
          <w:sz w:val="26"/>
          <w:szCs w:val="26"/>
          <w:lang w:val="lt-LT"/>
        </w:rPr>
        <w:t xml:space="preserve">Lietuvos auditorių patirtį ir </w:t>
      </w:r>
      <w:r w:rsidR="00807F80">
        <w:rPr>
          <w:sz w:val="26"/>
          <w:szCs w:val="26"/>
          <w:lang w:val="lt-LT"/>
        </w:rPr>
        <w:t>problemas</w:t>
      </w:r>
      <w:r w:rsidRPr="007B5A44">
        <w:rPr>
          <w:sz w:val="26"/>
          <w:szCs w:val="26"/>
          <w:lang w:val="lt-LT"/>
        </w:rPr>
        <w:t xml:space="preserve"> vertinant audito riziką, </w:t>
      </w:r>
      <w:r w:rsidRPr="007B5A44">
        <w:rPr>
          <w:i/>
          <w:sz w:val="26"/>
          <w:szCs w:val="26"/>
          <w:lang w:val="lt-LT"/>
        </w:rPr>
        <w:t>rezultat</w:t>
      </w:r>
      <w:r w:rsidR="00D64DB9">
        <w:rPr>
          <w:i/>
          <w:sz w:val="26"/>
          <w:szCs w:val="26"/>
          <w:lang w:val="lt-LT"/>
        </w:rPr>
        <w:t>us</w:t>
      </w:r>
      <w:r w:rsidR="008A2507" w:rsidRPr="007B5A44">
        <w:rPr>
          <w:sz w:val="26"/>
          <w:szCs w:val="26"/>
          <w:lang w:val="lt-LT"/>
        </w:rPr>
        <w:t xml:space="preserve">, </w:t>
      </w:r>
      <w:r w:rsidRPr="006F53DE">
        <w:rPr>
          <w:sz w:val="26"/>
          <w:szCs w:val="26"/>
          <w:lang w:val="lt-LT"/>
        </w:rPr>
        <w:t>išsiaiškint</w:t>
      </w:r>
      <w:r w:rsidR="00D64DB9">
        <w:rPr>
          <w:sz w:val="26"/>
          <w:szCs w:val="26"/>
          <w:lang w:val="lt-LT"/>
        </w:rPr>
        <w:t>os</w:t>
      </w:r>
      <w:r w:rsidRPr="006F53DE">
        <w:rPr>
          <w:sz w:val="26"/>
          <w:szCs w:val="26"/>
          <w:lang w:val="lt-LT"/>
        </w:rPr>
        <w:t xml:space="preserve"> </w:t>
      </w:r>
      <w:r w:rsidR="00C33476" w:rsidRPr="006F53DE">
        <w:rPr>
          <w:sz w:val="26"/>
          <w:szCs w:val="26"/>
          <w:lang w:val="lt-LT"/>
        </w:rPr>
        <w:t>a</w:t>
      </w:r>
      <w:r w:rsidR="00C33476" w:rsidRPr="007B5A44">
        <w:rPr>
          <w:sz w:val="26"/>
          <w:szCs w:val="26"/>
          <w:lang w:val="lt-LT"/>
        </w:rPr>
        <w:t>udito rizikos vertinimo modelio p</w:t>
      </w:r>
      <w:r w:rsidR="00496EA9">
        <w:rPr>
          <w:sz w:val="26"/>
          <w:szCs w:val="26"/>
          <w:lang w:val="lt-LT"/>
        </w:rPr>
        <w:t>ritaikym</w:t>
      </w:r>
      <w:r w:rsidR="00D64DB9">
        <w:rPr>
          <w:sz w:val="26"/>
          <w:szCs w:val="26"/>
          <w:lang w:val="lt-LT"/>
        </w:rPr>
        <w:t>ui</w:t>
      </w:r>
      <w:r w:rsidR="00496EA9">
        <w:rPr>
          <w:sz w:val="26"/>
          <w:szCs w:val="26"/>
          <w:lang w:val="lt-LT"/>
        </w:rPr>
        <w:t xml:space="preserve"> praktikoje </w:t>
      </w:r>
      <w:r w:rsidR="00D64DB9">
        <w:rPr>
          <w:sz w:val="26"/>
          <w:szCs w:val="26"/>
          <w:lang w:val="lt-LT"/>
        </w:rPr>
        <w:t>būtinos sąlygos</w:t>
      </w:r>
      <w:r w:rsidR="00C33476" w:rsidRPr="007B5A44">
        <w:rPr>
          <w:sz w:val="26"/>
          <w:szCs w:val="26"/>
          <w:lang w:val="lt-LT"/>
        </w:rPr>
        <w:t>.</w:t>
      </w:r>
    </w:p>
    <w:p w:rsidR="006815B3" w:rsidRPr="007B5A44" w:rsidRDefault="008B5D53" w:rsidP="006815B3">
      <w:pPr>
        <w:spacing w:line="360" w:lineRule="auto"/>
        <w:ind w:firstLine="720"/>
        <w:jc w:val="both"/>
        <w:rPr>
          <w:sz w:val="26"/>
          <w:szCs w:val="26"/>
          <w:lang w:val="lt-LT"/>
        </w:rPr>
      </w:pPr>
      <w:r w:rsidRPr="007B5A44">
        <w:rPr>
          <w:sz w:val="26"/>
          <w:szCs w:val="26"/>
          <w:lang w:val="lt-LT"/>
        </w:rPr>
        <w:t xml:space="preserve">Darbo autorės audito rizikos vertinimo </w:t>
      </w:r>
      <w:r w:rsidR="007304EB" w:rsidRPr="007B5A44">
        <w:rPr>
          <w:sz w:val="26"/>
          <w:szCs w:val="26"/>
          <w:lang w:val="lt-LT"/>
        </w:rPr>
        <w:t>modelis sudarytas taip, kad supaprastint</w:t>
      </w:r>
      <w:r w:rsidR="00ED2672" w:rsidRPr="007B5A44">
        <w:rPr>
          <w:sz w:val="26"/>
          <w:szCs w:val="26"/>
          <w:lang w:val="lt-LT"/>
        </w:rPr>
        <w:t>ų</w:t>
      </w:r>
      <w:r w:rsidR="007304EB" w:rsidRPr="007B5A44">
        <w:rPr>
          <w:sz w:val="26"/>
          <w:szCs w:val="26"/>
          <w:lang w:val="lt-LT"/>
        </w:rPr>
        <w:t xml:space="preserve"> audito rizikos sampratą ir </w:t>
      </w:r>
      <w:r w:rsidR="00D64DB9">
        <w:rPr>
          <w:sz w:val="26"/>
          <w:szCs w:val="26"/>
          <w:lang w:val="lt-LT"/>
        </w:rPr>
        <w:t>perteiktų sisteminį požiūrį į audito rizikos vertinimą</w:t>
      </w:r>
      <w:r w:rsidR="007304EB" w:rsidRPr="007B5A44">
        <w:rPr>
          <w:sz w:val="26"/>
          <w:szCs w:val="26"/>
          <w:lang w:val="lt-LT"/>
        </w:rPr>
        <w:t xml:space="preserve">. </w:t>
      </w:r>
      <w:r w:rsidR="0070243E">
        <w:rPr>
          <w:sz w:val="26"/>
          <w:szCs w:val="26"/>
          <w:lang w:val="lt-LT"/>
        </w:rPr>
        <w:t>I</w:t>
      </w:r>
      <w:r w:rsidR="006815B3" w:rsidRPr="007B5A44">
        <w:rPr>
          <w:sz w:val="26"/>
          <w:szCs w:val="26"/>
          <w:lang w:val="lt-LT"/>
        </w:rPr>
        <w:t>šskiriamos trys pagrindinės prielaidos, kuriomis yra remiamasi</w:t>
      </w:r>
      <w:r w:rsidR="0070243E">
        <w:rPr>
          <w:sz w:val="26"/>
          <w:szCs w:val="26"/>
          <w:lang w:val="lt-LT"/>
        </w:rPr>
        <w:t xml:space="preserve"> šiame audito rizikos vertinimo modelyje</w:t>
      </w:r>
      <w:r w:rsidR="006815B3" w:rsidRPr="007B5A44">
        <w:rPr>
          <w:sz w:val="26"/>
          <w:szCs w:val="26"/>
          <w:lang w:val="lt-LT"/>
        </w:rPr>
        <w:t>:</w:t>
      </w:r>
    </w:p>
    <w:p w:rsidR="005D7CE1" w:rsidRPr="007B5A44" w:rsidRDefault="006815B3" w:rsidP="005D7CE1">
      <w:pPr>
        <w:spacing w:line="360" w:lineRule="auto"/>
        <w:ind w:firstLine="720"/>
        <w:jc w:val="both"/>
        <w:rPr>
          <w:sz w:val="26"/>
          <w:szCs w:val="26"/>
          <w:lang w:val="lt-LT"/>
        </w:rPr>
      </w:pPr>
      <w:r w:rsidRPr="007B5A44">
        <w:rPr>
          <w:i/>
          <w:sz w:val="26"/>
          <w:szCs w:val="26"/>
          <w:lang w:val="lt-LT"/>
        </w:rPr>
        <w:t>1</w:t>
      </w:r>
      <w:r w:rsidR="005A4942" w:rsidRPr="007B5A44">
        <w:rPr>
          <w:i/>
          <w:sz w:val="26"/>
          <w:szCs w:val="26"/>
          <w:lang w:val="lt-LT"/>
        </w:rPr>
        <w:t>-oji</w:t>
      </w:r>
      <w:r w:rsidRPr="007B5A44">
        <w:rPr>
          <w:i/>
          <w:sz w:val="26"/>
          <w:szCs w:val="26"/>
          <w:lang w:val="lt-LT"/>
        </w:rPr>
        <w:t xml:space="preserve"> prielaida</w:t>
      </w:r>
      <w:r w:rsidRPr="007B5A44">
        <w:rPr>
          <w:sz w:val="26"/>
          <w:szCs w:val="26"/>
          <w:lang w:val="lt-LT"/>
        </w:rPr>
        <w:t xml:space="preserve">: </w:t>
      </w:r>
      <w:r w:rsidR="005A4942" w:rsidRPr="007B5A44">
        <w:rPr>
          <w:sz w:val="26"/>
          <w:szCs w:val="26"/>
          <w:lang w:val="lt-LT"/>
        </w:rPr>
        <w:t xml:space="preserve">modelis skirtas audito rizikai su kuria susiduria </w:t>
      </w:r>
      <w:r w:rsidR="009C628A" w:rsidRPr="007B5A44">
        <w:rPr>
          <w:sz w:val="26"/>
          <w:szCs w:val="26"/>
          <w:lang w:val="lt-LT"/>
        </w:rPr>
        <w:t>audito įmonė, atliekanti finansinių ataskaitų auditą, nustatyti ir vertinti, todėl</w:t>
      </w:r>
      <w:r w:rsidR="005A4942" w:rsidRPr="007B5A44">
        <w:rPr>
          <w:sz w:val="26"/>
          <w:szCs w:val="26"/>
          <w:lang w:val="lt-LT"/>
        </w:rPr>
        <w:t xml:space="preserve"> j</w:t>
      </w:r>
      <w:r w:rsidR="009C628A" w:rsidRPr="007B5A44">
        <w:rPr>
          <w:sz w:val="26"/>
          <w:szCs w:val="26"/>
          <w:lang w:val="lt-LT"/>
        </w:rPr>
        <w:t>o</w:t>
      </w:r>
      <w:r w:rsidR="005A4942" w:rsidRPr="007B5A44">
        <w:rPr>
          <w:sz w:val="26"/>
          <w:szCs w:val="26"/>
          <w:lang w:val="lt-LT"/>
        </w:rPr>
        <w:t xml:space="preserve"> panaudojim</w:t>
      </w:r>
      <w:r w:rsidR="009C628A" w:rsidRPr="007B5A44">
        <w:rPr>
          <w:sz w:val="26"/>
          <w:szCs w:val="26"/>
          <w:lang w:val="lt-LT"/>
        </w:rPr>
        <w:t>o galimybė kit</w:t>
      </w:r>
      <w:r w:rsidR="00435AD2" w:rsidRPr="007B5A44">
        <w:rPr>
          <w:sz w:val="26"/>
          <w:szCs w:val="26"/>
          <w:lang w:val="lt-LT"/>
        </w:rPr>
        <w:t>u</w:t>
      </w:r>
      <w:r w:rsidR="009C628A" w:rsidRPr="007B5A44">
        <w:rPr>
          <w:sz w:val="26"/>
          <w:szCs w:val="26"/>
          <w:lang w:val="lt-LT"/>
        </w:rPr>
        <w:t xml:space="preserve"> atvej</w:t>
      </w:r>
      <w:r w:rsidR="00435AD2" w:rsidRPr="007B5A44">
        <w:rPr>
          <w:sz w:val="26"/>
          <w:szCs w:val="26"/>
          <w:lang w:val="lt-LT"/>
        </w:rPr>
        <w:t>u</w:t>
      </w:r>
      <w:r w:rsidR="009C628A" w:rsidRPr="007B5A44">
        <w:rPr>
          <w:sz w:val="26"/>
          <w:szCs w:val="26"/>
          <w:lang w:val="lt-LT"/>
        </w:rPr>
        <w:t xml:space="preserve"> yra ribota</w:t>
      </w:r>
      <w:r w:rsidR="005D7CE1" w:rsidRPr="007B5A44">
        <w:rPr>
          <w:sz w:val="26"/>
          <w:szCs w:val="26"/>
          <w:lang w:val="lt-LT"/>
        </w:rPr>
        <w:t>.</w:t>
      </w:r>
      <w:r w:rsidR="005A4942" w:rsidRPr="007B5A44">
        <w:rPr>
          <w:sz w:val="26"/>
          <w:szCs w:val="26"/>
          <w:lang w:val="lt-LT"/>
        </w:rPr>
        <w:t xml:space="preserve"> </w:t>
      </w:r>
      <w:r w:rsidR="005D7CE1" w:rsidRPr="007B5A44">
        <w:rPr>
          <w:sz w:val="26"/>
          <w:szCs w:val="26"/>
          <w:lang w:val="lt-LT"/>
        </w:rPr>
        <w:t xml:space="preserve">Jame yra remiamasi audito koncepcijomis, tokiomis kaip reikšmingumas, audito įrodymai ir kt., kurios formuoja </w:t>
      </w:r>
      <w:r w:rsidR="00362D9A" w:rsidRPr="007B5A44">
        <w:rPr>
          <w:sz w:val="26"/>
          <w:szCs w:val="26"/>
          <w:lang w:val="lt-LT"/>
        </w:rPr>
        <w:t>audito atlikimo pagrindą;</w:t>
      </w:r>
      <w:r w:rsidR="005D7CE1" w:rsidRPr="007B5A44">
        <w:rPr>
          <w:sz w:val="26"/>
          <w:szCs w:val="26"/>
          <w:lang w:val="lt-LT"/>
        </w:rPr>
        <w:t xml:space="preserve"> </w:t>
      </w:r>
    </w:p>
    <w:p w:rsidR="005A4942" w:rsidRPr="007B5A44" w:rsidRDefault="009C628A" w:rsidP="006815B3">
      <w:pPr>
        <w:spacing w:line="360" w:lineRule="auto"/>
        <w:ind w:firstLine="720"/>
        <w:jc w:val="both"/>
        <w:rPr>
          <w:sz w:val="26"/>
          <w:szCs w:val="26"/>
          <w:lang w:val="lt-LT"/>
        </w:rPr>
      </w:pPr>
      <w:r w:rsidRPr="007B5A44">
        <w:rPr>
          <w:i/>
          <w:sz w:val="26"/>
          <w:szCs w:val="26"/>
          <w:lang w:val="lt-LT"/>
        </w:rPr>
        <w:t>2-oji prielaida:</w:t>
      </w:r>
      <w:r w:rsidRPr="007B5A44">
        <w:rPr>
          <w:sz w:val="26"/>
          <w:szCs w:val="26"/>
          <w:lang w:val="lt-LT"/>
        </w:rPr>
        <w:t xml:space="preserve"> </w:t>
      </w:r>
      <w:r w:rsidR="0070243E">
        <w:rPr>
          <w:sz w:val="26"/>
          <w:szCs w:val="26"/>
          <w:lang w:val="lt-LT"/>
        </w:rPr>
        <w:t xml:space="preserve">modelyje </w:t>
      </w:r>
      <w:r w:rsidR="005439A3" w:rsidRPr="007B5A44">
        <w:rPr>
          <w:sz w:val="26"/>
          <w:szCs w:val="26"/>
          <w:lang w:val="lt-LT"/>
        </w:rPr>
        <w:t xml:space="preserve">susisteminta </w:t>
      </w:r>
      <w:r w:rsidR="006815B3" w:rsidRPr="007B5A44">
        <w:rPr>
          <w:sz w:val="26"/>
          <w:szCs w:val="26"/>
          <w:lang w:val="lt-LT"/>
        </w:rPr>
        <w:t xml:space="preserve">audito rizikos vertinimo metodologija, o ne </w:t>
      </w:r>
      <w:r w:rsidR="005439A3" w:rsidRPr="007B5A44">
        <w:rPr>
          <w:sz w:val="26"/>
          <w:szCs w:val="26"/>
          <w:lang w:val="lt-LT"/>
        </w:rPr>
        <w:t xml:space="preserve">įvardijamos </w:t>
      </w:r>
      <w:r w:rsidR="007E2A12" w:rsidRPr="007B5A44">
        <w:rPr>
          <w:sz w:val="26"/>
          <w:szCs w:val="26"/>
          <w:lang w:val="lt-LT"/>
        </w:rPr>
        <w:t>konkrečio</w:t>
      </w:r>
      <w:r w:rsidR="005A4942" w:rsidRPr="007B5A44">
        <w:rPr>
          <w:sz w:val="26"/>
          <w:szCs w:val="26"/>
          <w:lang w:val="lt-LT"/>
        </w:rPr>
        <w:t xml:space="preserve">s audito procedūros </w:t>
      </w:r>
      <w:r w:rsidR="007E2A12" w:rsidRPr="007B5A44">
        <w:rPr>
          <w:sz w:val="26"/>
          <w:szCs w:val="26"/>
          <w:lang w:val="lt-LT"/>
        </w:rPr>
        <w:t xml:space="preserve">ar </w:t>
      </w:r>
      <w:r w:rsidR="005439A3" w:rsidRPr="007B5A44">
        <w:rPr>
          <w:sz w:val="26"/>
          <w:szCs w:val="26"/>
          <w:lang w:val="lt-LT"/>
        </w:rPr>
        <w:t xml:space="preserve">pateikiami </w:t>
      </w:r>
      <w:r w:rsidR="007E2A12" w:rsidRPr="007B5A44">
        <w:rPr>
          <w:sz w:val="26"/>
          <w:szCs w:val="26"/>
          <w:lang w:val="lt-LT"/>
        </w:rPr>
        <w:t>siūlyma</w:t>
      </w:r>
      <w:r w:rsidR="005439A3" w:rsidRPr="007B5A44">
        <w:rPr>
          <w:sz w:val="26"/>
          <w:szCs w:val="26"/>
          <w:lang w:val="lt-LT"/>
        </w:rPr>
        <w:t>i</w:t>
      </w:r>
      <w:r w:rsidR="007E2A12" w:rsidRPr="007B5A44">
        <w:rPr>
          <w:sz w:val="26"/>
          <w:szCs w:val="26"/>
          <w:lang w:val="lt-LT"/>
        </w:rPr>
        <w:t xml:space="preserve"> kaip jas atlikti</w:t>
      </w:r>
      <w:r w:rsidR="005A4942" w:rsidRPr="007B5A44">
        <w:rPr>
          <w:sz w:val="26"/>
          <w:szCs w:val="26"/>
          <w:lang w:val="lt-LT"/>
        </w:rPr>
        <w:t>;</w:t>
      </w:r>
    </w:p>
    <w:p w:rsidR="006815B3" w:rsidRPr="007B5A44" w:rsidRDefault="007E2A12" w:rsidP="006815B3">
      <w:pPr>
        <w:spacing w:line="360" w:lineRule="auto"/>
        <w:ind w:firstLine="720"/>
        <w:jc w:val="both"/>
        <w:rPr>
          <w:sz w:val="26"/>
          <w:szCs w:val="26"/>
          <w:lang w:val="lt-LT"/>
        </w:rPr>
      </w:pPr>
      <w:r w:rsidRPr="007B5A44">
        <w:rPr>
          <w:i/>
          <w:sz w:val="26"/>
          <w:szCs w:val="26"/>
          <w:lang w:val="lt-LT"/>
        </w:rPr>
        <w:t>3</w:t>
      </w:r>
      <w:r w:rsidR="005A4942" w:rsidRPr="007B5A44">
        <w:rPr>
          <w:i/>
          <w:sz w:val="26"/>
          <w:szCs w:val="26"/>
          <w:lang w:val="lt-LT"/>
        </w:rPr>
        <w:t>-oji prielaida</w:t>
      </w:r>
      <w:r w:rsidR="005A4942" w:rsidRPr="007B5A44">
        <w:rPr>
          <w:sz w:val="26"/>
          <w:szCs w:val="26"/>
          <w:lang w:val="lt-LT"/>
        </w:rPr>
        <w:t xml:space="preserve">: </w:t>
      </w:r>
      <w:r w:rsidR="00362D9A" w:rsidRPr="007B5A44">
        <w:rPr>
          <w:sz w:val="26"/>
          <w:szCs w:val="26"/>
          <w:lang w:val="lt-LT"/>
        </w:rPr>
        <w:t xml:space="preserve">dėmesys telkiamas į </w:t>
      </w:r>
      <w:r w:rsidRPr="007B5A44">
        <w:rPr>
          <w:sz w:val="26"/>
          <w:szCs w:val="26"/>
          <w:lang w:val="lt-LT"/>
        </w:rPr>
        <w:t xml:space="preserve">audito rizikos komponentų, </w:t>
      </w:r>
      <w:r w:rsidR="00435AD2" w:rsidRPr="007B5A44">
        <w:rPr>
          <w:sz w:val="26"/>
          <w:szCs w:val="26"/>
          <w:lang w:val="lt-LT"/>
        </w:rPr>
        <w:t>kuri</w:t>
      </w:r>
      <w:r w:rsidR="00362FB3" w:rsidRPr="007B5A44">
        <w:rPr>
          <w:sz w:val="26"/>
          <w:szCs w:val="26"/>
          <w:lang w:val="lt-LT"/>
        </w:rPr>
        <w:t>e tiesiogiai nepriklauso nuo a</w:t>
      </w:r>
      <w:r w:rsidR="00435AD2" w:rsidRPr="007B5A44">
        <w:rPr>
          <w:sz w:val="26"/>
          <w:szCs w:val="26"/>
          <w:lang w:val="lt-LT"/>
        </w:rPr>
        <w:t>uditori</w:t>
      </w:r>
      <w:r w:rsidR="00362FB3" w:rsidRPr="007B5A44">
        <w:rPr>
          <w:sz w:val="26"/>
          <w:szCs w:val="26"/>
          <w:lang w:val="lt-LT"/>
        </w:rPr>
        <w:t>a</w:t>
      </w:r>
      <w:r w:rsidR="00435AD2" w:rsidRPr="007B5A44">
        <w:rPr>
          <w:sz w:val="26"/>
          <w:szCs w:val="26"/>
          <w:lang w:val="lt-LT"/>
        </w:rPr>
        <w:t xml:space="preserve">us </w:t>
      </w:r>
      <w:r w:rsidR="00362FB3" w:rsidRPr="007B5A44">
        <w:rPr>
          <w:sz w:val="26"/>
          <w:szCs w:val="26"/>
          <w:lang w:val="lt-LT"/>
        </w:rPr>
        <w:t xml:space="preserve">ir </w:t>
      </w:r>
      <w:r w:rsidR="00435AD2" w:rsidRPr="007B5A44">
        <w:rPr>
          <w:sz w:val="26"/>
          <w:szCs w:val="26"/>
          <w:lang w:val="lt-LT"/>
        </w:rPr>
        <w:t>n</w:t>
      </w:r>
      <w:r w:rsidR="00362FB3" w:rsidRPr="007B5A44">
        <w:rPr>
          <w:sz w:val="26"/>
          <w:szCs w:val="26"/>
          <w:lang w:val="lt-LT"/>
        </w:rPr>
        <w:t>ėra jo</w:t>
      </w:r>
      <w:r w:rsidR="00435AD2" w:rsidRPr="007B5A44">
        <w:rPr>
          <w:sz w:val="26"/>
          <w:szCs w:val="26"/>
          <w:lang w:val="lt-LT"/>
        </w:rPr>
        <w:t xml:space="preserve"> kont</w:t>
      </w:r>
      <w:r w:rsidR="00926F25" w:rsidRPr="007B5A44">
        <w:rPr>
          <w:sz w:val="26"/>
          <w:szCs w:val="26"/>
          <w:lang w:val="lt-LT"/>
        </w:rPr>
        <w:t>roliuo</w:t>
      </w:r>
      <w:r w:rsidR="00362FB3" w:rsidRPr="007B5A44">
        <w:rPr>
          <w:sz w:val="26"/>
          <w:szCs w:val="26"/>
          <w:lang w:val="lt-LT"/>
        </w:rPr>
        <w:t>jam</w:t>
      </w:r>
      <w:r w:rsidR="00926F25" w:rsidRPr="007B5A44">
        <w:rPr>
          <w:sz w:val="26"/>
          <w:szCs w:val="26"/>
          <w:lang w:val="lt-LT"/>
        </w:rPr>
        <w:t>i</w:t>
      </w:r>
      <w:r w:rsidR="00362FB3" w:rsidRPr="007B5A44">
        <w:rPr>
          <w:sz w:val="26"/>
          <w:szCs w:val="26"/>
          <w:lang w:val="lt-LT"/>
        </w:rPr>
        <w:t>,</w:t>
      </w:r>
      <w:r w:rsidR="005439A3" w:rsidRPr="007B5A44">
        <w:rPr>
          <w:sz w:val="26"/>
          <w:szCs w:val="26"/>
          <w:lang w:val="lt-LT"/>
        </w:rPr>
        <w:t xml:space="preserve"> </w:t>
      </w:r>
      <w:r w:rsidR="0070243E">
        <w:rPr>
          <w:sz w:val="26"/>
          <w:szCs w:val="26"/>
          <w:lang w:val="lt-LT"/>
        </w:rPr>
        <w:t>įvert</w:t>
      </w:r>
      <w:r w:rsidR="00633D52">
        <w:rPr>
          <w:sz w:val="26"/>
          <w:szCs w:val="26"/>
          <w:lang w:val="lt-LT"/>
        </w:rPr>
        <w:t>ini</w:t>
      </w:r>
      <w:r w:rsidR="00435AD2" w:rsidRPr="007B5A44">
        <w:rPr>
          <w:sz w:val="26"/>
          <w:szCs w:val="26"/>
          <w:lang w:val="lt-LT"/>
        </w:rPr>
        <w:t xml:space="preserve">mo </w:t>
      </w:r>
      <w:r w:rsidR="00926F25" w:rsidRPr="007B5A44">
        <w:rPr>
          <w:sz w:val="26"/>
          <w:szCs w:val="26"/>
          <w:lang w:val="lt-LT"/>
        </w:rPr>
        <w:t>problem</w:t>
      </w:r>
      <w:r w:rsidR="00674038" w:rsidRPr="007B5A44">
        <w:rPr>
          <w:sz w:val="26"/>
          <w:szCs w:val="26"/>
          <w:lang w:val="lt-LT"/>
        </w:rPr>
        <w:t>ą</w:t>
      </w:r>
      <w:r w:rsidR="005439A3" w:rsidRPr="007B5A44">
        <w:rPr>
          <w:sz w:val="26"/>
          <w:szCs w:val="26"/>
          <w:lang w:val="lt-LT"/>
        </w:rPr>
        <w:t>.</w:t>
      </w:r>
    </w:p>
    <w:p w:rsidR="00674038" w:rsidRPr="007B5A44" w:rsidRDefault="00362D9A" w:rsidP="008E5A91">
      <w:pPr>
        <w:spacing w:line="360" w:lineRule="auto"/>
        <w:ind w:firstLine="720"/>
        <w:jc w:val="both"/>
        <w:rPr>
          <w:sz w:val="26"/>
          <w:szCs w:val="26"/>
          <w:lang w:val="lt-LT"/>
        </w:rPr>
      </w:pPr>
      <w:r w:rsidRPr="007B5A44">
        <w:rPr>
          <w:sz w:val="26"/>
          <w:szCs w:val="26"/>
          <w:lang w:val="lt-LT"/>
        </w:rPr>
        <w:t>Atsižvelgiant į tai, audito rizikos vertinimo</w:t>
      </w:r>
      <w:r w:rsidR="008B5D53" w:rsidRPr="007B5A44">
        <w:rPr>
          <w:sz w:val="26"/>
          <w:szCs w:val="26"/>
          <w:lang w:val="lt-LT"/>
        </w:rPr>
        <w:t xml:space="preserve"> </w:t>
      </w:r>
      <w:r w:rsidR="007304EB" w:rsidRPr="007B5A44">
        <w:rPr>
          <w:sz w:val="26"/>
          <w:szCs w:val="26"/>
          <w:lang w:val="lt-LT"/>
        </w:rPr>
        <w:t>modeliu siekiama</w:t>
      </w:r>
      <w:r w:rsidR="00DF3C95" w:rsidRPr="007B5A44">
        <w:rPr>
          <w:sz w:val="26"/>
          <w:szCs w:val="26"/>
          <w:lang w:val="lt-LT"/>
        </w:rPr>
        <w:t>:</w:t>
      </w:r>
      <w:r w:rsidR="007304EB" w:rsidRPr="007B5A44">
        <w:rPr>
          <w:sz w:val="26"/>
          <w:szCs w:val="26"/>
          <w:lang w:val="lt-LT"/>
        </w:rPr>
        <w:t xml:space="preserve"> 1)</w:t>
      </w:r>
      <w:r w:rsidR="007B5A44">
        <w:rPr>
          <w:sz w:val="26"/>
          <w:szCs w:val="26"/>
          <w:lang w:val="lt-LT"/>
        </w:rPr>
        <w:t> </w:t>
      </w:r>
      <w:r w:rsidR="007304EB" w:rsidRPr="007B5A44">
        <w:rPr>
          <w:i/>
          <w:sz w:val="26"/>
          <w:szCs w:val="26"/>
          <w:lang w:val="lt-LT"/>
        </w:rPr>
        <w:t>įvardinti audito rizikos komponentus</w:t>
      </w:r>
      <w:r w:rsidR="007304EB" w:rsidRPr="007B5A44">
        <w:rPr>
          <w:sz w:val="26"/>
          <w:szCs w:val="26"/>
          <w:lang w:val="lt-LT"/>
        </w:rPr>
        <w:t xml:space="preserve">, </w:t>
      </w:r>
      <w:r w:rsidR="007304EB" w:rsidRPr="00D64DB9">
        <w:rPr>
          <w:sz w:val="26"/>
          <w:szCs w:val="26"/>
          <w:lang w:val="lt-LT"/>
        </w:rPr>
        <w:t xml:space="preserve">susiejant su </w:t>
      </w:r>
      <w:r w:rsidR="00D64DB9" w:rsidRPr="00D64DB9">
        <w:rPr>
          <w:sz w:val="26"/>
          <w:szCs w:val="26"/>
          <w:lang w:val="lt-LT"/>
        </w:rPr>
        <w:t>j</w:t>
      </w:r>
      <w:r w:rsidR="00633D52" w:rsidRPr="00D64DB9">
        <w:rPr>
          <w:sz w:val="26"/>
          <w:szCs w:val="26"/>
          <w:lang w:val="lt-LT"/>
        </w:rPr>
        <w:t xml:space="preserve">ų </w:t>
      </w:r>
      <w:r w:rsidR="007304EB" w:rsidRPr="00D64DB9">
        <w:rPr>
          <w:sz w:val="26"/>
          <w:szCs w:val="26"/>
          <w:lang w:val="lt-LT"/>
        </w:rPr>
        <w:t>pasireiškimą lemiančiomis sąlygomis</w:t>
      </w:r>
      <w:r w:rsidR="002C24E1">
        <w:rPr>
          <w:sz w:val="26"/>
          <w:szCs w:val="26"/>
          <w:lang w:val="lt-LT"/>
        </w:rPr>
        <w:t>;</w:t>
      </w:r>
      <w:r w:rsidR="007304EB" w:rsidRPr="00D64DB9">
        <w:rPr>
          <w:sz w:val="26"/>
          <w:szCs w:val="26"/>
          <w:lang w:val="lt-LT"/>
        </w:rPr>
        <w:t xml:space="preserve"> 2)</w:t>
      </w:r>
      <w:r w:rsidR="002C24E1">
        <w:rPr>
          <w:sz w:val="26"/>
          <w:szCs w:val="26"/>
          <w:lang w:val="lt-LT"/>
        </w:rPr>
        <w:t> </w:t>
      </w:r>
      <w:r w:rsidR="00D64DB9" w:rsidRPr="00D64DB9">
        <w:rPr>
          <w:i/>
          <w:sz w:val="26"/>
          <w:szCs w:val="26"/>
          <w:lang w:val="lt-LT"/>
        </w:rPr>
        <w:t>identifikuoti</w:t>
      </w:r>
      <w:r w:rsidR="007304EB" w:rsidRPr="00D64DB9">
        <w:rPr>
          <w:i/>
          <w:sz w:val="26"/>
          <w:szCs w:val="26"/>
          <w:lang w:val="lt-LT"/>
        </w:rPr>
        <w:t xml:space="preserve"> ryšius</w:t>
      </w:r>
      <w:r w:rsidR="007304EB" w:rsidRPr="00D64DB9">
        <w:rPr>
          <w:sz w:val="26"/>
          <w:szCs w:val="26"/>
          <w:lang w:val="lt-LT"/>
        </w:rPr>
        <w:t xml:space="preserve"> tarp atskirų audito rizikos</w:t>
      </w:r>
      <w:r w:rsidR="007304EB" w:rsidRPr="007B5A44">
        <w:rPr>
          <w:sz w:val="26"/>
          <w:szCs w:val="26"/>
          <w:lang w:val="lt-LT"/>
        </w:rPr>
        <w:t xml:space="preserve"> </w:t>
      </w:r>
      <w:r w:rsidR="007304EB" w:rsidRPr="007B5A44">
        <w:rPr>
          <w:sz w:val="26"/>
          <w:szCs w:val="26"/>
          <w:lang w:val="lt-LT"/>
        </w:rPr>
        <w:lastRenderedPageBreak/>
        <w:t xml:space="preserve">komponentų </w:t>
      </w:r>
      <w:r w:rsidR="003F0767">
        <w:rPr>
          <w:sz w:val="26"/>
          <w:szCs w:val="26"/>
          <w:lang w:val="lt-LT"/>
        </w:rPr>
        <w:t>į</w:t>
      </w:r>
      <w:r w:rsidR="000D2773" w:rsidRPr="007B5A44">
        <w:rPr>
          <w:sz w:val="26"/>
          <w:szCs w:val="26"/>
          <w:lang w:val="lt-LT"/>
        </w:rPr>
        <w:t xml:space="preserve">vertinimo </w:t>
      </w:r>
      <w:r w:rsidR="007304EB" w:rsidRPr="007B5A44">
        <w:rPr>
          <w:sz w:val="26"/>
          <w:szCs w:val="26"/>
          <w:lang w:val="lt-LT"/>
        </w:rPr>
        <w:t>bei jų ryšį su reikšmingu finansinių ataskaitų iškraipymu</w:t>
      </w:r>
      <w:r w:rsidR="00D90208" w:rsidRPr="007B5A44">
        <w:rPr>
          <w:sz w:val="26"/>
          <w:szCs w:val="26"/>
          <w:lang w:val="lt-LT"/>
        </w:rPr>
        <w:t xml:space="preserve"> ir audito rizika</w:t>
      </w:r>
      <w:r w:rsidR="002C24E1">
        <w:rPr>
          <w:sz w:val="26"/>
          <w:szCs w:val="26"/>
          <w:lang w:val="lt-LT"/>
        </w:rPr>
        <w:t>;</w:t>
      </w:r>
      <w:r w:rsidR="007304EB" w:rsidRPr="007B5A44">
        <w:rPr>
          <w:sz w:val="26"/>
          <w:szCs w:val="26"/>
          <w:lang w:val="lt-LT"/>
        </w:rPr>
        <w:t xml:space="preserve"> 3)</w:t>
      </w:r>
      <w:r w:rsidR="002C24E1">
        <w:rPr>
          <w:sz w:val="26"/>
          <w:szCs w:val="26"/>
          <w:lang w:val="lt-LT"/>
        </w:rPr>
        <w:t> </w:t>
      </w:r>
      <w:r w:rsidR="007304EB" w:rsidRPr="00D64DB9">
        <w:rPr>
          <w:i/>
          <w:sz w:val="26"/>
          <w:szCs w:val="26"/>
          <w:lang w:val="lt-LT"/>
        </w:rPr>
        <w:t>p</w:t>
      </w:r>
      <w:r w:rsidR="007304EB" w:rsidRPr="007B5A44">
        <w:rPr>
          <w:i/>
          <w:sz w:val="26"/>
          <w:szCs w:val="26"/>
          <w:lang w:val="lt-LT"/>
        </w:rPr>
        <w:t>arodyti nuolatinį</w:t>
      </w:r>
      <w:r w:rsidR="007304EB" w:rsidRPr="007B5A44">
        <w:rPr>
          <w:sz w:val="26"/>
          <w:szCs w:val="26"/>
          <w:lang w:val="lt-LT"/>
        </w:rPr>
        <w:t xml:space="preserve"> audito rizikos ir jos komponentų </w:t>
      </w:r>
      <w:r w:rsidR="00D90208" w:rsidRPr="007B5A44">
        <w:rPr>
          <w:sz w:val="26"/>
          <w:szCs w:val="26"/>
          <w:lang w:val="lt-LT"/>
        </w:rPr>
        <w:t>(per)</w:t>
      </w:r>
      <w:r w:rsidR="007304EB" w:rsidRPr="007B5A44">
        <w:rPr>
          <w:i/>
          <w:sz w:val="26"/>
          <w:szCs w:val="26"/>
          <w:lang w:val="lt-LT"/>
        </w:rPr>
        <w:t>vertinimo procesą</w:t>
      </w:r>
      <w:r w:rsidR="007304EB" w:rsidRPr="007B5A44">
        <w:rPr>
          <w:sz w:val="26"/>
          <w:szCs w:val="26"/>
          <w:lang w:val="lt-LT"/>
        </w:rPr>
        <w:t>, kuris vykdomas kiekviename audito etape</w:t>
      </w:r>
      <w:r w:rsidR="002C24E1">
        <w:rPr>
          <w:sz w:val="26"/>
          <w:szCs w:val="26"/>
          <w:lang w:val="lt-LT"/>
        </w:rPr>
        <w:t>;</w:t>
      </w:r>
      <w:r w:rsidR="003F71DE" w:rsidRPr="007B5A44">
        <w:rPr>
          <w:sz w:val="26"/>
          <w:szCs w:val="26"/>
          <w:lang w:val="lt-LT"/>
        </w:rPr>
        <w:t xml:space="preserve"> 4)</w:t>
      </w:r>
      <w:r w:rsidR="002C24E1">
        <w:rPr>
          <w:sz w:val="26"/>
          <w:szCs w:val="26"/>
          <w:lang w:val="lt-LT"/>
        </w:rPr>
        <w:t> </w:t>
      </w:r>
      <w:r w:rsidR="003F71DE" w:rsidRPr="007B5A44">
        <w:rPr>
          <w:i/>
          <w:sz w:val="26"/>
          <w:szCs w:val="26"/>
          <w:lang w:val="lt-LT"/>
        </w:rPr>
        <w:t xml:space="preserve">pasiūlyti audito rizikos </w:t>
      </w:r>
      <w:r w:rsidR="003075CD" w:rsidRPr="007B5A44">
        <w:rPr>
          <w:i/>
          <w:sz w:val="26"/>
          <w:szCs w:val="26"/>
          <w:lang w:val="lt-LT"/>
        </w:rPr>
        <w:t xml:space="preserve">ir/ar jos komponentų </w:t>
      </w:r>
      <w:r w:rsidR="00E46C65">
        <w:rPr>
          <w:i/>
          <w:sz w:val="26"/>
          <w:szCs w:val="26"/>
          <w:lang w:val="lt-LT"/>
        </w:rPr>
        <w:t xml:space="preserve">kiekybinio </w:t>
      </w:r>
      <w:r w:rsidR="00633D52">
        <w:rPr>
          <w:i/>
          <w:sz w:val="26"/>
          <w:szCs w:val="26"/>
          <w:lang w:val="lt-LT"/>
        </w:rPr>
        <w:t>įvertinimo</w:t>
      </w:r>
      <w:r w:rsidR="003075CD" w:rsidRPr="007B5A44">
        <w:rPr>
          <w:i/>
          <w:sz w:val="26"/>
          <w:szCs w:val="26"/>
          <w:lang w:val="lt-LT"/>
        </w:rPr>
        <w:t xml:space="preserve"> </w:t>
      </w:r>
      <w:r w:rsidR="00E46C65">
        <w:rPr>
          <w:i/>
          <w:sz w:val="26"/>
          <w:szCs w:val="26"/>
          <w:lang w:val="lt-LT"/>
        </w:rPr>
        <w:t>metod</w:t>
      </w:r>
      <w:r w:rsidR="003F71DE" w:rsidRPr="007B5A44">
        <w:rPr>
          <w:i/>
          <w:sz w:val="26"/>
          <w:szCs w:val="26"/>
          <w:lang w:val="lt-LT"/>
        </w:rPr>
        <w:t>ą</w:t>
      </w:r>
      <w:r w:rsidR="003F71DE" w:rsidRPr="007B5A44">
        <w:rPr>
          <w:sz w:val="26"/>
          <w:szCs w:val="26"/>
          <w:lang w:val="lt-LT"/>
        </w:rPr>
        <w:t>.</w:t>
      </w:r>
      <w:r w:rsidR="008B5D53" w:rsidRPr="007B5A44">
        <w:rPr>
          <w:sz w:val="26"/>
          <w:szCs w:val="26"/>
          <w:lang w:val="lt-LT"/>
        </w:rPr>
        <w:t xml:space="preserve"> </w:t>
      </w:r>
    </w:p>
    <w:p w:rsidR="008F7F86" w:rsidRPr="00EF416C" w:rsidRDefault="008B5D53" w:rsidP="008E5A91">
      <w:pPr>
        <w:spacing w:line="360" w:lineRule="auto"/>
        <w:ind w:firstLine="720"/>
        <w:jc w:val="both"/>
        <w:rPr>
          <w:sz w:val="26"/>
          <w:szCs w:val="26"/>
          <w:lang w:val="lt-LT"/>
        </w:rPr>
      </w:pPr>
      <w:r w:rsidRPr="00EF416C">
        <w:rPr>
          <w:sz w:val="26"/>
          <w:szCs w:val="26"/>
          <w:lang w:val="lt-LT"/>
        </w:rPr>
        <w:t xml:space="preserve">Todėl darbo autorės audito rizikos vertinimo modelis susideda iš </w:t>
      </w:r>
      <w:r w:rsidRPr="00EF416C">
        <w:rPr>
          <w:b/>
          <w:sz w:val="26"/>
          <w:szCs w:val="26"/>
          <w:lang w:val="lt-LT"/>
        </w:rPr>
        <w:t xml:space="preserve">audito rizikos vertinimo </w:t>
      </w:r>
      <w:r w:rsidR="002C24E1">
        <w:rPr>
          <w:b/>
          <w:sz w:val="26"/>
          <w:szCs w:val="26"/>
          <w:lang w:val="lt-LT"/>
        </w:rPr>
        <w:t xml:space="preserve">modelio </w:t>
      </w:r>
      <w:r w:rsidRPr="00EF416C">
        <w:rPr>
          <w:b/>
          <w:sz w:val="26"/>
          <w:szCs w:val="26"/>
          <w:lang w:val="lt-LT"/>
        </w:rPr>
        <w:t>struktūrogramos</w:t>
      </w:r>
      <w:r w:rsidRPr="00EF416C">
        <w:rPr>
          <w:sz w:val="26"/>
          <w:szCs w:val="26"/>
          <w:lang w:val="lt-LT"/>
        </w:rPr>
        <w:t xml:space="preserve">, </w:t>
      </w:r>
      <w:r w:rsidRPr="00EF416C">
        <w:rPr>
          <w:b/>
          <w:sz w:val="26"/>
          <w:szCs w:val="26"/>
          <w:lang w:val="lt-LT"/>
        </w:rPr>
        <w:t xml:space="preserve">audito rizikos komponentų </w:t>
      </w:r>
      <w:r w:rsidR="008A378B" w:rsidRPr="00EF416C">
        <w:rPr>
          <w:b/>
          <w:sz w:val="26"/>
          <w:szCs w:val="26"/>
          <w:lang w:val="lt-LT"/>
        </w:rPr>
        <w:t>įvertinimo</w:t>
      </w:r>
      <w:r w:rsidRPr="00EF416C">
        <w:rPr>
          <w:b/>
          <w:sz w:val="26"/>
          <w:szCs w:val="26"/>
          <w:lang w:val="lt-LT"/>
        </w:rPr>
        <w:t xml:space="preserve"> skalės</w:t>
      </w:r>
      <w:r w:rsidRPr="00EF416C">
        <w:rPr>
          <w:sz w:val="26"/>
          <w:szCs w:val="26"/>
          <w:lang w:val="lt-LT"/>
        </w:rPr>
        <w:t xml:space="preserve"> ir </w:t>
      </w:r>
      <w:r w:rsidRPr="00EF416C">
        <w:rPr>
          <w:b/>
          <w:sz w:val="26"/>
          <w:szCs w:val="26"/>
          <w:lang w:val="lt-LT"/>
        </w:rPr>
        <w:t>audito rizikos vertinimo schemos</w:t>
      </w:r>
      <w:r w:rsidR="00FC44DD" w:rsidRPr="00EF416C">
        <w:rPr>
          <w:sz w:val="26"/>
          <w:szCs w:val="26"/>
          <w:lang w:val="lt-LT"/>
        </w:rPr>
        <w:t xml:space="preserve">, </w:t>
      </w:r>
      <w:r w:rsidR="00845BD6" w:rsidRPr="00EF416C">
        <w:rPr>
          <w:sz w:val="26"/>
          <w:szCs w:val="26"/>
          <w:lang w:val="lt-LT"/>
        </w:rPr>
        <w:t>visa tai aptarsime išsamiau</w:t>
      </w:r>
      <w:r w:rsidRPr="00EF416C">
        <w:rPr>
          <w:sz w:val="26"/>
          <w:szCs w:val="26"/>
          <w:lang w:val="lt-LT"/>
        </w:rPr>
        <w:t>.</w:t>
      </w:r>
    </w:p>
    <w:p w:rsidR="001F04DE" w:rsidRDefault="00674038" w:rsidP="003F71DE">
      <w:pPr>
        <w:pStyle w:val="ListParagraph"/>
        <w:tabs>
          <w:tab w:val="left" w:pos="0"/>
          <w:tab w:val="left" w:pos="1134"/>
        </w:tabs>
        <w:spacing w:line="360" w:lineRule="auto"/>
        <w:ind w:left="0" w:firstLine="720"/>
        <w:jc w:val="both"/>
        <w:rPr>
          <w:sz w:val="26"/>
          <w:szCs w:val="26"/>
          <w:lang w:val="lt-LT"/>
        </w:rPr>
      </w:pPr>
      <w:r w:rsidRPr="007B5A44">
        <w:rPr>
          <w:sz w:val="26"/>
          <w:szCs w:val="26"/>
          <w:lang w:val="lt-LT"/>
        </w:rPr>
        <w:t>A</w:t>
      </w:r>
      <w:r w:rsidR="008F7F86" w:rsidRPr="007B5A44">
        <w:rPr>
          <w:sz w:val="26"/>
          <w:szCs w:val="26"/>
          <w:lang w:val="lt-LT"/>
        </w:rPr>
        <w:t>udito rizikos vertinimo modeli</w:t>
      </w:r>
      <w:r w:rsidR="003F71DE" w:rsidRPr="007B5A44">
        <w:rPr>
          <w:sz w:val="26"/>
          <w:szCs w:val="26"/>
          <w:lang w:val="lt-LT"/>
        </w:rPr>
        <w:t>o struktūrograma</w:t>
      </w:r>
      <w:r w:rsidR="008D1DE4" w:rsidRPr="007B5A44">
        <w:rPr>
          <w:sz w:val="26"/>
          <w:szCs w:val="26"/>
          <w:lang w:val="lt-LT"/>
        </w:rPr>
        <w:t>, pateikta 19</w:t>
      </w:r>
      <w:r w:rsidR="000448CF" w:rsidRPr="007B5A44">
        <w:rPr>
          <w:sz w:val="26"/>
          <w:szCs w:val="26"/>
          <w:lang w:val="lt-LT"/>
        </w:rPr>
        <w:t xml:space="preserve"> pav</w:t>
      </w:r>
      <w:r w:rsidR="00DC7BA7" w:rsidRPr="007B5A44">
        <w:rPr>
          <w:sz w:val="26"/>
          <w:szCs w:val="26"/>
          <w:lang w:val="lt-LT"/>
        </w:rPr>
        <w:t>eiksle</w:t>
      </w:r>
      <w:r w:rsidR="000448CF" w:rsidRPr="007B5A44">
        <w:rPr>
          <w:sz w:val="26"/>
          <w:szCs w:val="26"/>
          <w:lang w:val="lt-LT"/>
        </w:rPr>
        <w:t xml:space="preserve">, </w:t>
      </w:r>
      <w:r w:rsidR="003F71DE" w:rsidRPr="007B5A44">
        <w:rPr>
          <w:sz w:val="26"/>
          <w:szCs w:val="26"/>
          <w:lang w:val="lt-LT"/>
        </w:rPr>
        <w:t>yra padalinta</w:t>
      </w:r>
      <w:r w:rsidR="00DB446F" w:rsidRPr="007B5A44">
        <w:rPr>
          <w:sz w:val="26"/>
          <w:szCs w:val="26"/>
          <w:lang w:val="lt-LT"/>
        </w:rPr>
        <w:t xml:space="preserve"> į tris dalis, atskiriančias </w:t>
      </w:r>
      <w:r w:rsidR="001F04DE" w:rsidRPr="007B5A44">
        <w:rPr>
          <w:sz w:val="26"/>
          <w:szCs w:val="26"/>
          <w:lang w:val="lt-LT"/>
        </w:rPr>
        <w:t>pagrindini</w:t>
      </w:r>
      <w:r w:rsidR="00DB446F" w:rsidRPr="007B5A44">
        <w:rPr>
          <w:sz w:val="26"/>
          <w:szCs w:val="26"/>
          <w:lang w:val="lt-LT"/>
        </w:rPr>
        <w:t xml:space="preserve">us </w:t>
      </w:r>
      <w:r w:rsidR="000448CF" w:rsidRPr="007B5A44">
        <w:rPr>
          <w:sz w:val="26"/>
          <w:szCs w:val="26"/>
          <w:lang w:val="lt-LT"/>
        </w:rPr>
        <w:t>audito rizikos vertinimo modelio</w:t>
      </w:r>
      <w:r w:rsidR="00DB446F" w:rsidRPr="007B5A44">
        <w:rPr>
          <w:sz w:val="26"/>
          <w:szCs w:val="26"/>
          <w:lang w:val="lt-LT"/>
        </w:rPr>
        <w:t xml:space="preserve"> </w:t>
      </w:r>
      <w:r w:rsidR="001F04DE" w:rsidRPr="007B5A44">
        <w:rPr>
          <w:sz w:val="26"/>
          <w:szCs w:val="26"/>
          <w:lang w:val="lt-LT"/>
        </w:rPr>
        <w:t>element</w:t>
      </w:r>
      <w:r w:rsidR="00DB446F" w:rsidRPr="007B5A44">
        <w:rPr>
          <w:sz w:val="26"/>
          <w:szCs w:val="26"/>
          <w:lang w:val="lt-LT"/>
        </w:rPr>
        <w:t>us</w:t>
      </w:r>
      <w:r w:rsidR="008F7F86" w:rsidRPr="007B5A44">
        <w:rPr>
          <w:sz w:val="26"/>
          <w:szCs w:val="26"/>
          <w:lang w:val="lt-LT"/>
        </w:rPr>
        <w:t>. R</w:t>
      </w:r>
      <w:r w:rsidR="00BA2551" w:rsidRPr="007B5A44">
        <w:rPr>
          <w:sz w:val="26"/>
          <w:szCs w:val="26"/>
          <w:lang w:val="lt-LT"/>
        </w:rPr>
        <w:t xml:space="preserve">yšiai tarp </w:t>
      </w:r>
      <w:r w:rsidR="008F7F86" w:rsidRPr="007B5A44">
        <w:rPr>
          <w:sz w:val="26"/>
          <w:szCs w:val="26"/>
          <w:lang w:val="lt-LT"/>
        </w:rPr>
        <w:t xml:space="preserve">atskirų jo elementų bei tarp elementų sudėtinių dalių pavaizduoti rodyklėmis, kur </w:t>
      </w:r>
      <w:r w:rsidR="00BA2551" w:rsidRPr="007B5A44">
        <w:rPr>
          <w:sz w:val="26"/>
          <w:szCs w:val="26"/>
          <w:lang w:val="lt-LT"/>
        </w:rPr>
        <w:t xml:space="preserve">vientisa </w:t>
      </w:r>
      <w:r w:rsidR="008F7F86" w:rsidRPr="007B5A44">
        <w:rPr>
          <w:sz w:val="26"/>
          <w:szCs w:val="26"/>
          <w:lang w:val="lt-LT"/>
        </w:rPr>
        <w:t>linija</w:t>
      </w:r>
      <w:r w:rsidR="00BA2551" w:rsidRPr="007B5A44">
        <w:rPr>
          <w:sz w:val="26"/>
          <w:szCs w:val="26"/>
          <w:lang w:val="lt-LT"/>
        </w:rPr>
        <w:t xml:space="preserve"> rodo </w:t>
      </w:r>
      <w:r w:rsidR="008F7F86" w:rsidRPr="007B5A44">
        <w:rPr>
          <w:sz w:val="26"/>
          <w:szCs w:val="26"/>
          <w:lang w:val="lt-LT"/>
        </w:rPr>
        <w:t xml:space="preserve">tiesioginius </w:t>
      </w:r>
      <w:r w:rsidR="00BA2551" w:rsidRPr="007B5A44">
        <w:rPr>
          <w:sz w:val="26"/>
          <w:szCs w:val="26"/>
          <w:lang w:val="lt-LT"/>
        </w:rPr>
        <w:t xml:space="preserve">ryšius, o brūkšninė linija – </w:t>
      </w:r>
      <w:r w:rsidR="008F7F86" w:rsidRPr="007B5A44">
        <w:rPr>
          <w:sz w:val="26"/>
          <w:szCs w:val="26"/>
          <w:lang w:val="lt-LT"/>
        </w:rPr>
        <w:t xml:space="preserve">išvestinius </w:t>
      </w:r>
      <w:r w:rsidR="009F7307" w:rsidRPr="007B5A44">
        <w:rPr>
          <w:sz w:val="26"/>
          <w:szCs w:val="26"/>
          <w:lang w:val="lt-LT"/>
        </w:rPr>
        <w:t xml:space="preserve">(priklausomybės) </w:t>
      </w:r>
      <w:r w:rsidR="00BA2551" w:rsidRPr="007B5A44">
        <w:rPr>
          <w:sz w:val="26"/>
          <w:szCs w:val="26"/>
          <w:lang w:val="lt-LT"/>
        </w:rPr>
        <w:t>ryšius.</w:t>
      </w:r>
    </w:p>
    <w:p w:rsidR="006A00BE" w:rsidRPr="00D64DB9" w:rsidRDefault="008A378B" w:rsidP="00633D52">
      <w:pPr>
        <w:pStyle w:val="ListParagraph"/>
        <w:tabs>
          <w:tab w:val="left" w:pos="1134"/>
        </w:tabs>
        <w:spacing w:line="360" w:lineRule="auto"/>
        <w:ind w:left="0" w:firstLine="720"/>
        <w:jc w:val="both"/>
        <w:rPr>
          <w:sz w:val="26"/>
          <w:szCs w:val="26"/>
          <w:lang w:val="lt-LT"/>
        </w:rPr>
      </w:pPr>
      <w:r>
        <w:rPr>
          <w:sz w:val="26"/>
          <w:szCs w:val="26"/>
          <w:lang w:val="lt-LT"/>
        </w:rPr>
        <w:t>Audito rizikos vertinimo modelio struktūrogramoje i</w:t>
      </w:r>
      <w:r w:rsidR="00633D52" w:rsidRPr="003E5F7B">
        <w:rPr>
          <w:sz w:val="26"/>
          <w:szCs w:val="26"/>
          <w:lang w:val="lt-LT"/>
        </w:rPr>
        <w:t>šskirti šie pagrindiniai audito rizikos vertinimo modelio elementai: 1)</w:t>
      </w:r>
      <w:r w:rsidR="00633D52">
        <w:rPr>
          <w:sz w:val="26"/>
          <w:szCs w:val="26"/>
          <w:lang w:val="lt-LT"/>
        </w:rPr>
        <w:t> </w:t>
      </w:r>
      <w:r w:rsidR="00633D52" w:rsidRPr="003E5F7B">
        <w:rPr>
          <w:sz w:val="26"/>
          <w:szCs w:val="26"/>
          <w:lang w:val="lt-LT"/>
        </w:rPr>
        <w:t xml:space="preserve">audito rizikos </w:t>
      </w:r>
      <w:r w:rsidR="00633D52" w:rsidRPr="003E5F7B">
        <w:rPr>
          <w:b/>
          <w:sz w:val="26"/>
          <w:szCs w:val="26"/>
          <w:lang w:val="lt-LT"/>
        </w:rPr>
        <w:t>są</w:t>
      </w:r>
      <w:r w:rsidR="00633D52" w:rsidRPr="00D64DB9">
        <w:rPr>
          <w:b/>
          <w:sz w:val="26"/>
          <w:szCs w:val="26"/>
          <w:lang w:val="lt-LT"/>
        </w:rPr>
        <w:t>lygos</w:t>
      </w:r>
      <w:r w:rsidR="00633D52" w:rsidRPr="00D64DB9">
        <w:rPr>
          <w:sz w:val="26"/>
          <w:szCs w:val="26"/>
          <w:lang w:val="lt-LT"/>
        </w:rPr>
        <w:t xml:space="preserve">; 2) audito rizikos </w:t>
      </w:r>
      <w:r w:rsidR="00633D52" w:rsidRPr="00D64DB9">
        <w:rPr>
          <w:b/>
          <w:sz w:val="26"/>
          <w:szCs w:val="26"/>
          <w:lang w:val="lt-LT"/>
        </w:rPr>
        <w:t>komponentai</w:t>
      </w:r>
      <w:r w:rsidR="00633D52" w:rsidRPr="00D64DB9">
        <w:rPr>
          <w:sz w:val="26"/>
          <w:szCs w:val="26"/>
          <w:lang w:val="lt-LT"/>
        </w:rPr>
        <w:t>; 3) audito rizikos vertinimo</w:t>
      </w:r>
      <w:r w:rsidR="00633D52" w:rsidRPr="00D64DB9">
        <w:rPr>
          <w:b/>
          <w:sz w:val="26"/>
          <w:szCs w:val="26"/>
          <w:lang w:val="lt-LT"/>
        </w:rPr>
        <w:t xml:space="preserve"> procesas</w:t>
      </w:r>
      <w:r w:rsidR="00633D52" w:rsidRPr="00D64DB9">
        <w:rPr>
          <w:sz w:val="26"/>
          <w:szCs w:val="26"/>
          <w:lang w:val="lt-LT"/>
        </w:rPr>
        <w:t xml:space="preserve"> audito metu</w:t>
      </w:r>
      <w:r w:rsidR="00581429" w:rsidRPr="00D64DB9">
        <w:rPr>
          <w:sz w:val="26"/>
          <w:szCs w:val="26"/>
          <w:lang w:val="lt-LT"/>
        </w:rPr>
        <w:t xml:space="preserve">. </w:t>
      </w:r>
      <w:r w:rsidR="00C268DC" w:rsidRPr="00D64DB9">
        <w:rPr>
          <w:sz w:val="26"/>
          <w:szCs w:val="26"/>
          <w:lang w:val="lt-LT"/>
        </w:rPr>
        <w:t xml:space="preserve">Darbo autorės nuomone, šių </w:t>
      </w:r>
      <w:r w:rsidR="00581429" w:rsidRPr="00D64DB9">
        <w:rPr>
          <w:sz w:val="26"/>
          <w:szCs w:val="26"/>
          <w:lang w:val="lt-LT"/>
        </w:rPr>
        <w:t xml:space="preserve">elementų išskyrimas yra būtinas, </w:t>
      </w:r>
      <w:r w:rsidR="00C268DC" w:rsidRPr="00D64DB9">
        <w:rPr>
          <w:sz w:val="26"/>
          <w:szCs w:val="26"/>
          <w:lang w:val="lt-LT"/>
        </w:rPr>
        <w:t>kad būtų galima tinkamai</w:t>
      </w:r>
      <w:r w:rsidR="00581429" w:rsidRPr="00D64DB9">
        <w:rPr>
          <w:sz w:val="26"/>
          <w:szCs w:val="26"/>
          <w:lang w:val="lt-LT"/>
        </w:rPr>
        <w:t xml:space="preserve"> atskleisti </w:t>
      </w:r>
      <w:r w:rsidR="00E00CBE" w:rsidRPr="00D64DB9">
        <w:rPr>
          <w:sz w:val="26"/>
          <w:szCs w:val="26"/>
          <w:lang w:val="lt-LT"/>
        </w:rPr>
        <w:t>sisteminį požiūrį į a</w:t>
      </w:r>
      <w:r w:rsidR="00581429" w:rsidRPr="00D64DB9">
        <w:rPr>
          <w:sz w:val="26"/>
          <w:szCs w:val="26"/>
          <w:lang w:val="lt-LT"/>
        </w:rPr>
        <w:t>udito rizikos vertinim</w:t>
      </w:r>
      <w:r w:rsidR="00E00CBE" w:rsidRPr="00D64DB9">
        <w:rPr>
          <w:sz w:val="26"/>
          <w:szCs w:val="26"/>
          <w:lang w:val="lt-LT"/>
        </w:rPr>
        <w:t xml:space="preserve">ą, </w:t>
      </w:r>
      <w:r w:rsidR="00C268DC" w:rsidRPr="00D64DB9">
        <w:rPr>
          <w:sz w:val="26"/>
          <w:szCs w:val="26"/>
          <w:lang w:val="lt-LT"/>
        </w:rPr>
        <w:t xml:space="preserve">kuris iki šiol nebuvo apibendrintas </w:t>
      </w:r>
      <w:r w:rsidR="006A00BE" w:rsidRPr="00D64DB9">
        <w:rPr>
          <w:sz w:val="26"/>
          <w:szCs w:val="26"/>
          <w:lang w:val="lt-LT"/>
        </w:rPr>
        <w:t>audito teorijoje bei praktikoje</w:t>
      </w:r>
      <w:r w:rsidR="00C268DC" w:rsidRPr="00D64DB9">
        <w:rPr>
          <w:sz w:val="26"/>
          <w:szCs w:val="26"/>
          <w:lang w:val="lt-LT"/>
        </w:rPr>
        <w:t xml:space="preserve">. </w:t>
      </w:r>
    </w:p>
    <w:p w:rsidR="00633D52" w:rsidRPr="006A00BE" w:rsidRDefault="00C268DC" w:rsidP="00633D52">
      <w:pPr>
        <w:pStyle w:val="ListParagraph"/>
        <w:tabs>
          <w:tab w:val="left" w:pos="1134"/>
        </w:tabs>
        <w:spacing w:line="360" w:lineRule="auto"/>
        <w:ind w:left="0" w:firstLine="720"/>
        <w:jc w:val="both"/>
        <w:rPr>
          <w:color w:val="000000" w:themeColor="text1"/>
          <w:sz w:val="26"/>
          <w:szCs w:val="26"/>
          <w:lang w:val="lt-LT"/>
        </w:rPr>
      </w:pPr>
      <w:r w:rsidRPr="006A00BE">
        <w:rPr>
          <w:color w:val="000000" w:themeColor="text1"/>
          <w:sz w:val="26"/>
          <w:szCs w:val="26"/>
          <w:lang w:val="lt-LT"/>
        </w:rPr>
        <w:t>To</w:t>
      </w:r>
      <w:r w:rsidR="0094394E" w:rsidRPr="006A00BE">
        <w:rPr>
          <w:color w:val="000000" w:themeColor="text1"/>
          <w:sz w:val="26"/>
          <w:szCs w:val="26"/>
          <w:lang w:val="lt-LT"/>
        </w:rPr>
        <w:t xml:space="preserve">liau </w:t>
      </w:r>
      <w:r w:rsidR="006A00BE" w:rsidRPr="006A00BE">
        <w:rPr>
          <w:color w:val="000000" w:themeColor="text1"/>
          <w:sz w:val="26"/>
          <w:szCs w:val="26"/>
          <w:lang w:val="lt-LT"/>
        </w:rPr>
        <w:t xml:space="preserve">apibūdinsime kiekvieną </w:t>
      </w:r>
      <w:r w:rsidRPr="006A00BE">
        <w:rPr>
          <w:color w:val="000000" w:themeColor="text1"/>
          <w:sz w:val="26"/>
          <w:szCs w:val="26"/>
          <w:lang w:val="lt-LT"/>
        </w:rPr>
        <w:t xml:space="preserve">audito rizikos vertinimo modelio </w:t>
      </w:r>
      <w:r w:rsidR="00FA46DA">
        <w:rPr>
          <w:color w:val="000000" w:themeColor="text1"/>
          <w:sz w:val="26"/>
          <w:szCs w:val="26"/>
          <w:lang w:val="lt-LT"/>
        </w:rPr>
        <w:t xml:space="preserve">struktūrogramoje išskirtą </w:t>
      </w:r>
      <w:r w:rsidR="0094394E" w:rsidRPr="006A00BE">
        <w:rPr>
          <w:color w:val="000000" w:themeColor="text1"/>
          <w:sz w:val="26"/>
          <w:szCs w:val="26"/>
          <w:lang w:val="lt-LT"/>
        </w:rPr>
        <w:t>element</w:t>
      </w:r>
      <w:r w:rsidR="006A00BE" w:rsidRPr="006A00BE">
        <w:rPr>
          <w:color w:val="000000" w:themeColor="text1"/>
          <w:sz w:val="26"/>
          <w:szCs w:val="26"/>
          <w:lang w:val="lt-LT"/>
        </w:rPr>
        <w:t>ą</w:t>
      </w:r>
      <w:r w:rsidR="00633D52" w:rsidRPr="006A00BE">
        <w:rPr>
          <w:color w:val="000000" w:themeColor="text1"/>
          <w:sz w:val="26"/>
          <w:szCs w:val="26"/>
          <w:lang w:val="lt-LT"/>
        </w:rPr>
        <w:t>.</w:t>
      </w:r>
    </w:p>
    <w:p w:rsidR="00633D52" w:rsidRPr="003E5F7B" w:rsidRDefault="00633D52" w:rsidP="0094394E">
      <w:pPr>
        <w:pStyle w:val="ListParagraph"/>
        <w:tabs>
          <w:tab w:val="left" w:pos="1134"/>
        </w:tabs>
        <w:spacing w:line="360" w:lineRule="auto"/>
        <w:ind w:left="0" w:firstLine="720"/>
        <w:jc w:val="both"/>
        <w:rPr>
          <w:sz w:val="26"/>
          <w:szCs w:val="26"/>
          <w:lang w:val="lt-LT"/>
        </w:rPr>
      </w:pPr>
      <w:r w:rsidRPr="003E5F7B">
        <w:rPr>
          <w:b/>
          <w:sz w:val="26"/>
          <w:szCs w:val="26"/>
          <w:lang w:val="lt-LT"/>
        </w:rPr>
        <w:t>Audito rizikos sąlygos</w:t>
      </w:r>
      <w:r w:rsidRPr="003E5F7B">
        <w:rPr>
          <w:sz w:val="26"/>
          <w:szCs w:val="26"/>
          <w:lang w:val="lt-LT"/>
        </w:rPr>
        <w:t xml:space="preserve"> kaip audito rizikos vertinimo modelio elementas, svarbus tuo, kad nuo jų priklauso audito rizikos arba, tiksliau, atskirų jos komponentų pasireiškimas. Kadangi audito rizikos prigimtis yra dvejopa (dėl auditoriaus kaltės ir dėl nuo jo nepriklausančių aplinkybių) bei skirtingi audito rizikos komponentai yra išskiriami, tai ir </w:t>
      </w:r>
      <w:r w:rsidR="00225AB9">
        <w:rPr>
          <w:sz w:val="26"/>
          <w:szCs w:val="26"/>
          <w:lang w:val="lt-LT"/>
        </w:rPr>
        <w:t xml:space="preserve">juos lemiančios </w:t>
      </w:r>
      <w:r w:rsidRPr="003E5F7B">
        <w:rPr>
          <w:sz w:val="26"/>
          <w:szCs w:val="26"/>
          <w:lang w:val="lt-LT"/>
        </w:rPr>
        <w:t xml:space="preserve">sąlygos yra siejamos su audituojama įmone bei audito įmone. </w:t>
      </w:r>
    </w:p>
    <w:p w:rsidR="00633D52" w:rsidRPr="007B5A44" w:rsidRDefault="00633D52" w:rsidP="003F71DE">
      <w:pPr>
        <w:pStyle w:val="ListParagraph"/>
        <w:tabs>
          <w:tab w:val="left" w:pos="0"/>
          <w:tab w:val="left" w:pos="1134"/>
        </w:tabs>
        <w:spacing w:line="360" w:lineRule="auto"/>
        <w:ind w:left="0" w:firstLine="720"/>
        <w:jc w:val="both"/>
        <w:rPr>
          <w:sz w:val="26"/>
          <w:szCs w:val="26"/>
          <w:lang w:val="lt-LT"/>
        </w:rPr>
      </w:pPr>
    </w:p>
    <w:p w:rsidR="000D2773" w:rsidRPr="00754744" w:rsidRDefault="000D2773" w:rsidP="001A3460">
      <w:pPr>
        <w:pStyle w:val="ListParagraph"/>
        <w:tabs>
          <w:tab w:val="left" w:pos="1134"/>
        </w:tabs>
        <w:spacing w:before="120" w:line="360" w:lineRule="auto"/>
        <w:ind w:left="993"/>
        <w:jc w:val="both"/>
        <w:rPr>
          <w:sz w:val="24"/>
          <w:lang w:val="lt-LT"/>
        </w:rPr>
      </w:pPr>
    </w:p>
    <w:p w:rsidR="001F04DE" w:rsidRDefault="001F04DE" w:rsidP="001F04DE">
      <w:pPr>
        <w:pStyle w:val="ListParagraph"/>
        <w:tabs>
          <w:tab w:val="left" w:pos="1134"/>
        </w:tabs>
        <w:spacing w:line="360" w:lineRule="auto"/>
        <w:jc w:val="both"/>
        <w:rPr>
          <w:sz w:val="24"/>
          <w:lang w:val="lt-LT"/>
        </w:rPr>
        <w:sectPr w:rsidR="001F04DE" w:rsidSect="004D51F0">
          <w:pgSz w:w="11906" w:h="16838" w:code="9"/>
          <w:pgMar w:top="1474" w:right="1814" w:bottom="1474" w:left="1814" w:header="1134" w:footer="1134" w:gutter="0"/>
          <w:cols w:space="1296"/>
          <w:titlePg/>
        </w:sectPr>
      </w:pPr>
    </w:p>
    <w:p w:rsidR="001F04DE" w:rsidRDefault="00166819" w:rsidP="004D51F0">
      <w:pPr>
        <w:pStyle w:val="ListParagraph"/>
        <w:tabs>
          <w:tab w:val="left" w:pos="1134"/>
        </w:tabs>
        <w:spacing w:line="360" w:lineRule="auto"/>
        <w:ind w:left="0"/>
        <w:jc w:val="both"/>
        <w:rPr>
          <w:sz w:val="24"/>
          <w:lang w:val="lt-LT"/>
        </w:rPr>
      </w:pPr>
      <w:r>
        <w:rPr>
          <w:noProof/>
          <w:sz w:val="24"/>
          <w:lang w:val="lt-LT"/>
        </w:rPr>
        <w:lastRenderedPageBreak/>
        <w:pict>
          <v:group id="_x0000_s74569" style="position:absolute;left:0;text-align:left;margin-left:1.5pt;margin-top:2.15pt;width:658.95pt;height:400.4pt;z-index:254777344" coordorigin="1844,1515" coordsize="13179,8008">
            <v:rect id="_x0000_s74068" style="position:absolute;left:10291;top:1515;width:4732;height:8007" o:regroupid="127" filled="f" strokecolor="#bfbfbf [2412]" strokeweight="1.5pt">
              <v:stroke dashstyle="dash"/>
              <v:textbox style="mso-next-textbox:#_x0000_s74068">
                <w:txbxContent>
                  <w:p w:rsidR="00BE5795" w:rsidRPr="00FF67D0" w:rsidRDefault="00BE5795" w:rsidP="001F04DE">
                    <w:pPr>
                      <w:jc w:val="center"/>
                      <w:rPr>
                        <w:b/>
                        <w:sz w:val="24"/>
                        <w:szCs w:val="24"/>
                        <w:lang w:val="lt-LT"/>
                      </w:rPr>
                    </w:pPr>
                    <w:r w:rsidRPr="00FF67D0">
                      <w:rPr>
                        <w:b/>
                        <w:sz w:val="24"/>
                        <w:szCs w:val="24"/>
                        <w:lang w:val="lt-LT"/>
                      </w:rPr>
                      <w:t>PROCESAS</w:t>
                    </w:r>
                  </w:p>
                </w:txbxContent>
              </v:textbox>
            </v:rect>
            <v:shape id="_x0000_s74145" type="#_x0000_t32" style="position:absolute;left:11182;top:4194;width:0;height:3242;flip:y" o:connectortype="straight" o:regroupid="127" strokeweight="4pt">
              <v:stroke dashstyle="1 1"/>
            </v:shape>
            <v:shape id="_x0000_s74122" type="#_x0000_t32" style="position:absolute;left:12078;top:7648;width:141;height:0;flip:x" o:connectortype="straight" o:regroupid="127" strokeweight="4pt">
              <v:stroke dashstyle="1 1"/>
            </v:shape>
            <v:shape id="_x0000_s74124" type="#_x0000_t32" style="position:absolute;left:12078;top:7670;width:0;height:902" o:connectortype="straight" o:regroupid="127" strokeweight="4pt">
              <v:stroke dashstyle="1 1"/>
            </v:shape>
            <v:shape id="_x0000_s74125" type="#_x0000_t32" style="position:absolute;left:11012;top:6188;width:1209;height:1" o:connectortype="straight" o:regroupid="127" strokeweight="4pt">
              <v:stroke dashstyle="1 1" endarrow="block" endarrowwidth="narrow" endarrowlength="short"/>
            </v:shape>
            <v:shape id="_x0000_s74126" type="#_x0000_t32" style="position:absolute;left:10820;top:6339;width:0;height:1097" o:connectortype="straight" o:regroupid="127" strokeweight="4pt"/>
            <v:shape id="_x0000_s74128" type="#_x0000_t32" style="position:absolute;left:10820;top:3952;width:0;height:2109;flip:y" o:connectortype="straight" o:regroupid="127" strokeweight="4pt"/>
            <v:shape id="_x0000_s74130" type="#_x0000_t202" style="position:absolute;left:5795;top:6188;width:1726;height:940" o:regroupid="127" filled="f" strokecolor="#d8d8d8 [2732]">
              <v:textbox style="mso-next-textbox:#_x0000_s74130">
                <w:txbxContent>
                  <w:p w:rsidR="00BE5795" w:rsidRPr="0076170F" w:rsidRDefault="00BE5795" w:rsidP="00FE0C1A">
                    <w:pPr>
                      <w:spacing w:before="120"/>
                      <w:jc w:val="center"/>
                      <w:rPr>
                        <w:b/>
                        <w:sz w:val="22"/>
                        <w:szCs w:val="22"/>
                        <w:lang w:val="lt-LT"/>
                      </w:rPr>
                    </w:pPr>
                    <w:r w:rsidRPr="0076170F">
                      <w:rPr>
                        <w:b/>
                        <w:sz w:val="22"/>
                        <w:szCs w:val="22"/>
                        <w:lang w:val="lt-LT"/>
                      </w:rPr>
                      <w:t>TVIRTINIMO LYGMUO</w:t>
                    </w:r>
                  </w:p>
                </w:txbxContent>
              </v:textbox>
            </v:shape>
            <v:shape id="_x0000_s74131" type="#_x0000_t202" style="position:absolute;left:5814;top:2832;width:1690;height:470" o:regroupid="127" fillcolor="#bfbfbf [2412]" strokecolor="white [3212]">
              <v:textbox style="mso-next-textbox:#_x0000_s74131">
                <w:txbxContent>
                  <w:p w:rsidR="00BE5795" w:rsidRPr="0076170F" w:rsidRDefault="00BE5795" w:rsidP="00944F5E">
                    <w:pPr>
                      <w:jc w:val="center"/>
                      <w:rPr>
                        <w:b/>
                        <w:sz w:val="22"/>
                        <w:szCs w:val="22"/>
                        <w:lang w:val="lt-LT"/>
                      </w:rPr>
                    </w:pPr>
                    <w:r w:rsidRPr="0076170F">
                      <w:rPr>
                        <w:b/>
                        <w:sz w:val="22"/>
                        <w:szCs w:val="22"/>
                        <w:lang w:val="lt-LT"/>
                      </w:rPr>
                      <w:t>Įmonės rizika</w:t>
                    </w:r>
                  </w:p>
                </w:txbxContent>
              </v:textbox>
            </v:shape>
            <v:shape id="_x0000_s74132" type="#_x0000_t202" style="position:absolute;left:5825;top:3291;width:1679;height:903" o:regroupid="127" filled="f" strokecolor="#d8d8d8 [2732]">
              <v:textbox style="mso-next-textbox:#_x0000_s74132">
                <w:txbxContent>
                  <w:p w:rsidR="00BE5795" w:rsidRPr="0076170F" w:rsidRDefault="00BE5795" w:rsidP="00DA2DA1">
                    <w:pPr>
                      <w:spacing w:before="60"/>
                      <w:jc w:val="center"/>
                      <w:rPr>
                        <w:b/>
                        <w:sz w:val="22"/>
                        <w:szCs w:val="22"/>
                        <w:lang w:val="lt-LT"/>
                      </w:rPr>
                    </w:pPr>
                    <w:r w:rsidRPr="0076170F">
                      <w:rPr>
                        <w:b/>
                        <w:sz w:val="22"/>
                        <w:szCs w:val="22"/>
                        <w:lang w:val="lt-LT"/>
                      </w:rPr>
                      <w:t>FINANSINIŲ ATASKAITŲ LYGMUO</w:t>
                    </w:r>
                  </w:p>
                </w:txbxContent>
              </v:textbox>
            </v:shape>
            <v:shape id="_x0000_s74133" type="#_x0000_t32" style="position:absolute;left:7471;top:6887;width:601;height:0" o:connectortype="straight" o:regroupid="127" strokecolor="#bfbfbf [2412]" strokeweight="4pt">
              <v:stroke dashstyle="1 1"/>
            </v:shape>
            <v:shape id="_x0000_s74134" type="#_x0000_t32" style="position:absolute;left:9347;top:4325;width:0;height:2803" o:connectortype="straight" o:regroupid="127" strokecolor="#bfbfbf [2412]" strokeweight="4pt">
              <v:stroke endarrow="block" endarrowwidth="narrow" endarrowlength="short"/>
            </v:shape>
            <v:rect id="_x0000_s74014" style="position:absolute;left:2012;top:1515;width:3259;height:6663" o:regroupid="127" filled="f" strokecolor="#bfbfbf [2412]" strokeweight="1.5pt">
              <v:stroke dashstyle="dash"/>
              <v:textbox style="mso-next-textbox:#_x0000_s74014">
                <w:txbxContent>
                  <w:p w:rsidR="00BE5795" w:rsidRPr="00AB02CE" w:rsidRDefault="00BE5795" w:rsidP="001F04DE">
                    <w:pPr>
                      <w:jc w:val="center"/>
                      <w:rPr>
                        <w:b/>
                        <w:sz w:val="24"/>
                        <w:szCs w:val="24"/>
                        <w:lang w:val="lt-LT"/>
                      </w:rPr>
                    </w:pPr>
                    <w:r>
                      <w:rPr>
                        <w:b/>
                        <w:sz w:val="24"/>
                        <w:szCs w:val="24"/>
                        <w:lang w:val="lt-LT"/>
                      </w:rPr>
                      <w:t>SĄLYGOS</w:t>
                    </w:r>
                  </w:p>
                </w:txbxContent>
              </v:textbox>
            </v:rect>
            <v:rect id="_x0000_s73969" style="position:absolute;left:2015;top:8180;width:3262;height:1343" o:regroupid="127" fillcolor="white [3212]" strokecolor="#bfbfbf [2412]">
              <v:stroke dashstyle="dash"/>
            </v:rect>
            <v:shape id="_x0000_s73971" type="#_x0000_t32" style="position:absolute;left:2352;top:6060;width:156;height:0" o:connectortype="straight" o:regroupid="127" strokecolor="#bfbfbf [2412]" strokeweight="4pt">
              <v:stroke dashstyle="1 1" endarrow="block" endarrowwidth="narrow" endarrowlength="short"/>
            </v:shape>
            <v:rect id="_x0000_s73972" style="position:absolute;left:2508;top:5496;width:2769;height:1250" o:regroupid="127" filled="f" strokecolor="#bfbfbf [2412]">
              <v:textbox style="mso-next-textbox:#_x0000_s73972">
                <w:txbxContent>
                  <w:p w:rsidR="00BE5795" w:rsidRPr="0076170F" w:rsidRDefault="00BE5795" w:rsidP="001A099D">
                    <w:pPr>
                      <w:spacing w:line="180" w:lineRule="exact"/>
                      <w:rPr>
                        <w:sz w:val="22"/>
                        <w:szCs w:val="22"/>
                        <w:lang w:val="lt-LT"/>
                      </w:rPr>
                    </w:pPr>
                    <w:r w:rsidRPr="0076170F">
                      <w:rPr>
                        <w:b/>
                        <w:sz w:val="22"/>
                        <w:szCs w:val="22"/>
                        <w:lang w:val="lt-LT"/>
                      </w:rPr>
                      <w:t>Finansinių ataskaitų elementas</w:t>
                    </w:r>
                    <w:r w:rsidRPr="0076170F">
                      <w:rPr>
                        <w:sz w:val="22"/>
                        <w:szCs w:val="22"/>
                        <w:lang w:val="lt-LT"/>
                      </w:rPr>
                      <w:t>:</w:t>
                    </w:r>
                  </w:p>
                  <w:p w:rsidR="00BE5795" w:rsidRDefault="00BE5795" w:rsidP="001A099D">
                    <w:pPr>
                      <w:pStyle w:val="ListParagraph"/>
                      <w:numPr>
                        <w:ilvl w:val="0"/>
                        <w:numId w:val="16"/>
                      </w:numPr>
                      <w:spacing w:line="180" w:lineRule="exact"/>
                      <w:ind w:left="142" w:hanging="142"/>
                      <w:rPr>
                        <w:lang w:val="lt-LT"/>
                      </w:rPr>
                    </w:pPr>
                    <w:r>
                      <w:rPr>
                        <w:lang w:val="lt-LT"/>
                      </w:rPr>
                      <w:t>sąskaitos likutis;</w:t>
                    </w:r>
                  </w:p>
                  <w:p w:rsidR="00BE5795" w:rsidRDefault="00BE5795" w:rsidP="001A099D">
                    <w:pPr>
                      <w:pStyle w:val="ListParagraph"/>
                      <w:numPr>
                        <w:ilvl w:val="0"/>
                        <w:numId w:val="16"/>
                      </w:numPr>
                      <w:spacing w:line="180" w:lineRule="exact"/>
                      <w:ind w:left="142" w:hanging="142"/>
                      <w:rPr>
                        <w:lang w:val="lt-LT"/>
                      </w:rPr>
                    </w:pPr>
                    <w:r>
                      <w:rPr>
                        <w:lang w:val="lt-LT"/>
                      </w:rPr>
                      <w:t>ūkinių operacijų grupė;</w:t>
                    </w:r>
                  </w:p>
                  <w:p w:rsidR="00BE5795" w:rsidRPr="005A11FE" w:rsidRDefault="00BE5795" w:rsidP="001A099D">
                    <w:pPr>
                      <w:pStyle w:val="ListParagraph"/>
                      <w:numPr>
                        <w:ilvl w:val="0"/>
                        <w:numId w:val="16"/>
                      </w:numPr>
                      <w:spacing w:line="180" w:lineRule="exact"/>
                      <w:ind w:left="142" w:hanging="142"/>
                      <w:rPr>
                        <w:lang w:val="lt-LT"/>
                      </w:rPr>
                    </w:pPr>
                    <w:r>
                      <w:rPr>
                        <w:lang w:val="lt-LT"/>
                      </w:rPr>
                      <w:t>atskleidimas</w:t>
                    </w:r>
                    <w:r w:rsidRPr="005A11FE">
                      <w:rPr>
                        <w:b/>
                        <w:lang w:val="lt-LT"/>
                      </w:rPr>
                      <w:t xml:space="preserve"> </w:t>
                    </w:r>
                  </w:p>
                  <w:p w:rsidR="00BE5795" w:rsidRPr="00BC1F25" w:rsidRDefault="00BE5795" w:rsidP="001A099D">
                    <w:pPr>
                      <w:pStyle w:val="ListParagraph"/>
                      <w:spacing w:line="180" w:lineRule="exact"/>
                      <w:ind w:left="142"/>
                      <w:rPr>
                        <w:lang w:val="lt-LT"/>
                      </w:rPr>
                    </w:pPr>
                    <w:r w:rsidRPr="00BC1F25">
                      <w:rPr>
                        <w:b/>
                        <w:lang w:val="lt-LT"/>
                      </w:rPr>
                      <w:t>ir/ar jo tvirtinimo pobūdis</w:t>
                    </w:r>
                  </w:p>
                </w:txbxContent>
              </v:textbox>
            </v:rect>
            <v:rect id="_x0000_s73973" style="position:absolute;left:2508;top:6870;width:2769;height:1227" o:regroupid="127" filled="f" strokecolor="#bfbfbf [2412]">
              <v:textbox style="mso-next-textbox:#_x0000_s73973">
                <w:txbxContent>
                  <w:p w:rsidR="00BE5795" w:rsidRPr="0076170F" w:rsidRDefault="00BE5795" w:rsidP="001A099D">
                    <w:pPr>
                      <w:spacing w:line="180" w:lineRule="exact"/>
                      <w:rPr>
                        <w:b/>
                        <w:sz w:val="22"/>
                        <w:szCs w:val="22"/>
                        <w:lang w:val="lt-LT"/>
                      </w:rPr>
                    </w:pPr>
                    <w:r w:rsidRPr="0076170F">
                      <w:rPr>
                        <w:b/>
                        <w:sz w:val="22"/>
                        <w:szCs w:val="22"/>
                        <w:lang w:val="lt-LT"/>
                      </w:rPr>
                      <w:t>Vidaus kontrolės sistema</w:t>
                    </w:r>
                    <w:r>
                      <w:rPr>
                        <w:b/>
                        <w:sz w:val="22"/>
                        <w:szCs w:val="22"/>
                        <w:lang w:val="lt-LT"/>
                      </w:rPr>
                      <w:t xml:space="preserve"> </w:t>
                    </w:r>
                    <w:r w:rsidRPr="0076170F">
                      <w:rPr>
                        <w:b/>
                        <w:sz w:val="22"/>
                        <w:szCs w:val="22"/>
                        <w:lang w:val="lt-LT"/>
                      </w:rPr>
                      <w:t>f/a elementui:</w:t>
                    </w:r>
                  </w:p>
                  <w:p w:rsidR="00BE5795" w:rsidRPr="00704849" w:rsidRDefault="00BE5795" w:rsidP="001A099D">
                    <w:pPr>
                      <w:pStyle w:val="ListParagraph"/>
                      <w:numPr>
                        <w:ilvl w:val="0"/>
                        <w:numId w:val="17"/>
                      </w:numPr>
                      <w:spacing w:line="180" w:lineRule="exact"/>
                      <w:ind w:left="142" w:hanging="142"/>
                      <w:rPr>
                        <w:lang w:val="lt-LT"/>
                      </w:rPr>
                    </w:pPr>
                    <w:r w:rsidRPr="00704849">
                      <w:rPr>
                        <w:lang w:val="lt-LT"/>
                      </w:rPr>
                      <w:t>struktūra;</w:t>
                    </w:r>
                  </w:p>
                  <w:p w:rsidR="00BE5795" w:rsidRDefault="00BE5795" w:rsidP="001A099D">
                    <w:pPr>
                      <w:pStyle w:val="ListParagraph"/>
                      <w:numPr>
                        <w:ilvl w:val="0"/>
                        <w:numId w:val="17"/>
                      </w:numPr>
                      <w:spacing w:line="180" w:lineRule="exact"/>
                      <w:ind w:left="142" w:hanging="142"/>
                      <w:rPr>
                        <w:lang w:val="lt-LT"/>
                      </w:rPr>
                    </w:pPr>
                    <w:r w:rsidRPr="00704849">
                      <w:rPr>
                        <w:lang w:val="lt-LT"/>
                      </w:rPr>
                      <w:t>veiksmingumas</w:t>
                    </w:r>
                    <w:r>
                      <w:rPr>
                        <w:lang w:val="lt-LT"/>
                      </w:rPr>
                      <w:t xml:space="preserve">; </w:t>
                    </w:r>
                  </w:p>
                  <w:p w:rsidR="00BE5795" w:rsidRPr="00704849" w:rsidRDefault="00BE5795" w:rsidP="001A099D">
                    <w:pPr>
                      <w:pStyle w:val="ListParagraph"/>
                      <w:numPr>
                        <w:ilvl w:val="0"/>
                        <w:numId w:val="17"/>
                      </w:numPr>
                      <w:spacing w:line="180" w:lineRule="exact"/>
                      <w:ind w:left="142" w:hanging="142"/>
                      <w:rPr>
                        <w:lang w:val="lt-LT"/>
                      </w:rPr>
                    </w:pPr>
                    <w:r>
                      <w:rPr>
                        <w:lang w:val="lt-LT"/>
                      </w:rPr>
                      <w:t>kriterijai</w:t>
                    </w:r>
                  </w:p>
                </w:txbxContent>
              </v:textbox>
            </v:rect>
            <v:shape id="_x0000_s73974" type="#_x0000_t32" style="position:absolute;left:7839;top:4018;width:0;height:3420" o:connectortype="straight" o:regroupid="127" strokecolor="#bfbfbf [2412]" strokeweight="4pt">
              <v:stroke dashstyle="1 1" endarrowwidth="narrow" endarrowlength="short"/>
            </v:shape>
            <v:shape id="_x0000_s73975" type="#_x0000_t32" style="position:absolute;left:7471;top:4018;width:323;height:0;flip:x" o:connectortype="straight" o:regroupid="127" strokecolor="#bfbfbf [2412]" strokeweight="4pt">
              <v:stroke dashstyle="1 1" endarrowwidth="narrow" endarrowlength="short"/>
            </v:shape>
            <v:rect id="_x0000_s73976" style="position:absolute;left:2508;top:2871;width:2766;height:1257" o:regroupid="127" fillcolor="#f2f2f2 [3052]" strokecolor="#bfbfbf [2412]">
              <v:textbox style="mso-next-textbox:#_x0000_s73976">
                <w:txbxContent>
                  <w:p w:rsidR="00BE5795" w:rsidRPr="0076170F" w:rsidRDefault="00BE5795" w:rsidP="002C24E1">
                    <w:pPr>
                      <w:spacing w:line="200" w:lineRule="exact"/>
                      <w:rPr>
                        <w:b/>
                        <w:sz w:val="22"/>
                        <w:szCs w:val="22"/>
                        <w:lang w:val="lt-LT"/>
                      </w:rPr>
                    </w:pPr>
                    <w:r w:rsidRPr="0076170F">
                      <w:rPr>
                        <w:b/>
                        <w:sz w:val="22"/>
                        <w:szCs w:val="22"/>
                      </w:rPr>
                      <w:t>Vid</w:t>
                    </w:r>
                    <w:r>
                      <w:rPr>
                        <w:b/>
                        <w:sz w:val="22"/>
                        <w:szCs w:val="22"/>
                      </w:rPr>
                      <w:t>au</w:t>
                    </w:r>
                    <w:r w:rsidRPr="0076170F">
                      <w:rPr>
                        <w:b/>
                        <w:sz w:val="22"/>
                        <w:szCs w:val="22"/>
                        <w:lang w:val="lt-LT"/>
                      </w:rPr>
                      <w:t>s aplinkos sąlygos:</w:t>
                    </w:r>
                  </w:p>
                  <w:p w:rsidR="00BE5795" w:rsidRDefault="00BE5795" w:rsidP="002C24E1">
                    <w:pPr>
                      <w:pStyle w:val="ListParagraph"/>
                      <w:numPr>
                        <w:ilvl w:val="0"/>
                        <w:numId w:val="15"/>
                      </w:numPr>
                      <w:spacing w:line="200" w:lineRule="exact"/>
                      <w:ind w:left="142" w:hanging="142"/>
                      <w:rPr>
                        <w:lang w:val="lt-LT"/>
                      </w:rPr>
                    </w:pPr>
                    <w:r>
                      <w:rPr>
                        <w:lang w:val="lt-LT"/>
                      </w:rPr>
                      <w:t>strateginės;</w:t>
                    </w:r>
                  </w:p>
                  <w:p w:rsidR="00BE5795" w:rsidRDefault="00BE5795" w:rsidP="002C24E1">
                    <w:pPr>
                      <w:pStyle w:val="ListParagraph"/>
                      <w:numPr>
                        <w:ilvl w:val="0"/>
                        <w:numId w:val="15"/>
                      </w:numPr>
                      <w:spacing w:line="200" w:lineRule="exact"/>
                      <w:ind w:left="142" w:hanging="142"/>
                      <w:rPr>
                        <w:lang w:val="lt-LT"/>
                      </w:rPr>
                    </w:pPr>
                    <w:r>
                      <w:rPr>
                        <w:lang w:val="lt-LT"/>
                      </w:rPr>
                      <w:t>valdymo ir vidaus kontrolės;</w:t>
                    </w:r>
                  </w:p>
                  <w:p w:rsidR="00BE5795" w:rsidRDefault="00BE5795" w:rsidP="002C24E1">
                    <w:pPr>
                      <w:pStyle w:val="ListParagraph"/>
                      <w:numPr>
                        <w:ilvl w:val="0"/>
                        <w:numId w:val="15"/>
                      </w:numPr>
                      <w:spacing w:line="200" w:lineRule="exact"/>
                      <w:ind w:left="142" w:hanging="142"/>
                      <w:rPr>
                        <w:lang w:val="lt-LT"/>
                      </w:rPr>
                    </w:pPr>
                    <w:r>
                      <w:rPr>
                        <w:lang w:val="lt-LT"/>
                      </w:rPr>
                      <w:t xml:space="preserve"> veiklos;</w:t>
                    </w:r>
                  </w:p>
                  <w:p w:rsidR="00BE5795" w:rsidRPr="00C8646F" w:rsidRDefault="00BE5795" w:rsidP="002C24E1">
                    <w:pPr>
                      <w:pStyle w:val="ListParagraph"/>
                      <w:numPr>
                        <w:ilvl w:val="0"/>
                        <w:numId w:val="15"/>
                      </w:numPr>
                      <w:spacing w:line="200" w:lineRule="exact"/>
                      <w:ind w:left="142" w:hanging="142"/>
                      <w:rPr>
                        <w:lang w:val="lt-LT"/>
                      </w:rPr>
                    </w:pPr>
                    <w:r>
                      <w:rPr>
                        <w:lang w:val="lt-LT"/>
                      </w:rPr>
                      <w:t>apskaitos</w:t>
                    </w:r>
                  </w:p>
                </w:txbxContent>
              </v:textbox>
            </v:rect>
            <v:rect id="_x0000_s73977" style="position:absolute;left:2508;top:1840;width:2769;height:1031" o:regroupid="127" fillcolor="#f2f2f2 [3052]" strokecolor="#d8d8d8 [2732]">
              <v:textbox style="mso-next-textbox:#_x0000_s73977">
                <w:txbxContent>
                  <w:p w:rsidR="00BE5795" w:rsidRPr="0076170F" w:rsidRDefault="00BE5795" w:rsidP="002C24E1">
                    <w:pPr>
                      <w:spacing w:line="200" w:lineRule="exact"/>
                      <w:rPr>
                        <w:b/>
                        <w:sz w:val="22"/>
                        <w:szCs w:val="22"/>
                        <w:lang w:val="lt-LT"/>
                      </w:rPr>
                    </w:pPr>
                    <w:r w:rsidRPr="0076170F">
                      <w:rPr>
                        <w:b/>
                        <w:sz w:val="22"/>
                        <w:szCs w:val="22"/>
                        <w:lang w:val="lt-LT"/>
                      </w:rPr>
                      <w:t>Išorės aplinkos sąlygos:</w:t>
                    </w:r>
                  </w:p>
                  <w:p w:rsidR="00BE5795" w:rsidRDefault="00BE5795" w:rsidP="002C24E1">
                    <w:pPr>
                      <w:pStyle w:val="ListParagraph"/>
                      <w:numPr>
                        <w:ilvl w:val="0"/>
                        <w:numId w:val="14"/>
                      </w:numPr>
                      <w:spacing w:line="200" w:lineRule="exact"/>
                      <w:ind w:left="142" w:hanging="142"/>
                      <w:rPr>
                        <w:lang w:val="lt-LT"/>
                      </w:rPr>
                    </w:pPr>
                    <w:r>
                      <w:rPr>
                        <w:lang w:val="lt-LT"/>
                      </w:rPr>
                      <w:t>ekonominės-politinės;</w:t>
                    </w:r>
                  </w:p>
                  <w:p w:rsidR="00BE5795" w:rsidRDefault="00BE5795" w:rsidP="002C24E1">
                    <w:pPr>
                      <w:pStyle w:val="ListParagraph"/>
                      <w:numPr>
                        <w:ilvl w:val="0"/>
                        <w:numId w:val="14"/>
                      </w:numPr>
                      <w:spacing w:line="200" w:lineRule="exact"/>
                      <w:ind w:left="142" w:hanging="142"/>
                      <w:rPr>
                        <w:lang w:val="lt-LT"/>
                      </w:rPr>
                    </w:pPr>
                    <w:r>
                      <w:rPr>
                        <w:lang w:val="lt-LT"/>
                      </w:rPr>
                      <w:t>reguliavimo;</w:t>
                    </w:r>
                  </w:p>
                  <w:p w:rsidR="00BE5795" w:rsidRPr="00C8646F" w:rsidRDefault="00BE5795" w:rsidP="002C24E1">
                    <w:pPr>
                      <w:pStyle w:val="ListParagraph"/>
                      <w:numPr>
                        <w:ilvl w:val="0"/>
                        <w:numId w:val="14"/>
                      </w:numPr>
                      <w:spacing w:line="200" w:lineRule="exact"/>
                      <w:ind w:left="142" w:hanging="142"/>
                      <w:rPr>
                        <w:lang w:val="lt-LT"/>
                      </w:rPr>
                    </w:pPr>
                    <w:r w:rsidRPr="00C8646F">
                      <w:rPr>
                        <w:lang w:val="lt-LT"/>
                      </w:rPr>
                      <w:t>konkurencinės</w:t>
                    </w:r>
                  </w:p>
                </w:txbxContent>
              </v:textbox>
            </v:rect>
            <v:shape id="_x0000_s73978" type="#_x0000_t32" style="position:absolute;left:5516;top:2981;width:309;height:0" o:connectortype="straight" o:regroupid="127" strokecolor="#bfbfbf [2412]" strokeweight="4pt">
              <v:stroke endarrow="block" endarrowwidth="narrow" endarrowlength="short"/>
            </v:shape>
            <v:shape id="_x0000_s73982" type="#_x0000_t32" style="position:absolute;left:10146;top:7981;width:2;height:568" o:connectortype="straight" o:regroupid="127" strokecolor="#bfbfbf [2412]" strokeweight="4pt">
              <v:stroke endarrow="block" endarrowwidth="narrow" endarrowlength="short"/>
            </v:shape>
            <v:shape id="_x0000_s73984" type="#_x0000_t32" style="position:absolute;left:7521;top:6061;width:369;height:2;flip:x" o:connectortype="straight" o:regroupid="127" strokecolor="#bfbfbf [2412]" strokeweight="4pt">
              <v:stroke dashstyle="1 1" endarrow="block" endarrowwidth="narrow" endarrowlength="short"/>
            </v:shape>
            <v:shape id="_x0000_s73992" type="#_x0000_t32" style="position:absolute;left:9191;top:4325;width:0;height:2420;flip:y" o:connectortype="straight" o:regroupid="127" strokecolor="#bfbfbf [2412]" strokeweight="4pt">
              <v:stroke endarrow="block" endarrowwidth="narrow" endarrowlength="short"/>
            </v:shape>
            <v:shape id="_x0000_s73994" type="#_x0000_t32" style="position:absolute;left:5260;top:6115;width:535;height:1" o:connectortype="straight" o:regroupid="127" strokecolor="#bfbfbf [2412]" strokeweight="4pt">
              <v:stroke endarrow="block" endarrowwidth="narrow" endarrowlength="short"/>
            </v:shape>
            <v:shape id="_x0000_s73996" type="#_x0000_t32" style="position:absolute;left:5260;top:4714;width:565;height:0" o:connectortype="straight" o:regroupid="127" strokecolor="#bfbfbf [2412]" strokeweight="4pt">
              <v:stroke endarrow="block" endarrowwidth="narrow" endarrowlength="short"/>
            </v:shape>
            <v:shape id="_x0000_s73997" type="#_x0000_t32" style="position:absolute;left:5322;top:7436;width:473;height:2" o:connectortype="straight" o:regroupid="127" strokecolor="#bfbfbf [2412]" strokeweight="4pt">
              <v:stroke endarrow="block" endarrowwidth="narrow" endarrowlength="short"/>
            </v:shape>
            <v:shape id="_x0000_s73998" type="#_x0000_t32" style="position:absolute;left:7521;top:7436;width:318;height:2;flip:x" o:connectortype="straight" o:regroupid="127" strokecolor="#bfbfbf [2412]" strokeweight="4pt">
              <v:stroke dashstyle="1 1" endarrow="block" endarrowwidth="narrow" endarrowlength="short"/>
            </v:shape>
            <v:shape id="_x0000_s73999" type="#_x0000_t32" style="position:absolute;left:2406;top:4779;width:102;height:0" o:connectortype="straight" o:regroupid="127" strokecolor="#bfbfbf [2412]" strokeweight="4pt">
              <v:stroke dashstyle="1 1" endarrow="block" endarrowwidth="narrow" endarrowlength="short"/>
            </v:shape>
            <v:shape id="_x0000_s74008" type="#_x0000_t32" style="position:absolute;left:2382;top:2871;width:126;height:0" o:connectortype="straight" o:regroupid="127" strokecolor="#bfbfbf [2412]" strokeweight="4pt">
              <v:stroke dashstyle="1 1"/>
            </v:shape>
            <v:shape id="_x0000_s74009" type="#_x0000_t32" style="position:absolute;left:7504;top:8755;width:1767;height:23;flip:y" o:connectortype="straight" o:regroupid="127" strokecolor="#bfbfbf [2412]" strokeweight="4pt"/>
            <v:rect id="_x0000_s74010" style="position:absolute;left:2623;top:8303;width:2651;height:1149" o:regroupid="127" fillcolor="#f2f2f2 [3052]" strokecolor="#bfbfbf [2412]">
              <v:textbox style="mso-next-textbox:#_x0000_s74010">
                <w:txbxContent>
                  <w:p w:rsidR="00BE5795" w:rsidRPr="0076170F" w:rsidRDefault="00BE5795" w:rsidP="002C24E1">
                    <w:pPr>
                      <w:spacing w:line="200" w:lineRule="exact"/>
                      <w:rPr>
                        <w:b/>
                        <w:sz w:val="22"/>
                        <w:szCs w:val="22"/>
                        <w:lang w:val="lt-LT"/>
                      </w:rPr>
                    </w:pPr>
                    <w:r w:rsidRPr="0076170F">
                      <w:rPr>
                        <w:b/>
                        <w:sz w:val="22"/>
                        <w:szCs w:val="22"/>
                        <w:lang w:val="lt-LT"/>
                      </w:rPr>
                      <w:t>Audito sąlygos:</w:t>
                    </w:r>
                  </w:p>
                  <w:p w:rsidR="00BE5795" w:rsidRDefault="00BE5795" w:rsidP="002C24E1">
                    <w:pPr>
                      <w:pStyle w:val="ListParagraph"/>
                      <w:numPr>
                        <w:ilvl w:val="0"/>
                        <w:numId w:val="18"/>
                      </w:numPr>
                      <w:spacing w:line="200" w:lineRule="exact"/>
                      <w:ind w:left="142" w:hanging="142"/>
                      <w:rPr>
                        <w:lang w:val="lt-LT"/>
                      </w:rPr>
                    </w:pPr>
                    <w:r>
                      <w:rPr>
                        <w:lang w:val="lt-LT"/>
                      </w:rPr>
                      <w:t>a</w:t>
                    </w:r>
                    <w:r w:rsidRPr="00AE0AC9">
                      <w:rPr>
                        <w:lang w:val="lt-LT"/>
                      </w:rPr>
                      <w:t>udito koncepcijos</w:t>
                    </w:r>
                    <w:r>
                      <w:rPr>
                        <w:lang w:val="lt-LT"/>
                      </w:rPr>
                      <w:t>;</w:t>
                    </w:r>
                  </w:p>
                  <w:p w:rsidR="00BE5795" w:rsidRDefault="00BE5795" w:rsidP="002C24E1">
                    <w:pPr>
                      <w:pStyle w:val="ListParagraph"/>
                      <w:numPr>
                        <w:ilvl w:val="0"/>
                        <w:numId w:val="18"/>
                      </w:numPr>
                      <w:spacing w:line="200" w:lineRule="exact"/>
                      <w:ind w:left="142" w:hanging="142"/>
                      <w:rPr>
                        <w:lang w:val="lt-LT"/>
                      </w:rPr>
                    </w:pPr>
                    <w:r>
                      <w:rPr>
                        <w:lang w:val="lt-LT"/>
                      </w:rPr>
                      <w:t>audito veiksmai;</w:t>
                    </w:r>
                  </w:p>
                  <w:p w:rsidR="00BE5795" w:rsidRPr="00AE0AC9" w:rsidRDefault="00BE5795" w:rsidP="002C24E1">
                    <w:pPr>
                      <w:pStyle w:val="ListParagraph"/>
                      <w:numPr>
                        <w:ilvl w:val="0"/>
                        <w:numId w:val="18"/>
                      </w:numPr>
                      <w:spacing w:line="200" w:lineRule="exact"/>
                      <w:ind w:left="142" w:hanging="142"/>
                      <w:rPr>
                        <w:lang w:val="lt-LT"/>
                      </w:rPr>
                    </w:pPr>
                    <w:r>
                      <w:rPr>
                        <w:lang w:val="lt-LT"/>
                      </w:rPr>
                      <w:t>auditoriaus savybės</w:t>
                    </w:r>
                  </w:p>
                </w:txbxContent>
              </v:textbox>
            </v:rect>
            <v:shape id="_x0000_s74011" type="#_x0000_t32" style="position:absolute;left:9270;top:8001;width:1;height:777;flip:y" o:connectortype="straight" o:regroupid="127" strokecolor="#bfbfbf [2412]" strokeweight="4pt">
              <v:stroke endarrow="block" endarrowwidth="narrow" endarrowlength="short"/>
            </v:shape>
            <v:rect id="_x0000_s74013" style="position:absolute;left:1844;top:8097;width:779;height:1355" o:regroupid="127" filled="f" stroked="f">
              <v:textbox style="layout-flow:vertical;mso-layout-flow-alt:bottom-to-top;mso-next-textbox:#_x0000_s74013">
                <w:txbxContent>
                  <w:p w:rsidR="00BE5795" w:rsidRPr="00FF060F" w:rsidRDefault="00BE5795" w:rsidP="00973556">
                    <w:pPr>
                      <w:spacing w:line="200" w:lineRule="exact"/>
                      <w:jc w:val="center"/>
                      <w:rPr>
                        <w:b/>
                        <w:sz w:val="24"/>
                        <w:szCs w:val="24"/>
                        <w:lang w:val="lt-LT"/>
                      </w:rPr>
                    </w:pPr>
                    <w:r w:rsidRPr="00FF060F">
                      <w:rPr>
                        <w:b/>
                        <w:sz w:val="24"/>
                        <w:szCs w:val="24"/>
                        <w:lang w:val="lt-LT"/>
                      </w:rPr>
                      <w:t>Audito įmonė</w:t>
                    </w:r>
                  </w:p>
                </w:txbxContent>
              </v:textbox>
            </v:rect>
            <v:rect id="_x0000_s74019" style="position:absolute;left:12217;top:3547;width:2206;height:778" o:regroupid="127" filled="f">
              <v:textbox style="mso-next-textbox:#_x0000_s74019">
                <w:txbxContent>
                  <w:p w:rsidR="00BE5795" w:rsidRPr="007B5A44" w:rsidRDefault="00BE5795" w:rsidP="007B5A44">
                    <w:pPr>
                      <w:spacing w:before="60"/>
                      <w:jc w:val="center"/>
                      <w:rPr>
                        <w:b/>
                        <w:sz w:val="22"/>
                        <w:szCs w:val="22"/>
                        <w:lang w:val="lt-LT"/>
                      </w:rPr>
                    </w:pPr>
                    <w:r w:rsidRPr="007B5A44">
                      <w:rPr>
                        <w:b/>
                        <w:sz w:val="22"/>
                        <w:szCs w:val="22"/>
                        <w:lang w:val="lt-LT"/>
                      </w:rPr>
                      <w:t>Susipažinimas su klientu</w:t>
                    </w:r>
                  </w:p>
                </w:txbxContent>
              </v:textbox>
            </v:rect>
            <v:shape id="_x0000_s74024" type="#_x0000_t32" style="position:absolute;left:10820;top:6061;width:1399;height:0;flip:x" o:connectortype="straight" o:regroupid="127" strokecolor="black [3213]" strokeweight="4pt">
              <v:stroke startarrow="block" startarrowwidth="narrow" startarrowlength="short" endarrowwidth="narrow" endarrowlength="short"/>
            </v:shape>
            <v:shape id="_x0000_s74034" type="#_x0000_t32" style="position:absolute;left:13333;top:4325;width:2;height:1443;flip:x" o:connectortype="straight" o:regroupid="127" strokecolor="black [3213]" strokeweight="4pt">
              <v:stroke endarrow="block" endarrowwidth="narrow" endarrowlength="short"/>
            </v:shape>
            <v:shape id="_x0000_s74036" type="#_x0000_t32" style="position:absolute;left:11012;top:6283;width:1;height:2266;flip:y" o:connectortype="straight" o:regroupid="127" strokecolor="black [3213]" strokeweight="4pt">
              <v:stroke dashstyle="1 1" endarrowwidth="narrow" endarrowlength="short"/>
            </v:shape>
            <v:shape id="_x0000_s74050" type="#_x0000_t32" style="position:absolute;left:7471;top:3890;width:728;height:0" o:connectortype="straight" o:regroupid="127" strokecolor="#bfbfbf [2412]" strokeweight="4pt">
              <v:stroke endarrow="block" endarrowwidth="narrow" endarrowlength="short"/>
            </v:shape>
            <v:shape id="_x0000_s74056" type="#_x0000_t32" style="position:absolute;left:5314;top:8860;width:526;height:0" o:connectortype="straight" o:regroupid="127" strokecolor="#bfbfbf [2412]" strokeweight="4pt">
              <v:stroke endarrow="block" endarrowwidth="narrow" endarrowlength="short"/>
            </v:shape>
            <v:shape id="_x0000_s74061" type="#_x0000_t32" style="position:absolute;left:10287;top:4325;width:0;height:4224" o:connectortype="straight" o:regroupid="127" strokecolor="#bfbfbf [2412]" strokeweight="4pt">
              <v:stroke endarrow="block" endarrowwidth="narrow" endarrowlength="short"/>
            </v:shape>
            <v:shape id="_x0000_s74066" type="#_x0000_t32" style="position:absolute;left:11611;top:8652;width:467;height:0;flip:x" o:connectortype="straight" o:regroupid="127" strokecolor="black [3213]" strokeweight="4pt">
              <v:stroke dashstyle="1 1" endarrow="block" endarrowwidth="narrow" endarrowlength="short"/>
            </v:shape>
            <v:shape id="_x0000_s73986" type="#_x0000_t32" style="position:absolute;left:5499;top:2364;width:0;height:1293" o:connectortype="straight" o:regroupid="127" strokecolor="#bfbfbf [2412]" strokeweight="4pt"/>
            <v:shape id="_x0000_s73987" type="#_x0000_t32" style="position:absolute;left:5260;top:2383;width:256;height:1" o:connectortype="straight" o:regroupid="127" strokecolor="#bfbfbf [2412]" strokeweight="4pt"/>
            <v:shape id="_x0000_s73988" type="#_x0000_t32" style="position:absolute;left:5277;top:3670;width:256;height:1" o:connectortype="straight" o:regroupid="127" strokecolor="#bfbfbf [2412]" strokeweight="4pt"/>
            <v:rect id="_x0000_s74046" style="position:absolute;left:5795;top:5736;width:1726;height:453" o:regroupid="127" fillcolor="#bfbfbf [2412]" strokecolor="white [3212]">
              <v:textbox style="mso-next-textbox:#_x0000_s74046">
                <w:txbxContent>
                  <w:p w:rsidR="00BE5795" w:rsidRPr="007B5A44" w:rsidRDefault="00BE5795" w:rsidP="001F04DE">
                    <w:pPr>
                      <w:jc w:val="center"/>
                      <w:rPr>
                        <w:b/>
                        <w:sz w:val="22"/>
                        <w:szCs w:val="22"/>
                        <w:lang w:val="lt-LT"/>
                      </w:rPr>
                    </w:pPr>
                    <w:r w:rsidRPr="007B5A44">
                      <w:rPr>
                        <w:b/>
                        <w:sz w:val="22"/>
                        <w:szCs w:val="22"/>
                        <w:lang w:val="lt-LT"/>
                      </w:rPr>
                      <w:t>Įgimta rizika</w:t>
                    </w:r>
                  </w:p>
                </w:txbxContent>
              </v:textbox>
            </v:rect>
            <v:rect id="_x0000_s74047" style="position:absolute;left:5795;top:7128;width:1726;height:629" o:regroupid="127" fillcolor="#bfbfbf [2412]" strokecolor="white [3212]">
              <v:textbox style="mso-next-textbox:#_x0000_s74047">
                <w:txbxContent>
                  <w:p w:rsidR="00BE5795" w:rsidRDefault="00BE5795" w:rsidP="0049572C">
                    <w:pPr>
                      <w:ind w:right="-123"/>
                      <w:jc w:val="center"/>
                      <w:rPr>
                        <w:b/>
                        <w:sz w:val="22"/>
                        <w:szCs w:val="22"/>
                        <w:lang w:val="lt-LT"/>
                      </w:rPr>
                    </w:pPr>
                    <w:r w:rsidRPr="007B5A44">
                      <w:rPr>
                        <w:b/>
                        <w:sz w:val="22"/>
                        <w:szCs w:val="22"/>
                        <w:lang w:val="lt-LT"/>
                      </w:rPr>
                      <w:t xml:space="preserve">Kontrolės </w:t>
                    </w:r>
                  </w:p>
                  <w:p w:rsidR="00BE5795" w:rsidRPr="007B5A44" w:rsidRDefault="00BE5795" w:rsidP="0049572C">
                    <w:pPr>
                      <w:ind w:right="-123"/>
                      <w:jc w:val="center"/>
                      <w:rPr>
                        <w:b/>
                        <w:sz w:val="22"/>
                        <w:szCs w:val="22"/>
                        <w:lang w:val="lt-LT"/>
                      </w:rPr>
                    </w:pPr>
                    <w:r w:rsidRPr="007B5A44">
                      <w:rPr>
                        <w:b/>
                        <w:sz w:val="22"/>
                        <w:szCs w:val="22"/>
                        <w:lang w:val="lt-LT"/>
                      </w:rPr>
                      <w:t>rizika</w:t>
                    </w:r>
                  </w:p>
                </w:txbxContent>
              </v:textbox>
            </v:rect>
            <v:rect id="_x0000_s74058" style="position:absolute;left:8284;top:7152;width:1866;height:849" o:regroupid="127" fillcolor="white [3212]" strokecolor="#bfbfbf [2412]" strokeweight="4.5pt">
              <v:stroke linestyle="thinThick"/>
              <v:textbox style="mso-next-textbox:#_x0000_s74058">
                <w:txbxContent>
                  <w:p w:rsidR="00BE5795" w:rsidRPr="007B5A44" w:rsidRDefault="00BE5795" w:rsidP="008C4742">
                    <w:pPr>
                      <w:spacing w:before="120"/>
                      <w:jc w:val="center"/>
                      <w:rPr>
                        <w:b/>
                        <w:caps/>
                        <w:sz w:val="22"/>
                        <w:szCs w:val="22"/>
                        <w:lang w:val="lt-LT"/>
                      </w:rPr>
                    </w:pPr>
                    <w:r w:rsidRPr="007B5A44">
                      <w:rPr>
                        <w:b/>
                        <w:caps/>
                        <w:sz w:val="22"/>
                        <w:szCs w:val="22"/>
                        <w:lang w:val="lt-LT"/>
                      </w:rPr>
                      <w:t>Aptikimo rizika</w:t>
                    </w:r>
                  </w:p>
                </w:txbxContent>
              </v:textbox>
            </v:rect>
            <v:rect id="_x0000_s74015" style="position:absolute;left:1844;top:2981;width:508;height:2203" o:regroupid="127" filled="f" stroked="f">
              <v:textbox style="layout-flow:vertical;mso-layout-flow-alt:bottom-to-top;mso-next-textbox:#_x0000_s74015">
                <w:txbxContent>
                  <w:p w:rsidR="00BE5795" w:rsidRPr="00FF060F" w:rsidRDefault="00BE5795" w:rsidP="00225AB9">
                    <w:pPr>
                      <w:spacing w:line="240" w:lineRule="exact"/>
                      <w:jc w:val="center"/>
                      <w:rPr>
                        <w:b/>
                        <w:sz w:val="24"/>
                        <w:szCs w:val="24"/>
                        <w:lang w:val="lt-LT"/>
                      </w:rPr>
                    </w:pPr>
                    <w:r w:rsidRPr="00FF060F">
                      <w:rPr>
                        <w:b/>
                        <w:sz w:val="24"/>
                        <w:szCs w:val="24"/>
                        <w:lang w:val="lt-LT"/>
                      </w:rPr>
                      <w:t>Audit</w:t>
                    </w:r>
                    <w:r>
                      <w:rPr>
                        <w:b/>
                        <w:sz w:val="24"/>
                        <w:szCs w:val="24"/>
                        <w:lang w:val="lt-LT"/>
                      </w:rPr>
                      <w:t>uojama</w:t>
                    </w:r>
                    <w:r w:rsidRPr="00FF060F">
                      <w:rPr>
                        <w:b/>
                        <w:sz w:val="24"/>
                        <w:szCs w:val="24"/>
                        <w:lang w:val="lt-LT"/>
                      </w:rPr>
                      <w:t xml:space="preserve"> įmonė</w:t>
                    </w:r>
                  </w:p>
                </w:txbxContent>
              </v:textbox>
            </v:rect>
            <v:rect id="_x0000_s74043" style="position:absolute;left:8262;top:3302;width:2025;height:1023" o:regroupid="127" fillcolor="white [3212]" strokecolor="#bfbfbf [2412]" strokeweight="4.5pt">
              <v:stroke linestyle="thinThick"/>
              <v:textbox style="mso-next-textbox:#_x0000_s74043">
                <w:txbxContent>
                  <w:p w:rsidR="00BE5795" w:rsidRPr="007B5A44" w:rsidRDefault="00BE5795" w:rsidP="001F04DE">
                    <w:pPr>
                      <w:jc w:val="center"/>
                      <w:rPr>
                        <w:b/>
                        <w:caps/>
                        <w:sz w:val="22"/>
                        <w:szCs w:val="22"/>
                        <w:lang w:val="lt-LT"/>
                      </w:rPr>
                    </w:pPr>
                    <w:r w:rsidRPr="007B5A44">
                      <w:rPr>
                        <w:b/>
                        <w:caps/>
                        <w:sz w:val="22"/>
                        <w:szCs w:val="22"/>
                        <w:lang w:val="lt-LT"/>
                      </w:rPr>
                      <w:t xml:space="preserve">Reikšmingo iškraipymo rizika </w:t>
                    </w:r>
                  </w:p>
                </w:txbxContent>
              </v:textbox>
            </v:rect>
            <v:rect id="_x0000_s74098" style="position:absolute;left:2508;top:4197;width:2769;height:1229" o:regroupid="127" filled="f" strokecolor="#bfbfbf [2412]">
              <v:textbox style="mso-next-textbox:#_x0000_s74098">
                <w:txbxContent>
                  <w:p w:rsidR="00BE5795" w:rsidRPr="0076170F" w:rsidRDefault="00BE5795" w:rsidP="00F527B6">
                    <w:pPr>
                      <w:spacing w:line="180" w:lineRule="exact"/>
                      <w:rPr>
                        <w:b/>
                        <w:sz w:val="22"/>
                        <w:szCs w:val="22"/>
                        <w:lang w:val="lt-LT"/>
                      </w:rPr>
                    </w:pPr>
                    <w:r w:rsidRPr="0076170F">
                      <w:rPr>
                        <w:b/>
                        <w:sz w:val="22"/>
                        <w:szCs w:val="22"/>
                        <w:lang w:val="lt-LT"/>
                      </w:rPr>
                      <w:t>Darbuotojų/vadovybės apgaulė:</w:t>
                    </w:r>
                  </w:p>
                  <w:p w:rsidR="00BE5795" w:rsidRDefault="00BE5795" w:rsidP="00F527B6">
                    <w:pPr>
                      <w:pStyle w:val="ListParagraph"/>
                      <w:numPr>
                        <w:ilvl w:val="0"/>
                        <w:numId w:val="16"/>
                      </w:numPr>
                      <w:spacing w:line="180" w:lineRule="exact"/>
                      <w:ind w:left="142" w:hanging="142"/>
                      <w:rPr>
                        <w:lang w:val="lt-LT"/>
                      </w:rPr>
                    </w:pPr>
                    <w:r>
                      <w:rPr>
                        <w:lang w:val="lt-LT"/>
                      </w:rPr>
                      <w:t>paskatos/spaudimas;</w:t>
                    </w:r>
                  </w:p>
                  <w:p w:rsidR="00BE5795" w:rsidRDefault="00BE5795" w:rsidP="00F527B6">
                    <w:pPr>
                      <w:pStyle w:val="ListParagraph"/>
                      <w:numPr>
                        <w:ilvl w:val="0"/>
                        <w:numId w:val="16"/>
                      </w:numPr>
                      <w:spacing w:line="180" w:lineRule="exact"/>
                      <w:ind w:left="142" w:hanging="142"/>
                      <w:rPr>
                        <w:lang w:val="lt-LT"/>
                      </w:rPr>
                    </w:pPr>
                    <w:r>
                      <w:rPr>
                        <w:lang w:val="lt-LT"/>
                      </w:rPr>
                      <w:t>požiūris/racionalizacija;</w:t>
                    </w:r>
                  </w:p>
                  <w:p w:rsidR="00BE5795" w:rsidRDefault="00BE5795" w:rsidP="00F527B6">
                    <w:pPr>
                      <w:pStyle w:val="ListParagraph"/>
                      <w:numPr>
                        <w:ilvl w:val="0"/>
                        <w:numId w:val="16"/>
                      </w:numPr>
                      <w:spacing w:line="180" w:lineRule="exact"/>
                      <w:ind w:left="142" w:hanging="142"/>
                      <w:rPr>
                        <w:lang w:val="lt-LT"/>
                      </w:rPr>
                    </w:pPr>
                    <w:r>
                      <w:rPr>
                        <w:lang w:val="lt-LT"/>
                      </w:rPr>
                      <w:t>galimybės;</w:t>
                    </w:r>
                  </w:p>
                  <w:p w:rsidR="00BE5795" w:rsidRPr="00615141" w:rsidRDefault="00BE5795" w:rsidP="00F527B6">
                    <w:pPr>
                      <w:pStyle w:val="ListParagraph"/>
                      <w:numPr>
                        <w:ilvl w:val="0"/>
                        <w:numId w:val="16"/>
                      </w:numPr>
                      <w:spacing w:line="180" w:lineRule="exact"/>
                      <w:ind w:left="142" w:hanging="142"/>
                      <w:rPr>
                        <w:lang w:val="lt-LT"/>
                      </w:rPr>
                    </w:pPr>
                    <w:r w:rsidRPr="00615141">
                      <w:rPr>
                        <w:lang w:val="lt-LT"/>
                      </w:rPr>
                      <w:t>sugebėjim</w:t>
                    </w:r>
                    <w:r>
                      <w:rPr>
                        <w:lang w:val="lt-LT"/>
                      </w:rPr>
                      <w:t>ai</w:t>
                    </w:r>
                  </w:p>
                </w:txbxContent>
              </v:textbox>
            </v:rect>
            <v:rect id="_x0000_s74041" style="position:absolute;left:5795;top:2364;width:1709;height:468" o:regroupid="127" fillcolor="#bfbfbf [2412]" strokecolor="white [3212]">
              <v:textbox style="mso-next-textbox:#_x0000_s74041">
                <w:txbxContent>
                  <w:p w:rsidR="00BE5795" w:rsidRPr="007B5A44" w:rsidRDefault="00BE5795" w:rsidP="001F04DE">
                    <w:pPr>
                      <w:jc w:val="center"/>
                      <w:rPr>
                        <w:b/>
                        <w:sz w:val="22"/>
                        <w:szCs w:val="22"/>
                        <w:lang w:val="lt-LT"/>
                      </w:rPr>
                    </w:pPr>
                    <w:r w:rsidRPr="007B5A44">
                      <w:rPr>
                        <w:b/>
                        <w:sz w:val="22"/>
                        <w:szCs w:val="22"/>
                        <w:lang w:val="lt-LT"/>
                      </w:rPr>
                      <w:t>Verslo rizika</w:t>
                    </w:r>
                  </w:p>
                </w:txbxContent>
              </v:textbox>
            </v:rect>
            <v:rect id="_x0000_s74042" style="position:absolute;left:5795;top:4194;width:1713;height:762" o:regroupid="127" fillcolor="#bfbfbf [2412]" strokecolor="white [3212]">
              <v:textbox style="mso-next-textbox:#_x0000_s74042">
                <w:txbxContent>
                  <w:p w:rsidR="00BE5795" w:rsidRPr="007B5A44" w:rsidRDefault="00BE5795" w:rsidP="001F04DE">
                    <w:pPr>
                      <w:jc w:val="center"/>
                      <w:rPr>
                        <w:b/>
                        <w:sz w:val="22"/>
                        <w:szCs w:val="22"/>
                        <w:lang w:val="lt-LT"/>
                      </w:rPr>
                    </w:pPr>
                    <w:r w:rsidRPr="007B5A44">
                      <w:rPr>
                        <w:b/>
                        <w:sz w:val="22"/>
                        <w:szCs w:val="22"/>
                        <w:lang w:val="lt-LT"/>
                      </w:rPr>
                      <w:t>Apgaulės rizika</w:t>
                    </w:r>
                  </w:p>
                </w:txbxContent>
              </v:textbox>
            </v:rect>
            <v:shape id="_x0000_s74099" type="#_x0000_t32" style="position:absolute;left:2255;top:2827;width:0;height:4766" o:connectortype="straight" o:regroupid="127" strokecolor="#bfbfbf [2412]" strokeweight="4pt">
              <v:stroke dashstyle="1 1"/>
            </v:shape>
            <v:shape id="_x0000_s74100" type="#_x0000_t32" style="position:absolute;left:7485;top:6745;width:1714;height:1" o:connectortype="straight" o:regroupid="127" strokecolor="#bfbfbf [2412]" strokeweight="4pt"/>
            <v:shape id="_x0000_s74104" type="#_x0000_t32" style="position:absolute;left:8072;top:6963;width:0;height:2323" o:connectortype="straight" o:regroupid="127" strokecolor="#bfbfbf [2412]" strokeweight="4pt">
              <v:stroke dashstyle="1 1"/>
            </v:shape>
            <v:shape id="_x0000_s74105" type="#_x0000_t32" style="position:absolute;left:7599;top:8303;width:473;height:0;flip:x" o:connectortype="straight" o:regroupid="127" strokecolor="#bfbfbf [2412]" strokeweight="4pt">
              <v:stroke dashstyle="1 1" endarrow="block" endarrowwidth="narrow" endarrowlength="short"/>
            </v:shape>
            <v:shape id="_x0000_s74106" type="#_x0000_t32" style="position:absolute;left:7599;top:8674;width:398;height:1;flip:x" o:connectortype="straight" o:regroupid="127" strokecolor="#bfbfbf [2412]" strokeweight="4pt">
              <v:stroke dashstyle="1 1" endarrow="block" endarrowwidth="narrow" endarrowlength="short"/>
            </v:shape>
            <v:shape id="_x0000_s74107" type="#_x0000_t32" style="position:absolute;left:7599;top:9221;width:509;height:0;flip:x" o:connectortype="straight" o:regroupid="127" strokecolor="#bfbfbf [2412]" strokeweight="4pt">
              <v:stroke dashstyle="1 1" endarrow="block" endarrowwidth="narrow" endarrowlength="short"/>
            </v:shape>
            <v:shape id="_x0000_s74022" type="#_x0000_t32" style="position:absolute;left:10820;top:6339;width:1401;height:1;flip:y" o:connectortype="straight" o:regroupid="127" strokecolor="black [3213]" strokeweight="4pt">
              <v:stroke endarrow="block" endarrowwidth="narrow" endarrowlength="short"/>
            </v:shape>
            <v:rect id="_x0000_s74020" style="position:absolute;left:12221;top:8675;width:2205;height:777" o:regroupid="127" filled="f">
              <v:textbox style="mso-next-textbox:#_x0000_s74020">
                <w:txbxContent>
                  <w:p w:rsidR="00BE5795" w:rsidRPr="007B5A44" w:rsidRDefault="00BE5795" w:rsidP="001F04DE">
                    <w:pPr>
                      <w:jc w:val="center"/>
                      <w:rPr>
                        <w:b/>
                        <w:sz w:val="22"/>
                        <w:szCs w:val="22"/>
                        <w:lang w:val="lt-LT"/>
                      </w:rPr>
                    </w:pPr>
                    <w:r w:rsidRPr="007B5A44">
                      <w:rPr>
                        <w:b/>
                        <w:sz w:val="22"/>
                        <w:szCs w:val="22"/>
                        <w:lang w:val="lt-LT"/>
                      </w:rPr>
                      <w:t>Nuomonės formulavimas</w:t>
                    </w:r>
                  </w:p>
                </w:txbxContent>
              </v:textbox>
            </v:rect>
            <v:shape id="_x0000_s74021" type="#_x0000_t32" style="position:absolute;left:11566;top:9061;width:655;height:0;flip:x" o:connectortype="straight" o:regroupid="127" strokecolor="black [3213]" strokeweight="4pt">
              <v:stroke endarrow="block" endarrowwidth="narrow" endarrowlength="short"/>
            </v:shape>
            <v:rect id="_x0000_s74025" style="position:absolute;left:12221;top:5768;width:2205;height:778" o:regroupid="127" filled="f">
              <v:textbox style="mso-next-textbox:#_x0000_s74025">
                <w:txbxContent>
                  <w:p w:rsidR="00BE5795" w:rsidRDefault="00BE5795" w:rsidP="001F04DE">
                    <w:pPr>
                      <w:jc w:val="center"/>
                      <w:rPr>
                        <w:b/>
                        <w:lang w:val="lt-LT"/>
                      </w:rPr>
                    </w:pPr>
                  </w:p>
                  <w:p w:rsidR="00BE5795" w:rsidRPr="007B5A44" w:rsidRDefault="00BE5795" w:rsidP="001F04DE">
                    <w:pPr>
                      <w:jc w:val="center"/>
                      <w:rPr>
                        <w:b/>
                        <w:sz w:val="22"/>
                        <w:szCs w:val="22"/>
                        <w:lang w:val="lt-LT"/>
                      </w:rPr>
                    </w:pPr>
                    <w:r w:rsidRPr="007B5A44">
                      <w:rPr>
                        <w:b/>
                        <w:sz w:val="22"/>
                        <w:szCs w:val="22"/>
                        <w:lang w:val="lt-LT"/>
                      </w:rPr>
                      <w:t>Audito planavimas</w:t>
                    </w:r>
                  </w:p>
                </w:txbxContent>
              </v:textbox>
            </v:rect>
            <v:rect id="_x0000_s74026" style="position:absolute;left:12219;top:6870;width:2205;height:778" o:regroupid="127" filled="f">
              <v:textbox style="mso-next-textbox:#_x0000_s74026">
                <w:txbxContent>
                  <w:p w:rsidR="00BE5795" w:rsidRDefault="00BE5795" w:rsidP="001F04DE">
                    <w:pPr>
                      <w:jc w:val="center"/>
                      <w:rPr>
                        <w:b/>
                        <w:lang w:val="lt-LT"/>
                      </w:rPr>
                    </w:pPr>
                  </w:p>
                  <w:p w:rsidR="00BE5795" w:rsidRPr="007B5A44" w:rsidRDefault="00BE5795" w:rsidP="001F04DE">
                    <w:pPr>
                      <w:jc w:val="center"/>
                      <w:rPr>
                        <w:b/>
                        <w:sz w:val="22"/>
                        <w:szCs w:val="22"/>
                        <w:lang w:val="lt-LT"/>
                      </w:rPr>
                    </w:pPr>
                    <w:r w:rsidRPr="007B5A44">
                      <w:rPr>
                        <w:b/>
                        <w:sz w:val="22"/>
                        <w:szCs w:val="22"/>
                        <w:lang w:val="lt-LT"/>
                      </w:rPr>
                      <w:t>Kontrolės tyrimas</w:t>
                    </w:r>
                  </w:p>
                </w:txbxContent>
              </v:textbox>
            </v:rect>
            <v:rect id="_x0000_s74027" style="position:absolute;left:12219;top:7648;width:2205;height:777" o:regroupid="127" filled="f">
              <v:textbox style="mso-next-textbox:#_x0000_s74027">
                <w:txbxContent>
                  <w:p w:rsidR="00BE5795" w:rsidRDefault="00BE5795" w:rsidP="001F04DE">
                    <w:pPr>
                      <w:jc w:val="center"/>
                      <w:rPr>
                        <w:b/>
                        <w:lang w:val="lt-LT"/>
                      </w:rPr>
                    </w:pPr>
                  </w:p>
                  <w:p w:rsidR="00BE5795" w:rsidRPr="007B5A44" w:rsidRDefault="00BE5795" w:rsidP="001F04DE">
                    <w:pPr>
                      <w:jc w:val="center"/>
                      <w:rPr>
                        <w:b/>
                        <w:sz w:val="22"/>
                        <w:szCs w:val="22"/>
                        <w:lang w:val="lt-LT"/>
                      </w:rPr>
                    </w:pPr>
                    <w:r w:rsidRPr="007B5A44">
                      <w:rPr>
                        <w:b/>
                        <w:sz w:val="22"/>
                        <w:szCs w:val="22"/>
                        <w:lang w:val="lt-LT"/>
                      </w:rPr>
                      <w:t>Detalus tikrinimas</w:t>
                    </w:r>
                  </w:p>
                </w:txbxContent>
              </v:textbox>
            </v:rect>
            <v:shape id="_x0000_s74028" type="#_x0000_t32" style="position:absolute;left:13333;top:7438;width:1;height:262" o:connectortype="straight" o:regroupid="127" strokecolor="black [3213]" strokeweight="4pt">
              <v:stroke endarrow="block" endarrowwidth="narrow" endarrowlength="short"/>
            </v:shape>
            <v:shape id="_x0000_s74029" type="#_x0000_t32" style="position:absolute;left:14423;top:7262;width:298;height:1;flip:x" o:connectortype="straight" o:regroupid="127" strokecolor="black [3213]" strokeweight="4pt">
              <v:stroke dashstyle="1 1" endarrow="block" endarrowwidth="narrow" endarrowlength="short"/>
            </v:shape>
            <v:shape id="_x0000_s74030" type="#_x0000_t32" style="position:absolute;left:13335;top:6543;width:0;height:327" o:connectortype="straight" o:regroupid="127" strokecolor="black [3213]" strokeweight="4pt">
              <v:stroke endarrow="block" endarrowwidth="narrow" endarrowlength="short"/>
            </v:shape>
            <v:shape id="_x0000_s74032" type="#_x0000_t32" style="position:absolute;left:14399;top:8001;width:325;height:0;flip:x" o:connectortype="straight" o:regroupid="127" strokecolor="black [3213]" strokeweight="4pt">
              <v:stroke dashstyle="1 1" endarrow="block" endarrowwidth="narrow" endarrowlength="short"/>
            </v:shape>
            <v:shape id="_x0000_s74035" type="#_x0000_t32" style="position:absolute;left:13335;top:8385;width:3;height:266;flip:x" o:connectortype="straight" o:regroupid="127" strokecolor="black [3213]" strokeweight="4pt">
              <v:stroke endarrow="block" endarrowwidth="narrow" endarrowlength="short"/>
            </v:shape>
            <v:shape id="_x0000_s74037" type="#_x0000_t32" style="position:absolute;left:14721;top:7262;width:1;height:739" o:connectortype="straight" o:regroupid="127" strokecolor="black [3213]" strokeweight="4pt">
              <v:stroke dashstyle="1 1"/>
            </v:shape>
            <v:shape id="_x0000_s74049" type="#_x0000_t32" style="position:absolute;left:13175;top:6560;width:0;height:327" o:connectortype="straight" o:regroupid="127" strokecolor="black [3213]" strokeweight="4pt">
              <v:stroke dashstyle="1 1" endarrow="block" endarrowwidth="narrow" endarrowlength="short"/>
            </v:shape>
            <v:shape id="_x0000_s74052" type="#_x0000_t32" style="position:absolute;left:13175;top:7438;width:1;height:262" o:connectortype="straight" o:regroupid="127" strokecolor="black [3213]" strokeweight="4pt">
              <v:stroke dashstyle="1 1" endarrow="block" endarrowwidth="narrow" endarrowlength="short"/>
            </v:shape>
            <v:shape id="_x0000_s74054" type="#_x0000_t32" style="position:absolute;left:13176;top:8364;width:1;height:287" o:connectortype="straight" o:regroupid="127" strokecolor="black [3213]" strokeweight="4pt">
              <v:stroke dashstyle="1 1" endarrow="block" endarrowwidth="narrow" endarrowlength="short"/>
            </v:shape>
            <v:shape id="_x0000_s74109" type="#_x0000_t32" style="position:absolute;left:11611;top:8849;width:610;height:0;flip:x" o:connectortype="straight" o:regroupid="127" strokeweight="4pt">
              <v:stroke dashstyle="1 1" endarrow="block" endarrowwidth="narrow" endarrowlength="short"/>
            </v:shape>
            <v:shape id="_x0000_s74144" type="#_x0000_t32" style="position:absolute;left:11182;top:7500;width:1015;height:0;flip:x" o:connectortype="straight" o:regroupid="127" strokeweight="4pt">
              <v:stroke dashstyle="1 1"/>
            </v:shape>
            <v:shape id="_x0000_s74146" type="#_x0000_t32" style="position:absolute;left:10288;top:4128;width:894;height:0;flip:x" o:connectortype="straight" o:regroupid="127" strokeweight="4pt">
              <v:stroke dashstyle="1 1" endarrow="block" endarrowwidth="narrow" endarrowlength="short"/>
            </v:shape>
            <v:shape id="_x0000_s74149" type="#_x0000_t32" style="position:absolute;left:10148;top:7848;width:2073;height:0;flip:x" o:connectortype="straight" o:regroupid="127" strokeweight="4pt">
              <v:stroke dashstyle="1 1" endarrow="block" endarrowwidth="narrow" endarrowlength="short"/>
            </v:shape>
            <v:shape id="_x0000_s74127" type="#_x0000_t32" style="position:absolute;left:10150;top:7438;width:670;height:1" o:connectortype="straight" o:regroupid="127" strokeweight="4pt"/>
            <v:shape id="_x0000_s74129" type="#_x0000_t32" style="position:absolute;left:10288;top:3952;width:532;height:0" o:connectortype="straight" o:regroupid="127" strokeweight="4pt"/>
            <v:shape id="_x0000_s74023" type="#_x0000_t32" style="position:absolute;left:10287;top:3828;width:1934;height:0" o:connectortype="straight" o:regroupid="127" strokecolor="black [3213]" strokeweight="4pt">
              <v:stroke startarrowwidth="narrow" startarrowlength="short" endarrow="block" endarrowwidth="narrow" endarrowlength="short"/>
            </v:shape>
            <v:rect id="_x0000_s74059" style="position:absolute;left:5795;top:8472;width:1804;height:450" o:regroupid="127" fillcolor="#bfbfbf [2412]" strokecolor="white [3212]">
              <v:textbox style="mso-next-textbox:#_x0000_s74059">
                <w:txbxContent>
                  <w:p w:rsidR="00BE5795" w:rsidRPr="0076170F" w:rsidRDefault="00BE5795" w:rsidP="001F04DE">
                    <w:pPr>
                      <w:jc w:val="center"/>
                      <w:rPr>
                        <w:b/>
                        <w:sz w:val="22"/>
                        <w:szCs w:val="22"/>
                        <w:lang w:val="lt-LT"/>
                      </w:rPr>
                    </w:pPr>
                    <w:r w:rsidRPr="0076170F">
                      <w:rPr>
                        <w:b/>
                        <w:sz w:val="22"/>
                        <w:szCs w:val="22"/>
                        <w:lang w:val="lt-LT"/>
                      </w:rPr>
                      <w:t>Atrankos rizika</w:t>
                    </w:r>
                  </w:p>
                </w:txbxContent>
              </v:textbox>
            </v:rect>
            <v:rect id="_x0000_s74060" style="position:absolute;left:5807;top:7848;width:1792;height:624" o:regroupid="127" fillcolor="#bfbfbf [2412]" strokecolor="white [3212]">
              <v:textbox style="mso-next-textbox:#_x0000_s74060">
                <w:txbxContent>
                  <w:p w:rsidR="00BE5795" w:rsidRPr="007B5A44" w:rsidRDefault="00BE5795" w:rsidP="003E5F7B">
                    <w:pPr>
                      <w:ind w:right="-123"/>
                      <w:jc w:val="center"/>
                      <w:rPr>
                        <w:b/>
                        <w:sz w:val="22"/>
                        <w:szCs w:val="22"/>
                        <w:lang w:val="lt-LT"/>
                      </w:rPr>
                    </w:pPr>
                    <w:r w:rsidRPr="007B5A44">
                      <w:rPr>
                        <w:b/>
                        <w:sz w:val="22"/>
                        <w:szCs w:val="22"/>
                        <w:lang w:val="lt-LT"/>
                      </w:rPr>
                      <w:t>Audito procedūrų rizika</w:t>
                    </w:r>
                  </w:p>
                </w:txbxContent>
              </v:textbox>
            </v:rect>
            <v:rect id="_x0000_s74094" style="position:absolute;left:5795;top:8922;width:1804;height:503" o:regroupid="127" fillcolor="#bfbfbf [2412]" strokecolor="white [3212]">
              <v:textbox style="mso-next-textbox:#_x0000_s74094">
                <w:txbxContent>
                  <w:p w:rsidR="00BE5795" w:rsidRPr="0076170F" w:rsidRDefault="00BE5795" w:rsidP="0094636B">
                    <w:pPr>
                      <w:jc w:val="center"/>
                      <w:rPr>
                        <w:b/>
                        <w:sz w:val="22"/>
                        <w:szCs w:val="22"/>
                        <w:lang w:val="lt-LT"/>
                      </w:rPr>
                    </w:pPr>
                    <w:r w:rsidRPr="0076170F">
                      <w:rPr>
                        <w:b/>
                        <w:sz w:val="22"/>
                        <w:szCs w:val="22"/>
                        <w:lang w:val="lt-LT"/>
                      </w:rPr>
                      <w:t>Profesinė rizika</w:t>
                    </w:r>
                  </w:p>
                </w:txbxContent>
              </v:textbox>
            </v:rect>
            <v:shape id="_x0000_s74416" type="#_x0000_t32" style="position:absolute;left:2351;top:7500;width:156;height:0" o:connectortype="straight" o:regroupid="127" strokecolor="#bfbfbf [2412]" strokeweight="4pt">
              <v:stroke dashstyle="1 1" endarrow="block" endarrowwidth="narrow" endarrowlength="short"/>
            </v:shape>
            <v:rect id="_x0000_s73968" style="position:absolute;left:5260;top:1517;width:5028;height:8006" o:regroupid="127" filled="f" strokecolor="#bfbfbf [2412]" strokeweight="1.5pt">
              <v:stroke dashstyle="dash"/>
              <v:textbox style="mso-next-textbox:#_x0000_s73968">
                <w:txbxContent>
                  <w:p w:rsidR="00BE5795" w:rsidRPr="00AB02CE" w:rsidRDefault="00BE5795" w:rsidP="00225AB9">
                    <w:pPr>
                      <w:spacing w:line="240" w:lineRule="exact"/>
                      <w:jc w:val="center"/>
                      <w:rPr>
                        <w:b/>
                        <w:sz w:val="24"/>
                        <w:szCs w:val="24"/>
                        <w:lang w:val="lt-LT"/>
                      </w:rPr>
                    </w:pPr>
                    <w:r w:rsidRPr="00AB02CE">
                      <w:rPr>
                        <w:b/>
                        <w:sz w:val="24"/>
                        <w:szCs w:val="24"/>
                        <w:lang w:val="lt-LT"/>
                      </w:rPr>
                      <w:t>KOMPONENTAI</w:t>
                    </w:r>
                  </w:p>
                </w:txbxContent>
              </v:textbox>
            </v:rect>
            <v:rect id="_x0000_s73970" style="position:absolute;left:9532;top:8549;width:2034;height:512" o:regroupid="127" fillcolor="white [3212]" strokecolor="black [3213]" strokeweight="4pt">
              <v:stroke linestyle="thinThick"/>
              <v:textbox style="mso-next-textbox:#_x0000_s73970">
                <w:txbxContent>
                  <w:p w:rsidR="00BE5795" w:rsidRPr="007B5A44" w:rsidRDefault="00BE5795" w:rsidP="001A099D">
                    <w:pPr>
                      <w:spacing w:before="60"/>
                      <w:ind w:right="-170"/>
                      <w:jc w:val="center"/>
                      <w:rPr>
                        <w:b/>
                        <w:caps/>
                        <w:sz w:val="22"/>
                        <w:szCs w:val="22"/>
                        <w:lang w:val="lt-LT"/>
                      </w:rPr>
                    </w:pPr>
                    <w:r w:rsidRPr="007B5A44">
                      <w:rPr>
                        <w:b/>
                        <w:caps/>
                        <w:sz w:val="22"/>
                        <w:szCs w:val="22"/>
                        <w:lang w:val="lt-LT"/>
                      </w:rPr>
                      <w:t>Audito rizika</w:t>
                    </w:r>
                  </w:p>
                </w:txbxContent>
              </v:textbox>
            </v:rect>
          </v:group>
        </w:pict>
      </w:r>
    </w:p>
    <w:p w:rsidR="001F04DE" w:rsidRDefault="001F04DE" w:rsidP="004D51F0">
      <w:pPr>
        <w:pStyle w:val="ListParagraph"/>
        <w:tabs>
          <w:tab w:val="left" w:pos="1134"/>
          <w:tab w:val="left" w:pos="4395"/>
          <w:tab w:val="left" w:pos="5954"/>
          <w:tab w:val="left" w:pos="6237"/>
          <w:tab w:val="left" w:pos="6379"/>
          <w:tab w:val="left" w:pos="6804"/>
        </w:tabs>
        <w:spacing w:line="360" w:lineRule="auto"/>
        <w:ind w:left="0"/>
        <w:rPr>
          <w:sz w:val="24"/>
          <w:lang w:val="lt-LT"/>
        </w:rPr>
      </w:pPr>
    </w:p>
    <w:p w:rsidR="001F04DE" w:rsidRDefault="001F04DE" w:rsidP="004D51F0">
      <w:pPr>
        <w:pStyle w:val="ListParagraph"/>
        <w:tabs>
          <w:tab w:val="left" w:pos="1134"/>
        </w:tabs>
        <w:spacing w:line="360" w:lineRule="auto"/>
        <w:ind w:left="0"/>
        <w:jc w:val="both"/>
        <w:rPr>
          <w:sz w:val="24"/>
          <w:lang w:val="lt-LT"/>
        </w:rPr>
      </w:pPr>
    </w:p>
    <w:p w:rsidR="001F04DE" w:rsidRDefault="001F04DE" w:rsidP="001F04DE">
      <w:pPr>
        <w:pStyle w:val="ListParagraph"/>
        <w:tabs>
          <w:tab w:val="left" w:pos="1134"/>
        </w:tabs>
        <w:spacing w:line="360" w:lineRule="auto"/>
        <w:jc w:val="both"/>
        <w:rPr>
          <w:sz w:val="24"/>
          <w:lang w:val="lt-LT"/>
        </w:rPr>
      </w:pPr>
    </w:p>
    <w:p w:rsidR="001F04DE" w:rsidRDefault="001F04DE" w:rsidP="001F04DE">
      <w:pPr>
        <w:pStyle w:val="ListParagraph"/>
        <w:tabs>
          <w:tab w:val="left" w:pos="1134"/>
          <w:tab w:val="left" w:pos="6237"/>
          <w:tab w:val="left" w:pos="6379"/>
        </w:tabs>
        <w:spacing w:line="360" w:lineRule="auto"/>
        <w:jc w:val="both"/>
        <w:rPr>
          <w:sz w:val="24"/>
          <w:lang w:val="lt-LT"/>
        </w:rPr>
      </w:pPr>
    </w:p>
    <w:p w:rsidR="001F04DE" w:rsidRDefault="001F04DE" w:rsidP="001F04DE">
      <w:pPr>
        <w:pStyle w:val="ListParagraph"/>
        <w:tabs>
          <w:tab w:val="left" w:pos="1134"/>
        </w:tabs>
        <w:spacing w:line="360" w:lineRule="auto"/>
        <w:jc w:val="both"/>
        <w:rPr>
          <w:sz w:val="24"/>
          <w:lang w:val="lt-LT"/>
        </w:rPr>
      </w:pPr>
    </w:p>
    <w:p w:rsidR="001F04DE" w:rsidRPr="00993F98" w:rsidRDefault="001F04DE" w:rsidP="001F04DE">
      <w:pPr>
        <w:pStyle w:val="ListParagraph"/>
        <w:tabs>
          <w:tab w:val="left" w:pos="1134"/>
        </w:tabs>
        <w:spacing w:line="360" w:lineRule="auto"/>
        <w:jc w:val="both"/>
        <w:rPr>
          <w:b/>
          <w:sz w:val="24"/>
          <w:lang w:val="lt-LT"/>
        </w:rPr>
      </w:pPr>
    </w:p>
    <w:p w:rsidR="001F04DE" w:rsidRPr="00993F98" w:rsidRDefault="001F04DE" w:rsidP="001F04DE">
      <w:pPr>
        <w:pStyle w:val="ListParagraph"/>
        <w:tabs>
          <w:tab w:val="left" w:pos="1134"/>
          <w:tab w:val="left" w:pos="4395"/>
        </w:tabs>
        <w:spacing w:line="360" w:lineRule="auto"/>
        <w:jc w:val="both"/>
        <w:rPr>
          <w:b/>
          <w:sz w:val="24"/>
          <w:lang w:val="lt-LT"/>
        </w:rPr>
      </w:pPr>
    </w:p>
    <w:p w:rsidR="001F04DE" w:rsidRDefault="001F04DE" w:rsidP="001F04DE">
      <w:pPr>
        <w:pStyle w:val="ListParagraph"/>
        <w:tabs>
          <w:tab w:val="left" w:pos="1134"/>
          <w:tab w:val="left" w:pos="6237"/>
          <w:tab w:val="left" w:pos="6379"/>
        </w:tabs>
        <w:spacing w:line="360" w:lineRule="auto"/>
        <w:jc w:val="both"/>
        <w:rPr>
          <w:sz w:val="24"/>
          <w:lang w:val="lt-LT"/>
        </w:rPr>
      </w:pPr>
    </w:p>
    <w:p w:rsidR="001F04DE" w:rsidRDefault="001F04DE" w:rsidP="001F04DE">
      <w:pPr>
        <w:pStyle w:val="ListParagraph"/>
        <w:tabs>
          <w:tab w:val="left" w:pos="1134"/>
          <w:tab w:val="left" w:pos="4253"/>
          <w:tab w:val="left" w:pos="4395"/>
        </w:tabs>
        <w:spacing w:line="360" w:lineRule="auto"/>
        <w:jc w:val="both"/>
        <w:rPr>
          <w:sz w:val="24"/>
          <w:lang w:val="lt-LT"/>
        </w:rPr>
      </w:pPr>
    </w:p>
    <w:p w:rsidR="001F04DE" w:rsidRDefault="001F04DE" w:rsidP="001F04DE">
      <w:pPr>
        <w:pStyle w:val="ListParagraph"/>
        <w:tabs>
          <w:tab w:val="left" w:pos="1134"/>
          <w:tab w:val="left" w:pos="6237"/>
          <w:tab w:val="left" w:pos="6379"/>
        </w:tabs>
        <w:spacing w:line="360" w:lineRule="auto"/>
        <w:jc w:val="both"/>
        <w:rPr>
          <w:sz w:val="24"/>
          <w:lang w:val="lt-LT"/>
        </w:rPr>
      </w:pPr>
    </w:p>
    <w:p w:rsidR="001F04DE" w:rsidRDefault="001F04DE" w:rsidP="001F04DE">
      <w:pPr>
        <w:pStyle w:val="ListParagraph"/>
        <w:tabs>
          <w:tab w:val="left" w:pos="1134"/>
        </w:tabs>
        <w:spacing w:line="360" w:lineRule="auto"/>
        <w:jc w:val="both"/>
        <w:rPr>
          <w:sz w:val="24"/>
          <w:lang w:val="lt-LT"/>
        </w:rPr>
      </w:pPr>
    </w:p>
    <w:p w:rsidR="001F04DE" w:rsidRDefault="001F04DE" w:rsidP="001F04DE">
      <w:pPr>
        <w:pStyle w:val="ListParagraph"/>
        <w:tabs>
          <w:tab w:val="left" w:pos="1134"/>
        </w:tabs>
        <w:spacing w:line="360" w:lineRule="auto"/>
        <w:jc w:val="both"/>
        <w:rPr>
          <w:sz w:val="24"/>
          <w:lang w:val="lt-LT"/>
        </w:rPr>
      </w:pPr>
    </w:p>
    <w:p w:rsidR="001F04DE" w:rsidRDefault="001F04DE" w:rsidP="001F04DE">
      <w:pPr>
        <w:pStyle w:val="ListParagraph"/>
        <w:tabs>
          <w:tab w:val="left" w:pos="1134"/>
        </w:tabs>
        <w:spacing w:line="360" w:lineRule="auto"/>
        <w:jc w:val="both"/>
        <w:rPr>
          <w:sz w:val="24"/>
          <w:lang w:val="lt-LT"/>
        </w:rPr>
      </w:pPr>
    </w:p>
    <w:p w:rsidR="001F04DE" w:rsidRDefault="001F04DE" w:rsidP="001F04DE">
      <w:pPr>
        <w:pStyle w:val="ListParagraph"/>
        <w:tabs>
          <w:tab w:val="left" w:pos="1134"/>
          <w:tab w:val="left" w:pos="4395"/>
          <w:tab w:val="left" w:pos="6237"/>
          <w:tab w:val="left" w:pos="6379"/>
        </w:tabs>
        <w:spacing w:line="360" w:lineRule="auto"/>
        <w:jc w:val="both"/>
        <w:rPr>
          <w:sz w:val="24"/>
          <w:lang w:val="lt-LT"/>
        </w:rPr>
      </w:pPr>
    </w:p>
    <w:p w:rsidR="001F04DE" w:rsidRDefault="001F04DE" w:rsidP="001F04DE">
      <w:pPr>
        <w:pStyle w:val="ListParagraph"/>
        <w:tabs>
          <w:tab w:val="left" w:pos="1134"/>
        </w:tabs>
        <w:spacing w:line="360" w:lineRule="auto"/>
        <w:jc w:val="both"/>
        <w:rPr>
          <w:sz w:val="24"/>
          <w:lang w:val="lt-LT"/>
        </w:rPr>
      </w:pPr>
    </w:p>
    <w:p w:rsidR="001F04DE" w:rsidRDefault="001F04DE" w:rsidP="001F04DE">
      <w:pPr>
        <w:pStyle w:val="ListParagraph"/>
        <w:tabs>
          <w:tab w:val="left" w:pos="1134"/>
        </w:tabs>
        <w:spacing w:line="360" w:lineRule="auto"/>
        <w:jc w:val="both"/>
        <w:rPr>
          <w:sz w:val="24"/>
          <w:lang w:val="lt-LT"/>
        </w:rPr>
      </w:pPr>
    </w:p>
    <w:p w:rsidR="001F04DE" w:rsidRDefault="001F04DE" w:rsidP="001F04DE">
      <w:pPr>
        <w:pStyle w:val="ListParagraph"/>
        <w:tabs>
          <w:tab w:val="left" w:pos="1134"/>
        </w:tabs>
        <w:spacing w:line="360" w:lineRule="auto"/>
        <w:jc w:val="both"/>
        <w:rPr>
          <w:sz w:val="24"/>
          <w:lang w:val="lt-LT"/>
        </w:rPr>
      </w:pPr>
    </w:p>
    <w:p w:rsidR="001F04DE" w:rsidRDefault="001F04DE" w:rsidP="001F04DE">
      <w:pPr>
        <w:pStyle w:val="ListParagraph"/>
        <w:tabs>
          <w:tab w:val="left" w:pos="1134"/>
          <w:tab w:val="left" w:pos="4395"/>
        </w:tabs>
        <w:spacing w:line="360" w:lineRule="auto"/>
        <w:jc w:val="both"/>
        <w:rPr>
          <w:sz w:val="24"/>
          <w:lang w:val="lt-LT"/>
        </w:rPr>
      </w:pPr>
    </w:p>
    <w:p w:rsidR="001F04DE" w:rsidRDefault="00166819" w:rsidP="001F04DE">
      <w:pPr>
        <w:pStyle w:val="ListParagraph"/>
        <w:tabs>
          <w:tab w:val="left" w:pos="1134"/>
        </w:tabs>
        <w:spacing w:line="360" w:lineRule="auto"/>
        <w:jc w:val="both"/>
        <w:rPr>
          <w:sz w:val="24"/>
          <w:lang w:val="lt-LT"/>
        </w:rPr>
      </w:pPr>
      <w:r>
        <w:rPr>
          <w:noProof/>
          <w:sz w:val="24"/>
          <w:lang w:val="lt-LT"/>
        </w:rPr>
        <w:pict>
          <v:rect id="_x0000_s73967" style="position:absolute;left:0;text-align:left;margin-left:133.1pt;margin-top:4.3pt;width:372.55pt;height:23.75pt;z-index:254687232" o:regroupid="127" filled="f" stroked="f">
            <v:textbox style="mso-next-textbox:#_x0000_s73967">
              <w:txbxContent>
                <w:p w:rsidR="00BE5795" w:rsidRPr="007B5A44" w:rsidRDefault="00BE5795" w:rsidP="00800354">
                  <w:pPr>
                    <w:pStyle w:val="ListParagraph"/>
                    <w:tabs>
                      <w:tab w:val="left" w:pos="1134"/>
                    </w:tabs>
                    <w:jc w:val="center"/>
                    <w:rPr>
                      <w:b/>
                      <w:sz w:val="26"/>
                      <w:szCs w:val="26"/>
                      <w:lang w:val="lt-LT"/>
                    </w:rPr>
                  </w:pPr>
                  <w:r w:rsidRPr="007B5A44">
                    <w:rPr>
                      <w:b/>
                      <w:sz w:val="26"/>
                      <w:szCs w:val="26"/>
                      <w:lang w:val="lt-LT"/>
                    </w:rPr>
                    <w:t>19 pav. Audito rizikos vertinimo modelio struktūrograma</w:t>
                  </w:r>
                </w:p>
              </w:txbxContent>
            </v:textbox>
          </v:rect>
        </w:pict>
      </w:r>
    </w:p>
    <w:p w:rsidR="001F04DE" w:rsidRDefault="00166819" w:rsidP="001F04DE">
      <w:pPr>
        <w:pStyle w:val="ListParagraph"/>
        <w:tabs>
          <w:tab w:val="left" w:pos="1134"/>
        </w:tabs>
        <w:spacing w:line="360" w:lineRule="auto"/>
        <w:jc w:val="both"/>
        <w:rPr>
          <w:sz w:val="24"/>
          <w:lang w:val="lt-LT"/>
        </w:rPr>
      </w:pPr>
      <w:r>
        <w:rPr>
          <w:noProof/>
          <w:sz w:val="24"/>
          <w:lang w:val="lt-LT"/>
        </w:rPr>
        <w:pict>
          <v:shape id="_x0000_s74573" type="#_x0000_t202" style="position:absolute;left:0;text-align:left;margin-left:315.1pt;margin-top:2.1pt;width:57.75pt;height:23.25pt;z-index:254782464" filled="f" stroked="f">
            <v:textbox>
              <w:txbxContent>
                <w:p w:rsidR="00BE5795" w:rsidRDefault="00BE5795" w:rsidP="00AF4553">
                  <w:pPr>
                    <w:jc w:val="center"/>
                  </w:pPr>
                  <w:r>
                    <w:t>113</w:t>
                  </w:r>
                </w:p>
              </w:txbxContent>
            </v:textbox>
          </v:shape>
        </w:pict>
      </w:r>
    </w:p>
    <w:p w:rsidR="001F04DE" w:rsidRPr="00B97E99" w:rsidRDefault="001F04DE" w:rsidP="00B97E99">
      <w:pPr>
        <w:tabs>
          <w:tab w:val="left" w:pos="1134"/>
        </w:tabs>
        <w:spacing w:line="360" w:lineRule="auto"/>
        <w:jc w:val="both"/>
        <w:rPr>
          <w:sz w:val="24"/>
          <w:lang w:val="lt-LT"/>
        </w:rPr>
        <w:sectPr w:rsidR="001F04DE" w:rsidRPr="00B97E99" w:rsidSect="00B97E99">
          <w:pgSz w:w="16838" w:h="11906" w:orient="landscape" w:code="9"/>
          <w:pgMar w:top="1474" w:right="1814" w:bottom="1474" w:left="1814" w:header="1134" w:footer="1134" w:gutter="0"/>
          <w:cols w:space="1296"/>
          <w:titlePg/>
        </w:sectPr>
      </w:pPr>
    </w:p>
    <w:p w:rsidR="0094394E" w:rsidRPr="003E5F7B" w:rsidRDefault="0094394E" w:rsidP="0094394E">
      <w:pPr>
        <w:pStyle w:val="ListParagraph"/>
        <w:tabs>
          <w:tab w:val="left" w:pos="1134"/>
        </w:tabs>
        <w:spacing w:line="360" w:lineRule="auto"/>
        <w:ind w:left="0" w:firstLine="720"/>
        <w:jc w:val="both"/>
        <w:rPr>
          <w:sz w:val="26"/>
          <w:szCs w:val="26"/>
          <w:lang w:val="lt-LT"/>
        </w:rPr>
      </w:pPr>
      <w:r>
        <w:rPr>
          <w:sz w:val="26"/>
          <w:szCs w:val="26"/>
          <w:lang w:val="lt-LT"/>
        </w:rPr>
        <w:lastRenderedPageBreak/>
        <w:t xml:space="preserve">Darbo autorės </w:t>
      </w:r>
      <w:r w:rsidRPr="006F723D">
        <w:rPr>
          <w:i/>
          <w:sz w:val="26"/>
          <w:szCs w:val="26"/>
          <w:lang w:val="lt-LT"/>
        </w:rPr>
        <w:t xml:space="preserve">išskirtos </w:t>
      </w:r>
      <w:r w:rsidR="006F723D" w:rsidRPr="006F723D">
        <w:rPr>
          <w:i/>
          <w:sz w:val="26"/>
          <w:szCs w:val="26"/>
          <w:lang w:val="lt-LT"/>
        </w:rPr>
        <w:t xml:space="preserve">ir susistemintos </w:t>
      </w:r>
      <w:r w:rsidRPr="006F723D">
        <w:rPr>
          <w:i/>
          <w:sz w:val="26"/>
          <w:szCs w:val="26"/>
          <w:lang w:val="lt-LT"/>
        </w:rPr>
        <w:t>reikšmingiausios audito rizikos sąlygos</w:t>
      </w:r>
      <w:r w:rsidRPr="003E5F7B">
        <w:rPr>
          <w:sz w:val="26"/>
          <w:szCs w:val="26"/>
          <w:lang w:val="lt-LT"/>
        </w:rPr>
        <w:t>:</w:t>
      </w:r>
    </w:p>
    <w:p w:rsidR="0094394E" w:rsidRPr="003E5F7B" w:rsidRDefault="0094394E" w:rsidP="0094394E">
      <w:pPr>
        <w:pStyle w:val="ListParagraph"/>
        <w:numPr>
          <w:ilvl w:val="0"/>
          <w:numId w:val="20"/>
        </w:numPr>
        <w:tabs>
          <w:tab w:val="left" w:pos="709"/>
          <w:tab w:val="left" w:pos="1134"/>
        </w:tabs>
        <w:spacing w:line="360" w:lineRule="auto"/>
        <w:ind w:left="1134" w:hanging="425"/>
        <w:jc w:val="both"/>
        <w:rPr>
          <w:sz w:val="26"/>
          <w:szCs w:val="26"/>
          <w:lang w:val="lt-LT"/>
        </w:rPr>
      </w:pPr>
      <w:r w:rsidRPr="003E5F7B">
        <w:rPr>
          <w:i/>
          <w:sz w:val="26"/>
          <w:szCs w:val="26"/>
          <w:lang w:val="lt-LT"/>
        </w:rPr>
        <w:t>audituojamos įmonės išorė</w:t>
      </w:r>
      <w:r>
        <w:rPr>
          <w:i/>
          <w:sz w:val="26"/>
          <w:szCs w:val="26"/>
          <w:lang w:val="lt-LT"/>
        </w:rPr>
        <w:t>s</w:t>
      </w:r>
      <w:r w:rsidRPr="003E5F7B">
        <w:rPr>
          <w:i/>
          <w:sz w:val="26"/>
          <w:szCs w:val="26"/>
          <w:lang w:val="lt-LT"/>
        </w:rPr>
        <w:t xml:space="preserve"> aplinka</w:t>
      </w:r>
      <w:r w:rsidRPr="003E5F7B">
        <w:rPr>
          <w:sz w:val="26"/>
          <w:szCs w:val="26"/>
          <w:lang w:val="lt-LT"/>
        </w:rPr>
        <w:t>, t. y. ekonominės-politinės, reguliavimo, konkurencinės sąlygos, kurios egzistuoja nep</w:t>
      </w:r>
      <w:r w:rsidR="00225AB9">
        <w:rPr>
          <w:sz w:val="26"/>
          <w:szCs w:val="26"/>
          <w:lang w:val="lt-LT"/>
        </w:rPr>
        <w:t xml:space="preserve">riklausomai nuo </w:t>
      </w:r>
      <w:r w:rsidR="00823C9A" w:rsidRPr="003E5F7B">
        <w:rPr>
          <w:sz w:val="26"/>
          <w:szCs w:val="26"/>
          <w:lang w:val="lt-LT"/>
        </w:rPr>
        <w:t>audituojamos</w:t>
      </w:r>
      <w:r w:rsidR="00823C9A">
        <w:rPr>
          <w:sz w:val="26"/>
          <w:szCs w:val="26"/>
          <w:lang w:val="lt-LT"/>
        </w:rPr>
        <w:t xml:space="preserve"> </w:t>
      </w:r>
      <w:r w:rsidR="00225AB9">
        <w:rPr>
          <w:sz w:val="26"/>
          <w:szCs w:val="26"/>
          <w:lang w:val="lt-LT"/>
        </w:rPr>
        <w:t>įmonės</w:t>
      </w:r>
      <w:r w:rsidR="00823C9A">
        <w:rPr>
          <w:sz w:val="26"/>
          <w:szCs w:val="26"/>
          <w:lang w:val="lt-LT"/>
        </w:rPr>
        <w:t>, o</w:t>
      </w:r>
      <w:r w:rsidR="00225AB9">
        <w:rPr>
          <w:sz w:val="26"/>
          <w:szCs w:val="26"/>
          <w:lang w:val="lt-LT"/>
        </w:rPr>
        <w:t xml:space="preserve"> </w:t>
      </w:r>
      <w:r w:rsidRPr="003E5F7B">
        <w:rPr>
          <w:sz w:val="26"/>
          <w:szCs w:val="26"/>
          <w:lang w:val="lt-LT"/>
        </w:rPr>
        <w:t xml:space="preserve">jų pokyčiai gali nevaldomai (ypač trumpu laikotarpiu) paveikti </w:t>
      </w:r>
      <w:r w:rsidR="00823C9A">
        <w:rPr>
          <w:sz w:val="26"/>
          <w:szCs w:val="26"/>
          <w:lang w:val="lt-LT"/>
        </w:rPr>
        <w:t>šios</w:t>
      </w:r>
      <w:r w:rsidR="00823C9A" w:rsidRPr="003E5F7B">
        <w:rPr>
          <w:sz w:val="26"/>
          <w:szCs w:val="26"/>
          <w:lang w:val="lt-LT"/>
        </w:rPr>
        <w:t xml:space="preserve"> </w:t>
      </w:r>
      <w:r w:rsidRPr="003E5F7B">
        <w:rPr>
          <w:sz w:val="26"/>
          <w:szCs w:val="26"/>
          <w:lang w:val="lt-LT"/>
        </w:rPr>
        <w:t>įmonės veiklą;</w:t>
      </w:r>
    </w:p>
    <w:p w:rsidR="0094394E" w:rsidRPr="003E5F7B" w:rsidRDefault="0094394E" w:rsidP="0094394E">
      <w:pPr>
        <w:pStyle w:val="ListParagraph"/>
        <w:numPr>
          <w:ilvl w:val="0"/>
          <w:numId w:val="20"/>
        </w:numPr>
        <w:tabs>
          <w:tab w:val="left" w:pos="709"/>
          <w:tab w:val="left" w:pos="1134"/>
        </w:tabs>
        <w:spacing w:line="360" w:lineRule="auto"/>
        <w:ind w:left="1134" w:hanging="425"/>
        <w:jc w:val="both"/>
        <w:rPr>
          <w:sz w:val="26"/>
          <w:szCs w:val="26"/>
          <w:lang w:val="lt-LT"/>
        </w:rPr>
      </w:pPr>
      <w:r w:rsidRPr="003E5F7B">
        <w:rPr>
          <w:i/>
          <w:sz w:val="26"/>
          <w:szCs w:val="26"/>
          <w:lang w:val="lt-LT"/>
        </w:rPr>
        <w:t>audituojamos įmonės vid</w:t>
      </w:r>
      <w:r>
        <w:rPr>
          <w:i/>
          <w:sz w:val="26"/>
          <w:szCs w:val="26"/>
          <w:lang w:val="lt-LT"/>
        </w:rPr>
        <w:t>aus</w:t>
      </w:r>
      <w:r w:rsidRPr="003E5F7B">
        <w:rPr>
          <w:i/>
          <w:sz w:val="26"/>
          <w:szCs w:val="26"/>
          <w:lang w:val="lt-LT"/>
        </w:rPr>
        <w:t xml:space="preserve"> aplinka, </w:t>
      </w:r>
      <w:r w:rsidRPr="003E5F7B">
        <w:rPr>
          <w:sz w:val="26"/>
          <w:szCs w:val="26"/>
          <w:lang w:val="lt-LT"/>
        </w:rPr>
        <w:t xml:space="preserve">t. y. strateginės, valdymo ir vidaus kontrolės, veiklos ir apskaitos sąlygos, kurios gali būti nesunkiai </w:t>
      </w:r>
      <w:r w:rsidR="00823C9A" w:rsidRPr="003E5F7B">
        <w:rPr>
          <w:sz w:val="26"/>
          <w:szCs w:val="26"/>
          <w:lang w:val="lt-LT"/>
        </w:rPr>
        <w:t xml:space="preserve">kontroliuojamos </w:t>
      </w:r>
      <w:r w:rsidRPr="003E5F7B">
        <w:rPr>
          <w:sz w:val="26"/>
          <w:szCs w:val="26"/>
          <w:lang w:val="lt-LT"/>
        </w:rPr>
        <w:t xml:space="preserve">audituojamos įmonės vadovybės, atsižvelgiant į </w:t>
      </w:r>
      <w:r w:rsidR="00823C9A">
        <w:rPr>
          <w:sz w:val="26"/>
          <w:szCs w:val="26"/>
          <w:lang w:val="lt-LT"/>
        </w:rPr>
        <w:t>užsibrėžtus</w:t>
      </w:r>
      <w:r w:rsidRPr="003E5F7B">
        <w:rPr>
          <w:sz w:val="26"/>
          <w:szCs w:val="26"/>
          <w:lang w:val="lt-LT"/>
        </w:rPr>
        <w:t xml:space="preserve"> tikslus ar pasikeitusias išorės aplinkos sąlygas;</w:t>
      </w:r>
    </w:p>
    <w:p w:rsidR="0094394E" w:rsidRPr="003E5F7B" w:rsidRDefault="0094394E" w:rsidP="0094394E">
      <w:pPr>
        <w:pStyle w:val="ListParagraph"/>
        <w:numPr>
          <w:ilvl w:val="0"/>
          <w:numId w:val="20"/>
        </w:numPr>
        <w:tabs>
          <w:tab w:val="left" w:pos="709"/>
          <w:tab w:val="left" w:pos="1134"/>
        </w:tabs>
        <w:spacing w:line="360" w:lineRule="auto"/>
        <w:ind w:left="1134" w:hanging="425"/>
        <w:jc w:val="both"/>
        <w:rPr>
          <w:sz w:val="26"/>
          <w:szCs w:val="26"/>
          <w:lang w:val="lt-LT"/>
        </w:rPr>
      </w:pPr>
      <w:r w:rsidRPr="003E5F7B">
        <w:rPr>
          <w:i/>
          <w:sz w:val="26"/>
          <w:szCs w:val="26"/>
          <w:lang w:val="lt-LT"/>
        </w:rPr>
        <w:t>audito įmonės sąlygos</w:t>
      </w:r>
      <w:r w:rsidRPr="003E5F7B">
        <w:rPr>
          <w:sz w:val="26"/>
          <w:szCs w:val="26"/>
          <w:lang w:val="lt-LT"/>
        </w:rPr>
        <w:t xml:space="preserve"> (audito sąlygos), t. y. audito koncepcijos, audito veiksmai ir auditoriaus savybės, apsprendžiančios audito kaip paslaugos naudingumą bei konkretaus audito atlikimą.</w:t>
      </w:r>
    </w:p>
    <w:p w:rsidR="006A00BE" w:rsidRDefault="00166819" w:rsidP="00E86550">
      <w:pPr>
        <w:tabs>
          <w:tab w:val="left" w:pos="709"/>
        </w:tabs>
        <w:spacing w:line="360" w:lineRule="auto"/>
        <w:jc w:val="both"/>
        <w:rPr>
          <w:sz w:val="26"/>
          <w:szCs w:val="26"/>
          <w:lang w:val="lt-LT"/>
        </w:rPr>
      </w:pPr>
      <w:r>
        <w:rPr>
          <w:noProof/>
          <w:sz w:val="26"/>
          <w:szCs w:val="26"/>
          <w:lang w:val="lt-LT"/>
        </w:rPr>
        <w:pict>
          <v:shape id="_x0000_s74574" type="#_x0000_t202" style="position:absolute;left:0;text-align:left;margin-left:172.55pt;margin-top:353.6pt;width:54pt;height:28.5pt;z-index:254783488" filled="f" strokecolor="white [3212]">
            <v:textbox>
              <w:txbxContent>
                <w:p w:rsidR="00BE5795" w:rsidRDefault="00BE5795" w:rsidP="00AF4553">
                  <w:pPr>
                    <w:jc w:val="center"/>
                  </w:pPr>
                  <w:r>
                    <w:t>114</w:t>
                  </w:r>
                </w:p>
              </w:txbxContent>
            </v:textbox>
          </v:shape>
        </w:pict>
      </w:r>
      <w:r w:rsidR="0094394E" w:rsidRPr="003E5F7B">
        <w:rPr>
          <w:sz w:val="26"/>
          <w:szCs w:val="26"/>
          <w:lang w:val="lt-LT"/>
        </w:rPr>
        <w:tab/>
      </w:r>
      <w:r w:rsidR="00246A1D">
        <w:rPr>
          <w:sz w:val="26"/>
          <w:szCs w:val="26"/>
          <w:lang w:val="lt-LT"/>
        </w:rPr>
        <w:tab/>
      </w:r>
      <w:r w:rsidR="00D03E45" w:rsidRPr="003E5F7B">
        <w:rPr>
          <w:sz w:val="26"/>
          <w:szCs w:val="26"/>
          <w:lang w:val="lt-LT"/>
        </w:rPr>
        <w:t xml:space="preserve">Svarbu </w:t>
      </w:r>
      <w:r w:rsidR="00E86550">
        <w:rPr>
          <w:sz w:val="26"/>
          <w:szCs w:val="26"/>
          <w:lang w:val="lt-LT"/>
        </w:rPr>
        <w:t xml:space="preserve">paminėti, </w:t>
      </w:r>
      <w:r w:rsidR="00D03E45" w:rsidRPr="003E5F7B">
        <w:rPr>
          <w:sz w:val="26"/>
          <w:szCs w:val="26"/>
          <w:lang w:val="lt-LT"/>
        </w:rPr>
        <w:t>kad</w:t>
      </w:r>
      <w:r w:rsidR="00BB5EB5" w:rsidRPr="003E5F7B">
        <w:rPr>
          <w:sz w:val="26"/>
          <w:szCs w:val="26"/>
          <w:lang w:val="lt-LT"/>
        </w:rPr>
        <w:t xml:space="preserve"> </w:t>
      </w:r>
      <w:r w:rsidR="00E00549" w:rsidRPr="003E5F7B">
        <w:rPr>
          <w:sz w:val="26"/>
          <w:szCs w:val="26"/>
          <w:lang w:val="lt-LT"/>
        </w:rPr>
        <w:t xml:space="preserve">bendras </w:t>
      </w:r>
      <w:r w:rsidR="00D77462" w:rsidRPr="003E5F7B">
        <w:rPr>
          <w:sz w:val="26"/>
          <w:szCs w:val="26"/>
          <w:lang w:val="lt-LT"/>
        </w:rPr>
        <w:t>audituojamos įmonės išorė</w:t>
      </w:r>
      <w:r w:rsidR="001322BF" w:rsidRPr="003E5F7B">
        <w:rPr>
          <w:sz w:val="26"/>
          <w:szCs w:val="26"/>
          <w:lang w:val="lt-LT"/>
        </w:rPr>
        <w:t xml:space="preserve">s ir </w:t>
      </w:r>
      <w:r w:rsidR="00D77462" w:rsidRPr="003E5F7B">
        <w:rPr>
          <w:sz w:val="26"/>
          <w:szCs w:val="26"/>
          <w:lang w:val="lt-LT"/>
        </w:rPr>
        <w:t>vid</w:t>
      </w:r>
      <w:r w:rsidR="00454D79">
        <w:rPr>
          <w:sz w:val="26"/>
          <w:szCs w:val="26"/>
          <w:lang w:val="lt-LT"/>
        </w:rPr>
        <w:t>aus</w:t>
      </w:r>
      <w:r w:rsidR="00D77462" w:rsidRPr="003E5F7B">
        <w:rPr>
          <w:sz w:val="26"/>
          <w:szCs w:val="26"/>
          <w:lang w:val="lt-LT"/>
        </w:rPr>
        <w:t xml:space="preserve"> aplinkos </w:t>
      </w:r>
      <w:r w:rsidR="00583934" w:rsidRPr="003E5F7B">
        <w:rPr>
          <w:sz w:val="26"/>
          <w:szCs w:val="26"/>
          <w:lang w:val="lt-LT"/>
        </w:rPr>
        <w:t>sąlygų</w:t>
      </w:r>
      <w:r w:rsidR="00102351" w:rsidRPr="003E5F7B">
        <w:rPr>
          <w:sz w:val="26"/>
          <w:szCs w:val="26"/>
          <w:lang w:val="lt-LT"/>
        </w:rPr>
        <w:t xml:space="preserve">, </w:t>
      </w:r>
      <w:r w:rsidR="002B0122" w:rsidRPr="003E5F7B">
        <w:rPr>
          <w:sz w:val="26"/>
          <w:szCs w:val="26"/>
          <w:lang w:val="lt-LT"/>
        </w:rPr>
        <w:t>svarbių finansinėms ataskaitoms</w:t>
      </w:r>
      <w:r w:rsidR="001322BF" w:rsidRPr="003E5F7B">
        <w:rPr>
          <w:sz w:val="26"/>
          <w:szCs w:val="26"/>
          <w:lang w:val="lt-LT"/>
        </w:rPr>
        <w:t>,</w:t>
      </w:r>
      <w:r w:rsidR="002B0122" w:rsidRPr="003E5F7B">
        <w:rPr>
          <w:sz w:val="26"/>
          <w:szCs w:val="26"/>
          <w:lang w:val="lt-LT"/>
        </w:rPr>
        <w:t xml:space="preserve"> </w:t>
      </w:r>
      <w:r w:rsidR="00583934" w:rsidRPr="003E5F7B">
        <w:rPr>
          <w:sz w:val="26"/>
          <w:szCs w:val="26"/>
          <w:lang w:val="lt-LT"/>
        </w:rPr>
        <w:t xml:space="preserve">išsiaiškinimas </w:t>
      </w:r>
      <w:r w:rsidR="005068F5" w:rsidRPr="003E5F7B">
        <w:rPr>
          <w:sz w:val="26"/>
          <w:szCs w:val="26"/>
          <w:lang w:val="lt-LT"/>
        </w:rPr>
        <w:t xml:space="preserve">ir </w:t>
      </w:r>
      <w:r w:rsidR="001A6B29" w:rsidRPr="003E5F7B">
        <w:rPr>
          <w:sz w:val="26"/>
          <w:szCs w:val="26"/>
          <w:lang w:val="lt-LT"/>
        </w:rPr>
        <w:t xml:space="preserve">jų </w:t>
      </w:r>
      <w:r w:rsidR="0094069A" w:rsidRPr="003E5F7B">
        <w:rPr>
          <w:sz w:val="26"/>
          <w:szCs w:val="26"/>
          <w:lang w:val="lt-LT"/>
        </w:rPr>
        <w:t xml:space="preserve">pasireiškimo tikimybės bei </w:t>
      </w:r>
      <w:r w:rsidR="001A6B29" w:rsidRPr="003E5F7B">
        <w:rPr>
          <w:sz w:val="26"/>
          <w:szCs w:val="26"/>
          <w:lang w:val="lt-LT"/>
        </w:rPr>
        <w:t>galimos įtakos vertinimas</w:t>
      </w:r>
      <w:r w:rsidR="005068F5" w:rsidRPr="003E5F7B">
        <w:rPr>
          <w:sz w:val="26"/>
          <w:szCs w:val="26"/>
          <w:lang w:val="lt-LT"/>
        </w:rPr>
        <w:t xml:space="preserve"> – yra svarbi auditoriaus užduotis</w:t>
      </w:r>
      <w:r w:rsidR="00216621" w:rsidRPr="003E5F7B">
        <w:rPr>
          <w:sz w:val="26"/>
          <w:szCs w:val="26"/>
          <w:lang w:val="lt-LT"/>
        </w:rPr>
        <w:t xml:space="preserve">, atliekama pirmajame audito </w:t>
      </w:r>
      <w:r w:rsidR="00D77462" w:rsidRPr="003E5F7B">
        <w:rPr>
          <w:sz w:val="26"/>
          <w:szCs w:val="26"/>
          <w:lang w:val="lt-LT"/>
        </w:rPr>
        <w:t>etape (susipažinimas su klientu)</w:t>
      </w:r>
      <w:r w:rsidR="002B0122" w:rsidRPr="003E5F7B">
        <w:rPr>
          <w:sz w:val="26"/>
          <w:szCs w:val="26"/>
          <w:lang w:val="lt-LT"/>
        </w:rPr>
        <w:t>, kai vertinama reikšmingo iškraipymo finansinių ataskaitų lygmeniu galimybė</w:t>
      </w:r>
      <w:r w:rsidR="00E00549" w:rsidRPr="003E5F7B">
        <w:rPr>
          <w:sz w:val="26"/>
          <w:szCs w:val="26"/>
          <w:lang w:val="lt-LT"/>
        </w:rPr>
        <w:t>. Tuo tarpu t</w:t>
      </w:r>
      <w:r w:rsidR="00065FF9" w:rsidRPr="003E5F7B">
        <w:rPr>
          <w:sz w:val="26"/>
          <w:szCs w:val="26"/>
          <w:lang w:val="lt-LT"/>
        </w:rPr>
        <w:t xml:space="preserve">olesniuose </w:t>
      </w:r>
      <w:r w:rsidR="001322BF" w:rsidRPr="003E5F7B">
        <w:rPr>
          <w:sz w:val="26"/>
          <w:szCs w:val="26"/>
          <w:lang w:val="lt-LT"/>
        </w:rPr>
        <w:t>audito etapuose</w:t>
      </w:r>
      <w:r w:rsidR="00065FF9" w:rsidRPr="003E5F7B">
        <w:rPr>
          <w:sz w:val="26"/>
          <w:szCs w:val="26"/>
          <w:lang w:val="lt-LT"/>
        </w:rPr>
        <w:t xml:space="preserve">, kai vertinama reikšmingo iškraipymo galimybė </w:t>
      </w:r>
      <w:r w:rsidR="0025194A" w:rsidRPr="003E5F7B">
        <w:rPr>
          <w:sz w:val="26"/>
          <w:szCs w:val="26"/>
          <w:lang w:val="lt-LT"/>
        </w:rPr>
        <w:t>tvirtinimo</w:t>
      </w:r>
      <w:r w:rsidR="00065FF9" w:rsidRPr="003E5F7B">
        <w:rPr>
          <w:sz w:val="26"/>
          <w:szCs w:val="26"/>
          <w:lang w:val="lt-LT"/>
        </w:rPr>
        <w:t xml:space="preserve"> lygmeniu</w:t>
      </w:r>
      <w:r w:rsidR="00E00549" w:rsidRPr="003E5F7B">
        <w:rPr>
          <w:sz w:val="26"/>
          <w:szCs w:val="26"/>
          <w:lang w:val="lt-LT"/>
        </w:rPr>
        <w:t xml:space="preserve">, tiriamas konkrečių </w:t>
      </w:r>
      <w:r w:rsidR="00357540" w:rsidRPr="003E5F7B">
        <w:rPr>
          <w:sz w:val="26"/>
          <w:szCs w:val="26"/>
          <w:lang w:val="lt-LT"/>
        </w:rPr>
        <w:t xml:space="preserve">audituojamos įmonės </w:t>
      </w:r>
      <w:r w:rsidR="00E00549" w:rsidRPr="003E5F7B">
        <w:rPr>
          <w:sz w:val="26"/>
          <w:szCs w:val="26"/>
          <w:lang w:val="lt-LT"/>
        </w:rPr>
        <w:t xml:space="preserve">sąlygų poveikis </w:t>
      </w:r>
      <w:r w:rsidR="00943338" w:rsidRPr="003E5F7B">
        <w:rPr>
          <w:sz w:val="26"/>
          <w:szCs w:val="26"/>
          <w:lang w:val="lt-LT"/>
        </w:rPr>
        <w:t xml:space="preserve">konkrečiam finansinių ataskaitų elementui ir/ar </w:t>
      </w:r>
      <w:r w:rsidR="00E00549" w:rsidRPr="003E5F7B">
        <w:rPr>
          <w:sz w:val="26"/>
          <w:szCs w:val="26"/>
          <w:lang w:val="lt-LT"/>
        </w:rPr>
        <w:t>tvirtinimui</w:t>
      </w:r>
      <w:r w:rsidR="000C5DE3" w:rsidRPr="003E5F7B">
        <w:rPr>
          <w:sz w:val="26"/>
          <w:szCs w:val="26"/>
          <w:lang w:val="lt-LT"/>
        </w:rPr>
        <w:t xml:space="preserve"> ir su tuo susijusi reikšmingo iškraipymo rizika</w:t>
      </w:r>
      <w:r w:rsidR="00D77462" w:rsidRPr="003E5F7B">
        <w:rPr>
          <w:sz w:val="26"/>
          <w:szCs w:val="26"/>
          <w:lang w:val="lt-LT"/>
        </w:rPr>
        <w:t>.</w:t>
      </w:r>
      <w:r w:rsidR="00943338" w:rsidRPr="003E5F7B">
        <w:rPr>
          <w:sz w:val="26"/>
          <w:szCs w:val="26"/>
          <w:lang w:val="lt-LT"/>
        </w:rPr>
        <w:t xml:space="preserve"> </w:t>
      </w:r>
      <w:r w:rsidR="00E86550">
        <w:rPr>
          <w:sz w:val="26"/>
          <w:szCs w:val="26"/>
          <w:lang w:val="lt-LT"/>
        </w:rPr>
        <w:t>Nustatyta</w:t>
      </w:r>
      <w:r w:rsidR="00E86550" w:rsidRPr="003E5F7B">
        <w:rPr>
          <w:sz w:val="26"/>
          <w:szCs w:val="26"/>
          <w:lang w:val="lt-LT"/>
        </w:rPr>
        <w:t xml:space="preserve">, kad </w:t>
      </w:r>
      <w:r w:rsidR="00E86550" w:rsidRPr="003E5F7B">
        <w:rPr>
          <w:i/>
          <w:sz w:val="26"/>
          <w:szCs w:val="26"/>
          <w:lang w:val="lt-LT"/>
        </w:rPr>
        <w:t>audituojamos įmonės aplinkos</w:t>
      </w:r>
      <w:r w:rsidR="00E86550" w:rsidRPr="003E5F7B">
        <w:rPr>
          <w:sz w:val="26"/>
          <w:szCs w:val="26"/>
          <w:lang w:val="lt-LT"/>
        </w:rPr>
        <w:t xml:space="preserve"> (išorės ir vid</w:t>
      </w:r>
      <w:r w:rsidR="00E86550">
        <w:rPr>
          <w:sz w:val="26"/>
          <w:szCs w:val="26"/>
          <w:lang w:val="lt-LT"/>
        </w:rPr>
        <w:t>aus</w:t>
      </w:r>
      <w:r w:rsidR="00E86550" w:rsidRPr="003E5F7B">
        <w:rPr>
          <w:sz w:val="26"/>
          <w:szCs w:val="26"/>
          <w:lang w:val="lt-LT"/>
        </w:rPr>
        <w:t>)</w:t>
      </w:r>
      <w:r w:rsidR="00E86550" w:rsidRPr="003E5F7B">
        <w:rPr>
          <w:i/>
          <w:sz w:val="26"/>
          <w:szCs w:val="26"/>
          <w:lang w:val="lt-LT"/>
        </w:rPr>
        <w:t xml:space="preserve"> sąlygos lemia išvestines sąlygas</w:t>
      </w:r>
      <w:r w:rsidR="00E86550" w:rsidRPr="003E5F7B">
        <w:rPr>
          <w:sz w:val="26"/>
          <w:szCs w:val="26"/>
          <w:lang w:val="lt-LT"/>
        </w:rPr>
        <w:t>, svarbias atskirų audito rizikos komponentų vertinimui, t. y. apgaulės vykdymą (paskatas/spaudimą, požiūrį/racionalizaciją, galimybes ir sugebėjimus), atitinkamą finansinių ataskaitų elementą ir/ar jo tvirtinimo pobūdį bei įmonės vidaus kontrolės sistemos diegimą ir palaikymą.</w:t>
      </w:r>
      <w:r w:rsidR="00E86550">
        <w:rPr>
          <w:sz w:val="26"/>
          <w:szCs w:val="26"/>
          <w:lang w:val="lt-LT"/>
        </w:rPr>
        <w:t xml:space="preserve"> </w:t>
      </w:r>
      <w:r w:rsidR="00823C9A">
        <w:rPr>
          <w:sz w:val="26"/>
          <w:szCs w:val="26"/>
          <w:lang w:val="lt-LT"/>
        </w:rPr>
        <w:t>O</w:t>
      </w:r>
      <w:r w:rsidR="00246A1D">
        <w:rPr>
          <w:sz w:val="26"/>
          <w:szCs w:val="26"/>
          <w:lang w:val="lt-LT"/>
        </w:rPr>
        <w:t xml:space="preserve"> </w:t>
      </w:r>
      <w:r w:rsidR="00B94B96" w:rsidRPr="003E5F7B">
        <w:rPr>
          <w:sz w:val="26"/>
          <w:szCs w:val="26"/>
          <w:lang w:val="lt-LT"/>
        </w:rPr>
        <w:t>s</w:t>
      </w:r>
      <w:r w:rsidR="009F1F02" w:rsidRPr="003E5F7B">
        <w:rPr>
          <w:sz w:val="26"/>
          <w:szCs w:val="26"/>
          <w:lang w:val="lt-LT"/>
        </w:rPr>
        <w:t xml:space="preserve">ąlygos priklausančios nuo audito įmonės arba kitaip </w:t>
      </w:r>
      <w:r w:rsidR="00943338" w:rsidRPr="003E5F7B">
        <w:rPr>
          <w:sz w:val="26"/>
          <w:szCs w:val="26"/>
          <w:lang w:val="lt-LT"/>
        </w:rPr>
        <w:t>„</w:t>
      </w:r>
      <w:r w:rsidR="009F1F02" w:rsidRPr="003E5F7B">
        <w:rPr>
          <w:sz w:val="26"/>
          <w:szCs w:val="26"/>
          <w:lang w:val="lt-LT"/>
        </w:rPr>
        <w:t>audito sąlygos</w:t>
      </w:r>
      <w:r w:rsidR="00943338" w:rsidRPr="003E5F7B">
        <w:rPr>
          <w:sz w:val="26"/>
          <w:szCs w:val="26"/>
          <w:lang w:val="lt-LT"/>
        </w:rPr>
        <w:t>“</w:t>
      </w:r>
      <w:r w:rsidR="00F2466D" w:rsidRPr="003E5F7B">
        <w:rPr>
          <w:sz w:val="26"/>
          <w:szCs w:val="26"/>
          <w:lang w:val="lt-LT"/>
        </w:rPr>
        <w:t>, tokios kaip audito koncepcijos, audito veiksmai ir auditoriaus savybės</w:t>
      </w:r>
      <w:r w:rsidR="009F1F02" w:rsidRPr="003E5F7B">
        <w:rPr>
          <w:sz w:val="26"/>
          <w:szCs w:val="26"/>
          <w:lang w:val="lt-LT"/>
        </w:rPr>
        <w:t xml:space="preserve">, nors </w:t>
      </w:r>
      <w:r w:rsidR="00943338" w:rsidRPr="003E5F7B">
        <w:rPr>
          <w:sz w:val="26"/>
          <w:szCs w:val="26"/>
          <w:lang w:val="lt-LT"/>
        </w:rPr>
        <w:t xml:space="preserve">yra </w:t>
      </w:r>
      <w:r w:rsidR="009F1F02" w:rsidRPr="003E5F7B">
        <w:rPr>
          <w:sz w:val="26"/>
          <w:szCs w:val="26"/>
          <w:lang w:val="lt-LT"/>
        </w:rPr>
        <w:t xml:space="preserve">svarbios viso audito metu, </w:t>
      </w:r>
      <w:r w:rsidR="009F1F02" w:rsidRPr="003E5F7B">
        <w:rPr>
          <w:sz w:val="26"/>
          <w:szCs w:val="26"/>
          <w:lang w:val="lt-LT"/>
        </w:rPr>
        <w:lastRenderedPageBreak/>
        <w:t xml:space="preserve">tačiau pagrindinis dėmesys </w:t>
      </w:r>
      <w:r w:rsidR="001322BF" w:rsidRPr="003E5F7B">
        <w:rPr>
          <w:sz w:val="26"/>
          <w:szCs w:val="26"/>
          <w:lang w:val="lt-LT"/>
        </w:rPr>
        <w:t xml:space="preserve">į jas telkiamas </w:t>
      </w:r>
      <w:r w:rsidR="00EA2BE1" w:rsidRPr="003E5F7B">
        <w:rPr>
          <w:sz w:val="26"/>
          <w:szCs w:val="26"/>
          <w:lang w:val="lt-LT"/>
        </w:rPr>
        <w:t xml:space="preserve">nustatant </w:t>
      </w:r>
      <w:r w:rsidR="001322BF" w:rsidRPr="003E5F7B">
        <w:rPr>
          <w:sz w:val="26"/>
          <w:szCs w:val="26"/>
          <w:lang w:val="lt-LT"/>
        </w:rPr>
        <w:t xml:space="preserve">reikšmingą iškraipymą </w:t>
      </w:r>
      <w:r w:rsidR="0025194A" w:rsidRPr="003E5F7B">
        <w:rPr>
          <w:sz w:val="26"/>
          <w:szCs w:val="26"/>
          <w:lang w:val="lt-LT"/>
        </w:rPr>
        <w:t>tvirtinimo</w:t>
      </w:r>
      <w:r w:rsidR="001322BF" w:rsidRPr="003E5F7B">
        <w:rPr>
          <w:sz w:val="26"/>
          <w:szCs w:val="26"/>
          <w:lang w:val="lt-LT"/>
        </w:rPr>
        <w:t xml:space="preserve"> lygmeniu</w:t>
      </w:r>
      <w:r w:rsidR="00943338" w:rsidRPr="003E5F7B">
        <w:rPr>
          <w:sz w:val="26"/>
          <w:szCs w:val="26"/>
          <w:lang w:val="lt-LT"/>
        </w:rPr>
        <w:t>, t. y. planuojant ir atliekant atitinkamas audito procedūras</w:t>
      </w:r>
      <w:r w:rsidR="001322BF" w:rsidRPr="003E5F7B">
        <w:rPr>
          <w:sz w:val="26"/>
          <w:szCs w:val="26"/>
          <w:lang w:val="lt-LT"/>
        </w:rPr>
        <w:t>.</w:t>
      </w:r>
    </w:p>
    <w:p w:rsidR="00E86550" w:rsidRPr="00823C9A" w:rsidRDefault="006A00BE" w:rsidP="00E86550">
      <w:pPr>
        <w:tabs>
          <w:tab w:val="left" w:pos="709"/>
        </w:tabs>
        <w:spacing w:line="360" w:lineRule="auto"/>
        <w:jc w:val="both"/>
        <w:rPr>
          <w:sz w:val="26"/>
          <w:szCs w:val="26"/>
          <w:lang w:val="lt-LT"/>
        </w:rPr>
      </w:pPr>
      <w:r>
        <w:rPr>
          <w:sz w:val="26"/>
          <w:szCs w:val="26"/>
          <w:lang w:val="lt-LT"/>
        </w:rPr>
        <w:tab/>
        <w:t xml:space="preserve">Darbo autorės </w:t>
      </w:r>
      <w:r w:rsidR="002F2C61">
        <w:rPr>
          <w:sz w:val="26"/>
          <w:szCs w:val="26"/>
          <w:lang w:val="lt-LT"/>
        </w:rPr>
        <w:t>apibendrint</w:t>
      </w:r>
      <w:r>
        <w:rPr>
          <w:sz w:val="26"/>
          <w:szCs w:val="26"/>
          <w:lang w:val="lt-LT"/>
        </w:rPr>
        <w:t>os au</w:t>
      </w:r>
      <w:r w:rsidRPr="00823C9A">
        <w:rPr>
          <w:sz w:val="26"/>
          <w:szCs w:val="26"/>
          <w:lang w:val="lt-LT"/>
        </w:rPr>
        <w:t xml:space="preserve">dito rizikos </w:t>
      </w:r>
      <w:r w:rsidR="00E86550" w:rsidRPr="00823C9A">
        <w:rPr>
          <w:sz w:val="26"/>
          <w:szCs w:val="26"/>
          <w:lang w:val="lt-LT"/>
        </w:rPr>
        <w:t>sąlygos</w:t>
      </w:r>
      <w:r w:rsidR="00246A1D" w:rsidRPr="00823C9A">
        <w:rPr>
          <w:sz w:val="26"/>
          <w:szCs w:val="26"/>
          <w:lang w:val="lt-LT"/>
        </w:rPr>
        <w:t xml:space="preserve">, </w:t>
      </w:r>
      <w:r w:rsidRPr="00823C9A">
        <w:rPr>
          <w:sz w:val="26"/>
          <w:szCs w:val="26"/>
          <w:lang w:val="lt-LT"/>
        </w:rPr>
        <w:t>pateiktas j</w:t>
      </w:r>
      <w:r w:rsidR="00246A1D" w:rsidRPr="00823C9A">
        <w:rPr>
          <w:sz w:val="26"/>
          <w:szCs w:val="26"/>
          <w:lang w:val="lt-LT"/>
        </w:rPr>
        <w:t>ų grupavimas</w:t>
      </w:r>
      <w:r w:rsidR="00E86550" w:rsidRPr="00823C9A">
        <w:rPr>
          <w:sz w:val="26"/>
          <w:szCs w:val="26"/>
          <w:lang w:val="lt-LT"/>
        </w:rPr>
        <w:t xml:space="preserve"> ir ryšiai su </w:t>
      </w:r>
      <w:r w:rsidR="00246A1D" w:rsidRPr="00823C9A">
        <w:rPr>
          <w:sz w:val="26"/>
          <w:szCs w:val="26"/>
          <w:lang w:val="lt-LT"/>
        </w:rPr>
        <w:t xml:space="preserve">kitais </w:t>
      </w:r>
      <w:r w:rsidR="00C67A53" w:rsidRPr="00823C9A">
        <w:rPr>
          <w:sz w:val="26"/>
          <w:szCs w:val="26"/>
          <w:lang w:val="lt-LT"/>
        </w:rPr>
        <w:t xml:space="preserve">audito rizikos vertinimo modelio </w:t>
      </w:r>
      <w:r w:rsidR="00246A1D" w:rsidRPr="00823C9A">
        <w:rPr>
          <w:sz w:val="26"/>
          <w:szCs w:val="26"/>
          <w:lang w:val="lt-LT"/>
        </w:rPr>
        <w:t xml:space="preserve">elementais </w:t>
      </w:r>
      <w:r w:rsidR="00E0147C" w:rsidRPr="00823C9A">
        <w:rPr>
          <w:sz w:val="26"/>
          <w:szCs w:val="26"/>
          <w:lang w:val="lt-LT"/>
        </w:rPr>
        <w:t xml:space="preserve">daro </w:t>
      </w:r>
      <w:r w:rsidR="00C67A53" w:rsidRPr="00823C9A">
        <w:rPr>
          <w:sz w:val="26"/>
          <w:szCs w:val="26"/>
          <w:lang w:val="lt-LT"/>
        </w:rPr>
        <w:t xml:space="preserve">šį modelį </w:t>
      </w:r>
      <w:r w:rsidR="00E0147C" w:rsidRPr="00823C9A">
        <w:rPr>
          <w:sz w:val="26"/>
          <w:szCs w:val="26"/>
          <w:lang w:val="lt-LT"/>
        </w:rPr>
        <w:t>išsam</w:t>
      </w:r>
      <w:r w:rsidR="00432CA0" w:rsidRPr="00823C9A">
        <w:rPr>
          <w:sz w:val="26"/>
          <w:szCs w:val="26"/>
          <w:lang w:val="lt-LT"/>
        </w:rPr>
        <w:t xml:space="preserve">ų </w:t>
      </w:r>
      <w:r w:rsidR="00E0147C" w:rsidRPr="00823C9A">
        <w:rPr>
          <w:sz w:val="26"/>
          <w:szCs w:val="26"/>
          <w:lang w:val="lt-LT"/>
        </w:rPr>
        <w:t xml:space="preserve">ir </w:t>
      </w:r>
      <w:r w:rsidR="00432CA0" w:rsidRPr="00823C9A">
        <w:rPr>
          <w:sz w:val="26"/>
          <w:szCs w:val="26"/>
          <w:lang w:val="lt-LT"/>
        </w:rPr>
        <w:t>informatyvų</w:t>
      </w:r>
      <w:r w:rsidR="00C67A53" w:rsidRPr="00823C9A">
        <w:rPr>
          <w:sz w:val="26"/>
          <w:szCs w:val="26"/>
          <w:lang w:val="lt-LT"/>
        </w:rPr>
        <w:t xml:space="preserve">. Tai </w:t>
      </w:r>
      <w:r w:rsidR="00E0147C" w:rsidRPr="00823C9A">
        <w:rPr>
          <w:sz w:val="26"/>
          <w:szCs w:val="26"/>
          <w:lang w:val="lt-LT"/>
        </w:rPr>
        <w:t xml:space="preserve">leidžia identifikuoti </w:t>
      </w:r>
      <w:r w:rsidR="00E86550" w:rsidRPr="00823C9A">
        <w:rPr>
          <w:sz w:val="26"/>
          <w:szCs w:val="26"/>
          <w:lang w:val="lt-LT"/>
        </w:rPr>
        <w:t>audito rizikos komponent</w:t>
      </w:r>
      <w:r w:rsidR="00E0147C" w:rsidRPr="00823C9A">
        <w:rPr>
          <w:sz w:val="26"/>
          <w:szCs w:val="26"/>
          <w:lang w:val="lt-LT"/>
        </w:rPr>
        <w:t xml:space="preserve">us lemiančias priežastis, </w:t>
      </w:r>
      <w:r w:rsidR="00C67A53" w:rsidRPr="00823C9A">
        <w:rPr>
          <w:sz w:val="26"/>
          <w:szCs w:val="26"/>
          <w:lang w:val="lt-LT"/>
        </w:rPr>
        <w:t xml:space="preserve">kas iki šiol </w:t>
      </w:r>
      <w:r w:rsidR="00432CA0" w:rsidRPr="00823C9A">
        <w:rPr>
          <w:sz w:val="26"/>
          <w:szCs w:val="26"/>
          <w:lang w:val="lt-LT"/>
        </w:rPr>
        <w:t xml:space="preserve">visai nebuvo akcentuojama </w:t>
      </w:r>
      <w:r w:rsidR="00E0147C" w:rsidRPr="00823C9A">
        <w:rPr>
          <w:sz w:val="26"/>
          <w:szCs w:val="26"/>
          <w:lang w:val="lt-LT"/>
        </w:rPr>
        <w:t>audito rizikos modeliuose.</w:t>
      </w:r>
    </w:p>
    <w:p w:rsidR="002B0122" w:rsidRPr="003E5F7B" w:rsidRDefault="00A50C06" w:rsidP="005E5D11">
      <w:pPr>
        <w:pStyle w:val="ListParagraph"/>
        <w:tabs>
          <w:tab w:val="left" w:pos="1134"/>
        </w:tabs>
        <w:spacing w:line="360" w:lineRule="auto"/>
        <w:ind w:left="0" w:firstLine="720"/>
        <w:jc w:val="both"/>
        <w:rPr>
          <w:sz w:val="26"/>
          <w:szCs w:val="26"/>
          <w:lang w:val="lt-LT"/>
        </w:rPr>
      </w:pPr>
      <w:r w:rsidRPr="003E5F7B">
        <w:rPr>
          <w:sz w:val="26"/>
          <w:szCs w:val="26"/>
          <w:lang w:val="lt-LT"/>
        </w:rPr>
        <w:t xml:space="preserve">Darbo autorės </w:t>
      </w:r>
      <w:r w:rsidR="00EA2BE1" w:rsidRPr="003E5F7B">
        <w:rPr>
          <w:sz w:val="26"/>
          <w:szCs w:val="26"/>
          <w:lang w:val="lt-LT"/>
        </w:rPr>
        <w:t xml:space="preserve">audito rizikos vertinimo modelyje skiriami </w:t>
      </w:r>
      <w:r w:rsidR="00F7396C" w:rsidRPr="003E5F7B">
        <w:rPr>
          <w:sz w:val="26"/>
          <w:szCs w:val="26"/>
          <w:lang w:val="lt-LT"/>
        </w:rPr>
        <w:t xml:space="preserve">du </w:t>
      </w:r>
      <w:r w:rsidR="001902CD" w:rsidRPr="003E5F7B">
        <w:rPr>
          <w:sz w:val="26"/>
          <w:szCs w:val="26"/>
          <w:lang w:val="lt-LT"/>
        </w:rPr>
        <w:t>svarbiausieji</w:t>
      </w:r>
      <w:r w:rsidR="00F7396C" w:rsidRPr="003E5F7B">
        <w:rPr>
          <w:sz w:val="26"/>
          <w:szCs w:val="26"/>
          <w:lang w:val="lt-LT"/>
        </w:rPr>
        <w:t xml:space="preserve"> </w:t>
      </w:r>
      <w:r w:rsidR="00EA2BE1" w:rsidRPr="003E5F7B">
        <w:rPr>
          <w:b/>
          <w:sz w:val="26"/>
          <w:szCs w:val="26"/>
          <w:lang w:val="lt-LT"/>
        </w:rPr>
        <w:t>audito rizikos komponentai</w:t>
      </w:r>
      <w:r w:rsidR="00EA2BE1" w:rsidRPr="003E5F7B">
        <w:rPr>
          <w:sz w:val="26"/>
          <w:szCs w:val="26"/>
          <w:lang w:val="lt-LT"/>
        </w:rPr>
        <w:t>:</w:t>
      </w:r>
    </w:p>
    <w:p w:rsidR="004131C5" w:rsidRPr="003E5F7B" w:rsidRDefault="00F7396C" w:rsidP="00D730C0">
      <w:pPr>
        <w:pStyle w:val="ListParagraph"/>
        <w:numPr>
          <w:ilvl w:val="0"/>
          <w:numId w:val="21"/>
        </w:numPr>
        <w:tabs>
          <w:tab w:val="left" w:pos="1134"/>
        </w:tabs>
        <w:spacing w:line="360" w:lineRule="auto"/>
        <w:ind w:left="1134" w:hanging="425"/>
        <w:jc w:val="both"/>
        <w:rPr>
          <w:sz w:val="26"/>
          <w:szCs w:val="26"/>
          <w:lang w:val="lt-LT"/>
        </w:rPr>
      </w:pPr>
      <w:r w:rsidRPr="003E5F7B">
        <w:rPr>
          <w:i/>
          <w:sz w:val="26"/>
          <w:szCs w:val="26"/>
          <w:lang w:val="lt-LT"/>
        </w:rPr>
        <w:t>reikšmingo iškraipymo rizika</w:t>
      </w:r>
      <w:r w:rsidRPr="003E5F7B">
        <w:rPr>
          <w:sz w:val="26"/>
          <w:szCs w:val="26"/>
          <w:lang w:val="lt-LT"/>
        </w:rPr>
        <w:t xml:space="preserve"> – </w:t>
      </w:r>
      <w:r w:rsidR="001902CD" w:rsidRPr="003E5F7B">
        <w:rPr>
          <w:sz w:val="26"/>
          <w:szCs w:val="26"/>
          <w:lang w:val="lt-LT"/>
        </w:rPr>
        <w:t xml:space="preserve">audito rizikos </w:t>
      </w:r>
      <w:r w:rsidR="004F5BED" w:rsidRPr="003E5F7B">
        <w:rPr>
          <w:sz w:val="26"/>
          <w:szCs w:val="26"/>
          <w:lang w:val="lt-LT"/>
        </w:rPr>
        <w:t>komponenta</w:t>
      </w:r>
      <w:r w:rsidRPr="003E5F7B">
        <w:rPr>
          <w:sz w:val="26"/>
          <w:szCs w:val="26"/>
          <w:lang w:val="lt-LT"/>
        </w:rPr>
        <w:t>s</w:t>
      </w:r>
      <w:r w:rsidR="004F5BED" w:rsidRPr="003E5F7B">
        <w:rPr>
          <w:sz w:val="26"/>
          <w:szCs w:val="26"/>
          <w:lang w:val="lt-LT"/>
        </w:rPr>
        <w:t>, kur</w:t>
      </w:r>
      <w:r w:rsidRPr="003E5F7B">
        <w:rPr>
          <w:sz w:val="26"/>
          <w:szCs w:val="26"/>
          <w:lang w:val="lt-LT"/>
        </w:rPr>
        <w:t>į</w:t>
      </w:r>
      <w:r w:rsidR="004F5BED" w:rsidRPr="003E5F7B">
        <w:rPr>
          <w:sz w:val="26"/>
          <w:szCs w:val="26"/>
          <w:lang w:val="lt-LT"/>
        </w:rPr>
        <w:t xml:space="preserve"> lemia audituojamos įmonės sąlygos</w:t>
      </w:r>
      <w:r w:rsidR="00720E9A" w:rsidRPr="003E5F7B">
        <w:rPr>
          <w:sz w:val="26"/>
          <w:szCs w:val="26"/>
          <w:lang w:val="lt-LT"/>
        </w:rPr>
        <w:t xml:space="preserve"> (</w:t>
      </w:r>
      <w:r w:rsidRPr="003E5F7B">
        <w:rPr>
          <w:sz w:val="26"/>
          <w:szCs w:val="26"/>
          <w:lang w:val="lt-LT"/>
        </w:rPr>
        <w:t>išorė</w:t>
      </w:r>
      <w:r w:rsidR="00454D79">
        <w:rPr>
          <w:sz w:val="26"/>
          <w:szCs w:val="26"/>
          <w:lang w:val="lt-LT"/>
        </w:rPr>
        <w:t>s</w:t>
      </w:r>
      <w:r w:rsidRPr="003E5F7B">
        <w:rPr>
          <w:sz w:val="26"/>
          <w:szCs w:val="26"/>
          <w:lang w:val="lt-LT"/>
        </w:rPr>
        <w:t xml:space="preserve"> ir vid</w:t>
      </w:r>
      <w:r w:rsidR="00454D79">
        <w:rPr>
          <w:sz w:val="26"/>
          <w:szCs w:val="26"/>
          <w:lang w:val="lt-LT"/>
        </w:rPr>
        <w:t>aus</w:t>
      </w:r>
      <w:r w:rsidRPr="003E5F7B">
        <w:rPr>
          <w:sz w:val="26"/>
          <w:szCs w:val="26"/>
          <w:lang w:val="lt-LT"/>
        </w:rPr>
        <w:t xml:space="preserve"> aplinka);</w:t>
      </w:r>
    </w:p>
    <w:p w:rsidR="004F5BED" w:rsidRPr="003E5F7B" w:rsidRDefault="00F7396C" w:rsidP="00D730C0">
      <w:pPr>
        <w:pStyle w:val="ListParagraph"/>
        <w:numPr>
          <w:ilvl w:val="0"/>
          <w:numId w:val="21"/>
        </w:numPr>
        <w:tabs>
          <w:tab w:val="left" w:pos="1134"/>
        </w:tabs>
        <w:spacing w:line="360" w:lineRule="auto"/>
        <w:ind w:left="1134" w:hanging="425"/>
        <w:jc w:val="both"/>
        <w:rPr>
          <w:sz w:val="26"/>
          <w:szCs w:val="26"/>
          <w:lang w:val="lt-LT"/>
        </w:rPr>
      </w:pPr>
      <w:r w:rsidRPr="003E5F7B">
        <w:rPr>
          <w:i/>
          <w:sz w:val="26"/>
          <w:szCs w:val="26"/>
          <w:lang w:val="lt-LT"/>
        </w:rPr>
        <w:t>aptikimo rizika</w:t>
      </w:r>
      <w:r w:rsidRPr="003E5F7B">
        <w:rPr>
          <w:sz w:val="26"/>
          <w:szCs w:val="26"/>
          <w:lang w:val="lt-LT"/>
        </w:rPr>
        <w:t xml:space="preserve"> –</w:t>
      </w:r>
      <w:r w:rsidR="004F5BED" w:rsidRPr="003E5F7B">
        <w:rPr>
          <w:sz w:val="26"/>
          <w:szCs w:val="26"/>
          <w:lang w:val="lt-LT"/>
        </w:rPr>
        <w:t xml:space="preserve"> </w:t>
      </w:r>
      <w:r w:rsidR="001902CD" w:rsidRPr="003E5F7B">
        <w:rPr>
          <w:sz w:val="26"/>
          <w:szCs w:val="26"/>
          <w:lang w:val="lt-LT"/>
        </w:rPr>
        <w:t xml:space="preserve">audito rizikos </w:t>
      </w:r>
      <w:r w:rsidR="004F5BED" w:rsidRPr="003E5F7B">
        <w:rPr>
          <w:sz w:val="26"/>
          <w:szCs w:val="26"/>
          <w:lang w:val="lt-LT"/>
        </w:rPr>
        <w:t>komponenta</w:t>
      </w:r>
      <w:r w:rsidRPr="003E5F7B">
        <w:rPr>
          <w:sz w:val="26"/>
          <w:szCs w:val="26"/>
          <w:lang w:val="lt-LT"/>
        </w:rPr>
        <w:t>s</w:t>
      </w:r>
      <w:r w:rsidR="004F5BED" w:rsidRPr="003E5F7B">
        <w:rPr>
          <w:sz w:val="26"/>
          <w:szCs w:val="26"/>
          <w:lang w:val="lt-LT"/>
        </w:rPr>
        <w:t xml:space="preserve">, </w:t>
      </w:r>
      <w:r w:rsidR="00F2466D" w:rsidRPr="003E5F7B">
        <w:rPr>
          <w:sz w:val="26"/>
          <w:szCs w:val="26"/>
          <w:lang w:val="lt-LT"/>
        </w:rPr>
        <w:t>kurį lemia audito sąlygos</w:t>
      </w:r>
      <w:r w:rsidR="004F5BED" w:rsidRPr="003E5F7B">
        <w:rPr>
          <w:sz w:val="26"/>
          <w:szCs w:val="26"/>
          <w:lang w:val="lt-LT"/>
        </w:rPr>
        <w:t>.</w:t>
      </w:r>
    </w:p>
    <w:p w:rsidR="0050783A" w:rsidRDefault="00BB48C9" w:rsidP="003851EA">
      <w:pPr>
        <w:pStyle w:val="ListParagraph"/>
        <w:tabs>
          <w:tab w:val="left" w:pos="1134"/>
        </w:tabs>
        <w:spacing w:line="360" w:lineRule="auto"/>
        <w:ind w:left="0" w:firstLine="720"/>
        <w:jc w:val="both"/>
        <w:rPr>
          <w:sz w:val="26"/>
          <w:szCs w:val="26"/>
          <w:lang w:val="lt-LT"/>
        </w:rPr>
      </w:pPr>
      <w:r>
        <w:rPr>
          <w:sz w:val="26"/>
          <w:szCs w:val="26"/>
          <w:lang w:val="lt-LT"/>
        </w:rPr>
        <w:t>Ištirta</w:t>
      </w:r>
      <w:r w:rsidR="00D218E2" w:rsidRPr="003E5F7B">
        <w:rPr>
          <w:sz w:val="26"/>
          <w:szCs w:val="26"/>
          <w:lang w:val="lt-LT"/>
        </w:rPr>
        <w:t xml:space="preserve">, kad </w:t>
      </w:r>
      <w:r w:rsidR="00D218E2" w:rsidRPr="003E5F7B">
        <w:rPr>
          <w:i/>
          <w:sz w:val="26"/>
          <w:szCs w:val="26"/>
          <w:lang w:val="lt-LT"/>
        </w:rPr>
        <w:t>reikšmingo iškraipymo rizika</w:t>
      </w:r>
      <w:r w:rsidR="00D218E2" w:rsidRPr="003E5F7B">
        <w:rPr>
          <w:sz w:val="26"/>
          <w:szCs w:val="26"/>
          <w:lang w:val="lt-LT"/>
        </w:rPr>
        <w:t xml:space="preserve"> tur</w:t>
      </w:r>
      <w:r w:rsidR="00432CA0">
        <w:rPr>
          <w:sz w:val="26"/>
          <w:szCs w:val="26"/>
          <w:lang w:val="lt-LT"/>
        </w:rPr>
        <w:t>i b</w:t>
      </w:r>
      <w:r w:rsidR="00D218E2" w:rsidRPr="003E5F7B">
        <w:rPr>
          <w:sz w:val="26"/>
          <w:szCs w:val="26"/>
          <w:lang w:val="lt-LT"/>
        </w:rPr>
        <w:t xml:space="preserve">ūti suprantama kaip pasireiškianti finansinių ataskaitų lygmeniu ir </w:t>
      </w:r>
      <w:r w:rsidR="0025194A" w:rsidRPr="003E5F7B">
        <w:rPr>
          <w:sz w:val="26"/>
          <w:szCs w:val="26"/>
          <w:lang w:val="lt-LT"/>
        </w:rPr>
        <w:t>tvirtinimo</w:t>
      </w:r>
      <w:r w:rsidR="00D218E2" w:rsidRPr="003E5F7B">
        <w:rPr>
          <w:sz w:val="26"/>
          <w:szCs w:val="26"/>
          <w:lang w:val="lt-LT"/>
        </w:rPr>
        <w:t xml:space="preserve"> lygmeniu. </w:t>
      </w:r>
      <w:r w:rsidR="00387D3F" w:rsidRPr="003E5F7B">
        <w:rPr>
          <w:sz w:val="26"/>
          <w:szCs w:val="26"/>
          <w:lang w:val="lt-LT"/>
        </w:rPr>
        <w:t>Re</w:t>
      </w:r>
      <w:r w:rsidR="00D218E2" w:rsidRPr="003E5F7B">
        <w:rPr>
          <w:sz w:val="26"/>
          <w:szCs w:val="26"/>
          <w:lang w:val="lt-LT"/>
        </w:rPr>
        <w:t xml:space="preserve">ikšmingo iškraipymo rizika finansinių ataskaitų lygmeniu – rizika kylanti </w:t>
      </w:r>
      <w:r w:rsidR="004271D5" w:rsidRPr="003E5F7B">
        <w:rPr>
          <w:sz w:val="26"/>
          <w:szCs w:val="26"/>
          <w:lang w:val="lt-LT"/>
        </w:rPr>
        <w:t>iš audituojamos įmonės išorės ir vid</w:t>
      </w:r>
      <w:r w:rsidR="00454D79">
        <w:rPr>
          <w:sz w:val="26"/>
          <w:szCs w:val="26"/>
          <w:lang w:val="lt-LT"/>
        </w:rPr>
        <w:t>aus</w:t>
      </w:r>
      <w:r w:rsidR="004271D5" w:rsidRPr="003E5F7B">
        <w:rPr>
          <w:sz w:val="26"/>
          <w:szCs w:val="26"/>
          <w:lang w:val="lt-LT"/>
        </w:rPr>
        <w:t xml:space="preserve"> aplinkos, kuri</w:t>
      </w:r>
      <w:r w:rsidR="002D3128" w:rsidRPr="003E5F7B">
        <w:rPr>
          <w:sz w:val="26"/>
          <w:szCs w:val="26"/>
          <w:lang w:val="lt-LT"/>
        </w:rPr>
        <w:t>ą</w:t>
      </w:r>
      <w:r w:rsidR="004271D5" w:rsidRPr="003E5F7B">
        <w:rPr>
          <w:sz w:val="26"/>
          <w:szCs w:val="26"/>
          <w:lang w:val="lt-LT"/>
        </w:rPr>
        <w:t xml:space="preserve"> </w:t>
      </w:r>
      <w:r w:rsidR="00370B78" w:rsidRPr="003E5F7B">
        <w:rPr>
          <w:sz w:val="26"/>
          <w:szCs w:val="26"/>
          <w:lang w:val="lt-LT"/>
        </w:rPr>
        <w:t>nu</w:t>
      </w:r>
      <w:r w:rsidR="004271D5" w:rsidRPr="003E5F7B">
        <w:rPr>
          <w:sz w:val="26"/>
          <w:szCs w:val="26"/>
          <w:lang w:val="lt-LT"/>
        </w:rPr>
        <w:t xml:space="preserve">lemia </w:t>
      </w:r>
      <w:r w:rsidR="00D218E2" w:rsidRPr="003E5F7B">
        <w:rPr>
          <w:sz w:val="26"/>
          <w:szCs w:val="26"/>
          <w:lang w:val="lt-LT"/>
        </w:rPr>
        <w:t>verslo rizik</w:t>
      </w:r>
      <w:r w:rsidR="00370B78" w:rsidRPr="003E5F7B">
        <w:rPr>
          <w:sz w:val="26"/>
          <w:szCs w:val="26"/>
          <w:lang w:val="lt-LT"/>
        </w:rPr>
        <w:t>os</w:t>
      </w:r>
      <w:r w:rsidR="00D218E2" w:rsidRPr="003E5F7B">
        <w:rPr>
          <w:sz w:val="26"/>
          <w:szCs w:val="26"/>
          <w:lang w:val="lt-LT"/>
        </w:rPr>
        <w:t>, apgaulės vykdym</w:t>
      </w:r>
      <w:r w:rsidR="00370B78" w:rsidRPr="003E5F7B">
        <w:rPr>
          <w:sz w:val="26"/>
          <w:szCs w:val="26"/>
          <w:lang w:val="lt-LT"/>
        </w:rPr>
        <w:t>o</w:t>
      </w:r>
      <w:r w:rsidR="00D218E2" w:rsidRPr="003E5F7B">
        <w:rPr>
          <w:sz w:val="26"/>
          <w:szCs w:val="26"/>
          <w:lang w:val="lt-LT"/>
        </w:rPr>
        <w:t xml:space="preserve"> ir įmonės rizik</w:t>
      </w:r>
      <w:r w:rsidR="00370B78" w:rsidRPr="003E5F7B">
        <w:rPr>
          <w:sz w:val="26"/>
          <w:szCs w:val="26"/>
          <w:lang w:val="lt-LT"/>
        </w:rPr>
        <w:t xml:space="preserve">os </w:t>
      </w:r>
      <w:r w:rsidR="002D3128" w:rsidRPr="003E5F7B">
        <w:rPr>
          <w:sz w:val="26"/>
          <w:szCs w:val="26"/>
          <w:lang w:val="lt-LT"/>
        </w:rPr>
        <w:t>veiksniai</w:t>
      </w:r>
      <w:r w:rsidR="00387D3F" w:rsidRPr="003E5F7B">
        <w:rPr>
          <w:sz w:val="26"/>
          <w:szCs w:val="26"/>
          <w:lang w:val="lt-LT"/>
        </w:rPr>
        <w:t xml:space="preserve">. </w:t>
      </w:r>
      <w:r w:rsidR="00370B78" w:rsidRPr="003E5F7B">
        <w:rPr>
          <w:sz w:val="26"/>
          <w:szCs w:val="26"/>
          <w:lang w:val="lt-LT"/>
        </w:rPr>
        <w:t>Be to, s</w:t>
      </w:r>
      <w:r w:rsidR="007650F5" w:rsidRPr="003E5F7B">
        <w:rPr>
          <w:sz w:val="26"/>
          <w:szCs w:val="26"/>
          <w:lang w:val="lt-LT"/>
        </w:rPr>
        <w:t xml:space="preserve">varbu </w:t>
      </w:r>
      <w:r w:rsidR="00370B78" w:rsidRPr="003E5F7B">
        <w:rPr>
          <w:sz w:val="26"/>
          <w:szCs w:val="26"/>
          <w:lang w:val="lt-LT"/>
        </w:rPr>
        <w:t xml:space="preserve">akcentuoti, </w:t>
      </w:r>
      <w:r w:rsidR="007650F5" w:rsidRPr="003E5F7B">
        <w:rPr>
          <w:sz w:val="26"/>
          <w:szCs w:val="26"/>
          <w:lang w:val="lt-LT"/>
        </w:rPr>
        <w:t>kad ši rizika daro įtak</w:t>
      </w:r>
      <w:r w:rsidR="007650F5" w:rsidRPr="00823C9A">
        <w:rPr>
          <w:sz w:val="26"/>
          <w:szCs w:val="26"/>
          <w:lang w:val="lt-LT"/>
        </w:rPr>
        <w:t xml:space="preserve">ą reikšmingo iškraipymo rizikos, pasireiškiančios </w:t>
      </w:r>
      <w:r w:rsidR="0025194A" w:rsidRPr="00823C9A">
        <w:rPr>
          <w:sz w:val="26"/>
          <w:szCs w:val="26"/>
          <w:lang w:val="lt-LT"/>
        </w:rPr>
        <w:t>tvirtinimo</w:t>
      </w:r>
      <w:r w:rsidR="007650F5" w:rsidRPr="00823C9A">
        <w:rPr>
          <w:sz w:val="26"/>
          <w:szCs w:val="26"/>
          <w:lang w:val="lt-LT"/>
        </w:rPr>
        <w:t xml:space="preserve"> lygmeniu, vertinimui</w:t>
      </w:r>
      <w:r w:rsidR="0014002D" w:rsidRPr="00823C9A">
        <w:rPr>
          <w:sz w:val="26"/>
          <w:szCs w:val="26"/>
          <w:lang w:val="lt-LT"/>
        </w:rPr>
        <w:t xml:space="preserve"> ir </w:t>
      </w:r>
      <w:r w:rsidR="00823C9A" w:rsidRPr="00823C9A">
        <w:rPr>
          <w:sz w:val="26"/>
          <w:szCs w:val="26"/>
          <w:lang w:val="lt-LT"/>
        </w:rPr>
        <w:t>ši priklausomybė aiš</w:t>
      </w:r>
      <w:r w:rsidR="0014002D" w:rsidRPr="00823C9A">
        <w:rPr>
          <w:sz w:val="26"/>
          <w:szCs w:val="26"/>
          <w:lang w:val="lt-LT"/>
        </w:rPr>
        <w:t xml:space="preserve">kiai </w:t>
      </w:r>
      <w:r w:rsidR="00823C9A" w:rsidRPr="00823C9A">
        <w:rPr>
          <w:sz w:val="26"/>
          <w:szCs w:val="26"/>
          <w:lang w:val="lt-LT"/>
        </w:rPr>
        <w:t xml:space="preserve">parodoma </w:t>
      </w:r>
      <w:r w:rsidR="0014002D" w:rsidRPr="00823C9A">
        <w:rPr>
          <w:sz w:val="26"/>
          <w:szCs w:val="26"/>
          <w:lang w:val="lt-LT"/>
        </w:rPr>
        <w:t>audito rizikos vertinimo model</w:t>
      </w:r>
      <w:r w:rsidR="0050783A" w:rsidRPr="00823C9A">
        <w:rPr>
          <w:sz w:val="26"/>
          <w:szCs w:val="26"/>
          <w:lang w:val="lt-LT"/>
        </w:rPr>
        <w:t>io struktūrogramoje</w:t>
      </w:r>
      <w:r w:rsidR="00823C9A" w:rsidRPr="00823C9A">
        <w:rPr>
          <w:sz w:val="26"/>
          <w:szCs w:val="26"/>
          <w:lang w:val="lt-LT"/>
        </w:rPr>
        <w:t xml:space="preserve"> (19 pav.)</w:t>
      </w:r>
      <w:r w:rsidR="007650F5" w:rsidRPr="00823C9A">
        <w:rPr>
          <w:sz w:val="26"/>
          <w:szCs w:val="26"/>
          <w:lang w:val="lt-LT"/>
        </w:rPr>
        <w:t xml:space="preserve">. </w:t>
      </w:r>
      <w:r w:rsidR="00823C9A" w:rsidRPr="00823C9A">
        <w:rPr>
          <w:sz w:val="26"/>
          <w:szCs w:val="26"/>
          <w:lang w:val="lt-LT"/>
        </w:rPr>
        <w:t>Svarbu paminėti, kad to</w:t>
      </w:r>
      <w:r w:rsidR="0050783A" w:rsidRPr="00823C9A">
        <w:rPr>
          <w:sz w:val="26"/>
          <w:szCs w:val="26"/>
          <w:lang w:val="lt-LT"/>
        </w:rPr>
        <w:t>kia įtaka n</w:t>
      </w:r>
      <w:r w:rsidR="00823C9A" w:rsidRPr="00823C9A">
        <w:rPr>
          <w:sz w:val="26"/>
          <w:szCs w:val="26"/>
          <w:lang w:val="lt-LT"/>
        </w:rPr>
        <w:t xml:space="preserve">ebuvo </w:t>
      </w:r>
      <w:r w:rsidR="0050783A" w:rsidRPr="00823C9A">
        <w:rPr>
          <w:sz w:val="26"/>
          <w:szCs w:val="26"/>
          <w:lang w:val="lt-LT"/>
        </w:rPr>
        <w:t xml:space="preserve">atskleidžiama </w:t>
      </w:r>
      <w:r w:rsidR="00476AB2" w:rsidRPr="00823C9A">
        <w:rPr>
          <w:sz w:val="26"/>
          <w:szCs w:val="26"/>
          <w:lang w:val="lt-LT"/>
        </w:rPr>
        <w:t xml:space="preserve">daugumoje </w:t>
      </w:r>
      <w:r w:rsidR="0050783A" w:rsidRPr="00823C9A">
        <w:rPr>
          <w:sz w:val="26"/>
          <w:szCs w:val="26"/>
          <w:lang w:val="lt-LT"/>
        </w:rPr>
        <w:t>nagrinėtų audito rizikos modelių</w:t>
      </w:r>
      <w:r w:rsidR="00476AB2" w:rsidRPr="00823C9A">
        <w:rPr>
          <w:sz w:val="26"/>
          <w:szCs w:val="26"/>
          <w:lang w:val="lt-LT"/>
        </w:rPr>
        <w:t xml:space="preserve"> (išskyrus R. P. Srivastava, G. R. Shafer (1992) ir B. Bell, M. E. Peecher, I.</w:t>
      </w:r>
      <w:r w:rsidR="00574CBE">
        <w:rPr>
          <w:sz w:val="26"/>
          <w:szCs w:val="26"/>
          <w:lang w:val="lt-LT"/>
        </w:rPr>
        <w:t> </w:t>
      </w:r>
      <w:r w:rsidR="00476AB2" w:rsidRPr="00823C9A">
        <w:rPr>
          <w:sz w:val="26"/>
          <w:szCs w:val="26"/>
          <w:lang w:val="lt-LT"/>
        </w:rPr>
        <w:t>Solomon (2005) audito rizikos modelius)</w:t>
      </w:r>
      <w:r w:rsidR="0050783A" w:rsidRPr="00823C9A">
        <w:rPr>
          <w:sz w:val="26"/>
          <w:szCs w:val="26"/>
          <w:lang w:val="lt-LT"/>
        </w:rPr>
        <w:t>.</w:t>
      </w:r>
    </w:p>
    <w:p w:rsidR="004271D5" w:rsidRPr="003E5F7B" w:rsidRDefault="00387D3F" w:rsidP="003851EA">
      <w:pPr>
        <w:pStyle w:val="ListParagraph"/>
        <w:tabs>
          <w:tab w:val="left" w:pos="1134"/>
        </w:tabs>
        <w:spacing w:line="360" w:lineRule="auto"/>
        <w:ind w:left="0" w:firstLine="720"/>
        <w:jc w:val="both"/>
        <w:rPr>
          <w:sz w:val="26"/>
          <w:szCs w:val="26"/>
          <w:lang w:val="lt-LT"/>
        </w:rPr>
      </w:pPr>
      <w:r w:rsidRPr="003E5F7B">
        <w:rPr>
          <w:sz w:val="26"/>
          <w:szCs w:val="26"/>
          <w:lang w:val="lt-LT"/>
        </w:rPr>
        <w:t xml:space="preserve">Reikšmingo iškraipymo rizika </w:t>
      </w:r>
      <w:r w:rsidR="0025194A" w:rsidRPr="003E5F7B">
        <w:rPr>
          <w:sz w:val="26"/>
          <w:szCs w:val="26"/>
          <w:lang w:val="lt-LT"/>
        </w:rPr>
        <w:t>tvirtinimo</w:t>
      </w:r>
      <w:r w:rsidRPr="003E5F7B">
        <w:rPr>
          <w:sz w:val="26"/>
          <w:szCs w:val="26"/>
          <w:lang w:val="lt-LT"/>
        </w:rPr>
        <w:t xml:space="preserve"> lygmeniu – rizika, susijusi su konkrečiu finansinių ataskaitų element</w:t>
      </w:r>
      <w:r w:rsidR="007650F5" w:rsidRPr="003E5F7B">
        <w:rPr>
          <w:sz w:val="26"/>
          <w:szCs w:val="26"/>
          <w:lang w:val="lt-LT"/>
        </w:rPr>
        <w:t>u ir/ar jo tvirtinimo pobūdžiu</w:t>
      </w:r>
      <w:r w:rsidR="004131C5" w:rsidRPr="003E5F7B">
        <w:rPr>
          <w:sz w:val="26"/>
          <w:szCs w:val="26"/>
          <w:lang w:val="lt-LT"/>
        </w:rPr>
        <w:t xml:space="preserve"> (</w:t>
      </w:r>
      <w:r w:rsidR="007650F5" w:rsidRPr="003E5F7B">
        <w:rPr>
          <w:sz w:val="26"/>
          <w:szCs w:val="26"/>
          <w:lang w:val="lt-LT"/>
        </w:rPr>
        <w:t>įgimt</w:t>
      </w:r>
      <w:r w:rsidR="004131C5" w:rsidRPr="003E5F7B">
        <w:rPr>
          <w:sz w:val="26"/>
          <w:szCs w:val="26"/>
          <w:lang w:val="lt-LT"/>
        </w:rPr>
        <w:t xml:space="preserve">a rizika) ir jų atžvilgiu taikomomis kontrolės procedūromis (kontrolės rizika). </w:t>
      </w:r>
      <w:r w:rsidR="00432CA0">
        <w:rPr>
          <w:sz w:val="26"/>
          <w:szCs w:val="26"/>
          <w:lang w:val="lt-LT"/>
        </w:rPr>
        <w:t xml:space="preserve">Tuo tarpu </w:t>
      </w:r>
      <w:r w:rsidR="004271D5" w:rsidRPr="003E5F7B">
        <w:rPr>
          <w:sz w:val="26"/>
          <w:szCs w:val="26"/>
          <w:lang w:val="lt-LT"/>
        </w:rPr>
        <w:t>a</w:t>
      </w:r>
      <w:r w:rsidR="003851EA" w:rsidRPr="003E5F7B">
        <w:rPr>
          <w:sz w:val="26"/>
          <w:szCs w:val="26"/>
          <w:lang w:val="lt-LT"/>
        </w:rPr>
        <w:t xml:space="preserve">udituojamos įmonės kontrolės procedūrų tinkamumas </w:t>
      </w:r>
      <w:r w:rsidR="00432CA0">
        <w:rPr>
          <w:sz w:val="26"/>
          <w:szCs w:val="26"/>
          <w:lang w:val="lt-LT"/>
        </w:rPr>
        <w:t xml:space="preserve">turi būti </w:t>
      </w:r>
      <w:r w:rsidR="003851EA" w:rsidRPr="003E5F7B">
        <w:rPr>
          <w:sz w:val="26"/>
          <w:szCs w:val="26"/>
          <w:lang w:val="lt-LT"/>
        </w:rPr>
        <w:t xml:space="preserve">nustatomas nagrinėjant vidaus kontrolės sistemos struktūrą, </w:t>
      </w:r>
      <w:r w:rsidR="001902CD" w:rsidRPr="003E5F7B">
        <w:rPr>
          <w:sz w:val="26"/>
          <w:szCs w:val="26"/>
          <w:lang w:val="lt-LT"/>
        </w:rPr>
        <w:t xml:space="preserve">jos </w:t>
      </w:r>
      <w:r w:rsidR="003851EA" w:rsidRPr="003E5F7B">
        <w:rPr>
          <w:sz w:val="26"/>
          <w:szCs w:val="26"/>
          <w:lang w:val="lt-LT"/>
        </w:rPr>
        <w:t xml:space="preserve">veikimo efektyvumą (veiksmingumą) ir vertinant šios sistemos atitikimą </w:t>
      </w:r>
      <w:r w:rsidR="004271D5" w:rsidRPr="003E5F7B">
        <w:rPr>
          <w:sz w:val="26"/>
          <w:szCs w:val="26"/>
          <w:lang w:val="lt-LT"/>
        </w:rPr>
        <w:t xml:space="preserve">iškeltiems </w:t>
      </w:r>
      <w:r w:rsidR="003851EA" w:rsidRPr="003E5F7B">
        <w:rPr>
          <w:sz w:val="26"/>
          <w:szCs w:val="26"/>
          <w:lang w:val="lt-LT"/>
        </w:rPr>
        <w:lastRenderedPageBreak/>
        <w:t>kriterijams (tikslo</w:t>
      </w:r>
      <w:r w:rsidR="004271D5" w:rsidRPr="003E5F7B">
        <w:rPr>
          <w:sz w:val="26"/>
          <w:szCs w:val="26"/>
          <w:lang w:val="lt-LT"/>
        </w:rPr>
        <w:t>, atsidavimo, pajėgumo, stebėsenos ir mokymosi)</w:t>
      </w:r>
      <w:r w:rsidR="002D5870" w:rsidRPr="003E5F7B">
        <w:rPr>
          <w:sz w:val="26"/>
          <w:szCs w:val="26"/>
          <w:lang w:val="lt-LT"/>
        </w:rPr>
        <w:t>, kas taip pat atsispindi darbo autorės audito rizikos vertinimo model</w:t>
      </w:r>
      <w:r w:rsidR="004B4C82" w:rsidRPr="003E5F7B">
        <w:rPr>
          <w:sz w:val="26"/>
          <w:szCs w:val="26"/>
          <w:lang w:val="lt-LT"/>
        </w:rPr>
        <w:t>yje</w:t>
      </w:r>
      <w:r w:rsidR="004271D5" w:rsidRPr="003E5F7B">
        <w:rPr>
          <w:sz w:val="26"/>
          <w:szCs w:val="26"/>
          <w:lang w:val="lt-LT"/>
        </w:rPr>
        <w:t xml:space="preserve">. </w:t>
      </w:r>
    </w:p>
    <w:p w:rsidR="001625CB" w:rsidRDefault="00370B78" w:rsidP="00BB5EB5">
      <w:pPr>
        <w:pStyle w:val="ListParagraph"/>
        <w:tabs>
          <w:tab w:val="left" w:pos="1134"/>
        </w:tabs>
        <w:spacing w:line="360" w:lineRule="auto"/>
        <w:ind w:left="0" w:firstLine="720"/>
        <w:jc w:val="both"/>
        <w:rPr>
          <w:sz w:val="26"/>
          <w:szCs w:val="26"/>
          <w:lang w:val="lt-LT"/>
        </w:rPr>
      </w:pPr>
      <w:r w:rsidRPr="003E5F7B">
        <w:rPr>
          <w:sz w:val="26"/>
          <w:szCs w:val="26"/>
          <w:lang w:val="lt-LT"/>
        </w:rPr>
        <w:t>Antr</w:t>
      </w:r>
      <w:r w:rsidRPr="00607BFC">
        <w:rPr>
          <w:sz w:val="26"/>
          <w:szCs w:val="26"/>
          <w:lang w:val="lt-LT"/>
        </w:rPr>
        <w:t xml:space="preserve">asis audito rizikos komponentas – </w:t>
      </w:r>
      <w:r w:rsidRPr="00607BFC">
        <w:rPr>
          <w:i/>
          <w:sz w:val="26"/>
          <w:szCs w:val="26"/>
          <w:lang w:val="lt-LT"/>
        </w:rPr>
        <w:t>aptikimo rizika</w:t>
      </w:r>
      <w:r w:rsidR="00BB5EB5" w:rsidRPr="00607BFC">
        <w:rPr>
          <w:sz w:val="26"/>
          <w:szCs w:val="26"/>
          <w:lang w:val="lt-LT"/>
        </w:rPr>
        <w:t xml:space="preserve">. </w:t>
      </w:r>
      <w:r w:rsidR="00823C9A" w:rsidRPr="00607BFC">
        <w:rPr>
          <w:sz w:val="26"/>
          <w:szCs w:val="26"/>
          <w:lang w:val="lt-LT"/>
        </w:rPr>
        <w:t>Nustatyta</w:t>
      </w:r>
      <w:r w:rsidR="0066180D" w:rsidRPr="00607BFC">
        <w:rPr>
          <w:sz w:val="26"/>
          <w:szCs w:val="26"/>
          <w:lang w:val="lt-LT"/>
        </w:rPr>
        <w:t>, kad t</w:t>
      </w:r>
      <w:r w:rsidR="00BB5EB5" w:rsidRPr="00607BFC">
        <w:rPr>
          <w:sz w:val="26"/>
          <w:szCs w:val="26"/>
          <w:lang w:val="lt-LT"/>
        </w:rPr>
        <w:t xml:space="preserve">ai </w:t>
      </w:r>
      <w:r w:rsidR="001625CB" w:rsidRPr="00607BFC">
        <w:rPr>
          <w:sz w:val="26"/>
          <w:szCs w:val="26"/>
          <w:lang w:val="lt-LT"/>
        </w:rPr>
        <w:t xml:space="preserve">audito įmones (auditoriaus) </w:t>
      </w:r>
      <w:r w:rsidR="00054D6F" w:rsidRPr="00607BFC">
        <w:rPr>
          <w:sz w:val="26"/>
          <w:szCs w:val="26"/>
          <w:lang w:val="lt-LT"/>
        </w:rPr>
        <w:t>rizika, kuri</w:t>
      </w:r>
      <w:r w:rsidR="00432CA0" w:rsidRPr="00607BFC">
        <w:rPr>
          <w:sz w:val="26"/>
          <w:szCs w:val="26"/>
          <w:lang w:val="lt-LT"/>
        </w:rPr>
        <w:t>ą</w:t>
      </w:r>
      <w:r w:rsidR="002D5870" w:rsidRPr="00607BFC">
        <w:rPr>
          <w:sz w:val="26"/>
          <w:szCs w:val="26"/>
          <w:lang w:val="lt-LT"/>
        </w:rPr>
        <w:t xml:space="preserve"> </w:t>
      </w:r>
      <w:r w:rsidR="00432CA0" w:rsidRPr="00607BFC">
        <w:rPr>
          <w:sz w:val="26"/>
          <w:szCs w:val="26"/>
          <w:lang w:val="lt-LT"/>
        </w:rPr>
        <w:t xml:space="preserve">lemia </w:t>
      </w:r>
      <w:r w:rsidR="002D5870" w:rsidRPr="00607BFC">
        <w:rPr>
          <w:sz w:val="26"/>
          <w:szCs w:val="26"/>
          <w:lang w:val="lt-LT"/>
        </w:rPr>
        <w:t>audito procedūrų rizik</w:t>
      </w:r>
      <w:r w:rsidR="00432CA0" w:rsidRPr="00607BFC">
        <w:rPr>
          <w:sz w:val="26"/>
          <w:szCs w:val="26"/>
          <w:lang w:val="lt-LT"/>
        </w:rPr>
        <w:t>a</w:t>
      </w:r>
      <w:r w:rsidR="002D5870" w:rsidRPr="00607BFC">
        <w:rPr>
          <w:sz w:val="26"/>
          <w:szCs w:val="26"/>
          <w:lang w:val="lt-LT"/>
        </w:rPr>
        <w:t>, atrankos rizik</w:t>
      </w:r>
      <w:r w:rsidR="00432CA0" w:rsidRPr="00607BFC">
        <w:rPr>
          <w:sz w:val="26"/>
          <w:szCs w:val="26"/>
          <w:lang w:val="lt-LT"/>
        </w:rPr>
        <w:t>a</w:t>
      </w:r>
      <w:r w:rsidR="002D5870" w:rsidRPr="00607BFC">
        <w:rPr>
          <w:sz w:val="26"/>
          <w:szCs w:val="26"/>
          <w:lang w:val="lt-LT"/>
        </w:rPr>
        <w:t xml:space="preserve"> ir profesinė rizik</w:t>
      </w:r>
      <w:r w:rsidR="00432CA0" w:rsidRPr="00607BFC">
        <w:rPr>
          <w:sz w:val="26"/>
          <w:szCs w:val="26"/>
          <w:lang w:val="lt-LT"/>
        </w:rPr>
        <w:t>a</w:t>
      </w:r>
      <w:r w:rsidR="00BB5EB5" w:rsidRPr="00607BFC">
        <w:rPr>
          <w:sz w:val="26"/>
          <w:szCs w:val="26"/>
          <w:lang w:val="lt-LT"/>
        </w:rPr>
        <w:t xml:space="preserve">. </w:t>
      </w:r>
      <w:r w:rsidR="00216E65" w:rsidRPr="00607BFC">
        <w:rPr>
          <w:sz w:val="26"/>
          <w:szCs w:val="26"/>
          <w:lang w:val="lt-LT"/>
        </w:rPr>
        <w:t>Savo ruožtu, a</w:t>
      </w:r>
      <w:r w:rsidR="008C2438" w:rsidRPr="00607BFC">
        <w:rPr>
          <w:sz w:val="26"/>
          <w:szCs w:val="26"/>
          <w:lang w:val="lt-LT"/>
        </w:rPr>
        <w:t xml:space="preserve">udito procedūrų rizika </w:t>
      </w:r>
      <w:r w:rsidR="001625CB" w:rsidRPr="00607BFC">
        <w:rPr>
          <w:sz w:val="26"/>
          <w:szCs w:val="26"/>
          <w:lang w:val="lt-LT"/>
        </w:rPr>
        <w:t xml:space="preserve">– </w:t>
      </w:r>
      <w:r w:rsidR="00216E65" w:rsidRPr="00607BFC">
        <w:rPr>
          <w:sz w:val="26"/>
          <w:szCs w:val="26"/>
          <w:lang w:val="lt-LT"/>
        </w:rPr>
        <w:t>rizika</w:t>
      </w:r>
      <w:r w:rsidR="00353E92" w:rsidRPr="00607BFC">
        <w:rPr>
          <w:sz w:val="26"/>
          <w:szCs w:val="26"/>
          <w:lang w:val="lt-LT"/>
        </w:rPr>
        <w:t>,</w:t>
      </w:r>
      <w:r w:rsidR="00216E65" w:rsidRPr="00607BFC">
        <w:rPr>
          <w:sz w:val="26"/>
          <w:szCs w:val="26"/>
          <w:lang w:val="lt-LT"/>
        </w:rPr>
        <w:t xml:space="preserve"> susijusi su netinkamu </w:t>
      </w:r>
      <w:r w:rsidR="00BB6363" w:rsidRPr="00607BFC">
        <w:rPr>
          <w:sz w:val="26"/>
          <w:szCs w:val="26"/>
          <w:lang w:val="lt-LT"/>
        </w:rPr>
        <w:t>audito procedūros</w:t>
      </w:r>
      <w:r w:rsidR="00216E65" w:rsidRPr="00607BFC">
        <w:rPr>
          <w:sz w:val="26"/>
          <w:szCs w:val="26"/>
          <w:lang w:val="lt-LT"/>
        </w:rPr>
        <w:t xml:space="preserve"> </w:t>
      </w:r>
      <w:r w:rsidR="00353E92" w:rsidRPr="00607BFC">
        <w:rPr>
          <w:sz w:val="26"/>
          <w:szCs w:val="26"/>
          <w:lang w:val="lt-LT"/>
        </w:rPr>
        <w:t xml:space="preserve">pritaikymu ar parinkimu konkrečiam finansinių ataskaitų elementui </w:t>
      </w:r>
      <w:r w:rsidR="00125B20" w:rsidRPr="00607BFC">
        <w:rPr>
          <w:sz w:val="26"/>
          <w:szCs w:val="26"/>
          <w:lang w:val="lt-LT"/>
        </w:rPr>
        <w:t>ar jo</w:t>
      </w:r>
      <w:r w:rsidR="00125B20" w:rsidRPr="003E5F7B">
        <w:rPr>
          <w:sz w:val="26"/>
          <w:szCs w:val="26"/>
          <w:lang w:val="lt-LT"/>
        </w:rPr>
        <w:t xml:space="preserve"> tvirtinimui </w:t>
      </w:r>
      <w:r w:rsidR="00353E92" w:rsidRPr="003E5F7B">
        <w:rPr>
          <w:sz w:val="26"/>
          <w:szCs w:val="26"/>
          <w:lang w:val="lt-LT"/>
        </w:rPr>
        <w:t xml:space="preserve">tirti; </w:t>
      </w:r>
      <w:r w:rsidR="008C2438" w:rsidRPr="003E5F7B">
        <w:rPr>
          <w:sz w:val="26"/>
          <w:szCs w:val="26"/>
          <w:lang w:val="lt-LT"/>
        </w:rPr>
        <w:t xml:space="preserve">atrankos rizika – </w:t>
      </w:r>
      <w:r w:rsidR="00353E92" w:rsidRPr="003E5F7B">
        <w:rPr>
          <w:sz w:val="26"/>
          <w:szCs w:val="26"/>
          <w:lang w:val="lt-LT"/>
        </w:rPr>
        <w:t>r</w:t>
      </w:r>
      <w:r w:rsidR="008C2438" w:rsidRPr="003E5F7B">
        <w:rPr>
          <w:sz w:val="26"/>
          <w:szCs w:val="26"/>
          <w:lang w:val="lt-LT"/>
        </w:rPr>
        <w:t>izika kyla</w:t>
      </w:r>
      <w:r w:rsidR="00353E92" w:rsidRPr="003E5F7B">
        <w:rPr>
          <w:sz w:val="26"/>
          <w:szCs w:val="26"/>
          <w:lang w:val="lt-LT"/>
        </w:rPr>
        <w:t>nti</w:t>
      </w:r>
      <w:r w:rsidR="008C2438" w:rsidRPr="003E5F7B">
        <w:rPr>
          <w:sz w:val="26"/>
          <w:szCs w:val="26"/>
          <w:lang w:val="lt-LT"/>
        </w:rPr>
        <w:t xml:space="preserve"> dėl to, kad išvados padarytos remiantis atrankos duomenimis, gali skirtis nuo išvadų, jei tos pačios audito procedūros būtų buvę taikytos </w:t>
      </w:r>
      <w:r w:rsidR="00353E92" w:rsidRPr="003E5F7B">
        <w:rPr>
          <w:sz w:val="26"/>
          <w:szCs w:val="26"/>
          <w:lang w:val="lt-LT"/>
        </w:rPr>
        <w:t>visai visumai; pr</w:t>
      </w:r>
      <w:r w:rsidR="008C2438" w:rsidRPr="003E5F7B">
        <w:rPr>
          <w:sz w:val="26"/>
          <w:szCs w:val="26"/>
          <w:lang w:val="lt-LT"/>
        </w:rPr>
        <w:t xml:space="preserve">ofesinė rizika – </w:t>
      </w:r>
      <w:r w:rsidR="00216E65" w:rsidRPr="003E5F7B">
        <w:rPr>
          <w:sz w:val="26"/>
          <w:szCs w:val="26"/>
          <w:lang w:val="lt-LT"/>
        </w:rPr>
        <w:t xml:space="preserve">rizika, </w:t>
      </w:r>
      <w:r w:rsidR="00353E92" w:rsidRPr="003E5F7B">
        <w:rPr>
          <w:sz w:val="26"/>
          <w:szCs w:val="26"/>
          <w:lang w:val="lt-LT"/>
        </w:rPr>
        <w:t xml:space="preserve">nulemta </w:t>
      </w:r>
      <w:r w:rsidR="00216E65" w:rsidRPr="003E5F7B">
        <w:rPr>
          <w:sz w:val="26"/>
          <w:szCs w:val="26"/>
          <w:lang w:val="lt-LT"/>
        </w:rPr>
        <w:t xml:space="preserve">auditoriaus savybių </w:t>
      </w:r>
      <w:r w:rsidR="00BB6363" w:rsidRPr="003E5F7B">
        <w:rPr>
          <w:sz w:val="26"/>
          <w:szCs w:val="26"/>
          <w:lang w:val="lt-LT"/>
        </w:rPr>
        <w:t>(</w:t>
      </w:r>
      <w:r w:rsidR="00216E65" w:rsidRPr="003E5F7B">
        <w:rPr>
          <w:sz w:val="26"/>
          <w:szCs w:val="26"/>
          <w:lang w:val="lt-LT"/>
        </w:rPr>
        <w:t>patirties, kvalifikacijos</w:t>
      </w:r>
      <w:r w:rsidR="00BB6363" w:rsidRPr="003E5F7B">
        <w:rPr>
          <w:sz w:val="26"/>
          <w:szCs w:val="26"/>
          <w:lang w:val="lt-LT"/>
        </w:rPr>
        <w:t>)</w:t>
      </w:r>
      <w:r w:rsidR="00216E65" w:rsidRPr="003E5F7B">
        <w:rPr>
          <w:sz w:val="26"/>
          <w:szCs w:val="26"/>
          <w:lang w:val="lt-LT"/>
        </w:rPr>
        <w:t xml:space="preserve"> ir</w:t>
      </w:r>
      <w:r w:rsidR="00353E92" w:rsidRPr="003E5F7B">
        <w:rPr>
          <w:sz w:val="26"/>
          <w:szCs w:val="26"/>
          <w:lang w:val="lt-LT"/>
        </w:rPr>
        <w:t>/ar</w:t>
      </w:r>
      <w:r w:rsidR="00216E65" w:rsidRPr="003E5F7B">
        <w:rPr>
          <w:sz w:val="26"/>
          <w:szCs w:val="26"/>
          <w:lang w:val="lt-LT"/>
        </w:rPr>
        <w:t xml:space="preserve"> pagrindinių audito koncepcijų netobulumo ar tinkamo </w:t>
      </w:r>
      <w:r w:rsidR="00353E92" w:rsidRPr="003E5F7B">
        <w:rPr>
          <w:sz w:val="26"/>
          <w:szCs w:val="26"/>
          <w:lang w:val="lt-LT"/>
        </w:rPr>
        <w:t xml:space="preserve">jų </w:t>
      </w:r>
      <w:r w:rsidR="00216E65" w:rsidRPr="003E5F7B">
        <w:rPr>
          <w:sz w:val="26"/>
          <w:szCs w:val="26"/>
          <w:lang w:val="lt-LT"/>
        </w:rPr>
        <w:t xml:space="preserve">nesilaikymo. </w:t>
      </w:r>
      <w:r w:rsidR="001902CD" w:rsidRPr="003E5F7B">
        <w:rPr>
          <w:sz w:val="26"/>
          <w:szCs w:val="26"/>
          <w:lang w:val="lt-LT"/>
        </w:rPr>
        <w:t>Visa t</w:t>
      </w:r>
      <w:r w:rsidR="00F07982" w:rsidRPr="003E5F7B">
        <w:rPr>
          <w:sz w:val="26"/>
          <w:szCs w:val="26"/>
          <w:lang w:val="lt-LT"/>
        </w:rPr>
        <w:t xml:space="preserve">ai reiškia, kad </w:t>
      </w:r>
      <w:r w:rsidR="001902CD" w:rsidRPr="003E5F7B">
        <w:rPr>
          <w:sz w:val="26"/>
          <w:szCs w:val="26"/>
          <w:lang w:val="lt-LT"/>
        </w:rPr>
        <w:t>aptikimo</w:t>
      </w:r>
      <w:r w:rsidR="00F07982" w:rsidRPr="003E5F7B">
        <w:rPr>
          <w:sz w:val="26"/>
          <w:szCs w:val="26"/>
          <w:lang w:val="lt-LT"/>
        </w:rPr>
        <w:t xml:space="preserve"> rizika yra auditoriaus valdoma </w:t>
      </w:r>
      <w:r w:rsidR="00607BFC">
        <w:rPr>
          <w:sz w:val="26"/>
          <w:szCs w:val="26"/>
          <w:lang w:val="lt-LT"/>
        </w:rPr>
        <w:t xml:space="preserve">rizika </w:t>
      </w:r>
      <w:r w:rsidR="0025194A" w:rsidRPr="003E5F7B">
        <w:rPr>
          <w:sz w:val="26"/>
          <w:szCs w:val="26"/>
          <w:lang w:val="lt-LT"/>
        </w:rPr>
        <w:t>tvirtinimo</w:t>
      </w:r>
      <w:r w:rsidR="00F07982" w:rsidRPr="003E5F7B">
        <w:rPr>
          <w:sz w:val="26"/>
          <w:szCs w:val="26"/>
          <w:lang w:val="lt-LT"/>
        </w:rPr>
        <w:t xml:space="preserve"> lygmeniu. </w:t>
      </w:r>
    </w:p>
    <w:p w:rsidR="001A6B29" w:rsidRPr="003E5F7B" w:rsidRDefault="001625CB" w:rsidP="00BB5EB5">
      <w:pPr>
        <w:pStyle w:val="ListParagraph"/>
        <w:tabs>
          <w:tab w:val="left" w:pos="1134"/>
        </w:tabs>
        <w:spacing w:line="360" w:lineRule="auto"/>
        <w:ind w:left="0" w:firstLine="720"/>
        <w:jc w:val="both"/>
        <w:rPr>
          <w:sz w:val="26"/>
          <w:szCs w:val="26"/>
          <w:lang w:val="lt-LT"/>
        </w:rPr>
      </w:pPr>
      <w:r>
        <w:rPr>
          <w:sz w:val="26"/>
          <w:szCs w:val="26"/>
          <w:lang w:val="lt-LT"/>
        </w:rPr>
        <w:t>Svarbu tai, kad d</w:t>
      </w:r>
      <w:r w:rsidR="00A50C06" w:rsidRPr="003E5F7B">
        <w:rPr>
          <w:sz w:val="26"/>
          <w:szCs w:val="26"/>
          <w:lang w:val="lt-LT"/>
        </w:rPr>
        <w:t xml:space="preserve">arbo autorės </w:t>
      </w:r>
      <w:r w:rsidR="00BB5EB5" w:rsidRPr="003E5F7B">
        <w:rPr>
          <w:sz w:val="26"/>
          <w:szCs w:val="26"/>
          <w:lang w:val="lt-LT"/>
        </w:rPr>
        <w:t xml:space="preserve">audito rizikos vertinimo modelyje </w:t>
      </w:r>
      <w:r>
        <w:rPr>
          <w:sz w:val="26"/>
          <w:szCs w:val="26"/>
          <w:lang w:val="lt-LT"/>
        </w:rPr>
        <w:t xml:space="preserve">akcentuojamas </w:t>
      </w:r>
      <w:r w:rsidR="00BB5EB5" w:rsidRPr="003E5F7B">
        <w:rPr>
          <w:sz w:val="26"/>
          <w:szCs w:val="26"/>
          <w:lang w:val="lt-LT"/>
        </w:rPr>
        <w:t xml:space="preserve">ryšys tarp </w:t>
      </w:r>
      <w:r w:rsidR="0093413D" w:rsidRPr="003E5F7B">
        <w:rPr>
          <w:sz w:val="26"/>
          <w:szCs w:val="26"/>
          <w:lang w:val="lt-LT"/>
        </w:rPr>
        <w:t>audito rizikos komponentų</w:t>
      </w:r>
      <w:r w:rsidR="0066180D">
        <w:rPr>
          <w:sz w:val="26"/>
          <w:szCs w:val="26"/>
          <w:lang w:val="lt-LT"/>
        </w:rPr>
        <w:t>, pasireiškiančių tvirtinimo lygmeniu</w:t>
      </w:r>
      <w:r w:rsidR="0014002D">
        <w:rPr>
          <w:sz w:val="26"/>
          <w:szCs w:val="26"/>
          <w:lang w:val="lt-LT"/>
        </w:rPr>
        <w:t xml:space="preserve">. </w:t>
      </w:r>
      <w:r w:rsidR="00607BFC">
        <w:rPr>
          <w:sz w:val="26"/>
          <w:szCs w:val="26"/>
          <w:lang w:val="lt-LT"/>
        </w:rPr>
        <w:t>Išsiaiškinta</w:t>
      </w:r>
      <w:r w:rsidR="00E402DD">
        <w:rPr>
          <w:sz w:val="26"/>
          <w:szCs w:val="26"/>
          <w:lang w:val="lt-LT"/>
        </w:rPr>
        <w:t xml:space="preserve">, </w:t>
      </w:r>
      <w:r w:rsidR="008D240F">
        <w:rPr>
          <w:sz w:val="26"/>
          <w:szCs w:val="26"/>
          <w:lang w:val="lt-LT"/>
        </w:rPr>
        <w:t>kad r</w:t>
      </w:r>
      <w:r w:rsidR="008D240F" w:rsidRPr="00607BFC">
        <w:rPr>
          <w:sz w:val="26"/>
          <w:szCs w:val="26"/>
          <w:lang w:val="lt-LT"/>
        </w:rPr>
        <w:t>yšys tarp reikšmingo iškraipymo rizikos tvirtinimo lygmeniu ir aptikimo rizikos yra dvejop</w:t>
      </w:r>
      <w:r w:rsidR="00E402DD" w:rsidRPr="00607BFC">
        <w:rPr>
          <w:sz w:val="26"/>
          <w:szCs w:val="26"/>
          <w:lang w:val="lt-LT"/>
        </w:rPr>
        <w:t>as</w:t>
      </w:r>
      <w:r w:rsidR="008D240F" w:rsidRPr="00607BFC">
        <w:rPr>
          <w:sz w:val="26"/>
          <w:szCs w:val="26"/>
          <w:lang w:val="lt-LT"/>
        </w:rPr>
        <w:t xml:space="preserve">, t. y. 1) </w:t>
      </w:r>
      <w:r w:rsidR="008D240F" w:rsidRPr="00607BFC">
        <w:rPr>
          <w:i/>
          <w:sz w:val="26"/>
          <w:szCs w:val="26"/>
          <w:lang w:val="lt-LT"/>
        </w:rPr>
        <w:t>tiesioginis ryšys</w:t>
      </w:r>
      <w:r w:rsidR="008D240F" w:rsidRPr="00607BFC">
        <w:rPr>
          <w:sz w:val="26"/>
          <w:szCs w:val="26"/>
          <w:lang w:val="lt-LT"/>
        </w:rPr>
        <w:t>: kuo didesnė reikšmingo iškraipymo rizika tvirtinimo lygmeniu, tuo didesnė ir aptikimo rizika</w:t>
      </w:r>
      <w:r w:rsidR="00E402DD" w:rsidRPr="00607BFC">
        <w:rPr>
          <w:sz w:val="26"/>
          <w:szCs w:val="26"/>
          <w:lang w:val="lt-LT"/>
        </w:rPr>
        <w:t xml:space="preserve"> (pvz. tiriant sudėtingą ar apskaitiniais įverčiais pagrįstą finansinių ataskaitų elementą aptikimo rizika padidėja); </w:t>
      </w:r>
      <w:r w:rsidR="008D240F" w:rsidRPr="00607BFC">
        <w:rPr>
          <w:sz w:val="26"/>
          <w:szCs w:val="26"/>
          <w:lang w:val="lt-LT"/>
        </w:rPr>
        <w:t xml:space="preserve">2) </w:t>
      </w:r>
      <w:r w:rsidR="00E402DD" w:rsidRPr="00607BFC">
        <w:rPr>
          <w:i/>
          <w:sz w:val="26"/>
          <w:szCs w:val="26"/>
          <w:lang w:val="lt-LT"/>
        </w:rPr>
        <w:t>atvirkštinis ryšys</w:t>
      </w:r>
      <w:r w:rsidR="00E402DD" w:rsidRPr="00607BFC">
        <w:rPr>
          <w:sz w:val="26"/>
          <w:szCs w:val="26"/>
          <w:lang w:val="lt-LT"/>
        </w:rPr>
        <w:t xml:space="preserve">: </w:t>
      </w:r>
      <w:r w:rsidR="008D240F" w:rsidRPr="00607BFC">
        <w:rPr>
          <w:sz w:val="26"/>
          <w:szCs w:val="26"/>
          <w:lang w:val="lt-LT"/>
        </w:rPr>
        <w:t>priimtinai žem</w:t>
      </w:r>
      <w:r w:rsidR="00E402DD" w:rsidRPr="00607BFC">
        <w:rPr>
          <w:sz w:val="26"/>
          <w:szCs w:val="26"/>
          <w:lang w:val="lt-LT"/>
        </w:rPr>
        <w:t xml:space="preserve">ą </w:t>
      </w:r>
      <w:r w:rsidR="008D240F" w:rsidRPr="00607BFC">
        <w:rPr>
          <w:sz w:val="26"/>
          <w:szCs w:val="26"/>
          <w:lang w:val="lt-LT"/>
        </w:rPr>
        <w:t>audito rizikos lyg</w:t>
      </w:r>
      <w:r w:rsidR="00E402DD" w:rsidRPr="00607BFC">
        <w:rPr>
          <w:sz w:val="26"/>
          <w:szCs w:val="26"/>
          <w:lang w:val="lt-LT"/>
        </w:rPr>
        <w:t xml:space="preserve">į galima pasiekti sumažinus vieną iš šių komponentų. </w:t>
      </w:r>
      <w:r w:rsidR="008540F9" w:rsidRPr="00607BFC">
        <w:rPr>
          <w:sz w:val="26"/>
          <w:szCs w:val="26"/>
          <w:lang w:val="lt-LT"/>
        </w:rPr>
        <w:t>N</w:t>
      </w:r>
      <w:r w:rsidR="005316D3" w:rsidRPr="00607BFC">
        <w:rPr>
          <w:sz w:val="26"/>
          <w:szCs w:val="26"/>
          <w:lang w:val="lt-LT"/>
        </w:rPr>
        <w:t>agrinėtuose audito rizikos modeliuose (klasikiniame, praplėstame, ABREMA, W. R. Kinney (1989), S. T. Sennetti (1990), R.</w:t>
      </w:r>
      <w:r w:rsidR="00973556">
        <w:rPr>
          <w:sz w:val="26"/>
          <w:szCs w:val="26"/>
          <w:lang w:val="lt-LT"/>
        </w:rPr>
        <w:t> </w:t>
      </w:r>
      <w:r w:rsidR="005316D3" w:rsidRPr="00607BFC">
        <w:rPr>
          <w:sz w:val="26"/>
          <w:szCs w:val="26"/>
          <w:lang w:val="lt-LT"/>
        </w:rPr>
        <w:t>P.</w:t>
      </w:r>
      <w:r w:rsidR="00973556">
        <w:rPr>
          <w:sz w:val="26"/>
          <w:szCs w:val="26"/>
          <w:lang w:val="lt-LT"/>
        </w:rPr>
        <w:t> </w:t>
      </w:r>
      <w:r w:rsidR="005316D3" w:rsidRPr="00607BFC">
        <w:rPr>
          <w:sz w:val="26"/>
          <w:szCs w:val="26"/>
          <w:lang w:val="lt-LT"/>
        </w:rPr>
        <w:t>Srivastava, G. R. Shafer (1992)) dėmesys buvo skiriamas tik atvirkštiniam ryšiui tarp šių audito rizikos komponentų išreikšti</w:t>
      </w:r>
      <w:r w:rsidR="008540F9" w:rsidRPr="00607BFC">
        <w:rPr>
          <w:sz w:val="26"/>
          <w:szCs w:val="26"/>
          <w:lang w:val="lt-LT"/>
        </w:rPr>
        <w:t>.</w:t>
      </w:r>
      <w:r w:rsidR="005316D3" w:rsidRPr="00607BFC">
        <w:rPr>
          <w:sz w:val="26"/>
          <w:szCs w:val="26"/>
          <w:lang w:val="lt-LT"/>
        </w:rPr>
        <w:t xml:space="preserve"> </w:t>
      </w:r>
      <w:r w:rsidR="008540F9" w:rsidRPr="00607BFC">
        <w:rPr>
          <w:sz w:val="26"/>
          <w:szCs w:val="26"/>
          <w:lang w:val="lt-LT"/>
        </w:rPr>
        <w:t>D</w:t>
      </w:r>
      <w:r w:rsidR="00E402DD" w:rsidRPr="00607BFC">
        <w:rPr>
          <w:sz w:val="26"/>
          <w:szCs w:val="26"/>
          <w:lang w:val="lt-LT"/>
        </w:rPr>
        <w:t>arbo autorės audito rizikos vertinimo model</w:t>
      </w:r>
      <w:r w:rsidR="005316D3" w:rsidRPr="00607BFC">
        <w:rPr>
          <w:sz w:val="26"/>
          <w:szCs w:val="26"/>
          <w:lang w:val="lt-LT"/>
        </w:rPr>
        <w:t>io struktūrogram</w:t>
      </w:r>
      <w:r w:rsidR="008540F9" w:rsidRPr="00607BFC">
        <w:rPr>
          <w:sz w:val="26"/>
          <w:szCs w:val="26"/>
          <w:lang w:val="lt-LT"/>
        </w:rPr>
        <w:t>a trūkumą dėl tiesio</w:t>
      </w:r>
      <w:r w:rsidR="008540F9">
        <w:rPr>
          <w:sz w:val="26"/>
          <w:szCs w:val="26"/>
          <w:lang w:val="lt-LT"/>
        </w:rPr>
        <w:t>ginio ryšio panaikina</w:t>
      </w:r>
      <w:r w:rsidR="0050783A">
        <w:rPr>
          <w:sz w:val="26"/>
          <w:szCs w:val="26"/>
          <w:lang w:val="lt-LT"/>
        </w:rPr>
        <w:t xml:space="preserve">, nes </w:t>
      </w:r>
      <w:r w:rsidR="008540F9">
        <w:rPr>
          <w:sz w:val="26"/>
          <w:szCs w:val="26"/>
          <w:lang w:val="lt-LT"/>
        </w:rPr>
        <w:t>jo</w:t>
      </w:r>
      <w:r w:rsidR="005316D3">
        <w:rPr>
          <w:sz w:val="26"/>
          <w:szCs w:val="26"/>
          <w:lang w:val="lt-LT"/>
        </w:rPr>
        <w:t xml:space="preserve">je </w:t>
      </w:r>
      <w:r w:rsidR="00E402DD">
        <w:rPr>
          <w:sz w:val="26"/>
          <w:szCs w:val="26"/>
          <w:lang w:val="lt-LT"/>
        </w:rPr>
        <w:t xml:space="preserve">yra </w:t>
      </w:r>
      <w:r w:rsidR="00607BFC">
        <w:rPr>
          <w:sz w:val="26"/>
          <w:szCs w:val="26"/>
          <w:lang w:val="lt-LT"/>
        </w:rPr>
        <w:t>parodyt</w:t>
      </w:r>
      <w:r w:rsidR="008540F9">
        <w:rPr>
          <w:sz w:val="26"/>
          <w:szCs w:val="26"/>
          <w:lang w:val="lt-LT"/>
        </w:rPr>
        <w:t>i abu minėti ryšiai.</w:t>
      </w:r>
      <w:r w:rsidR="005F5CD3">
        <w:rPr>
          <w:color w:val="FF0000"/>
          <w:sz w:val="26"/>
          <w:szCs w:val="26"/>
          <w:highlight w:val="yellow"/>
          <w:lang w:val="lt-LT"/>
        </w:rPr>
        <w:t xml:space="preserve"> </w:t>
      </w:r>
    </w:p>
    <w:p w:rsidR="00E35B8D" w:rsidRPr="00BB5E55" w:rsidRDefault="009102B6" w:rsidP="00360B90">
      <w:pPr>
        <w:pStyle w:val="ListParagraph"/>
        <w:tabs>
          <w:tab w:val="left" w:pos="1134"/>
        </w:tabs>
        <w:spacing w:line="360" w:lineRule="auto"/>
        <w:ind w:left="0" w:firstLine="720"/>
        <w:jc w:val="both"/>
        <w:rPr>
          <w:sz w:val="26"/>
          <w:szCs w:val="26"/>
          <w:lang w:val="lt-LT"/>
        </w:rPr>
      </w:pPr>
      <w:r w:rsidRPr="009102B6">
        <w:rPr>
          <w:sz w:val="26"/>
          <w:szCs w:val="26"/>
          <w:lang w:val="lt-LT"/>
        </w:rPr>
        <w:t>Darbo autorės</w:t>
      </w:r>
      <w:r>
        <w:rPr>
          <w:sz w:val="26"/>
          <w:szCs w:val="26"/>
          <w:lang w:val="lt-LT"/>
        </w:rPr>
        <w:t xml:space="preserve"> audito rizikos vertinimo modelyje</w:t>
      </w:r>
      <w:r w:rsidR="00E131BE">
        <w:rPr>
          <w:sz w:val="26"/>
          <w:szCs w:val="26"/>
          <w:lang w:val="lt-LT"/>
        </w:rPr>
        <w:t>, t</w:t>
      </w:r>
      <w:r w:rsidR="00C67A53">
        <w:rPr>
          <w:sz w:val="26"/>
          <w:szCs w:val="26"/>
          <w:lang w:val="lt-LT"/>
        </w:rPr>
        <w:t xml:space="preserve">iksliau, jo </w:t>
      </w:r>
      <w:r w:rsidR="00E131BE">
        <w:rPr>
          <w:sz w:val="26"/>
          <w:szCs w:val="26"/>
          <w:lang w:val="lt-LT"/>
        </w:rPr>
        <w:t xml:space="preserve">struktūrogramoje </w:t>
      </w:r>
      <w:r w:rsidR="00E131BE" w:rsidRPr="003E5F7B">
        <w:rPr>
          <w:sz w:val="26"/>
          <w:szCs w:val="26"/>
          <w:lang w:val="lt-LT"/>
        </w:rPr>
        <w:t>(žr. 19 pav.)</w:t>
      </w:r>
      <w:r w:rsidR="00E131BE">
        <w:rPr>
          <w:sz w:val="26"/>
          <w:szCs w:val="26"/>
          <w:lang w:val="lt-LT"/>
        </w:rPr>
        <w:t>,</w:t>
      </w:r>
      <w:r>
        <w:rPr>
          <w:sz w:val="26"/>
          <w:szCs w:val="26"/>
          <w:lang w:val="lt-LT"/>
        </w:rPr>
        <w:t xml:space="preserve"> nauja </w:t>
      </w:r>
      <w:r w:rsidR="006F723D">
        <w:rPr>
          <w:sz w:val="26"/>
          <w:szCs w:val="26"/>
          <w:lang w:val="lt-LT"/>
        </w:rPr>
        <w:t>y</w:t>
      </w:r>
      <w:r w:rsidR="00C67A53">
        <w:rPr>
          <w:sz w:val="26"/>
          <w:szCs w:val="26"/>
          <w:lang w:val="lt-LT"/>
        </w:rPr>
        <w:t xml:space="preserve">ra </w:t>
      </w:r>
      <w:r>
        <w:rPr>
          <w:sz w:val="26"/>
          <w:szCs w:val="26"/>
          <w:lang w:val="lt-LT"/>
        </w:rPr>
        <w:t xml:space="preserve">tai, kad </w:t>
      </w:r>
      <w:r w:rsidR="00C67A53">
        <w:rPr>
          <w:sz w:val="26"/>
          <w:szCs w:val="26"/>
          <w:lang w:val="lt-LT"/>
        </w:rPr>
        <w:t xml:space="preserve">čia </w:t>
      </w:r>
      <w:r w:rsidR="00E131BE" w:rsidRPr="003E5F7B">
        <w:rPr>
          <w:sz w:val="26"/>
          <w:szCs w:val="26"/>
          <w:lang w:val="lt-LT"/>
        </w:rPr>
        <w:t xml:space="preserve">pavaizduotas </w:t>
      </w:r>
      <w:r w:rsidR="00E131BE">
        <w:rPr>
          <w:b/>
          <w:sz w:val="26"/>
          <w:szCs w:val="26"/>
          <w:lang w:val="lt-LT"/>
        </w:rPr>
        <w:t>a</w:t>
      </w:r>
      <w:r w:rsidR="00B94B96" w:rsidRPr="003E5F7B">
        <w:rPr>
          <w:b/>
          <w:sz w:val="26"/>
          <w:szCs w:val="26"/>
          <w:lang w:val="lt-LT"/>
        </w:rPr>
        <w:t xml:space="preserve">udito rizikos </w:t>
      </w:r>
      <w:r w:rsidR="00800354" w:rsidRPr="003E5F7B">
        <w:rPr>
          <w:b/>
          <w:sz w:val="26"/>
          <w:szCs w:val="26"/>
          <w:lang w:val="lt-LT"/>
        </w:rPr>
        <w:t xml:space="preserve">ir jos komponentų </w:t>
      </w:r>
      <w:r w:rsidR="00B94B96" w:rsidRPr="003E5F7B">
        <w:rPr>
          <w:b/>
          <w:sz w:val="26"/>
          <w:szCs w:val="26"/>
          <w:lang w:val="lt-LT"/>
        </w:rPr>
        <w:t>vertinimo procesas</w:t>
      </w:r>
      <w:r w:rsidR="00800354" w:rsidRPr="003E5F7B">
        <w:rPr>
          <w:sz w:val="26"/>
          <w:szCs w:val="26"/>
          <w:lang w:val="lt-LT"/>
        </w:rPr>
        <w:t>. Tai atskleidžia</w:t>
      </w:r>
      <w:r w:rsidR="00800354" w:rsidRPr="003E5F7B">
        <w:rPr>
          <w:i/>
          <w:sz w:val="26"/>
          <w:szCs w:val="26"/>
          <w:lang w:val="lt-LT"/>
        </w:rPr>
        <w:t xml:space="preserve"> </w:t>
      </w:r>
      <w:r w:rsidR="006D2662" w:rsidRPr="003E5F7B">
        <w:rPr>
          <w:i/>
          <w:sz w:val="26"/>
          <w:szCs w:val="26"/>
          <w:lang w:val="lt-LT"/>
        </w:rPr>
        <w:t>nuolatinę audito rizikos</w:t>
      </w:r>
      <w:r w:rsidR="006D2662" w:rsidRPr="003E5F7B">
        <w:rPr>
          <w:sz w:val="26"/>
          <w:szCs w:val="26"/>
          <w:lang w:val="lt-LT"/>
        </w:rPr>
        <w:t xml:space="preserve"> ir jos komponentų (per)</w:t>
      </w:r>
      <w:r w:rsidR="006D2662" w:rsidRPr="003E5F7B">
        <w:rPr>
          <w:i/>
          <w:sz w:val="26"/>
          <w:szCs w:val="26"/>
          <w:lang w:val="lt-LT"/>
        </w:rPr>
        <w:t xml:space="preserve">vertinimo eigą </w:t>
      </w:r>
      <w:r w:rsidR="006D2662" w:rsidRPr="003E5F7B">
        <w:rPr>
          <w:sz w:val="26"/>
          <w:szCs w:val="26"/>
          <w:lang w:val="lt-LT"/>
        </w:rPr>
        <w:t xml:space="preserve">audito metu bei su tuo </w:t>
      </w:r>
      <w:r w:rsidR="006D2662" w:rsidRPr="003E5F7B">
        <w:rPr>
          <w:sz w:val="26"/>
          <w:szCs w:val="26"/>
          <w:lang w:val="lt-LT"/>
        </w:rPr>
        <w:lastRenderedPageBreak/>
        <w:t xml:space="preserve">susijusį </w:t>
      </w:r>
      <w:r w:rsidR="0097443B" w:rsidRPr="003E5F7B">
        <w:rPr>
          <w:i/>
          <w:sz w:val="26"/>
          <w:szCs w:val="26"/>
          <w:lang w:val="lt-LT"/>
        </w:rPr>
        <w:t>iteratyvin</w:t>
      </w:r>
      <w:r w:rsidR="006D2662" w:rsidRPr="003E5F7B">
        <w:rPr>
          <w:i/>
          <w:sz w:val="26"/>
          <w:szCs w:val="26"/>
          <w:lang w:val="lt-LT"/>
        </w:rPr>
        <w:t>į sprendimų pri</w:t>
      </w:r>
      <w:r w:rsidR="0097443B" w:rsidRPr="003E5F7B">
        <w:rPr>
          <w:i/>
          <w:sz w:val="26"/>
          <w:szCs w:val="26"/>
          <w:lang w:val="lt-LT"/>
        </w:rPr>
        <w:t xml:space="preserve">ėmimo </w:t>
      </w:r>
      <w:r w:rsidR="006D2662" w:rsidRPr="003E5F7B">
        <w:rPr>
          <w:i/>
          <w:sz w:val="26"/>
          <w:szCs w:val="26"/>
          <w:lang w:val="lt-LT"/>
        </w:rPr>
        <w:t>procesą</w:t>
      </w:r>
      <w:r w:rsidR="0097443B" w:rsidRPr="003E5F7B">
        <w:rPr>
          <w:sz w:val="26"/>
          <w:szCs w:val="26"/>
          <w:lang w:val="lt-LT"/>
        </w:rPr>
        <w:t>: 1) susipažinimo su kl</w:t>
      </w:r>
      <w:r w:rsidR="00A965CC" w:rsidRPr="003E5F7B">
        <w:rPr>
          <w:sz w:val="26"/>
          <w:szCs w:val="26"/>
          <w:lang w:val="lt-LT"/>
        </w:rPr>
        <w:t>ie</w:t>
      </w:r>
      <w:r w:rsidR="0097443B" w:rsidRPr="003E5F7B">
        <w:rPr>
          <w:sz w:val="26"/>
          <w:szCs w:val="26"/>
          <w:lang w:val="lt-LT"/>
        </w:rPr>
        <w:t>ntu aud</w:t>
      </w:r>
      <w:r w:rsidR="00A965CC" w:rsidRPr="003E5F7B">
        <w:rPr>
          <w:sz w:val="26"/>
          <w:szCs w:val="26"/>
          <w:lang w:val="lt-LT"/>
        </w:rPr>
        <w:t>i</w:t>
      </w:r>
      <w:r w:rsidR="0097443B" w:rsidRPr="003E5F7B">
        <w:rPr>
          <w:sz w:val="26"/>
          <w:szCs w:val="26"/>
          <w:lang w:val="lt-LT"/>
        </w:rPr>
        <w:t>to etape nagrinėja</w:t>
      </w:r>
      <w:r w:rsidR="00A965CC" w:rsidRPr="003E5F7B">
        <w:rPr>
          <w:sz w:val="26"/>
          <w:szCs w:val="26"/>
          <w:lang w:val="lt-LT"/>
        </w:rPr>
        <w:t>ma</w:t>
      </w:r>
      <w:r w:rsidR="0097443B" w:rsidRPr="003E5F7B">
        <w:rPr>
          <w:sz w:val="26"/>
          <w:szCs w:val="26"/>
          <w:lang w:val="lt-LT"/>
        </w:rPr>
        <w:t xml:space="preserve"> informacija</w:t>
      </w:r>
      <w:r w:rsidR="00A965CC" w:rsidRPr="003E5F7B">
        <w:rPr>
          <w:sz w:val="26"/>
          <w:szCs w:val="26"/>
          <w:lang w:val="lt-LT"/>
        </w:rPr>
        <w:t xml:space="preserve">, susijusi su reikšmingo iškraipymo rizika finansinių ataskaitų lygmeniu, kurios dėka planuojami tolesni audito veiksmai; 2) audito planavimo etape </w:t>
      </w:r>
      <w:r w:rsidR="005F3CE5" w:rsidRPr="003E5F7B">
        <w:rPr>
          <w:sz w:val="26"/>
          <w:szCs w:val="26"/>
          <w:lang w:val="lt-LT"/>
        </w:rPr>
        <w:t>numatom</w:t>
      </w:r>
      <w:r w:rsidR="00A965CC" w:rsidRPr="003E5F7B">
        <w:rPr>
          <w:sz w:val="26"/>
          <w:szCs w:val="26"/>
          <w:lang w:val="lt-LT"/>
        </w:rPr>
        <w:t>os audito procedūros, atsižvelgiant į turimą informaciją apie finansinių ataskaitų lygmeniu</w:t>
      </w:r>
      <w:r w:rsidR="00C21A14" w:rsidRPr="003E5F7B">
        <w:rPr>
          <w:sz w:val="26"/>
          <w:szCs w:val="26"/>
          <w:lang w:val="lt-LT"/>
        </w:rPr>
        <w:t xml:space="preserve"> ir </w:t>
      </w:r>
      <w:r w:rsidR="00A965CC" w:rsidRPr="003E5F7B">
        <w:rPr>
          <w:sz w:val="26"/>
          <w:szCs w:val="26"/>
          <w:lang w:val="lt-LT"/>
        </w:rPr>
        <w:t xml:space="preserve">tam tikro tvirtinimo lygmeniu </w:t>
      </w:r>
      <w:r w:rsidR="001A199F" w:rsidRPr="003E5F7B">
        <w:rPr>
          <w:sz w:val="26"/>
          <w:szCs w:val="26"/>
          <w:lang w:val="lt-LT"/>
        </w:rPr>
        <w:t xml:space="preserve">egzistuojančią reikšmingo iškraipymo riziką </w:t>
      </w:r>
      <w:r w:rsidR="00A965CC" w:rsidRPr="003E5F7B">
        <w:rPr>
          <w:sz w:val="26"/>
          <w:szCs w:val="26"/>
          <w:lang w:val="lt-LT"/>
        </w:rPr>
        <w:t>bei susijusią aptikimo riziką; 3)</w:t>
      </w:r>
      <w:r w:rsidR="0024462D">
        <w:rPr>
          <w:sz w:val="26"/>
          <w:szCs w:val="26"/>
          <w:lang w:val="lt-LT"/>
        </w:rPr>
        <w:t> </w:t>
      </w:r>
      <w:r w:rsidR="00A965CC" w:rsidRPr="003E5F7B">
        <w:rPr>
          <w:sz w:val="26"/>
          <w:szCs w:val="26"/>
          <w:lang w:val="lt-LT"/>
        </w:rPr>
        <w:t xml:space="preserve">kontrolės tyrimo ir detalaus tikrinimo etapuose </w:t>
      </w:r>
      <w:r w:rsidR="005F3CE5" w:rsidRPr="003E5F7B">
        <w:rPr>
          <w:sz w:val="26"/>
          <w:szCs w:val="26"/>
          <w:lang w:val="lt-LT"/>
        </w:rPr>
        <w:t xml:space="preserve">atliekamos suplanuotos audito procedūros ir </w:t>
      </w:r>
      <w:r w:rsidR="00A965CC" w:rsidRPr="003E5F7B">
        <w:rPr>
          <w:sz w:val="26"/>
          <w:szCs w:val="26"/>
          <w:lang w:val="lt-LT"/>
        </w:rPr>
        <w:t>renkami audito įrodymai,</w:t>
      </w:r>
      <w:r w:rsidR="00C21A14" w:rsidRPr="003E5F7B">
        <w:rPr>
          <w:sz w:val="26"/>
          <w:szCs w:val="26"/>
          <w:lang w:val="lt-LT"/>
        </w:rPr>
        <w:t xml:space="preserve"> tam, kad patvirtinti arba </w:t>
      </w:r>
      <w:r w:rsidR="001A199F" w:rsidRPr="003E5F7B">
        <w:rPr>
          <w:sz w:val="26"/>
          <w:szCs w:val="26"/>
          <w:lang w:val="lt-LT"/>
        </w:rPr>
        <w:t xml:space="preserve">paneigti </w:t>
      </w:r>
      <w:r w:rsidR="00C21A14" w:rsidRPr="003E5F7B">
        <w:rPr>
          <w:sz w:val="26"/>
          <w:szCs w:val="26"/>
          <w:lang w:val="lt-LT"/>
        </w:rPr>
        <w:t>ankstesni</w:t>
      </w:r>
      <w:r w:rsidR="00AD5801" w:rsidRPr="003E5F7B">
        <w:rPr>
          <w:sz w:val="26"/>
          <w:szCs w:val="26"/>
          <w:lang w:val="lt-LT"/>
        </w:rPr>
        <w:t>uos</w:t>
      </w:r>
      <w:r w:rsidR="00C21A14" w:rsidRPr="003E5F7B">
        <w:rPr>
          <w:sz w:val="26"/>
          <w:szCs w:val="26"/>
          <w:lang w:val="lt-LT"/>
        </w:rPr>
        <w:t>e audito etap</w:t>
      </w:r>
      <w:r w:rsidR="00AD5801" w:rsidRPr="003E5F7B">
        <w:rPr>
          <w:sz w:val="26"/>
          <w:szCs w:val="26"/>
          <w:lang w:val="lt-LT"/>
        </w:rPr>
        <w:t>uos</w:t>
      </w:r>
      <w:r w:rsidR="00C21A14" w:rsidRPr="003E5F7B">
        <w:rPr>
          <w:sz w:val="26"/>
          <w:szCs w:val="26"/>
          <w:lang w:val="lt-LT"/>
        </w:rPr>
        <w:t>e padarytus audito rizikos komponentų vertinimus</w:t>
      </w:r>
      <w:r w:rsidR="001A199F" w:rsidRPr="003E5F7B">
        <w:rPr>
          <w:sz w:val="26"/>
          <w:szCs w:val="26"/>
          <w:lang w:val="lt-LT"/>
        </w:rPr>
        <w:t xml:space="preserve"> bei </w:t>
      </w:r>
      <w:r w:rsidR="00AD5801" w:rsidRPr="003E5F7B">
        <w:rPr>
          <w:sz w:val="26"/>
          <w:szCs w:val="26"/>
          <w:lang w:val="lt-LT"/>
        </w:rPr>
        <w:t>nagrinėjama</w:t>
      </w:r>
      <w:r w:rsidR="001A199F" w:rsidRPr="003E5F7B">
        <w:rPr>
          <w:sz w:val="26"/>
          <w:szCs w:val="26"/>
          <w:lang w:val="lt-LT"/>
        </w:rPr>
        <w:t>, ar bus galima pasiekti priimtiną audito rizikos lygį</w:t>
      </w:r>
      <w:r w:rsidR="00C21A14" w:rsidRPr="003E5F7B">
        <w:rPr>
          <w:sz w:val="26"/>
          <w:szCs w:val="26"/>
          <w:lang w:val="lt-LT"/>
        </w:rPr>
        <w:t xml:space="preserve">. </w:t>
      </w:r>
      <w:r w:rsidR="00360B90" w:rsidRPr="003E5F7B">
        <w:rPr>
          <w:sz w:val="26"/>
          <w:szCs w:val="26"/>
          <w:lang w:val="lt-LT"/>
        </w:rPr>
        <w:t>Jei priimtinas audito rizikos lygis negali būti pasiekiamas – grįžtama į ankstesnį etapą, t. y. audito planavim</w:t>
      </w:r>
      <w:r w:rsidR="00E131BE">
        <w:rPr>
          <w:sz w:val="26"/>
          <w:szCs w:val="26"/>
          <w:lang w:val="lt-LT"/>
        </w:rPr>
        <w:t>ą</w:t>
      </w:r>
      <w:r w:rsidR="00360B90" w:rsidRPr="003E5F7B">
        <w:rPr>
          <w:sz w:val="26"/>
          <w:szCs w:val="26"/>
          <w:lang w:val="lt-LT"/>
        </w:rPr>
        <w:t xml:space="preserve">. </w:t>
      </w:r>
      <w:r w:rsidR="001A199F" w:rsidRPr="003E5F7B">
        <w:rPr>
          <w:sz w:val="26"/>
          <w:szCs w:val="26"/>
          <w:lang w:val="lt-LT"/>
        </w:rPr>
        <w:t xml:space="preserve">Svarbu tai, kad minėti </w:t>
      </w:r>
      <w:r w:rsidR="00C21A14" w:rsidRPr="003E5F7B">
        <w:rPr>
          <w:sz w:val="26"/>
          <w:szCs w:val="26"/>
          <w:lang w:val="lt-LT"/>
        </w:rPr>
        <w:t>audito etapa</w:t>
      </w:r>
      <w:r w:rsidR="00E46FEA" w:rsidRPr="003E5F7B">
        <w:rPr>
          <w:sz w:val="26"/>
          <w:szCs w:val="26"/>
          <w:lang w:val="lt-LT"/>
        </w:rPr>
        <w:t xml:space="preserve">i </w:t>
      </w:r>
      <w:r w:rsidR="001A199F" w:rsidRPr="003E5F7B">
        <w:rPr>
          <w:sz w:val="26"/>
          <w:szCs w:val="26"/>
          <w:lang w:val="lt-LT"/>
        </w:rPr>
        <w:t xml:space="preserve">(kontrolės tyrimo ir detalaus tikrinimo) darbo autorės </w:t>
      </w:r>
      <w:r w:rsidR="00E46FEA" w:rsidRPr="003E5F7B">
        <w:rPr>
          <w:sz w:val="26"/>
          <w:szCs w:val="26"/>
          <w:lang w:val="lt-LT"/>
        </w:rPr>
        <w:t>modelyje pateikiami</w:t>
      </w:r>
      <w:r w:rsidR="00C21A14" w:rsidRPr="003E5F7B">
        <w:rPr>
          <w:sz w:val="26"/>
          <w:szCs w:val="26"/>
          <w:lang w:val="lt-LT"/>
        </w:rPr>
        <w:t xml:space="preserve"> kartu, nes dažnai auditoriai kontrolės test</w:t>
      </w:r>
      <w:r w:rsidR="00E46FEA" w:rsidRPr="003E5F7B">
        <w:rPr>
          <w:sz w:val="26"/>
          <w:szCs w:val="26"/>
          <w:lang w:val="lt-LT"/>
        </w:rPr>
        <w:t>us</w:t>
      </w:r>
      <w:r w:rsidR="00C21A14" w:rsidRPr="003E5F7B">
        <w:rPr>
          <w:sz w:val="26"/>
          <w:szCs w:val="26"/>
          <w:lang w:val="lt-LT"/>
        </w:rPr>
        <w:t xml:space="preserve"> derina su kitų audito procedūrų atlikimu</w:t>
      </w:r>
      <w:r w:rsidR="00E46FEA" w:rsidRPr="003E5F7B">
        <w:rPr>
          <w:sz w:val="26"/>
          <w:szCs w:val="26"/>
          <w:lang w:val="lt-LT"/>
        </w:rPr>
        <w:t xml:space="preserve">, todėl kiekvieno šių etapų </w:t>
      </w:r>
      <w:r w:rsidR="00C21A14" w:rsidRPr="003E5F7B">
        <w:rPr>
          <w:sz w:val="26"/>
          <w:szCs w:val="26"/>
          <w:lang w:val="lt-LT"/>
        </w:rPr>
        <w:t>atskiras pateikimas būtų netikslus</w:t>
      </w:r>
      <w:r w:rsidR="0024462D">
        <w:rPr>
          <w:sz w:val="26"/>
          <w:szCs w:val="26"/>
          <w:lang w:val="lt-LT"/>
        </w:rPr>
        <w:t>; 4) </w:t>
      </w:r>
      <w:r w:rsidR="00E46FEA" w:rsidRPr="003E5F7B">
        <w:rPr>
          <w:sz w:val="26"/>
          <w:szCs w:val="26"/>
          <w:lang w:val="lt-LT"/>
        </w:rPr>
        <w:t>nuomonės formulavimo etape apibendrinami audito rezultatai, kad būtų galima pateikti tinkamą nuomonę apie audituojamos įmonės finansines ataskaitas</w:t>
      </w:r>
      <w:r w:rsidR="001A199F" w:rsidRPr="003E5F7B">
        <w:rPr>
          <w:sz w:val="26"/>
          <w:szCs w:val="26"/>
          <w:lang w:val="lt-LT"/>
        </w:rPr>
        <w:t xml:space="preserve">, esant </w:t>
      </w:r>
      <w:r w:rsidR="0093413D" w:rsidRPr="003E5F7B">
        <w:rPr>
          <w:sz w:val="26"/>
          <w:szCs w:val="26"/>
          <w:lang w:val="lt-LT"/>
        </w:rPr>
        <w:t>mažai (</w:t>
      </w:r>
      <w:r w:rsidR="00E46FEA" w:rsidRPr="003E5F7B">
        <w:rPr>
          <w:sz w:val="26"/>
          <w:szCs w:val="26"/>
          <w:lang w:val="lt-LT"/>
        </w:rPr>
        <w:t>priimtino lygio</w:t>
      </w:r>
      <w:r w:rsidR="0093413D" w:rsidRPr="003E5F7B">
        <w:rPr>
          <w:sz w:val="26"/>
          <w:szCs w:val="26"/>
          <w:lang w:val="lt-LT"/>
        </w:rPr>
        <w:t>)</w:t>
      </w:r>
      <w:r w:rsidR="001A199F" w:rsidRPr="003E5F7B">
        <w:rPr>
          <w:sz w:val="26"/>
          <w:szCs w:val="26"/>
          <w:lang w:val="lt-LT"/>
        </w:rPr>
        <w:t xml:space="preserve"> audito rizikai</w:t>
      </w:r>
      <w:r w:rsidR="00E46FEA" w:rsidRPr="003E5F7B">
        <w:rPr>
          <w:sz w:val="26"/>
          <w:szCs w:val="26"/>
          <w:lang w:val="lt-LT"/>
        </w:rPr>
        <w:t>.</w:t>
      </w:r>
      <w:r w:rsidR="001A199F" w:rsidRPr="003E5F7B">
        <w:rPr>
          <w:sz w:val="26"/>
          <w:szCs w:val="26"/>
          <w:lang w:val="lt-LT"/>
        </w:rPr>
        <w:t xml:space="preserve"> Tačiau nepasiekus priimtino </w:t>
      </w:r>
      <w:r w:rsidR="002F31B0" w:rsidRPr="003E5F7B">
        <w:rPr>
          <w:sz w:val="26"/>
          <w:szCs w:val="26"/>
          <w:lang w:val="lt-LT"/>
        </w:rPr>
        <w:t xml:space="preserve">audito rizikos </w:t>
      </w:r>
      <w:r w:rsidR="001A199F" w:rsidRPr="003E5F7B">
        <w:rPr>
          <w:sz w:val="26"/>
          <w:szCs w:val="26"/>
          <w:lang w:val="lt-LT"/>
        </w:rPr>
        <w:t>lygio</w:t>
      </w:r>
      <w:r w:rsidR="002F31B0" w:rsidRPr="003E5F7B">
        <w:rPr>
          <w:sz w:val="26"/>
          <w:szCs w:val="26"/>
          <w:lang w:val="lt-LT"/>
        </w:rPr>
        <w:t>,</w:t>
      </w:r>
      <w:r w:rsidR="001A199F" w:rsidRPr="003E5F7B">
        <w:rPr>
          <w:sz w:val="26"/>
          <w:szCs w:val="26"/>
          <w:lang w:val="lt-LT"/>
        </w:rPr>
        <w:t xml:space="preserve"> </w:t>
      </w:r>
      <w:r w:rsidR="002F31B0" w:rsidRPr="003E5F7B">
        <w:rPr>
          <w:sz w:val="26"/>
          <w:szCs w:val="26"/>
          <w:lang w:val="lt-LT"/>
        </w:rPr>
        <w:t xml:space="preserve">audito atlikimas </w:t>
      </w:r>
      <w:r w:rsidR="001A199F" w:rsidRPr="003E5F7B">
        <w:rPr>
          <w:sz w:val="26"/>
          <w:szCs w:val="26"/>
          <w:lang w:val="lt-LT"/>
        </w:rPr>
        <w:t xml:space="preserve">turėtų būti </w:t>
      </w:r>
      <w:r w:rsidR="002F31B0" w:rsidRPr="003E5F7B">
        <w:rPr>
          <w:sz w:val="26"/>
          <w:szCs w:val="26"/>
          <w:lang w:val="lt-LT"/>
        </w:rPr>
        <w:t xml:space="preserve">peržiūrimas ir </w:t>
      </w:r>
      <w:r w:rsidR="00360B90" w:rsidRPr="003E5F7B">
        <w:rPr>
          <w:sz w:val="26"/>
          <w:szCs w:val="26"/>
          <w:lang w:val="lt-LT"/>
        </w:rPr>
        <w:t>suplanuojamos</w:t>
      </w:r>
      <w:r w:rsidR="001A199F" w:rsidRPr="003E5F7B">
        <w:rPr>
          <w:sz w:val="26"/>
          <w:szCs w:val="26"/>
          <w:lang w:val="lt-LT"/>
        </w:rPr>
        <w:t xml:space="preserve"> </w:t>
      </w:r>
      <w:r w:rsidR="002F31B0" w:rsidRPr="003E5F7B">
        <w:rPr>
          <w:sz w:val="26"/>
          <w:szCs w:val="26"/>
          <w:lang w:val="lt-LT"/>
        </w:rPr>
        <w:t xml:space="preserve">papildomos </w:t>
      </w:r>
      <w:r w:rsidR="001A199F" w:rsidRPr="003E5F7B">
        <w:rPr>
          <w:sz w:val="26"/>
          <w:szCs w:val="26"/>
          <w:lang w:val="lt-LT"/>
        </w:rPr>
        <w:t>audit</w:t>
      </w:r>
      <w:r w:rsidR="002F31B0" w:rsidRPr="003E5F7B">
        <w:rPr>
          <w:sz w:val="26"/>
          <w:szCs w:val="26"/>
          <w:lang w:val="lt-LT"/>
        </w:rPr>
        <w:t xml:space="preserve">o procedūros bei </w:t>
      </w:r>
      <w:r w:rsidR="00360B90" w:rsidRPr="003E5F7B">
        <w:rPr>
          <w:sz w:val="26"/>
          <w:szCs w:val="26"/>
          <w:lang w:val="lt-LT"/>
        </w:rPr>
        <w:t xml:space="preserve">atliekami </w:t>
      </w:r>
      <w:r w:rsidR="002F31B0" w:rsidRPr="003E5F7B">
        <w:rPr>
          <w:sz w:val="26"/>
          <w:szCs w:val="26"/>
          <w:lang w:val="lt-LT"/>
        </w:rPr>
        <w:t>kiti s</w:t>
      </w:r>
      <w:r w:rsidR="00360B90" w:rsidRPr="003E5F7B">
        <w:rPr>
          <w:sz w:val="26"/>
          <w:szCs w:val="26"/>
          <w:lang w:val="lt-LT"/>
        </w:rPr>
        <w:t>usiję</w:t>
      </w:r>
      <w:r w:rsidR="002F31B0" w:rsidRPr="003E5F7B">
        <w:rPr>
          <w:sz w:val="26"/>
          <w:szCs w:val="26"/>
          <w:lang w:val="lt-LT"/>
        </w:rPr>
        <w:t xml:space="preserve"> audito veiksmai. Taigi </w:t>
      </w:r>
      <w:r w:rsidR="0093413D" w:rsidRPr="003E5F7B">
        <w:rPr>
          <w:sz w:val="26"/>
          <w:szCs w:val="26"/>
          <w:lang w:val="lt-LT"/>
        </w:rPr>
        <w:t xml:space="preserve">audito rizikos vertinimo modelio struktūrogramoje </w:t>
      </w:r>
      <w:r w:rsidR="002F31B0" w:rsidRPr="003E5F7B">
        <w:rPr>
          <w:sz w:val="26"/>
          <w:szCs w:val="26"/>
          <w:lang w:val="lt-LT"/>
        </w:rPr>
        <w:t>pateikta</w:t>
      </w:r>
      <w:r w:rsidR="00450B2C" w:rsidRPr="003E5F7B">
        <w:rPr>
          <w:sz w:val="26"/>
          <w:szCs w:val="26"/>
          <w:lang w:val="lt-LT"/>
        </w:rPr>
        <w:t>s</w:t>
      </w:r>
      <w:r w:rsidR="002F31B0" w:rsidRPr="003E5F7B">
        <w:rPr>
          <w:sz w:val="26"/>
          <w:szCs w:val="26"/>
          <w:lang w:val="lt-LT"/>
        </w:rPr>
        <w:t xml:space="preserve"> audito rizikos vertinimo </w:t>
      </w:r>
      <w:r w:rsidR="00450B2C" w:rsidRPr="003E5F7B">
        <w:rPr>
          <w:sz w:val="26"/>
          <w:szCs w:val="26"/>
          <w:lang w:val="lt-LT"/>
        </w:rPr>
        <w:t xml:space="preserve">procesas </w:t>
      </w:r>
      <w:r w:rsidR="002F31B0" w:rsidRPr="003E5F7B">
        <w:rPr>
          <w:sz w:val="26"/>
          <w:szCs w:val="26"/>
          <w:lang w:val="lt-LT"/>
        </w:rPr>
        <w:t xml:space="preserve">rodo grįžtamuosius ryšius iš ankstesnių </w:t>
      </w:r>
      <w:r w:rsidR="00450B2C" w:rsidRPr="003E5F7B">
        <w:rPr>
          <w:sz w:val="26"/>
          <w:szCs w:val="26"/>
          <w:lang w:val="lt-LT"/>
        </w:rPr>
        <w:t>audito etapų/</w:t>
      </w:r>
      <w:r w:rsidR="002F31B0" w:rsidRPr="003E5F7B">
        <w:rPr>
          <w:sz w:val="26"/>
          <w:szCs w:val="26"/>
          <w:lang w:val="lt-LT"/>
        </w:rPr>
        <w:t>veiksmų</w:t>
      </w:r>
      <w:r w:rsidR="00360B90" w:rsidRPr="003E5F7B">
        <w:rPr>
          <w:sz w:val="26"/>
          <w:szCs w:val="26"/>
          <w:lang w:val="lt-LT"/>
        </w:rPr>
        <w:t xml:space="preserve"> ir </w:t>
      </w:r>
      <w:r w:rsidR="001F04DE" w:rsidRPr="003E5F7B">
        <w:rPr>
          <w:sz w:val="26"/>
          <w:szCs w:val="26"/>
          <w:lang w:val="lt-LT"/>
        </w:rPr>
        <w:t>patikslin</w:t>
      </w:r>
      <w:r w:rsidR="00E35B8D" w:rsidRPr="003E5F7B">
        <w:rPr>
          <w:sz w:val="26"/>
          <w:szCs w:val="26"/>
          <w:lang w:val="lt-LT"/>
        </w:rPr>
        <w:t>a</w:t>
      </w:r>
      <w:r w:rsidR="001F04DE" w:rsidRPr="003E5F7B">
        <w:rPr>
          <w:sz w:val="26"/>
          <w:szCs w:val="26"/>
          <w:lang w:val="lt-LT"/>
        </w:rPr>
        <w:t xml:space="preserve"> audito rizikos komponentų dydžius, atlikus </w:t>
      </w:r>
      <w:r w:rsidR="00360B90" w:rsidRPr="003E5F7B">
        <w:rPr>
          <w:sz w:val="26"/>
          <w:szCs w:val="26"/>
          <w:lang w:val="lt-LT"/>
        </w:rPr>
        <w:t xml:space="preserve">galimo reikšmingo iškraipymo </w:t>
      </w:r>
      <w:r w:rsidR="001F04DE" w:rsidRPr="003E5F7B">
        <w:rPr>
          <w:sz w:val="26"/>
          <w:szCs w:val="26"/>
          <w:lang w:val="lt-LT"/>
        </w:rPr>
        <w:t>įvertinimą</w:t>
      </w:r>
      <w:r w:rsidR="00E35B8D" w:rsidRPr="003E5F7B">
        <w:rPr>
          <w:sz w:val="26"/>
          <w:szCs w:val="26"/>
          <w:lang w:val="lt-LT"/>
        </w:rPr>
        <w:t>.</w:t>
      </w:r>
      <w:r w:rsidR="00E131BE">
        <w:rPr>
          <w:sz w:val="26"/>
          <w:szCs w:val="26"/>
          <w:lang w:val="lt-LT"/>
        </w:rPr>
        <w:t xml:space="preserve"> </w:t>
      </w:r>
      <w:r w:rsidR="00C57738">
        <w:rPr>
          <w:sz w:val="26"/>
          <w:szCs w:val="26"/>
          <w:lang w:val="lt-LT"/>
        </w:rPr>
        <w:t xml:space="preserve">Ir </w:t>
      </w:r>
      <w:r w:rsidR="00E131BE">
        <w:rPr>
          <w:sz w:val="26"/>
          <w:szCs w:val="26"/>
          <w:lang w:val="lt-LT"/>
        </w:rPr>
        <w:t xml:space="preserve">tai </w:t>
      </w:r>
      <w:r w:rsidR="00C57738">
        <w:rPr>
          <w:sz w:val="26"/>
          <w:szCs w:val="26"/>
          <w:lang w:val="lt-LT"/>
        </w:rPr>
        <w:t xml:space="preserve">yra </w:t>
      </w:r>
      <w:r w:rsidR="00E131BE">
        <w:rPr>
          <w:sz w:val="26"/>
          <w:szCs w:val="26"/>
          <w:lang w:val="lt-LT"/>
        </w:rPr>
        <w:t xml:space="preserve">darbo autorės </w:t>
      </w:r>
      <w:r w:rsidR="00C57738">
        <w:rPr>
          <w:sz w:val="26"/>
          <w:szCs w:val="26"/>
          <w:lang w:val="lt-LT"/>
        </w:rPr>
        <w:t xml:space="preserve">sukurto </w:t>
      </w:r>
      <w:r w:rsidR="00E131BE">
        <w:rPr>
          <w:sz w:val="26"/>
          <w:szCs w:val="26"/>
          <w:lang w:val="lt-LT"/>
        </w:rPr>
        <w:t>modelio privalum</w:t>
      </w:r>
      <w:r w:rsidR="00C57738">
        <w:rPr>
          <w:sz w:val="26"/>
          <w:szCs w:val="26"/>
          <w:lang w:val="lt-LT"/>
        </w:rPr>
        <w:t>as lygina</w:t>
      </w:r>
      <w:r w:rsidR="00C57738" w:rsidRPr="00BB5E55">
        <w:rPr>
          <w:sz w:val="26"/>
          <w:szCs w:val="26"/>
          <w:lang w:val="lt-LT"/>
        </w:rPr>
        <w:t xml:space="preserve">nt jį su </w:t>
      </w:r>
      <w:r w:rsidR="00BB5E55" w:rsidRPr="00BB5E55">
        <w:rPr>
          <w:sz w:val="26"/>
          <w:szCs w:val="26"/>
          <w:lang w:val="lt-LT"/>
        </w:rPr>
        <w:t xml:space="preserve">kitais </w:t>
      </w:r>
      <w:r w:rsidR="00C57738" w:rsidRPr="00BB5E55">
        <w:rPr>
          <w:sz w:val="26"/>
          <w:szCs w:val="26"/>
          <w:lang w:val="lt-LT"/>
        </w:rPr>
        <w:t xml:space="preserve">nagrinėtais audito rizikos </w:t>
      </w:r>
      <w:r w:rsidR="00BB5E55" w:rsidRPr="00BB5E55">
        <w:rPr>
          <w:sz w:val="26"/>
          <w:szCs w:val="26"/>
          <w:lang w:val="lt-LT"/>
        </w:rPr>
        <w:t xml:space="preserve">sampratos </w:t>
      </w:r>
      <w:r w:rsidR="00C57738" w:rsidRPr="00BB5E55">
        <w:rPr>
          <w:sz w:val="26"/>
          <w:szCs w:val="26"/>
          <w:lang w:val="lt-LT"/>
        </w:rPr>
        <w:t>modeliais.</w:t>
      </w:r>
      <w:r w:rsidR="00E131BE" w:rsidRPr="00BB5E55">
        <w:rPr>
          <w:sz w:val="26"/>
          <w:szCs w:val="26"/>
          <w:lang w:val="lt-LT"/>
        </w:rPr>
        <w:t xml:space="preserve"> </w:t>
      </w:r>
    </w:p>
    <w:p w:rsidR="0078359D" w:rsidRPr="00BB5E55" w:rsidRDefault="00C57738" w:rsidP="00B00828">
      <w:pPr>
        <w:pStyle w:val="NormalWeb"/>
        <w:spacing w:before="0" w:beforeAutospacing="0" w:after="0" w:afterAutospacing="0" w:line="360" w:lineRule="auto"/>
        <w:ind w:firstLine="720"/>
        <w:jc w:val="both"/>
        <w:rPr>
          <w:sz w:val="26"/>
          <w:szCs w:val="26"/>
          <w:lang w:val="lt-LT"/>
        </w:rPr>
      </w:pPr>
      <w:r w:rsidRPr="00BB5E55">
        <w:rPr>
          <w:sz w:val="26"/>
          <w:szCs w:val="26"/>
          <w:lang w:val="lt-LT"/>
        </w:rPr>
        <w:t xml:space="preserve">Sukurta </w:t>
      </w:r>
      <w:r w:rsidR="00310A6A" w:rsidRPr="00BB5E55">
        <w:rPr>
          <w:sz w:val="26"/>
          <w:szCs w:val="26"/>
          <w:lang w:val="lt-LT"/>
        </w:rPr>
        <w:t xml:space="preserve">audito rizikos vertinimo </w:t>
      </w:r>
      <w:r w:rsidR="005F3CE5" w:rsidRPr="00BB5E55">
        <w:rPr>
          <w:sz w:val="26"/>
          <w:szCs w:val="26"/>
          <w:lang w:val="lt-LT"/>
        </w:rPr>
        <w:t xml:space="preserve">modelio </w:t>
      </w:r>
      <w:r w:rsidR="00310A6A" w:rsidRPr="00BB5E55">
        <w:rPr>
          <w:sz w:val="26"/>
          <w:szCs w:val="26"/>
          <w:lang w:val="lt-LT"/>
        </w:rPr>
        <w:t xml:space="preserve">struktūrograma </w:t>
      </w:r>
      <w:r w:rsidRPr="00BB5E55">
        <w:rPr>
          <w:sz w:val="26"/>
          <w:szCs w:val="26"/>
          <w:lang w:val="lt-LT"/>
        </w:rPr>
        <w:t xml:space="preserve">atskleidžia </w:t>
      </w:r>
      <w:r w:rsidR="00310A6A" w:rsidRPr="00BB5E55">
        <w:rPr>
          <w:sz w:val="26"/>
          <w:szCs w:val="26"/>
          <w:lang w:val="lt-LT"/>
        </w:rPr>
        <w:t xml:space="preserve">audito rizikos vertinimo </w:t>
      </w:r>
      <w:r w:rsidRPr="00BB5E55">
        <w:rPr>
          <w:sz w:val="26"/>
          <w:szCs w:val="26"/>
          <w:lang w:val="lt-LT"/>
        </w:rPr>
        <w:t>proceso nuoseklumą</w:t>
      </w:r>
      <w:r w:rsidR="007B7BC4" w:rsidRPr="00BB5E55">
        <w:rPr>
          <w:sz w:val="26"/>
          <w:szCs w:val="26"/>
          <w:lang w:val="lt-LT"/>
        </w:rPr>
        <w:t xml:space="preserve">, kuris </w:t>
      </w:r>
      <w:r w:rsidR="003D0CA6" w:rsidRPr="00BB5E55">
        <w:rPr>
          <w:sz w:val="26"/>
          <w:szCs w:val="26"/>
          <w:lang w:val="lt-LT"/>
        </w:rPr>
        <w:t xml:space="preserve">labai </w:t>
      </w:r>
      <w:r w:rsidR="007B7BC4" w:rsidRPr="00BB5E55">
        <w:rPr>
          <w:sz w:val="26"/>
          <w:szCs w:val="26"/>
          <w:lang w:val="lt-LT"/>
        </w:rPr>
        <w:t xml:space="preserve">svarbus norint tinkamai įvertinti audito riziką. Tačiau </w:t>
      </w:r>
      <w:r w:rsidR="003D0CA6" w:rsidRPr="00BB5E55">
        <w:rPr>
          <w:sz w:val="26"/>
          <w:szCs w:val="26"/>
          <w:lang w:val="lt-LT"/>
        </w:rPr>
        <w:t>a</w:t>
      </w:r>
      <w:r w:rsidR="0078359D" w:rsidRPr="00BB5E55">
        <w:rPr>
          <w:sz w:val="26"/>
          <w:szCs w:val="26"/>
          <w:lang w:val="lt-LT"/>
        </w:rPr>
        <w:t>udito rizikos vertinimo modelis būtų nepilnas, jei ne</w:t>
      </w:r>
      <w:r w:rsidR="004968BF" w:rsidRPr="00BB5E55">
        <w:rPr>
          <w:sz w:val="26"/>
          <w:szCs w:val="26"/>
          <w:lang w:val="lt-LT"/>
        </w:rPr>
        <w:t>pasiūlyt</w:t>
      </w:r>
      <w:r w:rsidR="0078359D" w:rsidRPr="00BB5E55">
        <w:rPr>
          <w:sz w:val="26"/>
          <w:szCs w:val="26"/>
          <w:lang w:val="lt-LT"/>
        </w:rPr>
        <w:t xml:space="preserve">ų </w:t>
      </w:r>
      <w:r w:rsidR="0078359D" w:rsidRPr="00C87A2C">
        <w:rPr>
          <w:i/>
          <w:sz w:val="26"/>
          <w:szCs w:val="26"/>
          <w:lang w:val="lt-LT"/>
        </w:rPr>
        <w:t xml:space="preserve">audito rizikos </w:t>
      </w:r>
      <w:r w:rsidR="003D0CA6" w:rsidRPr="00C87A2C">
        <w:rPr>
          <w:i/>
          <w:sz w:val="26"/>
          <w:szCs w:val="26"/>
          <w:lang w:val="lt-LT"/>
        </w:rPr>
        <w:t xml:space="preserve">ir/ar jos </w:t>
      </w:r>
      <w:r w:rsidR="0078359D" w:rsidRPr="00C87A2C">
        <w:rPr>
          <w:i/>
          <w:sz w:val="26"/>
          <w:szCs w:val="26"/>
          <w:lang w:val="lt-LT"/>
        </w:rPr>
        <w:t xml:space="preserve">komponentų </w:t>
      </w:r>
      <w:r w:rsidR="00A62D02" w:rsidRPr="00C87A2C">
        <w:rPr>
          <w:i/>
          <w:sz w:val="26"/>
          <w:szCs w:val="26"/>
          <w:lang w:val="lt-LT"/>
        </w:rPr>
        <w:t>vertinimo</w:t>
      </w:r>
      <w:r w:rsidR="0078359D" w:rsidRPr="00C87A2C">
        <w:rPr>
          <w:i/>
          <w:sz w:val="26"/>
          <w:szCs w:val="26"/>
          <w:lang w:val="lt-LT"/>
        </w:rPr>
        <w:t xml:space="preserve"> metodik</w:t>
      </w:r>
      <w:r w:rsidR="003D0CA6" w:rsidRPr="00C87A2C">
        <w:rPr>
          <w:i/>
          <w:sz w:val="26"/>
          <w:szCs w:val="26"/>
          <w:lang w:val="lt-LT"/>
        </w:rPr>
        <w:t>os taikytinos praktinėje veikloje</w:t>
      </w:r>
      <w:r w:rsidR="003D0CA6" w:rsidRPr="00BB5E55">
        <w:rPr>
          <w:sz w:val="26"/>
          <w:szCs w:val="26"/>
          <w:lang w:val="lt-LT"/>
        </w:rPr>
        <w:t xml:space="preserve">. </w:t>
      </w:r>
      <w:r w:rsidR="004B1FB6" w:rsidRPr="00BB5E55">
        <w:rPr>
          <w:sz w:val="26"/>
          <w:szCs w:val="26"/>
          <w:lang w:val="lt-LT"/>
        </w:rPr>
        <w:t>Tokia</w:t>
      </w:r>
      <w:r w:rsidR="003D0CA6" w:rsidRPr="00BB5E55">
        <w:rPr>
          <w:sz w:val="26"/>
          <w:szCs w:val="26"/>
          <w:lang w:val="lt-LT"/>
        </w:rPr>
        <w:t xml:space="preserve"> metodik</w:t>
      </w:r>
      <w:r w:rsidR="004B1FB6" w:rsidRPr="00BB5E55">
        <w:rPr>
          <w:sz w:val="26"/>
          <w:szCs w:val="26"/>
          <w:lang w:val="lt-LT"/>
        </w:rPr>
        <w:t>a</w:t>
      </w:r>
      <w:r w:rsidR="003D0CA6" w:rsidRPr="00BB5E55">
        <w:rPr>
          <w:sz w:val="26"/>
          <w:szCs w:val="26"/>
          <w:lang w:val="lt-LT"/>
        </w:rPr>
        <w:t xml:space="preserve"> </w:t>
      </w:r>
      <w:r w:rsidR="0024462D" w:rsidRPr="00BB5E55">
        <w:rPr>
          <w:sz w:val="26"/>
          <w:szCs w:val="26"/>
          <w:lang w:val="lt-LT"/>
        </w:rPr>
        <w:t xml:space="preserve">itin </w:t>
      </w:r>
      <w:r w:rsidR="003D0CA6" w:rsidRPr="00BB5E55">
        <w:rPr>
          <w:sz w:val="26"/>
          <w:szCs w:val="26"/>
          <w:lang w:val="lt-LT"/>
        </w:rPr>
        <w:t xml:space="preserve">svarbi atskirų audito rizikos komponentų apskaičiavimui (nustatant jų pasireiškimo tikimybę </w:t>
      </w:r>
      <w:r w:rsidR="003D0CA6" w:rsidRPr="00BB5E55">
        <w:rPr>
          <w:sz w:val="26"/>
          <w:szCs w:val="26"/>
          <w:lang w:val="lt-LT"/>
        </w:rPr>
        <w:lastRenderedPageBreak/>
        <w:t xml:space="preserve">ir įtaką), audito rizikos komponentų tarpusavio ryšio </w:t>
      </w:r>
      <w:r w:rsidR="00A62D02" w:rsidRPr="00BB5E55">
        <w:rPr>
          <w:sz w:val="26"/>
          <w:szCs w:val="26"/>
          <w:lang w:val="lt-LT"/>
        </w:rPr>
        <w:t xml:space="preserve">bei </w:t>
      </w:r>
      <w:r w:rsidR="003D0CA6" w:rsidRPr="00BB5E55">
        <w:rPr>
          <w:sz w:val="26"/>
          <w:szCs w:val="26"/>
          <w:lang w:val="lt-LT"/>
        </w:rPr>
        <w:t>bendro audito rizikos lygio įvertinim</w:t>
      </w:r>
      <w:r w:rsidR="00A62D02" w:rsidRPr="00BB5E55">
        <w:rPr>
          <w:sz w:val="26"/>
          <w:szCs w:val="26"/>
          <w:lang w:val="lt-LT"/>
        </w:rPr>
        <w:t xml:space="preserve">ui. </w:t>
      </w:r>
      <w:r w:rsidR="0078359D" w:rsidRPr="00BB5E55">
        <w:rPr>
          <w:sz w:val="26"/>
          <w:szCs w:val="26"/>
          <w:lang w:val="lt-LT"/>
        </w:rPr>
        <w:t xml:space="preserve">Todėl toliau aptarsime </w:t>
      </w:r>
      <w:r w:rsidR="000211FF" w:rsidRPr="00BB5E55">
        <w:rPr>
          <w:sz w:val="26"/>
          <w:szCs w:val="26"/>
          <w:lang w:val="lt-LT"/>
        </w:rPr>
        <w:t xml:space="preserve">audito rizikos ir/ar jos komponentų </w:t>
      </w:r>
      <w:r w:rsidR="004B1FB6" w:rsidRPr="00BB5E55">
        <w:rPr>
          <w:sz w:val="26"/>
          <w:szCs w:val="26"/>
          <w:lang w:val="lt-LT"/>
        </w:rPr>
        <w:t>į</w:t>
      </w:r>
      <w:r w:rsidR="000211FF" w:rsidRPr="00BB5E55">
        <w:rPr>
          <w:sz w:val="26"/>
          <w:szCs w:val="26"/>
          <w:lang w:val="lt-LT"/>
        </w:rPr>
        <w:t>vertinimo</w:t>
      </w:r>
      <w:r w:rsidR="0078359D" w:rsidRPr="00BB5E55">
        <w:rPr>
          <w:sz w:val="26"/>
          <w:szCs w:val="26"/>
          <w:lang w:val="lt-LT"/>
        </w:rPr>
        <w:t xml:space="preserve"> metodik</w:t>
      </w:r>
      <w:r w:rsidR="009E377E" w:rsidRPr="00BB5E55">
        <w:rPr>
          <w:sz w:val="26"/>
          <w:szCs w:val="26"/>
          <w:lang w:val="lt-LT"/>
        </w:rPr>
        <w:t>os</w:t>
      </w:r>
      <w:r w:rsidR="0078359D" w:rsidRPr="00BB5E55">
        <w:rPr>
          <w:sz w:val="26"/>
          <w:szCs w:val="26"/>
          <w:lang w:val="lt-LT"/>
        </w:rPr>
        <w:t xml:space="preserve"> sukūrimo prielaidas.</w:t>
      </w:r>
    </w:p>
    <w:p w:rsidR="003322CD" w:rsidRPr="003E5F7B" w:rsidRDefault="00110BE1" w:rsidP="002E3100">
      <w:pPr>
        <w:pStyle w:val="NormalWeb"/>
        <w:spacing w:before="0" w:beforeAutospacing="0" w:after="0" w:afterAutospacing="0" w:line="360" w:lineRule="auto"/>
        <w:ind w:firstLine="720"/>
        <w:jc w:val="both"/>
        <w:rPr>
          <w:sz w:val="26"/>
          <w:szCs w:val="26"/>
          <w:lang w:val="lt-LT"/>
        </w:rPr>
      </w:pPr>
      <w:r w:rsidRPr="003E5F7B">
        <w:rPr>
          <w:sz w:val="26"/>
          <w:szCs w:val="26"/>
          <w:lang w:val="lt-LT"/>
        </w:rPr>
        <w:t xml:space="preserve">Pirmoje </w:t>
      </w:r>
      <w:r w:rsidR="00884A1E">
        <w:rPr>
          <w:sz w:val="26"/>
          <w:szCs w:val="26"/>
          <w:lang w:val="lt-LT"/>
        </w:rPr>
        <w:t>disertacijos</w:t>
      </w:r>
      <w:r w:rsidRPr="003E5F7B">
        <w:rPr>
          <w:sz w:val="26"/>
          <w:szCs w:val="26"/>
          <w:lang w:val="lt-LT"/>
        </w:rPr>
        <w:t xml:space="preserve"> dalyje a</w:t>
      </w:r>
      <w:r w:rsidR="00AD0E81" w:rsidRPr="003E5F7B">
        <w:rPr>
          <w:sz w:val="26"/>
          <w:szCs w:val="26"/>
          <w:lang w:val="lt-LT"/>
        </w:rPr>
        <w:t>tlikt</w:t>
      </w:r>
      <w:r w:rsidR="00E83D52" w:rsidRPr="003E5F7B">
        <w:rPr>
          <w:sz w:val="26"/>
          <w:szCs w:val="26"/>
          <w:lang w:val="lt-LT"/>
        </w:rPr>
        <w:t>as</w:t>
      </w:r>
      <w:r w:rsidR="00431A4A" w:rsidRPr="003E5F7B">
        <w:rPr>
          <w:sz w:val="26"/>
          <w:szCs w:val="26"/>
          <w:lang w:val="lt-LT"/>
        </w:rPr>
        <w:t xml:space="preserve"> </w:t>
      </w:r>
      <w:r w:rsidR="000448CF" w:rsidRPr="003E5F7B">
        <w:rPr>
          <w:sz w:val="26"/>
          <w:szCs w:val="26"/>
          <w:lang w:val="lt-LT"/>
        </w:rPr>
        <w:t>teorini</w:t>
      </w:r>
      <w:r w:rsidR="00E83D52" w:rsidRPr="003E5F7B">
        <w:rPr>
          <w:sz w:val="26"/>
          <w:szCs w:val="26"/>
          <w:lang w:val="lt-LT"/>
        </w:rPr>
        <w:t>s</w:t>
      </w:r>
      <w:r w:rsidR="00AD0E81" w:rsidRPr="003E5F7B">
        <w:rPr>
          <w:sz w:val="26"/>
          <w:szCs w:val="26"/>
          <w:lang w:val="lt-LT"/>
        </w:rPr>
        <w:t xml:space="preserve"> </w:t>
      </w:r>
      <w:r w:rsidR="00431A4A" w:rsidRPr="003E5F7B">
        <w:rPr>
          <w:sz w:val="26"/>
          <w:szCs w:val="26"/>
          <w:lang w:val="lt-LT"/>
        </w:rPr>
        <w:t>audito rizikos ir jos komponentų sampratos bei vertinimo aspektų</w:t>
      </w:r>
      <w:r w:rsidR="000448CF" w:rsidRPr="003E5F7B">
        <w:rPr>
          <w:sz w:val="26"/>
          <w:szCs w:val="26"/>
          <w:lang w:val="lt-LT"/>
        </w:rPr>
        <w:t xml:space="preserve"> tyrim</w:t>
      </w:r>
      <w:r w:rsidR="00E83D52" w:rsidRPr="003E5F7B">
        <w:rPr>
          <w:sz w:val="26"/>
          <w:szCs w:val="26"/>
          <w:lang w:val="lt-LT"/>
        </w:rPr>
        <w:t>as</w:t>
      </w:r>
      <w:r w:rsidR="000705AF" w:rsidRPr="003E5F7B">
        <w:rPr>
          <w:sz w:val="26"/>
          <w:szCs w:val="26"/>
          <w:lang w:val="lt-LT"/>
        </w:rPr>
        <w:t xml:space="preserve"> </w:t>
      </w:r>
      <w:r w:rsidR="00431A4A" w:rsidRPr="003E5F7B">
        <w:rPr>
          <w:sz w:val="26"/>
          <w:szCs w:val="26"/>
          <w:lang w:val="lt-LT"/>
        </w:rPr>
        <w:t>atsklei</w:t>
      </w:r>
      <w:r w:rsidR="00E83D52" w:rsidRPr="003E5F7B">
        <w:rPr>
          <w:sz w:val="26"/>
          <w:szCs w:val="26"/>
          <w:lang w:val="lt-LT"/>
        </w:rPr>
        <w:t>dė</w:t>
      </w:r>
      <w:r w:rsidR="000705AF" w:rsidRPr="003E5F7B">
        <w:rPr>
          <w:sz w:val="26"/>
          <w:szCs w:val="26"/>
          <w:lang w:val="lt-LT"/>
        </w:rPr>
        <w:t>, kad</w:t>
      </w:r>
      <w:r w:rsidR="00CE3B09" w:rsidRPr="003E5F7B">
        <w:rPr>
          <w:sz w:val="26"/>
          <w:szCs w:val="26"/>
          <w:lang w:val="lt-LT"/>
        </w:rPr>
        <w:t xml:space="preserve"> </w:t>
      </w:r>
      <w:r w:rsidR="00B70265" w:rsidRPr="003E5F7B">
        <w:rPr>
          <w:sz w:val="26"/>
          <w:szCs w:val="26"/>
          <w:lang w:val="lt-LT"/>
        </w:rPr>
        <w:t xml:space="preserve">audito rizikos vertinimui yra būdingas </w:t>
      </w:r>
      <w:r w:rsidR="00B70265" w:rsidRPr="003E5F7B">
        <w:rPr>
          <w:i/>
          <w:sz w:val="26"/>
          <w:szCs w:val="26"/>
          <w:lang w:val="lt-LT"/>
        </w:rPr>
        <w:t xml:space="preserve">subjektyvumo </w:t>
      </w:r>
      <w:r w:rsidR="00B70265" w:rsidRPr="003E5F7B">
        <w:rPr>
          <w:sz w:val="26"/>
          <w:szCs w:val="26"/>
          <w:lang w:val="lt-LT"/>
        </w:rPr>
        <w:t>aspektas</w:t>
      </w:r>
      <w:r w:rsidR="00C61779" w:rsidRPr="003E5F7B">
        <w:rPr>
          <w:sz w:val="26"/>
          <w:szCs w:val="26"/>
          <w:lang w:val="lt-LT"/>
        </w:rPr>
        <w:t>, t. y. subjektyvus jos komponentų priežasčių (sąlygų</w:t>
      </w:r>
      <w:r w:rsidR="00892636" w:rsidRPr="003E5F7B">
        <w:rPr>
          <w:sz w:val="26"/>
          <w:szCs w:val="26"/>
          <w:lang w:val="lt-LT"/>
        </w:rPr>
        <w:t xml:space="preserve"> bei veiksnių</w:t>
      </w:r>
      <w:r w:rsidR="00C61779" w:rsidRPr="003E5F7B">
        <w:rPr>
          <w:sz w:val="26"/>
          <w:szCs w:val="26"/>
          <w:lang w:val="lt-LT"/>
        </w:rPr>
        <w:t xml:space="preserve">), </w:t>
      </w:r>
      <w:r w:rsidR="009C761A" w:rsidRPr="003E5F7B">
        <w:rPr>
          <w:sz w:val="26"/>
          <w:szCs w:val="26"/>
          <w:lang w:val="lt-LT"/>
        </w:rPr>
        <w:t xml:space="preserve">pasireiškimo </w:t>
      </w:r>
      <w:r w:rsidR="00C61779" w:rsidRPr="003E5F7B">
        <w:rPr>
          <w:sz w:val="26"/>
          <w:szCs w:val="26"/>
          <w:lang w:val="lt-LT"/>
        </w:rPr>
        <w:t xml:space="preserve">tikimybės ir įtakos nustatymas, ir </w:t>
      </w:r>
      <w:r w:rsidR="00E83D52" w:rsidRPr="003E5F7B">
        <w:rPr>
          <w:sz w:val="26"/>
          <w:szCs w:val="26"/>
          <w:lang w:val="lt-LT"/>
        </w:rPr>
        <w:t xml:space="preserve">todėl </w:t>
      </w:r>
      <w:r w:rsidR="009D4F97" w:rsidRPr="003E5F7B">
        <w:rPr>
          <w:sz w:val="26"/>
          <w:szCs w:val="26"/>
          <w:lang w:val="lt-LT"/>
        </w:rPr>
        <w:t xml:space="preserve">apskaičiuojant audito rizikos komponentus </w:t>
      </w:r>
      <w:r w:rsidR="003C0DFD" w:rsidRPr="003E5F7B">
        <w:rPr>
          <w:sz w:val="26"/>
          <w:szCs w:val="26"/>
          <w:lang w:val="lt-LT"/>
        </w:rPr>
        <w:t>ti</w:t>
      </w:r>
      <w:r w:rsidR="00C700CD" w:rsidRPr="003E5F7B">
        <w:rPr>
          <w:sz w:val="26"/>
          <w:szCs w:val="26"/>
          <w:lang w:val="lt-LT"/>
        </w:rPr>
        <w:t>kslinga</w:t>
      </w:r>
      <w:r w:rsidR="003C0DFD" w:rsidRPr="003E5F7B">
        <w:rPr>
          <w:sz w:val="26"/>
          <w:szCs w:val="26"/>
          <w:lang w:val="lt-LT"/>
        </w:rPr>
        <w:t xml:space="preserve"> būtų </w:t>
      </w:r>
      <w:r w:rsidR="00C61779" w:rsidRPr="003E5F7B">
        <w:rPr>
          <w:sz w:val="26"/>
          <w:szCs w:val="26"/>
          <w:lang w:val="lt-LT"/>
        </w:rPr>
        <w:t xml:space="preserve">remtis rizikos pasireiškimo nustatymo ir/ar sukauptos patirties </w:t>
      </w:r>
      <w:r w:rsidR="00C700CD" w:rsidRPr="003E5F7B">
        <w:rPr>
          <w:sz w:val="26"/>
          <w:szCs w:val="26"/>
          <w:lang w:val="lt-LT"/>
        </w:rPr>
        <w:t xml:space="preserve">(ekspertinio įvertinimo, analogų, subjektyviu) </w:t>
      </w:r>
      <w:r w:rsidR="00C61779" w:rsidRPr="003E5F7B">
        <w:rPr>
          <w:sz w:val="26"/>
          <w:szCs w:val="26"/>
          <w:lang w:val="lt-LT"/>
        </w:rPr>
        <w:t>rizikos vertinimo metodais nei naudoti sudėting</w:t>
      </w:r>
      <w:r w:rsidR="003075CD" w:rsidRPr="003E5F7B">
        <w:rPr>
          <w:sz w:val="26"/>
          <w:szCs w:val="26"/>
          <w:lang w:val="lt-LT"/>
        </w:rPr>
        <w:t>us</w:t>
      </w:r>
      <w:r w:rsidR="00C61779" w:rsidRPr="003E5F7B">
        <w:rPr>
          <w:sz w:val="26"/>
          <w:szCs w:val="26"/>
          <w:lang w:val="lt-LT"/>
        </w:rPr>
        <w:t xml:space="preserve"> ekonomini</w:t>
      </w:r>
      <w:r w:rsidR="003075CD" w:rsidRPr="003E5F7B">
        <w:rPr>
          <w:sz w:val="26"/>
          <w:szCs w:val="26"/>
          <w:lang w:val="lt-LT"/>
        </w:rPr>
        <w:t>us</w:t>
      </w:r>
      <w:r w:rsidR="00C700CD" w:rsidRPr="003E5F7B">
        <w:rPr>
          <w:sz w:val="26"/>
          <w:szCs w:val="26"/>
          <w:lang w:val="lt-LT"/>
        </w:rPr>
        <w:t>, tikimybių teorijos ar</w:t>
      </w:r>
      <w:r w:rsidR="00C61779" w:rsidRPr="003E5F7B">
        <w:rPr>
          <w:sz w:val="26"/>
          <w:szCs w:val="26"/>
          <w:lang w:val="lt-LT"/>
        </w:rPr>
        <w:t xml:space="preserve"> kompiuterinio modeliavimo metod</w:t>
      </w:r>
      <w:r w:rsidR="003075CD" w:rsidRPr="003E5F7B">
        <w:rPr>
          <w:sz w:val="26"/>
          <w:szCs w:val="26"/>
          <w:lang w:val="lt-LT"/>
        </w:rPr>
        <w:t>us</w:t>
      </w:r>
      <w:r w:rsidR="00C61779" w:rsidRPr="003E5F7B">
        <w:rPr>
          <w:sz w:val="26"/>
          <w:szCs w:val="26"/>
          <w:lang w:val="lt-LT"/>
        </w:rPr>
        <w:t>.</w:t>
      </w:r>
      <w:r w:rsidR="009C761A" w:rsidRPr="003E5F7B">
        <w:rPr>
          <w:sz w:val="26"/>
          <w:szCs w:val="26"/>
          <w:lang w:val="lt-LT"/>
        </w:rPr>
        <w:t xml:space="preserve"> </w:t>
      </w:r>
      <w:r w:rsidR="002844AF" w:rsidRPr="003E5F7B">
        <w:rPr>
          <w:sz w:val="26"/>
          <w:szCs w:val="26"/>
          <w:lang w:val="lt-LT"/>
        </w:rPr>
        <w:t xml:space="preserve">Be to, </w:t>
      </w:r>
      <w:r w:rsidR="00431A4A" w:rsidRPr="003E5F7B">
        <w:rPr>
          <w:sz w:val="26"/>
          <w:szCs w:val="26"/>
          <w:lang w:val="lt-LT"/>
        </w:rPr>
        <w:t xml:space="preserve">auditorių </w:t>
      </w:r>
      <w:r w:rsidRPr="003E5F7B">
        <w:rPr>
          <w:sz w:val="26"/>
          <w:szCs w:val="26"/>
          <w:lang w:val="lt-LT"/>
        </w:rPr>
        <w:t>praktin</w:t>
      </w:r>
      <w:r w:rsidR="00431A4A" w:rsidRPr="003E5F7B">
        <w:rPr>
          <w:sz w:val="26"/>
          <w:szCs w:val="26"/>
          <w:lang w:val="lt-LT"/>
        </w:rPr>
        <w:t xml:space="preserve">ės patirties </w:t>
      </w:r>
      <w:r w:rsidR="00C61779" w:rsidRPr="003E5F7B">
        <w:rPr>
          <w:sz w:val="26"/>
          <w:szCs w:val="26"/>
          <w:lang w:val="lt-LT"/>
        </w:rPr>
        <w:t xml:space="preserve">apklausos rezultatai </w:t>
      </w:r>
      <w:r w:rsidR="002844AF" w:rsidRPr="003E5F7B">
        <w:rPr>
          <w:sz w:val="26"/>
          <w:szCs w:val="26"/>
          <w:lang w:val="lt-LT"/>
        </w:rPr>
        <w:t>(</w:t>
      </w:r>
      <w:r w:rsidR="00A900B0">
        <w:rPr>
          <w:sz w:val="26"/>
          <w:szCs w:val="26"/>
          <w:lang w:val="lt-LT"/>
        </w:rPr>
        <w:t xml:space="preserve">disertacijos </w:t>
      </w:r>
      <w:r w:rsidR="002844AF" w:rsidRPr="003E5F7B">
        <w:rPr>
          <w:sz w:val="26"/>
          <w:szCs w:val="26"/>
          <w:lang w:val="lt-LT"/>
        </w:rPr>
        <w:t xml:space="preserve">2.1. </w:t>
      </w:r>
      <w:r w:rsidR="001B5ECB" w:rsidRPr="003E5F7B">
        <w:rPr>
          <w:sz w:val="26"/>
          <w:szCs w:val="26"/>
          <w:lang w:val="lt-LT"/>
        </w:rPr>
        <w:t>s</w:t>
      </w:r>
      <w:r w:rsidR="002844AF" w:rsidRPr="003E5F7B">
        <w:rPr>
          <w:sz w:val="26"/>
          <w:szCs w:val="26"/>
          <w:lang w:val="lt-LT"/>
        </w:rPr>
        <w:t>kyri</w:t>
      </w:r>
      <w:r w:rsidR="00A900B0">
        <w:rPr>
          <w:sz w:val="26"/>
          <w:szCs w:val="26"/>
          <w:lang w:val="lt-LT"/>
        </w:rPr>
        <w:t>u</w:t>
      </w:r>
      <w:r w:rsidR="002844AF" w:rsidRPr="003E5F7B">
        <w:rPr>
          <w:sz w:val="26"/>
          <w:szCs w:val="26"/>
          <w:lang w:val="lt-LT"/>
        </w:rPr>
        <w:t xml:space="preserve">s) </w:t>
      </w:r>
      <w:r w:rsidR="003075CD" w:rsidRPr="003E5F7B">
        <w:rPr>
          <w:sz w:val="26"/>
          <w:szCs w:val="26"/>
          <w:lang w:val="lt-LT"/>
        </w:rPr>
        <w:t>pa</w:t>
      </w:r>
      <w:r w:rsidR="00C61779" w:rsidRPr="003E5F7B">
        <w:rPr>
          <w:sz w:val="26"/>
          <w:szCs w:val="26"/>
          <w:lang w:val="lt-LT"/>
        </w:rPr>
        <w:t>rod</w:t>
      </w:r>
      <w:r w:rsidR="003075CD" w:rsidRPr="003E5F7B">
        <w:rPr>
          <w:sz w:val="26"/>
          <w:szCs w:val="26"/>
          <w:lang w:val="lt-LT"/>
        </w:rPr>
        <w:t>ė</w:t>
      </w:r>
      <w:r w:rsidR="00C61779" w:rsidRPr="003E5F7B">
        <w:rPr>
          <w:sz w:val="26"/>
          <w:szCs w:val="26"/>
          <w:lang w:val="lt-LT"/>
        </w:rPr>
        <w:t>, kad d</w:t>
      </w:r>
      <w:r w:rsidR="00431A4A" w:rsidRPr="003E5F7B">
        <w:rPr>
          <w:sz w:val="26"/>
          <w:szCs w:val="26"/>
          <w:lang w:val="lt-LT"/>
        </w:rPr>
        <w:t>ažniausiai (83,3 proc. auditorių) audito rizika yra vertinama kokybiškai</w:t>
      </w:r>
      <w:r w:rsidR="00D82E9E" w:rsidRPr="003E5F7B">
        <w:rPr>
          <w:sz w:val="26"/>
          <w:szCs w:val="26"/>
          <w:lang w:val="lt-LT"/>
        </w:rPr>
        <w:t xml:space="preserve"> nei kiekybiškai</w:t>
      </w:r>
      <w:r w:rsidR="00C61779" w:rsidRPr="003E5F7B">
        <w:rPr>
          <w:sz w:val="26"/>
          <w:szCs w:val="26"/>
          <w:lang w:val="lt-LT"/>
        </w:rPr>
        <w:t>.</w:t>
      </w:r>
      <w:r w:rsidR="003075CD" w:rsidRPr="003E5F7B">
        <w:rPr>
          <w:sz w:val="26"/>
          <w:szCs w:val="26"/>
          <w:lang w:val="lt-LT"/>
        </w:rPr>
        <w:t xml:space="preserve"> </w:t>
      </w:r>
      <w:r w:rsidR="00616BA8" w:rsidRPr="003E5F7B">
        <w:rPr>
          <w:sz w:val="26"/>
          <w:szCs w:val="26"/>
          <w:lang w:val="lt-LT"/>
        </w:rPr>
        <w:t>O</w:t>
      </w:r>
      <w:r w:rsidR="002844AF" w:rsidRPr="003E5F7B">
        <w:rPr>
          <w:sz w:val="26"/>
          <w:szCs w:val="26"/>
          <w:lang w:val="lt-LT"/>
        </w:rPr>
        <w:t xml:space="preserve"> susisteminus </w:t>
      </w:r>
      <w:r w:rsidR="008D4E11" w:rsidRPr="003E5F7B">
        <w:rPr>
          <w:sz w:val="26"/>
          <w:szCs w:val="26"/>
          <w:lang w:val="lt-LT"/>
        </w:rPr>
        <w:t>mokslo darbuose</w:t>
      </w:r>
      <w:r w:rsidR="002844AF" w:rsidRPr="003E5F7B">
        <w:rPr>
          <w:sz w:val="26"/>
          <w:szCs w:val="26"/>
          <w:lang w:val="lt-LT"/>
        </w:rPr>
        <w:t xml:space="preserve"> pateikiamus atliktus empirinius audito rizikos vertinimo tyrimus (žr.</w:t>
      </w:r>
      <w:r w:rsidR="003E5F7B">
        <w:rPr>
          <w:sz w:val="26"/>
          <w:szCs w:val="26"/>
          <w:lang w:val="lt-LT"/>
        </w:rPr>
        <w:t> </w:t>
      </w:r>
      <w:r w:rsidR="002844AF" w:rsidRPr="003E5F7B">
        <w:rPr>
          <w:sz w:val="26"/>
          <w:szCs w:val="26"/>
          <w:lang w:val="lt-LT"/>
        </w:rPr>
        <w:t>19</w:t>
      </w:r>
      <w:r w:rsidR="003E5F7B">
        <w:rPr>
          <w:sz w:val="26"/>
          <w:szCs w:val="26"/>
          <w:lang w:val="lt-LT"/>
        </w:rPr>
        <w:t> </w:t>
      </w:r>
      <w:r w:rsidR="002844AF" w:rsidRPr="003E5F7B">
        <w:rPr>
          <w:sz w:val="26"/>
          <w:szCs w:val="26"/>
          <w:lang w:val="lt-LT"/>
        </w:rPr>
        <w:t>priedas), i</w:t>
      </w:r>
      <w:r w:rsidR="002844AF" w:rsidRPr="000211FF">
        <w:rPr>
          <w:sz w:val="26"/>
          <w:szCs w:val="26"/>
          <w:lang w:val="lt-LT"/>
        </w:rPr>
        <w:t>šsiaiškinta</w:t>
      </w:r>
      <w:r w:rsidR="00C12F48" w:rsidRPr="000211FF">
        <w:rPr>
          <w:sz w:val="26"/>
          <w:szCs w:val="26"/>
          <w:lang w:val="lt-LT"/>
        </w:rPr>
        <w:t>, jog</w:t>
      </w:r>
      <w:r w:rsidR="009306EA" w:rsidRPr="003E5F7B">
        <w:rPr>
          <w:sz w:val="26"/>
          <w:szCs w:val="26"/>
          <w:lang w:val="lt-LT"/>
        </w:rPr>
        <w:t xml:space="preserve"> dažniausiai</w:t>
      </w:r>
      <w:r w:rsidR="00C12F48" w:rsidRPr="003E5F7B">
        <w:rPr>
          <w:sz w:val="26"/>
          <w:szCs w:val="26"/>
          <w:lang w:val="lt-LT"/>
        </w:rPr>
        <w:t>: 1) atliekami a</w:t>
      </w:r>
      <w:r w:rsidR="002844AF" w:rsidRPr="003E5F7B">
        <w:rPr>
          <w:sz w:val="26"/>
          <w:szCs w:val="26"/>
          <w:lang w:val="lt-LT"/>
        </w:rPr>
        <w:t xml:space="preserve">udito rizikos komponentų </w:t>
      </w:r>
      <w:r w:rsidR="00C12F48" w:rsidRPr="003E5F7B">
        <w:rPr>
          <w:sz w:val="26"/>
          <w:szCs w:val="26"/>
          <w:lang w:val="lt-LT"/>
        </w:rPr>
        <w:t>ar atskiro audito rizikos k</w:t>
      </w:r>
      <w:r w:rsidR="002844AF" w:rsidRPr="003E5F7B">
        <w:rPr>
          <w:sz w:val="26"/>
          <w:szCs w:val="26"/>
          <w:lang w:val="lt-LT"/>
        </w:rPr>
        <w:t>omponento priklausomybės nuo veiksnio tyrima</w:t>
      </w:r>
      <w:r w:rsidR="00C12F48" w:rsidRPr="003E5F7B">
        <w:rPr>
          <w:sz w:val="26"/>
          <w:szCs w:val="26"/>
          <w:lang w:val="lt-LT"/>
        </w:rPr>
        <w:t xml:space="preserve">i ir nevykdomi visaapimantys audito rizikos vertinimo tyrimai; 2) audito rizika ar jos komponentai vertinami pagal </w:t>
      </w:r>
      <w:r w:rsidR="008D2265" w:rsidRPr="003E5F7B">
        <w:rPr>
          <w:sz w:val="26"/>
          <w:szCs w:val="26"/>
          <w:lang w:val="lt-LT"/>
        </w:rPr>
        <w:t xml:space="preserve">5 ar </w:t>
      </w:r>
      <w:r w:rsidR="009306EA" w:rsidRPr="003E5F7B">
        <w:rPr>
          <w:sz w:val="26"/>
          <w:szCs w:val="26"/>
          <w:lang w:val="lt-LT"/>
        </w:rPr>
        <w:t xml:space="preserve">7 </w:t>
      </w:r>
      <w:r w:rsidR="001C1BD9" w:rsidRPr="003E5F7B">
        <w:rPr>
          <w:sz w:val="26"/>
          <w:szCs w:val="26"/>
          <w:lang w:val="lt-LT"/>
        </w:rPr>
        <w:t>ar</w:t>
      </w:r>
      <w:r w:rsidR="008D2265" w:rsidRPr="003E5F7B">
        <w:rPr>
          <w:sz w:val="26"/>
          <w:szCs w:val="26"/>
          <w:lang w:val="lt-LT"/>
        </w:rPr>
        <w:t>ba</w:t>
      </w:r>
      <w:r w:rsidR="001C1BD9" w:rsidRPr="003E5F7B">
        <w:rPr>
          <w:sz w:val="26"/>
          <w:szCs w:val="26"/>
          <w:lang w:val="lt-LT"/>
        </w:rPr>
        <w:t xml:space="preserve"> 9 </w:t>
      </w:r>
      <w:r w:rsidR="009306EA" w:rsidRPr="003E5F7B">
        <w:rPr>
          <w:sz w:val="26"/>
          <w:szCs w:val="26"/>
          <w:lang w:val="lt-LT"/>
        </w:rPr>
        <w:t xml:space="preserve">balų </w:t>
      </w:r>
      <w:r w:rsidR="00C12F48" w:rsidRPr="003E5F7B">
        <w:rPr>
          <w:sz w:val="26"/>
          <w:szCs w:val="26"/>
          <w:lang w:val="lt-LT"/>
        </w:rPr>
        <w:t>Likerto skalę arba naudojant terminus „</w:t>
      </w:r>
      <w:r w:rsidR="009306EA" w:rsidRPr="003E5F7B">
        <w:rPr>
          <w:sz w:val="26"/>
          <w:szCs w:val="26"/>
          <w:lang w:val="lt-LT"/>
        </w:rPr>
        <w:t>ma</w:t>
      </w:r>
      <w:r w:rsidR="00C12F48" w:rsidRPr="003E5F7B">
        <w:rPr>
          <w:sz w:val="26"/>
          <w:szCs w:val="26"/>
          <w:lang w:val="lt-LT"/>
        </w:rPr>
        <w:t>ža</w:t>
      </w:r>
      <w:r w:rsidR="009306EA" w:rsidRPr="003E5F7B">
        <w:rPr>
          <w:sz w:val="26"/>
          <w:szCs w:val="26"/>
          <w:lang w:val="lt-LT"/>
        </w:rPr>
        <w:t>“</w:t>
      </w:r>
      <w:r w:rsidR="00C12F48" w:rsidRPr="003E5F7B">
        <w:rPr>
          <w:sz w:val="26"/>
          <w:szCs w:val="26"/>
          <w:lang w:val="lt-LT"/>
        </w:rPr>
        <w:t xml:space="preserve">, </w:t>
      </w:r>
      <w:r w:rsidR="009306EA" w:rsidRPr="003E5F7B">
        <w:rPr>
          <w:sz w:val="26"/>
          <w:szCs w:val="26"/>
          <w:lang w:val="lt-LT"/>
        </w:rPr>
        <w:t>„</w:t>
      </w:r>
      <w:r w:rsidR="00C12F48" w:rsidRPr="003E5F7B">
        <w:rPr>
          <w:sz w:val="26"/>
          <w:szCs w:val="26"/>
          <w:lang w:val="lt-LT"/>
        </w:rPr>
        <w:t>vidutinė</w:t>
      </w:r>
      <w:r w:rsidR="009306EA" w:rsidRPr="003E5F7B">
        <w:rPr>
          <w:sz w:val="26"/>
          <w:szCs w:val="26"/>
          <w:lang w:val="lt-LT"/>
        </w:rPr>
        <w:t>“</w:t>
      </w:r>
      <w:r w:rsidR="00C12F48" w:rsidRPr="003E5F7B">
        <w:rPr>
          <w:sz w:val="26"/>
          <w:szCs w:val="26"/>
          <w:lang w:val="lt-LT"/>
        </w:rPr>
        <w:t xml:space="preserve"> ir </w:t>
      </w:r>
      <w:r w:rsidR="009306EA" w:rsidRPr="003E5F7B">
        <w:rPr>
          <w:sz w:val="26"/>
          <w:szCs w:val="26"/>
          <w:lang w:val="lt-LT"/>
        </w:rPr>
        <w:t>„</w:t>
      </w:r>
      <w:r w:rsidR="00C12F48" w:rsidRPr="003E5F7B">
        <w:rPr>
          <w:sz w:val="26"/>
          <w:szCs w:val="26"/>
          <w:lang w:val="lt-LT"/>
        </w:rPr>
        <w:t>didelė</w:t>
      </w:r>
      <w:r w:rsidR="009306EA" w:rsidRPr="003E5F7B">
        <w:rPr>
          <w:sz w:val="26"/>
          <w:szCs w:val="26"/>
          <w:lang w:val="lt-LT"/>
        </w:rPr>
        <w:t xml:space="preserve">“. </w:t>
      </w:r>
      <w:r w:rsidR="009678BB">
        <w:rPr>
          <w:sz w:val="26"/>
          <w:szCs w:val="26"/>
          <w:lang w:val="lt-LT"/>
        </w:rPr>
        <w:t xml:space="preserve">Be to, atlikta </w:t>
      </w:r>
      <w:r w:rsidR="003F71F2" w:rsidRPr="003E5F7B">
        <w:rPr>
          <w:sz w:val="26"/>
          <w:szCs w:val="26"/>
          <w:lang w:val="lt-LT"/>
        </w:rPr>
        <w:t>mokslo darbuose</w:t>
      </w:r>
      <w:r w:rsidR="007C20E5" w:rsidRPr="003E5F7B">
        <w:rPr>
          <w:sz w:val="26"/>
          <w:szCs w:val="26"/>
          <w:lang w:val="lt-LT"/>
        </w:rPr>
        <w:t xml:space="preserve"> aprašomos tyrimų metodologijos analizė rod</w:t>
      </w:r>
      <w:r w:rsidR="009678BB">
        <w:rPr>
          <w:sz w:val="26"/>
          <w:szCs w:val="26"/>
          <w:lang w:val="lt-LT"/>
        </w:rPr>
        <w:t>o</w:t>
      </w:r>
      <w:r w:rsidR="007C20E5" w:rsidRPr="003E5F7B">
        <w:rPr>
          <w:sz w:val="26"/>
          <w:szCs w:val="26"/>
          <w:lang w:val="lt-LT"/>
        </w:rPr>
        <w:t xml:space="preserve">, </w:t>
      </w:r>
      <w:r w:rsidR="003C7E0D" w:rsidRPr="003E5F7B">
        <w:rPr>
          <w:sz w:val="26"/>
          <w:szCs w:val="26"/>
          <w:lang w:val="lt-LT"/>
        </w:rPr>
        <w:t xml:space="preserve">kad dažniausiai </w:t>
      </w:r>
      <w:r w:rsidR="007C20E5" w:rsidRPr="003E5F7B">
        <w:rPr>
          <w:sz w:val="26"/>
          <w:szCs w:val="26"/>
          <w:lang w:val="lt-LT"/>
        </w:rPr>
        <w:t>audito rizikos vertinimui naudojami indeksai (</w:t>
      </w:r>
      <w:r w:rsidR="003F71F2" w:rsidRPr="003E5F7B">
        <w:rPr>
          <w:sz w:val="26"/>
          <w:szCs w:val="26"/>
          <w:lang w:val="lt-LT"/>
        </w:rPr>
        <w:t xml:space="preserve">Quadackers, Mock, Maijoor, 1996; Daniel, 2001; Majid, Gul, Tsui, 2001; </w:t>
      </w:r>
      <w:r w:rsidR="007C20E5" w:rsidRPr="003E5F7B">
        <w:rPr>
          <w:sz w:val="26"/>
          <w:szCs w:val="26"/>
          <w:lang w:val="lt-LT"/>
        </w:rPr>
        <w:t xml:space="preserve">Bhattacharjee, Moreno, 2002; </w:t>
      </w:r>
      <w:r w:rsidR="003F71F2" w:rsidRPr="003E5F7B">
        <w:rPr>
          <w:sz w:val="26"/>
          <w:szCs w:val="26"/>
          <w:lang w:val="lt-LT"/>
        </w:rPr>
        <w:t xml:space="preserve">Graham, Bedard, 2003; O‘Donnell, Bierstaker, Schultz, 2004; </w:t>
      </w:r>
      <w:r w:rsidR="007C20E5" w:rsidRPr="003E5F7B">
        <w:rPr>
          <w:sz w:val="26"/>
          <w:szCs w:val="26"/>
          <w:lang w:val="lt-LT"/>
        </w:rPr>
        <w:t xml:space="preserve">Chen, Huang, Shih, 2006; </w:t>
      </w:r>
      <w:r w:rsidR="003F71F2" w:rsidRPr="003E5F7B">
        <w:rPr>
          <w:sz w:val="26"/>
          <w:szCs w:val="26"/>
          <w:lang w:val="lt-LT"/>
        </w:rPr>
        <w:t xml:space="preserve">Kotchetova, Kozloski, Messier, 2006). Indekso kaip tyrimo metodo esmė yra ta, kad kokybinio tyrimo metu, remdamasis iš anksto nustatytais klausimais ir jų atsakymų vertinimo skale, </w:t>
      </w:r>
      <w:r w:rsidR="005B621E" w:rsidRPr="003E5F7B">
        <w:rPr>
          <w:sz w:val="26"/>
          <w:szCs w:val="26"/>
          <w:lang w:val="lt-LT"/>
        </w:rPr>
        <w:t xml:space="preserve">tyrėjas iš anksto užkoduoja </w:t>
      </w:r>
      <w:r w:rsidR="003F71F2" w:rsidRPr="003E5F7B">
        <w:rPr>
          <w:sz w:val="26"/>
          <w:szCs w:val="26"/>
          <w:lang w:val="lt-LT"/>
        </w:rPr>
        <w:t>atsakym</w:t>
      </w:r>
      <w:r w:rsidR="005B621E" w:rsidRPr="003E5F7B">
        <w:rPr>
          <w:sz w:val="26"/>
          <w:szCs w:val="26"/>
          <w:lang w:val="lt-LT"/>
        </w:rPr>
        <w:t>us</w:t>
      </w:r>
      <w:r w:rsidR="003F71F2" w:rsidRPr="003E5F7B">
        <w:rPr>
          <w:sz w:val="26"/>
          <w:szCs w:val="26"/>
          <w:lang w:val="lt-LT"/>
        </w:rPr>
        <w:t xml:space="preserve"> kiekybinėje skalėje</w:t>
      </w:r>
      <w:r w:rsidR="005B621E" w:rsidRPr="003E5F7B">
        <w:rPr>
          <w:sz w:val="26"/>
          <w:szCs w:val="26"/>
          <w:lang w:val="lt-LT"/>
        </w:rPr>
        <w:t xml:space="preserve"> (ekspertinis įvertinimas). </w:t>
      </w:r>
      <w:r w:rsidR="00F2293E" w:rsidRPr="003E5F7B">
        <w:rPr>
          <w:sz w:val="26"/>
          <w:szCs w:val="26"/>
          <w:lang w:val="lt-LT"/>
        </w:rPr>
        <w:t xml:space="preserve">Atkreiptinas dėmesys, kad </w:t>
      </w:r>
      <w:r w:rsidR="00B7691E" w:rsidRPr="003E5F7B">
        <w:rPr>
          <w:sz w:val="26"/>
          <w:szCs w:val="26"/>
          <w:lang w:val="lt-LT"/>
        </w:rPr>
        <w:t xml:space="preserve">mokslinėje </w:t>
      </w:r>
      <w:r w:rsidR="00D82E9E" w:rsidRPr="003E5F7B">
        <w:rPr>
          <w:sz w:val="26"/>
          <w:szCs w:val="26"/>
          <w:lang w:val="lt-LT"/>
        </w:rPr>
        <w:t>literatūroje</w:t>
      </w:r>
      <w:r w:rsidR="005E55F1" w:rsidRPr="003E5F7B">
        <w:rPr>
          <w:sz w:val="26"/>
          <w:szCs w:val="26"/>
          <w:lang w:val="lt-LT"/>
        </w:rPr>
        <w:t xml:space="preserve"> vengiama apibrėžti kokia rizika yra laikoma „maža“, „vidutinė“</w:t>
      </w:r>
      <w:r w:rsidR="00E0696C" w:rsidRPr="003E5F7B">
        <w:rPr>
          <w:sz w:val="26"/>
          <w:szCs w:val="26"/>
          <w:lang w:val="lt-LT"/>
        </w:rPr>
        <w:t xml:space="preserve"> ar </w:t>
      </w:r>
      <w:r w:rsidR="005E55F1" w:rsidRPr="003E5F7B">
        <w:rPr>
          <w:sz w:val="26"/>
          <w:szCs w:val="26"/>
          <w:lang w:val="lt-LT"/>
        </w:rPr>
        <w:t>„didelė“</w:t>
      </w:r>
      <w:r w:rsidR="00862190" w:rsidRPr="003E5F7B">
        <w:rPr>
          <w:sz w:val="26"/>
          <w:szCs w:val="26"/>
          <w:lang w:val="lt-LT"/>
        </w:rPr>
        <w:t xml:space="preserve"> ir</w:t>
      </w:r>
      <w:r w:rsidR="00D82E9E" w:rsidRPr="003E5F7B">
        <w:rPr>
          <w:sz w:val="26"/>
          <w:szCs w:val="26"/>
          <w:lang w:val="lt-LT"/>
        </w:rPr>
        <w:t xml:space="preserve"> </w:t>
      </w:r>
      <w:r w:rsidR="00616BA8" w:rsidRPr="003E5F7B">
        <w:rPr>
          <w:sz w:val="26"/>
          <w:szCs w:val="26"/>
          <w:lang w:val="lt-LT"/>
        </w:rPr>
        <w:t xml:space="preserve">tik kai kuriuose </w:t>
      </w:r>
      <w:r w:rsidR="00D82E9E" w:rsidRPr="003E5F7B">
        <w:rPr>
          <w:sz w:val="26"/>
          <w:szCs w:val="26"/>
          <w:lang w:val="lt-LT"/>
        </w:rPr>
        <w:t xml:space="preserve">mokslo darbuose </w:t>
      </w:r>
      <w:r w:rsidR="00616BA8" w:rsidRPr="003E5F7B">
        <w:rPr>
          <w:sz w:val="26"/>
          <w:szCs w:val="26"/>
          <w:lang w:val="lt-LT"/>
        </w:rPr>
        <w:t xml:space="preserve">(Robertson, 1990; Byčkova, 1998; Waring, Glendon, 2002; </w:t>
      </w:r>
      <w:r w:rsidR="00616BA8" w:rsidRPr="003E5F7B">
        <w:rPr>
          <w:sz w:val="26"/>
          <w:szCs w:val="26"/>
          <w:lang w:val="lt-LT"/>
        </w:rPr>
        <w:lastRenderedPageBreak/>
        <w:t>Chapman, 2006)</w:t>
      </w:r>
      <w:r w:rsidR="00D82E9E" w:rsidRPr="003E5F7B">
        <w:rPr>
          <w:sz w:val="26"/>
          <w:szCs w:val="26"/>
          <w:lang w:val="lt-LT"/>
        </w:rPr>
        <w:t xml:space="preserve"> </w:t>
      </w:r>
      <w:r w:rsidR="00616BA8" w:rsidRPr="003E5F7B">
        <w:rPr>
          <w:sz w:val="26"/>
          <w:szCs w:val="26"/>
          <w:lang w:val="lt-LT"/>
        </w:rPr>
        <w:t xml:space="preserve">pateikiamos skaitinės </w:t>
      </w:r>
      <w:r w:rsidR="00862190" w:rsidRPr="003E5F7B">
        <w:rPr>
          <w:sz w:val="26"/>
          <w:szCs w:val="26"/>
          <w:lang w:val="lt-LT"/>
        </w:rPr>
        <w:t xml:space="preserve">jų reikšmės. </w:t>
      </w:r>
      <w:r w:rsidR="002D0A5C">
        <w:rPr>
          <w:sz w:val="26"/>
          <w:szCs w:val="26"/>
          <w:lang w:val="lt-LT"/>
        </w:rPr>
        <w:t>V</w:t>
      </w:r>
      <w:r w:rsidR="003C7E0D" w:rsidRPr="003E5F7B">
        <w:rPr>
          <w:sz w:val="26"/>
          <w:szCs w:val="26"/>
          <w:lang w:val="lt-LT"/>
        </w:rPr>
        <w:t xml:space="preserve">isi šie teiginiai </w:t>
      </w:r>
      <w:r w:rsidR="00996EFD">
        <w:rPr>
          <w:sz w:val="26"/>
          <w:szCs w:val="26"/>
          <w:lang w:val="lt-LT"/>
        </w:rPr>
        <w:t>patvirtina</w:t>
      </w:r>
      <w:r w:rsidR="002D4A36">
        <w:rPr>
          <w:sz w:val="26"/>
          <w:szCs w:val="26"/>
          <w:lang w:val="lt-LT"/>
        </w:rPr>
        <w:t xml:space="preserve">, kad </w:t>
      </w:r>
      <w:r w:rsidR="00996EFD">
        <w:rPr>
          <w:sz w:val="26"/>
          <w:szCs w:val="26"/>
          <w:lang w:val="lt-LT"/>
        </w:rPr>
        <w:t>kokybini</w:t>
      </w:r>
      <w:r w:rsidR="002D4A36">
        <w:rPr>
          <w:sz w:val="26"/>
          <w:szCs w:val="26"/>
          <w:lang w:val="lt-LT"/>
        </w:rPr>
        <w:t>s, arba kitaip, subjektyvus</w:t>
      </w:r>
      <w:r w:rsidR="00996EFD">
        <w:rPr>
          <w:sz w:val="26"/>
          <w:szCs w:val="26"/>
          <w:lang w:val="lt-LT"/>
        </w:rPr>
        <w:t xml:space="preserve"> </w:t>
      </w:r>
      <w:r w:rsidR="002D4A36">
        <w:rPr>
          <w:sz w:val="26"/>
          <w:szCs w:val="26"/>
          <w:lang w:val="lt-LT"/>
        </w:rPr>
        <w:t xml:space="preserve">audito rizikos </w:t>
      </w:r>
      <w:r w:rsidR="002D0A5C">
        <w:rPr>
          <w:sz w:val="26"/>
          <w:szCs w:val="26"/>
          <w:lang w:val="lt-LT"/>
        </w:rPr>
        <w:t xml:space="preserve">ir jos komponentų </w:t>
      </w:r>
      <w:r w:rsidR="006331F7">
        <w:rPr>
          <w:sz w:val="26"/>
          <w:szCs w:val="26"/>
          <w:lang w:val="lt-LT"/>
        </w:rPr>
        <w:t>vertinim</w:t>
      </w:r>
      <w:r w:rsidR="002D4A36">
        <w:rPr>
          <w:sz w:val="26"/>
          <w:szCs w:val="26"/>
          <w:lang w:val="lt-LT"/>
        </w:rPr>
        <w:t xml:space="preserve">as yra </w:t>
      </w:r>
      <w:r w:rsidR="002D0A5C">
        <w:rPr>
          <w:sz w:val="26"/>
          <w:szCs w:val="26"/>
          <w:lang w:val="lt-LT"/>
        </w:rPr>
        <w:t>paplitęs</w:t>
      </w:r>
      <w:r w:rsidR="002D4A36">
        <w:rPr>
          <w:sz w:val="26"/>
          <w:szCs w:val="26"/>
          <w:lang w:val="lt-LT"/>
        </w:rPr>
        <w:t xml:space="preserve"> </w:t>
      </w:r>
      <w:r w:rsidR="006331F7">
        <w:rPr>
          <w:sz w:val="26"/>
          <w:szCs w:val="26"/>
          <w:lang w:val="lt-LT"/>
        </w:rPr>
        <w:t>praktik</w:t>
      </w:r>
      <w:r w:rsidR="002D4A36">
        <w:rPr>
          <w:sz w:val="26"/>
          <w:szCs w:val="26"/>
          <w:lang w:val="lt-LT"/>
        </w:rPr>
        <w:t xml:space="preserve">oje, kas </w:t>
      </w:r>
      <w:r w:rsidR="002D0A5C">
        <w:rPr>
          <w:sz w:val="26"/>
          <w:szCs w:val="26"/>
          <w:lang w:val="lt-LT"/>
        </w:rPr>
        <w:t xml:space="preserve">iššaukia naujos </w:t>
      </w:r>
      <w:r w:rsidR="00F075EF">
        <w:rPr>
          <w:sz w:val="26"/>
          <w:szCs w:val="26"/>
          <w:lang w:val="lt-LT"/>
        </w:rPr>
        <w:t xml:space="preserve">kiekybinio </w:t>
      </w:r>
      <w:r w:rsidR="004F3260">
        <w:rPr>
          <w:sz w:val="26"/>
          <w:szCs w:val="26"/>
          <w:lang w:val="lt-LT"/>
        </w:rPr>
        <w:t>į</w:t>
      </w:r>
      <w:r w:rsidR="000211FF">
        <w:rPr>
          <w:sz w:val="26"/>
          <w:szCs w:val="26"/>
          <w:lang w:val="lt-LT"/>
        </w:rPr>
        <w:t>vertinimo</w:t>
      </w:r>
      <w:r w:rsidR="003C7E0D" w:rsidRPr="003E5F7B">
        <w:rPr>
          <w:sz w:val="26"/>
          <w:szCs w:val="26"/>
          <w:lang w:val="lt-LT"/>
        </w:rPr>
        <w:t xml:space="preserve"> metodikos poreikį.</w:t>
      </w:r>
    </w:p>
    <w:p w:rsidR="00BC45D3" w:rsidRDefault="00BC45D3" w:rsidP="00BC45D3">
      <w:pPr>
        <w:pStyle w:val="NormalWeb"/>
        <w:spacing w:before="0" w:beforeAutospacing="0" w:after="0" w:afterAutospacing="0" w:line="360" w:lineRule="auto"/>
        <w:ind w:firstLine="720"/>
        <w:jc w:val="both"/>
        <w:rPr>
          <w:sz w:val="26"/>
          <w:szCs w:val="26"/>
          <w:lang w:val="lt-LT"/>
        </w:rPr>
      </w:pPr>
      <w:r w:rsidRPr="00F075EF">
        <w:rPr>
          <w:sz w:val="26"/>
          <w:szCs w:val="26"/>
          <w:lang w:val="lt-LT"/>
        </w:rPr>
        <w:t>Darbo aut</w:t>
      </w:r>
      <w:r w:rsidRPr="003E5F7B">
        <w:rPr>
          <w:sz w:val="26"/>
          <w:szCs w:val="26"/>
          <w:lang w:val="lt-LT"/>
        </w:rPr>
        <w:t>orės su</w:t>
      </w:r>
      <w:r w:rsidR="00807722">
        <w:rPr>
          <w:sz w:val="26"/>
          <w:szCs w:val="26"/>
          <w:lang w:val="lt-LT"/>
        </w:rPr>
        <w:t xml:space="preserve">kurtoje </w:t>
      </w:r>
      <w:r w:rsidR="007910A5" w:rsidRPr="00EF416C">
        <w:rPr>
          <w:b/>
          <w:sz w:val="26"/>
          <w:szCs w:val="26"/>
          <w:lang w:val="lt-LT"/>
        </w:rPr>
        <w:t xml:space="preserve">audito </w:t>
      </w:r>
      <w:r w:rsidRPr="00EF416C">
        <w:rPr>
          <w:b/>
          <w:sz w:val="26"/>
          <w:szCs w:val="26"/>
          <w:lang w:val="lt-LT"/>
        </w:rPr>
        <w:t>rizikos</w:t>
      </w:r>
      <w:r w:rsidR="007910A5" w:rsidRPr="00EF416C">
        <w:rPr>
          <w:b/>
          <w:sz w:val="26"/>
          <w:szCs w:val="26"/>
          <w:lang w:val="lt-LT"/>
        </w:rPr>
        <w:t xml:space="preserve"> komponentų </w:t>
      </w:r>
      <w:r w:rsidR="00F075EF" w:rsidRPr="00EF416C">
        <w:rPr>
          <w:b/>
          <w:sz w:val="26"/>
          <w:szCs w:val="26"/>
          <w:lang w:val="lt-LT"/>
        </w:rPr>
        <w:t xml:space="preserve">kiekybinio įvertinimo </w:t>
      </w:r>
      <w:r w:rsidRPr="00EF416C">
        <w:rPr>
          <w:b/>
          <w:sz w:val="26"/>
          <w:szCs w:val="26"/>
          <w:lang w:val="lt-LT"/>
        </w:rPr>
        <w:t>metodikoje</w:t>
      </w:r>
      <w:r w:rsidRPr="00EF416C">
        <w:rPr>
          <w:i/>
          <w:sz w:val="26"/>
          <w:szCs w:val="26"/>
          <w:lang w:val="lt-LT"/>
        </w:rPr>
        <w:t xml:space="preserve"> </w:t>
      </w:r>
      <w:r w:rsidR="002D0A5C" w:rsidRPr="00EF416C">
        <w:rPr>
          <w:sz w:val="26"/>
          <w:szCs w:val="26"/>
          <w:lang w:val="lt-LT"/>
        </w:rPr>
        <w:t>(žr. 21 lent</w:t>
      </w:r>
      <w:r w:rsidR="002D0A5C" w:rsidRPr="003E5F7B">
        <w:rPr>
          <w:sz w:val="26"/>
          <w:szCs w:val="26"/>
          <w:lang w:val="lt-LT"/>
        </w:rPr>
        <w:t>elė)</w:t>
      </w:r>
      <w:r w:rsidR="002D0A5C">
        <w:rPr>
          <w:sz w:val="26"/>
          <w:szCs w:val="26"/>
          <w:lang w:val="lt-LT"/>
        </w:rPr>
        <w:t xml:space="preserve"> </w:t>
      </w:r>
      <w:r w:rsidRPr="003E5F7B">
        <w:rPr>
          <w:sz w:val="26"/>
          <w:szCs w:val="26"/>
          <w:lang w:val="lt-LT"/>
        </w:rPr>
        <w:t xml:space="preserve">kiekvieno komponento </w:t>
      </w:r>
      <w:r w:rsidR="00F075EF">
        <w:rPr>
          <w:sz w:val="26"/>
          <w:szCs w:val="26"/>
          <w:lang w:val="lt-LT"/>
        </w:rPr>
        <w:t>įvertinimas</w:t>
      </w:r>
      <w:r w:rsidR="007910A5">
        <w:rPr>
          <w:sz w:val="26"/>
          <w:szCs w:val="26"/>
          <w:lang w:val="lt-LT"/>
        </w:rPr>
        <w:t xml:space="preserve"> </w:t>
      </w:r>
      <w:r w:rsidR="0024462D">
        <w:rPr>
          <w:sz w:val="26"/>
          <w:szCs w:val="26"/>
          <w:lang w:val="lt-LT"/>
        </w:rPr>
        <w:t xml:space="preserve">pagrįstas </w:t>
      </w:r>
      <w:r w:rsidRPr="003E5F7B">
        <w:rPr>
          <w:sz w:val="26"/>
          <w:szCs w:val="26"/>
          <w:lang w:val="lt-LT"/>
        </w:rPr>
        <w:t>10</w:t>
      </w:r>
      <w:r w:rsidR="003E5F7B">
        <w:rPr>
          <w:sz w:val="26"/>
          <w:szCs w:val="26"/>
          <w:lang w:val="lt-LT"/>
        </w:rPr>
        <w:t> </w:t>
      </w:r>
      <w:r w:rsidRPr="003E5F7B">
        <w:rPr>
          <w:sz w:val="26"/>
          <w:szCs w:val="26"/>
          <w:lang w:val="lt-LT"/>
        </w:rPr>
        <w:t>žingsnių</w:t>
      </w:r>
      <w:r w:rsidR="00B70F1C">
        <w:rPr>
          <w:sz w:val="26"/>
          <w:szCs w:val="26"/>
          <w:lang w:val="lt-LT"/>
        </w:rPr>
        <w:t>. P</w:t>
      </w:r>
      <w:r w:rsidR="009678BB">
        <w:rPr>
          <w:sz w:val="26"/>
          <w:szCs w:val="26"/>
          <w:lang w:val="lt-LT"/>
        </w:rPr>
        <w:t xml:space="preserve">agal šią metodiką: 1) </w:t>
      </w:r>
      <w:r w:rsidRPr="003E5F7B">
        <w:rPr>
          <w:sz w:val="26"/>
          <w:szCs w:val="26"/>
          <w:lang w:val="lt-LT"/>
        </w:rPr>
        <w:t>tur</w:t>
      </w:r>
      <w:r w:rsidR="00B70F1C">
        <w:rPr>
          <w:sz w:val="26"/>
          <w:szCs w:val="26"/>
          <w:lang w:val="lt-LT"/>
        </w:rPr>
        <w:t>i</w:t>
      </w:r>
      <w:r w:rsidRPr="003E5F7B">
        <w:rPr>
          <w:sz w:val="26"/>
          <w:szCs w:val="26"/>
          <w:lang w:val="lt-LT"/>
        </w:rPr>
        <w:t xml:space="preserve"> būti </w:t>
      </w:r>
      <w:r w:rsidR="00B70F1C" w:rsidRPr="003E5F7B">
        <w:rPr>
          <w:sz w:val="26"/>
          <w:szCs w:val="26"/>
          <w:lang w:val="lt-LT"/>
        </w:rPr>
        <w:t>identifik</w:t>
      </w:r>
      <w:r w:rsidR="00B70F1C">
        <w:rPr>
          <w:sz w:val="26"/>
          <w:szCs w:val="26"/>
          <w:lang w:val="lt-LT"/>
        </w:rPr>
        <w:t xml:space="preserve">uojami </w:t>
      </w:r>
      <w:r w:rsidRPr="003E5F7B">
        <w:rPr>
          <w:sz w:val="26"/>
          <w:szCs w:val="26"/>
          <w:lang w:val="lt-LT"/>
        </w:rPr>
        <w:t>vis</w:t>
      </w:r>
      <w:r w:rsidR="00B70F1C">
        <w:rPr>
          <w:sz w:val="26"/>
          <w:szCs w:val="26"/>
          <w:lang w:val="lt-LT"/>
        </w:rPr>
        <w:t>i su audito rizikos komponentu s</w:t>
      </w:r>
      <w:r w:rsidRPr="003E5F7B">
        <w:rPr>
          <w:sz w:val="26"/>
          <w:szCs w:val="26"/>
          <w:lang w:val="lt-LT"/>
        </w:rPr>
        <w:t>usij</w:t>
      </w:r>
      <w:r w:rsidR="00B70F1C">
        <w:rPr>
          <w:sz w:val="26"/>
          <w:szCs w:val="26"/>
          <w:lang w:val="lt-LT"/>
        </w:rPr>
        <w:t>ę</w:t>
      </w:r>
      <w:r w:rsidRPr="003E5F7B">
        <w:rPr>
          <w:sz w:val="26"/>
          <w:szCs w:val="26"/>
          <w:lang w:val="lt-LT"/>
        </w:rPr>
        <w:t xml:space="preserve"> veiksni</w:t>
      </w:r>
      <w:r w:rsidR="00B70F1C">
        <w:rPr>
          <w:sz w:val="26"/>
          <w:szCs w:val="26"/>
          <w:lang w:val="lt-LT"/>
        </w:rPr>
        <w:t>ai</w:t>
      </w:r>
      <w:r w:rsidRPr="003E5F7B">
        <w:rPr>
          <w:sz w:val="26"/>
          <w:szCs w:val="26"/>
          <w:lang w:val="lt-LT"/>
        </w:rPr>
        <w:t xml:space="preserve">, </w:t>
      </w:r>
      <w:r w:rsidR="009678BB">
        <w:rPr>
          <w:sz w:val="26"/>
          <w:szCs w:val="26"/>
          <w:lang w:val="lt-LT"/>
        </w:rPr>
        <w:t xml:space="preserve">2) </w:t>
      </w:r>
      <w:r w:rsidR="00B70F1C">
        <w:rPr>
          <w:sz w:val="26"/>
          <w:szCs w:val="26"/>
          <w:lang w:val="lt-LT"/>
        </w:rPr>
        <w:t xml:space="preserve">nustatoma </w:t>
      </w:r>
      <w:r w:rsidRPr="003E5F7B">
        <w:rPr>
          <w:sz w:val="26"/>
          <w:szCs w:val="26"/>
          <w:lang w:val="lt-LT"/>
        </w:rPr>
        <w:t>jų pasirei</w:t>
      </w:r>
      <w:r w:rsidR="00B70F1C">
        <w:rPr>
          <w:sz w:val="26"/>
          <w:szCs w:val="26"/>
          <w:lang w:val="lt-LT"/>
        </w:rPr>
        <w:t>škimo tikimybė</w:t>
      </w:r>
      <w:r w:rsidRPr="003E5F7B">
        <w:rPr>
          <w:sz w:val="26"/>
          <w:szCs w:val="26"/>
          <w:lang w:val="lt-LT"/>
        </w:rPr>
        <w:t xml:space="preserve"> </w:t>
      </w:r>
      <w:r w:rsidR="0024462D">
        <w:rPr>
          <w:sz w:val="26"/>
          <w:szCs w:val="26"/>
          <w:lang w:val="lt-LT"/>
        </w:rPr>
        <w:t xml:space="preserve">ir </w:t>
      </w:r>
      <w:r w:rsidRPr="003E5F7B">
        <w:rPr>
          <w:sz w:val="26"/>
          <w:szCs w:val="26"/>
          <w:lang w:val="lt-LT"/>
        </w:rPr>
        <w:t>įtak</w:t>
      </w:r>
      <w:r w:rsidR="00B70F1C">
        <w:rPr>
          <w:sz w:val="26"/>
          <w:szCs w:val="26"/>
          <w:lang w:val="lt-LT"/>
        </w:rPr>
        <w:t>a</w:t>
      </w:r>
      <w:r w:rsidR="00DA6E96">
        <w:rPr>
          <w:sz w:val="26"/>
          <w:szCs w:val="26"/>
          <w:lang w:val="lt-LT"/>
        </w:rPr>
        <w:t xml:space="preserve"> </w:t>
      </w:r>
      <w:r w:rsidR="007910A5">
        <w:rPr>
          <w:sz w:val="26"/>
          <w:szCs w:val="26"/>
          <w:lang w:val="lt-LT"/>
        </w:rPr>
        <w:t xml:space="preserve">bei </w:t>
      </w:r>
      <w:r w:rsidR="009678BB">
        <w:rPr>
          <w:sz w:val="26"/>
          <w:szCs w:val="26"/>
          <w:lang w:val="lt-LT"/>
        </w:rPr>
        <w:t xml:space="preserve">3) </w:t>
      </w:r>
      <w:r w:rsidR="007910A5">
        <w:rPr>
          <w:sz w:val="26"/>
          <w:szCs w:val="26"/>
          <w:lang w:val="lt-LT"/>
        </w:rPr>
        <w:t xml:space="preserve">įvertinamas bendras </w:t>
      </w:r>
      <w:r w:rsidR="006C0F4B">
        <w:rPr>
          <w:sz w:val="26"/>
          <w:szCs w:val="26"/>
          <w:lang w:val="lt-LT"/>
        </w:rPr>
        <w:t xml:space="preserve">audito </w:t>
      </w:r>
      <w:r w:rsidR="007910A5">
        <w:rPr>
          <w:sz w:val="26"/>
          <w:szCs w:val="26"/>
          <w:lang w:val="lt-LT"/>
        </w:rPr>
        <w:t xml:space="preserve">rizikos </w:t>
      </w:r>
      <w:r w:rsidR="006C0F4B">
        <w:rPr>
          <w:sz w:val="26"/>
          <w:szCs w:val="26"/>
          <w:lang w:val="lt-LT"/>
        </w:rPr>
        <w:t xml:space="preserve">komponento </w:t>
      </w:r>
      <w:r w:rsidR="007910A5">
        <w:rPr>
          <w:sz w:val="26"/>
          <w:szCs w:val="26"/>
          <w:lang w:val="lt-LT"/>
        </w:rPr>
        <w:t>lygis</w:t>
      </w:r>
      <w:r w:rsidRPr="003E5F7B">
        <w:rPr>
          <w:sz w:val="26"/>
          <w:szCs w:val="26"/>
          <w:lang w:val="lt-LT"/>
        </w:rPr>
        <w:t xml:space="preserve">. </w:t>
      </w:r>
    </w:p>
    <w:p w:rsidR="0024462D" w:rsidRDefault="00D20A9C" w:rsidP="00BC45D3">
      <w:pPr>
        <w:pStyle w:val="NormalWeb"/>
        <w:spacing w:before="0" w:beforeAutospacing="0" w:after="0" w:afterAutospacing="0" w:line="360" w:lineRule="auto"/>
        <w:ind w:firstLine="720"/>
        <w:jc w:val="both"/>
        <w:rPr>
          <w:sz w:val="26"/>
          <w:szCs w:val="26"/>
          <w:lang w:val="lt-LT"/>
        </w:rPr>
      </w:pPr>
      <w:r>
        <w:rPr>
          <w:sz w:val="26"/>
          <w:szCs w:val="26"/>
          <w:lang w:val="lt-LT"/>
        </w:rPr>
        <w:t>K</w:t>
      </w:r>
      <w:r w:rsidR="0024462D" w:rsidRPr="003E5F7B">
        <w:rPr>
          <w:sz w:val="26"/>
          <w:szCs w:val="26"/>
          <w:lang w:val="lt-LT"/>
        </w:rPr>
        <w:t>iekvien</w:t>
      </w:r>
      <w:r w:rsidR="0024462D">
        <w:rPr>
          <w:sz w:val="26"/>
          <w:szCs w:val="26"/>
          <w:lang w:val="lt-LT"/>
        </w:rPr>
        <w:t>o</w:t>
      </w:r>
      <w:r w:rsidR="0024462D" w:rsidRPr="003E5F7B">
        <w:rPr>
          <w:sz w:val="26"/>
          <w:szCs w:val="26"/>
          <w:lang w:val="lt-LT"/>
        </w:rPr>
        <w:t xml:space="preserve"> </w:t>
      </w:r>
      <w:r w:rsidR="0024462D">
        <w:rPr>
          <w:sz w:val="26"/>
          <w:szCs w:val="26"/>
          <w:lang w:val="lt-LT"/>
        </w:rPr>
        <w:t xml:space="preserve">audito rizikos komponentui </w:t>
      </w:r>
      <w:r w:rsidR="0024462D" w:rsidRPr="003E5F7B">
        <w:rPr>
          <w:sz w:val="26"/>
          <w:szCs w:val="26"/>
          <w:lang w:val="lt-LT"/>
        </w:rPr>
        <w:t>nustatyto veiksnio pasireiškimo tikimybė ir įtaka įvertinama remiantis 5 balų skale (</w:t>
      </w:r>
      <w:r>
        <w:rPr>
          <w:sz w:val="26"/>
          <w:szCs w:val="26"/>
          <w:lang w:val="lt-LT"/>
        </w:rPr>
        <w:t xml:space="preserve">metodikos </w:t>
      </w:r>
      <w:r w:rsidR="00B0764E">
        <w:rPr>
          <w:sz w:val="26"/>
          <w:szCs w:val="26"/>
          <w:lang w:val="lt-LT"/>
        </w:rPr>
        <w:t xml:space="preserve">2 ir 3 žingsniai). Veiksnio </w:t>
      </w:r>
      <w:r w:rsidR="0024462D" w:rsidRPr="003E5F7B">
        <w:rPr>
          <w:sz w:val="26"/>
          <w:szCs w:val="26"/>
          <w:lang w:val="lt-LT"/>
        </w:rPr>
        <w:t>įtakos ir pasireiškimo tikimybės skaidymas į didesnį balų spektrą, darbo autorės nuomone, tik apsunkintų tiriamojo objekto sampratą. Nustatant pasireiškimo tikimybę remiamasi auditoriaus supratimu bei surinkta informacija, jog tam tikras veiksnys gali būti reikšmingo iškraipymo finansinėse ataskaitose priežastimi</w:t>
      </w:r>
      <w:r w:rsidR="00BB333E">
        <w:rPr>
          <w:sz w:val="26"/>
          <w:szCs w:val="26"/>
          <w:lang w:val="lt-LT"/>
        </w:rPr>
        <w:t>. P</w:t>
      </w:r>
      <w:r w:rsidR="0024462D" w:rsidRPr="003E5F7B">
        <w:rPr>
          <w:sz w:val="26"/>
          <w:szCs w:val="26"/>
          <w:lang w:val="lt-LT"/>
        </w:rPr>
        <w:t xml:space="preserve">riskirtas didesnis skalės nuo 1 iki 5 skaičius reikš didesnę tikimybę. Tuo tarpu vertinant veiksnio įtaką </w:t>
      </w:r>
      <w:r>
        <w:rPr>
          <w:sz w:val="26"/>
          <w:szCs w:val="26"/>
          <w:lang w:val="lt-LT"/>
        </w:rPr>
        <w:t>tikslinga</w:t>
      </w:r>
      <w:r w:rsidR="0024462D" w:rsidRPr="003E5F7B">
        <w:rPr>
          <w:sz w:val="26"/>
          <w:szCs w:val="26"/>
          <w:lang w:val="lt-LT"/>
        </w:rPr>
        <w:t xml:space="preserve"> apibrėžti šio veiksnio piniginę įtaką, kuri būtų siejama su auditoriaus nustatytu reikšmingumo ir toleruotinos klaidos</w:t>
      </w:r>
      <w:r w:rsidR="0024462D" w:rsidRPr="003E5F7B">
        <w:rPr>
          <w:rStyle w:val="FootnoteReference"/>
          <w:sz w:val="26"/>
          <w:szCs w:val="26"/>
          <w:lang w:val="lt-LT"/>
        </w:rPr>
        <w:footnoteReference w:id="22"/>
      </w:r>
      <w:r w:rsidR="0024462D" w:rsidRPr="003E5F7B">
        <w:rPr>
          <w:sz w:val="26"/>
          <w:szCs w:val="26"/>
          <w:lang w:val="lt-LT"/>
        </w:rPr>
        <w:t xml:space="preserve"> lygiu. Šiuo atveju didesnis įtakos įvertinimas reikš reikšmingesnį iškraipymą. Atkreiptinas dėmesys, kad veiksniai, kurio įtaka yra labai maža arba maža, t. y. iki toleruotinos klaidos dydžio, iš tolesnių skaičiavimų yra eliminuojami (4 žingsnis). </w:t>
      </w:r>
      <w:r>
        <w:rPr>
          <w:sz w:val="26"/>
          <w:szCs w:val="26"/>
          <w:lang w:val="lt-LT"/>
        </w:rPr>
        <w:t xml:space="preserve">Toks </w:t>
      </w:r>
      <w:r w:rsidR="0024462D" w:rsidRPr="003E5F7B">
        <w:rPr>
          <w:sz w:val="26"/>
          <w:szCs w:val="26"/>
          <w:lang w:val="lt-LT"/>
        </w:rPr>
        <w:t>eliminavimas, darbo autorės nuomone, yra būtinas, nes auditoriui tiriant audito riziką turi būti svarbūs ne visi, o tik galimi reikšmingi iškraipymai.</w:t>
      </w:r>
      <w:r w:rsidR="0024462D">
        <w:rPr>
          <w:sz w:val="26"/>
          <w:szCs w:val="26"/>
          <w:lang w:val="lt-LT"/>
        </w:rPr>
        <w:t xml:space="preserve"> </w:t>
      </w:r>
      <w:r w:rsidR="0024462D" w:rsidRPr="00DA03DC">
        <w:rPr>
          <w:sz w:val="26"/>
          <w:szCs w:val="26"/>
          <w:lang w:val="lt-LT"/>
        </w:rPr>
        <w:t xml:space="preserve">Kadangi veiksnio pasireiškimo tikimybės ir įtakos sandauga yra veiksnio rizikos reikšmė (20 lentelės 5 žingsnis), tai susumavus visų identifikuotų veiksnių rizikos reikšmes gaunama bendra audito rizikos komponento reikšmė. </w:t>
      </w:r>
      <w:r w:rsidR="0024462D">
        <w:rPr>
          <w:sz w:val="26"/>
          <w:szCs w:val="26"/>
          <w:lang w:val="lt-LT"/>
        </w:rPr>
        <w:t xml:space="preserve">O </w:t>
      </w:r>
      <w:r w:rsidR="0024462D" w:rsidRPr="00DA03DC">
        <w:rPr>
          <w:sz w:val="26"/>
          <w:szCs w:val="26"/>
          <w:lang w:val="lt-LT"/>
        </w:rPr>
        <w:t xml:space="preserve">susumavus visų veiksnių įtakas </w:t>
      </w:r>
      <w:r w:rsidR="0024462D">
        <w:rPr>
          <w:sz w:val="26"/>
          <w:szCs w:val="26"/>
          <w:lang w:val="lt-LT"/>
        </w:rPr>
        <w:t>nustatoma</w:t>
      </w:r>
      <w:r w:rsidR="0024462D" w:rsidRPr="00DA03DC">
        <w:rPr>
          <w:sz w:val="26"/>
          <w:szCs w:val="26"/>
          <w:lang w:val="lt-LT"/>
        </w:rPr>
        <w:t xml:space="preserve"> bendra įtaka tiriamos rizikos atžvilgiu (7 žingsnis).</w:t>
      </w:r>
    </w:p>
    <w:p w:rsidR="003322CD" w:rsidRPr="005556F1" w:rsidRDefault="003322CD" w:rsidP="003E5F7B">
      <w:pPr>
        <w:spacing w:line="360" w:lineRule="auto"/>
        <w:jc w:val="right"/>
        <w:rPr>
          <w:i/>
          <w:sz w:val="26"/>
          <w:szCs w:val="26"/>
          <w:lang w:val="lt-LT"/>
        </w:rPr>
      </w:pPr>
      <w:r w:rsidRPr="005556F1">
        <w:rPr>
          <w:i/>
          <w:sz w:val="26"/>
          <w:szCs w:val="26"/>
          <w:lang w:val="lt-LT"/>
        </w:rPr>
        <w:lastRenderedPageBreak/>
        <w:t>2</w:t>
      </w:r>
      <w:r w:rsidR="009E7470" w:rsidRPr="005556F1">
        <w:rPr>
          <w:i/>
          <w:sz w:val="26"/>
          <w:szCs w:val="26"/>
          <w:lang w:val="lt-LT"/>
        </w:rPr>
        <w:t>1</w:t>
      </w:r>
      <w:r w:rsidRPr="005556F1">
        <w:rPr>
          <w:i/>
          <w:sz w:val="26"/>
          <w:szCs w:val="26"/>
          <w:lang w:val="lt-LT"/>
        </w:rPr>
        <w:t xml:space="preserve"> lentelė</w:t>
      </w:r>
    </w:p>
    <w:p w:rsidR="003322CD" w:rsidRPr="005556F1" w:rsidRDefault="00B66841" w:rsidP="00BC45D3">
      <w:pPr>
        <w:tabs>
          <w:tab w:val="left" w:pos="567"/>
        </w:tabs>
        <w:spacing w:line="360" w:lineRule="auto"/>
        <w:jc w:val="center"/>
        <w:rPr>
          <w:b/>
          <w:sz w:val="26"/>
          <w:szCs w:val="26"/>
          <w:lang w:val="lt-LT"/>
        </w:rPr>
      </w:pPr>
      <w:r w:rsidRPr="005556F1">
        <w:rPr>
          <w:b/>
          <w:sz w:val="26"/>
          <w:szCs w:val="26"/>
          <w:lang w:val="lt-LT"/>
        </w:rPr>
        <w:t>Audito rizikos komponentų</w:t>
      </w:r>
      <w:r w:rsidR="003322CD" w:rsidRPr="005556F1">
        <w:rPr>
          <w:b/>
          <w:sz w:val="26"/>
          <w:szCs w:val="26"/>
          <w:lang w:val="lt-LT"/>
        </w:rPr>
        <w:t xml:space="preserve"> </w:t>
      </w:r>
      <w:r w:rsidR="00F075EF" w:rsidRPr="005556F1">
        <w:rPr>
          <w:b/>
          <w:sz w:val="26"/>
          <w:szCs w:val="26"/>
          <w:lang w:val="lt-LT"/>
        </w:rPr>
        <w:t>kiekybinis įvertinimas</w:t>
      </w:r>
    </w:p>
    <w:tbl>
      <w:tblPr>
        <w:tblStyle w:val="TableGrid"/>
        <w:tblW w:w="0" w:type="auto"/>
        <w:jc w:val="center"/>
        <w:tblInd w:w="162" w:type="dxa"/>
        <w:tblLook w:val="04A0"/>
      </w:tblPr>
      <w:tblGrid>
        <w:gridCol w:w="491"/>
        <w:gridCol w:w="2529"/>
        <w:gridCol w:w="5312"/>
      </w:tblGrid>
      <w:tr w:rsidR="003322CD" w:rsidRPr="003E5F7B" w:rsidTr="009678BB">
        <w:trPr>
          <w:jc w:val="center"/>
        </w:trPr>
        <w:tc>
          <w:tcPr>
            <w:tcW w:w="2977" w:type="dxa"/>
            <w:gridSpan w:val="2"/>
          </w:tcPr>
          <w:p w:rsidR="003322CD" w:rsidRPr="003E5F7B" w:rsidRDefault="003322CD" w:rsidP="00050E39">
            <w:pPr>
              <w:pStyle w:val="NormalWeb"/>
              <w:spacing w:before="0" w:beforeAutospacing="0" w:after="0" w:afterAutospacing="0"/>
              <w:jc w:val="center"/>
              <w:rPr>
                <w:b/>
                <w:sz w:val="22"/>
                <w:szCs w:val="22"/>
                <w:lang w:val="lt-LT"/>
              </w:rPr>
            </w:pPr>
            <w:r w:rsidRPr="003E5F7B">
              <w:rPr>
                <w:b/>
                <w:sz w:val="22"/>
                <w:szCs w:val="22"/>
                <w:lang w:val="lt-LT"/>
              </w:rPr>
              <w:t>Žingsniai</w:t>
            </w:r>
          </w:p>
        </w:tc>
        <w:tc>
          <w:tcPr>
            <w:tcW w:w="5355" w:type="dxa"/>
          </w:tcPr>
          <w:p w:rsidR="003322CD" w:rsidRPr="003E5F7B" w:rsidRDefault="00050E39" w:rsidP="00050E39">
            <w:pPr>
              <w:pStyle w:val="NormalWeb"/>
              <w:spacing w:before="0" w:beforeAutospacing="0" w:after="0" w:afterAutospacing="0"/>
              <w:jc w:val="center"/>
              <w:rPr>
                <w:b/>
                <w:sz w:val="22"/>
                <w:szCs w:val="22"/>
                <w:lang w:val="lt-LT"/>
              </w:rPr>
            </w:pPr>
            <w:r w:rsidRPr="003E5F7B">
              <w:rPr>
                <w:b/>
                <w:sz w:val="22"/>
                <w:szCs w:val="22"/>
                <w:lang w:val="lt-LT"/>
              </w:rPr>
              <w:t>Aprašymas</w:t>
            </w:r>
          </w:p>
        </w:tc>
      </w:tr>
      <w:tr w:rsidR="003322CD" w:rsidRPr="003E5F7B" w:rsidTr="009678BB">
        <w:trPr>
          <w:jc w:val="center"/>
        </w:trPr>
        <w:tc>
          <w:tcPr>
            <w:tcW w:w="437" w:type="dxa"/>
          </w:tcPr>
          <w:p w:rsidR="003322CD" w:rsidRPr="003E5F7B" w:rsidRDefault="003322CD" w:rsidP="00050E39">
            <w:pPr>
              <w:pStyle w:val="NormalWeb"/>
              <w:spacing w:before="0" w:beforeAutospacing="0" w:after="0" w:afterAutospacing="0"/>
              <w:jc w:val="both"/>
              <w:rPr>
                <w:sz w:val="22"/>
                <w:szCs w:val="22"/>
                <w:lang w:val="lt-LT"/>
              </w:rPr>
            </w:pPr>
            <w:r w:rsidRPr="003E5F7B">
              <w:rPr>
                <w:sz w:val="22"/>
                <w:szCs w:val="22"/>
                <w:lang w:val="lt-LT"/>
              </w:rPr>
              <w:t>1.</w:t>
            </w:r>
          </w:p>
        </w:tc>
        <w:tc>
          <w:tcPr>
            <w:tcW w:w="2540" w:type="dxa"/>
          </w:tcPr>
          <w:p w:rsidR="003322CD" w:rsidRPr="003E5F7B" w:rsidRDefault="00050E39" w:rsidP="00050E39">
            <w:pPr>
              <w:pStyle w:val="NormalWeb"/>
              <w:spacing w:before="0" w:beforeAutospacing="0" w:after="0" w:afterAutospacing="0"/>
              <w:jc w:val="both"/>
              <w:rPr>
                <w:sz w:val="22"/>
                <w:szCs w:val="22"/>
                <w:lang w:val="lt-LT"/>
              </w:rPr>
            </w:pPr>
            <w:r w:rsidRPr="003E5F7B">
              <w:rPr>
                <w:sz w:val="22"/>
                <w:szCs w:val="22"/>
                <w:lang w:val="lt-LT"/>
              </w:rPr>
              <w:t>Veiksnių identifikavimas</w:t>
            </w:r>
          </w:p>
        </w:tc>
        <w:tc>
          <w:tcPr>
            <w:tcW w:w="5355" w:type="dxa"/>
          </w:tcPr>
          <w:p w:rsidR="003322CD" w:rsidRPr="003E5F7B" w:rsidRDefault="00050E39" w:rsidP="00A52879">
            <w:pPr>
              <w:pStyle w:val="NormalWeb"/>
              <w:spacing w:before="0" w:beforeAutospacing="0" w:after="0" w:afterAutospacing="0"/>
              <w:jc w:val="both"/>
              <w:rPr>
                <w:sz w:val="22"/>
                <w:szCs w:val="22"/>
                <w:lang w:val="lt-LT"/>
              </w:rPr>
            </w:pPr>
            <w:r w:rsidRPr="003E5F7B">
              <w:rPr>
                <w:sz w:val="22"/>
                <w:szCs w:val="22"/>
                <w:lang w:val="lt-LT"/>
              </w:rPr>
              <w:t xml:space="preserve">Nagrinėjant </w:t>
            </w:r>
            <w:r w:rsidR="00846A09" w:rsidRPr="003E5F7B">
              <w:rPr>
                <w:sz w:val="22"/>
                <w:szCs w:val="22"/>
                <w:lang w:val="lt-LT"/>
              </w:rPr>
              <w:t xml:space="preserve">susijusias sąlygas ir aplinkybes identifikuojami visi </w:t>
            </w:r>
            <w:r w:rsidRPr="003E5F7B">
              <w:rPr>
                <w:sz w:val="22"/>
                <w:szCs w:val="22"/>
                <w:lang w:val="lt-LT"/>
              </w:rPr>
              <w:t>veiksni</w:t>
            </w:r>
            <w:r w:rsidR="00846A09" w:rsidRPr="003E5F7B">
              <w:rPr>
                <w:sz w:val="22"/>
                <w:szCs w:val="22"/>
                <w:lang w:val="lt-LT"/>
              </w:rPr>
              <w:t>ai</w:t>
            </w:r>
            <w:r w:rsidRPr="003E5F7B">
              <w:rPr>
                <w:sz w:val="22"/>
                <w:szCs w:val="22"/>
                <w:lang w:val="lt-LT"/>
              </w:rPr>
              <w:t>, galin</w:t>
            </w:r>
            <w:r w:rsidR="00846A09" w:rsidRPr="003E5F7B">
              <w:rPr>
                <w:sz w:val="22"/>
                <w:szCs w:val="22"/>
                <w:lang w:val="lt-LT"/>
              </w:rPr>
              <w:t>tys</w:t>
            </w:r>
            <w:r w:rsidRPr="003E5F7B">
              <w:rPr>
                <w:sz w:val="22"/>
                <w:szCs w:val="22"/>
                <w:lang w:val="lt-LT"/>
              </w:rPr>
              <w:t xml:space="preserve"> lemti rizikos pareiškimą</w:t>
            </w:r>
            <w:r w:rsidR="00846A09" w:rsidRPr="003E5F7B">
              <w:rPr>
                <w:sz w:val="22"/>
                <w:szCs w:val="22"/>
                <w:lang w:val="lt-LT"/>
              </w:rPr>
              <w:t>.</w:t>
            </w:r>
            <w:r w:rsidR="00480089" w:rsidRPr="003E5F7B">
              <w:rPr>
                <w:sz w:val="22"/>
                <w:szCs w:val="22"/>
                <w:lang w:val="lt-LT"/>
              </w:rPr>
              <w:t xml:space="preserve"> </w:t>
            </w:r>
          </w:p>
        </w:tc>
      </w:tr>
      <w:tr w:rsidR="003322CD" w:rsidRPr="003E5F7B" w:rsidTr="009678BB">
        <w:trPr>
          <w:jc w:val="center"/>
        </w:trPr>
        <w:tc>
          <w:tcPr>
            <w:tcW w:w="437" w:type="dxa"/>
          </w:tcPr>
          <w:p w:rsidR="003322CD" w:rsidRPr="003E5F7B" w:rsidRDefault="00846A09" w:rsidP="00050E39">
            <w:pPr>
              <w:pStyle w:val="NormalWeb"/>
              <w:spacing w:before="0" w:beforeAutospacing="0" w:after="0" w:afterAutospacing="0"/>
              <w:jc w:val="both"/>
              <w:rPr>
                <w:sz w:val="22"/>
                <w:szCs w:val="22"/>
                <w:lang w:val="lt-LT"/>
              </w:rPr>
            </w:pPr>
            <w:r w:rsidRPr="003E5F7B">
              <w:rPr>
                <w:sz w:val="22"/>
                <w:szCs w:val="22"/>
                <w:lang w:val="lt-LT"/>
              </w:rPr>
              <w:t>2.</w:t>
            </w:r>
          </w:p>
        </w:tc>
        <w:tc>
          <w:tcPr>
            <w:tcW w:w="2540" w:type="dxa"/>
          </w:tcPr>
          <w:p w:rsidR="003322CD" w:rsidRPr="003E5F7B" w:rsidRDefault="00846A09" w:rsidP="00050E39">
            <w:pPr>
              <w:pStyle w:val="NormalWeb"/>
              <w:spacing w:before="0" w:beforeAutospacing="0" w:after="0" w:afterAutospacing="0"/>
              <w:jc w:val="both"/>
              <w:rPr>
                <w:sz w:val="22"/>
                <w:szCs w:val="22"/>
                <w:lang w:val="lt-LT"/>
              </w:rPr>
            </w:pPr>
            <w:r w:rsidRPr="003E5F7B">
              <w:rPr>
                <w:sz w:val="22"/>
                <w:szCs w:val="22"/>
                <w:lang w:val="lt-LT"/>
              </w:rPr>
              <w:t>Veiksnio pasireiškimo tikimybės įvertinimas</w:t>
            </w:r>
          </w:p>
        </w:tc>
        <w:tc>
          <w:tcPr>
            <w:tcW w:w="5355" w:type="dxa"/>
          </w:tcPr>
          <w:p w:rsidR="00382B51" w:rsidRPr="003E5F7B" w:rsidRDefault="00846A09" w:rsidP="00050E39">
            <w:pPr>
              <w:pStyle w:val="NormalWeb"/>
              <w:spacing w:before="0" w:beforeAutospacing="0" w:after="0" w:afterAutospacing="0"/>
              <w:jc w:val="both"/>
              <w:rPr>
                <w:sz w:val="22"/>
                <w:szCs w:val="22"/>
                <w:lang w:val="lt-LT"/>
              </w:rPr>
            </w:pPr>
            <w:r w:rsidRPr="003E5F7B">
              <w:rPr>
                <w:sz w:val="22"/>
                <w:szCs w:val="22"/>
                <w:lang w:val="lt-LT"/>
              </w:rPr>
              <w:t>Pasireiškimo tikimybė įvertinama remiantis skale nuo 1 iki 5</w:t>
            </w:r>
            <w:r w:rsidR="00382B51" w:rsidRPr="003E5F7B">
              <w:rPr>
                <w:sz w:val="22"/>
                <w:szCs w:val="22"/>
                <w:lang w:val="lt-LT"/>
              </w:rPr>
              <w:t>:</w:t>
            </w:r>
          </w:p>
          <w:p w:rsidR="00382B51" w:rsidRPr="003E5F7B" w:rsidRDefault="00846A09" w:rsidP="00050E39">
            <w:pPr>
              <w:pStyle w:val="NormalWeb"/>
              <w:spacing w:before="0" w:beforeAutospacing="0" w:after="0" w:afterAutospacing="0"/>
              <w:jc w:val="both"/>
              <w:rPr>
                <w:i/>
                <w:sz w:val="22"/>
                <w:szCs w:val="22"/>
                <w:lang w:val="lt-LT"/>
              </w:rPr>
            </w:pPr>
            <w:r w:rsidRPr="003E5F7B">
              <w:rPr>
                <w:i/>
                <w:sz w:val="22"/>
                <w:szCs w:val="22"/>
                <w:lang w:val="lt-LT"/>
              </w:rPr>
              <w:t xml:space="preserve">1– labai maža, </w:t>
            </w:r>
          </w:p>
          <w:p w:rsidR="00382B51" w:rsidRPr="003E5F7B" w:rsidRDefault="00382B51" w:rsidP="00050E39">
            <w:pPr>
              <w:pStyle w:val="NormalWeb"/>
              <w:spacing w:before="0" w:beforeAutospacing="0" w:after="0" w:afterAutospacing="0"/>
              <w:jc w:val="both"/>
              <w:rPr>
                <w:i/>
                <w:sz w:val="22"/>
                <w:szCs w:val="22"/>
                <w:lang w:val="lt-LT"/>
              </w:rPr>
            </w:pPr>
            <w:r w:rsidRPr="003E5F7B">
              <w:rPr>
                <w:i/>
                <w:sz w:val="22"/>
                <w:szCs w:val="22"/>
                <w:lang w:val="lt-LT"/>
              </w:rPr>
              <w:t>2 – maža,</w:t>
            </w:r>
          </w:p>
          <w:p w:rsidR="00382B51" w:rsidRPr="003E5F7B" w:rsidRDefault="00382B51" w:rsidP="00050E39">
            <w:pPr>
              <w:pStyle w:val="NormalWeb"/>
              <w:spacing w:before="0" w:beforeAutospacing="0" w:after="0" w:afterAutospacing="0"/>
              <w:jc w:val="both"/>
              <w:rPr>
                <w:i/>
                <w:sz w:val="22"/>
                <w:szCs w:val="22"/>
                <w:lang w:val="lt-LT"/>
              </w:rPr>
            </w:pPr>
            <w:r w:rsidRPr="003E5F7B">
              <w:rPr>
                <w:i/>
                <w:sz w:val="22"/>
                <w:szCs w:val="22"/>
                <w:lang w:val="lt-LT"/>
              </w:rPr>
              <w:t>3 – vidutinė,</w:t>
            </w:r>
            <w:r w:rsidR="00846A09" w:rsidRPr="003E5F7B">
              <w:rPr>
                <w:i/>
                <w:sz w:val="22"/>
                <w:szCs w:val="22"/>
                <w:lang w:val="lt-LT"/>
              </w:rPr>
              <w:t xml:space="preserve"> </w:t>
            </w:r>
          </w:p>
          <w:p w:rsidR="00382B51" w:rsidRPr="003E5F7B" w:rsidRDefault="00846A09" w:rsidP="00050E39">
            <w:pPr>
              <w:pStyle w:val="NormalWeb"/>
              <w:spacing w:before="0" w:beforeAutospacing="0" w:after="0" w:afterAutospacing="0"/>
              <w:jc w:val="both"/>
              <w:rPr>
                <w:i/>
                <w:sz w:val="22"/>
                <w:szCs w:val="22"/>
                <w:lang w:val="lt-LT"/>
              </w:rPr>
            </w:pPr>
            <w:r w:rsidRPr="003E5F7B">
              <w:rPr>
                <w:i/>
                <w:sz w:val="22"/>
                <w:szCs w:val="22"/>
                <w:lang w:val="lt-LT"/>
              </w:rPr>
              <w:t xml:space="preserve">4 – didelė, </w:t>
            </w:r>
          </w:p>
          <w:p w:rsidR="003322CD" w:rsidRPr="003E5F7B" w:rsidRDefault="00207733" w:rsidP="00050E39">
            <w:pPr>
              <w:pStyle w:val="NormalWeb"/>
              <w:spacing w:before="0" w:beforeAutospacing="0" w:after="0" w:afterAutospacing="0"/>
              <w:jc w:val="both"/>
              <w:rPr>
                <w:sz w:val="22"/>
                <w:szCs w:val="22"/>
                <w:lang w:val="lt-LT"/>
              </w:rPr>
            </w:pPr>
            <w:r w:rsidRPr="003E5F7B">
              <w:rPr>
                <w:i/>
                <w:sz w:val="22"/>
                <w:szCs w:val="22"/>
                <w:lang w:val="lt-LT"/>
              </w:rPr>
              <w:t>5 – labai didelė tikimybė</w:t>
            </w:r>
            <w:r w:rsidR="00846A09" w:rsidRPr="003E5F7B">
              <w:rPr>
                <w:sz w:val="22"/>
                <w:szCs w:val="22"/>
                <w:lang w:val="lt-LT"/>
              </w:rPr>
              <w:t xml:space="preserve">. </w:t>
            </w:r>
          </w:p>
        </w:tc>
      </w:tr>
      <w:tr w:rsidR="003322CD" w:rsidRPr="003E5F7B" w:rsidTr="009678BB">
        <w:trPr>
          <w:jc w:val="center"/>
        </w:trPr>
        <w:tc>
          <w:tcPr>
            <w:tcW w:w="437" w:type="dxa"/>
          </w:tcPr>
          <w:p w:rsidR="003322CD" w:rsidRPr="003E5F7B" w:rsidRDefault="00846A09" w:rsidP="00050E39">
            <w:pPr>
              <w:pStyle w:val="NormalWeb"/>
              <w:spacing w:before="0" w:beforeAutospacing="0" w:after="0" w:afterAutospacing="0"/>
              <w:jc w:val="both"/>
              <w:rPr>
                <w:sz w:val="22"/>
                <w:szCs w:val="22"/>
                <w:lang w:val="lt-LT"/>
              </w:rPr>
            </w:pPr>
            <w:r w:rsidRPr="003E5F7B">
              <w:rPr>
                <w:sz w:val="22"/>
                <w:szCs w:val="22"/>
                <w:lang w:val="lt-LT"/>
              </w:rPr>
              <w:t>3.</w:t>
            </w:r>
          </w:p>
        </w:tc>
        <w:tc>
          <w:tcPr>
            <w:tcW w:w="2540" w:type="dxa"/>
          </w:tcPr>
          <w:p w:rsidR="003322CD" w:rsidRPr="003E5F7B" w:rsidRDefault="00846A09" w:rsidP="00050E39">
            <w:pPr>
              <w:pStyle w:val="NormalWeb"/>
              <w:spacing w:before="0" w:beforeAutospacing="0" w:after="0" w:afterAutospacing="0"/>
              <w:jc w:val="both"/>
              <w:rPr>
                <w:sz w:val="22"/>
                <w:szCs w:val="22"/>
                <w:lang w:val="lt-LT"/>
              </w:rPr>
            </w:pPr>
            <w:r w:rsidRPr="003E5F7B">
              <w:rPr>
                <w:sz w:val="22"/>
                <w:szCs w:val="22"/>
                <w:lang w:val="lt-LT"/>
              </w:rPr>
              <w:t>Veiksnio įtakos įvertinimas</w:t>
            </w:r>
          </w:p>
        </w:tc>
        <w:tc>
          <w:tcPr>
            <w:tcW w:w="5355" w:type="dxa"/>
          </w:tcPr>
          <w:p w:rsidR="00207733" w:rsidRPr="003E5F7B" w:rsidRDefault="000C5FD0" w:rsidP="004B7DF2">
            <w:pPr>
              <w:pStyle w:val="NormalWeb"/>
              <w:spacing w:before="0" w:beforeAutospacing="0" w:after="0" w:afterAutospacing="0"/>
              <w:jc w:val="both"/>
              <w:rPr>
                <w:sz w:val="22"/>
                <w:szCs w:val="22"/>
                <w:lang w:val="lt-LT"/>
              </w:rPr>
            </w:pPr>
            <w:r w:rsidRPr="003E5F7B">
              <w:rPr>
                <w:sz w:val="22"/>
                <w:szCs w:val="22"/>
                <w:lang w:val="lt-LT"/>
              </w:rPr>
              <w:t xml:space="preserve">Nustatant įtaką, remiamasi reikšmingumo ir toleruotinos klaidos lygiu. </w:t>
            </w:r>
            <w:r w:rsidR="00846A09" w:rsidRPr="003E5F7B">
              <w:rPr>
                <w:sz w:val="22"/>
                <w:szCs w:val="22"/>
                <w:lang w:val="lt-LT"/>
              </w:rPr>
              <w:t>Įtaka įvertinama remiantis skale nuo 1 iki 5</w:t>
            </w:r>
            <w:r w:rsidR="00207733" w:rsidRPr="003E5F7B">
              <w:rPr>
                <w:sz w:val="22"/>
                <w:szCs w:val="22"/>
                <w:lang w:val="lt-LT"/>
              </w:rPr>
              <w:t>:</w:t>
            </w:r>
          </w:p>
          <w:p w:rsidR="00207733" w:rsidRPr="003E5F7B" w:rsidRDefault="00846A09" w:rsidP="004B7DF2">
            <w:pPr>
              <w:pStyle w:val="NormalWeb"/>
              <w:spacing w:before="0" w:beforeAutospacing="0" w:after="0" w:afterAutospacing="0"/>
              <w:jc w:val="both"/>
              <w:rPr>
                <w:i/>
                <w:sz w:val="22"/>
                <w:szCs w:val="22"/>
                <w:lang w:val="lt-LT"/>
              </w:rPr>
            </w:pPr>
            <w:r w:rsidRPr="003E5F7B">
              <w:rPr>
                <w:i/>
                <w:sz w:val="22"/>
                <w:szCs w:val="22"/>
                <w:lang w:val="lt-LT"/>
              </w:rPr>
              <w:t>1– labai maža</w:t>
            </w:r>
            <w:r w:rsidR="00D322D4" w:rsidRPr="003E5F7B">
              <w:rPr>
                <w:i/>
                <w:sz w:val="22"/>
                <w:szCs w:val="22"/>
                <w:lang w:val="lt-LT"/>
              </w:rPr>
              <w:t xml:space="preserve"> (iki 1/10 </w:t>
            </w:r>
            <w:r w:rsidR="000C5FD0" w:rsidRPr="003E5F7B">
              <w:rPr>
                <w:i/>
                <w:sz w:val="22"/>
                <w:szCs w:val="22"/>
                <w:lang w:val="lt-LT"/>
              </w:rPr>
              <w:t>toleruotinos klaidos</w:t>
            </w:r>
            <w:r w:rsidR="00D322D4" w:rsidRPr="003E5F7B">
              <w:rPr>
                <w:i/>
                <w:sz w:val="22"/>
                <w:szCs w:val="22"/>
                <w:lang w:val="lt-LT"/>
              </w:rPr>
              <w:t xml:space="preserve"> dydžio</w:t>
            </w:r>
            <w:r w:rsidR="000C5FD0" w:rsidRPr="003E5F7B">
              <w:rPr>
                <w:i/>
                <w:sz w:val="22"/>
                <w:szCs w:val="22"/>
                <w:lang w:val="lt-LT"/>
              </w:rPr>
              <w:t>)</w:t>
            </w:r>
            <w:r w:rsidRPr="003E5F7B">
              <w:rPr>
                <w:i/>
                <w:sz w:val="22"/>
                <w:szCs w:val="22"/>
                <w:lang w:val="lt-LT"/>
              </w:rPr>
              <w:t xml:space="preserve">, </w:t>
            </w:r>
          </w:p>
          <w:p w:rsidR="00207733" w:rsidRPr="003E5F7B" w:rsidRDefault="00846A09" w:rsidP="004B7DF2">
            <w:pPr>
              <w:pStyle w:val="NormalWeb"/>
              <w:spacing w:before="0" w:beforeAutospacing="0" w:after="0" w:afterAutospacing="0"/>
              <w:jc w:val="both"/>
              <w:rPr>
                <w:i/>
                <w:sz w:val="22"/>
                <w:szCs w:val="22"/>
                <w:lang w:val="lt-LT"/>
              </w:rPr>
            </w:pPr>
            <w:r w:rsidRPr="003E5F7B">
              <w:rPr>
                <w:i/>
                <w:sz w:val="22"/>
                <w:szCs w:val="22"/>
                <w:lang w:val="lt-LT"/>
              </w:rPr>
              <w:t>2 – maža</w:t>
            </w:r>
            <w:r w:rsidR="000122B2" w:rsidRPr="003E5F7B">
              <w:rPr>
                <w:i/>
                <w:sz w:val="22"/>
                <w:szCs w:val="22"/>
                <w:lang w:val="lt-LT"/>
              </w:rPr>
              <w:t xml:space="preserve"> (</w:t>
            </w:r>
            <w:r w:rsidR="000C5FD0" w:rsidRPr="003E5F7B">
              <w:rPr>
                <w:i/>
                <w:sz w:val="22"/>
                <w:szCs w:val="22"/>
                <w:lang w:val="lt-LT"/>
              </w:rPr>
              <w:t xml:space="preserve">lygi </w:t>
            </w:r>
            <w:r w:rsidR="00D322D4" w:rsidRPr="003E5F7B">
              <w:rPr>
                <w:i/>
                <w:sz w:val="22"/>
                <w:szCs w:val="22"/>
                <w:lang w:val="lt-LT"/>
              </w:rPr>
              <w:t xml:space="preserve">1/10 </w:t>
            </w:r>
            <w:r w:rsidR="000122B2" w:rsidRPr="003E5F7B">
              <w:rPr>
                <w:i/>
                <w:sz w:val="22"/>
                <w:szCs w:val="22"/>
                <w:lang w:val="lt-LT"/>
              </w:rPr>
              <w:t xml:space="preserve">toleruotinos klaidos </w:t>
            </w:r>
            <w:r w:rsidR="000C5FD0" w:rsidRPr="003E5F7B">
              <w:rPr>
                <w:i/>
                <w:sz w:val="22"/>
                <w:szCs w:val="22"/>
                <w:lang w:val="lt-LT"/>
              </w:rPr>
              <w:t>ar didesnė už ją i</w:t>
            </w:r>
            <w:r w:rsidR="000122B2" w:rsidRPr="003E5F7B">
              <w:rPr>
                <w:i/>
                <w:sz w:val="22"/>
                <w:szCs w:val="22"/>
                <w:lang w:val="lt-LT"/>
              </w:rPr>
              <w:t>ki toleruotinos klaidos lygio)</w:t>
            </w:r>
            <w:r w:rsidRPr="003E5F7B">
              <w:rPr>
                <w:i/>
                <w:sz w:val="22"/>
                <w:szCs w:val="22"/>
                <w:lang w:val="lt-LT"/>
              </w:rPr>
              <w:t xml:space="preserve">, </w:t>
            </w:r>
          </w:p>
          <w:p w:rsidR="00207733" w:rsidRPr="003E5F7B" w:rsidRDefault="00207733" w:rsidP="004B7DF2">
            <w:pPr>
              <w:pStyle w:val="NormalWeb"/>
              <w:spacing w:before="0" w:beforeAutospacing="0" w:after="0" w:afterAutospacing="0"/>
              <w:jc w:val="both"/>
              <w:rPr>
                <w:i/>
                <w:sz w:val="22"/>
                <w:szCs w:val="22"/>
                <w:lang w:val="lt-LT"/>
              </w:rPr>
            </w:pPr>
            <w:r w:rsidRPr="003E5F7B">
              <w:rPr>
                <w:i/>
                <w:sz w:val="22"/>
                <w:szCs w:val="22"/>
                <w:lang w:val="lt-LT"/>
              </w:rPr>
              <w:t>3 – vidutinė</w:t>
            </w:r>
            <w:r w:rsidR="0039284C" w:rsidRPr="003E5F7B">
              <w:rPr>
                <w:i/>
                <w:sz w:val="22"/>
                <w:szCs w:val="22"/>
                <w:lang w:val="lt-LT"/>
              </w:rPr>
              <w:t xml:space="preserve"> (</w:t>
            </w:r>
            <w:r w:rsidR="000122B2" w:rsidRPr="003E5F7B">
              <w:rPr>
                <w:i/>
                <w:sz w:val="22"/>
                <w:szCs w:val="22"/>
                <w:lang w:val="lt-LT"/>
              </w:rPr>
              <w:t xml:space="preserve">lygi </w:t>
            </w:r>
            <w:r w:rsidR="0039284C" w:rsidRPr="003E5F7B">
              <w:rPr>
                <w:i/>
                <w:sz w:val="22"/>
                <w:szCs w:val="22"/>
                <w:lang w:val="lt-LT"/>
              </w:rPr>
              <w:t>toleruotin</w:t>
            </w:r>
            <w:r w:rsidR="000122B2" w:rsidRPr="003E5F7B">
              <w:rPr>
                <w:i/>
                <w:sz w:val="22"/>
                <w:szCs w:val="22"/>
                <w:lang w:val="lt-LT"/>
              </w:rPr>
              <w:t>ai</w:t>
            </w:r>
            <w:r w:rsidR="0039284C" w:rsidRPr="003E5F7B">
              <w:rPr>
                <w:i/>
                <w:sz w:val="22"/>
                <w:szCs w:val="22"/>
                <w:lang w:val="lt-LT"/>
              </w:rPr>
              <w:t xml:space="preserve"> klaid</w:t>
            </w:r>
            <w:r w:rsidR="000122B2" w:rsidRPr="003E5F7B">
              <w:rPr>
                <w:i/>
                <w:sz w:val="22"/>
                <w:szCs w:val="22"/>
                <w:lang w:val="lt-LT"/>
              </w:rPr>
              <w:t>ai</w:t>
            </w:r>
            <w:r w:rsidR="000C5FD0" w:rsidRPr="003E5F7B">
              <w:rPr>
                <w:i/>
                <w:sz w:val="22"/>
                <w:szCs w:val="22"/>
                <w:lang w:val="lt-LT"/>
              </w:rPr>
              <w:t xml:space="preserve"> ar didesnė už ją iki </w:t>
            </w:r>
            <w:r w:rsidR="000122B2" w:rsidRPr="003E5F7B">
              <w:rPr>
                <w:i/>
                <w:sz w:val="22"/>
                <w:szCs w:val="22"/>
                <w:lang w:val="lt-LT"/>
              </w:rPr>
              <w:t>reikšmingumo lyg</w:t>
            </w:r>
            <w:r w:rsidR="00182A21" w:rsidRPr="003E5F7B">
              <w:rPr>
                <w:i/>
                <w:sz w:val="22"/>
                <w:szCs w:val="22"/>
                <w:lang w:val="lt-LT"/>
              </w:rPr>
              <w:t>i</w:t>
            </w:r>
            <w:r w:rsidR="000122B2" w:rsidRPr="003E5F7B">
              <w:rPr>
                <w:i/>
                <w:sz w:val="22"/>
                <w:szCs w:val="22"/>
                <w:lang w:val="lt-LT"/>
              </w:rPr>
              <w:t>o</w:t>
            </w:r>
            <w:r w:rsidR="0039284C" w:rsidRPr="003E5F7B">
              <w:rPr>
                <w:i/>
                <w:sz w:val="22"/>
                <w:szCs w:val="22"/>
                <w:lang w:val="lt-LT"/>
              </w:rPr>
              <w:t>)</w:t>
            </w:r>
            <w:r w:rsidRPr="003E5F7B">
              <w:rPr>
                <w:i/>
                <w:sz w:val="22"/>
                <w:szCs w:val="22"/>
                <w:lang w:val="lt-LT"/>
              </w:rPr>
              <w:t>,</w:t>
            </w:r>
          </w:p>
          <w:p w:rsidR="00207733" w:rsidRPr="003E5F7B" w:rsidRDefault="00846A09" w:rsidP="004B7DF2">
            <w:pPr>
              <w:pStyle w:val="NormalWeb"/>
              <w:spacing w:before="0" w:beforeAutospacing="0" w:after="0" w:afterAutospacing="0"/>
              <w:jc w:val="both"/>
              <w:rPr>
                <w:i/>
                <w:sz w:val="22"/>
                <w:szCs w:val="22"/>
                <w:lang w:val="lt-LT"/>
              </w:rPr>
            </w:pPr>
            <w:r w:rsidRPr="003E5F7B">
              <w:rPr>
                <w:i/>
                <w:sz w:val="22"/>
                <w:szCs w:val="22"/>
                <w:lang w:val="lt-LT"/>
              </w:rPr>
              <w:t>4 – did</w:t>
            </w:r>
            <w:r w:rsidR="00207733" w:rsidRPr="003E5F7B">
              <w:rPr>
                <w:i/>
                <w:sz w:val="22"/>
                <w:szCs w:val="22"/>
                <w:lang w:val="lt-LT"/>
              </w:rPr>
              <w:t>elė</w:t>
            </w:r>
            <w:r w:rsidR="0039284C" w:rsidRPr="003E5F7B">
              <w:rPr>
                <w:i/>
                <w:sz w:val="22"/>
                <w:szCs w:val="22"/>
                <w:lang w:val="lt-LT"/>
              </w:rPr>
              <w:t xml:space="preserve"> (</w:t>
            </w:r>
            <w:r w:rsidR="000122B2" w:rsidRPr="003E5F7B">
              <w:rPr>
                <w:i/>
                <w:sz w:val="22"/>
                <w:szCs w:val="22"/>
                <w:lang w:val="lt-LT"/>
              </w:rPr>
              <w:t>lygi reikšmingumo lygi</w:t>
            </w:r>
            <w:r w:rsidR="00182A21" w:rsidRPr="003E5F7B">
              <w:rPr>
                <w:i/>
                <w:sz w:val="22"/>
                <w:szCs w:val="22"/>
                <w:lang w:val="lt-LT"/>
              </w:rPr>
              <w:t>ui</w:t>
            </w:r>
            <w:r w:rsidR="000122B2" w:rsidRPr="003E5F7B">
              <w:rPr>
                <w:i/>
                <w:sz w:val="22"/>
                <w:szCs w:val="22"/>
                <w:lang w:val="lt-LT"/>
              </w:rPr>
              <w:t xml:space="preserve"> ar didesnė už jį iki </w:t>
            </w:r>
            <w:r w:rsidR="00182A21" w:rsidRPr="003E5F7B">
              <w:rPr>
                <w:i/>
                <w:sz w:val="22"/>
                <w:szCs w:val="22"/>
                <w:lang w:val="lt-LT"/>
              </w:rPr>
              <w:t>10 kartų</w:t>
            </w:r>
            <w:r w:rsidR="0039284C" w:rsidRPr="003E5F7B">
              <w:rPr>
                <w:i/>
                <w:sz w:val="22"/>
                <w:szCs w:val="22"/>
                <w:lang w:val="lt-LT"/>
              </w:rPr>
              <w:t>)</w:t>
            </w:r>
            <w:r w:rsidR="00207733" w:rsidRPr="003E5F7B">
              <w:rPr>
                <w:i/>
                <w:sz w:val="22"/>
                <w:szCs w:val="22"/>
                <w:lang w:val="lt-LT"/>
              </w:rPr>
              <w:t>,</w:t>
            </w:r>
          </w:p>
          <w:p w:rsidR="003322CD" w:rsidRPr="003E5F7B" w:rsidRDefault="00846A09" w:rsidP="00D322D4">
            <w:pPr>
              <w:pStyle w:val="NormalWeb"/>
              <w:spacing w:before="0" w:beforeAutospacing="0" w:after="0" w:afterAutospacing="0"/>
              <w:jc w:val="both"/>
              <w:rPr>
                <w:sz w:val="22"/>
                <w:szCs w:val="22"/>
                <w:lang w:val="lt-LT"/>
              </w:rPr>
            </w:pPr>
            <w:r w:rsidRPr="003E5F7B">
              <w:rPr>
                <w:i/>
                <w:sz w:val="22"/>
                <w:szCs w:val="22"/>
                <w:lang w:val="lt-LT"/>
              </w:rPr>
              <w:t>5 – labai didelė įtaka</w:t>
            </w:r>
            <w:r w:rsidR="0039284C" w:rsidRPr="003E5F7B">
              <w:rPr>
                <w:i/>
                <w:sz w:val="22"/>
                <w:szCs w:val="22"/>
                <w:lang w:val="lt-LT"/>
              </w:rPr>
              <w:t xml:space="preserve"> (</w:t>
            </w:r>
            <w:r w:rsidR="00D322D4" w:rsidRPr="003E5F7B">
              <w:rPr>
                <w:i/>
                <w:sz w:val="22"/>
                <w:szCs w:val="22"/>
                <w:lang w:val="lt-LT"/>
              </w:rPr>
              <w:t xml:space="preserve">didesnė už </w:t>
            </w:r>
            <w:r w:rsidR="00182A21" w:rsidRPr="003E5F7B">
              <w:rPr>
                <w:i/>
                <w:sz w:val="22"/>
                <w:szCs w:val="22"/>
                <w:lang w:val="lt-LT"/>
              </w:rPr>
              <w:t xml:space="preserve">10 kartų </w:t>
            </w:r>
            <w:r w:rsidR="0039284C" w:rsidRPr="003E5F7B">
              <w:rPr>
                <w:i/>
                <w:sz w:val="22"/>
                <w:szCs w:val="22"/>
                <w:lang w:val="lt-LT"/>
              </w:rPr>
              <w:t>reikšmingumo lyg</w:t>
            </w:r>
            <w:r w:rsidR="000122B2" w:rsidRPr="003E5F7B">
              <w:rPr>
                <w:i/>
                <w:sz w:val="22"/>
                <w:szCs w:val="22"/>
                <w:lang w:val="lt-LT"/>
              </w:rPr>
              <w:t>i</w:t>
            </w:r>
            <w:r w:rsidR="00182A21" w:rsidRPr="003E5F7B">
              <w:rPr>
                <w:i/>
                <w:sz w:val="22"/>
                <w:szCs w:val="22"/>
                <w:lang w:val="lt-LT"/>
              </w:rPr>
              <w:t>o</w:t>
            </w:r>
            <w:r w:rsidR="0039284C" w:rsidRPr="003E5F7B">
              <w:rPr>
                <w:i/>
                <w:sz w:val="22"/>
                <w:szCs w:val="22"/>
                <w:lang w:val="lt-LT"/>
              </w:rPr>
              <w:t>)</w:t>
            </w:r>
            <w:r w:rsidRPr="003E5F7B">
              <w:rPr>
                <w:sz w:val="22"/>
                <w:szCs w:val="22"/>
                <w:lang w:val="lt-LT"/>
              </w:rPr>
              <w:t xml:space="preserve">. </w:t>
            </w:r>
          </w:p>
        </w:tc>
      </w:tr>
      <w:tr w:rsidR="00260D05" w:rsidRPr="003E5F7B" w:rsidTr="009678BB">
        <w:trPr>
          <w:jc w:val="center"/>
        </w:trPr>
        <w:tc>
          <w:tcPr>
            <w:tcW w:w="437" w:type="dxa"/>
          </w:tcPr>
          <w:p w:rsidR="00260D05" w:rsidRPr="003E5F7B" w:rsidRDefault="00C930CD" w:rsidP="00C930CD">
            <w:pPr>
              <w:pStyle w:val="NormalWeb"/>
              <w:spacing w:before="0" w:beforeAutospacing="0" w:after="0" w:afterAutospacing="0"/>
              <w:jc w:val="both"/>
              <w:rPr>
                <w:sz w:val="22"/>
                <w:szCs w:val="22"/>
                <w:lang w:val="lt-LT"/>
              </w:rPr>
            </w:pPr>
            <w:r w:rsidRPr="003E5F7B">
              <w:rPr>
                <w:sz w:val="22"/>
                <w:szCs w:val="22"/>
                <w:lang w:val="lt-LT"/>
              </w:rPr>
              <w:t>4</w:t>
            </w:r>
            <w:r w:rsidR="00260D05" w:rsidRPr="003E5F7B">
              <w:rPr>
                <w:sz w:val="22"/>
                <w:szCs w:val="22"/>
                <w:lang w:val="lt-LT"/>
              </w:rPr>
              <w:t>.</w:t>
            </w:r>
          </w:p>
        </w:tc>
        <w:tc>
          <w:tcPr>
            <w:tcW w:w="2540" w:type="dxa"/>
          </w:tcPr>
          <w:p w:rsidR="00260D05" w:rsidRPr="003E5F7B" w:rsidRDefault="00260D05" w:rsidP="00073780">
            <w:pPr>
              <w:pStyle w:val="NormalWeb"/>
              <w:spacing w:before="0" w:beforeAutospacing="0" w:after="0" w:afterAutospacing="0"/>
              <w:jc w:val="both"/>
              <w:rPr>
                <w:sz w:val="22"/>
                <w:szCs w:val="22"/>
                <w:lang w:val="lt-LT"/>
              </w:rPr>
            </w:pPr>
            <w:r w:rsidRPr="003E5F7B">
              <w:rPr>
                <w:sz w:val="22"/>
                <w:szCs w:val="22"/>
                <w:lang w:val="lt-LT"/>
              </w:rPr>
              <w:t>Veiksnio, kuri</w:t>
            </w:r>
            <w:r w:rsidR="00073780" w:rsidRPr="003E5F7B">
              <w:rPr>
                <w:sz w:val="22"/>
                <w:szCs w:val="22"/>
                <w:lang w:val="lt-LT"/>
              </w:rPr>
              <w:t>o</w:t>
            </w:r>
            <w:r w:rsidRPr="003E5F7B">
              <w:rPr>
                <w:sz w:val="22"/>
                <w:szCs w:val="22"/>
                <w:lang w:val="lt-LT"/>
              </w:rPr>
              <w:t xml:space="preserve"> įtaka yra nedidelė, eliminavimas </w:t>
            </w:r>
          </w:p>
        </w:tc>
        <w:tc>
          <w:tcPr>
            <w:tcW w:w="5355" w:type="dxa"/>
          </w:tcPr>
          <w:p w:rsidR="00260D05" w:rsidRPr="003E5F7B" w:rsidRDefault="00260D05" w:rsidP="00260D05">
            <w:pPr>
              <w:pStyle w:val="NormalWeb"/>
              <w:spacing w:before="0" w:beforeAutospacing="0" w:after="0" w:afterAutospacing="0"/>
              <w:jc w:val="both"/>
              <w:rPr>
                <w:sz w:val="22"/>
                <w:szCs w:val="22"/>
                <w:lang w:val="lt-LT"/>
              </w:rPr>
            </w:pPr>
            <w:r w:rsidRPr="003E5F7B">
              <w:rPr>
                <w:sz w:val="22"/>
                <w:szCs w:val="22"/>
                <w:lang w:val="lt-LT"/>
              </w:rPr>
              <w:t xml:space="preserve">Jei pagal 3 žingsnį nustatoma, jog veiksnio įtaka yra labai maža arba maža (1-2 balai pagal taikytą skalę), tai šis veiksnys yra eliminuojamas iš tolesnių skaičiavimų. </w:t>
            </w:r>
          </w:p>
        </w:tc>
      </w:tr>
      <w:tr w:rsidR="003322CD" w:rsidRPr="003E5F7B" w:rsidTr="009678BB">
        <w:trPr>
          <w:jc w:val="center"/>
        </w:trPr>
        <w:tc>
          <w:tcPr>
            <w:tcW w:w="437" w:type="dxa"/>
          </w:tcPr>
          <w:p w:rsidR="003322CD" w:rsidRPr="003E5F7B" w:rsidRDefault="00C930CD" w:rsidP="00050E39">
            <w:pPr>
              <w:pStyle w:val="NormalWeb"/>
              <w:spacing w:before="0" w:beforeAutospacing="0" w:after="0" w:afterAutospacing="0"/>
              <w:jc w:val="both"/>
              <w:rPr>
                <w:sz w:val="22"/>
                <w:szCs w:val="22"/>
                <w:lang w:val="lt-LT"/>
              </w:rPr>
            </w:pPr>
            <w:r w:rsidRPr="003E5F7B">
              <w:rPr>
                <w:sz w:val="22"/>
                <w:szCs w:val="22"/>
                <w:lang w:val="lt-LT"/>
              </w:rPr>
              <w:t>5</w:t>
            </w:r>
            <w:r w:rsidR="004B7DF2" w:rsidRPr="003E5F7B">
              <w:rPr>
                <w:sz w:val="22"/>
                <w:szCs w:val="22"/>
                <w:lang w:val="lt-LT"/>
              </w:rPr>
              <w:t>.</w:t>
            </w:r>
          </w:p>
        </w:tc>
        <w:tc>
          <w:tcPr>
            <w:tcW w:w="2540" w:type="dxa"/>
          </w:tcPr>
          <w:p w:rsidR="003322CD" w:rsidRPr="003E5F7B" w:rsidRDefault="00516EB8" w:rsidP="00516EB8">
            <w:pPr>
              <w:pStyle w:val="NormalWeb"/>
              <w:spacing w:before="0" w:beforeAutospacing="0" w:after="0" w:afterAutospacing="0"/>
              <w:jc w:val="both"/>
              <w:rPr>
                <w:sz w:val="22"/>
                <w:szCs w:val="22"/>
                <w:lang w:val="lt-LT"/>
              </w:rPr>
            </w:pPr>
            <w:r w:rsidRPr="003E5F7B">
              <w:rPr>
                <w:sz w:val="22"/>
                <w:szCs w:val="22"/>
                <w:lang w:val="lt-LT"/>
              </w:rPr>
              <w:t>V</w:t>
            </w:r>
            <w:r w:rsidR="004B7DF2" w:rsidRPr="003E5F7B">
              <w:rPr>
                <w:sz w:val="22"/>
                <w:szCs w:val="22"/>
                <w:lang w:val="lt-LT"/>
              </w:rPr>
              <w:t xml:space="preserve">eiksnio </w:t>
            </w:r>
            <w:r w:rsidR="00382B51" w:rsidRPr="003E5F7B">
              <w:rPr>
                <w:sz w:val="22"/>
                <w:szCs w:val="22"/>
                <w:lang w:val="lt-LT"/>
              </w:rPr>
              <w:t xml:space="preserve">rizikos </w:t>
            </w:r>
            <w:r w:rsidR="004B7DF2" w:rsidRPr="003E5F7B">
              <w:rPr>
                <w:sz w:val="22"/>
                <w:szCs w:val="22"/>
                <w:lang w:val="lt-LT"/>
              </w:rPr>
              <w:t>reikšmė</w:t>
            </w:r>
            <w:r w:rsidR="006E7CB6" w:rsidRPr="003E5F7B">
              <w:rPr>
                <w:sz w:val="22"/>
                <w:szCs w:val="22"/>
                <w:lang w:val="lt-LT"/>
              </w:rPr>
              <w:t>s nustatymas</w:t>
            </w:r>
          </w:p>
        </w:tc>
        <w:tc>
          <w:tcPr>
            <w:tcW w:w="5355" w:type="dxa"/>
          </w:tcPr>
          <w:p w:rsidR="00D63B7C" w:rsidRPr="003E5F7B" w:rsidRDefault="006E7CB6" w:rsidP="00050E39">
            <w:pPr>
              <w:pStyle w:val="NormalWeb"/>
              <w:spacing w:before="0" w:beforeAutospacing="0" w:after="0" w:afterAutospacing="0"/>
              <w:jc w:val="both"/>
              <w:rPr>
                <w:sz w:val="22"/>
                <w:szCs w:val="22"/>
                <w:lang w:val="lt-LT"/>
              </w:rPr>
            </w:pPr>
            <w:r w:rsidRPr="003E5F7B">
              <w:rPr>
                <w:sz w:val="22"/>
                <w:szCs w:val="22"/>
                <w:lang w:val="lt-LT"/>
              </w:rPr>
              <w:t>V</w:t>
            </w:r>
            <w:r w:rsidR="00382B51" w:rsidRPr="003E5F7B">
              <w:rPr>
                <w:sz w:val="22"/>
                <w:szCs w:val="22"/>
                <w:lang w:val="lt-LT"/>
              </w:rPr>
              <w:t xml:space="preserve">eiksnio </w:t>
            </w:r>
            <w:r w:rsidR="00382B51" w:rsidRPr="003E5F7B">
              <w:rPr>
                <w:sz w:val="22"/>
                <w:szCs w:val="22"/>
              </w:rPr>
              <w:t xml:space="preserve">rizikos </w:t>
            </w:r>
            <w:r w:rsidR="00D63B7C" w:rsidRPr="003E5F7B">
              <w:rPr>
                <w:sz w:val="22"/>
                <w:szCs w:val="22"/>
                <w:lang w:val="lt-LT"/>
              </w:rPr>
              <w:t xml:space="preserve">reikšmė </w:t>
            </w:r>
            <w:r w:rsidRPr="003E5F7B">
              <w:rPr>
                <w:sz w:val="22"/>
                <w:szCs w:val="22"/>
                <w:lang w:val="lt-LT"/>
              </w:rPr>
              <w:t>(</w:t>
            </w:r>
            <w:r w:rsidRPr="003E5F7B">
              <w:rPr>
                <w:i/>
                <w:sz w:val="22"/>
                <w:szCs w:val="22"/>
                <w:lang w:val="lt-LT"/>
              </w:rPr>
              <w:t>VR)</w:t>
            </w:r>
            <w:r w:rsidRPr="003E5F7B">
              <w:rPr>
                <w:sz w:val="22"/>
                <w:szCs w:val="22"/>
                <w:lang w:val="lt-LT"/>
              </w:rPr>
              <w:t xml:space="preserve"> </w:t>
            </w:r>
            <w:r w:rsidR="00D63B7C" w:rsidRPr="003E5F7B">
              <w:rPr>
                <w:sz w:val="22"/>
                <w:szCs w:val="22"/>
                <w:lang w:val="lt-LT"/>
              </w:rPr>
              <w:t>apskaičiuojama pagal formulę:</w:t>
            </w:r>
          </w:p>
          <w:p w:rsidR="00382B51" w:rsidRPr="003E5F7B" w:rsidRDefault="006E7CB6" w:rsidP="00516EB8">
            <w:pPr>
              <w:pStyle w:val="NormalWeb"/>
              <w:spacing w:before="0" w:beforeAutospacing="0" w:after="0" w:afterAutospacing="0"/>
              <w:jc w:val="center"/>
              <w:rPr>
                <w:i/>
                <w:sz w:val="22"/>
                <w:szCs w:val="22"/>
                <w:lang w:val="lt-LT"/>
              </w:rPr>
            </w:pPr>
            <w:r w:rsidRPr="003E5F7B">
              <w:rPr>
                <w:i/>
                <w:sz w:val="22"/>
                <w:szCs w:val="22"/>
                <w:lang w:val="lt-LT"/>
              </w:rPr>
              <w:t>VR</w:t>
            </w:r>
            <w:r w:rsidRPr="003E5F7B">
              <w:rPr>
                <w:i/>
                <w:sz w:val="22"/>
                <w:szCs w:val="22"/>
                <w:vertAlign w:val="subscript"/>
                <w:lang w:val="lt-LT"/>
              </w:rPr>
              <w:t>1</w:t>
            </w:r>
            <w:r w:rsidR="00382B51" w:rsidRPr="003E5F7B">
              <w:rPr>
                <w:i/>
                <w:sz w:val="22"/>
                <w:szCs w:val="22"/>
                <w:lang w:val="lt-LT"/>
              </w:rPr>
              <w:t xml:space="preserve"> </w:t>
            </w:r>
            <w:r w:rsidR="00382B51" w:rsidRPr="003E5F7B">
              <w:rPr>
                <w:i/>
                <w:sz w:val="22"/>
                <w:szCs w:val="22"/>
                <w:lang w:val="ru-RU"/>
              </w:rPr>
              <w:t xml:space="preserve">= </w:t>
            </w:r>
            <w:r w:rsidR="00516EB8" w:rsidRPr="003E5F7B">
              <w:rPr>
                <w:i/>
                <w:sz w:val="22"/>
                <w:szCs w:val="22"/>
                <w:lang w:val="lt-LT"/>
              </w:rPr>
              <w:t>Tikimybė</w:t>
            </w:r>
            <w:r w:rsidR="00516EB8" w:rsidRPr="003E5F7B">
              <w:rPr>
                <w:i/>
                <w:sz w:val="22"/>
                <w:szCs w:val="22"/>
                <w:vertAlign w:val="subscript"/>
                <w:lang w:val="lt-LT"/>
              </w:rPr>
              <w:t>1</w:t>
            </w:r>
            <w:r w:rsidR="00480089" w:rsidRPr="003E5F7B">
              <w:rPr>
                <w:i/>
                <w:sz w:val="22"/>
                <w:szCs w:val="22"/>
                <w:vertAlign w:val="subscript"/>
                <w:lang w:val="lt-LT"/>
              </w:rPr>
              <w:t xml:space="preserve"> </w:t>
            </w:r>
            <w:r w:rsidR="00382B51" w:rsidRPr="003E5F7B">
              <w:rPr>
                <w:sz w:val="22"/>
                <w:szCs w:val="22"/>
                <w:lang w:val="lt-LT"/>
              </w:rPr>
              <w:t>x</w:t>
            </w:r>
            <w:r w:rsidR="00D63B7C" w:rsidRPr="003E5F7B">
              <w:rPr>
                <w:i/>
                <w:sz w:val="22"/>
                <w:szCs w:val="22"/>
                <w:lang w:val="lt-LT"/>
              </w:rPr>
              <w:t xml:space="preserve"> </w:t>
            </w:r>
            <w:r w:rsidR="00516EB8" w:rsidRPr="003E5F7B">
              <w:rPr>
                <w:i/>
                <w:sz w:val="22"/>
                <w:szCs w:val="22"/>
                <w:lang w:val="lt-LT"/>
              </w:rPr>
              <w:t>Įtaka</w:t>
            </w:r>
            <w:r w:rsidR="00516EB8" w:rsidRPr="003E5F7B">
              <w:rPr>
                <w:i/>
                <w:sz w:val="22"/>
                <w:szCs w:val="22"/>
                <w:vertAlign w:val="subscript"/>
                <w:lang w:val="lt-LT"/>
              </w:rPr>
              <w:t>1</w:t>
            </w:r>
          </w:p>
        </w:tc>
      </w:tr>
      <w:tr w:rsidR="00D63B7C" w:rsidRPr="003E5F7B" w:rsidTr="009678BB">
        <w:trPr>
          <w:trHeight w:val="724"/>
          <w:jc w:val="center"/>
        </w:trPr>
        <w:tc>
          <w:tcPr>
            <w:tcW w:w="437" w:type="dxa"/>
          </w:tcPr>
          <w:p w:rsidR="00D63B7C" w:rsidRPr="003E5F7B" w:rsidRDefault="00C930CD" w:rsidP="00050E39">
            <w:pPr>
              <w:pStyle w:val="NormalWeb"/>
              <w:spacing w:before="0" w:beforeAutospacing="0" w:after="0" w:afterAutospacing="0"/>
              <w:jc w:val="both"/>
              <w:rPr>
                <w:sz w:val="22"/>
                <w:szCs w:val="22"/>
                <w:lang w:val="lt-LT"/>
              </w:rPr>
            </w:pPr>
            <w:r w:rsidRPr="003E5F7B">
              <w:rPr>
                <w:sz w:val="22"/>
                <w:szCs w:val="22"/>
                <w:lang w:val="lt-LT"/>
              </w:rPr>
              <w:t>6</w:t>
            </w:r>
            <w:r w:rsidR="00D63B7C" w:rsidRPr="003E5F7B">
              <w:rPr>
                <w:sz w:val="22"/>
                <w:szCs w:val="22"/>
                <w:lang w:val="lt-LT"/>
              </w:rPr>
              <w:t xml:space="preserve">. </w:t>
            </w:r>
          </w:p>
        </w:tc>
        <w:tc>
          <w:tcPr>
            <w:tcW w:w="2540" w:type="dxa"/>
          </w:tcPr>
          <w:p w:rsidR="00D63B7C" w:rsidRPr="003E5F7B" w:rsidRDefault="00516EB8" w:rsidP="00884A1E">
            <w:pPr>
              <w:pStyle w:val="NormalWeb"/>
              <w:spacing w:before="0" w:beforeAutospacing="0" w:after="0" w:afterAutospacing="0"/>
              <w:rPr>
                <w:sz w:val="22"/>
                <w:szCs w:val="22"/>
                <w:lang w:val="lt-LT"/>
              </w:rPr>
            </w:pPr>
            <w:r w:rsidRPr="003E5F7B">
              <w:rPr>
                <w:sz w:val="22"/>
                <w:szCs w:val="22"/>
                <w:lang w:val="lt-LT"/>
              </w:rPr>
              <w:t>B</w:t>
            </w:r>
            <w:r w:rsidR="00382B51" w:rsidRPr="003E5F7B">
              <w:rPr>
                <w:sz w:val="22"/>
                <w:szCs w:val="22"/>
                <w:lang w:val="lt-LT"/>
              </w:rPr>
              <w:t>endr</w:t>
            </w:r>
            <w:r w:rsidR="00480089" w:rsidRPr="003E5F7B">
              <w:rPr>
                <w:sz w:val="22"/>
                <w:szCs w:val="22"/>
                <w:lang w:val="lt-LT"/>
              </w:rPr>
              <w:t>o</w:t>
            </w:r>
            <w:r w:rsidR="00AF06E5" w:rsidRPr="003E5F7B">
              <w:rPr>
                <w:sz w:val="22"/>
                <w:szCs w:val="22"/>
                <w:lang w:val="lt-LT"/>
              </w:rPr>
              <w:t>s</w:t>
            </w:r>
            <w:r w:rsidR="00382B51" w:rsidRPr="003E5F7B">
              <w:rPr>
                <w:sz w:val="22"/>
                <w:szCs w:val="22"/>
                <w:lang w:val="lt-LT"/>
              </w:rPr>
              <w:t xml:space="preserve"> rizikos </w:t>
            </w:r>
            <w:r w:rsidR="00480089" w:rsidRPr="003E5F7B">
              <w:rPr>
                <w:sz w:val="22"/>
                <w:szCs w:val="22"/>
                <w:lang w:val="lt-LT"/>
              </w:rPr>
              <w:t>apskaičiavimas</w:t>
            </w:r>
            <w:r w:rsidR="00382B51" w:rsidRPr="003E5F7B">
              <w:rPr>
                <w:sz w:val="22"/>
                <w:szCs w:val="22"/>
                <w:lang w:val="lt-LT"/>
              </w:rPr>
              <w:t xml:space="preserve"> </w:t>
            </w:r>
          </w:p>
        </w:tc>
        <w:tc>
          <w:tcPr>
            <w:tcW w:w="5355" w:type="dxa"/>
          </w:tcPr>
          <w:p w:rsidR="00207733" w:rsidRPr="003E5F7B" w:rsidRDefault="00A41435" w:rsidP="00382B51">
            <w:pPr>
              <w:pStyle w:val="NormalWeb"/>
              <w:spacing w:before="0" w:beforeAutospacing="0" w:after="0" w:afterAutospacing="0"/>
              <w:jc w:val="both"/>
              <w:rPr>
                <w:sz w:val="22"/>
                <w:szCs w:val="22"/>
                <w:lang w:val="lt-LT"/>
              </w:rPr>
            </w:pPr>
            <w:r w:rsidRPr="003E5F7B">
              <w:rPr>
                <w:sz w:val="22"/>
                <w:szCs w:val="22"/>
                <w:lang w:val="lt-LT"/>
              </w:rPr>
              <w:t>Bendras</w:t>
            </w:r>
            <w:r w:rsidR="00382B51" w:rsidRPr="003E5F7B">
              <w:rPr>
                <w:sz w:val="22"/>
                <w:szCs w:val="22"/>
                <w:lang w:val="lt-LT"/>
              </w:rPr>
              <w:t xml:space="preserve"> rizikos įvertinimas </w:t>
            </w:r>
            <w:r w:rsidR="006E7CB6" w:rsidRPr="003E5F7B">
              <w:rPr>
                <w:i/>
                <w:sz w:val="22"/>
                <w:szCs w:val="22"/>
                <w:lang w:val="lt-LT"/>
              </w:rPr>
              <w:t>(BR)</w:t>
            </w:r>
            <w:r w:rsidR="006E7CB6" w:rsidRPr="003E5F7B">
              <w:rPr>
                <w:sz w:val="22"/>
                <w:szCs w:val="22"/>
                <w:lang w:val="lt-LT"/>
              </w:rPr>
              <w:t xml:space="preserve"> </w:t>
            </w:r>
            <w:r w:rsidR="00382B51" w:rsidRPr="003E5F7B">
              <w:rPr>
                <w:sz w:val="22"/>
                <w:szCs w:val="22"/>
                <w:lang w:val="lt-LT"/>
              </w:rPr>
              <w:t xml:space="preserve">yra lygus visų </w:t>
            </w:r>
            <w:r w:rsidR="00207733" w:rsidRPr="003E5F7B">
              <w:rPr>
                <w:sz w:val="22"/>
                <w:szCs w:val="22"/>
                <w:lang w:val="lt-LT"/>
              </w:rPr>
              <w:t xml:space="preserve">veiksnių </w:t>
            </w:r>
            <w:r w:rsidR="00382B51" w:rsidRPr="003E5F7B">
              <w:rPr>
                <w:sz w:val="22"/>
                <w:szCs w:val="22"/>
                <w:lang w:val="lt-LT"/>
              </w:rPr>
              <w:t xml:space="preserve">rizikos </w:t>
            </w:r>
            <w:r w:rsidR="00207733" w:rsidRPr="003E5F7B">
              <w:rPr>
                <w:sz w:val="22"/>
                <w:szCs w:val="22"/>
                <w:lang w:val="lt-LT"/>
              </w:rPr>
              <w:t>reikšmių sumai:</w:t>
            </w:r>
          </w:p>
          <w:p w:rsidR="00D63B7C" w:rsidRPr="003E5F7B" w:rsidRDefault="00207733" w:rsidP="006E7CB6">
            <w:pPr>
              <w:pStyle w:val="NormalWeb"/>
              <w:spacing w:before="0" w:beforeAutospacing="0" w:after="0" w:afterAutospacing="0" w:line="360" w:lineRule="auto"/>
              <w:jc w:val="center"/>
              <w:rPr>
                <w:i/>
                <w:sz w:val="22"/>
                <w:szCs w:val="22"/>
                <w:lang w:val="lt-LT"/>
              </w:rPr>
            </w:pPr>
            <w:r w:rsidRPr="003E5F7B">
              <w:rPr>
                <w:i/>
                <w:sz w:val="22"/>
                <w:szCs w:val="22"/>
                <w:lang w:val="lt-LT"/>
              </w:rPr>
              <w:t>B</w:t>
            </w:r>
            <w:r w:rsidR="006E7CB6" w:rsidRPr="003E5F7B">
              <w:rPr>
                <w:i/>
                <w:sz w:val="22"/>
                <w:szCs w:val="22"/>
                <w:lang w:val="lt-LT"/>
              </w:rPr>
              <w:t>R</w:t>
            </w:r>
            <w:r w:rsidRPr="003E5F7B">
              <w:rPr>
                <w:i/>
                <w:sz w:val="22"/>
                <w:szCs w:val="22"/>
                <w:lang w:val="lt-LT"/>
              </w:rPr>
              <w:t xml:space="preserve"> </w:t>
            </w:r>
            <w:r w:rsidRPr="003E5F7B">
              <w:rPr>
                <w:i/>
                <w:sz w:val="22"/>
                <w:szCs w:val="22"/>
              </w:rPr>
              <w:t>=</w:t>
            </w:r>
            <w:r w:rsidR="006E7CB6" w:rsidRPr="003E5F7B">
              <w:rPr>
                <w:i/>
                <w:sz w:val="22"/>
                <w:szCs w:val="22"/>
                <w:lang w:val="lt-LT"/>
              </w:rPr>
              <w:t xml:space="preserve"> VR</w:t>
            </w:r>
            <w:r w:rsidR="006E7CB6" w:rsidRPr="003E5F7B">
              <w:rPr>
                <w:i/>
                <w:sz w:val="22"/>
                <w:szCs w:val="22"/>
                <w:vertAlign w:val="subscript"/>
                <w:lang w:val="lt-LT"/>
              </w:rPr>
              <w:t>1</w:t>
            </w:r>
            <w:r w:rsidR="006E7CB6" w:rsidRPr="003E5F7B">
              <w:rPr>
                <w:i/>
                <w:sz w:val="22"/>
                <w:szCs w:val="22"/>
                <w:lang w:val="lt-LT"/>
              </w:rPr>
              <w:t xml:space="preserve"> + VR</w:t>
            </w:r>
            <w:r w:rsidR="006E7CB6" w:rsidRPr="003E5F7B">
              <w:rPr>
                <w:i/>
                <w:sz w:val="22"/>
                <w:szCs w:val="22"/>
                <w:vertAlign w:val="subscript"/>
                <w:lang w:val="lt-LT"/>
              </w:rPr>
              <w:t>2</w:t>
            </w:r>
            <w:r w:rsidR="006E7CB6" w:rsidRPr="003E5F7B">
              <w:rPr>
                <w:i/>
                <w:sz w:val="22"/>
                <w:szCs w:val="22"/>
                <w:lang w:val="lt-LT"/>
              </w:rPr>
              <w:t xml:space="preserve"> + </w:t>
            </w:r>
            <w:r w:rsidR="00516EB8" w:rsidRPr="003E5F7B">
              <w:rPr>
                <w:i/>
                <w:sz w:val="22"/>
                <w:szCs w:val="22"/>
                <w:lang w:val="lt-LT"/>
              </w:rPr>
              <w:t>... +</w:t>
            </w:r>
            <w:r w:rsidR="006E7CB6" w:rsidRPr="003E5F7B">
              <w:rPr>
                <w:i/>
                <w:sz w:val="22"/>
                <w:szCs w:val="22"/>
                <w:lang w:val="lt-LT"/>
              </w:rPr>
              <w:t>VR</w:t>
            </w:r>
            <w:r w:rsidR="006E7CB6" w:rsidRPr="003E5F7B">
              <w:rPr>
                <w:i/>
                <w:sz w:val="22"/>
                <w:szCs w:val="22"/>
                <w:vertAlign w:val="subscript"/>
                <w:lang w:val="lt-LT"/>
              </w:rPr>
              <w:t>n</w:t>
            </w:r>
          </w:p>
        </w:tc>
      </w:tr>
      <w:tr w:rsidR="00D63B7C" w:rsidRPr="003E5F7B" w:rsidTr="009678BB">
        <w:trPr>
          <w:trHeight w:val="808"/>
          <w:jc w:val="center"/>
        </w:trPr>
        <w:tc>
          <w:tcPr>
            <w:tcW w:w="437" w:type="dxa"/>
          </w:tcPr>
          <w:p w:rsidR="00D63B7C" w:rsidRPr="003E5F7B" w:rsidRDefault="00C930CD" w:rsidP="00050E39">
            <w:pPr>
              <w:pStyle w:val="NormalWeb"/>
              <w:spacing w:before="0" w:beforeAutospacing="0" w:after="0" w:afterAutospacing="0"/>
              <w:jc w:val="both"/>
              <w:rPr>
                <w:sz w:val="22"/>
                <w:szCs w:val="22"/>
                <w:lang w:val="lt-LT"/>
              </w:rPr>
            </w:pPr>
            <w:r w:rsidRPr="003E5F7B">
              <w:rPr>
                <w:sz w:val="22"/>
                <w:szCs w:val="22"/>
                <w:lang w:val="lt-LT"/>
              </w:rPr>
              <w:t>7</w:t>
            </w:r>
            <w:r w:rsidR="00D63B7C" w:rsidRPr="003E5F7B">
              <w:rPr>
                <w:sz w:val="22"/>
                <w:szCs w:val="22"/>
                <w:lang w:val="lt-LT"/>
              </w:rPr>
              <w:t>.</w:t>
            </w:r>
          </w:p>
        </w:tc>
        <w:tc>
          <w:tcPr>
            <w:tcW w:w="2540" w:type="dxa"/>
          </w:tcPr>
          <w:p w:rsidR="00D63B7C" w:rsidRPr="003E5F7B" w:rsidRDefault="00516EB8" w:rsidP="00884A1E">
            <w:pPr>
              <w:pStyle w:val="NormalWeb"/>
              <w:spacing w:before="0" w:beforeAutospacing="0" w:after="0" w:afterAutospacing="0"/>
              <w:rPr>
                <w:sz w:val="22"/>
                <w:szCs w:val="22"/>
                <w:lang w:val="lt-LT"/>
              </w:rPr>
            </w:pPr>
            <w:r w:rsidRPr="003E5F7B">
              <w:rPr>
                <w:sz w:val="22"/>
                <w:szCs w:val="22"/>
                <w:lang w:val="lt-LT"/>
              </w:rPr>
              <w:t>B</w:t>
            </w:r>
            <w:r w:rsidR="00D63B7C" w:rsidRPr="003E5F7B">
              <w:rPr>
                <w:sz w:val="22"/>
                <w:szCs w:val="22"/>
                <w:lang w:val="lt-LT"/>
              </w:rPr>
              <w:t>endr</w:t>
            </w:r>
            <w:r w:rsidRPr="003E5F7B">
              <w:rPr>
                <w:sz w:val="22"/>
                <w:szCs w:val="22"/>
                <w:lang w:val="lt-LT"/>
              </w:rPr>
              <w:t xml:space="preserve">os </w:t>
            </w:r>
            <w:r w:rsidR="00D63B7C" w:rsidRPr="003E5F7B">
              <w:rPr>
                <w:sz w:val="22"/>
                <w:szCs w:val="22"/>
                <w:lang w:val="lt-LT"/>
              </w:rPr>
              <w:t>įtak</w:t>
            </w:r>
            <w:r w:rsidRPr="003E5F7B">
              <w:rPr>
                <w:sz w:val="22"/>
                <w:szCs w:val="22"/>
                <w:lang w:val="lt-LT"/>
              </w:rPr>
              <w:t>os apskaičiavimas</w:t>
            </w:r>
          </w:p>
        </w:tc>
        <w:tc>
          <w:tcPr>
            <w:tcW w:w="5355" w:type="dxa"/>
          </w:tcPr>
          <w:p w:rsidR="00516EB8" w:rsidRPr="003E5F7B" w:rsidRDefault="00516EB8" w:rsidP="00516EB8">
            <w:pPr>
              <w:pStyle w:val="NormalWeb"/>
              <w:spacing w:before="0" w:beforeAutospacing="0" w:after="0" w:afterAutospacing="0"/>
              <w:jc w:val="both"/>
              <w:rPr>
                <w:sz w:val="22"/>
                <w:szCs w:val="22"/>
                <w:lang w:val="lt-LT"/>
              </w:rPr>
            </w:pPr>
            <w:r w:rsidRPr="003E5F7B">
              <w:rPr>
                <w:sz w:val="22"/>
                <w:szCs w:val="22"/>
                <w:lang w:val="lt-LT"/>
              </w:rPr>
              <w:t xml:space="preserve">Bendra įtaka </w:t>
            </w:r>
            <w:r w:rsidR="00B16306" w:rsidRPr="003E5F7B">
              <w:rPr>
                <w:i/>
                <w:sz w:val="22"/>
                <w:szCs w:val="22"/>
                <w:lang w:val="lt-LT"/>
              </w:rPr>
              <w:t>(BĮ)</w:t>
            </w:r>
            <w:r w:rsidR="00B16306" w:rsidRPr="003E5F7B">
              <w:rPr>
                <w:sz w:val="22"/>
                <w:szCs w:val="22"/>
                <w:lang w:val="lt-LT"/>
              </w:rPr>
              <w:t xml:space="preserve"> </w:t>
            </w:r>
            <w:r w:rsidRPr="003E5F7B">
              <w:rPr>
                <w:sz w:val="22"/>
                <w:szCs w:val="22"/>
                <w:lang w:val="lt-LT"/>
              </w:rPr>
              <w:t>apskaičiuojama susumuojant atskirų veiksnių įtakas:</w:t>
            </w:r>
          </w:p>
          <w:p w:rsidR="00516EB8" w:rsidRPr="00D20A9C" w:rsidRDefault="00516EB8" w:rsidP="00D20A9C">
            <w:pPr>
              <w:pStyle w:val="NormalWeb"/>
              <w:spacing w:before="0" w:beforeAutospacing="0" w:after="0" w:afterAutospacing="0"/>
              <w:jc w:val="center"/>
              <w:rPr>
                <w:i/>
                <w:sz w:val="22"/>
                <w:szCs w:val="22"/>
                <w:vertAlign w:val="subscript"/>
                <w:lang w:val="lt-LT"/>
              </w:rPr>
            </w:pPr>
            <w:r w:rsidRPr="003E5F7B">
              <w:rPr>
                <w:i/>
                <w:sz w:val="22"/>
                <w:szCs w:val="22"/>
                <w:lang w:val="lt-LT"/>
              </w:rPr>
              <w:t>B</w:t>
            </w:r>
            <w:r w:rsidR="00B16306" w:rsidRPr="003E5F7B">
              <w:rPr>
                <w:i/>
                <w:sz w:val="22"/>
                <w:szCs w:val="22"/>
                <w:lang w:val="lt-LT"/>
              </w:rPr>
              <w:t>Į</w:t>
            </w:r>
            <w:r w:rsidRPr="003E5F7B">
              <w:rPr>
                <w:i/>
                <w:sz w:val="22"/>
                <w:szCs w:val="22"/>
                <w:lang w:val="lt-LT"/>
              </w:rPr>
              <w:t xml:space="preserve"> </w:t>
            </w:r>
            <w:r w:rsidRPr="003E5F7B">
              <w:rPr>
                <w:i/>
                <w:sz w:val="22"/>
                <w:szCs w:val="22"/>
                <w:lang w:val="ru-RU"/>
              </w:rPr>
              <w:t xml:space="preserve">= </w:t>
            </w:r>
            <w:r w:rsidRPr="003E5F7B">
              <w:rPr>
                <w:i/>
                <w:sz w:val="22"/>
                <w:szCs w:val="22"/>
                <w:lang w:val="lt-LT"/>
              </w:rPr>
              <w:t>Įtaka</w:t>
            </w:r>
            <w:r w:rsidRPr="003E5F7B">
              <w:rPr>
                <w:i/>
                <w:sz w:val="22"/>
                <w:szCs w:val="22"/>
                <w:vertAlign w:val="subscript"/>
                <w:lang w:val="lt-LT"/>
              </w:rPr>
              <w:t>1</w:t>
            </w:r>
            <w:r w:rsidRPr="003E5F7B">
              <w:rPr>
                <w:i/>
                <w:sz w:val="22"/>
                <w:szCs w:val="22"/>
                <w:lang w:val="lt-LT"/>
              </w:rPr>
              <w:t xml:space="preserve"> + Įtaka</w:t>
            </w:r>
            <w:r w:rsidRPr="003E5F7B">
              <w:rPr>
                <w:i/>
                <w:sz w:val="22"/>
                <w:szCs w:val="22"/>
                <w:vertAlign w:val="subscript"/>
                <w:lang w:val="lt-LT"/>
              </w:rPr>
              <w:t>2</w:t>
            </w:r>
            <w:r w:rsidRPr="003E5F7B">
              <w:rPr>
                <w:i/>
                <w:sz w:val="22"/>
                <w:szCs w:val="22"/>
                <w:lang w:val="lt-LT"/>
              </w:rPr>
              <w:t xml:space="preserve"> + ... + Įtaka</w:t>
            </w:r>
            <w:r w:rsidRPr="003E5F7B">
              <w:rPr>
                <w:i/>
                <w:sz w:val="22"/>
                <w:szCs w:val="22"/>
                <w:vertAlign w:val="subscript"/>
                <w:lang w:val="lt-LT"/>
              </w:rPr>
              <w:t>n</w:t>
            </w:r>
          </w:p>
        </w:tc>
      </w:tr>
      <w:tr w:rsidR="00480089" w:rsidRPr="003E5F7B" w:rsidTr="009678BB">
        <w:trPr>
          <w:jc w:val="center"/>
        </w:trPr>
        <w:tc>
          <w:tcPr>
            <w:tcW w:w="437" w:type="dxa"/>
          </w:tcPr>
          <w:p w:rsidR="00480089" w:rsidRPr="003E5F7B" w:rsidRDefault="00C930CD" w:rsidP="00050E39">
            <w:pPr>
              <w:pStyle w:val="NormalWeb"/>
              <w:spacing w:before="0" w:beforeAutospacing="0" w:after="0" w:afterAutospacing="0"/>
              <w:jc w:val="both"/>
              <w:rPr>
                <w:sz w:val="22"/>
                <w:szCs w:val="22"/>
                <w:lang w:val="lt-LT"/>
              </w:rPr>
            </w:pPr>
            <w:r w:rsidRPr="003E5F7B">
              <w:rPr>
                <w:sz w:val="22"/>
                <w:szCs w:val="22"/>
                <w:lang w:val="lt-LT"/>
              </w:rPr>
              <w:t>8</w:t>
            </w:r>
            <w:r w:rsidR="00480089" w:rsidRPr="003E5F7B">
              <w:rPr>
                <w:sz w:val="22"/>
                <w:szCs w:val="22"/>
                <w:lang w:val="lt-LT"/>
              </w:rPr>
              <w:t>.</w:t>
            </w:r>
          </w:p>
        </w:tc>
        <w:tc>
          <w:tcPr>
            <w:tcW w:w="2540" w:type="dxa"/>
          </w:tcPr>
          <w:p w:rsidR="00480089" w:rsidRPr="003E5F7B" w:rsidRDefault="00480089" w:rsidP="00884A1E">
            <w:pPr>
              <w:pStyle w:val="NormalWeb"/>
              <w:spacing w:before="0" w:beforeAutospacing="0" w:after="0" w:afterAutospacing="0"/>
              <w:rPr>
                <w:sz w:val="22"/>
                <w:szCs w:val="22"/>
                <w:lang w:val="lt-LT"/>
              </w:rPr>
            </w:pPr>
            <w:r w:rsidRPr="003E5F7B">
              <w:rPr>
                <w:sz w:val="22"/>
                <w:szCs w:val="22"/>
                <w:lang w:val="lt-LT"/>
              </w:rPr>
              <w:t>Maksimal</w:t>
            </w:r>
            <w:r w:rsidR="00AF06E5" w:rsidRPr="003E5F7B">
              <w:rPr>
                <w:sz w:val="22"/>
                <w:szCs w:val="22"/>
                <w:lang w:val="lt-LT"/>
              </w:rPr>
              <w:t>io</w:t>
            </w:r>
            <w:r w:rsidRPr="003E5F7B">
              <w:rPr>
                <w:sz w:val="22"/>
                <w:szCs w:val="22"/>
                <w:lang w:val="lt-LT"/>
              </w:rPr>
              <w:t>s rizikos nustatymas</w:t>
            </w:r>
          </w:p>
        </w:tc>
        <w:tc>
          <w:tcPr>
            <w:tcW w:w="5355" w:type="dxa"/>
          </w:tcPr>
          <w:p w:rsidR="00A41435" w:rsidRPr="003E5F7B" w:rsidRDefault="008F30A9" w:rsidP="00A41435">
            <w:pPr>
              <w:pStyle w:val="NormalWeb"/>
              <w:spacing w:before="0" w:beforeAutospacing="0" w:after="0" w:afterAutospacing="0"/>
              <w:jc w:val="both"/>
              <w:rPr>
                <w:sz w:val="22"/>
                <w:szCs w:val="22"/>
                <w:lang w:val="lt-LT"/>
              </w:rPr>
            </w:pPr>
            <w:r w:rsidRPr="003E5F7B">
              <w:rPr>
                <w:sz w:val="22"/>
                <w:szCs w:val="22"/>
                <w:lang w:val="lt-LT"/>
              </w:rPr>
              <w:t>Maksimali</w:t>
            </w:r>
            <w:r w:rsidR="00480089" w:rsidRPr="003E5F7B">
              <w:rPr>
                <w:sz w:val="22"/>
                <w:szCs w:val="22"/>
                <w:lang w:val="lt-LT"/>
              </w:rPr>
              <w:t xml:space="preserve"> rizik</w:t>
            </w:r>
            <w:r w:rsidRPr="003E5F7B">
              <w:rPr>
                <w:sz w:val="22"/>
                <w:szCs w:val="22"/>
                <w:lang w:val="lt-LT"/>
              </w:rPr>
              <w:t>a</w:t>
            </w:r>
            <w:r w:rsidR="00480089" w:rsidRPr="003E5F7B">
              <w:rPr>
                <w:sz w:val="22"/>
                <w:szCs w:val="22"/>
                <w:lang w:val="lt-LT"/>
              </w:rPr>
              <w:t xml:space="preserve"> </w:t>
            </w:r>
            <w:r w:rsidR="00480089" w:rsidRPr="003E5F7B">
              <w:rPr>
                <w:i/>
                <w:sz w:val="22"/>
                <w:szCs w:val="22"/>
                <w:lang w:val="lt-LT"/>
              </w:rPr>
              <w:t xml:space="preserve">(MR) </w:t>
            </w:r>
            <w:r w:rsidRPr="003E5F7B">
              <w:rPr>
                <w:sz w:val="22"/>
                <w:szCs w:val="22"/>
                <w:lang w:val="lt-LT"/>
              </w:rPr>
              <w:t xml:space="preserve">įvertinama </w:t>
            </w:r>
            <w:r w:rsidR="00480089" w:rsidRPr="003E5F7B">
              <w:rPr>
                <w:sz w:val="22"/>
                <w:szCs w:val="22"/>
                <w:lang w:val="lt-LT"/>
              </w:rPr>
              <w:t>pagal formul</w:t>
            </w:r>
            <w:r w:rsidRPr="003E5F7B">
              <w:rPr>
                <w:sz w:val="22"/>
                <w:szCs w:val="22"/>
                <w:lang w:val="lt-LT"/>
              </w:rPr>
              <w:t>ę:</w:t>
            </w:r>
          </w:p>
          <w:p w:rsidR="008F30A9" w:rsidRPr="003E5F7B" w:rsidRDefault="008F30A9" w:rsidP="00B16306">
            <w:pPr>
              <w:pStyle w:val="NormalWeb"/>
              <w:spacing w:before="0" w:beforeAutospacing="0" w:after="0" w:afterAutospacing="0"/>
              <w:jc w:val="center"/>
              <w:rPr>
                <w:sz w:val="22"/>
                <w:szCs w:val="22"/>
                <w:lang w:val="lt-LT"/>
              </w:rPr>
            </w:pPr>
            <w:r w:rsidRPr="003E5F7B">
              <w:rPr>
                <w:i/>
                <w:sz w:val="22"/>
                <w:szCs w:val="22"/>
                <w:lang w:val="lt-LT"/>
              </w:rPr>
              <w:t xml:space="preserve">MR </w:t>
            </w:r>
            <w:r w:rsidRPr="003E5F7B">
              <w:rPr>
                <w:i/>
                <w:sz w:val="22"/>
                <w:szCs w:val="22"/>
              </w:rPr>
              <w:t>=</w:t>
            </w:r>
            <w:r w:rsidRPr="003E5F7B">
              <w:rPr>
                <w:i/>
                <w:sz w:val="22"/>
                <w:szCs w:val="22"/>
                <w:lang w:val="lt-LT"/>
              </w:rPr>
              <w:t xml:space="preserve"> </w:t>
            </w:r>
            <w:r w:rsidR="001C1BD9" w:rsidRPr="003E5F7B">
              <w:rPr>
                <w:i/>
                <w:sz w:val="22"/>
                <w:szCs w:val="22"/>
                <w:lang w:val="lt-LT"/>
              </w:rPr>
              <w:t>5</w:t>
            </w:r>
            <w:r w:rsidRPr="003E5F7B">
              <w:rPr>
                <w:i/>
                <w:sz w:val="22"/>
                <w:szCs w:val="22"/>
                <w:lang w:val="lt-LT"/>
              </w:rPr>
              <w:t xml:space="preserve"> </w:t>
            </w:r>
            <w:r w:rsidR="00A41435" w:rsidRPr="003E5F7B">
              <w:rPr>
                <w:sz w:val="22"/>
                <w:szCs w:val="22"/>
                <w:lang w:val="lt-LT"/>
              </w:rPr>
              <w:t>x</w:t>
            </w:r>
            <w:r w:rsidR="00A41435" w:rsidRPr="003E5F7B">
              <w:rPr>
                <w:i/>
                <w:sz w:val="22"/>
                <w:szCs w:val="22"/>
                <w:lang w:val="lt-LT"/>
              </w:rPr>
              <w:t xml:space="preserve"> B</w:t>
            </w:r>
            <w:r w:rsidR="00B16306" w:rsidRPr="003E5F7B">
              <w:rPr>
                <w:i/>
                <w:sz w:val="22"/>
                <w:szCs w:val="22"/>
                <w:lang w:val="lt-LT"/>
              </w:rPr>
              <w:t>Į</w:t>
            </w:r>
          </w:p>
        </w:tc>
      </w:tr>
      <w:tr w:rsidR="00A41435" w:rsidRPr="003E5F7B" w:rsidTr="009678BB">
        <w:trPr>
          <w:jc w:val="center"/>
        </w:trPr>
        <w:tc>
          <w:tcPr>
            <w:tcW w:w="437" w:type="dxa"/>
          </w:tcPr>
          <w:p w:rsidR="00A41435" w:rsidRPr="003E5F7B" w:rsidRDefault="00C930CD" w:rsidP="00050E39">
            <w:pPr>
              <w:pStyle w:val="NormalWeb"/>
              <w:spacing w:before="0" w:beforeAutospacing="0" w:after="0" w:afterAutospacing="0"/>
              <w:jc w:val="both"/>
              <w:rPr>
                <w:sz w:val="22"/>
                <w:szCs w:val="22"/>
                <w:lang w:val="lt-LT"/>
              </w:rPr>
            </w:pPr>
            <w:r w:rsidRPr="003E5F7B">
              <w:rPr>
                <w:sz w:val="22"/>
                <w:szCs w:val="22"/>
                <w:lang w:val="lt-LT"/>
              </w:rPr>
              <w:t>9</w:t>
            </w:r>
            <w:r w:rsidR="00A41435" w:rsidRPr="003E5F7B">
              <w:rPr>
                <w:sz w:val="22"/>
                <w:szCs w:val="22"/>
                <w:lang w:val="lt-LT"/>
              </w:rPr>
              <w:t>.</w:t>
            </w:r>
          </w:p>
        </w:tc>
        <w:tc>
          <w:tcPr>
            <w:tcW w:w="2540" w:type="dxa"/>
          </w:tcPr>
          <w:p w:rsidR="00A41435" w:rsidRPr="003E5F7B" w:rsidRDefault="00A41435" w:rsidP="00807722">
            <w:pPr>
              <w:pStyle w:val="NormalWeb"/>
              <w:spacing w:before="0" w:beforeAutospacing="0" w:after="0" w:afterAutospacing="0"/>
              <w:jc w:val="both"/>
              <w:rPr>
                <w:sz w:val="22"/>
                <w:szCs w:val="22"/>
                <w:lang w:val="lt-LT"/>
              </w:rPr>
            </w:pPr>
            <w:r w:rsidRPr="003E5F7B">
              <w:rPr>
                <w:sz w:val="22"/>
                <w:szCs w:val="22"/>
                <w:lang w:val="lt-LT"/>
              </w:rPr>
              <w:t xml:space="preserve">Rizikos lygio </w:t>
            </w:r>
            <w:r w:rsidR="00807722">
              <w:rPr>
                <w:sz w:val="22"/>
                <w:szCs w:val="22"/>
                <w:lang w:val="lt-LT"/>
              </w:rPr>
              <w:t>nustatymas</w:t>
            </w:r>
          </w:p>
        </w:tc>
        <w:tc>
          <w:tcPr>
            <w:tcW w:w="5355" w:type="dxa"/>
          </w:tcPr>
          <w:p w:rsidR="00A41435" w:rsidRPr="003E5F7B" w:rsidRDefault="00A41435" w:rsidP="00A41435">
            <w:pPr>
              <w:pStyle w:val="NormalWeb"/>
              <w:spacing w:before="0" w:beforeAutospacing="0" w:after="0" w:afterAutospacing="0"/>
              <w:jc w:val="both"/>
              <w:rPr>
                <w:sz w:val="22"/>
                <w:szCs w:val="22"/>
                <w:lang w:val="lt-LT"/>
              </w:rPr>
            </w:pPr>
            <w:r w:rsidRPr="003E5F7B">
              <w:rPr>
                <w:sz w:val="22"/>
                <w:szCs w:val="22"/>
                <w:lang w:val="lt-LT"/>
              </w:rPr>
              <w:t xml:space="preserve">Rizikos lygis </w:t>
            </w:r>
            <w:r w:rsidRPr="003E5F7B">
              <w:rPr>
                <w:i/>
                <w:sz w:val="22"/>
                <w:szCs w:val="22"/>
                <w:lang w:val="lt-LT"/>
              </w:rPr>
              <w:t xml:space="preserve">(RL) </w:t>
            </w:r>
            <w:r w:rsidRPr="003E5F7B">
              <w:rPr>
                <w:sz w:val="22"/>
                <w:szCs w:val="22"/>
                <w:lang w:val="lt-LT"/>
              </w:rPr>
              <w:t>apskaičiuojamas kaip bendros rizikos ir maksimalios rizikos santykis, išreikštas procentais:</w:t>
            </w:r>
          </w:p>
          <w:p w:rsidR="00A41435" w:rsidRPr="003E5F7B" w:rsidRDefault="00A41435" w:rsidP="00661468">
            <w:pPr>
              <w:pStyle w:val="NormalWeb"/>
              <w:spacing w:before="0" w:beforeAutospacing="0" w:after="0" w:afterAutospacing="0"/>
              <w:jc w:val="center"/>
              <w:rPr>
                <w:i/>
                <w:sz w:val="22"/>
                <w:szCs w:val="22"/>
                <w:lang w:val="lt-LT"/>
              </w:rPr>
            </w:pPr>
            <w:r w:rsidRPr="003E5F7B">
              <w:rPr>
                <w:i/>
                <w:sz w:val="22"/>
                <w:szCs w:val="22"/>
                <w:lang w:val="lt-LT"/>
              </w:rPr>
              <w:t xml:space="preserve">RL </w:t>
            </w:r>
            <w:r w:rsidRPr="003E5F7B">
              <w:rPr>
                <w:i/>
                <w:sz w:val="22"/>
                <w:szCs w:val="22"/>
              </w:rPr>
              <w:t>=</w:t>
            </w:r>
            <w:r w:rsidRPr="003E5F7B">
              <w:rPr>
                <w:i/>
                <w:sz w:val="22"/>
                <w:szCs w:val="22"/>
                <w:lang w:val="lt-LT"/>
              </w:rPr>
              <w:t xml:space="preserve"> </w:t>
            </w:r>
            <w:r w:rsidR="00661468" w:rsidRPr="003E5F7B">
              <w:rPr>
                <w:i/>
                <w:sz w:val="22"/>
                <w:szCs w:val="22"/>
                <w:lang w:val="lt-LT"/>
              </w:rPr>
              <w:t>(BR / MR)</w:t>
            </w:r>
            <w:r w:rsidRPr="003E5F7B">
              <w:rPr>
                <w:i/>
                <w:sz w:val="22"/>
                <w:szCs w:val="22"/>
                <w:lang w:val="lt-LT"/>
              </w:rPr>
              <w:t xml:space="preserve"> x </w:t>
            </w:r>
            <w:r w:rsidR="00661468" w:rsidRPr="003E5F7B">
              <w:rPr>
                <w:i/>
                <w:sz w:val="22"/>
                <w:szCs w:val="22"/>
                <w:lang w:val="lt-LT"/>
              </w:rPr>
              <w:t>100</w:t>
            </w:r>
            <w:r w:rsidR="00CC6357" w:rsidRPr="003E5F7B">
              <w:rPr>
                <w:i/>
                <w:sz w:val="22"/>
                <w:szCs w:val="22"/>
              </w:rPr>
              <w:t>%</w:t>
            </w:r>
          </w:p>
        </w:tc>
      </w:tr>
      <w:tr w:rsidR="00661468" w:rsidRPr="003E5F7B" w:rsidTr="009678BB">
        <w:trPr>
          <w:jc w:val="center"/>
        </w:trPr>
        <w:tc>
          <w:tcPr>
            <w:tcW w:w="437" w:type="dxa"/>
          </w:tcPr>
          <w:p w:rsidR="00661468" w:rsidRPr="003E5F7B" w:rsidRDefault="00C930CD" w:rsidP="00050E39">
            <w:pPr>
              <w:pStyle w:val="NormalWeb"/>
              <w:spacing w:before="0" w:beforeAutospacing="0" w:after="0" w:afterAutospacing="0"/>
              <w:jc w:val="both"/>
              <w:rPr>
                <w:sz w:val="22"/>
                <w:szCs w:val="22"/>
                <w:lang w:val="lt-LT"/>
              </w:rPr>
            </w:pPr>
            <w:r w:rsidRPr="003E5F7B">
              <w:rPr>
                <w:sz w:val="22"/>
                <w:szCs w:val="22"/>
                <w:lang w:val="lt-LT"/>
              </w:rPr>
              <w:t>10</w:t>
            </w:r>
            <w:r w:rsidR="00661468" w:rsidRPr="003E5F7B">
              <w:rPr>
                <w:sz w:val="22"/>
                <w:szCs w:val="22"/>
                <w:lang w:val="lt-LT"/>
              </w:rPr>
              <w:t>.</w:t>
            </w:r>
          </w:p>
        </w:tc>
        <w:tc>
          <w:tcPr>
            <w:tcW w:w="2540" w:type="dxa"/>
          </w:tcPr>
          <w:p w:rsidR="00661468" w:rsidRPr="003E5F7B" w:rsidRDefault="00661468" w:rsidP="00AF06E5">
            <w:pPr>
              <w:pStyle w:val="NormalWeb"/>
              <w:spacing w:before="0" w:beforeAutospacing="0" w:after="0" w:afterAutospacing="0"/>
              <w:jc w:val="both"/>
              <w:rPr>
                <w:sz w:val="22"/>
                <w:szCs w:val="22"/>
                <w:lang w:val="lt-LT"/>
              </w:rPr>
            </w:pPr>
            <w:r w:rsidRPr="003E5F7B">
              <w:rPr>
                <w:sz w:val="22"/>
                <w:szCs w:val="22"/>
                <w:lang w:val="lt-LT"/>
              </w:rPr>
              <w:t>Rizikos lygio įvertinimas</w:t>
            </w:r>
          </w:p>
        </w:tc>
        <w:tc>
          <w:tcPr>
            <w:tcW w:w="5355" w:type="dxa"/>
          </w:tcPr>
          <w:p w:rsidR="00661468" w:rsidRPr="003E5F7B" w:rsidRDefault="008C56DC" w:rsidP="00A41435">
            <w:pPr>
              <w:pStyle w:val="NormalWeb"/>
              <w:spacing w:before="0" w:beforeAutospacing="0" w:after="0" w:afterAutospacing="0"/>
              <w:jc w:val="both"/>
              <w:rPr>
                <w:sz w:val="22"/>
                <w:szCs w:val="22"/>
                <w:lang w:val="lt-LT"/>
              </w:rPr>
            </w:pPr>
            <w:r w:rsidRPr="003E5F7B">
              <w:rPr>
                <w:sz w:val="22"/>
                <w:szCs w:val="22"/>
                <w:lang w:val="lt-LT"/>
              </w:rPr>
              <w:t>Apskaičiuotas r</w:t>
            </w:r>
            <w:r w:rsidR="00661468" w:rsidRPr="003E5F7B">
              <w:rPr>
                <w:sz w:val="22"/>
                <w:szCs w:val="22"/>
                <w:lang w:val="lt-LT"/>
              </w:rPr>
              <w:t>izikos lygi</w:t>
            </w:r>
            <w:r w:rsidRPr="003E5F7B">
              <w:rPr>
                <w:sz w:val="22"/>
                <w:szCs w:val="22"/>
                <w:lang w:val="lt-LT"/>
              </w:rPr>
              <w:t>s</w:t>
            </w:r>
            <w:r w:rsidR="00661468" w:rsidRPr="003E5F7B">
              <w:rPr>
                <w:sz w:val="22"/>
                <w:szCs w:val="22"/>
                <w:lang w:val="lt-LT"/>
              </w:rPr>
              <w:t xml:space="preserve"> palyginamas su šiais įvertinimais:</w:t>
            </w:r>
          </w:p>
          <w:p w:rsidR="00661468" w:rsidRPr="003E5F7B" w:rsidRDefault="00661468" w:rsidP="00A41435">
            <w:pPr>
              <w:pStyle w:val="NormalWeb"/>
              <w:spacing w:before="0" w:beforeAutospacing="0" w:after="0" w:afterAutospacing="0"/>
              <w:jc w:val="both"/>
              <w:rPr>
                <w:i/>
                <w:sz w:val="22"/>
                <w:szCs w:val="22"/>
                <w:lang w:val="lt-LT"/>
              </w:rPr>
            </w:pPr>
            <w:r w:rsidRPr="003E5F7B">
              <w:rPr>
                <w:i/>
                <w:sz w:val="22"/>
                <w:szCs w:val="22"/>
                <w:lang w:val="lt-LT"/>
              </w:rPr>
              <w:t>0</w:t>
            </w:r>
            <w:r w:rsidR="008C56DC" w:rsidRPr="003E5F7B">
              <w:rPr>
                <w:i/>
                <w:sz w:val="22"/>
                <w:szCs w:val="22"/>
                <w:lang w:val="lt-LT"/>
              </w:rPr>
              <w:t>-</w:t>
            </w:r>
            <w:r w:rsidRPr="003E5F7B">
              <w:rPr>
                <w:i/>
                <w:sz w:val="22"/>
                <w:szCs w:val="22"/>
                <w:lang w:val="lt-LT"/>
              </w:rPr>
              <w:t>4</w:t>
            </w:r>
            <w:r w:rsidR="001C1BD9" w:rsidRPr="003E5F7B">
              <w:rPr>
                <w:i/>
                <w:sz w:val="22"/>
                <w:szCs w:val="22"/>
                <w:lang w:val="lt-LT"/>
              </w:rPr>
              <w:t>0</w:t>
            </w:r>
            <w:r w:rsidR="00CC6357" w:rsidRPr="003E5F7B">
              <w:rPr>
                <w:i/>
                <w:sz w:val="22"/>
                <w:szCs w:val="22"/>
              </w:rPr>
              <w:t>%</w:t>
            </w:r>
            <w:r w:rsidRPr="003E5F7B">
              <w:rPr>
                <w:i/>
                <w:sz w:val="22"/>
                <w:szCs w:val="22"/>
                <w:lang w:val="lt-LT"/>
              </w:rPr>
              <w:t xml:space="preserve"> </w:t>
            </w:r>
            <w:r w:rsidR="008C56DC" w:rsidRPr="003E5F7B">
              <w:rPr>
                <w:i/>
                <w:sz w:val="22"/>
                <w:szCs w:val="22"/>
                <w:lang w:val="lt-LT"/>
              </w:rPr>
              <w:t xml:space="preserve">– </w:t>
            </w:r>
            <w:r w:rsidRPr="003E5F7B">
              <w:rPr>
                <w:i/>
                <w:sz w:val="22"/>
                <w:szCs w:val="22"/>
                <w:lang w:val="lt-LT"/>
              </w:rPr>
              <w:t>rizika maža</w:t>
            </w:r>
            <w:r w:rsidR="008C56DC" w:rsidRPr="003E5F7B">
              <w:rPr>
                <w:i/>
                <w:sz w:val="22"/>
                <w:szCs w:val="22"/>
                <w:lang w:val="lt-LT"/>
              </w:rPr>
              <w:t>,</w:t>
            </w:r>
          </w:p>
          <w:p w:rsidR="008C56DC" w:rsidRPr="003E5F7B" w:rsidRDefault="008C56DC" w:rsidP="00A41435">
            <w:pPr>
              <w:pStyle w:val="NormalWeb"/>
              <w:spacing w:before="0" w:beforeAutospacing="0" w:after="0" w:afterAutospacing="0"/>
              <w:jc w:val="both"/>
              <w:rPr>
                <w:i/>
                <w:sz w:val="22"/>
                <w:szCs w:val="22"/>
                <w:lang w:val="lt-LT"/>
              </w:rPr>
            </w:pPr>
            <w:r w:rsidRPr="003E5F7B">
              <w:rPr>
                <w:i/>
                <w:sz w:val="22"/>
                <w:szCs w:val="22"/>
                <w:lang w:val="lt-LT"/>
              </w:rPr>
              <w:t>4</w:t>
            </w:r>
            <w:r w:rsidR="001C1BD9" w:rsidRPr="003E5F7B">
              <w:rPr>
                <w:i/>
                <w:sz w:val="22"/>
                <w:szCs w:val="22"/>
                <w:lang w:val="lt-LT"/>
              </w:rPr>
              <w:t>1</w:t>
            </w:r>
            <w:r w:rsidRPr="003E5F7B">
              <w:rPr>
                <w:i/>
                <w:sz w:val="22"/>
                <w:szCs w:val="22"/>
                <w:lang w:val="lt-LT"/>
              </w:rPr>
              <w:t>-</w:t>
            </w:r>
            <w:r w:rsidR="00FF1482" w:rsidRPr="003E5F7B">
              <w:rPr>
                <w:i/>
                <w:sz w:val="22"/>
                <w:szCs w:val="22"/>
                <w:lang w:val="lt-LT"/>
              </w:rPr>
              <w:t>6</w:t>
            </w:r>
            <w:r w:rsidR="001C1BD9" w:rsidRPr="003E5F7B">
              <w:rPr>
                <w:i/>
                <w:sz w:val="22"/>
                <w:szCs w:val="22"/>
                <w:lang w:val="lt-LT"/>
              </w:rPr>
              <w:t>0</w:t>
            </w:r>
            <w:r w:rsidRPr="003E5F7B">
              <w:rPr>
                <w:i/>
                <w:sz w:val="22"/>
                <w:szCs w:val="22"/>
                <w:lang w:val="lt-LT"/>
              </w:rPr>
              <w:t xml:space="preserve"> </w:t>
            </w:r>
            <w:r w:rsidR="00CC6357" w:rsidRPr="003E5F7B">
              <w:rPr>
                <w:i/>
                <w:sz w:val="22"/>
                <w:szCs w:val="22"/>
              </w:rPr>
              <w:t>%</w:t>
            </w:r>
            <w:r w:rsidRPr="003E5F7B">
              <w:rPr>
                <w:i/>
                <w:sz w:val="22"/>
                <w:szCs w:val="22"/>
                <w:lang w:val="lt-LT"/>
              </w:rPr>
              <w:t>– rizika vidutinė,</w:t>
            </w:r>
          </w:p>
          <w:p w:rsidR="008C56DC" w:rsidRPr="003E5F7B" w:rsidRDefault="001C1BD9" w:rsidP="001C1BD9">
            <w:pPr>
              <w:pStyle w:val="NormalWeb"/>
              <w:spacing w:before="0" w:beforeAutospacing="0" w:after="0" w:afterAutospacing="0"/>
              <w:jc w:val="both"/>
              <w:rPr>
                <w:i/>
                <w:sz w:val="22"/>
                <w:szCs w:val="22"/>
                <w:lang w:val="lt-LT"/>
              </w:rPr>
            </w:pPr>
            <w:r w:rsidRPr="003E5F7B">
              <w:rPr>
                <w:i/>
                <w:sz w:val="22"/>
                <w:szCs w:val="22"/>
                <w:lang w:val="lt-LT"/>
              </w:rPr>
              <w:t>61</w:t>
            </w:r>
            <w:r w:rsidR="008C56DC" w:rsidRPr="003E5F7B">
              <w:rPr>
                <w:i/>
                <w:sz w:val="22"/>
                <w:szCs w:val="22"/>
                <w:lang w:val="lt-LT"/>
              </w:rPr>
              <w:t>-100</w:t>
            </w:r>
            <w:r w:rsidR="00CC6357" w:rsidRPr="003E5F7B">
              <w:rPr>
                <w:i/>
                <w:sz w:val="22"/>
                <w:szCs w:val="22"/>
              </w:rPr>
              <w:t>%</w:t>
            </w:r>
            <w:r w:rsidR="008C56DC" w:rsidRPr="003E5F7B">
              <w:rPr>
                <w:i/>
                <w:sz w:val="22"/>
                <w:szCs w:val="22"/>
                <w:lang w:val="lt-LT"/>
              </w:rPr>
              <w:t xml:space="preserve"> – rizika didelė.</w:t>
            </w:r>
          </w:p>
        </w:tc>
      </w:tr>
    </w:tbl>
    <w:p w:rsidR="00A543BF" w:rsidRDefault="00A543BF" w:rsidP="00A543BF">
      <w:pPr>
        <w:spacing w:line="360" w:lineRule="auto"/>
        <w:jc w:val="both"/>
        <w:rPr>
          <w:lang w:val="lt-LT"/>
        </w:rPr>
      </w:pPr>
      <w:r w:rsidRPr="003F6A32">
        <w:rPr>
          <w:lang w:val="lt-LT"/>
        </w:rPr>
        <w:t xml:space="preserve">Šaltinis: </w:t>
      </w:r>
      <w:r>
        <w:rPr>
          <w:lang w:val="lt-LT"/>
        </w:rPr>
        <w:t>sudaryta autorės.</w:t>
      </w:r>
    </w:p>
    <w:p w:rsidR="006A7CE1" w:rsidRDefault="00A52879" w:rsidP="00973556">
      <w:pPr>
        <w:pStyle w:val="NormalWeb"/>
        <w:spacing w:before="120" w:beforeAutospacing="0" w:after="0" w:afterAutospacing="0" w:line="360" w:lineRule="auto"/>
        <w:ind w:firstLine="720"/>
        <w:jc w:val="both"/>
        <w:rPr>
          <w:sz w:val="26"/>
          <w:szCs w:val="26"/>
          <w:lang w:val="lt-LT"/>
        </w:rPr>
      </w:pPr>
      <w:r w:rsidRPr="00DA03DC">
        <w:rPr>
          <w:sz w:val="26"/>
          <w:szCs w:val="26"/>
          <w:lang w:val="lt-LT"/>
        </w:rPr>
        <w:lastRenderedPageBreak/>
        <w:t xml:space="preserve">Toliau </w:t>
      </w:r>
      <w:r w:rsidRPr="009E7470">
        <w:rPr>
          <w:sz w:val="26"/>
          <w:szCs w:val="26"/>
          <w:lang w:val="lt-LT"/>
        </w:rPr>
        <w:t xml:space="preserve">pagal </w:t>
      </w:r>
      <w:r w:rsidR="00EC28DB" w:rsidRPr="009E7470">
        <w:rPr>
          <w:sz w:val="26"/>
          <w:szCs w:val="26"/>
          <w:lang w:val="lt-LT"/>
        </w:rPr>
        <w:t>2</w:t>
      </w:r>
      <w:r w:rsidR="009E7470" w:rsidRPr="009E7470">
        <w:rPr>
          <w:sz w:val="26"/>
          <w:szCs w:val="26"/>
          <w:lang w:val="lt-LT"/>
        </w:rPr>
        <w:t>1</w:t>
      </w:r>
      <w:r w:rsidRPr="009E7470">
        <w:rPr>
          <w:sz w:val="26"/>
          <w:szCs w:val="26"/>
          <w:lang w:val="lt-LT"/>
        </w:rPr>
        <w:t xml:space="preserve"> lentelės </w:t>
      </w:r>
      <w:r w:rsidR="00145F21" w:rsidRPr="009E7470">
        <w:rPr>
          <w:sz w:val="26"/>
          <w:szCs w:val="26"/>
          <w:lang w:val="lt-LT"/>
        </w:rPr>
        <w:t>9</w:t>
      </w:r>
      <w:r w:rsidR="00DA03DC" w:rsidRPr="009E7470">
        <w:rPr>
          <w:sz w:val="26"/>
          <w:szCs w:val="26"/>
          <w:lang w:val="lt-LT"/>
        </w:rPr>
        <w:t> </w:t>
      </w:r>
      <w:r w:rsidRPr="009E7470">
        <w:rPr>
          <w:sz w:val="26"/>
          <w:szCs w:val="26"/>
          <w:lang w:val="lt-LT"/>
        </w:rPr>
        <w:t>žings</w:t>
      </w:r>
      <w:r w:rsidRPr="00DA03DC">
        <w:rPr>
          <w:sz w:val="26"/>
          <w:szCs w:val="26"/>
          <w:lang w:val="lt-LT"/>
        </w:rPr>
        <w:t xml:space="preserve">nyje </w:t>
      </w:r>
      <w:r w:rsidR="00A24618" w:rsidRPr="00DA03DC">
        <w:rPr>
          <w:sz w:val="26"/>
          <w:szCs w:val="26"/>
          <w:lang w:val="lt-LT"/>
        </w:rPr>
        <w:t>pateiktą formulę</w:t>
      </w:r>
      <w:r w:rsidR="009351D8">
        <w:rPr>
          <w:sz w:val="26"/>
          <w:szCs w:val="26"/>
          <w:lang w:val="lt-LT"/>
        </w:rPr>
        <w:t xml:space="preserve"> nustatomas</w:t>
      </w:r>
      <w:r w:rsidR="00A24618" w:rsidRPr="00DA03DC">
        <w:rPr>
          <w:sz w:val="26"/>
          <w:szCs w:val="26"/>
          <w:lang w:val="lt-LT"/>
        </w:rPr>
        <w:t xml:space="preserve"> audito rizikos komponento </w:t>
      </w:r>
      <w:r w:rsidR="00CC6357" w:rsidRPr="00DA03DC">
        <w:rPr>
          <w:sz w:val="26"/>
          <w:szCs w:val="26"/>
          <w:lang w:val="lt-LT"/>
        </w:rPr>
        <w:t>lygis procentais.</w:t>
      </w:r>
      <w:r w:rsidR="00A24618" w:rsidRPr="00DA03DC">
        <w:rPr>
          <w:sz w:val="26"/>
          <w:szCs w:val="26"/>
          <w:lang w:val="lt-LT"/>
        </w:rPr>
        <w:t xml:space="preserve"> </w:t>
      </w:r>
      <w:r w:rsidR="00D20A9C">
        <w:rPr>
          <w:sz w:val="26"/>
          <w:szCs w:val="26"/>
          <w:lang w:val="lt-LT"/>
        </w:rPr>
        <w:t xml:space="preserve">Šioje </w:t>
      </w:r>
      <w:r w:rsidR="00A24618" w:rsidRPr="00DA03DC">
        <w:rPr>
          <w:sz w:val="26"/>
          <w:szCs w:val="26"/>
          <w:lang w:val="lt-LT"/>
        </w:rPr>
        <w:t>formulėje remiamasi apskaičiuotu</w:t>
      </w:r>
      <w:r w:rsidR="00CC6357" w:rsidRPr="00DA03DC">
        <w:rPr>
          <w:sz w:val="26"/>
          <w:szCs w:val="26"/>
          <w:lang w:val="lt-LT"/>
        </w:rPr>
        <w:t xml:space="preserve"> maksimalios rizikos dydžiu</w:t>
      </w:r>
      <w:r w:rsidR="00A24618" w:rsidRPr="00DA03DC">
        <w:rPr>
          <w:sz w:val="26"/>
          <w:szCs w:val="26"/>
          <w:lang w:val="lt-LT"/>
        </w:rPr>
        <w:t xml:space="preserve">, </w:t>
      </w:r>
      <w:r w:rsidR="001C1BD9" w:rsidRPr="00DA03DC">
        <w:rPr>
          <w:sz w:val="26"/>
          <w:szCs w:val="26"/>
          <w:lang w:val="lt-LT"/>
        </w:rPr>
        <w:t>kuris lygus tiriamo</w:t>
      </w:r>
      <w:r w:rsidR="00E52AF7" w:rsidRPr="00DA03DC">
        <w:rPr>
          <w:sz w:val="26"/>
          <w:szCs w:val="26"/>
          <w:lang w:val="lt-LT"/>
        </w:rPr>
        <w:t>s</w:t>
      </w:r>
      <w:r w:rsidR="001C1BD9" w:rsidRPr="00DA03DC">
        <w:rPr>
          <w:sz w:val="26"/>
          <w:szCs w:val="26"/>
          <w:lang w:val="lt-LT"/>
        </w:rPr>
        <w:t xml:space="preserve"> </w:t>
      </w:r>
      <w:r w:rsidR="00E52AF7" w:rsidRPr="00DA03DC">
        <w:rPr>
          <w:sz w:val="26"/>
          <w:szCs w:val="26"/>
          <w:lang w:val="lt-LT"/>
        </w:rPr>
        <w:t>riz</w:t>
      </w:r>
      <w:r w:rsidR="00E52AF7" w:rsidRPr="009678BB">
        <w:rPr>
          <w:sz w:val="26"/>
          <w:szCs w:val="26"/>
          <w:lang w:val="lt-LT"/>
        </w:rPr>
        <w:t xml:space="preserve">ikos </w:t>
      </w:r>
      <w:r w:rsidR="001C1BD9" w:rsidRPr="009678BB">
        <w:rPr>
          <w:sz w:val="26"/>
          <w:szCs w:val="26"/>
          <w:lang w:val="lt-LT"/>
        </w:rPr>
        <w:t>bendros įtakos ir maksimalios tikimybės</w:t>
      </w:r>
      <w:r w:rsidR="009351D8" w:rsidRPr="009678BB">
        <w:rPr>
          <w:sz w:val="26"/>
          <w:szCs w:val="26"/>
          <w:lang w:val="lt-LT"/>
        </w:rPr>
        <w:t xml:space="preserve"> </w:t>
      </w:r>
      <w:r w:rsidR="001C1BD9" w:rsidRPr="009678BB">
        <w:rPr>
          <w:sz w:val="26"/>
          <w:szCs w:val="26"/>
          <w:lang w:val="lt-LT"/>
        </w:rPr>
        <w:t>sandaugai</w:t>
      </w:r>
      <w:r w:rsidR="00145F21" w:rsidRPr="009678BB">
        <w:rPr>
          <w:sz w:val="26"/>
          <w:szCs w:val="26"/>
          <w:lang w:val="lt-LT"/>
        </w:rPr>
        <w:t xml:space="preserve"> (8 žingsnis)</w:t>
      </w:r>
      <w:r w:rsidR="006800EB">
        <w:rPr>
          <w:sz w:val="26"/>
          <w:szCs w:val="26"/>
          <w:lang w:val="lt-LT"/>
        </w:rPr>
        <w:t xml:space="preserve">. </w:t>
      </w:r>
      <w:r w:rsidR="005D1341" w:rsidRPr="00DA03DC">
        <w:rPr>
          <w:sz w:val="26"/>
          <w:szCs w:val="26"/>
          <w:lang w:val="lt-LT"/>
        </w:rPr>
        <w:t>Darbo autorės nuomone</w:t>
      </w:r>
      <w:r w:rsidR="001C1BD9" w:rsidRPr="00DA03DC">
        <w:rPr>
          <w:sz w:val="26"/>
          <w:szCs w:val="26"/>
          <w:lang w:val="lt-LT"/>
        </w:rPr>
        <w:t>, toks skaičiavimas yra t</w:t>
      </w:r>
      <w:r w:rsidR="00A543BF" w:rsidRPr="00DA03DC">
        <w:rPr>
          <w:sz w:val="26"/>
          <w:szCs w:val="26"/>
          <w:lang w:val="lt-LT"/>
        </w:rPr>
        <w:t>e</w:t>
      </w:r>
      <w:r w:rsidR="001C1BD9" w:rsidRPr="00DA03DC">
        <w:rPr>
          <w:sz w:val="26"/>
          <w:szCs w:val="26"/>
          <w:lang w:val="lt-LT"/>
        </w:rPr>
        <w:t>i</w:t>
      </w:r>
      <w:r w:rsidR="00A543BF" w:rsidRPr="00DA03DC">
        <w:rPr>
          <w:sz w:val="26"/>
          <w:szCs w:val="26"/>
          <w:lang w:val="lt-LT"/>
        </w:rPr>
        <w:t>si</w:t>
      </w:r>
      <w:r w:rsidR="001C1BD9" w:rsidRPr="00DA03DC">
        <w:rPr>
          <w:sz w:val="26"/>
          <w:szCs w:val="26"/>
          <w:lang w:val="lt-LT"/>
        </w:rPr>
        <w:t>n</w:t>
      </w:r>
      <w:r w:rsidR="00A543BF" w:rsidRPr="00DA03DC">
        <w:rPr>
          <w:sz w:val="26"/>
          <w:szCs w:val="26"/>
          <w:lang w:val="lt-LT"/>
        </w:rPr>
        <w:t>g</w:t>
      </w:r>
      <w:r w:rsidR="001C1BD9" w:rsidRPr="00DA03DC">
        <w:rPr>
          <w:sz w:val="26"/>
          <w:szCs w:val="26"/>
          <w:lang w:val="lt-LT"/>
        </w:rPr>
        <w:t xml:space="preserve">as, </w:t>
      </w:r>
      <w:r w:rsidR="00A24618" w:rsidRPr="00DA03DC">
        <w:rPr>
          <w:sz w:val="26"/>
          <w:szCs w:val="26"/>
          <w:lang w:val="lt-LT"/>
        </w:rPr>
        <w:t>nes ti</w:t>
      </w:r>
      <w:r w:rsidR="00A24618" w:rsidRPr="00A7069F">
        <w:rPr>
          <w:sz w:val="26"/>
          <w:szCs w:val="26"/>
          <w:lang w:val="lt-LT"/>
        </w:rPr>
        <w:t xml:space="preserve">k </w:t>
      </w:r>
      <w:r w:rsidR="00B16438" w:rsidRPr="00A7069F">
        <w:rPr>
          <w:sz w:val="26"/>
          <w:szCs w:val="26"/>
          <w:lang w:val="lt-LT"/>
        </w:rPr>
        <w:t xml:space="preserve">veiksnio </w:t>
      </w:r>
      <w:r w:rsidR="003D19DC" w:rsidRPr="00A7069F">
        <w:rPr>
          <w:sz w:val="26"/>
          <w:szCs w:val="26"/>
          <w:lang w:val="lt-LT"/>
        </w:rPr>
        <w:t xml:space="preserve">pasireiškimo </w:t>
      </w:r>
      <w:r w:rsidR="00A24618" w:rsidRPr="00A7069F">
        <w:rPr>
          <w:sz w:val="26"/>
          <w:szCs w:val="26"/>
          <w:lang w:val="lt-LT"/>
        </w:rPr>
        <w:t>tikimybės laipsnis priklausomai nuo aplinkybių gali varijuoti</w:t>
      </w:r>
      <w:r w:rsidR="009872C6" w:rsidRPr="00A7069F">
        <w:rPr>
          <w:sz w:val="26"/>
          <w:szCs w:val="26"/>
          <w:lang w:val="lt-LT"/>
        </w:rPr>
        <w:t xml:space="preserve"> ir tuo pačiu keisti susijusios rizikos lygį</w:t>
      </w:r>
      <w:r w:rsidR="00B16438" w:rsidRPr="00A7069F">
        <w:rPr>
          <w:sz w:val="26"/>
          <w:szCs w:val="26"/>
          <w:lang w:val="lt-LT"/>
        </w:rPr>
        <w:t>, o įtaka liks nepakitusi</w:t>
      </w:r>
      <w:r w:rsidR="00CC6357" w:rsidRPr="00A7069F">
        <w:rPr>
          <w:sz w:val="26"/>
          <w:szCs w:val="26"/>
          <w:lang w:val="lt-LT"/>
        </w:rPr>
        <w:t xml:space="preserve">. </w:t>
      </w:r>
      <w:r w:rsidR="00145F21" w:rsidRPr="00A7069F">
        <w:rPr>
          <w:sz w:val="26"/>
          <w:szCs w:val="26"/>
          <w:lang w:val="lt-LT"/>
        </w:rPr>
        <w:t>P</w:t>
      </w:r>
      <w:r w:rsidR="00CC6357" w:rsidRPr="00A7069F">
        <w:rPr>
          <w:sz w:val="26"/>
          <w:szCs w:val="26"/>
          <w:lang w:val="lt-LT"/>
        </w:rPr>
        <w:t>askutini</w:t>
      </w:r>
      <w:r w:rsidR="00145F21" w:rsidRPr="00A7069F">
        <w:rPr>
          <w:sz w:val="26"/>
          <w:szCs w:val="26"/>
          <w:lang w:val="lt-LT"/>
        </w:rPr>
        <w:t>s</w:t>
      </w:r>
      <w:r w:rsidR="00CC6357" w:rsidRPr="00A7069F">
        <w:rPr>
          <w:sz w:val="26"/>
          <w:szCs w:val="26"/>
          <w:lang w:val="lt-LT"/>
        </w:rPr>
        <w:t xml:space="preserve"> </w:t>
      </w:r>
      <w:r w:rsidR="00145F21" w:rsidRPr="00A7069F">
        <w:rPr>
          <w:sz w:val="26"/>
          <w:szCs w:val="26"/>
          <w:lang w:val="lt-LT"/>
        </w:rPr>
        <w:t>riz</w:t>
      </w:r>
      <w:r w:rsidR="00145F21" w:rsidRPr="00DA03DC">
        <w:rPr>
          <w:sz w:val="26"/>
          <w:szCs w:val="26"/>
          <w:lang w:val="lt-LT"/>
        </w:rPr>
        <w:t xml:space="preserve">ikos </w:t>
      </w:r>
      <w:r w:rsidR="009351D8">
        <w:rPr>
          <w:sz w:val="26"/>
          <w:szCs w:val="26"/>
          <w:lang w:val="lt-LT"/>
        </w:rPr>
        <w:t>kiekybinio įvertinimo</w:t>
      </w:r>
      <w:r w:rsidR="00145F21" w:rsidRPr="00DA03DC">
        <w:rPr>
          <w:sz w:val="26"/>
          <w:szCs w:val="26"/>
          <w:lang w:val="lt-LT"/>
        </w:rPr>
        <w:t xml:space="preserve"> </w:t>
      </w:r>
      <w:r w:rsidR="00CC6357" w:rsidRPr="00DA03DC">
        <w:rPr>
          <w:sz w:val="26"/>
          <w:szCs w:val="26"/>
          <w:lang w:val="lt-LT"/>
        </w:rPr>
        <w:t>žingsni</w:t>
      </w:r>
      <w:r w:rsidR="00145F21" w:rsidRPr="00DA03DC">
        <w:rPr>
          <w:sz w:val="26"/>
          <w:szCs w:val="26"/>
          <w:lang w:val="lt-LT"/>
        </w:rPr>
        <w:t>s</w:t>
      </w:r>
      <w:r w:rsidR="00CC6357" w:rsidRPr="00DA03DC">
        <w:rPr>
          <w:sz w:val="26"/>
          <w:szCs w:val="26"/>
          <w:lang w:val="lt-LT"/>
        </w:rPr>
        <w:t xml:space="preserve"> </w:t>
      </w:r>
      <w:r w:rsidR="001C1BD9" w:rsidRPr="00DA03DC">
        <w:rPr>
          <w:sz w:val="26"/>
          <w:szCs w:val="26"/>
          <w:lang w:val="lt-LT"/>
        </w:rPr>
        <w:t xml:space="preserve">– </w:t>
      </w:r>
      <w:r w:rsidR="00CC6357" w:rsidRPr="00DA03DC">
        <w:rPr>
          <w:sz w:val="26"/>
          <w:szCs w:val="26"/>
          <w:lang w:val="lt-LT"/>
        </w:rPr>
        <w:t xml:space="preserve">audito rizikos komponento lygio įvertinimas. </w:t>
      </w:r>
      <w:r w:rsidR="00345A33" w:rsidRPr="00DA03DC">
        <w:rPr>
          <w:sz w:val="26"/>
          <w:szCs w:val="26"/>
          <w:lang w:val="lt-LT"/>
        </w:rPr>
        <w:t xml:space="preserve">Remiantis aukščiau išdėstytais argumentais, darbo autorės nuomone, įvertinant audito rizikos ir/ar jos komponentų lygį tinkamiausia būtų naudoti subjektyvius terminus – „maža“, „vidutinė“, „didelė“. Todėl buvo apibrėžti </w:t>
      </w:r>
      <w:r w:rsidR="00CC6357" w:rsidRPr="00DA03DC">
        <w:rPr>
          <w:sz w:val="26"/>
          <w:szCs w:val="26"/>
          <w:lang w:val="lt-LT"/>
        </w:rPr>
        <w:t>interval</w:t>
      </w:r>
      <w:r w:rsidR="00F77FC4" w:rsidRPr="00DA03DC">
        <w:rPr>
          <w:sz w:val="26"/>
          <w:szCs w:val="26"/>
          <w:lang w:val="lt-LT"/>
        </w:rPr>
        <w:t>a</w:t>
      </w:r>
      <w:r w:rsidR="00CC6357" w:rsidRPr="00DA03DC">
        <w:rPr>
          <w:sz w:val="26"/>
          <w:szCs w:val="26"/>
          <w:lang w:val="lt-LT"/>
        </w:rPr>
        <w:t>i</w:t>
      </w:r>
      <w:r w:rsidR="00F77FC4" w:rsidRPr="00DA03DC">
        <w:rPr>
          <w:sz w:val="26"/>
          <w:szCs w:val="26"/>
          <w:lang w:val="lt-LT"/>
        </w:rPr>
        <w:t xml:space="preserve"> ir</w:t>
      </w:r>
      <w:r w:rsidR="00CC6357" w:rsidRPr="00DA03DC">
        <w:rPr>
          <w:sz w:val="26"/>
          <w:szCs w:val="26"/>
          <w:lang w:val="lt-LT"/>
        </w:rPr>
        <w:t xml:space="preserve"> priklausomai nuo to, į kurį intervalą patenka apskaičiuotas rezultatas, rizika </w:t>
      </w:r>
      <w:r w:rsidR="00491FFE" w:rsidRPr="00DA03DC">
        <w:rPr>
          <w:sz w:val="26"/>
          <w:szCs w:val="26"/>
          <w:lang w:val="lt-LT"/>
        </w:rPr>
        <w:t xml:space="preserve">bus </w:t>
      </w:r>
      <w:r w:rsidR="00CC6357" w:rsidRPr="00DA03DC">
        <w:rPr>
          <w:sz w:val="26"/>
          <w:szCs w:val="26"/>
          <w:lang w:val="lt-LT"/>
        </w:rPr>
        <w:t>laikoma maža</w:t>
      </w:r>
      <w:r w:rsidR="00E52AF7" w:rsidRPr="00DA03DC">
        <w:rPr>
          <w:sz w:val="26"/>
          <w:szCs w:val="26"/>
          <w:lang w:val="lt-LT"/>
        </w:rPr>
        <w:t xml:space="preserve"> (0 – 40</w:t>
      </w:r>
      <w:r w:rsidR="00973556">
        <w:rPr>
          <w:sz w:val="26"/>
          <w:szCs w:val="26"/>
          <w:lang w:val="lt-LT"/>
        </w:rPr>
        <w:t xml:space="preserve"> </w:t>
      </w:r>
      <w:r w:rsidR="00E52AF7" w:rsidRPr="00DA03DC">
        <w:rPr>
          <w:sz w:val="26"/>
          <w:szCs w:val="26"/>
          <w:lang w:val="lt-LT"/>
        </w:rPr>
        <w:t>proc.)</w:t>
      </w:r>
      <w:r w:rsidR="00CC6357" w:rsidRPr="00DA03DC">
        <w:rPr>
          <w:sz w:val="26"/>
          <w:szCs w:val="26"/>
          <w:lang w:val="lt-LT"/>
        </w:rPr>
        <w:t xml:space="preserve">, vidutinė </w:t>
      </w:r>
      <w:r w:rsidR="00E52AF7" w:rsidRPr="00DA03DC">
        <w:rPr>
          <w:sz w:val="26"/>
          <w:szCs w:val="26"/>
          <w:lang w:val="lt-LT"/>
        </w:rPr>
        <w:t>(41</w:t>
      </w:r>
      <w:r w:rsidR="00354BF1" w:rsidRPr="00DA03DC">
        <w:rPr>
          <w:sz w:val="26"/>
          <w:szCs w:val="26"/>
          <w:lang w:val="lt-LT"/>
        </w:rPr>
        <w:t xml:space="preserve">– </w:t>
      </w:r>
      <w:r w:rsidR="00E52AF7" w:rsidRPr="00DA03DC">
        <w:rPr>
          <w:sz w:val="26"/>
          <w:szCs w:val="26"/>
          <w:lang w:val="lt-LT"/>
        </w:rPr>
        <w:t xml:space="preserve">60 proc.) </w:t>
      </w:r>
      <w:r w:rsidR="00CC6357" w:rsidRPr="00DA03DC">
        <w:rPr>
          <w:sz w:val="26"/>
          <w:szCs w:val="26"/>
          <w:lang w:val="lt-LT"/>
        </w:rPr>
        <w:t>ar didelė</w:t>
      </w:r>
      <w:r w:rsidR="00E52AF7" w:rsidRPr="00DA03DC">
        <w:rPr>
          <w:sz w:val="26"/>
          <w:szCs w:val="26"/>
          <w:lang w:val="lt-LT"/>
        </w:rPr>
        <w:t xml:space="preserve"> (61 </w:t>
      </w:r>
      <w:r w:rsidR="00354BF1" w:rsidRPr="00DA03DC">
        <w:rPr>
          <w:sz w:val="26"/>
          <w:szCs w:val="26"/>
          <w:lang w:val="lt-LT"/>
        </w:rPr>
        <w:t xml:space="preserve">– </w:t>
      </w:r>
      <w:r w:rsidR="00E52AF7" w:rsidRPr="00DA03DC">
        <w:rPr>
          <w:sz w:val="26"/>
          <w:szCs w:val="26"/>
          <w:lang w:val="lt-LT"/>
        </w:rPr>
        <w:t>100 proc.)</w:t>
      </w:r>
      <w:r w:rsidR="00CC6357" w:rsidRPr="00DA03DC">
        <w:rPr>
          <w:sz w:val="26"/>
          <w:szCs w:val="26"/>
          <w:lang w:val="lt-LT"/>
        </w:rPr>
        <w:t>.</w:t>
      </w:r>
      <w:r w:rsidR="007C77F0" w:rsidRPr="00DA03DC">
        <w:rPr>
          <w:sz w:val="26"/>
          <w:szCs w:val="26"/>
          <w:lang w:val="lt-LT"/>
        </w:rPr>
        <w:t xml:space="preserve"> </w:t>
      </w:r>
      <w:r w:rsidR="00F77FC4" w:rsidRPr="00DA03DC">
        <w:rPr>
          <w:sz w:val="26"/>
          <w:szCs w:val="26"/>
          <w:lang w:val="lt-LT"/>
        </w:rPr>
        <w:t>T</w:t>
      </w:r>
      <w:r w:rsidR="007C77F0" w:rsidRPr="00DA03DC">
        <w:rPr>
          <w:sz w:val="26"/>
          <w:szCs w:val="26"/>
          <w:lang w:val="lt-LT"/>
        </w:rPr>
        <w:t xml:space="preserve">oks įvertinimas </w:t>
      </w:r>
      <w:r w:rsidR="007442A7" w:rsidRPr="00DA03DC">
        <w:rPr>
          <w:sz w:val="26"/>
          <w:szCs w:val="26"/>
          <w:lang w:val="lt-LT"/>
        </w:rPr>
        <w:t xml:space="preserve">iš esmės atitinka </w:t>
      </w:r>
      <w:r w:rsidR="007C77F0" w:rsidRPr="00DA03DC">
        <w:rPr>
          <w:sz w:val="26"/>
          <w:szCs w:val="26"/>
          <w:lang w:val="lt-LT"/>
        </w:rPr>
        <w:t>7 balų Likerto skal</w:t>
      </w:r>
      <w:r w:rsidR="007442A7" w:rsidRPr="00DA03DC">
        <w:rPr>
          <w:sz w:val="26"/>
          <w:szCs w:val="26"/>
          <w:lang w:val="lt-LT"/>
        </w:rPr>
        <w:t>ę</w:t>
      </w:r>
      <w:r w:rsidR="007C77F0" w:rsidRPr="00DA03DC">
        <w:rPr>
          <w:sz w:val="26"/>
          <w:szCs w:val="26"/>
          <w:lang w:val="lt-LT"/>
        </w:rPr>
        <w:t xml:space="preserve">, kuri </w:t>
      </w:r>
      <w:r w:rsidR="005832F7" w:rsidRPr="00DA03DC">
        <w:rPr>
          <w:sz w:val="26"/>
          <w:szCs w:val="26"/>
          <w:lang w:val="lt-LT"/>
        </w:rPr>
        <w:t>mokslo darbuose (</w:t>
      </w:r>
      <w:r w:rsidR="005832F7" w:rsidRPr="00DA03DC">
        <w:rPr>
          <w:sz w:val="26"/>
          <w:szCs w:val="26"/>
        </w:rPr>
        <w:t xml:space="preserve">Majid, Gul, Tsui, 2001; Graham, Bedard, 2003; O‘Donnell, Bierstaker, Schultz, 2004; Chen, Huang, Shih, 2006) </w:t>
      </w:r>
      <w:r w:rsidR="005832F7" w:rsidRPr="00DA03DC">
        <w:rPr>
          <w:sz w:val="26"/>
          <w:szCs w:val="26"/>
          <w:lang w:val="lt-LT"/>
        </w:rPr>
        <w:t xml:space="preserve">buvo naudojama </w:t>
      </w:r>
      <w:r w:rsidR="00FF1482" w:rsidRPr="00DA03DC">
        <w:rPr>
          <w:sz w:val="26"/>
          <w:szCs w:val="26"/>
          <w:lang w:val="lt-LT"/>
        </w:rPr>
        <w:t>atliekant</w:t>
      </w:r>
      <w:r w:rsidR="005832F7" w:rsidRPr="00DA03DC">
        <w:rPr>
          <w:sz w:val="26"/>
          <w:szCs w:val="26"/>
          <w:lang w:val="lt-LT"/>
        </w:rPr>
        <w:t xml:space="preserve"> </w:t>
      </w:r>
      <w:r w:rsidR="007C77F0" w:rsidRPr="00DA03DC">
        <w:rPr>
          <w:sz w:val="26"/>
          <w:szCs w:val="26"/>
          <w:lang w:val="lt-LT"/>
        </w:rPr>
        <w:t>audito rizikos tyrimus</w:t>
      </w:r>
      <w:r w:rsidR="00C00D5B" w:rsidRPr="00DA03DC">
        <w:rPr>
          <w:sz w:val="26"/>
          <w:szCs w:val="26"/>
          <w:lang w:val="lt-LT"/>
        </w:rPr>
        <w:t xml:space="preserve"> bei autorių (Robertson, 1990; Byčkova, 1998</w:t>
      </w:r>
      <w:r w:rsidR="00946C6B" w:rsidRPr="00DA03DC">
        <w:rPr>
          <w:sz w:val="26"/>
          <w:szCs w:val="26"/>
          <w:lang w:val="lt-LT"/>
        </w:rPr>
        <w:t>; Waring, Glendon, 2002</w:t>
      </w:r>
      <w:r w:rsidR="00C00D5B" w:rsidRPr="00DA03DC">
        <w:rPr>
          <w:sz w:val="26"/>
          <w:szCs w:val="26"/>
          <w:lang w:val="lt-LT"/>
        </w:rPr>
        <w:t>)</w:t>
      </w:r>
      <w:r w:rsidR="00946C6B" w:rsidRPr="00DA03DC">
        <w:rPr>
          <w:sz w:val="26"/>
          <w:szCs w:val="26"/>
          <w:lang w:val="lt-LT"/>
        </w:rPr>
        <w:t xml:space="preserve"> pateikiamas skaitines rizikos reikšmes</w:t>
      </w:r>
      <w:r w:rsidR="006A7CE1" w:rsidRPr="00DA03DC">
        <w:rPr>
          <w:sz w:val="26"/>
          <w:szCs w:val="26"/>
          <w:lang w:val="lt-LT"/>
        </w:rPr>
        <w:t xml:space="preserve">. </w:t>
      </w:r>
    </w:p>
    <w:p w:rsidR="00326316" w:rsidRDefault="00326316" w:rsidP="00345A33">
      <w:pPr>
        <w:spacing w:line="360" w:lineRule="auto"/>
        <w:ind w:firstLine="720"/>
        <w:jc w:val="both"/>
        <w:rPr>
          <w:sz w:val="26"/>
          <w:szCs w:val="26"/>
          <w:lang w:val="lt-LT"/>
        </w:rPr>
      </w:pPr>
      <w:r w:rsidRPr="00DA03DC">
        <w:rPr>
          <w:sz w:val="26"/>
          <w:szCs w:val="26"/>
          <w:lang w:val="lt-LT"/>
        </w:rPr>
        <w:t>Atkreiptinas dėmes</w:t>
      </w:r>
      <w:r w:rsidRPr="009E7470">
        <w:rPr>
          <w:sz w:val="26"/>
          <w:szCs w:val="26"/>
          <w:lang w:val="lt-LT"/>
        </w:rPr>
        <w:t>ys, kad 21 lentelėje ap</w:t>
      </w:r>
      <w:r w:rsidR="005E3940">
        <w:rPr>
          <w:sz w:val="26"/>
          <w:szCs w:val="26"/>
          <w:lang w:val="lt-LT"/>
        </w:rPr>
        <w:t>ibendrinta</w:t>
      </w:r>
      <w:r w:rsidRPr="00DA03DC">
        <w:rPr>
          <w:sz w:val="26"/>
          <w:szCs w:val="26"/>
          <w:lang w:val="lt-LT"/>
        </w:rPr>
        <w:t xml:space="preserve"> audito rizikos komponentų </w:t>
      </w:r>
      <w:r>
        <w:rPr>
          <w:sz w:val="26"/>
          <w:szCs w:val="26"/>
          <w:lang w:val="lt-LT"/>
        </w:rPr>
        <w:t xml:space="preserve">kiekybinio įvertinimo </w:t>
      </w:r>
      <w:r w:rsidRPr="00DA03DC">
        <w:rPr>
          <w:sz w:val="26"/>
          <w:szCs w:val="26"/>
          <w:lang w:val="lt-LT"/>
        </w:rPr>
        <w:t xml:space="preserve">metodika, </w:t>
      </w:r>
      <w:r>
        <w:rPr>
          <w:sz w:val="26"/>
          <w:szCs w:val="26"/>
          <w:lang w:val="lt-LT"/>
        </w:rPr>
        <w:t>kuri pagrįsta</w:t>
      </w:r>
      <w:r w:rsidRPr="00DA03DC">
        <w:rPr>
          <w:sz w:val="26"/>
          <w:szCs w:val="26"/>
          <w:lang w:val="lt-LT"/>
        </w:rPr>
        <w:t xml:space="preserve"> visų susijusių veiksnių identifikavimu, jų pasireiškimo tikimybės bei įtakos nustatymu,</w:t>
      </w:r>
      <w:r>
        <w:rPr>
          <w:sz w:val="26"/>
          <w:szCs w:val="26"/>
          <w:lang w:val="lt-LT"/>
        </w:rPr>
        <w:t xml:space="preserve"> įtvirtina </w:t>
      </w:r>
      <w:r w:rsidR="009678BB">
        <w:rPr>
          <w:sz w:val="26"/>
          <w:szCs w:val="26"/>
          <w:lang w:val="lt-LT"/>
        </w:rPr>
        <w:t>sisteminį</w:t>
      </w:r>
      <w:r>
        <w:rPr>
          <w:sz w:val="26"/>
          <w:szCs w:val="26"/>
          <w:lang w:val="lt-LT"/>
        </w:rPr>
        <w:t xml:space="preserve"> požiūrį į audito rizikos vertinimą</w:t>
      </w:r>
      <w:r w:rsidR="009678BB">
        <w:rPr>
          <w:sz w:val="26"/>
          <w:szCs w:val="26"/>
          <w:lang w:val="lt-LT"/>
        </w:rPr>
        <w:t xml:space="preserve"> ir </w:t>
      </w:r>
      <w:r>
        <w:rPr>
          <w:sz w:val="26"/>
          <w:szCs w:val="26"/>
          <w:lang w:val="lt-LT"/>
        </w:rPr>
        <w:t xml:space="preserve">remiasi šiomis pagrindinėmis prielaidomis: </w:t>
      </w:r>
    </w:p>
    <w:p w:rsidR="00326316" w:rsidRDefault="00326316" w:rsidP="00345A33">
      <w:pPr>
        <w:spacing w:line="360" w:lineRule="auto"/>
        <w:ind w:firstLine="720"/>
        <w:jc w:val="both"/>
        <w:rPr>
          <w:sz w:val="26"/>
          <w:szCs w:val="26"/>
          <w:lang w:val="lt-LT"/>
        </w:rPr>
      </w:pPr>
      <w:r>
        <w:rPr>
          <w:sz w:val="26"/>
          <w:szCs w:val="26"/>
          <w:lang w:val="lt-LT"/>
        </w:rPr>
        <w:t xml:space="preserve">1) jei konkrečios rizikos veiksnio įtaka yra maža, tai nepriklausomai nuo </w:t>
      </w:r>
      <w:r w:rsidR="006A36AD">
        <w:rPr>
          <w:sz w:val="26"/>
          <w:szCs w:val="26"/>
          <w:lang w:val="lt-LT"/>
        </w:rPr>
        <w:t xml:space="preserve">jo </w:t>
      </w:r>
      <w:r>
        <w:rPr>
          <w:sz w:val="26"/>
          <w:szCs w:val="26"/>
          <w:lang w:val="lt-LT"/>
        </w:rPr>
        <w:t xml:space="preserve">pasireiškimo tikimybės, šis veiksnys turi būti eliminuojamas iš tolesnių auditoriaus svarstymų; </w:t>
      </w:r>
    </w:p>
    <w:p w:rsidR="00326316" w:rsidRDefault="00326316" w:rsidP="00345A33">
      <w:pPr>
        <w:spacing w:line="360" w:lineRule="auto"/>
        <w:ind w:firstLine="720"/>
        <w:jc w:val="both"/>
        <w:rPr>
          <w:sz w:val="26"/>
          <w:szCs w:val="26"/>
          <w:lang w:val="lt-LT"/>
        </w:rPr>
      </w:pPr>
      <w:r>
        <w:rPr>
          <w:sz w:val="26"/>
          <w:szCs w:val="26"/>
          <w:lang w:val="lt-LT"/>
        </w:rPr>
        <w:t xml:space="preserve">2) rizikos įtaka </w:t>
      </w:r>
      <w:r w:rsidR="00574CBE">
        <w:rPr>
          <w:sz w:val="26"/>
          <w:szCs w:val="26"/>
          <w:lang w:val="lt-LT"/>
        </w:rPr>
        <w:t xml:space="preserve">labiau </w:t>
      </w:r>
      <w:r>
        <w:rPr>
          <w:sz w:val="26"/>
          <w:szCs w:val="26"/>
          <w:lang w:val="lt-LT"/>
        </w:rPr>
        <w:t xml:space="preserve">nulemia rizikos lygį nei jos pasireiškimo tikimybė. </w:t>
      </w:r>
    </w:p>
    <w:p w:rsidR="004E1357" w:rsidRDefault="00326316" w:rsidP="00345A33">
      <w:pPr>
        <w:spacing w:line="360" w:lineRule="auto"/>
        <w:ind w:firstLine="720"/>
        <w:jc w:val="both"/>
        <w:rPr>
          <w:sz w:val="26"/>
          <w:szCs w:val="26"/>
          <w:lang w:val="lt-LT"/>
        </w:rPr>
      </w:pPr>
      <w:r>
        <w:rPr>
          <w:sz w:val="26"/>
          <w:szCs w:val="26"/>
          <w:lang w:val="lt-LT"/>
        </w:rPr>
        <w:t xml:space="preserve">Visa tai </w:t>
      </w:r>
      <w:r w:rsidR="000B7E2B" w:rsidRPr="00DA03DC">
        <w:rPr>
          <w:sz w:val="26"/>
          <w:szCs w:val="26"/>
          <w:lang w:val="lt-LT"/>
        </w:rPr>
        <w:t>pa</w:t>
      </w:r>
      <w:r w:rsidR="006B35F5" w:rsidRPr="00DA03DC">
        <w:rPr>
          <w:sz w:val="26"/>
          <w:szCs w:val="26"/>
          <w:lang w:val="lt-LT"/>
        </w:rPr>
        <w:t xml:space="preserve">neigia </w:t>
      </w:r>
      <w:r w:rsidR="000B7E2B" w:rsidRPr="00DA03DC">
        <w:rPr>
          <w:sz w:val="26"/>
          <w:szCs w:val="26"/>
          <w:lang w:val="lt-LT"/>
        </w:rPr>
        <w:t>literatūroje sutinkam</w:t>
      </w:r>
      <w:r w:rsidR="006B35F5" w:rsidRPr="00DA03DC">
        <w:rPr>
          <w:sz w:val="26"/>
          <w:szCs w:val="26"/>
          <w:lang w:val="lt-LT"/>
        </w:rPr>
        <w:t>os</w:t>
      </w:r>
      <w:r w:rsidR="000B7E2B" w:rsidRPr="00DA03DC">
        <w:rPr>
          <w:sz w:val="26"/>
          <w:szCs w:val="26"/>
          <w:lang w:val="lt-LT"/>
        </w:rPr>
        <w:t xml:space="preserve"> (Verhov, Kozlova, 1998) rizikos matric</w:t>
      </w:r>
      <w:r w:rsidR="006B35F5" w:rsidRPr="00DA03DC">
        <w:rPr>
          <w:sz w:val="26"/>
          <w:szCs w:val="26"/>
          <w:lang w:val="lt-LT"/>
        </w:rPr>
        <w:t>os</w:t>
      </w:r>
      <w:r w:rsidR="000B7E2B" w:rsidRPr="00DA03DC">
        <w:rPr>
          <w:sz w:val="26"/>
          <w:szCs w:val="26"/>
          <w:lang w:val="lt-LT"/>
        </w:rPr>
        <w:t xml:space="preserve"> </w:t>
      </w:r>
      <w:r w:rsidR="006B35F5" w:rsidRPr="00DA03DC">
        <w:rPr>
          <w:sz w:val="26"/>
          <w:szCs w:val="26"/>
          <w:lang w:val="lt-LT"/>
        </w:rPr>
        <w:t xml:space="preserve">taikymą audito rizikos komponentų </w:t>
      </w:r>
      <w:r w:rsidR="00CE305A">
        <w:rPr>
          <w:sz w:val="26"/>
          <w:szCs w:val="26"/>
          <w:lang w:val="lt-LT"/>
        </w:rPr>
        <w:t>įvertinimui</w:t>
      </w:r>
      <w:r w:rsidR="006B35F5" w:rsidRPr="00DA03DC">
        <w:rPr>
          <w:sz w:val="26"/>
          <w:szCs w:val="26"/>
          <w:lang w:val="lt-LT"/>
        </w:rPr>
        <w:t xml:space="preserve"> </w:t>
      </w:r>
      <w:r w:rsidR="000B7E2B" w:rsidRPr="00DA03DC">
        <w:rPr>
          <w:sz w:val="26"/>
          <w:szCs w:val="26"/>
          <w:lang w:val="lt-LT"/>
        </w:rPr>
        <w:t>(žr.</w:t>
      </w:r>
      <w:r w:rsidR="00973556">
        <w:rPr>
          <w:sz w:val="26"/>
          <w:szCs w:val="26"/>
          <w:lang w:val="lt-LT"/>
        </w:rPr>
        <w:t> </w:t>
      </w:r>
      <w:r w:rsidR="00EC28DB" w:rsidRPr="00DA03DC">
        <w:rPr>
          <w:sz w:val="26"/>
          <w:szCs w:val="26"/>
          <w:lang w:val="lt-LT"/>
        </w:rPr>
        <w:t>2</w:t>
      </w:r>
      <w:r w:rsidR="003223EA">
        <w:rPr>
          <w:sz w:val="26"/>
          <w:szCs w:val="26"/>
          <w:lang w:val="lt-LT"/>
        </w:rPr>
        <w:t>2</w:t>
      </w:r>
      <w:r w:rsidR="00973556">
        <w:rPr>
          <w:sz w:val="26"/>
          <w:szCs w:val="26"/>
          <w:lang w:val="lt-LT"/>
        </w:rPr>
        <w:t> </w:t>
      </w:r>
      <w:r w:rsidR="000B7E2B" w:rsidRPr="00DA03DC">
        <w:rPr>
          <w:sz w:val="26"/>
          <w:szCs w:val="26"/>
          <w:lang w:val="lt-LT"/>
        </w:rPr>
        <w:t>lentelė)</w:t>
      </w:r>
      <w:r w:rsidR="00794C0D">
        <w:rPr>
          <w:sz w:val="26"/>
          <w:szCs w:val="26"/>
          <w:lang w:val="lt-LT"/>
        </w:rPr>
        <w:t xml:space="preserve">. </w:t>
      </w:r>
    </w:p>
    <w:p w:rsidR="000749EB" w:rsidRPr="00DA03DC" w:rsidRDefault="000749EB" w:rsidP="00DA03DC">
      <w:pPr>
        <w:spacing w:line="360" w:lineRule="auto"/>
        <w:jc w:val="right"/>
        <w:rPr>
          <w:i/>
          <w:sz w:val="26"/>
          <w:szCs w:val="26"/>
          <w:lang w:val="lt-LT"/>
        </w:rPr>
      </w:pPr>
      <w:r w:rsidRPr="00DA03DC">
        <w:rPr>
          <w:i/>
          <w:sz w:val="26"/>
          <w:szCs w:val="26"/>
          <w:lang w:val="lt-LT"/>
        </w:rPr>
        <w:lastRenderedPageBreak/>
        <w:t>2</w:t>
      </w:r>
      <w:r w:rsidR="003223EA">
        <w:rPr>
          <w:i/>
          <w:sz w:val="26"/>
          <w:szCs w:val="26"/>
          <w:lang w:val="lt-LT"/>
        </w:rPr>
        <w:t>2</w:t>
      </w:r>
      <w:r w:rsidRPr="00DA03DC">
        <w:rPr>
          <w:i/>
          <w:sz w:val="26"/>
          <w:szCs w:val="26"/>
          <w:lang w:val="lt-LT"/>
        </w:rPr>
        <w:t xml:space="preserve"> lentelė</w:t>
      </w:r>
    </w:p>
    <w:p w:rsidR="000749EB" w:rsidRPr="00DA03DC" w:rsidRDefault="000749EB" w:rsidP="000630D0">
      <w:pPr>
        <w:tabs>
          <w:tab w:val="left" w:pos="567"/>
        </w:tabs>
        <w:spacing w:line="360" w:lineRule="auto"/>
        <w:jc w:val="center"/>
        <w:rPr>
          <w:b/>
          <w:sz w:val="26"/>
          <w:szCs w:val="26"/>
          <w:lang w:val="lt-LT"/>
        </w:rPr>
      </w:pPr>
      <w:r w:rsidRPr="00DA03DC">
        <w:rPr>
          <w:b/>
          <w:sz w:val="26"/>
          <w:szCs w:val="26"/>
          <w:lang w:val="lt-LT"/>
        </w:rPr>
        <w:t xml:space="preserve">Rizikos </w:t>
      </w:r>
      <w:r w:rsidR="00987442" w:rsidRPr="00DA03DC">
        <w:rPr>
          <w:b/>
          <w:sz w:val="26"/>
          <w:szCs w:val="26"/>
          <w:lang w:val="lt-LT"/>
        </w:rPr>
        <w:t>matricos patikslinima</w:t>
      </w:r>
      <w:r w:rsidR="00D542DD" w:rsidRPr="00DA03DC">
        <w:rPr>
          <w:b/>
          <w:sz w:val="26"/>
          <w:szCs w:val="26"/>
          <w:lang w:val="lt-LT"/>
        </w:rPr>
        <w:t>s</w:t>
      </w:r>
      <w:r w:rsidR="00987442" w:rsidRPr="00DA03DC">
        <w:rPr>
          <w:b/>
          <w:sz w:val="26"/>
          <w:szCs w:val="26"/>
          <w:lang w:val="lt-LT"/>
        </w:rPr>
        <w:t xml:space="preserve"> </w:t>
      </w:r>
      <w:r w:rsidR="00997972" w:rsidRPr="00DA03DC">
        <w:rPr>
          <w:b/>
          <w:sz w:val="26"/>
          <w:szCs w:val="26"/>
          <w:lang w:val="lt-LT"/>
        </w:rPr>
        <w:t>audito rizikos ko</w:t>
      </w:r>
      <w:r w:rsidR="00997972" w:rsidRPr="009E7470">
        <w:rPr>
          <w:b/>
          <w:sz w:val="26"/>
          <w:szCs w:val="26"/>
          <w:lang w:val="lt-LT"/>
        </w:rPr>
        <w:t xml:space="preserve">mponentų </w:t>
      </w:r>
      <w:r w:rsidR="00CE305A" w:rsidRPr="009E7470">
        <w:rPr>
          <w:b/>
          <w:sz w:val="26"/>
          <w:szCs w:val="26"/>
          <w:lang w:val="lt-LT"/>
        </w:rPr>
        <w:t>įvertinimui</w:t>
      </w:r>
    </w:p>
    <w:tbl>
      <w:tblPr>
        <w:tblStyle w:val="TableGrid"/>
        <w:tblW w:w="8327" w:type="dxa"/>
        <w:jc w:val="center"/>
        <w:tblInd w:w="1645" w:type="dxa"/>
        <w:tblLayout w:type="fixed"/>
        <w:tblLook w:val="04A0"/>
      </w:tblPr>
      <w:tblGrid>
        <w:gridCol w:w="1449"/>
        <w:gridCol w:w="1418"/>
        <w:gridCol w:w="1811"/>
        <w:gridCol w:w="1843"/>
        <w:gridCol w:w="1806"/>
      </w:tblGrid>
      <w:tr w:rsidR="00B16438" w:rsidRPr="00DA03DC" w:rsidTr="00DA03DC">
        <w:trPr>
          <w:trHeight w:val="247"/>
          <w:jc w:val="center"/>
        </w:trPr>
        <w:tc>
          <w:tcPr>
            <w:tcW w:w="1449" w:type="dxa"/>
            <w:vMerge w:val="restart"/>
          </w:tcPr>
          <w:p w:rsidR="00B16438" w:rsidRPr="00DA03DC" w:rsidRDefault="00B16438" w:rsidP="00D54DD4">
            <w:pPr>
              <w:jc w:val="center"/>
              <w:rPr>
                <w:b/>
                <w:sz w:val="22"/>
                <w:szCs w:val="22"/>
                <w:lang w:val="lt-LT"/>
              </w:rPr>
            </w:pPr>
            <w:r w:rsidRPr="00DA03DC">
              <w:rPr>
                <w:b/>
                <w:sz w:val="22"/>
                <w:szCs w:val="22"/>
                <w:lang w:val="lt-LT"/>
              </w:rPr>
              <w:t>Pasireiškimo tikimybė</w:t>
            </w:r>
          </w:p>
        </w:tc>
        <w:tc>
          <w:tcPr>
            <w:tcW w:w="1418" w:type="dxa"/>
            <w:vMerge w:val="restart"/>
            <w:vAlign w:val="center"/>
          </w:tcPr>
          <w:p w:rsidR="00B16438" w:rsidRPr="00DA03DC" w:rsidRDefault="00B16438" w:rsidP="00D54DD4">
            <w:pPr>
              <w:jc w:val="center"/>
              <w:rPr>
                <w:b/>
                <w:sz w:val="22"/>
                <w:szCs w:val="22"/>
                <w:lang w:val="lt-LT"/>
              </w:rPr>
            </w:pPr>
            <w:r w:rsidRPr="00DA03DC">
              <w:rPr>
                <w:b/>
                <w:sz w:val="22"/>
                <w:szCs w:val="22"/>
                <w:lang w:val="lt-LT"/>
              </w:rPr>
              <w:t>Įvertinimas balais</w:t>
            </w:r>
          </w:p>
        </w:tc>
        <w:tc>
          <w:tcPr>
            <w:tcW w:w="5460" w:type="dxa"/>
            <w:gridSpan w:val="3"/>
          </w:tcPr>
          <w:p w:rsidR="00B16438" w:rsidRPr="00DA03DC" w:rsidRDefault="00B16438" w:rsidP="00384EB5">
            <w:pPr>
              <w:jc w:val="center"/>
              <w:rPr>
                <w:b/>
                <w:sz w:val="22"/>
                <w:szCs w:val="22"/>
                <w:lang w:val="lt-LT"/>
              </w:rPr>
            </w:pPr>
            <w:r w:rsidRPr="00DA03DC">
              <w:rPr>
                <w:b/>
                <w:sz w:val="22"/>
                <w:szCs w:val="22"/>
                <w:lang w:val="lt-LT"/>
              </w:rPr>
              <w:t>Rizikos įtaka</w:t>
            </w:r>
          </w:p>
        </w:tc>
      </w:tr>
      <w:tr w:rsidR="00B16438" w:rsidRPr="00DA03DC" w:rsidTr="00DA03DC">
        <w:trPr>
          <w:trHeight w:val="306"/>
          <w:jc w:val="center"/>
        </w:trPr>
        <w:tc>
          <w:tcPr>
            <w:tcW w:w="1449" w:type="dxa"/>
            <w:vMerge/>
          </w:tcPr>
          <w:p w:rsidR="00B16438" w:rsidRPr="00DA03DC" w:rsidRDefault="00B16438" w:rsidP="00384EB5">
            <w:pPr>
              <w:jc w:val="both"/>
              <w:rPr>
                <w:sz w:val="22"/>
                <w:szCs w:val="22"/>
                <w:lang w:val="lt-LT"/>
              </w:rPr>
            </w:pPr>
          </w:p>
        </w:tc>
        <w:tc>
          <w:tcPr>
            <w:tcW w:w="1418" w:type="dxa"/>
            <w:vMerge/>
          </w:tcPr>
          <w:p w:rsidR="00B16438" w:rsidRPr="00DA03DC" w:rsidRDefault="00B16438" w:rsidP="00384EB5">
            <w:pPr>
              <w:jc w:val="both"/>
              <w:rPr>
                <w:sz w:val="22"/>
                <w:szCs w:val="22"/>
                <w:lang w:val="lt-LT"/>
              </w:rPr>
            </w:pPr>
          </w:p>
        </w:tc>
        <w:tc>
          <w:tcPr>
            <w:tcW w:w="1811" w:type="dxa"/>
            <w:vAlign w:val="center"/>
          </w:tcPr>
          <w:p w:rsidR="00B16438" w:rsidRPr="00DA03DC" w:rsidRDefault="00B16438" w:rsidP="00B16438">
            <w:pPr>
              <w:jc w:val="center"/>
              <w:rPr>
                <w:b/>
                <w:sz w:val="22"/>
                <w:szCs w:val="22"/>
                <w:lang w:val="lt-LT"/>
              </w:rPr>
            </w:pPr>
            <w:r w:rsidRPr="00DA03DC">
              <w:rPr>
                <w:b/>
                <w:sz w:val="22"/>
                <w:szCs w:val="22"/>
                <w:lang w:val="lt-LT"/>
              </w:rPr>
              <w:t xml:space="preserve">Maža </w:t>
            </w:r>
          </w:p>
        </w:tc>
        <w:tc>
          <w:tcPr>
            <w:tcW w:w="1843" w:type="dxa"/>
            <w:tcBorders>
              <w:bottom w:val="single" w:sz="4" w:space="0" w:color="auto"/>
            </w:tcBorders>
            <w:vAlign w:val="center"/>
          </w:tcPr>
          <w:p w:rsidR="00B16438" w:rsidRPr="00DA03DC" w:rsidRDefault="00B16438" w:rsidP="00B16438">
            <w:pPr>
              <w:jc w:val="center"/>
              <w:rPr>
                <w:b/>
                <w:sz w:val="22"/>
                <w:szCs w:val="22"/>
                <w:lang w:val="lt-LT"/>
              </w:rPr>
            </w:pPr>
            <w:r w:rsidRPr="00DA03DC">
              <w:rPr>
                <w:b/>
                <w:sz w:val="22"/>
                <w:szCs w:val="22"/>
                <w:lang w:val="lt-LT"/>
              </w:rPr>
              <w:t xml:space="preserve">Vidutinė </w:t>
            </w:r>
          </w:p>
        </w:tc>
        <w:tc>
          <w:tcPr>
            <w:tcW w:w="1806" w:type="dxa"/>
            <w:tcBorders>
              <w:bottom w:val="single" w:sz="4" w:space="0" w:color="auto"/>
            </w:tcBorders>
            <w:vAlign w:val="center"/>
          </w:tcPr>
          <w:p w:rsidR="00B16438" w:rsidRPr="00DA03DC" w:rsidRDefault="00B16438" w:rsidP="00B16438">
            <w:pPr>
              <w:jc w:val="center"/>
              <w:rPr>
                <w:b/>
                <w:sz w:val="22"/>
                <w:szCs w:val="22"/>
                <w:lang w:val="lt-LT"/>
              </w:rPr>
            </w:pPr>
            <w:r w:rsidRPr="00DA03DC">
              <w:rPr>
                <w:b/>
                <w:sz w:val="22"/>
                <w:szCs w:val="22"/>
                <w:lang w:val="lt-LT"/>
              </w:rPr>
              <w:t xml:space="preserve">Didelė </w:t>
            </w:r>
          </w:p>
        </w:tc>
      </w:tr>
      <w:tr w:rsidR="00B16438" w:rsidRPr="00DA03DC" w:rsidTr="00DA03DC">
        <w:trPr>
          <w:trHeight w:val="297"/>
          <w:jc w:val="center"/>
        </w:trPr>
        <w:tc>
          <w:tcPr>
            <w:tcW w:w="1449" w:type="dxa"/>
            <w:vMerge/>
          </w:tcPr>
          <w:p w:rsidR="00B16438" w:rsidRPr="00DA03DC" w:rsidRDefault="00B16438" w:rsidP="00384EB5">
            <w:pPr>
              <w:jc w:val="both"/>
              <w:rPr>
                <w:sz w:val="22"/>
                <w:szCs w:val="22"/>
                <w:lang w:val="lt-LT"/>
              </w:rPr>
            </w:pPr>
          </w:p>
        </w:tc>
        <w:tc>
          <w:tcPr>
            <w:tcW w:w="1418" w:type="dxa"/>
            <w:vMerge/>
          </w:tcPr>
          <w:p w:rsidR="00B16438" w:rsidRPr="00DA03DC" w:rsidRDefault="00B16438" w:rsidP="00384EB5">
            <w:pPr>
              <w:jc w:val="both"/>
              <w:rPr>
                <w:sz w:val="22"/>
                <w:szCs w:val="22"/>
                <w:lang w:val="lt-LT"/>
              </w:rPr>
            </w:pPr>
          </w:p>
        </w:tc>
        <w:tc>
          <w:tcPr>
            <w:tcW w:w="1811" w:type="dxa"/>
            <w:vAlign w:val="center"/>
          </w:tcPr>
          <w:p w:rsidR="00B16438" w:rsidRPr="00DA03DC" w:rsidRDefault="00B16438" w:rsidP="002A57C5">
            <w:pPr>
              <w:jc w:val="center"/>
              <w:rPr>
                <w:b/>
                <w:sz w:val="22"/>
                <w:szCs w:val="22"/>
                <w:lang w:val="lt-LT"/>
              </w:rPr>
            </w:pPr>
            <w:r w:rsidRPr="00DA03DC">
              <w:rPr>
                <w:b/>
                <w:sz w:val="22"/>
                <w:szCs w:val="22"/>
                <w:lang w:val="lt-LT"/>
              </w:rPr>
              <w:t>(1 – 2)</w:t>
            </w:r>
          </w:p>
        </w:tc>
        <w:tc>
          <w:tcPr>
            <w:tcW w:w="1843" w:type="dxa"/>
            <w:tcBorders>
              <w:bottom w:val="single" w:sz="4" w:space="0" w:color="auto"/>
            </w:tcBorders>
            <w:vAlign w:val="center"/>
          </w:tcPr>
          <w:p w:rsidR="00B16438" w:rsidRPr="00DA03DC" w:rsidRDefault="00B16438" w:rsidP="002A57C5">
            <w:pPr>
              <w:jc w:val="center"/>
              <w:rPr>
                <w:b/>
                <w:sz w:val="22"/>
                <w:szCs w:val="22"/>
                <w:lang w:val="lt-LT"/>
              </w:rPr>
            </w:pPr>
            <w:r w:rsidRPr="00DA03DC">
              <w:rPr>
                <w:b/>
                <w:sz w:val="22"/>
                <w:szCs w:val="22"/>
                <w:lang w:val="lt-LT"/>
              </w:rPr>
              <w:t>(3)</w:t>
            </w:r>
          </w:p>
        </w:tc>
        <w:tc>
          <w:tcPr>
            <w:tcW w:w="1806" w:type="dxa"/>
            <w:tcBorders>
              <w:bottom w:val="single" w:sz="4" w:space="0" w:color="auto"/>
            </w:tcBorders>
            <w:vAlign w:val="center"/>
          </w:tcPr>
          <w:p w:rsidR="00B16438" w:rsidRPr="00DA03DC" w:rsidRDefault="00B16438" w:rsidP="002A57C5">
            <w:pPr>
              <w:jc w:val="center"/>
              <w:rPr>
                <w:b/>
                <w:sz w:val="22"/>
                <w:szCs w:val="22"/>
                <w:lang w:val="lt-LT"/>
              </w:rPr>
            </w:pPr>
            <w:r w:rsidRPr="00DA03DC">
              <w:rPr>
                <w:b/>
                <w:sz w:val="22"/>
                <w:szCs w:val="22"/>
                <w:lang w:val="lt-LT"/>
              </w:rPr>
              <w:t>(4 – 5)</w:t>
            </w:r>
          </w:p>
        </w:tc>
      </w:tr>
      <w:tr w:rsidR="00B16438" w:rsidRPr="00DA03DC" w:rsidTr="00DA03DC">
        <w:trPr>
          <w:trHeight w:val="349"/>
          <w:jc w:val="center"/>
        </w:trPr>
        <w:tc>
          <w:tcPr>
            <w:tcW w:w="1449" w:type="dxa"/>
          </w:tcPr>
          <w:p w:rsidR="00B16438" w:rsidRPr="00DA03DC" w:rsidRDefault="00B16438" w:rsidP="00D54DD4">
            <w:pPr>
              <w:jc w:val="both"/>
              <w:rPr>
                <w:b/>
                <w:sz w:val="22"/>
                <w:szCs w:val="22"/>
                <w:lang w:val="lt-LT"/>
              </w:rPr>
            </w:pPr>
            <w:r w:rsidRPr="00DA03DC">
              <w:rPr>
                <w:b/>
                <w:sz w:val="22"/>
                <w:szCs w:val="22"/>
                <w:lang w:val="lt-LT"/>
              </w:rPr>
              <w:t>Didelė</w:t>
            </w:r>
          </w:p>
        </w:tc>
        <w:tc>
          <w:tcPr>
            <w:tcW w:w="1418" w:type="dxa"/>
          </w:tcPr>
          <w:p w:rsidR="00B16438" w:rsidRPr="00DA03DC" w:rsidRDefault="00B16438" w:rsidP="006A7CE1">
            <w:pPr>
              <w:jc w:val="center"/>
              <w:rPr>
                <w:b/>
                <w:sz w:val="22"/>
                <w:szCs w:val="22"/>
                <w:lang w:val="lt-LT"/>
              </w:rPr>
            </w:pPr>
            <w:r w:rsidRPr="00DA03DC">
              <w:rPr>
                <w:b/>
                <w:sz w:val="22"/>
                <w:szCs w:val="22"/>
                <w:lang w:val="lt-LT"/>
              </w:rPr>
              <w:t>(4 – 5)</w:t>
            </w:r>
          </w:p>
        </w:tc>
        <w:tc>
          <w:tcPr>
            <w:tcW w:w="1811" w:type="dxa"/>
            <w:vAlign w:val="center"/>
          </w:tcPr>
          <w:p w:rsidR="00B16438" w:rsidRPr="00DA03DC" w:rsidRDefault="00B16438" w:rsidP="00384EB5">
            <w:pPr>
              <w:jc w:val="center"/>
              <w:rPr>
                <w:strike/>
                <w:sz w:val="22"/>
                <w:szCs w:val="22"/>
                <w:lang w:val="lt-LT"/>
              </w:rPr>
            </w:pPr>
            <w:r w:rsidRPr="00DA03DC">
              <w:rPr>
                <w:strike/>
                <w:sz w:val="22"/>
                <w:szCs w:val="22"/>
                <w:lang w:val="lt-LT"/>
              </w:rPr>
              <w:t>Vidutinė rizika</w:t>
            </w:r>
          </w:p>
          <w:p w:rsidR="00B16438" w:rsidRPr="00DA03DC" w:rsidRDefault="0028108A" w:rsidP="00384EB5">
            <w:pPr>
              <w:jc w:val="center"/>
              <w:rPr>
                <w:i/>
                <w:sz w:val="22"/>
                <w:szCs w:val="22"/>
                <w:lang w:val="lt-LT"/>
              </w:rPr>
            </w:pPr>
            <w:r w:rsidRPr="00DA03DC">
              <w:rPr>
                <w:i/>
                <w:sz w:val="22"/>
                <w:szCs w:val="22"/>
                <w:lang w:val="lt-LT"/>
              </w:rPr>
              <w:t>Netaikoma</w:t>
            </w:r>
          </w:p>
        </w:tc>
        <w:tc>
          <w:tcPr>
            <w:tcW w:w="1843" w:type="dxa"/>
            <w:shd w:val="clear" w:color="auto" w:fill="auto"/>
            <w:vAlign w:val="center"/>
          </w:tcPr>
          <w:p w:rsidR="00B16438" w:rsidRPr="00DA03DC" w:rsidRDefault="00B16438" w:rsidP="00384EB5">
            <w:pPr>
              <w:jc w:val="center"/>
              <w:rPr>
                <w:sz w:val="22"/>
                <w:szCs w:val="22"/>
                <w:lang w:val="lt-LT"/>
              </w:rPr>
            </w:pPr>
            <w:r w:rsidRPr="00DA03DC">
              <w:rPr>
                <w:sz w:val="22"/>
                <w:szCs w:val="22"/>
                <w:lang w:val="lt-LT"/>
              </w:rPr>
              <w:t>Didelė rizika</w:t>
            </w:r>
          </w:p>
        </w:tc>
        <w:tc>
          <w:tcPr>
            <w:tcW w:w="1806" w:type="dxa"/>
            <w:shd w:val="clear" w:color="auto" w:fill="auto"/>
            <w:vAlign w:val="center"/>
          </w:tcPr>
          <w:p w:rsidR="00B16438" w:rsidRPr="00DA03DC" w:rsidRDefault="00B16438" w:rsidP="00D54DD4">
            <w:pPr>
              <w:jc w:val="center"/>
              <w:rPr>
                <w:b/>
                <w:sz w:val="22"/>
                <w:szCs w:val="22"/>
                <w:lang w:val="lt-LT"/>
              </w:rPr>
            </w:pPr>
            <w:r w:rsidRPr="00DA03DC">
              <w:rPr>
                <w:sz w:val="22"/>
                <w:szCs w:val="22"/>
                <w:lang w:val="lt-LT"/>
              </w:rPr>
              <w:t>Didelė rizika</w:t>
            </w:r>
          </w:p>
        </w:tc>
      </w:tr>
      <w:tr w:rsidR="00B16438" w:rsidRPr="00DA03DC" w:rsidTr="00DA03DC">
        <w:trPr>
          <w:trHeight w:val="387"/>
          <w:jc w:val="center"/>
        </w:trPr>
        <w:tc>
          <w:tcPr>
            <w:tcW w:w="1449" w:type="dxa"/>
          </w:tcPr>
          <w:p w:rsidR="00B16438" w:rsidRPr="00DA03DC" w:rsidRDefault="00B16438" w:rsidP="00D54DD4">
            <w:pPr>
              <w:jc w:val="both"/>
              <w:rPr>
                <w:b/>
                <w:sz w:val="22"/>
                <w:szCs w:val="22"/>
                <w:lang w:val="lt-LT"/>
              </w:rPr>
            </w:pPr>
            <w:r w:rsidRPr="00DA03DC">
              <w:rPr>
                <w:b/>
                <w:sz w:val="22"/>
                <w:szCs w:val="22"/>
                <w:lang w:val="lt-LT"/>
              </w:rPr>
              <w:t>Vidutinė</w:t>
            </w:r>
          </w:p>
        </w:tc>
        <w:tc>
          <w:tcPr>
            <w:tcW w:w="1418" w:type="dxa"/>
          </w:tcPr>
          <w:p w:rsidR="00B16438" w:rsidRPr="00DA03DC" w:rsidRDefault="00B16438" w:rsidP="006A7CE1">
            <w:pPr>
              <w:jc w:val="center"/>
              <w:rPr>
                <w:b/>
                <w:sz w:val="22"/>
                <w:szCs w:val="22"/>
                <w:lang w:val="lt-LT"/>
              </w:rPr>
            </w:pPr>
            <w:r w:rsidRPr="00DA03DC">
              <w:rPr>
                <w:b/>
                <w:sz w:val="22"/>
                <w:szCs w:val="22"/>
                <w:lang w:val="lt-LT"/>
              </w:rPr>
              <w:t>(3)</w:t>
            </w:r>
          </w:p>
        </w:tc>
        <w:tc>
          <w:tcPr>
            <w:tcW w:w="1811" w:type="dxa"/>
            <w:tcBorders>
              <w:bottom w:val="single" w:sz="4" w:space="0" w:color="auto"/>
            </w:tcBorders>
            <w:vAlign w:val="center"/>
          </w:tcPr>
          <w:p w:rsidR="00B16438" w:rsidRPr="00DA03DC" w:rsidRDefault="00B16438" w:rsidP="00384EB5">
            <w:pPr>
              <w:jc w:val="center"/>
              <w:rPr>
                <w:strike/>
                <w:sz w:val="22"/>
                <w:szCs w:val="22"/>
                <w:lang w:val="lt-LT"/>
              </w:rPr>
            </w:pPr>
            <w:r w:rsidRPr="00DA03DC">
              <w:rPr>
                <w:strike/>
                <w:sz w:val="22"/>
                <w:szCs w:val="22"/>
                <w:lang w:val="lt-LT"/>
              </w:rPr>
              <w:t>Maža rizika</w:t>
            </w:r>
          </w:p>
          <w:p w:rsidR="00B16438" w:rsidRPr="00DA03DC" w:rsidRDefault="0028108A" w:rsidP="00384EB5">
            <w:pPr>
              <w:jc w:val="center"/>
              <w:rPr>
                <w:i/>
                <w:sz w:val="22"/>
                <w:szCs w:val="22"/>
                <w:lang w:val="lt-LT"/>
              </w:rPr>
            </w:pPr>
            <w:r w:rsidRPr="00DA03DC">
              <w:rPr>
                <w:i/>
                <w:sz w:val="22"/>
                <w:szCs w:val="22"/>
                <w:lang w:val="lt-LT"/>
              </w:rPr>
              <w:t>Netaikoma</w:t>
            </w:r>
          </w:p>
        </w:tc>
        <w:tc>
          <w:tcPr>
            <w:tcW w:w="1843" w:type="dxa"/>
            <w:tcBorders>
              <w:bottom w:val="single" w:sz="4" w:space="0" w:color="auto"/>
            </w:tcBorders>
            <w:shd w:val="clear" w:color="auto" w:fill="auto"/>
            <w:vAlign w:val="center"/>
          </w:tcPr>
          <w:p w:rsidR="00B16438" w:rsidRPr="00DA03DC" w:rsidRDefault="00B16438" w:rsidP="00384EB5">
            <w:pPr>
              <w:jc w:val="center"/>
              <w:rPr>
                <w:sz w:val="22"/>
                <w:szCs w:val="22"/>
                <w:lang w:val="lt-LT"/>
              </w:rPr>
            </w:pPr>
            <w:r w:rsidRPr="00DA03DC">
              <w:rPr>
                <w:sz w:val="22"/>
                <w:szCs w:val="22"/>
                <w:lang w:val="lt-LT"/>
              </w:rPr>
              <w:t>Vidutinė rizika</w:t>
            </w:r>
          </w:p>
        </w:tc>
        <w:tc>
          <w:tcPr>
            <w:tcW w:w="1806" w:type="dxa"/>
            <w:shd w:val="clear" w:color="auto" w:fill="auto"/>
            <w:vAlign w:val="center"/>
          </w:tcPr>
          <w:p w:rsidR="00B16438" w:rsidRPr="00DA03DC" w:rsidRDefault="00B16438" w:rsidP="00384EB5">
            <w:pPr>
              <w:jc w:val="center"/>
              <w:rPr>
                <w:strike/>
                <w:sz w:val="22"/>
                <w:szCs w:val="22"/>
                <w:lang w:val="lt-LT"/>
              </w:rPr>
            </w:pPr>
            <w:r w:rsidRPr="00DA03DC">
              <w:rPr>
                <w:strike/>
                <w:sz w:val="22"/>
                <w:szCs w:val="22"/>
                <w:lang w:val="lt-LT"/>
              </w:rPr>
              <w:t>Didelė rizika</w:t>
            </w:r>
          </w:p>
          <w:p w:rsidR="00B16438" w:rsidRPr="00DA03DC" w:rsidRDefault="00B16438" w:rsidP="00384EB5">
            <w:pPr>
              <w:jc w:val="center"/>
              <w:rPr>
                <w:i/>
                <w:sz w:val="22"/>
                <w:szCs w:val="22"/>
                <w:lang w:val="lt-LT"/>
              </w:rPr>
            </w:pPr>
            <w:r w:rsidRPr="00DA03DC">
              <w:rPr>
                <w:i/>
                <w:sz w:val="22"/>
                <w:szCs w:val="22"/>
                <w:lang w:val="lt-LT"/>
              </w:rPr>
              <w:t>Vidutinė rizika</w:t>
            </w:r>
          </w:p>
        </w:tc>
      </w:tr>
      <w:tr w:rsidR="00B16438" w:rsidRPr="00DA03DC" w:rsidTr="00DA03DC">
        <w:trPr>
          <w:trHeight w:val="433"/>
          <w:jc w:val="center"/>
        </w:trPr>
        <w:tc>
          <w:tcPr>
            <w:tcW w:w="1449" w:type="dxa"/>
          </w:tcPr>
          <w:p w:rsidR="00B16438" w:rsidRPr="00DA03DC" w:rsidRDefault="00B16438" w:rsidP="00D54DD4">
            <w:pPr>
              <w:jc w:val="both"/>
              <w:rPr>
                <w:b/>
                <w:sz w:val="22"/>
                <w:szCs w:val="22"/>
                <w:lang w:val="lt-LT"/>
              </w:rPr>
            </w:pPr>
            <w:r w:rsidRPr="00DA03DC">
              <w:rPr>
                <w:b/>
                <w:sz w:val="22"/>
                <w:szCs w:val="22"/>
                <w:lang w:val="lt-LT"/>
              </w:rPr>
              <w:t>Maža</w:t>
            </w:r>
          </w:p>
        </w:tc>
        <w:tc>
          <w:tcPr>
            <w:tcW w:w="1418" w:type="dxa"/>
          </w:tcPr>
          <w:p w:rsidR="00B16438" w:rsidRPr="00DA03DC" w:rsidRDefault="00B16438" w:rsidP="006A7CE1">
            <w:pPr>
              <w:jc w:val="center"/>
              <w:rPr>
                <w:b/>
                <w:sz w:val="22"/>
                <w:szCs w:val="22"/>
                <w:lang w:val="lt-LT"/>
              </w:rPr>
            </w:pPr>
            <w:r w:rsidRPr="00DA03DC">
              <w:rPr>
                <w:b/>
                <w:sz w:val="22"/>
                <w:szCs w:val="22"/>
                <w:lang w:val="lt-LT"/>
              </w:rPr>
              <w:t>(1 – 2)</w:t>
            </w:r>
          </w:p>
        </w:tc>
        <w:tc>
          <w:tcPr>
            <w:tcW w:w="1811" w:type="dxa"/>
            <w:shd w:val="clear" w:color="auto" w:fill="FFFFFF" w:themeFill="background1"/>
            <w:vAlign w:val="center"/>
          </w:tcPr>
          <w:p w:rsidR="0028108A" w:rsidRPr="00DA03DC" w:rsidRDefault="0028108A" w:rsidP="0028108A">
            <w:pPr>
              <w:jc w:val="center"/>
              <w:rPr>
                <w:strike/>
                <w:sz w:val="22"/>
                <w:szCs w:val="22"/>
                <w:lang w:val="lt-LT"/>
              </w:rPr>
            </w:pPr>
            <w:r w:rsidRPr="00DA03DC">
              <w:rPr>
                <w:strike/>
                <w:sz w:val="22"/>
                <w:szCs w:val="22"/>
                <w:lang w:val="lt-LT"/>
              </w:rPr>
              <w:t>Maža rizika</w:t>
            </w:r>
          </w:p>
          <w:p w:rsidR="00B16438" w:rsidRPr="00DA03DC" w:rsidRDefault="0028108A" w:rsidP="00384EB5">
            <w:pPr>
              <w:jc w:val="center"/>
              <w:rPr>
                <w:i/>
                <w:sz w:val="22"/>
                <w:szCs w:val="22"/>
                <w:lang w:val="lt-LT"/>
              </w:rPr>
            </w:pPr>
            <w:r w:rsidRPr="00DA03DC">
              <w:rPr>
                <w:i/>
                <w:sz w:val="22"/>
                <w:szCs w:val="22"/>
                <w:lang w:val="lt-LT"/>
              </w:rPr>
              <w:t>Netaikoma</w:t>
            </w:r>
          </w:p>
        </w:tc>
        <w:tc>
          <w:tcPr>
            <w:tcW w:w="1843" w:type="dxa"/>
            <w:shd w:val="clear" w:color="auto" w:fill="FFFFFF" w:themeFill="background1"/>
            <w:vAlign w:val="center"/>
          </w:tcPr>
          <w:p w:rsidR="00B16438" w:rsidRPr="00DA03DC" w:rsidRDefault="00B16438" w:rsidP="00384EB5">
            <w:pPr>
              <w:jc w:val="center"/>
              <w:rPr>
                <w:sz w:val="22"/>
                <w:szCs w:val="22"/>
                <w:lang w:val="lt-LT"/>
              </w:rPr>
            </w:pPr>
            <w:r w:rsidRPr="00DA03DC">
              <w:rPr>
                <w:sz w:val="22"/>
                <w:szCs w:val="22"/>
                <w:lang w:val="lt-LT"/>
              </w:rPr>
              <w:t>Maža rizika</w:t>
            </w:r>
          </w:p>
        </w:tc>
        <w:tc>
          <w:tcPr>
            <w:tcW w:w="1806" w:type="dxa"/>
            <w:shd w:val="clear" w:color="auto" w:fill="auto"/>
            <w:vAlign w:val="center"/>
          </w:tcPr>
          <w:p w:rsidR="00B16438" w:rsidRPr="00DA03DC" w:rsidRDefault="00B16438" w:rsidP="00384EB5">
            <w:pPr>
              <w:jc w:val="center"/>
              <w:rPr>
                <w:strike/>
                <w:sz w:val="22"/>
                <w:szCs w:val="22"/>
                <w:lang w:val="lt-LT"/>
              </w:rPr>
            </w:pPr>
            <w:r w:rsidRPr="00DA03DC">
              <w:rPr>
                <w:strike/>
                <w:sz w:val="22"/>
                <w:szCs w:val="22"/>
                <w:lang w:val="lt-LT"/>
              </w:rPr>
              <w:t>Vidutinė rizika</w:t>
            </w:r>
          </w:p>
          <w:p w:rsidR="00B16438" w:rsidRPr="00DA03DC" w:rsidRDefault="00B16438" w:rsidP="00384EB5">
            <w:pPr>
              <w:jc w:val="center"/>
              <w:rPr>
                <w:i/>
                <w:sz w:val="22"/>
                <w:szCs w:val="22"/>
                <w:lang w:val="lt-LT"/>
              </w:rPr>
            </w:pPr>
            <w:r w:rsidRPr="00DA03DC">
              <w:rPr>
                <w:i/>
                <w:sz w:val="22"/>
                <w:szCs w:val="22"/>
                <w:lang w:val="lt-LT"/>
              </w:rPr>
              <w:t>Maža rizika</w:t>
            </w:r>
          </w:p>
        </w:tc>
      </w:tr>
    </w:tbl>
    <w:p w:rsidR="00C076D8" w:rsidRDefault="00C076D8" w:rsidP="00DA03DC">
      <w:pPr>
        <w:spacing w:line="360" w:lineRule="auto"/>
        <w:jc w:val="both"/>
        <w:rPr>
          <w:lang w:val="lt-LT"/>
        </w:rPr>
      </w:pPr>
      <w:r w:rsidRPr="003F6A32">
        <w:rPr>
          <w:lang w:val="lt-LT"/>
        </w:rPr>
        <w:t xml:space="preserve">Šaltinis: </w:t>
      </w:r>
      <w:r>
        <w:rPr>
          <w:lang w:val="lt-LT"/>
        </w:rPr>
        <w:t>sudaryta autorės</w:t>
      </w:r>
      <w:r w:rsidR="000B7E2B">
        <w:rPr>
          <w:lang w:val="lt-LT"/>
        </w:rPr>
        <w:t xml:space="preserve"> pagal </w:t>
      </w:r>
      <w:r w:rsidR="000B7E2B" w:rsidRPr="000B7E2B">
        <w:rPr>
          <w:caps/>
          <w:lang w:val="lt-LT"/>
        </w:rPr>
        <w:t>Verhov</w:t>
      </w:r>
      <w:r w:rsidR="000B7E2B">
        <w:rPr>
          <w:lang w:val="lt-LT"/>
        </w:rPr>
        <w:t xml:space="preserve"> V. A, </w:t>
      </w:r>
      <w:r w:rsidR="000B7E2B" w:rsidRPr="000B7E2B">
        <w:rPr>
          <w:caps/>
          <w:lang w:val="lt-LT"/>
        </w:rPr>
        <w:t>Kozlova</w:t>
      </w:r>
      <w:r w:rsidR="000B7E2B">
        <w:rPr>
          <w:lang w:val="lt-LT"/>
        </w:rPr>
        <w:t xml:space="preserve"> T. V., 1998</w:t>
      </w:r>
      <w:r>
        <w:rPr>
          <w:lang w:val="lt-LT"/>
        </w:rPr>
        <w:t>.</w:t>
      </w:r>
    </w:p>
    <w:p w:rsidR="003223EA" w:rsidRPr="003E5F7B" w:rsidRDefault="004E1357" w:rsidP="00884A1E">
      <w:pPr>
        <w:pStyle w:val="NormalWeb"/>
        <w:spacing w:before="240" w:beforeAutospacing="0" w:after="0" w:afterAutospacing="0" w:line="360" w:lineRule="auto"/>
        <w:ind w:firstLine="720"/>
        <w:jc w:val="both"/>
        <w:rPr>
          <w:sz w:val="26"/>
          <w:szCs w:val="26"/>
          <w:lang w:val="lt-LT"/>
        </w:rPr>
      </w:pPr>
      <w:r>
        <w:rPr>
          <w:sz w:val="26"/>
          <w:szCs w:val="26"/>
          <w:lang w:val="lt-LT"/>
        </w:rPr>
        <w:t xml:space="preserve">Reikėtų pripažinti, kad </w:t>
      </w:r>
      <w:r w:rsidR="003223EA" w:rsidRPr="002314F3">
        <w:rPr>
          <w:sz w:val="26"/>
          <w:szCs w:val="26"/>
          <w:lang w:val="lt-LT"/>
        </w:rPr>
        <w:t>audito rizikos komponento kiekybini</w:t>
      </w:r>
      <w:r w:rsidR="006C0F4B">
        <w:rPr>
          <w:sz w:val="26"/>
          <w:szCs w:val="26"/>
          <w:lang w:val="lt-LT"/>
        </w:rPr>
        <w:t>o</w:t>
      </w:r>
      <w:r w:rsidR="003223EA" w:rsidRPr="002314F3">
        <w:rPr>
          <w:sz w:val="26"/>
          <w:szCs w:val="26"/>
          <w:lang w:val="lt-LT"/>
        </w:rPr>
        <w:t xml:space="preserve"> įvertinim</w:t>
      </w:r>
      <w:r w:rsidR="006C0F4B">
        <w:rPr>
          <w:sz w:val="26"/>
          <w:szCs w:val="26"/>
          <w:lang w:val="lt-LT"/>
        </w:rPr>
        <w:t xml:space="preserve">o </w:t>
      </w:r>
      <w:r>
        <w:rPr>
          <w:sz w:val="26"/>
          <w:szCs w:val="26"/>
          <w:lang w:val="lt-LT"/>
        </w:rPr>
        <w:t xml:space="preserve">tikslumas labiausiai </w:t>
      </w:r>
      <w:r w:rsidR="006C0F4B">
        <w:rPr>
          <w:sz w:val="26"/>
          <w:szCs w:val="26"/>
          <w:lang w:val="lt-LT"/>
        </w:rPr>
        <w:t>priklaus</w:t>
      </w:r>
      <w:r w:rsidR="00326316">
        <w:rPr>
          <w:sz w:val="26"/>
          <w:szCs w:val="26"/>
          <w:lang w:val="lt-LT"/>
        </w:rPr>
        <w:t>ys</w:t>
      </w:r>
      <w:r w:rsidR="006C0F4B">
        <w:rPr>
          <w:sz w:val="26"/>
          <w:szCs w:val="26"/>
          <w:lang w:val="lt-LT"/>
        </w:rPr>
        <w:t xml:space="preserve"> nuo visų susijusių </w:t>
      </w:r>
      <w:r w:rsidR="003223EA" w:rsidRPr="002314F3">
        <w:rPr>
          <w:sz w:val="26"/>
          <w:szCs w:val="26"/>
          <w:lang w:val="lt-LT"/>
        </w:rPr>
        <w:t>veiksnių identifikavim</w:t>
      </w:r>
      <w:r w:rsidR="006C0F4B">
        <w:rPr>
          <w:sz w:val="26"/>
          <w:szCs w:val="26"/>
          <w:lang w:val="lt-LT"/>
        </w:rPr>
        <w:t>o</w:t>
      </w:r>
      <w:r>
        <w:rPr>
          <w:sz w:val="26"/>
          <w:szCs w:val="26"/>
          <w:lang w:val="lt-LT"/>
        </w:rPr>
        <w:t>. T</w:t>
      </w:r>
      <w:r w:rsidR="003223EA" w:rsidRPr="002314F3">
        <w:rPr>
          <w:sz w:val="26"/>
          <w:szCs w:val="26"/>
          <w:lang w:val="lt-LT"/>
        </w:rPr>
        <w:t xml:space="preserve">odėl, kad identifikuoti visus </w:t>
      </w:r>
      <w:r w:rsidR="003223EA" w:rsidRPr="003E5F7B">
        <w:rPr>
          <w:sz w:val="26"/>
          <w:szCs w:val="26"/>
          <w:lang w:val="lt-LT"/>
        </w:rPr>
        <w:t xml:space="preserve">rizikos komponento veiksnius, </w:t>
      </w:r>
      <w:r w:rsidR="009844A4">
        <w:rPr>
          <w:sz w:val="26"/>
          <w:szCs w:val="26"/>
          <w:lang w:val="lt-LT"/>
        </w:rPr>
        <w:t xml:space="preserve">naudinga </w:t>
      </w:r>
      <w:r w:rsidR="003223EA" w:rsidRPr="003E5F7B">
        <w:rPr>
          <w:sz w:val="26"/>
          <w:szCs w:val="26"/>
          <w:lang w:val="lt-LT"/>
        </w:rPr>
        <w:t xml:space="preserve">pasiremti </w:t>
      </w:r>
      <w:r w:rsidR="003223EA">
        <w:rPr>
          <w:sz w:val="26"/>
          <w:szCs w:val="26"/>
          <w:lang w:val="lt-LT"/>
        </w:rPr>
        <w:t xml:space="preserve">darbo autorės sudarytomis </w:t>
      </w:r>
      <w:r w:rsidR="003223EA" w:rsidRPr="009844A4">
        <w:rPr>
          <w:b/>
          <w:sz w:val="26"/>
          <w:szCs w:val="26"/>
          <w:lang w:val="lt-LT"/>
        </w:rPr>
        <w:t>rizikos apskaičiavimo lentelėmi</w:t>
      </w:r>
      <w:r w:rsidR="003223EA" w:rsidRPr="007910A5">
        <w:rPr>
          <w:i/>
          <w:sz w:val="26"/>
          <w:szCs w:val="26"/>
          <w:lang w:val="lt-LT"/>
        </w:rPr>
        <w:t>s</w:t>
      </w:r>
      <w:r w:rsidR="009678BB">
        <w:rPr>
          <w:sz w:val="26"/>
          <w:szCs w:val="26"/>
          <w:lang w:val="lt-LT"/>
        </w:rPr>
        <w:t xml:space="preserve"> (žr.</w:t>
      </w:r>
      <w:r w:rsidR="00511F39">
        <w:rPr>
          <w:sz w:val="26"/>
          <w:szCs w:val="26"/>
          <w:lang w:val="lt-LT"/>
        </w:rPr>
        <w:t> </w:t>
      </w:r>
      <w:r w:rsidR="009678BB">
        <w:rPr>
          <w:sz w:val="26"/>
          <w:szCs w:val="26"/>
          <w:lang w:val="lt-LT"/>
        </w:rPr>
        <w:t>20</w:t>
      </w:r>
      <w:r w:rsidR="00511F39">
        <w:rPr>
          <w:sz w:val="26"/>
          <w:szCs w:val="26"/>
          <w:lang w:val="lt-LT"/>
        </w:rPr>
        <w:t> </w:t>
      </w:r>
      <w:r w:rsidR="00884A1E">
        <w:rPr>
          <w:sz w:val="26"/>
          <w:szCs w:val="26"/>
          <w:lang w:val="lt-LT"/>
        </w:rPr>
        <w:t xml:space="preserve">– </w:t>
      </w:r>
      <w:r w:rsidR="003223EA" w:rsidRPr="003E5F7B">
        <w:rPr>
          <w:sz w:val="26"/>
          <w:szCs w:val="26"/>
          <w:lang w:val="lt-LT"/>
        </w:rPr>
        <w:t>23</w:t>
      </w:r>
      <w:r w:rsidR="00884A1E">
        <w:rPr>
          <w:sz w:val="26"/>
          <w:szCs w:val="26"/>
          <w:lang w:val="lt-LT"/>
        </w:rPr>
        <w:t xml:space="preserve"> </w:t>
      </w:r>
      <w:r w:rsidR="003223EA" w:rsidRPr="003E5F7B">
        <w:rPr>
          <w:sz w:val="26"/>
          <w:szCs w:val="26"/>
          <w:lang w:val="lt-LT"/>
        </w:rPr>
        <w:t>priedai)</w:t>
      </w:r>
      <w:r w:rsidR="003223EA">
        <w:rPr>
          <w:sz w:val="26"/>
          <w:szCs w:val="26"/>
          <w:lang w:val="lt-LT"/>
        </w:rPr>
        <w:t xml:space="preserve">. </w:t>
      </w:r>
      <w:r w:rsidR="009844A4">
        <w:rPr>
          <w:sz w:val="26"/>
          <w:szCs w:val="26"/>
          <w:lang w:val="lt-LT"/>
        </w:rPr>
        <w:t>Nors š</w:t>
      </w:r>
      <w:r w:rsidR="003223EA">
        <w:rPr>
          <w:sz w:val="26"/>
          <w:szCs w:val="26"/>
          <w:lang w:val="lt-LT"/>
        </w:rPr>
        <w:t>iose lentelės</w:t>
      </w:r>
      <w:r w:rsidR="003223EA" w:rsidRPr="003E5F7B">
        <w:rPr>
          <w:sz w:val="26"/>
          <w:szCs w:val="26"/>
          <w:lang w:val="lt-LT"/>
        </w:rPr>
        <w:t xml:space="preserve">e </w:t>
      </w:r>
      <w:r w:rsidR="00326316">
        <w:rPr>
          <w:sz w:val="26"/>
          <w:szCs w:val="26"/>
          <w:lang w:val="lt-LT"/>
        </w:rPr>
        <w:t>įvardinti d</w:t>
      </w:r>
      <w:r w:rsidR="003223EA">
        <w:rPr>
          <w:sz w:val="26"/>
          <w:szCs w:val="26"/>
          <w:lang w:val="lt-LT"/>
        </w:rPr>
        <w:t xml:space="preserve">ažniausiai sutinkami </w:t>
      </w:r>
      <w:r w:rsidR="003223EA" w:rsidRPr="003E5F7B">
        <w:rPr>
          <w:sz w:val="26"/>
          <w:szCs w:val="26"/>
          <w:lang w:val="lt-LT"/>
        </w:rPr>
        <w:t>konkretaus audito rizikos komponento (verslo rizikos, įmonės rizikos, apgaulės riziko</w:t>
      </w:r>
      <w:r w:rsidR="00511F39">
        <w:rPr>
          <w:sz w:val="26"/>
          <w:szCs w:val="26"/>
          <w:lang w:val="lt-LT"/>
        </w:rPr>
        <w:t>s, įgimtos ir kontrolės rizikų</w:t>
      </w:r>
      <w:r w:rsidR="003223EA" w:rsidRPr="00511F39">
        <w:rPr>
          <w:sz w:val="26"/>
          <w:szCs w:val="26"/>
          <w:lang w:val="lt-LT"/>
        </w:rPr>
        <w:t>) veiksniai</w:t>
      </w:r>
      <w:r w:rsidR="003223EA" w:rsidRPr="00511F39">
        <w:rPr>
          <w:rStyle w:val="FootnoteReference"/>
          <w:sz w:val="26"/>
          <w:szCs w:val="26"/>
          <w:lang w:val="lt-LT"/>
        </w:rPr>
        <w:footnoteReference w:id="23"/>
      </w:r>
      <w:r w:rsidRPr="00511F39">
        <w:rPr>
          <w:sz w:val="26"/>
          <w:szCs w:val="26"/>
          <w:lang w:val="lt-LT"/>
        </w:rPr>
        <w:t xml:space="preserve">, </w:t>
      </w:r>
      <w:r w:rsidR="009844A4" w:rsidRPr="00511F39">
        <w:rPr>
          <w:sz w:val="26"/>
          <w:szCs w:val="26"/>
          <w:lang w:val="lt-LT"/>
        </w:rPr>
        <w:t>tačiau jas galima praplėsti ir pritaikyti atsižvelgiant į konkrečią situaciją</w:t>
      </w:r>
      <w:r w:rsidR="003223EA" w:rsidRPr="00511F39">
        <w:rPr>
          <w:sz w:val="26"/>
          <w:szCs w:val="26"/>
          <w:lang w:val="lt-LT"/>
        </w:rPr>
        <w:t xml:space="preserve">. </w:t>
      </w:r>
      <w:r w:rsidR="009844A4" w:rsidRPr="00511F39">
        <w:rPr>
          <w:sz w:val="26"/>
          <w:szCs w:val="26"/>
          <w:lang w:val="lt-LT"/>
        </w:rPr>
        <w:t xml:space="preserve">Darbo autorės nuomone, </w:t>
      </w:r>
      <w:r w:rsidR="003223EA" w:rsidRPr="00511F39">
        <w:rPr>
          <w:sz w:val="26"/>
          <w:szCs w:val="26"/>
          <w:lang w:val="lt-LT"/>
        </w:rPr>
        <w:t xml:space="preserve">minėtos lentelės </w:t>
      </w:r>
      <w:r w:rsidR="00511F39" w:rsidRPr="00511F39">
        <w:rPr>
          <w:sz w:val="26"/>
          <w:szCs w:val="26"/>
          <w:lang w:val="lt-LT"/>
        </w:rPr>
        <w:t xml:space="preserve">turi padėti </w:t>
      </w:r>
      <w:r w:rsidR="003223EA" w:rsidRPr="00511F39">
        <w:rPr>
          <w:sz w:val="26"/>
          <w:szCs w:val="26"/>
          <w:lang w:val="lt-LT"/>
        </w:rPr>
        <w:t>išvengti klaidų bei netikslumų ir užtikrin</w:t>
      </w:r>
      <w:r w:rsidR="00511F39" w:rsidRPr="00511F39">
        <w:rPr>
          <w:sz w:val="26"/>
          <w:szCs w:val="26"/>
          <w:lang w:val="lt-LT"/>
        </w:rPr>
        <w:t>ti</w:t>
      </w:r>
      <w:r w:rsidR="003223EA" w:rsidRPr="00511F39">
        <w:rPr>
          <w:sz w:val="26"/>
          <w:szCs w:val="26"/>
          <w:lang w:val="lt-LT"/>
        </w:rPr>
        <w:t xml:space="preserve"> </w:t>
      </w:r>
      <w:r w:rsidR="009844A4" w:rsidRPr="00511F39">
        <w:rPr>
          <w:sz w:val="26"/>
          <w:szCs w:val="26"/>
          <w:lang w:val="lt-LT"/>
        </w:rPr>
        <w:t xml:space="preserve">kur kas </w:t>
      </w:r>
      <w:r w:rsidR="003223EA" w:rsidRPr="00511F39">
        <w:rPr>
          <w:sz w:val="26"/>
          <w:szCs w:val="26"/>
          <w:lang w:val="lt-LT"/>
        </w:rPr>
        <w:t xml:space="preserve">objektyvesnį audito rizikos komponento vertinimą. Atsižvelgiant į tai, šias rizikos apskaičiavimo lenteles tikslinga laikyti svarbia audito rizikos ir/ar jos komponentų </w:t>
      </w:r>
      <w:r w:rsidR="006A36AD" w:rsidRPr="00511F39">
        <w:rPr>
          <w:sz w:val="26"/>
          <w:szCs w:val="26"/>
          <w:lang w:val="lt-LT"/>
        </w:rPr>
        <w:t xml:space="preserve">kiekybinio </w:t>
      </w:r>
      <w:r w:rsidR="003223EA" w:rsidRPr="00511F39">
        <w:rPr>
          <w:sz w:val="26"/>
          <w:szCs w:val="26"/>
          <w:lang w:val="lt-LT"/>
        </w:rPr>
        <w:t>įvertinimo metodik</w:t>
      </w:r>
      <w:r w:rsidR="00511F39" w:rsidRPr="00511F39">
        <w:rPr>
          <w:sz w:val="26"/>
          <w:szCs w:val="26"/>
          <w:lang w:val="lt-LT"/>
        </w:rPr>
        <w:t>os</w:t>
      </w:r>
      <w:r w:rsidR="003223EA" w:rsidRPr="00511F39">
        <w:rPr>
          <w:sz w:val="26"/>
          <w:szCs w:val="26"/>
          <w:lang w:val="lt-LT"/>
        </w:rPr>
        <w:t xml:space="preserve"> dalimi.</w:t>
      </w:r>
    </w:p>
    <w:p w:rsidR="00D66432" w:rsidRPr="00DA03DC" w:rsidRDefault="005417A2" w:rsidP="009954D3">
      <w:pPr>
        <w:spacing w:line="360" w:lineRule="auto"/>
        <w:ind w:firstLine="720"/>
        <w:jc w:val="both"/>
        <w:rPr>
          <w:sz w:val="26"/>
          <w:szCs w:val="26"/>
          <w:lang w:val="lt-LT"/>
        </w:rPr>
      </w:pPr>
      <w:r>
        <w:rPr>
          <w:sz w:val="26"/>
          <w:szCs w:val="26"/>
          <w:lang w:val="lt-LT"/>
        </w:rPr>
        <w:t>Nustatyta, kad a</w:t>
      </w:r>
      <w:r w:rsidR="002979E6" w:rsidRPr="00DA03DC">
        <w:rPr>
          <w:sz w:val="26"/>
          <w:szCs w:val="26"/>
          <w:lang w:val="lt-LT"/>
        </w:rPr>
        <w:t>tliekant konkre</w:t>
      </w:r>
      <w:r w:rsidR="00E1492B" w:rsidRPr="00DA03DC">
        <w:rPr>
          <w:sz w:val="26"/>
          <w:szCs w:val="26"/>
          <w:lang w:val="lt-LT"/>
        </w:rPr>
        <w:t>taus audito rizikos komponento</w:t>
      </w:r>
      <w:r w:rsidR="002979E6" w:rsidRPr="00DA03DC">
        <w:rPr>
          <w:sz w:val="26"/>
          <w:szCs w:val="26"/>
          <w:lang w:val="lt-LT"/>
        </w:rPr>
        <w:t xml:space="preserve"> įtakos ir jos pasireiškimo </w:t>
      </w:r>
      <w:r w:rsidR="002979E6" w:rsidRPr="00B62BD4">
        <w:rPr>
          <w:sz w:val="26"/>
          <w:szCs w:val="26"/>
          <w:lang w:val="lt-LT"/>
        </w:rPr>
        <w:t xml:space="preserve">tikimybės nustatymą, </w:t>
      </w:r>
      <w:r w:rsidR="009844A4" w:rsidRPr="00B62BD4">
        <w:rPr>
          <w:sz w:val="26"/>
          <w:szCs w:val="26"/>
          <w:lang w:val="lt-LT"/>
        </w:rPr>
        <w:t>turi būti at</w:t>
      </w:r>
      <w:r w:rsidR="002979E6" w:rsidRPr="00B62BD4">
        <w:rPr>
          <w:sz w:val="26"/>
          <w:szCs w:val="26"/>
          <w:lang w:val="lt-LT"/>
        </w:rPr>
        <w:t>sižvelgi</w:t>
      </w:r>
      <w:r w:rsidR="009844A4" w:rsidRPr="00B62BD4">
        <w:rPr>
          <w:sz w:val="26"/>
          <w:szCs w:val="26"/>
          <w:lang w:val="lt-LT"/>
        </w:rPr>
        <w:t>ama</w:t>
      </w:r>
      <w:r w:rsidR="002979E6" w:rsidRPr="00B62BD4">
        <w:rPr>
          <w:sz w:val="26"/>
          <w:szCs w:val="26"/>
          <w:lang w:val="lt-LT"/>
        </w:rPr>
        <w:t xml:space="preserve"> į šią riziką lemianči</w:t>
      </w:r>
      <w:r w:rsidR="005106CF" w:rsidRPr="00B62BD4">
        <w:rPr>
          <w:sz w:val="26"/>
          <w:szCs w:val="26"/>
          <w:lang w:val="lt-LT"/>
        </w:rPr>
        <w:t>ų</w:t>
      </w:r>
      <w:r w:rsidR="002979E6" w:rsidRPr="00B62BD4">
        <w:rPr>
          <w:sz w:val="26"/>
          <w:szCs w:val="26"/>
          <w:lang w:val="lt-LT"/>
        </w:rPr>
        <w:t xml:space="preserve"> </w:t>
      </w:r>
      <w:r w:rsidR="00E6048E">
        <w:rPr>
          <w:sz w:val="26"/>
          <w:szCs w:val="26"/>
          <w:lang w:val="lt-LT"/>
        </w:rPr>
        <w:t>veiksnių</w:t>
      </w:r>
      <w:r w:rsidR="004C4EC7">
        <w:rPr>
          <w:sz w:val="26"/>
          <w:szCs w:val="26"/>
          <w:lang w:val="lt-LT"/>
        </w:rPr>
        <w:t xml:space="preserve"> (</w:t>
      </w:r>
      <w:r w:rsidR="002979E6" w:rsidRPr="00B62BD4">
        <w:rPr>
          <w:sz w:val="26"/>
          <w:szCs w:val="26"/>
          <w:lang w:val="lt-LT"/>
        </w:rPr>
        <w:t>sąlyg</w:t>
      </w:r>
      <w:r w:rsidR="005106CF" w:rsidRPr="00B62BD4">
        <w:rPr>
          <w:sz w:val="26"/>
          <w:szCs w:val="26"/>
          <w:lang w:val="lt-LT"/>
        </w:rPr>
        <w:t>ų</w:t>
      </w:r>
      <w:r w:rsidR="004C4EC7">
        <w:rPr>
          <w:sz w:val="26"/>
          <w:szCs w:val="26"/>
          <w:lang w:val="lt-LT"/>
        </w:rPr>
        <w:t>)</w:t>
      </w:r>
      <w:r w:rsidR="005106CF" w:rsidRPr="00B62BD4">
        <w:rPr>
          <w:sz w:val="26"/>
          <w:szCs w:val="26"/>
          <w:lang w:val="lt-LT"/>
        </w:rPr>
        <w:t xml:space="preserve"> ypatumus</w:t>
      </w:r>
      <w:r w:rsidR="002979E6" w:rsidRPr="00B62BD4">
        <w:rPr>
          <w:sz w:val="26"/>
          <w:szCs w:val="26"/>
          <w:lang w:val="lt-LT"/>
        </w:rPr>
        <w:t xml:space="preserve">. </w:t>
      </w:r>
      <w:r w:rsidR="00511F39">
        <w:rPr>
          <w:sz w:val="26"/>
          <w:szCs w:val="26"/>
          <w:lang w:val="lt-LT"/>
        </w:rPr>
        <w:t xml:space="preserve">Todėl </w:t>
      </w:r>
      <w:r w:rsidR="00511F39" w:rsidRPr="00C87A2C">
        <w:rPr>
          <w:sz w:val="26"/>
          <w:szCs w:val="26"/>
          <w:lang w:val="lt-LT"/>
        </w:rPr>
        <w:t xml:space="preserve">naudinga </w:t>
      </w:r>
      <w:r w:rsidRPr="00C87A2C">
        <w:rPr>
          <w:sz w:val="26"/>
          <w:szCs w:val="26"/>
          <w:lang w:val="lt-LT"/>
        </w:rPr>
        <w:t>žinoti, kada atskira reikšmingo iškraipymo rizika</w:t>
      </w:r>
      <w:r w:rsidR="00140C30" w:rsidRPr="00C87A2C">
        <w:rPr>
          <w:sz w:val="26"/>
          <w:szCs w:val="26"/>
          <w:lang w:val="lt-LT"/>
        </w:rPr>
        <w:t xml:space="preserve"> finansinių ataskaitų lygmeniu</w:t>
      </w:r>
      <w:r w:rsidRPr="00B62BD4">
        <w:rPr>
          <w:sz w:val="26"/>
          <w:szCs w:val="26"/>
          <w:lang w:val="lt-LT"/>
        </w:rPr>
        <w:t xml:space="preserve"> (verslo rizika, įmonės rizika, apgaulės rizika) ar tvirtinimo lygmeniu (įgimta rizika, kontrolės rizika) priklausomai nuo ją lemiančių sąlygų pasireiškimo </w:t>
      </w:r>
      <w:r w:rsidR="00140C30" w:rsidRPr="00B62BD4">
        <w:rPr>
          <w:sz w:val="26"/>
          <w:szCs w:val="26"/>
          <w:lang w:val="lt-LT"/>
        </w:rPr>
        <w:t xml:space="preserve">masto </w:t>
      </w:r>
      <w:r w:rsidR="00511F39">
        <w:rPr>
          <w:sz w:val="26"/>
          <w:szCs w:val="26"/>
          <w:lang w:val="lt-LT"/>
        </w:rPr>
        <w:t xml:space="preserve">turi būti </w:t>
      </w:r>
      <w:r w:rsidRPr="00B62BD4">
        <w:rPr>
          <w:sz w:val="26"/>
          <w:szCs w:val="26"/>
          <w:lang w:val="lt-LT"/>
        </w:rPr>
        <w:t xml:space="preserve">įvertinama kaip maža, vidutinė ar didelė. </w:t>
      </w:r>
      <w:r w:rsidR="00140C30" w:rsidRPr="00B62BD4">
        <w:rPr>
          <w:sz w:val="26"/>
          <w:szCs w:val="26"/>
          <w:lang w:val="lt-LT"/>
        </w:rPr>
        <w:t xml:space="preserve">Tokiu atveju </w:t>
      </w:r>
      <w:r w:rsidRPr="00B62BD4">
        <w:rPr>
          <w:sz w:val="26"/>
          <w:szCs w:val="26"/>
          <w:lang w:val="lt-LT"/>
        </w:rPr>
        <w:t>būtina</w:t>
      </w:r>
      <w:r w:rsidR="00140C30" w:rsidRPr="00B62BD4">
        <w:rPr>
          <w:sz w:val="26"/>
          <w:szCs w:val="26"/>
          <w:lang w:val="lt-LT"/>
        </w:rPr>
        <w:t>s</w:t>
      </w:r>
      <w:r w:rsidRPr="00B62BD4">
        <w:rPr>
          <w:sz w:val="26"/>
          <w:szCs w:val="26"/>
          <w:lang w:val="lt-LT"/>
        </w:rPr>
        <w:t xml:space="preserve"> </w:t>
      </w:r>
      <w:r w:rsidR="00171E4C" w:rsidRPr="00C87A2C">
        <w:rPr>
          <w:i/>
          <w:sz w:val="26"/>
          <w:szCs w:val="26"/>
          <w:lang w:val="lt-LT"/>
        </w:rPr>
        <w:t xml:space="preserve">sąlygų, lemiančių konkrečių audito rizikos komponentų pasireiškimą, </w:t>
      </w:r>
      <w:r w:rsidR="00187CC2" w:rsidRPr="00C87A2C">
        <w:rPr>
          <w:i/>
          <w:sz w:val="26"/>
          <w:szCs w:val="26"/>
          <w:lang w:val="lt-LT"/>
        </w:rPr>
        <w:t>apibendrinimas</w:t>
      </w:r>
      <w:r w:rsidR="00140C30" w:rsidRPr="00B62BD4">
        <w:rPr>
          <w:sz w:val="26"/>
          <w:szCs w:val="26"/>
          <w:lang w:val="lt-LT"/>
        </w:rPr>
        <w:t>,</w:t>
      </w:r>
      <w:r w:rsidR="00E43FC1" w:rsidRPr="00B62BD4">
        <w:rPr>
          <w:sz w:val="26"/>
          <w:szCs w:val="26"/>
          <w:lang w:val="lt-LT"/>
        </w:rPr>
        <w:t xml:space="preserve"> </w:t>
      </w:r>
      <w:r w:rsidR="003A4A61" w:rsidRPr="00B62BD4">
        <w:rPr>
          <w:sz w:val="26"/>
          <w:szCs w:val="26"/>
          <w:lang w:val="lt-LT"/>
        </w:rPr>
        <w:lastRenderedPageBreak/>
        <w:t xml:space="preserve">kas </w:t>
      </w:r>
      <w:r w:rsidR="00187CC2" w:rsidRPr="00B62BD4">
        <w:rPr>
          <w:sz w:val="26"/>
          <w:szCs w:val="26"/>
          <w:lang w:val="lt-LT"/>
        </w:rPr>
        <w:t>leistų sufor</w:t>
      </w:r>
      <w:r w:rsidR="00187CC2">
        <w:rPr>
          <w:sz w:val="26"/>
          <w:szCs w:val="26"/>
          <w:lang w:val="lt-LT"/>
        </w:rPr>
        <w:t xml:space="preserve">muoti </w:t>
      </w:r>
      <w:r w:rsidR="00511F39">
        <w:rPr>
          <w:sz w:val="26"/>
          <w:szCs w:val="26"/>
          <w:lang w:val="lt-LT"/>
        </w:rPr>
        <w:t>vieningą</w:t>
      </w:r>
      <w:r w:rsidR="003A4A61">
        <w:rPr>
          <w:sz w:val="26"/>
          <w:szCs w:val="26"/>
          <w:lang w:val="lt-LT"/>
        </w:rPr>
        <w:t xml:space="preserve"> </w:t>
      </w:r>
      <w:r w:rsidR="00511F39">
        <w:rPr>
          <w:sz w:val="26"/>
          <w:szCs w:val="26"/>
          <w:lang w:val="lt-LT"/>
        </w:rPr>
        <w:t xml:space="preserve">audito rizikos komponentų lygio </w:t>
      </w:r>
      <w:r w:rsidR="004631A1">
        <w:rPr>
          <w:sz w:val="26"/>
          <w:szCs w:val="26"/>
          <w:lang w:val="lt-LT"/>
        </w:rPr>
        <w:t>į</w:t>
      </w:r>
      <w:r w:rsidR="003A4A61">
        <w:rPr>
          <w:sz w:val="26"/>
          <w:szCs w:val="26"/>
          <w:lang w:val="lt-LT"/>
        </w:rPr>
        <w:t>vertinimo praktiką</w:t>
      </w:r>
      <w:r w:rsidR="000B6C00">
        <w:rPr>
          <w:sz w:val="26"/>
          <w:szCs w:val="26"/>
          <w:lang w:val="lt-LT"/>
        </w:rPr>
        <w:t>.</w:t>
      </w:r>
      <w:r w:rsidR="00CE305A" w:rsidRPr="00DA03DC">
        <w:rPr>
          <w:sz w:val="26"/>
          <w:szCs w:val="26"/>
          <w:lang w:val="lt-LT"/>
        </w:rPr>
        <w:t xml:space="preserve"> </w:t>
      </w:r>
      <w:r w:rsidR="004631A1">
        <w:rPr>
          <w:sz w:val="26"/>
          <w:szCs w:val="26"/>
          <w:lang w:val="lt-LT"/>
        </w:rPr>
        <w:t>Kadangi t</w:t>
      </w:r>
      <w:r w:rsidR="000B4488">
        <w:rPr>
          <w:sz w:val="26"/>
          <w:szCs w:val="26"/>
          <w:lang w:val="lt-LT"/>
        </w:rPr>
        <w:t>oki</w:t>
      </w:r>
      <w:r w:rsidR="00511F39">
        <w:rPr>
          <w:sz w:val="26"/>
          <w:szCs w:val="26"/>
          <w:lang w:val="lt-LT"/>
        </w:rPr>
        <w:t>a</w:t>
      </w:r>
      <w:r w:rsidR="00B62BD4">
        <w:rPr>
          <w:sz w:val="26"/>
          <w:szCs w:val="26"/>
          <w:lang w:val="lt-LT"/>
        </w:rPr>
        <w:t xml:space="preserve"> </w:t>
      </w:r>
      <w:r w:rsidR="00511F39">
        <w:rPr>
          <w:sz w:val="26"/>
          <w:szCs w:val="26"/>
          <w:lang w:val="lt-LT"/>
        </w:rPr>
        <w:t xml:space="preserve">metodika </w:t>
      </w:r>
      <w:r w:rsidR="000B4488">
        <w:rPr>
          <w:sz w:val="26"/>
          <w:szCs w:val="26"/>
          <w:lang w:val="lt-LT"/>
        </w:rPr>
        <w:t>nepa</w:t>
      </w:r>
      <w:r w:rsidR="00511F39">
        <w:rPr>
          <w:sz w:val="26"/>
          <w:szCs w:val="26"/>
          <w:lang w:val="lt-LT"/>
        </w:rPr>
        <w:t xml:space="preserve">teikiama </w:t>
      </w:r>
      <w:r w:rsidR="00B62BD4">
        <w:rPr>
          <w:sz w:val="26"/>
          <w:szCs w:val="26"/>
          <w:lang w:val="lt-LT"/>
        </w:rPr>
        <w:t>nagrinėtoje mokslinėje ir praktinėje literatūroje</w:t>
      </w:r>
      <w:r w:rsidR="004631A1">
        <w:rPr>
          <w:sz w:val="26"/>
          <w:szCs w:val="26"/>
          <w:lang w:val="lt-LT"/>
        </w:rPr>
        <w:t xml:space="preserve">, </w:t>
      </w:r>
      <w:r w:rsidR="00B62BD4">
        <w:rPr>
          <w:sz w:val="26"/>
          <w:szCs w:val="26"/>
          <w:lang w:val="lt-LT"/>
        </w:rPr>
        <w:t xml:space="preserve">tai </w:t>
      </w:r>
      <w:r w:rsidR="003A4A61">
        <w:rPr>
          <w:sz w:val="26"/>
          <w:szCs w:val="26"/>
          <w:lang w:val="lt-LT"/>
        </w:rPr>
        <w:t xml:space="preserve">darbo autorė susistemino </w:t>
      </w:r>
      <w:r w:rsidR="00171E4C" w:rsidRPr="00DA03DC">
        <w:rPr>
          <w:sz w:val="26"/>
          <w:szCs w:val="26"/>
          <w:lang w:val="lt-LT"/>
        </w:rPr>
        <w:t>audito rizikos komponentų</w:t>
      </w:r>
      <w:r w:rsidR="004631A1">
        <w:rPr>
          <w:sz w:val="26"/>
          <w:szCs w:val="26"/>
          <w:lang w:val="lt-LT"/>
        </w:rPr>
        <w:t xml:space="preserve"> įvertinimo gaires </w:t>
      </w:r>
      <w:r w:rsidR="000B4488">
        <w:rPr>
          <w:sz w:val="26"/>
          <w:szCs w:val="26"/>
          <w:lang w:val="lt-LT"/>
        </w:rPr>
        <w:t>pagal jas lemiančių sąlygų pasireiškimą</w:t>
      </w:r>
      <w:r w:rsidR="00171E4C" w:rsidRPr="00DA03DC">
        <w:rPr>
          <w:sz w:val="26"/>
          <w:szCs w:val="26"/>
          <w:lang w:val="lt-LT"/>
        </w:rPr>
        <w:t xml:space="preserve"> </w:t>
      </w:r>
      <w:r w:rsidR="00171E4C" w:rsidRPr="009844A4">
        <w:rPr>
          <w:b/>
          <w:sz w:val="26"/>
          <w:szCs w:val="26"/>
          <w:lang w:val="lt-LT"/>
        </w:rPr>
        <w:t>audito rizikos komponentų įvertinimo skalėje</w:t>
      </w:r>
      <w:r w:rsidR="00511F39" w:rsidRPr="00511F39">
        <w:rPr>
          <w:sz w:val="26"/>
          <w:szCs w:val="26"/>
          <w:lang w:val="lt-LT"/>
        </w:rPr>
        <w:t xml:space="preserve"> (žr.</w:t>
      </w:r>
      <w:r w:rsidR="00171E4C" w:rsidRPr="00511F39">
        <w:rPr>
          <w:sz w:val="26"/>
          <w:szCs w:val="26"/>
          <w:lang w:val="lt-LT"/>
        </w:rPr>
        <w:t xml:space="preserve"> 2</w:t>
      </w:r>
      <w:r w:rsidR="009E7470">
        <w:rPr>
          <w:sz w:val="26"/>
          <w:szCs w:val="26"/>
          <w:lang w:val="lt-LT"/>
        </w:rPr>
        <w:t>3</w:t>
      </w:r>
      <w:r w:rsidR="00171E4C" w:rsidRPr="00DA03DC">
        <w:rPr>
          <w:sz w:val="26"/>
          <w:szCs w:val="26"/>
          <w:lang w:val="lt-LT"/>
        </w:rPr>
        <w:t xml:space="preserve"> lentelė</w:t>
      </w:r>
      <w:r w:rsidR="00511F39">
        <w:rPr>
          <w:sz w:val="26"/>
          <w:szCs w:val="26"/>
          <w:lang w:val="lt-LT"/>
        </w:rPr>
        <w:t>)</w:t>
      </w:r>
      <w:r w:rsidR="00171E4C" w:rsidRPr="00DA03DC">
        <w:rPr>
          <w:sz w:val="26"/>
          <w:szCs w:val="26"/>
          <w:lang w:val="lt-LT"/>
        </w:rPr>
        <w:t>.</w:t>
      </w:r>
      <w:r w:rsidR="003A4A61">
        <w:rPr>
          <w:sz w:val="26"/>
          <w:szCs w:val="26"/>
          <w:lang w:val="lt-LT"/>
        </w:rPr>
        <w:t xml:space="preserve"> </w:t>
      </w:r>
      <w:r w:rsidR="00D66432" w:rsidRPr="00DA03DC">
        <w:rPr>
          <w:sz w:val="26"/>
          <w:szCs w:val="26"/>
          <w:lang w:val="lt-LT"/>
        </w:rPr>
        <w:t xml:space="preserve">Pagal </w:t>
      </w:r>
      <w:r w:rsidR="0035347D">
        <w:rPr>
          <w:sz w:val="26"/>
          <w:szCs w:val="26"/>
          <w:lang w:val="lt-LT"/>
        </w:rPr>
        <w:t xml:space="preserve">šią </w:t>
      </w:r>
      <w:r w:rsidR="00D66432" w:rsidRPr="00DA03DC">
        <w:rPr>
          <w:sz w:val="26"/>
          <w:szCs w:val="26"/>
          <w:lang w:val="lt-LT"/>
        </w:rPr>
        <w:t xml:space="preserve">skalę: </w:t>
      </w:r>
    </w:p>
    <w:p w:rsidR="00D66432" w:rsidRPr="00DA03DC" w:rsidRDefault="00D66432" w:rsidP="00D66432">
      <w:pPr>
        <w:spacing w:line="360" w:lineRule="auto"/>
        <w:ind w:firstLine="720"/>
        <w:jc w:val="both"/>
        <w:rPr>
          <w:sz w:val="26"/>
          <w:szCs w:val="26"/>
          <w:lang w:val="lt-LT"/>
        </w:rPr>
      </w:pPr>
      <w:r w:rsidRPr="00DA03DC">
        <w:rPr>
          <w:sz w:val="26"/>
          <w:szCs w:val="26"/>
          <w:lang w:val="lt-LT"/>
        </w:rPr>
        <w:t xml:space="preserve">1) audituojamos įmonės verslo rizika, pasireiškianti finansinių ataskaitų lygmeniu, </w:t>
      </w:r>
      <w:r w:rsidR="006F314E">
        <w:rPr>
          <w:sz w:val="26"/>
          <w:szCs w:val="26"/>
          <w:lang w:val="lt-LT"/>
        </w:rPr>
        <w:t>įvertinama</w:t>
      </w:r>
      <w:r w:rsidRPr="00DA03DC">
        <w:rPr>
          <w:sz w:val="26"/>
          <w:szCs w:val="26"/>
          <w:lang w:val="lt-LT"/>
        </w:rPr>
        <w:t xml:space="preserve"> atsižvelgiant į audituojamos įmonės išorės aplinkos sąlygas, įvykius ir aplinkybes, kurios gali paveikti šios įmonės gebėjimą pasiekti savo tikslus ir vystyti strategijas; </w:t>
      </w:r>
    </w:p>
    <w:p w:rsidR="00D66432" w:rsidRDefault="00D66432" w:rsidP="00D66432">
      <w:pPr>
        <w:spacing w:line="360" w:lineRule="auto"/>
        <w:ind w:firstLine="720"/>
        <w:jc w:val="both"/>
        <w:rPr>
          <w:sz w:val="26"/>
          <w:szCs w:val="26"/>
          <w:lang w:val="lt-LT"/>
        </w:rPr>
      </w:pPr>
      <w:r w:rsidRPr="00DA03DC">
        <w:rPr>
          <w:sz w:val="26"/>
          <w:szCs w:val="26"/>
          <w:lang w:val="lt-LT"/>
        </w:rPr>
        <w:t xml:space="preserve">2) įmonės rizika, pasireiškianti finansinių ataskaitų lygmeniu, </w:t>
      </w:r>
      <w:r w:rsidR="006F314E">
        <w:rPr>
          <w:sz w:val="26"/>
          <w:szCs w:val="26"/>
          <w:lang w:val="lt-LT"/>
        </w:rPr>
        <w:t>nustatoma</w:t>
      </w:r>
      <w:r w:rsidRPr="00DA03DC">
        <w:rPr>
          <w:sz w:val="26"/>
          <w:szCs w:val="26"/>
          <w:lang w:val="lt-LT"/>
        </w:rPr>
        <w:t xml:space="preserve"> atsižvelgiant į audituojamos įmonės vid</w:t>
      </w:r>
      <w:r>
        <w:rPr>
          <w:sz w:val="26"/>
          <w:szCs w:val="26"/>
          <w:lang w:val="lt-LT"/>
        </w:rPr>
        <w:t>aus</w:t>
      </w:r>
      <w:r w:rsidRPr="00DA03DC">
        <w:rPr>
          <w:sz w:val="26"/>
          <w:szCs w:val="26"/>
          <w:lang w:val="lt-LT"/>
        </w:rPr>
        <w:t xml:space="preserve"> aplinką, kurią apsprendžia strateginės, valdymo ir vidaus kontrolės, veiklos bei apskaitos sąlygos, taip pat </w:t>
      </w:r>
      <w:r w:rsidR="006F314E">
        <w:rPr>
          <w:sz w:val="26"/>
          <w:szCs w:val="26"/>
          <w:lang w:val="lt-LT"/>
        </w:rPr>
        <w:t xml:space="preserve">pagal </w:t>
      </w:r>
      <w:r w:rsidRPr="00DA03DC">
        <w:rPr>
          <w:sz w:val="26"/>
          <w:szCs w:val="26"/>
          <w:lang w:val="lt-LT"/>
        </w:rPr>
        <w:t xml:space="preserve">vadovybės vykdomus veiksmus, trukdančius sėkmingai įmonei vykdyti veiklą; </w:t>
      </w:r>
    </w:p>
    <w:p w:rsidR="003A4A61" w:rsidRPr="00DA03DC" w:rsidRDefault="003A4A61" w:rsidP="003A4A61">
      <w:pPr>
        <w:spacing w:line="360" w:lineRule="auto"/>
        <w:ind w:firstLine="720"/>
        <w:jc w:val="both"/>
        <w:rPr>
          <w:sz w:val="26"/>
          <w:szCs w:val="26"/>
          <w:lang w:val="lt-LT"/>
        </w:rPr>
      </w:pPr>
      <w:r w:rsidRPr="00DA03DC">
        <w:rPr>
          <w:sz w:val="26"/>
          <w:szCs w:val="26"/>
          <w:lang w:val="lt-LT"/>
        </w:rPr>
        <w:t xml:space="preserve">3) apgaulės rizika finansinių ataskaitų lygmeniu turi </w:t>
      </w:r>
      <w:r>
        <w:rPr>
          <w:sz w:val="26"/>
          <w:szCs w:val="26"/>
          <w:lang w:val="lt-LT"/>
        </w:rPr>
        <w:t xml:space="preserve">būti </w:t>
      </w:r>
      <w:r w:rsidRPr="00DA03DC">
        <w:rPr>
          <w:sz w:val="26"/>
          <w:szCs w:val="26"/>
          <w:lang w:val="lt-LT"/>
        </w:rPr>
        <w:t>nustatoma pagal „apgaulės rombo“ sąlygų – paskatos/spaudimas, galimybės, požiūris/racionalizacija ir sugebėjimai – galimą pasireiškimą. Visos keturios sąlygos, susijusios su konkrečia apgaule, turi būti išsiaiškinamos</w:t>
      </w:r>
      <w:r w:rsidR="00511F39">
        <w:rPr>
          <w:sz w:val="26"/>
          <w:szCs w:val="26"/>
          <w:lang w:val="lt-LT"/>
        </w:rPr>
        <w:t>. Todėl kai</w:t>
      </w:r>
      <w:r w:rsidR="009D6002">
        <w:rPr>
          <w:sz w:val="26"/>
          <w:szCs w:val="26"/>
          <w:lang w:val="lt-LT"/>
        </w:rPr>
        <w:t xml:space="preserve"> nors </w:t>
      </w:r>
      <w:r w:rsidRPr="00DA03DC">
        <w:rPr>
          <w:sz w:val="26"/>
          <w:szCs w:val="26"/>
          <w:lang w:val="lt-LT"/>
        </w:rPr>
        <w:t xml:space="preserve">vienos jų nustatyti nepavyksta, tai negalima laikyti, kad apgaulės rizika yra; </w:t>
      </w:r>
    </w:p>
    <w:p w:rsidR="003A4A61" w:rsidRPr="00DA03DC" w:rsidRDefault="003A4A61" w:rsidP="003A4A61">
      <w:pPr>
        <w:spacing w:line="360" w:lineRule="auto"/>
        <w:ind w:firstLine="720"/>
        <w:jc w:val="both"/>
        <w:rPr>
          <w:sz w:val="26"/>
          <w:szCs w:val="26"/>
          <w:lang w:val="lt-LT"/>
        </w:rPr>
      </w:pPr>
      <w:r w:rsidRPr="00DA03DC">
        <w:rPr>
          <w:sz w:val="26"/>
          <w:szCs w:val="26"/>
          <w:lang w:val="lt-LT"/>
        </w:rPr>
        <w:t xml:space="preserve">4) įgimta rizika tvirtinimo lygmeniu turėtų būti </w:t>
      </w:r>
      <w:r>
        <w:rPr>
          <w:sz w:val="26"/>
          <w:szCs w:val="26"/>
          <w:lang w:val="lt-LT"/>
        </w:rPr>
        <w:t xml:space="preserve">įvertinama </w:t>
      </w:r>
      <w:r w:rsidRPr="00DA03DC">
        <w:rPr>
          <w:sz w:val="26"/>
          <w:szCs w:val="26"/>
          <w:lang w:val="lt-LT"/>
        </w:rPr>
        <w:t xml:space="preserve">atsižvelgiant į tai, kiek finansinių ataskaitų elemento ir/ar jo tvirtinimo pobūdį lemia neįprastumas, </w:t>
      </w:r>
      <w:r w:rsidR="00B0782E">
        <w:rPr>
          <w:sz w:val="26"/>
          <w:szCs w:val="26"/>
          <w:lang w:val="lt-LT"/>
        </w:rPr>
        <w:t xml:space="preserve">jo </w:t>
      </w:r>
      <w:r w:rsidRPr="00DA03DC">
        <w:rPr>
          <w:sz w:val="26"/>
          <w:szCs w:val="26"/>
          <w:lang w:val="lt-LT"/>
        </w:rPr>
        <w:t>vertinė išraišk</w:t>
      </w:r>
      <w:r w:rsidR="00B0782E">
        <w:rPr>
          <w:sz w:val="26"/>
          <w:szCs w:val="26"/>
          <w:lang w:val="lt-LT"/>
        </w:rPr>
        <w:t>a</w:t>
      </w:r>
      <w:r w:rsidRPr="00DA03DC">
        <w:rPr>
          <w:sz w:val="26"/>
          <w:szCs w:val="26"/>
          <w:lang w:val="lt-LT"/>
        </w:rPr>
        <w:t>, sudėtingų skaičiavimų ar subjektyvių sprendimų laipsnis, turto jautrumas neteisėtam pasisavinimui, anks</w:t>
      </w:r>
      <w:r w:rsidR="009D6002">
        <w:rPr>
          <w:sz w:val="26"/>
          <w:szCs w:val="26"/>
          <w:lang w:val="lt-LT"/>
        </w:rPr>
        <w:t xml:space="preserve">tesnių auditų metu </w:t>
      </w:r>
      <w:r w:rsidRPr="00DA03DC">
        <w:rPr>
          <w:sz w:val="26"/>
          <w:szCs w:val="26"/>
          <w:lang w:val="lt-LT"/>
        </w:rPr>
        <w:t xml:space="preserve">nustatytų iškraipymų mastas bei kitos audituojamos įmonės aplinkos sąlygos; ir </w:t>
      </w:r>
    </w:p>
    <w:p w:rsidR="003A4A61" w:rsidRDefault="003A4A61" w:rsidP="003A4A61">
      <w:pPr>
        <w:spacing w:line="360" w:lineRule="auto"/>
        <w:ind w:firstLine="720"/>
        <w:jc w:val="both"/>
        <w:rPr>
          <w:sz w:val="26"/>
          <w:szCs w:val="26"/>
          <w:lang w:val="lt-LT"/>
        </w:rPr>
      </w:pPr>
      <w:r w:rsidRPr="00DA03DC">
        <w:rPr>
          <w:sz w:val="26"/>
          <w:szCs w:val="26"/>
          <w:lang w:val="lt-LT"/>
        </w:rPr>
        <w:t>5) kontrolės rizika tvirtinimo lygmeniu</w:t>
      </w:r>
      <w:r w:rsidR="009D6002">
        <w:rPr>
          <w:sz w:val="26"/>
          <w:szCs w:val="26"/>
          <w:lang w:val="lt-LT"/>
        </w:rPr>
        <w:t xml:space="preserve"> įvertinama</w:t>
      </w:r>
      <w:r w:rsidRPr="00DA03DC">
        <w:rPr>
          <w:sz w:val="26"/>
          <w:szCs w:val="26"/>
          <w:lang w:val="lt-LT"/>
        </w:rPr>
        <w:t xml:space="preserve"> pagal auditoriaus planuojamą/nustatytą įmonės vidaus kontrolės sistemos veiksmingumą.</w:t>
      </w:r>
    </w:p>
    <w:p w:rsidR="009954D3" w:rsidRDefault="009954D3" w:rsidP="003A4A61">
      <w:pPr>
        <w:spacing w:line="360" w:lineRule="auto"/>
        <w:ind w:firstLine="720"/>
        <w:jc w:val="both"/>
        <w:rPr>
          <w:sz w:val="26"/>
          <w:szCs w:val="26"/>
          <w:lang w:val="lt-LT"/>
        </w:rPr>
      </w:pPr>
    </w:p>
    <w:p w:rsidR="00C011F2" w:rsidRDefault="00C011F2" w:rsidP="003A4A61">
      <w:pPr>
        <w:spacing w:line="360" w:lineRule="auto"/>
        <w:ind w:firstLine="720"/>
        <w:jc w:val="both"/>
        <w:rPr>
          <w:sz w:val="26"/>
          <w:szCs w:val="26"/>
          <w:lang w:val="lt-LT"/>
        </w:rPr>
      </w:pPr>
    </w:p>
    <w:p w:rsidR="00C011F2" w:rsidRDefault="00C011F2" w:rsidP="003A4A61">
      <w:pPr>
        <w:spacing w:line="360" w:lineRule="auto"/>
        <w:ind w:firstLine="720"/>
        <w:jc w:val="both"/>
        <w:rPr>
          <w:sz w:val="26"/>
          <w:szCs w:val="26"/>
          <w:lang w:val="lt-LT"/>
        </w:rPr>
      </w:pPr>
    </w:p>
    <w:p w:rsidR="000F49C5" w:rsidRPr="00126C83" w:rsidRDefault="005B7464" w:rsidP="00126C83">
      <w:pPr>
        <w:ind w:firstLine="720"/>
        <w:jc w:val="right"/>
        <w:rPr>
          <w:i/>
          <w:sz w:val="26"/>
          <w:szCs w:val="26"/>
          <w:lang w:val="lt-LT"/>
        </w:rPr>
      </w:pPr>
      <w:r w:rsidRPr="00DA03DC">
        <w:rPr>
          <w:b/>
          <w:sz w:val="26"/>
          <w:szCs w:val="26"/>
          <w:lang w:val="lt-LT"/>
        </w:rPr>
        <w:lastRenderedPageBreak/>
        <w:t>Audito rizikos kom</w:t>
      </w:r>
      <w:r w:rsidRPr="009E7470">
        <w:rPr>
          <w:b/>
          <w:sz w:val="26"/>
          <w:szCs w:val="26"/>
          <w:lang w:val="lt-LT"/>
        </w:rPr>
        <w:t xml:space="preserve">ponentų </w:t>
      </w:r>
      <w:r w:rsidR="00532A6E" w:rsidRPr="009E7470">
        <w:rPr>
          <w:b/>
          <w:sz w:val="26"/>
          <w:szCs w:val="26"/>
          <w:lang w:val="lt-LT"/>
        </w:rPr>
        <w:t>įvertinimo</w:t>
      </w:r>
      <w:r w:rsidRPr="009E7470">
        <w:rPr>
          <w:b/>
          <w:sz w:val="26"/>
          <w:szCs w:val="26"/>
          <w:lang w:val="lt-LT"/>
        </w:rPr>
        <w:t xml:space="preserve"> skalė</w:t>
      </w:r>
      <w:r w:rsidR="00126C83" w:rsidRPr="009E7470">
        <w:rPr>
          <w:b/>
          <w:sz w:val="26"/>
          <w:szCs w:val="26"/>
          <w:lang w:val="lt-LT"/>
        </w:rPr>
        <w:t xml:space="preserve"> </w:t>
      </w:r>
      <w:r w:rsidR="00126C83" w:rsidRPr="009E7470">
        <w:rPr>
          <w:b/>
          <w:sz w:val="26"/>
          <w:szCs w:val="26"/>
          <w:lang w:val="lt-LT"/>
        </w:rPr>
        <w:tab/>
      </w:r>
      <w:r w:rsidR="00126C83" w:rsidRPr="009E7470">
        <w:rPr>
          <w:b/>
          <w:sz w:val="26"/>
          <w:szCs w:val="26"/>
          <w:lang w:val="lt-LT"/>
        </w:rPr>
        <w:tab/>
      </w:r>
      <w:r w:rsidR="00126C83" w:rsidRPr="00DA03DC">
        <w:rPr>
          <w:i/>
          <w:sz w:val="26"/>
          <w:szCs w:val="26"/>
          <w:lang w:val="lt-LT"/>
        </w:rPr>
        <w:t>2</w:t>
      </w:r>
      <w:r w:rsidR="009E7470">
        <w:rPr>
          <w:i/>
          <w:sz w:val="26"/>
          <w:szCs w:val="26"/>
          <w:lang w:val="lt-LT"/>
        </w:rPr>
        <w:t>3</w:t>
      </w:r>
      <w:r w:rsidR="00126C83" w:rsidRPr="00DA03DC">
        <w:rPr>
          <w:i/>
          <w:sz w:val="26"/>
          <w:szCs w:val="26"/>
          <w:lang w:val="lt-LT"/>
        </w:rPr>
        <w:t xml:space="preserve"> lentelė</w:t>
      </w:r>
    </w:p>
    <w:tbl>
      <w:tblPr>
        <w:tblStyle w:val="TableGrid"/>
        <w:tblpPr w:leftFromText="180" w:rightFromText="180" w:vertAnchor="text" w:tblpXSpec="center" w:tblpY="1"/>
        <w:tblOverlap w:val="never"/>
        <w:tblW w:w="0" w:type="auto"/>
        <w:tblLayout w:type="fixed"/>
        <w:tblCellMar>
          <w:left w:w="28" w:type="dxa"/>
          <w:right w:w="28" w:type="dxa"/>
        </w:tblCellMar>
        <w:tblLook w:val="04A0"/>
      </w:tblPr>
      <w:tblGrid>
        <w:gridCol w:w="595"/>
        <w:gridCol w:w="1073"/>
        <w:gridCol w:w="6620"/>
      </w:tblGrid>
      <w:tr w:rsidR="003E2281" w:rsidRPr="00DA03DC" w:rsidTr="00D66432">
        <w:trPr>
          <w:trHeight w:hRule="exact" w:val="737"/>
        </w:trPr>
        <w:tc>
          <w:tcPr>
            <w:tcW w:w="1668"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rsidR="003E2281" w:rsidRPr="00D66432" w:rsidRDefault="000F49C5" w:rsidP="00A543BF">
            <w:pPr>
              <w:pStyle w:val="NormalWeb"/>
              <w:spacing w:before="0" w:beforeAutospacing="0" w:after="0" w:afterAutospacing="0"/>
              <w:jc w:val="center"/>
              <w:rPr>
                <w:b/>
                <w:sz w:val="21"/>
                <w:szCs w:val="21"/>
                <w:lang w:val="lt-LT"/>
              </w:rPr>
            </w:pPr>
            <w:r w:rsidRPr="00D66432">
              <w:rPr>
                <w:b/>
                <w:sz w:val="21"/>
                <w:szCs w:val="21"/>
                <w:lang w:val="lt-LT"/>
              </w:rPr>
              <w:t>finansinių ataskaitų lygmeniu</w:t>
            </w:r>
          </w:p>
        </w:tc>
        <w:tc>
          <w:tcPr>
            <w:tcW w:w="6620" w:type="dxa"/>
            <w:tcBorders>
              <w:top w:val="single" w:sz="12" w:space="0" w:color="auto"/>
              <w:left w:val="single" w:sz="2" w:space="0" w:color="auto"/>
              <w:bottom w:val="single" w:sz="2" w:space="0" w:color="auto"/>
              <w:right w:val="single" w:sz="12" w:space="0" w:color="auto"/>
            </w:tcBorders>
            <w:shd w:val="clear" w:color="auto" w:fill="FFFFFF" w:themeFill="background1"/>
            <w:vAlign w:val="center"/>
          </w:tcPr>
          <w:p w:rsidR="003E2281" w:rsidRPr="00D66432" w:rsidRDefault="006E2B6D" w:rsidP="00454D79">
            <w:pPr>
              <w:pStyle w:val="NormalWeb"/>
              <w:spacing w:before="0" w:beforeAutospacing="0" w:after="0" w:afterAutospacing="0"/>
              <w:jc w:val="center"/>
              <w:rPr>
                <w:b/>
                <w:sz w:val="21"/>
                <w:szCs w:val="21"/>
                <w:lang w:val="lt-LT"/>
              </w:rPr>
            </w:pPr>
            <w:r w:rsidRPr="00D66432">
              <w:rPr>
                <w:b/>
                <w:sz w:val="21"/>
                <w:szCs w:val="21"/>
                <w:lang w:val="lt-LT"/>
              </w:rPr>
              <w:t>Įmonės i</w:t>
            </w:r>
            <w:r w:rsidR="00FD2A6A" w:rsidRPr="00D66432">
              <w:rPr>
                <w:b/>
                <w:sz w:val="21"/>
                <w:szCs w:val="21"/>
                <w:lang w:val="lt-LT"/>
              </w:rPr>
              <w:t>šor</w:t>
            </w:r>
            <w:r w:rsidR="00454D79" w:rsidRPr="00D66432">
              <w:rPr>
                <w:b/>
                <w:sz w:val="21"/>
                <w:szCs w:val="21"/>
                <w:lang w:val="lt-LT"/>
              </w:rPr>
              <w:t>ės</w:t>
            </w:r>
            <w:r w:rsidR="00FD2A6A" w:rsidRPr="00D66432">
              <w:rPr>
                <w:b/>
                <w:sz w:val="21"/>
                <w:szCs w:val="21"/>
                <w:lang w:val="lt-LT"/>
              </w:rPr>
              <w:t xml:space="preserve"> aplinka</w:t>
            </w:r>
            <w:r w:rsidRPr="00D66432">
              <w:rPr>
                <w:b/>
                <w:sz w:val="21"/>
                <w:szCs w:val="21"/>
                <w:lang w:val="lt-LT"/>
              </w:rPr>
              <w:t xml:space="preserve"> (ekonominės-politinės, reguliavimo, konkurencinės sąlygos)</w:t>
            </w:r>
          </w:p>
        </w:tc>
      </w:tr>
      <w:tr w:rsidR="000F49C5" w:rsidRPr="00DA03DC" w:rsidTr="00D66432">
        <w:tc>
          <w:tcPr>
            <w:tcW w:w="595" w:type="dxa"/>
            <w:vMerge w:val="restart"/>
            <w:tcBorders>
              <w:top w:val="single" w:sz="2" w:space="0" w:color="auto"/>
              <w:left w:val="single" w:sz="12" w:space="0" w:color="auto"/>
              <w:bottom w:val="single" w:sz="2" w:space="0" w:color="auto"/>
              <w:right w:val="single" w:sz="2" w:space="0" w:color="auto"/>
            </w:tcBorders>
            <w:shd w:val="clear" w:color="auto" w:fill="FFFFFF" w:themeFill="background1"/>
            <w:textDirection w:val="btLr"/>
            <w:vAlign w:val="center"/>
          </w:tcPr>
          <w:p w:rsidR="000F49C5" w:rsidRPr="00D66432" w:rsidRDefault="000F49C5" w:rsidP="00126C83">
            <w:pPr>
              <w:pStyle w:val="NormalWeb"/>
              <w:spacing w:before="0" w:beforeAutospacing="0" w:after="0" w:afterAutospacing="0"/>
              <w:ind w:left="113" w:right="113"/>
              <w:jc w:val="center"/>
              <w:rPr>
                <w:b/>
                <w:sz w:val="21"/>
                <w:szCs w:val="21"/>
                <w:lang w:val="lt-LT"/>
              </w:rPr>
            </w:pPr>
            <w:r w:rsidRPr="00D66432">
              <w:rPr>
                <w:b/>
                <w:sz w:val="21"/>
                <w:szCs w:val="21"/>
                <w:lang w:val="lt-LT"/>
              </w:rPr>
              <w:t>Verslo rizika</w:t>
            </w: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0F49C5" w:rsidRPr="00D66432" w:rsidRDefault="000F49C5" w:rsidP="00A543BF">
            <w:pPr>
              <w:pStyle w:val="NormalWeb"/>
              <w:spacing w:before="0" w:beforeAutospacing="0" w:after="0" w:afterAutospacing="0"/>
              <w:jc w:val="both"/>
              <w:rPr>
                <w:b/>
                <w:sz w:val="21"/>
                <w:szCs w:val="21"/>
                <w:lang w:val="lt-LT"/>
              </w:rPr>
            </w:pPr>
            <w:r w:rsidRPr="00D66432">
              <w:rPr>
                <w:b/>
                <w:sz w:val="21"/>
                <w:szCs w:val="21"/>
                <w:lang w:val="lt-LT"/>
              </w:rPr>
              <w:t>Maža</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w:t>
            </w:r>
            <w:r w:rsidRPr="00D66432">
              <w:rPr>
                <w:b/>
                <w:sz w:val="21"/>
                <w:szCs w:val="21"/>
                <w:lang w:val="lt-LT"/>
              </w:rPr>
              <w:t>0-40</w:t>
            </w:r>
            <w:r w:rsidRPr="00D66432">
              <w:rPr>
                <w:b/>
                <w:sz w:val="21"/>
                <w:szCs w:val="21"/>
                <w:lang w:val="ru-RU"/>
              </w:rPr>
              <w:t>%)</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0F49C5" w:rsidRPr="00D66432" w:rsidRDefault="00DC5CD8" w:rsidP="005E627E">
            <w:pPr>
              <w:pStyle w:val="NormalWeb"/>
              <w:spacing w:before="0" w:beforeAutospacing="0" w:after="0" w:afterAutospacing="0"/>
              <w:rPr>
                <w:sz w:val="21"/>
                <w:szCs w:val="21"/>
                <w:lang w:val="lt-LT"/>
              </w:rPr>
            </w:pPr>
            <w:r w:rsidRPr="00D66432">
              <w:rPr>
                <w:sz w:val="21"/>
                <w:szCs w:val="21"/>
                <w:lang w:val="lt-LT"/>
              </w:rPr>
              <w:t xml:space="preserve">Nėra </w:t>
            </w:r>
            <w:r w:rsidR="005E627E" w:rsidRPr="00D66432">
              <w:rPr>
                <w:sz w:val="21"/>
                <w:szCs w:val="21"/>
                <w:lang w:val="lt-LT"/>
              </w:rPr>
              <w:t xml:space="preserve">svarbių ekonominių-politinių, reguliavimo ir konkurencinių </w:t>
            </w:r>
            <w:r w:rsidRPr="00D66432">
              <w:rPr>
                <w:sz w:val="21"/>
                <w:szCs w:val="21"/>
                <w:lang w:val="lt-LT"/>
              </w:rPr>
              <w:t>sąlygų, įvykių, aplinkybių, gali</w:t>
            </w:r>
            <w:r w:rsidR="005E627E" w:rsidRPr="00D66432">
              <w:rPr>
                <w:sz w:val="21"/>
                <w:szCs w:val="21"/>
                <w:lang w:val="lt-LT"/>
              </w:rPr>
              <w:t>nčių</w:t>
            </w:r>
            <w:r w:rsidRPr="00D66432">
              <w:rPr>
                <w:sz w:val="21"/>
                <w:szCs w:val="21"/>
                <w:lang w:val="lt-LT"/>
              </w:rPr>
              <w:t xml:space="preserve"> paveikti įmonės gebėjimą pasiekti savo tikslus ir vystyti strategijas</w:t>
            </w:r>
          </w:p>
        </w:tc>
      </w:tr>
      <w:tr w:rsidR="000F49C5" w:rsidRPr="00DA03DC" w:rsidTr="00D66432">
        <w:tc>
          <w:tcPr>
            <w:tcW w:w="595"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0F49C5" w:rsidRPr="00D66432" w:rsidRDefault="000F49C5" w:rsidP="00A543BF">
            <w:pPr>
              <w:pStyle w:val="NormalWeb"/>
              <w:spacing w:before="0" w:beforeAutospacing="0" w:after="0" w:afterAutospacing="0"/>
              <w:jc w:val="center"/>
              <w:rPr>
                <w:b/>
                <w:sz w:val="21"/>
                <w:szCs w:val="21"/>
                <w:lang w:val="lt-LT"/>
              </w:rPr>
            </w:pP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0F49C5" w:rsidRPr="00D66432" w:rsidRDefault="000F49C5" w:rsidP="00A543BF">
            <w:pPr>
              <w:pStyle w:val="NormalWeb"/>
              <w:spacing w:before="0" w:beforeAutospacing="0" w:after="0" w:afterAutospacing="0"/>
              <w:jc w:val="both"/>
              <w:rPr>
                <w:b/>
                <w:sz w:val="21"/>
                <w:szCs w:val="21"/>
                <w:lang w:val="ru-RU"/>
              </w:rPr>
            </w:pPr>
            <w:r w:rsidRPr="00D66432">
              <w:rPr>
                <w:b/>
                <w:sz w:val="21"/>
                <w:szCs w:val="21"/>
                <w:lang w:val="lt-LT"/>
              </w:rPr>
              <w:t>Vidutinė</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(41-60%)</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0F49C5" w:rsidRPr="00D66432" w:rsidRDefault="00DC5CD8" w:rsidP="00337A7E">
            <w:pPr>
              <w:pStyle w:val="NormalWeb"/>
              <w:spacing w:before="0" w:beforeAutospacing="0" w:after="0" w:afterAutospacing="0"/>
              <w:rPr>
                <w:b/>
                <w:sz w:val="21"/>
                <w:szCs w:val="21"/>
                <w:lang w:val="lt-LT"/>
              </w:rPr>
            </w:pPr>
            <w:r w:rsidRPr="00D66432">
              <w:rPr>
                <w:sz w:val="21"/>
                <w:szCs w:val="21"/>
                <w:lang w:val="lt-LT"/>
              </w:rPr>
              <w:t xml:space="preserve">Nėra </w:t>
            </w:r>
            <w:r w:rsidR="005E627E" w:rsidRPr="00D66432">
              <w:rPr>
                <w:sz w:val="21"/>
                <w:szCs w:val="21"/>
                <w:lang w:val="lt-LT"/>
              </w:rPr>
              <w:t xml:space="preserve">itin </w:t>
            </w:r>
            <w:r w:rsidRPr="00D66432">
              <w:rPr>
                <w:sz w:val="21"/>
                <w:szCs w:val="21"/>
                <w:lang w:val="lt-LT"/>
              </w:rPr>
              <w:t xml:space="preserve">svarbių </w:t>
            </w:r>
            <w:r w:rsidR="005E627E" w:rsidRPr="00D66432">
              <w:rPr>
                <w:sz w:val="21"/>
                <w:szCs w:val="21"/>
                <w:lang w:val="lt-LT"/>
              </w:rPr>
              <w:t xml:space="preserve">ekonominių-politinių, reguliavimo ir konkurencinių </w:t>
            </w:r>
            <w:r w:rsidRPr="00D66432">
              <w:rPr>
                <w:sz w:val="21"/>
                <w:szCs w:val="21"/>
                <w:lang w:val="lt-LT"/>
              </w:rPr>
              <w:t>sąlygų, įvykių, aplinkybių, gali</w:t>
            </w:r>
            <w:r w:rsidR="00337A7E" w:rsidRPr="00D66432">
              <w:rPr>
                <w:sz w:val="21"/>
                <w:szCs w:val="21"/>
                <w:lang w:val="lt-LT"/>
              </w:rPr>
              <w:t>nčių</w:t>
            </w:r>
            <w:r w:rsidRPr="00D66432">
              <w:rPr>
                <w:sz w:val="21"/>
                <w:szCs w:val="21"/>
                <w:lang w:val="lt-LT"/>
              </w:rPr>
              <w:t xml:space="preserve"> ne</w:t>
            </w:r>
            <w:r w:rsidR="00D67C84" w:rsidRPr="00D66432">
              <w:rPr>
                <w:sz w:val="21"/>
                <w:szCs w:val="21"/>
                <w:lang w:val="lt-LT"/>
              </w:rPr>
              <w:t xml:space="preserve">palankiai </w:t>
            </w:r>
            <w:r w:rsidRPr="00D66432">
              <w:rPr>
                <w:sz w:val="21"/>
                <w:szCs w:val="21"/>
                <w:lang w:val="lt-LT"/>
              </w:rPr>
              <w:t>paveikti įmonės gebėjimą pasiekti savo tikslus ir vystyti strategijas</w:t>
            </w:r>
          </w:p>
        </w:tc>
      </w:tr>
      <w:tr w:rsidR="000F49C5" w:rsidRPr="00DA03DC" w:rsidTr="00D66432">
        <w:tc>
          <w:tcPr>
            <w:tcW w:w="595" w:type="dxa"/>
            <w:vMerge/>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rsidR="000F49C5" w:rsidRPr="00D66432" w:rsidRDefault="000F49C5" w:rsidP="00A543BF">
            <w:pPr>
              <w:pStyle w:val="NormalWeb"/>
              <w:spacing w:before="0" w:beforeAutospacing="0" w:after="0" w:afterAutospacing="0"/>
              <w:jc w:val="center"/>
              <w:rPr>
                <w:b/>
                <w:sz w:val="21"/>
                <w:szCs w:val="21"/>
                <w:lang w:val="lt-LT"/>
              </w:rPr>
            </w:pPr>
          </w:p>
        </w:tc>
        <w:tc>
          <w:tcPr>
            <w:tcW w:w="1073" w:type="dxa"/>
            <w:tcBorders>
              <w:top w:val="single" w:sz="2" w:space="0" w:color="auto"/>
              <w:left w:val="single" w:sz="2" w:space="0" w:color="auto"/>
              <w:bottom w:val="single" w:sz="12" w:space="0" w:color="auto"/>
              <w:right w:val="single" w:sz="2" w:space="0" w:color="auto"/>
            </w:tcBorders>
            <w:shd w:val="clear" w:color="auto" w:fill="FFFFFF" w:themeFill="background1"/>
          </w:tcPr>
          <w:p w:rsidR="000F49C5" w:rsidRPr="00D66432" w:rsidRDefault="000F49C5" w:rsidP="00A543BF">
            <w:pPr>
              <w:pStyle w:val="NormalWeb"/>
              <w:spacing w:before="0" w:beforeAutospacing="0" w:after="0" w:afterAutospacing="0"/>
              <w:jc w:val="both"/>
              <w:rPr>
                <w:b/>
                <w:sz w:val="21"/>
                <w:szCs w:val="21"/>
                <w:lang w:val="ru-RU"/>
              </w:rPr>
            </w:pPr>
            <w:r w:rsidRPr="00D66432">
              <w:rPr>
                <w:b/>
                <w:sz w:val="21"/>
                <w:szCs w:val="21"/>
                <w:lang w:val="lt-LT"/>
              </w:rPr>
              <w:t>Didelė</w:t>
            </w:r>
          </w:p>
          <w:p w:rsidR="00A543BF" w:rsidRPr="00D66432" w:rsidRDefault="00A543BF" w:rsidP="00A543BF">
            <w:pPr>
              <w:pStyle w:val="NormalWeb"/>
              <w:spacing w:before="0" w:beforeAutospacing="0" w:after="0" w:afterAutospacing="0"/>
              <w:jc w:val="both"/>
              <w:rPr>
                <w:b/>
                <w:sz w:val="21"/>
                <w:szCs w:val="21"/>
                <w:lang w:val="lt-LT"/>
              </w:rPr>
            </w:pPr>
            <w:r w:rsidRPr="00D66432">
              <w:rPr>
                <w:b/>
                <w:sz w:val="21"/>
                <w:szCs w:val="21"/>
                <w:lang w:val="ru-RU"/>
              </w:rPr>
              <w:t>(61-100%)</w:t>
            </w:r>
          </w:p>
        </w:tc>
        <w:tc>
          <w:tcPr>
            <w:tcW w:w="6620" w:type="dxa"/>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rsidR="000F49C5" w:rsidRPr="00D66432" w:rsidRDefault="00DC5CD8" w:rsidP="005E627E">
            <w:pPr>
              <w:pStyle w:val="NormalWeb"/>
              <w:spacing w:before="0" w:beforeAutospacing="0" w:after="0" w:afterAutospacing="0"/>
              <w:rPr>
                <w:b/>
                <w:sz w:val="21"/>
                <w:szCs w:val="21"/>
                <w:lang w:val="lt-LT"/>
              </w:rPr>
            </w:pPr>
            <w:r w:rsidRPr="00D66432">
              <w:rPr>
                <w:sz w:val="21"/>
                <w:szCs w:val="21"/>
                <w:lang w:val="lt-LT"/>
              </w:rPr>
              <w:t xml:space="preserve">Egzistuoja svarbios </w:t>
            </w:r>
            <w:r w:rsidR="005E627E" w:rsidRPr="00D66432">
              <w:rPr>
                <w:sz w:val="21"/>
                <w:szCs w:val="21"/>
                <w:lang w:val="lt-LT"/>
              </w:rPr>
              <w:t xml:space="preserve">ekonominės-politinės, reguliavimo ir konkurencinės </w:t>
            </w:r>
            <w:r w:rsidRPr="00D66432">
              <w:rPr>
                <w:sz w:val="21"/>
                <w:szCs w:val="21"/>
                <w:lang w:val="lt-LT"/>
              </w:rPr>
              <w:t xml:space="preserve">sąlygos, įvykiai, aplinkybės, </w:t>
            </w:r>
            <w:r w:rsidR="006E2B6D" w:rsidRPr="00D66432">
              <w:rPr>
                <w:sz w:val="21"/>
                <w:szCs w:val="21"/>
                <w:lang w:val="lt-LT"/>
              </w:rPr>
              <w:t xml:space="preserve">galinčios </w:t>
            </w:r>
            <w:r w:rsidRPr="00D66432">
              <w:rPr>
                <w:sz w:val="21"/>
                <w:szCs w:val="21"/>
                <w:lang w:val="lt-LT"/>
              </w:rPr>
              <w:t>ne</w:t>
            </w:r>
            <w:r w:rsidR="00D67C84" w:rsidRPr="00D66432">
              <w:rPr>
                <w:sz w:val="21"/>
                <w:szCs w:val="21"/>
                <w:lang w:val="lt-LT"/>
              </w:rPr>
              <w:t>igiamai</w:t>
            </w:r>
            <w:r w:rsidRPr="00D66432">
              <w:rPr>
                <w:sz w:val="21"/>
                <w:szCs w:val="21"/>
                <w:lang w:val="lt-LT"/>
              </w:rPr>
              <w:t xml:space="preserve"> paveikti įmonės gebėjimą pasiekti savo tikslus ir vystyti strategijas</w:t>
            </w:r>
          </w:p>
        </w:tc>
      </w:tr>
      <w:tr w:rsidR="000F49C5" w:rsidRPr="00DA03DC" w:rsidTr="00D66432">
        <w:trPr>
          <w:trHeight w:val="737"/>
        </w:trPr>
        <w:tc>
          <w:tcPr>
            <w:tcW w:w="1668"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rsidR="000F49C5" w:rsidRPr="00D66432" w:rsidRDefault="000F49C5" w:rsidP="00A543BF">
            <w:pPr>
              <w:pStyle w:val="NormalWeb"/>
              <w:spacing w:before="0" w:beforeAutospacing="0" w:after="0" w:afterAutospacing="0"/>
              <w:jc w:val="center"/>
              <w:rPr>
                <w:b/>
                <w:sz w:val="21"/>
                <w:szCs w:val="21"/>
                <w:lang w:val="lt-LT"/>
              </w:rPr>
            </w:pPr>
            <w:r w:rsidRPr="00D66432">
              <w:rPr>
                <w:b/>
                <w:sz w:val="21"/>
                <w:szCs w:val="21"/>
                <w:lang w:val="lt-LT"/>
              </w:rPr>
              <w:t>finansinių ataskaitų lygmeniu</w:t>
            </w:r>
          </w:p>
        </w:tc>
        <w:tc>
          <w:tcPr>
            <w:tcW w:w="6620" w:type="dxa"/>
            <w:tcBorders>
              <w:top w:val="single" w:sz="12" w:space="0" w:color="auto"/>
              <w:left w:val="single" w:sz="2" w:space="0" w:color="auto"/>
              <w:bottom w:val="single" w:sz="2" w:space="0" w:color="auto"/>
              <w:right w:val="single" w:sz="12" w:space="0" w:color="auto"/>
            </w:tcBorders>
            <w:shd w:val="clear" w:color="auto" w:fill="FFFFFF" w:themeFill="background1"/>
            <w:vAlign w:val="center"/>
          </w:tcPr>
          <w:p w:rsidR="000F49C5" w:rsidRPr="00D66432" w:rsidRDefault="006E2B6D" w:rsidP="00454D79">
            <w:pPr>
              <w:pStyle w:val="NormalWeb"/>
              <w:spacing w:before="0" w:beforeAutospacing="0" w:after="0" w:afterAutospacing="0"/>
              <w:jc w:val="center"/>
              <w:rPr>
                <w:b/>
                <w:sz w:val="21"/>
                <w:szCs w:val="21"/>
                <w:lang w:val="lt-LT"/>
              </w:rPr>
            </w:pPr>
            <w:r w:rsidRPr="00D66432">
              <w:rPr>
                <w:b/>
                <w:sz w:val="21"/>
                <w:szCs w:val="21"/>
                <w:lang w:val="lt-LT"/>
              </w:rPr>
              <w:t>Įmonės vid</w:t>
            </w:r>
            <w:r w:rsidR="00454D79" w:rsidRPr="00D66432">
              <w:rPr>
                <w:b/>
                <w:sz w:val="21"/>
                <w:szCs w:val="21"/>
                <w:lang w:val="lt-LT"/>
              </w:rPr>
              <w:t>aus</w:t>
            </w:r>
            <w:r w:rsidRPr="00D66432">
              <w:rPr>
                <w:b/>
                <w:sz w:val="21"/>
                <w:szCs w:val="21"/>
                <w:lang w:val="lt-LT"/>
              </w:rPr>
              <w:t xml:space="preserve"> aplinka (strateginės, valdymo ir vidaus kontrolės, veiklos, apskaitos sąlygos)</w:t>
            </w:r>
          </w:p>
        </w:tc>
      </w:tr>
      <w:tr w:rsidR="00A543BF" w:rsidRPr="00DA03DC" w:rsidTr="00F5120C">
        <w:tc>
          <w:tcPr>
            <w:tcW w:w="595" w:type="dxa"/>
            <w:vMerge w:val="restart"/>
            <w:tcBorders>
              <w:top w:val="single" w:sz="2" w:space="0" w:color="auto"/>
              <w:left w:val="single" w:sz="12" w:space="0" w:color="auto"/>
              <w:bottom w:val="single" w:sz="2" w:space="0" w:color="auto"/>
              <w:right w:val="single" w:sz="2" w:space="0" w:color="auto"/>
            </w:tcBorders>
            <w:shd w:val="clear" w:color="auto" w:fill="FFFFFF" w:themeFill="background1"/>
            <w:textDirection w:val="btLr"/>
            <w:vAlign w:val="center"/>
          </w:tcPr>
          <w:p w:rsidR="00A543BF" w:rsidRPr="00D66432" w:rsidRDefault="00A543BF" w:rsidP="00126C83">
            <w:pPr>
              <w:pStyle w:val="NormalWeb"/>
              <w:spacing w:before="0" w:beforeAutospacing="0" w:after="0" w:afterAutospacing="0"/>
              <w:ind w:left="113" w:right="113"/>
              <w:jc w:val="center"/>
              <w:rPr>
                <w:b/>
                <w:sz w:val="21"/>
                <w:szCs w:val="21"/>
                <w:lang w:val="lt-LT"/>
              </w:rPr>
            </w:pPr>
            <w:r w:rsidRPr="00D66432">
              <w:rPr>
                <w:b/>
                <w:sz w:val="21"/>
                <w:szCs w:val="21"/>
                <w:lang w:val="lt-LT"/>
              </w:rPr>
              <w:t>Įmonės rizika</w:t>
            </w: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lt-LT"/>
              </w:rPr>
            </w:pPr>
            <w:r w:rsidRPr="00D66432">
              <w:rPr>
                <w:b/>
                <w:sz w:val="21"/>
                <w:szCs w:val="21"/>
                <w:lang w:val="lt-LT"/>
              </w:rPr>
              <w:t>Maža</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w:t>
            </w:r>
            <w:r w:rsidRPr="00D66432">
              <w:rPr>
                <w:b/>
                <w:sz w:val="21"/>
                <w:szCs w:val="21"/>
                <w:lang w:val="lt-LT"/>
              </w:rPr>
              <w:t>0-40</w:t>
            </w:r>
            <w:r w:rsidRPr="00D66432">
              <w:rPr>
                <w:b/>
                <w:sz w:val="21"/>
                <w:szCs w:val="21"/>
                <w:lang w:val="ru-RU"/>
              </w:rPr>
              <w:t>%)</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126C83" w:rsidRPr="00D66432" w:rsidRDefault="00A543BF" w:rsidP="00454D79">
            <w:pPr>
              <w:pStyle w:val="NormalWeb"/>
              <w:spacing w:before="0" w:beforeAutospacing="0" w:after="0" w:afterAutospacing="0"/>
              <w:rPr>
                <w:sz w:val="21"/>
                <w:szCs w:val="21"/>
                <w:lang w:val="lt-LT"/>
              </w:rPr>
            </w:pPr>
            <w:r w:rsidRPr="00D66432">
              <w:rPr>
                <w:sz w:val="21"/>
                <w:szCs w:val="21"/>
                <w:lang w:val="lt-LT"/>
              </w:rPr>
              <w:t xml:space="preserve">Nėra veiklos, sprendimų ar kitų veiksmų, </w:t>
            </w:r>
            <w:r w:rsidR="00B46F36" w:rsidRPr="00D66432">
              <w:rPr>
                <w:sz w:val="21"/>
                <w:szCs w:val="21"/>
                <w:lang w:val="lt-LT"/>
              </w:rPr>
              <w:t>susijusių su įmonės vid</w:t>
            </w:r>
            <w:r w:rsidR="00454D79" w:rsidRPr="00D66432">
              <w:rPr>
                <w:sz w:val="21"/>
                <w:szCs w:val="21"/>
                <w:lang w:val="lt-LT"/>
              </w:rPr>
              <w:t>aus</w:t>
            </w:r>
            <w:r w:rsidR="00B46F36" w:rsidRPr="00D66432">
              <w:rPr>
                <w:sz w:val="21"/>
                <w:szCs w:val="21"/>
                <w:lang w:val="lt-LT"/>
              </w:rPr>
              <w:t xml:space="preserve"> aplinka, </w:t>
            </w:r>
            <w:r w:rsidRPr="00D66432">
              <w:rPr>
                <w:sz w:val="21"/>
                <w:szCs w:val="21"/>
                <w:lang w:val="lt-LT"/>
              </w:rPr>
              <w:t>trukdančių įmonei sėkmingai vykdyti veiklą</w:t>
            </w:r>
          </w:p>
        </w:tc>
      </w:tr>
      <w:tr w:rsidR="00A543BF" w:rsidRPr="00DA03DC" w:rsidTr="00F5120C">
        <w:tc>
          <w:tcPr>
            <w:tcW w:w="595"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A543BF" w:rsidRPr="00D66432" w:rsidRDefault="00A543BF" w:rsidP="00A543BF">
            <w:pPr>
              <w:pStyle w:val="NormalWeb"/>
              <w:spacing w:before="0" w:beforeAutospacing="0" w:after="0" w:afterAutospacing="0"/>
              <w:jc w:val="center"/>
              <w:rPr>
                <w:b/>
                <w:sz w:val="21"/>
                <w:szCs w:val="21"/>
                <w:lang w:val="lt-LT"/>
              </w:rPr>
            </w:pP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lt-LT"/>
              </w:rPr>
              <w:t>Vidutinė</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(41-60%)</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A543BF" w:rsidRPr="00D66432" w:rsidRDefault="00A543BF" w:rsidP="00454D79">
            <w:pPr>
              <w:pStyle w:val="NormalWeb"/>
              <w:spacing w:before="0" w:beforeAutospacing="0" w:after="0" w:afterAutospacing="0"/>
              <w:rPr>
                <w:b/>
                <w:sz w:val="21"/>
                <w:szCs w:val="21"/>
                <w:lang w:val="lt-LT"/>
              </w:rPr>
            </w:pPr>
            <w:r w:rsidRPr="00D66432">
              <w:rPr>
                <w:sz w:val="21"/>
                <w:szCs w:val="21"/>
                <w:lang w:val="lt-LT"/>
              </w:rPr>
              <w:t xml:space="preserve">Nėra kryptingos veiklos, sprendimų ar kitų veiksmų, </w:t>
            </w:r>
            <w:r w:rsidR="00967AE3" w:rsidRPr="00D66432">
              <w:rPr>
                <w:sz w:val="21"/>
                <w:szCs w:val="21"/>
                <w:lang w:val="lt-LT"/>
              </w:rPr>
              <w:t>susijusių su įmonės vid</w:t>
            </w:r>
            <w:r w:rsidR="00454D79" w:rsidRPr="00D66432">
              <w:rPr>
                <w:sz w:val="21"/>
                <w:szCs w:val="21"/>
                <w:lang w:val="lt-LT"/>
              </w:rPr>
              <w:t>aus</w:t>
            </w:r>
            <w:r w:rsidR="00967AE3" w:rsidRPr="00D66432">
              <w:rPr>
                <w:sz w:val="21"/>
                <w:szCs w:val="21"/>
                <w:lang w:val="lt-LT"/>
              </w:rPr>
              <w:t xml:space="preserve"> aplinka, </w:t>
            </w:r>
            <w:r w:rsidRPr="00D66432">
              <w:rPr>
                <w:sz w:val="21"/>
                <w:szCs w:val="21"/>
                <w:lang w:val="lt-LT"/>
              </w:rPr>
              <w:t>trukdančių įmonei sėkmingai vykdyti veiklą</w:t>
            </w:r>
          </w:p>
        </w:tc>
      </w:tr>
      <w:tr w:rsidR="00A543BF" w:rsidRPr="00DA03DC" w:rsidTr="00F5120C">
        <w:tc>
          <w:tcPr>
            <w:tcW w:w="595" w:type="dxa"/>
            <w:vMerge/>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rsidR="00A543BF" w:rsidRPr="00D66432" w:rsidRDefault="00A543BF" w:rsidP="00A543BF">
            <w:pPr>
              <w:pStyle w:val="NormalWeb"/>
              <w:spacing w:before="0" w:beforeAutospacing="0" w:after="0" w:afterAutospacing="0"/>
              <w:jc w:val="center"/>
              <w:rPr>
                <w:b/>
                <w:sz w:val="21"/>
                <w:szCs w:val="21"/>
                <w:lang w:val="lt-LT"/>
              </w:rPr>
            </w:pPr>
          </w:p>
        </w:tc>
        <w:tc>
          <w:tcPr>
            <w:tcW w:w="1073" w:type="dxa"/>
            <w:tcBorders>
              <w:top w:val="single" w:sz="2" w:space="0" w:color="auto"/>
              <w:left w:val="single" w:sz="2" w:space="0" w:color="auto"/>
              <w:bottom w:val="single" w:sz="1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lt-LT"/>
              </w:rPr>
              <w:t>Didelė</w:t>
            </w:r>
          </w:p>
          <w:p w:rsidR="00A543BF" w:rsidRPr="00D66432" w:rsidRDefault="00A543BF" w:rsidP="00A543BF">
            <w:pPr>
              <w:pStyle w:val="NormalWeb"/>
              <w:spacing w:before="0" w:beforeAutospacing="0" w:after="0" w:afterAutospacing="0"/>
              <w:jc w:val="both"/>
              <w:rPr>
                <w:b/>
                <w:sz w:val="21"/>
                <w:szCs w:val="21"/>
                <w:lang w:val="lt-LT"/>
              </w:rPr>
            </w:pPr>
            <w:r w:rsidRPr="00D66432">
              <w:rPr>
                <w:b/>
                <w:sz w:val="21"/>
                <w:szCs w:val="21"/>
                <w:lang w:val="ru-RU"/>
              </w:rPr>
              <w:t>(61-100%)</w:t>
            </w:r>
          </w:p>
        </w:tc>
        <w:tc>
          <w:tcPr>
            <w:tcW w:w="6620" w:type="dxa"/>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rsidR="00A543BF" w:rsidRPr="00D66432" w:rsidRDefault="00A543BF" w:rsidP="00454D79">
            <w:pPr>
              <w:pStyle w:val="NormalWeb"/>
              <w:spacing w:before="0" w:beforeAutospacing="0" w:after="0" w:afterAutospacing="0"/>
              <w:rPr>
                <w:b/>
                <w:sz w:val="21"/>
                <w:szCs w:val="21"/>
                <w:lang w:val="lt-LT"/>
              </w:rPr>
            </w:pPr>
            <w:r w:rsidRPr="00D66432">
              <w:rPr>
                <w:sz w:val="21"/>
                <w:szCs w:val="21"/>
                <w:lang w:val="lt-LT"/>
              </w:rPr>
              <w:t xml:space="preserve">Vykdoma veikla, sprendimai ar kiti veiksmai, </w:t>
            </w:r>
            <w:r w:rsidR="00967AE3" w:rsidRPr="00D66432">
              <w:rPr>
                <w:sz w:val="21"/>
                <w:szCs w:val="21"/>
                <w:lang w:val="lt-LT"/>
              </w:rPr>
              <w:t>susiję su įmonės vid</w:t>
            </w:r>
            <w:r w:rsidR="00454D79" w:rsidRPr="00D66432">
              <w:rPr>
                <w:sz w:val="21"/>
                <w:szCs w:val="21"/>
                <w:lang w:val="lt-LT"/>
              </w:rPr>
              <w:t>aus</w:t>
            </w:r>
            <w:r w:rsidR="00967AE3" w:rsidRPr="00D66432">
              <w:rPr>
                <w:sz w:val="21"/>
                <w:szCs w:val="21"/>
                <w:lang w:val="lt-LT"/>
              </w:rPr>
              <w:t xml:space="preserve"> aplinka, </w:t>
            </w:r>
            <w:r w:rsidRPr="00D66432">
              <w:rPr>
                <w:sz w:val="21"/>
                <w:szCs w:val="21"/>
                <w:lang w:val="lt-LT"/>
              </w:rPr>
              <w:t xml:space="preserve">nesuderinami su sėkminga įmonės veikla </w:t>
            </w:r>
          </w:p>
        </w:tc>
      </w:tr>
      <w:tr w:rsidR="000F49C5" w:rsidRPr="00DA03DC" w:rsidTr="00D66432">
        <w:trPr>
          <w:trHeight w:hRule="exact" w:val="737"/>
        </w:trPr>
        <w:tc>
          <w:tcPr>
            <w:tcW w:w="1668"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rsidR="000F49C5" w:rsidRPr="00D66432" w:rsidRDefault="000F49C5" w:rsidP="00A1702D">
            <w:pPr>
              <w:pStyle w:val="NormalWeb"/>
              <w:spacing w:before="0" w:beforeAutospacing="0" w:after="0" w:afterAutospacing="0"/>
              <w:jc w:val="center"/>
              <w:rPr>
                <w:b/>
                <w:sz w:val="21"/>
                <w:szCs w:val="21"/>
                <w:lang w:val="lt-LT"/>
              </w:rPr>
            </w:pPr>
            <w:r w:rsidRPr="00D66432">
              <w:rPr>
                <w:b/>
                <w:sz w:val="21"/>
                <w:szCs w:val="21"/>
                <w:lang w:val="lt-LT"/>
              </w:rPr>
              <w:t>finansinių ataskaitų lygmeniu</w:t>
            </w:r>
          </w:p>
        </w:tc>
        <w:tc>
          <w:tcPr>
            <w:tcW w:w="6620" w:type="dxa"/>
            <w:tcBorders>
              <w:top w:val="single" w:sz="12" w:space="0" w:color="auto"/>
              <w:left w:val="single" w:sz="2" w:space="0" w:color="auto"/>
              <w:bottom w:val="single" w:sz="2" w:space="0" w:color="auto"/>
              <w:right w:val="single" w:sz="12" w:space="0" w:color="auto"/>
            </w:tcBorders>
            <w:shd w:val="clear" w:color="auto" w:fill="FFFFFF" w:themeFill="background1"/>
            <w:vAlign w:val="center"/>
          </w:tcPr>
          <w:p w:rsidR="000F49C5" w:rsidRPr="00D66432" w:rsidRDefault="000B2998" w:rsidP="00A543BF">
            <w:pPr>
              <w:pStyle w:val="NormalWeb"/>
              <w:spacing w:before="0" w:beforeAutospacing="0" w:after="0" w:afterAutospacing="0"/>
              <w:jc w:val="center"/>
              <w:rPr>
                <w:b/>
                <w:sz w:val="21"/>
                <w:szCs w:val="21"/>
                <w:lang w:val="lt-LT"/>
              </w:rPr>
            </w:pPr>
            <w:r w:rsidRPr="00D66432">
              <w:rPr>
                <w:b/>
                <w:sz w:val="21"/>
                <w:szCs w:val="21"/>
                <w:lang w:val="lt-LT"/>
              </w:rPr>
              <w:t>Darbuotojų/v</w:t>
            </w:r>
            <w:r w:rsidR="002E02F9" w:rsidRPr="00D66432">
              <w:rPr>
                <w:b/>
                <w:sz w:val="21"/>
                <w:szCs w:val="21"/>
                <w:lang w:val="lt-LT"/>
              </w:rPr>
              <w:t>adovybės vykdoma apgaulė</w:t>
            </w:r>
          </w:p>
        </w:tc>
      </w:tr>
      <w:tr w:rsidR="00A543BF" w:rsidRPr="00DA03DC" w:rsidTr="00D66432">
        <w:tc>
          <w:tcPr>
            <w:tcW w:w="595" w:type="dxa"/>
            <w:vMerge w:val="restart"/>
            <w:tcBorders>
              <w:top w:val="single" w:sz="2" w:space="0" w:color="auto"/>
              <w:left w:val="single" w:sz="12" w:space="0" w:color="auto"/>
              <w:bottom w:val="single" w:sz="2" w:space="0" w:color="auto"/>
              <w:right w:val="single" w:sz="2" w:space="0" w:color="auto"/>
            </w:tcBorders>
            <w:shd w:val="clear" w:color="auto" w:fill="FFFFFF" w:themeFill="background1"/>
            <w:textDirection w:val="btLr"/>
            <w:vAlign w:val="center"/>
          </w:tcPr>
          <w:p w:rsidR="00A543BF" w:rsidRPr="00D66432" w:rsidRDefault="00A543BF" w:rsidP="00126C83">
            <w:pPr>
              <w:pStyle w:val="NormalWeb"/>
              <w:spacing w:before="0" w:beforeAutospacing="0" w:after="0" w:afterAutospacing="0"/>
              <w:ind w:left="113" w:right="113"/>
              <w:jc w:val="center"/>
              <w:rPr>
                <w:b/>
                <w:sz w:val="21"/>
                <w:szCs w:val="21"/>
                <w:lang w:val="lt-LT"/>
              </w:rPr>
            </w:pPr>
            <w:r w:rsidRPr="00D66432">
              <w:rPr>
                <w:b/>
                <w:sz w:val="21"/>
                <w:szCs w:val="21"/>
                <w:lang w:val="lt-LT"/>
              </w:rPr>
              <w:t>Apgaulės rizika</w:t>
            </w: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lt-LT"/>
              </w:rPr>
            </w:pPr>
            <w:r w:rsidRPr="00D66432">
              <w:rPr>
                <w:b/>
                <w:sz w:val="21"/>
                <w:szCs w:val="21"/>
                <w:lang w:val="lt-LT"/>
              </w:rPr>
              <w:t>Maža</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w:t>
            </w:r>
            <w:r w:rsidRPr="00D66432">
              <w:rPr>
                <w:b/>
                <w:sz w:val="21"/>
                <w:szCs w:val="21"/>
                <w:lang w:val="lt-LT"/>
              </w:rPr>
              <w:t>0-40</w:t>
            </w:r>
            <w:r w:rsidRPr="00D66432">
              <w:rPr>
                <w:b/>
                <w:sz w:val="21"/>
                <w:szCs w:val="21"/>
                <w:lang w:val="ru-RU"/>
              </w:rPr>
              <w:t>%)</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A543BF" w:rsidRPr="00D66432" w:rsidRDefault="00A543BF" w:rsidP="0007179E">
            <w:pPr>
              <w:pStyle w:val="NormalWeb"/>
              <w:spacing w:before="0" w:beforeAutospacing="0" w:after="0" w:afterAutospacing="0"/>
              <w:rPr>
                <w:b/>
                <w:sz w:val="21"/>
                <w:szCs w:val="21"/>
                <w:lang w:val="lt-LT"/>
              </w:rPr>
            </w:pPr>
            <w:r w:rsidRPr="00D66432">
              <w:rPr>
                <w:sz w:val="21"/>
                <w:szCs w:val="21"/>
                <w:lang w:val="lt-LT"/>
              </w:rPr>
              <w:t xml:space="preserve">Nėra </w:t>
            </w:r>
            <w:r w:rsidR="00127D4E" w:rsidRPr="00D66432">
              <w:rPr>
                <w:sz w:val="21"/>
                <w:szCs w:val="21"/>
                <w:lang w:val="lt-LT"/>
              </w:rPr>
              <w:t xml:space="preserve">aiškių </w:t>
            </w:r>
            <w:r w:rsidR="0007179E" w:rsidRPr="00D66432">
              <w:rPr>
                <w:sz w:val="21"/>
                <w:szCs w:val="21"/>
                <w:lang w:val="lt-LT"/>
              </w:rPr>
              <w:t>apgaulės sąlygų (</w:t>
            </w:r>
            <w:r w:rsidRPr="00D66432">
              <w:rPr>
                <w:sz w:val="21"/>
                <w:szCs w:val="21"/>
                <w:lang w:val="lt-LT"/>
              </w:rPr>
              <w:t>paskatų/spaudimo, galimybių, požiūrio/racionalizacijos</w:t>
            </w:r>
            <w:r w:rsidR="000871AA" w:rsidRPr="00D66432">
              <w:rPr>
                <w:sz w:val="21"/>
                <w:szCs w:val="21"/>
                <w:lang w:val="lt-LT"/>
              </w:rPr>
              <w:t xml:space="preserve"> a</w:t>
            </w:r>
            <w:r w:rsidRPr="00D66432">
              <w:rPr>
                <w:sz w:val="21"/>
                <w:szCs w:val="21"/>
                <w:lang w:val="lt-LT"/>
              </w:rPr>
              <w:t xml:space="preserve">r </w:t>
            </w:r>
            <w:r w:rsidR="0007179E" w:rsidRPr="00D66432">
              <w:rPr>
                <w:sz w:val="21"/>
                <w:szCs w:val="21"/>
                <w:lang w:val="lt-LT"/>
              </w:rPr>
              <w:t>reik</w:t>
            </w:r>
            <w:r w:rsidR="00127D4E" w:rsidRPr="00D66432">
              <w:rPr>
                <w:sz w:val="21"/>
                <w:szCs w:val="21"/>
                <w:lang w:val="lt-LT"/>
              </w:rPr>
              <w:t xml:space="preserve">iamų </w:t>
            </w:r>
            <w:r w:rsidRPr="00D66432">
              <w:rPr>
                <w:sz w:val="21"/>
                <w:szCs w:val="21"/>
                <w:lang w:val="lt-LT"/>
              </w:rPr>
              <w:t>sugebėjimų</w:t>
            </w:r>
            <w:r w:rsidR="0007179E" w:rsidRPr="00D66432">
              <w:rPr>
                <w:sz w:val="21"/>
                <w:szCs w:val="21"/>
                <w:lang w:val="lt-LT"/>
              </w:rPr>
              <w:t>)</w:t>
            </w:r>
            <w:r w:rsidRPr="00D66432">
              <w:rPr>
                <w:sz w:val="21"/>
                <w:szCs w:val="21"/>
                <w:lang w:val="lt-LT"/>
              </w:rPr>
              <w:t xml:space="preserve"> vykdyti apgaulę</w:t>
            </w:r>
          </w:p>
        </w:tc>
      </w:tr>
      <w:tr w:rsidR="00A543BF" w:rsidRPr="00DA03DC" w:rsidTr="00D66432">
        <w:tc>
          <w:tcPr>
            <w:tcW w:w="595"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A543BF" w:rsidRPr="00D66432" w:rsidRDefault="00A543BF" w:rsidP="00A543BF">
            <w:pPr>
              <w:pStyle w:val="NormalWeb"/>
              <w:spacing w:before="0" w:beforeAutospacing="0" w:after="0" w:afterAutospacing="0"/>
              <w:jc w:val="center"/>
              <w:rPr>
                <w:b/>
                <w:sz w:val="21"/>
                <w:szCs w:val="21"/>
                <w:lang w:val="lt-LT"/>
              </w:rPr>
            </w:pP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lt-LT"/>
              </w:rPr>
              <w:t>Vidutinė</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(41-60%)</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A543BF" w:rsidRPr="00D66432" w:rsidRDefault="0007179E" w:rsidP="009D6002">
            <w:pPr>
              <w:pStyle w:val="NormalWeb"/>
              <w:spacing w:before="0" w:beforeAutospacing="0" w:after="0" w:afterAutospacing="0"/>
              <w:rPr>
                <w:b/>
                <w:sz w:val="21"/>
                <w:szCs w:val="21"/>
                <w:lang w:val="lt-LT"/>
              </w:rPr>
            </w:pPr>
            <w:r w:rsidRPr="00D66432">
              <w:rPr>
                <w:sz w:val="21"/>
                <w:szCs w:val="21"/>
                <w:lang w:val="lt-LT"/>
              </w:rPr>
              <w:t>A</w:t>
            </w:r>
            <w:r w:rsidR="00A543BF" w:rsidRPr="00D66432">
              <w:rPr>
                <w:sz w:val="21"/>
                <w:szCs w:val="21"/>
                <w:lang w:val="lt-LT"/>
              </w:rPr>
              <w:t>pgaulės sąlyg</w:t>
            </w:r>
            <w:r w:rsidR="00F84526" w:rsidRPr="00D66432">
              <w:rPr>
                <w:sz w:val="21"/>
                <w:szCs w:val="21"/>
                <w:lang w:val="lt-LT"/>
              </w:rPr>
              <w:t>os</w:t>
            </w:r>
            <w:r w:rsidR="00A543BF" w:rsidRPr="00D66432">
              <w:rPr>
                <w:sz w:val="21"/>
                <w:szCs w:val="21"/>
                <w:lang w:val="lt-LT"/>
              </w:rPr>
              <w:t xml:space="preserve"> (paskatos/spaudimas, galimybės, požiūris</w:t>
            </w:r>
            <w:r w:rsidR="00A1702D" w:rsidRPr="00D66432">
              <w:rPr>
                <w:sz w:val="21"/>
                <w:szCs w:val="21"/>
                <w:lang w:val="lt-LT"/>
              </w:rPr>
              <w:t xml:space="preserve"> </w:t>
            </w:r>
            <w:r w:rsidR="00A543BF" w:rsidRPr="00D66432">
              <w:rPr>
                <w:sz w:val="21"/>
                <w:szCs w:val="21"/>
                <w:lang w:val="lt-LT"/>
              </w:rPr>
              <w:t>/racionalizacija</w:t>
            </w:r>
            <w:r w:rsidR="00820682" w:rsidRPr="00D66432">
              <w:rPr>
                <w:sz w:val="21"/>
                <w:szCs w:val="21"/>
                <w:lang w:val="lt-LT"/>
              </w:rPr>
              <w:t>,</w:t>
            </w:r>
            <w:r w:rsidR="00A543BF" w:rsidRPr="00D66432">
              <w:rPr>
                <w:sz w:val="21"/>
                <w:szCs w:val="21"/>
                <w:lang w:val="lt-LT"/>
              </w:rPr>
              <w:t xml:space="preserve"> sugebėjim</w:t>
            </w:r>
            <w:r w:rsidR="00820682" w:rsidRPr="00D66432">
              <w:rPr>
                <w:sz w:val="21"/>
                <w:szCs w:val="21"/>
                <w:lang w:val="lt-LT"/>
              </w:rPr>
              <w:t>ai)</w:t>
            </w:r>
            <w:r w:rsidR="009D6002">
              <w:rPr>
                <w:sz w:val="21"/>
                <w:szCs w:val="21"/>
                <w:lang w:val="lt-LT"/>
              </w:rPr>
              <w:t xml:space="preserve"> </w:t>
            </w:r>
            <w:r w:rsidRPr="00D66432">
              <w:rPr>
                <w:sz w:val="21"/>
                <w:szCs w:val="21"/>
                <w:lang w:val="lt-LT"/>
              </w:rPr>
              <w:t xml:space="preserve">egzistuoja, tačiau apgaulės vykdymas </w:t>
            </w:r>
            <w:r w:rsidR="00A801DB" w:rsidRPr="00D66432">
              <w:rPr>
                <w:sz w:val="21"/>
                <w:szCs w:val="21"/>
                <w:lang w:val="lt-LT"/>
              </w:rPr>
              <w:t>yra abejotinas</w:t>
            </w:r>
            <w:r w:rsidR="00276B6C" w:rsidRPr="00D66432">
              <w:rPr>
                <w:sz w:val="21"/>
                <w:szCs w:val="21"/>
                <w:lang w:val="lt-LT"/>
              </w:rPr>
              <w:t xml:space="preserve"> dėl kai kurių jos sąlygų slopinimo</w:t>
            </w:r>
          </w:p>
        </w:tc>
      </w:tr>
      <w:tr w:rsidR="00A543BF" w:rsidRPr="00DA03DC" w:rsidTr="00D66432">
        <w:tc>
          <w:tcPr>
            <w:tcW w:w="595" w:type="dxa"/>
            <w:vMerge/>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rsidR="00A543BF" w:rsidRPr="00D66432" w:rsidRDefault="00A543BF" w:rsidP="00A543BF">
            <w:pPr>
              <w:pStyle w:val="NormalWeb"/>
              <w:spacing w:before="0" w:beforeAutospacing="0" w:after="0" w:afterAutospacing="0"/>
              <w:jc w:val="center"/>
              <w:rPr>
                <w:b/>
                <w:sz w:val="21"/>
                <w:szCs w:val="21"/>
                <w:lang w:val="lt-LT"/>
              </w:rPr>
            </w:pPr>
          </w:p>
        </w:tc>
        <w:tc>
          <w:tcPr>
            <w:tcW w:w="1073" w:type="dxa"/>
            <w:tcBorders>
              <w:top w:val="single" w:sz="2" w:space="0" w:color="auto"/>
              <w:left w:val="single" w:sz="2" w:space="0" w:color="auto"/>
              <w:bottom w:val="single" w:sz="1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lt-LT"/>
              </w:rPr>
              <w:t>Didelė</w:t>
            </w:r>
          </w:p>
          <w:p w:rsidR="00A543BF" w:rsidRPr="00D66432" w:rsidRDefault="00A543BF" w:rsidP="00A543BF">
            <w:pPr>
              <w:pStyle w:val="NormalWeb"/>
              <w:spacing w:before="0" w:beforeAutospacing="0" w:after="0" w:afterAutospacing="0"/>
              <w:jc w:val="both"/>
              <w:rPr>
                <w:b/>
                <w:sz w:val="21"/>
                <w:szCs w:val="21"/>
                <w:lang w:val="lt-LT"/>
              </w:rPr>
            </w:pPr>
            <w:r w:rsidRPr="00D66432">
              <w:rPr>
                <w:b/>
                <w:sz w:val="21"/>
                <w:szCs w:val="21"/>
                <w:lang w:val="ru-RU"/>
              </w:rPr>
              <w:t>(61-100%)</w:t>
            </w:r>
          </w:p>
        </w:tc>
        <w:tc>
          <w:tcPr>
            <w:tcW w:w="6620" w:type="dxa"/>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rsidR="00A543BF" w:rsidRPr="00D66432" w:rsidRDefault="00A543BF" w:rsidP="009D6002">
            <w:pPr>
              <w:pStyle w:val="NormalWeb"/>
              <w:spacing w:before="0" w:beforeAutospacing="0" w:after="0" w:afterAutospacing="0"/>
              <w:rPr>
                <w:sz w:val="21"/>
                <w:szCs w:val="21"/>
                <w:lang w:val="lt-LT"/>
              </w:rPr>
            </w:pPr>
            <w:r w:rsidRPr="00D66432">
              <w:rPr>
                <w:sz w:val="21"/>
                <w:szCs w:val="21"/>
                <w:lang w:val="lt-LT"/>
              </w:rPr>
              <w:t xml:space="preserve">Egzistuoja </w:t>
            </w:r>
            <w:r w:rsidR="009D6002">
              <w:rPr>
                <w:sz w:val="21"/>
                <w:szCs w:val="21"/>
                <w:lang w:val="lt-LT"/>
              </w:rPr>
              <w:t>visos</w:t>
            </w:r>
            <w:r w:rsidR="00127D4E" w:rsidRPr="00D66432">
              <w:rPr>
                <w:sz w:val="21"/>
                <w:szCs w:val="21"/>
                <w:lang w:val="lt-LT"/>
              </w:rPr>
              <w:t xml:space="preserve"> apgaulės sąlygos (</w:t>
            </w:r>
            <w:r w:rsidRPr="00D66432">
              <w:rPr>
                <w:sz w:val="21"/>
                <w:szCs w:val="21"/>
                <w:lang w:val="lt-LT"/>
              </w:rPr>
              <w:t xml:space="preserve">paskatos/spaudimas, galimybės, požiūris/racionalizacija ir </w:t>
            </w:r>
            <w:r w:rsidR="00127D4E" w:rsidRPr="00D66432">
              <w:rPr>
                <w:sz w:val="21"/>
                <w:szCs w:val="21"/>
                <w:lang w:val="lt-LT"/>
              </w:rPr>
              <w:t>s</w:t>
            </w:r>
            <w:r w:rsidRPr="00D66432">
              <w:rPr>
                <w:sz w:val="21"/>
                <w:szCs w:val="21"/>
                <w:lang w:val="lt-LT"/>
              </w:rPr>
              <w:t>ugebėjim</w:t>
            </w:r>
            <w:r w:rsidR="00127D4E" w:rsidRPr="00D66432">
              <w:rPr>
                <w:sz w:val="21"/>
                <w:szCs w:val="21"/>
                <w:lang w:val="lt-LT"/>
              </w:rPr>
              <w:t>ai)</w:t>
            </w:r>
            <w:r w:rsidRPr="00D66432">
              <w:rPr>
                <w:sz w:val="21"/>
                <w:szCs w:val="21"/>
                <w:lang w:val="lt-LT"/>
              </w:rPr>
              <w:t xml:space="preserve"> apgaul</w:t>
            </w:r>
            <w:r w:rsidR="00B20D35" w:rsidRPr="00D66432">
              <w:rPr>
                <w:sz w:val="21"/>
                <w:szCs w:val="21"/>
                <w:lang w:val="lt-LT"/>
              </w:rPr>
              <w:t>ei vykdyti</w:t>
            </w:r>
          </w:p>
        </w:tc>
      </w:tr>
      <w:tr w:rsidR="000F49C5" w:rsidRPr="00DA03DC" w:rsidTr="00E90FE3">
        <w:trPr>
          <w:trHeight w:val="432"/>
        </w:trPr>
        <w:tc>
          <w:tcPr>
            <w:tcW w:w="1668"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rsidR="000F49C5" w:rsidRPr="00D66432" w:rsidRDefault="0025194A" w:rsidP="00A543BF">
            <w:pPr>
              <w:pStyle w:val="NormalWeb"/>
              <w:spacing w:before="0" w:beforeAutospacing="0" w:after="0" w:afterAutospacing="0"/>
              <w:jc w:val="center"/>
              <w:rPr>
                <w:b/>
                <w:sz w:val="21"/>
                <w:szCs w:val="21"/>
                <w:lang w:val="lt-LT"/>
              </w:rPr>
            </w:pPr>
            <w:r w:rsidRPr="00D66432">
              <w:rPr>
                <w:b/>
                <w:sz w:val="21"/>
                <w:szCs w:val="21"/>
                <w:lang w:val="lt-LT"/>
              </w:rPr>
              <w:t>tvirtinimo</w:t>
            </w:r>
            <w:r w:rsidR="000F49C5" w:rsidRPr="00D66432">
              <w:rPr>
                <w:b/>
                <w:sz w:val="21"/>
                <w:szCs w:val="21"/>
                <w:lang w:val="lt-LT"/>
              </w:rPr>
              <w:t xml:space="preserve"> lygmeniu</w:t>
            </w:r>
          </w:p>
        </w:tc>
        <w:tc>
          <w:tcPr>
            <w:tcW w:w="6620" w:type="dxa"/>
            <w:tcBorders>
              <w:top w:val="single" w:sz="12" w:space="0" w:color="auto"/>
              <w:left w:val="single" w:sz="2" w:space="0" w:color="auto"/>
              <w:bottom w:val="single" w:sz="2" w:space="0" w:color="auto"/>
              <w:right w:val="single" w:sz="12" w:space="0" w:color="auto"/>
            </w:tcBorders>
            <w:shd w:val="clear" w:color="auto" w:fill="FFFFFF" w:themeFill="background1"/>
            <w:vAlign w:val="center"/>
          </w:tcPr>
          <w:p w:rsidR="000F49C5" w:rsidRPr="00D66432" w:rsidRDefault="000F49C5" w:rsidP="00A543BF">
            <w:pPr>
              <w:pStyle w:val="NormalWeb"/>
              <w:spacing w:before="0" w:beforeAutospacing="0" w:after="0" w:afterAutospacing="0"/>
              <w:jc w:val="center"/>
              <w:rPr>
                <w:b/>
                <w:sz w:val="21"/>
                <w:szCs w:val="21"/>
                <w:lang w:val="lt-LT"/>
              </w:rPr>
            </w:pPr>
            <w:r w:rsidRPr="00D66432">
              <w:rPr>
                <w:b/>
                <w:sz w:val="21"/>
                <w:szCs w:val="21"/>
                <w:lang w:val="lt-LT"/>
              </w:rPr>
              <w:t xml:space="preserve">Finansinių ataskaitų </w:t>
            </w:r>
            <w:r w:rsidR="00884A1E">
              <w:rPr>
                <w:b/>
                <w:sz w:val="21"/>
                <w:szCs w:val="21"/>
                <w:lang w:val="lt-LT"/>
              </w:rPr>
              <w:t>(F</w:t>
            </w:r>
            <w:r w:rsidR="00126C83" w:rsidRPr="00D66432">
              <w:rPr>
                <w:b/>
                <w:sz w:val="21"/>
                <w:szCs w:val="21"/>
                <w:lang w:val="lt-LT"/>
              </w:rPr>
              <w:t>/a)</w:t>
            </w:r>
            <w:r w:rsidR="00574CBE">
              <w:rPr>
                <w:b/>
                <w:sz w:val="21"/>
                <w:szCs w:val="21"/>
                <w:lang w:val="lt-LT"/>
              </w:rPr>
              <w:t xml:space="preserve"> </w:t>
            </w:r>
            <w:r w:rsidRPr="00D66432">
              <w:rPr>
                <w:b/>
                <w:sz w:val="21"/>
                <w:szCs w:val="21"/>
                <w:lang w:val="lt-LT"/>
              </w:rPr>
              <w:t>elementas ir/ar jo tvirtinimo pobūdis</w:t>
            </w:r>
          </w:p>
        </w:tc>
      </w:tr>
      <w:tr w:rsidR="00A543BF" w:rsidRPr="00DA03DC" w:rsidTr="00D66432">
        <w:tc>
          <w:tcPr>
            <w:tcW w:w="595" w:type="dxa"/>
            <w:vMerge w:val="restart"/>
            <w:tcBorders>
              <w:top w:val="single" w:sz="2" w:space="0" w:color="auto"/>
              <w:left w:val="single" w:sz="12" w:space="0" w:color="auto"/>
              <w:right w:val="single" w:sz="2" w:space="0" w:color="auto"/>
            </w:tcBorders>
            <w:shd w:val="clear" w:color="auto" w:fill="FFFFFF" w:themeFill="background1"/>
            <w:textDirection w:val="btLr"/>
            <w:vAlign w:val="center"/>
          </w:tcPr>
          <w:p w:rsidR="00A543BF" w:rsidRPr="00D66432" w:rsidRDefault="00A543BF" w:rsidP="00126C83">
            <w:pPr>
              <w:pStyle w:val="NormalWeb"/>
              <w:spacing w:before="0" w:beforeAutospacing="0" w:after="0" w:afterAutospacing="0"/>
              <w:ind w:left="113" w:right="113"/>
              <w:jc w:val="center"/>
              <w:rPr>
                <w:sz w:val="21"/>
                <w:szCs w:val="21"/>
                <w:lang w:val="lt-LT"/>
              </w:rPr>
            </w:pPr>
            <w:r w:rsidRPr="00D66432">
              <w:rPr>
                <w:b/>
                <w:sz w:val="21"/>
                <w:szCs w:val="21"/>
                <w:lang w:val="lt-LT"/>
              </w:rPr>
              <w:t>Įgimta rizika</w:t>
            </w: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lt-LT"/>
              </w:rPr>
            </w:pPr>
            <w:r w:rsidRPr="00D66432">
              <w:rPr>
                <w:b/>
                <w:sz w:val="21"/>
                <w:szCs w:val="21"/>
                <w:lang w:val="lt-LT"/>
              </w:rPr>
              <w:t>Maža</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w:t>
            </w:r>
            <w:r w:rsidRPr="00D66432">
              <w:rPr>
                <w:b/>
                <w:sz w:val="21"/>
                <w:szCs w:val="21"/>
                <w:lang w:val="lt-LT"/>
              </w:rPr>
              <w:t>0-40</w:t>
            </w:r>
            <w:r w:rsidRPr="00D66432">
              <w:rPr>
                <w:b/>
                <w:sz w:val="21"/>
                <w:szCs w:val="21"/>
                <w:lang w:val="ru-RU"/>
              </w:rPr>
              <w:t>%)</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tcPr>
          <w:p w:rsidR="00A543BF" w:rsidRPr="00D66432" w:rsidRDefault="00CA41E6" w:rsidP="009D6002">
            <w:pPr>
              <w:pStyle w:val="NormalWeb"/>
              <w:spacing w:before="0" w:beforeAutospacing="0" w:after="0" w:afterAutospacing="0"/>
              <w:rPr>
                <w:sz w:val="21"/>
                <w:szCs w:val="21"/>
                <w:lang w:val="lt-LT"/>
              </w:rPr>
            </w:pPr>
            <w:r w:rsidRPr="00D66432">
              <w:rPr>
                <w:sz w:val="21"/>
                <w:szCs w:val="21"/>
                <w:lang w:val="lt-LT"/>
              </w:rPr>
              <w:t>F</w:t>
            </w:r>
            <w:r w:rsidR="00126C83" w:rsidRPr="00D66432">
              <w:rPr>
                <w:sz w:val="21"/>
                <w:szCs w:val="21"/>
                <w:lang w:val="lt-LT"/>
              </w:rPr>
              <w:t>/a</w:t>
            </w:r>
            <w:r w:rsidRPr="00D66432">
              <w:rPr>
                <w:sz w:val="21"/>
                <w:szCs w:val="21"/>
                <w:lang w:val="lt-LT"/>
              </w:rPr>
              <w:t xml:space="preserve"> elementas yra į</w:t>
            </w:r>
            <w:r w:rsidR="00A543BF" w:rsidRPr="00D66432">
              <w:rPr>
                <w:sz w:val="21"/>
                <w:szCs w:val="21"/>
                <w:lang w:val="lt-LT"/>
              </w:rPr>
              <w:t xml:space="preserve">prastas, </w:t>
            </w:r>
            <w:r w:rsidRPr="00D66432">
              <w:rPr>
                <w:sz w:val="21"/>
                <w:szCs w:val="21"/>
                <w:lang w:val="lt-LT"/>
              </w:rPr>
              <w:t xml:space="preserve">nedidelės vertės, </w:t>
            </w:r>
            <w:r w:rsidR="005D5844" w:rsidRPr="00D66432">
              <w:rPr>
                <w:sz w:val="21"/>
                <w:szCs w:val="21"/>
                <w:lang w:val="lt-LT"/>
              </w:rPr>
              <w:t xml:space="preserve">turtas </w:t>
            </w:r>
            <w:r w:rsidR="009D6002" w:rsidRPr="00D66432">
              <w:rPr>
                <w:sz w:val="21"/>
                <w:szCs w:val="21"/>
                <w:lang w:val="lt-LT"/>
              </w:rPr>
              <w:t>nėra</w:t>
            </w:r>
            <w:r w:rsidR="009D6002">
              <w:rPr>
                <w:sz w:val="21"/>
                <w:szCs w:val="21"/>
                <w:lang w:val="lt-LT"/>
              </w:rPr>
              <w:t xml:space="preserve"> jautrus </w:t>
            </w:r>
            <w:r w:rsidR="005D5844" w:rsidRPr="00D66432">
              <w:rPr>
                <w:sz w:val="21"/>
                <w:szCs w:val="21"/>
                <w:lang w:val="lt-LT"/>
              </w:rPr>
              <w:t>pasisavin</w:t>
            </w:r>
            <w:r w:rsidR="009D6002">
              <w:rPr>
                <w:sz w:val="21"/>
                <w:szCs w:val="21"/>
                <w:lang w:val="lt-LT"/>
              </w:rPr>
              <w:t>i</w:t>
            </w:r>
            <w:r w:rsidR="00B06C41" w:rsidRPr="00D66432">
              <w:rPr>
                <w:sz w:val="21"/>
                <w:szCs w:val="21"/>
                <w:lang w:val="lt-LT"/>
              </w:rPr>
              <w:t>m</w:t>
            </w:r>
            <w:r w:rsidR="009D6002">
              <w:rPr>
                <w:sz w:val="21"/>
                <w:szCs w:val="21"/>
                <w:lang w:val="lt-LT"/>
              </w:rPr>
              <w:t>ui</w:t>
            </w:r>
            <w:r w:rsidR="005D5844" w:rsidRPr="00D66432">
              <w:rPr>
                <w:sz w:val="21"/>
                <w:szCs w:val="21"/>
                <w:lang w:val="lt-LT"/>
              </w:rPr>
              <w:t xml:space="preserve">, </w:t>
            </w:r>
            <w:r w:rsidR="00A543BF" w:rsidRPr="00D66432">
              <w:rPr>
                <w:sz w:val="21"/>
                <w:szCs w:val="21"/>
                <w:lang w:val="lt-LT"/>
              </w:rPr>
              <w:t>ne</w:t>
            </w:r>
            <w:r w:rsidR="009D6002">
              <w:rPr>
                <w:sz w:val="21"/>
                <w:szCs w:val="21"/>
                <w:lang w:val="lt-LT"/>
              </w:rPr>
              <w:t>būdingi</w:t>
            </w:r>
            <w:r w:rsidR="00A543BF" w:rsidRPr="00D66432">
              <w:rPr>
                <w:sz w:val="21"/>
                <w:szCs w:val="21"/>
                <w:lang w:val="lt-LT"/>
              </w:rPr>
              <w:t xml:space="preserve"> sudėting</w:t>
            </w:r>
            <w:r w:rsidR="009D6002">
              <w:rPr>
                <w:sz w:val="21"/>
                <w:szCs w:val="21"/>
                <w:lang w:val="lt-LT"/>
              </w:rPr>
              <w:t>i</w:t>
            </w:r>
            <w:r w:rsidR="00A543BF" w:rsidRPr="00D66432">
              <w:rPr>
                <w:sz w:val="21"/>
                <w:szCs w:val="21"/>
                <w:lang w:val="lt-LT"/>
              </w:rPr>
              <w:t xml:space="preserve"> skaičiavim</w:t>
            </w:r>
            <w:r w:rsidR="009D6002">
              <w:rPr>
                <w:sz w:val="21"/>
                <w:szCs w:val="21"/>
                <w:lang w:val="lt-LT"/>
              </w:rPr>
              <w:t xml:space="preserve">ai ar </w:t>
            </w:r>
            <w:r w:rsidR="00A543BF" w:rsidRPr="00D66432">
              <w:rPr>
                <w:sz w:val="21"/>
                <w:szCs w:val="21"/>
                <w:lang w:val="lt-LT"/>
              </w:rPr>
              <w:t>subjektyv</w:t>
            </w:r>
            <w:r w:rsidR="009D6002">
              <w:rPr>
                <w:sz w:val="21"/>
                <w:szCs w:val="21"/>
                <w:lang w:val="lt-LT"/>
              </w:rPr>
              <w:t>ūs</w:t>
            </w:r>
            <w:r w:rsidR="00A543BF" w:rsidRPr="00D66432">
              <w:rPr>
                <w:sz w:val="21"/>
                <w:szCs w:val="21"/>
                <w:lang w:val="lt-LT"/>
              </w:rPr>
              <w:t xml:space="preserve"> sprendim</w:t>
            </w:r>
            <w:r w:rsidR="009D6002">
              <w:rPr>
                <w:sz w:val="21"/>
                <w:szCs w:val="21"/>
                <w:lang w:val="lt-LT"/>
              </w:rPr>
              <w:t>ai</w:t>
            </w:r>
            <w:r w:rsidR="00E50F28" w:rsidRPr="00D66432">
              <w:rPr>
                <w:sz w:val="21"/>
                <w:szCs w:val="21"/>
                <w:lang w:val="lt-LT"/>
              </w:rPr>
              <w:t>, anksčiau nenustatyta iškraipymų</w:t>
            </w:r>
            <w:r w:rsidR="00A543BF" w:rsidRPr="00D66432">
              <w:rPr>
                <w:sz w:val="21"/>
                <w:szCs w:val="21"/>
                <w:lang w:val="lt-LT"/>
              </w:rPr>
              <w:t xml:space="preserve"> ir nėra kitų įmonės aplinkos sąlygų</w:t>
            </w:r>
          </w:p>
        </w:tc>
      </w:tr>
      <w:tr w:rsidR="00A543BF" w:rsidRPr="00DA03DC" w:rsidTr="00D66432">
        <w:tc>
          <w:tcPr>
            <w:tcW w:w="595" w:type="dxa"/>
            <w:vMerge/>
            <w:tcBorders>
              <w:left w:val="single" w:sz="12" w:space="0" w:color="auto"/>
              <w:right w:val="single" w:sz="2" w:space="0" w:color="auto"/>
            </w:tcBorders>
            <w:shd w:val="clear" w:color="auto" w:fill="FFFFFF" w:themeFill="background1"/>
            <w:vAlign w:val="center"/>
          </w:tcPr>
          <w:p w:rsidR="00A543BF" w:rsidRPr="00D66432" w:rsidRDefault="00A543BF" w:rsidP="00A543BF">
            <w:pPr>
              <w:pStyle w:val="NormalWeb"/>
              <w:spacing w:before="0" w:beforeAutospacing="0" w:after="0" w:afterAutospacing="0"/>
              <w:jc w:val="center"/>
              <w:rPr>
                <w:sz w:val="21"/>
                <w:szCs w:val="21"/>
                <w:lang w:val="lt-LT"/>
              </w:rPr>
            </w:pP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lt-LT"/>
              </w:rPr>
              <w:t>Vidutinė</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(41-60%)</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tcPr>
          <w:p w:rsidR="00A543BF" w:rsidRPr="00D66432" w:rsidRDefault="00CA41E6" w:rsidP="009D6002">
            <w:pPr>
              <w:pStyle w:val="NormalWeb"/>
              <w:spacing w:before="0" w:beforeAutospacing="0" w:after="0" w:afterAutospacing="0"/>
              <w:rPr>
                <w:sz w:val="21"/>
                <w:szCs w:val="21"/>
                <w:lang w:val="lt-LT"/>
              </w:rPr>
            </w:pPr>
            <w:r w:rsidRPr="00D66432">
              <w:rPr>
                <w:sz w:val="21"/>
                <w:szCs w:val="21"/>
                <w:lang w:val="lt-LT"/>
              </w:rPr>
              <w:t>F</w:t>
            </w:r>
            <w:r w:rsidR="00126C83" w:rsidRPr="00D66432">
              <w:rPr>
                <w:sz w:val="21"/>
                <w:szCs w:val="21"/>
                <w:lang w:val="lt-LT"/>
              </w:rPr>
              <w:t>/a</w:t>
            </w:r>
            <w:r w:rsidRPr="00D66432">
              <w:rPr>
                <w:sz w:val="21"/>
                <w:szCs w:val="21"/>
                <w:lang w:val="lt-LT"/>
              </w:rPr>
              <w:t xml:space="preserve"> elementas yra n</w:t>
            </w:r>
            <w:r w:rsidR="00A543BF" w:rsidRPr="00D66432">
              <w:rPr>
                <w:sz w:val="21"/>
                <w:szCs w:val="21"/>
                <w:lang w:val="lt-LT"/>
              </w:rPr>
              <w:t xml:space="preserve">eįprastas, </w:t>
            </w:r>
            <w:r w:rsidRPr="00D66432">
              <w:rPr>
                <w:sz w:val="21"/>
                <w:szCs w:val="21"/>
                <w:lang w:val="lt-LT"/>
              </w:rPr>
              <w:t>didelės vertės,</w:t>
            </w:r>
            <w:r w:rsidR="005D5844" w:rsidRPr="00D66432">
              <w:rPr>
                <w:sz w:val="21"/>
                <w:szCs w:val="21"/>
                <w:lang w:val="lt-LT"/>
              </w:rPr>
              <w:t xml:space="preserve"> turtas jautrus neteisėtam pasisavinimui,</w:t>
            </w:r>
            <w:r w:rsidRPr="00D66432">
              <w:rPr>
                <w:sz w:val="21"/>
                <w:szCs w:val="21"/>
                <w:lang w:val="lt-LT"/>
              </w:rPr>
              <w:t xml:space="preserve"> </w:t>
            </w:r>
            <w:r w:rsidR="009D6002">
              <w:rPr>
                <w:sz w:val="21"/>
                <w:szCs w:val="21"/>
                <w:lang w:val="lt-LT"/>
              </w:rPr>
              <w:t xml:space="preserve">būdingi </w:t>
            </w:r>
            <w:r w:rsidR="00A543BF" w:rsidRPr="00D66432">
              <w:rPr>
                <w:sz w:val="21"/>
                <w:szCs w:val="21"/>
                <w:lang w:val="lt-LT"/>
              </w:rPr>
              <w:t>sudėting</w:t>
            </w:r>
            <w:r w:rsidR="009D6002">
              <w:rPr>
                <w:sz w:val="21"/>
                <w:szCs w:val="21"/>
                <w:lang w:val="lt-LT"/>
              </w:rPr>
              <w:t>i</w:t>
            </w:r>
            <w:r w:rsidR="00A543BF" w:rsidRPr="00D66432">
              <w:rPr>
                <w:sz w:val="21"/>
                <w:szCs w:val="21"/>
                <w:lang w:val="lt-LT"/>
              </w:rPr>
              <w:t xml:space="preserve"> skaičiavim</w:t>
            </w:r>
            <w:r w:rsidR="009D6002">
              <w:rPr>
                <w:sz w:val="21"/>
                <w:szCs w:val="21"/>
                <w:lang w:val="lt-LT"/>
              </w:rPr>
              <w:t>ai</w:t>
            </w:r>
            <w:r w:rsidR="00E50F28" w:rsidRPr="00D66432">
              <w:rPr>
                <w:sz w:val="21"/>
                <w:szCs w:val="21"/>
                <w:lang w:val="lt-LT"/>
              </w:rPr>
              <w:t>, bet nesiremia</w:t>
            </w:r>
            <w:r w:rsidR="00A543BF" w:rsidRPr="00D66432">
              <w:rPr>
                <w:sz w:val="21"/>
                <w:szCs w:val="21"/>
                <w:lang w:val="lt-LT"/>
              </w:rPr>
              <w:t xml:space="preserve"> subjektyvi</w:t>
            </w:r>
            <w:r w:rsidR="00E50F28" w:rsidRPr="00D66432">
              <w:rPr>
                <w:sz w:val="21"/>
                <w:szCs w:val="21"/>
                <w:lang w:val="lt-LT"/>
              </w:rPr>
              <w:t>ais</w:t>
            </w:r>
            <w:r w:rsidR="00A543BF" w:rsidRPr="00D66432">
              <w:rPr>
                <w:sz w:val="21"/>
                <w:szCs w:val="21"/>
                <w:lang w:val="lt-LT"/>
              </w:rPr>
              <w:t xml:space="preserve"> sprendim</w:t>
            </w:r>
            <w:r w:rsidR="00E50F28" w:rsidRPr="00D66432">
              <w:rPr>
                <w:sz w:val="21"/>
                <w:szCs w:val="21"/>
                <w:lang w:val="lt-LT"/>
              </w:rPr>
              <w:t>ais</w:t>
            </w:r>
            <w:r w:rsidR="00A543BF" w:rsidRPr="00D66432">
              <w:rPr>
                <w:sz w:val="21"/>
                <w:szCs w:val="21"/>
                <w:lang w:val="lt-LT"/>
              </w:rPr>
              <w:t xml:space="preserve">, </w:t>
            </w:r>
            <w:r w:rsidR="00E50F28" w:rsidRPr="00D66432">
              <w:rPr>
                <w:sz w:val="21"/>
                <w:szCs w:val="21"/>
                <w:lang w:val="lt-LT"/>
              </w:rPr>
              <w:t xml:space="preserve">anksčiau buvo nustatyta iškraipymų ar </w:t>
            </w:r>
            <w:r w:rsidR="00A543BF" w:rsidRPr="00D66432">
              <w:rPr>
                <w:sz w:val="21"/>
                <w:szCs w:val="21"/>
                <w:lang w:val="lt-LT"/>
              </w:rPr>
              <w:t>yra veikiamas kitų įmonės aplinkos sąlygų</w:t>
            </w:r>
          </w:p>
        </w:tc>
      </w:tr>
      <w:tr w:rsidR="00A543BF" w:rsidRPr="00DA03DC" w:rsidTr="00D66432">
        <w:tc>
          <w:tcPr>
            <w:tcW w:w="595" w:type="dxa"/>
            <w:vMerge/>
            <w:tcBorders>
              <w:left w:val="single" w:sz="12" w:space="0" w:color="auto"/>
              <w:bottom w:val="single" w:sz="12" w:space="0" w:color="auto"/>
              <w:right w:val="single" w:sz="2" w:space="0" w:color="auto"/>
            </w:tcBorders>
            <w:shd w:val="clear" w:color="auto" w:fill="FFFFFF" w:themeFill="background1"/>
            <w:vAlign w:val="center"/>
          </w:tcPr>
          <w:p w:rsidR="00A543BF" w:rsidRPr="00D66432" w:rsidRDefault="00A543BF" w:rsidP="00A543BF">
            <w:pPr>
              <w:pStyle w:val="NormalWeb"/>
              <w:spacing w:before="0" w:beforeAutospacing="0" w:after="0" w:afterAutospacing="0"/>
              <w:jc w:val="center"/>
              <w:rPr>
                <w:sz w:val="21"/>
                <w:szCs w:val="21"/>
                <w:lang w:val="lt-LT"/>
              </w:rPr>
            </w:pPr>
          </w:p>
        </w:tc>
        <w:tc>
          <w:tcPr>
            <w:tcW w:w="1073" w:type="dxa"/>
            <w:tcBorders>
              <w:top w:val="single" w:sz="2" w:space="0" w:color="auto"/>
              <w:left w:val="single" w:sz="2" w:space="0" w:color="auto"/>
              <w:bottom w:val="single" w:sz="1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lt-LT"/>
              </w:rPr>
              <w:t>Didelė</w:t>
            </w:r>
          </w:p>
          <w:p w:rsidR="00A543BF" w:rsidRPr="00D66432" w:rsidRDefault="00A543BF" w:rsidP="00A543BF">
            <w:pPr>
              <w:pStyle w:val="NormalWeb"/>
              <w:spacing w:before="0" w:beforeAutospacing="0" w:after="0" w:afterAutospacing="0"/>
              <w:jc w:val="both"/>
              <w:rPr>
                <w:b/>
                <w:sz w:val="21"/>
                <w:szCs w:val="21"/>
                <w:lang w:val="lt-LT"/>
              </w:rPr>
            </w:pPr>
            <w:r w:rsidRPr="00D66432">
              <w:rPr>
                <w:b/>
                <w:sz w:val="21"/>
                <w:szCs w:val="21"/>
                <w:lang w:val="ru-RU"/>
              </w:rPr>
              <w:t>(61-100%)</w:t>
            </w:r>
          </w:p>
        </w:tc>
        <w:tc>
          <w:tcPr>
            <w:tcW w:w="6620" w:type="dxa"/>
            <w:tcBorders>
              <w:top w:val="single" w:sz="2" w:space="0" w:color="auto"/>
              <w:left w:val="single" w:sz="2" w:space="0" w:color="auto"/>
              <w:bottom w:val="single" w:sz="12" w:space="0" w:color="auto"/>
              <w:right w:val="single" w:sz="12" w:space="0" w:color="auto"/>
            </w:tcBorders>
            <w:shd w:val="clear" w:color="auto" w:fill="FFFFFF" w:themeFill="background1"/>
          </w:tcPr>
          <w:p w:rsidR="00A543BF" w:rsidRPr="00D66432" w:rsidRDefault="00CA41E6" w:rsidP="009D6002">
            <w:pPr>
              <w:pStyle w:val="NormalWeb"/>
              <w:spacing w:before="0" w:beforeAutospacing="0" w:after="0" w:afterAutospacing="0"/>
              <w:rPr>
                <w:sz w:val="21"/>
                <w:szCs w:val="21"/>
                <w:lang w:val="lt-LT"/>
              </w:rPr>
            </w:pPr>
            <w:r w:rsidRPr="00D66432">
              <w:rPr>
                <w:sz w:val="21"/>
                <w:szCs w:val="21"/>
                <w:lang w:val="lt-LT"/>
              </w:rPr>
              <w:t>F</w:t>
            </w:r>
            <w:r w:rsidR="00126C83" w:rsidRPr="00D66432">
              <w:rPr>
                <w:sz w:val="21"/>
                <w:szCs w:val="21"/>
                <w:lang w:val="lt-LT"/>
              </w:rPr>
              <w:t>/a</w:t>
            </w:r>
            <w:r w:rsidRPr="00D66432">
              <w:rPr>
                <w:sz w:val="21"/>
                <w:szCs w:val="21"/>
                <w:lang w:val="lt-LT"/>
              </w:rPr>
              <w:t xml:space="preserve"> elementas yra n</w:t>
            </w:r>
            <w:r w:rsidR="00A543BF" w:rsidRPr="00D66432">
              <w:rPr>
                <w:sz w:val="21"/>
                <w:szCs w:val="21"/>
                <w:lang w:val="lt-LT"/>
              </w:rPr>
              <w:t xml:space="preserve">eįprastas, didelės vertės, </w:t>
            </w:r>
            <w:r w:rsidRPr="00D66432">
              <w:rPr>
                <w:sz w:val="21"/>
                <w:szCs w:val="21"/>
                <w:lang w:val="lt-LT"/>
              </w:rPr>
              <w:t xml:space="preserve">turtas jautrus neteisėtam pasisavinimui, </w:t>
            </w:r>
            <w:r w:rsidR="009D6002">
              <w:rPr>
                <w:sz w:val="21"/>
                <w:szCs w:val="21"/>
                <w:lang w:val="lt-LT"/>
              </w:rPr>
              <w:t xml:space="preserve">būdingi </w:t>
            </w:r>
            <w:r w:rsidR="00E50F28" w:rsidRPr="00D66432">
              <w:rPr>
                <w:sz w:val="21"/>
                <w:szCs w:val="21"/>
                <w:lang w:val="lt-LT"/>
              </w:rPr>
              <w:t xml:space="preserve">itin </w:t>
            </w:r>
            <w:r w:rsidR="00A543BF" w:rsidRPr="00D66432">
              <w:rPr>
                <w:sz w:val="21"/>
                <w:szCs w:val="21"/>
                <w:lang w:val="lt-LT"/>
              </w:rPr>
              <w:t>sudėting</w:t>
            </w:r>
            <w:r w:rsidR="009D6002">
              <w:rPr>
                <w:sz w:val="21"/>
                <w:szCs w:val="21"/>
                <w:lang w:val="lt-LT"/>
              </w:rPr>
              <w:t>i</w:t>
            </w:r>
            <w:r w:rsidR="00A543BF" w:rsidRPr="00D66432">
              <w:rPr>
                <w:sz w:val="21"/>
                <w:szCs w:val="21"/>
                <w:lang w:val="lt-LT"/>
              </w:rPr>
              <w:t xml:space="preserve"> skaičiavim</w:t>
            </w:r>
            <w:r w:rsidR="009D6002">
              <w:rPr>
                <w:sz w:val="21"/>
                <w:szCs w:val="21"/>
                <w:lang w:val="lt-LT"/>
              </w:rPr>
              <w:t xml:space="preserve">ai ar </w:t>
            </w:r>
            <w:r w:rsidR="00A543BF" w:rsidRPr="00D66432">
              <w:rPr>
                <w:sz w:val="21"/>
                <w:szCs w:val="21"/>
                <w:lang w:val="lt-LT"/>
              </w:rPr>
              <w:t>subjektyv</w:t>
            </w:r>
            <w:r w:rsidR="009D6002">
              <w:rPr>
                <w:sz w:val="21"/>
                <w:szCs w:val="21"/>
                <w:lang w:val="lt-LT"/>
              </w:rPr>
              <w:t>ūs</w:t>
            </w:r>
            <w:r w:rsidR="00A543BF" w:rsidRPr="00D66432">
              <w:rPr>
                <w:sz w:val="21"/>
                <w:szCs w:val="21"/>
                <w:lang w:val="lt-LT"/>
              </w:rPr>
              <w:t xml:space="preserve"> sprendim</w:t>
            </w:r>
            <w:r w:rsidR="009D6002">
              <w:rPr>
                <w:sz w:val="21"/>
                <w:szCs w:val="21"/>
                <w:lang w:val="lt-LT"/>
              </w:rPr>
              <w:t>ai</w:t>
            </w:r>
            <w:r w:rsidR="00A543BF" w:rsidRPr="00D66432">
              <w:rPr>
                <w:sz w:val="21"/>
                <w:szCs w:val="21"/>
                <w:lang w:val="lt-LT"/>
              </w:rPr>
              <w:t xml:space="preserve">, </w:t>
            </w:r>
            <w:r w:rsidR="00E50F28" w:rsidRPr="00D66432">
              <w:rPr>
                <w:sz w:val="21"/>
                <w:szCs w:val="21"/>
                <w:lang w:val="lt-LT"/>
              </w:rPr>
              <w:t xml:space="preserve">anksčiau buvo nustatyta </w:t>
            </w:r>
            <w:r w:rsidRPr="00D66432">
              <w:rPr>
                <w:sz w:val="21"/>
                <w:szCs w:val="21"/>
                <w:lang w:val="lt-LT"/>
              </w:rPr>
              <w:t xml:space="preserve">daug </w:t>
            </w:r>
            <w:r w:rsidR="00E50F28" w:rsidRPr="00D66432">
              <w:rPr>
                <w:sz w:val="21"/>
                <w:szCs w:val="21"/>
                <w:lang w:val="lt-LT"/>
              </w:rPr>
              <w:t xml:space="preserve">iškraipymų ar </w:t>
            </w:r>
            <w:r w:rsidR="00A543BF" w:rsidRPr="00D66432">
              <w:rPr>
                <w:sz w:val="21"/>
                <w:szCs w:val="21"/>
                <w:lang w:val="lt-LT"/>
              </w:rPr>
              <w:t>yra veikiamas kitų įmonės aplinkos sąlygų</w:t>
            </w:r>
          </w:p>
        </w:tc>
      </w:tr>
      <w:tr w:rsidR="000F49C5" w:rsidRPr="00DA03DC" w:rsidTr="00D66432">
        <w:trPr>
          <w:trHeight w:hRule="exact" w:val="510"/>
        </w:trPr>
        <w:tc>
          <w:tcPr>
            <w:tcW w:w="1668"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rsidR="000F49C5" w:rsidRPr="00D66432" w:rsidRDefault="0025194A" w:rsidP="00A543BF">
            <w:pPr>
              <w:pStyle w:val="NormalWeb"/>
              <w:spacing w:before="0" w:beforeAutospacing="0" w:after="0" w:afterAutospacing="0"/>
              <w:jc w:val="center"/>
              <w:rPr>
                <w:b/>
                <w:sz w:val="21"/>
                <w:szCs w:val="21"/>
                <w:lang w:val="lt-LT"/>
              </w:rPr>
            </w:pPr>
            <w:r w:rsidRPr="00D66432">
              <w:rPr>
                <w:b/>
                <w:sz w:val="21"/>
                <w:szCs w:val="21"/>
                <w:lang w:val="lt-LT"/>
              </w:rPr>
              <w:t>tvirtinimo</w:t>
            </w:r>
            <w:r w:rsidR="000F49C5" w:rsidRPr="00D66432">
              <w:rPr>
                <w:b/>
                <w:sz w:val="21"/>
                <w:szCs w:val="21"/>
                <w:lang w:val="lt-LT"/>
              </w:rPr>
              <w:t xml:space="preserve"> lygmeniu</w:t>
            </w:r>
          </w:p>
        </w:tc>
        <w:tc>
          <w:tcPr>
            <w:tcW w:w="6620" w:type="dxa"/>
            <w:tcBorders>
              <w:top w:val="single" w:sz="12" w:space="0" w:color="auto"/>
              <w:left w:val="single" w:sz="2" w:space="0" w:color="auto"/>
              <w:bottom w:val="single" w:sz="2" w:space="0" w:color="auto"/>
              <w:right w:val="single" w:sz="12" w:space="0" w:color="auto"/>
            </w:tcBorders>
            <w:shd w:val="clear" w:color="auto" w:fill="FFFFFF" w:themeFill="background1"/>
            <w:vAlign w:val="center"/>
          </w:tcPr>
          <w:p w:rsidR="000F49C5" w:rsidRPr="00D66432" w:rsidRDefault="000F49C5" w:rsidP="00CF6088">
            <w:pPr>
              <w:pStyle w:val="NormalWeb"/>
              <w:spacing w:before="0" w:beforeAutospacing="0" w:after="0" w:afterAutospacing="0"/>
              <w:jc w:val="center"/>
              <w:rPr>
                <w:b/>
                <w:sz w:val="21"/>
                <w:szCs w:val="21"/>
                <w:lang w:val="lt-LT"/>
              </w:rPr>
            </w:pPr>
            <w:r w:rsidRPr="00D66432">
              <w:rPr>
                <w:b/>
                <w:sz w:val="21"/>
                <w:szCs w:val="21"/>
                <w:lang w:val="lt-LT"/>
              </w:rPr>
              <w:t>Vidaus kontrolės sistem</w:t>
            </w:r>
            <w:r w:rsidR="00270D94" w:rsidRPr="00D66432">
              <w:rPr>
                <w:b/>
                <w:sz w:val="21"/>
                <w:szCs w:val="21"/>
                <w:lang w:val="lt-LT"/>
              </w:rPr>
              <w:t>a</w:t>
            </w:r>
            <w:r w:rsidR="00CF6088" w:rsidRPr="00D66432">
              <w:rPr>
                <w:b/>
                <w:sz w:val="21"/>
                <w:szCs w:val="21"/>
                <w:lang w:val="lt-LT"/>
              </w:rPr>
              <w:t xml:space="preserve"> (VKS)</w:t>
            </w:r>
            <w:r w:rsidR="00270D94" w:rsidRPr="00D66432">
              <w:rPr>
                <w:b/>
                <w:sz w:val="21"/>
                <w:szCs w:val="21"/>
                <w:lang w:val="lt-LT"/>
              </w:rPr>
              <w:t>, taikoma finansinių ataskaitų elementui ir/ar jo tvirtinimui</w:t>
            </w:r>
          </w:p>
        </w:tc>
      </w:tr>
      <w:tr w:rsidR="00A543BF" w:rsidRPr="00DA03DC" w:rsidTr="00D66432">
        <w:tc>
          <w:tcPr>
            <w:tcW w:w="595" w:type="dxa"/>
            <w:vMerge w:val="restart"/>
            <w:tcBorders>
              <w:top w:val="single" w:sz="2" w:space="0" w:color="auto"/>
              <w:left w:val="single" w:sz="12" w:space="0" w:color="auto"/>
              <w:right w:val="single" w:sz="2" w:space="0" w:color="auto"/>
            </w:tcBorders>
            <w:shd w:val="clear" w:color="auto" w:fill="FFFFFF" w:themeFill="background1"/>
            <w:textDirection w:val="btLr"/>
            <w:vAlign w:val="center"/>
          </w:tcPr>
          <w:p w:rsidR="00A543BF" w:rsidRPr="00D66432" w:rsidRDefault="00A543BF" w:rsidP="00126C83">
            <w:pPr>
              <w:pStyle w:val="NormalWeb"/>
              <w:spacing w:before="0" w:beforeAutospacing="0" w:after="0" w:afterAutospacing="0"/>
              <w:ind w:left="113" w:right="113"/>
              <w:jc w:val="center"/>
              <w:rPr>
                <w:sz w:val="21"/>
                <w:szCs w:val="21"/>
                <w:lang w:val="lt-LT"/>
              </w:rPr>
            </w:pPr>
            <w:r w:rsidRPr="00D66432">
              <w:rPr>
                <w:b/>
                <w:sz w:val="21"/>
                <w:szCs w:val="21"/>
                <w:lang w:val="lt-LT"/>
              </w:rPr>
              <w:t>Kontrolės rizika</w:t>
            </w: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lt-LT"/>
              </w:rPr>
            </w:pPr>
            <w:r w:rsidRPr="00D66432">
              <w:rPr>
                <w:b/>
                <w:sz w:val="21"/>
                <w:szCs w:val="21"/>
                <w:lang w:val="lt-LT"/>
              </w:rPr>
              <w:t>Maža</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w:t>
            </w:r>
            <w:r w:rsidRPr="00D66432">
              <w:rPr>
                <w:b/>
                <w:sz w:val="21"/>
                <w:szCs w:val="21"/>
                <w:lang w:val="lt-LT"/>
              </w:rPr>
              <w:t>0-40</w:t>
            </w:r>
            <w:r w:rsidRPr="00D66432">
              <w:rPr>
                <w:b/>
                <w:sz w:val="21"/>
                <w:szCs w:val="21"/>
                <w:lang w:val="ru-RU"/>
              </w:rPr>
              <w:t>%)</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tcPr>
          <w:p w:rsidR="00A543BF" w:rsidRPr="00D66432" w:rsidRDefault="00A543BF" w:rsidP="006F5420">
            <w:pPr>
              <w:pStyle w:val="NormalWeb"/>
              <w:spacing w:before="0" w:beforeAutospacing="0" w:after="0" w:afterAutospacing="0"/>
              <w:rPr>
                <w:sz w:val="21"/>
                <w:szCs w:val="21"/>
                <w:lang w:val="lt-LT"/>
              </w:rPr>
            </w:pPr>
            <w:r w:rsidRPr="00D66432">
              <w:rPr>
                <w:sz w:val="21"/>
                <w:szCs w:val="21"/>
                <w:lang w:val="lt-LT"/>
              </w:rPr>
              <w:t xml:space="preserve">VKS veiksminga – atlikus kontrolės testus </w:t>
            </w:r>
            <w:r w:rsidR="00E83289" w:rsidRPr="00D66432">
              <w:rPr>
                <w:sz w:val="21"/>
                <w:szCs w:val="21"/>
                <w:lang w:val="lt-LT"/>
              </w:rPr>
              <w:t>(</w:t>
            </w:r>
            <w:r w:rsidRPr="00D66432">
              <w:rPr>
                <w:sz w:val="21"/>
                <w:szCs w:val="21"/>
                <w:lang w:val="lt-LT"/>
              </w:rPr>
              <w:t>visa apimtimi</w:t>
            </w:r>
            <w:r w:rsidR="00E83289" w:rsidRPr="00D66432">
              <w:rPr>
                <w:sz w:val="21"/>
                <w:szCs w:val="21"/>
                <w:lang w:val="lt-LT"/>
              </w:rPr>
              <w:t>)</w:t>
            </w:r>
            <w:r w:rsidR="006315B0" w:rsidRPr="00D66432">
              <w:rPr>
                <w:sz w:val="21"/>
                <w:szCs w:val="21"/>
                <w:lang w:val="lt-LT"/>
              </w:rPr>
              <w:t xml:space="preserve"> ir įsitikinus </w:t>
            </w:r>
            <w:r w:rsidR="00E83289" w:rsidRPr="00D66432">
              <w:rPr>
                <w:sz w:val="21"/>
                <w:szCs w:val="21"/>
                <w:lang w:val="lt-LT"/>
              </w:rPr>
              <w:t xml:space="preserve">visišku </w:t>
            </w:r>
            <w:r w:rsidR="006315B0" w:rsidRPr="00D66432">
              <w:rPr>
                <w:sz w:val="21"/>
                <w:szCs w:val="21"/>
                <w:lang w:val="lt-LT"/>
              </w:rPr>
              <w:t xml:space="preserve">susijusių kontrolės procedūrų </w:t>
            </w:r>
            <w:r w:rsidR="006F5420" w:rsidRPr="00D66432">
              <w:rPr>
                <w:sz w:val="21"/>
                <w:szCs w:val="21"/>
                <w:lang w:val="lt-LT"/>
              </w:rPr>
              <w:t>veiksmingumu.</w:t>
            </w:r>
            <w:r w:rsidR="006315B0" w:rsidRPr="00D66432">
              <w:rPr>
                <w:sz w:val="21"/>
                <w:szCs w:val="21"/>
                <w:lang w:val="lt-LT"/>
              </w:rPr>
              <w:t xml:space="preserve"> </w:t>
            </w:r>
          </w:p>
        </w:tc>
      </w:tr>
      <w:tr w:rsidR="00A543BF" w:rsidRPr="00DA03DC" w:rsidTr="00D66432">
        <w:tc>
          <w:tcPr>
            <w:tcW w:w="595" w:type="dxa"/>
            <w:vMerge/>
            <w:tcBorders>
              <w:left w:val="single" w:sz="12" w:space="0" w:color="auto"/>
              <w:right w:val="single" w:sz="2" w:space="0" w:color="auto"/>
            </w:tcBorders>
            <w:shd w:val="clear" w:color="auto" w:fill="FFFFFF" w:themeFill="background1"/>
            <w:vAlign w:val="center"/>
          </w:tcPr>
          <w:p w:rsidR="00A543BF" w:rsidRPr="00D66432" w:rsidRDefault="00A543BF" w:rsidP="00A543BF">
            <w:pPr>
              <w:pStyle w:val="NormalWeb"/>
              <w:spacing w:before="0" w:beforeAutospacing="0" w:after="0" w:afterAutospacing="0"/>
              <w:jc w:val="center"/>
              <w:rPr>
                <w:sz w:val="21"/>
                <w:szCs w:val="21"/>
                <w:lang w:val="lt-LT"/>
              </w:rPr>
            </w:pP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lt-LT"/>
              </w:rPr>
              <w:t>Vidutinė</w:t>
            </w:r>
          </w:p>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ru-RU"/>
              </w:rPr>
              <w:t>(41-60%)</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tcPr>
          <w:p w:rsidR="00A543BF" w:rsidRPr="00D66432" w:rsidRDefault="00A543BF" w:rsidP="006F5420">
            <w:pPr>
              <w:pStyle w:val="NormalWeb"/>
              <w:spacing w:before="0" w:beforeAutospacing="0" w:after="0" w:afterAutospacing="0"/>
              <w:rPr>
                <w:sz w:val="21"/>
                <w:szCs w:val="21"/>
                <w:lang w:val="lt-LT"/>
              </w:rPr>
            </w:pPr>
            <w:r w:rsidRPr="00D66432">
              <w:rPr>
                <w:sz w:val="21"/>
                <w:szCs w:val="21"/>
                <w:lang w:val="lt-LT"/>
              </w:rPr>
              <w:t xml:space="preserve">VKS veiksminga – atlikus kontrolės testus </w:t>
            </w:r>
            <w:r w:rsidR="00E83289" w:rsidRPr="00D66432">
              <w:rPr>
                <w:sz w:val="21"/>
                <w:szCs w:val="21"/>
                <w:lang w:val="lt-LT"/>
              </w:rPr>
              <w:t xml:space="preserve">(visa ar </w:t>
            </w:r>
            <w:r w:rsidRPr="00D66432">
              <w:rPr>
                <w:sz w:val="21"/>
                <w:szCs w:val="21"/>
                <w:lang w:val="lt-LT"/>
              </w:rPr>
              <w:t>ribota apimtimi</w:t>
            </w:r>
            <w:r w:rsidR="00E83289" w:rsidRPr="00D66432">
              <w:rPr>
                <w:sz w:val="21"/>
                <w:szCs w:val="21"/>
                <w:lang w:val="lt-LT"/>
              </w:rPr>
              <w:t>)</w:t>
            </w:r>
            <w:r w:rsidR="006315B0" w:rsidRPr="00D66432">
              <w:rPr>
                <w:sz w:val="21"/>
                <w:szCs w:val="21"/>
                <w:lang w:val="lt-LT"/>
              </w:rPr>
              <w:t xml:space="preserve"> ir įsitikinus </w:t>
            </w:r>
            <w:r w:rsidR="006F5420" w:rsidRPr="00D66432">
              <w:rPr>
                <w:sz w:val="21"/>
                <w:szCs w:val="21"/>
                <w:lang w:val="lt-LT"/>
              </w:rPr>
              <w:t>galimu</w:t>
            </w:r>
            <w:r w:rsidR="00E83289" w:rsidRPr="00D66432">
              <w:rPr>
                <w:sz w:val="21"/>
                <w:szCs w:val="21"/>
                <w:lang w:val="lt-LT"/>
              </w:rPr>
              <w:t xml:space="preserve"> </w:t>
            </w:r>
            <w:r w:rsidR="006315B0" w:rsidRPr="00D66432">
              <w:rPr>
                <w:sz w:val="21"/>
                <w:szCs w:val="21"/>
                <w:lang w:val="lt-LT"/>
              </w:rPr>
              <w:t xml:space="preserve">susijusių kontrolės procedūrų </w:t>
            </w:r>
            <w:r w:rsidR="006F5420" w:rsidRPr="00D66432">
              <w:rPr>
                <w:sz w:val="21"/>
                <w:szCs w:val="21"/>
                <w:lang w:val="lt-LT"/>
              </w:rPr>
              <w:t>neveiksmingumu</w:t>
            </w:r>
            <w:r w:rsidR="006315B0" w:rsidRPr="00D66432">
              <w:rPr>
                <w:sz w:val="21"/>
                <w:szCs w:val="21"/>
                <w:lang w:val="lt-LT"/>
              </w:rPr>
              <w:t>.</w:t>
            </w:r>
          </w:p>
        </w:tc>
      </w:tr>
      <w:tr w:rsidR="00A543BF" w:rsidRPr="00DA03DC" w:rsidTr="00D66432">
        <w:tc>
          <w:tcPr>
            <w:tcW w:w="595" w:type="dxa"/>
            <w:vMerge/>
            <w:tcBorders>
              <w:left w:val="single" w:sz="12" w:space="0" w:color="auto"/>
              <w:right w:val="single" w:sz="2" w:space="0" w:color="auto"/>
            </w:tcBorders>
            <w:shd w:val="clear" w:color="auto" w:fill="FFFFFF" w:themeFill="background1"/>
            <w:vAlign w:val="center"/>
          </w:tcPr>
          <w:p w:rsidR="00A543BF" w:rsidRPr="00D66432" w:rsidRDefault="00A543BF" w:rsidP="00A543BF">
            <w:pPr>
              <w:pStyle w:val="NormalWeb"/>
              <w:spacing w:before="0" w:beforeAutospacing="0" w:after="0" w:afterAutospacing="0"/>
              <w:jc w:val="center"/>
              <w:rPr>
                <w:sz w:val="21"/>
                <w:szCs w:val="21"/>
                <w:lang w:val="lt-LT"/>
              </w:rPr>
            </w:pPr>
          </w:p>
        </w:tc>
        <w:tc>
          <w:tcPr>
            <w:tcW w:w="1073" w:type="dxa"/>
            <w:tcBorders>
              <w:top w:val="single" w:sz="2" w:space="0" w:color="auto"/>
              <w:left w:val="single" w:sz="2" w:space="0" w:color="auto"/>
              <w:bottom w:val="single" w:sz="2" w:space="0" w:color="auto"/>
              <w:right w:val="single" w:sz="2" w:space="0" w:color="auto"/>
            </w:tcBorders>
            <w:shd w:val="clear" w:color="auto" w:fill="FFFFFF" w:themeFill="background1"/>
          </w:tcPr>
          <w:p w:rsidR="00A543BF" w:rsidRPr="00D66432" w:rsidRDefault="00A543BF" w:rsidP="00A543BF">
            <w:pPr>
              <w:pStyle w:val="NormalWeb"/>
              <w:spacing w:before="0" w:beforeAutospacing="0" w:after="0" w:afterAutospacing="0"/>
              <w:jc w:val="both"/>
              <w:rPr>
                <w:b/>
                <w:sz w:val="21"/>
                <w:szCs w:val="21"/>
                <w:lang w:val="ru-RU"/>
              </w:rPr>
            </w:pPr>
            <w:r w:rsidRPr="00D66432">
              <w:rPr>
                <w:b/>
                <w:sz w:val="21"/>
                <w:szCs w:val="21"/>
                <w:lang w:val="lt-LT"/>
              </w:rPr>
              <w:t>Didelė</w:t>
            </w:r>
          </w:p>
          <w:p w:rsidR="00A543BF" w:rsidRPr="00D66432" w:rsidRDefault="00A543BF" w:rsidP="00A543BF">
            <w:pPr>
              <w:pStyle w:val="NormalWeb"/>
              <w:spacing w:before="0" w:beforeAutospacing="0" w:after="0" w:afterAutospacing="0"/>
              <w:jc w:val="both"/>
              <w:rPr>
                <w:b/>
                <w:sz w:val="21"/>
                <w:szCs w:val="21"/>
                <w:lang w:val="lt-LT"/>
              </w:rPr>
            </w:pPr>
            <w:r w:rsidRPr="00D66432">
              <w:rPr>
                <w:b/>
                <w:sz w:val="21"/>
                <w:szCs w:val="21"/>
                <w:lang w:val="ru-RU"/>
              </w:rPr>
              <w:t>(61-100%)</w:t>
            </w:r>
          </w:p>
        </w:tc>
        <w:tc>
          <w:tcPr>
            <w:tcW w:w="6620" w:type="dxa"/>
            <w:tcBorders>
              <w:top w:val="single" w:sz="2" w:space="0" w:color="auto"/>
              <w:left w:val="single" w:sz="2" w:space="0" w:color="auto"/>
              <w:bottom w:val="single" w:sz="2" w:space="0" w:color="auto"/>
              <w:right w:val="single" w:sz="12" w:space="0" w:color="auto"/>
            </w:tcBorders>
            <w:shd w:val="clear" w:color="auto" w:fill="FFFFFF" w:themeFill="background1"/>
          </w:tcPr>
          <w:p w:rsidR="00A543BF" w:rsidRPr="00D66432" w:rsidRDefault="00A543BF" w:rsidP="00A543BF">
            <w:pPr>
              <w:pStyle w:val="NormalWeb"/>
              <w:spacing w:before="0" w:beforeAutospacing="0" w:after="0" w:afterAutospacing="0"/>
              <w:rPr>
                <w:sz w:val="21"/>
                <w:szCs w:val="21"/>
                <w:lang w:val="lt-LT"/>
              </w:rPr>
            </w:pPr>
            <w:r w:rsidRPr="00D66432">
              <w:rPr>
                <w:sz w:val="21"/>
                <w:szCs w:val="21"/>
                <w:lang w:val="lt-LT"/>
              </w:rPr>
              <w:t>VKS neveiksminga – atlikus kontrolės testus, bet nustačius jos neveiksmingumą (nebuvimą) ar neatlikus kontrolės testų</w:t>
            </w:r>
            <w:r w:rsidR="00E83289" w:rsidRPr="00D66432">
              <w:rPr>
                <w:sz w:val="21"/>
                <w:szCs w:val="21"/>
                <w:lang w:val="lt-LT"/>
              </w:rPr>
              <w:t>.</w:t>
            </w:r>
          </w:p>
        </w:tc>
      </w:tr>
    </w:tbl>
    <w:p w:rsidR="00C076D8" w:rsidRDefault="00C076D8" w:rsidP="00C076D8">
      <w:pPr>
        <w:spacing w:line="360" w:lineRule="auto"/>
        <w:jc w:val="both"/>
        <w:rPr>
          <w:lang w:val="lt-LT"/>
        </w:rPr>
      </w:pPr>
      <w:r w:rsidRPr="003F6A32">
        <w:rPr>
          <w:lang w:val="lt-LT"/>
        </w:rPr>
        <w:t xml:space="preserve">Šaltinis: </w:t>
      </w:r>
      <w:r>
        <w:rPr>
          <w:lang w:val="lt-LT"/>
        </w:rPr>
        <w:t>sudaryta autorės.</w:t>
      </w:r>
    </w:p>
    <w:p w:rsidR="0035347D" w:rsidRDefault="0035347D" w:rsidP="003038E4">
      <w:pPr>
        <w:pStyle w:val="NormalWeb"/>
        <w:spacing w:before="0" w:beforeAutospacing="0" w:after="0" w:afterAutospacing="0" w:line="360" w:lineRule="auto"/>
        <w:ind w:firstLine="720"/>
        <w:jc w:val="both"/>
        <w:rPr>
          <w:sz w:val="26"/>
          <w:szCs w:val="26"/>
          <w:lang w:val="lt-LT"/>
        </w:rPr>
      </w:pPr>
    </w:p>
    <w:p w:rsidR="00C011F2" w:rsidRDefault="009954D3" w:rsidP="00C011F2">
      <w:pPr>
        <w:spacing w:line="360" w:lineRule="auto"/>
        <w:ind w:firstLine="720"/>
        <w:jc w:val="both"/>
        <w:rPr>
          <w:sz w:val="26"/>
          <w:szCs w:val="26"/>
          <w:lang w:val="lt-LT"/>
        </w:rPr>
      </w:pPr>
      <w:r>
        <w:rPr>
          <w:sz w:val="26"/>
          <w:szCs w:val="26"/>
          <w:lang w:val="lt-LT"/>
        </w:rPr>
        <w:lastRenderedPageBreak/>
        <w:t xml:space="preserve">Svarbu </w:t>
      </w:r>
      <w:r w:rsidR="00C011F2">
        <w:rPr>
          <w:sz w:val="26"/>
          <w:szCs w:val="26"/>
          <w:lang w:val="lt-LT"/>
        </w:rPr>
        <w:t xml:space="preserve">ir </w:t>
      </w:r>
      <w:r>
        <w:rPr>
          <w:sz w:val="26"/>
          <w:szCs w:val="26"/>
          <w:lang w:val="lt-LT"/>
        </w:rPr>
        <w:t xml:space="preserve">tai, kad </w:t>
      </w:r>
      <w:r w:rsidRPr="009954D3">
        <w:rPr>
          <w:sz w:val="26"/>
          <w:szCs w:val="26"/>
          <w:lang w:val="lt-LT"/>
        </w:rPr>
        <w:t>audito rizikos komponentų įvertinimo skalėje</w:t>
      </w:r>
      <w:r w:rsidR="009D6002">
        <w:rPr>
          <w:sz w:val="26"/>
          <w:szCs w:val="26"/>
          <w:lang w:val="lt-LT"/>
        </w:rPr>
        <w:t xml:space="preserve"> (23 lentelė)</w:t>
      </w:r>
      <w:r>
        <w:rPr>
          <w:sz w:val="26"/>
          <w:szCs w:val="26"/>
          <w:lang w:val="lt-LT"/>
        </w:rPr>
        <w:t xml:space="preserve"> ne tik apibendrinama audito rizikos komponentų vertinimo praktika</w:t>
      </w:r>
      <w:r w:rsidRPr="00B62BD4">
        <w:rPr>
          <w:sz w:val="26"/>
          <w:szCs w:val="26"/>
          <w:lang w:val="lt-LT"/>
        </w:rPr>
        <w:t xml:space="preserve"> priklausomai nuo j</w:t>
      </w:r>
      <w:r>
        <w:rPr>
          <w:sz w:val="26"/>
          <w:szCs w:val="26"/>
          <w:lang w:val="lt-LT"/>
        </w:rPr>
        <w:t>uos</w:t>
      </w:r>
      <w:r w:rsidRPr="00B62BD4">
        <w:rPr>
          <w:sz w:val="26"/>
          <w:szCs w:val="26"/>
          <w:lang w:val="lt-LT"/>
        </w:rPr>
        <w:t xml:space="preserve"> lemiančių sąlygų pasireiškimo masto</w:t>
      </w:r>
      <w:r>
        <w:rPr>
          <w:sz w:val="26"/>
          <w:szCs w:val="26"/>
          <w:lang w:val="lt-LT"/>
        </w:rPr>
        <w:t>, bet ir parodoma, ka</w:t>
      </w:r>
      <w:r w:rsidR="00C71FA8">
        <w:rPr>
          <w:sz w:val="26"/>
          <w:szCs w:val="26"/>
          <w:lang w:val="lt-LT"/>
        </w:rPr>
        <w:t>ip</w:t>
      </w:r>
      <w:r>
        <w:rPr>
          <w:sz w:val="26"/>
          <w:szCs w:val="26"/>
          <w:lang w:val="lt-LT"/>
        </w:rPr>
        <w:t xml:space="preserve"> šis kokybinis vertinimas </w:t>
      </w:r>
      <w:r w:rsidR="00C71FA8">
        <w:rPr>
          <w:sz w:val="26"/>
          <w:szCs w:val="26"/>
          <w:lang w:val="lt-LT"/>
        </w:rPr>
        <w:t>susiejamas su</w:t>
      </w:r>
      <w:r>
        <w:rPr>
          <w:sz w:val="26"/>
          <w:szCs w:val="26"/>
          <w:lang w:val="lt-LT"/>
        </w:rPr>
        <w:t xml:space="preserve"> darbo autorės pasiūlytu </w:t>
      </w:r>
      <w:r w:rsidRPr="009954D3">
        <w:rPr>
          <w:sz w:val="26"/>
          <w:szCs w:val="26"/>
          <w:lang w:val="lt-LT"/>
        </w:rPr>
        <w:t xml:space="preserve">audito rizikos komponentų kiekybiniu įvertinimu. </w:t>
      </w:r>
    </w:p>
    <w:p w:rsidR="00C011F2" w:rsidRDefault="00C011F2" w:rsidP="00C011F2">
      <w:pPr>
        <w:spacing w:line="360" w:lineRule="auto"/>
        <w:ind w:firstLine="720"/>
        <w:jc w:val="both"/>
        <w:rPr>
          <w:sz w:val="26"/>
          <w:szCs w:val="26"/>
          <w:lang w:val="lt-LT"/>
        </w:rPr>
      </w:pPr>
      <w:r>
        <w:rPr>
          <w:sz w:val="26"/>
          <w:szCs w:val="26"/>
          <w:lang w:val="lt-LT"/>
        </w:rPr>
        <w:t xml:space="preserve">Kadangi </w:t>
      </w:r>
      <w:r w:rsidRPr="00630770">
        <w:rPr>
          <w:sz w:val="26"/>
          <w:szCs w:val="26"/>
          <w:lang w:val="lt-LT"/>
        </w:rPr>
        <w:t>audito rizikos komponentų įvertinimo skalė</w:t>
      </w:r>
      <w:r>
        <w:rPr>
          <w:sz w:val="26"/>
          <w:szCs w:val="26"/>
          <w:lang w:val="lt-LT"/>
        </w:rPr>
        <w:t xml:space="preserve"> papildo audito rizikos vertinimo modelio struktūrogr</w:t>
      </w:r>
      <w:r w:rsidRPr="009E7470">
        <w:rPr>
          <w:sz w:val="26"/>
          <w:szCs w:val="26"/>
          <w:lang w:val="lt-LT"/>
        </w:rPr>
        <w:t>amą</w:t>
      </w:r>
      <w:r w:rsidRPr="005556F1">
        <w:rPr>
          <w:sz w:val="26"/>
          <w:szCs w:val="26"/>
          <w:lang w:val="lt-LT"/>
        </w:rPr>
        <w:t>, todėl</w:t>
      </w:r>
      <w:r>
        <w:rPr>
          <w:sz w:val="26"/>
          <w:szCs w:val="26"/>
          <w:lang w:val="lt-LT"/>
        </w:rPr>
        <w:t xml:space="preserve"> ji turi būti </w:t>
      </w:r>
      <w:r w:rsidR="00C71FA8">
        <w:rPr>
          <w:sz w:val="26"/>
          <w:szCs w:val="26"/>
          <w:lang w:val="lt-LT"/>
        </w:rPr>
        <w:t>laikoma</w:t>
      </w:r>
      <w:r>
        <w:rPr>
          <w:sz w:val="26"/>
          <w:szCs w:val="26"/>
          <w:lang w:val="lt-LT"/>
        </w:rPr>
        <w:t xml:space="preserve"> </w:t>
      </w:r>
      <w:r w:rsidRPr="009E7470">
        <w:rPr>
          <w:sz w:val="26"/>
          <w:szCs w:val="26"/>
          <w:lang w:val="lt-LT"/>
        </w:rPr>
        <w:t>sud</w:t>
      </w:r>
      <w:r w:rsidR="00C71FA8">
        <w:rPr>
          <w:sz w:val="26"/>
          <w:szCs w:val="26"/>
          <w:lang w:val="lt-LT"/>
        </w:rPr>
        <w:t>ėtine</w:t>
      </w:r>
      <w:r>
        <w:rPr>
          <w:sz w:val="26"/>
          <w:szCs w:val="26"/>
          <w:lang w:val="lt-LT"/>
        </w:rPr>
        <w:t xml:space="preserve"> darbo autorės sudaryto audito rizikos vertinimo modelio dali</w:t>
      </w:r>
      <w:r w:rsidR="00C71FA8">
        <w:rPr>
          <w:sz w:val="26"/>
          <w:szCs w:val="26"/>
          <w:lang w:val="lt-LT"/>
        </w:rPr>
        <w:t>mi</w:t>
      </w:r>
      <w:r>
        <w:rPr>
          <w:sz w:val="26"/>
          <w:szCs w:val="26"/>
          <w:lang w:val="lt-LT"/>
        </w:rPr>
        <w:t>.</w:t>
      </w:r>
    </w:p>
    <w:p w:rsidR="00417D66" w:rsidRDefault="0093698F" w:rsidP="00417D66">
      <w:pPr>
        <w:pStyle w:val="NormalWeb"/>
        <w:spacing w:before="0" w:beforeAutospacing="0" w:after="0" w:afterAutospacing="0" w:line="360" w:lineRule="auto"/>
        <w:ind w:firstLine="720"/>
        <w:jc w:val="both"/>
        <w:rPr>
          <w:sz w:val="26"/>
          <w:szCs w:val="26"/>
          <w:lang w:val="lt-LT"/>
        </w:rPr>
      </w:pPr>
      <w:r w:rsidRPr="00FE0734">
        <w:rPr>
          <w:sz w:val="26"/>
          <w:szCs w:val="26"/>
          <w:lang w:val="lt-LT"/>
        </w:rPr>
        <w:t xml:space="preserve">Kitas svarbus dalykas plėtojant audito rizikos vertinimo modelį yra </w:t>
      </w:r>
      <w:r w:rsidR="00DE540C" w:rsidRPr="00FE0734">
        <w:rPr>
          <w:i/>
          <w:sz w:val="26"/>
          <w:szCs w:val="26"/>
          <w:lang w:val="lt-LT"/>
        </w:rPr>
        <w:t>ryši</w:t>
      </w:r>
      <w:r w:rsidRPr="00FE0734">
        <w:rPr>
          <w:i/>
          <w:sz w:val="26"/>
          <w:szCs w:val="26"/>
          <w:lang w:val="lt-LT"/>
        </w:rPr>
        <w:t>ų</w:t>
      </w:r>
      <w:r w:rsidR="00DE540C" w:rsidRPr="00FE0734">
        <w:rPr>
          <w:i/>
          <w:sz w:val="26"/>
          <w:szCs w:val="26"/>
          <w:lang w:val="lt-LT"/>
        </w:rPr>
        <w:t xml:space="preserve"> tarp atskirų audito rizikos komponentų</w:t>
      </w:r>
      <w:r w:rsidRPr="00FE0734">
        <w:rPr>
          <w:i/>
          <w:sz w:val="26"/>
          <w:szCs w:val="26"/>
          <w:lang w:val="lt-LT"/>
        </w:rPr>
        <w:t xml:space="preserve"> identifikavimas</w:t>
      </w:r>
      <w:r w:rsidR="00986C58" w:rsidRPr="00FE0734">
        <w:rPr>
          <w:i/>
          <w:sz w:val="26"/>
          <w:szCs w:val="26"/>
          <w:lang w:val="lt-LT"/>
        </w:rPr>
        <w:t>,</w:t>
      </w:r>
      <w:r w:rsidR="00986C58" w:rsidRPr="00FE0734">
        <w:rPr>
          <w:sz w:val="26"/>
          <w:szCs w:val="26"/>
          <w:lang w:val="lt-LT"/>
        </w:rPr>
        <w:t xml:space="preserve"> t. y. kaip </w:t>
      </w:r>
      <w:r w:rsidR="00DE540C" w:rsidRPr="00FE0734">
        <w:rPr>
          <w:sz w:val="26"/>
          <w:szCs w:val="26"/>
          <w:lang w:val="lt-LT"/>
        </w:rPr>
        <w:t>vieno audito rizikos k</w:t>
      </w:r>
      <w:r w:rsidR="00DE540C" w:rsidRPr="00DA03DC">
        <w:rPr>
          <w:sz w:val="26"/>
          <w:szCs w:val="26"/>
          <w:lang w:val="lt-LT"/>
        </w:rPr>
        <w:t xml:space="preserve">omponento </w:t>
      </w:r>
      <w:r w:rsidR="00A03A65" w:rsidRPr="00DA03DC">
        <w:rPr>
          <w:sz w:val="26"/>
          <w:szCs w:val="26"/>
          <w:lang w:val="lt-LT"/>
        </w:rPr>
        <w:t>pasireiškimas</w:t>
      </w:r>
      <w:r w:rsidR="00DE540C" w:rsidRPr="00DA03DC">
        <w:rPr>
          <w:sz w:val="26"/>
          <w:szCs w:val="26"/>
          <w:lang w:val="lt-LT"/>
        </w:rPr>
        <w:t xml:space="preserve"> lemia kit</w:t>
      </w:r>
      <w:r w:rsidR="00D6724E" w:rsidRPr="00DA03DC">
        <w:rPr>
          <w:sz w:val="26"/>
          <w:szCs w:val="26"/>
          <w:lang w:val="lt-LT"/>
        </w:rPr>
        <w:t>o</w:t>
      </w:r>
      <w:r w:rsidR="00DE540C" w:rsidRPr="00DA03DC">
        <w:rPr>
          <w:sz w:val="26"/>
          <w:szCs w:val="26"/>
          <w:lang w:val="lt-LT"/>
        </w:rPr>
        <w:t xml:space="preserve"> audito riziko</w:t>
      </w:r>
      <w:r w:rsidR="00DA6026" w:rsidRPr="00DA03DC">
        <w:rPr>
          <w:sz w:val="26"/>
          <w:szCs w:val="26"/>
          <w:lang w:val="lt-LT"/>
        </w:rPr>
        <w:t xml:space="preserve">s komponento </w:t>
      </w:r>
      <w:r w:rsidR="00D6724E" w:rsidRPr="00DA03DC">
        <w:rPr>
          <w:sz w:val="26"/>
          <w:szCs w:val="26"/>
          <w:lang w:val="lt-LT"/>
        </w:rPr>
        <w:t>lygį</w:t>
      </w:r>
      <w:r w:rsidR="00DE540C" w:rsidRPr="00DA03DC">
        <w:rPr>
          <w:sz w:val="26"/>
          <w:szCs w:val="26"/>
          <w:lang w:val="lt-LT"/>
        </w:rPr>
        <w:t xml:space="preserve">. </w:t>
      </w:r>
      <w:r w:rsidR="00A45FD1" w:rsidRPr="00DA03DC">
        <w:rPr>
          <w:sz w:val="26"/>
          <w:szCs w:val="26"/>
          <w:lang w:val="lt-LT"/>
        </w:rPr>
        <w:t>Nors mokslo darbuose (klasikinis, praplėstas, W.</w:t>
      </w:r>
      <w:r w:rsidR="00DA03DC">
        <w:rPr>
          <w:sz w:val="26"/>
          <w:szCs w:val="26"/>
          <w:lang w:val="lt-LT"/>
        </w:rPr>
        <w:t> </w:t>
      </w:r>
      <w:r w:rsidR="00A45FD1" w:rsidRPr="00DA03DC">
        <w:rPr>
          <w:sz w:val="26"/>
          <w:szCs w:val="26"/>
          <w:lang w:val="lt-LT"/>
        </w:rPr>
        <w:t>R.</w:t>
      </w:r>
      <w:r w:rsidR="00DA03DC">
        <w:rPr>
          <w:sz w:val="26"/>
          <w:szCs w:val="26"/>
          <w:lang w:val="lt-LT"/>
        </w:rPr>
        <w:t> </w:t>
      </w:r>
      <w:r w:rsidR="00A45FD1" w:rsidRPr="00DA03DC">
        <w:rPr>
          <w:sz w:val="26"/>
          <w:szCs w:val="26"/>
          <w:lang w:val="lt-LT"/>
        </w:rPr>
        <w:t>Kinney (1989), J.</w:t>
      </w:r>
      <w:r w:rsidR="005556F1">
        <w:rPr>
          <w:sz w:val="26"/>
          <w:szCs w:val="26"/>
          <w:lang w:val="lt-LT"/>
        </w:rPr>
        <w:t> </w:t>
      </w:r>
      <w:r w:rsidR="00A45FD1" w:rsidRPr="00DA03DC">
        <w:rPr>
          <w:sz w:val="26"/>
          <w:szCs w:val="26"/>
          <w:lang w:val="lt-LT"/>
        </w:rPr>
        <w:t>T.</w:t>
      </w:r>
      <w:r w:rsidR="005556F1">
        <w:rPr>
          <w:sz w:val="26"/>
          <w:szCs w:val="26"/>
          <w:lang w:val="lt-LT"/>
        </w:rPr>
        <w:t> </w:t>
      </w:r>
      <w:r w:rsidR="00A45FD1" w:rsidRPr="00DA03DC">
        <w:rPr>
          <w:sz w:val="26"/>
          <w:szCs w:val="26"/>
          <w:lang w:val="lt-LT"/>
        </w:rPr>
        <w:t xml:space="preserve">Sennetti (1990), R. P. Srivastava, G. R. Shafer (1992) ir ABREMA (1995) audito rizikos modeliai) </w:t>
      </w:r>
      <w:r w:rsidR="007F11CD" w:rsidRPr="00DA03DC">
        <w:rPr>
          <w:sz w:val="26"/>
          <w:szCs w:val="26"/>
          <w:lang w:val="lt-LT"/>
        </w:rPr>
        <w:t>audito rizikos komponentų tarpusavio ryši</w:t>
      </w:r>
      <w:r w:rsidR="00A45FD1" w:rsidRPr="00DA03DC">
        <w:rPr>
          <w:sz w:val="26"/>
          <w:szCs w:val="26"/>
          <w:lang w:val="lt-LT"/>
        </w:rPr>
        <w:t>us</w:t>
      </w:r>
      <w:r w:rsidR="007F11CD" w:rsidRPr="00DA03DC">
        <w:rPr>
          <w:sz w:val="26"/>
          <w:szCs w:val="26"/>
          <w:lang w:val="lt-LT"/>
        </w:rPr>
        <w:t xml:space="preserve"> </w:t>
      </w:r>
      <w:r w:rsidR="00986C58" w:rsidRPr="00DA03DC">
        <w:rPr>
          <w:sz w:val="26"/>
          <w:szCs w:val="26"/>
          <w:lang w:val="lt-LT"/>
        </w:rPr>
        <w:t xml:space="preserve">bandoma </w:t>
      </w:r>
      <w:r w:rsidR="007F11CD" w:rsidRPr="00DA03DC">
        <w:rPr>
          <w:sz w:val="26"/>
          <w:szCs w:val="26"/>
          <w:lang w:val="lt-LT"/>
        </w:rPr>
        <w:t>išreikšti matematine formule</w:t>
      </w:r>
      <w:r w:rsidR="00A45FD1" w:rsidRPr="00DA03DC">
        <w:rPr>
          <w:sz w:val="26"/>
          <w:szCs w:val="26"/>
          <w:lang w:val="lt-LT"/>
        </w:rPr>
        <w:t xml:space="preserve">, </w:t>
      </w:r>
      <w:r w:rsidR="00986C58">
        <w:rPr>
          <w:sz w:val="26"/>
          <w:szCs w:val="26"/>
          <w:lang w:val="lt-LT"/>
        </w:rPr>
        <w:t xml:space="preserve">tačiau </w:t>
      </w:r>
      <w:r w:rsidR="00154CF6" w:rsidRPr="006F314E">
        <w:rPr>
          <w:sz w:val="26"/>
          <w:szCs w:val="26"/>
          <w:lang w:val="lt-LT"/>
        </w:rPr>
        <w:t>išsiaiškinta,</w:t>
      </w:r>
      <w:r w:rsidR="007E60F3" w:rsidRPr="00DA03DC">
        <w:rPr>
          <w:sz w:val="26"/>
          <w:szCs w:val="26"/>
          <w:lang w:val="lt-LT"/>
        </w:rPr>
        <w:t xml:space="preserve"> kad šių formulių reikšmė daugiau teorinė nei praktinė</w:t>
      </w:r>
      <w:r w:rsidR="00A678F9" w:rsidRPr="00DA03DC">
        <w:rPr>
          <w:sz w:val="26"/>
          <w:szCs w:val="26"/>
          <w:lang w:val="lt-LT"/>
        </w:rPr>
        <w:t>. Visų pirma, klasikiniame</w:t>
      </w:r>
      <w:r w:rsidR="00493ECC" w:rsidRPr="00DA03DC">
        <w:rPr>
          <w:sz w:val="26"/>
          <w:szCs w:val="26"/>
          <w:lang w:val="lt-LT"/>
        </w:rPr>
        <w:t>, praplėstame ir ABREMA audito rizikos modeliuose</w:t>
      </w:r>
      <w:r w:rsidR="00A678F9" w:rsidRPr="00DA03DC">
        <w:rPr>
          <w:sz w:val="26"/>
          <w:szCs w:val="26"/>
          <w:lang w:val="lt-LT"/>
        </w:rPr>
        <w:t xml:space="preserve"> </w:t>
      </w:r>
      <w:r w:rsidR="00EC4ED7" w:rsidRPr="00DA03DC">
        <w:rPr>
          <w:sz w:val="26"/>
          <w:szCs w:val="26"/>
          <w:lang w:val="lt-LT"/>
        </w:rPr>
        <w:t>daugyba išreikštas ryšys tarp audito rizikos komponentų</w:t>
      </w:r>
      <w:r w:rsidR="00A45FD1" w:rsidRPr="00DA03DC">
        <w:rPr>
          <w:sz w:val="26"/>
          <w:szCs w:val="26"/>
          <w:lang w:val="lt-LT"/>
        </w:rPr>
        <w:t>,</w:t>
      </w:r>
      <w:r w:rsidR="00EC4ED7" w:rsidRPr="00DA03DC">
        <w:rPr>
          <w:sz w:val="26"/>
          <w:szCs w:val="26"/>
          <w:lang w:val="lt-LT"/>
        </w:rPr>
        <w:t xml:space="preserve"> </w:t>
      </w:r>
      <w:r w:rsidR="007D02A9" w:rsidRPr="00DA03DC">
        <w:rPr>
          <w:sz w:val="26"/>
          <w:szCs w:val="26"/>
          <w:lang w:val="lt-LT"/>
        </w:rPr>
        <w:t xml:space="preserve">rodo, kad </w:t>
      </w:r>
      <w:r w:rsidR="00C71FA8">
        <w:rPr>
          <w:sz w:val="26"/>
          <w:szCs w:val="26"/>
          <w:lang w:val="lt-LT"/>
        </w:rPr>
        <w:t xml:space="preserve">1) </w:t>
      </w:r>
      <w:r w:rsidR="007D02A9" w:rsidRPr="00DA03DC">
        <w:rPr>
          <w:sz w:val="26"/>
          <w:szCs w:val="26"/>
          <w:lang w:val="lt-LT"/>
        </w:rPr>
        <w:t xml:space="preserve">kintamieji yra nepriklausomi, todėl </w:t>
      </w:r>
      <w:r w:rsidR="00EC4ED7" w:rsidRPr="00DA03DC">
        <w:rPr>
          <w:sz w:val="26"/>
          <w:szCs w:val="26"/>
          <w:lang w:val="lt-LT"/>
        </w:rPr>
        <w:t xml:space="preserve">neatspindi </w:t>
      </w:r>
      <w:r w:rsidR="007D02A9" w:rsidRPr="00DA03DC">
        <w:rPr>
          <w:sz w:val="26"/>
          <w:szCs w:val="26"/>
          <w:lang w:val="lt-LT"/>
        </w:rPr>
        <w:t xml:space="preserve">tikros </w:t>
      </w:r>
      <w:r w:rsidR="00EC4ED7" w:rsidRPr="00DA03DC">
        <w:rPr>
          <w:sz w:val="26"/>
          <w:szCs w:val="26"/>
          <w:lang w:val="lt-LT"/>
        </w:rPr>
        <w:t>jų tarpusavio priklausomybės</w:t>
      </w:r>
      <w:r w:rsidR="00C71FA8">
        <w:rPr>
          <w:sz w:val="26"/>
          <w:szCs w:val="26"/>
          <w:lang w:val="lt-LT"/>
        </w:rPr>
        <w:t>,</w:t>
      </w:r>
      <w:r w:rsidR="00EE63C7" w:rsidRPr="00DA03DC">
        <w:rPr>
          <w:sz w:val="26"/>
          <w:szCs w:val="26"/>
          <w:lang w:val="lt-LT"/>
        </w:rPr>
        <w:t xml:space="preserve"> ir </w:t>
      </w:r>
      <w:r w:rsidR="00C71FA8">
        <w:rPr>
          <w:sz w:val="26"/>
          <w:szCs w:val="26"/>
          <w:lang w:val="lt-LT"/>
        </w:rPr>
        <w:t xml:space="preserve">2) </w:t>
      </w:r>
      <w:r w:rsidR="00EE63C7" w:rsidRPr="00DA03DC">
        <w:rPr>
          <w:sz w:val="26"/>
          <w:szCs w:val="26"/>
          <w:lang w:val="lt-LT"/>
        </w:rPr>
        <w:t xml:space="preserve">vertinant tolesnį </w:t>
      </w:r>
      <w:r w:rsidR="00D46BB1" w:rsidRPr="00DA03DC">
        <w:rPr>
          <w:sz w:val="26"/>
          <w:szCs w:val="26"/>
          <w:lang w:val="lt-LT"/>
        </w:rPr>
        <w:t xml:space="preserve">audito rizikos </w:t>
      </w:r>
      <w:r w:rsidR="00EE63C7" w:rsidRPr="00DA03DC">
        <w:rPr>
          <w:sz w:val="26"/>
          <w:szCs w:val="26"/>
          <w:lang w:val="lt-LT"/>
        </w:rPr>
        <w:t xml:space="preserve">komponentą </w:t>
      </w:r>
      <w:r w:rsidR="00C71FA8">
        <w:rPr>
          <w:sz w:val="26"/>
          <w:szCs w:val="26"/>
          <w:lang w:val="lt-LT"/>
        </w:rPr>
        <w:t xml:space="preserve">nėra </w:t>
      </w:r>
      <w:r w:rsidR="00EE63C7" w:rsidRPr="00DA03DC">
        <w:rPr>
          <w:sz w:val="26"/>
          <w:szCs w:val="26"/>
          <w:lang w:val="lt-LT"/>
        </w:rPr>
        <w:t>atsižvelgiama į ankstesn</w:t>
      </w:r>
      <w:r w:rsidR="00090A15" w:rsidRPr="00DA03DC">
        <w:rPr>
          <w:sz w:val="26"/>
          <w:szCs w:val="26"/>
          <w:lang w:val="lt-LT"/>
        </w:rPr>
        <w:t>įjį</w:t>
      </w:r>
      <w:r w:rsidR="00EC4ED7" w:rsidRPr="00DA03DC">
        <w:rPr>
          <w:sz w:val="26"/>
          <w:szCs w:val="26"/>
          <w:lang w:val="lt-LT"/>
        </w:rPr>
        <w:t>. Bajeso sprendimo taisykl</w:t>
      </w:r>
      <w:r w:rsidR="00493ECC" w:rsidRPr="00DA03DC">
        <w:rPr>
          <w:sz w:val="26"/>
          <w:szCs w:val="26"/>
          <w:lang w:val="lt-LT"/>
        </w:rPr>
        <w:t>e</w:t>
      </w:r>
      <w:r w:rsidR="00EE63C7" w:rsidRPr="00DA03DC">
        <w:rPr>
          <w:sz w:val="26"/>
          <w:szCs w:val="26"/>
          <w:lang w:val="lt-LT"/>
        </w:rPr>
        <w:t xml:space="preserve"> paremti audito rizikos modeliai (W.</w:t>
      </w:r>
      <w:r w:rsidR="005556F1">
        <w:rPr>
          <w:sz w:val="26"/>
          <w:szCs w:val="26"/>
          <w:lang w:val="lt-LT"/>
        </w:rPr>
        <w:t> </w:t>
      </w:r>
      <w:r w:rsidR="00EE63C7" w:rsidRPr="00DA03DC">
        <w:rPr>
          <w:sz w:val="26"/>
          <w:szCs w:val="26"/>
          <w:lang w:val="lt-LT"/>
        </w:rPr>
        <w:t>R.</w:t>
      </w:r>
      <w:r w:rsidR="005556F1">
        <w:rPr>
          <w:sz w:val="26"/>
          <w:szCs w:val="26"/>
          <w:lang w:val="lt-LT"/>
        </w:rPr>
        <w:t> </w:t>
      </w:r>
      <w:r w:rsidR="00EE63C7" w:rsidRPr="00DA03DC">
        <w:rPr>
          <w:sz w:val="26"/>
          <w:szCs w:val="26"/>
          <w:lang w:val="lt-LT"/>
        </w:rPr>
        <w:t xml:space="preserve">Kinney (1989), </w:t>
      </w:r>
      <w:r w:rsidR="00090A15" w:rsidRPr="00DA03DC">
        <w:rPr>
          <w:sz w:val="26"/>
          <w:szCs w:val="26"/>
          <w:lang w:val="lt-LT"/>
        </w:rPr>
        <w:t xml:space="preserve">S. J. Aldersley </w:t>
      </w:r>
      <w:r w:rsidR="00EE63C7" w:rsidRPr="00DA03DC">
        <w:rPr>
          <w:sz w:val="26"/>
          <w:szCs w:val="26"/>
          <w:lang w:val="lt-LT"/>
        </w:rPr>
        <w:t>(19</w:t>
      </w:r>
      <w:r w:rsidR="00090A15" w:rsidRPr="00DA03DC">
        <w:rPr>
          <w:sz w:val="26"/>
          <w:szCs w:val="26"/>
          <w:lang w:val="lt-LT"/>
        </w:rPr>
        <w:t>89</w:t>
      </w:r>
      <w:r w:rsidR="00EE63C7" w:rsidRPr="00DA03DC">
        <w:rPr>
          <w:sz w:val="26"/>
          <w:szCs w:val="26"/>
          <w:lang w:val="lt-LT"/>
        </w:rPr>
        <w:t>))</w:t>
      </w:r>
      <w:r w:rsidR="00D605D2" w:rsidRPr="00DA03DC">
        <w:rPr>
          <w:sz w:val="26"/>
          <w:szCs w:val="26"/>
          <w:lang w:val="lt-LT"/>
        </w:rPr>
        <w:t>,</w:t>
      </w:r>
      <w:r w:rsidR="00EE63C7" w:rsidRPr="00DA03DC">
        <w:rPr>
          <w:sz w:val="26"/>
          <w:szCs w:val="26"/>
          <w:lang w:val="lt-LT"/>
        </w:rPr>
        <w:t xml:space="preserve"> </w:t>
      </w:r>
      <w:r w:rsidR="00C71FA8">
        <w:rPr>
          <w:sz w:val="26"/>
          <w:szCs w:val="26"/>
          <w:lang w:val="lt-LT"/>
        </w:rPr>
        <w:t>atskleidžia</w:t>
      </w:r>
      <w:r w:rsidR="00EE63C7" w:rsidRPr="00DA03DC">
        <w:rPr>
          <w:sz w:val="26"/>
          <w:szCs w:val="26"/>
          <w:lang w:val="lt-LT"/>
        </w:rPr>
        <w:t xml:space="preserve">, kad audito rizikos </w:t>
      </w:r>
      <w:r w:rsidR="00D605D2" w:rsidRPr="00DA03DC">
        <w:rPr>
          <w:sz w:val="26"/>
          <w:szCs w:val="26"/>
          <w:lang w:val="lt-LT"/>
        </w:rPr>
        <w:t>komponentai yra sąlyginai susiję ir nustatomi vienas po kito</w:t>
      </w:r>
      <w:r w:rsidR="0004476D" w:rsidRPr="00DA03DC">
        <w:rPr>
          <w:sz w:val="26"/>
          <w:szCs w:val="26"/>
          <w:lang w:val="lt-LT"/>
        </w:rPr>
        <w:t xml:space="preserve">, todėl </w:t>
      </w:r>
      <w:r w:rsidR="00361B81" w:rsidRPr="00DA03DC">
        <w:rPr>
          <w:sz w:val="26"/>
          <w:szCs w:val="26"/>
          <w:lang w:val="lt-LT"/>
        </w:rPr>
        <w:t>panaikina</w:t>
      </w:r>
      <w:r w:rsidR="0004476D" w:rsidRPr="00DA03DC">
        <w:rPr>
          <w:sz w:val="26"/>
          <w:szCs w:val="26"/>
          <w:lang w:val="lt-LT"/>
        </w:rPr>
        <w:t xml:space="preserve"> </w:t>
      </w:r>
      <w:r w:rsidR="00D46BB1" w:rsidRPr="00DA03DC">
        <w:rPr>
          <w:sz w:val="26"/>
          <w:szCs w:val="26"/>
          <w:lang w:val="lt-LT"/>
        </w:rPr>
        <w:t xml:space="preserve">pirmiau </w:t>
      </w:r>
      <w:r w:rsidR="00361B81" w:rsidRPr="00DA03DC">
        <w:rPr>
          <w:sz w:val="26"/>
          <w:szCs w:val="26"/>
          <w:lang w:val="lt-LT"/>
        </w:rPr>
        <w:t xml:space="preserve">minėtiems </w:t>
      </w:r>
      <w:r w:rsidR="0004476D" w:rsidRPr="00DA03DC">
        <w:rPr>
          <w:sz w:val="26"/>
          <w:szCs w:val="26"/>
          <w:lang w:val="lt-LT"/>
        </w:rPr>
        <w:t>audito rizikos modeli</w:t>
      </w:r>
      <w:r w:rsidR="00361B81" w:rsidRPr="00DA03DC">
        <w:rPr>
          <w:sz w:val="26"/>
          <w:szCs w:val="26"/>
          <w:lang w:val="lt-LT"/>
        </w:rPr>
        <w:t>ams</w:t>
      </w:r>
      <w:r w:rsidR="0004476D" w:rsidRPr="00DA03DC">
        <w:rPr>
          <w:sz w:val="26"/>
          <w:szCs w:val="26"/>
          <w:lang w:val="lt-LT"/>
        </w:rPr>
        <w:t xml:space="preserve"> būdingą tr</w:t>
      </w:r>
      <w:r w:rsidR="00FE3051" w:rsidRPr="00DA03DC">
        <w:rPr>
          <w:sz w:val="26"/>
          <w:szCs w:val="26"/>
          <w:lang w:val="lt-LT"/>
        </w:rPr>
        <w:t>ū</w:t>
      </w:r>
      <w:r w:rsidR="0004476D" w:rsidRPr="00DA03DC">
        <w:rPr>
          <w:sz w:val="26"/>
          <w:szCs w:val="26"/>
          <w:lang w:val="lt-LT"/>
        </w:rPr>
        <w:t>kumą</w:t>
      </w:r>
      <w:r w:rsidR="00FE3051" w:rsidRPr="00DA03DC">
        <w:rPr>
          <w:sz w:val="26"/>
          <w:szCs w:val="26"/>
          <w:lang w:val="lt-LT"/>
        </w:rPr>
        <w:t>, tačiau ir čia agregacijos problema lieka neišspręsta</w:t>
      </w:r>
      <w:r w:rsidR="0004476D" w:rsidRPr="00DA03DC">
        <w:rPr>
          <w:sz w:val="26"/>
          <w:szCs w:val="26"/>
          <w:lang w:val="lt-LT"/>
        </w:rPr>
        <w:t xml:space="preserve">. Tuo </w:t>
      </w:r>
      <w:r w:rsidR="00EC4ED7" w:rsidRPr="00DA03DC">
        <w:rPr>
          <w:sz w:val="26"/>
          <w:szCs w:val="26"/>
          <w:lang w:val="lt-LT"/>
        </w:rPr>
        <w:t>tarp</w:t>
      </w:r>
      <w:r w:rsidR="00FE3051" w:rsidRPr="00DA03DC">
        <w:rPr>
          <w:sz w:val="26"/>
          <w:szCs w:val="26"/>
          <w:lang w:val="lt-LT"/>
        </w:rPr>
        <w:t>u tikėtinumo funkcijos šalininkai R. P.</w:t>
      </w:r>
      <w:r w:rsidR="005556F1">
        <w:rPr>
          <w:sz w:val="26"/>
          <w:szCs w:val="26"/>
          <w:lang w:val="lt-LT"/>
        </w:rPr>
        <w:t> </w:t>
      </w:r>
      <w:r w:rsidR="00FE3051" w:rsidRPr="00DA03DC">
        <w:rPr>
          <w:sz w:val="26"/>
          <w:szCs w:val="26"/>
          <w:lang w:val="lt-LT"/>
        </w:rPr>
        <w:t>Srivastava, G. R. Shafer (1992)</w:t>
      </w:r>
      <w:r w:rsidR="00CB04EE" w:rsidRPr="00DA03DC">
        <w:rPr>
          <w:sz w:val="26"/>
          <w:szCs w:val="26"/>
          <w:lang w:val="lt-LT"/>
        </w:rPr>
        <w:t xml:space="preserve"> nors ir pateikia matematines formules dėl audito rizikos vertinimo </w:t>
      </w:r>
      <w:r w:rsidR="00CA7D69" w:rsidRPr="00DA03DC">
        <w:rPr>
          <w:sz w:val="26"/>
          <w:szCs w:val="26"/>
          <w:lang w:val="lt-LT"/>
        </w:rPr>
        <w:t>skirtingu pasireiškimo lygmeniu</w:t>
      </w:r>
      <w:r w:rsidR="00CB04EE" w:rsidRPr="00DA03DC">
        <w:rPr>
          <w:sz w:val="26"/>
          <w:szCs w:val="26"/>
          <w:lang w:val="lt-LT"/>
        </w:rPr>
        <w:t xml:space="preserve">, </w:t>
      </w:r>
      <w:r w:rsidR="00375C7E" w:rsidRPr="00DA03DC">
        <w:rPr>
          <w:sz w:val="26"/>
          <w:szCs w:val="26"/>
          <w:lang w:val="lt-LT"/>
        </w:rPr>
        <w:t>kurios</w:t>
      </w:r>
      <w:r w:rsidR="00CB04EE" w:rsidRPr="00DA03DC">
        <w:rPr>
          <w:sz w:val="26"/>
          <w:szCs w:val="26"/>
          <w:lang w:val="lt-LT"/>
        </w:rPr>
        <w:t xml:space="preserve"> rodo, kad vertinant audito riziką finansinių ataskaitų lygmeniu turi būti atsižvelgiama į audito riziką, egzistuojančią sąska</w:t>
      </w:r>
      <w:r w:rsidR="00375C7E" w:rsidRPr="00DA03DC">
        <w:rPr>
          <w:sz w:val="26"/>
          <w:szCs w:val="26"/>
          <w:lang w:val="lt-LT"/>
        </w:rPr>
        <w:t xml:space="preserve">itos ir </w:t>
      </w:r>
      <w:r w:rsidR="0025194A" w:rsidRPr="00DA03DC">
        <w:rPr>
          <w:sz w:val="26"/>
          <w:szCs w:val="26"/>
          <w:lang w:val="lt-LT"/>
        </w:rPr>
        <w:t>tvirtinimo</w:t>
      </w:r>
      <w:r w:rsidR="00375C7E" w:rsidRPr="00DA03DC">
        <w:rPr>
          <w:sz w:val="26"/>
          <w:szCs w:val="26"/>
          <w:lang w:val="lt-LT"/>
        </w:rPr>
        <w:t xml:space="preserve"> lygmeniu ir pan., </w:t>
      </w:r>
      <w:r w:rsidR="00CB04EE" w:rsidRPr="00DA03DC">
        <w:rPr>
          <w:sz w:val="26"/>
          <w:szCs w:val="26"/>
          <w:lang w:val="lt-LT"/>
        </w:rPr>
        <w:t xml:space="preserve">tačiau </w:t>
      </w:r>
      <w:r w:rsidR="00C71FA8">
        <w:rPr>
          <w:sz w:val="26"/>
          <w:szCs w:val="26"/>
          <w:lang w:val="lt-LT"/>
        </w:rPr>
        <w:t xml:space="preserve">šių autorių modeliai </w:t>
      </w:r>
      <w:r w:rsidR="0027606D" w:rsidRPr="00DA03DC">
        <w:rPr>
          <w:sz w:val="26"/>
          <w:szCs w:val="26"/>
          <w:lang w:val="lt-LT"/>
        </w:rPr>
        <w:t xml:space="preserve">aiškiai </w:t>
      </w:r>
      <w:r w:rsidR="00CB04EE" w:rsidRPr="00DA03DC">
        <w:rPr>
          <w:sz w:val="26"/>
          <w:szCs w:val="26"/>
          <w:lang w:val="lt-LT"/>
        </w:rPr>
        <w:t>neatskleidžia k</w:t>
      </w:r>
      <w:r w:rsidR="00375C7E" w:rsidRPr="00DA03DC">
        <w:rPr>
          <w:sz w:val="26"/>
          <w:szCs w:val="26"/>
          <w:lang w:val="lt-LT"/>
        </w:rPr>
        <w:t>aip vie</w:t>
      </w:r>
      <w:r w:rsidR="0027606D" w:rsidRPr="00DA03DC">
        <w:rPr>
          <w:sz w:val="26"/>
          <w:szCs w:val="26"/>
          <w:lang w:val="lt-LT"/>
        </w:rPr>
        <w:t xml:space="preserve">ni audito rizikos komponentai </w:t>
      </w:r>
      <w:r w:rsidR="00375C7E" w:rsidRPr="00DA03DC">
        <w:rPr>
          <w:sz w:val="26"/>
          <w:szCs w:val="26"/>
          <w:lang w:val="lt-LT"/>
        </w:rPr>
        <w:t xml:space="preserve">lemia kitų </w:t>
      </w:r>
      <w:r w:rsidR="0027606D" w:rsidRPr="00DA03DC">
        <w:rPr>
          <w:sz w:val="26"/>
          <w:szCs w:val="26"/>
          <w:lang w:val="lt-LT"/>
        </w:rPr>
        <w:t>pasireiškim</w:t>
      </w:r>
      <w:r w:rsidR="00375C7E" w:rsidRPr="00DA03DC">
        <w:rPr>
          <w:sz w:val="26"/>
          <w:szCs w:val="26"/>
          <w:lang w:val="lt-LT"/>
        </w:rPr>
        <w:t xml:space="preserve">ą. </w:t>
      </w:r>
      <w:r w:rsidR="003038E4" w:rsidRPr="00B77598">
        <w:rPr>
          <w:sz w:val="26"/>
          <w:szCs w:val="26"/>
          <w:lang w:val="lt-LT"/>
        </w:rPr>
        <w:t xml:space="preserve">Išvardinti argumentai patvirtina teiginį, kad audito rizikos vertinimą yra sunku </w:t>
      </w:r>
      <w:r w:rsidR="003038E4" w:rsidRPr="00B77598">
        <w:rPr>
          <w:sz w:val="26"/>
          <w:szCs w:val="26"/>
          <w:lang w:val="lt-LT"/>
        </w:rPr>
        <w:lastRenderedPageBreak/>
        <w:t xml:space="preserve">sutalpinti į matematinės formulės rėmus. </w:t>
      </w:r>
      <w:r w:rsidR="001266E9" w:rsidRPr="001266E9">
        <w:rPr>
          <w:sz w:val="26"/>
          <w:szCs w:val="26"/>
          <w:lang w:val="lt-LT"/>
        </w:rPr>
        <w:t>D</w:t>
      </w:r>
      <w:r w:rsidR="003038E4" w:rsidRPr="001266E9">
        <w:rPr>
          <w:sz w:val="26"/>
          <w:szCs w:val="26"/>
          <w:lang w:val="lt-LT"/>
        </w:rPr>
        <w:t xml:space="preserve">arbo autorės nuomone, </w:t>
      </w:r>
      <w:r w:rsidR="00F91873">
        <w:rPr>
          <w:sz w:val="26"/>
          <w:szCs w:val="26"/>
          <w:lang w:val="lt-LT"/>
        </w:rPr>
        <w:t>audito rizikos vertinimo modelyje būtina atskleisti:</w:t>
      </w:r>
      <w:r w:rsidR="00F91873" w:rsidRPr="001266E9">
        <w:rPr>
          <w:sz w:val="26"/>
          <w:szCs w:val="26"/>
          <w:lang w:val="lt-LT"/>
        </w:rPr>
        <w:t xml:space="preserve"> </w:t>
      </w:r>
      <w:r w:rsidR="00F91873">
        <w:rPr>
          <w:sz w:val="26"/>
          <w:szCs w:val="26"/>
          <w:lang w:val="lt-LT"/>
        </w:rPr>
        <w:t xml:space="preserve">1) </w:t>
      </w:r>
      <w:r w:rsidR="003038E4" w:rsidRPr="001266E9">
        <w:rPr>
          <w:sz w:val="26"/>
          <w:szCs w:val="26"/>
          <w:lang w:val="lt-LT"/>
        </w:rPr>
        <w:t>tarpusavio ryši</w:t>
      </w:r>
      <w:r w:rsidR="009F4D97" w:rsidRPr="001266E9">
        <w:rPr>
          <w:sz w:val="26"/>
          <w:szCs w:val="26"/>
          <w:lang w:val="lt-LT"/>
        </w:rPr>
        <w:t>us</w:t>
      </w:r>
      <w:r w:rsidR="003038E4" w:rsidRPr="001266E9">
        <w:rPr>
          <w:sz w:val="26"/>
          <w:szCs w:val="26"/>
          <w:lang w:val="lt-LT"/>
        </w:rPr>
        <w:t xml:space="preserve"> tarp atskirų audito rizikos komponent</w:t>
      </w:r>
      <w:r w:rsidR="003038E4" w:rsidRPr="00B77598">
        <w:rPr>
          <w:sz w:val="26"/>
          <w:szCs w:val="26"/>
          <w:lang w:val="lt-LT"/>
        </w:rPr>
        <w:t>ų</w:t>
      </w:r>
      <w:r w:rsidR="009F4D97">
        <w:rPr>
          <w:sz w:val="26"/>
          <w:szCs w:val="26"/>
          <w:lang w:val="lt-LT"/>
        </w:rPr>
        <w:t xml:space="preserve"> </w:t>
      </w:r>
      <w:r w:rsidR="003038E4" w:rsidRPr="00B77598">
        <w:rPr>
          <w:sz w:val="26"/>
          <w:szCs w:val="26"/>
          <w:lang w:val="lt-LT"/>
        </w:rPr>
        <w:t xml:space="preserve">ir </w:t>
      </w:r>
      <w:r w:rsidR="00F91873">
        <w:rPr>
          <w:sz w:val="26"/>
          <w:szCs w:val="26"/>
          <w:lang w:val="lt-LT"/>
        </w:rPr>
        <w:t xml:space="preserve">2) </w:t>
      </w:r>
      <w:r w:rsidR="009F4D97">
        <w:rPr>
          <w:sz w:val="26"/>
          <w:szCs w:val="26"/>
          <w:lang w:val="lt-LT"/>
        </w:rPr>
        <w:t xml:space="preserve">jų įtaką </w:t>
      </w:r>
      <w:r w:rsidR="003038E4" w:rsidRPr="00B77598">
        <w:rPr>
          <w:sz w:val="26"/>
          <w:szCs w:val="26"/>
          <w:lang w:val="lt-LT"/>
        </w:rPr>
        <w:t>bendr</w:t>
      </w:r>
      <w:r w:rsidR="009F4D97">
        <w:rPr>
          <w:sz w:val="26"/>
          <w:szCs w:val="26"/>
          <w:lang w:val="lt-LT"/>
        </w:rPr>
        <w:t>am</w:t>
      </w:r>
      <w:r w:rsidR="003038E4" w:rsidRPr="00B77598">
        <w:rPr>
          <w:sz w:val="26"/>
          <w:szCs w:val="26"/>
          <w:lang w:val="lt-LT"/>
        </w:rPr>
        <w:t xml:space="preserve"> audito rizikos lyg</w:t>
      </w:r>
      <w:r w:rsidR="009F4D97">
        <w:rPr>
          <w:sz w:val="26"/>
          <w:szCs w:val="26"/>
          <w:lang w:val="lt-LT"/>
        </w:rPr>
        <w:t>iui</w:t>
      </w:r>
      <w:r w:rsidR="005529C8">
        <w:rPr>
          <w:sz w:val="26"/>
          <w:szCs w:val="26"/>
          <w:lang w:val="lt-LT"/>
        </w:rPr>
        <w:t xml:space="preserve">. </w:t>
      </w:r>
      <w:r w:rsidR="00E16124">
        <w:rPr>
          <w:sz w:val="26"/>
          <w:szCs w:val="26"/>
          <w:lang w:val="lt-LT"/>
        </w:rPr>
        <w:t>Tokie ryšiai nėra identifikuojami nagrinėtuose audito rizikos sampratos modeliuose</w:t>
      </w:r>
      <w:r w:rsidR="00E16124" w:rsidRPr="001266E9">
        <w:rPr>
          <w:sz w:val="26"/>
          <w:szCs w:val="26"/>
          <w:lang w:val="lt-LT"/>
        </w:rPr>
        <w:t>.</w:t>
      </w:r>
      <w:r w:rsidR="00E16124">
        <w:rPr>
          <w:sz w:val="26"/>
          <w:szCs w:val="26"/>
          <w:lang w:val="lt-LT"/>
        </w:rPr>
        <w:t xml:space="preserve"> </w:t>
      </w:r>
      <w:r w:rsidR="005529C8">
        <w:rPr>
          <w:sz w:val="26"/>
          <w:szCs w:val="26"/>
          <w:lang w:val="lt-LT"/>
        </w:rPr>
        <w:t xml:space="preserve">Šiam tikslui įgyvendinti </w:t>
      </w:r>
      <w:r w:rsidR="009F4D97">
        <w:rPr>
          <w:sz w:val="26"/>
          <w:szCs w:val="26"/>
          <w:lang w:val="lt-LT"/>
        </w:rPr>
        <w:t>sudaryta</w:t>
      </w:r>
      <w:r w:rsidR="009F4D97" w:rsidRPr="00C011F2">
        <w:rPr>
          <w:b/>
          <w:sz w:val="26"/>
          <w:szCs w:val="26"/>
          <w:lang w:val="lt-LT"/>
        </w:rPr>
        <w:t xml:space="preserve"> audito rizikos vertinimo schema</w:t>
      </w:r>
      <w:r w:rsidR="009F4D97" w:rsidRPr="00B77598">
        <w:rPr>
          <w:sz w:val="26"/>
          <w:szCs w:val="26"/>
          <w:lang w:val="lt-LT"/>
        </w:rPr>
        <w:t xml:space="preserve"> (20 pav.)</w:t>
      </w:r>
      <w:r w:rsidR="009F4D97">
        <w:rPr>
          <w:sz w:val="26"/>
          <w:szCs w:val="26"/>
          <w:lang w:val="lt-LT"/>
        </w:rPr>
        <w:t xml:space="preserve">. </w:t>
      </w:r>
    </w:p>
    <w:tbl>
      <w:tblPr>
        <w:tblStyle w:val="TableGrid"/>
        <w:tblpPr w:leftFromText="180" w:rightFromText="180" w:vertAnchor="text" w:horzAnchor="margin" w:tblpXSpec="center" w:tblpY="61"/>
        <w:tblOverlap w:val="never"/>
        <w:tblW w:w="0" w:type="auto"/>
        <w:tblLook w:val="04A0"/>
      </w:tblPr>
      <w:tblGrid>
        <w:gridCol w:w="1329"/>
        <w:gridCol w:w="1206"/>
        <w:gridCol w:w="1401"/>
        <w:gridCol w:w="1559"/>
        <w:gridCol w:w="1417"/>
      </w:tblGrid>
      <w:tr w:rsidR="007F0719" w:rsidRPr="00DA03DC" w:rsidTr="002D0AC3">
        <w:tc>
          <w:tcPr>
            <w:tcW w:w="6912" w:type="dxa"/>
            <w:gridSpan w:val="5"/>
            <w:tcBorders>
              <w:top w:val="single" w:sz="12" w:space="0" w:color="auto"/>
              <w:left w:val="single" w:sz="12" w:space="0" w:color="auto"/>
              <w:bottom w:val="single" w:sz="4" w:space="0" w:color="auto"/>
              <w:right w:val="single" w:sz="12" w:space="0" w:color="auto"/>
            </w:tcBorders>
          </w:tcPr>
          <w:p w:rsidR="007F0719" w:rsidRPr="00DA03DC" w:rsidRDefault="007F0719" w:rsidP="007F60D9">
            <w:pPr>
              <w:pStyle w:val="NormalWeb"/>
              <w:spacing w:before="0" w:beforeAutospacing="0" w:after="0" w:afterAutospacing="0" w:line="280" w:lineRule="exact"/>
              <w:jc w:val="center"/>
              <w:rPr>
                <w:b/>
                <w:sz w:val="22"/>
                <w:szCs w:val="22"/>
                <w:lang w:val="lt-LT"/>
              </w:rPr>
            </w:pPr>
            <w:r w:rsidRPr="00DA03DC">
              <w:rPr>
                <w:b/>
                <w:sz w:val="22"/>
                <w:szCs w:val="22"/>
                <w:lang w:val="lt-LT"/>
              </w:rPr>
              <w:t>Reikšmingo iškraipymo rizika</w:t>
            </w:r>
          </w:p>
        </w:tc>
      </w:tr>
      <w:tr w:rsidR="007F0719" w:rsidRPr="00DA03DC" w:rsidTr="002D0AC3">
        <w:tc>
          <w:tcPr>
            <w:tcW w:w="2535" w:type="dxa"/>
            <w:gridSpan w:val="2"/>
            <w:vMerge w:val="restart"/>
            <w:tcBorders>
              <w:top w:val="single" w:sz="4" w:space="0" w:color="auto"/>
              <w:left w:val="single" w:sz="12" w:space="0" w:color="auto"/>
              <w:bottom w:val="single" w:sz="12" w:space="0" w:color="auto"/>
            </w:tcBorders>
            <w:shd w:val="clear" w:color="auto" w:fill="D9D9D9" w:themeFill="background1" w:themeFillShade="D9"/>
            <w:vAlign w:val="center"/>
          </w:tcPr>
          <w:p w:rsidR="007F0719" w:rsidRPr="00DA03DC" w:rsidRDefault="007F0719" w:rsidP="007F60D9">
            <w:pPr>
              <w:pStyle w:val="NormalWeb"/>
              <w:spacing w:before="0" w:beforeAutospacing="0" w:after="0" w:afterAutospacing="0" w:line="280" w:lineRule="exact"/>
              <w:jc w:val="center"/>
              <w:rPr>
                <w:b/>
                <w:sz w:val="22"/>
                <w:szCs w:val="22"/>
                <w:lang w:val="lt-LT"/>
              </w:rPr>
            </w:pPr>
            <w:r w:rsidRPr="00DA03DC">
              <w:rPr>
                <w:b/>
                <w:sz w:val="22"/>
                <w:szCs w:val="22"/>
                <w:lang w:val="lt-LT"/>
              </w:rPr>
              <w:t>finansinių ataskaitų lygmeniu</w:t>
            </w:r>
          </w:p>
        </w:tc>
        <w:tc>
          <w:tcPr>
            <w:tcW w:w="4377" w:type="dxa"/>
            <w:gridSpan w:val="3"/>
            <w:tcBorders>
              <w:top w:val="single" w:sz="4" w:space="0" w:color="auto"/>
              <w:right w:val="single" w:sz="12" w:space="0" w:color="auto"/>
            </w:tcBorders>
          </w:tcPr>
          <w:p w:rsidR="007F0719" w:rsidRPr="00DA03DC" w:rsidRDefault="007F0719" w:rsidP="007F60D9">
            <w:pPr>
              <w:pStyle w:val="NormalWeb"/>
              <w:spacing w:before="0" w:beforeAutospacing="0" w:after="0" w:afterAutospacing="0" w:line="280" w:lineRule="exact"/>
              <w:jc w:val="center"/>
              <w:rPr>
                <w:b/>
                <w:sz w:val="22"/>
                <w:szCs w:val="22"/>
                <w:lang w:val="lt-LT"/>
              </w:rPr>
            </w:pPr>
            <w:r w:rsidRPr="00DA03DC">
              <w:rPr>
                <w:b/>
                <w:sz w:val="22"/>
                <w:szCs w:val="22"/>
                <w:lang w:val="lt-LT"/>
              </w:rPr>
              <w:t>tvirtinim</w:t>
            </w:r>
            <w:r w:rsidR="004C6747" w:rsidRPr="00DA03DC">
              <w:rPr>
                <w:b/>
                <w:sz w:val="22"/>
                <w:szCs w:val="22"/>
                <w:lang w:val="lt-LT"/>
              </w:rPr>
              <w:t>o</w:t>
            </w:r>
            <w:r w:rsidRPr="00DA03DC">
              <w:rPr>
                <w:b/>
                <w:sz w:val="22"/>
                <w:szCs w:val="22"/>
                <w:lang w:val="lt-LT"/>
              </w:rPr>
              <w:t xml:space="preserve"> lygmeniu</w:t>
            </w:r>
          </w:p>
        </w:tc>
      </w:tr>
      <w:tr w:rsidR="007F0719" w:rsidRPr="00DA03DC" w:rsidTr="002D0AC3">
        <w:tc>
          <w:tcPr>
            <w:tcW w:w="2535" w:type="dxa"/>
            <w:gridSpan w:val="2"/>
            <w:vMerge/>
            <w:tcBorders>
              <w:top w:val="single" w:sz="12" w:space="0" w:color="auto"/>
              <w:left w:val="single" w:sz="12" w:space="0" w:color="auto"/>
              <w:bottom w:val="single" w:sz="4" w:space="0" w:color="auto"/>
            </w:tcBorders>
            <w:shd w:val="clear" w:color="auto" w:fill="D9D9D9" w:themeFill="background1" w:themeFillShade="D9"/>
          </w:tcPr>
          <w:p w:rsidR="007F0719" w:rsidRPr="00DA03DC" w:rsidRDefault="007F0719" w:rsidP="007F60D9">
            <w:pPr>
              <w:spacing w:line="280" w:lineRule="exact"/>
              <w:jc w:val="center"/>
              <w:rPr>
                <w:b/>
                <w:sz w:val="22"/>
                <w:szCs w:val="22"/>
                <w:lang w:val="lt-LT"/>
              </w:rPr>
            </w:pPr>
          </w:p>
        </w:tc>
        <w:tc>
          <w:tcPr>
            <w:tcW w:w="1401" w:type="dxa"/>
            <w:tcBorders>
              <w:bottom w:val="single" w:sz="4" w:space="0" w:color="auto"/>
            </w:tcBorders>
            <w:vAlign w:val="center"/>
          </w:tcPr>
          <w:p w:rsidR="007F0719" w:rsidRPr="00DA03DC" w:rsidRDefault="007F0719" w:rsidP="007F60D9">
            <w:pPr>
              <w:spacing w:line="280" w:lineRule="exact"/>
              <w:jc w:val="center"/>
              <w:rPr>
                <w:b/>
                <w:sz w:val="22"/>
                <w:szCs w:val="22"/>
                <w:lang w:val="lt-LT"/>
              </w:rPr>
            </w:pPr>
            <w:r w:rsidRPr="00DA03DC">
              <w:rPr>
                <w:b/>
                <w:sz w:val="22"/>
                <w:szCs w:val="22"/>
                <w:lang w:val="lt-LT"/>
              </w:rPr>
              <w:t>Maža</w:t>
            </w:r>
          </w:p>
        </w:tc>
        <w:tc>
          <w:tcPr>
            <w:tcW w:w="1559" w:type="dxa"/>
            <w:tcBorders>
              <w:bottom w:val="single" w:sz="4" w:space="0" w:color="auto"/>
            </w:tcBorders>
            <w:vAlign w:val="center"/>
          </w:tcPr>
          <w:p w:rsidR="007F0719" w:rsidRPr="00DA03DC" w:rsidRDefault="007F0719" w:rsidP="007F60D9">
            <w:pPr>
              <w:spacing w:line="280" w:lineRule="exact"/>
              <w:jc w:val="center"/>
              <w:rPr>
                <w:b/>
                <w:sz w:val="22"/>
                <w:szCs w:val="22"/>
                <w:lang w:val="lt-LT"/>
              </w:rPr>
            </w:pPr>
            <w:r w:rsidRPr="00DA03DC">
              <w:rPr>
                <w:b/>
                <w:sz w:val="22"/>
                <w:szCs w:val="22"/>
                <w:lang w:val="lt-LT"/>
              </w:rPr>
              <w:t>Vidutinė</w:t>
            </w:r>
          </w:p>
        </w:tc>
        <w:tc>
          <w:tcPr>
            <w:tcW w:w="1417" w:type="dxa"/>
            <w:tcBorders>
              <w:bottom w:val="single" w:sz="4" w:space="0" w:color="auto"/>
              <w:right w:val="single" w:sz="12" w:space="0" w:color="auto"/>
            </w:tcBorders>
            <w:vAlign w:val="center"/>
          </w:tcPr>
          <w:p w:rsidR="007F0719" w:rsidRPr="00DA03DC" w:rsidRDefault="007F0719" w:rsidP="007F60D9">
            <w:pPr>
              <w:spacing w:line="280" w:lineRule="exact"/>
              <w:jc w:val="center"/>
              <w:rPr>
                <w:b/>
                <w:sz w:val="22"/>
                <w:szCs w:val="22"/>
                <w:lang w:val="lt-LT"/>
              </w:rPr>
            </w:pPr>
            <w:r w:rsidRPr="00DA03DC">
              <w:rPr>
                <w:b/>
                <w:sz w:val="22"/>
                <w:szCs w:val="22"/>
                <w:lang w:val="lt-LT"/>
              </w:rPr>
              <w:t>Didelė</w:t>
            </w:r>
          </w:p>
        </w:tc>
      </w:tr>
      <w:tr w:rsidR="007F0719" w:rsidRPr="00DA03DC" w:rsidTr="002D0AC3">
        <w:tc>
          <w:tcPr>
            <w:tcW w:w="1329" w:type="dxa"/>
            <w:vMerge w:val="restart"/>
            <w:tcBorders>
              <w:top w:val="single" w:sz="4" w:space="0" w:color="auto"/>
              <w:left w:val="single" w:sz="12" w:space="0" w:color="auto"/>
              <w:bottom w:val="single" w:sz="2" w:space="0" w:color="auto"/>
              <w:right w:val="single" w:sz="2" w:space="0" w:color="auto"/>
            </w:tcBorders>
            <w:vAlign w:val="center"/>
          </w:tcPr>
          <w:p w:rsidR="007F0719" w:rsidRPr="00DA03DC" w:rsidRDefault="007F0719" w:rsidP="007F60D9">
            <w:pPr>
              <w:spacing w:line="280" w:lineRule="exact"/>
              <w:jc w:val="center"/>
              <w:rPr>
                <w:b/>
                <w:sz w:val="22"/>
                <w:szCs w:val="22"/>
                <w:lang w:val="lt-LT"/>
              </w:rPr>
            </w:pPr>
            <w:r w:rsidRPr="00DA03DC">
              <w:rPr>
                <w:b/>
                <w:sz w:val="22"/>
                <w:szCs w:val="22"/>
                <w:lang w:val="lt-LT"/>
              </w:rPr>
              <w:t>Verslo rizika</w:t>
            </w:r>
          </w:p>
        </w:tc>
        <w:tc>
          <w:tcPr>
            <w:tcW w:w="1206" w:type="dxa"/>
            <w:tcBorders>
              <w:top w:val="single" w:sz="4" w:space="0" w:color="auto"/>
              <w:left w:val="single" w:sz="2" w:space="0" w:color="auto"/>
              <w:bottom w:val="single" w:sz="2" w:space="0" w:color="auto"/>
              <w:right w:val="single" w:sz="2" w:space="0" w:color="auto"/>
            </w:tcBorders>
          </w:tcPr>
          <w:p w:rsidR="007F0719" w:rsidRPr="00DA03DC" w:rsidRDefault="007F0719" w:rsidP="007F60D9">
            <w:pPr>
              <w:pStyle w:val="NormalWeb"/>
              <w:spacing w:before="0" w:beforeAutospacing="0" w:after="0" w:afterAutospacing="0" w:line="280" w:lineRule="exact"/>
              <w:jc w:val="both"/>
              <w:rPr>
                <w:b/>
                <w:sz w:val="22"/>
                <w:szCs w:val="22"/>
                <w:lang w:val="lt-LT"/>
              </w:rPr>
            </w:pPr>
            <w:r w:rsidRPr="00DA03DC">
              <w:rPr>
                <w:b/>
                <w:sz w:val="22"/>
                <w:szCs w:val="22"/>
                <w:lang w:val="lt-LT"/>
              </w:rPr>
              <w:t>Maža</w:t>
            </w:r>
          </w:p>
        </w:tc>
        <w:tc>
          <w:tcPr>
            <w:tcW w:w="1401" w:type="dxa"/>
            <w:tcBorders>
              <w:top w:val="single" w:sz="4" w:space="0" w:color="auto"/>
              <w:left w:val="single" w:sz="2" w:space="0" w:color="auto"/>
              <w:bottom w:val="single" w:sz="2" w:space="0" w:color="auto"/>
              <w:right w:val="single" w:sz="2" w:space="0" w:color="auto"/>
            </w:tcBorders>
            <w:shd w:val="clear" w:color="auto" w:fill="F2F2F2" w:themeFill="background1" w:themeFillShade="F2"/>
          </w:tcPr>
          <w:p w:rsidR="007F0719" w:rsidRPr="00DA03DC" w:rsidRDefault="007F0719"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tcBorders>
              <w:top w:val="single" w:sz="4" w:space="0" w:color="auto"/>
              <w:left w:val="single" w:sz="2" w:space="0" w:color="auto"/>
              <w:bottom w:val="single" w:sz="2" w:space="0" w:color="auto"/>
              <w:right w:val="single" w:sz="2" w:space="0" w:color="auto"/>
            </w:tcBorders>
            <w:shd w:val="clear" w:color="auto" w:fill="F2F2F2" w:themeFill="background1" w:themeFillShade="F2"/>
          </w:tcPr>
          <w:p w:rsidR="007F0719" w:rsidRPr="00DA03DC" w:rsidRDefault="00E3675C"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417" w:type="dxa"/>
            <w:tcBorders>
              <w:top w:val="single" w:sz="4" w:space="0" w:color="auto"/>
              <w:left w:val="single" w:sz="2" w:space="0" w:color="auto"/>
              <w:bottom w:val="single" w:sz="2" w:space="0" w:color="auto"/>
              <w:right w:val="single" w:sz="12" w:space="0" w:color="auto"/>
            </w:tcBorders>
            <w:shd w:val="clear" w:color="auto" w:fill="BFBFBF" w:themeFill="background1" w:themeFillShade="BF"/>
          </w:tcPr>
          <w:p w:rsidR="007F0719" w:rsidRPr="00DA03DC" w:rsidRDefault="00577A2E"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E23483" w:rsidRPr="00DA03DC" w:rsidTr="002D0AC3">
        <w:tc>
          <w:tcPr>
            <w:tcW w:w="1329" w:type="dxa"/>
            <w:vMerge/>
            <w:tcBorders>
              <w:top w:val="single" w:sz="2" w:space="0" w:color="auto"/>
              <w:left w:val="single" w:sz="12" w:space="0" w:color="auto"/>
              <w:bottom w:val="single" w:sz="2" w:space="0" w:color="auto"/>
              <w:right w:val="single" w:sz="2" w:space="0" w:color="auto"/>
            </w:tcBorders>
          </w:tcPr>
          <w:p w:rsidR="00E23483" w:rsidRPr="00DA03DC" w:rsidRDefault="00E23483" w:rsidP="007F60D9">
            <w:pPr>
              <w:spacing w:line="280" w:lineRule="exact"/>
              <w:jc w:val="both"/>
              <w:rPr>
                <w:b/>
                <w:sz w:val="22"/>
                <w:szCs w:val="22"/>
                <w:lang w:val="lt-LT"/>
              </w:rPr>
            </w:pPr>
          </w:p>
        </w:tc>
        <w:tc>
          <w:tcPr>
            <w:tcW w:w="1206" w:type="dxa"/>
            <w:tcBorders>
              <w:top w:val="single" w:sz="2" w:space="0" w:color="auto"/>
              <w:left w:val="single" w:sz="2" w:space="0" w:color="auto"/>
              <w:bottom w:val="single" w:sz="2" w:space="0" w:color="auto"/>
              <w:right w:val="single" w:sz="2" w:space="0" w:color="auto"/>
            </w:tcBorders>
          </w:tcPr>
          <w:p w:rsidR="00E23483" w:rsidRPr="00DA03DC" w:rsidRDefault="00E23483" w:rsidP="007F60D9">
            <w:pPr>
              <w:pStyle w:val="NormalWeb"/>
              <w:spacing w:before="0" w:beforeAutospacing="0" w:after="0" w:afterAutospacing="0" w:line="280" w:lineRule="exact"/>
              <w:jc w:val="both"/>
              <w:rPr>
                <w:b/>
                <w:sz w:val="22"/>
                <w:szCs w:val="22"/>
                <w:lang w:val="lt-LT"/>
              </w:rPr>
            </w:pPr>
            <w:r w:rsidRPr="00DA03DC">
              <w:rPr>
                <w:b/>
                <w:sz w:val="22"/>
                <w:szCs w:val="22"/>
                <w:lang w:val="lt-LT"/>
              </w:rPr>
              <w:t>Vidutinė</w:t>
            </w:r>
          </w:p>
        </w:tc>
        <w:tc>
          <w:tcPr>
            <w:tcW w:w="14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E23483" w:rsidRPr="00DA03DC" w:rsidRDefault="00E23483"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559"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23483" w:rsidRPr="00DA03DC" w:rsidRDefault="00E23483"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c>
          <w:tcPr>
            <w:tcW w:w="1417"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E23483" w:rsidRPr="00DA03DC" w:rsidRDefault="00E23483"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085FD4" w:rsidRPr="00DA03DC" w:rsidTr="002D0AC3">
        <w:tc>
          <w:tcPr>
            <w:tcW w:w="1329" w:type="dxa"/>
            <w:vMerge/>
            <w:tcBorders>
              <w:top w:val="single" w:sz="2" w:space="0" w:color="auto"/>
              <w:left w:val="single" w:sz="12" w:space="0" w:color="auto"/>
              <w:bottom w:val="single" w:sz="2" w:space="0" w:color="auto"/>
              <w:right w:val="single" w:sz="2" w:space="0" w:color="auto"/>
            </w:tcBorders>
          </w:tcPr>
          <w:p w:rsidR="007F0719" w:rsidRPr="00DA03DC" w:rsidRDefault="007F0719" w:rsidP="007F60D9">
            <w:pPr>
              <w:spacing w:line="280" w:lineRule="exact"/>
              <w:jc w:val="both"/>
              <w:rPr>
                <w:b/>
                <w:sz w:val="22"/>
                <w:szCs w:val="22"/>
                <w:lang w:val="lt-LT"/>
              </w:rPr>
            </w:pPr>
          </w:p>
        </w:tc>
        <w:tc>
          <w:tcPr>
            <w:tcW w:w="1206" w:type="dxa"/>
            <w:tcBorders>
              <w:top w:val="single" w:sz="2" w:space="0" w:color="auto"/>
              <w:left w:val="single" w:sz="2" w:space="0" w:color="auto"/>
              <w:bottom w:val="single" w:sz="2" w:space="0" w:color="auto"/>
              <w:right w:val="single" w:sz="2" w:space="0" w:color="auto"/>
            </w:tcBorders>
          </w:tcPr>
          <w:p w:rsidR="007F0719" w:rsidRPr="00DA03DC" w:rsidRDefault="007F0719" w:rsidP="007F60D9">
            <w:pPr>
              <w:pStyle w:val="NormalWeb"/>
              <w:spacing w:before="0" w:beforeAutospacing="0" w:after="0" w:afterAutospacing="0" w:line="280" w:lineRule="exact"/>
              <w:jc w:val="both"/>
              <w:rPr>
                <w:b/>
                <w:sz w:val="22"/>
                <w:szCs w:val="22"/>
                <w:lang w:val="lt-LT"/>
              </w:rPr>
            </w:pPr>
            <w:r w:rsidRPr="00DA03DC">
              <w:rPr>
                <w:b/>
                <w:sz w:val="22"/>
                <w:szCs w:val="22"/>
                <w:lang w:val="lt-LT"/>
              </w:rPr>
              <w:t>Didelė</w:t>
            </w:r>
          </w:p>
        </w:tc>
        <w:tc>
          <w:tcPr>
            <w:tcW w:w="14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7F0719" w:rsidRPr="00DA03DC" w:rsidRDefault="00E3675C"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559"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F0719" w:rsidRPr="00DA03DC" w:rsidRDefault="00577A2E"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c>
          <w:tcPr>
            <w:tcW w:w="1417"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7F0719" w:rsidRPr="00DA03DC" w:rsidRDefault="00577A2E"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577A2E" w:rsidRPr="00DA03DC" w:rsidTr="007F60D9">
        <w:tc>
          <w:tcPr>
            <w:tcW w:w="1329" w:type="dxa"/>
            <w:vMerge w:val="restart"/>
            <w:tcBorders>
              <w:top w:val="single" w:sz="2" w:space="0" w:color="auto"/>
              <w:left w:val="single" w:sz="12" w:space="0" w:color="auto"/>
              <w:bottom w:val="single" w:sz="2" w:space="0" w:color="auto"/>
              <w:right w:val="single" w:sz="2" w:space="0" w:color="auto"/>
            </w:tcBorders>
            <w:vAlign w:val="center"/>
          </w:tcPr>
          <w:p w:rsidR="00577A2E" w:rsidRPr="00DA03DC" w:rsidRDefault="00577A2E" w:rsidP="007F60D9">
            <w:pPr>
              <w:spacing w:line="280" w:lineRule="exact"/>
              <w:jc w:val="center"/>
              <w:rPr>
                <w:b/>
                <w:sz w:val="22"/>
                <w:szCs w:val="22"/>
                <w:lang w:val="lt-LT"/>
              </w:rPr>
            </w:pPr>
            <w:r w:rsidRPr="00DA03DC">
              <w:rPr>
                <w:b/>
                <w:sz w:val="22"/>
                <w:szCs w:val="22"/>
                <w:lang w:val="lt-LT"/>
              </w:rPr>
              <w:t>Įmonės rizika</w:t>
            </w:r>
          </w:p>
        </w:tc>
        <w:tc>
          <w:tcPr>
            <w:tcW w:w="1206" w:type="dxa"/>
            <w:tcBorders>
              <w:top w:val="single" w:sz="2" w:space="0" w:color="auto"/>
              <w:left w:val="single" w:sz="2" w:space="0" w:color="auto"/>
              <w:bottom w:val="single" w:sz="2" w:space="0" w:color="auto"/>
              <w:right w:val="single" w:sz="2" w:space="0" w:color="auto"/>
            </w:tcBorders>
          </w:tcPr>
          <w:p w:rsidR="00577A2E" w:rsidRPr="00DA03DC" w:rsidRDefault="00577A2E" w:rsidP="007F60D9">
            <w:pPr>
              <w:pStyle w:val="NormalWeb"/>
              <w:spacing w:before="0" w:beforeAutospacing="0" w:after="0" w:afterAutospacing="0" w:line="280" w:lineRule="exact"/>
              <w:jc w:val="both"/>
              <w:rPr>
                <w:b/>
                <w:sz w:val="22"/>
                <w:szCs w:val="22"/>
                <w:lang w:val="lt-LT"/>
              </w:rPr>
            </w:pPr>
            <w:r w:rsidRPr="00DA03DC">
              <w:rPr>
                <w:b/>
                <w:sz w:val="22"/>
                <w:szCs w:val="22"/>
                <w:lang w:val="lt-LT"/>
              </w:rPr>
              <w:t>Maža</w:t>
            </w:r>
          </w:p>
        </w:tc>
        <w:tc>
          <w:tcPr>
            <w:tcW w:w="14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577A2E" w:rsidRPr="00DA03DC" w:rsidRDefault="00577A2E"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bottom"/>
          </w:tcPr>
          <w:p w:rsidR="00577A2E" w:rsidRPr="00DA03DC" w:rsidRDefault="00577A2E"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417"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577A2E" w:rsidRPr="00DA03DC" w:rsidRDefault="00577A2E"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E23483" w:rsidRPr="00DA03DC" w:rsidTr="002D0AC3">
        <w:tc>
          <w:tcPr>
            <w:tcW w:w="1329" w:type="dxa"/>
            <w:vMerge/>
            <w:tcBorders>
              <w:top w:val="single" w:sz="2" w:space="0" w:color="auto"/>
              <w:left w:val="single" w:sz="12" w:space="0" w:color="auto"/>
              <w:bottom w:val="single" w:sz="2" w:space="0" w:color="auto"/>
              <w:right w:val="single" w:sz="2" w:space="0" w:color="auto"/>
            </w:tcBorders>
          </w:tcPr>
          <w:p w:rsidR="00E23483" w:rsidRPr="00DA03DC" w:rsidRDefault="00E23483" w:rsidP="007F60D9">
            <w:pPr>
              <w:spacing w:line="280" w:lineRule="exact"/>
              <w:jc w:val="both"/>
              <w:rPr>
                <w:b/>
                <w:sz w:val="22"/>
                <w:szCs w:val="22"/>
                <w:lang w:val="lt-LT"/>
              </w:rPr>
            </w:pPr>
          </w:p>
        </w:tc>
        <w:tc>
          <w:tcPr>
            <w:tcW w:w="1206" w:type="dxa"/>
            <w:tcBorders>
              <w:top w:val="single" w:sz="2" w:space="0" w:color="auto"/>
              <w:left w:val="single" w:sz="2" w:space="0" w:color="auto"/>
              <w:bottom w:val="single" w:sz="2" w:space="0" w:color="auto"/>
              <w:right w:val="single" w:sz="2" w:space="0" w:color="auto"/>
            </w:tcBorders>
          </w:tcPr>
          <w:p w:rsidR="00E23483" w:rsidRPr="00DA03DC" w:rsidRDefault="00E23483" w:rsidP="007F60D9">
            <w:pPr>
              <w:pStyle w:val="NormalWeb"/>
              <w:spacing w:before="0" w:beforeAutospacing="0" w:after="0" w:afterAutospacing="0" w:line="280" w:lineRule="exact"/>
              <w:jc w:val="both"/>
              <w:rPr>
                <w:b/>
                <w:sz w:val="22"/>
                <w:szCs w:val="22"/>
                <w:lang w:val="lt-LT"/>
              </w:rPr>
            </w:pPr>
            <w:r w:rsidRPr="00DA03DC">
              <w:rPr>
                <w:b/>
                <w:sz w:val="22"/>
                <w:szCs w:val="22"/>
                <w:lang w:val="lt-LT"/>
              </w:rPr>
              <w:t>Vidutinė</w:t>
            </w:r>
          </w:p>
        </w:tc>
        <w:tc>
          <w:tcPr>
            <w:tcW w:w="14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E23483" w:rsidRPr="00DA03DC" w:rsidRDefault="00E23483"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559"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23483" w:rsidRPr="00DA03DC" w:rsidRDefault="00E23483"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c>
          <w:tcPr>
            <w:tcW w:w="1417"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E23483" w:rsidRPr="00DA03DC" w:rsidRDefault="00E23483"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085FD4" w:rsidRPr="00DA03DC" w:rsidTr="002D0AC3">
        <w:tc>
          <w:tcPr>
            <w:tcW w:w="1329" w:type="dxa"/>
            <w:vMerge/>
            <w:tcBorders>
              <w:top w:val="single" w:sz="2" w:space="0" w:color="auto"/>
              <w:left w:val="single" w:sz="12" w:space="0" w:color="auto"/>
              <w:bottom w:val="single" w:sz="2" w:space="0" w:color="auto"/>
              <w:right w:val="single" w:sz="2" w:space="0" w:color="auto"/>
            </w:tcBorders>
          </w:tcPr>
          <w:p w:rsidR="00577A2E" w:rsidRPr="00DA03DC" w:rsidRDefault="00577A2E" w:rsidP="007F60D9">
            <w:pPr>
              <w:spacing w:line="280" w:lineRule="exact"/>
              <w:jc w:val="both"/>
              <w:rPr>
                <w:b/>
                <w:sz w:val="22"/>
                <w:szCs w:val="22"/>
                <w:lang w:val="lt-LT"/>
              </w:rPr>
            </w:pPr>
          </w:p>
        </w:tc>
        <w:tc>
          <w:tcPr>
            <w:tcW w:w="1206" w:type="dxa"/>
            <w:tcBorders>
              <w:top w:val="single" w:sz="2" w:space="0" w:color="auto"/>
              <w:left w:val="single" w:sz="2" w:space="0" w:color="auto"/>
              <w:bottom w:val="single" w:sz="2" w:space="0" w:color="auto"/>
              <w:right w:val="single" w:sz="2" w:space="0" w:color="auto"/>
            </w:tcBorders>
          </w:tcPr>
          <w:p w:rsidR="00577A2E" w:rsidRPr="00DA03DC" w:rsidRDefault="00577A2E" w:rsidP="007F60D9">
            <w:pPr>
              <w:pStyle w:val="NormalWeb"/>
              <w:spacing w:before="0" w:beforeAutospacing="0" w:after="0" w:afterAutospacing="0" w:line="280" w:lineRule="exact"/>
              <w:jc w:val="both"/>
              <w:rPr>
                <w:b/>
                <w:sz w:val="22"/>
                <w:szCs w:val="22"/>
                <w:lang w:val="lt-LT"/>
              </w:rPr>
            </w:pPr>
            <w:r w:rsidRPr="00DA03DC">
              <w:rPr>
                <w:b/>
                <w:sz w:val="22"/>
                <w:szCs w:val="22"/>
                <w:lang w:val="lt-LT"/>
              </w:rPr>
              <w:t>Didelė</w:t>
            </w:r>
          </w:p>
        </w:tc>
        <w:tc>
          <w:tcPr>
            <w:tcW w:w="14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577A2E" w:rsidRPr="00DA03DC" w:rsidRDefault="00577A2E"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559"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577A2E" w:rsidRPr="00DA03DC" w:rsidRDefault="00577A2E"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c>
          <w:tcPr>
            <w:tcW w:w="1417"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577A2E" w:rsidRPr="00DA03DC" w:rsidRDefault="00577A2E"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085FD4" w:rsidRPr="00DA03DC" w:rsidTr="002D0AC3">
        <w:tc>
          <w:tcPr>
            <w:tcW w:w="1329" w:type="dxa"/>
            <w:vMerge w:val="restart"/>
            <w:tcBorders>
              <w:top w:val="single" w:sz="2" w:space="0" w:color="auto"/>
              <w:left w:val="single" w:sz="12" w:space="0" w:color="auto"/>
              <w:bottom w:val="single" w:sz="2" w:space="0" w:color="auto"/>
              <w:right w:val="single" w:sz="2" w:space="0" w:color="auto"/>
            </w:tcBorders>
            <w:vAlign w:val="center"/>
          </w:tcPr>
          <w:p w:rsidR="00E15EC9" w:rsidRPr="00DA03DC" w:rsidRDefault="00E15EC9" w:rsidP="007F60D9">
            <w:pPr>
              <w:spacing w:line="280" w:lineRule="exact"/>
              <w:jc w:val="center"/>
              <w:rPr>
                <w:b/>
                <w:sz w:val="22"/>
                <w:szCs w:val="22"/>
                <w:lang w:val="lt-LT"/>
              </w:rPr>
            </w:pPr>
            <w:r w:rsidRPr="00DA03DC">
              <w:rPr>
                <w:b/>
                <w:sz w:val="22"/>
                <w:szCs w:val="22"/>
                <w:lang w:val="lt-LT"/>
              </w:rPr>
              <w:t>Apgaulės rizika</w:t>
            </w:r>
          </w:p>
        </w:tc>
        <w:tc>
          <w:tcPr>
            <w:tcW w:w="1206" w:type="dxa"/>
            <w:tcBorders>
              <w:top w:val="single" w:sz="2" w:space="0" w:color="auto"/>
              <w:left w:val="single" w:sz="2" w:space="0" w:color="auto"/>
              <w:bottom w:val="single" w:sz="2" w:space="0" w:color="auto"/>
              <w:right w:val="single" w:sz="2" w:space="0" w:color="auto"/>
            </w:tcBorders>
          </w:tcPr>
          <w:p w:rsidR="00E15EC9" w:rsidRPr="00DA03DC" w:rsidRDefault="00E15EC9" w:rsidP="007F60D9">
            <w:pPr>
              <w:pStyle w:val="NormalWeb"/>
              <w:spacing w:before="0" w:beforeAutospacing="0" w:after="0" w:afterAutospacing="0" w:line="280" w:lineRule="exact"/>
              <w:jc w:val="both"/>
              <w:rPr>
                <w:b/>
                <w:sz w:val="22"/>
                <w:szCs w:val="22"/>
                <w:lang w:val="lt-LT"/>
              </w:rPr>
            </w:pPr>
            <w:r w:rsidRPr="00DA03DC">
              <w:rPr>
                <w:b/>
                <w:sz w:val="22"/>
                <w:szCs w:val="22"/>
                <w:lang w:val="lt-LT"/>
              </w:rPr>
              <w:t>Maža</w:t>
            </w:r>
          </w:p>
        </w:tc>
        <w:tc>
          <w:tcPr>
            <w:tcW w:w="14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E15EC9" w:rsidRPr="00DA03DC" w:rsidRDefault="00E15EC9"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E15EC9" w:rsidRPr="00DA03DC" w:rsidRDefault="00E15EC9"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417"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E15EC9" w:rsidRPr="00DA03DC" w:rsidRDefault="00E15EC9"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085FD4" w:rsidRPr="00DA03DC" w:rsidTr="002D0AC3">
        <w:tc>
          <w:tcPr>
            <w:tcW w:w="1329" w:type="dxa"/>
            <w:vMerge/>
            <w:tcBorders>
              <w:top w:val="single" w:sz="2" w:space="0" w:color="auto"/>
              <w:left w:val="single" w:sz="12" w:space="0" w:color="auto"/>
              <w:bottom w:val="single" w:sz="2" w:space="0" w:color="auto"/>
              <w:right w:val="single" w:sz="2" w:space="0" w:color="auto"/>
            </w:tcBorders>
            <w:vAlign w:val="center"/>
          </w:tcPr>
          <w:p w:rsidR="00E15EC9" w:rsidRPr="00DA03DC" w:rsidRDefault="00E15EC9" w:rsidP="007F60D9">
            <w:pPr>
              <w:pStyle w:val="NormalWeb"/>
              <w:spacing w:before="0" w:beforeAutospacing="0" w:after="0" w:afterAutospacing="0" w:line="280" w:lineRule="exact"/>
              <w:jc w:val="center"/>
              <w:rPr>
                <w:sz w:val="22"/>
                <w:szCs w:val="22"/>
                <w:lang w:val="lt-LT"/>
              </w:rPr>
            </w:pPr>
          </w:p>
        </w:tc>
        <w:tc>
          <w:tcPr>
            <w:tcW w:w="1206" w:type="dxa"/>
            <w:tcBorders>
              <w:top w:val="single" w:sz="2" w:space="0" w:color="auto"/>
              <w:left w:val="single" w:sz="2" w:space="0" w:color="auto"/>
              <w:bottom w:val="single" w:sz="2" w:space="0" w:color="auto"/>
              <w:right w:val="single" w:sz="2" w:space="0" w:color="auto"/>
            </w:tcBorders>
          </w:tcPr>
          <w:p w:rsidR="00E15EC9" w:rsidRPr="00DA03DC" w:rsidRDefault="00E15EC9" w:rsidP="007F60D9">
            <w:pPr>
              <w:pStyle w:val="NormalWeb"/>
              <w:spacing w:before="0" w:beforeAutospacing="0" w:after="0" w:afterAutospacing="0" w:line="280" w:lineRule="exact"/>
              <w:jc w:val="both"/>
              <w:rPr>
                <w:b/>
                <w:sz w:val="22"/>
                <w:szCs w:val="22"/>
                <w:lang w:val="lt-LT"/>
              </w:rPr>
            </w:pPr>
            <w:r w:rsidRPr="00DA03DC">
              <w:rPr>
                <w:b/>
                <w:sz w:val="22"/>
                <w:szCs w:val="22"/>
                <w:lang w:val="lt-LT"/>
              </w:rPr>
              <w:t>Vidutinė</w:t>
            </w:r>
          </w:p>
        </w:tc>
        <w:tc>
          <w:tcPr>
            <w:tcW w:w="14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E15EC9" w:rsidRPr="00DA03DC" w:rsidRDefault="00E15EC9"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559"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15EC9" w:rsidRPr="00DA03DC" w:rsidRDefault="00E15EC9"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c>
          <w:tcPr>
            <w:tcW w:w="1417"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E15EC9" w:rsidRPr="00DA03DC" w:rsidRDefault="00E15EC9"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085FD4" w:rsidRPr="00DA03DC" w:rsidTr="002D0AC3">
        <w:tc>
          <w:tcPr>
            <w:tcW w:w="1329" w:type="dxa"/>
            <w:vMerge/>
            <w:tcBorders>
              <w:top w:val="single" w:sz="2" w:space="0" w:color="auto"/>
              <w:left w:val="single" w:sz="12" w:space="0" w:color="auto"/>
              <w:bottom w:val="single" w:sz="12" w:space="0" w:color="auto"/>
              <w:right w:val="single" w:sz="2" w:space="0" w:color="auto"/>
            </w:tcBorders>
            <w:vAlign w:val="center"/>
          </w:tcPr>
          <w:p w:rsidR="00E15EC9" w:rsidRPr="00DA03DC" w:rsidRDefault="00E15EC9" w:rsidP="007F60D9">
            <w:pPr>
              <w:pStyle w:val="NormalWeb"/>
              <w:spacing w:before="0" w:beforeAutospacing="0" w:after="0" w:afterAutospacing="0" w:line="280" w:lineRule="exact"/>
              <w:jc w:val="center"/>
              <w:rPr>
                <w:sz w:val="22"/>
                <w:szCs w:val="22"/>
                <w:lang w:val="lt-LT"/>
              </w:rPr>
            </w:pPr>
          </w:p>
        </w:tc>
        <w:tc>
          <w:tcPr>
            <w:tcW w:w="1206" w:type="dxa"/>
            <w:tcBorders>
              <w:top w:val="single" w:sz="2" w:space="0" w:color="auto"/>
              <w:left w:val="single" w:sz="2" w:space="0" w:color="auto"/>
              <w:bottom w:val="single" w:sz="12" w:space="0" w:color="auto"/>
              <w:right w:val="single" w:sz="2" w:space="0" w:color="auto"/>
            </w:tcBorders>
          </w:tcPr>
          <w:p w:rsidR="00E15EC9" w:rsidRPr="00DA03DC" w:rsidRDefault="00E15EC9" w:rsidP="007F60D9">
            <w:pPr>
              <w:pStyle w:val="NormalWeb"/>
              <w:spacing w:before="0" w:beforeAutospacing="0" w:after="0" w:afterAutospacing="0" w:line="280" w:lineRule="exact"/>
              <w:jc w:val="both"/>
              <w:rPr>
                <w:b/>
                <w:sz w:val="22"/>
                <w:szCs w:val="22"/>
                <w:lang w:val="lt-LT"/>
              </w:rPr>
            </w:pPr>
            <w:r w:rsidRPr="00DA03DC">
              <w:rPr>
                <w:b/>
                <w:sz w:val="22"/>
                <w:szCs w:val="22"/>
                <w:lang w:val="lt-LT"/>
              </w:rPr>
              <w:t>Didelė</w:t>
            </w:r>
          </w:p>
        </w:tc>
        <w:tc>
          <w:tcPr>
            <w:tcW w:w="1401"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Pr>
          <w:p w:rsidR="00E15EC9" w:rsidRPr="00DA03DC" w:rsidRDefault="00BB084E"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559" w:type="dxa"/>
            <w:tcBorders>
              <w:top w:val="single" w:sz="2" w:space="0" w:color="auto"/>
              <w:left w:val="single" w:sz="2" w:space="0" w:color="auto"/>
              <w:bottom w:val="single" w:sz="12" w:space="0" w:color="auto"/>
              <w:right w:val="single" w:sz="2" w:space="0" w:color="auto"/>
            </w:tcBorders>
            <w:shd w:val="clear" w:color="auto" w:fill="BFBFBF" w:themeFill="background1" w:themeFillShade="BF"/>
          </w:tcPr>
          <w:p w:rsidR="00E15EC9" w:rsidRPr="00DA03DC" w:rsidRDefault="00E15EC9"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c>
          <w:tcPr>
            <w:tcW w:w="1417" w:type="dxa"/>
            <w:tcBorders>
              <w:top w:val="single" w:sz="2" w:space="0" w:color="auto"/>
              <w:left w:val="single" w:sz="2" w:space="0" w:color="auto"/>
              <w:bottom w:val="single" w:sz="12" w:space="0" w:color="auto"/>
              <w:right w:val="single" w:sz="12" w:space="0" w:color="auto"/>
            </w:tcBorders>
            <w:shd w:val="clear" w:color="auto" w:fill="BFBFBF" w:themeFill="background1" w:themeFillShade="BF"/>
          </w:tcPr>
          <w:p w:rsidR="00E15EC9" w:rsidRPr="00DA03DC" w:rsidRDefault="00E15EC9"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5B178E" w:rsidRPr="00DA03DC" w:rsidTr="002D0AC3">
        <w:tc>
          <w:tcPr>
            <w:tcW w:w="6912" w:type="dxa"/>
            <w:gridSpan w:val="5"/>
            <w:tcBorders>
              <w:top w:val="single" w:sz="12" w:space="0" w:color="auto"/>
              <w:left w:val="single" w:sz="12" w:space="0" w:color="auto"/>
              <w:bottom w:val="single" w:sz="2" w:space="0" w:color="auto"/>
              <w:right w:val="single" w:sz="12" w:space="0" w:color="auto"/>
            </w:tcBorders>
            <w:shd w:val="clear" w:color="auto" w:fill="FFFFFF" w:themeFill="background1"/>
            <w:vAlign w:val="center"/>
          </w:tcPr>
          <w:p w:rsidR="005B178E" w:rsidRPr="00DA03DC" w:rsidRDefault="005B178E" w:rsidP="007F60D9">
            <w:pPr>
              <w:pStyle w:val="NormalWeb"/>
              <w:spacing w:before="0" w:beforeAutospacing="0" w:after="0" w:afterAutospacing="0" w:line="280" w:lineRule="exact"/>
              <w:jc w:val="center"/>
              <w:rPr>
                <w:sz w:val="22"/>
                <w:szCs w:val="22"/>
                <w:lang w:val="lt-LT"/>
              </w:rPr>
            </w:pPr>
            <w:r w:rsidRPr="00DA03DC">
              <w:rPr>
                <w:b/>
                <w:sz w:val="22"/>
                <w:szCs w:val="22"/>
                <w:lang w:val="lt-LT"/>
              </w:rPr>
              <w:t>Reikšmingo iškraipymo rizika</w:t>
            </w:r>
          </w:p>
        </w:tc>
      </w:tr>
      <w:tr w:rsidR="00222AF7" w:rsidRPr="00DA03DC" w:rsidTr="002D0AC3">
        <w:tc>
          <w:tcPr>
            <w:tcW w:w="2535" w:type="dxa"/>
            <w:gridSpan w:val="2"/>
            <w:vMerge w:val="restart"/>
            <w:tcBorders>
              <w:top w:val="single" w:sz="2" w:space="0" w:color="auto"/>
              <w:left w:val="single" w:sz="12" w:space="0" w:color="auto"/>
              <w:right w:val="single" w:sz="2" w:space="0" w:color="auto"/>
            </w:tcBorders>
            <w:shd w:val="clear" w:color="auto" w:fill="D9D9D9" w:themeFill="background1" w:themeFillShade="D9"/>
            <w:vAlign w:val="center"/>
          </w:tcPr>
          <w:p w:rsidR="00222AF7" w:rsidRPr="00DA03DC" w:rsidRDefault="0025194A" w:rsidP="007F60D9">
            <w:pPr>
              <w:pStyle w:val="NormalWeb"/>
              <w:spacing w:before="0" w:beforeAutospacing="0" w:after="0" w:afterAutospacing="0" w:line="280" w:lineRule="exact"/>
              <w:jc w:val="center"/>
              <w:rPr>
                <w:b/>
                <w:sz w:val="22"/>
                <w:szCs w:val="22"/>
                <w:lang w:val="lt-LT"/>
              </w:rPr>
            </w:pPr>
            <w:r w:rsidRPr="00DA03DC">
              <w:rPr>
                <w:b/>
                <w:sz w:val="22"/>
                <w:szCs w:val="22"/>
                <w:lang w:val="lt-LT"/>
              </w:rPr>
              <w:t>tvirtinimo</w:t>
            </w:r>
            <w:r w:rsidR="00222AF7" w:rsidRPr="00DA03DC">
              <w:rPr>
                <w:b/>
                <w:sz w:val="22"/>
                <w:szCs w:val="22"/>
                <w:lang w:val="lt-LT"/>
              </w:rPr>
              <w:t xml:space="preserve"> lygmeniu</w:t>
            </w:r>
          </w:p>
        </w:tc>
        <w:tc>
          <w:tcPr>
            <w:tcW w:w="4377" w:type="dxa"/>
            <w:gridSpan w:val="3"/>
            <w:tcBorders>
              <w:top w:val="single" w:sz="2" w:space="0" w:color="auto"/>
              <w:left w:val="single" w:sz="2" w:space="0" w:color="auto"/>
              <w:bottom w:val="single" w:sz="2" w:space="0" w:color="auto"/>
              <w:right w:val="single" w:sz="12" w:space="0" w:color="auto"/>
            </w:tcBorders>
            <w:shd w:val="clear" w:color="auto" w:fill="FFFFFF" w:themeFill="background1"/>
          </w:tcPr>
          <w:p w:rsidR="00222AF7" w:rsidRPr="00DA03DC" w:rsidRDefault="00222AF7" w:rsidP="007F60D9">
            <w:pPr>
              <w:pStyle w:val="NormalWeb"/>
              <w:spacing w:before="0" w:beforeAutospacing="0" w:after="0" w:afterAutospacing="0" w:line="280" w:lineRule="exact"/>
              <w:jc w:val="center"/>
              <w:rPr>
                <w:b/>
                <w:sz w:val="22"/>
                <w:szCs w:val="22"/>
                <w:lang w:val="lt-LT"/>
              </w:rPr>
            </w:pPr>
            <w:r w:rsidRPr="00DA03DC">
              <w:rPr>
                <w:b/>
                <w:sz w:val="22"/>
                <w:szCs w:val="22"/>
                <w:lang w:val="lt-LT"/>
              </w:rPr>
              <w:t>Kontrolės rizika</w:t>
            </w:r>
          </w:p>
        </w:tc>
      </w:tr>
      <w:tr w:rsidR="00222AF7" w:rsidRPr="00DA03DC" w:rsidTr="002D0AC3">
        <w:tc>
          <w:tcPr>
            <w:tcW w:w="2535" w:type="dxa"/>
            <w:gridSpan w:val="2"/>
            <w:vMerge/>
            <w:tcBorders>
              <w:left w:val="single" w:sz="12" w:space="0" w:color="auto"/>
              <w:bottom w:val="single" w:sz="2" w:space="0" w:color="auto"/>
              <w:right w:val="single" w:sz="2" w:space="0" w:color="auto"/>
            </w:tcBorders>
            <w:vAlign w:val="center"/>
          </w:tcPr>
          <w:p w:rsidR="00222AF7" w:rsidRPr="00DA03DC" w:rsidRDefault="00222AF7" w:rsidP="007F60D9">
            <w:pPr>
              <w:pStyle w:val="NormalWeb"/>
              <w:spacing w:before="0" w:beforeAutospacing="0" w:after="0" w:afterAutospacing="0" w:line="280" w:lineRule="exact"/>
              <w:jc w:val="both"/>
              <w:rPr>
                <w:b/>
                <w:sz w:val="22"/>
                <w:szCs w:val="22"/>
                <w:lang w:val="lt-LT"/>
              </w:rPr>
            </w:pPr>
          </w:p>
        </w:tc>
        <w:tc>
          <w:tcPr>
            <w:tcW w:w="140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2AF7" w:rsidRPr="00DA03DC" w:rsidRDefault="00222AF7" w:rsidP="007F60D9">
            <w:pPr>
              <w:spacing w:line="280" w:lineRule="exact"/>
              <w:jc w:val="center"/>
              <w:rPr>
                <w:b/>
                <w:sz w:val="22"/>
                <w:szCs w:val="22"/>
                <w:lang w:val="lt-LT"/>
              </w:rPr>
            </w:pPr>
            <w:r w:rsidRPr="00DA03DC">
              <w:rPr>
                <w:b/>
                <w:sz w:val="22"/>
                <w:szCs w:val="22"/>
                <w:lang w:val="lt-LT"/>
              </w:rPr>
              <w:t>Maža</w:t>
            </w:r>
          </w:p>
        </w:tc>
        <w:tc>
          <w:tcPr>
            <w:tcW w:w="15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2AF7" w:rsidRPr="00DA03DC" w:rsidRDefault="00222AF7" w:rsidP="007F60D9">
            <w:pPr>
              <w:spacing w:line="280" w:lineRule="exact"/>
              <w:jc w:val="center"/>
              <w:rPr>
                <w:b/>
                <w:sz w:val="22"/>
                <w:szCs w:val="22"/>
                <w:lang w:val="lt-LT"/>
              </w:rPr>
            </w:pPr>
            <w:r w:rsidRPr="00DA03DC">
              <w:rPr>
                <w:b/>
                <w:sz w:val="22"/>
                <w:szCs w:val="22"/>
                <w:lang w:val="lt-LT"/>
              </w:rPr>
              <w:t>Vidutinė</w:t>
            </w:r>
          </w:p>
        </w:tc>
        <w:tc>
          <w:tcPr>
            <w:tcW w:w="1417"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222AF7" w:rsidRPr="00DA03DC" w:rsidRDefault="00222AF7" w:rsidP="007F60D9">
            <w:pPr>
              <w:spacing w:line="280" w:lineRule="exact"/>
              <w:jc w:val="center"/>
              <w:rPr>
                <w:b/>
                <w:sz w:val="22"/>
                <w:szCs w:val="22"/>
                <w:lang w:val="lt-LT"/>
              </w:rPr>
            </w:pPr>
            <w:r w:rsidRPr="00DA03DC">
              <w:rPr>
                <w:b/>
                <w:sz w:val="22"/>
                <w:szCs w:val="22"/>
                <w:lang w:val="lt-LT"/>
              </w:rPr>
              <w:t>Didelė</w:t>
            </w:r>
          </w:p>
        </w:tc>
      </w:tr>
      <w:tr w:rsidR="00222AF7" w:rsidRPr="00DA03DC" w:rsidTr="002D0AC3">
        <w:tc>
          <w:tcPr>
            <w:tcW w:w="1329" w:type="dxa"/>
            <w:vMerge w:val="restart"/>
            <w:tcBorders>
              <w:top w:val="single" w:sz="2" w:space="0" w:color="auto"/>
              <w:left w:val="single" w:sz="12" w:space="0" w:color="auto"/>
              <w:right w:val="single" w:sz="2" w:space="0" w:color="auto"/>
            </w:tcBorders>
            <w:vAlign w:val="center"/>
          </w:tcPr>
          <w:p w:rsidR="00222AF7" w:rsidRPr="00DA03DC" w:rsidRDefault="00222AF7" w:rsidP="007F60D9">
            <w:pPr>
              <w:pStyle w:val="NormalWeb"/>
              <w:spacing w:before="0" w:beforeAutospacing="0" w:after="0" w:afterAutospacing="0" w:line="280" w:lineRule="exact"/>
              <w:jc w:val="center"/>
              <w:rPr>
                <w:b/>
                <w:sz w:val="22"/>
                <w:szCs w:val="22"/>
                <w:lang w:val="lt-LT"/>
              </w:rPr>
            </w:pPr>
            <w:r w:rsidRPr="00DA03DC">
              <w:rPr>
                <w:b/>
                <w:sz w:val="22"/>
                <w:szCs w:val="22"/>
                <w:lang w:val="lt-LT"/>
              </w:rPr>
              <w:t>Įgimta rizika</w:t>
            </w:r>
          </w:p>
        </w:tc>
        <w:tc>
          <w:tcPr>
            <w:tcW w:w="1206" w:type="dxa"/>
            <w:tcBorders>
              <w:top w:val="single" w:sz="2" w:space="0" w:color="auto"/>
              <w:left w:val="single" w:sz="2" w:space="0" w:color="auto"/>
              <w:bottom w:val="single" w:sz="2" w:space="0" w:color="auto"/>
              <w:right w:val="single" w:sz="2" w:space="0" w:color="auto"/>
            </w:tcBorders>
          </w:tcPr>
          <w:p w:rsidR="00222AF7" w:rsidRPr="00DA03DC" w:rsidRDefault="00222AF7" w:rsidP="007F60D9">
            <w:pPr>
              <w:pStyle w:val="NormalWeb"/>
              <w:spacing w:before="0" w:beforeAutospacing="0" w:after="0" w:afterAutospacing="0" w:line="280" w:lineRule="exact"/>
              <w:jc w:val="both"/>
              <w:rPr>
                <w:b/>
                <w:sz w:val="22"/>
                <w:szCs w:val="22"/>
                <w:lang w:val="lt-LT"/>
              </w:rPr>
            </w:pPr>
            <w:r w:rsidRPr="00DA03DC">
              <w:rPr>
                <w:b/>
                <w:sz w:val="22"/>
                <w:szCs w:val="22"/>
                <w:lang w:val="lt-LT"/>
              </w:rPr>
              <w:t>Maža</w:t>
            </w:r>
          </w:p>
        </w:tc>
        <w:tc>
          <w:tcPr>
            <w:tcW w:w="14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417"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r>
      <w:tr w:rsidR="00222AF7" w:rsidRPr="00DA03DC" w:rsidTr="002D0AC3">
        <w:tc>
          <w:tcPr>
            <w:tcW w:w="1329" w:type="dxa"/>
            <w:vMerge/>
            <w:tcBorders>
              <w:left w:val="single" w:sz="12" w:space="0" w:color="auto"/>
              <w:right w:val="single" w:sz="2" w:space="0" w:color="auto"/>
            </w:tcBorders>
            <w:vAlign w:val="center"/>
          </w:tcPr>
          <w:p w:rsidR="00222AF7" w:rsidRPr="00DA03DC" w:rsidRDefault="00222AF7" w:rsidP="007F60D9">
            <w:pPr>
              <w:pStyle w:val="NormalWeb"/>
              <w:spacing w:before="0" w:beforeAutospacing="0" w:after="0" w:afterAutospacing="0" w:line="280" w:lineRule="exact"/>
              <w:jc w:val="center"/>
              <w:rPr>
                <w:sz w:val="22"/>
                <w:szCs w:val="22"/>
                <w:lang w:val="lt-LT"/>
              </w:rPr>
            </w:pPr>
          </w:p>
        </w:tc>
        <w:tc>
          <w:tcPr>
            <w:tcW w:w="1206" w:type="dxa"/>
            <w:tcBorders>
              <w:top w:val="single" w:sz="2" w:space="0" w:color="auto"/>
              <w:left w:val="single" w:sz="2" w:space="0" w:color="auto"/>
              <w:bottom w:val="single" w:sz="2" w:space="0" w:color="auto"/>
              <w:right w:val="single" w:sz="2" w:space="0" w:color="auto"/>
            </w:tcBorders>
          </w:tcPr>
          <w:p w:rsidR="00222AF7" w:rsidRPr="00DA03DC" w:rsidRDefault="00222AF7" w:rsidP="007F60D9">
            <w:pPr>
              <w:pStyle w:val="NormalWeb"/>
              <w:spacing w:before="0" w:beforeAutospacing="0" w:after="0" w:afterAutospacing="0" w:line="280" w:lineRule="exact"/>
              <w:jc w:val="both"/>
              <w:rPr>
                <w:b/>
                <w:sz w:val="22"/>
                <w:szCs w:val="22"/>
                <w:lang w:val="lt-LT"/>
              </w:rPr>
            </w:pPr>
            <w:r w:rsidRPr="00DA03DC">
              <w:rPr>
                <w:b/>
                <w:sz w:val="22"/>
                <w:szCs w:val="22"/>
                <w:lang w:val="lt-LT"/>
              </w:rPr>
              <w:t>Vidutinė</w:t>
            </w:r>
          </w:p>
        </w:tc>
        <w:tc>
          <w:tcPr>
            <w:tcW w:w="14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417"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222AF7" w:rsidRPr="00DA03DC" w:rsidTr="002D0AC3">
        <w:tc>
          <w:tcPr>
            <w:tcW w:w="1329" w:type="dxa"/>
            <w:vMerge/>
            <w:tcBorders>
              <w:left w:val="single" w:sz="12" w:space="0" w:color="auto"/>
              <w:bottom w:val="single" w:sz="12" w:space="0" w:color="auto"/>
              <w:right w:val="single" w:sz="2" w:space="0" w:color="auto"/>
            </w:tcBorders>
            <w:vAlign w:val="center"/>
          </w:tcPr>
          <w:p w:rsidR="00222AF7" w:rsidRPr="00DA03DC" w:rsidRDefault="00222AF7" w:rsidP="007F60D9">
            <w:pPr>
              <w:pStyle w:val="NormalWeb"/>
              <w:spacing w:before="0" w:beforeAutospacing="0" w:after="0" w:afterAutospacing="0" w:line="280" w:lineRule="exact"/>
              <w:jc w:val="center"/>
              <w:rPr>
                <w:sz w:val="22"/>
                <w:szCs w:val="22"/>
                <w:lang w:val="lt-LT"/>
              </w:rPr>
            </w:pPr>
          </w:p>
        </w:tc>
        <w:tc>
          <w:tcPr>
            <w:tcW w:w="1206" w:type="dxa"/>
            <w:tcBorders>
              <w:top w:val="single" w:sz="2" w:space="0" w:color="auto"/>
              <w:left w:val="single" w:sz="2" w:space="0" w:color="auto"/>
              <w:bottom w:val="single" w:sz="12" w:space="0" w:color="auto"/>
              <w:right w:val="single" w:sz="2" w:space="0" w:color="auto"/>
            </w:tcBorders>
          </w:tcPr>
          <w:p w:rsidR="00222AF7" w:rsidRPr="00DA03DC" w:rsidRDefault="00222AF7" w:rsidP="007F60D9">
            <w:pPr>
              <w:pStyle w:val="NormalWeb"/>
              <w:spacing w:before="0" w:beforeAutospacing="0" w:after="0" w:afterAutospacing="0" w:line="280" w:lineRule="exact"/>
              <w:jc w:val="both"/>
              <w:rPr>
                <w:b/>
                <w:sz w:val="22"/>
                <w:szCs w:val="22"/>
                <w:lang w:val="lt-LT"/>
              </w:rPr>
            </w:pPr>
            <w:r w:rsidRPr="00DA03DC">
              <w:rPr>
                <w:b/>
                <w:sz w:val="22"/>
                <w:szCs w:val="22"/>
                <w:lang w:val="lt-LT"/>
              </w:rPr>
              <w:t>Didelė</w:t>
            </w:r>
          </w:p>
        </w:tc>
        <w:tc>
          <w:tcPr>
            <w:tcW w:w="1401"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559" w:type="dxa"/>
            <w:tcBorders>
              <w:top w:val="single" w:sz="2" w:space="0" w:color="auto"/>
              <w:left w:val="single" w:sz="2" w:space="0" w:color="auto"/>
              <w:bottom w:val="single" w:sz="12" w:space="0" w:color="auto"/>
              <w:right w:val="single" w:sz="2" w:space="0" w:color="auto"/>
            </w:tcBorders>
            <w:shd w:val="clear" w:color="auto" w:fill="BFBFBF" w:themeFill="background1" w:themeFillShade="BF"/>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c>
          <w:tcPr>
            <w:tcW w:w="1417" w:type="dxa"/>
            <w:tcBorders>
              <w:top w:val="single" w:sz="2" w:space="0" w:color="auto"/>
              <w:left w:val="single" w:sz="2" w:space="0" w:color="auto"/>
              <w:bottom w:val="single" w:sz="12" w:space="0" w:color="auto"/>
              <w:right w:val="single" w:sz="12" w:space="0" w:color="auto"/>
            </w:tcBorders>
            <w:shd w:val="clear" w:color="auto" w:fill="BFBFBF" w:themeFill="background1" w:themeFillShade="BF"/>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Didelė</w:t>
            </w:r>
          </w:p>
        </w:tc>
      </w:tr>
      <w:tr w:rsidR="00760C2B" w:rsidRPr="00DA03DC" w:rsidTr="002D0AC3">
        <w:tc>
          <w:tcPr>
            <w:tcW w:w="6912" w:type="dxa"/>
            <w:gridSpan w:val="5"/>
            <w:tcBorders>
              <w:left w:val="single" w:sz="12" w:space="0" w:color="auto"/>
              <w:bottom w:val="single" w:sz="2" w:space="0" w:color="auto"/>
              <w:right w:val="single" w:sz="12" w:space="0" w:color="auto"/>
            </w:tcBorders>
            <w:shd w:val="clear" w:color="auto" w:fill="FFFFFF" w:themeFill="background1"/>
            <w:vAlign w:val="center"/>
          </w:tcPr>
          <w:p w:rsidR="00760C2B" w:rsidRPr="00DA03DC" w:rsidRDefault="00760C2B" w:rsidP="007F60D9">
            <w:pPr>
              <w:pStyle w:val="NormalWeb"/>
              <w:spacing w:before="0" w:beforeAutospacing="0" w:after="0" w:afterAutospacing="0" w:line="280" w:lineRule="exact"/>
              <w:jc w:val="center"/>
              <w:rPr>
                <w:b/>
                <w:sz w:val="22"/>
                <w:szCs w:val="22"/>
                <w:lang w:val="lt-LT"/>
              </w:rPr>
            </w:pPr>
            <w:r w:rsidRPr="00DA03DC">
              <w:rPr>
                <w:b/>
                <w:sz w:val="22"/>
                <w:szCs w:val="22"/>
                <w:lang w:val="lt-LT"/>
              </w:rPr>
              <w:t>Audito rizika</w:t>
            </w:r>
          </w:p>
        </w:tc>
      </w:tr>
      <w:tr w:rsidR="00222AF7" w:rsidRPr="00DA03DC" w:rsidTr="002D0AC3">
        <w:tc>
          <w:tcPr>
            <w:tcW w:w="2535" w:type="dxa"/>
            <w:gridSpan w:val="2"/>
            <w:vMerge w:val="restart"/>
            <w:tcBorders>
              <w:top w:val="single" w:sz="2" w:space="0" w:color="auto"/>
              <w:left w:val="single" w:sz="12" w:space="0" w:color="auto"/>
            </w:tcBorders>
            <w:shd w:val="clear" w:color="auto" w:fill="D9D9D9" w:themeFill="background1" w:themeFillShade="D9"/>
            <w:vAlign w:val="center"/>
          </w:tcPr>
          <w:p w:rsidR="00222AF7" w:rsidRPr="00DA03DC" w:rsidRDefault="0025194A" w:rsidP="007F60D9">
            <w:pPr>
              <w:pStyle w:val="NormalWeb"/>
              <w:spacing w:before="0" w:beforeAutospacing="0" w:after="0" w:afterAutospacing="0" w:line="280" w:lineRule="exact"/>
              <w:jc w:val="center"/>
              <w:rPr>
                <w:sz w:val="22"/>
                <w:szCs w:val="22"/>
                <w:lang w:val="lt-LT"/>
              </w:rPr>
            </w:pPr>
            <w:r w:rsidRPr="00DA03DC">
              <w:rPr>
                <w:b/>
                <w:sz w:val="22"/>
                <w:szCs w:val="22"/>
                <w:lang w:val="lt-LT"/>
              </w:rPr>
              <w:t>tvirtinimo</w:t>
            </w:r>
            <w:r w:rsidR="00222AF7" w:rsidRPr="00DA03DC">
              <w:rPr>
                <w:b/>
                <w:sz w:val="22"/>
                <w:szCs w:val="22"/>
                <w:lang w:val="lt-LT"/>
              </w:rPr>
              <w:t xml:space="preserve"> lygmeniu</w:t>
            </w:r>
          </w:p>
        </w:tc>
        <w:tc>
          <w:tcPr>
            <w:tcW w:w="4377" w:type="dxa"/>
            <w:gridSpan w:val="3"/>
            <w:tcBorders>
              <w:top w:val="single" w:sz="2" w:space="0" w:color="auto"/>
              <w:right w:val="single" w:sz="12" w:space="0" w:color="auto"/>
            </w:tcBorders>
          </w:tcPr>
          <w:p w:rsidR="00222AF7" w:rsidRPr="00DA03DC" w:rsidRDefault="00222AF7" w:rsidP="007F60D9">
            <w:pPr>
              <w:pStyle w:val="NormalWeb"/>
              <w:spacing w:before="0" w:beforeAutospacing="0" w:after="0" w:afterAutospacing="0" w:line="280" w:lineRule="exact"/>
              <w:jc w:val="center"/>
              <w:rPr>
                <w:b/>
                <w:sz w:val="22"/>
                <w:szCs w:val="22"/>
                <w:lang w:val="lt-LT"/>
              </w:rPr>
            </w:pPr>
            <w:r w:rsidRPr="00DA03DC">
              <w:rPr>
                <w:b/>
                <w:sz w:val="22"/>
                <w:szCs w:val="22"/>
                <w:lang w:val="lt-LT"/>
              </w:rPr>
              <w:t>Aptikimo rizika</w:t>
            </w:r>
          </w:p>
        </w:tc>
      </w:tr>
      <w:tr w:rsidR="00222AF7" w:rsidRPr="00DA03DC" w:rsidTr="002D0AC3">
        <w:tc>
          <w:tcPr>
            <w:tcW w:w="2535" w:type="dxa"/>
            <w:gridSpan w:val="2"/>
            <w:vMerge/>
            <w:tcBorders>
              <w:left w:val="single" w:sz="12" w:space="0" w:color="auto"/>
            </w:tcBorders>
            <w:shd w:val="clear" w:color="auto" w:fill="D9D9D9" w:themeFill="background1" w:themeFillShade="D9"/>
          </w:tcPr>
          <w:p w:rsidR="00222AF7" w:rsidRPr="00DA03DC" w:rsidRDefault="00222AF7" w:rsidP="007F60D9">
            <w:pPr>
              <w:pStyle w:val="NormalWeb"/>
              <w:spacing w:before="0" w:beforeAutospacing="0" w:after="0" w:afterAutospacing="0" w:line="280" w:lineRule="exact"/>
              <w:jc w:val="both"/>
              <w:rPr>
                <w:b/>
                <w:sz w:val="22"/>
                <w:szCs w:val="22"/>
                <w:lang w:val="lt-LT"/>
              </w:rPr>
            </w:pPr>
          </w:p>
        </w:tc>
        <w:tc>
          <w:tcPr>
            <w:tcW w:w="1401" w:type="dxa"/>
            <w:vAlign w:val="center"/>
          </w:tcPr>
          <w:p w:rsidR="00222AF7" w:rsidRPr="00DA03DC" w:rsidRDefault="00222AF7" w:rsidP="007F60D9">
            <w:pPr>
              <w:spacing w:line="280" w:lineRule="exact"/>
              <w:jc w:val="center"/>
              <w:rPr>
                <w:b/>
                <w:sz w:val="22"/>
                <w:szCs w:val="22"/>
                <w:lang w:val="lt-LT"/>
              </w:rPr>
            </w:pPr>
            <w:r w:rsidRPr="00DA03DC">
              <w:rPr>
                <w:b/>
                <w:sz w:val="22"/>
                <w:szCs w:val="22"/>
                <w:lang w:val="lt-LT"/>
              </w:rPr>
              <w:t>Maža</w:t>
            </w:r>
          </w:p>
        </w:tc>
        <w:tc>
          <w:tcPr>
            <w:tcW w:w="1559" w:type="dxa"/>
            <w:vAlign w:val="center"/>
          </w:tcPr>
          <w:p w:rsidR="00222AF7" w:rsidRPr="00DA03DC" w:rsidRDefault="00222AF7" w:rsidP="007F60D9">
            <w:pPr>
              <w:spacing w:line="280" w:lineRule="exact"/>
              <w:jc w:val="center"/>
              <w:rPr>
                <w:b/>
                <w:sz w:val="22"/>
                <w:szCs w:val="22"/>
                <w:lang w:val="lt-LT"/>
              </w:rPr>
            </w:pPr>
            <w:r w:rsidRPr="00DA03DC">
              <w:rPr>
                <w:b/>
                <w:sz w:val="22"/>
                <w:szCs w:val="22"/>
                <w:lang w:val="lt-LT"/>
              </w:rPr>
              <w:t>Vidutinė</w:t>
            </w:r>
          </w:p>
        </w:tc>
        <w:tc>
          <w:tcPr>
            <w:tcW w:w="1417" w:type="dxa"/>
            <w:tcBorders>
              <w:bottom w:val="single" w:sz="4" w:space="0" w:color="auto"/>
              <w:right w:val="single" w:sz="12" w:space="0" w:color="auto"/>
            </w:tcBorders>
            <w:vAlign w:val="center"/>
          </w:tcPr>
          <w:p w:rsidR="00222AF7" w:rsidRPr="00DA03DC" w:rsidRDefault="00222AF7" w:rsidP="007F60D9">
            <w:pPr>
              <w:spacing w:line="280" w:lineRule="exact"/>
              <w:jc w:val="center"/>
              <w:rPr>
                <w:b/>
                <w:sz w:val="22"/>
                <w:szCs w:val="22"/>
                <w:lang w:val="lt-LT"/>
              </w:rPr>
            </w:pPr>
            <w:r w:rsidRPr="00DA03DC">
              <w:rPr>
                <w:b/>
                <w:sz w:val="22"/>
                <w:szCs w:val="22"/>
                <w:lang w:val="lt-LT"/>
              </w:rPr>
              <w:t>Didelė</w:t>
            </w:r>
          </w:p>
        </w:tc>
      </w:tr>
      <w:tr w:rsidR="00222AF7" w:rsidRPr="00DA03DC" w:rsidTr="002D0AC3">
        <w:tc>
          <w:tcPr>
            <w:tcW w:w="1329" w:type="dxa"/>
            <w:vMerge w:val="restart"/>
            <w:tcBorders>
              <w:left w:val="single" w:sz="12" w:space="0" w:color="auto"/>
            </w:tcBorders>
            <w:vAlign w:val="center"/>
          </w:tcPr>
          <w:p w:rsidR="00222AF7" w:rsidRPr="00DA03DC" w:rsidRDefault="00222AF7" w:rsidP="007F60D9">
            <w:pPr>
              <w:pStyle w:val="NormalWeb"/>
              <w:spacing w:before="0" w:beforeAutospacing="0" w:after="0" w:afterAutospacing="0" w:line="280" w:lineRule="exact"/>
              <w:jc w:val="center"/>
              <w:rPr>
                <w:b/>
                <w:sz w:val="22"/>
                <w:szCs w:val="22"/>
                <w:lang w:val="lt-LT"/>
              </w:rPr>
            </w:pPr>
            <w:r w:rsidRPr="00DA03DC">
              <w:rPr>
                <w:b/>
                <w:sz w:val="22"/>
                <w:szCs w:val="22"/>
                <w:lang w:val="lt-LT"/>
              </w:rPr>
              <w:t>Reikšmingo iškraipymo rizika</w:t>
            </w:r>
          </w:p>
        </w:tc>
        <w:tc>
          <w:tcPr>
            <w:tcW w:w="1206" w:type="dxa"/>
          </w:tcPr>
          <w:p w:rsidR="00222AF7" w:rsidRPr="00DA03DC" w:rsidRDefault="00222AF7" w:rsidP="007F60D9">
            <w:pPr>
              <w:pStyle w:val="NormalWeb"/>
              <w:spacing w:before="0" w:beforeAutospacing="0" w:after="0" w:afterAutospacing="0" w:line="280" w:lineRule="exact"/>
              <w:jc w:val="both"/>
              <w:rPr>
                <w:b/>
                <w:sz w:val="22"/>
                <w:szCs w:val="22"/>
                <w:lang w:val="lt-LT"/>
              </w:rPr>
            </w:pPr>
            <w:r w:rsidRPr="00DA03DC">
              <w:rPr>
                <w:b/>
                <w:sz w:val="22"/>
                <w:szCs w:val="22"/>
                <w:lang w:val="lt-LT"/>
              </w:rPr>
              <w:t>Maža</w:t>
            </w:r>
          </w:p>
        </w:tc>
        <w:tc>
          <w:tcPr>
            <w:tcW w:w="1401" w:type="dxa"/>
            <w:vAlign w:val="center"/>
          </w:tcPr>
          <w:p w:rsidR="00222AF7" w:rsidRPr="00DA03DC" w:rsidRDefault="00222AF7" w:rsidP="007F60D9">
            <w:pPr>
              <w:spacing w:line="280" w:lineRule="exact"/>
              <w:jc w:val="center"/>
              <w:rPr>
                <w:sz w:val="22"/>
                <w:szCs w:val="22"/>
                <w:lang w:val="lt-LT"/>
              </w:rPr>
            </w:pPr>
            <w:r w:rsidRPr="00DA03DC">
              <w:rPr>
                <w:sz w:val="22"/>
                <w:szCs w:val="22"/>
                <w:lang w:val="lt-LT"/>
              </w:rPr>
              <w:t>X</w:t>
            </w:r>
          </w:p>
        </w:tc>
        <w:tc>
          <w:tcPr>
            <w:tcW w:w="1559" w:type="dxa"/>
            <w:tcBorders>
              <w:bottom w:val="single" w:sz="4" w:space="0" w:color="auto"/>
            </w:tcBorders>
            <w:vAlign w:val="center"/>
          </w:tcPr>
          <w:p w:rsidR="00222AF7" w:rsidRPr="00DA03DC" w:rsidRDefault="00222AF7" w:rsidP="007F60D9">
            <w:pPr>
              <w:spacing w:line="280" w:lineRule="exact"/>
              <w:jc w:val="center"/>
              <w:rPr>
                <w:sz w:val="22"/>
                <w:szCs w:val="22"/>
                <w:lang w:val="lt-LT"/>
              </w:rPr>
            </w:pPr>
            <w:r w:rsidRPr="00DA03DC">
              <w:rPr>
                <w:sz w:val="22"/>
                <w:szCs w:val="22"/>
                <w:lang w:val="lt-LT"/>
              </w:rPr>
              <w:t>X</w:t>
            </w:r>
          </w:p>
        </w:tc>
        <w:tc>
          <w:tcPr>
            <w:tcW w:w="1417" w:type="dxa"/>
            <w:tcBorders>
              <w:right w:val="single" w:sz="12" w:space="0" w:color="auto"/>
            </w:tcBorders>
            <w:shd w:val="clear" w:color="auto" w:fill="BFBFBF" w:themeFill="background1" w:themeFillShade="BF"/>
            <w:vAlign w:val="center"/>
          </w:tcPr>
          <w:p w:rsidR="00222AF7" w:rsidRPr="00DA03DC" w:rsidRDefault="00222AF7" w:rsidP="007F60D9">
            <w:pPr>
              <w:spacing w:line="280" w:lineRule="exact"/>
              <w:jc w:val="center"/>
              <w:rPr>
                <w:sz w:val="22"/>
                <w:szCs w:val="22"/>
                <w:lang w:val="lt-LT"/>
              </w:rPr>
            </w:pPr>
            <w:r w:rsidRPr="00DA03DC">
              <w:rPr>
                <w:sz w:val="22"/>
                <w:szCs w:val="22"/>
                <w:lang w:val="lt-LT"/>
              </w:rPr>
              <w:t>Didelė</w:t>
            </w:r>
          </w:p>
        </w:tc>
      </w:tr>
      <w:tr w:rsidR="00222AF7" w:rsidRPr="00DA03DC" w:rsidTr="002D0AC3">
        <w:tc>
          <w:tcPr>
            <w:tcW w:w="1329" w:type="dxa"/>
            <w:vMerge/>
            <w:tcBorders>
              <w:left w:val="single" w:sz="12" w:space="0" w:color="auto"/>
            </w:tcBorders>
          </w:tcPr>
          <w:p w:rsidR="00222AF7" w:rsidRPr="00DA03DC" w:rsidRDefault="00222AF7" w:rsidP="007F60D9">
            <w:pPr>
              <w:pStyle w:val="NormalWeb"/>
              <w:spacing w:before="0" w:beforeAutospacing="0" w:after="0" w:afterAutospacing="0" w:line="280" w:lineRule="exact"/>
              <w:jc w:val="center"/>
              <w:rPr>
                <w:sz w:val="22"/>
                <w:szCs w:val="22"/>
                <w:lang w:val="lt-LT"/>
              </w:rPr>
            </w:pPr>
          </w:p>
        </w:tc>
        <w:tc>
          <w:tcPr>
            <w:tcW w:w="1206" w:type="dxa"/>
          </w:tcPr>
          <w:p w:rsidR="00222AF7" w:rsidRPr="00DA03DC" w:rsidRDefault="00222AF7" w:rsidP="007F60D9">
            <w:pPr>
              <w:pStyle w:val="NormalWeb"/>
              <w:spacing w:before="0" w:beforeAutospacing="0" w:after="0" w:afterAutospacing="0" w:line="280" w:lineRule="exact"/>
              <w:jc w:val="both"/>
              <w:rPr>
                <w:b/>
                <w:sz w:val="22"/>
                <w:szCs w:val="22"/>
                <w:lang w:val="lt-LT"/>
              </w:rPr>
            </w:pPr>
            <w:r w:rsidRPr="00DA03DC">
              <w:rPr>
                <w:b/>
                <w:sz w:val="22"/>
                <w:szCs w:val="22"/>
                <w:lang w:val="lt-LT"/>
              </w:rPr>
              <w:t>Vidutinė</w:t>
            </w:r>
          </w:p>
        </w:tc>
        <w:tc>
          <w:tcPr>
            <w:tcW w:w="1401" w:type="dxa"/>
            <w:tcBorders>
              <w:bottom w:val="single" w:sz="4" w:space="0" w:color="auto"/>
            </w:tcBorders>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X</w:t>
            </w:r>
          </w:p>
        </w:tc>
        <w:tc>
          <w:tcPr>
            <w:tcW w:w="1559" w:type="dxa"/>
            <w:shd w:val="clear" w:color="auto" w:fill="F2F2F2" w:themeFill="background1" w:themeFillShade="F2"/>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c>
          <w:tcPr>
            <w:tcW w:w="1417" w:type="dxa"/>
            <w:tcBorders>
              <w:right w:val="single" w:sz="12" w:space="0" w:color="auto"/>
            </w:tcBorders>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X</w:t>
            </w:r>
          </w:p>
        </w:tc>
      </w:tr>
      <w:tr w:rsidR="00222AF7" w:rsidRPr="00DA03DC" w:rsidTr="002D0AC3">
        <w:trPr>
          <w:trHeight w:val="60"/>
        </w:trPr>
        <w:tc>
          <w:tcPr>
            <w:tcW w:w="1329" w:type="dxa"/>
            <w:vMerge/>
            <w:tcBorders>
              <w:left w:val="single" w:sz="12" w:space="0" w:color="auto"/>
              <w:bottom w:val="single" w:sz="12" w:space="0" w:color="auto"/>
            </w:tcBorders>
          </w:tcPr>
          <w:p w:rsidR="00222AF7" w:rsidRPr="00DA03DC" w:rsidRDefault="00222AF7" w:rsidP="007F60D9">
            <w:pPr>
              <w:pStyle w:val="NormalWeb"/>
              <w:spacing w:before="0" w:beforeAutospacing="0" w:after="0" w:afterAutospacing="0" w:line="280" w:lineRule="exact"/>
              <w:jc w:val="center"/>
              <w:rPr>
                <w:sz w:val="22"/>
                <w:szCs w:val="22"/>
                <w:lang w:val="lt-LT"/>
              </w:rPr>
            </w:pPr>
          </w:p>
        </w:tc>
        <w:tc>
          <w:tcPr>
            <w:tcW w:w="1206" w:type="dxa"/>
            <w:tcBorders>
              <w:bottom w:val="single" w:sz="12" w:space="0" w:color="auto"/>
            </w:tcBorders>
          </w:tcPr>
          <w:p w:rsidR="00222AF7" w:rsidRPr="00DA03DC" w:rsidRDefault="00222AF7" w:rsidP="007F60D9">
            <w:pPr>
              <w:pStyle w:val="NormalWeb"/>
              <w:spacing w:before="0" w:beforeAutospacing="0" w:after="0" w:afterAutospacing="0" w:line="280" w:lineRule="exact"/>
              <w:jc w:val="both"/>
              <w:rPr>
                <w:b/>
                <w:sz w:val="22"/>
                <w:szCs w:val="22"/>
                <w:lang w:val="lt-LT"/>
              </w:rPr>
            </w:pPr>
            <w:r w:rsidRPr="00DA03DC">
              <w:rPr>
                <w:b/>
                <w:sz w:val="22"/>
                <w:szCs w:val="22"/>
                <w:lang w:val="lt-LT"/>
              </w:rPr>
              <w:t>Didelė</w:t>
            </w:r>
          </w:p>
        </w:tc>
        <w:tc>
          <w:tcPr>
            <w:tcW w:w="1401" w:type="dxa"/>
            <w:tcBorders>
              <w:bottom w:val="single" w:sz="12" w:space="0" w:color="auto"/>
            </w:tcBorders>
            <w:shd w:val="clear" w:color="auto" w:fill="F2F2F2" w:themeFill="background1" w:themeFillShade="F2"/>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tcBorders>
              <w:bottom w:val="single" w:sz="12" w:space="0" w:color="auto"/>
            </w:tcBorders>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X</w:t>
            </w:r>
          </w:p>
        </w:tc>
        <w:tc>
          <w:tcPr>
            <w:tcW w:w="1417" w:type="dxa"/>
            <w:tcBorders>
              <w:bottom w:val="single" w:sz="12" w:space="0" w:color="auto"/>
              <w:right w:val="single" w:sz="12" w:space="0" w:color="auto"/>
            </w:tcBorders>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sz w:val="22"/>
                <w:szCs w:val="22"/>
                <w:lang w:val="lt-LT"/>
              </w:rPr>
              <w:t>X</w:t>
            </w:r>
          </w:p>
        </w:tc>
      </w:tr>
      <w:tr w:rsidR="00222AF7" w:rsidRPr="00DA03DC" w:rsidTr="002D0AC3">
        <w:trPr>
          <w:trHeight w:val="60"/>
        </w:trPr>
        <w:tc>
          <w:tcPr>
            <w:tcW w:w="2535" w:type="dxa"/>
            <w:gridSpan w:val="2"/>
            <w:vMerge w:val="restart"/>
            <w:tcBorders>
              <w:top w:val="single" w:sz="12" w:space="0" w:color="auto"/>
              <w:left w:val="single" w:sz="12" w:space="0" w:color="auto"/>
            </w:tcBorders>
            <w:shd w:val="clear" w:color="auto" w:fill="D9D9D9" w:themeFill="background1" w:themeFillShade="D9"/>
            <w:vAlign w:val="center"/>
          </w:tcPr>
          <w:p w:rsidR="00222AF7" w:rsidRPr="00DA03DC" w:rsidRDefault="0025194A" w:rsidP="007F60D9">
            <w:pPr>
              <w:pStyle w:val="NormalWeb"/>
              <w:spacing w:before="0" w:beforeAutospacing="0" w:after="0" w:afterAutospacing="0" w:line="280" w:lineRule="exact"/>
              <w:jc w:val="center"/>
              <w:rPr>
                <w:b/>
                <w:sz w:val="22"/>
                <w:szCs w:val="22"/>
                <w:lang w:val="lt-LT"/>
              </w:rPr>
            </w:pPr>
            <w:r w:rsidRPr="00DA03DC">
              <w:rPr>
                <w:b/>
                <w:sz w:val="22"/>
                <w:szCs w:val="22"/>
                <w:lang w:val="lt-LT"/>
              </w:rPr>
              <w:t>tvirtinimo</w:t>
            </w:r>
            <w:r w:rsidR="00222AF7" w:rsidRPr="00DA03DC">
              <w:rPr>
                <w:b/>
                <w:sz w:val="22"/>
                <w:szCs w:val="22"/>
                <w:lang w:val="lt-LT"/>
              </w:rPr>
              <w:t xml:space="preserve"> lygmeniu</w:t>
            </w:r>
          </w:p>
        </w:tc>
        <w:tc>
          <w:tcPr>
            <w:tcW w:w="4377" w:type="dxa"/>
            <w:gridSpan w:val="3"/>
            <w:tcBorders>
              <w:top w:val="single" w:sz="12" w:space="0" w:color="auto"/>
              <w:right w:val="single" w:sz="12" w:space="0" w:color="auto"/>
            </w:tcBorders>
          </w:tcPr>
          <w:p w:rsidR="00222AF7" w:rsidRPr="00DA03DC" w:rsidRDefault="00222AF7" w:rsidP="007F60D9">
            <w:pPr>
              <w:pStyle w:val="NormalWeb"/>
              <w:spacing w:before="0" w:beforeAutospacing="0" w:after="0" w:afterAutospacing="0" w:line="280" w:lineRule="exact"/>
              <w:jc w:val="center"/>
              <w:rPr>
                <w:sz w:val="22"/>
                <w:szCs w:val="22"/>
                <w:lang w:val="lt-LT"/>
              </w:rPr>
            </w:pPr>
            <w:r w:rsidRPr="00DA03DC">
              <w:rPr>
                <w:b/>
                <w:sz w:val="22"/>
                <w:szCs w:val="22"/>
                <w:lang w:val="lt-LT"/>
              </w:rPr>
              <w:t>Aptikimo rizika</w:t>
            </w:r>
          </w:p>
        </w:tc>
      </w:tr>
      <w:tr w:rsidR="00222AF7" w:rsidRPr="00DA03DC" w:rsidTr="002D0AC3">
        <w:trPr>
          <w:trHeight w:val="60"/>
        </w:trPr>
        <w:tc>
          <w:tcPr>
            <w:tcW w:w="2535" w:type="dxa"/>
            <w:gridSpan w:val="2"/>
            <w:vMerge/>
            <w:tcBorders>
              <w:left w:val="single" w:sz="12" w:space="0" w:color="auto"/>
            </w:tcBorders>
            <w:shd w:val="clear" w:color="auto" w:fill="D9D9D9" w:themeFill="background1" w:themeFillShade="D9"/>
          </w:tcPr>
          <w:p w:rsidR="00222AF7" w:rsidRPr="00DA03DC" w:rsidRDefault="00222AF7" w:rsidP="007F60D9">
            <w:pPr>
              <w:pStyle w:val="NormalWeb"/>
              <w:spacing w:before="0" w:beforeAutospacing="0" w:after="0" w:afterAutospacing="0" w:line="280" w:lineRule="exact"/>
              <w:rPr>
                <w:b/>
                <w:sz w:val="22"/>
                <w:szCs w:val="22"/>
                <w:lang w:val="lt-LT"/>
              </w:rPr>
            </w:pPr>
          </w:p>
        </w:tc>
        <w:tc>
          <w:tcPr>
            <w:tcW w:w="1401" w:type="dxa"/>
            <w:tcBorders>
              <w:bottom w:val="single" w:sz="4" w:space="0" w:color="auto"/>
            </w:tcBorders>
            <w:vAlign w:val="center"/>
          </w:tcPr>
          <w:p w:rsidR="00222AF7" w:rsidRPr="00DA03DC" w:rsidRDefault="00222AF7" w:rsidP="007F60D9">
            <w:pPr>
              <w:spacing w:line="280" w:lineRule="exact"/>
              <w:jc w:val="center"/>
              <w:rPr>
                <w:b/>
                <w:sz w:val="22"/>
                <w:szCs w:val="22"/>
                <w:lang w:val="lt-LT"/>
              </w:rPr>
            </w:pPr>
            <w:r w:rsidRPr="00DA03DC">
              <w:rPr>
                <w:b/>
                <w:sz w:val="22"/>
                <w:szCs w:val="22"/>
                <w:lang w:val="lt-LT"/>
              </w:rPr>
              <w:t>Maža</w:t>
            </w:r>
          </w:p>
        </w:tc>
        <w:tc>
          <w:tcPr>
            <w:tcW w:w="1559" w:type="dxa"/>
            <w:tcBorders>
              <w:bottom w:val="single" w:sz="4" w:space="0" w:color="auto"/>
            </w:tcBorders>
            <w:vAlign w:val="center"/>
          </w:tcPr>
          <w:p w:rsidR="00222AF7" w:rsidRPr="00DA03DC" w:rsidRDefault="00222AF7" w:rsidP="007F60D9">
            <w:pPr>
              <w:spacing w:line="280" w:lineRule="exact"/>
              <w:jc w:val="center"/>
              <w:rPr>
                <w:b/>
                <w:sz w:val="22"/>
                <w:szCs w:val="22"/>
                <w:lang w:val="lt-LT"/>
              </w:rPr>
            </w:pPr>
            <w:r w:rsidRPr="00DA03DC">
              <w:rPr>
                <w:b/>
                <w:sz w:val="22"/>
                <w:szCs w:val="22"/>
                <w:lang w:val="lt-LT"/>
              </w:rPr>
              <w:t>Vidutinė</w:t>
            </w:r>
          </w:p>
        </w:tc>
        <w:tc>
          <w:tcPr>
            <w:tcW w:w="1417" w:type="dxa"/>
            <w:tcBorders>
              <w:bottom w:val="single" w:sz="4" w:space="0" w:color="auto"/>
              <w:right w:val="single" w:sz="12" w:space="0" w:color="auto"/>
            </w:tcBorders>
            <w:vAlign w:val="center"/>
          </w:tcPr>
          <w:p w:rsidR="00222AF7" w:rsidRPr="00DA03DC" w:rsidRDefault="00222AF7" w:rsidP="007F60D9">
            <w:pPr>
              <w:spacing w:line="280" w:lineRule="exact"/>
              <w:jc w:val="center"/>
              <w:rPr>
                <w:b/>
                <w:sz w:val="22"/>
                <w:szCs w:val="22"/>
                <w:lang w:val="lt-LT"/>
              </w:rPr>
            </w:pPr>
            <w:r w:rsidRPr="00DA03DC">
              <w:rPr>
                <w:b/>
                <w:sz w:val="22"/>
                <w:szCs w:val="22"/>
                <w:lang w:val="lt-LT"/>
              </w:rPr>
              <w:t>Didelė</w:t>
            </w:r>
          </w:p>
        </w:tc>
      </w:tr>
      <w:tr w:rsidR="001D6BE3" w:rsidRPr="00DA03DC" w:rsidTr="002D0AC3">
        <w:trPr>
          <w:trHeight w:val="60"/>
        </w:trPr>
        <w:tc>
          <w:tcPr>
            <w:tcW w:w="2535" w:type="dxa"/>
            <w:gridSpan w:val="2"/>
            <w:tcBorders>
              <w:left w:val="single" w:sz="12" w:space="0" w:color="auto"/>
            </w:tcBorders>
          </w:tcPr>
          <w:p w:rsidR="001D6BE3" w:rsidRPr="00DA03DC" w:rsidRDefault="001D6BE3" w:rsidP="007F60D9">
            <w:pPr>
              <w:pStyle w:val="NormalWeb"/>
              <w:spacing w:before="0" w:beforeAutospacing="0" w:after="0" w:afterAutospacing="0" w:line="280" w:lineRule="exact"/>
              <w:rPr>
                <w:b/>
                <w:sz w:val="22"/>
                <w:szCs w:val="22"/>
                <w:lang w:val="lt-LT"/>
              </w:rPr>
            </w:pPr>
            <w:r w:rsidRPr="00DA03DC">
              <w:rPr>
                <w:b/>
                <w:sz w:val="22"/>
                <w:szCs w:val="22"/>
                <w:lang w:val="lt-LT"/>
              </w:rPr>
              <w:t>Audito procedūrų rizika</w:t>
            </w:r>
          </w:p>
        </w:tc>
        <w:tc>
          <w:tcPr>
            <w:tcW w:w="1401" w:type="dxa"/>
            <w:tcBorders>
              <w:bottom w:val="single" w:sz="4" w:space="0" w:color="auto"/>
            </w:tcBorders>
            <w:shd w:val="clear" w:color="auto" w:fill="F2F2F2" w:themeFill="background1" w:themeFillShade="F2"/>
            <w:vAlign w:val="center"/>
          </w:tcPr>
          <w:p w:rsidR="001D6BE3" w:rsidRPr="00DA03DC" w:rsidRDefault="001D6BE3" w:rsidP="007F60D9">
            <w:pPr>
              <w:spacing w:line="280" w:lineRule="exact"/>
              <w:jc w:val="center"/>
              <w:rPr>
                <w:sz w:val="22"/>
                <w:szCs w:val="22"/>
                <w:lang w:val="lt-LT"/>
              </w:rPr>
            </w:pPr>
            <w:r w:rsidRPr="00DA03DC">
              <w:rPr>
                <w:sz w:val="22"/>
                <w:szCs w:val="22"/>
                <w:lang w:val="lt-LT"/>
              </w:rPr>
              <w:t>Maža</w:t>
            </w:r>
          </w:p>
        </w:tc>
        <w:tc>
          <w:tcPr>
            <w:tcW w:w="1559" w:type="dxa"/>
            <w:tcBorders>
              <w:bottom w:val="single" w:sz="4" w:space="0" w:color="auto"/>
            </w:tcBorders>
            <w:shd w:val="clear" w:color="auto" w:fill="F2F2F2" w:themeFill="background1" w:themeFillShade="F2"/>
            <w:vAlign w:val="center"/>
          </w:tcPr>
          <w:p w:rsidR="001D6BE3" w:rsidRPr="00DA03DC" w:rsidRDefault="001D6BE3" w:rsidP="007F60D9">
            <w:pPr>
              <w:spacing w:line="280" w:lineRule="exact"/>
              <w:jc w:val="center"/>
              <w:rPr>
                <w:sz w:val="22"/>
                <w:szCs w:val="22"/>
                <w:lang w:val="lt-LT"/>
              </w:rPr>
            </w:pPr>
            <w:r w:rsidRPr="00DA03DC">
              <w:rPr>
                <w:sz w:val="22"/>
                <w:szCs w:val="22"/>
                <w:lang w:val="lt-LT"/>
              </w:rPr>
              <w:t>Maža</w:t>
            </w:r>
          </w:p>
        </w:tc>
        <w:tc>
          <w:tcPr>
            <w:tcW w:w="1417" w:type="dxa"/>
            <w:tcBorders>
              <w:bottom w:val="single" w:sz="4" w:space="0" w:color="auto"/>
              <w:right w:val="single" w:sz="12" w:space="0" w:color="auto"/>
            </w:tcBorders>
            <w:shd w:val="clear" w:color="auto" w:fill="F2F2F2" w:themeFill="background1" w:themeFillShade="F2"/>
            <w:vAlign w:val="center"/>
          </w:tcPr>
          <w:p w:rsidR="001D6BE3" w:rsidRPr="00DA03DC" w:rsidRDefault="001D6BE3" w:rsidP="007F60D9">
            <w:pPr>
              <w:spacing w:line="280" w:lineRule="exact"/>
              <w:jc w:val="center"/>
              <w:rPr>
                <w:sz w:val="22"/>
                <w:szCs w:val="22"/>
                <w:lang w:val="lt-LT"/>
              </w:rPr>
            </w:pPr>
            <w:r w:rsidRPr="00DA03DC">
              <w:rPr>
                <w:sz w:val="22"/>
                <w:szCs w:val="22"/>
                <w:lang w:val="lt-LT"/>
              </w:rPr>
              <w:t>Vidutinė</w:t>
            </w:r>
          </w:p>
        </w:tc>
      </w:tr>
      <w:tr w:rsidR="001D6BE3" w:rsidRPr="00DA03DC" w:rsidTr="002D0AC3">
        <w:trPr>
          <w:trHeight w:val="60"/>
        </w:trPr>
        <w:tc>
          <w:tcPr>
            <w:tcW w:w="2535" w:type="dxa"/>
            <w:gridSpan w:val="2"/>
            <w:tcBorders>
              <w:left w:val="single" w:sz="12" w:space="0" w:color="auto"/>
            </w:tcBorders>
          </w:tcPr>
          <w:p w:rsidR="001D6BE3" w:rsidRPr="00DA03DC" w:rsidRDefault="001D6BE3" w:rsidP="007F60D9">
            <w:pPr>
              <w:pStyle w:val="NormalWeb"/>
              <w:spacing w:before="0" w:beforeAutospacing="0" w:after="0" w:afterAutospacing="0" w:line="280" w:lineRule="exact"/>
              <w:jc w:val="both"/>
              <w:rPr>
                <w:b/>
                <w:sz w:val="22"/>
                <w:szCs w:val="22"/>
                <w:lang w:val="lt-LT"/>
              </w:rPr>
            </w:pPr>
            <w:r w:rsidRPr="00DA03DC">
              <w:rPr>
                <w:b/>
                <w:sz w:val="22"/>
                <w:szCs w:val="22"/>
                <w:lang w:val="lt-LT"/>
              </w:rPr>
              <w:t>Atrankos rizika</w:t>
            </w:r>
          </w:p>
        </w:tc>
        <w:tc>
          <w:tcPr>
            <w:tcW w:w="1401" w:type="dxa"/>
            <w:shd w:val="clear" w:color="auto" w:fill="F2F2F2" w:themeFill="background1" w:themeFillShade="F2"/>
          </w:tcPr>
          <w:p w:rsidR="001D6BE3" w:rsidRPr="00DA03DC" w:rsidRDefault="0072702B"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shd w:val="clear" w:color="auto" w:fill="F2F2F2" w:themeFill="background1" w:themeFillShade="F2"/>
          </w:tcPr>
          <w:p w:rsidR="001D6BE3" w:rsidRPr="00DA03DC" w:rsidRDefault="001D6BE3"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417" w:type="dxa"/>
            <w:tcBorders>
              <w:right w:val="single" w:sz="12" w:space="0" w:color="auto"/>
            </w:tcBorders>
            <w:shd w:val="clear" w:color="auto" w:fill="F2F2F2" w:themeFill="background1" w:themeFillShade="F2"/>
          </w:tcPr>
          <w:p w:rsidR="001D6BE3" w:rsidRPr="00DA03DC" w:rsidRDefault="001D6BE3"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r>
      <w:tr w:rsidR="001D6BE3" w:rsidRPr="00DA03DC" w:rsidTr="002D0AC3">
        <w:trPr>
          <w:trHeight w:val="60"/>
        </w:trPr>
        <w:tc>
          <w:tcPr>
            <w:tcW w:w="2535" w:type="dxa"/>
            <w:gridSpan w:val="2"/>
            <w:tcBorders>
              <w:left w:val="single" w:sz="12" w:space="0" w:color="auto"/>
              <w:bottom w:val="single" w:sz="12" w:space="0" w:color="auto"/>
            </w:tcBorders>
          </w:tcPr>
          <w:p w:rsidR="001D6BE3" w:rsidRPr="00DA03DC" w:rsidRDefault="001D6BE3" w:rsidP="007F60D9">
            <w:pPr>
              <w:pStyle w:val="NormalWeb"/>
              <w:spacing w:before="0" w:beforeAutospacing="0" w:after="0" w:afterAutospacing="0" w:line="280" w:lineRule="exact"/>
              <w:jc w:val="both"/>
              <w:rPr>
                <w:b/>
                <w:sz w:val="22"/>
                <w:szCs w:val="22"/>
                <w:lang w:val="lt-LT"/>
              </w:rPr>
            </w:pPr>
            <w:r w:rsidRPr="00DA03DC">
              <w:rPr>
                <w:b/>
                <w:sz w:val="22"/>
                <w:szCs w:val="22"/>
                <w:lang w:val="lt-LT"/>
              </w:rPr>
              <w:t>Profesinė rizika</w:t>
            </w:r>
          </w:p>
        </w:tc>
        <w:tc>
          <w:tcPr>
            <w:tcW w:w="1401" w:type="dxa"/>
            <w:tcBorders>
              <w:bottom w:val="single" w:sz="12" w:space="0" w:color="auto"/>
            </w:tcBorders>
          </w:tcPr>
          <w:p w:rsidR="001D6BE3" w:rsidRPr="00DA03DC" w:rsidRDefault="001D6BE3" w:rsidP="007F60D9">
            <w:pPr>
              <w:pStyle w:val="NormalWeb"/>
              <w:spacing w:before="0" w:beforeAutospacing="0" w:after="0" w:afterAutospacing="0" w:line="280" w:lineRule="exact"/>
              <w:jc w:val="center"/>
              <w:rPr>
                <w:sz w:val="22"/>
                <w:szCs w:val="22"/>
                <w:lang w:val="lt-LT"/>
              </w:rPr>
            </w:pPr>
            <w:r w:rsidRPr="00DA03DC">
              <w:rPr>
                <w:sz w:val="22"/>
                <w:szCs w:val="22"/>
                <w:lang w:val="lt-LT"/>
              </w:rPr>
              <w:t>X</w:t>
            </w:r>
          </w:p>
        </w:tc>
        <w:tc>
          <w:tcPr>
            <w:tcW w:w="1559" w:type="dxa"/>
            <w:tcBorders>
              <w:bottom w:val="single" w:sz="12" w:space="0" w:color="auto"/>
            </w:tcBorders>
            <w:shd w:val="clear" w:color="auto" w:fill="F2F2F2" w:themeFill="background1" w:themeFillShade="F2"/>
          </w:tcPr>
          <w:p w:rsidR="001D6BE3" w:rsidRPr="00DA03DC" w:rsidRDefault="001D6BE3"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417" w:type="dxa"/>
            <w:tcBorders>
              <w:bottom w:val="single" w:sz="12" w:space="0" w:color="auto"/>
              <w:right w:val="single" w:sz="12" w:space="0" w:color="auto"/>
            </w:tcBorders>
            <w:shd w:val="clear" w:color="auto" w:fill="F2F2F2" w:themeFill="background1" w:themeFillShade="F2"/>
          </w:tcPr>
          <w:p w:rsidR="001D6BE3" w:rsidRPr="00DA03DC" w:rsidRDefault="001D6BE3" w:rsidP="007F60D9">
            <w:pPr>
              <w:pStyle w:val="NormalWeb"/>
              <w:spacing w:before="0" w:beforeAutospacing="0" w:after="0" w:afterAutospacing="0" w:line="280" w:lineRule="exact"/>
              <w:jc w:val="center"/>
              <w:rPr>
                <w:sz w:val="22"/>
                <w:szCs w:val="22"/>
                <w:lang w:val="lt-LT"/>
              </w:rPr>
            </w:pPr>
            <w:r w:rsidRPr="00DA03DC">
              <w:rPr>
                <w:sz w:val="22"/>
                <w:szCs w:val="22"/>
                <w:lang w:val="lt-LT"/>
              </w:rPr>
              <w:t>Vidutinė</w:t>
            </w:r>
          </w:p>
        </w:tc>
      </w:tr>
      <w:tr w:rsidR="00B7168A" w:rsidRPr="00DA03DC" w:rsidTr="002D0AC3">
        <w:trPr>
          <w:trHeight w:val="60"/>
        </w:trPr>
        <w:tc>
          <w:tcPr>
            <w:tcW w:w="2535" w:type="dxa"/>
            <w:gridSpan w:val="2"/>
            <w:vMerge w:val="restart"/>
            <w:tcBorders>
              <w:top w:val="single" w:sz="12" w:space="0" w:color="auto"/>
              <w:left w:val="single" w:sz="12" w:space="0" w:color="auto"/>
            </w:tcBorders>
            <w:shd w:val="clear" w:color="auto" w:fill="D9D9D9" w:themeFill="background1" w:themeFillShade="D9"/>
            <w:vAlign w:val="center"/>
          </w:tcPr>
          <w:p w:rsidR="003325CF" w:rsidRPr="00DA03DC" w:rsidRDefault="003325CF" w:rsidP="007F60D9">
            <w:pPr>
              <w:pStyle w:val="NormalWeb"/>
              <w:spacing w:before="0" w:beforeAutospacing="0" w:after="0" w:afterAutospacing="0" w:line="280" w:lineRule="exact"/>
              <w:jc w:val="center"/>
              <w:rPr>
                <w:b/>
                <w:sz w:val="22"/>
                <w:szCs w:val="22"/>
                <w:lang w:val="lt-LT"/>
              </w:rPr>
            </w:pPr>
            <w:r w:rsidRPr="00DA03DC">
              <w:rPr>
                <w:b/>
                <w:sz w:val="22"/>
                <w:szCs w:val="22"/>
                <w:lang w:val="lt-LT"/>
              </w:rPr>
              <w:t>finansinių ataskaitų lygmeniu</w:t>
            </w:r>
          </w:p>
        </w:tc>
        <w:tc>
          <w:tcPr>
            <w:tcW w:w="4377" w:type="dxa"/>
            <w:gridSpan w:val="3"/>
            <w:tcBorders>
              <w:top w:val="single" w:sz="12" w:space="0" w:color="auto"/>
              <w:right w:val="single" w:sz="12" w:space="0" w:color="auto"/>
            </w:tcBorders>
            <w:shd w:val="clear" w:color="auto" w:fill="FFFFFF" w:themeFill="background1"/>
          </w:tcPr>
          <w:p w:rsidR="00B7168A" w:rsidRPr="00DA03DC" w:rsidRDefault="003325CF" w:rsidP="007F60D9">
            <w:pPr>
              <w:pStyle w:val="NormalWeb"/>
              <w:spacing w:before="0" w:beforeAutospacing="0" w:after="0" w:afterAutospacing="0" w:line="280" w:lineRule="exact"/>
              <w:jc w:val="center"/>
              <w:rPr>
                <w:b/>
                <w:sz w:val="22"/>
                <w:szCs w:val="22"/>
                <w:lang w:val="lt-LT"/>
              </w:rPr>
            </w:pPr>
            <w:r w:rsidRPr="00DA03DC">
              <w:rPr>
                <w:b/>
                <w:sz w:val="22"/>
                <w:szCs w:val="22"/>
                <w:lang w:val="lt-LT"/>
              </w:rPr>
              <w:t xml:space="preserve">Audito rizika </w:t>
            </w:r>
          </w:p>
        </w:tc>
      </w:tr>
      <w:tr w:rsidR="003325CF" w:rsidRPr="00DA03DC" w:rsidTr="002D0AC3">
        <w:trPr>
          <w:trHeight w:val="60"/>
        </w:trPr>
        <w:tc>
          <w:tcPr>
            <w:tcW w:w="2535" w:type="dxa"/>
            <w:gridSpan w:val="2"/>
            <w:vMerge/>
            <w:tcBorders>
              <w:left w:val="single" w:sz="12" w:space="0" w:color="auto"/>
            </w:tcBorders>
            <w:shd w:val="clear" w:color="auto" w:fill="D9D9D9" w:themeFill="background1" w:themeFillShade="D9"/>
          </w:tcPr>
          <w:p w:rsidR="003325CF" w:rsidRPr="00DA03DC" w:rsidRDefault="003325CF" w:rsidP="007F60D9">
            <w:pPr>
              <w:pStyle w:val="NormalWeb"/>
              <w:spacing w:before="0" w:beforeAutospacing="0" w:after="0" w:afterAutospacing="0" w:line="280" w:lineRule="exact"/>
              <w:jc w:val="both"/>
              <w:rPr>
                <w:b/>
                <w:sz w:val="22"/>
                <w:szCs w:val="22"/>
                <w:lang w:val="lt-LT"/>
              </w:rPr>
            </w:pPr>
          </w:p>
        </w:tc>
        <w:tc>
          <w:tcPr>
            <w:tcW w:w="1401" w:type="dxa"/>
            <w:shd w:val="clear" w:color="auto" w:fill="FFFFFF" w:themeFill="background1"/>
            <w:vAlign w:val="center"/>
          </w:tcPr>
          <w:p w:rsidR="003325CF" w:rsidRPr="00DA03DC" w:rsidRDefault="003325CF" w:rsidP="007F60D9">
            <w:pPr>
              <w:spacing w:line="280" w:lineRule="exact"/>
              <w:jc w:val="center"/>
              <w:rPr>
                <w:b/>
                <w:sz w:val="22"/>
                <w:szCs w:val="22"/>
                <w:lang w:val="lt-LT"/>
              </w:rPr>
            </w:pPr>
            <w:r w:rsidRPr="00DA03DC">
              <w:rPr>
                <w:b/>
                <w:sz w:val="22"/>
                <w:szCs w:val="22"/>
                <w:lang w:val="lt-LT"/>
              </w:rPr>
              <w:t>Maža</w:t>
            </w:r>
          </w:p>
        </w:tc>
        <w:tc>
          <w:tcPr>
            <w:tcW w:w="1559" w:type="dxa"/>
            <w:shd w:val="clear" w:color="auto" w:fill="FFFFFF" w:themeFill="background1"/>
            <w:vAlign w:val="center"/>
          </w:tcPr>
          <w:p w:rsidR="003325CF" w:rsidRPr="00DA03DC" w:rsidRDefault="003325CF" w:rsidP="007F60D9">
            <w:pPr>
              <w:spacing w:line="280" w:lineRule="exact"/>
              <w:jc w:val="center"/>
              <w:rPr>
                <w:b/>
                <w:sz w:val="22"/>
                <w:szCs w:val="22"/>
                <w:lang w:val="lt-LT"/>
              </w:rPr>
            </w:pPr>
            <w:r w:rsidRPr="00DA03DC">
              <w:rPr>
                <w:b/>
                <w:sz w:val="22"/>
                <w:szCs w:val="22"/>
                <w:lang w:val="lt-LT"/>
              </w:rPr>
              <w:t>Vidutinė</w:t>
            </w:r>
          </w:p>
        </w:tc>
        <w:tc>
          <w:tcPr>
            <w:tcW w:w="1417" w:type="dxa"/>
            <w:tcBorders>
              <w:right w:val="single" w:sz="12" w:space="0" w:color="auto"/>
            </w:tcBorders>
            <w:shd w:val="clear" w:color="auto" w:fill="FFFFFF" w:themeFill="background1"/>
            <w:vAlign w:val="center"/>
          </w:tcPr>
          <w:p w:rsidR="003325CF" w:rsidRPr="00DA03DC" w:rsidRDefault="003325CF" w:rsidP="007F60D9">
            <w:pPr>
              <w:spacing w:line="280" w:lineRule="exact"/>
              <w:jc w:val="center"/>
              <w:rPr>
                <w:b/>
                <w:sz w:val="22"/>
                <w:szCs w:val="22"/>
                <w:lang w:val="lt-LT"/>
              </w:rPr>
            </w:pPr>
            <w:r w:rsidRPr="00DA03DC">
              <w:rPr>
                <w:b/>
                <w:sz w:val="22"/>
                <w:szCs w:val="22"/>
                <w:lang w:val="lt-LT"/>
              </w:rPr>
              <w:t>Didelė</w:t>
            </w:r>
          </w:p>
        </w:tc>
      </w:tr>
      <w:tr w:rsidR="00C811A3" w:rsidRPr="00DA03DC" w:rsidTr="002D0AC3">
        <w:trPr>
          <w:trHeight w:val="60"/>
        </w:trPr>
        <w:tc>
          <w:tcPr>
            <w:tcW w:w="2535" w:type="dxa"/>
            <w:gridSpan w:val="2"/>
            <w:tcBorders>
              <w:left w:val="single" w:sz="12" w:space="0" w:color="auto"/>
            </w:tcBorders>
            <w:shd w:val="clear" w:color="auto" w:fill="FFFFFF" w:themeFill="background1"/>
          </w:tcPr>
          <w:p w:rsidR="00C811A3" w:rsidRPr="00DA03DC" w:rsidRDefault="00C811A3" w:rsidP="007F60D9">
            <w:pPr>
              <w:pStyle w:val="NormalWeb"/>
              <w:spacing w:before="0" w:beforeAutospacing="0" w:after="0" w:afterAutospacing="0" w:line="280" w:lineRule="exact"/>
              <w:jc w:val="both"/>
              <w:rPr>
                <w:b/>
                <w:sz w:val="22"/>
                <w:szCs w:val="22"/>
                <w:lang w:val="lt-LT"/>
              </w:rPr>
            </w:pPr>
            <w:r w:rsidRPr="00DA03DC">
              <w:rPr>
                <w:b/>
                <w:sz w:val="22"/>
                <w:szCs w:val="22"/>
                <w:lang w:val="lt-LT"/>
              </w:rPr>
              <w:t xml:space="preserve">Audito rizika </w:t>
            </w:r>
            <w:r w:rsidR="0025194A" w:rsidRPr="00DA03DC">
              <w:rPr>
                <w:b/>
                <w:sz w:val="22"/>
                <w:szCs w:val="22"/>
                <w:lang w:val="lt-LT"/>
              </w:rPr>
              <w:t>tvirtinimo</w:t>
            </w:r>
            <w:r w:rsidRPr="00DA03DC">
              <w:rPr>
                <w:b/>
                <w:sz w:val="22"/>
                <w:szCs w:val="22"/>
                <w:lang w:val="lt-LT"/>
              </w:rPr>
              <w:t xml:space="preserve"> lygmeniu</w:t>
            </w:r>
          </w:p>
        </w:tc>
        <w:tc>
          <w:tcPr>
            <w:tcW w:w="1401" w:type="dxa"/>
            <w:shd w:val="clear" w:color="auto" w:fill="FFFFFF" w:themeFill="background1"/>
          </w:tcPr>
          <w:p w:rsidR="00C811A3" w:rsidRPr="00DA03DC" w:rsidRDefault="00C811A3"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vMerge w:val="restart"/>
            <w:shd w:val="clear" w:color="auto" w:fill="FFFFFF" w:themeFill="background1"/>
            <w:vAlign w:val="center"/>
          </w:tcPr>
          <w:p w:rsidR="00C811A3" w:rsidRPr="00DA03DC" w:rsidRDefault="00C811A3" w:rsidP="007F60D9">
            <w:pPr>
              <w:pStyle w:val="NormalWeb"/>
              <w:spacing w:before="0" w:beforeAutospacing="0" w:after="0" w:afterAutospacing="0" w:line="280" w:lineRule="exact"/>
              <w:jc w:val="center"/>
              <w:rPr>
                <w:sz w:val="22"/>
                <w:szCs w:val="22"/>
                <w:lang w:val="lt-LT"/>
              </w:rPr>
            </w:pPr>
            <w:r w:rsidRPr="00DA03DC">
              <w:rPr>
                <w:sz w:val="22"/>
                <w:szCs w:val="22"/>
                <w:lang w:val="lt-LT"/>
              </w:rPr>
              <w:t>X</w:t>
            </w:r>
          </w:p>
        </w:tc>
        <w:tc>
          <w:tcPr>
            <w:tcW w:w="1417" w:type="dxa"/>
            <w:vMerge w:val="restart"/>
            <w:tcBorders>
              <w:right w:val="single" w:sz="12" w:space="0" w:color="auto"/>
            </w:tcBorders>
            <w:shd w:val="clear" w:color="auto" w:fill="FFFFFF" w:themeFill="background1"/>
            <w:vAlign w:val="center"/>
          </w:tcPr>
          <w:p w:rsidR="00C811A3" w:rsidRPr="00DA03DC" w:rsidRDefault="00C811A3" w:rsidP="007F60D9">
            <w:pPr>
              <w:pStyle w:val="NormalWeb"/>
              <w:spacing w:before="0" w:beforeAutospacing="0" w:after="0" w:afterAutospacing="0" w:line="280" w:lineRule="exact"/>
              <w:jc w:val="center"/>
              <w:rPr>
                <w:sz w:val="22"/>
                <w:szCs w:val="22"/>
                <w:lang w:val="lt-LT"/>
              </w:rPr>
            </w:pPr>
            <w:r w:rsidRPr="00DA03DC">
              <w:rPr>
                <w:sz w:val="22"/>
                <w:szCs w:val="22"/>
                <w:lang w:val="lt-LT"/>
              </w:rPr>
              <w:t>X</w:t>
            </w:r>
          </w:p>
        </w:tc>
      </w:tr>
      <w:tr w:rsidR="00C811A3" w:rsidRPr="00DA03DC" w:rsidTr="002D0AC3">
        <w:trPr>
          <w:trHeight w:val="60"/>
        </w:trPr>
        <w:tc>
          <w:tcPr>
            <w:tcW w:w="2535" w:type="dxa"/>
            <w:gridSpan w:val="2"/>
            <w:tcBorders>
              <w:left w:val="single" w:sz="12" w:space="0" w:color="auto"/>
            </w:tcBorders>
            <w:shd w:val="clear" w:color="auto" w:fill="FFFFFF" w:themeFill="background1"/>
          </w:tcPr>
          <w:p w:rsidR="00C811A3" w:rsidRPr="00DA03DC" w:rsidRDefault="00C811A3" w:rsidP="007F60D9">
            <w:pPr>
              <w:pStyle w:val="NormalWeb"/>
              <w:spacing w:before="0" w:beforeAutospacing="0" w:after="0" w:afterAutospacing="0" w:line="280" w:lineRule="exact"/>
              <w:jc w:val="both"/>
              <w:rPr>
                <w:b/>
                <w:sz w:val="22"/>
                <w:szCs w:val="22"/>
                <w:lang w:val="lt-LT"/>
              </w:rPr>
            </w:pPr>
            <w:r w:rsidRPr="00DA03DC">
              <w:rPr>
                <w:b/>
                <w:sz w:val="22"/>
                <w:szCs w:val="22"/>
                <w:lang w:val="lt-LT"/>
              </w:rPr>
              <w:t xml:space="preserve">Audito rizika </w:t>
            </w:r>
            <w:r w:rsidR="0025194A" w:rsidRPr="00DA03DC">
              <w:rPr>
                <w:b/>
                <w:sz w:val="22"/>
                <w:szCs w:val="22"/>
                <w:lang w:val="lt-LT"/>
              </w:rPr>
              <w:t>tvirtinimo</w:t>
            </w:r>
            <w:r w:rsidRPr="00DA03DC">
              <w:rPr>
                <w:b/>
                <w:sz w:val="22"/>
                <w:szCs w:val="22"/>
                <w:lang w:val="lt-LT"/>
              </w:rPr>
              <w:t xml:space="preserve"> lygmeniu</w:t>
            </w:r>
          </w:p>
        </w:tc>
        <w:tc>
          <w:tcPr>
            <w:tcW w:w="1401" w:type="dxa"/>
            <w:shd w:val="clear" w:color="auto" w:fill="FFFFFF" w:themeFill="background1"/>
          </w:tcPr>
          <w:p w:rsidR="00C811A3" w:rsidRPr="00DA03DC" w:rsidRDefault="00C811A3"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vMerge/>
            <w:shd w:val="clear" w:color="auto" w:fill="FFFFFF" w:themeFill="background1"/>
          </w:tcPr>
          <w:p w:rsidR="00C811A3" w:rsidRPr="00DA03DC" w:rsidRDefault="00C811A3" w:rsidP="007F60D9">
            <w:pPr>
              <w:pStyle w:val="NormalWeb"/>
              <w:spacing w:before="0" w:beforeAutospacing="0" w:after="0" w:afterAutospacing="0" w:line="280" w:lineRule="exact"/>
              <w:jc w:val="center"/>
              <w:rPr>
                <w:sz w:val="22"/>
                <w:szCs w:val="22"/>
                <w:lang w:val="lt-LT"/>
              </w:rPr>
            </w:pPr>
          </w:p>
        </w:tc>
        <w:tc>
          <w:tcPr>
            <w:tcW w:w="1417" w:type="dxa"/>
            <w:vMerge/>
            <w:tcBorders>
              <w:right w:val="single" w:sz="12" w:space="0" w:color="auto"/>
            </w:tcBorders>
            <w:shd w:val="clear" w:color="auto" w:fill="FFFFFF" w:themeFill="background1"/>
          </w:tcPr>
          <w:p w:rsidR="00C811A3" w:rsidRPr="00DA03DC" w:rsidRDefault="00C811A3" w:rsidP="007F60D9">
            <w:pPr>
              <w:pStyle w:val="NormalWeb"/>
              <w:spacing w:before="0" w:beforeAutospacing="0" w:after="0" w:afterAutospacing="0" w:line="280" w:lineRule="exact"/>
              <w:jc w:val="center"/>
              <w:rPr>
                <w:sz w:val="22"/>
                <w:szCs w:val="22"/>
                <w:lang w:val="lt-LT"/>
              </w:rPr>
            </w:pPr>
          </w:p>
        </w:tc>
      </w:tr>
      <w:tr w:rsidR="00C811A3" w:rsidRPr="00DA03DC" w:rsidTr="002D0AC3">
        <w:trPr>
          <w:trHeight w:val="60"/>
        </w:trPr>
        <w:tc>
          <w:tcPr>
            <w:tcW w:w="2535" w:type="dxa"/>
            <w:gridSpan w:val="2"/>
            <w:tcBorders>
              <w:left w:val="single" w:sz="12" w:space="0" w:color="auto"/>
              <w:bottom w:val="single" w:sz="12" w:space="0" w:color="auto"/>
            </w:tcBorders>
            <w:shd w:val="clear" w:color="auto" w:fill="FFFFFF" w:themeFill="background1"/>
          </w:tcPr>
          <w:p w:rsidR="00C811A3" w:rsidRPr="00DA03DC" w:rsidRDefault="005B178E" w:rsidP="007F60D9">
            <w:pPr>
              <w:pStyle w:val="NormalWeb"/>
              <w:spacing w:before="0" w:beforeAutospacing="0" w:after="0" w:afterAutospacing="0" w:line="280" w:lineRule="exact"/>
              <w:jc w:val="both"/>
              <w:rPr>
                <w:b/>
                <w:sz w:val="22"/>
                <w:szCs w:val="22"/>
                <w:lang w:val="lt-LT"/>
              </w:rPr>
            </w:pPr>
            <w:r w:rsidRPr="00DA03DC">
              <w:rPr>
                <w:b/>
                <w:sz w:val="22"/>
                <w:szCs w:val="22"/>
                <w:lang w:val="lt-LT"/>
              </w:rPr>
              <w:t>...</w:t>
            </w:r>
          </w:p>
        </w:tc>
        <w:tc>
          <w:tcPr>
            <w:tcW w:w="1401" w:type="dxa"/>
            <w:tcBorders>
              <w:bottom w:val="single" w:sz="12" w:space="0" w:color="auto"/>
            </w:tcBorders>
            <w:shd w:val="clear" w:color="auto" w:fill="FFFFFF" w:themeFill="background1"/>
          </w:tcPr>
          <w:p w:rsidR="00C811A3" w:rsidRPr="00DA03DC" w:rsidRDefault="00C811A3" w:rsidP="007F60D9">
            <w:pPr>
              <w:pStyle w:val="NormalWeb"/>
              <w:spacing w:before="0" w:beforeAutospacing="0" w:after="0" w:afterAutospacing="0" w:line="280" w:lineRule="exact"/>
              <w:jc w:val="center"/>
              <w:rPr>
                <w:sz w:val="22"/>
                <w:szCs w:val="22"/>
                <w:lang w:val="lt-LT"/>
              </w:rPr>
            </w:pPr>
            <w:r w:rsidRPr="00DA03DC">
              <w:rPr>
                <w:sz w:val="22"/>
                <w:szCs w:val="22"/>
                <w:lang w:val="lt-LT"/>
              </w:rPr>
              <w:t>Maža</w:t>
            </w:r>
          </w:p>
        </w:tc>
        <w:tc>
          <w:tcPr>
            <w:tcW w:w="1559" w:type="dxa"/>
            <w:vMerge/>
            <w:tcBorders>
              <w:bottom w:val="single" w:sz="12" w:space="0" w:color="auto"/>
            </w:tcBorders>
            <w:shd w:val="clear" w:color="auto" w:fill="FFFFFF" w:themeFill="background1"/>
          </w:tcPr>
          <w:p w:rsidR="00C811A3" w:rsidRPr="00DA03DC" w:rsidRDefault="00C811A3" w:rsidP="007F60D9">
            <w:pPr>
              <w:pStyle w:val="NormalWeb"/>
              <w:spacing w:before="0" w:beforeAutospacing="0" w:after="0" w:afterAutospacing="0" w:line="280" w:lineRule="exact"/>
              <w:jc w:val="center"/>
              <w:rPr>
                <w:sz w:val="22"/>
                <w:szCs w:val="22"/>
                <w:lang w:val="lt-LT"/>
              </w:rPr>
            </w:pPr>
          </w:p>
        </w:tc>
        <w:tc>
          <w:tcPr>
            <w:tcW w:w="1417" w:type="dxa"/>
            <w:vMerge/>
            <w:tcBorders>
              <w:bottom w:val="single" w:sz="12" w:space="0" w:color="auto"/>
              <w:right w:val="single" w:sz="12" w:space="0" w:color="auto"/>
            </w:tcBorders>
            <w:shd w:val="clear" w:color="auto" w:fill="FFFFFF" w:themeFill="background1"/>
          </w:tcPr>
          <w:p w:rsidR="00C811A3" w:rsidRPr="00DA03DC" w:rsidRDefault="00C811A3" w:rsidP="007F60D9">
            <w:pPr>
              <w:pStyle w:val="NormalWeb"/>
              <w:spacing w:before="0" w:beforeAutospacing="0" w:after="0" w:afterAutospacing="0" w:line="280" w:lineRule="exact"/>
              <w:jc w:val="center"/>
              <w:rPr>
                <w:sz w:val="22"/>
                <w:szCs w:val="22"/>
                <w:lang w:val="lt-LT"/>
              </w:rPr>
            </w:pPr>
          </w:p>
        </w:tc>
      </w:tr>
    </w:tbl>
    <w:p w:rsidR="007D5104" w:rsidRDefault="00166819" w:rsidP="00085FD4">
      <w:pPr>
        <w:pStyle w:val="NormalWeb"/>
        <w:spacing w:before="120" w:beforeAutospacing="0" w:after="0" w:afterAutospacing="0" w:line="360" w:lineRule="auto"/>
        <w:ind w:firstLine="720"/>
        <w:jc w:val="center"/>
        <w:rPr>
          <w:b/>
          <w:lang w:val="lt-LT"/>
        </w:rPr>
      </w:pPr>
      <w:r>
        <w:rPr>
          <w:b/>
          <w:noProof/>
          <w:lang w:val="lt-LT" w:eastAsia="lt-LT"/>
        </w:rPr>
        <w:pict>
          <v:group id="_x0000_s74505" style="position:absolute;left:0;text-align:left;margin-left:6.55pt;margin-top:12.45pt;width:420.25pt;height:521.25pt;z-index:254241792;mso-position-horizontal-relative:text;mso-position-vertical-relative:text" coordorigin="1945,1603" coordsize="8405,1042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74177" type="#_x0000_t88" style="position:absolute;left:9443;top:1603;width:155;height:3377" o:regroupid="117"/>
            <v:shape id="_x0000_s74178" type="#_x0000_t88" style="position:absolute;left:9435;top:5056;width:217;height:1710" o:regroupid="117"/>
            <v:shape id="_x0000_s74179" type="#_x0000_t88" style="position:absolute;left:9435;top:6847;width:265;height:1652" o:regroupid="117" adj="1804,10643"/>
            <v:shape id="_x0000_s74180" type="#_x0000_t202" style="position:absolute;left:9455;top:5428;width:792;height:1122" o:regroupid="117" filled="f" stroked="f">
              <v:textbox style="layout-flow:vertical;mso-layout-flow-alt:bottom-to-top;mso-next-textbox:#_x0000_s74180">
                <w:txbxContent>
                  <w:p w:rsidR="00BE5795" w:rsidRPr="00D5663A" w:rsidRDefault="00BE5795" w:rsidP="00D5663A">
                    <w:pPr>
                      <w:spacing w:line="192" w:lineRule="auto"/>
                      <w:jc w:val="center"/>
                      <w:rPr>
                        <w:b/>
                        <w:lang w:val="lt-LT"/>
                      </w:rPr>
                    </w:pPr>
                    <w:r w:rsidRPr="00D5663A">
                      <w:rPr>
                        <w:b/>
                        <w:lang w:val="lt-LT"/>
                      </w:rPr>
                      <w:t>Bendras</w:t>
                    </w:r>
                    <w:r>
                      <w:rPr>
                        <w:b/>
                        <w:lang w:val="lt-LT"/>
                      </w:rPr>
                      <w:t>is</w:t>
                    </w:r>
                    <w:r w:rsidRPr="00D5663A">
                      <w:rPr>
                        <w:b/>
                        <w:lang w:val="lt-LT"/>
                      </w:rPr>
                      <w:t xml:space="preserve"> vertinimas</w:t>
                    </w:r>
                  </w:p>
                </w:txbxContent>
              </v:textbox>
            </v:shape>
            <v:shape id="_x0000_s74181" type="#_x0000_t202" style="position:absolute;left:9515;top:6637;width:835;height:2260" o:regroupid="117" filled="f" stroked="f">
              <v:textbox style="layout-flow:vertical;mso-layout-flow-alt:bottom-to-top;mso-next-textbox:#_x0000_s74181">
                <w:txbxContent>
                  <w:p w:rsidR="00BE5795" w:rsidRDefault="00BE5795" w:rsidP="00424913">
                    <w:pPr>
                      <w:spacing w:line="192" w:lineRule="auto"/>
                      <w:jc w:val="center"/>
                      <w:rPr>
                        <w:b/>
                        <w:lang w:val="lt-LT"/>
                      </w:rPr>
                    </w:pPr>
                    <w:r>
                      <w:rPr>
                        <w:b/>
                        <w:lang w:val="lt-LT"/>
                      </w:rPr>
                      <w:t>Atvirkštinės priklausomybės</w:t>
                    </w:r>
                  </w:p>
                  <w:p w:rsidR="00BE5795" w:rsidRPr="00D5663A" w:rsidRDefault="00BE5795" w:rsidP="00424913">
                    <w:pPr>
                      <w:spacing w:line="192" w:lineRule="auto"/>
                      <w:jc w:val="center"/>
                      <w:rPr>
                        <w:b/>
                        <w:lang w:val="lt-LT"/>
                      </w:rPr>
                    </w:pPr>
                    <w:r w:rsidRPr="00D5663A">
                      <w:rPr>
                        <w:b/>
                        <w:lang w:val="lt-LT"/>
                      </w:rPr>
                      <w:t>vertinimas</w:t>
                    </w:r>
                  </w:p>
                </w:txbxContent>
              </v:textbox>
            </v:shape>
            <v:shape id="_x0000_s74182" type="#_x0000_t202" style="position:absolute;left:9598;top:2697;width:752;height:1631" o:regroupid="117" filled="f" stroked="f">
              <v:textbox style="layout-flow:vertical;mso-layout-flow-alt:bottom-to-top;mso-next-textbox:#_x0000_s74182">
                <w:txbxContent>
                  <w:p w:rsidR="00BE5795" w:rsidRPr="00D5663A" w:rsidRDefault="00BE5795" w:rsidP="00D5663A">
                    <w:pPr>
                      <w:spacing w:line="192" w:lineRule="auto"/>
                      <w:jc w:val="center"/>
                      <w:rPr>
                        <w:b/>
                        <w:lang w:val="lt-LT"/>
                      </w:rPr>
                    </w:pPr>
                    <w:r>
                      <w:rPr>
                        <w:b/>
                        <w:lang w:val="lt-LT"/>
                      </w:rPr>
                      <w:t xml:space="preserve">Priklausomybės </w:t>
                    </w:r>
                    <w:r w:rsidRPr="00D5663A">
                      <w:rPr>
                        <w:b/>
                        <w:lang w:val="lt-LT"/>
                      </w:rPr>
                      <w:t>vertinimas</w:t>
                    </w:r>
                  </w:p>
                </w:txbxContent>
              </v:textbox>
            </v:shape>
            <v:shape id="_x0000_s74190" type="#_x0000_t88" style="position:absolute;left:9435;top:8611;width:163;height:1369" o:regroupid="117"/>
            <v:shape id="_x0000_s74191" type="#_x0000_t202" style="position:absolute;left:9515;top:9033;width:732;height:1122" o:regroupid="117" filled="f" stroked="f">
              <v:textbox style="layout-flow:vertical;mso-layout-flow-alt:bottom-to-top;mso-next-textbox:#_x0000_s74191">
                <w:txbxContent>
                  <w:p w:rsidR="00BE5795" w:rsidRPr="00D5663A" w:rsidRDefault="00BE5795" w:rsidP="006B5558">
                    <w:pPr>
                      <w:spacing w:line="192" w:lineRule="auto"/>
                      <w:jc w:val="center"/>
                      <w:rPr>
                        <w:b/>
                        <w:lang w:val="lt-LT"/>
                      </w:rPr>
                    </w:pPr>
                    <w:r w:rsidRPr="00D5663A">
                      <w:rPr>
                        <w:b/>
                        <w:lang w:val="lt-LT"/>
                      </w:rPr>
                      <w:t>Bendras</w:t>
                    </w:r>
                    <w:r>
                      <w:rPr>
                        <w:b/>
                        <w:lang w:val="lt-LT"/>
                      </w:rPr>
                      <w:t>is</w:t>
                    </w:r>
                    <w:r w:rsidRPr="00D5663A">
                      <w:rPr>
                        <w:b/>
                        <w:lang w:val="lt-LT"/>
                      </w:rPr>
                      <w:t xml:space="preserve"> vertinimas</w:t>
                    </w:r>
                  </w:p>
                </w:txbxContent>
              </v:textbox>
            </v:shape>
            <v:shape id="_x0000_s74192" type="#_x0000_t88" style="position:absolute;left:9452;top:9980;width:146;height:2048" o:regroupid="117"/>
            <v:shape id="_x0000_s74193" type="#_x0000_t202" style="position:absolute;left:9513;top:10769;width:734;height:1122" o:regroupid="117" filled="f" stroked="f">
              <v:textbox style="layout-flow:vertical;mso-layout-flow-alt:bottom-to-top;mso-next-textbox:#_x0000_s74193">
                <w:txbxContent>
                  <w:p w:rsidR="00BE5795" w:rsidRPr="00D5663A" w:rsidRDefault="00BE5795" w:rsidP="00C811A3">
                    <w:pPr>
                      <w:spacing w:line="192" w:lineRule="auto"/>
                      <w:jc w:val="center"/>
                      <w:rPr>
                        <w:b/>
                        <w:lang w:val="lt-LT"/>
                      </w:rPr>
                    </w:pPr>
                    <w:r w:rsidRPr="00D5663A">
                      <w:rPr>
                        <w:b/>
                        <w:lang w:val="lt-LT"/>
                      </w:rPr>
                      <w:t>Bendras</w:t>
                    </w:r>
                    <w:r>
                      <w:rPr>
                        <w:b/>
                        <w:lang w:val="lt-LT"/>
                      </w:rPr>
                      <w:t>is</w:t>
                    </w:r>
                    <w:r w:rsidRPr="00D5663A">
                      <w:rPr>
                        <w:b/>
                        <w:lang w:val="lt-LT"/>
                      </w:rPr>
                      <w:t xml:space="preserve"> vertinimas</w:t>
                    </w:r>
                  </w:p>
                </w:txbxContent>
              </v:textbox>
            </v:shape>
            <v:shape id="_x0000_s74194" type="#_x0000_t202" style="position:absolute;left:2049;top:3415;width:226;height:348" o:regroupid="117" filled="f" stroked="f">
              <v:textbox style="mso-next-textbox:#_x0000_s74194">
                <w:txbxContent>
                  <w:p w:rsidR="00BE5795" w:rsidRPr="006F1F89" w:rsidRDefault="00BE5795">
                    <w:pPr>
                      <w:rPr>
                        <w:lang w:val="lt-LT"/>
                      </w:rPr>
                    </w:pPr>
                    <w:r w:rsidRPr="006F1F89">
                      <w:rPr>
                        <w:b/>
                        <w:lang w:val="lt-LT"/>
                      </w:rPr>
                      <w:t>I</w:t>
                    </w:r>
                  </w:p>
                </w:txbxContent>
              </v:textbox>
            </v:shape>
            <v:shape id="_x0000_s74195" type="#_x0000_t202" style="position:absolute;left:1945;top:6023;width:458;height:348" o:regroupid="117" filled="f" stroked="f">
              <v:textbox style="mso-next-textbox:#_x0000_s74195">
                <w:txbxContent>
                  <w:p w:rsidR="00BE5795" w:rsidRPr="006F1F89" w:rsidRDefault="00BE5795" w:rsidP="006F1F89">
                    <w:pPr>
                      <w:rPr>
                        <w:lang w:val="lt-LT"/>
                      </w:rPr>
                    </w:pPr>
                    <w:r>
                      <w:rPr>
                        <w:b/>
                        <w:lang w:val="lt-LT"/>
                      </w:rPr>
                      <w:t>II</w:t>
                    </w:r>
                  </w:p>
                </w:txbxContent>
              </v:textbox>
            </v:shape>
            <v:shape id="_x0000_s74196" type="#_x0000_t202" style="position:absolute;left:1945;top:11181;width:420;height:347" o:regroupid="117" filled="f" stroked="f">
              <v:textbox style="mso-next-textbox:#_x0000_s74196">
                <w:txbxContent>
                  <w:p w:rsidR="00BE5795" w:rsidRPr="006F1F89" w:rsidRDefault="00BE5795" w:rsidP="006F1F89">
                    <w:pPr>
                      <w:rPr>
                        <w:lang w:val="lt-LT"/>
                      </w:rPr>
                    </w:pPr>
                    <w:r>
                      <w:rPr>
                        <w:b/>
                        <w:lang w:val="lt-LT"/>
                      </w:rPr>
                      <w:t>V</w:t>
                    </w:r>
                  </w:p>
                </w:txbxContent>
              </v:textbox>
            </v:shape>
            <v:shape id="_x0000_s74197" type="#_x0000_t202" style="position:absolute;left:1945;top:9632;width:582;height:348" o:regroupid="117" filled="f" stroked="f">
              <v:textbox style="mso-next-textbox:#_x0000_s74197">
                <w:txbxContent>
                  <w:p w:rsidR="00BE5795" w:rsidRPr="006F1F89" w:rsidRDefault="00BE5795" w:rsidP="006F1F89">
                    <w:pPr>
                      <w:rPr>
                        <w:lang w:val="lt-LT"/>
                      </w:rPr>
                    </w:pPr>
                    <w:r>
                      <w:rPr>
                        <w:b/>
                        <w:lang w:val="lt-LT"/>
                      </w:rPr>
                      <w:t>IV</w:t>
                    </w:r>
                  </w:p>
                </w:txbxContent>
              </v:textbox>
            </v:shape>
            <v:shape id="_x0000_s74198" type="#_x0000_t202" style="position:absolute;left:1945;top:8049;width:582;height:348" o:regroupid="117" filled="f" stroked="f">
              <v:textbox style="mso-next-textbox:#_x0000_s74198">
                <w:txbxContent>
                  <w:p w:rsidR="00BE5795" w:rsidRDefault="00BE5795" w:rsidP="006F1F89">
                    <w:pPr>
                      <w:rPr>
                        <w:b/>
                        <w:lang w:val="lt-LT"/>
                      </w:rPr>
                    </w:pPr>
                    <w:r>
                      <w:rPr>
                        <w:b/>
                        <w:lang w:val="lt-LT"/>
                      </w:rPr>
                      <w:t>I</w:t>
                    </w:r>
                    <w:r w:rsidRPr="006F1F89">
                      <w:rPr>
                        <w:b/>
                        <w:lang w:val="lt-LT"/>
                      </w:rPr>
                      <w:t>I</w:t>
                    </w:r>
                    <w:r>
                      <w:rPr>
                        <w:b/>
                        <w:lang w:val="lt-LT"/>
                      </w:rPr>
                      <w:t>I</w:t>
                    </w:r>
                  </w:p>
                  <w:p w:rsidR="00BE5795" w:rsidRDefault="00BE5795" w:rsidP="006F1F89">
                    <w:pPr>
                      <w:rPr>
                        <w:b/>
                        <w:lang w:val="lt-LT"/>
                      </w:rPr>
                    </w:pPr>
                  </w:p>
                </w:txbxContent>
              </v:textbox>
            </v:shape>
          </v:group>
        </w:pict>
      </w: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3038E4" w:rsidRDefault="003038E4" w:rsidP="00085FD4">
      <w:pPr>
        <w:pStyle w:val="NormalWeb"/>
        <w:spacing w:before="120" w:beforeAutospacing="0" w:after="0" w:afterAutospacing="0" w:line="360" w:lineRule="auto"/>
        <w:ind w:firstLine="720"/>
        <w:jc w:val="center"/>
        <w:rPr>
          <w:b/>
          <w:lang w:val="lt-LT"/>
        </w:rPr>
      </w:pPr>
    </w:p>
    <w:p w:rsidR="00D5663A" w:rsidRDefault="00F3761B" w:rsidP="00B77598">
      <w:pPr>
        <w:pStyle w:val="NormalWeb"/>
        <w:spacing w:before="0" w:beforeAutospacing="0" w:after="0" w:afterAutospacing="0"/>
        <w:rPr>
          <w:sz w:val="20"/>
          <w:szCs w:val="20"/>
          <w:lang w:val="lt-LT"/>
        </w:rPr>
      </w:pPr>
      <w:r>
        <w:rPr>
          <w:sz w:val="20"/>
          <w:szCs w:val="20"/>
          <w:lang w:val="lt-LT"/>
        </w:rPr>
        <w:t xml:space="preserve">  </w:t>
      </w:r>
      <w:r w:rsidR="00D5663A" w:rsidRPr="00D5663A">
        <w:rPr>
          <w:sz w:val="20"/>
          <w:szCs w:val="20"/>
          <w:lang w:val="lt-LT"/>
        </w:rPr>
        <w:t>Pastaba: P</w:t>
      </w:r>
      <w:r w:rsidR="00D5663A">
        <w:rPr>
          <w:sz w:val="20"/>
          <w:szCs w:val="20"/>
          <w:lang w:val="lt-LT"/>
        </w:rPr>
        <w:t>aryškinti</w:t>
      </w:r>
      <w:r w:rsidR="00D5663A" w:rsidRPr="00D5663A">
        <w:rPr>
          <w:sz w:val="20"/>
          <w:szCs w:val="20"/>
          <w:lang w:val="lt-LT"/>
        </w:rPr>
        <w:t xml:space="preserve"> laukeliai žymi </w:t>
      </w:r>
      <w:r w:rsidR="00D5663A">
        <w:rPr>
          <w:sz w:val="20"/>
          <w:szCs w:val="20"/>
          <w:lang w:val="lt-LT"/>
        </w:rPr>
        <w:t>didelę riziką</w:t>
      </w:r>
      <w:r w:rsidR="004432FE">
        <w:rPr>
          <w:sz w:val="20"/>
          <w:szCs w:val="20"/>
          <w:lang w:val="lt-LT"/>
        </w:rPr>
        <w:t xml:space="preserve">, X </w:t>
      </w:r>
      <w:r w:rsidR="004C6747">
        <w:rPr>
          <w:sz w:val="20"/>
          <w:szCs w:val="20"/>
          <w:lang w:val="lt-LT"/>
        </w:rPr>
        <w:t>rodo</w:t>
      </w:r>
      <w:r w:rsidR="004432FE">
        <w:rPr>
          <w:sz w:val="20"/>
          <w:szCs w:val="20"/>
          <w:lang w:val="lt-LT"/>
        </w:rPr>
        <w:t xml:space="preserve"> negalimą </w:t>
      </w:r>
      <w:r w:rsidR="006F1F89">
        <w:rPr>
          <w:sz w:val="20"/>
          <w:szCs w:val="20"/>
          <w:lang w:val="lt-LT"/>
        </w:rPr>
        <w:t xml:space="preserve">audito </w:t>
      </w:r>
      <w:r w:rsidR="004432FE">
        <w:rPr>
          <w:sz w:val="20"/>
          <w:szCs w:val="20"/>
          <w:lang w:val="lt-LT"/>
        </w:rPr>
        <w:t>rizikos komponentų sąveiką</w:t>
      </w:r>
      <w:r w:rsidR="00D5663A">
        <w:rPr>
          <w:sz w:val="20"/>
          <w:szCs w:val="20"/>
          <w:lang w:val="lt-LT"/>
        </w:rPr>
        <w:t>.</w:t>
      </w:r>
    </w:p>
    <w:p w:rsidR="00C076D8" w:rsidRDefault="00152F54" w:rsidP="00B77598">
      <w:pPr>
        <w:ind w:left="-284" w:firstLine="284"/>
        <w:jc w:val="both"/>
        <w:rPr>
          <w:lang w:val="lt-LT"/>
        </w:rPr>
      </w:pPr>
      <w:r>
        <w:rPr>
          <w:lang w:val="lt-LT"/>
        </w:rPr>
        <w:t xml:space="preserve">  </w:t>
      </w:r>
      <w:r w:rsidR="00C076D8" w:rsidRPr="003F6A32">
        <w:rPr>
          <w:lang w:val="lt-LT"/>
        </w:rPr>
        <w:t xml:space="preserve">Šaltinis: </w:t>
      </w:r>
      <w:r w:rsidR="00C076D8">
        <w:rPr>
          <w:lang w:val="lt-LT"/>
        </w:rPr>
        <w:t>su</w:t>
      </w:r>
      <w:r w:rsidR="00F22438">
        <w:rPr>
          <w:lang w:val="lt-LT"/>
        </w:rPr>
        <w:t>kurta</w:t>
      </w:r>
      <w:r w:rsidR="00C076D8">
        <w:rPr>
          <w:lang w:val="lt-LT"/>
        </w:rPr>
        <w:t xml:space="preserve"> autorės.</w:t>
      </w:r>
    </w:p>
    <w:p w:rsidR="00D5663A" w:rsidRPr="00B77598" w:rsidRDefault="00085FD4" w:rsidP="00D5663A">
      <w:pPr>
        <w:pStyle w:val="NormalWeb"/>
        <w:spacing w:before="0" w:beforeAutospacing="0" w:after="0" w:afterAutospacing="0"/>
        <w:ind w:firstLine="720"/>
        <w:jc w:val="center"/>
        <w:rPr>
          <w:b/>
          <w:sz w:val="26"/>
          <w:szCs w:val="26"/>
          <w:lang w:val="lt-LT"/>
        </w:rPr>
      </w:pPr>
      <w:r w:rsidRPr="00B77598">
        <w:rPr>
          <w:b/>
          <w:sz w:val="26"/>
          <w:szCs w:val="26"/>
          <w:lang w:val="lt-LT"/>
        </w:rPr>
        <w:t>2</w:t>
      </w:r>
      <w:r w:rsidR="00B22236" w:rsidRPr="00B77598">
        <w:rPr>
          <w:b/>
          <w:sz w:val="26"/>
          <w:szCs w:val="26"/>
          <w:lang w:val="lt-LT"/>
        </w:rPr>
        <w:t>0</w:t>
      </w:r>
      <w:r w:rsidRPr="00B77598">
        <w:rPr>
          <w:b/>
          <w:sz w:val="26"/>
          <w:szCs w:val="26"/>
          <w:lang w:val="lt-LT"/>
        </w:rPr>
        <w:t xml:space="preserve"> pav. Audito rizikos vertinimo s</w:t>
      </w:r>
      <w:r w:rsidR="0072702B" w:rsidRPr="00B77598">
        <w:rPr>
          <w:b/>
          <w:sz w:val="26"/>
          <w:szCs w:val="26"/>
          <w:lang w:val="lt-LT"/>
        </w:rPr>
        <w:t>chema</w:t>
      </w:r>
    </w:p>
    <w:p w:rsidR="00F91873" w:rsidRDefault="00F91873" w:rsidP="00F91873">
      <w:pPr>
        <w:pStyle w:val="NormalWeb"/>
        <w:spacing w:before="0" w:beforeAutospacing="0" w:after="0" w:afterAutospacing="0" w:line="360" w:lineRule="auto"/>
        <w:ind w:firstLine="720"/>
        <w:jc w:val="both"/>
        <w:rPr>
          <w:sz w:val="26"/>
          <w:szCs w:val="26"/>
          <w:lang w:val="lt-LT"/>
        </w:rPr>
      </w:pPr>
      <w:r>
        <w:rPr>
          <w:sz w:val="26"/>
          <w:szCs w:val="26"/>
          <w:lang w:val="lt-LT"/>
        </w:rPr>
        <w:lastRenderedPageBreak/>
        <w:t xml:space="preserve">Audito rizikos vertinimo schemoje: </w:t>
      </w:r>
    </w:p>
    <w:p w:rsidR="00F91873" w:rsidRDefault="00F91873" w:rsidP="00F91873">
      <w:pPr>
        <w:pStyle w:val="NormalWeb"/>
        <w:spacing w:before="0" w:beforeAutospacing="0" w:after="0" w:afterAutospacing="0" w:line="360" w:lineRule="auto"/>
        <w:ind w:firstLine="720"/>
        <w:jc w:val="both"/>
        <w:rPr>
          <w:sz w:val="26"/>
          <w:szCs w:val="26"/>
          <w:lang w:val="lt-LT"/>
        </w:rPr>
      </w:pPr>
      <w:r>
        <w:rPr>
          <w:sz w:val="26"/>
          <w:szCs w:val="26"/>
          <w:lang w:val="lt-LT"/>
        </w:rPr>
        <w:t xml:space="preserve">1) </w:t>
      </w:r>
      <w:r w:rsidRPr="00B77598">
        <w:rPr>
          <w:sz w:val="26"/>
          <w:szCs w:val="26"/>
          <w:lang w:val="lt-LT"/>
        </w:rPr>
        <w:t xml:space="preserve">pavaizduoti visi audito rizikos komponentai, išskirti darbo autorės audito rizikos vertinimo modelio struktūrogramoje: reikšmingo iškraipymo rizika pasireiškianti tiek finansinių ataskaitų lygmeniu (verslo rizika, įmonės rizika, apgaulės rizika), tiek tvirtinimo lygmeniu (įgimta rizika, kontrolės rizikos) bei aptikimo rizika (audito procedūrų rizika, atrankos rizika, profesinė rizika) ir </w:t>
      </w:r>
    </w:p>
    <w:p w:rsidR="00F91873" w:rsidRDefault="00F91873" w:rsidP="00F91873">
      <w:pPr>
        <w:pStyle w:val="NormalWeb"/>
        <w:spacing w:before="0" w:beforeAutospacing="0" w:after="0" w:afterAutospacing="0" w:line="360" w:lineRule="auto"/>
        <w:ind w:firstLine="720"/>
        <w:jc w:val="both"/>
        <w:rPr>
          <w:sz w:val="26"/>
          <w:szCs w:val="26"/>
          <w:lang w:val="lt-LT"/>
        </w:rPr>
      </w:pPr>
      <w:r>
        <w:rPr>
          <w:sz w:val="26"/>
          <w:szCs w:val="26"/>
          <w:lang w:val="lt-LT"/>
        </w:rPr>
        <w:t xml:space="preserve">2) </w:t>
      </w:r>
      <w:r w:rsidRPr="00B77598">
        <w:rPr>
          <w:sz w:val="26"/>
          <w:szCs w:val="26"/>
          <w:lang w:val="lt-LT"/>
        </w:rPr>
        <w:t xml:space="preserve">atskleidžiami tarpusavio ryšiai tarp atskirų audito rizikos komponentų ir bendro audito rizikos įvertinimo. </w:t>
      </w:r>
    </w:p>
    <w:p w:rsidR="00F91873" w:rsidRDefault="00F91873" w:rsidP="00F91873">
      <w:pPr>
        <w:pStyle w:val="NormalWeb"/>
        <w:spacing w:before="0" w:beforeAutospacing="0" w:after="0" w:afterAutospacing="0" w:line="360" w:lineRule="auto"/>
        <w:ind w:firstLine="720"/>
        <w:jc w:val="both"/>
        <w:rPr>
          <w:sz w:val="26"/>
          <w:szCs w:val="26"/>
          <w:lang w:val="lt-LT"/>
        </w:rPr>
      </w:pPr>
      <w:r w:rsidRPr="00B77598">
        <w:rPr>
          <w:sz w:val="26"/>
          <w:szCs w:val="26"/>
          <w:lang w:val="lt-LT"/>
        </w:rPr>
        <w:t xml:space="preserve">Tarpusavio ryšiai tarp audito rizikos komponentų identifikuojami atitinkamai per </w:t>
      </w:r>
      <w:r w:rsidRPr="00B77598">
        <w:rPr>
          <w:i/>
          <w:sz w:val="26"/>
          <w:szCs w:val="26"/>
          <w:lang w:val="lt-LT"/>
        </w:rPr>
        <w:t>atskirų audito rizikos komponentų priklausomybės</w:t>
      </w:r>
      <w:r w:rsidRPr="00B77598">
        <w:rPr>
          <w:sz w:val="26"/>
          <w:szCs w:val="26"/>
          <w:lang w:val="lt-LT"/>
        </w:rPr>
        <w:t xml:space="preserve"> (kaip vieno audito rizikos komponento vertinimas lemia kito susijusio komponento vertinimą) </w:t>
      </w:r>
      <w:r w:rsidRPr="00B77598">
        <w:rPr>
          <w:i/>
          <w:sz w:val="26"/>
          <w:szCs w:val="26"/>
          <w:lang w:val="lt-LT"/>
        </w:rPr>
        <w:t>vertinimą</w:t>
      </w:r>
      <w:r w:rsidRPr="00B77598">
        <w:rPr>
          <w:sz w:val="26"/>
          <w:szCs w:val="26"/>
          <w:lang w:val="lt-LT"/>
        </w:rPr>
        <w:t xml:space="preserve"> ar per jų </w:t>
      </w:r>
      <w:r w:rsidRPr="00B77598">
        <w:rPr>
          <w:i/>
          <w:sz w:val="26"/>
          <w:szCs w:val="26"/>
          <w:lang w:val="lt-LT"/>
        </w:rPr>
        <w:t xml:space="preserve">bendrąjį </w:t>
      </w:r>
      <w:r w:rsidRPr="00B77598">
        <w:rPr>
          <w:sz w:val="26"/>
          <w:szCs w:val="26"/>
          <w:lang w:val="lt-LT"/>
        </w:rPr>
        <w:t xml:space="preserve">jų </w:t>
      </w:r>
      <w:r w:rsidRPr="00B77598">
        <w:rPr>
          <w:i/>
          <w:sz w:val="26"/>
          <w:szCs w:val="26"/>
          <w:lang w:val="lt-LT"/>
        </w:rPr>
        <w:t>vertinimą</w:t>
      </w:r>
      <w:r w:rsidRPr="00B77598">
        <w:rPr>
          <w:sz w:val="26"/>
          <w:szCs w:val="26"/>
          <w:lang w:val="lt-LT"/>
        </w:rPr>
        <w:t xml:space="preserve"> (kuomet apjungiamas kelių audito rizikos komponentų vertinimas, siekiant parodyti bendrą </w:t>
      </w:r>
      <w:r>
        <w:rPr>
          <w:sz w:val="26"/>
          <w:szCs w:val="26"/>
          <w:lang w:val="lt-LT"/>
        </w:rPr>
        <w:t xml:space="preserve">jų </w:t>
      </w:r>
      <w:r w:rsidRPr="00B77598">
        <w:rPr>
          <w:sz w:val="26"/>
          <w:szCs w:val="26"/>
          <w:lang w:val="lt-LT"/>
        </w:rPr>
        <w:t xml:space="preserve">poveikį). </w:t>
      </w:r>
    </w:p>
    <w:p w:rsidR="003540E4" w:rsidRPr="00B77598" w:rsidRDefault="004C7EEC" w:rsidP="00152F54">
      <w:pPr>
        <w:pStyle w:val="NormalWeb"/>
        <w:spacing w:before="0" w:beforeAutospacing="0" w:after="0" w:afterAutospacing="0" w:line="360" w:lineRule="auto"/>
        <w:ind w:firstLine="720"/>
        <w:jc w:val="both"/>
        <w:rPr>
          <w:sz w:val="26"/>
          <w:szCs w:val="26"/>
          <w:lang w:val="lt-LT"/>
        </w:rPr>
      </w:pPr>
      <w:r w:rsidRPr="00B77598">
        <w:rPr>
          <w:sz w:val="26"/>
          <w:szCs w:val="26"/>
          <w:lang w:val="lt-LT"/>
        </w:rPr>
        <w:t>Be to</w:t>
      </w:r>
      <w:r w:rsidR="003540E4" w:rsidRPr="00B77598">
        <w:rPr>
          <w:sz w:val="26"/>
          <w:szCs w:val="26"/>
          <w:lang w:val="lt-LT"/>
        </w:rPr>
        <w:t>, audito rizikos vertinimo schema</w:t>
      </w:r>
      <w:r w:rsidR="00152F54">
        <w:rPr>
          <w:sz w:val="26"/>
          <w:szCs w:val="26"/>
          <w:lang w:val="lt-LT"/>
        </w:rPr>
        <w:t xml:space="preserve"> (20 pav.)</w:t>
      </w:r>
      <w:r w:rsidR="003540E4" w:rsidRPr="00B77598">
        <w:rPr>
          <w:sz w:val="26"/>
          <w:szCs w:val="26"/>
          <w:lang w:val="lt-LT"/>
        </w:rPr>
        <w:t xml:space="preserve"> rodo, kad </w:t>
      </w:r>
      <w:r w:rsidRPr="00B77598">
        <w:rPr>
          <w:sz w:val="26"/>
          <w:szCs w:val="26"/>
          <w:lang w:val="lt-LT"/>
        </w:rPr>
        <w:t>a</w:t>
      </w:r>
      <w:r w:rsidR="003E2361" w:rsidRPr="00B77598">
        <w:rPr>
          <w:sz w:val="26"/>
          <w:szCs w:val="26"/>
          <w:lang w:val="lt-LT"/>
        </w:rPr>
        <w:t xml:space="preserve">udito rizikos </w:t>
      </w:r>
      <w:r w:rsidR="00356983" w:rsidRPr="00B77598">
        <w:rPr>
          <w:sz w:val="26"/>
          <w:szCs w:val="26"/>
          <w:lang w:val="lt-LT"/>
        </w:rPr>
        <w:t xml:space="preserve">ir jos komponentų vertinimas atliekamas </w:t>
      </w:r>
      <w:r w:rsidR="00CA7D69" w:rsidRPr="00B77598">
        <w:rPr>
          <w:sz w:val="26"/>
          <w:szCs w:val="26"/>
          <w:lang w:val="lt-LT"/>
        </w:rPr>
        <w:t xml:space="preserve">šiais </w:t>
      </w:r>
      <w:r w:rsidR="00356983" w:rsidRPr="00B77598">
        <w:rPr>
          <w:sz w:val="26"/>
          <w:szCs w:val="26"/>
          <w:lang w:val="lt-LT"/>
        </w:rPr>
        <w:t xml:space="preserve">etapais: </w:t>
      </w:r>
    </w:p>
    <w:p w:rsidR="003540E4" w:rsidRPr="00B77598" w:rsidRDefault="00356983" w:rsidP="00BA7751">
      <w:pPr>
        <w:pStyle w:val="NormalWeb"/>
        <w:spacing w:before="0" w:beforeAutospacing="0" w:after="0" w:afterAutospacing="0" w:line="360" w:lineRule="auto"/>
        <w:ind w:firstLine="720"/>
        <w:jc w:val="both"/>
        <w:rPr>
          <w:sz w:val="26"/>
          <w:szCs w:val="26"/>
          <w:lang w:val="lt-LT"/>
        </w:rPr>
      </w:pPr>
      <w:r w:rsidRPr="00B77598">
        <w:rPr>
          <w:sz w:val="26"/>
          <w:szCs w:val="26"/>
          <w:lang w:val="lt-LT"/>
        </w:rPr>
        <w:t xml:space="preserve">1) įvertinama reikšmingo iškraipymo rizika finansinių ataskaitų lygmeniu ir </w:t>
      </w:r>
      <w:r w:rsidR="00CA7D69" w:rsidRPr="00B77598">
        <w:rPr>
          <w:sz w:val="26"/>
          <w:szCs w:val="26"/>
          <w:lang w:val="lt-LT"/>
        </w:rPr>
        <w:t>atsižvelgiant į jos lygį</w:t>
      </w:r>
      <w:r w:rsidR="00294324" w:rsidRPr="00B77598">
        <w:rPr>
          <w:sz w:val="26"/>
          <w:szCs w:val="26"/>
          <w:lang w:val="lt-LT"/>
        </w:rPr>
        <w:t>, jei taikoma,</w:t>
      </w:r>
      <w:r w:rsidR="00154590" w:rsidRPr="00B77598">
        <w:rPr>
          <w:sz w:val="26"/>
          <w:szCs w:val="26"/>
          <w:lang w:val="lt-LT"/>
        </w:rPr>
        <w:t xml:space="preserve"> pakoreguojamas susijusios </w:t>
      </w:r>
      <w:r w:rsidRPr="00B77598">
        <w:rPr>
          <w:sz w:val="26"/>
          <w:szCs w:val="26"/>
          <w:lang w:val="lt-LT"/>
        </w:rPr>
        <w:t xml:space="preserve">reikšmingo iškraipymo </w:t>
      </w:r>
      <w:r w:rsidR="00154590" w:rsidRPr="00B77598">
        <w:rPr>
          <w:sz w:val="26"/>
          <w:szCs w:val="26"/>
          <w:lang w:val="lt-LT"/>
        </w:rPr>
        <w:t xml:space="preserve">rizikos </w:t>
      </w:r>
      <w:r w:rsidRPr="00B77598">
        <w:rPr>
          <w:sz w:val="26"/>
          <w:szCs w:val="26"/>
          <w:lang w:val="lt-LT"/>
        </w:rPr>
        <w:t>tvirtinim</w:t>
      </w:r>
      <w:r w:rsidR="004C6747" w:rsidRPr="00B77598">
        <w:rPr>
          <w:sz w:val="26"/>
          <w:szCs w:val="26"/>
          <w:lang w:val="lt-LT"/>
        </w:rPr>
        <w:t>o</w:t>
      </w:r>
      <w:r w:rsidRPr="00B77598">
        <w:rPr>
          <w:sz w:val="26"/>
          <w:szCs w:val="26"/>
          <w:lang w:val="lt-LT"/>
        </w:rPr>
        <w:t xml:space="preserve"> lygmeniu vertinimas</w:t>
      </w:r>
      <w:r w:rsidR="007A262E" w:rsidRPr="00B77598">
        <w:rPr>
          <w:sz w:val="26"/>
          <w:szCs w:val="26"/>
          <w:lang w:val="lt-LT"/>
        </w:rPr>
        <w:t>.</w:t>
      </w:r>
      <w:r w:rsidRPr="00B77598">
        <w:rPr>
          <w:sz w:val="26"/>
          <w:szCs w:val="26"/>
          <w:lang w:val="lt-LT"/>
        </w:rPr>
        <w:t xml:space="preserve"> </w:t>
      </w:r>
      <w:r w:rsidR="00867C8D" w:rsidRPr="00B77598">
        <w:rPr>
          <w:sz w:val="26"/>
          <w:szCs w:val="26"/>
          <w:lang w:val="lt-LT"/>
        </w:rPr>
        <w:t>Kadangi tiesioginis poveikio ryšys negali būti ignoruojamas, tai s</w:t>
      </w:r>
      <w:r w:rsidR="00154590" w:rsidRPr="00B77598">
        <w:rPr>
          <w:sz w:val="26"/>
          <w:szCs w:val="26"/>
          <w:lang w:val="lt-LT"/>
        </w:rPr>
        <w:t xml:space="preserve">iūloma </w:t>
      </w:r>
      <w:r w:rsidR="007A262E" w:rsidRPr="00B77598">
        <w:rPr>
          <w:i/>
          <w:sz w:val="26"/>
          <w:szCs w:val="26"/>
          <w:lang w:val="lt-LT"/>
        </w:rPr>
        <w:t xml:space="preserve">susijusios reikšmingo iškraipymo rizikos tvirtinimo lygmeniu vertinimą padidinti vienu skalės lygiu </w:t>
      </w:r>
      <w:r w:rsidRPr="00B77598">
        <w:rPr>
          <w:i/>
          <w:sz w:val="26"/>
          <w:szCs w:val="26"/>
          <w:lang w:val="lt-LT"/>
        </w:rPr>
        <w:t xml:space="preserve">esant </w:t>
      </w:r>
      <w:r w:rsidR="00E267AF" w:rsidRPr="00B77598">
        <w:rPr>
          <w:i/>
          <w:sz w:val="26"/>
          <w:szCs w:val="26"/>
          <w:lang w:val="lt-LT"/>
        </w:rPr>
        <w:t xml:space="preserve">vidutinei ir </w:t>
      </w:r>
      <w:r w:rsidR="007A262E" w:rsidRPr="00B77598">
        <w:rPr>
          <w:i/>
          <w:sz w:val="26"/>
          <w:szCs w:val="26"/>
          <w:lang w:val="lt-LT"/>
        </w:rPr>
        <w:t>didelei verslo rizikai</w:t>
      </w:r>
      <w:r w:rsidR="00E267AF" w:rsidRPr="00B77598">
        <w:rPr>
          <w:i/>
          <w:sz w:val="26"/>
          <w:szCs w:val="26"/>
          <w:lang w:val="lt-LT"/>
        </w:rPr>
        <w:t>,</w:t>
      </w:r>
      <w:r w:rsidR="007A262E" w:rsidRPr="00B77598">
        <w:rPr>
          <w:i/>
          <w:sz w:val="26"/>
          <w:szCs w:val="26"/>
          <w:lang w:val="lt-LT"/>
        </w:rPr>
        <w:t xml:space="preserve"> įmonės rizikai</w:t>
      </w:r>
      <w:r w:rsidR="00E267AF" w:rsidRPr="00B77598">
        <w:rPr>
          <w:i/>
          <w:sz w:val="26"/>
          <w:szCs w:val="26"/>
          <w:lang w:val="lt-LT"/>
        </w:rPr>
        <w:t xml:space="preserve"> bei</w:t>
      </w:r>
      <w:r w:rsidRPr="00B77598">
        <w:rPr>
          <w:i/>
          <w:sz w:val="26"/>
          <w:szCs w:val="26"/>
          <w:lang w:val="lt-LT"/>
        </w:rPr>
        <w:t xml:space="preserve"> </w:t>
      </w:r>
      <w:r w:rsidR="007A262E" w:rsidRPr="00B77598">
        <w:rPr>
          <w:i/>
          <w:sz w:val="26"/>
          <w:szCs w:val="26"/>
          <w:lang w:val="lt-LT"/>
        </w:rPr>
        <w:t xml:space="preserve">apgaulės </w:t>
      </w:r>
      <w:r w:rsidRPr="00B77598">
        <w:rPr>
          <w:i/>
          <w:sz w:val="26"/>
          <w:szCs w:val="26"/>
          <w:lang w:val="lt-LT"/>
        </w:rPr>
        <w:t>rizikai</w:t>
      </w:r>
      <w:r w:rsidR="003739FD" w:rsidRPr="00B77598">
        <w:rPr>
          <w:sz w:val="26"/>
          <w:szCs w:val="26"/>
          <w:lang w:val="lt-LT"/>
        </w:rPr>
        <w:t xml:space="preserve">. </w:t>
      </w:r>
      <w:r w:rsidR="002F2BD6" w:rsidRPr="00B77598">
        <w:rPr>
          <w:sz w:val="26"/>
          <w:szCs w:val="26"/>
          <w:lang w:val="lt-LT"/>
        </w:rPr>
        <w:t>Pavyzdžiui, je</w:t>
      </w:r>
      <w:r w:rsidR="003739FD" w:rsidRPr="00B77598">
        <w:rPr>
          <w:sz w:val="26"/>
          <w:szCs w:val="26"/>
          <w:lang w:val="lt-LT"/>
        </w:rPr>
        <w:t xml:space="preserve">i atitinkamos reikšmingo iškraipymo rizikos finansinių ataskaitų lygmeniu įvertinimas buvo </w:t>
      </w:r>
      <w:r w:rsidR="002F2BD6" w:rsidRPr="00B77598">
        <w:rPr>
          <w:sz w:val="26"/>
          <w:szCs w:val="26"/>
          <w:lang w:val="lt-LT"/>
        </w:rPr>
        <w:t>didelė rizika, o susijusi reikšmingo iškraipymo rizika tvirtinimo lygmeniu buvo vidutinė rizika, tai galutinis tvirtinimo lygmeniu įvertinimas bus didelė rizika ir pan.</w:t>
      </w:r>
      <w:r w:rsidRPr="00B77598">
        <w:rPr>
          <w:sz w:val="26"/>
          <w:szCs w:val="26"/>
          <w:lang w:val="lt-LT"/>
        </w:rPr>
        <w:t xml:space="preserve">; </w:t>
      </w:r>
    </w:p>
    <w:p w:rsidR="003540E4" w:rsidRPr="00B77598" w:rsidRDefault="001D5B36" w:rsidP="003540E4">
      <w:pPr>
        <w:pStyle w:val="NormalWeb"/>
        <w:spacing w:before="0" w:beforeAutospacing="0" w:after="0" w:afterAutospacing="0" w:line="360" w:lineRule="auto"/>
        <w:ind w:firstLine="720"/>
        <w:jc w:val="both"/>
        <w:rPr>
          <w:sz w:val="26"/>
          <w:szCs w:val="26"/>
          <w:lang w:val="lt-LT"/>
        </w:rPr>
      </w:pPr>
      <w:r w:rsidRPr="00B77598">
        <w:rPr>
          <w:sz w:val="26"/>
          <w:szCs w:val="26"/>
          <w:lang w:val="lt-LT"/>
        </w:rPr>
        <w:t xml:space="preserve">2) atsižvelgiant į </w:t>
      </w:r>
      <w:r w:rsidR="003739FD" w:rsidRPr="00B77598">
        <w:rPr>
          <w:sz w:val="26"/>
          <w:szCs w:val="26"/>
          <w:lang w:val="lt-LT"/>
        </w:rPr>
        <w:t xml:space="preserve">apskaičiuotą </w:t>
      </w:r>
      <w:r w:rsidRPr="00B77598">
        <w:rPr>
          <w:sz w:val="26"/>
          <w:szCs w:val="26"/>
          <w:lang w:val="lt-LT"/>
        </w:rPr>
        <w:t xml:space="preserve">įgimtos ir kontrolės rizikos </w:t>
      </w:r>
      <w:r w:rsidR="003739FD" w:rsidRPr="00B77598">
        <w:rPr>
          <w:sz w:val="26"/>
          <w:szCs w:val="26"/>
          <w:lang w:val="lt-LT"/>
        </w:rPr>
        <w:t xml:space="preserve">lygį </w:t>
      </w:r>
      <w:r w:rsidR="00F1238E" w:rsidRPr="00B77598">
        <w:rPr>
          <w:sz w:val="26"/>
          <w:szCs w:val="26"/>
          <w:lang w:val="lt-LT"/>
        </w:rPr>
        <w:t>nustatoma</w:t>
      </w:r>
      <w:r w:rsidRPr="00B77598">
        <w:rPr>
          <w:sz w:val="26"/>
          <w:szCs w:val="26"/>
          <w:lang w:val="lt-LT"/>
        </w:rPr>
        <w:t xml:space="preserve"> bendra reikšmingo iškraipymo rizika tvirtinim</w:t>
      </w:r>
      <w:r w:rsidR="004C6747" w:rsidRPr="00B77598">
        <w:rPr>
          <w:sz w:val="26"/>
          <w:szCs w:val="26"/>
          <w:lang w:val="lt-LT"/>
        </w:rPr>
        <w:t>o</w:t>
      </w:r>
      <w:r w:rsidRPr="00B77598">
        <w:rPr>
          <w:sz w:val="26"/>
          <w:szCs w:val="26"/>
          <w:lang w:val="lt-LT"/>
        </w:rPr>
        <w:t xml:space="preserve"> lygmeniu</w:t>
      </w:r>
      <w:r w:rsidR="00F90405" w:rsidRPr="00B77598">
        <w:rPr>
          <w:sz w:val="26"/>
          <w:szCs w:val="26"/>
          <w:lang w:val="lt-LT"/>
        </w:rPr>
        <w:t>. P</w:t>
      </w:r>
      <w:r w:rsidRPr="00B77598">
        <w:rPr>
          <w:sz w:val="26"/>
          <w:szCs w:val="26"/>
          <w:lang w:val="lt-LT"/>
        </w:rPr>
        <w:t>aprastai</w:t>
      </w:r>
      <w:r w:rsidR="00867C8D" w:rsidRPr="00B77598">
        <w:rPr>
          <w:sz w:val="26"/>
          <w:szCs w:val="26"/>
          <w:lang w:val="lt-LT"/>
        </w:rPr>
        <w:t>,</w:t>
      </w:r>
      <w:r w:rsidRPr="00B77598">
        <w:rPr>
          <w:sz w:val="26"/>
          <w:szCs w:val="26"/>
          <w:lang w:val="lt-LT"/>
        </w:rPr>
        <w:t xml:space="preserve"> </w:t>
      </w:r>
      <w:r w:rsidRPr="00B77598">
        <w:rPr>
          <w:i/>
          <w:sz w:val="26"/>
          <w:szCs w:val="26"/>
          <w:lang w:val="lt-LT"/>
        </w:rPr>
        <w:t>jei viena</w:t>
      </w:r>
      <w:r w:rsidR="003739FD" w:rsidRPr="00B77598">
        <w:rPr>
          <w:i/>
          <w:sz w:val="26"/>
          <w:szCs w:val="26"/>
          <w:lang w:val="lt-LT"/>
        </w:rPr>
        <w:t>m</w:t>
      </w:r>
      <w:r w:rsidRPr="00B77598">
        <w:rPr>
          <w:i/>
          <w:sz w:val="26"/>
          <w:szCs w:val="26"/>
          <w:lang w:val="lt-LT"/>
        </w:rPr>
        <w:t xml:space="preserve"> iš </w:t>
      </w:r>
      <w:r w:rsidR="003739FD" w:rsidRPr="00B77598">
        <w:rPr>
          <w:i/>
          <w:sz w:val="26"/>
          <w:szCs w:val="26"/>
          <w:lang w:val="lt-LT"/>
        </w:rPr>
        <w:t xml:space="preserve">šių </w:t>
      </w:r>
      <w:r w:rsidRPr="00B77598">
        <w:rPr>
          <w:i/>
          <w:sz w:val="26"/>
          <w:szCs w:val="26"/>
          <w:lang w:val="lt-LT"/>
        </w:rPr>
        <w:t xml:space="preserve">komponentų yra </w:t>
      </w:r>
      <w:r w:rsidR="002F2BD6" w:rsidRPr="00B77598">
        <w:rPr>
          <w:i/>
          <w:sz w:val="26"/>
          <w:szCs w:val="26"/>
          <w:lang w:val="lt-LT"/>
        </w:rPr>
        <w:t>suteiktas</w:t>
      </w:r>
      <w:r w:rsidR="003739FD" w:rsidRPr="00B77598">
        <w:rPr>
          <w:i/>
          <w:sz w:val="26"/>
          <w:szCs w:val="26"/>
          <w:lang w:val="lt-LT"/>
        </w:rPr>
        <w:t xml:space="preserve"> didesnis</w:t>
      </w:r>
      <w:r w:rsidRPr="00B77598">
        <w:rPr>
          <w:i/>
          <w:sz w:val="26"/>
          <w:szCs w:val="26"/>
          <w:lang w:val="lt-LT"/>
        </w:rPr>
        <w:t xml:space="preserve"> lygi</w:t>
      </w:r>
      <w:r w:rsidR="003739FD" w:rsidRPr="00B77598">
        <w:rPr>
          <w:i/>
          <w:sz w:val="26"/>
          <w:szCs w:val="26"/>
          <w:lang w:val="lt-LT"/>
        </w:rPr>
        <w:t>s</w:t>
      </w:r>
      <w:r w:rsidRPr="00B77598">
        <w:rPr>
          <w:i/>
          <w:sz w:val="26"/>
          <w:szCs w:val="26"/>
          <w:lang w:val="lt-LT"/>
        </w:rPr>
        <w:t xml:space="preserve">, tai ir bendras šių komponentų vertinimas bus </w:t>
      </w:r>
      <w:r w:rsidR="003739FD" w:rsidRPr="00B77598">
        <w:rPr>
          <w:i/>
          <w:sz w:val="26"/>
          <w:szCs w:val="26"/>
          <w:lang w:val="lt-LT"/>
        </w:rPr>
        <w:t>vienu skalės lygiu didesnis</w:t>
      </w:r>
      <w:r w:rsidR="000A1EAD" w:rsidRPr="00B77598">
        <w:rPr>
          <w:sz w:val="26"/>
          <w:szCs w:val="26"/>
          <w:lang w:val="lt-LT"/>
        </w:rPr>
        <w:t>, išskyrus</w:t>
      </w:r>
      <w:r w:rsidR="002A0871" w:rsidRPr="00B77598">
        <w:rPr>
          <w:sz w:val="26"/>
          <w:szCs w:val="26"/>
          <w:lang w:val="lt-LT"/>
        </w:rPr>
        <w:t>,</w:t>
      </w:r>
      <w:r w:rsidR="000A1EAD" w:rsidRPr="00B77598">
        <w:rPr>
          <w:sz w:val="26"/>
          <w:szCs w:val="26"/>
          <w:lang w:val="lt-LT"/>
        </w:rPr>
        <w:t xml:space="preserve"> kai įgimta rizika tvirtinimo lygmeniu yra vidutinė,</w:t>
      </w:r>
      <w:r w:rsidR="002A0871" w:rsidRPr="00B77598">
        <w:rPr>
          <w:sz w:val="26"/>
          <w:szCs w:val="26"/>
          <w:lang w:val="lt-LT"/>
        </w:rPr>
        <w:t xml:space="preserve"> </w:t>
      </w:r>
      <w:r w:rsidR="000A1EAD" w:rsidRPr="00B77598">
        <w:rPr>
          <w:sz w:val="26"/>
          <w:szCs w:val="26"/>
          <w:lang w:val="lt-LT"/>
        </w:rPr>
        <w:t xml:space="preserve">o kontrolės rizika yra maža, tai </w:t>
      </w:r>
      <w:r w:rsidR="000A1EAD" w:rsidRPr="00B77598">
        <w:rPr>
          <w:sz w:val="26"/>
          <w:szCs w:val="26"/>
          <w:lang w:val="lt-LT"/>
        </w:rPr>
        <w:lastRenderedPageBreak/>
        <w:t>bendrasis šių komponentų vertinimas bus maža reikšmingo iškraipymo rizika tvirtinimo lygmeniu</w:t>
      </w:r>
      <w:r w:rsidR="00152F54">
        <w:rPr>
          <w:sz w:val="26"/>
          <w:szCs w:val="26"/>
          <w:lang w:val="lt-LT"/>
        </w:rPr>
        <w:t>. Šiuo atveju remiamasi p</w:t>
      </w:r>
      <w:r w:rsidR="00F1238E" w:rsidRPr="00B77598">
        <w:rPr>
          <w:sz w:val="26"/>
          <w:szCs w:val="26"/>
          <w:lang w:val="lt-LT"/>
        </w:rPr>
        <w:t xml:space="preserve">rielaida, jog </w:t>
      </w:r>
      <w:r w:rsidR="002A0871" w:rsidRPr="00B77598">
        <w:rPr>
          <w:sz w:val="26"/>
          <w:szCs w:val="26"/>
          <w:lang w:val="lt-LT"/>
        </w:rPr>
        <w:t>tinkamos kontrolės buvimas minimizuoja įgimtą riziką)</w:t>
      </w:r>
      <w:r w:rsidR="00C175F7" w:rsidRPr="00B77598">
        <w:rPr>
          <w:sz w:val="26"/>
          <w:szCs w:val="26"/>
          <w:lang w:val="lt-LT"/>
        </w:rPr>
        <w:t xml:space="preserve">. </w:t>
      </w:r>
      <w:r w:rsidR="00152F54">
        <w:rPr>
          <w:sz w:val="26"/>
          <w:szCs w:val="26"/>
          <w:lang w:val="lt-LT"/>
        </w:rPr>
        <w:t>Darbo autorės nuomone, b</w:t>
      </w:r>
      <w:r w:rsidR="00C175F7" w:rsidRPr="00B77598">
        <w:rPr>
          <w:sz w:val="26"/>
          <w:szCs w:val="26"/>
          <w:lang w:val="lt-LT"/>
        </w:rPr>
        <w:t>endrasis reikšmingo iškraipymo rizikos tvirtinimo lygmeniu vertinimas yra būtinas dėl to, kad būtų galima nustatyti auditoriaus valdomą aptikimo riziką konkretaus tvirtinimo lygmeniu</w:t>
      </w:r>
      <w:r w:rsidRPr="00B77598">
        <w:rPr>
          <w:sz w:val="26"/>
          <w:szCs w:val="26"/>
          <w:lang w:val="lt-LT"/>
        </w:rPr>
        <w:t xml:space="preserve">; </w:t>
      </w:r>
    </w:p>
    <w:p w:rsidR="003540E4" w:rsidRPr="00B77598" w:rsidRDefault="001D5B36" w:rsidP="003540E4">
      <w:pPr>
        <w:pStyle w:val="NormalWeb"/>
        <w:spacing w:before="0" w:beforeAutospacing="0" w:after="0" w:afterAutospacing="0" w:line="360" w:lineRule="auto"/>
        <w:ind w:firstLine="720"/>
        <w:jc w:val="both"/>
        <w:rPr>
          <w:sz w:val="26"/>
          <w:szCs w:val="26"/>
          <w:lang w:val="lt-LT"/>
        </w:rPr>
      </w:pPr>
      <w:r w:rsidRPr="00B77598">
        <w:rPr>
          <w:sz w:val="26"/>
          <w:szCs w:val="26"/>
          <w:lang w:val="lt-LT"/>
        </w:rPr>
        <w:t xml:space="preserve">3) nustatoma </w:t>
      </w:r>
      <w:r w:rsidRPr="00B77598">
        <w:rPr>
          <w:i/>
          <w:sz w:val="26"/>
          <w:szCs w:val="26"/>
          <w:lang w:val="lt-LT"/>
        </w:rPr>
        <w:t>atvirkštinė priklausomybė tarp audito rizikos komponentų</w:t>
      </w:r>
      <w:r w:rsidR="003540E4" w:rsidRPr="00B77598">
        <w:rPr>
          <w:sz w:val="26"/>
          <w:szCs w:val="26"/>
          <w:lang w:val="lt-LT"/>
        </w:rPr>
        <w:t xml:space="preserve"> </w:t>
      </w:r>
      <w:r w:rsidR="00152F54" w:rsidRPr="00B77598">
        <w:rPr>
          <w:sz w:val="26"/>
          <w:szCs w:val="26"/>
          <w:lang w:val="lt-LT"/>
        </w:rPr>
        <w:t xml:space="preserve">tvirtinimo lygmeniu </w:t>
      </w:r>
      <w:r w:rsidR="00F76BB1" w:rsidRPr="00B77598">
        <w:rPr>
          <w:sz w:val="26"/>
          <w:szCs w:val="26"/>
          <w:lang w:val="lt-LT"/>
        </w:rPr>
        <w:t>(reikšmingo iškraipymo rizikos ir aptikimo rizikos), tam</w:t>
      </w:r>
      <w:r w:rsidRPr="00B77598">
        <w:rPr>
          <w:sz w:val="26"/>
          <w:szCs w:val="26"/>
          <w:lang w:val="lt-LT"/>
        </w:rPr>
        <w:t>, kad pasiekti priimtiną audito rizikos lyg</w:t>
      </w:r>
      <w:r w:rsidR="003540E4" w:rsidRPr="00B77598">
        <w:rPr>
          <w:sz w:val="26"/>
          <w:szCs w:val="26"/>
          <w:lang w:val="lt-LT"/>
        </w:rPr>
        <w:t>į</w:t>
      </w:r>
      <w:r w:rsidR="00C35FE9" w:rsidRPr="00B77598">
        <w:rPr>
          <w:sz w:val="26"/>
          <w:szCs w:val="26"/>
          <w:lang w:val="lt-LT"/>
        </w:rPr>
        <w:t xml:space="preserve"> </w:t>
      </w:r>
      <w:r w:rsidR="002A0871" w:rsidRPr="00B77598">
        <w:rPr>
          <w:sz w:val="26"/>
          <w:szCs w:val="26"/>
          <w:lang w:val="lt-LT"/>
        </w:rPr>
        <w:t xml:space="preserve">tvirtinimo lygmeniu </w:t>
      </w:r>
      <w:r w:rsidR="00C35FE9" w:rsidRPr="00B77598">
        <w:rPr>
          <w:sz w:val="26"/>
          <w:szCs w:val="26"/>
          <w:lang w:val="lt-LT"/>
        </w:rPr>
        <w:t>ir užtikrinti audito atlikimo efektyvumą</w:t>
      </w:r>
      <w:r w:rsidR="002A0871" w:rsidRPr="00B77598">
        <w:rPr>
          <w:sz w:val="26"/>
          <w:szCs w:val="26"/>
          <w:lang w:val="lt-LT"/>
        </w:rPr>
        <w:t xml:space="preserve">. Kai </w:t>
      </w:r>
      <w:r w:rsidR="00F76BB1" w:rsidRPr="00B77598">
        <w:rPr>
          <w:sz w:val="26"/>
          <w:szCs w:val="26"/>
          <w:lang w:val="lt-LT"/>
        </w:rPr>
        <w:t>atvirkštinė priklausomybė tarp šių komponentų neužtikrinama, audito tikslas negali būti pasiekiamas;</w:t>
      </w:r>
    </w:p>
    <w:p w:rsidR="003540E4" w:rsidRPr="00B77598" w:rsidRDefault="00F76BB1" w:rsidP="003540E4">
      <w:pPr>
        <w:pStyle w:val="NormalWeb"/>
        <w:spacing w:before="0" w:beforeAutospacing="0" w:after="0" w:afterAutospacing="0" w:line="360" w:lineRule="auto"/>
        <w:ind w:firstLine="720"/>
        <w:jc w:val="both"/>
        <w:rPr>
          <w:sz w:val="26"/>
          <w:szCs w:val="26"/>
          <w:lang w:val="lt-LT"/>
        </w:rPr>
      </w:pPr>
      <w:r w:rsidRPr="00B77598">
        <w:rPr>
          <w:sz w:val="26"/>
          <w:szCs w:val="26"/>
          <w:lang w:val="lt-LT"/>
        </w:rPr>
        <w:t xml:space="preserve">4) apsvarstoma, kaip pasiekti nustatytą aptikimo rizikos lygį </w:t>
      </w:r>
      <w:r w:rsidR="002A0871" w:rsidRPr="00B77598">
        <w:rPr>
          <w:sz w:val="26"/>
          <w:szCs w:val="26"/>
          <w:lang w:val="lt-LT"/>
        </w:rPr>
        <w:t xml:space="preserve">tvirtinimo lygmeniu </w:t>
      </w:r>
      <w:r w:rsidRPr="00B77598">
        <w:rPr>
          <w:sz w:val="26"/>
          <w:szCs w:val="26"/>
          <w:lang w:val="lt-LT"/>
        </w:rPr>
        <w:t>per trijų jos komponentų sąveiką</w:t>
      </w:r>
      <w:r w:rsidR="002A0871" w:rsidRPr="00B77598">
        <w:rPr>
          <w:sz w:val="26"/>
          <w:szCs w:val="26"/>
          <w:lang w:val="lt-LT"/>
        </w:rPr>
        <w:t>. P</w:t>
      </w:r>
      <w:r w:rsidRPr="00B77598">
        <w:rPr>
          <w:sz w:val="26"/>
          <w:szCs w:val="26"/>
          <w:lang w:val="lt-LT"/>
        </w:rPr>
        <w:t xml:space="preserve">aprastai </w:t>
      </w:r>
      <w:r w:rsidRPr="00B77598">
        <w:rPr>
          <w:i/>
          <w:sz w:val="26"/>
          <w:szCs w:val="26"/>
          <w:lang w:val="lt-LT"/>
        </w:rPr>
        <w:t xml:space="preserve">jei norima, kad aptikimo rizika būtų „maža“ ar „vidutinė“, tai jos komponentai turi </w:t>
      </w:r>
      <w:r w:rsidR="00EE2244" w:rsidRPr="00B77598">
        <w:rPr>
          <w:i/>
          <w:sz w:val="26"/>
          <w:szCs w:val="26"/>
          <w:lang w:val="lt-LT"/>
        </w:rPr>
        <w:t xml:space="preserve">būti vertinami kaip </w:t>
      </w:r>
      <w:r w:rsidR="00486BA9" w:rsidRPr="00B77598">
        <w:rPr>
          <w:i/>
          <w:sz w:val="26"/>
          <w:szCs w:val="26"/>
          <w:lang w:val="lt-LT"/>
        </w:rPr>
        <w:t>maža rizika</w:t>
      </w:r>
      <w:r w:rsidRPr="00B77598">
        <w:rPr>
          <w:sz w:val="26"/>
          <w:szCs w:val="26"/>
          <w:lang w:val="lt-LT"/>
        </w:rPr>
        <w:t>. Tai reiškia, kad a</w:t>
      </w:r>
      <w:r w:rsidR="00486BA9" w:rsidRPr="00B77598">
        <w:rPr>
          <w:sz w:val="26"/>
          <w:szCs w:val="26"/>
          <w:lang w:val="lt-LT"/>
        </w:rPr>
        <w:t xml:space="preserve">trankos taikymas tiriamajai visumai negali būti itin toleruojamas, audito užduotys negali būti pavedamos ne kompetentingiems audito </w:t>
      </w:r>
      <w:r w:rsidR="00F5326B" w:rsidRPr="00B77598">
        <w:rPr>
          <w:sz w:val="26"/>
          <w:szCs w:val="26"/>
          <w:lang w:val="lt-LT"/>
        </w:rPr>
        <w:t>grupės nariam</w:t>
      </w:r>
      <w:r w:rsidR="00486BA9" w:rsidRPr="00B77598">
        <w:rPr>
          <w:sz w:val="26"/>
          <w:szCs w:val="26"/>
          <w:lang w:val="lt-LT"/>
        </w:rPr>
        <w:t xml:space="preserve">s bei turi būti parenkamos gan išsamios audito procedūros, kurios </w:t>
      </w:r>
      <w:r w:rsidR="00154590" w:rsidRPr="00B77598">
        <w:rPr>
          <w:sz w:val="26"/>
          <w:szCs w:val="26"/>
          <w:lang w:val="lt-LT"/>
        </w:rPr>
        <w:t xml:space="preserve">būtų tiesiogiai nukreiptos į </w:t>
      </w:r>
      <w:r w:rsidR="00486BA9" w:rsidRPr="00B77598">
        <w:rPr>
          <w:sz w:val="26"/>
          <w:szCs w:val="26"/>
          <w:lang w:val="lt-LT"/>
        </w:rPr>
        <w:t>tiriam</w:t>
      </w:r>
      <w:r w:rsidR="00EE2244" w:rsidRPr="00B77598">
        <w:rPr>
          <w:sz w:val="26"/>
          <w:szCs w:val="26"/>
          <w:lang w:val="lt-LT"/>
        </w:rPr>
        <w:t>ą</w:t>
      </w:r>
      <w:r w:rsidR="00486BA9" w:rsidRPr="00B77598">
        <w:rPr>
          <w:sz w:val="26"/>
          <w:szCs w:val="26"/>
          <w:lang w:val="lt-LT"/>
        </w:rPr>
        <w:t xml:space="preserve"> finansinių ataskaitų elemento tvirtinim</w:t>
      </w:r>
      <w:r w:rsidR="00EE2244" w:rsidRPr="00B77598">
        <w:rPr>
          <w:sz w:val="26"/>
          <w:szCs w:val="26"/>
          <w:lang w:val="lt-LT"/>
        </w:rPr>
        <w:t>ą. Tuomet, kai galima leisti, kad aptikimo rizika tvirtinimo lygmeniu būtų „didelė“ rizika, tai aptikimo rizikos komponentės turėtų būti ne didesnės kaip vidutinės rizikos</w:t>
      </w:r>
      <w:r w:rsidR="00486BA9" w:rsidRPr="00B77598">
        <w:rPr>
          <w:sz w:val="26"/>
          <w:szCs w:val="26"/>
          <w:lang w:val="lt-LT"/>
        </w:rPr>
        <w:t xml:space="preserve">; </w:t>
      </w:r>
    </w:p>
    <w:p w:rsidR="00486BA9" w:rsidRPr="00B77598" w:rsidRDefault="00486BA9" w:rsidP="003540E4">
      <w:pPr>
        <w:pStyle w:val="NormalWeb"/>
        <w:spacing w:before="0" w:beforeAutospacing="0" w:after="0" w:afterAutospacing="0" w:line="360" w:lineRule="auto"/>
        <w:ind w:firstLine="720"/>
        <w:jc w:val="both"/>
        <w:rPr>
          <w:sz w:val="26"/>
          <w:szCs w:val="26"/>
          <w:lang w:val="lt-LT"/>
        </w:rPr>
      </w:pPr>
      <w:r w:rsidRPr="00B77598">
        <w:rPr>
          <w:sz w:val="26"/>
          <w:szCs w:val="26"/>
          <w:lang w:val="lt-LT"/>
        </w:rPr>
        <w:t>5)</w:t>
      </w:r>
      <w:r w:rsidR="00303D78" w:rsidRPr="00B77598">
        <w:rPr>
          <w:sz w:val="26"/>
          <w:szCs w:val="26"/>
          <w:lang w:val="lt-LT"/>
        </w:rPr>
        <w:t xml:space="preserve"> įvertinamas bendras audito rizikos lygis atsižvelgiant į tvirtinim</w:t>
      </w:r>
      <w:r w:rsidR="0025194A" w:rsidRPr="00B77598">
        <w:rPr>
          <w:sz w:val="26"/>
          <w:szCs w:val="26"/>
          <w:lang w:val="lt-LT"/>
        </w:rPr>
        <w:t>o</w:t>
      </w:r>
      <w:r w:rsidR="00303D78" w:rsidRPr="00B77598">
        <w:rPr>
          <w:sz w:val="26"/>
          <w:szCs w:val="26"/>
          <w:lang w:val="lt-LT"/>
        </w:rPr>
        <w:t xml:space="preserve"> lygmeniu pasiektus audito rizikos vertinimus</w:t>
      </w:r>
      <w:r w:rsidR="00EE2244" w:rsidRPr="00B77598">
        <w:rPr>
          <w:sz w:val="26"/>
          <w:szCs w:val="26"/>
          <w:lang w:val="lt-LT"/>
        </w:rPr>
        <w:t>. T</w:t>
      </w:r>
      <w:r w:rsidR="00303D78" w:rsidRPr="00B77598">
        <w:rPr>
          <w:sz w:val="26"/>
          <w:szCs w:val="26"/>
          <w:lang w:val="lt-LT"/>
        </w:rPr>
        <w:t xml:space="preserve">ik tuo atveju, </w:t>
      </w:r>
      <w:r w:rsidR="00303D78" w:rsidRPr="00B77598">
        <w:rPr>
          <w:i/>
          <w:sz w:val="26"/>
          <w:szCs w:val="26"/>
          <w:lang w:val="lt-LT"/>
        </w:rPr>
        <w:t>kai visi audito rizikos vertinimai tvirtinim</w:t>
      </w:r>
      <w:r w:rsidR="0025194A" w:rsidRPr="00B77598">
        <w:rPr>
          <w:i/>
          <w:sz w:val="26"/>
          <w:szCs w:val="26"/>
          <w:lang w:val="lt-LT"/>
        </w:rPr>
        <w:t>o</w:t>
      </w:r>
      <w:r w:rsidR="00303D78" w:rsidRPr="00B77598">
        <w:rPr>
          <w:i/>
          <w:sz w:val="26"/>
          <w:szCs w:val="26"/>
          <w:lang w:val="lt-LT"/>
        </w:rPr>
        <w:t xml:space="preserve"> lygmeniu </w:t>
      </w:r>
      <w:r w:rsidR="00EE2244" w:rsidRPr="00B77598">
        <w:rPr>
          <w:i/>
          <w:sz w:val="26"/>
          <w:szCs w:val="26"/>
          <w:lang w:val="lt-LT"/>
        </w:rPr>
        <w:t xml:space="preserve">prilyginami </w:t>
      </w:r>
      <w:r w:rsidR="00303D78" w:rsidRPr="00B77598">
        <w:rPr>
          <w:i/>
          <w:sz w:val="26"/>
          <w:szCs w:val="26"/>
          <w:lang w:val="lt-LT"/>
        </w:rPr>
        <w:t>maž</w:t>
      </w:r>
      <w:r w:rsidR="00EE2244" w:rsidRPr="00B77598">
        <w:rPr>
          <w:i/>
          <w:sz w:val="26"/>
          <w:szCs w:val="26"/>
          <w:lang w:val="lt-LT"/>
        </w:rPr>
        <w:t>ai</w:t>
      </w:r>
      <w:r w:rsidR="00303D78" w:rsidRPr="00B77598">
        <w:rPr>
          <w:i/>
          <w:sz w:val="26"/>
          <w:szCs w:val="26"/>
          <w:lang w:val="lt-LT"/>
        </w:rPr>
        <w:t xml:space="preserve"> rizik</w:t>
      </w:r>
      <w:r w:rsidR="00EE2244" w:rsidRPr="00B77598">
        <w:rPr>
          <w:i/>
          <w:sz w:val="26"/>
          <w:szCs w:val="26"/>
          <w:lang w:val="lt-LT"/>
        </w:rPr>
        <w:t>ai</w:t>
      </w:r>
      <w:r w:rsidR="00303D78" w:rsidRPr="00B77598">
        <w:rPr>
          <w:i/>
          <w:sz w:val="26"/>
          <w:szCs w:val="26"/>
          <w:lang w:val="lt-LT"/>
        </w:rPr>
        <w:t xml:space="preserve">, tai bendra audito rizika </w:t>
      </w:r>
      <w:r w:rsidR="00C175F7" w:rsidRPr="00B77598">
        <w:rPr>
          <w:i/>
          <w:sz w:val="26"/>
          <w:szCs w:val="26"/>
          <w:lang w:val="lt-LT"/>
        </w:rPr>
        <w:t xml:space="preserve">galės būti laikoma </w:t>
      </w:r>
      <w:r w:rsidR="00303D78" w:rsidRPr="00B77598">
        <w:rPr>
          <w:i/>
          <w:sz w:val="26"/>
          <w:szCs w:val="26"/>
          <w:lang w:val="lt-LT"/>
        </w:rPr>
        <w:t>priimtin</w:t>
      </w:r>
      <w:r w:rsidR="00C175F7" w:rsidRPr="00B77598">
        <w:rPr>
          <w:i/>
          <w:sz w:val="26"/>
          <w:szCs w:val="26"/>
          <w:lang w:val="lt-LT"/>
        </w:rPr>
        <w:t>o</w:t>
      </w:r>
      <w:r w:rsidR="00303D78" w:rsidRPr="00B77598">
        <w:rPr>
          <w:i/>
          <w:sz w:val="26"/>
          <w:szCs w:val="26"/>
          <w:lang w:val="lt-LT"/>
        </w:rPr>
        <w:t xml:space="preserve"> lygio</w:t>
      </w:r>
      <w:r w:rsidR="003540E4" w:rsidRPr="00B77598">
        <w:rPr>
          <w:i/>
          <w:sz w:val="26"/>
          <w:szCs w:val="26"/>
          <w:lang w:val="lt-LT"/>
        </w:rPr>
        <w:t xml:space="preserve"> (maža rizika)</w:t>
      </w:r>
      <w:r w:rsidR="00303D78" w:rsidRPr="00B77598">
        <w:rPr>
          <w:sz w:val="26"/>
          <w:szCs w:val="26"/>
          <w:lang w:val="lt-LT"/>
        </w:rPr>
        <w:t>, k</w:t>
      </w:r>
      <w:r w:rsidR="003540E4" w:rsidRPr="00B77598">
        <w:rPr>
          <w:sz w:val="26"/>
          <w:szCs w:val="26"/>
          <w:lang w:val="lt-LT"/>
        </w:rPr>
        <w:t>a</w:t>
      </w:r>
      <w:r w:rsidR="00303D78" w:rsidRPr="00B77598">
        <w:rPr>
          <w:sz w:val="26"/>
          <w:szCs w:val="26"/>
          <w:lang w:val="lt-LT"/>
        </w:rPr>
        <w:t>s lei</w:t>
      </w:r>
      <w:r w:rsidR="00C175F7" w:rsidRPr="00B77598">
        <w:rPr>
          <w:sz w:val="26"/>
          <w:szCs w:val="26"/>
          <w:lang w:val="lt-LT"/>
        </w:rPr>
        <w:t>s</w:t>
      </w:r>
      <w:r w:rsidR="00303D78" w:rsidRPr="00B77598">
        <w:rPr>
          <w:sz w:val="26"/>
          <w:szCs w:val="26"/>
          <w:lang w:val="lt-LT"/>
        </w:rPr>
        <w:t xml:space="preserve"> auditoriui pareikšti nuomonę apie audituojamos įmonės finansines ataskaitas. Jei bent vienas ar keli audito rizikos vertinimai tvirtinim</w:t>
      </w:r>
      <w:r w:rsidR="0025194A" w:rsidRPr="00B77598">
        <w:rPr>
          <w:sz w:val="26"/>
          <w:szCs w:val="26"/>
          <w:lang w:val="lt-LT"/>
        </w:rPr>
        <w:t>o</w:t>
      </w:r>
      <w:r w:rsidR="00303D78" w:rsidRPr="00B77598">
        <w:rPr>
          <w:sz w:val="26"/>
          <w:szCs w:val="26"/>
          <w:lang w:val="lt-LT"/>
        </w:rPr>
        <w:t xml:space="preserve"> lygmeniu yra kaip „vidutinė“ ar „didelė“ rizika, tai turi būti </w:t>
      </w:r>
      <w:r w:rsidR="000A4246" w:rsidRPr="00B77598">
        <w:rPr>
          <w:sz w:val="26"/>
          <w:szCs w:val="26"/>
          <w:lang w:val="lt-LT"/>
        </w:rPr>
        <w:t>atliekamos papildomos audito procedūros, skirtos sumažinti audito riziką tvirtinim</w:t>
      </w:r>
      <w:r w:rsidR="0025194A" w:rsidRPr="00B77598">
        <w:rPr>
          <w:sz w:val="26"/>
          <w:szCs w:val="26"/>
          <w:lang w:val="lt-LT"/>
        </w:rPr>
        <w:t>o</w:t>
      </w:r>
      <w:r w:rsidR="000A4246" w:rsidRPr="00B77598">
        <w:rPr>
          <w:sz w:val="26"/>
          <w:szCs w:val="26"/>
          <w:lang w:val="lt-LT"/>
        </w:rPr>
        <w:t xml:space="preserve"> lygmeniu ar imamasi kitų audito veiksmų (ne besąlyginės auditoriaus nuomonės pareiškimo ar pan.).</w:t>
      </w:r>
    </w:p>
    <w:p w:rsidR="001266E9" w:rsidRDefault="001266E9" w:rsidP="001266E9">
      <w:pPr>
        <w:pStyle w:val="NormalWeb"/>
        <w:spacing w:before="0" w:beforeAutospacing="0" w:after="0" w:afterAutospacing="0" w:line="360" w:lineRule="auto"/>
        <w:ind w:firstLine="720"/>
        <w:jc w:val="both"/>
        <w:rPr>
          <w:sz w:val="26"/>
          <w:szCs w:val="26"/>
          <w:lang w:val="lt-LT"/>
        </w:rPr>
      </w:pPr>
      <w:r w:rsidRPr="00B77598">
        <w:rPr>
          <w:sz w:val="26"/>
          <w:szCs w:val="26"/>
          <w:lang w:val="lt-LT"/>
        </w:rPr>
        <w:lastRenderedPageBreak/>
        <w:t xml:space="preserve">Atkreiptinas dėmesys, kad </w:t>
      </w:r>
      <w:r>
        <w:rPr>
          <w:sz w:val="26"/>
          <w:szCs w:val="26"/>
          <w:lang w:val="lt-LT"/>
        </w:rPr>
        <w:t xml:space="preserve">darbo autorės sudaryta </w:t>
      </w:r>
      <w:r w:rsidRPr="00B77598">
        <w:rPr>
          <w:sz w:val="26"/>
          <w:szCs w:val="26"/>
          <w:lang w:val="lt-LT"/>
        </w:rPr>
        <w:t xml:space="preserve">audito rizikos vertinimo schema, susieja audito rizikos komponentus, pasireiškiančius finansinių ataskaitų lygmeniu ir tvirtinimo lygmeniu, ir tokiu būdu gerokai patobulina </w:t>
      </w:r>
      <w:r w:rsidR="00F95587">
        <w:rPr>
          <w:sz w:val="26"/>
          <w:szCs w:val="26"/>
          <w:lang w:val="lt-LT"/>
        </w:rPr>
        <w:t xml:space="preserve">iki šiol audito literatūros šaltinuose nagrinėtą </w:t>
      </w:r>
      <w:r w:rsidRPr="00B77598">
        <w:rPr>
          <w:sz w:val="26"/>
          <w:szCs w:val="26"/>
          <w:lang w:val="lt-LT"/>
        </w:rPr>
        <w:t>audito rizikos komponentų sąveikos schem</w:t>
      </w:r>
      <w:r w:rsidRPr="005556F1">
        <w:rPr>
          <w:sz w:val="26"/>
          <w:szCs w:val="26"/>
          <w:lang w:val="lt-LT"/>
        </w:rPr>
        <w:t>ą (8 pav., d</w:t>
      </w:r>
      <w:r w:rsidR="00973556">
        <w:rPr>
          <w:sz w:val="26"/>
          <w:szCs w:val="26"/>
          <w:lang w:val="lt-LT"/>
        </w:rPr>
        <w:t>isertacijos</w:t>
      </w:r>
      <w:r w:rsidRPr="005556F1">
        <w:rPr>
          <w:sz w:val="26"/>
          <w:szCs w:val="26"/>
          <w:lang w:val="lt-LT"/>
        </w:rPr>
        <w:t xml:space="preserve"> 1.2.2. sk</w:t>
      </w:r>
      <w:r w:rsidRPr="00B77598">
        <w:rPr>
          <w:sz w:val="26"/>
          <w:szCs w:val="26"/>
          <w:lang w:val="lt-LT"/>
        </w:rPr>
        <w:t>yrius)</w:t>
      </w:r>
      <w:r w:rsidR="004A5005">
        <w:rPr>
          <w:sz w:val="26"/>
          <w:szCs w:val="26"/>
          <w:lang w:val="lt-LT"/>
        </w:rPr>
        <w:t xml:space="preserve">. </w:t>
      </w:r>
      <w:r w:rsidR="00F95587">
        <w:rPr>
          <w:sz w:val="26"/>
          <w:szCs w:val="26"/>
          <w:lang w:val="lt-LT"/>
        </w:rPr>
        <w:t>Pastaroji schema</w:t>
      </w:r>
      <w:r w:rsidRPr="00B77598">
        <w:rPr>
          <w:sz w:val="26"/>
          <w:szCs w:val="26"/>
          <w:lang w:val="lt-LT"/>
        </w:rPr>
        <w:t xml:space="preserve">, </w:t>
      </w:r>
      <w:r w:rsidR="00F95587">
        <w:rPr>
          <w:sz w:val="26"/>
          <w:szCs w:val="26"/>
          <w:lang w:val="lt-LT"/>
        </w:rPr>
        <w:t xml:space="preserve">buvo skirta </w:t>
      </w:r>
      <w:r>
        <w:rPr>
          <w:sz w:val="26"/>
          <w:szCs w:val="26"/>
          <w:lang w:val="lt-LT"/>
        </w:rPr>
        <w:t>parod</w:t>
      </w:r>
      <w:r w:rsidR="00F95587">
        <w:rPr>
          <w:sz w:val="26"/>
          <w:szCs w:val="26"/>
          <w:lang w:val="lt-LT"/>
        </w:rPr>
        <w:t xml:space="preserve">yti tik </w:t>
      </w:r>
      <w:r w:rsidRPr="00B77598">
        <w:rPr>
          <w:sz w:val="26"/>
          <w:szCs w:val="26"/>
          <w:lang w:val="lt-LT"/>
        </w:rPr>
        <w:t>kaip priklausomai nuo įgimtos rizikos ir kontrolės rizikos vertinimų gali kisti priimtina aptikimo rizika, t. y. nagrinė</w:t>
      </w:r>
      <w:r w:rsidR="00F95587">
        <w:rPr>
          <w:sz w:val="26"/>
          <w:szCs w:val="26"/>
          <w:lang w:val="lt-LT"/>
        </w:rPr>
        <w:t xml:space="preserve">ti </w:t>
      </w:r>
      <w:r w:rsidRPr="00B77598">
        <w:rPr>
          <w:sz w:val="26"/>
          <w:szCs w:val="26"/>
          <w:lang w:val="lt-LT"/>
        </w:rPr>
        <w:t>rizikų, pasireiškiančių tvirtinimo lygmeniu, vertinim</w:t>
      </w:r>
      <w:r w:rsidR="00F95587">
        <w:rPr>
          <w:sz w:val="26"/>
          <w:szCs w:val="26"/>
          <w:lang w:val="lt-LT"/>
        </w:rPr>
        <w:t>ą</w:t>
      </w:r>
      <w:r w:rsidRPr="00B77598">
        <w:rPr>
          <w:sz w:val="26"/>
          <w:szCs w:val="26"/>
          <w:lang w:val="lt-LT"/>
        </w:rPr>
        <w:t>.</w:t>
      </w:r>
      <w:r w:rsidRPr="009F4D97">
        <w:rPr>
          <w:sz w:val="26"/>
          <w:szCs w:val="26"/>
          <w:lang w:val="lt-LT"/>
        </w:rPr>
        <w:t xml:space="preserve"> </w:t>
      </w:r>
    </w:p>
    <w:p w:rsidR="00670E96" w:rsidRPr="00B77598" w:rsidRDefault="008E3D35" w:rsidP="000A4246">
      <w:pPr>
        <w:pStyle w:val="NormalWeb"/>
        <w:spacing w:before="0" w:beforeAutospacing="0" w:after="0" w:afterAutospacing="0" w:line="360" w:lineRule="auto"/>
        <w:ind w:firstLine="720"/>
        <w:jc w:val="both"/>
        <w:rPr>
          <w:sz w:val="26"/>
          <w:szCs w:val="26"/>
          <w:lang w:val="lt-LT"/>
        </w:rPr>
      </w:pPr>
      <w:r w:rsidRPr="005556F1">
        <w:rPr>
          <w:sz w:val="26"/>
          <w:szCs w:val="26"/>
          <w:lang w:val="lt-LT"/>
        </w:rPr>
        <w:t>A</w:t>
      </w:r>
      <w:r w:rsidR="003E2361" w:rsidRPr="005556F1">
        <w:rPr>
          <w:sz w:val="26"/>
          <w:szCs w:val="26"/>
          <w:lang w:val="lt-LT"/>
        </w:rPr>
        <w:t>pibendrina</w:t>
      </w:r>
      <w:r w:rsidR="000A4246" w:rsidRPr="005556F1">
        <w:rPr>
          <w:sz w:val="26"/>
          <w:szCs w:val="26"/>
          <w:lang w:val="lt-LT"/>
        </w:rPr>
        <w:t>n</w:t>
      </w:r>
      <w:r w:rsidR="003E2361" w:rsidRPr="005556F1">
        <w:rPr>
          <w:sz w:val="26"/>
          <w:szCs w:val="26"/>
          <w:lang w:val="lt-LT"/>
        </w:rPr>
        <w:t xml:space="preserve">t galima teigti, kad </w:t>
      </w:r>
      <w:r w:rsidR="004C05DB" w:rsidRPr="005556F1">
        <w:rPr>
          <w:sz w:val="26"/>
          <w:szCs w:val="26"/>
          <w:lang w:val="lt-LT"/>
        </w:rPr>
        <w:t xml:space="preserve">darbo autorės </w:t>
      </w:r>
      <w:r w:rsidR="00EA4362" w:rsidRPr="005556F1">
        <w:rPr>
          <w:sz w:val="26"/>
          <w:szCs w:val="26"/>
          <w:lang w:val="lt-LT"/>
        </w:rPr>
        <w:t xml:space="preserve">audito rizikos vertinimo modelis, </w:t>
      </w:r>
      <w:r w:rsidR="003D2E11" w:rsidRPr="005556F1">
        <w:rPr>
          <w:sz w:val="26"/>
          <w:szCs w:val="26"/>
          <w:lang w:val="lt-LT"/>
        </w:rPr>
        <w:t xml:space="preserve">susidedantis iš </w:t>
      </w:r>
      <w:r w:rsidRPr="005556F1">
        <w:rPr>
          <w:sz w:val="26"/>
          <w:szCs w:val="26"/>
          <w:lang w:val="lt-LT"/>
        </w:rPr>
        <w:t>audito rizikos vertinimo modelio struktūrogram</w:t>
      </w:r>
      <w:r w:rsidR="003D2E11" w:rsidRPr="005556F1">
        <w:rPr>
          <w:sz w:val="26"/>
          <w:szCs w:val="26"/>
          <w:lang w:val="lt-LT"/>
        </w:rPr>
        <w:t>os</w:t>
      </w:r>
      <w:r w:rsidRPr="005556F1">
        <w:rPr>
          <w:sz w:val="26"/>
          <w:szCs w:val="26"/>
          <w:lang w:val="lt-LT"/>
        </w:rPr>
        <w:t xml:space="preserve"> (</w:t>
      </w:r>
      <w:r w:rsidR="00EA4362" w:rsidRPr="005556F1">
        <w:rPr>
          <w:sz w:val="26"/>
          <w:szCs w:val="26"/>
          <w:lang w:val="lt-LT"/>
        </w:rPr>
        <w:t>1</w:t>
      </w:r>
      <w:r w:rsidR="00B22236" w:rsidRPr="005556F1">
        <w:rPr>
          <w:sz w:val="26"/>
          <w:szCs w:val="26"/>
          <w:lang w:val="lt-LT"/>
        </w:rPr>
        <w:t>9</w:t>
      </w:r>
      <w:r w:rsidRPr="005556F1">
        <w:rPr>
          <w:sz w:val="26"/>
          <w:szCs w:val="26"/>
          <w:lang w:val="lt-LT"/>
        </w:rPr>
        <w:t> </w:t>
      </w:r>
      <w:r w:rsidR="00EA4362" w:rsidRPr="005556F1">
        <w:rPr>
          <w:sz w:val="26"/>
          <w:szCs w:val="26"/>
          <w:lang w:val="lt-LT"/>
        </w:rPr>
        <w:t>pav.</w:t>
      </w:r>
      <w:r w:rsidRPr="005556F1">
        <w:rPr>
          <w:sz w:val="26"/>
          <w:szCs w:val="26"/>
          <w:lang w:val="lt-LT"/>
        </w:rPr>
        <w:t>), audito rizikos komponentų įvertinimo skalė</w:t>
      </w:r>
      <w:r w:rsidR="003D2E11" w:rsidRPr="005556F1">
        <w:rPr>
          <w:sz w:val="26"/>
          <w:szCs w:val="26"/>
          <w:lang w:val="lt-LT"/>
        </w:rPr>
        <w:t>s</w:t>
      </w:r>
      <w:r w:rsidRPr="005556F1">
        <w:rPr>
          <w:sz w:val="26"/>
          <w:szCs w:val="26"/>
          <w:lang w:val="lt-LT"/>
        </w:rPr>
        <w:t xml:space="preserve"> (2</w:t>
      </w:r>
      <w:r w:rsidR="009E7470" w:rsidRPr="005556F1">
        <w:rPr>
          <w:sz w:val="26"/>
          <w:szCs w:val="26"/>
          <w:lang w:val="lt-LT"/>
        </w:rPr>
        <w:t>3</w:t>
      </w:r>
      <w:r w:rsidRPr="005556F1">
        <w:rPr>
          <w:sz w:val="26"/>
          <w:szCs w:val="26"/>
          <w:lang w:val="lt-LT"/>
        </w:rPr>
        <w:t xml:space="preserve"> lentelė) ir audito rizikos vertinimo schem</w:t>
      </w:r>
      <w:r w:rsidR="003D2E11" w:rsidRPr="005556F1">
        <w:rPr>
          <w:sz w:val="26"/>
          <w:szCs w:val="26"/>
          <w:lang w:val="lt-LT"/>
        </w:rPr>
        <w:t>os</w:t>
      </w:r>
      <w:r w:rsidRPr="005556F1">
        <w:rPr>
          <w:sz w:val="26"/>
          <w:szCs w:val="26"/>
          <w:lang w:val="lt-LT"/>
        </w:rPr>
        <w:t xml:space="preserve"> (</w:t>
      </w:r>
      <w:r w:rsidR="00B46912" w:rsidRPr="005556F1">
        <w:rPr>
          <w:sz w:val="26"/>
          <w:szCs w:val="26"/>
          <w:lang w:val="lt-LT"/>
        </w:rPr>
        <w:t>2</w:t>
      </w:r>
      <w:r w:rsidR="00B22236" w:rsidRPr="005556F1">
        <w:rPr>
          <w:sz w:val="26"/>
          <w:szCs w:val="26"/>
          <w:lang w:val="lt-LT"/>
        </w:rPr>
        <w:t>0</w:t>
      </w:r>
      <w:r w:rsidR="00B46912" w:rsidRPr="005556F1">
        <w:rPr>
          <w:sz w:val="26"/>
          <w:szCs w:val="26"/>
          <w:lang w:val="lt-LT"/>
        </w:rPr>
        <w:t xml:space="preserve"> pav.</w:t>
      </w:r>
      <w:r w:rsidRPr="005556F1">
        <w:rPr>
          <w:sz w:val="26"/>
          <w:szCs w:val="26"/>
          <w:lang w:val="lt-LT"/>
        </w:rPr>
        <w:t>)</w:t>
      </w:r>
      <w:r w:rsidR="00EA4362" w:rsidRPr="005556F1">
        <w:rPr>
          <w:sz w:val="26"/>
          <w:szCs w:val="26"/>
          <w:lang w:val="lt-LT"/>
        </w:rPr>
        <w:t xml:space="preserve">, </w:t>
      </w:r>
      <w:r w:rsidR="00C4798C" w:rsidRPr="005556F1">
        <w:rPr>
          <w:sz w:val="26"/>
          <w:szCs w:val="26"/>
          <w:lang w:val="lt-LT"/>
        </w:rPr>
        <w:t>a</w:t>
      </w:r>
      <w:r w:rsidR="00C4798C">
        <w:rPr>
          <w:sz w:val="26"/>
          <w:szCs w:val="26"/>
          <w:lang w:val="lt-LT"/>
        </w:rPr>
        <w:t xml:space="preserve">pima </w:t>
      </w:r>
      <w:r w:rsidR="00670E96" w:rsidRPr="00B77598">
        <w:rPr>
          <w:sz w:val="26"/>
          <w:szCs w:val="26"/>
          <w:lang w:val="lt-LT"/>
        </w:rPr>
        <w:t xml:space="preserve">svarbiausius audito rizikos ir jos komponentų vertinimo </w:t>
      </w:r>
      <w:r w:rsidR="008B7D6D" w:rsidRPr="00B77598">
        <w:rPr>
          <w:sz w:val="26"/>
          <w:szCs w:val="26"/>
          <w:lang w:val="lt-LT"/>
        </w:rPr>
        <w:t>aspektus</w:t>
      </w:r>
      <w:r w:rsidR="00400ABB" w:rsidRPr="00B77598">
        <w:rPr>
          <w:sz w:val="26"/>
          <w:szCs w:val="26"/>
          <w:lang w:val="lt-LT"/>
        </w:rPr>
        <w:t xml:space="preserve">, </w:t>
      </w:r>
      <w:r>
        <w:rPr>
          <w:sz w:val="26"/>
          <w:szCs w:val="26"/>
          <w:lang w:val="lt-LT"/>
        </w:rPr>
        <w:t>kurie</w:t>
      </w:r>
      <w:r w:rsidR="00F95587" w:rsidRPr="00F95587">
        <w:rPr>
          <w:sz w:val="26"/>
          <w:szCs w:val="26"/>
          <w:lang w:val="lt-LT"/>
        </w:rPr>
        <w:t xml:space="preserve"> </w:t>
      </w:r>
      <w:r w:rsidR="00F95587">
        <w:rPr>
          <w:sz w:val="26"/>
          <w:szCs w:val="26"/>
          <w:lang w:val="lt-LT"/>
        </w:rPr>
        <w:t>iki šiol</w:t>
      </w:r>
      <w:r>
        <w:rPr>
          <w:sz w:val="26"/>
          <w:szCs w:val="26"/>
          <w:lang w:val="lt-LT"/>
        </w:rPr>
        <w:t xml:space="preserve"> nebuvo </w:t>
      </w:r>
      <w:r w:rsidR="00C4798C">
        <w:rPr>
          <w:sz w:val="26"/>
          <w:szCs w:val="26"/>
          <w:lang w:val="lt-LT"/>
        </w:rPr>
        <w:t xml:space="preserve">išsamiai ir aiškiai </w:t>
      </w:r>
      <w:r w:rsidR="00C4798C" w:rsidRPr="00B77598">
        <w:rPr>
          <w:sz w:val="26"/>
          <w:szCs w:val="26"/>
          <w:lang w:val="lt-LT"/>
        </w:rPr>
        <w:t>atsklei</w:t>
      </w:r>
      <w:r w:rsidR="00C4798C">
        <w:rPr>
          <w:sz w:val="26"/>
          <w:szCs w:val="26"/>
          <w:lang w:val="lt-LT"/>
        </w:rPr>
        <w:t>sti</w:t>
      </w:r>
      <w:r w:rsidR="003D2E11">
        <w:rPr>
          <w:sz w:val="26"/>
          <w:szCs w:val="26"/>
          <w:lang w:val="lt-LT"/>
        </w:rPr>
        <w:t xml:space="preserve"> kituose mokslo darbuose. Darbo autorės modelis parodo,</w:t>
      </w:r>
      <w:r w:rsidR="00400ABB" w:rsidRPr="00B77598">
        <w:rPr>
          <w:sz w:val="26"/>
          <w:szCs w:val="26"/>
          <w:lang w:val="lt-LT"/>
        </w:rPr>
        <w:t xml:space="preserve"> kad</w:t>
      </w:r>
      <w:r w:rsidR="00670E96" w:rsidRPr="00B77598">
        <w:rPr>
          <w:sz w:val="26"/>
          <w:szCs w:val="26"/>
          <w:lang w:val="lt-LT"/>
        </w:rPr>
        <w:t>:</w:t>
      </w:r>
    </w:p>
    <w:p w:rsidR="00670E96" w:rsidRPr="00B77598" w:rsidRDefault="00400ABB" w:rsidP="00D730C0">
      <w:pPr>
        <w:pStyle w:val="NormalWeb"/>
        <w:numPr>
          <w:ilvl w:val="0"/>
          <w:numId w:val="24"/>
        </w:numPr>
        <w:spacing w:before="0" w:beforeAutospacing="0" w:after="0" w:afterAutospacing="0" w:line="360" w:lineRule="auto"/>
        <w:jc w:val="both"/>
        <w:rPr>
          <w:sz w:val="26"/>
          <w:szCs w:val="26"/>
          <w:lang w:val="lt-LT"/>
        </w:rPr>
      </w:pPr>
      <w:r w:rsidRPr="00B77598">
        <w:rPr>
          <w:sz w:val="26"/>
          <w:szCs w:val="26"/>
          <w:lang w:val="lt-LT"/>
        </w:rPr>
        <w:t>audito rizikos komponentai vertinami skirtingu pasireiškimo lygmeniu</w:t>
      </w:r>
      <w:r w:rsidR="00EA4362" w:rsidRPr="00B77598">
        <w:rPr>
          <w:sz w:val="26"/>
          <w:szCs w:val="26"/>
          <w:lang w:val="lt-LT"/>
        </w:rPr>
        <w:t xml:space="preserve"> ir skirtinguose audito etapuose</w:t>
      </w:r>
      <w:r w:rsidRPr="00B77598">
        <w:rPr>
          <w:sz w:val="26"/>
          <w:szCs w:val="26"/>
          <w:lang w:val="lt-LT"/>
        </w:rPr>
        <w:t>;</w:t>
      </w:r>
    </w:p>
    <w:p w:rsidR="00400ABB" w:rsidRPr="00B77598" w:rsidRDefault="00400ABB" w:rsidP="00D730C0">
      <w:pPr>
        <w:pStyle w:val="NormalWeb"/>
        <w:numPr>
          <w:ilvl w:val="0"/>
          <w:numId w:val="24"/>
        </w:numPr>
        <w:spacing w:before="0" w:beforeAutospacing="0" w:after="0" w:afterAutospacing="0" w:line="360" w:lineRule="auto"/>
        <w:jc w:val="both"/>
        <w:rPr>
          <w:sz w:val="26"/>
          <w:szCs w:val="26"/>
          <w:lang w:val="lt-LT"/>
        </w:rPr>
      </w:pPr>
      <w:r w:rsidRPr="00B77598">
        <w:rPr>
          <w:sz w:val="26"/>
          <w:szCs w:val="26"/>
          <w:lang w:val="lt-LT"/>
        </w:rPr>
        <w:t>egzistuoja priklausomybė tarp audito rizikos komponentų;</w:t>
      </w:r>
    </w:p>
    <w:p w:rsidR="00400ABB" w:rsidRPr="00B77598" w:rsidRDefault="00400ABB" w:rsidP="00D730C0">
      <w:pPr>
        <w:pStyle w:val="NormalWeb"/>
        <w:numPr>
          <w:ilvl w:val="0"/>
          <w:numId w:val="24"/>
        </w:numPr>
        <w:spacing w:before="0" w:beforeAutospacing="0" w:after="0" w:afterAutospacing="0" w:line="360" w:lineRule="auto"/>
        <w:jc w:val="both"/>
        <w:rPr>
          <w:sz w:val="26"/>
          <w:szCs w:val="26"/>
          <w:lang w:val="lt-LT"/>
        </w:rPr>
      </w:pPr>
      <w:r w:rsidRPr="00B77598">
        <w:rPr>
          <w:sz w:val="26"/>
          <w:szCs w:val="26"/>
          <w:lang w:val="lt-LT"/>
        </w:rPr>
        <w:t>ankstesnių audito rizikos komponentų vertinimai lemia tolesnių audito rizikos komponentų vertinimus;</w:t>
      </w:r>
    </w:p>
    <w:p w:rsidR="00400ABB" w:rsidRPr="00B77598" w:rsidRDefault="00400ABB" w:rsidP="00D730C0">
      <w:pPr>
        <w:pStyle w:val="NormalWeb"/>
        <w:numPr>
          <w:ilvl w:val="0"/>
          <w:numId w:val="24"/>
        </w:numPr>
        <w:spacing w:before="0" w:beforeAutospacing="0" w:after="0" w:afterAutospacing="0" w:line="360" w:lineRule="auto"/>
        <w:jc w:val="both"/>
        <w:rPr>
          <w:sz w:val="26"/>
          <w:szCs w:val="26"/>
          <w:lang w:val="lt-LT"/>
        </w:rPr>
      </w:pPr>
      <w:r w:rsidRPr="00B77598">
        <w:rPr>
          <w:sz w:val="26"/>
          <w:szCs w:val="26"/>
          <w:lang w:val="lt-LT"/>
        </w:rPr>
        <w:t>audito rizika tiek tvirtinim</w:t>
      </w:r>
      <w:r w:rsidR="0025194A" w:rsidRPr="00B77598">
        <w:rPr>
          <w:sz w:val="26"/>
          <w:szCs w:val="26"/>
          <w:lang w:val="lt-LT"/>
        </w:rPr>
        <w:t>o</w:t>
      </w:r>
      <w:r w:rsidRPr="00B77598">
        <w:rPr>
          <w:sz w:val="26"/>
          <w:szCs w:val="26"/>
          <w:lang w:val="lt-LT"/>
        </w:rPr>
        <w:t xml:space="preserve"> lygmeniu, tiek finansinių ataskaitų lygmeniu turi būti maža, nes aukštesnis vertinimas yra nepriimtinas ir audito procedūros turi būti praplečiamos ir tikslinamos, kad pasiekti priimtiną audito rizikos lygį nuomonės apie finansines ataskaitas pareiškimui. </w:t>
      </w:r>
    </w:p>
    <w:p w:rsidR="00CA010A" w:rsidRPr="00B77598" w:rsidRDefault="00274663" w:rsidP="000C2A21">
      <w:pPr>
        <w:pStyle w:val="NormalWeb"/>
        <w:spacing w:before="0" w:beforeAutospacing="0" w:after="0" w:afterAutospacing="0" w:line="360" w:lineRule="auto"/>
        <w:ind w:firstLine="709"/>
        <w:jc w:val="both"/>
        <w:rPr>
          <w:sz w:val="26"/>
          <w:szCs w:val="26"/>
          <w:lang w:val="lt-LT"/>
        </w:rPr>
      </w:pPr>
      <w:r w:rsidRPr="00B77598">
        <w:rPr>
          <w:sz w:val="26"/>
          <w:szCs w:val="26"/>
          <w:lang w:val="lt-LT"/>
        </w:rPr>
        <w:t xml:space="preserve">Darbo autorės nuomone, </w:t>
      </w:r>
      <w:r w:rsidR="00ED403F">
        <w:rPr>
          <w:sz w:val="26"/>
          <w:szCs w:val="26"/>
          <w:lang w:val="lt-LT"/>
        </w:rPr>
        <w:t xml:space="preserve">sudarytas </w:t>
      </w:r>
      <w:r w:rsidR="00944AA6" w:rsidRPr="00B77598">
        <w:rPr>
          <w:sz w:val="26"/>
          <w:szCs w:val="26"/>
          <w:lang w:val="lt-LT"/>
        </w:rPr>
        <w:t>audito rizikos vertinimo modelis gali būti pritaikytas visiems auditams, nepriklausomai nuo audituojam</w:t>
      </w:r>
      <w:r w:rsidR="00FA7D7F" w:rsidRPr="00B77598">
        <w:rPr>
          <w:sz w:val="26"/>
          <w:szCs w:val="26"/>
          <w:lang w:val="lt-LT"/>
        </w:rPr>
        <w:t>os</w:t>
      </w:r>
      <w:r w:rsidR="00944AA6" w:rsidRPr="00B77598">
        <w:rPr>
          <w:sz w:val="26"/>
          <w:szCs w:val="26"/>
          <w:lang w:val="lt-LT"/>
        </w:rPr>
        <w:t xml:space="preserve"> įmon</w:t>
      </w:r>
      <w:r w:rsidR="00FA7D7F" w:rsidRPr="00B77598">
        <w:rPr>
          <w:sz w:val="26"/>
          <w:szCs w:val="26"/>
          <w:lang w:val="lt-LT"/>
        </w:rPr>
        <w:t>ės</w:t>
      </w:r>
      <w:r w:rsidR="00944AA6" w:rsidRPr="00B77598">
        <w:rPr>
          <w:sz w:val="26"/>
          <w:szCs w:val="26"/>
          <w:lang w:val="lt-LT"/>
        </w:rPr>
        <w:t xml:space="preserve"> dydžio</w:t>
      </w:r>
      <w:r w:rsidR="004C05DB" w:rsidRPr="00B77598">
        <w:rPr>
          <w:sz w:val="26"/>
          <w:szCs w:val="26"/>
          <w:lang w:val="lt-LT"/>
        </w:rPr>
        <w:t xml:space="preserve"> ir veiklos pobūdžio</w:t>
      </w:r>
      <w:r w:rsidR="00944AA6" w:rsidRPr="00B77598">
        <w:rPr>
          <w:sz w:val="26"/>
          <w:szCs w:val="26"/>
          <w:lang w:val="lt-LT"/>
        </w:rPr>
        <w:t xml:space="preserve">. </w:t>
      </w:r>
      <w:r w:rsidRPr="00B77598">
        <w:rPr>
          <w:sz w:val="26"/>
          <w:szCs w:val="26"/>
          <w:lang w:val="lt-LT"/>
        </w:rPr>
        <w:t>Tačiau n</w:t>
      </w:r>
      <w:r w:rsidR="00944AA6" w:rsidRPr="00B77598">
        <w:rPr>
          <w:sz w:val="26"/>
          <w:szCs w:val="26"/>
          <w:lang w:val="lt-LT"/>
        </w:rPr>
        <w:t>orint įsitikinti, kad modelis atitinka tikrovę</w:t>
      </w:r>
      <w:r w:rsidR="00FA7D7F" w:rsidRPr="00B77598">
        <w:rPr>
          <w:sz w:val="26"/>
          <w:szCs w:val="26"/>
          <w:lang w:val="lt-LT"/>
        </w:rPr>
        <w:t xml:space="preserve"> ir gali būti lengvai pritaikomas</w:t>
      </w:r>
      <w:r w:rsidR="00152F54">
        <w:rPr>
          <w:sz w:val="26"/>
          <w:szCs w:val="26"/>
          <w:lang w:val="lt-LT"/>
        </w:rPr>
        <w:t xml:space="preserve"> praktikoje</w:t>
      </w:r>
      <w:r w:rsidR="00944AA6" w:rsidRPr="00B77598">
        <w:rPr>
          <w:sz w:val="26"/>
          <w:szCs w:val="26"/>
          <w:lang w:val="lt-LT"/>
        </w:rPr>
        <w:t xml:space="preserve">, būtina jį patikrinti empiriškai. </w:t>
      </w:r>
    </w:p>
    <w:p w:rsidR="0039337A" w:rsidRPr="00B77598" w:rsidRDefault="0039337A" w:rsidP="0039337A">
      <w:pPr>
        <w:pStyle w:val="NormalWeb"/>
        <w:spacing w:before="0" w:beforeAutospacing="0" w:after="0" w:afterAutospacing="0" w:line="360" w:lineRule="auto"/>
        <w:ind w:firstLine="709"/>
        <w:jc w:val="both"/>
        <w:rPr>
          <w:i/>
          <w:sz w:val="26"/>
          <w:szCs w:val="26"/>
          <w:lang w:val="lt-LT"/>
        </w:rPr>
      </w:pPr>
      <w:r w:rsidRPr="00B77598">
        <w:rPr>
          <w:b/>
          <w:sz w:val="26"/>
          <w:szCs w:val="26"/>
          <w:lang w:val="lt-LT"/>
        </w:rPr>
        <w:t>Modelio tikrinimo apribojimai.</w:t>
      </w:r>
      <w:r w:rsidRPr="00B77598">
        <w:rPr>
          <w:sz w:val="26"/>
          <w:szCs w:val="26"/>
          <w:lang w:val="lt-LT"/>
        </w:rPr>
        <w:t xml:space="preserve"> Didesniam audito rizikos vertinimo modelio </w:t>
      </w:r>
      <w:r w:rsidR="00095DFE" w:rsidRPr="00B77598">
        <w:rPr>
          <w:sz w:val="26"/>
          <w:szCs w:val="26"/>
          <w:lang w:val="lt-LT"/>
        </w:rPr>
        <w:t xml:space="preserve">pritaikymo </w:t>
      </w:r>
      <w:r w:rsidRPr="00B77598">
        <w:rPr>
          <w:sz w:val="26"/>
          <w:szCs w:val="26"/>
          <w:lang w:val="lt-LT"/>
        </w:rPr>
        <w:t xml:space="preserve">tinkamumui užtikrinti reikėtų ištirti kuo didesnį finansinių ataskaitų auditų skaičių. </w:t>
      </w:r>
      <w:r w:rsidR="00DD544B" w:rsidRPr="00B77598">
        <w:rPr>
          <w:sz w:val="26"/>
          <w:szCs w:val="26"/>
          <w:lang w:val="lt-LT"/>
        </w:rPr>
        <w:t xml:space="preserve">Kita vertus, </w:t>
      </w:r>
      <w:r w:rsidR="00152F54">
        <w:rPr>
          <w:sz w:val="26"/>
          <w:szCs w:val="26"/>
          <w:lang w:val="lt-LT"/>
        </w:rPr>
        <w:t xml:space="preserve">1) </w:t>
      </w:r>
      <w:r w:rsidR="00301349" w:rsidRPr="00B77598">
        <w:rPr>
          <w:sz w:val="26"/>
          <w:szCs w:val="26"/>
          <w:lang w:val="lt-LT"/>
        </w:rPr>
        <w:t xml:space="preserve">vidutinis </w:t>
      </w:r>
      <w:r w:rsidR="00465765" w:rsidRPr="00B77598">
        <w:rPr>
          <w:sz w:val="26"/>
          <w:szCs w:val="26"/>
          <w:lang w:val="lt-LT"/>
        </w:rPr>
        <w:t xml:space="preserve">kasmet </w:t>
      </w:r>
      <w:r w:rsidR="009B18F0" w:rsidRPr="00B77598">
        <w:rPr>
          <w:sz w:val="26"/>
          <w:szCs w:val="26"/>
          <w:lang w:val="lt-LT"/>
        </w:rPr>
        <w:t xml:space="preserve">atliekamų finansinių </w:t>
      </w:r>
      <w:r w:rsidR="009B18F0" w:rsidRPr="00B77598">
        <w:rPr>
          <w:sz w:val="26"/>
          <w:szCs w:val="26"/>
          <w:lang w:val="lt-LT"/>
        </w:rPr>
        <w:lastRenderedPageBreak/>
        <w:t>ataskaitų auditų skaičius nėra didelis</w:t>
      </w:r>
      <w:r w:rsidR="00095DFE" w:rsidRPr="00B77598">
        <w:rPr>
          <w:sz w:val="26"/>
          <w:szCs w:val="26"/>
          <w:lang w:val="lt-LT"/>
        </w:rPr>
        <w:t>, t. y.</w:t>
      </w:r>
      <w:r w:rsidR="009B18F0" w:rsidRPr="00B77598">
        <w:rPr>
          <w:sz w:val="26"/>
          <w:szCs w:val="26"/>
          <w:lang w:val="lt-LT"/>
        </w:rPr>
        <w:t xml:space="preserve"> </w:t>
      </w:r>
      <w:r w:rsidR="00095DFE" w:rsidRPr="00B77598">
        <w:rPr>
          <w:sz w:val="26"/>
          <w:szCs w:val="26"/>
          <w:lang w:val="lt-LT"/>
        </w:rPr>
        <w:t xml:space="preserve">Lietuvoje auditorius vidutiniškai atlieka 14 auditų per metus, o audito įmonė – 19 </w:t>
      </w:r>
      <w:r w:rsidR="009B18F0" w:rsidRPr="00B77598">
        <w:rPr>
          <w:sz w:val="26"/>
          <w:szCs w:val="26"/>
          <w:lang w:val="lt-LT"/>
        </w:rPr>
        <w:t>(</w:t>
      </w:r>
      <w:r w:rsidR="00095DFE" w:rsidRPr="00B77598">
        <w:rPr>
          <w:sz w:val="26"/>
          <w:szCs w:val="26"/>
          <w:lang w:val="lt-LT"/>
        </w:rPr>
        <w:t xml:space="preserve">remiantis </w:t>
      </w:r>
      <w:r w:rsidR="009B18F0" w:rsidRPr="00B77598">
        <w:rPr>
          <w:sz w:val="26"/>
          <w:szCs w:val="26"/>
          <w:lang w:val="lt-LT"/>
        </w:rPr>
        <w:t xml:space="preserve">Lietuvos auditorių rūmų </w:t>
      </w:r>
      <w:r w:rsidR="00095DFE" w:rsidRPr="00B77598">
        <w:rPr>
          <w:sz w:val="26"/>
          <w:szCs w:val="26"/>
          <w:lang w:val="lt-LT"/>
        </w:rPr>
        <w:t>paskelbta Audi</w:t>
      </w:r>
      <w:r w:rsidR="00152F54">
        <w:rPr>
          <w:sz w:val="26"/>
          <w:szCs w:val="26"/>
          <w:lang w:val="lt-LT"/>
        </w:rPr>
        <w:t xml:space="preserve">to rinkos apžvalga 2008-12-31); 2) </w:t>
      </w:r>
      <w:r w:rsidR="00095DFE" w:rsidRPr="00B77598">
        <w:rPr>
          <w:sz w:val="26"/>
          <w:szCs w:val="26"/>
          <w:lang w:val="lt-LT"/>
        </w:rPr>
        <w:t xml:space="preserve">audito rizikos vertinimo klausimas </w:t>
      </w:r>
      <w:r w:rsidR="00465765" w:rsidRPr="00B77598">
        <w:rPr>
          <w:sz w:val="26"/>
          <w:szCs w:val="26"/>
          <w:lang w:val="lt-LT"/>
        </w:rPr>
        <w:t>reikalauja visapusiško audituojamos įmonės situacijos bei audito atlikimo metodologijos supratimo.</w:t>
      </w:r>
      <w:r w:rsidR="00095DFE" w:rsidRPr="00B77598">
        <w:rPr>
          <w:sz w:val="26"/>
          <w:szCs w:val="26"/>
          <w:lang w:val="lt-LT"/>
        </w:rPr>
        <w:t xml:space="preserve"> </w:t>
      </w:r>
      <w:r w:rsidR="004423A2" w:rsidRPr="00B77598">
        <w:rPr>
          <w:sz w:val="26"/>
          <w:szCs w:val="26"/>
          <w:lang w:val="lt-LT"/>
        </w:rPr>
        <w:t xml:space="preserve">Pavedus modelio pritaikymą praktikoje atlikti atrinktiems auditoriams, tyrimas galėtų žymiai </w:t>
      </w:r>
      <w:r w:rsidR="002733E0" w:rsidRPr="00B77598">
        <w:rPr>
          <w:sz w:val="26"/>
          <w:szCs w:val="26"/>
          <w:lang w:val="lt-LT"/>
        </w:rPr>
        <w:t xml:space="preserve">ilgiau </w:t>
      </w:r>
      <w:r w:rsidR="004423A2" w:rsidRPr="00B77598">
        <w:rPr>
          <w:sz w:val="26"/>
          <w:szCs w:val="26"/>
          <w:lang w:val="lt-LT"/>
        </w:rPr>
        <w:t xml:space="preserve">užtrukti </w:t>
      </w:r>
      <w:r w:rsidR="00ED403F">
        <w:rPr>
          <w:sz w:val="26"/>
          <w:szCs w:val="26"/>
          <w:lang w:val="lt-LT"/>
        </w:rPr>
        <w:t xml:space="preserve">bei </w:t>
      </w:r>
      <w:r w:rsidR="002733E0" w:rsidRPr="00B77598">
        <w:rPr>
          <w:sz w:val="26"/>
          <w:szCs w:val="26"/>
          <w:lang w:val="lt-LT"/>
        </w:rPr>
        <w:t xml:space="preserve">audito rizikos vertinimo modelis </w:t>
      </w:r>
      <w:r w:rsidR="004423A2" w:rsidRPr="00B77598">
        <w:rPr>
          <w:sz w:val="26"/>
          <w:szCs w:val="26"/>
          <w:lang w:val="lt-LT"/>
        </w:rPr>
        <w:t xml:space="preserve">nebūtų taip išsamiai </w:t>
      </w:r>
      <w:r w:rsidR="002733E0" w:rsidRPr="00B77598">
        <w:rPr>
          <w:sz w:val="26"/>
          <w:szCs w:val="26"/>
          <w:lang w:val="lt-LT"/>
        </w:rPr>
        <w:t xml:space="preserve">suprastas </w:t>
      </w:r>
      <w:r w:rsidR="00C26C2C" w:rsidRPr="00B77598">
        <w:rPr>
          <w:sz w:val="26"/>
          <w:szCs w:val="26"/>
          <w:lang w:val="lt-LT"/>
        </w:rPr>
        <w:t>ir</w:t>
      </w:r>
      <w:r w:rsidR="002733E0" w:rsidRPr="00B77598">
        <w:rPr>
          <w:sz w:val="26"/>
          <w:szCs w:val="26"/>
          <w:lang w:val="lt-LT"/>
        </w:rPr>
        <w:t xml:space="preserve"> </w:t>
      </w:r>
      <w:r w:rsidR="004423A2" w:rsidRPr="00B77598">
        <w:rPr>
          <w:sz w:val="26"/>
          <w:szCs w:val="26"/>
          <w:lang w:val="lt-LT"/>
        </w:rPr>
        <w:t>patikrintas</w:t>
      </w:r>
      <w:r w:rsidR="002733E0" w:rsidRPr="00B77598">
        <w:rPr>
          <w:sz w:val="26"/>
          <w:szCs w:val="26"/>
          <w:lang w:val="lt-LT"/>
        </w:rPr>
        <w:t xml:space="preserve"> nei tuomet, kai tai daro jo autorius.</w:t>
      </w:r>
      <w:r w:rsidR="004423A2" w:rsidRPr="00B77598">
        <w:rPr>
          <w:sz w:val="26"/>
          <w:szCs w:val="26"/>
          <w:lang w:val="lt-LT"/>
        </w:rPr>
        <w:t xml:space="preserve"> </w:t>
      </w:r>
      <w:r w:rsidR="00DD544B" w:rsidRPr="00B77598">
        <w:rPr>
          <w:sz w:val="26"/>
          <w:szCs w:val="26"/>
          <w:lang w:val="lt-LT"/>
        </w:rPr>
        <w:t xml:space="preserve">Todėl </w:t>
      </w:r>
      <w:r w:rsidRPr="00B77598">
        <w:rPr>
          <w:sz w:val="26"/>
          <w:szCs w:val="26"/>
          <w:lang w:val="lt-LT"/>
        </w:rPr>
        <w:t xml:space="preserve">audito rizikos vertinimo modelis </w:t>
      </w:r>
      <w:r w:rsidR="00ED403F">
        <w:rPr>
          <w:sz w:val="26"/>
          <w:szCs w:val="26"/>
          <w:lang w:val="lt-LT"/>
        </w:rPr>
        <w:t>t</w:t>
      </w:r>
      <w:r w:rsidRPr="00B77598">
        <w:rPr>
          <w:sz w:val="26"/>
          <w:szCs w:val="26"/>
          <w:lang w:val="lt-LT"/>
        </w:rPr>
        <w:t xml:space="preserve">ikrinamas </w:t>
      </w:r>
      <w:r w:rsidR="00C26C2C" w:rsidRPr="00B77598">
        <w:rPr>
          <w:sz w:val="26"/>
          <w:szCs w:val="26"/>
          <w:lang w:val="lt-LT"/>
        </w:rPr>
        <w:t xml:space="preserve">darbo autorės </w:t>
      </w:r>
      <w:r w:rsidRPr="00B77598">
        <w:rPr>
          <w:sz w:val="26"/>
          <w:szCs w:val="26"/>
          <w:lang w:val="lt-LT"/>
        </w:rPr>
        <w:t xml:space="preserve">dviejų </w:t>
      </w:r>
      <w:r w:rsidR="00DD544B" w:rsidRPr="00B77598">
        <w:rPr>
          <w:sz w:val="26"/>
          <w:szCs w:val="26"/>
          <w:lang w:val="lt-LT"/>
        </w:rPr>
        <w:t xml:space="preserve">pasirinktų </w:t>
      </w:r>
      <w:r w:rsidRPr="00B77598">
        <w:rPr>
          <w:sz w:val="26"/>
          <w:szCs w:val="26"/>
          <w:lang w:val="lt-LT"/>
        </w:rPr>
        <w:t>įmonių finansinių ataskaitų auditų pavyzdžiu.</w:t>
      </w:r>
      <w:r w:rsidR="00DD544B" w:rsidRPr="00B77598">
        <w:rPr>
          <w:sz w:val="26"/>
          <w:szCs w:val="26"/>
          <w:lang w:val="lt-LT"/>
        </w:rPr>
        <w:t xml:space="preserve"> </w:t>
      </w:r>
    </w:p>
    <w:p w:rsidR="0044605C" w:rsidRPr="00B77598" w:rsidRDefault="00944AA6" w:rsidP="000C2A21">
      <w:pPr>
        <w:pStyle w:val="NormalWeb"/>
        <w:spacing w:before="0" w:beforeAutospacing="0" w:after="0" w:afterAutospacing="0" w:line="360" w:lineRule="auto"/>
        <w:ind w:firstLine="709"/>
        <w:jc w:val="both"/>
        <w:rPr>
          <w:sz w:val="26"/>
          <w:szCs w:val="26"/>
          <w:lang w:val="lt-LT"/>
        </w:rPr>
      </w:pPr>
      <w:r w:rsidRPr="00B77598">
        <w:rPr>
          <w:sz w:val="26"/>
          <w:szCs w:val="26"/>
          <w:lang w:val="lt-LT"/>
        </w:rPr>
        <w:t>Kadangi visų modelio aspektų patikrinti neį</w:t>
      </w:r>
      <w:r w:rsidR="00BB782F" w:rsidRPr="00B77598">
        <w:rPr>
          <w:sz w:val="26"/>
          <w:szCs w:val="26"/>
          <w:lang w:val="lt-LT"/>
        </w:rPr>
        <w:t xml:space="preserve">manoma, </w:t>
      </w:r>
      <w:r w:rsidRPr="00B77598">
        <w:rPr>
          <w:sz w:val="26"/>
          <w:szCs w:val="26"/>
          <w:lang w:val="lt-LT"/>
        </w:rPr>
        <w:t xml:space="preserve">pasirinkta patikrinti </w:t>
      </w:r>
      <w:r w:rsidR="00BB782F" w:rsidRPr="00B77598">
        <w:rPr>
          <w:sz w:val="26"/>
          <w:szCs w:val="26"/>
          <w:lang w:val="lt-LT"/>
        </w:rPr>
        <w:t>esminius audito rizikos vertinimo klausimus</w:t>
      </w:r>
      <w:r w:rsidR="00FA7D7F" w:rsidRPr="00B77598">
        <w:rPr>
          <w:sz w:val="26"/>
          <w:szCs w:val="26"/>
          <w:lang w:val="lt-LT"/>
        </w:rPr>
        <w:t xml:space="preserve">, </w:t>
      </w:r>
      <w:r w:rsidR="0044605C" w:rsidRPr="00B77598">
        <w:rPr>
          <w:sz w:val="26"/>
          <w:szCs w:val="26"/>
          <w:lang w:val="lt-LT"/>
        </w:rPr>
        <w:t>iškeliant keturias hipotezes</w:t>
      </w:r>
      <w:r w:rsidR="00443E3E" w:rsidRPr="00B77598">
        <w:rPr>
          <w:sz w:val="26"/>
          <w:szCs w:val="26"/>
          <w:lang w:val="lt-LT"/>
        </w:rPr>
        <w:t xml:space="preserve">. </w:t>
      </w:r>
    </w:p>
    <w:p w:rsidR="00BB782F" w:rsidRPr="00B77598" w:rsidRDefault="0044605C" w:rsidP="00944AA6">
      <w:pPr>
        <w:pStyle w:val="NormalWeb"/>
        <w:spacing w:before="0" w:beforeAutospacing="0" w:after="0" w:afterAutospacing="0" w:line="360" w:lineRule="auto"/>
        <w:ind w:firstLine="709"/>
        <w:jc w:val="both"/>
        <w:rPr>
          <w:sz w:val="26"/>
          <w:szCs w:val="26"/>
          <w:lang w:val="lt-LT"/>
        </w:rPr>
      </w:pPr>
      <w:r w:rsidRPr="00B77598">
        <w:rPr>
          <w:sz w:val="26"/>
          <w:szCs w:val="26"/>
          <w:lang w:val="lt-LT"/>
        </w:rPr>
        <w:t xml:space="preserve">Siekiant </w:t>
      </w:r>
      <w:r w:rsidR="00E33821" w:rsidRPr="00B77598">
        <w:rPr>
          <w:sz w:val="26"/>
          <w:szCs w:val="26"/>
          <w:lang w:val="lt-LT"/>
        </w:rPr>
        <w:t>i</w:t>
      </w:r>
      <w:r w:rsidR="00E33821" w:rsidRPr="00ED403F">
        <w:rPr>
          <w:sz w:val="26"/>
          <w:szCs w:val="26"/>
          <w:lang w:val="lt-LT"/>
        </w:rPr>
        <w:t>šsiaiškinti tarpusavio ryšius tarp atskirų audito rizikos komponentų, t. y. pritarti, kad prak</w:t>
      </w:r>
      <w:r w:rsidR="00E33821" w:rsidRPr="00B77598">
        <w:rPr>
          <w:sz w:val="26"/>
          <w:szCs w:val="26"/>
          <w:lang w:val="lt-LT"/>
        </w:rPr>
        <w:t>tikoje atliekami atskirų audito rizikos komponentų priklausomybės ir bendrieji jų vertinimai, buvo</w:t>
      </w:r>
      <w:r w:rsidR="00BB782F" w:rsidRPr="00B77598">
        <w:rPr>
          <w:sz w:val="26"/>
          <w:szCs w:val="26"/>
          <w:lang w:val="lt-LT"/>
        </w:rPr>
        <w:t xml:space="preserve"> suformuluot</w:t>
      </w:r>
      <w:r w:rsidR="00CE7D1E" w:rsidRPr="00B77598">
        <w:rPr>
          <w:sz w:val="26"/>
          <w:szCs w:val="26"/>
          <w:lang w:val="lt-LT"/>
        </w:rPr>
        <w:t>os</w:t>
      </w:r>
      <w:r w:rsidR="00BB782F" w:rsidRPr="00B77598">
        <w:rPr>
          <w:sz w:val="26"/>
          <w:szCs w:val="26"/>
          <w:lang w:val="lt-LT"/>
        </w:rPr>
        <w:t xml:space="preserve"> ši</w:t>
      </w:r>
      <w:r w:rsidR="00CE7D1E" w:rsidRPr="00B77598">
        <w:rPr>
          <w:sz w:val="26"/>
          <w:szCs w:val="26"/>
          <w:lang w:val="lt-LT"/>
        </w:rPr>
        <w:t>o</w:t>
      </w:r>
      <w:r w:rsidR="00BB782F" w:rsidRPr="00B77598">
        <w:rPr>
          <w:sz w:val="26"/>
          <w:szCs w:val="26"/>
          <w:lang w:val="lt-LT"/>
        </w:rPr>
        <w:t>s hipotez</w:t>
      </w:r>
      <w:r w:rsidR="00CE7D1E" w:rsidRPr="00B77598">
        <w:rPr>
          <w:sz w:val="26"/>
          <w:szCs w:val="26"/>
          <w:lang w:val="lt-LT"/>
        </w:rPr>
        <w:t>ė</w:t>
      </w:r>
      <w:r w:rsidR="00BB782F" w:rsidRPr="00B77598">
        <w:rPr>
          <w:sz w:val="26"/>
          <w:szCs w:val="26"/>
          <w:lang w:val="lt-LT"/>
        </w:rPr>
        <w:t>s:</w:t>
      </w:r>
    </w:p>
    <w:p w:rsidR="00CD7561" w:rsidRPr="00B77598" w:rsidRDefault="00CD7561" w:rsidP="00CD7561">
      <w:pPr>
        <w:pStyle w:val="NormalWeb"/>
        <w:spacing w:before="0" w:beforeAutospacing="0" w:after="0" w:afterAutospacing="0" w:line="360" w:lineRule="auto"/>
        <w:ind w:firstLine="709"/>
        <w:jc w:val="both"/>
        <w:rPr>
          <w:i/>
          <w:sz w:val="26"/>
          <w:szCs w:val="26"/>
          <w:lang w:val="lt-LT"/>
        </w:rPr>
      </w:pPr>
      <w:r w:rsidRPr="00B77598">
        <w:rPr>
          <w:i/>
          <w:sz w:val="26"/>
          <w:szCs w:val="26"/>
          <w:lang w:val="lt-LT"/>
        </w:rPr>
        <w:t>H</w:t>
      </w:r>
      <w:r w:rsidR="00E33821" w:rsidRPr="00B77598">
        <w:rPr>
          <w:i/>
          <w:sz w:val="26"/>
          <w:szCs w:val="26"/>
          <w:vertAlign w:val="subscript"/>
          <w:lang w:val="lt-LT"/>
        </w:rPr>
        <w:t>1</w:t>
      </w:r>
      <w:r w:rsidRPr="00B77598">
        <w:rPr>
          <w:i/>
          <w:sz w:val="26"/>
          <w:szCs w:val="26"/>
          <w:lang w:val="lt-LT"/>
        </w:rPr>
        <w:t>:</w:t>
      </w:r>
      <w:r w:rsidRPr="00B77598">
        <w:rPr>
          <w:sz w:val="26"/>
          <w:szCs w:val="26"/>
          <w:lang w:val="lt-LT"/>
        </w:rPr>
        <w:t xml:space="preserve"> </w:t>
      </w:r>
      <w:r w:rsidRPr="00B77598">
        <w:rPr>
          <w:i/>
          <w:sz w:val="26"/>
          <w:szCs w:val="26"/>
          <w:lang w:val="lt-LT"/>
        </w:rPr>
        <w:t xml:space="preserve">reikšmingo iškraipymo rizika finansinių ataskaitų lygmeniu lemia </w:t>
      </w:r>
      <w:r w:rsidR="004C05DB" w:rsidRPr="00B77598">
        <w:rPr>
          <w:i/>
          <w:sz w:val="26"/>
          <w:szCs w:val="26"/>
          <w:lang w:val="lt-LT"/>
        </w:rPr>
        <w:t xml:space="preserve">susijusios </w:t>
      </w:r>
      <w:r w:rsidRPr="00B77598">
        <w:rPr>
          <w:i/>
          <w:sz w:val="26"/>
          <w:szCs w:val="26"/>
          <w:lang w:val="lt-LT"/>
        </w:rPr>
        <w:t>reikšmingo iškraipymo rizikos tvirtinim</w:t>
      </w:r>
      <w:r w:rsidR="0025194A" w:rsidRPr="00B77598">
        <w:rPr>
          <w:i/>
          <w:sz w:val="26"/>
          <w:szCs w:val="26"/>
          <w:lang w:val="lt-LT"/>
        </w:rPr>
        <w:t>o</w:t>
      </w:r>
      <w:r w:rsidRPr="00B77598">
        <w:rPr>
          <w:i/>
          <w:sz w:val="26"/>
          <w:szCs w:val="26"/>
          <w:lang w:val="lt-LT"/>
        </w:rPr>
        <w:t xml:space="preserve"> lygmeniu vertinimą.</w:t>
      </w:r>
    </w:p>
    <w:p w:rsidR="003F1835" w:rsidRPr="00B77598" w:rsidRDefault="00CD7561" w:rsidP="003F1835">
      <w:pPr>
        <w:pStyle w:val="NormalWeb"/>
        <w:spacing w:before="0" w:beforeAutospacing="0" w:after="0" w:afterAutospacing="0" w:line="360" w:lineRule="auto"/>
        <w:ind w:firstLine="709"/>
        <w:jc w:val="both"/>
        <w:rPr>
          <w:i/>
          <w:sz w:val="26"/>
          <w:szCs w:val="26"/>
          <w:lang w:val="lt-LT"/>
        </w:rPr>
      </w:pPr>
      <w:r w:rsidRPr="00B77598">
        <w:rPr>
          <w:i/>
          <w:sz w:val="26"/>
          <w:szCs w:val="26"/>
          <w:lang w:val="lt-LT"/>
        </w:rPr>
        <w:t>H</w:t>
      </w:r>
      <w:r w:rsidR="00E33821" w:rsidRPr="00B77598">
        <w:rPr>
          <w:i/>
          <w:sz w:val="26"/>
          <w:szCs w:val="26"/>
          <w:vertAlign w:val="subscript"/>
          <w:lang w:val="lt-LT"/>
        </w:rPr>
        <w:t>2</w:t>
      </w:r>
      <w:r w:rsidRPr="00B77598">
        <w:rPr>
          <w:i/>
          <w:sz w:val="26"/>
          <w:szCs w:val="26"/>
          <w:lang w:val="lt-LT"/>
        </w:rPr>
        <w:t>: bendr</w:t>
      </w:r>
      <w:r w:rsidR="00677441" w:rsidRPr="00B77598">
        <w:rPr>
          <w:i/>
          <w:sz w:val="26"/>
          <w:szCs w:val="26"/>
          <w:lang w:val="lt-LT"/>
        </w:rPr>
        <w:t>as</w:t>
      </w:r>
      <w:r w:rsidRPr="00B77598">
        <w:rPr>
          <w:i/>
          <w:sz w:val="26"/>
          <w:szCs w:val="26"/>
          <w:lang w:val="lt-LT"/>
        </w:rPr>
        <w:t xml:space="preserve"> reikšmingo iškraipymo rizikos </w:t>
      </w:r>
      <w:r w:rsidR="0025194A" w:rsidRPr="00B77598">
        <w:rPr>
          <w:i/>
          <w:sz w:val="26"/>
          <w:szCs w:val="26"/>
          <w:lang w:val="lt-LT"/>
        </w:rPr>
        <w:t>tvirtinimo</w:t>
      </w:r>
      <w:r w:rsidRPr="00B77598">
        <w:rPr>
          <w:i/>
          <w:sz w:val="26"/>
          <w:szCs w:val="26"/>
          <w:lang w:val="lt-LT"/>
        </w:rPr>
        <w:t xml:space="preserve"> lygmeniu</w:t>
      </w:r>
      <w:r w:rsidR="00CE3660" w:rsidRPr="00B77598">
        <w:rPr>
          <w:i/>
          <w:sz w:val="26"/>
          <w:szCs w:val="26"/>
          <w:lang w:val="lt-LT"/>
        </w:rPr>
        <w:t>,</w:t>
      </w:r>
      <w:r w:rsidRPr="00B77598">
        <w:rPr>
          <w:i/>
          <w:sz w:val="26"/>
          <w:szCs w:val="26"/>
          <w:lang w:val="lt-LT"/>
        </w:rPr>
        <w:t xml:space="preserve"> </w:t>
      </w:r>
      <w:r w:rsidR="00677441" w:rsidRPr="00B77598">
        <w:rPr>
          <w:i/>
          <w:sz w:val="26"/>
          <w:szCs w:val="26"/>
          <w:lang w:val="lt-LT"/>
        </w:rPr>
        <w:t xml:space="preserve">o ne </w:t>
      </w:r>
      <w:r w:rsidR="00B84E43" w:rsidRPr="00B77598">
        <w:rPr>
          <w:i/>
          <w:sz w:val="26"/>
          <w:szCs w:val="26"/>
          <w:lang w:val="lt-LT"/>
        </w:rPr>
        <w:t>atskir</w:t>
      </w:r>
      <w:r w:rsidR="00677441" w:rsidRPr="00B77598">
        <w:rPr>
          <w:i/>
          <w:sz w:val="26"/>
          <w:szCs w:val="26"/>
          <w:lang w:val="lt-LT"/>
        </w:rPr>
        <w:t>ų</w:t>
      </w:r>
      <w:r w:rsidR="00B84E43" w:rsidRPr="00B77598">
        <w:rPr>
          <w:i/>
          <w:sz w:val="26"/>
          <w:szCs w:val="26"/>
          <w:lang w:val="lt-LT"/>
        </w:rPr>
        <w:t xml:space="preserve"> įgimt</w:t>
      </w:r>
      <w:r w:rsidR="00036497" w:rsidRPr="00B77598">
        <w:rPr>
          <w:i/>
          <w:sz w:val="26"/>
          <w:szCs w:val="26"/>
          <w:lang w:val="lt-LT"/>
        </w:rPr>
        <w:t>os</w:t>
      </w:r>
      <w:r w:rsidR="00B84E43" w:rsidRPr="00B77598">
        <w:rPr>
          <w:i/>
          <w:sz w:val="26"/>
          <w:szCs w:val="26"/>
          <w:lang w:val="lt-LT"/>
        </w:rPr>
        <w:t xml:space="preserve"> </w:t>
      </w:r>
      <w:r w:rsidRPr="00B77598">
        <w:rPr>
          <w:i/>
          <w:sz w:val="26"/>
          <w:szCs w:val="26"/>
          <w:lang w:val="lt-LT"/>
        </w:rPr>
        <w:t>ir kontrolės rizik</w:t>
      </w:r>
      <w:r w:rsidR="00B84E43" w:rsidRPr="00B77598">
        <w:rPr>
          <w:i/>
          <w:sz w:val="26"/>
          <w:szCs w:val="26"/>
          <w:lang w:val="lt-LT"/>
        </w:rPr>
        <w:t xml:space="preserve">ų </w:t>
      </w:r>
      <w:r w:rsidR="00677441" w:rsidRPr="00B77598">
        <w:rPr>
          <w:i/>
          <w:sz w:val="26"/>
          <w:szCs w:val="26"/>
          <w:lang w:val="lt-LT"/>
        </w:rPr>
        <w:t>vertinimas atliekam</w:t>
      </w:r>
      <w:r w:rsidR="006F77D9" w:rsidRPr="00B77598">
        <w:rPr>
          <w:i/>
          <w:sz w:val="26"/>
          <w:szCs w:val="26"/>
          <w:lang w:val="lt-LT"/>
        </w:rPr>
        <w:t>a</w:t>
      </w:r>
      <w:r w:rsidR="00677441" w:rsidRPr="00B77598">
        <w:rPr>
          <w:i/>
          <w:sz w:val="26"/>
          <w:szCs w:val="26"/>
          <w:lang w:val="lt-LT"/>
        </w:rPr>
        <w:t>s</w:t>
      </w:r>
      <w:r w:rsidR="003F1835" w:rsidRPr="00B77598">
        <w:rPr>
          <w:i/>
          <w:sz w:val="26"/>
          <w:szCs w:val="26"/>
          <w:lang w:val="lt-LT"/>
        </w:rPr>
        <w:t xml:space="preserve">, kai audituojamos įmonės kontrolės procedūros yra skirtos </w:t>
      </w:r>
      <w:r w:rsidR="003F1835" w:rsidRPr="00B77598">
        <w:rPr>
          <w:i/>
          <w:color w:val="000000" w:themeColor="text1"/>
          <w:sz w:val="26"/>
          <w:szCs w:val="26"/>
          <w:lang w:val="lt-LT"/>
        </w:rPr>
        <w:t>sumažinti finansinių ataskaitų elementui būdingą įgimtą riziką.</w:t>
      </w:r>
    </w:p>
    <w:p w:rsidR="00C35FE9" w:rsidRPr="00B77598" w:rsidRDefault="00274663" w:rsidP="00274663">
      <w:pPr>
        <w:pStyle w:val="NormalWeb"/>
        <w:spacing w:before="0" w:beforeAutospacing="0" w:after="0" w:afterAutospacing="0" w:line="360" w:lineRule="auto"/>
        <w:ind w:firstLine="709"/>
        <w:jc w:val="both"/>
        <w:rPr>
          <w:i/>
          <w:sz w:val="26"/>
          <w:szCs w:val="26"/>
          <w:lang w:val="lt-LT"/>
        </w:rPr>
      </w:pPr>
      <w:r w:rsidRPr="00B77598">
        <w:rPr>
          <w:i/>
          <w:sz w:val="26"/>
          <w:szCs w:val="26"/>
          <w:lang w:val="lt-LT"/>
        </w:rPr>
        <w:t>H</w:t>
      </w:r>
      <w:r w:rsidR="00E33821" w:rsidRPr="00B77598">
        <w:rPr>
          <w:i/>
          <w:sz w:val="26"/>
          <w:szCs w:val="26"/>
          <w:vertAlign w:val="subscript"/>
          <w:lang w:val="lt-LT"/>
        </w:rPr>
        <w:t>3</w:t>
      </w:r>
      <w:r w:rsidRPr="00B77598">
        <w:rPr>
          <w:i/>
          <w:sz w:val="26"/>
          <w:szCs w:val="26"/>
          <w:lang w:val="lt-LT"/>
        </w:rPr>
        <w:t>: atsižvelg</w:t>
      </w:r>
      <w:r w:rsidR="00677441" w:rsidRPr="00B77598">
        <w:rPr>
          <w:i/>
          <w:sz w:val="26"/>
          <w:szCs w:val="26"/>
          <w:lang w:val="lt-LT"/>
        </w:rPr>
        <w:t>iama</w:t>
      </w:r>
      <w:r w:rsidRPr="00B77598">
        <w:rPr>
          <w:i/>
          <w:sz w:val="26"/>
          <w:szCs w:val="26"/>
          <w:lang w:val="lt-LT"/>
        </w:rPr>
        <w:t xml:space="preserve"> į atvirkštinę priklausomybę tarp reikšmingo iškraipymo rizikos </w:t>
      </w:r>
      <w:r w:rsidR="00E33821" w:rsidRPr="00B77598">
        <w:rPr>
          <w:i/>
          <w:sz w:val="26"/>
          <w:szCs w:val="26"/>
          <w:lang w:val="lt-LT"/>
        </w:rPr>
        <w:t xml:space="preserve">tvirtinimo lygmeniu </w:t>
      </w:r>
      <w:r w:rsidR="00C35FE9" w:rsidRPr="00B77598">
        <w:rPr>
          <w:i/>
          <w:sz w:val="26"/>
          <w:szCs w:val="26"/>
          <w:lang w:val="lt-LT"/>
        </w:rPr>
        <w:t>ir aptikimo rizikos.</w:t>
      </w:r>
    </w:p>
    <w:p w:rsidR="00B84E43" w:rsidRPr="00B77598" w:rsidRDefault="00E33821" w:rsidP="00443E3E">
      <w:pPr>
        <w:pStyle w:val="NormalWeb"/>
        <w:spacing w:before="0" w:beforeAutospacing="0" w:after="0" w:afterAutospacing="0" w:line="360" w:lineRule="auto"/>
        <w:ind w:firstLine="709"/>
        <w:jc w:val="both"/>
        <w:rPr>
          <w:sz w:val="26"/>
          <w:szCs w:val="26"/>
          <w:lang w:val="lt-LT"/>
        </w:rPr>
      </w:pPr>
      <w:r w:rsidRPr="00B77598">
        <w:rPr>
          <w:sz w:val="26"/>
          <w:szCs w:val="26"/>
          <w:lang w:val="lt-LT"/>
        </w:rPr>
        <w:t xml:space="preserve">Be to, </w:t>
      </w:r>
      <w:r w:rsidR="00ED403F">
        <w:rPr>
          <w:sz w:val="26"/>
          <w:szCs w:val="26"/>
          <w:lang w:val="lt-LT"/>
        </w:rPr>
        <w:t xml:space="preserve">būtina </w:t>
      </w:r>
      <w:r w:rsidR="00964312" w:rsidRPr="00B77598">
        <w:rPr>
          <w:sz w:val="26"/>
          <w:szCs w:val="26"/>
          <w:lang w:val="lt-LT"/>
        </w:rPr>
        <w:t>nustatyti,</w:t>
      </w:r>
      <w:r w:rsidR="00883B8E" w:rsidRPr="00B77598">
        <w:rPr>
          <w:sz w:val="26"/>
          <w:szCs w:val="26"/>
          <w:lang w:val="lt-LT"/>
        </w:rPr>
        <w:t xml:space="preserve"> </w:t>
      </w:r>
      <w:r w:rsidR="00036497" w:rsidRPr="00B77598">
        <w:rPr>
          <w:sz w:val="26"/>
          <w:szCs w:val="26"/>
          <w:lang w:val="lt-LT"/>
        </w:rPr>
        <w:t>ar</w:t>
      </w:r>
      <w:r w:rsidR="00B84E43" w:rsidRPr="00B77598">
        <w:rPr>
          <w:sz w:val="26"/>
          <w:szCs w:val="26"/>
          <w:lang w:val="lt-LT"/>
        </w:rPr>
        <w:t xml:space="preserve"> </w:t>
      </w:r>
      <w:r w:rsidR="00036497" w:rsidRPr="00B77598">
        <w:rPr>
          <w:sz w:val="26"/>
          <w:szCs w:val="26"/>
          <w:lang w:val="lt-LT"/>
        </w:rPr>
        <w:t xml:space="preserve">yra </w:t>
      </w:r>
      <w:r w:rsidR="00B84E43" w:rsidRPr="00B77598">
        <w:rPr>
          <w:sz w:val="26"/>
          <w:szCs w:val="26"/>
          <w:lang w:val="lt-LT"/>
        </w:rPr>
        <w:t>kontroliuojamas bendras</w:t>
      </w:r>
      <w:r w:rsidR="00443E3E" w:rsidRPr="00B77598">
        <w:rPr>
          <w:sz w:val="26"/>
          <w:szCs w:val="26"/>
          <w:lang w:val="lt-LT"/>
        </w:rPr>
        <w:t xml:space="preserve"> audito rizikos lygi</w:t>
      </w:r>
      <w:r w:rsidR="00B84E43" w:rsidRPr="00B77598">
        <w:rPr>
          <w:sz w:val="26"/>
          <w:szCs w:val="26"/>
          <w:lang w:val="lt-LT"/>
        </w:rPr>
        <w:t xml:space="preserve">s atsižvelgiant į pasiektus </w:t>
      </w:r>
      <w:r w:rsidRPr="00B77598">
        <w:rPr>
          <w:sz w:val="26"/>
          <w:szCs w:val="26"/>
          <w:lang w:val="lt-LT"/>
        </w:rPr>
        <w:t xml:space="preserve">audito rizikos </w:t>
      </w:r>
      <w:r w:rsidR="0025194A" w:rsidRPr="00B77598">
        <w:rPr>
          <w:sz w:val="26"/>
          <w:szCs w:val="26"/>
          <w:lang w:val="lt-LT"/>
        </w:rPr>
        <w:t>tvirtinimo</w:t>
      </w:r>
      <w:r w:rsidR="00B84E43" w:rsidRPr="00B77598">
        <w:rPr>
          <w:sz w:val="26"/>
          <w:szCs w:val="26"/>
          <w:lang w:val="lt-LT"/>
        </w:rPr>
        <w:t xml:space="preserve"> lygmeniu </w:t>
      </w:r>
      <w:r w:rsidR="00443E3E" w:rsidRPr="00B77598">
        <w:rPr>
          <w:sz w:val="26"/>
          <w:szCs w:val="26"/>
          <w:lang w:val="lt-LT"/>
        </w:rPr>
        <w:t>vertinim</w:t>
      </w:r>
      <w:r w:rsidR="00036497" w:rsidRPr="00B77598">
        <w:rPr>
          <w:sz w:val="26"/>
          <w:szCs w:val="26"/>
          <w:lang w:val="lt-LT"/>
        </w:rPr>
        <w:t>us, todėl š</w:t>
      </w:r>
      <w:r w:rsidR="00661232" w:rsidRPr="00B77598">
        <w:rPr>
          <w:sz w:val="26"/>
          <w:szCs w:val="26"/>
          <w:lang w:val="lt-LT"/>
        </w:rPr>
        <w:t xml:space="preserve">į </w:t>
      </w:r>
      <w:r w:rsidR="00036497" w:rsidRPr="00B77598">
        <w:rPr>
          <w:sz w:val="26"/>
          <w:szCs w:val="26"/>
          <w:lang w:val="lt-LT"/>
        </w:rPr>
        <w:t xml:space="preserve">teiginį patvirtinanti hipotezė </w:t>
      </w:r>
      <w:r w:rsidR="00677441" w:rsidRPr="00B77598">
        <w:rPr>
          <w:sz w:val="26"/>
          <w:szCs w:val="26"/>
          <w:lang w:val="lt-LT"/>
        </w:rPr>
        <w:t>būtų tokia</w:t>
      </w:r>
      <w:r w:rsidR="00036497" w:rsidRPr="00B77598">
        <w:rPr>
          <w:sz w:val="26"/>
          <w:szCs w:val="26"/>
          <w:lang w:val="lt-LT"/>
        </w:rPr>
        <w:t>:</w:t>
      </w:r>
    </w:p>
    <w:p w:rsidR="00443E3E" w:rsidRPr="00B77598" w:rsidRDefault="00036497" w:rsidP="00443E3E">
      <w:pPr>
        <w:pStyle w:val="NormalWeb"/>
        <w:spacing w:before="0" w:beforeAutospacing="0" w:after="0" w:afterAutospacing="0" w:line="360" w:lineRule="auto"/>
        <w:ind w:firstLine="709"/>
        <w:jc w:val="both"/>
        <w:rPr>
          <w:i/>
          <w:sz w:val="26"/>
          <w:szCs w:val="26"/>
          <w:lang w:val="lt-LT"/>
        </w:rPr>
      </w:pPr>
      <w:r w:rsidRPr="00B77598">
        <w:rPr>
          <w:i/>
          <w:sz w:val="26"/>
          <w:szCs w:val="26"/>
          <w:lang w:val="lt-LT"/>
        </w:rPr>
        <w:t>H</w:t>
      </w:r>
      <w:r w:rsidR="00E33821" w:rsidRPr="00B77598">
        <w:rPr>
          <w:i/>
          <w:sz w:val="26"/>
          <w:szCs w:val="26"/>
          <w:vertAlign w:val="subscript"/>
          <w:lang w:val="lt-LT"/>
        </w:rPr>
        <w:t>4</w:t>
      </w:r>
      <w:r w:rsidRPr="00B77598">
        <w:rPr>
          <w:i/>
          <w:sz w:val="26"/>
          <w:szCs w:val="26"/>
          <w:lang w:val="lt-LT"/>
        </w:rPr>
        <w:t>:</w:t>
      </w:r>
      <w:r w:rsidRPr="00B77598">
        <w:rPr>
          <w:sz w:val="26"/>
          <w:szCs w:val="26"/>
          <w:lang w:val="lt-LT"/>
        </w:rPr>
        <w:t xml:space="preserve"> </w:t>
      </w:r>
      <w:r w:rsidRPr="00B77598">
        <w:rPr>
          <w:i/>
          <w:sz w:val="26"/>
          <w:szCs w:val="26"/>
          <w:lang w:val="lt-LT"/>
        </w:rPr>
        <w:t>audito pabaigoje įvertinamas bendras</w:t>
      </w:r>
      <w:r w:rsidR="00D7325F" w:rsidRPr="00B77598">
        <w:rPr>
          <w:i/>
          <w:sz w:val="26"/>
          <w:szCs w:val="26"/>
          <w:lang w:val="lt-LT"/>
        </w:rPr>
        <w:t xml:space="preserve"> </w:t>
      </w:r>
      <w:r w:rsidRPr="00B77598">
        <w:rPr>
          <w:i/>
          <w:sz w:val="26"/>
          <w:szCs w:val="26"/>
          <w:lang w:val="lt-LT"/>
        </w:rPr>
        <w:t xml:space="preserve">audito rizikos lygis atsižvelgiant į </w:t>
      </w:r>
      <w:r w:rsidR="0025194A" w:rsidRPr="00B77598">
        <w:rPr>
          <w:i/>
          <w:sz w:val="26"/>
          <w:szCs w:val="26"/>
          <w:lang w:val="lt-LT"/>
        </w:rPr>
        <w:t>tvirtinimo</w:t>
      </w:r>
      <w:r w:rsidRPr="00B77598">
        <w:rPr>
          <w:i/>
          <w:sz w:val="26"/>
          <w:szCs w:val="26"/>
          <w:lang w:val="lt-LT"/>
        </w:rPr>
        <w:t xml:space="preserve"> lygmeniu pasiektus audito rizikos </w:t>
      </w:r>
      <w:r w:rsidR="00443E3E" w:rsidRPr="00B77598">
        <w:rPr>
          <w:i/>
          <w:sz w:val="26"/>
          <w:szCs w:val="26"/>
          <w:lang w:val="lt-LT"/>
        </w:rPr>
        <w:t xml:space="preserve">vertinimus. </w:t>
      </w:r>
    </w:p>
    <w:p w:rsidR="002733E0" w:rsidRPr="00B77598" w:rsidRDefault="002733E0" w:rsidP="00443E3E">
      <w:pPr>
        <w:pStyle w:val="NormalWeb"/>
        <w:spacing w:before="0" w:beforeAutospacing="0" w:after="0" w:afterAutospacing="0" w:line="360" w:lineRule="auto"/>
        <w:ind w:firstLine="709"/>
        <w:jc w:val="both"/>
        <w:rPr>
          <w:sz w:val="26"/>
          <w:szCs w:val="26"/>
          <w:lang w:val="lt-LT"/>
        </w:rPr>
      </w:pPr>
      <w:r w:rsidRPr="00B77598">
        <w:rPr>
          <w:sz w:val="26"/>
          <w:szCs w:val="26"/>
          <w:lang w:val="lt-LT"/>
        </w:rPr>
        <w:lastRenderedPageBreak/>
        <w:t>Nepaisant nurodytų empirinio tikrinimo apribojimų, darbo autorės audito rizikos vertinimo modelio</w:t>
      </w:r>
      <w:r w:rsidR="00FA36A7" w:rsidRPr="00B77598">
        <w:rPr>
          <w:sz w:val="26"/>
          <w:szCs w:val="26"/>
          <w:lang w:val="lt-LT"/>
        </w:rPr>
        <w:t xml:space="preserve"> patikrinimas praktikoje yra patikimas ir galima teigti, kad atspindi faktinę situaciją, todėl yra naudingas moksliniu bei praktiniu požiūriu.</w:t>
      </w:r>
    </w:p>
    <w:p w:rsidR="006F7A98" w:rsidRPr="00B77598" w:rsidRDefault="0026194A" w:rsidP="00A4767C">
      <w:pPr>
        <w:pStyle w:val="NormalWeb"/>
        <w:spacing w:before="240" w:beforeAutospacing="0" w:after="0" w:afterAutospacing="0" w:line="360" w:lineRule="auto"/>
        <w:ind w:firstLine="720"/>
        <w:jc w:val="both"/>
        <w:rPr>
          <w:i/>
          <w:sz w:val="26"/>
          <w:szCs w:val="26"/>
          <w:lang w:val="lt-LT"/>
        </w:rPr>
      </w:pPr>
      <w:r w:rsidRPr="00B77598">
        <w:rPr>
          <w:i/>
          <w:sz w:val="26"/>
          <w:szCs w:val="26"/>
          <w:lang w:val="lt-LT"/>
        </w:rPr>
        <w:t>Antrojoje disertacijos dalyje</w:t>
      </w:r>
      <w:r w:rsidR="00145500" w:rsidRPr="00B77598">
        <w:rPr>
          <w:i/>
          <w:sz w:val="26"/>
          <w:szCs w:val="26"/>
          <w:lang w:val="lt-LT"/>
        </w:rPr>
        <w:t xml:space="preserve"> išspręstas vienas svarbiausių tyrimo uždavinių – sudaryti darbo autorės siūlomą audito rizikos vertinimo modelį. </w:t>
      </w:r>
      <w:r w:rsidR="006F7A98" w:rsidRPr="00B77598">
        <w:rPr>
          <w:i/>
          <w:sz w:val="26"/>
          <w:szCs w:val="26"/>
          <w:lang w:val="lt-LT"/>
        </w:rPr>
        <w:t xml:space="preserve">Tam, kad audito rizikos vertinimo modelis, būtų pagrįstas teoriniais (mokslo darbuose aptariamais) ir praktiniais (auditorių patirties) audito rizikos vertinimo tyrimais, </w:t>
      </w:r>
      <w:r w:rsidR="00E94EFF" w:rsidRPr="00B77598">
        <w:rPr>
          <w:i/>
          <w:sz w:val="26"/>
          <w:szCs w:val="26"/>
          <w:lang w:val="lt-LT"/>
        </w:rPr>
        <w:t xml:space="preserve">buvo atliktas audito rizikos vertinimo modelio poreikio tyrimas, apklausiant Lietuvos auditorius, dirbančius audito įmonėse. Poreikio tyrimo rezultatai </w:t>
      </w:r>
      <w:r w:rsidR="006F7A98" w:rsidRPr="00B77598">
        <w:rPr>
          <w:i/>
          <w:sz w:val="26"/>
          <w:szCs w:val="26"/>
          <w:lang w:val="lt-LT"/>
        </w:rPr>
        <w:t xml:space="preserve">patvirtino audito rizikos vertinimo svarbą atliekant auditą ir nurodė, kad auditoriai susiduria su sunkumais vertindami audito riziką, todėl </w:t>
      </w:r>
      <w:r w:rsidR="00152F54">
        <w:rPr>
          <w:i/>
          <w:sz w:val="26"/>
          <w:szCs w:val="26"/>
          <w:lang w:val="lt-LT"/>
        </w:rPr>
        <w:t xml:space="preserve">išsiaiškintos </w:t>
      </w:r>
      <w:r w:rsidR="006F7A98" w:rsidRPr="00B77598">
        <w:rPr>
          <w:i/>
          <w:sz w:val="26"/>
          <w:szCs w:val="26"/>
          <w:lang w:val="lt-LT"/>
        </w:rPr>
        <w:t>audito rizikos vertinimo modelio p</w:t>
      </w:r>
      <w:r w:rsidR="00152F54">
        <w:rPr>
          <w:i/>
          <w:sz w:val="26"/>
          <w:szCs w:val="26"/>
          <w:lang w:val="lt-LT"/>
        </w:rPr>
        <w:t xml:space="preserve">ritaikymui praktikoje būtinos </w:t>
      </w:r>
      <w:r w:rsidR="006F7A98" w:rsidRPr="00B77598">
        <w:rPr>
          <w:i/>
          <w:sz w:val="26"/>
          <w:szCs w:val="26"/>
          <w:lang w:val="lt-LT"/>
        </w:rPr>
        <w:t>sąlygos.</w:t>
      </w:r>
    </w:p>
    <w:p w:rsidR="00554061" w:rsidRPr="00B77598" w:rsidRDefault="006F7A98" w:rsidP="006F7A98">
      <w:pPr>
        <w:pStyle w:val="ListParagraph"/>
        <w:tabs>
          <w:tab w:val="left" w:pos="0"/>
          <w:tab w:val="left" w:pos="1134"/>
        </w:tabs>
        <w:spacing w:line="360" w:lineRule="auto"/>
        <w:ind w:left="0" w:firstLine="720"/>
        <w:jc w:val="both"/>
        <w:rPr>
          <w:i/>
          <w:sz w:val="26"/>
          <w:szCs w:val="26"/>
          <w:lang w:val="lt-LT"/>
        </w:rPr>
      </w:pPr>
      <w:r w:rsidRPr="00B77598">
        <w:rPr>
          <w:i/>
          <w:sz w:val="26"/>
          <w:szCs w:val="26"/>
          <w:lang w:val="lt-LT"/>
        </w:rPr>
        <w:t xml:space="preserve">Darbo autorės sudarytas audito rizikos vertinimo modelis, susideda iš audito rizikos vertinimo </w:t>
      </w:r>
      <w:r w:rsidR="003E21A2">
        <w:rPr>
          <w:i/>
          <w:sz w:val="26"/>
          <w:szCs w:val="26"/>
          <w:lang w:val="lt-LT"/>
        </w:rPr>
        <w:t xml:space="preserve">modelio </w:t>
      </w:r>
      <w:r w:rsidRPr="00B77598">
        <w:rPr>
          <w:i/>
          <w:sz w:val="26"/>
          <w:szCs w:val="26"/>
          <w:lang w:val="lt-LT"/>
        </w:rPr>
        <w:t xml:space="preserve">struktūrogramos, audito rizikos komponentų </w:t>
      </w:r>
      <w:r w:rsidR="00B62015">
        <w:rPr>
          <w:i/>
          <w:sz w:val="26"/>
          <w:szCs w:val="26"/>
          <w:lang w:val="lt-LT"/>
        </w:rPr>
        <w:t>įvertinimo</w:t>
      </w:r>
      <w:r w:rsidRPr="00B77598">
        <w:rPr>
          <w:i/>
          <w:sz w:val="26"/>
          <w:szCs w:val="26"/>
          <w:lang w:val="lt-LT"/>
        </w:rPr>
        <w:t xml:space="preserve"> skalės ir audito rizikos vertinimo schemos. </w:t>
      </w:r>
    </w:p>
    <w:p w:rsidR="00554061" w:rsidRPr="00BD7307" w:rsidRDefault="00554061" w:rsidP="006F7A98">
      <w:pPr>
        <w:pStyle w:val="ListParagraph"/>
        <w:tabs>
          <w:tab w:val="left" w:pos="0"/>
          <w:tab w:val="left" w:pos="1134"/>
        </w:tabs>
        <w:spacing w:line="360" w:lineRule="auto"/>
        <w:ind w:left="0" w:firstLine="720"/>
        <w:jc w:val="both"/>
        <w:rPr>
          <w:i/>
          <w:sz w:val="26"/>
          <w:szCs w:val="26"/>
          <w:lang w:val="lt-LT"/>
        </w:rPr>
      </w:pPr>
      <w:r w:rsidRPr="00B77598">
        <w:rPr>
          <w:i/>
          <w:sz w:val="26"/>
          <w:szCs w:val="26"/>
          <w:lang w:val="lt-LT"/>
        </w:rPr>
        <w:t>A</w:t>
      </w:r>
      <w:r w:rsidR="00F07982" w:rsidRPr="00B77598">
        <w:rPr>
          <w:i/>
          <w:sz w:val="26"/>
          <w:szCs w:val="26"/>
          <w:lang w:val="lt-LT"/>
        </w:rPr>
        <w:t xml:space="preserve">udito rizikos </w:t>
      </w:r>
      <w:r w:rsidR="00845BD6">
        <w:rPr>
          <w:i/>
          <w:sz w:val="26"/>
          <w:szCs w:val="26"/>
          <w:lang w:val="lt-LT"/>
        </w:rPr>
        <w:t xml:space="preserve">vertinimo modelio </w:t>
      </w:r>
      <w:r w:rsidR="00F07982" w:rsidRPr="00B77598">
        <w:rPr>
          <w:i/>
          <w:sz w:val="26"/>
          <w:szCs w:val="26"/>
          <w:lang w:val="lt-LT"/>
        </w:rPr>
        <w:t>struktūrograma išskiria pagrindinius audito rizikos vertinimo modelio elementus: 1) audito rizikos sąlygas (audituojamos įmonės išorės aplinkos, audituojamos įmonės vid</w:t>
      </w:r>
      <w:r w:rsidR="008E4A5A">
        <w:rPr>
          <w:i/>
          <w:sz w:val="26"/>
          <w:szCs w:val="26"/>
          <w:lang w:val="lt-LT"/>
        </w:rPr>
        <w:t>aus</w:t>
      </w:r>
      <w:r w:rsidR="00F07982" w:rsidRPr="00B77598">
        <w:rPr>
          <w:i/>
          <w:sz w:val="26"/>
          <w:szCs w:val="26"/>
          <w:lang w:val="lt-LT"/>
        </w:rPr>
        <w:t xml:space="preserve"> aplinkos ir audito sąlyg</w:t>
      </w:r>
      <w:r w:rsidR="0026194A" w:rsidRPr="00B77598">
        <w:rPr>
          <w:i/>
          <w:sz w:val="26"/>
          <w:szCs w:val="26"/>
          <w:lang w:val="lt-LT"/>
        </w:rPr>
        <w:t>a</w:t>
      </w:r>
      <w:r w:rsidR="00F07982" w:rsidRPr="00B77598">
        <w:rPr>
          <w:i/>
          <w:sz w:val="26"/>
          <w:szCs w:val="26"/>
          <w:lang w:val="lt-LT"/>
        </w:rPr>
        <w:t>s); 2)</w:t>
      </w:r>
      <w:r w:rsidR="00601B86">
        <w:rPr>
          <w:i/>
          <w:sz w:val="26"/>
          <w:szCs w:val="26"/>
          <w:lang w:val="lt-LT"/>
        </w:rPr>
        <w:t> </w:t>
      </w:r>
      <w:r w:rsidR="00F07982" w:rsidRPr="00B77598">
        <w:rPr>
          <w:i/>
          <w:sz w:val="26"/>
          <w:szCs w:val="26"/>
          <w:lang w:val="lt-LT"/>
        </w:rPr>
        <w:t>audito rizikos komponentus (reikšmingo iškraipymo rizik</w:t>
      </w:r>
      <w:r w:rsidR="0026194A" w:rsidRPr="00B77598">
        <w:rPr>
          <w:i/>
          <w:sz w:val="26"/>
          <w:szCs w:val="26"/>
          <w:lang w:val="lt-LT"/>
        </w:rPr>
        <w:t>ą</w:t>
      </w:r>
      <w:r w:rsidR="00F07982" w:rsidRPr="00B77598">
        <w:rPr>
          <w:i/>
          <w:sz w:val="26"/>
          <w:szCs w:val="26"/>
          <w:lang w:val="lt-LT"/>
        </w:rPr>
        <w:t xml:space="preserve"> ir aptikimo rizik</w:t>
      </w:r>
      <w:r w:rsidR="0026194A" w:rsidRPr="00B77598">
        <w:rPr>
          <w:i/>
          <w:sz w:val="26"/>
          <w:szCs w:val="26"/>
          <w:lang w:val="lt-LT"/>
        </w:rPr>
        <w:t>ą</w:t>
      </w:r>
      <w:r w:rsidR="00DC5C7F" w:rsidRPr="00B77598">
        <w:rPr>
          <w:i/>
          <w:sz w:val="26"/>
          <w:szCs w:val="26"/>
          <w:lang w:val="lt-LT"/>
        </w:rPr>
        <w:t>), pasireiškiančius skirtingais lygmenimis</w:t>
      </w:r>
      <w:r w:rsidR="00F07982" w:rsidRPr="00B77598">
        <w:rPr>
          <w:i/>
          <w:sz w:val="26"/>
          <w:szCs w:val="26"/>
          <w:lang w:val="lt-LT"/>
        </w:rPr>
        <w:t>; 3) audito rizikos vertinimo procesą audito metu</w:t>
      </w:r>
      <w:r w:rsidR="00DC5C7F" w:rsidRPr="00B77598">
        <w:rPr>
          <w:i/>
          <w:sz w:val="26"/>
          <w:szCs w:val="26"/>
          <w:lang w:val="lt-LT"/>
        </w:rPr>
        <w:t>, įskaitant ir grįžtamuosius ryšius iš ankstesnių audito etapų/veiksmų</w:t>
      </w:r>
      <w:r w:rsidR="00F07982" w:rsidRPr="00B77598">
        <w:rPr>
          <w:i/>
          <w:sz w:val="26"/>
          <w:szCs w:val="26"/>
          <w:lang w:val="lt-LT"/>
        </w:rPr>
        <w:t>.</w:t>
      </w:r>
      <w:r w:rsidR="00E45203" w:rsidRPr="00B77598">
        <w:rPr>
          <w:i/>
          <w:sz w:val="26"/>
          <w:szCs w:val="26"/>
          <w:lang w:val="lt-LT"/>
        </w:rPr>
        <w:t xml:space="preserve"> T</w:t>
      </w:r>
      <w:r w:rsidR="00E45203" w:rsidRPr="00BD7307">
        <w:rPr>
          <w:i/>
          <w:sz w:val="26"/>
          <w:szCs w:val="26"/>
          <w:lang w:val="lt-LT"/>
        </w:rPr>
        <w:t xml:space="preserve">aip </w:t>
      </w:r>
      <w:r w:rsidR="00845BD6" w:rsidRPr="00BD7307">
        <w:rPr>
          <w:i/>
          <w:sz w:val="26"/>
          <w:szCs w:val="26"/>
          <w:lang w:val="lt-LT"/>
        </w:rPr>
        <w:t>ši</w:t>
      </w:r>
      <w:r w:rsidR="00E45203" w:rsidRPr="00BD7307">
        <w:rPr>
          <w:i/>
          <w:sz w:val="26"/>
          <w:szCs w:val="26"/>
          <w:lang w:val="lt-LT"/>
        </w:rPr>
        <w:t xml:space="preserve"> struktūrograma atspindi audito rizikos vertinimo eigą audito procese,</w:t>
      </w:r>
      <w:r w:rsidR="00EC4123" w:rsidRPr="00BD7307">
        <w:rPr>
          <w:i/>
          <w:sz w:val="26"/>
          <w:szCs w:val="26"/>
          <w:lang w:val="lt-LT"/>
        </w:rPr>
        <w:t xml:space="preserve"> </w:t>
      </w:r>
      <w:r w:rsidR="0055442C" w:rsidRPr="00BD7307">
        <w:rPr>
          <w:i/>
          <w:sz w:val="26"/>
          <w:szCs w:val="26"/>
          <w:lang w:val="lt-LT"/>
        </w:rPr>
        <w:t xml:space="preserve">o audito rizikos ir jos komponentų vertinimo </w:t>
      </w:r>
      <w:r w:rsidR="00BD7307">
        <w:rPr>
          <w:i/>
          <w:sz w:val="26"/>
          <w:szCs w:val="26"/>
          <w:lang w:val="lt-LT"/>
        </w:rPr>
        <w:t xml:space="preserve">klausimai sprendžiami </w:t>
      </w:r>
      <w:r w:rsidR="00E45203" w:rsidRPr="00BD7307">
        <w:rPr>
          <w:i/>
          <w:sz w:val="26"/>
          <w:szCs w:val="26"/>
          <w:lang w:val="lt-LT"/>
        </w:rPr>
        <w:t>darbo autorės s</w:t>
      </w:r>
      <w:r w:rsidR="00BD7307" w:rsidRPr="00BD7307">
        <w:rPr>
          <w:i/>
          <w:sz w:val="26"/>
          <w:szCs w:val="26"/>
          <w:lang w:val="lt-LT"/>
        </w:rPr>
        <w:t>udaryt</w:t>
      </w:r>
      <w:r w:rsidR="00E45203" w:rsidRPr="00BD7307">
        <w:rPr>
          <w:i/>
          <w:sz w:val="26"/>
          <w:szCs w:val="26"/>
          <w:lang w:val="lt-LT"/>
        </w:rPr>
        <w:t xml:space="preserve">oje audito rizikos komponentų </w:t>
      </w:r>
      <w:r w:rsidR="00BD7307" w:rsidRPr="00BD7307">
        <w:rPr>
          <w:i/>
          <w:sz w:val="26"/>
          <w:szCs w:val="26"/>
          <w:lang w:val="lt-LT"/>
        </w:rPr>
        <w:t xml:space="preserve">įvertinimo </w:t>
      </w:r>
      <w:r w:rsidR="00E45203" w:rsidRPr="00BD7307">
        <w:rPr>
          <w:i/>
          <w:sz w:val="26"/>
          <w:szCs w:val="26"/>
          <w:lang w:val="lt-LT"/>
        </w:rPr>
        <w:t>skalėje ir audito rizikos vertinimo schemoje.</w:t>
      </w:r>
      <w:r w:rsidRPr="00BD7307">
        <w:rPr>
          <w:i/>
          <w:sz w:val="26"/>
          <w:szCs w:val="26"/>
          <w:lang w:val="lt-LT"/>
        </w:rPr>
        <w:t xml:space="preserve"> </w:t>
      </w:r>
    </w:p>
    <w:p w:rsidR="00493EE3" w:rsidRPr="00B77598" w:rsidRDefault="00554061" w:rsidP="00AD3B22">
      <w:pPr>
        <w:pStyle w:val="ListParagraph"/>
        <w:tabs>
          <w:tab w:val="left" w:pos="0"/>
          <w:tab w:val="left" w:pos="1134"/>
        </w:tabs>
        <w:spacing w:line="360" w:lineRule="auto"/>
        <w:ind w:left="0" w:firstLine="720"/>
        <w:jc w:val="both"/>
        <w:rPr>
          <w:sz w:val="26"/>
          <w:szCs w:val="26"/>
          <w:lang w:val="lt-LT"/>
        </w:rPr>
      </w:pPr>
      <w:r w:rsidRPr="00B77598">
        <w:rPr>
          <w:i/>
          <w:sz w:val="26"/>
          <w:szCs w:val="26"/>
          <w:lang w:val="lt-LT"/>
        </w:rPr>
        <w:t xml:space="preserve">Audito rizikos komponentų </w:t>
      </w:r>
      <w:r w:rsidR="00BD7307">
        <w:rPr>
          <w:i/>
          <w:sz w:val="26"/>
          <w:szCs w:val="26"/>
          <w:lang w:val="lt-LT"/>
        </w:rPr>
        <w:t xml:space="preserve">įvertinimo </w:t>
      </w:r>
      <w:r w:rsidRPr="00B77598">
        <w:rPr>
          <w:i/>
          <w:sz w:val="26"/>
          <w:szCs w:val="26"/>
          <w:lang w:val="lt-LT"/>
        </w:rPr>
        <w:t xml:space="preserve">skalė </w:t>
      </w:r>
      <w:r w:rsidR="00AD3B22" w:rsidRPr="00B77598">
        <w:rPr>
          <w:i/>
          <w:sz w:val="26"/>
          <w:szCs w:val="26"/>
          <w:lang w:val="lt-LT"/>
        </w:rPr>
        <w:t>atskleidžia</w:t>
      </w:r>
      <w:r w:rsidR="0083095D" w:rsidRPr="00B77598">
        <w:rPr>
          <w:i/>
          <w:sz w:val="26"/>
          <w:szCs w:val="26"/>
          <w:lang w:val="lt-LT"/>
        </w:rPr>
        <w:t>, kada</w:t>
      </w:r>
      <w:r w:rsidR="00AD3B22" w:rsidRPr="00B77598">
        <w:rPr>
          <w:i/>
          <w:sz w:val="26"/>
          <w:szCs w:val="26"/>
          <w:lang w:val="lt-LT"/>
        </w:rPr>
        <w:t xml:space="preserve"> reikšmingo iškraipymo rizik</w:t>
      </w:r>
      <w:r w:rsidR="0083095D" w:rsidRPr="00B77598">
        <w:rPr>
          <w:i/>
          <w:sz w:val="26"/>
          <w:szCs w:val="26"/>
          <w:lang w:val="lt-LT"/>
        </w:rPr>
        <w:t>a</w:t>
      </w:r>
      <w:r w:rsidR="0043542A" w:rsidRPr="00B77598">
        <w:rPr>
          <w:i/>
          <w:sz w:val="26"/>
          <w:szCs w:val="26"/>
          <w:lang w:val="lt-LT"/>
        </w:rPr>
        <w:t xml:space="preserve"> finansinių ataskaitų lygmeniu</w:t>
      </w:r>
      <w:r w:rsidR="00AD3B22" w:rsidRPr="00B77598">
        <w:rPr>
          <w:i/>
          <w:sz w:val="26"/>
          <w:szCs w:val="26"/>
          <w:lang w:val="lt-LT"/>
        </w:rPr>
        <w:t xml:space="preserve"> ir tvirtinimo lygmeniu </w:t>
      </w:r>
      <w:r w:rsidR="00FA36A7" w:rsidRPr="00B77598">
        <w:rPr>
          <w:i/>
          <w:sz w:val="26"/>
          <w:szCs w:val="26"/>
          <w:lang w:val="lt-LT"/>
        </w:rPr>
        <w:t xml:space="preserve">turi </w:t>
      </w:r>
      <w:r w:rsidR="0083095D" w:rsidRPr="00B77598">
        <w:rPr>
          <w:i/>
          <w:sz w:val="26"/>
          <w:szCs w:val="26"/>
          <w:lang w:val="lt-LT"/>
        </w:rPr>
        <w:t xml:space="preserve">būti laikoma kaip „maža“, „vidutinė“ ar „didelė“ priklausomai nuo ją lemiančių </w:t>
      </w:r>
      <w:r w:rsidR="0083095D" w:rsidRPr="00B77598">
        <w:rPr>
          <w:i/>
          <w:sz w:val="26"/>
          <w:szCs w:val="26"/>
          <w:lang w:val="lt-LT"/>
        </w:rPr>
        <w:lastRenderedPageBreak/>
        <w:t>sąlygų pa</w:t>
      </w:r>
      <w:r w:rsidR="0083095D" w:rsidRPr="00A4767C">
        <w:rPr>
          <w:i/>
          <w:sz w:val="26"/>
          <w:szCs w:val="26"/>
          <w:lang w:val="lt-LT"/>
        </w:rPr>
        <w:t xml:space="preserve">sireiškimo pagal darbo autorės </w:t>
      </w:r>
      <w:r w:rsidR="00BD7307" w:rsidRPr="00A4767C">
        <w:rPr>
          <w:i/>
          <w:sz w:val="26"/>
          <w:szCs w:val="26"/>
          <w:lang w:val="lt-LT"/>
        </w:rPr>
        <w:t xml:space="preserve">pasiūlytą </w:t>
      </w:r>
      <w:r w:rsidR="0083095D" w:rsidRPr="00A4767C">
        <w:rPr>
          <w:i/>
          <w:sz w:val="26"/>
          <w:szCs w:val="26"/>
          <w:lang w:val="lt-LT"/>
        </w:rPr>
        <w:t xml:space="preserve">audito rizikos komponentų </w:t>
      </w:r>
      <w:r w:rsidR="00BD7307" w:rsidRPr="00A4767C">
        <w:rPr>
          <w:i/>
          <w:sz w:val="26"/>
          <w:szCs w:val="26"/>
          <w:lang w:val="lt-LT"/>
        </w:rPr>
        <w:t xml:space="preserve">kiekybinio įvertinimo </w:t>
      </w:r>
      <w:r w:rsidR="0083095D" w:rsidRPr="00A4767C">
        <w:rPr>
          <w:i/>
          <w:sz w:val="26"/>
          <w:szCs w:val="26"/>
          <w:lang w:val="lt-LT"/>
        </w:rPr>
        <w:t>metodiką</w:t>
      </w:r>
      <w:r w:rsidR="008B55F1" w:rsidRPr="00A4767C">
        <w:rPr>
          <w:i/>
          <w:sz w:val="26"/>
          <w:szCs w:val="26"/>
          <w:lang w:val="lt-LT"/>
        </w:rPr>
        <w:t>.</w:t>
      </w:r>
      <w:r w:rsidR="00E53FA3" w:rsidRPr="00A4767C">
        <w:rPr>
          <w:i/>
          <w:sz w:val="26"/>
          <w:szCs w:val="26"/>
          <w:lang w:val="lt-LT"/>
        </w:rPr>
        <w:t xml:space="preserve"> </w:t>
      </w:r>
      <w:r w:rsidR="008B55F1" w:rsidRPr="00A4767C">
        <w:rPr>
          <w:i/>
          <w:sz w:val="26"/>
          <w:szCs w:val="26"/>
          <w:lang w:val="lt-LT"/>
        </w:rPr>
        <w:t xml:space="preserve">Atkreiptinas dėmesys, kad ši </w:t>
      </w:r>
      <w:r w:rsidR="00BD7307" w:rsidRPr="00A4767C">
        <w:rPr>
          <w:i/>
          <w:sz w:val="26"/>
          <w:szCs w:val="26"/>
          <w:lang w:val="lt-LT"/>
        </w:rPr>
        <w:t>m</w:t>
      </w:r>
      <w:r w:rsidR="008B55F1" w:rsidRPr="00A4767C">
        <w:rPr>
          <w:i/>
          <w:sz w:val="26"/>
          <w:szCs w:val="26"/>
          <w:lang w:val="lt-LT"/>
        </w:rPr>
        <w:t xml:space="preserve">etodika remiasi </w:t>
      </w:r>
      <w:r w:rsidR="003B0ACA">
        <w:rPr>
          <w:i/>
          <w:sz w:val="26"/>
          <w:szCs w:val="26"/>
          <w:lang w:val="lt-LT"/>
        </w:rPr>
        <w:t xml:space="preserve">sisteminiu </w:t>
      </w:r>
      <w:r w:rsidR="008B55F1" w:rsidRPr="00A4767C">
        <w:rPr>
          <w:i/>
          <w:sz w:val="26"/>
          <w:szCs w:val="26"/>
          <w:lang w:val="lt-LT"/>
        </w:rPr>
        <w:t>požiūriu</w:t>
      </w:r>
      <w:r w:rsidR="00A4767C" w:rsidRPr="00A4767C">
        <w:rPr>
          <w:i/>
          <w:sz w:val="26"/>
          <w:szCs w:val="26"/>
          <w:lang w:val="lt-LT"/>
        </w:rPr>
        <w:t xml:space="preserve"> į audito rizikos vertinimą</w:t>
      </w:r>
      <w:r w:rsidR="00493EE3" w:rsidRPr="00A4767C">
        <w:rPr>
          <w:i/>
          <w:sz w:val="26"/>
          <w:szCs w:val="26"/>
          <w:lang w:val="lt-LT"/>
        </w:rPr>
        <w:t>:</w:t>
      </w:r>
      <w:r w:rsidR="008B55F1" w:rsidRPr="00A4767C">
        <w:rPr>
          <w:i/>
          <w:sz w:val="26"/>
          <w:szCs w:val="26"/>
          <w:lang w:val="lt-LT"/>
        </w:rPr>
        <w:t xml:space="preserve"> pagal </w:t>
      </w:r>
      <w:r w:rsidR="00493EE3" w:rsidRPr="00A4767C">
        <w:rPr>
          <w:i/>
          <w:sz w:val="26"/>
          <w:szCs w:val="26"/>
          <w:lang w:val="lt-LT"/>
        </w:rPr>
        <w:t>jį</w:t>
      </w:r>
      <w:r w:rsidR="008B55F1" w:rsidRPr="00A4767C">
        <w:rPr>
          <w:i/>
          <w:sz w:val="26"/>
          <w:szCs w:val="26"/>
          <w:lang w:val="lt-LT"/>
        </w:rPr>
        <w:t xml:space="preserve"> identifikuojami visi su audito rizikos komponentu susiję veiksniai,</w:t>
      </w:r>
      <w:r w:rsidR="008B55F1" w:rsidRPr="00B77598">
        <w:rPr>
          <w:i/>
          <w:sz w:val="26"/>
          <w:szCs w:val="26"/>
          <w:lang w:val="lt-LT"/>
        </w:rPr>
        <w:t xml:space="preserve"> įvertinama kiekvieno jų pasireiškimo tikimybė ir įtaka, o</w:t>
      </w:r>
      <w:r w:rsidR="005E7CD0" w:rsidRPr="00B77598">
        <w:rPr>
          <w:i/>
          <w:sz w:val="26"/>
          <w:szCs w:val="26"/>
          <w:lang w:val="lt-LT"/>
        </w:rPr>
        <w:t xml:space="preserve"> toliau šie veiksniai vertinami atsižvelgiant į jų svarbą rizikos lygiui.</w:t>
      </w:r>
    </w:p>
    <w:p w:rsidR="002A6D75" w:rsidRPr="00B77598" w:rsidRDefault="004C7EEC" w:rsidP="006F7A98">
      <w:pPr>
        <w:pStyle w:val="ListParagraph"/>
        <w:tabs>
          <w:tab w:val="left" w:pos="0"/>
          <w:tab w:val="left" w:pos="1134"/>
        </w:tabs>
        <w:spacing w:line="360" w:lineRule="auto"/>
        <w:ind w:left="0" w:firstLine="720"/>
        <w:jc w:val="both"/>
        <w:rPr>
          <w:i/>
          <w:sz w:val="26"/>
          <w:szCs w:val="26"/>
          <w:lang w:val="lt-LT"/>
        </w:rPr>
      </w:pPr>
      <w:r w:rsidRPr="00B77598">
        <w:rPr>
          <w:i/>
          <w:sz w:val="26"/>
          <w:szCs w:val="26"/>
          <w:lang w:val="lt-LT"/>
        </w:rPr>
        <w:t xml:space="preserve">Kadangi įvertinant bendrą audito rizikos </w:t>
      </w:r>
      <w:r w:rsidR="00493EE3" w:rsidRPr="00B77598">
        <w:rPr>
          <w:i/>
          <w:sz w:val="26"/>
          <w:szCs w:val="26"/>
          <w:lang w:val="lt-LT"/>
        </w:rPr>
        <w:t>lygį</w:t>
      </w:r>
      <w:r w:rsidRPr="00B77598">
        <w:rPr>
          <w:i/>
          <w:sz w:val="26"/>
          <w:szCs w:val="26"/>
          <w:lang w:val="lt-LT"/>
        </w:rPr>
        <w:t>, turėtų būti atsižvelgiama į tarpusavio ryšius tarp atskirų audito rizikos komponentų</w:t>
      </w:r>
      <w:r w:rsidR="00554061" w:rsidRPr="00B77598">
        <w:rPr>
          <w:i/>
          <w:sz w:val="26"/>
          <w:szCs w:val="26"/>
          <w:lang w:val="lt-LT"/>
        </w:rPr>
        <w:t xml:space="preserve">, </w:t>
      </w:r>
      <w:r w:rsidR="008E0DE7" w:rsidRPr="00B77598">
        <w:rPr>
          <w:i/>
          <w:sz w:val="26"/>
          <w:szCs w:val="26"/>
          <w:lang w:val="lt-LT"/>
        </w:rPr>
        <w:t>sudaryta</w:t>
      </w:r>
      <w:r w:rsidR="00FA36A7" w:rsidRPr="00B77598">
        <w:rPr>
          <w:i/>
          <w:sz w:val="26"/>
          <w:szCs w:val="26"/>
          <w:lang w:val="lt-LT"/>
        </w:rPr>
        <w:t xml:space="preserve"> </w:t>
      </w:r>
      <w:r w:rsidRPr="00B77598">
        <w:rPr>
          <w:i/>
          <w:sz w:val="26"/>
          <w:szCs w:val="26"/>
          <w:lang w:val="lt-LT"/>
        </w:rPr>
        <w:t xml:space="preserve">audito rizikos vertinimo schema. Čia tarpusavio ryšiai tarp audito rizikos komponentų identifikuojami tiek per atskirų audito rizikos komponentų priklausomybės, </w:t>
      </w:r>
      <w:r w:rsidR="0093665B" w:rsidRPr="00B77598">
        <w:rPr>
          <w:i/>
          <w:sz w:val="26"/>
          <w:szCs w:val="26"/>
          <w:lang w:val="lt-LT"/>
        </w:rPr>
        <w:t>tiek per bendrąjį jų vertinimą</w:t>
      </w:r>
      <w:r w:rsidRPr="00B77598">
        <w:rPr>
          <w:i/>
          <w:sz w:val="26"/>
          <w:szCs w:val="26"/>
          <w:lang w:val="lt-LT"/>
        </w:rPr>
        <w:t xml:space="preserve">. </w:t>
      </w:r>
    </w:p>
    <w:p w:rsidR="006F7A98" w:rsidRPr="00B77598" w:rsidRDefault="004C7EEC" w:rsidP="006F7A98">
      <w:pPr>
        <w:pStyle w:val="ListParagraph"/>
        <w:tabs>
          <w:tab w:val="left" w:pos="0"/>
          <w:tab w:val="left" w:pos="1134"/>
        </w:tabs>
        <w:spacing w:line="360" w:lineRule="auto"/>
        <w:ind w:left="0" w:firstLine="720"/>
        <w:jc w:val="both"/>
        <w:rPr>
          <w:i/>
          <w:sz w:val="26"/>
          <w:szCs w:val="26"/>
          <w:lang w:val="lt-LT"/>
        </w:rPr>
      </w:pPr>
      <w:r w:rsidRPr="00B77598">
        <w:rPr>
          <w:i/>
          <w:sz w:val="26"/>
          <w:szCs w:val="26"/>
          <w:lang w:val="lt-LT"/>
        </w:rPr>
        <w:t xml:space="preserve">Atsižvelgiant į tai, galima teigti, kad </w:t>
      </w:r>
      <w:r w:rsidR="00FA36A7" w:rsidRPr="00B77598">
        <w:rPr>
          <w:i/>
          <w:sz w:val="26"/>
          <w:szCs w:val="26"/>
          <w:lang w:val="lt-LT"/>
        </w:rPr>
        <w:t>sudarytas</w:t>
      </w:r>
      <w:r w:rsidRPr="00B77598">
        <w:rPr>
          <w:i/>
          <w:sz w:val="26"/>
          <w:szCs w:val="26"/>
          <w:lang w:val="lt-LT"/>
        </w:rPr>
        <w:t xml:space="preserve"> audito rizikos vertinimo</w:t>
      </w:r>
      <w:r w:rsidR="00EA4362" w:rsidRPr="00B77598">
        <w:rPr>
          <w:i/>
          <w:sz w:val="26"/>
          <w:szCs w:val="26"/>
          <w:lang w:val="lt-LT"/>
        </w:rPr>
        <w:t xml:space="preserve"> modelis </w:t>
      </w:r>
      <w:r w:rsidRPr="00B77598">
        <w:rPr>
          <w:i/>
          <w:sz w:val="26"/>
          <w:szCs w:val="26"/>
          <w:lang w:val="lt-LT"/>
        </w:rPr>
        <w:t xml:space="preserve">atskleidžia svarbiausius audito rizikos ir jos komponentų vertinimo aspektus, kuriuos bus siekiama patikrinti pagal </w:t>
      </w:r>
      <w:r w:rsidR="00EA4362" w:rsidRPr="00B77598">
        <w:rPr>
          <w:i/>
          <w:sz w:val="26"/>
          <w:szCs w:val="26"/>
          <w:lang w:val="lt-LT"/>
        </w:rPr>
        <w:t xml:space="preserve">suformuluotas </w:t>
      </w:r>
      <w:r w:rsidRPr="00B77598">
        <w:rPr>
          <w:i/>
          <w:sz w:val="26"/>
          <w:szCs w:val="26"/>
          <w:lang w:val="lt-LT"/>
        </w:rPr>
        <w:t>hipotezes</w:t>
      </w:r>
      <w:r w:rsidR="00EA4362" w:rsidRPr="00B77598">
        <w:rPr>
          <w:i/>
          <w:sz w:val="26"/>
          <w:szCs w:val="26"/>
          <w:lang w:val="lt-LT"/>
        </w:rPr>
        <w:t xml:space="preserve"> trečiojoje disertacijos dalyje</w:t>
      </w:r>
      <w:r w:rsidRPr="00B77598">
        <w:rPr>
          <w:i/>
          <w:sz w:val="26"/>
          <w:szCs w:val="26"/>
          <w:lang w:val="lt-LT"/>
        </w:rPr>
        <w:t>.</w:t>
      </w:r>
    </w:p>
    <w:p w:rsidR="00673088" w:rsidRDefault="00673088">
      <w:pPr>
        <w:rPr>
          <w:lang w:val="lt-LT"/>
        </w:rPr>
      </w:pPr>
      <w:r>
        <w:rPr>
          <w:lang w:val="lt-LT"/>
        </w:rPr>
        <w:br w:type="page"/>
      </w:r>
    </w:p>
    <w:p w:rsidR="007C6F38" w:rsidRPr="000D3D46" w:rsidRDefault="007C6F38" w:rsidP="007C6F38">
      <w:pPr>
        <w:pStyle w:val="Heading1"/>
        <w:rPr>
          <w:lang w:val="lt-LT"/>
        </w:rPr>
      </w:pPr>
      <w:bookmarkStart w:id="45" w:name="_Toc253244589"/>
      <w:r>
        <w:rPr>
          <w:lang w:val="lt-LT"/>
        </w:rPr>
        <w:lastRenderedPageBreak/>
        <w:t>3</w:t>
      </w:r>
      <w:r w:rsidRPr="000D3D46">
        <w:rPr>
          <w:lang w:val="lt-LT"/>
        </w:rPr>
        <w:t xml:space="preserve">. Audito rizikos vertinimo modelio </w:t>
      </w:r>
      <w:r>
        <w:rPr>
          <w:lang w:val="lt-LT"/>
        </w:rPr>
        <w:t>taikym</w:t>
      </w:r>
      <w:r w:rsidR="00DF2EFF">
        <w:rPr>
          <w:lang w:val="lt-LT"/>
        </w:rPr>
        <w:t>AS</w:t>
      </w:r>
      <w:bookmarkEnd w:id="45"/>
    </w:p>
    <w:p w:rsidR="000C68FA" w:rsidRPr="00601B86" w:rsidRDefault="007C6F38" w:rsidP="000C68FA">
      <w:pPr>
        <w:pStyle w:val="NormalWeb"/>
        <w:spacing w:before="240" w:beforeAutospacing="0" w:after="0" w:afterAutospacing="0" w:line="360" w:lineRule="auto"/>
        <w:ind w:firstLine="720"/>
        <w:jc w:val="both"/>
        <w:rPr>
          <w:sz w:val="26"/>
          <w:szCs w:val="26"/>
          <w:lang w:val="lt-LT"/>
        </w:rPr>
      </w:pPr>
      <w:r w:rsidRPr="00601B86">
        <w:rPr>
          <w:sz w:val="26"/>
          <w:szCs w:val="26"/>
          <w:lang w:val="lt-LT"/>
        </w:rPr>
        <w:t>Ši</w:t>
      </w:r>
      <w:r w:rsidR="00883B8E" w:rsidRPr="00601B86">
        <w:rPr>
          <w:sz w:val="26"/>
          <w:szCs w:val="26"/>
          <w:lang w:val="lt-LT"/>
        </w:rPr>
        <w:t>oje</w:t>
      </w:r>
      <w:r w:rsidRPr="00601B86">
        <w:rPr>
          <w:sz w:val="26"/>
          <w:szCs w:val="26"/>
          <w:lang w:val="lt-LT"/>
        </w:rPr>
        <w:t xml:space="preserve"> disertacijos dal</w:t>
      </w:r>
      <w:r w:rsidR="00D228BF" w:rsidRPr="00601B86">
        <w:rPr>
          <w:sz w:val="26"/>
          <w:szCs w:val="26"/>
          <w:lang w:val="lt-LT"/>
        </w:rPr>
        <w:t xml:space="preserve">yje </w:t>
      </w:r>
      <w:r w:rsidR="00883B8E" w:rsidRPr="00601B86">
        <w:rPr>
          <w:i/>
          <w:sz w:val="26"/>
          <w:szCs w:val="26"/>
          <w:lang w:val="lt-LT"/>
        </w:rPr>
        <w:t>tikrin</w:t>
      </w:r>
      <w:r w:rsidR="00D228BF" w:rsidRPr="00601B86">
        <w:rPr>
          <w:i/>
          <w:sz w:val="26"/>
          <w:szCs w:val="26"/>
          <w:lang w:val="lt-LT"/>
        </w:rPr>
        <w:t xml:space="preserve">amas </w:t>
      </w:r>
      <w:r w:rsidR="00EA0340" w:rsidRPr="00601B86">
        <w:rPr>
          <w:i/>
          <w:sz w:val="26"/>
          <w:szCs w:val="26"/>
          <w:lang w:val="lt-LT"/>
        </w:rPr>
        <w:t xml:space="preserve">darbo </w:t>
      </w:r>
      <w:r w:rsidR="003B0ACA">
        <w:rPr>
          <w:i/>
          <w:sz w:val="26"/>
          <w:szCs w:val="26"/>
          <w:lang w:val="lt-LT"/>
        </w:rPr>
        <w:t xml:space="preserve">autorės </w:t>
      </w:r>
      <w:r w:rsidR="00457E11" w:rsidRPr="00601B86">
        <w:rPr>
          <w:i/>
          <w:sz w:val="26"/>
          <w:szCs w:val="26"/>
          <w:lang w:val="lt-LT"/>
        </w:rPr>
        <w:t>sudarytas</w:t>
      </w:r>
      <w:r w:rsidR="00D228BF" w:rsidRPr="00601B86">
        <w:rPr>
          <w:i/>
          <w:sz w:val="26"/>
          <w:szCs w:val="26"/>
          <w:lang w:val="lt-LT"/>
        </w:rPr>
        <w:t xml:space="preserve"> </w:t>
      </w:r>
      <w:r w:rsidR="00883B8E" w:rsidRPr="00601B86">
        <w:rPr>
          <w:i/>
          <w:sz w:val="26"/>
          <w:szCs w:val="26"/>
          <w:lang w:val="lt-LT"/>
        </w:rPr>
        <w:t>audito rizikos vertinimo model</w:t>
      </w:r>
      <w:r w:rsidR="00D228BF" w:rsidRPr="00601B86">
        <w:rPr>
          <w:i/>
          <w:sz w:val="26"/>
          <w:szCs w:val="26"/>
          <w:lang w:val="lt-LT"/>
        </w:rPr>
        <w:t>is</w:t>
      </w:r>
      <w:r w:rsidR="00883B8E" w:rsidRPr="00601B86">
        <w:rPr>
          <w:sz w:val="26"/>
          <w:szCs w:val="26"/>
          <w:lang w:val="lt-LT"/>
        </w:rPr>
        <w:t xml:space="preserve"> pagal </w:t>
      </w:r>
      <w:r w:rsidR="00D228BF" w:rsidRPr="00601B86">
        <w:rPr>
          <w:sz w:val="26"/>
          <w:szCs w:val="26"/>
          <w:lang w:val="lt-LT"/>
        </w:rPr>
        <w:t>iškeltas</w:t>
      </w:r>
      <w:r w:rsidR="00883B8E" w:rsidRPr="00601B86">
        <w:rPr>
          <w:sz w:val="26"/>
          <w:szCs w:val="26"/>
          <w:lang w:val="lt-LT"/>
        </w:rPr>
        <w:t xml:space="preserve"> </w:t>
      </w:r>
      <w:r w:rsidR="00883B8E" w:rsidRPr="003411E9">
        <w:rPr>
          <w:sz w:val="26"/>
          <w:szCs w:val="26"/>
          <w:lang w:val="lt-LT"/>
        </w:rPr>
        <w:t>hipotezes</w:t>
      </w:r>
      <w:r w:rsidR="00D228BF" w:rsidRPr="003411E9">
        <w:rPr>
          <w:sz w:val="26"/>
          <w:szCs w:val="26"/>
          <w:lang w:val="lt-LT"/>
        </w:rPr>
        <w:t xml:space="preserve"> konkrečių auditų pavyzdžiu</w:t>
      </w:r>
      <w:r w:rsidR="00883B8E" w:rsidRPr="003411E9">
        <w:rPr>
          <w:sz w:val="26"/>
          <w:szCs w:val="26"/>
          <w:lang w:val="lt-LT"/>
        </w:rPr>
        <w:t xml:space="preserve">. </w:t>
      </w:r>
      <w:r w:rsidR="00184742" w:rsidRPr="003411E9">
        <w:rPr>
          <w:sz w:val="26"/>
          <w:szCs w:val="26"/>
          <w:lang w:val="lt-LT"/>
        </w:rPr>
        <w:t>Iškeltos hipotezės, visų pirma, skirtos išsiaiškinti tarpusavio ryšius tarp atskirų audito rizikos komponentų, bei įvertinti, ar yra kontroliuojamas bendras audito rizikos lygis atsižvelgiant į pasiektus tvirtinimo lygmeniu vertinimus. Todėl a</w:t>
      </w:r>
      <w:r w:rsidR="000C68FA" w:rsidRPr="003411E9">
        <w:rPr>
          <w:sz w:val="26"/>
          <w:szCs w:val="26"/>
          <w:lang w:val="lt-LT"/>
        </w:rPr>
        <w:t>udito rizikos vertinimo modelio tikrinimas apsiribo</w:t>
      </w:r>
      <w:r w:rsidR="00184742" w:rsidRPr="003411E9">
        <w:rPr>
          <w:sz w:val="26"/>
          <w:szCs w:val="26"/>
          <w:lang w:val="lt-LT"/>
        </w:rPr>
        <w:t>ja</w:t>
      </w:r>
      <w:r w:rsidR="000C68FA" w:rsidRPr="003411E9">
        <w:rPr>
          <w:sz w:val="26"/>
          <w:szCs w:val="26"/>
          <w:lang w:val="lt-LT"/>
        </w:rPr>
        <w:t xml:space="preserve"> svarbiausiais audito rizikos ir jos komponentų vertinimo aspektais ir </w:t>
      </w:r>
      <w:r w:rsidR="003B0ACA">
        <w:rPr>
          <w:sz w:val="26"/>
          <w:szCs w:val="26"/>
          <w:lang w:val="lt-LT"/>
        </w:rPr>
        <w:t xml:space="preserve">jis neapima </w:t>
      </w:r>
      <w:r w:rsidR="000C68FA" w:rsidRPr="003411E9">
        <w:rPr>
          <w:sz w:val="26"/>
          <w:szCs w:val="26"/>
          <w:lang w:val="lt-LT"/>
        </w:rPr>
        <w:t>konkre</w:t>
      </w:r>
      <w:r w:rsidR="003B0ACA">
        <w:rPr>
          <w:sz w:val="26"/>
          <w:szCs w:val="26"/>
          <w:lang w:val="lt-LT"/>
        </w:rPr>
        <w:t>čių</w:t>
      </w:r>
      <w:r w:rsidR="000C68FA" w:rsidRPr="003411E9">
        <w:rPr>
          <w:sz w:val="26"/>
          <w:szCs w:val="26"/>
          <w:lang w:val="lt-LT"/>
        </w:rPr>
        <w:t xml:space="preserve"> audito procedūrų atlikimo klausim</w:t>
      </w:r>
      <w:r w:rsidR="003B0ACA">
        <w:rPr>
          <w:sz w:val="26"/>
          <w:szCs w:val="26"/>
          <w:lang w:val="lt-LT"/>
        </w:rPr>
        <w:t>ų</w:t>
      </w:r>
      <w:r w:rsidR="000C68FA" w:rsidRPr="003411E9">
        <w:rPr>
          <w:sz w:val="26"/>
          <w:szCs w:val="26"/>
          <w:lang w:val="lt-LT"/>
        </w:rPr>
        <w:t>, skirt</w:t>
      </w:r>
      <w:r w:rsidR="003B0ACA">
        <w:rPr>
          <w:sz w:val="26"/>
          <w:szCs w:val="26"/>
          <w:lang w:val="lt-LT"/>
        </w:rPr>
        <w:t>ų</w:t>
      </w:r>
      <w:r w:rsidR="000C68FA" w:rsidRPr="003411E9">
        <w:rPr>
          <w:sz w:val="26"/>
          <w:szCs w:val="26"/>
          <w:lang w:val="lt-LT"/>
        </w:rPr>
        <w:t xml:space="preserve"> išsiaiškinti reikšmingus iškraipymus finansinėse atas</w:t>
      </w:r>
      <w:r w:rsidR="000C68FA" w:rsidRPr="00601B86">
        <w:rPr>
          <w:sz w:val="26"/>
          <w:szCs w:val="26"/>
          <w:lang w:val="lt-LT"/>
        </w:rPr>
        <w:t xml:space="preserve">kaitose. </w:t>
      </w:r>
    </w:p>
    <w:p w:rsidR="00EA0340" w:rsidRPr="00601B86" w:rsidRDefault="005F14E4" w:rsidP="00D228BF">
      <w:pPr>
        <w:pStyle w:val="NormalWeb"/>
        <w:spacing w:before="0" w:beforeAutospacing="0" w:after="0" w:afterAutospacing="0" w:line="360" w:lineRule="auto"/>
        <w:ind w:firstLine="720"/>
        <w:jc w:val="both"/>
        <w:rPr>
          <w:sz w:val="26"/>
          <w:szCs w:val="26"/>
          <w:lang w:val="lt-LT"/>
        </w:rPr>
      </w:pPr>
      <w:r w:rsidRPr="00601B86">
        <w:rPr>
          <w:sz w:val="26"/>
          <w:szCs w:val="26"/>
          <w:lang w:val="lt-LT"/>
        </w:rPr>
        <w:t xml:space="preserve">Darbo autorės </w:t>
      </w:r>
      <w:r w:rsidR="00EA0340" w:rsidRPr="00601B86">
        <w:rPr>
          <w:sz w:val="26"/>
          <w:szCs w:val="26"/>
          <w:lang w:val="lt-LT"/>
        </w:rPr>
        <w:t xml:space="preserve">audito rizikos vertinimo modelis tikrinamas atliekant dviejų pasirinktų įmonių finansinių ataskaitų auditus, kurių pavadinimai ir </w:t>
      </w:r>
      <w:r w:rsidR="00823DC4" w:rsidRPr="00601B86">
        <w:rPr>
          <w:sz w:val="26"/>
          <w:szCs w:val="26"/>
          <w:lang w:val="lt-LT"/>
        </w:rPr>
        <w:t xml:space="preserve">kita konfidenciali </w:t>
      </w:r>
      <w:r w:rsidR="00EA0340" w:rsidRPr="00601B86">
        <w:rPr>
          <w:sz w:val="26"/>
          <w:szCs w:val="26"/>
          <w:lang w:val="lt-LT"/>
        </w:rPr>
        <w:t>finansin</w:t>
      </w:r>
      <w:r w:rsidR="00823DC4" w:rsidRPr="00601B86">
        <w:rPr>
          <w:sz w:val="26"/>
          <w:szCs w:val="26"/>
          <w:lang w:val="lt-LT"/>
        </w:rPr>
        <w:t xml:space="preserve">ė informacija, negavus </w:t>
      </w:r>
      <w:r w:rsidR="0062792A" w:rsidRPr="00601B86">
        <w:rPr>
          <w:sz w:val="26"/>
          <w:szCs w:val="26"/>
          <w:lang w:val="lt-LT"/>
        </w:rPr>
        <w:t>ši</w:t>
      </w:r>
      <w:r w:rsidRPr="00601B86">
        <w:rPr>
          <w:sz w:val="26"/>
          <w:szCs w:val="26"/>
          <w:lang w:val="lt-LT"/>
        </w:rPr>
        <w:t>ų</w:t>
      </w:r>
      <w:r w:rsidR="0062792A" w:rsidRPr="00601B86">
        <w:rPr>
          <w:sz w:val="26"/>
          <w:szCs w:val="26"/>
          <w:lang w:val="lt-LT"/>
        </w:rPr>
        <w:t xml:space="preserve"> įmonių </w:t>
      </w:r>
      <w:r w:rsidR="00823DC4" w:rsidRPr="00601B86">
        <w:rPr>
          <w:sz w:val="26"/>
          <w:szCs w:val="26"/>
          <w:lang w:val="lt-LT"/>
        </w:rPr>
        <w:t>sutikimo, neatskleidžiama</w:t>
      </w:r>
      <w:r w:rsidR="00EA0340" w:rsidRPr="00601B86">
        <w:rPr>
          <w:sz w:val="26"/>
          <w:szCs w:val="26"/>
          <w:lang w:val="lt-LT"/>
        </w:rPr>
        <w:t xml:space="preserve">. </w:t>
      </w:r>
    </w:p>
    <w:p w:rsidR="00883B8E" w:rsidRPr="00601B86" w:rsidRDefault="00D228BF" w:rsidP="00D228BF">
      <w:pPr>
        <w:pStyle w:val="NormalWeb"/>
        <w:spacing w:before="0" w:beforeAutospacing="0" w:after="0" w:afterAutospacing="0" w:line="360" w:lineRule="auto"/>
        <w:ind w:firstLine="720"/>
        <w:jc w:val="both"/>
        <w:rPr>
          <w:sz w:val="26"/>
          <w:szCs w:val="26"/>
          <w:lang w:val="lt-LT"/>
        </w:rPr>
      </w:pPr>
      <w:r w:rsidRPr="00601B86">
        <w:rPr>
          <w:sz w:val="26"/>
          <w:szCs w:val="26"/>
          <w:lang w:val="lt-LT"/>
        </w:rPr>
        <w:t xml:space="preserve">Atsižvelgiant į gautus rezultatus, </w:t>
      </w:r>
      <w:r w:rsidR="00823DC4" w:rsidRPr="00601B86">
        <w:rPr>
          <w:sz w:val="26"/>
          <w:szCs w:val="26"/>
          <w:lang w:val="lt-LT"/>
        </w:rPr>
        <w:t xml:space="preserve">disertacijos </w:t>
      </w:r>
      <w:r w:rsidR="003B0ACA">
        <w:rPr>
          <w:sz w:val="26"/>
          <w:szCs w:val="26"/>
          <w:lang w:val="lt-LT"/>
        </w:rPr>
        <w:t xml:space="preserve">3.2 skyriuje </w:t>
      </w:r>
      <w:r w:rsidRPr="00601B86">
        <w:rPr>
          <w:sz w:val="26"/>
          <w:szCs w:val="26"/>
          <w:lang w:val="lt-LT"/>
        </w:rPr>
        <w:t>pateik</w:t>
      </w:r>
      <w:r w:rsidR="00823DC4" w:rsidRPr="00601B86">
        <w:rPr>
          <w:sz w:val="26"/>
          <w:szCs w:val="26"/>
          <w:lang w:val="lt-LT"/>
        </w:rPr>
        <w:t>iam</w:t>
      </w:r>
      <w:r w:rsidRPr="00601B86">
        <w:rPr>
          <w:sz w:val="26"/>
          <w:szCs w:val="26"/>
          <w:lang w:val="lt-LT"/>
        </w:rPr>
        <w:t>i siūlymai patikslinti darbo autorės audito rizikos vertinimo modelį.</w:t>
      </w:r>
    </w:p>
    <w:p w:rsidR="00823DC4" w:rsidRPr="00601B86" w:rsidRDefault="00823DC4" w:rsidP="00823DC4">
      <w:pPr>
        <w:pStyle w:val="Heading2"/>
        <w:jc w:val="center"/>
        <w:rPr>
          <w:rFonts w:ascii="Times New Roman" w:hAnsi="Times New Roman" w:cs="Times New Roman"/>
          <w:lang w:val="lt-LT" w:eastAsia="en-US"/>
        </w:rPr>
      </w:pPr>
      <w:bookmarkStart w:id="46" w:name="_Toc253244590"/>
      <w:r w:rsidRPr="00601B86">
        <w:rPr>
          <w:rFonts w:ascii="Times New Roman" w:hAnsi="Times New Roman" w:cs="Times New Roman"/>
          <w:lang w:val="lt-LT" w:eastAsia="en-US"/>
        </w:rPr>
        <w:t xml:space="preserve">3.1 </w:t>
      </w:r>
      <w:r w:rsidR="000F2D46" w:rsidRPr="00601B86">
        <w:rPr>
          <w:rFonts w:ascii="Times New Roman" w:hAnsi="Times New Roman" w:cs="Times New Roman"/>
          <w:lang w:val="lt-LT" w:eastAsia="en-US"/>
        </w:rPr>
        <w:t>A</w:t>
      </w:r>
      <w:r w:rsidRPr="00601B86">
        <w:rPr>
          <w:rFonts w:ascii="Times New Roman" w:hAnsi="Times New Roman" w:cs="Times New Roman"/>
          <w:lang w:val="lt-LT" w:eastAsia="en-US"/>
        </w:rPr>
        <w:t>udito rizikos vertinimo modeli</w:t>
      </w:r>
      <w:r w:rsidR="000F2D46" w:rsidRPr="00601B86">
        <w:rPr>
          <w:rFonts w:ascii="Times New Roman" w:hAnsi="Times New Roman" w:cs="Times New Roman"/>
          <w:lang w:val="lt-LT" w:eastAsia="en-US"/>
        </w:rPr>
        <w:t>o tikrinimas</w:t>
      </w:r>
      <w:r w:rsidR="00AC5C8B" w:rsidRPr="00601B86">
        <w:rPr>
          <w:rFonts w:ascii="Times New Roman" w:hAnsi="Times New Roman" w:cs="Times New Roman"/>
          <w:lang w:val="lt-LT" w:eastAsia="en-US"/>
        </w:rPr>
        <w:t xml:space="preserve"> auditų pavyzdžiu</w:t>
      </w:r>
      <w:bookmarkEnd w:id="46"/>
    </w:p>
    <w:p w:rsidR="000C68FA" w:rsidRPr="00601B86" w:rsidRDefault="00C51C64" w:rsidP="00823DC4">
      <w:pPr>
        <w:pStyle w:val="NormalWeb"/>
        <w:spacing w:before="120" w:beforeAutospacing="0" w:after="0" w:afterAutospacing="0" w:line="360" w:lineRule="auto"/>
        <w:ind w:firstLine="720"/>
        <w:jc w:val="both"/>
        <w:rPr>
          <w:sz w:val="26"/>
          <w:szCs w:val="26"/>
          <w:lang w:val="lt-LT"/>
        </w:rPr>
      </w:pPr>
      <w:r w:rsidRPr="00601B86">
        <w:rPr>
          <w:sz w:val="26"/>
          <w:szCs w:val="26"/>
          <w:lang w:val="lt-LT"/>
        </w:rPr>
        <w:t xml:space="preserve">Darbo autorės audito rizikos vertinimo modelis tikrinamas atliekant dviejų </w:t>
      </w:r>
      <w:r w:rsidR="00967A63" w:rsidRPr="00601B86">
        <w:rPr>
          <w:sz w:val="26"/>
          <w:szCs w:val="26"/>
          <w:lang w:val="lt-LT"/>
        </w:rPr>
        <w:t>įmonių (</w:t>
      </w:r>
      <w:r w:rsidR="005F14E4" w:rsidRPr="00601B86">
        <w:rPr>
          <w:sz w:val="26"/>
          <w:szCs w:val="26"/>
          <w:lang w:val="lt-LT"/>
        </w:rPr>
        <w:t>U</w:t>
      </w:r>
      <w:r w:rsidRPr="00601B86">
        <w:rPr>
          <w:sz w:val="26"/>
          <w:szCs w:val="26"/>
          <w:lang w:val="lt-LT"/>
        </w:rPr>
        <w:t>AB „Šiluma“ ir UAB „Žuvi</w:t>
      </w:r>
      <w:r w:rsidR="005F14E4" w:rsidRPr="00601B86">
        <w:rPr>
          <w:sz w:val="26"/>
          <w:szCs w:val="26"/>
          <w:lang w:val="lt-LT"/>
        </w:rPr>
        <w:t>la</w:t>
      </w:r>
      <w:r w:rsidRPr="00601B86">
        <w:rPr>
          <w:sz w:val="26"/>
          <w:szCs w:val="26"/>
          <w:lang w:val="lt-LT"/>
        </w:rPr>
        <w:t>“</w:t>
      </w:r>
      <w:r w:rsidR="00357A85" w:rsidRPr="00601B86">
        <w:rPr>
          <w:sz w:val="26"/>
          <w:szCs w:val="26"/>
          <w:lang w:val="lt-LT"/>
        </w:rPr>
        <w:t>)</w:t>
      </w:r>
      <w:r w:rsidRPr="00601B86">
        <w:rPr>
          <w:sz w:val="26"/>
          <w:szCs w:val="26"/>
          <w:lang w:val="lt-LT"/>
        </w:rPr>
        <w:t xml:space="preserve"> finansinių ataskaitų auditus už 2008 m. gruodžio 31 d. pasibaigusius finansinius metus. </w:t>
      </w:r>
      <w:r w:rsidR="000C68FA" w:rsidRPr="00601B86">
        <w:rPr>
          <w:sz w:val="26"/>
          <w:szCs w:val="26"/>
          <w:lang w:val="lt-LT"/>
        </w:rPr>
        <w:t xml:space="preserve">Pirmiausia išanalizuosime UAB „Šiluma“ audito rizikos </w:t>
      </w:r>
      <w:r w:rsidR="001D184D" w:rsidRPr="00601B86">
        <w:rPr>
          <w:sz w:val="26"/>
          <w:szCs w:val="26"/>
          <w:lang w:val="lt-LT"/>
        </w:rPr>
        <w:t xml:space="preserve">ir jos komponentų </w:t>
      </w:r>
      <w:r w:rsidR="000C68FA" w:rsidRPr="00601B86">
        <w:rPr>
          <w:sz w:val="26"/>
          <w:szCs w:val="26"/>
          <w:lang w:val="lt-LT"/>
        </w:rPr>
        <w:t xml:space="preserve">vertinimo </w:t>
      </w:r>
      <w:r w:rsidR="001D184D" w:rsidRPr="00601B86">
        <w:rPr>
          <w:sz w:val="26"/>
          <w:szCs w:val="26"/>
          <w:lang w:val="lt-LT"/>
        </w:rPr>
        <w:t>aspektus</w:t>
      </w:r>
      <w:r w:rsidR="000C68FA" w:rsidRPr="00601B86">
        <w:rPr>
          <w:sz w:val="26"/>
          <w:szCs w:val="26"/>
          <w:lang w:val="lt-LT"/>
        </w:rPr>
        <w:t xml:space="preserve">, o po to UAB „Žuvila“. </w:t>
      </w:r>
    </w:p>
    <w:p w:rsidR="000C68FA" w:rsidRPr="00601B86" w:rsidRDefault="001D184D" w:rsidP="000C68FA">
      <w:pPr>
        <w:pStyle w:val="NormalWeb"/>
        <w:spacing w:before="0" w:beforeAutospacing="0" w:after="0" w:afterAutospacing="0" w:line="360" w:lineRule="auto"/>
        <w:ind w:firstLine="720"/>
        <w:jc w:val="both"/>
        <w:rPr>
          <w:sz w:val="26"/>
          <w:szCs w:val="26"/>
          <w:lang w:val="lt-LT"/>
        </w:rPr>
      </w:pPr>
      <w:r w:rsidRPr="00601B86">
        <w:rPr>
          <w:b/>
          <w:sz w:val="26"/>
          <w:szCs w:val="26"/>
          <w:lang w:val="lt-LT"/>
        </w:rPr>
        <w:t xml:space="preserve">Audito rizikos vertinimas atliekant UAB „Šiluma“ 2008 metų finansinių ataskaitų auditą. </w:t>
      </w:r>
      <w:r w:rsidR="00357A85" w:rsidRPr="00601B86">
        <w:rPr>
          <w:sz w:val="26"/>
          <w:szCs w:val="26"/>
          <w:lang w:val="lt-LT"/>
        </w:rPr>
        <w:t>K</w:t>
      </w:r>
      <w:r w:rsidR="00C51C64" w:rsidRPr="00601B86">
        <w:rPr>
          <w:sz w:val="26"/>
          <w:szCs w:val="26"/>
          <w:lang w:val="lt-LT"/>
        </w:rPr>
        <w:t>ad</w:t>
      </w:r>
      <w:r w:rsidR="00357A85" w:rsidRPr="00601B86">
        <w:rPr>
          <w:sz w:val="26"/>
          <w:szCs w:val="26"/>
          <w:lang w:val="lt-LT"/>
        </w:rPr>
        <w:t>angi</w:t>
      </w:r>
      <w:r w:rsidR="00C51C64" w:rsidRPr="00601B86">
        <w:rPr>
          <w:sz w:val="26"/>
          <w:szCs w:val="26"/>
          <w:lang w:val="lt-LT"/>
        </w:rPr>
        <w:t xml:space="preserve"> audito rizikos vertinimas</w:t>
      </w:r>
      <w:r w:rsidR="00357A85" w:rsidRPr="00601B86">
        <w:rPr>
          <w:sz w:val="26"/>
          <w:szCs w:val="26"/>
          <w:lang w:val="lt-LT"/>
        </w:rPr>
        <w:t>,</w:t>
      </w:r>
      <w:r w:rsidR="00C51C64" w:rsidRPr="00601B86">
        <w:rPr>
          <w:sz w:val="26"/>
          <w:szCs w:val="26"/>
          <w:lang w:val="lt-LT"/>
        </w:rPr>
        <w:t xml:space="preserve"> </w:t>
      </w:r>
      <w:r w:rsidR="00357A85" w:rsidRPr="00601B86">
        <w:rPr>
          <w:sz w:val="26"/>
          <w:szCs w:val="26"/>
          <w:lang w:val="lt-LT"/>
        </w:rPr>
        <w:t xml:space="preserve">visų pirma, </w:t>
      </w:r>
      <w:r w:rsidR="00C51C64" w:rsidRPr="00601B86">
        <w:rPr>
          <w:sz w:val="26"/>
          <w:szCs w:val="26"/>
          <w:lang w:val="lt-LT"/>
        </w:rPr>
        <w:t>susijęs su audituojamos įmonės išor</w:t>
      </w:r>
      <w:r w:rsidR="008E4A5A">
        <w:rPr>
          <w:sz w:val="26"/>
          <w:szCs w:val="26"/>
          <w:lang w:val="lt-LT"/>
        </w:rPr>
        <w:t>ės</w:t>
      </w:r>
      <w:r w:rsidR="00C51C64" w:rsidRPr="00601B86">
        <w:rPr>
          <w:sz w:val="26"/>
          <w:szCs w:val="26"/>
          <w:lang w:val="lt-LT"/>
        </w:rPr>
        <w:t xml:space="preserve"> ir vid</w:t>
      </w:r>
      <w:r w:rsidR="008E4A5A">
        <w:rPr>
          <w:sz w:val="26"/>
          <w:szCs w:val="26"/>
          <w:lang w:val="lt-LT"/>
        </w:rPr>
        <w:t>aus</w:t>
      </w:r>
      <w:r w:rsidR="00C51C64" w:rsidRPr="00601B86">
        <w:rPr>
          <w:sz w:val="26"/>
          <w:szCs w:val="26"/>
          <w:lang w:val="lt-LT"/>
        </w:rPr>
        <w:t xml:space="preserve"> aplinka</w:t>
      </w:r>
      <w:r w:rsidR="00FB117C" w:rsidRPr="00601B86">
        <w:rPr>
          <w:sz w:val="26"/>
          <w:szCs w:val="26"/>
          <w:lang w:val="lt-LT"/>
        </w:rPr>
        <w:t xml:space="preserve"> (susipažinimas su klientu)</w:t>
      </w:r>
      <w:r w:rsidR="00C51C64" w:rsidRPr="00601B86">
        <w:rPr>
          <w:sz w:val="26"/>
          <w:szCs w:val="26"/>
          <w:lang w:val="lt-LT"/>
        </w:rPr>
        <w:t xml:space="preserve">, </w:t>
      </w:r>
      <w:r w:rsidR="00357A85" w:rsidRPr="00601B86">
        <w:rPr>
          <w:sz w:val="26"/>
          <w:szCs w:val="26"/>
          <w:lang w:val="lt-LT"/>
        </w:rPr>
        <w:t>todėl</w:t>
      </w:r>
      <w:r w:rsidR="00C51C64" w:rsidRPr="00601B86">
        <w:rPr>
          <w:sz w:val="26"/>
          <w:szCs w:val="26"/>
          <w:lang w:val="lt-LT"/>
        </w:rPr>
        <w:t xml:space="preserve"> šiuos dalykus </w:t>
      </w:r>
      <w:r w:rsidRPr="00601B86">
        <w:rPr>
          <w:sz w:val="26"/>
          <w:szCs w:val="26"/>
          <w:lang w:val="lt-LT"/>
        </w:rPr>
        <w:t xml:space="preserve">pirmiausia </w:t>
      </w:r>
      <w:r w:rsidR="00357A85" w:rsidRPr="00601B86">
        <w:rPr>
          <w:sz w:val="26"/>
          <w:szCs w:val="26"/>
          <w:lang w:val="lt-LT"/>
        </w:rPr>
        <w:t>ir aptarsime</w:t>
      </w:r>
      <w:r w:rsidRPr="00601B86">
        <w:rPr>
          <w:sz w:val="26"/>
          <w:szCs w:val="26"/>
          <w:lang w:val="lt-LT"/>
        </w:rPr>
        <w:t>.</w:t>
      </w:r>
      <w:r w:rsidR="000C68FA" w:rsidRPr="00601B86">
        <w:rPr>
          <w:sz w:val="26"/>
          <w:szCs w:val="26"/>
          <w:lang w:val="lt-LT"/>
        </w:rPr>
        <w:t xml:space="preserve"> </w:t>
      </w:r>
    </w:p>
    <w:p w:rsidR="00AA312D" w:rsidRPr="00601B86" w:rsidRDefault="005F14E4" w:rsidP="001519D1">
      <w:pPr>
        <w:pStyle w:val="NormalWeb"/>
        <w:spacing w:before="0" w:beforeAutospacing="0" w:after="0" w:afterAutospacing="0" w:line="360" w:lineRule="auto"/>
        <w:ind w:firstLine="720"/>
        <w:jc w:val="both"/>
        <w:rPr>
          <w:sz w:val="26"/>
          <w:szCs w:val="26"/>
          <w:lang w:val="lt-LT"/>
        </w:rPr>
      </w:pPr>
      <w:r w:rsidRPr="00601B86">
        <w:rPr>
          <w:sz w:val="26"/>
          <w:szCs w:val="26"/>
          <w:lang w:val="lt-LT"/>
        </w:rPr>
        <w:t>U</w:t>
      </w:r>
      <w:r w:rsidR="001D184D" w:rsidRPr="00601B86">
        <w:rPr>
          <w:sz w:val="26"/>
          <w:szCs w:val="26"/>
          <w:lang w:val="lt-LT"/>
        </w:rPr>
        <w:t>ždaroji akcinė bendrovė (toliau – U</w:t>
      </w:r>
      <w:r w:rsidR="00357A85" w:rsidRPr="00601B86">
        <w:rPr>
          <w:sz w:val="26"/>
          <w:szCs w:val="26"/>
          <w:lang w:val="lt-LT"/>
        </w:rPr>
        <w:t>AB</w:t>
      </w:r>
      <w:r w:rsidR="001D184D" w:rsidRPr="00601B86">
        <w:rPr>
          <w:sz w:val="26"/>
          <w:szCs w:val="26"/>
          <w:lang w:val="lt-LT"/>
        </w:rPr>
        <w:t>)</w:t>
      </w:r>
      <w:r w:rsidR="00357A85" w:rsidRPr="00601B86">
        <w:rPr>
          <w:sz w:val="26"/>
          <w:szCs w:val="26"/>
          <w:lang w:val="lt-LT"/>
        </w:rPr>
        <w:t xml:space="preserve"> „Šiluma“ </w:t>
      </w:r>
      <w:r w:rsidR="00E03550" w:rsidRPr="00601B86">
        <w:rPr>
          <w:sz w:val="26"/>
          <w:szCs w:val="26"/>
          <w:lang w:val="lt-LT"/>
        </w:rPr>
        <w:t>– regioninė šilumos ir elektros ene</w:t>
      </w:r>
      <w:r w:rsidRPr="00601B86">
        <w:rPr>
          <w:sz w:val="26"/>
          <w:szCs w:val="26"/>
          <w:lang w:val="lt-LT"/>
        </w:rPr>
        <w:t>rgijos gamybos ir tiekimo įmonė</w:t>
      </w:r>
      <w:r w:rsidR="00346ECB" w:rsidRPr="00601B86">
        <w:rPr>
          <w:sz w:val="26"/>
          <w:szCs w:val="26"/>
          <w:lang w:val="lt-LT"/>
        </w:rPr>
        <w:t xml:space="preserve"> (toliau – įmonė)</w:t>
      </w:r>
      <w:r w:rsidR="009A26AB" w:rsidRPr="00601B86">
        <w:rPr>
          <w:sz w:val="26"/>
          <w:szCs w:val="26"/>
          <w:lang w:val="lt-LT"/>
        </w:rPr>
        <w:t>.</w:t>
      </w:r>
      <w:r w:rsidR="00E03550" w:rsidRPr="00601B86">
        <w:rPr>
          <w:sz w:val="26"/>
          <w:szCs w:val="26"/>
          <w:lang w:val="lt-LT"/>
        </w:rPr>
        <w:t xml:space="preserve"> </w:t>
      </w:r>
      <w:r w:rsidR="00CB2390" w:rsidRPr="00601B86">
        <w:rPr>
          <w:sz w:val="26"/>
          <w:szCs w:val="26"/>
          <w:lang w:val="lt-LT"/>
        </w:rPr>
        <w:t>Ji veikia viename geografiniame segmente – Lietuvoje, o š</w:t>
      </w:r>
      <w:r w:rsidR="00E03550" w:rsidRPr="00601B86">
        <w:rPr>
          <w:sz w:val="26"/>
          <w:szCs w:val="26"/>
          <w:lang w:val="lt-LT"/>
        </w:rPr>
        <w:t xml:space="preserve">ilumos ir elektros energija tiekiama miestų ir rajonų gyventojams, pramonės įmonėms bei įstaigoms. </w:t>
      </w:r>
      <w:r w:rsidR="00CB2390" w:rsidRPr="00601B86">
        <w:rPr>
          <w:sz w:val="26"/>
          <w:szCs w:val="26"/>
          <w:lang w:val="lt-LT"/>
        </w:rPr>
        <w:t xml:space="preserve">Šios </w:t>
      </w:r>
      <w:r w:rsidR="00346ECB" w:rsidRPr="00601B86">
        <w:rPr>
          <w:sz w:val="26"/>
          <w:szCs w:val="26"/>
          <w:lang w:val="lt-LT"/>
        </w:rPr>
        <w:lastRenderedPageBreak/>
        <w:t>įmonės</w:t>
      </w:r>
      <w:r w:rsidR="00CB2390" w:rsidRPr="00601B86">
        <w:rPr>
          <w:sz w:val="26"/>
          <w:szCs w:val="26"/>
          <w:lang w:val="lt-LT"/>
        </w:rPr>
        <w:t xml:space="preserve"> </w:t>
      </w:r>
      <w:r w:rsidR="00430C78" w:rsidRPr="00601B86">
        <w:rPr>
          <w:sz w:val="26"/>
          <w:szCs w:val="26"/>
          <w:lang w:val="lt-LT"/>
        </w:rPr>
        <w:t xml:space="preserve">pagrindinė veikla: </w:t>
      </w:r>
      <w:r w:rsidR="00CB2390" w:rsidRPr="00601B86">
        <w:rPr>
          <w:sz w:val="26"/>
          <w:szCs w:val="26"/>
          <w:lang w:val="lt-LT"/>
        </w:rPr>
        <w:t xml:space="preserve">šilumos </w:t>
      </w:r>
      <w:r w:rsidR="00430C78" w:rsidRPr="00601B86">
        <w:rPr>
          <w:sz w:val="26"/>
          <w:szCs w:val="26"/>
          <w:lang w:val="lt-LT"/>
        </w:rPr>
        <w:t xml:space="preserve">(įskaitant ir karšto vandens) </w:t>
      </w:r>
      <w:r w:rsidR="00CB2390" w:rsidRPr="00601B86">
        <w:rPr>
          <w:sz w:val="26"/>
          <w:szCs w:val="26"/>
          <w:lang w:val="lt-LT"/>
        </w:rPr>
        <w:t>gamy</w:t>
      </w:r>
      <w:r w:rsidR="00430C78" w:rsidRPr="00601B86">
        <w:rPr>
          <w:sz w:val="26"/>
          <w:szCs w:val="26"/>
          <w:lang w:val="lt-LT"/>
        </w:rPr>
        <w:t>b</w:t>
      </w:r>
      <w:r w:rsidR="00CB2390" w:rsidRPr="00601B86">
        <w:rPr>
          <w:sz w:val="26"/>
          <w:szCs w:val="26"/>
          <w:lang w:val="lt-LT"/>
        </w:rPr>
        <w:t>a</w:t>
      </w:r>
      <w:r w:rsidR="00430C78" w:rsidRPr="00601B86">
        <w:rPr>
          <w:sz w:val="26"/>
          <w:szCs w:val="26"/>
          <w:lang w:val="lt-LT"/>
        </w:rPr>
        <w:t xml:space="preserve"> </w:t>
      </w:r>
      <w:r w:rsidR="00CB2390" w:rsidRPr="00601B86">
        <w:rPr>
          <w:sz w:val="26"/>
          <w:szCs w:val="26"/>
          <w:lang w:val="lt-LT"/>
        </w:rPr>
        <w:t>ir tiekimas, elektros energijos gamyba ir tiekimas</w:t>
      </w:r>
      <w:r w:rsidR="00430C78" w:rsidRPr="00601B86">
        <w:rPr>
          <w:sz w:val="26"/>
          <w:szCs w:val="26"/>
          <w:lang w:val="lt-LT"/>
        </w:rPr>
        <w:t>, šilumos sistemų remonto darbai</w:t>
      </w:r>
      <w:r w:rsidR="00CB2390" w:rsidRPr="00601B86">
        <w:rPr>
          <w:sz w:val="26"/>
          <w:szCs w:val="26"/>
          <w:lang w:val="lt-LT"/>
        </w:rPr>
        <w:t>.</w:t>
      </w:r>
      <w:r w:rsidR="00430C78" w:rsidRPr="00601B86">
        <w:rPr>
          <w:sz w:val="26"/>
          <w:szCs w:val="26"/>
          <w:lang w:val="lt-LT"/>
        </w:rPr>
        <w:t xml:space="preserve"> </w:t>
      </w:r>
      <w:r w:rsidR="00A64695" w:rsidRPr="00601B86">
        <w:rPr>
          <w:sz w:val="26"/>
          <w:szCs w:val="26"/>
          <w:lang w:val="lt-LT"/>
        </w:rPr>
        <w:t xml:space="preserve">2008 metais </w:t>
      </w:r>
      <w:r w:rsidR="00346ECB" w:rsidRPr="00601B86">
        <w:rPr>
          <w:sz w:val="26"/>
          <w:szCs w:val="26"/>
          <w:lang w:val="lt-LT"/>
        </w:rPr>
        <w:t>įmonė</w:t>
      </w:r>
      <w:r w:rsidR="00430C78" w:rsidRPr="00601B86">
        <w:rPr>
          <w:sz w:val="26"/>
          <w:szCs w:val="26"/>
          <w:lang w:val="lt-LT"/>
        </w:rPr>
        <w:t xml:space="preserve"> ne tik pati gamin</w:t>
      </w:r>
      <w:r w:rsidR="00A64695" w:rsidRPr="00601B86">
        <w:rPr>
          <w:sz w:val="26"/>
          <w:szCs w:val="26"/>
          <w:lang w:val="lt-LT"/>
        </w:rPr>
        <w:t>o</w:t>
      </w:r>
      <w:r w:rsidR="00430C78" w:rsidRPr="00601B86">
        <w:rPr>
          <w:sz w:val="26"/>
          <w:szCs w:val="26"/>
          <w:lang w:val="lt-LT"/>
        </w:rPr>
        <w:t xml:space="preserve"> šilumą, bet ir panaudoj</w:t>
      </w:r>
      <w:r w:rsidR="00A64695" w:rsidRPr="00601B86">
        <w:rPr>
          <w:sz w:val="26"/>
          <w:szCs w:val="26"/>
          <w:lang w:val="lt-LT"/>
        </w:rPr>
        <w:t>o</w:t>
      </w:r>
      <w:r w:rsidR="00430C78" w:rsidRPr="00601B86">
        <w:rPr>
          <w:sz w:val="26"/>
          <w:szCs w:val="26"/>
          <w:lang w:val="lt-LT"/>
        </w:rPr>
        <w:t xml:space="preserve"> </w:t>
      </w:r>
      <w:r w:rsidR="00190EC5" w:rsidRPr="00601B86">
        <w:rPr>
          <w:sz w:val="26"/>
          <w:szCs w:val="26"/>
          <w:lang w:val="lt-LT"/>
        </w:rPr>
        <w:t>bei perd</w:t>
      </w:r>
      <w:r w:rsidR="00A64695" w:rsidRPr="00601B86">
        <w:rPr>
          <w:sz w:val="26"/>
          <w:szCs w:val="26"/>
          <w:lang w:val="lt-LT"/>
        </w:rPr>
        <w:t xml:space="preserve">avė </w:t>
      </w:r>
      <w:r w:rsidR="00190EC5" w:rsidRPr="00601B86">
        <w:rPr>
          <w:sz w:val="26"/>
          <w:szCs w:val="26"/>
          <w:lang w:val="lt-LT"/>
        </w:rPr>
        <w:t xml:space="preserve">kitų </w:t>
      </w:r>
      <w:r w:rsidRPr="00601B86">
        <w:rPr>
          <w:sz w:val="26"/>
          <w:szCs w:val="26"/>
          <w:lang w:val="lt-LT"/>
        </w:rPr>
        <w:t xml:space="preserve">pramonės </w:t>
      </w:r>
      <w:r w:rsidR="00190EC5" w:rsidRPr="00601B86">
        <w:rPr>
          <w:sz w:val="26"/>
          <w:szCs w:val="26"/>
          <w:lang w:val="lt-LT"/>
        </w:rPr>
        <w:t xml:space="preserve">įmonių </w:t>
      </w:r>
      <w:r w:rsidR="00430C78" w:rsidRPr="00601B86">
        <w:rPr>
          <w:sz w:val="26"/>
          <w:szCs w:val="26"/>
          <w:lang w:val="lt-LT"/>
        </w:rPr>
        <w:t>iš</w:t>
      </w:r>
      <w:r w:rsidR="00190EC5" w:rsidRPr="00601B86">
        <w:rPr>
          <w:sz w:val="26"/>
          <w:szCs w:val="26"/>
          <w:lang w:val="lt-LT"/>
        </w:rPr>
        <w:t>s</w:t>
      </w:r>
      <w:r w:rsidR="00430C78" w:rsidRPr="00601B86">
        <w:rPr>
          <w:sz w:val="26"/>
          <w:szCs w:val="26"/>
          <w:lang w:val="lt-LT"/>
        </w:rPr>
        <w:t xml:space="preserve">kirtą </w:t>
      </w:r>
      <w:r w:rsidR="00190EC5" w:rsidRPr="00601B86">
        <w:rPr>
          <w:sz w:val="26"/>
          <w:szCs w:val="26"/>
          <w:lang w:val="lt-LT"/>
        </w:rPr>
        <w:t xml:space="preserve">šilumą </w:t>
      </w:r>
      <w:r w:rsidR="00430C78" w:rsidRPr="00601B86">
        <w:rPr>
          <w:sz w:val="26"/>
          <w:szCs w:val="26"/>
          <w:lang w:val="lt-LT"/>
        </w:rPr>
        <w:t>gamybos proceso metu</w:t>
      </w:r>
      <w:r w:rsidR="00190EC5" w:rsidRPr="00601B86">
        <w:rPr>
          <w:sz w:val="26"/>
          <w:szCs w:val="26"/>
          <w:lang w:val="lt-LT"/>
        </w:rPr>
        <w:t>.</w:t>
      </w:r>
      <w:r w:rsidR="00A64695" w:rsidRPr="00601B86">
        <w:rPr>
          <w:sz w:val="26"/>
          <w:szCs w:val="26"/>
          <w:lang w:val="lt-LT"/>
        </w:rPr>
        <w:t xml:space="preserve"> </w:t>
      </w:r>
      <w:r w:rsidR="00474349" w:rsidRPr="00601B86">
        <w:rPr>
          <w:sz w:val="26"/>
          <w:szCs w:val="26"/>
          <w:lang w:val="lt-LT"/>
        </w:rPr>
        <w:t>Toks alternatyvus šilumos surinkimo būdas leido UAB „Šiluma“ sumažinti sunaudojamo kuro sąnaudas</w:t>
      </w:r>
      <w:r w:rsidR="007F6165" w:rsidRPr="00601B86">
        <w:rPr>
          <w:sz w:val="26"/>
          <w:szCs w:val="26"/>
          <w:lang w:val="lt-LT"/>
        </w:rPr>
        <w:t>,</w:t>
      </w:r>
      <w:r w:rsidR="00C219A7" w:rsidRPr="00601B86">
        <w:rPr>
          <w:sz w:val="26"/>
          <w:szCs w:val="26"/>
          <w:lang w:val="lt-LT"/>
        </w:rPr>
        <w:t xml:space="preserve"> pasiekti mažesnį aplinkos taršos lygį bei sumažinti mokamus mokesčius už aplinkos teršimą.</w:t>
      </w:r>
      <w:r w:rsidR="00474349" w:rsidRPr="00601B86">
        <w:rPr>
          <w:sz w:val="26"/>
          <w:szCs w:val="26"/>
          <w:lang w:val="lt-LT"/>
        </w:rPr>
        <w:t xml:space="preserve"> </w:t>
      </w:r>
      <w:r w:rsidR="00A64695" w:rsidRPr="00601B86">
        <w:rPr>
          <w:sz w:val="26"/>
          <w:szCs w:val="26"/>
          <w:lang w:val="lt-LT"/>
        </w:rPr>
        <w:t xml:space="preserve">Be to, 2008 metais buvo eksploatuojama </w:t>
      </w:r>
      <w:r w:rsidR="00346ECB" w:rsidRPr="00601B86">
        <w:rPr>
          <w:sz w:val="26"/>
          <w:szCs w:val="26"/>
          <w:lang w:val="lt-LT"/>
        </w:rPr>
        <w:t>įmonės</w:t>
      </w:r>
      <w:r w:rsidR="00A64695" w:rsidRPr="00601B86">
        <w:rPr>
          <w:sz w:val="26"/>
          <w:szCs w:val="26"/>
          <w:lang w:val="lt-LT"/>
        </w:rPr>
        <w:t xml:space="preserve"> termofikacinė elektrinė, kurioje pagaminta šiluma buvo tiekiama vartotojams, o elektros energija parduodama į nacionalinį šalies elektros perdavimo tinklą.</w:t>
      </w:r>
      <w:r w:rsidR="00A204BF" w:rsidRPr="00601B86">
        <w:rPr>
          <w:sz w:val="26"/>
          <w:szCs w:val="26"/>
          <w:lang w:val="lt-LT"/>
        </w:rPr>
        <w:t xml:space="preserve"> </w:t>
      </w:r>
      <w:r w:rsidR="00AA312D" w:rsidRPr="00601B86">
        <w:rPr>
          <w:sz w:val="26"/>
          <w:szCs w:val="26"/>
          <w:lang w:val="lt-LT"/>
        </w:rPr>
        <w:t xml:space="preserve">Svarbu </w:t>
      </w:r>
      <w:r w:rsidR="00A204BF" w:rsidRPr="00601B86">
        <w:rPr>
          <w:sz w:val="26"/>
          <w:szCs w:val="26"/>
          <w:lang w:val="lt-LT"/>
        </w:rPr>
        <w:t xml:space="preserve">ir </w:t>
      </w:r>
      <w:r w:rsidR="00AA312D" w:rsidRPr="00601B86">
        <w:rPr>
          <w:sz w:val="26"/>
          <w:szCs w:val="26"/>
          <w:lang w:val="lt-LT"/>
        </w:rPr>
        <w:t xml:space="preserve">tai, kad </w:t>
      </w:r>
      <w:r w:rsidR="003B0ACA">
        <w:rPr>
          <w:sz w:val="26"/>
          <w:szCs w:val="26"/>
          <w:lang w:val="lt-LT"/>
        </w:rPr>
        <w:t>UAB „Šiluma“</w:t>
      </w:r>
      <w:r w:rsidR="00AA312D" w:rsidRPr="00601B86">
        <w:rPr>
          <w:sz w:val="26"/>
          <w:szCs w:val="26"/>
          <w:lang w:val="lt-LT"/>
        </w:rPr>
        <w:t xml:space="preserve"> nuolat rekonstruoja savo katilines, garo katilus, padidindama jų efektyvumą ir patikimumą, o šilumai gaminti naudojamas kuras keičiamas į pigesnį ir ekologiškesnį kurą, kad būtų minimizuojama žala aplinkai ir mažinamos kuro sąnaudos.</w:t>
      </w:r>
      <w:r w:rsidR="00134514" w:rsidRPr="00601B86">
        <w:rPr>
          <w:sz w:val="26"/>
          <w:szCs w:val="26"/>
          <w:lang w:val="lt-LT"/>
        </w:rPr>
        <w:t xml:space="preserve"> </w:t>
      </w:r>
      <w:r w:rsidR="0063128E" w:rsidRPr="00601B86">
        <w:rPr>
          <w:sz w:val="26"/>
          <w:szCs w:val="26"/>
          <w:lang w:val="lt-LT"/>
        </w:rPr>
        <w:t>Todėl įmonės siekis yra gerinti ekologinę padėtį, užtikrinti šilumos tiekimo patikimumą bei plėsti šilumos ir elektros gamybos apimtis.</w:t>
      </w:r>
    </w:p>
    <w:p w:rsidR="000B5370" w:rsidRDefault="00A361F8" w:rsidP="00DB4C16">
      <w:pPr>
        <w:pStyle w:val="NormalWeb"/>
        <w:spacing w:before="0" w:beforeAutospacing="0" w:after="0" w:afterAutospacing="0" w:line="360" w:lineRule="auto"/>
        <w:ind w:firstLine="720"/>
        <w:jc w:val="both"/>
        <w:rPr>
          <w:sz w:val="26"/>
          <w:szCs w:val="26"/>
          <w:lang w:val="lt-LT"/>
        </w:rPr>
      </w:pPr>
      <w:r w:rsidRPr="00601B86">
        <w:rPr>
          <w:sz w:val="26"/>
          <w:szCs w:val="26"/>
          <w:lang w:val="lt-LT"/>
        </w:rPr>
        <w:t xml:space="preserve">Nors įmonė yra užsitikrinusi savo vietą rinkoje ir jos paslaugos yra būtinos miestų ir rajonų gyventojams, pramonės įmonėms bei įstaigoms, tačiau </w:t>
      </w:r>
      <w:r w:rsidR="00132235" w:rsidRPr="00601B86">
        <w:rPr>
          <w:sz w:val="26"/>
          <w:szCs w:val="26"/>
          <w:lang w:val="lt-LT"/>
        </w:rPr>
        <w:t xml:space="preserve">egzistuoja ir neigiamų išorės aplinkos sąlygų. Viena tokių yra veiklos sezoniškumas, t. y. šiluma į tinklus </w:t>
      </w:r>
      <w:r w:rsidR="00555E3D" w:rsidRPr="00601B86">
        <w:rPr>
          <w:sz w:val="26"/>
          <w:szCs w:val="26"/>
          <w:lang w:val="lt-LT"/>
        </w:rPr>
        <w:t xml:space="preserve">visu pajėgumu </w:t>
      </w:r>
      <w:r w:rsidR="00132235" w:rsidRPr="00601B86">
        <w:rPr>
          <w:sz w:val="26"/>
          <w:szCs w:val="26"/>
          <w:lang w:val="lt-LT"/>
        </w:rPr>
        <w:t xml:space="preserve">įprastai tiekiama šaltaisiais metų mėnesiais ir pardavimų apimčių sumažėjimą </w:t>
      </w:r>
      <w:r w:rsidR="00555E3D" w:rsidRPr="00601B86">
        <w:rPr>
          <w:sz w:val="26"/>
          <w:szCs w:val="26"/>
          <w:lang w:val="lt-LT"/>
        </w:rPr>
        <w:t xml:space="preserve">metų bėgyje </w:t>
      </w:r>
      <w:r w:rsidR="00132235" w:rsidRPr="00601B86">
        <w:rPr>
          <w:sz w:val="26"/>
          <w:szCs w:val="26"/>
          <w:lang w:val="lt-LT"/>
        </w:rPr>
        <w:t xml:space="preserve">lemia aukštesnė lauko oro temperatūra. </w:t>
      </w:r>
      <w:r w:rsidR="00806503" w:rsidRPr="00601B86">
        <w:rPr>
          <w:sz w:val="26"/>
          <w:szCs w:val="26"/>
          <w:lang w:val="lt-LT"/>
        </w:rPr>
        <w:t>Be to, į</w:t>
      </w:r>
      <w:r w:rsidRPr="00601B86">
        <w:rPr>
          <w:sz w:val="26"/>
          <w:szCs w:val="26"/>
          <w:lang w:val="lt-LT"/>
        </w:rPr>
        <w:t>monės</w:t>
      </w:r>
      <w:r w:rsidR="00C66637" w:rsidRPr="00601B86">
        <w:rPr>
          <w:sz w:val="26"/>
          <w:szCs w:val="26"/>
          <w:lang w:val="lt-LT"/>
        </w:rPr>
        <w:t xml:space="preserve"> veikla yra licencijuojama</w:t>
      </w:r>
      <w:r w:rsidR="00DB4C16" w:rsidRPr="00601B86">
        <w:rPr>
          <w:sz w:val="26"/>
          <w:szCs w:val="26"/>
          <w:lang w:val="lt-LT"/>
        </w:rPr>
        <w:t xml:space="preserve"> pagal LR šilumos ūkio įstatymą (</w:t>
      </w:r>
      <w:r w:rsidR="00FF3490" w:rsidRPr="00601B86">
        <w:rPr>
          <w:sz w:val="26"/>
          <w:szCs w:val="26"/>
          <w:lang w:val="lt-LT"/>
        </w:rPr>
        <w:t>2007</w:t>
      </w:r>
      <w:r w:rsidR="00DB4C16" w:rsidRPr="00601B86">
        <w:rPr>
          <w:iCs/>
          <w:sz w:val="26"/>
          <w:szCs w:val="26"/>
        </w:rPr>
        <w:t xml:space="preserve">) </w:t>
      </w:r>
      <w:r w:rsidR="00DB4C16" w:rsidRPr="00601B86">
        <w:rPr>
          <w:sz w:val="26"/>
          <w:szCs w:val="26"/>
          <w:lang w:val="lt-LT"/>
        </w:rPr>
        <w:t xml:space="preserve">ir LR elektros energetikos įstatymą </w:t>
      </w:r>
      <w:r w:rsidR="00311114" w:rsidRPr="00601B86">
        <w:rPr>
          <w:sz w:val="26"/>
          <w:szCs w:val="26"/>
          <w:lang w:val="lt-LT"/>
        </w:rPr>
        <w:t>(</w:t>
      </w:r>
      <w:r w:rsidR="00DB4C16" w:rsidRPr="00601B86">
        <w:rPr>
          <w:iCs/>
          <w:sz w:val="26"/>
          <w:szCs w:val="26"/>
        </w:rPr>
        <w:t>2004</w:t>
      </w:r>
      <w:r w:rsidR="00311114" w:rsidRPr="00601B86">
        <w:rPr>
          <w:iCs/>
          <w:sz w:val="26"/>
          <w:szCs w:val="26"/>
        </w:rPr>
        <w:t>)</w:t>
      </w:r>
      <w:r w:rsidR="00555E3D" w:rsidRPr="00601B86">
        <w:rPr>
          <w:iCs/>
          <w:sz w:val="26"/>
          <w:szCs w:val="26"/>
        </w:rPr>
        <w:t>, o</w:t>
      </w:r>
      <w:r w:rsidR="00806503" w:rsidRPr="00601B86">
        <w:rPr>
          <w:iCs/>
          <w:sz w:val="26"/>
          <w:szCs w:val="26"/>
          <w:lang w:val="lt-LT"/>
        </w:rPr>
        <w:t xml:space="preserve"> ją</w:t>
      </w:r>
      <w:r w:rsidR="00806503" w:rsidRPr="00601B86">
        <w:rPr>
          <w:iCs/>
          <w:sz w:val="26"/>
          <w:szCs w:val="26"/>
        </w:rPr>
        <w:t xml:space="preserve"> </w:t>
      </w:r>
      <w:r w:rsidR="00C66637" w:rsidRPr="00601B86">
        <w:rPr>
          <w:sz w:val="26"/>
          <w:szCs w:val="26"/>
          <w:lang w:val="lt-LT"/>
        </w:rPr>
        <w:t>reguliuoja Valstybinė kainų ir energetik</w:t>
      </w:r>
      <w:r w:rsidR="003B0ACA">
        <w:rPr>
          <w:sz w:val="26"/>
          <w:szCs w:val="26"/>
          <w:lang w:val="lt-LT"/>
        </w:rPr>
        <w:t>os kontrolės komisija (toliau – </w:t>
      </w:r>
      <w:r w:rsidR="00C66637" w:rsidRPr="00601B86">
        <w:rPr>
          <w:sz w:val="26"/>
          <w:szCs w:val="26"/>
          <w:lang w:val="lt-LT"/>
        </w:rPr>
        <w:t>Komisija). Komisija nustato šilumo</w:t>
      </w:r>
      <w:r w:rsidR="00E36884" w:rsidRPr="00601B86">
        <w:rPr>
          <w:sz w:val="26"/>
          <w:szCs w:val="26"/>
          <w:lang w:val="lt-LT"/>
        </w:rPr>
        <w:t>s</w:t>
      </w:r>
      <w:r w:rsidR="00C66637" w:rsidRPr="00601B86">
        <w:rPr>
          <w:sz w:val="26"/>
          <w:szCs w:val="26"/>
          <w:lang w:val="lt-LT"/>
        </w:rPr>
        <w:t xml:space="preserve"> ir kar</w:t>
      </w:r>
      <w:r w:rsidR="00E36884" w:rsidRPr="00601B86">
        <w:rPr>
          <w:sz w:val="26"/>
          <w:szCs w:val="26"/>
          <w:lang w:val="lt-LT"/>
        </w:rPr>
        <w:t>š</w:t>
      </w:r>
      <w:r w:rsidR="00C66637" w:rsidRPr="00601B86">
        <w:rPr>
          <w:sz w:val="26"/>
          <w:szCs w:val="26"/>
          <w:lang w:val="lt-LT"/>
        </w:rPr>
        <w:t>to vandens tiekimo bazin</w:t>
      </w:r>
      <w:r w:rsidR="00E36884" w:rsidRPr="00601B86">
        <w:rPr>
          <w:sz w:val="26"/>
          <w:szCs w:val="26"/>
          <w:lang w:val="lt-LT"/>
        </w:rPr>
        <w:t>e</w:t>
      </w:r>
      <w:r w:rsidR="00C66637" w:rsidRPr="00601B86">
        <w:rPr>
          <w:sz w:val="26"/>
          <w:szCs w:val="26"/>
          <w:lang w:val="lt-LT"/>
        </w:rPr>
        <w:t>s kainas</w:t>
      </w:r>
      <w:r w:rsidR="00E36884" w:rsidRPr="00601B86">
        <w:rPr>
          <w:sz w:val="26"/>
          <w:szCs w:val="26"/>
          <w:lang w:val="lt-LT"/>
        </w:rPr>
        <w:t xml:space="preserve">, </w:t>
      </w:r>
      <w:r w:rsidR="004E2CEB" w:rsidRPr="00601B86">
        <w:rPr>
          <w:sz w:val="26"/>
          <w:szCs w:val="26"/>
          <w:lang w:val="lt-LT"/>
        </w:rPr>
        <w:t xml:space="preserve">o </w:t>
      </w:r>
      <w:r w:rsidR="00CE693E" w:rsidRPr="00601B86">
        <w:rPr>
          <w:sz w:val="26"/>
          <w:szCs w:val="26"/>
          <w:lang w:val="lt-LT"/>
        </w:rPr>
        <w:t>Savivaldybių tarybos</w:t>
      </w:r>
      <w:r w:rsidR="004E2CEB" w:rsidRPr="00601B86">
        <w:rPr>
          <w:sz w:val="26"/>
          <w:szCs w:val="26"/>
          <w:lang w:val="lt-LT"/>
        </w:rPr>
        <w:t xml:space="preserve">, </w:t>
      </w:r>
      <w:r w:rsidR="00CE693E" w:rsidRPr="00601B86">
        <w:rPr>
          <w:sz w:val="26"/>
          <w:szCs w:val="26"/>
          <w:lang w:val="lt-LT"/>
        </w:rPr>
        <w:t xml:space="preserve">vadovaudamosi </w:t>
      </w:r>
      <w:r w:rsidR="004E2CEB" w:rsidRPr="00601B86">
        <w:rPr>
          <w:sz w:val="26"/>
          <w:szCs w:val="26"/>
          <w:lang w:val="lt-LT"/>
        </w:rPr>
        <w:t>K</w:t>
      </w:r>
      <w:r w:rsidR="00CE693E" w:rsidRPr="00601B86">
        <w:rPr>
          <w:sz w:val="26"/>
          <w:szCs w:val="26"/>
          <w:lang w:val="lt-LT"/>
        </w:rPr>
        <w:t>omisijos nustatytomis šilumos bazinėmis kainomis</w:t>
      </w:r>
      <w:r w:rsidR="004E2CEB" w:rsidRPr="00601B86">
        <w:rPr>
          <w:rStyle w:val="FootnoteReference"/>
          <w:sz w:val="26"/>
          <w:szCs w:val="26"/>
          <w:lang w:val="lt-LT"/>
        </w:rPr>
        <w:footnoteReference w:id="24"/>
      </w:r>
      <w:r w:rsidR="00CE693E" w:rsidRPr="00601B86">
        <w:rPr>
          <w:sz w:val="26"/>
          <w:szCs w:val="26"/>
          <w:lang w:val="lt-LT"/>
        </w:rPr>
        <w:t xml:space="preserve"> ir šilumos kainų nustatymo metodikomis </w:t>
      </w:r>
      <w:r w:rsidR="004E2CEB" w:rsidRPr="00601B86">
        <w:rPr>
          <w:sz w:val="26"/>
          <w:szCs w:val="26"/>
          <w:lang w:val="lt-LT"/>
        </w:rPr>
        <w:t xml:space="preserve">nustato </w:t>
      </w:r>
      <w:r w:rsidR="00CE693E" w:rsidRPr="00601B86">
        <w:rPr>
          <w:sz w:val="26"/>
          <w:szCs w:val="26"/>
          <w:lang w:val="lt-LT"/>
        </w:rPr>
        <w:t>įmonių tiekiamų šilumos ir (ar) karšto vandens kai</w:t>
      </w:r>
      <w:r w:rsidR="00DB4C16" w:rsidRPr="00601B86">
        <w:rPr>
          <w:sz w:val="26"/>
          <w:szCs w:val="26"/>
          <w:lang w:val="lt-LT"/>
        </w:rPr>
        <w:t>nas kiekvienam šilumos tiekėjui</w:t>
      </w:r>
      <w:r w:rsidR="003B0ACA">
        <w:rPr>
          <w:sz w:val="26"/>
          <w:szCs w:val="26"/>
          <w:lang w:val="lt-LT"/>
        </w:rPr>
        <w:t> </w:t>
      </w:r>
      <w:r w:rsidR="00DB4C16" w:rsidRPr="00601B86">
        <w:rPr>
          <w:sz w:val="26"/>
          <w:szCs w:val="26"/>
          <w:lang w:val="lt-LT"/>
        </w:rPr>
        <w:t>&lt;...&gt;</w:t>
      </w:r>
      <w:r w:rsidR="004E2CEB" w:rsidRPr="00601B86">
        <w:rPr>
          <w:sz w:val="26"/>
          <w:szCs w:val="26"/>
          <w:lang w:val="lt-LT"/>
        </w:rPr>
        <w:t>.</w:t>
      </w:r>
      <w:r w:rsidR="00CE693E" w:rsidRPr="00601B86">
        <w:rPr>
          <w:sz w:val="26"/>
          <w:szCs w:val="26"/>
          <w:lang w:val="lt-LT"/>
        </w:rPr>
        <w:t xml:space="preserve"> Savivaldybės tarybos nustatytos šilumos kainos galioja ne ilgiau </w:t>
      </w:r>
      <w:r w:rsidR="00CE693E" w:rsidRPr="00601B86">
        <w:rPr>
          <w:sz w:val="26"/>
          <w:szCs w:val="26"/>
          <w:lang w:val="lt-LT"/>
        </w:rPr>
        <w:lastRenderedPageBreak/>
        <w:t>kaip 12</w:t>
      </w:r>
      <w:r w:rsidR="00601B86">
        <w:rPr>
          <w:sz w:val="26"/>
          <w:szCs w:val="26"/>
          <w:lang w:val="lt-LT"/>
        </w:rPr>
        <w:t> </w:t>
      </w:r>
      <w:r w:rsidR="00CE693E" w:rsidRPr="00601B86">
        <w:rPr>
          <w:sz w:val="26"/>
          <w:szCs w:val="26"/>
          <w:lang w:val="lt-LT"/>
        </w:rPr>
        <w:t xml:space="preserve">mėnesių nuo jų įsigaliojimo dienos. </w:t>
      </w:r>
      <w:r w:rsidR="0066245E" w:rsidRPr="00601B86">
        <w:rPr>
          <w:sz w:val="26"/>
          <w:szCs w:val="26"/>
          <w:lang w:val="lt-LT"/>
        </w:rPr>
        <w:t>Atkreiptinas dėmesys, kad 98,2</w:t>
      </w:r>
      <w:r w:rsidR="00973556">
        <w:rPr>
          <w:sz w:val="26"/>
          <w:szCs w:val="26"/>
          <w:lang w:val="lt-LT"/>
        </w:rPr>
        <w:t> </w:t>
      </w:r>
      <w:r w:rsidR="0066245E" w:rsidRPr="00601B86">
        <w:rPr>
          <w:sz w:val="26"/>
          <w:szCs w:val="26"/>
          <w:lang w:val="lt-LT"/>
        </w:rPr>
        <w:t>proc. UAB „Šiluma</w:t>
      </w:r>
      <w:r w:rsidR="00161252" w:rsidRPr="00601B86">
        <w:rPr>
          <w:sz w:val="26"/>
          <w:szCs w:val="26"/>
          <w:lang w:val="lt-LT"/>
        </w:rPr>
        <w:t>“</w:t>
      </w:r>
      <w:r w:rsidR="0066245E" w:rsidRPr="00601B86">
        <w:rPr>
          <w:sz w:val="26"/>
          <w:szCs w:val="26"/>
          <w:lang w:val="lt-LT"/>
        </w:rPr>
        <w:t xml:space="preserve"> akcinio kapitalo valdo miestų ir rajonų savivaldybė</w:t>
      </w:r>
      <w:r w:rsidR="007A2A1E" w:rsidRPr="00601B86">
        <w:rPr>
          <w:sz w:val="26"/>
          <w:szCs w:val="26"/>
          <w:lang w:val="lt-LT"/>
        </w:rPr>
        <w:t>s</w:t>
      </w:r>
      <w:r w:rsidR="0066245E" w:rsidRPr="00601B86">
        <w:rPr>
          <w:sz w:val="26"/>
          <w:szCs w:val="26"/>
          <w:lang w:val="lt-LT"/>
        </w:rPr>
        <w:t xml:space="preserve">, o likusią dalį – privatūs asmenys. </w:t>
      </w:r>
      <w:r w:rsidR="007A2A1E" w:rsidRPr="00601B86">
        <w:rPr>
          <w:sz w:val="26"/>
          <w:szCs w:val="26"/>
          <w:lang w:val="lt-LT"/>
        </w:rPr>
        <w:t>Akcininkai yra suinteresuoti įmonės finansiniais rezultatais ir jos vykdoma veikla, tačiau norint savivaldos rinkimuose gauti daugiau pritarimo iš visuomenės nėra populiaru nustatyti aukštas šilumos tiekimo kaina</w:t>
      </w:r>
      <w:r w:rsidR="0066245E" w:rsidRPr="00601B86">
        <w:rPr>
          <w:sz w:val="26"/>
          <w:szCs w:val="26"/>
          <w:lang w:val="lt-LT"/>
        </w:rPr>
        <w:t>s</w:t>
      </w:r>
      <w:r w:rsidR="007A2A1E" w:rsidRPr="00601B86">
        <w:rPr>
          <w:sz w:val="26"/>
          <w:szCs w:val="26"/>
          <w:lang w:val="lt-LT"/>
        </w:rPr>
        <w:t xml:space="preserve">. </w:t>
      </w:r>
      <w:r w:rsidR="00555E3D" w:rsidRPr="00601B86">
        <w:rPr>
          <w:sz w:val="26"/>
          <w:szCs w:val="26"/>
          <w:lang w:val="lt-LT"/>
        </w:rPr>
        <w:t>U</w:t>
      </w:r>
      <w:r w:rsidR="00806503" w:rsidRPr="00601B86">
        <w:rPr>
          <w:sz w:val="26"/>
          <w:szCs w:val="26"/>
          <w:lang w:val="lt-LT"/>
        </w:rPr>
        <w:t>AB „Šiluma“</w:t>
      </w:r>
      <w:r w:rsidR="00346ECB" w:rsidRPr="00601B86">
        <w:rPr>
          <w:sz w:val="26"/>
          <w:szCs w:val="26"/>
          <w:lang w:val="lt-LT"/>
        </w:rPr>
        <w:t xml:space="preserve"> </w:t>
      </w:r>
      <w:r w:rsidR="00892914" w:rsidRPr="00601B86">
        <w:rPr>
          <w:sz w:val="26"/>
          <w:szCs w:val="26"/>
          <w:lang w:val="lt-LT"/>
        </w:rPr>
        <w:t>buvo nustatyta šilumos kaina ir taikoma nuo 2007 m. rugpjūčio 1 d., o 2008 metais kaina</w:t>
      </w:r>
      <w:r w:rsidR="00967A63" w:rsidRPr="00601B86">
        <w:rPr>
          <w:sz w:val="26"/>
          <w:szCs w:val="26"/>
          <w:lang w:val="lt-LT"/>
        </w:rPr>
        <w:t xml:space="preserve"> buvo perskaičiuota (padidinant apie 7,2 ct/KWh </w:t>
      </w:r>
      <w:r w:rsidR="008F3B86" w:rsidRPr="00601B86">
        <w:rPr>
          <w:sz w:val="26"/>
          <w:szCs w:val="26"/>
          <w:lang w:val="lt-LT"/>
        </w:rPr>
        <w:t xml:space="preserve">arba </w:t>
      </w:r>
      <w:r w:rsidR="008D6540" w:rsidRPr="00601B86">
        <w:rPr>
          <w:sz w:val="26"/>
          <w:szCs w:val="26"/>
          <w:lang w:val="lt-LT"/>
        </w:rPr>
        <w:t xml:space="preserve">50 proc. </w:t>
      </w:r>
      <w:r w:rsidR="00967A63" w:rsidRPr="00601B86">
        <w:rPr>
          <w:sz w:val="26"/>
          <w:szCs w:val="26"/>
          <w:lang w:val="lt-LT"/>
        </w:rPr>
        <w:t>tiek gyventojams, tiek kitiems vartotojams) ir</w:t>
      </w:r>
      <w:r w:rsidR="00892914" w:rsidRPr="00601B86">
        <w:rPr>
          <w:sz w:val="26"/>
          <w:szCs w:val="26"/>
          <w:lang w:val="lt-LT"/>
        </w:rPr>
        <w:t xml:space="preserve"> </w:t>
      </w:r>
      <w:r w:rsidR="00967A63" w:rsidRPr="00601B86">
        <w:rPr>
          <w:sz w:val="26"/>
          <w:szCs w:val="26"/>
          <w:lang w:val="lt-LT"/>
        </w:rPr>
        <w:t>taikoma nuo 2008 m liepos 1 d.</w:t>
      </w:r>
      <w:r w:rsidR="008F3B86" w:rsidRPr="00601B86">
        <w:rPr>
          <w:sz w:val="26"/>
          <w:szCs w:val="26"/>
          <w:lang w:val="lt-LT"/>
        </w:rPr>
        <w:t xml:space="preserve"> </w:t>
      </w:r>
      <w:r w:rsidR="0077072A" w:rsidRPr="00601B86">
        <w:rPr>
          <w:sz w:val="26"/>
          <w:szCs w:val="26"/>
          <w:lang w:val="lt-LT"/>
        </w:rPr>
        <w:t xml:space="preserve">Be to, </w:t>
      </w:r>
      <w:r w:rsidR="00346ECB" w:rsidRPr="00601B86">
        <w:rPr>
          <w:sz w:val="26"/>
          <w:szCs w:val="26"/>
          <w:lang w:val="lt-LT"/>
        </w:rPr>
        <w:t>įmonei</w:t>
      </w:r>
      <w:r w:rsidR="00BA1A3C" w:rsidRPr="00601B86">
        <w:rPr>
          <w:sz w:val="26"/>
          <w:szCs w:val="26"/>
          <w:lang w:val="lt-LT"/>
        </w:rPr>
        <w:t xml:space="preserve"> buvo patvirtinti ir elektros energijos tarifai (2008 m</w:t>
      </w:r>
      <w:r w:rsidR="003B0ACA">
        <w:rPr>
          <w:sz w:val="26"/>
          <w:szCs w:val="26"/>
          <w:lang w:val="lt-LT"/>
        </w:rPr>
        <w:t>etais</w:t>
      </w:r>
      <w:r w:rsidR="00BA1A3C" w:rsidRPr="00601B86">
        <w:rPr>
          <w:sz w:val="26"/>
          <w:szCs w:val="26"/>
          <w:lang w:val="lt-LT"/>
        </w:rPr>
        <w:t xml:space="preserve"> 12,1 proc. didesni nei </w:t>
      </w:r>
      <w:r w:rsidR="00A12BEF" w:rsidRPr="00601B86">
        <w:rPr>
          <w:sz w:val="26"/>
          <w:szCs w:val="26"/>
          <w:lang w:val="lt-LT"/>
        </w:rPr>
        <w:t>2007 m</w:t>
      </w:r>
      <w:r w:rsidR="003B0ACA">
        <w:rPr>
          <w:sz w:val="26"/>
          <w:szCs w:val="26"/>
          <w:lang w:val="lt-LT"/>
        </w:rPr>
        <w:t>etais</w:t>
      </w:r>
      <w:r w:rsidR="00A12BEF" w:rsidRPr="00601B86">
        <w:rPr>
          <w:sz w:val="26"/>
          <w:szCs w:val="26"/>
          <w:lang w:val="lt-LT"/>
        </w:rPr>
        <w:t xml:space="preserve">). </w:t>
      </w:r>
      <w:r w:rsidR="00701D3D" w:rsidRPr="00601B86">
        <w:rPr>
          <w:sz w:val="26"/>
          <w:szCs w:val="26"/>
          <w:lang w:val="lt-LT"/>
        </w:rPr>
        <w:t>Todė</w:t>
      </w:r>
      <w:r w:rsidR="00DB4C16" w:rsidRPr="00601B86">
        <w:rPr>
          <w:sz w:val="26"/>
          <w:szCs w:val="26"/>
          <w:lang w:val="lt-LT"/>
        </w:rPr>
        <w:t xml:space="preserve">l egzistuoja rizika, kad įmonės </w:t>
      </w:r>
      <w:r w:rsidR="00D7339F" w:rsidRPr="00601B86">
        <w:rPr>
          <w:sz w:val="26"/>
          <w:szCs w:val="26"/>
          <w:lang w:val="lt-LT"/>
        </w:rPr>
        <w:t xml:space="preserve">atžvilgiu nustatyta </w:t>
      </w:r>
      <w:r w:rsidR="00DB4C16" w:rsidRPr="00601B86">
        <w:rPr>
          <w:sz w:val="26"/>
          <w:szCs w:val="26"/>
          <w:lang w:val="lt-LT"/>
        </w:rPr>
        <w:t xml:space="preserve">gaminamos bei teikiamos šilumos ir elektros energijos kaina </w:t>
      </w:r>
      <w:r w:rsidR="00B85529" w:rsidRPr="00601B86">
        <w:rPr>
          <w:sz w:val="26"/>
          <w:szCs w:val="26"/>
          <w:lang w:val="lt-LT"/>
        </w:rPr>
        <w:t>gali laiku</w:t>
      </w:r>
      <w:r w:rsidR="00DB4C16" w:rsidRPr="00601B86">
        <w:rPr>
          <w:sz w:val="26"/>
          <w:szCs w:val="26"/>
          <w:lang w:val="lt-LT"/>
        </w:rPr>
        <w:t xml:space="preserve"> nepadengti įmonės patiriamų sąnaudų.</w:t>
      </w:r>
      <w:r w:rsidR="008C7938" w:rsidRPr="00601B86">
        <w:rPr>
          <w:sz w:val="26"/>
          <w:szCs w:val="26"/>
          <w:lang w:val="lt-LT"/>
        </w:rPr>
        <w:t xml:space="preserve"> A</w:t>
      </w:r>
      <w:r w:rsidR="00D7339F" w:rsidRPr="00601B86">
        <w:rPr>
          <w:sz w:val="26"/>
          <w:szCs w:val="26"/>
          <w:lang w:val="lt-LT"/>
        </w:rPr>
        <w:t>tkreiptinas dėmesys, kad</w:t>
      </w:r>
      <w:r w:rsidR="008F3B86" w:rsidRPr="00601B86">
        <w:rPr>
          <w:sz w:val="26"/>
          <w:szCs w:val="26"/>
          <w:lang w:val="lt-LT"/>
        </w:rPr>
        <w:t xml:space="preserve"> d</w:t>
      </w:r>
      <w:r w:rsidR="00571E29" w:rsidRPr="00601B86">
        <w:rPr>
          <w:sz w:val="26"/>
          <w:szCs w:val="26"/>
          <w:lang w:val="lt-LT"/>
        </w:rPr>
        <w:t xml:space="preserve">idžiausią </w:t>
      </w:r>
      <w:r w:rsidR="00D47CD8" w:rsidRPr="00601B86">
        <w:rPr>
          <w:sz w:val="26"/>
          <w:szCs w:val="26"/>
          <w:lang w:val="lt-LT"/>
        </w:rPr>
        <w:t xml:space="preserve">dalį </w:t>
      </w:r>
      <w:r w:rsidR="00346ECB" w:rsidRPr="00601B86">
        <w:rPr>
          <w:sz w:val="26"/>
          <w:szCs w:val="26"/>
          <w:lang w:val="lt-LT"/>
        </w:rPr>
        <w:t>įmon</w:t>
      </w:r>
      <w:r w:rsidR="00D47CD8" w:rsidRPr="00601B86">
        <w:rPr>
          <w:sz w:val="26"/>
          <w:szCs w:val="26"/>
          <w:lang w:val="lt-LT"/>
        </w:rPr>
        <w:t xml:space="preserve">ės sąnaudų struktūroje </w:t>
      </w:r>
      <w:r w:rsidR="00D7339F" w:rsidRPr="00601B86">
        <w:rPr>
          <w:sz w:val="26"/>
          <w:szCs w:val="26"/>
          <w:lang w:val="lt-LT"/>
        </w:rPr>
        <w:t xml:space="preserve">(2008 m. – 69,0 proc., 2007 m. – 57,5 proc.) </w:t>
      </w:r>
      <w:r w:rsidR="00D47CD8" w:rsidRPr="00601B86">
        <w:rPr>
          <w:sz w:val="26"/>
          <w:szCs w:val="26"/>
          <w:lang w:val="lt-LT"/>
        </w:rPr>
        <w:t xml:space="preserve">užima kuro sąnaudos. </w:t>
      </w:r>
      <w:r w:rsidR="008F3B86" w:rsidRPr="00601B86">
        <w:rPr>
          <w:sz w:val="26"/>
          <w:szCs w:val="26"/>
          <w:lang w:val="lt-LT"/>
        </w:rPr>
        <w:t>V</w:t>
      </w:r>
      <w:r w:rsidR="00D47CD8" w:rsidRPr="00601B86">
        <w:rPr>
          <w:sz w:val="26"/>
          <w:szCs w:val="26"/>
          <w:lang w:val="lt-LT"/>
        </w:rPr>
        <w:t xml:space="preserve">isų rūšių kuro sąnaudos per paskutinius </w:t>
      </w:r>
      <w:r w:rsidR="00C94ED7" w:rsidRPr="00601B86">
        <w:rPr>
          <w:sz w:val="26"/>
          <w:szCs w:val="26"/>
          <w:lang w:val="lt-LT"/>
        </w:rPr>
        <w:t xml:space="preserve">dvejus </w:t>
      </w:r>
      <w:r w:rsidR="008D6540" w:rsidRPr="00601B86">
        <w:rPr>
          <w:sz w:val="26"/>
          <w:szCs w:val="26"/>
          <w:lang w:val="lt-LT"/>
        </w:rPr>
        <w:t>metus</w:t>
      </w:r>
      <w:r w:rsidR="00555E3D" w:rsidRPr="00601B86">
        <w:rPr>
          <w:sz w:val="26"/>
          <w:szCs w:val="26"/>
          <w:lang w:val="lt-LT"/>
        </w:rPr>
        <w:t>,</w:t>
      </w:r>
      <w:r w:rsidR="008D6540" w:rsidRPr="00601B86">
        <w:rPr>
          <w:sz w:val="26"/>
          <w:szCs w:val="26"/>
          <w:lang w:val="lt-LT"/>
        </w:rPr>
        <w:t xml:space="preserve"> </w:t>
      </w:r>
      <w:r w:rsidR="00555E3D" w:rsidRPr="00601B86">
        <w:rPr>
          <w:sz w:val="26"/>
          <w:szCs w:val="26"/>
          <w:lang w:val="lt-LT"/>
        </w:rPr>
        <w:t xml:space="preserve">remiantis </w:t>
      </w:r>
      <w:r w:rsidR="00C94ED7" w:rsidRPr="00601B86">
        <w:rPr>
          <w:sz w:val="26"/>
          <w:szCs w:val="26"/>
          <w:lang w:val="lt-LT"/>
        </w:rPr>
        <w:t>įmonės duomenimis</w:t>
      </w:r>
      <w:r w:rsidR="00DD6C06" w:rsidRPr="00601B86">
        <w:rPr>
          <w:sz w:val="26"/>
          <w:szCs w:val="26"/>
          <w:lang w:val="lt-LT"/>
        </w:rPr>
        <w:t>,</w:t>
      </w:r>
      <w:r w:rsidR="00C94ED7" w:rsidRPr="00601B86">
        <w:rPr>
          <w:sz w:val="26"/>
          <w:szCs w:val="26"/>
          <w:lang w:val="lt-LT"/>
        </w:rPr>
        <w:t xml:space="preserve"> </w:t>
      </w:r>
      <w:r w:rsidR="008D6540" w:rsidRPr="00601B86">
        <w:rPr>
          <w:sz w:val="26"/>
          <w:szCs w:val="26"/>
          <w:lang w:val="lt-LT"/>
        </w:rPr>
        <w:t xml:space="preserve">rinkoje ženkliai </w:t>
      </w:r>
      <w:r w:rsidR="00D47CD8" w:rsidRPr="00601B86">
        <w:rPr>
          <w:sz w:val="26"/>
          <w:szCs w:val="26"/>
          <w:lang w:val="lt-LT"/>
        </w:rPr>
        <w:t>didėjo: gamtinių dujų (2008 m. –</w:t>
      </w:r>
      <w:r w:rsidR="008F3B86" w:rsidRPr="00601B86">
        <w:rPr>
          <w:sz w:val="26"/>
          <w:szCs w:val="26"/>
          <w:lang w:val="lt-LT"/>
        </w:rPr>
        <w:t xml:space="preserve"> 76 proc.</w:t>
      </w:r>
      <w:r w:rsidR="00C94ED7" w:rsidRPr="00601B86">
        <w:rPr>
          <w:sz w:val="26"/>
          <w:szCs w:val="26"/>
          <w:lang w:val="lt-LT"/>
        </w:rPr>
        <w:t>;</w:t>
      </w:r>
      <w:r w:rsidR="008F3B86" w:rsidRPr="00601B86">
        <w:rPr>
          <w:sz w:val="26"/>
          <w:szCs w:val="26"/>
          <w:lang w:val="lt-LT"/>
        </w:rPr>
        <w:t xml:space="preserve"> vidutinė metinė gamtinių dujų kaina 2008 m. sudarė 1180 litų/1000 m</w:t>
      </w:r>
      <w:r w:rsidR="008F3B86" w:rsidRPr="00601B86">
        <w:rPr>
          <w:sz w:val="26"/>
          <w:szCs w:val="26"/>
          <w:vertAlign w:val="superscript"/>
          <w:lang w:val="lt-LT"/>
        </w:rPr>
        <w:t>3</w:t>
      </w:r>
      <w:r w:rsidR="008F3B86" w:rsidRPr="00601B86">
        <w:rPr>
          <w:sz w:val="26"/>
          <w:szCs w:val="26"/>
          <w:lang w:val="lt-LT"/>
        </w:rPr>
        <w:t>, 2007 m. – 669/1000m</w:t>
      </w:r>
      <w:r w:rsidR="008F3B86" w:rsidRPr="00601B86">
        <w:rPr>
          <w:sz w:val="26"/>
          <w:szCs w:val="26"/>
          <w:vertAlign w:val="superscript"/>
          <w:lang w:val="lt-LT"/>
        </w:rPr>
        <w:t>3</w:t>
      </w:r>
      <w:r w:rsidR="00D47CD8" w:rsidRPr="00601B86">
        <w:rPr>
          <w:sz w:val="26"/>
          <w:szCs w:val="26"/>
          <w:lang w:val="lt-LT"/>
        </w:rPr>
        <w:t xml:space="preserve">), </w:t>
      </w:r>
      <w:r w:rsidR="008D6540" w:rsidRPr="00601B86">
        <w:rPr>
          <w:sz w:val="26"/>
          <w:szCs w:val="26"/>
          <w:lang w:val="lt-LT"/>
        </w:rPr>
        <w:t xml:space="preserve">medienos (skiedrų, pjuvenų) kaina – 21 proc., </w:t>
      </w:r>
      <w:r w:rsidR="008F3B86" w:rsidRPr="00601B86">
        <w:rPr>
          <w:sz w:val="26"/>
          <w:szCs w:val="26"/>
          <w:lang w:val="lt-LT"/>
        </w:rPr>
        <w:t xml:space="preserve">malkų kaina – 32 proc., </w:t>
      </w:r>
      <w:r w:rsidR="008D6540" w:rsidRPr="00601B86">
        <w:rPr>
          <w:sz w:val="26"/>
          <w:szCs w:val="26"/>
          <w:lang w:val="lt-LT"/>
        </w:rPr>
        <w:t xml:space="preserve">o </w:t>
      </w:r>
      <w:r w:rsidR="008F3B86" w:rsidRPr="00601B86">
        <w:rPr>
          <w:sz w:val="26"/>
          <w:szCs w:val="26"/>
          <w:lang w:val="lt-LT"/>
        </w:rPr>
        <w:t>mazuto – 54 proc.</w:t>
      </w:r>
      <w:r w:rsidR="009C0F58" w:rsidRPr="00601B86">
        <w:rPr>
          <w:sz w:val="26"/>
          <w:szCs w:val="26"/>
          <w:lang w:val="lt-LT"/>
        </w:rPr>
        <w:t>, tik 2008 m. pab. ji pradėjo mažėti.</w:t>
      </w:r>
      <w:r w:rsidR="008D6540" w:rsidRPr="00601B86">
        <w:rPr>
          <w:sz w:val="26"/>
          <w:szCs w:val="26"/>
          <w:lang w:val="lt-LT"/>
        </w:rPr>
        <w:t xml:space="preserve"> Atsižvelgiant į tai, </w:t>
      </w:r>
      <w:r w:rsidR="00346ECB" w:rsidRPr="00601B86">
        <w:rPr>
          <w:sz w:val="26"/>
          <w:szCs w:val="26"/>
          <w:lang w:val="lt-LT"/>
        </w:rPr>
        <w:t>įmonės</w:t>
      </w:r>
      <w:r w:rsidR="008D6540" w:rsidRPr="00601B86">
        <w:rPr>
          <w:sz w:val="26"/>
          <w:szCs w:val="26"/>
          <w:lang w:val="lt-LT"/>
        </w:rPr>
        <w:t xml:space="preserve"> sunaudojamo sąlyginio kuro kaina </w:t>
      </w:r>
      <w:r w:rsidR="00C94ED7" w:rsidRPr="00601B86">
        <w:rPr>
          <w:sz w:val="26"/>
          <w:szCs w:val="26"/>
          <w:lang w:val="lt-LT"/>
        </w:rPr>
        <w:t xml:space="preserve">2008 metais </w:t>
      </w:r>
      <w:r w:rsidR="008D6540" w:rsidRPr="00601B86">
        <w:rPr>
          <w:sz w:val="26"/>
          <w:szCs w:val="26"/>
          <w:lang w:val="lt-LT"/>
        </w:rPr>
        <w:t>padidėjo 62 proc.</w:t>
      </w:r>
      <w:r w:rsidR="00C94ED7" w:rsidRPr="00601B86">
        <w:rPr>
          <w:sz w:val="26"/>
          <w:szCs w:val="26"/>
          <w:lang w:val="lt-LT"/>
        </w:rPr>
        <w:t>, kurios nepadengė Komisijos padidinta šilumos ir elektros energijos kaina</w:t>
      </w:r>
      <w:r w:rsidR="00806503" w:rsidRPr="00601B86">
        <w:rPr>
          <w:sz w:val="26"/>
          <w:szCs w:val="26"/>
          <w:lang w:val="lt-LT"/>
        </w:rPr>
        <w:t>.</w:t>
      </w:r>
      <w:r w:rsidR="003022BC" w:rsidRPr="00601B86">
        <w:rPr>
          <w:sz w:val="26"/>
          <w:szCs w:val="26"/>
          <w:lang w:val="lt-LT"/>
        </w:rPr>
        <w:t xml:space="preserve"> </w:t>
      </w:r>
      <w:r w:rsidR="00B85529" w:rsidRPr="00601B86">
        <w:rPr>
          <w:sz w:val="26"/>
          <w:szCs w:val="26"/>
          <w:lang w:val="lt-LT"/>
        </w:rPr>
        <w:t xml:space="preserve">Kaip matome, </w:t>
      </w:r>
      <w:r w:rsidR="00555E3D" w:rsidRPr="00601B86">
        <w:rPr>
          <w:sz w:val="26"/>
          <w:szCs w:val="26"/>
          <w:lang w:val="lt-LT"/>
        </w:rPr>
        <w:t>U</w:t>
      </w:r>
      <w:r w:rsidR="008C7938" w:rsidRPr="00601B86">
        <w:rPr>
          <w:sz w:val="26"/>
          <w:szCs w:val="26"/>
          <w:lang w:val="lt-LT"/>
        </w:rPr>
        <w:t xml:space="preserve">AB „Šiluma“ finansinius </w:t>
      </w:r>
      <w:r w:rsidR="00B85529" w:rsidRPr="00601B86">
        <w:rPr>
          <w:sz w:val="26"/>
          <w:szCs w:val="26"/>
          <w:lang w:val="lt-LT"/>
        </w:rPr>
        <w:t>veiklos rezultatus itin veikia situacija kuro rinkoje</w:t>
      </w:r>
      <w:r w:rsidR="007F6165" w:rsidRPr="00601B86">
        <w:rPr>
          <w:sz w:val="26"/>
          <w:szCs w:val="26"/>
          <w:lang w:val="lt-LT"/>
        </w:rPr>
        <w:t xml:space="preserve">, t. y. </w:t>
      </w:r>
      <w:r w:rsidR="00B85529" w:rsidRPr="00601B86">
        <w:rPr>
          <w:sz w:val="26"/>
          <w:szCs w:val="26"/>
          <w:lang w:val="lt-LT"/>
        </w:rPr>
        <w:t>kuro kainos</w:t>
      </w:r>
      <w:r w:rsidR="007F6165" w:rsidRPr="00601B86">
        <w:rPr>
          <w:sz w:val="26"/>
          <w:szCs w:val="26"/>
          <w:lang w:val="lt-LT"/>
        </w:rPr>
        <w:t>,</w:t>
      </w:r>
      <w:r w:rsidR="00B85529" w:rsidRPr="00601B86">
        <w:rPr>
          <w:sz w:val="26"/>
          <w:szCs w:val="26"/>
          <w:lang w:val="lt-LT"/>
        </w:rPr>
        <w:t xml:space="preserve"> bei laiku prie rinkos sąlygų neprisiderinantis šilumos ir elektros energijos kainų reguliavimas</w:t>
      </w:r>
      <w:r w:rsidR="008C7938" w:rsidRPr="00601B86">
        <w:rPr>
          <w:sz w:val="26"/>
          <w:szCs w:val="26"/>
          <w:lang w:val="lt-LT"/>
        </w:rPr>
        <w:t>, pavyzdžiui, n</w:t>
      </w:r>
      <w:r w:rsidR="00701D3D" w:rsidRPr="00601B86">
        <w:rPr>
          <w:sz w:val="26"/>
          <w:szCs w:val="26"/>
          <w:lang w:val="lt-LT"/>
        </w:rPr>
        <w:t>auj</w:t>
      </w:r>
      <w:r w:rsidR="00DD6C06" w:rsidRPr="00601B86">
        <w:rPr>
          <w:sz w:val="26"/>
          <w:szCs w:val="26"/>
          <w:lang w:val="lt-LT"/>
        </w:rPr>
        <w:t>a</w:t>
      </w:r>
      <w:r w:rsidR="00701D3D" w:rsidRPr="00601B86">
        <w:rPr>
          <w:sz w:val="26"/>
          <w:szCs w:val="26"/>
          <w:lang w:val="lt-LT"/>
        </w:rPr>
        <w:t xml:space="preserve">i </w:t>
      </w:r>
      <w:r w:rsidR="00DD6C06" w:rsidRPr="00601B86">
        <w:rPr>
          <w:sz w:val="26"/>
          <w:szCs w:val="26"/>
          <w:lang w:val="lt-LT"/>
        </w:rPr>
        <w:t xml:space="preserve">pagal pakilusias kuro kainas </w:t>
      </w:r>
      <w:r w:rsidR="00701D3D" w:rsidRPr="00601B86">
        <w:rPr>
          <w:sz w:val="26"/>
          <w:szCs w:val="26"/>
          <w:lang w:val="lt-LT"/>
        </w:rPr>
        <w:t xml:space="preserve">perskaičiuoti </w:t>
      </w:r>
      <w:r w:rsidR="008C7938" w:rsidRPr="00601B86">
        <w:rPr>
          <w:sz w:val="26"/>
          <w:szCs w:val="26"/>
          <w:lang w:val="lt-LT"/>
        </w:rPr>
        <w:t xml:space="preserve">kainų </w:t>
      </w:r>
      <w:r w:rsidR="00701D3D" w:rsidRPr="00601B86">
        <w:rPr>
          <w:sz w:val="26"/>
          <w:szCs w:val="26"/>
          <w:lang w:val="lt-LT"/>
        </w:rPr>
        <w:t xml:space="preserve">tarifai bus taikomi tik nuo 2009 m. liepos 1 d. </w:t>
      </w:r>
      <w:r w:rsidR="00FF63EE" w:rsidRPr="00601B86">
        <w:rPr>
          <w:sz w:val="26"/>
          <w:szCs w:val="26"/>
          <w:lang w:val="lt-LT"/>
        </w:rPr>
        <w:t xml:space="preserve">Tačiau įmonė atidžiai stebi šiuos dalykus ir registruoja uždirbamas pajamas pagal nustatytas kainas. </w:t>
      </w:r>
      <w:r w:rsidR="00CE3EFF" w:rsidRPr="00601B86">
        <w:rPr>
          <w:sz w:val="26"/>
          <w:szCs w:val="26"/>
          <w:lang w:val="lt-LT"/>
        </w:rPr>
        <w:t xml:space="preserve">Nemažiau </w:t>
      </w:r>
      <w:r w:rsidR="00811F49" w:rsidRPr="00601B86">
        <w:rPr>
          <w:sz w:val="26"/>
          <w:szCs w:val="26"/>
          <w:lang w:val="lt-LT"/>
        </w:rPr>
        <w:t>sėkmingai įmonės veiklai svarbus savalaikis vartotojų atsiskaitymas</w:t>
      </w:r>
      <w:r w:rsidR="00DD6C06" w:rsidRPr="00601B86">
        <w:rPr>
          <w:sz w:val="26"/>
          <w:szCs w:val="26"/>
          <w:lang w:val="lt-LT"/>
        </w:rPr>
        <w:t>.</w:t>
      </w:r>
      <w:r w:rsidR="00811F49" w:rsidRPr="00601B86">
        <w:rPr>
          <w:sz w:val="26"/>
          <w:szCs w:val="26"/>
          <w:lang w:val="lt-LT"/>
        </w:rPr>
        <w:t xml:space="preserve"> 2008 m. pabaigo</w:t>
      </w:r>
      <w:r w:rsidR="00DD6C06" w:rsidRPr="00601B86">
        <w:rPr>
          <w:sz w:val="26"/>
          <w:szCs w:val="26"/>
          <w:lang w:val="lt-LT"/>
        </w:rPr>
        <w:t xml:space="preserve">je </w:t>
      </w:r>
      <w:r w:rsidR="00161252" w:rsidRPr="00601B86">
        <w:rPr>
          <w:sz w:val="26"/>
          <w:szCs w:val="26"/>
          <w:lang w:val="lt-LT"/>
        </w:rPr>
        <w:t xml:space="preserve">vartotojų </w:t>
      </w:r>
      <w:r w:rsidR="00DD6C06" w:rsidRPr="00601B86">
        <w:rPr>
          <w:sz w:val="26"/>
          <w:szCs w:val="26"/>
          <w:lang w:val="lt-LT"/>
        </w:rPr>
        <w:t>skolos išaugo per 31,2</w:t>
      </w:r>
      <w:r w:rsidR="00601B86">
        <w:rPr>
          <w:sz w:val="26"/>
          <w:szCs w:val="26"/>
          <w:lang w:val="lt-LT"/>
        </w:rPr>
        <w:t> </w:t>
      </w:r>
      <w:r w:rsidR="00DD6C06" w:rsidRPr="00601B86">
        <w:rPr>
          <w:sz w:val="26"/>
          <w:szCs w:val="26"/>
          <w:lang w:val="lt-LT"/>
        </w:rPr>
        <w:t xml:space="preserve">proc., iš jų </w:t>
      </w:r>
      <w:r w:rsidR="00811F49" w:rsidRPr="00601B86">
        <w:rPr>
          <w:sz w:val="26"/>
          <w:szCs w:val="26"/>
          <w:lang w:val="lt-LT"/>
        </w:rPr>
        <w:t xml:space="preserve">gyventojų skolos dalis sudarė 66 proc., pramonės įmonių – 19 proc., kitų vartotojų – 15 proc. bendros įsiskolinimų sumos. </w:t>
      </w:r>
      <w:bookmarkStart w:id="47" w:name="OLE_LINK7"/>
    </w:p>
    <w:p w:rsidR="00811F49" w:rsidRPr="00601B86" w:rsidRDefault="000B5370" w:rsidP="00DB4C16">
      <w:pPr>
        <w:pStyle w:val="NormalWeb"/>
        <w:spacing w:before="0" w:beforeAutospacing="0" w:after="0" w:afterAutospacing="0" w:line="360" w:lineRule="auto"/>
        <w:ind w:firstLine="720"/>
        <w:jc w:val="both"/>
        <w:rPr>
          <w:sz w:val="26"/>
          <w:szCs w:val="26"/>
          <w:lang w:val="lt-LT"/>
        </w:rPr>
      </w:pPr>
      <w:r>
        <w:rPr>
          <w:sz w:val="26"/>
          <w:szCs w:val="26"/>
          <w:lang w:val="lt-LT"/>
        </w:rPr>
        <w:lastRenderedPageBreak/>
        <w:t>Audito metu aptartos išorės aplinkos sąlygos bei susiję veiksniai UAB</w:t>
      </w:r>
      <w:r w:rsidR="00574CBE">
        <w:rPr>
          <w:sz w:val="26"/>
          <w:szCs w:val="26"/>
          <w:lang w:val="lt-LT"/>
        </w:rPr>
        <w:t> </w:t>
      </w:r>
      <w:r>
        <w:rPr>
          <w:sz w:val="26"/>
          <w:szCs w:val="26"/>
          <w:lang w:val="lt-LT"/>
        </w:rPr>
        <w:t>„Šiluma“ atžvilgiu buvo išanalizuoti ir atitinkamai įvertinta jų pasireiškimo tikimybė ir į</w:t>
      </w:r>
      <w:r w:rsidR="00CC20F4">
        <w:rPr>
          <w:sz w:val="26"/>
          <w:szCs w:val="26"/>
          <w:lang w:val="lt-LT"/>
        </w:rPr>
        <w:t>taka</w:t>
      </w:r>
      <w:r w:rsidR="00BE4B5D">
        <w:rPr>
          <w:sz w:val="26"/>
          <w:szCs w:val="26"/>
          <w:lang w:val="lt-LT"/>
        </w:rPr>
        <w:t xml:space="preserve"> verslo rizikai</w:t>
      </w:r>
      <w:r w:rsidR="00CC20F4">
        <w:rPr>
          <w:sz w:val="26"/>
          <w:szCs w:val="26"/>
          <w:lang w:val="lt-LT"/>
        </w:rPr>
        <w:t xml:space="preserve">. Atliekant šį vertinimą pasinaudota darbo autorės sudaryta </w:t>
      </w:r>
      <w:r w:rsidR="00CC20F4" w:rsidRPr="00CC20F4">
        <w:rPr>
          <w:b/>
          <w:sz w:val="26"/>
          <w:szCs w:val="26"/>
          <w:lang w:val="lt-LT"/>
        </w:rPr>
        <w:t>verslo rizikos apskaičiavimo lentele</w:t>
      </w:r>
      <w:r w:rsidR="00292E9E">
        <w:rPr>
          <w:sz w:val="26"/>
          <w:szCs w:val="26"/>
          <w:lang w:val="lt-LT"/>
        </w:rPr>
        <w:t xml:space="preserve"> (ž</w:t>
      </w:r>
      <w:r w:rsidR="00292E9E" w:rsidRPr="005556F1">
        <w:rPr>
          <w:sz w:val="26"/>
          <w:szCs w:val="26"/>
          <w:lang w:val="lt-LT"/>
        </w:rPr>
        <w:t>r. 20 priedas)</w:t>
      </w:r>
      <w:r w:rsidR="00F47408" w:rsidRPr="00F47408">
        <w:rPr>
          <w:sz w:val="26"/>
          <w:szCs w:val="26"/>
          <w:lang w:val="lt-LT"/>
        </w:rPr>
        <w:t xml:space="preserve"> bei pasiūlyta kiekybinio įvertinimo metodika</w:t>
      </w:r>
      <w:r w:rsidR="00CC20F4">
        <w:rPr>
          <w:sz w:val="26"/>
          <w:szCs w:val="26"/>
          <w:lang w:val="lt-LT"/>
        </w:rPr>
        <w:t xml:space="preserve">. </w:t>
      </w:r>
      <w:r w:rsidR="00F76135" w:rsidRPr="00601B86">
        <w:rPr>
          <w:sz w:val="26"/>
          <w:szCs w:val="26"/>
          <w:lang w:val="lt-LT"/>
        </w:rPr>
        <w:t xml:space="preserve">Kadangi </w:t>
      </w:r>
      <w:r w:rsidR="00E6656C" w:rsidRPr="00601B86">
        <w:rPr>
          <w:sz w:val="26"/>
          <w:szCs w:val="26"/>
          <w:lang w:val="lt-LT"/>
        </w:rPr>
        <w:t>2008 m. pab</w:t>
      </w:r>
      <w:r w:rsidR="00F76135" w:rsidRPr="00601B86">
        <w:rPr>
          <w:sz w:val="26"/>
          <w:szCs w:val="26"/>
          <w:lang w:val="lt-LT"/>
        </w:rPr>
        <w:t>aigoje</w:t>
      </w:r>
      <w:r w:rsidR="00E6656C" w:rsidRPr="00601B86">
        <w:rPr>
          <w:sz w:val="26"/>
          <w:szCs w:val="26"/>
          <w:lang w:val="lt-LT"/>
        </w:rPr>
        <w:t xml:space="preserve"> paaštrėjus finansų krizei </w:t>
      </w:r>
      <w:r w:rsidR="00811F49" w:rsidRPr="00601B86">
        <w:rPr>
          <w:sz w:val="26"/>
          <w:szCs w:val="26"/>
          <w:lang w:val="lt-LT"/>
        </w:rPr>
        <w:t xml:space="preserve">sutrikęs vartotojų atsiskaitymas </w:t>
      </w:r>
      <w:r w:rsidR="00F76135" w:rsidRPr="00601B86">
        <w:rPr>
          <w:sz w:val="26"/>
          <w:szCs w:val="26"/>
          <w:lang w:val="lt-LT"/>
        </w:rPr>
        <w:t xml:space="preserve">gali </w:t>
      </w:r>
      <w:r w:rsidR="00811F49" w:rsidRPr="00601B86">
        <w:rPr>
          <w:sz w:val="26"/>
          <w:szCs w:val="26"/>
          <w:lang w:val="lt-LT"/>
        </w:rPr>
        <w:t>tur</w:t>
      </w:r>
      <w:r w:rsidR="00F76135" w:rsidRPr="00601B86">
        <w:rPr>
          <w:sz w:val="26"/>
          <w:szCs w:val="26"/>
          <w:lang w:val="lt-LT"/>
        </w:rPr>
        <w:t xml:space="preserve">ėti </w:t>
      </w:r>
      <w:r w:rsidR="00E6656C" w:rsidRPr="00601B86">
        <w:rPr>
          <w:sz w:val="26"/>
          <w:szCs w:val="26"/>
          <w:lang w:val="lt-LT"/>
        </w:rPr>
        <w:t>svarbios</w:t>
      </w:r>
      <w:r w:rsidR="00811F49" w:rsidRPr="00601B86">
        <w:rPr>
          <w:sz w:val="26"/>
          <w:szCs w:val="26"/>
          <w:lang w:val="lt-LT"/>
        </w:rPr>
        <w:t xml:space="preserve"> įtak</w:t>
      </w:r>
      <w:r w:rsidR="00B85529" w:rsidRPr="00601B86">
        <w:rPr>
          <w:sz w:val="26"/>
          <w:szCs w:val="26"/>
          <w:lang w:val="lt-LT"/>
        </w:rPr>
        <w:t>os</w:t>
      </w:r>
      <w:r w:rsidR="00811F49" w:rsidRPr="00601B86">
        <w:rPr>
          <w:sz w:val="26"/>
          <w:szCs w:val="26"/>
          <w:lang w:val="lt-LT"/>
        </w:rPr>
        <w:t xml:space="preserve"> įmonės </w:t>
      </w:r>
      <w:r w:rsidR="00B85529" w:rsidRPr="00601B86">
        <w:rPr>
          <w:sz w:val="26"/>
          <w:szCs w:val="26"/>
          <w:lang w:val="lt-LT"/>
        </w:rPr>
        <w:t>finansinei padėčiai</w:t>
      </w:r>
      <w:r w:rsidR="00CE3EFF" w:rsidRPr="00601B86">
        <w:rPr>
          <w:sz w:val="26"/>
          <w:szCs w:val="26"/>
          <w:lang w:val="lt-LT"/>
        </w:rPr>
        <w:t xml:space="preserve">, </w:t>
      </w:r>
      <w:r w:rsidR="00DD6C06" w:rsidRPr="00601B86">
        <w:rPr>
          <w:sz w:val="26"/>
          <w:szCs w:val="26"/>
          <w:lang w:val="lt-LT"/>
        </w:rPr>
        <w:t>bei atsižvelgiant į aukščiau minėtas aplinkybes dėl reguliuojam</w:t>
      </w:r>
      <w:r w:rsidR="00F76135" w:rsidRPr="00601B86">
        <w:rPr>
          <w:sz w:val="26"/>
          <w:szCs w:val="26"/>
          <w:lang w:val="lt-LT"/>
        </w:rPr>
        <w:t>ų</w:t>
      </w:r>
      <w:r w:rsidR="00DD6C06" w:rsidRPr="00601B86">
        <w:rPr>
          <w:sz w:val="26"/>
          <w:szCs w:val="26"/>
          <w:lang w:val="lt-LT"/>
        </w:rPr>
        <w:t xml:space="preserve"> įmonės kain</w:t>
      </w:r>
      <w:r w:rsidR="00F76135" w:rsidRPr="00601B86">
        <w:rPr>
          <w:sz w:val="26"/>
          <w:szCs w:val="26"/>
          <w:lang w:val="lt-LT"/>
        </w:rPr>
        <w:t>ų</w:t>
      </w:r>
      <w:r w:rsidR="00DD6C06" w:rsidRPr="00601B86">
        <w:rPr>
          <w:sz w:val="26"/>
          <w:szCs w:val="26"/>
          <w:lang w:val="lt-LT"/>
        </w:rPr>
        <w:t xml:space="preserve">, </w:t>
      </w:r>
      <w:r w:rsidR="00CE3EFF" w:rsidRPr="00601B86">
        <w:rPr>
          <w:sz w:val="26"/>
          <w:szCs w:val="26"/>
          <w:lang w:val="lt-LT"/>
        </w:rPr>
        <w:t>t</w:t>
      </w:r>
      <w:r w:rsidR="00DD6C06" w:rsidRPr="00601B86">
        <w:rPr>
          <w:sz w:val="26"/>
          <w:szCs w:val="26"/>
          <w:lang w:val="lt-LT"/>
        </w:rPr>
        <w:t>ai</w:t>
      </w:r>
      <w:r w:rsidR="00B85529" w:rsidRPr="00601B86">
        <w:rPr>
          <w:sz w:val="26"/>
          <w:szCs w:val="26"/>
          <w:lang w:val="lt-LT"/>
        </w:rPr>
        <w:t xml:space="preserve"> </w:t>
      </w:r>
      <w:r w:rsidR="00B85529" w:rsidRPr="00601B86">
        <w:rPr>
          <w:i/>
          <w:sz w:val="26"/>
          <w:szCs w:val="26"/>
          <w:lang w:val="lt-LT"/>
        </w:rPr>
        <w:t>verslo rizik</w:t>
      </w:r>
      <w:r w:rsidR="00B12936" w:rsidRPr="00601B86">
        <w:rPr>
          <w:i/>
          <w:sz w:val="26"/>
          <w:szCs w:val="26"/>
          <w:lang w:val="lt-LT"/>
        </w:rPr>
        <w:t>a</w:t>
      </w:r>
      <w:r w:rsidR="00B85529" w:rsidRPr="00601B86">
        <w:rPr>
          <w:i/>
          <w:sz w:val="26"/>
          <w:szCs w:val="26"/>
          <w:lang w:val="lt-LT"/>
        </w:rPr>
        <w:t xml:space="preserve"> </w:t>
      </w:r>
      <w:r w:rsidR="00D7445A" w:rsidRPr="00601B86">
        <w:rPr>
          <w:sz w:val="26"/>
          <w:szCs w:val="26"/>
          <w:lang w:val="lt-LT"/>
        </w:rPr>
        <w:t>nagrinėjamos į</w:t>
      </w:r>
      <w:r w:rsidR="00B85529" w:rsidRPr="00601B86">
        <w:rPr>
          <w:sz w:val="26"/>
          <w:szCs w:val="26"/>
          <w:lang w:val="lt-LT"/>
        </w:rPr>
        <w:t xml:space="preserve">monės atžvilgiu </w:t>
      </w:r>
      <w:r w:rsidR="00981A53" w:rsidRPr="00601B86">
        <w:rPr>
          <w:sz w:val="26"/>
          <w:szCs w:val="26"/>
          <w:lang w:val="lt-LT"/>
        </w:rPr>
        <w:t xml:space="preserve">įvertinta </w:t>
      </w:r>
      <w:r w:rsidR="00B85529" w:rsidRPr="00601B86">
        <w:rPr>
          <w:sz w:val="26"/>
          <w:szCs w:val="26"/>
          <w:lang w:val="lt-LT"/>
        </w:rPr>
        <w:t xml:space="preserve">kaip </w:t>
      </w:r>
      <w:r w:rsidR="00B85529" w:rsidRPr="00601B86">
        <w:rPr>
          <w:i/>
          <w:sz w:val="26"/>
          <w:szCs w:val="26"/>
          <w:lang w:val="lt-LT"/>
        </w:rPr>
        <w:t>vidutinė rizika</w:t>
      </w:r>
      <w:r w:rsidR="009C0F58" w:rsidRPr="00601B86">
        <w:rPr>
          <w:sz w:val="26"/>
          <w:szCs w:val="26"/>
          <w:lang w:val="lt-LT"/>
        </w:rPr>
        <w:t>, jos nustatytas lygis 60 proc.</w:t>
      </w:r>
      <w:r w:rsidR="00B12936" w:rsidRPr="00601B86">
        <w:rPr>
          <w:i/>
          <w:sz w:val="26"/>
          <w:szCs w:val="26"/>
          <w:lang w:val="lt-LT"/>
        </w:rPr>
        <w:t xml:space="preserve"> </w:t>
      </w:r>
      <w:r w:rsidR="008358CE" w:rsidRPr="008358CE">
        <w:rPr>
          <w:sz w:val="26"/>
          <w:szCs w:val="26"/>
          <w:lang w:val="lt-LT"/>
        </w:rPr>
        <w:t>(</w:t>
      </w:r>
      <w:r w:rsidR="008358CE">
        <w:rPr>
          <w:sz w:val="26"/>
          <w:szCs w:val="26"/>
          <w:lang w:val="lt-LT"/>
        </w:rPr>
        <w:t>š</w:t>
      </w:r>
      <w:r w:rsidR="008358CE" w:rsidRPr="008358CE">
        <w:rPr>
          <w:sz w:val="26"/>
          <w:szCs w:val="26"/>
          <w:lang w:val="lt-LT"/>
        </w:rPr>
        <w:t>is įvertinimas</w:t>
      </w:r>
      <w:r w:rsidR="008358CE">
        <w:rPr>
          <w:sz w:val="26"/>
          <w:szCs w:val="26"/>
          <w:lang w:val="lt-LT"/>
        </w:rPr>
        <w:t xml:space="preserve"> atitinka 23 lentelėje pateiktą šio audito rizikos komponento apibūdinimą pagal lemiančias sąlygas).</w:t>
      </w:r>
      <w:r w:rsidR="008358CE">
        <w:rPr>
          <w:i/>
          <w:sz w:val="26"/>
          <w:szCs w:val="26"/>
          <w:lang w:val="lt-LT"/>
        </w:rPr>
        <w:t xml:space="preserve"> </w:t>
      </w:r>
      <w:r w:rsidR="00CC20F4">
        <w:rPr>
          <w:sz w:val="26"/>
          <w:szCs w:val="26"/>
          <w:lang w:val="lt-LT"/>
        </w:rPr>
        <w:t xml:space="preserve">Be to, buvo identifikuotas </w:t>
      </w:r>
      <w:r w:rsidR="003C065D" w:rsidRPr="00601B86">
        <w:rPr>
          <w:sz w:val="26"/>
          <w:szCs w:val="26"/>
          <w:lang w:val="lt-LT"/>
        </w:rPr>
        <w:t>s</w:t>
      </w:r>
      <w:r w:rsidR="00E44DF2" w:rsidRPr="00601B86">
        <w:rPr>
          <w:sz w:val="26"/>
          <w:szCs w:val="26"/>
          <w:lang w:val="lt-LT"/>
        </w:rPr>
        <w:t xml:space="preserve">u verslo rizika susijęs finansinių ataskaitų elementas ir jo tvirtinimas </w:t>
      </w:r>
      <w:r w:rsidR="00CC20F4">
        <w:rPr>
          <w:sz w:val="26"/>
          <w:szCs w:val="26"/>
          <w:lang w:val="lt-LT"/>
        </w:rPr>
        <w:t xml:space="preserve">– </w:t>
      </w:r>
      <w:r w:rsidR="00E44DF2" w:rsidRPr="00601B86">
        <w:rPr>
          <w:sz w:val="26"/>
          <w:szCs w:val="26"/>
          <w:lang w:val="lt-LT"/>
        </w:rPr>
        <w:t>pirkėjų įsiskolinimo įvertinimas.</w:t>
      </w:r>
    </w:p>
    <w:p w:rsidR="00681C06" w:rsidRDefault="00BE4B5D" w:rsidP="008F3B86">
      <w:pPr>
        <w:pStyle w:val="NormalWeb"/>
        <w:spacing w:before="0" w:beforeAutospacing="0" w:after="0" w:afterAutospacing="0" w:line="360" w:lineRule="auto"/>
        <w:ind w:firstLine="720"/>
        <w:jc w:val="both"/>
        <w:rPr>
          <w:sz w:val="26"/>
          <w:szCs w:val="26"/>
          <w:lang w:val="lt-LT"/>
        </w:rPr>
      </w:pPr>
      <w:r>
        <w:rPr>
          <w:sz w:val="26"/>
          <w:szCs w:val="26"/>
          <w:lang w:val="lt-LT"/>
        </w:rPr>
        <w:t>Toliau audito rizikos vertinimo eigoje svarbus vaidmuo tenka UAB</w:t>
      </w:r>
      <w:r w:rsidR="00574CBE">
        <w:rPr>
          <w:sz w:val="26"/>
          <w:szCs w:val="26"/>
          <w:lang w:val="lt-LT"/>
        </w:rPr>
        <w:t> </w:t>
      </w:r>
      <w:r>
        <w:rPr>
          <w:sz w:val="26"/>
          <w:szCs w:val="26"/>
          <w:lang w:val="lt-LT"/>
        </w:rPr>
        <w:t>„Šiluma“</w:t>
      </w:r>
      <w:r w:rsidRPr="00601B86">
        <w:rPr>
          <w:sz w:val="26"/>
          <w:szCs w:val="26"/>
          <w:lang w:val="lt-LT"/>
        </w:rPr>
        <w:t xml:space="preserve"> vidaus aplinkos</w:t>
      </w:r>
      <w:r>
        <w:rPr>
          <w:sz w:val="26"/>
          <w:szCs w:val="26"/>
          <w:lang w:val="lt-LT"/>
        </w:rPr>
        <w:t xml:space="preserve"> ir </w:t>
      </w:r>
      <w:r w:rsidR="008358CE">
        <w:rPr>
          <w:sz w:val="26"/>
          <w:szCs w:val="26"/>
          <w:lang w:val="lt-LT"/>
        </w:rPr>
        <w:t xml:space="preserve">su ja susijusios </w:t>
      </w:r>
      <w:r>
        <w:rPr>
          <w:sz w:val="26"/>
          <w:szCs w:val="26"/>
          <w:lang w:val="lt-LT"/>
        </w:rPr>
        <w:t>įmonės rizikos vertinimui. Kadangi į</w:t>
      </w:r>
      <w:r w:rsidR="000F6FB5" w:rsidRPr="00601B86">
        <w:rPr>
          <w:sz w:val="26"/>
          <w:szCs w:val="26"/>
          <w:lang w:val="lt-LT"/>
        </w:rPr>
        <w:t>monės v</w:t>
      </w:r>
      <w:r w:rsidR="00E03134" w:rsidRPr="00601B86">
        <w:rPr>
          <w:sz w:val="26"/>
          <w:szCs w:val="26"/>
          <w:lang w:val="lt-LT"/>
        </w:rPr>
        <w:t xml:space="preserve">idaus </w:t>
      </w:r>
      <w:r w:rsidR="00346ECB" w:rsidRPr="00601B86">
        <w:rPr>
          <w:sz w:val="26"/>
          <w:szCs w:val="26"/>
          <w:lang w:val="lt-LT"/>
        </w:rPr>
        <w:t>aplink</w:t>
      </w:r>
      <w:r>
        <w:rPr>
          <w:sz w:val="26"/>
          <w:szCs w:val="26"/>
          <w:lang w:val="lt-LT"/>
        </w:rPr>
        <w:t>a</w:t>
      </w:r>
      <w:r w:rsidR="00ED2E3F" w:rsidRPr="00601B86">
        <w:rPr>
          <w:sz w:val="26"/>
          <w:szCs w:val="26"/>
          <w:lang w:val="lt-LT"/>
        </w:rPr>
        <w:t xml:space="preserve"> neišvengiamai </w:t>
      </w:r>
      <w:r w:rsidR="00346ECB" w:rsidRPr="00601B86">
        <w:rPr>
          <w:sz w:val="26"/>
          <w:szCs w:val="26"/>
          <w:lang w:val="lt-LT"/>
        </w:rPr>
        <w:t>susij</w:t>
      </w:r>
      <w:r>
        <w:rPr>
          <w:sz w:val="26"/>
          <w:szCs w:val="26"/>
          <w:lang w:val="lt-LT"/>
        </w:rPr>
        <w:t>usi</w:t>
      </w:r>
      <w:r w:rsidR="00346ECB" w:rsidRPr="00601B86">
        <w:rPr>
          <w:sz w:val="26"/>
          <w:szCs w:val="26"/>
          <w:lang w:val="lt-LT"/>
        </w:rPr>
        <w:t xml:space="preserve"> su vidaus kontrolės sistem</w:t>
      </w:r>
      <w:r w:rsidR="00ED2E3F" w:rsidRPr="00601B86">
        <w:rPr>
          <w:sz w:val="26"/>
          <w:szCs w:val="26"/>
          <w:lang w:val="lt-LT"/>
        </w:rPr>
        <w:t>a</w:t>
      </w:r>
      <w:r w:rsidR="00346ECB" w:rsidRPr="00601B86">
        <w:rPr>
          <w:sz w:val="26"/>
          <w:szCs w:val="26"/>
          <w:lang w:val="lt-LT"/>
        </w:rPr>
        <w:t xml:space="preserve"> </w:t>
      </w:r>
      <w:r w:rsidR="00FC672E" w:rsidRPr="00601B86">
        <w:rPr>
          <w:sz w:val="26"/>
          <w:szCs w:val="26"/>
          <w:lang w:val="lt-LT"/>
        </w:rPr>
        <w:t>įmonės lygmeniu</w:t>
      </w:r>
      <w:r>
        <w:rPr>
          <w:sz w:val="26"/>
          <w:szCs w:val="26"/>
          <w:lang w:val="lt-LT"/>
        </w:rPr>
        <w:t xml:space="preserve">, tai </w:t>
      </w:r>
      <w:r w:rsidR="00624CF1" w:rsidRPr="00601B86">
        <w:rPr>
          <w:sz w:val="26"/>
          <w:szCs w:val="26"/>
          <w:lang w:val="lt-LT"/>
        </w:rPr>
        <w:t xml:space="preserve">pirmiausia aptarsime </w:t>
      </w:r>
      <w:r w:rsidR="00555E3D" w:rsidRPr="00601B86">
        <w:rPr>
          <w:sz w:val="26"/>
          <w:szCs w:val="26"/>
          <w:lang w:val="lt-LT"/>
        </w:rPr>
        <w:t>U</w:t>
      </w:r>
      <w:r w:rsidR="00701D3D" w:rsidRPr="00601B86">
        <w:rPr>
          <w:sz w:val="26"/>
          <w:szCs w:val="26"/>
          <w:lang w:val="lt-LT"/>
        </w:rPr>
        <w:t>AB</w:t>
      </w:r>
      <w:r w:rsidR="00601B86">
        <w:rPr>
          <w:sz w:val="26"/>
          <w:szCs w:val="26"/>
          <w:lang w:val="lt-LT"/>
        </w:rPr>
        <w:t> </w:t>
      </w:r>
      <w:r w:rsidR="00701D3D" w:rsidRPr="00601B86">
        <w:rPr>
          <w:sz w:val="26"/>
          <w:szCs w:val="26"/>
          <w:lang w:val="lt-LT"/>
        </w:rPr>
        <w:t xml:space="preserve">„Šiluma“ </w:t>
      </w:r>
      <w:r w:rsidR="00624CF1" w:rsidRPr="00601B86">
        <w:rPr>
          <w:sz w:val="26"/>
          <w:szCs w:val="26"/>
          <w:lang w:val="lt-LT"/>
        </w:rPr>
        <w:t xml:space="preserve">vidaus kontrolės sistemos </w:t>
      </w:r>
      <w:r w:rsidR="00346ECB" w:rsidRPr="00601B86">
        <w:rPr>
          <w:sz w:val="26"/>
          <w:szCs w:val="26"/>
          <w:lang w:val="lt-LT"/>
        </w:rPr>
        <w:t xml:space="preserve">elementus </w:t>
      </w:r>
      <w:r w:rsidR="00A26B19" w:rsidRPr="00601B86">
        <w:rPr>
          <w:sz w:val="26"/>
          <w:szCs w:val="26"/>
          <w:lang w:val="lt-LT"/>
        </w:rPr>
        <w:t xml:space="preserve">pagal COSO modelį (1992) </w:t>
      </w:r>
      <w:r w:rsidR="00346ECB" w:rsidRPr="00601B86">
        <w:rPr>
          <w:sz w:val="26"/>
          <w:szCs w:val="26"/>
          <w:lang w:val="lt-LT"/>
        </w:rPr>
        <w:t xml:space="preserve">(žr. </w:t>
      </w:r>
      <w:r w:rsidR="00624CF1" w:rsidRPr="00601B86">
        <w:rPr>
          <w:sz w:val="26"/>
          <w:szCs w:val="26"/>
          <w:lang w:val="lt-LT"/>
        </w:rPr>
        <w:t>2</w:t>
      </w:r>
      <w:r w:rsidR="000630D0">
        <w:rPr>
          <w:sz w:val="26"/>
          <w:szCs w:val="26"/>
          <w:lang w:val="lt-LT"/>
        </w:rPr>
        <w:t>4</w:t>
      </w:r>
      <w:r w:rsidR="00346ECB" w:rsidRPr="00601B86">
        <w:rPr>
          <w:sz w:val="26"/>
          <w:szCs w:val="26"/>
          <w:lang w:val="lt-LT"/>
        </w:rPr>
        <w:t xml:space="preserve"> lentelė). </w:t>
      </w:r>
    </w:p>
    <w:p w:rsidR="00FC672E" w:rsidRPr="00601B86" w:rsidRDefault="00681C06" w:rsidP="008F3B86">
      <w:pPr>
        <w:pStyle w:val="NormalWeb"/>
        <w:spacing w:before="0" w:beforeAutospacing="0" w:after="0" w:afterAutospacing="0" w:line="360" w:lineRule="auto"/>
        <w:ind w:firstLine="720"/>
        <w:jc w:val="both"/>
        <w:rPr>
          <w:sz w:val="26"/>
          <w:szCs w:val="26"/>
          <w:lang w:val="lt-LT"/>
        </w:rPr>
      </w:pPr>
      <w:r w:rsidRPr="00133123">
        <w:rPr>
          <w:sz w:val="26"/>
          <w:szCs w:val="26"/>
          <w:lang w:val="lt-LT"/>
        </w:rPr>
        <w:t>Remiantis 2</w:t>
      </w:r>
      <w:r>
        <w:rPr>
          <w:sz w:val="26"/>
          <w:szCs w:val="26"/>
          <w:lang w:val="lt-LT"/>
        </w:rPr>
        <w:t>4</w:t>
      </w:r>
      <w:r w:rsidRPr="00133123">
        <w:rPr>
          <w:sz w:val="26"/>
          <w:szCs w:val="26"/>
          <w:lang w:val="lt-LT"/>
        </w:rPr>
        <w:t xml:space="preserve"> lentelėje pateiktu UAB „Šiluma“ vidaus kontrolės sistemos aprašymu pagal COSO modelį (1992) galima teigti, kad įmonės vidaus kontrolės sistemai kreipiamas tinkamas dėmesys: diegiamos kontrolės politikos ir procedūros, </w:t>
      </w:r>
      <w:r w:rsidRPr="00666381">
        <w:rPr>
          <w:sz w:val="26"/>
          <w:szCs w:val="26"/>
          <w:lang w:val="lt-LT"/>
        </w:rPr>
        <w:t>sudarančios sąlygas įmonei sėkmingai vykdyti veiklą ir siekti užsibrėžtų tikslų. Be to, išsiaiškinus, ar</w:t>
      </w:r>
      <w:r w:rsidRPr="00133123">
        <w:rPr>
          <w:sz w:val="26"/>
          <w:szCs w:val="26"/>
          <w:lang w:val="lt-LT"/>
        </w:rPr>
        <w:t xml:space="preserve"> įmonės vidaus kontrolės sistema atitinka CoCo vidaus kontrolės modelyje (1995) išskirtus kriterijus, kurie grupuojami į 4 grupes, t. y. tikslo, atsidavimo, pajėgumo, stebėsenos ir mokymosi (žr. 24 priedas), matome, jog: 1) įmonės tikslai yra žinomi jos darbuotojams ir todėl nustatomos atitinkamos politikos; 2) puoselėjamas etinių vertybių laikymaisis ir atsakomybė už nusižengimus; 3) samdomi kompetentingi darbuotojai ir užtikrinamas svarbios informacijos keitimasis; 4)</w:t>
      </w:r>
      <w:r>
        <w:rPr>
          <w:sz w:val="26"/>
          <w:szCs w:val="26"/>
          <w:lang w:val="lt-LT"/>
        </w:rPr>
        <w:t> </w:t>
      </w:r>
      <w:r w:rsidRPr="00133123">
        <w:rPr>
          <w:sz w:val="26"/>
          <w:szCs w:val="26"/>
          <w:lang w:val="lt-LT"/>
        </w:rPr>
        <w:t>vykdoma įmonės aplinkos stebėsena ir numatomos priemonės įmonės vidaus kontrolės sistemos tobulinimui.</w:t>
      </w:r>
    </w:p>
    <w:p w:rsidR="006D2657" w:rsidRPr="00601B86" w:rsidRDefault="006D2657" w:rsidP="00CE3EFF">
      <w:pPr>
        <w:ind w:firstLine="720"/>
        <w:jc w:val="right"/>
        <w:rPr>
          <w:i/>
          <w:sz w:val="26"/>
          <w:szCs w:val="26"/>
          <w:lang w:val="lt-LT"/>
        </w:rPr>
      </w:pPr>
      <w:r w:rsidRPr="00601B86">
        <w:rPr>
          <w:i/>
          <w:sz w:val="26"/>
          <w:szCs w:val="26"/>
          <w:lang w:val="lt-LT"/>
        </w:rPr>
        <w:lastRenderedPageBreak/>
        <w:t>2</w:t>
      </w:r>
      <w:r w:rsidR="000630D0">
        <w:rPr>
          <w:i/>
          <w:sz w:val="26"/>
          <w:szCs w:val="26"/>
          <w:lang w:val="lt-LT"/>
        </w:rPr>
        <w:t>4</w:t>
      </w:r>
      <w:r w:rsidRPr="00601B86">
        <w:rPr>
          <w:i/>
          <w:sz w:val="26"/>
          <w:szCs w:val="26"/>
          <w:lang w:val="lt-LT"/>
        </w:rPr>
        <w:t xml:space="preserve"> lentelė</w:t>
      </w:r>
    </w:p>
    <w:p w:rsidR="006D2657" w:rsidRPr="00601B86" w:rsidRDefault="00555E3D" w:rsidP="006D2657">
      <w:pPr>
        <w:tabs>
          <w:tab w:val="left" w:pos="567"/>
        </w:tabs>
        <w:spacing w:after="240"/>
        <w:jc w:val="center"/>
        <w:rPr>
          <w:b/>
          <w:sz w:val="26"/>
          <w:szCs w:val="26"/>
          <w:lang w:val="lt-LT"/>
        </w:rPr>
      </w:pPr>
      <w:r w:rsidRPr="00601B86">
        <w:rPr>
          <w:b/>
          <w:sz w:val="26"/>
          <w:szCs w:val="26"/>
          <w:lang w:val="lt-LT"/>
        </w:rPr>
        <w:t>U</w:t>
      </w:r>
      <w:r w:rsidR="006D2657" w:rsidRPr="00601B86">
        <w:rPr>
          <w:b/>
          <w:sz w:val="26"/>
          <w:szCs w:val="26"/>
          <w:lang w:val="lt-LT"/>
        </w:rPr>
        <w:t>AB „Šiluma“ vidaus kontrolės sistemos apibūdinimas</w:t>
      </w:r>
    </w:p>
    <w:tbl>
      <w:tblPr>
        <w:tblStyle w:val="TableGrid"/>
        <w:tblW w:w="0" w:type="auto"/>
        <w:tblLook w:val="04A0"/>
      </w:tblPr>
      <w:tblGrid>
        <w:gridCol w:w="1852"/>
        <w:gridCol w:w="6642"/>
      </w:tblGrid>
      <w:tr w:rsidR="006D2657" w:rsidRPr="00133123" w:rsidTr="00CE3EFF">
        <w:tc>
          <w:tcPr>
            <w:tcW w:w="1951" w:type="dxa"/>
          </w:tcPr>
          <w:p w:rsidR="00DB0E1C" w:rsidRPr="00133123" w:rsidRDefault="006D2657" w:rsidP="00133123">
            <w:pPr>
              <w:pStyle w:val="NormalWeb"/>
              <w:spacing w:before="0" w:beforeAutospacing="0" w:after="0" w:afterAutospacing="0"/>
              <w:jc w:val="center"/>
              <w:rPr>
                <w:b/>
                <w:sz w:val="22"/>
                <w:szCs w:val="22"/>
                <w:lang w:val="lt-LT"/>
              </w:rPr>
            </w:pPr>
            <w:r w:rsidRPr="00133123">
              <w:rPr>
                <w:b/>
                <w:sz w:val="22"/>
                <w:szCs w:val="22"/>
                <w:lang w:val="lt-LT"/>
              </w:rPr>
              <w:t>Vidaus kontrolės sistemos elementas (pagal COSO modelį)</w:t>
            </w:r>
          </w:p>
        </w:tc>
        <w:tc>
          <w:tcPr>
            <w:tcW w:w="7796" w:type="dxa"/>
          </w:tcPr>
          <w:p w:rsidR="006D2657" w:rsidRPr="00133123" w:rsidRDefault="006D2657" w:rsidP="00FC672E">
            <w:pPr>
              <w:pStyle w:val="NormalWeb"/>
              <w:spacing w:before="0" w:beforeAutospacing="0" w:after="0" w:afterAutospacing="0"/>
              <w:jc w:val="center"/>
              <w:rPr>
                <w:b/>
                <w:sz w:val="22"/>
                <w:szCs w:val="22"/>
                <w:lang w:val="lt-LT"/>
              </w:rPr>
            </w:pPr>
          </w:p>
          <w:p w:rsidR="006D2657" w:rsidRPr="00133123" w:rsidRDefault="006D2657" w:rsidP="00FC672E">
            <w:pPr>
              <w:pStyle w:val="NormalWeb"/>
              <w:spacing w:before="0" w:beforeAutospacing="0" w:after="0" w:afterAutospacing="0"/>
              <w:jc w:val="center"/>
              <w:rPr>
                <w:b/>
                <w:sz w:val="22"/>
                <w:szCs w:val="22"/>
                <w:lang w:val="lt-LT"/>
              </w:rPr>
            </w:pPr>
            <w:r w:rsidRPr="00133123">
              <w:rPr>
                <w:b/>
                <w:sz w:val="22"/>
                <w:szCs w:val="22"/>
                <w:lang w:val="lt-LT"/>
              </w:rPr>
              <w:t>Trumpas apibūdinimas</w:t>
            </w:r>
          </w:p>
        </w:tc>
      </w:tr>
      <w:tr w:rsidR="006D2657" w:rsidRPr="00133123" w:rsidTr="00CE3EFF">
        <w:tc>
          <w:tcPr>
            <w:tcW w:w="1951" w:type="dxa"/>
          </w:tcPr>
          <w:p w:rsidR="006D2657" w:rsidRPr="00133123" w:rsidRDefault="006D2657" w:rsidP="00FC672E">
            <w:pPr>
              <w:pStyle w:val="NormalWeb"/>
              <w:spacing w:before="0" w:beforeAutospacing="0" w:after="0" w:afterAutospacing="0"/>
              <w:jc w:val="both"/>
              <w:rPr>
                <w:sz w:val="22"/>
                <w:szCs w:val="22"/>
                <w:lang w:val="lt-LT"/>
              </w:rPr>
            </w:pPr>
            <w:r w:rsidRPr="00133123">
              <w:rPr>
                <w:sz w:val="22"/>
                <w:szCs w:val="22"/>
                <w:lang w:val="lt-LT"/>
              </w:rPr>
              <w:t>Kontrolės aplinka</w:t>
            </w:r>
          </w:p>
        </w:tc>
        <w:tc>
          <w:tcPr>
            <w:tcW w:w="7796" w:type="dxa"/>
          </w:tcPr>
          <w:p w:rsidR="006D2657" w:rsidRDefault="006D2657" w:rsidP="004F6B8F">
            <w:pPr>
              <w:pStyle w:val="NormalWeb"/>
              <w:spacing w:before="0" w:beforeAutospacing="0" w:after="0" w:afterAutospacing="0"/>
              <w:jc w:val="both"/>
              <w:rPr>
                <w:sz w:val="22"/>
                <w:szCs w:val="22"/>
                <w:lang w:val="lt-LT"/>
              </w:rPr>
            </w:pPr>
            <w:r w:rsidRPr="00133123">
              <w:rPr>
                <w:sz w:val="22"/>
                <w:szCs w:val="22"/>
                <w:lang w:val="lt-LT"/>
              </w:rPr>
              <w:t>Įmonės vadovybė (direktorius, vyr. buhalteris) yra sąžininga ir yra pavyzdys jos darbuotojams, todėl įmonės formuojamoje kultūroje didelis dėmesys kreipiamas į sąžiningumą ir tinkamą profesinį</w:t>
            </w:r>
            <w:r w:rsidR="002F5E4C" w:rsidRPr="00133123">
              <w:rPr>
                <w:sz w:val="22"/>
                <w:szCs w:val="22"/>
                <w:lang w:val="lt-LT"/>
              </w:rPr>
              <w:t>/etišką</w:t>
            </w:r>
            <w:r w:rsidRPr="00133123">
              <w:rPr>
                <w:sz w:val="22"/>
                <w:szCs w:val="22"/>
                <w:lang w:val="lt-LT"/>
              </w:rPr>
              <w:t xml:space="preserve"> elgesį. Įmonėje yra patvirtintos rašytinės darbo tvarkos taisyklės, elgesio kodeksas, kiekvienos pareigybės pareigybiniai nuostatai, su kuriais supažindinami darbuotojai</w:t>
            </w:r>
            <w:r w:rsidR="00E65C93" w:rsidRPr="00133123">
              <w:rPr>
                <w:sz w:val="22"/>
                <w:szCs w:val="22"/>
                <w:lang w:val="lt-LT"/>
              </w:rPr>
              <w:t>,</w:t>
            </w:r>
            <w:r w:rsidRPr="00133123">
              <w:rPr>
                <w:sz w:val="22"/>
                <w:szCs w:val="22"/>
                <w:lang w:val="lt-LT"/>
              </w:rPr>
              <w:t xml:space="preserve"> ir sudaryta kolektyvinė darbo sutartis. Vadovybė atsakingai stebi, ar nėra nusižengiama patvirtintoms etikos ir kitoms tvarkoms ir, jei taip, imasi atitinkamų veiksmų (neskiriamos premijos, atleidžiami darbuotojai). Taip pat vadovybės veiksmai yra prižiūrimi Valdybos.</w:t>
            </w:r>
          </w:p>
          <w:p w:rsidR="006D2657" w:rsidRPr="00133123" w:rsidRDefault="006D2657" w:rsidP="007958CD">
            <w:pPr>
              <w:pStyle w:val="NormalWeb"/>
              <w:spacing w:before="0" w:beforeAutospacing="0" w:after="0" w:afterAutospacing="0"/>
              <w:jc w:val="both"/>
              <w:rPr>
                <w:sz w:val="22"/>
                <w:szCs w:val="22"/>
                <w:lang w:val="lt-LT"/>
              </w:rPr>
            </w:pPr>
            <w:r w:rsidRPr="00133123">
              <w:rPr>
                <w:sz w:val="22"/>
                <w:szCs w:val="22"/>
                <w:lang w:val="lt-LT"/>
              </w:rPr>
              <w:t>Vadovybė yra gan konservatyvi pasirenkant esminius apskaitos principus ir darant apskaitinius įver</w:t>
            </w:r>
            <w:r w:rsidR="00B7691E" w:rsidRPr="00133123">
              <w:rPr>
                <w:sz w:val="22"/>
                <w:szCs w:val="22"/>
                <w:lang w:val="lt-LT"/>
              </w:rPr>
              <w:t>čius</w:t>
            </w:r>
            <w:r w:rsidRPr="00133123">
              <w:rPr>
                <w:sz w:val="22"/>
                <w:szCs w:val="22"/>
                <w:lang w:val="lt-LT"/>
              </w:rPr>
              <w:t>, o sprendžiant svarbius vidaus kontrolės, IT, apskaitos ir finansinės atskaitomybės klausimus yra konsultuojamasi su specialistais.</w:t>
            </w:r>
          </w:p>
          <w:p w:rsidR="007A2A1E" w:rsidRPr="00133123" w:rsidRDefault="007A2A1E" w:rsidP="007958CD">
            <w:pPr>
              <w:pStyle w:val="NormalWeb"/>
              <w:spacing w:before="0" w:beforeAutospacing="0" w:after="0" w:afterAutospacing="0"/>
              <w:jc w:val="both"/>
              <w:rPr>
                <w:sz w:val="22"/>
                <w:szCs w:val="22"/>
                <w:lang w:val="lt-LT"/>
              </w:rPr>
            </w:pPr>
            <w:r w:rsidRPr="00133123">
              <w:rPr>
                <w:sz w:val="22"/>
                <w:szCs w:val="22"/>
                <w:lang w:val="lt-LT"/>
              </w:rPr>
              <w:t>Įmonės finansinės ataskaitos yra rengiamos pagal LR buhalterinės apskaitos įstatymą, LR įmonių finansinės atskaitomybės įstatymą bei Verslo apskaitos standartus</w:t>
            </w:r>
            <w:r w:rsidR="00E81A6C" w:rsidRPr="00133123">
              <w:rPr>
                <w:sz w:val="22"/>
                <w:szCs w:val="22"/>
                <w:lang w:val="lt-LT"/>
              </w:rPr>
              <w:t xml:space="preserve"> (toliau – VAS)</w:t>
            </w:r>
            <w:r w:rsidRPr="00133123">
              <w:rPr>
                <w:sz w:val="22"/>
                <w:szCs w:val="22"/>
                <w:lang w:val="lt-LT"/>
              </w:rPr>
              <w:t xml:space="preserve">. </w:t>
            </w:r>
          </w:p>
          <w:p w:rsidR="006D2657" w:rsidRPr="00133123" w:rsidRDefault="006D2657" w:rsidP="007958CD">
            <w:pPr>
              <w:pStyle w:val="NormalWeb"/>
              <w:spacing w:before="0" w:beforeAutospacing="0" w:after="0" w:afterAutospacing="0"/>
              <w:jc w:val="both"/>
              <w:rPr>
                <w:sz w:val="22"/>
                <w:szCs w:val="22"/>
                <w:lang w:val="lt-LT"/>
              </w:rPr>
            </w:pPr>
            <w:r w:rsidRPr="00133123">
              <w:rPr>
                <w:sz w:val="22"/>
                <w:szCs w:val="22"/>
                <w:lang w:val="lt-LT"/>
              </w:rPr>
              <w:t>Finansų, apskaitos ir IT darbuotojai turi labai gerus profesinius įgūdžius, būtinus reaguoti į mokesčių, apskaitos ir kitų teisės aktų reikalavimų ar įmonės veiklos pobūdžio pasikeitimus, be to, nuolat užtikrinamas jų kvalifikacijos kėlimas.</w:t>
            </w:r>
          </w:p>
          <w:p w:rsidR="006D2657" w:rsidRPr="00133123" w:rsidRDefault="006D2657" w:rsidP="004A48F4">
            <w:pPr>
              <w:pStyle w:val="NormalWeb"/>
              <w:spacing w:before="0" w:beforeAutospacing="0" w:after="0" w:afterAutospacing="0"/>
              <w:jc w:val="both"/>
              <w:rPr>
                <w:sz w:val="22"/>
                <w:szCs w:val="22"/>
                <w:lang w:val="lt-LT"/>
              </w:rPr>
            </w:pPr>
            <w:r w:rsidRPr="00133123">
              <w:rPr>
                <w:sz w:val="22"/>
                <w:szCs w:val="22"/>
                <w:lang w:val="lt-LT"/>
              </w:rPr>
              <w:t>Įmonėje nėra vidaus audito padalinio ir audito komiteto, tačiau vadovybė vykdo aktyvią priežiūrą, be to</w:t>
            </w:r>
            <w:r w:rsidR="000F6FB5" w:rsidRPr="00133123">
              <w:rPr>
                <w:sz w:val="22"/>
                <w:szCs w:val="22"/>
                <w:lang w:val="lt-LT"/>
              </w:rPr>
              <w:t>,</w:t>
            </w:r>
            <w:r w:rsidRPr="00133123">
              <w:rPr>
                <w:sz w:val="22"/>
                <w:szCs w:val="22"/>
                <w:lang w:val="lt-LT"/>
              </w:rPr>
              <w:t xml:space="preserve"> daug dėmesio skiriama Valdybos veiklai. Valdybos nariai yra nepriklausomi nuo įmonės vadovybės. </w:t>
            </w:r>
          </w:p>
          <w:p w:rsidR="006D2657" w:rsidRPr="00133123" w:rsidRDefault="000F6FB5" w:rsidP="004A48F4">
            <w:pPr>
              <w:pStyle w:val="NormalWeb"/>
              <w:spacing w:before="0" w:beforeAutospacing="0" w:after="0" w:afterAutospacing="0"/>
              <w:jc w:val="both"/>
              <w:rPr>
                <w:sz w:val="22"/>
                <w:szCs w:val="22"/>
                <w:lang w:val="lt-LT"/>
              </w:rPr>
            </w:pPr>
            <w:r w:rsidRPr="00133123">
              <w:rPr>
                <w:sz w:val="22"/>
                <w:szCs w:val="22"/>
                <w:lang w:val="lt-LT"/>
              </w:rPr>
              <w:t>Įmonei svarbu</w:t>
            </w:r>
            <w:r w:rsidR="006D2657" w:rsidRPr="00133123">
              <w:rPr>
                <w:sz w:val="22"/>
                <w:szCs w:val="22"/>
                <w:lang w:val="lt-LT"/>
              </w:rPr>
              <w:t>, kad finansinė informacija būtų parengta laiku, tiksli ir teisinga, aiškinamasi kodėl yra svyravimai nuo planuotų dydžių. Strateginiai</w:t>
            </w:r>
            <w:r w:rsidR="00CB7528" w:rsidRPr="00133123">
              <w:rPr>
                <w:sz w:val="22"/>
                <w:szCs w:val="22"/>
                <w:lang w:val="lt-LT"/>
              </w:rPr>
              <w:t>,</w:t>
            </w:r>
            <w:r w:rsidR="006D2657" w:rsidRPr="00133123">
              <w:rPr>
                <w:sz w:val="22"/>
                <w:szCs w:val="22"/>
                <w:lang w:val="lt-LT"/>
              </w:rPr>
              <w:t xml:space="preserve"> verslo, interesų konfliktų sprendimai apsvarstomi Valdybo</w:t>
            </w:r>
            <w:r w:rsidRPr="00133123">
              <w:rPr>
                <w:sz w:val="22"/>
                <w:szCs w:val="22"/>
                <w:lang w:val="lt-LT"/>
              </w:rPr>
              <w:t>je</w:t>
            </w:r>
            <w:r w:rsidR="006D2657" w:rsidRPr="00133123">
              <w:rPr>
                <w:sz w:val="22"/>
                <w:szCs w:val="22"/>
                <w:lang w:val="lt-LT"/>
              </w:rPr>
              <w:t>.</w:t>
            </w:r>
          </w:p>
          <w:p w:rsidR="006D2657" w:rsidRPr="00133123" w:rsidRDefault="006D2657" w:rsidP="00F2683D">
            <w:pPr>
              <w:pStyle w:val="NormalWeb"/>
              <w:spacing w:before="0" w:beforeAutospacing="0" w:after="0" w:afterAutospacing="0"/>
              <w:jc w:val="both"/>
              <w:rPr>
                <w:sz w:val="22"/>
                <w:szCs w:val="22"/>
                <w:lang w:val="lt-LT"/>
              </w:rPr>
            </w:pPr>
            <w:r w:rsidRPr="00133123">
              <w:rPr>
                <w:sz w:val="22"/>
                <w:szCs w:val="22"/>
                <w:lang w:val="lt-LT"/>
              </w:rPr>
              <w:t xml:space="preserve">Įmonės organizacinė struktūra yra tinkama su aiškia įgaliojimų ir atsakomybės sistema. Įmonėje yra patvirtinta tvarka ir procedūros dėl ūkinių operacijų iniciavimo, kurių griežtai yra laikomasi. </w:t>
            </w:r>
          </w:p>
          <w:p w:rsidR="00DB0E1C" w:rsidRPr="00133123" w:rsidRDefault="006D2657" w:rsidP="000F6FB5">
            <w:pPr>
              <w:pStyle w:val="NormalWeb"/>
              <w:spacing w:before="0" w:beforeAutospacing="0" w:after="0" w:afterAutospacing="0"/>
              <w:jc w:val="both"/>
              <w:rPr>
                <w:sz w:val="22"/>
                <w:szCs w:val="22"/>
                <w:lang w:val="lt-LT"/>
              </w:rPr>
            </w:pPr>
            <w:r w:rsidRPr="00133123">
              <w:rPr>
                <w:sz w:val="22"/>
                <w:szCs w:val="22"/>
                <w:lang w:val="lt-LT"/>
              </w:rPr>
              <w:t xml:space="preserve">Atitinkamos procedūros yra taikomos priimant darbuotojus į darbą, juos apmokant, motyvuojant, vertinant ir skatinant. Atsižvelgiant į tai, darbuotojai laikosi pareiginių nuostatų, kuriuose aptariamos jų pareigos ir atsakomybė nusižengimo atveju. Šie nuostatai nuolat yra peržiūrimi. Be to, įmonė taiko ir kitas </w:t>
            </w:r>
            <w:r w:rsidR="000F6FB5" w:rsidRPr="00133123">
              <w:rPr>
                <w:sz w:val="22"/>
                <w:szCs w:val="22"/>
                <w:lang w:val="lt-LT"/>
              </w:rPr>
              <w:t xml:space="preserve">turto </w:t>
            </w:r>
            <w:r w:rsidRPr="00133123">
              <w:rPr>
                <w:sz w:val="22"/>
                <w:szCs w:val="22"/>
                <w:lang w:val="lt-LT"/>
              </w:rPr>
              <w:t>apsaugos priemones</w:t>
            </w:r>
            <w:r w:rsidR="000F6FB5" w:rsidRPr="00133123">
              <w:rPr>
                <w:sz w:val="22"/>
                <w:szCs w:val="22"/>
                <w:lang w:val="lt-LT"/>
              </w:rPr>
              <w:t xml:space="preserve"> (d</w:t>
            </w:r>
            <w:r w:rsidRPr="00133123">
              <w:rPr>
                <w:sz w:val="22"/>
                <w:szCs w:val="22"/>
                <w:lang w:val="lt-LT"/>
              </w:rPr>
              <w:t>raudžia turtą ir pan.</w:t>
            </w:r>
            <w:r w:rsidR="000F6FB5" w:rsidRPr="00133123">
              <w:rPr>
                <w:sz w:val="22"/>
                <w:szCs w:val="22"/>
                <w:lang w:val="lt-LT"/>
              </w:rPr>
              <w:t>)</w:t>
            </w:r>
          </w:p>
        </w:tc>
      </w:tr>
      <w:tr w:rsidR="006D2657" w:rsidRPr="00133123" w:rsidTr="00CE3EFF">
        <w:tc>
          <w:tcPr>
            <w:tcW w:w="1951" w:type="dxa"/>
          </w:tcPr>
          <w:p w:rsidR="006D2657" w:rsidRPr="00133123" w:rsidRDefault="006D2657" w:rsidP="00FC672E">
            <w:pPr>
              <w:pStyle w:val="NormalWeb"/>
              <w:spacing w:before="0" w:beforeAutospacing="0" w:after="0" w:afterAutospacing="0"/>
              <w:jc w:val="both"/>
              <w:rPr>
                <w:sz w:val="22"/>
                <w:szCs w:val="22"/>
                <w:lang w:val="lt-LT"/>
              </w:rPr>
            </w:pPr>
            <w:r w:rsidRPr="00133123">
              <w:rPr>
                <w:sz w:val="22"/>
                <w:szCs w:val="22"/>
                <w:lang w:val="lt-LT"/>
              </w:rPr>
              <w:t>Įmonės rizikos vertinimo procesas</w:t>
            </w:r>
          </w:p>
        </w:tc>
        <w:tc>
          <w:tcPr>
            <w:tcW w:w="7796" w:type="dxa"/>
          </w:tcPr>
          <w:p w:rsidR="00681C06" w:rsidRDefault="006D2657" w:rsidP="00B7691E">
            <w:pPr>
              <w:pStyle w:val="NormalWeb"/>
              <w:spacing w:before="0" w:beforeAutospacing="0" w:after="0" w:afterAutospacing="0"/>
              <w:jc w:val="both"/>
              <w:rPr>
                <w:sz w:val="22"/>
                <w:szCs w:val="22"/>
                <w:lang w:val="lt-LT"/>
              </w:rPr>
            </w:pPr>
            <w:r w:rsidRPr="00133123">
              <w:rPr>
                <w:sz w:val="22"/>
                <w:szCs w:val="22"/>
                <w:lang w:val="lt-LT"/>
              </w:rPr>
              <w:t>Įmonėje nėra formalių rizikos vertinimo procedūrų, tačiau rizikos veiksniai nuolat vertinami ir stebimi vadovybės, o svarbiausi (teisės aktų pasikeitimai, santykiai su tiekėjais/klientais, pokyčiai akcijų rinkoje) aptariam</w:t>
            </w:r>
            <w:r w:rsidR="000F6FB5" w:rsidRPr="00133123">
              <w:rPr>
                <w:sz w:val="22"/>
                <w:szCs w:val="22"/>
                <w:lang w:val="lt-LT"/>
              </w:rPr>
              <w:t>i</w:t>
            </w:r>
            <w:r w:rsidRPr="00133123">
              <w:rPr>
                <w:sz w:val="22"/>
                <w:szCs w:val="22"/>
                <w:lang w:val="lt-LT"/>
              </w:rPr>
              <w:t xml:space="preserve"> ir Valdybos posėdžiuose. Valdyba tvirtina strateginį planą.</w:t>
            </w:r>
          </w:p>
          <w:p w:rsidR="006D2657" w:rsidRPr="00133123" w:rsidRDefault="006D2657" w:rsidP="00B7691E">
            <w:pPr>
              <w:pStyle w:val="NormalWeb"/>
              <w:spacing w:before="0" w:beforeAutospacing="0" w:after="0" w:afterAutospacing="0"/>
              <w:jc w:val="both"/>
              <w:rPr>
                <w:sz w:val="22"/>
                <w:szCs w:val="22"/>
                <w:lang w:val="lt-LT"/>
              </w:rPr>
            </w:pPr>
            <w:r w:rsidRPr="00133123">
              <w:rPr>
                <w:i/>
                <w:sz w:val="22"/>
                <w:szCs w:val="22"/>
                <w:lang w:val="lt-LT"/>
              </w:rPr>
              <w:t>Finansinių ataskaitų rizika</w:t>
            </w:r>
            <w:r w:rsidRPr="00133123">
              <w:rPr>
                <w:sz w:val="22"/>
                <w:szCs w:val="22"/>
                <w:lang w:val="lt-LT"/>
              </w:rPr>
              <w:t xml:space="preserve"> valdoma vykdant ketvirčio ataskaitų peržiūrą, kuomet stebimi veiklos pokyčiai, lyginama su parengtomis metinėmis prognozėmis ir biudžetu, įvertinami padaryti svarb</w:t>
            </w:r>
            <w:r w:rsidR="000F6FB5" w:rsidRPr="00133123">
              <w:rPr>
                <w:sz w:val="22"/>
                <w:szCs w:val="22"/>
                <w:lang w:val="lt-LT"/>
              </w:rPr>
              <w:t>ū</w:t>
            </w:r>
            <w:r w:rsidRPr="00133123">
              <w:rPr>
                <w:sz w:val="22"/>
                <w:szCs w:val="22"/>
                <w:lang w:val="lt-LT"/>
              </w:rPr>
              <w:t>s apskaitiniai įver</w:t>
            </w:r>
            <w:r w:rsidR="00B7691E" w:rsidRPr="00133123">
              <w:rPr>
                <w:sz w:val="22"/>
                <w:szCs w:val="22"/>
                <w:lang w:val="lt-LT"/>
              </w:rPr>
              <w:t>čiai</w:t>
            </w:r>
            <w:r w:rsidRPr="00133123">
              <w:rPr>
                <w:sz w:val="22"/>
                <w:szCs w:val="22"/>
                <w:lang w:val="lt-LT"/>
              </w:rPr>
              <w:t xml:space="preserve">. Įmonė reaguodama į metų eigoje vykstančius </w:t>
            </w:r>
            <w:r w:rsidR="00166819">
              <w:rPr>
                <w:noProof/>
                <w:sz w:val="22"/>
                <w:szCs w:val="22"/>
                <w:lang w:val="lt-LT" w:eastAsia="lt-LT"/>
              </w:rPr>
              <w:lastRenderedPageBreak/>
              <w:pict>
                <v:rect id="_x0000_s74266" style="position:absolute;left:0;text-align:left;margin-left:196.05pt;margin-top:-27.7pt;width:129pt;height:21pt;z-index:253566976;mso-position-horizontal-relative:text;mso-position-vertical-relative:text" filled="f" stroked="f">
                  <v:textbox>
                    <w:txbxContent>
                      <w:p w:rsidR="00BE5795" w:rsidRPr="00133123" w:rsidRDefault="00BE5795" w:rsidP="008358CE">
                        <w:pPr>
                          <w:jc w:val="right"/>
                          <w:rPr>
                            <w:i/>
                            <w:sz w:val="26"/>
                            <w:szCs w:val="26"/>
                            <w:lang w:val="lt-LT"/>
                          </w:rPr>
                        </w:pPr>
                        <w:r w:rsidRPr="00133123">
                          <w:rPr>
                            <w:i/>
                            <w:sz w:val="26"/>
                            <w:szCs w:val="26"/>
                            <w:lang w:val="lt-LT"/>
                          </w:rPr>
                          <w:t>2</w:t>
                        </w:r>
                        <w:r>
                          <w:rPr>
                            <w:i/>
                            <w:sz w:val="26"/>
                            <w:szCs w:val="26"/>
                            <w:lang w:val="lt-LT"/>
                          </w:rPr>
                          <w:t>4</w:t>
                        </w:r>
                        <w:r w:rsidRPr="00133123">
                          <w:rPr>
                            <w:i/>
                            <w:sz w:val="26"/>
                            <w:szCs w:val="26"/>
                            <w:lang w:val="lt-LT"/>
                          </w:rPr>
                          <w:t xml:space="preserve"> lentelės tęsinys</w:t>
                        </w:r>
                      </w:p>
                    </w:txbxContent>
                  </v:textbox>
                </v:rect>
              </w:pict>
            </w:r>
            <w:r w:rsidRPr="00133123">
              <w:rPr>
                <w:sz w:val="22"/>
                <w:szCs w:val="22"/>
                <w:lang w:val="lt-LT"/>
              </w:rPr>
              <w:t xml:space="preserve">aplinkos pokyčius peržiūri biudžetą. </w:t>
            </w:r>
            <w:r w:rsidRPr="00133123">
              <w:rPr>
                <w:i/>
                <w:sz w:val="22"/>
                <w:szCs w:val="22"/>
                <w:lang w:val="lt-LT"/>
              </w:rPr>
              <w:t>Klientų rizika</w:t>
            </w:r>
            <w:r w:rsidRPr="00133123">
              <w:rPr>
                <w:sz w:val="22"/>
                <w:szCs w:val="22"/>
                <w:lang w:val="lt-LT"/>
              </w:rPr>
              <w:t xml:space="preserve"> susijusi su netinkamu karšto vandens skaitiklio duomenų deklaravimu ir </w:t>
            </w:r>
            <w:r w:rsidR="000F6FB5" w:rsidRPr="00133123">
              <w:rPr>
                <w:sz w:val="22"/>
                <w:szCs w:val="22"/>
                <w:lang w:val="lt-LT"/>
              </w:rPr>
              <w:t>klientų</w:t>
            </w:r>
            <w:r w:rsidRPr="00133123">
              <w:rPr>
                <w:sz w:val="22"/>
                <w:szCs w:val="22"/>
                <w:lang w:val="lt-LT"/>
              </w:rPr>
              <w:t xml:space="preserve"> nemokumu, o naujų klientų pajungimui taikomos griežtos vadovybės patvirtintos procedūros. </w:t>
            </w:r>
            <w:r w:rsidRPr="00133123">
              <w:rPr>
                <w:i/>
                <w:sz w:val="22"/>
                <w:szCs w:val="22"/>
                <w:lang w:val="lt-LT"/>
              </w:rPr>
              <w:t xml:space="preserve">Tiekėjų rizika </w:t>
            </w:r>
            <w:r w:rsidRPr="00133123">
              <w:rPr>
                <w:sz w:val="22"/>
                <w:szCs w:val="22"/>
                <w:lang w:val="lt-LT"/>
              </w:rPr>
              <w:t xml:space="preserve">valdoma pasirenkant tuos tiekėjus, kurių tiekiamos žaliavos atitinka reikalaujamą kokybę. </w:t>
            </w:r>
            <w:r w:rsidRPr="00133123">
              <w:rPr>
                <w:i/>
                <w:sz w:val="22"/>
                <w:szCs w:val="22"/>
                <w:lang w:val="lt-LT"/>
              </w:rPr>
              <w:t>IT sistemų rizika</w:t>
            </w:r>
            <w:r w:rsidRPr="00133123">
              <w:rPr>
                <w:sz w:val="22"/>
                <w:szCs w:val="22"/>
                <w:lang w:val="lt-LT"/>
              </w:rPr>
              <w:t xml:space="preserve"> stebima su IT personalo pagalba ir esant nukrypimams imantis atitinkamų veiksmų.</w:t>
            </w:r>
          </w:p>
        </w:tc>
      </w:tr>
      <w:tr w:rsidR="006D2657" w:rsidRPr="00133123" w:rsidTr="00CE3EFF">
        <w:tc>
          <w:tcPr>
            <w:tcW w:w="1951" w:type="dxa"/>
          </w:tcPr>
          <w:p w:rsidR="006D2657" w:rsidRPr="00133123" w:rsidRDefault="006D2657" w:rsidP="00164C92">
            <w:pPr>
              <w:pStyle w:val="NormalWeb"/>
              <w:spacing w:before="0" w:beforeAutospacing="0" w:after="0" w:afterAutospacing="0"/>
              <w:jc w:val="both"/>
              <w:rPr>
                <w:sz w:val="22"/>
                <w:szCs w:val="22"/>
                <w:lang w:val="lt-LT"/>
              </w:rPr>
            </w:pPr>
            <w:r w:rsidRPr="00133123">
              <w:rPr>
                <w:sz w:val="22"/>
                <w:szCs w:val="22"/>
                <w:lang w:val="lt-LT"/>
              </w:rPr>
              <w:lastRenderedPageBreak/>
              <w:t>Kontrolės veiksmai, informacinė sistema ir informavimas</w:t>
            </w:r>
          </w:p>
        </w:tc>
        <w:tc>
          <w:tcPr>
            <w:tcW w:w="7796" w:type="dxa"/>
          </w:tcPr>
          <w:p w:rsidR="006D2657" w:rsidRPr="00133123" w:rsidRDefault="006D2657" w:rsidP="0059206D">
            <w:pPr>
              <w:pStyle w:val="NormalWeb"/>
              <w:spacing w:before="0" w:beforeAutospacing="0" w:after="0" w:afterAutospacing="0"/>
              <w:jc w:val="both"/>
              <w:rPr>
                <w:sz w:val="22"/>
                <w:szCs w:val="22"/>
                <w:lang w:val="lt-LT"/>
              </w:rPr>
            </w:pPr>
            <w:r w:rsidRPr="00133123">
              <w:rPr>
                <w:sz w:val="22"/>
                <w:szCs w:val="22"/>
                <w:lang w:val="lt-LT"/>
              </w:rPr>
              <w:t>Įmonė turi tinkama</w:t>
            </w:r>
            <w:r w:rsidR="00940F6B" w:rsidRPr="00133123">
              <w:rPr>
                <w:sz w:val="22"/>
                <w:szCs w:val="22"/>
                <w:lang w:val="lt-LT"/>
              </w:rPr>
              <w:t>s</w:t>
            </w:r>
            <w:r w:rsidRPr="00133123">
              <w:rPr>
                <w:sz w:val="22"/>
                <w:szCs w:val="22"/>
                <w:lang w:val="lt-LT"/>
              </w:rPr>
              <w:t xml:space="preserve"> fizines kontroles (patalpos saugomos, apribota prieiga prie įmonės kompiuterinių programų ir kitų duomenų, atliekamos periodinės inventorizacijos </w:t>
            </w:r>
            <w:r w:rsidR="000F6FB5" w:rsidRPr="00133123">
              <w:rPr>
                <w:sz w:val="22"/>
                <w:szCs w:val="22"/>
                <w:lang w:val="lt-LT"/>
              </w:rPr>
              <w:t>kuomet</w:t>
            </w:r>
            <w:r w:rsidRPr="00133123">
              <w:rPr>
                <w:sz w:val="22"/>
                <w:szCs w:val="22"/>
                <w:lang w:val="lt-LT"/>
              </w:rPr>
              <w:t xml:space="preserve"> lyginami rasti duomenys su apskaitos ir kitais kontrolės duomenimis). Taip pat faktiniai veiklos rezultatai lyginami su biudžetais, praeitų periodų informacija, išsiaiškinant pagrindines priežastis. Įmonėje tinkamai atskirtos pareigos (asmenys, atsakingi už turto saugojimą, nėra atsakingi už susijusių ūkinių operacijų registravimą ar jų įvykimą). Įmonėje naudojami slaptažodžiai, daromos atsarginės duomenų kopijos ir taikomos kitos apsaugos priemonės (ugniasienės). IT sistemų tobulinimą ir pakeitimus daro įmonės IT padalinys. </w:t>
            </w:r>
            <w:r w:rsidR="000F6FB5" w:rsidRPr="00133123">
              <w:rPr>
                <w:sz w:val="22"/>
                <w:szCs w:val="22"/>
                <w:lang w:val="lt-LT"/>
              </w:rPr>
              <w:t>Įmonėje a</w:t>
            </w:r>
            <w:r w:rsidRPr="00133123">
              <w:rPr>
                <w:sz w:val="22"/>
                <w:szCs w:val="22"/>
                <w:lang w:val="lt-LT"/>
              </w:rPr>
              <w:t>pskaitos ir IT darbuotojų pakanka ir jų kaita nėra didelė.</w:t>
            </w:r>
          </w:p>
          <w:p w:rsidR="006D2657" w:rsidRPr="00133123" w:rsidRDefault="006D2657" w:rsidP="00377EA6">
            <w:pPr>
              <w:pStyle w:val="NormalWeb"/>
              <w:spacing w:before="0" w:beforeAutospacing="0" w:after="0" w:afterAutospacing="0"/>
              <w:jc w:val="both"/>
              <w:rPr>
                <w:sz w:val="22"/>
                <w:szCs w:val="22"/>
                <w:lang w:val="lt-LT"/>
              </w:rPr>
            </w:pPr>
            <w:r w:rsidRPr="00133123">
              <w:rPr>
                <w:sz w:val="22"/>
                <w:szCs w:val="22"/>
                <w:lang w:val="lt-LT"/>
              </w:rPr>
              <w:t>Įmonėje yra rašytiniai darbų aprašymai, kuriuose aptariamos darbuotojų pareigos, taip pat įgyvendinant naujas ar tobulinat turimas IT ar keičiant jas naujomis apibrėžiama susijusių asmenų atsakomybė.</w:t>
            </w:r>
          </w:p>
        </w:tc>
      </w:tr>
      <w:tr w:rsidR="006D2657" w:rsidRPr="00133123" w:rsidTr="00CE3EFF">
        <w:tc>
          <w:tcPr>
            <w:tcW w:w="1951" w:type="dxa"/>
          </w:tcPr>
          <w:p w:rsidR="006D2657" w:rsidRPr="00133123" w:rsidRDefault="006D2657" w:rsidP="00FC672E">
            <w:pPr>
              <w:pStyle w:val="NormalWeb"/>
              <w:spacing w:before="0" w:beforeAutospacing="0" w:after="0" w:afterAutospacing="0"/>
              <w:jc w:val="both"/>
              <w:rPr>
                <w:sz w:val="22"/>
                <w:szCs w:val="22"/>
                <w:lang w:val="lt-LT"/>
              </w:rPr>
            </w:pPr>
            <w:r w:rsidRPr="00133123">
              <w:rPr>
                <w:sz w:val="22"/>
                <w:szCs w:val="22"/>
                <w:lang w:val="lt-LT"/>
              </w:rPr>
              <w:t>Kontrolės stebėsena</w:t>
            </w:r>
          </w:p>
        </w:tc>
        <w:tc>
          <w:tcPr>
            <w:tcW w:w="7796" w:type="dxa"/>
          </w:tcPr>
          <w:p w:rsidR="006D2657" w:rsidRPr="00133123" w:rsidRDefault="006D2657" w:rsidP="00FC672E">
            <w:pPr>
              <w:pStyle w:val="NormalWeb"/>
              <w:spacing w:before="0" w:beforeAutospacing="0" w:after="0" w:afterAutospacing="0"/>
              <w:jc w:val="both"/>
              <w:rPr>
                <w:sz w:val="22"/>
                <w:szCs w:val="22"/>
                <w:lang w:val="lt-LT"/>
              </w:rPr>
            </w:pPr>
            <w:r w:rsidRPr="00133123">
              <w:rPr>
                <w:sz w:val="22"/>
                <w:szCs w:val="22"/>
                <w:lang w:val="lt-LT"/>
              </w:rPr>
              <w:t xml:space="preserve">Nors įmonėje nėra vidaus audito padalinio, tačiau, kaip aprašyta aukščiau, jos vadovybė ir Valdyba pakankamai dėmesio skiria savalaikei vidaus kontrolės sistemos stebėsenai ir </w:t>
            </w:r>
            <w:r w:rsidR="00440ED4" w:rsidRPr="00133123">
              <w:rPr>
                <w:sz w:val="22"/>
                <w:szCs w:val="22"/>
                <w:lang w:val="lt-LT"/>
              </w:rPr>
              <w:t xml:space="preserve">jos </w:t>
            </w:r>
            <w:r w:rsidRPr="00133123">
              <w:rPr>
                <w:sz w:val="22"/>
                <w:szCs w:val="22"/>
                <w:lang w:val="lt-LT"/>
              </w:rPr>
              <w:t>tobulinimui.</w:t>
            </w:r>
          </w:p>
        </w:tc>
      </w:tr>
    </w:tbl>
    <w:p w:rsidR="00DD567B" w:rsidRPr="002831E4" w:rsidRDefault="00DD567B" w:rsidP="00F22438">
      <w:pPr>
        <w:pStyle w:val="NormalWeb"/>
        <w:spacing w:before="0" w:beforeAutospacing="0" w:after="0" w:afterAutospacing="0" w:line="360" w:lineRule="auto"/>
        <w:jc w:val="both"/>
        <w:rPr>
          <w:sz w:val="20"/>
          <w:szCs w:val="20"/>
          <w:lang w:val="lt-LT"/>
        </w:rPr>
      </w:pPr>
      <w:r>
        <w:rPr>
          <w:sz w:val="20"/>
          <w:szCs w:val="20"/>
          <w:lang w:val="lt-LT"/>
        </w:rPr>
        <w:t>Šaltinis: sudaryta autorės, remiantis atliktu UAB „Šiluma“ vidaus kontrolės sistemos tyrimu.</w:t>
      </w:r>
    </w:p>
    <w:p w:rsidR="000B5370" w:rsidRDefault="002D5AD6" w:rsidP="00681C06">
      <w:pPr>
        <w:pStyle w:val="NormalWeb"/>
        <w:spacing w:before="240" w:beforeAutospacing="0" w:after="0" w:afterAutospacing="0" w:line="360" w:lineRule="auto"/>
        <w:ind w:firstLine="720"/>
        <w:jc w:val="both"/>
        <w:rPr>
          <w:sz w:val="26"/>
          <w:szCs w:val="26"/>
          <w:lang w:val="lt-LT"/>
        </w:rPr>
      </w:pPr>
      <w:r w:rsidRPr="00133123">
        <w:rPr>
          <w:sz w:val="26"/>
          <w:szCs w:val="26"/>
          <w:lang w:val="lt-LT"/>
        </w:rPr>
        <w:t xml:space="preserve">Todėl </w:t>
      </w:r>
      <w:r w:rsidR="005465AC" w:rsidRPr="00133123">
        <w:rPr>
          <w:sz w:val="26"/>
          <w:szCs w:val="26"/>
          <w:lang w:val="lt-LT"/>
        </w:rPr>
        <w:t xml:space="preserve">įvertinus </w:t>
      </w:r>
      <w:r w:rsidRPr="00133123">
        <w:rPr>
          <w:sz w:val="26"/>
          <w:szCs w:val="26"/>
          <w:lang w:val="lt-LT"/>
        </w:rPr>
        <w:t>UAB „Šiluma“</w:t>
      </w:r>
      <w:r w:rsidR="003F058D" w:rsidRPr="00133123">
        <w:rPr>
          <w:sz w:val="26"/>
          <w:szCs w:val="26"/>
          <w:lang w:val="lt-LT"/>
        </w:rPr>
        <w:t xml:space="preserve"> vidaus kontrolės sistem</w:t>
      </w:r>
      <w:r w:rsidR="005465AC" w:rsidRPr="00133123">
        <w:rPr>
          <w:sz w:val="26"/>
          <w:szCs w:val="26"/>
          <w:lang w:val="lt-LT"/>
        </w:rPr>
        <w:t>ą</w:t>
      </w:r>
      <w:r w:rsidR="00ED2E3F" w:rsidRPr="00133123">
        <w:rPr>
          <w:sz w:val="26"/>
          <w:szCs w:val="26"/>
          <w:lang w:val="lt-LT"/>
        </w:rPr>
        <w:t xml:space="preserve"> pagal jos struktūros elementus</w:t>
      </w:r>
      <w:r w:rsidRPr="00133123">
        <w:rPr>
          <w:sz w:val="26"/>
          <w:szCs w:val="26"/>
          <w:lang w:val="lt-LT"/>
        </w:rPr>
        <w:t xml:space="preserve"> ir </w:t>
      </w:r>
      <w:r w:rsidR="008C7938" w:rsidRPr="00133123">
        <w:rPr>
          <w:sz w:val="26"/>
          <w:szCs w:val="26"/>
          <w:lang w:val="lt-LT"/>
        </w:rPr>
        <w:t xml:space="preserve">pagal </w:t>
      </w:r>
      <w:r w:rsidR="00ED2E3F" w:rsidRPr="00133123">
        <w:rPr>
          <w:sz w:val="26"/>
          <w:szCs w:val="26"/>
          <w:lang w:val="lt-LT"/>
        </w:rPr>
        <w:t>CoCo</w:t>
      </w:r>
      <w:r w:rsidR="005465AC" w:rsidRPr="00133123">
        <w:rPr>
          <w:sz w:val="26"/>
          <w:szCs w:val="26"/>
          <w:lang w:val="lt-LT"/>
        </w:rPr>
        <w:t xml:space="preserve"> kriterijus</w:t>
      </w:r>
      <w:r w:rsidR="003F058D" w:rsidRPr="00133123">
        <w:rPr>
          <w:sz w:val="26"/>
          <w:szCs w:val="26"/>
          <w:lang w:val="lt-LT"/>
        </w:rPr>
        <w:t xml:space="preserve">, galima teigti, kad </w:t>
      </w:r>
      <w:r w:rsidR="005465AC" w:rsidRPr="00133123">
        <w:rPr>
          <w:sz w:val="26"/>
          <w:szCs w:val="26"/>
          <w:lang w:val="lt-LT"/>
        </w:rPr>
        <w:t>įmonės lygmeniu</w:t>
      </w:r>
      <w:r w:rsidR="003F058D" w:rsidRPr="00133123">
        <w:rPr>
          <w:sz w:val="26"/>
          <w:szCs w:val="26"/>
          <w:lang w:val="lt-LT"/>
        </w:rPr>
        <w:t xml:space="preserve"> </w:t>
      </w:r>
      <w:r w:rsidR="005465AC" w:rsidRPr="00133123">
        <w:rPr>
          <w:sz w:val="26"/>
          <w:szCs w:val="26"/>
          <w:lang w:val="lt-LT"/>
        </w:rPr>
        <w:t xml:space="preserve">vidaus kontrolės sistema yra </w:t>
      </w:r>
      <w:r w:rsidR="003F058D" w:rsidRPr="00133123">
        <w:rPr>
          <w:sz w:val="26"/>
          <w:szCs w:val="26"/>
          <w:lang w:val="lt-LT"/>
        </w:rPr>
        <w:t>veiksminga</w:t>
      </w:r>
      <w:r w:rsidR="00AF5E19" w:rsidRPr="00133123">
        <w:rPr>
          <w:sz w:val="26"/>
          <w:szCs w:val="26"/>
          <w:lang w:val="lt-LT"/>
        </w:rPr>
        <w:t xml:space="preserve"> ir rizika įmonės valdymo</w:t>
      </w:r>
      <w:r w:rsidR="00FA334C" w:rsidRPr="00133123">
        <w:rPr>
          <w:sz w:val="26"/>
          <w:szCs w:val="26"/>
          <w:lang w:val="lt-LT"/>
        </w:rPr>
        <w:t xml:space="preserve">, </w:t>
      </w:r>
      <w:r w:rsidR="00AF5E19" w:rsidRPr="00133123">
        <w:rPr>
          <w:sz w:val="26"/>
          <w:szCs w:val="26"/>
          <w:lang w:val="lt-LT"/>
        </w:rPr>
        <w:t>vidaus kontrolės</w:t>
      </w:r>
      <w:r w:rsidR="00FA334C" w:rsidRPr="00133123">
        <w:rPr>
          <w:sz w:val="26"/>
          <w:szCs w:val="26"/>
          <w:lang w:val="lt-LT"/>
        </w:rPr>
        <w:t xml:space="preserve"> ir apskaitos </w:t>
      </w:r>
      <w:r w:rsidR="00A07AC3" w:rsidRPr="00133123">
        <w:rPr>
          <w:sz w:val="26"/>
          <w:szCs w:val="26"/>
          <w:lang w:val="lt-LT"/>
        </w:rPr>
        <w:t xml:space="preserve">sąlygų </w:t>
      </w:r>
      <w:r w:rsidR="00AF5E19" w:rsidRPr="00133123">
        <w:rPr>
          <w:sz w:val="26"/>
          <w:szCs w:val="26"/>
          <w:lang w:val="lt-LT"/>
        </w:rPr>
        <w:t xml:space="preserve">atžvilgu yra maža. Tačiau </w:t>
      </w:r>
      <w:r w:rsidR="005465AC" w:rsidRPr="00133123">
        <w:rPr>
          <w:sz w:val="26"/>
          <w:szCs w:val="26"/>
          <w:lang w:val="lt-LT"/>
        </w:rPr>
        <w:t>įmonės rizik</w:t>
      </w:r>
      <w:r w:rsidR="00AF5E19" w:rsidRPr="00133123">
        <w:rPr>
          <w:sz w:val="26"/>
          <w:szCs w:val="26"/>
          <w:lang w:val="lt-LT"/>
        </w:rPr>
        <w:t>ą</w:t>
      </w:r>
      <w:r w:rsidR="00940F6B" w:rsidRPr="00133123">
        <w:rPr>
          <w:sz w:val="26"/>
          <w:szCs w:val="26"/>
          <w:lang w:val="lt-LT"/>
        </w:rPr>
        <w:t xml:space="preserve"> </w:t>
      </w:r>
      <w:r w:rsidR="00AF5E19" w:rsidRPr="00133123">
        <w:rPr>
          <w:sz w:val="26"/>
          <w:szCs w:val="26"/>
          <w:lang w:val="lt-LT"/>
        </w:rPr>
        <w:t xml:space="preserve">didina strateginės </w:t>
      </w:r>
      <w:r w:rsidR="00FA334C" w:rsidRPr="00133123">
        <w:rPr>
          <w:sz w:val="26"/>
          <w:szCs w:val="26"/>
          <w:lang w:val="lt-LT"/>
        </w:rPr>
        <w:t xml:space="preserve">ir veiklos </w:t>
      </w:r>
      <w:r w:rsidR="00AF5E19" w:rsidRPr="00133123">
        <w:rPr>
          <w:sz w:val="26"/>
          <w:szCs w:val="26"/>
          <w:lang w:val="lt-LT"/>
        </w:rPr>
        <w:t>sąlygos</w:t>
      </w:r>
      <w:r w:rsidRPr="00133123">
        <w:rPr>
          <w:sz w:val="26"/>
          <w:szCs w:val="26"/>
          <w:lang w:val="lt-LT"/>
        </w:rPr>
        <w:t xml:space="preserve">. Kadangi </w:t>
      </w:r>
      <w:r w:rsidR="00FA334C" w:rsidRPr="00133123">
        <w:rPr>
          <w:sz w:val="26"/>
          <w:szCs w:val="26"/>
          <w:lang w:val="lt-LT"/>
        </w:rPr>
        <w:t xml:space="preserve">įmonė </w:t>
      </w:r>
      <w:r w:rsidRPr="00133123">
        <w:rPr>
          <w:sz w:val="26"/>
          <w:szCs w:val="26"/>
          <w:lang w:val="lt-LT"/>
        </w:rPr>
        <w:t xml:space="preserve">aktyviai </w:t>
      </w:r>
      <w:r w:rsidR="00FA334C" w:rsidRPr="00133123">
        <w:rPr>
          <w:sz w:val="26"/>
          <w:szCs w:val="26"/>
          <w:lang w:val="lt-LT"/>
        </w:rPr>
        <w:t>siekia ir toliau modernizuoti naudojamas šilumos gamybos bei tiekimo sistemas</w:t>
      </w:r>
      <w:r w:rsidR="00546CA0" w:rsidRPr="00133123">
        <w:rPr>
          <w:sz w:val="26"/>
          <w:szCs w:val="26"/>
          <w:lang w:val="lt-LT"/>
        </w:rPr>
        <w:t xml:space="preserve"> (ilgalaikio turto įsigijimas 2008 m. siekė per 24</w:t>
      </w:r>
      <w:r w:rsidR="00133123">
        <w:rPr>
          <w:sz w:val="26"/>
          <w:szCs w:val="26"/>
          <w:lang w:val="lt-LT"/>
        </w:rPr>
        <w:t> </w:t>
      </w:r>
      <w:r w:rsidR="00546CA0" w:rsidRPr="00133123">
        <w:rPr>
          <w:sz w:val="26"/>
          <w:szCs w:val="26"/>
          <w:lang w:val="lt-LT"/>
        </w:rPr>
        <w:t>126 tūkst. Lt)</w:t>
      </w:r>
      <w:r w:rsidR="00FA334C" w:rsidRPr="00133123">
        <w:rPr>
          <w:sz w:val="26"/>
          <w:szCs w:val="26"/>
          <w:lang w:val="lt-LT"/>
        </w:rPr>
        <w:t xml:space="preserve">, </w:t>
      </w:r>
      <w:r w:rsidRPr="00133123">
        <w:rPr>
          <w:sz w:val="26"/>
          <w:szCs w:val="26"/>
          <w:lang w:val="lt-LT"/>
        </w:rPr>
        <w:t xml:space="preserve">tai </w:t>
      </w:r>
      <w:r w:rsidR="00FA334C" w:rsidRPr="00133123">
        <w:rPr>
          <w:sz w:val="26"/>
          <w:szCs w:val="26"/>
          <w:lang w:val="lt-LT"/>
        </w:rPr>
        <w:t xml:space="preserve">neigiamos įtakos </w:t>
      </w:r>
      <w:r w:rsidRPr="00133123">
        <w:rPr>
          <w:sz w:val="26"/>
          <w:szCs w:val="26"/>
          <w:lang w:val="lt-LT"/>
        </w:rPr>
        <w:t xml:space="preserve">tam </w:t>
      </w:r>
      <w:r w:rsidR="00FA334C" w:rsidRPr="00133123">
        <w:rPr>
          <w:sz w:val="26"/>
          <w:szCs w:val="26"/>
          <w:lang w:val="lt-LT"/>
        </w:rPr>
        <w:t>gali turėti</w:t>
      </w:r>
      <w:r w:rsidR="00AF5E19" w:rsidRPr="00133123">
        <w:rPr>
          <w:sz w:val="26"/>
          <w:szCs w:val="26"/>
          <w:lang w:val="lt-LT"/>
        </w:rPr>
        <w:t xml:space="preserve"> kapitalo trūkumas</w:t>
      </w:r>
      <w:r w:rsidR="00FA334C" w:rsidRPr="00133123">
        <w:rPr>
          <w:sz w:val="26"/>
          <w:szCs w:val="26"/>
          <w:lang w:val="lt-LT"/>
        </w:rPr>
        <w:t xml:space="preserve">, optimalaus finansavimo </w:t>
      </w:r>
      <w:r w:rsidR="00CD186D" w:rsidRPr="00133123">
        <w:rPr>
          <w:sz w:val="26"/>
          <w:szCs w:val="26"/>
          <w:lang w:val="lt-LT"/>
        </w:rPr>
        <w:t xml:space="preserve">būdo </w:t>
      </w:r>
      <w:r w:rsidR="00FA334C" w:rsidRPr="00133123">
        <w:rPr>
          <w:sz w:val="26"/>
          <w:szCs w:val="26"/>
          <w:lang w:val="lt-LT"/>
        </w:rPr>
        <w:t>negavimas</w:t>
      </w:r>
      <w:r w:rsidR="00BE2D73" w:rsidRPr="00133123">
        <w:rPr>
          <w:sz w:val="26"/>
          <w:szCs w:val="26"/>
          <w:lang w:val="lt-LT"/>
        </w:rPr>
        <w:t xml:space="preserve"> (grėstų priešlaikinis ilgalaikių paskolų grąžinimas)</w:t>
      </w:r>
      <w:r w:rsidR="00FA334C" w:rsidRPr="00133123">
        <w:rPr>
          <w:sz w:val="26"/>
          <w:szCs w:val="26"/>
          <w:lang w:val="lt-LT"/>
        </w:rPr>
        <w:t>.</w:t>
      </w:r>
      <w:r w:rsidR="00E36E5A" w:rsidRPr="00133123">
        <w:rPr>
          <w:sz w:val="26"/>
          <w:szCs w:val="26"/>
          <w:lang w:val="lt-LT"/>
        </w:rPr>
        <w:t xml:space="preserve"> Tai patvirtina ir įmonės finansiniai rodikliai</w:t>
      </w:r>
      <w:r w:rsidRPr="00133123">
        <w:rPr>
          <w:sz w:val="26"/>
          <w:szCs w:val="26"/>
          <w:lang w:val="lt-LT"/>
        </w:rPr>
        <w:t>:</w:t>
      </w:r>
      <w:r w:rsidR="00E36E5A" w:rsidRPr="00133123">
        <w:rPr>
          <w:sz w:val="26"/>
          <w:szCs w:val="26"/>
          <w:lang w:val="lt-LT"/>
        </w:rPr>
        <w:t xml:space="preserve"> 2007 metais ir 2008 metais </w:t>
      </w:r>
      <w:r w:rsidR="00940F6B" w:rsidRPr="00133123">
        <w:rPr>
          <w:sz w:val="26"/>
          <w:szCs w:val="26"/>
          <w:lang w:val="lt-LT"/>
        </w:rPr>
        <w:t>UAB</w:t>
      </w:r>
      <w:r w:rsidR="00133123">
        <w:rPr>
          <w:sz w:val="26"/>
          <w:szCs w:val="26"/>
          <w:lang w:val="lt-LT"/>
        </w:rPr>
        <w:t> </w:t>
      </w:r>
      <w:r w:rsidR="00940F6B" w:rsidRPr="00133123">
        <w:rPr>
          <w:sz w:val="26"/>
          <w:szCs w:val="26"/>
          <w:lang w:val="lt-LT"/>
        </w:rPr>
        <w:t xml:space="preserve">„Šiluma“ </w:t>
      </w:r>
      <w:r w:rsidR="00E36E5A" w:rsidRPr="00133123">
        <w:rPr>
          <w:sz w:val="26"/>
          <w:szCs w:val="26"/>
          <w:lang w:val="lt-LT"/>
        </w:rPr>
        <w:t>patyrė atitinkamai 3</w:t>
      </w:r>
      <w:r w:rsidR="00133123">
        <w:rPr>
          <w:sz w:val="26"/>
          <w:szCs w:val="26"/>
          <w:lang w:val="lt-LT"/>
        </w:rPr>
        <w:t> </w:t>
      </w:r>
      <w:r w:rsidR="00E36E5A" w:rsidRPr="00133123">
        <w:rPr>
          <w:sz w:val="26"/>
          <w:szCs w:val="26"/>
          <w:lang w:val="lt-LT"/>
        </w:rPr>
        <w:t>340</w:t>
      </w:r>
      <w:r w:rsidR="00973556">
        <w:rPr>
          <w:sz w:val="26"/>
          <w:szCs w:val="26"/>
          <w:lang w:val="lt-LT"/>
        </w:rPr>
        <w:t> </w:t>
      </w:r>
      <w:r w:rsidR="00E36E5A" w:rsidRPr="00133123">
        <w:rPr>
          <w:sz w:val="26"/>
          <w:szCs w:val="26"/>
          <w:lang w:val="lt-LT"/>
        </w:rPr>
        <w:t>tūkst. Lt ir 18</w:t>
      </w:r>
      <w:r w:rsidR="00133123">
        <w:rPr>
          <w:sz w:val="26"/>
          <w:szCs w:val="26"/>
          <w:lang w:val="lt-LT"/>
        </w:rPr>
        <w:t> </w:t>
      </w:r>
      <w:r w:rsidR="00E36E5A" w:rsidRPr="00133123">
        <w:rPr>
          <w:sz w:val="26"/>
          <w:szCs w:val="26"/>
          <w:lang w:val="lt-LT"/>
        </w:rPr>
        <w:t>660 tūkst. Lt dydžio tipinės veiklos nuostoli</w:t>
      </w:r>
      <w:r w:rsidRPr="00133123">
        <w:rPr>
          <w:sz w:val="26"/>
          <w:szCs w:val="26"/>
          <w:lang w:val="lt-LT"/>
        </w:rPr>
        <w:t>ų</w:t>
      </w:r>
      <w:r w:rsidR="00CD186D" w:rsidRPr="00133123">
        <w:rPr>
          <w:sz w:val="26"/>
          <w:szCs w:val="26"/>
          <w:lang w:val="lt-LT"/>
        </w:rPr>
        <w:t xml:space="preserve">, o apyvartinis kapitalas buvo </w:t>
      </w:r>
      <w:r w:rsidR="00101947" w:rsidRPr="00133123">
        <w:rPr>
          <w:sz w:val="26"/>
          <w:szCs w:val="26"/>
          <w:lang w:val="lt-LT"/>
        </w:rPr>
        <w:t xml:space="preserve">neigiamas atitinkamai </w:t>
      </w:r>
      <w:r w:rsidR="005C2CC5" w:rsidRPr="00133123">
        <w:rPr>
          <w:sz w:val="26"/>
          <w:szCs w:val="26"/>
          <w:lang w:val="lt-LT"/>
        </w:rPr>
        <w:t>33</w:t>
      </w:r>
      <w:r w:rsidR="00133123">
        <w:rPr>
          <w:sz w:val="26"/>
          <w:szCs w:val="26"/>
          <w:lang w:val="lt-LT"/>
        </w:rPr>
        <w:t> </w:t>
      </w:r>
      <w:r w:rsidR="005C2CC5" w:rsidRPr="00133123">
        <w:rPr>
          <w:sz w:val="26"/>
          <w:szCs w:val="26"/>
          <w:lang w:val="lt-LT"/>
        </w:rPr>
        <w:t>483</w:t>
      </w:r>
      <w:r w:rsidR="00CD186D" w:rsidRPr="00133123">
        <w:rPr>
          <w:sz w:val="26"/>
          <w:szCs w:val="26"/>
          <w:lang w:val="lt-LT"/>
        </w:rPr>
        <w:t xml:space="preserve"> tūkst. Lt ir </w:t>
      </w:r>
      <w:r w:rsidR="005C2CC5" w:rsidRPr="00133123">
        <w:rPr>
          <w:sz w:val="26"/>
          <w:szCs w:val="26"/>
          <w:lang w:val="lt-LT"/>
        </w:rPr>
        <w:t>10</w:t>
      </w:r>
      <w:r w:rsidR="00133123">
        <w:rPr>
          <w:sz w:val="26"/>
          <w:szCs w:val="26"/>
          <w:lang w:val="lt-LT"/>
        </w:rPr>
        <w:t> </w:t>
      </w:r>
      <w:r w:rsidR="005C2CC5" w:rsidRPr="00133123">
        <w:rPr>
          <w:sz w:val="26"/>
          <w:szCs w:val="26"/>
          <w:lang w:val="lt-LT"/>
        </w:rPr>
        <w:t>773</w:t>
      </w:r>
      <w:r w:rsidR="00973556">
        <w:rPr>
          <w:sz w:val="26"/>
          <w:szCs w:val="26"/>
          <w:lang w:val="lt-LT"/>
        </w:rPr>
        <w:t> </w:t>
      </w:r>
      <w:r w:rsidR="00CD186D" w:rsidRPr="00133123">
        <w:rPr>
          <w:sz w:val="26"/>
          <w:szCs w:val="26"/>
          <w:lang w:val="lt-LT"/>
        </w:rPr>
        <w:t>tūkst. Lt</w:t>
      </w:r>
      <w:r w:rsidR="00E36E5A" w:rsidRPr="00133123">
        <w:rPr>
          <w:sz w:val="26"/>
          <w:szCs w:val="26"/>
          <w:lang w:val="lt-LT"/>
        </w:rPr>
        <w:t xml:space="preserve">. </w:t>
      </w:r>
      <w:r w:rsidR="00BE2D73" w:rsidRPr="00133123">
        <w:rPr>
          <w:sz w:val="26"/>
          <w:szCs w:val="26"/>
          <w:lang w:val="lt-LT"/>
        </w:rPr>
        <w:t>Nors</w:t>
      </w:r>
      <w:r w:rsidR="00C44BF5" w:rsidRPr="00133123">
        <w:rPr>
          <w:sz w:val="26"/>
          <w:szCs w:val="26"/>
          <w:lang w:val="lt-LT"/>
        </w:rPr>
        <w:t xml:space="preserve"> minėtos investicinės </w:t>
      </w:r>
      <w:r w:rsidR="00BE2D73" w:rsidRPr="00133123">
        <w:rPr>
          <w:sz w:val="26"/>
          <w:szCs w:val="26"/>
          <w:lang w:val="lt-LT"/>
        </w:rPr>
        <w:t>veiklos įtaka</w:t>
      </w:r>
      <w:r w:rsidR="00C44BF5" w:rsidRPr="00133123">
        <w:rPr>
          <w:sz w:val="26"/>
          <w:szCs w:val="26"/>
          <w:lang w:val="lt-LT"/>
        </w:rPr>
        <w:t xml:space="preserve"> </w:t>
      </w:r>
      <w:r w:rsidR="00BE2D73" w:rsidRPr="00133123">
        <w:rPr>
          <w:sz w:val="26"/>
          <w:szCs w:val="26"/>
          <w:lang w:val="lt-LT"/>
        </w:rPr>
        <w:t xml:space="preserve">yra labai didelė, tačiau </w:t>
      </w:r>
      <w:r w:rsidR="00C44BF5" w:rsidRPr="00133123">
        <w:rPr>
          <w:sz w:val="26"/>
          <w:szCs w:val="26"/>
          <w:lang w:val="lt-LT"/>
        </w:rPr>
        <w:t>įmonė geba valdyti pinigų srautus</w:t>
      </w:r>
      <w:r w:rsidR="00723B9E" w:rsidRPr="00133123">
        <w:rPr>
          <w:sz w:val="26"/>
          <w:szCs w:val="26"/>
          <w:lang w:val="lt-LT"/>
        </w:rPr>
        <w:t xml:space="preserve"> (jie analizuojamais metais iš įprastinės </w:t>
      </w:r>
      <w:r w:rsidR="00723B9E" w:rsidRPr="00133123">
        <w:rPr>
          <w:sz w:val="26"/>
          <w:szCs w:val="26"/>
          <w:lang w:val="lt-LT"/>
        </w:rPr>
        <w:lastRenderedPageBreak/>
        <w:t>veiklos ir finansinės veiklos buvo teigiami) ir veiklos tęstinumo problema jai negresia.</w:t>
      </w:r>
      <w:r w:rsidR="00C44BF5" w:rsidRPr="00133123">
        <w:rPr>
          <w:sz w:val="26"/>
          <w:szCs w:val="26"/>
          <w:lang w:val="lt-LT"/>
        </w:rPr>
        <w:t xml:space="preserve"> </w:t>
      </w:r>
    </w:p>
    <w:p w:rsidR="00E36E5A" w:rsidRPr="00133123" w:rsidRDefault="000B5370" w:rsidP="000B5370">
      <w:pPr>
        <w:pStyle w:val="NormalWeb"/>
        <w:spacing w:before="0" w:beforeAutospacing="0" w:after="0" w:afterAutospacing="0" w:line="360" w:lineRule="auto"/>
        <w:ind w:firstLine="720"/>
        <w:jc w:val="both"/>
        <w:rPr>
          <w:sz w:val="26"/>
          <w:szCs w:val="26"/>
          <w:lang w:val="lt-LT"/>
        </w:rPr>
      </w:pPr>
      <w:r w:rsidRPr="00666381">
        <w:rPr>
          <w:sz w:val="26"/>
          <w:szCs w:val="26"/>
          <w:lang w:val="lt-LT"/>
        </w:rPr>
        <w:t>Audito metu</w:t>
      </w:r>
      <w:r w:rsidR="00666381" w:rsidRPr="00666381">
        <w:rPr>
          <w:sz w:val="26"/>
          <w:szCs w:val="26"/>
          <w:lang w:val="lt-LT"/>
        </w:rPr>
        <w:t xml:space="preserve">, pasinaudojus 21 priede pateikta </w:t>
      </w:r>
      <w:r w:rsidR="00666381" w:rsidRPr="00666381">
        <w:rPr>
          <w:b/>
          <w:sz w:val="26"/>
          <w:szCs w:val="26"/>
          <w:lang w:val="lt-LT"/>
        </w:rPr>
        <w:t>įmonės rizikos apskaičiavimo lentele</w:t>
      </w:r>
      <w:r w:rsidR="00C470A5">
        <w:rPr>
          <w:b/>
          <w:sz w:val="26"/>
          <w:szCs w:val="26"/>
          <w:lang w:val="lt-LT"/>
        </w:rPr>
        <w:t xml:space="preserve"> </w:t>
      </w:r>
      <w:r w:rsidR="00C470A5" w:rsidRPr="00C470A5">
        <w:rPr>
          <w:sz w:val="26"/>
          <w:szCs w:val="26"/>
          <w:lang w:val="lt-LT"/>
        </w:rPr>
        <w:t>bei pritaikius k</w:t>
      </w:r>
      <w:r w:rsidR="00884A1E">
        <w:rPr>
          <w:sz w:val="26"/>
          <w:szCs w:val="26"/>
          <w:lang w:val="lt-LT"/>
        </w:rPr>
        <w:t>ie</w:t>
      </w:r>
      <w:r w:rsidR="00C470A5" w:rsidRPr="00C470A5">
        <w:rPr>
          <w:sz w:val="26"/>
          <w:szCs w:val="26"/>
          <w:lang w:val="lt-LT"/>
        </w:rPr>
        <w:t>kybinio įvertinimo metodiką</w:t>
      </w:r>
      <w:r w:rsidR="00C470A5">
        <w:rPr>
          <w:sz w:val="26"/>
          <w:szCs w:val="26"/>
          <w:lang w:val="lt-LT"/>
        </w:rPr>
        <w:t xml:space="preserve"> (</w:t>
      </w:r>
      <w:r w:rsidR="00FA1D98">
        <w:rPr>
          <w:sz w:val="26"/>
          <w:szCs w:val="26"/>
          <w:lang w:val="lt-LT"/>
        </w:rPr>
        <w:t>21</w:t>
      </w:r>
      <w:r w:rsidR="00681C06">
        <w:rPr>
          <w:sz w:val="26"/>
          <w:szCs w:val="26"/>
          <w:lang w:val="lt-LT"/>
        </w:rPr>
        <w:t xml:space="preserve"> ir 23</w:t>
      </w:r>
      <w:r w:rsidR="00973556">
        <w:rPr>
          <w:sz w:val="26"/>
          <w:szCs w:val="26"/>
          <w:lang w:val="lt-LT"/>
        </w:rPr>
        <w:t> </w:t>
      </w:r>
      <w:r w:rsidR="00FA1D98">
        <w:rPr>
          <w:sz w:val="26"/>
          <w:szCs w:val="26"/>
          <w:lang w:val="lt-LT"/>
        </w:rPr>
        <w:t>lentelė</w:t>
      </w:r>
      <w:r w:rsidR="00681C06">
        <w:rPr>
          <w:sz w:val="26"/>
          <w:szCs w:val="26"/>
          <w:lang w:val="lt-LT"/>
        </w:rPr>
        <w:t>s</w:t>
      </w:r>
      <w:r w:rsidR="00C470A5">
        <w:rPr>
          <w:sz w:val="26"/>
          <w:szCs w:val="26"/>
          <w:lang w:val="lt-LT"/>
        </w:rPr>
        <w:t>)</w:t>
      </w:r>
      <w:r w:rsidR="00666381">
        <w:rPr>
          <w:sz w:val="26"/>
          <w:szCs w:val="26"/>
          <w:lang w:val="lt-LT"/>
        </w:rPr>
        <w:t xml:space="preserve">, </w:t>
      </w:r>
      <w:r w:rsidR="00E36E5A" w:rsidRPr="00666381">
        <w:rPr>
          <w:i/>
          <w:sz w:val="26"/>
          <w:szCs w:val="26"/>
          <w:lang w:val="lt-LT"/>
        </w:rPr>
        <w:t>į</w:t>
      </w:r>
      <w:r w:rsidR="00E36E5A" w:rsidRPr="00133123">
        <w:rPr>
          <w:i/>
          <w:sz w:val="26"/>
          <w:szCs w:val="26"/>
          <w:lang w:val="lt-LT"/>
        </w:rPr>
        <w:t xml:space="preserve">monės rizika </w:t>
      </w:r>
      <w:r w:rsidR="00666381" w:rsidRPr="00666381">
        <w:rPr>
          <w:sz w:val="26"/>
          <w:szCs w:val="26"/>
          <w:lang w:val="lt-LT"/>
        </w:rPr>
        <w:t xml:space="preserve">dėl minėtų UAB „Šiluma“ vidaus aplinkos sąlygų </w:t>
      </w:r>
      <w:r w:rsidR="00666381">
        <w:rPr>
          <w:sz w:val="26"/>
          <w:szCs w:val="26"/>
          <w:lang w:val="lt-LT"/>
        </w:rPr>
        <w:t>į</w:t>
      </w:r>
      <w:r w:rsidR="00E36E5A" w:rsidRPr="00133123">
        <w:rPr>
          <w:sz w:val="26"/>
          <w:szCs w:val="26"/>
          <w:lang w:val="lt-LT"/>
        </w:rPr>
        <w:t>vertinta kaip</w:t>
      </w:r>
      <w:r w:rsidR="00E36E5A" w:rsidRPr="00133123">
        <w:rPr>
          <w:i/>
          <w:sz w:val="26"/>
          <w:szCs w:val="26"/>
          <w:lang w:val="lt-LT"/>
        </w:rPr>
        <w:t xml:space="preserve"> vidutinė</w:t>
      </w:r>
      <w:r w:rsidR="008233ED" w:rsidRPr="00133123">
        <w:rPr>
          <w:i/>
          <w:sz w:val="26"/>
          <w:szCs w:val="26"/>
          <w:lang w:val="lt-LT"/>
        </w:rPr>
        <w:t xml:space="preserve">, </w:t>
      </w:r>
      <w:r w:rsidR="008233ED" w:rsidRPr="00133123">
        <w:rPr>
          <w:sz w:val="26"/>
          <w:szCs w:val="26"/>
          <w:lang w:val="lt-LT"/>
        </w:rPr>
        <w:t>jos nustatytas lygis 53 proc.</w:t>
      </w:r>
      <w:r w:rsidR="005F1682" w:rsidRPr="00133123">
        <w:rPr>
          <w:sz w:val="26"/>
          <w:szCs w:val="26"/>
          <w:lang w:val="lt-LT"/>
        </w:rPr>
        <w:t>, o susij</w:t>
      </w:r>
      <w:r w:rsidR="00E44DF2" w:rsidRPr="00133123">
        <w:rPr>
          <w:sz w:val="26"/>
          <w:szCs w:val="26"/>
          <w:lang w:val="lt-LT"/>
        </w:rPr>
        <w:t xml:space="preserve">ęs finansinių ataskaitų elementas ir jo tvirtinimas </w:t>
      </w:r>
      <w:r w:rsidR="005F1682" w:rsidRPr="00133123">
        <w:rPr>
          <w:sz w:val="26"/>
          <w:szCs w:val="26"/>
          <w:lang w:val="lt-LT"/>
        </w:rPr>
        <w:softHyphen/>
        <w:t xml:space="preserve"> </w:t>
      </w:r>
      <w:r w:rsidR="00E44DF2" w:rsidRPr="00133123">
        <w:rPr>
          <w:sz w:val="26"/>
          <w:szCs w:val="26"/>
          <w:lang w:val="lt-LT"/>
        </w:rPr>
        <w:t>skol</w:t>
      </w:r>
      <w:r w:rsidR="005F1682" w:rsidRPr="00133123">
        <w:rPr>
          <w:sz w:val="26"/>
          <w:szCs w:val="26"/>
          <w:lang w:val="lt-LT"/>
        </w:rPr>
        <w:t>ų</w:t>
      </w:r>
      <w:r w:rsidR="00E44DF2" w:rsidRPr="00133123">
        <w:rPr>
          <w:sz w:val="26"/>
          <w:szCs w:val="26"/>
          <w:lang w:val="lt-LT"/>
        </w:rPr>
        <w:t xml:space="preserve"> kredito įstaigoms įvertinimas</w:t>
      </w:r>
      <w:r w:rsidR="00E36E5A" w:rsidRPr="00133123">
        <w:rPr>
          <w:i/>
          <w:sz w:val="26"/>
          <w:szCs w:val="26"/>
          <w:lang w:val="lt-LT"/>
        </w:rPr>
        <w:t>.</w:t>
      </w:r>
    </w:p>
    <w:p w:rsidR="00C470A5" w:rsidRDefault="00A86E0B" w:rsidP="00FF533C">
      <w:pPr>
        <w:spacing w:line="360" w:lineRule="auto"/>
        <w:ind w:firstLine="720"/>
        <w:jc w:val="both"/>
        <w:rPr>
          <w:sz w:val="26"/>
          <w:szCs w:val="26"/>
          <w:lang w:val="lt-LT"/>
        </w:rPr>
      </w:pPr>
      <w:r w:rsidRPr="00133123">
        <w:rPr>
          <w:sz w:val="26"/>
          <w:szCs w:val="26"/>
          <w:lang w:val="lt-LT"/>
        </w:rPr>
        <w:t xml:space="preserve">Kitas svarbus </w:t>
      </w:r>
      <w:r w:rsidR="00A26B19" w:rsidRPr="00133123">
        <w:rPr>
          <w:sz w:val="26"/>
          <w:szCs w:val="26"/>
          <w:lang w:val="lt-LT"/>
        </w:rPr>
        <w:t xml:space="preserve">klausimas </w:t>
      </w:r>
      <w:r w:rsidRPr="00133123">
        <w:rPr>
          <w:sz w:val="26"/>
          <w:szCs w:val="26"/>
          <w:lang w:val="lt-LT"/>
        </w:rPr>
        <w:t xml:space="preserve">reikšmingo iškraipymo rizikos finansinių ataskaitų lygmeniu </w:t>
      </w:r>
      <w:r w:rsidR="00225B01">
        <w:rPr>
          <w:sz w:val="26"/>
          <w:szCs w:val="26"/>
          <w:lang w:val="lt-LT"/>
        </w:rPr>
        <w:t xml:space="preserve">vertinimui </w:t>
      </w:r>
      <w:r w:rsidR="00A26B19" w:rsidRPr="00133123">
        <w:rPr>
          <w:sz w:val="26"/>
          <w:szCs w:val="26"/>
          <w:lang w:val="lt-LT"/>
        </w:rPr>
        <w:t xml:space="preserve">yra </w:t>
      </w:r>
      <w:r w:rsidRPr="00133123">
        <w:rPr>
          <w:sz w:val="26"/>
          <w:szCs w:val="26"/>
          <w:lang w:val="lt-LT"/>
        </w:rPr>
        <w:t>apgaulės rizikos nustatym</w:t>
      </w:r>
      <w:r w:rsidR="00225B01">
        <w:rPr>
          <w:sz w:val="26"/>
          <w:szCs w:val="26"/>
          <w:lang w:val="lt-LT"/>
        </w:rPr>
        <w:t>as</w:t>
      </w:r>
      <w:r w:rsidRPr="00133123">
        <w:rPr>
          <w:sz w:val="26"/>
          <w:szCs w:val="26"/>
          <w:lang w:val="lt-LT"/>
        </w:rPr>
        <w:t>.</w:t>
      </w:r>
      <w:r w:rsidR="00E05E2E" w:rsidRPr="00133123">
        <w:rPr>
          <w:sz w:val="26"/>
          <w:szCs w:val="26"/>
          <w:lang w:val="lt-LT"/>
        </w:rPr>
        <w:t xml:space="preserve"> Atsižvelgiant į</w:t>
      </w:r>
      <w:r w:rsidR="004C76C0" w:rsidRPr="00133123">
        <w:rPr>
          <w:sz w:val="26"/>
          <w:szCs w:val="26"/>
          <w:lang w:val="lt-LT"/>
        </w:rPr>
        <w:t xml:space="preserve"> </w:t>
      </w:r>
      <w:r w:rsidR="00101947" w:rsidRPr="00133123">
        <w:rPr>
          <w:sz w:val="26"/>
          <w:szCs w:val="26"/>
          <w:lang w:val="lt-LT"/>
        </w:rPr>
        <w:t>UAB „Šiluma“</w:t>
      </w:r>
      <w:r w:rsidR="00E05E2E" w:rsidRPr="00133123">
        <w:rPr>
          <w:sz w:val="26"/>
          <w:szCs w:val="26"/>
          <w:lang w:val="lt-LT"/>
        </w:rPr>
        <w:t xml:space="preserve"> situaciją, galima teigti, kad </w:t>
      </w:r>
      <w:r w:rsidR="00A26B19" w:rsidRPr="00133123">
        <w:rPr>
          <w:sz w:val="26"/>
          <w:szCs w:val="26"/>
          <w:lang w:val="lt-LT"/>
        </w:rPr>
        <w:t xml:space="preserve">norint parodyti geresnius finansinius rezultatus finansinėse ataskaitose ir užsitikrinti palankaus finansavimo iš išorės sąlygas, </w:t>
      </w:r>
      <w:r w:rsidR="00A02D93" w:rsidRPr="00133123">
        <w:rPr>
          <w:sz w:val="26"/>
          <w:szCs w:val="26"/>
          <w:lang w:val="lt-LT"/>
        </w:rPr>
        <w:t xml:space="preserve">iškyla </w:t>
      </w:r>
      <w:r w:rsidR="00E05E2E" w:rsidRPr="00133123">
        <w:rPr>
          <w:sz w:val="26"/>
          <w:szCs w:val="26"/>
          <w:lang w:val="lt-LT"/>
        </w:rPr>
        <w:t>apgaulės rizika susijusi su pajamų pripažinimu</w:t>
      </w:r>
      <w:r w:rsidR="00A20E1C" w:rsidRPr="00133123">
        <w:rPr>
          <w:sz w:val="26"/>
          <w:szCs w:val="26"/>
          <w:lang w:val="lt-LT"/>
        </w:rPr>
        <w:t xml:space="preserve">. </w:t>
      </w:r>
      <w:r w:rsidR="00A02D93" w:rsidRPr="00133123">
        <w:rPr>
          <w:sz w:val="26"/>
          <w:szCs w:val="26"/>
          <w:lang w:val="lt-LT"/>
        </w:rPr>
        <w:t>Įmonės pardavimo pajamos gali būti neteisingai apskaitytos dėl didelio ūkinių operacijų skaičiaus ir priskyrimo teisingam laikotarpiui problemos</w:t>
      </w:r>
      <w:r w:rsidR="00434424" w:rsidRPr="00133123">
        <w:rPr>
          <w:sz w:val="26"/>
          <w:szCs w:val="26"/>
          <w:lang w:val="lt-LT"/>
        </w:rPr>
        <w:t xml:space="preserve">. Be to, </w:t>
      </w:r>
      <w:r w:rsidR="00A02D93" w:rsidRPr="00133123">
        <w:rPr>
          <w:sz w:val="26"/>
          <w:szCs w:val="26"/>
          <w:lang w:val="lt-LT"/>
        </w:rPr>
        <w:t>gautinos sumos gali būti apskaitytos neįvertinus jų vertė</w:t>
      </w:r>
      <w:r w:rsidR="00681C06">
        <w:rPr>
          <w:sz w:val="26"/>
          <w:szCs w:val="26"/>
          <w:lang w:val="lt-LT"/>
        </w:rPr>
        <w:t>s sumažėjimo (abejotinų skolų</w:t>
      </w:r>
      <w:r w:rsidR="00A02D93" w:rsidRPr="00133123">
        <w:rPr>
          <w:sz w:val="26"/>
          <w:szCs w:val="26"/>
          <w:lang w:val="lt-LT"/>
        </w:rPr>
        <w:t>)</w:t>
      </w:r>
      <w:r w:rsidR="00434424" w:rsidRPr="00133123">
        <w:rPr>
          <w:sz w:val="26"/>
          <w:szCs w:val="26"/>
          <w:lang w:val="lt-LT"/>
        </w:rPr>
        <w:t xml:space="preserve">, būtent </w:t>
      </w:r>
      <w:r w:rsidR="00A02D93" w:rsidRPr="00133123">
        <w:rPr>
          <w:sz w:val="26"/>
          <w:szCs w:val="26"/>
          <w:lang w:val="lt-LT"/>
        </w:rPr>
        <w:t>pastarasis dydis reikalauja subjektyviais sprendimais paremtų apskaitinių įver</w:t>
      </w:r>
      <w:r w:rsidR="00B7691E" w:rsidRPr="00133123">
        <w:rPr>
          <w:sz w:val="26"/>
          <w:szCs w:val="26"/>
          <w:lang w:val="lt-LT"/>
        </w:rPr>
        <w:t>či</w:t>
      </w:r>
      <w:r w:rsidR="00A02D93" w:rsidRPr="00133123">
        <w:rPr>
          <w:sz w:val="26"/>
          <w:szCs w:val="26"/>
          <w:lang w:val="lt-LT"/>
        </w:rPr>
        <w:t>ų, kuri</w:t>
      </w:r>
      <w:r w:rsidR="00940F6B" w:rsidRPr="00133123">
        <w:rPr>
          <w:sz w:val="26"/>
          <w:szCs w:val="26"/>
          <w:lang w:val="lt-LT"/>
        </w:rPr>
        <w:t>ais</w:t>
      </w:r>
      <w:r w:rsidR="00A02D93" w:rsidRPr="00133123">
        <w:rPr>
          <w:sz w:val="26"/>
          <w:szCs w:val="26"/>
          <w:lang w:val="lt-LT"/>
        </w:rPr>
        <w:t xml:space="preserve"> labiausiai ir gali </w:t>
      </w:r>
      <w:r w:rsidR="00940F6B" w:rsidRPr="00133123">
        <w:rPr>
          <w:sz w:val="26"/>
          <w:szCs w:val="26"/>
          <w:lang w:val="lt-LT"/>
        </w:rPr>
        <w:t>manipuliuoti</w:t>
      </w:r>
      <w:r w:rsidR="00A02D93" w:rsidRPr="00133123">
        <w:rPr>
          <w:sz w:val="26"/>
          <w:szCs w:val="26"/>
          <w:lang w:val="lt-LT"/>
        </w:rPr>
        <w:t xml:space="preserve"> įmonės vadovybė</w:t>
      </w:r>
      <w:r w:rsidR="00434424" w:rsidRPr="00133123">
        <w:rPr>
          <w:sz w:val="26"/>
          <w:szCs w:val="26"/>
          <w:lang w:val="lt-LT"/>
        </w:rPr>
        <w:t xml:space="preserve">. Tačiau reikėtų pripažinti, kad </w:t>
      </w:r>
      <w:r w:rsidR="007D4305" w:rsidRPr="00133123">
        <w:rPr>
          <w:sz w:val="26"/>
          <w:szCs w:val="26"/>
          <w:lang w:val="lt-LT"/>
        </w:rPr>
        <w:t xml:space="preserve">tai </w:t>
      </w:r>
      <w:r w:rsidR="005F1682" w:rsidRPr="00133123">
        <w:rPr>
          <w:sz w:val="26"/>
          <w:szCs w:val="26"/>
          <w:lang w:val="lt-LT"/>
        </w:rPr>
        <w:t xml:space="preserve">griečiau </w:t>
      </w:r>
      <w:r w:rsidR="00434424" w:rsidRPr="00133123">
        <w:rPr>
          <w:sz w:val="26"/>
          <w:szCs w:val="26"/>
          <w:lang w:val="lt-LT"/>
        </w:rPr>
        <w:t xml:space="preserve">susiję </w:t>
      </w:r>
      <w:r w:rsidR="005F1682" w:rsidRPr="00133123">
        <w:rPr>
          <w:sz w:val="26"/>
          <w:szCs w:val="26"/>
          <w:lang w:val="lt-LT"/>
        </w:rPr>
        <w:t xml:space="preserve">sąnaudų o ne </w:t>
      </w:r>
      <w:r w:rsidR="00434424" w:rsidRPr="00133123">
        <w:rPr>
          <w:sz w:val="26"/>
          <w:szCs w:val="26"/>
          <w:lang w:val="lt-LT"/>
        </w:rPr>
        <w:t>su pajamų padidinimu.</w:t>
      </w:r>
      <w:r w:rsidR="00A02D93" w:rsidRPr="00133123">
        <w:rPr>
          <w:sz w:val="26"/>
          <w:szCs w:val="26"/>
          <w:lang w:val="lt-LT"/>
        </w:rPr>
        <w:t xml:space="preserve"> </w:t>
      </w:r>
      <w:r w:rsidR="007D4305" w:rsidRPr="00133123">
        <w:rPr>
          <w:sz w:val="26"/>
          <w:szCs w:val="26"/>
          <w:lang w:val="lt-LT"/>
        </w:rPr>
        <w:t xml:space="preserve">Vis dėlto, kadangi įmonės vadovybė gali būti suinteresuota finansinėse ataskaitose parodyti didesnes pardavimo pajamas nei iš tikrųjų, </w:t>
      </w:r>
      <w:r w:rsidR="00681C06">
        <w:rPr>
          <w:sz w:val="26"/>
          <w:szCs w:val="26"/>
          <w:lang w:val="lt-LT"/>
        </w:rPr>
        <w:t xml:space="preserve">reikėtų </w:t>
      </w:r>
      <w:r w:rsidR="00C15539" w:rsidRPr="00133123">
        <w:rPr>
          <w:sz w:val="26"/>
          <w:szCs w:val="26"/>
          <w:lang w:val="lt-LT"/>
        </w:rPr>
        <w:t>įžvelgti</w:t>
      </w:r>
      <w:r w:rsidR="0039690E" w:rsidRPr="00133123">
        <w:rPr>
          <w:sz w:val="26"/>
          <w:szCs w:val="26"/>
          <w:lang w:val="lt-LT"/>
        </w:rPr>
        <w:t xml:space="preserve"> tokias </w:t>
      </w:r>
      <w:r w:rsidR="007D4305" w:rsidRPr="00133123">
        <w:rPr>
          <w:sz w:val="26"/>
          <w:szCs w:val="26"/>
          <w:lang w:val="lt-LT"/>
        </w:rPr>
        <w:t xml:space="preserve">svarbiausias </w:t>
      </w:r>
      <w:r w:rsidR="0039690E" w:rsidRPr="00133123">
        <w:rPr>
          <w:sz w:val="26"/>
          <w:szCs w:val="26"/>
          <w:lang w:val="lt-LT"/>
        </w:rPr>
        <w:t>apgaulės sąlygas kaip spaudimas</w:t>
      </w:r>
      <w:r w:rsidR="00A20E1C" w:rsidRPr="00133123">
        <w:rPr>
          <w:sz w:val="26"/>
          <w:szCs w:val="26"/>
          <w:lang w:val="lt-LT"/>
        </w:rPr>
        <w:t xml:space="preserve"> – kreditorių reikalavim</w:t>
      </w:r>
      <w:r w:rsidR="0057692B" w:rsidRPr="00133123">
        <w:rPr>
          <w:sz w:val="26"/>
          <w:szCs w:val="26"/>
          <w:lang w:val="lt-LT"/>
        </w:rPr>
        <w:t>ų tenkinimas</w:t>
      </w:r>
      <w:r w:rsidR="00A20E1C" w:rsidRPr="00133123">
        <w:rPr>
          <w:sz w:val="26"/>
          <w:szCs w:val="26"/>
          <w:lang w:val="lt-LT"/>
        </w:rPr>
        <w:t xml:space="preserve">, norint įmonei gauti paskolą palankiomis sąlygomis, ar </w:t>
      </w:r>
      <w:r w:rsidR="002F5E4C" w:rsidRPr="00133123">
        <w:rPr>
          <w:sz w:val="26"/>
          <w:szCs w:val="26"/>
          <w:lang w:val="lt-LT"/>
        </w:rPr>
        <w:t xml:space="preserve">įmonės vadovybės </w:t>
      </w:r>
      <w:r w:rsidR="00A20E1C" w:rsidRPr="00133123">
        <w:rPr>
          <w:sz w:val="26"/>
          <w:szCs w:val="26"/>
          <w:lang w:val="lt-LT"/>
        </w:rPr>
        <w:t>racionalizacija – aktyvus užsibrėžtų tikslų siekimas</w:t>
      </w:r>
      <w:r w:rsidR="00A02D93" w:rsidRPr="00133123">
        <w:rPr>
          <w:sz w:val="26"/>
          <w:szCs w:val="26"/>
          <w:lang w:val="lt-LT"/>
        </w:rPr>
        <w:t xml:space="preserve"> ir tolesnė veiklos plėtra</w:t>
      </w:r>
      <w:r w:rsidR="00A20E1C" w:rsidRPr="00133123">
        <w:rPr>
          <w:sz w:val="26"/>
          <w:szCs w:val="26"/>
          <w:lang w:val="lt-LT"/>
        </w:rPr>
        <w:t xml:space="preserve">. </w:t>
      </w:r>
      <w:r w:rsidR="00681C06">
        <w:rPr>
          <w:sz w:val="26"/>
          <w:szCs w:val="26"/>
          <w:lang w:val="lt-LT"/>
        </w:rPr>
        <w:t xml:space="preserve">Bet </w:t>
      </w:r>
      <w:r w:rsidR="00A02D93" w:rsidRPr="00133123">
        <w:rPr>
          <w:sz w:val="26"/>
          <w:szCs w:val="26"/>
          <w:lang w:val="lt-LT"/>
        </w:rPr>
        <w:t>kad</w:t>
      </w:r>
      <w:r w:rsidR="00C15539" w:rsidRPr="00133123">
        <w:rPr>
          <w:sz w:val="26"/>
          <w:szCs w:val="26"/>
          <w:lang w:val="lt-LT"/>
        </w:rPr>
        <w:t>angi</w:t>
      </w:r>
      <w:r w:rsidR="00A02D93" w:rsidRPr="00133123">
        <w:rPr>
          <w:sz w:val="26"/>
          <w:szCs w:val="26"/>
          <w:lang w:val="lt-LT"/>
        </w:rPr>
        <w:t xml:space="preserve"> įm</w:t>
      </w:r>
      <w:r w:rsidR="005962FE" w:rsidRPr="00133123">
        <w:rPr>
          <w:sz w:val="26"/>
          <w:szCs w:val="26"/>
          <w:lang w:val="lt-LT"/>
        </w:rPr>
        <w:t>onės vadovybė</w:t>
      </w:r>
      <w:r w:rsidR="00A02D93" w:rsidRPr="00133123">
        <w:rPr>
          <w:sz w:val="26"/>
          <w:szCs w:val="26"/>
          <w:lang w:val="lt-LT"/>
        </w:rPr>
        <w:t xml:space="preserve"> </w:t>
      </w:r>
      <w:r w:rsidR="002F5E4C" w:rsidRPr="00133123">
        <w:rPr>
          <w:sz w:val="26"/>
          <w:szCs w:val="26"/>
          <w:lang w:val="lt-LT"/>
        </w:rPr>
        <w:t xml:space="preserve">didelį dėmesį kreipia į sąžiningumą ir etišką elgesį bei jos veiklą </w:t>
      </w:r>
      <w:r w:rsidR="00C15539" w:rsidRPr="00133123">
        <w:rPr>
          <w:sz w:val="26"/>
          <w:szCs w:val="26"/>
          <w:lang w:val="lt-LT"/>
        </w:rPr>
        <w:t>deram</w:t>
      </w:r>
      <w:r w:rsidR="002F5E4C" w:rsidRPr="00133123">
        <w:rPr>
          <w:sz w:val="26"/>
          <w:szCs w:val="26"/>
          <w:lang w:val="lt-LT"/>
        </w:rPr>
        <w:t>ai kontroliuoja Valdyba</w:t>
      </w:r>
      <w:r w:rsidR="005962FE" w:rsidRPr="00133123">
        <w:rPr>
          <w:sz w:val="26"/>
          <w:szCs w:val="26"/>
          <w:lang w:val="lt-LT"/>
        </w:rPr>
        <w:t>,</w:t>
      </w:r>
      <w:r w:rsidR="00172AF6" w:rsidRPr="00133123">
        <w:rPr>
          <w:sz w:val="26"/>
          <w:szCs w:val="26"/>
          <w:lang w:val="lt-LT"/>
        </w:rPr>
        <w:t xml:space="preserve"> </w:t>
      </w:r>
      <w:r w:rsidR="002F5E4C" w:rsidRPr="00133123">
        <w:rPr>
          <w:sz w:val="26"/>
          <w:szCs w:val="26"/>
          <w:lang w:val="lt-LT"/>
        </w:rPr>
        <w:t xml:space="preserve">tai sumažina galimybes apgaulės rizikai </w:t>
      </w:r>
      <w:r w:rsidR="00C15539" w:rsidRPr="00133123">
        <w:rPr>
          <w:sz w:val="26"/>
          <w:szCs w:val="26"/>
          <w:lang w:val="lt-LT"/>
        </w:rPr>
        <w:t>ir visoms ją lemiančioms sąlygoms (spaudim</w:t>
      </w:r>
      <w:r w:rsidR="00BB333E">
        <w:rPr>
          <w:sz w:val="26"/>
          <w:szCs w:val="26"/>
          <w:lang w:val="lt-LT"/>
        </w:rPr>
        <w:t>ui</w:t>
      </w:r>
      <w:r w:rsidR="00C15539" w:rsidRPr="00133123">
        <w:rPr>
          <w:sz w:val="26"/>
          <w:szCs w:val="26"/>
          <w:lang w:val="lt-LT"/>
        </w:rPr>
        <w:t>, galimybė</w:t>
      </w:r>
      <w:r w:rsidR="00BB333E">
        <w:rPr>
          <w:sz w:val="26"/>
          <w:szCs w:val="26"/>
          <w:lang w:val="lt-LT"/>
        </w:rPr>
        <w:t>m</w:t>
      </w:r>
      <w:r w:rsidR="00C15539" w:rsidRPr="00133123">
        <w:rPr>
          <w:sz w:val="26"/>
          <w:szCs w:val="26"/>
          <w:lang w:val="lt-LT"/>
        </w:rPr>
        <w:t>s, racionalizacija</w:t>
      </w:r>
      <w:r w:rsidR="00BB333E">
        <w:rPr>
          <w:sz w:val="26"/>
          <w:szCs w:val="26"/>
          <w:lang w:val="lt-LT"/>
        </w:rPr>
        <w:t>i</w:t>
      </w:r>
      <w:r w:rsidR="00C15539" w:rsidRPr="00133123">
        <w:rPr>
          <w:sz w:val="26"/>
          <w:szCs w:val="26"/>
          <w:lang w:val="lt-LT"/>
        </w:rPr>
        <w:t>, sugebėjima</w:t>
      </w:r>
      <w:r w:rsidR="00BB333E">
        <w:rPr>
          <w:sz w:val="26"/>
          <w:szCs w:val="26"/>
          <w:lang w:val="lt-LT"/>
        </w:rPr>
        <w:t>ms</w:t>
      </w:r>
      <w:r w:rsidR="00C15539" w:rsidRPr="00133123">
        <w:rPr>
          <w:sz w:val="26"/>
          <w:szCs w:val="26"/>
          <w:lang w:val="lt-LT"/>
        </w:rPr>
        <w:t xml:space="preserve">) </w:t>
      </w:r>
      <w:r w:rsidR="002F5E4C" w:rsidRPr="00133123">
        <w:rPr>
          <w:sz w:val="26"/>
          <w:szCs w:val="26"/>
          <w:lang w:val="lt-LT"/>
        </w:rPr>
        <w:t>pasireikšti</w:t>
      </w:r>
      <w:r w:rsidR="00225B01">
        <w:rPr>
          <w:sz w:val="26"/>
          <w:szCs w:val="26"/>
          <w:lang w:val="lt-LT"/>
        </w:rPr>
        <w:t xml:space="preserve">. </w:t>
      </w:r>
    </w:p>
    <w:p w:rsidR="00681C06" w:rsidRDefault="00225B01" w:rsidP="00FF533C">
      <w:pPr>
        <w:spacing w:line="360" w:lineRule="auto"/>
        <w:ind w:firstLine="720"/>
        <w:jc w:val="both"/>
        <w:rPr>
          <w:sz w:val="26"/>
          <w:szCs w:val="26"/>
          <w:lang w:val="lt-LT"/>
        </w:rPr>
      </w:pPr>
      <w:r>
        <w:rPr>
          <w:sz w:val="26"/>
          <w:szCs w:val="26"/>
          <w:lang w:val="lt-LT"/>
        </w:rPr>
        <w:t xml:space="preserve">Remiantis išdėstytais argumentais, audito metu įvertinta apgaulės rizika pagal darbo autorės sudarytą </w:t>
      </w:r>
      <w:r w:rsidRPr="00225B01">
        <w:rPr>
          <w:b/>
          <w:sz w:val="26"/>
          <w:szCs w:val="26"/>
          <w:lang w:val="lt-LT"/>
        </w:rPr>
        <w:t>apgaulės rizikos apskaičiavimo</w:t>
      </w:r>
      <w:r>
        <w:rPr>
          <w:sz w:val="26"/>
          <w:szCs w:val="26"/>
          <w:lang w:val="lt-LT"/>
        </w:rPr>
        <w:t xml:space="preserve"> lentelę </w:t>
      </w:r>
      <w:r w:rsidR="007D4305" w:rsidRPr="00133123">
        <w:rPr>
          <w:sz w:val="26"/>
          <w:szCs w:val="26"/>
          <w:lang w:val="lt-LT"/>
        </w:rPr>
        <w:t>(žr.</w:t>
      </w:r>
      <w:r w:rsidR="00973556">
        <w:rPr>
          <w:sz w:val="26"/>
          <w:szCs w:val="26"/>
          <w:lang w:val="lt-LT"/>
        </w:rPr>
        <w:t> </w:t>
      </w:r>
      <w:r w:rsidR="007D4305" w:rsidRPr="00133123">
        <w:rPr>
          <w:sz w:val="26"/>
          <w:szCs w:val="26"/>
          <w:lang w:val="lt-LT"/>
        </w:rPr>
        <w:t>22</w:t>
      </w:r>
      <w:r w:rsidR="00973556">
        <w:rPr>
          <w:sz w:val="26"/>
          <w:szCs w:val="26"/>
          <w:lang w:val="lt-LT"/>
        </w:rPr>
        <w:t> </w:t>
      </w:r>
      <w:r w:rsidR="007D4305" w:rsidRPr="00133123">
        <w:rPr>
          <w:sz w:val="26"/>
          <w:szCs w:val="26"/>
          <w:lang w:val="lt-LT"/>
        </w:rPr>
        <w:t>priedas)</w:t>
      </w:r>
      <w:r>
        <w:rPr>
          <w:sz w:val="26"/>
          <w:szCs w:val="26"/>
          <w:lang w:val="lt-LT"/>
        </w:rPr>
        <w:t xml:space="preserve">. Joje </w:t>
      </w:r>
      <w:r w:rsidR="001B5D94" w:rsidRPr="00133123">
        <w:rPr>
          <w:i/>
          <w:sz w:val="26"/>
          <w:szCs w:val="26"/>
          <w:lang w:val="lt-LT"/>
        </w:rPr>
        <w:t>apgaulės rizika</w:t>
      </w:r>
      <w:r w:rsidR="001B5D94" w:rsidRPr="00133123">
        <w:rPr>
          <w:sz w:val="26"/>
          <w:szCs w:val="26"/>
          <w:lang w:val="lt-LT"/>
        </w:rPr>
        <w:t xml:space="preserve"> </w:t>
      </w:r>
      <w:r>
        <w:rPr>
          <w:sz w:val="26"/>
          <w:szCs w:val="26"/>
          <w:lang w:val="lt-LT"/>
        </w:rPr>
        <w:t>į</w:t>
      </w:r>
      <w:r w:rsidR="001B5D94" w:rsidRPr="00133123">
        <w:rPr>
          <w:sz w:val="26"/>
          <w:szCs w:val="26"/>
          <w:lang w:val="lt-LT"/>
        </w:rPr>
        <w:t>vertint</w:t>
      </w:r>
      <w:r w:rsidR="007D4305" w:rsidRPr="00133123">
        <w:rPr>
          <w:sz w:val="26"/>
          <w:szCs w:val="26"/>
          <w:lang w:val="lt-LT"/>
        </w:rPr>
        <w:t>a</w:t>
      </w:r>
      <w:r w:rsidR="001B5D94" w:rsidRPr="00133123">
        <w:rPr>
          <w:sz w:val="26"/>
          <w:szCs w:val="26"/>
          <w:lang w:val="lt-LT"/>
        </w:rPr>
        <w:t xml:space="preserve"> kaip </w:t>
      </w:r>
      <w:r w:rsidR="001B5D94" w:rsidRPr="00133123">
        <w:rPr>
          <w:i/>
          <w:sz w:val="26"/>
          <w:szCs w:val="26"/>
          <w:lang w:val="lt-LT"/>
        </w:rPr>
        <w:t>vidutinė</w:t>
      </w:r>
      <w:r w:rsidR="00C15539" w:rsidRPr="00133123">
        <w:rPr>
          <w:i/>
          <w:sz w:val="26"/>
          <w:szCs w:val="26"/>
          <w:lang w:val="lt-LT"/>
        </w:rPr>
        <w:t xml:space="preserve"> rizika</w:t>
      </w:r>
      <w:r>
        <w:rPr>
          <w:i/>
          <w:sz w:val="26"/>
          <w:szCs w:val="26"/>
          <w:lang w:val="lt-LT"/>
        </w:rPr>
        <w:t xml:space="preserve"> </w:t>
      </w:r>
      <w:r w:rsidRPr="00225B01">
        <w:rPr>
          <w:sz w:val="26"/>
          <w:szCs w:val="26"/>
          <w:lang w:val="lt-LT"/>
        </w:rPr>
        <w:t>(</w:t>
      </w:r>
      <w:r w:rsidR="007D4305" w:rsidRPr="00225B01">
        <w:rPr>
          <w:sz w:val="26"/>
          <w:szCs w:val="26"/>
          <w:lang w:val="lt-LT"/>
        </w:rPr>
        <w:t>45 proc.</w:t>
      </w:r>
      <w:r w:rsidRPr="00225B01">
        <w:rPr>
          <w:sz w:val="26"/>
          <w:szCs w:val="26"/>
          <w:lang w:val="lt-LT"/>
        </w:rPr>
        <w:t>)</w:t>
      </w:r>
      <w:r w:rsidR="001B5D94" w:rsidRPr="00133123">
        <w:rPr>
          <w:sz w:val="26"/>
          <w:szCs w:val="26"/>
          <w:lang w:val="lt-LT"/>
        </w:rPr>
        <w:t xml:space="preserve"> </w:t>
      </w:r>
      <w:r w:rsidR="005F1682" w:rsidRPr="00133123">
        <w:rPr>
          <w:sz w:val="26"/>
          <w:szCs w:val="26"/>
          <w:lang w:val="lt-LT"/>
        </w:rPr>
        <w:t xml:space="preserve">ir </w:t>
      </w:r>
      <w:r>
        <w:rPr>
          <w:sz w:val="26"/>
          <w:szCs w:val="26"/>
          <w:lang w:val="lt-LT"/>
        </w:rPr>
        <w:t xml:space="preserve">nustatyta, kad </w:t>
      </w:r>
      <w:r w:rsidR="00681C06">
        <w:rPr>
          <w:sz w:val="26"/>
          <w:szCs w:val="26"/>
          <w:lang w:val="lt-LT"/>
        </w:rPr>
        <w:t xml:space="preserve">ji </w:t>
      </w:r>
      <w:r>
        <w:rPr>
          <w:sz w:val="26"/>
          <w:szCs w:val="26"/>
          <w:lang w:val="lt-LT"/>
        </w:rPr>
        <w:t xml:space="preserve">gali būti </w:t>
      </w:r>
      <w:r w:rsidR="005F1682" w:rsidRPr="00133123">
        <w:rPr>
          <w:sz w:val="26"/>
          <w:szCs w:val="26"/>
          <w:lang w:val="lt-LT"/>
        </w:rPr>
        <w:t>susijusi su pardavimo pajamų tikslumo tvirtinimu.</w:t>
      </w:r>
    </w:p>
    <w:p w:rsidR="00216A82" w:rsidRPr="00133123" w:rsidRDefault="00C470A5" w:rsidP="00FF533C">
      <w:pPr>
        <w:spacing w:line="360" w:lineRule="auto"/>
        <w:ind w:firstLine="720"/>
        <w:jc w:val="both"/>
        <w:rPr>
          <w:sz w:val="26"/>
          <w:szCs w:val="26"/>
          <w:lang w:val="lt-LT"/>
        </w:rPr>
      </w:pPr>
      <w:r>
        <w:rPr>
          <w:sz w:val="26"/>
          <w:szCs w:val="26"/>
          <w:lang w:val="lt-LT"/>
        </w:rPr>
        <w:lastRenderedPageBreak/>
        <w:t xml:space="preserve">Apibendrinant, reikšmingo iškraipymo rizikos finansinių ataskaitų lygmeniu vertinimą, galima pastebėti, kad visos šios rizikos komponentės, t. y. </w:t>
      </w:r>
      <w:r w:rsidR="00D7445A" w:rsidRPr="00133123">
        <w:rPr>
          <w:sz w:val="26"/>
          <w:szCs w:val="26"/>
          <w:lang w:val="lt-LT"/>
        </w:rPr>
        <w:t>verslo, įmonės ir apgaulės rizika</w:t>
      </w:r>
      <w:r>
        <w:rPr>
          <w:sz w:val="26"/>
          <w:szCs w:val="26"/>
          <w:lang w:val="lt-LT"/>
        </w:rPr>
        <w:t>, UAB „Šiluma“ atveju</w:t>
      </w:r>
      <w:r w:rsidR="00D7445A" w:rsidRPr="00133123">
        <w:rPr>
          <w:sz w:val="26"/>
          <w:szCs w:val="26"/>
          <w:lang w:val="lt-LT"/>
        </w:rPr>
        <w:t xml:space="preserve"> </w:t>
      </w:r>
      <w:r>
        <w:rPr>
          <w:sz w:val="26"/>
          <w:szCs w:val="26"/>
          <w:lang w:val="lt-LT"/>
        </w:rPr>
        <w:t>įvertintos</w:t>
      </w:r>
      <w:r w:rsidR="00D7445A" w:rsidRPr="00133123">
        <w:rPr>
          <w:sz w:val="26"/>
          <w:szCs w:val="26"/>
          <w:lang w:val="lt-LT"/>
        </w:rPr>
        <w:t xml:space="preserve"> kaip vidutinės rizikos, </w:t>
      </w:r>
      <w:r>
        <w:rPr>
          <w:sz w:val="26"/>
          <w:szCs w:val="26"/>
          <w:lang w:val="lt-LT"/>
        </w:rPr>
        <w:t xml:space="preserve">o </w:t>
      </w:r>
      <w:r w:rsidR="00D7445A" w:rsidRPr="00133123">
        <w:rPr>
          <w:sz w:val="26"/>
          <w:szCs w:val="26"/>
          <w:lang w:val="lt-LT"/>
        </w:rPr>
        <w:t xml:space="preserve">tai reiškia, kad į </w:t>
      </w:r>
      <w:r w:rsidR="00216A82" w:rsidRPr="00133123">
        <w:rPr>
          <w:sz w:val="26"/>
          <w:szCs w:val="26"/>
          <w:lang w:val="lt-LT"/>
        </w:rPr>
        <w:t>š</w:t>
      </w:r>
      <w:r w:rsidR="0021242E" w:rsidRPr="00133123">
        <w:rPr>
          <w:sz w:val="26"/>
          <w:szCs w:val="26"/>
          <w:lang w:val="lt-LT"/>
        </w:rPr>
        <w:t>iuos į</w:t>
      </w:r>
      <w:r w:rsidR="00216A82" w:rsidRPr="00133123">
        <w:rPr>
          <w:sz w:val="26"/>
          <w:szCs w:val="26"/>
          <w:lang w:val="lt-LT"/>
        </w:rPr>
        <w:t>vertinim</w:t>
      </w:r>
      <w:r w:rsidR="0021242E" w:rsidRPr="00133123">
        <w:rPr>
          <w:sz w:val="26"/>
          <w:szCs w:val="26"/>
          <w:lang w:val="lt-LT"/>
        </w:rPr>
        <w:t>us</w:t>
      </w:r>
      <w:r w:rsidR="00D7445A" w:rsidRPr="00133123">
        <w:rPr>
          <w:sz w:val="26"/>
          <w:szCs w:val="26"/>
          <w:lang w:val="lt-LT"/>
        </w:rPr>
        <w:t xml:space="preserve"> </w:t>
      </w:r>
      <w:r w:rsidR="00CA7A93">
        <w:rPr>
          <w:sz w:val="26"/>
          <w:szCs w:val="26"/>
          <w:lang w:val="lt-LT"/>
        </w:rPr>
        <w:t>svarbu</w:t>
      </w:r>
      <w:r w:rsidR="00216A82" w:rsidRPr="00133123">
        <w:rPr>
          <w:sz w:val="26"/>
          <w:szCs w:val="26"/>
          <w:lang w:val="lt-LT"/>
        </w:rPr>
        <w:t xml:space="preserve"> atsižvelg</w:t>
      </w:r>
      <w:r w:rsidR="00CA7A93">
        <w:rPr>
          <w:sz w:val="26"/>
          <w:szCs w:val="26"/>
          <w:lang w:val="lt-LT"/>
        </w:rPr>
        <w:t>ti</w:t>
      </w:r>
      <w:r w:rsidR="00FB117C" w:rsidRPr="00133123">
        <w:rPr>
          <w:sz w:val="26"/>
          <w:szCs w:val="26"/>
          <w:lang w:val="lt-LT"/>
        </w:rPr>
        <w:t xml:space="preserve">, planuojant auditą </w:t>
      </w:r>
      <w:r w:rsidR="00744CF3" w:rsidRPr="00133123">
        <w:rPr>
          <w:sz w:val="26"/>
          <w:szCs w:val="26"/>
          <w:lang w:val="lt-LT"/>
        </w:rPr>
        <w:t xml:space="preserve">bei </w:t>
      </w:r>
      <w:r w:rsidR="00C91069" w:rsidRPr="00133123">
        <w:rPr>
          <w:sz w:val="26"/>
          <w:szCs w:val="26"/>
          <w:lang w:val="lt-LT"/>
        </w:rPr>
        <w:t>įvertinant</w:t>
      </w:r>
      <w:r w:rsidR="00744CF3" w:rsidRPr="00133123">
        <w:rPr>
          <w:sz w:val="26"/>
          <w:szCs w:val="26"/>
          <w:lang w:val="lt-LT"/>
        </w:rPr>
        <w:t xml:space="preserve"> </w:t>
      </w:r>
      <w:r w:rsidR="00216A82" w:rsidRPr="00133123">
        <w:rPr>
          <w:sz w:val="26"/>
          <w:szCs w:val="26"/>
          <w:lang w:val="lt-LT"/>
        </w:rPr>
        <w:t>kit</w:t>
      </w:r>
      <w:r w:rsidR="00C91069" w:rsidRPr="00133123">
        <w:rPr>
          <w:sz w:val="26"/>
          <w:szCs w:val="26"/>
          <w:lang w:val="lt-LT"/>
        </w:rPr>
        <w:t>us</w:t>
      </w:r>
      <w:r w:rsidR="00216A82" w:rsidRPr="00133123">
        <w:rPr>
          <w:sz w:val="26"/>
          <w:szCs w:val="26"/>
          <w:lang w:val="lt-LT"/>
        </w:rPr>
        <w:t xml:space="preserve"> </w:t>
      </w:r>
      <w:r w:rsidR="00EB78F7" w:rsidRPr="00133123">
        <w:rPr>
          <w:sz w:val="26"/>
          <w:szCs w:val="26"/>
          <w:lang w:val="lt-LT"/>
        </w:rPr>
        <w:t>susijusi</w:t>
      </w:r>
      <w:r w:rsidR="00C91069" w:rsidRPr="00133123">
        <w:rPr>
          <w:sz w:val="26"/>
          <w:szCs w:val="26"/>
          <w:lang w:val="lt-LT"/>
        </w:rPr>
        <w:t>us</w:t>
      </w:r>
      <w:r w:rsidR="00EB78F7" w:rsidRPr="00133123">
        <w:rPr>
          <w:sz w:val="26"/>
          <w:szCs w:val="26"/>
          <w:lang w:val="lt-LT"/>
        </w:rPr>
        <w:t xml:space="preserve"> </w:t>
      </w:r>
      <w:r w:rsidR="00216A82" w:rsidRPr="00133123">
        <w:rPr>
          <w:sz w:val="26"/>
          <w:szCs w:val="26"/>
          <w:lang w:val="lt-LT"/>
        </w:rPr>
        <w:t>audito rizikos komponent</w:t>
      </w:r>
      <w:r w:rsidR="00C91069" w:rsidRPr="00133123">
        <w:rPr>
          <w:sz w:val="26"/>
          <w:szCs w:val="26"/>
          <w:lang w:val="lt-LT"/>
        </w:rPr>
        <w:t>us</w:t>
      </w:r>
      <w:r w:rsidR="00216A82" w:rsidRPr="00133123">
        <w:rPr>
          <w:sz w:val="26"/>
          <w:szCs w:val="26"/>
          <w:lang w:val="lt-LT"/>
        </w:rPr>
        <w:t>.</w:t>
      </w:r>
    </w:p>
    <w:p w:rsidR="00F47408" w:rsidRDefault="005465AC" w:rsidP="00F47408">
      <w:pPr>
        <w:spacing w:line="360" w:lineRule="auto"/>
        <w:ind w:firstLine="720"/>
        <w:jc w:val="both"/>
        <w:rPr>
          <w:i/>
          <w:sz w:val="26"/>
          <w:szCs w:val="26"/>
          <w:lang w:val="lt-LT"/>
        </w:rPr>
      </w:pPr>
      <w:r w:rsidRPr="00133123">
        <w:rPr>
          <w:sz w:val="26"/>
          <w:szCs w:val="26"/>
          <w:lang w:val="lt-LT"/>
        </w:rPr>
        <w:t>Tolesni</w:t>
      </w:r>
      <w:r w:rsidR="00E43870" w:rsidRPr="00133123">
        <w:rPr>
          <w:sz w:val="26"/>
          <w:szCs w:val="26"/>
          <w:lang w:val="lt-LT"/>
        </w:rPr>
        <w:t>s</w:t>
      </w:r>
      <w:r w:rsidRPr="00133123">
        <w:rPr>
          <w:sz w:val="26"/>
          <w:szCs w:val="26"/>
          <w:lang w:val="lt-LT"/>
        </w:rPr>
        <w:t xml:space="preserve"> audito rizikos ir jos komponentų tyrim</w:t>
      </w:r>
      <w:r w:rsidR="00E43870" w:rsidRPr="00133123">
        <w:rPr>
          <w:sz w:val="26"/>
          <w:szCs w:val="26"/>
          <w:lang w:val="lt-LT"/>
        </w:rPr>
        <w:t>as susijęs su</w:t>
      </w:r>
      <w:r w:rsidRPr="00133123">
        <w:rPr>
          <w:sz w:val="26"/>
          <w:szCs w:val="26"/>
          <w:lang w:val="lt-LT"/>
        </w:rPr>
        <w:t xml:space="preserve"> finansinių ataskaitų </w:t>
      </w:r>
      <w:r w:rsidR="006A2C4C" w:rsidRPr="00133123">
        <w:rPr>
          <w:sz w:val="26"/>
          <w:szCs w:val="26"/>
          <w:lang w:val="lt-LT"/>
        </w:rPr>
        <w:t xml:space="preserve">(balanso ir pelno (nuostolių) ataskaitos) </w:t>
      </w:r>
      <w:r w:rsidR="00744CF3" w:rsidRPr="00133123">
        <w:rPr>
          <w:sz w:val="26"/>
          <w:szCs w:val="26"/>
          <w:lang w:val="lt-LT"/>
        </w:rPr>
        <w:t>elementų/</w:t>
      </w:r>
      <w:r w:rsidR="00320F13" w:rsidRPr="00133123">
        <w:rPr>
          <w:sz w:val="26"/>
          <w:szCs w:val="26"/>
          <w:lang w:val="lt-LT"/>
        </w:rPr>
        <w:t xml:space="preserve">jų tvirtinimų </w:t>
      </w:r>
      <w:r w:rsidRPr="00133123">
        <w:rPr>
          <w:sz w:val="26"/>
          <w:szCs w:val="26"/>
          <w:lang w:val="lt-LT"/>
        </w:rPr>
        <w:t xml:space="preserve">pobūdžio </w:t>
      </w:r>
      <w:r w:rsidR="00744CF3" w:rsidRPr="00133123">
        <w:rPr>
          <w:sz w:val="26"/>
          <w:szCs w:val="26"/>
          <w:lang w:val="lt-LT"/>
        </w:rPr>
        <w:t xml:space="preserve">bei </w:t>
      </w:r>
      <w:r w:rsidR="00BF5E1E" w:rsidRPr="00133123">
        <w:rPr>
          <w:sz w:val="26"/>
          <w:szCs w:val="26"/>
          <w:lang w:val="lt-LT"/>
        </w:rPr>
        <w:t xml:space="preserve">svarbos </w:t>
      </w:r>
      <w:r w:rsidR="00C07930" w:rsidRPr="00133123">
        <w:rPr>
          <w:sz w:val="26"/>
          <w:szCs w:val="26"/>
          <w:lang w:val="lt-LT"/>
        </w:rPr>
        <w:t xml:space="preserve">analize </w:t>
      </w:r>
      <w:r w:rsidR="00FF533C" w:rsidRPr="00133123">
        <w:rPr>
          <w:sz w:val="26"/>
          <w:szCs w:val="26"/>
          <w:lang w:val="lt-LT"/>
        </w:rPr>
        <w:t>(žr. 2</w:t>
      </w:r>
      <w:r w:rsidR="00FA1D98">
        <w:rPr>
          <w:sz w:val="26"/>
          <w:szCs w:val="26"/>
          <w:lang w:val="lt-LT"/>
        </w:rPr>
        <w:t>5</w:t>
      </w:r>
      <w:r w:rsidR="00FF533C" w:rsidRPr="00133123">
        <w:rPr>
          <w:sz w:val="26"/>
          <w:szCs w:val="26"/>
          <w:lang w:val="lt-LT"/>
        </w:rPr>
        <w:t>-2</w:t>
      </w:r>
      <w:r w:rsidR="00FA1D98">
        <w:rPr>
          <w:sz w:val="26"/>
          <w:szCs w:val="26"/>
          <w:lang w:val="lt-LT"/>
        </w:rPr>
        <w:t>7</w:t>
      </w:r>
      <w:r w:rsidR="00FF533C" w:rsidRPr="00133123">
        <w:rPr>
          <w:sz w:val="26"/>
          <w:szCs w:val="26"/>
          <w:lang w:val="lt-LT"/>
        </w:rPr>
        <w:t xml:space="preserve"> lentelė</w:t>
      </w:r>
      <w:r w:rsidR="00FA1D98">
        <w:rPr>
          <w:sz w:val="26"/>
          <w:szCs w:val="26"/>
          <w:lang w:val="lt-LT"/>
        </w:rPr>
        <w:t>s</w:t>
      </w:r>
      <w:r w:rsidR="00FF533C" w:rsidRPr="00133123">
        <w:rPr>
          <w:sz w:val="26"/>
          <w:szCs w:val="26"/>
          <w:lang w:val="lt-LT"/>
        </w:rPr>
        <w:t>)</w:t>
      </w:r>
      <w:r w:rsidR="00432F02" w:rsidRPr="00133123">
        <w:rPr>
          <w:sz w:val="26"/>
          <w:szCs w:val="26"/>
          <w:lang w:val="lt-LT"/>
        </w:rPr>
        <w:t>.</w:t>
      </w:r>
      <w:r w:rsidR="00FF533C" w:rsidRPr="00133123">
        <w:rPr>
          <w:i/>
          <w:sz w:val="26"/>
          <w:szCs w:val="26"/>
          <w:lang w:val="lt-LT"/>
        </w:rPr>
        <w:t xml:space="preserve"> </w:t>
      </w:r>
    </w:p>
    <w:p w:rsidR="00583D35" w:rsidRDefault="00583D35" w:rsidP="00F47408">
      <w:pPr>
        <w:spacing w:line="360" w:lineRule="auto"/>
        <w:ind w:firstLine="720"/>
        <w:jc w:val="both"/>
        <w:rPr>
          <w:sz w:val="26"/>
          <w:szCs w:val="26"/>
          <w:lang w:val="lt-LT"/>
        </w:rPr>
      </w:pPr>
      <w:r w:rsidRPr="00133123">
        <w:rPr>
          <w:sz w:val="26"/>
          <w:szCs w:val="26"/>
          <w:lang w:val="lt-LT"/>
        </w:rPr>
        <w:t xml:space="preserve">Balanso ir pelno (nuostolių) ataskaitos </w:t>
      </w:r>
      <w:r w:rsidR="00744CF3" w:rsidRPr="00133123">
        <w:rPr>
          <w:sz w:val="26"/>
          <w:szCs w:val="26"/>
          <w:lang w:val="lt-LT"/>
        </w:rPr>
        <w:t>elementų</w:t>
      </w:r>
      <w:r w:rsidRPr="00133123">
        <w:rPr>
          <w:sz w:val="26"/>
          <w:szCs w:val="26"/>
          <w:lang w:val="lt-LT"/>
        </w:rPr>
        <w:t xml:space="preserve">/jų tvirtinimų pobūdžio </w:t>
      </w:r>
      <w:r w:rsidR="00322C47" w:rsidRPr="00133123">
        <w:rPr>
          <w:sz w:val="26"/>
          <w:szCs w:val="26"/>
          <w:lang w:val="lt-LT"/>
        </w:rPr>
        <w:t xml:space="preserve">bei svarbos </w:t>
      </w:r>
      <w:r w:rsidRPr="00133123">
        <w:rPr>
          <w:sz w:val="26"/>
          <w:szCs w:val="26"/>
          <w:lang w:val="lt-LT"/>
        </w:rPr>
        <w:t>analizės pagrindas yra audito įmonės nustatytas reikšmingumo lygis ir toleruotinos klaidos dydis. Kadangi pastarieji audito parametrai priklauso nuo auditoriaus sprendimo; UAB „Šiluma“ 2008 m. finansinių ataskaitų audito metu pasirinkta reikšmingumą ribą skaičiuoti kaip 0,5</w:t>
      </w:r>
      <w:r w:rsidR="00973556">
        <w:rPr>
          <w:sz w:val="26"/>
          <w:szCs w:val="26"/>
          <w:lang w:val="lt-LT"/>
        </w:rPr>
        <w:t xml:space="preserve"> proc. </w:t>
      </w:r>
      <w:r w:rsidRPr="00133123">
        <w:rPr>
          <w:sz w:val="26"/>
          <w:szCs w:val="26"/>
          <w:lang w:val="lt-LT"/>
        </w:rPr>
        <w:t>nuo įmonės pardavimo pajamų (194</w:t>
      </w:r>
      <w:r w:rsidR="00F47408">
        <w:rPr>
          <w:sz w:val="26"/>
          <w:szCs w:val="26"/>
          <w:lang w:val="lt-LT"/>
        </w:rPr>
        <w:t> </w:t>
      </w:r>
      <w:r w:rsidRPr="00133123">
        <w:rPr>
          <w:sz w:val="26"/>
          <w:szCs w:val="26"/>
          <w:lang w:val="lt-LT"/>
        </w:rPr>
        <w:t>302 tūkst. Lt*0,5</w:t>
      </w:r>
      <w:r w:rsidRPr="00133123">
        <w:rPr>
          <w:sz w:val="26"/>
          <w:szCs w:val="26"/>
          <w:lang w:val="ru-RU"/>
        </w:rPr>
        <w:t>%</w:t>
      </w:r>
      <w:r w:rsidRPr="00133123">
        <w:rPr>
          <w:sz w:val="26"/>
          <w:szCs w:val="26"/>
          <w:lang w:val="lt-LT"/>
        </w:rPr>
        <w:t xml:space="preserve"> </w:t>
      </w:r>
      <w:r w:rsidRPr="00133123">
        <w:rPr>
          <w:sz w:val="26"/>
          <w:szCs w:val="26"/>
        </w:rPr>
        <w:t xml:space="preserve">= 971 tūkst. Lt), </w:t>
      </w:r>
      <w:r w:rsidR="00CA7A93">
        <w:rPr>
          <w:sz w:val="26"/>
          <w:szCs w:val="26"/>
          <w:lang w:val="lt-LT"/>
        </w:rPr>
        <w:t xml:space="preserve">nes </w:t>
      </w:r>
      <w:r w:rsidRPr="00133123">
        <w:rPr>
          <w:sz w:val="26"/>
          <w:szCs w:val="26"/>
          <w:lang w:val="lt-LT"/>
        </w:rPr>
        <w:t>per paskutinius finansinius metus įmonė neuždirbo pelno,</w:t>
      </w:r>
      <w:r w:rsidRPr="00133123">
        <w:rPr>
          <w:sz w:val="26"/>
          <w:szCs w:val="26"/>
        </w:rPr>
        <w:t xml:space="preserve"> </w:t>
      </w:r>
      <w:r w:rsidRPr="00133123">
        <w:rPr>
          <w:sz w:val="26"/>
          <w:szCs w:val="26"/>
          <w:lang w:val="lt-LT"/>
        </w:rPr>
        <w:t>o toleruotiną klaidą 50</w:t>
      </w:r>
      <w:r w:rsidR="00973556">
        <w:rPr>
          <w:sz w:val="26"/>
          <w:szCs w:val="26"/>
          <w:lang w:val="lt-LT"/>
        </w:rPr>
        <w:t xml:space="preserve"> proc.</w:t>
      </w:r>
      <w:r w:rsidRPr="00133123">
        <w:rPr>
          <w:sz w:val="26"/>
          <w:szCs w:val="26"/>
          <w:lang w:val="lt-LT"/>
        </w:rPr>
        <w:t xml:space="preserve"> nuo reikšmingumo lygio (971</w:t>
      </w:r>
      <w:r w:rsidR="00574CBE">
        <w:rPr>
          <w:sz w:val="26"/>
          <w:szCs w:val="26"/>
          <w:lang w:val="lt-LT"/>
        </w:rPr>
        <w:t> </w:t>
      </w:r>
      <w:r w:rsidRPr="00133123">
        <w:rPr>
          <w:sz w:val="26"/>
          <w:szCs w:val="26"/>
          <w:lang w:val="lt-LT"/>
        </w:rPr>
        <w:t>510 Lt*50</w:t>
      </w:r>
      <w:r w:rsidRPr="00133123">
        <w:rPr>
          <w:sz w:val="26"/>
          <w:szCs w:val="26"/>
          <w:lang w:val="ru-RU"/>
        </w:rPr>
        <w:t>%</w:t>
      </w:r>
      <w:r w:rsidRPr="00133123">
        <w:rPr>
          <w:sz w:val="26"/>
          <w:szCs w:val="26"/>
          <w:lang w:val="lt-LT"/>
        </w:rPr>
        <w:t xml:space="preserve"> </w:t>
      </w:r>
      <w:r w:rsidRPr="00133123">
        <w:rPr>
          <w:sz w:val="26"/>
          <w:szCs w:val="26"/>
        </w:rPr>
        <w:t xml:space="preserve">= 485,5 tūkst. Lt). </w:t>
      </w:r>
      <w:r w:rsidRPr="00133123">
        <w:rPr>
          <w:sz w:val="26"/>
          <w:szCs w:val="26"/>
          <w:lang w:val="lt-LT"/>
        </w:rPr>
        <w:t xml:space="preserve">Atsižvelgiant į tai, nustatyti reikšmingo iškraipymo rizikos požiūriu svarbūs finansinių ataskaitų elementai, kurie savo vertine išraiška viršija toleruotinos klaidos ribą, ir su jais susiję </w:t>
      </w:r>
      <w:r w:rsidR="00CC5F47" w:rsidRPr="00133123">
        <w:rPr>
          <w:sz w:val="26"/>
          <w:szCs w:val="26"/>
          <w:lang w:val="lt-LT"/>
        </w:rPr>
        <w:t xml:space="preserve">svarbiausi </w:t>
      </w:r>
      <w:r w:rsidRPr="00133123">
        <w:rPr>
          <w:sz w:val="26"/>
          <w:szCs w:val="26"/>
          <w:lang w:val="lt-LT"/>
        </w:rPr>
        <w:t>tvirtinimai</w:t>
      </w:r>
      <w:r w:rsidR="00FC1533" w:rsidRPr="00133123">
        <w:rPr>
          <w:rStyle w:val="FootnoteReference"/>
          <w:sz w:val="26"/>
          <w:szCs w:val="26"/>
          <w:lang w:val="lt-LT"/>
        </w:rPr>
        <w:footnoteReference w:id="25"/>
      </w:r>
      <w:r w:rsidRPr="00133123">
        <w:rPr>
          <w:sz w:val="26"/>
          <w:szCs w:val="26"/>
          <w:lang w:val="lt-LT"/>
        </w:rPr>
        <w:t xml:space="preserve">. Be to, </w:t>
      </w:r>
      <w:r w:rsidR="00F47408">
        <w:rPr>
          <w:sz w:val="26"/>
          <w:szCs w:val="26"/>
          <w:lang w:val="lt-LT"/>
        </w:rPr>
        <w:t>atliekant šį nustatymą</w:t>
      </w:r>
      <w:r w:rsidRPr="00133123">
        <w:rPr>
          <w:sz w:val="26"/>
          <w:szCs w:val="26"/>
          <w:lang w:val="lt-LT"/>
        </w:rPr>
        <w:t xml:space="preserve">, </w:t>
      </w:r>
      <w:r w:rsidR="008538A7" w:rsidRPr="00133123">
        <w:rPr>
          <w:sz w:val="26"/>
          <w:szCs w:val="26"/>
          <w:lang w:val="lt-LT"/>
        </w:rPr>
        <w:t xml:space="preserve">apsvarstomi </w:t>
      </w:r>
      <w:r w:rsidRPr="00133123">
        <w:rPr>
          <w:sz w:val="26"/>
          <w:szCs w:val="26"/>
          <w:lang w:val="lt-LT"/>
        </w:rPr>
        <w:t>ir svarbiausi įmonės proces</w:t>
      </w:r>
      <w:r w:rsidR="008538A7" w:rsidRPr="00133123">
        <w:rPr>
          <w:sz w:val="26"/>
          <w:szCs w:val="26"/>
          <w:lang w:val="lt-LT"/>
        </w:rPr>
        <w:t>ai</w:t>
      </w:r>
      <w:r w:rsidRPr="00133123">
        <w:rPr>
          <w:sz w:val="26"/>
          <w:szCs w:val="26"/>
          <w:lang w:val="lt-LT"/>
        </w:rPr>
        <w:t xml:space="preserve"> (pirkimų, pardavimo, darbo </w:t>
      </w:r>
      <w:r w:rsidR="00744CF3" w:rsidRPr="00133123">
        <w:rPr>
          <w:sz w:val="26"/>
          <w:szCs w:val="26"/>
          <w:lang w:val="lt-LT"/>
        </w:rPr>
        <w:t>apmokėjimo,</w:t>
      </w:r>
      <w:r w:rsidRPr="00133123">
        <w:rPr>
          <w:sz w:val="26"/>
          <w:szCs w:val="26"/>
          <w:lang w:val="lt-LT"/>
        </w:rPr>
        <w:t xml:space="preserve"> finansinių ataskaitų sudarymo, gamybos) bei </w:t>
      </w:r>
      <w:r w:rsidR="00F47408">
        <w:rPr>
          <w:sz w:val="26"/>
          <w:szCs w:val="26"/>
          <w:lang w:val="lt-LT"/>
        </w:rPr>
        <w:t xml:space="preserve">vykdomų </w:t>
      </w:r>
      <w:r w:rsidRPr="00133123">
        <w:rPr>
          <w:sz w:val="26"/>
          <w:szCs w:val="26"/>
          <w:lang w:val="lt-LT"/>
        </w:rPr>
        <w:t>ūkinių operacijų dažnum</w:t>
      </w:r>
      <w:r w:rsidR="008538A7" w:rsidRPr="00133123">
        <w:rPr>
          <w:sz w:val="26"/>
          <w:szCs w:val="26"/>
          <w:lang w:val="lt-LT"/>
        </w:rPr>
        <w:t>as</w:t>
      </w:r>
      <w:r w:rsidRPr="00133123">
        <w:rPr>
          <w:sz w:val="26"/>
          <w:szCs w:val="26"/>
          <w:lang w:val="lt-LT"/>
        </w:rPr>
        <w:t xml:space="preserve">. </w:t>
      </w:r>
    </w:p>
    <w:p w:rsidR="007005C9" w:rsidRDefault="000F65D5" w:rsidP="007005C9">
      <w:pPr>
        <w:spacing w:line="360" w:lineRule="auto"/>
        <w:ind w:firstLine="720"/>
        <w:jc w:val="both"/>
        <w:rPr>
          <w:sz w:val="26"/>
          <w:szCs w:val="26"/>
          <w:lang w:val="lt-LT"/>
        </w:rPr>
      </w:pPr>
      <w:r w:rsidRPr="0046395A">
        <w:rPr>
          <w:sz w:val="26"/>
          <w:szCs w:val="26"/>
          <w:lang w:val="lt-LT"/>
        </w:rPr>
        <w:t>Kai</w:t>
      </w:r>
      <w:r w:rsidRPr="00FA1D98">
        <w:rPr>
          <w:sz w:val="26"/>
          <w:szCs w:val="26"/>
          <w:lang w:val="lt-LT"/>
        </w:rPr>
        <w:t>p matome iš 2</w:t>
      </w:r>
      <w:r w:rsidR="00FA1D98" w:rsidRPr="00FA1D98">
        <w:rPr>
          <w:sz w:val="26"/>
          <w:szCs w:val="26"/>
          <w:lang w:val="lt-LT"/>
        </w:rPr>
        <w:t>5</w:t>
      </w:r>
      <w:r w:rsidRPr="00FA1D98">
        <w:rPr>
          <w:sz w:val="26"/>
          <w:szCs w:val="26"/>
          <w:lang w:val="lt-LT"/>
        </w:rPr>
        <w:t xml:space="preserve"> ir 2</w:t>
      </w:r>
      <w:r w:rsidR="00FA1D98" w:rsidRPr="00FA1D98">
        <w:rPr>
          <w:sz w:val="26"/>
          <w:szCs w:val="26"/>
          <w:lang w:val="lt-LT"/>
        </w:rPr>
        <w:t>6</w:t>
      </w:r>
      <w:r w:rsidRPr="00FA1D98">
        <w:rPr>
          <w:sz w:val="26"/>
          <w:szCs w:val="26"/>
          <w:lang w:val="lt-LT"/>
        </w:rPr>
        <w:t xml:space="preserve"> lentelių reikšmin</w:t>
      </w:r>
      <w:r w:rsidRPr="0046395A">
        <w:rPr>
          <w:sz w:val="26"/>
          <w:szCs w:val="26"/>
          <w:lang w:val="lt-LT"/>
        </w:rPr>
        <w:t>go iškraipymo rizikos požiūriu svarbūs šie UAB „Šiluma“ balanso elementai ir su jais susiję tvirtinimai: 1)</w:t>
      </w:r>
      <w:r>
        <w:rPr>
          <w:sz w:val="26"/>
          <w:szCs w:val="26"/>
          <w:lang w:val="lt-LT"/>
        </w:rPr>
        <w:t> </w:t>
      </w:r>
      <w:r w:rsidRPr="0046395A">
        <w:rPr>
          <w:sz w:val="26"/>
          <w:szCs w:val="26"/>
          <w:lang w:val="lt-LT"/>
        </w:rPr>
        <w:t>ilgalaikis materialusis turtas dėl savo vertinės išraiškos (</w:t>
      </w:r>
      <w:r w:rsidRPr="007005C9">
        <w:rPr>
          <w:i/>
          <w:sz w:val="26"/>
          <w:szCs w:val="26"/>
          <w:lang w:val="lt-LT"/>
        </w:rPr>
        <w:t>įvertinimo tvirtinimas</w:t>
      </w:r>
      <w:r w:rsidRPr="0046395A">
        <w:rPr>
          <w:sz w:val="26"/>
          <w:szCs w:val="26"/>
          <w:lang w:val="lt-LT"/>
        </w:rPr>
        <w:t>) ir ar iš tiesų šis turtas egzistuoja (</w:t>
      </w:r>
      <w:r w:rsidRPr="007005C9">
        <w:rPr>
          <w:i/>
          <w:sz w:val="26"/>
          <w:szCs w:val="26"/>
          <w:lang w:val="lt-LT"/>
        </w:rPr>
        <w:t>buvimo tvirtinimas</w:t>
      </w:r>
      <w:r w:rsidRPr="0046395A">
        <w:rPr>
          <w:sz w:val="26"/>
          <w:szCs w:val="26"/>
          <w:lang w:val="lt-LT"/>
        </w:rPr>
        <w:t>); 2) atidėtojo mokesčio turtas dėl naudojamų subjektyvių įvertinimų jį apskaičiuojant (</w:t>
      </w:r>
      <w:r w:rsidRPr="007005C9">
        <w:rPr>
          <w:i/>
          <w:sz w:val="26"/>
          <w:szCs w:val="26"/>
          <w:lang w:val="lt-LT"/>
        </w:rPr>
        <w:t>įvertinimo tvirtinimas</w:t>
      </w:r>
      <w:r w:rsidRPr="0046395A">
        <w:rPr>
          <w:sz w:val="26"/>
          <w:szCs w:val="26"/>
          <w:lang w:val="lt-LT"/>
        </w:rPr>
        <w:t xml:space="preserve">); 3) žaliavos ir komplektavimo gaminiai (kuras) dėl didelės vertinės išraiškos ir tinkamo </w:t>
      </w:r>
      <w:r w:rsidR="007005C9">
        <w:rPr>
          <w:sz w:val="26"/>
          <w:szCs w:val="26"/>
          <w:lang w:val="lt-LT"/>
        </w:rPr>
        <w:t xml:space="preserve">jų </w:t>
      </w:r>
      <w:r w:rsidRPr="0046395A">
        <w:rPr>
          <w:sz w:val="26"/>
          <w:szCs w:val="26"/>
          <w:lang w:val="lt-LT"/>
        </w:rPr>
        <w:t xml:space="preserve">įvertinimo (atsargos </w:t>
      </w:r>
      <w:r w:rsidR="00CA7A93">
        <w:rPr>
          <w:sz w:val="26"/>
          <w:szCs w:val="26"/>
          <w:lang w:val="lt-LT"/>
        </w:rPr>
        <w:t>balanse turi būti</w:t>
      </w:r>
      <w:r w:rsidRPr="0046395A">
        <w:rPr>
          <w:sz w:val="26"/>
          <w:szCs w:val="26"/>
          <w:lang w:val="lt-LT"/>
        </w:rPr>
        <w:t xml:space="preserve"> </w:t>
      </w:r>
    </w:p>
    <w:p w:rsidR="00FF533C" w:rsidRPr="00133123" w:rsidRDefault="00FF533C" w:rsidP="000F65D5">
      <w:pPr>
        <w:ind w:firstLine="720"/>
        <w:jc w:val="right"/>
        <w:rPr>
          <w:i/>
          <w:sz w:val="26"/>
          <w:szCs w:val="26"/>
          <w:lang w:val="lt-LT"/>
        </w:rPr>
      </w:pPr>
      <w:r w:rsidRPr="00133123">
        <w:rPr>
          <w:i/>
          <w:sz w:val="26"/>
          <w:szCs w:val="26"/>
          <w:lang w:val="lt-LT"/>
        </w:rPr>
        <w:lastRenderedPageBreak/>
        <w:t>2</w:t>
      </w:r>
      <w:r w:rsidR="00FA1D98">
        <w:rPr>
          <w:i/>
          <w:sz w:val="26"/>
          <w:szCs w:val="26"/>
          <w:lang w:val="lt-LT"/>
        </w:rPr>
        <w:t>5</w:t>
      </w:r>
      <w:r w:rsidRPr="00133123">
        <w:rPr>
          <w:i/>
          <w:sz w:val="26"/>
          <w:szCs w:val="26"/>
          <w:lang w:val="lt-LT"/>
        </w:rPr>
        <w:t xml:space="preserve"> lentelė</w:t>
      </w:r>
    </w:p>
    <w:p w:rsidR="00FF533C" w:rsidRPr="00133123" w:rsidRDefault="00555E3D" w:rsidP="000F65D5">
      <w:pPr>
        <w:tabs>
          <w:tab w:val="left" w:pos="567"/>
        </w:tabs>
        <w:jc w:val="center"/>
        <w:rPr>
          <w:b/>
          <w:sz w:val="26"/>
          <w:szCs w:val="26"/>
          <w:lang w:val="lt-LT"/>
        </w:rPr>
      </w:pPr>
      <w:r w:rsidRPr="00133123">
        <w:rPr>
          <w:b/>
          <w:sz w:val="26"/>
          <w:szCs w:val="26"/>
          <w:lang w:val="lt-LT"/>
        </w:rPr>
        <w:t>U</w:t>
      </w:r>
      <w:r w:rsidR="00FF533C" w:rsidRPr="00133123">
        <w:rPr>
          <w:b/>
          <w:sz w:val="26"/>
          <w:szCs w:val="26"/>
          <w:lang w:val="lt-LT"/>
        </w:rPr>
        <w:t xml:space="preserve">AB „Šiluma“ 2008-12-31 d. balanso turto dalies elementų </w:t>
      </w:r>
      <w:r w:rsidR="00BF5E1E" w:rsidRPr="00133123">
        <w:rPr>
          <w:b/>
          <w:sz w:val="26"/>
          <w:szCs w:val="26"/>
          <w:lang w:val="lt-LT"/>
        </w:rPr>
        <w:t xml:space="preserve">svarbos </w:t>
      </w:r>
      <w:r w:rsidR="00FF533C" w:rsidRPr="00133123">
        <w:rPr>
          <w:b/>
          <w:sz w:val="26"/>
          <w:szCs w:val="26"/>
          <w:lang w:val="lt-LT"/>
        </w:rPr>
        <w:t>vertinimas</w:t>
      </w:r>
      <w:r w:rsidR="00A12A23" w:rsidRPr="00133123">
        <w:rPr>
          <w:b/>
          <w:sz w:val="26"/>
          <w:szCs w:val="26"/>
          <w:lang w:val="lt-LT"/>
        </w:rPr>
        <w:t>, tūkst. Lt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992"/>
        <w:gridCol w:w="992"/>
        <w:gridCol w:w="1985"/>
        <w:gridCol w:w="709"/>
      </w:tblGrid>
      <w:tr w:rsidR="0046395A" w:rsidRPr="0046395A" w:rsidTr="00A8307E">
        <w:trPr>
          <w:cantSplit/>
          <w:trHeight w:val="1233"/>
        </w:trPr>
        <w:tc>
          <w:tcPr>
            <w:tcW w:w="709" w:type="dxa"/>
            <w:shd w:val="clear" w:color="000000" w:fill="A5A5A5"/>
            <w:hideMark/>
          </w:tcPr>
          <w:p w:rsidR="0068219E" w:rsidRPr="0046395A" w:rsidRDefault="0068219E" w:rsidP="008E0769">
            <w:pPr>
              <w:rPr>
                <w:lang w:val="lt-LT"/>
              </w:rPr>
            </w:pPr>
            <w:r w:rsidRPr="0046395A">
              <w:rPr>
                <w:lang w:val="lt-LT"/>
              </w:rPr>
              <w:t> </w:t>
            </w:r>
          </w:p>
        </w:tc>
        <w:tc>
          <w:tcPr>
            <w:tcW w:w="2977" w:type="dxa"/>
            <w:shd w:val="clear" w:color="000000" w:fill="A5A5A5"/>
            <w:vAlign w:val="center"/>
            <w:hideMark/>
          </w:tcPr>
          <w:p w:rsidR="0068219E" w:rsidRPr="0046395A" w:rsidRDefault="000077A6" w:rsidP="00BF5E1E">
            <w:pPr>
              <w:jc w:val="center"/>
              <w:rPr>
                <w:b/>
                <w:lang w:val="lt-LT"/>
              </w:rPr>
            </w:pPr>
            <w:r w:rsidRPr="0046395A">
              <w:rPr>
                <w:b/>
                <w:lang w:val="lt-LT"/>
              </w:rPr>
              <w:t>Elementas</w:t>
            </w:r>
          </w:p>
        </w:tc>
        <w:tc>
          <w:tcPr>
            <w:tcW w:w="992" w:type="dxa"/>
            <w:shd w:val="clear" w:color="000000" w:fill="A5A5A5"/>
            <w:textDirection w:val="btLr"/>
            <w:vAlign w:val="center"/>
            <w:hideMark/>
          </w:tcPr>
          <w:p w:rsidR="0068219E" w:rsidRPr="0046395A" w:rsidRDefault="0068219E" w:rsidP="0046395A">
            <w:pPr>
              <w:ind w:left="113" w:right="113"/>
              <w:jc w:val="center"/>
              <w:rPr>
                <w:b/>
                <w:bCs/>
                <w:lang w:val="lt-LT"/>
              </w:rPr>
            </w:pPr>
            <w:r w:rsidRPr="0046395A">
              <w:rPr>
                <w:b/>
                <w:bCs/>
                <w:lang w:val="lt-LT"/>
              </w:rPr>
              <w:t>2008.12.31</w:t>
            </w:r>
          </w:p>
        </w:tc>
        <w:tc>
          <w:tcPr>
            <w:tcW w:w="992" w:type="dxa"/>
            <w:shd w:val="clear" w:color="000000" w:fill="A5A5A5"/>
            <w:textDirection w:val="btLr"/>
            <w:vAlign w:val="center"/>
            <w:hideMark/>
          </w:tcPr>
          <w:p w:rsidR="0068219E" w:rsidRPr="0046395A" w:rsidRDefault="0068219E" w:rsidP="0046395A">
            <w:pPr>
              <w:ind w:left="113" w:right="113"/>
              <w:jc w:val="center"/>
              <w:rPr>
                <w:b/>
                <w:bCs/>
                <w:lang w:val="lt-LT"/>
              </w:rPr>
            </w:pPr>
            <w:r w:rsidRPr="0046395A">
              <w:rPr>
                <w:b/>
                <w:bCs/>
                <w:lang w:val="lt-LT"/>
              </w:rPr>
              <w:t>2007.12.31</w:t>
            </w:r>
          </w:p>
        </w:tc>
        <w:tc>
          <w:tcPr>
            <w:tcW w:w="1985" w:type="dxa"/>
            <w:shd w:val="clear" w:color="000000" w:fill="A5A5A5"/>
            <w:noWrap/>
            <w:vAlign w:val="center"/>
            <w:hideMark/>
          </w:tcPr>
          <w:p w:rsidR="0068219E" w:rsidRPr="0046395A" w:rsidRDefault="00BF5E1E" w:rsidP="00BF5E1E">
            <w:pPr>
              <w:jc w:val="center"/>
              <w:rPr>
                <w:b/>
                <w:bCs/>
                <w:lang w:val="lt-LT"/>
              </w:rPr>
            </w:pPr>
            <w:r w:rsidRPr="0046395A">
              <w:rPr>
                <w:b/>
                <w:bCs/>
                <w:lang w:val="lt-LT"/>
              </w:rPr>
              <w:t>Svarbos v</w:t>
            </w:r>
            <w:r w:rsidR="001B1A33" w:rsidRPr="0046395A">
              <w:rPr>
                <w:b/>
                <w:bCs/>
                <w:lang w:val="lt-LT"/>
              </w:rPr>
              <w:t>ertinimas</w:t>
            </w:r>
            <w:r w:rsidR="00BE1431" w:rsidRPr="0046395A">
              <w:rPr>
                <w:b/>
                <w:bCs/>
                <w:lang w:val="lt-LT"/>
              </w:rPr>
              <w:t xml:space="preserve"> (įmonės procesas)</w:t>
            </w:r>
          </w:p>
        </w:tc>
        <w:tc>
          <w:tcPr>
            <w:tcW w:w="709" w:type="dxa"/>
            <w:shd w:val="clear" w:color="000000" w:fill="A5A5A5"/>
            <w:textDirection w:val="btLr"/>
            <w:vAlign w:val="center"/>
          </w:tcPr>
          <w:p w:rsidR="0068219E" w:rsidRPr="0046395A" w:rsidRDefault="00BF5E1E" w:rsidP="0046395A">
            <w:pPr>
              <w:ind w:left="113" w:right="113"/>
              <w:jc w:val="center"/>
              <w:rPr>
                <w:b/>
                <w:bCs/>
                <w:lang w:val="lt-LT"/>
              </w:rPr>
            </w:pPr>
            <w:r w:rsidRPr="0046395A">
              <w:rPr>
                <w:b/>
                <w:bCs/>
                <w:lang w:val="lt-LT"/>
              </w:rPr>
              <w:t>Susiję</w:t>
            </w:r>
            <w:r w:rsidR="00A12A23" w:rsidRPr="0046395A">
              <w:rPr>
                <w:b/>
                <w:bCs/>
                <w:lang w:val="lt-LT"/>
              </w:rPr>
              <w:t>s</w:t>
            </w:r>
            <w:r w:rsidRPr="0046395A">
              <w:rPr>
                <w:b/>
                <w:bCs/>
                <w:lang w:val="lt-LT"/>
              </w:rPr>
              <w:t xml:space="preserve"> t</w:t>
            </w:r>
            <w:r w:rsidR="00A12A23" w:rsidRPr="0046395A">
              <w:rPr>
                <w:b/>
                <w:bCs/>
                <w:lang w:val="lt-LT"/>
              </w:rPr>
              <w:t>virtinimas</w:t>
            </w:r>
          </w:p>
        </w:tc>
      </w:tr>
      <w:tr w:rsidR="0046395A" w:rsidRPr="0046395A" w:rsidTr="00A8307E">
        <w:trPr>
          <w:trHeight w:val="225"/>
        </w:trPr>
        <w:tc>
          <w:tcPr>
            <w:tcW w:w="709" w:type="dxa"/>
            <w:shd w:val="clear" w:color="auto" w:fill="auto"/>
            <w:hideMark/>
          </w:tcPr>
          <w:p w:rsidR="00072ED0" w:rsidRPr="0046395A" w:rsidRDefault="00072ED0" w:rsidP="008E0769">
            <w:pPr>
              <w:jc w:val="center"/>
              <w:rPr>
                <w:b/>
                <w:bCs/>
                <w:lang w:val="lt-LT"/>
              </w:rPr>
            </w:pPr>
            <w:r w:rsidRPr="0046395A">
              <w:rPr>
                <w:b/>
                <w:bCs/>
                <w:lang w:val="lt-LT"/>
              </w:rPr>
              <w:t>A.</w:t>
            </w:r>
          </w:p>
        </w:tc>
        <w:tc>
          <w:tcPr>
            <w:tcW w:w="2977" w:type="dxa"/>
            <w:shd w:val="clear" w:color="auto" w:fill="auto"/>
            <w:hideMark/>
          </w:tcPr>
          <w:p w:rsidR="00A8307E" w:rsidRPr="0046395A" w:rsidRDefault="00072ED0" w:rsidP="00133123">
            <w:pPr>
              <w:rPr>
                <w:b/>
                <w:bCs/>
                <w:lang w:val="lt-LT"/>
              </w:rPr>
            </w:pPr>
            <w:r w:rsidRPr="0046395A">
              <w:rPr>
                <w:b/>
                <w:bCs/>
                <w:lang w:val="lt-LT"/>
              </w:rPr>
              <w:t>ILGALAIKIS TURTAS</w:t>
            </w:r>
          </w:p>
        </w:tc>
        <w:tc>
          <w:tcPr>
            <w:tcW w:w="992" w:type="dxa"/>
            <w:shd w:val="clear" w:color="auto" w:fill="auto"/>
            <w:noWrap/>
            <w:hideMark/>
          </w:tcPr>
          <w:p w:rsidR="00072ED0" w:rsidRPr="0046395A" w:rsidRDefault="00072ED0" w:rsidP="0046395A">
            <w:pPr>
              <w:jc w:val="center"/>
              <w:rPr>
                <w:b/>
                <w:bCs/>
                <w:lang w:val="lt-LT"/>
              </w:rPr>
            </w:pPr>
            <w:r w:rsidRPr="0046395A">
              <w:rPr>
                <w:b/>
                <w:bCs/>
                <w:lang w:val="lt-LT"/>
              </w:rPr>
              <w:t>326</w:t>
            </w:r>
            <w:r w:rsidR="00884A1E">
              <w:rPr>
                <w:b/>
                <w:bCs/>
                <w:lang w:val="lt-LT"/>
              </w:rPr>
              <w:t xml:space="preserve"> </w:t>
            </w:r>
            <w:r w:rsidRPr="0046395A">
              <w:rPr>
                <w:b/>
                <w:bCs/>
                <w:lang w:val="lt-LT"/>
              </w:rPr>
              <w:t>282</w:t>
            </w:r>
          </w:p>
        </w:tc>
        <w:tc>
          <w:tcPr>
            <w:tcW w:w="992" w:type="dxa"/>
            <w:shd w:val="clear" w:color="auto" w:fill="auto"/>
            <w:noWrap/>
            <w:hideMark/>
          </w:tcPr>
          <w:p w:rsidR="00072ED0" w:rsidRPr="0046395A" w:rsidRDefault="00072ED0" w:rsidP="0046395A">
            <w:pPr>
              <w:jc w:val="center"/>
              <w:rPr>
                <w:b/>
                <w:bCs/>
                <w:lang w:val="lt-LT"/>
              </w:rPr>
            </w:pPr>
            <w:r w:rsidRPr="0046395A">
              <w:rPr>
                <w:b/>
                <w:bCs/>
                <w:lang w:val="lt-LT"/>
              </w:rPr>
              <w:t>332</w:t>
            </w:r>
            <w:r w:rsidR="00884A1E">
              <w:rPr>
                <w:b/>
                <w:bCs/>
                <w:lang w:val="lt-LT"/>
              </w:rPr>
              <w:t xml:space="preserve"> </w:t>
            </w:r>
            <w:r w:rsidRPr="0046395A">
              <w:rPr>
                <w:b/>
                <w:bCs/>
                <w:lang w:val="lt-LT"/>
              </w:rPr>
              <w:t>111</w:t>
            </w:r>
          </w:p>
        </w:tc>
        <w:tc>
          <w:tcPr>
            <w:tcW w:w="1985" w:type="dxa"/>
            <w:shd w:val="clear" w:color="auto" w:fill="BFBFBF" w:themeFill="background1" w:themeFillShade="BF"/>
            <w:noWrap/>
            <w:hideMark/>
          </w:tcPr>
          <w:p w:rsidR="00072ED0" w:rsidRPr="0046395A" w:rsidRDefault="00072ED0" w:rsidP="00133123">
            <w:pPr>
              <w:rPr>
                <w:highlight w:val="lightGray"/>
                <w:lang w:val="lt-LT"/>
              </w:rPr>
            </w:pPr>
          </w:p>
        </w:tc>
        <w:tc>
          <w:tcPr>
            <w:tcW w:w="709" w:type="dxa"/>
            <w:shd w:val="clear" w:color="auto" w:fill="BFBFBF" w:themeFill="background1" w:themeFillShade="BF"/>
          </w:tcPr>
          <w:p w:rsidR="00072ED0" w:rsidRPr="0046395A" w:rsidRDefault="00072ED0" w:rsidP="00133123">
            <w:pPr>
              <w:rPr>
                <w:highlight w:val="lightGray"/>
                <w:lang w:val="lt-LT"/>
              </w:rPr>
            </w:pPr>
          </w:p>
        </w:tc>
      </w:tr>
      <w:tr w:rsidR="0046395A" w:rsidRPr="0046395A" w:rsidTr="00A8307E">
        <w:trPr>
          <w:trHeight w:val="225"/>
        </w:trPr>
        <w:tc>
          <w:tcPr>
            <w:tcW w:w="709" w:type="dxa"/>
            <w:shd w:val="clear" w:color="auto" w:fill="auto"/>
            <w:hideMark/>
          </w:tcPr>
          <w:p w:rsidR="00072ED0" w:rsidRPr="0046395A" w:rsidRDefault="00072ED0" w:rsidP="008E0769">
            <w:pPr>
              <w:jc w:val="center"/>
              <w:rPr>
                <w:b/>
                <w:bCs/>
                <w:lang w:val="lt-LT"/>
              </w:rPr>
            </w:pPr>
            <w:r w:rsidRPr="0046395A">
              <w:rPr>
                <w:b/>
                <w:bCs/>
                <w:lang w:val="lt-LT"/>
              </w:rPr>
              <w:t>I.</w:t>
            </w:r>
          </w:p>
        </w:tc>
        <w:tc>
          <w:tcPr>
            <w:tcW w:w="2977" w:type="dxa"/>
            <w:shd w:val="clear" w:color="auto" w:fill="auto"/>
            <w:hideMark/>
          </w:tcPr>
          <w:p w:rsidR="00072ED0" w:rsidRPr="0046395A" w:rsidRDefault="00072ED0" w:rsidP="00133123">
            <w:pPr>
              <w:rPr>
                <w:b/>
                <w:bCs/>
                <w:lang w:val="lt-LT"/>
              </w:rPr>
            </w:pPr>
            <w:r w:rsidRPr="0046395A">
              <w:rPr>
                <w:b/>
                <w:bCs/>
                <w:lang w:val="lt-LT"/>
              </w:rPr>
              <w:t>NEMATERIALUSIS TURTAS</w:t>
            </w:r>
          </w:p>
        </w:tc>
        <w:tc>
          <w:tcPr>
            <w:tcW w:w="992" w:type="dxa"/>
            <w:shd w:val="clear" w:color="auto" w:fill="auto"/>
            <w:noWrap/>
            <w:hideMark/>
          </w:tcPr>
          <w:p w:rsidR="00072ED0" w:rsidRPr="0046395A" w:rsidRDefault="00072ED0" w:rsidP="0046395A">
            <w:pPr>
              <w:jc w:val="center"/>
              <w:rPr>
                <w:b/>
                <w:bCs/>
                <w:lang w:val="lt-LT"/>
              </w:rPr>
            </w:pPr>
            <w:r w:rsidRPr="0046395A">
              <w:rPr>
                <w:b/>
                <w:bCs/>
                <w:lang w:val="lt-LT"/>
              </w:rPr>
              <w:t>113</w:t>
            </w:r>
          </w:p>
        </w:tc>
        <w:tc>
          <w:tcPr>
            <w:tcW w:w="992" w:type="dxa"/>
            <w:shd w:val="clear" w:color="auto" w:fill="auto"/>
            <w:noWrap/>
            <w:hideMark/>
          </w:tcPr>
          <w:p w:rsidR="00072ED0" w:rsidRPr="0046395A" w:rsidRDefault="00072ED0" w:rsidP="0046395A">
            <w:pPr>
              <w:jc w:val="center"/>
              <w:rPr>
                <w:b/>
                <w:bCs/>
                <w:lang w:val="lt-LT"/>
              </w:rPr>
            </w:pPr>
            <w:r w:rsidRPr="0046395A">
              <w:rPr>
                <w:b/>
                <w:bCs/>
                <w:lang w:val="lt-LT"/>
              </w:rPr>
              <w:t>111</w:t>
            </w:r>
          </w:p>
        </w:tc>
        <w:tc>
          <w:tcPr>
            <w:tcW w:w="1985" w:type="dxa"/>
            <w:shd w:val="clear" w:color="auto" w:fill="BFBFBF" w:themeFill="background1" w:themeFillShade="BF"/>
            <w:noWrap/>
            <w:hideMark/>
          </w:tcPr>
          <w:p w:rsidR="00072ED0" w:rsidRPr="0046395A" w:rsidRDefault="00072ED0" w:rsidP="00133123">
            <w:pPr>
              <w:rPr>
                <w:highlight w:val="lightGray"/>
                <w:lang w:val="lt-LT"/>
              </w:rPr>
            </w:pPr>
          </w:p>
        </w:tc>
        <w:tc>
          <w:tcPr>
            <w:tcW w:w="709" w:type="dxa"/>
            <w:shd w:val="clear" w:color="auto" w:fill="BFBFBF" w:themeFill="background1" w:themeFillShade="BF"/>
          </w:tcPr>
          <w:p w:rsidR="00072ED0" w:rsidRPr="0046395A" w:rsidRDefault="00072ED0" w:rsidP="00133123">
            <w:pPr>
              <w:rPr>
                <w:highlight w:val="lightGray"/>
                <w:lang w:val="lt-LT"/>
              </w:rPr>
            </w:pPr>
          </w:p>
        </w:tc>
      </w:tr>
      <w:tr w:rsidR="0046395A" w:rsidRPr="0046395A" w:rsidTr="00A8307E">
        <w:trPr>
          <w:trHeight w:val="225"/>
        </w:trPr>
        <w:tc>
          <w:tcPr>
            <w:tcW w:w="709" w:type="dxa"/>
            <w:shd w:val="clear" w:color="auto" w:fill="auto"/>
            <w:hideMark/>
          </w:tcPr>
          <w:p w:rsidR="00072ED0" w:rsidRPr="0046395A" w:rsidRDefault="00072ED0" w:rsidP="008E0769">
            <w:pPr>
              <w:jc w:val="center"/>
              <w:rPr>
                <w:lang w:val="lt-LT"/>
              </w:rPr>
            </w:pPr>
            <w:r w:rsidRPr="0046395A">
              <w:rPr>
                <w:lang w:val="lt-LT"/>
              </w:rPr>
              <w:t>I.1.</w:t>
            </w:r>
          </w:p>
        </w:tc>
        <w:tc>
          <w:tcPr>
            <w:tcW w:w="2977" w:type="dxa"/>
            <w:shd w:val="clear" w:color="auto" w:fill="auto"/>
            <w:hideMark/>
          </w:tcPr>
          <w:p w:rsidR="00072ED0" w:rsidRPr="0046395A" w:rsidRDefault="00072ED0" w:rsidP="00133123">
            <w:pPr>
              <w:rPr>
                <w:lang w:val="lt-LT"/>
              </w:rPr>
            </w:pPr>
            <w:r w:rsidRPr="0046395A">
              <w:rPr>
                <w:lang w:val="lt-LT"/>
              </w:rPr>
              <w:t>Patentai, licencijos</w:t>
            </w:r>
          </w:p>
        </w:tc>
        <w:tc>
          <w:tcPr>
            <w:tcW w:w="992" w:type="dxa"/>
            <w:shd w:val="clear" w:color="auto" w:fill="auto"/>
            <w:noWrap/>
            <w:hideMark/>
          </w:tcPr>
          <w:p w:rsidR="00072ED0" w:rsidRPr="0046395A" w:rsidRDefault="00072ED0" w:rsidP="0046395A">
            <w:pPr>
              <w:jc w:val="center"/>
              <w:rPr>
                <w:lang w:val="lt-LT"/>
              </w:rPr>
            </w:pPr>
            <w:r w:rsidRPr="0046395A">
              <w:rPr>
                <w:lang w:val="lt-LT"/>
              </w:rPr>
              <w:t>16</w:t>
            </w:r>
          </w:p>
        </w:tc>
        <w:tc>
          <w:tcPr>
            <w:tcW w:w="992" w:type="dxa"/>
            <w:shd w:val="clear" w:color="auto" w:fill="auto"/>
            <w:noWrap/>
            <w:hideMark/>
          </w:tcPr>
          <w:p w:rsidR="00072ED0" w:rsidRPr="0046395A" w:rsidRDefault="00072ED0" w:rsidP="0046395A">
            <w:pPr>
              <w:jc w:val="center"/>
              <w:rPr>
                <w:lang w:val="lt-LT"/>
              </w:rPr>
            </w:pPr>
            <w:r w:rsidRPr="0046395A">
              <w:rPr>
                <w:lang w:val="lt-LT"/>
              </w:rPr>
              <w:t>46</w:t>
            </w:r>
          </w:p>
        </w:tc>
        <w:tc>
          <w:tcPr>
            <w:tcW w:w="1985" w:type="dxa"/>
            <w:shd w:val="clear" w:color="auto" w:fill="auto"/>
            <w:noWrap/>
            <w:hideMark/>
          </w:tcPr>
          <w:p w:rsidR="00072ED0" w:rsidRPr="0046395A" w:rsidRDefault="00072ED0" w:rsidP="00133123">
            <w:pPr>
              <w:rPr>
                <w:lang w:val="lt-LT"/>
              </w:rPr>
            </w:pPr>
            <w:r w:rsidRPr="0046395A">
              <w:rPr>
                <w:lang w:val="lt-LT"/>
              </w:rPr>
              <w:t> Nesvarbus, nedaug ir nesudėtingos ūk. op</w:t>
            </w:r>
            <w:r w:rsidR="00646F71" w:rsidRPr="0046395A">
              <w:rPr>
                <w:lang w:val="lt-LT"/>
              </w:rPr>
              <w:t>.</w:t>
            </w:r>
          </w:p>
        </w:tc>
        <w:tc>
          <w:tcPr>
            <w:tcW w:w="709" w:type="dxa"/>
          </w:tcPr>
          <w:p w:rsidR="00072ED0" w:rsidRPr="0046395A" w:rsidRDefault="00072ED0" w:rsidP="00133123">
            <w:pPr>
              <w:rPr>
                <w:lang w:val="lt-LT"/>
              </w:rPr>
            </w:pPr>
            <w:r w:rsidRPr="0046395A">
              <w:rPr>
                <w:lang w:val="lt-LT"/>
              </w:rPr>
              <w:t>X</w:t>
            </w:r>
          </w:p>
        </w:tc>
      </w:tr>
      <w:tr w:rsidR="0046395A" w:rsidRPr="0046395A" w:rsidTr="00A8307E">
        <w:trPr>
          <w:trHeight w:val="225"/>
        </w:trPr>
        <w:tc>
          <w:tcPr>
            <w:tcW w:w="709" w:type="dxa"/>
            <w:shd w:val="clear" w:color="auto" w:fill="auto"/>
            <w:hideMark/>
          </w:tcPr>
          <w:p w:rsidR="00514CFC" w:rsidRPr="0046395A" w:rsidRDefault="00514CFC" w:rsidP="008E0769">
            <w:pPr>
              <w:jc w:val="center"/>
              <w:rPr>
                <w:lang w:val="lt-LT"/>
              </w:rPr>
            </w:pPr>
            <w:r w:rsidRPr="0046395A">
              <w:rPr>
                <w:lang w:val="lt-LT"/>
              </w:rPr>
              <w:t>I.2.</w:t>
            </w:r>
          </w:p>
        </w:tc>
        <w:tc>
          <w:tcPr>
            <w:tcW w:w="2977" w:type="dxa"/>
            <w:shd w:val="clear" w:color="auto" w:fill="auto"/>
            <w:hideMark/>
          </w:tcPr>
          <w:p w:rsidR="00514CFC" w:rsidRDefault="00514CFC" w:rsidP="00133123">
            <w:pPr>
              <w:rPr>
                <w:lang w:val="lt-LT"/>
              </w:rPr>
            </w:pPr>
            <w:r w:rsidRPr="0046395A">
              <w:rPr>
                <w:lang w:val="lt-LT"/>
              </w:rPr>
              <w:t>Programinė įranga</w:t>
            </w:r>
          </w:p>
          <w:p w:rsidR="00A8307E" w:rsidRPr="0046395A" w:rsidRDefault="00A8307E" w:rsidP="00133123">
            <w:pPr>
              <w:rPr>
                <w:lang w:val="lt-LT"/>
              </w:rPr>
            </w:pPr>
          </w:p>
        </w:tc>
        <w:tc>
          <w:tcPr>
            <w:tcW w:w="992" w:type="dxa"/>
            <w:shd w:val="clear" w:color="auto" w:fill="auto"/>
            <w:noWrap/>
            <w:hideMark/>
          </w:tcPr>
          <w:p w:rsidR="00514CFC" w:rsidRPr="0046395A" w:rsidRDefault="00514CFC" w:rsidP="0046395A">
            <w:pPr>
              <w:jc w:val="center"/>
              <w:rPr>
                <w:lang w:val="lt-LT"/>
              </w:rPr>
            </w:pPr>
            <w:r w:rsidRPr="0046395A">
              <w:rPr>
                <w:lang w:val="lt-LT"/>
              </w:rPr>
              <w:t>98</w:t>
            </w:r>
          </w:p>
        </w:tc>
        <w:tc>
          <w:tcPr>
            <w:tcW w:w="992" w:type="dxa"/>
            <w:shd w:val="clear" w:color="auto" w:fill="auto"/>
            <w:noWrap/>
            <w:hideMark/>
          </w:tcPr>
          <w:p w:rsidR="00514CFC" w:rsidRPr="0046395A" w:rsidRDefault="00514CFC" w:rsidP="0046395A">
            <w:pPr>
              <w:jc w:val="center"/>
              <w:rPr>
                <w:lang w:val="lt-LT"/>
              </w:rPr>
            </w:pPr>
            <w:r w:rsidRPr="0046395A">
              <w:rPr>
                <w:lang w:val="lt-LT"/>
              </w:rPr>
              <w:t>65</w:t>
            </w:r>
          </w:p>
        </w:tc>
        <w:tc>
          <w:tcPr>
            <w:tcW w:w="1985" w:type="dxa"/>
            <w:shd w:val="clear" w:color="auto" w:fill="auto"/>
            <w:noWrap/>
            <w:hideMark/>
          </w:tcPr>
          <w:p w:rsidR="00514CFC" w:rsidRPr="0046395A" w:rsidRDefault="00514CFC" w:rsidP="00133123">
            <w:pPr>
              <w:rPr>
                <w:lang w:val="lt-LT"/>
              </w:rPr>
            </w:pPr>
            <w:r w:rsidRPr="0046395A">
              <w:rPr>
                <w:lang w:val="lt-LT"/>
              </w:rPr>
              <w:t>t. p.</w:t>
            </w:r>
          </w:p>
        </w:tc>
        <w:tc>
          <w:tcPr>
            <w:tcW w:w="709" w:type="dxa"/>
          </w:tcPr>
          <w:p w:rsidR="00514CFC" w:rsidRPr="0046395A" w:rsidRDefault="00514CFC" w:rsidP="00133123">
            <w:pPr>
              <w:rPr>
                <w:lang w:val="lt-LT"/>
              </w:rPr>
            </w:pPr>
            <w:r w:rsidRPr="0046395A">
              <w:rPr>
                <w:lang w:val="lt-LT"/>
              </w:rPr>
              <w:t>t. p.</w:t>
            </w:r>
          </w:p>
        </w:tc>
      </w:tr>
      <w:tr w:rsidR="0046395A" w:rsidRPr="0046395A" w:rsidTr="00A8307E">
        <w:trPr>
          <w:trHeight w:val="225"/>
        </w:trPr>
        <w:tc>
          <w:tcPr>
            <w:tcW w:w="709" w:type="dxa"/>
            <w:shd w:val="clear" w:color="auto" w:fill="auto"/>
            <w:hideMark/>
          </w:tcPr>
          <w:p w:rsidR="0068219E" w:rsidRPr="0046395A" w:rsidRDefault="0068219E" w:rsidP="008E0769">
            <w:pPr>
              <w:jc w:val="center"/>
              <w:rPr>
                <w:b/>
                <w:bCs/>
                <w:lang w:val="lt-LT"/>
              </w:rPr>
            </w:pPr>
            <w:r w:rsidRPr="0046395A">
              <w:rPr>
                <w:b/>
                <w:bCs/>
                <w:lang w:val="lt-LT"/>
              </w:rPr>
              <w:t>II.</w:t>
            </w:r>
          </w:p>
        </w:tc>
        <w:tc>
          <w:tcPr>
            <w:tcW w:w="2977" w:type="dxa"/>
            <w:shd w:val="clear" w:color="auto" w:fill="auto"/>
            <w:hideMark/>
          </w:tcPr>
          <w:p w:rsidR="0068219E" w:rsidRPr="0046395A" w:rsidRDefault="0068219E" w:rsidP="00133123">
            <w:pPr>
              <w:rPr>
                <w:b/>
                <w:bCs/>
                <w:lang w:val="lt-LT"/>
              </w:rPr>
            </w:pPr>
            <w:r w:rsidRPr="0046395A">
              <w:rPr>
                <w:b/>
                <w:bCs/>
                <w:lang w:val="lt-LT"/>
              </w:rPr>
              <w:t>MATERIALUSIS TURTAS</w:t>
            </w:r>
          </w:p>
        </w:tc>
        <w:tc>
          <w:tcPr>
            <w:tcW w:w="992" w:type="dxa"/>
            <w:shd w:val="clear" w:color="auto" w:fill="auto"/>
            <w:noWrap/>
            <w:hideMark/>
          </w:tcPr>
          <w:p w:rsidR="0068219E" w:rsidRPr="0046395A" w:rsidRDefault="0068219E" w:rsidP="0046395A">
            <w:pPr>
              <w:jc w:val="center"/>
              <w:rPr>
                <w:b/>
                <w:bCs/>
                <w:lang w:val="lt-LT"/>
              </w:rPr>
            </w:pPr>
            <w:r w:rsidRPr="0046395A">
              <w:rPr>
                <w:b/>
                <w:bCs/>
                <w:lang w:val="lt-LT"/>
              </w:rPr>
              <w:t>320</w:t>
            </w:r>
            <w:r w:rsidR="00884A1E">
              <w:rPr>
                <w:b/>
                <w:bCs/>
                <w:lang w:val="lt-LT"/>
              </w:rPr>
              <w:t xml:space="preserve"> </w:t>
            </w:r>
            <w:r w:rsidRPr="0046395A">
              <w:rPr>
                <w:b/>
                <w:bCs/>
                <w:lang w:val="lt-LT"/>
              </w:rPr>
              <w:t>202</w:t>
            </w:r>
          </w:p>
        </w:tc>
        <w:tc>
          <w:tcPr>
            <w:tcW w:w="992" w:type="dxa"/>
            <w:shd w:val="clear" w:color="auto" w:fill="auto"/>
            <w:noWrap/>
            <w:hideMark/>
          </w:tcPr>
          <w:p w:rsidR="0068219E" w:rsidRPr="0046395A" w:rsidRDefault="0068219E" w:rsidP="0046395A">
            <w:pPr>
              <w:jc w:val="center"/>
              <w:rPr>
                <w:b/>
                <w:bCs/>
                <w:lang w:val="lt-LT"/>
              </w:rPr>
            </w:pPr>
            <w:r w:rsidRPr="0046395A">
              <w:rPr>
                <w:b/>
                <w:bCs/>
                <w:lang w:val="lt-LT"/>
              </w:rPr>
              <w:t>330</w:t>
            </w:r>
            <w:r w:rsidR="00884A1E">
              <w:rPr>
                <w:b/>
                <w:bCs/>
                <w:lang w:val="lt-LT"/>
              </w:rPr>
              <w:t xml:space="preserve"> </w:t>
            </w:r>
            <w:r w:rsidRPr="0046395A">
              <w:rPr>
                <w:b/>
                <w:bCs/>
                <w:lang w:val="lt-LT"/>
              </w:rPr>
              <w:t>368</w:t>
            </w:r>
          </w:p>
        </w:tc>
        <w:tc>
          <w:tcPr>
            <w:tcW w:w="1985" w:type="dxa"/>
            <w:shd w:val="clear" w:color="auto" w:fill="BFBFBF" w:themeFill="background1" w:themeFillShade="BF"/>
            <w:noWrap/>
            <w:hideMark/>
          </w:tcPr>
          <w:p w:rsidR="0068219E" w:rsidRPr="0046395A" w:rsidRDefault="0068219E" w:rsidP="00133123">
            <w:pPr>
              <w:rPr>
                <w:highlight w:val="lightGray"/>
                <w:lang w:val="lt-LT"/>
              </w:rPr>
            </w:pPr>
          </w:p>
        </w:tc>
        <w:tc>
          <w:tcPr>
            <w:tcW w:w="709" w:type="dxa"/>
            <w:shd w:val="clear" w:color="auto" w:fill="BFBFBF" w:themeFill="background1" w:themeFillShade="BF"/>
          </w:tcPr>
          <w:p w:rsidR="0068219E" w:rsidRPr="0046395A" w:rsidRDefault="0068219E" w:rsidP="00133123">
            <w:pPr>
              <w:rPr>
                <w:highlight w:val="lightGray"/>
                <w:lang w:val="lt-LT"/>
              </w:rPr>
            </w:pPr>
          </w:p>
        </w:tc>
      </w:tr>
      <w:tr w:rsidR="0046395A" w:rsidRPr="0046395A" w:rsidTr="00A8307E">
        <w:trPr>
          <w:trHeight w:val="225"/>
        </w:trPr>
        <w:tc>
          <w:tcPr>
            <w:tcW w:w="709" w:type="dxa"/>
            <w:shd w:val="clear" w:color="auto" w:fill="auto"/>
            <w:hideMark/>
          </w:tcPr>
          <w:p w:rsidR="00072ED0" w:rsidRPr="0046395A" w:rsidRDefault="00072ED0" w:rsidP="008E0769">
            <w:pPr>
              <w:jc w:val="center"/>
              <w:rPr>
                <w:lang w:val="lt-LT"/>
              </w:rPr>
            </w:pPr>
            <w:r w:rsidRPr="0046395A">
              <w:rPr>
                <w:lang w:val="lt-LT"/>
              </w:rPr>
              <w:t>II.1.</w:t>
            </w:r>
          </w:p>
        </w:tc>
        <w:tc>
          <w:tcPr>
            <w:tcW w:w="2977" w:type="dxa"/>
            <w:shd w:val="clear" w:color="auto" w:fill="auto"/>
            <w:hideMark/>
          </w:tcPr>
          <w:p w:rsidR="00072ED0" w:rsidRPr="0046395A" w:rsidRDefault="00072ED0" w:rsidP="00133123">
            <w:pPr>
              <w:rPr>
                <w:lang w:val="lt-LT"/>
              </w:rPr>
            </w:pPr>
            <w:r w:rsidRPr="0046395A">
              <w:rPr>
                <w:lang w:val="lt-LT"/>
              </w:rPr>
              <w:t>Pastatai ir statiniai</w:t>
            </w:r>
          </w:p>
        </w:tc>
        <w:tc>
          <w:tcPr>
            <w:tcW w:w="992" w:type="dxa"/>
            <w:shd w:val="clear" w:color="auto" w:fill="auto"/>
            <w:noWrap/>
            <w:hideMark/>
          </w:tcPr>
          <w:p w:rsidR="00072ED0" w:rsidRPr="0046395A" w:rsidRDefault="00072ED0" w:rsidP="0046395A">
            <w:pPr>
              <w:jc w:val="center"/>
              <w:rPr>
                <w:lang w:val="lt-LT"/>
              </w:rPr>
            </w:pPr>
            <w:r w:rsidRPr="0046395A">
              <w:rPr>
                <w:lang w:val="lt-LT"/>
              </w:rPr>
              <w:t>147</w:t>
            </w:r>
            <w:r w:rsidR="00884A1E">
              <w:rPr>
                <w:lang w:val="lt-LT"/>
              </w:rPr>
              <w:t xml:space="preserve"> </w:t>
            </w:r>
            <w:r w:rsidRPr="0046395A">
              <w:rPr>
                <w:lang w:val="lt-LT"/>
              </w:rPr>
              <w:t>661</w:t>
            </w:r>
          </w:p>
        </w:tc>
        <w:tc>
          <w:tcPr>
            <w:tcW w:w="992" w:type="dxa"/>
            <w:shd w:val="clear" w:color="auto" w:fill="auto"/>
            <w:noWrap/>
            <w:hideMark/>
          </w:tcPr>
          <w:p w:rsidR="00072ED0" w:rsidRPr="0046395A" w:rsidRDefault="00072ED0" w:rsidP="0046395A">
            <w:pPr>
              <w:jc w:val="center"/>
              <w:rPr>
                <w:lang w:val="lt-LT"/>
              </w:rPr>
            </w:pPr>
            <w:r w:rsidRPr="0046395A">
              <w:rPr>
                <w:lang w:val="lt-LT"/>
              </w:rPr>
              <w:t>133</w:t>
            </w:r>
            <w:r w:rsidR="00884A1E">
              <w:rPr>
                <w:lang w:val="lt-LT"/>
              </w:rPr>
              <w:t xml:space="preserve"> </w:t>
            </w:r>
            <w:r w:rsidRPr="0046395A">
              <w:rPr>
                <w:lang w:val="lt-LT"/>
              </w:rPr>
              <w:t>686</w:t>
            </w:r>
          </w:p>
        </w:tc>
        <w:tc>
          <w:tcPr>
            <w:tcW w:w="1985" w:type="dxa"/>
            <w:shd w:val="clear" w:color="auto" w:fill="auto"/>
            <w:noWrap/>
            <w:hideMark/>
          </w:tcPr>
          <w:p w:rsidR="00072ED0" w:rsidRPr="0046395A" w:rsidRDefault="00072ED0" w:rsidP="00133123">
            <w:pPr>
              <w:rPr>
                <w:lang w:val="lt-LT"/>
              </w:rPr>
            </w:pPr>
            <w:r w:rsidRPr="0046395A">
              <w:rPr>
                <w:lang w:val="lt-LT"/>
              </w:rPr>
              <w:t xml:space="preserve"> Svarbus </w:t>
            </w:r>
            <w:r w:rsidR="001B1A33" w:rsidRPr="0046395A">
              <w:rPr>
                <w:lang w:val="lt-LT"/>
              </w:rPr>
              <w:t>(</w:t>
            </w:r>
            <w:r w:rsidR="0023439D" w:rsidRPr="0046395A">
              <w:rPr>
                <w:lang w:val="lt-LT"/>
              </w:rPr>
              <w:t>pirkimų</w:t>
            </w:r>
            <w:r w:rsidR="001B1A33" w:rsidRPr="0046395A">
              <w:rPr>
                <w:lang w:val="lt-LT"/>
              </w:rPr>
              <w:t xml:space="preserve"> procesas)</w:t>
            </w:r>
          </w:p>
        </w:tc>
        <w:tc>
          <w:tcPr>
            <w:tcW w:w="709" w:type="dxa"/>
          </w:tcPr>
          <w:p w:rsidR="00072ED0" w:rsidRPr="00AA2B0D" w:rsidRDefault="00072ED0" w:rsidP="00A8307E">
            <w:pPr>
              <w:rPr>
                <w:b/>
                <w:lang w:val="lt-LT"/>
              </w:rPr>
            </w:pPr>
            <w:r w:rsidRPr="00AA2B0D">
              <w:rPr>
                <w:b/>
                <w:lang w:val="lt-LT"/>
              </w:rPr>
              <w:t>B</w:t>
            </w:r>
            <w:r w:rsidR="00A8307E" w:rsidRPr="00AA2B0D">
              <w:rPr>
                <w:b/>
                <w:lang w:val="lt-LT"/>
              </w:rPr>
              <w:t>, V</w:t>
            </w:r>
          </w:p>
        </w:tc>
      </w:tr>
      <w:tr w:rsidR="0046395A" w:rsidRPr="0046395A" w:rsidTr="00A8307E">
        <w:trPr>
          <w:trHeight w:val="225"/>
        </w:trPr>
        <w:tc>
          <w:tcPr>
            <w:tcW w:w="709" w:type="dxa"/>
            <w:shd w:val="clear" w:color="auto" w:fill="auto"/>
            <w:hideMark/>
          </w:tcPr>
          <w:p w:rsidR="0068219E" w:rsidRPr="0046395A" w:rsidRDefault="0068219E" w:rsidP="008E0769">
            <w:pPr>
              <w:jc w:val="center"/>
              <w:rPr>
                <w:lang w:val="lt-LT"/>
              </w:rPr>
            </w:pPr>
            <w:r w:rsidRPr="0046395A">
              <w:rPr>
                <w:lang w:val="lt-LT"/>
              </w:rPr>
              <w:t>II.2.</w:t>
            </w:r>
          </w:p>
        </w:tc>
        <w:tc>
          <w:tcPr>
            <w:tcW w:w="2977" w:type="dxa"/>
            <w:shd w:val="clear" w:color="auto" w:fill="auto"/>
            <w:hideMark/>
          </w:tcPr>
          <w:p w:rsidR="0068219E" w:rsidRPr="0046395A" w:rsidRDefault="0068219E" w:rsidP="00133123">
            <w:pPr>
              <w:rPr>
                <w:lang w:val="lt-LT"/>
              </w:rPr>
            </w:pPr>
            <w:r w:rsidRPr="0046395A">
              <w:rPr>
                <w:lang w:val="lt-LT"/>
              </w:rPr>
              <w:t>Mašinos ir įrengimai</w:t>
            </w:r>
          </w:p>
        </w:tc>
        <w:tc>
          <w:tcPr>
            <w:tcW w:w="992" w:type="dxa"/>
            <w:shd w:val="clear" w:color="auto" w:fill="auto"/>
            <w:noWrap/>
            <w:hideMark/>
          </w:tcPr>
          <w:p w:rsidR="0068219E" w:rsidRPr="0046395A" w:rsidRDefault="0068219E" w:rsidP="0046395A">
            <w:pPr>
              <w:jc w:val="center"/>
              <w:rPr>
                <w:lang w:val="lt-LT"/>
              </w:rPr>
            </w:pPr>
            <w:r w:rsidRPr="0046395A">
              <w:rPr>
                <w:lang w:val="lt-LT"/>
              </w:rPr>
              <w:t>161</w:t>
            </w:r>
            <w:r w:rsidR="00884A1E">
              <w:rPr>
                <w:lang w:val="lt-LT"/>
              </w:rPr>
              <w:t xml:space="preserve"> </w:t>
            </w:r>
            <w:r w:rsidRPr="0046395A">
              <w:rPr>
                <w:lang w:val="lt-LT"/>
              </w:rPr>
              <w:t>351</w:t>
            </w:r>
          </w:p>
        </w:tc>
        <w:tc>
          <w:tcPr>
            <w:tcW w:w="992" w:type="dxa"/>
            <w:shd w:val="clear" w:color="auto" w:fill="auto"/>
            <w:noWrap/>
            <w:hideMark/>
          </w:tcPr>
          <w:p w:rsidR="0068219E" w:rsidRPr="0046395A" w:rsidRDefault="0068219E" w:rsidP="0046395A">
            <w:pPr>
              <w:jc w:val="center"/>
              <w:rPr>
                <w:lang w:val="lt-LT"/>
              </w:rPr>
            </w:pPr>
            <w:r w:rsidRPr="0046395A">
              <w:rPr>
                <w:lang w:val="lt-LT"/>
              </w:rPr>
              <w:t>50</w:t>
            </w:r>
            <w:r w:rsidR="00884A1E">
              <w:rPr>
                <w:lang w:val="lt-LT"/>
              </w:rPr>
              <w:t xml:space="preserve"> </w:t>
            </w:r>
            <w:r w:rsidRPr="0046395A">
              <w:rPr>
                <w:lang w:val="lt-LT"/>
              </w:rPr>
              <w:t>952</w:t>
            </w:r>
          </w:p>
        </w:tc>
        <w:tc>
          <w:tcPr>
            <w:tcW w:w="1985" w:type="dxa"/>
            <w:shd w:val="clear" w:color="auto" w:fill="auto"/>
            <w:noWrap/>
            <w:hideMark/>
          </w:tcPr>
          <w:p w:rsidR="0068219E" w:rsidRPr="0046395A" w:rsidRDefault="0068219E" w:rsidP="00133123">
            <w:pPr>
              <w:rPr>
                <w:lang w:val="lt-LT"/>
              </w:rPr>
            </w:pPr>
            <w:r w:rsidRPr="0046395A">
              <w:rPr>
                <w:lang w:val="lt-LT"/>
              </w:rPr>
              <w:t>t. p.</w:t>
            </w:r>
          </w:p>
        </w:tc>
        <w:tc>
          <w:tcPr>
            <w:tcW w:w="709" w:type="dxa"/>
          </w:tcPr>
          <w:p w:rsidR="0068219E" w:rsidRPr="0046395A" w:rsidRDefault="0068219E" w:rsidP="00133123">
            <w:pPr>
              <w:rPr>
                <w:lang w:val="lt-LT"/>
              </w:rPr>
            </w:pPr>
            <w:r w:rsidRPr="0046395A">
              <w:rPr>
                <w:lang w:val="lt-LT"/>
              </w:rPr>
              <w:t>t. p.</w:t>
            </w:r>
          </w:p>
        </w:tc>
      </w:tr>
      <w:tr w:rsidR="0046395A" w:rsidRPr="0046395A" w:rsidTr="00A8307E">
        <w:trPr>
          <w:trHeight w:val="225"/>
        </w:trPr>
        <w:tc>
          <w:tcPr>
            <w:tcW w:w="709" w:type="dxa"/>
            <w:shd w:val="clear" w:color="auto" w:fill="auto"/>
            <w:hideMark/>
          </w:tcPr>
          <w:p w:rsidR="0068219E" w:rsidRPr="0046395A" w:rsidRDefault="0068219E" w:rsidP="008E0769">
            <w:pPr>
              <w:jc w:val="center"/>
              <w:rPr>
                <w:lang w:val="lt-LT"/>
              </w:rPr>
            </w:pPr>
            <w:r w:rsidRPr="0046395A">
              <w:rPr>
                <w:lang w:val="lt-LT"/>
              </w:rPr>
              <w:t>II.3.</w:t>
            </w:r>
          </w:p>
        </w:tc>
        <w:tc>
          <w:tcPr>
            <w:tcW w:w="2977" w:type="dxa"/>
            <w:shd w:val="clear" w:color="auto" w:fill="auto"/>
            <w:hideMark/>
          </w:tcPr>
          <w:p w:rsidR="0068219E" w:rsidRPr="0046395A" w:rsidRDefault="0068219E" w:rsidP="00133123">
            <w:pPr>
              <w:rPr>
                <w:lang w:val="lt-LT"/>
              </w:rPr>
            </w:pPr>
            <w:r w:rsidRPr="0046395A">
              <w:rPr>
                <w:lang w:val="lt-LT"/>
              </w:rPr>
              <w:t>Transporto priemonės</w:t>
            </w:r>
          </w:p>
        </w:tc>
        <w:tc>
          <w:tcPr>
            <w:tcW w:w="992" w:type="dxa"/>
            <w:shd w:val="clear" w:color="auto" w:fill="auto"/>
            <w:noWrap/>
            <w:hideMark/>
          </w:tcPr>
          <w:p w:rsidR="0068219E" w:rsidRPr="0046395A" w:rsidRDefault="0068219E" w:rsidP="0046395A">
            <w:pPr>
              <w:jc w:val="center"/>
              <w:rPr>
                <w:lang w:val="lt-LT"/>
              </w:rPr>
            </w:pPr>
            <w:r w:rsidRPr="0046395A">
              <w:rPr>
                <w:lang w:val="lt-LT"/>
              </w:rPr>
              <w:t>546</w:t>
            </w:r>
          </w:p>
        </w:tc>
        <w:tc>
          <w:tcPr>
            <w:tcW w:w="992" w:type="dxa"/>
            <w:shd w:val="clear" w:color="auto" w:fill="auto"/>
            <w:noWrap/>
            <w:hideMark/>
          </w:tcPr>
          <w:p w:rsidR="0068219E" w:rsidRPr="0046395A" w:rsidRDefault="0068219E" w:rsidP="0046395A">
            <w:pPr>
              <w:jc w:val="center"/>
              <w:rPr>
                <w:lang w:val="lt-LT"/>
              </w:rPr>
            </w:pPr>
            <w:r w:rsidRPr="0046395A">
              <w:rPr>
                <w:lang w:val="lt-LT"/>
              </w:rPr>
              <w:t>616</w:t>
            </w:r>
          </w:p>
        </w:tc>
        <w:tc>
          <w:tcPr>
            <w:tcW w:w="1985" w:type="dxa"/>
            <w:shd w:val="clear" w:color="auto" w:fill="auto"/>
            <w:noWrap/>
            <w:hideMark/>
          </w:tcPr>
          <w:p w:rsidR="0068219E" w:rsidRPr="0046395A" w:rsidRDefault="0068219E" w:rsidP="00133123">
            <w:pPr>
              <w:rPr>
                <w:lang w:val="lt-LT"/>
              </w:rPr>
            </w:pPr>
            <w:r w:rsidRPr="0046395A">
              <w:rPr>
                <w:lang w:val="lt-LT"/>
              </w:rPr>
              <w:t>t. p. </w:t>
            </w:r>
          </w:p>
        </w:tc>
        <w:tc>
          <w:tcPr>
            <w:tcW w:w="709" w:type="dxa"/>
          </w:tcPr>
          <w:p w:rsidR="0068219E" w:rsidRPr="0046395A" w:rsidRDefault="0068219E" w:rsidP="00133123">
            <w:pPr>
              <w:rPr>
                <w:lang w:val="lt-LT"/>
              </w:rPr>
            </w:pPr>
            <w:r w:rsidRPr="0046395A">
              <w:rPr>
                <w:lang w:val="lt-LT"/>
              </w:rPr>
              <w:t>t. p. </w:t>
            </w:r>
          </w:p>
        </w:tc>
      </w:tr>
      <w:tr w:rsidR="0046395A" w:rsidRPr="0046395A" w:rsidTr="00A8307E">
        <w:trPr>
          <w:trHeight w:val="225"/>
        </w:trPr>
        <w:tc>
          <w:tcPr>
            <w:tcW w:w="709" w:type="dxa"/>
            <w:shd w:val="clear" w:color="auto" w:fill="auto"/>
            <w:hideMark/>
          </w:tcPr>
          <w:p w:rsidR="0068219E" w:rsidRPr="0046395A" w:rsidRDefault="0068219E" w:rsidP="008E0769">
            <w:pPr>
              <w:jc w:val="center"/>
              <w:rPr>
                <w:lang w:val="lt-LT"/>
              </w:rPr>
            </w:pPr>
            <w:r w:rsidRPr="0046395A">
              <w:rPr>
                <w:lang w:val="lt-LT"/>
              </w:rPr>
              <w:t>II.4.</w:t>
            </w:r>
          </w:p>
        </w:tc>
        <w:tc>
          <w:tcPr>
            <w:tcW w:w="2977" w:type="dxa"/>
            <w:shd w:val="clear" w:color="auto" w:fill="auto"/>
            <w:hideMark/>
          </w:tcPr>
          <w:p w:rsidR="0068219E" w:rsidRPr="0046395A" w:rsidRDefault="0068219E" w:rsidP="00133123">
            <w:pPr>
              <w:rPr>
                <w:lang w:val="lt-LT"/>
              </w:rPr>
            </w:pPr>
            <w:r w:rsidRPr="0046395A">
              <w:rPr>
                <w:lang w:val="lt-LT"/>
              </w:rPr>
              <w:t>Kita įranga, prietaisai, įrankiai ir įrenginiai</w:t>
            </w:r>
          </w:p>
        </w:tc>
        <w:tc>
          <w:tcPr>
            <w:tcW w:w="992" w:type="dxa"/>
            <w:shd w:val="clear" w:color="auto" w:fill="auto"/>
            <w:noWrap/>
            <w:hideMark/>
          </w:tcPr>
          <w:p w:rsidR="0068219E" w:rsidRPr="0046395A" w:rsidRDefault="0068219E" w:rsidP="0046395A">
            <w:pPr>
              <w:jc w:val="center"/>
              <w:rPr>
                <w:lang w:val="lt-LT"/>
              </w:rPr>
            </w:pPr>
            <w:r w:rsidRPr="0046395A">
              <w:rPr>
                <w:lang w:val="lt-LT"/>
              </w:rPr>
              <w:t>5</w:t>
            </w:r>
            <w:r w:rsidR="00884A1E">
              <w:rPr>
                <w:lang w:val="lt-LT"/>
              </w:rPr>
              <w:t xml:space="preserve"> </w:t>
            </w:r>
            <w:r w:rsidRPr="0046395A">
              <w:rPr>
                <w:lang w:val="lt-LT"/>
              </w:rPr>
              <w:t>516</w:t>
            </w:r>
          </w:p>
        </w:tc>
        <w:tc>
          <w:tcPr>
            <w:tcW w:w="992" w:type="dxa"/>
            <w:shd w:val="clear" w:color="auto" w:fill="auto"/>
            <w:noWrap/>
            <w:hideMark/>
          </w:tcPr>
          <w:p w:rsidR="0068219E" w:rsidRPr="0046395A" w:rsidRDefault="0068219E" w:rsidP="0046395A">
            <w:pPr>
              <w:jc w:val="center"/>
              <w:rPr>
                <w:lang w:val="lt-LT"/>
              </w:rPr>
            </w:pPr>
            <w:r w:rsidRPr="0046395A">
              <w:rPr>
                <w:lang w:val="lt-LT"/>
              </w:rPr>
              <w:t>1</w:t>
            </w:r>
            <w:r w:rsidR="00884A1E">
              <w:rPr>
                <w:lang w:val="lt-LT"/>
              </w:rPr>
              <w:t xml:space="preserve"> </w:t>
            </w:r>
            <w:r w:rsidRPr="0046395A">
              <w:rPr>
                <w:lang w:val="lt-LT"/>
              </w:rPr>
              <w:t>836</w:t>
            </w:r>
          </w:p>
        </w:tc>
        <w:tc>
          <w:tcPr>
            <w:tcW w:w="1985" w:type="dxa"/>
            <w:shd w:val="clear" w:color="auto" w:fill="auto"/>
            <w:noWrap/>
            <w:hideMark/>
          </w:tcPr>
          <w:p w:rsidR="0068219E" w:rsidRPr="0046395A" w:rsidRDefault="0068219E" w:rsidP="00133123">
            <w:pPr>
              <w:rPr>
                <w:lang w:val="lt-LT"/>
              </w:rPr>
            </w:pPr>
            <w:r w:rsidRPr="0046395A">
              <w:rPr>
                <w:lang w:val="lt-LT"/>
              </w:rPr>
              <w:t>t. p.</w:t>
            </w:r>
          </w:p>
        </w:tc>
        <w:tc>
          <w:tcPr>
            <w:tcW w:w="709" w:type="dxa"/>
          </w:tcPr>
          <w:p w:rsidR="0068219E" w:rsidRPr="0046395A" w:rsidRDefault="0068219E" w:rsidP="00133123">
            <w:pPr>
              <w:rPr>
                <w:lang w:val="lt-LT"/>
              </w:rPr>
            </w:pPr>
            <w:r w:rsidRPr="0046395A">
              <w:rPr>
                <w:lang w:val="lt-LT"/>
              </w:rPr>
              <w:t>t. p.</w:t>
            </w:r>
          </w:p>
        </w:tc>
      </w:tr>
      <w:tr w:rsidR="0046395A" w:rsidRPr="0046395A" w:rsidTr="00A8307E">
        <w:trPr>
          <w:trHeight w:val="225"/>
        </w:trPr>
        <w:tc>
          <w:tcPr>
            <w:tcW w:w="709" w:type="dxa"/>
            <w:shd w:val="clear" w:color="auto" w:fill="auto"/>
            <w:hideMark/>
          </w:tcPr>
          <w:p w:rsidR="0068219E" w:rsidRPr="0046395A" w:rsidRDefault="0068219E" w:rsidP="008E0769">
            <w:pPr>
              <w:jc w:val="center"/>
              <w:rPr>
                <w:lang w:val="lt-LT"/>
              </w:rPr>
            </w:pPr>
            <w:r w:rsidRPr="0046395A">
              <w:rPr>
                <w:lang w:val="lt-LT"/>
              </w:rPr>
              <w:t>II.5.</w:t>
            </w:r>
          </w:p>
        </w:tc>
        <w:tc>
          <w:tcPr>
            <w:tcW w:w="2977" w:type="dxa"/>
            <w:shd w:val="clear" w:color="auto" w:fill="auto"/>
            <w:hideMark/>
          </w:tcPr>
          <w:p w:rsidR="0068219E" w:rsidRPr="0046395A" w:rsidRDefault="0068219E" w:rsidP="00133123">
            <w:pPr>
              <w:rPr>
                <w:lang w:val="lt-LT"/>
              </w:rPr>
            </w:pPr>
            <w:r w:rsidRPr="0046395A">
              <w:rPr>
                <w:lang w:val="lt-LT"/>
              </w:rPr>
              <w:t>Nebaigta statyba</w:t>
            </w:r>
          </w:p>
        </w:tc>
        <w:tc>
          <w:tcPr>
            <w:tcW w:w="992" w:type="dxa"/>
            <w:shd w:val="clear" w:color="auto" w:fill="auto"/>
            <w:noWrap/>
            <w:hideMark/>
          </w:tcPr>
          <w:p w:rsidR="0068219E" w:rsidRPr="0046395A" w:rsidRDefault="0068219E" w:rsidP="0046395A">
            <w:pPr>
              <w:jc w:val="center"/>
              <w:rPr>
                <w:lang w:val="lt-LT"/>
              </w:rPr>
            </w:pPr>
            <w:r w:rsidRPr="0046395A">
              <w:rPr>
                <w:lang w:val="lt-LT"/>
              </w:rPr>
              <w:t>4</w:t>
            </w:r>
            <w:r w:rsidR="00884A1E">
              <w:rPr>
                <w:lang w:val="lt-LT"/>
              </w:rPr>
              <w:t xml:space="preserve"> </w:t>
            </w:r>
            <w:r w:rsidRPr="0046395A">
              <w:rPr>
                <w:lang w:val="lt-LT"/>
              </w:rPr>
              <w:t>585</w:t>
            </w:r>
          </w:p>
        </w:tc>
        <w:tc>
          <w:tcPr>
            <w:tcW w:w="992" w:type="dxa"/>
            <w:shd w:val="clear" w:color="auto" w:fill="auto"/>
            <w:noWrap/>
            <w:hideMark/>
          </w:tcPr>
          <w:p w:rsidR="0068219E" w:rsidRPr="0046395A" w:rsidRDefault="0068219E" w:rsidP="0046395A">
            <w:pPr>
              <w:jc w:val="center"/>
              <w:rPr>
                <w:lang w:val="lt-LT"/>
              </w:rPr>
            </w:pPr>
            <w:r w:rsidRPr="0046395A">
              <w:rPr>
                <w:lang w:val="lt-LT"/>
              </w:rPr>
              <w:t>142</w:t>
            </w:r>
            <w:r w:rsidR="00884A1E">
              <w:rPr>
                <w:lang w:val="lt-LT"/>
              </w:rPr>
              <w:t xml:space="preserve"> </w:t>
            </w:r>
            <w:r w:rsidRPr="0046395A">
              <w:rPr>
                <w:lang w:val="lt-LT"/>
              </w:rPr>
              <w:t>964</w:t>
            </w:r>
          </w:p>
        </w:tc>
        <w:tc>
          <w:tcPr>
            <w:tcW w:w="1985" w:type="dxa"/>
            <w:shd w:val="clear" w:color="auto" w:fill="auto"/>
            <w:noWrap/>
            <w:hideMark/>
          </w:tcPr>
          <w:p w:rsidR="0068219E" w:rsidRPr="0046395A" w:rsidRDefault="0068219E" w:rsidP="00133123">
            <w:pPr>
              <w:rPr>
                <w:lang w:val="lt-LT"/>
              </w:rPr>
            </w:pPr>
            <w:r w:rsidRPr="0046395A">
              <w:rPr>
                <w:lang w:val="lt-LT"/>
              </w:rPr>
              <w:t>t. p. </w:t>
            </w:r>
          </w:p>
        </w:tc>
        <w:tc>
          <w:tcPr>
            <w:tcW w:w="709" w:type="dxa"/>
          </w:tcPr>
          <w:p w:rsidR="0068219E" w:rsidRPr="0046395A" w:rsidRDefault="0068219E" w:rsidP="00133123">
            <w:pPr>
              <w:rPr>
                <w:lang w:val="lt-LT"/>
              </w:rPr>
            </w:pPr>
            <w:r w:rsidRPr="0046395A">
              <w:rPr>
                <w:lang w:val="lt-LT"/>
              </w:rPr>
              <w:t>t. p. </w:t>
            </w:r>
          </w:p>
        </w:tc>
      </w:tr>
      <w:tr w:rsidR="0046395A" w:rsidRPr="0046395A" w:rsidTr="00A8307E">
        <w:trPr>
          <w:trHeight w:val="225"/>
        </w:trPr>
        <w:tc>
          <w:tcPr>
            <w:tcW w:w="709" w:type="dxa"/>
            <w:shd w:val="clear" w:color="auto" w:fill="auto"/>
            <w:hideMark/>
          </w:tcPr>
          <w:p w:rsidR="0068219E" w:rsidRPr="0046395A" w:rsidRDefault="0068219E" w:rsidP="008E0769">
            <w:pPr>
              <w:jc w:val="center"/>
              <w:rPr>
                <w:lang w:val="lt-LT"/>
              </w:rPr>
            </w:pPr>
            <w:r w:rsidRPr="0046395A">
              <w:rPr>
                <w:lang w:val="lt-LT"/>
              </w:rPr>
              <w:t>II.6.</w:t>
            </w:r>
          </w:p>
        </w:tc>
        <w:tc>
          <w:tcPr>
            <w:tcW w:w="2977" w:type="dxa"/>
            <w:shd w:val="clear" w:color="auto" w:fill="auto"/>
            <w:hideMark/>
          </w:tcPr>
          <w:p w:rsidR="0068219E" w:rsidRPr="0046395A" w:rsidRDefault="0068219E" w:rsidP="00133123">
            <w:pPr>
              <w:rPr>
                <w:lang w:val="lt-LT"/>
              </w:rPr>
            </w:pPr>
            <w:r w:rsidRPr="0046395A">
              <w:rPr>
                <w:lang w:val="lt-LT"/>
              </w:rPr>
              <w:t>Kitas materialusis turtas</w:t>
            </w:r>
          </w:p>
        </w:tc>
        <w:tc>
          <w:tcPr>
            <w:tcW w:w="992" w:type="dxa"/>
            <w:shd w:val="clear" w:color="auto" w:fill="auto"/>
            <w:noWrap/>
            <w:hideMark/>
          </w:tcPr>
          <w:p w:rsidR="0068219E" w:rsidRPr="0046395A" w:rsidRDefault="0068219E" w:rsidP="0046395A">
            <w:pPr>
              <w:jc w:val="center"/>
              <w:rPr>
                <w:lang w:val="lt-LT"/>
              </w:rPr>
            </w:pPr>
            <w:r w:rsidRPr="0046395A">
              <w:rPr>
                <w:lang w:val="lt-LT"/>
              </w:rPr>
              <w:t>543</w:t>
            </w:r>
          </w:p>
        </w:tc>
        <w:tc>
          <w:tcPr>
            <w:tcW w:w="992" w:type="dxa"/>
            <w:shd w:val="clear" w:color="auto" w:fill="auto"/>
            <w:noWrap/>
            <w:hideMark/>
          </w:tcPr>
          <w:p w:rsidR="0068219E" w:rsidRPr="0046395A" w:rsidRDefault="0068219E" w:rsidP="0046395A">
            <w:pPr>
              <w:jc w:val="center"/>
              <w:rPr>
                <w:lang w:val="lt-LT"/>
              </w:rPr>
            </w:pPr>
            <w:r w:rsidRPr="0046395A">
              <w:rPr>
                <w:lang w:val="lt-LT"/>
              </w:rPr>
              <w:t>315</w:t>
            </w:r>
          </w:p>
        </w:tc>
        <w:tc>
          <w:tcPr>
            <w:tcW w:w="1985" w:type="dxa"/>
            <w:shd w:val="clear" w:color="auto" w:fill="auto"/>
            <w:noWrap/>
            <w:hideMark/>
          </w:tcPr>
          <w:p w:rsidR="0068219E" w:rsidRPr="0046395A" w:rsidRDefault="0068219E" w:rsidP="00133123">
            <w:pPr>
              <w:rPr>
                <w:lang w:val="lt-LT"/>
              </w:rPr>
            </w:pPr>
            <w:r w:rsidRPr="0046395A">
              <w:rPr>
                <w:lang w:val="lt-LT"/>
              </w:rPr>
              <w:t>t. p.</w:t>
            </w:r>
          </w:p>
        </w:tc>
        <w:tc>
          <w:tcPr>
            <w:tcW w:w="709" w:type="dxa"/>
          </w:tcPr>
          <w:p w:rsidR="0068219E" w:rsidRPr="0046395A" w:rsidRDefault="0068219E" w:rsidP="00133123">
            <w:pPr>
              <w:rPr>
                <w:lang w:val="lt-LT"/>
              </w:rPr>
            </w:pPr>
            <w:r w:rsidRPr="0046395A">
              <w:rPr>
                <w:lang w:val="lt-LT"/>
              </w:rPr>
              <w:t>t. p.</w:t>
            </w:r>
          </w:p>
        </w:tc>
      </w:tr>
      <w:tr w:rsidR="0046395A" w:rsidRPr="0046395A" w:rsidTr="00A8307E">
        <w:trPr>
          <w:trHeight w:val="225"/>
        </w:trPr>
        <w:tc>
          <w:tcPr>
            <w:tcW w:w="709" w:type="dxa"/>
            <w:shd w:val="clear" w:color="auto" w:fill="auto"/>
            <w:hideMark/>
          </w:tcPr>
          <w:p w:rsidR="0068219E" w:rsidRPr="0046395A" w:rsidRDefault="0068219E" w:rsidP="008E0769">
            <w:pPr>
              <w:jc w:val="center"/>
              <w:rPr>
                <w:b/>
                <w:bCs/>
                <w:lang w:val="lt-LT"/>
              </w:rPr>
            </w:pPr>
            <w:r w:rsidRPr="0046395A">
              <w:rPr>
                <w:b/>
                <w:bCs/>
                <w:lang w:val="lt-LT"/>
              </w:rPr>
              <w:t>III.</w:t>
            </w:r>
          </w:p>
        </w:tc>
        <w:tc>
          <w:tcPr>
            <w:tcW w:w="2977" w:type="dxa"/>
            <w:shd w:val="clear" w:color="auto" w:fill="auto"/>
            <w:hideMark/>
          </w:tcPr>
          <w:p w:rsidR="0068219E" w:rsidRPr="0046395A" w:rsidRDefault="0068219E" w:rsidP="00133123">
            <w:pPr>
              <w:rPr>
                <w:b/>
                <w:bCs/>
                <w:lang w:val="lt-LT"/>
              </w:rPr>
            </w:pPr>
            <w:r w:rsidRPr="0046395A">
              <w:rPr>
                <w:b/>
                <w:bCs/>
                <w:lang w:val="lt-LT"/>
              </w:rPr>
              <w:t>FINANSINIS TURTAS</w:t>
            </w:r>
          </w:p>
        </w:tc>
        <w:tc>
          <w:tcPr>
            <w:tcW w:w="992" w:type="dxa"/>
            <w:shd w:val="clear" w:color="auto" w:fill="auto"/>
            <w:noWrap/>
            <w:hideMark/>
          </w:tcPr>
          <w:p w:rsidR="0068219E" w:rsidRPr="0046395A" w:rsidRDefault="0068219E" w:rsidP="0046395A">
            <w:pPr>
              <w:jc w:val="center"/>
              <w:rPr>
                <w:b/>
                <w:bCs/>
                <w:lang w:val="lt-LT"/>
              </w:rPr>
            </w:pPr>
            <w:r w:rsidRPr="0046395A">
              <w:rPr>
                <w:b/>
                <w:bCs/>
                <w:lang w:val="lt-LT"/>
              </w:rPr>
              <w:t>2</w:t>
            </w:r>
            <w:r w:rsidR="00884A1E">
              <w:rPr>
                <w:b/>
                <w:bCs/>
                <w:lang w:val="lt-LT"/>
              </w:rPr>
              <w:t xml:space="preserve"> </w:t>
            </w:r>
            <w:r w:rsidRPr="0046395A">
              <w:rPr>
                <w:b/>
                <w:bCs/>
                <w:lang w:val="lt-LT"/>
              </w:rPr>
              <w:t>005</w:t>
            </w:r>
          </w:p>
        </w:tc>
        <w:tc>
          <w:tcPr>
            <w:tcW w:w="992" w:type="dxa"/>
            <w:shd w:val="clear" w:color="auto" w:fill="auto"/>
            <w:noWrap/>
            <w:hideMark/>
          </w:tcPr>
          <w:p w:rsidR="0068219E" w:rsidRPr="0046395A" w:rsidRDefault="0068219E" w:rsidP="0046395A">
            <w:pPr>
              <w:jc w:val="center"/>
              <w:rPr>
                <w:b/>
                <w:bCs/>
                <w:lang w:val="lt-LT"/>
              </w:rPr>
            </w:pPr>
            <w:r w:rsidRPr="0046395A">
              <w:rPr>
                <w:b/>
                <w:bCs/>
                <w:lang w:val="lt-LT"/>
              </w:rPr>
              <w:t>1</w:t>
            </w:r>
            <w:r w:rsidR="00884A1E">
              <w:rPr>
                <w:b/>
                <w:bCs/>
                <w:lang w:val="lt-LT"/>
              </w:rPr>
              <w:t xml:space="preserve"> </w:t>
            </w:r>
            <w:r w:rsidRPr="0046395A">
              <w:rPr>
                <w:b/>
                <w:bCs/>
                <w:lang w:val="lt-LT"/>
              </w:rPr>
              <w:t>633</w:t>
            </w:r>
          </w:p>
        </w:tc>
        <w:tc>
          <w:tcPr>
            <w:tcW w:w="1985" w:type="dxa"/>
            <w:shd w:val="clear" w:color="auto" w:fill="BFBFBF" w:themeFill="background1" w:themeFillShade="BF"/>
            <w:noWrap/>
            <w:hideMark/>
          </w:tcPr>
          <w:p w:rsidR="0068219E" w:rsidRPr="0046395A" w:rsidRDefault="0068219E" w:rsidP="00133123">
            <w:pPr>
              <w:rPr>
                <w:lang w:val="lt-LT"/>
              </w:rPr>
            </w:pPr>
          </w:p>
        </w:tc>
        <w:tc>
          <w:tcPr>
            <w:tcW w:w="709" w:type="dxa"/>
            <w:shd w:val="clear" w:color="auto" w:fill="BFBFBF" w:themeFill="background1" w:themeFillShade="BF"/>
          </w:tcPr>
          <w:p w:rsidR="0068219E" w:rsidRPr="0046395A" w:rsidRDefault="0068219E" w:rsidP="00133123">
            <w:pPr>
              <w:rPr>
                <w:lang w:val="lt-LT"/>
              </w:rPr>
            </w:pPr>
          </w:p>
        </w:tc>
      </w:tr>
      <w:tr w:rsidR="0046395A" w:rsidRPr="0046395A" w:rsidTr="00A8307E">
        <w:trPr>
          <w:trHeight w:val="225"/>
        </w:trPr>
        <w:tc>
          <w:tcPr>
            <w:tcW w:w="709" w:type="dxa"/>
            <w:shd w:val="clear" w:color="auto" w:fill="auto"/>
            <w:hideMark/>
          </w:tcPr>
          <w:p w:rsidR="00072ED0" w:rsidRPr="0046395A" w:rsidRDefault="00072ED0" w:rsidP="008E0769">
            <w:pPr>
              <w:jc w:val="center"/>
              <w:rPr>
                <w:lang w:val="lt-LT"/>
              </w:rPr>
            </w:pPr>
            <w:r w:rsidRPr="0046395A">
              <w:rPr>
                <w:lang w:val="lt-LT"/>
              </w:rPr>
              <w:t>III.1.</w:t>
            </w:r>
          </w:p>
        </w:tc>
        <w:tc>
          <w:tcPr>
            <w:tcW w:w="2977" w:type="dxa"/>
            <w:shd w:val="clear" w:color="auto" w:fill="auto"/>
            <w:hideMark/>
          </w:tcPr>
          <w:p w:rsidR="00072ED0" w:rsidRPr="0046395A" w:rsidRDefault="00072ED0" w:rsidP="00133123">
            <w:pPr>
              <w:rPr>
                <w:lang w:val="lt-LT"/>
              </w:rPr>
            </w:pPr>
            <w:r w:rsidRPr="0046395A">
              <w:rPr>
                <w:lang w:val="lt-LT"/>
              </w:rPr>
              <w:t>Po vienerių metų gautinos sumos</w:t>
            </w:r>
          </w:p>
        </w:tc>
        <w:tc>
          <w:tcPr>
            <w:tcW w:w="992" w:type="dxa"/>
            <w:shd w:val="clear" w:color="auto" w:fill="auto"/>
            <w:noWrap/>
            <w:hideMark/>
          </w:tcPr>
          <w:p w:rsidR="00072ED0" w:rsidRPr="0046395A" w:rsidRDefault="00072ED0" w:rsidP="0046395A">
            <w:pPr>
              <w:jc w:val="center"/>
              <w:rPr>
                <w:lang w:val="lt-LT"/>
              </w:rPr>
            </w:pPr>
            <w:r w:rsidRPr="0046395A">
              <w:rPr>
                <w:lang w:val="lt-LT"/>
              </w:rPr>
              <w:t>1</w:t>
            </w:r>
            <w:r w:rsidR="00884A1E">
              <w:rPr>
                <w:lang w:val="lt-LT"/>
              </w:rPr>
              <w:t xml:space="preserve"> </w:t>
            </w:r>
            <w:r w:rsidRPr="0046395A">
              <w:rPr>
                <w:lang w:val="lt-LT"/>
              </w:rPr>
              <w:t>565</w:t>
            </w:r>
          </w:p>
        </w:tc>
        <w:tc>
          <w:tcPr>
            <w:tcW w:w="992" w:type="dxa"/>
            <w:shd w:val="clear" w:color="auto" w:fill="auto"/>
            <w:noWrap/>
            <w:hideMark/>
          </w:tcPr>
          <w:p w:rsidR="00072ED0" w:rsidRPr="0046395A" w:rsidRDefault="00072ED0" w:rsidP="0046395A">
            <w:pPr>
              <w:jc w:val="center"/>
              <w:rPr>
                <w:lang w:val="lt-LT"/>
              </w:rPr>
            </w:pPr>
            <w:r w:rsidRPr="0046395A">
              <w:rPr>
                <w:lang w:val="lt-LT"/>
              </w:rPr>
              <w:t>810</w:t>
            </w:r>
          </w:p>
        </w:tc>
        <w:tc>
          <w:tcPr>
            <w:tcW w:w="1985" w:type="dxa"/>
            <w:shd w:val="clear" w:color="auto" w:fill="auto"/>
            <w:noWrap/>
            <w:hideMark/>
          </w:tcPr>
          <w:p w:rsidR="00072ED0" w:rsidRPr="0046395A" w:rsidRDefault="00072ED0" w:rsidP="00133123">
            <w:pPr>
              <w:rPr>
                <w:lang w:val="lt-LT"/>
              </w:rPr>
            </w:pPr>
            <w:r w:rsidRPr="0046395A">
              <w:rPr>
                <w:lang w:val="lt-LT"/>
              </w:rPr>
              <w:t xml:space="preserve">Nesvarbus, nedaug ūk. </w:t>
            </w:r>
            <w:r w:rsidR="001B1A33" w:rsidRPr="0046395A">
              <w:rPr>
                <w:lang w:val="lt-LT"/>
              </w:rPr>
              <w:t>o</w:t>
            </w:r>
            <w:r w:rsidRPr="0046395A">
              <w:rPr>
                <w:lang w:val="lt-LT"/>
              </w:rPr>
              <w:t>peracijų</w:t>
            </w:r>
          </w:p>
        </w:tc>
        <w:tc>
          <w:tcPr>
            <w:tcW w:w="709" w:type="dxa"/>
          </w:tcPr>
          <w:p w:rsidR="00072ED0" w:rsidRPr="0046395A" w:rsidRDefault="00072ED0" w:rsidP="00133123">
            <w:pPr>
              <w:rPr>
                <w:lang w:val="lt-LT"/>
              </w:rPr>
            </w:pPr>
            <w:r w:rsidRPr="0046395A">
              <w:rPr>
                <w:lang w:val="lt-LT"/>
              </w:rPr>
              <w:t>X</w:t>
            </w:r>
          </w:p>
        </w:tc>
      </w:tr>
      <w:tr w:rsidR="0046395A" w:rsidRPr="0046395A" w:rsidTr="00A8307E">
        <w:trPr>
          <w:trHeight w:val="225"/>
        </w:trPr>
        <w:tc>
          <w:tcPr>
            <w:tcW w:w="709" w:type="dxa"/>
            <w:shd w:val="clear" w:color="auto" w:fill="auto"/>
            <w:hideMark/>
          </w:tcPr>
          <w:p w:rsidR="00072ED0" w:rsidRPr="0046395A" w:rsidRDefault="00072ED0" w:rsidP="008E0769">
            <w:pPr>
              <w:jc w:val="center"/>
              <w:rPr>
                <w:lang w:val="lt-LT"/>
              </w:rPr>
            </w:pPr>
            <w:r w:rsidRPr="0046395A">
              <w:rPr>
                <w:lang w:val="lt-LT"/>
              </w:rPr>
              <w:t>III.2.</w:t>
            </w:r>
          </w:p>
        </w:tc>
        <w:tc>
          <w:tcPr>
            <w:tcW w:w="2977" w:type="dxa"/>
            <w:shd w:val="clear" w:color="auto" w:fill="auto"/>
            <w:hideMark/>
          </w:tcPr>
          <w:p w:rsidR="00072ED0" w:rsidRPr="0046395A" w:rsidRDefault="00072ED0" w:rsidP="00133123">
            <w:pPr>
              <w:rPr>
                <w:lang w:val="lt-LT"/>
              </w:rPr>
            </w:pPr>
            <w:r w:rsidRPr="0046395A">
              <w:rPr>
                <w:lang w:val="lt-LT"/>
              </w:rPr>
              <w:t>Kitas finansinis turtas</w:t>
            </w:r>
          </w:p>
        </w:tc>
        <w:tc>
          <w:tcPr>
            <w:tcW w:w="992" w:type="dxa"/>
            <w:shd w:val="clear" w:color="auto" w:fill="auto"/>
            <w:noWrap/>
            <w:hideMark/>
          </w:tcPr>
          <w:p w:rsidR="00072ED0" w:rsidRPr="0046395A" w:rsidRDefault="00072ED0" w:rsidP="0046395A">
            <w:pPr>
              <w:jc w:val="center"/>
              <w:rPr>
                <w:lang w:val="lt-LT"/>
              </w:rPr>
            </w:pPr>
            <w:r w:rsidRPr="0046395A">
              <w:rPr>
                <w:lang w:val="lt-LT"/>
              </w:rPr>
              <w:t>439</w:t>
            </w:r>
          </w:p>
        </w:tc>
        <w:tc>
          <w:tcPr>
            <w:tcW w:w="992" w:type="dxa"/>
            <w:shd w:val="clear" w:color="auto" w:fill="auto"/>
            <w:noWrap/>
            <w:hideMark/>
          </w:tcPr>
          <w:p w:rsidR="00072ED0" w:rsidRPr="0046395A" w:rsidRDefault="00072ED0" w:rsidP="0046395A">
            <w:pPr>
              <w:jc w:val="center"/>
              <w:rPr>
                <w:lang w:val="lt-LT"/>
              </w:rPr>
            </w:pPr>
            <w:r w:rsidRPr="0046395A">
              <w:rPr>
                <w:lang w:val="lt-LT"/>
              </w:rPr>
              <w:t>823</w:t>
            </w:r>
          </w:p>
        </w:tc>
        <w:tc>
          <w:tcPr>
            <w:tcW w:w="1985" w:type="dxa"/>
            <w:shd w:val="clear" w:color="auto" w:fill="auto"/>
            <w:noWrap/>
            <w:hideMark/>
          </w:tcPr>
          <w:p w:rsidR="00072ED0" w:rsidRPr="0046395A" w:rsidRDefault="00072ED0" w:rsidP="00133123">
            <w:pPr>
              <w:rPr>
                <w:lang w:val="lt-LT"/>
              </w:rPr>
            </w:pPr>
            <w:r w:rsidRPr="0046395A">
              <w:rPr>
                <w:lang w:val="lt-LT"/>
              </w:rPr>
              <w:t>t. p. </w:t>
            </w:r>
          </w:p>
        </w:tc>
        <w:tc>
          <w:tcPr>
            <w:tcW w:w="709" w:type="dxa"/>
          </w:tcPr>
          <w:p w:rsidR="00072ED0" w:rsidRPr="0046395A" w:rsidRDefault="00072ED0" w:rsidP="00133123">
            <w:pPr>
              <w:rPr>
                <w:lang w:val="lt-LT"/>
              </w:rPr>
            </w:pPr>
            <w:r w:rsidRPr="0046395A">
              <w:rPr>
                <w:lang w:val="lt-LT"/>
              </w:rPr>
              <w:t>t. p. </w:t>
            </w:r>
          </w:p>
        </w:tc>
      </w:tr>
      <w:tr w:rsidR="0046395A" w:rsidRPr="0046395A" w:rsidTr="00A8307E">
        <w:trPr>
          <w:trHeight w:val="225"/>
        </w:trPr>
        <w:tc>
          <w:tcPr>
            <w:tcW w:w="709" w:type="dxa"/>
            <w:shd w:val="clear" w:color="auto" w:fill="auto"/>
            <w:hideMark/>
          </w:tcPr>
          <w:p w:rsidR="0068219E" w:rsidRPr="0046395A" w:rsidRDefault="0068219E" w:rsidP="008E0769">
            <w:pPr>
              <w:jc w:val="center"/>
              <w:rPr>
                <w:b/>
                <w:bCs/>
                <w:lang w:val="lt-LT"/>
              </w:rPr>
            </w:pPr>
            <w:r w:rsidRPr="0046395A">
              <w:rPr>
                <w:b/>
                <w:bCs/>
                <w:lang w:val="lt-LT"/>
              </w:rPr>
              <w:t>IV</w:t>
            </w:r>
          </w:p>
        </w:tc>
        <w:tc>
          <w:tcPr>
            <w:tcW w:w="2977" w:type="dxa"/>
            <w:shd w:val="clear" w:color="auto" w:fill="auto"/>
            <w:hideMark/>
          </w:tcPr>
          <w:p w:rsidR="0068219E" w:rsidRPr="0046395A" w:rsidRDefault="0068219E" w:rsidP="00133123">
            <w:pPr>
              <w:rPr>
                <w:b/>
                <w:bCs/>
                <w:lang w:val="lt-LT"/>
              </w:rPr>
            </w:pPr>
            <w:r w:rsidRPr="0046395A">
              <w:rPr>
                <w:b/>
                <w:bCs/>
                <w:lang w:val="lt-LT"/>
              </w:rPr>
              <w:t>KITAS ILGALAIKIS TURTAS</w:t>
            </w:r>
          </w:p>
        </w:tc>
        <w:tc>
          <w:tcPr>
            <w:tcW w:w="992" w:type="dxa"/>
            <w:shd w:val="clear" w:color="auto" w:fill="auto"/>
            <w:noWrap/>
            <w:hideMark/>
          </w:tcPr>
          <w:p w:rsidR="0068219E" w:rsidRPr="0046395A" w:rsidRDefault="0068219E" w:rsidP="0046395A">
            <w:pPr>
              <w:jc w:val="center"/>
              <w:rPr>
                <w:b/>
                <w:bCs/>
                <w:lang w:val="lt-LT"/>
              </w:rPr>
            </w:pPr>
            <w:r w:rsidRPr="0046395A">
              <w:rPr>
                <w:b/>
                <w:bCs/>
                <w:lang w:val="lt-LT"/>
              </w:rPr>
              <w:t>3</w:t>
            </w:r>
            <w:r w:rsidR="00884A1E">
              <w:rPr>
                <w:b/>
                <w:bCs/>
                <w:lang w:val="lt-LT"/>
              </w:rPr>
              <w:t xml:space="preserve"> </w:t>
            </w:r>
            <w:r w:rsidRPr="0046395A">
              <w:rPr>
                <w:b/>
                <w:bCs/>
                <w:lang w:val="lt-LT"/>
              </w:rPr>
              <w:t>962</w:t>
            </w:r>
          </w:p>
        </w:tc>
        <w:tc>
          <w:tcPr>
            <w:tcW w:w="992" w:type="dxa"/>
            <w:shd w:val="clear" w:color="auto" w:fill="auto"/>
            <w:noWrap/>
            <w:hideMark/>
          </w:tcPr>
          <w:p w:rsidR="0068219E" w:rsidRPr="0046395A" w:rsidRDefault="0068219E" w:rsidP="0046395A">
            <w:pPr>
              <w:jc w:val="center"/>
              <w:rPr>
                <w:b/>
                <w:bCs/>
                <w:lang w:val="lt-LT"/>
              </w:rPr>
            </w:pPr>
            <w:r w:rsidRPr="0046395A">
              <w:rPr>
                <w:b/>
                <w:bCs/>
                <w:lang w:val="lt-LT"/>
              </w:rPr>
              <w:t>0</w:t>
            </w:r>
          </w:p>
        </w:tc>
        <w:tc>
          <w:tcPr>
            <w:tcW w:w="1985" w:type="dxa"/>
            <w:shd w:val="clear" w:color="auto" w:fill="BFBFBF" w:themeFill="background1" w:themeFillShade="BF"/>
            <w:noWrap/>
            <w:hideMark/>
          </w:tcPr>
          <w:p w:rsidR="0068219E" w:rsidRPr="0046395A" w:rsidRDefault="0068219E" w:rsidP="00133123">
            <w:pPr>
              <w:rPr>
                <w:lang w:val="lt-LT"/>
              </w:rPr>
            </w:pPr>
            <w:r w:rsidRPr="0046395A">
              <w:rPr>
                <w:lang w:val="lt-LT"/>
              </w:rPr>
              <w:t> </w:t>
            </w:r>
          </w:p>
        </w:tc>
        <w:tc>
          <w:tcPr>
            <w:tcW w:w="709" w:type="dxa"/>
            <w:shd w:val="clear" w:color="auto" w:fill="BFBFBF" w:themeFill="background1" w:themeFillShade="BF"/>
          </w:tcPr>
          <w:p w:rsidR="0068219E" w:rsidRPr="0046395A" w:rsidRDefault="0068219E" w:rsidP="00133123">
            <w:pPr>
              <w:rPr>
                <w:lang w:val="lt-LT"/>
              </w:rPr>
            </w:pPr>
          </w:p>
        </w:tc>
      </w:tr>
      <w:tr w:rsidR="0046395A" w:rsidRPr="0046395A" w:rsidTr="00A8307E">
        <w:trPr>
          <w:trHeight w:val="225"/>
        </w:trPr>
        <w:tc>
          <w:tcPr>
            <w:tcW w:w="709" w:type="dxa"/>
            <w:shd w:val="clear" w:color="auto" w:fill="auto"/>
            <w:hideMark/>
          </w:tcPr>
          <w:p w:rsidR="00141789" w:rsidRPr="0046395A" w:rsidRDefault="00141789" w:rsidP="008E0769">
            <w:pPr>
              <w:jc w:val="center"/>
              <w:rPr>
                <w:lang w:val="lt-LT"/>
              </w:rPr>
            </w:pPr>
            <w:r w:rsidRPr="0046395A">
              <w:rPr>
                <w:lang w:val="lt-LT"/>
              </w:rPr>
              <w:t>IV.1.</w:t>
            </w:r>
          </w:p>
        </w:tc>
        <w:tc>
          <w:tcPr>
            <w:tcW w:w="2977" w:type="dxa"/>
            <w:shd w:val="clear" w:color="auto" w:fill="auto"/>
            <w:hideMark/>
          </w:tcPr>
          <w:p w:rsidR="00141789" w:rsidRPr="0046395A" w:rsidRDefault="00141789" w:rsidP="00133123">
            <w:pPr>
              <w:rPr>
                <w:lang w:val="lt-LT"/>
              </w:rPr>
            </w:pPr>
            <w:r w:rsidRPr="0046395A">
              <w:rPr>
                <w:lang w:val="lt-LT"/>
              </w:rPr>
              <w:t>Atidėtojo mokesčio turtas</w:t>
            </w:r>
          </w:p>
        </w:tc>
        <w:tc>
          <w:tcPr>
            <w:tcW w:w="992" w:type="dxa"/>
            <w:shd w:val="clear" w:color="auto" w:fill="auto"/>
            <w:noWrap/>
            <w:hideMark/>
          </w:tcPr>
          <w:p w:rsidR="00141789" w:rsidRPr="0046395A" w:rsidRDefault="00141789" w:rsidP="0046395A">
            <w:pPr>
              <w:jc w:val="center"/>
              <w:rPr>
                <w:lang w:val="lt-LT"/>
              </w:rPr>
            </w:pPr>
            <w:r w:rsidRPr="0046395A">
              <w:rPr>
                <w:lang w:val="lt-LT"/>
              </w:rPr>
              <w:t>3</w:t>
            </w:r>
            <w:r w:rsidR="00884A1E">
              <w:rPr>
                <w:lang w:val="lt-LT"/>
              </w:rPr>
              <w:t xml:space="preserve"> </w:t>
            </w:r>
            <w:r w:rsidRPr="0046395A">
              <w:rPr>
                <w:lang w:val="lt-LT"/>
              </w:rPr>
              <w:t>962</w:t>
            </w:r>
          </w:p>
        </w:tc>
        <w:tc>
          <w:tcPr>
            <w:tcW w:w="992" w:type="dxa"/>
            <w:shd w:val="clear" w:color="auto" w:fill="auto"/>
            <w:noWrap/>
            <w:hideMark/>
          </w:tcPr>
          <w:p w:rsidR="00141789" w:rsidRPr="0046395A" w:rsidRDefault="00141789" w:rsidP="0046395A">
            <w:pPr>
              <w:jc w:val="center"/>
              <w:rPr>
                <w:lang w:val="lt-LT"/>
              </w:rPr>
            </w:pPr>
            <w:r w:rsidRPr="0046395A">
              <w:rPr>
                <w:lang w:val="lt-LT"/>
              </w:rPr>
              <w:t>0</w:t>
            </w:r>
          </w:p>
        </w:tc>
        <w:tc>
          <w:tcPr>
            <w:tcW w:w="1985" w:type="dxa"/>
            <w:shd w:val="clear" w:color="auto" w:fill="auto"/>
            <w:noWrap/>
            <w:hideMark/>
          </w:tcPr>
          <w:p w:rsidR="00141789" w:rsidRPr="0046395A" w:rsidRDefault="00FF533C" w:rsidP="000F65D5">
            <w:pPr>
              <w:rPr>
                <w:lang w:val="lt-LT"/>
              </w:rPr>
            </w:pPr>
            <w:r w:rsidRPr="0046395A">
              <w:rPr>
                <w:lang w:val="lt-LT"/>
              </w:rPr>
              <w:t>S</w:t>
            </w:r>
            <w:r w:rsidR="00141789" w:rsidRPr="0046395A">
              <w:rPr>
                <w:lang w:val="lt-LT"/>
              </w:rPr>
              <w:t>varbus,</w:t>
            </w:r>
            <w:r w:rsidRPr="0046395A">
              <w:rPr>
                <w:lang w:val="lt-LT"/>
              </w:rPr>
              <w:t xml:space="preserve"> apsk</w:t>
            </w:r>
            <w:r w:rsidR="00133123" w:rsidRPr="0046395A">
              <w:rPr>
                <w:lang w:val="lt-LT"/>
              </w:rPr>
              <w:t>aitinis</w:t>
            </w:r>
            <w:r w:rsidR="00646F71" w:rsidRPr="0046395A">
              <w:rPr>
                <w:lang w:val="lt-LT"/>
              </w:rPr>
              <w:t xml:space="preserve"> įverti</w:t>
            </w:r>
            <w:r w:rsidR="00133123" w:rsidRPr="0046395A">
              <w:rPr>
                <w:lang w:val="lt-LT"/>
              </w:rPr>
              <w:t>s</w:t>
            </w:r>
            <w:r w:rsidR="00BE1431" w:rsidRPr="0046395A">
              <w:rPr>
                <w:lang w:val="lt-LT"/>
              </w:rPr>
              <w:t xml:space="preserve"> (f</w:t>
            </w:r>
            <w:r w:rsidR="00576C93" w:rsidRPr="0046395A">
              <w:rPr>
                <w:lang w:val="lt-LT"/>
              </w:rPr>
              <w:t>/</w:t>
            </w:r>
            <w:r w:rsidR="00BE1431" w:rsidRPr="0046395A">
              <w:rPr>
                <w:lang w:val="lt-LT"/>
              </w:rPr>
              <w:t>a sudarymo procesas)</w:t>
            </w:r>
          </w:p>
        </w:tc>
        <w:tc>
          <w:tcPr>
            <w:tcW w:w="709" w:type="dxa"/>
          </w:tcPr>
          <w:p w:rsidR="00141789" w:rsidRPr="00AA2B0D" w:rsidRDefault="00A8307E" w:rsidP="00A8307E">
            <w:pPr>
              <w:rPr>
                <w:b/>
                <w:lang w:val="lt-LT"/>
              </w:rPr>
            </w:pPr>
            <w:r w:rsidRPr="00AA2B0D">
              <w:rPr>
                <w:b/>
                <w:lang w:val="lt-LT"/>
              </w:rPr>
              <w:t>V</w:t>
            </w:r>
          </w:p>
        </w:tc>
      </w:tr>
      <w:tr w:rsidR="0046395A" w:rsidRPr="0046395A" w:rsidTr="00A8307E">
        <w:trPr>
          <w:trHeight w:val="225"/>
        </w:trPr>
        <w:tc>
          <w:tcPr>
            <w:tcW w:w="709" w:type="dxa"/>
            <w:shd w:val="clear" w:color="auto" w:fill="auto"/>
            <w:hideMark/>
          </w:tcPr>
          <w:p w:rsidR="00C14E00" w:rsidRPr="0046395A" w:rsidRDefault="00C14E00" w:rsidP="008E0769">
            <w:pPr>
              <w:jc w:val="center"/>
              <w:rPr>
                <w:b/>
                <w:bCs/>
                <w:lang w:val="lt-LT"/>
              </w:rPr>
            </w:pPr>
            <w:r w:rsidRPr="0046395A">
              <w:rPr>
                <w:b/>
                <w:bCs/>
                <w:lang w:val="lt-LT"/>
              </w:rPr>
              <w:t>B.</w:t>
            </w:r>
          </w:p>
        </w:tc>
        <w:tc>
          <w:tcPr>
            <w:tcW w:w="2977" w:type="dxa"/>
            <w:shd w:val="clear" w:color="auto" w:fill="auto"/>
            <w:hideMark/>
          </w:tcPr>
          <w:p w:rsidR="00C14E00" w:rsidRPr="0046395A" w:rsidRDefault="00C14E00" w:rsidP="00133123">
            <w:pPr>
              <w:rPr>
                <w:b/>
                <w:bCs/>
                <w:lang w:val="lt-LT"/>
              </w:rPr>
            </w:pPr>
            <w:r w:rsidRPr="0046395A">
              <w:rPr>
                <w:b/>
                <w:bCs/>
                <w:lang w:val="lt-LT"/>
              </w:rPr>
              <w:t>TRUMPALAIKIS TURTAS</w:t>
            </w:r>
          </w:p>
        </w:tc>
        <w:tc>
          <w:tcPr>
            <w:tcW w:w="992" w:type="dxa"/>
            <w:shd w:val="clear" w:color="auto" w:fill="auto"/>
            <w:noWrap/>
            <w:hideMark/>
          </w:tcPr>
          <w:p w:rsidR="00C14E00" w:rsidRPr="0046395A" w:rsidRDefault="00C14E00" w:rsidP="0046395A">
            <w:pPr>
              <w:jc w:val="center"/>
              <w:rPr>
                <w:b/>
                <w:bCs/>
                <w:lang w:val="lt-LT"/>
              </w:rPr>
            </w:pPr>
            <w:r w:rsidRPr="0046395A">
              <w:rPr>
                <w:b/>
                <w:bCs/>
                <w:lang w:val="lt-LT"/>
              </w:rPr>
              <w:t>59</w:t>
            </w:r>
            <w:r w:rsidR="00884A1E">
              <w:rPr>
                <w:b/>
                <w:bCs/>
                <w:lang w:val="lt-LT"/>
              </w:rPr>
              <w:t xml:space="preserve"> </w:t>
            </w:r>
            <w:r w:rsidRPr="0046395A">
              <w:rPr>
                <w:b/>
                <w:bCs/>
                <w:lang w:val="lt-LT"/>
              </w:rPr>
              <w:t>287</w:t>
            </w:r>
          </w:p>
        </w:tc>
        <w:tc>
          <w:tcPr>
            <w:tcW w:w="992" w:type="dxa"/>
            <w:shd w:val="clear" w:color="auto" w:fill="auto"/>
            <w:noWrap/>
            <w:hideMark/>
          </w:tcPr>
          <w:p w:rsidR="00C14E00" w:rsidRPr="0046395A" w:rsidRDefault="00C14E00" w:rsidP="0046395A">
            <w:pPr>
              <w:jc w:val="center"/>
              <w:rPr>
                <w:b/>
                <w:bCs/>
                <w:lang w:val="lt-LT"/>
              </w:rPr>
            </w:pPr>
            <w:r w:rsidRPr="0046395A">
              <w:rPr>
                <w:b/>
                <w:bCs/>
                <w:lang w:val="lt-LT"/>
              </w:rPr>
              <w:t>46</w:t>
            </w:r>
            <w:r w:rsidR="00884A1E">
              <w:rPr>
                <w:b/>
                <w:bCs/>
                <w:lang w:val="lt-LT"/>
              </w:rPr>
              <w:t xml:space="preserve"> </w:t>
            </w:r>
            <w:r w:rsidRPr="0046395A">
              <w:rPr>
                <w:b/>
                <w:bCs/>
                <w:lang w:val="lt-LT"/>
              </w:rPr>
              <w:t>765</w:t>
            </w:r>
          </w:p>
        </w:tc>
        <w:tc>
          <w:tcPr>
            <w:tcW w:w="1985" w:type="dxa"/>
            <w:shd w:val="clear" w:color="auto" w:fill="BFBFBF" w:themeFill="background1" w:themeFillShade="BF"/>
            <w:noWrap/>
            <w:hideMark/>
          </w:tcPr>
          <w:p w:rsidR="00C14E00" w:rsidRPr="0046395A" w:rsidRDefault="00C14E00" w:rsidP="00133123">
            <w:pPr>
              <w:rPr>
                <w:lang w:val="lt-LT"/>
              </w:rPr>
            </w:pPr>
            <w:r w:rsidRPr="0046395A">
              <w:rPr>
                <w:lang w:val="lt-LT"/>
              </w:rPr>
              <w:t> </w:t>
            </w:r>
          </w:p>
        </w:tc>
        <w:tc>
          <w:tcPr>
            <w:tcW w:w="709" w:type="dxa"/>
            <w:shd w:val="clear" w:color="auto" w:fill="BFBFBF" w:themeFill="background1" w:themeFillShade="BF"/>
          </w:tcPr>
          <w:p w:rsidR="00C14E00" w:rsidRPr="0046395A" w:rsidRDefault="00C14E00" w:rsidP="00133123">
            <w:pPr>
              <w:rPr>
                <w:lang w:val="lt-LT"/>
              </w:rPr>
            </w:pPr>
          </w:p>
        </w:tc>
      </w:tr>
      <w:tr w:rsidR="00C14E00" w:rsidRPr="0046395A" w:rsidTr="00A8307E">
        <w:trPr>
          <w:trHeight w:val="450"/>
        </w:trPr>
        <w:tc>
          <w:tcPr>
            <w:tcW w:w="709" w:type="dxa"/>
            <w:shd w:val="clear" w:color="auto" w:fill="auto"/>
            <w:hideMark/>
          </w:tcPr>
          <w:p w:rsidR="00C14E00" w:rsidRPr="0046395A" w:rsidRDefault="00C14E00" w:rsidP="008E0769">
            <w:pPr>
              <w:jc w:val="center"/>
              <w:rPr>
                <w:b/>
                <w:bCs/>
                <w:lang w:val="lt-LT"/>
              </w:rPr>
            </w:pPr>
            <w:r w:rsidRPr="0046395A">
              <w:rPr>
                <w:b/>
                <w:bCs/>
                <w:lang w:val="lt-LT"/>
              </w:rPr>
              <w:t>I.</w:t>
            </w:r>
          </w:p>
        </w:tc>
        <w:tc>
          <w:tcPr>
            <w:tcW w:w="2977" w:type="dxa"/>
            <w:shd w:val="clear" w:color="auto" w:fill="auto"/>
            <w:vAlign w:val="bottom"/>
            <w:hideMark/>
          </w:tcPr>
          <w:p w:rsidR="00C14E00" w:rsidRPr="0046395A" w:rsidRDefault="00C14E00" w:rsidP="008E0769">
            <w:pPr>
              <w:rPr>
                <w:b/>
                <w:bCs/>
                <w:lang w:val="lt-LT"/>
              </w:rPr>
            </w:pPr>
            <w:r w:rsidRPr="0046395A">
              <w:rPr>
                <w:b/>
                <w:bCs/>
                <w:lang w:val="lt-LT"/>
              </w:rPr>
              <w:t>ATSARGOS, IŠANKSTINIAI APMOKĖJIMAI IR NEBAIGTOS VYKDYTI SUTARTYS</w:t>
            </w:r>
          </w:p>
        </w:tc>
        <w:tc>
          <w:tcPr>
            <w:tcW w:w="992" w:type="dxa"/>
            <w:shd w:val="clear" w:color="auto" w:fill="auto"/>
            <w:noWrap/>
            <w:vAlign w:val="bottom"/>
            <w:hideMark/>
          </w:tcPr>
          <w:p w:rsidR="00C14E00" w:rsidRPr="0046395A" w:rsidRDefault="00884A1E" w:rsidP="0046395A">
            <w:pPr>
              <w:jc w:val="center"/>
              <w:rPr>
                <w:b/>
                <w:bCs/>
                <w:lang w:val="lt-LT"/>
              </w:rPr>
            </w:pPr>
            <w:r>
              <w:rPr>
                <w:b/>
                <w:bCs/>
                <w:lang w:val="lt-LT"/>
              </w:rPr>
              <w:t xml:space="preserve">12 </w:t>
            </w:r>
            <w:r w:rsidR="00C14E00" w:rsidRPr="0046395A">
              <w:rPr>
                <w:b/>
                <w:bCs/>
                <w:lang w:val="lt-LT"/>
              </w:rPr>
              <w:t>488</w:t>
            </w:r>
          </w:p>
        </w:tc>
        <w:tc>
          <w:tcPr>
            <w:tcW w:w="992" w:type="dxa"/>
            <w:shd w:val="clear" w:color="auto" w:fill="auto"/>
            <w:noWrap/>
            <w:vAlign w:val="bottom"/>
            <w:hideMark/>
          </w:tcPr>
          <w:p w:rsidR="00C14E00" w:rsidRPr="0046395A" w:rsidRDefault="00C14E00" w:rsidP="00884A1E">
            <w:pPr>
              <w:jc w:val="center"/>
              <w:rPr>
                <w:b/>
                <w:bCs/>
                <w:lang w:val="lt-LT"/>
              </w:rPr>
            </w:pPr>
            <w:r w:rsidRPr="0046395A">
              <w:rPr>
                <w:b/>
                <w:bCs/>
                <w:lang w:val="lt-LT"/>
              </w:rPr>
              <w:t>12</w:t>
            </w:r>
            <w:r w:rsidR="00884A1E">
              <w:rPr>
                <w:b/>
                <w:bCs/>
                <w:lang w:val="lt-LT"/>
              </w:rPr>
              <w:t xml:space="preserve"> </w:t>
            </w:r>
            <w:r w:rsidRPr="0046395A">
              <w:rPr>
                <w:b/>
                <w:bCs/>
                <w:lang w:val="lt-LT"/>
              </w:rPr>
              <w:t>773</w:t>
            </w:r>
          </w:p>
        </w:tc>
        <w:tc>
          <w:tcPr>
            <w:tcW w:w="1985" w:type="dxa"/>
            <w:shd w:val="clear" w:color="auto" w:fill="BFBFBF" w:themeFill="background1" w:themeFillShade="BF"/>
            <w:noWrap/>
            <w:vAlign w:val="bottom"/>
            <w:hideMark/>
          </w:tcPr>
          <w:p w:rsidR="00C14E00" w:rsidRPr="0046395A" w:rsidRDefault="00C14E00" w:rsidP="00135E08">
            <w:pPr>
              <w:rPr>
                <w:lang w:val="lt-LT"/>
              </w:rPr>
            </w:pPr>
          </w:p>
        </w:tc>
        <w:tc>
          <w:tcPr>
            <w:tcW w:w="709" w:type="dxa"/>
            <w:shd w:val="clear" w:color="auto" w:fill="BFBFBF" w:themeFill="background1" w:themeFillShade="BF"/>
            <w:vAlign w:val="bottom"/>
          </w:tcPr>
          <w:p w:rsidR="00C14E00" w:rsidRPr="0046395A" w:rsidRDefault="00C14E00" w:rsidP="00135E08">
            <w:pPr>
              <w:rPr>
                <w:lang w:val="lt-LT"/>
              </w:rPr>
            </w:pPr>
          </w:p>
        </w:tc>
      </w:tr>
      <w:tr w:rsidR="0046395A" w:rsidRPr="0046395A" w:rsidTr="00A8307E">
        <w:trPr>
          <w:trHeight w:val="225"/>
        </w:trPr>
        <w:tc>
          <w:tcPr>
            <w:tcW w:w="709" w:type="dxa"/>
            <w:shd w:val="clear" w:color="auto" w:fill="auto"/>
            <w:hideMark/>
          </w:tcPr>
          <w:p w:rsidR="00C14E00" w:rsidRPr="0046395A" w:rsidRDefault="00C14E00" w:rsidP="008E0769">
            <w:pPr>
              <w:jc w:val="center"/>
              <w:rPr>
                <w:lang w:val="lt-LT"/>
              </w:rPr>
            </w:pPr>
            <w:r w:rsidRPr="0046395A">
              <w:rPr>
                <w:lang w:val="lt-LT"/>
              </w:rPr>
              <w:t>I.1.</w:t>
            </w:r>
          </w:p>
        </w:tc>
        <w:tc>
          <w:tcPr>
            <w:tcW w:w="2977" w:type="dxa"/>
            <w:shd w:val="clear" w:color="auto" w:fill="auto"/>
            <w:hideMark/>
          </w:tcPr>
          <w:p w:rsidR="00C14E00" w:rsidRPr="0046395A" w:rsidRDefault="00C14E00" w:rsidP="00133123">
            <w:pPr>
              <w:rPr>
                <w:lang w:val="lt-LT"/>
              </w:rPr>
            </w:pPr>
            <w:r w:rsidRPr="0046395A">
              <w:rPr>
                <w:lang w:val="lt-LT"/>
              </w:rPr>
              <w:t>Atsargos</w:t>
            </w:r>
          </w:p>
        </w:tc>
        <w:tc>
          <w:tcPr>
            <w:tcW w:w="992" w:type="dxa"/>
            <w:shd w:val="clear" w:color="auto" w:fill="auto"/>
            <w:noWrap/>
            <w:hideMark/>
          </w:tcPr>
          <w:p w:rsidR="00C14E00" w:rsidRPr="0046395A" w:rsidRDefault="00884A1E" w:rsidP="0046395A">
            <w:pPr>
              <w:jc w:val="center"/>
              <w:rPr>
                <w:lang w:val="lt-LT"/>
              </w:rPr>
            </w:pPr>
            <w:r>
              <w:rPr>
                <w:lang w:val="lt-LT"/>
              </w:rPr>
              <w:t xml:space="preserve">12 </w:t>
            </w:r>
            <w:r w:rsidR="00C14E00" w:rsidRPr="0046395A">
              <w:rPr>
                <w:lang w:val="lt-LT"/>
              </w:rPr>
              <w:t>488</w:t>
            </w:r>
          </w:p>
        </w:tc>
        <w:tc>
          <w:tcPr>
            <w:tcW w:w="992" w:type="dxa"/>
            <w:shd w:val="clear" w:color="auto" w:fill="auto"/>
            <w:noWrap/>
            <w:hideMark/>
          </w:tcPr>
          <w:p w:rsidR="00C14E00" w:rsidRPr="0046395A" w:rsidRDefault="00C14E00" w:rsidP="00884A1E">
            <w:pPr>
              <w:jc w:val="center"/>
              <w:rPr>
                <w:lang w:val="lt-LT"/>
              </w:rPr>
            </w:pPr>
            <w:r w:rsidRPr="0046395A">
              <w:rPr>
                <w:lang w:val="lt-LT"/>
              </w:rPr>
              <w:t>12</w:t>
            </w:r>
            <w:r w:rsidR="00884A1E">
              <w:rPr>
                <w:lang w:val="lt-LT"/>
              </w:rPr>
              <w:t xml:space="preserve"> </w:t>
            </w:r>
            <w:r w:rsidRPr="0046395A">
              <w:rPr>
                <w:lang w:val="lt-LT"/>
              </w:rPr>
              <w:t>210</w:t>
            </w:r>
          </w:p>
        </w:tc>
        <w:tc>
          <w:tcPr>
            <w:tcW w:w="1985" w:type="dxa"/>
            <w:shd w:val="clear" w:color="auto" w:fill="BFBFBF" w:themeFill="background1" w:themeFillShade="BF"/>
            <w:noWrap/>
            <w:hideMark/>
          </w:tcPr>
          <w:p w:rsidR="00C14E00" w:rsidRPr="0046395A" w:rsidRDefault="00C14E00" w:rsidP="00133123">
            <w:pPr>
              <w:rPr>
                <w:lang w:val="lt-LT"/>
              </w:rPr>
            </w:pPr>
          </w:p>
        </w:tc>
        <w:tc>
          <w:tcPr>
            <w:tcW w:w="709" w:type="dxa"/>
            <w:shd w:val="clear" w:color="auto" w:fill="BFBFBF" w:themeFill="background1" w:themeFillShade="BF"/>
          </w:tcPr>
          <w:p w:rsidR="00C14E00" w:rsidRPr="0046395A" w:rsidRDefault="00C14E00" w:rsidP="00133123">
            <w:pPr>
              <w:rPr>
                <w:lang w:val="lt-LT"/>
              </w:rPr>
            </w:pPr>
          </w:p>
        </w:tc>
      </w:tr>
      <w:tr w:rsidR="0046395A" w:rsidRPr="0046395A" w:rsidTr="00A8307E">
        <w:trPr>
          <w:trHeight w:val="225"/>
        </w:trPr>
        <w:tc>
          <w:tcPr>
            <w:tcW w:w="709" w:type="dxa"/>
            <w:shd w:val="clear" w:color="auto" w:fill="auto"/>
            <w:hideMark/>
          </w:tcPr>
          <w:p w:rsidR="00C14E00" w:rsidRPr="0046395A" w:rsidRDefault="00C14E00" w:rsidP="008E0769">
            <w:pPr>
              <w:jc w:val="center"/>
              <w:rPr>
                <w:lang w:val="lt-LT"/>
              </w:rPr>
            </w:pPr>
            <w:r w:rsidRPr="0046395A">
              <w:rPr>
                <w:lang w:val="lt-LT"/>
              </w:rPr>
              <w:t>I.1.1.</w:t>
            </w:r>
          </w:p>
        </w:tc>
        <w:tc>
          <w:tcPr>
            <w:tcW w:w="2977" w:type="dxa"/>
            <w:shd w:val="clear" w:color="auto" w:fill="auto"/>
            <w:hideMark/>
          </w:tcPr>
          <w:p w:rsidR="00C14E00" w:rsidRPr="0046395A" w:rsidRDefault="00C14E00" w:rsidP="00133123">
            <w:pPr>
              <w:rPr>
                <w:lang w:val="lt-LT"/>
              </w:rPr>
            </w:pPr>
            <w:r w:rsidRPr="0046395A">
              <w:rPr>
                <w:lang w:val="lt-LT"/>
              </w:rPr>
              <w:t>Žaliavos ir komplektavimo gaminiai</w:t>
            </w:r>
          </w:p>
        </w:tc>
        <w:tc>
          <w:tcPr>
            <w:tcW w:w="992" w:type="dxa"/>
            <w:shd w:val="clear" w:color="auto" w:fill="auto"/>
            <w:noWrap/>
            <w:hideMark/>
          </w:tcPr>
          <w:p w:rsidR="00C14E00" w:rsidRPr="0046395A" w:rsidRDefault="00884A1E" w:rsidP="0046395A">
            <w:pPr>
              <w:jc w:val="center"/>
              <w:rPr>
                <w:lang w:val="lt-LT"/>
              </w:rPr>
            </w:pPr>
            <w:r>
              <w:rPr>
                <w:lang w:val="lt-LT"/>
              </w:rPr>
              <w:t xml:space="preserve">12 </w:t>
            </w:r>
            <w:r w:rsidR="00C14E00" w:rsidRPr="0046395A">
              <w:rPr>
                <w:lang w:val="lt-LT"/>
              </w:rPr>
              <w:t>119</w:t>
            </w:r>
          </w:p>
        </w:tc>
        <w:tc>
          <w:tcPr>
            <w:tcW w:w="992" w:type="dxa"/>
            <w:shd w:val="clear" w:color="auto" w:fill="auto"/>
            <w:noWrap/>
            <w:hideMark/>
          </w:tcPr>
          <w:p w:rsidR="00C14E00" w:rsidRPr="0046395A" w:rsidRDefault="00884A1E" w:rsidP="0046395A">
            <w:pPr>
              <w:jc w:val="center"/>
              <w:rPr>
                <w:lang w:val="lt-LT"/>
              </w:rPr>
            </w:pPr>
            <w:r>
              <w:rPr>
                <w:lang w:val="lt-LT"/>
              </w:rPr>
              <w:t xml:space="preserve">12 </w:t>
            </w:r>
            <w:r w:rsidR="00C14E00" w:rsidRPr="0046395A">
              <w:rPr>
                <w:lang w:val="lt-LT"/>
              </w:rPr>
              <w:t>203</w:t>
            </w:r>
          </w:p>
        </w:tc>
        <w:tc>
          <w:tcPr>
            <w:tcW w:w="1985" w:type="dxa"/>
            <w:shd w:val="clear" w:color="auto" w:fill="auto"/>
            <w:noWrap/>
            <w:hideMark/>
          </w:tcPr>
          <w:p w:rsidR="00C14E00" w:rsidRPr="0046395A" w:rsidRDefault="00C14E00" w:rsidP="00133123">
            <w:pPr>
              <w:rPr>
                <w:lang w:val="lt-LT"/>
              </w:rPr>
            </w:pPr>
            <w:r w:rsidRPr="0046395A">
              <w:rPr>
                <w:lang w:val="lt-LT"/>
              </w:rPr>
              <w:t xml:space="preserve">Svarbus </w:t>
            </w:r>
            <w:r w:rsidR="001B1A33" w:rsidRPr="0046395A">
              <w:rPr>
                <w:lang w:val="lt-LT"/>
              </w:rPr>
              <w:t>(</w:t>
            </w:r>
            <w:r w:rsidR="0023439D" w:rsidRPr="0046395A">
              <w:rPr>
                <w:lang w:val="lt-LT"/>
              </w:rPr>
              <w:t>pirkimų</w:t>
            </w:r>
            <w:r w:rsidR="001B1A33" w:rsidRPr="0046395A">
              <w:rPr>
                <w:lang w:val="lt-LT"/>
              </w:rPr>
              <w:t xml:space="preserve"> procesas)</w:t>
            </w:r>
          </w:p>
        </w:tc>
        <w:tc>
          <w:tcPr>
            <w:tcW w:w="709" w:type="dxa"/>
          </w:tcPr>
          <w:p w:rsidR="00C14E00" w:rsidRPr="00AA2B0D" w:rsidRDefault="00C14E00" w:rsidP="00A8307E">
            <w:pPr>
              <w:rPr>
                <w:b/>
                <w:lang w:val="lt-LT"/>
              </w:rPr>
            </w:pPr>
            <w:r w:rsidRPr="00AA2B0D">
              <w:rPr>
                <w:b/>
                <w:lang w:val="lt-LT"/>
              </w:rPr>
              <w:t>B</w:t>
            </w:r>
            <w:r w:rsidR="00A8307E" w:rsidRPr="00AA2B0D">
              <w:rPr>
                <w:b/>
                <w:lang w:val="lt-LT"/>
              </w:rPr>
              <w:t>, V</w:t>
            </w:r>
          </w:p>
        </w:tc>
      </w:tr>
      <w:tr w:rsidR="0046395A" w:rsidRPr="0046395A" w:rsidTr="00A8307E">
        <w:trPr>
          <w:trHeight w:val="225"/>
        </w:trPr>
        <w:tc>
          <w:tcPr>
            <w:tcW w:w="709" w:type="dxa"/>
            <w:shd w:val="clear" w:color="auto" w:fill="auto"/>
            <w:hideMark/>
          </w:tcPr>
          <w:p w:rsidR="00C14E00" w:rsidRPr="0046395A" w:rsidRDefault="00C14E00" w:rsidP="008E0769">
            <w:pPr>
              <w:jc w:val="center"/>
              <w:rPr>
                <w:lang w:val="lt-LT"/>
              </w:rPr>
            </w:pPr>
            <w:r w:rsidRPr="0046395A">
              <w:rPr>
                <w:lang w:val="lt-LT"/>
              </w:rPr>
              <w:t>I.1.2.</w:t>
            </w:r>
          </w:p>
        </w:tc>
        <w:tc>
          <w:tcPr>
            <w:tcW w:w="2977" w:type="dxa"/>
            <w:shd w:val="clear" w:color="auto" w:fill="auto"/>
            <w:hideMark/>
          </w:tcPr>
          <w:p w:rsidR="00C14E00" w:rsidRPr="0046395A" w:rsidRDefault="00C14E00" w:rsidP="00133123">
            <w:pPr>
              <w:rPr>
                <w:lang w:val="lt-LT"/>
              </w:rPr>
            </w:pPr>
            <w:r w:rsidRPr="0046395A">
              <w:rPr>
                <w:lang w:val="lt-LT"/>
              </w:rPr>
              <w:t>Pagaminta produkcija</w:t>
            </w:r>
          </w:p>
        </w:tc>
        <w:tc>
          <w:tcPr>
            <w:tcW w:w="992" w:type="dxa"/>
            <w:shd w:val="clear" w:color="auto" w:fill="auto"/>
            <w:noWrap/>
            <w:hideMark/>
          </w:tcPr>
          <w:p w:rsidR="00C14E00" w:rsidRPr="0046395A" w:rsidRDefault="00C14E00" w:rsidP="0046395A">
            <w:pPr>
              <w:jc w:val="center"/>
              <w:rPr>
                <w:lang w:val="lt-LT"/>
              </w:rPr>
            </w:pPr>
            <w:r w:rsidRPr="0046395A">
              <w:rPr>
                <w:lang w:val="lt-LT"/>
              </w:rPr>
              <w:t>5</w:t>
            </w:r>
          </w:p>
        </w:tc>
        <w:tc>
          <w:tcPr>
            <w:tcW w:w="992" w:type="dxa"/>
            <w:shd w:val="clear" w:color="auto" w:fill="auto"/>
            <w:noWrap/>
            <w:hideMark/>
          </w:tcPr>
          <w:p w:rsidR="00C14E00" w:rsidRPr="0046395A" w:rsidRDefault="00C14E00" w:rsidP="0046395A">
            <w:pPr>
              <w:jc w:val="center"/>
              <w:rPr>
                <w:lang w:val="lt-LT"/>
              </w:rPr>
            </w:pPr>
            <w:r w:rsidRPr="0046395A">
              <w:rPr>
                <w:lang w:val="lt-LT"/>
              </w:rPr>
              <w:t>7</w:t>
            </w:r>
          </w:p>
        </w:tc>
        <w:tc>
          <w:tcPr>
            <w:tcW w:w="1985" w:type="dxa"/>
            <w:shd w:val="clear" w:color="auto" w:fill="auto"/>
            <w:noWrap/>
            <w:hideMark/>
          </w:tcPr>
          <w:p w:rsidR="00C14E00" w:rsidRPr="0046395A" w:rsidRDefault="00C14E00" w:rsidP="00133123">
            <w:pPr>
              <w:rPr>
                <w:lang w:val="lt-LT"/>
              </w:rPr>
            </w:pPr>
            <w:r w:rsidRPr="0046395A">
              <w:rPr>
                <w:lang w:val="lt-LT"/>
              </w:rPr>
              <w:t>Nesvarbus</w:t>
            </w:r>
          </w:p>
        </w:tc>
        <w:tc>
          <w:tcPr>
            <w:tcW w:w="709" w:type="dxa"/>
          </w:tcPr>
          <w:p w:rsidR="00C14E00" w:rsidRPr="0046395A" w:rsidRDefault="00072ED0" w:rsidP="00133123">
            <w:pPr>
              <w:rPr>
                <w:lang w:val="lt-LT"/>
              </w:rPr>
            </w:pPr>
            <w:r w:rsidRPr="0046395A">
              <w:rPr>
                <w:lang w:val="lt-LT"/>
              </w:rPr>
              <w:t>X</w:t>
            </w:r>
          </w:p>
        </w:tc>
      </w:tr>
      <w:tr w:rsidR="0046395A" w:rsidRPr="0046395A" w:rsidTr="00A8307E">
        <w:trPr>
          <w:trHeight w:val="225"/>
        </w:trPr>
        <w:tc>
          <w:tcPr>
            <w:tcW w:w="709" w:type="dxa"/>
            <w:shd w:val="clear" w:color="auto" w:fill="auto"/>
            <w:hideMark/>
          </w:tcPr>
          <w:p w:rsidR="00C14E00" w:rsidRPr="0046395A" w:rsidRDefault="00C14E00" w:rsidP="008E0769">
            <w:pPr>
              <w:jc w:val="center"/>
              <w:rPr>
                <w:lang w:val="lt-LT"/>
              </w:rPr>
            </w:pPr>
            <w:r w:rsidRPr="0046395A">
              <w:rPr>
                <w:lang w:val="lt-LT"/>
              </w:rPr>
              <w:t>I.2.</w:t>
            </w:r>
          </w:p>
        </w:tc>
        <w:tc>
          <w:tcPr>
            <w:tcW w:w="2977" w:type="dxa"/>
            <w:shd w:val="clear" w:color="auto" w:fill="auto"/>
            <w:hideMark/>
          </w:tcPr>
          <w:p w:rsidR="00C14E00" w:rsidRPr="0046395A" w:rsidRDefault="00C14E00" w:rsidP="00133123">
            <w:pPr>
              <w:rPr>
                <w:lang w:val="lt-LT"/>
              </w:rPr>
            </w:pPr>
            <w:r w:rsidRPr="0046395A">
              <w:rPr>
                <w:lang w:val="lt-LT"/>
              </w:rPr>
              <w:t>Išankstiniai apmokėjimai</w:t>
            </w:r>
          </w:p>
        </w:tc>
        <w:tc>
          <w:tcPr>
            <w:tcW w:w="992" w:type="dxa"/>
            <w:shd w:val="clear" w:color="auto" w:fill="auto"/>
            <w:noWrap/>
            <w:hideMark/>
          </w:tcPr>
          <w:p w:rsidR="00C14E00" w:rsidRPr="0046395A" w:rsidRDefault="00C14E00" w:rsidP="0046395A">
            <w:pPr>
              <w:jc w:val="center"/>
              <w:rPr>
                <w:lang w:val="lt-LT"/>
              </w:rPr>
            </w:pPr>
            <w:r w:rsidRPr="0046395A">
              <w:rPr>
                <w:lang w:val="lt-LT"/>
              </w:rPr>
              <w:t>364</w:t>
            </w:r>
          </w:p>
        </w:tc>
        <w:tc>
          <w:tcPr>
            <w:tcW w:w="992" w:type="dxa"/>
            <w:shd w:val="clear" w:color="auto" w:fill="auto"/>
            <w:noWrap/>
            <w:hideMark/>
          </w:tcPr>
          <w:p w:rsidR="00C14E00" w:rsidRPr="0046395A" w:rsidRDefault="00C14E00" w:rsidP="0046395A">
            <w:pPr>
              <w:jc w:val="center"/>
              <w:rPr>
                <w:lang w:val="lt-LT"/>
              </w:rPr>
            </w:pPr>
            <w:r w:rsidRPr="0046395A">
              <w:rPr>
                <w:lang w:val="lt-LT"/>
              </w:rPr>
              <w:t>563</w:t>
            </w:r>
          </w:p>
        </w:tc>
        <w:tc>
          <w:tcPr>
            <w:tcW w:w="1985" w:type="dxa"/>
            <w:shd w:val="clear" w:color="auto" w:fill="auto"/>
            <w:noWrap/>
            <w:hideMark/>
          </w:tcPr>
          <w:p w:rsidR="00C14E00" w:rsidRPr="0046395A" w:rsidRDefault="00C14E00" w:rsidP="00133123">
            <w:pPr>
              <w:rPr>
                <w:lang w:val="lt-LT"/>
              </w:rPr>
            </w:pPr>
            <w:r w:rsidRPr="0046395A">
              <w:rPr>
                <w:lang w:val="lt-LT"/>
              </w:rPr>
              <w:t xml:space="preserve">Nesvarbus, nedaug ir nesudėtingos ūk. </w:t>
            </w:r>
            <w:r w:rsidR="000077A6" w:rsidRPr="0046395A">
              <w:rPr>
                <w:lang w:val="lt-LT"/>
              </w:rPr>
              <w:t>o</w:t>
            </w:r>
            <w:r w:rsidRPr="0046395A">
              <w:rPr>
                <w:lang w:val="lt-LT"/>
              </w:rPr>
              <w:t>p</w:t>
            </w:r>
            <w:r w:rsidR="00646F71" w:rsidRPr="0046395A">
              <w:rPr>
                <w:lang w:val="lt-LT"/>
              </w:rPr>
              <w:t>.</w:t>
            </w:r>
          </w:p>
        </w:tc>
        <w:tc>
          <w:tcPr>
            <w:tcW w:w="709" w:type="dxa"/>
          </w:tcPr>
          <w:p w:rsidR="00C14E00" w:rsidRPr="0046395A" w:rsidRDefault="00072ED0" w:rsidP="00133123">
            <w:pPr>
              <w:rPr>
                <w:lang w:val="lt-LT"/>
              </w:rPr>
            </w:pPr>
            <w:r w:rsidRPr="0046395A">
              <w:rPr>
                <w:lang w:val="lt-LT"/>
              </w:rPr>
              <w:t>X</w:t>
            </w:r>
          </w:p>
        </w:tc>
      </w:tr>
      <w:tr w:rsidR="0046395A" w:rsidRPr="0046395A" w:rsidTr="00A8307E">
        <w:trPr>
          <w:trHeight w:val="225"/>
        </w:trPr>
        <w:tc>
          <w:tcPr>
            <w:tcW w:w="709" w:type="dxa"/>
            <w:shd w:val="clear" w:color="auto" w:fill="auto"/>
            <w:hideMark/>
          </w:tcPr>
          <w:p w:rsidR="00C14E00" w:rsidRPr="0046395A" w:rsidRDefault="00C14E00" w:rsidP="008E0769">
            <w:pPr>
              <w:jc w:val="center"/>
              <w:rPr>
                <w:b/>
                <w:bCs/>
                <w:lang w:val="lt-LT"/>
              </w:rPr>
            </w:pPr>
            <w:r w:rsidRPr="0046395A">
              <w:rPr>
                <w:b/>
                <w:bCs/>
                <w:lang w:val="lt-LT"/>
              </w:rPr>
              <w:t>II.</w:t>
            </w:r>
          </w:p>
        </w:tc>
        <w:tc>
          <w:tcPr>
            <w:tcW w:w="2977" w:type="dxa"/>
            <w:shd w:val="clear" w:color="auto" w:fill="auto"/>
            <w:hideMark/>
          </w:tcPr>
          <w:p w:rsidR="00C14E00" w:rsidRPr="0046395A" w:rsidRDefault="00C14E00" w:rsidP="00133123">
            <w:pPr>
              <w:rPr>
                <w:b/>
                <w:bCs/>
                <w:lang w:val="lt-LT"/>
              </w:rPr>
            </w:pPr>
            <w:r w:rsidRPr="0046395A">
              <w:rPr>
                <w:b/>
                <w:bCs/>
                <w:lang w:val="lt-LT"/>
              </w:rPr>
              <w:t>PER VIENERIUS METUS GAUTINOS SUMOS</w:t>
            </w:r>
          </w:p>
        </w:tc>
        <w:tc>
          <w:tcPr>
            <w:tcW w:w="992" w:type="dxa"/>
            <w:shd w:val="clear" w:color="auto" w:fill="auto"/>
            <w:noWrap/>
            <w:hideMark/>
          </w:tcPr>
          <w:p w:rsidR="00C14E00" w:rsidRPr="0046395A" w:rsidRDefault="00C14E00" w:rsidP="0046395A">
            <w:pPr>
              <w:jc w:val="center"/>
              <w:rPr>
                <w:b/>
                <w:bCs/>
                <w:lang w:val="lt-LT"/>
              </w:rPr>
            </w:pPr>
            <w:r w:rsidRPr="0046395A">
              <w:rPr>
                <w:b/>
                <w:bCs/>
                <w:lang w:val="lt-LT"/>
              </w:rPr>
              <w:t>44</w:t>
            </w:r>
            <w:r w:rsidR="00884A1E">
              <w:rPr>
                <w:b/>
                <w:bCs/>
                <w:lang w:val="lt-LT"/>
              </w:rPr>
              <w:t xml:space="preserve"> </w:t>
            </w:r>
            <w:r w:rsidRPr="0046395A">
              <w:rPr>
                <w:b/>
                <w:bCs/>
                <w:lang w:val="lt-LT"/>
              </w:rPr>
              <w:t>008</w:t>
            </w:r>
          </w:p>
        </w:tc>
        <w:tc>
          <w:tcPr>
            <w:tcW w:w="992" w:type="dxa"/>
            <w:shd w:val="clear" w:color="auto" w:fill="auto"/>
            <w:noWrap/>
            <w:hideMark/>
          </w:tcPr>
          <w:p w:rsidR="00C14E00" w:rsidRPr="0046395A" w:rsidRDefault="00C14E00" w:rsidP="0046395A">
            <w:pPr>
              <w:jc w:val="center"/>
              <w:rPr>
                <w:b/>
                <w:bCs/>
                <w:lang w:val="lt-LT"/>
              </w:rPr>
            </w:pPr>
            <w:r w:rsidRPr="0046395A">
              <w:rPr>
                <w:b/>
                <w:bCs/>
                <w:lang w:val="lt-LT"/>
              </w:rPr>
              <w:t>31</w:t>
            </w:r>
            <w:r w:rsidR="00884A1E">
              <w:rPr>
                <w:b/>
                <w:bCs/>
                <w:lang w:val="lt-LT"/>
              </w:rPr>
              <w:t xml:space="preserve"> </w:t>
            </w:r>
            <w:r w:rsidRPr="0046395A">
              <w:rPr>
                <w:b/>
                <w:bCs/>
                <w:lang w:val="lt-LT"/>
              </w:rPr>
              <w:t>321</w:t>
            </w:r>
          </w:p>
        </w:tc>
        <w:tc>
          <w:tcPr>
            <w:tcW w:w="1985" w:type="dxa"/>
            <w:shd w:val="clear" w:color="auto" w:fill="BFBFBF" w:themeFill="background1" w:themeFillShade="BF"/>
            <w:noWrap/>
            <w:hideMark/>
          </w:tcPr>
          <w:p w:rsidR="00C14E00" w:rsidRPr="0046395A" w:rsidRDefault="00C14E00" w:rsidP="00133123">
            <w:pPr>
              <w:rPr>
                <w:lang w:val="lt-LT"/>
              </w:rPr>
            </w:pPr>
          </w:p>
        </w:tc>
        <w:tc>
          <w:tcPr>
            <w:tcW w:w="709" w:type="dxa"/>
            <w:shd w:val="clear" w:color="auto" w:fill="BFBFBF" w:themeFill="background1" w:themeFillShade="BF"/>
          </w:tcPr>
          <w:p w:rsidR="00C14E00" w:rsidRPr="0046395A" w:rsidRDefault="00C14E00" w:rsidP="00133123">
            <w:pPr>
              <w:rPr>
                <w:lang w:val="lt-LT"/>
              </w:rPr>
            </w:pPr>
          </w:p>
        </w:tc>
      </w:tr>
      <w:tr w:rsidR="0046395A" w:rsidRPr="0046395A" w:rsidTr="00A8307E">
        <w:trPr>
          <w:trHeight w:val="225"/>
        </w:trPr>
        <w:tc>
          <w:tcPr>
            <w:tcW w:w="709" w:type="dxa"/>
            <w:shd w:val="clear" w:color="auto" w:fill="auto"/>
            <w:hideMark/>
          </w:tcPr>
          <w:p w:rsidR="00C14E00" w:rsidRPr="0046395A" w:rsidRDefault="00C14E00" w:rsidP="008E0769">
            <w:pPr>
              <w:jc w:val="center"/>
              <w:rPr>
                <w:lang w:val="lt-LT"/>
              </w:rPr>
            </w:pPr>
            <w:r w:rsidRPr="0046395A">
              <w:rPr>
                <w:lang w:val="lt-LT"/>
              </w:rPr>
              <w:t>II.1.</w:t>
            </w:r>
          </w:p>
        </w:tc>
        <w:tc>
          <w:tcPr>
            <w:tcW w:w="2977" w:type="dxa"/>
            <w:shd w:val="clear" w:color="auto" w:fill="auto"/>
            <w:hideMark/>
          </w:tcPr>
          <w:p w:rsidR="00C14E00" w:rsidRPr="0046395A" w:rsidRDefault="00C14E00" w:rsidP="00133123">
            <w:pPr>
              <w:rPr>
                <w:lang w:val="lt-LT"/>
              </w:rPr>
            </w:pPr>
            <w:r w:rsidRPr="0046395A">
              <w:rPr>
                <w:lang w:val="lt-LT"/>
              </w:rPr>
              <w:t>Pirkėjų įsiskolinimas</w:t>
            </w:r>
          </w:p>
        </w:tc>
        <w:tc>
          <w:tcPr>
            <w:tcW w:w="992" w:type="dxa"/>
            <w:shd w:val="clear" w:color="auto" w:fill="auto"/>
            <w:noWrap/>
            <w:hideMark/>
          </w:tcPr>
          <w:p w:rsidR="00C14E00" w:rsidRPr="0046395A" w:rsidRDefault="00C14E00" w:rsidP="0046395A">
            <w:pPr>
              <w:jc w:val="center"/>
              <w:rPr>
                <w:lang w:val="lt-LT"/>
              </w:rPr>
            </w:pPr>
            <w:r w:rsidRPr="0046395A">
              <w:rPr>
                <w:lang w:val="lt-LT"/>
              </w:rPr>
              <w:t>36</w:t>
            </w:r>
            <w:r w:rsidR="00884A1E">
              <w:rPr>
                <w:lang w:val="lt-LT"/>
              </w:rPr>
              <w:t xml:space="preserve"> </w:t>
            </w:r>
            <w:r w:rsidRPr="0046395A">
              <w:rPr>
                <w:lang w:val="lt-LT"/>
              </w:rPr>
              <w:t>504</w:t>
            </w:r>
          </w:p>
        </w:tc>
        <w:tc>
          <w:tcPr>
            <w:tcW w:w="992" w:type="dxa"/>
            <w:shd w:val="clear" w:color="auto" w:fill="auto"/>
            <w:noWrap/>
            <w:hideMark/>
          </w:tcPr>
          <w:p w:rsidR="00C14E00" w:rsidRPr="0046395A" w:rsidRDefault="00C14E00" w:rsidP="0046395A">
            <w:pPr>
              <w:jc w:val="center"/>
              <w:rPr>
                <w:lang w:val="lt-LT"/>
              </w:rPr>
            </w:pPr>
            <w:r w:rsidRPr="0046395A">
              <w:rPr>
                <w:lang w:val="lt-LT"/>
              </w:rPr>
              <w:t>27</w:t>
            </w:r>
            <w:r w:rsidR="00884A1E">
              <w:rPr>
                <w:lang w:val="lt-LT"/>
              </w:rPr>
              <w:t xml:space="preserve"> </w:t>
            </w:r>
            <w:r w:rsidRPr="0046395A">
              <w:rPr>
                <w:lang w:val="lt-LT"/>
              </w:rPr>
              <w:t>819</w:t>
            </w:r>
          </w:p>
        </w:tc>
        <w:tc>
          <w:tcPr>
            <w:tcW w:w="1985" w:type="dxa"/>
            <w:shd w:val="clear" w:color="auto" w:fill="auto"/>
            <w:noWrap/>
            <w:hideMark/>
          </w:tcPr>
          <w:p w:rsidR="00C14E00" w:rsidRPr="0046395A" w:rsidRDefault="00C14E00" w:rsidP="00133123">
            <w:pPr>
              <w:rPr>
                <w:lang w:val="lt-LT"/>
              </w:rPr>
            </w:pPr>
            <w:r w:rsidRPr="0046395A">
              <w:rPr>
                <w:lang w:val="lt-LT"/>
              </w:rPr>
              <w:t xml:space="preserve">Svarbus </w:t>
            </w:r>
            <w:r w:rsidR="001B1A33" w:rsidRPr="0046395A">
              <w:rPr>
                <w:lang w:val="lt-LT"/>
              </w:rPr>
              <w:t>(pardavim</w:t>
            </w:r>
            <w:r w:rsidR="0023439D" w:rsidRPr="0046395A">
              <w:rPr>
                <w:lang w:val="lt-LT"/>
              </w:rPr>
              <w:t>o</w:t>
            </w:r>
            <w:r w:rsidR="001B1A33" w:rsidRPr="0046395A">
              <w:rPr>
                <w:lang w:val="lt-LT"/>
              </w:rPr>
              <w:t xml:space="preserve"> procesas)</w:t>
            </w:r>
          </w:p>
        </w:tc>
        <w:tc>
          <w:tcPr>
            <w:tcW w:w="709" w:type="dxa"/>
          </w:tcPr>
          <w:p w:rsidR="00C14E00" w:rsidRPr="00AA2B0D" w:rsidRDefault="00C14E00" w:rsidP="00A8307E">
            <w:pPr>
              <w:rPr>
                <w:b/>
                <w:lang w:val="lt-LT"/>
              </w:rPr>
            </w:pPr>
            <w:r w:rsidRPr="00AA2B0D">
              <w:rPr>
                <w:b/>
                <w:lang w:val="lt-LT"/>
              </w:rPr>
              <w:t>B</w:t>
            </w:r>
            <w:r w:rsidR="00A8307E" w:rsidRPr="00AA2B0D">
              <w:rPr>
                <w:b/>
                <w:lang w:val="lt-LT"/>
              </w:rPr>
              <w:t>, V</w:t>
            </w:r>
          </w:p>
        </w:tc>
      </w:tr>
      <w:tr w:rsidR="0046395A" w:rsidRPr="0046395A" w:rsidTr="00A8307E">
        <w:trPr>
          <w:trHeight w:val="225"/>
        </w:trPr>
        <w:tc>
          <w:tcPr>
            <w:tcW w:w="709" w:type="dxa"/>
            <w:shd w:val="clear" w:color="auto" w:fill="auto"/>
            <w:hideMark/>
          </w:tcPr>
          <w:p w:rsidR="00C14E00" w:rsidRPr="0046395A" w:rsidRDefault="00C14E00" w:rsidP="008E0769">
            <w:pPr>
              <w:jc w:val="center"/>
              <w:rPr>
                <w:lang w:val="lt-LT"/>
              </w:rPr>
            </w:pPr>
            <w:r w:rsidRPr="0046395A">
              <w:rPr>
                <w:lang w:val="lt-LT"/>
              </w:rPr>
              <w:t>II.2.</w:t>
            </w:r>
          </w:p>
        </w:tc>
        <w:tc>
          <w:tcPr>
            <w:tcW w:w="2977" w:type="dxa"/>
            <w:shd w:val="clear" w:color="auto" w:fill="auto"/>
            <w:hideMark/>
          </w:tcPr>
          <w:p w:rsidR="00C14E00" w:rsidRPr="0046395A" w:rsidRDefault="00C14E00" w:rsidP="00133123">
            <w:pPr>
              <w:rPr>
                <w:lang w:val="lt-LT"/>
              </w:rPr>
            </w:pPr>
            <w:r w:rsidRPr="0046395A">
              <w:rPr>
                <w:lang w:val="lt-LT"/>
              </w:rPr>
              <w:t>Kitos gautinos sumos</w:t>
            </w:r>
          </w:p>
        </w:tc>
        <w:tc>
          <w:tcPr>
            <w:tcW w:w="992" w:type="dxa"/>
            <w:shd w:val="clear" w:color="auto" w:fill="auto"/>
            <w:noWrap/>
            <w:hideMark/>
          </w:tcPr>
          <w:p w:rsidR="00C14E00" w:rsidRPr="0046395A" w:rsidRDefault="00C14E00" w:rsidP="0046395A">
            <w:pPr>
              <w:jc w:val="center"/>
              <w:rPr>
                <w:lang w:val="lt-LT"/>
              </w:rPr>
            </w:pPr>
            <w:r w:rsidRPr="0046395A">
              <w:rPr>
                <w:lang w:val="lt-LT"/>
              </w:rPr>
              <w:t>7</w:t>
            </w:r>
            <w:r w:rsidR="00884A1E">
              <w:rPr>
                <w:lang w:val="lt-LT"/>
              </w:rPr>
              <w:t xml:space="preserve"> </w:t>
            </w:r>
            <w:r w:rsidRPr="0046395A">
              <w:rPr>
                <w:lang w:val="lt-LT"/>
              </w:rPr>
              <w:t>504</w:t>
            </w:r>
          </w:p>
        </w:tc>
        <w:tc>
          <w:tcPr>
            <w:tcW w:w="992" w:type="dxa"/>
            <w:shd w:val="clear" w:color="auto" w:fill="auto"/>
            <w:noWrap/>
            <w:hideMark/>
          </w:tcPr>
          <w:p w:rsidR="00C14E00" w:rsidRPr="0046395A" w:rsidRDefault="00C14E00" w:rsidP="0046395A">
            <w:pPr>
              <w:jc w:val="center"/>
              <w:rPr>
                <w:lang w:val="lt-LT"/>
              </w:rPr>
            </w:pPr>
            <w:r w:rsidRPr="0046395A">
              <w:rPr>
                <w:lang w:val="lt-LT"/>
              </w:rPr>
              <w:t>3</w:t>
            </w:r>
            <w:r w:rsidR="00884A1E">
              <w:rPr>
                <w:lang w:val="lt-LT"/>
              </w:rPr>
              <w:t xml:space="preserve"> </w:t>
            </w:r>
            <w:r w:rsidRPr="0046395A">
              <w:rPr>
                <w:lang w:val="lt-LT"/>
              </w:rPr>
              <w:t>502</w:t>
            </w:r>
          </w:p>
        </w:tc>
        <w:tc>
          <w:tcPr>
            <w:tcW w:w="1985" w:type="dxa"/>
            <w:shd w:val="clear" w:color="auto" w:fill="auto"/>
            <w:noWrap/>
            <w:hideMark/>
          </w:tcPr>
          <w:p w:rsidR="00C14E00" w:rsidRPr="0046395A" w:rsidRDefault="00C14E00" w:rsidP="00133123">
            <w:pPr>
              <w:rPr>
                <w:lang w:val="lt-LT"/>
              </w:rPr>
            </w:pPr>
            <w:r w:rsidRPr="0046395A">
              <w:rPr>
                <w:lang w:val="lt-LT"/>
              </w:rPr>
              <w:t>Nesvarbus, nedaug ir nesudėtingos ūk. op</w:t>
            </w:r>
            <w:r w:rsidR="00646F71" w:rsidRPr="0046395A">
              <w:rPr>
                <w:lang w:val="lt-LT"/>
              </w:rPr>
              <w:t>.</w:t>
            </w:r>
          </w:p>
        </w:tc>
        <w:tc>
          <w:tcPr>
            <w:tcW w:w="709" w:type="dxa"/>
          </w:tcPr>
          <w:p w:rsidR="00C14E00" w:rsidRPr="0046395A" w:rsidRDefault="00072ED0" w:rsidP="00133123">
            <w:pPr>
              <w:rPr>
                <w:lang w:val="lt-LT"/>
              </w:rPr>
            </w:pPr>
            <w:r w:rsidRPr="0046395A">
              <w:rPr>
                <w:lang w:val="lt-LT"/>
              </w:rPr>
              <w:t>X</w:t>
            </w:r>
          </w:p>
        </w:tc>
      </w:tr>
      <w:tr w:rsidR="0046395A" w:rsidRPr="0046395A" w:rsidTr="00A8307E">
        <w:trPr>
          <w:trHeight w:val="225"/>
        </w:trPr>
        <w:tc>
          <w:tcPr>
            <w:tcW w:w="709" w:type="dxa"/>
            <w:shd w:val="clear" w:color="auto" w:fill="auto"/>
            <w:hideMark/>
          </w:tcPr>
          <w:p w:rsidR="00C14E00" w:rsidRPr="0046395A" w:rsidRDefault="00C14E00" w:rsidP="008E0769">
            <w:pPr>
              <w:jc w:val="center"/>
              <w:rPr>
                <w:b/>
                <w:bCs/>
                <w:lang w:val="lt-LT"/>
              </w:rPr>
            </w:pPr>
            <w:r w:rsidRPr="0046395A">
              <w:rPr>
                <w:b/>
                <w:bCs/>
                <w:lang w:val="lt-LT"/>
              </w:rPr>
              <w:t>III.</w:t>
            </w:r>
          </w:p>
        </w:tc>
        <w:tc>
          <w:tcPr>
            <w:tcW w:w="2977" w:type="dxa"/>
            <w:shd w:val="clear" w:color="auto" w:fill="auto"/>
            <w:hideMark/>
          </w:tcPr>
          <w:p w:rsidR="00C14E00" w:rsidRPr="0046395A" w:rsidRDefault="00C14E00" w:rsidP="00133123">
            <w:pPr>
              <w:rPr>
                <w:b/>
                <w:bCs/>
                <w:lang w:val="lt-LT"/>
              </w:rPr>
            </w:pPr>
            <w:r w:rsidRPr="0046395A">
              <w:rPr>
                <w:b/>
                <w:bCs/>
                <w:lang w:val="lt-LT"/>
              </w:rPr>
              <w:t>KITAS TRUMPALAIKIS TURTAS</w:t>
            </w:r>
          </w:p>
        </w:tc>
        <w:tc>
          <w:tcPr>
            <w:tcW w:w="992" w:type="dxa"/>
            <w:shd w:val="clear" w:color="auto" w:fill="auto"/>
            <w:noWrap/>
            <w:hideMark/>
          </w:tcPr>
          <w:p w:rsidR="00C14E00" w:rsidRPr="0046395A" w:rsidRDefault="00C14E00" w:rsidP="0046395A">
            <w:pPr>
              <w:jc w:val="center"/>
              <w:rPr>
                <w:b/>
                <w:bCs/>
                <w:lang w:val="lt-LT"/>
              </w:rPr>
            </w:pPr>
            <w:r w:rsidRPr="0046395A">
              <w:rPr>
                <w:b/>
                <w:bCs/>
                <w:lang w:val="lt-LT"/>
              </w:rPr>
              <w:t>720</w:t>
            </w:r>
          </w:p>
        </w:tc>
        <w:tc>
          <w:tcPr>
            <w:tcW w:w="992" w:type="dxa"/>
            <w:shd w:val="clear" w:color="auto" w:fill="auto"/>
            <w:noWrap/>
            <w:hideMark/>
          </w:tcPr>
          <w:p w:rsidR="00C14E00" w:rsidRPr="0046395A" w:rsidRDefault="00C14E00" w:rsidP="0046395A">
            <w:pPr>
              <w:jc w:val="center"/>
              <w:rPr>
                <w:b/>
                <w:bCs/>
                <w:lang w:val="lt-LT"/>
              </w:rPr>
            </w:pPr>
            <w:r w:rsidRPr="0046395A">
              <w:rPr>
                <w:b/>
                <w:bCs/>
                <w:lang w:val="lt-LT"/>
              </w:rPr>
              <w:t>601</w:t>
            </w:r>
          </w:p>
        </w:tc>
        <w:tc>
          <w:tcPr>
            <w:tcW w:w="1985" w:type="dxa"/>
            <w:shd w:val="clear" w:color="auto" w:fill="BFBFBF" w:themeFill="background1" w:themeFillShade="BF"/>
            <w:noWrap/>
            <w:hideMark/>
          </w:tcPr>
          <w:p w:rsidR="00C14E00" w:rsidRPr="0046395A" w:rsidRDefault="00C14E00" w:rsidP="00133123">
            <w:pPr>
              <w:rPr>
                <w:lang w:val="lt-LT"/>
              </w:rPr>
            </w:pPr>
          </w:p>
        </w:tc>
        <w:tc>
          <w:tcPr>
            <w:tcW w:w="709" w:type="dxa"/>
            <w:shd w:val="clear" w:color="auto" w:fill="BFBFBF" w:themeFill="background1" w:themeFillShade="BF"/>
          </w:tcPr>
          <w:p w:rsidR="00C14E00" w:rsidRPr="0046395A" w:rsidRDefault="00C14E00" w:rsidP="00133123">
            <w:pPr>
              <w:rPr>
                <w:lang w:val="lt-LT"/>
              </w:rPr>
            </w:pPr>
          </w:p>
        </w:tc>
      </w:tr>
      <w:tr w:rsidR="0046395A" w:rsidRPr="0046395A" w:rsidTr="00A8307E">
        <w:trPr>
          <w:trHeight w:val="225"/>
        </w:trPr>
        <w:tc>
          <w:tcPr>
            <w:tcW w:w="709" w:type="dxa"/>
            <w:shd w:val="clear" w:color="auto" w:fill="auto"/>
            <w:hideMark/>
          </w:tcPr>
          <w:p w:rsidR="00072ED0" w:rsidRPr="0046395A" w:rsidRDefault="00072ED0" w:rsidP="008E0769">
            <w:pPr>
              <w:jc w:val="center"/>
              <w:rPr>
                <w:lang w:val="lt-LT"/>
              </w:rPr>
            </w:pPr>
            <w:r w:rsidRPr="0046395A">
              <w:rPr>
                <w:lang w:val="lt-LT"/>
              </w:rPr>
              <w:t>III.1.</w:t>
            </w:r>
          </w:p>
        </w:tc>
        <w:tc>
          <w:tcPr>
            <w:tcW w:w="2977" w:type="dxa"/>
            <w:shd w:val="clear" w:color="auto" w:fill="auto"/>
            <w:hideMark/>
          </w:tcPr>
          <w:p w:rsidR="00072ED0" w:rsidRPr="0046395A" w:rsidRDefault="00072ED0" w:rsidP="00133123">
            <w:pPr>
              <w:rPr>
                <w:lang w:val="lt-LT"/>
              </w:rPr>
            </w:pPr>
            <w:r w:rsidRPr="0046395A">
              <w:rPr>
                <w:lang w:val="lt-LT"/>
              </w:rPr>
              <w:t>Kitas trumpalaikis turtas</w:t>
            </w:r>
          </w:p>
        </w:tc>
        <w:tc>
          <w:tcPr>
            <w:tcW w:w="992" w:type="dxa"/>
            <w:shd w:val="clear" w:color="auto" w:fill="auto"/>
            <w:noWrap/>
            <w:hideMark/>
          </w:tcPr>
          <w:p w:rsidR="00072ED0" w:rsidRPr="0046395A" w:rsidRDefault="00072ED0" w:rsidP="0046395A">
            <w:pPr>
              <w:jc w:val="center"/>
              <w:rPr>
                <w:lang w:val="lt-LT"/>
              </w:rPr>
            </w:pPr>
            <w:r w:rsidRPr="0046395A">
              <w:rPr>
                <w:lang w:val="lt-LT"/>
              </w:rPr>
              <w:t>720</w:t>
            </w:r>
          </w:p>
        </w:tc>
        <w:tc>
          <w:tcPr>
            <w:tcW w:w="992" w:type="dxa"/>
            <w:shd w:val="clear" w:color="auto" w:fill="auto"/>
            <w:noWrap/>
            <w:hideMark/>
          </w:tcPr>
          <w:p w:rsidR="00072ED0" w:rsidRPr="0046395A" w:rsidRDefault="00072ED0" w:rsidP="0046395A">
            <w:pPr>
              <w:jc w:val="center"/>
              <w:rPr>
                <w:lang w:val="lt-LT"/>
              </w:rPr>
            </w:pPr>
            <w:r w:rsidRPr="0046395A">
              <w:rPr>
                <w:lang w:val="lt-LT"/>
              </w:rPr>
              <w:t>601</w:t>
            </w:r>
          </w:p>
        </w:tc>
        <w:tc>
          <w:tcPr>
            <w:tcW w:w="1985" w:type="dxa"/>
            <w:shd w:val="clear" w:color="auto" w:fill="auto"/>
            <w:noWrap/>
            <w:hideMark/>
          </w:tcPr>
          <w:p w:rsidR="00072ED0" w:rsidRPr="0046395A" w:rsidRDefault="00072ED0" w:rsidP="00133123">
            <w:pPr>
              <w:rPr>
                <w:lang w:val="lt-LT"/>
              </w:rPr>
            </w:pPr>
            <w:r w:rsidRPr="0046395A">
              <w:rPr>
                <w:lang w:val="lt-LT"/>
              </w:rPr>
              <w:t>Nesvarbus, nedaug ir nesudėtingos ūk. op</w:t>
            </w:r>
            <w:r w:rsidR="00646F71" w:rsidRPr="0046395A">
              <w:rPr>
                <w:lang w:val="lt-LT"/>
              </w:rPr>
              <w:t>.</w:t>
            </w:r>
          </w:p>
        </w:tc>
        <w:tc>
          <w:tcPr>
            <w:tcW w:w="709" w:type="dxa"/>
          </w:tcPr>
          <w:p w:rsidR="00072ED0" w:rsidRPr="0046395A" w:rsidRDefault="00072ED0" w:rsidP="00133123">
            <w:pPr>
              <w:rPr>
                <w:lang w:val="lt-LT"/>
              </w:rPr>
            </w:pPr>
            <w:r w:rsidRPr="0046395A">
              <w:rPr>
                <w:lang w:val="lt-LT"/>
              </w:rPr>
              <w:t>X</w:t>
            </w:r>
          </w:p>
        </w:tc>
      </w:tr>
      <w:tr w:rsidR="0046395A" w:rsidRPr="0046395A" w:rsidTr="00A8307E">
        <w:trPr>
          <w:trHeight w:val="225"/>
        </w:trPr>
        <w:tc>
          <w:tcPr>
            <w:tcW w:w="709" w:type="dxa"/>
            <w:shd w:val="clear" w:color="auto" w:fill="auto"/>
            <w:hideMark/>
          </w:tcPr>
          <w:p w:rsidR="00C14E00" w:rsidRPr="0046395A" w:rsidRDefault="00C14E00" w:rsidP="008E0769">
            <w:pPr>
              <w:jc w:val="center"/>
              <w:rPr>
                <w:b/>
                <w:bCs/>
                <w:lang w:val="lt-LT"/>
              </w:rPr>
            </w:pPr>
            <w:r w:rsidRPr="0046395A">
              <w:rPr>
                <w:b/>
                <w:bCs/>
                <w:lang w:val="lt-LT"/>
              </w:rPr>
              <w:t>IV.</w:t>
            </w:r>
          </w:p>
        </w:tc>
        <w:tc>
          <w:tcPr>
            <w:tcW w:w="2977" w:type="dxa"/>
            <w:shd w:val="clear" w:color="auto" w:fill="auto"/>
            <w:hideMark/>
          </w:tcPr>
          <w:p w:rsidR="00C14E00" w:rsidRPr="0046395A" w:rsidRDefault="00C14E00" w:rsidP="00133123">
            <w:pPr>
              <w:rPr>
                <w:b/>
                <w:bCs/>
                <w:lang w:val="lt-LT"/>
              </w:rPr>
            </w:pPr>
            <w:r w:rsidRPr="0046395A">
              <w:rPr>
                <w:b/>
                <w:bCs/>
                <w:lang w:val="lt-LT"/>
              </w:rPr>
              <w:t>PINIGAI IR PINIGŲ EKVIVALENTAI</w:t>
            </w:r>
          </w:p>
        </w:tc>
        <w:tc>
          <w:tcPr>
            <w:tcW w:w="992" w:type="dxa"/>
            <w:shd w:val="clear" w:color="auto" w:fill="auto"/>
            <w:noWrap/>
            <w:hideMark/>
          </w:tcPr>
          <w:p w:rsidR="00C14E00" w:rsidRPr="0046395A" w:rsidRDefault="00C14E00" w:rsidP="0046395A">
            <w:pPr>
              <w:jc w:val="center"/>
              <w:rPr>
                <w:b/>
                <w:bCs/>
                <w:lang w:val="lt-LT"/>
              </w:rPr>
            </w:pPr>
            <w:r w:rsidRPr="0046395A">
              <w:rPr>
                <w:b/>
                <w:bCs/>
                <w:lang w:val="lt-LT"/>
              </w:rPr>
              <w:t>2</w:t>
            </w:r>
            <w:r w:rsidR="00884A1E">
              <w:rPr>
                <w:b/>
                <w:bCs/>
                <w:lang w:val="lt-LT"/>
              </w:rPr>
              <w:t xml:space="preserve"> </w:t>
            </w:r>
            <w:r w:rsidRPr="0046395A">
              <w:rPr>
                <w:b/>
                <w:bCs/>
                <w:lang w:val="lt-LT"/>
              </w:rPr>
              <w:t>071</w:t>
            </w:r>
          </w:p>
        </w:tc>
        <w:tc>
          <w:tcPr>
            <w:tcW w:w="992" w:type="dxa"/>
            <w:shd w:val="clear" w:color="auto" w:fill="auto"/>
            <w:noWrap/>
            <w:hideMark/>
          </w:tcPr>
          <w:p w:rsidR="00C14E00" w:rsidRPr="0046395A" w:rsidRDefault="00C14E00" w:rsidP="0046395A">
            <w:pPr>
              <w:jc w:val="center"/>
              <w:rPr>
                <w:b/>
                <w:bCs/>
                <w:lang w:val="lt-LT"/>
              </w:rPr>
            </w:pPr>
            <w:r w:rsidRPr="0046395A">
              <w:rPr>
                <w:b/>
                <w:bCs/>
                <w:lang w:val="lt-LT"/>
              </w:rPr>
              <w:t>2</w:t>
            </w:r>
            <w:r w:rsidR="00884A1E">
              <w:rPr>
                <w:b/>
                <w:bCs/>
                <w:lang w:val="lt-LT"/>
              </w:rPr>
              <w:t xml:space="preserve"> </w:t>
            </w:r>
            <w:r w:rsidRPr="0046395A">
              <w:rPr>
                <w:b/>
                <w:bCs/>
                <w:lang w:val="lt-LT"/>
              </w:rPr>
              <w:t>071</w:t>
            </w:r>
          </w:p>
        </w:tc>
        <w:tc>
          <w:tcPr>
            <w:tcW w:w="1985" w:type="dxa"/>
            <w:shd w:val="clear" w:color="auto" w:fill="auto"/>
            <w:noWrap/>
            <w:hideMark/>
          </w:tcPr>
          <w:p w:rsidR="00C14E00" w:rsidRPr="0046395A" w:rsidRDefault="00C14E00" w:rsidP="00133123">
            <w:pPr>
              <w:rPr>
                <w:lang w:val="lt-LT"/>
              </w:rPr>
            </w:pPr>
            <w:r w:rsidRPr="0046395A">
              <w:rPr>
                <w:lang w:val="lt-LT"/>
              </w:rPr>
              <w:t xml:space="preserve">Svarbus </w:t>
            </w:r>
            <w:r w:rsidR="001B1A33" w:rsidRPr="0046395A">
              <w:rPr>
                <w:lang w:val="lt-LT"/>
              </w:rPr>
              <w:t>(pardavim</w:t>
            </w:r>
            <w:r w:rsidR="0023439D" w:rsidRPr="0046395A">
              <w:rPr>
                <w:lang w:val="lt-LT"/>
              </w:rPr>
              <w:t>o</w:t>
            </w:r>
            <w:r w:rsidR="001B1A33" w:rsidRPr="0046395A">
              <w:rPr>
                <w:lang w:val="lt-LT"/>
              </w:rPr>
              <w:t xml:space="preserve"> procesas)</w:t>
            </w:r>
          </w:p>
        </w:tc>
        <w:tc>
          <w:tcPr>
            <w:tcW w:w="709" w:type="dxa"/>
          </w:tcPr>
          <w:p w:rsidR="00C14E00" w:rsidRPr="00AA2B0D" w:rsidRDefault="00C14E00" w:rsidP="00A8307E">
            <w:pPr>
              <w:rPr>
                <w:b/>
                <w:lang w:val="lt-LT"/>
              </w:rPr>
            </w:pPr>
            <w:r w:rsidRPr="00AA2B0D">
              <w:rPr>
                <w:b/>
                <w:lang w:val="lt-LT"/>
              </w:rPr>
              <w:t>B</w:t>
            </w:r>
          </w:p>
        </w:tc>
      </w:tr>
      <w:tr w:rsidR="00C14E00" w:rsidRPr="0046395A" w:rsidTr="00A8307E">
        <w:trPr>
          <w:trHeight w:val="287"/>
        </w:trPr>
        <w:tc>
          <w:tcPr>
            <w:tcW w:w="709" w:type="dxa"/>
            <w:shd w:val="clear" w:color="000000" w:fill="A5A5A5"/>
            <w:hideMark/>
          </w:tcPr>
          <w:p w:rsidR="00C14E00" w:rsidRPr="0046395A" w:rsidRDefault="00C14E00" w:rsidP="008E0769">
            <w:pPr>
              <w:jc w:val="center"/>
              <w:rPr>
                <w:b/>
                <w:bCs/>
                <w:color w:val="FFFFFF"/>
                <w:lang w:val="lt-LT"/>
              </w:rPr>
            </w:pPr>
            <w:r w:rsidRPr="0046395A">
              <w:rPr>
                <w:b/>
                <w:bCs/>
                <w:color w:val="FFFFFF"/>
                <w:lang w:val="lt-LT"/>
              </w:rPr>
              <w:t> </w:t>
            </w:r>
          </w:p>
        </w:tc>
        <w:tc>
          <w:tcPr>
            <w:tcW w:w="2977" w:type="dxa"/>
            <w:shd w:val="clear" w:color="auto" w:fill="A6A6A6" w:themeFill="background1" w:themeFillShade="A6"/>
            <w:vAlign w:val="bottom"/>
            <w:hideMark/>
          </w:tcPr>
          <w:p w:rsidR="00C14E00" w:rsidRPr="0046395A" w:rsidRDefault="00C14E00" w:rsidP="008E0769">
            <w:pPr>
              <w:rPr>
                <w:b/>
                <w:bCs/>
                <w:lang w:val="lt-LT"/>
              </w:rPr>
            </w:pPr>
            <w:r w:rsidRPr="0046395A">
              <w:rPr>
                <w:b/>
                <w:bCs/>
                <w:lang w:val="lt-LT"/>
              </w:rPr>
              <w:t>TURTO, IŠ VISO:</w:t>
            </w:r>
          </w:p>
        </w:tc>
        <w:tc>
          <w:tcPr>
            <w:tcW w:w="992" w:type="dxa"/>
            <w:shd w:val="clear" w:color="auto" w:fill="A6A6A6" w:themeFill="background1" w:themeFillShade="A6"/>
            <w:noWrap/>
            <w:vAlign w:val="bottom"/>
            <w:hideMark/>
          </w:tcPr>
          <w:p w:rsidR="00C14E00" w:rsidRPr="0046395A" w:rsidRDefault="00884A1E" w:rsidP="0046395A">
            <w:pPr>
              <w:jc w:val="center"/>
              <w:rPr>
                <w:b/>
                <w:bCs/>
                <w:lang w:val="lt-LT"/>
              </w:rPr>
            </w:pPr>
            <w:r>
              <w:rPr>
                <w:b/>
                <w:bCs/>
                <w:lang w:val="lt-LT"/>
              </w:rPr>
              <w:t xml:space="preserve">385 </w:t>
            </w:r>
            <w:r w:rsidR="00C14E00" w:rsidRPr="0046395A">
              <w:rPr>
                <w:b/>
                <w:bCs/>
                <w:lang w:val="lt-LT"/>
              </w:rPr>
              <w:t>568</w:t>
            </w:r>
          </w:p>
        </w:tc>
        <w:tc>
          <w:tcPr>
            <w:tcW w:w="992" w:type="dxa"/>
            <w:shd w:val="clear" w:color="auto" w:fill="A6A6A6" w:themeFill="background1" w:themeFillShade="A6"/>
            <w:noWrap/>
            <w:vAlign w:val="bottom"/>
            <w:hideMark/>
          </w:tcPr>
          <w:p w:rsidR="00C14E00" w:rsidRPr="0046395A" w:rsidRDefault="00884A1E" w:rsidP="0046395A">
            <w:pPr>
              <w:jc w:val="center"/>
              <w:rPr>
                <w:b/>
                <w:bCs/>
                <w:lang w:val="lt-LT"/>
              </w:rPr>
            </w:pPr>
            <w:r>
              <w:rPr>
                <w:b/>
                <w:bCs/>
                <w:lang w:val="lt-LT"/>
              </w:rPr>
              <w:t xml:space="preserve">378 </w:t>
            </w:r>
            <w:r w:rsidR="00C14E00" w:rsidRPr="0046395A">
              <w:rPr>
                <w:b/>
                <w:bCs/>
                <w:lang w:val="lt-LT"/>
              </w:rPr>
              <w:t>876</w:t>
            </w:r>
          </w:p>
        </w:tc>
        <w:tc>
          <w:tcPr>
            <w:tcW w:w="1985" w:type="dxa"/>
            <w:shd w:val="clear" w:color="auto" w:fill="A6A6A6" w:themeFill="background1" w:themeFillShade="A6"/>
            <w:noWrap/>
            <w:vAlign w:val="bottom"/>
            <w:hideMark/>
          </w:tcPr>
          <w:p w:rsidR="00C14E00" w:rsidRPr="0046395A" w:rsidRDefault="00C14E00" w:rsidP="00135E08">
            <w:pPr>
              <w:rPr>
                <w:b/>
                <w:bCs/>
                <w:lang w:val="lt-LT"/>
              </w:rPr>
            </w:pPr>
          </w:p>
        </w:tc>
        <w:tc>
          <w:tcPr>
            <w:tcW w:w="709" w:type="dxa"/>
            <w:shd w:val="clear" w:color="auto" w:fill="A6A6A6" w:themeFill="background1" w:themeFillShade="A6"/>
            <w:vAlign w:val="bottom"/>
          </w:tcPr>
          <w:p w:rsidR="00C14E00" w:rsidRPr="0046395A" w:rsidRDefault="00C14E00" w:rsidP="00135E08">
            <w:pPr>
              <w:rPr>
                <w:b/>
                <w:bCs/>
                <w:lang w:val="lt-LT"/>
              </w:rPr>
            </w:pPr>
          </w:p>
        </w:tc>
      </w:tr>
    </w:tbl>
    <w:p w:rsidR="000F65D5" w:rsidRPr="000F65D5" w:rsidRDefault="000F65D5" w:rsidP="000F65D5">
      <w:pPr>
        <w:pStyle w:val="NormalWeb"/>
        <w:spacing w:before="0" w:beforeAutospacing="0" w:after="0" w:afterAutospacing="0"/>
        <w:jc w:val="both"/>
        <w:rPr>
          <w:sz w:val="20"/>
          <w:szCs w:val="20"/>
          <w:lang w:val="lt-LT"/>
        </w:rPr>
      </w:pPr>
      <w:r w:rsidRPr="000F65D5">
        <w:rPr>
          <w:sz w:val="20"/>
          <w:szCs w:val="20"/>
          <w:lang w:val="lt-LT"/>
        </w:rPr>
        <w:t>Pastaba</w:t>
      </w:r>
      <w:r>
        <w:rPr>
          <w:sz w:val="20"/>
          <w:szCs w:val="20"/>
          <w:lang w:val="lt-LT"/>
        </w:rPr>
        <w:t>:</w:t>
      </w:r>
      <w:r w:rsidRPr="000F65D5">
        <w:rPr>
          <w:sz w:val="20"/>
          <w:szCs w:val="20"/>
          <w:lang w:val="lt-LT"/>
        </w:rPr>
        <w:t xml:space="preserve"> </w:t>
      </w:r>
      <w:r>
        <w:rPr>
          <w:sz w:val="20"/>
          <w:szCs w:val="20"/>
          <w:lang w:val="lt-LT"/>
        </w:rPr>
        <w:t>Susijęs t</w:t>
      </w:r>
      <w:r w:rsidRPr="000F65D5">
        <w:rPr>
          <w:sz w:val="20"/>
          <w:szCs w:val="20"/>
          <w:lang w:val="lt-LT"/>
        </w:rPr>
        <w:t>virtinima</w:t>
      </w:r>
      <w:r>
        <w:rPr>
          <w:sz w:val="20"/>
          <w:szCs w:val="20"/>
          <w:lang w:val="lt-LT"/>
        </w:rPr>
        <w:t>s</w:t>
      </w:r>
      <w:r w:rsidRPr="000F65D5">
        <w:rPr>
          <w:sz w:val="20"/>
          <w:szCs w:val="20"/>
          <w:lang w:val="lt-LT"/>
        </w:rPr>
        <w:t>: buvimas (B), įvertinimas (V)</w:t>
      </w:r>
      <w:r>
        <w:rPr>
          <w:sz w:val="20"/>
          <w:szCs w:val="20"/>
          <w:lang w:val="lt-LT"/>
        </w:rPr>
        <w:t>.</w:t>
      </w:r>
    </w:p>
    <w:p w:rsidR="002831E4" w:rsidRPr="000F65D5" w:rsidRDefault="002831E4" w:rsidP="000F65D5">
      <w:pPr>
        <w:pStyle w:val="NormalWeb"/>
        <w:spacing w:before="0" w:beforeAutospacing="0" w:after="0" w:afterAutospacing="0"/>
        <w:jc w:val="both"/>
        <w:rPr>
          <w:sz w:val="20"/>
          <w:szCs w:val="20"/>
          <w:lang w:val="lt-LT"/>
        </w:rPr>
      </w:pPr>
      <w:r w:rsidRPr="000F65D5">
        <w:rPr>
          <w:sz w:val="20"/>
          <w:szCs w:val="20"/>
          <w:lang w:val="lt-LT"/>
        </w:rPr>
        <w:t>Šaltinis: sudaryta autorės, remiantis UAB „Šiluma“ 2008 metų finansinėmis ataskaitomis.</w:t>
      </w:r>
    </w:p>
    <w:p w:rsidR="00432F02" w:rsidRPr="0046395A" w:rsidRDefault="00FF533C" w:rsidP="000F65D5">
      <w:pPr>
        <w:ind w:firstLine="720"/>
        <w:jc w:val="right"/>
        <w:rPr>
          <w:i/>
          <w:sz w:val="26"/>
          <w:szCs w:val="26"/>
          <w:lang w:val="lt-LT"/>
        </w:rPr>
      </w:pPr>
      <w:r w:rsidRPr="0046395A">
        <w:rPr>
          <w:i/>
          <w:sz w:val="26"/>
          <w:szCs w:val="26"/>
          <w:lang w:val="lt-LT"/>
        </w:rPr>
        <w:lastRenderedPageBreak/>
        <w:t>2</w:t>
      </w:r>
      <w:r w:rsidR="00FA1D98">
        <w:rPr>
          <w:i/>
          <w:sz w:val="26"/>
          <w:szCs w:val="26"/>
          <w:lang w:val="lt-LT"/>
        </w:rPr>
        <w:t>6</w:t>
      </w:r>
      <w:r w:rsidRPr="0046395A">
        <w:rPr>
          <w:i/>
          <w:sz w:val="26"/>
          <w:szCs w:val="26"/>
          <w:lang w:val="lt-LT"/>
        </w:rPr>
        <w:t xml:space="preserve"> lentelė</w:t>
      </w:r>
    </w:p>
    <w:p w:rsidR="00FF533C" w:rsidRPr="0046395A" w:rsidRDefault="00555E3D" w:rsidP="000F65D5">
      <w:pPr>
        <w:tabs>
          <w:tab w:val="left" w:pos="567"/>
        </w:tabs>
        <w:jc w:val="center"/>
        <w:rPr>
          <w:b/>
          <w:sz w:val="26"/>
          <w:szCs w:val="26"/>
          <w:lang w:val="lt-LT"/>
        </w:rPr>
      </w:pPr>
      <w:r w:rsidRPr="0046395A">
        <w:rPr>
          <w:b/>
          <w:sz w:val="26"/>
          <w:szCs w:val="26"/>
          <w:lang w:val="lt-LT"/>
        </w:rPr>
        <w:t>U</w:t>
      </w:r>
      <w:r w:rsidR="00FF533C" w:rsidRPr="0046395A">
        <w:rPr>
          <w:b/>
          <w:sz w:val="26"/>
          <w:szCs w:val="26"/>
          <w:lang w:val="lt-LT"/>
        </w:rPr>
        <w:t xml:space="preserve">AB „Šiluma“ 2008-12-31 d. balanso </w:t>
      </w:r>
      <w:r w:rsidR="00BF5E1E" w:rsidRPr="0046395A">
        <w:rPr>
          <w:b/>
          <w:sz w:val="26"/>
          <w:szCs w:val="26"/>
          <w:lang w:val="lt-LT"/>
        </w:rPr>
        <w:t xml:space="preserve">nuosavybės ir įsipareigojimų </w:t>
      </w:r>
      <w:r w:rsidR="00FF533C" w:rsidRPr="0046395A">
        <w:rPr>
          <w:b/>
          <w:sz w:val="26"/>
          <w:szCs w:val="26"/>
          <w:lang w:val="lt-LT"/>
        </w:rPr>
        <w:t xml:space="preserve">dalies elementų </w:t>
      </w:r>
      <w:r w:rsidR="00BF5E1E" w:rsidRPr="0046395A">
        <w:rPr>
          <w:b/>
          <w:sz w:val="26"/>
          <w:szCs w:val="26"/>
          <w:lang w:val="lt-LT"/>
        </w:rPr>
        <w:t xml:space="preserve">svarbos </w:t>
      </w:r>
      <w:r w:rsidR="00FF533C" w:rsidRPr="0046395A">
        <w:rPr>
          <w:b/>
          <w:sz w:val="26"/>
          <w:szCs w:val="26"/>
          <w:lang w:val="lt-LT"/>
        </w:rPr>
        <w:t>vertinimas</w:t>
      </w:r>
      <w:r w:rsidR="006A2C4C" w:rsidRPr="0046395A">
        <w:rPr>
          <w:b/>
          <w:sz w:val="26"/>
          <w:szCs w:val="26"/>
          <w:lang w:val="lt-LT"/>
        </w:rPr>
        <w:t>, tūkst. Lt</w:t>
      </w:r>
    </w:p>
    <w:tbl>
      <w:tblPr>
        <w:tblW w:w="8369" w:type="dxa"/>
        <w:tblInd w:w="103" w:type="dxa"/>
        <w:tblLayout w:type="fixed"/>
        <w:tblLook w:val="04A0"/>
      </w:tblPr>
      <w:tblGrid>
        <w:gridCol w:w="696"/>
        <w:gridCol w:w="2995"/>
        <w:gridCol w:w="992"/>
        <w:gridCol w:w="992"/>
        <w:gridCol w:w="1985"/>
        <w:gridCol w:w="709"/>
      </w:tblGrid>
      <w:tr w:rsidR="00BF5E1E" w:rsidRPr="0046395A" w:rsidTr="00A8307E">
        <w:trPr>
          <w:cantSplit/>
          <w:trHeight w:val="1255"/>
        </w:trPr>
        <w:tc>
          <w:tcPr>
            <w:tcW w:w="696" w:type="dxa"/>
            <w:tcBorders>
              <w:top w:val="single" w:sz="4" w:space="0" w:color="auto"/>
              <w:left w:val="single" w:sz="4" w:space="0" w:color="auto"/>
              <w:bottom w:val="single" w:sz="4" w:space="0" w:color="auto"/>
              <w:right w:val="single" w:sz="4" w:space="0" w:color="auto"/>
            </w:tcBorders>
            <w:shd w:val="clear" w:color="000000" w:fill="A5A5A5"/>
            <w:hideMark/>
          </w:tcPr>
          <w:p w:rsidR="00BF5E1E" w:rsidRPr="0046395A" w:rsidRDefault="00BF5E1E" w:rsidP="008E0769">
            <w:pPr>
              <w:rPr>
                <w:color w:val="FFFFFF"/>
                <w:lang w:val="lt-LT"/>
              </w:rPr>
            </w:pPr>
            <w:r w:rsidRPr="0046395A">
              <w:rPr>
                <w:color w:val="FFFFFF"/>
                <w:lang w:val="lt-LT"/>
              </w:rPr>
              <w:t> </w:t>
            </w:r>
          </w:p>
        </w:tc>
        <w:tc>
          <w:tcPr>
            <w:tcW w:w="2995" w:type="dxa"/>
            <w:tcBorders>
              <w:top w:val="single" w:sz="4" w:space="0" w:color="auto"/>
              <w:left w:val="nil"/>
              <w:bottom w:val="single" w:sz="4" w:space="0" w:color="auto"/>
              <w:right w:val="single" w:sz="4" w:space="0" w:color="auto"/>
            </w:tcBorders>
            <w:shd w:val="clear" w:color="000000" w:fill="A5A5A5"/>
            <w:vAlign w:val="center"/>
            <w:hideMark/>
          </w:tcPr>
          <w:p w:rsidR="00BF5E1E" w:rsidRPr="0046395A" w:rsidRDefault="00BF5E1E" w:rsidP="00BF5E1E">
            <w:pPr>
              <w:jc w:val="center"/>
              <w:rPr>
                <w:b/>
                <w:lang w:val="lt-LT"/>
              </w:rPr>
            </w:pPr>
            <w:r w:rsidRPr="0046395A">
              <w:rPr>
                <w:b/>
                <w:lang w:val="lt-LT"/>
              </w:rPr>
              <w:t>Elementas</w:t>
            </w:r>
          </w:p>
        </w:tc>
        <w:tc>
          <w:tcPr>
            <w:tcW w:w="992" w:type="dxa"/>
            <w:tcBorders>
              <w:top w:val="single" w:sz="4" w:space="0" w:color="auto"/>
              <w:left w:val="nil"/>
              <w:bottom w:val="single" w:sz="4" w:space="0" w:color="auto"/>
              <w:right w:val="single" w:sz="4" w:space="0" w:color="auto"/>
            </w:tcBorders>
            <w:shd w:val="clear" w:color="000000" w:fill="A5A5A5"/>
            <w:textDirection w:val="btLr"/>
            <w:vAlign w:val="center"/>
            <w:hideMark/>
          </w:tcPr>
          <w:p w:rsidR="00BF5E1E" w:rsidRPr="0046395A" w:rsidRDefault="00BF5E1E" w:rsidP="0046395A">
            <w:pPr>
              <w:ind w:left="113" w:right="113"/>
              <w:jc w:val="center"/>
              <w:rPr>
                <w:b/>
                <w:bCs/>
                <w:lang w:val="lt-LT"/>
              </w:rPr>
            </w:pPr>
            <w:r w:rsidRPr="0046395A">
              <w:rPr>
                <w:b/>
                <w:bCs/>
                <w:lang w:val="lt-LT"/>
              </w:rPr>
              <w:t>2008.12.31</w:t>
            </w:r>
          </w:p>
        </w:tc>
        <w:tc>
          <w:tcPr>
            <w:tcW w:w="992" w:type="dxa"/>
            <w:tcBorders>
              <w:top w:val="single" w:sz="4" w:space="0" w:color="auto"/>
              <w:left w:val="nil"/>
              <w:bottom w:val="single" w:sz="4" w:space="0" w:color="auto"/>
              <w:right w:val="single" w:sz="4" w:space="0" w:color="auto"/>
            </w:tcBorders>
            <w:shd w:val="clear" w:color="000000" w:fill="A5A5A5"/>
            <w:textDirection w:val="btLr"/>
            <w:vAlign w:val="center"/>
            <w:hideMark/>
          </w:tcPr>
          <w:p w:rsidR="00BF5E1E" w:rsidRPr="0046395A" w:rsidRDefault="00BF5E1E" w:rsidP="0046395A">
            <w:pPr>
              <w:ind w:left="113" w:right="113"/>
              <w:jc w:val="center"/>
              <w:rPr>
                <w:b/>
                <w:bCs/>
                <w:lang w:val="lt-LT"/>
              </w:rPr>
            </w:pPr>
            <w:r w:rsidRPr="0046395A">
              <w:rPr>
                <w:b/>
                <w:bCs/>
                <w:lang w:val="lt-LT"/>
              </w:rPr>
              <w:t>2007.12.31</w:t>
            </w:r>
          </w:p>
        </w:tc>
        <w:tc>
          <w:tcPr>
            <w:tcW w:w="1985" w:type="dxa"/>
            <w:tcBorders>
              <w:top w:val="single" w:sz="4" w:space="0" w:color="auto"/>
              <w:left w:val="nil"/>
              <w:bottom w:val="single" w:sz="4" w:space="0" w:color="auto"/>
              <w:right w:val="single" w:sz="4" w:space="0" w:color="auto"/>
            </w:tcBorders>
            <w:shd w:val="clear" w:color="000000" w:fill="A5A5A5"/>
            <w:noWrap/>
            <w:vAlign w:val="center"/>
            <w:hideMark/>
          </w:tcPr>
          <w:p w:rsidR="00BF5E1E" w:rsidRPr="0046395A" w:rsidRDefault="00BF5E1E" w:rsidP="00BF5E1E">
            <w:pPr>
              <w:jc w:val="center"/>
              <w:rPr>
                <w:b/>
                <w:bCs/>
                <w:lang w:val="lt-LT"/>
              </w:rPr>
            </w:pPr>
            <w:r w:rsidRPr="0046395A">
              <w:rPr>
                <w:b/>
                <w:bCs/>
                <w:lang w:val="lt-LT"/>
              </w:rPr>
              <w:t>Svarbos vertinimas</w:t>
            </w:r>
            <w:r w:rsidR="00BE1431" w:rsidRPr="0046395A">
              <w:rPr>
                <w:b/>
                <w:bCs/>
                <w:lang w:val="lt-LT"/>
              </w:rPr>
              <w:t xml:space="preserve"> (įmonės procesas)</w:t>
            </w:r>
          </w:p>
        </w:tc>
        <w:tc>
          <w:tcPr>
            <w:tcW w:w="709" w:type="dxa"/>
            <w:tcBorders>
              <w:top w:val="single" w:sz="4" w:space="0" w:color="auto"/>
              <w:left w:val="nil"/>
              <w:bottom w:val="single" w:sz="4" w:space="0" w:color="auto"/>
              <w:right w:val="single" w:sz="4" w:space="0" w:color="auto"/>
            </w:tcBorders>
            <w:shd w:val="clear" w:color="000000" w:fill="A5A5A5"/>
            <w:textDirection w:val="btLr"/>
            <w:vAlign w:val="center"/>
          </w:tcPr>
          <w:p w:rsidR="00BF5E1E" w:rsidRPr="0046395A" w:rsidRDefault="00BF5E1E" w:rsidP="0046395A">
            <w:pPr>
              <w:ind w:left="113" w:right="113"/>
              <w:jc w:val="center"/>
              <w:rPr>
                <w:b/>
                <w:bCs/>
                <w:lang w:val="lt-LT"/>
              </w:rPr>
            </w:pPr>
            <w:r w:rsidRPr="0046395A">
              <w:rPr>
                <w:b/>
                <w:bCs/>
                <w:lang w:val="lt-LT"/>
              </w:rPr>
              <w:t>Susiję</w:t>
            </w:r>
            <w:r w:rsidR="00A12A23" w:rsidRPr="0046395A">
              <w:rPr>
                <w:b/>
                <w:bCs/>
                <w:lang w:val="lt-LT"/>
              </w:rPr>
              <w:t>s</w:t>
            </w:r>
            <w:r w:rsidRPr="0046395A">
              <w:rPr>
                <w:b/>
                <w:bCs/>
                <w:lang w:val="lt-LT"/>
              </w:rPr>
              <w:t xml:space="preserve"> tvirtinima</w:t>
            </w:r>
            <w:r w:rsidR="00A12A23" w:rsidRPr="0046395A">
              <w:rPr>
                <w:b/>
                <w:bCs/>
                <w:lang w:val="lt-LT"/>
              </w:rPr>
              <w:t>s</w:t>
            </w:r>
          </w:p>
        </w:tc>
      </w:tr>
      <w:tr w:rsidR="001B1A33" w:rsidRPr="0046395A" w:rsidTr="00A8307E">
        <w:trPr>
          <w:trHeight w:val="375"/>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1B1A33" w:rsidRPr="0046395A" w:rsidRDefault="001B1A33" w:rsidP="008E0769">
            <w:pPr>
              <w:jc w:val="center"/>
              <w:rPr>
                <w:b/>
                <w:bCs/>
                <w:lang w:val="lt-LT"/>
              </w:rPr>
            </w:pPr>
            <w:r w:rsidRPr="0046395A">
              <w:rPr>
                <w:b/>
                <w:bCs/>
                <w:lang w:val="lt-LT"/>
              </w:rPr>
              <w:t>C.</w:t>
            </w:r>
          </w:p>
        </w:tc>
        <w:tc>
          <w:tcPr>
            <w:tcW w:w="2995" w:type="dxa"/>
            <w:tcBorders>
              <w:top w:val="single" w:sz="4" w:space="0" w:color="auto"/>
              <w:left w:val="nil"/>
              <w:bottom w:val="single" w:sz="4" w:space="0" w:color="auto"/>
              <w:right w:val="single" w:sz="4" w:space="0" w:color="auto"/>
            </w:tcBorders>
            <w:shd w:val="clear" w:color="auto" w:fill="auto"/>
            <w:vAlign w:val="bottom"/>
            <w:hideMark/>
          </w:tcPr>
          <w:p w:rsidR="001B1A33" w:rsidRPr="0046395A" w:rsidRDefault="001B1A33" w:rsidP="008E0769">
            <w:pPr>
              <w:rPr>
                <w:b/>
                <w:bCs/>
                <w:lang w:val="lt-LT"/>
              </w:rPr>
            </w:pPr>
            <w:r w:rsidRPr="0046395A">
              <w:rPr>
                <w:b/>
                <w:bCs/>
                <w:lang w:val="lt-LT"/>
              </w:rPr>
              <w:t>NUOSAVAS KAPITALAS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105</w:t>
            </w:r>
            <w:r w:rsidR="00884A1E">
              <w:rPr>
                <w:b/>
                <w:bCs/>
                <w:lang w:val="lt-LT"/>
              </w:rPr>
              <w:t xml:space="preserve"> </w:t>
            </w:r>
            <w:r w:rsidRPr="0046395A">
              <w:rPr>
                <w:b/>
                <w:bCs/>
                <w:lang w:val="lt-LT"/>
              </w:rPr>
              <w:t>463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114</w:t>
            </w:r>
            <w:r w:rsidR="00884A1E">
              <w:rPr>
                <w:b/>
                <w:bCs/>
                <w:lang w:val="lt-LT"/>
              </w:rPr>
              <w:t xml:space="preserve"> </w:t>
            </w:r>
            <w:r w:rsidRPr="0046395A">
              <w:rPr>
                <w:b/>
                <w:bCs/>
                <w:lang w:val="lt-LT"/>
              </w:rPr>
              <w:t>780</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B1A33" w:rsidRPr="0046395A" w:rsidRDefault="001B1A33" w:rsidP="008E0769">
            <w:pPr>
              <w:rPr>
                <w:b/>
                <w:bCs/>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1B1A33" w:rsidRPr="0046395A" w:rsidRDefault="001B1A33" w:rsidP="008E0769">
            <w:pPr>
              <w:rPr>
                <w:b/>
                <w:bCs/>
                <w:lang w:val="lt-LT"/>
              </w:rPr>
            </w:pPr>
          </w:p>
        </w:tc>
      </w:tr>
      <w:tr w:rsidR="001B1A33"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1B1A33" w:rsidRPr="0046395A" w:rsidRDefault="001B1A33" w:rsidP="008E0769">
            <w:pPr>
              <w:jc w:val="center"/>
              <w:rPr>
                <w:b/>
                <w:bCs/>
                <w:lang w:val="lt-LT"/>
              </w:rPr>
            </w:pPr>
            <w:r w:rsidRPr="0046395A">
              <w:rPr>
                <w:b/>
                <w:bCs/>
                <w:lang w:val="lt-LT"/>
              </w:rPr>
              <w:t>I.</w:t>
            </w:r>
          </w:p>
        </w:tc>
        <w:tc>
          <w:tcPr>
            <w:tcW w:w="2995" w:type="dxa"/>
            <w:tcBorders>
              <w:top w:val="nil"/>
              <w:left w:val="nil"/>
              <w:bottom w:val="single" w:sz="4" w:space="0" w:color="auto"/>
              <w:right w:val="single" w:sz="4" w:space="0" w:color="auto"/>
            </w:tcBorders>
            <w:shd w:val="clear" w:color="auto" w:fill="auto"/>
            <w:vAlign w:val="bottom"/>
            <w:hideMark/>
          </w:tcPr>
          <w:p w:rsidR="001B1A33" w:rsidRPr="0046395A" w:rsidRDefault="001B1A33" w:rsidP="008E0769">
            <w:pPr>
              <w:rPr>
                <w:b/>
                <w:bCs/>
                <w:lang w:val="lt-LT"/>
              </w:rPr>
            </w:pPr>
            <w:r w:rsidRPr="0046395A">
              <w:rPr>
                <w:b/>
                <w:bCs/>
                <w:lang w:val="lt-LT"/>
              </w:rPr>
              <w:t>KAPITALAS</w:t>
            </w:r>
          </w:p>
        </w:tc>
        <w:tc>
          <w:tcPr>
            <w:tcW w:w="992" w:type="dxa"/>
            <w:tcBorders>
              <w:top w:val="nil"/>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119</w:t>
            </w:r>
            <w:r w:rsidR="00884A1E">
              <w:rPr>
                <w:b/>
                <w:bCs/>
                <w:lang w:val="lt-LT"/>
              </w:rPr>
              <w:t xml:space="preserve"> </w:t>
            </w:r>
            <w:r w:rsidRPr="0046395A">
              <w:rPr>
                <w:b/>
                <w:bCs/>
                <w:lang w:val="lt-LT"/>
              </w:rPr>
              <w:t>159</w:t>
            </w:r>
          </w:p>
        </w:tc>
        <w:tc>
          <w:tcPr>
            <w:tcW w:w="992" w:type="dxa"/>
            <w:tcBorders>
              <w:top w:val="nil"/>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118</w:t>
            </w:r>
            <w:r w:rsidR="00884A1E">
              <w:rPr>
                <w:b/>
                <w:bCs/>
                <w:lang w:val="lt-LT"/>
              </w:rPr>
              <w:t xml:space="preserve"> </w:t>
            </w:r>
            <w:r w:rsidRPr="0046395A">
              <w:rPr>
                <w:b/>
                <w:bCs/>
                <w:lang w:val="lt-LT"/>
              </w:rPr>
              <w:t>593</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B1A33" w:rsidRPr="0046395A" w:rsidRDefault="001B1A33"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1B1A33" w:rsidRPr="0046395A" w:rsidRDefault="001B1A33" w:rsidP="008E0769">
            <w:pPr>
              <w:rPr>
                <w:lang w:val="lt-LT"/>
              </w:rPr>
            </w:pPr>
          </w:p>
        </w:tc>
      </w:tr>
      <w:tr w:rsidR="001B1A33"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1B1A33" w:rsidRPr="0046395A" w:rsidRDefault="001B1A33" w:rsidP="008E0769">
            <w:pPr>
              <w:jc w:val="center"/>
              <w:rPr>
                <w:lang w:val="lt-LT"/>
              </w:rPr>
            </w:pPr>
            <w:r w:rsidRPr="0046395A">
              <w:rPr>
                <w:lang w:val="lt-LT"/>
              </w:rPr>
              <w:t>I.1.</w:t>
            </w:r>
          </w:p>
        </w:tc>
        <w:tc>
          <w:tcPr>
            <w:tcW w:w="2995" w:type="dxa"/>
            <w:tcBorders>
              <w:top w:val="nil"/>
              <w:left w:val="nil"/>
              <w:bottom w:val="single" w:sz="4" w:space="0" w:color="auto"/>
              <w:right w:val="single" w:sz="4" w:space="0" w:color="auto"/>
            </w:tcBorders>
            <w:shd w:val="clear" w:color="auto" w:fill="auto"/>
            <w:vAlign w:val="bottom"/>
            <w:hideMark/>
          </w:tcPr>
          <w:p w:rsidR="001B1A33" w:rsidRPr="0046395A" w:rsidRDefault="001B1A33" w:rsidP="008E0769">
            <w:pPr>
              <w:rPr>
                <w:lang w:val="lt-LT"/>
              </w:rPr>
            </w:pPr>
            <w:r w:rsidRPr="0046395A">
              <w:rPr>
                <w:lang w:val="lt-LT"/>
              </w:rPr>
              <w:t>Įstatinis (pasirašytasis)</w:t>
            </w:r>
          </w:p>
        </w:tc>
        <w:tc>
          <w:tcPr>
            <w:tcW w:w="992" w:type="dxa"/>
            <w:tcBorders>
              <w:top w:val="nil"/>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119</w:t>
            </w:r>
            <w:r w:rsidR="00884A1E">
              <w:rPr>
                <w:b/>
                <w:bCs/>
                <w:lang w:val="lt-LT"/>
              </w:rPr>
              <w:t xml:space="preserve"> </w:t>
            </w:r>
            <w:r w:rsidRPr="0046395A">
              <w:rPr>
                <w:b/>
                <w:bCs/>
                <w:lang w:val="lt-LT"/>
              </w:rPr>
              <w:t>159</w:t>
            </w:r>
          </w:p>
        </w:tc>
        <w:tc>
          <w:tcPr>
            <w:tcW w:w="992" w:type="dxa"/>
            <w:tcBorders>
              <w:top w:val="nil"/>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118</w:t>
            </w:r>
            <w:r w:rsidR="00884A1E">
              <w:rPr>
                <w:b/>
                <w:bCs/>
                <w:lang w:val="lt-LT"/>
              </w:rPr>
              <w:t xml:space="preserve"> </w:t>
            </w:r>
            <w:r w:rsidRPr="0046395A">
              <w:rPr>
                <w:b/>
                <w:bCs/>
                <w:lang w:val="lt-LT"/>
              </w:rPr>
              <w:t>593</w:t>
            </w:r>
          </w:p>
        </w:tc>
        <w:tc>
          <w:tcPr>
            <w:tcW w:w="1985" w:type="dxa"/>
            <w:tcBorders>
              <w:top w:val="nil"/>
              <w:left w:val="nil"/>
              <w:bottom w:val="single" w:sz="4" w:space="0" w:color="auto"/>
              <w:right w:val="single" w:sz="4" w:space="0" w:color="auto"/>
            </w:tcBorders>
            <w:shd w:val="clear" w:color="auto" w:fill="auto"/>
            <w:noWrap/>
            <w:vAlign w:val="bottom"/>
            <w:hideMark/>
          </w:tcPr>
          <w:p w:rsidR="001B1A33" w:rsidRPr="0046395A" w:rsidRDefault="001B1A33" w:rsidP="00FF7190">
            <w:pPr>
              <w:rPr>
                <w:lang w:val="lt-LT"/>
              </w:rPr>
            </w:pPr>
            <w:r w:rsidRPr="0046395A">
              <w:rPr>
                <w:lang w:val="lt-LT"/>
              </w:rPr>
              <w:t> Nesvarbus, nedaug ir nesudėtingos ūk. op</w:t>
            </w:r>
            <w:r w:rsidR="00FF7190" w:rsidRPr="0046395A">
              <w:rPr>
                <w:lang w:val="lt-LT"/>
              </w:rPr>
              <w:t>.</w:t>
            </w:r>
          </w:p>
        </w:tc>
        <w:tc>
          <w:tcPr>
            <w:tcW w:w="709" w:type="dxa"/>
            <w:tcBorders>
              <w:top w:val="nil"/>
              <w:left w:val="nil"/>
              <w:bottom w:val="single" w:sz="4" w:space="0" w:color="auto"/>
              <w:right w:val="single" w:sz="4" w:space="0" w:color="auto"/>
            </w:tcBorders>
            <w:vAlign w:val="bottom"/>
          </w:tcPr>
          <w:p w:rsidR="001B1A33" w:rsidRPr="0046395A" w:rsidRDefault="001B1A33" w:rsidP="00ED2E3F">
            <w:pPr>
              <w:rPr>
                <w:lang w:val="lt-LT"/>
              </w:rPr>
            </w:pPr>
            <w:r w:rsidRPr="0046395A">
              <w:rPr>
                <w:lang w:val="lt-LT"/>
              </w:rPr>
              <w:t>X</w:t>
            </w:r>
          </w:p>
        </w:tc>
      </w:tr>
      <w:tr w:rsidR="001B1A33"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1B1A33" w:rsidRPr="0046395A" w:rsidRDefault="001B1A33" w:rsidP="008E0769">
            <w:pPr>
              <w:jc w:val="center"/>
              <w:rPr>
                <w:b/>
                <w:bCs/>
                <w:lang w:val="lt-LT"/>
              </w:rPr>
            </w:pPr>
            <w:r w:rsidRPr="0046395A">
              <w:rPr>
                <w:b/>
                <w:bCs/>
                <w:lang w:val="lt-LT"/>
              </w:rPr>
              <w:t>II.</w:t>
            </w:r>
          </w:p>
        </w:tc>
        <w:tc>
          <w:tcPr>
            <w:tcW w:w="2995" w:type="dxa"/>
            <w:tcBorders>
              <w:top w:val="nil"/>
              <w:left w:val="nil"/>
              <w:bottom w:val="single" w:sz="4" w:space="0" w:color="auto"/>
              <w:right w:val="single" w:sz="4" w:space="0" w:color="auto"/>
            </w:tcBorders>
            <w:shd w:val="clear" w:color="auto" w:fill="auto"/>
            <w:vAlign w:val="bottom"/>
            <w:hideMark/>
          </w:tcPr>
          <w:p w:rsidR="001B1A33" w:rsidRPr="0046395A" w:rsidRDefault="001B1A33" w:rsidP="008E0769">
            <w:pPr>
              <w:rPr>
                <w:b/>
                <w:bCs/>
                <w:lang w:val="lt-LT"/>
              </w:rPr>
            </w:pPr>
            <w:r w:rsidRPr="0046395A">
              <w:rPr>
                <w:b/>
                <w:bCs/>
                <w:lang w:val="lt-LT"/>
              </w:rPr>
              <w:t>PERKAINOJIMO REZERVAS (REZULTATAI)</w:t>
            </w:r>
          </w:p>
        </w:tc>
        <w:tc>
          <w:tcPr>
            <w:tcW w:w="992" w:type="dxa"/>
            <w:tcBorders>
              <w:top w:val="nil"/>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0</w:t>
            </w:r>
          </w:p>
        </w:tc>
        <w:tc>
          <w:tcPr>
            <w:tcW w:w="992" w:type="dxa"/>
            <w:tcBorders>
              <w:top w:val="nil"/>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0</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B1A33" w:rsidRPr="0046395A" w:rsidRDefault="001B1A33"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1B1A33" w:rsidRPr="0046395A" w:rsidRDefault="001B1A33" w:rsidP="008E0769">
            <w:pPr>
              <w:rPr>
                <w:lang w:val="lt-LT"/>
              </w:rPr>
            </w:pPr>
          </w:p>
        </w:tc>
      </w:tr>
      <w:tr w:rsidR="001B1A33"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1B1A33" w:rsidRPr="0046395A" w:rsidRDefault="001B1A33" w:rsidP="008E0769">
            <w:pPr>
              <w:jc w:val="center"/>
              <w:rPr>
                <w:b/>
                <w:bCs/>
                <w:lang w:val="lt-LT"/>
              </w:rPr>
            </w:pPr>
            <w:r w:rsidRPr="0046395A">
              <w:rPr>
                <w:b/>
                <w:bCs/>
                <w:lang w:val="lt-LT"/>
              </w:rPr>
              <w:t>III.</w:t>
            </w:r>
          </w:p>
        </w:tc>
        <w:tc>
          <w:tcPr>
            <w:tcW w:w="2995" w:type="dxa"/>
            <w:tcBorders>
              <w:top w:val="nil"/>
              <w:left w:val="nil"/>
              <w:bottom w:val="single" w:sz="4" w:space="0" w:color="auto"/>
              <w:right w:val="single" w:sz="4" w:space="0" w:color="auto"/>
            </w:tcBorders>
            <w:shd w:val="clear" w:color="auto" w:fill="auto"/>
            <w:vAlign w:val="bottom"/>
            <w:hideMark/>
          </w:tcPr>
          <w:p w:rsidR="001B1A33" w:rsidRPr="0046395A" w:rsidRDefault="001B1A33" w:rsidP="008E0769">
            <w:pPr>
              <w:rPr>
                <w:b/>
                <w:bCs/>
                <w:lang w:val="lt-LT"/>
              </w:rPr>
            </w:pPr>
            <w:r w:rsidRPr="0046395A">
              <w:rPr>
                <w:b/>
                <w:bCs/>
                <w:lang w:val="lt-LT"/>
              </w:rPr>
              <w:t>REZERVAI</w:t>
            </w:r>
          </w:p>
        </w:tc>
        <w:tc>
          <w:tcPr>
            <w:tcW w:w="992" w:type="dxa"/>
            <w:tcBorders>
              <w:top w:val="nil"/>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1</w:t>
            </w:r>
            <w:r w:rsidR="00884A1E">
              <w:rPr>
                <w:b/>
                <w:bCs/>
                <w:lang w:val="lt-LT"/>
              </w:rPr>
              <w:t xml:space="preserve"> </w:t>
            </w:r>
            <w:r w:rsidRPr="0046395A">
              <w:rPr>
                <w:b/>
                <w:bCs/>
                <w:lang w:val="lt-LT"/>
              </w:rPr>
              <w:t>248</w:t>
            </w:r>
          </w:p>
        </w:tc>
        <w:tc>
          <w:tcPr>
            <w:tcW w:w="992" w:type="dxa"/>
            <w:tcBorders>
              <w:top w:val="nil"/>
              <w:left w:val="nil"/>
              <w:bottom w:val="single" w:sz="4" w:space="0" w:color="auto"/>
              <w:right w:val="single" w:sz="4" w:space="0" w:color="auto"/>
            </w:tcBorders>
            <w:shd w:val="clear" w:color="auto" w:fill="auto"/>
            <w:noWrap/>
            <w:vAlign w:val="bottom"/>
            <w:hideMark/>
          </w:tcPr>
          <w:p w:rsidR="001B1A33" w:rsidRPr="0046395A" w:rsidRDefault="001B1A33" w:rsidP="008E0769">
            <w:pPr>
              <w:jc w:val="right"/>
              <w:rPr>
                <w:b/>
                <w:bCs/>
                <w:lang w:val="lt-LT"/>
              </w:rPr>
            </w:pPr>
            <w:r w:rsidRPr="0046395A">
              <w:rPr>
                <w:b/>
                <w:bCs/>
                <w:lang w:val="lt-LT"/>
              </w:rPr>
              <w:t>1</w:t>
            </w:r>
            <w:r w:rsidR="00884A1E">
              <w:rPr>
                <w:b/>
                <w:bCs/>
                <w:lang w:val="lt-LT"/>
              </w:rPr>
              <w:t xml:space="preserve"> </w:t>
            </w:r>
            <w:r w:rsidRPr="0046395A">
              <w:rPr>
                <w:b/>
                <w:bCs/>
                <w:lang w:val="lt-LT"/>
              </w:rPr>
              <w:t>248</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B1A33" w:rsidRPr="0046395A" w:rsidRDefault="001B1A33"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1B1A33" w:rsidRPr="0046395A" w:rsidRDefault="001B1A33" w:rsidP="008E0769">
            <w:pPr>
              <w:rPr>
                <w:lang w:val="lt-LT"/>
              </w:rPr>
            </w:pP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III.1.</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Privalomasis</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1</w:t>
            </w:r>
            <w:r w:rsidR="00884A1E">
              <w:rPr>
                <w:lang w:val="lt-LT"/>
              </w:rPr>
              <w:t xml:space="preserve"> </w:t>
            </w:r>
            <w:r w:rsidRPr="0046395A">
              <w:rPr>
                <w:lang w:val="lt-LT"/>
              </w:rPr>
              <w:t>248</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1</w:t>
            </w:r>
            <w:r w:rsidR="00884A1E">
              <w:rPr>
                <w:lang w:val="lt-LT"/>
              </w:rPr>
              <w:t xml:space="preserve"> </w:t>
            </w:r>
            <w:r w:rsidRPr="0046395A">
              <w:rPr>
                <w:lang w:val="lt-LT"/>
              </w:rPr>
              <w:t>248</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FF7190">
            <w:pPr>
              <w:rPr>
                <w:lang w:val="lt-LT"/>
              </w:rPr>
            </w:pPr>
            <w:r w:rsidRPr="0046395A">
              <w:rPr>
                <w:lang w:val="lt-LT"/>
              </w:rPr>
              <w:t> Nesvarbus, nedaug ir nesudėtingos ūk. op</w:t>
            </w:r>
            <w:r w:rsidR="00FF7190" w:rsidRPr="0046395A">
              <w:rPr>
                <w:lang w:val="lt-LT"/>
              </w:rPr>
              <w:t>.</w:t>
            </w:r>
          </w:p>
        </w:tc>
        <w:tc>
          <w:tcPr>
            <w:tcW w:w="709" w:type="dxa"/>
            <w:tcBorders>
              <w:top w:val="nil"/>
              <w:left w:val="nil"/>
              <w:bottom w:val="single" w:sz="4" w:space="0" w:color="auto"/>
              <w:right w:val="single" w:sz="4" w:space="0" w:color="auto"/>
            </w:tcBorders>
            <w:vAlign w:val="bottom"/>
          </w:tcPr>
          <w:p w:rsidR="00093504" w:rsidRPr="0046395A" w:rsidRDefault="00093504" w:rsidP="00ED2E3F">
            <w:pPr>
              <w:rPr>
                <w:lang w:val="lt-LT"/>
              </w:rPr>
            </w:pPr>
            <w:r w:rsidRPr="0046395A">
              <w:rPr>
                <w:lang w:val="lt-LT"/>
              </w:rPr>
              <w:t>X</w:t>
            </w:r>
          </w:p>
        </w:tc>
      </w:tr>
      <w:tr w:rsidR="00093504" w:rsidRPr="0046395A" w:rsidTr="00A8307E">
        <w:trPr>
          <w:trHeight w:val="450"/>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b/>
                <w:bCs/>
                <w:lang w:val="lt-LT"/>
              </w:rPr>
            </w:pPr>
            <w:r w:rsidRPr="0046395A">
              <w:rPr>
                <w:b/>
                <w:bCs/>
                <w:lang w:val="lt-LT"/>
              </w:rPr>
              <w:t>IV.</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b/>
                <w:bCs/>
                <w:lang w:val="lt-LT"/>
              </w:rPr>
            </w:pPr>
            <w:r w:rsidRPr="0046395A">
              <w:rPr>
                <w:b/>
                <w:bCs/>
                <w:lang w:val="lt-LT"/>
              </w:rPr>
              <w:t>NEPASKIRSTYTASIS PELNAS (NUOSTOLIAI)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(14</w:t>
            </w:r>
            <w:r w:rsidR="00884A1E">
              <w:rPr>
                <w:b/>
                <w:bCs/>
                <w:lang w:val="lt-LT"/>
              </w:rPr>
              <w:t xml:space="preserve"> </w:t>
            </w:r>
            <w:r w:rsidRPr="0046395A">
              <w:rPr>
                <w:b/>
                <w:bCs/>
                <w:lang w:val="lt-LT"/>
              </w:rPr>
              <w:t>945)</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(5</w:t>
            </w:r>
            <w:r w:rsidR="00884A1E">
              <w:rPr>
                <w:b/>
                <w:bCs/>
                <w:lang w:val="lt-LT"/>
              </w:rPr>
              <w:t xml:space="preserve"> </w:t>
            </w:r>
            <w:r w:rsidRPr="0046395A">
              <w:rPr>
                <w:b/>
                <w:bCs/>
                <w:lang w:val="lt-LT"/>
              </w:rPr>
              <w:t>061)</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093504" w:rsidRPr="0046395A" w:rsidRDefault="00093504"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093504" w:rsidRPr="0046395A" w:rsidRDefault="00093504" w:rsidP="008E0769">
            <w:pPr>
              <w:rPr>
                <w:lang w:val="lt-LT"/>
              </w:rPr>
            </w:pP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IV.1.</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Ataskaitinių metų pelnas (nuostoliai)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(9</w:t>
            </w:r>
            <w:r w:rsidR="00884A1E">
              <w:rPr>
                <w:lang w:val="lt-LT"/>
              </w:rPr>
              <w:t xml:space="preserve"> </w:t>
            </w:r>
            <w:r w:rsidRPr="0046395A">
              <w:rPr>
                <w:lang w:val="lt-LT"/>
              </w:rPr>
              <w:t>884)</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(9</w:t>
            </w:r>
            <w:r w:rsidR="00884A1E">
              <w:rPr>
                <w:lang w:val="lt-LT"/>
              </w:rPr>
              <w:t xml:space="preserve"> </w:t>
            </w:r>
            <w:r w:rsidRPr="0046395A">
              <w:rPr>
                <w:lang w:val="lt-LT"/>
              </w:rPr>
              <w:t>333)</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093504" w:rsidRPr="0046395A" w:rsidRDefault="00093504"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093504" w:rsidRPr="0046395A" w:rsidRDefault="00093504" w:rsidP="008E0769">
            <w:pPr>
              <w:rPr>
                <w:lang w:val="lt-LT"/>
              </w:rPr>
            </w:pP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IV.2.</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Ankstesnių metų pelnas (nuostoliai)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(5</w:t>
            </w:r>
            <w:r w:rsidR="00884A1E">
              <w:rPr>
                <w:lang w:val="lt-LT"/>
              </w:rPr>
              <w:t xml:space="preserve"> </w:t>
            </w:r>
            <w:r w:rsidRPr="0046395A">
              <w:rPr>
                <w:lang w:val="lt-LT"/>
              </w:rPr>
              <w:t>061)</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4</w:t>
            </w:r>
            <w:r w:rsidR="00884A1E">
              <w:rPr>
                <w:lang w:val="lt-LT"/>
              </w:rPr>
              <w:t xml:space="preserve"> </w:t>
            </w:r>
            <w:r w:rsidRPr="0046395A">
              <w:rPr>
                <w:lang w:val="lt-LT"/>
              </w:rPr>
              <w:t>272</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093504" w:rsidRPr="0046395A" w:rsidRDefault="00093504"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093504" w:rsidRPr="0046395A" w:rsidRDefault="00093504" w:rsidP="008E0769">
            <w:pPr>
              <w:rPr>
                <w:lang w:val="lt-LT"/>
              </w:rPr>
            </w:pP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b/>
                <w:bCs/>
                <w:lang w:val="lt-LT"/>
              </w:rPr>
            </w:pPr>
            <w:r w:rsidRPr="0046395A">
              <w:rPr>
                <w:b/>
                <w:bCs/>
                <w:lang w:val="lt-LT"/>
              </w:rPr>
              <w:t>D.</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b/>
                <w:bCs/>
                <w:lang w:val="lt-LT"/>
              </w:rPr>
            </w:pPr>
            <w:r w:rsidRPr="0046395A">
              <w:rPr>
                <w:b/>
                <w:bCs/>
                <w:lang w:val="lt-LT"/>
              </w:rPr>
              <w:t>DOTACIJOS, SUBSIDIJOS</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54</w:t>
            </w:r>
            <w:r w:rsidR="00884A1E">
              <w:rPr>
                <w:b/>
                <w:bCs/>
                <w:lang w:val="lt-LT"/>
              </w:rPr>
              <w:t xml:space="preserve"> </w:t>
            </w:r>
            <w:r w:rsidRPr="0046395A">
              <w:rPr>
                <w:b/>
                <w:bCs/>
                <w:lang w:val="lt-LT"/>
              </w:rPr>
              <w:t>630</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43</w:t>
            </w:r>
            <w:r w:rsidR="00884A1E">
              <w:rPr>
                <w:b/>
                <w:bCs/>
                <w:lang w:val="lt-LT"/>
              </w:rPr>
              <w:t xml:space="preserve"> </w:t>
            </w:r>
            <w:r w:rsidRPr="0046395A">
              <w:rPr>
                <w:b/>
                <w:bCs/>
                <w:lang w:val="lt-LT"/>
              </w:rPr>
              <w:t>346</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FF7190">
            <w:pPr>
              <w:rPr>
                <w:lang w:val="lt-LT"/>
              </w:rPr>
            </w:pPr>
            <w:r w:rsidRPr="0046395A">
              <w:rPr>
                <w:lang w:val="lt-LT"/>
              </w:rPr>
              <w:t> Nesvarbus, nedaug ir nesudėtingos ūk. op</w:t>
            </w:r>
            <w:r w:rsidR="00FF7190" w:rsidRPr="0046395A">
              <w:rPr>
                <w:lang w:val="lt-LT"/>
              </w:rPr>
              <w:t>.</w:t>
            </w:r>
          </w:p>
        </w:tc>
        <w:tc>
          <w:tcPr>
            <w:tcW w:w="709" w:type="dxa"/>
            <w:tcBorders>
              <w:top w:val="nil"/>
              <w:left w:val="nil"/>
              <w:bottom w:val="single" w:sz="4" w:space="0" w:color="auto"/>
              <w:right w:val="single" w:sz="4" w:space="0" w:color="auto"/>
            </w:tcBorders>
            <w:vAlign w:val="bottom"/>
          </w:tcPr>
          <w:p w:rsidR="00093504" w:rsidRPr="0046395A" w:rsidRDefault="00093504" w:rsidP="00ED2E3F">
            <w:pPr>
              <w:rPr>
                <w:lang w:val="lt-LT"/>
              </w:rPr>
            </w:pPr>
            <w:r w:rsidRPr="0046395A">
              <w:rPr>
                <w:lang w:val="lt-LT"/>
              </w:rPr>
              <w:t>X</w:t>
            </w: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b/>
                <w:bCs/>
                <w:lang w:val="lt-LT"/>
              </w:rPr>
            </w:pPr>
            <w:r w:rsidRPr="0046395A">
              <w:rPr>
                <w:b/>
                <w:bCs/>
                <w:lang w:val="lt-LT"/>
              </w:rPr>
              <w:t>E.</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b/>
                <w:bCs/>
                <w:lang w:val="lt-LT"/>
              </w:rPr>
            </w:pPr>
            <w:r w:rsidRPr="0046395A">
              <w:rPr>
                <w:b/>
                <w:bCs/>
                <w:lang w:val="lt-LT"/>
              </w:rPr>
              <w:t>MOKĖTINOS SUMOS IR ĮSIPAREIGOJIMAI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225</w:t>
            </w:r>
            <w:r w:rsidR="00884A1E">
              <w:rPr>
                <w:b/>
                <w:bCs/>
                <w:lang w:val="lt-LT"/>
              </w:rPr>
              <w:t xml:space="preserve"> </w:t>
            </w:r>
            <w:r w:rsidRPr="0046395A">
              <w:rPr>
                <w:b/>
                <w:bCs/>
                <w:lang w:val="lt-LT"/>
              </w:rPr>
              <w:t>476</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220</w:t>
            </w:r>
            <w:r w:rsidR="00884A1E">
              <w:rPr>
                <w:b/>
                <w:bCs/>
                <w:lang w:val="lt-LT"/>
              </w:rPr>
              <w:t xml:space="preserve"> </w:t>
            </w:r>
            <w:r w:rsidRPr="0046395A">
              <w:rPr>
                <w:b/>
                <w:bCs/>
                <w:lang w:val="lt-LT"/>
              </w:rPr>
              <w:t>750</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093504" w:rsidRPr="0046395A" w:rsidRDefault="00093504"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093504" w:rsidRPr="0046395A" w:rsidRDefault="00093504" w:rsidP="008E0769">
            <w:pPr>
              <w:rPr>
                <w:lang w:val="lt-LT"/>
              </w:rPr>
            </w:pPr>
          </w:p>
        </w:tc>
      </w:tr>
      <w:tr w:rsidR="00093504" w:rsidRPr="0046395A" w:rsidTr="00A8307E">
        <w:trPr>
          <w:trHeight w:val="450"/>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b/>
                <w:bCs/>
                <w:lang w:val="lt-LT"/>
              </w:rPr>
            </w:pPr>
            <w:r w:rsidRPr="0046395A">
              <w:rPr>
                <w:b/>
                <w:bCs/>
                <w:lang w:val="lt-LT"/>
              </w:rPr>
              <w:t>I.</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CE452F">
            <w:pPr>
              <w:rPr>
                <w:b/>
                <w:bCs/>
                <w:lang w:val="lt-LT"/>
              </w:rPr>
            </w:pPr>
            <w:r w:rsidRPr="0046395A">
              <w:rPr>
                <w:b/>
                <w:bCs/>
                <w:lang w:val="lt-LT"/>
              </w:rPr>
              <w:t>PO VIENERIŲ METŲ MOKĖT</w:t>
            </w:r>
            <w:r w:rsidR="00CE452F" w:rsidRPr="0046395A">
              <w:rPr>
                <w:b/>
                <w:bCs/>
                <w:lang w:val="lt-LT"/>
              </w:rPr>
              <w:t>.</w:t>
            </w:r>
            <w:r w:rsidRPr="0046395A">
              <w:rPr>
                <w:b/>
                <w:bCs/>
                <w:lang w:val="lt-LT"/>
              </w:rPr>
              <w:t xml:space="preserve"> SUMOS IR ILG. ĮSIPAREIGOJIMAI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155</w:t>
            </w:r>
            <w:r w:rsidR="00884A1E">
              <w:rPr>
                <w:b/>
                <w:bCs/>
                <w:lang w:val="lt-LT"/>
              </w:rPr>
              <w:t xml:space="preserve"> </w:t>
            </w:r>
            <w:r w:rsidRPr="0046395A">
              <w:rPr>
                <w:b/>
                <w:bCs/>
                <w:lang w:val="lt-LT"/>
              </w:rPr>
              <w:t>416</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140</w:t>
            </w:r>
            <w:r w:rsidR="00884A1E">
              <w:rPr>
                <w:b/>
                <w:bCs/>
                <w:lang w:val="lt-LT"/>
              </w:rPr>
              <w:t xml:space="preserve"> </w:t>
            </w:r>
            <w:r w:rsidRPr="0046395A">
              <w:rPr>
                <w:b/>
                <w:bCs/>
                <w:lang w:val="lt-LT"/>
              </w:rPr>
              <w:t>503</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093504" w:rsidRPr="0046395A" w:rsidRDefault="00093504"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093504" w:rsidRPr="0046395A" w:rsidRDefault="00093504" w:rsidP="008E0769">
            <w:pPr>
              <w:rPr>
                <w:lang w:val="lt-LT"/>
              </w:rPr>
            </w:pPr>
          </w:p>
        </w:tc>
      </w:tr>
      <w:tr w:rsidR="00093504" w:rsidRPr="0046395A" w:rsidTr="00A8307E">
        <w:trPr>
          <w:trHeight w:val="330"/>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I.1.</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Finansinės skolos</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152</w:t>
            </w:r>
            <w:r w:rsidR="00884A1E">
              <w:rPr>
                <w:b/>
                <w:bCs/>
                <w:lang w:val="lt-LT"/>
              </w:rPr>
              <w:t xml:space="preserve"> </w:t>
            </w:r>
            <w:r w:rsidRPr="0046395A">
              <w:rPr>
                <w:b/>
                <w:bCs/>
                <w:lang w:val="lt-LT"/>
              </w:rPr>
              <w:t>953</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133</w:t>
            </w:r>
            <w:r w:rsidR="00884A1E">
              <w:rPr>
                <w:b/>
                <w:bCs/>
                <w:lang w:val="lt-LT"/>
              </w:rPr>
              <w:t xml:space="preserve"> </w:t>
            </w:r>
            <w:r w:rsidRPr="0046395A">
              <w:rPr>
                <w:b/>
                <w:bCs/>
                <w:lang w:val="lt-LT"/>
              </w:rPr>
              <w:t>381</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093504" w:rsidRPr="0046395A" w:rsidRDefault="00093504" w:rsidP="00ED2E3F">
            <w:pPr>
              <w:rPr>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093504" w:rsidRPr="0046395A" w:rsidRDefault="00093504" w:rsidP="00ED2E3F">
            <w:pPr>
              <w:rPr>
                <w:lang w:val="lt-LT"/>
              </w:rPr>
            </w:pP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I.1.1.</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Kredito įstaigoms</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151</w:t>
            </w:r>
            <w:r w:rsidR="00884A1E">
              <w:rPr>
                <w:lang w:val="lt-LT"/>
              </w:rPr>
              <w:t xml:space="preserve"> </w:t>
            </w:r>
            <w:r w:rsidRPr="0046395A">
              <w:rPr>
                <w:lang w:val="lt-LT"/>
              </w:rPr>
              <w:t>072</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130</w:t>
            </w:r>
            <w:r w:rsidR="00884A1E">
              <w:rPr>
                <w:lang w:val="lt-LT"/>
              </w:rPr>
              <w:t xml:space="preserve"> </w:t>
            </w:r>
            <w:r w:rsidRPr="0046395A">
              <w:rPr>
                <w:lang w:val="lt-LT"/>
              </w:rPr>
              <w:t>446</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093504">
            <w:pPr>
              <w:rPr>
                <w:lang w:val="lt-LT"/>
              </w:rPr>
            </w:pPr>
            <w:r w:rsidRPr="0046395A">
              <w:rPr>
                <w:lang w:val="lt-LT"/>
              </w:rPr>
              <w:t>Svarbus (finansinių ataskaitų sudarymo procesas)</w:t>
            </w:r>
          </w:p>
        </w:tc>
        <w:tc>
          <w:tcPr>
            <w:tcW w:w="709" w:type="dxa"/>
            <w:tcBorders>
              <w:top w:val="nil"/>
              <w:left w:val="nil"/>
              <w:bottom w:val="single" w:sz="4" w:space="0" w:color="auto"/>
              <w:right w:val="single" w:sz="4" w:space="0" w:color="auto"/>
            </w:tcBorders>
            <w:vAlign w:val="bottom"/>
          </w:tcPr>
          <w:p w:rsidR="00093504" w:rsidRPr="00AA2B0D" w:rsidRDefault="00A8307E" w:rsidP="00AA2B0D">
            <w:pPr>
              <w:jc w:val="center"/>
              <w:rPr>
                <w:b/>
                <w:lang w:val="lt-LT"/>
              </w:rPr>
            </w:pPr>
            <w:r w:rsidRPr="00AA2B0D">
              <w:rPr>
                <w:b/>
                <w:lang w:val="lt-LT"/>
              </w:rPr>
              <w:t>V</w:t>
            </w: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I.1.3.</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Kitos finansinės skolos</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1</w:t>
            </w:r>
            <w:r w:rsidR="00884A1E">
              <w:rPr>
                <w:lang w:val="lt-LT"/>
              </w:rPr>
              <w:t xml:space="preserve"> </w:t>
            </w:r>
            <w:r w:rsidRPr="0046395A">
              <w:rPr>
                <w:lang w:val="lt-LT"/>
              </w:rPr>
              <w:t>881</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2</w:t>
            </w:r>
            <w:r w:rsidR="00884A1E">
              <w:rPr>
                <w:lang w:val="lt-LT"/>
              </w:rPr>
              <w:t xml:space="preserve"> </w:t>
            </w:r>
            <w:r w:rsidRPr="0046395A">
              <w:rPr>
                <w:lang w:val="lt-LT"/>
              </w:rPr>
              <w:t>935</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ED2E3F">
            <w:pPr>
              <w:rPr>
                <w:lang w:val="lt-LT"/>
              </w:rPr>
            </w:pPr>
            <w:r w:rsidRPr="0046395A">
              <w:rPr>
                <w:lang w:val="lt-LT"/>
              </w:rPr>
              <w:t>t. p. </w:t>
            </w:r>
          </w:p>
        </w:tc>
        <w:tc>
          <w:tcPr>
            <w:tcW w:w="709" w:type="dxa"/>
            <w:tcBorders>
              <w:top w:val="nil"/>
              <w:left w:val="nil"/>
              <w:bottom w:val="single" w:sz="4" w:space="0" w:color="auto"/>
              <w:right w:val="single" w:sz="4" w:space="0" w:color="auto"/>
            </w:tcBorders>
            <w:vAlign w:val="bottom"/>
          </w:tcPr>
          <w:p w:rsidR="00093504" w:rsidRPr="0046395A" w:rsidRDefault="00093504" w:rsidP="00ED2E3F">
            <w:pPr>
              <w:rPr>
                <w:lang w:val="lt-LT"/>
              </w:rPr>
            </w:pPr>
            <w:r w:rsidRPr="0046395A">
              <w:rPr>
                <w:lang w:val="lt-LT"/>
              </w:rPr>
              <w:t>t. p. </w:t>
            </w: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I.2.</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Skolos tiekėjams</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2</w:t>
            </w:r>
            <w:r w:rsidR="00884A1E">
              <w:rPr>
                <w:lang w:val="lt-LT"/>
              </w:rPr>
              <w:t xml:space="preserve"> </w:t>
            </w:r>
            <w:r w:rsidRPr="0046395A">
              <w:rPr>
                <w:lang w:val="lt-LT"/>
              </w:rPr>
              <w:t>464</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6</w:t>
            </w:r>
            <w:r w:rsidR="00884A1E">
              <w:rPr>
                <w:lang w:val="lt-LT"/>
              </w:rPr>
              <w:t xml:space="preserve"> </w:t>
            </w:r>
            <w:r w:rsidRPr="0046395A">
              <w:rPr>
                <w:lang w:val="lt-LT"/>
              </w:rPr>
              <w:t>598</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23439D">
            <w:pPr>
              <w:rPr>
                <w:lang w:val="lt-LT"/>
              </w:rPr>
            </w:pPr>
            <w:r w:rsidRPr="0046395A">
              <w:rPr>
                <w:lang w:val="lt-LT"/>
              </w:rPr>
              <w:t>Svarbus (</w:t>
            </w:r>
            <w:r w:rsidR="0023439D" w:rsidRPr="0046395A">
              <w:rPr>
                <w:lang w:val="lt-LT"/>
              </w:rPr>
              <w:t>pirkimų</w:t>
            </w:r>
            <w:r w:rsidRPr="0046395A">
              <w:rPr>
                <w:lang w:val="lt-LT"/>
              </w:rPr>
              <w:t xml:space="preserve"> procesas)</w:t>
            </w:r>
          </w:p>
        </w:tc>
        <w:tc>
          <w:tcPr>
            <w:tcW w:w="709" w:type="dxa"/>
            <w:tcBorders>
              <w:top w:val="nil"/>
              <w:left w:val="nil"/>
              <w:bottom w:val="single" w:sz="4" w:space="0" w:color="auto"/>
              <w:right w:val="single" w:sz="4" w:space="0" w:color="auto"/>
            </w:tcBorders>
            <w:vAlign w:val="bottom"/>
          </w:tcPr>
          <w:p w:rsidR="00093504" w:rsidRPr="00AA2B0D" w:rsidRDefault="00093504" w:rsidP="00AA2B0D">
            <w:pPr>
              <w:jc w:val="center"/>
              <w:rPr>
                <w:b/>
                <w:lang w:val="lt-LT"/>
              </w:rPr>
            </w:pPr>
            <w:r w:rsidRPr="00AA2B0D">
              <w:rPr>
                <w:b/>
                <w:lang w:val="lt-LT"/>
              </w:rPr>
              <w:t>I</w:t>
            </w: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I.4.</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Atidėtieji mokesčiai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0</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524</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ED2E3F">
            <w:pPr>
              <w:rPr>
                <w:lang w:val="lt-LT"/>
              </w:rPr>
            </w:pPr>
            <w:r w:rsidRPr="0046395A">
              <w:rPr>
                <w:lang w:val="lt-LT"/>
              </w:rPr>
              <w:t>Nesvarbus</w:t>
            </w:r>
          </w:p>
        </w:tc>
        <w:tc>
          <w:tcPr>
            <w:tcW w:w="709" w:type="dxa"/>
            <w:tcBorders>
              <w:top w:val="nil"/>
              <w:left w:val="nil"/>
              <w:bottom w:val="single" w:sz="4" w:space="0" w:color="auto"/>
              <w:right w:val="single" w:sz="4" w:space="0" w:color="auto"/>
            </w:tcBorders>
            <w:vAlign w:val="bottom"/>
          </w:tcPr>
          <w:p w:rsidR="00093504" w:rsidRPr="0046395A" w:rsidRDefault="00093504" w:rsidP="00ED2E3F">
            <w:pPr>
              <w:rPr>
                <w:lang w:val="lt-LT"/>
              </w:rPr>
            </w:pPr>
            <w:r w:rsidRPr="0046395A">
              <w:rPr>
                <w:lang w:val="lt-LT"/>
              </w:rPr>
              <w:t>X</w:t>
            </w:r>
          </w:p>
        </w:tc>
      </w:tr>
      <w:tr w:rsidR="00093504" w:rsidRPr="0046395A" w:rsidTr="00A8307E">
        <w:trPr>
          <w:trHeight w:val="67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b/>
                <w:bCs/>
                <w:lang w:val="lt-LT"/>
              </w:rPr>
            </w:pPr>
            <w:r w:rsidRPr="0046395A">
              <w:rPr>
                <w:b/>
                <w:bCs/>
                <w:lang w:val="lt-LT"/>
              </w:rPr>
              <w:t>II.</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CE452F">
            <w:pPr>
              <w:rPr>
                <w:b/>
                <w:bCs/>
                <w:lang w:val="lt-LT"/>
              </w:rPr>
            </w:pPr>
            <w:r w:rsidRPr="0046395A">
              <w:rPr>
                <w:b/>
                <w:bCs/>
                <w:lang w:val="lt-LT"/>
              </w:rPr>
              <w:t>PER VIENERIUS METUS MOKĖT</w:t>
            </w:r>
            <w:r w:rsidR="00CE452F" w:rsidRPr="0046395A">
              <w:rPr>
                <w:b/>
                <w:bCs/>
                <w:lang w:val="lt-LT"/>
              </w:rPr>
              <w:t>.</w:t>
            </w:r>
            <w:r w:rsidRPr="0046395A">
              <w:rPr>
                <w:b/>
                <w:bCs/>
                <w:lang w:val="lt-LT"/>
              </w:rPr>
              <w:t xml:space="preserve"> SUMOS IR TRUMP. ĮSIPAREIGOJIMAI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70</w:t>
            </w:r>
            <w:r w:rsidR="00884A1E">
              <w:rPr>
                <w:b/>
                <w:bCs/>
                <w:lang w:val="lt-LT"/>
              </w:rPr>
              <w:t xml:space="preserve"> </w:t>
            </w:r>
            <w:r w:rsidRPr="0046395A">
              <w:rPr>
                <w:b/>
                <w:bCs/>
                <w:lang w:val="lt-LT"/>
              </w:rPr>
              <w:t>060</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b/>
                <w:bCs/>
                <w:lang w:val="lt-LT"/>
              </w:rPr>
            </w:pPr>
            <w:r w:rsidRPr="0046395A">
              <w:rPr>
                <w:b/>
                <w:bCs/>
                <w:lang w:val="lt-LT"/>
              </w:rPr>
              <w:t>80</w:t>
            </w:r>
            <w:r w:rsidR="00884A1E">
              <w:rPr>
                <w:b/>
                <w:bCs/>
                <w:lang w:val="lt-LT"/>
              </w:rPr>
              <w:t xml:space="preserve"> </w:t>
            </w:r>
            <w:r w:rsidRPr="0046395A">
              <w:rPr>
                <w:b/>
                <w:bCs/>
                <w:lang w:val="lt-LT"/>
              </w:rPr>
              <w:t>248</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093504" w:rsidRPr="0046395A" w:rsidRDefault="00093504"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rsidR="00093504" w:rsidRPr="0046395A" w:rsidRDefault="00093504" w:rsidP="008E0769">
            <w:pPr>
              <w:rPr>
                <w:lang w:val="lt-LT"/>
              </w:rPr>
            </w:pP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II.1.</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Ilgalaikių skolų einamųjų metų dalis</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18</w:t>
            </w:r>
            <w:r w:rsidR="00884A1E">
              <w:rPr>
                <w:lang w:val="lt-LT"/>
              </w:rPr>
              <w:t xml:space="preserve"> </w:t>
            </w:r>
            <w:r w:rsidRPr="0046395A">
              <w:rPr>
                <w:lang w:val="lt-LT"/>
              </w:rPr>
              <w:t>815</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18</w:t>
            </w:r>
            <w:r w:rsidR="00884A1E">
              <w:rPr>
                <w:lang w:val="lt-LT"/>
              </w:rPr>
              <w:t xml:space="preserve"> </w:t>
            </w:r>
            <w:r w:rsidRPr="0046395A">
              <w:rPr>
                <w:lang w:val="lt-LT"/>
              </w:rPr>
              <w:t>262</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ED2E3F">
            <w:pPr>
              <w:rPr>
                <w:lang w:val="lt-LT"/>
              </w:rPr>
            </w:pPr>
            <w:r w:rsidRPr="0046395A">
              <w:rPr>
                <w:lang w:val="lt-LT"/>
              </w:rPr>
              <w:t>Svarbus (finansinių ataskaitų sudarymo procesas)</w:t>
            </w:r>
          </w:p>
        </w:tc>
        <w:tc>
          <w:tcPr>
            <w:tcW w:w="709" w:type="dxa"/>
            <w:tcBorders>
              <w:top w:val="nil"/>
              <w:left w:val="nil"/>
              <w:bottom w:val="single" w:sz="4" w:space="0" w:color="auto"/>
              <w:right w:val="single" w:sz="4" w:space="0" w:color="auto"/>
            </w:tcBorders>
            <w:vAlign w:val="bottom"/>
          </w:tcPr>
          <w:p w:rsidR="00093504" w:rsidRPr="00AA2B0D" w:rsidRDefault="00A8307E" w:rsidP="00AA2B0D">
            <w:pPr>
              <w:jc w:val="center"/>
              <w:rPr>
                <w:b/>
                <w:lang w:val="lt-LT"/>
              </w:rPr>
            </w:pPr>
            <w:r w:rsidRPr="00AA2B0D">
              <w:rPr>
                <w:b/>
                <w:lang w:val="lt-LT"/>
              </w:rPr>
              <w:t>V</w:t>
            </w: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II.2.</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Skolos tiekėjams</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47</w:t>
            </w:r>
            <w:r w:rsidR="00884A1E">
              <w:rPr>
                <w:lang w:val="lt-LT"/>
              </w:rPr>
              <w:t xml:space="preserve"> </w:t>
            </w:r>
            <w:r w:rsidRPr="0046395A">
              <w:rPr>
                <w:lang w:val="lt-LT"/>
              </w:rPr>
              <w:t>493</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58</w:t>
            </w:r>
            <w:r w:rsidR="00884A1E">
              <w:rPr>
                <w:lang w:val="lt-LT"/>
              </w:rPr>
              <w:t xml:space="preserve"> </w:t>
            </w:r>
            <w:r w:rsidRPr="0046395A">
              <w:rPr>
                <w:lang w:val="lt-LT"/>
              </w:rPr>
              <w:t>718</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23439D">
            <w:pPr>
              <w:rPr>
                <w:lang w:val="lt-LT"/>
              </w:rPr>
            </w:pPr>
            <w:r w:rsidRPr="0046395A">
              <w:rPr>
                <w:lang w:val="lt-LT"/>
              </w:rPr>
              <w:t>Svarbus (</w:t>
            </w:r>
            <w:r w:rsidR="0023439D" w:rsidRPr="0046395A">
              <w:rPr>
                <w:lang w:val="lt-LT"/>
              </w:rPr>
              <w:t>pirkimų</w:t>
            </w:r>
            <w:r w:rsidRPr="0046395A">
              <w:rPr>
                <w:lang w:val="lt-LT"/>
              </w:rPr>
              <w:t xml:space="preserve"> procesas)</w:t>
            </w:r>
          </w:p>
        </w:tc>
        <w:tc>
          <w:tcPr>
            <w:tcW w:w="709" w:type="dxa"/>
            <w:tcBorders>
              <w:top w:val="nil"/>
              <w:left w:val="nil"/>
              <w:bottom w:val="single" w:sz="4" w:space="0" w:color="auto"/>
              <w:right w:val="single" w:sz="4" w:space="0" w:color="auto"/>
            </w:tcBorders>
            <w:vAlign w:val="bottom"/>
          </w:tcPr>
          <w:p w:rsidR="00093504" w:rsidRPr="00AA2B0D" w:rsidRDefault="00093504" w:rsidP="00AA2B0D">
            <w:pPr>
              <w:jc w:val="center"/>
              <w:rPr>
                <w:b/>
                <w:lang w:val="lt-LT"/>
              </w:rPr>
            </w:pPr>
            <w:r w:rsidRPr="00AA2B0D">
              <w:rPr>
                <w:b/>
                <w:lang w:val="lt-LT"/>
              </w:rPr>
              <w:t>I</w:t>
            </w: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II.3.</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Gauti išankstiniai apmokėjimai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294</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146</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ED2E3F">
            <w:pPr>
              <w:rPr>
                <w:lang w:val="lt-LT"/>
              </w:rPr>
            </w:pPr>
            <w:r w:rsidRPr="0046395A">
              <w:rPr>
                <w:lang w:val="lt-LT"/>
              </w:rPr>
              <w:t>Nesvarbus</w:t>
            </w:r>
          </w:p>
        </w:tc>
        <w:tc>
          <w:tcPr>
            <w:tcW w:w="709" w:type="dxa"/>
            <w:tcBorders>
              <w:top w:val="nil"/>
              <w:left w:val="nil"/>
              <w:bottom w:val="single" w:sz="4" w:space="0" w:color="auto"/>
              <w:right w:val="single" w:sz="4" w:space="0" w:color="auto"/>
            </w:tcBorders>
            <w:vAlign w:val="bottom"/>
          </w:tcPr>
          <w:p w:rsidR="00093504" w:rsidRPr="0046395A" w:rsidRDefault="00093504" w:rsidP="00ED2E3F">
            <w:pPr>
              <w:rPr>
                <w:lang w:val="lt-LT"/>
              </w:rPr>
            </w:pPr>
            <w:r w:rsidRPr="0046395A">
              <w:rPr>
                <w:lang w:val="lt-LT"/>
              </w:rPr>
              <w:t>X</w:t>
            </w: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II.4.</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Su darbo santykiais susiję įsipareigojimai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2</w:t>
            </w:r>
            <w:r w:rsidR="00884A1E">
              <w:rPr>
                <w:lang w:val="lt-LT"/>
              </w:rPr>
              <w:t xml:space="preserve"> </w:t>
            </w:r>
            <w:r w:rsidRPr="0046395A">
              <w:rPr>
                <w:lang w:val="lt-LT"/>
              </w:rPr>
              <w:t>872</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2</w:t>
            </w:r>
            <w:r w:rsidR="00884A1E">
              <w:rPr>
                <w:lang w:val="lt-LT"/>
              </w:rPr>
              <w:t xml:space="preserve"> </w:t>
            </w:r>
            <w:r w:rsidRPr="0046395A">
              <w:rPr>
                <w:lang w:val="lt-LT"/>
              </w:rPr>
              <w:t>653</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093504">
            <w:pPr>
              <w:rPr>
                <w:lang w:val="lt-LT"/>
              </w:rPr>
            </w:pPr>
            <w:r w:rsidRPr="0046395A">
              <w:rPr>
                <w:lang w:val="lt-LT"/>
              </w:rPr>
              <w:t>Svarbus (darbo apmokėjimo procesas)</w:t>
            </w:r>
          </w:p>
        </w:tc>
        <w:tc>
          <w:tcPr>
            <w:tcW w:w="709" w:type="dxa"/>
            <w:tcBorders>
              <w:top w:val="nil"/>
              <w:left w:val="nil"/>
              <w:bottom w:val="single" w:sz="4" w:space="0" w:color="auto"/>
              <w:right w:val="single" w:sz="4" w:space="0" w:color="auto"/>
            </w:tcBorders>
            <w:vAlign w:val="bottom"/>
          </w:tcPr>
          <w:p w:rsidR="00093504" w:rsidRPr="00AA2B0D" w:rsidRDefault="00093504" w:rsidP="00AA2B0D">
            <w:pPr>
              <w:jc w:val="center"/>
              <w:rPr>
                <w:b/>
                <w:lang w:val="lt-LT"/>
              </w:rPr>
            </w:pPr>
            <w:r w:rsidRPr="00AA2B0D">
              <w:rPr>
                <w:b/>
                <w:lang w:val="lt-LT"/>
              </w:rPr>
              <w:t>I</w:t>
            </w:r>
          </w:p>
        </w:tc>
      </w:tr>
      <w:tr w:rsidR="00093504" w:rsidRPr="0046395A" w:rsidTr="00A8307E">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093504" w:rsidRPr="0046395A" w:rsidRDefault="00093504" w:rsidP="008E0769">
            <w:pPr>
              <w:jc w:val="center"/>
              <w:rPr>
                <w:lang w:val="lt-LT"/>
              </w:rPr>
            </w:pPr>
            <w:r w:rsidRPr="0046395A">
              <w:rPr>
                <w:lang w:val="lt-LT"/>
              </w:rPr>
              <w:t>II.5.</w:t>
            </w:r>
          </w:p>
        </w:tc>
        <w:tc>
          <w:tcPr>
            <w:tcW w:w="2995" w:type="dxa"/>
            <w:tcBorders>
              <w:top w:val="nil"/>
              <w:left w:val="nil"/>
              <w:bottom w:val="single" w:sz="4" w:space="0" w:color="auto"/>
              <w:right w:val="single" w:sz="4" w:space="0" w:color="auto"/>
            </w:tcBorders>
            <w:shd w:val="clear" w:color="auto" w:fill="auto"/>
            <w:vAlign w:val="bottom"/>
            <w:hideMark/>
          </w:tcPr>
          <w:p w:rsidR="00093504" w:rsidRPr="0046395A" w:rsidRDefault="00093504" w:rsidP="008E0769">
            <w:pPr>
              <w:rPr>
                <w:lang w:val="lt-LT"/>
              </w:rPr>
            </w:pPr>
            <w:r w:rsidRPr="0046395A">
              <w:rPr>
                <w:lang w:val="lt-LT"/>
              </w:rPr>
              <w:t>Mokesčiai</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586</w:t>
            </w:r>
          </w:p>
        </w:tc>
        <w:tc>
          <w:tcPr>
            <w:tcW w:w="992"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8E0769">
            <w:pPr>
              <w:jc w:val="right"/>
              <w:rPr>
                <w:lang w:val="lt-LT"/>
              </w:rPr>
            </w:pPr>
            <w:r w:rsidRPr="0046395A">
              <w:rPr>
                <w:lang w:val="lt-LT"/>
              </w:rPr>
              <w:t>468</w:t>
            </w:r>
          </w:p>
        </w:tc>
        <w:tc>
          <w:tcPr>
            <w:tcW w:w="1985" w:type="dxa"/>
            <w:tcBorders>
              <w:top w:val="nil"/>
              <w:left w:val="nil"/>
              <w:bottom w:val="single" w:sz="4" w:space="0" w:color="auto"/>
              <w:right w:val="single" w:sz="4" w:space="0" w:color="auto"/>
            </w:tcBorders>
            <w:shd w:val="clear" w:color="auto" w:fill="auto"/>
            <w:noWrap/>
            <w:vAlign w:val="bottom"/>
            <w:hideMark/>
          </w:tcPr>
          <w:p w:rsidR="00093504" w:rsidRPr="0046395A" w:rsidRDefault="00093504" w:rsidP="00FF7190">
            <w:pPr>
              <w:rPr>
                <w:lang w:val="lt-LT"/>
              </w:rPr>
            </w:pPr>
            <w:r w:rsidRPr="0046395A">
              <w:rPr>
                <w:lang w:val="lt-LT"/>
              </w:rPr>
              <w:t> Nesvarbus, nedaug ir nesudėtingos ūk. op</w:t>
            </w:r>
            <w:r w:rsidR="00FF7190" w:rsidRPr="0046395A">
              <w:rPr>
                <w:lang w:val="lt-LT"/>
              </w:rPr>
              <w:t>.</w:t>
            </w:r>
          </w:p>
        </w:tc>
        <w:tc>
          <w:tcPr>
            <w:tcW w:w="709" w:type="dxa"/>
            <w:tcBorders>
              <w:top w:val="nil"/>
              <w:left w:val="nil"/>
              <w:bottom w:val="single" w:sz="4" w:space="0" w:color="auto"/>
              <w:right w:val="single" w:sz="4" w:space="0" w:color="auto"/>
            </w:tcBorders>
            <w:vAlign w:val="bottom"/>
          </w:tcPr>
          <w:p w:rsidR="00093504" w:rsidRPr="0046395A" w:rsidRDefault="00093504" w:rsidP="00ED2E3F">
            <w:pPr>
              <w:rPr>
                <w:lang w:val="lt-LT"/>
              </w:rPr>
            </w:pPr>
            <w:r w:rsidRPr="0046395A">
              <w:rPr>
                <w:lang w:val="lt-LT"/>
              </w:rPr>
              <w:t>X</w:t>
            </w:r>
          </w:p>
        </w:tc>
      </w:tr>
      <w:tr w:rsidR="00CE452F" w:rsidRPr="0046395A" w:rsidTr="00A8307E">
        <w:trPr>
          <w:trHeight w:val="480"/>
        </w:trPr>
        <w:tc>
          <w:tcPr>
            <w:tcW w:w="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93504" w:rsidRPr="0046395A" w:rsidRDefault="00093504" w:rsidP="008E0769">
            <w:pPr>
              <w:jc w:val="center"/>
              <w:rPr>
                <w:lang w:val="lt-LT"/>
              </w:rPr>
            </w:pPr>
            <w:r w:rsidRPr="0046395A">
              <w:rPr>
                <w:lang w:val="lt-LT"/>
              </w:rPr>
              <w:t> </w:t>
            </w:r>
          </w:p>
        </w:tc>
        <w:tc>
          <w:tcPr>
            <w:tcW w:w="2995"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093504" w:rsidRPr="0046395A" w:rsidRDefault="00093504" w:rsidP="000F65D5">
            <w:pPr>
              <w:rPr>
                <w:b/>
                <w:bCs/>
                <w:lang w:val="lt-LT"/>
              </w:rPr>
            </w:pPr>
            <w:r w:rsidRPr="0046395A">
              <w:rPr>
                <w:b/>
                <w:bCs/>
                <w:lang w:val="lt-LT"/>
              </w:rPr>
              <w:t>NUOSAVO KAPITALO IR ĮSIPAREIGOJIMŲ,</w:t>
            </w:r>
            <w:r w:rsidR="000F65D5">
              <w:rPr>
                <w:b/>
                <w:bCs/>
                <w:lang w:val="lt-LT"/>
              </w:rPr>
              <w:t xml:space="preserve"> </w:t>
            </w:r>
            <w:r w:rsidRPr="0046395A">
              <w:rPr>
                <w:b/>
                <w:bCs/>
                <w:lang w:val="lt-LT"/>
              </w:rPr>
              <w:t>IŠ VISO:</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093504" w:rsidRPr="0046395A" w:rsidRDefault="00093504" w:rsidP="008E0769">
            <w:pPr>
              <w:jc w:val="right"/>
              <w:rPr>
                <w:b/>
                <w:bCs/>
                <w:lang w:val="lt-LT"/>
              </w:rPr>
            </w:pPr>
            <w:r w:rsidRPr="0046395A">
              <w:rPr>
                <w:b/>
                <w:bCs/>
                <w:lang w:val="lt-LT"/>
              </w:rPr>
              <w:t>385</w:t>
            </w:r>
            <w:r w:rsidR="00884A1E">
              <w:rPr>
                <w:b/>
                <w:bCs/>
                <w:lang w:val="lt-LT"/>
              </w:rPr>
              <w:t xml:space="preserve"> </w:t>
            </w:r>
            <w:r w:rsidRPr="0046395A">
              <w:rPr>
                <w:b/>
                <w:bCs/>
                <w:lang w:val="lt-LT"/>
              </w:rPr>
              <w:t>568</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093504" w:rsidRPr="0046395A" w:rsidRDefault="00093504" w:rsidP="008E0769">
            <w:pPr>
              <w:jc w:val="right"/>
              <w:rPr>
                <w:b/>
                <w:bCs/>
                <w:lang w:val="lt-LT"/>
              </w:rPr>
            </w:pPr>
            <w:r w:rsidRPr="0046395A">
              <w:rPr>
                <w:b/>
                <w:bCs/>
                <w:lang w:val="lt-LT"/>
              </w:rPr>
              <w:t>378</w:t>
            </w:r>
            <w:r w:rsidR="00884A1E">
              <w:rPr>
                <w:b/>
                <w:bCs/>
                <w:lang w:val="lt-LT"/>
              </w:rPr>
              <w:t xml:space="preserve"> </w:t>
            </w:r>
            <w:r w:rsidRPr="0046395A">
              <w:rPr>
                <w:b/>
                <w:bCs/>
                <w:lang w:val="lt-LT"/>
              </w:rPr>
              <w:t>876</w:t>
            </w: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093504" w:rsidRPr="0046395A" w:rsidRDefault="00093504" w:rsidP="008E0769">
            <w:pPr>
              <w:rPr>
                <w:lang w:val="lt-LT"/>
              </w:rPr>
            </w:pPr>
            <w:r w:rsidRPr="0046395A">
              <w:rPr>
                <w:lang w:val="lt-LT"/>
              </w:rPr>
              <w:t> </w:t>
            </w:r>
          </w:p>
        </w:tc>
        <w:tc>
          <w:tcPr>
            <w:tcW w:w="709" w:type="dxa"/>
            <w:tcBorders>
              <w:top w:val="single" w:sz="4" w:space="0" w:color="auto"/>
              <w:left w:val="nil"/>
              <w:bottom w:val="single" w:sz="4" w:space="0" w:color="auto"/>
              <w:right w:val="single" w:sz="4" w:space="0" w:color="auto"/>
            </w:tcBorders>
            <w:shd w:val="clear" w:color="auto" w:fill="A6A6A6" w:themeFill="background1" w:themeFillShade="A6"/>
          </w:tcPr>
          <w:p w:rsidR="00093504" w:rsidRPr="0046395A" w:rsidRDefault="00093504" w:rsidP="008E0769">
            <w:pPr>
              <w:rPr>
                <w:lang w:val="lt-LT"/>
              </w:rPr>
            </w:pPr>
          </w:p>
        </w:tc>
      </w:tr>
    </w:tbl>
    <w:p w:rsidR="000F65D5" w:rsidRPr="000F65D5" w:rsidRDefault="000F65D5" w:rsidP="000F65D5">
      <w:pPr>
        <w:pStyle w:val="NormalWeb"/>
        <w:spacing w:before="0" w:beforeAutospacing="0" w:after="0" w:afterAutospacing="0"/>
        <w:jc w:val="both"/>
        <w:rPr>
          <w:sz w:val="20"/>
          <w:szCs w:val="20"/>
          <w:lang w:val="lt-LT"/>
        </w:rPr>
      </w:pPr>
      <w:r w:rsidRPr="000F65D5">
        <w:rPr>
          <w:sz w:val="20"/>
          <w:szCs w:val="20"/>
          <w:lang w:val="lt-LT"/>
        </w:rPr>
        <w:t>Pastaba</w:t>
      </w:r>
      <w:r>
        <w:rPr>
          <w:sz w:val="20"/>
          <w:szCs w:val="20"/>
          <w:lang w:val="lt-LT"/>
        </w:rPr>
        <w:t>:</w:t>
      </w:r>
      <w:r w:rsidRPr="000F65D5">
        <w:rPr>
          <w:sz w:val="20"/>
          <w:szCs w:val="20"/>
          <w:lang w:val="lt-LT"/>
        </w:rPr>
        <w:t xml:space="preserve"> </w:t>
      </w:r>
      <w:r>
        <w:rPr>
          <w:sz w:val="20"/>
          <w:szCs w:val="20"/>
          <w:lang w:val="lt-LT"/>
        </w:rPr>
        <w:t>Susijęs t</w:t>
      </w:r>
      <w:r w:rsidRPr="000F65D5">
        <w:rPr>
          <w:sz w:val="20"/>
          <w:szCs w:val="20"/>
          <w:lang w:val="lt-LT"/>
        </w:rPr>
        <w:t>virtinima</w:t>
      </w:r>
      <w:r>
        <w:rPr>
          <w:sz w:val="20"/>
          <w:szCs w:val="20"/>
          <w:lang w:val="lt-LT"/>
        </w:rPr>
        <w:t>s</w:t>
      </w:r>
      <w:r w:rsidRPr="000F65D5">
        <w:rPr>
          <w:sz w:val="20"/>
          <w:szCs w:val="20"/>
          <w:lang w:val="lt-LT"/>
        </w:rPr>
        <w:t>: išsamumas (I), įvertinimas (V)</w:t>
      </w:r>
      <w:r>
        <w:rPr>
          <w:sz w:val="20"/>
          <w:szCs w:val="20"/>
          <w:lang w:val="lt-LT"/>
        </w:rPr>
        <w:t>.</w:t>
      </w:r>
    </w:p>
    <w:p w:rsidR="002831E4" w:rsidRPr="002831E4" w:rsidRDefault="002831E4" w:rsidP="000F65D5">
      <w:pPr>
        <w:pStyle w:val="NormalWeb"/>
        <w:spacing w:before="0" w:beforeAutospacing="0" w:after="0" w:afterAutospacing="0"/>
        <w:jc w:val="both"/>
        <w:rPr>
          <w:sz w:val="20"/>
          <w:szCs w:val="20"/>
          <w:lang w:val="lt-LT"/>
        </w:rPr>
      </w:pPr>
      <w:r w:rsidRPr="002831E4">
        <w:rPr>
          <w:sz w:val="20"/>
          <w:szCs w:val="20"/>
          <w:lang w:val="lt-LT"/>
        </w:rPr>
        <w:t>Šaltinis:</w:t>
      </w:r>
      <w:r>
        <w:rPr>
          <w:sz w:val="20"/>
          <w:szCs w:val="20"/>
          <w:lang w:val="lt-LT"/>
        </w:rPr>
        <w:t xml:space="preserve"> sudaryta autorės, remiantis UAB „Šiluma“ 2008 metų finansinėmis ataskaitomis.</w:t>
      </w:r>
    </w:p>
    <w:p w:rsidR="000B14D9" w:rsidRPr="0046395A" w:rsidRDefault="00CA7A93" w:rsidP="007005C9">
      <w:pPr>
        <w:spacing w:line="360" w:lineRule="auto"/>
        <w:jc w:val="both"/>
        <w:rPr>
          <w:sz w:val="26"/>
          <w:szCs w:val="26"/>
          <w:lang w:val="lt-LT"/>
        </w:rPr>
      </w:pPr>
      <w:r w:rsidRPr="0046395A">
        <w:rPr>
          <w:sz w:val="26"/>
          <w:szCs w:val="26"/>
          <w:lang w:val="lt-LT"/>
        </w:rPr>
        <w:lastRenderedPageBreak/>
        <w:t>įvertinamos žemesniąja iš įsigijimo savikainos ir grynosios galimo realizavimo vertės, t. y. atėmus apskaitytą pasenusių ir lėtai judančių atsargų vertės sumažėjimą) (</w:t>
      </w:r>
      <w:r w:rsidRPr="007005C9">
        <w:rPr>
          <w:i/>
          <w:sz w:val="26"/>
          <w:szCs w:val="26"/>
          <w:lang w:val="lt-LT"/>
        </w:rPr>
        <w:t>įvertinimo tvirtinimas</w:t>
      </w:r>
      <w:r>
        <w:rPr>
          <w:sz w:val="26"/>
          <w:szCs w:val="26"/>
          <w:lang w:val="lt-LT"/>
        </w:rPr>
        <w:t xml:space="preserve">) </w:t>
      </w:r>
      <w:r w:rsidRPr="0046395A">
        <w:rPr>
          <w:sz w:val="26"/>
          <w:szCs w:val="26"/>
          <w:lang w:val="lt-LT"/>
        </w:rPr>
        <w:t xml:space="preserve">ir ar iš tiesų šis </w:t>
      </w:r>
      <w:r w:rsidR="007005C9" w:rsidRPr="0046395A">
        <w:rPr>
          <w:sz w:val="26"/>
          <w:szCs w:val="26"/>
          <w:lang w:val="lt-LT"/>
        </w:rPr>
        <w:t>turtas egzistuoja (</w:t>
      </w:r>
      <w:r w:rsidR="007005C9" w:rsidRPr="007005C9">
        <w:rPr>
          <w:i/>
          <w:sz w:val="26"/>
          <w:szCs w:val="26"/>
          <w:lang w:val="lt-LT"/>
        </w:rPr>
        <w:t>buvimo tvirtinimas</w:t>
      </w:r>
      <w:r w:rsidR="007005C9" w:rsidRPr="0046395A">
        <w:rPr>
          <w:sz w:val="26"/>
          <w:szCs w:val="26"/>
          <w:lang w:val="lt-LT"/>
        </w:rPr>
        <w:t>);</w:t>
      </w:r>
      <w:r>
        <w:rPr>
          <w:sz w:val="26"/>
          <w:szCs w:val="26"/>
          <w:lang w:val="lt-LT"/>
        </w:rPr>
        <w:t xml:space="preserve"> </w:t>
      </w:r>
      <w:r w:rsidR="007005C9" w:rsidRPr="0046395A">
        <w:rPr>
          <w:sz w:val="26"/>
          <w:szCs w:val="26"/>
          <w:lang w:val="lt-LT"/>
        </w:rPr>
        <w:t>4) pirkėjų įsiskolinimas dėl to, ar jis iš tikrųjų yra toks kaip parodytas balanse (</w:t>
      </w:r>
      <w:r w:rsidR="007005C9" w:rsidRPr="007005C9">
        <w:rPr>
          <w:i/>
          <w:sz w:val="26"/>
          <w:szCs w:val="26"/>
          <w:lang w:val="lt-LT"/>
        </w:rPr>
        <w:t>buvimo tvirtinimas</w:t>
      </w:r>
      <w:r w:rsidR="007005C9" w:rsidRPr="0046395A">
        <w:rPr>
          <w:sz w:val="26"/>
          <w:szCs w:val="26"/>
          <w:lang w:val="lt-LT"/>
        </w:rPr>
        <w:t xml:space="preserve">), ir dėl </w:t>
      </w:r>
      <w:r w:rsidR="007005C9">
        <w:rPr>
          <w:sz w:val="26"/>
          <w:szCs w:val="26"/>
          <w:lang w:val="lt-LT"/>
        </w:rPr>
        <w:t>j</w:t>
      </w:r>
      <w:r>
        <w:rPr>
          <w:sz w:val="26"/>
          <w:szCs w:val="26"/>
          <w:lang w:val="lt-LT"/>
        </w:rPr>
        <w:t>o</w:t>
      </w:r>
      <w:r w:rsidR="007005C9">
        <w:rPr>
          <w:sz w:val="26"/>
          <w:szCs w:val="26"/>
          <w:lang w:val="lt-LT"/>
        </w:rPr>
        <w:t xml:space="preserve"> </w:t>
      </w:r>
      <w:r w:rsidR="007005C9" w:rsidRPr="0046395A">
        <w:rPr>
          <w:sz w:val="26"/>
          <w:szCs w:val="26"/>
          <w:lang w:val="lt-LT"/>
        </w:rPr>
        <w:t>įvertinimo (gautinos sumos turi būti parodytos įvertinus vertės sumažėjimą, eliminavus abejotinas skolas) (</w:t>
      </w:r>
      <w:r w:rsidR="007005C9" w:rsidRPr="007005C9">
        <w:rPr>
          <w:i/>
          <w:sz w:val="26"/>
          <w:szCs w:val="26"/>
          <w:lang w:val="lt-LT"/>
        </w:rPr>
        <w:t>įvertinimo tvirtinimas</w:t>
      </w:r>
      <w:r w:rsidR="007005C9" w:rsidRPr="0046395A">
        <w:rPr>
          <w:sz w:val="26"/>
          <w:szCs w:val="26"/>
          <w:lang w:val="lt-LT"/>
        </w:rPr>
        <w:t>);</w:t>
      </w:r>
      <w:r w:rsidR="007005C9">
        <w:rPr>
          <w:sz w:val="26"/>
          <w:szCs w:val="26"/>
          <w:lang w:val="lt-LT"/>
        </w:rPr>
        <w:t xml:space="preserve"> </w:t>
      </w:r>
      <w:r w:rsidR="000B14D9" w:rsidRPr="0046395A">
        <w:rPr>
          <w:sz w:val="26"/>
          <w:szCs w:val="26"/>
          <w:lang w:val="lt-LT"/>
        </w:rPr>
        <w:t>5) pinigai ir jų ekvivalentai, ar jų iš tikro yra tiek, kiek rodoma balanse (</w:t>
      </w:r>
      <w:r w:rsidR="000B14D9" w:rsidRPr="007005C9">
        <w:rPr>
          <w:i/>
          <w:sz w:val="26"/>
          <w:szCs w:val="26"/>
          <w:lang w:val="lt-LT"/>
        </w:rPr>
        <w:t>buvim</w:t>
      </w:r>
      <w:r w:rsidR="007005C9">
        <w:rPr>
          <w:i/>
          <w:sz w:val="26"/>
          <w:szCs w:val="26"/>
          <w:lang w:val="lt-LT"/>
        </w:rPr>
        <w:t>o tvirtinim</w:t>
      </w:r>
      <w:r w:rsidR="000B14D9" w:rsidRPr="007005C9">
        <w:rPr>
          <w:i/>
          <w:sz w:val="26"/>
          <w:szCs w:val="26"/>
          <w:lang w:val="lt-LT"/>
        </w:rPr>
        <w:t>as</w:t>
      </w:r>
      <w:r w:rsidR="000B14D9" w:rsidRPr="0046395A">
        <w:rPr>
          <w:sz w:val="26"/>
          <w:szCs w:val="26"/>
          <w:lang w:val="lt-LT"/>
        </w:rPr>
        <w:t>); 6) finansinės skolos kredito įstaigai dėl jų tinkamo pateikimo ir atskleidimo finansinėse ataskaitose, t. y. ar teisingai išskirta finansinių skolų ilgalaikė ir trumpalaikė dalis atsižvelgiant į kredito įstaigos nustatytas sąlygas (</w:t>
      </w:r>
      <w:r w:rsidR="008538A7" w:rsidRPr="00AA2B0D">
        <w:rPr>
          <w:i/>
          <w:sz w:val="26"/>
          <w:szCs w:val="26"/>
          <w:lang w:val="lt-LT"/>
        </w:rPr>
        <w:t>įvertinimo</w:t>
      </w:r>
      <w:r w:rsidR="000B14D9" w:rsidRPr="00AA2B0D">
        <w:rPr>
          <w:i/>
          <w:sz w:val="26"/>
          <w:szCs w:val="26"/>
          <w:lang w:val="lt-LT"/>
        </w:rPr>
        <w:t xml:space="preserve"> tvirtinimas</w:t>
      </w:r>
      <w:r w:rsidR="000B14D9" w:rsidRPr="0046395A">
        <w:rPr>
          <w:sz w:val="26"/>
          <w:szCs w:val="26"/>
          <w:lang w:val="lt-LT"/>
        </w:rPr>
        <w:t>); 7) skolos tiekėjams, ar visos skolos yra parodytos balanse (</w:t>
      </w:r>
      <w:r w:rsidR="000B14D9" w:rsidRPr="00AA2B0D">
        <w:rPr>
          <w:i/>
          <w:sz w:val="26"/>
          <w:szCs w:val="26"/>
          <w:lang w:val="lt-LT"/>
        </w:rPr>
        <w:t>išsamumo tvirtinimas</w:t>
      </w:r>
      <w:r w:rsidR="000B14D9" w:rsidRPr="0046395A">
        <w:rPr>
          <w:sz w:val="26"/>
          <w:szCs w:val="26"/>
          <w:lang w:val="lt-LT"/>
        </w:rPr>
        <w:t>); 8) su darbo santykiais susiję įsipareigojimai taip pat dėl jų</w:t>
      </w:r>
      <w:r w:rsidR="000B14D9" w:rsidRPr="00AA2B0D">
        <w:rPr>
          <w:i/>
          <w:sz w:val="26"/>
          <w:szCs w:val="26"/>
          <w:lang w:val="lt-LT"/>
        </w:rPr>
        <w:t xml:space="preserve"> išsamumo</w:t>
      </w:r>
      <w:r w:rsidR="000B14D9" w:rsidRPr="0046395A">
        <w:rPr>
          <w:sz w:val="26"/>
          <w:szCs w:val="26"/>
          <w:lang w:val="lt-LT"/>
        </w:rPr>
        <w:t xml:space="preserve">, t. y. ar visi įsipareigojimai, kurie turėjo būti parodyti yra parodyti balanse. </w:t>
      </w:r>
    </w:p>
    <w:p w:rsidR="00BF5E1E" w:rsidRPr="0046395A" w:rsidRDefault="00BF5E1E" w:rsidP="00DB65C8">
      <w:pPr>
        <w:pStyle w:val="NormalWeb"/>
        <w:spacing w:before="0" w:beforeAutospacing="0" w:after="0" w:afterAutospacing="0" w:line="360" w:lineRule="auto"/>
        <w:ind w:firstLine="720"/>
        <w:jc w:val="right"/>
        <w:rPr>
          <w:i/>
          <w:sz w:val="26"/>
          <w:szCs w:val="26"/>
          <w:lang w:val="lt-LT"/>
        </w:rPr>
      </w:pPr>
      <w:r w:rsidRPr="0046395A">
        <w:rPr>
          <w:i/>
          <w:sz w:val="26"/>
          <w:szCs w:val="26"/>
          <w:lang w:val="lt-LT"/>
        </w:rPr>
        <w:t>2</w:t>
      </w:r>
      <w:r w:rsidR="00FA1D98">
        <w:rPr>
          <w:i/>
          <w:sz w:val="26"/>
          <w:szCs w:val="26"/>
          <w:lang w:val="lt-LT"/>
        </w:rPr>
        <w:t>7</w:t>
      </w:r>
      <w:r w:rsidRPr="0046395A">
        <w:rPr>
          <w:i/>
          <w:sz w:val="26"/>
          <w:szCs w:val="26"/>
          <w:lang w:val="lt-LT"/>
        </w:rPr>
        <w:t xml:space="preserve"> lentelė</w:t>
      </w:r>
    </w:p>
    <w:p w:rsidR="00BF5E1E" w:rsidRPr="0046395A" w:rsidRDefault="00555E3D" w:rsidP="00AA2B0D">
      <w:pPr>
        <w:tabs>
          <w:tab w:val="left" w:pos="567"/>
        </w:tabs>
        <w:jc w:val="center"/>
        <w:rPr>
          <w:b/>
          <w:sz w:val="26"/>
          <w:szCs w:val="26"/>
          <w:lang w:val="lt-LT"/>
        </w:rPr>
      </w:pPr>
      <w:r w:rsidRPr="0046395A">
        <w:rPr>
          <w:b/>
          <w:sz w:val="26"/>
          <w:szCs w:val="26"/>
          <w:lang w:val="lt-LT"/>
        </w:rPr>
        <w:t>U</w:t>
      </w:r>
      <w:r w:rsidR="00BF5E1E" w:rsidRPr="0046395A">
        <w:rPr>
          <w:b/>
          <w:sz w:val="26"/>
          <w:szCs w:val="26"/>
          <w:lang w:val="lt-LT"/>
        </w:rPr>
        <w:t>AB „Šiluma“ 2008 metų pelno (nuostolių) ataskaitos elementų svarbos vertinimas</w:t>
      </w:r>
      <w:r w:rsidR="00A12A23" w:rsidRPr="0046395A">
        <w:rPr>
          <w:b/>
          <w:sz w:val="26"/>
          <w:szCs w:val="26"/>
          <w:lang w:val="lt-LT"/>
        </w:rPr>
        <w:t>, tūkst. Lt</w:t>
      </w:r>
    </w:p>
    <w:tbl>
      <w:tblPr>
        <w:tblW w:w="836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2410"/>
        <w:gridCol w:w="1134"/>
        <w:gridCol w:w="1134"/>
        <w:gridCol w:w="2410"/>
        <w:gridCol w:w="567"/>
      </w:tblGrid>
      <w:tr w:rsidR="00A86E0B" w:rsidRPr="001B1A33" w:rsidTr="00CA7A93">
        <w:trPr>
          <w:cantSplit/>
          <w:trHeight w:val="1265"/>
        </w:trPr>
        <w:tc>
          <w:tcPr>
            <w:tcW w:w="714" w:type="dxa"/>
            <w:shd w:val="clear" w:color="auto" w:fill="A6A6A6" w:themeFill="background1" w:themeFillShade="A6"/>
            <w:hideMark/>
          </w:tcPr>
          <w:p w:rsidR="00A86E0B" w:rsidRPr="00141789" w:rsidRDefault="00A86E0B" w:rsidP="00141789">
            <w:pPr>
              <w:jc w:val="center"/>
              <w:rPr>
                <w:b/>
                <w:bCs/>
                <w:lang w:val="lt-LT"/>
              </w:rPr>
            </w:pPr>
            <w:r w:rsidRPr="00141789">
              <w:rPr>
                <w:b/>
                <w:bCs/>
                <w:lang w:val="lt-LT"/>
              </w:rPr>
              <w:t> </w:t>
            </w:r>
          </w:p>
        </w:tc>
        <w:tc>
          <w:tcPr>
            <w:tcW w:w="2410" w:type="dxa"/>
            <w:shd w:val="clear" w:color="auto" w:fill="A6A6A6" w:themeFill="background1" w:themeFillShade="A6"/>
            <w:vAlign w:val="center"/>
            <w:hideMark/>
          </w:tcPr>
          <w:p w:rsidR="00A86E0B" w:rsidRPr="000077A6" w:rsidRDefault="00A86E0B" w:rsidP="00A86E0B">
            <w:pPr>
              <w:jc w:val="center"/>
              <w:rPr>
                <w:b/>
                <w:lang w:val="lt-LT"/>
              </w:rPr>
            </w:pPr>
            <w:r w:rsidRPr="000077A6">
              <w:rPr>
                <w:b/>
                <w:lang w:val="lt-LT"/>
              </w:rPr>
              <w:t>Elementas</w:t>
            </w:r>
          </w:p>
        </w:tc>
        <w:tc>
          <w:tcPr>
            <w:tcW w:w="1134" w:type="dxa"/>
            <w:shd w:val="clear" w:color="auto" w:fill="A6A6A6" w:themeFill="background1" w:themeFillShade="A6"/>
            <w:noWrap/>
            <w:textDirection w:val="btLr"/>
            <w:vAlign w:val="center"/>
            <w:hideMark/>
          </w:tcPr>
          <w:p w:rsidR="00A86E0B" w:rsidRPr="001B1A33" w:rsidRDefault="00A86E0B" w:rsidP="0046395A">
            <w:pPr>
              <w:ind w:left="113" w:right="113"/>
              <w:jc w:val="center"/>
              <w:rPr>
                <w:b/>
                <w:bCs/>
                <w:lang w:val="lt-LT"/>
              </w:rPr>
            </w:pPr>
            <w:r w:rsidRPr="001B1A33">
              <w:rPr>
                <w:b/>
                <w:bCs/>
                <w:lang w:val="lt-LT"/>
              </w:rPr>
              <w:t>2008.12.31</w:t>
            </w:r>
          </w:p>
        </w:tc>
        <w:tc>
          <w:tcPr>
            <w:tcW w:w="1134" w:type="dxa"/>
            <w:shd w:val="clear" w:color="auto" w:fill="A6A6A6" w:themeFill="background1" w:themeFillShade="A6"/>
            <w:noWrap/>
            <w:textDirection w:val="btLr"/>
            <w:vAlign w:val="center"/>
            <w:hideMark/>
          </w:tcPr>
          <w:p w:rsidR="00A86E0B" w:rsidRPr="001B1A33" w:rsidRDefault="00A86E0B" w:rsidP="0046395A">
            <w:pPr>
              <w:ind w:left="113" w:right="113"/>
              <w:jc w:val="center"/>
              <w:rPr>
                <w:b/>
                <w:bCs/>
                <w:lang w:val="lt-LT"/>
              </w:rPr>
            </w:pPr>
            <w:r w:rsidRPr="001B1A33">
              <w:rPr>
                <w:b/>
                <w:bCs/>
                <w:lang w:val="lt-LT"/>
              </w:rPr>
              <w:t>2007.12.31</w:t>
            </w:r>
          </w:p>
        </w:tc>
        <w:tc>
          <w:tcPr>
            <w:tcW w:w="2410" w:type="dxa"/>
            <w:shd w:val="clear" w:color="auto" w:fill="A6A6A6" w:themeFill="background1" w:themeFillShade="A6"/>
            <w:noWrap/>
            <w:vAlign w:val="center"/>
            <w:hideMark/>
          </w:tcPr>
          <w:p w:rsidR="00BE1431" w:rsidRDefault="00A86E0B" w:rsidP="00A86E0B">
            <w:pPr>
              <w:jc w:val="center"/>
              <w:rPr>
                <w:b/>
                <w:bCs/>
                <w:lang w:val="lt-LT"/>
              </w:rPr>
            </w:pPr>
            <w:r>
              <w:rPr>
                <w:b/>
                <w:bCs/>
                <w:lang w:val="lt-LT"/>
              </w:rPr>
              <w:t>Svarbos vertinimas</w:t>
            </w:r>
            <w:r w:rsidR="00BE1431">
              <w:rPr>
                <w:b/>
                <w:bCs/>
                <w:lang w:val="lt-LT"/>
              </w:rPr>
              <w:t xml:space="preserve"> </w:t>
            </w:r>
          </w:p>
          <w:p w:rsidR="00A86E0B" w:rsidRPr="001B1A33" w:rsidRDefault="00BE1431" w:rsidP="00A86E0B">
            <w:pPr>
              <w:jc w:val="center"/>
              <w:rPr>
                <w:b/>
                <w:bCs/>
                <w:lang w:val="lt-LT"/>
              </w:rPr>
            </w:pPr>
            <w:r>
              <w:rPr>
                <w:b/>
                <w:bCs/>
                <w:lang w:val="lt-LT"/>
              </w:rPr>
              <w:t>(įmonės procesas)</w:t>
            </w:r>
          </w:p>
        </w:tc>
        <w:tc>
          <w:tcPr>
            <w:tcW w:w="567" w:type="dxa"/>
            <w:shd w:val="clear" w:color="000000" w:fill="A5A5A5"/>
            <w:textDirection w:val="btLr"/>
            <w:vAlign w:val="center"/>
          </w:tcPr>
          <w:p w:rsidR="00A86E0B" w:rsidRPr="001B1A33" w:rsidRDefault="00A86E0B" w:rsidP="0046395A">
            <w:pPr>
              <w:ind w:left="113" w:right="113"/>
              <w:jc w:val="center"/>
              <w:rPr>
                <w:b/>
                <w:bCs/>
                <w:lang w:val="lt-LT"/>
              </w:rPr>
            </w:pPr>
            <w:r>
              <w:rPr>
                <w:b/>
                <w:bCs/>
                <w:lang w:val="lt-LT"/>
              </w:rPr>
              <w:t>Susiję</w:t>
            </w:r>
            <w:r w:rsidR="00A12A23">
              <w:rPr>
                <w:b/>
                <w:bCs/>
                <w:lang w:val="lt-LT"/>
              </w:rPr>
              <w:t>s</w:t>
            </w:r>
            <w:r>
              <w:rPr>
                <w:b/>
                <w:bCs/>
                <w:lang w:val="lt-LT"/>
              </w:rPr>
              <w:t xml:space="preserve"> t</w:t>
            </w:r>
            <w:r w:rsidRPr="001B1A33">
              <w:rPr>
                <w:b/>
                <w:bCs/>
                <w:lang w:val="lt-LT"/>
              </w:rPr>
              <w:t>virtinima</w:t>
            </w:r>
            <w:r w:rsidR="00A12A23">
              <w:rPr>
                <w:b/>
                <w:bCs/>
                <w:lang w:val="lt-LT"/>
              </w:rPr>
              <w:t>s</w:t>
            </w:r>
          </w:p>
        </w:tc>
      </w:tr>
      <w:tr w:rsidR="00A86E0B" w:rsidRPr="008E0769" w:rsidTr="00CA7A93">
        <w:trPr>
          <w:trHeight w:val="225"/>
        </w:trPr>
        <w:tc>
          <w:tcPr>
            <w:tcW w:w="714" w:type="dxa"/>
            <w:shd w:val="clear" w:color="auto" w:fill="auto"/>
            <w:hideMark/>
          </w:tcPr>
          <w:p w:rsidR="00A86E0B" w:rsidRPr="008E0769" w:rsidRDefault="00A86E0B" w:rsidP="008E0769">
            <w:pPr>
              <w:jc w:val="center"/>
              <w:rPr>
                <w:b/>
                <w:bCs/>
                <w:lang w:val="lt-LT"/>
              </w:rPr>
            </w:pPr>
            <w:r w:rsidRPr="008E0769">
              <w:rPr>
                <w:b/>
                <w:bCs/>
                <w:lang w:val="lt-LT"/>
              </w:rPr>
              <w:t>I.</w:t>
            </w:r>
          </w:p>
        </w:tc>
        <w:tc>
          <w:tcPr>
            <w:tcW w:w="2410" w:type="dxa"/>
            <w:shd w:val="clear" w:color="auto" w:fill="auto"/>
            <w:vAlign w:val="bottom"/>
            <w:hideMark/>
          </w:tcPr>
          <w:p w:rsidR="00A86E0B" w:rsidRPr="008E0769" w:rsidRDefault="00A86E0B" w:rsidP="008E0769">
            <w:pPr>
              <w:rPr>
                <w:b/>
                <w:bCs/>
                <w:lang w:val="lt-LT"/>
              </w:rPr>
            </w:pPr>
            <w:r w:rsidRPr="008E0769">
              <w:rPr>
                <w:b/>
                <w:bCs/>
                <w:lang w:val="lt-LT"/>
              </w:rPr>
              <w:t>PARDAVIMO PAJAMOS</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194</w:t>
            </w:r>
            <w:r w:rsidR="00884A1E">
              <w:rPr>
                <w:b/>
                <w:bCs/>
                <w:lang w:val="lt-LT"/>
              </w:rPr>
              <w:t xml:space="preserve"> </w:t>
            </w:r>
            <w:r w:rsidRPr="008E0769">
              <w:rPr>
                <w:b/>
                <w:bCs/>
                <w:lang w:val="lt-LT"/>
              </w:rPr>
              <w:t>302</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130</w:t>
            </w:r>
            <w:r w:rsidR="00884A1E">
              <w:rPr>
                <w:b/>
                <w:bCs/>
                <w:lang w:val="lt-LT"/>
              </w:rPr>
              <w:t xml:space="preserve"> </w:t>
            </w:r>
            <w:r w:rsidRPr="008E0769">
              <w:rPr>
                <w:b/>
                <w:bCs/>
                <w:lang w:val="lt-LT"/>
              </w:rPr>
              <w:t>098</w:t>
            </w:r>
          </w:p>
        </w:tc>
        <w:tc>
          <w:tcPr>
            <w:tcW w:w="2410" w:type="dxa"/>
            <w:shd w:val="clear" w:color="auto" w:fill="auto"/>
            <w:noWrap/>
            <w:vAlign w:val="bottom"/>
            <w:hideMark/>
          </w:tcPr>
          <w:p w:rsidR="00A86E0B" w:rsidRPr="008E0769" w:rsidRDefault="00A86E0B" w:rsidP="0023439D">
            <w:pPr>
              <w:rPr>
                <w:lang w:val="lt-LT"/>
              </w:rPr>
            </w:pPr>
            <w:r>
              <w:rPr>
                <w:lang w:val="lt-LT"/>
              </w:rPr>
              <w:t>Svarbus (pardavim</w:t>
            </w:r>
            <w:r w:rsidR="0023439D">
              <w:rPr>
                <w:lang w:val="lt-LT"/>
              </w:rPr>
              <w:t>o</w:t>
            </w:r>
            <w:r>
              <w:rPr>
                <w:lang w:val="lt-LT"/>
              </w:rPr>
              <w:t xml:space="preserve"> procesas)</w:t>
            </w:r>
          </w:p>
        </w:tc>
        <w:tc>
          <w:tcPr>
            <w:tcW w:w="567" w:type="dxa"/>
            <w:vAlign w:val="bottom"/>
          </w:tcPr>
          <w:p w:rsidR="00A86E0B" w:rsidRPr="00AA2B0D" w:rsidRDefault="00C07930" w:rsidP="00AA2B0D">
            <w:pPr>
              <w:jc w:val="center"/>
              <w:rPr>
                <w:b/>
                <w:lang w:val="lt-LT"/>
              </w:rPr>
            </w:pPr>
            <w:r w:rsidRPr="00AA2B0D">
              <w:rPr>
                <w:b/>
                <w:lang w:val="lt-LT"/>
              </w:rPr>
              <w:t>T</w:t>
            </w:r>
          </w:p>
        </w:tc>
      </w:tr>
      <w:tr w:rsidR="00A86E0B" w:rsidRPr="008E0769" w:rsidTr="00CA7A93">
        <w:trPr>
          <w:trHeight w:val="225"/>
        </w:trPr>
        <w:tc>
          <w:tcPr>
            <w:tcW w:w="714" w:type="dxa"/>
            <w:shd w:val="clear" w:color="auto" w:fill="auto"/>
            <w:hideMark/>
          </w:tcPr>
          <w:p w:rsidR="00A86E0B" w:rsidRPr="008E0769" w:rsidRDefault="00A86E0B" w:rsidP="008E0769">
            <w:pPr>
              <w:jc w:val="center"/>
              <w:rPr>
                <w:b/>
                <w:bCs/>
                <w:lang w:val="lt-LT"/>
              </w:rPr>
            </w:pPr>
            <w:r w:rsidRPr="008E0769">
              <w:rPr>
                <w:b/>
                <w:bCs/>
                <w:lang w:val="lt-LT"/>
              </w:rPr>
              <w:t>II.</w:t>
            </w:r>
          </w:p>
        </w:tc>
        <w:tc>
          <w:tcPr>
            <w:tcW w:w="2410" w:type="dxa"/>
            <w:shd w:val="clear" w:color="auto" w:fill="auto"/>
            <w:vAlign w:val="bottom"/>
            <w:hideMark/>
          </w:tcPr>
          <w:p w:rsidR="00A86E0B" w:rsidRPr="008E0769" w:rsidRDefault="00A86E0B" w:rsidP="008E0769">
            <w:pPr>
              <w:rPr>
                <w:b/>
                <w:bCs/>
                <w:lang w:val="lt-LT"/>
              </w:rPr>
            </w:pPr>
            <w:r w:rsidRPr="008E0769">
              <w:rPr>
                <w:b/>
                <w:bCs/>
                <w:lang w:val="lt-LT"/>
              </w:rPr>
              <w:t>PARDAVIMO SAVIKAINA</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(200</w:t>
            </w:r>
            <w:r w:rsidR="00884A1E">
              <w:rPr>
                <w:b/>
                <w:bCs/>
                <w:lang w:val="lt-LT"/>
              </w:rPr>
              <w:t xml:space="preserve"> </w:t>
            </w:r>
            <w:r w:rsidRPr="008E0769">
              <w:rPr>
                <w:b/>
                <w:bCs/>
                <w:lang w:val="lt-LT"/>
              </w:rPr>
              <w:t>139)</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(122</w:t>
            </w:r>
            <w:r w:rsidR="00884A1E">
              <w:rPr>
                <w:b/>
                <w:bCs/>
                <w:lang w:val="lt-LT"/>
              </w:rPr>
              <w:t xml:space="preserve"> </w:t>
            </w:r>
            <w:r w:rsidRPr="008E0769">
              <w:rPr>
                <w:b/>
                <w:bCs/>
                <w:lang w:val="lt-LT"/>
              </w:rPr>
              <w:t>100)</w:t>
            </w:r>
          </w:p>
        </w:tc>
        <w:tc>
          <w:tcPr>
            <w:tcW w:w="2410" w:type="dxa"/>
            <w:shd w:val="clear" w:color="auto" w:fill="auto"/>
            <w:noWrap/>
            <w:vAlign w:val="bottom"/>
            <w:hideMark/>
          </w:tcPr>
          <w:p w:rsidR="00A86E0B" w:rsidRPr="008E0769" w:rsidRDefault="00A86E0B" w:rsidP="00095F13">
            <w:pPr>
              <w:rPr>
                <w:lang w:val="lt-LT"/>
              </w:rPr>
            </w:pPr>
            <w:r>
              <w:rPr>
                <w:lang w:val="lt-LT"/>
              </w:rPr>
              <w:t>Svarbus (kuro, nusidėvėjimo, darbo užmokesčio sąnaudų atžvilgiu</w:t>
            </w:r>
            <w:r w:rsidR="00FA675F">
              <w:rPr>
                <w:lang w:val="lt-LT"/>
              </w:rPr>
              <w:t xml:space="preserve"> – pirkimų, darbo apmokėjimo procesas</w:t>
            </w:r>
            <w:r>
              <w:rPr>
                <w:lang w:val="lt-LT"/>
              </w:rPr>
              <w:t>)</w:t>
            </w:r>
          </w:p>
        </w:tc>
        <w:tc>
          <w:tcPr>
            <w:tcW w:w="567" w:type="dxa"/>
            <w:vAlign w:val="bottom"/>
          </w:tcPr>
          <w:p w:rsidR="00A86E0B" w:rsidRPr="00AA2B0D" w:rsidRDefault="00C07930" w:rsidP="00AA2B0D">
            <w:pPr>
              <w:jc w:val="center"/>
              <w:rPr>
                <w:b/>
                <w:lang w:val="lt-LT"/>
              </w:rPr>
            </w:pPr>
            <w:r w:rsidRPr="00AA2B0D">
              <w:rPr>
                <w:b/>
                <w:lang w:val="lt-LT"/>
              </w:rPr>
              <w:t>T</w:t>
            </w:r>
          </w:p>
        </w:tc>
      </w:tr>
      <w:tr w:rsidR="00A86E0B" w:rsidRPr="008E0769" w:rsidTr="00CA7A93">
        <w:trPr>
          <w:trHeight w:val="225"/>
        </w:trPr>
        <w:tc>
          <w:tcPr>
            <w:tcW w:w="714" w:type="dxa"/>
            <w:shd w:val="clear" w:color="auto" w:fill="auto"/>
            <w:hideMark/>
          </w:tcPr>
          <w:p w:rsidR="00A86E0B" w:rsidRPr="008E0769" w:rsidRDefault="00A86E0B" w:rsidP="008E0769">
            <w:pPr>
              <w:jc w:val="center"/>
              <w:rPr>
                <w:b/>
                <w:bCs/>
                <w:lang w:val="lt-LT"/>
              </w:rPr>
            </w:pPr>
            <w:r w:rsidRPr="008E0769">
              <w:rPr>
                <w:b/>
                <w:bCs/>
                <w:lang w:val="lt-LT"/>
              </w:rPr>
              <w:t>III.</w:t>
            </w:r>
          </w:p>
        </w:tc>
        <w:tc>
          <w:tcPr>
            <w:tcW w:w="2410" w:type="dxa"/>
            <w:shd w:val="clear" w:color="auto" w:fill="auto"/>
            <w:vAlign w:val="bottom"/>
            <w:hideMark/>
          </w:tcPr>
          <w:p w:rsidR="00A86E0B" w:rsidRPr="008E0769" w:rsidRDefault="00A86E0B" w:rsidP="008E0769">
            <w:pPr>
              <w:rPr>
                <w:lang w:val="lt-LT"/>
              </w:rPr>
            </w:pPr>
            <w:r w:rsidRPr="008E0769">
              <w:rPr>
                <w:lang w:val="lt-LT"/>
              </w:rPr>
              <w:t>BENDRASIS PELNAS (NUOSTOLIAI)</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(5</w:t>
            </w:r>
            <w:r w:rsidR="00884A1E">
              <w:rPr>
                <w:b/>
                <w:bCs/>
                <w:lang w:val="lt-LT"/>
              </w:rPr>
              <w:t xml:space="preserve"> </w:t>
            </w:r>
            <w:r w:rsidRPr="008E0769">
              <w:rPr>
                <w:b/>
                <w:bCs/>
                <w:lang w:val="lt-LT"/>
              </w:rPr>
              <w:t>837)</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7</w:t>
            </w:r>
            <w:r w:rsidR="00884A1E">
              <w:rPr>
                <w:b/>
                <w:bCs/>
                <w:lang w:val="lt-LT"/>
              </w:rPr>
              <w:t xml:space="preserve"> </w:t>
            </w:r>
            <w:r w:rsidRPr="008E0769">
              <w:rPr>
                <w:b/>
                <w:bCs/>
                <w:lang w:val="lt-LT"/>
              </w:rPr>
              <w:t>998</w:t>
            </w:r>
          </w:p>
        </w:tc>
        <w:tc>
          <w:tcPr>
            <w:tcW w:w="2410" w:type="dxa"/>
            <w:shd w:val="clear" w:color="auto" w:fill="BFBFBF" w:themeFill="background1" w:themeFillShade="BF"/>
            <w:noWrap/>
            <w:vAlign w:val="bottom"/>
            <w:hideMark/>
          </w:tcPr>
          <w:p w:rsidR="00A86E0B" w:rsidRPr="008E0769" w:rsidRDefault="00A86E0B" w:rsidP="008E0769">
            <w:pPr>
              <w:rPr>
                <w:b/>
                <w:bCs/>
                <w:lang w:val="lt-LT"/>
              </w:rPr>
            </w:pPr>
            <w:r w:rsidRPr="008E0769">
              <w:rPr>
                <w:b/>
                <w:bCs/>
                <w:lang w:val="lt-LT"/>
              </w:rPr>
              <w:t> </w:t>
            </w:r>
          </w:p>
        </w:tc>
        <w:tc>
          <w:tcPr>
            <w:tcW w:w="567" w:type="dxa"/>
            <w:shd w:val="clear" w:color="auto" w:fill="BFBFBF" w:themeFill="background1" w:themeFillShade="BF"/>
          </w:tcPr>
          <w:p w:rsidR="00A86E0B" w:rsidRPr="008E0769" w:rsidRDefault="00A86E0B" w:rsidP="008E0769">
            <w:pPr>
              <w:rPr>
                <w:b/>
                <w:bCs/>
                <w:lang w:val="lt-LT"/>
              </w:rPr>
            </w:pPr>
          </w:p>
        </w:tc>
      </w:tr>
      <w:tr w:rsidR="00A86E0B" w:rsidRPr="00AA2B0D" w:rsidTr="00CA7A93">
        <w:trPr>
          <w:trHeight w:val="225"/>
        </w:trPr>
        <w:tc>
          <w:tcPr>
            <w:tcW w:w="714" w:type="dxa"/>
            <w:shd w:val="clear" w:color="auto" w:fill="auto"/>
            <w:hideMark/>
          </w:tcPr>
          <w:p w:rsidR="00A86E0B" w:rsidRPr="008E0769" w:rsidRDefault="00A86E0B" w:rsidP="008E0769">
            <w:pPr>
              <w:jc w:val="center"/>
              <w:rPr>
                <w:b/>
                <w:bCs/>
                <w:lang w:val="lt-LT"/>
              </w:rPr>
            </w:pPr>
            <w:r w:rsidRPr="008E0769">
              <w:rPr>
                <w:b/>
                <w:bCs/>
                <w:lang w:val="lt-LT"/>
              </w:rPr>
              <w:t>IV.</w:t>
            </w:r>
          </w:p>
        </w:tc>
        <w:tc>
          <w:tcPr>
            <w:tcW w:w="2410" w:type="dxa"/>
            <w:shd w:val="clear" w:color="auto" w:fill="auto"/>
            <w:vAlign w:val="bottom"/>
            <w:hideMark/>
          </w:tcPr>
          <w:p w:rsidR="00A86E0B" w:rsidRPr="008E0769" w:rsidRDefault="00A86E0B" w:rsidP="008E0769">
            <w:pPr>
              <w:rPr>
                <w:b/>
                <w:bCs/>
                <w:lang w:val="lt-LT"/>
              </w:rPr>
            </w:pPr>
            <w:r w:rsidRPr="008E0769">
              <w:rPr>
                <w:b/>
                <w:bCs/>
                <w:lang w:val="lt-LT"/>
              </w:rPr>
              <w:t>VEIKLOS SĄNAUDOS</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(12</w:t>
            </w:r>
            <w:r w:rsidR="00884A1E">
              <w:rPr>
                <w:b/>
                <w:bCs/>
                <w:lang w:val="lt-LT"/>
              </w:rPr>
              <w:t xml:space="preserve"> </w:t>
            </w:r>
            <w:r w:rsidRPr="008E0769">
              <w:rPr>
                <w:b/>
                <w:bCs/>
                <w:lang w:val="lt-LT"/>
              </w:rPr>
              <w:t>823)</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(11</w:t>
            </w:r>
            <w:r w:rsidR="00884A1E">
              <w:rPr>
                <w:b/>
                <w:bCs/>
                <w:lang w:val="lt-LT"/>
              </w:rPr>
              <w:t xml:space="preserve"> </w:t>
            </w:r>
            <w:r w:rsidRPr="008E0769">
              <w:rPr>
                <w:b/>
                <w:bCs/>
                <w:lang w:val="lt-LT"/>
              </w:rPr>
              <w:t>337)</w:t>
            </w:r>
          </w:p>
        </w:tc>
        <w:tc>
          <w:tcPr>
            <w:tcW w:w="2410" w:type="dxa"/>
            <w:shd w:val="clear" w:color="auto" w:fill="auto"/>
            <w:noWrap/>
            <w:vAlign w:val="bottom"/>
            <w:hideMark/>
          </w:tcPr>
          <w:p w:rsidR="00A86E0B" w:rsidRPr="008E0769" w:rsidRDefault="00095F13" w:rsidP="00095F13">
            <w:pPr>
              <w:rPr>
                <w:lang w:val="lt-LT"/>
              </w:rPr>
            </w:pPr>
            <w:r>
              <w:rPr>
                <w:lang w:val="lt-LT"/>
              </w:rPr>
              <w:t>Svarbus (</w:t>
            </w:r>
            <w:r w:rsidR="00A86E0B">
              <w:rPr>
                <w:lang w:val="lt-LT"/>
              </w:rPr>
              <w:t xml:space="preserve">nusidėvėjimo, </w:t>
            </w:r>
            <w:r>
              <w:rPr>
                <w:lang w:val="lt-LT"/>
              </w:rPr>
              <w:t xml:space="preserve">remonto, </w:t>
            </w:r>
            <w:r w:rsidR="00A86E0B">
              <w:rPr>
                <w:lang w:val="lt-LT"/>
              </w:rPr>
              <w:t>darbo užmokesčio sąnaudų atžvilgiu</w:t>
            </w:r>
            <w:r w:rsidR="00FA675F">
              <w:rPr>
                <w:lang w:val="lt-LT"/>
              </w:rPr>
              <w:t xml:space="preserve"> – pirkimų, darbo apmokėjimo procesas</w:t>
            </w:r>
            <w:r w:rsidR="00A86E0B">
              <w:rPr>
                <w:lang w:val="lt-LT"/>
              </w:rPr>
              <w:t>)</w:t>
            </w:r>
          </w:p>
        </w:tc>
        <w:tc>
          <w:tcPr>
            <w:tcW w:w="567" w:type="dxa"/>
            <w:vAlign w:val="bottom"/>
          </w:tcPr>
          <w:p w:rsidR="00A86E0B" w:rsidRPr="00AA2B0D" w:rsidRDefault="00C07930" w:rsidP="00AA2B0D">
            <w:pPr>
              <w:jc w:val="center"/>
              <w:rPr>
                <w:b/>
                <w:lang w:val="lt-LT"/>
              </w:rPr>
            </w:pPr>
            <w:r w:rsidRPr="00AA2B0D">
              <w:rPr>
                <w:b/>
                <w:lang w:val="lt-LT"/>
              </w:rPr>
              <w:t>T</w:t>
            </w:r>
          </w:p>
        </w:tc>
      </w:tr>
      <w:tr w:rsidR="00A86E0B" w:rsidRPr="008E0769" w:rsidTr="00CA7A93">
        <w:trPr>
          <w:trHeight w:val="225"/>
        </w:trPr>
        <w:tc>
          <w:tcPr>
            <w:tcW w:w="714" w:type="dxa"/>
            <w:shd w:val="clear" w:color="auto" w:fill="auto"/>
            <w:hideMark/>
          </w:tcPr>
          <w:p w:rsidR="00A86E0B" w:rsidRPr="008E0769" w:rsidRDefault="00A86E0B" w:rsidP="008E0769">
            <w:pPr>
              <w:jc w:val="center"/>
              <w:rPr>
                <w:b/>
                <w:bCs/>
                <w:lang w:val="lt-LT"/>
              </w:rPr>
            </w:pPr>
            <w:r w:rsidRPr="008E0769">
              <w:rPr>
                <w:b/>
                <w:bCs/>
                <w:lang w:val="lt-LT"/>
              </w:rPr>
              <w:t>V.</w:t>
            </w:r>
          </w:p>
        </w:tc>
        <w:tc>
          <w:tcPr>
            <w:tcW w:w="2410" w:type="dxa"/>
            <w:shd w:val="clear" w:color="auto" w:fill="auto"/>
            <w:vAlign w:val="bottom"/>
            <w:hideMark/>
          </w:tcPr>
          <w:p w:rsidR="00A86E0B" w:rsidRPr="008E0769" w:rsidRDefault="00A86E0B" w:rsidP="008E0769">
            <w:pPr>
              <w:rPr>
                <w:b/>
                <w:bCs/>
                <w:lang w:val="lt-LT"/>
              </w:rPr>
            </w:pPr>
            <w:r w:rsidRPr="008E0769">
              <w:rPr>
                <w:b/>
                <w:bCs/>
                <w:lang w:val="lt-LT"/>
              </w:rPr>
              <w:t>TIPINĖS VEIKLOS PELNAS (NUOSTOLIAI)</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(18</w:t>
            </w:r>
            <w:r w:rsidR="00884A1E">
              <w:rPr>
                <w:b/>
                <w:bCs/>
                <w:lang w:val="lt-LT"/>
              </w:rPr>
              <w:t xml:space="preserve"> </w:t>
            </w:r>
            <w:r w:rsidRPr="008E0769">
              <w:rPr>
                <w:b/>
                <w:bCs/>
                <w:lang w:val="lt-LT"/>
              </w:rPr>
              <w:t>660)</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(3</w:t>
            </w:r>
            <w:r w:rsidR="00884A1E">
              <w:rPr>
                <w:b/>
                <w:bCs/>
                <w:lang w:val="lt-LT"/>
              </w:rPr>
              <w:t xml:space="preserve"> </w:t>
            </w:r>
            <w:r w:rsidRPr="008E0769">
              <w:rPr>
                <w:b/>
                <w:bCs/>
                <w:lang w:val="lt-LT"/>
              </w:rPr>
              <w:t>340)</w:t>
            </w:r>
          </w:p>
        </w:tc>
        <w:tc>
          <w:tcPr>
            <w:tcW w:w="2410" w:type="dxa"/>
            <w:shd w:val="clear" w:color="auto" w:fill="BFBFBF" w:themeFill="background1" w:themeFillShade="BF"/>
            <w:noWrap/>
            <w:vAlign w:val="bottom"/>
            <w:hideMark/>
          </w:tcPr>
          <w:p w:rsidR="00A86E0B" w:rsidRPr="008E0769" w:rsidRDefault="00A86E0B" w:rsidP="008E0769">
            <w:pPr>
              <w:rPr>
                <w:lang w:val="lt-LT"/>
              </w:rPr>
            </w:pPr>
            <w:r w:rsidRPr="008E0769">
              <w:rPr>
                <w:lang w:val="lt-LT"/>
              </w:rPr>
              <w:t> </w:t>
            </w:r>
          </w:p>
        </w:tc>
        <w:tc>
          <w:tcPr>
            <w:tcW w:w="567" w:type="dxa"/>
            <w:shd w:val="clear" w:color="auto" w:fill="BFBFBF" w:themeFill="background1" w:themeFillShade="BF"/>
          </w:tcPr>
          <w:p w:rsidR="00A86E0B" w:rsidRPr="008E0769" w:rsidRDefault="00A86E0B" w:rsidP="008E0769">
            <w:pPr>
              <w:rPr>
                <w:lang w:val="lt-LT"/>
              </w:rPr>
            </w:pPr>
          </w:p>
        </w:tc>
      </w:tr>
      <w:tr w:rsidR="00A86E0B" w:rsidRPr="008E0769" w:rsidTr="00CA7A93">
        <w:trPr>
          <w:trHeight w:val="225"/>
        </w:trPr>
        <w:tc>
          <w:tcPr>
            <w:tcW w:w="714" w:type="dxa"/>
            <w:shd w:val="clear" w:color="auto" w:fill="auto"/>
            <w:hideMark/>
          </w:tcPr>
          <w:p w:rsidR="00A86E0B" w:rsidRPr="008E0769" w:rsidRDefault="00A86E0B" w:rsidP="008E0769">
            <w:pPr>
              <w:jc w:val="center"/>
              <w:rPr>
                <w:b/>
                <w:bCs/>
                <w:lang w:val="lt-LT"/>
              </w:rPr>
            </w:pPr>
            <w:r w:rsidRPr="008E0769">
              <w:rPr>
                <w:b/>
                <w:bCs/>
                <w:lang w:val="lt-LT"/>
              </w:rPr>
              <w:t>VI.</w:t>
            </w:r>
          </w:p>
        </w:tc>
        <w:tc>
          <w:tcPr>
            <w:tcW w:w="2410" w:type="dxa"/>
            <w:shd w:val="clear" w:color="auto" w:fill="auto"/>
            <w:vAlign w:val="bottom"/>
            <w:hideMark/>
          </w:tcPr>
          <w:p w:rsidR="00A86E0B" w:rsidRPr="008E0769" w:rsidRDefault="00A86E0B" w:rsidP="008E0769">
            <w:pPr>
              <w:rPr>
                <w:b/>
                <w:bCs/>
                <w:lang w:val="lt-LT"/>
              </w:rPr>
            </w:pPr>
            <w:r w:rsidRPr="008E0769">
              <w:rPr>
                <w:b/>
                <w:bCs/>
                <w:lang w:val="lt-LT"/>
              </w:rPr>
              <w:t>KITA VEIKLA</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13</w:t>
            </w:r>
            <w:r w:rsidR="00884A1E">
              <w:rPr>
                <w:b/>
                <w:bCs/>
                <w:lang w:val="lt-LT"/>
              </w:rPr>
              <w:t xml:space="preserve"> </w:t>
            </w:r>
            <w:r w:rsidRPr="008E0769">
              <w:rPr>
                <w:b/>
                <w:bCs/>
                <w:lang w:val="lt-LT"/>
              </w:rPr>
              <w:t>710</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w:t>
            </w:r>
            <w:r w:rsidR="00884A1E">
              <w:rPr>
                <w:b/>
                <w:bCs/>
                <w:lang w:val="lt-LT"/>
              </w:rPr>
              <w:t xml:space="preserve"> </w:t>
            </w:r>
            <w:r w:rsidRPr="008E0769">
              <w:rPr>
                <w:b/>
                <w:bCs/>
                <w:lang w:val="lt-LT"/>
              </w:rPr>
              <w:t>756</w:t>
            </w:r>
          </w:p>
        </w:tc>
        <w:tc>
          <w:tcPr>
            <w:tcW w:w="2410" w:type="dxa"/>
            <w:shd w:val="clear" w:color="auto" w:fill="BFBFBF" w:themeFill="background1" w:themeFillShade="BF"/>
            <w:noWrap/>
            <w:vAlign w:val="bottom"/>
            <w:hideMark/>
          </w:tcPr>
          <w:p w:rsidR="00A86E0B" w:rsidRPr="008E0769" w:rsidRDefault="00A86E0B" w:rsidP="008E0769">
            <w:pPr>
              <w:rPr>
                <w:b/>
                <w:bCs/>
                <w:lang w:val="lt-LT"/>
              </w:rPr>
            </w:pPr>
            <w:r w:rsidRPr="008E0769">
              <w:rPr>
                <w:b/>
                <w:bCs/>
                <w:lang w:val="lt-LT"/>
              </w:rPr>
              <w:t> </w:t>
            </w:r>
          </w:p>
        </w:tc>
        <w:tc>
          <w:tcPr>
            <w:tcW w:w="567" w:type="dxa"/>
            <w:shd w:val="clear" w:color="auto" w:fill="BFBFBF" w:themeFill="background1" w:themeFillShade="BF"/>
          </w:tcPr>
          <w:p w:rsidR="00A86E0B" w:rsidRPr="008E0769" w:rsidRDefault="00A86E0B" w:rsidP="008E0769">
            <w:pPr>
              <w:rPr>
                <w:b/>
                <w:bCs/>
                <w:lang w:val="lt-LT"/>
              </w:rPr>
            </w:pPr>
          </w:p>
        </w:tc>
      </w:tr>
      <w:tr w:rsidR="00A86E0B" w:rsidRPr="008E0769" w:rsidTr="00CA7A93">
        <w:trPr>
          <w:trHeight w:val="225"/>
        </w:trPr>
        <w:tc>
          <w:tcPr>
            <w:tcW w:w="714" w:type="dxa"/>
            <w:shd w:val="clear" w:color="auto" w:fill="auto"/>
            <w:hideMark/>
          </w:tcPr>
          <w:p w:rsidR="00A86E0B" w:rsidRPr="008E0769" w:rsidRDefault="00A86E0B" w:rsidP="008E0769">
            <w:pPr>
              <w:jc w:val="center"/>
              <w:rPr>
                <w:lang w:val="lt-LT"/>
              </w:rPr>
            </w:pPr>
            <w:r w:rsidRPr="008E0769">
              <w:rPr>
                <w:lang w:val="lt-LT"/>
              </w:rPr>
              <w:t>VI.1.</w:t>
            </w:r>
          </w:p>
        </w:tc>
        <w:tc>
          <w:tcPr>
            <w:tcW w:w="2410" w:type="dxa"/>
            <w:shd w:val="clear" w:color="auto" w:fill="auto"/>
            <w:vAlign w:val="bottom"/>
            <w:hideMark/>
          </w:tcPr>
          <w:p w:rsidR="00A86E0B" w:rsidRPr="008E0769" w:rsidRDefault="00A86E0B" w:rsidP="008E0769">
            <w:pPr>
              <w:rPr>
                <w:lang w:val="lt-LT"/>
              </w:rPr>
            </w:pPr>
            <w:r w:rsidRPr="008E0769">
              <w:rPr>
                <w:lang w:val="lt-LT"/>
              </w:rPr>
              <w:t>Pajamos</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15</w:t>
            </w:r>
            <w:r w:rsidR="00884A1E">
              <w:rPr>
                <w:b/>
                <w:bCs/>
                <w:lang w:val="lt-LT"/>
              </w:rPr>
              <w:t xml:space="preserve"> </w:t>
            </w:r>
            <w:r w:rsidRPr="008E0769">
              <w:rPr>
                <w:b/>
                <w:bCs/>
                <w:lang w:val="lt-LT"/>
              </w:rPr>
              <w:t>868</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5</w:t>
            </w:r>
            <w:r w:rsidR="00884A1E">
              <w:rPr>
                <w:b/>
                <w:bCs/>
                <w:lang w:val="lt-LT"/>
              </w:rPr>
              <w:t xml:space="preserve"> </w:t>
            </w:r>
            <w:r w:rsidRPr="008E0769">
              <w:rPr>
                <w:b/>
                <w:bCs/>
                <w:lang w:val="lt-LT"/>
              </w:rPr>
              <w:t>070</w:t>
            </w:r>
          </w:p>
        </w:tc>
        <w:tc>
          <w:tcPr>
            <w:tcW w:w="2410" w:type="dxa"/>
            <w:shd w:val="clear" w:color="auto" w:fill="auto"/>
            <w:noWrap/>
            <w:vAlign w:val="bottom"/>
            <w:hideMark/>
          </w:tcPr>
          <w:p w:rsidR="00A86E0B" w:rsidRPr="008E0769" w:rsidRDefault="00A86E0B" w:rsidP="00ED2E3F">
            <w:pPr>
              <w:rPr>
                <w:lang w:val="lt-LT"/>
              </w:rPr>
            </w:pPr>
            <w:r w:rsidRPr="008E0769">
              <w:rPr>
                <w:lang w:val="lt-LT"/>
              </w:rPr>
              <w:t> </w:t>
            </w:r>
            <w:r>
              <w:rPr>
                <w:lang w:val="lt-LT"/>
              </w:rPr>
              <w:t>Nesvarbus, nedaug ir nesudėtingos ūk. operacijos</w:t>
            </w:r>
          </w:p>
        </w:tc>
        <w:tc>
          <w:tcPr>
            <w:tcW w:w="567" w:type="dxa"/>
            <w:vAlign w:val="bottom"/>
          </w:tcPr>
          <w:p w:rsidR="00A86E0B" w:rsidRPr="008E0769" w:rsidRDefault="00A86E0B" w:rsidP="00ED2E3F">
            <w:pPr>
              <w:rPr>
                <w:lang w:val="lt-LT"/>
              </w:rPr>
            </w:pPr>
            <w:r>
              <w:rPr>
                <w:lang w:val="lt-LT"/>
              </w:rPr>
              <w:t>X</w:t>
            </w:r>
          </w:p>
        </w:tc>
      </w:tr>
      <w:tr w:rsidR="00A86E0B" w:rsidRPr="008E0769" w:rsidTr="00CA7A93">
        <w:trPr>
          <w:trHeight w:val="225"/>
        </w:trPr>
        <w:tc>
          <w:tcPr>
            <w:tcW w:w="714" w:type="dxa"/>
            <w:shd w:val="clear" w:color="auto" w:fill="auto"/>
            <w:hideMark/>
          </w:tcPr>
          <w:p w:rsidR="00A86E0B" w:rsidRPr="008E0769" w:rsidRDefault="00A86E0B" w:rsidP="008E0769">
            <w:pPr>
              <w:jc w:val="center"/>
              <w:rPr>
                <w:lang w:val="lt-LT"/>
              </w:rPr>
            </w:pPr>
            <w:r w:rsidRPr="008E0769">
              <w:rPr>
                <w:lang w:val="lt-LT"/>
              </w:rPr>
              <w:t>VI.2.</w:t>
            </w:r>
          </w:p>
        </w:tc>
        <w:tc>
          <w:tcPr>
            <w:tcW w:w="2410" w:type="dxa"/>
            <w:shd w:val="clear" w:color="auto" w:fill="auto"/>
            <w:vAlign w:val="bottom"/>
            <w:hideMark/>
          </w:tcPr>
          <w:p w:rsidR="000B14D9" w:rsidRPr="008E0769" w:rsidRDefault="00A86E0B" w:rsidP="008E0769">
            <w:pPr>
              <w:rPr>
                <w:lang w:val="lt-LT"/>
              </w:rPr>
            </w:pPr>
            <w:r w:rsidRPr="008E0769">
              <w:rPr>
                <w:lang w:val="lt-LT"/>
              </w:rPr>
              <w:t>Sąnaudos</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(2</w:t>
            </w:r>
            <w:r w:rsidR="00884A1E">
              <w:rPr>
                <w:b/>
                <w:bCs/>
                <w:lang w:val="lt-LT"/>
              </w:rPr>
              <w:t xml:space="preserve"> </w:t>
            </w:r>
            <w:r w:rsidRPr="008E0769">
              <w:rPr>
                <w:b/>
                <w:bCs/>
                <w:lang w:val="lt-LT"/>
              </w:rPr>
              <w:t>158)</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(3</w:t>
            </w:r>
            <w:r w:rsidR="00884A1E">
              <w:rPr>
                <w:b/>
                <w:bCs/>
                <w:lang w:val="lt-LT"/>
              </w:rPr>
              <w:t xml:space="preserve"> </w:t>
            </w:r>
            <w:r w:rsidRPr="008E0769">
              <w:rPr>
                <w:b/>
                <w:bCs/>
                <w:lang w:val="lt-LT"/>
              </w:rPr>
              <w:t>314)</w:t>
            </w:r>
          </w:p>
        </w:tc>
        <w:tc>
          <w:tcPr>
            <w:tcW w:w="2410" w:type="dxa"/>
            <w:shd w:val="clear" w:color="auto" w:fill="auto"/>
            <w:noWrap/>
            <w:vAlign w:val="bottom"/>
            <w:hideMark/>
          </w:tcPr>
          <w:p w:rsidR="00A86E0B" w:rsidRPr="008E0769" w:rsidRDefault="00A86E0B" w:rsidP="00ED2E3F">
            <w:pPr>
              <w:rPr>
                <w:lang w:val="lt-LT"/>
              </w:rPr>
            </w:pPr>
            <w:r>
              <w:rPr>
                <w:lang w:val="lt-LT"/>
              </w:rPr>
              <w:t>t. p.</w:t>
            </w:r>
          </w:p>
        </w:tc>
        <w:tc>
          <w:tcPr>
            <w:tcW w:w="567" w:type="dxa"/>
            <w:vAlign w:val="bottom"/>
          </w:tcPr>
          <w:p w:rsidR="00A86E0B" w:rsidRPr="008E0769" w:rsidRDefault="00A86E0B" w:rsidP="00ED2E3F">
            <w:pPr>
              <w:rPr>
                <w:lang w:val="lt-LT"/>
              </w:rPr>
            </w:pPr>
            <w:r>
              <w:rPr>
                <w:lang w:val="lt-LT"/>
              </w:rPr>
              <w:t>t. p.</w:t>
            </w:r>
          </w:p>
        </w:tc>
      </w:tr>
      <w:tr w:rsidR="00A86E0B" w:rsidRPr="008E0769" w:rsidTr="00CA7A93">
        <w:trPr>
          <w:trHeight w:val="225"/>
        </w:trPr>
        <w:tc>
          <w:tcPr>
            <w:tcW w:w="714" w:type="dxa"/>
            <w:shd w:val="clear" w:color="auto" w:fill="auto"/>
            <w:hideMark/>
          </w:tcPr>
          <w:p w:rsidR="00A86E0B" w:rsidRPr="008E0769" w:rsidRDefault="00A86E0B" w:rsidP="008E0769">
            <w:pPr>
              <w:jc w:val="center"/>
              <w:rPr>
                <w:b/>
                <w:bCs/>
                <w:lang w:val="lt-LT"/>
              </w:rPr>
            </w:pPr>
            <w:r w:rsidRPr="008E0769">
              <w:rPr>
                <w:b/>
                <w:bCs/>
                <w:lang w:val="lt-LT"/>
              </w:rPr>
              <w:lastRenderedPageBreak/>
              <w:t>VII.</w:t>
            </w:r>
          </w:p>
        </w:tc>
        <w:tc>
          <w:tcPr>
            <w:tcW w:w="2410" w:type="dxa"/>
            <w:shd w:val="clear" w:color="auto" w:fill="auto"/>
            <w:vAlign w:val="bottom"/>
            <w:hideMark/>
          </w:tcPr>
          <w:p w:rsidR="00A86E0B" w:rsidRPr="008E0769" w:rsidRDefault="00A86E0B" w:rsidP="008E0769">
            <w:pPr>
              <w:rPr>
                <w:b/>
                <w:bCs/>
                <w:lang w:val="lt-LT"/>
              </w:rPr>
            </w:pPr>
            <w:r w:rsidRPr="008E0769">
              <w:rPr>
                <w:b/>
                <w:bCs/>
                <w:lang w:val="lt-LT"/>
              </w:rPr>
              <w:t>FINANSINĖ IR INVESTICINĖ VEIKLA</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(9</w:t>
            </w:r>
            <w:r w:rsidR="00884A1E">
              <w:rPr>
                <w:b/>
                <w:bCs/>
                <w:lang w:val="lt-LT"/>
              </w:rPr>
              <w:t xml:space="preserve"> </w:t>
            </w:r>
            <w:r w:rsidRPr="008E0769">
              <w:rPr>
                <w:b/>
                <w:bCs/>
                <w:lang w:val="lt-LT"/>
              </w:rPr>
              <w:t>419)</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(7</w:t>
            </w:r>
            <w:r w:rsidR="00884A1E">
              <w:rPr>
                <w:b/>
                <w:bCs/>
                <w:lang w:val="lt-LT"/>
              </w:rPr>
              <w:t xml:space="preserve"> </w:t>
            </w:r>
            <w:r w:rsidRPr="008E0769">
              <w:rPr>
                <w:b/>
                <w:bCs/>
                <w:lang w:val="lt-LT"/>
              </w:rPr>
              <w:t>833)</w:t>
            </w:r>
          </w:p>
        </w:tc>
        <w:tc>
          <w:tcPr>
            <w:tcW w:w="2410" w:type="dxa"/>
            <w:shd w:val="clear" w:color="auto" w:fill="BFBFBF" w:themeFill="background1" w:themeFillShade="BF"/>
            <w:noWrap/>
            <w:vAlign w:val="bottom"/>
            <w:hideMark/>
          </w:tcPr>
          <w:p w:rsidR="00A86E0B" w:rsidRPr="008E0769" w:rsidRDefault="00166819" w:rsidP="008E0769">
            <w:pPr>
              <w:rPr>
                <w:lang w:val="lt-LT"/>
              </w:rPr>
            </w:pPr>
            <w:r w:rsidRPr="00166819">
              <w:rPr>
                <w:b/>
                <w:bCs/>
                <w:noProof/>
                <w:lang w:val="lt-LT"/>
              </w:rPr>
              <w:pict>
                <v:rect id="_x0000_s74267" style="position:absolute;margin-left:15.55pt;margin-top:-37.4pt;width:129pt;height:21pt;z-index:253568000;mso-position-horizontal-relative:text;mso-position-vertical-relative:text" filled="f" stroked="f">
                  <v:textbox style="mso-next-textbox:#_x0000_s74267">
                    <w:txbxContent>
                      <w:p w:rsidR="00BE5795" w:rsidRPr="003503E9" w:rsidRDefault="00BE5795" w:rsidP="00CA7A93">
                        <w:pPr>
                          <w:jc w:val="right"/>
                          <w:rPr>
                            <w:i/>
                            <w:sz w:val="26"/>
                            <w:szCs w:val="26"/>
                            <w:lang w:val="lt-LT"/>
                          </w:rPr>
                        </w:pPr>
                        <w:r w:rsidRPr="003503E9">
                          <w:rPr>
                            <w:i/>
                            <w:sz w:val="26"/>
                            <w:szCs w:val="26"/>
                            <w:lang w:val="lt-LT"/>
                          </w:rPr>
                          <w:t>2</w:t>
                        </w:r>
                        <w:r>
                          <w:rPr>
                            <w:i/>
                            <w:sz w:val="26"/>
                            <w:szCs w:val="26"/>
                            <w:lang w:val="lt-LT"/>
                          </w:rPr>
                          <w:t>7</w:t>
                        </w:r>
                        <w:r w:rsidRPr="003503E9">
                          <w:rPr>
                            <w:i/>
                            <w:sz w:val="26"/>
                            <w:szCs w:val="26"/>
                            <w:lang w:val="lt-LT"/>
                          </w:rPr>
                          <w:t xml:space="preserve"> lentelės tęsinys</w:t>
                        </w:r>
                      </w:p>
                    </w:txbxContent>
                  </v:textbox>
                </v:rect>
              </w:pict>
            </w:r>
            <w:r w:rsidR="00A86E0B" w:rsidRPr="008E0769">
              <w:rPr>
                <w:lang w:val="lt-LT"/>
              </w:rPr>
              <w:t> </w:t>
            </w:r>
          </w:p>
        </w:tc>
        <w:tc>
          <w:tcPr>
            <w:tcW w:w="567" w:type="dxa"/>
            <w:shd w:val="clear" w:color="auto" w:fill="BFBFBF" w:themeFill="background1" w:themeFillShade="BF"/>
          </w:tcPr>
          <w:p w:rsidR="00A86E0B" w:rsidRPr="008E0769" w:rsidRDefault="00A86E0B" w:rsidP="008E0769">
            <w:pPr>
              <w:rPr>
                <w:lang w:val="lt-LT"/>
              </w:rPr>
            </w:pPr>
          </w:p>
        </w:tc>
      </w:tr>
      <w:tr w:rsidR="00A86E0B" w:rsidRPr="008E0769" w:rsidTr="00CA7A93">
        <w:trPr>
          <w:trHeight w:val="225"/>
        </w:trPr>
        <w:tc>
          <w:tcPr>
            <w:tcW w:w="714" w:type="dxa"/>
            <w:shd w:val="clear" w:color="auto" w:fill="auto"/>
            <w:hideMark/>
          </w:tcPr>
          <w:p w:rsidR="00A86E0B" w:rsidRPr="008E0769" w:rsidRDefault="00A86E0B" w:rsidP="008E0769">
            <w:pPr>
              <w:jc w:val="center"/>
              <w:rPr>
                <w:lang w:val="lt-LT"/>
              </w:rPr>
            </w:pPr>
            <w:r w:rsidRPr="008E0769">
              <w:rPr>
                <w:lang w:val="lt-LT"/>
              </w:rPr>
              <w:t>VII.1.</w:t>
            </w:r>
          </w:p>
        </w:tc>
        <w:tc>
          <w:tcPr>
            <w:tcW w:w="2410" w:type="dxa"/>
            <w:shd w:val="clear" w:color="auto" w:fill="auto"/>
            <w:vAlign w:val="bottom"/>
            <w:hideMark/>
          </w:tcPr>
          <w:p w:rsidR="00A86E0B" w:rsidRPr="008E0769" w:rsidRDefault="00A86E0B" w:rsidP="008E0769">
            <w:pPr>
              <w:rPr>
                <w:lang w:val="lt-LT"/>
              </w:rPr>
            </w:pPr>
            <w:r w:rsidRPr="008E0769">
              <w:rPr>
                <w:lang w:val="lt-LT"/>
              </w:rPr>
              <w:t>Pajamos</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2</w:t>
            </w:r>
            <w:r w:rsidR="00884A1E">
              <w:rPr>
                <w:b/>
                <w:bCs/>
                <w:lang w:val="lt-LT"/>
              </w:rPr>
              <w:t xml:space="preserve"> </w:t>
            </w:r>
            <w:r w:rsidRPr="008E0769">
              <w:rPr>
                <w:b/>
                <w:bCs/>
                <w:lang w:val="lt-LT"/>
              </w:rPr>
              <w:t>755</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434</w:t>
            </w:r>
          </w:p>
        </w:tc>
        <w:tc>
          <w:tcPr>
            <w:tcW w:w="2410" w:type="dxa"/>
            <w:shd w:val="clear" w:color="auto" w:fill="auto"/>
            <w:noWrap/>
            <w:vAlign w:val="bottom"/>
            <w:hideMark/>
          </w:tcPr>
          <w:p w:rsidR="00A86E0B" w:rsidRPr="008E0769" w:rsidRDefault="00A86E0B" w:rsidP="00ED2E3F">
            <w:pPr>
              <w:rPr>
                <w:lang w:val="lt-LT"/>
              </w:rPr>
            </w:pPr>
            <w:r w:rsidRPr="008E0769">
              <w:rPr>
                <w:lang w:val="lt-LT"/>
              </w:rPr>
              <w:t> </w:t>
            </w:r>
            <w:r>
              <w:rPr>
                <w:lang w:val="lt-LT"/>
              </w:rPr>
              <w:t>Nesvarbus, nedaug ir nesudėtingos ūk. operacijos</w:t>
            </w:r>
          </w:p>
        </w:tc>
        <w:tc>
          <w:tcPr>
            <w:tcW w:w="567" w:type="dxa"/>
            <w:vAlign w:val="bottom"/>
          </w:tcPr>
          <w:p w:rsidR="00A86E0B" w:rsidRPr="008E0769" w:rsidRDefault="00A86E0B" w:rsidP="00ED2E3F">
            <w:pPr>
              <w:rPr>
                <w:lang w:val="lt-LT"/>
              </w:rPr>
            </w:pPr>
            <w:r>
              <w:rPr>
                <w:lang w:val="lt-LT"/>
              </w:rPr>
              <w:t>X</w:t>
            </w:r>
          </w:p>
        </w:tc>
      </w:tr>
      <w:tr w:rsidR="00A86E0B" w:rsidRPr="008E0769" w:rsidTr="00CA7A93">
        <w:trPr>
          <w:trHeight w:val="225"/>
        </w:trPr>
        <w:tc>
          <w:tcPr>
            <w:tcW w:w="714" w:type="dxa"/>
            <w:shd w:val="clear" w:color="auto" w:fill="auto"/>
            <w:hideMark/>
          </w:tcPr>
          <w:p w:rsidR="00A86E0B" w:rsidRPr="008E0769" w:rsidRDefault="00A86E0B" w:rsidP="008E0769">
            <w:pPr>
              <w:jc w:val="center"/>
              <w:rPr>
                <w:lang w:val="lt-LT"/>
              </w:rPr>
            </w:pPr>
            <w:r w:rsidRPr="008E0769">
              <w:rPr>
                <w:lang w:val="lt-LT"/>
              </w:rPr>
              <w:t>VII.2.</w:t>
            </w:r>
          </w:p>
        </w:tc>
        <w:tc>
          <w:tcPr>
            <w:tcW w:w="2410" w:type="dxa"/>
            <w:shd w:val="clear" w:color="auto" w:fill="auto"/>
            <w:vAlign w:val="bottom"/>
            <w:hideMark/>
          </w:tcPr>
          <w:p w:rsidR="00A86E0B" w:rsidRPr="008E0769" w:rsidRDefault="00A86E0B" w:rsidP="008E0769">
            <w:pPr>
              <w:rPr>
                <w:lang w:val="lt-LT"/>
              </w:rPr>
            </w:pPr>
            <w:r w:rsidRPr="008E0769">
              <w:rPr>
                <w:lang w:val="lt-LT"/>
              </w:rPr>
              <w:t>Sąnaudos</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(12</w:t>
            </w:r>
            <w:r w:rsidR="00884A1E">
              <w:rPr>
                <w:b/>
                <w:bCs/>
                <w:lang w:val="lt-LT"/>
              </w:rPr>
              <w:t xml:space="preserve"> </w:t>
            </w:r>
            <w:r w:rsidRPr="008E0769">
              <w:rPr>
                <w:b/>
                <w:bCs/>
                <w:lang w:val="lt-LT"/>
              </w:rPr>
              <w:t>173)</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(8</w:t>
            </w:r>
            <w:r w:rsidR="00884A1E">
              <w:rPr>
                <w:b/>
                <w:bCs/>
                <w:lang w:val="lt-LT"/>
              </w:rPr>
              <w:t xml:space="preserve"> </w:t>
            </w:r>
            <w:r w:rsidRPr="008E0769">
              <w:rPr>
                <w:b/>
                <w:bCs/>
                <w:lang w:val="lt-LT"/>
              </w:rPr>
              <w:t>267)</w:t>
            </w:r>
          </w:p>
        </w:tc>
        <w:tc>
          <w:tcPr>
            <w:tcW w:w="2410" w:type="dxa"/>
            <w:shd w:val="clear" w:color="auto" w:fill="auto"/>
            <w:noWrap/>
            <w:vAlign w:val="bottom"/>
            <w:hideMark/>
          </w:tcPr>
          <w:p w:rsidR="00A86E0B" w:rsidRPr="008E0769" w:rsidRDefault="00A86E0B" w:rsidP="00ED2E3F">
            <w:pPr>
              <w:rPr>
                <w:lang w:val="lt-LT"/>
              </w:rPr>
            </w:pPr>
            <w:r>
              <w:rPr>
                <w:lang w:val="lt-LT"/>
              </w:rPr>
              <w:t>t. p.</w:t>
            </w:r>
          </w:p>
        </w:tc>
        <w:tc>
          <w:tcPr>
            <w:tcW w:w="567" w:type="dxa"/>
            <w:vAlign w:val="bottom"/>
          </w:tcPr>
          <w:p w:rsidR="00A86E0B" w:rsidRPr="008E0769" w:rsidRDefault="00A86E0B" w:rsidP="00ED2E3F">
            <w:pPr>
              <w:rPr>
                <w:lang w:val="lt-LT"/>
              </w:rPr>
            </w:pPr>
            <w:r>
              <w:rPr>
                <w:lang w:val="lt-LT"/>
              </w:rPr>
              <w:t>t. p.</w:t>
            </w:r>
          </w:p>
        </w:tc>
      </w:tr>
      <w:tr w:rsidR="00A86E0B" w:rsidRPr="008E0769" w:rsidTr="00CA7A93">
        <w:trPr>
          <w:trHeight w:val="450"/>
        </w:trPr>
        <w:tc>
          <w:tcPr>
            <w:tcW w:w="714" w:type="dxa"/>
            <w:shd w:val="clear" w:color="auto" w:fill="auto"/>
            <w:hideMark/>
          </w:tcPr>
          <w:p w:rsidR="00A86E0B" w:rsidRPr="008E0769" w:rsidRDefault="00A86E0B" w:rsidP="008E0769">
            <w:pPr>
              <w:jc w:val="center"/>
              <w:rPr>
                <w:b/>
                <w:bCs/>
                <w:lang w:val="lt-LT"/>
              </w:rPr>
            </w:pPr>
            <w:r w:rsidRPr="008E0769">
              <w:rPr>
                <w:b/>
                <w:bCs/>
                <w:lang w:val="lt-LT"/>
              </w:rPr>
              <w:t>VIII.</w:t>
            </w:r>
          </w:p>
        </w:tc>
        <w:tc>
          <w:tcPr>
            <w:tcW w:w="2410" w:type="dxa"/>
            <w:shd w:val="clear" w:color="auto" w:fill="auto"/>
            <w:vAlign w:val="bottom"/>
            <w:hideMark/>
          </w:tcPr>
          <w:p w:rsidR="00A86E0B" w:rsidRPr="008E0769" w:rsidRDefault="00A86E0B" w:rsidP="008E0769">
            <w:pPr>
              <w:rPr>
                <w:b/>
                <w:bCs/>
                <w:lang w:val="lt-LT"/>
              </w:rPr>
            </w:pPr>
            <w:r w:rsidRPr="008E0769">
              <w:rPr>
                <w:b/>
                <w:bCs/>
                <w:lang w:val="lt-LT"/>
              </w:rPr>
              <w:t>ĮPRASTINĖS VEIKLOS PELNAS (NUOSTOLIAI)</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(14</w:t>
            </w:r>
            <w:r w:rsidR="00884A1E">
              <w:rPr>
                <w:b/>
                <w:bCs/>
                <w:lang w:val="lt-LT"/>
              </w:rPr>
              <w:t xml:space="preserve"> </w:t>
            </w:r>
            <w:r w:rsidRPr="008E0769">
              <w:rPr>
                <w:b/>
                <w:bCs/>
                <w:lang w:val="lt-LT"/>
              </w:rPr>
              <w:t>369)</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(9</w:t>
            </w:r>
            <w:r w:rsidR="00884A1E">
              <w:rPr>
                <w:b/>
                <w:bCs/>
                <w:lang w:val="lt-LT"/>
              </w:rPr>
              <w:t xml:space="preserve"> </w:t>
            </w:r>
            <w:r w:rsidRPr="008E0769">
              <w:rPr>
                <w:b/>
                <w:bCs/>
                <w:lang w:val="lt-LT"/>
              </w:rPr>
              <w:t>416)</w:t>
            </w:r>
          </w:p>
        </w:tc>
        <w:tc>
          <w:tcPr>
            <w:tcW w:w="2410" w:type="dxa"/>
            <w:shd w:val="clear" w:color="auto" w:fill="BFBFBF" w:themeFill="background1" w:themeFillShade="BF"/>
            <w:noWrap/>
            <w:vAlign w:val="bottom"/>
            <w:hideMark/>
          </w:tcPr>
          <w:p w:rsidR="00A86E0B" w:rsidRPr="008E0769" w:rsidRDefault="00A86E0B" w:rsidP="008E0769">
            <w:pPr>
              <w:rPr>
                <w:lang w:val="lt-LT"/>
              </w:rPr>
            </w:pPr>
            <w:r w:rsidRPr="008E0769">
              <w:rPr>
                <w:lang w:val="lt-LT"/>
              </w:rPr>
              <w:t> </w:t>
            </w:r>
          </w:p>
        </w:tc>
        <w:tc>
          <w:tcPr>
            <w:tcW w:w="567" w:type="dxa"/>
            <w:shd w:val="clear" w:color="auto" w:fill="BFBFBF" w:themeFill="background1" w:themeFillShade="BF"/>
          </w:tcPr>
          <w:p w:rsidR="00A86E0B" w:rsidRPr="008E0769" w:rsidRDefault="00A86E0B" w:rsidP="008E0769">
            <w:pPr>
              <w:rPr>
                <w:lang w:val="lt-LT"/>
              </w:rPr>
            </w:pPr>
          </w:p>
        </w:tc>
      </w:tr>
      <w:tr w:rsidR="00A86E0B" w:rsidRPr="008E0769" w:rsidTr="00CA7A93">
        <w:trPr>
          <w:trHeight w:val="225"/>
        </w:trPr>
        <w:tc>
          <w:tcPr>
            <w:tcW w:w="714" w:type="dxa"/>
            <w:shd w:val="clear" w:color="auto" w:fill="auto"/>
            <w:hideMark/>
          </w:tcPr>
          <w:p w:rsidR="00A86E0B" w:rsidRPr="008E0769" w:rsidRDefault="00A86E0B" w:rsidP="008E0769">
            <w:pPr>
              <w:jc w:val="center"/>
              <w:rPr>
                <w:lang w:val="lt-LT"/>
              </w:rPr>
            </w:pPr>
            <w:r w:rsidRPr="008E0769">
              <w:rPr>
                <w:lang w:val="lt-LT"/>
              </w:rPr>
              <w:t>IX.</w:t>
            </w:r>
          </w:p>
        </w:tc>
        <w:tc>
          <w:tcPr>
            <w:tcW w:w="2410" w:type="dxa"/>
            <w:shd w:val="clear" w:color="auto" w:fill="auto"/>
            <w:noWrap/>
            <w:vAlign w:val="bottom"/>
            <w:hideMark/>
          </w:tcPr>
          <w:p w:rsidR="00A86E0B" w:rsidRPr="008E0769" w:rsidRDefault="00A86E0B" w:rsidP="008E0769">
            <w:pPr>
              <w:rPr>
                <w:lang w:val="lt-LT"/>
              </w:rPr>
            </w:pPr>
            <w:r w:rsidRPr="008E0769">
              <w:rPr>
                <w:lang w:val="lt-LT"/>
              </w:rPr>
              <w:t>PAGAUTĖ</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0</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0</w:t>
            </w:r>
          </w:p>
        </w:tc>
        <w:tc>
          <w:tcPr>
            <w:tcW w:w="2410" w:type="dxa"/>
            <w:shd w:val="clear" w:color="auto" w:fill="BFBFBF" w:themeFill="background1" w:themeFillShade="BF"/>
            <w:noWrap/>
            <w:vAlign w:val="bottom"/>
            <w:hideMark/>
          </w:tcPr>
          <w:p w:rsidR="00A86E0B" w:rsidRPr="008E0769" w:rsidRDefault="00A86E0B" w:rsidP="008E0769">
            <w:pPr>
              <w:rPr>
                <w:b/>
                <w:bCs/>
                <w:lang w:val="lt-LT"/>
              </w:rPr>
            </w:pPr>
            <w:r w:rsidRPr="008E0769">
              <w:rPr>
                <w:b/>
                <w:bCs/>
                <w:lang w:val="lt-LT"/>
              </w:rPr>
              <w:t> </w:t>
            </w:r>
          </w:p>
        </w:tc>
        <w:tc>
          <w:tcPr>
            <w:tcW w:w="567" w:type="dxa"/>
            <w:shd w:val="clear" w:color="auto" w:fill="BFBFBF" w:themeFill="background1" w:themeFillShade="BF"/>
          </w:tcPr>
          <w:p w:rsidR="00A86E0B" w:rsidRPr="008E0769" w:rsidRDefault="00A86E0B" w:rsidP="008E0769">
            <w:pPr>
              <w:rPr>
                <w:b/>
                <w:bCs/>
                <w:lang w:val="lt-LT"/>
              </w:rPr>
            </w:pPr>
          </w:p>
        </w:tc>
      </w:tr>
      <w:tr w:rsidR="00A86E0B" w:rsidRPr="008E0769" w:rsidTr="00CA7A93">
        <w:trPr>
          <w:trHeight w:val="225"/>
        </w:trPr>
        <w:tc>
          <w:tcPr>
            <w:tcW w:w="714" w:type="dxa"/>
            <w:shd w:val="clear" w:color="auto" w:fill="auto"/>
            <w:hideMark/>
          </w:tcPr>
          <w:p w:rsidR="00A86E0B" w:rsidRPr="008E0769" w:rsidRDefault="00A86E0B" w:rsidP="008E0769">
            <w:pPr>
              <w:jc w:val="center"/>
              <w:rPr>
                <w:lang w:val="lt-LT"/>
              </w:rPr>
            </w:pPr>
            <w:r w:rsidRPr="008E0769">
              <w:rPr>
                <w:lang w:val="lt-LT"/>
              </w:rPr>
              <w:t>X.</w:t>
            </w:r>
          </w:p>
        </w:tc>
        <w:tc>
          <w:tcPr>
            <w:tcW w:w="2410" w:type="dxa"/>
            <w:shd w:val="clear" w:color="auto" w:fill="auto"/>
            <w:vAlign w:val="bottom"/>
            <w:hideMark/>
          </w:tcPr>
          <w:p w:rsidR="00A86E0B" w:rsidRPr="008E0769" w:rsidRDefault="00A86E0B" w:rsidP="008E0769">
            <w:pPr>
              <w:rPr>
                <w:lang w:val="lt-LT"/>
              </w:rPr>
            </w:pPr>
            <w:r w:rsidRPr="008E0769">
              <w:rPr>
                <w:lang w:val="lt-LT"/>
              </w:rPr>
              <w:t>NETEKIMAI</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0</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0</w:t>
            </w:r>
          </w:p>
        </w:tc>
        <w:tc>
          <w:tcPr>
            <w:tcW w:w="2410" w:type="dxa"/>
            <w:shd w:val="clear" w:color="auto" w:fill="BFBFBF" w:themeFill="background1" w:themeFillShade="BF"/>
            <w:noWrap/>
            <w:vAlign w:val="bottom"/>
            <w:hideMark/>
          </w:tcPr>
          <w:p w:rsidR="00A86E0B" w:rsidRPr="008E0769" w:rsidRDefault="00A86E0B" w:rsidP="008E0769">
            <w:pPr>
              <w:rPr>
                <w:lang w:val="lt-LT"/>
              </w:rPr>
            </w:pPr>
            <w:r w:rsidRPr="008E0769">
              <w:rPr>
                <w:lang w:val="lt-LT"/>
              </w:rPr>
              <w:t> </w:t>
            </w:r>
          </w:p>
        </w:tc>
        <w:tc>
          <w:tcPr>
            <w:tcW w:w="567" w:type="dxa"/>
            <w:shd w:val="clear" w:color="auto" w:fill="BFBFBF" w:themeFill="background1" w:themeFillShade="BF"/>
          </w:tcPr>
          <w:p w:rsidR="00A86E0B" w:rsidRPr="008E0769" w:rsidRDefault="00A86E0B" w:rsidP="008E0769">
            <w:pPr>
              <w:rPr>
                <w:lang w:val="lt-LT"/>
              </w:rPr>
            </w:pPr>
          </w:p>
        </w:tc>
      </w:tr>
      <w:tr w:rsidR="00A86E0B" w:rsidRPr="008E0769" w:rsidTr="00CA7A93">
        <w:trPr>
          <w:trHeight w:val="450"/>
        </w:trPr>
        <w:tc>
          <w:tcPr>
            <w:tcW w:w="714" w:type="dxa"/>
            <w:shd w:val="clear" w:color="auto" w:fill="auto"/>
            <w:hideMark/>
          </w:tcPr>
          <w:p w:rsidR="00A86E0B" w:rsidRPr="008E0769" w:rsidRDefault="00A86E0B" w:rsidP="008E0769">
            <w:pPr>
              <w:jc w:val="center"/>
              <w:rPr>
                <w:b/>
                <w:bCs/>
                <w:lang w:val="lt-LT"/>
              </w:rPr>
            </w:pPr>
            <w:r w:rsidRPr="008E0769">
              <w:rPr>
                <w:b/>
                <w:bCs/>
                <w:lang w:val="lt-LT"/>
              </w:rPr>
              <w:t>XI.</w:t>
            </w:r>
          </w:p>
        </w:tc>
        <w:tc>
          <w:tcPr>
            <w:tcW w:w="2410" w:type="dxa"/>
            <w:shd w:val="clear" w:color="auto" w:fill="auto"/>
            <w:vAlign w:val="bottom"/>
            <w:hideMark/>
          </w:tcPr>
          <w:p w:rsidR="00A86E0B" w:rsidRPr="008E0769" w:rsidRDefault="00A86E0B" w:rsidP="008E0769">
            <w:pPr>
              <w:rPr>
                <w:b/>
                <w:bCs/>
                <w:lang w:val="lt-LT"/>
              </w:rPr>
            </w:pPr>
            <w:r w:rsidRPr="008E0769">
              <w:rPr>
                <w:b/>
                <w:bCs/>
                <w:lang w:val="lt-LT"/>
              </w:rPr>
              <w:t>PELNAS (NUOSTOLIAI) PRIEŠ APMOKESTINIMĄ</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(14</w:t>
            </w:r>
            <w:r w:rsidR="00884A1E">
              <w:rPr>
                <w:b/>
                <w:bCs/>
                <w:lang w:val="lt-LT"/>
              </w:rPr>
              <w:t xml:space="preserve"> </w:t>
            </w:r>
            <w:r w:rsidRPr="008E0769">
              <w:rPr>
                <w:b/>
                <w:bCs/>
                <w:lang w:val="lt-LT"/>
              </w:rPr>
              <w:t>369)</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(9</w:t>
            </w:r>
            <w:r w:rsidR="00884A1E">
              <w:rPr>
                <w:b/>
                <w:bCs/>
                <w:lang w:val="lt-LT"/>
              </w:rPr>
              <w:t xml:space="preserve"> </w:t>
            </w:r>
            <w:r w:rsidRPr="008E0769">
              <w:rPr>
                <w:b/>
                <w:bCs/>
                <w:lang w:val="lt-LT"/>
              </w:rPr>
              <w:t>416)</w:t>
            </w:r>
          </w:p>
        </w:tc>
        <w:tc>
          <w:tcPr>
            <w:tcW w:w="2410" w:type="dxa"/>
            <w:shd w:val="clear" w:color="auto" w:fill="BFBFBF" w:themeFill="background1" w:themeFillShade="BF"/>
            <w:noWrap/>
            <w:vAlign w:val="bottom"/>
            <w:hideMark/>
          </w:tcPr>
          <w:p w:rsidR="00A86E0B" w:rsidRPr="008E0769" w:rsidRDefault="00A86E0B" w:rsidP="008E0769">
            <w:pPr>
              <w:rPr>
                <w:lang w:val="lt-LT"/>
              </w:rPr>
            </w:pPr>
            <w:r w:rsidRPr="008E0769">
              <w:rPr>
                <w:lang w:val="lt-LT"/>
              </w:rPr>
              <w:t> </w:t>
            </w:r>
          </w:p>
        </w:tc>
        <w:tc>
          <w:tcPr>
            <w:tcW w:w="567" w:type="dxa"/>
            <w:shd w:val="clear" w:color="auto" w:fill="BFBFBF" w:themeFill="background1" w:themeFillShade="BF"/>
          </w:tcPr>
          <w:p w:rsidR="00A86E0B" w:rsidRPr="008E0769" w:rsidRDefault="00A86E0B" w:rsidP="008E0769">
            <w:pPr>
              <w:rPr>
                <w:lang w:val="lt-LT"/>
              </w:rPr>
            </w:pPr>
          </w:p>
        </w:tc>
      </w:tr>
      <w:tr w:rsidR="00A86E0B" w:rsidRPr="008E0769" w:rsidTr="00CA7A93">
        <w:trPr>
          <w:trHeight w:val="225"/>
        </w:trPr>
        <w:tc>
          <w:tcPr>
            <w:tcW w:w="714" w:type="dxa"/>
            <w:shd w:val="clear" w:color="auto" w:fill="auto"/>
            <w:hideMark/>
          </w:tcPr>
          <w:p w:rsidR="00A86E0B" w:rsidRPr="008E0769" w:rsidRDefault="00A86E0B" w:rsidP="008E0769">
            <w:pPr>
              <w:jc w:val="center"/>
              <w:rPr>
                <w:lang w:val="lt-LT"/>
              </w:rPr>
            </w:pPr>
            <w:r w:rsidRPr="008E0769">
              <w:rPr>
                <w:lang w:val="lt-LT"/>
              </w:rPr>
              <w:t>XII.</w:t>
            </w:r>
          </w:p>
        </w:tc>
        <w:tc>
          <w:tcPr>
            <w:tcW w:w="2410" w:type="dxa"/>
            <w:shd w:val="clear" w:color="auto" w:fill="auto"/>
            <w:vAlign w:val="bottom"/>
            <w:hideMark/>
          </w:tcPr>
          <w:p w:rsidR="00A86E0B" w:rsidRPr="008E0769" w:rsidRDefault="00A86E0B" w:rsidP="008E0769">
            <w:pPr>
              <w:rPr>
                <w:lang w:val="lt-LT"/>
              </w:rPr>
            </w:pPr>
            <w:r w:rsidRPr="008E0769">
              <w:rPr>
                <w:lang w:val="lt-LT"/>
              </w:rPr>
              <w:t>PELNO MOKESTIS</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4</w:t>
            </w:r>
            <w:r w:rsidR="00884A1E">
              <w:rPr>
                <w:b/>
                <w:bCs/>
                <w:lang w:val="lt-LT"/>
              </w:rPr>
              <w:t xml:space="preserve"> </w:t>
            </w:r>
            <w:r w:rsidRPr="008E0769">
              <w:rPr>
                <w:b/>
                <w:bCs/>
                <w:lang w:val="lt-LT"/>
              </w:rPr>
              <w:t>485</w:t>
            </w:r>
          </w:p>
        </w:tc>
        <w:tc>
          <w:tcPr>
            <w:tcW w:w="1134" w:type="dxa"/>
            <w:shd w:val="clear" w:color="auto" w:fill="auto"/>
            <w:noWrap/>
            <w:vAlign w:val="bottom"/>
            <w:hideMark/>
          </w:tcPr>
          <w:p w:rsidR="00A86E0B" w:rsidRPr="008E0769" w:rsidRDefault="00A86E0B" w:rsidP="008E0769">
            <w:pPr>
              <w:jc w:val="right"/>
              <w:rPr>
                <w:b/>
                <w:bCs/>
                <w:lang w:val="lt-LT"/>
              </w:rPr>
            </w:pPr>
            <w:r w:rsidRPr="008E0769">
              <w:rPr>
                <w:b/>
                <w:bCs/>
                <w:lang w:val="lt-LT"/>
              </w:rPr>
              <w:t>83</w:t>
            </w:r>
          </w:p>
        </w:tc>
        <w:tc>
          <w:tcPr>
            <w:tcW w:w="2410" w:type="dxa"/>
            <w:shd w:val="clear" w:color="auto" w:fill="auto"/>
            <w:noWrap/>
            <w:vAlign w:val="bottom"/>
            <w:hideMark/>
          </w:tcPr>
          <w:p w:rsidR="00A86E0B" w:rsidRPr="008E0769" w:rsidRDefault="00C07930" w:rsidP="00B7691E">
            <w:pPr>
              <w:rPr>
                <w:lang w:val="lt-LT"/>
              </w:rPr>
            </w:pPr>
            <w:r>
              <w:rPr>
                <w:lang w:val="lt-LT"/>
              </w:rPr>
              <w:t>Svarbus, naudojami apskaitiniai įver</w:t>
            </w:r>
            <w:r w:rsidR="00B7691E">
              <w:rPr>
                <w:lang w:val="lt-LT"/>
              </w:rPr>
              <w:t>čiai</w:t>
            </w:r>
            <w:r w:rsidR="00BE1431">
              <w:rPr>
                <w:lang w:val="lt-LT"/>
              </w:rPr>
              <w:t xml:space="preserve"> (finansinių ataskaitų sudarymo procesas)</w:t>
            </w:r>
          </w:p>
        </w:tc>
        <w:tc>
          <w:tcPr>
            <w:tcW w:w="567" w:type="dxa"/>
            <w:vAlign w:val="bottom"/>
          </w:tcPr>
          <w:p w:rsidR="00A86E0B" w:rsidRPr="008E0769" w:rsidRDefault="00A86E0B" w:rsidP="00ED2E3F">
            <w:pPr>
              <w:rPr>
                <w:lang w:val="lt-LT"/>
              </w:rPr>
            </w:pPr>
            <w:r>
              <w:rPr>
                <w:lang w:val="lt-LT"/>
              </w:rPr>
              <w:t>X</w:t>
            </w:r>
          </w:p>
        </w:tc>
      </w:tr>
      <w:tr w:rsidR="00A86E0B" w:rsidRPr="008E0769" w:rsidTr="00CA7A93">
        <w:trPr>
          <w:trHeight w:val="375"/>
        </w:trPr>
        <w:tc>
          <w:tcPr>
            <w:tcW w:w="714" w:type="dxa"/>
            <w:shd w:val="clear" w:color="auto" w:fill="A6A6A6" w:themeFill="background1" w:themeFillShade="A6"/>
            <w:hideMark/>
          </w:tcPr>
          <w:p w:rsidR="00A86E0B" w:rsidRPr="00141789" w:rsidRDefault="00A86E0B" w:rsidP="008E0769">
            <w:pPr>
              <w:jc w:val="center"/>
              <w:rPr>
                <w:b/>
                <w:bCs/>
                <w:lang w:val="lt-LT"/>
              </w:rPr>
            </w:pPr>
            <w:r w:rsidRPr="00141789">
              <w:rPr>
                <w:b/>
                <w:bCs/>
                <w:lang w:val="lt-LT"/>
              </w:rPr>
              <w:t>XIII.</w:t>
            </w:r>
          </w:p>
        </w:tc>
        <w:tc>
          <w:tcPr>
            <w:tcW w:w="2410" w:type="dxa"/>
            <w:shd w:val="clear" w:color="auto" w:fill="A6A6A6" w:themeFill="background1" w:themeFillShade="A6"/>
            <w:noWrap/>
            <w:vAlign w:val="bottom"/>
            <w:hideMark/>
          </w:tcPr>
          <w:p w:rsidR="00A86E0B" w:rsidRPr="00141789" w:rsidRDefault="00A86E0B" w:rsidP="008E0769">
            <w:pPr>
              <w:rPr>
                <w:b/>
                <w:bCs/>
                <w:lang w:val="lt-LT"/>
              </w:rPr>
            </w:pPr>
            <w:r w:rsidRPr="00141789">
              <w:rPr>
                <w:b/>
                <w:bCs/>
                <w:lang w:val="lt-LT"/>
              </w:rPr>
              <w:t>GRYNASIS PELNAS (NUOSTOLIAI)</w:t>
            </w:r>
          </w:p>
        </w:tc>
        <w:tc>
          <w:tcPr>
            <w:tcW w:w="1134" w:type="dxa"/>
            <w:shd w:val="clear" w:color="auto" w:fill="A6A6A6" w:themeFill="background1" w:themeFillShade="A6"/>
            <w:noWrap/>
            <w:vAlign w:val="bottom"/>
            <w:hideMark/>
          </w:tcPr>
          <w:p w:rsidR="00A86E0B" w:rsidRPr="00141789" w:rsidRDefault="00A86E0B" w:rsidP="008E0769">
            <w:pPr>
              <w:jc w:val="right"/>
              <w:rPr>
                <w:b/>
                <w:bCs/>
                <w:lang w:val="lt-LT"/>
              </w:rPr>
            </w:pPr>
            <w:r w:rsidRPr="00141789">
              <w:rPr>
                <w:b/>
                <w:bCs/>
                <w:lang w:val="lt-LT"/>
              </w:rPr>
              <w:t>(9</w:t>
            </w:r>
            <w:r w:rsidR="00884A1E">
              <w:rPr>
                <w:b/>
                <w:bCs/>
                <w:lang w:val="lt-LT"/>
              </w:rPr>
              <w:t xml:space="preserve"> </w:t>
            </w:r>
            <w:r w:rsidRPr="00141789">
              <w:rPr>
                <w:b/>
                <w:bCs/>
                <w:lang w:val="lt-LT"/>
              </w:rPr>
              <w:t>884)</w:t>
            </w:r>
          </w:p>
        </w:tc>
        <w:tc>
          <w:tcPr>
            <w:tcW w:w="1134" w:type="dxa"/>
            <w:shd w:val="clear" w:color="auto" w:fill="A6A6A6" w:themeFill="background1" w:themeFillShade="A6"/>
            <w:noWrap/>
            <w:vAlign w:val="bottom"/>
            <w:hideMark/>
          </w:tcPr>
          <w:p w:rsidR="00A86E0B" w:rsidRPr="00141789" w:rsidRDefault="00A86E0B" w:rsidP="008E0769">
            <w:pPr>
              <w:jc w:val="right"/>
              <w:rPr>
                <w:b/>
                <w:bCs/>
                <w:lang w:val="lt-LT"/>
              </w:rPr>
            </w:pPr>
            <w:r w:rsidRPr="00141789">
              <w:rPr>
                <w:b/>
                <w:bCs/>
                <w:lang w:val="lt-LT"/>
              </w:rPr>
              <w:t>(9</w:t>
            </w:r>
            <w:r w:rsidR="00884A1E">
              <w:rPr>
                <w:b/>
                <w:bCs/>
                <w:lang w:val="lt-LT"/>
              </w:rPr>
              <w:t xml:space="preserve"> </w:t>
            </w:r>
            <w:r w:rsidRPr="00141789">
              <w:rPr>
                <w:b/>
                <w:bCs/>
                <w:lang w:val="lt-LT"/>
              </w:rPr>
              <w:t>333)</w:t>
            </w:r>
          </w:p>
        </w:tc>
        <w:tc>
          <w:tcPr>
            <w:tcW w:w="2410" w:type="dxa"/>
            <w:shd w:val="clear" w:color="auto" w:fill="A6A6A6" w:themeFill="background1" w:themeFillShade="A6"/>
            <w:noWrap/>
            <w:vAlign w:val="bottom"/>
            <w:hideMark/>
          </w:tcPr>
          <w:p w:rsidR="00A86E0B" w:rsidRPr="00141789" w:rsidRDefault="00A86E0B" w:rsidP="008E0769">
            <w:pPr>
              <w:rPr>
                <w:b/>
                <w:bCs/>
                <w:lang w:val="lt-LT"/>
              </w:rPr>
            </w:pPr>
            <w:r w:rsidRPr="00141789">
              <w:rPr>
                <w:b/>
                <w:bCs/>
                <w:lang w:val="lt-LT"/>
              </w:rPr>
              <w:t> </w:t>
            </w:r>
          </w:p>
        </w:tc>
        <w:tc>
          <w:tcPr>
            <w:tcW w:w="567" w:type="dxa"/>
            <w:shd w:val="clear" w:color="auto" w:fill="A6A6A6" w:themeFill="background1" w:themeFillShade="A6"/>
          </w:tcPr>
          <w:p w:rsidR="00A86E0B" w:rsidRPr="00141789" w:rsidRDefault="00A86E0B" w:rsidP="008E0769">
            <w:pPr>
              <w:rPr>
                <w:b/>
                <w:bCs/>
                <w:lang w:val="lt-LT"/>
              </w:rPr>
            </w:pPr>
          </w:p>
        </w:tc>
      </w:tr>
    </w:tbl>
    <w:p w:rsidR="00AA2B0D" w:rsidRPr="000F65D5" w:rsidRDefault="00AA2B0D" w:rsidP="00AA2B0D">
      <w:pPr>
        <w:pStyle w:val="NormalWeb"/>
        <w:spacing w:before="120" w:beforeAutospacing="0" w:after="0" w:afterAutospacing="0"/>
        <w:jc w:val="both"/>
        <w:rPr>
          <w:sz w:val="20"/>
          <w:szCs w:val="20"/>
          <w:lang w:val="lt-LT"/>
        </w:rPr>
      </w:pPr>
      <w:r w:rsidRPr="000F65D5">
        <w:rPr>
          <w:sz w:val="20"/>
          <w:szCs w:val="20"/>
          <w:lang w:val="lt-LT"/>
        </w:rPr>
        <w:t>Pastaba</w:t>
      </w:r>
      <w:r>
        <w:rPr>
          <w:sz w:val="20"/>
          <w:szCs w:val="20"/>
          <w:lang w:val="lt-LT"/>
        </w:rPr>
        <w:t>:</w:t>
      </w:r>
      <w:r w:rsidRPr="000F65D5">
        <w:rPr>
          <w:sz w:val="20"/>
          <w:szCs w:val="20"/>
          <w:lang w:val="lt-LT"/>
        </w:rPr>
        <w:t xml:space="preserve"> </w:t>
      </w:r>
      <w:r>
        <w:rPr>
          <w:sz w:val="20"/>
          <w:szCs w:val="20"/>
          <w:lang w:val="lt-LT"/>
        </w:rPr>
        <w:t>Susijęs t</w:t>
      </w:r>
      <w:r w:rsidRPr="000F65D5">
        <w:rPr>
          <w:sz w:val="20"/>
          <w:szCs w:val="20"/>
          <w:lang w:val="lt-LT"/>
        </w:rPr>
        <w:t>virtinima</w:t>
      </w:r>
      <w:r>
        <w:rPr>
          <w:sz w:val="20"/>
          <w:szCs w:val="20"/>
          <w:lang w:val="lt-LT"/>
        </w:rPr>
        <w:t>s</w:t>
      </w:r>
      <w:r w:rsidRPr="000F65D5">
        <w:rPr>
          <w:sz w:val="20"/>
          <w:szCs w:val="20"/>
          <w:lang w:val="lt-LT"/>
        </w:rPr>
        <w:t xml:space="preserve">: </w:t>
      </w:r>
      <w:r>
        <w:rPr>
          <w:sz w:val="20"/>
          <w:szCs w:val="20"/>
          <w:lang w:val="lt-LT"/>
        </w:rPr>
        <w:t>tikslumas (T).</w:t>
      </w:r>
    </w:p>
    <w:p w:rsidR="002831E4" w:rsidRPr="002831E4" w:rsidRDefault="002831E4" w:rsidP="00AA2B0D">
      <w:pPr>
        <w:pStyle w:val="NormalWeb"/>
        <w:spacing w:before="0" w:beforeAutospacing="0" w:after="0" w:afterAutospacing="0"/>
        <w:jc w:val="both"/>
        <w:rPr>
          <w:sz w:val="20"/>
          <w:szCs w:val="20"/>
          <w:lang w:val="lt-LT"/>
        </w:rPr>
      </w:pPr>
      <w:r w:rsidRPr="002831E4">
        <w:rPr>
          <w:sz w:val="20"/>
          <w:szCs w:val="20"/>
          <w:lang w:val="lt-LT"/>
        </w:rPr>
        <w:t>Šaltinis:</w:t>
      </w:r>
      <w:r>
        <w:rPr>
          <w:sz w:val="20"/>
          <w:szCs w:val="20"/>
          <w:lang w:val="lt-LT"/>
        </w:rPr>
        <w:t xml:space="preserve"> sudaryta autorės, remiantis UAB „Šiluma“ 2008 metų finansinėmis ataskaitomis.</w:t>
      </w:r>
    </w:p>
    <w:p w:rsidR="00CA7A93" w:rsidRPr="0046395A" w:rsidRDefault="00CA7A93" w:rsidP="00CA7A93">
      <w:pPr>
        <w:pStyle w:val="NormalWeb"/>
        <w:spacing w:before="240" w:beforeAutospacing="0" w:after="0" w:afterAutospacing="0" w:line="360" w:lineRule="auto"/>
        <w:ind w:firstLine="720"/>
        <w:jc w:val="both"/>
        <w:rPr>
          <w:sz w:val="26"/>
          <w:szCs w:val="26"/>
          <w:lang w:val="lt-LT"/>
        </w:rPr>
      </w:pPr>
      <w:r w:rsidRPr="0046395A">
        <w:rPr>
          <w:sz w:val="26"/>
          <w:szCs w:val="26"/>
          <w:lang w:val="lt-LT"/>
        </w:rPr>
        <w:t>2</w:t>
      </w:r>
      <w:r>
        <w:rPr>
          <w:sz w:val="26"/>
          <w:szCs w:val="26"/>
          <w:lang w:val="lt-LT"/>
        </w:rPr>
        <w:t>7</w:t>
      </w:r>
      <w:r w:rsidRPr="0046395A">
        <w:rPr>
          <w:sz w:val="26"/>
          <w:szCs w:val="26"/>
          <w:lang w:val="lt-LT"/>
        </w:rPr>
        <w:t xml:space="preserve"> lentelė rodo, kurie </w:t>
      </w:r>
      <w:r>
        <w:rPr>
          <w:sz w:val="26"/>
          <w:szCs w:val="26"/>
          <w:lang w:val="lt-LT"/>
        </w:rPr>
        <w:t xml:space="preserve">UAB „Šiluma“ 2008 metų </w:t>
      </w:r>
      <w:r w:rsidRPr="0046395A">
        <w:rPr>
          <w:sz w:val="26"/>
          <w:szCs w:val="26"/>
          <w:lang w:val="lt-LT"/>
        </w:rPr>
        <w:t>pelno (nuostolių) ataskaitos elementai yra svarbūs reikšmingo iškraipymo rizikos požiūriu. Tai: 1) pardavimo pajamos, 2)</w:t>
      </w:r>
      <w:r>
        <w:rPr>
          <w:sz w:val="26"/>
          <w:szCs w:val="26"/>
          <w:lang w:val="lt-LT"/>
        </w:rPr>
        <w:t> </w:t>
      </w:r>
      <w:r w:rsidRPr="0046395A">
        <w:rPr>
          <w:sz w:val="26"/>
          <w:szCs w:val="26"/>
          <w:lang w:val="lt-LT"/>
        </w:rPr>
        <w:t xml:space="preserve">pardavimo savikaina ir 3) veiklos sąnaudos. O su šiais elementais susijęs tvirtinimas yra </w:t>
      </w:r>
      <w:r w:rsidRPr="00AA2B0D">
        <w:rPr>
          <w:i/>
          <w:sz w:val="26"/>
          <w:szCs w:val="26"/>
          <w:lang w:val="lt-LT"/>
        </w:rPr>
        <w:t>tikslumas</w:t>
      </w:r>
      <w:r w:rsidRPr="0046395A">
        <w:rPr>
          <w:sz w:val="26"/>
          <w:szCs w:val="26"/>
          <w:lang w:val="lt-LT"/>
        </w:rPr>
        <w:t>, kuris skirtas nustatyti ar įvykusios ūkinės operacijos šioje finansinėje ataskaitoje yra pateiktos teisinga suma.</w:t>
      </w:r>
    </w:p>
    <w:p w:rsidR="00D25908" w:rsidRDefault="00A86E0B" w:rsidP="00CA7A93">
      <w:pPr>
        <w:pStyle w:val="NormalWeb"/>
        <w:spacing w:before="0" w:beforeAutospacing="0" w:after="0" w:afterAutospacing="0" w:line="360" w:lineRule="auto"/>
        <w:ind w:firstLine="720"/>
        <w:jc w:val="both"/>
        <w:rPr>
          <w:sz w:val="26"/>
          <w:szCs w:val="26"/>
          <w:lang w:val="lt-LT"/>
        </w:rPr>
      </w:pPr>
      <w:r w:rsidRPr="003503E9">
        <w:rPr>
          <w:sz w:val="26"/>
          <w:szCs w:val="26"/>
          <w:lang w:val="lt-LT"/>
        </w:rPr>
        <w:t>Išs</w:t>
      </w:r>
      <w:r w:rsidR="00A12A23" w:rsidRPr="003503E9">
        <w:rPr>
          <w:sz w:val="26"/>
          <w:szCs w:val="26"/>
          <w:lang w:val="lt-LT"/>
        </w:rPr>
        <w:t xml:space="preserve">iaiškinus </w:t>
      </w:r>
      <w:r w:rsidR="00DA4B18" w:rsidRPr="003503E9">
        <w:rPr>
          <w:sz w:val="26"/>
          <w:szCs w:val="26"/>
          <w:lang w:val="lt-LT"/>
        </w:rPr>
        <w:t xml:space="preserve">reikšmingo iškraipymo rizikos požiūriu </w:t>
      </w:r>
      <w:r w:rsidRPr="003503E9">
        <w:rPr>
          <w:sz w:val="26"/>
          <w:szCs w:val="26"/>
          <w:lang w:val="lt-LT"/>
        </w:rPr>
        <w:t xml:space="preserve">svarbius finansinių ataskaitų elementus </w:t>
      </w:r>
      <w:r w:rsidR="00A12A23" w:rsidRPr="003503E9">
        <w:rPr>
          <w:sz w:val="26"/>
          <w:szCs w:val="26"/>
          <w:lang w:val="lt-LT"/>
        </w:rPr>
        <w:t>ir susijusius tvirti</w:t>
      </w:r>
      <w:r w:rsidR="00A12A23" w:rsidRPr="00FA1D98">
        <w:rPr>
          <w:sz w:val="26"/>
          <w:szCs w:val="26"/>
          <w:lang w:val="lt-LT"/>
        </w:rPr>
        <w:t xml:space="preserve">nimus </w:t>
      </w:r>
      <w:r w:rsidR="00835301" w:rsidRPr="00FA1D98">
        <w:rPr>
          <w:sz w:val="26"/>
          <w:szCs w:val="26"/>
          <w:lang w:val="lt-LT"/>
        </w:rPr>
        <w:t>(2</w:t>
      </w:r>
      <w:r w:rsidR="00FA1D98" w:rsidRPr="00FA1D98">
        <w:rPr>
          <w:sz w:val="26"/>
          <w:szCs w:val="26"/>
          <w:lang w:val="lt-LT"/>
        </w:rPr>
        <w:t>5</w:t>
      </w:r>
      <w:r w:rsidR="00835301" w:rsidRPr="00FA1D98">
        <w:rPr>
          <w:sz w:val="26"/>
          <w:szCs w:val="26"/>
          <w:lang w:val="lt-LT"/>
        </w:rPr>
        <w:t>-2</w:t>
      </w:r>
      <w:r w:rsidR="00FA1D98" w:rsidRPr="00FA1D98">
        <w:rPr>
          <w:sz w:val="26"/>
          <w:szCs w:val="26"/>
          <w:lang w:val="lt-LT"/>
        </w:rPr>
        <w:t>7</w:t>
      </w:r>
      <w:r w:rsidR="00835301" w:rsidRPr="00FA1D98">
        <w:rPr>
          <w:sz w:val="26"/>
          <w:szCs w:val="26"/>
          <w:lang w:val="lt-LT"/>
        </w:rPr>
        <w:t xml:space="preserve"> lentelė</w:t>
      </w:r>
      <w:r w:rsidR="00FA1D98" w:rsidRPr="00FA1D98">
        <w:rPr>
          <w:sz w:val="26"/>
          <w:szCs w:val="26"/>
          <w:lang w:val="lt-LT"/>
        </w:rPr>
        <w:t>s</w:t>
      </w:r>
      <w:r w:rsidR="00835301" w:rsidRPr="00FA1D98">
        <w:rPr>
          <w:sz w:val="26"/>
          <w:szCs w:val="26"/>
          <w:lang w:val="lt-LT"/>
        </w:rPr>
        <w:t xml:space="preserve">), </w:t>
      </w:r>
      <w:r w:rsidR="00510F6D" w:rsidRPr="00FA1D98">
        <w:rPr>
          <w:sz w:val="26"/>
          <w:szCs w:val="26"/>
          <w:lang w:val="lt-LT"/>
        </w:rPr>
        <w:t>ir ži</w:t>
      </w:r>
      <w:r w:rsidR="00510F6D" w:rsidRPr="003503E9">
        <w:rPr>
          <w:sz w:val="26"/>
          <w:szCs w:val="26"/>
          <w:lang w:val="lt-LT"/>
        </w:rPr>
        <w:t xml:space="preserve">nant, kad įmonės lygmeniu egzistuoja vidaus kontrolės sistema (žr. aukščiau prie įmonės rizikos aptarimo) </w:t>
      </w:r>
      <w:r w:rsidR="00A12A23" w:rsidRPr="003503E9">
        <w:rPr>
          <w:sz w:val="26"/>
          <w:szCs w:val="26"/>
          <w:lang w:val="lt-LT"/>
        </w:rPr>
        <w:t xml:space="preserve">būtina </w:t>
      </w:r>
      <w:r w:rsidR="003253EE" w:rsidRPr="003503E9">
        <w:rPr>
          <w:sz w:val="26"/>
          <w:szCs w:val="26"/>
          <w:lang w:val="lt-LT"/>
        </w:rPr>
        <w:t>suprasti pagrindinius UAB „Šiluma“ procesus ir j</w:t>
      </w:r>
      <w:r w:rsidR="00285F74">
        <w:rPr>
          <w:sz w:val="26"/>
          <w:szCs w:val="26"/>
          <w:lang w:val="lt-LT"/>
        </w:rPr>
        <w:t>u</w:t>
      </w:r>
      <w:r w:rsidR="003253EE" w:rsidRPr="003503E9">
        <w:rPr>
          <w:sz w:val="26"/>
          <w:szCs w:val="26"/>
          <w:lang w:val="lt-LT"/>
        </w:rPr>
        <w:t xml:space="preserve">ose veikiančias kontrolės procedūras. </w:t>
      </w:r>
    </w:p>
    <w:p w:rsidR="008C196D" w:rsidRDefault="00D25908" w:rsidP="00D25908">
      <w:pPr>
        <w:pStyle w:val="NormalWeb"/>
        <w:spacing w:before="0" w:beforeAutospacing="0" w:after="0" w:afterAutospacing="0" w:line="360" w:lineRule="auto"/>
        <w:ind w:firstLine="720"/>
        <w:jc w:val="both"/>
        <w:rPr>
          <w:sz w:val="26"/>
          <w:szCs w:val="26"/>
          <w:lang w:val="lt-LT"/>
        </w:rPr>
      </w:pPr>
      <w:r>
        <w:rPr>
          <w:sz w:val="26"/>
          <w:szCs w:val="26"/>
          <w:lang w:val="lt-LT"/>
        </w:rPr>
        <w:t>Audito metu n</w:t>
      </w:r>
      <w:r w:rsidR="00744CF3" w:rsidRPr="003503E9">
        <w:rPr>
          <w:sz w:val="26"/>
          <w:szCs w:val="26"/>
          <w:lang w:val="lt-LT"/>
        </w:rPr>
        <w:t>ustatyta</w:t>
      </w:r>
      <w:r w:rsidR="003253EE" w:rsidRPr="003503E9">
        <w:rPr>
          <w:sz w:val="26"/>
          <w:szCs w:val="26"/>
          <w:lang w:val="lt-LT"/>
        </w:rPr>
        <w:t xml:space="preserve">, </w:t>
      </w:r>
      <w:r w:rsidR="00744CF3" w:rsidRPr="003503E9">
        <w:rPr>
          <w:sz w:val="26"/>
          <w:szCs w:val="26"/>
          <w:lang w:val="lt-LT"/>
        </w:rPr>
        <w:t xml:space="preserve">jog </w:t>
      </w:r>
      <w:r w:rsidR="008C196D">
        <w:rPr>
          <w:sz w:val="26"/>
          <w:szCs w:val="26"/>
          <w:lang w:val="lt-LT"/>
        </w:rPr>
        <w:t xml:space="preserve">nagrinėjamoje </w:t>
      </w:r>
      <w:r w:rsidR="00744CF3" w:rsidRPr="003503E9">
        <w:rPr>
          <w:sz w:val="26"/>
          <w:szCs w:val="26"/>
          <w:lang w:val="lt-LT"/>
        </w:rPr>
        <w:t>įmon</w:t>
      </w:r>
      <w:r w:rsidR="008C196D">
        <w:rPr>
          <w:sz w:val="26"/>
          <w:szCs w:val="26"/>
          <w:lang w:val="lt-LT"/>
        </w:rPr>
        <w:t xml:space="preserve">ėje </w:t>
      </w:r>
      <w:r w:rsidR="003253EE" w:rsidRPr="003503E9">
        <w:rPr>
          <w:sz w:val="26"/>
          <w:szCs w:val="26"/>
          <w:lang w:val="lt-LT"/>
        </w:rPr>
        <w:t xml:space="preserve">būdingi šie </w:t>
      </w:r>
      <w:r w:rsidR="00A00C34" w:rsidRPr="003503E9">
        <w:rPr>
          <w:sz w:val="26"/>
          <w:szCs w:val="26"/>
          <w:lang w:val="lt-LT"/>
        </w:rPr>
        <w:t xml:space="preserve">svarbiausi </w:t>
      </w:r>
      <w:r w:rsidR="00DD6330" w:rsidRPr="003503E9">
        <w:rPr>
          <w:sz w:val="26"/>
          <w:szCs w:val="26"/>
          <w:lang w:val="lt-LT"/>
        </w:rPr>
        <w:t xml:space="preserve">apskaitos </w:t>
      </w:r>
      <w:r w:rsidR="00B030E7" w:rsidRPr="003503E9">
        <w:rPr>
          <w:sz w:val="26"/>
          <w:szCs w:val="26"/>
          <w:lang w:val="lt-LT"/>
        </w:rPr>
        <w:t xml:space="preserve">procesai: 1) pirkimų, </w:t>
      </w:r>
      <w:r w:rsidR="00BE1431" w:rsidRPr="003503E9">
        <w:rPr>
          <w:sz w:val="26"/>
          <w:szCs w:val="26"/>
          <w:lang w:val="lt-LT"/>
        </w:rPr>
        <w:t xml:space="preserve">2) </w:t>
      </w:r>
      <w:r w:rsidR="00B030E7" w:rsidRPr="003503E9">
        <w:rPr>
          <w:sz w:val="26"/>
          <w:szCs w:val="26"/>
          <w:lang w:val="lt-LT"/>
        </w:rPr>
        <w:t xml:space="preserve">pardavimo, </w:t>
      </w:r>
      <w:r w:rsidR="00BE1431" w:rsidRPr="003503E9">
        <w:rPr>
          <w:sz w:val="26"/>
          <w:szCs w:val="26"/>
          <w:lang w:val="lt-LT"/>
        </w:rPr>
        <w:t xml:space="preserve">3) </w:t>
      </w:r>
      <w:r w:rsidR="00B030E7" w:rsidRPr="003503E9">
        <w:rPr>
          <w:sz w:val="26"/>
          <w:szCs w:val="26"/>
          <w:lang w:val="lt-LT"/>
        </w:rPr>
        <w:t>darbo apmokėjimo</w:t>
      </w:r>
      <w:r w:rsidR="00BE1431" w:rsidRPr="003503E9">
        <w:rPr>
          <w:sz w:val="26"/>
          <w:szCs w:val="26"/>
          <w:lang w:val="lt-LT"/>
        </w:rPr>
        <w:t xml:space="preserve"> ir</w:t>
      </w:r>
      <w:r w:rsidR="00285F74">
        <w:rPr>
          <w:sz w:val="26"/>
          <w:szCs w:val="26"/>
          <w:lang w:val="lt-LT"/>
        </w:rPr>
        <w:t xml:space="preserve"> </w:t>
      </w:r>
      <w:r w:rsidR="00BE1431" w:rsidRPr="003503E9">
        <w:rPr>
          <w:sz w:val="26"/>
          <w:szCs w:val="26"/>
          <w:lang w:val="lt-LT"/>
        </w:rPr>
        <w:t>4)</w:t>
      </w:r>
      <w:r w:rsidR="003503E9">
        <w:rPr>
          <w:sz w:val="26"/>
          <w:szCs w:val="26"/>
          <w:lang w:val="lt-LT"/>
        </w:rPr>
        <w:t> </w:t>
      </w:r>
      <w:r w:rsidR="00BE1431" w:rsidRPr="003503E9">
        <w:rPr>
          <w:sz w:val="26"/>
          <w:szCs w:val="26"/>
          <w:lang w:val="lt-LT"/>
        </w:rPr>
        <w:t xml:space="preserve">finansinių ataskaitų sudarymo. </w:t>
      </w:r>
    </w:p>
    <w:p w:rsidR="00B97AE0" w:rsidRDefault="00BE1431" w:rsidP="00D25908">
      <w:pPr>
        <w:pStyle w:val="NormalWeb"/>
        <w:spacing w:before="0" w:beforeAutospacing="0" w:after="0" w:afterAutospacing="0" w:line="360" w:lineRule="auto"/>
        <w:ind w:firstLine="720"/>
        <w:jc w:val="both"/>
        <w:rPr>
          <w:sz w:val="26"/>
          <w:szCs w:val="26"/>
          <w:lang w:val="lt-LT"/>
        </w:rPr>
      </w:pPr>
      <w:r w:rsidRPr="003503E9">
        <w:rPr>
          <w:sz w:val="26"/>
          <w:szCs w:val="26"/>
          <w:lang w:val="lt-LT"/>
        </w:rPr>
        <w:t>Šių procesų metu taikomos įvairios kontrolės procedūros</w:t>
      </w:r>
      <w:r w:rsidR="00B97AE0" w:rsidRPr="003503E9">
        <w:rPr>
          <w:sz w:val="26"/>
          <w:szCs w:val="26"/>
          <w:lang w:val="lt-LT"/>
        </w:rPr>
        <w:t xml:space="preserve"> (žr.</w:t>
      </w:r>
      <w:r w:rsidR="00973556">
        <w:rPr>
          <w:sz w:val="26"/>
          <w:szCs w:val="26"/>
          <w:lang w:val="lt-LT"/>
        </w:rPr>
        <w:t> </w:t>
      </w:r>
      <w:r w:rsidR="00FB74CF" w:rsidRPr="003503E9">
        <w:rPr>
          <w:sz w:val="26"/>
          <w:szCs w:val="26"/>
          <w:lang w:val="lt-LT"/>
        </w:rPr>
        <w:t>2</w:t>
      </w:r>
      <w:r w:rsidR="00FA1D98">
        <w:rPr>
          <w:sz w:val="26"/>
          <w:szCs w:val="26"/>
          <w:lang w:val="lt-LT"/>
        </w:rPr>
        <w:t>8</w:t>
      </w:r>
      <w:r w:rsidR="00973556">
        <w:rPr>
          <w:sz w:val="26"/>
          <w:szCs w:val="26"/>
          <w:lang w:val="lt-LT"/>
        </w:rPr>
        <w:t> </w:t>
      </w:r>
      <w:r w:rsidR="00FB74CF" w:rsidRPr="003503E9">
        <w:rPr>
          <w:sz w:val="26"/>
          <w:szCs w:val="26"/>
          <w:lang w:val="lt-LT"/>
        </w:rPr>
        <w:t>lentelė</w:t>
      </w:r>
      <w:r w:rsidR="00B97AE0" w:rsidRPr="003503E9">
        <w:rPr>
          <w:sz w:val="26"/>
          <w:szCs w:val="26"/>
          <w:lang w:val="lt-LT"/>
        </w:rPr>
        <w:t>), kurių</w:t>
      </w:r>
      <w:r w:rsidR="00C53909" w:rsidRPr="003503E9">
        <w:rPr>
          <w:sz w:val="26"/>
          <w:szCs w:val="26"/>
          <w:lang w:val="lt-LT"/>
        </w:rPr>
        <w:t xml:space="preserve"> veik</w:t>
      </w:r>
      <w:r w:rsidR="008C196D">
        <w:rPr>
          <w:sz w:val="26"/>
          <w:szCs w:val="26"/>
          <w:lang w:val="lt-LT"/>
        </w:rPr>
        <w:t>smingumo</w:t>
      </w:r>
      <w:r w:rsidR="00C53909" w:rsidRPr="003503E9">
        <w:rPr>
          <w:sz w:val="26"/>
          <w:szCs w:val="26"/>
          <w:lang w:val="lt-LT"/>
        </w:rPr>
        <w:t xml:space="preserve"> išsiaiškinimas</w:t>
      </w:r>
      <w:r w:rsidR="00342B30" w:rsidRPr="003503E9">
        <w:rPr>
          <w:sz w:val="26"/>
          <w:szCs w:val="26"/>
          <w:lang w:val="lt-LT"/>
        </w:rPr>
        <w:t xml:space="preserve"> (</w:t>
      </w:r>
      <w:r w:rsidR="008538A7" w:rsidRPr="003503E9">
        <w:rPr>
          <w:sz w:val="26"/>
          <w:szCs w:val="26"/>
          <w:lang w:val="lt-LT"/>
        </w:rPr>
        <w:t xml:space="preserve">atlikus </w:t>
      </w:r>
      <w:r w:rsidR="00342B30" w:rsidRPr="003503E9">
        <w:rPr>
          <w:sz w:val="26"/>
          <w:szCs w:val="26"/>
          <w:lang w:val="lt-LT"/>
        </w:rPr>
        <w:t>kontrolės test</w:t>
      </w:r>
      <w:r w:rsidR="008538A7" w:rsidRPr="003503E9">
        <w:rPr>
          <w:sz w:val="26"/>
          <w:szCs w:val="26"/>
          <w:lang w:val="lt-LT"/>
        </w:rPr>
        <w:t>us</w:t>
      </w:r>
      <w:r w:rsidR="00804A86" w:rsidRPr="003503E9">
        <w:rPr>
          <w:sz w:val="26"/>
          <w:szCs w:val="26"/>
          <w:lang w:val="lt-LT"/>
        </w:rPr>
        <w:t xml:space="preserve"> visa apimtimi</w:t>
      </w:r>
      <w:r w:rsidR="00342B30" w:rsidRPr="003503E9">
        <w:rPr>
          <w:sz w:val="26"/>
          <w:szCs w:val="26"/>
          <w:lang w:val="lt-LT"/>
        </w:rPr>
        <w:t>)</w:t>
      </w:r>
      <w:r w:rsidR="00B97AE0" w:rsidRPr="003503E9">
        <w:rPr>
          <w:sz w:val="26"/>
          <w:szCs w:val="26"/>
          <w:lang w:val="lt-LT"/>
        </w:rPr>
        <w:t xml:space="preserve">, leidžia daryti išvadą apie </w:t>
      </w:r>
      <w:r w:rsidR="00342B30" w:rsidRPr="003503E9">
        <w:rPr>
          <w:sz w:val="26"/>
          <w:szCs w:val="26"/>
          <w:lang w:val="lt-LT"/>
        </w:rPr>
        <w:t xml:space="preserve">įmonės </w:t>
      </w:r>
      <w:r w:rsidR="00B97AE0" w:rsidRPr="003503E9">
        <w:rPr>
          <w:sz w:val="26"/>
          <w:szCs w:val="26"/>
          <w:lang w:val="lt-LT"/>
        </w:rPr>
        <w:t>vidaus kontrolės sistemos veiksmingumą k</w:t>
      </w:r>
      <w:r w:rsidR="00A00C34" w:rsidRPr="003503E9">
        <w:rPr>
          <w:sz w:val="26"/>
          <w:szCs w:val="26"/>
          <w:lang w:val="lt-LT"/>
        </w:rPr>
        <w:t>onkretaus</w:t>
      </w:r>
      <w:r w:rsidR="00B97AE0" w:rsidRPr="003503E9">
        <w:rPr>
          <w:sz w:val="26"/>
          <w:szCs w:val="26"/>
          <w:lang w:val="lt-LT"/>
        </w:rPr>
        <w:t xml:space="preserve"> proceso atžvilgiu. </w:t>
      </w:r>
    </w:p>
    <w:p w:rsidR="00A00C34" w:rsidRPr="003503E9" w:rsidRDefault="00A00C34" w:rsidP="00D25908">
      <w:pPr>
        <w:ind w:firstLine="720"/>
        <w:jc w:val="right"/>
        <w:rPr>
          <w:i/>
          <w:sz w:val="26"/>
          <w:szCs w:val="26"/>
          <w:lang w:val="lt-LT"/>
        </w:rPr>
      </w:pPr>
      <w:r w:rsidRPr="003503E9">
        <w:rPr>
          <w:i/>
          <w:sz w:val="26"/>
          <w:szCs w:val="26"/>
          <w:lang w:val="lt-LT"/>
        </w:rPr>
        <w:lastRenderedPageBreak/>
        <w:t>2</w:t>
      </w:r>
      <w:r w:rsidR="00FA1D98">
        <w:rPr>
          <w:i/>
          <w:sz w:val="26"/>
          <w:szCs w:val="26"/>
          <w:lang w:val="lt-LT"/>
        </w:rPr>
        <w:t>8</w:t>
      </w:r>
      <w:r w:rsidRPr="003503E9">
        <w:rPr>
          <w:i/>
          <w:sz w:val="26"/>
          <w:szCs w:val="26"/>
          <w:lang w:val="lt-LT"/>
        </w:rPr>
        <w:t xml:space="preserve"> lentelė</w:t>
      </w:r>
    </w:p>
    <w:p w:rsidR="00A00C34" w:rsidRPr="003503E9" w:rsidRDefault="00D25908" w:rsidP="00D25908">
      <w:pPr>
        <w:pStyle w:val="NormalWeb"/>
        <w:spacing w:before="0" w:beforeAutospacing="0" w:after="0" w:afterAutospacing="0"/>
        <w:ind w:firstLine="720"/>
        <w:jc w:val="center"/>
        <w:rPr>
          <w:sz w:val="26"/>
          <w:szCs w:val="26"/>
          <w:lang w:val="lt-LT"/>
        </w:rPr>
      </w:pPr>
      <w:r>
        <w:rPr>
          <w:b/>
          <w:sz w:val="26"/>
          <w:szCs w:val="26"/>
          <w:lang w:val="lt-LT"/>
        </w:rPr>
        <w:t>K</w:t>
      </w:r>
      <w:r w:rsidRPr="003503E9">
        <w:rPr>
          <w:b/>
          <w:sz w:val="26"/>
          <w:szCs w:val="26"/>
          <w:lang w:val="lt-LT"/>
        </w:rPr>
        <w:t>ontrolės procedūr</w:t>
      </w:r>
      <w:r>
        <w:rPr>
          <w:b/>
          <w:sz w:val="26"/>
          <w:szCs w:val="26"/>
          <w:lang w:val="lt-LT"/>
        </w:rPr>
        <w:t>os</w:t>
      </w:r>
      <w:r w:rsidRPr="003503E9">
        <w:rPr>
          <w:b/>
          <w:sz w:val="26"/>
          <w:szCs w:val="26"/>
          <w:lang w:val="lt-LT"/>
        </w:rPr>
        <w:t xml:space="preserve"> </w:t>
      </w:r>
      <w:r w:rsidR="00A00C34" w:rsidRPr="003503E9">
        <w:rPr>
          <w:b/>
          <w:sz w:val="26"/>
          <w:szCs w:val="26"/>
          <w:lang w:val="lt-LT"/>
        </w:rPr>
        <w:t xml:space="preserve">UAB „Šiluma“ </w:t>
      </w:r>
      <w:r w:rsidR="00DD6330" w:rsidRPr="003503E9">
        <w:rPr>
          <w:b/>
          <w:sz w:val="26"/>
          <w:szCs w:val="26"/>
          <w:lang w:val="lt-LT"/>
        </w:rPr>
        <w:t xml:space="preserve">apskaitos </w:t>
      </w:r>
      <w:r w:rsidR="00A00C34" w:rsidRPr="003503E9">
        <w:rPr>
          <w:b/>
          <w:sz w:val="26"/>
          <w:szCs w:val="26"/>
          <w:lang w:val="lt-LT"/>
        </w:rPr>
        <w:t>proces</w:t>
      </w:r>
      <w:r>
        <w:rPr>
          <w:b/>
          <w:sz w:val="26"/>
          <w:szCs w:val="26"/>
          <w:lang w:val="lt-LT"/>
        </w:rPr>
        <w:t>uose</w:t>
      </w:r>
    </w:p>
    <w:tbl>
      <w:tblPr>
        <w:tblStyle w:val="TableGrid"/>
        <w:tblW w:w="8400" w:type="dxa"/>
        <w:jc w:val="center"/>
        <w:tblInd w:w="369" w:type="dxa"/>
        <w:tblLook w:val="04A0"/>
      </w:tblPr>
      <w:tblGrid>
        <w:gridCol w:w="1336"/>
        <w:gridCol w:w="5735"/>
        <w:gridCol w:w="1329"/>
      </w:tblGrid>
      <w:tr w:rsidR="00C53909" w:rsidRPr="003503E9" w:rsidTr="00566877">
        <w:trPr>
          <w:jc w:val="center"/>
        </w:trPr>
        <w:tc>
          <w:tcPr>
            <w:tcW w:w="1337" w:type="dxa"/>
          </w:tcPr>
          <w:p w:rsidR="00C53909" w:rsidRPr="003503E9" w:rsidRDefault="00C53909" w:rsidP="00B41C79">
            <w:pPr>
              <w:pStyle w:val="NormalWeb"/>
              <w:spacing w:before="0" w:beforeAutospacing="0" w:after="0" w:afterAutospacing="0"/>
              <w:jc w:val="center"/>
              <w:rPr>
                <w:b/>
                <w:sz w:val="22"/>
                <w:szCs w:val="22"/>
                <w:lang w:val="lt-LT"/>
              </w:rPr>
            </w:pPr>
            <w:r w:rsidRPr="003503E9">
              <w:rPr>
                <w:b/>
                <w:sz w:val="22"/>
                <w:szCs w:val="22"/>
                <w:lang w:val="lt-LT"/>
              </w:rPr>
              <w:t>Įmonės procesas</w:t>
            </w:r>
          </w:p>
        </w:tc>
        <w:tc>
          <w:tcPr>
            <w:tcW w:w="5850" w:type="dxa"/>
          </w:tcPr>
          <w:p w:rsidR="00C53909" w:rsidRPr="003503E9" w:rsidRDefault="00C53909" w:rsidP="00B41C79">
            <w:pPr>
              <w:pStyle w:val="NormalWeb"/>
              <w:spacing w:before="0" w:beforeAutospacing="0" w:after="0" w:afterAutospacing="0"/>
              <w:jc w:val="center"/>
              <w:rPr>
                <w:b/>
                <w:sz w:val="22"/>
                <w:szCs w:val="22"/>
                <w:lang w:val="lt-LT"/>
              </w:rPr>
            </w:pPr>
            <w:r w:rsidRPr="003503E9">
              <w:rPr>
                <w:b/>
                <w:sz w:val="22"/>
                <w:szCs w:val="22"/>
                <w:lang w:val="lt-LT"/>
              </w:rPr>
              <w:t>Kontrolės procedūros</w:t>
            </w:r>
          </w:p>
        </w:tc>
        <w:tc>
          <w:tcPr>
            <w:tcW w:w="1213" w:type="dxa"/>
          </w:tcPr>
          <w:p w:rsidR="00C53909" w:rsidRPr="003503E9" w:rsidRDefault="00C53909" w:rsidP="00B74692">
            <w:pPr>
              <w:pStyle w:val="NormalWeb"/>
              <w:spacing w:before="0" w:beforeAutospacing="0" w:after="0" w:afterAutospacing="0"/>
              <w:jc w:val="center"/>
              <w:rPr>
                <w:b/>
                <w:sz w:val="22"/>
                <w:szCs w:val="22"/>
                <w:lang w:val="lt-LT"/>
              </w:rPr>
            </w:pPr>
            <w:r w:rsidRPr="003503E9">
              <w:rPr>
                <w:b/>
                <w:sz w:val="22"/>
                <w:szCs w:val="22"/>
                <w:lang w:val="lt-LT"/>
              </w:rPr>
              <w:t>Išvada apie procesą</w:t>
            </w:r>
          </w:p>
        </w:tc>
      </w:tr>
      <w:tr w:rsidR="00C53909" w:rsidRPr="003503E9" w:rsidTr="00566877">
        <w:trPr>
          <w:jc w:val="center"/>
        </w:trPr>
        <w:tc>
          <w:tcPr>
            <w:tcW w:w="1337" w:type="dxa"/>
          </w:tcPr>
          <w:p w:rsidR="00C53909" w:rsidRPr="003503E9" w:rsidRDefault="00C53909" w:rsidP="00B41C79">
            <w:pPr>
              <w:pStyle w:val="NormalWeb"/>
              <w:spacing w:before="0" w:beforeAutospacing="0" w:after="0" w:afterAutospacing="0"/>
              <w:jc w:val="both"/>
              <w:rPr>
                <w:sz w:val="22"/>
                <w:szCs w:val="22"/>
                <w:lang w:val="lt-LT"/>
              </w:rPr>
            </w:pPr>
            <w:r w:rsidRPr="003503E9">
              <w:rPr>
                <w:sz w:val="22"/>
                <w:szCs w:val="22"/>
                <w:lang w:val="lt-LT"/>
              </w:rPr>
              <w:t xml:space="preserve">Pirkimų </w:t>
            </w:r>
          </w:p>
        </w:tc>
        <w:tc>
          <w:tcPr>
            <w:tcW w:w="5850" w:type="dxa"/>
          </w:tcPr>
          <w:p w:rsidR="00C53909" w:rsidRPr="003503E9" w:rsidRDefault="00B74692" w:rsidP="00B74692">
            <w:pPr>
              <w:pStyle w:val="NormalWeb"/>
              <w:spacing w:before="0" w:beforeAutospacing="0" w:after="0" w:afterAutospacing="0"/>
              <w:rPr>
                <w:sz w:val="22"/>
                <w:szCs w:val="22"/>
                <w:lang w:val="lt-LT"/>
              </w:rPr>
            </w:pPr>
            <w:r w:rsidRPr="003503E9">
              <w:rPr>
                <w:sz w:val="22"/>
                <w:szCs w:val="22"/>
                <w:lang w:val="lt-LT"/>
              </w:rPr>
              <w:t>1. Atsargų ir ilgalaikio turto inventorizacija atliekama k</w:t>
            </w:r>
            <w:r w:rsidR="008C196D">
              <w:rPr>
                <w:sz w:val="22"/>
                <w:szCs w:val="22"/>
                <w:lang w:val="lt-LT"/>
              </w:rPr>
              <w:t>iekvienų</w:t>
            </w:r>
            <w:r w:rsidRPr="003503E9">
              <w:rPr>
                <w:sz w:val="22"/>
                <w:szCs w:val="22"/>
                <w:lang w:val="lt-LT"/>
              </w:rPr>
              <w:t xml:space="preserve"> metų pabaigoje.</w:t>
            </w:r>
          </w:p>
          <w:p w:rsidR="00B74692" w:rsidRPr="003503E9" w:rsidRDefault="00B74692" w:rsidP="00B74692">
            <w:pPr>
              <w:pStyle w:val="NormalWeb"/>
              <w:spacing w:before="0" w:beforeAutospacing="0" w:after="0" w:afterAutospacing="0"/>
              <w:rPr>
                <w:sz w:val="22"/>
                <w:szCs w:val="22"/>
                <w:lang w:val="lt-LT"/>
              </w:rPr>
            </w:pPr>
            <w:r w:rsidRPr="003503E9">
              <w:rPr>
                <w:sz w:val="22"/>
                <w:szCs w:val="22"/>
                <w:lang w:val="lt-LT"/>
              </w:rPr>
              <w:t>2. Atsakingas buhalteris patikrina, ar pirkimų sąskaita yra tinkamai patvirtinta.</w:t>
            </w:r>
          </w:p>
          <w:p w:rsidR="00B74692" w:rsidRPr="003503E9" w:rsidRDefault="00B74692" w:rsidP="00B74692">
            <w:pPr>
              <w:pStyle w:val="NormalWeb"/>
              <w:spacing w:before="0" w:beforeAutospacing="0" w:after="0" w:afterAutospacing="0"/>
              <w:rPr>
                <w:sz w:val="22"/>
                <w:szCs w:val="22"/>
                <w:lang w:val="lt-LT"/>
              </w:rPr>
            </w:pPr>
            <w:r w:rsidRPr="003503E9">
              <w:rPr>
                <w:sz w:val="22"/>
                <w:szCs w:val="22"/>
                <w:lang w:val="lt-LT"/>
              </w:rPr>
              <w:t>3. Atsakingas buhalteris patikrina, ar pirkimo sąskaitos duomenys atitinka įrašus padarytus apskaitos programoje.</w:t>
            </w:r>
          </w:p>
          <w:p w:rsidR="00757A31" w:rsidRPr="003503E9" w:rsidRDefault="00B74692" w:rsidP="00757A31">
            <w:pPr>
              <w:pStyle w:val="NormalWeb"/>
              <w:spacing w:before="0" w:beforeAutospacing="0" w:after="0" w:afterAutospacing="0"/>
              <w:rPr>
                <w:sz w:val="22"/>
                <w:szCs w:val="22"/>
                <w:lang w:val="lt-LT"/>
              </w:rPr>
            </w:pPr>
            <w:r w:rsidRPr="003503E9">
              <w:rPr>
                <w:sz w:val="22"/>
                <w:szCs w:val="22"/>
                <w:lang w:val="lt-LT"/>
              </w:rPr>
              <w:t>4.</w:t>
            </w:r>
            <w:r w:rsidR="00757A31" w:rsidRPr="003503E9">
              <w:rPr>
                <w:sz w:val="22"/>
                <w:szCs w:val="22"/>
                <w:lang w:val="lt-LT"/>
              </w:rPr>
              <w:t xml:space="preserve"> Ilgalaikio turto įvedimo į eksploataciją komisija surašo įvedimo į eksploataciją aktą.</w:t>
            </w:r>
          </w:p>
          <w:p w:rsidR="00B74692" w:rsidRPr="003503E9" w:rsidRDefault="00757A31" w:rsidP="00757A31">
            <w:pPr>
              <w:pStyle w:val="NormalWeb"/>
              <w:spacing w:before="0" w:beforeAutospacing="0" w:after="0" w:afterAutospacing="0"/>
              <w:rPr>
                <w:sz w:val="22"/>
                <w:szCs w:val="22"/>
                <w:lang w:val="lt-LT"/>
              </w:rPr>
            </w:pPr>
            <w:r w:rsidRPr="003503E9">
              <w:rPr>
                <w:sz w:val="22"/>
                <w:szCs w:val="22"/>
                <w:lang w:val="lt-LT"/>
              </w:rPr>
              <w:t>5. Atsakingas buhalteris patikrina, ar atliktų darbų priėmimo aktas tinkamai įvestas į apskaitos programą.</w:t>
            </w:r>
          </w:p>
        </w:tc>
        <w:tc>
          <w:tcPr>
            <w:tcW w:w="1213" w:type="dxa"/>
            <w:vAlign w:val="center"/>
          </w:tcPr>
          <w:p w:rsidR="00C53909" w:rsidRPr="003503E9" w:rsidRDefault="00757A31" w:rsidP="00FB74CF">
            <w:pPr>
              <w:pStyle w:val="NormalWeb"/>
              <w:spacing w:before="0" w:beforeAutospacing="0" w:after="0" w:afterAutospacing="0"/>
              <w:rPr>
                <w:sz w:val="22"/>
                <w:szCs w:val="22"/>
                <w:lang w:val="lt-LT"/>
              </w:rPr>
            </w:pPr>
            <w:r w:rsidRPr="003503E9">
              <w:rPr>
                <w:sz w:val="22"/>
                <w:szCs w:val="22"/>
                <w:lang w:val="lt-LT"/>
              </w:rPr>
              <w:t>Yra sukurtos veiksmingos kontrolės procedūros, kad aptikti iškraipymus ir apsaugoti nuo jų.</w:t>
            </w:r>
          </w:p>
        </w:tc>
      </w:tr>
      <w:tr w:rsidR="00C53909" w:rsidRPr="003503E9" w:rsidTr="00566877">
        <w:trPr>
          <w:jc w:val="center"/>
        </w:trPr>
        <w:tc>
          <w:tcPr>
            <w:tcW w:w="1337" w:type="dxa"/>
          </w:tcPr>
          <w:p w:rsidR="00C53909" w:rsidRPr="003503E9" w:rsidRDefault="00C53909" w:rsidP="00B41C79">
            <w:pPr>
              <w:pStyle w:val="NormalWeb"/>
              <w:spacing w:before="0" w:beforeAutospacing="0" w:after="0" w:afterAutospacing="0"/>
              <w:jc w:val="both"/>
              <w:rPr>
                <w:sz w:val="22"/>
                <w:szCs w:val="22"/>
                <w:lang w:val="lt-LT"/>
              </w:rPr>
            </w:pPr>
            <w:r w:rsidRPr="003503E9">
              <w:rPr>
                <w:sz w:val="22"/>
                <w:szCs w:val="22"/>
                <w:lang w:val="lt-LT"/>
              </w:rPr>
              <w:t>Pardavimo</w:t>
            </w:r>
          </w:p>
        </w:tc>
        <w:tc>
          <w:tcPr>
            <w:tcW w:w="5850" w:type="dxa"/>
          </w:tcPr>
          <w:tbl>
            <w:tblPr>
              <w:tblW w:w="5000" w:type="pct"/>
              <w:tblCellSpacing w:w="0" w:type="dxa"/>
              <w:tblCellMar>
                <w:left w:w="0" w:type="dxa"/>
                <w:right w:w="0" w:type="dxa"/>
              </w:tblCellMar>
              <w:tblLook w:val="04A0"/>
            </w:tblPr>
            <w:tblGrid>
              <w:gridCol w:w="6"/>
              <w:gridCol w:w="5513"/>
            </w:tblGrid>
            <w:tr w:rsidR="00DF3A3F" w:rsidRPr="003503E9" w:rsidTr="00DF3A3F">
              <w:trPr>
                <w:tblCellSpacing w:w="0" w:type="dxa"/>
              </w:trPr>
              <w:tc>
                <w:tcPr>
                  <w:tcW w:w="0" w:type="auto"/>
                  <w:vAlign w:val="center"/>
                  <w:hideMark/>
                </w:tcPr>
                <w:p w:rsidR="00DF3A3F" w:rsidRPr="003503E9" w:rsidRDefault="00DF3A3F" w:rsidP="00DF3A3F">
                  <w:pPr>
                    <w:rPr>
                      <w:rFonts w:ascii="Arial" w:hAnsi="Arial" w:cs="Arial"/>
                      <w:color w:val="000000"/>
                      <w:sz w:val="22"/>
                      <w:szCs w:val="22"/>
                      <w:lang w:val="lt-LT"/>
                    </w:rPr>
                  </w:pPr>
                </w:p>
              </w:tc>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5513"/>
                  </w:tblGrid>
                  <w:tr w:rsidR="00DF3A3F" w:rsidRPr="003503E9">
                    <w:trPr>
                      <w:tblCellSpacing w:w="15" w:type="dxa"/>
                    </w:trPr>
                    <w:tc>
                      <w:tcPr>
                        <w:tcW w:w="0" w:type="auto"/>
                        <w:vAlign w:val="center"/>
                        <w:hideMark/>
                      </w:tcPr>
                      <w:p w:rsidR="00DF3A3F" w:rsidRPr="003503E9" w:rsidRDefault="00DF3A3F" w:rsidP="00DF3A3F">
                        <w:pPr>
                          <w:rPr>
                            <w:rFonts w:ascii="Arial" w:hAnsi="Arial" w:cs="Arial"/>
                            <w:color w:val="000000"/>
                            <w:sz w:val="22"/>
                            <w:szCs w:val="22"/>
                            <w:lang w:val="lt-LT"/>
                          </w:rPr>
                        </w:pPr>
                        <w:r w:rsidRPr="003503E9">
                          <w:rPr>
                            <w:color w:val="000000"/>
                            <w:sz w:val="22"/>
                            <w:szCs w:val="22"/>
                            <w:lang w:val="lt-LT"/>
                          </w:rPr>
                          <w:t>1. Atsakingas darbuotojas palygina sumas, nurodytas šilumos suvartojimo ataskaitose, su duomenimis įvestais į sąskaitų</w:t>
                        </w:r>
                        <w:r w:rsidR="00D25908">
                          <w:rPr>
                            <w:color w:val="000000"/>
                            <w:sz w:val="22"/>
                            <w:szCs w:val="22"/>
                            <w:lang w:val="lt-LT"/>
                          </w:rPr>
                          <w:t xml:space="preserve"> </w:t>
                        </w:r>
                        <w:r w:rsidRPr="003503E9">
                          <w:rPr>
                            <w:color w:val="000000"/>
                            <w:sz w:val="22"/>
                            <w:szCs w:val="22"/>
                            <w:lang w:val="lt-LT"/>
                          </w:rPr>
                          <w:t>išrašymo sistemą.</w:t>
                        </w:r>
                        <w:r w:rsidRPr="003503E9">
                          <w:rPr>
                            <w:rFonts w:ascii="Arial" w:hAnsi="Arial" w:cs="Arial"/>
                            <w:color w:val="000000"/>
                            <w:sz w:val="22"/>
                            <w:szCs w:val="22"/>
                            <w:lang w:val="lt-LT"/>
                          </w:rPr>
                          <w:t xml:space="preserve"> </w:t>
                        </w:r>
                      </w:p>
                      <w:p w:rsidR="00DF3A3F" w:rsidRPr="003503E9" w:rsidRDefault="008C196D" w:rsidP="00DF3A3F">
                        <w:pPr>
                          <w:rPr>
                            <w:rFonts w:ascii="Arial" w:hAnsi="Arial" w:cs="Arial"/>
                            <w:color w:val="000000"/>
                            <w:sz w:val="22"/>
                            <w:szCs w:val="22"/>
                            <w:lang w:val="lt-LT"/>
                          </w:rPr>
                        </w:pPr>
                        <w:r>
                          <w:rPr>
                            <w:color w:val="000000"/>
                            <w:sz w:val="22"/>
                            <w:szCs w:val="22"/>
                            <w:lang w:val="lt-LT"/>
                          </w:rPr>
                          <w:t>2. A</w:t>
                        </w:r>
                        <w:r w:rsidRPr="003503E9">
                          <w:rPr>
                            <w:color w:val="000000"/>
                            <w:sz w:val="22"/>
                            <w:szCs w:val="22"/>
                            <w:lang w:val="lt-LT"/>
                          </w:rPr>
                          <w:t xml:space="preserve">tliekama </w:t>
                        </w:r>
                        <w:r>
                          <w:rPr>
                            <w:color w:val="000000"/>
                            <w:sz w:val="22"/>
                            <w:szCs w:val="22"/>
                            <w:lang w:val="lt-LT"/>
                          </w:rPr>
                          <w:t>s</w:t>
                        </w:r>
                        <w:r w:rsidR="00DF3A3F" w:rsidRPr="003503E9">
                          <w:rPr>
                            <w:color w:val="000000"/>
                            <w:sz w:val="22"/>
                            <w:szCs w:val="22"/>
                            <w:lang w:val="lt-LT"/>
                          </w:rPr>
                          <w:t>tatistinė per</w:t>
                        </w:r>
                        <w:r>
                          <w:rPr>
                            <w:color w:val="000000"/>
                            <w:sz w:val="22"/>
                            <w:szCs w:val="22"/>
                            <w:lang w:val="lt-LT"/>
                          </w:rPr>
                          <w:t>žiūra dėl suvartotos energijos</w:t>
                        </w:r>
                        <w:r w:rsidR="00DF3A3F" w:rsidRPr="003503E9">
                          <w:rPr>
                            <w:color w:val="000000"/>
                            <w:sz w:val="22"/>
                            <w:szCs w:val="22"/>
                            <w:lang w:val="lt-LT"/>
                          </w:rPr>
                          <w:t>, suvedant duomenis į sąskaitų išrašymo sistemą.</w:t>
                        </w:r>
                        <w:r w:rsidR="00DF3A3F" w:rsidRPr="003503E9">
                          <w:rPr>
                            <w:rFonts w:ascii="Arial" w:hAnsi="Arial" w:cs="Arial"/>
                            <w:color w:val="000000"/>
                            <w:sz w:val="22"/>
                            <w:szCs w:val="22"/>
                            <w:lang w:val="lt-LT"/>
                          </w:rPr>
                          <w:t xml:space="preserve"> </w:t>
                        </w:r>
                      </w:p>
                      <w:p w:rsidR="00DF3A3F" w:rsidRPr="003503E9" w:rsidRDefault="00DF3A3F" w:rsidP="00DF3A3F">
                        <w:pPr>
                          <w:rPr>
                            <w:rFonts w:ascii="Arial" w:hAnsi="Arial" w:cs="Arial"/>
                            <w:color w:val="000000"/>
                            <w:sz w:val="22"/>
                            <w:szCs w:val="22"/>
                            <w:lang w:val="lt-LT"/>
                          </w:rPr>
                        </w:pPr>
                        <w:r w:rsidRPr="003503E9">
                          <w:rPr>
                            <w:color w:val="000000"/>
                            <w:sz w:val="22"/>
                            <w:szCs w:val="22"/>
                            <w:lang w:val="lt-LT"/>
                          </w:rPr>
                          <w:t>3. Duomenys apie karšto vandens sunaudojimą importuojami į sąskaitų išrašymo sistemą automatiškai.</w:t>
                        </w:r>
                        <w:r w:rsidRPr="003503E9">
                          <w:rPr>
                            <w:rFonts w:ascii="Arial" w:hAnsi="Arial" w:cs="Arial"/>
                            <w:color w:val="000000"/>
                            <w:sz w:val="22"/>
                            <w:szCs w:val="22"/>
                            <w:lang w:val="lt-LT"/>
                          </w:rPr>
                          <w:t xml:space="preserve"> </w:t>
                        </w:r>
                      </w:p>
                      <w:p w:rsidR="00DF3A3F" w:rsidRPr="003503E9" w:rsidRDefault="00DF3A3F" w:rsidP="00DF3A3F">
                        <w:pPr>
                          <w:rPr>
                            <w:rFonts w:ascii="Arial" w:hAnsi="Arial" w:cs="Arial"/>
                            <w:color w:val="000000"/>
                            <w:sz w:val="22"/>
                            <w:szCs w:val="22"/>
                            <w:lang w:val="lt-LT"/>
                          </w:rPr>
                        </w:pPr>
                        <w:r w:rsidRPr="003503E9">
                          <w:rPr>
                            <w:color w:val="000000"/>
                            <w:sz w:val="22"/>
                            <w:szCs w:val="22"/>
                            <w:lang w:val="lt-LT"/>
                          </w:rPr>
                          <w:t xml:space="preserve">4. Sąskaitų išrašymo sistema sąskaitas </w:t>
                        </w:r>
                        <w:r w:rsidR="00285F74">
                          <w:rPr>
                            <w:color w:val="000000"/>
                            <w:sz w:val="22"/>
                            <w:szCs w:val="22"/>
                            <w:lang w:val="lt-LT"/>
                          </w:rPr>
                          <w:t xml:space="preserve">faktūras </w:t>
                        </w:r>
                        <w:r w:rsidRPr="003503E9">
                          <w:rPr>
                            <w:color w:val="000000"/>
                            <w:sz w:val="22"/>
                            <w:szCs w:val="22"/>
                            <w:lang w:val="lt-LT"/>
                          </w:rPr>
                          <w:t>formuoja automatiškai.</w:t>
                        </w:r>
                        <w:r w:rsidRPr="003503E9">
                          <w:rPr>
                            <w:rFonts w:ascii="Arial" w:hAnsi="Arial" w:cs="Arial"/>
                            <w:color w:val="000000"/>
                            <w:sz w:val="22"/>
                            <w:szCs w:val="22"/>
                            <w:lang w:val="lt-LT"/>
                          </w:rPr>
                          <w:t xml:space="preserve"> </w:t>
                        </w:r>
                      </w:p>
                      <w:p w:rsidR="00DF3A3F" w:rsidRPr="003503E9" w:rsidRDefault="00DF3A3F" w:rsidP="00566877">
                        <w:pPr>
                          <w:rPr>
                            <w:rFonts w:ascii="Arial" w:hAnsi="Arial" w:cs="Arial"/>
                            <w:color w:val="000000"/>
                            <w:sz w:val="22"/>
                            <w:szCs w:val="22"/>
                            <w:lang w:val="lt-LT"/>
                          </w:rPr>
                        </w:pPr>
                        <w:r w:rsidRPr="003503E9">
                          <w:rPr>
                            <w:color w:val="000000"/>
                            <w:sz w:val="22"/>
                            <w:szCs w:val="22"/>
                            <w:lang w:val="lt-LT"/>
                          </w:rPr>
                          <w:t>5. Atsakingas buhalteris palygina mėnesio sumas perkeltas iš sąskaitų</w:t>
                        </w:r>
                        <w:r w:rsidR="00D25908">
                          <w:rPr>
                            <w:color w:val="000000"/>
                            <w:sz w:val="22"/>
                            <w:szCs w:val="22"/>
                            <w:lang w:val="lt-LT"/>
                          </w:rPr>
                          <w:t xml:space="preserve"> </w:t>
                        </w:r>
                        <w:r w:rsidRPr="003503E9">
                          <w:rPr>
                            <w:color w:val="000000"/>
                            <w:sz w:val="22"/>
                            <w:szCs w:val="22"/>
                            <w:lang w:val="lt-LT"/>
                          </w:rPr>
                          <w:t>išrašymo sistemos į apskaitos programą</w:t>
                        </w:r>
                        <w:r w:rsidRPr="003503E9">
                          <w:rPr>
                            <w:i/>
                            <w:iCs/>
                            <w:color w:val="000000"/>
                            <w:sz w:val="22"/>
                            <w:szCs w:val="22"/>
                            <w:lang w:val="lt-LT"/>
                          </w:rPr>
                          <w:t>.</w:t>
                        </w:r>
                        <w:r w:rsidRPr="003503E9">
                          <w:rPr>
                            <w:rFonts w:ascii="Arial" w:hAnsi="Arial" w:cs="Arial"/>
                            <w:color w:val="000000"/>
                            <w:sz w:val="22"/>
                            <w:szCs w:val="22"/>
                            <w:lang w:val="lt-LT"/>
                          </w:rPr>
                          <w:t xml:space="preserve"> </w:t>
                        </w:r>
                      </w:p>
                    </w:tc>
                  </w:tr>
                </w:tbl>
                <w:p w:rsidR="00DF3A3F" w:rsidRPr="003503E9" w:rsidRDefault="00DF3A3F" w:rsidP="00DF3A3F">
                  <w:pPr>
                    <w:rPr>
                      <w:rFonts w:ascii="Courier" w:hAnsi="Courier" w:cs="Arial"/>
                      <w:color w:val="000000"/>
                      <w:sz w:val="22"/>
                      <w:szCs w:val="22"/>
                      <w:lang w:val="lt-LT"/>
                    </w:rPr>
                  </w:pPr>
                </w:p>
              </w:tc>
            </w:tr>
          </w:tbl>
          <w:p w:rsidR="00C53909" w:rsidRPr="003503E9" w:rsidRDefault="00C53909" w:rsidP="00FB74CF">
            <w:pPr>
              <w:pStyle w:val="NormalWeb"/>
              <w:spacing w:before="0" w:beforeAutospacing="0" w:after="0" w:afterAutospacing="0"/>
              <w:rPr>
                <w:i/>
                <w:color w:val="FF0000"/>
                <w:sz w:val="22"/>
                <w:szCs w:val="22"/>
                <w:lang w:val="lt-LT"/>
              </w:rPr>
            </w:pPr>
          </w:p>
        </w:tc>
        <w:tc>
          <w:tcPr>
            <w:tcW w:w="1213" w:type="dxa"/>
            <w:vAlign w:val="center"/>
          </w:tcPr>
          <w:p w:rsidR="00C53909" w:rsidRPr="003503E9" w:rsidRDefault="00FB74CF" w:rsidP="003503E9">
            <w:pPr>
              <w:pStyle w:val="NormalWeb"/>
              <w:spacing w:before="0" w:beforeAutospacing="0" w:after="0" w:afterAutospacing="0"/>
              <w:rPr>
                <w:sz w:val="22"/>
                <w:szCs w:val="22"/>
                <w:lang w:val="lt-LT"/>
              </w:rPr>
            </w:pPr>
            <w:r w:rsidRPr="003503E9">
              <w:rPr>
                <w:sz w:val="22"/>
                <w:szCs w:val="22"/>
                <w:lang w:val="lt-LT"/>
              </w:rPr>
              <w:t>Yra sukurtos</w:t>
            </w:r>
            <w:r w:rsidR="003503E9">
              <w:rPr>
                <w:sz w:val="22"/>
                <w:szCs w:val="22"/>
                <w:lang w:val="lt-LT"/>
              </w:rPr>
              <w:t xml:space="preserve"> veiksmingos kontrolės procedūro</w:t>
            </w:r>
            <w:r w:rsidRPr="003503E9">
              <w:rPr>
                <w:sz w:val="22"/>
                <w:szCs w:val="22"/>
                <w:lang w:val="lt-LT"/>
              </w:rPr>
              <w:t xml:space="preserve">s, kad aptikti iškraipymus ir </w:t>
            </w:r>
            <w:r w:rsidR="003503E9">
              <w:rPr>
                <w:sz w:val="22"/>
                <w:szCs w:val="22"/>
                <w:lang w:val="lt-LT"/>
              </w:rPr>
              <w:t>a</w:t>
            </w:r>
            <w:r w:rsidRPr="003503E9">
              <w:rPr>
                <w:sz w:val="22"/>
                <w:szCs w:val="22"/>
                <w:lang w:val="lt-LT"/>
              </w:rPr>
              <w:t>psaugoti nuo jų.</w:t>
            </w:r>
          </w:p>
        </w:tc>
      </w:tr>
      <w:tr w:rsidR="00C53909" w:rsidRPr="003503E9" w:rsidTr="00566877">
        <w:trPr>
          <w:jc w:val="center"/>
        </w:trPr>
        <w:tc>
          <w:tcPr>
            <w:tcW w:w="1337" w:type="dxa"/>
          </w:tcPr>
          <w:p w:rsidR="00C53909" w:rsidRPr="003503E9" w:rsidRDefault="00C53909" w:rsidP="00A00C34">
            <w:pPr>
              <w:pStyle w:val="NormalWeb"/>
              <w:spacing w:before="0" w:beforeAutospacing="0" w:after="0" w:afterAutospacing="0"/>
              <w:jc w:val="both"/>
              <w:rPr>
                <w:sz w:val="22"/>
                <w:szCs w:val="22"/>
                <w:lang w:val="lt-LT"/>
              </w:rPr>
            </w:pPr>
            <w:r w:rsidRPr="003503E9">
              <w:rPr>
                <w:sz w:val="22"/>
                <w:szCs w:val="22"/>
                <w:lang w:val="lt-LT"/>
              </w:rPr>
              <w:t>Darbo apmokėjimo</w:t>
            </w:r>
          </w:p>
        </w:tc>
        <w:tc>
          <w:tcPr>
            <w:tcW w:w="5850" w:type="dxa"/>
          </w:tcPr>
          <w:p w:rsidR="00C53909" w:rsidRPr="003503E9" w:rsidRDefault="00C53909" w:rsidP="00B74692">
            <w:pPr>
              <w:pStyle w:val="NormalWeb"/>
              <w:spacing w:before="0" w:beforeAutospacing="0" w:after="0" w:afterAutospacing="0"/>
              <w:jc w:val="both"/>
              <w:rPr>
                <w:sz w:val="22"/>
                <w:szCs w:val="22"/>
                <w:lang w:val="lt-LT"/>
              </w:rPr>
            </w:pPr>
            <w:r w:rsidRPr="003503E9">
              <w:rPr>
                <w:sz w:val="22"/>
                <w:szCs w:val="22"/>
                <w:lang w:val="lt-LT"/>
              </w:rPr>
              <w:t xml:space="preserve">1. Atsakingas buhalteris peržiūri, ar duomenys įvesti į asmeninę darbuotojo kortelę </w:t>
            </w:r>
            <w:r w:rsidR="005826C2" w:rsidRPr="003503E9">
              <w:rPr>
                <w:sz w:val="22"/>
                <w:szCs w:val="22"/>
                <w:lang w:val="lt-LT"/>
              </w:rPr>
              <w:t xml:space="preserve">darbo užmokesčio </w:t>
            </w:r>
            <w:r w:rsidRPr="003503E9">
              <w:rPr>
                <w:sz w:val="22"/>
                <w:szCs w:val="22"/>
                <w:lang w:val="lt-LT"/>
              </w:rPr>
              <w:t>apskaitos programoje atitinka darbo sutarties informaciją.</w:t>
            </w:r>
          </w:p>
          <w:p w:rsidR="00C53909" w:rsidRPr="003503E9" w:rsidRDefault="00C53909" w:rsidP="00B74692">
            <w:pPr>
              <w:pStyle w:val="NormalWeb"/>
              <w:spacing w:before="0" w:beforeAutospacing="0" w:after="0" w:afterAutospacing="0"/>
              <w:jc w:val="both"/>
              <w:rPr>
                <w:sz w:val="22"/>
                <w:szCs w:val="22"/>
                <w:lang w:val="lt-LT"/>
              </w:rPr>
            </w:pPr>
            <w:r w:rsidRPr="003503E9">
              <w:rPr>
                <w:sz w:val="22"/>
                <w:szCs w:val="22"/>
                <w:lang w:val="lt-LT"/>
              </w:rPr>
              <w:t>2. Atsakingas buhalteris</w:t>
            </w:r>
            <w:r w:rsidR="005826C2" w:rsidRPr="003503E9">
              <w:rPr>
                <w:sz w:val="22"/>
                <w:szCs w:val="22"/>
                <w:lang w:val="lt-LT"/>
              </w:rPr>
              <w:t xml:space="preserve"> patikrina</w:t>
            </w:r>
            <w:r w:rsidR="008C196D">
              <w:rPr>
                <w:sz w:val="22"/>
                <w:szCs w:val="22"/>
                <w:lang w:val="lt-LT"/>
              </w:rPr>
              <w:t>,</w:t>
            </w:r>
            <w:r w:rsidR="005826C2" w:rsidRPr="003503E9">
              <w:rPr>
                <w:sz w:val="22"/>
                <w:szCs w:val="22"/>
                <w:lang w:val="lt-LT"/>
              </w:rPr>
              <w:t xml:space="preserve"> ar parengta mėnesio ataskaita dėl dirbtų valandų skaičiaus, premijų ir viršvalandžių yra tinkamai patvirtinta ir palygina su darbo užmokesčio apskaitos programos duomenimis.</w:t>
            </w:r>
          </w:p>
          <w:p w:rsidR="005826C2" w:rsidRPr="003503E9" w:rsidRDefault="005826C2" w:rsidP="00B74692">
            <w:pPr>
              <w:pStyle w:val="NormalWeb"/>
              <w:spacing w:before="0" w:beforeAutospacing="0" w:after="0" w:afterAutospacing="0"/>
              <w:jc w:val="both"/>
              <w:rPr>
                <w:sz w:val="22"/>
                <w:szCs w:val="22"/>
                <w:lang w:val="lt-LT"/>
              </w:rPr>
            </w:pPr>
            <w:r w:rsidRPr="003503E9">
              <w:rPr>
                <w:sz w:val="22"/>
                <w:szCs w:val="22"/>
                <w:lang w:val="lt-LT"/>
              </w:rPr>
              <w:t>3. Darbo užmokestį darbo užmokesčio apskaitos programa skaičiuoja automatiškai.</w:t>
            </w:r>
          </w:p>
          <w:p w:rsidR="005826C2" w:rsidRPr="003503E9" w:rsidRDefault="005826C2" w:rsidP="00B74692">
            <w:pPr>
              <w:pStyle w:val="NormalWeb"/>
              <w:spacing w:before="0" w:beforeAutospacing="0" w:after="0" w:afterAutospacing="0"/>
              <w:jc w:val="both"/>
              <w:rPr>
                <w:sz w:val="22"/>
                <w:szCs w:val="22"/>
                <w:lang w:val="lt-LT"/>
              </w:rPr>
            </w:pPr>
            <w:r w:rsidRPr="003503E9">
              <w:rPr>
                <w:sz w:val="22"/>
                <w:szCs w:val="22"/>
                <w:lang w:val="lt-LT"/>
              </w:rPr>
              <w:t>4. Duomenys iš darbo užmokesčio apskaitos programos automatiškai perkeliami į buhalterin</w:t>
            </w:r>
            <w:r w:rsidR="00285F74">
              <w:rPr>
                <w:sz w:val="22"/>
                <w:szCs w:val="22"/>
                <w:lang w:val="lt-LT"/>
              </w:rPr>
              <w:t>ės</w:t>
            </w:r>
            <w:r w:rsidRPr="003503E9">
              <w:rPr>
                <w:sz w:val="22"/>
                <w:szCs w:val="22"/>
                <w:lang w:val="lt-LT"/>
              </w:rPr>
              <w:t xml:space="preserve"> apskaitos programą.</w:t>
            </w:r>
          </w:p>
          <w:p w:rsidR="008D120E" w:rsidRPr="003503E9" w:rsidRDefault="008D120E" w:rsidP="008D120E">
            <w:pPr>
              <w:pStyle w:val="NormalWeb"/>
              <w:spacing w:before="0" w:beforeAutospacing="0" w:after="0" w:afterAutospacing="0"/>
              <w:jc w:val="both"/>
              <w:rPr>
                <w:sz w:val="22"/>
                <w:szCs w:val="22"/>
                <w:lang w:val="lt-LT"/>
              </w:rPr>
            </w:pPr>
            <w:r w:rsidRPr="003503E9">
              <w:rPr>
                <w:sz w:val="22"/>
                <w:szCs w:val="22"/>
                <w:lang w:val="lt-LT"/>
              </w:rPr>
              <w:t>5. Atsakingas buhalteris, pildydamas su darbo apmokėjimu susijusias deklaracijas, patikrina apskaitos duomenis.</w:t>
            </w:r>
          </w:p>
        </w:tc>
        <w:tc>
          <w:tcPr>
            <w:tcW w:w="1213" w:type="dxa"/>
            <w:vAlign w:val="center"/>
          </w:tcPr>
          <w:p w:rsidR="00C53909" w:rsidRPr="003503E9" w:rsidRDefault="005826C2" w:rsidP="00FB74CF">
            <w:pPr>
              <w:pStyle w:val="NormalWeb"/>
              <w:spacing w:before="0" w:beforeAutospacing="0" w:after="0" w:afterAutospacing="0"/>
              <w:rPr>
                <w:sz w:val="22"/>
                <w:szCs w:val="22"/>
                <w:lang w:val="lt-LT"/>
              </w:rPr>
            </w:pPr>
            <w:r w:rsidRPr="003503E9">
              <w:rPr>
                <w:sz w:val="22"/>
                <w:szCs w:val="22"/>
                <w:lang w:val="lt-LT"/>
              </w:rPr>
              <w:t>Yra sukurtos veiksmingos kontrolės procedūros, kad aptikti iškraipymus ir apsaugoti nuo jų.</w:t>
            </w:r>
          </w:p>
        </w:tc>
      </w:tr>
      <w:tr w:rsidR="00C53909" w:rsidRPr="003503E9" w:rsidTr="00566877">
        <w:trPr>
          <w:jc w:val="center"/>
        </w:trPr>
        <w:tc>
          <w:tcPr>
            <w:tcW w:w="1337" w:type="dxa"/>
          </w:tcPr>
          <w:p w:rsidR="00C53909" w:rsidRPr="003503E9" w:rsidRDefault="00C53909" w:rsidP="00B41C79">
            <w:pPr>
              <w:pStyle w:val="NormalWeb"/>
              <w:spacing w:before="0" w:beforeAutospacing="0" w:after="0" w:afterAutospacing="0"/>
              <w:jc w:val="both"/>
              <w:rPr>
                <w:sz w:val="22"/>
                <w:szCs w:val="22"/>
                <w:lang w:val="lt-LT"/>
              </w:rPr>
            </w:pPr>
            <w:r w:rsidRPr="003503E9">
              <w:rPr>
                <w:sz w:val="22"/>
                <w:szCs w:val="22"/>
                <w:lang w:val="lt-LT"/>
              </w:rPr>
              <w:t>Finansinių ataskaitų sudarymo</w:t>
            </w:r>
          </w:p>
        </w:tc>
        <w:tc>
          <w:tcPr>
            <w:tcW w:w="5850" w:type="dxa"/>
          </w:tcPr>
          <w:p w:rsidR="00C53909" w:rsidRPr="003503E9" w:rsidRDefault="00757A31" w:rsidP="00757A31">
            <w:pPr>
              <w:pStyle w:val="NormalWeb"/>
              <w:spacing w:before="0" w:beforeAutospacing="0" w:after="0" w:afterAutospacing="0"/>
              <w:rPr>
                <w:sz w:val="22"/>
                <w:szCs w:val="22"/>
                <w:lang w:val="lt-LT"/>
              </w:rPr>
            </w:pPr>
            <w:r w:rsidRPr="003503E9">
              <w:rPr>
                <w:sz w:val="22"/>
                <w:szCs w:val="22"/>
                <w:lang w:val="lt-LT"/>
              </w:rPr>
              <w:t>Kontrolės procedūros netaikomos</w:t>
            </w:r>
            <w:r w:rsidR="00285F74">
              <w:rPr>
                <w:sz w:val="22"/>
                <w:szCs w:val="22"/>
                <w:lang w:val="lt-LT"/>
              </w:rPr>
              <w:t>,</w:t>
            </w:r>
            <w:r w:rsidRPr="003503E9">
              <w:rPr>
                <w:sz w:val="22"/>
                <w:szCs w:val="22"/>
                <w:lang w:val="lt-LT"/>
              </w:rPr>
              <w:t xml:space="preserve"> todėl</w:t>
            </w:r>
            <w:r w:rsidR="00285F74">
              <w:rPr>
                <w:sz w:val="22"/>
                <w:szCs w:val="22"/>
                <w:lang w:val="lt-LT"/>
              </w:rPr>
              <w:t xml:space="preserve"> gali būti</w:t>
            </w:r>
            <w:r w:rsidRPr="003503E9">
              <w:rPr>
                <w:sz w:val="22"/>
                <w:szCs w:val="22"/>
                <w:lang w:val="lt-LT"/>
              </w:rPr>
              <w:t>:</w:t>
            </w:r>
          </w:p>
          <w:p w:rsidR="00757A31" w:rsidRPr="003503E9" w:rsidRDefault="00757A31" w:rsidP="00757A31">
            <w:pPr>
              <w:pStyle w:val="NormalWeb"/>
              <w:spacing w:before="0" w:beforeAutospacing="0" w:after="0" w:afterAutospacing="0"/>
              <w:rPr>
                <w:sz w:val="22"/>
                <w:szCs w:val="22"/>
                <w:lang w:val="lt-LT"/>
              </w:rPr>
            </w:pPr>
            <w:r w:rsidRPr="003503E9">
              <w:rPr>
                <w:sz w:val="22"/>
                <w:szCs w:val="22"/>
                <w:lang w:val="lt-LT"/>
              </w:rPr>
              <w:t xml:space="preserve">1) </w:t>
            </w:r>
            <w:r w:rsidR="00285F74" w:rsidRPr="003503E9">
              <w:rPr>
                <w:sz w:val="22"/>
                <w:szCs w:val="22"/>
                <w:lang w:val="lt-LT"/>
              </w:rPr>
              <w:t xml:space="preserve">priimtas </w:t>
            </w:r>
            <w:r w:rsidRPr="003503E9">
              <w:rPr>
                <w:sz w:val="22"/>
                <w:szCs w:val="22"/>
                <w:lang w:val="lt-LT"/>
              </w:rPr>
              <w:t xml:space="preserve">netinkamas sprendimas dėl abejotinų skolų nurašymo, </w:t>
            </w:r>
          </w:p>
          <w:p w:rsidR="00757A31" w:rsidRPr="003503E9" w:rsidRDefault="00757A31" w:rsidP="00757A31">
            <w:pPr>
              <w:pStyle w:val="NormalWeb"/>
              <w:spacing w:before="0" w:beforeAutospacing="0" w:after="0" w:afterAutospacing="0"/>
              <w:rPr>
                <w:sz w:val="22"/>
                <w:szCs w:val="22"/>
                <w:lang w:val="lt-LT"/>
              </w:rPr>
            </w:pPr>
            <w:r w:rsidRPr="003503E9">
              <w:rPr>
                <w:sz w:val="22"/>
                <w:szCs w:val="22"/>
                <w:lang w:val="lt-LT"/>
              </w:rPr>
              <w:t xml:space="preserve">2) </w:t>
            </w:r>
            <w:r w:rsidR="00285F74" w:rsidRPr="003503E9">
              <w:rPr>
                <w:sz w:val="22"/>
                <w:szCs w:val="22"/>
                <w:lang w:val="lt-LT"/>
              </w:rPr>
              <w:t xml:space="preserve">priimtas </w:t>
            </w:r>
            <w:r w:rsidRPr="003503E9">
              <w:rPr>
                <w:sz w:val="22"/>
                <w:szCs w:val="22"/>
                <w:lang w:val="lt-LT"/>
              </w:rPr>
              <w:t>netinkamas sprendimas dėl lėta</w:t>
            </w:r>
            <w:r w:rsidR="00285F74">
              <w:rPr>
                <w:sz w:val="22"/>
                <w:szCs w:val="22"/>
                <w:lang w:val="lt-LT"/>
              </w:rPr>
              <w:t>i judančių ar pasenusių atsargų</w:t>
            </w:r>
            <w:r w:rsidRPr="003503E9">
              <w:rPr>
                <w:sz w:val="22"/>
                <w:szCs w:val="22"/>
                <w:lang w:val="lt-LT"/>
              </w:rPr>
              <w:t>,</w:t>
            </w:r>
          </w:p>
          <w:p w:rsidR="0014414A" w:rsidRPr="003503E9" w:rsidRDefault="00757A31" w:rsidP="00757A31">
            <w:pPr>
              <w:pStyle w:val="NormalWeb"/>
              <w:spacing w:before="0" w:beforeAutospacing="0" w:after="0" w:afterAutospacing="0"/>
              <w:rPr>
                <w:sz w:val="22"/>
                <w:szCs w:val="22"/>
                <w:lang w:val="lt-LT"/>
              </w:rPr>
            </w:pPr>
            <w:r w:rsidRPr="003503E9">
              <w:rPr>
                <w:sz w:val="22"/>
                <w:szCs w:val="22"/>
                <w:lang w:val="lt-LT"/>
              </w:rPr>
              <w:t xml:space="preserve">3) </w:t>
            </w:r>
            <w:r w:rsidR="00285F74" w:rsidRPr="003503E9">
              <w:rPr>
                <w:sz w:val="22"/>
                <w:szCs w:val="22"/>
                <w:lang w:val="lt-LT"/>
              </w:rPr>
              <w:t xml:space="preserve">neįvertintas tinkamai </w:t>
            </w:r>
            <w:r w:rsidR="0014414A" w:rsidRPr="003503E9">
              <w:rPr>
                <w:sz w:val="22"/>
                <w:szCs w:val="22"/>
                <w:lang w:val="lt-LT"/>
              </w:rPr>
              <w:t>ilgalaikio turto vertės sumaž</w:t>
            </w:r>
            <w:r w:rsidR="00285F74">
              <w:rPr>
                <w:sz w:val="22"/>
                <w:szCs w:val="22"/>
                <w:lang w:val="lt-LT"/>
              </w:rPr>
              <w:t>ėjimas</w:t>
            </w:r>
            <w:r w:rsidR="0014414A" w:rsidRPr="003503E9">
              <w:rPr>
                <w:sz w:val="22"/>
                <w:szCs w:val="22"/>
                <w:lang w:val="lt-LT"/>
              </w:rPr>
              <w:t xml:space="preserve">, </w:t>
            </w:r>
          </w:p>
          <w:p w:rsidR="0014414A" w:rsidRPr="003503E9" w:rsidRDefault="0014414A" w:rsidP="00757A31">
            <w:pPr>
              <w:pStyle w:val="NormalWeb"/>
              <w:spacing w:before="0" w:beforeAutospacing="0" w:after="0" w:afterAutospacing="0"/>
              <w:rPr>
                <w:sz w:val="22"/>
                <w:szCs w:val="22"/>
                <w:lang w:val="lt-LT"/>
              </w:rPr>
            </w:pPr>
            <w:r w:rsidRPr="003503E9">
              <w:rPr>
                <w:sz w:val="22"/>
                <w:szCs w:val="22"/>
                <w:lang w:val="lt-LT"/>
              </w:rPr>
              <w:t xml:space="preserve">4) </w:t>
            </w:r>
            <w:r w:rsidR="00285F74" w:rsidRPr="003503E9">
              <w:rPr>
                <w:sz w:val="22"/>
                <w:szCs w:val="22"/>
                <w:lang w:val="lt-LT"/>
              </w:rPr>
              <w:t xml:space="preserve">tinkamai nesudaryti </w:t>
            </w:r>
            <w:r w:rsidRPr="003503E9">
              <w:rPr>
                <w:sz w:val="22"/>
                <w:szCs w:val="22"/>
                <w:lang w:val="lt-LT"/>
              </w:rPr>
              <w:t>atostoginių i</w:t>
            </w:r>
            <w:r w:rsidR="00285F74">
              <w:rPr>
                <w:sz w:val="22"/>
                <w:szCs w:val="22"/>
                <w:lang w:val="lt-LT"/>
              </w:rPr>
              <w:t>r kitų sąnaudų kaupimai</w:t>
            </w:r>
            <w:r w:rsidRPr="003503E9">
              <w:rPr>
                <w:sz w:val="22"/>
                <w:szCs w:val="22"/>
                <w:lang w:val="lt-LT"/>
              </w:rPr>
              <w:t>,</w:t>
            </w:r>
          </w:p>
          <w:p w:rsidR="0014414A" w:rsidRPr="003503E9" w:rsidRDefault="0014414A" w:rsidP="00757A31">
            <w:pPr>
              <w:pStyle w:val="NormalWeb"/>
              <w:spacing w:before="0" w:beforeAutospacing="0" w:after="0" w:afterAutospacing="0"/>
              <w:rPr>
                <w:sz w:val="22"/>
                <w:szCs w:val="22"/>
                <w:lang w:val="lt-LT"/>
              </w:rPr>
            </w:pPr>
            <w:r w:rsidRPr="003503E9">
              <w:rPr>
                <w:sz w:val="22"/>
                <w:szCs w:val="22"/>
                <w:lang w:val="lt-LT"/>
              </w:rPr>
              <w:t>5) neišsamūs ar visai nepadaryti</w:t>
            </w:r>
            <w:r w:rsidR="00285F74">
              <w:rPr>
                <w:sz w:val="22"/>
                <w:szCs w:val="22"/>
                <w:lang w:val="lt-LT"/>
              </w:rPr>
              <w:t xml:space="preserve"> </w:t>
            </w:r>
            <w:r w:rsidR="00285F74" w:rsidRPr="003503E9">
              <w:rPr>
                <w:sz w:val="22"/>
                <w:szCs w:val="22"/>
                <w:lang w:val="lt-LT"/>
              </w:rPr>
              <w:t>finansinių ataskaitų atskleidimai</w:t>
            </w:r>
            <w:r w:rsidRPr="003503E9">
              <w:rPr>
                <w:sz w:val="22"/>
                <w:szCs w:val="22"/>
                <w:lang w:val="lt-LT"/>
              </w:rPr>
              <w:t>,</w:t>
            </w:r>
          </w:p>
          <w:p w:rsidR="0014414A" w:rsidRPr="003503E9" w:rsidRDefault="0014414A" w:rsidP="00757A31">
            <w:pPr>
              <w:pStyle w:val="NormalWeb"/>
              <w:spacing w:before="0" w:beforeAutospacing="0" w:after="0" w:afterAutospacing="0"/>
              <w:rPr>
                <w:sz w:val="22"/>
                <w:szCs w:val="22"/>
                <w:lang w:val="lt-LT"/>
              </w:rPr>
            </w:pPr>
            <w:r w:rsidRPr="003503E9">
              <w:rPr>
                <w:sz w:val="22"/>
                <w:szCs w:val="22"/>
                <w:lang w:val="lt-LT"/>
              </w:rPr>
              <w:t>6) netinkamas pardavimų priskyrimas laikotarpiui (neįvertintos kreditinės sąskaitos ar kiti tikslinimai),</w:t>
            </w:r>
          </w:p>
          <w:p w:rsidR="0014414A" w:rsidRPr="003503E9" w:rsidRDefault="0014414A" w:rsidP="00285F74">
            <w:pPr>
              <w:pStyle w:val="NormalWeb"/>
              <w:spacing w:before="0" w:beforeAutospacing="0" w:after="0" w:afterAutospacing="0"/>
              <w:rPr>
                <w:sz w:val="22"/>
                <w:szCs w:val="22"/>
                <w:lang w:val="lt-LT"/>
              </w:rPr>
            </w:pPr>
            <w:r w:rsidRPr="003503E9">
              <w:rPr>
                <w:sz w:val="22"/>
                <w:szCs w:val="22"/>
                <w:lang w:val="lt-LT"/>
              </w:rPr>
              <w:t xml:space="preserve">7) </w:t>
            </w:r>
            <w:r w:rsidR="00285F74" w:rsidRPr="003503E9">
              <w:rPr>
                <w:sz w:val="22"/>
                <w:szCs w:val="22"/>
                <w:lang w:val="lt-LT"/>
              </w:rPr>
              <w:t xml:space="preserve">neteisingai apskaičiuotas </w:t>
            </w:r>
            <w:r w:rsidRPr="003503E9">
              <w:rPr>
                <w:sz w:val="22"/>
                <w:szCs w:val="22"/>
                <w:lang w:val="lt-LT"/>
              </w:rPr>
              <w:t>atidėtas mokestis.</w:t>
            </w:r>
          </w:p>
        </w:tc>
        <w:tc>
          <w:tcPr>
            <w:tcW w:w="1213" w:type="dxa"/>
            <w:vAlign w:val="center"/>
          </w:tcPr>
          <w:p w:rsidR="00C53909" w:rsidRPr="003503E9" w:rsidRDefault="00757A31" w:rsidP="00FB74CF">
            <w:pPr>
              <w:pStyle w:val="NormalWeb"/>
              <w:spacing w:before="0" w:beforeAutospacing="0" w:after="0" w:afterAutospacing="0"/>
              <w:rPr>
                <w:sz w:val="22"/>
                <w:szCs w:val="22"/>
                <w:lang w:val="lt-LT"/>
              </w:rPr>
            </w:pPr>
            <w:r w:rsidRPr="003503E9">
              <w:rPr>
                <w:sz w:val="22"/>
                <w:szCs w:val="22"/>
                <w:lang w:val="lt-LT"/>
              </w:rPr>
              <w:t xml:space="preserve">Kontrolės procedūros </w:t>
            </w:r>
            <w:r w:rsidR="0014414A" w:rsidRPr="003503E9">
              <w:rPr>
                <w:sz w:val="22"/>
                <w:szCs w:val="22"/>
                <w:lang w:val="lt-LT"/>
              </w:rPr>
              <w:t>netaikomos, todėl egzistuoja didelė kontrolės rizika.</w:t>
            </w:r>
          </w:p>
        </w:tc>
      </w:tr>
    </w:tbl>
    <w:p w:rsidR="00DD567B" w:rsidRPr="002831E4" w:rsidRDefault="002831E4" w:rsidP="00DD567B">
      <w:pPr>
        <w:pStyle w:val="NormalWeb"/>
        <w:spacing w:before="60" w:beforeAutospacing="0" w:after="0" w:afterAutospacing="0"/>
        <w:jc w:val="both"/>
        <w:rPr>
          <w:sz w:val="20"/>
          <w:szCs w:val="20"/>
          <w:lang w:val="lt-LT"/>
        </w:rPr>
      </w:pPr>
      <w:r w:rsidRPr="002831E4">
        <w:rPr>
          <w:sz w:val="20"/>
          <w:szCs w:val="20"/>
          <w:lang w:val="lt-LT"/>
        </w:rPr>
        <w:t>Šaltinis:</w:t>
      </w:r>
      <w:r>
        <w:rPr>
          <w:sz w:val="20"/>
          <w:szCs w:val="20"/>
          <w:lang w:val="lt-LT"/>
        </w:rPr>
        <w:t xml:space="preserve"> </w:t>
      </w:r>
      <w:r w:rsidR="00DD567B">
        <w:rPr>
          <w:sz w:val="20"/>
          <w:szCs w:val="20"/>
          <w:lang w:val="lt-LT"/>
        </w:rPr>
        <w:t>sudaryta autorės, remiantis UAB „Šiluma“ svarbiausių apskaitos procesų tyrimu.</w:t>
      </w:r>
    </w:p>
    <w:p w:rsidR="009F57C7" w:rsidRDefault="001E78C2" w:rsidP="001E78C2">
      <w:pPr>
        <w:pStyle w:val="NormalWeb"/>
        <w:spacing w:before="240" w:beforeAutospacing="0" w:after="0" w:afterAutospacing="0" w:line="360" w:lineRule="auto"/>
        <w:ind w:firstLine="720"/>
        <w:jc w:val="both"/>
        <w:rPr>
          <w:sz w:val="26"/>
          <w:szCs w:val="26"/>
          <w:lang w:val="lt-LT"/>
        </w:rPr>
      </w:pPr>
      <w:r w:rsidRPr="003503E9">
        <w:rPr>
          <w:sz w:val="26"/>
          <w:szCs w:val="26"/>
          <w:lang w:val="lt-LT"/>
        </w:rPr>
        <w:lastRenderedPageBreak/>
        <w:t>Kaip matome iš 2</w:t>
      </w:r>
      <w:r w:rsidR="00FA1D98">
        <w:rPr>
          <w:sz w:val="26"/>
          <w:szCs w:val="26"/>
          <w:lang w:val="lt-LT"/>
        </w:rPr>
        <w:t>8</w:t>
      </w:r>
      <w:r w:rsidRPr="003503E9">
        <w:rPr>
          <w:sz w:val="26"/>
          <w:szCs w:val="26"/>
          <w:lang w:val="lt-LT"/>
        </w:rPr>
        <w:t xml:space="preserve"> lentelės, UAB „Šiluma“ yra sukurtos veiksmingos kontrolės procedūros, susijusios su pirkimų, pardavimo ir darbo apmokėjimo procesais, o dėl finansinių ataskaitų sudarymo proceso veiksmingų kontrolės procedūrų nėra. Todėl kontrolės rizika konkretaus finansinių ataskaitų elemento ir su juo susijusio tvirtinimo</w:t>
      </w:r>
      <w:r w:rsidR="00285F74">
        <w:rPr>
          <w:sz w:val="26"/>
          <w:szCs w:val="26"/>
          <w:lang w:val="lt-LT"/>
        </w:rPr>
        <w:t xml:space="preserve"> lygmeniu yra maža rizika, jei j</w:t>
      </w:r>
      <w:r w:rsidRPr="003503E9">
        <w:rPr>
          <w:sz w:val="26"/>
          <w:szCs w:val="26"/>
          <w:lang w:val="lt-LT"/>
        </w:rPr>
        <w:t>am yra taikomas įprastas pirkimų, pardavimo ir darbo apmokėjimo apskaitos procesas</w:t>
      </w:r>
      <w:r w:rsidR="00285F74">
        <w:rPr>
          <w:sz w:val="26"/>
          <w:szCs w:val="26"/>
          <w:lang w:val="lt-LT"/>
        </w:rPr>
        <w:t>. K</w:t>
      </w:r>
      <w:r w:rsidRPr="003503E9">
        <w:rPr>
          <w:sz w:val="26"/>
          <w:szCs w:val="26"/>
          <w:lang w:val="lt-LT"/>
        </w:rPr>
        <w:t xml:space="preserve">itu atveju, </w:t>
      </w:r>
      <w:r w:rsidR="00285F74">
        <w:rPr>
          <w:sz w:val="26"/>
          <w:szCs w:val="26"/>
          <w:lang w:val="lt-LT"/>
        </w:rPr>
        <w:t>kontrolės riziko</w:t>
      </w:r>
      <w:r w:rsidRPr="003503E9">
        <w:rPr>
          <w:sz w:val="26"/>
          <w:szCs w:val="26"/>
          <w:lang w:val="lt-LT"/>
        </w:rPr>
        <w:t>s lygis priklausomai nuo kontrolės procedūros neveiksmingumo</w:t>
      </w:r>
      <w:r w:rsidR="00BB75C0">
        <w:rPr>
          <w:sz w:val="26"/>
          <w:szCs w:val="26"/>
          <w:lang w:val="lt-LT"/>
        </w:rPr>
        <w:t>,</w:t>
      </w:r>
      <w:r w:rsidRPr="003503E9">
        <w:rPr>
          <w:sz w:val="26"/>
          <w:szCs w:val="26"/>
          <w:lang w:val="lt-LT"/>
        </w:rPr>
        <w:t xml:space="preserve"> </w:t>
      </w:r>
      <w:r w:rsidR="00566877">
        <w:rPr>
          <w:sz w:val="26"/>
          <w:szCs w:val="26"/>
          <w:lang w:val="lt-LT"/>
        </w:rPr>
        <w:t xml:space="preserve">atitinkamo veiksnio </w:t>
      </w:r>
      <w:r w:rsidRPr="003503E9">
        <w:rPr>
          <w:sz w:val="26"/>
          <w:szCs w:val="26"/>
          <w:lang w:val="lt-LT"/>
        </w:rPr>
        <w:t xml:space="preserve">pasireiškimo tikimybės ir įtakos </w:t>
      </w:r>
      <w:r w:rsidR="00BB75C0">
        <w:rPr>
          <w:sz w:val="26"/>
          <w:szCs w:val="26"/>
          <w:lang w:val="lt-LT"/>
        </w:rPr>
        <w:t>gali sv</w:t>
      </w:r>
      <w:r w:rsidRPr="003503E9">
        <w:rPr>
          <w:sz w:val="26"/>
          <w:szCs w:val="26"/>
          <w:lang w:val="lt-LT"/>
        </w:rPr>
        <w:t>yruo</w:t>
      </w:r>
      <w:r w:rsidR="00BB75C0">
        <w:rPr>
          <w:sz w:val="26"/>
          <w:szCs w:val="26"/>
          <w:lang w:val="lt-LT"/>
        </w:rPr>
        <w:t>ti</w:t>
      </w:r>
      <w:r w:rsidRPr="003503E9">
        <w:rPr>
          <w:sz w:val="26"/>
          <w:szCs w:val="26"/>
          <w:lang w:val="lt-LT"/>
        </w:rPr>
        <w:t xml:space="preserve"> nu</w:t>
      </w:r>
      <w:r w:rsidR="00566877">
        <w:rPr>
          <w:sz w:val="26"/>
          <w:szCs w:val="26"/>
          <w:lang w:val="lt-LT"/>
        </w:rPr>
        <w:t>o vidutinės iki didelės rizikos</w:t>
      </w:r>
      <w:r w:rsidR="007C268D">
        <w:rPr>
          <w:sz w:val="26"/>
          <w:szCs w:val="26"/>
          <w:lang w:val="lt-LT"/>
        </w:rPr>
        <w:t xml:space="preserve"> (žr. </w:t>
      </w:r>
      <w:r w:rsidR="007C268D" w:rsidRPr="007C268D">
        <w:rPr>
          <w:b/>
          <w:sz w:val="26"/>
          <w:szCs w:val="26"/>
          <w:lang w:val="lt-LT"/>
        </w:rPr>
        <w:t xml:space="preserve">Įgimtos ir </w:t>
      </w:r>
      <w:r w:rsidR="006632A4" w:rsidRPr="007C268D">
        <w:rPr>
          <w:b/>
          <w:sz w:val="26"/>
          <w:szCs w:val="26"/>
          <w:lang w:val="lt-LT"/>
        </w:rPr>
        <w:t>kont</w:t>
      </w:r>
      <w:r w:rsidR="006632A4" w:rsidRPr="006632A4">
        <w:rPr>
          <w:b/>
          <w:sz w:val="26"/>
          <w:szCs w:val="26"/>
          <w:lang w:val="lt-LT"/>
        </w:rPr>
        <w:t>rolės rizik</w:t>
      </w:r>
      <w:r w:rsidR="009F57C7">
        <w:rPr>
          <w:b/>
          <w:sz w:val="26"/>
          <w:szCs w:val="26"/>
          <w:lang w:val="lt-LT"/>
        </w:rPr>
        <w:t>ų</w:t>
      </w:r>
      <w:r w:rsidR="006632A4" w:rsidRPr="006632A4">
        <w:rPr>
          <w:b/>
          <w:sz w:val="26"/>
          <w:szCs w:val="26"/>
          <w:lang w:val="lt-LT"/>
        </w:rPr>
        <w:t xml:space="preserve"> finansinių ataskaitų elementui ir/ar jo tvirtinimui</w:t>
      </w:r>
      <w:r w:rsidR="007C268D">
        <w:rPr>
          <w:b/>
          <w:sz w:val="26"/>
          <w:szCs w:val="26"/>
          <w:lang w:val="lt-LT"/>
        </w:rPr>
        <w:t xml:space="preserve"> apskaičiavimo lentelę</w:t>
      </w:r>
      <w:r w:rsidR="007C268D" w:rsidRPr="007C268D">
        <w:rPr>
          <w:sz w:val="26"/>
          <w:szCs w:val="26"/>
          <w:lang w:val="lt-LT"/>
        </w:rPr>
        <w:t xml:space="preserve">, 23 </w:t>
      </w:r>
      <w:r w:rsidR="007C268D">
        <w:rPr>
          <w:sz w:val="26"/>
          <w:szCs w:val="26"/>
          <w:lang w:val="lt-LT"/>
        </w:rPr>
        <w:t xml:space="preserve">priedas). </w:t>
      </w:r>
      <w:r w:rsidR="000A6ECE">
        <w:rPr>
          <w:sz w:val="26"/>
          <w:szCs w:val="26"/>
          <w:lang w:val="lt-LT"/>
        </w:rPr>
        <w:t>B</w:t>
      </w:r>
      <w:r w:rsidR="007C268D">
        <w:rPr>
          <w:sz w:val="26"/>
          <w:szCs w:val="26"/>
          <w:lang w:val="lt-LT"/>
        </w:rPr>
        <w:t xml:space="preserve">e to, </w:t>
      </w:r>
      <w:r w:rsidR="000A6ECE">
        <w:rPr>
          <w:sz w:val="26"/>
          <w:szCs w:val="26"/>
          <w:lang w:val="lt-LT"/>
        </w:rPr>
        <w:t>23 pried</w:t>
      </w:r>
      <w:r w:rsidR="007C268D">
        <w:rPr>
          <w:sz w:val="26"/>
          <w:szCs w:val="26"/>
          <w:lang w:val="lt-LT"/>
        </w:rPr>
        <w:t xml:space="preserve">e </w:t>
      </w:r>
      <w:r w:rsidR="00775991">
        <w:rPr>
          <w:sz w:val="26"/>
          <w:szCs w:val="26"/>
          <w:lang w:val="lt-LT"/>
        </w:rPr>
        <w:t xml:space="preserve">analogiškai </w:t>
      </w:r>
      <w:r w:rsidR="00811E9F">
        <w:rPr>
          <w:sz w:val="26"/>
          <w:szCs w:val="26"/>
          <w:lang w:val="lt-LT"/>
        </w:rPr>
        <w:t xml:space="preserve">įvertinta </w:t>
      </w:r>
      <w:r w:rsidR="007C268D">
        <w:rPr>
          <w:sz w:val="26"/>
          <w:szCs w:val="26"/>
          <w:lang w:val="lt-LT"/>
        </w:rPr>
        <w:t xml:space="preserve">ir </w:t>
      </w:r>
      <w:r w:rsidR="007C268D" w:rsidRPr="003503E9">
        <w:rPr>
          <w:sz w:val="26"/>
          <w:szCs w:val="26"/>
          <w:lang w:val="lt-LT"/>
        </w:rPr>
        <w:t>finansinių ataskaitų element</w:t>
      </w:r>
      <w:r w:rsidR="007C268D">
        <w:rPr>
          <w:sz w:val="26"/>
          <w:szCs w:val="26"/>
          <w:lang w:val="lt-LT"/>
        </w:rPr>
        <w:t>ams</w:t>
      </w:r>
      <w:r w:rsidR="007C268D" w:rsidRPr="003503E9">
        <w:rPr>
          <w:sz w:val="26"/>
          <w:szCs w:val="26"/>
          <w:lang w:val="lt-LT"/>
        </w:rPr>
        <w:t xml:space="preserve"> ir/ar </w:t>
      </w:r>
      <w:r w:rsidR="00811E9F">
        <w:rPr>
          <w:sz w:val="26"/>
          <w:szCs w:val="26"/>
          <w:lang w:val="lt-LT"/>
        </w:rPr>
        <w:t xml:space="preserve">jų </w:t>
      </w:r>
      <w:r w:rsidR="007C268D" w:rsidRPr="003503E9">
        <w:rPr>
          <w:sz w:val="26"/>
          <w:szCs w:val="26"/>
          <w:lang w:val="lt-LT"/>
        </w:rPr>
        <w:t>tvirtinim</w:t>
      </w:r>
      <w:r w:rsidR="007C268D">
        <w:rPr>
          <w:sz w:val="26"/>
          <w:szCs w:val="26"/>
          <w:lang w:val="lt-LT"/>
        </w:rPr>
        <w:t>ams</w:t>
      </w:r>
      <w:r w:rsidR="007C268D" w:rsidRPr="003503E9">
        <w:rPr>
          <w:sz w:val="26"/>
          <w:szCs w:val="26"/>
          <w:lang w:val="lt-LT"/>
        </w:rPr>
        <w:t xml:space="preserve"> būding</w:t>
      </w:r>
      <w:r w:rsidR="001D42F3">
        <w:rPr>
          <w:sz w:val="26"/>
          <w:szCs w:val="26"/>
          <w:lang w:val="lt-LT"/>
        </w:rPr>
        <w:t>a</w:t>
      </w:r>
      <w:r w:rsidR="007C268D" w:rsidRPr="003503E9">
        <w:rPr>
          <w:sz w:val="26"/>
          <w:szCs w:val="26"/>
          <w:lang w:val="lt-LT"/>
        </w:rPr>
        <w:t xml:space="preserve"> įgimt</w:t>
      </w:r>
      <w:r w:rsidR="00811E9F">
        <w:rPr>
          <w:sz w:val="26"/>
          <w:szCs w:val="26"/>
          <w:lang w:val="lt-LT"/>
        </w:rPr>
        <w:t>a</w:t>
      </w:r>
      <w:r w:rsidR="007C268D" w:rsidRPr="003503E9">
        <w:rPr>
          <w:sz w:val="26"/>
          <w:szCs w:val="26"/>
          <w:lang w:val="lt-LT"/>
        </w:rPr>
        <w:t xml:space="preserve"> rizik</w:t>
      </w:r>
      <w:r w:rsidR="00811E9F">
        <w:rPr>
          <w:sz w:val="26"/>
          <w:szCs w:val="26"/>
          <w:lang w:val="lt-LT"/>
        </w:rPr>
        <w:t>a</w:t>
      </w:r>
      <w:r w:rsidR="007C268D">
        <w:rPr>
          <w:sz w:val="26"/>
          <w:szCs w:val="26"/>
          <w:lang w:val="lt-LT"/>
        </w:rPr>
        <w:t xml:space="preserve"> </w:t>
      </w:r>
      <w:r w:rsidR="007C268D" w:rsidRPr="003503E9">
        <w:rPr>
          <w:sz w:val="26"/>
          <w:szCs w:val="26"/>
          <w:lang w:val="lt-LT"/>
        </w:rPr>
        <w:t xml:space="preserve">pagal </w:t>
      </w:r>
      <w:r w:rsidR="00BB75C0">
        <w:rPr>
          <w:sz w:val="26"/>
          <w:szCs w:val="26"/>
          <w:lang w:val="lt-LT"/>
        </w:rPr>
        <w:t xml:space="preserve">21 ir 23 lentelėse </w:t>
      </w:r>
      <w:r w:rsidR="007C268D" w:rsidRPr="003503E9">
        <w:rPr>
          <w:sz w:val="26"/>
          <w:szCs w:val="26"/>
          <w:lang w:val="lt-LT"/>
        </w:rPr>
        <w:t xml:space="preserve">pasiūlytą </w:t>
      </w:r>
      <w:r w:rsidR="007C268D">
        <w:rPr>
          <w:sz w:val="26"/>
          <w:szCs w:val="26"/>
          <w:lang w:val="lt-LT"/>
        </w:rPr>
        <w:t xml:space="preserve">audito rizikos komponentų kiekybinio įvertinimo </w:t>
      </w:r>
      <w:r w:rsidR="007C268D" w:rsidRPr="003503E9">
        <w:rPr>
          <w:sz w:val="26"/>
          <w:szCs w:val="26"/>
          <w:lang w:val="lt-LT"/>
        </w:rPr>
        <w:t>metodiką</w:t>
      </w:r>
      <w:r w:rsidR="000A6ECE">
        <w:rPr>
          <w:sz w:val="26"/>
          <w:szCs w:val="26"/>
          <w:lang w:val="lt-LT"/>
        </w:rPr>
        <w:t>.</w:t>
      </w:r>
      <w:r w:rsidR="009F57C7">
        <w:rPr>
          <w:sz w:val="26"/>
          <w:szCs w:val="26"/>
          <w:lang w:val="lt-LT"/>
        </w:rPr>
        <w:t xml:space="preserve"> </w:t>
      </w:r>
    </w:p>
    <w:p w:rsidR="00A12A23" w:rsidRPr="00555009" w:rsidRDefault="00A12A23" w:rsidP="003F5D70">
      <w:pPr>
        <w:spacing w:before="60"/>
        <w:ind w:firstLine="720"/>
        <w:jc w:val="right"/>
        <w:rPr>
          <w:i/>
          <w:sz w:val="26"/>
          <w:szCs w:val="26"/>
          <w:lang w:val="lt-LT"/>
        </w:rPr>
      </w:pPr>
      <w:r w:rsidRPr="00555009">
        <w:rPr>
          <w:i/>
          <w:sz w:val="26"/>
          <w:szCs w:val="26"/>
          <w:lang w:val="lt-LT"/>
        </w:rPr>
        <w:t>2</w:t>
      </w:r>
      <w:r w:rsidR="00FA1D98">
        <w:rPr>
          <w:i/>
          <w:sz w:val="26"/>
          <w:szCs w:val="26"/>
          <w:lang w:val="lt-LT"/>
        </w:rPr>
        <w:t>9</w:t>
      </w:r>
      <w:r w:rsidRPr="00555009">
        <w:rPr>
          <w:i/>
          <w:sz w:val="26"/>
          <w:szCs w:val="26"/>
          <w:lang w:val="lt-LT"/>
        </w:rPr>
        <w:t xml:space="preserve"> lentelė</w:t>
      </w:r>
    </w:p>
    <w:p w:rsidR="00A12A23" w:rsidRPr="00555009" w:rsidRDefault="00A12A23" w:rsidP="003F5D70">
      <w:pPr>
        <w:pStyle w:val="NormalWeb"/>
        <w:spacing w:before="0" w:beforeAutospacing="0" w:after="0" w:afterAutospacing="0"/>
        <w:jc w:val="center"/>
        <w:rPr>
          <w:sz w:val="26"/>
          <w:szCs w:val="26"/>
          <w:lang w:val="lt-LT"/>
        </w:rPr>
      </w:pPr>
      <w:r w:rsidRPr="00555009">
        <w:rPr>
          <w:b/>
          <w:sz w:val="26"/>
          <w:szCs w:val="26"/>
          <w:lang w:val="lt-LT"/>
        </w:rPr>
        <w:t xml:space="preserve">UAB „Šiluma“ </w:t>
      </w:r>
      <w:r w:rsidR="003F25EB" w:rsidRPr="00555009">
        <w:rPr>
          <w:b/>
          <w:sz w:val="26"/>
          <w:szCs w:val="26"/>
          <w:lang w:val="lt-LT"/>
        </w:rPr>
        <w:t xml:space="preserve">reikšmingo iškraipymo rizikos tvirtinimo lygmeniu </w:t>
      </w:r>
      <w:r w:rsidR="00646C44">
        <w:rPr>
          <w:b/>
          <w:sz w:val="26"/>
          <w:szCs w:val="26"/>
          <w:lang w:val="lt-LT"/>
        </w:rPr>
        <w:t>įvertinimas</w:t>
      </w:r>
    </w:p>
    <w:tbl>
      <w:tblPr>
        <w:tblStyle w:val="TableGrid"/>
        <w:tblW w:w="0" w:type="auto"/>
        <w:jc w:val="center"/>
        <w:tblInd w:w="-57" w:type="dxa"/>
        <w:tblLook w:val="04A0"/>
      </w:tblPr>
      <w:tblGrid>
        <w:gridCol w:w="3018"/>
        <w:gridCol w:w="737"/>
        <w:gridCol w:w="986"/>
        <w:gridCol w:w="1145"/>
        <w:gridCol w:w="1202"/>
        <w:gridCol w:w="1271"/>
      </w:tblGrid>
      <w:tr w:rsidR="00BB75C0" w:rsidRPr="00555009" w:rsidTr="001C690D">
        <w:trPr>
          <w:cantSplit/>
          <w:trHeight w:val="1670"/>
          <w:jc w:val="center"/>
        </w:trPr>
        <w:tc>
          <w:tcPr>
            <w:tcW w:w="3018" w:type="dxa"/>
            <w:vAlign w:val="center"/>
          </w:tcPr>
          <w:p w:rsidR="00835301" w:rsidRPr="00555009" w:rsidRDefault="00835301" w:rsidP="001C690D">
            <w:pPr>
              <w:pStyle w:val="NormalWeb"/>
              <w:spacing w:before="0" w:beforeAutospacing="0" w:after="0" w:afterAutospacing="0"/>
              <w:jc w:val="center"/>
              <w:rPr>
                <w:b/>
                <w:sz w:val="22"/>
                <w:szCs w:val="22"/>
                <w:lang w:val="lt-LT"/>
              </w:rPr>
            </w:pPr>
            <w:r w:rsidRPr="00555009">
              <w:rPr>
                <w:b/>
                <w:sz w:val="22"/>
                <w:szCs w:val="22"/>
                <w:lang w:val="lt-LT"/>
              </w:rPr>
              <w:t>Finansinių ataskaitų elementas</w:t>
            </w:r>
          </w:p>
        </w:tc>
        <w:tc>
          <w:tcPr>
            <w:tcW w:w="737" w:type="dxa"/>
            <w:textDirection w:val="btLr"/>
          </w:tcPr>
          <w:p w:rsidR="00835301" w:rsidRPr="00555009" w:rsidRDefault="00835301" w:rsidP="00BB75C0">
            <w:pPr>
              <w:pStyle w:val="NormalWeb"/>
              <w:spacing w:before="0" w:beforeAutospacing="0" w:after="0" w:afterAutospacing="0"/>
              <w:ind w:left="113" w:right="113"/>
              <w:jc w:val="center"/>
              <w:rPr>
                <w:b/>
                <w:sz w:val="22"/>
                <w:szCs w:val="22"/>
                <w:lang w:val="lt-LT"/>
              </w:rPr>
            </w:pPr>
            <w:r w:rsidRPr="00555009">
              <w:rPr>
                <w:b/>
                <w:sz w:val="22"/>
                <w:szCs w:val="22"/>
                <w:lang w:val="lt-LT"/>
              </w:rPr>
              <w:t>Susijęs tvirtinimas</w:t>
            </w:r>
          </w:p>
        </w:tc>
        <w:tc>
          <w:tcPr>
            <w:tcW w:w="986" w:type="dxa"/>
            <w:textDirection w:val="btLr"/>
          </w:tcPr>
          <w:p w:rsidR="00835301" w:rsidRPr="00555009" w:rsidRDefault="00835301" w:rsidP="00BB75C0">
            <w:pPr>
              <w:pStyle w:val="NormalWeb"/>
              <w:spacing w:before="0" w:beforeAutospacing="0" w:after="0" w:afterAutospacing="0"/>
              <w:ind w:left="113" w:right="113"/>
              <w:jc w:val="center"/>
              <w:rPr>
                <w:b/>
                <w:sz w:val="22"/>
                <w:szCs w:val="22"/>
                <w:lang w:val="lt-LT"/>
              </w:rPr>
            </w:pPr>
            <w:r w:rsidRPr="00555009">
              <w:rPr>
                <w:b/>
                <w:sz w:val="22"/>
                <w:szCs w:val="22"/>
                <w:lang w:val="lt-LT"/>
              </w:rPr>
              <w:t xml:space="preserve">Įgimta </w:t>
            </w:r>
          </w:p>
          <w:p w:rsidR="00835301" w:rsidRPr="00555009" w:rsidRDefault="00835301" w:rsidP="00BB75C0">
            <w:pPr>
              <w:pStyle w:val="NormalWeb"/>
              <w:spacing w:before="0" w:beforeAutospacing="0" w:after="0" w:afterAutospacing="0"/>
              <w:ind w:left="113" w:right="113"/>
              <w:jc w:val="center"/>
              <w:rPr>
                <w:b/>
                <w:sz w:val="22"/>
                <w:szCs w:val="22"/>
                <w:lang w:val="lt-LT"/>
              </w:rPr>
            </w:pPr>
            <w:r w:rsidRPr="00555009">
              <w:rPr>
                <w:b/>
                <w:sz w:val="22"/>
                <w:szCs w:val="22"/>
                <w:lang w:val="lt-LT"/>
              </w:rPr>
              <w:t>rizika</w:t>
            </w:r>
          </w:p>
        </w:tc>
        <w:tc>
          <w:tcPr>
            <w:tcW w:w="1145" w:type="dxa"/>
            <w:textDirection w:val="btLr"/>
          </w:tcPr>
          <w:p w:rsidR="00835301" w:rsidRPr="00555009" w:rsidRDefault="00835301" w:rsidP="00BB75C0">
            <w:pPr>
              <w:pStyle w:val="NormalWeb"/>
              <w:spacing w:before="0" w:beforeAutospacing="0" w:after="0" w:afterAutospacing="0"/>
              <w:ind w:left="113" w:right="113"/>
              <w:jc w:val="center"/>
              <w:rPr>
                <w:b/>
                <w:sz w:val="22"/>
                <w:szCs w:val="22"/>
                <w:lang w:val="lt-LT"/>
              </w:rPr>
            </w:pPr>
            <w:r w:rsidRPr="00555009">
              <w:rPr>
                <w:b/>
                <w:sz w:val="22"/>
                <w:szCs w:val="22"/>
                <w:lang w:val="lt-LT"/>
              </w:rPr>
              <w:t>Kontrolės rizika</w:t>
            </w:r>
          </w:p>
        </w:tc>
        <w:tc>
          <w:tcPr>
            <w:tcW w:w="1202" w:type="dxa"/>
            <w:tcBorders>
              <w:bottom w:val="single" w:sz="4" w:space="0" w:color="auto"/>
            </w:tcBorders>
            <w:textDirection w:val="btLr"/>
          </w:tcPr>
          <w:p w:rsidR="00835301" w:rsidRPr="00555009" w:rsidRDefault="00835301" w:rsidP="00BB75C0">
            <w:pPr>
              <w:pStyle w:val="NormalWeb"/>
              <w:spacing w:before="0" w:beforeAutospacing="0" w:after="0" w:afterAutospacing="0"/>
              <w:ind w:left="113" w:right="113"/>
              <w:jc w:val="center"/>
              <w:rPr>
                <w:b/>
                <w:sz w:val="22"/>
                <w:szCs w:val="22"/>
                <w:lang w:val="lt-LT"/>
              </w:rPr>
            </w:pPr>
            <w:r w:rsidRPr="00555009">
              <w:rPr>
                <w:b/>
                <w:sz w:val="22"/>
                <w:szCs w:val="22"/>
                <w:lang w:val="lt-LT"/>
              </w:rPr>
              <w:t>R</w:t>
            </w:r>
            <w:r w:rsidR="00CB7528" w:rsidRPr="00555009">
              <w:rPr>
                <w:b/>
                <w:sz w:val="22"/>
                <w:szCs w:val="22"/>
                <w:lang w:val="lt-LT"/>
              </w:rPr>
              <w:t>MM</w:t>
            </w:r>
            <w:r w:rsidRPr="00555009">
              <w:rPr>
                <w:rStyle w:val="FootnoteReference"/>
                <w:b/>
                <w:sz w:val="22"/>
                <w:szCs w:val="22"/>
                <w:lang w:val="lt-LT"/>
              </w:rPr>
              <w:footnoteReference w:id="26"/>
            </w:r>
            <w:r w:rsidRPr="00555009">
              <w:rPr>
                <w:b/>
                <w:sz w:val="22"/>
                <w:szCs w:val="22"/>
                <w:lang w:val="lt-LT"/>
              </w:rPr>
              <w:t xml:space="preserve"> </w:t>
            </w:r>
            <w:r w:rsidR="0025194A" w:rsidRPr="00555009">
              <w:rPr>
                <w:b/>
                <w:sz w:val="22"/>
                <w:szCs w:val="22"/>
                <w:lang w:val="lt-LT"/>
              </w:rPr>
              <w:t>tvirtinimo</w:t>
            </w:r>
            <w:r w:rsidRPr="00555009">
              <w:rPr>
                <w:b/>
                <w:sz w:val="22"/>
                <w:szCs w:val="22"/>
                <w:lang w:val="lt-LT"/>
              </w:rPr>
              <w:t xml:space="preserve"> lygmeniu</w:t>
            </w:r>
          </w:p>
        </w:tc>
        <w:tc>
          <w:tcPr>
            <w:tcW w:w="1271" w:type="dxa"/>
            <w:textDirection w:val="btLr"/>
          </w:tcPr>
          <w:p w:rsidR="00835301" w:rsidRPr="00555009" w:rsidRDefault="00835301" w:rsidP="00BB75C0">
            <w:pPr>
              <w:pStyle w:val="NormalWeb"/>
              <w:spacing w:before="0" w:beforeAutospacing="0" w:after="0" w:afterAutospacing="0"/>
              <w:ind w:left="113" w:right="113"/>
              <w:rPr>
                <w:b/>
                <w:sz w:val="22"/>
                <w:szCs w:val="22"/>
                <w:lang w:val="lt-LT"/>
              </w:rPr>
            </w:pPr>
            <w:r w:rsidRPr="00555009">
              <w:rPr>
                <w:b/>
                <w:sz w:val="22"/>
                <w:szCs w:val="22"/>
                <w:lang w:val="lt-LT"/>
              </w:rPr>
              <w:t>Koregavimas dėl R</w:t>
            </w:r>
            <w:r w:rsidR="00CB7528" w:rsidRPr="00555009">
              <w:rPr>
                <w:b/>
                <w:sz w:val="22"/>
                <w:szCs w:val="22"/>
                <w:lang w:val="lt-LT"/>
              </w:rPr>
              <w:t>MM</w:t>
            </w:r>
            <w:r w:rsidR="00BB75C0">
              <w:rPr>
                <w:b/>
                <w:sz w:val="22"/>
                <w:szCs w:val="22"/>
                <w:lang w:val="lt-LT"/>
              </w:rPr>
              <w:t xml:space="preserve"> </w:t>
            </w:r>
            <w:r w:rsidRPr="00555009">
              <w:rPr>
                <w:b/>
                <w:sz w:val="22"/>
                <w:szCs w:val="22"/>
                <w:lang w:val="lt-LT"/>
              </w:rPr>
              <w:t>f/a</w:t>
            </w:r>
            <w:r w:rsidR="00BB75C0" w:rsidRPr="00555009">
              <w:rPr>
                <w:rStyle w:val="FootnoteReference"/>
                <w:b/>
                <w:sz w:val="22"/>
                <w:szCs w:val="22"/>
                <w:lang w:val="lt-LT"/>
              </w:rPr>
              <w:footnoteReference w:id="27"/>
            </w:r>
            <w:r w:rsidR="00BB75C0" w:rsidRPr="00555009">
              <w:rPr>
                <w:b/>
                <w:sz w:val="22"/>
                <w:szCs w:val="22"/>
                <w:lang w:val="lt-LT"/>
              </w:rPr>
              <w:t xml:space="preserve"> </w:t>
            </w:r>
            <w:r w:rsidRPr="00555009">
              <w:rPr>
                <w:b/>
                <w:sz w:val="22"/>
                <w:szCs w:val="22"/>
                <w:lang w:val="lt-LT"/>
              </w:rPr>
              <w:t>lygmeniu</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 xml:space="preserve">Ilgalaikis materialusis turtas </w:t>
            </w:r>
          </w:p>
        </w:tc>
        <w:tc>
          <w:tcPr>
            <w:tcW w:w="737" w:type="dxa"/>
          </w:tcPr>
          <w:p w:rsidR="00835301" w:rsidRPr="00555009" w:rsidRDefault="00835301" w:rsidP="00BB75C0">
            <w:pPr>
              <w:pStyle w:val="NormalWeb"/>
              <w:spacing w:before="0" w:beforeAutospacing="0" w:after="0" w:afterAutospacing="0"/>
              <w:jc w:val="center"/>
              <w:rPr>
                <w:sz w:val="22"/>
                <w:szCs w:val="22"/>
                <w:lang w:val="lt-LT"/>
              </w:rPr>
            </w:pPr>
            <w:r w:rsidRPr="00555009">
              <w:rPr>
                <w:sz w:val="22"/>
                <w:szCs w:val="22"/>
                <w:lang w:val="lt-LT"/>
              </w:rPr>
              <w:t>B</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71"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Ilgalaikis materialusis turtas</w:t>
            </w:r>
          </w:p>
        </w:tc>
        <w:tc>
          <w:tcPr>
            <w:tcW w:w="737" w:type="dxa"/>
          </w:tcPr>
          <w:p w:rsidR="00835301" w:rsidRPr="00555009" w:rsidRDefault="00BB75C0" w:rsidP="00BB75C0">
            <w:pPr>
              <w:pStyle w:val="NormalWeb"/>
              <w:spacing w:before="0" w:beforeAutospacing="0" w:after="0" w:afterAutospacing="0"/>
              <w:jc w:val="center"/>
              <w:rPr>
                <w:sz w:val="22"/>
                <w:szCs w:val="22"/>
                <w:lang w:val="lt-LT"/>
              </w:rPr>
            </w:pPr>
            <w:r>
              <w:rPr>
                <w:sz w:val="22"/>
                <w:szCs w:val="22"/>
                <w:lang w:val="lt-LT"/>
              </w:rPr>
              <w:t>V</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Vidutinė</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Vidutinė</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Vidutinė</w:t>
            </w:r>
          </w:p>
        </w:tc>
        <w:tc>
          <w:tcPr>
            <w:tcW w:w="1271"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 xml:space="preserve">Atidėtojo mokesčio turtas </w:t>
            </w:r>
          </w:p>
        </w:tc>
        <w:tc>
          <w:tcPr>
            <w:tcW w:w="737" w:type="dxa"/>
          </w:tcPr>
          <w:p w:rsidR="00835301" w:rsidRPr="00555009" w:rsidRDefault="00BB75C0" w:rsidP="00BB75C0">
            <w:pPr>
              <w:pStyle w:val="NormalWeb"/>
              <w:spacing w:before="0" w:beforeAutospacing="0" w:after="0" w:afterAutospacing="0"/>
              <w:jc w:val="center"/>
              <w:rPr>
                <w:sz w:val="22"/>
                <w:szCs w:val="22"/>
                <w:lang w:val="lt-LT"/>
              </w:rPr>
            </w:pPr>
            <w:r>
              <w:rPr>
                <w:sz w:val="22"/>
                <w:szCs w:val="22"/>
                <w:lang w:val="lt-LT"/>
              </w:rPr>
              <w:t>V</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271"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11E9F">
            <w:pPr>
              <w:pStyle w:val="NormalWeb"/>
              <w:spacing w:before="0" w:beforeAutospacing="0" w:after="0" w:afterAutospacing="0"/>
              <w:jc w:val="both"/>
              <w:rPr>
                <w:sz w:val="22"/>
                <w:szCs w:val="22"/>
                <w:lang w:val="lt-LT"/>
              </w:rPr>
            </w:pPr>
            <w:r w:rsidRPr="00555009">
              <w:rPr>
                <w:sz w:val="22"/>
                <w:szCs w:val="22"/>
                <w:lang w:val="lt-LT"/>
              </w:rPr>
              <w:t>Žaliavos ir komplek</w:t>
            </w:r>
            <w:r w:rsidR="00811E9F">
              <w:rPr>
                <w:sz w:val="22"/>
                <w:szCs w:val="22"/>
                <w:lang w:val="lt-LT"/>
              </w:rPr>
              <w:t>t.</w:t>
            </w:r>
            <w:r w:rsidRPr="00555009">
              <w:rPr>
                <w:sz w:val="22"/>
                <w:szCs w:val="22"/>
                <w:lang w:val="lt-LT"/>
              </w:rPr>
              <w:t xml:space="preserve"> gaminiai</w:t>
            </w:r>
          </w:p>
        </w:tc>
        <w:tc>
          <w:tcPr>
            <w:tcW w:w="737" w:type="dxa"/>
          </w:tcPr>
          <w:p w:rsidR="00835301" w:rsidRPr="00555009" w:rsidRDefault="00835301" w:rsidP="00BB75C0">
            <w:pPr>
              <w:pStyle w:val="NormalWeb"/>
              <w:spacing w:before="0" w:beforeAutospacing="0" w:after="0" w:afterAutospacing="0"/>
              <w:jc w:val="center"/>
              <w:rPr>
                <w:sz w:val="22"/>
                <w:szCs w:val="22"/>
                <w:lang w:val="lt-LT"/>
              </w:rPr>
            </w:pPr>
            <w:r w:rsidRPr="00555009">
              <w:rPr>
                <w:sz w:val="22"/>
                <w:szCs w:val="22"/>
                <w:lang w:val="lt-LT"/>
              </w:rPr>
              <w:t>B</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Vidutinė</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71"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11E9F">
            <w:pPr>
              <w:pStyle w:val="NormalWeb"/>
              <w:spacing w:before="0" w:beforeAutospacing="0" w:after="0" w:afterAutospacing="0"/>
              <w:jc w:val="both"/>
              <w:rPr>
                <w:sz w:val="22"/>
                <w:szCs w:val="22"/>
                <w:lang w:val="lt-LT"/>
              </w:rPr>
            </w:pPr>
            <w:r w:rsidRPr="00555009">
              <w:rPr>
                <w:sz w:val="22"/>
                <w:szCs w:val="22"/>
                <w:lang w:val="lt-LT"/>
              </w:rPr>
              <w:t>Žaliavos ir komplekt</w:t>
            </w:r>
            <w:r w:rsidR="00811E9F">
              <w:rPr>
                <w:sz w:val="22"/>
                <w:szCs w:val="22"/>
                <w:lang w:val="lt-LT"/>
              </w:rPr>
              <w:t>.</w:t>
            </w:r>
            <w:r w:rsidRPr="00555009">
              <w:rPr>
                <w:sz w:val="22"/>
                <w:szCs w:val="22"/>
                <w:lang w:val="lt-LT"/>
              </w:rPr>
              <w:t xml:space="preserve"> gaminiai</w:t>
            </w:r>
          </w:p>
        </w:tc>
        <w:tc>
          <w:tcPr>
            <w:tcW w:w="737" w:type="dxa"/>
          </w:tcPr>
          <w:p w:rsidR="00835301" w:rsidRPr="00555009" w:rsidRDefault="00BB75C0" w:rsidP="00BB75C0">
            <w:pPr>
              <w:pStyle w:val="NormalWeb"/>
              <w:spacing w:before="0" w:beforeAutospacing="0" w:after="0" w:afterAutospacing="0"/>
              <w:jc w:val="center"/>
              <w:rPr>
                <w:sz w:val="22"/>
                <w:szCs w:val="22"/>
                <w:lang w:val="lt-LT"/>
              </w:rPr>
            </w:pPr>
            <w:r>
              <w:rPr>
                <w:sz w:val="22"/>
                <w:szCs w:val="22"/>
                <w:lang w:val="lt-LT"/>
              </w:rPr>
              <w:t>V</w:t>
            </w:r>
          </w:p>
        </w:tc>
        <w:tc>
          <w:tcPr>
            <w:tcW w:w="986" w:type="dxa"/>
          </w:tcPr>
          <w:p w:rsidR="00835301" w:rsidRPr="00555009" w:rsidRDefault="00912BBC" w:rsidP="00912BBC">
            <w:pPr>
              <w:pStyle w:val="NormalWeb"/>
              <w:spacing w:before="0" w:beforeAutospacing="0" w:after="0" w:afterAutospacing="0"/>
              <w:jc w:val="center"/>
              <w:rPr>
                <w:sz w:val="22"/>
                <w:szCs w:val="22"/>
                <w:lang w:val="lt-LT"/>
              </w:rPr>
            </w:pPr>
            <w:r w:rsidRPr="00555009">
              <w:rPr>
                <w:sz w:val="22"/>
                <w:szCs w:val="22"/>
                <w:lang w:val="lt-LT"/>
              </w:rPr>
              <w:t>Vidutinė</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202" w:type="dxa"/>
            <w:tcBorders>
              <w:bottom w:val="single" w:sz="4" w:space="0" w:color="auto"/>
            </w:tcBorders>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271"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Pirkėjų įsiskolinimas</w:t>
            </w:r>
          </w:p>
        </w:tc>
        <w:tc>
          <w:tcPr>
            <w:tcW w:w="737" w:type="dxa"/>
          </w:tcPr>
          <w:p w:rsidR="00835301" w:rsidRPr="00555009" w:rsidRDefault="00835301" w:rsidP="00BB75C0">
            <w:pPr>
              <w:pStyle w:val="NormalWeb"/>
              <w:spacing w:before="0" w:beforeAutospacing="0" w:after="0" w:afterAutospacing="0"/>
              <w:jc w:val="center"/>
              <w:rPr>
                <w:sz w:val="22"/>
                <w:szCs w:val="22"/>
                <w:lang w:val="lt-LT"/>
              </w:rPr>
            </w:pPr>
            <w:r w:rsidRPr="00555009">
              <w:rPr>
                <w:sz w:val="22"/>
                <w:szCs w:val="22"/>
                <w:lang w:val="lt-LT"/>
              </w:rPr>
              <w:t>B</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71" w:type="dxa"/>
            <w:tcBorders>
              <w:bottom w:val="single" w:sz="4" w:space="0" w:color="auto"/>
            </w:tcBorders>
          </w:tcPr>
          <w:p w:rsidR="00835301" w:rsidRPr="00555009" w:rsidRDefault="00804A86"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Pirkėjų įsiskolinimas</w:t>
            </w:r>
          </w:p>
        </w:tc>
        <w:tc>
          <w:tcPr>
            <w:tcW w:w="737" w:type="dxa"/>
          </w:tcPr>
          <w:p w:rsidR="00835301" w:rsidRPr="00555009" w:rsidRDefault="00BB75C0" w:rsidP="00BB75C0">
            <w:pPr>
              <w:pStyle w:val="NormalWeb"/>
              <w:spacing w:before="0" w:beforeAutospacing="0" w:after="0" w:afterAutospacing="0"/>
              <w:jc w:val="center"/>
              <w:rPr>
                <w:sz w:val="22"/>
                <w:szCs w:val="22"/>
                <w:lang w:val="lt-LT"/>
              </w:rPr>
            </w:pPr>
            <w:r>
              <w:rPr>
                <w:sz w:val="22"/>
                <w:szCs w:val="22"/>
                <w:lang w:val="lt-LT"/>
              </w:rPr>
              <w:t>V</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202" w:type="dxa"/>
            <w:tcBorders>
              <w:bottom w:val="single" w:sz="4" w:space="0" w:color="auto"/>
            </w:tcBorders>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271"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 xml:space="preserve">Pinigai ir pinigų ekvivalentai </w:t>
            </w:r>
          </w:p>
        </w:tc>
        <w:tc>
          <w:tcPr>
            <w:tcW w:w="737" w:type="dxa"/>
          </w:tcPr>
          <w:p w:rsidR="00835301" w:rsidRPr="00555009" w:rsidRDefault="00835301" w:rsidP="00BB75C0">
            <w:pPr>
              <w:pStyle w:val="NormalWeb"/>
              <w:spacing w:before="0" w:beforeAutospacing="0" w:after="0" w:afterAutospacing="0"/>
              <w:jc w:val="center"/>
              <w:rPr>
                <w:sz w:val="22"/>
                <w:szCs w:val="22"/>
                <w:lang w:val="lt-LT"/>
              </w:rPr>
            </w:pPr>
            <w:r w:rsidRPr="00555009">
              <w:rPr>
                <w:sz w:val="22"/>
                <w:szCs w:val="22"/>
                <w:lang w:val="lt-LT"/>
              </w:rPr>
              <w:t>B</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Vidutinė</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71" w:type="dxa"/>
            <w:tcBorders>
              <w:bottom w:val="single" w:sz="4" w:space="0" w:color="auto"/>
            </w:tcBorders>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Skolos kredito įstaigoms</w:t>
            </w:r>
          </w:p>
        </w:tc>
        <w:tc>
          <w:tcPr>
            <w:tcW w:w="737" w:type="dxa"/>
          </w:tcPr>
          <w:p w:rsidR="00835301" w:rsidRPr="00555009" w:rsidRDefault="00BB75C0" w:rsidP="00BB75C0">
            <w:pPr>
              <w:pStyle w:val="NormalWeb"/>
              <w:spacing w:before="0" w:beforeAutospacing="0" w:after="0" w:afterAutospacing="0"/>
              <w:jc w:val="center"/>
              <w:rPr>
                <w:sz w:val="22"/>
                <w:szCs w:val="22"/>
                <w:lang w:val="lt-LT"/>
              </w:rPr>
            </w:pPr>
            <w:r>
              <w:rPr>
                <w:sz w:val="22"/>
                <w:szCs w:val="22"/>
                <w:lang w:val="lt-LT"/>
              </w:rPr>
              <w:t>V</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202" w:type="dxa"/>
            <w:tcBorders>
              <w:bottom w:val="single" w:sz="4" w:space="0" w:color="auto"/>
            </w:tcBorders>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Didelė</w:t>
            </w:r>
          </w:p>
        </w:tc>
        <w:tc>
          <w:tcPr>
            <w:tcW w:w="1271" w:type="dxa"/>
            <w:shd w:val="clear" w:color="auto" w:fill="D9D9D9" w:themeFill="background1" w:themeFillShade="D9"/>
          </w:tcPr>
          <w:p w:rsidR="00835301" w:rsidRPr="00555009" w:rsidRDefault="00804A86" w:rsidP="003E1567">
            <w:pPr>
              <w:pStyle w:val="NormalWeb"/>
              <w:spacing w:before="0" w:beforeAutospacing="0" w:after="0" w:afterAutospacing="0"/>
              <w:jc w:val="center"/>
              <w:rPr>
                <w:sz w:val="22"/>
                <w:szCs w:val="22"/>
                <w:lang w:val="lt-LT"/>
              </w:rPr>
            </w:pPr>
            <w:r w:rsidRPr="00555009">
              <w:rPr>
                <w:sz w:val="22"/>
                <w:szCs w:val="22"/>
                <w:lang w:val="lt-LT"/>
              </w:rPr>
              <w:t>Didelė</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Skolos tiekėjams</w:t>
            </w:r>
          </w:p>
        </w:tc>
        <w:tc>
          <w:tcPr>
            <w:tcW w:w="737" w:type="dxa"/>
          </w:tcPr>
          <w:p w:rsidR="00835301" w:rsidRPr="00555009" w:rsidRDefault="00835301" w:rsidP="00BB75C0">
            <w:pPr>
              <w:pStyle w:val="NormalWeb"/>
              <w:spacing w:before="0" w:beforeAutospacing="0" w:after="0" w:afterAutospacing="0"/>
              <w:jc w:val="center"/>
              <w:rPr>
                <w:sz w:val="22"/>
                <w:szCs w:val="22"/>
                <w:lang w:val="lt-LT"/>
              </w:rPr>
            </w:pPr>
            <w:r w:rsidRPr="00555009">
              <w:rPr>
                <w:sz w:val="22"/>
                <w:szCs w:val="22"/>
                <w:lang w:val="lt-LT"/>
              </w:rPr>
              <w:t>I</w:t>
            </w:r>
          </w:p>
        </w:tc>
        <w:tc>
          <w:tcPr>
            <w:tcW w:w="986" w:type="dxa"/>
          </w:tcPr>
          <w:p w:rsidR="00835301" w:rsidRPr="00555009" w:rsidRDefault="00265174"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71"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 xml:space="preserve">Su darbo santykiais susiję įsipareigojimai </w:t>
            </w:r>
          </w:p>
        </w:tc>
        <w:tc>
          <w:tcPr>
            <w:tcW w:w="737" w:type="dxa"/>
          </w:tcPr>
          <w:p w:rsidR="00835301" w:rsidRPr="00555009" w:rsidRDefault="00835301" w:rsidP="00BB75C0">
            <w:pPr>
              <w:pStyle w:val="NormalWeb"/>
              <w:spacing w:before="0" w:beforeAutospacing="0" w:after="0" w:afterAutospacing="0"/>
              <w:jc w:val="center"/>
              <w:rPr>
                <w:sz w:val="22"/>
                <w:szCs w:val="22"/>
                <w:lang w:val="lt-LT"/>
              </w:rPr>
            </w:pPr>
            <w:r w:rsidRPr="00555009">
              <w:rPr>
                <w:sz w:val="22"/>
                <w:szCs w:val="22"/>
                <w:lang w:val="lt-LT"/>
              </w:rPr>
              <w:t>I</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71" w:type="dxa"/>
            <w:tcBorders>
              <w:bottom w:val="single" w:sz="4" w:space="0" w:color="auto"/>
            </w:tcBorders>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Pardavimo pajamos</w:t>
            </w:r>
          </w:p>
        </w:tc>
        <w:tc>
          <w:tcPr>
            <w:tcW w:w="737" w:type="dxa"/>
          </w:tcPr>
          <w:p w:rsidR="00835301" w:rsidRPr="00555009" w:rsidRDefault="00835301" w:rsidP="00BB75C0">
            <w:pPr>
              <w:pStyle w:val="NormalWeb"/>
              <w:spacing w:before="0" w:beforeAutospacing="0" w:after="0" w:afterAutospacing="0"/>
              <w:jc w:val="center"/>
              <w:rPr>
                <w:sz w:val="22"/>
                <w:szCs w:val="22"/>
                <w:lang w:val="lt-LT"/>
              </w:rPr>
            </w:pPr>
            <w:r w:rsidRPr="00555009">
              <w:rPr>
                <w:sz w:val="22"/>
                <w:szCs w:val="22"/>
                <w:lang w:val="lt-LT"/>
              </w:rPr>
              <w:t>T</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Vidutinė</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02" w:type="dxa"/>
            <w:tcBorders>
              <w:bottom w:val="single" w:sz="4" w:space="0" w:color="auto"/>
            </w:tcBorders>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71"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Vidutinė</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 xml:space="preserve">Pardavimo savikaina </w:t>
            </w:r>
          </w:p>
        </w:tc>
        <w:tc>
          <w:tcPr>
            <w:tcW w:w="737" w:type="dxa"/>
          </w:tcPr>
          <w:p w:rsidR="00835301" w:rsidRPr="00555009" w:rsidRDefault="00835301" w:rsidP="00BB75C0">
            <w:pPr>
              <w:pStyle w:val="NormalWeb"/>
              <w:spacing w:before="0" w:beforeAutospacing="0" w:after="0" w:afterAutospacing="0"/>
              <w:jc w:val="center"/>
              <w:rPr>
                <w:sz w:val="22"/>
                <w:szCs w:val="22"/>
                <w:lang w:val="lt-LT"/>
              </w:rPr>
            </w:pPr>
            <w:r w:rsidRPr="00555009">
              <w:rPr>
                <w:sz w:val="22"/>
                <w:szCs w:val="22"/>
                <w:lang w:val="lt-LT"/>
              </w:rPr>
              <w:t>T</w:t>
            </w:r>
          </w:p>
        </w:tc>
        <w:tc>
          <w:tcPr>
            <w:tcW w:w="986"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71"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r w:rsidR="00BB75C0" w:rsidRPr="00555009" w:rsidTr="00BB75C0">
        <w:trPr>
          <w:jc w:val="center"/>
        </w:trPr>
        <w:tc>
          <w:tcPr>
            <w:tcW w:w="3018" w:type="dxa"/>
          </w:tcPr>
          <w:p w:rsidR="00835301" w:rsidRPr="00555009" w:rsidRDefault="00835301" w:rsidP="00835301">
            <w:pPr>
              <w:pStyle w:val="NormalWeb"/>
              <w:spacing w:before="0" w:beforeAutospacing="0" w:after="0" w:afterAutospacing="0"/>
              <w:jc w:val="both"/>
              <w:rPr>
                <w:sz w:val="22"/>
                <w:szCs w:val="22"/>
                <w:lang w:val="lt-LT"/>
              </w:rPr>
            </w:pPr>
            <w:r w:rsidRPr="00555009">
              <w:rPr>
                <w:sz w:val="22"/>
                <w:szCs w:val="22"/>
                <w:lang w:val="lt-LT"/>
              </w:rPr>
              <w:t xml:space="preserve">Veiklos sąnaudos </w:t>
            </w:r>
          </w:p>
        </w:tc>
        <w:tc>
          <w:tcPr>
            <w:tcW w:w="737" w:type="dxa"/>
          </w:tcPr>
          <w:p w:rsidR="00835301" w:rsidRPr="00555009" w:rsidRDefault="00835301" w:rsidP="00BB75C0">
            <w:pPr>
              <w:pStyle w:val="NormalWeb"/>
              <w:spacing w:before="0" w:beforeAutospacing="0" w:after="0" w:afterAutospacing="0"/>
              <w:jc w:val="center"/>
              <w:rPr>
                <w:sz w:val="22"/>
                <w:szCs w:val="22"/>
                <w:lang w:val="lt-LT"/>
              </w:rPr>
            </w:pPr>
            <w:r w:rsidRPr="00555009">
              <w:rPr>
                <w:sz w:val="22"/>
                <w:szCs w:val="22"/>
                <w:lang w:val="lt-LT"/>
              </w:rPr>
              <w:t>T</w:t>
            </w:r>
          </w:p>
        </w:tc>
        <w:tc>
          <w:tcPr>
            <w:tcW w:w="986" w:type="dxa"/>
          </w:tcPr>
          <w:p w:rsidR="00835301" w:rsidRPr="00555009" w:rsidRDefault="00DF376C"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145"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02" w:type="dxa"/>
            <w:shd w:val="clear" w:color="auto" w:fill="D9D9D9" w:themeFill="background1" w:themeFillShade="D9"/>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Maža</w:t>
            </w:r>
          </w:p>
        </w:tc>
        <w:tc>
          <w:tcPr>
            <w:tcW w:w="1271" w:type="dxa"/>
          </w:tcPr>
          <w:p w:rsidR="00835301" w:rsidRPr="00555009" w:rsidRDefault="00835301" w:rsidP="003E1567">
            <w:pPr>
              <w:pStyle w:val="NormalWeb"/>
              <w:spacing w:before="0" w:beforeAutospacing="0" w:after="0" w:afterAutospacing="0"/>
              <w:jc w:val="center"/>
              <w:rPr>
                <w:sz w:val="22"/>
                <w:szCs w:val="22"/>
                <w:lang w:val="lt-LT"/>
              </w:rPr>
            </w:pPr>
            <w:r w:rsidRPr="00555009">
              <w:rPr>
                <w:sz w:val="22"/>
                <w:szCs w:val="22"/>
                <w:lang w:val="lt-LT"/>
              </w:rPr>
              <w:t>Netaikoma</w:t>
            </w:r>
          </w:p>
        </w:tc>
      </w:tr>
    </w:tbl>
    <w:p w:rsidR="005C2B7A" w:rsidRDefault="005C2B7A" w:rsidP="00884A1E">
      <w:pPr>
        <w:pStyle w:val="NormalWeb"/>
        <w:spacing w:before="0" w:beforeAutospacing="0" w:after="0" w:afterAutospacing="0" w:line="200" w:lineRule="exact"/>
        <w:jc w:val="both"/>
        <w:rPr>
          <w:sz w:val="20"/>
          <w:szCs w:val="20"/>
          <w:lang w:val="lt-LT"/>
        </w:rPr>
      </w:pPr>
      <w:r w:rsidRPr="00D5663A">
        <w:rPr>
          <w:sz w:val="20"/>
          <w:szCs w:val="20"/>
          <w:lang w:val="lt-LT"/>
        </w:rPr>
        <w:t>Pastaba: P</w:t>
      </w:r>
      <w:r>
        <w:rPr>
          <w:sz w:val="20"/>
          <w:szCs w:val="20"/>
          <w:lang w:val="lt-LT"/>
        </w:rPr>
        <w:t>aryškinti</w:t>
      </w:r>
      <w:r w:rsidRPr="00D5663A">
        <w:rPr>
          <w:sz w:val="20"/>
          <w:szCs w:val="20"/>
          <w:lang w:val="lt-LT"/>
        </w:rPr>
        <w:t xml:space="preserve"> laukeliai žymi </w:t>
      </w:r>
      <w:r>
        <w:rPr>
          <w:sz w:val="20"/>
          <w:szCs w:val="20"/>
          <w:lang w:val="lt-LT"/>
        </w:rPr>
        <w:t>galutinį reikšmingo iškraipymo rizikos tvirtinimo lygmeniu vertinimą</w:t>
      </w:r>
      <w:r w:rsidR="00884A1E">
        <w:rPr>
          <w:sz w:val="20"/>
          <w:szCs w:val="20"/>
          <w:lang w:val="lt-LT"/>
        </w:rPr>
        <w:t>. Susijęs tvirtinimas: B</w:t>
      </w:r>
      <w:r w:rsidR="00884A1E" w:rsidRPr="003E5F7B">
        <w:rPr>
          <w:sz w:val="26"/>
          <w:szCs w:val="26"/>
          <w:lang w:val="lt-LT"/>
        </w:rPr>
        <w:t xml:space="preserve"> </w:t>
      </w:r>
      <w:r w:rsidR="00884A1E">
        <w:rPr>
          <w:sz w:val="26"/>
          <w:szCs w:val="26"/>
          <w:lang w:val="lt-LT"/>
        </w:rPr>
        <w:t xml:space="preserve">– </w:t>
      </w:r>
      <w:r w:rsidR="00BB75C0">
        <w:rPr>
          <w:sz w:val="20"/>
          <w:szCs w:val="20"/>
          <w:lang w:val="lt-LT"/>
        </w:rPr>
        <w:t>buvimas, V</w:t>
      </w:r>
      <w:r w:rsidR="00884A1E" w:rsidRPr="003E5F7B">
        <w:rPr>
          <w:sz w:val="26"/>
          <w:szCs w:val="26"/>
          <w:lang w:val="lt-LT"/>
        </w:rPr>
        <w:t xml:space="preserve"> </w:t>
      </w:r>
      <w:r w:rsidR="00884A1E">
        <w:rPr>
          <w:sz w:val="26"/>
          <w:szCs w:val="26"/>
          <w:lang w:val="lt-LT"/>
        </w:rPr>
        <w:t xml:space="preserve">– </w:t>
      </w:r>
      <w:r w:rsidR="00BB75C0">
        <w:rPr>
          <w:sz w:val="20"/>
          <w:szCs w:val="20"/>
          <w:lang w:val="lt-LT"/>
        </w:rPr>
        <w:t>įvertinimas, I</w:t>
      </w:r>
      <w:r w:rsidR="00884A1E" w:rsidRPr="003E5F7B">
        <w:rPr>
          <w:sz w:val="26"/>
          <w:szCs w:val="26"/>
          <w:lang w:val="lt-LT"/>
        </w:rPr>
        <w:t xml:space="preserve"> </w:t>
      </w:r>
      <w:r w:rsidR="00884A1E">
        <w:rPr>
          <w:sz w:val="26"/>
          <w:szCs w:val="26"/>
          <w:lang w:val="lt-LT"/>
        </w:rPr>
        <w:t xml:space="preserve">– </w:t>
      </w:r>
      <w:r w:rsidR="00BB75C0">
        <w:rPr>
          <w:sz w:val="20"/>
          <w:szCs w:val="20"/>
          <w:lang w:val="lt-LT"/>
        </w:rPr>
        <w:t>išsamumas, T</w:t>
      </w:r>
      <w:r w:rsidR="00884A1E" w:rsidRPr="003E5F7B">
        <w:rPr>
          <w:sz w:val="26"/>
          <w:szCs w:val="26"/>
          <w:lang w:val="lt-LT"/>
        </w:rPr>
        <w:t xml:space="preserve"> </w:t>
      </w:r>
      <w:r w:rsidR="00884A1E">
        <w:rPr>
          <w:sz w:val="26"/>
          <w:szCs w:val="26"/>
          <w:lang w:val="lt-LT"/>
        </w:rPr>
        <w:t xml:space="preserve">– </w:t>
      </w:r>
      <w:r w:rsidR="00BB75C0">
        <w:rPr>
          <w:sz w:val="20"/>
          <w:szCs w:val="20"/>
          <w:lang w:val="lt-LT"/>
        </w:rPr>
        <w:t>tikslumas</w:t>
      </w:r>
      <w:r>
        <w:rPr>
          <w:sz w:val="20"/>
          <w:szCs w:val="20"/>
          <w:lang w:val="lt-LT"/>
        </w:rPr>
        <w:t>.</w:t>
      </w:r>
    </w:p>
    <w:p w:rsidR="002831E4" w:rsidRPr="002831E4" w:rsidRDefault="002831E4" w:rsidP="003F5D70">
      <w:pPr>
        <w:pStyle w:val="NormalWeb"/>
        <w:spacing w:before="60" w:beforeAutospacing="0" w:after="0" w:afterAutospacing="0" w:line="360" w:lineRule="auto"/>
        <w:jc w:val="both"/>
        <w:rPr>
          <w:sz w:val="20"/>
          <w:szCs w:val="20"/>
          <w:lang w:val="lt-LT"/>
        </w:rPr>
      </w:pPr>
      <w:r w:rsidRPr="002831E4">
        <w:rPr>
          <w:sz w:val="20"/>
          <w:szCs w:val="20"/>
          <w:lang w:val="lt-LT"/>
        </w:rPr>
        <w:t>Šaltinis:</w:t>
      </w:r>
      <w:r>
        <w:rPr>
          <w:sz w:val="20"/>
          <w:szCs w:val="20"/>
          <w:lang w:val="lt-LT"/>
        </w:rPr>
        <w:t xml:space="preserve"> sudaryta autorės.</w:t>
      </w:r>
    </w:p>
    <w:p w:rsidR="00811E9F" w:rsidRPr="003503E9" w:rsidRDefault="00811E9F" w:rsidP="00811E9F">
      <w:pPr>
        <w:pStyle w:val="NormalWeb"/>
        <w:spacing w:before="0" w:beforeAutospacing="0" w:after="0" w:afterAutospacing="0" w:line="360" w:lineRule="auto"/>
        <w:ind w:firstLine="720"/>
        <w:jc w:val="both"/>
        <w:rPr>
          <w:sz w:val="26"/>
          <w:szCs w:val="26"/>
          <w:lang w:val="lt-LT"/>
        </w:rPr>
      </w:pPr>
      <w:r>
        <w:rPr>
          <w:sz w:val="26"/>
          <w:szCs w:val="26"/>
          <w:lang w:val="lt-LT"/>
        </w:rPr>
        <w:lastRenderedPageBreak/>
        <w:t>Kadangi finansinių ataskaitų elemento ir/ar jo tvirtinimo įgimtos ir kontrolės rizikų įvertinimai yra svarbūs tolesniam audito rizikos vertinimui, tai jų rezultatai su</w:t>
      </w:r>
      <w:r w:rsidRPr="00FA1D98">
        <w:rPr>
          <w:sz w:val="26"/>
          <w:szCs w:val="26"/>
          <w:lang w:val="lt-LT"/>
        </w:rPr>
        <w:t>sisteminti 2</w:t>
      </w:r>
      <w:r w:rsidR="00FA1D98" w:rsidRPr="00FA1D98">
        <w:rPr>
          <w:sz w:val="26"/>
          <w:szCs w:val="26"/>
          <w:lang w:val="lt-LT"/>
        </w:rPr>
        <w:t>9</w:t>
      </w:r>
      <w:r w:rsidRPr="00FA1D98">
        <w:rPr>
          <w:sz w:val="26"/>
          <w:szCs w:val="26"/>
          <w:lang w:val="lt-LT"/>
        </w:rPr>
        <w:t xml:space="preserve"> lentelėje. </w:t>
      </w:r>
      <w:r w:rsidR="00775991" w:rsidRPr="00FA1D98">
        <w:rPr>
          <w:sz w:val="26"/>
          <w:szCs w:val="26"/>
          <w:lang w:val="lt-LT"/>
        </w:rPr>
        <w:t>Š</w:t>
      </w:r>
      <w:r w:rsidRPr="00FA1D98">
        <w:rPr>
          <w:sz w:val="26"/>
          <w:szCs w:val="26"/>
          <w:lang w:val="lt-LT"/>
        </w:rPr>
        <w:t>io</w:t>
      </w:r>
      <w:r>
        <w:rPr>
          <w:sz w:val="26"/>
          <w:szCs w:val="26"/>
          <w:lang w:val="lt-LT"/>
        </w:rPr>
        <w:t xml:space="preserve">je </w:t>
      </w:r>
      <w:r w:rsidR="00775991">
        <w:rPr>
          <w:sz w:val="26"/>
          <w:szCs w:val="26"/>
          <w:lang w:val="lt-LT"/>
        </w:rPr>
        <w:t xml:space="preserve">lentelėje, </w:t>
      </w:r>
      <w:r w:rsidR="006B73C3">
        <w:rPr>
          <w:sz w:val="26"/>
          <w:szCs w:val="26"/>
          <w:lang w:val="lt-LT"/>
        </w:rPr>
        <w:t>pripažįstant</w:t>
      </w:r>
      <w:r w:rsidR="00775991">
        <w:rPr>
          <w:sz w:val="26"/>
          <w:szCs w:val="26"/>
          <w:lang w:val="lt-LT"/>
        </w:rPr>
        <w:t xml:space="preserve"> ryšius tarp šių dviejų komponentų, atliktas </w:t>
      </w:r>
      <w:r w:rsidRPr="003503E9">
        <w:rPr>
          <w:sz w:val="26"/>
          <w:szCs w:val="26"/>
          <w:lang w:val="lt-LT"/>
        </w:rPr>
        <w:t xml:space="preserve">bendrasis jų vertinimas (remiantis </w:t>
      </w:r>
      <w:r w:rsidR="00775991">
        <w:rPr>
          <w:sz w:val="26"/>
          <w:szCs w:val="26"/>
          <w:lang w:val="lt-LT"/>
        </w:rPr>
        <w:t>darbo autorės sud</w:t>
      </w:r>
      <w:r w:rsidR="00775991" w:rsidRPr="00CE414B">
        <w:rPr>
          <w:sz w:val="26"/>
          <w:szCs w:val="26"/>
          <w:lang w:val="lt-LT"/>
        </w:rPr>
        <w:t xml:space="preserve">aryta </w:t>
      </w:r>
      <w:r w:rsidRPr="00CE414B">
        <w:rPr>
          <w:sz w:val="26"/>
          <w:szCs w:val="26"/>
          <w:lang w:val="lt-LT"/>
        </w:rPr>
        <w:t>20 pav. A</w:t>
      </w:r>
      <w:r w:rsidR="00775991" w:rsidRPr="00CE414B">
        <w:rPr>
          <w:sz w:val="26"/>
          <w:szCs w:val="26"/>
          <w:lang w:val="lt-LT"/>
        </w:rPr>
        <w:t>ud</w:t>
      </w:r>
      <w:r w:rsidR="00775991">
        <w:rPr>
          <w:sz w:val="26"/>
          <w:szCs w:val="26"/>
          <w:lang w:val="lt-LT"/>
        </w:rPr>
        <w:t xml:space="preserve">ito rizikos vertinimo schema), kad būtų galima nustatyti </w:t>
      </w:r>
      <w:r w:rsidRPr="003503E9">
        <w:rPr>
          <w:sz w:val="26"/>
          <w:szCs w:val="26"/>
          <w:lang w:val="lt-LT"/>
        </w:rPr>
        <w:t>reikšmingo iškraipymo rizikos tvirtinimo lygme</w:t>
      </w:r>
      <w:r w:rsidRPr="00CE414B">
        <w:rPr>
          <w:sz w:val="26"/>
          <w:szCs w:val="26"/>
          <w:lang w:val="lt-LT"/>
        </w:rPr>
        <w:t xml:space="preserve">niu </w:t>
      </w:r>
      <w:r w:rsidR="00775991" w:rsidRPr="00CE414B">
        <w:rPr>
          <w:sz w:val="26"/>
          <w:szCs w:val="26"/>
          <w:lang w:val="lt-LT"/>
        </w:rPr>
        <w:t>lygį (5 stulpelis).</w:t>
      </w:r>
      <w:r w:rsidR="00775991">
        <w:rPr>
          <w:sz w:val="26"/>
          <w:szCs w:val="26"/>
          <w:lang w:val="lt-LT"/>
        </w:rPr>
        <w:t xml:space="preserve"> </w:t>
      </w:r>
      <w:r w:rsidR="006B73C3">
        <w:rPr>
          <w:sz w:val="26"/>
          <w:szCs w:val="26"/>
          <w:lang w:val="lt-LT"/>
        </w:rPr>
        <w:t>Po to</w:t>
      </w:r>
      <w:r w:rsidR="00646C44">
        <w:rPr>
          <w:sz w:val="26"/>
          <w:szCs w:val="26"/>
          <w:lang w:val="lt-LT"/>
        </w:rPr>
        <w:t>,</w:t>
      </w:r>
      <w:r w:rsidR="006B73C3">
        <w:rPr>
          <w:sz w:val="26"/>
          <w:szCs w:val="26"/>
          <w:lang w:val="lt-LT"/>
        </w:rPr>
        <w:t xml:space="preserve"> gautas</w:t>
      </w:r>
      <w:r w:rsidR="00646C44">
        <w:rPr>
          <w:sz w:val="26"/>
          <w:szCs w:val="26"/>
          <w:lang w:val="lt-LT"/>
        </w:rPr>
        <w:t>is</w:t>
      </w:r>
      <w:r w:rsidR="006B73C3">
        <w:rPr>
          <w:sz w:val="26"/>
          <w:szCs w:val="26"/>
          <w:lang w:val="lt-LT"/>
        </w:rPr>
        <w:t xml:space="preserve"> </w:t>
      </w:r>
      <w:r>
        <w:rPr>
          <w:sz w:val="26"/>
          <w:szCs w:val="26"/>
          <w:lang w:val="lt-LT"/>
        </w:rPr>
        <w:t>įvertinim</w:t>
      </w:r>
      <w:r w:rsidR="006B73C3">
        <w:rPr>
          <w:sz w:val="26"/>
          <w:szCs w:val="26"/>
          <w:lang w:val="lt-LT"/>
        </w:rPr>
        <w:t>as koreguotas, a</w:t>
      </w:r>
      <w:r w:rsidRPr="003503E9">
        <w:rPr>
          <w:sz w:val="26"/>
          <w:szCs w:val="26"/>
          <w:lang w:val="lt-LT"/>
        </w:rPr>
        <w:t>tsižvelg</w:t>
      </w:r>
      <w:r>
        <w:rPr>
          <w:sz w:val="26"/>
          <w:szCs w:val="26"/>
          <w:lang w:val="lt-LT"/>
        </w:rPr>
        <w:t>ia</w:t>
      </w:r>
      <w:r w:rsidR="006B73C3">
        <w:rPr>
          <w:sz w:val="26"/>
          <w:szCs w:val="26"/>
          <w:lang w:val="lt-LT"/>
        </w:rPr>
        <w:t xml:space="preserve">nt </w:t>
      </w:r>
      <w:r w:rsidRPr="003503E9">
        <w:rPr>
          <w:sz w:val="26"/>
          <w:szCs w:val="26"/>
          <w:lang w:val="lt-LT"/>
        </w:rPr>
        <w:t>į susijusią reikšmingo iškraipymo riziką finansinių ataskaitų lygmeniu</w:t>
      </w:r>
      <w:r w:rsidR="006B73C3">
        <w:rPr>
          <w:sz w:val="26"/>
          <w:szCs w:val="26"/>
          <w:lang w:val="lt-LT"/>
        </w:rPr>
        <w:t xml:space="preserve"> (6 stulpelis)</w:t>
      </w:r>
      <w:r w:rsidRPr="003503E9">
        <w:rPr>
          <w:sz w:val="26"/>
          <w:szCs w:val="26"/>
          <w:lang w:val="lt-LT"/>
        </w:rPr>
        <w:t xml:space="preserve">. </w:t>
      </w:r>
    </w:p>
    <w:p w:rsidR="00197C60" w:rsidRPr="00555009" w:rsidRDefault="00BC3941" w:rsidP="00646C44">
      <w:pPr>
        <w:pStyle w:val="NormalWeb"/>
        <w:spacing w:before="0" w:beforeAutospacing="0" w:after="0" w:afterAutospacing="0" w:line="360" w:lineRule="auto"/>
        <w:ind w:firstLine="720"/>
        <w:jc w:val="both"/>
        <w:rPr>
          <w:sz w:val="26"/>
          <w:szCs w:val="26"/>
          <w:lang w:val="lt-LT"/>
        </w:rPr>
      </w:pPr>
      <w:r w:rsidRPr="00555009">
        <w:rPr>
          <w:sz w:val="26"/>
          <w:szCs w:val="26"/>
          <w:lang w:val="lt-LT"/>
        </w:rPr>
        <w:t>Pagrindžia</w:t>
      </w:r>
      <w:r w:rsidRPr="00FA1D98">
        <w:rPr>
          <w:sz w:val="26"/>
          <w:szCs w:val="26"/>
          <w:lang w:val="lt-LT"/>
        </w:rPr>
        <w:t xml:space="preserve">nt </w:t>
      </w:r>
      <w:r w:rsidR="00621EA7" w:rsidRPr="00FA1D98">
        <w:rPr>
          <w:sz w:val="26"/>
          <w:szCs w:val="26"/>
          <w:lang w:val="lt-LT"/>
        </w:rPr>
        <w:t xml:space="preserve">23 priede bei </w:t>
      </w:r>
      <w:r w:rsidRPr="00FA1D98">
        <w:rPr>
          <w:sz w:val="26"/>
          <w:szCs w:val="26"/>
          <w:lang w:val="lt-LT"/>
        </w:rPr>
        <w:t>2</w:t>
      </w:r>
      <w:r w:rsidR="00FA1D98" w:rsidRPr="00FA1D98">
        <w:rPr>
          <w:sz w:val="26"/>
          <w:szCs w:val="26"/>
          <w:lang w:val="lt-LT"/>
        </w:rPr>
        <w:t>9</w:t>
      </w:r>
      <w:r w:rsidR="00E75837" w:rsidRPr="00FA1D98">
        <w:rPr>
          <w:sz w:val="26"/>
          <w:szCs w:val="26"/>
          <w:lang w:val="lt-LT"/>
        </w:rPr>
        <w:t xml:space="preserve"> lentelėje </w:t>
      </w:r>
      <w:r w:rsidR="00646C44" w:rsidRPr="00FA1D98">
        <w:rPr>
          <w:sz w:val="26"/>
          <w:szCs w:val="26"/>
          <w:lang w:val="lt-LT"/>
        </w:rPr>
        <w:t>atliktą</w:t>
      </w:r>
      <w:r w:rsidR="00E75837" w:rsidRPr="00FA1D98">
        <w:rPr>
          <w:sz w:val="26"/>
          <w:szCs w:val="26"/>
          <w:lang w:val="lt-LT"/>
        </w:rPr>
        <w:t xml:space="preserve"> r</w:t>
      </w:r>
      <w:r w:rsidR="004C6747" w:rsidRPr="00FA1D98">
        <w:rPr>
          <w:sz w:val="26"/>
          <w:szCs w:val="26"/>
          <w:lang w:val="lt-LT"/>
        </w:rPr>
        <w:t>e</w:t>
      </w:r>
      <w:r w:rsidR="004C6747" w:rsidRPr="00555009">
        <w:rPr>
          <w:sz w:val="26"/>
          <w:szCs w:val="26"/>
          <w:lang w:val="lt-LT"/>
        </w:rPr>
        <w:t>ikšmingo iškraipymo rizik</w:t>
      </w:r>
      <w:r w:rsidR="00E75837" w:rsidRPr="00555009">
        <w:rPr>
          <w:sz w:val="26"/>
          <w:szCs w:val="26"/>
          <w:lang w:val="lt-LT"/>
        </w:rPr>
        <w:t>os kon</w:t>
      </w:r>
      <w:r w:rsidR="00646C44">
        <w:rPr>
          <w:sz w:val="26"/>
          <w:szCs w:val="26"/>
          <w:lang w:val="lt-LT"/>
        </w:rPr>
        <w:t>kretaus tvirtinimo lygmeniu įvertinimą,</w:t>
      </w:r>
      <w:r w:rsidR="00E75837" w:rsidRPr="00555009">
        <w:rPr>
          <w:sz w:val="26"/>
          <w:szCs w:val="26"/>
          <w:lang w:val="lt-LT"/>
        </w:rPr>
        <w:t xml:space="preserve"> galima pastebėti, kad: </w:t>
      </w:r>
    </w:p>
    <w:p w:rsidR="00197C60" w:rsidRPr="00555009" w:rsidRDefault="00E75837"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1) </w:t>
      </w:r>
      <w:r w:rsidRPr="00555009">
        <w:rPr>
          <w:i/>
          <w:sz w:val="26"/>
          <w:szCs w:val="26"/>
          <w:lang w:val="lt-LT"/>
        </w:rPr>
        <w:t>ilgalaikio materialiojo turto</w:t>
      </w:r>
      <w:r w:rsidRPr="00555009">
        <w:rPr>
          <w:sz w:val="26"/>
          <w:szCs w:val="26"/>
          <w:lang w:val="lt-LT"/>
        </w:rPr>
        <w:t xml:space="preserve"> </w:t>
      </w:r>
      <w:r w:rsidRPr="00555009">
        <w:rPr>
          <w:sz w:val="26"/>
          <w:szCs w:val="26"/>
          <w:u w:val="single"/>
          <w:lang w:val="lt-LT"/>
        </w:rPr>
        <w:t>buvimo tvirtinimui</w:t>
      </w:r>
      <w:r w:rsidRPr="00555009">
        <w:rPr>
          <w:sz w:val="26"/>
          <w:szCs w:val="26"/>
          <w:lang w:val="lt-LT"/>
        </w:rPr>
        <w:t xml:space="preserve"> būdinga maža įgimta </w:t>
      </w:r>
      <w:r w:rsidR="00A23E27" w:rsidRPr="00555009">
        <w:rPr>
          <w:sz w:val="26"/>
          <w:szCs w:val="26"/>
          <w:lang w:val="lt-LT"/>
        </w:rPr>
        <w:t xml:space="preserve">ir kontrolės rizikos. </w:t>
      </w:r>
      <w:r w:rsidR="00A073FE" w:rsidRPr="00555009">
        <w:rPr>
          <w:sz w:val="26"/>
          <w:szCs w:val="26"/>
          <w:lang w:val="lt-LT"/>
        </w:rPr>
        <w:t>UAB „Šiluma“</w:t>
      </w:r>
      <w:r w:rsidR="00A23E27" w:rsidRPr="00555009">
        <w:rPr>
          <w:sz w:val="26"/>
          <w:szCs w:val="26"/>
          <w:lang w:val="lt-LT"/>
        </w:rPr>
        <w:t xml:space="preserve"> ilgalaikis materialusis turtas yra specifinės paskirties ir tik nedidelė jo dalis gali būti nesunkiai realizuota</w:t>
      </w:r>
      <w:r w:rsidR="00646C44">
        <w:rPr>
          <w:sz w:val="26"/>
          <w:szCs w:val="26"/>
          <w:lang w:val="lt-LT"/>
        </w:rPr>
        <w:t xml:space="preserve">; </w:t>
      </w:r>
      <w:r w:rsidR="00A23E27" w:rsidRPr="00555009">
        <w:rPr>
          <w:sz w:val="26"/>
          <w:szCs w:val="26"/>
          <w:lang w:val="lt-LT"/>
        </w:rPr>
        <w:t>be to,</w:t>
      </w:r>
      <w:r w:rsidRPr="00555009">
        <w:rPr>
          <w:sz w:val="26"/>
          <w:szCs w:val="26"/>
          <w:lang w:val="lt-LT"/>
        </w:rPr>
        <w:t xml:space="preserve"> šio turto apsaugai yra taikomos tinkamos apsaugos priemonės (inventorizacija, materialiai ats</w:t>
      </w:r>
      <w:r w:rsidR="004C4A76" w:rsidRPr="00555009">
        <w:rPr>
          <w:sz w:val="26"/>
          <w:szCs w:val="26"/>
          <w:lang w:val="lt-LT"/>
        </w:rPr>
        <w:t>a</w:t>
      </w:r>
      <w:r w:rsidRPr="00555009">
        <w:rPr>
          <w:sz w:val="26"/>
          <w:szCs w:val="26"/>
          <w:lang w:val="lt-LT"/>
        </w:rPr>
        <w:t xml:space="preserve">kingų asmenų atsakomybė), o patį </w:t>
      </w:r>
      <w:r w:rsidR="00313DD6" w:rsidRPr="00555009">
        <w:rPr>
          <w:sz w:val="26"/>
          <w:szCs w:val="26"/>
          <w:lang w:val="lt-LT"/>
        </w:rPr>
        <w:t>šio turto įsigijimą</w:t>
      </w:r>
      <w:r w:rsidRPr="00555009">
        <w:rPr>
          <w:sz w:val="26"/>
          <w:szCs w:val="26"/>
          <w:lang w:val="lt-LT"/>
        </w:rPr>
        <w:t xml:space="preserve"> </w:t>
      </w:r>
      <w:r w:rsidR="00313DD6" w:rsidRPr="00555009">
        <w:rPr>
          <w:sz w:val="26"/>
          <w:szCs w:val="26"/>
          <w:lang w:val="lt-LT"/>
        </w:rPr>
        <w:t xml:space="preserve">(pirkimų procesas) </w:t>
      </w:r>
      <w:r w:rsidRPr="00555009">
        <w:rPr>
          <w:sz w:val="26"/>
          <w:szCs w:val="26"/>
          <w:lang w:val="lt-LT"/>
        </w:rPr>
        <w:t>kontroliuoja įmonės pirkimų tarnyba ir investicijų valdymo skyrius</w:t>
      </w:r>
      <w:r w:rsidR="00890B3D" w:rsidRPr="00555009">
        <w:rPr>
          <w:sz w:val="26"/>
          <w:szCs w:val="26"/>
          <w:lang w:val="lt-LT"/>
        </w:rPr>
        <w:t>. Atsižvelgiant į tai</w:t>
      </w:r>
      <w:r w:rsidR="00646C44">
        <w:rPr>
          <w:sz w:val="26"/>
          <w:szCs w:val="26"/>
          <w:lang w:val="lt-LT"/>
        </w:rPr>
        <w:t>,</w:t>
      </w:r>
      <w:r w:rsidR="00890B3D" w:rsidRPr="00555009">
        <w:rPr>
          <w:sz w:val="26"/>
          <w:szCs w:val="26"/>
          <w:lang w:val="lt-LT"/>
        </w:rPr>
        <w:t xml:space="preserve"> reikšmingo iškraipymo rizika yra maža rizika</w:t>
      </w:r>
      <w:r w:rsidRPr="00555009">
        <w:rPr>
          <w:sz w:val="26"/>
          <w:szCs w:val="26"/>
          <w:lang w:val="lt-LT"/>
        </w:rPr>
        <w:t xml:space="preserve">; </w:t>
      </w:r>
    </w:p>
    <w:p w:rsidR="00197C60" w:rsidRPr="00555009" w:rsidRDefault="00E75837"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2) </w:t>
      </w:r>
      <w:r w:rsidRPr="00555009">
        <w:rPr>
          <w:i/>
          <w:sz w:val="26"/>
          <w:szCs w:val="26"/>
          <w:lang w:val="lt-LT"/>
        </w:rPr>
        <w:t xml:space="preserve">ilgalaikio materialiojo turto </w:t>
      </w:r>
      <w:r w:rsidR="00A23E27" w:rsidRPr="00555009">
        <w:rPr>
          <w:sz w:val="26"/>
          <w:szCs w:val="26"/>
          <w:u w:val="single"/>
          <w:lang w:val="lt-LT"/>
        </w:rPr>
        <w:t>įv</w:t>
      </w:r>
      <w:r w:rsidRPr="00555009">
        <w:rPr>
          <w:sz w:val="26"/>
          <w:szCs w:val="26"/>
          <w:u w:val="single"/>
          <w:lang w:val="lt-LT"/>
        </w:rPr>
        <w:t>erti</w:t>
      </w:r>
      <w:r w:rsidR="000138EE" w:rsidRPr="00555009">
        <w:rPr>
          <w:sz w:val="26"/>
          <w:szCs w:val="26"/>
          <w:u w:val="single"/>
          <w:lang w:val="lt-LT"/>
        </w:rPr>
        <w:t>ni</w:t>
      </w:r>
      <w:r w:rsidRPr="00555009">
        <w:rPr>
          <w:sz w:val="26"/>
          <w:szCs w:val="26"/>
          <w:u w:val="single"/>
          <w:lang w:val="lt-LT"/>
        </w:rPr>
        <w:t>m</w:t>
      </w:r>
      <w:r w:rsidR="00C51D54" w:rsidRPr="00555009">
        <w:rPr>
          <w:sz w:val="26"/>
          <w:szCs w:val="26"/>
          <w:u w:val="single"/>
          <w:lang w:val="lt-LT"/>
        </w:rPr>
        <w:t>o tvirtinimui</w:t>
      </w:r>
      <w:r w:rsidRPr="00555009">
        <w:rPr>
          <w:sz w:val="26"/>
          <w:szCs w:val="26"/>
          <w:lang w:val="lt-LT"/>
        </w:rPr>
        <w:t xml:space="preserve"> būdinga vidutinė įgimta ir kontrolės rizik</w:t>
      </w:r>
      <w:r w:rsidR="00A23E27" w:rsidRPr="00555009">
        <w:rPr>
          <w:sz w:val="26"/>
          <w:szCs w:val="26"/>
          <w:lang w:val="lt-LT"/>
        </w:rPr>
        <w:t>os</w:t>
      </w:r>
      <w:r w:rsidRPr="00555009">
        <w:rPr>
          <w:sz w:val="26"/>
          <w:szCs w:val="26"/>
          <w:lang w:val="lt-LT"/>
        </w:rPr>
        <w:t>,</w:t>
      </w:r>
      <w:r w:rsidR="000A534F" w:rsidRPr="00555009">
        <w:rPr>
          <w:sz w:val="26"/>
          <w:szCs w:val="26"/>
          <w:lang w:val="lt-LT"/>
        </w:rPr>
        <w:t xml:space="preserve"> kurios lemia vidutinę reikšmingo iškraipymo riziką. Tai paaiškinama, tuo, kad visa</w:t>
      </w:r>
      <w:r w:rsidRPr="00555009">
        <w:rPr>
          <w:sz w:val="26"/>
          <w:szCs w:val="26"/>
          <w:lang w:val="lt-LT"/>
        </w:rPr>
        <w:t xml:space="preserve"> </w:t>
      </w:r>
      <w:r w:rsidR="00907F3D" w:rsidRPr="00555009">
        <w:rPr>
          <w:sz w:val="26"/>
          <w:szCs w:val="26"/>
          <w:lang w:val="lt-LT"/>
        </w:rPr>
        <w:t>tai</w:t>
      </w:r>
      <w:r w:rsidR="00EC7432" w:rsidRPr="00555009">
        <w:rPr>
          <w:sz w:val="26"/>
          <w:szCs w:val="26"/>
          <w:lang w:val="lt-LT"/>
        </w:rPr>
        <w:t xml:space="preserve"> susij</w:t>
      </w:r>
      <w:r w:rsidR="00907F3D" w:rsidRPr="00555009">
        <w:rPr>
          <w:sz w:val="26"/>
          <w:szCs w:val="26"/>
          <w:lang w:val="lt-LT"/>
        </w:rPr>
        <w:t>ę</w:t>
      </w:r>
      <w:r w:rsidR="00EC7432" w:rsidRPr="00555009">
        <w:rPr>
          <w:sz w:val="26"/>
          <w:szCs w:val="26"/>
          <w:lang w:val="lt-LT"/>
        </w:rPr>
        <w:t xml:space="preserve"> su apskaitiniais įver</w:t>
      </w:r>
      <w:r w:rsidR="00B7691E" w:rsidRPr="00555009">
        <w:rPr>
          <w:sz w:val="26"/>
          <w:szCs w:val="26"/>
          <w:lang w:val="lt-LT"/>
        </w:rPr>
        <w:t>čiai</w:t>
      </w:r>
      <w:r w:rsidR="00EC7432" w:rsidRPr="00555009">
        <w:rPr>
          <w:sz w:val="26"/>
          <w:szCs w:val="26"/>
          <w:lang w:val="lt-LT"/>
        </w:rPr>
        <w:t>s (optimalaus naudingo tarnavimo laikotarpio parinkimu, minimalios įsigijimo (pasigaminimo) savikainos ir likvidacinės vertės nustatymu, turto vertės sumažėjimo įvertinimu ir pan.), kuriuos gali paveikti apskaitos darbuotojų ir vadovybės priimami sprendimai</w:t>
      </w:r>
      <w:r w:rsidR="000A534F" w:rsidRPr="00555009">
        <w:rPr>
          <w:sz w:val="26"/>
          <w:szCs w:val="26"/>
          <w:lang w:val="lt-LT"/>
        </w:rPr>
        <w:t xml:space="preserve"> ir atitinkamų kontrolės procedūrų nebuvimas</w:t>
      </w:r>
      <w:r w:rsidR="00C903A7" w:rsidRPr="00555009">
        <w:rPr>
          <w:sz w:val="26"/>
          <w:szCs w:val="26"/>
          <w:lang w:val="lt-LT"/>
        </w:rPr>
        <w:t xml:space="preserve">, nepaisant to, kad ilgalaikio turto </w:t>
      </w:r>
      <w:r w:rsidR="00EC7432" w:rsidRPr="00555009">
        <w:rPr>
          <w:sz w:val="26"/>
          <w:szCs w:val="26"/>
          <w:lang w:val="lt-LT"/>
        </w:rPr>
        <w:t xml:space="preserve">apskaita yra kompiuterizuota ir </w:t>
      </w:r>
      <w:r w:rsidR="00621EA7">
        <w:rPr>
          <w:sz w:val="26"/>
          <w:szCs w:val="26"/>
          <w:lang w:val="lt-LT"/>
        </w:rPr>
        <w:t xml:space="preserve">jo </w:t>
      </w:r>
      <w:r w:rsidR="00EC7432" w:rsidRPr="00555009">
        <w:rPr>
          <w:sz w:val="26"/>
          <w:szCs w:val="26"/>
          <w:lang w:val="lt-LT"/>
        </w:rPr>
        <w:t>nusidėvėjim</w:t>
      </w:r>
      <w:r w:rsidR="000138EE" w:rsidRPr="00555009">
        <w:rPr>
          <w:sz w:val="26"/>
          <w:szCs w:val="26"/>
          <w:lang w:val="lt-LT"/>
        </w:rPr>
        <w:t>as</w:t>
      </w:r>
      <w:r w:rsidR="00EC7432" w:rsidRPr="00555009">
        <w:rPr>
          <w:sz w:val="26"/>
          <w:szCs w:val="26"/>
          <w:lang w:val="lt-LT"/>
        </w:rPr>
        <w:t xml:space="preserve"> skai</w:t>
      </w:r>
      <w:r w:rsidR="000138EE" w:rsidRPr="00555009">
        <w:rPr>
          <w:sz w:val="26"/>
          <w:szCs w:val="26"/>
          <w:lang w:val="lt-LT"/>
        </w:rPr>
        <w:t xml:space="preserve">čiuojamas </w:t>
      </w:r>
      <w:r w:rsidR="00EC7432" w:rsidRPr="00555009">
        <w:rPr>
          <w:sz w:val="26"/>
          <w:szCs w:val="26"/>
          <w:lang w:val="lt-LT"/>
        </w:rPr>
        <w:t>automatiškai</w:t>
      </w:r>
      <w:r w:rsidR="00C51D54" w:rsidRPr="00555009">
        <w:rPr>
          <w:sz w:val="26"/>
          <w:szCs w:val="26"/>
          <w:lang w:val="lt-LT"/>
        </w:rPr>
        <w:t xml:space="preserve">; </w:t>
      </w:r>
    </w:p>
    <w:p w:rsidR="004C4A76" w:rsidRPr="00555009" w:rsidRDefault="00C51D54"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3) </w:t>
      </w:r>
      <w:r w:rsidRPr="00555009">
        <w:rPr>
          <w:i/>
          <w:sz w:val="26"/>
          <w:szCs w:val="26"/>
          <w:lang w:val="lt-LT"/>
        </w:rPr>
        <w:t>atidėtojo mokesčio turto</w:t>
      </w:r>
      <w:r w:rsidRPr="00555009">
        <w:rPr>
          <w:sz w:val="26"/>
          <w:szCs w:val="26"/>
          <w:lang w:val="lt-LT"/>
        </w:rPr>
        <w:t xml:space="preserve"> apskaičiavim</w:t>
      </w:r>
      <w:r w:rsidR="004C4A76" w:rsidRPr="00555009">
        <w:rPr>
          <w:sz w:val="26"/>
          <w:szCs w:val="26"/>
          <w:lang w:val="lt-LT"/>
        </w:rPr>
        <w:t>as</w:t>
      </w:r>
      <w:r w:rsidRPr="00555009">
        <w:rPr>
          <w:sz w:val="26"/>
          <w:szCs w:val="26"/>
          <w:lang w:val="lt-LT"/>
        </w:rPr>
        <w:t xml:space="preserve"> (</w:t>
      </w:r>
      <w:r w:rsidR="00890B3D" w:rsidRPr="00555009">
        <w:rPr>
          <w:sz w:val="26"/>
          <w:szCs w:val="26"/>
          <w:lang w:val="lt-LT"/>
        </w:rPr>
        <w:t>į</w:t>
      </w:r>
      <w:r w:rsidRPr="00555009">
        <w:rPr>
          <w:sz w:val="26"/>
          <w:szCs w:val="26"/>
          <w:u w:val="single"/>
          <w:lang w:val="lt-LT"/>
        </w:rPr>
        <w:t>vertinimo tvirtinimas</w:t>
      </w:r>
      <w:r w:rsidRPr="00555009">
        <w:rPr>
          <w:sz w:val="26"/>
          <w:szCs w:val="26"/>
          <w:lang w:val="lt-LT"/>
        </w:rPr>
        <w:t xml:space="preserve">) </w:t>
      </w:r>
      <w:r w:rsidR="004C4A76" w:rsidRPr="00555009">
        <w:rPr>
          <w:sz w:val="26"/>
          <w:szCs w:val="26"/>
          <w:lang w:val="lt-LT"/>
        </w:rPr>
        <w:t xml:space="preserve">susijęs su </w:t>
      </w:r>
      <w:r w:rsidRPr="00555009">
        <w:rPr>
          <w:sz w:val="26"/>
          <w:szCs w:val="26"/>
          <w:lang w:val="lt-LT"/>
        </w:rPr>
        <w:t>didel</w:t>
      </w:r>
      <w:r w:rsidR="004C4A76" w:rsidRPr="00555009">
        <w:rPr>
          <w:sz w:val="26"/>
          <w:szCs w:val="26"/>
          <w:lang w:val="lt-LT"/>
        </w:rPr>
        <w:t>e</w:t>
      </w:r>
      <w:r w:rsidRPr="00555009">
        <w:rPr>
          <w:sz w:val="26"/>
          <w:szCs w:val="26"/>
          <w:lang w:val="lt-LT"/>
        </w:rPr>
        <w:t xml:space="preserve"> įgimta ir kontrolės rizika, nes ta</w:t>
      </w:r>
      <w:r w:rsidR="00BB26EB" w:rsidRPr="00555009">
        <w:rPr>
          <w:sz w:val="26"/>
          <w:szCs w:val="26"/>
          <w:lang w:val="lt-LT"/>
        </w:rPr>
        <w:t>i yra apskaitinis įvertis, kuris daromas, atsižvelgiant į įmonės galimybę ateityje uždirbti pelną</w:t>
      </w:r>
      <w:r w:rsidR="004C4A76" w:rsidRPr="00555009">
        <w:rPr>
          <w:sz w:val="26"/>
          <w:szCs w:val="26"/>
          <w:lang w:val="lt-LT"/>
        </w:rPr>
        <w:t xml:space="preserve">, </w:t>
      </w:r>
      <w:r w:rsidR="00BB26EB" w:rsidRPr="00555009">
        <w:rPr>
          <w:sz w:val="26"/>
          <w:szCs w:val="26"/>
          <w:lang w:val="lt-LT"/>
        </w:rPr>
        <w:t>kuo auditorius negali būti visiškai tikras, neįvertinęs visų galimų aplinkybių</w:t>
      </w:r>
      <w:r w:rsidR="000A534F" w:rsidRPr="00555009">
        <w:rPr>
          <w:sz w:val="26"/>
          <w:szCs w:val="26"/>
          <w:lang w:val="lt-LT"/>
        </w:rPr>
        <w:t>. Todėl reikšmingo iškraipymo rizika šio tvirtinimo lygmeniu yra didelė rizika</w:t>
      </w:r>
      <w:r w:rsidR="00BB26EB" w:rsidRPr="00555009">
        <w:rPr>
          <w:sz w:val="26"/>
          <w:szCs w:val="26"/>
          <w:lang w:val="lt-LT"/>
        </w:rPr>
        <w:t xml:space="preserve">; </w:t>
      </w:r>
    </w:p>
    <w:p w:rsidR="004C4A76" w:rsidRPr="00555009" w:rsidRDefault="00BB26EB"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lastRenderedPageBreak/>
        <w:t xml:space="preserve">4) </w:t>
      </w:r>
      <w:r w:rsidRPr="00555009">
        <w:rPr>
          <w:i/>
          <w:sz w:val="26"/>
          <w:szCs w:val="26"/>
          <w:lang w:val="lt-LT"/>
        </w:rPr>
        <w:t>žaliavų ir komplektavimo gaminių</w:t>
      </w:r>
      <w:r w:rsidRPr="00555009">
        <w:rPr>
          <w:sz w:val="26"/>
          <w:szCs w:val="26"/>
          <w:lang w:val="lt-LT"/>
        </w:rPr>
        <w:t xml:space="preserve"> </w:t>
      </w:r>
      <w:r w:rsidRPr="00555009">
        <w:rPr>
          <w:sz w:val="26"/>
          <w:szCs w:val="26"/>
          <w:u w:val="single"/>
          <w:lang w:val="lt-LT"/>
        </w:rPr>
        <w:t>buvimo tvirtinimo lygmeniu</w:t>
      </w:r>
      <w:r w:rsidRPr="00555009">
        <w:rPr>
          <w:sz w:val="26"/>
          <w:szCs w:val="26"/>
          <w:lang w:val="lt-LT"/>
        </w:rPr>
        <w:t xml:space="preserve"> egzistuoja vidutinė įgimta rizika (darbuotojai gali būti suinteresuoti neteisėtai pasisavinti kai kurias </w:t>
      </w:r>
      <w:r w:rsidR="00E801A8">
        <w:rPr>
          <w:sz w:val="26"/>
          <w:szCs w:val="26"/>
          <w:lang w:val="lt-LT"/>
        </w:rPr>
        <w:t xml:space="preserve">įmonės </w:t>
      </w:r>
      <w:r w:rsidRPr="00555009">
        <w:rPr>
          <w:sz w:val="26"/>
          <w:szCs w:val="26"/>
          <w:lang w:val="lt-LT"/>
        </w:rPr>
        <w:t>atsargas</w:t>
      </w:r>
      <w:r w:rsidR="006F626C" w:rsidRPr="00555009">
        <w:rPr>
          <w:sz w:val="26"/>
          <w:szCs w:val="26"/>
          <w:lang w:val="lt-LT"/>
        </w:rPr>
        <w:t xml:space="preserve"> ir panaudoti jas savo asmeniniais tikslais) ir maža kontrolės rizika (UAB</w:t>
      </w:r>
      <w:r w:rsidRPr="00555009">
        <w:rPr>
          <w:sz w:val="26"/>
          <w:szCs w:val="26"/>
          <w:lang w:val="lt-LT"/>
        </w:rPr>
        <w:t xml:space="preserve"> </w:t>
      </w:r>
      <w:r w:rsidR="006F626C" w:rsidRPr="00555009">
        <w:rPr>
          <w:sz w:val="26"/>
          <w:szCs w:val="26"/>
          <w:lang w:val="lt-LT"/>
        </w:rPr>
        <w:t>„Šiluma“ yra įdiegusi kontrol</w:t>
      </w:r>
      <w:r w:rsidR="008D120E" w:rsidRPr="00555009">
        <w:rPr>
          <w:sz w:val="26"/>
          <w:szCs w:val="26"/>
          <w:lang w:val="lt-LT"/>
        </w:rPr>
        <w:t>ė</w:t>
      </w:r>
      <w:r w:rsidR="006F626C" w:rsidRPr="00555009">
        <w:rPr>
          <w:sz w:val="26"/>
          <w:szCs w:val="26"/>
          <w:lang w:val="lt-LT"/>
        </w:rPr>
        <w:t xml:space="preserve">s </w:t>
      </w:r>
      <w:r w:rsidR="008D120E" w:rsidRPr="00555009">
        <w:rPr>
          <w:sz w:val="26"/>
          <w:szCs w:val="26"/>
          <w:lang w:val="lt-LT"/>
        </w:rPr>
        <w:t xml:space="preserve">procedūras </w:t>
      </w:r>
      <w:r w:rsidR="006F626C" w:rsidRPr="00555009">
        <w:rPr>
          <w:sz w:val="26"/>
          <w:szCs w:val="26"/>
          <w:lang w:val="lt-LT"/>
        </w:rPr>
        <w:t xml:space="preserve">– metinė atsargų inventorizacija, </w:t>
      </w:r>
      <w:r w:rsidR="001D2753" w:rsidRPr="00555009">
        <w:rPr>
          <w:sz w:val="26"/>
          <w:szCs w:val="26"/>
          <w:lang w:val="lt-LT"/>
        </w:rPr>
        <w:t xml:space="preserve">asmenims, atsakingiems už atsargų saugojimą, neleidžiama daryti įrašų </w:t>
      </w:r>
      <w:r w:rsidR="00505DEB" w:rsidRPr="00555009">
        <w:rPr>
          <w:sz w:val="26"/>
          <w:szCs w:val="26"/>
          <w:lang w:val="lt-LT"/>
        </w:rPr>
        <w:t>a</w:t>
      </w:r>
      <w:r w:rsidR="001D2753" w:rsidRPr="00555009">
        <w:rPr>
          <w:sz w:val="26"/>
          <w:szCs w:val="26"/>
          <w:lang w:val="lt-LT"/>
        </w:rPr>
        <w:t>pskaitos programoje</w:t>
      </w:r>
      <w:r w:rsidR="006F626C" w:rsidRPr="00555009">
        <w:rPr>
          <w:sz w:val="26"/>
          <w:szCs w:val="26"/>
          <w:lang w:val="lt-LT"/>
        </w:rPr>
        <w:t xml:space="preserve">, pirkimų apskaitos kontrolė ir pan., kurių </w:t>
      </w:r>
      <w:r w:rsidR="00505DEB" w:rsidRPr="00555009">
        <w:rPr>
          <w:sz w:val="26"/>
          <w:szCs w:val="26"/>
          <w:lang w:val="lt-LT"/>
        </w:rPr>
        <w:t>sukūrimo</w:t>
      </w:r>
      <w:r w:rsidR="008D120E" w:rsidRPr="00555009">
        <w:rPr>
          <w:sz w:val="26"/>
          <w:szCs w:val="26"/>
          <w:lang w:val="lt-LT"/>
        </w:rPr>
        <w:t xml:space="preserve"> </w:t>
      </w:r>
      <w:r w:rsidR="006F626C" w:rsidRPr="00555009">
        <w:rPr>
          <w:sz w:val="26"/>
          <w:szCs w:val="26"/>
          <w:lang w:val="lt-LT"/>
        </w:rPr>
        <w:t>ve</w:t>
      </w:r>
      <w:r w:rsidR="00197C60" w:rsidRPr="00555009">
        <w:rPr>
          <w:sz w:val="26"/>
          <w:szCs w:val="26"/>
          <w:lang w:val="lt-LT"/>
        </w:rPr>
        <w:t>iksmingumu</w:t>
      </w:r>
      <w:r w:rsidR="006F626C" w:rsidRPr="00555009">
        <w:rPr>
          <w:sz w:val="26"/>
          <w:szCs w:val="26"/>
          <w:lang w:val="lt-LT"/>
        </w:rPr>
        <w:t xml:space="preserve"> įsitikinta </w:t>
      </w:r>
      <w:r w:rsidR="008D120E" w:rsidRPr="00555009">
        <w:rPr>
          <w:sz w:val="26"/>
          <w:szCs w:val="26"/>
          <w:lang w:val="lt-LT"/>
        </w:rPr>
        <w:t xml:space="preserve">tiriant </w:t>
      </w:r>
      <w:r w:rsidR="006F626C" w:rsidRPr="00555009">
        <w:rPr>
          <w:sz w:val="26"/>
          <w:szCs w:val="26"/>
          <w:lang w:val="lt-LT"/>
        </w:rPr>
        <w:t>pirkimų proces</w:t>
      </w:r>
      <w:r w:rsidR="008D120E" w:rsidRPr="00555009">
        <w:rPr>
          <w:sz w:val="26"/>
          <w:szCs w:val="26"/>
          <w:lang w:val="lt-LT"/>
        </w:rPr>
        <w:t>ą</w:t>
      </w:r>
      <w:r w:rsidR="006F626C" w:rsidRPr="00555009">
        <w:rPr>
          <w:sz w:val="26"/>
          <w:szCs w:val="26"/>
          <w:lang w:val="lt-LT"/>
        </w:rPr>
        <w:t>)</w:t>
      </w:r>
      <w:r w:rsidR="00880B21" w:rsidRPr="00555009">
        <w:rPr>
          <w:sz w:val="26"/>
          <w:szCs w:val="26"/>
          <w:lang w:val="lt-LT"/>
        </w:rPr>
        <w:t>. T</w:t>
      </w:r>
      <w:r w:rsidR="00621EA7">
        <w:rPr>
          <w:sz w:val="26"/>
          <w:szCs w:val="26"/>
          <w:lang w:val="lt-LT"/>
        </w:rPr>
        <w:t>odėl</w:t>
      </w:r>
      <w:r w:rsidR="00880B21" w:rsidRPr="00555009">
        <w:rPr>
          <w:sz w:val="26"/>
          <w:szCs w:val="26"/>
          <w:lang w:val="lt-LT"/>
        </w:rPr>
        <w:t xml:space="preserve"> bendras šių rizikų įvertinimas</w:t>
      </w:r>
      <w:r w:rsidR="00732325" w:rsidRPr="00555009">
        <w:rPr>
          <w:sz w:val="26"/>
          <w:szCs w:val="26"/>
          <w:lang w:val="lt-LT"/>
        </w:rPr>
        <w:t xml:space="preserve"> prilyginamas mažai rizikai</w:t>
      </w:r>
      <w:r w:rsidR="006F626C" w:rsidRPr="00555009">
        <w:rPr>
          <w:sz w:val="26"/>
          <w:szCs w:val="26"/>
          <w:lang w:val="lt-LT"/>
        </w:rPr>
        <w:t xml:space="preserve">; </w:t>
      </w:r>
    </w:p>
    <w:p w:rsidR="004C4A76" w:rsidRPr="00555009" w:rsidRDefault="006F626C"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5) </w:t>
      </w:r>
      <w:r w:rsidRPr="00555009">
        <w:rPr>
          <w:i/>
          <w:sz w:val="26"/>
          <w:szCs w:val="26"/>
          <w:lang w:val="lt-LT"/>
        </w:rPr>
        <w:t>žaliavų ir komplektavimo gaminių</w:t>
      </w:r>
      <w:r w:rsidRPr="00555009">
        <w:rPr>
          <w:sz w:val="26"/>
          <w:szCs w:val="26"/>
          <w:lang w:val="lt-LT"/>
        </w:rPr>
        <w:t xml:space="preserve"> </w:t>
      </w:r>
      <w:r w:rsidR="00A43B38" w:rsidRPr="00555009">
        <w:rPr>
          <w:sz w:val="26"/>
          <w:szCs w:val="26"/>
          <w:u w:val="single"/>
          <w:lang w:val="lt-LT"/>
        </w:rPr>
        <w:t>įv</w:t>
      </w:r>
      <w:r w:rsidRPr="00555009">
        <w:rPr>
          <w:sz w:val="26"/>
          <w:szCs w:val="26"/>
          <w:u w:val="single"/>
          <w:lang w:val="lt-LT"/>
        </w:rPr>
        <w:t>ertinimo tvirtinimas,</w:t>
      </w:r>
      <w:r w:rsidRPr="00555009">
        <w:rPr>
          <w:sz w:val="26"/>
          <w:szCs w:val="26"/>
          <w:lang w:val="lt-LT"/>
        </w:rPr>
        <w:t xml:space="preserve"> susijęs su didele reikšmingo iškraipymo rizika, nes </w:t>
      </w:r>
      <w:r w:rsidR="00197C60" w:rsidRPr="00555009">
        <w:rPr>
          <w:sz w:val="26"/>
          <w:szCs w:val="26"/>
          <w:lang w:val="lt-LT"/>
        </w:rPr>
        <w:t>tinkamas atsargų vertės nustatymas reikalauja, kaip minėta anksčiau, vadovybės priimamų apskaitinių įver</w:t>
      </w:r>
      <w:r w:rsidR="00B7691E" w:rsidRPr="00555009">
        <w:rPr>
          <w:sz w:val="26"/>
          <w:szCs w:val="26"/>
          <w:lang w:val="lt-LT"/>
        </w:rPr>
        <w:t>čių</w:t>
      </w:r>
      <w:r w:rsidR="00197C60" w:rsidRPr="00555009">
        <w:rPr>
          <w:sz w:val="26"/>
          <w:szCs w:val="26"/>
          <w:lang w:val="lt-LT"/>
        </w:rPr>
        <w:t xml:space="preserve"> dėl pasenusių ir lėtai judančių atsargų vertės</w:t>
      </w:r>
      <w:r w:rsidR="00313DD6" w:rsidRPr="00555009">
        <w:rPr>
          <w:sz w:val="26"/>
          <w:szCs w:val="26"/>
          <w:lang w:val="lt-LT"/>
        </w:rPr>
        <w:t xml:space="preserve"> (</w:t>
      </w:r>
      <w:r w:rsidR="004E5C1D" w:rsidRPr="00555009">
        <w:rPr>
          <w:sz w:val="26"/>
          <w:szCs w:val="26"/>
          <w:lang w:val="lt-LT"/>
        </w:rPr>
        <w:t>vidutin</w:t>
      </w:r>
      <w:r w:rsidR="00313DD6" w:rsidRPr="00555009">
        <w:rPr>
          <w:sz w:val="26"/>
          <w:szCs w:val="26"/>
          <w:lang w:val="lt-LT"/>
        </w:rPr>
        <w:t>ė įgimta rizika)</w:t>
      </w:r>
      <w:r w:rsidR="00197C60" w:rsidRPr="00555009">
        <w:rPr>
          <w:sz w:val="26"/>
          <w:szCs w:val="26"/>
          <w:lang w:val="lt-LT"/>
        </w:rPr>
        <w:t xml:space="preserve">, kuriems </w:t>
      </w:r>
      <w:r w:rsidRPr="00555009">
        <w:rPr>
          <w:sz w:val="26"/>
          <w:szCs w:val="26"/>
          <w:lang w:val="lt-LT"/>
        </w:rPr>
        <w:t xml:space="preserve">kontrolės </w:t>
      </w:r>
      <w:r w:rsidR="00197C60" w:rsidRPr="00555009">
        <w:rPr>
          <w:sz w:val="26"/>
          <w:szCs w:val="26"/>
          <w:lang w:val="lt-LT"/>
        </w:rPr>
        <w:t>procedūr</w:t>
      </w:r>
      <w:r w:rsidR="00E801A8">
        <w:rPr>
          <w:sz w:val="26"/>
          <w:szCs w:val="26"/>
          <w:lang w:val="lt-LT"/>
        </w:rPr>
        <w:t>o</w:t>
      </w:r>
      <w:r w:rsidR="00197C60" w:rsidRPr="00555009">
        <w:rPr>
          <w:sz w:val="26"/>
          <w:szCs w:val="26"/>
          <w:lang w:val="lt-LT"/>
        </w:rPr>
        <w:t>s</w:t>
      </w:r>
      <w:r w:rsidR="00E801A8">
        <w:rPr>
          <w:sz w:val="26"/>
          <w:szCs w:val="26"/>
          <w:lang w:val="lt-LT"/>
        </w:rPr>
        <w:t xml:space="preserve"> nėra taikomos</w:t>
      </w:r>
      <w:r w:rsidR="00197C60" w:rsidRPr="00555009">
        <w:rPr>
          <w:sz w:val="26"/>
          <w:szCs w:val="26"/>
          <w:lang w:val="lt-LT"/>
        </w:rPr>
        <w:t xml:space="preserve"> (didelė kontrolės rizika); </w:t>
      </w:r>
    </w:p>
    <w:p w:rsidR="00785E0D" w:rsidRPr="00555009" w:rsidRDefault="004C4A76"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6) </w:t>
      </w:r>
      <w:r w:rsidRPr="00555009">
        <w:rPr>
          <w:i/>
          <w:sz w:val="26"/>
          <w:szCs w:val="26"/>
          <w:lang w:val="lt-LT"/>
        </w:rPr>
        <w:t>pirkėjų įsiskolinimo</w:t>
      </w:r>
      <w:r w:rsidRPr="00555009">
        <w:rPr>
          <w:sz w:val="26"/>
          <w:szCs w:val="26"/>
          <w:lang w:val="lt-LT"/>
        </w:rPr>
        <w:t xml:space="preserve"> </w:t>
      </w:r>
      <w:r w:rsidRPr="00555009">
        <w:rPr>
          <w:sz w:val="26"/>
          <w:szCs w:val="26"/>
          <w:u w:val="single"/>
          <w:lang w:val="lt-LT"/>
        </w:rPr>
        <w:t>buvimo tvirtinim</w:t>
      </w:r>
      <w:r w:rsidR="00EE4164" w:rsidRPr="00555009">
        <w:rPr>
          <w:sz w:val="26"/>
          <w:szCs w:val="26"/>
          <w:u w:val="single"/>
          <w:lang w:val="lt-LT"/>
        </w:rPr>
        <w:t>o lygmeniu</w:t>
      </w:r>
      <w:r w:rsidR="00EE4164" w:rsidRPr="00555009">
        <w:rPr>
          <w:sz w:val="26"/>
          <w:szCs w:val="26"/>
          <w:lang w:val="lt-LT"/>
        </w:rPr>
        <w:t xml:space="preserve"> egzistuoja maža </w:t>
      </w:r>
      <w:r w:rsidR="003E4134" w:rsidRPr="00555009">
        <w:rPr>
          <w:sz w:val="26"/>
          <w:szCs w:val="26"/>
          <w:lang w:val="lt-LT"/>
        </w:rPr>
        <w:t>įgimta rizika ir maža kontrolės rizika</w:t>
      </w:r>
      <w:r w:rsidR="00EE4164" w:rsidRPr="00555009">
        <w:rPr>
          <w:sz w:val="26"/>
          <w:szCs w:val="26"/>
          <w:lang w:val="lt-LT"/>
        </w:rPr>
        <w:t>, nes pardavimų proce</w:t>
      </w:r>
      <w:r w:rsidR="00785E0D" w:rsidRPr="00555009">
        <w:rPr>
          <w:sz w:val="26"/>
          <w:szCs w:val="26"/>
          <w:lang w:val="lt-LT"/>
        </w:rPr>
        <w:t>sas įmonėje yra kontroliuojamas, o pardavimo operacij</w:t>
      </w:r>
      <w:r w:rsidR="008D120E" w:rsidRPr="00555009">
        <w:rPr>
          <w:sz w:val="26"/>
          <w:szCs w:val="26"/>
          <w:lang w:val="lt-LT"/>
        </w:rPr>
        <w:t>os</w:t>
      </w:r>
      <w:r w:rsidR="00785E0D" w:rsidRPr="00555009">
        <w:rPr>
          <w:sz w:val="26"/>
          <w:szCs w:val="26"/>
          <w:lang w:val="lt-LT"/>
        </w:rPr>
        <w:t xml:space="preserve"> </w:t>
      </w:r>
      <w:r w:rsidR="00A43B38" w:rsidRPr="00555009">
        <w:rPr>
          <w:sz w:val="26"/>
          <w:szCs w:val="26"/>
          <w:lang w:val="lt-LT"/>
        </w:rPr>
        <w:t xml:space="preserve">yra įprastos ir </w:t>
      </w:r>
      <w:r w:rsidR="00785E0D" w:rsidRPr="00555009">
        <w:rPr>
          <w:sz w:val="26"/>
          <w:szCs w:val="26"/>
          <w:lang w:val="lt-LT"/>
        </w:rPr>
        <w:t>atliekamos automatiškai iš kompiuterinės sistemos</w:t>
      </w:r>
      <w:r w:rsidR="003E4134" w:rsidRPr="00555009">
        <w:rPr>
          <w:sz w:val="26"/>
          <w:szCs w:val="26"/>
          <w:lang w:val="lt-LT"/>
        </w:rPr>
        <w:t xml:space="preserve">. </w:t>
      </w:r>
      <w:r w:rsidR="004437CD" w:rsidRPr="00555009">
        <w:rPr>
          <w:sz w:val="26"/>
          <w:szCs w:val="26"/>
          <w:lang w:val="lt-LT"/>
        </w:rPr>
        <w:t xml:space="preserve">Todėl, </w:t>
      </w:r>
      <w:r w:rsidR="003E4134" w:rsidRPr="00555009">
        <w:rPr>
          <w:sz w:val="26"/>
          <w:szCs w:val="26"/>
          <w:lang w:val="lt-LT"/>
        </w:rPr>
        <w:t>atsižvelgiant į tai, reikšmingo iškraipymo rizik</w:t>
      </w:r>
      <w:r w:rsidR="004437CD" w:rsidRPr="00555009">
        <w:rPr>
          <w:sz w:val="26"/>
          <w:szCs w:val="26"/>
          <w:lang w:val="lt-LT"/>
        </w:rPr>
        <w:t>a šio tvirtinimo lygmeniu yra maža</w:t>
      </w:r>
      <w:r w:rsidR="003E4134" w:rsidRPr="00555009">
        <w:rPr>
          <w:sz w:val="26"/>
          <w:szCs w:val="26"/>
          <w:lang w:val="lt-LT"/>
        </w:rPr>
        <w:t xml:space="preserve"> rizika</w:t>
      </w:r>
      <w:r w:rsidR="00785E0D" w:rsidRPr="00555009">
        <w:rPr>
          <w:sz w:val="26"/>
          <w:szCs w:val="26"/>
          <w:lang w:val="lt-LT"/>
        </w:rPr>
        <w:t>;</w:t>
      </w:r>
    </w:p>
    <w:p w:rsidR="005753F9" w:rsidRPr="00555009" w:rsidRDefault="00785E0D" w:rsidP="005753F9">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7) </w:t>
      </w:r>
      <w:r w:rsidRPr="00555009">
        <w:rPr>
          <w:i/>
          <w:sz w:val="26"/>
          <w:szCs w:val="26"/>
          <w:lang w:val="lt-LT"/>
        </w:rPr>
        <w:t>pirkėjų įsisko</w:t>
      </w:r>
      <w:r w:rsidR="003E4134" w:rsidRPr="00555009">
        <w:rPr>
          <w:i/>
          <w:sz w:val="26"/>
          <w:szCs w:val="26"/>
          <w:lang w:val="lt-LT"/>
        </w:rPr>
        <w:t>li</w:t>
      </w:r>
      <w:r w:rsidRPr="00555009">
        <w:rPr>
          <w:i/>
          <w:sz w:val="26"/>
          <w:szCs w:val="26"/>
          <w:lang w:val="lt-LT"/>
        </w:rPr>
        <w:t>nimo</w:t>
      </w:r>
      <w:r w:rsidRPr="00555009">
        <w:rPr>
          <w:sz w:val="26"/>
          <w:szCs w:val="26"/>
          <w:lang w:val="lt-LT"/>
        </w:rPr>
        <w:t xml:space="preserve"> </w:t>
      </w:r>
      <w:r w:rsidRPr="00555009">
        <w:rPr>
          <w:sz w:val="26"/>
          <w:szCs w:val="26"/>
          <w:u w:val="single"/>
          <w:lang w:val="lt-LT"/>
        </w:rPr>
        <w:t>įvertinimo tvirtinimui</w:t>
      </w:r>
      <w:r w:rsidRPr="00555009">
        <w:rPr>
          <w:sz w:val="26"/>
          <w:szCs w:val="26"/>
          <w:lang w:val="lt-LT"/>
        </w:rPr>
        <w:t xml:space="preserve"> būdinga </w:t>
      </w:r>
      <w:r w:rsidR="003E4134" w:rsidRPr="00555009">
        <w:rPr>
          <w:sz w:val="26"/>
          <w:szCs w:val="26"/>
          <w:lang w:val="lt-LT"/>
        </w:rPr>
        <w:t xml:space="preserve">didelė </w:t>
      </w:r>
      <w:r w:rsidR="00EE4164" w:rsidRPr="00555009">
        <w:rPr>
          <w:sz w:val="26"/>
          <w:szCs w:val="26"/>
          <w:lang w:val="lt-LT"/>
        </w:rPr>
        <w:t xml:space="preserve">įgimta </w:t>
      </w:r>
      <w:r w:rsidR="003E4134" w:rsidRPr="00555009">
        <w:rPr>
          <w:sz w:val="26"/>
          <w:szCs w:val="26"/>
          <w:lang w:val="lt-LT"/>
        </w:rPr>
        <w:t xml:space="preserve">ir kontrolės </w:t>
      </w:r>
      <w:r w:rsidR="00EE4164" w:rsidRPr="00555009">
        <w:rPr>
          <w:sz w:val="26"/>
          <w:szCs w:val="26"/>
          <w:lang w:val="lt-LT"/>
        </w:rPr>
        <w:t>rizik</w:t>
      </w:r>
      <w:r w:rsidR="003E4134" w:rsidRPr="00555009">
        <w:rPr>
          <w:sz w:val="26"/>
          <w:szCs w:val="26"/>
          <w:lang w:val="lt-LT"/>
        </w:rPr>
        <w:t>os, ne</w:t>
      </w:r>
      <w:r w:rsidR="004C4A76" w:rsidRPr="00555009">
        <w:rPr>
          <w:sz w:val="26"/>
          <w:szCs w:val="26"/>
          <w:lang w:val="lt-LT"/>
        </w:rPr>
        <w:t xml:space="preserve">s </w:t>
      </w:r>
      <w:r w:rsidR="003E4134" w:rsidRPr="00555009">
        <w:rPr>
          <w:sz w:val="26"/>
          <w:szCs w:val="26"/>
          <w:lang w:val="lt-LT"/>
        </w:rPr>
        <w:t xml:space="preserve">vadovybė turi priimti subjektyvius sprendimus dėl abejotinų skolų ir galimo kitų pirkėjų skolų negrąžinimo, o tinkamų kontrolės procedūrų šiuo atžvilgiu nelabai yra </w:t>
      </w:r>
      <w:r w:rsidR="00E801A8">
        <w:rPr>
          <w:sz w:val="26"/>
          <w:szCs w:val="26"/>
          <w:lang w:val="lt-LT"/>
        </w:rPr>
        <w:t>įmanoma</w:t>
      </w:r>
      <w:r w:rsidR="003E4134" w:rsidRPr="00555009">
        <w:rPr>
          <w:sz w:val="26"/>
          <w:szCs w:val="26"/>
          <w:lang w:val="lt-LT"/>
        </w:rPr>
        <w:t xml:space="preserve"> </w:t>
      </w:r>
      <w:r w:rsidR="00E801A8">
        <w:rPr>
          <w:sz w:val="26"/>
          <w:szCs w:val="26"/>
          <w:lang w:val="lt-LT"/>
        </w:rPr>
        <w:t>įdiegti</w:t>
      </w:r>
      <w:r w:rsidR="004437CD" w:rsidRPr="00555009">
        <w:rPr>
          <w:sz w:val="26"/>
          <w:szCs w:val="26"/>
          <w:lang w:val="lt-LT"/>
        </w:rPr>
        <w:t xml:space="preserve">. </w:t>
      </w:r>
      <w:r w:rsidR="005753F9" w:rsidRPr="00555009">
        <w:rPr>
          <w:sz w:val="26"/>
          <w:szCs w:val="26"/>
          <w:lang w:val="lt-LT"/>
        </w:rPr>
        <w:t xml:space="preserve">Todėl reikšmingo iškraipymo rizika dėl pirkėjų įsiskolinimo įvertinimo tvirtinimo yra didelė rizika, net neatsižvelgus į </w:t>
      </w:r>
      <w:r w:rsidR="00801F00" w:rsidRPr="00555009">
        <w:rPr>
          <w:sz w:val="26"/>
          <w:szCs w:val="26"/>
          <w:lang w:val="lt-LT"/>
        </w:rPr>
        <w:t xml:space="preserve">šį tvirtinimą veikiančią </w:t>
      </w:r>
      <w:r w:rsidR="005753F9" w:rsidRPr="00555009">
        <w:rPr>
          <w:sz w:val="26"/>
          <w:szCs w:val="26"/>
          <w:lang w:val="lt-LT"/>
        </w:rPr>
        <w:t>vidutinę verslo riziką</w:t>
      </w:r>
      <w:r w:rsidR="00801F00" w:rsidRPr="00555009">
        <w:rPr>
          <w:sz w:val="26"/>
          <w:szCs w:val="26"/>
          <w:lang w:val="lt-LT"/>
        </w:rPr>
        <w:t xml:space="preserve"> (</w:t>
      </w:r>
      <w:r w:rsidR="00154CDA" w:rsidRPr="00555009">
        <w:rPr>
          <w:sz w:val="26"/>
          <w:szCs w:val="26"/>
          <w:lang w:val="lt-LT"/>
        </w:rPr>
        <w:t>sutrikęs vartotojų atsiskaitymas</w:t>
      </w:r>
      <w:r w:rsidR="00801F00" w:rsidRPr="00555009">
        <w:rPr>
          <w:sz w:val="26"/>
          <w:szCs w:val="26"/>
          <w:lang w:val="lt-LT"/>
        </w:rPr>
        <w:t>)</w:t>
      </w:r>
      <w:r w:rsidR="005753F9" w:rsidRPr="00555009">
        <w:rPr>
          <w:sz w:val="26"/>
          <w:szCs w:val="26"/>
          <w:lang w:val="lt-LT"/>
        </w:rPr>
        <w:t>;</w:t>
      </w:r>
    </w:p>
    <w:p w:rsidR="00D6058A" w:rsidRPr="00555009" w:rsidRDefault="00880B21"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8) </w:t>
      </w:r>
      <w:r w:rsidR="00732325" w:rsidRPr="00555009">
        <w:rPr>
          <w:i/>
          <w:sz w:val="26"/>
          <w:szCs w:val="26"/>
          <w:lang w:val="lt-LT"/>
        </w:rPr>
        <w:t>pinigų ir pinig</w:t>
      </w:r>
      <w:r w:rsidRPr="00555009">
        <w:rPr>
          <w:i/>
          <w:sz w:val="26"/>
          <w:szCs w:val="26"/>
          <w:lang w:val="lt-LT"/>
        </w:rPr>
        <w:t>ų ekvi</w:t>
      </w:r>
      <w:r w:rsidR="00732325" w:rsidRPr="00555009">
        <w:rPr>
          <w:i/>
          <w:sz w:val="26"/>
          <w:szCs w:val="26"/>
          <w:lang w:val="lt-LT"/>
        </w:rPr>
        <w:t>v</w:t>
      </w:r>
      <w:r w:rsidRPr="00555009">
        <w:rPr>
          <w:i/>
          <w:sz w:val="26"/>
          <w:szCs w:val="26"/>
          <w:lang w:val="lt-LT"/>
        </w:rPr>
        <w:t>alentų</w:t>
      </w:r>
      <w:r w:rsidRPr="00555009">
        <w:rPr>
          <w:sz w:val="26"/>
          <w:szCs w:val="26"/>
          <w:lang w:val="lt-LT"/>
        </w:rPr>
        <w:t xml:space="preserve"> </w:t>
      </w:r>
      <w:r w:rsidRPr="00555009">
        <w:rPr>
          <w:sz w:val="26"/>
          <w:szCs w:val="26"/>
          <w:u w:val="single"/>
          <w:lang w:val="lt-LT"/>
        </w:rPr>
        <w:t>buvimo tvirtinim</w:t>
      </w:r>
      <w:r w:rsidR="00732325" w:rsidRPr="00555009">
        <w:rPr>
          <w:sz w:val="26"/>
          <w:szCs w:val="26"/>
          <w:u w:val="single"/>
          <w:lang w:val="lt-LT"/>
        </w:rPr>
        <w:t>as</w:t>
      </w:r>
      <w:r w:rsidR="00732325" w:rsidRPr="00555009">
        <w:rPr>
          <w:sz w:val="26"/>
          <w:szCs w:val="26"/>
          <w:lang w:val="lt-LT"/>
        </w:rPr>
        <w:t xml:space="preserve"> susijęs su vidutine įgimta rizika (darbuotojai, atsakingi už pinigų saugojimą ir ūkinių operacijų atlikimą, ryšium su pinigų likvidumu, gali būti jais suinteresuoti), tačiau dėl įmonės taikomų patikimų kontrolės procedūrų (pareigų atskyrimo, </w:t>
      </w:r>
      <w:r w:rsidR="00D6058A" w:rsidRPr="00555009">
        <w:rPr>
          <w:sz w:val="26"/>
          <w:szCs w:val="26"/>
          <w:lang w:val="lt-LT"/>
        </w:rPr>
        <w:t xml:space="preserve">atliekamų pinigų kasoje netikėtų inventorizacijų </w:t>
      </w:r>
      <w:r w:rsidR="00732325" w:rsidRPr="00555009">
        <w:rPr>
          <w:sz w:val="26"/>
          <w:szCs w:val="26"/>
          <w:lang w:val="lt-LT"/>
        </w:rPr>
        <w:t xml:space="preserve">bei mokėjimo pavedimų tvirtinimo </w:t>
      </w:r>
      <w:r w:rsidR="00732325" w:rsidRPr="00555009">
        <w:rPr>
          <w:sz w:val="26"/>
          <w:szCs w:val="26"/>
          <w:lang w:val="lt-LT"/>
        </w:rPr>
        <w:lastRenderedPageBreak/>
        <w:t xml:space="preserve">procedūrų) </w:t>
      </w:r>
      <w:r w:rsidR="00D6058A" w:rsidRPr="00555009">
        <w:rPr>
          <w:sz w:val="26"/>
          <w:szCs w:val="26"/>
          <w:lang w:val="lt-LT"/>
        </w:rPr>
        <w:t>egzistuoja maža kontrolės rizika; todėl bendras reikšmingo iškraipymo rizikos įvertinimas – maža rizika;</w:t>
      </w:r>
    </w:p>
    <w:p w:rsidR="00E77E7C" w:rsidRPr="00555009" w:rsidRDefault="00D6058A"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9) </w:t>
      </w:r>
      <w:r w:rsidRPr="00555009">
        <w:rPr>
          <w:i/>
          <w:sz w:val="26"/>
          <w:szCs w:val="26"/>
          <w:lang w:val="lt-LT"/>
        </w:rPr>
        <w:t>skol</w:t>
      </w:r>
      <w:r w:rsidR="006104D8" w:rsidRPr="00555009">
        <w:rPr>
          <w:i/>
          <w:sz w:val="26"/>
          <w:szCs w:val="26"/>
          <w:lang w:val="lt-LT"/>
        </w:rPr>
        <w:t>ų</w:t>
      </w:r>
      <w:r w:rsidRPr="00555009">
        <w:rPr>
          <w:i/>
          <w:sz w:val="26"/>
          <w:szCs w:val="26"/>
          <w:lang w:val="lt-LT"/>
        </w:rPr>
        <w:t xml:space="preserve"> kredito įstaigoms</w:t>
      </w:r>
      <w:r w:rsidRPr="00555009">
        <w:rPr>
          <w:sz w:val="26"/>
          <w:szCs w:val="26"/>
          <w:lang w:val="lt-LT"/>
        </w:rPr>
        <w:t xml:space="preserve"> </w:t>
      </w:r>
      <w:r w:rsidR="006104D8" w:rsidRPr="00555009">
        <w:rPr>
          <w:sz w:val="26"/>
          <w:szCs w:val="26"/>
          <w:u w:val="single"/>
          <w:lang w:val="lt-LT"/>
        </w:rPr>
        <w:t>įvertinimo tvirtinimas</w:t>
      </w:r>
      <w:r w:rsidR="006104D8" w:rsidRPr="00555009">
        <w:rPr>
          <w:sz w:val="26"/>
          <w:szCs w:val="26"/>
          <w:lang w:val="lt-LT"/>
        </w:rPr>
        <w:t xml:space="preserve"> svarbus tuo, kad </w:t>
      </w:r>
      <w:r w:rsidRPr="00555009">
        <w:rPr>
          <w:sz w:val="26"/>
          <w:szCs w:val="26"/>
          <w:lang w:val="lt-LT"/>
        </w:rPr>
        <w:t>įmonė</w:t>
      </w:r>
      <w:r w:rsidR="00E77E7C" w:rsidRPr="00555009">
        <w:rPr>
          <w:sz w:val="26"/>
          <w:szCs w:val="26"/>
          <w:lang w:val="lt-LT"/>
        </w:rPr>
        <w:t>,</w:t>
      </w:r>
      <w:r w:rsidRPr="00555009">
        <w:rPr>
          <w:sz w:val="26"/>
          <w:szCs w:val="26"/>
          <w:lang w:val="lt-LT"/>
        </w:rPr>
        <w:t xml:space="preserve"> neatsižvelgdama į kredito įstaigų iškeltas sąlygas (finansiniai rodikliai, atsiskaitomosios sąskaitos apyvarta</w:t>
      </w:r>
      <w:r w:rsidR="00E77E7C" w:rsidRPr="00555009">
        <w:rPr>
          <w:sz w:val="26"/>
          <w:szCs w:val="26"/>
          <w:lang w:val="lt-LT"/>
        </w:rPr>
        <w:t xml:space="preserve"> per metus</w:t>
      </w:r>
      <w:r w:rsidRPr="00555009">
        <w:rPr>
          <w:sz w:val="26"/>
          <w:szCs w:val="26"/>
          <w:lang w:val="lt-LT"/>
        </w:rPr>
        <w:t xml:space="preserve">, </w:t>
      </w:r>
      <w:r w:rsidR="00E77E7C" w:rsidRPr="00555009">
        <w:rPr>
          <w:sz w:val="26"/>
          <w:szCs w:val="26"/>
          <w:lang w:val="lt-LT"/>
        </w:rPr>
        <w:t xml:space="preserve">visiems </w:t>
      </w:r>
      <w:r w:rsidRPr="00555009">
        <w:rPr>
          <w:sz w:val="26"/>
          <w:szCs w:val="26"/>
          <w:lang w:val="lt-LT"/>
        </w:rPr>
        <w:t>darbuotojams darbo užmokesčio pervedimas į atitinkamos kredito įstaigos išduotas mokamąsias korteles)</w:t>
      </w:r>
      <w:r w:rsidR="00E77E7C" w:rsidRPr="00555009">
        <w:rPr>
          <w:sz w:val="26"/>
          <w:szCs w:val="26"/>
          <w:lang w:val="lt-LT"/>
        </w:rPr>
        <w:t>,</w:t>
      </w:r>
      <w:r w:rsidRPr="00555009">
        <w:rPr>
          <w:sz w:val="26"/>
          <w:szCs w:val="26"/>
          <w:lang w:val="lt-LT"/>
        </w:rPr>
        <w:t xml:space="preserve"> gali šias skolas neteisingai klasifikuoti ir tuo pagerinti </w:t>
      </w:r>
      <w:r w:rsidR="00E77E7C" w:rsidRPr="00555009">
        <w:rPr>
          <w:sz w:val="26"/>
          <w:szCs w:val="26"/>
          <w:lang w:val="lt-LT"/>
        </w:rPr>
        <w:t xml:space="preserve">pagal balanso duomenis apskaičiuojamų </w:t>
      </w:r>
      <w:r w:rsidRPr="00555009">
        <w:rPr>
          <w:sz w:val="26"/>
          <w:szCs w:val="26"/>
          <w:lang w:val="lt-LT"/>
        </w:rPr>
        <w:t xml:space="preserve">rodiklių </w:t>
      </w:r>
      <w:r w:rsidR="00E77E7C" w:rsidRPr="00555009">
        <w:rPr>
          <w:sz w:val="26"/>
          <w:szCs w:val="26"/>
          <w:lang w:val="lt-LT"/>
        </w:rPr>
        <w:t>reikšmę</w:t>
      </w:r>
      <w:r w:rsidR="00714563">
        <w:rPr>
          <w:sz w:val="26"/>
          <w:szCs w:val="26"/>
          <w:lang w:val="lt-LT"/>
        </w:rPr>
        <w:t xml:space="preserve">. Be to, šiam tikslui </w:t>
      </w:r>
      <w:r w:rsidR="00251EC8" w:rsidRPr="00555009">
        <w:rPr>
          <w:sz w:val="26"/>
          <w:szCs w:val="26"/>
          <w:lang w:val="lt-LT"/>
        </w:rPr>
        <w:t>UAB „Šiluma“ nėra numatyta tinkamų</w:t>
      </w:r>
      <w:r w:rsidR="00EB4B83" w:rsidRPr="00555009">
        <w:rPr>
          <w:sz w:val="26"/>
          <w:szCs w:val="26"/>
          <w:lang w:val="lt-LT"/>
        </w:rPr>
        <w:t xml:space="preserve"> </w:t>
      </w:r>
      <w:r w:rsidR="00251EC8" w:rsidRPr="00555009">
        <w:rPr>
          <w:sz w:val="26"/>
          <w:szCs w:val="26"/>
          <w:lang w:val="lt-LT"/>
        </w:rPr>
        <w:t xml:space="preserve">kontrolės procedūrų. Todėl </w:t>
      </w:r>
      <w:r w:rsidR="00EB4B83" w:rsidRPr="00555009">
        <w:rPr>
          <w:sz w:val="26"/>
          <w:szCs w:val="26"/>
          <w:lang w:val="lt-LT"/>
        </w:rPr>
        <w:t>didel</w:t>
      </w:r>
      <w:r w:rsidR="00251EC8" w:rsidRPr="00555009">
        <w:rPr>
          <w:sz w:val="26"/>
          <w:szCs w:val="26"/>
          <w:lang w:val="lt-LT"/>
        </w:rPr>
        <w:t>ė</w:t>
      </w:r>
      <w:r w:rsidR="00EB4B83" w:rsidRPr="00555009">
        <w:rPr>
          <w:sz w:val="26"/>
          <w:szCs w:val="26"/>
          <w:lang w:val="lt-LT"/>
        </w:rPr>
        <w:t xml:space="preserve"> </w:t>
      </w:r>
      <w:r w:rsidR="00E77E7C" w:rsidRPr="00555009">
        <w:rPr>
          <w:sz w:val="26"/>
          <w:szCs w:val="26"/>
          <w:lang w:val="lt-LT"/>
        </w:rPr>
        <w:t>įgimt</w:t>
      </w:r>
      <w:r w:rsidR="00251EC8" w:rsidRPr="00555009">
        <w:rPr>
          <w:sz w:val="26"/>
          <w:szCs w:val="26"/>
          <w:lang w:val="lt-LT"/>
        </w:rPr>
        <w:t>a</w:t>
      </w:r>
      <w:r w:rsidR="00E77E7C" w:rsidRPr="00555009">
        <w:rPr>
          <w:sz w:val="26"/>
          <w:szCs w:val="26"/>
          <w:lang w:val="lt-LT"/>
        </w:rPr>
        <w:t xml:space="preserve"> ir kontrolės rizik</w:t>
      </w:r>
      <w:r w:rsidR="00251EC8" w:rsidRPr="00555009">
        <w:rPr>
          <w:sz w:val="26"/>
          <w:szCs w:val="26"/>
          <w:lang w:val="lt-LT"/>
        </w:rPr>
        <w:t>o</w:t>
      </w:r>
      <w:r w:rsidR="00EB4B83" w:rsidRPr="00555009">
        <w:rPr>
          <w:sz w:val="26"/>
          <w:szCs w:val="26"/>
          <w:lang w:val="lt-LT"/>
        </w:rPr>
        <w:t>s</w:t>
      </w:r>
      <w:r w:rsidR="00251EC8" w:rsidRPr="00555009">
        <w:rPr>
          <w:sz w:val="26"/>
          <w:szCs w:val="26"/>
          <w:lang w:val="lt-LT"/>
        </w:rPr>
        <w:t xml:space="preserve"> lemia, kad </w:t>
      </w:r>
      <w:r w:rsidR="00EB4B83" w:rsidRPr="00555009">
        <w:rPr>
          <w:sz w:val="26"/>
          <w:szCs w:val="26"/>
          <w:lang w:val="lt-LT"/>
        </w:rPr>
        <w:t>reikšmingo iškraipymo rizika dėl skolų kredito įstaigoms įvertinimo yra didelė rizika. Taip pat</w:t>
      </w:r>
      <w:r w:rsidR="00154CDA" w:rsidRPr="00555009">
        <w:rPr>
          <w:sz w:val="26"/>
          <w:szCs w:val="26"/>
          <w:lang w:val="lt-LT"/>
        </w:rPr>
        <w:t>, nereikėtų pamiršti, kad pastarąjį tvirtinimą veikia ir nustatyta vidutinė įmonės rizika (galimas kapitalo trūkumas)</w:t>
      </w:r>
      <w:r w:rsidR="00EB4B83" w:rsidRPr="00555009">
        <w:rPr>
          <w:sz w:val="26"/>
          <w:szCs w:val="26"/>
          <w:lang w:val="lt-LT"/>
        </w:rPr>
        <w:t xml:space="preserve">, nors šiuo atveju reikšmingo iškraipymo rizikos lygio </w:t>
      </w:r>
      <w:r w:rsidR="00251EC8" w:rsidRPr="00555009">
        <w:rPr>
          <w:sz w:val="26"/>
          <w:szCs w:val="26"/>
          <w:lang w:val="lt-LT"/>
        </w:rPr>
        <w:t xml:space="preserve">vienu skalės lygmeniu </w:t>
      </w:r>
      <w:r w:rsidR="00EB4B83" w:rsidRPr="00555009">
        <w:rPr>
          <w:sz w:val="26"/>
          <w:szCs w:val="26"/>
          <w:lang w:val="lt-LT"/>
        </w:rPr>
        <w:t>ji</w:t>
      </w:r>
      <w:r w:rsidR="00714563">
        <w:rPr>
          <w:sz w:val="26"/>
          <w:szCs w:val="26"/>
          <w:lang w:val="lt-LT"/>
        </w:rPr>
        <w:t xml:space="preserve"> ir</w:t>
      </w:r>
      <w:r w:rsidR="00EB4B83" w:rsidRPr="00555009">
        <w:rPr>
          <w:sz w:val="26"/>
          <w:szCs w:val="26"/>
          <w:lang w:val="lt-LT"/>
        </w:rPr>
        <w:t xml:space="preserve"> nepadidina</w:t>
      </w:r>
      <w:r w:rsidR="00E77E7C" w:rsidRPr="00555009">
        <w:rPr>
          <w:sz w:val="26"/>
          <w:szCs w:val="26"/>
          <w:lang w:val="lt-LT"/>
        </w:rPr>
        <w:t>;</w:t>
      </w:r>
    </w:p>
    <w:p w:rsidR="00C51D54" w:rsidRPr="00555009" w:rsidRDefault="00E77E7C"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10) </w:t>
      </w:r>
      <w:r w:rsidRPr="00555009">
        <w:rPr>
          <w:i/>
          <w:sz w:val="26"/>
          <w:szCs w:val="26"/>
          <w:lang w:val="lt-LT"/>
        </w:rPr>
        <w:t>skolų tiekėjams</w:t>
      </w:r>
      <w:r w:rsidRPr="00555009">
        <w:rPr>
          <w:sz w:val="26"/>
          <w:szCs w:val="26"/>
          <w:lang w:val="lt-LT"/>
        </w:rPr>
        <w:t xml:space="preserve"> </w:t>
      </w:r>
      <w:r w:rsidRPr="00555009">
        <w:rPr>
          <w:sz w:val="26"/>
          <w:szCs w:val="26"/>
          <w:u w:val="single"/>
          <w:lang w:val="lt-LT"/>
        </w:rPr>
        <w:t>išsamumo tvirtinimui</w:t>
      </w:r>
      <w:r w:rsidRPr="00555009">
        <w:rPr>
          <w:sz w:val="26"/>
          <w:szCs w:val="26"/>
          <w:lang w:val="lt-LT"/>
        </w:rPr>
        <w:t xml:space="preserve"> būdinga </w:t>
      </w:r>
      <w:r w:rsidR="004567C1" w:rsidRPr="00555009">
        <w:rPr>
          <w:sz w:val="26"/>
          <w:szCs w:val="26"/>
          <w:lang w:val="lt-LT"/>
        </w:rPr>
        <w:t xml:space="preserve">maža </w:t>
      </w:r>
      <w:r w:rsidRPr="00555009">
        <w:rPr>
          <w:sz w:val="26"/>
          <w:szCs w:val="26"/>
          <w:lang w:val="lt-LT"/>
        </w:rPr>
        <w:t xml:space="preserve">įgimta rizika, </w:t>
      </w:r>
      <w:r w:rsidR="00E07F51" w:rsidRPr="00555009">
        <w:rPr>
          <w:sz w:val="26"/>
          <w:szCs w:val="26"/>
          <w:lang w:val="lt-LT"/>
        </w:rPr>
        <w:t xml:space="preserve">nes įmonė vykdo įprastus pirkimus, bendraudama su pastoviais žaliavų tiekėjais, o </w:t>
      </w:r>
      <w:r w:rsidRPr="00555009">
        <w:rPr>
          <w:sz w:val="26"/>
          <w:szCs w:val="26"/>
          <w:lang w:val="lt-LT"/>
        </w:rPr>
        <w:t xml:space="preserve">dėl egzistuojančių </w:t>
      </w:r>
      <w:r w:rsidR="00E07F51" w:rsidRPr="00555009">
        <w:rPr>
          <w:sz w:val="26"/>
          <w:szCs w:val="26"/>
          <w:lang w:val="lt-LT"/>
        </w:rPr>
        <w:t xml:space="preserve">tinkamų </w:t>
      </w:r>
      <w:r w:rsidRPr="00555009">
        <w:rPr>
          <w:sz w:val="26"/>
          <w:szCs w:val="26"/>
          <w:lang w:val="lt-LT"/>
        </w:rPr>
        <w:t>pirkim</w:t>
      </w:r>
      <w:r w:rsidR="00313DD6" w:rsidRPr="00555009">
        <w:rPr>
          <w:sz w:val="26"/>
          <w:szCs w:val="26"/>
          <w:lang w:val="lt-LT"/>
        </w:rPr>
        <w:t>ų</w:t>
      </w:r>
      <w:r w:rsidRPr="00555009">
        <w:rPr>
          <w:sz w:val="26"/>
          <w:szCs w:val="26"/>
          <w:lang w:val="lt-LT"/>
        </w:rPr>
        <w:t xml:space="preserve"> proceso kontrolės procedūrų</w:t>
      </w:r>
      <w:r w:rsidR="008D120E" w:rsidRPr="00555009">
        <w:rPr>
          <w:sz w:val="26"/>
          <w:szCs w:val="26"/>
          <w:lang w:val="lt-LT"/>
        </w:rPr>
        <w:t xml:space="preserve"> </w:t>
      </w:r>
      <w:r w:rsidR="00E07F51" w:rsidRPr="00555009">
        <w:rPr>
          <w:sz w:val="26"/>
          <w:szCs w:val="26"/>
          <w:lang w:val="lt-LT"/>
        </w:rPr>
        <w:t xml:space="preserve">egzistuoja maža </w:t>
      </w:r>
      <w:r w:rsidR="00313DD6" w:rsidRPr="00555009">
        <w:rPr>
          <w:sz w:val="26"/>
          <w:szCs w:val="26"/>
          <w:lang w:val="lt-LT"/>
        </w:rPr>
        <w:t>kontrolės rizika</w:t>
      </w:r>
      <w:r w:rsidR="00E07F51" w:rsidRPr="00555009">
        <w:rPr>
          <w:sz w:val="26"/>
          <w:szCs w:val="26"/>
          <w:lang w:val="lt-LT"/>
        </w:rPr>
        <w:t xml:space="preserve">. Todėl </w:t>
      </w:r>
      <w:r w:rsidRPr="00555009">
        <w:rPr>
          <w:sz w:val="26"/>
          <w:szCs w:val="26"/>
          <w:lang w:val="lt-LT"/>
        </w:rPr>
        <w:t xml:space="preserve">reikšmingo iškraipymo rizika šio tvirtinimo lygmeniu </w:t>
      </w:r>
      <w:r w:rsidR="00E07F51" w:rsidRPr="00555009">
        <w:rPr>
          <w:sz w:val="26"/>
          <w:szCs w:val="26"/>
          <w:lang w:val="lt-LT"/>
        </w:rPr>
        <w:t xml:space="preserve">taip pat yra </w:t>
      </w:r>
      <w:r w:rsidRPr="00555009">
        <w:rPr>
          <w:sz w:val="26"/>
          <w:szCs w:val="26"/>
          <w:lang w:val="lt-LT"/>
        </w:rPr>
        <w:t>maža rizika;</w:t>
      </w:r>
    </w:p>
    <w:p w:rsidR="00E77E7C" w:rsidRPr="00555009" w:rsidRDefault="00E77E7C"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11) </w:t>
      </w:r>
      <w:r w:rsidRPr="00555009">
        <w:rPr>
          <w:i/>
          <w:sz w:val="26"/>
          <w:szCs w:val="26"/>
          <w:lang w:val="lt-LT"/>
        </w:rPr>
        <w:t>su darbo santykiais</w:t>
      </w:r>
      <w:r w:rsidR="00E53E08" w:rsidRPr="00555009">
        <w:rPr>
          <w:i/>
          <w:sz w:val="26"/>
          <w:szCs w:val="26"/>
          <w:lang w:val="lt-LT"/>
        </w:rPr>
        <w:t xml:space="preserve"> susijusių įsipareigojimų</w:t>
      </w:r>
      <w:r w:rsidR="00E53E08" w:rsidRPr="00555009">
        <w:rPr>
          <w:sz w:val="26"/>
          <w:szCs w:val="26"/>
          <w:lang w:val="lt-LT"/>
        </w:rPr>
        <w:t xml:space="preserve"> </w:t>
      </w:r>
      <w:r w:rsidR="00E53E08" w:rsidRPr="00555009">
        <w:rPr>
          <w:sz w:val="26"/>
          <w:szCs w:val="26"/>
          <w:u w:val="single"/>
          <w:lang w:val="lt-LT"/>
        </w:rPr>
        <w:t>išsamumo tvirtinim</w:t>
      </w:r>
      <w:r w:rsidR="00E07F51" w:rsidRPr="00555009">
        <w:rPr>
          <w:sz w:val="26"/>
          <w:szCs w:val="26"/>
          <w:u w:val="single"/>
          <w:lang w:val="lt-LT"/>
        </w:rPr>
        <w:t>as</w:t>
      </w:r>
      <w:r w:rsidR="00E07F51" w:rsidRPr="00555009">
        <w:rPr>
          <w:sz w:val="26"/>
          <w:szCs w:val="26"/>
          <w:lang w:val="lt-LT"/>
        </w:rPr>
        <w:t xml:space="preserve"> susijęs su </w:t>
      </w:r>
      <w:r w:rsidR="00E53E08" w:rsidRPr="00555009">
        <w:rPr>
          <w:sz w:val="26"/>
          <w:szCs w:val="26"/>
          <w:lang w:val="lt-LT"/>
        </w:rPr>
        <w:t>maža įgimta rizika, nes įmonei būtų sudėtinga nuslėpti tikrąjį įsipareigojimą darbuotojams (šias sumas stebi ir mokesčius administruojančios institucijos)</w:t>
      </w:r>
      <w:r w:rsidR="00E801A8">
        <w:rPr>
          <w:sz w:val="26"/>
          <w:szCs w:val="26"/>
          <w:lang w:val="lt-LT"/>
        </w:rPr>
        <w:t>. Taip pat šiame tvirtinime egzistuoja</w:t>
      </w:r>
      <w:r w:rsidR="0077186F" w:rsidRPr="00555009">
        <w:rPr>
          <w:sz w:val="26"/>
          <w:szCs w:val="26"/>
          <w:lang w:val="lt-LT"/>
        </w:rPr>
        <w:t xml:space="preserve"> maža kontrolės rizika</w:t>
      </w:r>
      <w:r w:rsidR="00E07F51" w:rsidRPr="00555009">
        <w:rPr>
          <w:sz w:val="26"/>
          <w:szCs w:val="26"/>
          <w:lang w:val="lt-LT"/>
        </w:rPr>
        <w:t xml:space="preserve">, nes </w:t>
      </w:r>
      <w:r w:rsidR="00E53E08" w:rsidRPr="00555009">
        <w:rPr>
          <w:sz w:val="26"/>
          <w:szCs w:val="26"/>
          <w:lang w:val="lt-LT"/>
        </w:rPr>
        <w:t xml:space="preserve">UAB „Šiluma“ taiko </w:t>
      </w:r>
      <w:r w:rsidR="00E07F51" w:rsidRPr="00555009">
        <w:rPr>
          <w:sz w:val="26"/>
          <w:szCs w:val="26"/>
          <w:lang w:val="lt-LT"/>
        </w:rPr>
        <w:t xml:space="preserve">tinkamas </w:t>
      </w:r>
      <w:r w:rsidR="0023439D" w:rsidRPr="00555009">
        <w:rPr>
          <w:sz w:val="26"/>
          <w:szCs w:val="26"/>
          <w:lang w:val="lt-LT"/>
        </w:rPr>
        <w:t xml:space="preserve">darbo apmokėjimo proceso kontrolės </w:t>
      </w:r>
      <w:r w:rsidR="00E53E08" w:rsidRPr="00555009">
        <w:rPr>
          <w:sz w:val="26"/>
          <w:szCs w:val="26"/>
          <w:lang w:val="lt-LT"/>
        </w:rPr>
        <w:t>proce</w:t>
      </w:r>
      <w:r w:rsidR="0023439D" w:rsidRPr="00555009">
        <w:rPr>
          <w:sz w:val="26"/>
          <w:szCs w:val="26"/>
          <w:lang w:val="lt-LT"/>
        </w:rPr>
        <w:t>dūras (vieni apskaitos darbuotojai atsakingi už darbo užmokesčio apskaičiavimą, kiti už atitinkamų deklaracijų Valstybinei mokesčių inspekcijai ir Valstybinio socialinio draudimo fondo valdybai pateikimą)</w:t>
      </w:r>
      <w:r w:rsidR="00E07F51" w:rsidRPr="00555009">
        <w:rPr>
          <w:sz w:val="26"/>
          <w:szCs w:val="26"/>
          <w:lang w:val="lt-LT"/>
        </w:rPr>
        <w:t>. Todėl reikšmingo iškraipymo rizika šiuo lygmeniu taip pat yra maža rizika</w:t>
      </w:r>
      <w:r w:rsidR="0023439D" w:rsidRPr="00555009">
        <w:rPr>
          <w:sz w:val="26"/>
          <w:szCs w:val="26"/>
          <w:lang w:val="lt-LT"/>
        </w:rPr>
        <w:t>;</w:t>
      </w:r>
    </w:p>
    <w:p w:rsidR="00313DD6" w:rsidRPr="00555009" w:rsidRDefault="00313DD6"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12) </w:t>
      </w:r>
      <w:r w:rsidRPr="00555009">
        <w:rPr>
          <w:i/>
          <w:sz w:val="26"/>
          <w:szCs w:val="26"/>
          <w:lang w:val="lt-LT"/>
        </w:rPr>
        <w:t xml:space="preserve">pardavimo pajamų </w:t>
      </w:r>
      <w:r w:rsidRPr="00555009">
        <w:rPr>
          <w:sz w:val="26"/>
          <w:szCs w:val="26"/>
          <w:u w:val="single"/>
          <w:lang w:val="lt-LT"/>
        </w:rPr>
        <w:t>tikslumo tvirtinimas</w:t>
      </w:r>
      <w:r w:rsidRPr="00555009">
        <w:rPr>
          <w:sz w:val="26"/>
          <w:szCs w:val="26"/>
          <w:lang w:val="lt-LT"/>
        </w:rPr>
        <w:t xml:space="preserve"> susijęs su vidutine įgimta rizika, nes įmonės darbuotojai kai kuriems pirkėjams gali nustatyti ne tokias kainas</w:t>
      </w:r>
      <w:r w:rsidR="002E1106" w:rsidRPr="00555009">
        <w:rPr>
          <w:sz w:val="26"/>
          <w:szCs w:val="26"/>
          <w:lang w:val="lt-LT"/>
        </w:rPr>
        <w:t xml:space="preserve"> ar suteikti nuolaidas</w:t>
      </w:r>
      <w:r w:rsidRPr="00555009">
        <w:rPr>
          <w:sz w:val="26"/>
          <w:szCs w:val="26"/>
          <w:lang w:val="lt-LT"/>
        </w:rPr>
        <w:t>, kokios taikomos kitiems</w:t>
      </w:r>
      <w:r w:rsidR="002E1106" w:rsidRPr="00555009">
        <w:rPr>
          <w:sz w:val="26"/>
          <w:szCs w:val="26"/>
          <w:lang w:val="lt-LT"/>
        </w:rPr>
        <w:t xml:space="preserve">, </w:t>
      </w:r>
      <w:r w:rsidRPr="00555009">
        <w:rPr>
          <w:sz w:val="26"/>
          <w:szCs w:val="26"/>
          <w:lang w:val="lt-LT"/>
        </w:rPr>
        <w:t>t</w:t>
      </w:r>
      <w:r w:rsidR="002E1106" w:rsidRPr="00555009">
        <w:rPr>
          <w:sz w:val="26"/>
          <w:szCs w:val="26"/>
          <w:lang w:val="lt-LT"/>
        </w:rPr>
        <w:t xml:space="preserve">ačiau dėl įgyvendintų </w:t>
      </w:r>
      <w:r w:rsidR="002E1106" w:rsidRPr="00555009">
        <w:rPr>
          <w:sz w:val="26"/>
          <w:szCs w:val="26"/>
          <w:lang w:val="lt-LT"/>
        </w:rPr>
        <w:lastRenderedPageBreak/>
        <w:t>pardavimo proceso kontrolės procedūrų kontrolės rizika vertintina kaip maža. Nors reikšmingo iškraipymo rizik</w:t>
      </w:r>
      <w:r w:rsidR="00722D28" w:rsidRPr="00555009">
        <w:rPr>
          <w:sz w:val="26"/>
          <w:szCs w:val="26"/>
          <w:lang w:val="lt-LT"/>
        </w:rPr>
        <w:t>a</w:t>
      </w:r>
      <w:r w:rsidR="002E1106" w:rsidRPr="00555009">
        <w:rPr>
          <w:sz w:val="26"/>
          <w:szCs w:val="26"/>
          <w:lang w:val="lt-LT"/>
        </w:rPr>
        <w:t xml:space="preserve"> </w:t>
      </w:r>
      <w:r w:rsidR="00722D28" w:rsidRPr="00555009">
        <w:rPr>
          <w:sz w:val="26"/>
          <w:szCs w:val="26"/>
          <w:lang w:val="lt-LT"/>
        </w:rPr>
        <w:t xml:space="preserve">būtų </w:t>
      </w:r>
      <w:r w:rsidR="002E1106" w:rsidRPr="00555009">
        <w:rPr>
          <w:sz w:val="26"/>
          <w:szCs w:val="26"/>
          <w:lang w:val="lt-LT"/>
        </w:rPr>
        <w:t xml:space="preserve">maža rizika, </w:t>
      </w:r>
      <w:r w:rsidR="00722D28" w:rsidRPr="00555009">
        <w:rPr>
          <w:sz w:val="26"/>
          <w:szCs w:val="26"/>
          <w:lang w:val="lt-LT"/>
        </w:rPr>
        <w:t xml:space="preserve">bet kadangi </w:t>
      </w:r>
      <w:r w:rsidR="002E1106" w:rsidRPr="00555009">
        <w:rPr>
          <w:sz w:val="26"/>
          <w:szCs w:val="26"/>
          <w:lang w:val="lt-LT"/>
        </w:rPr>
        <w:t xml:space="preserve">įmonės lygmeniu su pajamų uždirbimu gali pasireikšti </w:t>
      </w:r>
      <w:r w:rsidR="00722D28" w:rsidRPr="00555009">
        <w:rPr>
          <w:sz w:val="26"/>
          <w:szCs w:val="26"/>
          <w:lang w:val="lt-LT"/>
        </w:rPr>
        <w:t xml:space="preserve">vidutinė </w:t>
      </w:r>
      <w:r w:rsidR="002E1106" w:rsidRPr="00555009">
        <w:rPr>
          <w:sz w:val="26"/>
          <w:szCs w:val="26"/>
          <w:lang w:val="lt-LT"/>
        </w:rPr>
        <w:t xml:space="preserve">apgaulės rizika, tai </w:t>
      </w:r>
      <w:r w:rsidR="00722D28" w:rsidRPr="00555009">
        <w:rPr>
          <w:sz w:val="26"/>
          <w:szCs w:val="26"/>
          <w:lang w:val="lt-LT"/>
        </w:rPr>
        <w:t xml:space="preserve">jos įvertinimas yra padidinamas vienu skalės lygiu ir prilyginamas </w:t>
      </w:r>
      <w:r w:rsidR="002E1106" w:rsidRPr="00555009">
        <w:rPr>
          <w:sz w:val="26"/>
          <w:szCs w:val="26"/>
          <w:lang w:val="lt-LT"/>
        </w:rPr>
        <w:t>vidutin</w:t>
      </w:r>
      <w:r w:rsidR="00722D28" w:rsidRPr="00555009">
        <w:rPr>
          <w:sz w:val="26"/>
          <w:szCs w:val="26"/>
          <w:lang w:val="lt-LT"/>
        </w:rPr>
        <w:t>ei</w:t>
      </w:r>
      <w:r w:rsidR="002E1106" w:rsidRPr="00555009">
        <w:rPr>
          <w:sz w:val="26"/>
          <w:szCs w:val="26"/>
          <w:lang w:val="lt-LT"/>
        </w:rPr>
        <w:t xml:space="preserve"> rizika</w:t>
      </w:r>
      <w:r w:rsidR="00722D28" w:rsidRPr="00555009">
        <w:rPr>
          <w:sz w:val="26"/>
          <w:szCs w:val="26"/>
          <w:lang w:val="lt-LT"/>
        </w:rPr>
        <w:t>i</w:t>
      </w:r>
      <w:r w:rsidR="002E1106" w:rsidRPr="00555009">
        <w:rPr>
          <w:sz w:val="26"/>
          <w:szCs w:val="26"/>
          <w:lang w:val="lt-LT"/>
        </w:rPr>
        <w:t>;</w:t>
      </w:r>
    </w:p>
    <w:p w:rsidR="00FA675F" w:rsidRPr="00555009" w:rsidRDefault="002E1106"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13) </w:t>
      </w:r>
      <w:r w:rsidRPr="00555009">
        <w:rPr>
          <w:i/>
          <w:sz w:val="26"/>
          <w:szCs w:val="26"/>
          <w:lang w:val="lt-LT"/>
        </w:rPr>
        <w:t>pardavimo savikainos</w:t>
      </w:r>
      <w:r w:rsidR="00FA675F" w:rsidRPr="00555009">
        <w:rPr>
          <w:sz w:val="26"/>
          <w:szCs w:val="26"/>
          <w:lang w:val="lt-LT"/>
        </w:rPr>
        <w:t xml:space="preserve"> ir </w:t>
      </w:r>
      <w:r w:rsidR="00FA675F" w:rsidRPr="00555009">
        <w:rPr>
          <w:i/>
          <w:sz w:val="26"/>
          <w:szCs w:val="26"/>
          <w:lang w:val="lt-LT"/>
        </w:rPr>
        <w:t>veiklos sąnaudų</w:t>
      </w:r>
      <w:r w:rsidR="00FA675F" w:rsidRPr="00555009">
        <w:rPr>
          <w:sz w:val="26"/>
          <w:szCs w:val="26"/>
          <w:lang w:val="lt-LT"/>
        </w:rPr>
        <w:t xml:space="preserve"> </w:t>
      </w:r>
      <w:r w:rsidRPr="00555009">
        <w:rPr>
          <w:sz w:val="26"/>
          <w:szCs w:val="26"/>
          <w:u w:val="single"/>
          <w:lang w:val="lt-LT"/>
        </w:rPr>
        <w:t>tikslumo tvirtinim</w:t>
      </w:r>
      <w:r w:rsidR="00FA675F" w:rsidRPr="00555009">
        <w:rPr>
          <w:sz w:val="26"/>
          <w:szCs w:val="26"/>
          <w:u w:val="single"/>
          <w:lang w:val="lt-LT"/>
        </w:rPr>
        <w:t>u</w:t>
      </w:r>
      <w:r w:rsidR="00FA675F" w:rsidRPr="00555009">
        <w:rPr>
          <w:sz w:val="26"/>
          <w:szCs w:val="26"/>
          <w:lang w:val="lt-LT"/>
        </w:rPr>
        <w:t xml:space="preserve"> egzistuoja m</w:t>
      </w:r>
      <w:r w:rsidRPr="00555009">
        <w:rPr>
          <w:sz w:val="26"/>
          <w:szCs w:val="26"/>
          <w:lang w:val="lt-LT"/>
        </w:rPr>
        <w:t>aža reikšmingo iškraipymo rizika</w:t>
      </w:r>
      <w:r w:rsidR="00FA675F" w:rsidRPr="00555009">
        <w:rPr>
          <w:sz w:val="26"/>
          <w:szCs w:val="26"/>
          <w:lang w:val="lt-LT"/>
        </w:rPr>
        <w:t xml:space="preserve">, nes, UAB „Šiluma“ siekdama teisingo tiekiamos šilumos ir elektros energijos kainos nustatymo, nėra suinteresuota mažinti patiriamas sąnaudas, o be to, įmonėje yra </w:t>
      </w:r>
      <w:r w:rsidR="00722D28" w:rsidRPr="00555009">
        <w:rPr>
          <w:sz w:val="26"/>
          <w:szCs w:val="26"/>
          <w:lang w:val="lt-LT"/>
        </w:rPr>
        <w:t>įdiegto</w:t>
      </w:r>
      <w:r w:rsidR="00FA675F" w:rsidRPr="00555009">
        <w:rPr>
          <w:sz w:val="26"/>
          <w:szCs w:val="26"/>
          <w:lang w:val="lt-LT"/>
        </w:rPr>
        <w:t>s pirkimų bei darbo apmokėjimo proces</w:t>
      </w:r>
      <w:r w:rsidR="0077186F" w:rsidRPr="00555009">
        <w:rPr>
          <w:sz w:val="26"/>
          <w:szCs w:val="26"/>
          <w:lang w:val="lt-LT"/>
        </w:rPr>
        <w:t>ų</w:t>
      </w:r>
      <w:r w:rsidRPr="00555009">
        <w:rPr>
          <w:sz w:val="26"/>
          <w:szCs w:val="26"/>
          <w:lang w:val="lt-LT"/>
        </w:rPr>
        <w:t xml:space="preserve"> </w:t>
      </w:r>
      <w:r w:rsidR="00FA675F" w:rsidRPr="00555009">
        <w:rPr>
          <w:sz w:val="26"/>
          <w:szCs w:val="26"/>
          <w:lang w:val="lt-LT"/>
        </w:rPr>
        <w:t xml:space="preserve">kontrolės procedūros, skirtos užkirsti kelią pasireiškiančioms klaidoms. </w:t>
      </w:r>
    </w:p>
    <w:p w:rsidR="00E47655" w:rsidRPr="00555009" w:rsidRDefault="008E13E8" w:rsidP="00197C60">
      <w:pPr>
        <w:pStyle w:val="NormalWeb"/>
        <w:spacing w:before="0" w:beforeAutospacing="0" w:after="0" w:afterAutospacing="0" w:line="360" w:lineRule="auto"/>
        <w:ind w:firstLine="720"/>
        <w:jc w:val="both"/>
        <w:rPr>
          <w:i/>
          <w:sz w:val="26"/>
          <w:szCs w:val="26"/>
          <w:lang w:val="lt-LT"/>
        </w:rPr>
      </w:pPr>
      <w:r>
        <w:rPr>
          <w:i/>
          <w:sz w:val="26"/>
          <w:szCs w:val="26"/>
          <w:lang w:val="lt-LT"/>
        </w:rPr>
        <w:t>Svarbu</w:t>
      </w:r>
      <w:r w:rsidR="00754937" w:rsidRPr="00555009">
        <w:rPr>
          <w:i/>
          <w:sz w:val="26"/>
          <w:szCs w:val="26"/>
          <w:lang w:val="lt-LT"/>
        </w:rPr>
        <w:t xml:space="preserve"> pastebėti, kad </w:t>
      </w:r>
      <w:r w:rsidR="00E801A8">
        <w:rPr>
          <w:i/>
          <w:sz w:val="26"/>
          <w:szCs w:val="26"/>
          <w:lang w:val="lt-LT"/>
        </w:rPr>
        <w:t xml:space="preserve">audito metu </w:t>
      </w:r>
      <w:r w:rsidR="00714563">
        <w:rPr>
          <w:i/>
          <w:sz w:val="26"/>
          <w:szCs w:val="26"/>
          <w:lang w:val="lt-LT"/>
        </w:rPr>
        <w:t>įvertinant</w:t>
      </w:r>
      <w:r w:rsidR="0077186F" w:rsidRPr="00555009">
        <w:rPr>
          <w:i/>
          <w:sz w:val="26"/>
          <w:szCs w:val="26"/>
          <w:lang w:val="lt-LT"/>
        </w:rPr>
        <w:t xml:space="preserve"> </w:t>
      </w:r>
      <w:r w:rsidR="00754937" w:rsidRPr="00555009">
        <w:rPr>
          <w:i/>
          <w:sz w:val="26"/>
          <w:szCs w:val="26"/>
          <w:lang w:val="lt-LT"/>
        </w:rPr>
        <w:t>reikšmingo iškraipymo rizik</w:t>
      </w:r>
      <w:r w:rsidR="0077186F" w:rsidRPr="00555009">
        <w:rPr>
          <w:i/>
          <w:sz w:val="26"/>
          <w:szCs w:val="26"/>
          <w:lang w:val="lt-LT"/>
        </w:rPr>
        <w:t>ą</w:t>
      </w:r>
      <w:r w:rsidR="00754937" w:rsidRPr="00555009">
        <w:rPr>
          <w:i/>
          <w:sz w:val="26"/>
          <w:szCs w:val="26"/>
          <w:lang w:val="lt-LT"/>
        </w:rPr>
        <w:t xml:space="preserve"> dėl pirkėjų įsiskolinimo įvertinimo tvirtinim</w:t>
      </w:r>
      <w:r w:rsidR="0077186F" w:rsidRPr="00555009">
        <w:rPr>
          <w:i/>
          <w:sz w:val="26"/>
          <w:szCs w:val="26"/>
          <w:lang w:val="lt-LT"/>
        </w:rPr>
        <w:t>o, skolų kredito įstaigoms įvertinimo tvirtinimo</w:t>
      </w:r>
      <w:r w:rsidR="00754937" w:rsidRPr="00555009">
        <w:rPr>
          <w:i/>
          <w:sz w:val="26"/>
          <w:szCs w:val="26"/>
          <w:lang w:val="lt-LT"/>
        </w:rPr>
        <w:t xml:space="preserve"> bei </w:t>
      </w:r>
      <w:r w:rsidR="003D6253" w:rsidRPr="00555009">
        <w:rPr>
          <w:i/>
          <w:sz w:val="26"/>
          <w:szCs w:val="26"/>
          <w:lang w:val="lt-LT"/>
        </w:rPr>
        <w:t xml:space="preserve">dėl </w:t>
      </w:r>
      <w:r w:rsidR="00754937" w:rsidRPr="00555009">
        <w:rPr>
          <w:i/>
          <w:sz w:val="26"/>
          <w:szCs w:val="26"/>
          <w:lang w:val="lt-LT"/>
        </w:rPr>
        <w:t xml:space="preserve">pardavimo pajamų tikslumo </w:t>
      </w:r>
      <w:r w:rsidR="003D6253" w:rsidRPr="00555009">
        <w:rPr>
          <w:i/>
          <w:sz w:val="26"/>
          <w:szCs w:val="26"/>
          <w:lang w:val="lt-LT"/>
        </w:rPr>
        <w:t xml:space="preserve">tvirtinimo </w:t>
      </w:r>
      <w:r w:rsidR="0077186F" w:rsidRPr="00555009">
        <w:rPr>
          <w:i/>
          <w:sz w:val="26"/>
          <w:szCs w:val="26"/>
          <w:lang w:val="lt-LT"/>
        </w:rPr>
        <w:t>atsižvelg</w:t>
      </w:r>
      <w:r w:rsidR="007F1174" w:rsidRPr="00555009">
        <w:rPr>
          <w:i/>
          <w:sz w:val="26"/>
          <w:szCs w:val="26"/>
          <w:lang w:val="lt-LT"/>
        </w:rPr>
        <w:t>ta</w:t>
      </w:r>
      <w:r w:rsidR="0077186F" w:rsidRPr="00555009">
        <w:rPr>
          <w:i/>
          <w:sz w:val="26"/>
          <w:szCs w:val="26"/>
          <w:lang w:val="lt-LT"/>
        </w:rPr>
        <w:t xml:space="preserve"> į</w:t>
      </w:r>
      <w:r w:rsidR="003D6253" w:rsidRPr="00555009">
        <w:rPr>
          <w:i/>
          <w:sz w:val="26"/>
          <w:szCs w:val="26"/>
          <w:lang w:val="lt-LT"/>
        </w:rPr>
        <w:t xml:space="preserve"> reikšmingo iškraipymo rizikos finansinių ataskaitų lygmeniu (</w:t>
      </w:r>
      <w:r w:rsidR="0077186F" w:rsidRPr="00555009">
        <w:rPr>
          <w:i/>
          <w:sz w:val="26"/>
          <w:szCs w:val="26"/>
          <w:lang w:val="lt-LT"/>
        </w:rPr>
        <w:t xml:space="preserve">verslo, įmonės ir </w:t>
      </w:r>
      <w:r w:rsidR="003D6253" w:rsidRPr="00555009">
        <w:rPr>
          <w:i/>
          <w:sz w:val="26"/>
          <w:szCs w:val="26"/>
          <w:lang w:val="lt-LT"/>
        </w:rPr>
        <w:t>apgaulės rizik</w:t>
      </w:r>
      <w:r w:rsidR="0077186F" w:rsidRPr="00555009">
        <w:rPr>
          <w:i/>
          <w:sz w:val="26"/>
          <w:szCs w:val="26"/>
          <w:lang w:val="lt-LT"/>
        </w:rPr>
        <w:t>ų</w:t>
      </w:r>
      <w:r w:rsidR="003D6253" w:rsidRPr="00555009">
        <w:rPr>
          <w:i/>
          <w:sz w:val="26"/>
          <w:szCs w:val="26"/>
          <w:lang w:val="lt-LT"/>
        </w:rPr>
        <w:t>) vertinim</w:t>
      </w:r>
      <w:r w:rsidR="0077186F" w:rsidRPr="00555009">
        <w:rPr>
          <w:i/>
          <w:sz w:val="26"/>
          <w:szCs w:val="26"/>
          <w:lang w:val="lt-LT"/>
        </w:rPr>
        <w:t>us</w:t>
      </w:r>
      <w:r w:rsidR="003D6253" w:rsidRPr="00555009">
        <w:rPr>
          <w:i/>
          <w:sz w:val="26"/>
          <w:szCs w:val="26"/>
          <w:lang w:val="lt-LT"/>
        </w:rPr>
        <w:t>, kas patvirtina pirmosios hipotezės (H</w:t>
      </w:r>
      <w:r w:rsidR="003D6253" w:rsidRPr="00555009">
        <w:rPr>
          <w:i/>
          <w:sz w:val="26"/>
          <w:szCs w:val="26"/>
          <w:vertAlign w:val="subscript"/>
          <w:lang w:val="lt-LT"/>
        </w:rPr>
        <w:t>1</w:t>
      </w:r>
      <w:r w:rsidR="003D6253" w:rsidRPr="00555009">
        <w:rPr>
          <w:i/>
          <w:sz w:val="26"/>
          <w:szCs w:val="26"/>
          <w:lang w:val="lt-LT"/>
        </w:rPr>
        <w:t>)</w:t>
      </w:r>
      <w:r w:rsidR="005F430C" w:rsidRPr="00555009">
        <w:rPr>
          <w:i/>
          <w:sz w:val="26"/>
          <w:szCs w:val="26"/>
          <w:lang w:val="lt-LT"/>
        </w:rPr>
        <w:t>, kad „reikšmingo iškraipymo rizika finansinių ataskaitų lygmeniu lemia susijusios reikšmingo iškraipymo rizikos tvirtinimo lygmeniu vertinimą“</w:t>
      </w:r>
      <w:r w:rsidR="003D6253" w:rsidRPr="00555009">
        <w:rPr>
          <w:i/>
          <w:sz w:val="26"/>
          <w:szCs w:val="26"/>
          <w:lang w:val="lt-LT"/>
        </w:rPr>
        <w:t xml:space="preserve">, teisingumą. </w:t>
      </w:r>
    </w:p>
    <w:p w:rsidR="00754937" w:rsidRPr="00555009" w:rsidRDefault="005F430C" w:rsidP="00197C60">
      <w:pPr>
        <w:pStyle w:val="NormalWeb"/>
        <w:spacing w:before="0" w:beforeAutospacing="0" w:after="0" w:afterAutospacing="0" w:line="360" w:lineRule="auto"/>
        <w:ind w:firstLine="720"/>
        <w:jc w:val="both"/>
        <w:rPr>
          <w:i/>
          <w:sz w:val="26"/>
          <w:szCs w:val="26"/>
          <w:lang w:val="lt-LT"/>
        </w:rPr>
      </w:pPr>
      <w:r w:rsidRPr="00555009">
        <w:rPr>
          <w:i/>
          <w:sz w:val="26"/>
          <w:szCs w:val="26"/>
          <w:lang w:val="lt-LT"/>
        </w:rPr>
        <w:t xml:space="preserve">Be to, </w:t>
      </w:r>
      <w:r w:rsidR="00E47655" w:rsidRPr="00555009">
        <w:rPr>
          <w:i/>
          <w:sz w:val="26"/>
          <w:szCs w:val="26"/>
          <w:lang w:val="lt-LT"/>
        </w:rPr>
        <w:t>iš pateikto išsamaus reikšmingo iškraipymo rizikų konkretaus tvirtinimo lygmeniu</w:t>
      </w:r>
      <w:r w:rsidR="00E47655" w:rsidRPr="00555009">
        <w:rPr>
          <w:sz w:val="26"/>
          <w:szCs w:val="26"/>
          <w:lang w:val="lt-LT"/>
        </w:rPr>
        <w:t xml:space="preserve"> </w:t>
      </w:r>
      <w:r w:rsidR="0028270E" w:rsidRPr="00555009">
        <w:rPr>
          <w:i/>
          <w:sz w:val="26"/>
          <w:szCs w:val="26"/>
          <w:lang w:val="lt-LT"/>
        </w:rPr>
        <w:t>nustatymo</w:t>
      </w:r>
      <w:r w:rsidR="00E47655" w:rsidRPr="00555009">
        <w:rPr>
          <w:i/>
          <w:sz w:val="26"/>
          <w:szCs w:val="26"/>
          <w:lang w:val="lt-LT"/>
        </w:rPr>
        <w:t xml:space="preserve"> </w:t>
      </w:r>
      <w:r w:rsidRPr="00555009">
        <w:rPr>
          <w:i/>
          <w:sz w:val="26"/>
          <w:szCs w:val="26"/>
          <w:lang w:val="lt-LT"/>
        </w:rPr>
        <w:t xml:space="preserve">matyti, kad </w:t>
      </w:r>
      <w:r w:rsidR="00A67121" w:rsidRPr="00555009">
        <w:rPr>
          <w:i/>
          <w:sz w:val="26"/>
          <w:szCs w:val="26"/>
          <w:lang w:val="lt-LT"/>
        </w:rPr>
        <w:t xml:space="preserve">atskiras įgimtos rizikos ir kontrolės rizikos apskaičiavimas </w:t>
      </w:r>
      <w:r w:rsidR="00E47655" w:rsidRPr="00555009">
        <w:rPr>
          <w:i/>
          <w:sz w:val="26"/>
          <w:szCs w:val="26"/>
          <w:lang w:val="lt-LT"/>
        </w:rPr>
        <w:t xml:space="preserve">tinkamiau pagrindžia </w:t>
      </w:r>
      <w:r w:rsidR="00A67121" w:rsidRPr="00555009">
        <w:rPr>
          <w:i/>
          <w:sz w:val="26"/>
          <w:szCs w:val="26"/>
          <w:lang w:val="lt-LT"/>
        </w:rPr>
        <w:t>reikšmingo iškraipymo rizik</w:t>
      </w:r>
      <w:r w:rsidR="00962762" w:rsidRPr="00555009">
        <w:rPr>
          <w:i/>
          <w:sz w:val="26"/>
          <w:szCs w:val="26"/>
          <w:lang w:val="lt-LT"/>
        </w:rPr>
        <w:t>os</w:t>
      </w:r>
      <w:r w:rsidR="00A67121" w:rsidRPr="00555009">
        <w:rPr>
          <w:i/>
          <w:sz w:val="26"/>
          <w:szCs w:val="26"/>
          <w:lang w:val="lt-LT"/>
        </w:rPr>
        <w:t xml:space="preserve"> tvirtinimo lygmeniu</w:t>
      </w:r>
      <w:r w:rsidR="00714563">
        <w:rPr>
          <w:i/>
          <w:sz w:val="26"/>
          <w:szCs w:val="26"/>
          <w:lang w:val="lt-LT"/>
        </w:rPr>
        <w:t xml:space="preserve"> įvertinimą</w:t>
      </w:r>
      <w:r w:rsidR="0028270E" w:rsidRPr="00555009">
        <w:rPr>
          <w:i/>
          <w:sz w:val="26"/>
          <w:szCs w:val="26"/>
          <w:lang w:val="lt-LT"/>
        </w:rPr>
        <w:t>,</w:t>
      </w:r>
      <w:r w:rsidR="00E47655" w:rsidRPr="00555009">
        <w:rPr>
          <w:i/>
          <w:sz w:val="26"/>
          <w:szCs w:val="26"/>
          <w:lang w:val="lt-LT"/>
        </w:rPr>
        <w:t xml:space="preserve"> </w:t>
      </w:r>
      <w:r w:rsidR="0028270E" w:rsidRPr="00555009">
        <w:rPr>
          <w:i/>
          <w:sz w:val="26"/>
          <w:szCs w:val="26"/>
          <w:lang w:val="lt-LT"/>
        </w:rPr>
        <w:t xml:space="preserve">daro jį lengvesnį ir suprantamesnį </w:t>
      </w:r>
      <w:r w:rsidR="00E47655" w:rsidRPr="00555009">
        <w:rPr>
          <w:i/>
          <w:sz w:val="26"/>
          <w:szCs w:val="26"/>
          <w:lang w:val="lt-LT"/>
        </w:rPr>
        <w:t>nei</w:t>
      </w:r>
      <w:r w:rsidR="00B104D3">
        <w:rPr>
          <w:i/>
          <w:sz w:val="26"/>
          <w:szCs w:val="26"/>
          <w:lang w:val="lt-LT"/>
        </w:rPr>
        <w:t xml:space="preserve"> tuomet, jei </w:t>
      </w:r>
      <w:r w:rsidR="0028270E" w:rsidRPr="00555009">
        <w:rPr>
          <w:i/>
          <w:sz w:val="26"/>
          <w:szCs w:val="26"/>
          <w:lang w:val="lt-LT"/>
        </w:rPr>
        <w:t xml:space="preserve">būtų atliekamas </w:t>
      </w:r>
      <w:r w:rsidR="00E47655" w:rsidRPr="00555009">
        <w:rPr>
          <w:i/>
          <w:sz w:val="26"/>
          <w:szCs w:val="26"/>
          <w:lang w:val="lt-LT"/>
        </w:rPr>
        <w:t>bendras šių rizikų</w:t>
      </w:r>
      <w:r w:rsidR="00A67121" w:rsidRPr="00555009">
        <w:rPr>
          <w:i/>
          <w:sz w:val="26"/>
          <w:szCs w:val="26"/>
          <w:lang w:val="lt-LT"/>
        </w:rPr>
        <w:t xml:space="preserve"> </w:t>
      </w:r>
      <w:r w:rsidR="00714563">
        <w:rPr>
          <w:i/>
          <w:sz w:val="26"/>
          <w:szCs w:val="26"/>
          <w:lang w:val="lt-LT"/>
        </w:rPr>
        <w:t>vertinimas</w:t>
      </w:r>
      <w:r w:rsidR="008B0A0F" w:rsidRPr="00555009">
        <w:rPr>
          <w:i/>
          <w:sz w:val="26"/>
          <w:szCs w:val="26"/>
          <w:lang w:val="lt-LT"/>
        </w:rPr>
        <w:t>. Visa tai</w:t>
      </w:r>
      <w:r w:rsidR="006F77D9" w:rsidRPr="00555009">
        <w:rPr>
          <w:i/>
          <w:sz w:val="26"/>
          <w:szCs w:val="26"/>
          <w:lang w:val="lt-LT"/>
        </w:rPr>
        <w:t xml:space="preserve"> paneigia </w:t>
      </w:r>
      <w:r w:rsidR="003D6253" w:rsidRPr="00555009">
        <w:rPr>
          <w:i/>
          <w:sz w:val="26"/>
          <w:szCs w:val="26"/>
          <w:lang w:val="lt-LT"/>
        </w:rPr>
        <w:t>antro</w:t>
      </w:r>
      <w:r w:rsidR="006F77D9" w:rsidRPr="00555009">
        <w:rPr>
          <w:i/>
          <w:sz w:val="26"/>
          <w:szCs w:val="26"/>
          <w:lang w:val="lt-LT"/>
        </w:rPr>
        <w:t xml:space="preserve">sios </w:t>
      </w:r>
      <w:r w:rsidR="003D6253" w:rsidRPr="00555009">
        <w:rPr>
          <w:i/>
          <w:sz w:val="26"/>
          <w:szCs w:val="26"/>
          <w:lang w:val="lt-LT"/>
        </w:rPr>
        <w:t>hipotezė</w:t>
      </w:r>
      <w:r w:rsidR="006F77D9" w:rsidRPr="00555009">
        <w:rPr>
          <w:i/>
          <w:sz w:val="26"/>
          <w:szCs w:val="26"/>
          <w:lang w:val="lt-LT"/>
        </w:rPr>
        <w:t>s</w:t>
      </w:r>
      <w:r w:rsidR="003D6253" w:rsidRPr="00555009">
        <w:rPr>
          <w:i/>
          <w:sz w:val="26"/>
          <w:szCs w:val="26"/>
          <w:lang w:val="lt-LT"/>
        </w:rPr>
        <w:t xml:space="preserve"> (H</w:t>
      </w:r>
      <w:r w:rsidR="003D6253" w:rsidRPr="00555009">
        <w:rPr>
          <w:i/>
          <w:sz w:val="26"/>
          <w:szCs w:val="26"/>
          <w:vertAlign w:val="subscript"/>
          <w:lang w:val="lt-LT"/>
        </w:rPr>
        <w:t>2</w:t>
      </w:r>
      <w:r w:rsidR="003D6253" w:rsidRPr="00555009">
        <w:rPr>
          <w:i/>
          <w:sz w:val="26"/>
          <w:szCs w:val="26"/>
          <w:lang w:val="lt-LT"/>
        </w:rPr>
        <w:t>)</w:t>
      </w:r>
      <w:r w:rsidR="006F77D9" w:rsidRPr="00555009">
        <w:rPr>
          <w:i/>
          <w:sz w:val="26"/>
          <w:szCs w:val="26"/>
          <w:lang w:val="lt-LT"/>
        </w:rPr>
        <w:t xml:space="preserve">, jog </w:t>
      </w:r>
      <w:r w:rsidR="00E47655" w:rsidRPr="00555009">
        <w:rPr>
          <w:i/>
          <w:sz w:val="26"/>
          <w:szCs w:val="26"/>
          <w:lang w:val="lt-LT"/>
        </w:rPr>
        <w:t xml:space="preserve">turi būti </w:t>
      </w:r>
      <w:r w:rsidR="006F77D9" w:rsidRPr="00555009">
        <w:rPr>
          <w:i/>
          <w:sz w:val="26"/>
          <w:szCs w:val="26"/>
          <w:lang w:val="lt-LT"/>
        </w:rPr>
        <w:t xml:space="preserve">„atliekamas bendras reikšmingo iškraipymo rizikos tvirtinimo lygmeniu, o ne atskirų įgimtos ir kontrolės rizikų vertinimas, kai audituojamos įmonės kontrolės procedūros yra skirtos </w:t>
      </w:r>
      <w:r w:rsidR="006F77D9" w:rsidRPr="00555009">
        <w:rPr>
          <w:i/>
          <w:color w:val="000000" w:themeColor="text1"/>
          <w:sz w:val="26"/>
          <w:szCs w:val="26"/>
          <w:lang w:val="lt-LT"/>
        </w:rPr>
        <w:t>sumažinti finansinių ataskaitų elementui būdingą įgimtą riziką“,</w:t>
      </w:r>
      <w:r w:rsidR="003D6253" w:rsidRPr="00555009">
        <w:rPr>
          <w:i/>
          <w:sz w:val="26"/>
          <w:szCs w:val="26"/>
          <w:lang w:val="lt-LT"/>
        </w:rPr>
        <w:t xml:space="preserve"> </w:t>
      </w:r>
      <w:r w:rsidR="006F77D9" w:rsidRPr="00555009">
        <w:rPr>
          <w:i/>
          <w:sz w:val="26"/>
          <w:szCs w:val="26"/>
          <w:lang w:val="lt-LT"/>
        </w:rPr>
        <w:t>formuluotę.</w:t>
      </w:r>
    </w:p>
    <w:p w:rsidR="00D14E45" w:rsidRDefault="00D14E45" w:rsidP="00197C60">
      <w:pPr>
        <w:pStyle w:val="NormalWeb"/>
        <w:spacing w:before="0" w:beforeAutospacing="0" w:after="0" w:afterAutospacing="0" w:line="360" w:lineRule="auto"/>
        <w:ind w:firstLine="720"/>
        <w:jc w:val="both"/>
        <w:rPr>
          <w:sz w:val="26"/>
          <w:szCs w:val="26"/>
          <w:lang w:val="lt-LT"/>
        </w:rPr>
      </w:pPr>
      <w:r w:rsidRPr="00555009">
        <w:rPr>
          <w:sz w:val="26"/>
          <w:szCs w:val="26"/>
          <w:lang w:val="lt-LT"/>
        </w:rPr>
        <w:t>T</w:t>
      </w:r>
      <w:r w:rsidR="00E966C1" w:rsidRPr="00555009">
        <w:rPr>
          <w:sz w:val="26"/>
          <w:szCs w:val="26"/>
          <w:lang w:val="lt-LT"/>
        </w:rPr>
        <w:t>oliau</w:t>
      </w:r>
      <w:r w:rsidR="00B104D3">
        <w:rPr>
          <w:sz w:val="26"/>
          <w:szCs w:val="26"/>
          <w:lang w:val="lt-LT"/>
        </w:rPr>
        <w:t>, audito metu</w:t>
      </w:r>
      <w:r w:rsidR="00E966C1" w:rsidRPr="00555009">
        <w:rPr>
          <w:sz w:val="26"/>
          <w:szCs w:val="26"/>
          <w:lang w:val="lt-LT"/>
        </w:rPr>
        <w:t>, atsižvelgiant į gautą reikšmingo iškraipymo rizikos tvirtinimo lygmeniu apskaičiavimą, įvertin</w:t>
      </w:r>
      <w:r w:rsidRPr="00555009">
        <w:rPr>
          <w:sz w:val="26"/>
          <w:szCs w:val="26"/>
          <w:lang w:val="lt-LT"/>
        </w:rPr>
        <w:t>a</w:t>
      </w:r>
      <w:r w:rsidR="00E966C1" w:rsidRPr="00555009">
        <w:rPr>
          <w:sz w:val="26"/>
          <w:szCs w:val="26"/>
          <w:lang w:val="lt-LT"/>
        </w:rPr>
        <w:t>m</w:t>
      </w:r>
      <w:r w:rsidRPr="00555009">
        <w:rPr>
          <w:sz w:val="26"/>
          <w:szCs w:val="26"/>
          <w:lang w:val="lt-LT"/>
        </w:rPr>
        <w:t>a</w:t>
      </w:r>
      <w:r w:rsidR="00E966C1" w:rsidRPr="00555009">
        <w:rPr>
          <w:sz w:val="26"/>
          <w:szCs w:val="26"/>
          <w:lang w:val="lt-LT"/>
        </w:rPr>
        <w:t xml:space="preserve"> aptikimo rizika </w:t>
      </w:r>
      <w:r w:rsidRPr="00555009">
        <w:rPr>
          <w:sz w:val="26"/>
          <w:szCs w:val="26"/>
          <w:lang w:val="lt-LT"/>
        </w:rPr>
        <w:t>šio tvirtinimo lygmeniu</w:t>
      </w:r>
      <w:r w:rsidR="00E801A8">
        <w:rPr>
          <w:sz w:val="26"/>
          <w:szCs w:val="26"/>
          <w:lang w:val="lt-LT"/>
        </w:rPr>
        <w:t>. Šis įvertinimas gr</w:t>
      </w:r>
      <w:r w:rsidR="00E823F8">
        <w:rPr>
          <w:sz w:val="26"/>
          <w:szCs w:val="26"/>
          <w:lang w:val="lt-LT"/>
        </w:rPr>
        <w:t xml:space="preserve">indžiamas </w:t>
      </w:r>
      <w:r w:rsidR="00E801A8">
        <w:rPr>
          <w:sz w:val="26"/>
          <w:szCs w:val="26"/>
          <w:lang w:val="lt-LT"/>
        </w:rPr>
        <w:t>atvirkštinės priklausomybės ryšiu</w:t>
      </w:r>
      <w:r w:rsidR="00E823F8">
        <w:rPr>
          <w:sz w:val="26"/>
          <w:szCs w:val="26"/>
          <w:lang w:val="lt-LT"/>
        </w:rPr>
        <w:t xml:space="preserve">, kaip </w:t>
      </w:r>
      <w:r w:rsidR="00E823F8">
        <w:rPr>
          <w:sz w:val="26"/>
          <w:szCs w:val="26"/>
          <w:lang w:val="lt-LT"/>
        </w:rPr>
        <w:lastRenderedPageBreak/>
        <w:t xml:space="preserve">nurodyta audito rizikos vertinimo schemoje (20 pav.). Aptikimo rizikos ir jos komponenčių sąveikos įvertinimas </w:t>
      </w:r>
      <w:r w:rsidR="00421EB1" w:rsidRPr="00555009">
        <w:rPr>
          <w:sz w:val="26"/>
          <w:szCs w:val="26"/>
          <w:lang w:val="lt-LT"/>
        </w:rPr>
        <w:t>apibendrint</w:t>
      </w:r>
      <w:r w:rsidR="00E823F8">
        <w:rPr>
          <w:sz w:val="26"/>
          <w:szCs w:val="26"/>
          <w:lang w:val="lt-LT"/>
        </w:rPr>
        <w:t>as</w:t>
      </w:r>
      <w:r w:rsidR="00421EB1" w:rsidRPr="00555009">
        <w:rPr>
          <w:sz w:val="26"/>
          <w:szCs w:val="26"/>
          <w:lang w:val="lt-LT"/>
        </w:rPr>
        <w:t xml:space="preserve"> </w:t>
      </w:r>
      <w:r w:rsidR="00FA1D98">
        <w:rPr>
          <w:sz w:val="26"/>
          <w:szCs w:val="26"/>
          <w:lang w:val="lt-LT"/>
        </w:rPr>
        <w:t>3</w:t>
      </w:r>
      <w:r w:rsidR="00FA1D98" w:rsidRPr="00D849D7">
        <w:rPr>
          <w:sz w:val="26"/>
          <w:szCs w:val="26"/>
          <w:lang w:val="lt-LT"/>
        </w:rPr>
        <w:t>0</w:t>
      </w:r>
      <w:r w:rsidR="00421EB1" w:rsidRPr="00D849D7">
        <w:rPr>
          <w:sz w:val="26"/>
          <w:szCs w:val="26"/>
          <w:lang w:val="lt-LT"/>
        </w:rPr>
        <w:t xml:space="preserve"> lentelėje</w:t>
      </w:r>
      <w:r w:rsidRPr="00555009">
        <w:rPr>
          <w:sz w:val="26"/>
          <w:szCs w:val="26"/>
          <w:lang w:val="lt-LT"/>
        </w:rPr>
        <w:t>.</w:t>
      </w:r>
    </w:p>
    <w:p w:rsidR="00D14E45" w:rsidRPr="00555009" w:rsidRDefault="00FA1D98" w:rsidP="00D14E45">
      <w:pPr>
        <w:spacing w:line="360" w:lineRule="auto"/>
        <w:ind w:firstLine="720"/>
        <w:jc w:val="right"/>
        <w:rPr>
          <w:i/>
          <w:sz w:val="26"/>
          <w:szCs w:val="26"/>
          <w:lang w:val="lt-LT"/>
        </w:rPr>
      </w:pPr>
      <w:r>
        <w:rPr>
          <w:i/>
          <w:sz w:val="26"/>
          <w:szCs w:val="26"/>
          <w:lang w:val="lt-LT"/>
        </w:rPr>
        <w:t>30</w:t>
      </w:r>
      <w:r w:rsidR="00D14E45" w:rsidRPr="00555009">
        <w:rPr>
          <w:i/>
          <w:sz w:val="26"/>
          <w:szCs w:val="26"/>
          <w:lang w:val="lt-LT"/>
        </w:rPr>
        <w:t xml:space="preserve"> lentelė</w:t>
      </w:r>
    </w:p>
    <w:p w:rsidR="00D14E45" w:rsidRPr="00555009" w:rsidRDefault="00D14E45" w:rsidP="00D14E45">
      <w:pPr>
        <w:pStyle w:val="NormalWeb"/>
        <w:spacing w:before="0" w:beforeAutospacing="0" w:after="0" w:afterAutospacing="0" w:line="360" w:lineRule="auto"/>
        <w:ind w:firstLine="720"/>
        <w:jc w:val="center"/>
        <w:rPr>
          <w:sz w:val="26"/>
          <w:szCs w:val="26"/>
          <w:lang w:val="lt-LT"/>
        </w:rPr>
      </w:pPr>
      <w:r w:rsidRPr="00555009">
        <w:rPr>
          <w:b/>
          <w:sz w:val="26"/>
          <w:szCs w:val="26"/>
          <w:lang w:val="lt-LT"/>
        </w:rPr>
        <w:t>UAB „Šiluma“ a</w:t>
      </w:r>
      <w:r w:rsidR="00421EB1" w:rsidRPr="00555009">
        <w:rPr>
          <w:b/>
          <w:sz w:val="26"/>
          <w:szCs w:val="26"/>
          <w:lang w:val="lt-LT"/>
        </w:rPr>
        <w:t>ptikimo</w:t>
      </w:r>
      <w:r w:rsidRPr="00555009">
        <w:rPr>
          <w:b/>
          <w:sz w:val="26"/>
          <w:szCs w:val="26"/>
          <w:lang w:val="lt-LT"/>
        </w:rPr>
        <w:t xml:space="preserve"> rizikos tvirtinimo lygmeniu vertinimas</w:t>
      </w:r>
    </w:p>
    <w:tbl>
      <w:tblPr>
        <w:tblStyle w:val="TableGrid"/>
        <w:tblW w:w="0" w:type="auto"/>
        <w:jc w:val="center"/>
        <w:tblInd w:w="117" w:type="dxa"/>
        <w:tblLook w:val="04A0"/>
      </w:tblPr>
      <w:tblGrid>
        <w:gridCol w:w="2885"/>
        <w:gridCol w:w="678"/>
        <w:gridCol w:w="1165"/>
        <w:gridCol w:w="992"/>
        <w:gridCol w:w="2657"/>
      </w:tblGrid>
      <w:tr w:rsidR="00421EB1" w:rsidRPr="00555009" w:rsidTr="00626C40">
        <w:trPr>
          <w:cantSplit/>
          <w:trHeight w:val="1499"/>
          <w:jc w:val="center"/>
        </w:trPr>
        <w:tc>
          <w:tcPr>
            <w:tcW w:w="2885" w:type="dxa"/>
            <w:vAlign w:val="center"/>
          </w:tcPr>
          <w:p w:rsidR="00421EB1" w:rsidRPr="00555009" w:rsidRDefault="00421EB1" w:rsidP="00BA0639">
            <w:pPr>
              <w:pStyle w:val="NormalWeb"/>
              <w:spacing w:before="0" w:beforeAutospacing="0" w:after="0" w:afterAutospacing="0"/>
              <w:jc w:val="center"/>
              <w:rPr>
                <w:b/>
                <w:sz w:val="22"/>
                <w:szCs w:val="22"/>
                <w:lang w:val="lt-LT"/>
              </w:rPr>
            </w:pPr>
            <w:r w:rsidRPr="00555009">
              <w:rPr>
                <w:b/>
                <w:sz w:val="22"/>
                <w:szCs w:val="22"/>
                <w:lang w:val="lt-LT"/>
              </w:rPr>
              <w:t>Finansinių ataskaitų elementas</w:t>
            </w:r>
          </w:p>
        </w:tc>
        <w:tc>
          <w:tcPr>
            <w:tcW w:w="678" w:type="dxa"/>
            <w:textDirection w:val="btLr"/>
            <w:vAlign w:val="center"/>
          </w:tcPr>
          <w:p w:rsidR="00421EB1" w:rsidRPr="00555009" w:rsidRDefault="00421EB1" w:rsidP="00BA0639">
            <w:pPr>
              <w:pStyle w:val="NormalWeb"/>
              <w:spacing w:before="0" w:beforeAutospacing="0" w:after="0" w:afterAutospacing="0"/>
              <w:ind w:left="113" w:right="113"/>
              <w:jc w:val="center"/>
              <w:rPr>
                <w:b/>
                <w:sz w:val="22"/>
                <w:szCs w:val="22"/>
                <w:lang w:val="lt-LT"/>
              </w:rPr>
            </w:pPr>
            <w:r w:rsidRPr="00555009">
              <w:rPr>
                <w:b/>
                <w:sz w:val="22"/>
                <w:szCs w:val="22"/>
                <w:lang w:val="lt-LT"/>
              </w:rPr>
              <w:t>Susijęs tvirtinimas</w:t>
            </w:r>
          </w:p>
        </w:tc>
        <w:tc>
          <w:tcPr>
            <w:tcW w:w="1165" w:type="dxa"/>
            <w:textDirection w:val="btLr"/>
            <w:vAlign w:val="center"/>
          </w:tcPr>
          <w:p w:rsidR="00421EB1" w:rsidRPr="00555009" w:rsidRDefault="00421EB1" w:rsidP="00BA0639">
            <w:pPr>
              <w:pStyle w:val="NormalWeb"/>
              <w:spacing w:before="0" w:beforeAutospacing="0" w:after="0" w:afterAutospacing="0"/>
              <w:ind w:left="113" w:right="113"/>
              <w:jc w:val="center"/>
              <w:rPr>
                <w:b/>
                <w:sz w:val="22"/>
                <w:szCs w:val="22"/>
                <w:lang w:val="lt-LT"/>
              </w:rPr>
            </w:pPr>
            <w:r w:rsidRPr="00555009">
              <w:rPr>
                <w:b/>
                <w:sz w:val="22"/>
                <w:szCs w:val="22"/>
                <w:lang w:val="lt-LT"/>
              </w:rPr>
              <w:t>R</w:t>
            </w:r>
            <w:r w:rsidR="00CB7528" w:rsidRPr="00555009">
              <w:rPr>
                <w:b/>
                <w:sz w:val="22"/>
                <w:szCs w:val="22"/>
                <w:lang w:val="lt-LT"/>
              </w:rPr>
              <w:t>MM</w:t>
            </w:r>
            <w:r w:rsidRPr="00555009">
              <w:rPr>
                <w:b/>
                <w:sz w:val="22"/>
                <w:szCs w:val="22"/>
                <w:lang w:val="lt-LT"/>
              </w:rPr>
              <w:t xml:space="preserve"> tvirtinimo lygmeniu</w:t>
            </w:r>
          </w:p>
        </w:tc>
        <w:tc>
          <w:tcPr>
            <w:tcW w:w="992" w:type="dxa"/>
            <w:textDirection w:val="btLr"/>
            <w:vAlign w:val="center"/>
          </w:tcPr>
          <w:p w:rsidR="00421EB1" w:rsidRPr="00555009" w:rsidRDefault="00421EB1" w:rsidP="00BA0639">
            <w:pPr>
              <w:pStyle w:val="NormalWeb"/>
              <w:spacing w:before="0" w:beforeAutospacing="0" w:after="0" w:afterAutospacing="0"/>
              <w:ind w:left="113" w:right="113"/>
              <w:jc w:val="center"/>
              <w:rPr>
                <w:b/>
                <w:sz w:val="22"/>
                <w:szCs w:val="22"/>
                <w:lang w:val="lt-LT"/>
              </w:rPr>
            </w:pPr>
            <w:r w:rsidRPr="00555009">
              <w:rPr>
                <w:b/>
                <w:sz w:val="22"/>
                <w:szCs w:val="22"/>
                <w:lang w:val="lt-LT"/>
              </w:rPr>
              <w:t>Aptikimo rizika</w:t>
            </w:r>
          </w:p>
        </w:tc>
        <w:tc>
          <w:tcPr>
            <w:tcW w:w="2657" w:type="dxa"/>
            <w:vAlign w:val="center"/>
          </w:tcPr>
          <w:p w:rsidR="00421EB1" w:rsidRPr="00555009" w:rsidRDefault="00421EB1" w:rsidP="00BA0639">
            <w:pPr>
              <w:pStyle w:val="NormalWeb"/>
              <w:spacing w:before="0" w:beforeAutospacing="0" w:after="0" w:afterAutospacing="0"/>
              <w:jc w:val="center"/>
              <w:rPr>
                <w:b/>
                <w:sz w:val="22"/>
                <w:szCs w:val="22"/>
                <w:lang w:val="lt-LT"/>
              </w:rPr>
            </w:pPr>
            <w:r w:rsidRPr="00555009">
              <w:rPr>
                <w:b/>
                <w:sz w:val="22"/>
                <w:szCs w:val="22"/>
                <w:lang w:val="lt-LT"/>
              </w:rPr>
              <w:t>Aptikimo rizikos komponentų vertinimas</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 xml:space="preserve">Ilgalaikis materialusis turtas </w:t>
            </w:r>
          </w:p>
        </w:tc>
        <w:tc>
          <w:tcPr>
            <w:tcW w:w="678" w:type="dxa"/>
          </w:tcPr>
          <w:p w:rsidR="00421EB1" w:rsidRPr="00555009" w:rsidRDefault="00421EB1" w:rsidP="00BA0639">
            <w:pPr>
              <w:pStyle w:val="NormalWeb"/>
              <w:spacing w:before="0" w:beforeAutospacing="0" w:after="0" w:afterAutospacing="0"/>
              <w:jc w:val="center"/>
              <w:rPr>
                <w:sz w:val="22"/>
                <w:szCs w:val="22"/>
                <w:lang w:val="lt-LT"/>
              </w:rPr>
            </w:pPr>
            <w:r w:rsidRPr="00555009">
              <w:rPr>
                <w:sz w:val="22"/>
                <w:szCs w:val="22"/>
                <w:lang w:val="lt-LT"/>
              </w:rPr>
              <w:t>B</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PfR – vidutinė</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Ilgalaikis materialusis turtas</w:t>
            </w:r>
          </w:p>
        </w:tc>
        <w:tc>
          <w:tcPr>
            <w:tcW w:w="678" w:type="dxa"/>
          </w:tcPr>
          <w:p w:rsidR="00421EB1" w:rsidRPr="00555009"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Vidutinė</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Vidutinė</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PfR – maža</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 xml:space="preserve">Atidėtojo mokesčio turtas </w:t>
            </w:r>
          </w:p>
        </w:tc>
        <w:tc>
          <w:tcPr>
            <w:tcW w:w="678" w:type="dxa"/>
          </w:tcPr>
          <w:p w:rsidR="00421EB1" w:rsidRPr="00555009"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2657" w:type="dxa"/>
          </w:tcPr>
          <w:p w:rsidR="00421EB1" w:rsidRPr="00555009" w:rsidRDefault="00421EB1" w:rsidP="00421EB1">
            <w:pPr>
              <w:pStyle w:val="NormalWeb"/>
              <w:spacing w:before="0" w:beforeAutospacing="0" w:after="0" w:afterAutospacing="0"/>
              <w:rPr>
                <w:sz w:val="22"/>
                <w:szCs w:val="22"/>
                <w:lang w:val="lt-LT"/>
              </w:rPr>
            </w:pPr>
            <w:r w:rsidRPr="00555009">
              <w:rPr>
                <w:sz w:val="22"/>
                <w:szCs w:val="22"/>
                <w:lang w:val="lt-LT"/>
              </w:rPr>
              <w:t>ApR, AtR– maža, PfR – negalima</w:t>
            </w:r>
          </w:p>
        </w:tc>
      </w:tr>
      <w:tr w:rsidR="00421EB1" w:rsidRPr="00555009" w:rsidTr="00626C40">
        <w:trPr>
          <w:jc w:val="center"/>
        </w:trPr>
        <w:tc>
          <w:tcPr>
            <w:tcW w:w="2885" w:type="dxa"/>
          </w:tcPr>
          <w:p w:rsidR="00421EB1" w:rsidRPr="00555009" w:rsidRDefault="00421EB1" w:rsidP="00626C40">
            <w:pPr>
              <w:pStyle w:val="NormalWeb"/>
              <w:spacing w:before="0" w:beforeAutospacing="0" w:after="0" w:afterAutospacing="0"/>
              <w:jc w:val="both"/>
              <w:rPr>
                <w:sz w:val="22"/>
                <w:szCs w:val="22"/>
                <w:lang w:val="lt-LT"/>
              </w:rPr>
            </w:pPr>
            <w:r w:rsidRPr="00555009">
              <w:rPr>
                <w:sz w:val="22"/>
                <w:szCs w:val="22"/>
                <w:lang w:val="lt-LT"/>
              </w:rPr>
              <w:t>Žaliavos ir komplekt</w:t>
            </w:r>
            <w:r w:rsidR="00626C40">
              <w:rPr>
                <w:sz w:val="22"/>
                <w:szCs w:val="22"/>
                <w:lang w:val="lt-LT"/>
              </w:rPr>
              <w:t>avimo</w:t>
            </w:r>
            <w:r w:rsidR="006479B5">
              <w:rPr>
                <w:sz w:val="22"/>
                <w:szCs w:val="22"/>
                <w:lang w:val="lt-LT"/>
              </w:rPr>
              <w:t xml:space="preserve"> </w:t>
            </w:r>
            <w:r w:rsidRPr="00555009">
              <w:rPr>
                <w:sz w:val="22"/>
                <w:szCs w:val="22"/>
                <w:lang w:val="lt-LT"/>
              </w:rPr>
              <w:t>gaminiai</w:t>
            </w:r>
          </w:p>
        </w:tc>
        <w:tc>
          <w:tcPr>
            <w:tcW w:w="678" w:type="dxa"/>
          </w:tcPr>
          <w:p w:rsidR="00421EB1" w:rsidRPr="00555009" w:rsidRDefault="00421EB1" w:rsidP="00BA0639">
            <w:pPr>
              <w:pStyle w:val="NormalWeb"/>
              <w:spacing w:before="0" w:beforeAutospacing="0" w:after="0" w:afterAutospacing="0"/>
              <w:jc w:val="center"/>
              <w:rPr>
                <w:sz w:val="22"/>
                <w:szCs w:val="22"/>
                <w:lang w:val="lt-LT"/>
              </w:rPr>
            </w:pPr>
            <w:r w:rsidRPr="00555009">
              <w:rPr>
                <w:sz w:val="22"/>
                <w:szCs w:val="22"/>
                <w:lang w:val="lt-LT"/>
              </w:rPr>
              <w:t>B</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Didėlė</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PfR – vidutinė</w:t>
            </w:r>
          </w:p>
        </w:tc>
      </w:tr>
      <w:tr w:rsidR="00421EB1" w:rsidRPr="00555009" w:rsidTr="00626C40">
        <w:trPr>
          <w:jc w:val="center"/>
        </w:trPr>
        <w:tc>
          <w:tcPr>
            <w:tcW w:w="2885" w:type="dxa"/>
          </w:tcPr>
          <w:p w:rsidR="00421EB1" w:rsidRPr="00555009" w:rsidRDefault="00421EB1" w:rsidP="00626C40">
            <w:pPr>
              <w:pStyle w:val="NormalWeb"/>
              <w:spacing w:before="0" w:beforeAutospacing="0" w:after="0" w:afterAutospacing="0"/>
              <w:jc w:val="both"/>
              <w:rPr>
                <w:sz w:val="22"/>
                <w:szCs w:val="22"/>
                <w:lang w:val="lt-LT"/>
              </w:rPr>
            </w:pPr>
            <w:r w:rsidRPr="00555009">
              <w:rPr>
                <w:sz w:val="22"/>
                <w:szCs w:val="22"/>
                <w:lang w:val="lt-LT"/>
              </w:rPr>
              <w:t xml:space="preserve">Žaliavos ir </w:t>
            </w:r>
            <w:r w:rsidR="00626C40" w:rsidRPr="00555009">
              <w:rPr>
                <w:sz w:val="22"/>
                <w:szCs w:val="22"/>
                <w:lang w:val="lt-LT"/>
              </w:rPr>
              <w:t>komplekt</w:t>
            </w:r>
            <w:r w:rsidR="00626C40">
              <w:rPr>
                <w:sz w:val="22"/>
                <w:szCs w:val="22"/>
                <w:lang w:val="lt-LT"/>
              </w:rPr>
              <w:t>avimo</w:t>
            </w:r>
            <w:r w:rsidRPr="00555009">
              <w:rPr>
                <w:sz w:val="22"/>
                <w:szCs w:val="22"/>
                <w:lang w:val="lt-LT"/>
              </w:rPr>
              <w:t xml:space="preserve"> gaminiai</w:t>
            </w:r>
          </w:p>
        </w:tc>
        <w:tc>
          <w:tcPr>
            <w:tcW w:w="678" w:type="dxa"/>
          </w:tcPr>
          <w:p w:rsidR="00421EB1" w:rsidRPr="00555009"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maža, PfR – negalima</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Pirkėjų įsiskolinimas</w:t>
            </w:r>
          </w:p>
        </w:tc>
        <w:tc>
          <w:tcPr>
            <w:tcW w:w="678" w:type="dxa"/>
          </w:tcPr>
          <w:p w:rsidR="00421EB1" w:rsidRPr="00555009" w:rsidRDefault="00421EB1" w:rsidP="00BA0639">
            <w:pPr>
              <w:pStyle w:val="NormalWeb"/>
              <w:spacing w:before="0" w:beforeAutospacing="0" w:after="0" w:afterAutospacing="0"/>
              <w:jc w:val="center"/>
              <w:rPr>
                <w:sz w:val="22"/>
                <w:szCs w:val="22"/>
                <w:lang w:val="lt-LT"/>
              </w:rPr>
            </w:pPr>
            <w:r w:rsidRPr="00555009">
              <w:rPr>
                <w:sz w:val="22"/>
                <w:szCs w:val="22"/>
                <w:lang w:val="lt-LT"/>
              </w:rPr>
              <w:t>B</w:t>
            </w:r>
          </w:p>
        </w:tc>
        <w:tc>
          <w:tcPr>
            <w:tcW w:w="1165" w:type="dxa"/>
          </w:tcPr>
          <w:p w:rsidR="00421EB1" w:rsidRPr="00555009" w:rsidRDefault="008B0A0F"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992" w:type="dxa"/>
          </w:tcPr>
          <w:p w:rsidR="00421EB1" w:rsidRPr="00555009" w:rsidRDefault="005C2B7A"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2657" w:type="dxa"/>
          </w:tcPr>
          <w:p w:rsidR="00421EB1" w:rsidRPr="00555009" w:rsidRDefault="005C2B7A" w:rsidP="00C13EF0">
            <w:pPr>
              <w:pStyle w:val="NormalWeb"/>
              <w:spacing w:before="0" w:beforeAutospacing="0" w:after="0" w:afterAutospacing="0"/>
              <w:rPr>
                <w:sz w:val="22"/>
                <w:szCs w:val="22"/>
                <w:lang w:val="lt-LT"/>
              </w:rPr>
            </w:pPr>
            <w:r w:rsidRPr="00555009">
              <w:rPr>
                <w:sz w:val="22"/>
                <w:szCs w:val="22"/>
                <w:lang w:val="lt-LT"/>
              </w:rPr>
              <w:t>ApR, AtR, PfR – vidutinė</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Pirkėjų įsiskolinimas</w:t>
            </w:r>
          </w:p>
        </w:tc>
        <w:tc>
          <w:tcPr>
            <w:tcW w:w="678" w:type="dxa"/>
          </w:tcPr>
          <w:p w:rsidR="00421EB1" w:rsidRPr="00555009"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2657" w:type="dxa"/>
          </w:tcPr>
          <w:p w:rsidR="00421EB1" w:rsidRPr="00555009" w:rsidRDefault="005C2B7A" w:rsidP="00C13EF0">
            <w:pPr>
              <w:pStyle w:val="NormalWeb"/>
              <w:spacing w:before="0" w:beforeAutospacing="0" w:after="0" w:afterAutospacing="0"/>
              <w:rPr>
                <w:sz w:val="22"/>
                <w:szCs w:val="22"/>
                <w:lang w:val="lt-LT"/>
              </w:rPr>
            </w:pPr>
            <w:r w:rsidRPr="00555009">
              <w:rPr>
                <w:sz w:val="22"/>
                <w:szCs w:val="22"/>
                <w:lang w:val="lt-LT"/>
              </w:rPr>
              <w:t>ApR, AtR– maža, PfR – negalima</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 xml:space="preserve">Pinigai ir pinigų ekvivalentai </w:t>
            </w:r>
          </w:p>
        </w:tc>
        <w:tc>
          <w:tcPr>
            <w:tcW w:w="678" w:type="dxa"/>
          </w:tcPr>
          <w:p w:rsidR="00421EB1" w:rsidRPr="00555009" w:rsidRDefault="00421EB1" w:rsidP="00BA0639">
            <w:pPr>
              <w:pStyle w:val="NormalWeb"/>
              <w:spacing w:before="0" w:beforeAutospacing="0" w:after="0" w:afterAutospacing="0"/>
              <w:jc w:val="center"/>
              <w:rPr>
                <w:sz w:val="22"/>
                <w:szCs w:val="22"/>
                <w:lang w:val="lt-LT"/>
              </w:rPr>
            </w:pPr>
            <w:r w:rsidRPr="00555009">
              <w:rPr>
                <w:sz w:val="22"/>
                <w:szCs w:val="22"/>
                <w:lang w:val="lt-LT"/>
              </w:rPr>
              <w:t>B</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PfR – vidutinė</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Skolos kredito įstaigoms</w:t>
            </w:r>
          </w:p>
        </w:tc>
        <w:tc>
          <w:tcPr>
            <w:tcW w:w="678" w:type="dxa"/>
          </w:tcPr>
          <w:p w:rsidR="00421EB1" w:rsidRPr="00555009"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maža, PfR – negalima</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Skolos tiekėjams</w:t>
            </w:r>
          </w:p>
        </w:tc>
        <w:tc>
          <w:tcPr>
            <w:tcW w:w="678" w:type="dxa"/>
          </w:tcPr>
          <w:p w:rsidR="00421EB1" w:rsidRPr="00555009" w:rsidRDefault="00421EB1" w:rsidP="00BA0639">
            <w:pPr>
              <w:pStyle w:val="NormalWeb"/>
              <w:spacing w:before="0" w:beforeAutospacing="0" w:after="0" w:afterAutospacing="0"/>
              <w:jc w:val="center"/>
              <w:rPr>
                <w:sz w:val="22"/>
                <w:szCs w:val="22"/>
                <w:lang w:val="lt-LT"/>
              </w:rPr>
            </w:pPr>
            <w:r w:rsidRPr="00555009">
              <w:rPr>
                <w:sz w:val="22"/>
                <w:szCs w:val="22"/>
                <w:lang w:val="lt-LT"/>
              </w:rPr>
              <w:t>I</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PfR – vidutinė</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 xml:space="preserve">Su darbo santykiais susiję įsipareigojimai </w:t>
            </w:r>
          </w:p>
        </w:tc>
        <w:tc>
          <w:tcPr>
            <w:tcW w:w="678" w:type="dxa"/>
          </w:tcPr>
          <w:p w:rsidR="00421EB1" w:rsidRPr="00555009" w:rsidRDefault="00421EB1" w:rsidP="00BA0639">
            <w:pPr>
              <w:pStyle w:val="NormalWeb"/>
              <w:spacing w:before="0" w:beforeAutospacing="0" w:after="0" w:afterAutospacing="0"/>
              <w:jc w:val="center"/>
              <w:rPr>
                <w:sz w:val="22"/>
                <w:szCs w:val="22"/>
                <w:lang w:val="lt-LT"/>
              </w:rPr>
            </w:pPr>
            <w:r w:rsidRPr="00555009">
              <w:rPr>
                <w:sz w:val="22"/>
                <w:szCs w:val="22"/>
                <w:lang w:val="lt-LT"/>
              </w:rPr>
              <w:t>I</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PfR – vidutinė</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Pardavimo pajamos</w:t>
            </w:r>
          </w:p>
        </w:tc>
        <w:tc>
          <w:tcPr>
            <w:tcW w:w="678" w:type="dxa"/>
          </w:tcPr>
          <w:p w:rsidR="00421EB1" w:rsidRPr="00555009" w:rsidRDefault="00421EB1" w:rsidP="00BA0639">
            <w:pPr>
              <w:pStyle w:val="NormalWeb"/>
              <w:spacing w:before="0" w:beforeAutospacing="0" w:after="0" w:afterAutospacing="0"/>
              <w:jc w:val="center"/>
              <w:rPr>
                <w:sz w:val="22"/>
                <w:szCs w:val="22"/>
                <w:lang w:val="lt-LT"/>
              </w:rPr>
            </w:pPr>
            <w:r w:rsidRPr="00555009">
              <w:rPr>
                <w:sz w:val="22"/>
                <w:szCs w:val="22"/>
                <w:lang w:val="lt-LT"/>
              </w:rPr>
              <w:t>T</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Vidutinė</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Vidutinė</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PfR – maža</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 xml:space="preserve">Pardavimo savikaina </w:t>
            </w:r>
          </w:p>
        </w:tc>
        <w:tc>
          <w:tcPr>
            <w:tcW w:w="678" w:type="dxa"/>
          </w:tcPr>
          <w:p w:rsidR="00421EB1" w:rsidRPr="00555009" w:rsidRDefault="00421EB1" w:rsidP="00BA0639">
            <w:pPr>
              <w:pStyle w:val="NormalWeb"/>
              <w:spacing w:before="0" w:beforeAutospacing="0" w:after="0" w:afterAutospacing="0"/>
              <w:jc w:val="center"/>
              <w:rPr>
                <w:sz w:val="22"/>
                <w:szCs w:val="22"/>
                <w:lang w:val="lt-LT"/>
              </w:rPr>
            </w:pPr>
            <w:r w:rsidRPr="00555009">
              <w:rPr>
                <w:sz w:val="22"/>
                <w:szCs w:val="22"/>
                <w:lang w:val="lt-LT"/>
              </w:rPr>
              <w:t>T</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PfR – vidutinė</w:t>
            </w:r>
          </w:p>
        </w:tc>
      </w:tr>
      <w:tr w:rsidR="00421EB1" w:rsidRPr="00555009" w:rsidTr="00626C40">
        <w:trPr>
          <w:jc w:val="center"/>
        </w:trPr>
        <w:tc>
          <w:tcPr>
            <w:tcW w:w="2885" w:type="dxa"/>
          </w:tcPr>
          <w:p w:rsidR="00421EB1" w:rsidRPr="00555009" w:rsidRDefault="00421EB1" w:rsidP="003E3895">
            <w:pPr>
              <w:pStyle w:val="NormalWeb"/>
              <w:spacing w:before="0" w:beforeAutospacing="0" w:after="0" w:afterAutospacing="0"/>
              <w:jc w:val="both"/>
              <w:rPr>
                <w:sz w:val="22"/>
                <w:szCs w:val="22"/>
                <w:lang w:val="lt-LT"/>
              </w:rPr>
            </w:pPr>
            <w:r w:rsidRPr="00555009">
              <w:rPr>
                <w:sz w:val="22"/>
                <w:szCs w:val="22"/>
                <w:lang w:val="lt-LT"/>
              </w:rPr>
              <w:t xml:space="preserve">Veiklos sąnaudos </w:t>
            </w:r>
          </w:p>
        </w:tc>
        <w:tc>
          <w:tcPr>
            <w:tcW w:w="678" w:type="dxa"/>
          </w:tcPr>
          <w:p w:rsidR="00421EB1" w:rsidRPr="00555009" w:rsidRDefault="00421EB1" w:rsidP="00BA0639">
            <w:pPr>
              <w:pStyle w:val="NormalWeb"/>
              <w:spacing w:before="0" w:beforeAutospacing="0" w:after="0" w:afterAutospacing="0"/>
              <w:jc w:val="center"/>
              <w:rPr>
                <w:sz w:val="22"/>
                <w:szCs w:val="22"/>
                <w:lang w:val="lt-LT"/>
              </w:rPr>
            </w:pPr>
            <w:r w:rsidRPr="00555009">
              <w:rPr>
                <w:sz w:val="22"/>
                <w:szCs w:val="22"/>
                <w:lang w:val="lt-LT"/>
              </w:rPr>
              <w:t>T</w:t>
            </w:r>
          </w:p>
        </w:tc>
        <w:tc>
          <w:tcPr>
            <w:tcW w:w="1165"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Maža</w:t>
            </w:r>
          </w:p>
        </w:tc>
        <w:tc>
          <w:tcPr>
            <w:tcW w:w="992" w:type="dxa"/>
          </w:tcPr>
          <w:p w:rsidR="00421EB1" w:rsidRPr="00555009" w:rsidRDefault="00421EB1" w:rsidP="003E3895">
            <w:pPr>
              <w:pStyle w:val="NormalWeb"/>
              <w:spacing w:before="0" w:beforeAutospacing="0" w:after="0" w:afterAutospacing="0"/>
              <w:jc w:val="center"/>
              <w:rPr>
                <w:sz w:val="22"/>
                <w:szCs w:val="22"/>
                <w:lang w:val="lt-LT"/>
              </w:rPr>
            </w:pPr>
            <w:r w:rsidRPr="00555009">
              <w:rPr>
                <w:sz w:val="22"/>
                <w:szCs w:val="22"/>
                <w:lang w:val="lt-LT"/>
              </w:rPr>
              <w:t>Didelė</w:t>
            </w:r>
          </w:p>
        </w:tc>
        <w:tc>
          <w:tcPr>
            <w:tcW w:w="2657" w:type="dxa"/>
          </w:tcPr>
          <w:p w:rsidR="00421EB1" w:rsidRPr="00555009" w:rsidRDefault="00421EB1" w:rsidP="00C13EF0">
            <w:pPr>
              <w:pStyle w:val="NormalWeb"/>
              <w:spacing w:before="0" w:beforeAutospacing="0" w:after="0" w:afterAutospacing="0"/>
              <w:rPr>
                <w:sz w:val="22"/>
                <w:szCs w:val="22"/>
                <w:lang w:val="lt-LT"/>
              </w:rPr>
            </w:pPr>
            <w:r w:rsidRPr="00555009">
              <w:rPr>
                <w:sz w:val="22"/>
                <w:szCs w:val="22"/>
                <w:lang w:val="lt-LT"/>
              </w:rPr>
              <w:t>ApR, AtR, PfR – vidutinė</w:t>
            </w:r>
          </w:p>
        </w:tc>
      </w:tr>
    </w:tbl>
    <w:p w:rsidR="00BA0639" w:rsidRDefault="00DB65C8" w:rsidP="00884A1E">
      <w:pPr>
        <w:pStyle w:val="NormalWeb"/>
        <w:spacing w:before="0" w:beforeAutospacing="0" w:after="0" w:afterAutospacing="0" w:line="200" w:lineRule="exact"/>
        <w:jc w:val="both"/>
        <w:rPr>
          <w:sz w:val="20"/>
          <w:szCs w:val="20"/>
          <w:lang w:val="lt-LT"/>
        </w:rPr>
      </w:pPr>
      <w:r w:rsidRPr="00DB65C8">
        <w:rPr>
          <w:sz w:val="20"/>
          <w:szCs w:val="20"/>
          <w:lang w:val="lt-LT"/>
        </w:rPr>
        <w:t>Pastaba: R</w:t>
      </w:r>
      <w:r w:rsidR="00CB7528">
        <w:rPr>
          <w:sz w:val="20"/>
          <w:szCs w:val="20"/>
          <w:lang w:val="lt-LT"/>
        </w:rPr>
        <w:t>MM</w:t>
      </w:r>
      <w:r w:rsidRPr="00DB65C8">
        <w:rPr>
          <w:sz w:val="20"/>
          <w:szCs w:val="20"/>
          <w:lang w:val="lt-LT"/>
        </w:rPr>
        <w:t xml:space="preserve"> – reikšmingo iškraipymo rizika, ApR – </w:t>
      </w:r>
      <w:r w:rsidR="00F77152">
        <w:rPr>
          <w:sz w:val="20"/>
          <w:szCs w:val="20"/>
          <w:lang w:val="lt-LT"/>
        </w:rPr>
        <w:t>a</w:t>
      </w:r>
      <w:r w:rsidRPr="00DB65C8">
        <w:rPr>
          <w:sz w:val="20"/>
          <w:szCs w:val="20"/>
          <w:lang w:val="lt-LT"/>
        </w:rPr>
        <w:t xml:space="preserve">udito procedūrų rizika, AtR – </w:t>
      </w:r>
      <w:r w:rsidR="00F77152">
        <w:rPr>
          <w:sz w:val="20"/>
          <w:szCs w:val="20"/>
          <w:lang w:val="lt-LT"/>
        </w:rPr>
        <w:t>a</w:t>
      </w:r>
      <w:r w:rsidRPr="00DB65C8">
        <w:rPr>
          <w:sz w:val="20"/>
          <w:szCs w:val="20"/>
          <w:lang w:val="lt-LT"/>
        </w:rPr>
        <w:t xml:space="preserve">trankos rizika, PfR – </w:t>
      </w:r>
      <w:r w:rsidR="00F77152">
        <w:rPr>
          <w:sz w:val="20"/>
          <w:szCs w:val="20"/>
          <w:lang w:val="lt-LT"/>
        </w:rPr>
        <w:t>p</w:t>
      </w:r>
      <w:r w:rsidRPr="00DB65C8">
        <w:rPr>
          <w:sz w:val="20"/>
          <w:szCs w:val="20"/>
          <w:lang w:val="lt-LT"/>
        </w:rPr>
        <w:t>rofesinė rizika.</w:t>
      </w:r>
      <w:r w:rsidR="00BB333E">
        <w:rPr>
          <w:sz w:val="20"/>
          <w:szCs w:val="20"/>
          <w:lang w:val="lt-LT"/>
        </w:rPr>
        <w:t xml:space="preserve"> Susijęs tvirtinimas: B</w:t>
      </w:r>
      <w:r w:rsidR="00884A1E" w:rsidRPr="003E5F7B">
        <w:rPr>
          <w:sz w:val="26"/>
          <w:szCs w:val="26"/>
          <w:lang w:val="lt-LT"/>
        </w:rPr>
        <w:t xml:space="preserve"> </w:t>
      </w:r>
      <w:r w:rsidR="00884A1E">
        <w:rPr>
          <w:sz w:val="26"/>
          <w:szCs w:val="26"/>
          <w:lang w:val="lt-LT"/>
        </w:rPr>
        <w:t xml:space="preserve">– </w:t>
      </w:r>
      <w:r w:rsidR="00BA0639">
        <w:rPr>
          <w:sz w:val="20"/>
          <w:szCs w:val="20"/>
          <w:lang w:val="lt-LT"/>
        </w:rPr>
        <w:t>buvimas, V</w:t>
      </w:r>
      <w:r w:rsidR="00884A1E" w:rsidRPr="003E5F7B">
        <w:rPr>
          <w:sz w:val="26"/>
          <w:szCs w:val="26"/>
          <w:lang w:val="lt-LT"/>
        </w:rPr>
        <w:t xml:space="preserve"> </w:t>
      </w:r>
      <w:r w:rsidR="00884A1E">
        <w:rPr>
          <w:sz w:val="26"/>
          <w:szCs w:val="26"/>
          <w:lang w:val="lt-LT"/>
        </w:rPr>
        <w:t xml:space="preserve">– </w:t>
      </w:r>
      <w:r w:rsidR="00BA0639">
        <w:rPr>
          <w:sz w:val="20"/>
          <w:szCs w:val="20"/>
          <w:lang w:val="lt-LT"/>
        </w:rPr>
        <w:t>įvertinimas, I</w:t>
      </w:r>
      <w:r w:rsidR="00884A1E" w:rsidRPr="003E5F7B">
        <w:rPr>
          <w:sz w:val="26"/>
          <w:szCs w:val="26"/>
          <w:lang w:val="lt-LT"/>
        </w:rPr>
        <w:t xml:space="preserve"> </w:t>
      </w:r>
      <w:r w:rsidR="00884A1E">
        <w:rPr>
          <w:sz w:val="26"/>
          <w:szCs w:val="26"/>
          <w:lang w:val="lt-LT"/>
        </w:rPr>
        <w:t xml:space="preserve">– </w:t>
      </w:r>
      <w:r w:rsidR="00BA0639">
        <w:rPr>
          <w:sz w:val="20"/>
          <w:szCs w:val="20"/>
          <w:lang w:val="lt-LT"/>
        </w:rPr>
        <w:t>išsamumas, T</w:t>
      </w:r>
      <w:r w:rsidR="00884A1E" w:rsidRPr="003E5F7B">
        <w:rPr>
          <w:sz w:val="26"/>
          <w:szCs w:val="26"/>
          <w:lang w:val="lt-LT"/>
        </w:rPr>
        <w:t xml:space="preserve"> </w:t>
      </w:r>
      <w:r w:rsidR="00884A1E">
        <w:rPr>
          <w:sz w:val="26"/>
          <w:szCs w:val="26"/>
          <w:lang w:val="lt-LT"/>
        </w:rPr>
        <w:t xml:space="preserve">– </w:t>
      </w:r>
      <w:r w:rsidR="00BA0639">
        <w:rPr>
          <w:sz w:val="20"/>
          <w:szCs w:val="20"/>
          <w:lang w:val="lt-LT"/>
        </w:rPr>
        <w:t>tikslumas.</w:t>
      </w:r>
    </w:p>
    <w:p w:rsidR="002831E4" w:rsidRPr="002831E4" w:rsidRDefault="002831E4" w:rsidP="003F5D70">
      <w:pPr>
        <w:pStyle w:val="NormalWeb"/>
        <w:spacing w:before="60" w:beforeAutospacing="0" w:after="0" w:afterAutospacing="0" w:line="360" w:lineRule="auto"/>
        <w:jc w:val="both"/>
        <w:rPr>
          <w:sz w:val="20"/>
          <w:szCs w:val="20"/>
          <w:lang w:val="lt-LT"/>
        </w:rPr>
      </w:pPr>
      <w:r w:rsidRPr="002831E4">
        <w:rPr>
          <w:sz w:val="20"/>
          <w:szCs w:val="20"/>
          <w:lang w:val="lt-LT"/>
        </w:rPr>
        <w:t>Šaltinis:</w:t>
      </w:r>
      <w:r>
        <w:rPr>
          <w:sz w:val="20"/>
          <w:szCs w:val="20"/>
          <w:lang w:val="lt-LT"/>
        </w:rPr>
        <w:t xml:space="preserve"> sudaryta autorės.</w:t>
      </w:r>
    </w:p>
    <w:p w:rsidR="009F022C" w:rsidRPr="00555009" w:rsidRDefault="00421EB1" w:rsidP="003F5D70">
      <w:pPr>
        <w:pStyle w:val="NormalWeb"/>
        <w:spacing w:before="120" w:beforeAutospacing="0" w:after="0" w:afterAutospacing="0" w:line="360" w:lineRule="auto"/>
        <w:ind w:firstLine="720"/>
        <w:jc w:val="both"/>
        <w:rPr>
          <w:sz w:val="26"/>
          <w:szCs w:val="26"/>
          <w:lang w:val="lt-LT"/>
        </w:rPr>
      </w:pPr>
      <w:r w:rsidRPr="00555009">
        <w:rPr>
          <w:sz w:val="26"/>
          <w:szCs w:val="26"/>
          <w:lang w:val="lt-LT"/>
        </w:rPr>
        <w:t xml:space="preserve">Kaip matome, aptikimo rizika </w:t>
      </w:r>
      <w:r w:rsidR="001C56DC" w:rsidRPr="00555009">
        <w:rPr>
          <w:sz w:val="26"/>
          <w:szCs w:val="26"/>
          <w:lang w:val="lt-LT"/>
        </w:rPr>
        <w:t>yra</w:t>
      </w:r>
      <w:r w:rsidR="00DB65C8" w:rsidRPr="00555009">
        <w:rPr>
          <w:sz w:val="26"/>
          <w:szCs w:val="26"/>
          <w:lang w:val="lt-LT"/>
        </w:rPr>
        <w:t>:</w:t>
      </w:r>
    </w:p>
    <w:p w:rsidR="009F022C" w:rsidRPr="00555009" w:rsidRDefault="001C5B51" w:rsidP="009F022C">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1) </w:t>
      </w:r>
      <w:r w:rsidRPr="00555009">
        <w:rPr>
          <w:i/>
          <w:sz w:val="26"/>
          <w:szCs w:val="26"/>
          <w:lang w:val="lt-LT"/>
        </w:rPr>
        <w:t>didelė</w:t>
      </w:r>
      <w:r w:rsidR="00421EB1" w:rsidRPr="00555009">
        <w:rPr>
          <w:sz w:val="26"/>
          <w:szCs w:val="26"/>
          <w:lang w:val="lt-LT"/>
        </w:rPr>
        <w:t xml:space="preserve"> </w:t>
      </w:r>
      <w:r w:rsidRPr="00555009">
        <w:rPr>
          <w:sz w:val="26"/>
          <w:szCs w:val="26"/>
          <w:lang w:val="lt-LT"/>
        </w:rPr>
        <w:t xml:space="preserve">dėl </w:t>
      </w:r>
      <w:r w:rsidR="00421EB1" w:rsidRPr="00555009">
        <w:rPr>
          <w:sz w:val="26"/>
          <w:szCs w:val="26"/>
          <w:lang w:val="lt-LT"/>
        </w:rPr>
        <w:t xml:space="preserve">ilgalaikio materialiojo turto buvimo, žaliavų ir komplektavimo gaminių buvimo, </w:t>
      </w:r>
      <w:r w:rsidR="00D91F5A" w:rsidRPr="00555009">
        <w:rPr>
          <w:sz w:val="26"/>
          <w:szCs w:val="26"/>
          <w:lang w:val="lt-LT"/>
        </w:rPr>
        <w:t xml:space="preserve">pirkėjų įsiskolinimo, </w:t>
      </w:r>
      <w:r w:rsidR="00421EB1" w:rsidRPr="00555009">
        <w:rPr>
          <w:sz w:val="26"/>
          <w:szCs w:val="26"/>
          <w:lang w:val="lt-LT"/>
        </w:rPr>
        <w:t xml:space="preserve">pinigų ir </w:t>
      </w:r>
      <w:r w:rsidRPr="00555009">
        <w:rPr>
          <w:sz w:val="26"/>
          <w:szCs w:val="26"/>
          <w:lang w:val="lt-LT"/>
        </w:rPr>
        <w:t xml:space="preserve">pinigų </w:t>
      </w:r>
      <w:r w:rsidR="00421EB1" w:rsidRPr="00555009">
        <w:rPr>
          <w:sz w:val="26"/>
          <w:szCs w:val="26"/>
          <w:lang w:val="lt-LT"/>
        </w:rPr>
        <w:t>ekvivalentų</w:t>
      </w:r>
      <w:r w:rsidRPr="00555009">
        <w:rPr>
          <w:sz w:val="26"/>
          <w:szCs w:val="26"/>
          <w:lang w:val="lt-LT"/>
        </w:rPr>
        <w:t xml:space="preserve"> buvimo, skolų tiekėjams išsamumo, su darbo santykiais susijusių įsipareigojimų išsamumo, pardavimo savikainos ir veiklos sąnaudų tikslumo</w:t>
      </w:r>
      <w:r w:rsidR="00382A02" w:rsidRPr="00555009">
        <w:rPr>
          <w:sz w:val="26"/>
          <w:szCs w:val="26"/>
          <w:lang w:val="lt-LT"/>
        </w:rPr>
        <w:t xml:space="preserve"> tvirtinimų</w:t>
      </w:r>
      <w:r w:rsidRPr="00555009">
        <w:rPr>
          <w:sz w:val="26"/>
          <w:szCs w:val="26"/>
          <w:lang w:val="lt-LT"/>
        </w:rPr>
        <w:t xml:space="preserve">, nes šiuos tvirtinimus kontroliuoja UAB „Šiluma“ taikomos atitinkamo proceso (pirkimų, </w:t>
      </w:r>
      <w:r w:rsidR="00D91F5A" w:rsidRPr="00555009">
        <w:rPr>
          <w:sz w:val="26"/>
          <w:szCs w:val="26"/>
          <w:lang w:val="lt-LT"/>
        </w:rPr>
        <w:t xml:space="preserve">pardavimo ir </w:t>
      </w:r>
      <w:r w:rsidRPr="00555009">
        <w:rPr>
          <w:sz w:val="26"/>
          <w:szCs w:val="26"/>
          <w:lang w:val="lt-LT"/>
        </w:rPr>
        <w:t>darbo apmokėjimo</w:t>
      </w:r>
      <w:r w:rsidR="00D101E2" w:rsidRPr="00555009">
        <w:rPr>
          <w:sz w:val="26"/>
          <w:szCs w:val="26"/>
          <w:lang w:val="lt-LT"/>
        </w:rPr>
        <w:t xml:space="preserve">) ir kitos </w:t>
      </w:r>
      <w:r w:rsidR="006479B5">
        <w:rPr>
          <w:sz w:val="26"/>
          <w:szCs w:val="26"/>
          <w:lang w:val="lt-LT"/>
        </w:rPr>
        <w:t xml:space="preserve">susijusios </w:t>
      </w:r>
      <w:r w:rsidR="00D101E2" w:rsidRPr="00555009">
        <w:rPr>
          <w:sz w:val="26"/>
          <w:szCs w:val="26"/>
          <w:lang w:val="lt-LT"/>
        </w:rPr>
        <w:t xml:space="preserve">kontrolės </w:t>
      </w:r>
      <w:r w:rsidRPr="00555009">
        <w:rPr>
          <w:sz w:val="26"/>
          <w:szCs w:val="26"/>
          <w:lang w:val="lt-LT"/>
        </w:rPr>
        <w:t>procedūros</w:t>
      </w:r>
      <w:r w:rsidR="006F3F4E" w:rsidRPr="00555009">
        <w:rPr>
          <w:sz w:val="26"/>
          <w:szCs w:val="26"/>
          <w:lang w:val="lt-LT"/>
        </w:rPr>
        <w:t>. A</w:t>
      </w:r>
      <w:r w:rsidR="00D101E2" w:rsidRPr="00555009">
        <w:rPr>
          <w:sz w:val="26"/>
          <w:szCs w:val="26"/>
          <w:lang w:val="lt-LT"/>
        </w:rPr>
        <w:t xml:space="preserve">uditoriui tiriant šiuos tvirtinimus galima taikyti mažiau darbo reikalaujančias </w:t>
      </w:r>
      <w:r w:rsidR="00382A02" w:rsidRPr="00555009">
        <w:rPr>
          <w:sz w:val="26"/>
          <w:szCs w:val="26"/>
          <w:lang w:val="lt-LT"/>
        </w:rPr>
        <w:t xml:space="preserve">bei auditoriaus darbo patirtimi su </w:t>
      </w:r>
      <w:r w:rsidR="00382A02" w:rsidRPr="00555009">
        <w:rPr>
          <w:sz w:val="26"/>
          <w:szCs w:val="26"/>
          <w:lang w:val="lt-LT"/>
        </w:rPr>
        <w:lastRenderedPageBreak/>
        <w:t xml:space="preserve">audituojama įmone paremtas </w:t>
      </w:r>
      <w:r w:rsidR="003E3895" w:rsidRPr="00555009">
        <w:rPr>
          <w:sz w:val="26"/>
          <w:szCs w:val="26"/>
          <w:lang w:val="lt-LT"/>
        </w:rPr>
        <w:t xml:space="preserve">arba subjektyvesnes </w:t>
      </w:r>
      <w:r w:rsidR="00D101E2" w:rsidRPr="00555009">
        <w:rPr>
          <w:sz w:val="26"/>
          <w:szCs w:val="26"/>
          <w:lang w:val="lt-LT"/>
        </w:rPr>
        <w:t>audito procedūras, t. y. analitines procedūras, svarbių sudėtini</w:t>
      </w:r>
      <w:r w:rsidR="003E3895" w:rsidRPr="00555009">
        <w:rPr>
          <w:sz w:val="26"/>
          <w:szCs w:val="26"/>
          <w:lang w:val="lt-LT"/>
        </w:rPr>
        <w:t>ų sumų ar svarbių pokyčių tyrimą</w:t>
      </w:r>
      <w:r w:rsidR="00D101E2" w:rsidRPr="00555009">
        <w:rPr>
          <w:sz w:val="26"/>
          <w:szCs w:val="26"/>
          <w:lang w:val="lt-LT"/>
        </w:rPr>
        <w:t xml:space="preserve"> (audito procedūrų rizika – vidutinė), remtis atranka (atrankos rizika – vidutinė) bei deleguoti minėtas procedūras atlikti mažiau patyrusiems audito grupės nariams (profesinė rizika – vidutinė); </w:t>
      </w:r>
    </w:p>
    <w:p w:rsidR="009F022C" w:rsidRPr="00555009" w:rsidRDefault="00D101E2" w:rsidP="009F022C">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2) </w:t>
      </w:r>
      <w:r w:rsidR="00382A02" w:rsidRPr="00555009">
        <w:rPr>
          <w:i/>
          <w:sz w:val="26"/>
          <w:szCs w:val="26"/>
          <w:lang w:val="lt-LT"/>
        </w:rPr>
        <w:t xml:space="preserve">vidutinė </w:t>
      </w:r>
      <w:r w:rsidR="00382A02" w:rsidRPr="00555009">
        <w:rPr>
          <w:sz w:val="26"/>
          <w:szCs w:val="26"/>
          <w:lang w:val="lt-LT"/>
        </w:rPr>
        <w:t xml:space="preserve">dėl </w:t>
      </w:r>
      <w:r w:rsidR="00E823F8">
        <w:rPr>
          <w:sz w:val="26"/>
          <w:szCs w:val="26"/>
          <w:lang w:val="lt-LT"/>
        </w:rPr>
        <w:t xml:space="preserve">tokių tvirtinimų kaip </w:t>
      </w:r>
      <w:r w:rsidR="00421EB1" w:rsidRPr="00555009">
        <w:rPr>
          <w:sz w:val="26"/>
          <w:szCs w:val="26"/>
          <w:lang w:val="lt-LT"/>
        </w:rPr>
        <w:t xml:space="preserve">ilgalaikio materialiojo turto </w:t>
      </w:r>
      <w:r w:rsidR="00423153" w:rsidRPr="00555009">
        <w:rPr>
          <w:sz w:val="26"/>
          <w:szCs w:val="26"/>
          <w:lang w:val="lt-LT"/>
        </w:rPr>
        <w:t>į</w:t>
      </w:r>
      <w:r w:rsidR="00421EB1" w:rsidRPr="00555009">
        <w:rPr>
          <w:sz w:val="26"/>
          <w:szCs w:val="26"/>
          <w:lang w:val="lt-LT"/>
        </w:rPr>
        <w:t>vertinim</w:t>
      </w:r>
      <w:r w:rsidR="00E823F8">
        <w:rPr>
          <w:sz w:val="26"/>
          <w:szCs w:val="26"/>
          <w:lang w:val="lt-LT"/>
        </w:rPr>
        <w:t>as</w:t>
      </w:r>
      <w:r w:rsidR="00D91F5A" w:rsidRPr="00555009">
        <w:rPr>
          <w:sz w:val="26"/>
          <w:szCs w:val="26"/>
          <w:lang w:val="lt-LT"/>
        </w:rPr>
        <w:t xml:space="preserve"> ir</w:t>
      </w:r>
      <w:r w:rsidR="00421EB1" w:rsidRPr="00555009">
        <w:rPr>
          <w:sz w:val="26"/>
          <w:szCs w:val="26"/>
          <w:lang w:val="lt-LT"/>
        </w:rPr>
        <w:t xml:space="preserve"> </w:t>
      </w:r>
      <w:r w:rsidR="001C5B51" w:rsidRPr="00555009">
        <w:rPr>
          <w:sz w:val="26"/>
          <w:szCs w:val="26"/>
          <w:lang w:val="lt-LT"/>
        </w:rPr>
        <w:t>pardavimo pajamų tikslum</w:t>
      </w:r>
      <w:r w:rsidR="00E823F8">
        <w:rPr>
          <w:sz w:val="26"/>
          <w:szCs w:val="26"/>
          <w:lang w:val="lt-LT"/>
        </w:rPr>
        <w:t xml:space="preserve">as. Šiuo atveju </w:t>
      </w:r>
      <w:r w:rsidR="00382A02" w:rsidRPr="00555009">
        <w:rPr>
          <w:sz w:val="26"/>
          <w:szCs w:val="26"/>
          <w:lang w:val="lt-LT"/>
        </w:rPr>
        <w:t xml:space="preserve">auditorius </w:t>
      </w:r>
      <w:r w:rsidR="003E3895" w:rsidRPr="00555009">
        <w:rPr>
          <w:sz w:val="26"/>
          <w:szCs w:val="26"/>
          <w:lang w:val="lt-LT"/>
        </w:rPr>
        <w:t>turi užtikrinti,</w:t>
      </w:r>
      <w:r w:rsidR="00382A02" w:rsidRPr="00555009">
        <w:rPr>
          <w:sz w:val="26"/>
          <w:szCs w:val="26"/>
          <w:lang w:val="lt-LT"/>
        </w:rPr>
        <w:t xml:space="preserve"> jog audito procedūrų rizika, atrankos rizika ir profesinė rizika būtų maža</w:t>
      </w:r>
      <w:r w:rsidR="006F3F4E" w:rsidRPr="00555009">
        <w:rPr>
          <w:sz w:val="26"/>
          <w:szCs w:val="26"/>
          <w:lang w:val="lt-LT"/>
        </w:rPr>
        <w:t xml:space="preserve">. </w:t>
      </w:r>
      <w:r w:rsidR="00E823F8">
        <w:rPr>
          <w:sz w:val="26"/>
          <w:szCs w:val="26"/>
          <w:lang w:val="lt-LT"/>
        </w:rPr>
        <w:t xml:space="preserve">Todėl </w:t>
      </w:r>
      <w:r w:rsidR="006F3F4E" w:rsidRPr="00555009">
        <w:rPr>
          <w:sz w:val="26"/>
          <w:szCs w:val="26"/>
          <w:lang w:val="lt-LT"/>
        </w:rPr>
        <w:t>p</w:t>
      </w:r>
      <w:r w:rsidR="00382A02" w:rsidRPr="00555009">
        <w:rPr>
          <w:sz w:val="26"/>
          <w:szCs w:val="26"/>
          <w:lang w:val="lt-LT"/>
        </w:rPr>
        <w:t xml:space="preserve">arenkant </w:t>
      </w:r>
      <w:r w:rsidR="006F3F4E" w:rsidRPr="00555009">
        <w:rPr>
          <w:sz w:val="26"/>
          <w:szCs w:val="26"/>
          <w:lang w:val="lt-LT"/>
        </w:rPr>
        <w:t xml:space="preserve">audito </w:t>
      </w:r>
      <w:r w:rsidR="00382A02" w:rsidRPr="00555009">
        <w:rPr>
          <w:sz w:val="26"/>
          <w:szCs w:val="26"/>
          <w:lang w:val="lt-LT"/>
        </w:rPr>
        <w:t xml:space="preserve">procedūras </w:t>
      </w:r>
      <w:r w:rsidR="00E823F8">
        <w:rPr>
          <w:sz w:val="26"/>
          <w:szCs w:val="26"/>
          <w:lang w:val="lt-LT"/>
        </w:rPr>
        <w:t>tikslinga</w:t>
      </w:r>
      <w:r w:rsidR="00382A02" w:rsidRPr="00555009">
        <w:rPr>
          <w:sz w:val="26"/>
          <w:szCs w:val="26"/>
          <w:lang w:val="lt-LT"/>
        </w:rPr>
        <w:t xml:space="preserve"> remtis atsitiktinumo (netikė</w:t>
      </w:r>
      <w:r w:rsidR="003E3895" w:rsidRPr="00555009">
        <w:rPr>
          <w:sz w:val="26"/>
          <w:szCs w:val="26"/>
          <w:lang w:val="lt-LT"/>
        </w:rPr>
        <w:t>t</w:t>
      </w:r>
      <w:r w:rsidR="00382A02" w:rsidRPr="00555009">
        <w:rPr>
          <w:sz w:val="26"/>
          <w:szCs w:val="26"/>
          <w:lang w:val="lt-LT"/>
        </w:rPr>
        <w:t>umo) principais, labiau taikyti detalius testus nei analitines procedūras (</w:t>
      </w:r>
      <w:r w:rsidR="003E3895" w:rsidRPr="00555009">
        <w:rPr>
          <w:sz w:val="26"/>
          <w:szCs w:val="26"/>
          <w:lang w:val="lt-LT"/>
        </w:rPr>
        <w:t xml:space="preserve">patikrinti ilgalaikio materialiojo turto įsigijimo dokumentus, </w:t>
      </w:r>
      <w:r w:rsidR="00382A02" w:rsidRPr="00555009">
        <w:rPr>
          <w:sz w:val="26"/>
          <w:szCs w:val="26"/>
          <w:lang w:val="lt-LT"/>
        </w:rPr>
        <w:t>perskaičiuoti</w:t>
      </w:r>
      <w:r w:rsidR="00104485" w:rsidRPr="00555009">
        <w:rPr>
          <w:sz w:val="26"/>
          <w:szCs w:val="26"/>
          <w:lang w:val="lt-LT"/>
        </w:rPr>
        <w:t xml:space="preserve"> </w:t>
      </w:r>
      <w:r w:rsidR="003E3895" w:rsidRPr="00555009">
        <w:rPr>
          <w:sz w:val="26"/>
          <w:szCs w:val="26"/>
          <w:lang w:val="lt-LT"/>
        </w:rPr>
        <w:t xml:space="preserve">pasirinktinų </w:t>
      </w:r>
      <w:r w:rsidR="00104485" w:rsidRPr="00555009">
        <w:rPr>
          <w:sz w:val="26"/>
          <w:szCs w:val="26"/>
          <w:lang w:val="lt-LT"/>
        </w:rPr>
        <w:t>ilgalaikio materialiojo turto obj</w:t>
      </w:r>
      <w:r w:rsidR="003E3895" w:rsidRPr="00555009">
        <w:rPr>
          <w:sz w:val="26"/>
          <w:szCs w:val="26"/>
          <w:lang w:val="lt-LT"/>
        </w:rPr>
        <w:t xml:space="preserve">ektų </w:t>
      </w:r>
      <w:r w:rsidR="00104485" w:rsidRPr="00555009">
        <w:rPr>
          <w:sz w:val="26"/>
          <w:szCs w:val="26"/>
          <w:lang w:val="lt-LT"/>
        </w:rPr>
        <w:t xml:space="preserve">nusidėvėjimą, gauti patvirtinimus iš pirkėjų </w:t>
      </w:r>
      <w:r w:rsidR="00D91F5A" w:rsidRPr="00555009">
        <w:rPr>
          <w:sz w:val="26"/>
          <w:szCs w:val="26"/>
          <w:lang w:val="lt-LT"/>
        </w:rPr>
        <w:t xml:space="preserve">apie pardavimus </w:t>
      </w:r>
      <w:r w:rsidR="003E3895" w:rsidRPr="00555009">
        <w:rPr>
          <w:sz w:val="26"/>
          <w:szCs w:val="26"/>
          <w:lang w:val="lt-LT"/>
        </w:rPr>
        <w:t>per ataskaitinį laikotarpį</w:t>
      </w:r>
      <w:r w:rsidR="00104485" w:rsidRPr="00555009">
        <w:rPr>
          <w:sz w:val="26"/>
          <w:szCs w:val="26"/>
          <w:lang w:val="lt-LT"/>
        </w:rPr>
        <w:t>, surinkti informaciją apie ilgalaikio materialiojo turto vertę iš nepriklausomų vertintojų ir pan.)</w:t>
      </w:r>
      <w:r w:rsidR="003E3895" w:rsidRPr="00555009">
        <w:rPr>
          <w:sz w:val="26"/>
          <w:szCs w:val="26"/>
          <w:lang w:val="lt-LT"/>
        </w:rPr>
        <w:t xml:space="preserve">, </w:t>
      </w:r>
      <w:r w:rsidR="006F3F4E" w:rsidRPr="00555009">
        <w:rPr>
          <w:sz w:val="26"/>
          <w:szCs w:val="26"/>
          <w:lang w:val="lt-LT"/>
        </w:rPr>
        <w:t>a</w:t>
      </w:r>
      <w:r w:rsidR="00D91F5A" w:rsidRPr="00555009">
        <w:rPr>
          <w:sz w:val="26"/>
          <w:szCs w:val="26"/>
          <w:lang w:val="lt-LT"/>
        </w:rPr>
        <w:t>pdairiau</w:t>
      </w:r>
      <w:r w:rsidR="006F3F4E" w:rsidRPr="00555009">
        <w:rPr>
          <w:sz w:val="26"/>
          <w:szCs w:val="26"/>
          <w:lang w:val="lt-LT"/>
        </w:rPr>
        <w:t xml:space="preserve"> taikyti atrankos metodus bei mažiau aptarto darbo deleguoti nepatyrusiems audito grupės nariams; </w:t>
      </w:r>
    </w:p>
    <w:p w:rsidR="00F70A31" w:rsidRPr="00555009" w:rsidRDefault="006F3F4E" w:rsidP="009F022C">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3) </w:t>
      </w:r>
      <w:r w:rsidRPr="00555009">
        <w:rPr>
          <w:i/>
          <w:sz w:val="26"/>
          <w:szCs w:val="26"/>
          <w:lang w:val="lt-LT"/>
        </w:rPr>
        <w:t xml:space="preserve">maža </w:t>
      </w:r>
      <w:r w:rsidRPr="00555009">
        <w:rPr>
          <w:sz w:val="26"/>
          <w:szCs w:val="26"/>
          <w:lang w:val="lt-LT"/>
        </w:rPr>
        <w:t xml:space="preserve">dėl </w:t>
      </w:r>
      <w:r w:rsidR="00421EB1" w:rsidRPr="00555009">
        <w:rPr>
          <w:sz w:val="26"/>
          <w:szCs w:val="26"/>
          <w:lang w:val="lt-LT"/>
        </w:rPr>
        <w:t xml:space="preserve">atidėtojo mokesčio turto </w:t>
      </w:r>
      <w:r w:rsidR="00423153" w:rsidRPr="00555009">
        <w:rPr>
          <w:sz w:val="26"/>
          <w:szCs w:val="26"/>
          <w:lang w:val="lt-LT"/>
        </w:rPr>
        <w:t>į</w:t>
      </w:r>
      <w:r w:rsidR="00421EB1" w:rsidRPr="00555009">
        <w:rPr>
          <w:sz w:val="26"/>
          <w:szCs w:val="26"/>
          <w:lang w:val="lt-LT"/>
        </w:rPr>
        <w:t xml:space="preserve">vertinimo, žaliavų ir komplektavimo gaminių </w:t>
      </w:r>
      <w:r w:rsidR="00423153" w:rsidRPr="00555009">
        <w:rPr>
          <w:sz w:val="26"/>
          <w:szCs w:val="26"/>
          <w:lang w:val="lt-LT"/>
        </w:rPr>
        <w:t>į</w:t>
      </w:r>
      <w:r w:rsidR="00421EB1" w:rsidRPr="00555009">
        <w:rPr>
          <w:sz w:val="26"/>
          <w:szCs w:val="26"/>
          <w:lang w:val="lt-LT"/>
        </w:rPr>
        <w:t xml:space="preserve">vertinimo, pirkėjų įsiskolinimo </w:t>
      </w:r>
      <w:r w:rsidR="00423153" w:rsidRPr="00555009">
        <w:rPr>
          <w:sz w:val="26"/>
          <w:szCs w:val="26"/>
          <w:lang w:val="lt-LT"/>
        </w:rPr>
        <w:t>į</w:t>
      </w:r>
      <w:r w:rsidR="00421EB1" w:rsidRPr="00555009">
        <w:rPr>
          <w:sz w:val="26"/>
          <w:szCs w:val="26"/>
          <w:lang w:val="lt-LT"/>
        </w:rPr>
        <w:t>vertinimo</w:t>
      </w:r>
      <w:r w:rsidR="00423153" w:rsidRPr="00555009">
        <w:rPr>
          <w:sz w:val="26"/>
          <w:szCs w:val="26"/>
          <w:lang w:val="lt-LT"/>
        </w:rPr>
        <w:t xml:space="preserve"> ir</w:t>
      </w:r>
      <w:r w:rsidR="001C5B51" w:rsidRPr="00555009">
        <w:rPr>
          <w:sz w:val="26"/>
          <w:szCs w:val="26"/>
          <w:lang w:val="lt-LT"/>
        </w:rPr>
        <w:t xml:space="preserve"> </w:t>
      </w:r>
      <w:r w:rsidR="00423153" w:rsidRPr="00555009">
        <w:rPr>
          <w:sz w:val="26"/>
          <w:szCs w:val="26"/>
          <w:lang w:val="lt-LT"/>
        </w:rPr>
        <w:t xml:space="preserve">dėl </w:t>
      </w:r>
      <w:r w:rsidR="001C5B51" w:rsidRPr="00555009">
        <w:rPr>
          <w:sz w:val="26"/>
          <w:szCs w:val="26"/>
          <w:lang w:val="lt-LT"/>
        </w:rPr>
        <w:t xml:space="preserve">skolų kredito įstaigoms </w:t>
      </w:r>
      <w:r w:rsidR="00423153" w:rsidRPr="00555009">
        <w:rPr>
          <w:sz w:val="26"/>
          <w:szCs w:val="26"/>
          <w:lang w:val="lt-LT"/>
        </w:rPr>
        <w:t>įvertinimo</w:t>
      </w:r>
      <w:r w:rsidRPr="00555009">
        <w:rPr>
          <w:sz w:val="26"/>
          <w:szCs w:val="26"/>
          <w:lang w:val="lt-LT"/>
        </w:rPr>
        <w:t xml:space="preserve">, t. y. audito procedūrų </w:t>
      </w:r>
      <w:r w:rsidR="001C56DC" w:rsidRPr="00555009">
        <w:rPr>
          <w:sz w:val="26"/>
          <w:szCs w:val="26"/>
          <w:lang w:val="lt-LT"/>
        </w:rPr>
        <w:t xml:space="preserve">rizika </w:t>
      </w:r>
      <w:r w:rsidRPr="00555009">
        <w:rPr>
          <w:sz w:val="26"/>
          <w:szCs w:val="26"/>
          <w:lang w:val="lt-LT"/>
        </w:rPr>
        <w:t>ir atrankos rizik</w:t>
      </w:r>
      <w:r w:rsidR="001C56DC" w:rsidRPr="00555009">
        <w:rPr>
          <w:sz w:val="26"/>
          <w:szCs w:val="26"/>
          <w:lang w:val="lt-LT"/>
        </w:rPr>
        <w:t>a</w:t>
      </w:r>
      <w:r w:rsidRPr="00555009">
        <w:rPr>
          <w:sz w:val="26"/>
          <w:szCs w:val="26"/>
          <w:lang w:val="lt-LT"/>
        </w:rPr>
        <w:t xml:space="preserve"> turėtų būti maž</w:t>
      </w:r>
      <w:r w:rsidR="001C56DC" w:rsidRPr="00555009">
        <w:rPr>
          <w:sz w:val="26"/>
          <w:szCs w:val="26"/>
          <w:lang w:val="lt-LT"/>
        </w:rPr>
        <w:t>a</w:t>
      </w:r>
      <w:r w:rsidRPr="00555009">
        <w:rPr>
          <w:sz w:val="26"/>
          <w:szCs w:val="26"/>
          <w:lang w:val="lt-LT"/>
        </w:rPr>
        <w:t xml:space="preserve">, o profesinė rizika negalėtų </w:t>
      </w:r>
      <w:r w:rsidR="00F70A31" w:rsidRPr="00555009">
        <w:rPr>
          <w:sz w:val="26"/>
          <w:szCs w:val="26"/>
          <w:lang w:val="lt-LT"/>
        </w:rPr>
        <w:t xml:space="preserve">pasireikšti. Pastaruoju atveju auditoriui būtina atlikti tiriamų finansinių ataskaitų elementų vertės perskaičiavimą, atsižvelgiant į </w:t>
      </w:r>
      <w:r w:rsidR="00423153" w:rsidRPr="00555009">
        <w:rPr>
          <w:sz w:val="26"/>
          <w:szCs w:val="26"/>
          <w:lang w:val="lt-LT"/>
        </w:rPr>
        <w:t>UAB „Šiluma“</w:t>
      </w:r>
      <w:r w:rsidR="00F70A31" w:rsidRPr="00555009">
        <w:rPr>
          <w:sz w:val="26"/>
          <w:szCs w:val="26"/>
          <w:lang w:val="lt-LT"/>
        </w:rPr>
        <w:t xml:space="preserve"> taikytas prielaidas ir priimtas sąlygas bei tuo pačiu įvertinti šių sąlygų/prielaidų tinkamumą, o dėl tinkamo skolų kredito įstaigoms </w:t>
      </w:r>
      <w:r w:rsidR="00423153" w:rsidRPr="00555009">
        <w:rPr>
          <w:sz w:val="26"/>
          <w:szCs w:val="26"/>
          <w:lang w:val="lt-LT"/>
        </w:rPr>
        <w:t>įvertinimo</w:t>
      </w:r>
      <w:r w:rsidR="00F70A31" w:rsidRPr="00555009">
        <w:rPr>
          <w:sz w:val="26"/>
          <w:szCs w:val="26"/>
          <w:lang w:val="lt-LT"/>
        </w:rPr>
        <w:t xml:space="preserve"> reikėtų peržiūrėti sutarties sąlygas ir įvertinti jų tenkinimą</w:t>
      </w:r>
      <w:r w:rsidR="00B35700" w:rsidRPr="00555009">
        <w:rPr>
          <w:sz w:val="26"/>
          <w:szCs w:val="26"/>
          <w:lang w:val="lt-LT"/>
        </w:rPr>
        <w:t>, ta</w:t>
      </w:r>
      <w:r w:rsidR="00F70A31" w:rsidRPr="00555009">
        <w:rPr>
          <w:sz w:val="26"/>
          <w:szCs w:val="26"/>
          <w:lang w:val="lt-LT"/>
        </w:rPr>
        <w:t xml:space="preserve">ip pat ištirti susijusius pobalansinius įvykius, įmonės duomenis palyginti su rinkos informacija ir </w:t>
      </w:r>
      <w:r w:rsidR="00B35700" w:rsidRPr="00555009">
        <w:rPr>
          <w:sz w:val="26"/>
          <w:szCs w:val="26"/>
          <w:lang w:val="lt-LT"/>
        </w:rPr>
        <w:t xml:space="preserve">iš trečiųjų šalių (pirkėjų, bankų) gauta informacija </w:t>
      </w:r>
      <w:r w:rsidR="00423153" w:rsidRPr="00555009">
        <w:rPr>
          <w:sz w:val="26"/>
          <w:szCs w:val="26"/>
          <w:lang w:val="lt-LT"/>
        </w:rPr>
        <w:t xml:space="preserve">ar </w:t>
      </w:r>
      <w:r w:rsidR="00F70A31" w:rsidRPr="00555009">
        <w:rPr>
          <w:sz w:val="26"/>
          <w:szCs w:val="26"/>
          <w:lang w:val="lt-LT"/>
        </w:rPr>
        <w:t>pan.</w:t>
      </w:r>
    </w:p>
    <w:p w:rsidR="006F77D9" w:rsidRPr="00555009" w:rsidRDefault="005F430C" w:rsidP="009F022C">
      <w:pPr>
        <w:pStyle w:val="NormalWeb"/>
        <w:spacing w:before="0" w:beforeAutospacing="0" w:after="0" w:afterAutospacing="0" w:line="360" w:lineRule="auto"/>
        <w:ind w:firstLine="720"/>
        <w:jc w:val="both"/>
        <w:rPr>
          <w:i/>
          <w:sz w:val="26"/>
          <w:szCs w:val="26"/>
          <w:lang w:val="lt-LT"/>
        </w:rPr>
      </w:pPr>
      <w:r w:rsidRPr="00555009">
        <w:rPr>
          <w:i/>
          <w:sz w:val="26"/>
          <w:szCs w:val="26"/>
          <w:lang w:val="lt-LT"/>
        </w:rPr>
        <w:t>Tokiu būdu a</w:t>
      </w:r>
      <w:r w:rsidR="006F77D9" w:rsidRPr="00555009">
        <w:rPr>
          <w:i/>
          <w:sz w:val="26"/>
          <w:szCs w:val="26"/>
          <w:lang w:val="lt-LT"/>
        </w:rPr>
        <w:t xml:space="preserve">ukščiau pateikti teiginiai apie aptikimo </w:t>
      </w:r>
      <w:r w:rsidRPr="00555009">
        <w:rPr>
          <w:i/>
          <w:sz w:val="26"/>
          <w:szCs w:val="26"/>
          <w:lang w:val="lt-LT"/>
        </w:rPr>
        <w:t xml:space="preserve">rizikos vertinimą </w:t>
      </w:r>
      <w:r w:rsidR="006F77D9" w:rsidRPr="00555009">
        <w:rPr>
          <w:i/>
          <w:sz w:val="26"/>
          <w:szCs w:val="26"/>
          <w:lang w:val="lt-LT"/>
        </w:rPr>
        <w:t xml:space="preserve">patvirtina </w:t>
      </w:r>
      <w:r w:rsidRPr="00555009">
        <w:rPr>
          <w:i/>
          <w:sz w:val="26"/>
          <w:szCs w:val="26"/>
          <w:lang w:val="lt-LT"/>
        </w:rPr>
        <w:t>trečios</w:t>
      </w:r>
      <w:r w:rsidR="006F77D9" w:rsidRPr="00555009">
        <w:rPr>
          <w:i/>
          <w:sz w:val="26"/>
          <w:szCs w:val="26"/>
          <w:lang w:val="lt-LT"/>
        </w:rPr>
        <w:t>ios hipotezės (H</w:t>
      </w:r>
      <w:r w:rsidRPr="00555009">
        <w:rPr>
          <w:i/>
          <w:sz w:val="26"/>
          <w:szCs w:val="26"/>
          <w:vertAlign w:val="subscript"/>
          <w:lang w:val="lt-LT"/>
        </w:rPr>
        <w:t>3</w:t>
      </w:r>
      <w:r w:rsidR="006F77D9" w:rsidRPr="00555009">
        <w:rPr>
          <w:i/>
          <w:sz w:val="26"/>
          <w:szCs w:val="26"/>
          <w:lang w:val="lt-LT"/>
        </w:rPr>
        <w:t xml:space="preserve">), </w:t>
      </w:r>
      <w:r w:rsidRPr="00555009">
        <w:rPr>
          <w:i/>
          <w:sz w:val="26"/>
          <w:szCs w:val="26"/>
          <w:lang w:val="lt-LT"/>
        </w:rPr>
        <w:t>kad „atsižvelgiama į atvirkštinę priklausomybę tarp reikšmingo iškraipymo rizikos tvirtinimo lygmeniu ir aptikimo rizikos“</w:t>
      </w:r>
      <w:r w:rsidR="006F77D9" w:rsidRPr="00555009">
        <w:rPr>
          <w:i/>
          <w:sz w:val="26"/>
          <w:szCs w:val="26"/>
          <w:lang w:val="lt-LT"/>
        </w:rPr>
        <w:t>, teisingum</w:t>
      </w:r>
      <w:r w:rsidRPr="00555009">
        <w:rPr>
          <w:i/>
          <w:sz w:val="26"/>
          <w:szCs w:val="26"/>
          <w:lang w:val="lt-LT"/>
        </w:rPr>
        <w:t>ą.</w:t>
      </w:r>
    </w:p>
    <w:p w:rsidR="007B1B21" w:rsidRPr="00555009" w:rsidRDefault="00423153" w:rsidP="008E13E8">
      <w:pPr>
        <w:pStyle w:val="NormalWeb"/>
        <w:spacing w:before="0" w:beforeAutospacing="0" w:after="0" w:afterAutospacing="0" w:line="360" w:lineRule="auto"/>
        <w:ind w:firstLine="720"/>
        <w:jc w:val="both"/>
        <w:rPr>
          <w:sz w:val="26"/>
          <w:szCs w:val="26"/>
          <w:lang w:val="lt-LT"/>
        </w:rPr>
      </w:pPr>
      <w:r w:rsidRPr="00555009">
        <w:rPr>
          <w:sz w:val="26"/>
          <w:szCs w:val="26"/>
          <w:lang w:val="lt-LT"/>
        </w:rPr>
        <w:lastRenderedPageBreak/>
        <w:t xml:space="preserve">Toliau </w:t>
      </w:r>
      <w:r w:rsidR="008E13E8">
        <w:rPr>
          <w:sz w:val="26"/>
          <w:szCs w:val="26"/>
          <w:lang w:val="lt-LT"/>
        </w:rPr>
        <w:t>įvykdžius</w:t>
      </w:r>
      <w:r w:rsidR="00B35700" w:rsidRPr="00555009">
        <w:rPr>
          <w:sz w:val="26"/>
          <w:szCs w:val="26"/>
          <w:lang w:val="lt-LT"/>
        </w:rPr>
        <w:t xml:space="preserve"> </w:t>
      </w:r>
      <w:r w:rsidR="00FB117C" w:rsidRPr="00555009">
        <w:rPr>
          <w:sz w:val="26"/>
          <w:szCs w:val="26"/>
          <w:lang w:val="lt-LT"/>
        </w:rPr>
        <w:t>audito planavimo darbus</w:t>
      </w:r>
      <w:r w:rsidR="00B65708" w:rsidRPr="00555009">
        <w:rPr>
          <w:sz w:val="26"/>
          <w:szCs w:val="26"/>
          <w:lang w:val="lt-LT"/>
        </w:rPr>
        <w:t xml:space="preserve"> bei</w:t>
      </w:r>
      <w:r w:rsidR="00FB117C" w:rsidRPr="00555009">
        <w:rPr>
          <w:sz w:val="26"/>
          <w:szCs w:val="26"/>
          <w:lang w:val="lt-LT"/>
        </w:rPr>
        <w:t xml:space="preserve"> įvertinus reikšmingo iškraipymo riziką tvirtinimo lygmeniu, imamasi tikrinimo darbų</w:t>
      </w:r>
      <w:r w:rsidR="008E13E8">
        <w:rPr>
          <w:sz w:val="26"/>
          <w:szCs w:val="26"/>
          <w:lang w:val="lt-LT"/>
        </w:rPr>
        <w:t xml:space="preserve"> (v</w:t>
      </w:r>
      <w:r w:rsidR="000D392E" w:rsidRPr="00555009">
        <w:rPr>
          <w:sz w:val="26"/>
          <w:szCs w:val="26"/>
          <w:lang w:val="lt-LT"/>
        </w:rPr>
        <w:t xml:space="preserve">ykdomas </w:t>
      </w:r>
      <w:r w:rsidR="00FB117C" w:rsidRPr="00555009">
        <w:rPr>
          <w:sz w:val="26"/>
          <w:szCs w:val="26"/>
          <w:lang w:val="lt-LT"/>
        </w:rPr>
        <w:t xml:space="preserve">kontrolės tyrimas – atliekami kontrolės testai svarbiausiems </w:t>
      </w:r>
      <w:r w:rsidR="008E13E8">
        <w:rPr>
          <w:sz w:val="26"/>
          <w:szCs w:val="26"/>
          <w:lang w:val="lt-LT"/>
        </w:rPr>
        <w:t>UAB „Šiluma“</w:t>
      </w:r>
      <w:r w:rsidR="00FB117C" w:rsidRPr="00555009">
        <w:rPr>
          <w:sz w:val="26"/>
          <w:szCs w:val="26"/>
          <w:lang w:val="lt-LT"/>
        </w:rPr>
        <w:t xml:space="preserve"> </w:t>
      </w:r>
      <w:r w:rsidR="00933FF7" w:rsidRPr="00555009">
        <w:rPr>
          <w:sz w:val="26"/>
          <w:szCs w:val="26"/>
          <w:lang w:val="lt-LT"/>
        </w:rPr>
        <w:t xml:space="preserve">apskaitos </w:t>
      </w:r>
      <w:r w:rsidR="00FB117C" w:rsidRPr="00555009">
        <w:rPr>
          <w:sz w:val="26"/>
          <w:szCs w:val="26"/>
          <w:lang w:val="lt-LT"/>
        </w:rPr>
        <w:t>procesams</w:t>
      </w:r>
      <w:r w:rsidR="000D392E" w:rsidRPr="00555009">
        <w:rPr>
          <w:sz w:val="26"/>
          <w:szCs w:val="26"/>
          <w:lang w:val="lt-LT"/>
        </w:rPr>
        <w:t xml:space="preserve">, ir </w:t>
      </w:r>
      <w:r w:rsidR="00FB117C" w:rsidRPr="00555009">
        <w:rPr>
          <w:sz w:val="26"/>
          <w:szCs w:val="26"/>
          <w:lang w:val="lt-LT"/>
        </w:rPr>
        <w:t xml:space="preserve">detalus tikrinimas – atliekami detalūs testai ir analitinės procedūros). </w:t>
      </w:r>
    </w:p>
    <w:p w:rsidR="00596452" w:rsidRPr="00555009" w:rsidRDefault="00596452" w:rsidP="00E823F8">
      <w:pPr>
        <w:spacing w:line="360" w:lineRule="auto"/>
        <w:ind w:firstLine="720"/>
        <w:jc w:val="right"/>
        <w:rPr>
          <w:i/>
          <w:sz w:val="26"/>
          <w:szCs w:val="26"/>
          <w:lang w:val="lt-LT"/>
        </w:rPr>
      </w:pPr>
      <w:r w:rsidRPr="00555009">
        <w:rPr>
          <w:i/>
          <w:sz w:val="26"/>
          <w:szCs w:val="26"/>
          <w:lang w:val="lt-LT"/>
        </w:rPr>
        <w:t>3</w:t>
      </w:r>
      <w:r w:rsidR="00D849D7">
        <w:rPr>
          <w:i/>
          <w:sz w:val="26"/>
          <w:szCs w:val="26"/>
          <w:lang w:val="lt-LT"/>
        </w:rPr>
        <w:t>1</w:t>
      </w:r>
      <w:r w:rsidRPr="00555009">
        <w:rPr>
          <w:i/>
          <w:sz w:val="26"/>
          <w:szCs w:val="26"/>
          <w:lang w:val="lt-LT"/>
        </w:rPr>
        <w:t xml:space="preserve"> lentelė</w:t>
      </w:r>
    </w:p>
    <w:p w:rsidR="00596452" w:rsidRPr="00555009" w:rsidRDefault="00596452" w:rsidP="00596452">
      <w:pPr>
        <w:pStyle w:val="NormalWeb"/>
        <w:spacing w:before="0" w:beforeAutospacing="0" w:after="0" w:afterAutospacing="0" w:line="360" w:lineRule="auto"/>
        <w:ind w:firstLine="720"/>
        <w:jc w:val="center"/>
        <w:rPr>
          <w:sz w:val="26"/>
          <w:szCs w:val="26"/>
          <w:lang w:val="lt-LT"/>
        </w:rPr>
      </w:pPr>
      <w:r w:rsidRPr="00555009">
        <w:rPr>
          <w:b/>
          <w:sz w:val="26"/>
          <w:szCs w:val="26"/>
          <w:lang w:val="lt-LT"/>
        </w:rPr>
        <w:t>UAB „Šiluma“ pasiekta audito rizika tvirtinimo lygmeniu</w:t>
      </w:r>
    </w:p>
    <w:tbl>
      <w:tblPr>
        <w:tblStyle w:val="TableGrid"/>
        <w:tblW w:w="0" w:type="auto"/>
        <w:jc w:val="center"/>
        <w:tblInd w:w="290" w:type="dxa"/>
        <w:tblLook w:val="04A0"/>
      </w:tblPr>
      <w:tblGrid>
        <w:gridCol w:w="2657"/>
        <w:gridCol w:w="774"/>
        <w:gridCol w:w="1390"/>
        <w:gridCol w:w="1402"/>
        <w:gridCol w:w="1170"/>
        <w:gridCol w:w="811"/>
      </w:tblGrid>
      <w:tr w:rsidR="00294683" w:rsidRPr="00555009" w:rsidTr="00626C40">
        <w:trPr>
          <w:cantSplit/>
          <w:trHeight w:val="1433"/>
          <w:jc w:val="center"/>
        </w:trPr>
        <w:tc>
          <w:tcPr>
            <w:tcW w:w="2657" w:type="dxa"/>
          </w:tcPr>
          <w:p w:rsidR="00596452" w:rsidRPr="00555009" w:rsidRDefault="00596452" w:rsidP="00D04F07">
            <w:pPr>
              <w:pStyle w:val="NormalWeb"/>
              <w:spacing w:before="0" w:beforeAutospacing="0" w:after="0" w:afterAutospacing="0"/>
              <w:jc w:val="center"/>
              <w:rPr>
                <w:b/>
                <w:sz w:val="22"/>
                <w:szCs w:val="22"/>
                <w:lang w:val="lt-LT"/>
              </w:rPr>
            </w:pPr>
            <w:r w:rsidRPr="00555009">
              <w:rPr>
                <w:b/>
                <w:sz w:val="22"/>
                <w:szCs w:val="22"/>
                <w:lang w:val="lt-LT"/>
              </w:rPr>
              <w:t>Finansinių ataskaitų elementas</w:t>
            </w:r>
          </w:p>
        </w:tc>
        <w:tc>
          <w:tcPr>
            <w:tcW w:w="774" w:type="dxa"/>
            <w:textDirection w:val="btLr"/>
            <w:vAlign w:val="center"/>
          </w:tcPr>
          <w:p w:rsidR="00596452" w:rsidRPr="00555009" w:rsidRDefault="00596452" w:rsidP="00626C40">
            <w:pPr>
              <w:pStyle w:val="NormalWeb"/>
              <w:spacing w:before="0" w:beforeAutospacing="0" w:after="0" w:afterAutospacing="0"/>
              <w:ind w:left="113" w:right="113"/>
              <w:jc w:val="center"/>
              <w:rPr>
                <w:b/>
                <w:sz w:val="22"/>
                <w:szCs w:val="22"/>
                <w:lang w:val="lt-LT"/>
              </w:rPr>
            </w:pPr>
            <w:r w:rsidRPr="00555009">
              <w:rPr>
                <w:b/>
                <w:sz w:val="22"/>
                <w:szCs w:val="22"/>
                <w:lang w:val="lt-LT"/>
              </w:rPr>
              <w:t>Susijęs tvirtinimas</w:t>
            </w:r>
          </w:p>
        </w:tc>
        <w:tc>
          <w:tcPr>
            <w:tcW w:w="1390" w:type="dxa"/>
          </w:tcPr>
          <w:p w:rsidR="00596452" w:rsidRPr="00555009" w:rsidRDefault="00596452" w:rsidP="00D04F07">
            <w:pPr>
              <w:pStyle w:val="NormalWeb"/>
              <w:spacing w:before="0" w:beforeAutospacing="0" w:after="0" w:afterAutospacing="0"/>
              <w:jc w:val="center"/>
              <w:rPr>
                <w:b/>
                <w:sz w:val="22"/>
                <w:szCs w:val="22"/>
                <w:lang w:val="lt-LT"/>
              </w:rPr>
            </w:pPr>
            <w:r w:rsidRPr="00555009">
              <w:rPr>
                <w:b/>
                <w:sz w:val="22"/>
                <w:szCs w:val="22"/>
                <w:lang w:val="lt-LT"/>
              </w:rPr>
              <w:t>Ar atliktos visos būtinos audito procedūros?</w:t>
            </w:r>
          </w:p>
        </w:tc>
        <w:tc>
          <w:tcPr>
            <w:tcW w:w="1402" w:type="dxa"/>
          </w:tcPr>
          <w:p w:rsidR="00596452" w:rsidRPr="00555009" w:rsidRDefault="00596452" w:rsidP="00D04F07">
            <w:pPr>
              <w:pStyle w:val="NormalWeb"/>
              <w:spacing w:before="0" w:beforeAutospacing="0" w:after="0" w:afterAutospacing="0"/>
              <w:jc w:val="center"/>
              <w:rPr>
                <w:b/>
                <w:sz w:val="22"/>
                <w:szCs w:val="22"/>
                <w:lang w:val="lt-LT"/>
              </w:rPr>
            </w:pPr>
            <w:r w:rsidRPr="00555009">
              <w:rPr>
                <w:b/>
                <w:sz w:val="22"/>
                <w:szCs w:val="22"/>
                <w:lang w:val="lt-LT"/>
              </w:rPr>
              <w:t>Ar buvo nustatyta reikšmingų iškraipymų?</w:t>
            </w:r>
          </w:p>
        </w:tc>
        <w:tc>
          <w:tcPr>
            <w:tcW w:w="1170" w:type="dxa"/>
          </w:tcPr>
          <w:p w:rsidR="00596452" w:rsidRPr="00555009" w:rsidRDefault="00596452" w:rsidP="00D04F07">
            <w:pPr>
              <w:pStyle w:val="NormalWeb"/>
              <w:spacing w:before="0" w:beforeAutospacing="0" w:after="0" w:afterAutospacing="0"/>
              <w:jc w:val="center"/>
              <w:rPr>
                <w:b/>
                <w:sz w:val="22"/>
                <w:szCs w:val="22"/>
                <w:lang w:val="lt-LT"/>
              </w:rPr>
            </w:pPr>
            <w:r w:rsidRPr="00555009">
              <w:rPr>
                <w:b/>
                <w:sz w:val="22"/>
                <w:szCs w:val="22"/>
                <w:lang w:val="lt-LT"/>
              </w:rPr>
              <w:t>Pasiekta audito rizika tvirtinimo lygmeniu</w:t>
            </w:r>
          </w:p>
        </w:tc>
        <w:tc>
          <w:tcPr>
            <w:tcW w:w="811" w:type="dxa"/>
            <w:textDirection w:val="btLr"/>
          </w:tcPr>
          <w:p w:rsidR="00596452" w:rsidRPr="00555009" w:rsidRDefault="00596452" w:rsidP="00626C40">
            <w:pPr>
              <w:pStyle w:val="NormalWeb"/>
              <w:spacing w:before="0" w:beforeAutospacing="0" w:after="0" w:afterAutospacing="0"/>
              <w:ind w:left="113" w:right="113"/>
              <w:jc w:val="center"/>
              <w:rPr>
                <w:b/>
                <w:sz w:val="22"/>
                <w:szCs w:val="22"/>
                <w:lang w:val="lt-LT"/>
              </w:rPr>
            </w:pPr>
            <w:r w:rsidRPr="00555009">
              <w:rPr>
                <w:b/>
                <w:sz w:val="22"/>
                <w:szCs w:val="22"/>
                <w:lang w:val="lt-LT"/>
              </w:rPr>
              <w:t>Audito rizika f/a lygmeniu</w:t>
            </w:r>
          </w:p>
        </w:tc>
      </w:tr>
      <w:tr w:rsidR="00294683" w:rsidRPr="00555009" w:rsidTr="00626C40">
        <w:trPr>
          <w:jc w:val="center"/>
        </w:trPr>
        <w:tc>
          <w:tcPr>
            <w:tcW w:w="2657" w:type="dxa"/>
          </w:tcPr>
          <w:p w:rsidR="00596452" w:rsidRPr="00555009" w:rsidRDefault="00596452" w:rsidP="00626C40">
            <w:pPr>
              <w:pStyle w:val="NormalWeb"/>
              <w:spacing w:before="0" w:beforeAutospacing="0" w:after="0" w:afterAutospacing="0"/>
              <w:rPr>
                <w:sz w:val="22"/>
                <w:szCs w:val="22"/>
                <w:lang w:val="lt-LT"/>
              </w:rPr>
            </w:pPr>
            <w:r w:rsidRPr="00555009">
              <w:rPr>
                <w:sz w:val="22"/>
                <w:szCs w:val="22"/>
                <w:lang w:val="lt-LT"/>
              </w:rPr>
              <w:t xml:space="preserve">Ilgalaikis materialusis turtas </w:t>
            </w:r>
          </w:p>
        </w:tc>
        <w:tc>
          <w:tcPr>
            <w:tcW w:w="774" w:type="dxa"/>
          </w:tcPr>
          <w:p w:rsidR="00596452" w:rsidRPr="00555009" w:rsidRDefault="00596452" w:rsidP="00626C40">
            <w:pPr>
              <w:pStyle w:val="NormalWeb"/>
              <w:spacing w:before="0" w:beforeAutospacing="0" w:after="0" w:afterAutospacing="0"/>
              <w:jc w:val="center"/>
              <w:rPr>
                <w:sz w:val="22"/>
                <w:szCs w:val="22"/>
                <w:lang w:val="lt-LT"/>
              </w:rPr>
            </w:pPr>
            <w:r w:rsidRPr="00555009">
              <w:rPr>
                <w:sz w:val="22"/>
                <w:szCs w:val="22"/>
                <w:lang w:val="lt-LT"/>
              </w:rPr>
              <w:t>B</w:t>
            </w:r>
          </w:p>
        </w:tc>
        <w:tc>
          <w:tcPr>
            <w:tcW w:w="1390" w:type="dxa"/>
          </w:tcPr>
          <w:p w:rsidR="00596452" w:rsidRPr="00555009" w:rsidRDefault="00596452" w:rsidP="00D04F07">
            <w:pPr>
              <w:pStyle w:val="NormalWeb"/>
              <w:spacing w:before="0" w:beforeAutospacing="0" w:after="0" w:afterAutospacing="0"/>
              <w:jc w:val="center"/>
              <w:rPr>
                <w:sz w:val="22"/>
                <w:szCs w:val="22"/>
                <w:lang w:val="lt-LT"/>
              </w:rPr>
            </w:pPr>
            <w:r w:rsidRPr="00555009">
              <w:rPr>
                <w:sz w:val="22"/>
                <w:szCs w:val="22"/>
                <w:lang w:val="lt-LT"/>
              </w:rPr>
              <w:t>Taip</w:t>
            </w:r>
          </w:p>
        </w:tc>
        <w:tc>
          <w:tcPr>
            <w:tcW w:w="1402" w:type="dxa"/>
          </w:tcPr>
          <w:p w:rsidR="00596452" w:rsidRPr="00555009" w:rsidRDefault="00596452" w:rsidP="00D04F07">
            <w:pPr>
              <w:pStyle w:val="NormalWeb"/>
              <w:spacing w:before="0" w:beforeAutospacing="0" w:after="0" w:afterAutospacing="0"/>
              <w:jc w:val="center"/>
              <w:rPr>
                <w:sz w:val="22"/>
                <w:szCs w:val="22"/>
                <w:lang w:val="lt-LT"/>
              </w:rPr>
            </w:pPr>
            <w:r w:rsidRPr="00555009">
              <w:rPr>
                <w:sz w:val="22"/>
                <w:szCs w:val="22"/>
                <w:lang w:val="lt-LT"/>
              </w:rPr>
              <w:t>Ne</w:t>
            </w:r>
          </w:p>
        </w:tc>
        <w:tc>
          <w:tcPr>
            <w:tcW w:w="1170" w:type="dxa"/>
          </w:tcPr>
          <w:p w:rsidR="00596452" w:rsidRPr="00555009" w:rsidRDefault="00596452" w:rsidP="00D04F07">
            <w:pPr>
              <w:pStyle w:val="NormalWeb"/>
              <w:spacing w:before="0" w:beforeAutospacing="0" w:after="0" w:afterAutospacing="0"/>
              <w:jc w:val="center"/>
              <w:rPr>
                <w:sz w:val="22"/>
                <w:szCs w:val="22"/>
                <w:lang w:val="lt-LT"/>
              </w:rPr>
            </w:pPr>
            <w:r w:rsidRPr="00555009">
              <w:rPr>
                <w:sz w:val="22"/>
                <w:szCs w:val="22"/>
                <w:lang w:val="lt-LT"/>
              </w:rPr>
              <w:t>Maža</w:t>
            </w:r>
          </w:p>
        </w:tc>
        <w:tc>
          <w:tcPr>
            <w:tcW w:w="811" w:type="dxa"/>
            <w:vMerge w:val="restart"/>
            <w:textDirection w:val="btLr"/>
            <w:vAlign w:val="center"/>
          </w:tcPr>
          <w:p w:rsidR="00596452" w:rsidRPr="00555009" w:rsidRDefault="00596452" w:rsidP="00E1617D">
            <w:pPr>
              <w:pStyle w:val="NormalWeb"/>
              <w:spacing w:before="0" w:beforeAutospacing="0" w:after="0" w:afterAutospacing="0"/>
              <w:ind w:left="113" w:right="113"/>
              <w:jc w:val="center"/>
              <w:rPr>
                <w:b/>
                <w:sz w:val="22"/>
                <w:szCs w:val="22"/>
                <w:lang w:val="lt-LT"/>
              </w:rPr>
            </w:pPr>
            <w:r w:rsidRPr="00555009">
              <w:rPr>
                <w:b/>
                <w:sz w:val="22"/>
                <w:szCs w:val="22"/>
                <w:lang w:val="lt-LT"/>
              </w:rPr>
              <w:t>Maža</w:t>
            </w:r>
          </w:p>
        </w:tc>
      </w:tr>
      <w:tr w:rsidR="00294683" w:rsidRPr="00555009" w:rsidTr="00626C40">
        <w:trPr>
          <w:jc w:val="center"/>
        </w:trPr>
        <w:tc>
          <w:tcPr>
            <w:tcW w:w="2657" w:type="dxa"/>
          </w:tcPr>
          <w:p w:rsidR="00596452" w:rsidRPr="00555009" w:rsidRDefault="00596452" w:rsidP="00626C40">
            <w:pPr>
              <w:pStyle w:val="NormalWeb"/>
              <w:spacing w:before="0" w:beforeAutospacing="0" w:after="0" w:afterAutospacing="0"/>
              <w:rPr>
                <w:sz w:val="22"/>
                <w:szCs w:val="22"/>
                <w:lang w:val="lt-LT"/>
              </w:rPr>
            </w:pPr>
            <w:r w:rsidRPr="00555009">
              <w:rPr>
                <w:sz w:val="22"/>
                <w:szCs w:val="22"/>
                <w:lang w:val="lt-LT"/>
              </w:rPr>
              <w:t>Ilgalaikis materialusis turtas</w:t>
            </w:r>
          </w:p>
        </w:tc>
        <w:tc>
          <w:tcPr>
            <w:tcW w:w="774" w:type="dxa"/>
          </w:tcPr>
          <w:p w:rsidR="00596452" w:rsidRPr="00555009" w:rsidRDefault="00626C40" w:rsidP="00626C40">
            <w:pPr>
              <w:pStyle w:val="NormalWeb"/>
              <w:spacing w:before="0" w:beforeAutospacing="0" w:after="0" w:afterAutospacing="0"/>
              <w:jc w:val="center"/>
              <w:rPr>
                <w:sz w:val="22"/>
                <w:szCs w:val="22"/>
                <w:lang w:val="lt-LT"/>
              </w:rPr>
            </w:pPr>
            <w:r>
              <w:rPr>
                <w:sz w:val="22"/>
                <w:szCs w:val="22"/>
                <w:lang w:val="lt-LT"/>
              </w:rPr>
              <w:t>V</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 xml:space="preserve">Atidėtojo mokesčio turtas </w:t>
            </w:r>
          </w:p>
        </w:tc>
        <w:tc>
          <w:tcPr>
            <w:tcW w:w="774" w:type="dxa"/>
          </w:tcPr>
          <w:p w:rsidR="00596452" w:rsidRPr="00555009" w:rsidRDefault="00626C40" w:rsidP="00626C40">
            <w:pPr>
              <w:pStyle w:val="NormalWeb"/>
              <w:spacing w:before="0" w:beforeAutospacing="0" w:after="0" w:afterAutospacing="0"/>
              <w:jc w:val="center"/>
              <w:rPr>
                <w:sz w:val="22"/>
                <w:szCs w:val="22"/>
                <w:lang w:val="lt-LT"/>
              </w:rPr>
            </w:pPr>
            <w:r>
              <w:rPr>
                <w:sz w:val="22"/>
                <w:szCs w:val="22"/>
                <w:lang w:val="lt-LT"/>
              </w:rPr>
              <w:t>V</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626C40">
            <w:pPr>
              <w:pStyle w:val="NormalWeb"/>
              <w:spacing w:before="0" w:beforeAutospacing="0" w:after="0" w:afterAutospacing="0"/>
              <w:jc w:val="both"/>
              <w:rPr>
                <w:sz w:val="22"/>
                <w:szCs w:val="22"/>
                <w:lang w:val="lt-LT"/>
              </w:rPr>
            </w:pPr>
            <w:r w:rsidRPr="00555009">
              <w:rPr>
                <w:sz w:val="22"/>
                <w:szCs w:val="22"/>
                <w:lang w:val="lt-LT"/>
              </w:rPr>
              <w:t>Žaliavos ir komplekt</w:t>
            </w:r>
            <w:r w:rsidR="00626C40">
              <w:rPr>
                <w:sz w:val="22"/>
                <w:szCs w:val="22"/>
                <w:lang w:val="lt-LT"/>
              </w:rPr>
              <w:t>avimo</w:t>
            </w:r>
            <w:r w:rsidR="00294683">
              <w:rPr>
                <w:sz w:val="22"/>
                <w:szCs w:val="22"/>
                <w:lang w:val="lt-LT"/>
              </w:rPr>
              <w:t xml:space="preserve"> </w:t>
            </w:r>
            <w:r w:rsidRPr="00555009">
              <w:rPr>
                <w:sz w:val="22"/>
                <w:szCs w:val="22"/>
                <w:lang w:val="lt-LT"/>
              </w:rPr>
              <w:t>gaminiai</w:t>
            </w:r>
          </w:p>
        </w:tc>
        <w:tc>
          <w:tcPr>
            <w:tcW w:w="774" w:type="dxa"/>
          </w:tcPr>
          <w:p w:rsidR="00596452" w:rsidRPr="00555009" w:rsidRDefault="00596452" w:rsidP="00626C40">
            <w:pPr>
              <w:pStyle w:val="NormalWeb"/>
              <w:spacing w:before="0" w:beforeAutospacing="0" w:after="0" w:afterAutospacing="0"/>
              <w:jc w:val="center"/>
              <w:rPr>
                <w:sz w:val="22"/>
                <w:szCs w:val="22"/>
                <w:lang w:val="lt-LT"/>
              </w:rPr>
            </w:pPr>
            <w:r w:rsidRPr="00555009">
              <w:rPr>
                <w:sz w:val="22"/>
                <w:szCs w:val="22"/>
                <w:lang w:val="lt-LT"/>
              </w:rPr>
              <w:t>B</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Žaliavos ir komplektavimo gaminiai</w:t>
            </w:r>
          </w:p>
        </w:tc>
        <w:tc>
          <w:tcPr>
            <w:tcW w:w="774" w:type="dxa"/>
          </w:tcPr>
          <w:p w:rsidR="00596452" w:rsidRPr="00555009" w:rsidRDefault="00626C40" w:rsidP="00626C40">
            <w:pPr>
              <w:pStyle w:val="NormalWeb"/>
              <w:spacing w:before="0" w:beforeAutospacing="0" w:after="0" w:afterAutospacing="0"/>
              <w:jc w:val="center"/>
              <w:rPr>
                <w:sz w:val="22"/>
                <w:szCs w:val="22"/>
                <w:lang w:val="lt-LT"/>
              </w:rPr>
            </w:pPr>
            <w:r>
              <w:rPr>
                <w:sz w:val="22"/>
                <w:szCs w:val="22"/>
                <w:lang w:val="lt-LT"/>
              </w:rPr>
              <w:t>V</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Pirkėjų įsiskolinimas</w:t>
            </w:r>
          </w:p>
        </w:tc>
        <w:tc>
          <w:tcPr>
            <w:tcW w:w="774" w:type="dxa"/>
          </w:tcPr>
          <w:p w:rsidR="00596452" w:rsidRPr="00555009" w:rsidRDefault="00596452" w:rsidP="00626C40">
            <w:pPr>
              <w:pStyle w:val="NormalWeb"/>
              <w:spacing w:before="0" w:beforeAutospacing="0" w:after="0" w:afterAutospacing="0"/>
              <w:jc w:val="center"/>
              <w:rPr>
                <w:sz w:val="22"/>
                <w:szCs w:val="22"/>
                <w:lang w:val="lt-LT"/>
              </w:rPr>
            </w:pPr>
            <w:r w:rsidRPr="00555009">
              <w:rPr>
                <w:sz w:val="22"/>
                <w:szCs w:val="22"/>
                <w:lang w:val="lt-LT"/>
              </w:rPr>
              <w:t>B</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Pirkėjų įsiskolinimas</w:t>
            </w:r>
          </w:p>
        </w:tc>
        <w:tc>
          <w:tcPr>
            <w:tcW w:w="774" w:type="dxa"/>
          </w:tcPr>
          <w:p w:rsidR="00596452" w:rsidRPr="00555009" w:rsidRDefault="00626C40" w:rsidP="00626C40">
            <w:pPr>
              <w:pStyle w:val="NormalWeb"/>
              <w:spacing w:before="0" w:beforeAutospacing="0" w:after="0" w:afterAutospacing="0"/>
              <w:jc w:val="center"/>
              <w:rPr>
                <w:sz w:val="22"/>
                <w:szCs w:val="22"/>
                <w:lang w:val="lt-LT"/>
              </w:rPr>
            </w:pPr>
            <w:r>
              <w:rPr>
                <w:sz w:val="22"/>
                <w:szCs w:val="22"/>
                <w:lang w:val="lt-LT"/>
              </w:rPr>
              <w:t>V</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626C40">
            <w:pPr>
              <w:pStyle w:val="NormalWeb"/>
              <w:spacing w:before="0" w:beforeAutospacing="0" w:after="0" w:afterAutospacing="0"/>
              <w:rPr>
                <w:sz w:val="22"/>
                <w:szCs w:val="22"/>
                <w:lang w:val="lt-LT"/>
              </w:rPr>
            </w:pPr>
            <w:r w:rsidRPr="00555009">
              <w:rPr>
                <w:sz w:val="22"/>
                <w:szCs w:val="22"/>
                <w:lang w:val="lt-LT"/>
              </w:rPr>
              <w:t xml:space="preserve">Pinigai ir pinigų ekvivalentai </w:t>
            </w:r>
          </w:p>
        </w:tc>
        <w:tc>
          <w:tcPr>
            <w:tcW w:w="774" w:type="dxa"/>
          </w:tcPr>
          <w:p w:rsidR="00596452" w:rsidRPr="00555009" w:rsidRDefault="00596452" w:rsidP="00626C40">
            <w:pPr>
              <w:pStyle w:val="NormalWeb"/>
              <w:spacing w:before="0" w:beforeAutospacing="0" w:after="0" w:afterAutospacing="0"/>
              <w:jc w:val="center"/>
              <w:rPr>
                <w:sz w:val="22"/>
                <w:szCs w:val="22"/>
                <w:lang w:val="lt-LT"/>
              </w:rPr>
            </w:pPr>
            <w:r w:rsidRPr="00555009">
              <w:rPr>
                <w:sz w:val="22"/>
                <w:szCs w:val="22"/>
                <w:lang w:val="lt-LT"/>
              </w:rPr>
              <w:t>B</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Skolos kredito įstaigoms</w:t>
            </w:r>
          </w:p>
        </w:tc>
        <w:tc>
          <w:tcPr>
            <w:tcW w:w="774" w:type="dxa"/>
          </w:tcPr>
          <w:p w:rsidR="00596452" w:rsidRPr="00555009" w:rsidRDefault="00626C40" w:rsidP="00626C40">
            <w:pPr>
              <w:pStyle w:val="NormalWeb"/>
              <w:spacing w:before="0" w:beforeAutospacing="0" w:after="0" w:afterAutospacing="0"/>
              <w:jc w:val="center"/>
              <w:rPr>
                <w:sz w:val="22"/>
                <w:szCs w:val="22"/>
                <w:lang w:val="lt-LT"/>
              </w:rPr>
            </w:pPr>
            <w:r>
              <w:rPr>
                <w:sz w:val="22"/>
                <w:szCs w:val="22"/>
                <w:lang w:val="lt-LT"/>
              </w:rPr>
              <w:t>V</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Skolos tiekėjams</w:t>
            </w:r>
          </w:p>
        </w:tc>
        <w:tc>
          <w:tcPr>
            <w:tcW w:w="774" w:type="dxa"/>
          </w:tcPr>
          <w:p w:rsidR="00596452" w:rsidRPr="00555009" w:rsidRDefault="00596452" w:rsidP="00626C40">
            <w:pPr>
              <w:pStyle w:val="NormalWeb"/>
              <w:spacing w:before="0" w:beforeAutospacing="0" w:after="0" w:afterAutospacing="0"/>
              <w:jc w:val="center"/>
              <w:rPr>
                <w:sz w:val="22"/>
                <w:szCs w:val="22"/>
                <w:lang w:val="lt-LT"/>
              </w:rPr>
            </w:pPr>
            <w:r w:rsidRPr="00555009">
              <w:rPr>
                <w:sz w:val="22"/>
                <w:szCs w:val="22"/>
                <w:lang w:val="lt-LT"/>
              </w:rPr>
              <w:t>I</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 xml:space="preserve">Su darbo santykiais susiję įsipareigojimai </w:t>
            </w:r>
          </w:p>
        </w:tc>
        <w:tc>
          <w:tcPr>
            <w:tcW w:w="774" w:type="dxa"/>
          </w:tcPr>
          <w:p w:rsidR="00596452" w:rsidRPr="00555009" w:rsidRDefault="00596452" w:rsidP="00626C40">
            <w:pPr>
              <w:pStyle w:val="NormalWeb"/>
              <w:spacing w:before="0" w:beforeAutospacing="0" w:after="0" w:afterAutospacing="0"/>
              <w:jc w:val="center"/>
              <w:rPr>
                <w:sz w:val="22"/>
                <w:szCs w:val="22"/>
                <w:lang w:val="lt-LT"/>
              </w:rPr>
            </w:pPr>
            <w:r w:rsidRPr="00555009">
              <w:rPr>
                <w:sz w:val="22"/>
                <w:szCs w:val="22"/>
                <w:lang w:val="lt-LT"/>
              </w:rPr>
              <w:t>I</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Pardavimo pajamos</w:t>
            </w:r>
          </w:p>
        </w:tc>
        <w:tc>
          <w:tcPr>
            <w:tcW w:w="774" w:type="dxa"/>
          </w:tcPr>
          <w:p w:rsidR="00596452" w:rsidRPr="00555009" w:rsidRDefault="00596452" w:rsidP="00626C40">
            <w:pPr>
              <w:pStyle w:val="NormalWeb"/>
              <w:spacing w:before="0" w:beforeAutospacing="0" w:after="0" w:afterAutospacing="0"/>
              <w:jc w:val="center"/>
              <w:rPr>
                <w:sz w:val="22"/>
                <w:szCs w:val="22"/>
                <w:lang w:val="lt-LT"/>
              </w:rPr>
            </w:pPr>
            <w:r w:rsidRPr="00555009">
              <w:rPr>
                <w:sz w:val="22"/>
                <w:szCs w:val="22"/>
                <w:lang w:val="lt-LT"/>
              </w:rPr>
              <w:t>T</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 xml:space="preserve">Pardavimo savikaina </w:t>
            </w:r>
          </w:p>
        </w:tc>
        <w:tc>
          <w:tcPr>
            <w:tcW w:w="774" w:type="dxa"/>
          </w:tcPr>
          <w:p w:rsidR="00596452" w:rsidRPr="00555009" w:rsidRDefault="00596452" w:rsidP="00626C40">
            <w:pPr>
              <w:pStyle w:val="NormalWeb"/>
              <w:spacing w:before="0" w:beforeAutospacing="0" w:after="0" w:afterAutospacing="0"/>
              <w:jc w:val="center"/>
              <w:rPr>
                <w:sz w:val="22"/>
                <w:szCs w:val="22"/>
                <w:lang w:val="lt-LT"/>
              </w:rPr>
            </w:pPr>
            <w:r w:rsidRPr="00555009">
              <w:rPr>
                <w:sz w:val="22"/>
                <w:szCs w:val="22"/>
                <w:lang w:val="lt-LT"/>
              </w:rPr>
              <w:t>T</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 xml:space="preserve">Veiklos sąnaudos </w:t>
            </w:r>
          </w:p>
        </w:tc>
        <w:tc>
          <w:tcPr>
            <w:tcW w:w="774" w:type="dxa"/>
          </w:tcPr>
          <w:p w:rsidR="00596452" w:rsidRPr="00555009" w:rsidRDefault="00596452" w:rsidP="00626C40">
            <w:pPr>
              <w:pStyle w:val="NormalWeb"/>
              <w:spacing w:before="0" w:beforeAutospacing="0" w:after="0" w:afterAutospacing="0"/>
              <w:jc w:val="center"/>
              <w:rPr>
                <w:sz w:val="22"/>
                <w:szCs w:val="22"/>
                <w:lang w:val="lt-LT"/>
              </w:rPr>
            </w:pPr>
            <w:r w:rsidRPr="00555009">
              <w:rPr>
                <w:sz w:val="22"/>
                <w:szCs w:val="22"/>
                <w:lang w:val="lt-LT"/>
              </w:rPr>
              <w:t>T</w:t>
            </w:r>
          </w:p>
        </w:tc>
        <w:tc>
          <w:tcPr>
            <w:tcW w:w="1390" w:type="dxa"/>
          </w:tcPr>
          <w:p w:rsidR="00596452" w:rsidRPr="00555009" w:rsidRDefault="00596452" w:rsidP="00D04F07">
            <w:pPr>
              <w:jc w:val="center"/>
              <w:rPr>
                <w:sz w:val="22"/>
                <w:szCs w:val="22"/>
              </w:rPr>
            </w:pPr>
            <w:r w:rsidRPr="00555009">
              <w:rPr>
                <w:sz w:val="22"/>
                <w:szCs w:val="22"/>
                <w:lang w:val="lt-LT"/>
              </w:rPr>
              <w:t>Taip</w:t>
            </w:r>
          </w:p>
        </w:tc>
        <w:tc>
          <w:tcPr>
            <w:tcW w:w="1402" w:type="dxa"/>
          </w:tcPr>
          <w:p w:rsidR="00596452" w:rsidRPr="00555009" w:rsidRDefault="00596452" w:rsidP="00D04F07">
            <w:pPr>
              <w:jc w:val="center"/>
              <w:rPr>
                <w:sz w:val="22"/>
                <w:szCs w:val="22"/>
              </w:rPr>
            </w:pPr>
            <w:r w:rsidRPr="00555009">
              <w:rPr>
                <w:sz w:val="22"/>
                <w:szCs w:val="22"/>
                <w:lang w:val="lt-LT"/>
              </w:rPr>
              <w:t>Ne</w:t>
            </w:r>
          </w:p>
        </w:tc>
        <w:tc>
          <w:tcPr>
            <w:tcW w:w="1170" w:type="dxa"/>
          </w:tcPr>
          <w:p w:rsidR="00596452" w:rsidRPr="00555009" w:rsidRDefault="00596452" w:rsidP="00D04F07">
            <w:pPr>
              <w:jc w:val="center"/>
              <w:rPr>
                <w:sz w:val="22"/>
                <w:szCs w:val="22"/>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r w:rsidR="00294683" w:rsidRPr="00555009" w:rsidTr="00626C40">
        <w:trPr>
          <w:jc w:val="center"/>
        </w:trPr>
        <w:tc>
          <w:tcPr>
            <w:tcW w:w="2657" w:type="dxa"/>
          </w:tcPr>
          <w:p w:rsidR="00596452" w:rsidRPr="00555009" w:rsidRDefault="00596452" w:rsidP="00D04F07">
            <w:pPr>
              <w:pStyle w:val="NormalWeb"/>
              <w:spacing w:before="0" w:beforeAutospacing="0" w:after="0" w:afterAutospacing="0"/>
              <w:jc w:val="both"/>
              <w:rPr>
                <w:sz w:val="22"/>
                <w:szCs w:val="22"/>
                <w:lang w:val="lt-LT"/>
              </w:rPr>
            </w:pPr>
            <w:r w:rsidRPr="00555009">
              <w:rPr>
                <w:sz w:val="22"/>
                <w:szCs w:val="22"/>
                <w:lang w:val="lt-LT"/>
              </w:rPr>
              <w:t>Kiti</w:t>
            </w:r>
          </w:p>
        </w:tc>
        <w:tc>
          <w:tcPr>
            <w:tcW w:w="774" w:type="dxa"/>
          </w:tcPr>
          <w:p w:rsidR="00596452" w:rsidRPr="00555009" w:rsidRDefault="00596452" w:rsidP="00D04F07">
            <w:pPr>
              <w:pStyle w:val="NormalWeb"/>
              <w:spacing w:before="0" w:beforeAutospacing="0" w:after="0" w:afterAutospacing="0"/>
              <w:jc w:val="center"/>
              <w:rPr>
                <w:sz w:val="22"/>
                <w:szCs w:val="22"/>
                <w:lang w:val="lt-LT"/>
              </w:rPr>
            </w:pPr>
            <w:r w:rsidRPr="00555009">
              <w:rPr>
                <w:sz w:val="22"/>
                <w:szCs w:val="22"/>
                <w:lang w:val="lt-LT"/>
              </w:rPr>
              <w:t>X</w:t>
            </w:r>
          </w:p>
        </w:tc>
        <w:tc>
          <w:tcPr>
            <w:tcW w:w="1390" w:type="dxa"/>
          </w:tcPr>
          <w:p w:rsidR="00596452" w:rsidRPr="00555009" w:rsidRDefault="00596452" w:rsidP="00D04F07">
            <w:pPr>
              <w:jc w:val="center"/>
              <w:rPr>
                <w:sz w:val="22"/>
                <w:szCs w:val="22"/>
                <w:lang w:val="lt-LT"/>
              </w:rPr>
            </w:pPr>
            <w:r w:rsidRPr="00555009">
              <w:rPr>
                <w:sz w:val="22"/>
                <w:szCs w:val="22"/>
                <w:lang w:val="lt-LT"/>
              </w:rPr>
              <w:t>Taip</w:t>
            </w:r>
          </w:p>
        </w:tc>
        <w:tc>
          <w:tcPr>
            <w:tcW w:w="1402" w:type="dxa"/>
          </w:tcPr>
          <w:p w:rsidR="00596452" w:rsidRPr="00555009" w:rsidRDefault="00596452" w:rsidP="00D04F07">
            <w:pPr>
              <w:jc w:val="center"/>
              <w:rPr>
                <w:sz w:val="22"/>
                <w:szCs w:val="22"/>
                <w:lang w:val="lt-LT"/>
              </w:rPr>
            </w:pPr>
            <w:r w:rsidRPr="00555009">
              <w:rPr>
                <w:sz w:val="22"/>
                <w:szCs w:val="22"/>
                <w:lang w:val="lt-LT"/>
              </w:rPr>
              <w:t>Ne</w:t>
            </w:r>
          </w:p>
        </w:tc>
        <w:tc>
          <w:tcPr>
            <w:tcW w:w="1170" w:type="dxa"/>
          </w:tcPr>
          <w:p w:rsidR="00596452" w:rsidRPr="00555009" w:rsidRDefault="00596452" w:rsidP="00D04F07">
            <w:pPr>
              <w:jc w:val="center"/>
              <w:rPr>
                <w:sz w:val="22"/>
                <w:szCs w:val="22"/>
                <w:lang w:val="lt-LT"/>
              </w:rPr>
            </w:pPr>
            <w:r w:rsidRPr="00555009">
              <w:rPr>
                <w:sz w:val="22"/>
                <w:szCs w:val="22"/>
                <w:lang w:val="lt-LT"/>
              </w:rPr>
              <w:t>Maža</w:t>
            </w:r>
          </w:p>
        </w:tc>
        <w:tc>
          <w:tcPr>
            <w:tcW w:w="811" w:type="dxa"/>
            <w:vMerge/>
          </w:tcPr>
          <w:p w:rsidR="00596452" w:rsidRPr="00555009" w:rsidRDefault="00596452" w:rsidP="00D04F07">
            <w:pPr>
              <w:pStyle w:val="NormalWeb"/>
              <w:spacing w:before="0" w:beforeAutospacing="0" w:after="0" w:afterAutospacing="0"/>
              <w:rPr>
                <w:sz w:val="22"/>
                <w:szCs w:val="22"/>
                <w:lang w:val="lt-LT"/>
              </w:rPr>
            </w:pPr>
          </w:p>
        </w:tc>
      </w:tr>
    </w:tbl>
    <w:p w:rsidR="00626C40" w:rsidRDefault="00626C40" w:rsidP="00626C40">
      <w:pPr>
        <w:pStyle w:val="NormalWeb"/>
        <w:spacing w:before="0" w:beforeAutospacing="0" w:after="0" w:afterAutospacing="0"/>
        <w:jc w:val="both"/>
        <w:rPr>
          <w:sz w:val="20"/>
          <w:szCs w:val="20"/>
          <w:lang w:val="lt-LT"/>
        </w:rPr>
      </w:pPr>
      <w:r w:rsidRPr="00DB65C8">
        <w:rPr>
          <w:sz w:val="20"/>
          <w:szCs w:val="20"/>
          <w:lang w:val="lt-LT"/>
        </w:rPr>
        <w:t xml:space="preserve">Pastaba: </w:t>
      </w:r>
      <w:r>
        <w:rPr>
          <w:sz w:val="20"/>
          <w:szCs w:val="20"/>
          <w:lang w:val="lt-LT"/>
        </w:rPr>
        <w:t>Susijęs tvirtinimas: B</w:t>
      </w:r>
      <w:r w:rsidR="00884A1E" w:rsidRPr="003E5F7B">
        <w:rPr>
          <w:sz w:val="26"/>
          <w:szCs w:val="26"/>
          <w:lang w:val="lt-LT"/>
        </w:rPr>
        <w:t xml:space="preserve"> </w:t>
      </w:r>
      <w:r w:rsidR="00884A1E">
        <w:rPr>
          <w:sz w:val="26"/>
          <w:szCs w:val="26"/>
          <w:lang w:val="lt-LT"/>
        </w:rPr>
        <w:t xml:space="preserve">– </w:t>
      </w:r>
      <w:r>
        <w:rPr>
          <w:sz w:val="20"/>
          <w:szCs w:val="20"/>
          <w:lang w:val="lt-LT"/>
        </w:rPr>
        <w:t>buvimas, V</w:t>
      </w:r>
      <w:r w:rsidR="00884A1E" w:rsidRPr="003E5F7B">
        <w:rPr>
          <w:sz w:val="26"/>
          <w:szCs w:val="26"/>
          <w:lang w:val="lt-LT"/>
        </w:rPr>
        <w:t xml:space="preserve"> </w:t>
      </w:r>
      <w:r w:rsidR="00884A1E">
        <w:rPr>
          <w:sz w:val="26"/>
          <w:szCs w:val="26"/>
          <w:lang w:val="lt-LT"/>
        </w:rPr>
        <w:t xml:space="preserve">– </w:t>
      </w:r>
      <w:r>
        <w:rPr>
          <w:sz w:val="20"/>
          <w:szCs w:val="20"/>
          <w:lang w:val="lt-LT"/>
        </w:rPr>
        <w:t>įvertinimas, I</w:t>
      </w:r>
      <w:r w:rsidR="00884A1E" w:rsidRPr="003E5F7B">
        <w:rPr>
          <w:sz w:val="26"/>
          <w:szCs w:val="26"/>
          <w:lang w:val="lt-LT"/>
        </w:rPr>
        <w:t xml:space="preserve"> </w:t>
      </w:r>
      <w:r w:rsidR="00884A1E">
        <w:rPr>
          <w:sz w:val="26"/>
          <w:szCs w:val="26"/>
          <w:lang w:val="lt-LT"/>
        </w:rPr>
        <w:t xml:space="preserve">– </w:t>
      </w:r>
      <w:r>
        <w:rPr>
          <w:sz w:val="20"/>
          <w:szCs w:val="20"/>
          <w:lang w:val="lt-LT"/>
        </w:rPr>
        <w:t>išsamumas, T</w:t>
      </w:r>
      <w:r w:rsidR="00884A1E" w:rsidRPr="003E5F7B">
        <w:rPr>
          <w:sz w:val="26"/>
          <w:szCs w:val="26"/>
          <w:lang w:val="lt-LT"/>
        </w:rPr>
        <w:t xml:space="preserve"> </w:t>
      </w:r>
      <w:r w:rsidR="00884A1E">
        <w:rPr>
          <w:sz w:val="26"/>
          <w:szCs w:val="26"/>
          <w:lang w:val="lt-LT"/>
        </w:rPr>
        <w:t xml:space="preserve">– </w:t>
      </w:r>
      <w:r>
        <w:rPr>
          <w:sz w:val="20"/>
          <w:szCs w:val="20"/>
          <w:lang w:val="lt-LT"/>
        </w:rPr>
        <w:t>tikslumas.</w:t>
      </w:r>
    </w:p>
    <w:p w:rsidR="00596452" w:rsidRPr="002831E4" w:rsidRDefault="00596452" w:rsidP="00596452">
      <w:pPr>
        <w:pStyle w:val="NormalWeb"/>
        <w:spacing w:before="60" w:beforeAutospacing="0" w:after="0" w:afterAutospacing="0"/>
        <w:jc w:val="both"/>
        <w:rPr>
          <w:sz w:val="20"/>
          <w:szCs w:val="20"/>
          <w:lang w:val="lt-LT"/>
        </w:rPr>
      </w:pPr>
      <w:r w:rsidRPr="002831E4">
        <w:rPr>
          <w:sz w:val="20"/>
          <w:szCs w:val="20"/>
          <w:lang w:val="lt-LT"/>
        </w:rPr>
        <w:t>Šaltinis:</w:t>
      </w:r>
      <w:r>
        <w:rPr>
          <w:sz w:val="20"/>
          <w:szCs w:val="20"/>
          <w:lang w:val="lt-LT"/>
        </w:rPr>
        <w:t xml:space="preserve"> sudaryta autorės.</w:t>
      </w:r>
    </w:p>
    <w:p w:rsidR="008E13E8" w:rsidRPr="00555009" w:rsidRDefault="008E13E8" w:rsidP="00294683">
      <w:pPr>
        <w:pStyle w:val="NormalWeb"/>
        <w:spacing w:before="240" w:beforeAutospacing="0" w:after="0" w:afterAutospacing="0" w:line="360" w:lineRule="auto"/>
        <w:ind w:firstLine="720"/>
        <w:jc w:val="both"/>
        <w:rPr>
          <w:sz w:val="26"/>
          <w:szCs w:val="26"/>
          <w:lang w:val="lt-LT"/>
        </w:rPr>
      </w:pPr>
      <w:r w:rsidRPr="00555009">
        <w:rPr>
          <w:sz w:val="26"/>
          <w:szCs w:val="26"/>
          <w:lang w:val="lt-LT"/>
        </w:rPr>
        <w:t xml:space="preserve">Todėl 1) atlikus kontrolės testus UAB „Šiluma“ apskaitos procesų atžvilgiu ir pasitvirtinus savo vertinimą apie kontrolės riziką, kad įmonės nustatytos kontrolės procedūros audituojamu laikotarpiu veikė efektyviai (vidaus kontrolės sistema yra veiksminga) bei 2) atlikus aptartas audito procedūras dėl UAB „Šiluma“ svarbiausių finansinių ataskaitų elementų ir su jais susijusių tvirtinimų, ir jų metu nenustačius reikšmingų iškraipymų, galima </w:t>
      </w:r>
      <w:r w:rsidRPr="00555009">
        <w:rPr>
          <w:sz w:val="26"/>
          <w:szCs w:val="26"/>
          <w:lang w:val="lt-LT"/>
        </w:rPr>
        <w:lastRenderedPageBreak/>
        <w:t xml:space="preserve">teigti, kad </w:t>
      </w:r>
      <w:r w:rsidR="00294683">
        <w:rPr>
          <w:sz w:val="26"/>
          <w:szCs w:val="26"/>
          <w:lang w:val="lt-LT"/>
        </w:rPr>
        <w:t xml:space="preserve">buvo pasiekta maža </w:t>
      </w:r>
      <w:r w:rsidRPr="00555009">
        <w:rPr>
          <w:sz w:val="26"/>
          <w:szCs w:val="26"/>
          <w:lang w:val="lt-LT"/>
        </w:rPr>
        <w:t>audito rizika kiekvien</w:t>
      </w:r>
      <w:r w:rsidR="00294683">
        <w:rPr>
          <w:sz w:val="26"/>
          <w:szCs w:val="26"/>
          <w:lang w:val="lt-LT"/>
        </w:rPr>
        <w:t>am</w:t>
      </w:r>
      <w:r w:rsidRPr="00555009">
        <w:rPr>
          <w:sz w:val="26"/>
          <w:szCs w:val="26"/>
          <w:lang w:val="lt-LT"/>
        </w:rPr>
        <w:t xml:space="preserve"> tirt</w:t>
      </w:r>
      <w:r w:rsidR="00294683">
        <w:rPr>
          <w:sz w:val="26"/>
          <w:szCs w:val="26"/>
          <w:lang w:val="lt-LT"/>
        </w:rPr>
        <w:t>am</w:t>
      </w:r>
      <w:r w:rsidRPr="00555009">
        <w:rPr>
          <w:sz w:val="26"/>
          <w:szCs w:val="26"/>
          <w:lang w:val="lt-LT"/>
        </w:rPr>
        <w:t xml:space="preserve"> tvirtinim</w:t>
      </w:r>
      <w:r w:rsidR="00294683">
        <w:rPr>
          <w:sz w:val="26"/>
          <w:szCs w:val="26"/>
          <w:lang w:val="lt-LT"/>
        </w:rPr>
        <w:t>ui</w:t>
      </w:r>
      <w:r w:rsidRPr="00555009">
        <w:rPr>
          <w:sz w:val="26"/>
          <w:szCs w:val="26"/>
          <w:lang w:val="lt-LT"/>
        </w:rPr>
        <w:t xml:space="preserve"> (žr.</w:t>
      </w:r>
      <w:r>
        <w:rPr>
          <w:sz w:val="26"/>
          <w:szCs w:val="26"/>
          <w:lang w:val="lt-LT"/>
        </w:rPr>
        <w:t> </w:t>
      </w:r>
      <w:r w:rsidRPr="00555009">
        <w:rPr>
          <w:sz w:val="26"/>
          <w:szCs w:val="26"/>
          <w:lang w:val="lt-LT"/>
        </w:rPr>
        <w:t>3</w:t>
      </w:r>
      <w:r w:rsidR="00D849D7">
        <w:rPr>
          <w:sz w:val="26"/>
          <w:szCs w:val="26"/>
          <w:lang w:val="lt-LT"/>
        </w:rPr>
        <w:t>1</w:t>
      </w:r>
      <w:r>
        <w:rPr>
          <w:sz w:val="26"/>
          <w:szCs w:val="26"/>
          <w:lang w:val="lt-LT"/>
        </w:rPr>
        <w:t> </w:t>
      </w:r>
      <w:r w:rsidRPr="00555009">
        <w:rPr>
          <w:sz w:val="26"/>
          <w:szCs w:val="26"/>
          <w:lang w:val="lt-LT"/>
        </w:rPr>
        <w:t xml:space="preserve">lentelė). </w:t>
      </w:r>
      <w:r w:rsidR="00B564DA">
        <w:rPr>
          <w:sz w:val="26"/>
          <w:szCs w:val="26"/>
          <w:lang w:val="lt-LT"/>
        </w:rPr>
        <w:t>Be to, buvo</w:t>
      </w:r>
      <w:r w:rsidRPr="00555009">
        <w:rPr>
          <w:sz w:val="26"/>
          <w:szCs w:val="26"/>
          <w:lang w:val="lt-LT"/>
        </w:rPr>
        <w:t xml:space="preserve"> prieita išvados, jog bendra audito rizika yra maža, kas leido auditoriui pareikšti besąlyginę nuomonę apie UAB</w:t>
      </w:r>
      <w:r w:rsidR="00973556">
        <w:rPr>
          <w:sz w:val="26"/>
          <w:szCs w:val="26"/>
          <w:lang w:val="lt-LT"/>
        </w:rPr>
        <w:t> </w:t>
      </w:r>
      <w:r w:rsidRPr="00555009">
        <w:rPr>
          <w:sz w:val="26"/>
          <w:szCs w:val="26"/>
          <w:lang w:val="lt-LT"/>
        </w:rPr>
        <w:t>„Šiluma“ 2008</w:t>
      </w:r>
      <w:r w:rsidR="00574CBE">
        <w:rPr>
          <w:sz w:val="26"/>
          <w:szCs w:val="26"/>
          <w:lang w:val="lt-LT"/>
        </w:rPr>
        <w:t> </w:t>
      </w:r>
      <w:r w:rsidRPr="00555009">
        <w:rPr>
          <w:sz w:val="26"/>
          <w:szCs w:val="26"/>
          <w:lang w:val="lt-LT"/>
        </w:rPr>
        <w:t xml:space="preserve">metų finansines ataskaitas. </w:t>
      </w:r>
    </w:p>
    <w:p w:rsidR="005F430C" w:rsidRPr="00555009" w:rsidRDefault="00B564DA" w:rsidP="00B564DA">
      <w:pPr>
        <w:pStyle w:val="NormalWeb"/>
        <w:spacing w:before="0" w:beforeAutospacing="0" w:after="0" w:afterAutospacing="0" w:line="360" w:lineRule="auto"/>
        <w:ind w:firstLine="720"/>
        <w:jc w:val="both"/>
        <w:rPr>
          <w:i/>
          <w:sz w:val="26"/>
          <w:szCs w:val="26"/>
          <w:lang w:val="lt-LT"/>
        </w:rPr>
      </w:pPr>
      <w:r>
        <w:rPr>
          <w:i/>
          <w:sz w:val="26"/>
          <w:szCs w:val="26"/>
          <w:lang w:val="lt-LT"/>
        </w:rPr>
        <w:t xml:space="preserve">Visa </w:t>
      </w:r>
      <w:r w:rsidR="005F430C" w:rsidRPr="00555009">
        <w:rPr>
          <w:i/>
          <w:sz w:val="26"/>
          <w:szCs w:val="26"/>
          <w:lang w:val="lt-LT"/>
        </w:rPr>
        <w:t>tai patvirtina ketvirtosios hipotezės (H</w:t>
      </w:r>
      <w:r w:rsidR="005F430C" w:rsidRPr="00555009">
        <w:rPr>
          <w:i/>
          <w:sz w:val="26"/>
          <w:szCs w:val="26"/>
          <w:vertAlign w:val="subscript"/>
          <w:lang w:val="lt-LT"/>
        </w:rPr>
        <w:t>4</w:t>
      </w:r>
      <w:r w:rsidR="005F430C" w:rsidRPr="00555009">
        <w:rPr>
          <w:i/>
          <w:sz w:val="26"/>
          <w:szCs w:val="26"/>
          <w:lang w:val="lt-LT"/>
        </w:rPr>
        <w:t>), jog „audito pabaigoje įvertinamas bendras audito rizikos lygis atsižvelgiant į tvirtinimo lygmeniu pasiektus audito rizikos vertinimus“ teisingumą.</w:t>
      </w:r>
    </w:p>
    <w:bookmarkEnd w:id="47"/>
    <w:p w:rsidR="004E7C2D" w:rsidRPr="00555009" w:rsidRDefault="005F696E" w:rsidP="005F696E">
      <w:pPr>
        <w:pStyle w:val="NormalWeb"/>
        <w:spacing w:before="120" w:beforeAutospacing="0" w:after="0" w:afterAutospacing="0" w:line="360" w:lineRule="auto"/>
        <w:ind w:firstLine="720"/>
        <w:jc w:val="both"/>
        <w:rPr>
          <w:sz w:val="26"/>
          <w:szCs w:val="26"/>
          <w:lang w:val="lt-LT"/>
        </w:rPr>
      </w:pPr>
      <w:r w:rsidRPr="00555009">
        <w:rPr>
          <w:b/>
          <w:sz w:val="26"/>
          <w:szCs w:val="26"/>
          <w:lang w:val="lt-LT"/>
        </w:rPr>
        <w:t xml:space="preserve">Audito rizikos vertinimas atliekant UAB „Žuvila“ 2008 metų finansinių ataskaitų auditą. </w:t>
      </w:r>
      <w:r w:rsidR="009A26AB" w:rsidRPr="00555009">
        <w:rPr>
          <w:sz w:val="26"/>
          <w:szCs w:val="26"/>
          <w:lang w:val="lt-LT"/>
        </w:rPr>
        <w:t xml:space="preserve">UAB „Žuvila“ pagrindinė veikla žuvies produktų gamyba ir pardavimas. </w:t>
      </w:r>
      <w:r w:rsidR="000C34AF" w:rsidRPr="00555009">
        <w:rPr>
          <w:sz w:val="26"/>
          <w:szCs w:val="26"/>
          <w:lang w:val="lt-LT"/>
        </w:rPr>
        <w:t>Į</w:t>
      </w:r>
      <w:r w:rsidR="009A26AB" w:rsidRPr="00555009">
        <w:rPr>
          <w:sz w:val="26"/>
          <w:szCs w:val="26"/>
          <w:lang w:val="lt-LT"/>
        </w:rPr>
        <w:t xml:space="preserve">monė </w:t>
      </w:r>
      <w:r w:rsidR="000C34AF" w:rsidRPr="00555009">
        <w:rPr>
          <w:sz w:val="26"/>
          <w:szCs w:val="26"/>
          <w:lang w:val="lt-LT"/>
        </w:rPr>
        <w:t xml:space="preserve">gamina šiuos žuvies produktus: sūdyta žuvis ir jūros gėrybės, rūkytos žuvies produktai, šaldytos žuvies produktai, padažai ir kt. Šiais produktais prekiaujama </w:t>
      </w:r>
      <w:r w:rsidR="00EA165D" w:rsidRPr="00555009">
        <w:rPr>
          <w:sz w:val="26"/>
          <w:szCs w:val="26"/>
          <w:lang w:val="lt-LT"/>
        </w:rPr>
        <w:t xml:space="preserve">visose </w:t>
      </w:r>
      <w:r w:rsidR="000C34AF" w:rsidRPr="00555009">
        <w:rPr>
          <w:sz w:val="26"/>
          <w:szCs w:val="26"/>
          <w:lang w:val="lt-LT"/>
        </w:rPr>
        <w:t xml:space="preserve">Baltijos valstybėse, Lenkijoje, Čekijoje, kitose centrinės Europos valstybėse ir kitur. </w:t>
      </w:r>
    </w:p>
    <w:p w:rsidR="0087165C" w:rsidRPr="00555009" w:rsidRDefault="004E7C2D" w:rsidP="00D34B7B">
      <w:pPr>
        <w:pStyle w:val="NormalWeb"/>
        <w:spacing w:before="0" w:beforeAutospacing="0" w:after="0" w:afterAutospacing="0" w:line="360" w:lineRule="auto"/>
        <w:ind w:firstLine="720"/>
        <w:jc w:val="both"/>
        <w:rPr>
          <w:sz w:val="26"/>
          <w:szCs w:val="26"/>
          <w:lang w:val="lt-LT"/>
        </w:rPr>
      </w:pPr>
      <w:r w:rsidRPr="00555009">
        <w:rPr>
          <w:sz w:val="26"/>
          <w:szCs w:val="26"/>
          <w:lang w:val="lt-LT"/>
        </w:rPr>
        <w:t>D</w:t>
      </w:r>
      <w:r w:rsidR="006111AB" w:rsidRPr="00555009">
        <w:rPr>
          <w:sz w:val="26"/>
          <w:szCs w:val="26"/>
          <w:lang w:val="lt-LT"/>
        </w:rPr>
        <w:t>idžiąją produkcijos dalį</w:t>
      </w:r>
      <w:r w:rsidR="000C34AF" w:rsidRPr="00555009">
        <w:rPr>
          <w:sz w:val="26"/>
          <w:szCs w:val="26"/>
          <w:lang w:val="lt-LT"/>
        </w:rPr>
        <w:t xml:space="preserve"> </w:t>
      </w:r>
      <w:r w:rsidR="00A57E6F" w:rsidRPr="00555009">
        <w:rPr>
          <w:sz w:val="26"/>
          <w:szCs w:val="26"/>
          <w:lang w:val="lt-LT"/>
        </w:rPr>
        <w:t xml:space="preserve">UAB „Žuvila“ </w:t>
      </w:r>
      <w:r w:rsidR="009A26AB" w:rsidRPr="00555009">
        <w:rPr>
          <w:sz w:val="26"/>
          <w:szCs w:val="26"/>
          <w:lang w:val="lt-LT"/>
        </w:rPr>
        <w:t xml:space="preserve">parduoda </w:t>
      </w:r>
      <w:r w:rsidR="006111AB" w:rsidRPr="00555009">
        <w:rPr>
          <w:sz w:val="26"/>
          <w:szCs w:val="26"/>
          <w:lang w:val="lt-LT"/>
        </w:rPr>
        <w:t>įmonių grupės, kuriai priklauso, įmonėms.</w:t>
      </w:r>
      <w:r w:rsidR="00A57E6F" w:rsidRPr="00555009">
        <w:rPr>
          <w:sz w:val="26"/>
          <w:szCs w:val="26"/>
          <w:lang w:val="lt-LT"/>
        </w:rPr>
        <w:t xml:space="preserve"> </w:t>
      </w:r>
      <w:r w:rsidR="002E0C87" w:rsidRPr="00555009">
        <w:rPr>
          <w:sz w:val="26"/>
          <w:szCs w:val="26"/>
          <w:lang w:val="lt-LT"/>
        </w:rPr>
        <w:t>B</w:t>
      </w:r>
      <w:r w:rsidR="000E5A3C" w:rsidRPr="00555009">
        <w:rPr>
          <w:sz w:val="26"/>
          <w:szCs w:val="26"/>
          <w:lang w:val="lt-LT"/>
        </w:rPr>
        <w:t xml:space="preserve">endroji rinkos recesija prasidėjusi 2008 metų antroje pusėje neturėjo svarbios įtakos įmonės veiklai, </w:t>
      </w:r>
      <w:r w:rsidR="00CD0732" w:rsidRPr="00555009">
        <w:rPr>
          <w:sz w:val="26"/>
          <w:szCs w:val="26"/>
          <w:lang w:val="lt-LT"/>
        </w:rPr>
        <w:t xml:space="preserve">UAB „Žuvila“ 2008 metų pardavimai 11 proc. viršijo 2007 metų pardavimų lygį, </w:t>
      </w:r>
      <w:r w:rsidR="000E5A3C" w:rsidRPr="00555009">
        <w:rPr>
          <w:sz w:val="26"/>
          <w:szCs w:val="26"/>
          <w:lang w:val="lt-LT"/>
        </w:rPr>
        <w:t>o gaminama produkcija yra maisto produktai – pirmosios būtinybės prekė.</w:t>
      </w:r>
      <w:r w:rsidR="00D76BC1" w:rsidRPr="00555009">
        <w:rPr>
          <w:sz w:val="26"/>
          <w:szCs w:val="26"/>
          <w:lang w:val="lt-LT"/>
        </w:rPr>
        <w:t xml:space="preserve"> </w:t>
      </w:r>
      <w:r w:rsidR="0025473B" w:rsidRPr="00555009">
        <w:rPr>
          <w:sz w:val="26"/>
          <w:szCs w:val="26"/>
          <w:lang w:val="lt-LT"/>
        </w:rPr>
        <w:t xml:space="preserve">Tačiau įmonės pardavimams būdingas sezoniškumas, daugiausia produkcijos gaminama bei parduodama paskutiniaisiais metų mėnesiais, taip pat prieš didžiąsias metų šventes. Be to, svarbu, kad pagal nustatytą tvarką grupės įmonės atsiskaito už parduodamą produkciją per 30 dienų, kas leidžia </w:t>
      </w:r>
      <w:r w:rsidR="005460C1" w:rsidRPr="00555009">
        <w:rPr>
          <w:sz w:val="26"/>
          <w:szCs w:val="26"/>
          <w:lang w:val="lt-LT"/>
        </w:rPr>
        <w:t>U</w:t>
      </w:r>
      <w:r w:rsidR="0025473B" w:rsidRPr="00555009">
        <w:rPr>
          <w:sz w:val="26"/>
          <w:szCs w:val="26"/>
          <w:lang w:val="lt-LT"/>
        </w:rPr>
        <w:t xml:space="preserve">AB „Žuvila“ subalansuoti pinigų srautus. </w:t>
      </w:r>
      <w:r w:rsidR="00963949">
        <w:rPr>
          <w:sz w:val="26"/>
          <w:szCs w:val="26"/>
          <w:lang w:val="lt-LT"/>
        </w:rPr>
        <w:t>Nors</w:t>
      </w:r>
      <w:r w:rsidR="005460C1" w:rsidRPr="00555009">
        <w:rPr>
          <w:sz w:val="26"/>
          <w:szCs w:val="26"/>
          <w:lang w:val="lt-LT"/>
        </w:rPr>
        <w:t xml:space="preserve"> įmonės veikla per paskutiniuosius metus buvo pelninga</w:t>
      </w:r>
      <w:r w:rsidR="00963949">
        <w:rPr>
          <w:sz w:val="26"/>
          <w:szCs w:val="26"/>
          <w:lang w:val="lt-LT"/>
        </w:rPr>
        <w:t>, tačiau susiduriama su verslo rizika</w:t>
      </w:r>
      <w:r w:rsidR="005460C1" w:rsidRPr="00555009">
        <w:rPr>
          <w:sz w:val="26"/>
          <w:szCs w:val="26"/>
          <w:lang w:val="lt-LT"/>
        </w:rPr>
        <w:t xml:space="preserve">. </w:t>
      </w:r>
      <w:r w:rsidR="00963949">
        <w:rPr>
          <w:sz w:val="26"/>
          <w:szCs w:val="26"/>
          <w:lang w:val="lt-LT"/>
        </w:rPr>
        <w:t>S</w:t>
      </w:r>
      <w:r w:rsidR="002E0C87" w:rsidRPr="00555009">
        <w:rPr>
          <w:sz w:val="26"/>
          <w:szCs w:val="26"/>
          <w:lang w:val="lt-LT"/>
        </w:rPr>
        <w:t xml:space="preserve">varbūs </w:t>
      </w:r>
      <w:r w:rsidR="00FD3D03" w:rsidRPr="00555009">
        <w:rPr>
          <w:sz w:val="26"/>
          <w:szCs w:val="26"/>
          <w:lang w:val="lt-LT"/>
        </w:rPr>
        <w:t xml:space="preserve">rinkos veiksniai, keliantys susirūpinimą įmonei, </w:t>
      </w:r>
      <w:r w:rsidR="00A57E6F" w:rsidRPr="00555009">
        <w:rPr>
          <w:sz w:val="26"/>
          <w:szCs w:val="26"/>
          <w:lang w:val="lt-LT"/>
        </w:rPr>
        <w:t xml:space="preserve">yra: didelė konkurencija rinkoje ir </w:t>
      </w:r>
      <w:r w:rsidR="0087165C" w:rsidRPr="00555009">
        <w:rPr>
          <w:sz w:val="26"/>
          <w:szCs w:val="26"/>
          <w:lang w:val="lt-LT"/>
        </w:rPr>
        <w:t xml:space="preserve">konkurentų </w:t>
      </w:r>
      <w:r w:rsidR="00A57E6F" w:rsidRPr="00555009">
        <w:rPr>
          <w:sz w:val="26"/>
          <w:szCs w:val="26"/>
          <w:lang w:val="lt-LT"/>
        </w:rPr>
        <w:t>taikoma agresyvi kainų politika</w:t>
      </w:r>
      <w:r w:rsidR="0087165C" w:rsidRPr="00555009">
        <w:rPr>
          <w:sz w:val="26"/>
          <w:szCs w:val="26"/>
          <w:lang w:val="lt-LT"/>
        </w:rPr>
        <w:t>,</w:t>
      </w:r>
      <w:r w:rsidR="00A57E6F" w:rsidRPr="00555009">
        <w:rPr>
          <w:sz w:val="26"/>
          <w:szCs w:val="26"/>
          <w:lang w:val="lt-LT"/>
        </w:rPr>
        <w:t xml:space="preserve"> siūlomo asortimento įvairinimas</w:t>
      </w:r>
      <w:r w:rsidR="000A192F" w:rsidRPr="00555009">
        <w:rPr>
          <w:sz w:val="26"/>
          <w:szCs w:val="26"/>
          <w:lang w:val="lt-LT"/>
        </w:rPr>
        <w:t xml:space="preserve"> </w:t>
      </w:r>
      <w:r w:rsidR="0087165C" w:rsidRPr="00555009">
        <w:rPr>
          <w:sz w:val="26"/>
          <w:szCs w:val="26"/>
          <w:lang w:val="lt-LT"/>
        </w:rPr>
        <w:t>bei</w:t>
      </w:r>
      <w:r w:rsidR="000A192F" w:rsidRPr="00555009">
        <w:rPr>
          <w:sz w:val="26"/>
          <w:szCs w:val="26"/>
          <w:lang w:val="lt-LT"/>
        </w:rPr>
        <w:t xml:space="preserve"> gaminamos produkcijos kokybės užtikrinimas</w:t>
      </w:r>
      <w:r w:rsidR="0087165C" w:rsidRPr="00555009">
        <w:rPr>
          <w:sz w:val="26"/>
          <w:szCs w:val="26"/>
          <w:lang w:val="lt-LT"/>
        </w:rPr>
        <w:t xml:space="preserve">, taip pat bendras šalyje </w:t>
      </w:r>
      <w:r w:rsidR="00A57E6F" w:rsidRPr="00555009">
        <w:rPr>
          <w:sz w:val="26"/>
          <w:szCs w:val="26"/>
          <w:lang w:val="lt-LT"/>
        </w:rPr>
        <w:t>darbo užmokesčio sąnaudų didėjimas, lemia</w:t>
      </w:r>
      <w:r w:rsidR="00624359" w:rsidRPr="00555009">
        <w:rPr>
          <w:sz w:val="26"/>
          <w:szCs w:val="26"/>
          <w:lang w:val="lt-LT"/>
        </w:rPr>
        <w:t>ntis</w:t>
      </w:r>
      <w:r w:rsidR="00A57E6F" w:rsidRPr="00555009">
        <w:rPr>
          <w:sz w:val="26"/>
          <w:szCs w:val="26"/>
          <w:lang w:val="lt-LT"/>
        </w:rPr>
        <w:t xml:space="preserve"> </w:t>
      </w:r>
      <w:r w:rsidR="0087165C" w:rsidRPr="00555009">
        <w:rPr>
          <w:sz w:val="26"/>
          <w:szCs w:val="26"/>
          <w:lang w:val="lt-LT"/>
        </w:rPr>
        <w:t xml:space="preserve">ir įmonės </w:t>
      </w:r>
      <w:r w:rsidR="00A57E6F" w:rsidRPr="00555009">
        <w:rPr>
          <w:sz w:val="26"/>
          <w:szCs w:val="26"/>
          <w:lang w:val="lt-LT"/>
        </w:rPr>
        <w:t>produkcijos savikainos didėjimą</w:t>
      </w:r>
      <w:r w:rsidR="0087165C" w:rsidRPr="00555009">
        <w:rPr>
          <w:sz w:val="26"/>
          <w:szCs w:val="26"/>
          <w:lang w:val="lt-LT"/>
        </w:rPr>
        <w:t xml:space="preserve"> bei </w:t>
      </w:r>
      <w:r w:rsidR="00D76BC1" w:rsidRPr="00555009">
        <w:rPr>
          <w:sz w:val="26"/>
          <w:szCs w:val="26"/>
          <w:lang w:val="lt-LT"/>
        </w:rPr>
        <w:t xml:space="preserve">savalaikis atsiskaitymas su </w:t>
      </w:r>
      <w:r w:rsidR="00C227B0" w:rsidRPr="00555009">
        <w:rPr>
          <w:sz w:val="26"/>
          <w:szCs w:val="26"/>
          <w:lang w:val="lt-LT"/>
        </w:rPr>
        <w:t>tiekėj</w:t>
      </w:r>
      <w:r w:rsidR="003C317D" w:rsidRPr="00555009">
        <w:rPr>
          <w:sz w:val="26"/>
          <w:szCs w:val="26"/>
          <w:lang w:val="lt-LT"/>
        </w:rPr>
        <w:t>ai</w:t>
      </w:r>
      <w:r w:rsidR="00D76BC1" w:rsidRPr="00555009">
        <w:rPr>
          <w:sz w:val="26"/>
          <w:szCs w:val="26"/>
          <w:lang w:val="lt-LT"/>
        </w:rPr>
        <w:t>s</w:t>
      </w:r>
      <w:r w:rsidR="003C317D" w:rsidRPr="00555009">
        <w:rPr>
          <w:sz w:val="26"/>
          <w:szCs w:val="26"/>
          <w:lang w:val="lt-LT"/>
        </w:rPr>
        <w:t xml:space="preserve">. </w:t>
      </w:r>
      <w:r w:rsidR="0087165C" w:rsidRPr="00555009">
        <w:rPr>
          <w:sz w:val="26"/>
          <w:szCs w:val="26"/>
          <w:lang w:val="lt-LT"/>
        </w:rPr>
        <w:t xml:space="preserve">Pastebėtina, kad įmonė nuolat modernizuoja įvairias </w:t>
      </w:r>
      <w:r w:rsidR="0087165C" w:rsidRPr="00555009">
        <w:rPr>
          <w:sz w:val="26"/>
          <w:szCs w:val="26"/>
          <w:lang w:val="lt-LT"/>
        </w:rPr>
        <w:lastRenderedPageBreak/>
        <w:t>gamybos proceso linijas, o tai reikalauja papildomų lėšų</w:t>
      </w:r>
      <w:r w:rsidR="004E3EE6" w:rsidRPr="00555009">
        <w:rPr>
          <w:sz w:val="26"/>
          <w:szCs w:val="26"/>
          <w:lang w:val="lt-LT"/>
        </w:rPr>
        <w:t xml:space="preserve">, todėl </w:t>
      </w:r>
      <w:r w:rsidR="0087165C" w:rsidRPr="00555009">
        <w:rPr>
          <w:sz w:val="26"/>
          <w:szCs w:val="26"/>
          <w:lang w:val="lt-LT"/>
        </w:rPr>
        <w:t xml:space="preserve">UAB „Žuvila“ </w:t>
      </w:r>
      <w:r w:rsidR="004E3EE6" w:rsidRPr="00555009">
        <w:rPr>
          <w:sz w:val="26"/>
          <w:szCs w:val="26"/>
          <w:lang w:val="lt-LT"/>
        </w:rPr>
        <w:t xml:space="preserve">turi pasiėmusi </w:t>
      </w:r>
      <w:r w:rsidR="0087165C" w:rsidRPr="00555009">
        <w:rPr>
          <w:sz w:val="26"/>
          <w:szCs w:val="26"/>
          <w:lang w:val="lt-LT"/>
        </w:rPr>
        <w:t>paskolą iš banko.</w:t>
      </w:r>
      <w:r w:rsidR="004E3EE6" w:rsidRPr="00555009">
        <w:rPr>
          <w:sz w:val="26"/>
          <w:szCs w:val="26"/>
          <w:lang w:val="lt-LT"/>
        </w:rPr>
        <w:t xml:space="preserve"> </w:t>
      </w:r>
    </w:p>
    <w:p w:rsidR="002E0C87" w:rsidRPr="00555009" w:rsidRDefault="0025473B" w:rsidP="00D34B7B">
      <w:pPr>
        <w:pStyle w:val="NormalWeb"/>
        <w:spacing w:before="0" w:beforeAutospacing="0" w:after="0" w:afterAutospacing="0" w:line="360" w:lineRule="auto"/>
        <w:ind w:firstLine="720"/>
        <w:jc w:val="both"/>
        <w:rPr>
          <w:sz w:val="26"/>
          <w:szCs w:val="26"/>
          <w:lang w:val="lt-LT"/>
        </w:rPr>
      </w:pPr>
      <w:r w:rsidRPr="00555009">
        <w:rPr>
          <w:sz w:val="26"/>
          <w:szCs w:val="26"/>
          <w:lang w:val="lt-LT"/>
        </w:rPr>
        <w:t xml:space="preserve">Atsižvelgiant į tai, </w:t>
      </w:r>
      <w:r w:rsidR="0087165C" w:rsidRPr="00555009">
        <w:rPr>
          <w:sz w:val="26"/>
          <w:szCs w:val="26"/>
          <w:lang w:val="lt-LT"/>
        </w:rPr>
        <w:t xml:space="preserve">galima </w:t>
      </w:r>
      <w:r w:rsidR="004E3EE6" w:rsidRPr="00555009">
        <w:rPr>
          <w:sz w:val="26"/>
          <w:szCs w:val="26"/>
          <w:lang w:val="lt-LT"/>
        </w:rPr>
        <w:t>teigti, kad</w:t>
      </w:r>
      <w:r w:rsidR="00B449E1" w:rsidRPr="00555009">
        <w:rPr>
          <w:sz w:val="26"/>
          <w:szCs w:val="26"/>
          <w:lang w:val="lt-LT"/>
        </w:rPr>
        <w:t xml:space="preserve"> nėra svarbių </w:t>
      </w:r>
      <w:r w:rsidR="0089166D" w:rsidRPr="00555009">
        <w:rPr>
          <w:sz w:val="26"/>
          <w:szCs w:val="26"/>
          <w:lang w:val="lt-LT"/>
        </w:rPr>
        <w:t xml:space="preserve">ekonominių-politinių, reguliavimo ir konkurencinių </w:t>
      </w:r>
      <w:r w:rsidR="00B449E1" w:rsidRPr="00555009">
        <w:rPr>
          <w:sz w:val="26"/>
          <w:szCs w:val="26"/>
          <w:lang w:val="lt-LT"/>
        </w:rPr>
        <w:t>sąlygų, įvykių aplinkybių, galinčių paveikti įmonės gebėjimą pasiekti savo tikslus ir vystyti strategijas</w:t>
      </w:r>
      <w:r w:rsidR="00292E9E">
        <w:rPr>
          <w:sz w:val="26"/>
          <w:szCs w:val="26"/>
          <w:lang w:val="lt-LT"/>
        </w:rPr>
        <w:t xml:space="preserve">. Atsižvelgiant į tai, audito metu </w:t>
      </w:r>
      <w:r w:rsidRPr="00555009">
        <w:rPr>
          <w:i/>
          <w:sz w:val="26"/>
          <w:szCs w:val="26"/>
          <w:lang w:val="lt-LT"/>
        </w:rPr>
        <w:t>ver</w:t>
      </w:r>
      <w:r w:rsidR="00B449E1" w:rsidRPr="00555009">
        <w:rPr>
          <w:i/>
          <w:sz w:val="26"/>
          <w:szCs w:val="26"/>
          <w:lang w:val="lt-LT"/>
        </w:rPr>
        <w:t>s</w:t>
      </w:r>
      <w:r w:rsidRPr="00555009">
        <w:rPr>
          <w:i/>
          <w:sz w:val="26"/>
          <w:szCs w:val="26"/>
          <w:lang w:val="lt-LT"/>
        </w:rPr>
        <w:t>lo rizik</w:t>
      </w:r>
      <w:r w:rsidR="00292E9E">
        <w:rPr>
          <w:i/>
          <w:sz w:val="26"/>
          <w:szCs w:val="26"/>
          <w:lang w:val="lt-LT"/>
        </w:rPr>
        <w:t>a</w:t>
      </w:r>
      <w:r w:rsidRPr="00555009">
        <w:rPr>
          <w:sz w:val="26"/>
          <w:szCs w:val="26"/>
          <w:lang w:val="lt-LT"/>
        </w:rPr>
        <w:t xml:space="preserve"> UAB „Žuvila“ atžvil</w:t>
      </w:r>
      <w:r w:rsidR="00B449E1" w:rsidRPr="00555009">
        <w:rPr>
          <w:sz w:val="26"/>
          <w:szCs w:val="26"/>
          <w:lang w:val="lt-LT"/>
        </w:rPr>
        <w:t>g</w:t>
      </w:r>
      <w:r w:rsidRPr="00555009">
        <w:rPr>
          <w:sz w:val="26"/>
          <w:szCs w:val="26"/>
          <w:lang w:val="lt-LT"/>
        </w:rPr>
        <w:t>iu</w:t>
      </w:r>
      <w:r w:rsidR="00292E9E">
        <w:rPr>
          <w:sz w:val="26"/>
          <w:szCs w:val="26"/>
          <w:lang w:val="lt-LT"/>
        </w:rPr>
        <w:t xml:space="preserve">, pasinaudojus darbo autorės sudaryta </w:t>
      </w:r>
      <w:r w:rsidR="00292E9E" w:rsidRPr="00CC20F4">
        <w:rPr>
          <w:b/>
          <w:sz w:val="26"/>
          <w:szCs w:val="26"/>
          <w:lang w:val="lt-LT"/>
        </w:rPr>
        <w:t>verslo rizikos apskaičiavimo lent</w:t>
      </w:r>
      <w:r w:rsidR="00292E9E" w:rsidRPr="00D849D7">
        <w:rPr>
          <w:b/>
          <w:sz w:val="26"/>
          <w:szCs w:val="26"/>
          <w:lang w:val="lt-LT"/>
        </w:rPr>
        <w:t>ele</w:t>
      </w:r>
      <w:r w:rsidR="00292E9E" w:rsidRPr="00D849D7">
        <w:rPr>
          <w:sz w:val="26"/>
          <w:szCs w:val="26"/>
          <w:lang w:val="lt-LT"/>
        </w:rPr>
        <w:t xml:space="preserve"> (žr. 20 priedas) bei</w:t>
      </w:r>
      <w:r w:rsidR="00292E9E" w:rsidRPr="00F47408">
        <w:rPr>
          <w:sz w:val="26"/>
          <w:szCs w:val="26"/>
          <w:lang w:val="lt-LT"/>
        </w:rPr>
        <w:t xml:space="preserve"> kiekybinio įvertinimo metodika,</w:t>
      </w:r>
      <w:r w:rsidR="00292E9E">
        <w:rPr>
          <w:sz w:val="26"/>
          <w:szCs w:val="26"/>
          <w:lang w:val="lt-LT"/>
        </w:rPr>
        <w:t xml:space="preserve"> į</w:t>
      </w:r>
      <w:r w:rsidRPr="00555009">
        <w:rPr>
          <w:sz w:val="26"/>
          <w:szCs w:val="26"/>
          <w:lang w:val="lt-LT"/>
        </w:rPr>
        <w:t>vertint</w:t>
      </w:r>
      <w:r w:rsidR="00292E9E">
        <w:rPr>
          <w:sz w:val="26"/>
          <w:szCs w:val="26"/>
          <w:lang w:val="lt-LT"/>
        </w:rPr>
        <w:t>a</w:t>
      </w:r>
      <w:r w:rsidRPr="00555009">
        <w:rPr>
          <w:sz w:val="26"/>
          <w:szCs w:val="26"/>
          <w:lang w:val="lt-LT"/>
        </w:rPr>
        <w:t xml:space="preserve"> kaip </w:t>
      </w:r>
      <w:r w:rsidR="00B449E1" w:rsidRPr="00555009">
        <w:rPr>
          <w:i/>
          <w:sz w:val="26"/>
          <w:szCs w:val="26"/>
          <w:lang w:val="lt-LT"/>
        </w:rPr>
        <w:t>maž</w:t>
      </w:r>
      <w:r w:rsidR="00292E9E">
        <w:rPr>
          <w:i/>
          <w:sz w:val="26"/>
          <w:szCs w:val="26"/>
          <w:lang w:val="lt-LT"/>
        </w:rPr>
        <w:t>a</w:t>
      </w:r>
      <w:r w:rsidR="00B449E1" w:rsidRPr="00555009">
        <w:rPr>
          <w:i/>
          <w:sz w:val="26"/>
          <w:szCs w:val="26"/>
          <w:lang w:val="lt-LT"/>
        </w:rPr>
        <w:t xml:space="preserve"> rizik</w:t>
      </w:r>
      <w:r w:rsidR="00292E9E">
        <w:rPr>
          <w:i/>
          <w:sz w:val="26"/>
          <w:szCs w:val="26"/>
          <w:lang w:val="lt-LT"/>
        </w:rPr>
        <w:t>a</w:t>
      </w:r>
      <w:r w:rsidR="0089166D" w:rsidRPr="00555009">
        <w:rPr>
          <w:sz w:val="26"/>
          <w:szCs w:val="26"/>
          <w:lang w:val="lt-LT"/>
        </w:rPr>
        <w:t>, apska</w:t>
      </w:r>
      <w:r w:rsidR="00292E9E">
        <w:rPr>
          <w:sz w:val="26"/>
          <w:szCs w:val="26"/>
          <w:lang w:val="lt-LT"/>
        </w:rPr>
        <w:t>ičiuotas rizikos lygis 40</w:t>
      </w:r>
      <w:r w:rsidR="00557D91">
        <w:rPr>
          <w:sz w:val="26"/>
          <w:szCs w:val="26"/>
          <w:lang w:val="lt-LT"/>
        </w:rPr>
        <w:t> </w:t>
      </w:r>
      <w:r w:rsidR="00292E9E">
        <w:rPr>
          <w:sz w:val="26"/>
          <w:szCs w:val="26"/>
          <w:lang w:val="lt-LT"/>
        </w:rPr>
        <w:t>proc.</w:t>
      </w:r>
    </w:p>
    <w:p w:rsidR="0085101F" w:rsidRPr="00555009" w:rsidRDefault="0085101F" w:rsidP="00D34B7B">
      <w:pPr>
        <w:pStyle w:val="NormalWeb"/>
        <w:spacing w:before="0" w:beforeAutospacing="0" w:after="0" w:afterAutospacing="0" w:line="360" w:lineRule="auto"/>
        <w:ind w:firstLine="720"/>
        <w:jc w:val="both"/>
        <w:rPr>
          <w:sz w:val="26"/>
          <w:szCs w:val="26"/>
          <w:lang w:val="lt-LT"/>
        </w:rPr>
      </w:pPr>
      <w:r w:rsidRPr="00555009">
        <w:rPr>
          <w:sz w:val="26"/>
          <w:szCs w:val="26"/>
          <w:lang w:val="lt-LT"/>
        </w:rPr>
        <w:t>Kadangi įmonės rizikos vertinimas priklauso vid</w:t>
      </w:r>
      <w:r w:rsidR="008E4A5A">
        <w:rPr>
          <w:sz w:val="26"/>
          <w:szCs w:val="26"/>
          <w:lang w:val="lt-LT"/>
        </w:rPr>
        <w:t>aus</w:t>
      </w:r>
      <w:r w:rsidRPr="00555009">
        <w:rPr>
          <w:sz w:val="26"/>
          <w:szCs w:val="26"/>
          <w:lang w:val="lt-LT"/>
        </w:rPr>
        <w:t xml:space="preserve"> aplinkos sąlygų (strateginių, valdymo ir vidaus kontrolės, veiklos ir apskaitos) išsiaiškinimo, todėl visa tai ir aptarsime.</w:t>
      </w:r>
    </w:p>
    <w:p w:rsidR="00CD0875" w:rsidRPr="00555009" w:rsidRDefault="003C317D" w:rsidP="00D34B7B">
      <w:pPr>
        <w:pStyle w:val="NormalWeb"/>
        <w:spacing w:before="0" w:beforeAutospacing="0" w:after="0" w:afterAutospacing="0" w:line="360" w:lineRule="auto"/>
        <w:ind w:firstLine="720"/>
        <w:jc w:val="both"/>
        <w:rPr>
          <w:sz w:val="26"/>
          <w:szCs w:val="26"/>
          <w:lang w:val="lt-LT"/>
        </w:rPr>
      </w:pPr>
      <w:r w:rsidRPr="00555009">
        <w:rPr>
          <w:sz w:val="26"/>
          <w:szCs w:val="26"/>
          <w:lang w:val="lt-LT"/>
        </w:rPr>
        <w:t>UAB „Žuvila“ akcininkai tikisi pelningos įmonės veiklos ir tolesnės plėtros.</w:t>
      </w:r>
      <w:r w:rsidR="00D34B7B" w:rsidRPr="00555009">
        <w:rPr>
          <w:sz w:val="26"/>
          <w:szCs w:val="26"/>
          <w:lang w:val="lt-LT"/>
        </w:rPr>
        <w:t xml:space="preserve"> </w:t>
      </w:r>
      <w:r w:rsidR="00B449E1" w:rsidRPr="00555009">
        <w:rPr>
          <w:sz w:val="26"/>
          <w:szCs w:val="26"/>
          <w:lang w:val="lt-LT"/>
        </w:rPr>
        <w:t xml:space="preserve">Todėl </w:t>
      </w:r>
      <w:r w:rsidR="00D34B7B" w:rsidRPr="00555009">
        <w:rPr>
          <w:sz w:val="26"/>
          <w:szCs w:val="26"/>
          <w:lang w:val="lt-LT"/>
        </w:rPr>
        <w:t>įmonės strategija yra optimizuoti produkcijos gamybos sąnaudas. O tai siekiama per: 1) gamybos organizavimą su mažiausiomis sąnaudomis taip, kad produkcijos kokybė nenukentėtų; 2) sutarčių su tiekėjais</w:t>
      </w:r>
      <w:r w:rsidR="004355F8" w:rsidRPr="00555009">
        <w:rPr>
          <w:sz w:val="26"/>
          <w:szCs w:val="26"/>
          <w:lang w:val="lt-LT"/>
        </w:rPr>
        <w:t xml:space="preserve"> dėl mažiausių kainų</w:t>
      </w:r>
      <w:r w:rsidR="00D34B7B" w:rsidRPr="00555009">
        <w:rPr>
          <w:sz w:val="26"/>
          <w:szCs w:val="26"/>
          <w:lang w:val="lt-LT"/>
        </w:rPr>
        <w:t xml:space="preserve">, pasirašymą; 3) </w:t>
      </w:r>
      <w:r w:rsidR="004355F8" w:rsidRPr="00555009">
        <w:rPr>
          <w:sz w:val="26"/>
          <w:szCs w:val="26"/>
          <w:lang w:val="lt-LT"/>
        </w:rPr>
        <w:t>produkcijos kokybės išlaikymą; 4)</w:t>
      </w:r>
      <w:r w:rsidR="0027771F">
        <w:rPr>
          <w:sz w:val="26"/>
          <w:szCs w:val="26"/>
          <w:lang w:val="lt-LT"/>
        </w:rPr>
        <w:t> </w:t>
      </w:r>
      <w:r w:rsidR="004355F8" w:rsidRPr="00555009">
        <w:rPr>
          <w:sz w:val="26"/>
          <w:szCs w:val="26"/>
          <w:lang w:val="lt-LT"/>
        </w:rPr>
        <w:t>darbuotojų, kuriems būtų mokamas optimalus darbo užmokestis, priėmimą; 5) naujų rinkų tyrim</w:t>
      </w:r>
      <w:r w:rsidR="00626C40">
        <w:rPr>
          <w:sz w:val="26"/>
          <w:szCs w:val="26"/>
          <w:lang w:val="lt-LT"/>
        </w:rPr>
        <w:t>ą</w:t>
      </w:r>
      <w:r w:rsidR="004355F8" w:rsidRPr="00555009">
        <w:rPr>
          <w:sz w:val="26"/>
          <w:szCs w:val="26"/>
          <w:lang w:val="lt-LT"/>
        </w:rPr>
        <w:t>; 6) sėkming</w:t>
      </w:r>
      <w:r w:rsidR="00626C40">
        <w:rPr>
          <w:sz w:val="26"/>
          <w:szCs w:val="26"/>
          <w:lang w:val="lt-LT"/>
        </w:rPr>
        <w:t>ą</w:t>
      </w:r>
      <w:r w:rsidR="004355F8" w:rsidRPr="00555009">
        <w:rPr>
          <w:sz w:val="26"/>
          <w:szCs w:val="26"/>
          <w:lang w:val="lt-LT"/>
        </w:rPr>
        <w:t xml:space="preserve"> asortimento valdym</w:t>
      </w:r>
      <w:r w:rsidR="00626C40">
        <w:rPr>
          <w:sz w:val="26"/>
          <w:szCs w:val="26"/>
          <w:lang w:val="lt-LT"/>
        </w:rPr>
        <w:t>ą</w:t>
      </w:r>
      <w:r w:rsidR="004355F8" w:rsidRPr="00555009">
        <w:rPr>
          <w:sz w:val="26"/>
          <w:szCs w:val="26"/>
          <w:lang w:val="lt-LT"/>
        </w:rPr>
        <w:t xml:space="preserve">. </w:t>
      </w:r>
      <w:r w:rsidR="00CD0875" w:rsidRPr="00555009">
        <w:rPr>
          <w:sz w:val="26"/>
          <w:szCs w:val="26"/>
          <w:lang w:val="lt-LT"/>
        </w:rPr>
        <w:t xml:space="preserve">UAB „Žuvila“ planuoja sumažinti savo sąnaudas, </w:t>
      </w:r>
      <w:r w:rsidR="0087165C" w:rsidRPr="00555009">
        <w:rPr>
          <w:sz w:val="26"/>
          <w:szCs w:val="26"/>
          <w:lang w:val="lt-LT"/>
        </w:rPr>
        <w:t xml:space="preserve">toliau </w:t>
      </w:r>
      <w:r w:rsidR="00CD0875" w:rsidRPr="00555009">
        <w:rPr>
          <w:sz w:val="26"/>
          <w:szCs w:val="26"/>
          <w:lang w:val="lt-LT"/>
        </w:rPr>
        <w:t xml:space="preserve">modernizuodama gamybos procesą (mažiau darbo jėgos bus reikalaujama), pasinaudojus Europos Sąjungos struktūrinių fondų parama. </w:t>
      </w:r>
      <w:r w:rsidR="0025473B" w:rsidRPr="00555009">
        <w:rPr>
          <w:sz w:val="26"/>
          <w:szCs w:val="26"/>
          <w:lang w:val="lt-LT"/>
        </w:rPr>
        <w:t xml:space="preserve">Be to, </w:t>
      </w:r>
      <w:r w:rsidR="0085101F" w:rsidRPr="00555009">
        <w:rPr>
          <w:sz w:val="26"/>
          <w:szCs w:val="26"/>
          <w:lang w:val="lt-LT"/>
        </w:rPr>
        <w:t>įmonė</w:t>
      </w:r>
      <w:r w:rsidR="0025473B" w:rsidRPr="00555009">
        <w:rPr>
          <w:sz w:val="26"/>
          <w:szCs w:val="26"/>
          <w:lang w:val="lt-LT"/>
        </w:rPr>
        <w:t xml:space="preserve"> siekia plėsti savo vartotojų ratą, </w:t>
      </w:r>
      <w:r w:rsidR="0087165C" w:rsidRPr="00555009">
        <w:rPr>
          <w:sz w:val="26"/>
          <w:szCs w:val="26"/>
          <w:lang w:val="lt-LT"/>
        </w:rPr>
        <w:t xml:space="preserve">todėl </w:t>
      </w:r>
      <w:r w:rsidR="0025473B" w:rsidRPr="00555009">
        <w:rPr>
          <w:sz w:val="26"/>
          <w:szCs w:val="26"/>
          <w:lang w:val="lt-LT"/>
        </w:rPr>
        <w:t>nemažai dėmesio skir</w:t>
      </w:r>
      <w:r w:rsidR="0087165C" w:rsidRPr="00555009">
        <w:rPr>
          <w:sz w:val="26"/>
          <w:szCs w:val="26"/>
          <w:lang w:val="lt-LT"/>
        </w:rPr>
        <w:t>ia</w:t>
      </w:r>
      <w:r w:rsidR="0025473B" w:rsidRPr="00555009">
        <w:rPr>
          <w:sz w:val="26"/>
          <w:szCs w:val="26"/>
          <w:lang w:val="lt-LT"/>
        </w:rPr>
        <w:t xml:space="preserve"> reklamai ir žinomumui apie įmonės produkciją didinti.</w:t>
      </w:r>
    </w:p>
    <w:p w:rsidR="00223ACB" w:rsidRDefault="004355F8" w:rsidP="00223ACB">
      <w:pPr>
        <w:pStyle w:val="NormalWeb"/>
        <w:spacing w:before="0" w:beforeAutospacing="0" w:after="0" w:afterAutospacing="0" w:line="360" w:lineRule="auto"/>
        <w:ind w:firstLine="720"/>
        <w:jc w:val="both"/>
        <w:rPr>
          <w:sz w:val="26"/>
          <w:szCs w:val="26"/>
          <w:lang w:val="lt-LT"/>
        </w:rPr>
      </w:pPr>
      <w:r w:rsidRPr="00555009">
        <w:rPr>
          <w:sz w:val="26"/>
          <w:szCs w:val="26"/>
          <w:lang w:val="lt-LT"/>
        </w:rPr>
        <w:t>Įmonės akcininkai aktyvia</w:t>
      </w:r>
      <w:r w:rsidR="00CD0875" w:rsidRPr="00555009">
        <w:rPr>
          <w:sz w:val="26"/>
          <w:szCs w:val="26"/>
          <w:lang w:val="lt-LT"/>
        </w:rPr>
        <w:t>i</w:t>
      </w:r>
      <w:r w:rsidRPr="00555009">
        <w:rPr>
          <w:sz w:val="26"/>
          <w:szCs w:val="26"/>
          <w:lang w:val="lt-LT"/>
        </w:rPr>
        <w:t xml:space="preserve"> dalyvauja įmonės veikloje ir valdo pagrindines jos sritis (finansus, gamybą ir rinkodarą).</w:t>
      </w:r>
      <w:r w:rsidR="004E3EE6" w:rsidRPr="00555009">
        <w:rPr>
          <w:sz w:val="26"/>
          <w:szCs w:val="26"/>
          <w:lang w:val="lt-LT"/>
        </w:rPr>
        <w:t xml:space="preserve"> Visa tai patvirtina ir </w:t>
      </w:r>
      <w:r w:rsidR="00223ACB" w:rsidRPr="00555009">
        <w:rPr>
          <w:sz w:val="26"/>
          <w:szCs w:val="26"/>
          <w:lang w:val="lt-LT"/>
        </w:rPr>
        <w:t>UAB „</w:t>
      </w:r>
      <w:r w:rsidR="004E3EE6" w:rsidRPr="00555009">
        <w:rPr>
          <w:sz w:val="26"/>
          <w:szCs w:val="26"/>
          <w:lang w:val="lt-LT"/>
        </w:rPr>
        <w:t>Žuvila</w:t>
      </w:r>
      <w:r w:rsidR="00223ACB" w:rsidRPr="00555009">
        <w:rPr>
          <w:sz w:val="26"/>
          <w:szCs w:val="26"/>
          <w:lang w:val="lt-LT"/>
        </w:rPr>
        <w:t xml:space="preserve">“ vidaus kontrolės sistemos </w:t>
      </w:r>
      <w:r w:rsidR="004E3EE6" w:rsidRPr="00555009">
        <w:rPr>
          <w:sz w:val="26"/>
          <w:szCs w:val="26"/>
          <w:lang w:val="lt-LT"/>
        </w:rPr>
        <w:t xml:space="preserve">elementų aprašymas, pateiktas </w:t>
      </w:r>
      <w:r w:rsidR="00223ACB" w:rsidRPr="00555009">
        <w:rPr>
          <w:sz w:val="26"/>
          <w:szCs w:val="26"/>
          <w:lang w:val="lt-LT"/>
        </w:rPr>
        <w:t xml:space="preserve">pagal COSO modelį (1992) (žr. </w:t>
      </w:r>
      <w:r w:rsidR="004C156A" w:rsidRPr="00555009">
        <w:rPr>
          <w:sz w:val="26"/>
          <w:szCs w:val="26"/>
          <w:lang w:val="lt-LT"/>
        </w:rPr>
        <w:t>3</w:t>
      </w:r>
      <w:r w:rsidR="00D849D7">
        <w:rPr>
          <w:sz w:val="26"/>
          <w:szCs w:val="26"/>
          <w:lang w:val="lt-LT"/>
        </w:rPr>
        <w:t>2</w:t>
      </w:r>
      <w:r w:rsidR="00223ACB" w:rsidRPr="00555009">
        <w:rPr>
          <w:sz w:val="26"/>
          <w:szCs w:val="26"/>
          <w:lang w:val="lt-LT"/>
        </w:rPr>
        <w:t xml:space="preserve"> lentelė)</w:t>
      </w:r>
      <w:r w:rsidR="00DC1B36" w:rsidRPr="00555009">
        <w:rPr>
          <w:sz w:val="26"/>
          <w:szCs w:val="26"/>
          <w:lang w:val="lt-LT"/>
        </w:rPr>
        <w:t>, bei šios sistemos įvertinimas pagal CoCo modelio (1995) kriterijus, žr. 2</w:t>
      </w:r>
      <w:r w:rsidR="006072E9" w:rsidRPr="00555009">
        <w:rPr>
          <w:sz w:val="26"/>
          <w:szCs w:val="26"/>
          <w:lang w:val="lt-LT"/>
        </w:rPr>
        <w:t>5</w:t>
      </w:r>
      <w:r w:rsidR="00DC1B36" w:rsidRPr="00555009">
        <w:rPr>
          <w:sz w:val="26"/>
          <w:szCs w:val="26"/>
          <w:lang w:val="lt-LT"/>
        </w:rPr>
        <w:t xml:space="preserve"> priedas</w:t>
      </w:r>
      <w:r w:rsidR="00223ACB" w:rsidRPr="00555009">
        <w:rPr>
          <w:sz w:val="26"/>
          <w:szCs w:val="26"/>
          <w:lang w:val="lt-LT"/>
        </w:rPr>
        <w:t xml:space="preserve">. </w:t>
      </w:r>
    </w:p>
    <w:p w:rsidR="003F5D70" w:rsidRDefault="003F5D70" w:rsidP="00223ACB">
      <w:pPr>
        <w:pStyle w:val="NormalWeb"/>
        <w:spacing w:before="0" w:beforeAutospacing="0" w:after="0" w:afterAutospacing="0" w:line="360" w:lineRule="auto"/>
        <w:ind w:firstLine="720"/>
        <w:jc w:val="both"/>
        <w:rPr>
          <w:sz w:val="26"/>
          <w:szCs w:val="26"/>
          <w:lang w:val="lt-LT"/>
        </w:rPr>
      </w:pPr>
    </w:p>
    <w:p w:rsidR="003F5D70" w:rsidRDefault="003F5D70" w:rsidP="00223ACB">
      <w:pPr>
        <w:pStyle w:val="NormalWeb"/>
        <w:spacing w:before="0" w:beforeAutospacing="0" w:after="0" w:afterAutospacing="0" w:line="360" w:lineRule="auto"/>
        <w:ind w:firstLine="720"/>
        <w:jc w:val="both"/>
        <w:rPr>
          <w:sz w:val="26"/>
          <w:szCs w:val="26"/>
          <w:lang w:val="lt-LT"/>
        </w:rPr>
      </w:pPr>
    </w:p>
    <w:p w:rsidR="003F5D70" w:rsidRDefault="003F5D70" w:rsidP="00223ACB">
      <w:pPr>
        <w:pStyle w:val="NormalWeb"/>
        <w:spacing w:before="0" w:beforeAutospacing="0" w:after="0" w:afterAutospacing="0" w:line="360" w:lineRule="auto"/>
        <w:ind w:firstLine="720"/>
        <w:jc w:val="both"/>
        <w:rPr>
          <w:sz w:val="26"/>
          <w:szCs w:val="26"/>
          <w:lang w:val="lt-LT"/>
        </w:rPr>
      </w:pPr>
    </w:p>
    <w:p w:rsidR="00223ACB" w:rsidRPr="0027771F" w:rsidRDefault="004C156A" w:rsidP="005C20D7">
      <w:pPr>
        <w:ind w:firstLine="720"/>
        <w:jc w:val="right"/>
        <w:rPr>
          <w:i/>
          <w:sz w:val="26"/>
          <w:szCs w:val="26"/>
          <w:lang w:val="lt-LT"/>
        </w:rPr>
      </w:pPr>
      <w:r w:rsidRPr="0027771F">
        <w:rPr>
          <w:i/>
          <w:sz w:val="26"/>
          <w:szCs w:val="26"/>
          <w:lang w:val="lt-LT"/>
        </w:rPr>
        <w:lastRenderedPageBreak/>
        <w:t>3</w:t>
      </w:r>
      <w:r w:rsidR="00D849D7">
        <w:rPr>
          <w:i/>
          <w:sz w:val="26"/>
          <w:szCs w:val="26"/>
          <w:lang w:val="lt-LT"/>
        </w:rPr>
        <w:t>2</w:t>
      </w:r>
      <w:r w:rsidR="00223ACB" w:rsidRPr="0027771F">
        <w:rPr>
          <w:i/>
          <w:sz w:val="26"/>
          <w:szCs w:val="26"/>
          <w:lang w:val="lt-LT"/>
        </w:rPr>
        <w:t xml:space="preserve"> lentelė</w:t>
      </w:r>
    </w:p>
    <w:p w:rsidR="00223ACB" w:rsidRPr="0027771F" w:rsidRDefault="00223ACB" w:rsidP="005C20D7">
      <w:pPr>
        <w:tabs>
          <w:tab w:val="left" w:pos="567"/>
        </w:tabs>
        <w:jc w:val="center"/>
        <w:rPr>
          <w:b/>
          <w:sz w:val="26"/>
          <w:szCs w:val="26"/>
          <w:lang w:val="lt-LT"/>
        </w:rPr>
      </w:pPr>
      <w:r w:rsidRPr="0027771F">
        <w:rPr>
          <w:b/>
          <w:sz w:val="26"/>
          <w:szCs w:val="26"/>
          <w:lang w:val="lt-LT"/>
        </w:rPr>
        <w:t>UAB „</w:t>
      </w:r>
      <w:r w:rsidR="00473ADA" w:rsidRPr="0027771F">
        <w:rPr>
          <w:b/>
          <w:sz w:val="26"/>
          <w:szCs w:val="26"/>
          <w:lang w:val="lt-LT"/>
        </w:rPr>
        <w:t>Žuvila</w:t>
      </w:r>
      <w:r w:rsidRPr="0027771F">
        <w:rPr>
          <w:b/>
          <w:sz w:val="26"/>
          <w:szCs w:val="26"/>
          <w:lang w:val="lt-LT"/>
        </w:rPr>
        <w:t>“ vidaus kontrolės sistemos apibūdinimas</w:t>
      </w:r>
    </w:p>
    <w:tbl>
      <w:tblPr>
        <w:tblStyle w:val="TableGrid"/>
        <w:tblW w:w="0" w:type="auto"/>
        <w:tblLook w:val="04A0"/>
      </w:tblPr>
      <w:tblGrid>
        <w:gridCol w:w="1849"/>
        <w:gridCol w:w="6645"/>
      </w:tblGrid>
      <w:tr w:rsidR="00223ACB" w:rsidRPr="0027771F" w:rsidTr="004634E5">
        <w:tc>
          <w:tcPr>
            <w:tcW w:w="1951" w:type="dxa"/>
          </w:tcPr>
          <w:p w:rsidR="00223ACB" w:rsidRDefault="00223ACB" w:rsidP="004634E5">
            <w:pPr>
              <w:pStyle w:val="NormalWeb"/>
              <w:spacing w:before="0" w:beforeAutospacing="0" w:after="0" w:afterAutospacing="0"/>
              <w:jc w:val="center"/>
              <w:rPr>
                <w:b/>
                <w:sz w:val="22"/>
                <w:szCs w:val="22"/>
                <w:lang w:val="lt-LT"/>
              </w:rPr>
            </w:pPr>
            <w:r w:rsidRPr="0027771F">
              <w:rPr>
                <w:b/>
                <w:sz w:val="22"/>
                <w:szCs w:val="22"/>
                <w:lang w:val="lt-LT"/>
              </w:rPr>
              <w:t>Vidaus kontrolės sistemos elementas (pagal COSO modelį)</w:t>
            </w:r>
          </w:p>
          <w:p w:rsidR="00292E9E" w:rsidRPr="0027771F" w:rsidRDefault="00292E9E" w:rsidP="004634E5">
            <w:pPr>
              <w:pStyle w:val="NormalWeb"/>
              <w:spacing w:before="0" w:beforeAutospacing="0" w:after="0" w:afterAutospacing="0"/>
              <w:jc w:val="center"/>
              <w:rPr>
                <w:b/>
                <w:sz w:val="22"/>
                <w:szCs w:val="22"/>
                <w:lang w:val="lt-LT"/>
              </w:rPr>
            </w:pPr>
          </w:p>
        </w:tc>
        <w:tc>
          <w:tcPr>
            <w:tcW w:w="7796" w:type="dxa"/>
          </w:tcPr>
          <w:p w:rsidR="00223ACB" w:rsidRPr="0027771F" w:rsidRDefault="00223ACB" w:rsidP="004634E5">
            <w:pPr>
              <w:pStyle w:val="NormalWeb"/>
              <w:spacing w:before="0" w:beforeAutospacing="0" w:after="0" w:afterAutospacing="0"/>
              <w:jc w:val="center"/>
              <w:rPr>
                <w:b/>
                <w:sz w:val="22"/>
                <w:szCs w:val="22"/>
                <w:lang w:val="lt-LT"/>
              </w:rPr>
            </w:pPr>
          </w:p>
          <w:p w:rsidR="00223ACB" w:rsidRPr="0027771F" w:rsidRDefault="00223ACB" w:rsidP="004634E5">
            <w:pPr>
              <w:pStyle w:val="NormalWeb"/>
              <w:spacing w:before="0" w:beforeAutospacing="0" w:after="0" w:afterAutospacing="0"/>
              <w:jc w:val="center"/>
              <w:rPr>
                <w:b/>
                <w:sz w:val="22"/>
                <w:szCs w:val="22"/>
                <w:lang w:val="lt-LT"/>
              </w:rPr>
            </w:pPr>
            <w:r w:rsidRPr="0027771F">
              <w:rPr>
                <w:b/>
                <w:sz w:val="22"/>
                <w:szCs w:val="22"/>
                <w:lang w:val="lt-LT"/>
              </w:rPr>
              <w:t>Trumpas apibūdinimas</w:t>
            </w:r>
          </w:p>
        </w:tc>
      </w:tr>
      <w:tr w:rsidR="00223ACB" w:rsidRPr="0027771F" w:rsidTr="004634E5">
        <w:tc>
          <w:tcPr>
            <w:tcW w:w="1951" w:type="dxa"/>
          </w:tcPr>
          <w:p w:rsidR="00223ACB" w:rsidRPr="0027771F" w:rsidRDefault="00223ACB" w:rsidP="004634E5">
            <w:pPr>
              <w:pStyle w:val="NormalWeb"/>
              <w:spacing w:before="0" w:beforeAutospacing="0" w:after="0" w:afterAutospacing="0"/>
              <w:jc w:val="both"/>
              <w:rPr>
                <w:sz w:val="22"/>
                <w:szCs w:val="22"/>
                <w:lang w:val="lt-LT"/>
              </w:rPr>
            </w:pPr>
            <w:r w:rsidRPr="0027771F">
              <w:rPr>
                <w:sz w:val="22"/>
                <w:szCs w:val="22"/>
                <w:lang w:val="lt-LT"/>
              </w:rPr>
              <w:t>Kontrolės aplinka</w:t>
            </w:r>
          </w:p>
        </w:tc>
        <w:tc>
          <w:tcPr>
            <w:tcW w:w="7796" w:type="dxa"/>
          </w:tcPr>
          <w:p w:rsidR="00223ACB" w:rsidRPr="0027771F" w:rsidRDefault="00223ACB" w:rsidP="00223ACB">
            <w:pPr>
              <w:pStyle w:val="NormalWeb"/>
              <w:spacing w:before="0" w:beforeAutospacing="0" w:after="0" w:afterAutospacing="0"/>
              <w:jc w:val="both"/>
              <w:rPr>
                <w:sz w:val="22"/>
                <w:szCs w:val="22"/>
                <w:lang w:val="lt-LT"/>
              </w:rPr>
            </w:pPr>
            <w:r w:rsidRPr="0027771F">
              <w:rPr>
                <w:sz w:val="22"/>
                <w:szCs w:val="22"/>
                <w:lang w:val="lt-LT"/>
              </w:rPr>
              <w:t>Į</w:t>
            </w:r>
            <w:r w:rsidR="00EB4C71" w:rsidRPr="0027771F">
              <w:rPr>
                <w:sz w:val="22"/>
                <w:szCs w:val="22"/>
                <w:lang w:val="lt-LT"/>
              </w:rPr>
              <w:t xml:space="preserve">monės akcininkai ir vadovybė </w:t>
            </w:r>
            <w:r w:rsidR="00CA5046" w:rsidRPr="0027771F">
              <w:rPr>
                <w:sz w:val="22"/>
                <w:szCs w:val="22"/>
                <w:lang w:val="lt-LT"/>
              </w:rPr>
              <w:t xml:space="preserve">nuolat </w:t>
            </w:r>
            <w:r w:rsidR="00EB4C71" w:rsidRPr="0027771F">
              <w:rPr>
                <w:sz w:val="22"/>
                <w:szCs w:val="22"/>
                <w:lang w:val="lt-LT"/>
              </w:rPr>
              <w:t>pabrėžia sąžiningo ir etiško elgesio svarbą. Tinkam</w:t>
            </w:r>
            <w:r w:rsidR="00CA5046" w:rsidRPr="0027771F">
              <w:rPr>
                <w:sz w:val="22"/>
                <w:szCs w:val="22"/>
                <w:lang w:val="lt-LT"/>
              </w:rPr>
              <w:t>a</w:t>
            </w:r>
            <w:r w:rsidR="00EB4C71" w:rsidRPr="0027771F">
              <w:rPr>
                <w:sz w:val="22"/>
                <w:szCs w:val="22"/>
                <w:lang w:val="lt-LT"/>
              </w:rPr>
              <w:t xml:space="preserve"> veiklos stebėsena yra </w:t>
            </w:r>
            <w:r w:rsidR="00CA5046" w:rsidRPr="0027771F">
              <w:rPr>
                <w:sz w:val="22"/>
                <w:szCs w:val="22"/>
                <w:lang w:val="lt-LT"/>
              </w:rPr>
              <w:t>vykdoma</w:t>
            </w:r>
            <w:r w:rsidR="00EB4C71" w:rsidRPr="0027771F">
              <w:rPr>
                <w:sz w:val="22"/>
                <w:szCs w:val="22"/>
                <w:lang w:val="lt-LT"/>
              </w:rPr>
              <w:t xml:space="preserve"> vadovybės ir direktorių valdybos</w:t>
            </w:r>
            <w:r w:rsidR="00CA5046" w:rsidRPr="0027771F">
              <w:rPr>
                <w:sz w:val="22"/>
                <w:szCs w:val="22"/>
                <w:lang w:val="lt-LT"/>
              </w:rPr>
              <w:t xml:space="preserve"> lygiu</w:t>
            </w:r>
            <w:r w:rsidR="00EB4C71" w:rsidRPr="0027771F">
              <w:rPr>
                <w:sz w:val="22"/>
                <w:szCs w:val="22"/>
                <w:lang w:val="lt-LT"/>
              </w:rPr>
              <w:t>.</w:t>
            </w:r>
            <w:r w:rsidR="00CA5046" w:rsidRPr="0027771F">
              <w:rPr>
                <w:sz w:val="22"/>
                <w:szCs w:val="22"/>
                <w:lang w:val="lt-LT"/>
              </w:rPr>
              <w:t xml:space="preserve"> </w:t>
            </w:r>
          </w:p>
          <w:p w:rsidR="00EB4C71" w:rsidRPr="0027771F" w:rsidRDefault="00EB4C71" w:rsidP="00223ACB">
            <w:pPr>
              <w:pStyle w:val="NormalWeb"/>
              <w:spacing w:before="0" w:beforeAutospacing="0" w:after="0" w:afterAutospacing="0"/>
              <w:jc w:val="both"/>
              <w:rPr>
                <w:sz w:val="22"/>
                <w:szCs w:val="22"/>
                <w:lang w:val="lt-LT"/>
              </w:rPr>
            </w:pPr>
            <w:r w:rsidRPr="0027771F">
              <w:rPr>
                <w:sz w:val="22"/>
                <w:szCs w:val="22"/>
                <w:lang w:val="lt-LT"/>
              </w:rPr>
              <w:t>Įmonė turi pasitvirtinusi darbo taisykles (elgesio kodeksą) ir visi darbuotojai yra su jomis susipažinę. Darbuotojų teisės</w:t>
            </w:r>
            <w:r w:rsidR="00CA5046" w:rsidRPr="0027771F">
              <w:rPr>
                <w:sz w:val="22"/>
                <w:szCs w:val="22"/>
                <w:lang w:val="lt-LT"/>
              </w:rPr>
              <w:t>,</w:t>
            </w:r>
            <w:r w:rsidRPr="0027771F">
              <w:rPr>
                <w:sz w:val="22"/>
                <w:szCs w:val="22"/>
                <w:lang w:val="lt-LT"/>
              </w:rPr>
              <w:t xml:space="preserve"> pareigos </w:t>
            </w:r>
            <w:r w:rsidR="00CA5046" w:rsidRPr="0027771F">
              <w:rPr>
                <w:sz w:val="22"/>
                <w:szCs w:val="22"/>
                <w:lang w:val="lt-LT"/>
              </w:rPr>
              <w:t xml:space="preserve">ir atsakomybė </w:t>
            </w:r>
            <w:r w:rsidRPr="0027771F">
              <w:rPr>
                <w:sz w:val="22"/>
                <w:szCs w:val="22"/>
                <w:lang w:val="lt-LT"/>
              </w:rPr>
              <w:t xml:space="preserve">yra </w:t>
            </w:r>
            <w:r w:rsidR="00CA5046" w:rsidRPr="0027771F">
              <w:rPr>
                <w:sz w:val="22"/>
                <w:szCs w:val="22"/>
                <w:lang w:val="lt-LT"/>
              </w:rPr>
              <w:t xml:space="preserve">aprašytos šiose taisyklėse. Be to, įmonėje yra </w:t>
            </w:r>
            <w:r w:rsidR="0027169D" w:rsidRPr="0027771F">
              <w:rPr>
                <w:sz w:val="22"/>
                <w:szCs w:val="22"/>
                <w:lang w:val="lt-LT"/>
              </w:rPr>
              <w:t>kolektyvinė darbo sutartis,</w:t>
            </w:r>
            <w:r w:rsidR="00CA5046" w:rsidRPr="0027771F">
              <w:rPr>
                <w:sz w:val="22"/>
                <w:szCs w:val="22"/>
                <w:lang w:val="lt-LT"/>
              </w:rPr>
              <w:t xml:space="preserve"> </w:t>
            </w:r>
            <w:r w:rsidR="0027169D" w:rsidRPr="0027771F">
              <w:rPr>
                <w:sz w:val="22"/>
                <w:szCs w:val="22"/>
                <w:lang w:val="lt-LT"/>
              </w:rPr>
              <w:t xml:space="preserve">o </w:t>
            </w:r>
            <w:r w:rsidR="00CA5046" w:rsidRPr="0027771F">
              <w:rPr>
                <w:sz w:val="22"/>
                <w:szCs w:val="22"/>
                <w:lang w:val="lt-LT"/>
              </w:rPr>
              <w:t>kiekvien</w:t>
            </w:r>
            <w:r w:rsidR="0027169D" w:rsidRPr="0027771F">
              <w:rPr>
                <w:sz w:val="22"/>
                <w:szCs w:val="22"/>
                <w:lang w:val="lt-LT"/>
              </w:rPr>
              <w:t>a</w:t>
            </w:r>
            <w:r w:rsidR="00CA5046" w:rsidRPr="0027771F">
              <w:rPr>
                <w:sz w:val="22"/>
                <w:szCs w:val="22"/>
                <w:lang w:val="lt-LT"/>
              </w:rPr>
              <w:t xml:space="preserve"> pareigybė</w:t>
            </w:r>
            <w:r w:rsidR="0027169D" w:rsidRPr="0027771F">
              <w:rPr>
                <w:sz w:val="22"/>
                <w:szCs w:val="22"/>
                <w:lang w:val="lt-LT"/>
              </w:rPr>
              <w:t xml:space="preserve"> turi savo</w:t>
            </w:r>
            <w:r w:rsidR="00CA5046" w:rsidRPr="0027771F">
              <w:rPr>
                <w:sz w:val="22"/>
                <w:szCs w:val="22"/>
                <w:lang w:val="lt-LT"/>
              </w:rPr>
              <w:t xml:space="preserve"> pareigini</w:t>
            </w:r>
            <w:r w:rsidR="0027169D" w:rsidRPr="0027771F">
              <w:rPr>
                <w:sz w:val="22"/>
                <w:szCs w:val="22"/>
                <w:lang w:val="lt-LT"/>
              </w:rPr>
              <w:t>us</w:t>
            </w:r>
            <w:r w:rsidR="00CA5046" w:rsidRPr="0027771F">
              <w:rPr>
                <w:sz w:val="22"/>
                <w:szCs w:val="22"/>
                <w:lang w:val="lt-LT"/>
              </w:rPr>
              <w:t xml:space="preserve"> nuostat</w:t>
            </w:r>
            <w:r w:rsidR="0027169D" w:rsidRPr="0027771F">
              <w:rPr>
                <w:sz w:val="22"/>
                <w:szCs w:val="22"/>
                <w:lang w:val="lt-LT"/>
              </w:rPr>
              <w:t>us</w:t>
            </w:r>
            <w:r w:rsidR="00CA5046" w:rsidRPr="0027771F">
              <w:rPr>
                <w:sz w:val="22"/>
                <w:szCs w:val="22"/>
                <w:lang w:val="lt-LT"/>
              </w:rPr>
              <w:t>, su kuriais darbuotojai supažindinami pasirašytinai. Darbuotojai, pažeidę pareiginius nuostatu</w:t>
            </w:r>
            <w:r w:rsidR="0027169D" w:rsidRPr="0027771F">
              <w:rPr>
                <w:sz w:val="22"/>
                <w:szCs w:val="22"/>
                <w:lang w:val="lt-LT"/>
              </w:rPr>
              <w:t xml:space="preserve">s, </w:t>
            </w:r>
            <w:r w:rsidR="00CA5046" w:rsidRPr="0027771F">
              <w:rPr>
                <w:sz w:val="22"/>
                <w:szCs w:val="22"/>
                <w:lang w:val="lt-LT"/>
              </w:rPr>
              <w:t>darbo taisykles</w:t>
            </w:r>
            <w:r w:rsidR="0027169D" w:rsidRPr="0027771F">
              <w:rPr>
                <w:sz w:val="22"/>
                <w:szCs w:val="22"/>
                <w:lang w:val="lt-LT"/>
              </w:rPr>
              <w:t xml:space="preserve"> ir kitas įmonės procedūras</w:t>
            </w:r>
            <w:r w:rsidR="00CA5046" w:rsidRPr="0027771F">
              <w:rPr>
                <w:sz w:val="22"/>
                <w:szCs w:val="22"/>
                <w:lang w:val="lt-LT"/>
              </w:rPr>
              <w:t>, yra baudžiami.</w:t>
            </w:r>
          </w:p>
          <w:p w:rsidR="00CA5046" w:rsidRPr="0027771F" w:rsidRDefault="00C543B1" w:rsidP="00223ACB">
            <w:pPr>
              <w:pStyle w:val="NormalWeb"/>
              <w:spacing w:before="0" w:beforeAutospacing="0" w:after="0" w:afterAutospacing="0"/>
              <w:jc w:val="both"/>
              <w:rPr>
                <w:sz w:val="22"/>
                <w:szCs w:val="22"/>
                <w:lang w:val="lt-LT"/>
              </w:rPr>
            </w:pPr>
            <w:r w:rsidRPr="0027771F">
              <w:rPr>
                <w:sz w:val="22"/>
                <w:szCs w:val="22"/>
                <w:lang w:val="lt-LT"/>
              </w:rPr>
              <w:t>Įmonės b</w:t>
            </w:r>
            <w:r w:rsidR="0027169D" w:rsidRPr="0027771F">
              <w:rPr>
                <w:sz w:val="22"/>
                <w:szCs w:val="22"/>
                <w:lang w:val="lt-LT"/>
              </w:rPr>
              <w:t xml:space="preserve">uhalterinė apskaita tvarkoma </w:t>
            </w:r>
            <w:r w:rsidRPr="0027771F">
              <w:rPr>
                <w:sz w:val="22"/>
                <w:szCs w:val="22"/>
                <w:lang w:val="lt-LT"/>
              </w:rPr>
              <w:t xml:space="preserve">ir finansinės ataskaitos sudaromos </w:t>
            </w:r>
            <w:r w:rsidR="0027169D" w:rsidRPr="0027771F">
              <w:rPr>
                <w:sz w:val="22"/>
                <w:szCs w:val="22"/>
                <w:lang w:val="lt-LT"/>
              </w:rPr>
              <w:t>pagal VAS reikalavimus, be to, įmonės finansinės ataskaitos yra konsoliduojamos į įmonių grupės finansines ataskaitas. Įmonė nuolat stengiasi laiku ir teisingai sudaryti finansines ataskaitas.</w:t>
            </w:r>
            <w:r w:rsidRPr="0027771F">
              <w:rPr>
                <w:sz w:val="22"/>
                <w:szCs w:val="22"/>
                <w:lang w:val="lt-LT"/>
              </w:rPr>
              <w:t xml:space="preserve"> Nors įmonė noriai diegia naujus apskaitos ir teisės aktų reikalavimus, tačiau labiau linkusi laikytis mokestinių reikalavimų. </w:t>
            </w:r>
            <w:r w:rsidR="00CA5046" w:rsidRPr="0027771F">
              <w:rPr>
                <w:sz w:val="22"/>
                <w:szCs w:val="22"/>
                <w:lang w:val="lt-LT"/>
              </w:rPr>
              <w:t>Vadovybė vadovaujasi konservatyviais apskaitiniais įver</w:t>
            </w:r>
            <w:r w:rsidR="00B7691E" w:rsidRPr="0027771F">
              <w:rPr>
                <w:sz w:val="22"/>
                <w:szCs w:val="22"/>
                <w:lang w:val="lt-LT"/>
              </w:rPr>
              <w:t>čia</w:t>
            </w:r>
            <w:r w:rsidR="00CA5046" w:rsidRPr="0027771F">
              <w:rPr>
                <w:sz w:val="22"/>
                <w:szCs w:val="22"/>
                <w:lang w:val="lt-LT"/>
              </w:rPr>
              <w:t>is</w:t>
            </w:r>
            <w:r w:rsidRPr="0027771F">
              <w:rPr>
                <w:sz w:val="22"/>
                <w:szCs w:val="22"/>
                <w:lang w:val="lt-LT"/>
              </w:rPr>
              <w:t xml:space="preserve">, o </w:t>
            </w:r>
            <w:r w:rsidR="00CA5046" w:rsidRPr="0027771F">
              <w:rPr>
                <w:sz w:val="22"/>
                <w:szCs w:val="22"/>
                <w:lang w:val="lt-LT"/>
              </w:rPr>
              <w:t xml:space="preserve">dėl svarbių </w:t>
            </w:r>
            <w:r w:rsidRPr="0027771F">
              <w:rPr>
                <w:sz w:val="22"/>
                <w:szCs w:val="22"/>
                <w:lang w:val="lt-LT"/>
              </w:rPr>
              <w:t xml:space="preserve">finansinių </w:t>
            </w:r>
            <w:r w:rsidR="00CA5046" w:rsidRPr="0027771F">
              <w:rPr>
                <w:sz w:val="22"/>
                <w:szCs w:val="22"/>
                <w:lang w:val="lt-LT"/>
              </w:rPr>
              <w:t>dalykų yra konsultuojamasi su auditoriais.</w:t>
            </w:r>
          </w:p>
          <w:p w:rsidR="000440EB" w:rsidRPr="0027771F" w:rsidRDefault="000440EB" w:rsidP="000440EB">
            <w:pPr>
              <w:pStyle w:val="NormalWeb"/>
              <w:spacing w:before="0" w:beforeAutospacing="0" w:after="0" w:afterAutospacing="0"/>
              <w:jc w:val="both"/>
              <w:rPr>
                <w:sz w:val="22"/>
                <w:szCs w:val="22"/>
                <w:lang w:val="lt-LT"/>
              </w:rPr>
            </w:pPr>
            <w:r w:rsidRPr="0027771F">
              <w:rPr>
                <w:sz w:val="22"/>
                <w:szCs w:val="22"/>
                <w:lang w:val="lt-LT"/>
              </w:rPr>
              <w:t xml:space="preserve">Įmonės apskaitos ir finansų skyriaus darbuotojai turi reikiamą kompetenciją, būtiną spręsti įmonės </w:t>
            </w:r>
            <w:r w:rsidR="00C543B1" w:rsidRPr="0027771F">
              <w:rPr>
                <w:sz w:val="22"/>
                <w:szCs w:val="22"/>
                <w:lang w:val="lt-LT"/>
              </w:rPr>
              <w:t xml:space="preserve">finansinius </w:t>
            </w:r>
            <w:r w:rsidRPr="0027771F">
              <w:rPr>
                <w:sz w:val="22"/>
                <w:szCs w:val="22"/>
                <w:lang w:val="lt-LT"/>
              </w:rPr>
              <w:t xml:space="preserve">klausimus. Taip pat </w:t>
            </w:r>
            <w:r w:rsidR="00963949">
              <w:rPr>
                <w:sz w:val="22"/>
                <w:szCs w:val="22"/>
                <w:lang w:val="lt-LT"/>
              </w:rPr>
              <w:t>šie</w:t>
            </w:r>
            <w:r w:rsidR="009D0E14" w:rsidRPr="0027771F">
              <w:rPr>
                <w:sz w:val="22"/>
                <w:szCs w:val="22"/>
                <w:lang w:val="lt-LT"/>
              </w:rPr>
              <w:t xml:space="preserve"> darbuotojai lanko įvairius kursus, kad atnaujinti bei sustiprinti žinias apskaitos ir mokesčių reikalavimų srityje. </w:t>
            </w:r>
            <w:r w:rsidRPr="0027771F">
              <w:rPr>
                <w:sz w:val="22"/>
                <w:szCs w:val="22"/>
                <w:lang w:val="lt-LT"/>
              </w:rPr>
              <w:t>Vadovybės požiūris į apgaulingas finansines ataskaitas yra neigiamas.</w:t>
            </w:r>
          </w:p>
          <w:p w:rsidR="00C543B1" w:rsidRPr="0027771F" w:rsidRDefault="00C543B1" w:rsidP="000440EB">
            <w:pPr>
              <w:pStyle w:val="NormalWeb"/>
              <w:spacing w:before="0" w:beforeAutospacing="0" w:after="0" w:afterAutospacing="0"/>
              <w:jc w:val="both"/>
              <w:rPr>
                <w:sz w:val="22"/>
                <w:szCs w:val="22"/>
                <w:lang w:val="lt-LT"/>
              </w:rPr>
            </w:pPr>
            <w:r w:rsidRPr="0027771F">
              <w:rPr>
                <w:sz w:val="22"/>
                <w:szCs w:val="22"/>
                <w:lang w:val="lt-LT"/>
              </w:rPr>
              <w:t>Įmonė neturi audito komiteto, tačiau yra vidaus auditorius.</w:t>
            </w:r>
          </w:p>
          <w:p w:rsidR="006248C7" w:rsidRPr="0027771F" w:rsidRDefault="006248C7" w:rsidP="000440EB">
            <w:pPr>
              <w:pStyle w:val="NormalWeb"/>
              <w:spacing w:before="0" w:beforeAutospacing="0" w:after="0" w:afterAutospacing="0"/>
              <w:jc w:val="both"/>
              <w:rPr>
                <w:sz w:val="22"/>
                <w:szCs w:val="22"/>
                <w:lang w:val="lt-LT"/>
              </w:rPr>
            </w:pPr>
            <w:r w:rsidRPr="0027771F">
              <w:rPr>
                <w:sz w:val="22"/>
                <w:szCs w:val="22"/>
                <w:lang w:val="lt-LT"/>
              </w:rPr>
              <w:t>Įmonės procedūros dėl darbuotojų priėmimo yra tinkamos, nes priimami tik patikimi darbuotojai.</w:t>
            </w:r>
            <w:r w:rsidR="00E40C32" w:rsidRPr="0027771F">
              <w:rPr>
                <w:sz w:val="22"/>
                <w:szCs w:val="22"/>
                <w:lang w:val="lt-LT"/>
              </w:rPr>
              <w:t xml:space="preserve"> </w:t>
            </w:r>
          </w:p>
          <w:p w:rsidR="00223ACB" w:rsidRDefault="00E40C32" w:rsidP="00C543B1">
            <w:pPr>
              <w:pStyle w:val="NormalWeb"/>
              <w:spacing w:before="0" w:beforeAutospacing="0" w:after="0" w:afterAutospacing="0"/>
              <w:jc w:val="both"/>
              <w:rPr>
                <w:sz w:val="22"/>
                <w:szCs w:val="22"/>
                <w:lang w:val="lt-LT"/>
              </w:rPr>
            </w:pPr>
            <w:r w:rsidRPr="0027771F">
              <w:rPr>
                <w:sz w:val="22"/>
                <w:szCs w:val="22"/>
                <w:lang w:val="lt-LT"/>
              </w:rPr>
              <w:t>Įmonės vadovė kreipia reikiamą dėmesį į kontrolės procedūras, įskaitant IT kontroles. IT aplinka yra itin centralizuota įmonėje.</w:t>
            </w:r>
          </w:p>
          <w:p w:rsidR="00292E9E" w:rsidRPr="0027771F" w:rsidRDefault="00292E9E" w:rsidP="00C543B1">
            <w:pPr>
              <w:pStyle w:val="NormalWeb"/>
              <w:spacing w:before="0" w:beforeAutospacing="0" w:after="0" w:afterAutospacing="0"/>
              <w:jc w:val="both"/>
              <w:rPr>
                <w:sz w:val="22"/>
                <w:szCs w:val="22"/>
                <w:lang w:val="lt-LT"/>
              </w:rPr>
            </w:pPr>
          </w:p>
        </w:tc>
      </w:tr>
      <w:tr w:rsidR="00223ACB" w:rsidRPr="0027771F" w:rsidTr="004634E5">
        <w:tc>
          <w:tcPr>
            <w:tcW w:w="1951" w:type="dxa"/>
          </w:tcPr>
          <w:p w:rsidR="00223ACB" w:rsidRPr="0027771F" w:rsidRDefault="00223ACB" w:rsidP="004634E5">
            <w:pPr>
              <w:pStyle w:val="NormalWeb"/>
              <w:spacing w:before="0" w:beforeAutospacing="0" w:after="0" w:afterAutospacing="0"/>
              <w:jc w:val="both"/>
              <w:rPr>
                <w:sz w:val="22"/>
                <w:szCs w:val="22"/>
                <w:lang w:val="lt-LT"/>
              </w:rPr>
            </w:pPr>
            <w:r w:rsidRPr="0027771F">
              <w:rPr>
                <w:sz w:val="22"/>
                <w:szCs w:val="22"/>
                <w:lang w:val="lt-LT"/>
              </w:rPr>
              <w:t>Įmonės rizikos vertinimo procesas</w:t>
            </w:r>
          </w:p>
        </w:tc>
        <w:tc>
          <w:tcPr>
            <w:tcW w:w="7796" w:type="dxa"/>
          </w:tcPr>
          <w:p w:rsidR="004E3EE6" w:rsidRPr="0027771F" w:rsidRDefault="000440EB" w:rsidP="00070343">
            <w:pPr>
              <w:pStyle w:val="NormalWeb"/>
              <w:spacing w:before="0" w:beforeAutospacing="0" w:after="0" w:afterAutospacing="0"/>
              <w:jc w:val="both"/>
              <w:rPr>
                <w:sz w:val="22"/>
                <w:szCs w:val="22"/>
                <w:lang w:val="lt-LT"/>
              </w:rPr>
            </w:pPr>
            <w:r w:rsidRPr="0027771F">
              <w:rPr>
                <w:sz w:val="22"/>
                <w:szCs w:val="22"/>
                <w:lang w:val="lt-LT"/>
              </w:rPr>
              <w:t>Įmonės akcininkai</w:t>
            </w:r>
            <w:r w:rsidR="009D0E14" w:rsidRPr="0027771F">
              <w:rPr>
                <w:sz w:val="22"/>
                <w:szCs w:val="22"/>
                <w:lang w:val="lt-LT"/>
              </w:rPr>
              <w:t xml:space="preserve"> ir vadovybė</w:t>
            </w:r>
            <w:r w:rsidRPr="0027771F">
              <w:rPr>
                <w:sz w:val="22"/>
                <w:szCs w:val="22"/>
                <w:lang w:val="lt-LT"/>
              </w:rPr>
              <w:t xml:space="preserve"> prižiūri įmonės veiklą. </w:t>
            </w:r>
            <w:r w:rsidR="009C0DC3" w:rsidRPr="0027771F">
              <w:rPr>
                <w:sz w:val="22"/>
                <w:szCs w:val="22"/>
                <w:lang w:val="lt-LT"/>
              </w:rPr>
              <w:t>Įmonėje nėra formalių taisyklių dėl rizikos vertinimo ir valdymo proceso, tačiau verslo rizikos stebėsenai ir jos valdymui nemažai dėmesio skiriama</w:t>
            </w:r>
            <w:r w:rsidR="00C543B1" w:rsidRPr="0027771F">
              <w:rPr>
                <w:sz w:val="22"/>
                <w:szCs w:val="22"/>
                <w:lang w:val="lt-LT"/>
              </w:rPr>
              <w:t xml:space="preserve"> </w:t>
            </w:r>
            <w:r w:rsidR="00963949">
              <w:rPr>
                <w:sz w:val="22"/>
                <w:szCs w:val="22"/>
                <w:lang w:val="lt-LT"/>
              </w:rPr>
              <w:t>d</w:t>
            </w:r>
            <w:r w:rsidR="009C0DC3" w:rsidRPr="0027771F">
              <w:rPr>
                <w:sz w:val="22"/>
                <w:szCs w:val="22"/>
                <w:lang w:val="lt-LT"/>
              </w:rPr>
              <w:t>irektorių valdybos posėdžiuose</w:t>
            </w:r>
            <w:r w:rsidR="009D0E14" w:rsidRPr="0027771F">
              <w:rPr>
                <w:sz w:val="22"/>
                <w:szCs w:val="22"/>
                <w:lang w:val="lt-LT"/>
              </w:rPr>
              <w:t xml:space="preserve">. </w:t>
            </w:r>
            <w:r w:rsidR="009C0DC3" w:rsidRPr="0027771F">
              <w:rPr>
                <w:sz w:val="22"/>
                <w:szCs w:val="22"/>
                <w:lang w:val="lt-LT"/>
              </w:rPr>
              <w:t>Direktorių valdyba aptaria pokyčius, kurie gali turėti neigiamos ir visaapimančios įtakos įmonės veiklai, taip pat analizuoja rutinin</w:t>
            </w:r>
            <w:r w:rsidR="00C543B1" w:rsidRPr="0027771F">
              <w:rPr>
                <w:sz w:val="22"/>
                <w:szCs w:val="22"/>
                <w:lang w:val="lt-LT"/>
              </w:rPr>
              <w:t>e</w:t>
            </w:r>
            <w:r w:rsidR="009C0DC3" w:rsidRPr="0027771F">
              <w:rPr>
                <w:sz w:val="22"/>
                <w:szCs w:val="22"/>
                <w:lang w:val="lt-LT"/>
              </w:rPr>
              <w:t>s operacij</w:t>
            </w:r>
            <w:r w:rsidR="00C543B1" w:rsidRPr="0027771F">
              <w:rPr>
                <w:sz w:val="22"/>
                <w:szCs w:val="22"/>
                <w:lang w:val="lt-LT"/>
              </w:rPr>
              <w:t>a</w:t>
            </w:r>
            <w:r w:rsidR="009C0DC3" w:rsidRPr="0027771F">
              <w:rPr>
                <w:sz w:val="22"/>
                <w:szCs w:val="22"/>
                <w:lang w:val="lt-LT"/>
              </w:rPr>
              <w:t xml:space="preserve">s, kurios daro įtaką numatytų tikslų pasiekimui. </w:t>
            </w:r>
            <w:r w:rsidR="006248C7" w:rsidRPr="0027771F">
              <w:rPr>
                <w:sz w:val="22"/>
                <w:szCs w:val="22"/>
                <w:lang w:val="lt-LT"/>
              </w:rPr>
              <w:t>Biudžetai</w:t>
            </w:r>
            <w:r w:rsidR="009D0E14" w:rsidRPr="0027771F">
              <w:rPr>
                <w:sz w:val="22"/>
                <w:szCs w:val="22"/>
                <w:lang w:val="lt-LT"/>
              </w:rPr>
              <w:t>/prognozės yra atnaujinam</w:t>
            </w:r>
            <w:r w:rsidR="009C0DC3" w:rsidRPr="0027771F">
              <w:rPr>
                <w:sz w:val="22"/>
                <w:szCs w:val="22"/>
                <w:lang w:val="lt-LT"/>
              </w:rPr>
              <w:t>i</w:t>
            </w:r>
            <w:r w:rsidR="009D0E14" w:rsidRPr="0027771F">
              <w:rPr>
                <w:sz w:val="22"/>
                <w:szCs w:val="22"/>
                <w:lang w:val="lt-LT"/>
              </w:rPr>
              <w:t xml:space="preserve"> metų bėgyje, atsižvelgiant į pasikeitusias sąlygas. </w:t>
            </w:r>
            <w:r w:rsidR="006248C7" w:rsidRPr="0027771F">
              <w:rPr>
                <w:sz w:val="22"/>
                <w:szCs w:val="22"/>
                <w:lang w:val="lt-LT"/>
              </w:rPr>
              <w:t>Nors biudžetai analizuojami kas mėnesį, tačiau svarbiausi pakeitimai daromi kas ketvirtį.</w:t>
            </w:r>
            <w:r w:rsidR="00070343" w:rsidRPr="0027771F">
              <w:rPr>
                <w:sz w:val="22"/>
                <w:szCs w:val="22"/>
                <w:lang w:val="lt-LT"/>
              </w:rPr>
              <w:t xml:space="preserve"> K</w:t>
            </w:r>
            <w:r w:rsidR="004E3EE6" w:rsidRPr="0027771F">
              <w:rPr>
                <w:sz w:val="22"/>
                <w:szCs w:val="22"/>
                <w:lang w:val="lt-LT"/>
              </w:rPr>
              <w:t>iekvieną mėnesį Ekonomikos departamentas parengia ataskaitą vadovybei apie faktinę gamybos savikainą ir produktų pardavimo kainas, kurioje priežastys, lemiančios pokyčius</w:t>
            </w:r>
            <w:r w:rsidR="00963949">
              <w:rPr>
                <w:sz w:val="22"/>
                <w:szCs w:val="22"/>
                <w:lang w:val="lt-LT"/>
              </w:rPr>
              <w:t>,</w:t>
            </w:r>
            <w:r w:rsidR="004E3EE6" w:rsidRPr="0027771F">
              <w:rPr>
                <w:sz w:val="22"/>
                <w:szCs w:val="22"/>
                <w:lang w:val="lt-LT"/>
              </w:rPr>
              <w:t xml:space="preserve"> yra paaiškinamos ir išanalizuojamos. Be to, analizuojami bendrųjų ir administracinių sąnaudų pokyčiai, lyginant faktines išlaidas su biudžetu. </w:t>
            </w:r>
          </w:p>
          <w:p w:rsidR="00223ACB" w:rsidRDefault="000440EB" w:rsidP="00C543B1">
            <w:pPr>
              <w:pStyle w:val="NormalWeb"/>
              <w:spacing w:before="0" w:beforeAutospacing="0" w:after="0" w:afterAutospacing="0"/>
              <w:jc w:val="both"/>
              <w:rPr>
                <w:sz w:val="22"/>
                <w:szCs w:val="22"/>
                <w:lang w:val="lt-LT"/>
              </w:rPr>
            </w:pPr>
            <w:r w:rsidRPr="0027771F">
              <w:rPr>
                <w:sz w:val="22"/>
                <w:szCs w:val="22"/>
                <w:lang w:val="lt-LT"/>
              </w:rPr>
              <w:t>Visi svarbūs ir strateginiai įsigijimai ir kiti dalykai yra tvirtinami akcininkų</w:t>
            </w:r>
            <w:r w:rsidR="009D0E14" w:rsidRPr="0027771F">
              <w:rPr>
                <w:sz w:val="22"/>
                <w:szCs w:val="22"/>
                <w:lang w:val="lt-LT"/>
              </w:rPr>
              <w:t xml:space="preserve"> susirinkime</w:t>
            </w:r>
            <w:r w:rsidRPr="0027771F">
              <w:rPr>
                <w:sz w:val="22"/>
                <w:szCs w:val="22"/>
                <w:lang w:val="lt-LT"/>
              </w:rPr>
              <w:t>. Dalis akcininkų dirba įmonėje kasdien.</w:t>
            </w:r>
            <w:r w:rsidR="0027169D" w:rsidRPr="0027771F">
              <w:rPr>
                <w:sz w:val="22"/>
                <w:szCs w:val="22"/>
                <w:lang w:val="lt-LT"/>
              </w:rPr>
              <w:t xml:space="preserve"> </w:t>
            </w:r>
          </w:p>
          <w:p w:rsidR="00292E9E" w:rsidRPr="0027771F" w:rsidRDefault="00292E9E" w:rsidP="00C543B1">
            <w:pPr>
              <w:pStyle w:val="NormalWeb"/>
              <w:spacing w:before="0" w:beforeAutospacing="0" w:after="0" w:afterAutospacing="0"/>
              <w:jc w:val="both"/>
              <w:rPr>
                <w:sz w:val="22"/>
                <w:szCs w:val="22"/>
                <w:lang w:val="lt-LT"/>
              </w:rPr>
            </w:pPr>
          </w:p>
        </w:tc>
      </w:tr>
      <w:tr w:rsidR="00223ACB" w:rsidRPr="0027771F" w:rsidTr="004634E5">
        <w:tc>
          <w:tcPr>
            <w:tcW w:w="1951" w:type="dxa"/>
          </w:tcPr>
          <w:p w:rsidR="00223ACB" w:rsidRPr="0027771F" w:rsidRDefault="00223ACB" w:rsidP="004634E5">
            <w:pPr>
              <w:pStyle w:val="NormalWeb"/>
              <w:spacing w:before="0" w:beforeAutospacing="0" w:after="0" w:afterAutospacing="0"/>
              <w:jc w:val="both"/>
              <w:rPr>
                <w:sz w:val="22"/>
                <w:szCs w:val="22"/>
                <w:lang w:val="lt-LT"/>
              </w:rPr>
            </w:pPr>
            <w:r w:rsidRPr="0027771F">
              <w:rPr>
                <w:sz w:val="22"/>
                <w:szCs w:val="22"/>
                <w:lang w:val="lt-LT"/>
              </w:rPr>
              <w:lastRenderedPageBreak/>
              <w:t>Kontrolės veiksmai, informacinė sistema ir informavimas</w:t>
            </w:r>
          </w:p>
        </w:tc>
        <w:tc>
          <w:tcPr>
            <w:tcW w:w="7796" w:type="dxa"/>
          </w:tcPr>
          <w:p w:rsidR="005460C1" w:rsidRPr="0027771F" w:rsidRDefault="00166819" w:rsidP="005460C1">
            <w:pPr>
              <w:pStyle w:val="NormalWeb"/>
              <w:spacing w:before="0" w:beforeAutospacing="0" w:after="0" w:afterAutospacing="0"/>
              <w:jc w:val="both"/>
              <w:rPr>
                <w:sz w:val="22"/>
                <w:szCs w:val="22"/>
                <w:lang w:val="lt-LT"/>
              </w:rPr>
            </w:pPr>
            <w:r>
              <w:rPr>
                <w:noProof/>
                <w:sz w:val="22"/>
                <w:szCs w:val="22"/>
                <w:lang w:val="lt-LT" w:eastAsia="lt-LT"/>
              </w:rPr>
              <w:pict>
                <v:rect id="_x0000_s74525" style="position:absolute;left:0;text-align:left;margin-left:197.7pt;margin-top:-20.8pt;width:129pt;height:21pt;z-index:254389248;mso-position-horizontal-relative:text;mso-position-vertical-relative:text" filled="f" stroked="f">
                  <v:textbox style="mso-next-textbox:#_x0000_s74525">
                    <w:txbxContent>
                      <w:p w:rsidR="00BE5795" w:rsidRPr="003503E9" w:rsidRDefault="00BE5795" w:rsidP="00963949">
                        <w:pPr>
                          <w:jc w:val="right"/>
                          <w:rPr>
                            <w:i/>
                            <w:sz w:val="26"/>
                            <w:szCs w:val="26"/>
                            <w:lang w:val="lt-LT"/>
                          </w:rPr>
                        </w:pPr>
                        <w:r>
                          <w:rPr>
                            <w:i/>
                            <w:sz w:val="26"/>
                            <w:szCs w:val="26"/>
                            <w:lang w:val="lt-LT"/>
                          </w:rPr>
                          <w:t>32</w:t>
                        </w:r>
                        <w:r w:rsidRPr="003503E9">
                          <w:rPr>
                            <w:i/>
                            <w:sz w:val="26"/>
                            <w:szCs w:val="26"/>
                            <w:lang w:val="lt-LT"/>
                          </w:rPr>
                          <w:t xml:space="preserve"> lentelės tęsinys</w:t>
                        </w:r>
                      </w:p>
                    </w:txbxContent>
                  </v:textbox>
                </v:rect>
              </w:pict>
            </w:r>
            <w:r w:rsidR="00C543B1" w:rsidRPr="0027771F">
              <w:rPr>
                <w:sz w:val="22"/>
                <w:szCs w:val="22"/>
                <w:lang w:val="lt-LT"/>
              </w:rPr>
              <w:t xml:space="preserve">Įmonė taiko tinkamas apsaugos priemones dėl turto apsaugos (įmonės teritorija aptverta ir saugoma, pateikimui į teritoriją reikalingi leidimai, atliekamos inventorizacijos, skolų suderinimai), prieigos prie IT (reikalaujama įvesti slaptažodžius, daromos duomenų kopijos), taip pat yra pasirašytos materialinės atsakomybės sutartys su visais darbuotojais. Įmonėje turi veiksmingą </w:t>
            </w:r>
            <w:r w:rsidR="005460C1" w:rsidRPr="0027771F">
              <w:rPr>
                <w:sz w:val="22"/>
                <w:szCs w:val="22"/>
                <w:lang w:val="lt-LT"/>
              </w:rPr>
              <w:t>prognozavimo</w:t>
            </w:r>
            <w:r w:rsidR="00C543B1" w:rsidRPr="0027771F">
              <w:rPr>
                <w:sz w:val="22"/>
                <w:szCs w:val="22"/>
                <w:lang w:val="lt-LT"/>
              </w:rPr>
              <w:t xml:space="preserve"> procesą, kuomet lyginami biudžeto duomenys su faktiniais ir su ankstesnių metų </w:t>
            </w:r>
            <w:r w:rsidR="005460C1" w:rsidRPr="0027771F">
              <w:rPr>
                <w:sz w:val="22"/>
                <w:szCs w:val="22"/>
                <w:lang w:val="lt-LT"/>
              </w:rPr>
              <w:t>informacija</w:t>
            </w:r>
            <w:r w:rsidR="00C543B1" w:rsidRPr="0027771F">
              <w:rPr>
                <w:sz w:val="22"/>
                <w:szCs w:val="22"/>
                <w:lang w:val="lt-LT"/>
              </w:rPr>
              <w:t>.</w:t>
            </w:r>
            <w:r w:rsidR="00070343" w:rsidRPr="0027771F">
              <w:rPr>
                <w:sz w:val="22"/>
                <w:szCs w:val="22"/>
                <w:lang w:val="lt-LT"/>
              </w:rPr>
              <w:t xml:space="preserve"> </w:t>
            </w:r>
            <w:r w:rsidR="005460C1" w:rsidRPr="0027771F">
              <w:rPr>
                <w:sz w:val="22"/>
                <w:szCs w:val="22"/>
                <w:lang w:val="lt-LT"/>
              </w:rPr>
              <w:t xml:space="preserve">Vadovybė </w:t>
            </w:r>
            <w:r w:rsidR="00070343" w:rsidRPr="0027771F">
              <w:rPr>
                <w:sz w:val="22"/>
                <w:szCs w:val="22"/>
                <w:lang w:val="lt-LT"/>
              </w:rPr>
              <w:t xml:space="preserve">nuolat (ne rečiau kaip kas mėnesį) peržiūri </w:t>
            </w:r>
            <w:r w:rsidR="005460C1" w:rsidRPr="0027771F">
              <w:rPr>
                <w:sz w:val="22"/>
                <w:szCs w:val="22"/>
                <w:lang w:val="lt-LT"/>
              </w:rPr>
              <w:t xml:space="preserve">pagrindinius </w:t>
            </w:r>
            <w:r w:rsidR="00070343" w:rsidRPr="0027771F">
              <w:rPr>
                <w:sz w:val="22"/>
                <w:szCs w:val="22"/>
                <w:lang w:val="lt-LT"/>
              </w:rPr>
              <w:t xml:space="preserve">finansinius </w:t>
            </w:r>
            <w:r w:rsidR="005460C1" w:rsidRPr="0027771F">
              <w:rPr>
                <w:sz w:val="22"/>
                <w:szCs w:val="22"/>
                <w:lang w:val="lt-LT"/>
              </w:rPr>
              <w:t xml:space="preserve">veiklos rodiklius (pardavimus, gamybos savikainą, pelną, </w:t>
            </w:r>
            <w:r w:rsidR="00070343" w:rsidRPr="0027771F">
              <w:rPr>
                <w:sz w:val="22"/>
                <w:szCs w:val="22"/>
                <w:lang w:val="lt-LT"/>
              </w:rPr>
              <w:t xml:space="preserve">produktų pardavimo kainą, </w:t>
            </w:r>
            <w:r w:rsidR="005460C1" w:rsidRPr="0027771F">
              <w:rPr>
                <w:sz w:val="22"/>
                <w:szCs w:val="22"/>
                <w:lang w:val="lt-LT"/>
              </w:rPr>
              <w:t>veiklos sąnaudas)</w:t>
            </w:r>
            <w:r w:rsidR="00070343" w:rsidRPr="0027771F">
              <w:rPr>
                <w:sz w:val="22"/>
                <w:szCs w:val="22"/>
                <w:lang w:val="lt-LT"/>
              </w:rPr>
              <w:t>.</w:t>
            </w:r>
          </w:p>
          <w:p w:rsidR="005460C1" w:rsidRPr="0027771F" w:rsidRDefault="005460C1" w:rsidP="005460C1">
            <w:pPr>
              <w:pStyle w:val="NormalWeb"/>
              <w:spacing w:before="0" w:beforeAutospacing="0" w:after="0" w:afterAutospacing="0"/>
              <w:jc w:val="both"/>
              <w:rPr>
                <w:sz w:val="22"/>
                <w:szCs w:val="22"/>
                <w:lang w:val="lt-LT"/>
              </w:rPr>
            </w:pPr>
            <w:r w:rsidRPr="0027771F">
              <w:rPr>
                <w:sz w:val="22"/>
                <w:szCs w:val="22"/>
                <w:lang w:val="lt-LT"/>
              </w:rPr>
              <w:t xml:space="preserve">Įmonės darbuotojų pareigos visose srityse yra tinkamai atskirtos. Kiekvienas darbuotojas turi savo pareigybės aprašymą. </w:t>
            </w:r>
          </w:p>
        </w:tc>
      </w:tr>
      <w:tr w:rsidR="00223ACB" w:rsidRPr="0027771F" w:rsidTr="004634E5">
        <w:tc>
          <w:tcPr>
            <w:tcW w:w="1951" w:type="dxa"/>
          </w:tcPr>
          <w:p w:rsidR="00223ACB" w:rsidRPr="0027771F" w:rsidRDefault="00223ACB" w:rsidP="004634E5">
            <w:pPr>
              <w:pStyle w:val="NormalWeb"/>
              <w:spacing w:before="0" w:beforeAutospacing="0" w:after="0" w:afterAutospacing="0"/>
              <w:jc w:val="both"/>
              <w:rPr>
                <w:sz w:val="22"/>
                <w:szCs w:val="22"/>
                <w:lang w:val="lt-LT"/>
              </w:rPr>
            </w:pPr>
            <w:r w:rsidRPr="0027771F">
              <w:rPr>
                <w:sz w:val="22"/>
                <w:szCs w:val="22"/>
                <w:lang w:val="lt-LT"/>
              </w:rPr>
              <w:t>Kontrolės stebėsena</w:t>
            </w:r>
          </w:p>
        </w:tc>
        <w:tc>
          <w:tcPr>
            <w:tcW w:w="7796" w:type="dxa"/>
          </w:tcPr>
          <w:p w:rsidR="00223ACB" w:rsidRPr="0027771F" w:rsidRDefault="000440EB" w:rsidP="005460C1">
            <w:pPr>
              <w:pStyle w:val="NormalWeb"/>
              <w:spacing w:before="0" w:beforeAutospacing="0" w:after="0" w:afterAutospacing="0"/>
              <w:jc w:val="both"/>
              <w:rPr>
                <w:sz w:val="22"/>
                <w:szCs w:val="22"/>
                <w:lang w:val="lt-LT"/>
              </w:rPr>
            </w:pPr>
            <w:r w:rsidRPr="0027771F">
              <w:rPr>
                <w:sz w:val="22"/>
                <w:szCs w:val="22"/>
                <w:lang w:val="lt-LT"/>
              </w:rPr>
              <w:t>Įmonė neturi audito komiteto</w:t>
            </w:r>
            <w:r w:rsidR="005460C1" w:rsidRPr="0027771F">
              <w:rPr>
                <w:sz w:val="22"/>
                <w:szCs w:val="22"/>
                <w:lang w:val="lt-LT"/>
              </w:rPr>
              <w:t xml:space="preserve">, bet </w:t>
            </w:r>
            <w:r w:rsidR="006248C7" w:rsidRPr="0027771F">
              <w:rPr>
                <w:sz w:val="22"/>
                <w:szCs w:val="22"/>
                <w:lang w:val="lt-LT"/>
              </w:rPr>
              <w:t>turi vidaus auditorių, kuris atsakingas už tam tikras apskaitos funkcijas, informacijos, svarbios grupės ataskaitoms, parengimą bei kitas vidaus kontrolės funkcijas.</w:t>
            </w:r>
            <w:r w:rsidR="00E40C32" w:rsidRPr="0027771F">
              <w:rPr>
                <w:sz w:val="22"/>
                <w:szCs w:val="22"/>
                <w:lang w:val="lt-LT"/>
              </w:rPr>
              <w:t xml:space="preserve"> Vidaus auditorius turi įgalinimus tirti visas įmonės veiklos sritis. </w:t>
            </w:r>
          </w:p>
        </w:tc>
      </w:tr>
    </w:tbl>
    <w:p w:rsidR="002831E4" w:rsidRPr="005460C1" w:rsidRDefault="002831E4" w:rsidP="00DE0F88">
      <w:pPr>
        <w:pStyle w:val="NormalWeb"/>
        <w:spacing w:before="0" w:beforeAutospacing="0" w:after="0" w:afterAutospacing="0" w:line="360" w:lineRule="auto"/>
        <w:jc w:val="both"/>
        <w:rPr>
          <w:sz w:val="20"/>
          <w:szCs w:val="20"/>
          <w:lang w:val="lt-LT"/>
        </w:rPr>
      </w:pPr>
      <w:r w:rsidRPr="005460C1">
        <w:rPr>
          <w:sz w:val="20"/>
          <w:szCs w:val="20"/>
          <w:lang w:val="lt-LT"/>
        </w:rPr>
        <w:t>Šaltinis: sudaryta autorės, remiantis atliktu UAB „Žuvila“ vidaus kontrolės sistemos tyrimu.</w:t>
      </w:r>
    </w:p>
    <w:p w:rsidR="00DC1B36" w:rsidRPr="0027771F" w:rsidRDefault="00F74B52" w:rsidP="003F5D70">
      <w:pPr>
        <w:spacing w:before="240" w:line="360" w:lineRule="auto"/>
        <w:ind w:firstLine="720"/>
        <w:jc w:val="both"/>
        <w:rPr>
          <w:sz w:val="26"/>
          <w:szCs w:val="26"/>
          <w:lang w:val="lt-LT"/>
        </w:rPr>
      </w:pPr>
      <w:r w:rsidRPr="0027771F">
        <w:rPr>
          <w:sz w:val="26"/>
          <w:szCs w:val="26"/>
          <w:lang w:val="lt-LT"/>
        </w:rPr>
        <w:t xml:space="preserve">Remiantis </w:t>
      </w:r>
      <w:r w:rsidR="005C20D7" w:rsidRPr="0027771F">
        <w:rPr>
          <w:sz w:val="26"/>
          <w:szCs w:val="26"/>
          <w:lang w:val="lt-LT"/>
        </w:rPr>
        <w:t>aukščiau atlikt</w:t>
      </w:r>
      <w:r w:rsidR="0079543F">
        <w:rPr>
          <w:sz w:val="26"/>
          <w:szCs w:val="26"/>
          <w:lang w:val="lt-LT"/>
        </w:rPr>
        <w:t>u</w:t>
      </w:r>
      <w:r w:rsidR="005C20D7" w:rsidRPr="0027771F">
        <w:rPr>
          <w:sz w:val="26"/>
          <w:szCs w:val="26"/>
          <w:lang w:val="lt-LT"/>
        </w:rPr>
        <w:t xml:space="preserve"> </w:t>
      </w:r>
      <w:r w:rsidRPr="0027771F">
        <w:rPr>
          <w:sz w:val="26"/>
          <w:szCs w:val="26"/>
          <w:lang w:val="lt-LT"/>
        </w:rPr>
        <w:t xml:space="preserve">vidaus kontrolės sistemos </w:t>
      </w:r>
      <w:r w:rsidR="0079543F">
        <w:rPr>
          <w:sz w:val="26"/>
          <w:szCs w:val="26"/>
          <w:lang w:val="lt-LT"/>
        </w:rPr>
        <w:t>tyrimu</w:t>
      </w:r>
      <w:r w:rsidRPr="0027771F">
        <w:rPr>
          <w:sz w:val="26"/>
          <w:szCs w:val="26"/>
          <w:lang w:val="lt-LT"/>
        </w:rPr>
        <w:t>, galima teigti, kad UAB „Žuvila“ yra nustatyta veiksminga vidaus kontrolės sistema įmonės lygmeniu.</w:t>
      </w:r>
    </w:p>
    <w:p w:rsidR="0079543F" w:rsidRDefault="005C20D7" w:rsidP="00DC1B36">
      <w:pPr>
        <w:spacing w:line="360" w:lineRule="auto"/>
        <w:ind w:firstLine="720"/>
        <w:jc w:val="both"/>
        <w:rPr>
          <w:sz w:val="26"/>
          <w:szCs w:val="26"/>
          <w:lang w:val="lt-LT"/>
        </w:rPr>
      </w:pPr>
      <w:r w:rsidRPr="0027771F">
        <w:rPr>
          <w:sz w:val="26"/>
          <w:szCs w:val="26"/>
          <w:lang w:val="lt-LT"/>
        </w:rPr>
        <w:t xml:space="preserve">Kitas svarbus aspektas, nustatant finansinių ataskaitų auditui svarbią įmonės riziką, yra susijęs su vykdomais sandoriais (ūkinėmis operacijomis) su susijusiomis šalimis. Pasireiškia kainodaros </w:t>
      </w:r>
      <w:r w:rsidR="005460C1" w:rsidRPr="0027771F">
        <w:rPr>
          <w:sz w:val="26"/>
          <w:szCs w:val="26"/>
          <w:lang w:val="lt-LT"/>
        </w:rPr>
        <w:t xml:space="preserve">rizika, kad </w:t>
      </w:r>
      <w:r w:rsidRPr="0027771F">
        <w:rPr>
          <w:sz w:val="26"/>
          <w:szCs w:val="26"/>
          <w:lang w:val="lt-LT"/>
        </w:rPr>
        <w:t xml:space="preserve">UAB „Žuvila“ </w:t>
      </w:r>
      <w:r w:rsidR="005460C1" w:rsidRPr="0027771F">
        <w:rPr>
          <w:sz w:val="26"/>
          <w:szCs w:val="26"/>
          <w:lang w:val="lt-LT"/>
        </w:rPr>
        <w:t xml:space="preserve">parduodamos produkcijos kaina neatitiks </w:t>
      </w:r>
      <w:r w:rsidR="000C05C4">
        <w:rPr>
          <w:sz w:val="26"/>
          <w:szCs w:val="26"/>
          <w:lang w:val="lt-LT"/>
        </w:rPr>
        <w:t>„</w:t>
      </w:r>
      <w:r w:rsidR="005460C1" w:rsidRPr="0027771F">
        <w:rPr>
          <w:sz w:val="26"/>
          <w:szCs w:val="26"/>
          <w:lang w:val="lt-LT"/>
        </w:rPr>
        <w:t>ištiestosios rankos</w:t>
      </w:r>
      <w:r w:rsidR="000C05C4">
        <w:rPr>
          <w:sz w:val="26"/>
          <w:szCs w:val="26"/>
          <w:lang w:val="lt-LT"/>
        </w:rPr>
        <w:t>“</w:t>
      </w:r>
      <w:r w:rsidR="005460C1" w:rsidRPr="0027771F">
        <w:rPr>
          <w:sz w:val="26"/>
          <w:szCs w:val="26"/>
          <w:lang w:val="lt-LT"/>
        </w:rPr>
        <w:t xml:space="preserve"> principo, būdingo sandoriams vykdomiems tarp nepriklausomų šalių, arba</w:t>
      </w:r>
      <w:r w:rsidRPr="0027771F">
        <w:rPr>
          <w:sz w:val="26"/>
          <w:szCs w:val="26"/>
          <w:lang w:val="lt-LT"/>
        </w:rPr>
        <w:t xml:space="preserve"> kitaip</w:t>
      </w:r>
      <w:r w:rsidR="000C05C4">
        <w:rPr>
          <w:sz w:val="26"/>
          <w:szCs w:val="26"/>
          <w:lang w:val="lt-LT"/>
        </w:rPr>
        <w:t>,</w:t>
      </w:r>
      <w:r w:rsidRPr="0027771F">
        <w:rPr>
          <w:sz w:val="26"/>
          <w:szCs w:val="26"/>
          <w:lang w:val="lt-LT"/>
        </w:rPr>
        <w:t xml:space="preserve"> tikrosios rinkos kainos</w:t>
      </w:r>
      <w:r w:rsidR="005460C1" w:rsidRPr="0027771F">
        <w:rPr>
          <w:sz w:val="26"/>
          <w:szCs w:val="26"/>
          <w:lang w:val="lt-LT"/>
        </w:rPr>
        <w:t>.</w:t>
      </w:r>
      <w:r w:rsidR="007E3794" w:rsidRPr="0027771F">
        <w:rPr>
          <w:sz w:val="26"/>
          <w:szCs w:val="26"/>
          <w:lang w:val="lt-LT"/>
        </w:rPr>
        <w:t xml:space="preserve"> </w:t>
      </w:r>
      <w:r w:rsidRPr="0027771F">
        <w:rPr>
          <w:sz w:val="26"/>
          <w:szCs w:val="26"/>
          <w:lang w:val="lt-LT"/>
        </w:rPr>
        <w:t xml:space="preserve">Jei minėto principo bus nesilaikoma </w:t>
      </w:r>
      <w:r w:rsidR="007E3794" w:rsidRPr="0027771F">
        <w:rPr>
          <w:sz w:val="26"/>
          <w:szCs w:val="26"/>
          <w:lang w:val="lt-LT"/>
        </w:rPr>
        <w:t xml:space="preserve">įmonė gali susidurti su </w:t>
      </w:r>
      <w:r w:rsidR="008131A6" w:rsidRPr="0027771F">
        <w:rPr>
          <w:sz w:val="26"/>
          <w:szCs w:val="26"/>
          <w:lang w:val="lt-LT"/>
        </w:rPr>
        <w:t xml:space="preserve">rimtomis </w:t>
      </w:r>
      <w:r w:rsidR="007E3794" w:rsidRPr="0027771F">
        <w:rPr>
          <w:sz w:val="26"/>
          <w:szCs w:val="26"/>
          <w:lang w:val="lt-LT"/>
        </w:rPr>
        <w:t>mokestinėmis problemomis (netinka</w:t>
      </w:r>
      <w:r w:rsidR="008131A6" w:rsidRPr="0027771F">
        <w:rPr>
          <w:sz w:val="26"/>
          <w:szCs w:val="26"/>
          <w:lang w:val="lt-LT"/>
        </w:rPr>
        <w:t>ma</w:t>
      </w:r>
      <w:r w:rsidR="007E3794" w:rsidRPr="0027771F">
        <w:rPr>
          <w:sz w:val="26"/>
          <w:szCs w:val="26"/>
          <w:lang w:val="lt-LT"/>
        </w:rPr>
        <w:t>i nustatytas uždirbtų pajamų dydis ir susijusios sąnaudos, neteisingai apskaičiuotas pelno mokestis ir p</w:t>
      </w:r>
      <w:r w:rsidR="008131A6" w:rsidRPr="0027771F">
        <w:rPr>
          <w:sz w:val="26"/>
          <w:szCs w:val="26"/>
          <w:lang w:val="lt-LT"/>
        </w:rPr>
        <w:t>a</w:t>
      </w:r>
      <w:r w:rsidR="007E3794" w:rsidRPr="0027771F">
        <w:rPr>
          <w:sz w:val="26"/>
          <w:szCs w:val="26"/>
          <w:lang w:val="lt-LT"/>
        </w:rPr>
        <w:t>n.)</w:t>
      </w:r>
      <w:r w:rsidR="00E21BF4" w:rsidRPr="0027771F">
        <w:rPr>
          <w:sz w:val="26"/>
          <w:szCs w:val="26"/>
          <w:lang w:val="lt-LT"/>
        </w:rPr>
        <w:t xml:space="preserve">, nes </w:t>
      </w:r>
      <w:r w:rsidR="00760A0A" w:rsidRPr="0027771F">
        <w:rPr>
          <w:sz w:val="26"/>
          <w:szCs w:val="26"/>
          <w:lang w:val="lt-LT"/>
        </w:rPr>
        <w:t>įmonėje nėra aprašytų griežtų procedūrų, kurių būtina laikytis nustatant parduodamos produkcijos kainą</w:t>
      </w:r>
      <w:r w:rsidR="00E21BF4" w:rsidRPr="0027771F">
        <w:rPr>
          <w:sz w:val="26"/>
          <w:szCs w:val="26"/>
          <w:lang w:val="lt-LT"/>
        </w:rPr>
        <w:t xml:space="preserve">. </w:t>
      </w:r>
    </w:p>
    <w:p w:rsidR="00223ACB" w:rsidRPr="0027771F" w:rsidRDefault="0079543F" w:rsidP="00DC1B36">
      <w:pPr>
        <w:spacing w:line="360" w:lineRule="auto"/>
        <w:ind w:firstLine="720"/>
        <w:jc w:val="both"/>
        <w:rPr>
          <w:sz w:val="26"/>
          <w:szCs w:val="26"/>
          <w:lang w:val="lt-LT"/>
        </w:rPr>
      </w:pPr>
      <w:r>
        <w:rPr>
          <w:sz w:val="26"/>
          <w:szCs w:val="26"/>
          <w:lang w:val="lt-LT"/>
        </w:rPr>
        <w:t>V</w:t>
      </w:r>
      <w:r w:rsidR="00E21BF4" w:rsidRPr="0027771F">
        <w:rPr>
          <w:sz w:val="26"/>
          <w:szCs w:val="26"/>
          <w:lang w:val="lt-LT"/>
        </w:rPr>
        <w:t xml:space="preserve">isas </w:t>
      </w:r>
      <w:r w:rsidR="008131A6" w:rsidRPr="0027771F">
        <w:rPr>
          <w:sz w:val="26"/>
          <w:szCs w:val="26"/>
          <w:lang w:val="lt-LT"/>
        </w:rPr>
        <w:t>aukščiau aptart</w:t>
      </w:r>
      <w:r>
        <w:rPr>
          <w:sz w:val="26"/>
          <w:szCs w:val="26"/>
          <w:lang w:val="lt-LT"/>
        </w:rPr>
        <w:t>o</w:t>
      </w:r>
      <w:r w:rsidR="008131A6" w:rsidRPr="0027771F">
        <w:rPr>
          <w:sz w:val="26"/>
          <w:szCs w:val="26"/>
          <w:lang w:val="lt-LT"/>
        </w:rPr>
        <w:t xml:space="preserve">s </w:t>
      </w:r>
      <w:r>
        <w:rPr>
          <w:sz w:val="26"/>
          <w:szCs w:val="26"/>
          <w:lang w:val="lt-LT"/>
        </w:rPr>
        <w:t>įmonės rizikos</w:t>
      </w:r>
      <w:r w:rsidRPr="0027771F">
        <w:rPr>
          <w:sz w:val="26"/>
          <w:szCs w:val="26"/>
          <w:lang w:val="lt-LT"/>
        </w:rPr>
        <w:t xml:space="preserve"> </w:t>
      </w:r>
      <w:r w:rsidR="008131A6" w:rsidRPr="0027771F">
        <w:rPr>
          <w:sz w:val="26"/>
          <w:szCs w:val="26"/>
          <w:lang w:val="lt-LT"/>
        </w:rPr>
        <w:t>sąlyg</w:t>
      </w:r>
      <w:r>
        <w:rPr>
          <w:sz w:val="26"/>
          <w:szCs w:val="26"/>
          <w:lang w:val="lt-LT"/>
        </w:rPr>
        <w:t xml:space="preserve">os ir veiksniai </w:t>
      </w:r>
      <w:r w:rsidR="00E21BF4" w:rsidRPr="0027771F">
        <w:rPr>
          <w:sz w:val="26"/>
          <w:szCs w:val="26"/>
          <w:lang w:val="lt-LT"/>
        </w:rPr>
        <w:t>(gamybos proceso tobulinimas pasinaudojant ES parama, sandorių su susijusiomis šalimis įtaka)</w:t>
      </w:r>
      <w:r>
        <w:rPr>
          <w:sz w:val="26"/>
          <w:szCs w:val="26"/>
          <w:lang w:val="lt-LT"/>
        </w:rPr>
        <w:t xml:space="preserve">, jų pasireiškimo tikimybė ir įtaka apibendrintos </w:t>
      </w:r>
      <w:r w:rsidRPr="0079543F">
        <w:rPr>
          <w:b/>
          <w:sz w:val="26"/>
          <w:szCs w:val="26"/>
          <w:lang w:val="lt-LT"/>
        </w:rPr>
        <w:t>įmonės rizikos apskaičiavimo lentelėje</w:t>
      </w:r>
      <w:r w:rsidR="00E21BF4" w:rsidRPr="0027771F">
        <w:rPr>
          <w:sz w:val="26"/>
          <w:szCs w:val="26"/>
          <w:lang w:val="lt-LT"/>
        </w:rPr>
        <w:t xml:space="preserve"> </w:t>
      </w:r>
      <w:r w:rsidR="007F1ED9" w:rsidRPr="0027771F">
        <w:rPr>
          <w:sz w:val="26"/>
          <w:szCs w:val="26"/>
          <w:lang w:val="lt-LT"/>
        </w:rPr>
        <w:t>(žr. 21 priedas)</w:t>
      </w:r>
      <w:r>
        <w:rPr>
          <w:sz w:val="26"/>
          <w:szCs w:val="26"/>
          <w:lang w:val="lt-LT"/>
        </w:rPr>
        <w:t>.</w:t>
      </w:r>
      <w:r w:rsidR="007F1ED9" w:rsidRPr="0027771F">
        <w:rPr>
          <w:sz w:val="26"/>
          <w:szCs w:val="26"/>
          <w:lang w:val="lt-LT"/>
        </w:rPr>
        <w:t xml:space="preserve"> </w:t>
      </w:r>
      <w:r w:rsidR="000C05C4">
        <w:rPr>
          <w:sz w:val="26"/>
          <w:szCs w:val="26"/>
          <w:lang w:val="lt-LT"/>
        </w:rPr>
        <w:t>Panaudojus darbo autorės pasiūlytą kiekybinio įvertinimo metodiką, nustatyta</w:t>
      </w:r>
      <w:r w:rsidR="00E21BF4" w:rsidRPr="0027771F">
        <w:rPr>
          <w:sz w:val="26"/>
          <w:szCs w:val="26"/>
          <w:lang w:val="lt-LT"/>
        </w:rPr>
        <w:t xml:space="preserve">, jog </w:t>
      </w:r>
      <w:r w:rsidR="00223ACB" w:rsidRPr="0027771F">
        <w:rPr>
          <w:i/>
          <w:sz w:val="26"/>
          <w:szCs w:val="26"/>
          <w:lang w:val="lt-LT"/>
        </w:rPr>
        <w:t>įmonės rizik</w:t>
      </w:r>
      <w:r w:rsidR="007F1ED9" w:rsidRPr="0027771F">
        <w:rPr>
          <w:i/>
          <w:sz w:val="26"/>
          <w:szCs w:val="26"/>
          <w:lang w:val="lt-LT"/>
        </w:rPr>
        <w:t>os</w:t>
      </w:r>
      <w:r>
        <w:rPr>
          <w:i/>
          <w:sz w:val="26"/>
          <w:szCs w:val="26"/>
          <w:lang w:val="lt-LT"/>
        </w:rPr>
        <w:t xml:space="preserve"> </w:t>
      </w:r>
      <w:r w:rsidRPr="0079543F">
        <w:rPr>
          <w:sz w:val="26"/>
          <w:szCs w:val="26"/>
          <w:lang w:val="lt-LT"/>
        </w:rPr>
        <w:t>lygis UAB</w:t>
      </w:r>
      <w:r w:rsidR="00973556">
        <w:rPr>
          <w:sz w:val="26"/>
          <w:szCs w:val="26"/>
          <w:lang w:val="lt-LT"/>
        </w:rPr>
        <w:t> </w:t>
      </w:r>
      <w:r w:rsidRPr="0079543F">
        <w:rPr>
          <w:sz w:val="26"/>
          <w:szCs w:val="26"/>
          <w:lang w:val="lt-LT"/>
        </w:rPr>
        <w:t>„Žuvila“ atžvilgiu</w:t>
      </w:r>
      <w:r w:rsidR="00223ACB" w:rsidRPr="0027771F">
        <w:rPr>
          <w:i/>
          <w:sz w:val="26"/>
          <w:szCs w:val="26"/>
          <w:lang w:val="lt-LT"/>
        </w:rPr>
        <w:t xml:space="preserve"> </w:t>
      </w:r>
      <w:r w:rsidR="00960E07" w:rsidRPr="0027771F">
        <w:rPr>
          <w:sz w:val="26"/>
          <w:szCs w:val="26"/>
          <w:lang w:val="lt-LT"/>
        </w:rPr>
        <w:t>yra</w:t>
      </w:r>
      <w:r w:rsidR="00E21BF4" w:rsidRPr="0027771F">
        <w:rPr>
          <w:sz w:val="26"/>
          <w:szCs w:val="26"/>
          <w:lang w:val="lt-LT"/>
        </w:rPr>
        <w:t xml:space="preserve"> 56 proc.</w:t>
      </w:r>
      <w:r w:rsidR="00BC4F1F">
        <w:rPr>
          <w:sz w:val="26"/>
          <w:szCs w:val="26"/>
          <w:lang w:val="lt-LT"/>
        </w:rPr>
        <w:t xml:space="preserve"> – </w:t>
      </w:r>
      <w:r w:rsidR="00223ACB" w:rsidRPr="0027771F">
        <w:rPr>
          <w:i/>
          <w:sz w:val="26"/>
          <w:szCs w:val="26"/>
          <w:lang w:val="lt-LT"/>
        </w:rPr>
        <w:t>vidutin</w:t>
      </w:r>
      <w:r w:rsidR="00BC4F1F">
        <w:rPr>
          <w:i/>
          <w:sz w:val="26"/>
          <w:szCs w:val="26"/>
          <w:lang w:val="lt-LT"/>
        </w:rPr>
        <w:t>ė</w:t>
      </w:r>
      <w:r w:rsidR="007F1ED9" w:rsidRPr="0027771F">
        <w:rPr>
          <w:i/>
          <w:sz w:val="26"/>
          <w:szCs w:val="26"/>
          <w:lang w:val="lt-LT"/>
        </w:rPr>
        <w:t xml:space="preserve"> rizika</w:t>
      </w:r>
      <w:r w:rsidR="00223ACB" w:rsidRPr="0027771F">
        <w:rPr>
          <w:i/>
          <w:sz w:val="26"/>
          <w:szCs w:val="26"/>
          <w:lang w:val="lt-LT"/>
        </w:rPr>
        <w:t>.</w:t>
      </w:r>
      <w:r w:rsidR="00A34FE4" w:rsidRPr="0027771F">
        <w:rPr>
          <w:i/>
          <w:sz w:val="26"/>
          <w:szCs w:val="26"/>
          <w:lang w:val="lt-LT"/>
        </w:rPr>
        <w:t xml:space="preserve"> </w:t>
      </w:r>
      <w:r w:rsidR="00A34FE4" w:rsidRPr="0027771F">
        <w:rPr>
          <w:sz w:val="26"/>
          <w:szCs w:val="26"/>
          <w:lang w:val="lt-LT"/>
        </w:rPr>
        <w:t xml:space="preserve">Pastaroji rizika gali lemti reikšmingus iškraipymus </w:t>
      </w:r>
      <w:r w:rsidR="00D5267F" w:rsidRPr="0027771F">
        <w:rPr>
          <w:sz w:val="26"/>
          <w:szCs w:val="26"/>
          <w:lang w:val="lt-LT"/>
        </w:rPr>
        <w:t xml:space="preserve">tokiuose </w:t>
      </w:r>
      <w:r w:rsidR="00A34FE4" w:rsidRPr="0027771F">
        <w:rPr>
          <w:sz w:val="26"/>
          <w:szCs w:val="26"/>
          <w:lang w:val="lt-LT"/>
        </w:rPr>
        <w:t xml:space="preserve">finansinių ataskaitų straipsniuose kaip </w:t>
      </w:r>
      <w:r w:rsidR="00A34FE4" w:rsidRPr="0027771F">
        <w:rPr>
          <w:sz w:val="26"/>
          <w:szCs w:val="26"/>
          <w:lang w:val="lt-LT"/>
        </w:rPr>
        <w:lastRenderedPageBreak/>
        <w:t>pardavimo pajamos (tikslum</w:t>
      </w:r>
      <w:r w:rsidR="00AE1240">
        <w:rPr>
          <w:sz w:val="26"/>
          <w:szCs w:val="26"/>
          <w:lang w:val="lt-LT"/>
        </w:rPr>
        <w:t>o tvirtinima</w:t>
      </w:r>
      <w:r w:rsidR="00A34FE4" w:rsidRPr="0027771F">
        <w:rPr>
          <w:sz w:val="26"/>
          <w:szCs w:val="26"/>
          <w:lang w:val="lt-LT"/>
        </w:rPr>
        <w:t xml:space="preserve">s), </w:t>
      </w:r>
      <w:r w:rsidR="004C156A" w:rsidRPr="0027771F">
        <w:rPr>
          <w:sz w:val="26"/>
          <w:szCs w:val="26"/>
          <w:lang w:val="lt-LT"/>
        </w:rPr>
        <w:t xml:space="preserve">iš susijusių šalių </w:t>
      </w:r>
      <w:r w:rsidR="00A34FE4" w:rsidRPr="0027771F">
        <w:rPr>
          <w:sz w:val="26"/>
          <w:szCs w:val="26"/>
          <w:lang w:val="lt-LT"/>
        </w:rPr>
        <w:t xml:space="preserve">gautinos prekybos sumos </w:t>
      </w:r>
      <w:r w:rsidR="00FB3B3B">
        <w:rPr>
          <w:sz w:val="26"/>
          <w:szCs w:val="26"/>
          <w:lang w:val="lt-LT"/>
        </w:rPr>
        <w:t>ir</w:t>
      </w:r>
      <w:r w:rsidR="00D5267F" w:rsidRPr="0027771F">
        <w:rPr>
          <w:sz w:val="26"/>
          <w:szCs w:val="26"/>
          <w:lang w:val="lt-LT"/>
        </w:rPr>
        <w:t xml:space="preserve"> pelno mokesčio įsipareigojimai (įvertinim</w:t>
      </w:r>
      <w:r w:rsidR="00AE1240">
        <w:rPr>
          <w:sz w:val="26"/>
          <w:szCs w:val="26"/>
          <w:lang w:val="lt-LT"/>
        </w:rPr>
        <w:t>o tvirtinim</w:t>
      </w:r>
      <w:r w:rsidR="00D5267F" w:rsidRPr="0027771F">
        <w:rPr>
          <w:sz w:val="26"/>
          <w:szCs w:val="26"/>
          <w:lang w:val="lt-LT"/>
        </w:rPr>
        <w:t>as).</w:t>
      </w:r>
    </w:p>
    <w:p w:rsidR="00153067" w:rsidRPr="0027771F" w:rsidRDefault="00F82A1D" w:rsidP="00223ACB">
      <w:pPr>
        <w:spacing w:line="360" w:lineRule="auto"/>
        <w:ind w:firstLine="720"/>
        <w:jc w:val="both"/>
        <w:rPr>
          <w:sz w:val="26"/>
          <w:szCs w:val="26"/>
          <w:lang w:val="lt-LT"/>
        </w:rPr>
      </w:pPr>
      <w:r w:rsidRPr="0027771F">
        <w:rPr>
          <w:sz w:val="26"/>
          <w:szCs w:val="26"/>
          <w:lang w:val="lt-LT"/>
        </w:rPr>
        <w:t>Toliau svarbu nustatyti, ar finansinių ata</w:t>
      </w:r>
      <w:r w:rsidR="00223ACB" w:rsidRPr="0027771F">
        <w:rPr>
          <w:sz w:val="26"/>
          <w:szCs w:val="26"/>
          <w:lang w:val="lt-LT"/>
        </w:rPr>
        <w:t xml:space="preserve">skaitų lygmeniu </w:t>
      </w:r>
      <w:r w:rsidRPr="0027771F">
        <w:rPr>
          <w:sz w:val="26"/>
          <w:szCs w:val="26"/>
          <w:lang w:val="lt-LT"/>
        </w:rPr>
        <w:t xml:space="preserve">egzistuoja </w:t>
      </w:r>
      <w:r w:rsidR="00223ACB" w:rsidRPr="0027771F">
        <w:rPr>
          <w:sz w:val="26"/>
          <w:szCs w:val="26"/>
          <w:lang w:val="lt-LT"/>
        </w:rPr>
        <w:t xml:space="preserve">apgaulės rizikos </w:t>
      </w:r>
      <w:r w:rsidRPr="0027771F">
        <w:rPr>
          <w:sz w:val="26"/>
          <w:szCs w:val="26"/>
          <w:lang w:val="lt-LT"/>
        </w:rPr>
        <w:t>galimybė</w:t>
      </w:r>
      <w:r w:rsidR="00223ACB" w:rsidRPr="0027771F">
        <w:rPr>
          <w:sz w:val="26"/>
          <w:szCs w:val="26"/>
          <w:lang w:val="lt-LT"/>
        </w:rPr>
        <w:t xml:space="preserve">. </w:t>
      </w:r>
      <w:r w:rsidRPr="0027771F">
        <w:rPr>
          <w:sz w:val="26"/>
          <w:szCs w:val="26"/>
          <w:lang w:val="lt-LT"/>
        </w:rPr>
        <w:t>UAB „Žuvila“ vid</w:t>
      </w:r>
      <w:r w:rsidR="008E4A5A">
        <w:rPr>
          <w:sz w:val="26"/>
          <w:szCs w:val="26"/>
          <w:lang w:val="lt-LT"/>
        </w:rPr>
        <w:t>aus</w:t>
      </w:r>
      <w:r w:rsidRPr="0027771F">
        <w:rPr>
          <w:sz w:val="26"/>
          <w:szCs w:val="26"/>
          <w:lang w:val="lt-LT"/>
        </w:rPr>
        <w:t xml:space="preserve"> aplinkos sąlyg</w:t>
      </w:r>
      <w:r w:rsidR="0042099E" w:rsidRPr="0027771F">
        <w:rPr>
          <w:sz w:val="26"/>
          <w:szCs w:val="26"/>
          <w:lang w:val="lt-LT"/>
        </w:rPr>
        <w:t>ų analizės metu</w:t>
      </w:r>
      <w:r w:rsidRPr="0027771F">
        <w:rPr>
          <w:sz w:val="26"/>
          <w:szCs w:val="26"/>
          <w:lang w:val="lt-LT"/>
        </w:rPr>
        <w:t xml:space="preserve">, </w:t>
      </w:r>
      <w:r w:rsidR="00BC4F1F">
        <w:rPr>
          <w:sz w:val="26"/>
          <w:szCs w:val="26"/>
          <w:lang w:val="lt-LT"/>
        </w:rPr>
        <w:t>išsiaiškinta</w:t>
      </w:r>
      <w:r w:rsidRPr="0027771F">
        <w:rPr>
          <w:sz w:val="26"/>
          <w:szCs w:val="26"/>
          <w:lang w:val="lt-LT"/>
        </w:rPr>
        <w:t xml:space="preserve">, kad </w:t>
      </w:r>
      <w:r w:rsidR="0042099E" w:rsidRPr="0027771F">
        <w:rPr>
          <w:sz w:val="26"/>
          <w:szCs w:val="26"/>
          <w:lang w:val="lt-LT"/>
        </w:rPr>
        <w:t>įmonė siekia plėsti savo veiklą, todėl egzistuoja būtinybė tenkinti akcininkų lūkesčius, kurie pasireiškia per finansinių veiklos rodiklių, užsibrėžtų veiklos tikslų ir suplanuotų biudžetų</w:t>
      </w:r>
      <w:r w:rsidR="00707332" w:rsidRPr="0027771F">
        <w:rPr>
          <w:sz w:val="26"/>
          <w:szCs w:val="26"/>
          <w:lang w:val="lt-LT"/>
        </w:rPr>
        <w:t xml:space="preserve"> įvykdymą. Be to, šie dalykai nemažiau svarbūs ieškant priimtinų finansavimo galimybių</w:t>
      </w:r>
      <w:r w:rsidR="007E3794" w:rsidRPr="0027771F">
        <w:rPr>
          <w:sz w:val="26"/>
          <w:szCs w:val="26"/>
          <w:lang w:val="lt-LT"/>
        </w:rPr>
        <w:t xml:space="preserve"> iš išorės</w:t>
      </w:r>
      <w:r w:rsidR="008131A6" w:rsidRPr="0027771F">
        <w:rPr>
          <w:sz w:val="26"/>
          <w:szCs w:val="26"/>
          <w:lang w:val="lt-LT"/>
        </w:rPr>
        <w:t xml:space="preserve"> – noras įsiteigti kredito įstaigoms</w:t>
      </w:r>
      <w:r w:rsidR="00707332" w:rsidRPr="0027771F">
        <w:rPr>
          <w:sz w:val="26"/>
          <w:szCs w:val="26"/>
          <w:lang w:val="lt-LT"/>
        </w:rPr>
        <w:t xml:space="preserve">. </w:t>
      </w:r>
      <w:r w:rsidR="00BC4F1F">
        <w:rPr>
          <w:sz w:val="26"/>
          <w:szCs w:val="26"/>
          <w:lang w:val="lt-LT"/>
        </w:rPr>
        <w:t xml:space="preserve">O </w:t>
      </w:r>
      <w:r w:rsidR="00707332" w:rsidRPr="0027771F">
        <w:rPr>
          <w:sz w:val="26"/>
          <w:szCs w:val="26"/>
          <w:lang w:val="lt-LT"/>
        </w:rPr>
        <w:t xml:space="preserve">tai </w:t>
      </w:r>
      <w:r w:rsidR="00BC4F1F">
        <w:rPr>
          <w:sz w:val="26"/>
          <w:szCs w:val="26"/>
          <w:lang w:val="lt-LT"/>
        </w:rPr>
        <w:t xml:space="preserve">daro įtaką </w:t>
      </w:r>
      <w:r w:rsidR="005D50AC" w:rsidRPr="0027771F">
        <w:rPr>
          <w:sz w:val="26"/>
          <w:szCs w:val="26"/>
          <w:lang w:val="lt-LT"/>
        </w:rPr>
        <w:t>apgaulės rizikos, susijusios su pajamų pripažinimu, pasireiškim</w:t>
      </w:r>
      <w:r w:rsidR="00BC4F1F">
        <w:rPr>
          <w:sz w:val="26"/>
          <w:szCs w:val="26"/>
          <w:lang w:val="lt-LT"/>
        </w:rPr>
        <w:t>ui</w:t>
      </w:r>
      <w:r w:rsidR="005D50AC" w:rsidRPr="0027771F">
        <w:rPr>
          <w:sz w:val="26"/>
          <w:szCs w:val="26"/>
          <w:lang w:val="lt-LT"/>
        </w:rPr>
        <w:t xml:space="preserve">. </w:t>
      </w:r>
      <w:r w:rsidR="008131A6" w:rsidRPr="0027771F">
        <w:rPr>
          <w:sz w:val="26"/>
          <w:szCs w:val="26"/>
          <w:lang w:val="lt-LT"/>
        </w:rPr>
        <w:t>Galima įžvelgti šias a</w:t>
      </w:r>
      <w:r w:rsidR="005D50AC" w:rsidRPr="0027771F">
        <w:rPr>
          <w:sz w:val="26"/>
          <w:szCs w:val="26"/>
          <w:lang w:val="lt-LT"/>
        </w:rPr>
        <w:t>pgaulės</w:t>
      </w:r>
      <w:r w:rsidR="00707332" w:rsidRPr="0027771F">
        <w:rPr>
          <w:sz w:val="26"/>
          <w:szCs w:val="26"/>
          <w:lang w:val="lt-LT"/>
        </w:rPr>
        <w:t xml:space="preserve"> sąlyg</w:t>
      </w:r>
      <w:r w:rsidR="00760A0A" w:rsidRPr="0027771F">
        <w:rPr>
          <w:sz w:val="26"/>
          <w:szCs w:val="26"/>
          <w:lang w:val="lt-LT"/>
        </w:rPr>
        <w:t>a</w:t>
      </w:r>
      <w:r w:rsidR="00707332" w:rsidRPr="0027771F">
        <w:rPr>
          <w:sz w:val="26"/>
          <w:szCs w:val="26"/>
          <w:lang w:val="lt-LT"/>
        </w:rPr>
        <w:t>s</w:t>
      </w:r>
      <w:r w:rsidR="00B32E79" w:rsidRPr="0027771F">
        <w:rPr>
          <w:sz w:val="26"/>
          <w:szCs w:val="26"/>
          <w:lang w:val="lt-LT"/>
        </w:rPr>
        <w:t xml:space="preserve"> – vadovybės veiksmai, susiję su jaučiamu </w:t>
      </w:r>
      <w:r w:rsidR="00707332" w:rsidRPr="0027771F">
        <w:rPr>
          <w:sz w:val="26"/>
          <w:szCs w:val="26"/>
          <w:lang w:val="lt-LT"/>
        </w:rPr>
        <w:t>spaudim</w:t>
      </w:r>
      <w:r w:rsidR="00B32E79" w:rsidRPr="0027771F">
        <w:rPr>
          <w:sz w:val="26"/>
          <w:szCs w:val="26"/>
          <w:lang w:val="lt-LT"/>
        </w:rPr>
        <w:t>u</w:t>
      </w:r>
      <w:r w:rsidR="005D50AC" w:rsidRPr="0027771F">
        <w:rPr>
          <w:sz w:val="26"/>
          <w:szCs w:val="26"/>
          <w:lang w:val="lt-LT"/>
        </w:rPr>
        <w:t xml:space="preserve"> – akcininkų lūkesčių bei kreditorių reikalavimų tenkinimas</w:t>
      </w:r>
      <w:r w:rsidR="00B32E79" w:rsidRPr="0027771F">
        <w:rPr>
          <w:sz w:val="26"/>
          <w:szCs w:val="26"/>
          <w:lang w:val="lt-LT"/>
        </w:rPr>
        <w:t xml:space="preserve">, </w:t>
      </w:r>
      <w:r w:rsidR="00733354" w:rsidRPr="0027771F">
        <w:rPr>
          <w:sz w:val="26"/>
          <w:szCs w:val="26"/>
          <w:lang w:val="lt-LT"/>
        </w:rPr>
        <w:t>galimybės – sandoriai su susijusiomis šalimis</w:t>
      </w:r>
      <w:r w:rsidR="00D5267F" w:rsidRPr="0027771F">
        <w:rPr>
          <w:sz w:val="26"/>
          <w:szCs w:val="26"/>
          <w:lang w:val="lt-LT"/>
        </w:rPr>
        <w:t xml:space="preserve"> ir </w:t>
      </w:r>
      <w:r w:rsidR="00A40E9D" w:rsidRPr="0027771F">
        <w:rPr>
          <w:sz w:val="26"/>
          <w:szCs w:val="26"/>
          <w:lang w:val="lt-LT"/>
        </w:rPr>
        <w:t xml:space="preserve">griežtai nereglamentuotos </w:t>
      </w:r>
      <w:r w:rsidR="00D5267F" w:rsidRPr="0027771F">
        <w:rPr>
          <w:sz w:val="26"/>
          <w:szCs w:val="26"/>
          <w:lang w:val="lt-LT"/>
        </w:rPr>
        <w:t>kontrolės</w:t>
      </w:r>
      <w:r w:rsidR="00A40E9D" w:rsidRPr="0027771F">
        <w:rPr>
          <w:sz w:val="26"/>
          <w:szCs w:val="26"/>
          <w:lang w:val="lt-LT"/>
        </w:rPr>
        <w:t xml:space="preserve"> procedūros, taikomos nustatant parduodamos produkcijos rinkos kainą, </w:t>
      </w:r>
      <w:r w:rsidR="00B32E79" w:rsidRPr="0027771F">
        <w:rPr>
          <w:sz w:val="26"/>
          <w:szCs w:val="26"/>
          <w:lang w:val="lt-LT"/>
        </w:rPr>
        <w:t xml:space="preserve">bei </w:t>
      </w:r>
      <w:r w:rsidR="005D50AC" w:rsidRPr="0027771F">
        <w:rPr>
          <w:sz w:val="26"/>
          <w:szCs w:val="26"/>
          <w:lang w:val="lt-LT"/>
        </w:rPr>
        <w:t xml:space="preserve">racionalizacija – </w:t>
      </w:r>
      <w:r w:rsidR="00A40E9D" w:rsidRPr="0027771F">
        <w:rPr>
          <w:sz w:val="26"/>
          <w:szCs w:val="26"/>
          <w:lang w:val="lt-LT"/>
        </w:rPr>
        <w:t xml:space="preserve">vadovybės aktyvus </w:t>
      </w:r>
      <w:r w:rsidR="005D50AC" w:rsidRPr="0027771F">
        <w:rPr>
          <w:sz w:val="26"/>
          <w:szCs w:val="26"/>
          <w:lang w:val="lt-LT"/>
        </w:rPr>
        <w:t>užsibrėžtų tikslų siekimas ir tolesnė veiklos plėtra.</w:t>
      </w:r>
      <w:r w:rsidR="00B32E79" w:rsidRPr="0027771F">
        <w:rPr>
          <w:sz w:val="26"/>
          <w:szCs w:val="26"/>
          <w:lang w:val="lt-LT"/>
        </w:rPr>
        <w:t xml:space="preserve"> </w:t>
      </w:r>
      <w:r w:rsidR="00760A0A" w:rsidRPr="0027771F">
        <w:rPr>
          <w:sz w:val="26"/>
          <w:szCs w:val="26"/>
          <w:lang w:val="lt-LT"/>
        </w:rPr>
        <w:t xml:space="preserve">Tačiau </w:t>
      </w:r>
      <w:r w:rsidR="0073350F" w:rsidRPr="0027771F">
        <w:rPr>
          <w:sz w:val="26"/>
          <w:szCs w:val="26"/>
          <w:lang w:val="lt-LT"/>
        </w:rPr>
        <w:t>UAB</w:t>
      </w:r>
      <w:r w:rsidR="0027771F">
        <w:rPr>
          <w:sz w:val="26"/>
          <w:szCs w:val="26"/>
          <w:lang w:val="lt-LT"/>
        </w:rPr>
        <w:t> </w:t>
      </w:r>
      <w:r w:rsidR="0073350F" w:rsidRPr="0027771F">
        <w:rPr>
          <w:sz w:val="26"/>
          <w:szCs w:val="26"/>
          <w:lang w:val="lt-LT"/>
        </w:rPr>
        <w:t xml:space="preserve">„Žuvila“ </w:t>
      </w:r>
      <w:r w:rsidR="00760A0A" w:rsidRPr="0027771F">
        <w:rPr>
          <w:sz w:val="26"/>
          <w:szCs w:val="26"/>
          <w:lang w:val="lt-LT"/>
        </w:rPr>
        <w:t>vidaus kontrolės sistemos vertinimo metu išsiaiškinta, kad įmonėje itin nuolat pabrėžiama sąžiningo ir etiško elgesio svarba</w:t>
      </w:r>
      <w:r w:rsidR="00C32551" w:rsidRPr="0027771F">
        <w:rPr>
          <w:sz w:val="26"/>
          <w:szCs w:val="26"/>
          <w:lang w:val="lt-LT"/>
        </w:rPr>
        <w:t xml:space="preserve"> ir vidaus kontrolės sistemos veiksmingumas</w:t>
      </w:r>
      <w:r w:rsidR="00760A0A" w:rsidRPr="0027771F">
        <w:rPr>
          <w:sz w:val="26"/>
          <w:szCs w:val="26"/>
          <w:lang w:val="lt-LT"/>
        </w:rPr>
        <w:t xml:space="preserve">, o tai yra </w:t>
      </w:r>
      <w:r w:rsidR="00BC4F1F">
        <w:rPr>
          <w:sz w:val="26"/>
          <w:szCs w:val="26"/>
          <w:lang w:val="lt-LT"/>
        </w:rPr>
        <w:t>priemonė</w:t>
      </w:r>
      <w:r w:rsidR="00760A0A" w:rsidRPr="0027771F">
        <w:rPr>
          <w:sz w:val="26"/>
          <w:szCs w:val="26"/>
          <w:lang w:val="lt-LT"/>
        </w:rPr>
        <w:t xml:space="preserve"> </w:t>
      </w:r>
      <w:r w:rsidR="00BC4F1F" w:rsidRPr="0027771F">
        <w:rPr>
          <w:sz w:val="26"/>
          <w:szCs w:val="26"/>
          <w:lang w:val="lt-LT"/>
        </w:rPr>
        <w:t>minimizuo</w:t>
      </w:r>
      <w:r w:rsidR="00BC4F1F">
        <w:rPr>
          <w:sz w:val="26"/>
          <w:szCs w:val="26"/>
          <w:lang w:val="lt-LT"/>
        </w:rPr>
        <w:t>jant</w:t>
      </w:r>
      <w:r w:rsidR="00BC4F1F" w:rsidRPr="0027771F">
        <w:rPr>
          <w:sz w:val="26"/>
          <w:szCs w:val="26"/>
          <w:lang w:val="lt-LT"/>
        </w:rPr>
        <w:t xml:space="preserve">i </w:t>
      </w:r>
      <w:r w:rsidR="00FB3B3B" w:rsidRPr="0027771F">
        <w:rPr>
          <w:sz w:val="26"/>
          <w:szCs w:val="26"/>
          <w:lang w:val="lt-LT"/>
        </w:rPr>
        <w:t xml:space="preserve">vadovybės </w:t>
      </w:r>
      <w:r w:rsidR="00760A0A" w:rsidRPr="0027771F">
        <w:rPr>
          <w:sz w:val="26"/>
          <w:szCs w:val="26"/>
          <w:lang w:val="lt-LT"/>
        </w:rPr>
        <w:t>g</w:t>
      </w:r>
      <w:r w:rsidR="005D50AC" w:rsidRPr="0027771F">
        <w:rPr>
          <w:sz w:val="26"/>
          <w:szCs w:val="26"/>
          <w:lang w:val="lt-LT"/>
        </w:rPr>
        <w:t>alimyb</w:t>
      </w:r>
      <w:r w:rsidR="00FB3B3B">
        <w:rPr>
          <w:sz w:val="26"/>
          <w:szCs w:val="26"/>
          <w:lang w:val="lt-LT"/>
        </w:rPr>
        <w:t>es</w:t>
      </w:r>
      <w:r w:rsidR="00516D6F" w:rsidRPr="0027771F">
        <w:rPr>
          <w:sz w:val="26"/>
          <w:szCs w:val="26"/>
          <w:lang w:val="lt-LT"/>
        </w:rPr>
        <w:t xml:space="preserve"> bei s</w:t>
      </w:r>
      <w:r w:rsidR="00760A0A" w:rsidRPr="0027771F">
        <w:rPr>
          <w:sz w:val="26"/>
          <w:szCs w:val="26"/>
          <w:lang w:val="lt-LT"/>
        </w:rPr>
        <w:t>ugebėjim</w:t>
      </w:r>
      <w:r w:rsidR="00BC4F1F">
        <w:rPr>
          <w:sz w:val="26"/>
          <w:szCs w:val="26"/>
          <w:lang w:val="lt-LT"/>
        </w:rPr>
        <w:t>us įvykdyti</w:t>
      </w:r>
      <w:r w:rsidR="00FB3B3B" w:rsidRPr="00FB3B3B">
        <w:rPr>
          <w:sz w:val="26"/>
          <w:szCs w:val="26"/>
          <w:lang w:val="lt-LT"/>
        </w:rPr>
        <w:t xml:space="preserve"> </w:t>
      </w:r>
      <w:r w:rsidR="00FB3B3B" w:rsidRPr="0027771F">
        <w:rPr>
          <w:sz w:val="26"/>
          <w:szCs w:val="26"/>
          <w:lang w:val="lt-LT"/>
        </w:rPr>
        <w:t>apgaul</w:t>
      </w:r>
      <w:r w:rsidR="00FB3B3B">
        <w:rPr>
          <w:sz w:val="26"/>
          <w:szCs w:val="26"/>
          <w:lang w:val="lt-LT"/>
        </w:rPr>
        <w:t>ę</w:t>
      </w:r>
      <w:r w:rsidR="00516D6F" w:rsidRPr="0027771F">
        <w:rPr>
          <w:sz w:val="26"/>
          <w:szCs w:val="26"/>
          <w:lang w:val="lt-LT"/>
        </w:rPr>
        <w:t>.</w:t>
      </w:r>
      <w:r w:rsidR="0042099E" w:rsidRPr="0027771F">
        <w:rPr>
          <w:sz w:val="26"/>
          <w:szCs w:val="26"/>
          <w:lang w:val="lt-LT"/>
        </w:rPr>
        <w:t xml:space="preserve"> </w:t>
      </w:r>
      <w:r w:rsidR="00153067" w:rsidRPr="0027771F">
        <w:rPr>
          <w:sz w:val="26"/>
          <w:szCs w:val="26"/>
          <w:lang w:val="lt-LT"/>
        </w:rPr>
        <w:t>Todėl</w:t>
      </w:r>
      <w:r w:rsidR="00AE1240">
        <w:rPr>
          <w:sz w:val="26"/>
          <w:szCs w:val="26"/>
          <w:lang w:val="lt-LT"/>
        </w:rPr>
        <w:t xml:space="preserve">, </w:t>
      </w:r>
      <w:r w:rsidR="00AE1240" w:rsidRPr="00AE1240">
        <w:rPr>
          <w:b/>
          <w:sz w:val="26"/>
          <w:szCs w:val="26"/>
          <w:lang w:val="lt-LT"/>
        </w:rPr>
        <w:t>apgaulės rizikos apskaičiavimo lentel</w:t>
      </w:r>
      <w:r w:rsidR="005E0737">
        <w:rPr>
          <w:b/>
          <w:sz w:val="26"/>
          <w:szCs w:val="26"/>
          <w:lang w:val="lt-LT"/>
        </w:rPr>
        <w:t>ėje</w:t>
      </w:r>
      <w:r w:rsidR="00AE1240">
        <w:rPr>
          <w:sz w:val="26"/>
          <w:szCs w:val="26"/>
          <w:lang w:val="lt-LT"/>
        </w:rPr>
        <w:t>, pateikt</w:t>
      </w:r>
      <w:r w:rsidR="005E0737">
        <w:rPr>
          <w:sz w:val="26"/>
          <w:szCs w:val="26"/>
          <w:lang w:val="lt-LT"/>
        </w:rPr>
        <w:t>oje</w:t>
      </w:r>
      <w:r w:rsidR="00AE1240">
        <w:rPr>
          <w:sz w:val="26"/>
          <w:szCs w:val="26"/>
          <w:lang w:val="lt-LT"/>
        </w:rPr>
        <w:t xml:space="preserve"> 22 priede,</w:t>
      </w:r>
      <w:r w:rsidR="00153067" w:rsidRPr="0027771F">
        <w:rPr>
          <w:sz w:val="26"/>
          <w:szCs w:val="26"/>
          <w:lang w:val="lt-LT"/>
        </w:rPr>
        <w:t xml:space="preserve"> </w:t>
      </w:r>
      <w:r w:rsidR="00153067" w:rsidRPr="0027771F">
        <w:rPr>
          <w:i/>
          <w:sz w:val="26"/>
          <w:szCs w:val="26"/>
          <w:lang w:val="lt-LT"/>
        </w:rPr>
        <w:t>apgaulės rizik</w:t>
      </w:r>
      <w:r w:rsidR="00AE1240">
        <w:rPr>
          <w:i/>
          <w:sz w:val="26"/>
          <w:szCs w:val="26"/>
          <w:lang w:val="lt-LT"/>
        </w:rPr>
        <w:t>a</w:t>
      </w:r>
      <w:r w:rsidR="00153067" w:rsidRPr="0027771F">
        <w:rPr>
          <w:sz w:val="26"/>
          <w:szCs w:val="26"/>
          <w:lang w:val="lt-LT"/>
        </w:rPr>
        <w:t xml:space="preserve"> </w:t>
      </w:r>
      <w:r w:rsidR="00516D6F" w:rsidRPr="0027771F">
        <w:rPr>
          <w:sz w:val="26"/>
          <w:szCs w:val="26"/>
          <w:lang w:val="lt-LT"/>
        </w:rPr>
        <w:t>UAB</w:t>
      </w:r>
      <w:r w:rsidR="00973556">
        <w:rPr>
          <w:sz w:val="26"/>
          <w:szCs w:val="26"/>
          <w:lang w:val="lt-LT"/>
        </w:rPr>
        <w:t> </w:t>
      </w:r>
      <w:r w:rsidR="00516D6F" w:rsidRPr="0027771F">
        <w:rPr>
          <w:sz w:val="26"/>
          <w:szCs w:val="26"/>
          <w:lang w:val="lt-LT"/>
        </w:rPr>
        <w:t xml:space="preserve">„Žuvila“ atžvilgiu </w:t>
      </w:r>
      <w:r w:rsidR="00AE1240">
        <w:rPr>
          <w:sz w:val="26"/>
          <w:szCs w:val="26"/>
          <w:lang w:val="lt-LT"/>
        </w:rPr>
        <w:t>įv</w:t>
      </w:r>
      <w:r w:rsidR="00153067" w:rsidRPr="0027771F">
        <w:rPr>
          <w:sz w:val="26"/>
          <w:szCs w:val="26"/>
          <w:lang w:val="lt-LT"/>
        </w:rPr>
        <w:t>ertint</w:t>
      </w:r>
      <w:r w:rsidR="00AE1240">
        <w:rPr>
          <w:sz w:val="26"/>
          <w:szCs w:val="26"/>
          <w:lang w:val="lt-LT"/>
        </w:rPr>
        <w:t>a</w:t>
      </w:r>
      <w:r w:rsidR="00153067" w:rsidRPr="0027771F">
        <w:rPr>
          <w:sz w:val="26"/>
          <w:szCs w:val="26"/>
          <w:lang w:val="lt-LT"/>
        </w:rPr>
        <w:t xml:space="preserve"> kaip </w:t>
      </w:r>
      <w:r w:rsidR="00153067" w:rsidRPr="0027771F">
        <w:rPr>
          <w:i/>
          <w:sz w:val="26"/>
          <w:szCs w:val="26"/>
          <w:lang w:val="lt-LT"/>
        </w:rPr>
        <w:t>vidutin</w:t>
      </w:r>
      <w:r w:rsidR="00AE1240">
        <w:rPr>
          <w:i/>
          <w:sz w:val="26"/>
          <w:szCs w:val="26"/>
          <w:lang w:val="lt-LT"/>
        </w:rPr>
        <w:t>ė</w:t>
      </w:r>
      <w:r w:rsidR="00153067" w:rsidRPr="0027771F">
        <w:rPr>
          <w:i/>
          <w:sz w:val="26"/>
          <w:szCs w:val="26"/>
          <w:lang w:val="lt-LT"/>
        </w:rPr>
        <w:t xml:space="preserve"> rizik</w:t>
      </w:r>
      <w:r w:rsidR="00AE1240">
        <w:rPr>
          <w:i/>
          <w:sz w:val="26"/>
          <w:szCs w:val="26"/>
          <w:lang w:val="lt-LT"/>
        </w:rPr>
        <w:t xml:space="preserve">a </w:t>
      </w:r>
      <w:r w:rsidR="00AE1240" w:rsidRPr="0027771F">
        <w:rPr>
          <w:sz w:val="26"/>
          <w:szCs w:val="26"/>
          <w:lang w:val="lt-LT"/>
        </w:rPr>
        <w:t>(47 proc.)</w:t>
      </w:r>
      <w:r w:rsidR="00AE1240" w:rsidRPr="005E0737">
        <w:rPr>
          <w:sz w:val="26"/>
          <w:szCs w:val="26"/>
          <w:lang w:val="lt-LT"/>
        </w:rPr>
        <w:t>.</w:t>
      </w:r>
      <w:r w:rsidR="0022272D">
        <w:rPr>
          <w:sz w:val="26"/>
          <w:szCs w:val="26"/>
          <w:lang w:val="lt-LT"/>
        </w:rPr>
        <w:t xml:space="preserve"> N</w:t>
      </w:r>
      <w:r w:rsidR="005E0737" w:rsidRPr="005E0737">
        <w:rPr>
          <w:sz w:val="26"/>
          <w:szCs w:val="26"/>
          <w:lang w:val="lt-LT"/>
        </w:rPr>
        <w:t>ustatyta, jog</w:t>
      </w:r>
      <w:r w:rsidR="00AE1240" w:rsidRPr="005E0737">
        <w:rPr>
          <w:sz w:val="26"/>
          <w:szCs w:val="26"/>
          <w:lang w:val="lt-LT"/>
        </w:rPr>
        <w:t xml:space="preserve"> apgaulės rizika </w:t>
      </w:r>
      <w:r w:rsidR="00153067" w:rsidRPr="0027771F">
        <w:rPr>
          <w:sz w:val="26"/>
          <w:szCs w:val="26"/>
          <w:lang w:val="lt-LT"/>
        </w:rPr>
        <w:t xml:space="preserve">gali sąlygoti reikšmingus iškraipymus </w:t>
      </w:r>
      <w:r w:rsidR="00F72605" w:rsidRPr="0027771F">
        <w:rPr>
          <w:sz w:val="26"/>
          <w:szCs w:val="26"/>
          <w:lang w:val="lt-LT"/>
        </w:rPr>
        <w:t>pardavimo pajam</w:t>
      </w:r>
      <w:r w:rsidR="0022272D">
        <w:rPr>
          <w:sz w:val="26"/>
          <w:szCs w:val="26"/>
          <w:lang w:val="lt-LT"/>
        </w:rPr>
        <w:t>ų</w:t>
      </w:r>
      <w:r w:rsidR="0073350F" w:rsidRPr="0027771F">
        <w:rPr>
          <w:sz w:val="26"/>
          <w:szCs w:val="26"/>
          <w:lang w:val="lt-LT"/>
        </w:rPr>
        <w:t xml:space="preserve"> </w:t>
      </w:r>
      <w:r w:rsidR="000B74B1" w:rsidRPr="0027771F">
        <w:rPr>
          <w:sz w:val="26"/>
          <w:szCs w:val="26"/>
          <w:lang w:val="lt-LT"/>
        </w:rPr>
        <w:t>ir</w:t>
      </w:r>
      <w:r w:rsidR="00F72605" w:rsidRPr="0027771F">
        <w:rPr>
          <w:sz w:val="26"/>
          <w:szCs w:val="26"/>
          <w:lang w:val="lt-LT"/>
        </w:rPr>
        <w:t xml:space="preserve"> pardavimo savikain</w:t>
      </w:r>
      <w:r w:rsidR="0022272D">
        <w:rPr>
          <w:sz w:val="26"/>
          <w:szCs w:val="26"/>
          <w:lang w:val="lt-LT"/>
        </w:rPr>
        <w:t>os</w:t>
      </w:r>
      <w:r w:rsidR="0073350F" w:rsidRPr="0027771F">
        <w:rPr>
          <w:sz w:val="26"/>
          <w:szCs w:val="26"/>
          <w:lang w:val="lt-LT"/>
        </w:rPr>
        <w:t xml:space="preserve"> tikslum</w:t>
      </w:r>
      <w:r w:rsidR="005E0737">
        <w:rPr>
          <w:sz w:val="26"/>
          <w:szCs w:val="26"/>
          <w:lang w:val="lt-LT"/>
        </w:rPr>
        <w:t>o tvirtinim</w:t>
      </w:r>
      <w:r w:rsidR="0022272D">
        <w:rPr>
          <w:sz w:val="26"/>
          <w:szCs w:val="26"/>
          <w:lang w:val="lt-LT"/>
        </w:rPr>
        <w:t>uose</w:t>
      </w:r>
      <w:r w:rsidR="00153067" w:rsidRPr="0027771F">
        <w:rPr>
          <w:sz w:val="26"/>
          <w:szCs w:val="26"/>
          <w:lang w:val="lt-LT"/>
        </w:rPr>
        <w:t xml:space="preserve">. </w:t>
      </w:r>
    </w:p>
    <w:p w:rsidR="00B32E79" w:rsidRPr="0027771F" w:rsidRDefault="0022272D" w:rsidP="00223ACB">
      <w:pPr>
        <w:spacing w:line="360" w:lineRule="auto"/>
        <w:ind w:firstLine="720"/>
        <w:jc w:val="both"/>
        <w:rPr>
          <w:sz w:val="26"/>
          <w:szCs w:val="26"/>
          <w:lang w:val="lt-LT"/>
        </w:rPr>
      </w:pPr>
      <w:r>
        <w:rPr>
          <w:sz w:val="26"/>
          <w:szCs w:val="26"/>
          <w:lang w:val="lt-LT"/>
        </w:rPr>
        <w:t>Apibendrinant svarbu</w:t>
      </w:r>
      <w:r w:rsidR="00153067" w:rsidRPr="0027771F">
        <w:rPr>
          <w:sz w:val="26"/>
          <w:szCs w:val="26"/>
          <w:lang w:val="lt-LT"/>
        </w:rPr>
        <w:t xml:space="preserve"> pastebėti, kad ver</w:t>
      </w:r>
      <w:r w:rsidR="00223ACB" w:rsidRPr="0027771F">
        <w:rPr>
          <w:sz w:val="26"/>
          <w:szCs w:val="26"/>
          <w:lang w:val="lt-LT"/>
        </w:rPr>
        <w:t>slo rizika</w:t>
      </w:r>
      <w:r w:rsidR="00153067" w:rsidRPr="0027771F">
        <w:rPr>
          <w:sz w:val="26"/>
          <w:szCs w:val="26"/>
          <w:lang w:val="lt-LT"/>
        </w:rPr>
        <w:t xml:space="preserve"> UAB „Žuvila“ atžvilgiu yra maža, o įmonės rizika ir apgaulės rizika </w:t>
      </w:r>
      <w:r w:rsidR="00516D6F" w:rsidRPr="0027771F">
        <w:rPr>
          <w:sz w:val="26"/>
          <w:szCs w:val="26"/>
          <w:lang w:val="lt-LT"/>
        </w:rPr>
        <w:t xml:space="preserve">įvertintos kaip </w:t>
      </w:r>
      <w:r w:rsidR="00153067" w:rsidRPr="0027771F">
        <w:rPr>
          <w:sz w:val="26"/>
          <w:szCs w:val="26"/>
          <w:lang w:val="lt-LT"/>
        </w:rPr>
        <w:t>vidutinė</w:t>
      </w:r>
      <w:r w:rsidR="00516D6F" w:rsidRPr="0027771F">
        <w:rPr>
          <w:sz w:val="26"/>
          <w:szCs w:val="26"/>
          <w:lang w:val="lt-LT"/>
        </w:rPr>
        <w:t>s rizikos</w:t>
      </w:r>
      <w:r w:rsidR="00153067" w:rsidRPr="0027771F">
        <w:rPr>
          <w:sz w:val="26"/>
          <w:szCs w:val="26"/>
          <w:lang w:val="lt-LT"/>
        </w:rPr>
        <w:t>. Todėl</w:t>
      </w:r>
      <w:r w:rsidR="00B32E79" w:rsidRPr="0027771F">
        <w:rPr>
          <w:sz w:val="26"/>
          <w:szCs w:val="26"/>
          <w:lang w:val="lt-LT"/>
        </w:rPr>
        <w:t xml:space="preserve"> į </w:t>
      </w:r>
      <w:r w:rsidR="00516D6F" w:rsidRPr="0027771F">
        <w:rPr>
          <w:sz w:val="26"/>
          <w:szCs w:val="26"/>
          <w:lang w:val="lt-LT"/>
        </w:rPr>
        <w:t>pastarąsias</w:t>
      </w:r>
      <w:r w:rsidR="00B32E79" w:rsidRPr="0027771F">
        <w:rPr>
          <w:sz w:val="26"/>
          <w:szCs w:val="26"/>
          <w:lang w:val="lt-LT"/>
        </w:rPr>
        <w:t xml:space="preserve"> rizikas </w:t>
      </w:r>
      <w:r w:rsidR="005E0737">
        <w:rPr>
          <w:sz w:val="26"/>
          <w:szCs w:val="26"/>
          <w:lang w:val="lt-LT"/>
        </w:rPr>
        <w:t xml:space="preserve">būtina </w:t>
      </w:r>
      <w:r w:rsidR="00B32E79" w:rsidRPr="0027771F">
        <w:rPr>
          <w:sz w:val="26"/>
          <w:szCs w:val="26"/>
          <w:lang w:val="lt-LT"/>
        </w:rPr>
        <w:t>atsižvelgti atliekant susijusios reikšmingo iškraipymo rizikos tvirtinimo lygmeniu vertinimą.</w:t>
      </w:r>
    </w:p>
    <w:p w:rsidR="00623B76" w:rsidRPr="0027771F" w:rsidRDefault="0040289E" w:rsidP="00623B76">
      <w:pPr>
        <w:pStyle w:val="NormalWeb"/>
        <w:spacing w:before="0" w:beforeAutospacing="0" w:after="0" w:afterAutospacing="0" w:line="360" w:lineRule="auto"/>
        <w:ind w:firstLine="720"/>
        <w:jc w:val="both"/>
        <w:rPr>
          <w:sz w:val="26"/>
          <w:szCs w:val="26"/>
          <w:lang w:val="lt-LT"/>
        </w:rPr>
      </w:pPr>
      <w:r w:rsidRPr="0027771F">
        <w:rPr>
          <w:sz w:val="26"/>
          <w:szCs w:val="26"/>
          <w:lang w:val="lt-LT"/>
        </w:rPr>
        <w:t xml:space="preserve">Kadangi finansinių ataskaitų </w:t>
      </w:r>
      <w:r w:rsidR="00223ACB" w:rsidRPr="0027771F">
        <w:rPr>
          <w:sz w:val="26"/>
          <w:szCs w:val="26"/>
          <w:lang w:val="lt-LT"/>
        </w:rPr>
        <w:t>elementų/jų tvirtinimų pobūdžio analizės pagrindas yra toleruotinos klaidos dydis</w:t>
      </w:r>
      <w:r w:rsidRPr="0027771F">
        <w:rPr>
          <w:sz w:val="26"/>
          <w:szCs w:val="26"/>
          <w:lang w:val="lt-LT"/>
        </w:rPr>
        <w:t xml:space="preserve">, tai </w:t>
      </w:r>
      <w:r w:rsidR="00223ACB" w:rsidRPr="0027771F">
        <w:rPr>
          <w:sz w:val="26"/>
          <w:szCs w:val="26"/>
          <w:lang w:val="lt-LT"/>
        </w:rPr>
        <w:t>UAB „</w:t>
      </w:r>
      <w:r w:rsidR="00DB6E2E" w:rsidRPr="0027771F">
        <w:rPr>
          <w:sz w:val="26"/>
          <w:szCs w:val="26"/>
          <w:lang w:val="lt-LT"/>
        </w:rPr>
        <w:t>Žuvila</w:t>
      </w:r>
      <w:r w:rsidR="00223ACB" w:rsidRPr="0027771F">
        <w:rPr>
          <w:sz w:val="26"/>
          <w:szCs w:val="26"/>
          <w:lang w:val="lt-LT"/>
        </w:rPr>
        <w:t xml:space="preserve">“ 2008 m. finansinių ataskaitų </w:t>
      </w:r>
      <w:r w:rsidRPr="0027771F">
        <w:rPr>
          <w:sz w:val="26"/>
          <w:szCs w:val="26"/>
          <w:lang w:val="lt-LT"/>
        </w:rPr>
        <w:t xml:space="preserve">toleruotina klaida </w:t>
      </w:r>
      <w:r w:rsidR="00FB3B3B">
        <w:rPr>
          <w:sz w:val="26"/>
          <w:szCs w:val="26"/>
          <w:lang w:val="lt-LT"/>
        </w:rPr>
        <w:t xml:space="preserve">apskaičiuota kaip </w:t>
      </w:r>
      <w:r w:rsidRPr="0027771F">
        <w:rPr>
          <w:sz w:val="26"/>
          <w:szCs w:val="26"/>
          <w:lang w:val="lt-LT"/>
        </w:rPr>
        <w:t>50</w:t>
      </w:r>
      <w:r w:rsidR="00973556">
        <w:rPr>
          <w:sz w:val="26"/>
          <w:szCs w:val="26"/>
          <w:lang w:val="lt-LT"/>
        </w:rPr>
        <w:t xml:space="preserve"> proc.</w:t>
      </w:r>
      <w:r w:rsidRPr="0027771F">
        <w:rPr>
          <w:sz w:val="26"/>
          <w:szCs w:val="26"/>
          <w:lang w:val="lt-LT"/>
        </w:rPr>
        <w:t xml:space="preserve"> nuo reikšmingumo lygio (402 tūkst. Lt*50</w:t>
      </w:r>
      <w:r w:rsidRPr="0027771F">
        <w:rPr>
          <w:sz w:val="26"/>
          <w:szCs w:val="26"/>
          <w:lang w:val="ru-RU"/>
        </w:rPr>
        <w:t>%</w:t>
      </w:r>
      <w:r w:rsidRPr="0027771F">
        <w:rPr>
          <w:sz w:val="26"/>
          <w:szCs w:val="26"/>
          <w:lang w:val="lt-LT"/>
        </w:rPr>
        <w:t xml:space="preserve"> </w:t>
      </w:r>
      <w:r w:rsidRPr="0027771F">
        <w:rPr>
          <w:sz w:val="26"/>
          <w:szCs w:val="26"/>
        </w:rPr>
        <w:t xml:space="preserve">= 201 tūkst. Lt). </w:t>
      </w:r>
      <w:r w:rsidRPr="0027771F">
        <w:rPr>
          <w:sz w:val="26"/>
          <w:szCs w:val="26"/>
          <w:lang w:val="lt-LT"/>
        </w:rPr>
        <w:t>Reikšmingum</w:t>
      </w:r>
      <w:r w:rsidR="0022272D">
        <w:rPr>
          <w:sz w:val="26"/>
          <w:szCs w:val="26"/>
          <w:lang w:val="lt-LT"/>
        </w:rPr>
        <w:t>as</w:t>
      </w:r>
      <w:r w:rsidRPr="0027771F">
        <w:rPr>
          <w:sz w:val="26"/>
          <w:szCs w:val="26"/>
          <w:lang w:val="lt-LT"/>
        </w:rPr>
        <w:t xml:space="preserve"> </w:t>
      </w:r>
      <w:r w:rsidR="00872B0D" w:rsidRPr="0027771F">
        <w:rPr>
          <w:sz w:val="26"/>
          <w:szCs w:val="26"/>
          <w:lang w:val="lt-LT"/>
        </w:rPr>
        <w:t>skaičiuot</w:t>
      </w:r>
      <w:r w:rsidR="0022272D">
        <w:rPr>
          <w:sz w:val="26"/>
          <w:szCs w:val="26"/>
          <w:lang w:val="lt-LT"/>
        </w:rPr>
        <w:t>as</w:t>
      </w:r>
      <w:r w:rsidR="00872B0D" w:rsidRPr="0027771F">
        <w:rPr>
          <w:sz w:val="26"/>
          <w:szCs w:val="26"/>
          <w:lang w:val="lt-LT"/>
        </w:rPr>
        <w:t xml:space="preserve"> </w:t>
      </w:r>
      <w:r w:rsidR="00FB3B3B">
        <w:rPr>
          <w:sz w:val="26"/>
          <w:szCs w:val="26"/>
          <w:lang w:val="lt-LT"/>
        </w:rPr>
        <w:t xml:space="preserve">kaip </w:t>
      </w:r>
      <w:r w:rsidR="00FB3B3B" w:rsidRPr="0027771F">
        <w:rPr>
          <w:sz w:val="26"/>
          <w:szCs w:val="26"/>
          <w:lang w:val="lt-LT"/>
        </w:rPr>
        <w:t>0,7</w:t>
      </w:r>
      <w:r w:rsidR="00973556">
        <w:rPr>
          <w:sz w:val="26"/>
          <w:szCs w:val="26"/>
          <w:lang w:val="lt-LT"/>
        </w:rPr>
        <w:t xml:space="preserve"> proc.</w:t>
      </w:r>
      <w:r w:rsidR="00960580">
        <w:rPr>
          <w:sz w:val="26"/>
          <w:szCs w:val="26"/>
          <w:lang w:val="lt-LT"/>
        </w:rPr>
        <w:t xml:space="preserve"> </w:t>
      </w:r>
      <w:r w:rsidR="00FB3B3B" w:rsidRPr="0027771F">
        <w:rPr>
          <w:sz w:val="26"/>
          <w:szCs w:val="26"/>
          <w:lang w:val="lt-LT"/>
        </w:rPr>
        <w:lastRenderedPageBreak/>
        <w:t>pardavimo pajamų (57</w:t>
      </w:r>
      <w:r w:rsidR="00FB3B3B">
        <w:rPr>
          <w:sz w:val="26"/>
          <w:szCs w:val="26"/>
          <w:lang w:val="lt-LT"/>
        </w:rPr>
        <w:t> </w:t>
      </w:r>
      <w:r w:rsidR="00FB3B3B" w:rsidRPr="0027771F">
        <w:rPr>
          <w:sz w:val="26"/>
          <w:szCs w:val="26"/>
          <w:lang w:val="lt-LT"/>
        </w:rPr>
        <w:t>437</w:t>
      </w:r>
      <w:r w:rsidR="00FB3B3B">
        <w:rPr>
          <w:sz w:val="26"/>
          <w:szCs w:val="26"/>
          <w:lang w:val="lt-LT"/>
        </w:rPr>
        <w:t> </w:t>
      </w:r>
      <w:r w:rsidR="00FB3B3B" w:rsidRPr="0027771F">
        <w:rPr>
          <w:sz w:val="26"/>
          <w:szCs w:val="26"/>
          <w:lang w:val="lt-LT"/>
        </w:rPr>
        <w:t>tūkst.</w:t>
      </w:r>
      <w:r w:rsidR="00FB3B3B">
        <w:rPr>
          <w:sz w:val="26"/>
          <w:szCs w:val="26"/>
          <w:lang w:val="lt-LT"/>
        </w:rPr>
        <w:t> </w:t>
      </w:r>
      <w:r w:rsidR="00FB3B3B" w:rsidRPr="0027771F">
        <w:rPr>
          <w:sz w:val="26"/>
          <w:szCs w:val="26"/>
          <w:lang w:val="lt-LT"/>
        </w:rPr>
        <w:t>Lt*0,7</w:t>
      </w:r>
      <w:r w:rsidR="00FB3B3B" w:rsidRPr="0027771F">
        <w:rPr>
          <w:sz w:val="26"/>
          <w:szCs w:val="26"/>
          <w:lang w:val="ru-RU"/>
        </w:rPr>
        <w:t>%</w:t>
      </w:r>
      <w:r w:rsidR="00FB3B3B" w:rsidRPr="0027771F">
        <w:rPr>
          <w:sz w:val="26"/>
          <w:szCs w:val="26"/>
          <w:lang w:val="lt-LT"/>
        </w:rPr>
        <w:t xml:space="preserve"> </w:t>
      </w:r>
      <w:r w:rsidR="00FB3B3B" w:rsidRPr="0027771F">
        <w:rPr>
          <w:sz w:val="26"/>
          <w:szCs w:val="26"/>
        </w:rPr>
        <w:t>= 402 tūkst. Lt),</w:t>
      </w:r>
      <w:r w:rsidR="00FB3B3B" w:rsidRPr="0027771F">
        <w:rPr>
          <w:sz w:val="26"/>
          <w:szCs w:val="26"/>
          <w:lang w:val="lt-LT"/>
        </w:rPr>
        <w:t xml:space="preserve"> o</w:t>
      </w:r>
      <w:r w:rsidR="00223ACB" w:rsidRPr="0027771F">
        <w:rPr>
          <w:sz w:val="26"/>
          <w:szCs w:val="26"/>
          <w:lang w:val="lt-LT"/>
        </w:rPr>
        <w:t xml:space="preserve"> </w:t>
      </w:r>
      <w:r w:rsidRPr="0027771F">
        <w:rPr>
          <w:sz w:val="26"/>
          <w:szCs w:val="26"/>
          <w:lang w:val="lt-LT"/>
        </w:rPr>
        <w:t>nes</w:t>
      </w:r>
      <w:r w:rsidR="00223ACB" w:rsidRPr="0027771F">
        <w:rPr>
          <w:sz w:val="26"/>
          <w:szCs w:val="26"/>
          <w:lang w:val="lt-LT"/>
        </w:rPr>
        <w:t xml:space="preserve"> </w:t>
      </w:r>
      <w:r w:rsidR="00FB3B3B">
        <w:rPr>
          <w:sz w:val="26"/>
          <w:szCs w:val="26"/>
          <w:lang w:val="lt-LT"/>
        </w:rPr>
        <w:t xml:space="preserve">šis </w:t>
      </w:r>
      <w:r w:rsidR="00B32E79" w:rsidRPr="0027771F">
        <w:rPr>
          <w:sz w:val="26"/>
          <w:szCs w:val="26"/>
          <w:lang w:val="lt-LT"/>
        </w:rPr>
        <w:t xml:space="preserve">rodiklis </w:t>
      </w:r>
      <w:r w:rsidR="00FB3B3B" w:rsidRPr="0027771F">
        <w:rPr>
          <w:sz w:val="26"/>
          <w:szCs w:val="26"/>
          <w:lang w:val="lt-LT"/>
        </w:rPr>
        <w:t xml:space="preserve">2007-2008 m. </w:t>
      </w:r>
      <w:r w:rsidR="00B32E79" w:rsidRPr="0027771F">
        <w:rPr>
          <w:sz w:val="26"/>
          <w:szCs w:val="26"/>
          <w:lang w:val="lt-LT"/>
        </w:rPr>
        <w:t>buvo kone pastovus</w:t>
      </w:r>
      <w:r w:rsidR="00FB3B3B">
        <w:rPr>
          <w:sz w:val="26"/>
          <w:szCs w:val="26"/>
          <w:lang w:val="lt-LT"/>
        </w:rPr>
        <w:t>, o</w:t>
      </w:r>
      <w:r w:rsidR="00FB3B3B" w:rsidRPr="00FB3B3B">
        <w:rPr>
          <w:sz w:val="26"/>
          <w:szCs w:val="26"/>
          <w:lang w:val="lt-LT"/>
        </w:rPr>
        <w:t xml:space="preserve"> </w:t>
      </w:r>
      <w:r w:rsidR="00FB3B3B" w:rsidRPr="0027771F">
        <w:rPr>
          <w:sz w:val="26"/>
          <w:szCs w:val="26"/>
          <w:lang w:val="lt-LT"/>
        </w:rPr>
        <w:t>gryn</w:t>
      </w:r>
      <w:r w:rsidR="00FB3B3B">
        <w:rPr>
          <w:sz w:val="26"/>
          <w:szCs w:val="26"/>
          <w:lang w:val="lt-LT"/>
        </w:rPr>
        <w:t xml:space="preserve">asis </w:t>
      </w:r>
      <w:r w:rsidR="00FB3B3B" w:rsidRPr="0027771F">
        <w:rPr>
          <w:sz w:val="26"/>
          <w:szCs w:val="26"/>
          <w:lang w:val="lt-LT"/>
        </w:rPr>
        <w:t>peln</w:t>
      </w:r>
      <w:r w:rsidR="00FB3B3B">
        <w:rPr>
          <w:sz w:val="26"/>
          <w:szCs w:val="26"/>
          <w:lang w:val="lt-LT"/>
        </w:rPr>
        <w:t>as</w:t>
      </w:r>
      <w:r w:rsidR="00FB3B3B" w:rsidRPr="0027771F">
        <w:rPr>
          <w:sz w:val="26"/>
          <w:szCs w:val="26"/>
          <w:lang w:val="lt-LT"/>
        </w:rPr>
        <w:t xml:space="preserve"> </w:t>
      </w:r>
      <w:r w:rsidR="00FB3B3B">
        <w:rPr>
          <w:sz w:val="26"/>
          <w:szCs w:val="26"/>
          <w:lang w:val="lt-LT"/>
        </w:rPr>
        <w:t>gan žymiai svyravo</w:t>
      </w:r>
      <w:r w:rsidRPr="0027771F">
        <w:rPr>
          <w:sz w:val="26"/>
          <w:szCs w:val="26"/>
          <w:lang w:val="lt-LT"/>
        </w:rPr>
        <w:t>.</w:t>
      </w:r>
      <w:r w:rsidR="00223ACB" w:rsidRPr="0027771F">
        <w:rPr>
          <w:sz w:val="26"/>
          <w:szCs w:val="26"/>
          <w:lang w:val="lt-LT"/>
        </w:rPr>
        <w:t xml:space="preserve"> </w:t>
      </w:r>
    </w:p>
    <w:p w:rsidR="00223ACB" w:rsidRPr="0027771F" w:rsidRDefault="00473ADA" w:rsidP="0022272D">
      <w:pPr>
        <w:ind w:firstLine="720"/>
        <w:jc w:val="right"/>
        <w:rPr>
          <w:i/>
          <w:sz w:val="26"/>
          <w:szCs w:val="26"/>
          <w:lang w:val="lt-LT"/>
        </w:rPr>
      </w:pPr>
      <w:r w:rsidRPr="0027771F">
        <w:rPr>
          <w:i/>
          <w:sz w:val="26"/>
          <w:szCs w:val="26"/>
          <w:lang w:val="lt-LT"/>
        </w:rPr>
        <w:t>3</w:t>
      </w:r>
      <w:r w:rsidR="00036530">
        <w:rPr>
          <w:i/>
          <w:sz w:val="26"/>
          <w:szCs w:val="26"/>
          <w:lang w:val="lt-LT"/>
        </w:rPr>
        <w:t>3</w:t>
      </w:r>
      <w:r w:rsidR="00223ACB" w:rsidRPr="0027771F">
        <w:rPr>
          <w:i/>
          <w:sz w:val="26"/>
          <w:szCs w:val="26"/>
          <w:lang w:val="lt-LT"/>
        </w:rPr>
        <w:t xml:space="preserve"> lentelė</w:t>
      </w:r>
    </w:p>
    <w:p w:rsidR="00223ACB" w:rsidRPr="00976BFA" w:rsidRDefault="00223ACB" w:rsidP="0022272D">
      <w:pPr>
        <w:tabs>
          <w:tab w:val="left" w:pos="567"/>
        </w:tabs>
        <w:jc w:val="center"/>
        <w:rPr>
          <w:b/>
          <w:sz w:val="24"/>
          <w:lang w:val="lt-LT"/>
        </w:rPr>
      </w:pPr>
      <w:r w:rsidRPr="0027771F">
        <w:rPr>
          <w:b/>
          <w:sz w:val="26"/>
          <w:szCs w:val="26"/>
          <w:lang w:val="lt-LT"/>
        </w:rPr>
        <w:t>UAB „</w:t>
      </w:r>
      <w:r w:rsidR="00872B0D" w:rsidRPr="0027771F">
        <w:rPr>
          <w:b/>
          <w:sz w:val="26"/>
          <w:szCs w:val="26"/>
          <w:lang w:val="lt-LT"/>
        </w:rPr>
        <w:t>Žuvila“</w:t>
      </w:r>
      <w:r w:rsidRPr="0027771F">
        <w:rPr>
          <w:b/>
          <w:sz w:val="26"/>
          <w:szCs w:val="26"/>
          <w:lang w:val="lt-LT"/>
        </w:rPr>
        <w:t xml:space="preserve"> 2008-12-31 d. balanso turto dalies elementų svarbos vertinimas, tūkst. Lt</w:t>
      </w:r>
    </w:p>
    <w:tbl>
      <w:tblPr>
        <w:tblW w:w="8227" w:type="dxa"/>
        <w:tblInd w:w="103" w:type="dxa"/>
        <w:tblLayout w:type="fixed"/>
        <w:tblLook w:val="04A0"/>
      </w:tblPr>
      <w:tblGrid>
        <w:gridCol w:w="572"/>
        <w:gridCol w:w="2694"/>
        <w:gridCol w:w="850"/>
        <w:gridCol w:w="851"/>
        <w:gridCol w:w="2551"/>
        <w:gridCol w:w="709"/>
      </w:tblGrid>
      <w:tr w:rsidR="00223ACB" w:rsidRPr="00976BFA" w:rsidTr="0022272D">
        <w:trPr>
          <w:cantSplit/>
          <w:trHeight w:val="1134"/>
        </w:trPr>
        <w:tc>
          <w:tcPr>
            <w:tcW w:w="572" w:type="dxa"/>
            <w:tcBorders>
              <w:top w:val="single" w:sz="4" w:space="0" w:color="auto"/>
              <w:left w:val="single" w:sz="4" w:space="0" w:color="auto"/>
              <w:bottom w:val="single" w:sz="4" w:space="0" w:color="auto"/>
              <w:right w:val="single" w:sz="4" w:space="0" w:color="auto"/>
            </w:tcBorders>
            <w:shd w:val="clear" w:color="000000" w:fill="A5A5A5"/>
            <w:hideMark/>
          </w:tcPr>
          <w:p w:rsidR="00223ACB" w:rsidRPr="00976BFA" w:rsidRDefault="00223ACB" w:rsidP="004634E5">
            <w:pPr>
              <w:rPr>
                <w:lang w:val="lt-LT"/>
              </w:rPr>
            </w:pPr>
            <w:r w:rsidRPr="00976BFA">
              <w:rPr>
                <w:lang w:val="lt-LT"/>
              </w:rPr>
              <w:t> </w:t>
            </w:r>
          </w:p>
        </w:tc>
        <w:tc>
          <w:tcPr>
            <w:tcW w:w="2694" w:type="dxa"/>
            <w:tcBorders>
              <w:top w:val="single" w:sz="4" w:space="0" w:color="auto"/>
              <w:left w:val="nil"/>
              <w:bottom w:val="single" w:sz="4" w:space="0" w:color="auto"/>
              <w:right w:val="single" w:sz="4" w:space="0" w:color="auto"/>
            </w:tcBorders>
            <w:shd w:val="clear" w:color="000000" w:fill="A5A5A5"/>
            <w:vAlign w:val="center"/>
            <w:hideMark/>
          </w:tcPr>
          <w:p w:rsidR="00223ACB" w:rsidRPr="000C044F" w:rsidRDefault="00223ACB" w:rsidP="004634E5">
            <w:pPr>
              <w:jc w:val="center"/>
              <w:rPr>
                <w:b/>
                <w:sz w:val="18"/>
                <w:szCs w:val="18"/>
                <w:lang w:val="lt-LT"/>
              </w:rPr>
            </w:pPr>
            <w:r w:rsidRPr="000C044F">
              <w:rPr>
                <w:b/>
                <w:sz w:val="18"/>
                <w:szCs w:val="18"/>
                <w:lang w:val="lt-LT"/>
              </w:rPr>
              <w:t>Elementas</w:t>
            </w:r>
          </w:p>
        </w:tc>
        <w:tc>
          <w:tcPr>
            <w:tcW w:w="850" w:type="dxa"/>
            <w:tcBorders>
              <w:top w:val="single" w:sz="4" w:space="0" w:color="auto"/>
              <w:left w:val="nil"/>
              <w:bottom w:val="single" w:sz="4" w:space="0" w:color="auto"/>
              <w:right w:val="single" w:sz="4" w:space="0" w:color="auto"/>
            </w:tcBorders>
            <w:shd w:val="clear" w:color="000000" w:fill="A5A5A5"/>
            <w:textDirection w:val="btLr"/>
            <w:vAlign w:val="center"/>
            <w:hideMark/>
          </w:tcPr>
          <w:p w:rsidR="00223ACB" w:rsidRPr="000C044F" w:rsidRDefault="00223ACB" w:rsidP="0027771F">
            <w:pPr>
              <w:ind w:left="113" w:right="113"/>
              <w:jc w:val="center"/>
              <w:rPr>
                <w:b/>
                <w:bCs/>
                <w:sz w:val="18"/>
                <w:szCs w:val="18"/>
                <w:lang w:val="lt-LT"/>
              </w:rPr>
            </w:pPr>
            <w:r w:rsidRPr="000C044F">
              <w:rPr>
                <w:b/>
                <w:bCs/>
                <w:sz w:val="18"/>
                <w:szCs w:val="18"/>
                <w:lang w:val="lt-LT"/>
              </w:rPr>
              <w:t>2008.12.31</w:t>
            </w:r>
          </w:p>
        </w:tc>
        <w:tc>
          <w:tcPr>
            <w:tcW w:w="851" w:type="dxa"/>
            <w:tcBorders>
              <w:top w:val="single" w:sz="4" w:space="0" w:color="auto"/>
              <w:left w:val="nil"/>
              <w:bottom w:val="single" w:sz="4" w:space="0" w:color="auto"/>
              <w:right w:val="single" w:sz="4" w:space="0" w:color="auto"/>
            </w:tcBorders>
            <w:shd w:val="clear" w:color="000000" w:fill="A5A5A5"/>
            <w:textDirection w:val="btLr"/>
            <w:vAlign w:val="center"/>
            <w:hideMark/>
          </w:tcPr>
          <w:p w:rsidR="00223ACB" w:rsidRPr="000C044F" w:rsidRDefault="00223ACB" w:rsidP="0027771F">
            <w:pPr>
              <w:ind w:left="113" w:right="113"/>
              <w:jc w:val="center"/>
              <w:rPr>
                <w:b/>
                <w:bCs/>
                <w:sz w:val="18"/>
                <w:szCs w:val="18"/>
                <w:lang w:val="lt-LT"/>
              </w:rPr>
            </w:pPr>
            <w:r w:rsidRPr="000C044F">
              <w:rPr>
                <w:b/>
                <w:bCs/>
                <w:sz w:val="18"/>
                <w:szCs w:val="18"/>
                <w:lang w:val="lt-LT"/>
              </w:rPr>
              <w:t>2007.12.31</w:t>
            </w:r>
          </w:p>
        </w:tc>
        <w:tc>
          <w:tcPr>
            <w:tcW w:w="2551" w:type="dxa"/>
            <w:tcBorders>
              <w:top w:val="single" w:sz="4" w:space="0" w:color="auto"/>
              <w:left w:val="nil"/>
              <w:bottom w:val="single" w:sz="4" w:space="0" w:color="auto"/>
              <w:right w:val="single" w:sz="4" w:space="0" w:color="auto"/>
            </w:tcBorders>
            <w:shd w:val="clear" w:color="000000" w:fill="A5A5A5"/>
            <w:noWrap/>
            <w:vAlign w:val="center"/>
            <w:hideMark/>
          </w:tcPr>
          <w:p w:rsidR="00223ACB" w:rsidRPr="000C044F" w:rsidRDefault="00223ACB" w:rsidP="004634E5">
            <w:pPr>
              <w:jc w:val="center"/>
              <w:rPr>
                <w:b/>
                <w:bCs/>
                <w:sz w:val="18"/>
                <w:szCs w:val="18"/>
                <w:lang w:val="lt-LT"/>
              </w:rPr>
            </w:pPr>
            <w:r w:rsidRPr="000C044F">
              <w:rPr>
                <w:b/>
                <w:bCs/>
                <w:sz w:val="18"/>
                <w:szCs w:val="18"/>
                <w:lang w:val="lt-LT"/>
              </w:rPr>
              <w:t>Svarbos vertinimas (įmonės procesas)</w:t>
            </w:r>
          </w:p>
        </w:tc>
        <w:tc>
          <w:tcPr>
            <w:tcW w:w="709" w:type="dxa"/>
            <w:tcBorders>
              <w:top w:val="single" w:sz="4" w:space="0" w:color="auto"/>
              <w:left w:val="nil"/>
              <w:bottom w:val="single" w:sz="4" w:space="0" w:color="auto"/>
              <w:right w:val="single" w:sz="4" w:space="0" w:color="auto"/>
            </w:tcBorders>
            <w:shd w:val="clear" w:color="000000" w:fill="A5A5A5"/>
            <w:textDirection w:val="btLr"/>
            <w:vAlign w:val="center"/>
          </w:tcPr>
          <w:p w:rsidR="00223ACB" w:rsidRPr="000C044F" w:rsidRDefault="00223ACB" w:rsidP="0027771F">
            <w:pPr>
              <w:ind w:left="113" w:right="113"/>
              <w:jc w:val="center"/>
              <w:rPr>
                <w:b/>
                <w:bCs/>
                <w:sz w:val="18"/>
                <w:szCs w:val="18"/>
                <w:lang w:val="lt-LT"/>
              </w:rPr>
            </w:pPr>
            <w:r w:rsidRPr="000C044F">
              <w:rPr>
                <w:b/>
                <w:bCs/>
                <w:sz w:val="18"/>
                <w:szCs w:val="18"/>
                <w:lang w:val="lt-LT"/>
              </w:rPr>
              <w:t>Susijęs tvirtinimas</w:t>
            </w:r>
          </w:p>
        </w:tc>
      </w:tr>
      <w:tr w:rsidR="00223ACB"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223ACB" w:rsidRPr="00976BFA" w:rsidRDefault="00223ACB" w:rsidP="004634E5">
            <w:pPr>
              <w:jc w:val="center"/>
              <w:rPr>
                <w:b/>
                <w:bCs/>
                <w:lang w:val="lt-LT"/>
              </w:rPr>
            </w:pPr>
            <w:r w:rsidRPr="00976BFA">
              <w:rPr>
                <w:b/>
                <w:bCs/>
                <w:lang w:val="lt-LT"/>
              </w:rPr>
              <w:t>A.</w:t>
            </w:r>
          </w:p>
        </w:tc>
        <w:tc>
          <w:tcPr>
            <w:tcW w:w="2694" w:type="dxa"/>
            <w:tcBorders>
              <w:top w:val="nil"/>
              <w:left w:val="nil"/>
              <w:bottom w:val="single" w:sz="4" w:space="0" w:color="auto"/>
              <w:right w:val="single" w:sz="4" w:space="0" w:color="auto"/>
            </w:tcBorders>
            <w:shd w:val="clear" w:color="auto" w:fill="auto"/>
            <w:hideMark/>
          </w:tcPr>
          <w:p w:rsidR="00223ACB" w:rsidRPr="000C044F" w:rsidRDefault="00223ACB" w:rsidP="00594CF5">
            <w:pPr>
              <w:rPr>
                <w:b/>
                <w:bCs/>
                <w:sz w:val="18"/>
                <w:szCs w:val="18"/>
                <w:lang w:val="lt-LT"/>
              </w:rPr>
            </w:pPr>
            <w:r w:rsidRPr="000C044F">
              <w:rPr>
                <w:b/>
                <w:bCs/>
                <w:sz w:val="18"/>
                <w:szCs w:val="18"/>
                <w:lang w:val="lt-LT"/>
              </w:rPr>
              <w:t>ILGALAIKIS TURTAS</w:t>
            </w:r>
          </w:p>
        </w:tc>
        <w:tc>
          <w:tcPr>
            <w:tcW w:w="850" w:type="dxa"/>
            <w:tcBorders>
              <w:top w:val="nil"/>
              <w:left w:val="nil"/>
              <w:bottom w:val="single" w:sz="4" w:space="0" w:color="auto"/>
              <w:right w:val="single" w:sz="4" w:space="0" w:color="auto"/>
            </w:tcBorders>
            <w:shd w:val="clear" w:color="auto" w:fill="auto"/>
            <w:noWrap/>
            <w:vAlign w:val="bottom"/>
            <w:hideMark/>
          </w:tcPr>
          <w:p w:rsidR="00223ACB" w:rsidRPr="00976BFA" w:rsidRDefault="00872B0D" w:rsidP="004634E5">
            <w:pPr>
              <w:jc w:val="right"/>
              <w:rPr>
                <w:b/>
                <w:bCs/>
                <w:lang w:val="lt-LT"/>
              </w:rPr>
            </w:pPr>
            <w:r w:rsidRPr="00976BFA">
              <w:rPr>
                <w:b/>
                <w:bCs/>
                <w:lang w:val="lt-LT"/>
              </w:rPr>
              <w:t>9</w:t>
            </w:r>
            <w:r w:rsidR="00884A1E">
              <w:rPr>
                <w:b/>
                <w:bCs/>
                <w:lang w:val="lt-LT"/>
              </w:rPr>
              <w:t xml:space="preserve"> </w:t>
            </w:r>
            <w:r w:rsidRPr="00976BFA">
              <w:rPr>
                <w:b/>
                <w:bCs/>
                <w:lang w:val="lt-LT"/>
              </w:rPr>
              <w:t>819</w:t>
            </w:r>
          </w:p>
        </w:tc>
        <w:tc>
          <w:tcPr>
            <w:tcW w:w="851" w:type="dxa"/>
            <w:tcBorders>
              <w:top w:val="nil"/>
              <w:left w:val="nil"/>
              <w:bottom w:val="single" w:sz="4" w:space="0" w:color="auto"/>
              <w:right w:val="single" w:sz="4" w:space="0" w:color="auto"/>
            </w:tcBorders>
            <w:shd w:val="clear" w:color="auto" w:fill="auto"/>
            <w:noWrap/>
            <w:vAlign w:val="bottom"/>
            <w:hideMark/>
          </w:tcPr>
          <w:p w:rsidR="00223ACB" w:rsidRPr="00976BFA" w:rsidRDefault="00872B0D" w:rsidP="004634E5">
            <w:pPr>
              <w:jc w:val="right"/>
              <w:rPr>
                <w:b/>
                <w:bCs/>
                <w:lang w:val="lt-LT"/>
              </w:rPr>
            </w:pPr>
            <w:r w:rsidRPr="00976BFA">
              <w:rPr>
                <w:b/>
                <w:bCs/>
                <w:lang w:val="lt-LT"/>
              </w:rPr>
              <w:t>9</w:t>
            </w:r>
            <w:r w:rsidR="00884A1E">
              <w:rPr>
                <w:b/>
                <w:bCs/>
                <w:lang w:val="lt-LT"/>
              </w:rPr>
              <w:t xml:space="preserve"> </w:t>
            </w:r>
            <w:r w:rsidRPr="00976BFA">
              <w:rPr>
                <w:b/>
                <w:bCs/>
                <w:lang w:val="lt-LT"/>
              </w:rPr>
              <w:t>314</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23ACB" w:rsidRPr="00976BFA" w:rsidRDefault="00223ACB" w:rsidP="004634E5">
            <w:pPr>
              <w:rPr>
                <w:highlight w:val="lightGray"/>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223ACB" w:rsidRPr="00976BFA" w:rsidRDefault="00223ACB" w:rsidP="004634E5">
            <w:pPr>
              <w:rPr>
                <w:highlight w:val="lightGray"/>
                <w:lang w:val="lt-LT"/>
              </w:rPr>
            </w:pPr>
          </w:p>
        </w:tc>
      </w:tr>
      <w:tr w:rsidR="00223ACB" w:rsidRPr="00976BFA" w:rsidTr="0022272D">
        <w:trPr>
          <w:trHeight w:val="190"/>
        </w:trPr>
        <w:tc>
          <w:tcPr>
            <w:tcW w:w="572" w:type="dxa"/>
            <w:tcBorders>
              <w:top w:val="nil"/>
              <w:left w:val="single" w:sz="4" w:space="0" w:color="auto"/>
              <w:bottom w:val="single" w:sz="4" w:space="0" w:color="auto"/>
              <w:right w:val="single" w:sz="4" w:space="0" w:color="auto"/>
            </w:tcBorders>
            <w:shd w:val="clear" w:color="auto" w:fill="auto"/>
            <w:hideMark/>
          </w:tcPr>
          <w:p w:rsidR="00223ACB" w:rsidRPr="00976BFA" w:rsidRDefault="00223ACB" w:rsidP="004634E5">
            <w:pPr>
              <w:jc w:val="center"/>
              <w:rPr>
                <w:b/>
                <w:bCs/>
                <w:lang w:val="lt-LT"/>
              </w:rPr>
            </w:pPr>
            <w:r w:rsidRPr="00976BFA">
              <w:rPr>
                <w:b/>
                <w:bCs/>
                <w:lang w:val="lt-LT"/>
              </w:rPr>
              <w:t>I.</w:t>
            </w:r>
          </w:p>
        </w:tc>
        <w:tc>
          <w:tcPr>
            <w:tcW w:w="2694" w:type="dxa"/>
            <w:tcBorders>
              <w:top w:val="nil"/>
              <w:left w:val="nil"/>
              <w:bottom w:val="single" w:sz="4" w:space="0" w:color="auto"/>
              <w:right w:val="single" w:sz="4" w:space="0" w:color="auto"/>
            </w:tcBorders>
            <w:shd w:val="clear" w:color="auto" w:fill="auto"/>
            <w:hideMark/>
          </w:tcPr>
          <w:p w:rsidR="00223ACB" w:rsidRPr="000C044F" w:rsidRDefault="00223ACB" w:rsidP="00594CF5">
            <w:pPr>
              <w:rPr>
                <w:b/>
                <w:bCs/>
                <w:sz w:val="18"/>
                <w:szCs w:val="18"/>
                <w:lang w:val="lt-LT"/>
              </w:rPr>
            </w:pPr>
            <w:r w:rsidRPr="000C044F">
              <w:rPr>
                <w:b/>
                <w:bCs/>
                <w:sz w:val="18"/>
                <w:szCs w:val="18"/>
                <w:lang w:val="lt-LT"/>
              </w:rPr>
              <w:t>NEMATERIALUSIS TURTAS</w:t>
            </w:r>
          </w:p>
        </w:tc>
        <w:tc>
          <w:tcPr>
            <w:tcW w:w="850" w:type="dxa"/>
            <w:tcBorders>
              <w:top w:val="nil"/>
              <w:left w:val="nil"/>
              <w:bottom w:val="single" w:sz="4" w:space="0" w:color="auto"/>
              <w:right w:val="single" w:sz="4" w:space="0" w:color="auto"/>
            </w:tcBorders>
            <w:shd w:val="clear" w:color="auto" w:fill="auto"/>
            <w:noWrap/>
            <w:vAlign w:val="bottom"/>
            <w:hideMark/>
          </w:tcPr>
          <w:p w:rsidR="00223ACB" w:rsidRPr="00976BFA" w:rsidRDefault="00872B0D" w:rsidP="004634E5">
            <w:pPr>
              <w:jc w:val="right"/>
              <w:rPr>
                <w:b/>
                <w:bCs/>
                <w:lang w:val="lt-LT"/>
              </w:rPr>
            </w:pPr>
            <w:r w:rsidRPr="00976BFA">
              <w:rPr>
                <w:b/>
                <w:bCs/>
                <w:lang w:val="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223ACB" w:rsidRPr="00976BFA" w:rsidRDefault="00872B0D" w:rsidP="004634E5">
            <w:pPr>
              <w:jc w:val="right"/>
              <w:rPr>
                <w:b/>
                <w:bCs/>
                <w:lang w:val="lt-LT"/>
              </w:rPr>
            </w:pPr>
            <w:r w:rsidRPr="00976BFA">
              <w:rPr>
                <w:b/>
                <w:bCs/>
                <w:lang w:val="lt-LT"/>
              </w:rPr>
              <w:t>0</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23ACB" w:rsidRPr="00976BFA" w:rsidRDefault="00223ACB" w:rsidP="004634E5">
            <w:pPr>
              <w:rPr>
                <w:highlight w:val="lightGray"/>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223ACB" w:rsidRPr="00976BFA" w:rsidRDefault="00223ACB" w:rsidP="004634E5">
            <w:pPr>
              <w:rPr>
                <w:highlight w:val="lightGray"/>
                <w:lang w:val="lt-LT"/>
              </w:rPr>
            </w:pPr>
          </w:p>
        </w:tc>
      </w:tr>
      <w:tr w:rsidR="00223ACB"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223ACB" w:rsidRPr="00976BFA" w:rsidRDefault="00223ACB" w:rsidP="004634E5">
            <w:pPr>
              <w:jc w:val="center"/>
              <w:rPr>
                <w:b/>
                <w:bCs/>
                <w:lang w:val="lt-LT"/>
              </w:rPr>
            </w:pPr>
            <w:r w:rsidRPr="00976BFA">
              <w:rPr>
                <w:b/>
                <w:bCs/>
                <w:lang w:val="lt-LT"/>
              </w:rPr>
              <w:t>II.</w:t>
            </w:r>
          </w:p>
        </w:tc>
        <w:tc>
          <w:tcPr>
            <w:tcW w:w="2694" w:type="dxa"/>
            <w:tcBorders>
              <w:top w:val="nil"/>
              <w:left w:val="nil"/>
              <w:bottom w:val="single" w:sz="4" w:space="0" w:color="auto"/>
              <w:right w:val="single" w:sz="4" w:space="0" w:color="auto"/>
            </w:tcBorders>
            <w:shd w:val="clear" w:color="auto" w:fill="auto"/>
            <w:hideMark/>
          </w:tcPr>
          <w:p w:rsidR="00223ACB" w:rsidRPr="000C044F" w:rsidRDefault="00223ACB" w:rsidP="00594CF5">
            <w:pPr>
              <w:rPr>
                <w:b/>
                <w:bCs/>
                <w:sz w:val="18"/>
                <w:szCs w:val="18"/>
                <w:lang w:val="lt-LT"/>
              </w:rPr>
            </w:pPr>
            <w:r w:rsidRPr="000C044F">
              <w:rPr>
                <w:b/>
                <w:bCs/>
                <w:sz w:val="18"/>
                <w:szCs w:val="18"/>
                <w:lang w:val="lt-LT"/>
              </w:rPr>
              <w:t>MATERIALUSIS TURTAS</w:t>
            </w:r>
          </w:p>
        </w:tc>
        <w:tc>
          <w:tcPr>
            <w:tcW w:w="850" w:type="dxa"/>
            <w:tcBorders>
              <w:top w:val="nil"/>
              <w:left w:val="nil"/>
              <w:bottom w:val="single" w:sz="4" w:space="0" w:color="auto"/>
              <w:right w:val="single" w:sz="4" w:space="0" w:color="auto"/>
            </w:tcBorders>
            <w:shd w:val="clear" w:color="auto" w:fill="auto"/>
            <w:noWrap/>
            <w:vAlign w:val="bottom"/>
            <w:hideMark/>
          </w:tcPr>
          <w:p w:rsidR="00223ACB" w:rsidRPr="00976BFA" w:rsidRDefault="00872B0D" w:rsidP="004634E5">
            <w:pPr>
              <w:jc w:val="right"/>
              <w:rPr>
                <w:b/>
                <w:bCs/>
                <w:lang w:val="lt-LT"/>
              </w:rPr>
            </w:pPr>
            <w:r w:rsidRPr="00976BFA">
              <w:rPr>
                <w:b/>
                <w:bCs/>
                <w:lang w:val="lt-LT"/>
              </w:rPr>
              <w:t>9</w:t>
            </w:r>
            <w:r w:rsidR="00884A1E">
              <w:rPr>
                <w:b/>
                <w:bCs/>
                <w:lang w:val="lt-LT"/>
              </w:rPr>
              <w:t xml:space="preserve"> </w:t>
            </w:r>
            <w:r w:rsidRPr="00976BFA">
              <w:rPr>
                <w:b/>
                <w:bCs/>
                <w:lang w:val="lt-LT"/>
              </w:rPr>
              <w:t>780</w:t>
            </w:r>
          </w:p>
        </w:tc>
        <w:tc>
          <w:tcPr>
            <w:tcW w:w="851" w:type="dxa"/>
            <w:tcBorders>
              <w:top w:val="nil"/>
              <w:left w:val="nil"/>
              <w:bottom w:val="single" w:sz="4" w:space="0" w:color="auto"/>
              <w:right w:val="single" w:sz="4" w:space="0" w:color="auto"/>
            </w:tcBorders>
            <w:shd w:val="clear" w:color="auto" w:fill="auto"/>
            <w:noWrap/>
            <w:vAlign w:val="bottom"/>
            <w:hideMark/>
          </w:tcPr>
          <w:p w:rsidR="00223ACB" w:rsidRPr="00976BFA" w:rsidRDefault="00872B0D" w:rsidP="004634E5">
            <w:pPr>
              <w:jc w:val="right"/>
              <w:rPr>
                <w:b/>
                <w:bCs/>
                <w:lang w:val="lt-LT"/>
              </w:rPr>
            </w:pPr>
            <w:r w:rsidRPr="00976BFA">
              <w:rPr>
                <w:b/>
                <w:bCs/>
                <w:lang w:val="lt-LT"/>
              </w:rPr>
              <w:t>9</w:t>
            </w:r>
            <w:r w:rsidR="00884A1E">
              <w:rPr>
                <w:b/>
                <w:bCs/>
                <w:lang w:val="lt-LT"/>
              </w:rPr>
              <w:t xml:space="preserve"> </w:t>
            </w:r>
            <w:r w:rsidRPr="00976BFA">
              <w:rPr>
                <w:b/>
                <w:bCs/>
                <w:lang w:val="lt-LT"/>
              </w:rPr>
              <w:t>232</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23ACB" w:rsidRPr="00976BFA" w:rsidRDefault="00223ACB" w:rsidP="004634E5">
            <w:pPr>
              <w:rPr>
                <w:highlight w:val="lightGray"/>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223ACB" w:rsidRPr="00976BFA" w:rsidRDefault="00223ACB" w:rsidP="004634E5">
            <w:pPr>
              <w:rPr>
                <w:highlight w:val="lightGray"/>
                <w:lang w:val="lt-LT"/>
              </w:rPr>
            </w:pPr>
          </w:p>
        </w:tc>
      </w:tr>
      <w:tr w:rsidR="00B4365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lang w:val="lt-LT"/>
              </w:rPr>
            </w:pPr>
            <w:r w:rsidRPr="00976BFA">
              <w:rPr>
                <w:lang w:val="lt-LT"/>
              </w:rPr>
              <w:t>II.1.</w:t>
            </w:r>
          </w:p>
        </w:tc>
        <w:tc>
          <w:tcPr>
            <w:tcW w:w="2694" w:type="dxa"/>
            <w:tcBorders>
              <w:top w:val="nil"/>
              <w:left w:val="nil"/>
              <w:bottom w:val="single" w:sz="4" w:space="0" w:color="auto"/>
              <w:right w:val="single" w:sz="4" w:space="0" w:color="auto"/>
            </w:tcBorders>
            <w:shd w:val="clear" w:color="auto" w:fill="auto"/>
            <w:hideMark/>
          </w:tcPr>
          <w:p w:rsidR="00B4365D" w:rsidRPr="00976BFA" w:rsidRDefault="00B4365D" w:rsidP="00594CF5">
            <w:pPr>
              <w:rPr>
                <w:lang w:val="lt-LT"/>
              </w:rPr>
            </w:pPr>
            <w:r w:rsidRPr="00976BFA">
              <w:rPr>
                <w:lang w:val="lt-LT"/>
              </w:rPr>
              <w:t>Žemė</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886</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886</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4365D" w:rsidRPr="00976BFA" w:rsidRDefault="00D767DB" w:rsidP="00D767DB">
            <w:pPr>
              <w:rPr>
                <w:lang w:val="lt-LT"/>
              </w:rPr>
            </w:pPr>
            <w:r>
              <w:rPr>
                <w:lang w:val="lt-LT"/>
              </w:rPr>
              <w:t>Nors ir viršija</w:t>
            </w:r>
            <w:r w:rsidR="00550970">
              <w:rPr>
                <w:lang w:val="lt-LT"/>
              </w:rPr>
              <w:t xml:space="preserve">, tačiau </w:t>
            </w:r>
            <w:r w:rsidR="00B4365D" w:rsidRPr="00976BFA">
              <w:rPr>
                <w:lang w:val="lt-LT"/>
              </w:rPr>
              <w:t>nedaug  ir nesudėtingos ūk. operacijos</w:t>
            </w:r>
          </w:p>
        </w:tc>
        <w:tc>
          <w:tcPr>
            <w:tcW w:w="709" w:type="dxa"/>
            <w:tcBorders>
              <w:top w:val="single" w:sz="4" w:space="0" w:color="auto"/>
              <w:left w:val="nil"/>
              <w:bottom w:val="single" w:sz="4" w:space="0" w:color="auto"/>
              <w:right w:val="single" w:sz="4" w:space="0" w:color="auto"/>
            </w:tcBorders>
            <w:shd w:val="clear" w:color="auto" w:fill="auto"/>
            <w:vAlign w:val="bottom"/>
          </w:tcPr>
          <w:p w:rsidR="00B4365D" w:rsidRPr="00976BFA" w:rsidRDefault="00B4365D" w:rsidP="00594CF5">
            <w:pPr>
              <w:jc w:val="center"/>
              <w:rPr>
                <w:lang w:val="lt-LT"/>
              </w:rPr>
            </w:pPr>
            <w:r w:rsidRPr="00976BFA">
              <w:rPr>
                <w:lang w:val="lt-LT"/>
              </w:rPr>
              <w:t>X</w:t>
            </w:r>
          </w:p>
        </w:tc>
      </w:tr>
      <w:tr w:rsidR="00872B0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872B0D" w:rsidRPr="00976BFA" w:rsidRDefault="00872B0D" w:rsidP="004634E5">
            <w:pPr>
              <w:jc w:val="center"/>
              <w:rPr>
                <w:lang w:val="lt-LT"/>
              </w:rPr>
            </w:pPr>
            <w:r w:rsidRPr="00976BFA">
              <w:rPr>
                <w:lang w:val="lt-LT"/>
              </w:rPr>
              <w:t>II.2.</w:t>
            </w:r>
          </w:p>
        </w:tc>
        <w:tc>
          <w:tcPr>
            <w:tcW w:w="2694" w:type="dxa"/>
            <w:tcBorders>
              <w:top w:val="nil"/>
              <w:left w:val="nil"/>
              <w:bottom w:val="single" w:sz="4" w:space="0" w:color="auto"/>
              <w:right w:val="single" w:sz="4" w:space="0" w:color="auto"/>
            </w:tcBorders>
            <w:shd w:val="clear" w:color="auto" w:fill="auto"/>
            <w:hideMark/>
          </w:tcPr>
          <w:p w:rsidR="00872B0D" w:rsidRPr="00976BFA" w:rsidRDefault="00872B0D" w:rsidP="00594CF5">
            <w:pPr>
              <w:rPr>
                <w:lang w:val="lt-LT"/>
              </w:rPr>
            </w:pPr>
            <w:r w:rsidRPr="00976BFA">
              <w:rPr>
                <w:lang w:val="lt-LT"/>
              </w:rPr>
              <w:t>Pastatai ir statiniai</w:t>
            </w:r>
          </w:p>
        </w:tc>
        <w:tc>
          <w:tcPr>
            <w:tcW w:w="850" w:type="dxa"/>
            <w:tcBorders>
              <w:top w:val="nil"/>
              <w:left w:val="nil"/>
              <w:bottom w:val="single" w:sz="4" w:space="0" w:color="auto"/>
              <w:right w:val="single" w:sz="4" w:space="0" w:color="auto"/>
            </w:tcBorders>
            <w:shd w:val="clear" w:color="auto" w:fill="auto"/>
            <w:noWrap/>
            <w:vAlign w:val="bottom"/>
            <w:hideMark/>
          </w:tcPr>
          <w:p w:rsidR="00872B0D" w:rsidRPr="00976BFA" w:rsidRDefault="00872B0D" w:rsidP="004634E5">
            <w:pPr>
              <w:jc w:val="right"/>
              <w:rPr>
                <w:lang w:val="lt-LT"/>
              </w:rPr>
            </w:pPr>
            <w:r w:rsidRPr="00976BFA">
              <w:rPr>
                <w:lang w:val="lt-LT"/>
              </w:rPr>
              <w:t>7</w:t>
            </w:r>
            <w:r w:rsidR="00884A1E">
              <w:rPr>
                <w:lang w:val="lt-LT"/>
              </w:rPr>
              <w:t xml:space="preserve"> </w:t>
            </w:r>
            <w:r w:rsidRPr="00976BFA">
              <w:rPr>
                <w:lang w:val="lt-LT"/>
              </w:rPr>
              <w:t>032</w:t>
            </w:r>
          </w:p>
        </w:tc>
        <w:tc>
          <w:tcPr>
            <w:tcW w:w="851" w:type="dxa"/>
            <w:tcBorders>
              <w:top w:val="nil"/>
              <w:left w:val="nil"/>
              <w:bottom w:val="single" w:sz="4" w:space="0" w:color="auto"/>
              <w:right w:val="single" w:sz="4" w:space="0" w:color="auto"/>
            </w:tcBorders>
            <w:shd w:val="clear" w:color="auto" w:fill="auto"/>
            <w:noWrap/>
            <w:vAlign w:val="bottom"/>
            <w:hideMark/>
          </w:tcPr>
          <w:p w:rsidR="00872B0D" w:rsidRPr="00976BFA" w:rsidRDefault="00872B0D" w:rsidP="004634E5">
            <w:pPr>
              <w:jc w:val="right"/>
              <w:rPr>
                <w:lang w:val="lt-LT"/>
              </w:rPr>
            </w:pPr>
            <w:r w:rsidRPr="00976BFA">
              <w:rPr>
                <w:lang w:val="lt-LT"/>
              </w:rPr>
              <w:t>5</w:t>
            </w:r>
            <w:r w:rsidR="00884A1E">
              <w:rPr>
                <w:lang w:val="lt-LT"/>
              </w:rPr>
              <w:t xml:space="preserve"> </w:t>
            </w:r>
            <w:r w:rsidRPr="00976BFA">
              <w:rPr>
                <w:lang w:val="lt-LT"/>
              </w:rPr>
              <w:t>905</w:t>
            </w:r>
          </w:p>
        </w:tc>
        <w:tc>
          <w:tcPr>
            <w:tcW w:w="2551" w:type="dxa"/>
            <w:tcBorders>
              <w:top w:val="nil"/>
              <w:left w:val="nil"/>
              <w:bottom w:val="single" w:sz="4" w:space="0" w:color="auto"/>
              <w:right w:val="single" w:sz="4" w:space="0" w:color="auto"/>
            </w:tcBorders>
            <w:shd w:val="clear" w:color="auto" w:fill="auto"/>
            <w:noWrap/>
            <w:vAlign w:val="bottom"/>
            <w:hideMark/>
          </w:tcPr>
          <w:p w:rsidR="00872B0D" w:rsidRPr="00976BFA" w:rsidRDefault="00872B0D" w:rsidP="004634E5">
            <w:pPr>
              <w:rPr>
                <w:lang w:val="lt-LT"/>
              </w:rPr>
            </w:pPr>
            <w:r w:rsidRPr="00976BFA">
              <w:rPr>
                <w:lang w:val="lt-LT"/>
              </w:rPr>
              <w:t>t. p.</w:t>
            </w:r>
          </w:p>
        </w:tc>
        <w:tc>
          <w:tcPr>
            <w:tcW w:w="709" w:type="dxa"/>
            <w:tcBorders>
              <w:top w:val="nil"/>
              <w:left w:val="nil"/>
              <w:bottom w:val="single" w:sz="4" w:space="0" w:color="auto"/>
              <w:right w:val="single" w:sz="4" w:space="0" w:color="auto"/>
            </w:tcBorders>
            <w:vAlign w:val="bottom"/>
          </w:tcPr>
          <w:p w:rsidR="00872B0D" w:rsidRPr="00976BFA" w:rsidRDefault="00872B0D" w:rsidP="004634E5">
            <w:pPr>
              <w:rPr>
                <w:lang w:val="lt-LT"/>
              </w:rPr>
            </w:pPr>
            <w:r w:rsidRPr="00976BFA">
              <w:rPr>
                <w:lang w:val="lt-LT"/>
              </w:rPr>
              <w:t>t. p.</w:t>
            </w:r>
          </w:p>
        </w:tc>
      </w:tr>
      <w:tr w:rsidR="00872B0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872B0D" w:rsidRPr="00976BFA" w:rsidRDefault="00872B0D" w:rsidP="004634E5">
            <w:pPr>
              <w:jc w:val="center"/>
              <w:rPr>
                <w:lang w:val="lt-LT"/>
              </w:rPr>
            </w:pPr>
            <w:r w:rsidRPr="00976BFA">
              <w:rPr>
                <w:lang w:val="lt-LT"/>
              </w:rPr>
              <w:t>II.3.</w:t>
            </w:r>
          </w:p>
        </w:tc>
        <w:tc>
          <w:tcPr>
            <w:tcW w:w="2694" w:type="dxa"/>
            <w:tcBorders>
              <w:top w:val="nil"/>
              <w:left w:val="nil"/>
              <w:bottom w:val="single" w:sz="4" w:space="0" w:color="auto"/>
              <w:right w:val="single" w:sz="4" w:space="0" w:color="auto"/>
            </w:tcBorders>
            <w:shd w:val="clear" w:color="auto" w:fill="auto"/>
            <w:hideMark/>
          </w:tcPr>
          <w:p w:rsidR="00872B0D" w:rsidRPr="00976BFA" w:rsidRDefault="00872B0D" w:rsidP="00594CF5">
            <w:pPr>
              <w:rPr>
                <w:lang w:val="lt-LT"/>
              </w:rPr>
            </w:pPr>
            <w:r w:rsidRPr="00976BFA">
              <w:rPr>
                <w:lang w:val="lt-LT"/>
              </w:rPr>
              <w:t>Mašinos ir įrengimai</w:t>
            </w:r>
          </w:p>
        </w:tc>
        <w:tc>
          <w:tcPr>
            <w:tcW w:w="850" w:type="dxa"/>
            <w:tcBorders>
              <w:top w:val="nil"/>
              <w:left w:val="nil"/>
              <w:bottom w:val="single" w:sz="4" w:space="0" w:color="auto"/>
              <w:right w:val="single" w:sz="4" w:space="0" w:color="auto"/>
            </w:tcBorders>
            <w:shd w:val="clear" w:color="auto" w:fill="auto"/>
            <w:noWrap/>
            <w:vAlign w:val="bottom"/>
            <w:hideMark/>
          </w:tcPr>
          <w:p w:rsidR="00872B0D" w:rsidRPr="00976BFA" w:rsidRDefault="008D5E3D" w:rsidP="004634E5">
            <w:pPr>
              <w:jc w:val="right"/>
              <w:rPr>
                <w:lang w:val="lt-LT"/>
              </w:rPr>
            </w:pPr>
            <w:r w:rsidRPr="00976BFA">
              <w:rPr>
                <w:lang w:val="lt-LT"/>
              </w:rPr>
              <w:t>1</w:t>
            </w:r>
            <w:r w:rsidR="00884A1E">
              <w:rPr>
                <w:lang w:val="lt-LT"/>
              </w:rPr>
              <w:t xml:space="preserve"> </w:t>
            </w:r>
            <w:r w:rsidRPr="00976BFA">
              <w:rPr>
                <w:lang w:val="lt-LT"/>
              </w:rPr>
              <w:t>159</w:t>
            </w:r>
          </w:p>
        </w:tc>
        <w:tc>
          <w:tcPr>
            <w:tcW w:w="851" w:type="dxa"/>
            <w:tcBorders>
              <w:top w:val="nil"/>
              <w:left w:val="nil"/>
              <w:bottom w:val="single" w:sz="4" w:space="0" w:color="auto"/>
              <w:right w:val="single" w:sz="4" w:space="0" w:color="auto"/>
            </w:tcBorders>
            <w:shd w:val="clear" w:color="auto" w:fill="auto"/>
            <w:noWrap/>
            <w:vAlign w:val="bottom"/>
            <w:hideMark/>
          </w:tcPr>
          <w:p w:rsidR="00872B0D" w:rsidRPr="00976BFA" w:rsidRDefault="008D5E3D" w:rsidP="004634E5">
            <w:pPr>
              <w:jc w:val="right"/>
              <w:rPr>
                <w:lang w:val="lt-LT"/>
              </w:rPr>
            </w:pPr>
            <w:r w:rsidRPr="00976BFA">
              <w:rPr>
                <w:lang w:val="lt-LT"/>
              </w:rPr>
              <w:t>1</w:t>
            </w:r>
            <w:r w:rsidR="00884A1E">
              <w:rPr>
                <w:lang w:val="lt-LT"/>
              </w:rPr>
              <w:t xml:space="preserve"> </w:t>
            </w:r>
            <w:r w:rsidRPr="00976BFA">
              <w:rPr>
                <w:lang w:val="lt-LT"/>
              </w:rPr>
              <w:t>782</w:t>
            </w:r>
          </w:p>
        </w:tc>
        <w:tc>
          <w:tcPr>
            <w:tcW w:w="2551" w:type="dxa"/>
            <w:tcBorders>
              <w:top w:val="nil"/>
              <w:left w:val="nil"/>
              <w:bottom w:val="single" w:sz="4" w:space="0" w:color="auto"/>
              <w:right w:val="single" w:sz="4" w:space="0" w:color="auto"/>
            </w:tcBorders>
            <w:shd w:val="clear" w:color="auto" w:fill="auto"/>
            <w:noWrap/>
            <w:vAlign w:val="bottom"/>
            <w:hideMark/>
          </w:tcPr>
          <w:p w:rsidR="00872B0D" w:rsidRPr="00976BFA" w:rsidRDefault="00872B0D" w:rsidP="004634E5">
            <w:pPr>
              <w:rPr>
                <w:lang w:val="lt-LT"/>
              </w:rPr>
            </w:pPr>
            <w:r w:rsidRPr="00976BFA">
              <w:rPr>
                <w:lang w:val="lt-LT"/>
              </w:rPr>
              <w:t>t. p. </w:t>
            </w:r>
          </w:p>
        </w:tc>
        <w:tc>
          <w:tcPr>
            <w:tcW w:w="709" w:type="dxa"/>
            <w:tcBorders>
              <w:top w:val="nil"/>
              <w:left w:val="nil"/>
              <w:bottom w:val="single" w:sz="4" w:space="0" w:color="auto"/>
              <w:right w:val="single" w:sz="4" w:space="0" w:color="auto"/>
            </w:tcBorders>
            <w:vAlign w:val="bottom"/>
          </w:tcPr>
          <w:p w:rsidR="00872B0D" w:rsidRPr="00976BFA" w:rsidRDefault="00872B0D" w:rsidP="004634E5">
            <w:pPr>
              <w:rPr>
                <w:lang w:val="lt-LT"/>
              </w:rPr>
            </w:pPr>
            <w:r w:rsidRPr="00976BFA">
              <w:rPr>
                <w:lang w:val="lt-LT"/>
              </w:rPr>
              <w:t>t. p. </w:t>
            </w:r>
          </w:p>
        </w:tc>
      </w:tr>
      <w:tr w:rsidR="00550970"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550970" w:rsidRPr="00976BFA" w:rsidRDefault="00550970" w:rsidP="004634E5">
            <w:pPr>
              <w:jc w:val="center"/>
              <w:rPr>
                <w:lang w:val="lt-LT"/>
              </w:rPr>
            </w:pPr>
            <w:r w:rsidRPr="00976BFA">
              <w:rPr>
                <w:lang w:val="lt-LT"/>
              </w:rPr>
              <w:t>II.4.</w:t>
            </w:r>
          </w:p>
        </w:tc>
        <w:tc>
          <w:tcPr>
            <w:tcW w:w="2694" w:type="dxa"/>
            <w:tcBorders>
              <w:top w:val="nil"/>
              <w:left w:val="nil"/>
              <w:bottom w:val="single" w:sz="4" w:space="0" w:color="auto"/>
              <w:right w:val="single" w:sz="4" w:space="0" w:color="auto"/>
            </w:tcBorders>
            <w:shd w:val="clear" w:color="auto" w:fill="auto"/>
            <w:hideMark/>
          </w:tcPr>
          <w:p w:rsidR="00550970" w:rsidRPr="00976BFA" w:rsidRDefault="00550970" w:rsidP="00594CF5">
            <w:pPr>
              <w:rPr>
                <w:lang w:val="lt-LT"/>
              </w:rPr>
            </w:pPr>
            <w:r w:rsidRPr="00976BFA">
              <w:rPr>
                <w:lang w:val="lt-LT"/>
              </w:rPr>
              <w:t>Transporto priemonės</w:t>
            </w:r>
          </w:p>
        </w:tc>
        <w:tc>
          <w:tcPr>
            <w:tcW w:w="850" w:type="dxa"/>
            <w:tcBorders>
              <w:top w:val="nil"/>
              <w:left w:val="nil"/>
              <w:bottom w:val="single" w:sz="4" w:space="0" w:color="auto"/>
              <w:right w:val="single" w:sz="4" w:space="0" w:color="auto"/>
            </w:tcBorders>
            <w:shd w:val="clear" w:color="auto" w:fill="auto"/>
            <w:noWrap/>
            <w:vAlign w:val="bottom"/>
            <w:hideMark/>
          </w:tcPr>
          <w:p w:rsidR="00550970" w:rsidRPr="00976BFA" w:rsidRDefault="00550970" w:rsidP="004634E5">
            <w:pPr>
              <w:jc w:val="right"/>
              <w:rPr>
                <w:lang w:val="lt-LT"/>
              </w:rPr>
            </w:pPr>
            <w:r w:rsidRPr="00976BFA">
              <w:rPr>
                <w:lang w:val="lt-LT"/>
              </w:rPr>
              <w:t>140</w:t>
            </w:r>
          </w:p>
        </w:tc>
        <w:tc>
          <w:tcPr>
            <w:tcW w:w="851" w:type="dxa"/>
            <w:tcBorders>
              <w:top w:val="nil"/>
              <w:left w:val="nil"/>
              <w:bottom w:val="single" w:sz="4" w:space="0" w:color="auto"/>
              <w:right w:val="single" w:sz="4" w:space="0" w:color="auto"/>
            </w:tcBorders>
            <w:shd w:val="clear" w:color="auto" w:fill="auto"/>
            <w:noWrap/>
            <w:vAlign w:val="bottom"/>
            <w:hideMark/>
          </w:tcPr>
          <w:p w:rsidR="00550970" w:rsidRPr="00976BFA" w:rsidRDefault="00550970" w:rsidP="004634E5">
            <w:pPr>
              <w:jc w:val="right"/>
              <w:rPr>
                <w:lang w:val="lt-LT"/>
              </w:rPr>
            </w:pPr>
            <w:r w:rsidRPr="00976BFA">
              <w:rPr>
                <w:lang w:val="lt-LT"/>
              </w:rPr>
              <w:t>0</w:t>
            </w:r>
          </w:p>
        </w:tc>
        <w:tc>
          <w:tcPr>
            <w:tcW w:w="2551" w:type="dxa"/>
            <w:tcBorders>
              <w:top w:val="nil"/>
              <w:left w:val="nil"/>
              <w:bottom w:val="single" w:sz="4" w:space="0" w:color="auto"/>
              <w:right w:val="single" w:sz="4" w:space="0" w:color="auto"/>
            </w:tcBorders>
            <w:shd w:val="clear" w:color="auto" w:fill="auto"/>
            <w:noWrap/>
            <w:vAlign w:val="bottom"/>
            <w:hideMark/>
          </w:tcPr>
          <w:p w:rsidR="00550970" w:rsidRPr="00976BFA" w:rsidRDefault="00550970" w:rsidP="00D767DB">
            <w:pPr>
              <w:rPr>
                <w:lang w:val="lt-LT"/>
              </w:rPr>
            </w:pPr>
            <w:r w:rsidRPr="00976BFA">
              <w:rPr>
                <w:lang w:val="lt-LT"/>
              </w:rPr>
              <w:t>Nesvarbus, nedaug</w:t>
            </w:r>
            <w:r>
              <w:rPr>
                <w:lang w:val="lt-LT"/>
              </w:rPr>
              <w:t xml:space="preserve"> ir </w:t>
            </w:r>
            <w:r w:rsidR="00D767DB">
              <w:rPr>
                <w:lang w:val="lt-LT"/>
              </w:rPr>
              <w:t>įprasto</w:t>
            </w:r>
            <w:r>
              <w:rPr>
                <w:lang w:val="lt-LT"/>
              </w:rPr>
              <w:t xml:space="preserve">s </w:t>
            </w:r>
            <w:r w:rsidRPr="00976BFA">
              <w:rPr>
                <w:lang w:val="lt-LT"/>
              </w:rPr>
              <w:t>ūk. operacij</w:t>
            </w:r>
            <w:r>
              <w:rPr>
                <w:lang w:val="lt-LT"/>
              </w:rPr>
              <w:t>os</w:t>
            </w:r>
          </w:p>
        </w:tc>
        <w:tc>
          <w:tcPr>
            <w:tcW w:w="709" w:type="dxa"/>
            <w:tcBorders>
              <w:top w:val="nil"/>
              <w:left w:val="nil"/>
              <w:bottom w:val="single" w:sz="4" w:space="0" w:color="auto"/>
              <w:right w:val="single" w:sz="4" w:space="0" w:color="auto"/>
            </w:tcBorders>
            <w:vAlign w:val="bottom"/>
          </w:tcPr>
          <w:p w:rsidR="00550970" w:rsidRPr="00976BFA" w:rsidRDefault="00550970" w:rsidP="00594CF5">
            <w:pPr>
              <w:jc w:val="center"/>
              <w:rPr>
                <w:lang w:val="lt-LT"/>
              </w:rPr>
            </w:pPr>
            <w:r w:rsidRPr="00976BFA">
              <w:rPr>
                <w:lang w:val="lt-LT"/>
              </w:rPr>
              <w:t>X</w:t>
            </w:r>
          </w:p>
        </w:tc>
      </w:tr>
      <w:tr w:rsidR="00550970"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550970" w:rsidRPr="00976BFA" w:rsidRDefault="00550970" w:rsidP="004634E5">
            <w:pPr>
              <w:jc w:val="center"/>
              <w:rPr>
                <w:lang w:val="lt-LT"/>
              </w:rPr>
            </w:pPr>
            <w:r w:rsidRPr="00976BFA">
              <w:rPr>
                <w:lang w:val="lt-LT"/>
              </w:rPr>
              <w:t>II.5.</w:t>
            </w:r>
          </w:p>
        </w:tc>
        <w:tc>
          <w:tcPr>
            <w:tcW w:w="2694" w:type="dxa"/>
            <w:tcBorders>
              <w:top w:val="nil"/>
              <w:left w:val="nil"/>
              <w:bottom w:val="single" w:sz="4" w:space="0" w:color="auto"/>
              <w:right w:val="single" w:sz="4" w:space="0" w:color="auto"/>
            </w:tcBorders>
            <w:shd w:val="clear" w:color="auto" w:fill="auto"/>
            <w:hideMark/>
          </w:tcPr>
          <w:p w:rsidR="00550970" w:rsidRPr="00976BFA" w:rsidRDefault="00550970" w:rsidP="00594CF5">
            <w:pPr>
              <w:rPr>
                <w:lang w:val="lt-LT"/>
              </w:rPr>
            </w:pPr>
            <w:r w:rsidRPr="00976BFA">
              <w:rPr>
                <w:lang w:val="lt-LT"/>
              </w:rPr>
              <w:t>Kitas materialusis turtas</w:t>
            </w:r>
          </w:p>
        </w:tc>
        <w:tc>
          <w:tcPr>
            <w:tcW w:w="850" w:type="dxa"/>
            <w:tcBorders>
              <w:top w:val="nil"/>
              <w:left w:val="nil"/>
              <w:bottom w:val="single" w:sz="4" w:space="0" w:color="auto"/>
              <w:right w:val="single" w:sz="4" w:space="0" w:color="auto"/>
            </w:tcBorders>
            <w:shd w:val="clear" w:color="auto" w:fill="auto"/>
            <w:noWrap/>
            <w:vAlign w:val="bottom"/>
            <w:hideMark/>
          </w:tcPr>
          <w:p w:rsidR="00550970" w:rsidRPr="00976BFA" w:rsidRDefault="00550970" w:rsidP="004634E5">
            <w:pPr>
              <w:jc w:val="right"/>
              <w:rPr>
                <w:lang w:val="lt-LT"/>
              </w:rPr>
            </w:pPr>
            <w:r w:rsidRPr="00976BFA">
              <w:rPr>
                <w:lang w:val="lt-LT"/>
              </w:rPr>
              <w:t>77</w:t>
            </w:r>
          </w:p>
        </w:tc>
        <w:tc>
          <w:tcPr>
            <w:tcW w:w="851" w:type="dxa"/>
            <w:tcBorders>
              <w:top w:val="nil"/>
              <w:left w:val="nil"/>
              <w:bottom w:val="single" w:sz="4" w:space="0" w:color="auto"/>
              <w:right w:val="single" w:sz="4" w:space="0" w:color="auto"/>
            </w:tcBorders>
            <w:shd w:val="clear" w:color="auto" w:fill="auto"/>
            <w:noWrap/>
            <w:vAlign w:val="bottom"/>
            <w:hideMark/>
          </w:tcPr>
          <w:p w:rsidR="00550970" w:rsidRPr="00976BFA" w:rsidRDefault="00550970" w:rsidP="004634E5">
            <w:pPr>
              <w:jc w:val="right"/>
              <w:rPr>
                <w:lang w:val="lt-LT"/>
              </w:rPr>
            </w:pPr>
            <w:r w:rsidRPr="00976BFA">
              <w:rPr>
                <w:lang w:val="lt-LT"/>
              </w:rPr>
              <w:t>95</w:t>
            </w:r>
          </w:p>
        </w:tc>
        <w:tc>
          <w:tcPr>
            <w:tcW w:w="2551" w:type="dxa"/>
            <w:tcBorders>
              <w:top w:val="nil"/>
              <w:left w:val="nil"/>
              <w:bottom w:val="single" w:sz="4" w:space="0" w:color="auto"/>
              <w:right w:val="single" w:sz="4" w:space="0" w:color="auto"/>
            </w:tcBorders>
            <w:shd w:val="clear" w:color="auto" w:fill="auto"/>
            <w:noWrap/>
            <w:vAlign w:val="bottom"/>
            <w:hideMark/>
          </w:tcPr>
          <w:p w:rsidR="00550970" w:rsidRPr="00976BFA" w:rsidRDefault="00550970" w:rsidP="00550970">
            <w:pPr>
              <w:rPr>
                <w:lang w:val="lt-LT"/>
              </w:rPr>
            </w:pPr>
            <w:r w:rsidRPr="00976BFA">
              <w:rPr>
                <w:lang w:val="lt-LT"/>
              </w:rPr>
              <w:t>t. p. </w:t>
            </w:r>
          </w:p>
        </w:tc>
        <w:tc>
          <w:tcPr>
            <w:tcW w:w="709" w:type="dxa"/>
            <w:tcBorders>
              <w:top w:val="nil"/>
              <w:left w:val="nil"/>
              <w:bottom w:val="single" w:sz="4" w:space="0" w:color="auto"/>
              <w:right w:val="single" w:sz="4" w:space="0" w:color="auto"/>
            </w:tcBorders>
            <w:vAlign w:val="bottom"/>
          </w:tcPr>
          <w:p w:rsidR="00550970" w:rsidRPr="00976BFA" w:rsidRDefault="0022272D" w:rsidP="0022272D">
            <w:pPr>
              <w:rPr>
                <w:lang w:val="lt-LT"/>
              </w:rPr>
            </w:pPr>
            <w:r>
              <w:rPr>
                <w:lang w:val="lt-LT"/>
              </w:rPr>
              <w:t xml:space="preserve">t. </w:t>
            </w:r>
            <w:r w:rsidR="00550970" w:rsidRPr="00976BFA">
              <w:rPr>
                <w:lang w:val="lt-LT"/>
              </w:rPr>
              <w:t>p.</w:t>
            </w:r>
          </w:p>
        </w:tc>
      </w:tr>
      <w:tr w:rsidR="00550970"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550970" w:rsidRPr="00976BFA" w:rsidRDefault="00550970" w:rsidP="004634E5">
            <w:pPr>
              <w:jc w:val="center"/>
              <w:rPr>
                <w:lang w:val="lt-LT"/>
              </w:rPr>
            </w:pPr>
            <w:r w:rsidRPr="00976BFA">
              <w:rPr>
                <w:lang w:val="lt-LT"/>
              </w:rPr>
              <w:t xml:space="preserve">II.6. </w:t>
            </w:r>
          </w:p>
        </w:tc>
        <w:tc>
          <w:tcPr>
            <w:tcW w:w="2694" w:type="dxa"/>
            <w:tcBorders>
              <w:top w:val="nil"/>
              <w:left w:val="nil"/>
              <w:bottom w:val="single" w:sz="4" w:space="0" w:color="auto"/>
              <w:right w:val="single" w:sz="4" w:space="0" w:color="auto"/>
            </w:tcBorders>
            <w:shd w:val="clear" w:color="auto" w:fill="auto"/>
            <w:hideMark/>
          </w:tcPr>
          <w:p w:rsidR="00550970" w:rsidRPr="00976BFA" w:rsidRDefault="00550970" w:rsidP="00594CF5">
            <w:pPr>
              <w:rPr>
                <w:lang w:val="lt-LT"/>
              </w:rPr>
            </w:pPr>
            <w:r w:rsidRPr="00976BFA">
              <w:rPr>
                <w:lang w:val="lt-LT"/>
              </w:rPr>
              <w:t>Išankstiniai apmokėjimai ir nebaigta statyba</w:t>
            </w:r>
          </w:p>
        </w:tc>
        <w:tc>
          <w:tcPr>
            <w:tcW w:w="850" w:type="dxa"/>
            <w:tcBorders>
              <w:top w:val="nil"/>
              <w:left w:val="nil"/>
              <w:bottom w:val="single" w:sz="4" w:space="0" w:color="auto"/>
              <w:right w:val="single" w:sz="4" w:space="0" w:color="auto"/>
            </w:tcBorders>
            <w:shd w:val="clear" w:color="auto" w:fill="auto"/>
            <w:noWrap/>
            <w:vAlign w:val="bottom"/>
            <w:hideMark/>
          </w:tcPr>
          <w:p w:rsidR="00550970" w:rsidRPr="00976BFA" w:rsidRDefault="00550970" w:rsidP="004634E5">
            <w:pPr>
              <w:jc w:val="right"/>
              <w:rPr>
                <w:lang w:val="lt-LT"/>
              </w:rPr>
            </w:pPr>
            <w:r w:rsidRPr="00976BFA">
              <w:rPr>
                <w:lang w:val="lt-LT"/>
              </w:rPr>
              <w:t>486</w:t>
            </w:r>
          </w:p>
        </w:tc>
        <w:tc>
          <w:tcPr>
            <w:tcW w:w="851" w:type="dxa"/>
            <w:tcBorders>
              <w:top w:val="nil"/>
              <w:left w:val="nil"/>
              <w:bottom w:val="single" w:sz="4" w:space="0" w:color="auto"/>
              <w:right w:val="single" w:sz="4" w:space="0" w:color="auto"/>
            </w:tcBorders>
            <w:shd w:val="clear" w:color="auto" w:fill="auto"/>
            <w:noWrap/>
            <w:vAlign w:val="bottom"/>
            <w:hideMark/>
          </w:tcPr>
          <w:p w:rsidR="00550970" w:rsidRPr="00976BFA" w:rsidRDefault="00550970" w:rsidP="004634E5">
            <w:pPr>
              <w:jc w:val="right"/>
              <w:rPr>
                <w:lang w:val="lt-LT"/>
              </w:rPr>
            </w:pPr>
            <w:r w:rsidRPr="00976BFA">
              <w:rPr>
                <w:lang w:val="lt-LT"/>
              </w:rPr>
              <w:t>564</w:t>
            </w:r>
          </w:p>
        </w:tc>
        <w:tc>
          <w:tcPr>
            <w:tcW w:w="2551" w:type="dxa"/>
            <w:tcBorders>
              <w:top w:val="nil"/>
              <w:left w:val="nil"/>
              <w:bottom w:val="single" w:sz="4" w:space="0" w:color="auto"/>
              <w:right w:val="single" w:sz="4" w:space="0" w:color="auto"/>
            </w:tcBorders>
            <w:shd w:val="clear" w:color="auto" w:fill="auto"/>
            <w:noWrap/>
            <w:vAlign w:val="bottom"/>
            <w:hideMark/>
          </w:tcPr>
          <w:p w:rsidR="00550970" w:rsidRPr="00976BFA" w:rsidRDefault="00550970" w:rsidP="0022272D">
            <w:pPr>
              <w:rPr>
                <w:lang w:val="lt-LT"/>
              </w:rPr>
            </w:pPr>
            <w:r>
              <w:rPr>
                <w:lang w:val="lt-LT"/>
              </w:rPr>
              <w:t>Nors ir viršij</w:t>
            </w:r>
            <w:r w:rsidR="00D767DB">
              <w:rPr>
                <w:lang w:val="lt-LT"/>
              </w:rPr>
              <w:t>a</w:t>
            </w:r>
            <w:r>
              <w:rPr>
                <w:lang w:val="lt-LT"/>
              </w:rPr>
              <w:t xml:space="preserve">, tačiau </w:t>
            </w:r>
            <w:r w:rsidRPr="00976BFA">
              <w:rPr>
                <w:lang w:val="lt-LT"/>
              </w:rPr>
              <w:t>nedaug  ir nesudėtingos ūk. operac</w:t>
            </w:r>
            <w:r w:rsidR="0022272D">
              <w:rPr>
                <w:lang w:val="lt-LT"/>
              </w:rPr>
              <w:t>ijos</w:t>
            </w:r>
          </w:p>
        </w:tc>
        <w:tc>
          <w:tcPr>
            <w:tcW w:w="709" w:type="dxa"/>
            <w:tcBorders>
              <w:top w:val="nil"/>
              <w:left w:val="nil"/>
              <w:bottom w:val="single" w:sz="4" w:space="0" w:color="auto"/>
              <w:right w:val="single" w:sz="4" w:space="0" w:color="auto"/>
            </w:tcBorders>
            <w:vAlign w:val="bottom"/>
          </w:tcPr>
          <w:p w:rsidR="00550970" w:rsidRPr="00976BFA" w:rsidRDefault="00550970" w:rsidP="00594CF5">
            <w:pPr>
              <w:jc w:val="center"/>
              <w:rPr>
                <w:lang w:val="lt-LT"/>
              </w:rPr>
            </w:pPr>
            <w:r w:rsidRPr="00976BFA">
              <w:rPr>
                <w:lang w:val="lt-LT"/>
              </w:rPr>
              <w:t>X</w:t>
            </w:r>
          </w:p>
        </w:tc>
      </w:tr>
      <w:tr w:rsidR="00B4365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b/>
                <w:bCs/>
                <w:lang w:val="lt-LT"/>
              </w:rPr>
            </w:pPr>
            <w:r w:rsidRPr="00976BFA">
              <w:rPr>
                <w:b/>
                <w:bCs/>
                <w:lang w:val="lt-LT"/>
              </w:rPr>
              <w:t>III.</w:t>
            </w:r>
          </w:p>
        </w:tc>
        <w:tc>
          <w:tcPr>
            <w:tcW w:w="2694" w:type="dxa"/>
            <w:tcBorders>
              <w:top w:val="nil"/>
              <w:left w:val="nil"/>
              <w:bottom w:val="single" w:sz="4" w:space="0" w:color="auto"/>
              <w:right w:val="single" w:sz="4" w:space="0" w:color="auto"/>
            </w:tcBorders>
            <w:shd w:val="clear" w:color="auto" w:fill="auto"/>
            <w:hideMark/>
          </w:tcPr>
          <w:p w:rsidR="00B4365D" w:rsidRPr="000C044F" w:rsidRDefault="00B4365D" w:rsidP="00594CF5">
            <w:pPr>
              <w:rPr>
                <w:b/>
                <w:bCs/>
                <w:sz w:val="18"/>
                <w:szCs w:val="18"/>
                <w:lang w:val="lt-LT"/>
              </w:rPr>
            </w:pPr>
            <w:r w:rsidRPr="000C044F">
              <w:rPr>
                <w:b/>
                <w:bCs/>
                <w:sz w:val="18"/>
                <w:szCs w:val="18"/>
                <w:lang w:val="lt-LT"/>
              </w:rPr>
              <w:t>FINANSINIS TURTAS</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39</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82</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4365D" w:rsidRPr="00976BFA" w:rsidRDefault="00B4365D" w:rsidP="004634E5">
            <w:pPr>
              <w:rPr>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B4365D" w:rsidRPr="00976BFA" w:rsidRDefault="00B4365D" w:rsidP="004634E5">
            <w:pPr>
              <w:rPr>
                <w:lang w:val="lt-LT"/>
              </w:rPr>
            </w:pPr>
          </w:p>
        </w:tc>
      </w:tr>
      <w:tr w:rsidR="00B4365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lang w:val="lt-LT"/>
              </w:rPr>
            </w:pPr>
            <w:r w:rsidRPr="00976BFA">
              <w:rPr>
                <w:lang w:val="lt-LT"/>
              </w:rPr>
              <w:t>III.1.</w:t>
            </w:r>
          </w:p>
        </w:tc>
        <w:tc>
          <w:tcPr>
            <w:tcW w:w="2694" w:type="dxa"/>
            <w:tcBorders>
              <w:top w:val="nil"/>
              <w:left w:val="nil"/>
              <w:bottom w:val="single" w:sz="4" w:space="0" w:color="auto"/>
              <w:right w:val="single" w:sz="4" w:space="0" w:color="auto"/>
            </w:tcBorders>
            <w:shd w:val="clear" w:color="auto" w:fill="auto"/>
            <w:hideMark/>
          </w:tcPr>
          <w:p w:rsidR="00B4365D" w:rsidRPr="00976BFA" w:rsidRDefault="00B4365D" w:rsidP="00594CF5">
            <w:pPr>
              <w:rPr>
                <w:lang w:val="lt-LT"/>
              </w:rPr>
            </w:pPr>
            <w:r w:rsidRPr="00976BFA">
              <w:rPr>
                <w:lang w:val="lt-LT"/>
              </w:rPr>
              <w:t>Po vienerių metų gautinos sumos</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39</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82</w:t>
            </w:r>
          </w:p>
        </w:tc>
        <w:tc>
          <w:tcPr>
            <w:tcW w:w="25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rPr>
                <w:lang w:val="lt-LT"/>
              </w:rPr>
            </w:pPr>
            <w:r w:rsidRPr="00976BFA">
              <w:rPr>
                <w:lang w:val="lt-LT"/>
              </w:rPr>
              <w:t>Nesvarbus, nedaug ūk. operacijų</w:t>
            </w:r>
          </w:p>
        </w:tc>
        <w:tc>
          <w:tcPr>
            <w:tcW w:w="709" w:type="dxa"/>
            <w:tcBorders>
              <w:top w:val="nil"/>
              <w:left w:val="nil"/>
              <w:bottom w:val="single" w:sz="4" w:space="0" w:color="auto"/>
              <w:right w:val="single" w:sz="4" w:space="0" w:color="auto"/>
            </w:tcBorders>
            <w:vAlign w:val="bottom"/>
          </w:tcPr>
          <w:p w:rsidR="00B4365D" w:rsidRPr="00976BFA" w:rsidRDefault="00B4365D" w:rsidP="00594CF5">
            <w:pPr>
              <w:jc w:val="center"/>
              <w:rPr>
                <w:lang w:val="lt-LT"/>
              </w:rPr>
            </w:pPr>
            <w:r w:rsidRPr="00976BFA">
              <w:rPr>
                <w:lang w:val="lt-LT"/>
              </w:rPr>
              <w:t>X</w:t>
            </w:r>
          </w:p>
        </w:tc>
      </w:tr>
      <w:tr w:rsidR="00B4365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b/>
                <w:bCs/>
                <w:lang w:val="lt-LT"/>
              </w:rPr>
            </w:pPr>
            <w:r w:rsidRPr="00976BFA">
              <w:rPr>
                <w:b/>
                <w:bCs/>
                <w:lang w:val="lt-LT"/>
              </w:rPr>
              <w:t>IV</w:t>
            </w:r>
          </w:p>
        </w:tc>
        <w:tc>
          <w:tcPr>
            <w:tcW w:w="2694" w:type="dxa"/>
            <w:tcBorders>
              <w:top w:val="nil"/>
              <w:left w:val="nil"/>
              <w:bottom w:val="single" w:sz="4" w:space="0" w:color="auto"/>
              <w:right w:val="single" w:sz="4" w:space="0" w:color="auto"/>
            </w:tcBorders>
            <w:shd w:val="clear" w:color="auto" w:fill="auto"/>
            <w:hideMark/>
          </w:tcPr>
          <w:p w:rsidR="00B4365D" w:rsidRPr="000C044F" w:rsidRDefault="00B4365D" w:rsidP="00594CF5">
            <w:pPr>
              <w:rPr>
                <w:b/>
                <w:bCs/>
                <w:sz w:val="18"/>
                <w:szCs w:val="18"/>
                <w:lang w:val="lt-LT"/>
              </w:rPr>
            </w:pPr>
            <w:r w:rsidRPr="000C044F">
              <w:rPr>
                <w:b/>
                <w:bCs/>
                <w:sz w:val="18"/>
                <w:szCs w:val="18"/>
                <w:lang w:val="lt-LT"/>
              </w:rPr>
              <w:t>KITAS ILGALAIKIS TURTAS</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0</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4365D" w:rsidRPr="00976BFA" w:rsidRDefault="00B4365D" w:rsidP="004634E5">
            <w:pPr>
              <w:rPr>
                <w:lang w:val="lt-LT"/>
              </w:rPr>
            </w:pPr>
            <w:r w:rsidRPr="00976BF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B4365D" w:rsidRPr="00976BFA" w:rsidRDefault="00B4365D" w:rsidP="004634E5">
            <w:pPr>
              <w:rPr>
                <w:lang w:val="lt-LT"/>
              </w:rPr>
            </w:pPr>
          </w:p>
        </w:tc>
      </w:tr>
      <w:tr w:rsidR="00B4365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lang w:val="lt-LT"/>
              </w:rPr>
            </w:pPr>
            <w:r w:rsidRPr="00976BFA">
              <w:rPr>
                <w:lang w:val="lt-LT"/>
              </w:rPr>
              <w:t>IV.1.</w:t>
            </w:r>
          </w:p>
        </w:tc>
        <w:tc>
          <w:tcPr>
            <w:tcW w:w="2694" w:type="dxa"/>
            <w:tcBorders>
              <w:top w:val="nil"/>
              <w:left w:val="nil"/>
              <w:bottom w:val="single" w:sz="4" w:space="0" w:color="auto"/>
              <w:right w:val="single" w:sz="4" w:space="0" w:color="auto"/>
            </w:tcBorders>
            <w:shd w:val="clear" w:color="auto" w:fill="auto"/>
            <w:hideMark/>
          </w:tcPr>
          <w:p w:rsidR="00B4365D" w:rsidRPr="00976BFA" w:rsidRDefault="00B4365D" w:rsidP="00594CF5">
            <w:pPr>
              <w:rPr>
                <w:lang w:val="lt-LT"/>
              </w:rPr>
            </w:pPr>
            <w:r w:rsidRPr="00976BFA">
              <w:rPr>
                <w:lang w:val="lt-LT"/>
              </w:rPr>
              <w:t>Atidėtojo mokesčio turtas</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0</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4365D" w:rsidRPr="00976BFA" w:rsidRDefault="00B4365D" w:rsidP="004634E5">
            <w:pPr>
              <w:rPr>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B4365D" w:rsidRPr="00976BFA" w:rsidRDefault="00B4365D" w:rsidP="004634E5">
            <w:pPr>
              <w:rPr>
                <w:lang w:val="lt-LT"/>
              </w:rPr>
            </w:pPr>
          </w:p>
        </w:tc>
      </w:tr>
      <w:tr w:rsidR="00B4365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b/>
                <w:bCs/>
                <w:lang w:val="lt-LT"/>
              </w:rPr>
            </w:pPr>
            <w:r w:rsidRPr="00976BFA">
              <w:rPr>
                <w:b/>
                <w:bCs/>
                <w:lang w:val="lt-LT"/>
              </w:rPr>
              <w:t>B.</w:t>
            </w:r>
          </w:p>
        </w:tc>
        <w:tc>
          <w:tcPr>
            <w:tcW w:w="2694" w:type="dxa"/>
            <w:tcBorders>
              <w:top w:val="nil"/>
              <w:left w:val="nil"/>
              <w:bottom w:val="single" w:sz="4" w:space="0" w:color="auto"/>
              <w:right w:val="single" w:sz="4" w:space="0" w:color="auto"/>
            </w:tcBorders>
            <w:shd w:val="clear" w:color="auto" w:fill="auto"/>
            <w:hideMark/>
          </w:tcPr>
          <w:p w:rsidR="00B4365D" w:rsidRPr="00976BFA" w:rsidRDefault="00B4365D" w:rsidP="00594CF5">
            <w:pPr>
              <w:rPr>
                <w:b/>
                <w:bCs/>
                <w:lang w:val="lt-LT"/>
              </w:rPr>
            </w:pPr>
            <w:r w:rsidRPr="00976BFA">
              <w:rPr>
                <w:b/>
                <w:bCs/>
                <w:lang w:val="lt-LT"/>
              </w:rPr>
              <w:t>TRUMPALAIKIS TURTAS</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20</w:t>
            </w:r>
            <w:r w:rsidR="00884A1E">
              <w:rPr>
                <w:b/>
                <w:bCs/>
                <w:lang w:val="lt-LT"/>
              </w:rPr>
              <w:t xml:space="preserve"> </w:t>
            </w:r>
            <w:r w:rsidRPr="00976BFA">
              <w:rPr>
                <w:b/>
                <w:bCs/>
                <w:lang w:val="lt-LT"/>
              </w:rPr>
              <w:t>155</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17</w:t>
            </w:r>
            <w:r w:rsidR="00884A1E">
              <w:rPr>
                <w:b/>
                <w:bCs/>
                <w:lang w:val="lt-LT"/>
              </w:rPr>
              <w:t xml:space="preserve"> </w:t>
            </w:r>
            <w:r w:rsidRPr="00976BFA">
              <w:rPr>
                <w:b/>
                <w:bCs/>
                <w:lang w:val="lt-LT"/>
              </w:rPr>
              <w:t>955</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4365D" w:rsidRPr="00976BFA" w:rsidRDefault="00B4365D" w:rsidP="004634E5">
            <w:pPr>
              <w:rPr>
                <w:lang w:val="lt-LT"/>
              </w:rPr>
            </w:pPr>
            <w:r w:rsidRPr="00976BFA">
              <w:rPr>
                <w:lang w:val="lt-LT"/>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B4365D" w:rsidRPr="00976BFA" w:rsidRDefault="00B4365D" w:rsidP="004634E5">
            <w:pPr>
              <w:rPr>
                <w:lang w:val="lt-LT"/>
              </w:rPr>
            </w:pPr>
          </w:p>
        </w:tc>
      </w:tr>
      <w:tr w:rsidR="00B4365D" w:rsidRPr="00976BFA" w:rsidTr="0022272D">
        <w:trPr>
          <w:trHeight w:val="450"/>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b/>
                <w:bCs/>
                <w:lang w:val="lt-LT"/>
              </w:rPr>
            </w:pPr>
            <w:r w:rsidRPr="00976BFA">
              <w:rPr>
                <w:b/>
                <w:bCs/>
                <w:lang w:val="lt-LT"/>
              </w:rPr>
              <w:t>I.</w:t>
            </w:r>
          </w:p>
        </w:tc>
        <w:tc>
          <w:tcPr>
            <w:tcW w:w="2694" w:type="dxa"/>
            <w:tcBorders>
              <w:top w:val="nil"/>
              <w:left w:val="nil"/>
              <w:bottom w:val="single" w:sz="4" w:space="0" w:color="auto"/>
              <w:right w:val="single" w:sz="4" w:space="0" w:color="auto"/>
            </w:tcBorders>
            <w:shd w:val="clear" w:color="auto" w:fill="auto"/>
            <w:hideMark/>
          </w:tcPr>
          <w:p w:rsidR="00B4365D" w:rsidRPr="000C044F" w:rsidRDefault="00B4365D" w:rsidP="00594CF5">
            <w:pPr>
              <w:rPr>
                <w:b/>
                <w:bCs/>
                <w:sz w:val="18"/>
                <w:szCs w:val="18"/>
                <w:lang w:val="lt-LT"/>
              </w:rPr>
            </w:pPr>
            <w:r w:rsidRPr="000C044F">
              <w:rPr>
                <w:b/>
                <w:bCs/>
                <w:sz w:val="18"/>
                <w:szCs w:val="18"/>
                <w:lang w:val="lt-LT"/>
              </w:rPr>
              <w:t>ATSARGOS, IŠANKSTINIAI APMOKĖJIMAI IR NEBAIGTOS VYKDYTI SUTARTYS</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4</w:t>
            </w:r>
            <w:r w:rsidR="00884A1E">
              <w:rPr>
                <w:b/>
                <w:bCs/>
                <w:lang w:val="lt-LT"/>
              </w:rPr>
              <w:t xml:space="preserve"> </w:t>
            </w:r>
            <w:r w:rsidRPr="00976BFA">
              <w:rPr>
                <w:b/>
                <w:bCs/>
                <w:lang w:val="lt-LT"/>
              </w:rPr>
              <w:t>708</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5</w:t>
            </w:r>
            <w:r w:rsidR="00884A1E">
              <w:rPr>
                <w:b/>
                <w:bCs/>
                <w:lang w:val="lt-LT"/>
              </w:rPr>
              <w:t xml:space="preserve"> </w:t>
            </w:r>
            <w:r w:rsidRPr="00976BFA">
              <w:rPr>
                <w:b/>
                <w:bCs/>
                <w:lang w:val="lt-LT"/>
              </w:rPr>
              <w:t>248</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4365D" w:rsidRPr="00976BFA" w:rsidRDefault="00B4365D" w:rsidP="004634E5">
            <w:pPr>
              <w:rPr>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B4365D" w:rsidRPr="00976BFA" w:rsidRDefault="00B4365D" w:rsidP="004634E5">
            <w:pPr>
              <w:rPr>
                <w:lang w:val="lt-LT"/>
              </w:rPr>
            </w:pPr>
          </w:p>
        </w:tc>
      </w:tr>
      <w:tr w:rsidR="00B4365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lang w:val="lt-LT"/>
              </w:rPr>
            </w:pPr>
            <w:r w:rsidRPr="00976BFA">
              <w:rPr>
                <w:lang w:val="lt-LT"/>
              </w:rPr>
              <w:t>I.1.</w:t>
            </w:r>
          </w:p>
        </w:tc>
        <w:tc>
          <w:tcPr>
            <w:tcW w:w="2694" w:type="dxa"/>
            <w:tcBorders>
              <w:top w:val="nil"/>
              <w:left w:val="nil"/>
              <w:bottom w:val="single" w:sz="4" w:space="0" w:color="auto"/>
              <w:right w:val="single" w:sz="4" w:space="0" w:color="auto"/>
            </w:tcBorders>
            <w:shd w:val="clear" w:color="auto" w:fill="auto"/>
            <w:hideMark/>
          </w:tcPr>
          <w:p w:rsidR="00B4365D" w:rsidRPr="00976BFA" w:rsidRDefault="00B4365D" w:rsidP="00594CF5">
            <w:pPr>
              <w:rPr>
                <w:lang w:val="lt-LT"/>
              </w:rPr>
            </w:pPr>
            <w:r w:rsidRPr="00976BFA">
              <w:rPr>
                <w:lang w:val="lt-LT"/>
              </w:rPr>
              <w:t>Atsargos</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4</w:t>
            </w:r>
            <w:r w:rsidR="00884A1E">
              <w:rPr>
                <w:lang w:val="lt-LT"/>
              </w:rPr>
              <w:t xml:space="preserve"> </w:t>
            </w:r>
            <w:r w:rsidRPr="00976BFA">
              <w:rPr>
                <w:lang w:val="lt-LT"/>
              </w:rPr>
              <w:t>686</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5</w:t>
            </w:r>
            <w:r w:rsidR="00884A1E">
              <w:rPr>
                <w:lang w:val="lt-LT"/>
              </w:rPr>
              <w:t xml:space="preserve"> </w:t>
            </w:r>
            <w:r w:rsidRPr="00976BFA">
              <w:rPr>
                <w:lang w:val="lt-LT"/>
              </w:rPr>
              <w:t>236</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4365D" w:rsidRPr="00976BFA" w:rsidRDefault="00B4365D" w:rsidP="00B4365D">
            <w:pPr>
              <w:rPr>
                <w:lang w:val="lt-LT"/>
              </w:rPr>
            </w:pPr>
            <w:r w:rsidRPr="00976BFA">
              <w:rPr>
                <w:lang w:val="lt-LT"/>
              </w:rPr>
              <w:t>Svarbus (pirkimų ir gamybos procesai)</w:t>
            </w:r>
          </w:p>
        </w:tc>
        <w:tc>
          <w:tcPr>
            <w:tcW w:w="709" w:type="dxa"/>
            <w:tcBorders>
              <w:top w:val="single" w:sz="4" w:space="0" w:color="auto"/>
              <w:left w:val="nil"/>
              <w:bottom w:val="single" w:sz="4" w:space="0" w:color="auto"/>
              <w:right w:val="single" w:sz="4" w:space="0" w:color="auto"/>
            </w:tcBorders>
            <w:shd w:val="clear" w:color="auto" w:fill="auto"/>
            <w:vAlign w:val="bottom"/>
          </w:tcPr>
          <w:p w:rsidR="00B4365D" w:rsidRPr="005E0737" w:rsidRDefault="00B4365D" w:rsidP="005E0737">
            <w:pPr>
              <w:jc w:val="center"/>
              <w:rPr>
                <w:b/>
                <w:lang w:val="lt-LT"/>
              </w:rPr>
            </w:pPr>
            <w:r w:rsidRPr="005E0737">
              <w:rPr>
                <w:b/>
                <w:lang w:val="lt-LT"/>
              </w:rPr>
              <w:t>B</w:t>
            </w:r>
            <w:r w:rsidR="0022272D">
              <w:rPr>
                <w:b/>
                <w:lang w:val="lt-LT"/>
              </w:rPr>
              <w:t xml:space="preserve">, </w:t>
            </w:r>
            <w:r w:rsidR="005E0737" w:rsidRPr="005E0737">
              <w:rPr>
                <w:b/>
                <w:lang w:val="lt-LT"/>
              </w:rPr>
              <w:t>V</w:t>
            </w:r>
          </w:p>
        </w:tc>
      </w:tr>
      <w:tr w:rsidR="00B4365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lang w:val="lt-LT"/>
              </w:rPr>
            </w:pPr>
            <w:r w:rsidRPr="00976BFA">
              <w:rPr>
                <w:lang w:val="lt-LT"/>
              </w:rPr>
              <w:t>I.2.</w:t>
            </w:r>
          </w:p>
        </w:tc>
        <w:tc>
          <w:tcPr>
            <w:tcW w:w="2694" w:type="dxa"/>
            <w:tcBorders>
              <w:top w:val="nil"/>
              <w:left w:val="nil"/>
              <w:bottom w:val="single" w:sz="4" w:space="0" w:color="auto"/>
              <w:right w:val="single" w:sz="4" w:space="0" w:color="auto"/>
            </w:tcBorders>
            <w:shd w:val="clear" w:color="auto" w:fill="auto"/>
            <w:hideMark/>
          </w:tcPr>
          <w:p w:rsidR="00B4365D" w:rsidRPr="00976BFA" w:rsidRDefault="00B4365D" w:rsidP="00594CF5">
            <w:pPr>
              <w:rPr>
                <w:lang w:val="lt-LT"/>
              </w:rPr>
            </w:pPr>
            <w:r w:rsidRPr="00976BFA">
              <w:rPr>
                <w:lang w:val="lt-LT"/>
              </w:rPr>
              <w:t>Išankstiniai apmokėjimai</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22</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lang w:val="lt-LT"/>
              </w:rPr>
            </w:pPr>
            <w:r w:rsidRPr="00976BFA">
              <w:rPr>
                <w:lang w:val="lt-LT"/>
              </w:rPr>
              <w:t>12</w:t>
            </w:r>
          </w:p>
        </w:tc>
        <w:tc>
          <w:tcPr>
            <w:tcW w:w="25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B4365D">
            <w:pPr>
              <w:rPr>
                <w:lang w:val="lt-LT"/>
              </w:rPr>
            </w:pPr>
            <w:r w:rsidRPr="00976BFA">
              <w:rPr>
                <w:lang w:val="lt-LT"/>
              </w:rPr>
              <w:t>Nesvarbus, nedaug ir įprastos ūk. operacijos</w:t>
            </w:r>
          </w:p>
        </w:tc>
        <w:tc>
          <w:tcPr>
            <w:tcW w:w="709" w:type="dxa"/>
            <w:tcBorders>
              <w:top w:val="nil"/>
              <w:left w:val="nil"/>
              <w:bottom w:val="single" w:sz="4" w:space="0" w:color="auto"/>
              <w:right w:val="single" w:sz="4" w:space="0" w:color="auto"/>
            </w:tcBorders>
            <w:vAlign w:val="bottom"/>
          </w:tcPr>
          <w:p w:rsidR="00B4365D" w:rsidRPr="00976BFA" w:rsidRDefault="00B4365D" w:rsidP="00594CF5">
            <w:pPr>
              <w:jc w:val="center"/>
              <w:rPr>
                <w:lang w:val="lt-LT"/>
              </w:rPr>
            </w:pPr>
            <w:r w:rsidRPr="00976BFA">
              <w:rPr>
                <w:lang w:val="lt-LT"/>
              </w:rPr>
              <w:t>X</w:t>
            </w:r>
          </w:p>
        </w:tc>
      </w:tr>
      <w:tr w:rsidR="00B4365D"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B4365D" w:rsidRPr="00976BFA" w:rsidRDefault="00B4365D" w:rsidP="004634E5">
            <w:pPr>
              <w:jc w:val="center"/>
              <w:rPr>
                <w:b/>
                <w:bCs/>
                <w:lang w:val="lt-LT"/>
              </w:rPr>
            </w:pPr>
            <w:r w:rsidRPr="00976BFA">
              <w:rPr>
                <w:b/>
                <w:bCs/>
                <w:lang w:val="lt-LT"/>
              </w:rPr>
              <w:t>II.</w:t>
            </w:r>
          </w:p>
        </w:tc>
        <w:tc>
          <w:tcPr>
            <w:tcW w:w="2694" w:type="dxa"/>
            <w:tcBorders>
              <w:top w:val="nil"/>
              <w:left w:val="nil"/>
              <w:bottom w:val="single" w:sz="4" w:space="0" w:color="auto"/>
              <w:right w:val="single" w:sz="4" w:space="0" w:color="auto"/>
            </w:tcBorders>
            <w:shd w:val="clear" w:color="auto" w:fill="auto"/>
            <w:hideMark/>
          </w:tcPr>
          <w:p w:rsidR="00B4365D" w:rsidRPr="000C044F" w:rsidRDefault="00B4365D" w:rsidP="00594CF5">
            <w:pPr>
              <w:rPr>
                <w:b/>
                <w:bCs/>
                <w:sz w:val="18"/>
                <w:szCs w:val="18"/>
                <w:lang w:val="lt-LT"/>
              </w:rPr>
            </w:pPr>
            <w:r w:rsidRPr="000C044F">
              <w:rPr>
                <w:b/>
                <w:bCs/>
                <w:sz w:val="18"/>
                <w:szCs w:val="18"/>
                <w:lang w:val="lt-LT"/>
              </w:rPr>
              <w:t>PER VIENERIUS METUS GAUTINOS SUMOS</w:t>
            </w:r>
          </w:p>
        </w:tc>
        <w:tc>
          <w:tcPr>
            <w:tcW w:w="850"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15</w:t>
            </w:r>
            <w:r w:rsidR="00884A1E">
              <w:rPr>
                <w:b/>
                <w:bCs/>
                <w:lang w:val="lt-LT"/>
              </w:rPr>
              <w:t xml:space="preserve"> </w:t>
            </w:r>
            <w:r w:rsidRPr="00976BFA">
              <w:rPr>
                <w:b/>
                <w:bCs/>
                <w:lang w:val="lt-LT"/>
              </w:rPr>
              <w:t>282</w:t>
            </w:r>
          </w:p>
        </w:tc>
        <w:tc>
          <w:tcPr>
            <w:tcW w:w="851" w:type="dxa"/>
            <w:tcBorders>
              <w:top w:val="nil"/>
              <w:left w:val="nil"/>
              <w:bottom w:val="single" w:sz="4" w:space="0" w:color="auto"/>
              <w:right w:val="single" w:sz="4" w:space="0" w:color="auto"/>
            </w:tcBorders>
            <w:shd w:val="clear" w:color="auto" w:fill="auto"/>
            <w:noWrap/>
            <w:vAlign w:val="bottom"/>
            <w:hideMark/>
          </w:tcPr>
          <w:p w:rsidR="00B4365D" w:rsidRPr="00976BFA" w:rsidRDefault="00B4365D" w:rsidP="004634E5">
            <w:pPr>
              <w:jc w:val="right"/>
              <w:rPr>
                <w:b/>
                <w:bCs/>
                <w:lang w:val="lt-LT"/>
              </w:rPr>
            </w:pPr>
            <w:r w:rsidRPr="00976BFA">
              <w:rPr>
                <w:b/>
                <w:bCs/>
                <w:lang w:val="lt-LT"/>
              </w:rPr>
              <w:t>11</w:t>
            </w:r>
            <w:r w:rsidR="00884A1E">
              <w:rPr>
                <w:b/>
                <w:bCs/>
                <w:lang w:val="lt-LT"/>
              </w:rPr>
              <w:t xml:space="preserve"> </w:t>
            </w:r>
            <w:r w:rsidRPr="00976BFA">
              <w:rPr>
                <w:b/>
                <w:bCs/>
                <w:lang w:val="lt-LT"/>
              </w:rPr>
              <w:t>791</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4365D" w:rsidRPr="00976BFA" w:rsidRDefault="00B4365D" w:rsidP="004634E5">
            <w:pPr>
              <w:rPr>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B4365D" w:rsidRPr="00976BFA" w:rsidRDefault="00B4365D" w:rsidP="00594CF5">
            <w:pPr>
              <w:jc w:val="center"/>
              <w:rPr>
                <w:lang w:val="lt-LT"/>
              </w:rPr>
            </w:pPr>
          </w:p>
        </w:tc>
      </w:tr>
      <w:tr w:rsidR="00976BFA"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976BFA" w:rsidRPr="00976BFA" w:rsidRDefault="00976BFA" w:rsidP="004634E5">
            <w:pPr>
              <w:jc w:val="center"/>
              <w:rPr>
                <w:lang w:val="lt-LT"/>
              </w:rPr>
            </w:pPr>
            <w:r w:rsidRPr="00976BFA">
              <w:rPr>
                <w:lang w:val="lt-LT"/>
              </w:rPr>
              <w:t>II.1.</w:t>
            </w:r>
          </w:p>
        </w:tc>
        <w:tc>
          <w:tcPr>
            <w:tcW w:w="2694" w:type="dxa"/>
            <w:tcBorders>
              <w:top w:val="nil"/>
              <w:left w:val="nil"/>
              <w:bottom w:val="single" w:sz="4" w:space="0" w:color="auto"/>
              <w:right w:val="single" w:sz="4" w:space="0" w:color="auto"/>
            </w:tcBorders>
            <w:shd w:val="clear" w:color="auto" w:fill="auto"/>
            <w:hideMark/>
          </w:tcPr>
          <w:p w:rsidR="00976BFA" w:rsidRPr="00976BFA" w:rsidRDefault="00976BFA" w:rsidP="00594CF5">
            <w:pPr>
              <w:rPr>
                <w:lang w:val="lt-LT"/>
              </w:rPr>
            </w:pPr>
            <w:r w:rsidRPr="00976BFA">
              <w:rPr>
                <w:lang w:val="lt-LT"/>
              </w:rPr>
              <w:t>Pirkėjų įsiskolinimas</w:t>
            </w:r>
          </w:p>
        </w:tc>
        <w:tc>
          <w:tcPr>
            <w:tcW w:w="850"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lang w:val="lt-LT"/>
              </w:rPr>
            </w:pPr>
            <w:r w:rsidRPr="00976BFA">
              <w:rPr>
                <w:lang w:val="lt-LT"/>
              </w:rPr>
              <w:t>8</w:t>
            </w:r>
          </w:p>
        </w:tc>
        <w:tc>
          <w:tcPr>
            <w:tcW w:w="851"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lang w:val="lt-LT"/>
              </w:rPr>
            </w:pPr>
            <w:r w:rsidRPr="00976BFA">
              <w:rPr>
                <w:lang w:val="lt-LT"/>
              </w:rPr>
              <w:t>13</w:t>
            </w:r>
          </w:p>
        </w:tc>
        <w:tc>
          <w:tcPr>
            <w:tcW w:w="2551"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2B7422">
            <w:pPr>
              <w:rPr>
                <w:lang w:val="lt-LT"/>
              </w:rPr>
            </w:pPr>
            <w:r w:rsidRPr="00976BFA">
              <w:rPr>
                <w:lang w:val="lt-LT"/>
              </w:rPr>
              <w:t>Nesvarbus, nedaug ūk. operacijų</w:t>
            </w:r>
          </w:p>
        </w:tc>
        <w:tc>
          <w:tcPr>
            <w:tcW w:w="709" w:type="dxa"/>
            <w:tcBorders>
              <w:top w:val="nil"/>
              <w:left w:val="nil"/>
              <w:bottom w:val="single" w:sz="4" w:space="0" w:color="auto"/>
              <w:right w:val="single" w:sz="4" w:space="0" w:color="auto"/>
            </w:tcBorders>
            <w:vAlign w:val="bottom"/>
          </w:tcPr>
          <w:p w:rsidR="00976BFA" w:rsidRPr="00976BFA" w:rsidRDefault="00976BFA" w:rsidP="00594CF5">
            <w:pPr>
              <w:jc w:val="center"/>
              <w:rPr>
                <w:lang w:val="lt-LT"/>
              </w:rPr>
            </w:pPr>
            <w:r w:rsidRPr="00976BFA">
              <w:rPr>
                <w:lang w:val="lt-LT"/>
              </w:rPr>
              <w:t>X</w:t>
            </w:r>
          </w:p>
        </w:tc>
      </w:tr>
      <w:tr w:rsidR="00976BFA"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976BFA" w:rsidRPr="00976BFA" w:rsidRDefault="00976BFA" w:rsidP="004634E5">
            <w:pPr>
              <w:jc w:val="center"/>
              <w:rPr>
                <w:lang w:val="lt-LT"/>
              </w:rPr>
            </w:pPr>
            <w:r w:rsidRPr="00976BFA">
              <w:rPr>
                <w:lang w:val="lt-LT"/>
              </w:rPr>
              <w:t xml:space="preserve">II.2. </w:t>
            </w:r>
          </w:p>
        </w:tc>
        <w:tc>
          <w:tcPr>
            <w:tcW w:w="2694" w:type="dxa"/>
            <w:tcBorders>
              <w:top w:val="nil"/>
              <w:left w:val="nil"/>
              <w:bottom w:val="single" w:sz="4" w:space="0" w:color="auto"/>
              <w:right w:val="single" w:sz="4" w:space="0" w:color="auto"/>
            </w:tcBorders>
            <w:shd w:val="clear" w:color="auto" w:fill="auto"/>
            <w:hideMark/>
          </w:tcPr>
          <w:p w:rsidR="00976BFA" w:rsidRPr="00976BFA" w:rsidRDefault="00976BFA" w:rsidP="00594CF5">
            <w:pPr>
              <w:rPr>
                <w:lang w:val="lt-LT"/>
              </w:rPr>
            </w:pPr>
            <w:r w:rsidRPr="00976BFA">
              <w:rPr>
                <w:lang w:val="lt-LT"/>
              </w:rPr>
              <w:t>Iš susijusių šalių gautinos prekybos sumos</w:t>
            </w:r>
          </w:p>
        </w:tc>
        <w:tc>
          <w:tcPr>
            <w:tcW w:w="850"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lang w:val="lt-LT"/>
              </w:rPr>
            </w:pPr>
            <w:r w:rsidRPr="00976BFA">
              <w:rPr>
                <w:lang w:val="lt-LT"/>
              </w:rPr>
              <w:t>10</w:t>
            </w:r>
            <w:r w:rsidR="00884A1E">
              <w:rPr>
                <w:lang w:val="lt-LT"/>
              </w:rPr>
              <w:t xml:space="preserve"> </w:t>
            </w:r>
            <w:r w:rsidRPr="00976BFA">
              <w:rPr>
                <w:lang w:val="lt-LT"/>
              </w:rPr>
              <w:t>242</w:t>
            </w:r>
          </w:p>
        </w:tc>
        <w:tc>
          <w:tcPr>
            <w:tcW w:w="851"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lang w:val="lt-LT"/>
              </w:rPr>
            </w:pPr>
            <w:r w:rsidRPr="00976BFA">
              <w:rPr>
                <w:lang w:val="lt-LT"/>
              </w:rPr>
              <w:t>7</w:t>
            </w:r>
            <w:r w:rsidR="00884A1E">
              <w:rPr>
                <w:lang w:val="lt-LT"/>
              </w:rPr>
              <w:t xml:space="preserve"> </w:t>
            </w:r>
            <w:r w:rsidRPr="00976BFA">
              <w:rPr>
                <w:lang w:val="lt-LT"/>
              </w:rPr>
              <w:t>407</w:t>
            </w:r>
          </w:p>
        </w:tc>
        <w:tc>
          <w:tcPr>
            <w:tcW w:w="2551"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2B7422">
            <w:pPr>
              <w:rPr>
                <w:lang w:val="lt-LT"/>
              </w:rPr>
            </w:pPr>
            <w:r w:rsidRPr="00976BFA">
              <w:rPr>
                <w:lang w:val="lt-LT"/>
              </w:rPr>
              <w:t>Svarbus (pardavimo procesas)</w:t>
            </w:r>
          </w:p>
        </w:tc>
        <w:tc>
          <w:tcPr>
            <w:tcW w:w="709" w:type="dxa"/>
            <w:tcBorders>
              <w:top w:val="nil"/>
              <w:left w:val="nil"/>
              <w:bottom w:val="single" w:sz="4" w:space="0" w:color="auto"/>
              <w:right w:val="single" w:sz="4" w:space="0" w:color="auto"/>
            </w:tcBorders>
            <w:vAlign w:val="bottom"/>
          </w:tcPr>
          <w:p w:rsidR="00976BFA" w:rsidRPr="005E0737" w:rsidRDefault="005E0737" w:rsidP="005E0737">
            <w:pPr>
              <w:jc w:val="center"/>
              <w:rPr>
                <w:b/>
                <w:lang w:val="lt-LT"/>
              </w:rPr>
            </w:pPr>
            <w:r w:rsidRPr="005E0737">
              <w:rPr>
                <w:b/>
                <w:lang w:val="lt-LT"/>
              </w:rPr>
              <w:t>V</w:t>
            </w:r>
          </w:p>
        </w:tc>
      </w:tr>
      <w:tr w:rsidR="00976BFA"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976BFA" w:rsidRPr="00976BFA" w:rsidRDefault="00976BFA" w:rsidP="004634E5">
            <w:pPr>
              <w:jc w:val="center"/>
              <w:rPr>
                <w:lang w:val="lt-LT"/>
              </w:rPr>
            </w:pPr>
            <w:r w:rsidRPr="00976BFA">
              <w:rPr>
                <w:lang w:val="lt-LT"/>
              </w:rPr>
              <w:t>II.2.</w:t>
            </w:r>
          </w:p>
        </w:tc>
        <w:tc>
          <w:tcPr>
            <w:tcW w:w="2694" w:type="dxa"/>
            <w:tcBorders>
              <w:top w:val="nil"/>
              <w:left w:val="nil"/>
              <w:bottom w:val="single" w:sz="4" w:space="0" w:color="auto"/>
              <w:right w:val="single" w:sz="4" w:space="0" w:color="auto"/>
            </w:tcBorders>
            <w:shd w:val="clear" w:color="auto" w:fill="auto"/>
            <w:hideMark/>
          </w:tcPr>
          <w:p w:rsidR="00976BFA" w:rsidRPr="00976BFA" w:rsidRDefault="00976BFA" w:rsidP="00D767DB">
            <w:pPr>
              <w:rPr>
                <w:lang w:val="lt-LT"/>
              </w:rPr>
            </w:pPr>
            <w:r w:rsidRPr="00976BFA">
              <w:rPr>
                <w:lang w:val="lt-LT"/>
              </w:rPr>
              <w:t>Kitos gautinos sumos (suteiktos paskolos, lizingas)</w:t>
            </w:r>
          </w:p>
        </w:tc>
        <w:tc>
          <w:tcPr>
            <w:tcW w:w="850"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lang w:val="lt-LT"/>
              </w:rPr>
            </w:pPr>
            <w:r w:rsidRPr="00976BFA">
              <w:rPr>
                <w:lang w:val="lt-LT"/>
              </w:rPr>
              <w:t>5</w:t>
            </w:r>
            <w:r w:rsidR="00884A1E">
              <w:rPr>
                <w:lang w:val="lt-LT"/>
              </w:rPr>
              <w:t xml:space="preserve"> </w:t>
            </w:r>
            <w:r w:rsidRPr="00976BFA">
              <w:rPr>
                <w:lang w:val="lt-LT"/>
              </w:rPr>
              <w:t>032</w:t>
            </w:r>
          </w:p>
        </w:tc>
        <w:tc>
          <w:tcPr>
            <w:tcW w:w="851"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lang w:val="lt-LT"/>
              </w:rPr>
            </w:pPr>
            <w:r w:rsidRPr="00976BFA">
              <w:rPr>
                <w:lang w:val="lt-LT"/>
              </w:rPr>
              <w:t>4</w:t>
            </w:r>
            <w:r w:rsidR="00884A1E">
              <w:rPr>
                <w:lang w:val="lt-LT"/>
              </w:rPr>
              <w:t xml:space="preserve"> </w:t>
            </w:r>
            <w:r w:rsidRPr="00976BFA">
              <w:rPr>
                <w:lang w:val="lt-LT"/>
              </w:rPr>
              <w:t>371</w:t>
            </w:r>
          </w:p>
        </w:tc>
        <w:tc>
          <w:tcPr>
            <w:tcW w:w="2551" w:type="dxa"/>
            <w:tcBorders>
              <w:top w:val="nil"/>
              <w:left w:val="nil"/>
              <w:bottom w:val="single" w:sz="4" w:space="0" w:color="auto"/>
              <w:right w:val="single" w:sz="4" w:space="0" w:color="auto"/>
            </w:tcBorders>
            <w:shd w:val="clear" w:color="auto" w:fill="auto"/>
            <w:noWrap/>
            <w:vAlign w:val="bottom"/>
            <w:hideMark/>
          </w:tcPr>
          <w:p w:rsidR="00976BFA" w:rsidRPr="00976BFA" w:rsidRDefault="00550970" w:rsidP="00D767DB">
            <w:pPr>
              <w:rPr>
                <w:lang w:val="lt-LT"/>
              </w:rPr>
            </w:pPr>
            <w:r>
              <w:rPr>
                <w:lang w:val="lt-LT"/>
              </w:rPr>
              <w:t>Nors ir viršij</w:t>
            </w:r>
            <w:r w:rsidR="00D767DB">
              <w:rPr>
                <w:lang w:val="lt-LT"/>
              </w:rPr>
              <w:t>a</w:t>
            </w:r>
            <w:r>
              <w:rPr>
                <w:lang w:val="lt-LT"/>
              </w:rPr>
              <w:t>, tačiau</w:t>
            </w:r>
            <w:r w:rsidR="00976BFA" w:rsidRPr="00976BFA">
              <w:rPr>
                <w:lang w:val="lt-LT"/>
              </w:rPr>
              <w:t xml:space="preserve"> nedaug ir nesudėtingos ūk. operacijos</w:t>
            </w:r>
          </w:p>
        </w:tc>
        <w:tc>
          <w:tcPr>
            <w:tcW w:w="709" w:type="dxa"/>
            <w:tcBorders>
              <w:top w:val="nil"/>
              <w:left w:val="nil"/>
              <w:bottom w:val="single" w:sz="4" w:space="0" w:color="auto"/>
              <w:right w:val="single" w:sz="4" w:space="0" w:color="auto"/>
            </w:tcBorders>
            <w:vAlign w:val="bottom"/>
          </w:tcPr>
          <w:p w:rsidR="00976BFA" w:rsidRPr="00976BFA" w:rsidRDefault="00976BFA" w:rsidP="00594CF5">
            <w:pPr>
              <w:jc w:val="center"/>
              <w:rPr>
                <w:lang w:val="lt-LT"/>
              </w:rPr>
            </w:pPr>
            <w:r w:rsidRPr="00976BFA">
              <w:rPr>
                <w:lang w:val="lt-LT"/>
              </w:rPr>
              <w:t>X</w:t>
            </w:r>
          </w:p>
        </w:tc>
      </w:tr>
      <w:tr w:rsidR="00976BFA"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976BFA" w:rsidRPr="00976BFA" w:rsidRDefault="00976BFA" w:rsidP="004634E5">
            <w:pPr>
              <w:jc w:val="center"/>
              <w:rPr>
                <w:b/>
                <w:bCs/>
                <w:lang w:val="lt-LT"/>
              </w:rPr>
            </w:pPr>
            <w:r w:rsidRPr="00976BFA">
              <w:rPr>
                <w:b/>
                <w:bCs/>
                <w:lang w:val="lt-LT"/>
              </w:rPr>
              <w:t>III.</w:t>
            </w:r>
          </w:p>
        </w:tc>
        <w:tc>
          <w:tcPr>
            <w:tcW w:w="2694" w:type="dxa"/>
            <w:tcBorders>
              <w:top w:val="nil"/>
              <w:left w:val="nil"/>
              <w:bottom w:val="single" w:sz="4" w:space="0" w:color="auto"/>
              <w:right w:val="single" w:sz="4" w:space="0" w:color="auto"/>
            </w:tcBorders>
            <w:shd w:val="clear" w:color="auto" w:fill="auto"/>
            <w:hideMark/>
          </w:tcPr>
          <w:p w:rsidR="00976BFA" w:rsidRPr="000C044F" w:rsidRDefault="00976BFA" w:rsidP="00594CF5">
            <w:pPr>
              <w:rPr>
                <w:b/>
                <w:bCs/>
                <w:sz w:val="18"/>
                <w:szCs w:val="18"/>
                <w:lang w:val="lt-LT"/>
              </w:rPr>
            </w:pPr>
            <w:r w:rsidRPr="000C044F">
              <w:rPr>
                <w:b/>
                <w:bCs/>
                <w:sz w:val="18"/>
                <w:szCs w:val="18"/>
                <w:lang w:val="lt-LT"/>
              </w:rPr>
              <w:t>KITAS TRUMPALAIKIS TURTAS</w:t>
            </w:r>
          </w:p>
        </w:tc>
        <w:tc>
          <w:tcPr>
            <w:tcW w:w="850"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b/>
                <w:bCs/>
                <w:lang w:val="lt-LT"/>
              </w:rPr>
            </w:pPr>
            <w:r w:rsidRPr="00976BFA">
              <w:rPr>
                <w:b/>
                <w:bCs/>
                <w:lang w:val="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b/>
                <w:bCs/>
                <w:lang w:val="lt-LT"/>
              </w:rPr>
            </w:pPr>
            <w:r w:rsidRPr="00976BFA">
              <w:rPr>
                <w:b/>
                <w:bCs/>
                <w:lang w:val="lt-LT"/>
              </w:rPr>
              <w:t>0</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76BFA" w:rsidRPr="00976BFA" w:rsidRDefault="00976BFA" w:rsidP="004634E5">
            <w:pPr>
              <w:rPr>
                <w:lang w:val="lt-LT"/>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976BFA" w:rsidRPr="00976BFA" w:rsidRDefault="00976BFA" w:rsidP="00594CF5">
            <w:pPr>
              <w:jc w:val="center"/>
              <w:rPr>
                <w:lang w:val="lt-LT"/>
              </w:rPr>
            </w:pPr>
          </w:p>
        </w:tc>
      </w:tr>
      <w:tr w:rsidR="00976BFA" w:rsidRPr="00976BFA" w:rsidTr="0022272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976BFA" w:rsidRPr="00976BFA" w:rsidRDefault="00976BFA" w:rsidP="004634E5">
            <w:pPr>
              <w:jc w:val="center"/>
              <w:rPr>
                <w:b/>
                <w:bCs/>
                <w:lang w:val="lt-LT"/>
              </w:rPr>
            </w:pPr>
            <w:r w:rsidRPr="00976BFA">
              <w:rPr>
                <w:b/>
                <w:bCs/>
                <w:lang w:val="lt-LT"/>
              </w:rPr>
              <w:t>IV.</w:t>
            </w:r>
          </w:p>
        </w:tc>
        <w:tc>
          <w:tcPr>
            <w:tcW w:w="2694" w:type="dxa"/>
            <w:tcBorders>
              <w:top w:val="nil"/>
              <w:left w:val="nil"/>
              <w:bottom w:val="single" w:sz="4" w:space="0" w:color="auto"/>
              <w:right w:val="single" w:sz="4" w:space="0" w:color="auto"/>
            </w:tcBorders>
            <w:shd w:val="clear" w:color="auto" w:fill="auto"/>
            <w:hideMark/>
          </w:tcPr>
          <w:p w:rsidR="00976BFA" w:rsidRPr="000C044F" w:rsidRDefault="00976BFA" w:rsidP="00594CF5">
            <w:pPr>
              <w:rPr>
                <w:b/>
                <w:bCs/>
                <w:sz w:val="18"/>
                <w:szCs w:val="18"/>
                <w:lang w:val="lt-LT"/>
              </w:rPr>
            </w:pPr>
            <w:r w:rsidRPr="000C044F">
              <w:rPr>
                <w:b/>
                <w:bCs/>
                <w:sz w:val="18"/>
                <w:szCs w:val="18"/>
                <w:lang w:val="lt-LT"/>
              </w:rPr>
              <w:t>PINIGAI IR PINIGŲ EKVIVALENTAI</w:t>
            </w:r>
          </w:p>
        </w:tc>
        <w:tc>
          <w:tcPr>
            <w:tcW w:w="850"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b/>
                <w:bCs/>
                <w:lang w:val="lt-LT"/>
              </w:rPr>
            </w:pPr>
            <w:r w:rsidRPr="00976BFA">
              <w:rPr>
                <w:b/>
                <w:bCs/>
                <w:lang w:val="lt-LT"/>
              </w:rPr>
              <w:t>165</w:t>
            </w:r>
          </w:p>
        </w:tc>
        <w:tc>
          <w:tcPr>
            <w:tcW w:w="851"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4634E5">
            <w:pPr>
              <w:jc w:val="right"/>
              <w:rPr>
                <w:b/>
                <w:bCs/>
                <w:lang w:val="lt-LT"/>
              </w:rPr>
            </w:pPr>
            <w:r w:rsidRPr="00976BFA">
              <w:rPr>
                <w:b/>
                <w:bCs/>
                <w:lang w:val="lt-LT"/>
              </w:rPr>
              <w:t>916</w:t>
            </w:r>
          </w:p>
        </w:tc>
        <w:tc>
          <w:tcPr>
            <w:tcW w:w="2551" w:type="dxa"/>
            <w:tcBorders>
              <w:top w:val="nil"/>
              <w:left w:val="nil"/>
              <w:bottom w:val="single" w:sz="4" w:space="0" w:color="auto"/>
              <w:right w:val="single" w:sz="4" w:space="0" w:color="auto"/>
            </w:tcBorders>
            <w:shd w:val="clear" w:color="auto" w:fill="auto"/>
            <w:noWrap/>
            <w:vAlign w:val="bottom"/>
            <w:hideMark/>
          </w:tcPr>
          <w:p w:rsidR="00976BFA" w:rsidRPr="00976BFA" w:rsidRDefault="00976BFA" w:rsidP="00976BFA">
            <w:pPr>
              <w:rPr>
                <w:lang w:val="lt-LT"/>
              </w:rPr>
            </w:pPr>
            <w:r w:rsidRPr="00976BFA">
              <w:rPr>
                <w:lang w:val="lt-LT"/>
              </w:rPr>
              <w:t>Nesvarbus, nesudėtingos ūk. operacijos</w:t>
            </w:r>
          </w:p>
        </w:tc>
        <w:tc>
          <w:tcPr>
            <w:tcW w:w="709" w:type="dxa"/>
            <w:tcBorders>
              <w:top w:val="nil"/>
              <w:left w:val="nil"/>
              <w:bottom w:val="single" w:sz="4" w:space="0" w:color="auto"/>
              <w:right w:val="single" w:sz="4" w:space="0" w:color="auto"/>
            </w:tcBorders>
            <w:vAlign w:val="bottom"/>
          </w:tcPr>
          <w:p w:rsidR="00976BFA" w:rsidRPr="00976BFA" w:rsidRDefault="00976BFA" w:rsidP="00594CF5">
            <w:pPr>
              <w:jc w:val="center"/>
              <w:rPr>
                <w:lang w:val="lt-LT"/>
              </w:rPr>
            </w:pPr>
            <w:r w:rsidRPr="00976BFA">
              <w:rPr>
                <w:lang w:val="lt-LT"/>
              </w:rPr>
              <w:t>X</w:t>
            </w:r>
          </w:p>
        </w:tc>
      </w:tr>
      <w:tr w:rsidR="00976BFA" w:rsidRPr="00976BFA" w:rsidTr="0022272D">
        <w:trPr>
          <w:trHeight w:val="273"/>
        </w:trPr>
        <w:tc>
          <w:tcPr>
            <w:tcW w:w="572" w:type="dxa"/>
            <w:tcBorders>
              <w:top w:val="nil"/>
              <w:left w:val="single" w:sz="4" w:space="0" w:color="auto"/>
              <w:bottom w:val="single" w:sz="4" w:space="0" w:color="auto"/>
              <w:right w:val="single" w:sz="4" w:space="0" w:color="auto"/>
            </w:tcBorders>
            <w:shd w:val="clear" w:color="000000" w:fill="A5A5A5"/>
            <w:hideMark/>
          </w:tcPr>
          <w:p w:rsidR="00976BFA" w:rsidRPr="00976BFA" w:rsidRDefault="00976BFA" w:rsidP="004634E5">
            <w:pPr>
              <w:jc w:val="center"/>
              <w:rPr>
                <w:b/>
                <w:bCs/>
                <w:lang w:val="lt-LT"/>
              </w:rPr>
            </w:pPr>
            <w:r w:rsidRPr="00976BFA">
              <w:rPr>
                <w:b/>
                <w:bCs/>
                <w:lang w:val="lt-LT"/>
              </w:rPr>
              <w:t> </w:t>
            </w:r>
          </w:p>
        </w:tc>
        <w:tc>
          <w:tcPr>
            <w:tcW w:w="2694" w:type="dxa"/>
            <w:tcBorders>
              <w:top w:val="nil"/>
              <w:left w:val="nil"/>
              <w:bottom w:val="single" w:sz="4" w:space="0" w:color="auto"/>
              <w:right w:val="single" w:sz="4" w:space="0" w:color="auto"/>
            </w:tcBorders>
            <w:shd w:val="clear" w:color="auto" w:fill="A6A6A6" w:themeFill="background1" w:themeFillShade="A6"/>
            <w:vAlign w:val="bottom"/>
            <w:hideMark/>
          </w:tcPr>
          <w:p w:rsidR="00976BFA" w:rsidRPr="00976BFA" w:rsidRDefault="00976BFA" w:rsidP="004634E5">
            <w:pPr>
              <w:rPr>
                <w:b/>
                <w:bCs/>
                <w:lang w:val="lt-LT"/>
              </w:rPr>
            </w:pPr>
            <w:r w:rsidRPr="00976BFA">
              <w:rPr>
                <w:b/>
                <w:bCs/>
                <w:lang w:val="lt-LT"/>
              </w:rPr>
              <w:t>TURTO, IŠ VISO:</w:t>
            </w:r>
          </w:p>
        </w:tc>
        <w:tc>
          <w:tcPr>
            <w:tcW w:w="850" w:type="dxa"/>
            <w:tcBorders>
              <w:top w:val="nil"/>
              <w:left w:val="nil"/>
              <w:bottom w:val="single" w:sz="4" w:space="0" w:color="auto"/>
              <w:right w:val="single" w:sz="4" w:space="0" w:color="auto"/>
            </w:tcBorders>
            <w:shd w:val="clear" w:color="auto" w:fill="A6A6A6" w:themeFill="background1" w:themeFillShade="A6"/>
            <w:noWrap/>
            <w:vAlign w:val="bottom"/>
            <w:hideMark/>
          </w:tcPr>
          <w:p w:rsidR="00976BFA" w:rsidRPr="00976BFA" w:rsidRDefault="00976BFA" w:rsidP="004634E5">
            <w:pPr>
              <w:jc w:val="right"/>
              <w:rPr>
                <w:b/>
                <w:bCs/>
                <w:lang w:val="lt-LT"/>
              </w:rPr>
            </w:pPr>
            <w:r w:rsidRPr="00976BFA">
              <w:rPr>
                <w:b/>
                <w:bCs/>
                <w:lang w:val="lt-LT"/>
              </w:rPr>
              <w:t>29</w:t>
            </w:r>
            <w:r w:rsidR="00884A1E">
              <w:rPr>
                <w:b/>
                <w:bCs/>
                <w:lang w:val="lt-LT"/>
              </w:rPr>
              <w:t xml:space="preserve"> </w:t>
            </w:r>
            <w:r w:rsidRPr="00976BFA">
              <w:rPr>
                <w:b/>
                <w:bCs/>
                <w:lang w:val="lt-LT"/>
              </w:rPr>
              <w:t>974</w:t>
            </w:r>
          </w:p>
        </w:tc>
        <w:tc>
          <w:tcPr>
            <w:tcW w:w="851" w:type="dxa"/>
            <w:tcBorders>
              <w:top w:val="nil"/>
              <w:left w:val="nil"/>
              <w:bottom w:val="single" w:sz="4" w:space="0" w:color="auto"/>
              <w:right w:val="single" w:sz="4" w:space="0" w:color="auto"/>
            </w:tcBorders>
            <w:shd w:val="clear" w:color="auto" w:fill="A6A6A6" w:themeFill="background1" w:themeFillShade="A6"/>
            <w:noWrap/>
            <w:vAlign w:val="bottom"/>
            <w:hideMark/>
          </w:tcPr>
          <w:p w:rsidR="00976BFA" w:rsidRPr="00976BFA" w:rsidRDefault="00976BFA" w:rsidP="004634E5">
            <w:pPr>
              <w:jc w:val="right"/>
              <w:rPr>
                <w:b/>
                <w:bCs/>
                <w:lang w:val="lt-LT"/>
              </w:rPr>
            </w:pPr>
            <w:r w:rsidRPr="00976BFA">
              <w:rPr>
                <w:b/>
                <w:bCs/>
                <w:lang w:val="lt-LT"/>
              </w:rPr>
              <w:t>27</w:t>
            </w:r>
            <w:r w:rsidR="00884A1E">
              <w:rPr>
                <w:b/>
                <w:bCs/>
                <w:lang w:val="lt-LT"/>
              </w:rPr>
              <w:t xml:space="preserve"> </w:t>
            </w:r>
            <w:r w:rsidRPr="00976BFA">
              <w:rPr>
                <w:b/>
                <w:bCs/>
                <w:lang w:val="lt-LT"/>
              </w:rPr>
              <w:t>269</w:t>
            </w:r>
          </w:p>
        </w:tc>
        <w:tc>
          <w:tcPr>
            <w:tcW w:w="2551"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976BFA" w:rsidRPr="00976BFA" w:rsidRDefault="00976BFA" w:rsidP="004634E5">
            <w:pPr>
              <w:rPr>
                <w:b/>
                <w:bCs/>
                <w:lang w:val="lt-LT"/>
              </w:rPr>
            </w:pPr>
          </w:p>
        </w:tc>
        <w:tc>
          <w:tcPr>
            <w:tcW w:w="709"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976BFA" w:rsidRPr="00976BFA" w:rsidRDefault="00976BFA" w:rsidP="004634E5">
            <w:pPr>
              <w:rPr>
                <w:b/>
                <w:bCs/>
                <w:lang w:val="lt-LT"/>
              </w:rPr>
            </w:pPr>
          </w:p>
        </w:tc>
      </w:tr>
    </w:tbl>
    <w:p w:rsidR="00D767DB" w:rsidRPr="000F65D5" w:rsidRDefault="00D767DB" w:rsidP="00E1617D">
      <w:pPr>
        <w:pStyle w:val="NormalWeb"/>
        <w:spacing w:before="120" w:beforeAutospacing="0" w:after="0" w:afterAutospacing="0"/>
        <w:jc w:val="both"/>
        <w:rPr>
          <w:sz w:val="20"/>
          <w:szCs w:val="20"/>
          <w:lang w:val="lt-LT"/>
        </w:rPr>
      </w:pPr>
      <w:r w:rsidRPr="000F65D5">
        <w:rPr>
          <w:sz w:val="20"/>
          <w:szCs w:val="20"/>
          <w:lang w:val="lt-LT"/>
        </w:rPr>
        <w:t>Pastaba</w:t>
      </w:r>
      <w:r>
        <w:rPr>
          <w:sz w:val="20"/>
          <w:szCs w:val="20"/>
          <w:lang w:val="lt-LT"/>
        </w:rPr>
        <w:t>:</w:t>
      </w:r>
      <w:r w:rsidRPr="000F65D5">
        <w:rPr>
          <w:sz w:val="20"/>
          <w:szCs w:val="20"/>
          <w:lang w:val="lt-LT"/>
        </w:rPr>
        <w:t xml:space="preserve"> </w:t>
      </w:r>
      <w:r>
        <w:rPr>
          <w:sz w:val="20"/>
          <w:szCs w:val="20"/>
          <w:lang w:val="lt-LT"/>
        </w:rPr>
        <w:t>Susijęs t</w:t>
      </w:r>
      <w:r w:rsidRPr="000F65D5">
        <w:rPr>
          <w:sz w:val="20"/>
          <w:szCs w:val="20"/>
          <w:lang w:val="lt-LT"/>
        </w:rPr>
        <w:t>virtinima</w:t>
      </w:r>
      <w:r>
        <w:rPr>
          <w:sz w:val="20"/>
          <w:szCs w:val="20"/>
          <w:lang w:val="lt-LT"/>
        </w:rPr>
        <w:t>s</w:t>
      </w:r>
      <w:r w:rsidRPr="000F65D5">
        <w:rPr>
          <w:sz w:val="20"/>
          <w:szCs w:val="20"/>
          <w:lang w:val="lt-LT"/>
        </w:rPr>
        <w:t>: buvimas (B), įvertinimas (V)</w:t>
      </w:r>
      <w:r>
        <w:rPr>
          <w:sz w:val="20"/>
          <w:szCs w:val="20"/>
          <w:lang w:val="lt-LT"/>
        </w:rPr>
        <w:t>.</w:t>
      </w:r>
    </w:p>
    <w:p w:rsidR="002831E4" w:rsidRPr="002831E4" w:rsidRDefault="002831E4" w:rsidP="00E1617D">
      <w:pPr>
        <w:pStyle w:val="NormalWeb"/>
        <w:spacing w:before="0" w:beforeAutospacing="0" w:after="0" w:afterAutospacing="0"/>
        <w:jc w:val="both"/>
        <w:rPr>
          <w:sz w:val="20"/>
          <w:szCs w:val="20"/>
          <w:lang w:val="lt-LT"/>
        </w:rPr>
      </w:pPr>
      <w:r w:rsidRPr="002831E4">
        <w:rPr>
          <w:sz w:val="20"/>
          <w:szCs w:val="20"/>
          <w:lang w:val="lt-LT"/>
        </w:rPr>
        <w:t>Šaltinis:</w:t>
      </w:r>
      <w:r>
        <w:rPr>
          <w:sz w:val="20"/>
          <w:szCs w:val="20"/>
          <w:lang w:val="lt-LT"/>
        </w:rPr>
        <w:t xml:space="preserve"> sudaryta autorės, remiantis UAB „Žuvila“ 2008 metų finansinėmis ataskaitomis.</w:t>
      </w:r>
    </w:p>
    <w:p w:rsidR="00223ACB" w:rsidRPr="0027771F" w:rsidRDefault="00473ADA" w:rsidP="00CD3F42">
      <w:pPr>
        <w:ind w:firstLine="720"/>
        <w:jc w:val="right"/>
        <w:rPr>
          <w:i/>
          <w:sz w:val="26"/>
          <w:szCs w:val="26"/>
          <w:lang w:val="lt-LT"/>
        </w:rPr>
      </w:pPr>
      <w:r w:rsidRPr="0027771F">
        <w:rPr>
          <w:i/>
          <w:sz w:val="26"/>
          <w:szCs w:val="26"/>
          <w:lang w:val="lt-LT"/>
        </w:rPr>
        <w:lastRenderedPageBreak/>
        <w:t>3</w:t>
      </w:r>
      <w:r w:rsidR="00036530">
        <w:rPr>
          <w:i/>
          <w:sz w:val="26"/>
          <w:szCs w:val="26"/>
          <w:lang w:val="lt-LT"/>
        </w:rPr>
        <w:t>4</w:t>
      </w:r>
      <w:r w:rsidR="00223ACB" w:rsidRPr="0027771F">
        <w:rPr>
          <w:i/>
          <w:sz w:val="26"/>
          <w:szCs w:val="26"/>
          <w:lang w:val="lt-LT"/>
        </w:rPr>
        <w:t xml:space="preserve"> lentelė</w:t>
      </w:r>
    </w:p>
    <w:p w:rsidR="00223ACB" w:rsidRPr="0027771F" w:rsidRDefault="00223ACB" w:rsidP="00CD3F42">
      <w:pPr>
        <w:tabs>
          <w:tab w:val="left" w:pos="567"/>
        </w:tabs>
        <w:jc w:val="center"/>
        <w:rPr>
          <w:b/>
          <w:sz w:val="26"/>
          <w:szCs w:val="26"/>
          <w:lang w:val="lt-LT"/>
        </w:rPr>
      </w:pPr>
      <w:r w:rsidRPr="0027771F">
        <w:rPr>
          <w:b/>
          <w:sz w:val="26"/>
          <w:szCs w:val="26"/>
          <w:lang w:val="lt-LT"/>
        </w:rPr>
        <w:t>UAB „</w:t>
      </w:r>
      <w:r w:rsidR="00B90C11" w:rsidRPr="0027771F">
        <w:rPr>
          <w:b/>
          <w:sz w:val="26"/>
          <w:szCs w:val="26"/>
          <w:lang w:val="lt-LT"/>
        </w:rPr>
        <w:t>Žuvila</w:t>
      </w:r>
      <w:r w:rsidRPr="0027771F">
        <w:rPr>
          <w:b/>
          <w:sz w:val="26"/>
          <w:szCs w:val="26"/>
          <w:lang w:val="lt-LT"/>
        </w:rPr>
        <w:t>“ 2008-12-31 d. balanso nuosavybės ir įsipareigojimų dalies elementų svarbos vertinimas, tūkst. Lt</w:t>
      </w:r>
    </w:p>
    <w:tbl>
      <w:tblPr>
        <w:tblW w:w="822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2570"/>
        <w:gridCol w:w="850"/>
        <w:gridCol w:w="851"/>
        <w:gridCol w:w="2693"/>
        <w:gridCol w:w="567"/>
      </w:tblGrid>
      <w:tr w:rsidR="00223ACB" w:rsidRPr="0000003C" w:rsidTr="005F7C5D">
        <w:trPr>
          <w:cantSplit/>
          <w:trHeight w:val="1347"/>
        </w:trPr>
        <w:tc>
          <w:tcPr>
            <w:tcW w:w="696" w:type="dxa"/>
            <w:shd w:val="clear" w:color="000000" w:fill="A5A5A5"/>
            <w:hideMark/>
          </w:tcPr>
          <w:p w:rsidR="00223ACB" w:rsidRPr="0000003C" w:rsidRDefault="00223ACB" w:rsidP="004634E5">
            <w:pPr>
              <w:rPr>
                <w:lang w:val="lt-LT"/>
              </w:rPr>
            </w:pPr>
            <w:r w:rsidRPr="0000003C">
              <w:rPr>
                <w:lang w:val="lt-LT"/>
              </w:rPr>
              <w:t> </w:t>
            </w:r>
          </w:p>
        </w:tc>
        <w:tc>
          <w:tcPr>
            <w:tcW w:w="2570" w:type="dxa"/>
            <w:shd w:val="clear" w:color="000000" w:fill="A5A5A5"/>
            <w:vAlign w:val="center"/>
            <w:hideMark/>
          </w:tcPr>
          <w:p w:rsidR="00223ACB" w:rsidRPr="0000003C" w:rsidRDefault="00223ACB" w:rsidP="004634E5">
            <w:pPr>
              <w:jc w:val="center"/>
              <w:rPr>
                <w:b/>
                <w:lang w:val="lt-LT"/>
              </w:rPr>
            </w:pPr>
            <w:r w:rsidRPr="0000003C">
              <w:rPr>
                <w:b/>
                <w:lang w:val="lt-LT"/>
              </w:rPr>
              <w:t>Elementas</w:t>
            </w:r>
          </w:p>
        </w:tc>
        <w:tc>
          <w:tcPr>
            <w:tcW w:w="850" w:type="dxa"/>
            <w:shd w:val="clear" w:color="000000" w:fill="A5A5A5"/>
            <w:textDirection w:val="btLr"/>
            <w:vAlign w:val="center"/>
            <w:hideMark/>
          </w:tcPr>
          <w:p w:rsidR="00223ACB" w:rsidRPr="0000003C" w:rsidRDefault="00223ACB" w:rsidP="0027771F">
            <w:pPr>
              <w:ind w:left="113" w:right="113"/>
              <w:jc w:val="center"/>
              <w:rPr>
                <w:b/>
                <w:bCs/>
                <w:lang w:val="lt-LT"/>
              </w:rPr>
            </w:pPr>
            <w:r w:rsidRPr="0000003C">
              <w:rPr>
                <w:b/>
                <w:bCs/>
                <w:lang w:val="lt-LT"/>
              </w:rPr>
              <w:t>2008.12.31</w:t>
            </w:r>
          </w:p>
        </w:tc>
        <w:tc>
          <w:tcPr>
            <w:tcW w:w="851" w:type="dxa"/>
            <w:shd w:val="clear" w:color="000000" w:fill="A5A5A5"/>
            <w:textDirection w:val="btLr"/>
            <w:vAlign w:val="center"/>
            <w:hideMark/>
          </w:tcPr>
          <w:p w:rsidR="00223ACB" w:rsidRPr="0000003C" w:rsidRDefault="00223ACB" w:rsidP="0027771F">
            <w:pPr>
              <w:ind w:left="113" w:right="113"/>
              <w:jc w:val="center"/>
              <w:rPr>
                <w:b/>
                <w:bCs/>
                <w:lang w:val="lt-LT"/>
              </w:rPr>
            </w:pPr>
            <w:r w:rsidRPr="0000003C">
              <w:rPr>
                <w:b/>
                <w:bCs/>
                <w:lang w:val="lt-LT"/>
              </w:rPr>
              <w:t>2007.12.31</w:t>
            </w:r>
          </w:p>
        </w:tc>
        <w:tc>
          <w:tcPr>
            <w:tcW w:w="2693" w:type="dxa"/>
            <w:shd w:val="clear" w:color="000000" w:fill="A5A5A5"/>
            <w:noWrap/>
            <w:vAlign w:val="center"/>
            <w:hideMark/>
          </w:tcPr>
          <w:p w:rsidR="00223ACB" w:rsidRPr="0000003C" w:rsidRDefault="00223ACB" w:rsidP="004634E5">
            <w:pPr>
              <w:jc w:val="center"/>
              <w:rPr>
                <w:b/>
                <w:bCs/>
                <w:lang w:val="lt-LT"/>
              </w:rPr>
            </w:pPr>
            <w:r w:rsidRPr="0000003C">
              <w:rPr>
                <w:b/>
                <w:bCs/>
                <w:lang w:val="lt-LT"/>
              </w:rPr>
              <w:t>Svarbos vertinimas (įmonės procesas)</w:t>
            </w:r>
          </w:p>
        </w:tc>
        <w:tc>
          <w:tcPr>
            <w:tcW w:w="567" w:type="dxa"/>
            <w:shd w:val="clear" w:color="000000" w:fill="A5A5A5"/>
            <w:textDirection w:val="btLr"/>
            <w:vAlign w:val="center"/>
          </w:tcPr>
          <w:p w:rsidR="00223ACB" w:rsidRPr="0000003C" w:rsidRDefault="00223ACB" w:rsidP="0027771F">
            <w:pPr>
              <w:ind w:left="113" w:right="113"/>
              <w:jc w:val="center"/>
              <w:rPr>
                <w:b/>
                <w:bCs/>
                <w:lang w:val="lt-LT"/>
              </w:rPr>
            </w:pPr>
            <w:r w:rsidRPr="0000003C">
              <w:rPr>
                <w:b/>
                <w:bCs/>
                <w:lang w:val="lt-LT"/>
              </w:rPr>
              <w:t>Susijęs tvirtinimas</w:t>
            </w:r>
          </w:p>
        </w:tc>
      </w:tr>
      <w:tr w:rsidR="00223ACB" w:rsidRPr="0000003C" w:rsidTr="005F7C5D">
        <w:trPr>
          <w:trHeight w:val="375"/>
        </w:trPr>
        <w:tc>
          <w:tcPr>
            <w:tcW w:w="696" w:type="dxa"/>
            <w:shd w:val="clear" w:color="auto" w:fill="auto"/>
            <w:hideMark/>
          </w:tcPr>
          <w:p w:rsidR="00223ACB" w:rsidRPr="0000003C" w:rsidRDefault="00223ACB" w:rsidP="004634E5">
            <w:pPr>
              <w:jc w:val="center"/>
              <w:rPr>
                <w:b/>
                <w:bCs/>
                <w:lang w:val="lt-LT"/>
              </w:rPr>
            </w:pPr>
            <w:r w:rsidRPr="0000003C">
              <w:rPr>
                <w:b/>
                <w:bCs/>
                <w:lang w:val="lt-LT"/>
              </w:rPr>
              <w:t>C.</w:t>
            </w:r>
          </w:p>
        </w:tc>
        <w:tc>
          <w:tcPr>
            <w:tcW w:w="2570" w:type="dxa"/>
            <w:shd w:val="clear" w:color="auto" w:fill="auto"/>
            <w:hideMark/>
          </w:tcPr>
          <w:p w:rsidR="00223ACB" w:rsidRPr="0000003C" w:rsidRDefault="00223ACB" w:rsidP="00594CF5">
            <w:pPr>
              <w:rPr>
                <w:b/>
                <w:bCs/>
                <w:lang w:val="lt-LT"/>
              </w:rPr>
            </w:pPr>
            <w:r w:rsidRPr="0000003C">
              <w:rPr>
                <w:b/>
                <w:bCs/>
                <w:lang w:val="lt-LT"/>
              </w:rPr>
              <w:t>NUOSAVAS KAPITALAS</w:t>
            </w:r>
          </w:p>
        </w:tc>
        <w:tc>
          <w:tcPr>
            <w:tcW w:w="850" w:type="dxa"/>
            <w:shd w:val="clear" w:color="auto" w:fill="auto"/>
            <w:noWrap/>
            <w:vAlign w:val="bottom"/>
            <w:hideMark/>
          </w:tcPr>
          <w:p w:rsidR="00223ACB" w:rsidRPr="0000003C" w:rsidRDefault="004634E5" w:rsidP="001240E7">
            <w:pPr>
              <w:jc w:val="right"/>
              <w:rPr>
                <w:b/>
                <w:bCs/>
                <w:lang w:val="lt-LT"/>
              </w:rPr>
            </w:pPr>
            <w:r w:rsidRPr="0000003C">
              <w:rPr>
                <w:b/>
                <w:bCs/>
                <w:lang w:val="lt-LT"/>
              </w:rPr>
              <w:t>11</w:t>
            </w:r>
            <w:r w:rsidR="00884A1E">
              <w:rPr>
                <w:b/>
                <w:bCs/>
                <w:lang w:val="lt-LT"/>
              </w:rPr>
              <w:t xml:space="preserve"> </w:t>
            </w:r>
            <w:r w:rsidRPr="0000003C">
              <w:rPr>
                <w:b/>
                <w:bCs/>
                <w:lang w:val="lt-LT"/>
              </w:rPr>
              <w:t>92</w:t>
            </w:r>
            <w:r w:rsidR="001240E7" w:rsidRPr="0000003C">
              <w:rPr>
                <w:b/>
                <w:bCs/>
                <w:lang w:val="lt-LT"/>
              </w:rPr>
              <w:t>3</w:t>
            </w:r>
          </w:p>
        </w:tc>
        <w:tc>
          <w:tcPr>
            <w:tcW w:w="851" w:type="dxa"/>
            <w:shd w:val="clear" w:color="auto" w:fill="auto"/>
            <w:noWrap/>
            <w:vAlign w:val="bottom"/>
            <w:hideMark/>
          </w:tcPr>
          <w:p w:rsidR="00223ACB" w:rsidRPr="0000003C" w:rsidRDefault="004634E5" w:rsidP="004634E5">
            <w:pPr>
              <w:jc w:val="right"/>
              <w:rPr>
                <w:b/>
                <w:bCs/>
                <w:lang w:val="lt-LT"/>
              </w:rPr>
            </w:pPr>
            <w:r w:rsidRPr="0000003C">
              <w:rPr>
                <w:b/>
                <w:bCs/>
                <w:lang w:val="lt-LT"/>
              </w:rPr>
              <w:t>10</w:t>
            </w:r>
            <w:r w:rsidR="00884A1E">
              <w:rPr>
                <w:b/>
                <w:bCs/>
                <w:lang w:val="lt-LT"/>
              </w:rPr>
              <w:t xml:space="preserve"> </w:t>
            </w:r>
            <w:r w:rsidRPr="0000003C">
              <w:rPr>
                <w:b/>
                <w:bCs/>
                <w:lang w:val="lt-LT"/>
              </w:rPr>
              <w:t>333</w:t>
            </w:r>
          </w:p>
        </w:tc>
        <w:tc>
          <w:tcPr>
            <w:tcW w:w="2693" w:type="dxa"/>
            <w:shd w:val="clear" w:color="auto" w:fill="BFBFBF" w:themeFill="background1" w:themeFillShade="BF"/>
            <w:noWrap/>
            <w:vAlign w:val="bottom"/>
            <w:hideMark/>
          </w:tcPr>
          <w:p w:rsidR="00223ACB" w:rsidRPr="0000003C" w:rsidRDefault="00223ACB" w:rsidP="004634E5">
            <w:pPr>
              <w:rPr>
                <w:b/>
                <w:bCs/>
                <w:lang w:val="lt-LT"/>
              </w:rPr>
            </w:pPr>
          </w:p>
        </w:tc>
        <w:tc>
          <w:tcPr>
            <w:tcW w:w="567" w:type="dxa"/>
            <w:shd w:val="clear" w:color="auto" w:fill="BFBFBF" w:themeFill="background1" w:themeFillShade="BF"/>
          </w:tcPr>
          <w:p w:rsidR="00223ACB" w:rsidRPr="0000003C" w:rsidRDefault="00223ACB" w:rsidP="004634E5">
            <w:pPr>
              <w:rPr>
                <w:b/>
                <w:bCs/>
                <w:lang w:val="lt-LT"/>
              </w:rPr>
            </w:pPr>
          </w:p>
        </w:tc>
      </w:tr>
      <w:tr w:rsidR="00223ACB" w:rsidRPr="0000003C" w:rsidTr="005F7C5D">
        <w:trPr>
          <w:trHeight w:val="225"/>
        </w:trPr>
        <w:tc>
          <w:tcPr>
            <w:tcW w:w="696" w:type="dxa"/>
            <w:shd w:val="clear" w:color="auto" w:fill="auto"/>
            <w:hideMark/>
          </w:tcPr>
          <w:p w:rsidR="00223ACB" w:rsidRPr="0000003C" w:rsidRDefault="00223ACB" w:rsidP="004634E5">
            <w:pPr>
              <w:jc w:val="center"/>
              <w:rPr>
                <w:b/>
                <w:bCs/>
                <w:lang w:val="lt-LT"/>
              </w:rPr>
            </w:pPr>
            <w:r w:rsidRPr="0000003C">
              <w:rPr>
                <w:b/>
                <w:bCs/>
                <w:lang w:val="lt-LT"/>
              </w:rPr>
              <w:t>I.</w:t>
            </w:r>
          </w:p>
        </w:tc>
        <w:tc>
          <w:tcPr>
            <w:tcW w:w="2570" w:type="dxa"/>
            <w:shd w:val="clear" w:color="auto" w:fill="auto"/>
            <w:hideMark/>
          </w:tcPr>
          <w:p w:rsidR="00223ACB" w:rsidRPr="0000003C" w:rsidRDefault="00223ACB" w:rsidP="00594CF5">
            <w:pPr>
              <w:rPr>
                <w:b/>
                <w:bCs/>
                <w:lang w:val="lt-LT"/>
              </w:rPr>
            </w:pPr>
            <w:r w:rsidRPr="0000003C">
              <w:rPr>
                <w:b/>
                <w:bCs/>
                <w:lang w:val="lt-LT"/>
              </w:rPr>
              <w:t>KAPITALAS</w:t>
            </w:r>
          </w:p>
        </w:tc>
        <w:tc>
          <w:tcPr>
            <w:tcW w:w="850" w:type="dxa"/>
            <w:shd w:val="clear" w:color="auto" w:fill="auto"/>
            <w:noWrap/>
            <w:vAlign w:val="bottom"/>
            <w:hideMark/>
          </w:tcPr>
          <w:p w:rsidR="00223ACB" w:rsidRPr="0000003C" w:rsidRDefault="007D708C" w:rsidP="004634E5">
            <w:pPr>
              <w:jc w:val="right"/>
              <w:rPr>
                <w:b/>
                <w:bCs/>
                <w:lang w:val="lt-LT"/>
              </w:rPr>
            </w:pPr>
            <w:r w:rsidRPr="0000003C">
              <w:rPr>
                <w:b/>
                <w:bCs/>
                <w:lang w:val="lt-LT"/>
              </w:rPr>
              <w:t>4</w:t>
            </w:r>
            <w:r w:rsidR="00884A1E">
              <w:rPr>
                <w:b/>
                <w:bCs/>
                <w:lang w:val="lt-LT"/>
              </w:rPr>
              <w:t xml:space="preserve"> </w:t>
            </w:r>
            <w:r w:rsidRPr="0000003C">
              <w:rPr>
                <w:b/>
                <w:bCs/>
                <w:lang w:val="lt-LT"/>
              </w:rPr>
              <w:t>900</w:t>
            </w:r>
          </w:p>
        </w:tc>
        <w:tc>
          <w:tcPr>
            <w:tcW w:w="851" w:type="dxa"/>
            <w:shd w:val="clear" w:color="auto" w:fill="auto"/>
            <w:noWrap/>
            <w:vAlign w:val="bottom"/>
            <w:hideMark/>
          </w:tcPr>
          <w:p w:rsidR="00223ACB" w:rsidRPr="0000003C" w:rsidRDefault="007D708C" w:rsidP="004634E5">
            <w:pPr>
              <w:jc w:val="right"/>
              <w:rPr>
                <w:b/>
                <w:bCs/>
                <w:lang w:val="lt-LT"/>
              </w:rPr>
            </w:pPr>
            <w:r w:rsidRPr="0000003C">
              <w:rPr>
                <w:b/>
                <w:bCs/>
                <w:lang w:val="lt-LT"/>
              </w:rPr>
              <w:t>4</w:t>
            </w:r>
            <w:r w:rsidR="00884A1E">
              <w:rPr>
                <w:b/>
                <w:bCs/>
                <w:lang w:val="lt-LT"/>
              </w:rPr>
              <w:t xml:space="preserve"> </w:t>
            </w:r>
            <w:r w:rsidRPr="0000003C">
              <w:rPr>
                <w:b/>
                <w:bCs/>
                <w:lang w:val="lt-LT"/>
              </w:rPr>
              <w:t>900</w:t>
            </w:r>
          </w:p>
        </w:tc>
        <w:tc>
          <w:tcPr>
            <w:tcW w:w="2693" w:type="dxa"/>
            <w:shd w:val="clear" w:color="auto" w:fill="BFBFBF" w:themeFill="background1" w:themeFillShade="BF"/>
            <w:noWrap/>
            <w:vAlign w:val="bottom"/>
            <w:hideMark/>
          </w:tcPr>
          <w:p w:rsidR="00223ACB" w:rsidRPr="0000003C" w:rsidRDefault="00223ACB" w:rsidP="004634E5">
            <w:pPr>
              <w:rPr>
                <w:lang w:val="lt-LT"/>
              </w:rPr>
            </w:pPr>
            <w:r w:rsidRPr="0000003C">
              <w:rPr>
                <w:lang w:val="lt-LT"/>
              </w:rPr>
              <w:t> </w:t>
            </w:r>
          </w:p>
        </w:tc>
        <w:tc>
          <w:tcPr>
            <w:tcW w:w="567" w:type="dxa"/>
            <w:shd w:val="clear" w:color="auto" w:fill="BFBFBF" w:themeFill="background1" w:themeFillShade="BF"/>
          </w:tcPr>
          <w:p w:rsidR="00223ACB" w:rsidRPr="0000003C" w:rsidRDefault="00223ACB" w:rsidP="004634E5">
            <w:pPr>
              <w:rPr>
                <w:lang w:val="lt-LT"/>
              </w:rPr>
            </w:pPr>
          </w:p>
        </w:tc>
      </w:tr>
      <w:tr w:rsidR="00223ACB" w:rsidRPr="0000003C" w:rsidTr="005F7C5D">
        <w:trPr>
          <w:trHeight w:val="225"/>
        </w:trPr>
        <w:tc>
          <w:tcPr>
            <w:tcW w:w="696" w:type="dxa"/>
            <w:shd w:val="clear" w:color="auto" w:fill="auto"/>
            <w:hideMark/>
          </w:tcPr>
          <w:p w:rsidR="00223ACB" w:rsidRPr="0000003C" w:rsidRDefault="00223ACB" w:rsidP="004634E5">
            <w:pPr>
              <w:jc w:val="center"/>
              <w:rPr>
                <w:lang w:val="lt-LT"/>
              </w:rPr>
            </w:pPr>
            <w:r w:rsidRPr="0000003C">
              <w:rPr>
                <w:lang w:val="lt-LT"/>
              </w:rPr>
              <w:t>I.1.</w:t>
            </w:r>
          </w:p>
        </w:tc>
        <w:tc>
          <w:tcPr>
            <w:tcW w:w="2570" w:type="dxa"/>
            <w:shd w:val="clear" w:color="auto" w:fill="auto"/>
            <w:hideMark/>
          </w:tcPr>
          <w:p w:rsidR="00223ACB" w:rsidRPr="0000003C" w:rsidRDefault="00223ACB" w:rsidP="00594CF5">
            <w:pPr>
              <w:rPr>
                <w:lang w:val="lt-LT"/>
              </w:rPr>
            </w:pPr>
            <w:r w:rsidRPr="0000003C">
              <w:rPr>
                <w:lang w:val="lt-LT"/>
              </w:rPr>
              <w:t>Įstatinis (pasirašytasis)</w:t>
            </w:r>
          </w:p>
        </w:tc>
        <w:tc>
          <w:tcPr>
            <w:tcW w:w="850" w:type="dxa"/>
            <w:shd w:val="clear" w:color="auto" w:fill="auto"/>
            <w:noWrap/>
            <w:vAlign w:val="bottom"/>
            <w:hideMark/>
          </w:tcPr>
          <w:p w:rsidR="00223ACB" w:rsidRPr="0000003C" w:rsidRDefault="007D708C" w:rsidP="004634E5">
            <w:pPr>
              <w:jc w:val="right"/>
              <w:rPr>
                <w:bCs/>
                <w:lang w:val="lt-LT"/>
              </w:rPr>
            </w:pPr>
            <w:r w:rsidRPr="0000003C">
              <w:rPr>
                <w:bCs/>
                <w:lang w:val="lt-LT"/>
              </w:rPr>
              <w:t>4</w:t>
            </w:r>
            <w:r w:rsidR="00884A1E">
              <w:rPr>
                <w:bCs/>
                <w:lang w:val="lt-LT"/>
              </w:rPr>
              <w:t xml:space="preserve"> </w:t>
            </w:r>
            <w:r w:rsidRPr="0000003C">
              <w:rPr>
                <w:bCs/>
                <w:lang w:val="lt-LT"/>
              </w:rPr>
              <w:t>900</w:t>
            </w:r>
          </w:p>
        </w:tc>
        <w:tc>
          <w:tcPr>
            <w:tcW w:w="851" w:type="dxa"/>
            <w:shd w:val="clear" w:color="auto" w:fill="auto"/>
            <w:noWrap/>
            <w:vAlign w:val="bottom"/>
            <w:hideMark/>
          </w:tcPr>
          <w:p w:rsidR="00223ACB" w:rsidRPr="0000003C" w:rsidRDefault="007D708C" w:rsidP="004634E5">
            <w:pPr>
              <w:jc w:val="right"/>
              <w:rPr>
                <w:bCs/>
                <w:lang w:val="lt-LT"/>
              </w:rPr>
            </w:pPr>
            <w:r w:rsidRPr="0000003C">
              <w:rPr>
                <w:bCs/>
                <w:lang w:val="lt-LT"/>
              </w:rPr>
              <w:t>4</w:t>
            </w:r>
            <w:r w:rsidR="00884A1E">
              <w:rPr>
                <w:bCs/>
                <w:lang w:val="lt-LT"/>
              </w:rPr>
              <w:t xml:space="preserve"> </w:t>
            </w:r>
            <w:r w:rsidRPr="0000003C">
              <w:rPr>
                <w:bCs/>
                <w:lang w:val="lt-LT"/>
              </w:rPr>
              <w:t>900</w:t>
            </w:r>
          </w:p>
        </w:tc>
        <w:tc>
          <w:tcPr>
            <w:tcW w:w="2693" w:type="dxa"/>
            <w:shd w:val="clear" w:color="auto" w:fill="auto"/>
            <w:noWrap/>
            <w:vAlign w:val="bottom"/>
            <w:hideMark/>
          </w:tcPr>
          <w:p w:rsidR="00223ACB" w:rsidRPr="0000003C" w:rsidRDefault="00223ACB" w:rsidP="00BD4F00">
            <w:pPr>
              <w:rPr>
                <w:lang w:val="lt-LT"/>
              </w:rPr>
            </w:pPr>
            <w:r w:rsidRPr="0000003C">
              <w:rPr>
                <w:lang w:val="lt-LT"/>
              </w:rPr>
              <w:t xml:space="preserve">Nesvarbus, </w:t>
            </w:r>
            <w:r w:rsidR="00BD4F00" w:rsidRPr="0000003C">
              <w:rPr>
                <w:lang w:val="lt-LT"/>
              </w:rPr>
              <w:t xml:space="preserve">nebuvo </w:t>
            </w:r>
            <w:r w:rsidRPr="0000003C">
              <w:rPr>
                <w:lang w:val="lt-LT"/>
              </w:rPr>
              <w:t>ūk. operacij</w:t>
            </w:r>
            <w:r w:rsidR="00BD4F00" w:rsidRPr="0000003C">
              <w:rPr>
                <w:lang w:val="lt-LT"/>
              </w:rPr>
              <w:t>ų</w:t>
            </w:r>
          </w:p>
        </w:tc>
        <w:tc>
          <w:tcPr>
            <w:tcW w:w="567" w:type="dxa"/>
            <w:vAlign w:val="bottom"/>
          </w:tcPr>
          <w:p w:rsidR="00223ACB" w:rsidRPr="0000003C" w:rsidRDefault="00223ACB" w:rsidP="00594CF5">
            <w:pPr>
              <w:jc w:val="center"/>
              <w:rPr>
                <w:lang w:val="lt-LT"/>
              </w:rPr>
            </w:pPr>
            <w:r w:rsidRPr="0000003C">
              <w:rPr>
                <w:lang w:val="lt-LT"/>
              </w:rPr>
              <w:t>X</w:t>
            </w:r>
          </w:p>
        </w:tc>
      </w:tr>
      <w:tr w:rsidR="00BD4F00" w:rsidRPr="0000003C" w:rsidTr="005F7C5D">
        <w:trPr>
          <w:trHeight w:val="225"/>
        </w:trPr>
        <w:tc>
          <w:tcPr>
            <w:tcW w:w="696" w:type="dxa"/>
            <w:shd w:val="clear" w:color="auto" w:fill="auto"/>
            <w:hideMark/>
          </w:tcPr>
          <w:p w:rsidR="00BD4F00" w:rsidRPr="0000003C" w:rsidRDefault="00BD4F00" w:rsidP="004634E5">
            <w:pPr>
              <w:jc w:val="center"/>
              <w:rPr>
                <w:b/>
                <w:bCs/>
                <w:lang w:val="lt-LT"/>
              </w:rPr>
            </w:pPr>
            <w:r w:rsidRPr="0000003C">
              <w:rPr>
                <w:b/>
                <w:bCs/>
                <w:lang w:val="lt-LT"/>
              </w:rPr>
              <w:t>II.</w:t>
            </w:r>
          </w:p>
        </w:tc>
        <w:tc>
          <w:tcPr>
            <w:tcW w:w="2570" w:type="dxa"/>
            <w:shd w:val="clear" w:color="auto" w:fill="auto"/>
            <w:hideMark/>
          </w:tcPr>
          <w:p w:rsidR="00BD4F00" w:rsidRPr="0000003C" w:rsidRDefault="00BD4F00" w:rsidP="00594CF5">
            <w:pPr>
              <w:rPr>
                <w:b/>
                <w:bCs/>
                <w:lang w:val="lt-LT"/>
              </w:rPr>
            </w:pPr>
            <w:r w:rsidRPr="0000003C">
              <w:rPr>
                <w:b/>
                <w:bCs/>
                <w:lang w:val="lt-LT"/>
              </w:rPr>
              <w:t>PERKAINOJIMO REZERVAS (REZULTATAI)</w:t>
            </w:r>
          </w:p>
        </w:tc>
        <w:tc>
          <w:tcPr>
            <w:tcW w:w="850" w:type="dxa"/>
            <w:shd w:val="clear" w:color="auto" w:fill="auto"/>
            <w:noWrap/>
            <w:vAlign w:val="bottom"/>
            <w:hideMark/>
          </w:tcPr>
          <w:p w:rsidR="00BD4F00" w:rsidRPr="0000003C" w:rsidRDefault="00BD4F00" w:rsidP="004634E5">
            <w:pPr>
              <w:jc w:val="right"/>
              <w:rPr>
                <w:b/>
                <w:bCs/>
                <w:lang w:val="lt-LT"/>
              </w:rPr>
            </w:pPr>
            <w:r w:rsidRPr="0000003C">
              <w:rPr>
                <w:b/>
                <w:bCs/>
                <w:lang w:val="lt-LT"/>
              </w:rPr>
              <w:t>2</w:t>
            </w:r>
            <w:r w:rsidR="00884A1E">
              <w:rPr>
                <w:b/>
                <w:bCs/>
                <w:lang w:val="lt-LT"/>
              </w:rPr>
              <w:t xml:space="preserve"> </w:t>
            </w:r>
            <w:r w:rsidRPr="0000003C">
              <w:rPr>
                <w:b/>
                <w:bCs/>
                <w:lang w:val="lt-LT"/>
              </w:rPr>
              <w:t>934</w:t>
            </w:r>
          </w:p>
        </w:tc>
        <w:tc>
          <w:tcPr>
            <w:tcW w:w="851" w:type="dxa"/>
            <w:shd w:val="clear" w:color="auto" w:fill="auto"/>
            <w:noWrap/>
            <w:vAlign w:val="bottom"/>
            <w:hideMark/>
          </w:tcPr>
          <w:p w:rsidR="00BD4F00" w:rsidRPr="0000003C" w:rsidRDefault="00BD4F00" w:rsidP="004634E5">
            <w:pPr>
              <w:jc w:val="right"/>
              <w:rPr>
                <w:b/>
                <w:bCs/>
                <w:lang w:val="lt-LT"/>
              </w:rPr>
            </w:pPr>
            <w:r w:rsidRPr="0000003C">
              <w:rPr>
                <w:b/>
                <w:bCs/>
                <w:lang w:val="lt-LT"/>
              </w:rPr>
              <w:t>1</w:t>
            </w:r>
            <w:r w:rsidR="00884A1E">
              <w:rPr>
                <w:b/>
                <w:bCs/>
                <w:lang w:val="lt-LT"/>
              </w:rPr>
              <w:t xml:space="preserve"> </w:t>
            </w:r>
            <w:r w:rsidRPr="0000003C">
              <w:rPr>
                <w:b/>
                <w:bCs/>
                <w:lang w:val="lt-LT"/>
              </w:rPr>
              <w:t>870</w:t>
            </w:r>
          </w:p>
        </w:tc>
        <w:tc>
          <w:tcPr>
            <w:tcW w:w="2693" w:type="dxa"/>
            <w:shd w:val="clear" w:color="auto" w:fill="FFFFFF" w:themeFill="background1"/>
            <w:noWrap/>
            <w:vAlign w:val="bottom"/>
            <w:hideMark/>
          </w:tcPr>
          <w:p w:rsidR="00BD4F00" w:rsidRPr="0000003C" w:rsidRDefault="00BD4F00" w:rsidP="007E3D09">
            <w:pPr>
              <w:rPr>
                <w:lang w:val="lt-LT"/>
              </w:rPr>
            </w:pPr>
            <w:r w:rsidRPr="0000003C">
              <w:rPr>
                <w:lang w:val="lt-LT"/>
              </w:rPr>
              <w:t>Nesvarbus, nedaug ir nesudėtingos ūk. operacijos</w:t>
            </w:r>
            <w:r w:rsidR="007E3D09">
              <w:rPr>
                <w:lang w:val="lt-LT"/>
              </w:rPr>
              <w:t xml:space="preserve"> (žemė ir pastatai apskaitomi  perkainota verte)</w:t>
            </w:r>
          </w:p>
        </w:tc>
        <w:tc>
          <w:tcPr>
            <w:tcW w:w="567" w:type="dxa"/>
            <w:shd w:val="clear" w:color="auto" w:fill="FFFFFF" w:themeFill="background1"/>
            <w:vAlign w:val="bottom"/>
          </w:tcPr>
          <w:p w:rsidR="00BD4F00" w:rsidRPr="0000003C" w:rsidRDefault="00BD4F00" w:rsidP="00594CF5">
            <w:pPr>
              <w:jc w:val="center"/>
              <w:rPr>
                <w:lang w:val="lt-LT"/>
              </w:rPr>
            </w:pPr>
            <w:r w:rsidRPr="0000003C">
              <w:rPr>
                <w:lang w:val="lt-LT"/>
              </w:rPr>
              <w:t>X</w:t>
            </w:r>
          </w:p>
        </w:tc>
      </w:tr>
      <w:tr w:rsidR="00BD4F00" w:rsidRPr="0000003C" w:rsidTr="005F7C5D">
        <w:trPr>
          <w:trHeight w:val="225"/>
        </w:trPr>
        <w:tc>
          <w:tcPr>
            <w:tcW w:w="696" w:type="dxa"/>
            <w:shd w:val="clear" w:color="auto" w:fill="auto"/>
            <w:hideMark/>
          </w:tcPr>
          <w:p w:rsidR="00BD4F00" w:rsidRPr="0000003C" w:rsidRDefault="00BD4F00" w:rsidP="004634E5">
            <w:pPr>
              <w:jc w:val="center"/>
              <w:rPr>
                <w:b/>
                <w:bCs/>
                <w:lang w:val="lt-LT"/>
              </w:rPr>
            </w:pPr>
            <w:r w:rsidRPr="0000003C">
              <w:rPr>
                <w:b/>
                <w:bCs/>
                <w:lang w:val="lt-LT"/>
              </w:rPr>
              <w:t>III.</w:t>
            </w:r>
          </w:p>
        </w:tc>
        <w:tc>
          <w:tcPr>
            <w:tcW w:w="2570" w:type="dxa"/>
            <w:shd w:val="clear" w:color="auto" w:fill="auto"/>
            <w:hideMark/>
          </w:tcPr>
          <w:p w:rsidR="00BD4F00" w:rsidRPr="0000003C" w:rsidRDefault="00BD4F00" w:rsidP="00594CF5">
            <w:pPr>
              <w:rPr>
                <w:b/>
                <w:bCs/>
                <w:lang w:val="lt-LT"/>
              </w:rPr>
            </w:pPr>
            <w:r w:rsidRPr="0000003C">
              <w:rPr>
                <w:b/>
                <w:bCs/>
                <w:lang w:val="lt-LT"/>
              </w:rPr>
              <w:t>REZERVAI</w:t>
            </w:r>
          </w:p>
        </w:tc>
        <w:tc>
          <w:tcPr>
            <w:tcW w:w="850" w:type="dxa"/>
            <w:shd w:val="clear" w:color="auto" w:fill="auto"/>
            <w:noWrap/>
            <w:vAlign w:val="bottom"/>
            <w:hideMark/>
          </w:tcPr>
          <w:p w:rsidR="00BD4F00" w:rsidRPr="0000003C" w:rsidRDefault="00BD4F00" w:rsidP="001240E7">
            <w:pPr>
              <w:jc w:val="right"/>
              <w:rPr>
                <w:b/>
                <w:bCs/>
                <w:lang w:val="lt-LT"/>
              </w:rPr>
            </w:pPr>
            <w:r w:rsidRPr="0000003C">
              <w:rPr>
                <w:b/>
                <w:bCs/>
                <w:lang w:val="lt-LT"/>
              </w:rPr>
              <w:t>225</w:t>
            </w:r>
          </w:p>
        </w:tc>
        <w:tc>
          <w:tcPr>
            <w:tcW w:w="851" w:type="dxa"/>
            <w:shd w:val="clear" w:color="auto" w:fill="auto"/>
            <w:noWrap/>
            <w:vAlign w:val="bottom"/>
            <w:hideMark/>
          </w:tcPr>
          <w:p w:rsidR="00BD4F00" w:rsidRPr="0000003C" w:rsidRDefault="00BD4F00" w:rsidP="004634E5">
            <w:pPr>
              <w:jc w:val="right"/>
              <w:rPr>
                <w:b/>
                <w:bCs/>
                <w:lang w:val="lt-LT"/>
              </w:rPr>
            </w:pPr>
            <w:r w:rsidRPr="0000003C">
              <w:rPr>
                <w:b/>
                <w:bCs/>
                <w:lang w:val="lt-LT"/>
              </w:rPr>
              <w:t>164</w:t>
            </w:r>
          </w:p>
        </w:tc>
        <w:tc>
          <w:tcPr>
            <w:tcW w:w="2693" w:type="dxa"/>
            <w:shd w:val="clear" w:color="auto" w:fill="BFBFBF" w:themeFill="background1" w:themeFillShade="BF"/>
            <w:noWrap/>
            <w:vAlign w:val="bottom"/>
            <w:hideMark/>
          </w:tcPr>
          <w:p w:rsidR="00BD4F00" w:rsidRPr="0000003C" w:rsidRDefault="00BD4F00" w:rsidP="004634E5">
            <w:pPr>
              <w:rPr>
                <w:lang w:val="lt-LT"/>
              </w:rPr>
            </w:pPr>
            <w:r w:rsidRPr="0000003C">
              <w:rPr>
                <w:lang w:val="lt-LT"/>
              </w:rPr>
              <w:t> </w:t>
            </w:r>
          </w:p>
        </w:tc>
        <w:tc>
          <w:tcPr>
            <w:tcW w:w="567" w:type="dxa"/>
            <w:shd w:val="clear" w:color="auto" w:fill="BFBFBF" w:themeFill="background1" w:themeFillShade="BF"/>
          </w:tcPr>
          <w:p w:rsidR="00BD4F00" w:rsidRPr="0000003C" w:rsidRDefault="00BD4F00" w:rsidP="004634E5">
            <w:pPr>
              <w:rPr>
                <w:lang w:val="lt-LT"/>
              </w:rPr>
            </w:pP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III.1.</w:t>
            </w:r>
          </w:p>
        </w:tc>
        <w:tc>
          <w:tcPr>
            <w:tcW w:w="2570" w:type="dxa"/>
            <w:shd w:val="clear" w:color="auto" w:fill="auto"/>
            <w:hideMark/>
          </w:tcPr>
          <w:p w:rsidR="00BD4F00" w:rsidRPr="0000003C" w:rsidRDefault="00BD4F00" w:rsidP="00594CF5">
            <w:pPr>
              <w:rPr>
                <w:lang w:val="lt-LT"/>
              </w:rPr>
            </w:pPr>
            <w:r w:rsidRPr="0000003C">
              <w:rPr>
                <w:lang w:val="lt-LT"/>
              </w:rPr>
              <w:t>Privalomasis</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225</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164</w:t>
            </w:r>
          </w:p>
        </w:tc>
        <w:tc>
          <w:tcPr>
            <w:tcW w:w="2693" w:type="dxa"/>
            <w:shd w:val="clear" w:color="auto" w:fill="auto"/>
            <w:noWrap/>
            <w:vAlign w:val="bottom"/>
            <w:hideMark/>
          </w:tcPr>
          <w:p w:rsidR="00BD4F00" w:rsidRPr="0000003C" w:rsidRDefault="00BD4F00" w:rsidP="004634E5">
            <w:pPr>
              <w:rPr>
                <w:lang w:val="lt-LT"/>
              </w:rPr>
            </w:pPr>
            <w:r w:rsidRPr="0000003C">
              <w:rPr>
                <w:lang w:val="lt-LT"/>
              </w:rPr>
              <w:t>Nesvarbus, nedaug ir nesudėtingos ūk. operacijos</w:t>
            </w:r>
          </w:p>
        </w:tc>
        <w:tc>
          <w:tcPr>
            <w:tcW w:w="567" w:type="dxa"/>
            <w:vAlign w:val="bottom"/>
          </w:tcPr>
          <w:p w:rsidR="00BD4F00" w:rsidRPr="0000003C" w:rsidRDefault="00BD4F00" w:rsidP="00594CF5">
            <w:pPr>
              <w:jc w:val="center"/>
              <w:rPr>
                <w:lang w:val="lt-LT"/>
              </w:rPr>
            </w:pPr>
            <w:r w:rsidRPr="0000003C">
              <w:rPr>
                <w:lang w:val="lt-LT"/>
              </w:rPr>
              <w:t>X</w:t>
            </w:r>
          </w:p>
        </w:tc>
      </w:tr>
      <w:tr w:rsidR="00BD4F00" w:rsidRPr="0000003C" w:rsidTr="005F7C5D">
        <w:trPr>
          <w:trHeight w:val="450"/>
        </w:trPr>
        <w:tc>
          <w:tcPr>
            <w:tcW w:w="696" w:type="dxa"/>
            <w:shd w:val="clear" w:color="auto" w:fill="auto"/>
            <w:hideMark/>
          </w:tcPr>
          <w:p w:rsidR="00BD4F00" w:rsidRPr="0000003C" w:rsidRDefault="00BD4F00" w:rsidP="004634E5">
            <w:pPr>
              <w:jc w:val="center"/>
              <w:rPr>
                <w:b/>
                <w:bCs/>
                <w:lang w:val="lt-LT"/>
              </w:rPr>
            </w:pPr>
            <w:r w:rsidRPr="0000003C">
              <w:rPr>
                <w:b/>
                <w:bCs/>
                <w:lang w:val="lt-LT"/>
              </w:rPr>
              <w:t>IV.</w:t>
            </w:r>
          </w:p>
        </w:tc>
        <w:tc>
          <w:tcPr>
            <w:tcW w:w="2570" w:type="dxa"/>
            <w:shd w:val="clear" w:color="auto" w:fill="auto"/>
            <w:hideMark/>
          </w:tcPr>
          <w:p w:rsidR="00BD4F00" w:rsidRPr="0000003C" w:rsidRDefault="00BD4F00" w:rsidP="00594CF5">
            <w:pPr>
              <w:rPr>
                <w:b/>
                <w:bCs/>
                <w:lang w:val="lt-LT"/>
              </w:rPr>
            </w:pPr>
            <w:r w:rsidRPr="0000003C">
              <w:rPr>
                <w:b/>
                <w:bCs/>
                <w:lang w:val="lt-LT"/>
              </w:rPr>
              <w:t>NEPASKIRSTYTASIS PELNAS (NUOSTOLIAI)</w:t>
            </w:r>
          </w:p>
        </w:tc>
        <w:tc>
          <w:tcPr>
            <w:tcW w:w="850" w:type="dxa"/>
            <w:shd w:val="clear" w:color="auto" w:fill="auto"/>
            <w:noWrap/>
            <w:vAlign w:val="bottom"/>
            <w:hideMark/>
          </w:tcPr>
          <w:p w:rsidR="00BD4F00" w:rsidRPr="0000003C" w:rsidRDefault="00BD4F00" w:rsidP="004634E5">
            <w:pPr>
              <w:jc w:val="right"/>
              <w:rPr>
                <w:b/>
                <w:bCs/>
                <w:lang w:val="lt-LT"/>
              </w:rPr>
            </w:pPr>
            <w:r w:rsidRPr="0000003C">
              <w:rPr>
                <w:b/>
                <w:bCs/>
                <w:lang w:val="lt-LT"/>
              </w:rPr>
              <w:t>3</w:t>
            </w:r>
            <w:r w:rsidR="00884A1E">
              <w:rPr>
                <w:b/>
                <w:bCs/>
                <w:lang w:val="lt-LT"/>
              </w:rPr>
              <w:t xml:space="preserve"> </w:t>
            </w:r>
            <w:r w:rsidRPr="0000003C">
              <w:rPr>
                <w:b/>
                <w:bCs/>
                <w:lang w:val="lt-LT"/>
              </w:rPr>
              <w:t>864</w:t>
            </w:r>
          </w:p>
        </w:tc>
        <w:tc>
          <w:tcPr>
            <w:tcW w:w="851" w:type="dxa"/>
            <w:shd w:val="clear" w:color="auto" w:fill="auto"/>
            <w:noWrap/>
            <w:vAlign w:val="bottom"/>
            <w:hideMark/>
          </w:tcPr>
          <w:p w:rsidR="00BD4F00" w:rsidRPr="0000003C" w:rsidRDefault="00BD4F00" w:rsidP="004634E5">
            <w:pPr>
              <w:jc w:val="right"/>
              <w:rPr>
                <w:b/>
                <w:bCs/>
                <w:lang w:val="lt-LT"/>
              </w:rPr>
            </w:pPr>
            <w:r w:rsidRPr="0000003C">
              <w:rPr>
                <w:b/>
                <w:bCs/>
                <w:lang w:val="lt-LT"/>
              </w:rPr>
              <w:t>3</w:t>
            </w:r>
            <w:r w:rsidR="00884A1E">
              <w:rPr>
                <w:b/>
                <w:bCs/>
                <w:lang w:val="lt-LT"/>
              </w:rPr>
              <w:t xml:space="preserve"> </w:t>
            </w:r>
            <w:r w:rsidRPr="0000003C">
              <w:rPr>
                <w:b/>
                <w:bCs/>
                <w:lang w:val="lt-LT"/>
              </w:rPr>
              <w:t>399</w:t>
            </w:r>
          </w:p>
        </w:tc>
        <w:tc>
          <w:tcPr>
            <w:tcW w:w="2693" w:type="dxa"/>
            <w:shd w:val="clear" w:color="auto" w:fill="BFBFBF" w:themeFill="background1" w:themeFillShade="BF"/>
            <w:noWrap/>
            <w:vAlign w:val="bottom"/>
            <w:hideMark/>
          </w:tcPr>
          <w:p w:rsidR="00BD4F00" w:rsidRPr="0000003C" w:rsidRDefault="00BD4F00" w:rsidP="004634E5">
            <w:pPr>
              <w:rPr>
                <w:lang w:val="lt-LT"/>
              </w:rPr>
            </w:pPr>
            <w:r w:rsidRPr="0000003C">
              <w:rPr>
                <w:lang w:val="lt-LT"/>
              </w:rPr>
              <w:t> </w:t>
            </w:r>
          </w:p>
        </w:tc>
        <w:tc>
          <w:tcPr>
            <w:tcW w:w="567" w:type="dxa"/>
            <w:shd w:val="clear" w:color="auto" w:fill="BFBFBF" w:themeFill="background1" w:themeFillShade="BF"/>
          </w:tcPr>
          <w:p w:rsidR="00BD4F00" w:rsidRPr="0000003C" w:rsidRDefault="00BD4F00" w:rsidP="004634E5">
            <w:pPr>
              <w:rPr>
                <w:lang w:val="lt-LT"/>
              </w:rPr>
            </w:pP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IV.1.</w:t>
            </w:r>
          </w:p>
        </w:tc>
        <w:tc>
          <w:tcPr>
            <w:tcW w:w="2570" w:type="dxa"/>
            <w:shd w:val="clear" w:color="auto" w:fill="auto"/>
            <w:hideMark/>
          </w:tcPr>
          <w:p w:rsidR="00BD4F00" w:rsidRPr="0000003C" w:rsidRDefault="00BD4F00" w:rsidP="00594CF5">
            <w:pPr>
              <w:rPr>
                <w:lang w:val="lt-LT"/>
              </w:rPr>
            </w:pPr>
            <w:r w:rsidRPr="0000003C">
              <w:rPr>
                <w:lang w:val="lt-LT"/>
              </w:rPr>
              <w:t>Ataskaitinių metų pelnas (nuostoliai)</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460</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1</w:t>
            </w:r>
            <w:r w:rsidR="00884A1E">
              <w:rPr>
                <w:lang w:val="lt-LT"/>
              </w:rPr>
              <w:t xml:space="preserve"> </w:t>
            </w:r>
            <w:r w:rsidRPr="0000003C">
              <w:rPr>
                <w:lang w:val="lt-LT"/>
              </w:rPr>
              <w:t>239</w:t>
            </w:r>
          </w:p>
        </w:tc>
        <w:tc>
          <w:tcPr>
            <w:tcW w:w="2693" w:type="dxa"/>
            <w:shd w:val="clear" w:color="auto" w:fill="BFBFBF" w:themeFill="background1" w:themeFillShade="BF"/>
            <w:noWrap/>
            <w:vAlign w:val="bottom"/>
            <w:hideMark/>
          </w:tcPr>
          <w:p w:rsidR="00BD4F00" w:rsidRPr="0000003C" w:rsidRDefault="00BD4F00" w:rsidP="004634E5">
            <w:pPr>
              <w:rPr>
                <w:lang w:val="lt-LT"/>
              </w:rPr>
            </w:pPr>
            <w:r w:rsidRPr="0000003C">
              <w:rPr>
                <w:lang w:val="lt-LT"/>
              </w:rPr>
              <w:t> </w:t>
            </w:r>
          </w:p>
        </w:tc>
        <w:tc>
          <w:tcPr>
            <w:tcW w:w="567" w:type="dxa"/>
            <w:shd w:val="clear" w:color="auto" w:fill="BFBFBF" w:themeFill="background1" w:themeFillShade="BF"/>
          </w:tcPr>
          <w:p w:rsidR="00BD4F00" w:rsidRPr="0000003C" w:rsidRDefault="00BD4F00" w:rsidP="004634E5">
            <w:pPr>
              <w:rPr>
                <w:lang w:val="lt-LT"/>
              </w:rPr>
            </w:pP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IV.2.</w:t>
            </w:r>
          </w:p>
        </w:tc>
        <w:tc>
          <w:tcPr>
            <w:tcW w:w="2570" w:type="dxa"/>
            <w:shd w:val="clear" w:color="auto" w:fill="auto"/>
            <w:hideMark/>
          </w:tcPr>
          <w:p w:rsidR="00BD4F00" w:rsidRPr="0000003C" w:rsidRDefault="00BD4F00" w:rsidP="00594CF5">
            <w:pPr>
              <w:rPr>
                <w:lang w:val="lt-LT"/>
              </w:rPr>
            </w:pPr>
            <w:r w:rsidRPr="0000003C">
              <w:rPr>
                <w:lang w:val="lt-LT"/>
              </w:rPr>
              <w:t>Ankstesnių metų pelnas (nuostoliai)</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3</w:t>
            </w:r>
            <w:r w:rsidR="00884A1E">
              <w:rPr>
                <w:lang w:val="lt-LT"/>
              </w:rPr>
              <w:t xml:space="preserve"> </w:t>
            </w:r>
            <w:r w:rsidRPr="0000003C">
              <w:rPr>
                <w:lang w:val="lt-LT"/>
              </w:rPr>
              <w:t>404</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2</w:t>
            </w:r>
            <w:r w:rsidR="00884A1E">
              <w:rPr>
                <w:lang w:val="lt-LT"/>
              </w:rPr>
              <w:t xml:space="preserve"> </w:t>
            </w:r>
            <w:r w:rsidRPr="0000003C">
              <w:rPr>
                <w:lang w:val="lt-LT"/>
              </w:rPr>
              <w:t>160</w:t>
            </w:r>
          </w:p>
        </w:tc>
        <w:tc>
          <w:tcPr>
            <w:tcW w:w="2693" w:type="dxa"/>
            <w:shd w:val="clear" w:color="auto" w:fill="BFBFBF" w:themeFill="background1" w:themeFillShade="BF"/>
            <w:noWrap/>
            <w:vAlign w:val="bottom"/>
            <w:hideMark/>
          </w:tcPr>
          <w:p w:rsidR="00BD4F00" w:rsidRPr="0000003C" w:rsidRDefault="00BD4F00" w:rsidP="004634E5">
            <w:pPr>
              <w:rPr>
                <w:lang w:val="lt-LT"/>
              </w:rPr>
            </w:pPr>
            <w:r w:rsidRPr="0000003C">
              <w:rPr>
                <w:lang w:val="lt-LT"/>
              </w:rPr>
              <w:t> </w:t>
            </w:r>
          </w:p>
        </w:tc>
        <w:tc>
          <w:tcPr>
            <w:tcW w:w="567" w:type="dxa"/>
            <w:shd w:val="clear" w:color="auto" w:fill="BFBFBF" w:themeFill="background1" w:themeFillShade="BF"/>
          </w:tcPr>
          <w:p w:rsidR="00BD4F00" w:rsidRPr="0000003C" w:rsidRDefault="00BD4F00" w:rsidP="004634E5">
            <w:pPr>
              <w:rPr>
                <w:lang w:val="lt-LT"/>
              </w:rPr>
            </w:pPr>
          </w:p>
        </w:tc>
      </w:tr>
      <w:tr w:rsidR="00BD4F00" w:rsidRPr="0000003C" w:rsidTr="005F7C5D">
        <w:trPr>
          <w:trHeight w:val="225"/>
        </w:trPr>
        <w:tc>
          <w:tcPr>
            <w:tcW w:w="696" w:type="dxa"/>
            <w:shd w:val="clear" w:color="auto" w:fill="auto"/>
            <w:hideMark/>
          </w:tcPr>
          <w:p w:rsidR="00BD4F00" w:rsidRPr="0000003C" w:rsidRDefault="00BD4F00" w:rsidP="004634E5">
            <w:pPr>
              <w:jc w:val="center"/>
              <w:rPr>
                <w:b/>
                <w:bCs/>
                <w:lang w:val="lt-LT"/>
              </w:rPr>
            </w:pPr>
            <w:r w:rsidRPr="0000003C">
              <w:rPr>
                <w:b/>
                <w:bCs/>
                <w:lang w:val="lt-LT"/>
              </w:rPr>
              <w:t>D.</w:t>
            </w:r>
          </w:p>
        </w:tc>
        <w:tc>
          <w:tcPr>
            <w:tcW w:w="2570" w:type="dxa"/>
            <w:shd w:val="clear" w:color="auto" w:fill="auto"/>
            <w:hideMark/>
          </w:tcPr>
          <w:p w:rsidR="00BD4F00" w:rsidRPr="0000003C" w:rsidRDefault="00BD4F00" w:rsidP="00594CF5">
            <w:pPr>
              <w:rPr>
                <w:b/>
                <w:bCs/>
                <w:lang w:val="lt-LT"/>
              </w:rPr>
            </w:pPr>
            <w:r w:rsidRPr="0000003C">
              <w:rPr>
                <w:b/>
                <w:bCs/>
                <w:lang w:val="lt-LT"/>
              </w:rPr>
              <w:t>DOTACIJOS, SUBSIDIJOS</w:t>
            </w:r>
          </w:p>
        </w:tc>
        <w:tc>
          <w:tcPr>
            <w:tcW w:w="850" w:type="dxa"/>
            <w:shd w:val="clear" w:color="auto" w:fill="auto"/>
            <w:noWrap/>
            <w:vAlign w:val="bottom"/>
            <w:hideMark/>
          </w:tcPr>
          <w:p w:rsidR="00BD4F00" w:rsidRPr="0000003C" w:rsidRDefault="00BD4F00" w:rsidP="004634E5">
            <w:pPr>
              <w:jc w:val="right"/>
              <w:rPr>
                <w:b/>
                <w:bCs/>
                <w:lang w:val="lt-LT"/>
              </w:rPr>
            </w:pPr>
            <w:r w:rsidRPr="0000003C">
              <w:rPr>
                <w:b/>
                <w:bCs/>
                <w:lang w:val="lt-LT"/>
              </w:rPr>
              <w:t>1</w:t>
            </w:r>
            <w:r w:rsidR="00884A1E">
              <w:rPr>
                <w:b/>
                <w:bCs/>
                <w:lang w:val="lt-LT"/>
              </w:rPr>
              <w:t xml:space="preserve"> </w:t>
            </w:r>
            <w:r w:rsidRPr="0000003C">
              <w:rPr>
                <w:b/>
                <w:bCs/>
                <w:lang w:val="lt-LT"/>
              </w:rPr>
              <w:t>142</w:t>
            </w:r>
          </w:p>
        </w:tc>
        <w:tc>
          <w:tcPr>
            <w:tcW w:w="851" w:type="dxa"/>
            <w:shd w:val="clear" w:color="auto" w:fill="auto"/>
            <w:noWrap/>
            <w:vAlign w:val="bottom"/>
            <w:hideMark/>
          </w:tcPr>
          <w:p w:rsidR="00BD4F00" w:rsidRPr="0000003C" w:rsidRDefault="00BD4F00" w:rsidP="004634E5">
            <w:pPr>
              <w:jc w:val="right"/>
              <w:rPr>
                <w:b/>
                <w:bCs/>
                <w:lang w:val="lt-LT"/>
              </w:rPr>
            </w:pPr>
            <w:r w:rsidRPr="0000003C">
              <w:rPr>
                <w:b/>
                <w:bCs/>
                <w:lang w:val="lt-LT"/>
              </w:rPr>
              <w:t>1</w:t>
            </w:r>
            <w:r w:rsidR="00884A1E">
              <w:rPr>
                <w:b/>
                <w:bCs/>
                <w:lang w:val="lt-LT"/>
              </w:rPr>
              <w:t xml:space="preserve"> </w:t>
            </w:r>
            <w:r w:rsidRPr="0000003C">
              <w:rPr>
                <w:b/>
                <w:bCs/>
                <w:lang w:val="lt-LT"/>
              </w:rPr>
              <w:t>453</w:t>
            </w:r>
          </w:p>
        </w:tc>
        <w:tc>
          <w:tcPr>
            <w:tcW w:w="2693" w:type="dxa"/>
            <w:shd w:val="clear" w:color="auto" w:fill="auto"/>
            <w:noWrap/>
            <w:vAlign w:val="bottom"/>
            <w:hideMark/>
          </w:tcPr>
          <w:p w:rsidR="00BD4F00" w:rsidRPr="0000003C" w:rsidRDefault="00BD4F00" w:rsidP="00D45F89">
            <w:pPr>
              <w:rPr>
                <w:lang w:val="lt-LT"/>
              </w:rPr>
            </w:pPr>
            <w:r w:rsidRPr="0000003C">
              <w:rPr>
                <w:lang w:val="lt-LT"/>
              </w:rPr>
              <w:t> Nesvarbus, nedaug ūk. operacij</w:t>
            </w:r>
            <w:r w:rsidR="00D45F89">
              <w:rPr>
                <w:lang w:val="lt-LT"/>
              </w:rPr>
              <w:t>ų</w:t>
            </w:r>
            <w:r w:rsidR="0073249F">
              <w:rPr>
                <w:lang w:val="lt-LT"/>
              </w:rPr>
              <w:t xml:space="preserve"> (pripažįstama panaudota, skaičiuojant įsigyto </w:t>
            </w:r>
            <w:r w:rsidR="00D45F89">
              <w:rPr>
                <w:lang w:val="lt-LT"/>
              </w:rPr>
              <w:t>tur</w:t>
            </w:r>
            <w:r w:rsidR="0073249F">
              <w:rPr>
                <w:lang w:val="lt-LT"/>
              </w:rPr>
              <w:t>to nusidėvėjimą)</w:t>
            </w:r>
          </w:p>
        </w:tc>
        <w:tc>
          <w:tcPr>
            <w:tcW w:w="567" w:type="dxa"/>
            <w:vAlign w:val="bottom"/>
          </w:tcPr>
          <w:p w:rsidR="00BD4F00" w:rsidRPr="0000003C" w:rsidRDefault="00BD4F00" w:rsidP="00594CF5">
            <w:pPr>
              <w:jc w:val="center"/>
              <w:rPr>
                <w:lang w:val="lt-LT"/>
              </w:rPr>
            </w:pPr>
            <w:r w:rsidRPr="0000003C">
              <w:rPr>
                <w:lang w:val="lt-LT"/>
              </w:rPr>
              <w:t>X</w:t>
            </w:r>
          </w:p>
        </w:tc>
      </w:tr>
      <w:tr w:rsidR="00BD4F00" w:rsidRPr="0000003C" w:rsidTr="005F7C5D">
        <w:trPr>
          <w:trHeight w:val="225"/>
        </w:trPr>
        <w:tc>
          <w:tcPr>
            <w:tcW w:w="696" w:type="dxa"/>
            <w:shd w:val="clear" w:color="auto" w:fill="auto"/>
            <w:hideMark/>
          </w:tcPr>
          <w:p w:rsidR="00BD4F00" w:rsidRPr="0000003C" w:rsidRDefault="00BD4F00" w:rsidP="004634E5">
            <w:pPr>
              <w:jc w:val="center"/>
              <w:rPr>
                <w:b/>
                <w:bCs/>
                <w:lang w:val="lt-LT"/>
              </w:rPr>
            </w:pPr>
            <w:r w:rsidRPr="0000003C">
              <w:rPr>
                <w:b/>
                <w:bCs/>
                <w:lang w:val="lt-LT"/>
              </w:rPr>
              <w:t>E.</w:t>
            </w:r>
          </w:p>
        </w:tc>
        <w:tc>
          <w:tcPr>
            <w:tcW w:w="2570" w:type="dxa"/>
            <w:shd w:val="clear" w:color="auto" w:fill="auto"/>
            <w:hideMark/>
          </w:tcPr>
          <w:p w:rsidR="00BD4F00" w:rsidRPr="0000003C" w:rsidRDefault="00BD4F00" w:rsidP="00594CF5">
            <w:pPr>
              <w:rPr>
                <w:b/>
                <w:bCs/>
                <w:lang w:val="lt-LT"/>
              </w:rPr>
            </w:pPr>
            <w:r w:rsidRPr="0000003C">
              <w:rPr>
                <w:b/>
                <w:bCs/>
                <w:lang w:val="lt-LT"/>
              </w:rPr>
              <w:t>MOKĖTINOS SUMOS IR ĮSIPAREIGOJIMAI</w:t>
            </w:r>
          </w:p>
        </w:tc>
        <w:tc>
          <w:tcPr>
            <w:tcW w:w="850" w:type="dxa"/>
            <w:shd w:val="clear" w:color="auto" w:fill="auto"/>
            <w:noWrap/>
            <w:vAlign w:val="bottom"/>
            <w:hideMark/>
          </w:tcPr>
          <w:p w:rsidR="00BD4F00" w:rsidRPr="0000003C" w:rsidRDefault="00BD4F00" w:rsidP="004634E5">
            <w:pPr>
              <w:jc w:val="right"/>
              <w:rPr>
                <w:b/>
                <w:bCs/>
                <w:lang w:val="lt-LT"/>
              </w:rPr>
            </w:pPr>
            <w:r w:rsidRPr="0000003C">
              <w:rPr>
                <w:b/>
                <w:bCs/>
                <w:lang w:val="lt-LT"/>
              </w:rPr>
              <w:t>16</w:t>
            </w:r>
            <w:r w:rsidR="00884A1E">
              <w:rPr>
                <w:b/>
                <w:bCs/>
                <w:lang w:val="lt-LT"/>
              </w:rPr>
              <w:t xml:space="preserve"> </w:t>
            </w:r>
            <w:r w:rsidRPr="0000003C">
              <w:rPr>
                <w:b/>
                <w:bCs/>
                <w:lang w:val="lt-LT"/>
              </w:rPr>
              <w:t>909</w:t>
            </w:r>
          </w:p>
        </w:tc>
        <w:tc>
          <w:tcPr>
            <w:tcW w:w="851" w:type="dxa"/>
            <w:shd w:val="clear" w:color="auto" w:fill="auto"/>
            <w:noWrap/>
            <w:vAlign w:val="bottom"/>
            <w:hideMark/>
          </w:tcPr>
          <w:p w:rsidR="00BD4F00" w:rsidRPr="0000003C" w:rsidRDefault="00BD4F00" w:rsidP="004634E5">
            <w:pPr>
              <w:jc w:val="right"/>
              <w:rPr>
                <w:b/>
                <w:bCs/>
                <w:lang w:val="lt-LT"/>
              </w:rPr>
            </w:pPr>
            <w:r w:rsidRPr="0000003C">
              <w:rPr>
                <w:b/>
                <w:bCs/>
                <w:lang w:val="lt-LT"/>
              </w:rPr>
              <w:t>15</w:t>
            </w:r>
            <w:r w:rsidR="00884A1E">
              <w:rPr>
                <w:b/>
                <w:bCs/>
                <w:lang w:val="lt-LT"/>
              </w:rPr>
              <w:t xml:space="preserve"> </w:t>
            </w:r>
            <w:r w:rsidRPr="0000003C">
              <w:rPr>
                <w:b/>
                <w:bCs/>
                <w:lang w:val="lt-LT"/>
              </w:rPr>
              <w:t>483</w:t>
            </w:r>
          </w:p>
        </w:tc>
        <w:tc>
          <w:tcPr>
            <w:tcW w:w="2693" w:type="dxa"/>
            <w:shd w:val="clear" w:color="auto" w:fill="BFBFBF" w:themeFill="background1" w:themeFillShade="BF"/>
            <w:noWrap/>
            <w:vAlign w:val="bottom"/>
            <w:hideMark/>
          </w:tcPr>
          <w:p w:rsidR="00BD4F00" w:rsidRPr="0000003C" w:rsidRDefault="00BD4F00" w:rsidP="004634E5">
            <w:pPr>
              <w:rPr>
                <w:lang w:val="lt-LT"/>
              </w:rPr>
            </w:pPr>
            <w:r w:rsidRPr="0000003C">
              <w:rPr>
                <w:lang w:val="lt-LT"/>
              </w:rPr>
              <w:t> </w:t>
            </w:r>
          </w:p>
        </w:tc>
        <w:tc>
          <w:tcPr>
            <w:tcW w:w="567" w:type="dxa"/>
            <w:shd w:val="clear" w:color="auto" w:fill="BFBFBF" w:themeFill="background1" w:themeFillShade="BF"/>
          </w:tcPr>
          <w:p w:rsidR="00BD4F00" w:rsidRPr="0000003C" w:rsidRDefault="00BD4F00" w:rsidP="004634E5">
            <w:pPr>
              <w:rPr>
                <w:lang w:val="lt-LT"/>
              </w:rPr>
            </w:pPr>
          </w:p>
        </w:tc>
      </w:tr>
      <w:tr w:rsidR="00BD4F00" w:rsidRPr="0000003C" w:rsidTr="005F7C5D">
        <w:trPr>
          <w:trHeight w:val="450"/>
        </w:trPr>
        <w:tc>
          <w:tcPr>
            <w:tcW w:w="696" w:type="dxa"/>
            <w:shd w:val="clear" w:color="auto" w:fill="auto"/>
            <w:hideMark/>
          </w:tcPr>
          <w:p w:rsidR="00BD4F00" w:rsidRPr="0000003C" w:rsidRDefault="00BD4F00" w:rsidP="004634E5">
            <w:pPr>
              <w:jc w:val="center"/>
              <w:rPr>
                <w:b/>
                <w:bCs/>
                <w:lang w:val="lt-LT"/>
              </w:rPr>
            </w:pPr>
            <w:r w:rsidRPr="0000003C">
              <w:rPr>
                <w:b/>
                <w:bCs/>
                <w:lang w:val="lt-LT"/>
              </w:rPr>
              <w:t>I.</w:t>
            </w:r>
          </w:p>
        </w:tc>
        <w:tc>
          <w:tcPr>
            <w:tcW w:w="2570" w:type="dxa"/>
            <w:shd w:val="clear" w:color="auto" w:fill="auto"/>
            <w:hideMark/>
          </w:tcPr>
          <w:p w:rsidR="00BD4F00" w:rsidRPr="0000003C" w:rsidRDefault="00BD4F00" w:rsidP="00594CF5">
            <w:pPr>
              <w:rPr>
                <w:b/>
                <w:bCs/>
                <w:lang w:val="lt-LT"/>
              </w:rPr>
            </w:pPr>
            <w:r w:rsidRPr="0000003C">
              <w:rPr>
                <w:b/>
                <w:bCs/>
                <w:lang w:val="lt-LT"/>
              </w:rPr>
              <w:t>PO VIENERIŲ METŲ MOKĖT. SUMOS IR ILG. ĮSIPAREIGOJIMAI</w:t>
            </w:r>
          </w:p>
        </w:tc>
        <w:tc>
          <w:tcPr>
            <w:tcW w:w="850" w:type="dxa"/>
            <w:shd w:val="clear" w:color="auto" w:fill="auto"/>
            <w:noWrap/>
            <w:vAlign w:val="bottom"/>
            <w:hideMark/>
          </w:tcPr>
          <w:p w:rsidR="00BD4F00" w:rsidRPr="0000003C" w:rsidRDefault="00BD4F00" w:rsidP="004634E5">
            <w:pPr>
              <w:jc w:val="right"/>
              <w:rPr>
                <w:b/>
                <w:bCs/>
                <w:lang w:val="lt-LT"/>
              </w:rPr>
            </w:pPr>
            <w:r w:rsidRPr="0000003C">
              <w:rPr>
                <w:b/>
                <w:bCs/>
                <w:lang w:val="lt-LT"/>
              </w:rPr>
              <w:t>3</w:t>
            </w:r>
            <w:r w:rsidR="00884A1E">
              <w:rPr>
                <w:b/>
                <w:bCs/>
                <w:lang w:val="lt-LT"/>
              </w:rPr>
              <w:t xml:space="preserve"> </w:t>
            </w:r>
            <w:r w:rsidRPr="0000003C">
              <w:rPr>
                <w:b/>
                <w:bCs/>
                <w:lang w:val="lt-LT"/>
              </w:rPr>
              <w:t>085</w:t>
            </w:r>
          </w:p>
        </w:tc>
        <w:tc>
          <w:tcPr>
            <w:tcW w:w="851" w:type="dxa"/>
            <w:shd w:val="clear" w:color="auto" w:fill="auto"/>
            <w:noWrap/>
            <w:vAlign w:val="bottom"/>
            <w:hideMark/>
          </w:tcPr>
          <w:p w:rsidR="00BD4F00" w:rsidRPr="0000003C" w:rsidRDefault="00BD4F00" w:rsidP="004634E5">
            <w:pPr>
              <w:jc w:val="right"/>
              <w:rPr>
                <w:b/>
                <w:bCs/>
                <w:lang w:val="lt-LT"/>
              </w:rPr>
            </w:pPr>
            <w:r w:rsidRPr="0000003C">
              <w:rPr>
                <w:b/>
                <w:bCs/>
                <w:lang w:val="lt-LT"/>
              </w:rPr>
              <w:t>4</w:t>
            </w:r>
            <w:r w:rsidR="00884A1E">
              <w:rPr>
                <w:b/>
                <w:bCs/>
                <w:lang w:val="lt-LT"/>
              </w:rPr>
              <w:t xml:space="preserve"> </w:t>
            </w:r>
            <w:r w:rsidRPr="0000003C">
              <w:rPr>
                <w:b/>
                <w:bCs/>
                <w:lang w:val="lt-LT"/>
              </w:rPr>
              <w:t>040</w:t>
            </w:r>
          </w:p>
        </w:tc>
        <w:tc>
          <w:tcPr>
            <w:tcW w:w="2693" w:type="dxa"/>
            <w:shd w:val="clear" w:color="auto" w:fill="BFBFBF" w:themeFill="background1" w:themeFillShade="BF"/>
            <w:noWrap/>
            <w:vAlign w:val="bottom"/>
            <w:hideMark/>
          </w:tcPr>
          <w:p w:rsidR="00BD4F00" w:rsidRPr="0000003C" w:rsidRDefault="00BD4F00" w:rsidP="004634E5">
            <w:pPr>
              <w:rPr>
                <w:lang w:val="lt-LT"/>
              </w:rPr>
            </w:pPr>
            <w:r w:rsidRPr="0000003C">
              <w:rPr>
                <w:lang w:val="lt-LT"/>
              </w:rPr>
              <w:t> </w:t>
            </w:r>
          </w:p>
        </w:tc>
        <w:tc>
          <w:tcPr>
            <w:tcW w:w="567" w:type="dxa"/>
            <w:shd w:val="clear" w:color="auto" w:fill="BFBFBF" w:themeFill="background1" w:themeFillShade="BF"/>
          </w:tcPr>
          <w:p w:rsidR="00BD4F00" w:rsidRPr="0000003C" w:rsidRDefault="00BD4F00" w:rsidP="004634E5">
            <w:pPr>
              <w:rPr>
                <w:lang w:val="lt-LT"/>
              </w:rPr>
            </w:pPr>
          </w:p>
        </w:tc>
      </w:tr>
      <w:tr w:rsidR="00BD4F00" w:rsidRPr="0000003C" w:rsidTr="005F7C5D">
        <w:trPr>
          <w:trHeight w:val="330"/>
        </w:trPr>
        <w:tc>
          <w:tcPr>
            <w:tcW w:w="696" w:type="dxa"/>
            <w:shd w:val="clear" w:color="auto" w:fill="auto"/>
            <w:hideMark/>
          </w:tcPr>
          <w:p w:rsidR="00BD4F00" w:rsidRPr="0000003C" w:rsidRDefault="00BD4F00" w:rsidP="004634E5">
            <w:pPr>
              <w:jc w:val="center"/>
              <w:rPr>
                <w:lang w:val="lt-LT"/>
              </w:rPr>
            </w:pPr>
            <w:r w:rsidRPr="0000003C">
              <w:rPr>
                <w:lang w:val="lt-LT"/>
              </w:rPr>
              <w:t>I.1.</w:t>
            </w:r>
          </w:p>
        </w:tc>
        <w:tc>
          <w:tcPr>
            <w:tcW w:w="2570" w:type="dxa"/>
            <w:shd w:val="clear" w:color="auto" w:fill="auto"/>
            <w:hideMark/>
          </w:tcPr>
          <w:p w:rsidR="00BD4F00" w:rsidRPr="0000003C" w:rsidRDefault="00BD4F00" w:rsidP="00594CF5">
            <w:pPr>
              <w:rPr>
                <w:lang w:val="lt-LT"/>
              </w:rPr>
            </w:pPr>
            <w:r w:rsidRPr="0000003C">
              <w:rPr>
                <w:lang w:val="lt-LT"/>
              </w:rPr>
              <w:t>Finansinės skolos</w:t>
            </w:r>
          </w:p>
        </w:tc>
        <w:tc>
          <w:tcPr>
            <w:tcW w:w="850" w:type="dxa"/>
            <w:shd w:val="clear" w:color="auto" w:fill="auto"/>
            <w:noWrap/>
            <w:vAlign w:val="bottom"/>
            <w:hideMark/>
          </w:tcPr>
          <w:p w:rsidR="00BD4F00" w:rsidRPr="0000003C" w:rsidRDefault="00BD4F00" w:rsidP="004634E5">
            <w:pPr>
              <w:jc w:val="right"/>
              <w:rPr>
                <w:b/>
                <w:bCs/>
                <w:lang w:val="lt-LT"/>
              </w:rPr>
            </w:pPr>
            <w:r w:rsidRPr="0000003C">
              <w:rPr>
                <w:b/>
                <w:bCs/>
                <w:lang w:val="lt-LT"/>
              </w:rPr>
              <w:t>2</w:t>
            </w:r>
            <w:r w:rsidR="00884A1E">
              <w:rPr>
                <w:b/>
                <w:bCs/>
                <w:lang w:val="lt-LT"/>
              </w:rPr>
              <w:t xml:space="preserve"> </w:t>
            </w:r>
            <w:r w:rsidRPr="0000003C">
              <w:rPr>
                <w:b/>
                <w:bCs/>
                <w:lang w:val="lt-LT"/>
              </w:rPr>
              <w:t>512</w:t>
            </w:r>
          </w:p>
        </w:tc>
        <w:tc>
          <w:tcPr>
            <w:tcW w:w="851" w:type="dxa"/>
            <w:shd w:val="clear" w:color="auto" w:fill="auto"/>
            <w:noWrap/>
            <w:vAlign w:val="bottom"/>
            <w:hideMark/>
          </w:tcPr>
          <w:p w:rsidR="00BD4F00" w:rsidRPr="0000003C" w:rsidRDefault="00BD4F00" w:rsidP="004634E5">
            <w:pPr>
              <w:jc w:val="right"/>
              <w:rPr>
                <w:b/>
                <w:bCs/>
                <w:lang w:val="lt-LT"/>
              </w:rPr>
            </w:pPr>
            <w:r w:rsidRPr="0000003C">
              <w:rPr>
                <w:b/>
                <w:bCs/>
                <w:lang w:val="lt-LT"/>
              </w:rPr>
              <w:t>3</w:t>
            </w:r>
            <w:r w:rsidR="00884A1E">
              <w:rPr>
                <w:b/>
                <w:bCs/>
                <w:lang w:val="lt-LT"/>
              </w:rPr>
              <w:t xml:space="preserve"> </w:t>
            </w:r>
            <w:r w:rsidRPr="0000003C">
              <w:rPr>
                <w:b/>
                <w:bCs/>
                <w:lang w:val="lt-LT"/>
              </w:rPr>
              <w:t>792</w:t>
            </w:r>
          </w:p>
        </w:tc>
        <w:tc>
          <w:tcPr>
            <w:tcW w:w="2693" w:type="dxa"/>
            <w:shd w:val="clear" w:color="auto" w:fill="BFBFBF" w:themeFill="background1" w:themeFillShade="BF"/>
            <w:noWrap/>
            <w:vAlign w:val="bottom"/>
            <w:hideMark/>
          </w:tcPr>
          <w:p w:rsidR="00BD4F00" w:rsidRPr="0000003C" w:rsidRDefault="00BD4F00" w:rsidP="004634E5">
            <w:pPr>
              <w:rPr>
                <w:lang w:val="lt-LT"/>
              </w:rPr>
            </w:pPr>
          </w:p>
        </w:tc>
        <w:tc>
          <w:tcPr>
            <w:tcW w:w="567" w:type="dxa"/>
            <w:shd w:val="clear" w:color="auto" w:fill="BFBFBF" w:themeFill="background1" w:themeFillShade="BF"/>
            <w:vAlign w:val="bottom"/>
          </w:tcPr>
          <w:p w:rsidR="00BD4F00" w:rsidRPr="0000003C" w:rsidRDefault="00BD4F00" w:rsidP="004634E5">
            <w:pPr>
              <w:rPr>
                <w:lang w:val="lt-LT"/>
              </w:rPr>
            </w:pP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I.1.1.</w:t>
            </w:r>
          </w:p>
        </w:tc>
        <w:tc>
          <w:tcPr>
            <w:tcW w:w="2570" w:type="dxa"/>
            <w:shd w:val="clear" w:color="auto" w:fill="auto"/>
            <w:hideMark/>
          </w:tcPr>
          <w:p w:rsidR="00BD4F00" w:rsidRPr="0000003C" w:rsidRDefault="00BD4F00" w:rsidP="00594CF5">
            <w:pPr>
              <w:rPr>
                <w:lang w:val="lt-LT"/>
              </w:rPr>
            </w:pPr>
            <w:r w:rsidRPr="0000003C">
              <w:rPr>
                <w:lang w:val="lt-LT"/>
              </w:rPr>
              <w:t>Kredito įstaigoms</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2</w:t>
            </w:r>
            <w:r w:rsidR="00884A1E">
              <w:rPr>
                <w:lang w:val="lt-LT"/>
              </w:rPr>
              <w:t xml:space="preserve"> </w:t>
            </w:r>
            <w:r w:rsidRPr="0000003C">
              <w:rPr>
                <w:lang w:val="lt-LT"/>
              </w:rPr>
              <w:t>170</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3</w:t>
            </w:r>
            <w:r w:rsidR="00884A1E">
              <w:rPr>
                <w:lang w:val="lt-LT"/>
              </w:rPr>
              <w:t xml:space="preserve"> </w:t>
            </w:r>
            <w:r w:rsidRPr="0000003C">
              <w:rPr>
                <w:lang w:val="lt-LT"/>
              </w:rPr>
              <w:t>390</w:t>
            </w:r>
          </w:p>
        </w:tc>
        <w:tc>
          <w:tcPr>
            <w:tcW w:w="2693" w:type="dxa"/>
            <w:shd w:val="clear" w:color="auto" w:fill="auto"/>
            <w:noWrap/>
            <w:vAlign w:val="bottom"/>
            <w:hideMark/>
          </w:tcPr>
          <w:p w:rsidR="00BD4F00" w:rsidRPr="0000003C" w:rsidRDefault="00BD4F00" w:rsidP="00B57710">
            <w:pPr>
              <w:rPr>
                <w:lang w:val="lt-LT"/>
              </w:rPr>
            </w:pPr>
            <w:r w:rsidRPr="0000003C">
              <w:rPr>
                <w:lang w:val="lt-LT"/>
              </w:rPr>
              <w:t>Svarbus (f</w:t>
            </w:r>
            <w:r w:rsidR="00B57710">
              <w:rPr>
                <w:lang w:val="lt-LT"/>
              </w:rPr>
              <w:t>/a</w:t>
            </w:r>
            <w:r w:rsidRPr="0000003C">
              <w:rPr>
                <w:lang w:val="lt-LT"/>
              </w:rPr>
              <w:t xml:space="preserve"> sudarymo procesas)</w:t>
            </w:r>
          </w:p>
        </w:tc>
        <w:tc>
          <w:tcPr>
            <w:tcW w:w="567" w:type="dxa"/>
            <w:vAlign w:val="bottom"/>
          </w:tcPr>
          <w:p w:rsidR="00BD4F00" w:rsidRPr="00960580" w:rsidRDefault="00960580" w:rsidP="00960580">
            <w:pPr>
              <w:jc w:val="center"/>
              <w:rPr>
                <w:b/>
                <w:lang w:val="lt-LT"/>
              </w:rPr>
            </w:pPr>
            <w:r w:rsidRPr="00960580">
              <w:rPr>
                <w:b/>
                <w:lang w:val="lt-LT"/>
              </w:rPr>
              <w:t>V</w:t>
            </w: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I.1.2.</w:t>
            </w:r>
          </w:p>
        </w:tc>
        <w:tc>
          <w:tcPr>
            <w:tcW w:w="2570" w:type="dxa"/>
            <w:shd w:val="clear" w:color="auto" w:fill="auto"/>
            <w:hideMark/>
          </w:tcPr>
          <w:p w:rsidR="00BD4F00" w:rsidRPr="0000003C" w:rsidRDefault="00BD4F00" w:rsidP="00594CF5">
            <w:pPr>
              <w:rPr>
                <w:lang w:val="lt-LT"/>
              </w:rPr>
            </w:pPr>
            <w:r w:rsidRPr="0000003C">
              <w:rPr>
                <w:lang w:val="lt-LT"/>
              </w:rPr>
              <w:t>Kitos finansinės skolos (lizingas)</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342</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402</w:t>
            </w:r>
          </w:p>
        </w:tc>
        <w:tc>
          <w:tcPr>
            <w:tcW w:w="2693" w:type="dxa"/>
            <w:shd w:val="clear" w:color="auto" w:fill="auto"/>
            <w:noWrap/>
            <w:vAlign w:val="bottom"/>
            <w:hideMark/>
          </w:tcPr>
          <w:p w:rsidR="00BD4F00" w:rsidRPr="0000003C" w:rsidRDefault="00BD4F00" w:rsidP="004634E5">
            <w:pPr>
              <w:rPr>
                <w:lang w:val="lt-LT"/>
              </w:rPr>
            </w:pPr>
            <w:r w:rsidRPr="0000003C">
              <w:rPr>
                <w:lang w:val="lt-LT"/>
              </w:rPr>
              <w:t>t. p. </w:t>
            </w:r>
          </w:p>
        </w:tc>
        <w:tc>
          <w:tcPr>
            <w:tcW w:w="567" w:type="dxa"/>
            <w:vAlign w:val="bottom"/>
          </w:tcPr>
          <w:p w:rsidR="00BD4F00" w:rsidRPr="0000003C" w:rsidRDefault="005F7C5D" w:rsidP="004634E5">
            <w:pPr>
              <w:rPr>
                <w:lang w:val="lt-LT"/>
              </w:rPr>
            </w:pPr>
            <w:r>
              <w:rPr>
                <w:lang w:val="lt-LT"/>
              </w:rPr>
              <w:t>t. p.</w:t>
            </w: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I.2.</w:t>
            </w:r>
          </w:p>
        </w:tc>
        <w:tc>
          <w:tcPr>
            <w:tcW w:w="2570" w:type="dxa"/>
            <w:shd w:val="clear" w:color="auto" w:fill="auto"/>
            <w:hideMark/>
          </w:tcPr>
          <w:p w:rsidR="00BD4F00" w:rsidRPr="0000003C" w:rsidRDefault="00BD4F00" w:rsidP="00594CF5">
            <w:pPr>
              <w:rPr>
                <w:lang w:val="lt-LT"/>
              </w:rPr>
            </w:pPr>
            <w:r w:rsidRPr="0000003C">
              <w:rPr>
                <w:lang w:val="lt-LT"/>
              </w:rPr>
              <w:t>Atidėtieji mokesčiai</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573</w:t>
            </w:r>
          </w:p>
        </w:tc>
        <w:tc>
          <w:tcPr>
            <w:tcW w:w="851" w:type="dxa"/>
            <w:shd w:val="clear" w:color="auto" w:fill="auto"/>
            <w:noWrap/>
            <w:vAlign w:val="bottom"/>
            <w:hideMark/>
          </w:tcPr>
          <w:p w:rsidR="00BD4F00" w:rsidRPr="0000003C" w:rsidRDefault="00BD4F00" w:rsidP="00BE4D3E">
            <w:pPr>
              <w:jc w:val="right"/>
              <w:rPr>
                <w:lang w:val="lt-LT"/>
              </w:rPr>
            </w:pPr>
            <w:r w:rsidRPr="0000003C">
              <w:rPr>
                <w:lang w:val="lt-LT"/>
              </w:rPr>
              <w:t>248</w:t>
            </w:r>
          </w:p>
        </w:tc>
        <w:tc>
          <w:tcPr>
            <w:tcW w:w="2693" w:type="dxa"/>
            <w:shd w:val="clear" w:color="auto" w:fill="auto"/>
            <w:noWrap/>
            <w:vAlign w:val="bottom"/>
            <w:hideMark/>
          </w:tcPr>
          <w:p w:rsidR="00BD4F00" w:rsidRPr="0000003C" w:rsidRDefault="00BD4F00" w:rsidP="00B7691E">
            <w:pPr>
              <w:rPr>
                <w:lang w:val="lt-LT"/>
              </w:rPr>
            </w:pPr>
            <w:r w:rsidRPr="0000003C">
              <w:rPr>
                <w:lang w:val="lt-LT"/>
              </w:rPr>
              <w:t>Svarbus, naudojami apskaitiniai įver</w:t>
            </w:r>
            <w:r w:rsidR="00B7691E">
              <w:rPr>
                <w:lang w:val="lt-LT"/>
              </w:rPr>
              <w:t>čia</w:t>
            </w:r>
            <w:r w:rsidRPr="0000003C">
              <w:rPr>
                <w:lang w:val="lt-LT"/>
              </w:rPr>
              <w:t>i (f</w:t>
            </w:r>
            <w:r w:rsidR="00B57710">
              <w:rPr>
                <w:lang w:val="lt-LT"/>
              </w:rPr>
              <w:t>/a</w:t>
            </w:r>
            <w:r w:rsidRPr="0000003C">
              <w:rPr>
                <w:lang w:val="lt-LT"/>
              </w:rPr>
              <w:t xml:space="preserve"> sudarymo procesas)</w:t>
            </w:r>
          </w:p>
        </w:tc>
        <w:tc>
          <w:tcPr>
            <w:tcW w:w="567" w:type="dxa"/>
            <w:vAlign w:val="bottom"/>
          </w:tcPr>
          <w:p w:rsidR="00BD4F00" w:rsidRPr="00960580" w:rsidRDefault="00960580" w:rsidP="00960580">
            <w:pPr>
              <w:jc w:val="center"/>
              <w:rPr>
                <w:b/>
                <w:lang w:val="lt-LT"/>
              </w:rPr>
            </w:pPr>
            <w:r w:rsidRPr="00960580">
              <w:rPr>
                <w:b/>
                <w:lang w:val="lt-LT"/>
              </w:rPr>
              <w:t>V</w:t>
            </w:r>
          </w:p>
        </w:tc>
      </w:tr>
      <w:tr w:rsidR="00BD4F00" w:rsidRPr="0000003C" w:rsidTr="005F7C5D">
        <w:trPr>
          <w:trHeight w:val="675"/>
        </w:trPr>
        <w:tc>
          <w:tcPr>
            <w:tcW w:w="696" w:type="dxa"/>
            <w:shd w:val="clear" w:color="auto" w:fill="auto"/>
            <w:hideMark/>
          </w:tcPr>
          <w:p w:rsidR="00BD4F00" w:rsidRPr="0000003C" w:rsidRDefault="00BD4F00" w:rsidP="004634E5">
            <w:pPr>
              <w:jc w:val="center"/>
              <w:rPr>
                <w:b/>
                <w:bCs/>
                <w:lang w:val="lt-LT"/>
              </w:rPr>
            </w:pPr>
            <w:r w:rsidRPr="0000003C">
              <w:rPr>
                <w:b/>
                <w:bCs/>
                <w:lang w:val="lt-LT"/>
              </w:rPr>
              <w:t>II.</w:t>
            </w:r>
          </w:p>
        </w:tc>
        <w:tc>
          <w:tcPr>
            <w:tcW w:w="2570" w:type="dxa"/>
            <w:shd w:val="clear" w:color="auto" w:fill="auto"/>
            <w:hideMark/>
          </w:tcPr>
          <w:p w:rsidR="00BD4F00" w:rsidRPr="0000003C" w:rsidRDefault="00BD4F00" w:rsidP="00594CF5">
            <w:pPr>
              <w:rPr>
                <w:b/>
                <w:bCs/>
                <w:lang w:val="lt-LT"/>
              </w:rPr>
            </w:pPr>
            <w:r w:rsidRPr="0000003C">
              <w:rPr>
                <w:b/>
                <w:bCs/>
                <w:lang w:val="lt-LT"/>
              </w:rPr>
              <w:t>PER VIENERIUS METUS MOKĖT. SUMOS IR TRUMP. ĮSIPAREIGOJIMAI</w:t>
            </w:r>
          </w:p>
        </w:tc>
        <w:tc>
          <w:tcPr>
            <w:tcW w:w="850" w:type="dxa"/>
            <w:shd w:val="clear" w:color="auto" w:fill="auto"/>
            <w:noWrap/>
            <w:vAlign w:val="bottom"/>
            <w:hideMark/>
          </w:tcPr>
          <w:p w:rsidR="00BD4F00" w:rsidRPr="0000003C" w:rsidRDefault="00BD4F00" w:rsidP="004634E5">
            <w:pPr>
              <w:jc w:val="right"/>
              <w:rPr>
                <w:b/>
                <w:bCs/>
                <w:lang w:val="lt-LT"/>
              </w:rPr>
            </w:pPr>
            <w:r w:rsidRPr="0000003C">
              <w:rPr>
                <w:b/>
                <w:bCs/>
                <w:lang w:val="lt-LT"/>
              </w:rPr>
              <w:t>13</w:t>
            </w:r>
            <w:r w:rsidR="00884A1E">
              <w:rPr>
                <w:b/>
                <w:bCs/>
                <w:lang w:val="lt-LT"/>
              </w:rPr>
              <w:t xml:space="preserve"> </w:t>
            </w:r>
            <w:r w:rsidRPr="0000003C">
              <w:rPr>
                <w:b/>
                <w:bCs/>
                <w:lang w:val="lt-LT"/>
              </w:rPr>
              <w:t>824</w:t>
            </w:r>
          </w:p>
        </w:tc>
        <w:tc>
          <w:tcPr>
            <w:tcW w:w="851" w:type="dxa"/>
            <w:shd w:val="clear" w:color="auto" w:fill="auto"/>
            <w:noWrap/>
            <w:vAlign w:val="bottom"/>
            <w:hideMark/>
          </w:tcPr>
          <w:p w:rsidR="00BD4F00" w:rsidRPr="0000003C" w:rsidRDefault="00BD4F00" w:rsidP="004634E5">
            <w:pPr>
              <w:jc w:val="right"/>
              <w:rPr>
                <w:b/>
                <w:bCs/>
                <w:lang w:val="lt-LT"/>
              </w:rPr>
            </w:pPr>
            <w:r w:rsidRPr="0000003C">
              <w:rPr>
                <w:b/>
                <w:bCs/>
                <w:lang w:val="lt-LT"/>
              </w:rPr>
              <w:t>11</w:t>
            </w:r>
            <w:r w:rsidR="00884A1E">
              <w:rPr>
                <w:b/>
                <w:bCs/>
                <w:lang w:val="lt-LT"/>
              </w:rPr>
              <w:t xml:space="preserve"> </w:t>
            </w:r>
            <w:r w:rsidRPr="0000003C">
              <w:rPr>
                <w:b/>
                <w:bCs/>
                <w:lang w:val="lt-LT"/>
              </w:rPr>
              <w:t>443</w:t>
            </w:r>
          </w:p>
        </w:tc>
        <w:tc>
          <w:tcPr>
            <w:tcW w:w="2693" w:type="dxa"/>
            <w:shd w:val="clear" w:color="auto" w:fill="BFBFBF" w:themeFill="background1" w:themeFillShade="BF"/>
            <w:noWrap/>
            <w:vAlign w:val="bottom"/>
            <w:hideMark/>
          </w:tcPr>
          <w:p w:rsidR="00BD4F00" w:rsidRPr="0000003C" w:rsidRDefault="00BD4F00" w:rsidP="004634E5">
            <w:pPr>
              <w:rPr>
                <w:lang w:val="lt-LT"/>
              </w:rPr>
            </w:pPr>
            <w:r w:rsidRPr="0000003C">
              <w:rPr>
                <w:lang w:val="lt-LT"/>
              </w:rPr>
              <w:t> </w:t>
            </w:r>
          </w:p>
        </w:tc>
        <w:tc>
          <w:tcPr>
            <w:tcW w:w="567" w:type="dxa"/>
            <w:shd w:val="clear" w:color="auto" w:fill="BFBFBF" w:themeFill="background1" w:themeFillShade="BF"/>
          </w:tcPr>
          <w:p w:rsidR="00BD4F00" w:rsidRPr="0000003C" w:rsidRDefault="00BD4F00" w:rsidP="004634E5">
            <w:pPr>
              <w:rPr>
                <w:lang w:val="lt-LT"/>
              </w:rPr>
            </w:pP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II.1.</w:t>
            </w:r>
          </w:p>
        </w:tc>
        <w:tc>
          <w:tcPr>
            <w:tcW w:w="2570" w:type="dxa"/>
            <w:shd w:val="clear" w:color="auto" w:fill="auto"/>
            <w:hideMark/>
          </w:tcPr>
          <w:p w:rsidR="00BD4F00" w:rsidRPr="0000003C" w:rsidRDefault="00BD4F00" w:rsidP="00594CF5">
            <w:pPr>
              <w:rPr>
                <w:lang w:val="lt-LT"/>
              </w:rPr>
            </w:pPr>
            <w:r w:rsidRPr="0000003C">
              <w:rPr>
                <w:lang w:val="lt-LT"/>
              </w:rPr>
              <w:t>Ilgalaikių skolų einamųjų metų dalis</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3</w:t>
            </w:r>
            <w:r w:rsidR="00884A1E">
              <w:rPr>
                <w:lang w:val="lt-LT"/>
              </w:rPr>
              <w:t xml:space="preserve"> </w:t>
            </w:r>
            <w:r w:rsidRPr="0000003C">
              <w:rPr>
                <w:lang w:val="lt-LT"/>
              </w:rPr>
              <w:t>968</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870</w:t>
            </w:r>
          </w:p>
        </w:tc>
        <w:tc>
          <w:tcPr>
            <w:tcW w:w="2693" w:type="dxa"/>
            <w:shd w:val="clear" w:color="auto" w:fill="auto"/>
            <w:noWrap/>
            <w:vAlign w:val="bottom"/>
            <w:hideMark/>
          </w:tcPr>
          <w:p w:rsidR="00BD4F00" w:rsidRPr="0000003C" w:rsidRDefault="00BD4F00" w:rsidP="00CD3F42">
            <w:pPr>
              <w:rPr>
                <w:lang w:val="lt-LT"/>
              </w:rPr>
            </w:pPr>
            <w:r w:rsidRPr="0000003C">
              <w:rPr>
                <w:lang w:val="lt-LT"/>
              </w:rPr>
              <w:t>Svarbus (f</w:t>
            </w:r>
            <w:r w:rsidR="00CD3F42">
              <w:rPr>
                <w:lang w:val="lt-LT"/>
              </w:rPr>
              <w:t>/a</w:t>
            </w:r>
            <w:r w:rsidRPr="0000003C">
              <w:rPr>
                <w:lang w:val="lt-LT"/>
              </w:rPr>
              <w:t xml:space="preserve"> sudarymo procesas)</w:t>
            </w:r>
          </w:p>
        </w:tc>
        <w:tc>
          <w:tcPr>
            <w:tcW w:w="567" w:type="dxa"/>
            <w:vAlign w:val="bottom"/>
          </w:tcPr>
          <w:p w:rsidR="00BD4F00" w:rsidRPr="00960580" w:rsidRDefault="00960580" w:rsidP="00960580">
            <w:pPr>
              <w:jc w:val="center"/>
              <w:rPr>
                <w:b/>
                <w:lang w:val="lt-LT"/>
              </w:rPr>
            </w:pPr>
            <w:r w:rsidRPr="00960580">
              <w:rPr>
                <w:b/>
                <w:lang w:val="lt-LT"/>
              </w:rPr>
              <w:t>V</w:t>
            </w: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II.2.</w:t>
            </w:r>
          </w:p>
        </w:tc>
        <w:tc>
          <w:tcPr>
            <w:tcW w:w="2570" w:type="dxa"/>
            <w:shd w:val="clear" w:color="auto" w:fill="auto"/>
            <w:hideMark/>
          </w:tcPr>
          <w:p w:rsidR="00BD4F00" w:rsidRPr="0000003C" w:rsidRDefault="00BD4F00" w:rsidP="00594CF5">
            <w:pPr>
              <w:rPr>
                <w:lang w:val="lt-LT"/>
              </w:rPr>
            </w:pPr>
            <w:r w:rsidRPr="0000003C">
              <w:rPr>
                <w:lang w:val="lt-LT"/>
              </w:rPr>
              <w:t>Ilgalaikių lizingo įsipareigojimų einamųjų metų dalis</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307</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258</w:t>
            </w:r>
          </w:p>
        </w:tc>
        <w:tc>
          <w:tcPr>
            <w:tcW w:w="2693" w:type="dxa"/>
            <w:shd w:val="clear" w:color="auto" w:fill="auto"/>
            <w:noWrap/>
            <w:vAlign w:val="bottom"/>
            <w:hideMark/>
          </w:tcPr>
          <w:p w:rsidR="00BD4F00" w:rsidRPr="0000003C" w:rsidRDefault="00BD4F00" w:rsidP="002B7422">
            <w:pPr>
              <w:rPr>
                <w:lang w:val="lt-LT"/>
              </w:rPr>
            </w:pPr>
            <w:r w:rsidRPr="0000003C">
              <w:rPr>
                <w:lang w:val="lt-LT"/>
              </w:rPr>
              <w:t>t. p. </w:t>
            </w:r>
          </w:p>
        </w:tc>
        <w:tc>
          <w:tcPr>
            <w:tcW w:w="567" w:type="dxa"/>
            <w:vAlign w:val="bottom"/>
          </w:tcPr>
          <w:p w:rsidR="00BD4F00" w:rsidRPr="0000003C" w:rsidRDefault="00BD4F00" w:rsidP="00960580">
            <w:pPr>
              <w:rPr>
                <w:lang w:val="lt-LT"/>
              </w:rPr>
            </w:pPr>
            <w:r w:rsidRPr="0000003C">
              <w:rPr>
                <w:lang w:val="lt-LT"/>
              </w:rPr>
              <w:t>t. p.</w:t>
            </w: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II.3.</w:t>
            </w:r>
          </w:p>
        </w:tc>
        <w:tc>
          <w:tcPr>
            <w:tcW w:w="2570" w:type="dxa"/>
            <w:shd w:val="clear" w:color="auto" w:fill="auto"/>
            <w:hideMark/>
          </w:tcPr>
          <w:p w:rsidR="00BD4F00" w:rsidRPr="0000003C" w:rsidRDefault="00BD4F00" w:rsidP="00594CF5">
            <w:pPr>
              <w:rPr>
                <w:lang w:val="lt-LT"/>
              </w:rPr>
            </w:pPr>
            <w:r w:rsidRPr="0000003C">
              <w:rPr>
                <w:lang w:val="lt-LT"/>
              </w:rPr>
              <w:t>Skolos tiekėjams</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7</w:t>
            </w:r>
            <w:r w:rsidR="00884A1E">
              <w:rPr>
                <w:lang w:val="lt-LT"/>
              </w:rPr>
              <w:t xml:space="preserve"> </w:t>
            </w:r>
            <w:r w:rsidRPr="0000003C">
              <w:rPr>
                <w:lang w:val="lt-LT"/>
              </w:rPr>
              <w:t>358</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8</w:t>
            </w:r>
            <w:r w:rsidR="00884A1E">
              <w:rPr>
                <w:lang w:val="lt-LT"/>
              </w:rPr>
              <w:t xml:space="preserve"> </w:t>
            </w:r>
            <w:r w:rsidRPr="0000003C">
              <w:rPr>
                <w:lang w:val="lt-LT"/>
              </w:rPr>
              <w:t>910</w:t>
            </w:r>
          </w:p>
        </w:tc>
        <w:tc>
          <w:tcPr>
            <w:tcW w:w="2693" w:type="dxa"/>
            <w:shd w:val="clear" w:color="auto" w:fill="auto"/>
            <w:noWrap/>
            <w:vAlign w:val="bottom"/>
            <w:hideMark/>
          </w:tcPr>
          <w:p w:rsidR="00BD4F00" w:rsidRPr="0000003C" w:rsidRDefault="00BD4F00" w:rsidP="004634E5">
            <w:pPr>
              <w:rPr>
                <w:lang w:val="lt-LT"/>
              </w:rPr>
            </w:pPr>
            <w:r w:rsidRPr="0000003C">
              <w:rPr>
                <w:lang w:val="lt-LT"/>
              </w:rPr>
              <w:t>Svarbus (pirkimų procesas)</w:t>
            </w:r>
          </w:p>
        </w:tc>
        <w:tc>
          <w:tcPr>
            <w:tcW w:w="567" w:type="dxa"/>
            <w:vAlign w:val="bottom"/>
          </w:tcPr>
          <w:p w:rsidR="00BD4F00" w:rsidRPr="00960580" w:rsidRDefault="00960580" w:rsidP="00960580">
            <w:pPr>
              <w:jc w:val="center"/>
              <w:rPr>
                <w:b/>
                <w:lang w:val="lt-LT"/>
              </w:rPr>
            </w:pPr>
            <w:r w:rsidRPr="00960580">
              <w:rPr>
                <w:b/>
                <w:lang w:val="lt-LT"/>
              </w:rPr>
              <w:t>I</w:t>
            </w:r>
            <w:r w:rsidR="00144E06" w:rsidRPr="00960580">
              <w:rPr>
                <w:b/>
                <w:lang w:val="lt-LT"/>
              </w:rPr>
              <w:t>,</w:t>
            </w:r>
            <w:r w:rsidRPr="00960580">
              <w:rPr>
                <w:b/>
                <w:lang w:val="lt-LT"/>
              </w:rPr>
              <w:t xml:space="preserve"> V</w:t>
            </w: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II.4.</w:t>
            </w:r>
          </w:p>
        </w:tc>
        <w:tc>
          <w:tcPr>
            <w:tcW w:w="2570" w:type="dxa"/>
            <w:shd w:val="clear" w:color="auto" w:fill="auto"/>
            <w:hideMark/>
          </w:tcPr>
          <w:p w:rsidR="00BD4F00" w:rsidRPr="0000003C" w:rsidRDefault="00BD4F00" w:rsidP="00594CF5">
            <w:pPr>
              <w:rPr>
                <w:lang w:val="lt-LT"/>
              </w:rPr>
            </w:pPr>
            <w:r w:rsidRPr="0000003C">
              <w:rPr>
                <w:lang w:val="lt-LT"/>
              </w:rPr>
              <w:t>Skolos susijusioms šalims</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1</w:t>
            </w:r>
            <w:r w:rsidR="00884A1E">
              <w:rPr>
                <w:lang w:val="lt-LT"/>
              </w:rPr>
              <w:t xml:space="preserve"> </w:t>
            </w:r>
            <w:r w:rsidRPr="0000003C">
              <w:rPr>
                <w:lang w:val="lt-LT"/>
              </w:rPr>
              <w:t>088</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41</w:t>
            </w:r>
          </w:p>
        </w:tc>
        <w:tc>
          <w:tcPr>
            <w:tcW w:w="2693" w:type="dxa"/>
            <w:shd w:val="clear" w:color="auto" w:fill="auto"/>
            <w:noWrap/>
            <w:vAlign w:val="bottom"/>
            <w:hideMark/>
          </w:tcPr>
          <w:p w:rsidR="00BD4F00" w:rsidRPr="0000003C" w:rsidRDefault="00BD4F00" w:rsidP="002B7422">
            <w:pPr>
              <w:rPr>
                <w:lang w:val="lt-LT"/>
              </w:rPr>
            </w:pPr>
            <w:r w:rsidRPr="0000003C">
              <w:rPr>
                <w:lang w:val="lt-LT"/>
              </w:rPr>
              <w:t>t. p. </w:t>
            </w:r>
          </w:p>
        </w:tc>
        <w:tc>
          <w:tcPr>
            <w:tcW w:w="567" w:type="dxa"/>
            <w:vAlign w:val="bottom"/>
          </w:tcPr>
          <w:p w:rsidR="00BD4F00" w:rsidRPr="0000003C" w:rsidRDefault="005F7C5D" w:rsidP="002B7422">
            <w:pPr>
              <w:rPr>
                <w:lang w:val="lt-LT"/>
              </w:rPr>
            </w:pPr>
            <w:r>
              <w:rPr>
                <w:lang w:val="lt-LT"/>
              </w:rPr>
              <w:t>t. p.</w:t>
            </w: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II.5.</w:t>
            </w:r>
          </w:p>
        </w:tc>
        <w:tc>
          <w:tcPr>
            <w:tcW w:w="2570" w:type="dxa"/>
            <w:shd w:val="clear" w:color="auto" w:fill="auto"/>
            <w:hideMark/>
          </w:tcPr>
          <w:p w:rsidR="00BD4F00" w:rsidRPr="0000003C" w:rsidRDefault="00BD4F00" w:rsidP="00594CF5">
            <w:pPr>
              <w:rPr>
                <w:lang w:val="lt-LT"/>
              </w:rPr>
            </w:pPr>
            <w:r w:rsidRPr="0000003C">
              <w:rPr>
                <w:lang w:val="lt-LT"/>
              </w:rPr>
              <w:t>Su darbo santykiais susiję įsipareigojimai</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1</w:t>
            </w:r>
            <w:r w:rsidR="00884A1E">
              <w:rPr>
                <w:lang w:val="lt-LT"/>
              </w:rPr>
              <w:t xml:space="preserve"> </w:t>
            </w:r>
            <w:r w:rsidRPr="0000003C">
              <w:rPr>
                <w:lang w:val="lt-LT"/>
              </w:rPr>
              <w:t>015</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1</w:t>
            </w:r>
            <w:r w:rsidR="00884A1E">
              <w:rPr>
                <w:lang w:val="lt-LT"/>
              </w:rPr>
              <w:t xml:space="preserve"> </w:t>
            </w:r>
            <w:r w:rsidRPr="0000003C">
              <w:rPr>
                <w:lang w:val="lt-LT"/>
              </w:rPr>
              <w:t>220</w:t>
            </w:r>
          </w:p>
        </w:tc>
        <w:tc>
          <w:tcPr>
            <w:tcW w:w="2693" w:type="dxa"/>
            <w:shd w:val="clear" w:color="auto" w:fill="auto"/>
            <w:noWrap/>
            <w:vAlign w:val="bottom"/>
            <w:hideMark/>
          </w:tcPr>
          <w:p w:rsidR="00BD4F00" w:rsidRPr="0000003C" w:rsidRDefault="00BD4F00" w:rsidP="005C20D7">
            <w:pPr>
              <w:rPr>
                <w:lang w:val="lt-LT"/>
              </w:rPr>
            </w:pPr>
            <w:r w:rsidRPr="0000003C">
              <w:rPr>
                <w:lang w:val="lt-LT"/>
              </w:rPr>
              <w:t>Svarbus (darbo apmokėjimo procesas, f</w:t>
            </w:r>
            <w:r w:rsidR="005C20D7">
              <w:rPr>
                <w:lang w:val="lt-LT"/>
              </w:rPr>
              <w:t>/a</w:t>
            </w:r>
            <w:r w:rsidRPr="0000003C">
              <w:rPr>
                <w:lang w:val="lt-LT"/>
              </w:rPr>
              <w:t xml:space="preserve"> sudarymo procesas)</w:t>
            </w:r>
          </w:p>
        </w:tc>
        <w:tc>
          <w:tcPr>
            <w:tcW w:w="567" w:type="dxa"/>
            <w:vAlign w:val="bottom"/>
          </w:tcPr>
          <w:p w:rsidR="00BD4F00" w:rsidRPr="00960580" w:rsidRDefault="00960580" w:rsidP="00960580">
            <w:pPr>
              <w:jc w:val="center"/>
              <w:rPr>
                <w:b/>
                <w:lang w:val="lt-LT"/>
              </w:rPr>
            </w:pPr>
            <w:r w:rsidRPr="00960580">
              <w:rPr>
                <w:b/>
                <w:lang w:val="lt-LT"/>
              </w:rPr>
              <w:t>I,</w:t>
            </w:r>
            <w:r w:rsidR="000C51D9">
              <w:rPr>
                <w:b/>
                <w:lang w:val="lt-LT"/>
              </w:rPr>
              <w:t xml:space="preserve"> </w:t>
            </w:r>
            <w:r w:rsidRPr="00960580">
              <w:rPr>
                <w:b/>
                <w:lang w:val="lt-LT"/>
              </w:rPr>
              <w:t>V</w:t>
            </w: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lastRenderedPageBreak/>
              <w:t>II.6.</w:t>
            </w:r>
          </w:p>
        </w:tc>
        <w:tc>
          <w:tcPr>
            <w:tcW w:w="2570" w:type="dxa"/>
            <w:shd w:val="clear" w:color="auto" w:fill="auto"/>
            <w:hideMark/>
          </w:tcPr>
          <w:p w:rsidR="00BD4F00" w:rsidRPr="0000003C" w:rsidRDefault="00BD4F00" w:rsidP="00594CF5">
            <w:pPr>
              <w:rPr>
                <w:lang w:val="lt-LT"/>
              </w:rPr>
            </w:pPr>
            <w:r w:rsidRPr="0000003C">
              <w:rPr>
                <w:lang w:val="lt-LT"/>
              </w:rPr>
              <w:t>Mokesčiai, išskyrus pelno mokestį</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67</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35</w:t>
            </w:r>
          </w:p>
        </w:tc>
        <w:tc>
          <w:tcPr>
            <w:tcW w:w="2693" w:type="dxa"/>
            <w:shd w:val="clear" w:color="auto" w:fill="auto"/>
            <w:noWrap/>
            <w:vAlign w:val="bottom"/>
            <w:hideMark/>
          </w:tcPr>
          <w:p w:rsidR="00BD4F00" w:rsidRPr="0000003C" w:rsidRDefault="00166819" w:rsidP="004634E5">
            <w:pPr>
              <w:rPr>
                <w:lang w:val="lt-LT"/>
              </w:rPr>
            </w:pPr>
            <w:r>
              <w:rPr>
                <w:noProof/>
                <w:lang w:val="lt-LT"/>
              </w:rPr>
              <w:pict>
                <v:rect id="_x0000_s74526" style="position:absolute;margin-left:22.5pt;margin-top:-21.55pt;width:129pt;height:21pt;z-index:254390272;mso-position-horizontal-relative:text;mso-position-vertical-relative:text" filled="f" stroked="f">
                  <v:textbox style="mso-next-textbox:#_x0000_s74526">
                    <w:txbxContent>
                      <w:p w:rsidR="00BE5795" w:rsidRPr="003503E9" w:rsidRDefault="00BE5795" w:rsidP="005E1EC9">
                        <w:pPr>
                          <w:jc w:val="right"/>
                          <w:rPr>
                            <w:i/>
                            <w:sz w:val="26"/>
                            <w:szCs w:val="26"/>
                            <w:lang w:val="lt-LT"/>
                          </w:rPr>
                        </w:pPr>
                        <w:r>
                          <w:rPr>
                            <w:i/>
                            <w:sz w:val="26"/>
                            <w:szCs w:val="26"/>
                            <w:lang w:val="lt-LT"/>
                          </w:rPr>
                          <w:t>34</w:t>
                        </w:r>
                        <w:r w:rsidRPr="003503E9">
                          <w:rPr>
                            <w:i/>
                            <w:sz w:val="26"/>
                            <w:szCs w:val="26"/>
                            <w:lang w:val="lt-LT"/>
                          </w:rPr>
                          <w:t xml:space="preserve"> lentelės tęsinys</w:t>
                        </w:r>
                      </w:p>
                    </w:txbxContent>
                  </v:textbox>
                </v:rect>
              </w:pict>
            </w:r>
            <w:r w:rsidR="00BD4F00" w:rsidRPr="0000003C">
              <w:rPr>
                <w:lang w:val="lt-LT"/>
              </w:rPr>
              <w:t>Nesvarbus, nedaug ir nesudėtingos ūk. operacijos</w:t>
            </w:r>
          </w:p>
        </w:tc>
        <w:tc>
          <w:tcPr>
            <w:tcW w:w="567" w:type="dxa"/>
            <w:vAlign w:val="bottom"/>
          </w:tcPr>
          <w:p w:rsidR="00BD4F00" w:rsidRPr="0000003C" w:rsidRDefault="00BD4F00" w:rsidP="00594CF5">
            <w:pPr>
              <w:jc w:val="center"/>
              <w:rPr>
                <w:lang w:val="lt-LT"/>
              </w:rPr>
            </w:pPr>
            <w:r w:rsidRPr="0000003C">
              <w:rPr>
                <w:lang w:val="lt-LT"/>
              </w:rPr>
              <w:t>X</w:t>
            </w:r>
          </w:p>
        </w:tc>
      </w:tr>
      <w:tr w:rsidR="00BD4F00" w:rsidRPr="0000003C" w:rsidTr="005F7C5D">
        <w:trPr>
          <w:trHeight w:val="225"/>
        </w:trPr>
        <w:tc>
          <w:tcPr>
            <w:tcW w:w="696" w:type="dxa"/>
            <w:shd w:val="clear" w:color="auto" w:fill="auto"/>
            <w:hideMark/>
          </w:tcPr>
          <w:p w:rsidR="00BD4F00" w:rsidRPr="0000003C" w:rsidRDefault="00BD4F00" w:rsidP="004634E5">
            <w:pPr>
              <w:jc w:val="center"/>
              <w:rPr>
                <w:lang w:val="lt-LT"/>
              </w:rPr>
            </w:pPr>
            <w:r w:rsidRPr="0000003C">
              <w:rPr>
                <w:lang w:val="lt-LT"/>
              </w:rPr>
              <w:t>II.7.</w:t>
            </w:r>
          </w:p>
        </w:tc>
        <w:tc>
          <w:tcPr>
            <w:tcW w:w="2570" w:type="dxa"/>
            <w:shd w:val="clear" w:color="auto" w:fill="auto"/>
            <w:hideMark/>
          </w:tcPr>
          <w:p w:rsidR="00BD4F00" w:rsidRPr="0000003C" w:rsidRDefault="00BD4F00" w:rsidP="00594CF5">
            <w:pPr>
              <w:rPr>
                <w:lang w:val="lt-LT"/>
              </w:rPr>
            </w:pPr>
            <w:r w:rsidRPr="0000003C">
              <w:rPr>
                <w:lang w:val="lt-LT"/>
              </w:rPr>
              <w:t>Mokėtinas pelno mokestis</w:t>
            </w:r>
          </w:p>
        </w:tc>
        <w:tc>
          <w:tcPr>
            <w:tcW w:w="850" w:type="dxa"/>
            <w:shd w:val="clear" w:color="auto" w:fill="auto"/>
            <w:noWrap/>
            <w:vAlign w:val="bottom"/>
            <w:hideMark/>
          </w:tcPr>
          <w:p w:rsidR="00BD4F00" w:rsidRPr="0000003C" w:rsidRDefault="00BD4F00" w:rsidP="004634E5">
            <w:pPr>
              <w:jc w:val="right"/>
              <w:rPr>
                <w:lang w:val="lt-LT"/>
              </w:rPr>
            </w:pPr>
            <w:r w:rsidRPr="0000003C">
              <w:rPr>
                <w:lang w:val="lt-LT"/>
              </w:rPr>
              <w:t>0</w:t>
            </w:r>
          </w:p>
        </w:tc>
        <w:tc>
          <w:tcPr>
            <w:tcW w:w="851" w:type="dxa"/>
            <w:shd w:val="clear" w:color="auto" w:fill="auto"/>
            <w:noWrap/>
            <w:vAlign w:val="bottom"/>
            <w:hideMark/>
          </w:tcPr>
          <w:p w:rsidR="00BD4F00" w:rsidRPr="0000003C" w:rsidRDefault="00BD4F00" w:rsidP="004634E5">
            <w:pPr>
              <w:jc w:val="right"/>
              <w:rPr>
                <w:lang w:val="lt-LT"/>
              </w:rPr>
            </w:pPr>
            <w:r w:rsidRPr="0000003C">
              <w:rPr>
                <w:lang w:val="lt-LT"/>
              </w:rPr>
              <w:t>75</w:t>
            </w:r>
          </w:p>
        </w:tc>
        <w:tc>
          <w:tcPr>
            <w:tcW w:w="2693" w:type="dxa"/>
            <w:shd w:val="clear" w:color="auto" w:fill="BFBFBF" w:themeFill="background1" w:themeFillShade="BF"/>
            <w:noWrap/>
            <w:vAlign w:val="bottom"/>
            <w:hideMark/>
          </w:tcPr>
          <w:p w:rsidR="00BD4F00" w:rsidRPr="0000003C" w:rsidRDefault="00BD4F00" w:rsidP="004634E5">
            <w:pPr>
              <w:rPr>
                <w:lang w:val="lt-LT"/>
              </w:rPr>
            </w:pPr>
          </w:p>
        </w:tc>
        <w:tc>
          <w:tcPr>
            <w:tcW w:w="567" w:type="dxa"/>
            <w:shd w:val="clear" w:color="auto" w:fill="BFBFBF" w:themeFill="background1" w:themeFillShade="BF"/>
            <w:vAlign w:val="bottom"/>
          </w:tcPr>
          <w:p w:rsidR="00BD4F00" w:rsidRPr="0000003C" w:rsidRDefault="00BD4F00" w:rsidP="00594CF5">
            <w:pPr>
              <w:jc w:val="center"/>
              <w:rPr>
                <w:lang w:val="lt-LT"/>
              </w:rPr>
            </w:pPr>
          </w:p>
        </w:tc>
      </w:tr>
      <w:tr w:rsidR="0000003C" w:rsidRPr="0000003C" w:rsidTr="005F7C5D">
        <w:trPr>
          <w:trHeight w:val="225"/>
        </w:trPr>
        <w:tc>
          <w:tcPr>
            <w:tcW w:w="696" w:type="dxa"/>
            <w:shd w:val="clear" w:color="auto" w:fill="auto"/>
            <w:hideMark/>
          </w:tcPr>
          <w:p w:rsidR="0000003C" w:rsidRPr="0000003C" w:rsidRDefault="0000003C" w:rsidP="004634E5">
            <w:pPr>
              <w:jc w:val="center"/>
              <w:rPr>
                <w:lang w:val="lt-LT"/>
              </w:rPr>
            </w:pPr>
            <w:r w:rsidRPr="0000003C">
              <w:rPr>
                <w:lang w:val="lt-LT"/>
              </w:rPr>
              <w:t>II.8.</w:t>
            </w:r>
          </w:p>
        </w:tc>
        <w:tc>
          <w:tcPr>
            <w:tcW w:w="2570" w:type="dxa"/>
            <w:shd w:val="clear" w:color="auto" w:fill="auto"/>
            <w:hideMark/>
          </w:tcPr>
          <w:p w:rsidR="0000003C" w:rsidRPr="0000003C" w:rsidRDefault="0000003C" w:rsidP="00594CF5">
            <w:pPr>
              <w:rPr>
                <w:lang w:val="lt-LT"/>
              </w:rPr>
            </w:pPr>
            <w:r w:rsidRPr="0000003C">
              <w:rPr>
                <w:lang w:val="lt-LT"/>
              </w:rPr>
              <w:t>Kitos trumpalaikės mokėtinos sumos</w:t>
            </w:r>
          </w:p>
        </w:tc>
        <w:tc>
          <w:tcPr>
            <w:tcW w:w="850" w:type="dxa"/>
            <w:shd w:val="clear" w:color="auto" w:fill="auto"/>
            <w:noWrap/>
            <w:vAlign w:val="bottom"/>
            <w:hideMark/>
          </w:tcPr>
          <w:p w:rsidR="0000003C" w:rsidRPr="0000003C" w:rsidRDefault="0000003C" w:rsidP="004634E5">
            <w:pPr>
              <w:jc w:val="right"/>
              <w:rPr>
                <w:lang w:val="lt-LT"/>
              </w:rPr>
            </w:pPr>
            <w:r w:rsidRPr="0000003C">
              <w:rPr>
                <w:lang w:val="lt-LT"/>
              </w:rPr>
              <w:t>20</w:t>
            </w:r>
          </w:p>
        </w:tc>
        <w:tc>
          <w:tcPr>
            <w:tcW w:w="851" w:type="dxa"/>
            <w:shd w:val="clear" w:color="auto" w:fill="auto"/>
            <w:noWrap/>
            <w:vAlign w:val="bottom"/>
            <w:hideMark/>
          </w:tcPr>
          <w:p w:rsidR="0000003C" w:rsidRPr="0000003C" w:rsidRDefault="0000003C" w:rsidP="004634E5">
            <w:pPr>
              <w:jc w:val="right"/>
              <w:rPr>
                <w:lang w:val="lt-LT"/>
              </w:rPr>
            </w:pPr>
            <w:r w:rsidRPr="0000003C">
              <w:rPr>
                <w:lang w:val="lt-LT"/>
              </w:rPr>
              <w:t>34</w:t>
            </w:r>
          </w:p>
        </w:tc>
        <w:tc>
          <w:tcPr>
            <w:tcW w:w="2693" w:type="dxa"/>
            <w:shd w:val="clear" w:color="auto" w:fill="auto"/>
            <w:noWrap/>
            <w:vAlign w:val="bottom"/>
            <w:hideMark/>
          </w:tcPr>
          <w:p w:rsidR="0000003C" w:rsidRPr="0000003C" w:rsidRDefault="0000003C" w:rsidP="002B7422">
            <w:pPr>
              <w:rPr>
                <w:lang w:val="lt-LT"/>
              </w:rPr>
            </w:pPr>
            <w:r w:rsidRPr="0000003C">
              <w:rPr>
                <w:lang w:val="lt-LT"/>
              </w:rPr>
              <w:t>Nesvarbus, nedaug ir nesudėtingos ūk. operacijos</w:t>
            </w:r>
          </w:p>
        </w:tc>
        <w:tc>
          <w:tcPr>
            <w:tcW w:w="567" w:type="dxa"/>
            <w:vAlign w:val="bottom"/>
          </w:tcPr>
          <w:p w:rsidR="0000003C" w:rsidRPr="0000003C" w:rsidRDefault="0000003C" w:rsidP="00594CF5">
            <w:pPr>
              <w:jc w:val="center"/>
              <w:rPr>
                <w:lang w:val="lt-LT"/>
              </w:rPr>
            </w:pPr>
            <w:r w:rsidRPr="0000003C">
              <w:rPr>
                <w:lang w:val="lt-LT"/>
              </w:rPr>
              <w:t>X</w:t>
            </w:r>
          </w:p>
        </w:tc>
      </w:tr>
      <w:tr w:rsidR="0000003C" w:rsidRPr="0000003C" w:rsidTr="005F7C5D">
        <w:trPr>
          <w:trHeight w:val="480"/>
        </w:trPr>
        <w:tc>
          <w:tcPr>
            <w:tcW w:w="696" w:type="dxa"/>
            <w:shd w:val="clear" w:color="auto" w:fill="A6A6A6" w:themeFill="background1" w:themeFillShade="A6"/>
            <w:hideMark/>
          </w:tcPr>
          <w:p w:rsidR="0000003C" w:rsidRPr="0000003C" w:rsidRDefault="0000003C" w:rsidP="004634E5">
            <w:pPr>
              <w:jc w:val="center"/>
              <w:rPr>
                <w:lang w:val="lt-LT"/>
              </w:rPr>
            </w:pPr>
            <w:r w:rsidRPr="0000003C">
              <w:rPr>
                <w:lang w:val="lt-LT"/>
              </w:rPr>
              <w:t> </w:t>
            </w:r>
          </w:p>
        </w:tc>
        <w:tc>
          <w:tcPr>
            <w:tcW w:w="2570" w:type="dxa"/>
            <w:shd w:val="clear" w:color="auto" w:fill="A6A6A6" w:themeFill="background1" w:themeFillShade="A6"/>
            <w:vAlign w:val="bottom"/>
            <w:hideMark/>
          </w:tcPr>
          <w:p w:rsidR="0000003C" w:rsidRPr="0000003C" w:rsidRDefault="0000003C" w:rsidP="00D45F89">
            <w:pPr>
              <w:rPr>
                <w:b/>
                <w:bCs/>
                <w:lang w:val="lt-LT"/>
              </w:rPr>
            </w:pPr>
            <w:r w:rsidRPr="0000003C">
              <w:rPr>
                <w:b/>
                <w:bCs/>
                <w:lang w:val="lt-LT"/>
              </w:rPr>
              <w:t>NUOSAVO KAPITALO IR ĮSIPAREIGOJIMŲ,</w:t>
            </w:r>
            <w:r w:rsidR="00D45F89">
              <w:rPr>
                <w:b/>
                <w:bCs/>
                <w:lang w:val="lt-LT"/>
              </w:rPr>
              <w:t xml:space="preserve"> </w:t>
            </w:r>
            <w:r w:rsidRPr="0000003C">
              <w:rPr>
                <w:b/>
                <w:bCs/>
                <w:lang w:val="lt-LT"/>
              </w:rPr>
              <w:t>IŠ VISO:</w:t>
            </w:r>
          </w:p>
        </w:tc>
        <w:tc>
          <w:tcPr>
            <w:tcW w:w="850" w:type="dxa"/>
            <w:shd w:val="clear" w:color="auto" w:fill="A6A6A6" w:themeFill="background1" w:themeFillShade="A6"/>
            <w:noWrap/>
            <w:vAlign w:val="bottom"/>
            <w:hideMark/>
          </w:tcPr>
          <w:p w:rsidR="0000003C" w:rsidRPr="0000003C" w:rsidRDefault="00884A1E" w:rsidP="004634E5">
            <w:pPr>
              <w:jc w:val="right"/>
              <w:rPr>
                <w:b/>
                <w:bCs/>
                <w:lang w:val="lt-LT"/>
              </w:rPr>
            </w:pPr>
            <w:r>
              <w:rPr>
                <w:b/>
                <w:bCs/>
                <w:lang w:val="lt-LT"/>
              </w:rPr>
              <w:t xml:space="preserve">29 </w:t>
            </w:r>
            <w:r w:rsidR="0000003C" w:rsidRPr="0000003C">
              <w:rPr>
                <w:b/>
                <w:bCs/>
                <w:lang w:val="lt-LT"/>
              </w:rPr>
              <w:t>974</w:t>
            </w:r>
          </w:p>
        </w:tc>
        <w:tc>
          <w:tcPr>
            <w:tcW w:w="851" w:type="dxa"/>
            <w:shd w:val="clear" w:color="auto" w:fill="A6A6A6" w:themeFill="background1" w:themeFillShade="A6"/>
            <w:noWrap/>
            <w:vAlign w:val="bottom"/>
            <w:hideMark/>
          </w:tcPr>
          <w:p w:rsidR="0000003C" w:rsidRPr="0000003C" w:rsidRDefault="00884A1E" w:rsidP="004634E5">
            <w:pPr>
              <w:jc w:val="right"/>
              <w:rPr>
                <w:b/>
                <w:bCs/>
                <w:lang w:val="lt-LT"/>
              </w:rPr>
            </w:pPr>
            <w:r>
              <w:rPr>
                <w:b/>
                <w:bCs/>
                <w:lang w:val="lt-LT"/>
              </w:rPr>
              <w:t xml:space="preserve">27 </w:t>
            </w:r>
            <w:r w:rsidR="0000003C" w:rsidRPr="0000003C">
              <w:rPr>
                <w:b/>
                <w:bCs/>
                <w:lang w:val="lt-LT"/>
              </w:rPr>
              <w:t>269</w:t>
            </w:r>
          </w:p>
        </w:tc>
        <w:tc>
          <w:tcPr>
            <w:tcW w:w="2693" w:type="dxa"/>
            <w:shd w:val="clear" w:color="auto" w:fill="A6A6A6" w:themeFill="background1" w:themeFillShade="A6"/>
            <w:noWrap/>
            <w:vAlign w:val="bottom"/>
            <w:hideMark/>
          </w:tcPr>
          <w:p w:rsidR="0000003C" w:rsidRPr="0000003C" w:rsidRDefault="0000003C" w:rsidP="004634E5">
            <w:pPr>
              <w:rPr>
                <w:lang w:val="lt-LT"/>
              </w:rPr>
            </w:pPr>
            <w:r w:rsidRPr="0000003C">
              <w:rPr>
                <w:lang w:val="lt-LT"/>
              </w:rPr>
              <w:t> </w:t>
            </w:r>
          </w:p>
        </w:tc>
        <w:tc>
          <w:tcPr>
            <w:tcW w:w="567" w:type="dxa"/>
            <w:shd w:val="clear" w:color="auto" w:fill="A6A6A6" w:themeFill="background1" w:themeFillShade="A6"/>
          </w:tcPr>
          <w:p w:rsidR="0000003C" w:rsidRPr="0000003C" w:rsidRDefault="0000003C" w:rsidP="004634E5">
            <w:pPr>
              <w:rPr>
                <w:lang w:val="lt-LT"/>
              </w:rPr>
            </w:pPr>
          </w:p>
        </w:tc>
      </w:tr>
    </w:tbl>
    <w:p w:rsidR="005F7C5D" w:rsidRPr="000F65D5" w:rsidRDefault="005F7C5D" w:rsidP="005F7C5D">
      <w:pPr>
        <w:pStyle w:val="NormalWeb"/>
        <w:spacing w:before="0" w:beforeAutospacing="0" w:after="0" w:afterAutospacing="0"/>
        <w:jc w:val="both"/>
        <w:rPr>
          <w:sz w:val="20"/>
          <w:szCs w:val="20"/>
          <w:lang w:val="lt-LT"/>
        </w:rPr>
      </w:pPr>
      <w:r w:rsidRPr="000F65D5">
        <w:rPr>
          <w:sz w:val="20"/>
          <w:szCs w:val="20"/>
          <w:lang w:val="lt-LT"/>
        </w:rPr>
        <w:t>Pastaba</w:t>
      </w:r>
      <w:r>
        <w:rPr>
          <w:sz w:val="20"/>
          <w:szCs w:val="20"/>
          <w:lang w:val="lt-LT"/>
        </w:rPr>
        <w:t>:</w:t>
      </w:r>
      <w:r w:rsidRPr="000F65D5">
        <w:rPr>
          <w:sz w:val="20"/>
          <w:szCs w:val="20"/>
          <w:lang w:val="lt-LT"/>
        </w:rPr>
        <w:t xml:space="preserve"> </w:t>
      </w:r>
      <w:r>
        <w:rPr>
          <w:sz w:val="20"/>
          <w:szCs w:val="20"/>
          <w:lang w:val="lt-LT"/>
        </w:rPr>
        <w:t>Susijęs t</w:t>
      </w:r>
      <w:r w:rsidRPr="000F65D5">
        <w:rPr>
          <w:sz w:val="20"/>
          <w:szCs w:val="20"/>
          <w:lang w:val="lt-LT"/>
        </w:rPr>
        <w:t>virtinima</w:t>
      </w:r>
      <w:r>
        <w:rPr>
          <w:sz w:val="20"/>
          <w:szCs w:val="20"/>
          <w:lang w:val="lt-LT"/>
        </w:rPr>
        <w:t>s</w:t>
      </w:r>
      <w:r w:rsidRPr="000F65D5">
        <w:rPr>
          <w:sz w:val="20"/>
          <w:szCs w:val="20"/>
          <w:lang w:val="lt-LT"/>
        </w:rPr>
        <w:t>: išsamumas (I), įvertinimas (V)</w:t>
      </w:r>
      <w:r>
        <w:rPr>
          <w:sz w:val="20"/>
          <w:szCs w:val="20"/>
          <w:lang w:val="lt-LT"/>
        </w:rPr>
        <w:t>.</w:t>
      </w:r>
    </w:p>
    <w:p w:rsidR="00594CF5" w:rsidRPr="002831E4" w:rsidRDefault="00594CF5" w:rsidP="005F7C5D">
      <w:pPr>
        <w:pStyle w:val="NormalWeb"/>
        <w:spacing w:before="0" w:beforeAutospacing="0" w:after="0" w:afterAutospacing="0"/>
        <w:jc w:val="both"/>
        <w:rPr>
          <w:sz w:val="20"/>
          <w:szCs w:val="20"/>
          <w:lang w:val="lt-LT"/>
        </w:rPr>
      </w:pPr>
      <w:r w:rsidRPr="002831E4">
        <w:rPr>
          <w:sz w:val="20"/>
          <w:szCs w:val="20"/>
          <w:lang w:val="lt-LT"/>
        </w:rPr>
        <w:t>Šaltinis:</w:t>
      </w:r>
      <w:r>
        <w:rPr>
          <w:sz w:val="20"/>
          <w:szCs w:val="20"/>
          <w:lang w:val="lt-LT"/>
        </w:rPr>
        <w:t xml:space="preserve"> sudaryta autorės, remiantis UAB „Žuvila“ 2008 metų finansinėmis ataskaitomis.</w:t>
      </w:r>
    </w:p>
    <w:p w:rsidR="00E1617D" w:rsidRDefault="00A16A7C" w:rsidP="00E1617D">
      <w:pPr>
        <w:pStyle w:val="NormalWeb"/>
        <w:spacing w:before="240" w:beforeAutospacing="0" w:after="0" w:afterAutospacing="0" w:line="360" w:lineRule="auto"/>
        <w:ind w:firstLine="720"/>
        <w:jc w:val="both"/>
        <w:rPr>
          <w:sz w:val="26"/>
          <w:szCs w:val="26"/>
          <w:lang w:val="lt-LT"/>
        </w:rPr>
      </w:pPr>
      <w:r w:rsidRPr="0027771F">
        <w:rPr>
          <w:sz w:val="26"/>
          <w:szCs w:val="26"/>
          <w:lang w:val="lt-LT"/>
        </w:rPr>
        <w:t>3</w:t>
      </w:r>
      <w:r w:rsidR="00036530">
        <w:rPr>
          <w:sz w:val="26"/>
          <w:szCs w:val="26"/>
          <w:lang w:val="lt-LT"/>
        </w:rPr>
        <w:t>3</w:t>
      </w:r>
      <w:r w:rsidRPr="0027771F">
        <w:rPr>
          <w:sz w:val="26"/>
          <w:szCs w:val="26"/>
          <w:lang w:val="lt-LT"/>
        </w:rPr>
        <w:t xml:space="preserve"> ir 3</w:t>
      </w:r>
      <w:r w:rsidR="00036530">
        <w:rPr>
          <w:sz w:val="26"/>
          <w:szCs w:val="26"/>
          <w:lang w:val="lt-LT"/>
        </w:rPr>
        <w:t>4</w:t>
      </w:r>
      <w:r w:rsidRPr="0027771F">
        <w:rPr>
          <w:sz w:val="26"/>
          <w:szCs w:val="26"/>
          <w:lang w:val="lt-LT"/>
        </w:rPr>
        <w:t xml:space="preserve"> lentelėse nustatyti reikšmingo iškraipymo rizikos požiūriu svarbūs balanso elementai ir su jais susiję tvirtinimai</w:t>
      </w:r>
      <w:r w:rsidR="000C51D9">
        <w:rPr>
          <w:sz w:val="26"/>
          <w:szCs w:val="26"/>
          <w:lang w:val="lt-LT"/>
        </w:rPr>
        <w:t xml:space="preserve"> (dėl savo </w:t>
      </w:r>
      <w:r w:rsidR="000C51D9" w:rsidRPr="0027771F">
        <w:rPr>
          <w:sz w:val="26"/>
          <w:szCs w:val="26"/>
          <w:lang w:val="lt-LT"/>
        </w:rPr>
        <w:t>vertin</w:t>
      </w:r>
      <w:r w:rsidR="000C51D9">
        <w:rPr>
          <w:sz w:val="26"/>
          <w:szCs w:val="26"/>
          <w:lang w:val="lt-LT"/>
        </w:rPr>
        <w:t xml:space="preserve">ės </w:t>
      </w:r>
      <w:r w:rsidR="000C51D9" w:rsidRPr="0027771F">
        <w:rPr>
          <w:sz w:val="26"/>
          <w:szCs w:val="26"/>
          <w:lang w:val="lt-LT"/>
        </w:rPr>
        <w:t>išraišk</w:t>
      </w:r>
      <w:r w:rsidR="000C51D9">
        <w:rPr>
          <w:sz w:val="26"/>
          <w:szCs w:val="26"/>
          <w:lang w:val="lt-LT"/>
        </w:rPr>
        <w:t>os ar pobūdžio)</w:t>
      </w:r>
      <w:r w:rsidRPr="0027771F">
        <w:rPr>
          <w:sz w:val="26"/>
          <w:szCs w:val="26"/>
          <w:lang w:val="lt-LT"/>
        </w:rPr>
        <w:t xml:space="preserve">: </w:t>
      </w:r>
      <w:r w:rsidRPr="000C51D9">
        <w:rPr>
          <w:sz w:val="26"/>
          <w:szCs w:val="26"/>
          <w:lang w:val="lt-LT"/>
        </w:rPr>
        <w:t>1)</w:t>
      </w:r>
      <w:r w:rsidR="00973556">
        <w:rPr>
          <w:sz w:val="26"/>
          <w:szCs w:val="26"/>
          <w:lang w:val="lt-LT"/>
        </w:rPr>
        <w:t> </w:t>
      </w:r>
      <w:r w:rsidRPr="000C51D9">
        <w:rPr>
          <w:sz w:val="26"/>
          <w:szCs w:val="26"/>
          <w:lang w:val="lt-LT"/>
        </w:rPr>
        <w:t>atsargos dėl tinka</w:t>
      </w:r>
      <w:r w:rsidRPr="0027771F">
        <w:rPr>
          <w:sz w:val="26"/>
          <w:szCs w:val="26"/>
          <w:lang w:val="lt-LT"/>
        </w:rPr>
        <w:t xml:space="preserve">mo jų įvertinimo, ar tikrai įmonė galės sunaudoti atsargas bei realizuoti pagamintą produkciją kaina ne mažesne nei jos savikaina, ar nėra apskaitytų pasenusių ir jau neberealizuotinų atsargų </w:t>
      </w:r>
      <w:r w:rsidRPr="000C51D9">
        <w:rPr>
          <w:sz w:val="26"/>
          <w:szCs w:val="26"/>
          <w:lang w:val="lt-LT"/>
        </w:rPr>
        <w:t>(</w:t>
      </w:r>
      <w:r w:rsidRPr="000C51D9">
        <w:rPr>
          <w:i/>
          <w:sz w:val="26"/>
          <w:szCs w:val="26"/>
          <w:lang w:val="lt-LT"/>
        </w:rPr>
        <w:t>įvertinimo tvirtinimas</w:t>
      </w:r>
      <w:r w:rsidRPr="000C51D9">
        <w:rPr>
          <w:sz w:val="26"/>
          <w:szCs w:val="26"/>
          <w:lang w:val="lt-LT"/>
        </w:rPr>
        <w:t>)</w:t>
      </w:r>
      <w:r w:rsidR="00EA04D1" w:rsidRPr="000C51D9">
        <w:rPr>
          <w:sz w:val="26"/>
          <w:szCs w:val="26"/>
          <w:lang w:val="lt-LT"/>
        </w:rPr>
        <w:t>,</w:t>
      </w:r>
      <w:r w:rsidRPr="0027771F">
        <w:rPr>
          <w:sz w:val="26"/>
          <w:szCs w:val="26"/>
          <w:lang w:val="lt-LT"/>
        </w:rPr>
        <w:t xml:space="preserve"> ir ar iš tiesų balanso datą įmonėje tiek jų buvo (</w:t>
      </w:r>
      <w:r w:rsidRPr="000C51D9">
        <w:rPr>
          <w:i/>
          <w:sz w:val="26"/>
          <w:szCs w:val="26"/>
          <w:lang w:val="lt-LT"/>
        </w:rPr>
        <w:t>buvimo tvirtinimas</w:t>
      </w:r>
      <w:r w:rsidRPr="0027771F">
        <w:rPr>
          <w:sz w:val="26"/>
          <w:szCs w:val="26"/>
          <w:lang w:val="lt-LT"/>
        </w:rPr>
        <w:t>); 2)</w:t>
      </w:r>
      <w:r w:rsidR="00973556">
        <w:rPr>
          <w:sz w:val="26"/>
          <w:szCs w:val="26"/>
          <w:lang w:val="lt-LT"/>
        </w:rPr>
        <w:t> </w:t>
      </w:r>
      <w:r w:rsidRPr="000C51D9">
        <w:rPr>
          <w:sz w:val="26"/>
          <w:szCs w:val="26"/>
          <w:lang w:val="lt-LT"/>
        </w:rPr>
        <w:t>iš susijusių šalių gautinos prekybos sumos dėl to, ar teis</w:t>
      </w:r>
      <w:r w:rsidRPr="0027771F">
        <w:rPr>
          <w:sz w:val="26"/>
          <w:szCs w:val="26"/>
          <w:lang w:val="lt-LT"/>
        </w:rPr>
        <w:t>inga suma parodytas įsiskolinimas balanso datą (</w:t>
      </w:r>
      <w:r w:rsidRPr="000C51D9">
        <w:rPr>
          <w:i/>
          <w:sz w:val="26"/>
          <w:szCs w:val="26"/>
          <w:lang w:val="lt-LT"/>
        </w:rPr>
        <w:t>įvertinimo tvirtinimas</w:t>
      </w:r>
      <w:r w:rsidRPr="0027771F">
        <w:rPr>
          <w:sz w:val="26"/>
          <w:szCs w:val="26"/>
          <w:lang w:val="lt-LT"/>
        </w:rPr>
        <w:t>); 3)</w:t>
      </w:r>
      <w:r w:rsidR="00973556">
        <w:rPr>
          <w:sz w:val="26"/>
          <w:szCs w:val="26"/>
          <w:lang w:val="lt-LT"/>
        </w:rPr>
        <w:t> </w:t>
      </w:r>
      <w:r w:rsidRPr="000C51D9">
        <w:rPr>
          <w:sz w:val="26"/>
          <w:szCs w:val="26"/>
          <w:lang w:val="lt-LT"/>
        </w:rPr>
        <w:t>finansinės skolos kredito įstaigoms dė</w:t>
      </w:r>
      <w:r w:rsidRPr="0027771F">
        <w:rPr>
          <w:sz w:val="26"/>
          <w:szCs w:val="26"/>
          <w:lang w:val="lt-LT"/>
        </w:rPr>
        <w:t>l jų tinkamo įvertinimo, atsižvelgiant į mokėtinas sumas trumpu ir ilgu laikotarpiu (</w:t>
      </w:r>
      <w:r w:rsidRPr="000C51D9">
        <w:rPr>
          <w:i/>
          <w:sz w:val="26"/>
          <w:szCs w:val="26"/>
          <w:lang w:val="lt-LT"/>
        </w:rPr>
        <w:t>įvertinimo tvirtinimas</w:t>
      </w:r>
      <w:r w:rsidRPr="0027771F">
        <w:rPr>
          <w:sz w:val="26"/>
          <w:szCs w:val="26"/>
          <w:lang w:val="lt-LT"/>
        </w:rPr>
        <w:t>); 4)</w:t>
      </w:r>
      <w:r w:rsidR="00973556">
        <w:rPr>
          <w:sz w:val="26"/>
          <w:szCs w:val="26"/>
          <w:lang w:val="lt-LT"/>
        </w:rPr>
        <w:t> </w:t>
      </w:r>
      <w:r w:rsidRPr="000C51D9">
        <w:rPr>
          <w:sz w:val="26"/>
          <w:szCs w:val="26"/>
          <w:lang w:val="lt-LT"/>
        </w:rPr>
        <w:t xml:space="preserve">atidėtojo mokesčio įsipareigojimas </w:t>
      </w:r>
      <w:r w:rsidRPr="0027771F">
        <w:rPr>
          <w:sz w:val="26"/>
          <w:szCs w:val="26"/>
          <w:lang w:val="lt-LT"/>
        </w:rPr>
        <w:t>dėl tinkamo įvertinimo naudojant subjektyvias prielaidas (</w:t>
      </w:r>
      <w:r w:rsidRPr="000C51D9">
        <w:rPr>
          <w:i/>
          <w:sz w:val="26"/>
          <w:szCs w:val="26"/>
          <w:lang w:val="lt-LT"/>
        </w:rPr>
        <w:t>įvertinimo tvirtinimas</w:t>
      </w:r>
      <w:r w:rsidRPr="0027771F">
        <w:rPr>
          <w:sz w:val="26"/>
          <w:szCs w:val="26"/>
          <w:lang w:val="lt-LT"/>
        </w:rPr>
        <w:t>); 5)</w:t>
      </w:r>
      <w:r w:rsidR="00973556">
        <w:rPr>
          <w:sz w:val="26"/>
          <w:szCs w:val="26"/>
          <w:lang w:val="lt-LT"/>
        </w:rPr>
        <w:t> </w:t>
      </w:r>
      <w:r w:rsidRPr="0027771F">
        <w:rPr>
          <w:sz w:val="26"/>
          <w:szCs w:val="26"/>
          <w:lang w:val="lt-LT"/>
        </w:rPr>
        <w:t>skolos tiekėjams ir skolos susijusioms šalims, ar visos skolos parodytos balanse (</w:t>
      </w:r>
      <w:r w:rsidRPr="000C51D9">
        <w:rPr>
          <w:i/>
          <w:sz w:val="26"/>
          <w:szCs w:val="26"/>
          <w:lang w:val="lt-LT"/>
        </w:rPr>
        <w:t>išsamumo tvirtinimas</w:t>
      </w:r>
      <w:r w:rsidRPr="0027771F">
        <w:rPr>
          <w:sz w:val="26"/>
          <w:szCs w:val="26"/>
          <w:lang w:val="lt-LT"/>
        </w:rPr>
        <w:t>) ir, ar tinkama verte jos parodytos (</w:t>
      </w:r>
      <w:r w:rsidRPr="000C51D9">
        <w:rPr>
          <w:i/>
          <w:sz w:val="26"/>
          <w:szCs w:val="26"/>
          <w:lang w:val="lt-LT"/>
        </w:rPr>
        <w:t>įvertinimo tvirtinimas</w:t>
      </w:r>
      <w:r w:rsidRPr="0027771F">
        <w:rPr>
          <w:sz w:val="26"/>
          <w:szCs w:val="26"/>
          <w:lang w:val="lt-LT"/>
        </w:rPr>
        <w:t>); 6)</w:t>
      </w:r>
      <w:r w:rsidR="00973556">
        <w:rPr>
          <w:sz w:val="26"/>
          <w:szCs w:val="26"/>
          <w:lang w:val="lt-LT"/>
        </w:rPr>
        <w:t> </w:t>
      </w:r>
      <w:r w:rsidRPr="0027771F">
        <w:rPr>
          <w:sz w:val="26"/>
          <w:szCs w:val="26"/>
          <w:lang w:val="lt-LT"/>
        </w:rPr>
        <w:t>su darbo santykiais susiję įsipareigojimai dėl jų išsamumo, t. y. ar visi įsipareigojimai yra parodyti balanse, ir dėl jų vertės (</w:t>
      </w:r>
      <w:r w:rsidR="000C51D9" w:rsidRPr="000C51D9">
        <w:rPr>
          <w:i/>
          <w:sz w:val="26"/>
          <w:szCs w:val="26"/>
          <w:lang w:val="lt-LT"/>
        </w:rPr>
        <w:t xml:space="preserve">išsamumo ir </w:t>
      </w:r>
      <w:r w:rsidRPr="000C51D9">
        <w:rPr>
          <w:i/>
          <w:sz w:val="26"/>
          <w:szCs w:val="26"/>
          <w:lang w:val="lt-LT"/>
        </w:rPr>
        <w:t>įvertinimo tvirtinima</w:t>
      </w:r>
      <w:r w:rsidR="000C51D9">
        <w:rPr>
          <w:i/>
          <w:sz w:val="26"/>
          <w:szCs w:val="26"/>
          <w:lang w:val="lt-LT"/>
        </w:rPr>
        <w:t>i</w:t>
      </w:r>
      <w:r w:rsidRPr="0027771F">
        <w:rPr>
          <w:sz w:val="26"/>
          <w:szCs w:val="26"/>
          <w:lang w:val="lt-LT"/>
        </w:rPr>
        <w:t xml:space="preserve">). </w:t>
      </w:r>
    </w:p>
    <w:p w:rsidR="00E1617D" w:rsidRPr="0027771F" w:rsidRDefault="00E1617D" w:rsidP="00E1617D">
      <w:pPr>
        <w:pStyle w:val="NormalWeb"/>
        <w:spacing w:before="0" w:beforeAutospacing="0" w:after="0" w:afterAutospacing="0" w:line="360" w:lineRule="auto"/>
        <w:ind w:firstLine="720"/>
        <w:jc w:val="both"/>
        <w:rPr>
          <w:sz w:val="26"/>
          <w:szCs w:val="26"/>
          <w:lang w:val="lt-LT"/>
        </w:rPr>
      </w:pPr>
      <w:r w:rsidRPr="0027771F">
        <w:rPr>
          <w:sz w:val="26"/>
          <w:szCs w:val="26"/>
          <w:lang w:val="lt-LT"/>
        </w:rPr>
        <w:t>Tuo tarpu 3</w:t>
      </w:r>
      <w:r w:rsidR="00036530">
        <w:rPr>
          <w:sz w:val="26"/>
          <w:szCs w:val="26"/>
          <w:lang w:val="lt-LT"/>
        </w:rPr>
        <w:t>5</w:t>
      </w:r>
      <w:r w:rsidRPr="0027771F">
        <w:rPr>
          <w:sz w:val="26"/>
          <w:szCs w:val="26"/>
          <w:lang w:val="lt-LT"/>
        </w:rPr>
        <w:t xml:space="preserve"> lentelė rodo, kad svarbiausi </w:t>
      </w:r>
      <w:r>
        <w:rPr>
          <w:sz w:val="26"/>
          <w:szCs w:val="26"/>
          <w:lang w:val="lt-LT"/>
        </w:rPr>
        <w:t xml:space="preserve">2008 metų </w:t>
      </w:r>
      <w:r w:rsidRPr="0027771F">
        <w:rPr>
          <w:sz w:val="26"/>
          <w:szCs w:val="26"/>
          <w:lang w:val="lt-LT"/>
        </w:rPr>
        <w:t>UAB „Žuvila“ pelno (nuostolių) ataskaitos elementai yra: 1)</w:t>
      </w:r>
      <w:r w:rsidR="00973556">
        <w:rPr>
          <w:sz w:val="26"/>
          <w:szCs w:val="26"/>
          <w:lang w:val="lt-LT"/>
        </w:rPr>
        <w:t> </w:t>
      </w:r>
      <w:r w:rsidRPr="0027771F">
        <w:rPr>
          <w:sz w:val="26"/>
          <w:szCs w:val="26"/>
          <w:lang w:val="lt-LT"/>
        </w:rPr>
        <w:t>pardavimo pajamos, 2)</w:t>
      </w:r>
      <w:r w:rsidR="00973556">
        <w:rPr>
          <w:sz w:val="26"/>
          <w:szCs w:val="26"/>
          <w:lang w:val="lt-LT"/>
        </w:rPr>
        <w:t> </w:t>
      </w:r>
      <w:r w:rsidRPr="0027771F">
        <w:rPr>
          <w:sz w:val="26"/>
          <w:szCs w:val="26"/>
          <w:lang w:val="lt-LT"/>
        </w:rPr>
        <w:t xml:space="preserve">pardavimo savikaina </w:t>
      </w:r>
      <w:r>
        <w:rPr>
          <w:sz w:val="26"/>
          <w:szCs w:val="26"/>
          <w:lang w:val="lt-LT"/>
        </w:rPr>
        <w:t xml:space="preserve">bei </w:t>
      </w:r>
      <w:r w:rsidRPr="0027771F">
        <w:rPr>
          <w:sz w:val="26"/>
          <w:szCs w:val="26"/>
          <w:lang w:val="lt-LT"/>
        </w:rPr>
        <w:t>3)</w:t>
      </w:r>
      <w:r w:rsidR="00973556">
        <w:rPr>
          <w:sz w:val="26"/>
          <w:szCs w:val="26"/>
          <w:lang w:val="lt-LT"/>
        </w:rPr>
        <w:t> </w:t>
      </w:r>
      <w:r w:rsidRPr="0027771F">
        <w:rPr>
          <w:sz w:val="26"/>
          <w:szCs w:val="26"/>
          <w:lang w:val="lt-LT"/>
        </w:rPr>
        <w:t xml:space="preserve">veiklos sąnaudos tiek, kiek </w:t>
      </w:r>
      <w:r>
        <w:rPr>
          <w:sz w:val="26"/>
          <w:szCs w:val="26"/>
          <w:lang w:val="lt-LT"/>
        </w:rPr>
        <w:t>j</w:t>
      </w:r>
      <w:r w:rsidRPr="0027771F">
        <w:rPr>
          <w:sz w:val="26"/>
          <w:szCs w:val="26"/>
          <w:lang w:val="lt-LT"/>
        </w:rPr>
        <w:t>os sąnaudos susiję su darbo užmokesčio sąnaudomis. O su šiais elementais susijęs tvirtinimas yra tikslumas, kuris skirtas nustatyti, ar įvykusios ūkinės operacijos šioje finansinėje ataskaitoje yra pateiktos teisinga suma.</w:t>
      </w:r>
    </w:p>
    <w:p w:rsidR="00A16A7C" w:rsidRDefault="00A16A7C" w:rsidP="005F7C5D">
      <w:pPr>
        <w:pStyle w:val="NormalWeb"/>
        <w:spacing w:before="240" w:beforeAutospacing="0" w:after="0" w:afterAutospacing="0" w:line="360" w:lineRule="auto"/>
        <w:ind w:firstLine="720"/>
        <w:jc w:val="both"/>
        <w:rPr>
          <w:sz w:val="26"/>
          <w:szCs w:val="26"/>
          <w:lang w:val="lt-LT"/>
        </w:rPr>
      </w:pPr>
    </w:p>
    <w:p w:rsidR="000C51D9" w:rsidRPr="0027771F" w:rsidRDefault="000C51D9" w:rsidP="005F7C5D">
      <w:pPr>
        <w:pStyle w:val="NormalWeb"/>
        <w:spacing w:before="240" w:beforeAutospacing="0" w:after="0" w:afterAutospacing="0" w:line="360" w:lineRule="auto"/>
        <w:ind w:firstLine="720"/>
        <w:jc w:val="both"/>
        <w:rPr>
          <w:sz w:val="26"/>
          <w:szCs w:val="26"/>
          <w:lang w:val="lt-LT"/>
        </w:rPr>
      </w:pPr>
    </w:p>
    <w:p w:rsidR="00223ACB" w:rsidRPr="0027771F" w:rsidRDefault="00473ADA" w:rsidP="00B57710">
      <w:pPr>
        <w:pStyle w:val="NormalWeb"/>
        <w:spacing w:before="0" w:beforeAutospacing="0" w:after="0" w:afterAutospacing="0"/>
        <w:ind w:firstLine="720"/>
        <w:jc w:val="right"/>
        <w:rPr>
          <w:i/>
          <w:sz w:val="26"/>
          <w:szCs w:val="26"/>
          <w:lang w:val="lt-LT"/>
        </w:rPr>
      </w:pPr>
      <w:r w:rsidRPr="0027771F">
        <w:rPr>
          <w:i/>
          <w:sz w:val="26"/>
          <w:szCs w:val="26"/>
          <w:lang w:val="lt-LT"/>
        </w:rPr>
        <w:lastRenderedPageBreak/>
        <w:t>3</w:t>
      </w:r>
      <w:r w:rsidR="00036530">
        <w:rPr>
          <w:i/>
          <w:sz w:val="26"/>
          <w:szCs w:val="26"/>
          <w:lang w:val="lt-LT"/>
        </w:rPr>
        <w:t>5</w:t>
      </w:r>
      <w:r w:rsidR="00223ACB" w:rsidRPr="0027771F">
        <w:rPr>
          <w:i/>
          <w:sz w:val="26"/>
          <w:szCs w:val="26"/>
          <w:lang w:val="lt-LT"/>
        </w:rPr>
        <w:t xml:space="preserve"> lentelė</w:t>
      </w:r>
    </w:p>
    <w:p w:rsidR="00223ACB" w:rsidRPr="0027771F" w:rsidRDefault="00223ACB" w:rsidP="00B57710">
      <w:pPr>
        <w:tabs>
          <w:tab w:val="left" w:pos="567"/>
        </w:tabs>
        <w:jc w:val="center"/>
        <w:rPr>
          <w:b/>
          <w:sz w:val="26"/>
          <w:szCs w:val="26"/>
          <w:lang w:val="lt-LT"/>
        </w:rPr>
      </w:pPr>
      <w:r w:rsidRPr="0027771F">
        <w:rPr>
          <w:b/>
          <w:sz w:val="26"/>
          <w:szCs w:val="26"/>
          <w:lang w:val="lt-LT"/>
        </w:rPr>
        <w:t>UAB „</w:t>
      </w:r>
      <w:r w:rsidR="001240E7" w:rsidRPr="0027771F">
        <w:rPr>
          <w:b/>
          <w:sz w:val="26"/>
          <w:szCs w:val="26"/>
          <w:lang w:val="lt-LT"/>
        </w:rPr>
        <w:t>Žuvila</w:t>
      </w:r>
      <w:r w:rsidRPr="0027771F">
        <w:rPr>
          <w:b/>
          <w:sz w:val="26"/>
          <w:szCs w:val="26"/>
          <w:lang w:val="lt-LT"/>
        </w:rPr>
        <w:t>“ 2008 metų pelno (nuostolių) ataskaitos elementų svarbos vertinimas, tūkst. Lt</w:t>
      </w:r>
    </w:p>
    <w:tbl>
      <w:tblPr>
        <w:tblW w:w="8227" w:type="dxa"/>
        <w:tblInd w:w="103" w:type="dxa"/>
        <w:tblLayout w:type="fixed"/>
        <w:tblLook w:val="04A0"/>
      </w:tblPr>
      <w:tblGrid>
        <w:gridCol w:w="714"/>
        <w:gridCol w:w="2268"/>
        <w:gridCol w:w="1134"/>
        <w:gridCol w:w="992"/>
        <w:gridCol w:w="2552"/>
        <w:gridCol w:w="567"/>
      </w:tblGrid>
      <w:tr w:rsidR="00223ACB" w:rsidRPr="0000003C" w:rsidTr="00E1617D">
        <w:trPr>
          <w:cantSplit/>
          <w:trHeight w:val="1270"/>
        </w:trPr>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23ACB" w:rsidRPr="0000003C" w:rsidRDefault="00223ACB" w:rsidP="004634E5">
            <w:pPr>
              <w:jc w:val="center"/>
              <w:rPr>
                <w:b/>
                <w:bCs/>
                <w:lang w:val="lt-LT"/>
              </w:rPr>
            </w:pPr>
            <w:r w:rsidRPr="0000003C">
              <w:rPr>
                <w:b/>
                <w:bCs/>
                <w:lang w:val="lt-LT"/>
              </w:rPr>
              <w:t> </w:t>
            </w:r>
          </w:p>
        </w:tc>
        <w:tc>
          <w:tcPr>
            <w:tcW w:w="226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223ACB" w:rsidRPr="0000003C" w:rsidRDefault="00223ACB" w:rsidP="004634E5">
            <w:pPr>
              <w:jc w:val="center"/>
              <w:rPr>
                <w:b/>
                <w:lang w:val="lt-LT"/>
              </w:rPr>
            </w:pPr>
            <w:r w:rsidRPr="0000003C">
              <w:rPr>
                <w:b/>
                <w:lang w:val="lt-LT"/>
              </w:rPr>
              <w:t>Elementas</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noWrap/>
            <w:textDirection w:val="btLr"/>
            <w:vAlign w:val="center"/>
            <w:hideMark/>
          </w:tcPr>
          <w:p w:rsidR="00223ACB" w:rsidRPr="0000003C" w:rsidRDefault="00223ACB" w:rsidP="0027771F">
            <w:pPr>
              <w:ind w:left="113" w:right="113"/>
              <w:jc w:val="center"/>
              <w:rPr>
                <w:b/>
                <w:bCs/>
                <w:lang w:val="lt-LT"/>
              </w:rPr>
            </w:pPr>
            <w:r w:rsidRPr="0000003C">
              <w:rPr>
                <w:b/>
                <w:bCs/>
                <w:lang w:val="lt-LT"/>
              </w:rPr>
              <w:t>2008.12.31</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noWrap/>
            <w:textDirection w:val="btLr"/>
            <w:vAlign w:val="center"/>
            <w:hideMark/>
          </w:tcPr>
          <w:p w:rsidR="00223ACB" w:rsidRPr="0000003C" w:rsidRDefault="00223ACB" w:rsidP="0027771F">
            <w:pPr>
              <w:ind w:left="113" w:right="113"/>
              <w:jc w:val="center"/>
              <w:rPr>
                <w:b/>
                <w:bCs/>
                <w:lang w:val="lt-LT"/>
              </w:rPr>
            </w:pPr>
            <w:r w:rsidRPr="0000003C">
              <w:rPr>
                <w:b/>
                <w:bCs/>
                <w:lang w:val="lt-LT"/>
              </w:rPr>
              <w:t>2007.12.31</w:t>
            </w:r>
          </w:p>
        </w:tc>
        <w:tc>
          <w:tcPr>
            <w:tcW w:w="25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23ACB" w:rsidRPr="0000003C" w:rsidRDefault="00223ACB" w:rsidP="004634E5">
            <w:pPr>
              <w:jc w:val="center"/>
              <w:rPr>
                <w:b/>
                <w:bCs/>
                <w:lang w:val="lt-LT"/>
              </w:rPr>
            </w:pPr>
            <w:r w:rsidRPr="0000003C">
              <w:rPr>
                <w:b/>
                <w:bCs/>
                <w:lang w:val="lt-LT"/>
              </w:rPr>
              <w:t xml:space="preserve">Svarbos vertinimas </w:t>
            </w:r>
          </w:p>
          <w:p w:rsidR="00223ACB" w:rsidRPr="0000003C" w:rsidRDefault="00223ACB" w:rsidP="004634E5">
            <w:pPr>
              <w:jc w:val="center"/>
              <w:rPr>
                <w:b/>
                <w:bCs/>
                <w:lang w:val="lt-LT"/>
              </w:rPr>
            </w:pPr>
            <w:r w:rsidRPr="0000003C">
              <w:rPr>
                <w:b/>
                <w:bCs/>
                <w:lang w:val="lt-LT"/>
              </w:rPr>
              <w:t>(įmonės procesas)</w:t>
            </w:r>
          </w:p>
        </w:tc>
        <w:tc>
          <w:tcPr>
            <w:tcW w:w="567" w:type="dxa"/>
            <w:tcBorders>
              <w:top w:val="single" w:sz="4" w:space="0" w:color="auto"/>
              <w:left w:val="nil"/>
              <w:bottom w:val="single" w:sz="4" w:space="0" w:color="auto"/>
              <w:right w:val="single" w:sz="4" w:space="0" w:color="auto"/>
            </w:tcBorders>
            <w:shd w:val="clear" w:color="000000" w:fill="A5A5A5"/>
            <w:textDirection w:val="btLr"/>
            <w:vAlign w:val="center"/>
          </w:tcPr>
          <w:p w:rsidR="00223ACB" w:rsidRPr="0000003C" w:rsidRDefault="00223ACB" w:rsidP="0027771F">
            <w:pPr>
              <w:ind w:left="113" w:right="113"/>
              <w:jc w:val="center"/>
              <w:rPr>
                <w:b/>
                <w:bCs/>
                <w:lang w:val="lt-LT"/>
              </w:rPr>
            </w:pPr>
            <w:r w:rsidRPr="0000003C">
              <w:rPr>
                <w:b/>
                <w:bCs/>
                <w:lang w:val="lt-LT"/>
              </w:rPr>
              <w:t>Susijęs tvirtinimas</w:t>
            </w:r>
          </w:p>
        </w:tc>
      </w:tr>
      <w:tr w:rsidR="00223ACB" w:rsidRPr="0000003C" w:rsidTr="00E1617D">
        <w:trPr>
          <w:trHeight w:val="225"/>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223ACB" w:rsidRPr="0000003C" w:rsidRDefault="00223ACB" w:rsidP="004634E5">
            <w:pPr>
              <w:jc w:val="center"/>
              <w:rPr>
                <w:b/>
                <w:bCs/>
                <w:lang w:val="lt-LT"/>
              </w:rPr>
            </w:pPr>
            <w:r w:rsidRPr="0000003C">
              <w:rPr>
                <w:b/>
                <w:bCs/>
                <w:lang w:val="lt-LT"/>
              </w:rPr>
              <w:t>I.</w:t>
            </w:r>
          </w:p>
        </w:tc>
        <w:tc>
          <w:tcPr>
            <w:tcW w:w="2268" w:type="dxa"/>
            <w:tcBorders>
              <w:top w:val="single" w:sz="4" w:space="0" w:color="auto"/>
              <w:left w:val="nil"/>
              <w:bottom w:val="single" w:sz="4" w:space="0" w:color="auto"/>
              <w:right w:val="single" w:sz="4" w:space="0" w:color="auto"/>
            </w:tcBorders>
            <w:shd w:val="clear" w:color="auto" w:fill="auto"/>
            <w:hideMark/>
          </w:tcPr>
          <w:p w:rsidR="00223ACB" w:rsidRPr="0000003C" w:rsidRDefault="00223ACB" w:rsidP="0027771F">
            <w:pPr>
              <w:rPr>
                <w:b/>
                <w:bCs/>
                <w:lang w:val="lt-LT"/>
              </w:rPr>
            </w:pPr>
            <w:r w:rsidRPr="0000003C">
              <w:rPr>
                <w:b/>
                <w:bCs/>
                <w:lang w:val="lt-LT"/>
              </w:rPr>
              <w:t>PARDAVIMO PAJAMOS</w:t>
            </w:r>
          </w:p>
        </w:tc>
        <w:tc>
          <w:tcPr>
            <w:tcW w:w="1134" w:type="dxa"/>
            <w:tcBorders>
              <w:top w:val="single" w:sz="4" w:space="0" w:color="auto"/>
              <w:left w:val="nil"/>
              <w:bottom w:val="single" w:sz="4" w:space="0" w:color="auto"/>
              <w:right w:val="single" w:sz="4" w:space="0" w:color="auto"/>
            </w:tcBorders>
            <w:shd w:val="clear" w:color="auto" w:fill="auto"/>
            <w:noWrap/>
            <w:hideMark/>
          </w:tcPr>
          <w:p w:rsidR="00223ACB" w:rsidRPr="0000003C" w:rsidRDefault="001240E7" w:rsidP="0027771F">
            <w:pPr>
              <w:jc w:val="center"/>
              <w:rPr>
                <w:b/>
                <w:bCs/>
                <w:lang w:val="lt-LT"/>
              </w:rPr>
            </w:pPr>
            <w:r w:rsidRPr="0000003C">
              <w:rPr>
                <w:b/>
                <w:bCs/>
                <w:lang w:val="lt-LT"/>
              </w:rPr>
              <w:t>57</w:t>
            </w:r>
            <w:r w:rsidR="00884A1E">
              <w:rPr>
                <w:b/>
                <w:bCs/>
                <w:lang w:val="lt-LT"/>
              </w:rPr>
              <w:t xml:space="preserve"> </w:t>
            </w:r>
            <w:r w:rsidRPr="0000003C">
              <w:rPr>
                <w:b/>
                <w:bCs/>
                <w:lang w:val="lt-LT"/>
              </w:rPr>
              <w:t>437</w:t>
            </w:r>
          </w:p>
        </w:tc>
        <w:tc>
          <w:tcPr>
            <w:tcW w:w="992" w:type="dxa"/>
            <w:tcBorders>
              <w:top w:val="single" w:sz="4" w:space="0" w:color="auto"/>
              <w:left w:val="nil"/>
              <w:bottom w:val="single" w:sz="4" w:space="0" w:color="auto"/>
              <w:right w:val="single" w:sz="4" w:space="0" w:color="auto"/>
            </w:tcBorders>
            <w:shd w:val="clear" w:color="auto" w:fill="auto"/>
            <w:noWrap/>
            <w:hideMark/>
          </w:tcPr>
          <w:p w:rsidR="00223ACB" w:rsidRPr="0000003C" w:rsidRDefault="001240E7" w:rsidP="0027771F">
            <w:pPr>
              <w:jc w:val="center"/>
              <w:rPr>
                <w:b/>
                <w:bCs/>
                <w:lang w:val="lt-LT"/>
              </w:rPr>
            </w:pPr>
            <w:r w:rsidRPr="0000003C">
              <w:rPr>
                <w:b/>
                <w:bCs/>
                <w:lang w:val="lt-LT"/>
              </w:rPr>
              <w:t>51</w:t>
            </w:r>
            <w:r w:rsidR="00884A1E">
              <w:rPr>
                <w:b/>
                <w:bCs/>
                <w:lang w:val="lt-LT"/>
              </w:rPr>
              <w:t xml:space="preserve"> </w:t>
            </w:r>
            <w:r w:rsidRPr="0000003C">
              <w:rPr>
                <w:b/>
                <w:bCs/>
                <w:lang w:val="lt-LT"/>
              </w:rPr>
              <w:t>923</w:t>
            </w:r>
          </w:p>
        </w:tc>
        <w:tc>
          <w:tcPr>
            <w:tcW w:w="2552" w:type="dxa"/>
            <w:tcBorders>
              <w:top w:val="single" w:sz="4" w:space="0" w:color="auto"/>
              <w:left w:val="nil"/>
              <w:bottom w:val="single" w:sz="4" w:space="0" w:color="auto"/>
              <w:right w:val="single" w:sz="4" w:space="0" w:color="auto"/>
            </w:tcBorders>
            <w:shd w:val="clear" w:color="auto" w:fill="auto"/>
            <w:noWrap/>
            <w:hideMark/>
          </w:tcPr>
          <w:p w:rsidR="00223ACB" w:rsidRPr="0000003C" w:rsidRDefault="00223ACB" w:rsidP="0027771F">
            <w:pPr>
              <w:rPr>
                <w:lang w:val="lt-LT"/>
              </w:rPr>
            </w:pPr>
            <w:r w:rsidRPr="0000003C">
              <w:rPr>
                <w:lang w:val="lt-LT"/>
              </w:rPr>
              <w:t>Svarbus (pardavimo procesas)</w:t>
            </w:r>
          </w:p>
        </w:tc>
        <w:tc>
          <w:tcPr>
            <w:tcW w:w="567" w:type="dxa"/>
            <w:tcBorders>
              <w:top w:val="single" w:sz="4" w:space="0" w:color="auto"/>
              <w:left w:val="nil"/>
              <w:bottom w:val="single" w:sz="4" w:space="0" w:color="auto"/>
              <w:right w:val="single" w:sz="4" w:space="0" w:color="auto"/>
            </w:tcBorders>
          </w:tcPr>
          <w:p w:rsidR="00223ACB" w:rsidRPr="00E1617D" w:rsidRDefault="00223ACB" w:rsidP="00E1617D">
            <w:pPr>
              <w:jc w:val="center"/>
              <w:rPr>
                <w:b/>
                <w:lang w:val="lt-LT"/>
              </w:rPr>
            </w:pPr>
            <w:r w:rsidRPr="00E1617D">
              <w:rPr>
                <w:b/>
                <w:lang w:val="lt-LT"/>
              </w:rPr>
              <w:t>T</w:t>
            </w: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b/>
                <w:bCs/>
                <w:lang w:val="lt-LT"/>
              </w:rPr>
            </w:pPr>
            <w:r w:rsidRPr="0000003C">
              <w:rPr>
                <w:b/>
                <w:bCs/>
                <w:lang w:val="lt-LT"/>
              </w:rPr>
              <w:t>II.</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b/>
                <w:bCs/>
                <w:lang w:val="lt-LT"/>
              </w:rPr>
            </w:pPr>
            <w:r w:rsidRPr="0000003C">
              <w:rPr>
                <w:b/>
                <w:bCs/>
                <w:lang w:val="lt-LT"/>
              </w:rPr>
              <w:t>PARDAVIMO SAVIKAINA</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(54</w:t>
            </w:r>
            <w:r w:rsidR="00884A1E">
              <w:rPr>
                <w:b/>
                <w:bCs/>
                <w:lang w:val="lt-LT"/>
              </w:rPr>
              <w:t xml:space="preserve"> </w:t>
            </w:r>
            <w:r w:rsidRPr="0000003C">
              <w:rPr>
                <w:b/>
                <w:bCs/>
                <w:lang w:val="lt-LT"/>
              </w:rPr>
              <w:t>179)</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(49</w:t>
            </w:r>
            <w:r w:rsidR="00884A1E">
              <w:rPr>
                <w:b/>
                <w:bCs/>
                <w:lang w:val="lt-LT"/>
              </w:rPr>
              <w:t xml:space="preserve"> </w:t>
            </w:r>
            <w:r w:rsidRPr="0000003C">
              <w:rPr>
                <w:b/>
                <w:bCs/>
                <w:lang w:val="lt-LT"/>
              </w:rPr>
              <w:t>030)</w:t>
            </w:r>
          </w:p>
        </w:tc>
        <w:tc>
          <w:tcPr>
            <w:tcW w:w="255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rPr>
                <w:lang w:val="lt-LT"/>
              </w:rPr>
            </w:pPr>
            <w:r w:rsidRPr="0000003C">
              <w:rPr>
                <w:lang w:val="lt-LT"/>
              </w:rPr>
              <w:t>Svarbus (gamybos, darbo apmokėjimo procesas)</w:t>
            </w:r>
          </w:p>
        </w:tc>
        <w:tc>
          <w:tcPr>
            <w:tcW w:w="567" w:type="dxa"/>
            <w:tcBorders>
              <w:top w:val="nil"/>
              <w:left w:val="nil"/>
              <w:bottom w:val="single" w:sz="4" w:space="0" w:color="auto"/>
              <w:right w:val="single" w:sz="4" w:space="0" w:color="auto"/>
            </w:tcBorders>
          </w:tcPr>
          <w:p w:rsidR="00E1617D" w:rsidRPr="00E1617D" w:rsidRDefault="00E1617D" w:rsidP="00256BDF">
            <w:pPr>
              <w:jc w:val="center"/>
              <w:rPr>
                <w:b/>
                <w:lang w:val="lt-LT"/>
              </w:rPr>
            </w:pPr>
            <w:r w:rsidRPr="00E1617D">
              <w:rPr>
                <w:b/>
                <w:lang w:val="lt-LT"/>
              </w:rPr>
              <w:t>T</w:t>
            </w: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b/>
                <w:bCs/>
                <w:lang w:val="lt-LT"/>
              </w:rPr>
            </w:pPr>
            <w:r w:rsidRPr="0000003C">
              <w:rPr>
                <w:b/>
                <w:bCs/>
                <w:lang w:val="lt-LT"/>
              </w:rPr>
              <w:t>III.</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lang w:val="lt-LT"/>
              </w:rPr>
            </w:pPr>
            <w:r w:rsidRPr="0000003C">
              <w:rPr>
                <w:lang w:val="lt-LT"/>
              </w:rPr>
              <w:t>BENDRASIS PELNAS (NUOSTOLIAI)</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3</w:t>
            </w:r>
            <w:r w:rsidR="00884A1E">
              <w:rPr>
                <w:b/>
                <w:bCs/>
                <w:lang w:val="lt-LT"/>
              </w:rPr>
              <w:t xml:space="preserve"> </w:t>
            </w:r>
            <w:r w:rsidRPr="0000003C">
              <w:rPr>
                <w:b/>
                <w:bCs/>
                <w:lang w:val="lt-LT"/>
              </w:rPr>
              <w:t>258</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2</w:t>
            </w:r>
            <w:r w:rsidR="00884A1E">
              <w:rPr>
                <w:b/>
                <w:bCs/>
                <w:lang w:val="lt-LT"/>
              </w:rPr>
              <w:t xml:space="preserve"> </w:t>
            </w:r>
            <w:r w:rsidRPr="0000003C">
              <w:rPr>
                <w:b/>
                <w:bCs/>
                <w:lang w:val="lt-LT"/>
              </w:rPr>
              <w:t>893</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E1617D" w:rsidRPr="0000003C" w:rsidRDefault="00E1617D" w:rsidP="0027771F">
            <w:pPr>
              <w:rPr>
                <w:b/>
                <w:bCs/>
                <w:lang w:val="lt-LT"/>
              </w:rPr>
            </w:pPr>
            <w:r w:rsidRPr="0000003C">
              <w:rPr>
                <w:b/>
                <w:bCs/>
                <w:lang w:val="lt-LT"/>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Pr>
          <w:p w:rsidR="00E1617D" w:rsidRPr="0000003C" w:rsidRDefault="00E1617D" w:rsidP="0027771F">
            <w:pPr>
              <w:rPr>
                <w:b/>
                <w:bCs/>
                <w:lang w:val="lt-LT"/>
              </w:rPr>
            </w:pP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b/>
                <w:bCs/>
                <w:lang w:val="lt-LT"/>
              </w:rPr>
            </w:pPr>
            <w:r w:rsidRPr="0000003C">
              <w:rPr>
                <w:b/>
                <w:bCs/>
                <w:lang w:val="lt-LT"/>
              </w:rPr>
              <w:t>IV.</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b/>
                <w:bCs/>
                <w:lang w:val="lt-LT"/>
              </w:rPr>
            </w:pPr>
            <w:r w:rsidRPr="0000003C">
              <w:rPr>
                <w:b/>
                <w:bCs/>
                <w:lang w:val="lt-LT"/>
              </w:rPr>
              <w:t>VEIKLOS SĄNAUDOS</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(2</w:t>
            </w:r>
            <w:r w:rsidR="00884A1E">
              <w:rPr>
                <w:b/>
                <w:bCs/>
                <w:lang w:val="lt-LT"/>
              </w:rPr>
              <w:t xml:space="preserve"> </w:t>
            </w:r>
            <w:r w:rsidRPr="0000003C">
              <w:rPr>
                <w:b/>
                <w:bCs/>
                <w:lang w:val="lt-LT"/>
              </w:rPr>
              <w:t>949)</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(1</w:t>
            </w:r>
            <w:r w:rsidR="00884A1E">
              <w:rPr>
                <w:b/>
                <w:bCs/>
                <w:lang w:val="lt-LT"/>
              </w:rPr>
              <w:t xml:space="preserve"> </w:t>
            </w:r>
            <w:r w:rsidRPr="0000003C">
              <w:rPr>
                <w:b/>
                <w:bCs/>
                <w:lang w:val="lt-LT"/>
              </w:rPr>
              <w:t>801)</w:t>
            </w:r>
          </w:p>
        </w:tc>
        <w:tc>
          <w:tcPr>
            <w:tcW w:w="2552" w:type="dxa"/>
            <w:tcBorders>
              <w:top w:val="nil"/>
              <w:left w:val="nil"/>
              <w:bottom w:val="single" w:sz="4" w:space="0" w:color="auto"/>
              <w:right w:val="single" w:sz="4" w:space="0" w:color="auto"/>
            </w:tcBorders>
            <w:shd w:val="clear" w:color="auto" w:fill="auto"/>
            <w:noWrap/>
            <w:hideMark/>
          </w:tcPr>
          <w:p w:rsidR="00E1617D" w:rsidRPr="0000003C" w:rsidRDefault="00BB1F6E" w:rsidP="0027771F">
            <w:pPr>
              <w:rPr>
                <w:lang w:val="lt-LT"/>
              </w:rPr>
            </w:pPr>
            <w:r>
              <w:rPr>
                <w:lang w:val="lt-LT"/>
              </w:rPr>
              <w:t xml:space="preserve">Nesvarbus </w:t>
            </w:r>
            <w:r w:rsidR="00E1617D" w:rsidRPr="0000003C">
              <w:rPr>
                <w:lang w:val="lt-LT"/>
              </w:rPr>
              <w:t xml:space="preserve"> nedaug ūk. operacijų, išskyrus darbo užmokesčio sąnaudas – darbo apmokėjimo procesas</w:t>
            </w:r>
          </w:p>
        </w:tc>
        <w:tc>
          <w:tcPr>
            <w:tcW w:w="567" w:type="dxa"/>
            <w:tcBorders>
              <w:top w:val="nil"/>
              <w:left w:val="nil"/>
              <w:bottom w:val="single" w:sz="4" w:space="0" w:color="auto"/>
              <w:right w:val="single" w:sz="4" w:space="0" w:color="auto"/>
            </w:tcBorders>
          </w:tcPr>
          <w:p w:rsidR="00E1617D" w:rsidRPr="00E1617D" w:rsidRDefault="00E1617D" w:rsidP="00256BDF">
            <w:pPr>
              <w:jc w:val="center"/>
              <w:rPr>
                <w:b/>
                <w:lang w:val="lt-LT"/>
              </w:rPr>
            </w:pPr>
            <w:r w:rsidRPr="00E1617D">
              <w:rPr>
                <w:b/>
                <w:lang w:val="lt-LT"/>
              </w:rPr>
              <w:t>T</w:t>
            </w: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b/>
                <w:bCs/>
                <w:lang w:val="lt-LT"/>
              </w:rPr>
            </w:pPr>
            <w:r w:rsidRPr="0000003C">
              <w:rPr>
                <w:b/>
                <w:bCs/>
                <w:lang w:val="lt-LT"/>
              </w:rPr>
              <w:t>V.</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b/>
                <w:bCs/>
                <w:lang w:val="lt-LT"/>
              </w:rPr>
            </w:pPr>
            <w:r w:rsidRPr="0000003C">
              <w:rPr>
                <w:b/>
                <w:bCs/>
                <w:lang w:val="lt-LT"/>
              </w:rPr>
              <w:t>TIPINĖS VEIKLOS PELNAS (NUOSTOLIAI)</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309</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1</w:t>
            </w:r>
            <w:r w:rsidR="00884A1E">
              <w:rPr>
                <w:b/>
                <w:bCs/>
                <w:lang w:val="lt-LT"/>
              </w:rPr>
              <w:t xml:space="preserve"> </w:t>
            </w:r>
            <w:r w:rsidRPr="0000003C">
              <w:rPr>
                <w:b/>
                <w:bCs/>
                <w:lang w:val="lt-LT"/>
              </w:rPr>
              <w:t>092</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E1617D" w:rsidRPr="0000003C" w:rsidRDefault="00E1617D" w:rsidP="0027771F">
            <w:pPr>
              <w:rPr>
                <w:lang w:val="lt-LT"/>
              </w:rPr>
            </w:pPr>
            <w:r w:rsidRPr="0000003C">
              <w:rPr>
                <w:lang w:val="lt-LT"/>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Pr>
          <w:p w:rsidR="00E1617D" w:rsidRPr="0000003C" w:rsidRDefault="00E1617D" w:rsidP="0027771F">
            <w:pPr>
              <w:rPr>
                <w:lang w:val="lt-LT"/>
              </w:rPr>
            </w:pP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b/>
                <w:bCs/>
                <w:lang w:val="lt-LT"/>
              </w:rPr>
            </w:pPr>
            <w:r w:rsidRPr="0000003C">
              <w:rPr>
                <w:b/>
                <w:bCs/>
                <w:lang w:val="lt-LT"/>
              </w:rPr>
              <w:t>VI.</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b/>
                <w:bCs/>
                <w:lang w:val="lt-LT"/>
              </w:rPr>
            </w:pPr>
            <w:r w:rsidRPr="0000003C">
              <w:rPr>
                <w:b/>
                <w:bCs/>
                <w:lang w:val="lt-LT"/>
              </w:rPr>
              <w:t>KITA VEIKLA</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288</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419</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E1617D" w:rsidRPr="0000003C" w:rsidRDefault="00E1617D" w:rsidP="0027771F">
            <w:pPr>
              <w:rPr>
                <w:b/>
                <w:bCs/>
                <w:lang w:val="lt-LT"/>
              </w:rPr>
            </w:pPr>
            <w:r w:rsidRPr="0000003C">
              <w:rPr>
                <w:b/>
                <w:bCs/>
                <w:lang w:val="lt-LT"/>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Pr>
          <w:p w:rsidR="00E1617D" w:rsidRPr="0000003C" w:rsidRDefault="00E1617D" w:rsidP="0027771F">
            <w:pPr>
              <w:rPr>
                <w:b/>
                <w:bCs/>
                <w:lang w:val="lt-LT"/>
              </w:rPr>
            </w:pP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lang w:val="lt-LT"/>
              </w:rPr>
            </w:pPr>
            <w:r w:rsidRPr="0000003C">
              <w:rPr>
                <w:lang w:val="lt-LT"/>
              </w:rPr>
              <w:t>VI.1.</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lang w:val="lt-LT"/>
              </w:rPr>
            </w:pPr>
            <w:r w:rsidRPr="0000003C">
              <w:rPr>
                <w:lang w:val="lt-LT"/>
              </w:rPr>
              <w:t>Pajamos</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1</w:t>
            </w:r>
            <w:r w:rsidR="00884A1E">
              <w:rPr>
                <w:b/>
                <w:bCs/>
                <w:lang w:val="lt-LT"/>
              </w:rPr>
              <w:t xml:space="preserve"> </w:t>
            </w:r>
            <w:r w:rsidRPr="0000003C">
              <w:rPr>
                <w:b/>
                <w:bCs/>
                <w:lang w:val="lt-LT"/>
              </w:rPr>
              <w:t>196</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1</w:t>
            </w:r>
            <w:r w:rsidR="00884A1E">
              <w:rPr>
                <w:b/>
                <w:bCs/>
                <w:lang w:val="lt-LT"/>
              </w:rPr>
              <w:t xml:space="preserve"> </w:t>
            </w:r>
            <w:r w:rsidRPr="0000003C">
              <w:rPr>
                <w:b/>
                <w:bCs/>
                <w:lang w:val="lt-LT"/>
              </w:rPr>
              <w:t>235</w:t>
            </w:r>
          </w:p>
        </w:tc>
        <w:tc>
          <w:tcPr>
            <w:tcW w:w="255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rPr>
                <w:lang w:val="lt-LT"/>
              </w:rPr>
            </w:pPr>
            <w:r w:rsidRPr="0000003C">
              <w:rPr>
                <w:lang w:val="lt-LT"/>
              </w:rPr>
              <w:t> Nesvarbus, nedaug ir nesudėtingos ūk. operacijos</w:t>
            </w:r>
          </w:p>
        </w:tc>
        <w:tc>
          <w:tcPr>
            <w:tcW w:w="567" w:type="dxa"/>
            <w:tcBorders>
              <w:top w:val="nil"/>
              <w:left w:val="nil"/>
              <w:bottom w:val="single" w:sz="4" w:space="0" w:color="auto"/>
              <w:right w:val="single" w:sz="4" w:space="0" w:color="auto"/>
            </w:tcBorders>
          </w:tcPr>
          <w:p w:rsidR="00E1617D" w:rsidRPr="0000003C" w:rsidRDefault="00E1617D" w:rsidP="0027771F">
            <w:pPr>
              <w:rPr>
                <w:lang w:val="lt-LT"/>
              </w:rPr>
            </w:pPr>
            <w:r w:rsidRPr="0000003C">
              <w:rPr>
                <w:lang w:val="lt-LT"/>
              </w:rPr>
              <w:t>X</w:t>
            </w: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lang w:val="lt-LT"/>
              </w:rPr>
            </w:pPr>
            <w:r w:rsidRPr="0000003C">
              <w:rPr>
                <w:lang w:val="lt-LT"/>
              </w:rPr>
              <w:t>VI.2.</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lang w:val="lt-LT"/>
              </w:rPr>
            </w:pPr>
            <w:r w:rsidRPr="0000003C">
              <w:rPr>
                <w:lang w:val="lt-LT"/>
              </w:rPr>
              <w:t>Sąnaudos</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(908)</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(816)</w:t>
            </w:r>
          </w:p>
        </w:tc>
        <w:tc>
          <w:tcPr>
            <w:tcW w:w="255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rPr>
                <w:lang w:val="lt-LT"/>
              </w:rPr>
            </w:pPr>
            <w:r w:rsidRPr="0000003C">
              <w:rPr>
                <w:lang w:val="lt-LT"/>
              </w:rPr>
              <w:t>t. p.</w:t>
            </w:r>
          </w:p>
        </w:tc>
        <w:tc>
          <w:tcPr>
            <w:tcW w:w="567" w:type="dxa"/>
            <w:tcBorders>
              <w:top w:val="nil"/>
              <w:left w:val="nil"/>
              <w:bottom w:val="single" w:sz="4" w:space="0" w:color="auto"/>
              <w:right w:val="single" w:sz="4" w:space="0" w:color="auto"/>
            </w:tcBorders>
          </w:tcPr>
          <w:p w:rsidR="00E1617D" w:rsidRPr="0000003C" w:rsidRDefault="00E1617D" w:rsidP="0027771F">
            <w:pPr>
              <w:rPr>
                <w:lang w:val="lt-LT"/>
              </w:rPr>
            </w:pPr>
            <w:r w:rsidRPr="0000003C">
              <w:rPr>
                <w:lang w:val="lt-LT"/>
              </w:rPr>
              <w:t>t. p.</w:t>
            </w: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b/>
                <w:bCs/>
                <w:lang w:val="lt-LT"/>
              </w:rPr>
            </w:pPr>
            <w:r w:rsidRPr="0000003C">
              <w:rPr>
                <w:b/>
                <w:bCs/>
                <w:lang w:val="lt-LT"/>
              </w:rPr>
              <w:t>VII.</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b/>
                <w:bCs/>
                <w:lang w:val="lt-LT"/>
              </w:rPr>
            </w:pPr>
            <w:r w:rsidRPr="0000003C">
              <w:rPr>
                <w:b/>
                <w:bCs/>
                <w:lang w:val="lt-LT"/>
              </w:rPr>
              <w:t>FINANSINĖ IR INVESTICINĖ VEIKLA</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(140)</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59</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E1617D" w:rsidRPr="0000003C" w:rsidRDefault="00E1617D" w:rsidP="0027771F">
            <w:pPr>
              <w:rPr>
                <w:lang w:val="lt-LT"/>
              </w:rPr>
            </w:pPr>
            <w:r w:rsidRPr="0000003C">
              <w:rPr>
                <w:lang w:val="lt-LT"/>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Pr>
          <w:p w:rsidR="00E1617D" w:rsidRPr="0000003C" w:rsidRDefault="00E1617D" w:rsidP="0027771F">
            <w:pPr>
              <w:rPr>
                <w:lang w:val="lt-LT"/>
              </w:rPr>
            </w:pP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lang w:val="lt-LT"/>
              </w:rPr>
            </w:pPr>
            <w:r w:rsidRPr="0000003C">
              <w:rPr>
                <w:lang w:val="lt-LT"/>
              </w:rPr>
              <w:t>VII.1.</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lang w:val="lt-LT"/>
              </w:rPr>
            </w:pPr>
            <w:r w:rsidRPr="0000003C">
              <w:rPr>
                <w:lang w:val="lt-LT"/>
              </w:rPr>
              <w:t>Pajamos</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533</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468</w:t>
            </w:r>
          </w:p>
        </w:tc>
        <w:tc>
          <w:tcPr>
            <w:tcW w:w="255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rPr>
                <w:lang w:val="lt-LT"/>
              </w:rPr>
            </w:pPr>
            <w:r w:rsidRPr="0000003C">
              <w:rPr>
                <w:lang w:val="lt-LT"/>
              </w:rPr>
              <w:t> Nesvarbus, nedaug ir nesudėtingos ūk. operacijos</w:t>
            </w:r>
          </w:p>
        </w:tc>
        <w:tc>
          <w:tcPr>
            <w:tcW w:w="567" w:type="dxa"/>
            <w:tcBorders>
              <w:top w:val="nil"/>
              <w:left w:val="nil"/>
              <w:bottom w:val="single" w:sz="4" w:space="0" w:color="auto"/>
              <w:right w:val="single" w:sz="4" w:space="0" w:color="auto"/>
            </w:tcBorders>
          </w:tcPr>
          <w:p w:rsidR="00E1617D" w:rsidRPr="0000003C" w:rsidRDefault="00E1617D" w:rsidP="0027771F">
            <w:pPr>
              <w:rPr>
                <w:lang w:val="lt-LT"/>
              </w:rPr>
            </w:pPr>
            <w:r w:rsidRPr="0000003C">
              <w:rPr>
                <w:lang w:val="lt-LT"/>
              </w:rPr>
              <w:t>X</w:t>
            </w: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lang w:val="lt-LT"/>
              </w:rPr>
            </w:pPr>
            <w:r w:rsidRPr="0000003C">
              <w:rPr>
                <w:lang w:val="lt-LT"/>
              </w:rPr>
              <w:t>VII.2.</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lang w:val="lt-LT"/>
              </w:rPr>
            </w:pPr>
            <w:r w:rsidRPr="0000003C">
              <w:rPr>
                <w:lang w:val="lt-LT"/>
              </w:rPr>
              <w:t>Sąnaudos</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(673)</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(409)</w:t>
            </w:r>
          </w:p>
        </w:tc>
        <w:tc>
          <w:tcPr>
            <w:tcW w:w="255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rPr>
                <w:lang w:val="lt-LT"/>
              </w:rPr>
            </w:pPr>
            <w:r w:rsidRPr="0000003C">
              <w:rPr>
                <w:lang w:val="lt-LT"/>
              </w:rPr>
              <w:t>t. p.</w:t>
            </w:r>
          </w:p>
        </w:tc>
        <w:tc>
          <w:tcPr>
            <w:tcW w:w="567" w:type="dxa"/>
            <w:tcBorders>
              <w:top w:val="nil"/>
              <w:left w:val="nil"/>
              <w:bottom w:val="single" w:sz="4" w:space="0" w:color="auto"/>
              <w:right w:val="single" w:sz="4" w:space="0" w:color="auto"/>
            </w:tcBorders>
          </w:tcPr>
          <w:p w:rsidR="00E1617D" w:rsidRPr="0000003C" w:rsidRDefault="00E1617D" w:rsidP="0027771F">
            <w:pPr>
              <w:rPr>
                <w:lang w:val="lt-LT"/>
              </w:rPr>
            </w:pPr>
            <w:r w:rsidRPr="0000003C">
              <w:rPr>
                <w:lang w:val="lt-LT"/>
              </w:rPr>
              <w:t>t. p.</w:t>
            </w:r>
          </w:p>
        </w:tc>
      </w:tr>
      <w:tr w:rsidR="00E1617D" w:rsidRPr="0000003C" w:rsidTr="00E1617D">
        <w:trPr>
          <w:trHeight w:val="450"/>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b/>
                <w:bCs/>
                <w:lang w:val="lt-LT"/>
              </w:rPr>
            </w:pPr>
            <w:r w:rsidRPr="0000003C">
              <w:rPr>
                <w:b/>
                <w:bCs/>
                <w:lang w:val="lt-LT"/>
              </w:rPr>
              <w:t>VIII.</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b/>
                <w:bCs/>
                <w:lang w:val="lt-LT"/>
              </w:rPr>
            </w:pPr>
            <w:r w:rsidRPr="0000003C">
              <w:rPr>
                <w:b/>
                <w:bCs/>
                <w:lang w:val="lt-LT"/>
              </w:rPr>
              <w:t>ĮPRASTINĖS VEIKLOS PELNAS (NUOSTOLIAI)</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457</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1</w:t>
            </w:r>
            <w:r w:rsidR="00884A1E">
              <w:rPr>
                <w:b/>
                <w:bCs/>
                <w:lang w:val="lt-LT"/>
              </w:rPr>
              <w:t xml:space="preserve"> </w:t>
            </w:r>
            <w:r w:rsidRPr="0000003C">
              <w:rPr>
                <w:b/>
                <w:bCs/>
                <w:lang w:val="lt-LT"/>
              </w:rPr>
              <w:t>570</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E1617D" w:rsidRPr="0000003C" w:rsidRDefault="00E1617D" w:rsidP="0027771F">
            <w:pPr>
              <w:rPr>
                <w:lang w:val="lt-LT"/>
              </w:rPr>
            </w:pPr>
            <w:r w:rsidRPr="0000003C">
              <w:rPr>
                <w:lang w:val="lt-LT"/>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Pr>
          <w:p w:rsidR="00E1617D" w:rsidRPr="0000003C" w:rsidRDefault="00E1617D" w:rsidP="0027771F">
            <w:pPr>
              <w:rPr>
                <w:lang w:val="lt-LT"/>
              </w:rPr>
            </w:pP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lang w:val="lt-LT"/>
              </w:rPr>
            </w:pPr>
            <w:r w:rsidRPr="0000003C">
              <w:rPr>
                <w:lang w:val="lt-LT"/>
              </w:rPr>
              <w:t>IX.</w:t>
            </w:r>
          </w:p>
        </w:tc>
        <w:tc>
          <w:tcPr>
            <w:tcW w:w="2268"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rPr>
                <w:lang w:val="lt-LT"/>
              </w:rPr>
            </w:pPr>
            <w:r w:rsidRPr="0000003C">
              <w:rPr>
                <w:lang w:val="lt-LT"/>
              </w:rPr>
              <w:t>PAGAUTĖ</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0</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0</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E1617D" w:rsidRPr="0000003C" w:rsidRDefault="00E1617D" w:rsidP="0027771F">
            <w:pPr>
              <w:rPr>
                <w:b/>
                <w:bCs/>
                <w:lang w:val="lt-LT"/>
              </w:rPr>
            </w:pPr>
            <w:r w:rsidRPr="0000003C">
              <w:rPr>
                <w:b/>
                <w:bCs/>
                <w:lang w:val="lt-LT"/>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Pr>
          <w:p w:rsidR="00E1617D" w:rsidRPr="0000003C" w:rsidRDefault="00E1617D" w:rsidP="0027771F">
            <w:pPr>
              <w:rPr>
                <w:b/>
                <w:bCs/>
                <w:lang w:val="lt-LT"/>
              </w:rPr>
            </w:pP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lang w:val="lt-LT"/>
              </w:rPr>
            </w:pPr>
            <w:r w:rsidRPr="0000003C">
              <w:rPr>
                <w:lang w:val="lt-LT"/>
              </w:rPr>
              <w:t>X.</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lang w:val="lt-LT"/>
              </w:rPr>
            </w:pPr>
            <w:r w:rsidRPr="0000003C">
              <w:rPr>
                <w:lang w:val="lt-LT"/>
              </w:rPr>
              <w:t>NETEKIMAI</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0</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0</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E1617D" w:rsidRPr="0000003C" w:rsidRDefault="00E1617D" w:rsidP="0027771F">
            <w:pPr>
              <w:rPr>
                <w:lang w:val="lt-LT"/>
              </w:rPr>
            </w:pPr>
            <w:r w:rsidRPr="0000003C">
              <w:rPr>
                <w:lang w:val="lt-LT"/>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Pr>
          <w:p w:rsidR="00E1617D" w:rsidRPr="0000003C" w:rsidRDefault="00E1617D" w:rsidP="0027771F">
            <w:pPr>
              <w:rPr>
                <w:lang w:val="lt-LT"/>
              </w:rPr>
            </w:pPr>
          </w:p>
        </w:tc>
      </w:tr>
      <w:tr w:rsidR="00E1617D" w:rsidRPr="0000003C" w:rsidTr="00E1617D">
        <w:trPr>
          <w:trHeight w:val="450"/>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b/>
                <w:bCs/>
                <w:lang w:val="lt-LT"/>
              </w:rPr>
            </w:pPr>
            <w:r w:rsidRPr="0000003C">
              <w:rPr>
                <w:b/>
                <w:bCs/>
                <w:lang w:val="lt-LT"/>
              </w:rPr>
              <w:t>XI.</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b/>
                <w:bCs/>
                <w:lang w:val="lt-LT"/>
              </w:rPr>
            </w:pPr>
            <w:r w:rsidRPr="0000003C">
              <w:rPr>
                <w:b/>
                <w:bCs/>
                <w:lang w:val="lt-LT"/>
              </w:rPr>
              <w:t>PELNAS (NUOSTOLIAI) PRIEŠ APMOKESTINIMĄ</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457</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1</w:t>
            </w:r>
            <w:r w:rsidR="00884A1E">
              <w:rPr>
                <w:b/>
                <w:bCs/>
                <w:lang w:val="lt-LT"/>
              </w:rPr>
              <w:t xml:space="preserve"> </w:t>
            </w:r>
            <w:r w:rsidRPr="0000003C">
              <w:rPr>
                <w:b/>
                <w:bCs/>
                <w:lang w:val="lt-LT"/>
              </w:rPr>
              <w:t>570</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E1617D" w:rsidRPr="0000003C" w:rsidRDefault="00E1617D" w:rsidP="0027771F">
            <w:pPr>
              <w:rPr>
                <w:lang w:val="lt-LT"/>
              </w:rPr>
            </w:pPr>
            <w:r w:rsidRPr="0000003C">
              <w:rPr>
                <w:lang w:val="lt-LT"/>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Pr>
          <w:p w:rsidR="00E1617D" w:rsidRPr="0000003C" w:rsidRDefault="00E1617D" w:rsidP="0027771F">
            <w:pPr>
              <w:rPr>
                <w:lang w:val="lt-LT"/>
              </w:rPr>
            </w:pPr>
          </w:p>
        </w:tc>
      </w:tr>
      <w:tr w:rsidR="00E1617D" w:rsidRPr="0000003C" w:rsidTr="00E1617D">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E1617D" w:rsidRPr="0000003C" w:rsidRDefault="00E1617D" w:rsidP="004634E5">
            <w:pPr>
              <w:jc w:val="center"/>
              <w:rPr>
                <w:lang w:val="lt-LT"/>
              </w:rPr>
            </w:pPr>
            <w:r w:rsidRPr="0000003C">
              <w:rPr>
                <w:lang w:val="lt-LT"/>
              </w:rPr>
              <w:t>XII.</w:t>
            </w:r>
          </w:p>
        </w:tc>
        <w:tc>
          <w:tcPr>
            <w:tcW w:w="2268" w:type="dxa"/>
            <w:tcBorders>
              <w:top w:val="nil"/>
              <w:left w:val="nil"/>
              <w:bottom w:val="single" w:sz="4" w:space="0" w:color="auto"/>
              <w:right w:val="single" w:sz="4" w:space="0" w:color="auto"/>
            </w:tcBorders>
            <w:shd w:val="clear" w:color="auto" w:fill="auto"/>
            <w:hideMark/>
          </w:tcPr>
          <w:p w:rsidR="00E1617D" w:rsidRPr="0000003C" w:rsidRDefault="00E1617D" w:rsidP="0027771F">
            <w:pPr>
              <w:rPr>
                <w:lang w:val="lt-LT"/>
              </w:rPr>
            </w:pPr>
            <w:r w:rsidRPr="0000003C">
              <w:rPr>
                <w:lang w:val="lt-LT"/>
              </w:rPr>
              <w:t>PELNO MOKESTIS</w:t>
            </w:r>
          </w:p>
        </w:tc>
        <w:tc>
          <w:tcPr>
            <w:tcW w:w="1134"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3</w:t>
            </w:r>
          </w:p>
        </w:tc>
        <w:tc>
          <w:tcPr>
            <w:tcW w:w="99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jc w:val="center"/>
              <w:rPr>
                <w:b/>
                <w:bCs/>
                <w:lang w:val="lt-LT"/>
              </w:rPr>
            </w:pPr>
            <w:r w:rsidRPr="0000003C">
              <w:rPr>
                <w:b/>
                <w:bCs/>
                <w:lang w:val="lt-LT"/>
              </w:rPr>
              <w:t>331</w:t>
            </w:r>
          </w:p>
        </w:tc>
        <w:tc>
          <w:tcPr>
            <w:tcW w:w="2552" w:type="dxa"/>
            <w:tcBorders>
              <w:top w:val="nil"/>
              <w:left w:val="nil"/>
              <w:bottom w:val="single" w:sz="4" w:space="0" w:color="auto"/>
              <w:right w:val="single" w:sz="4" w:space="0" w:color="auto"/>
            </w:tcBorders>
            <w:shd w:val="clear" w:color="auto" w:fill="auto"/>
            <w:noWrap/>
            <w:hideMark/>
          </w:tcPr>
          <w:p w:rsidR="00E1617D" w:rsidRPr="0000003C" w:rsidRDefault="00E1617D" w:rsidP="0027771F">
            <w:pPr>
              <w:rPr>
                <w:lang w:val="lt-LT"/>
              </w:rPr>
            </w:pPr>
            <w:r w:rsidRPr="0000003C">
              <w:rPr>
                <w:lang w:val="lt-LT"/>
              </w:rPr>
              <w:t>Svarbus, naudojami apskaitiniai įver</w:t>
            </w:r>
            <w:r>
              <w:rPr>
                <w:lang w:val="lt-LT"/>
              </w:rPr>
              <w:t>čiai</w:t>
            </w:r>
            <w:r w:rsidRPr="0000003C">
              <w:rPr>
                <w:lang w:val="lt-LT"/>
              </w:rPr>
              <w:t xml:space="preserve"> (f</w:t>
            </w:r>
            <w:r>
              <w:rPr>
                <w:lang w:val="lt-LT"/>
              </w:rPr>
              <w:t>/</w:t>
            </w:r>
            <w:r w:rsidRPr="0000003C">
              <w:rPr>
                <w:lang w:val="lt-LT"/>
              </w:rPr>
              <w:t>a</w:t>
            </w:r>
            <w:r>
              <w:rPr>
                <w:lang w:val="lt-LT"/>
              </w:rPr>
              <w:t xml:space="preserve"> </w:t>
            </w:r>
            <w:r w:rsidRPr="0000003C">
              <w:rPr>
                <w:lang w:val="lt-LT"/>
              </w:rPr>
              <w:t>sudarymo procesas)</w:t>
            </w:r>
            <w:r>
              <w:rPr>
                <w:lang w:val="lt-LT"/>
              </w:rPr>
              <w:t xml:space="preserve"> (žr. atidėtieji mokesčiai)</w:t>
            </w:r>
          </w:p>
        </w:tc>
        <w:tc>
          <w:tcPr>
            <w:tcW w:w="567" w:type="dxa"/>
            <w:tcBorders>
              <w:top w:val="nil"/>
              <w:left w:val="nil"/>
              <w:bottom w:val="single" w:sz="4" w:space="0" w:color="auto"/>
              <w:right w:val="single" w:sz="4" w:space="0" w:color="auto"/>
            </w:tcBorders>
          </w:tcPr>
          <w:p w:rsidR="00E1617D" w:rsidRPr="0000003C" w:rsidRDefault="00E1617D" w:rsidP="0027771F">
            <w:pPr>
              <w:rPr>
                <w:lang w:val="lt-LT"/>
              </w:rPr>
            </w:pPr>
            <w:r w:rsidRPr="0000003C">
              <w:rPr>
                <w:lang w:val="lt-LT"/>
              </w:rPr>
              <w:t>X</w:t>
            </w:r>
          </w:p>
        </w:tc>
      </w:tr>
      <w:tr w:rsidR="00E1617D" w:rsidRPr="0000003C" w:rsidTr="00E1617D">
        <w:trPr>
          <w:trHeight w:val="375"/>
        </w:trPr>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1617D" w:rsidRPr="0000003C" w:rsidRDefault="00E1617D" w:rsidP="004634E5">
            <w:pPr>
              <w:jc w:val="center"/>
              <w:rPr>
                <w:b/>
                <w:bCs/>
                <w:lang w:val="lt-LT"/>
              </w:rPr>
            </w:pPr>
            <w:r w:rsidRPr="0000003C">
              <w:rPr>
                <w:b/>
                <w:bCs/>
                <w:lang w:val="lt-LT"/>
              </w:rPr>
              <w:t>XIII.</w:t>
            </w:r>
          </w:p>
        </w:tc>
        <w:tc>
          <w:tcPr>
            <w:tcW w:w="2268" w:type="dxa"/>
            <w:tcBorders>
              <w:top w:val="single" w:sz="4" w:space="0" w:color="auto"/>
              <w:left w:val="nil"/>
              <w:bottom w:val="single" w:sz="4" w:space="0" w:color="auto"/>
              <w:right w:val="single" w:sz="4" w:space="0" w:color="auto"/>
            </w:tcBorders>
            <w:shd w:val="clear" w:color="auto" w:fill="A6A6A6" w:themeFill="background1" w:themeFillShade="A6"/>
            <w:noWrap/>
            <w:hideMark/>
          </w:tcPr>
          <w:p w:rsidR="00E1617D" w:rsidRPr="0000003C" w:rsidRDefault="00E1617D" w:rsidP="0027771F">
            <w:pPr>
              <w:rPr>
                <w:b/>
                <w:bCs/>
                <w:lang w:val="lt-LT"/>
              </w:rPr>
            </w:pPr>
            <w:r w:rsidRPr="0000003C">
              <w:rPr>
                <w:b/>
                <w:bCs/>
                <w:lang w:val="lt-LT"/>
              </w:rPr>
              <w:t>GRYNASIS PELNAS (NUOSTOLIAI)</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noWrap/>
            <w:hideMark/>
          </w:tcPr>
          <w:p w:rsidR="00E1617D" w:rsidRPr="0000003C" w:rsidRDefault="00E1617D" w:rsidP="0027771F">
            <w:pPr>
              <w:jc w:val="center"/>
              <w:rPr>
                <w:b/>
                <w:bCs/>
                <w:lang w:val="lt-LT"/>
              </w:rPr>
            </w:pPr>
            <w:r w:rsidRPr="0000003C">
              <w:rPr>
                <w:b/>
                <w:bCs/>
                <w:lang w:val="lt-LT"/>
              </w:rPr>
              <w:t>460</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noWrap/>
            <w:hideMark/>
          </w:tcPr>
          <w:p w:rsidR="00E1617D" w:rsidRPr="0000003C" w:rsidRDefault="00E1617D" w:rsidP="0027771F">
            <w:pPr>
              <w:jc w:val="center"/>
              <w:rPr>
                <w:b/>
                <w:bCs/>
                <w:lang w:val="lt-LT"/>
              </w:rPr>
            </w:pPr>
            <w:r w:rsidRPr="0000003C">
              <w:rPr>
                <w:b/>
                <w:bCs/>
                <w:lang w:val="lt-LT"/>
              </w:rPr>
              <w:t>1</w:t>
            </w:r>
            <w:r w:rsidR="00884A1E">
              <w:rPr>
                <w:b/>
                <w:bCs/>
                <w:lang w:val="lt-LT"/>
              </w:rPr>
              <w:t xml:space="preserve"> </w:t>
            </w:r>
            <w:r w:rsidRPr="0000003C">
              <w:rPr>
                <w:b/>
                <w:bCs/>
                <w:lang w:val="lt-LT"/>
              </w:rPr>
              <w:t>239</w:t>
            </w:r>
          </w:p>
        </w:tc>
        <w:tc>
          <w:tcPr>
            <w:tcW w:w="2552" w:type="dxa"/>
            <w:tcBorders>
              <w:top w:val="single" w:sz="4" w:space="0" w:color="auto"/>
              <w:left w:val="nil"/>
              <w:bottom w:val="single" w:sz="4" w:space="0" w:color="auto"/>
              <w:right w:val="single" w:sz="4" w:space="0" w:color="auto"/>
            </w:tcBorders>
            <w:shd w:val="clear" w:color="auto" w:fill="A6A6A6" w:themeFill="background1" w:themeFillShade="A6"/>
            <w:noWrap/>
            <w:hideMark/>
          </w:tcPr>
          <w:p w:rsidR="00E1617D" w:rsidRPr="0000003C" w:rsidRDefault="00E1617D" w:rsidP="0027771F">
            <w:pPr>
              <w:rPr>
                <w:b/>
                <w:bCs/>
                <w:lang w:val="lt-LT"/>
              </w:rPr>
            </w:pPr>
            <w:r w:rsidRPr="0000003C">
              <w:rPr>
                <w:b/>
                <w:bCs/>
                <w:lang w:val="lt-LT"/>
              </w:rPr>
              <w:t> </w:t>
            </w:r>
          </w:p>
        </w:tc>
        <w:tc>
          <w:tcPr>
            <w:tcW w:w="567" w:type="dxa"/>
            <w:tcBorders>
              <w:top w:val="single" w:sz="4" w:space="0" w:color="auto"/>
              <w:left w:val="nil"/>
              <w:bottom w:val="single" w:sz="4" w:space="0" w:color="auto"/>
              <w:right w:val="single" w:sz="4" w:space="0" w:color="auto"/>
            </w:tcBorders>
            <w:shd w:val="clear" w:color="auto" w:fill="A6A6A6" w:themeFill="background1" w:themeFillShade="A6"/>
          </w:tcPr>
          <w:p w:rsidR="00E1617D" w:rsidRPr="0000003C" w:rsidRDefault="00E1617D" w:rsidP="0027771F">
            <w:pPr>
              <w:rPr>
                <w:b/>
                <w:bCs/>
                <w:lang w:val="lt-LT"/>
              </w:rPr>
            </w:pPr>
          </w:p>
        </w:tc>
      </w:tr>
    </w:tbl>
    <w:p w:rsidR="00E1617D" w:rsidRPr="000F65D5" w:rsidRDefault="00E1617D" w:rsidP="00E1617D">
      <w:pPr>
        <w:pStyle w:val="NormalWeb"/>
        <w:spacing w:before="0" w:beforeAutospacing="0" w:after="0" w:afterAutospacing="0"/>
        <w:jc w:val="both"/>
        <w:rPr>
          <w:sz w:val="20"/>
          <w:szCs w:val="20"/>
          <w:lang w:val="lt-LT"/>
        </w:rPr>
      </w:pPr>
      <w:r w:rsidRPr="000F65D5">
        <w:rPr>
          <w:sz w:val="20"/>
          <w:szCs w:val="20"/>
          <w:lang w:val="lt-LT"/>
        </w:rPr>
        <w:t>Pastaba</w:t>
      </w:r>
      <w:r>
        <w:rPr>
          <w:sz w:val="20"/>
          <w:szCs w:val="20"/>
          <w:lang w:val="lt-LT"/>
        </w:rPr>
        <w:t>:</w:t>
      </w:r>
      <w:r w:rsidRPr="000F65D5">
        <w:rPr>
          <w:sz w:val="20"/>
          <w:szCs w:val="20"/>
          <w:lang w:val="lt-LT"/>
        </w:rPr>
        <w:t xml:space="preserve"> </w:t>
      </w:r>
      <w:r>
        <w:rPr>
          <w:sz w:val="20"/>
          <w:szCs w:val="20"/>
          <w:lang w:val="lt-LT"/>
        </w:rPr>
        <w:t>Susijęs t</w:t>
      </w:r>
      <w:r w:rsidRPr="000F65D5">
        <w:rPr>
          <w:sz w:val="20"/>
          <w:szCs w:val="20"/>
          <w:lang w:val="lt-LT"/>
        </w:rPr>
        <w:t>virtinima</w:t>
      </w:r>
      <w:r>
        <w:rPr>
          <w:sz w:val="20"/>
          <w:szCs w:val="20"/>
          <w:lang w:val="lt-LT"/>
        </w:rPr>
        <w:t>s</w:t>
      </w:r>
      <w:r w:rsidRPr="000F65D5">
        <w:rPr>
          <w:sz w:val="20"/>
          <w:szCs w:val="20"/>
          <w:lang w:val="lt-LT"/>
        </w:rPr>
        <w:t xml:space="preserve">: </w:t>
      </w:r>
      <w:r>
        <w:rPr>
          <w:sz w:val="20"/>
          <w:szCs w:val="20"/>
          <w:lang w:val="lt-LT"/>
        </w:rPr>
        <w:t>tikslumas (T).</w:t>
      </w:r>
    </w:p>
    <w:p w:rsidR="00594CF5" w:rsidRPr="002831E4" w:rsidRDefault="00594CF5" w:rsidP="00E1617D">
      <w:pPr>
        <w:pStyle w:val="NormalWeb"/>
        <w:spacing w:before="0" w:beforeAutospacing="0" w:after="0" w:afterAutospacing="0"/>
        <w:jc w:val="both"/>
        <w:rPr>
          <w:sz w:val="20"/>
          <w:szCs w:val="20"/>
          <w:lang w:val="lt-LT"/>
        </w:rPr>
      </w:pPr>
      <w:r w:rsidRPr="002831E4">
        <w:rPr>
          <w:sz w:val="20"/>
          <w:szCs w:val="20"/>
          <w:lang w:val="lt-LT"/>
        </w:rPr>
        <w:t>Šaltinis:</w:t>
      </w:r>
      <w:r>
        <w:rPr>
          <w:sz w:val="20"/>
          <w:szCs w:val="20"/>
          <w:lang w:val="lt-LT"/>
        </w:rPr>
        <w:t xml:space="preserve"> sudaryta autorės, remiantis UAB „Žuvila“ 2008 metų finansinėmis ataskaitomis.</w:t>
      </w:r>
    </w:p>
    <w:p w:rsidR="00223ACB" w:rsidRPr="0027771F" w:rsidRDefault="00282C1F" w:rsidP="00E1617D">
      <w:pPr>
        <w:pStyle w:val="NormalWeb"/>
        <w:spacing w:before="240" w:beforeAutospacing="0" w:after="0" w:afterAutospacing="0" w:line="360" w:lineRule="auto"/>
        <w:ind w:firstLine="720"/>
        <w:jc w:val="both"/>
        <w:rPr>
          <w:sz w:val="26"/>
          <w:szCs w:val="26"/>
          <w:lang w:val="lt-LT"/>
        </w:rPr>
      </w:pPr>
      <w:r w:rsidRPr="0027771F">
        <w:rPr>
          <w:sz w:val="26"/>
          <w:szCs w:val="26"/>
          <w:lang w:val="lt-LT"/>
        </w:rPr>
        <w:t xml:space="preserve">Toliau svarbu </w:t>
      </w:r>
      <w:r w:rsidR="00D64870">
        <w:rPr>
          <w:sz w:val="26"/>
          <w:szCs w:val="26"/>
          <w:lang w:val="lt-LT"/>
        </w:rPr>
        <w:t>ištirti</w:t>
      </w:r>
      <w:r w:rsidR="00223ACB" w:rsidRPr="0027771F">
        <w:rPr>
          <w:sz w:val="26"/>
          <w:szCs w:val="26"/>
          <w:lang w:val="lt-LT"/>
        </w:rPr>
        <w:t xml:space="preserve"> pagrindinius UAB „</w:t>
      </w:r>
      <w:r w:rsidRPr="0027771F">
        <w:rPr>
          <w:sz w:val="26"/>
          <w:szCs w:val="26"/>
          <w:lang w:val="lt-LT"/>
        </w:rPr>
        <w:t>Žuvila</w:t>
      </w:r>
      <w:r w:rsidR="00223ACB" w:rsidRPr="0027771F">
        <w:rPr>
          <w:sz w:val="26"/>
          <w:szCs w:val="26"/>
          <w:lang w:val="lt-LT"/>
        </w:rPr>
        <w:t xml:space="preserve">“ </w:t>
      </w:r>
      <w:r w:rsidR="004C156A" w:rsidRPr="0027771F">
        <w:rPr>
          <w:sz w:val="26"/>
          <w:szCs w:val="26"/>
          <w:lang w:val="lt-LT"/>
        </w:rPr>
        <w:t xml:space="preserve">apskaitos </w:t>
      </w:r>
      <w:r w:rsidR="00223ACB" w:rsidRPr="0027771F">
        <w:rPr>
          <w:sz w:val="26"/>
          <w:szCs w:val="26"/>
          <w:lang w:val="lt-LT"/>
        </w:rPr>
        <w:t>procesus ir jose veikiančias kontrolės procedūras</w:t>
      </w:r>
      <w:r w:rsidRPr="0027771F">
        <w:rPr>
          <w:sz w:val="26"/>
          <w:szCs w:val="26"/>
          <w:lang w:val="lt-LT"/>
        </w:rPr>
        <w:t xml:space="preserve"> ir, ar jų dėka įmonė </w:t>
      </w:r>
      <w:r w:rsidR="00FE051D" w:rsidRPr="0027771F">
        <w:rPr>
          <w:sz w:val="26"/>
          <w:szCs w:val="26"/>
          <w:lang w:val="lt-LT"/>
        </w:rPr>
        <w:t xml:space="preserve">pati </w:t>
      </w:r>
      <w:r w:rsidRPr="0027771F">
        <w:rPr>
          <w:sz w:val="26"/>
          <w:szCs w:val="26"/>
          <w:lang w:val="lt-LT"/>
        </w:rPr>
        <w:t>yra pajėgi surasti iškraipymus ir nuo jų apsisaugoti</w:t>
      </w:r>
      <w:r w:rsidR="00223ACB" w:rsidRPr="0027771F">
        <w:rPr>
          <w:sz w:val="26"/>
          <w:szCs w:val="26"/>
          <w:lang w:val="lt-LT"/>
        </w:rPr>
        <w:t xml:space="preserve">. </w:t>
      </w:r>
      <w:r w:rsidR="001259E5" w:rsidRPr="0027771F">
        <w:rPr>
          <w:sz w:val="26"/>
          <w:szCs w:val="26"/>
          <w:lang w:val="lt-LT"/>
        </w:rPr>
        <w:t>S</w:t>
      </w:r>
      <w:r w:rsidR="00223ACB" w:rsidRPr="0027771F">
        <w:rPr>
          <w:sz w:val="26"/>
          <w:szCs w:val="26"/>
          <w:lang w:val="lt-LT"/>
        </w:rPr>
        <w:t xml:space="preserve">varbiausi </w:t>
      </w:r>
      <w:r w:rsidRPr="0027771F">
        <w:rPr>
          <w:sz w:val="26"/>
          <w:szCs w:val="26"/>
          <w:lang w:val="lt-LT"/>
        </w:rPr>
        <w:t xml:space="preserve">UAB „Žuvila“ </w:t>
      </w:r>
      <w:r w:rsidR="00223ACB" w:rsidRPr="0027771F">
        <w:rPr>
          <w:sz w:val="26"/>
          <w:szCs w:val="26"/>
          <w:lang w:val="lt-LT"/>
        </w:rPr>
        <w:t>apskaitos proces</w:t>
      </w:r>
      <w:r w:rsidR="00527657" w:rsidRPr="0027771F">
        <w:rPr>
          <w:sz w:val="26"/>
          <w:szCs w:val="26"/>
          <w:lang w:val="lt-LT"/>
        </w:rPr>
        <w:t>ai</w:t>
      </w:r>
      <w:r w:rsidR="00223ACB" w:rsidRPr="0027771F">
        <w:rPr>
          <w:sz w:val="26"/>
          <w:szCs w:val="26"/>
          <w:lang w:val="lt-LT"/>
        </w:rPr>
        <w:t>: 1)</w:t>
      </w:r>
      <w:r w:rsidR="00973556">
        <w:rPr>
          <w:sz w:val="26"/>
          <w:szCs w:val="26"/>
          <w:lang w:val="lt-LT"/>
        </w:rPr>
        <w:t> </w:t>
      </w:r>
      <w:r w:rsidR="00223ACB" w:rsidRPr="0027771F">
        <w:rPr>
          <w:sz w:val="26"/>
          <w:szCs w:val="26"/>
          <w:lang w:val="lt-LT"/>
        </w:rPr>
        <w:t>pirkimų, 2)</w:t>
      </w:r>
      <w:r w:rsidR="00973556">
        <w:rPr>
          <w:sz w:val="26"/>
          <w:szCs w:val="26"/>
          <w:lang w:val="lt-LT"/>
        </w:rPr>
        <w:t> </w:t>
      </w:r>
      <w:r w:rsidR="00B2290D" w:rsidRPr="0027771F">
        <w:rPr>
          <w:sz w:val="26"/>
          <w:szCs w:val="26"/>
          <w:lang w:val="lt-LT"/>
        </w:rPr>
        <w:t xml:space="preserve">gamybos ir </w:t>
      </w:r>
      <w:r w:rsidR="00223ACB" w:rsidRPr="0027771F">
        <w:rPr>
          <w:sz w:val="26"/>
          <w:szCs w:val="26"/>
          <w:lang w:val="lt-LT"/>
        </w:rPr>
        <w:t>pardavimo, 3)</w:t>
      </w:r>
      <w:r w:rsidR="00973556">
        <w:rPr>
          <w:sz w:val="26"/>
          <w:szCs w:val="26"/>
          <w:lang w:val="lt-LT"/>
        </w:rPr>
        <w:t> </w:t>
      </w:r>
      <w:r w:rsidR="00223ACB" w:rsidRPr="0027771F">
        <w:rPr>
          <w:sz w:val="26"/>
          <w:szCs w:val="26"/>
          <w:lang w:val="lt-LT"/>
        </w:rPr>
        <w:t>darbo apmokėjimo</w:t>
      </w:r>
      <w:r w:rsidR="00B2290D" w:rsidRPr="0027771F">
        <w:rPr>
          <w:sz w:val="26"/>
          <w:szCs w:val="26"/>
          <w:lang w:val="lt-LT"/>
        </w:rPr>
        <w:t xml:space="preserve"> ir </w:t>
      </w:r>
      <w:r w:rsidR="00313C2E">
        <w:rPr>
          <w:sz w:val="26"/>
          <w:szCs w:val="26"/>
          <w:lang w:val="lt-LT"/>
        </w:rPr>
        <w:t>4) </w:t>
      </w:r>
      <w:r w:rsidR="00223ACB" w:rsidRPr="0027771F">
        <w:rPr>
          <w:sz w:val="26"/>
          <w:szCs w:val="26"/>
          <w:lang w:val="lt-LT"/>
        </w:rPr>
        <w:t>finansinių ataskaitų sudarymo</w:t>
      </w:r>
      <w:r w:rsidR="00D64870">
        <w:rPr>
          <w:sz w:val="26"/>
          <w:szCs w:val="26"/>
          <w:lang w:val="lt-LT"/>
        </w:rPr>
        <w:t>,</w:t>
      </w:r>
      <w:r w:rsidR="001259E5" w:rsidRPr="0027771F">
        <w:rPr>
          <w:sz w:val="26"/>
          <w:szCs w:val="26"/>
          <w:lang w:val="lt-LT"/>
        </w:rPr>
        <w:t xml:space="preserve"> </w:t>
      </w:r>
      <w:r w:rsidR="00527657" w:rsidRPr="0027771F">
        <w:rPr>
          <w:sz w:val="26"/>
          <w:szCs w:val="26"/>
          <w:lang w:val="lt-LT"/>
        </w:rPr>
        <w:t xml:space="preserve">apibendrinti </w:t>
      </w:r>
      <w:r w:rsidR="00473ADA" w:rsidRPr="0027771F">
        <w:rPr>
          <w:sz w:val="26"/>
          <w:szCs w:val="26"/>
          <w:lang w:val="lt-LT"/>
        </w:rPr>
        <w:t>3</w:t>
      </w:r>
      <w:r w:rsidR="00036530">
        <w:rPr>
          <w:sz w:val="26"/>
          <w:szCs w:val="26"/>
          <w:lang w:val="lt-LT"/>
        </w:rPr>
        <w:t>6</w:t>
      </w:r>
      <w:r w:rsidR="00527657" w:rsidRPr="0027771F">
        <w:rPr>
          <w:sz w:val="26"/>
          <w:szCs w:val="26"/>
          <w:lang w:val="lt-LT"/>
        </w:rPr>
        <w:t xml:space="preserve"> lentelėje.</w:t>
      </w:r>
    </w:p>
    <w:p w:rsidR="00223ACB" w:rsidRPr="0027771F" w:rsidRDefault="00473ADA" w:rsidP="00124FE0">
      <w:pPr>
        <w:ind w:firstLine="720"/>
        <w:jc w:val="right"/>
        <w:rPr>
          <w:i/>
          <w:sz w:val="26"/>
          <w:szCs w:val="26"/>
          <w:lang w:val="lt-LT"/>
        </w:rPr>
      </w:pPr>
      <w:r w:rsidRPr="0027771F">
        <w:rPr>
          <w:i/>
          <w:sz w:val="26"/>
          <w:szCs w:val="26"/>
          <w:lang w:val="lt-LT"/>
        </w:rPr>
        <w:lastRenderedPageBreak/>
        <w:t>3</w:t>
      </w:r>
      <w:r w:rsidR="00036530">
        <w:rPr>
          <w:i/>
          <w:sz w:val="26"/>
          <w:szCs w:val="26"/>
          <w:lang w:val="lt-LT"/>
        </w:rPr>
        <w:t>6</w:t>
      </w:r>
      <w:r w:rsidR="00223ACB" w:rsidRPr="0027771F">
        <w:rPr>
          <w:i/>
          <w:sz w:val="26"/>
          <w:szCs w:val="26"/>
          <w:lang w:val="lt-LT"/>
        </w:rPr>
        <w:t xml:space="preserve"> lentelė</w:t>
      </w:r>
    </w:p>
    <w:p w:rsidR="00223ACB" w:rsidRPr="0027771F" w:rsidRDefault="00124FE0" w:rsidP="00124FE0">
      <w:pPr>
        <w:pStyle w:val="NormalWeb"/>
        <w:spacing w:before="0" w:beforeAutospacing="0" w:after="0" w:afterAutospacing="0"/>
        <w:ind w:firstLine="720"/>
        <w:jc w:val="center"/>
        <w:rPr>
          <w:sz w:val="26"/>
          <w:szCs w:val="26"/>
          <w:lang w:val="lt-LT"/>
        </w:rPr>
      </w:pPr>
      <w:r>
        <w:rPr>
          <w:b/>
          <w:sz w:val="26"/>
          <w:szCs w:val="26"/>
          <w:lang w:val="lt-LT"/>
        </w:rPr>
        <w:t>K</w:t>
      </w:r>
      <w:r w:rsidRPr="0027771F">
        <w:rPr>
          <w:b/>
          <w:sz w:val="26"/>
          <w:szCs w:val="26"/>
          <w:lang w:val="lt-LT"/>
        </w:rPr>
        <w:t>ontrolės procedūr</w:t>
      </w:r>
      <w:r>
        <w:rPr>
          <w:b/>
          <w:sz w:val="26"/>
          <w:szCs w:val="26"/>
          <w:lang w:val="lt-LT"/>
        </w:rPr>
        <w:t>os</w:t>
      </w:r>
      <w:r w:rsidRPr="0027771F">
        <w:rPr>
          <w:b/>
          <w:sz w:val="26"/>
          <w:szCs w:val="26"/>
          <w:lang w:val="lt-LT"/>
        </w:rPr>
        <w:t xml:space="preserve"> </w:t>
      </w:r>
      <w:r w:rsidR="00223ACB" w:rsidRPr="0027771F">
        <w:rPr>
          <w:b/>
          <w:sz w:val="26"/>
          <w:szCs w:val="26"/>
          <w:lang w:val="lt-LT"/>
        </w:rPr>
        <w:t>UAB „</w:t>
      </w:r>
      <w:r w:rsidR="008477A6" w:rsidRPr="0027771F">
        <w:rPr>
          <w:b/>
          <w:sz w:val="26"/>
          <w:szCs w:val="26"/>
          <w:lang w:val="lt-LT"/>
        </w:rPr>
        <w:t>Žuvila</w:t>
      </w:r>
      <w:r w:rsidR="00223ACB" w:rsidRPr="0027771F">
        <w:rPr>
          <w:b/>
          <w:sz w:val="26"/>
          <w:szCs w:val="26"/>
          <w:lang w:val="lt-LT"/>
        </w:rPr>
        <w:t>“ apskaitos proces</w:t>
      </w:r>
      <w:r>
        <w:rPr>
          <w:b/>
          <w:sz w:val="26"/>
          <w:szCs w:val="26"/>
          <w:lang w:val="lt-LT"/>
        </w:rPr>
        <w:t>uose</w:t>
      </w:r>
    </w:p>
    <w:tbl>
      <w:tblPr>
        <w:tblStyle w:val="TableGrid"/>
        <w:tblW w:w="0" w:type="auto"/>
        <w:jc w:val="center"/>
        <w:tblInd w:w="168" w:type="dxa"/>
        <w:tblLook w:val="04A0"/>
      </w:tblPr>
      <w:tblGrid>
        <w:gridCol w:w="1316"/>
        <w:gridCol w:w="5670"/>
        <w:gridCol w:w="1329"/>
      </w:tblGrid>
      <w:tr w:rsidR="00223ACB" w:rsidRPr="00313C2E" w:rsidTr="000D5B81">
        <w:trPr>
          <w:jc w:val="center"/>
        </w:trPr>
        <w:tc>
          <w:tcPr>
            <w:tcW w:w="1272" w:type="dxa"/>
          </w:tcPr>
          <w:p w:rsidR="00223ACB" w:rsidRPr="00313C2E" w:rsidRDefault="00223ACB" w:rsidP="004634E5">
            <w:pPr>
              <w:pStyle w:val="NormalWeb"/>
              <w:spacing w:before="0" w:beforeAutospacing="0" w:after="0" w:afterAutospacing="0"/>
              <w:jc w:val="center"/>
              <w:rPr>
                <w:b/>
                <w:sz w:val="22"/>
                <w:szCs w:val="22"/>
                <w:lang w:val="lt-LT"/>
              </w:rPr>
            </w:pPr>
            <w:r w:rsidRPr="00313C2E">
              <w:rPr>
                <w:b/>
                <w:sz w:val="22"/>
                <w:szCs w:val="22"/>
                <w:lang w:val="lt-LT"/>
              </w:rPr>
              <w:t>Įmonės procesas</w:t>
            </w:r>
          </w:p>
        </w:tc>
        <w:tc>
          <w:tcPr>
            <w:tcW w:w="5670" w:type="dxa"/>
          </w:tcPr>
          <w:p w:rsidR="00223ACB" w:rsidRPr="00313C2E" w:rsidRDefault="00223ACB" w:rsidP="004634E5">
            <w:pPr>
              <w:pStyle w:val="NormalWeb"/>
              <w:spacing w:before="0" w:beforeAutospacing="0" w:after="0" w:afterAutospacing="0"/>
              <w:jc w:val="center"/>
              <w:rPr>
                <w:b/>
                <w:sz w:val="22"/>
                <w:szCs w:val="22"/>
                <w:lang w:val="lt-LT"/>
              </w:rPr>
            </w:pPr>
            <w:r w:rsidRPr="00313C2E">
              <w:rPr>
                <w:b/>
                <w:sz w:val="22"/>
                <w:szCs w:val="22"/>
                <w:lang w:val="lt-LT"/>
              </w:rPr>
              <w:t>Kontrolės procedūros</w:t>
            </w:r>
          </w:p>
        </w:tc>
        <w:tc>
          <w:tcPr>
            <w:tcW w:w="1329" w:type="dxa"/>
          </w:tcPr>
          <w:p w:rsidR="00223ACB" w:rsidRPr="00313C2E" w:rsidRDefault="00223ACB" w:rsidP="004634E5">
            <w:pPr>
              <w:pStyle w:val="NormalWeb"/>
              <w:spacing w:before="0" w:beforeAutospacing="0" w:after="0" w:afterAutospacing="0"/>
              <w:jc w:val="center"/>
              <w:rPr>
                <w:b/>
                <w:sz w:val="22"/>
                <w:szCs w:val="22"/>
                <w:lang w:val="lt-LT"/>
              </w:rPr>
            </w:pPr>
            <w:r w:rsidRPr="00313C2E">
              <w:rPr>
                <w:b/>
                <w:sz w:val="22"/>
                <w:szCs w:val="22"/>
                <w:lang w:val="lt-LT"/>
              </w:rPr>
              <w:t>Išvada apie procesą</w:t>
            </w:r>
          </w:p>
        </w:tc>
      </w:tr>
      <w:tr w:rsidR="00223ACB" w:rsidRPr="00313C2E" w:rsidTr="000D5B81">
        <w:trPr>
          <w:jc w:val="center"/>
        </w:trPr>
        <w:tc>
          <w:tcPr>
            <w:tcW w:w="1272" w:type="dxa"/>
          </w:tcPr>
          <w:p w:rsidR="00223ACB" w:rsidRPr="00313C2E" w:rsidRDefault="00223ACB" w:rsidP="004634E5">
            <w:pPr>
              <w:pStyle w:val="NormalWeb"/>
              <w:spacing w:before="0" w:beforeAutospacing="0" w:after="0" w:afterAutospacing="0"/>
              <w:jc w:val="both"/>
              <w:rPr>
                <w:sz w:val="22"/>
                <w:szCs w:val="22"/>
                <w:lang w:val="lt-LT"/>
              </w:rPr>
            </w:pPr>
            <w:r w:rsidRPr="00313C2E">
              <w:rPr>
                <w:sz w:val="22"/>
                <w:szCs w:val="22"/>
                <w:lang w:val="lt-LT"/>
              </w:rPr>
              <w:t xml:space="preserve">Pirkimų </w:t>
            </w:r>
          </w:p>
        </w:tc>
        <w:tc>
          <w:tcPr>
            <w:tcW w:w="5670" w:type="dxa"/>
          </w:tcPr>
          <w:p w:rsidR="00223ACB" w:rsidRPr="00313C2E" w:rsidRDefault="00223ACB" w:rsidP="004634E5">
            <w:pPr>
              <w:pStyle w:val="NormalWeb"/>
              <w:spacing w:before="0" w:beforeAutospacing="0" w:after="0" w:afterAutospacing="0"/>
              <w:rPr>
                <w:sz w:val="22"/>
                <w:szCs w:val="22"/>
                <w:lang w:val="lt-LT"/>
              </w:rPr>
            </w:pPr>
            <w:r w:rsidRPr="00313C2E">
              <w:rPr>
                <w:sz w:val="22"/>
                <w:szCs w:val="22"/>
                <w:lang w:val="lt-LT"/>
              </w:rPr>
              <w:t xml:space="preserve">1. </w:t>
            </w:r>
            <w:r w:rsidR="008477A6" w:rsidRPr="00313C2E">
              <w:rPr>
                <w:sz w:val="22"/>
                <w:szCs w:val="22"/>
                <w:lang w:val="lt-LT"/>
              </w:rPr>
              <w:t>Gautos atsargos yra nuskanuojamos į sandėlio apskaitos programą, kuri automatiškai</w:t>
            </w:r>
            <w:r w:rsidR="002B7422" w:rsidRPr="00313C2E">
              <w:rPr>
                <w:sz w:val="22"/>
                <w:szCs w:val="22"/>
                <w:lang w:val="lt-LT"/>
              </w:rPr>
              <w:t xml:space="preserve"> p</w:t>
            </w:r>
            <w:r w:rsidR="00D64870">
              <w:rPr>
                <w:sz w:val="22"/>
                <w:szCs w:val="22"/>
                <w:lang w:val="lt-LT"/>
              </w:rPr>
              <w:t xml:space="preserve">ersiunčia </w:t>
            </w:r>
            <w:r w:rsidR="002B7422" w:rsidRPr="00313C2E">
              <w:rPr>
                <w:sz w:val="22"/>
                <w:szCs w:val="22"/>
                <w:lang w:val="lt-LT"/>
              </w:rPr>
              <w:t xml:space="preserve">duomenis </w:t>
            </w:r>
            <w:r w:rsidR="00D64870">
              <w:rPr>
                <w:sz w:val="22"/>
                <w:szCs w:val="22"/>
                <w:lang w:val="lt-LT"/>
              </w:rPr>
              <w:t>į buhalterinės apskaitos programą</w:t>
            </w:r>
            <w:r w:rsidR="008477A6" w:rsidRPr="00313C2E">
              <w:rPr>
                <w:sz w:val="22"/>
                <w:szCs w:val="22"/>
                <w:lang w:val="lt-LT"/>
              </w:rPr>
              <w:t>.</w:t>
            </w:r>
          </w:p>
          <w:p w:rsidR="008477A6" w:rsidRPr="00313C2E" w:rsidRDefault="00223ACB" w:rsidP="004634E5">
            <w:pPr>
              <w:pStyle w:val="NormalWeb"/>
              <w:spacing w:before="0" w:beforeAutospacing="0" w:after="0" w:afterAutospacing="0"/>
              <w:rPr>
                <w:sz w:val="22"/>
                <w:szCs w:val="22"/>
                <w:lang w:val="lt-LT"/>
              </w:rPr>
            </w:pPr>
            <w:r w:rsidRPr="00313C2E">
              <w:rPr>
                <w:sz w:val="22"/>
                <w:szCs w:val="22"/>
                <w:lang w:val="lt-LT"/>
              </w:rPr>
              <w:t xml:space="preserve">2. </w:t>
            </w:r>
            <w:r w:rsidR="008477A6" w:rsidRPr="00313C2E">
              <w:rPr>
                <w:sz w:val="22"/>
                <w:szCs w:val="22"/>
                <w:lang w:val="lt-LT"/>
              </w:rPr>
              <w:t>Atsargų inventorizacija atliekama kasmet.</w:t>
            </w:r>
          </w:p>
          <w:p w:rsidR="008477A6" w:rsidRPr="00313C2E" w:rsidRDefault="008477A6" w:rsidP="00B82110">
            <w:pPr>
              <w:pStyle w:val="NormalWeb"/>
              <w:spacing w:before="0" w:beforeAutospacing="0" w:after="0" w:afterAutospacing="0"/>
              <w:rPr>
                <w:sz w:val="22"/>
                <w:szCs w:val="22"/>
                <w:lang w:val="lt-LT"/>
              </w:rPr>
            </w:pPr>
            <w:r w:rsidRPr="00313C2E">
              <w:rPr>
                <w:sz w:val="22"/>
                <w:szCs w:val="22"/>
                <w:lang w:val="lt-LT"/>
              </w:rPr>
              <w:t xml:space="preserve">3. Pirkimų vadybininkas </w:t>
            </w:r>
            <w:r w:rsidR="00B82110" w:rsidRPr="00313C2E">
              <w:rPr>
                <w:sz w:val="22"/>
                <w:szCs w:val="22"/>
                <w:lang w:val="lt-LT"/>
              </w:rPr>
              <w:t xml:space="preserve">ant sąskaitos faktūros </w:t>
            </w:r>
            <w:r w:rsidRPr="00313C2E">
              <w:rPr>
                <w:sz w:val="22"/>
                <w:szCs w:val="22"/>
                <w:lang w:val="lt-LT"/>
              </w:rPr>
              <w:t xml:space="preserve">nurodo užsienio valiutos kursą </w:t>
            </w:r>
            <w:r w:rsidR="00B82110" w:rsidRPr="00313C2E">
              <w:rPr>
                <w:sz w:val="22"/>
                <w:szCs w:val="22"/>
                <w:lang w:val="lt-LT"/>
              </w:rPr>
              <w:t>ir</w:t>
            </w:r>
            <w:r w:rsidRPr="00313C2E">
              <w:rPr>
                <w:sz w:val="22"/>
                <w:szCs w:val="22"/>
                <w:lang w:val="lt-LT"/>
              </w:rPr>
              <w:t xml:space="preserve"> kada nuosavybės teisė į atsargas pereina pagal Incoterms sąlygas.</w:t>
            </w:r>
          </w:p>
          <w:p w:rsidR="00FC5C54" w:rsidRPr="00313C2E" w:rsidRDefault="00B82110" w:rsidP="008477A6">
            <w:pPr>
              <w:pStyle w:val="NormalWeb"/>
              <w:spacing w:before="0" w:beforeAutospacing="0" w:after="0" w:afterAutospacing="0"/>
              <w:rPr>
                <w:sz w:val="22"/>
                <w:szCs w:val="22"/>
                <w:lang w:val="lt-LT"/>
              </w:rPr>
            </w:pPr>
            <w:r w:rsidRPr="00313C2E">
              <w:rPr>
                <w:sz w:val="22"/>
                <w:szCs w:val="22"/>
                <w:lang w:val="lt-LT"/>
              </w:rPr>
              <w:t>4</w:t>
            </w:r>
            <w:r w:rsidR="00FC5C54" w:rsidRPr="00313C2E">
              <w:rPr>
                <w:sz w:val="22"/>
                <w:szCs w:val="22"/>
                <w:lang w:val="lt-LT"/>
              </w:rPr>
              <w:t>. Pirkim</w:t>
            </w:r>
            <w:r w:rsidR="00D64870">
              <w:rPr>
                <w:sz w:val="22"/>
                <w:szCs w:val="22"/>
                <w:lang w:val="lt-LT"/>
              </w:rPr>
              <w:t>ai</w:t>
            </w:r>
            <w:r w:rsidR="00FC5C54" w:rsidRPr="00313C2E">
              <w:rPr>
                <w:sz w:val="22"/>
                <w:szCs w:val="22"/>
                <w:lang w:val="lt-LT"/>
              </w:rPr>
              <w:t xml:space="preserve"> registruoja</w:t>
            </w:r>
            <w:r w:rsidR="00D64870">
              <w:rPr>
                <w:sz w:val="22"/>
                <w:szCs w:val="22"/>
                <w:lang w:val="lt-LT"/>
              </w:rPr>
              <w:t xml:space="preserve">mi </w:t>
            </w:r>
            <w:r w:rsidR="00FC5C54" w:rsidRPr="00313C2E">
              <w:rPr>
                <w:sz w:val="22"/>
                <w:szCs w:val="22"/>
                <w:lang w:val="lt-LT"/>
              </w:rPr>
              <w:t>pagal apskaitos programoje padarytą užsakymą.</w:t>
            </w:r>
          </w:p>
          <w:p w:rsidR="00223ACB" w:rsidRPr="00313C2E" w:rsidRDefault="00B82110" w:rsidP="00FC5C54">
            <w:pPr>
              <w:pStyle w:val="NormalWeb"/>
              <w:spacing w:before="0" w:beforeAutospacing="0" w:after="0" w:afterAutospacing="0"/>
              <w:rPr>
                <w:sz w:val="22"/>
                <w:szCs w:val="22"/>
                <w:lang w:val="lt-LT"/>
              </w:rPr>
            </w:pPr>
            <w:r w:rsidRPr="00313C2E">
              <w:rPr>
                <w:sz w:val="22"/>
                <w:szCs w:val="22"/>
                <w:lang w:val="lt-LT"/>
              </w:rPr>
              <w:t>5</w:t>
            </w:r>
            <w:r w:rsidR="00FC5C54" w:rsidRPr="00313C2E">
              <w:rPr>
                <w:sz w:val="22"/>
                <w:szCs w:val="22"/>
                <w:lang w:val="lt-LT"/>
              </w:rPr>
              <w:t>.</w:t>
            </w:r>
            <w:r w:rsidR="002B7422" w:rsidRPr="00313C2E">
              <w:rPr>
                <w:sz w:val="22"/>
                <w:szCs w:val="22"/>
                <w:lang w:val="lt-LT"/>
              </w:rPr>
              <w:t xml:space="preserve"> </w:t>
            </w:r>
            <w:r w:rsidR="00FC5C54" w:rsidRPr="00313C2E">
              <w:rPr>
                <w:sz w:val="22"/>
                <w:szCs w:val="22"/>
                <w:lang w:val="lt-LT"/>
              </w:rPr>
              <w:t>Suderinimai su tiekėjais daromi 2 kartus per metus.</w:t>
            </w:r>
          </w:p>
        </w:tc>
        <w:tc>
          <w:tcPr>
            <w:tcW w:w="1329" w:type="dxa"/>
            <w:vAlign w:val="center"/>
          </w:tcPr>
          <w:p w:rsidR="00223ACB" w:rsidRPr="00313C2E" w:rsidRDefault="00223ACB" w:rsidP="004634E5">
            <w:pPr>
              <w:pStyle w:val="NormalWeb"/>
              <w:spacing w:before="0" w:beforeAutospacing="0" w:after="0" w:afterAutospacing="0"/>
              <w:rPr>
                <w:sz w:val="22"/>
                <w:szCs w:val="22"/>
                <w:lang w:val="lt-LT"/>
              </w:rPr>
            </w:pPr>
            <w:r w:rsidRPr="00313C2E">
              <w:rPr>
                <w:sz w:val="22"/>
                <w:szCs w:val="22"/>
                <w:lang w:val="lt-LT"/>
              </w:rPr>
              <w:t>Yra sukurtos veiksmingos kontrolės procedūros, kad aptikti iškraipymus ir apsaugoti nuo jų.</w:t>
            </w:r>
          </w:p>
        </w:tc>
      </w:tr>
      <w:tr w:rsidR="00223ACB" w:rsidRPr="00313C2E" w:rsidTr="000D5B81">
        <w:trPr>
          <w:jc w:val="center"/>
        </w:trPr>
        <w:tc>
          <w:tcPr>
            <w:tcW w:w="1272" w:type="dxa"/>
          </w:tcPr>
          <w:p w:rsidR="00223ACB" w:rsidRPr="00313C2E" w:rsidRDefault="00194382" w:rsidP="00194382">
            <w:pPr>
              <w:pStyle w:val="NormalWeb"/>
              <w:spacing w:before="0" w:beforeAutospacing="0" w:after="0" w:afterAutospacing="0"/>
              <w:jc w:val="both"/>
              <w:rPr>
                <w:sz w:val="22"/>
                <w:szCs w:val="22"/>
                <w:lang w:val="lt-LT"/>
              </w:rPr>
            </w:pPr>
            <w:r w:rsidRPr="00313C2E">
              <w:rPr>
                <w:sz w:val="22"/>
                <w:szCs w:val="22"/>
                <w:lang w:val="lt-LT"/>
              </w:rPr>
              <w:t>Gamybos ir p</w:t>
            </w:r>
            <w:r w:rsidR="00223ACB" w:rsidRPr="00313C2E">
              <w:rPr>
                <w:sz w:val="22"/>
                <w:szCs w:val="22"/>
                <w:lang w:val="lt-LT"/>
              </w:rPr>
              <w:t>ardavimo</w:t>
            </w:r>
          </w:p>
        </w:tc>
        <w:tc>
          <w:tcPr>
            <w:tcW w:w="5670" w:type="dxa"/>
          </w:tcPr>
          <w:tbl>
            <w:tblPr>
              <w:tblW w:w="5000" w:type="pct"/>
              <w:tblCellSpacing w:w="0" w:type="dxa"/>
              <w:tblCellMar>
                <w:left w:w="0" w:type="dxa"/>
                <w:right w:w="0" w:type="dxa"/>
              </w:tblCellMar>
              <w:tblLook w:val="04A0"/>
            </w:tblPr>
            <w:tblGrid>
              <w:gridCol w:w="7"/>
              <w:gridCol w:w="5447"/>
            </w:tblGrid>
            <w:tr w:rsidR="00223ACB" w:rsidRPr="00313C2E" w:rsidTr="004634E5">
              <w:trPr>
                <w:tblCellSpacing w:w="0" w:type="dxa"/>
              </w:trPr>
              <w:tc>
                <w:tcPr>
                  <w:tcW w:w="0" w:type="auto"/>
                  <w:vAlign w:val="center"/>
                  <w:hideMark/>
                </w:tcPr>
                <w:p w:rsidR="00223ACB" w:rsidRPr="00313C2E" w:rsidRDefault="00223ACB" w:rsidP="004634E5">
                  <w:pPr>
                    <w:rPr>
                      <w:rFonts w:ascii="Arial" w:hAnsi="Arial" w:cs="Arial"/>
                      <w:sz w:val="22"/>
                      <w:szCs w:val="22"/>
                      <w:lang w:val="lt-LT"/>
                    </w:rPr>
                  </w:pPr>
                </w:p>
              </w:tc>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5447"/>
                  </w:tblGrid>
                  <w:tr w:rsidR="00223ACB" w:rsidRPr="00313C2E" w:rsidTr="004634E5">
                    <w:trPr>
                      <w:tblCellSpacing w:w="15" w:type="dxa"/>
                    </w:trPr>
                    <w:tc>
                      <w:tcPr>
                        <w:tcW w:w="0" w:type="auto"/>
                        <w:vAlign w:val="center"/>
                        <w:hideMark/>
                      </w:tcPr>
                      <w:p w:rsidR="00194382" w:rsidRPr="00313C2E" w:rsidRDefault="00223ACB" w:rsidP="004634E5">
                        <w:pPr>
                          <w:rPr>
                            <w:sz w:val="22"/>
                            <w:szCs w:val="22"/>
                            <w:lang w:val="lt-LT"/>
                          </w:rPr>
                        </w:pPr>
                        <w:r w:rsidRPr="00313C2E">
                          <w:rPr>
                            <w:sz w:val="22"/>
                            <w:szCs w:val="22"/>
                            <w:lang w:val="lt-LT"/>
                          </w:rPr>
                          <w:t>1. Atsakingas darbuotojas pa</w:t>
                        </w:r>
                        <w:r w:rsidR="00B2290D" w:rsidRPr="00313C2E">
                          <w:rPr>
                            <w:sz w:val="22"/>
                            <w:szCs w:val="22"/>
                            <w:lang w:val="lt-LT"/>
                          </w:rPr>
                          <w:t>tikrina, kad žaliavos perduotos iš sandėlio į gamybą, būtų teisi</w:t>
                        </w:r>
                        <w:r w:rsidR="00194382" w:rsidRPr="00313C2E">
                          <w:rPr>
                            <w:sz w:val="22"/>
                            <w:szCs w:val="22"/>
                            <w:lang w:val="lt-LT"/>
                          </w:rPr>
                          <w:t>n</w:t>
                        </w:r>
                        <w:r w:rsidR="00B2290D" w:rsidRPr="00313C2E">
                          <w:rPr>
                            <w:sz w:val="22"/>
                            <w:szCs w:val="22"/>
                            <w:lang w:val="lt-LT"/>
                          </w:rPr>
                          <w:t>gai už</w:t>
                        </w:r>
                        <w:r w:rsidR="00194382" w:rsidRPr="00313C2E">
                          <w:rPr>
                            <w:sz w:val="22"/>
                            <w:szCs w:val="22"/>
                            <w:lang w:val="lt-LT"/>
                          </w:rPr>
                          <w:t>r</w:t>
                        </w:r>
                        <w:r w:rsidR="00B2290D" w:rsidRPr="00313C2E">
                          <w:rPr>
                            <w:sz w:val="22"/>
                            <w:szCs w:val="22"/>
                            <w:lang w:val="lt-LT"/>
                          </w:rPr>
                          <w:t>egistr</w:t>
                        </w:r>
                        <w:r w:rsidR="00194382" w:rsidRPr="00313C2E">
                          <w:rPr>
                            <w:sz w:val="22"/>
                            <w:szCs w:val="22"/>
                            <w:lang w:val="lt-LT"/>
                          </w:rPr>
                          <w:t>uot</w:t>
                        </w:r>
                        <w:r w:rsidR="00B2290D" w:rsidRPr="00313C2E">
                          <w:rPr>
                            <w:sz w:val="22"/>
                            <w:szCs w:val="22"/>
                            <w:lang w:val="lt-LT"/>
                          </w:rPr>
                          <w:t xml:space="preserve">os buhalterinės apskaitos programoje, todėl </w:t>
                        </w:r>
                        <w:r w:rsidR="00194382" w:rsidRPr="00313C2E">
                          <w:rPr>
                            <w:sz w:val="22"/>
                            <w:szCs w:val="22"/>
                            <w:lang w:val="lt-LT"/>
                          </w:rPr>
                          <w:t>pa</w:t>
                        </w:r>
                        <w:r w:rsidR="00B2290D" w:rsidRPr="00313C2E">
                          <w:rPr>
                            <w:sz w:val="22"/>
                            <w:szCs w:val="22"/>
                            <w:lang w:val="lt-LT"/>
                          </w:rPr>
                          <w:t>lygina</w:t>
                        </w:r>
                        <w:r w:rsidR="00194382" w:rsidRPr="00313C2E">
                          <w:rPr>
                            <w:sz w:val="22"/>
                            <w:szCs w:val="22"/>
                            <w:lang w:val="lt-LT"/>
                          </w:rPr>
                          <w:t xml:space="preserve"> su patvirtinto perdavimo akto informacija.</w:t>
                        </w:r>
                      </w:p>
                      <w:p w:rsidR="00194382" w:rsidRPr="00313C2E" w:rsidRDefault="00194382" w:rsidP="004634E5">
                        <w:pPr>
                          <w:rPr>
                            <w:sz w:val="22"/>
                            <w:szCs w:val="22"/>
                            <w:lang w:val="lt-LT"/>
                          </w:rPr>
                        </w:pPr>
                        <w:r w:rsidRPr="00313C2E">
                          <w:rPr>
                            <w:sz w:val="22"/>
                            <w:szCs w:val="22"/>
                            <w:lang w:val="lt-LT"/>
                          </w:rPr>
                          <w:t>2. Vykdomas automatinis duomenų perdavimas iš sandėlio apskaitos programos į buhalterinės apskaitos programą.</w:t>
                        </w:r>
                      </w:p>
                      <w:p w:rsidR="00194382" w:rsidRPr="00313C2E" w:rsidRDefault="00194382" w:rsidP="004634E5">
                        <w:pPr>
                          <w:rPr>
                            <w:sz w:val="22"/>
                            <w:szCs w:val="22"/>
                            <w:lang w:val="lt-LT"/>
                          </w:rPr>
                        </w:pPr>
                        <w:r w:rsidRPr="00313C2E">
                          <w:rPr>
                            <w:sz w:val="22"/>
                            <w:szCs w:val="22"/>
                            <w:lang w:val="lt-LT"/>
                          </w:rPr>
                          <w:t>3. Planinė savikaina yra automatiškai užregistruojama buhalterinės apskaitos programoje pagal įvestą formulę.</w:t>
                        </w:r>
                      </w:p>
                      <w:p w:rsidR="00B82110" w:rsidRPr="00313C2E" w:rsidRDefault="00D64870" w:rsidP="004634E5">
                        <w:pPr>
                          <w:rPr>
                            <w:sz w:val="22"/>
                            <w:szCs w:val="22"/>
                            <w:lang w:val="lt-LT"/>
                          </w:rPr>
                        </w:pPr>
                        <w:r>
                          <w:rPr>
                            <w:sz w:val="22"/>
                            <w:szCs w:val="22"/>
                            <w:lang w:val="lt-LT"/>
                          </w:rPr>
                          <w:t>4</w:t>
                        </w:r>
                        <w:r w:rsidR="00B82110" w:rsidRPr="00313C2E">
                          <w:rPr>
                            <w:sz w:val="22"/>
                            <w:szCs w:val="22"/>
                            <w:lang w:val="lt-LT"/>
                          </w:rPr>
                          <w:t xml:space="preserve">. Atlikus vidinį atsargų suskaičiavimą, </w:t>
                        </w:r>
                        <w:r w:rsidR="005E1EC9">
                          <w:rPr>
                            <w:sz w:val="22"/>
                            <w:szCs w:val="22"/>
                            <w:lang w:val="lt-LT"/>
                          </w:rPr>
                          <w:t>neatitikimai</w:t>
                        </w:r>
                        <w:r w:rsidR="00B82110" w:rsidRPr="00313C2E">
                          <w:rPr>
                            <w:sz w:val="22"/>
                            <w:szCs w:val="22"/>
                            <w:lang w:val="lt-LT"/>
                          </w:rPr>
                          <w:t xml:space="preserve"> suvedami į buhalterinės apskaitos programą ir automatiškai paskirstomi pagamintai produkcijai.</w:t>
                        </w:r>
                      </w:p>
                      <w:p w:rsidR="00223ACB" w:rsidRPr="00313C2E" w:rsidRDefault="00D64870" w:rsidP="00B82110">
                        <w:pPr>
                          <w:rPr>
                            <w:sz w:val="22"/>
                            <w:szCs w:val="22"/>
                            <w:lang w:val="lt-LT"/>
                          </w:rPr>
                        </w:pPr>
                        <w:r>
                          <w:rPr>
                            <w:sz w:val="22"/>
                            <w:szCs w:val="22"/>
                            <w:lang w:val="lt-LT"/>
                          </w:rPr>
                          <w:t>5</w:t>
                        </w:r>
                        <w:r w:rsidR="00194382" w:rsidRPr="00313C2E">
                          <w:rPr>
                            <w:sz w:val="22"/>
                            <w:szCs w:val="22"/>
                            <w:lang w:val="lt-LT"/>
                          </w:rPr>
                          <w:t xml:space="preserve">. </w:t>
                        </w:r>
                        <w:r w:rsidR="0014169C" w:rsidRPr="00313C2E">
                          <w:rPr>
                            <w:sz w:val="22"/>
                            <w:szCs w:val="22"/>
                            <w:lang w:val="lt-LT"/>
                          </w:rPr>
                          <w:t>Buhalterinės apskaitos programa taiko FIFO metodą nurašydama atsargas</w:t>
                        </w:r>
                        <w:r w:rsidR="00B82110" w:rsidRPr="00313C2E">
                          <w:rPr>
                            <w:sz w:val="22"/>
                            <w:szCs w:val="22"/>
                            <w:lang w:val="lt-LT"/>
                          </w:rPr>
                          <w:t xml:space="preserve"> ir parduotą produkciją</w:t>
                        </w:r>
                        <w:r w:rsidR="00A24325" w:rsidRPr="00313C2E">
                          <w:rPr>
                            <w:sz w:val="22"/>
                            <w:szCs w:val="22"/>
                            <w:lang w:val="lt-LT"/>
                          </w:rPr>
                          <w:t>.</w:t>
                        </w:r>
                      </w:p>
                    </w:tc>
                  </w:tr>
                </w:tbl>
                <w:p w:rsidR="00223ACB" w:rsidRPr="00313C2E" w:rsidRDefault="00223ACB" w:rsidP="004634E5">
                  <w:pPr>
                    <w:rPr>
                      <w:rFonts w:ascii="Courier" w:hAnsi="Courier" w:cs="Arial"/>
                      <w:sz w:val="22"/>
                      <w:szCs w:val="22"/>
                      <w:lang w:val="lt-LT"/>
                    </w:rPr>
                  </w:pPr>
                </w:p>
              </w:tc>
            </w:tr>
          </w:tbl>
          <w:p w:rsidR="00223ACB" w:rsidRPr="00313C2E" w:rsidRDefault="00223ACB" w:rsidP="004634E5">
            <w:pPr>
              <w:pStyle w:val="NormalWeb"/>
              <w:spacing w:before="0" w:beforeAutospacing="0" w:after="0" w:afterAutospacing="0"/>
              <w:rPr>
                <w:i/>
                <w:sz w:val="22"/>
                <w:szCs w:val="22"/>
                <w:lang w:val="lt-LT"/>
              </w:rPr>
            </w:pPr>
          </w:p>
        </w:tc>
        <w:tc>
          <w:tcPr>
            <w:tcW w:w="1329" w:type="dxa"/>
            <w:vAlign w:val="center"/>
          </w:tcPr>
          <w:p w:rsidR="00223ACB" w:rsidRPr="00313C2E" w:rsidRDefault="00223ACB" w:rsidP="004634E5">
            <w:pPr>
              <w:pStyle w:val="NormalWeb"/>
              <w:spacing w:before="0" w:beforeAutospacing="0" w:after="0" w:afterAutospacing="0"/>
              <w:rPr>
                <w:sz w:val="22"/>
                <w:szCs w:val="22"/>
                <w:lang w:val="lt-LT"/>
              </w:rPr>
            </w:pPr>
            <w:r w:rsidRPr="00313C2E">
              <w:rPr>
                <w:sz w:val="22"/>
                <w:szCs w:val="22"/>
                <w:lang w:val="lt-LT"/>
              </w:rPr>
              <w:t>Yra sukurtos veiksmingos kontrolės procedūros, kad aptikti iškraipymus ir apsaugoti nuo jų.</w:t>
            </w:r>
          </w:p>
        </w:tc>
      </w:tr>
      <w:tr w:rsidR="00223ACB" w:rsidRPr="00313C2E" w:rsidTr="000D5B81">
        <w:trPr>
          <w:jc w:val="center"/>
        </w:trPr>
        <w:tc>
          <w:tcPr>
            <w:tcW w:w="1272" w:type="dxa"/>
          </w:tcPr>
          <w:p w:rsidR="00223ACB" w:rsidRPr="00313C2E" w:rsidRDefault="00223ACB" w:rsidP="004634E5">
            <w:pPr>
              <w:pStyle w:val="NormalWeb"/>
              <w:spacing w:before="0" w:beforeAutospacing="0" w:after="0" w:afterAutospacing="0"/>
              <w:jc w:val="both"/>
              <w:rPr>
                <w:sz w:val="22"/>
                <w:szCs w:val="22"/>
                <w:lang w:val="lt-LT"/>
              </w:rPr>
            </w:pPr>
            <w:r w:rsidRPr="00313C2E">
              <w:rPr>
                <w:sz w:val="22"/>
                <w:szCs w:val="22"/>
                <w:lang w:val="lt-LT"/>
              </w:rPr>
              <w:t>Darbo apmokėjimo</w:t>
            </w:r>
          </w:p>
        </w:tc>
        <w:tc>
          <w:tcPr>
            <w:tcW w:w="5670" w:type="dxa"/>
          </w:tcPr>
          <w:p w:rsidR="0017537B" w:rsidRPr="00313C2E" w:rsidRDefault="00223ACB" w:rsidP="004634E5">
            <w:pPr>
              <w:pStyle w:val="NormalWeb"/>
              <w:spacing w:before="0" w:beforeAutospacing="0" w:after="0" w:afterAutospacing="0"/>
              <w:jc w:val="both"/>
              <w:rPr>
                <w:sz w:val="22"/>
                <w:szCs w:val="22"/>
                <w:lang w:val="lt-LT"/>
              </w:rPr>
            </w:pPr>
            <w:r w:rsidRPr="00313C2E">
              <w:rPr>
                <w:sz w:val="22"/>
                <w:szCs w:val="22"/>
                <w:lang w:val="lt-LT"/>
              </w:rPr>
              <w:t>1. Atsakingas buhalteris p</w:t>
            </w:r>
            <w:r w:rsidR="002B7422" w:rsidRPr="00313C2E">
              <w:rPr>
                <w:sz w:val="22"/>
                <w:szCs w:val="22"/>
                <w:lang w:val="lt-LT"/>
              </w:rPr>
              <w:t xml:space="preserve">atikrina, ar </w:t>
            </w:r>
            <w:r w:rsidR="0017537B" w:rsidRPr="00313C2E">
              <w:rPr>
                <w:sz w:val="22"/>
                <w:szCs w:val="22"/>
                <w:lang w:val="lt-LT"/>
              </w:rPr>
              <w:t xml:space="preserve">atitinkamo mėnesio </w:t>
            </w:r>
            <w:r w:rsidR="002B7422" w:rsidRPr="00313C2E">
              <w:rPr>
                <w:sz w:val="22"/>
                <w:szCs w:val="22"/>
                <w:lang w:val="lt-LT"/>
              </w:rPr>
              <w:t xml:space="preserve">darbo užmokesčio fondas </w:t>
            </w:r>
            <w:r w:rsidR="0017537B" w:rsidRPr="00313C2E">
              <w:rPr>
                <w:sz w:val="22"/>
                <w:szCs w:val="22"/>
                <w:lang w:val="lt-LT"/>
              </w:rPr>
              <w:t>buvo tinkamai paskirstytas darbuotojams ir atitinka bendrą sumą suvestą į darbo užmokesčio apskaitos programą.</w:t>
            </w:r>
          </w:p>
          <w:p w:rsidR="0017537B" w:rsidRPr="00313C2E" w:rsidRDefault="0017537B" w:rsidP="004634E5">
            <w:pPr>
              <w:pStyle w:val="NormalWeb"/>
              <w:spacing w:before="0" w:beforeAutospacing="0" w:after="0" w:afterAutospacing="0"/>
              <w:jc w:val="both"/>
              <w:rPr>
                <w:sz w:val="22"/>
                <w:szCs w:val="22"/>
                <w:lang w:val="lt-LT"/>
              </w:rPr>
            </w:pPr>
            <w:r w:rsidRPr="00313C2E">
              <w:rPr>
                <w:sz w:val="22"/>
                <w:szCs w:val="22"/>
                <w:lang w:val="lt-LT"/>
              </w:rPr>
              <w:t xml:space="preserve">2. </w:t>
            </w:r>
            <w:r w:rsidR="00DC5C48" w:rsidRPr="00313C2E">
              <w:rPr>
                <w:sz w:val="22"/>
                <w:szCs w:val="22"/>
                <w:lang w:val="lt-LT"/>
              </w:rPr>
              <w:t>G</w:t>
            </w:r>
            <w:r w:rsidRPr="00313C2E">
              <w:rPr>
                <w:sz w:val="22"/>
                <w:szCs w:val="22"/>
                <w:lang w:val="lt-LT"/>
              </w:rPr>
              <w:t xml:space="preserve">amybos darbuotojams </w:t>
            </w:r>
            <w:r w:rsidR="00DC5C48" w:rsidRPr="00313C2E">
              <w:rPr>
                <w:sz w:val="22"/>
                <w:szCs w:val="22"/>
                <w:lang w:val="lt-LT"/>
              </w:rPr>
              <w:t xml:space="preserve">darbo užmokesčio </w:t>
            </w:r>
            <w:r w:rsidRPr="00313C2E">
              <w:rPr>
                <w:sz w:val="22"/>
                <w:szCs w:val="22"/>
                <w:lang w:val="lt-LT"/>
              </w:rPr>
              <w:t>apskaičiavimas ir informacijos apie jų dirbtą laiką perkėlimas į darbo užmokesčio programą vykdomas automatiškai.</w:t>
            </w:r>
          </w:p>
          <w:p w:rsidR="00F70787" w:rsidRPr="00313C2E" w:rsidRDefault="0017537B" w:rsidP="004634E5">
            <w:pPr>
              <w:pStyle w:val="NormalWeb"/>
              <w:spacing w:before="0" w:beforeAutospacing="0" w:after="0" w:afterAutospacing="0"/>
              <w:jc w:val="both"/>
              <w:rPr>
                <w:sz w:val="22"/>
                <w:szCs w:val="22"/>
                <w:lang w:val="lt-LT"/>
              </w:rPr>
            </w:pPr>
            <w:r w:rsidRPr="00313C2E">
              <w:rPr>
                <w:sz w:val="22"/>
                <w:szCs w:val="22"/>
                <w:lang w:val="lt-LT"/>
              </w:rPr>
              <w:t xml:space="preserve">3. </w:t>
            </w:r>
            <w:r w:rsidR="00F70787" w:rsidRPr="00313C2E">
              <w:rPr>
                <w:sz w:val="22"/>
                <w:szCs w:val="22"/>
                <w:lang w:val="lt-LT"/>
              </w:rPr>
              <w:t>Direktorius kas mėnesį tvirtina gamybos darbuotų koeficientus.</w:t>
            </w:r>
            <w:r w:rsidR="005E1EC9">
              <w:rPr>
                <w:sz w:val="22"/>
                <w:szCs w:val="22"/>
                <w:lang w:val="lt-LT"/>
              </w:rPr>
              <w:t xml:space="preserve"> </w:t>
            </w:r>
            <w:r w:rsidR="00F70787" w:rsidRPr="00313C2E">
              <w:rPr>
                <w:sz w:val="22"/>
                <w:szCs w:val="22"/>
                <w:lang w:val="lt-LT"/>
              </w:rPr>
              <w:t xml:space="preserve">Koeficientų įvedimas į darbo užmokesčio apskaitos programą vykdomas rankiniu būdu. </w:t>
            </w:r>
          </w:p>
          <w:p w:rsidR="00A16A7C" w:rsidRPr="00313C2E" w:rsidRDefault="005E1EC9" w:rsidP="005E1EC9">
            <w:pPr>
              <w:pStyle w:val="NormalWeb"/>
              <w:spacing w:before="0" w:beforeAutospacing="0" w:after="0" w:afterAutospacing="0"/>
              <w:jc w:val="both"/>
              <w:rPr>
                <w:sz w:val="22"/>
                <w:szCs w:val="22"/>
                <w:lang w:val="lt-LT"/>
              </w:rPr>
            </w:pPr>
            <w:r>
              <w:rPr>
                <w:sz w:val="22"/>
                <w:szCs w:val="22"/>
                <w:lang w:val="lt-LT"/>
              </w:rPr>
              <w:t>4</w:t>
            </w:r>
            <w:r w:rsidR="00F70787" w:rsidRPr="00313C2E">
              <w:rPr>
                <w:sz w:val="22"/>
                <w:szCs w:val="22"/>
                <w:lang w:val="lt-LT"/>
              </w:rPr>
              <w:t xml:space="preserve">. </w:t>
            </w:r>
            <w:r w:rsidR="00F573B7">
              <w:rPr>
                <w:sz w:val="22"/>
                <w:szCs w:val="22"/>
                <w:lang w:val="lt-LT"/>
              </w:rPr>
              <w:t>P</w:t>
            </w:r>
            <w:r w:rsidR="00F573B7" w:rsidRPr="00313C2E">
              <w:rPr>
                <w:sz w:val="22"/>
                <w:szCs w:val="22"/>
                <w:lang w:val="lt-LT"/>
              </w:rPr>
              <w:t xml:space="preserve">arengiamas </w:t>
            </w:r>
            <w:r w:rsidR="00F573B7">
              <w:rPr>
                <w:sz w:val="22"/>
                <w:szCs w:val="22"/>
                <w:lang w:val="lt-LT"/>
              </w:rPr>
              <w:t>d</w:t>
            </w:r>
            <w:r w:rsidR="00F70787" w:rsidRPr="00313C2E">
              <w:rPr>
                <w:sz w:val="22"/>
                <w:szCs w:val="22"/>
                <w:lang w:val="lt-LT"/>
              </w:rPr>
              <w:t>uomenų įvedimo žiniaraštis, siekiant įsitikinti, kad duomenys iš darbo užmokesčio apskaitos programos perkeliami į buhalterinės apskaitos programą teisingai.</w:t>
            </w:r>
          </w:p>
        </w:tc>
        <w:tc>
          <w:tcPr>
            <w:tcW w:w="1329" w:type="dxa"/>
            <w:vAlign w:val="center"/>
          </w:tcPr>
          <w:p w:rsidR="00223ACB" w:rsidRPr="00313C2E" w:rsidRDefault="00223ACB" w:rsidP="004634E5">
            <w:pPr>
              <w:pStyle w:val="NormalWeb"/>
              <w:spacing w:before="0" w:beforeAutospacing="0" w:after="0" w:afterAutospacing="0"/>
              <w:rPr>
                <w:sz w:val="22"/>
                <w:szCs w:val="22"/>
                <w:lang w:val="lt-LT"/>
              </w:rPr>
            </w:pPr>
            <w:r w:rsidRPr="00313C2E">
              <w:rPr>
                <w:sz w:val="22"/>
                <w:szCs w:val="22"/>
                <w:lang w:val="lt-LT"/>
              </w:rPr>
              <w:t>Yra sukurtos veiksmingos kontrolės procedūros, kad aptikti iškraipymus ir apsaugoti nuo jų.</w:t>
            </w:r>
          </w:p>
        </w:tc>
      </w:tr>
      <w:tr w:rsidR="00223ACB" w:rsidRPr="00313C2E" w:rsidTr="000D5B81">
        <w:trPr>
          <w:jc w:val="center"/>
        </w:trPr>
        <w:tc>
          <w:tcPr>
            <w:tcW w:w="1272" w:type="dxa"/>
          </w:tcPr>
          <w:p w:rsidR="00223ACB" w:rsidRPr="00313C2E" w:rsidRDefault="00223ACB" w:rsidP="004634E5">
            <w:pPr>
              <w:pStyle w:val="NormalWeb"/>
              <w:spacing w:before="0" w:beforeAutospacing="0" w:after="0" w:afterAutospacing="0"/>
              <w:jc w:val="both"/>
              <w:rPr>
                <w:sz w:val="22"/>
                <w:szCs w:val="22"/>
                <w:lang w:val="lt-LT"/>
              </w:rPr>
            </w:pPr>
            <w:r w:rsidRPr="00313C2E">
              <w:rPr>
                <w:sz w:val="22"/>
                <w:szCs w:val="22"/>
                <w:lang w:val="lt-LT"/>
              </w:rPr>
              <w:t>Finansinių ataskaitų sudarymo</w:t>
            </w:r>
          </w:p>
        </w:tc>
        <w:tc>
          <w:tcPr>
            <w:tcW w:w="5670" w:type="dxa"/>
          </w:tcPr>
          <w:p w:rsidR="00223ACB" w:rsidRPr="00313C2E" w:rsidRDefault="00223ACB" w:rsidP="004634E5">
            <w:pPr>
              <w:pStyle w:val="NormalWeb"/>
              <w:spacing w:before="0" w:beforeAutospacing="0" w:after="0" w:afterAutospacing="0"/>
              <w:rPr>
                <w:sz w:val="22"/>
                <w:szCs w:val="22"/>
                <w:lang w:val="lt-LT"/>
              </w:rPr>
            </w:pPr>
            <w:r w:rsidRPr="00313C2E">
              <w:rPr>
                <w:sz w:val="22"/>
                <w:szCs w:val="22"/>
                <w:lang w:val="lt-LT"/>
              </w:rPr>
              <w:t>Kontrolės procedūros netaikomos</w:t>
            </w:r>
            <w:r w:rsidR="005E1EC9">
              <w:rPr>
                <w:sz w:val="22"/>
                <w:szCs w:val="22"/>
                <w:lang w:val="lt-LT"/>
              </w:rPr>
              <w:t>,</w:t>
            </w:r>
            <w:r w:rsidRPr="00313C2E">
              <w:rPr>
                <w:sz w:val="22"/>
                <w:szCs w:val="22"/>
                <w:lang w:val="lt-LT"/>
              </w:rPr>
              <w:t xml:space="preserve"> todėl</w:t>
            </w:r>
            <w:r w:rsidR="005E1EC9">
              <w:rPr>
                <w:sz w:val="22"/>
                <w:szCs w:val="22"/>
                <w:lang w:val="lt-LT"/>
              </w:rPr>
              <w:t xml:space="preserve"> gali būti</w:t>
            </w:r>
            <w:r w:rsidRPr="00313C2E">
              <w:rPr>
                <w:sz w:val="22"/>
                <w:szCs w:val="22"/>
                <w:lang w:val="lt-LT"/>
              </w:rPr>
              <w:t>:</w:t>
            </w:r>
          </w:p>
          <w:p w:rsidR="00DC5C48" w:rsidRPr="00313C2E" w:rsidRDefault="00223ACB" w:rsidP="004634E5">
            <w:pPr>
              <w:pStyle w:val="NormalWeb"/>
              <w:spacing w:before="0" w:beforeAutospacing="0" w:after="0" w:afterAutospacing="0"/>
              <w:rPr>
                <w:sz w:val="22"/>
                <w:szCs w:val="22"/>
                <w:lang w:val="lt-LT"/>
              </w:rPr>
            </w:pPr>
            <w:r w:rsidRPr="00313C2E">
              <w:rPr>
                <w:sz w:val="22"/>
                <w:szCs w:val="22"/>
                <w:lang w:val="lt-LT"/>
              </w:rPr>
              <w:t xml:space="preserve">1) </w:t>
            </w:r>
            <w:r w:rsidR="005E1EC9" w:rsidRPr="00313C2E">
              <w:rPr>
                <w:sz w:val="22"/>
                <w:szCs w:val="22"/>
                <w:lang w:val="lt-LT"/>
              </w:rPr>
              <w:t xml:space="preserve">apskaičiuotas neteisingai </w:t>
            </w:r>
            <w:r w:rsidR="00DC5C48" w:rsidRPr="00313C2E">
              <w:rPr>
                <w:sz w:val="22"/>
                <w:szCs w:val="22"/>
                <w:lang w:val="lt-LT"/>
              </w:rPr>
              <w:t>pelno mokestis,</w:t>
            </w:r>
          </w:p>
          <w:p w:rsidR="00DC5C48" w:rsidRPr="00313C2E" w:rsidRDefault="00223ACB" w:rsidP="004634E5">
            <w:pPr>
              <w:pStyle w:val="NormalWeb"/>
              <w:spacing w:before="0" w:beforeAutospacing="0" w:after="0" w:afterAutospacing="0"/>
              <w:rPr>
                <w:sz w:val="22"/>
                <w:szCs w:val="22"/>
                <w:lang w:val="lt-LT"/>
              </w:rPr>
            </w:pPr>
            <w:r w:rsidRPr="00313C2E">
              <w:rPr>
                <w:sz w:val="22"/>
                <w:szCs w:val="22"/>
                <w:lang w:val="lt-LT"/>
              </w:rPr>
              <w:t>2) ne</w:t>
            </w:r>
            <w:r w:rsidR="00DC5C48" w:rsidRPr="00313C2E">
              <w:rPr>
                <w:sz w:val="22"/>
                <w:szCs w:val="22"/>
                <w:lang w:val="lt-LT"/>
              </w:rPr>
              <w:t>visi ir neteisingi tikrosios vertės įrašai</w:t>
            </w:r>
            <w:r w:rsidR="00383FD2" w:rsidRPr="00313C2E">
              <w:rPr>
                <w:sz w:val="22"/>
                <w:szCs w:val="22"/>
                <w:lang w:val="lt-LT"/>
              </w:rPr>
              <w:t xml:space="preserve"> </w:t>
            </w:r>
            <w:r w:rsidR="00DC5C48" w:rsidRPr="00313C2E">
              <w:rPr>
                <w:sz w:val="22"/>
                <w:szCs w:val="22"/>
                <w:lang w:val="lt-LT"/>
              </w:rPr>
              <w:t>įtraukti į finansines ataskaitas (</w:t>
            </w:r>
            <w:r w:rsidR="00BB49A6" w:rsidRPr="00313C2E">
              <w:rPr>
                <w:sz w:val="22"/>
                <w:szCs w:val="22"/>
                <w:lang w:val="lt-LT"/>
              </w:rPr>
              <w:t xml:space="preserve">turto </w:t>
            </w:r>
            <w:r w:rsidR="00DC5C48" w:rsidRPr="00313C2E">
              <w:rPr>
                <w:sz w:val="22"/>
                <w:szCs w:val="22"/>
                <w:lang w:val="lt-LT"/>
              </w:rPr>
              <w:t>vertė</w:t>
            </w:r>
            <w:r w:rsidR="00BB49A6" w:rsidRPr="00313C2E">
              <w:rPr>
                <w:sz w:val="22"/>
                <w:szCs w:val="22"/>
                <w:lang w:val="lt-LT"/>
              </w:rPr>
              <w:t>s sumažė</w:t>
            </w:r>
            <w:r w:rsidR="00DC5C48" w:rsidRPr="00313C2E">
              <w:rPr>
                <w:sz w:val="22"/>
                <w:szCs w:val="22"/>
                <w:lang w:val="lt-LT"/>
              </w:rPr>
              <w:t>jimas, kaupimai, įskaitant atostoginių kaupimus),</w:t>
            </w:r>
          </w:p>
          <w:p w:rsidR="00383FD2" w:rsidRPr="00313C2E" w:rsidRDefault="00223ACB" w:rsidP="004634E5">
            <w:pPr>
              <w:pStyle w:val="NormalWeb"/>
              <w:spacing w:before="0" w:beforeAutospacing="0" w:after="0" w:afterAutospacing="0"/>
              <w:rPr>
                <w:sz w:val="22"/>
                <w:szCs w:val="22"/>
                <w:lang w:val="lt-LT"/>
              </w:rPr>
            </w:pPr>
            <w:r w:rsidRPr="00313C2E">
              <w:rPr>
                <w:sz w:val="22"/>
                <w:szCs w:val="22"/>
                <w:lang w:val="lt-LT"/>
              </w:rPr>
              <w:t xml:space="preserve">3) </w:t>
            </w:r>
            <w:r w:rsidR="00383FD2" w:rsidRPr="00313C2E">
              <w:rPr>
                <w:sz w:val="22"/>
                <w:szCs w:val="22"/>
                <w:lang w:val="lt-LT"/>
              </w:rPr>
              <w:t>netinkamai atskleistos paskolų sąlygos bei paskolos neteisingai parodytos finansinėse ataskaitose,</w:t>
            </w:r>
          </w:p>
          <w:p w:rsidR="00383FD2" w:rsidRPr="00313C2E" w:rsidRDefault="00383FD2" w:rsidP="004634E5">
            <w:pPr>
              <w:pStyle w:val="NormalWeb"/>
              <w:spacing w:before="0" w:beforeAutospacing="0" w:after="0" w:afterAutospacing="0"/>
              <w:rPr>
                <w:sz w:val="22"/>
                <w:szCs w:val="22"/>
                <w:lang w:val="lt-LT"/>
              </w:rPr>
            </w:pPr>
            <w:r w:rsidRPr="00313C2E">
              <w:rPr>
                <w:sz w:val="22"/>
                <w:szCs w:val="22"/>
                <w:lang w:val="lt-LT"/>
              </w:rPr>
              <w:t>4) ne visi ar neteisingi atskleidimai padaryti finansinėse ataskaitose,</w:t>
            </w:r>
          </w:p>
          <w:p w:rsidR="00223ACB" w:rsidRPr="00313C2E" w:rsidRDefault="00383FD2" w:rsidP="00074488">
            <w:pPr>
              <w:pStyle w:val="NormalWeb"/>
              <w:spacing w:before="0" w:beforeAutospacing="0" w:after="0" w:afterAutospacing="0"/>
              <w:rPr>
                <w:sz w:val="22"/>
                <w:szCs w:val="22"/>
                <w:lang w:val="lt-LT"/>
              </w:rPr>
            </w:pPr>
            <w:r w:rsidRPr="00313C2E">
              <w:rPr>
                <w:sz w:val="22"/>
                <w:szCs w:val="22"/>
                <w:lang w:val="lt-LT"/>
              </w:rPr>
              <w:t>5) sandoriai tarp susijusių šalių n</w:t>
            </w:r>
            <w:r w:rsidR="00074488">
              <w:rPr>
                <w:sz w:val="22"/>
                <w:szCs w:val="22"/>
                <w:lang w:val="lt-LT"/>
              </w:rPr>
              <w:t>e</w:t>
            </w:r>
            <w:r w:rsidRPr="00313C2E">
              <w:rPr>
                <w:sz w:val="22"/>
                <w:szCs w:val="22"/>
                <w:lang w:val="lt-LT"/>
              </w:rPr>
              <w:t xml:space="preserve">apskaityti ir/ar </w:t>
            </w:r>
            <w:r w:rsidR="00BB49A6" w:rsidRPr="00313C2E">
              <w:rPr>
                <w:sz w:val="22"/>
                <w:szCs w:val="22"/>
                <w:lang w:val="lt-LT"/>
              </w:rPr>
              <w:t>nepateikti teisingai.</w:t>
            </w:r>
          </w:p>
        </w:tc>
        <w:tc>
          <w:tcPr>
            <w:tcW w:w="1329" w:type="dxa"/>
            <w:vAlign w:val="center"/>
          </w:tcPr>
          <w:p w:rsidR="00223ACB" w:rsidRPr="00313C2E" w:rsidRDefault="00223ACB" w:rsidP="004634E5">
            <w:pPr>
              <w:pStyle w:val="NormalWeb"/>
              <w:spacing w:before="0" w:beforeAutospacing="0" w:after="0" w:afterAutospacing="0"/>
              <w:rPr>
                <w:sz w:val="22"/>
                <w:szCs w:val="22"/>
                <w:lang w:val="lt-LT"/>
              </w:rPr>
            </w:pPr>
            <w:r w:rsidRPr="00313C2E">
              <w:rPr>
                <w:sz w:val="22"/>
                <w:szCs w:val="22"/>
                <w:lang w:val="lt-LT"/>
              </w:rPr>
              <w:t>Kontrolės procedūros netaikomos, todėl egzistuoja didelė kontrolės rizika.</w:t>
            </w:r>
          </w:p>
        </w:tc>
      </w:tr>
    </w:tbl>
    <w:p w:rsidR="00254306" w:rsidRPr="002831E4" w:rsidRDefault="00254306" w:rsidP="00254306">
      <w:pPr>
        <w:pStyle w:val="NormalWeb"/>
        <w:spacing w:before="60" w:beforeAutospacing="0" w:after="0" w:afterAutospacing="0"/>
        <w:jc w:val="both"/>
        <w:rPr>
          <w:sz w:val="20"/>
          <w:szCs w:val="20"/>
          <w:lang w:val="lt-LT"/>
        </w:rPr>
      </w:pPr>
      <w:r w:rsidRPr="002831E4">
        <w:rPr>
          <w:sz w:val="20"/>
          <w:szCs w:val="20"/>
          <w:lang w:val="lt-LT"/>
        </w:rPr>
        <w:t>Šaltinis:</w:t>
      </w:r>
      <w:r>
        <w:rPr>
          <w:sz w:val="20"/>
          <w:szCs w:val="20"/>
          <w:lang w:val="lt-LT"/>
        </w:rPr>
        <w:t xml:space="preserve"> sudaryta autorės, remiantis UAB „Žuvila“ svarbiausių apskaitos procesų tyrimu.</w:t>
      </w:r>
    </w:p>
    <w:p w:rsidR="00F573B7" w:rsidRDefault="00223ACB" w:rsidP="00A16A7C">
      <w:pPr>
        <w:pStyle w:val="NormalWeb"/>
        <w:spacing w:before="240" w:beforeAutospacing="0" w:after="0" w:afterAutospacing="0" w:line="360" w:lineRule="auto"/>
        <w:ind w:firstLine="720"/>
        <w:jc w:val="both"/>
        <w:rPr>
          <w:sz w:val="26"/>
          <w:szCs w:val="26"/>
          <w:lang w:val="lt-LT"/>
        </w:rPr>
      </w:pPr>
      <w:r w:rsidRPr="00313C2E">
        <w:rPr>
          <w:sz w:val="26"/>
          <w:szCs w:val="26"/>
          <w:lang w:val="lt-LT"/>
        </w:rPr>
        <w:lastRenderedPageBreak/>
        <w:t xml:space="preserve">Kaip matome iš </w:t>
      </w:r>
      <w:r w:rsidR="00D45F89" w:rsidRPr="00313C2E">
        <w:rPr>
          <w:sz w:val="26"/>
          <w:szCs w:val="26"/>
          <w:lang w:val="lt-LT"/>
        </w:rPr>
        <w:t>3</w:t>
      </w:r>
      <w:r w:rsidR="00036530">
        <w:rPr>
          <w:sz w:val="26"/>
          <w:szCs w:val="26"/>
          <w:lang w:val="lt-LT"/>
        </w:rPr>
        <w:t>6</w:t>
      </w:r>
      <w:r w:rsidRPr="00313C2E">
        <w:rPr>
          <w:sz w:val="26"/>
          <w:szCs w:val="26"/>
          <w:lang w:val="lt-LT"/>
        </w:rPr>
        <w:t xml:space="preserve"> lentelės, UAB „</w:t>
      </w:r>
      <w:r w:rsidR="00527657" w:rsidRPr="00313C2E">
        <w:rPr>
          <w:sz w:val="26"/>
          <w:szCs w:val="26"/>
          <w:lang w:val="lt-LT"/>
        </w:rPr>
        <w:t>Žuvila</w:t>
      </w:r>
      <w:r w:rsidRPr="00313C2E">
        <w:rPr>
          <w:sz w:val="26"/>
          <w:szCs w:val="26"/>
          <w:lang w:val="lt-LT"/>
        </w:rPr>
        <w:t xml:space="preserve">“ </w:t>
      </w:r>
      <w:r w:rsidR="00527657" w:rsidRPr="00313C2E">
        <w:rPr>
          <w:sz w:val="26"/>
          <w:szCs w:val="26"/>
          <w:lang w:val="lt-LT"/>
        </w:rPr>
        <w:t xml:space="preserve">turi </w:t>
      </w:r>
      <w:r w:rsidR="001259E5" w:rsidRPr="00313C2E">
        <w:rPr>
          <w:sz w:val="26"/>
          <w:szCs w:val="26"/>
          <w:lang w:val="lt-LT"/>
        </w:rPr>
        <w:t xml:space="preserve">įdiegusi </w:t>
      </w:r>
      <w:r w:rsidRPr="00313C2E">
        <w:rPr>
          <w:sz w:val="26"/>
          <w:szCs w:val="26"/>
          <w:lang w:val="lt-LT"/>
        </w:rPr>
        <w:t>veiksming</w:t>
      </w:r>
      <w:r w:rsidR="00527657" w:rsidRPr="00313C2E">
        <w:rPr>
          <w:sz w:val="26"/>
          <w:szCs w:val="26"/>
          <w:lang w:val="lt-LT"/>
        </w:rPr>
        <w:t>a</w:t>
      </w:r>
      <w:r w:rsidRPr="00313C2E">
        <w:rPr>
          <w:sz w:val="26"/>
          <w:szCs w:val="26"/>
          <w:lang w:val="lt-LT"/>
        </w:rPr>
        <w:t>s kontrolės procedūr</w:t>
      </w:r>
      <w:r w:rsidR="00527657" w:rsidRPr="00313C2E">
        <w:rPr>
          <w:sz w:val="26"/>
          <w:szCs w:val="26"/>
          <w:lang w:val="lt-LT"/>
        </w:rPr>
        <w:t>a</w:t>
      </w:r>
      <w:r w:rsidRPr="00313C2E">
        <w:rPr>
          <w:sz w:val="26"/>
          <w:szCs w:val="26"/>
          <w:lang w:val="lt-LT"/>
        </w:rPr>
        <w:t>s</w:t>
      </w:r>
      <w:r w:rsidR="00527657" w:rsidRPr="00313C2E">
        <w:rPr>
          <w:sz w:val="26"/>
          <w:szCs w:val="26"/>
          <w:lang w:val="lt-LT"/>
        </w:rPr>
        <w:t xml:space="preserve"> dėl </w:t>
      </w:r>
      <w:r w:rsidRPr="00313C2E">
        <w:rPr>
          <w:sz w:val="26"/>
          <w:szCs w:val="26"/>
          <w:lang w:val="lt-LT"/>
        </w:rPr>
        <w:t xml:space="preserve">pirkimų, </w:t>
      </w:r>
      <w:r w:rsidR="00527657" w:rsidRPr="00313C2E">
        <w:rPr>
          <w:sz w:val="26"/>
          <w:szCs w:val="26"/>
          <w:lang w:val="lt-LT"/>
        </w:rPr>
        <w:t xml:space="preserve">gamybos ir </w:t>
      </w:r>
      <w:r w:rsidRPr="00313C2E">
        <w:rPr>
          <w:sz w:val="26"/>
          <w:szCs w:val="26"/>
          <w:lang w:val="lt-LT"/>
        </w:rPr>
        <w:t>pardavimo</w:t>
      </w:r>
      <w:r w:rsidR="00527657" w:rsidRPr="00313C2E">
        <w:rPr>
          <w:sz w:val="26"/>
          <w:szCs w:val="26"/>
          <w:lang w:val="lt-LT"/>
        </w:rPr>
        <w:t xml:space="preserve">, </w:t>
      </w:r>
      <w:r w:rsidRPr="00313C2E">
        <w:rPr>
          <w:sz w:val="26"/>
          <w:szCs w:val="26"/>
          <w:lang w:val="lt-LT"/>
        </w:rPr>
        <w:t xml:space="preserve">darbo apmokėjimo </w:t>
      </w:r>
      <w:r w:rsidR="00527657" w:rsidRPr="00313C2E">
        <w:rPr>
          <w:sz w:val="26"/>
          <w:szCs w:val="26"/>
          <w:lang w:val="lt-LT"/>
        </w:rPr>
        <w:t xml:space="preserve">apskaitos </w:t>
      </w:r>
      <w:r w:rsidRPr="00313C2E">
        <w:rPr>
          <w:sz w:val="26"/>
          <w:szCs w:val="26"/>
          <w:lang w:val="lt-LT"/>
        </w:rPr>
        <w:t>proces</w:t>
      </w:r>
      <w:r w:rsidR="00527657" w:rsidRPr="00313C2E">
        <w:rPr>
          <w:sz w:val="26"/>
          <w:szCs w:val="26"/>
          <w:lang w:val="lt-LT"/>
        </w:rPr>
        <w:t>ų</w:t>
      </w:r>
      <w:r w:rsidR="002E22AE" w:rsidRPr="00313C2E">
        <w:rPr>
          <w:sz w:val="26"/>
          <w:szCs w:val="26"/>
          <w:lang w:val="lt-LT"/>
        </w:rPr>
        <w:t xml:space="preserve"> (tą patvirtina ir audito metu atlikti kontrolės testai visa apimtimi)</w:t>
      </w:r>
      <w:r w:rsidRPr="00313C2E">
        <w:rPr>
          <w:sz w:val="26"/>
          <w:szCs w:val="26"/>
          <w:lang w:val="lt-LT"/>
        </w:rPr>
        <w:t xml:space="preserve">, </w:t>
      </w:r>
      <w:r w:rsidR="00527657" w:rsidRPr="00313C2E">
        <w:rPr>
          <w:sz w:val="26"/>
          <w:szCs w:val="26"/>
          <w:lang w:val="lt-LT"/>
        </w:rPr>
        <w:t xml:space="preserve">tačiau </w:t>
      </w:r>
      <w:r w:rsidRPr="00313C2E">
        <w:rPr>
          <w:sz w:val="26"/>
          <w:szCs w:val="26"/>
          <w:lang w:val="lt-LT"/>
        </w:rPr>
        <w:t>dėl finansinių ataskaitų sudarymo proceso</w:t>
      </w:r>
      <w:r w:rsidR="00D45F89" w:rsidRPr="00313C2E">
        <w:rPr>
          <w:sz w:val="26"/>
          <w:szCs w:val="26"/>
          <w:lang w:val="lt-LT"/>
        </w:rPr>
        <w:t>,</w:t>
      </w:r>
      <w:r w:rsidRPr="00313C2E">
        <w:rPr>
          <w:sz w:val="26"/>
          <w:szCs w:val="26"/>
          <w:lang w:val="lt-LT"/>
        </w:rPr>
        <w:t xml:space="preserve"> </w:t>
      </w:r>
      <w:r w:rsidR="00706513" w:rsidRPr="00313C2E">
        <w:rPr>
          <w:sz w:val="26"/>
          <w:szCs w:val="26"/>
          <w:lang w:val="lt-LT"/>
        </w:rPr>
        <w:t>kaip ir UAB</w:t>
      </w:r>
      <w:r w:rsidR="00313C2E">
        <w:rPr>
          <w:sz w:val="26"/>
          <w:szCs w:val="26"/>
          <w:lang w:val="lt-LT"/>
        </w:rPr>
        <w:t> </w:t>
      </w:r>
      <w:r w:rsidR="00706513" w:rsidRPr="00313C2E">
        <w:rPr>
          <w:sz w:val="26"/>
          <w:szCs w:val="26"/>
          <w:lang w:val="lt-LT"/>
        </w:rPr>
        <w:t>„Šiluma“ atveju</w:t>
      </w:r>
      <w:r w:rsidR="00D45F89" w:rsidRPr="00313C2E">
        <w:rPr>
          <w:sz w:val="26"/>
          <w:szCs w:val="26"/>
          <w:lang w:val="lt-LT"/>
        </w:rPr>
        <w:t>,</w:t>
      </w:r>
      <w:r w:rsidR="00706513" w:rsidRPr="00313C2E">
        <w:rPr>
          <w:sz w:val="26"/>
          <w:szCs w:val="26"/>
          <w:lang w:val="lt-LT"/>
        </w:rPr>
        <w:t xml:space="preserve"> </w:t>
      </w:r>
      <w:r w:rsidRPr="00313C2E">
        <w:rPr>
          <w:sz w:val="26"/>
          <w:szCs w:val="26"/>
          <w:lang w:val="lt-LT"/>
        </w:rPr>
        <w:t>veiks</w:t>
      </w:r>
      <w:r w:rsidR="00527657" w:rsidRPr="00313C2E">
        <w:rPr>
          <w:sz w:val="26"/>
          <w:szCs w:val="26"/>
          <w:lang w:val="lt-LT"/>
        </w:rPr>
        <w:t>mingų kontrolės procedūrų n</w:t>
      </w:r>
      <w:r w:rsidR="002E22AE" w:rsidRPr="00313C2E">
        <w:rPr>
          <w:sz w:val="26"/>
          <w:szCs w:val="26"/>
          <w:lang w:val="lt-LT"/>
        </w:rPr>
        <w:t>enustatyta</w:t>
      </w:r>
      <w:r w:rsidR="00527657" w:rsidRPr="00313C2E">
        <w:rPr>
          <w:sz w:val="26"/>
          <w:szCs w:val="26"/>
          <w:lang w:val="lt-LT"/>
        </w:rPr>
        <w:t xml:space="preserve">. </w:t>
      </w:r>
      <w:r w:rsidR="00F573B7">
        <w:rPr>
          <w:sz w:val="26"/>
          <w:szCs w:val="26"/>
          <w:lang w:val="lt-LT"/>
        </w:rPr>
        <w:t xml:space="preserve">O </w:t>
      </w:r>
      <w:r w:rsidR="00FE051D" w:rsidRPr="00313C2E">
        <w:rPr>
          <w:sz w:val="26"/>
          <w:szCs w:val="26"/>
          <w:lang w:val="lt-LT"/>
        </w:rPr>
        <w:t xml:space="preserve">tai </w:t>
      </w:r>
      <w:r w:rsidR="00F573B7">
        <w:rPr>
          <w:sz w:val="26"/>
          <w:szCs w:val="26"/>
          <w:lang w:val="lt-LT"/>
        </w:rPr>
        <w:t>svarbu vertinant</w:t>
      </w:r>
      <w:r w:rsidR="00FE051D" w:rsidRPr="00313C2E">
        <w:rPr>
          <w:sz w:val="26"/>
          <w:szCs w:val="26"/>
          <w:lang w:val="lt-LT"/>
        </w:rPr>
        <w:t xml:space="preserve"> </w:t>
      </w:r>
      <w:r w:rsidR="00F573B7">
        <w:rPr>
          <w:sz w:val="26"/>
          <w:szCs w:val="26"/>
          <w:lang w:val="lt-LT"/>
        </w:rPr>
        <w:t xml:space="preserve">susijusią </w:t>
      </w:r>
      <w:r w:rsidR="00FE051D" w:rsidRPr="00313C2E">
        <w:rPr>
          <w:sz w:val="26"/>
          <w:szCs w:val="26"/>
          <w:lang w:val="lt-LT"/>
        </w:rPr>
        <w:t>kontrolės rizik</w:t>
      </w:r>
      <w:r w:rsidR="00F573B7">
        <w:rPr>
          <w:sz w:val="26"/>
          <w:szCs w:val="26"/>
          <w:lang w:val="lt-LT"/>
        </w:rPr>
        <w:t>ą</w:t>
      </w:r>
      <w:r w:rsidR="00FE051D" w:rsidRPr="00313C2E">
        <w:rPr>
          <w:sz w:val="26"/>
          <w:szCs w:val="26"/>
          <w:lang w:val="lt-LT"/>
        </w:rPr>
        <w:t xml:space="preserve">. </w:t>
      </w:r>
    </w:p>
    <w:p w:rsidR="00256BDF" w:rsidRPr="00313C2E" w:rsidRDefault="008F2AA0" w:rsidP="005E1EC9">
      <w:pPr>
        <w:pStyle w:val="NormalWeb"/>
        <w:spacing w:before="0" w:beforeAutospacing="0" w:after="0" w:afterAutospacing="0" w:line="360" w:lineRule="auto"/>
        <w:ind w:firstLine="720"/>
        <w:jc w:val="both"/>
        <w:rPr>
          <w:sz w:val="26"/>
          <w:szCs w:val="26"/>
          <w:lang w:val="lt-LT"/>
        </w:rPr>
      </w:pPr>
      <w:r>
        <w:rPr>
          <w:sz w:val="26"/>
          <w:szCs w:val="26"/>
          <w:lang w:val="lt-LT"/>
        </w:rPr>
        <w:t>Audito metu s</w:t>
      </w:r>
      <w:r w:rsidR="001D42F3">
        <w:rPr>
          <w:sz w:val="26"/>
          <w:szCs w:val="26"/>
          <w:lang w:val="lt-LT"/>
        </w:rPr>
        <w:t xml:space="preserve">urinkta informacija apie </w:t>
      </w:r>
      <w:r w:rsidR="001D42F3" w:rsidRPr="00313C2E">
        <w:rPr>
          <w:sz w:val="26"/>
          <w:szCs w:val="26"/>
          <w:lang w:val="lt-LT"/>
        </w:rPr>
        <w:t xml:space="preserve">susijusių veiksnių pasireiškimo tikimybę ir jų įtaką </w:t>
      </w:r>
      <w:r w:rsidR="001D42F3">
        <w:rPr>
          <w:sz w:val="26"/>
          <w:szCs w:val="26"/>
          <w:lang w:val="lt-LT"/>
        </w:rPr>
        <w:t xml:space="preserve">leido nustatyti </w:t>
      </w:r>
      <w:r w:rsidR="001518C7" w:rsidRPr="00313C2E">
        <w:rPr>
          <w:sz w:val="26"/>
          <w:szCs w:val="26"/>
          <w:lang w:val="lt-LT"/>
        </w:rPr>
        <w:t>įgimt</w:t>
      </w:r>
      <w:r w:rsidR="001D42F3">
        <w:rPr>
          <w:sz w:val="26"/>
          <w:szCs w:val="26"/>
          <w:lang w:val="lt-LT"/>
        </w:rPr>
        <w:t>os</w:t>
      </w:r>
      <w:r w:rsidR="00BB3328" w:rsidRPr="00313C2E">
        <w:rPr>
          <w:sz w:val="26"/>
          <w:szCs w:val="26"/>
          <w:lang w:val="lt-LT"/>
        </w:rPr>
        <w:t xml:space="preserve"> ir</w:t>
      </w:r>
      <w:r w:rsidR="001D42F3">
        <w:rPr>
          <w:sz w:val="26"/>
          <w:szCs w:val="26"/>
          <w:lang w:val="lt-LT"/>
        </w:rPr>
        <w:t xml:space="preserve"> kontrolės rizikų lygį </w:t>
      </w:r>
      <w:r w:rsidR="00BB3328" w:rsidRPr="00313C2E">
        <w:rPr>
          <w:sz w:val="26"/>
          <w:szCs w:val="26"/>
          <w:lang w:val="lt-LT"/>
        </w:rPr>
        <w:t xml:space="preserve">išskirtiems svarbiems </w:t>
      </w:r>
      <w:r w:rsidR="001D42F3">
        <w:rPr>
          <w:sz w:val="26"/>
          <w:szCs w:val="26"/>
          <w:lang w:val="lt-LT"/>
        </w:rPr>
        <w:t xml:space="preserve">UAB „Žuvila“ </w:t>
      </w:r>
      <w:r w:rsidR="00BB3328" w:rsidRPr="00313C2E">
        <w:rPr>
          <w:sz w:val="26"/>
          <w:szCs w:val="26"/>
          <w:lang w:val="lt-LT"/>
        </w:rPr>
        <w:t>balanso ir pelno (nuostolių) ataskaitos elementams ir j</w:t>
      </w:r>
      <w:r>
        <w:rPr>
          <w:sz w:val="26"/>
          <w:szCs w:val="26"/>
          <w:lang w:val="lt-LT"/>
        </w:rPr>
        <w:t>ų</w:t>
      </w:r>
      <w:r w:rsidR="00BB3328" w:rsidRPr="00313C2E">
        <w:rPr>
          <w:sz w:val="26"/>
          <w:szCs w:val="26"/>
          <w:lang w:val="lt-LT"/>
        </w:rPr>
        <w:t xml:space="preserve"> tvirtinimams</w:t>
      </w:r>
      <w:r w:rsidR="00256BDF">
        <w:rPr>
          <w:sz w:val="26"/>
          <w:szCs w:val="26"/>
          <w:lang w:val="lt-LT"/>
        </w:rPr>
        <w:t xml:space="preserve"> (</w:t>
      </w:r>
      <w:r w:rsidR="001D42F3">
        <w:rPr>
          <w:sz w:val="26"/>
          <w:szCs w:val="26"/>
          <w:lang w:val="lt-LT"/>
        </w:rPr>
        <w:t xml:space="preserve">žr. </w:t>
      </w:r>
      <w:r w:rsidR="001D42F3" w:rsidRPr="007C268D">
        <w:rPr>
          <w:sz w:val="26"/>
          <w:szCs w:val="26"/>
          <w:lang w:val="lt-LT"/>
        </w:rPr>
        <w:t xml:space="preserve">23 </w:t>
      </w:r>
      <w:r w:rsidR="001D42F3">
        <w:rPr>
          <w:sz w:val="26"/>
          <w:szCs w:val="26"/>
          <w:lang w:val="lt-LT"/>
        </w:rPr>
        <w:t xml:space="preserve">priede, pateiktą </w:t>
      </w:r>
      <w:r w:rsidR="001D42F3" w:rsidRPr="001D42F3">
        <w:rPr>
          <w:b/>
          <w:sz w:val="26"/>
          <w:szCs w:val="26"/>
          <w:lang w:val="lt-LT"/>
        </w:rPr>
        <w:t>į</w:t>
      </w:r>
      <w:r w:rsidR="001D42F3" w:rsidRPr="007C268D">
        <w:rPr>
          <w:b/>
          <w:sz w:val="26"/>
          <w:szCs w:val="26"/>
          <w:lang w:val="lt-LT"/>
        </w:rPr>
        <w:t>gimtos ir kont</w:t>
      </w:r>
      <w:r w:rsidR="001D42F3" w:rsidRPr="006632A4">
        <w:rPr>
          <w:b/>
          <w:sz w:val="26"/>
          <w:szCs w:val="26"/>
          <w:lang w:val="lt-LT"/>
        </w:rPr>
        <w:t>rolės rizik</w:t>
      </w:r>
      <w:r w:rsidR="001D42F3">
        <w:rPr>
          <w:b/>
          <w:sz w:val="26"/>
          <w:szCs w:val="26"/>
          <w:lang w:val="lt-LT"/>
        </w:rPr>
        <w:t>ų</w:t>
      </w:r>
      <w:r w:rsidR="001D42F3" w:rsidRPr="006632A4">
        <w:rPr>
          <w:b/>
          <w:sz w:val="26"/>
          <w:szCs w:val="26"/>
          <w:lang w:val="lt-LT"/>
        </w:rPr>
        <w:t xml:space="preserve"> finansinių ataskaitų elementui ir/ar jo tvirtinimui</w:t>
      </w:r>
      <w:r w:rsidR="001D42F3">
        <w:rPr>
          <w:b/>
          <w:sz w:val="26"/>
          <w:szCs w:val="26"/>
          <w:lang w:val="lt-LT"/>
        </w:rPr>
        <w:t xml:space="preserve"> apskaičiavimo lentelę</w:t>
      </w:r>
      <w:r w:rsidR="00256BDF" w:rsidRPr="00256BDF">
        <w:rPr>
          <w:sz w:val="26"/>
          <w:szCs w:val="26"/>
          <w:lang w:val="lt-LT"/>
        </w:rPr>
        <w:t>)</w:t>
      </w:r>
      <w:r w:rsidR="001D42F3" w:rsidRPr="00256BDF">
        <w:rPr>
          <w:sz w:val="26"/>
          <w:szCs w:val="26"/>
          <w:lang w:val="lt-LT"/>
        </w:rPr>
        <w:t>.</w:t>
      </w:r>
      <w:r w:rsidR="001D42F3">
        <w:rPr>
          <w:sz w:val="26"/>
          <w:szCs w:val="26"/>
          <w:lang w:val="lt-LT"/>
        </w:rPr>
        <w:t xml:space="preserve"> </w:t>
      </w:r>
      <w:r>
        <w:rPr>
          <w:sz w:val="26"/>
          <w:szCs w:val="26"/>
          <w:lang w:val="lt-LT"/>
        </w:rPr>
        <w:t xml:space="preserve">Kadangi </w:t>
      </w:r>
      <w:r w:rsidR="00256BDF">
        <w:rPr>
          <w:sz w:val="26"/>
          <w:szCs w:val="26"/>
          <w:lang w:val="lt-LT"/>
        </w:rPr>
        <w:t xml:space="preserve">tolesniam audito rizikos tyrimui būtinas bendras reikšmingo iškraipymo rizikos tvirtinimo lygmeniu vertinimas, tai jo rezultatai, </w:t>
      </w:r>
      <w:r w:rsidR="00D77F1D" w:rsidRPr="00313C2E">
        <w:rPr>
          <w:sz w:val="26"/>
          <w:szCs w:val="26"/>
          <w:lang w:val="lt-LT"/>
        </w:rPr>
        <w:t xml:space="preserve">remiantis </w:t>
      </w:r>
      <w:r w:rsidR="00256BDF">
        <w:rPr>
          <w:sz w:val="26"/>
          <w:szCs w:val="26"/>
          <w:lang w:val="lt-LT"/>
        </w:rPr>
        <w:t>darbo autorės sudaryta 20 pav. Audito rizikos vertinimo schema</w:t>
      </w:r>
      <w:r w:rsidR="00C059E4" w:rsidRPr="00313C2E">
        <w:rPr>
          <w:sz w:val="26"/>
          <w:szCs w:val="26"/>
          <w:lang w:val="lt-LT"/>
        </w:rPr>
        <w:t xml:space="preserve">, </w:t>
      </w:r>
      <w:r w:rsidR="00256BDF">
        <w:rPr>
          <w:sz w:val="26"/>
          <w:szCs w:val="26"/>
          <w:lang w:val="lt-LT"/>
        </w:rPr>
        <w:t xml:space="preserve">apibendrinti </w:t>
      </w:r>
      <w:r w:rsidR="00473ADA" w:rsidRPr="00313C2E">
        <w:rPr>
          <w:sz w:val="26"/>
          <w:szCs w:val="26"/>
          <w:lang w:val="lt-LT"/>
        </w:rPr>
        <w:t>3</w:t>
      </w:r>
      <w:r w:rsidR="00036530">
        <w:rPr>
          <w:sz w:val="26"/>
          <w:szCs w:val="26"/>
          <w:lang w:val="lt-LT"/>
        </w:rPr>
        <w:t>7</w:t>
      </w:r>
      <w:r w:rsidR="00D77F1D" w:rsidRPr="00313C2E">
        <w:rPr>
          <w:sz w:val="26"/>
          <w:szCs w:val="26"/>
          <w:lang w:val="lt-LT"/>
        </w:rPr>
        <w:t xml:space="preserve"> lentelė</w:t>
      </w:r>
      <w:r w:rsidR="00256BDF">
        <w:rPr>
          <w:sz w:val="26"/>
          <w:szCs w:val="26"/>
          <w:lang w:val="lt-LT"/>
        </w:rPr>
        <w:t>je</w:t>
      </w:r>
      <w:r w:rsidR="00087D9C" w:rsidRPr="00313C2E">
        <w:rPr>
          <w:sz w:val="26"/>
          <w:szCs w:val="26"/>
          <w:lang w:val="lt-LT"/>
        </w:rPr>
        <w:t xml:space="preserve">. </w:t>
      </w:r>
      <w:r w:rsidR="00256BDF">
        <w:rPr>
          <w:sz w:val="26"/>
          <w:szCs w:val="26"/>
          <w:lang w:val="lt-LT"/>
        </w:rPr>
        <w:t>Šioje lentelėje r</w:t>
      </w:r>
      <w:r w:rsidR="00256BDF" w:rsidRPr="00313C2E">
        <w:rPr>
          <w:sz w:val="26"/>
          <w:szCs w:val="26"/>
          <w:lang w:val="lt-LT"/>
        </w:rPr>
        <w:t xml:space="preserve">eikšmingo iškraipymo rizikos konkretaus tvirtinimo lygmeniu </w:t>
      </w:r>
      <w:r w:rsidR="00A77D3C">
        <w:rPr>
          <w:sz w:val="26"/>
          <w:szCs w:val="26"/>
          <w:lang w:val="lt-LT"/>
        </w:rPr>
        <w:t xml:space="preserve">įvertinimai (5 ar 6 stulpelis) </w:t>
      </w:r>
      <w:r w:rsidR="00256BDF" w:rsidRPr="00313C2E">
        <w:rPr>
          <w:sz w:val="26"/>
          <w:szCs w:val="26"/>
          <w:lang w:val="lt-LT"/>
        </w:rPr>
        <w:t xml:space="preserve">padaryti atsižvelgiant į tai, kad: </w:t>
      </w:r>
    </w:p>
    <w:p w:rsidR="00256BDF" w:rsidRPr="00313C2E" w:rsidRDefault="00256BDF" w:rsidP="00256BDF">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1) UAB „Žuvila“ </w:t>
      </w:r>
      <w:r w:rsidRPr="00313C2E">
        <w:rPr>
          <w:i/>
          <w:sz w:val="26"/>
          <w:szCs w:val="26"/>
          <w:lang w:val="lt-LT"/>
        </w:rPr>
        <w:t>atsargų</w:t>
      </w:r>
      <w:r w:rsidRPr="00313C2E">
        <w:rPr>
          <w:sz w:val="26"/>
          <w:szCs w:val="26"/>
          <w:lang w:val="lt-LT"/>
        </w:rPr>
        <w:t xml:space="preserve">, į kurias taip pat įeina ir pagamintos produkcijos likučiai, </w:t>
      </w:r>
      <w:r w:rsidRPr="00313C2E">
        <w:rPr>
          <w:sz w:val="26"/>
          <w:szCs w:val="26"/>
          <w:u w:val="single"/>
          <w:lang w:val="lt-LT"/>
        </w:rPr>
        <w:t>buvimo tvirtinimui</w:t>
      </w:r>
      <w:r w:rsidRPr="00313C2E">
        <w:rPr>
          <w:sz w:val="26"/>
          <w:szCs w:val="26"/>
          <w:lang w:val="lt-LT"/>
        </w:rPr>
        <w:t xml:space="preserve"> būdinga vidutinė įgimta rizika, nes įmonės darbuotojai gali norėti pasisavinti lengvai likviduojamas atsargas (maisto produktai), tačiau dėl įdiegtų kontrolės procedūrų – atliekamų inventorizacijų, periodiško sandėlio apskaitos programos ir buhalterinės apskaitos programų duomenų sulyginimo</w:t>
      </w:r>
      <w:r w:rsidR="005E1EC9">
        <w:rPr>
          <w:sz w:val="26"/>
          <w:szCs w:val="26"/>
          <w:lang w:val="lt-LT"/>
        </w:rPr>
        <w:t>,</w:t>
      </w:r>
      <w:r w:rsidRPr="00313C2E">
        <w:rPr>
          <w:sz w:val="26"/>
          <w:szCs w:val="26"/>
          <w:lang w:val="lt-LT"/>
        </w:rPr>
        <w:t xml:space="preserve"> kontrolės rizika yra maža, kas leidžia sumažinti reikšmingo iškraipymo riziką šio tvirtinimo lygmeniu iki mažos rizikos;</w:t>
      </w:r>
    </w:p>
    <w:p w:rsidR="00A77D3C" w:rsidRDefault="00256BDF"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2) </w:t>
      </w:r>
      <w:r w:rsidRPr="00313C2E">
        <w:rPr>
          <w:i/>
          <w:sz w:val="26"/>
          <w:szCs w:val="26"/>
          <w:lang w:val="lt-LT"/>
        </w:rPr>
        <w:t xml:space="preserve">atsargų </w:t>
      </w:r>
      <w:r w:rsidRPr="00313C2E">
        <w:rPr>
          <w:sz w:val="26"/>
          <w:szCs w:val="26"/>
          <w:lang w:val="lt-LT"/>
        </w:rPr>
        <w:t>į</w:t>
      </w:r>
      <w:r w:rsidRPr="00313C2E">
        <w:rPr>
          <w:sz w:val="26"/>
          <w:szCs w:val="26"/>
          <w:u w:val="single"/>
          <w:lang w:val="lt-LT"/>
        </w:rPr>
        <w:t>vertinimo tvirtinimui</w:t>
      </w:r>
      <w:r w:rsidRPr="00313C2E">
        <w:rPr>
          <w:sz w:val="26"/>
          <w:szCs w:val="26"/>
          <w:lang w:val="lt-LT"/>
        </w:rPr>
        <w:t xml:space="preserve"> būdinga vidutinė įgimta rizika, nes įprastai įmonė importuoja žaliavas iš užsienio, todėl registruo</w:t>
      </w:r>
      <w:r w:rsidR="00A77D3C">
        <w:rPr>
          <w:sz w:val="26"/>
          <w:szCs w:val="26"/>
          <w:lang w:val="lt-LT"/>
        </w:rPr>
        <w:t xml:space="preserve">ti </w:t>
      </w:r>
      <w:r w:rsidRPr="00313C2E">
        <w:rPr>
          <w:sz w:val="26"/>
          <w:szCs w:val="26"/>
          <w:lang w:val="lt-LT"/>
        </w:rPr>
        <w:t xml:space="preserve">atsargas </w:t>
      </w:r>
      <w:r w:rsidR="00A77D3C">
        <w:rPr>
          <w:sz w:val="26"/>
          <w:szCs w:val="26"/>
          <w:lang w:val="lt-LT"/>
        </w:rPr>
        <w:t xml:space="preserve">reikia </w:t>
      </w:r>
      <w:r w:rsidRPr="00313C2E">
        <w:rPr>
          <w:sz w:val="26"/>
          <w:szCs w:val="26"/>
          <w:lang w:val="lt-LT"/>
        </w:rPr>
        <w:t>teising</w:t>
      </w:r>
      <w:r w:rsidR="00A77D3C">
        <w:rPr>
          <w:sz w:val="26"/>
          <w:szCs w:val="26"/>
          <w:lang w:val="lt-LT"/>
        </w:rPr>
        <w:t xml:space="preserve">a </w:t>
      </w:r>
      <w:r w:rsidRPr="00313C2E">
        <w:rPr>
          <w:sz w:val="26"/>
          <w:szCs w:val="26"/>
          <w:lang w:val="lt-LT"/>
        </w:rPr>
        <w:t>dat</w:t>
      </w:r>
      <w:r w:rsidR="00A77D3C">
        <w:rPr>
          <w:sz w:val="26"/>
          <w:szCs w:val="26"/>
          <w:lang w:val="lt-LT"/>
        </w:rPr>
        <w:t>a</w:t>
      </w:r>
      <w:r w:rsidRPr="00313C2E">
        <w:rPr>
          <w:sz w:val="26"/>
          <w:szCs w:val="26"/>
          <w:lang w:val="lt-LT"/>
        </w:rPr>
        <w:t xml:space="preserve"> bei tą dieną galiojus</w:t>
      </w:r>
      <w:r w:rsidR="00A77D3C">
        <w:rPr>
          <w:sz w:val="26"/>
          <w:szCs w:val="26"/>
          <w:lang w:val="lt-LT"/>
        </w:rPr>
        <w:t xml:space="preserve">iu </w:t>
      </w:r>
      <w:r w:rsidRPr="00313C2E">
        <w:rPr>
          <w:sz w:val="26"/>
          <w:szCs w:val="26"/>
          <w:lang w:val="lt-LT"/>
        </w:rPr>
        <w:t>užsienio valiutos kurs</w:t>
      </w:r>
      <w:r w:rsidR="00A77D3C">
        <w:rPr>
          <w:sz w:val="26"/>
          <w:szCs w:val="26"/>
          <w:lang w:val="lt-LT"/>
        </w:rPr>
        <w:t>u</w:t>
      </w:r>
      <w:r w:rsidRPr="00313C2E">
        <w:rPr>
          <w:sz w:val="26"/>
          <w:szCs w:val="26"/>
          <w:lang w:val="lt-LT"/>
        </w:rPr>
        <w:t xml:space="preserve">, </w:t>
      </w:r>
      <w:r w:rsidR="005E1EC9">
        <w:rPr>
          <w:sz w:val="26"/>
          <w:szCs w:val="26"/>
          <w:lang w:val="lt-LT"/>
        </w:rPr>
        <w:t xml:space="preserve">taip pat </w:t>
      </w:r>
      <w:r w:rsidRPr="00313C2E">
        <w:rPr>
          <w:sz w:val="26"/>
          <w:szCs w:val="26"/>
          <w:lang w:val="lt-LT"/>
        </w:rPr>
        <w:t xml:space="preserve">svarbu, kad atsargos balanse būtų parodomos tinkama verte, t. y. atėmus pasenusių ir jau neberealizuotinų atsargų/pagamintos produkcijos vertę. Be to, su šiuo tvirtinimu susijusi didelė kontrolės rizika, kuriai valdyti įmonėje, kaip išsiaiškinta tiriant finansinių ataskaitų sudarymo procesą, iš anksto nėra </w:t>
      </w:r>
      <w:r w:rsidRPr="00313C2E">
        <w:rPr>
          <w:sz w:val="26"/>
          <w:szCs w:val="26"/>
          <w:lang w:val="lt-LT"/>
        </w:rPr>
        <w:lastRenderedPageBreak/>
        <w:t>numatyta tinkamų kontrolės procedūrų, todėl reikšmingo iškraipymo rizika šio tvirtinimo lygmeniu nustat</w:t>
      </w:r>
      <w:r w:rsidR="005E1EC9">
        <w:rPr>
          <w:sz w:val="26"/>
          <w:szCs w:val="26"/>
          <w:lang w:val="lt-LT"/>
        </w:rPr>
        <w:t>yta</w:t>
      </w:r>
      <w:r w:rsidRPr="00313C2E">
        <w:rPr>
          <w:sz w:val="26"/>
          <w:szCs w:val="26"/>
          <w:lang w:val="lt-LT"/>
        </w:rPr>
        <w:t xml:space="preserve"> kaip didelė rizika;</w:t>
      </w:r>
      <w:r w:rsidR="00A77D3C" w:rsidRPr="00A77D3C">
        <w:rPr>
          <w:sz w:val="26"/>
          <w:szCs w:val="26"/>
          <w:lang w:val="lt-LT"/>
        </w:rPr>
        <w:t xml:space="preserve"> </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3) </w:t>
      </w:r>
      <w:r w:rsidRPr="00313C2E">
        <w:rPr>
          <w:i/>
          <w:sz w:val="26"/>
          <w:szCs w:val="26"/>
          <w:lang w:val="lt-LT"/>
        </w:rPr>
        <w:t>iš susijusių įmonių gautinų prekybos sumų</w:t>
      </w:r>
      <w:r w:rsidRPr="00313C2E">
        <w:rPr>
          <w:sz w:val="26"/>
          <w:szCs w:val="26"/>
          <w:lang w:val="lt-LT"/>
        </w:rPr>
        <w:t xml:space="preserve"> į</w:t>
      </w:r>
      <w:r w:rsidRPr="00313C2E">
        <w:rPr>
          <w:sz w:val="26"/>
          <w:szCs w:val="26"/>
          <w:u w:val="single"/>
          <w:lang w:val="lt-LT"/>
        </w:rPr>
        <w:t>vertinimo tvirtinimas</w:t>
      </w:r>
      <w:r w:rsidRPr="00313C2E">
        <w:rPr>
          <w:sz w:val="26"/>
          <w:szCs w:val="26"/>
          <w:lang w:val="lt-LT"/>
        </w:rPr>
        <w:t>, susijęs su didele įgimta rizika, nes UAB „Žuvila“ a) gali nustatyti norimas pardavimo kainas, kurios gali būti nepagrįstos pagamintos produkcijos savikaina, b) gautinų sumų likučiai gali būti neperskaičiuoti pagal oficialų valiutos kursą, galiojusį balanso datą, bei c) įmonės vadovybė gali būti nesuinteresuota deramai įvertinti abejotinas sumas. Be to, šiam tvirtinimui būdinga didelė kontrolės rizika, nes įmonėje nėra įdiegtų veiksmingų kontrolės procedūrų, vykdant sandorius su susijusiomis šalimis. Taip pat, nereikėtų pamiršti, kad dėl vykdomų sandorių su susijusiomis šalimis šį tvirtinimą veikia vidutinė įmonės rizika, todėl būtinas reikšmingo iškraipymo rizikos tvirtinimo lygmeniu koregavimas. Atsižvelgiant į išdėstytus argumentus, galima patvirtinti, kad bendrasis įvertinimas yra didelė rizika;</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4) </w:t>
      </w:r>
      <w:r w:rsidRPr="00313C2E">
        <w:rPr>
          <w:i/>
          <w:sz w:val="26"/>
          <w:szCs w:val="26"/>
          <w:lang w:val="lt-LT"/>
        </w:rPr>
        <w:t>skolų kredito įstaigoms</w:t>
      </w:r>
      <w:r w:rsidRPr="00313C2E">
        <w:rPr>
          <w:sz w:val="26"/>
          <w:szCs w:val="26"/>
          <w:lang w:val="lt-LT"/>
        </w:rPr>
        <w:t xml:space="preserve"> </w:t>
      </w:r>
      <w:r w:rsidRPr="00313C2E">
        <w:rPr>
          <w:sz w:val="26"/>
          <w:szCs w:val="26"/>
          <w:u w:val="single"/>
          <w:lang w:val="lt-LT"/>
        </w:rPr>
        <w:t>įvertinimo tvirtinimui</w:t>
      </w:r>
      <w:r w:rsidRPr="00313C2E">
        <w:rPr>
          <w:sz w:val="26"/>
          <w:szCs w:val="26"/>
          <w:lang w:val="lt-LT"/>
        </w:rPr>
        <w:t xml:space="preserve"> būdinga didelė įgimta ir kontrolės rizika, nes įmonė, gali tinkamai neatsižvelgti į kredito įstaigų iškeltas sąlygas ir šiuos įsipareigojimus finansinėse ataskaitose pateik</w:t>
      </w:r>
      <w:r w:rsidR="005E1EC9">
        <w:rPr>
          <w:sz w:val="26"/>
          <w:szCs w:val="26"/>
          <w:lang w:val="lt-LT"/>
        </w:rPr>
        <w:t>ti</w:t>
      </w:r>
      <w:r w:rsidRPr="00313C2E">
        <w:rPr>
          <w:sz w:val="26"/>
          <w:szCs w:val="26"/>
          <w:lang w:val="lt-LT"/>
        </w:rPr>
        <w:t xml:space="preserve"> ar atsklei</w:t>
      </w:r>
      <w:r w:rsidR="005E1EC9">
        <w:rPr>
          <w:sz w:val="26"/>
          <w:szCs w:val="26"/>
          <w:lang w:val="lt-LT"/>
        </w:rPr>
        <w:t>sti</w:t>
      </w:r>
      <w:r w:rsidRPr="00313C2E">
        <w:rPr>
          <w:sz w:val="26"/>
          <w:szCs w:val="26"/>
          <w:lang w:val="lt-LT"/>
        </w:rPr>
        <w:t xml:space="preserve"> klaidingai, o, be to, susijusių kontrolės procedūrų tiriant finansinių ataskaitų sudarymo procesą nustatyta nebuvo. Todėl reikšmingo iškraipymo rizikos šio tvirtinimo lygmeniu vertinimas yra didelė rizika;</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5) vertinant </w:t>
      </w:r>
      <w:r w:rsidRPr="00313C2E">
        <w:rPr>
          <w:i/>
          <w:sz w:val="26"/>
          <w:szCs w:val="26"/>
          <w:lang w:val="lt-LT"/>
        </w:rPr>
        <w:t xml:space="preserve">atidėtojo mokesčio įsipareigojimą </w:t>
      </w:r>
      <w:r w:rsidRPr="00313C2E">
        <w:rPr>
          <w:sz w:val="26"/>
          <w:szCs w:val="26"/>
          <w:lang w:val="lt-LT"/>
        </w:rPr>
        <w:t>(į</w:t>
      </w:r>
      <w:r w:rsidRPr="00313C2E">
        <w:rPr>
          <w:sz w:val="26"/>
          <w:szCs w:val="26"/>
          <w:u w:val="single"/>
          <w:lang w:val="lt-LT"/>
        </w:rPr>
        <w:t>vertinimo tvirtinimas</w:t>
      </w:r>
      <w:r w:rsidRPr="00313C2E">
        <w:rPr>
          <w:sz w:val="26"/>
          <w:szCs w:val="26"/>
          <w:lang w:val="lt-LT"/>
        </w:rPr>
        <w:t xml:space="preserve">) priimami subjektyvūs sprendimai, kurie turi įtakos finansinio rezultato dydžiui (įmonės ilgalaikis materialusis turtas – žemė ir pastatai </w:t>
      </w:r>
      <w:r w:rsidR="0006497F">
        <w:rPr>
          <w:sz w:val="26"/>
          <w:szCs w:val="26"/>
          <w:lang w:val="lt-LT"/>
        </w:rPr>
        <w:t>yra apskaitomi perkainota verte</w:t>
      </w:r>
      <w:r w:rsidRPr="00313C2E">
        <w:rPr>
          <w:sz w:val="26"/>
          <w:szCs w:val="26"/>
          <w:lang w:val="lt-LT"/>
        </w:rPr>
        <w:t>), o kontrolės procedūros šiuo atveju UAB</w:t>
      </w:r>
      <w:r>
        <w:rPr>
          <w:sz w:val="26"/>
          <w:szCs w:val="26"/>
          <w:lang w:val="lt-LT"/>
        </w:rPr>
        <w:t> </w:t>
      </w:r>
      <w:r w:rsidRPr="00313C2E">
        <w:rPr>
          <w:sz w:val="26"/>
          <w:szCs w:val="26"/>
          <w:lang w:val="lt-LT"/>
        </w:rPr>
        <w:t>„Žuvila“ yra minimalios</w:t>
      </w:r>
      <w:r w:rsidR="005E1EC9">
        <w:rPr>
          <w:sz w:val="26"/>
          <w:szCs w:val="26"/>
          <w:lang w:val="lt-LT"/>
        </w:rPr>
        <w:t>. T</w:t>
      </w:r>
      <w:r w:rsidRPr="00313C2E">
        <w:rPr>
          <w:sz w:val="26"/>
          <w:szCs w:val="26"/>
          <w:lang w:val="lt-LT"/>
        </w:rPr>
        <w:t xml:space="preserve">odėl tiek įgimta, tiek kontrolės rizika šio tvirtinimo lygmeniu yra didelė rizika. </w:t>
      </w:r>
      <w:r w:rsidR="005E1EC9">
        <w:rPr>
          <w:sz w:val="26"/>
          <w:szCs w:val="26"/>
          <w:lang w:val="lt-LT"/>
        </w:rPr>
        <w:t>Svarbu</w:t>
      </w:r>
      <w:r w:rsidRPr="00313C2E">
        <w:rPr>
          <w:sz w:val="26"/>
          <w:szCs w:val="26"/>
          <w:lang w:val="lt-LT"/>
        </w:rPr>
        <w:t xml:space="preserve"> pripažinti, jog atidėtojo mokesčio įsipareigojimo įvertinimo tvirtinimą veikia ir vidutinė įmonės rizika (vykdomi sandoriai su susijusiomis šalimis), todėl bendras reikšmingo iškraipymo rizikos šiuo lygmeniu </w:t>
      </w:r>
      <w:r w:rsidR="0006497F">
        <w:rPr>
          <w:sz w:val="26"/>
          <w:szCs w:val="26"/>
          <w:lang w:val="lt-LT"/>
        </w:rPr>
        <w:t>į</w:t>
      </w:r>
      <w:r w:rsidRPr="00313C2E">
        <w:rPr>
          <w:sz w:val="26"/>
          <w:szCs w:val="26"/>
          <w:lang w:val="lt-LT"/>
        </w:rPr>
        <w:t xml:space="preserve">vertinimas </w:t>
      </w:r>
      <w:r w:rsidR="0006497F">
        <w:rPr>
          <w:sz w:val="26"/>
          <w:szCs w:val="26"/>
          <w:lang w:val="lt-LT"/>
        </w:rPr>
        <w:t xml:space="preserve">išlieka kaip </w:t>
      </w:r>
      <w:r w:rsidRPr="00313C2E">
        <w:rPr>
          <w:sz w:val="26"/>
          <w:szCs w:val="26"/>
          <w:lang w:val="lt-LT"/>
        </w:rPr>
        <w:t>didelė rizika;</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6) </w:t>
      </w:r>
      <w:r w:rsidRPr="00313C2E">
        <w:rPr>
          <w:i/>
          <w:sz w:val="26"/>
          <w:szCs w:val="26"/>
          <w:lang w:val="lt-LT"/>
        </w:rPr>
        <w:t>skolų tiekėjams</w:t>
      </w:r>
      <w:r w:rsidRPr="00313C2E">
        <w:rPr>
          <w:sz w:val="26"/>
          <w:szCs w:val="26"/>
          <w:lang w:val="lt-LT"/>
        </w:rPr>
        <w:t xml:space="preserve"> </w:t>
      </w:r>
      <w:r w:rsidRPr="00313C2E">
        <w:rPr>
          <w:i/>
          <w:sz w:val="26"/>
          <w:szCs w:val="26"/>
          <w:lang w:val="lt-LT"/>
        </w:rPr>
        <w:t>ir skolų susijusioms šalims</w:t>
      </w:r>
      <w:r w:rsidRPr="00313C2E">
        <w:rPr>
          <w:sz w:val="26"/>
          <w:szCs w:val="26"/>
          <w:lang w:val="lt-LT"/>
        </w:rPr>
        <w:t xml:space="preserve"> </w:t>
      </w:r>
      <w:r w:rsidRPr="00313C2E">
        <w:rPr>
          <w:sz w:val="26"/>
          <w:szCs w:val="26"/>
          <w:u w:val="single"/>
          <w:lang w:val="lt-LT"/>
        </w:rPr>
        <w:t>išsamumo tvirtinimui</w:t>
      </w:r>
      <w:r w:rsidRPr="00313C2E">
        <w:rPr>
          <w:sz w:val="26"/>
          <w:szCs w:val="26"/>
          <w:lang w:val="lt-LT"/>
        </w:rPr>
        <w:t xml:space="preserve"> būdinga vidutinė įgimta rizika, nes įmonė, įvykdžius pirkimus užsienyje, gali </w:t>
      </w:r>
      <w:r w:rsidRPr="00313C2E">
        <w:rPr>
          <w:sz w:val="26"/>
          <w:szCs w:val="26"/>
          <w:lang w:val="lt-LT"/>
        </w:rPr>
        <w:lastRenderedPageBreak/>
        <w:t>laiku apskai</w:t>
      </w:r>
      <w:r w:rsidR="005E1EC9">
        <w:rPr>
          <w:sz w:val="26"/>
          <w:szCs w:val="26"/>
          <w:lang w:val="lt-LT"/>
        </w:rPr>
        <w:t>toje neužregistruoti visų skolų,</w:t>
      </w:r>
      <w:r w:rsidRPr="00313C2E">
        <w:rPr>
          <w:sz w:val="26"/>
          <w:szCs w:val="26"/>
          <w:lang w:val="lt-LT"/>
        </w:rPr>
        <w:t xml:space="preserve"> gali jas atvaizduoti netinkamu laikotarpiu (Incoterms sąlygų nesilaikymas), tačiau dėl egzistuojančių pirkimų proceso kontrolės procedūrų kontrolės rizika – maža. Atsižvelgiant į tai, reikšmingo iškraipymo rizika šio tvirtinimo lygmeniu yra maža rizika;</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7) </w:t>
      </w:r>
      <w:r w:rsidRPr="00313C2E">
        <w:rPr>
          <w:i/>
          <w:sz w:val="26"/>
          <w:szCs w:val="26"/>
          <w:lang w:val="lt-LT"/>
        </w:rPr>
        <w:t>skolų tiekėjams</w:t>
      </w:r>
      <w:r w:rsidRPr="00313C2E">
        <w:rPr>
          <w:sz w:val="26"/>
          <w:szCs w:val="26"/>
          <w:lang w:val="lt-LT"/>
        </w:rPr>
        <w:t xml:space="preserve"> </w:t>
      </w:r>
      <w:r w:rsidRPr="00313C2E">
        <w:rPr>
          <w:i/>
          <w:sz w:val="26"/>
          <w:szCs w:val="26"/>
          <w:lang w:val="lt-LT"/>
        </w:rPr>
        <w:t>ir skolų susijusioms šalims</w:t>
      </w:r>
      <w:r w:rsidRPr="00313C2E">
        <w:rPr>
          <w:sz w:val="26"/>
          <w:szCs w:val="26"/>
          <w:lang w:val="lt-LT"/>
        </w:rPr>
        <w:t xml:space="preserve"> į</w:t>
      </w:r>
      <w:r w:rsidRPr="00313C2E">
        <w:rPr>
          <w:sz w:val="26"/>
          <w:szCs w:val="26"/>
          <w:u w:val="single"/>
          <w:lang w:val="lt-LT"/>
        </w:rPr>
        <w:t>vertinimo tvirtinimas</w:t>
      </w:r>
      <w:r w:rsidRPr="00313C2E">
        <w:rPr>
          <w:sz w:val="26"/>
          <w:szCs w:val="26"/>
          <w:lang w:val="lt-LT"/>
        </w:rPr>
        <w:t xml:space="preserve"> yra susijęs su vidutine įgimta bei kontrolės rizika, nes įmonė dėl netinkamo Incoterms sąlygų interpretavimo, gali skolas tiekėjams apskaityti netinkama verte (nebus pritaikytas teisingas oficialus užsienio valiutos kursas), o kontrolės procedūros gali nesuveikti kaip pridera. Todėl bendras reikšmingo iškraipymo rizikos vertinimas yra vidutinė rizika;</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8) </w:t>
      </w:r>
      <w:r w:rsidRPr="00313C2E">
        <w:rPr>
          <w:i/>
          <w:sz w:val="26"/>
          <w:szCs w:val="26"/>
          <w:lang w:val="lt-LT"/>
        </w:rPr>
        <w:t>su darbo santykiais susijusių įsipareigojimų</w:t>
      </w:r>
      <w:r w:rsidRPr="00313C2E">
        <w:rPr>
          <w:sz w:val="26"/>
          <w:szCs w:val="26"/>
          <w:lang w:val="lt-LT"/>
        </w:rPr>
        <w:t xml:space="preserve"> </w:t>
      </w:r>
      <w:r w:rsidRPr="00313C2E">
        <w:rPr>
          <w:sz w:val="26"/>
          <w:szCs w:val="26"/>
          <w:u w:val="single"/>
          <w:lang w:val="lt-LT"/>
        </w:rPr>
        <w:t>išsamumo tvirtinimui</w:t>
      </w:r>
      <w:r w:rsidRPr="00313C2E">
        <w:rPr>
          <w:sz w:val="26"/>
          <w:szCs w:val="26"/>
          <w:lang w:val="lt-LT"/>
        </w:rPr>
        <w:t xml:space="preserve"> būdinga maža įgimta ir kontrolės rizikos, nes įmonė stengiasi tinkamai atsiskaityti su įmonės darbuotojais ir tai užtikrina jos taikomos darbo apmokėjimo proceso kontrolės procedūros. Taigi reikšmingo iškraipymo rizika šio tvirtinimo lygmeniu yra maža rizika;</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9) </w:t>
      </w:r>
      <w:r w:rsidRPr="00313C2E">
        <w:rPr>
          <w:i/>
          <w:sz w:val="26"/>
          <w:szCs w:val="26"/>
          <w:lang w:val="lt-LT"/>
        </w:rPr>
        <w:t>su darbo santykiais susijusių įsipareigojimų</w:t>
      </w:r>
      <w:r w:rsidRPr="00313C2E">
        <w:rPr>
          <w:sz w:val="26"/>
          <w:szCs w:val="26"/>
          <w:lang w:val="lt-LT"/>
        </w:rPr>
        <w:t xml:space="preserve"> straipsnis apima reikšmingas atostoginių kaupimų sumas, apskaičiuotas ne pagal kiekvieno darbuotojo neišnaudotas kasmetinių atostogų dienas ir vidutinį jo darbo užmokestį, o pagal įmonės vidutines darbo užmokesčio sąnaudas, kas apsunkina į</w:t>
      </w:r>
      <w:r w:rsidRPr="00313C2E">
        <w:rPr>
          <w:sz w:val="26"/>
          <w:szCs w:val="26"/>
          <w:u w:val="single"/>
          <w:lang w:val="lt-LT"/>
        </w:rPr>
        <w:t>vertinimo tvirtinimo</w:t>
      </w:r>
      <w:r w:rsidRPr="00313C2E">
        <w:rPr>
          <w:sz w:val="26"/>
          <w:szCs w:val="26"/>
          <w:lang w:val="lt-LT"/>
        </w:rPr>
        <w:t xml:space="preserve"> patikrinimą. Kadangi šio tvirtinimo lygmeniu egzistuoja vidutinė įgimta rizika, o kontrolės rizika dėl įdiegto darbo apmokėjimo proceso yra maža, tai reikšmingo iškraipymo rizika yra maža;</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10) </w:t>
      </w:r>
      <w:r w:rsidRPr="00313C2E">
        <w:rPr>
          <w:i/>
          <w:sz w:val="26"/>
          <w:szCs w:val="26"/>
          <w:lang w:val="lt-LT"/>
        </w:rPr>
        <w:t xml:space="preserve">pardavimo pajamų </w:t>
      </w:r>
      <w:r w:rsidRPr="00313C2E">
        <w:rPr>
          <w:sz w:val="26"/>
          <w:szCs w:val="26"/>
          <w:u w:val="single"/>
          <w:lang w:val="lt-LT"/>
        </w:rPr>
        <w:t>tikslumo tvirtinimas</w:t>
      </w:r>
      <w:r w:rsidRPr="00313C2E">
        <w:rPr>
          <w:sz w:val="26"/>
          <w:szCs w:val="26"/>
          <w:lang w:val="lt-LT"/>
        </w:rPr>
        <w:t xml:space="preserve"> susijęs su didele įgimta rizika</w:t>
      </w:r>
      <w:r w:rsidR="002C02C7">
        <w:rPr>
          <w:sz w:val="26"/>
          <w:szCs w:val="26"/>
          <w:lang w:val="lt-LT"/>
        </w:rPr>
        <w:t xml:space="preserve"> (</w:t>
      </w:r>
      <w:r w:rsidR="00BB1F6E" w:rsidRPr="00313C2E">
        <w:rPr>
          <w:sz w:val="26"/>
          <w:szCs w:val="26"/>
          <w:lang w:val="lt-LT"/>
        </w:rPr>
        <w:t xml:space="preserve">įmonė </w:t>
      </w:r>
      <w:r w:rsidRPr="00313C2E">
        <w:rPr>
          <w:sz w:val="26"/>
          <w:szCs w:val="26"/>
          <w:lang w:val="lt-LT"/>
        </w:rPr>
        <w:t>d</w:t>
      </w:r>
      <w:r w:rsidR="00BB1F6E">
        <w:rPr>
          <w:sz w:val="26"/>
          <w:szCs w:val="26"/>
          <w:lang w:val="lt-LT"/>
        </w:rPr>
        <w:t xml:space="preserve">augiausia </w:t>
      </w:r>
      <w:r w:rsidRPr="00313C2E">
        <w:rPr>
          <w:sz w:val="26"/>
          <w:szCs w:val="26"/>
          <w:lang w:val="lt-LT"/>
        </w:rPr>
        <w:t>pard</w:t>
      </w:r>
      <w:r w:rsidR="00BB1F6E">
        <w:rPr>
          <w:sz w:val="26"/>
          <w:szCs w:val="26"/>
          <w:lang w:val="lt-LT"/>
        </w:rPr>
        <w:t xml:space="preserve">avimų vykdo su </w:t>
      </w:r>
      <w:r w:rsidRPr="00313C2E">
        <w:rPr>
          <w:sz w:val="26"/>
          <w:szCs w:val="26"/>
          <w:lang w:val="lt-LT"/>
        </w:rPr>
        <w:t>susijusiom</w:t>
      </w:r>
      <w:r w:rsidR="00BB1F6E">
        <w:rPr>
          <w:sz w:val="26"/>
          <w:szCs w:val="26"/>
          <w:lang w:val="lt-LT"/>
        </w:rPr>
        <w:t>i</w:t>
      </w:r>
      <w:r w:rsidRPr="00313C2E">
        <w:rPr>
          <w:sz w:val="26"/>
          <w:szCs w:val="26"/>
          <w:lang w:val="lt-LT"/>
        </w:rPr>
        <w:t>s šalim</w:t>
      </w:r>
      <w:r w:rsidR="00BB1F6E">
        <w:rPr>
          <w:sz w:val="26"/>
          <w:szCs w:val="26"/>
          <w:lang w:val="lt-LT"/>
        </w:rPr>
        <w:t>i</w:t>
      </w:r>
      <w:r w:rsidRPr="00313C2E">
        <w:rPr>
          <w:sz w:val="26"/>
          <w:szCs w:val="26"/>
          <w:lang w:val="lt-LT"/>
        </w:rPr>
        <w:t>s ir</w:t>
      </w:r>
      <w:r w:rsidR="00BB1F6E">
        <w:rPr>
          <w:sz w:val="26"/>
          <w:szCs w:val="26"/>
          <w:lang w:val="lt-LT"/>
        </w:rPr>
        <w:t xml:space="preserve"> čia </w:t>
      </w:r>
      <w:r w:rsidRPr="00313C2E">
        <w:rPr>
          <w:sz w:val="26"/>
          <w:szCs w:val="26"/>
          <w:lang w:val="lt-LT"/>
        </w:rPr>
        <w:t xml:space="preserve">nėra tinkamos </w:t>
      </w:r>
      <w:r w:rsidR="00BB1F6E">
        <w:rPr>
          <w:sz w:val="26"/>
          <w:szCs w:val="26"/>
          <w:lang w:val="lt-LT"/>
        </w:rPr>
        <w:t xml:space="preserve">bei </w:t>
      </w:r>
      <w:r w:rsidRPr="00313C2E">
        <w:rPr>
          <w:sz w:val="26"/>
          <w:szCs w:val="26"/>
          <w:lang w:val="lt-LT"/>
        </w:rPr>
        <w:t xml:space="preserve">nepriklausomos kainodaros </w:t>
      </w:r>
      <w:r w:rsidR="00BB1F6E">
        <w:rPr>
          <w:sz w:val="26"/>
          <w:szCs w:val="26"/>
          <w:lang w:val="lt-LT"/>
        </w:rPr>
        <w:t>politikos</w:t>
      </w:r>
      <w:r w:rsidR="002C02C7">
        <w:rPr>
          <w:sz w:val="26"/>
          <w:szCs w:val="26"/>
          <w:lang w:val="lt-LT"/>
        </w:rPr>
        <w:t xml:space="preserve">) ir </w:t>
      </w:r>
      <w:r w:rsidR="002C02C7" w:rsidRPr="00313C2E">
        <w:rPr>
          <w:sz w:val="26"/>
          <w:szCs w:val="26"/>
          <w:lang w:val="lt-LT"/>
        </w:rPr>
        <w:t>maža</w:t>
      </w:r>
      <w:r w:rsidR="002C02C7" w:rsidRPr="002C02C7">
        <w:rPr>
          <w:sz w:val="26"/>
          <w:szCs w:val="26"/>
          <w:lang w:val="lt-LT"/>
        </w:rPr>
        <w:t xml:space="preserve"> </w:t>
      </w:r>
      <w:r w:rsidR="002C02C7" w:rsidRPr="00313C2E">
        <w:rPr>
          <w:sz w:val="26"/>
          <w:szCs w:val="26"/>
          <w:lang w:val="lt-LT"/>
        </w:rPr>
        <w:t>kontrolės rizika</w:t>
      </w:r>
      <w:r w:rsidR="002C02C7">
        <w:rPr>
          <w:sz w:val="26"/>
          <w:szCs w:val="26"/>
          <w:lang w:val="lt-LT"/>
        </w:rPr>
        <w:t xml:space="preserve"> (</w:t>
      </w:r>
      <w:r w:rsidR="002C02C7" w:rsidRPr="00313C2E">
        <w:rPr>
          <w:sz w:val="26"/>
          <w:szCs w:val="26"/>
          <w:lang w:val="lt-LT"/>
        </w:rPr>
        <w:t xml:space="preserve">egzistuoja </w:t>
      </w:r>
      <w:r w:rsidRPr="00313C2E">
        <w:rPr>
          <w:sz w:val="26"/>
          <w:szCs w:val="26"/>
          <w:lang w:val="lt-LT"/>
        </w:rPr>
        <w:t>tinkamos kontrolės procedūros, kad visi pardavimai buhalterinėje apskaitoje būtų užregistruoti</w:t>
      </w:r>
      <w:r w:rsidR="002C02C7">
        <w:rPr>
          <w:sz w:val="26"/>
          <w:szCs w:val="26"/>
          <w:lang w:val="lt-LT"/>
        </w:rPr>
        <w:t>)</w:t>
      </w:r>
      <w:r w:rsidRPr="00313C2E">
        <w:rPr>
          <w:sz w:val="26"/>
          <w:szCs w:val="26"/>
          <w:lang w:val="lt-LT"/>
        </w:rPr>
        <w:t>. Nors reikšmingo iškraipymo rizika dėl pardavimo pajamų tikslumo tvirtinimo būtų vidutinė rizika, bet, kadangi šį tvirtinimą veikia vidutinė įmonės rizika ir vidutinė apgaulės rizika, tai galutinis reikšmingo iškraipymo rizikos vertinimas yra didelė rizika;</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lastRenderedPageBreak/>
        <w:t xml:space="preserve">11) </w:t>
      </w:r>
      <w:r w:rsidRPr="00313C2E">
        <w:rPr>
          <w:i/>
          <w:sz w:val="26"/>
          <w:szCs w:val="26"/>
          <w:lang w:val="lt-LT"/>
        </w:rPr>
        <w:t>pardavimo savikainos</w:t>
      </w:r>
      <w:r w:rsidRPr="00313C2E">
        <w:rPr>
          <w:sz w:val="26"/>
          <w:szCs w:val="26"/>
          <w:lang w:val="lt-LT"/>
        </w:rPr>
        <w:t xml:space="preserve"> </w:t>
      </w:r>
      <w:r w:rsidRPr="00313C2E">
        <w:rPr>
          <w:sz w:val="26"/>
          <w:szCs w:val="26"/>
          <w:u w:val="single"/>
          <w:lang w:val="lt-LT"/>
        </w:rPr>
        <w:t>tikslumo tvirtinimu</w:t>
      </w:r>
      <w:r w:rsidRPr="00313C2E">
        <w:rPr>
          <w:sz w:val="26"/>
          <w:szCs w:val="26"/>
          <w:lang w:val="lt-LT"/>
        </w:rPr>
        <w:t xml:space="preserve"> egzistuoja vidutinė įgimta rizika, nes tai susiję su tinkamu Incoterms sąlygų taikymu įsigyjant atsargas bei vėlesniu jų nurašymu perdavus jas į gamybą. Dėl veikiančių pirkimų proceso kontrolės procedūrų kontrolės rizika šio tvirtinimo lygmeniu yra maža, </w:t>
      </w:r>
      <w:r w:rsidR="002C02C7">
        <w:rPr>
          <w:sz w:val="26"/>
          <w:szCs w:val="26"/>
          <w:lang w:val="lt-LT"/>
        </w:rPr>
        <w:t xml:space="preserve">kas </w:t>
      </w:r>
      <w:r w:rsidRPr="00313C2E">
        <w:rPr>
          <w:sz w:val="26"/>
          <w:szCs w:val="26"/>
          <w:lang w:val="lt-LT"/>
        </w:rPr>
        <w:t xml:space="preserve">ir lemia mažą reikšmingo iškraipymo riziką. Tačiau dėl </w:t>
      </w:r>
      <w:r w:rsidR="002C02C7">
        <w:rPr>
          <w:sz w:val="26"/>
          <w:szCs w:val="26"/>
          <w:lang w:val="lt-LT"/>
        </w:rPr>
        <w:t xml:space="preserve">nustatytos </w:t>
      </w:r>
      <w:r w:rsidRPr="00313C2E">
        <w:rPr>
          <w:sz w:val="26"/>
          <w:szCs w:val="26"/>
          <w:lang w:val="lt-LT"/>
        </w:rPr>
        <w:t xml:space="preserve">vidutinės apgaulės rizikos, susijusios su vadovybės siekiu plėsti veiklą, galutinis </w:t>
      </w:r>
      <w:r w:rsidR="002C02C7">
        <w:rPr>
          <w:sz w:val="26"/>
          <w:szCs w:val="26"/>
          <w:lang w:val="lt-LT"/>
        </w:rPr>
        <w:t xml:space="preserve">šios </w:t>
      </w:r>
      <w:r w:rsidRPr="00313C2E">
        <w:rPr>
          <w:sz w:val="26"/>
          <w:szCs w:val="26"/>
          <w:lang w:val="lt-LT"/>
        </w:rPr>
        <w:t>reikšmingo iškraipymo rizikos vertinimas yra vidutinė rizika;</w:t>
      </w:r>
    </w:p>
    <w:p w:rsidR="00A77D3C" w:rsidRPr="00313C2E" w:rsidRDefault="00A77D3C" w:rsidP="00A77D3C">
      <w:pPr>
        <w:pStyle w:val="NormalWeb"/>
        <w:spacing w:before="0" w:beforeAutospacing="0" w:after="0" w:afterAutospacing="0" w:line="360" w:lineRule="auto"/>
        <w:ind w:firstLine="720"/>
        <w:jc w:val="both"/>
        <w:rPr>
          <w:sz w:val="26"/>
          <w:szCs w:val="26"/>
          <w:lang w:val="lt-LT"/>
        </w:rPr>
      </w:pPr>
      <w:r w:rsidRPr="00313C2E">
        <w:rPr>
          <w:sz w:val="26"/>
          <w:szCs w:val="26"/>
          <w:lang w:val="lt-LT"/>
        </w:rPr>
        <w:t xml:space="preserve">12) </w:t>
      </w:r>
      <w:r w:rsidRPr="00313C2E">
        <w:rPr>
          <w:i/>
          <w:sz w:val="26"/>
          <w:szCs w:val="26"/>
          <w:lang w:val="lt-LT"/>
        </w:rPr>
        <w:t>veiklos sąnaudų, susijusių su darbo užmokesči</w:t>
      </w:r>
      <w:r w:rsidR="0006497F">
        <w:rPr>
          <w:i/>
          <w:sz w:val="26"/>
          <w:szCs w:val="26"/>
          <w:lang w:val="lt-LT"/>
        </w:rPr>
        <w:t>u</w:t>
      </w:r>
      <w:r w:rsidRPr="00313C2E">
        <w:rPr>
          <w:i/>
          <w:sz w:val="26"/>
          <w:szCs w:val="26"/>
          <w:lang w:val="lt-LT"/>
        </w:rPr>
        <w:t xml:space="preserve">, </w:t>
      </w:r>
      <w:r w:rsidRPr="00313C2E">
        <w:rPr>
          <w:sz w:val="26"/>
          <w:szCs w:val="26"/>
          <w:u w:val="single"/>
          <w:lang w:val="lt-LT"/>
        </w:rPr>
        <w:t>tikslumo tvirtinimu</w:t>
      </w:r>
      <w:r w:rsidRPr="00313C2E">
        <w:rPr>
          <w:sz w:val="26"/>
          <w:szCs w:val="26"/>
          <w:lang w:val="lt-LT"/>
        </w:rPr>
        <w:t xml:space="preserve"> egzistuoja maža įgimta ir kontrolės rizikos dėl priežasčių, kurios buvo aptartos prie su darbo santykiais susijusių įsipareigojimų straipsnio.</w:t>
      </w:r>
    </w:p>
    <w:p w:rsidR="00223ACB" w:rsidRPr="00313C2E" w:rsidRDefault="00473ADA" w:rsidP="00BB1F6E">
      <w:pPr>
        <w:ind w:firstLine="720"/>
        <w:jc w:val="right"/>
        <w:rPr>
          <w:i/>
          <w:sz w:val="26"/>
          <w:szCs w:val="26"/>
          <w:lang w:val="lt-LT"/>
        </w:rPr>
      </w:pPr>
      <w:r w:rsidRPr="00313C2E">
        <w:rPr>
          <w:i/>
          <w:sz w:val="26"/>
          <w:szCs w:val="26"/>
          <w:lang w:val="lt-LT"/>
        </w:rPr>
        <w:t>3</w:t>
      </w:r>
      <w:r w:rsidR="00036530">
        <w:rPr>
          <w:i/>
          <w:sz w:val="26"/>
          <w:szCs w:val="26"/>
          <w:lang w:val="lt-LT"/>
        </w:rPr>
        <w:t>7</w:t>
      </w:r>
      <w:r w:rsidR="00223ACB" w:rsidRPr="00313C2E">
        <w:rPr>
          <w:i/>
          <w:sz w:val="26"/>
          <w:szCs w:val="26"/>
          <w:lang w:val="lt-LT"/>
        </w:rPr>
        <w:t xml:space="preserve"> lentelė</w:t>
      </w:r>
    </w:p>
    <w:p w:rsidR="00223ACB" w:rsidRPr="00313C2E" w:rsidRDefault="00223ACB" w:rsidP="00BB1F6E">
      <w:pPr>
        <w:pStyle w:val="NormalWeb"/>
        <w:spacing w:before="0" w:beforeAutospacing="0" w:after="0" w:afterAutospacing="0"/>
        <w:jc w:val="center"/>
        <w:rPr>
          <w:sz w:val="26"/>
          <w:szCs w:val="26"/>
          <w:lang w:val="lt-LT"/>
        </w:rPr>
      </w:pPr>
      <w:r w:rsidRPr="00313C2E">
        <w:rPr>
          <w:b/>
          <w:sz w:val="26"/>
          <w:szCs w:val="26"/>
          <w:lang w:val="lt-LT"/>
        </w:rPr>
        <w:t>UAB „</w:t>
      </w:r>
      <w:r w:rsidR="003A5C8C" w:rsidRPr="00313C2E">
        <w:rPr>
          <w:b/>
          <w:sz w:val="26"/>
          <w:szCs w:val="26"/>
          <w:lang w:val="lt-LT"/>
        </w:rPr>
        <w:t>Žuvila</w:t>
      </w:r>
      <w:r w:rsidRPr="00313C2E">
        <w:rPr>
          <w:b/>
          <w:sz w:val="26"/>
          <w:szCs w:val="26"/>
          <w:lang w:val="lt-LT"/>
        </w:rPr>
        <w:t xml:space="preserve">“ reikšmingo iškraipymo rizikos tvirtinimo lygmeniu </w:t>
      </w:r>
      <w:r w:rsidR="00574CBE">
        <w:rPr>
          <w:b/>
          <w:sz w:val="26"/>
          <w:szCs w:val="26"/>
          <w:lang w:val="lt-LT"/>
        </w:rPr>
        <w:t>įvertinimas</w:t>
      </w:r>
    </w:p>
    <w:tbl>
      <w:tblPr>
        <w:tblStyle w:val="TableGrid"/>
        <w:tblW w:w="0" w:type="auto"/>
        <w:jc w:val="center"/>
        <w:tblInd w:w="85" w:type="dxa"/>
        <w:tblLook w:val="04A0"/>
      </w:tblPr>
      <w:tblGrid>
        <w:gridCol w:w="3185"/>
        <w:gridCol w:w="850"/>
        <w:gridCol w:w="993"/>
        <w:gridCol w:w="992"/>
        <w:gridCol w:w="1134"/>
        <w:gridCol w:w="1255"/>
      </w:tblGrid>
      <w:tr w:rsidR="00BB1F6E" w:rsidRPr="00313C2E" w:rsidTr="000D5B81">
        <w:trPr>
          <w:cantSplit/>
          <w:trHeight w:val="1690"/>
          <w:jc w:val="center"/>
        </w:trPr>
        <w:tc>
          <w:tcPr>
            <w:tcW w:w="3185" w:type="dxa"/>
            <w:vAlign w:val="center"/>
          </w:tcPr>
          <w:p w:rsidR="00223ACB" w:rsidRPr="00313C2E" w:rsidRDefault="00223ACB" w:rsidP="001C690D">
            <w:pPr>
              <w:pStyle w:val="NormalWeb"/>
              <w:spacing w:before="0" w:beforeAutospacing="0" w:after="0" w:afterAutospacing="0"/>
              <w:jc w:val="center"/>
              <w:rPr>
                <w:b/>
                <w:sz w:val="22"/>
                <w:szCs w:val="22"/>
                <w:lang w:val="lt-LT"/>
              </w:rPr>
            </w:pPr>
            <w:r w:rsidRPr="00313C2E">
              <w:rPr>
                <w:b/>
                <w:sz w:val="22"/>
                <w:szCs w:val="22"/>
                <w:lang w:val="lt-LT"/>
              </w:rPr>
              <w:t>Finansinių ataskaitų elementas</w:t>
            </w:r>
          </w:p>
        </w:tc>
        <w:tc>
          <w:tcPr>
            <w:tcW w:w="850" w:type="dxa"/>
            <w:textDirection w:val="btLr"/>
          </w:tcPr>
          <w:p w:rsidR="00223ACB" w:rsidRPr="00313C2E" w:rsidRDefault="00223ACB" w:rsidP="001C690D">
            <w:pPr>
              <w:pStyle w:val="NormalWeb"/>
              <w:spacing w:before="0" w:beforeAutospacing="0" w:after="0" w:afterAutospacing="0"/>
              <w:ind w:left="113" w:right="113"/>
              <w:jc w:val="center"/>
              <w:rPr>
                <w:b/>
                <w:sz w:val="22"/>
                <w:szCs w:val="22"/>
                <w:lang w:val="lt-LT"/>
              </w:rPr>
            </w:pPr>
            <w:r w:rsidRPr="00313C2E">
              <w:rPr>
                <w:b/>
                <w:sz w:val="22"/>
                <w:szCs w:val="22"/>
                <w:lang w:val="lt-LT"/>
              </w:rPr>
              <w:t>Susijęs tvirtinimas</w:t>
            </w:r>
          </w:p>
        </w:tc>
        <w:tc>
          <w:tcPr>
            <w:tcW w:w="993" w:type="dxa"/>
            <w:textDirection w:val="btLr"/>
          </w:tcPr>
          <w:p w:rsidR="00223ACB" w:rsidRPr="00313C2E" w:rsidRDefault="00223ACB" w:rsidP="001C690D">
            <w:pPr>
              <w:pStyle w:val="NormalWeb"/>
              <w:spacing w:before="0" w:beforeAutospacing="0" w:after="0" w:afterAutospacing="0"/>
              <w:ind w:left="113" w:right="113"/>
              <w:jc w:val="center"/>
              <w:rPr>
                <w:b/>
                <w:sz w:val="22"/>
                <w:szCs w:val="22"/>
                <w:lang w:val="lt-LT"/>
              </w:rPr>
            </w:pPr>
            <w:r w:rsidRPr="00313C2E">
              <w:rPr>
                <w:b/>
                <w:sz w:val="22"/>
                <w:szCs w:val="22"/>
                <w:lang w:val="lt-LT"/>
              </w:rPr>
              <w:t xml:space="preserve">Įgimta </w:t>
            </w:r>
          </w:p>
          <w:p w:rsidR="00223ACB" w:rsidRPr="00313C2E" w:rsidRDefault="00223ACB" w:rsidP="001C690D">
            <w:pPr>
              <w:pStyle w:val="NormalWeb"/>
              <w:spacing w:before="0" w:beforeAutospacing="0" w:after="0" w:afterAutospacing="0"/>
              <w:ind w:left="113" w:right="113"/>
              <w:jc w:val="center"/>
              <w:rPr>
                <w:b/>
                <w:sz w:val="22"/>
                <w:szCs w:val="22"/>
                <w:lang w:val="lt-LT"/>
              </w:rPr>
            </w:pPr>
            <w:r w:rsidRPr="00313C2E">
              <w:rPr>
                <w:b/>
                <w:sz w:val="22"/>
                <w:szCs w:val="22"/>
                <w:lang w:val="lt-LT"/>
              </w:rPr>
              <w:t>rizika</w:t>
            </w:r>
          </w:p>
        </w:tc>
        <w:tc>
          <w:tcPr>
            <w:tcW w:w="992" w:type="dxa"/>
            <w:textDirection w:val="btLr"/>
          </w:tcPr>
          <w:p w:rsidR="00223ACB" w:rsidRPr="00313C2E" w:rsidRDefault="00223ACB" w:rsidP="001C690D">
            <w:pPr>
              <w:pStyle w:val="NormalWeb"/>
              <w:spacing w:before="0" w:beforeAutospacing="0" w:after="0" w:afterAutospacing="0"/>
              <w:ind w:left="113" w:right="113"/>
              <w:jc w:val="center"/>
              <w:rPr>
                <w:b/>
                <w:sz w:val="22"/>
                <w:szCs w:val="22"/>
                <w:lang w:val="lt-LT"/>
              </w:rPr>
            </w:pPr>
            <w:r w:rsidRPr="00313C2E">
              <w:rPr>
                <w:b/>
                <w:sz w:val="22"/>
                <w:szCs w:val="22"/>
                <w:lang w:val="lt-LT"/>
              </w:rPr>
              <w:t>Kontrolės rizika</w:t>
            </w:r>
          </w:p>
        </w:tc>
        <w:tc>
          <w:tcPr>
            <w:tcW w:w="1134" w:type="dxa"/>
            <w:tcBorders>
              <w:bottom w:val="single" w:sz="4" w:space="0" w:color="auto"/>
            </w:tcBorders>
            <w:textDirection w:val="btLr"/>
          </w:tcPr>
          <w:p w:rsidR="00223ACB" w:rsidRPr="00313C2E" w:rsidRDefault="00223ACB" w:rsidP="001C690D">
            <w:pPr>
              <w:pStyle w:val="NormalWeb"/>
              <w:spacing w:before="0" w:beforeAutospacing="0" w:after="0" w:afterAutospacing="0"/>
              <w:ind w:left="113" w:right="113"/>
              <w:jc w:val="center"/>
              <w:rPr>
                <w:b/>
                <w:sz w:val="22"/>
                <w:szCs w:val="22"/>
                <w:lang w:val="lt-LT"/>
              </w:rPr>
            </w:pPr>
            <w:r w:rsidRPr="00313C2E">
              <w:rPr>
                <w:b/>
                <w:sz w:val="22"/>
                <w:szCs w:val="22"/>
                <w:lang w:val="lt-LT"/>
              </w:rPr>
              <w:t>R</w:t>
            </w:r>
            <w:r w:rsidR="00CB7528" w:rsidRPr="00313C2E">
              <w:rPr>
                <w:b/>
                <w:sz w:val="22"/>
                <w:szCs w:val="22"/>
                <w:lang w:val="lt-LT"/>
              </w:rPr>
              <w:t>MM</w:t>
            </w:r>
            <w:r w:rsidRPr="00313C2E">
              <w:rPr>
                <w:rStyle w:val="FootnoteReference"/>
                <w:b/>
                <w:sz w:val="22"/>
                <w:szCs w:val="22"/>
                <w:lang w:val="lt-LT"/>
              </w:rPr>
              <w:footnoteReference w:id="28"/>
            </w:r>
            <w:r w:rsidRPr="00313C2E">
              <w:rPr>
                <w:b/>
                <w:sz w:val="22"/>
                <w:szCs w:val="22"/>
                <w:lang w:val="lt-LT"/>
              </w:rPr>
              <w:t xml:space="preserve"> tvirtinimo lygmeniu</w:t>
            </w:r>
          </w:p>
        </w:tc>
        <w:tc>
          <w:tcPr>
            <w:tcW w:w="1255" w:type="dxa"/>
            <w:textDirection w:val="btLr"/>
          </w:tcPr>
          <w:p w:rsidR="00223ACB" w:rsidRPr="00313C2E" w:rsidRDefault="00223ACB" w:rsidP="001C690D">
            <w:pPr>
              <w:pStyle w:val="NormalWeb"/>
              <w:spacing w:before="0" w:beforeAutospacing="0" w:after="0" w:afterAutospacing="0"/>
              <w:ind w:left="113" w:right="113"/>
              <w:rPr>
                <w:b/>
                <w:sz w:val="22"/>
                <w:szCs w:val="22"/>
                <w:lang w:val="lt-LT"/>
              </w:rPr>
            </w:pPr>
            <w:r w:rsidRPr="00313C2E">
              <w:rPr>
                <w:b/>
                <w:sz w:val="22"/>
                <w:szCs w:val="22"/>
                <w:lang w:val="lt-LT"/>
              </w:rPr>
              <w:t>Koregavimas dėl R</w:t>
            </w:r>
            <w:r w:rsidR="00CB7528" w:rsidRPr="00313C2E">
              <w:rPr>
                <w:b/>
                <w:sz w:val="22"/>
                <w:szCs w:val="22"/>
                <w:lang w:val="lt-LT"/>
              </w:rPr>
              <w:t>MM</w:t>
            </w:r>
            <w:r w:rsidR="001C690D">
              <w:rPr>
                <w:b/>
                <w:sz w:val="22"/>
                <w:szCs w:val="22"/>
                <w:lang w:val="lt-LT"/>
              </w:rPr>
              <w:t xml:space="preserve"> </w:t>
            </w:r>
            <w:r w:rsidRPr="00313C2E">
              <w:rPr>
                <w:b/>
                <w:sz w:val="22"/>
                <w:szCs w:val="22"/>
                <w:lang w:val="lt-LT"/>
              </w:rPr>
              <w:t>f/a</w:t>
            </w:r>
            <w:r w:rsidR="001C690D" w:rsidRPr="00313C2E">
              <w:rPr>
                <w:rStyle w:val="FootnoteReference"/>
                <w:b/>
                <w:sz w:val="22"/>
                <w:szCs w:val="22"/>
                <w:lang w:val="lt-LT"/>
              </w:rPr>
              <w:footnoteReference w:id="29"/>
            </w:r>
            <w:r w:rsidR="001C690D" w:rsidRPr="00313C2E">
              <w:rPr>
                <w:b/>
                <w:sz w:val="22"/>
                <w:szCs w:val="22"/>
                <w:lang w:val="lt-LT"/>
              </w:rPr>
              <w:t xml:space="preserve"> </w:t>
            </w:r>
            <w:r w:rsidRPr="00313C2E">
              <w:rPr>
                <w:b/>
                <w:sz w:val="22"/>
                <w:szCs w:val="22"/>
                <w:lang w:val="lt-LT"/>
              </w:rPr>
              <w:t>lygmeniu</w:t>
            </w:r>
          </w:p>
        </w:tc>
      </w:tr>
      <w:tr w:rsidR="00BB1F6E" w:rsidRPr="00313C2E" w:rsidTr="000D5B81">
        <w:trPr>
          <w:trHeight w:val="245"/>
          <w:jc w:val="center"/>
        </w:trPr>
        <w:tc>
          <w:tcPr>
            <w:tcW w:w="3185" w:type="dxa"/>
          </w:tcPr>
          <w:p w:rsidR="00DF3C89" w:rsidRPr="00313C2E" w:rsidRDefault="00DF3C89" w:rsidP="00D7090A">
            <w:pPr>
              <w:pStyle w:val="NormalWeb"/>
              <w:spacing w:before="0" w:beforeAutospacing="0" w:after="0" w:afterAutospacing="0"/>
              <w:jc w:val="both"/>
              <w:rPr>
                <w:sz w:val="22"/>
                <w:szCs w:val="22"/>
                <w:lang w:val="lt-LT"/>
              </w:rPr>
            </w:pPr>
            <w:r w:rsidRPr="00313C2E">
              <w:rPr>
                <w:sz w:val="22"/>
                <w:szCs w:val="22"/>
                <w:lang w:val="lt-LT"/>
              </w:rPr>
              <w:t>Atsargos</w:t>
            </w:r>
          </w:p>
        </w:tc>
        <w:tc>
          <w:tcPr>
            <w:tcW w:w="850" w:type="dxa"/>
          </w:tcPr>
          <w:p w:rsidR="00DF3C89" w:rsidRPr="00313C2E" w:rsidRDefault="00DF3C89" w:rsidP="001C690D">
            <w:pPr>
              <w:pStyle w:val="NormalWeb"/>
              <w:spacing w:before="0" w:beforeAutospacing="0" w:after="0" w:afterAutospacing="0"/>
              <w:jc w:val="center"/>
              <w:rPr>
                <w:sz w:val="22"/>
                <w:szCs w:val="22"/>
                <w:lang w:val="lt-LT"/>
              </w:rPr>
            </w:pPr>
            <w:r w:rsidRPr="00313C2E">
              <w:rPr>
                <w:sz w:val="22"/>
                <w:szCs w:val="22"/>
                <w:lang w:val="lt-LT"/>
              </w:rPr>
              <w:t>B</w:t>
            </w:r>
          </w:p>
        </w:tc>
        <w:tc>
          <w:tcPr>
            <w:tcW w:w="993" w:type="dxa"/>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Vidutinė</w:t>
            </w:r>
          </w:p>
        </w:tc>
        <w:tc>
          <w:tcPr>
            <w:tcW w:w="992" w:type="dxa"/>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shd w:val="clear" w:color="auto" w:fill="D9D9D9" w:themeFill="background1" w:themeFillShade="D9"/>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Maža</w:t>
            </w:r>
          </w:p>
        </w:tc>
        <w:tc>
          <w:tcPr>
            <w:tcW w:w="1255" w:type="dxa"/>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Netaikoma</w:t>
            </w:r>
          </w:p>
        </w:tc>
      </w:tr>
      <w:tr w:rsidR="00BB1F6E" w:rsidRPr="00313C2E" w:rsidTr="000D5B81">
        <w:trPr>
          <w:jc w:val="center"/>
        </w:trPr>
        <w:tc>
          <w:tcPr>
            <w:tcW w:w="3185" w:type="dxa"/>
          </w:tcPr>
          <w:p w:rsidR="00DF3C89" w:rsidRPr="00313C2E" w:rsidRDefault="00DF3C89" w:rsidP="00D7090A">
            <w:pPr>
              <w:pStyle w:val="NormalWeb"/>
              <w:spacing w:before="0" w:beforeAutospacing="0" w:after="0" w:afterAutospacing="0"/>
              <w:jc w:val="both"/>
              <w:rPr>
                <w:sz w:val="22"/>
                <w:szCs w:val="22"/>
                <w:lang w:val="lt-LT"/>
              </w:rPr>
            </w:pPr>
            <w:r w:rsidRPr="00313C2E">
              <w:rPr>
                <w:sz w:val="22"/>
                <w:szCs w:val="22"/>
                <w:lang w:val="lt-LT"/>
              </w:rPr>
              <w:t>Atsargos</w:t>
            </w:r>
          </w:p>
        </w:tc>
        <w:tc>
          <w:tcPr>
            <w:tcW w:w="850" w:type="dxa"/>
          </w:tcPr>
          <w:p w:rsidR="00DF3C89" w:rsidRPr="00313C2E" w:rsidRDefault="001C690D" w:rsidP="001C690D">
            <w:pPr>
              <w:pStyle w:val="NormalWeb"/>
              <w:spacing w:before="0" w:beforeAutospacing="0" w:after="0" w:afterAutospacing="0"/>
              <w:jc w:val="center"/>
              <w:rPr>
                <w:sz w:val="22"/>
                <w:szCs w:val="22"/>
                <w:lang w:val="lt-LT"/>
              </w:rPr>
            </w:pPr>
            <w:r>
              <w:rPr>
                <w:sz w:val="22"/>
                <w:szCs w:val="22"/>
                <w:lang w:val="lt-LT"/>
              </w:rPr>
              <w:t>V</w:t>
            </w:r>
          </w:p>
        </w:tc>
        <w:tc>
          <w:tcPr>
            <w:tcW w:w="993" w:type="dxa"/>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Vidutinė</w:t>
            </w:r>
          </w:p>
        </w:tc>
        <w:tc>
          <w:tcPr>
            <w:tcW w:w="992" w:type="dxa"/>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Didelė</w:t>
            </w:r>
          </w:p>
        </w:tc>
        <w:tc>
          <w:tcPr>
            <w:tcW w:w="1134" w:type="dxa"/>
            <w:shd w:val="clear" w:color="auto" w:fill="D9D9D9" w:themeFill="background1" w:themeFillShade="D9"/>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Didelė</w:t>
            </w:r>
          </w:p>
        </w:tc>
        <w:tc>
          <w:tcPr>
            <w:tcW w:w="1255" w:type="dxa"/>
            <w:tcBorders>
              <w:bottom w:val="single" w:sz="4" w:space="0" w:color="auto"/>
            </w:tcBorders>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Netaikoma</w:t>
            </w:r>
          </w:p>
        </w:tc>
      </w:tr>
      <w:tr w:rsidR="00BB1F6E" w:rsidRPr="00313C2E" w:rsidTr="000D5B81">
        <w:trPr>
          <w:jc w:val="center"/>
        </w:trPr>
        <w:tc>
          <w:tcPr>
            <w:tcW w:w="3185" w:type="dxa"/>
          </w:tcPr>
          <w:p w:rsidR="00DF3C89" w:rsidRPr="00313C2E" w:rsidRDefault="00DF3C89" w:rsidP="004634E5">
            <w:pPr>
              <w:pStyle w:val="NormalWeb"/>
              <w:spacing w:before="0" w:beforeAutospacing="0" w:after="0" w:afterAutospacing="0"/>
              <w:jc w:val="both"/>
              <w:rPr>
                <w:sz w:val="22"/>
                <w:szCs w:val="22"/>
                <w:lang w:val="lt-LT"/>
              </w:rPr>
            </w:pPr>
            <w:r w:rsidRPr="00313C2E">
              <w:rPr>
                <w:sz w:val="22"/>
                <w:szCs w:val="22"/>
                <w:lang w:val="lt-LT"/>
              </w:rPr>
              <w:t>Iš susijusių šalių gautinos prekybos sumos</w:t>
            </w:r>
          </w:p>
        </w:tc>
        <w:tc>
          <w:tcPr>
            <w:tcW w:w="850" w:type="dxa"/>
          </w:tcPr>
          <w:p w:rsidR="00DF3C89" w:rsidRPr="00313C2E" w:rsidRDefault="001C690D" w:rsidP="001C690D">
            <w:pPr>
              <w:pStyle w:val="NormalWeb"/>
              <w:spacing w:before="0" w:beforeAutospacing="0" w:after="0" w:afterAutospacing="0"/>
              <w:jc w:val="center"/>
              <w:rPr>
                <w:sz w:val="22"/>
                <w:szCs w:val="22"/>
                <w:lang w:val="lt-LT"/>
              </w:rPr>
            </w:pPr>
            <w:r>
              <w:rPr>
                <w:sz w:val="22"/>
                <w:szCs w:val="22"/>
                <w:lang w:val="lt-LT"/>
              </w:rPr>
              <w:t>V</w:t>
            </w:r>
          </w:p>
        </w:tc>
        <w:tc>
          <w:tcPr>
            <w:tcW w:w="993"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992"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1134" w:type="dxa"/>
            <w:tcBorders>
              <w:bottom w:val="single" w:sz="4" w:space="0" w:color="auto"/>
            </w:tcBorders>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1255" w:type="dxa"/>
            <w:shd w:val="clear" w:color="auto" w:fill="D9D9D9" w:themeFill="background1" w:themeFillShade="D9"/>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r>
      <w:tr w:rsidR="00BB1F6E" w:rsidRPr="00313C2E" w:rsidTr="000D5B81">
        <w:trPr>
          <w:jc w:val="center"/>
        </w:trPr>
        <w:tc>
          <w:tcPr>
            <w:tcW w:w="3185" w:type="dxa"/>
          </w:tcPr>
          <w:p w:rsidR="00DF3C89" w:rsidRPr="00313C2E" w:rsidRDefault="00DF3C89" w:rsidP="004634E5">
            <w:pPr>
              <w:pStyle w:val="NormalWeb"/>
              <w:spacing w:before="0" w:beforeAutospacing="0" w:after="0" w:afterAutospacing="0"/>
              <w:jc w:val="both"/>
              <w:rPr>
                <w:sz w:val="22"/>
                <w:szCs w:val="22"/>
                <w:lang w:val="lt-LT"/>
              </w:rPr>
            </w:pPr>
            <w:r w:rsidRPr="00313C2E">
              <w:rPr>
                <w:sz w:val="22"/>
                <w:szCs w:val="22"/>
                <w:lang w:val="lt-LT"/>
              </w:rPr>
              <w:t>Skolos kredito įstaigoms</w:t>
            </w:r>
          </w:p>
        </w:tc>
        <w:tc>
          <w:tcPr>
            <w:tcW w:w="850" w:type="dxa"/>
          </w:tcPr>
          <w:p w:rsidR="00DF3C89" w:rsidRPr="00313C2E" w:rsidRDefault="001C690D" w:rsidP="001C690D">
            <w:pPr>
              <w:pStyle w:val="NormalWeb"/>
              <w:spacing w:before="0" w:beforeAutospacing="0" w:after="0" w:afterAutospacing="0"/>
              <w:jc w:val="center"/>
              <w:rPr>
                <w:sz w:val="22"/>
                <w:szCs w:val="22"/>
                <w:lang w:val="lt-LT"/>
              </w:rPr>
            </w:pPr>
            <w:r>
              <w:rPr>
                <w:sz w:val="22"/>
                <w:szCs w:val="22"/>
                <w:lang w:val="lt-LT"/>
              </w:rPr>
              <w:t>V</w:t>
            </w:r>
          </w:p>
        </w:tc>
        <w:tc>
          <w:tcPr>
            <w:tcW w:w="993"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992"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1134" w:type="dxa"/>
            <w:shd w:val="clear" w:color="auto" w:fill="D9D9D9" w:themeFill="background1" w:themeFillShade="D9"/>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1255" w:type="dxa"/>
            <w:tcBorders>
              <w:bottom w:val="single" w:sz="4" w:space="0" w:color="auto"/>
            </w:tcBorders>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Netaikoma</w:t>
            </w:r>
          </w:p>
        </w:tc>
      </w:tr>
      <w:tr w:rsidR="00BB1F6E" w:rsidRPr="00313C2E" w:rsidTr="000D5B81">
        <w:trPr>
          <w:jc w:val="center"/>
        </w:trPr>
        <w:tc>
          <w:tcPr>
            <w:tcW w:w="3185" w:type="dxa"/>
          </w:tcPr>
          <w:p w:rsidR="00DF3C89" w:rsidRPr="00313C2E" w:rsidRDefault="00DF3C89" w:rsidP="004634E5">
            <w:pPr>
              <w:pStyle w:val="NormalWeb"/>
              <w:spacing w:before="0" w:beforeAutospacing="0" w:after="0" w:afterAutospacing="0"/>
              <w:jc w:val="both"/>
              <w:rPr>
                <w:sz w:val="22"/>
                <w:szCs w:val="22"/>
                <w:lang w:val="lt-LT"/>
              </w:rPr>
            </w:pPr>
            <w:r w:rsidRPr="00313C2E">
              <w:rPr>
                <w:sz w:val="22"/>
                <w:szCs w:val="22"/>
                <w:lang w:val="lt-LT"/>
              </w:rPr>
              <w:t>Atidėtojo mokesčio įsipareigojimas</w:t>
            </w:r>
          </w:p>
        </w:tc>
        <w:tc>
          <w:tcPr>
            <w:tcW w:w="850" w:type="dxa"/>
          </w:tcPr>
          <w:p w:rsidR="00DF3C89" w:rsidRPr="00313C2E" w:rsidRDefault="001C690D" w:rsidP="001C690D">
            <w:pPr>
              <w:pStyle w:val="NormalWeb"/>
              <w:spacing w:before="0" w:beforeAutospacing="0" w:after="0" w:afterAutospacing="0"/>
              <w:jc w:val="center"/>
              <w:rPr>
                <w:sz w:val="22"/>
                <w:szCs w:val="22"/>
                <w:lang w:val="lt-LT"/>
              </w:rPr>
            </w:pPr>
            <w:r>
              <w:rPr>
                <w:sz w:val="22"/>
                <w:szCs w:val="22"/>
                <w:lang w:val="lt-LT"/>
              </w:rPr>
              <w:t>V</w:t>
            </w:r>
          </w:p>
        </w:tc>
        <w:tc>
          <w:tcPr>
            <w:tcW w:w="993"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992"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1134" w:type="dxa"/>
            <w:tcBorders>
              <w:bottom w:val="single" w:sz="4" w:space="0" w:color="auto"/>
            </w:tcBorders>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1255" w:type="dxa"/>
            <w:shd w:val="clear" w:color="auto" w:fill="D9D9D9" w:themeFill="background1" w:themeFillShade="D9"/>
          </w:tcPr>
          <w:p w:rsidR="00DF3C89" w:rsidRPr="00313C2E" w:rsidRDefault="00F72605" w:rsidP="004634E5">
            <w:pPr>
              <w:pStyle w:val="NormalWeb"/>
              <w:spacing w:before="0" w:beforeAutospacing="0" w:after="0" w:afterAutospacing="0"/>
              <w:jc w:val="center"/>
              <w:rPr>
                <w:sz w:val="22"/>
                <w:szCs w:val="22"/>
                <w:lang w:val="lt-LT"/>
              </w:rPr>
            </w:pPr>
            <w:r w:rsidRPr="00313C2E">
              <w:rPr>
                <w:sz w:val="22"/>
                <w:szCs w:val="22"/>
                <w:lang w:val="lt-LT"/>
              </w:rPr>
              <w:t>Didelė</w:t>
            </w:r>
          </w:p>
        </w:tc>
      </w:tr>
      <w:tr w:rsidR="00BB1F6E" w:rsidRPr="00313C2E" w:rsidTr="000D5B81">
        <w:trPr>
          <w:jc w:val="center"/>
        </w:trPr>
        <w:tc>
          <w:tcPr>
            <w:tcW w:w="3185" w:type="dxa"/>
          </w:tcPr>
          <w:p w:rsidR="00DF3C89" w:rsidRPr="00313C2E" w:rsidRDefault="00DF3C89" w:rsidP="004634E5">
            <w:pPr>
              <w:pStyle w:val="NormalWeb"/>
              <w:spacing w:before="0" w:beforeAutospacing="0" w:after="0" w:afterAutospacing="0"/>
              <w:jc w:val="both"/>
              <w:rPr>
                <w:sz w:val="22"/>
                <w:szCs w:val="22"/>
                <w:lang w:val="lt-LT"/>
              </w:rPr>
            </w:pPr>
            <w:r w:rsidRPr="00313C2E">
              <w:rPr>
                <w:sz w:val="22"/>
                <w:szCs w:val="22"/>
                <w:lang w:val="lt-LT"/>
              </w:rPr>
              <w:t>Skolos tiekėjams ir skolos susijusioms šalims</w:t>
            </w:r>
          </w:p>
        </w:tc>
        <w:tc>
          <w:tcPr>
            <w:tcW w:w="850" w:type="dxa"/>
          </w:tcPr>
          <w:p w:rsidR="00DF3C89" w:rsidRPr="00313C2E" w:rsidRDefault="00DF3C89" w:rsidP="001C690D">
            <w:pPr>
              <w:pStyle w:val="NormalWeb"/>
              <w:spacing w:before="0" w:beforeAutospacing="0" w:after="0" w:afterAutospacing="0"/>
              <w:jc w:val="center"/>
              <w:rPr>
                <w:sz w:val="22"/>
                <w:szCs w:val="22"/>
                <w:lang w:val="lt-LT"/>
              </w:rPr>
            </w:pPr>
            <w:r w:rsidRPr="00313C2E">
              <w:rPr>
                <w:sz w:val="22"/>
                <w:szCs w:val="22"/>
                <w:lang w:val="lt-LT"/>
              </w:rPr>
              <w:t>I</w:t>
            </w:r>
          </w:p>
        </w:tc>
        <w:tc>
          <w:tcPr>
            <w:tcW w:w="993"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Vidutinė</w:t>
            </w:r>
          </w:p>
        </w:tc>
        <w:tc>
          <w:tcPr>
            <w:tcW w:w="992" w:type="dxa"/>
          </w:tcPr>
          <w:p w:rsidR="00DF3C89" w:rsidRPr="00313C2E" w:rsidRDefault="004678AA" w:rsidP="00144E06">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shd w:val="clear" w:color="auto" w:fill="D9D9D9" w:themeFill="background1" w:themeFillShade="D9"/>
          </w:tcPr>
          <w:p w:rsidR="00DF3C89" w:rsidRPr="00313C2E" w:rsidRDefault="004678AA"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1255"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Netaikoma</w:t>
            </w:r>
          </w:p>
        </w:tc>
      </w:tr>
      <w:tr w:rsidR="00BB1F6E" w:rsidRPr="00313C2E" w:rsidTr="000D5B81">
        <w:trPr>
          <w:jc w:val="center"/>
        </w:trPr>
        <w:tc>
          <w:tcPr>
            <w:tcW w:w="3185" w:type="dxa"/>
          </w:tcPr>
          <w:p w:rsidR="00DF3C89" w:rsidRPr="00313C2E" w:rsidRDefault="00DF3C89" w:rsidP="00D7090A">
            <w:pPr>
              <w:pStyle w:val="NormalWeb"/>
              <w:spacing w:before="0" w:beforeAutospacing="0" w:after="0" w:afterAutospacing="0"/>
              <w:jc w:val="both"/>
              <w:rPr>
                <w:sz w:val="22"/>
                <w:szCs w:val="22"/>
                <w:lang w:val="lt-LT"/>
              </w:rPr>
            </w:pPr>
            <w:r w:rsidRPr="00313C2E">
              <w:rPr>
                <w:sz w:val="22"/>
                <w:szCs w:val="22"/>
                <w:lang w:val="lt-LT"/>
              </w:rPr>
              <w:t>Skolos tiekėjams ir skolos susijusioms šalims</w:t>
            </w:r>
          </w:p>
        </w:tc>
        <w:tc>
          <w:tcPr>
            <w:tcW w:w="850" w:type="dxa"/>
          </w:tcPr>
          <w:p w:rsidR="00DF3C89" w:rsidRPr="00313C2E" w:rsidRDefault="001C690D" w:rsidP="001C690D">
            <w:pPr>
              <w:pStyle w:val="NormalWeb"/>
              <w:spacing w:before="0" w:beforeAutospacing="0" w:after="0" w:afterAutospacing="0"/>
              <w:jc w:val="center"/>
              <w:rPr>
                <w:sz w:val="22"/>
                <w:szCs w:val="22"/>
                <w:lang w:val="lt-LT"/>
              </w:rPr>
            </w:pPr>
            <w:r>
              <w:rPr>
                <w:sz w:val="22"/>
                <w:szCs w:val="22"/>
                <w:lang w:val="lt-LT"/>
              </w:rPr>
              <w:t>V</w:t>
            </w:r>
          </w:p>
        </w:tc>
        <w:tc>
          <w:tcPr>
            <w:tcW w:w="993" w:type="dxa"/>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Vidutinė</w:t>
            </w:r>
          </w:p>
        </w:tc>
        <w:tc>
          <w:tcPr>
            <w:tcW w:w="992" w:type="dxa"/>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Vidutinė</w:t>
            </w:r>
          </w:p>
        </w:tc>
        <w:tc>
          <w:tcPr>
            <w:tcW w:w="1134" w:type="dxa"/>
            <w:shd w:val="clear" w:color="auto" w:fill="D9D9D9" w:themeFill="background1" w:themeFillShade="D9"/>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Vidutinė</w:t>
            </w:r>
          </w:p>
        </w:tc>
        <w:tc>
          <w:tcPr>
            <w:tcW w:w="1255"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Netaikoma</w:t>
            </w:r>
          </w:p>
        </w:tc>
      </w:tr>
      <w:tr w:rsidR="00BB1F6E" w:rsidRPr="00313C2E" w:rsidTr="000D5B81">
        <w:trPr>
          <w:jc w:val="center"/>
        </w:trPr>
        <w:tc>
          <w:tcPr>
            <w:tcW w:w="3185" w:type="dxa"/>
          </w:tcPr>
          <w:p w:rsidR="00DF3C89" w:rsidRPr="00313C2E" w:rsidRDefault="00DF3C89" w:rsidP="004634E5">
            <w:pPr>
              <w:pStyle w:val="NormalWeb"/>
              <w:spacing w:before="0" w:beforeAutospacing="0" w:after="0" w:afterAutospacing="0"/>
              <w:jc w:val="both"/>
              <w:rPr>
                <w:sz w:val="22"/>
                <w:szCs w:val="22"/>
                <w:lang w:val="lt-LT"/>
              </w:rPr>
            </w:pPr>
            <w:r w:rsidRPr="00313C2E">
              <w:rPr>
                <w:sz w:val="22"/>
                <w:szCs w:val="22"/>
                <w:lang w:val="lt-LT"/>
              </w:rPr>
              <w:t xml:space="preserve">Su darbo santykiais susiję įsipareigojimai </w:t>
            </w:r>
          </w:p>
        </w:tc>
        <w:tc>
          <w:tcPr>
            <w:tcW w:w="850" w:type="dxa"/>
          </w:tcPr>
          <w:p w:rsidR="00DF3C89" w:rsidRPr="00313C2E" w:rsidRDefault="00DF3C89" w:rsidP="001C690D">
            <w:pPr>
              <w:pStyle w:val="NormalWeb"/>
              <w:spacing w:before="0" w:beforeAutospacing="0" w:after="0" w:afterAutospacing="0"/>
              <w:jc w:val="center"/>
              <w:rPr>
                <w:sz w:val="22"/>
                <w:szCs w:val="22"/>
                <w:lang w:val="lt-LT"/>
              </w:rPr>
            </w:pPr>
            <w:r w:rsidRPr="00313C2E">
              <w:rPr>
                <w:sz w:val="22"/>
                <w:szCs w:val="22"/>
                <w:lang w:val="lt-LT"/>
              </w:rPr>
              <w:t>I</w:t>
            </w:r>
          </w:p>
        </w:tc>
        <w:tc>
          <w:tcPr>
            <w:tcW w:w="993"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992"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shd w:val="clear" w:color="auto" w:fill="D9D9D9" w:themeFill="background1" w:themeFillShade="D9"/>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1255"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Netaikoma</w:t>
            </w:r>
          </w:p>
        </w:tc>
      </w:tr>
      <w:tr w:rsidR="00BB1F6E" w:rsidRPr="00313C2E" w:rsidTr="000D5B81">
        <w:trPr>
          <w:jc w:val="center"/>
        </w:trPr>
        <w:tc>
          <w:tcPr>
            <w:tcW w:w="3185" w:type="dxa"/>
          </w:tcPr>
          <w:p w:rsidR="00DF3C89" w:rsidRPr="00313C2E" w:rsidRDefault="00DF3C89" w:rsidP="00D7090A">
            <w:pPr>
              <w:pStyle w:val="NormalWeb"/>
              <w:spacing w:before="0" w:beforeAutospacing="0" w:after="0" w:afterAutospacing="0"/>
              <w:jc w:val="both"/>
              <w:rPr>
                <w:sz w:val="22"/>
                <w:szCs w:val="22"/>
                <w:lang w:val="lt-LT"/>
              </w:rPr>
            </w:pPr>
            <w:r w:rsidRPr="00313C2E">
              <w:rPr>
                <w:sz w:val="22"/>
                <w:szCs w:val="22"/>
                <w:lang w:val="lt-LT"/>
              </w:rPr>
              <w:t xml:space="preserve">Su darbo santykiais susiję įsipareigojimai </w:t>
            </w:r>
          </w:p>
        </w:tc>
        <w:tc>
          <w:tcPr>
            <w:tcW w:w="850" w:type="dxa"/>
          </w:tcPr>
          <w:p w:rsidR="00DF3C89" w:rsidRPr="00313C2E" w:rsidRDefault="001C690D" w:rsidP="001C690D">
            <w:pPr>
              <w:pStyle w:val="NormalWeb"/>
              <w:spacing w:before="0" w:beforeAutospacing="0" w:after="0" w:afterAutospacing="0"/>
              <w:jc w:val="center"/>
              <w:rPr>
                <w:sz w:val="22"/>
                <w:szCs w:val="22"/>
                <w:lang w:val="lt-LT"/>
              </w:rPr>
            </w:pPr>
            <w:r>
              <w:rPr>
                <w:sz w:val="22"/>
                <w:szCs w:val="22"/>
                <w:lang w:val="lt-LT"/>
              </w:rPr>
              <w:t>V</w:t>
            </w:r>
          </w:p>
        </w:tc>
        <w:tc>
          <w:tcPr>
            <w:tcW w:w="993" w:type="dxa"/>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Vidutinė</w:t>
            </w:r>
          </w:p>
        </w:tc>
        <w:tc>
          <w:tcPr>
            <w:tcW w:w="992" w:type="dxa"/>
          </w:tcPr>
          <w:p w:rsidR="00DF3C89" w:rsidRPr="00313C2E" w:rsidRDefault="00DF3C89" w:rsidP="00D7090A">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shd w:val="clear" w:color="auto" w:fill="D9D9D9" w:themeFill="background1" w:themeFillShade="D9"/>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1255" w:type="dxa"/>
            <w:tcBorders>
              <w:bottom w:val="single" w:sz="4" w:space="0" w:color="auto"/>
            </w:tcBorders>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Netaikoma</w:t>
            </w:r>
          </w:p>
        </w:tc>
      </w:tr>
      <w:tr w:rsidR="00BB1F6E" w:rsidRPr="00313C2E" w:rsidTr="000D5B81">
        <w:trPr>
          <w:jc w:val="center"/>
        </w:trPr>
        <w:tc>
          <w:tcPr>
            <w:tcW w:w="3185" w:type="dxa"/>
          </w:tcPr>
          <w:p w:rsidR="00DF3C89" w:rsidRPr="00313C2E" w:rsidRDefault="00DF3C89" w:rsidP="004634E5">
            <w:pPr>
              <w:pStyle w:val="NormalWeb"/>
              <w:spacing w:before="0" w:beforeAutospacing="0" w:after="0" w:afterAutospacing="0"/>
              <w:jc w:val="both"/>
              <w:rPr>
                <w:sz w:val="22"/>
                <w:szCs w:val="22"/>
                <w:lang w:val="lt-LT"/>
              </w:rPr>
            </w:pPr>
            <w:r w:rsidRPr="00313C2E">
              <w:rPr>
                <w:sz w:val="22"/>
                <w:szCs w:val="22"/>
                <w:lang w:val="lt-LT"/>
              </w:rPr>
              <w:t>Pardavimo pajamos</w:t>
            </w:r>
          </w:p>
        </w:tc>
        <w:tc>
          <w:tcPr>
            <w:tcW w:w="850" w:type="dxa"/>
          </w:tcPr>
          <w:p w:rsidR="00DF3C89" w:rsidRPr="00313C2E" w:rsidRDefault="00DF3C89" w:rsidP="001C690D">
            <w:pPr>
              <w:pStyle w:val="NormalWeb"/>
              <w:spacing w:before="0" w:beforeAutospacing="0" w:after="0" w:afterAutospacing="0"/>
              <w:jc w:val="center"/>
              <w:rPr>
                <w:sz w:val="22"/>
                <w:szCs w:val="22"/>
                <w:lang w:val="lt-LT"/>
              </w:rPr>
            </w:pPr>
            <w:r w:rsidRPr="00313C2E">
              <w:rPr>
                <w:sz w:val="22"/>
                <w:szCs w:val="22"/>
                <w:lang w:val="lt-LT"/>
              </w:rPr>
              <w:t>T</w:t>
            </w:r>
          </w:p>
        </w:tc>
        <w:tc>
          <w:tcPr>
            <w:tcW w:w="993"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992" w:type="dxa"/>
          </w:tcPr>
          <w:p w:rsidR="00DF3C89" w:rsidRPr="00313C2E" w:rsidRDefault="00DF3C89" w:rsidP="00D52B86">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Vidutinė</w:t>
            </w:r>
          </w:p>
        </w:tc>
        <w:tc>
          <w:tcPr>
            <w:tcW w:w="1255" w:type="dxa"/>
            <w:shd w:val="clear" w:color="auto" w:fill="D9D9D9" w:themeFill="background1" w:themeFillShade="D9"/>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Didelė</w:t>
            </w:r>
          </w:p>
        </w:tc>
      </w:tr>
      <w:tr w:rsidR="00BB1F6E" w:rsidRPr="00313C2E" w:rsidTr="000D5B81">
        <w:trPr>
          <w:jc w:val="center"/>
        </w:trPr>
        <w:tc>
          <w:tcPr>
            <w:tcW w:w="3185" w:type="dxa"/>
          </w:tcPr>
          <w:p w:rsidR="00DF3C89" w:rsidRPr="00313C2E" w:rsidRDefault="00DF3C89" w:rsidP="004634E5">
            <w:pPr>
              <w:pStyle w:val="NormalWeb"/>
              <w:spacing w:before="0" w:beforeAutospacing="0" w:after="0" w:afterAutospacing="0"/>
              <w:jc w:val="both"/>
              <w:rPr>
                <w:sz w:val="22"/>
                <w:szCs w:val="22"/>
                <w:lang w:val="lt-LT"/>
              </w:rPr>
            </w:pPr>
            <w:r w:rsidRPr="00313C2E">
              <w:rPr>
                <w:sz w:val="22"/>
                <w:szCs w:val="22"/>
                <w:lang w:val="lt-LT"/>
              </w:rPr>
              <w:t xml:space="preserve">Pardavimo savikaina </w:t>
            </w:r>
          </w:p>
        </w:tc>
        <w:tc>
          <w:tcPr>
            <w:tcW w:w="850" w:type="dxa"/>
          </w:tcPr>
          <w:p w:rsidR="00DF3C89" w:rsidRPr="00313C2E" w:rsidRDefault="00DF3C89" w:rsidP="001C690D">
            <w:pPr>
              <w:pStyle w:val="NormalWeb"/>
              <w:spacing w:before="0" w:beforeAutospacing="0" w:after="0" w:afterAutospacing="0"/>
              <w:jc w:val="center"/>
              <w:rPr>
                <w:sz w:val="22"/>
                <w:szCs w:val="22"/>
                <w:lang w:val="lt-LT"/>
              </w:rPr>
            </w:pPr>
            <w:r w:rsidRPr="00313C2E">
              <w:rPr>
                <w:sz w:val="22"/>
                <w:szCs w:val="22"/>
                <w:lang w:val="lt-LT"/>
              </w:rPr>
              <w:t>T</w:t>
            </w:r>
          </w:p>
        </w:tc>
        <w:tc>
          <w:tcPr>
            <w:tcW w:w="993" w:type="dxa"/>
          </w:tcPr>
          <w:p w:rsidR="00DF3C89" w:rsidRPr="00313C2E" w:rsidRDefault="005C0E42" w:rsidP="004634E5">
            <w:pPr>
              <w:pStyle w:val="NormalWeb"/>
              <w:spacing w:before="0" w:beforeAutospacing="0" w:after="0" w:afterAutospacing="0"/>
              <w:jc w:val="center"/>
              <w:rPr>
                <w:sz w:val="22"/>
                <w:szCs w:val="22"/>
                <w:lang w:val="lt-LT"/>
              </w:rPr>
            </w:pPr>
            <w:r w:rsidRPr="00313C2E">
              <w:rPr>
                <w:sz w:val="22"/>
                <w:szCs w:val="22"/>
                <w:lang w:val="lt-LT"/>
              </w:rPr>
              <w:t>Vidutinė</w:t>
            </w:r>
          </w:p>
        </w:tc>
        <w:tc>
          <w:tcPr>
            <w:tcW w:w="992"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tcBorders>
              <w:bottom w:val="single" w:sz="4" w:space="0" w:color="auto"/>
            </w:tcBorders>
          </w:tcPr>
          <w:p w:rsidR="00DF3C89" w:rsidRPr="00313C2E" w:rsidRDefault="005C0E42"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1255" w:type="dxa"/>
            <w:shd w:val="clear" w:color="auto" w:fill="D9D9D9" w:themeFill="background1" w:themeFillShade="D9"/>
          </w:tcPr>
          <w:p w:rsidR="00DF3C89" w:rsidRPr="00313C2E" w:rsidRDefault="00F72605" w:rsidP="004634E5">
            <w:pPr>
              <w:pStyle w:val="NormalWeb"/>
              <w:spacing w:before="0" w:beforeAutospacing="0" w:after="0" w:afterAutospacing="0"/>
              <w:jc w:val="center"/>
              <w:rPr>
                <w:sz w:val="22"/>
                <w:szCs w:val="22"/>
                <w:lang w:val="lt-LT"/>
              </w:rPr>
            </w:pPr>
            <w:r w:rsidRPr="00313C2E">
              <w:rPr>
                <w:sz w:val="22"/>
                <w:szCs w:val="22"/>
                <w:lang w:val="lt-LT"/>
              </w:rPr>
              <w:t>Vidutinė</w:t>
            </w:r>
          </w:p>
        </w:tc>
      </w:tr>
      <w:tr w:rsidR="00BB1F6E" w:rsidRPr="00313C2E" w:rsidTr="000D5B81">
        <w:trPr>
          <w:jc w:val="center"/>
        </w:trPr>
        <w:tc>
          <w:tcPr>
            <w:tcW w:w="3185" w:type="dxa"/>
          </w:tcPr>
          <w:p w:rsidR="00DF3C89" w:rsidRPr="00313C2E" w:rsidRDefault="00DF3C89" w:rsidP="00BB1F6E">
            <w:pPr>
              <w:pStyle w:val="NormalWeb"/>
              <w:spacing w:before="0" w:beforeAutospacing="0" w:after="0" w:afterAutospacing="0"/>
              <w:jc w:val="both"/>
              <w:rPr>
                <w:sz w:val="22"/>
                <w:szCs w:val="22"/>
                <w:lang w:val="lt-LT"/>
              </w:rPr>
            </w:pPr>
            <w:r w:rsidRPr="00313C2E">
              <w:rPr>
                <w:sz w:val="22"/>
                <w:szCs w:val="22"/>
                <w:lang w:val="lt-LT"/>
              </w:rPr>
              <w:t>Veiklos sąnaudos (susiję su darbo užmokesči</w:t>
            </w:r>
            <w:r w:rsidR="00BB1F6E">
              <w:rPr>
                <w:sz w:val="22"/>
                <w:szCs w:val="22"/>
                <w:lang w:val="lt-LT"/>
              </w:rPr>
              <w:t>u</w:t>
            </w:r>
            <w:r w:rsidRPr="00313C2E">
              <w:rPr>
                <w:sz w:val="22"/>
                <w:szCs w:val="22"/>
                <w:lang w:val="lt-LT"/>
              </w:rPr>
              <w:t xml:space="preserve">) </w:t>
            </w:r>
          </w:p>
        </w:tc>
        <w:tc>
          <w:tcPr>
            <w:tcW w:w="850" w:type="dxa"/>
          </w:tcPr>
          <w:p w:rsidR="00DF3C89" w:rsidRPr="00313C2E" w:rsidRDefault="00DF3C89" w:rsidP="001C690D">
            <w:pPr>
              <w:pStyle w:val="NormalWeb"/>
              <w:spacing w:before="0" w:beforeAutospacing="0" w:after="0" w:afterAutospacing="0"/>
              <w:jc w:val="center"/>
              <w:rPr>
                <w:sz w:val="22"/>
                <w:szCs w:val="22"/>
                <w:lang w:val="lt-LT"/>
              </w:rPr>
            </w:pPr>
            <w:r w:rsidRPr="00313C2E">
              <w:rPr>
                <w:sz w:val="22"/>
                <w:szCs w:val="22"/>
                <w:lang w:val="lt-LT"/>
              </w:rPr>
              <w:t>T</w:t>
            </w:r>
          </w:p>
        </w:tc>
        <w:tc>
          <w:tcPr>
            <w:tcW w:w="993"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992"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shd w:val="clear" w:color="auto" w:fill="D9D9D9" w:themeFill="background1" w:themeFillShade="D9"/>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1255" w:type="dxa"/>
          </w:tcPr>
          <w:p w:rsidR="00DF3C89" w:rsidRPr="00313C2E" w:rsidRDefault="00DF3C89" w:rsidP="004634E5">
            <w:pPr>
              <w:pStyle w:val="NormalWeb"/>
              <w:spacing w:before="0" w:beforeAutospacing="0" w:after="0" w:afterAutospacing="0"/>
              <w:jc w:val="center"/>
              <w:rPr>
                <w:sz w:val="22"/>
                <w:szCs w:val="22"/>
                <w:lang w:val="lt-LT"/>
              </w:rPr>
            </w:pPr>
            <w:r w:rsidRPr="00313C2E">
              <w:rPr>
                <w:sz w:val="22"/>
                <w:szCs w:val="22"/>
                <w:lang w:val="lt-LT"/>
              </w:rPr>
              <w:t>Netaikoma</w:t>
            </w:r>
          </w:p>
        </w:tc>
      </w:tr>
    </w:tbl>
    <w:p w:rsidR="00623B76" w:rsidRDefault="00623B76" w:rsidP="000D5B81">
      <w:pPr>
        <w:pStyle w:val="NormalWeb"/>
        <w:spacing w:before="0" w:beforeAutospacing="0" w:after="0" w:afterAutospacing="0"/>
        <w:jc w:val="both"/>
        <w:rPr>
          <w:sz w:val="20"/>
          <w:szCs w:val="20"/>
          <w:lang w:val="lt-LT"/>
        </w:rPr>
      </w:pPr>
      <w:r w:rsidRPr="00D5663A">
        <w:rPr>
          <w:sz w:val="20"/>
          <w:szCs w:val="20"/>
          <w:lang w:val="lt-LT"/>
        </w:rPr>
        <w:t>Pastaba: P</w:t>
      </w:r>
      <w:r>
        <w:rPr>
          <w:sz w:val="20"/>
          <w:szCs w:val="20"/>
          <w:lang w:val="lt-LT"/>
        </w:rPr>
        <w:t>aryškinti</w:t>
      </w:r>
      <w:r w:rsidRPr="00D5663A">
        <w:rPr>
          <w:sz w:val="20"/>
          <w:szCs w:val="20"/>
          <w:lang w:val="lt-LT"/>
        </w:rPr>
        <w:t xml:space="preserve"> laukeliai žymi </w:t>
      </w:r>
      <w:r>
        <w:rPr>
          <w:sz w:val="20"/>
          <w:szCs w:val="20"/>
          <w:lang w:val="lt-LT"/>
        </w:rPr>
        <w:t>galutinį reikšmingo iškraipymo rizikos tvirtinimo lygmeniu vertinimą.</w:t>
      </w:r>
      <w:r w:rsidR="001C690D" w:rsidRPr="001C690D">
        <w:rPr>
          <w:sz w:val="20"/>
          <w:szCs w:val="20"/>
          <w:lang w:val="lt-LT"/>
        </w:rPr>
        <w:t xml:space="preserve"> </w:t>
      </w:r>
      <w:r w:rsidR="001C690D">
        <w:rPr>
          <w:sz w:val="20"/>
          <w:szCs w:val="20"/>
          <w:lang w:val="lt-LT"/>
        </w:rPr>
        <w:t>Susijęs tvirtinimas: B</w:t>
      </w:r>
      <w:r w:rsidR="00BB333E" w:rsidRPr="00FE380C">
        <w:rPr>
          <w:lang w:val="lt-LT"/>
        </w:rPr>
        <w:t xml:space="preserve"> – </w:t>
      </w:r>
      <w:r w:rsidR="001C690D">
        <w:rPr>
          <w:sz w:val="20"/>
          <w:szCs w:val="20"/>
          <w:lang w:val="lt-LT"/>
        </w:rPr>
        <w:t>buvimas, V</w:t>
      </w:r>
      <w:r w:rsidR="00BB333E" w:rsidRPr="00FE380C">
        <w:rPr>
          <w:lang w:val="lt-LT"/>
        </w:rPr>
        <w:t xml:space="preserve"> – </w:t>
      </w:r>
      <w:r w:rsidR="001C690D">
        <w:rPr>
          <w:sz w:val="20"/>
          <w:szCs w:val="20"/>
          <w:lang w:val="lt-LT"/>
        </w:rPr>
        <w:t>įvertinimas, I</w:t>
      </w:r>
      <w:r w:rsidR="00BB333E" w:rsidRPr="00FE380C">
        <w:rPr>
          <w:lang w:val="lt-LT"/>
        </w:rPr>
        <w:t xml:space="preserve"> – </w:t>
      </w:r>
      <w:r w:rsidR="001C690D">
        <w:rPr>
          <w:sz w:val="20"/>
          <w:szCs w:val="20"/>
          <w:lang w:val="lt-LT"/>
        </w:rPr>
        <w:t>išsamumas, T</w:t>
      </w:r>
      <w:r w:rsidR="00BB333E" w:rsidRPr="00FE380C">
        <w:rPr>
          <w:lang w:val="lt-LT"/>
        </w:rPr>
        <w:t xml:space="preserve"> – </w:t>
      </w:r>
      <w:r w:rsidR="001C690D">
        <w:rPr>
          <w:sz w:val="20"/>
          <w:szCs w:val="20"/>
          <w:lang w:val="lt-LT"/>
        </w:rPr>
        <w:t>tikslumas.</w:t>
      </w:r>
    </w:p>
    <w:p w:rsidR="00254306" w:rsidRPr="002831E4" w:rsidRDefault="00254306" w:rsidP="000D5B81">
      <w:pPr>
        <w:pStyle w:val="NormalWeb"/>
        <w:spacing w:before="60" w:beforeAutospacing="0" w:after="0" w:afterAutospacing="0" w:line="360" w:lineRule="auto"/>
        <w:jc w:val="both"/>
        <w:rPr>
          <w:sz w:val="20"/>
          <w:szCs w:val="20"/>
          <w:lang w:val="lt-LT"/>
        </w:rPr>
      </w:pPr>
      <w:r w:rsidRPr="002831E4">
        <w:rPr>
          <w:sz w:val="20"/>
          <w:szCs w:val="20"/>
          <w:lang w:val="lt-LT"/>
        </w:rPr>
        <w:t>Šaltinis:</w:t>
      </w:r>
      <w:r>
        <w:rPr>
          <w:sz w:val="20"/>
          <w:szCs w:val="20"/>
          <w:lang w:val="lt-LT"/>
        </w:rPr>
        <w:t xml:space="preserve"> sudaryta autorės.</w:t>
      </w:r>
    </w:p>
    <w:p w:rsidR="00223ACB" w:rsidRPr="00313C2E" w:rsidRDefault="00011CEC" w:rsidP="00F77152">
      <w:pPr>
        <w:pStyle w:val="NormalWeb"/>
        <w:spacing w:before="0" w:beforeAutospacing="0" w:after="0" w:afterAutospacing="0" w:line="360" w:lineRule="auto"/>
        <w:ind w:firstLine="720"/>
        <w:jc w:val="both"/>
        <w:rPr>
          <w:i/>
          <w:sz w:val="26"/>
          <w:szCs w:val="26"/>
          <w:lang w:val="lt-LT"/>
        </w:rPr>
      </w:pPr>
      <w:r w:rsidRPr="00313C2E">
        <w:rPr>
          <w:i/>
          <w:sz w:val="26"/>
          <w:szCs w:val="26"/>
          <w:lang w:val="lt-LT"/>
        </w:rPr>
        <w:lastRenderedPageBreak/>
        <w:t>Kaip matome, išvados dėl iškeltų pirmųjų dviejų hipotezių, kaip ir UAB</w:t>
      </w:r>
      <w:r w:rsidR="00313C2E">
        <w:rPr>
          <w:i/>
          <w:sz w:val="26"/>
          <w:szCs w:val="26"/>
          <w:lang w:val="lt-LT"/>
        </w:rPr>
        <w:t> </w:t>
      </w:r>
      <w:r w:rsidRPr="00313C2E">
        <w:rPr>
          <w:i/>
          <w:sz w:val="26"/>
          <w:szCs w:val="26"/>
          <w:lang w:val="lt-LT"/>
        </w:rPr>
        <w:t>„Šiluma“ finansinių ataskaitų audito atveju, yra analogiškos: 1)</w:t>
      </w:r>
      <w:r w:rsidR="00313C2E">
        <w:rPr>
          <w:i/>
          <w:sz w:val="26"/>
          <w:szCs w:val="26"/>
          <w:lang w:val="lt-LT"/>
        </w:rPr>
        <w:t> </w:t>
      </w:r>
      <w:r w:rsidR="00223ACB" w:rsidRPr="00313C2E">
        <w:rPr>
          <w:i/>
          <w:sz w:val="26"/>
          <w:szCs w:val="26"/>
          <w:lang w:val="lt-LT"/>
        </w:rPr>
        <w:t xml:space="preserve">reikšmingo iškraipymo rizikos dėl </w:t>
      </w:r>
      <w:r w:rsidR="007F1B93" w:rsidRPr="00313C2E">
        <w:rPr>
          <w:i/>
          <w:sz w:val="26"/>
          <w:szCs w:val="26"/>
          <w:lang w:val="lt-LT"/>
        </w:rPr>
        <w:t xml:space="preserve">iš susijusių šalių gautinų </w:t>
      </w:r>
      <w:r w:rsidR="001E3ACA" w:rsidRPr="00313C2E">
        <w:rPr>
          <w:i/>
          <w:sz w:val="26"/>
          <w:szCs w:val="26"/>
          <w:lang w:val="lt-LT"/>
        </w:rPr>
        <w:t xml:space="preserve">prekybos </w:t>
      </w:r>
      <w:r w:rsidR="007F1B93" w:rsidRPr="00313C2E">
        <w:rPr>
          <w:i/>
          <w:sz w:val="26"/>
          <w:szCs w:val="26"/>
          <w:lang w:val="lt-LT"/>
        </w:rPr>
        <w:t xml:space="preserve">sumų </w:t>
      </w:r>
      <w:r w:rsidR="0028678D" w:rsidRPr="00313C2E">
        <w:rPr>
          <w:i/>
          <w:sz w:val="26"/>
          <w:szCs w:val="26"/>
          <w:lang w:val="lt-LT"/>
        </w:rPr>
        <w:t>į</w:t>
      </w:r>
      <w:r w:rsidR="00223ACB" w:rsidRPr="00313C2E">
        <w:rPr>
          <w:i/>
          <w:sz w:val="26"/>
          <w:szCs w:val="26"/>
          <w:lang w:val="lt-LT"/>
        </w:rPr>
        <w:t>vertinimo tvirtinim</w:t>
      </w:r>
      <w:r w:rsidR="007F1B93" w:rsidRPr="00313C2E">
        <w:rPr>
          <w:i/>
          <w:sz w:val="26"/>
          <w:szCs w:val="26"/>
          <w:lang w:val="lt-LT"/>
        </w:rPr>
        <w:t xml:space="preserve">o, atidėtojo mokesčio įsipareigojimo </w:t>
      </w:r>
      <w:r w:rsidR="0028678D" w:rsidRPr="00313C2E">
        <w:rPr>
          <w:i/>
          <w:sz w:val="26"/>
          <w:szCs w:val="26"/>
          <w:lang w:val="lt-LT"/>
        </w:rPr>
        <w:t>į</w:t>
      </w:r>
      <w:r w:rsidR="007F1B93" w:rsidRPr="00313C2E">
        <w:rPr>
          <w:i/>
          <w:sz w:val="26"/>
          <w:szCs w:val="26"/>
          <w:lang w:val="lt-LT"/>
        </w:rPr>
        <w:t xml:space="preserve">vertinimo tvirtinimo, </w:t>
      </w:r>
      <w:r w:rsidR="00223ACB" w:rsidRPr="00313C2E">
        <w:rPr>
          <w:i/>
          <w:sz w:val="26"/>
          <w:szCs w:val="26"/>
          <w:lang w:val="lt-LT"/>
        </w:rPr>
        <w:t xml:space="preserve">pardavimo pajamų </w:t>
      </w:r>
      <w:r w:rsidR="007F1B93" w:rsidRPr="00313C2E">
        <w:rPr>
          <w:i/>
          <w:sz w:val="26"/>
          <w:szCs w:val="26"/>
          <w:lang w:val="lt-LT"/>
        </w:rPr>
        <w:t>ir pardavimo savikainos tikslumo tvirtinim</w:t>
      </w:r>
      <w:r w:rsidR="002C02C7">
        <w:rPr>
          <w:i/>
          <w:sz w:val="26"/>
          <w:szCs w:val="26"/>
          <w:lang w:val="lt-LT"/>
        </w:rPr>
        <w:t>ų</w:t>
      </w:r>
      <w:r w:rsidR="007F1B93" w:rsidRPr="00313C2E">
        <w:rPr>
          <w:i/>
          <w:sz w:val="26"/>
          <w:szCs w:val="26"/>
          <w:lang w:val="lt-LT"/>
        </w:rPr>
        <w:t xml:space="preserve"> </w:t>
      </w:r>
      <w:r w:rsidR="002C02C7">
        <w:rPr>
          <w:i/>
          <w:sz w:val="26"/>
          <w:szCs w:val="26"/>
          <w:lang w:val="lt-LT"/>
        </w:rPr>
        <w:t>įvertinimas</w:t>
      </w:r>
      <w:r w:rsidR="00223ACB" w:rsidRPr="00313C2E">
        <w:rPr>
          <w:i/>
          <w:sz w:val="26"/>
          <w:szCs w:val="26"/>
          <w:lang w:val="lt-LT"/>
        </w:rPr>
        <w:t xml:space="preserve"> yra nulemtas reikšmingo iškraipymo rizikos finansinių ataskaitų lygmeniu (apgaulės </w:t>
      </w:r>
      <w:r w:rsidRPr="00313C2E">
        <w:rPr>
          <w:i/>
          <w:sz w:val="26"/>
          <w:szCs w:val="26"/>
          <w:lang w:val="lt-LT"/>
        </w:rPr>
        <w:t xml:space="preserve">ir įmonės </w:t>
      </w:r>
      <w:r w:rsidR="00223ACB" w:rsidRPr="00313C2E">
        <w:rPr>
          <w:i/>
          <w:sz w:val="26"/>
          <w:szCs w:val="26"/>
          <w:lang w:val="lt-LT"/>
        </w:rPr>
        <w:t>rizik</w:t>
      </w:r>
      <w:r w:rsidRPr="00313C2E">
        <w:rPr>
          <w:i/>
          <w:sz w:val="26"/>
          <w:szCs w:val="26"/>
          <w:lang w:val="lt-LT"/>
        </w:rPr>
        <w:t>ų</w:t>
      </w:r>
      <w:r w:rsidR="00223ACB" w:rsidRPr="00313C2E">
        <w:rPr>
          <w:i/>
          <w:sz w:val="26"/>
          <w:szCs w:val="26"/>
          <w:lang w:val="lt-LT"/>
        </w:rPr>
        <w:t xml:space="preserve">) vertinimo, kas patvirtina </w:t>
      </w:r>
      <w:r w:rsidRPr="00313C2E">
        <w:rPr>
          <w:i/>
          <w:sz w:val="26"/>
          <w:szCs w:val="26"/>
          <w:lang w:val="lt-LT"/>
        </w:rPr>
        <w:t xml:space="preserve">iškeltos </w:t>
      </w:r>
      <w:r w:rsidR="00223ACB" w:rsidRPr="00313C2E">
        <w:rPr>
          <w:i/>
          <w:sz w:val="26"/>
          <w:szCs w:val="26"/>
          <w:lang w:val="lt-LT"/>
        </w:rPr>
        <w:t>pirmosios hipotezės (H</w:t>
      </w:r>
      <w:r w:rsidR="00223ACB" w:rsidRPr="00313C2E">
        <w:rPr>
          <w:i/>
          <w:sz w:val="26"/>
          <w:szCs w:val="26"/>
          <w:vertAlign w:val="subscript"/>
          <w:lang w:val="lt-LT"/>
        </w:rPr>
        <w:t>1</w:t>
      </w:r>
      <w:r w:rsidR="00223ACB" w:rsidRPr="00313C2E">
        <w:rPr>
          <w:i/>
          <w:sz w:val="26"/>
          <w:szCs w:val="26"/>
          <w:lang w:val="lt-LT"/>
        </w:rPr>
        <w:t>) teisingumą</w:t>
      </w:r>
      <w:r w:rsidRPr="00313C2E">
        <w:rPr>
          <w:i/>
          <w:sz w:val="26"/>
          <w:szCs w:val="26"/>
          <w:lang w:val="lt-LT"/>
        </w:rPr>
        <w:t>; 2) at</w:t>
      </w:r>
      <w:r w:rsidR="00223ACB" w:rsidRPr="00313C2E">
        <w:rPr>
          <w:i/>
          <w:sz w:val="26"/>
          <w:szCs w:val="26"/>
          <w:lang w:val="lt-LT"/>
        </w:rPr>
        <w:t>skiras įgimtos rizikos ir kontrolės rizikos apskaičiavimas tinkamiau pagrindžia reikšmingo iškraipymo rizik</w:t>
      </w:r>
      <w:r w:rsidRPr="00313C2E">
        <w:rPr>
          <w:i/>
          <w:sz w:val="26"/>
          <w:szCs w:val="26"/>
          <w:lang w:val="lt-LT"/>
        </w:rPr>
        <w:t>os</w:t>
      </w:r>
      <w:r w:rsidR="00223ACB" w:rsidRPr="00313C2E">
        <w:rPr>
          <w:i/>
          <w:sz w:val="26"/>
          <w:szCs w:val="26"/>
          <w:lang w:val="lt-LT"/>
        </w:rPr>
        <w:t xml:space="preserve"> tv</w:t>
      </w:r>
      <w:r w:rsidR="004C5686" w:rsidRPr="00313C2E">
        <w:rPr>
          <w:i/>
          <w:sz w:val="26"/>
          <w:szCs w:val="26"/>
          <w:lang w:val="lt-LT"/>
        </w:rPr>
        <w:t xml:space="preserve">irtinimo lygmeniu </w:t>
      </w:r>
      <w:r w:rsidR="002C02C7">
        <w:rPr>
          <w:i/>
          <w:sz w:val="26"/>
          <w:szCs w:val="26"/>
          <w:lang w:val="lt-LT"/>
        </w:rPr>
        <w:t>įvertinimą</w:t>
      </w:r>
      <w:r w:rsidR="004C5686" w:rsidRPr="00313C2E">
        <w:rPr>
          <w:i/>
          <w:sz w:val="26"/>
          <w:szCs w:val="26"/>
          <w:lang w:val="lt-LT"/>
        </w:rPr>
        <w:t xml:space="preserve"> ir tuo galima </w:t>
      </w:r>
      <w:r w:rsidR="00223ACB" w:rsidRPr="00313C2E">
        <w:rPr>
          <w:i/>
          <w:sz w:val="26"/>
          <w:szCs w:val="26"/>
          <w:lang w:val="lt-LT"/>
        </w:rPr>
        <w:t>paneig</w:t>
      </w:r>
      <w:r w:rsidR="004C5686" w:rsidRPr="00313C2E">
        <w:rPr>
          <w:i/>
          <w:sz w:val="26"/>
          <w:szCs w:val="26"/>
          <w:lang w:val="lt-LT"/>
        </w:rPr>
        <w:t>ti</w:t>
      </w:r>
      <w:r w:rsidR="00223ACB" w:rsidRPr="00313C2E">
        <w:rPr>
          <w:i/>
          <w:sz w:val="26"/>
          <w:szCs w:val="26"/>
          <w:lang w:val="lt-LT"/>
        </w:rPr>
        <w:t xml:space="preserve"> antrosios hipotezės (H</w:t>
      </w:r>
      <w:r w:rsidR="00223ACB" w:rsidRPr="00313C2E">
        <w:rPr>
          <w:i/>
          <w:sz w:val="26"/>
          <w:szCs w:val="26"/>
          <w:vertAlign w:val="subscript"/>
          <w:lang w:val="lt-LT"/>
        </w:rPr>
        <w:t>2</w:t>
      </w:r>
      <w:r w:rsidR="004C5686" w:rsidRPr="00313C2E">
        <w:rPr>
          <w:i/>
          <w:sz w:val="26"/>
          <w:szCs w:val="26"/>
          <w:lang w:val="lt-LT"/>
        </w:rPr>
        <w:t>)</w:t>
      </w:r>
      <w:r w:rsidR="00223ACB" w:rsidRPr="00313C2E">
        <w:rPr>
          <w:i/>
          <w:sz w:val="26"/>
          <w:szCs w:val="26"/>
          <w:lang w:val="lt-LT"/>
        </w:rPr>
        <w:t xml:space="preserve"> formuluotę.</w:t>
      </w:r>
    </w:p>
    <w:p w:rsidR="00223ACB" w:rsidRDefault="00EA02A9" w:rsidP="00F77152">
      <w:pPr>
        <w:ind w:firstLine="720"/>
        <w:jc w:val="right"/>
        <w:rPr>
          <w:i/>
          <w:sz w:val="26"/>
          <w:szCs w:val="26"/>
          <w:lang w:val="lt-LT"/>
        </w:rPr>
      </w:pPr>
      <w:r w:rsidRPr="00313C2E">
        <w:rPr>
          <w:i/>
          <w:sz w:val="26"/>
          <w:szCs w:val="26"/>
          <w:lang w:val="lt-LT"/>
        </w:rPr>
        <w:t>3</w:t>
      </w:r>
      <w:r w:rsidR="00036530">
        <w:rPr>
          <w:i/>
          <w:sz w:val="26"/>
          <w:szCs w:val="26"/>
          <w:lang w:val="lt-LT"/>
        </w:rPr>
        <w:t>8</w:t>
      </w:r>
      <w:r w:rsidR="00223ACB" w:rsidRPr="00313C2E">
        <w:rPr>
          <w:i/>
          <w:sz w:val="26"/>
          <w:szCs w:val="26"/>
          <w:lang w:val="lt-LT"/>
        </w:rPr>
        <w:t xml:space="preserve"> lentelė</w:t>
      </w:r>
    </w:p>
    <w:p w:rsidR="00223ACB" w:rsidRPr="00313C2E" w:rsidRDefault="00223ACB" w:rsidP="00F77152">
      <w:pPr>
        <w:pStyle w:val="NormalWeb"/>
        <w:spacing w:before="0" w:beforeAutospacing="0" w:after="0" w:afterAutospacing="0"/>
        <w:ind w:firstLine="720"/>
        <w:jc w:val="center"/>
        <w:rPr>
          <w:sz w:val="26"/>
          <w:szCs w:val="26"/>
          <w:lang w:val="lt-LT"/>
        </w:rPr>
      </w:pPr>
      <w:r w:rsidRPr="00313C2E">
        <w:rPr>
          <w:b/>
          <w:sz w:val="26"/>
          <w:szCs w:val="26"/>
          <w:lang w:val="lt-LT"/>
        </w:rPr>
        <w:t>UAB „</w:t>
      </w:r>
      <w:r w:rsidR="005B2863" w:rsidRPr="00313C2E">
        <w:rPr>
          <w:b/>
          <w:sz w:val="26"/>
          <w:szCs w:val="26"/>
          <w:lang w:val="lt-LT"/>
        </w:rPr>
        <w:t>Žuvila</w:t>
      </w:r>
      <w:r w:rsidRPr="00313C2E">
        <w:rPr>
          <w:b/>
          <w:sz w:val="26"/>
          <w:szCs w:val="26"/>
          <w:lang w:val="lt-LT"/>
        </w:rPr>
        <w:t>“ aptikimo rizikos tvirtinimo lygmeniu vertinimas</w:t>
      </w:r>
    </w:p>
    <w:tbl>
      <w:tblPr>
        <w:tblStyle w:val="TableGrid"/>
        <w:tblW w:w="0" w:type="auto"/>
        <w:jc w:val="center"/>
        <w:tblInd w:w="-40" w:type="dxa"/>
        <w:tblLook w:val="04A0"/>
      </w:tblPr>
      <w:tblGrid>
        <w:gridCol w:w="3134"/>
        <w:gridCol w:w="709"/>
        <w:gridCol w:w="1134"/>
        <w:gridCol w:w="1134"/>
        <w:gridCol w:w="2197"/>
      </w:tblGrid>
      <w:tr w:rsidR="00223ACB" w:rsidRPr="00313C2E" w:rsidTr="009C3EAF">
        <w:trPr>
          <w:cantSplit/>
          <w:trHeight w:val="1431"/>
          <w:jc w:val="center"/>
        </w:trPr>
        <w:tc>
          <w:tcPr>
            <w:tcW w:w="3134" w:type="dxa"/>
            <w:vAlign w:val="center"/>
          </w:tcPr>
          <w:p w:rsidR="00BA0639" w:rsidRDefault="00223ACB" w:rsidP="00BA0639">
            <w:pPr>
              <w:pStyle w:val="NormalWeb"/>
              <w:spacing w:before="0" w:beforeAutospacing="0" w:after="0" w:afterAutospacing="0"/>
              <w:jc w:val="center"/>
              <w:rPr>
                <w:b/>
                <w:sz w:val="22"/>
                <w:szCs w:val="22"/>
                <w:lang w:val="lt-LT"/>
              </w:rPr>
            </w:pPr>
            <w:r w:rsidRPr="00313C2E">
              <w:rPr>
                <w:b/>
                <w:sz w:val="22"/>
                <w:szCs w:val="22"/>
                <w:lang w:val="lt-LT"/>
              </w:rPr>
              <w:t xml:space="preserve">Finansinių ataskaitų </w:t>
            </w:r>
          </w:p>
          <w:p w:rsidR="00223ACB" w:rsidRPr="00313C2E" w:rsidRDefault="00223ACB" w:rsidP="00BA0639">
            <w:pPr>
              <w:pStyle w:val="NormalWeb"/>
              <w:spacing w:before="0" w:beforeAutospacing="0" w:after="0" w:afterAutospacing="0"/>
              <w:jc w:val="center"/>
              <w:rPr>
                <w:b/>
                <w:sz w:val="22"/>
                <w:szCs w:val="22"/>
                <w:lang w:val="lt-LT"/>
              </w:rPr>
            </w:pPr>
            <w:r w:rsidRPr="00313C2E">
              <w:rPr>
                <w:b/>
                <w:sz w:val="22"/>
                <w:szCs w:val="22"/>
                <w:lang w:val="lt-LT"/>
              </w:rPr>
              <w:t>elementas</w:t>
            </w:r>
          </w:p>
        </w:tc>
        <w:tc>
          <w:tcPr>
            <w:tcW w:w="709" w:type="dxa"/>
            <w:textDirection w:val="btLr"/>
            <w:vAlign w:val="center"/>
          </w:tcPr>
          <w:p w:rsidR="00223ACB" w:rsidRPr="00313C2E" w:rsidRDefault="00223ACB" w:rsidP="00BA0639">
            <w:pPr>
              <w:pStyle w:val="NormalWeb"/>
              <w:spacing w:before="0" w:beforeAutospacing="0" w:after="0" w:afterAutospacing="0"/>
              <w:ind w:left="113" w:right="113"/>
              <w:jc w:val="center"/>
              <w:rPr>
                <w:b/>
                <w:sz w:val="22"/>
                <w:szCs w:val="22"/>
                <w:lang w:val="lt-LT"/>
              </w:rPr>
            </w:pPr>
            <w:r w:rsidRPr="00313C2E">
              <w:rPr>
                <w:b/>
                <w:sz w:val="22"/>
                <w:szCs w:val="22"/>
                <w:lang w:val="lt-LT"/>
              </w:rPr>
              <w:t>Susijęs tvirtinimas</w:t>
            </w:r>
          </w:p>
        </w:tc>
        <w:tc>
          <w:tcPr>
            <w:tcW w:w="1134" w:type="dxa"/>
            <w:textDirection w:val="btLr"/>
            <w:vAlign w:val="center"/>
          </w:tcPr>
          <w:p w:rsidR="00223ACB" w:rsidRPr="00313C2E" w:rsidRDefault="00223ACB" w:rsidP="00BA0639">
            <w:pPr>
              <w:pStyle w:val="NormalWeb"/>
              <w:spacing w:before="0" w:beforeAutospacing="0" w:after="0" w:afterAutospacing="0"/>
              <w:ind w:left="113" w:right="113"/>
              <w:jc w:val="center"/>
              <w:rPr>
                <w:b/>
                <w:sz w:val="22"/>
                <w:szCs w:val="22"/>
                <w:lang w:val="lt-LT"/>
              </w:rPr>
            </w:pPr>
            <w:r w:rsidRPr="00313C2E">
              <w:rPr>
                <w:b/>
                <w:sz w:val="22"/>
                <w:szCs w:val="22"/>
                <w:lang w:val="lt-LT"/>
              </w:rPr>
              <w:t>R</w:t>
            </w:r>
            <w:r w:rsidR="00CB7528" w:rsidRPr="00313C2E">
              <w:rPr>
                <w:b/>
                <w:sz w:val="22"/>
                <w:szCs w:val="22"/>
                <w:lang w:val="lt-LT"/>
              </w:rPr>
              <w:t>MM</w:t>
            </w:r>
            <w:r w:rsidRPr="00313C2E">
              <w:rPr>
                <w:b/>
                <w:sz w:val="22"/>
                <w:szCs w:val="22"/>
                <w:lang w:val="lt-LT"/>
              </w:rPr>
              <w:t xml:space="preserve"> tvirtinimo lygmeniu</w:t>
            </w:r>
          </w:p>
        </w:tc>
        <w:tc>
          <w:tcPr>
            <w:tcW w:w="1134" w:type="dxa"/>
            <w:textDirection w:val="btLr"/>
            <w:vAlign w:val="center"/>
          </w:tcPr>
          <w:p w:rsidR="00223ACB" w:rsidRPr="00313C2E" w:rsidRDefault="00223ACB" w:rsidP="00BA0639">
            <w:pPr>
              <w:pStyle w:val="NormalWeb"/>
              <w:spacing w:before="0" w:beforeAutospacing="0" w:after="0" w:afterAutospacing="0"/>
              <w:ind w:left="113" w:right="113"/>
              <w:jc w:val="center"/>
              <w:rPr>
                <w:b/>
                <w:sz w:val="22"/>
                <w:szCs w:val="22"/>
                <w:lang w:val="lt-LT"/>
              </w:rPr>
            </w:pPr>
            <w:r w:rsidRPr="00313C2E">
              <w:rPr>
                <w:b/>
                <w:sz w:val="22"/>
                <w:szCs w:val="22"/>
                <w:lang w:val="lt-LT"/>
              </w:rPr>
              <w:t>Aptikimo rizika</w:t>
            </w:r>
          </w:p>
        </w:tc>
        <w:tc>
          <w:tcPr>
            <w:tcW w:w="2197" w:type="dxa"/>
            <w:vAlign w:val="center"/>
          </w:tcPr>
          <w:p w:rsidR="00223ACB" w:rsidRPr="00313C2E" w:rsidRDefault="00223ACB" w:rsidP="00BA0639">
            <w:pPr>
              <w:pStyle w:val="NormalWeb"/>
              <w:spacing w:before="0" w:beforeAutospacing="0" w:after="0" w:afterAutospacing="0"/>
              <w:jc w:val="center"/>
              <w:rPr>
                <w:b/>
                <w:sz w:val="22"/>
                <w:szCs w:val="22"/>
                <w:lang w:val="lt-LT"/>
              </w:rPr>
            </w:pPr>
            <w:r w:rsidRPr="00313C2E">
              <w:rPr>
                <w:b/>
                <w:sz w:val="22"/>
                <w:szCs w:val="22"/>
                <w:lang w:val="lt-LT"/>
              </w:rPr>
              <w:t>Aptikimo rizikos komponentų vertinimas</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Atsargos</w:t>
            </w:r>
          </w:p>
        </w:tc>
        <w:tc>
          <w:tcPr>
            <w:tcW w:w="709" w:type="dxa"/>
          </w:tcPr>
          <w:p w:rsidR="005B2863" w:rsidRPr="00313C2E" w:rsidRDefault="005B2863" w:rsidP="00BA0639">
            <w:pPr>
              <w:pStyle w:val="NormalWeb"/>
              <w:spacing w:before="0" w:beforeAutospacing="0" w:after="0" w:afterAutospacing="0"/>
              <w:jc w:val="center"/>
              <w:rPr>
                <w:sz w:val="22"/>
                <w:szCs w:val="22"/>
                <w:lang w:val="lt-LT"/>
              </w:rPr>
            </w:pPr>
            <w:r w:rsidRPr="00313C2E">
              <w:rPr>
                <w:sz w:val="22"/>
                <w:szCs w:val="22"/>
                <w:lang w:val="lt-LT"/>
              </w:rPr>
              <w:t>B</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PfR – vidutinė</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Atsargos</w:t>
            </w:r>
          </w:p>
        </w:tc>
        <w:tc>
          <w:tcPr>
            <w:tcW w:w="709" w:type="dxa"/>
          </w:tcPr>
          <w:p w:rsidR="005B2863" w:rsidRPr="00313C2E"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Didelė</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maža, PfR – negalima</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Iš susijusių šalių gautinos prekybos sumos</w:t>
            </w:r>
          </w:p>
        </w:tc>
        <w:tc>
          <w:tcPr>
            <w:tcW w:w="709" w:type="dxa"/>
          </w:tcPr>
          <w:p w:rsidR="005B2863" w:rsidRPr="00313C2E"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Didelė</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maža, PfR – negalima</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Skolos kredito įstaigoms</w:t>
            </w:r>
          </w:p>
        </w:tc>
        <w:tc>
          <w:tcPr>
            <w:tcW w:w="709" w:type="dxa"/>
          </w:tcPr>
          <w:p w:rsidR="005B2863" w:rsidRPr="00313C2E"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Didelė</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maža, PfR – negalima</w:t>
            </w:r>
          </w:p>
        </w:tc>
      </w:tr>
      <w:tr w:rsidR="005B2863" w:rsidRPr="00313C2E" w:rsidTr="00BA0639">
        <w:trPr>
          <w:jc w:val="center"/>
        </w:trPr>
        <w:tc>
          <w:tcPr>
            <w:tcW w:w="3134" w:type="dxa"/>
          </w:tcPr>
          <w:p w:rsidR="005B2863" w:rsidRPr="00313C2E" w:rsidRDefault="005B2863" w:rsidP="000D5B81">
            <w:pPr>
              <w:pStyle w:val="NormalWeb"/>
              <w:spacing w:before="0" w:beforeAutospacing="0" w:after="0" w:afterAutospacing="0"/>
              <w:rPr>
                <w:sz w:val="22"/>
                <w:szCs w:val="22"/>
                <w:lang w:val="lt-LT"/>
              </w:rPr>
            </w:pPr>
            <w:r w:rsidRPr="00313C2E">
              <w:rPr>
                <w:sz w:val="22"/>
                <w:szCs w:val="22"/>
                <w:lang w:val="lt-LT"/>
              </w:rPr>
              <w:t>Atidėtojo mokesčio įsipareigojimas</w:t>
            </w:r>
          </w:p>
        </w:tc>
        <w:tc>
          <w:tcPr>
            <w:tcW w:w="709" w:type="dxa"/>
          </w:tcPr>
          <w:p w:rsidR="005B2863" w:rsidRPr="00313C2E"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Didelė</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maža, PfR – negalima</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Skolos tiekėjams ir skolos susijusioms šalims</w:t>
            </w:r>
          </w:p>
        </w:tc>
        <w:tc>
          <w:tcPr>
            <w:tcW w:w="709" w:type="dxa"/>
          </w:tcPr>
          <w:p w:rsidR="005B2863" w:rsidRPr="00313C2E" w:rsidRDefault="005B2863" w:rsidP="00BA0639">
            <w:pPr>
              <w:pStyle w:val="NormalWeb"/>
              <w:spacing w:before="0" w:beforeAutospacing="0" w:after="0" w:afterAutospacing="0"/>
              <w:jc w:val="center"/>
              <w:rPr>
                <w:sz w:val="22"/>
                <w:szCs w:val="22"/>
                <w:lang w:val="lt-LT"/>
              </w:rPr>
            </w:pPr>
            <w:r w:rsidRPr="00313C2E">
              <w:rPr>
                <w:sz w:val="22"/>
                <w:szCs w:val="22"/>
                <w:lang w:val="lt-LT"/>
              </w:rPr>
              <w:t>I</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PfR – vidutinė</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Skolos tiekėjams ir skolos susijusioms šalims</w:t>
            </w:r>
          </w:p>
        </w:tc>
        <w:tc>
          <w:tcPr>
            <w:tcW w:w="709" w:type="dxa"/>
          </w:tcPr>
          <w:p w:rsidR="005B2863" w:rsidRPr="00313C2E"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Vidutinė</w:t>
            </w:r>
          </w:p>
        </w:tc>
        <w:tc>
          <w:tcPr>
            <w:tcW w:w="1134" w:type="dxa"/>
          </w:tcPr>
          <w:p w:rsidR="005B2863" w:rsidRPr="00313C2E" w:rsidRDefault="005B2863" w:rsidP="005B2863">
            <w:pPr>
              <w:pStyle w:val="NormalWeb"/>
              <w:spacing w:before="0" w:beforeAutospacing="0" w:after="0" w:afterAutospacing="0"/>
              <w:jc w:val="center"/>
              <w:rPr>
                <w:sz w:val="22"/>
                <w:szCs w:val="22"/>
                <w:lang w:val="lt-LT"/>
              </w:rPr>
            </w:pPr>
            <w:r w:rsidRPr="00313C2E">
              <w:rPr>
                <w:sz w:val="22"/>
                <w:szCs w:val="22"/>
                <w:lang w:val="lt-LT"/>
              </w:rPr>
              <w:t>Vidutinė</w:t>
            </w:r>
          </w:p>
        </w:tc>
        <w:tc>
          <w:tcPr>
            <w:tcW w:w="2197" w:type="dxa"/>
          </w:tcPr>
          <w:p w:rsidR="005B2863" w:rsidRPr="00313C2E" w:rsidRDefault="005B2863" w:rsidP="003706DA">
            <w:pPr>
              <w:pStyle w:val="NormalWeb"/>
              <w:spacing w:before="0" w:beforeAutospacing="0" w:after="0" w:afterAutospacing="0"/>
              <w:rPr>
                <w:sz w:val="22"/>
                <w:szCs w:val="22"/>
                <w:lang w:val="lt-LT"/>
              </w:rPr>
            </w:pPr>
            <w:r w:rsidRPr="00313C2E">
              <w:rPr>
                <w:sz w:val="22"/>
                <w:szCs w:val="22"/>
                <w:lang w:val="lt-LT"/>
              </w:rPr>
              <w:t>ApR, AtR, PfR – maža</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 xml:space="preserve">Su darbo santykiais susiję įsipareigojimai </w:t>
            </w:r>
          </w:p>
        </w:tc>
        <w:tc>
          <w:tcPr>
            <w:tcW w:w="709" w:type="dxa"/>
          </w:tcPr>
          <w:p w:rsidR="005B2863" w:rsidRPr="00313C2E" w:rsidRDefault="005B2863" w:rsidP="00BA0639">
            <w:pPr>
              <w:pStyle w:val="NormalWeb"/>
              <w:spacing w:before="0" w:beforeAutospacing="0" w:after="0" w:afterAutospacing="0"/>
              <w:jc w:val="center"/>
              <w:rPr>
                <w:sz w:val="22"/>
                <w:szCs w:val="22"/>
                <w:lang w:val="lt-LT"/>
              </w:rPr>
            </w:pPr>
            <w:r w:rsidRPr="00313C2E">
              <w:rPr>
                <w:sz w:val="22"/>
                <w:szCs w:val="22"/>
                <w:lang w:val="lt-LT"/>
              </w:rPr>
              <w:t>I</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PfR – vidutinė</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 xml:space="preserve">Su darbo santykiais susiję įsipareigojimai </w:t>
            </w:r>
          </w:p>
        </w:tc>
        <w:tc>
          <w:tcPr>
            <w:tcW w:w="709" w:type="dxa"/>
          </w:tcPr>
          <w:p w:rsidR="005B2863" w:rsidRPr="00313C2E" w:rsidRDefault="00BA0639" w:rsidP="00BA0639">
            <w:pPr>
              <w:pStyle w:val="NormalWeb"/>
              <w:spacing w:before="0" w:beforeAutospacing="0" w:after="0" w:afterAutospacing="0"/>
              <w:jc w:val="center"/>
              <w:rPr>
                <w:sz w:val="22"/>
                <w:szCs w:val="22"/>
                <w:lang w:val="lt-LT"/>
              </w:rPr>
            </w:pPr>
            <w:r>
              <w:rPr>
                <w:sz w:val="22"/>
                <w:szCs w:val="22"/>
                <w:lang w:val="lt-LT"/>
              </w:rPr>
              <w:t>V</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PfR – vidutinė</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Pardavimo pajamos</w:t>
            </w:r>
          </w:p>
        </w:tc>
        <w:tc>
          <w:tcPr>
            <w:tcW w:w="709" w:type="dxa"/>
          </w:tcPr>
          <w:p w:rsidR="005B2863" w:rsidRPr="00313C2E" w:rsidRDefault="005B2863" w:rsidP="00BA0639">
            <w:pPr>
              <w:pStyle w:val="NormalWeb"/>
              <w:spacing w:before="0" w:beforeAutospacing="0" w:after="0" w:afterAutospacing="0"/>
              <w:jc w:val="center"/>
              <w:rPr>
                <w:sz w:val="22"/>
                <w:szCs w:val="22"/>
                <w:lang w:val="lt-LT"/>
              </w:rPr>
            </w:pPr>
            <w:r w:rsidRPr="00313C2E">
              <w:rPr>
                <w:sz w:val="22"/>
                <w:szCs w:val="22"/>
                <w:lang w:val="lt-LT"/>
              </w:rPr>
              <w:t>T</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Didelė</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Maža</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maža, PfR – negalima</w:t>
            </w:r>
          </w:p>
        </w:tc>
      </w:tr>
      <w:tr w:rsidR="005B2863" w:rsidRPr="00313C2E" w:rsidTr="00BA0639">
        <w:trPr>
          <w:jc w:val="center"/>
        </w:trPr>
        <w:tc>
          <w:tcPr>
            <w:tcW w:w="3134" w:type="dxa"/>
          </w:tcPr>
          <w:p w:rsidR="005B2863" w:rsidRPr="00313C2E" w:rsidRDefault="005B2863" w:rsidP="003706DA">
            <w:pPr>
              <w:pStyle w:val="NormalWeb"/>
              <w:spacing w:before="0" w:beforeAutospacing="0" w:after="0" w:afterAutospacing="0"/>
              <w:jc w:val="both"/>
              <w:rPr>
                <w:sz w:val="22"/>
                <w:szCs w:val="22"/>
                <w:lang w:val="lt-LT"/>
              </w:rPr>
            </w:pPr>
            <w:r w:rsidRPr="00313C2E">
              <w:rPr>
                <w:sz w:val="22"/>
                <w:szCs w:val="22"/>
                <w:lang w:val="lt-LT"/>
              </w:rPr>
              <w:t xml:space="preserve">Pardavimo savikaina </w:t>
            </w:r>
          </w:p>
        </w:tc>
        <w:tc>
          <w:tcPr>
            <w:tcW w:w="709" w:type="dxa"/>
          </w:tcPr>
          <w:p w:rsidR="005B2863" w:rsidRPr="00313C2E" w:rsidRDefault="005B2863" w:rsidP="00BA0639">
            <w:pPr>
              <w:pStyle w:val="NormalWeb"/>
              <w:spacing w:before="0" w:beforeAutospacing="0" w:after="0" w:afterAutospacing="0"/>
              <w:jc w:val="center"/>
              <w:rPr>
                <w:sz w:val="22"/>
                <w:szCs w:val="22"/>
                <w:lang w:val="lt-LT"/>
              </w:rPr>
            </w:pPr>
            <w:r w:rsidRPr="00313C2E">
              <w:rPr>
                <w:sz w:val="22"/>
                <w:szCs w:val="22"/>
                <w:lang w:val="lt-LT"/>
              </w:rPr>
              <w:t>T</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Vidutinė</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Vidutinė</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PfR – maža</w:t>
            </w:r>
          </w:p>
        </w:tc>
      </w:tr>
      <w:tr w:rsidR="005B2863" w:rsidRPr="00313C2E" w:rsidTr="00BA0639">
        <w:trPr>
          <w:jc w:val="center"/>
        </w:trPr>
        <w:tc>
          <w:tcPr>
            <w:tcW w:w="3134" w:type="dxa"/>
          </w:tcPr>
          <w:p w:rsidR="005B2863" w:rsidRPr="00313C2E" w:rsidRDefault="00F77152" w:rsidP="00F77152">
            <w:pPr>
              <w:pStyle w:val="NormalWeb"/>
              <w:spacing w:before="0" w:beforeAutospacing="0" w:after="0" w:afterAutospacing="0"/>
              <w:jc w:val="both"/>
              <w:rPr>
                <w:sz w:val="22"/>
                <w:szCs w:val="22"/>
                <w:lang w:val="lt-LT"/>
              </w:rPr>
            </w:pPr>
            <w:r>
              <w:rPr>
                <w:sz w:val="22"/>
                <w:szCs w:val="22"/>
                <w:lang w:val="lt-LT"/>
              </w:rPr>
              <w:t>Veiklos sąnaudos (</w:t>
            </w:r>
            <w:r w:rsidR="005B2863" w:rsidRPr="00313C2E">
              <w:rPr>
                <w:sz w:val="22"/>
                <w:szCs w:val="22"/>
                <w:lang w:val="lt-LT"/>
              </w:rPr>
              <w:t>susiję su darbo užmokesči</w:t>
            </w:r>
            <w:r>
              <w:rPr>
                <w:sz w:val="22"/>
                <w:szCs w:val="22"/>
                <w:lang w:val="lt-LT"/>
              </w:rPr>
              <w:t>u</w:t>
            </w:r>
            <w:r w:rsidR="005B2863" w:rsidRPr="00313C2E">
              <w:rPr>
                <w:sz w:val="22"/>
                <w:szCs w:val="22"/>
                <w:lang w:val="lt-LT"/>
              </w:rPr>
              <w:t xml:space="preserve">) </w:t>
            </w:r>
          </w:p>
        </w:tc>
        <w:tc>
          <w:tcPr>
            <w:tcW w:w="709" w:type="dxa"/>
          </w:tcPr>
          <w:p w:rsidR="005B2863" w:rsidRPr="00313C2E" w:rsidRDefault="005B2863" w:rsidP="00BA0639">
            <w:pPr>
              <w:pStyle w:val="NormalWeb"/>
              <w:spacing w:before="0" w:beforeAutospacing="0" w:after="0" w:afterAutospacing="0"/>
              <w:jc w:val="center"/>
              <w:rPr>
                <w:sz w:val="22"/>
                <w:szCs w:val="22"/>
                <w:lang w:val="lt-LT"/>
              </w:rPr>
            </w:pPr>
            <w:r w:rsidRPr="00313C2E">
              <w:rPr>
                <w:sz w:val="22"/>
                <w:szCs w:val="22"/>
                <w:lang w:val="lt-LT"/>
              </w:rPr>
              <w:t>T</w:t>
            </w:r>
          </w:p>
        </w:tc>
        <w:tc>
          <w:tcPr>
            <w:tcW w:w="1134" w:type="dxa"/>
          </w:tcPr>
          <w:p w:rsidR="005B2863" w:rsidRPr="00313C2E" w:rsidRDefault="005B2863" w:rsidP="003706DA">
            <w:pPr>
              <w:pStyle w:val="NormalWeb"/>
              <w:spacing w:before="0" w:beforeAutospacing="0" w:after="0" w:afterAutospacing="0"/>
              <w:jc w:val="center"/>
              <w:rPr>
                <w:sz w:val="22"/>
                <w:szCs w:val="22"/>
                <w:lang w:val="lt-LT"/>
              </w:rPr>
            </w:pPr>
            <w:r w:rsidRPr="00313C2E">
              <w:rPr>
                <w:sz w:val="22"/>
                <w:szCs w:val="22"/>
                <w:lang w:val="lt-LT"/>
              </w:rPr>
              <w:t>Maža</w:t>
            </w:r>
          </w:p>
        </w:tc>
        <w:tc>
          <w:tcPr>
            <w:tcW w:w="1134" w:type="dxa"/>
          </w:tcPr>
          <w:p w:rsidR="005B2863" w:rsidRPr="00313C2E" w:rsidRDefault="005B2863" w:rsidP="004634E5">
            <w:pPr>
              <w:pStyle w:val="NormalWeb"/>
              <w:spacing w:before="0" w:beforeAutospacing="0" w:after="0" w:afterAutospacing="0"/>
              <w:jc w:val="center"/>
              <w:rPr>
                <w:sz w:val="22"/>
                <w:szCs w:val="22"/>
                <w:lang w:val="lt-LT"/>
              </w:rPr>
            </w:pPr>
            <w:r w:rsidRPr="00313C2E">
              <w:rPr>
                <w:sz w:val="22"/>
                <w:szCs w:val="22"/>
                <w:lang w:val="lt-LT"/>
              </w:rPr>
              <w:t>Didelė</w:t>
            </w:r>
          </w:p>
        </w:tc>
        <w:tc>
          <w:tcPr>
            <w:tcW w:w="2197" w:type="dxa"/>
          </w:tcPr>
          <w:p w:rsidR="005B2863" w:rsidRPr="00313C2E" w:rsidRDefault="005B2863" w:rsidP="004634E5">
            <w:pPr>
              <w:pStyle w:val="NormalWeb"/>
              <w:spacing w:before="0" w:beforeAutospacing="0" w:after="0" w:afterAutospacing="0"/>
              <w:rPr>
                <w:sz w:val="22"/>
                <w:szCs w:val="22"/>
                <w:lang w:val="lt-LT"/>
              </w:rPr>
            </w:pPr>
            <w:r w:rsidRPr="00313C2E">
              <w:rPr>
                <w:sz w:val="22"/>
                <w:szCs w:val="22"/>
                <w:lang w:val="lt-LT"/>
              </w:rPr>
              <w:t>ApR, AtR, PfR – vidutinė</w:t>
            </w:r>
          </w:p>
        </w:tc>
      </w:tr>
    </w:tbl>
    <w:p w:rsidR="000D5B81" w:rsidRDefault="00CB7528" w:rsidP="009C3EAF">
      <w:pPr>
        <w:pStyle w:val="NormalWeb"/>
        <w:spacing w:before="60" w:beforeAutospacing="0" w:after="0" w:afterAutospacing="0" w:line="200" w:lineRule="exact"/>
        <w:jc w:val="both"/>
        <w:rPr>
          <w:sz w:val="20"/>
          <w:szCs w:val="20"/>
          <w:lang w:val="lt-LT"/>
        </w:rPr>
      </w:pPr>
      <w:r>
        <w:rPr>
          <w:sz w:val="20"/>
          <w:szCs w:val="20"/>
          <w:lang w:val="lt-LT"/>
        </w:rPr>
        <w:t>Pastaba: RMM</w:t>
      </w:r>
      <w:r w:rsidR="00223ACB" w:rsidRPr="005B2863">
        <w:rPr>
          <w:sz w:val="20"/>
          <w:szCs w:val="20"/>
          <w:lang w:val="lt-LT"/>
        </w:rPr>
        <w:t xml:space="preserve"> – reikš</w:t>
      </w:r>
      <w:r w:rsidR="00F77152">
        <w:rPr>
          <w:sz w:val="20"/>
          <w:szCs w:val="20"/>
          <w:lang w:val="lt-LT"/>
        </w:rPr>
        <w:t>mingo iškraipymo rizika, ApR – a</w:t>
      </w:r>
      <w:r w:rsidR="00223ACB" w:rsidRPr="005B2863">
        <w:rPr>
          <w:sz w:val="20"/>
          <w:szCs w:val="20"/>
          <w:lang w:val="lt-LT"/>
        </w:rPr>
        <w:t xml:space="preserve">udito procedūrų rizika, AtR – </w:t>
      </w:r>
      <w:r w:rsidR="00F77152">
        <w:rPr>
          <w:sz w:val="20"/>
          <w:szCs w:val="20"/>
          <w:lang w:val="lt-LT"/>
        </w:rPr>
        <w:t>atrankos rizika, PfR – p</w:t>
      </w:r>
      <w:r w:rsidR="00223ACB" w:rsidRPr="005B2863">
        <w:rPr>
          <w:sz w:val="20"/>
          <w:szCs w:val="20"/>
          <w:lang w:val="lt-LT"/>
        </w:rPr>
        <w:t>rofesinė rizika.</w:t>
      </w:r>
      <w:r w:rsidR="000D5B81" w:rsidRPr="000D5B81">
        <w:rPr>
          <w:sz w:val="20"/>
          <w:szCs w:val="20"/>
          <w:lang w:val="lt-LT"/>
        </w:rPr>
        <w:t xml:space="preserve"> </w:t>
      </w:r>
      <w:r w:rsidR="000D5B81">
        <w:rPr>
          <w:sz w:val="20"/>
          <w:szCs w:val="20"/>
          <w:lang w:val="lt-LT"/>
        </w:rPr>
        <w:t>Susijęs tvirtinimas: B</w:t>
      </w:r>
      <w:r w:rsidR="009C3EAF">
        <w:rPr>
          <w:sz w:val="20"/>
          <w:szCs w:val="20"/>
          <w:lang w:val="lt-LT"/>
        </w:rPr>
        <w:t xml:space="preserve"> – </w:t>
      </w:r>
      <w:r w:rsidR="000D5B81">
        <w:rPr>
          <w:sz w:val="20"/>
          <w:szCs w:val="20"/>
          <w:lang w:val="lt-LT"/>
        </w:rPr>
        <w:t>buvimas, V</w:t>
      </w:r>
      <w:r w:rsidR="009C3EAF">
        <w:rPr>
          <w:sz w:val="20"/>
          <w:szCs w:val="20"/>
          <w:lang w:val="lt-LT"/>
        </w:rPr>
        <w:t xml:space="preserve"> – </w:t>
      </w:r>
      <w:r w:rsidR="000D5B81">
        <w:rPr>
          <w:sz w:val="20"/>
          <w:szCs w:val="20"/>
          <w:lang w:val="lt-LT"/>
        </w:rPr>
        <w:t>įvertinimas, I</w:t>
      </w:r>
      <w:r w:rsidR="009C3EAF">
        <w:rPr>
          <w:sz w:val="20"/>
          <w:szCs w:val="20"/>
          <w:lang w:val="lt-LT"/>
        </w:rPr>
        <w:t xml:space="preserve"> – </w:t>
      </w:r>
      <w:r w:rsidR="000D5B81">
        <w:rPr>
          <w:sz w:val="20"/>
          <w:szCs w:val="20"/>
          <w:lang w:val="lt-LT"/>
        </w:rPr>
        <w:t>išsamumas, T</w:t>
      </w:r>
      <w:r w:rsidR="009C3EAF">
        <w:rPr>
          <w:sz w:val="20"/>
          <w:szCs w:val="20"/>
          <w:lang w:val="lt-LT"/>
        </w:rPr>
        <w:t xml:space="preserve"> – </w:t>
      </w:r>
      <w:r w:rsidR="000D5B81">
        <w:rPr>
          <w:sz w:val="20"/>
          <w:szCs w:val="20"/>
          <w:lang w:val="lt-LT"/>
        </w:rPr>
        <w:t>tikslumas.</w:t>
      </w:r>
    </w:p>
    <w:p w:rsidR="00254306" w:rsidRDefault="00254306" w:rsidP="009C3EAF">
      <w:pPr>
        <w:pStyle w:val="NormalWeb"/>
        <w:spacing w:before="60" w:beforeAutospacing="0" w:after="0" w:afterAutospacing="0"/>
        <w:jc w:val="both"/>
        <w:rPr>
          <w:sz w:val="20"/>
          <w:szCs w:val="20"/>
          <w:lang w:val="lt-LT"/>
        </w:rPr>
      </w:pPr>
      <w:r w:rsidRPr="002831E4">
        <w:rPr>
          <w:sz w:val="20"/>
          <w:szCs w:val="20"/>
          <w:lang w:val="lt-LT"/>
        </w:rPr>
        <w:t>Šaltinis:</w:t>
      </w:r>
      <w:r>
        <w:rPr>
          <w:sz w:val="20"/>
          <w:szCs w:val="20"/>
          <w:lang w:val="lt-LT"/>
        </w:rPr>
        <w:t xml:space="preserve"> sudaryta autorės.</w:t>
      </w:r>
    </w:p>
    <w:p w:rsidR="00223ACB" w:rsidRPr="00F02CB0" w:rsidRDefault="00F77152" w:rsidP="00F77152">
      <w:pPr>
        <w:pStyle w:val="NormalWeb"/>
        <w:spacing w:before="240" w:beforeAutospacing="0" w:after="0" w:afterAutospacing="0" w:line="360" w:lineRule="auto"/>
        <w:ind w:firstLine="720"/>
        <w:jc w:val="both"/>
        <w:rPr>
          <w:sz w:val="26"/>
          <w:szCs w:val="26"/>
          <w:lang w:val="lt-LT"/>
        </w:rPr>
      </w:pPr>
      <w:r>
        <w:rPr>
          <w:sz w:val="26"/>
          <w:szCs w:val="26"/>
          <w:lang w:val="lt-LT"/>
        </w:rPr>
        <w:lastRenderedPageBreak/>
        <w:t>A</w:t>
      </w:r>
      <w:r w:rsidR="00C04EF4" w:rsidRPr="00F02CB0">
        <w:rPr>
          <w:sz w:val="26"/>
          <w:szCs w:val="26"/>
          <w:lang w:val="lt-LT"/>
        </w:rPr>
        <w:t xml:space="preserve">tsižvelgiant į reikšmingo iškraipymo riziką tvirtinimo lygmeniu, įvertinama susijusi aptikimo rizika ir numatomos konkrečios audito procedūros. Atvirkštinės priklausomybės tarp reikšmingo iškraipymo rizikos ir aptikimo rizikos bei bendrasis aptikimo rizikos komponentų vertinimas tvirtinimo lygmeniu pagal </w:t>
      </w:r>
      <w:r w:rsidRPr="00F02CB0">
        <w:rPr>
          <w:sz w:val="26"/>
          <w:szCs w:val="26"/>
          <w:lang w:val="lt-LT"/>
        </w:rPr>
        <w:t>20 pav.</w:t>
      </w:r>
      <w:r>
        <w:rPr>
          <w:sz w:val="26"/>
          <w:szCs w:val="26"/>
          <w:lang w:val="lt-LT"/>
        </w:rPr>
        <w:t xml:space="preserve"> darbo autorės sudarytą </w:t>
      </w:r>
      <w:r w:rsidR="00C04EF4" w:rsidRPr="00F02CB0">
        <w:rPr>
          <w:sz w:val="26"/>
          <w:szCs w:val="26"/>
          <w:lang w:val="lt-LT"/>
        </w:rPr>
        <w:t xml:space="preserve">audito rizikos </w:t>
      </w:r>
      <w:r w:rsidR="009C3EAF">
        <w:rPr>
          <w:sz w:val="26"/>
          <w:szCs w:val="26"/>
          <w:lang w:val="lt-LT"/>
        </w:rPr>
        <w:t>vertinimo schem</w:t>
      </w:r>
      <w:r w:rsidR="00C04EF4" w:rsidRPr="00F02CB0">
        <w:rPr>
          <w:sz w:val="26"/>
          <w:szCs w:val="26"/>
          <w:lang w:val="lt-LT"/>
        </w:rPr>
        <w:t>ą pavaizduotas 3</w:t>
      </w:r>
      <w:r w:rsidR="00036530">
        <w:rPr>
          <w:sz w:val="26"/>
          <w:szCs w:val="26"/>
          <w:lang w:val="lt-LT"/>
        </w:rPr>
        <w:t>8</w:t>
      </w:r>
      <w:r w:rsidR="00C04EF4" w:rsidRPr="00F02CB0">
        <w:rPr>
          <w:sz w:val="26"/>
          <w:szCs w:val="26"/>
          <w:lang w:val="lt-LT"/>
        </w:rPr>
        <w:t xml:space="preserve"> lentelėje. </w:t>
      </w:r>
      <w:r>
        <w:rPr>
          <w:sz w:val="26"/>
          <w:szCs w:val="26"/>
          <w:lang w:val="lt-LT"/>
        </w:rPr>
        <w:t>Šioje lentelėje a</w:t>
      </w:r>
      <w:r w:rsidR="00223ACB" w:rsidRPr="00F02CB0">
        <w:rPr>
          <w:sz w:val="26"/>
          <w:szCs w:val="26"/>
          <w:lang w:val="lt-LT"/>
        </w:rPr>
        <w:t xml:space="preserve">ptikimo rizika </w:t>
      </w:r>
      <w:r w:rsidR="00227B57" w:rsidRPr="00F02CB0">
        <w:rPr>
          <w:sz w:val="26"/>
          <w:szCs w:val="26"/>
          <w:lang w:val="lt-LT"/>
        </w:rPr>
        <w:t>vertinama kaip</w:t>
      </w:r>
      <w:r w:rsidR="00223ACB" w:rsidRPr="00F02CB0">
        <w:rPr>
          <w:sz w:val="26"/>
          <w:szCs w:val="26"/>
          <w:lang w:val="lt-LT"/>
        </w:rPr>
        <w:t>:</w:t>
      </w:r>
    </w:p>
    <w:p w:rsidR="00223ACB" w:rsidRPr="00F02CB0" w:rsidRDefault="00223ACB" w:rsidP="00223ACB">
      <w:pPr>
        <w:pStyle w:val="NormalWeb"/>
        <w:spacing w:before="0" w:beforeAutospacing="0" w:after="0" w:afterAutospacing="0" w:line="360" w:lineRule="auto"/>
        <w:ind w:firstLine="720"/>
        <w:jc w:val="both"/>
        <w:rPr>
          <w:sz w:val="26"/>
          <w:szCs w:val="26"/>
          <w:lang w:val="lt-LT"/>
        </w:rPr>
      </w:pPr>
      <w:r w:rsidRPr="00F02CB0">
        <w:rPr>
          <w:sz w:val="26"/>
          <w:szCs w:val="26"/>
          <w:lang w:val="lt-LT"/>
        </w:rPr>
        <w:t xml:space="preserve">1) </w:t>
      </w:r>
      <w:r w:rsidRPr="00F02CB0">
        <w:rPr>
          <w:i/>
          <w:sz w:val="26"/>
          <w:szCs w:val="26"/>
          <w:lang w:val="lt-LT"/>
        </w:rPr>
        <w:t>didelė</w:t>
      </w:r>
      <w:r w:rsidRPr="00F02CB0">
        <w:rPr>
          <w:sz w:val="26"/>
          <w:szCs w:val="26"/>
          <w:lang w:val="lt-LT"/>
        </w:rPr>
        <w:t xml:space="preserve"> dėl </w:t>
      </w:r>
      <w:r w:rsidR="00227B57" w:rsidRPr="00F02CB0">
        <w:rPr>
          <w:sz w:val="26"/>
          <w:szCs w:val="26"/>
          <w:lang w:val="lt-LT"/>
        </w:rPr>
        <w:t>atsargų</w:t>
      </w:r>
      <w:r w:rsidRPr="00F02CB0">
        <w:rPr>
          <w:sz w:val="26"/>
          <w:szCs w:val="26"/>
          <w:lang w:val="lt-LT"/>
        </w:rPr>
        <w:t xml:space="preserve"> buvimo, </w:t>
      </w:r>
      <w:r w:rsidR="00227B57" w:rsidRPr="00F02CB0">
        <w:rPr>
          <w:sz w:val="26"/>
          <w:szCs w:val="26"/>
          <w:lang w:val="lt-LT"/>
        </w:rPr>
        <w:t>skolų tiekėjams ir skolų susijusioms šalims išsamumo,</w:t>
      </w:r>
      <w:r w:rsidRPr="00F02CB0">
        <w:rPr>
          <w:sz w:val="26"/>
          <w:szCs w:val="26"/>
          <w:lang w:val="lt-LT"/>
        </w:rPr>
        <w:t xml:space="preserve"> su darbo santykiais susijusių įsipareigojimų išsamumo</w:t>
      </w:r>
      <w:r w:rsidR="00227B57" w:rsidRPr="00F02CB0">
        <w:rPr>
          <w:sz w:val="26"/>
          <w:szCs w:val="26"/>
          <w:lang w:val="lt-LT"/>
        </w:rPr>
        <w:t xml:space="preserve"> ir </w:t>
      </w:r>
      <w:r w:rsidR="003453D9" w:rsidRPr="00F02CB0">
        <w:rPr>
          <w:sz w:val="26"/>
          <w:szCs w:val="26"/>
          <w:lang w:val="lt-LT"/>
        </w:rPr>
        <w:t>į</w:t>
      </w:r>
      <w:r w:rsidR="00227B57" w:rsidRPr="00F02CB0">
        <w:rPr>
          <w:sz w:val="26"/>
          <w:szCs w:val="26"/>
          <w:lang w:val="lt-LT"/>
        </w:rPr>
        <w:t xml:space="preserve">vertinimo bei </w:t>
      </w:r>
      <w:r w:rsidRPr="00F02CB0">
        <w:rPr>
          <w:sz w:val="26"/>
          <w:szCs w:val="26"/>
          <w:lang w:val="lt-LT"/>
        </w:rPr>
        <w:t>veiklos sąnaudų</w:t>
      </w:r>
      <w:r w:rsidR="00227B57" w:rsidRPr="00F02CB0">
        <w:rPr>
          <w:sz w:val="26"/>
          <w:szCs w:val="26"/>
          <w:lang w:val="lt-LT"/>
        </w:rPr>
        <w:t xml:space="preserve"> (tiek</w:t>
      </w:r>
      <w:r w:rsidR="001911B5" w:rsidRPr="00F02CB0">
        <w:rPr>
          <w:sz w:val="26"/>
          <w:szCs w:val="26"/>
          <w:lang w:val="lt-LT"/>
        </w:rPr>
        <w:t>,</w:t>
      </w:r>
      <w:r w:rsidR="00227B57" w:rsidRPr="00F02CB0">
        <w:rPr>
          <w:sz w:val="26"/>
          <w:szCs w:val="26"/>
          <w:lang w:val="lt-LT"/>
        </w:rPr>
        <w:t xml:space="preserve"> kiek susiję su darbo užmokesčio sąnaudomis)</w:t>
      </w:r>
      <w:r w:rsidRPr="00F02CB0">
        <w:rPr>
          <w:sz w:val="26"/>
          <w:szCs w:val="26"/>
          <w:lang w:val="lt-LT"/>
        </w:rPr>
        <w:t xml:space="preserve"> tikslumo tvirtinimų, nes ši</w:t>
      </w:r>
      <w:r w:rsidR="00227B57" w:rsidRPr="00F02CB0">
        <w:rPr>
          <w:sz w:val="26"/>
          <w:szCs w:val="26"/>
          <w:lang w:val="lt-LT"/>
        </w:rPr>
        <w:t xml:space="preserve">uos tvirtinimus nuo reikšmingų iškraipymų saugo </w:t>
      </w:r>
      <w:r w:rsidRPr="00F02CB0">
        <w:rPr>
          <w:sz w:val="26"/>
          <w:szCs w:val="26"/>
          <w:lang w:val="lt-LT"/>
        </w:rPr>
        <w:t>UAB „</w:t>
      </w:r>
      <w:r w:rsidR="00227B57" w:rsidRPr="00F02CB0">
        <w:rPr>
          <w:sz w:val="26"/>
          <w:szCs w:val="26"/>
          <w:lang w:val="lt-LT"/>
        </w:rPr>
        <w:t>Žuvila</w:t>
      </w:r>
      <w:r w:rsidRPr="00F02CB0">
        <w:rPr>
          <w:sz w:val="26"/>
          <w:szCs w:val="26"/>
          <w:lang w:val="lt-LT"/>
        </w:rPr>
        <w:t xml:space="preserve">“ </w:t>
      </w:r>
      <w:r w:rsidR="00227B57" w:rsidRPr="00F02CB0">
        <w:rPr>
          <w:sz w:val="26"/>
          <w:szCs w:val="26"/>
          <w:lang w:val="lt-LT"/>
        </w:rPr>
        <w:t xml:space="preserve">įdiegti </w:t>
      </w:r>
      <w:r w:rsidRPr="00F02CB0">
        <w:rPr>
          <w:sz w:val="26"/>
          <w:szCs w:val="26"/>
          <w:lang w:val="lt-LT"/>
        </w:rPr>
        <w:t>pirkimų, darbo apmokėjimo</w:t>
      </w:r>
      <w:r w:rsidR="00227B57" w:rsidRPr="00F02CB0">
        <w:rPr>
          <w:sz w:val="26"/>
          <w:szCs w:val="26"/>
          <w:lang w:val="lt-LT"/>
        </w:rPr>
        <w:t xml:space="preserve"> </w:t>
      </w:r>
      <w:r w:rsidR="000C1D5D">
        <w:rPr>
          <w:sz w:val="26"/>
          <w:szCs w:val="26"/>
          <w:lang w:val="lt-LT"/>
        </w:rPr>
        <w:t xml:space="preserve">apskaitos </w:t>
      </w:r>
      <w:r w:rsidR="00227B57" w:rsidRPr="00F02CB0">
        <w:rPr>
          <w:sz w:val="26"/>
          <w:szCs w:val="26"/>
          <w:lang w:val="lt-LT"/>
        </w:rPr>
        <w:t>procesai</w:t>
      </w:r>
      <w:r w:rsidRPr="00F02CB0">
        <w:rPr>
          <w:sz w:val="26"/>
          <w:szCs w:val="26"/>
          <w:lang w:val="lt-LT"/>
        </w:rPr>
        <w:t xml:space="preserve">. </w:t>
      </w:r>
      <w:r w:rsidR="0060119B" w:rsidRPr="00F02CB0">
        <w:rPr>
          <w:sz w:val="26"/>
          <w:szCs w:val="26"/>
          <w:lang w:val="lt-LT"/>
        </w:rPr>
        <w:t>Todėl auditoriui, siekiant darbo efektyvum</w:t>
      </w:r>
      <w:r w:rsidR="000C1D5D">
        <w:rPr>
          <w:sz w:val="26"/>
          <w:szCs w:val="26"/>
          <w:lang w:val="lt-LT"/>
        </w:rPr>
        <w:t>o</w:t>
      </w:r>
      <w:r w:rsidR="0060119B" w:rsidRPr="00F02CB0">
        <w:rPr>
          <w:sz w:val="26"/>
          <w:szCs w:val="26"/>
          <w:lang w:val="lt-LT"/>
        </w:rPr>
        <w:t>, tikslinga remtis</w:t>
      </w:r>
      <w:r w:rsidRPr="00F02CB0">
        <w:rPr>
          <w:sz w:val="26"/>
          <w:szCs w:val="26"/>
          <w:lang w:val="lt-LT"/>
        </w:rPr>
        <w:t xml:space="preserve"> </w:t>
      </w:r>
      <w:r w:rsidR="0060119B" w:rsidRPr="00F02CB0">
        <w:rPr>
          <w:sz w:val="26"/>
          <w:szCs w:val="26"/>
          <w:lang w:val="lt-LT"/>
        </w:rPr>
        <w:t xml:space="preserve">daugiau </w:t>
      </w:r>
      <w:r w:rsidRPr="00F02CB0">
        <w:rPr>
          <w:sz w:val="26"/>
          <w:szCs w:val="26"/>
          <w:lang w:val="lt-LT"/>
        </w:rPr>
        <w:t>analitin</w:t>
      </w:r>
      <w:r w:rsidR="0060119B" w:rsidRPr="00F02CB0">
        <w:rPr>
          <w:sz w:val="26"/>
          <w:szCs w:val="26"/>
          <w:lang w:val="lt-LT"/>
        </w:rPr>
        <w:t xml:space="preserve">ėmis </w:t>
      </w:r>
      <w:r w:rsidRPr="00F02CB0">
        <w:rPr>
          <w:sz w:val="26"/>
          <w:szCs w:val="26"/>
          <w:lang w:val="lt-LT"/>
        </w:rPr>
        <w:t>procedūr</w:t>
      </w:r>
      <w:r w:rsidR="0060119B" w:rsidRPr="00F02CB0">
        <w:rPr>
          <w:sz w:val="26"/>
          <w:szCs w:val="26"/>
          <w:lang w:val="lt-LT"/>
        </w:rPr>
        <w:t>omis (</w:t>
      </w:r>
      <w:r w:rsidR="001911B5" w:rsidRPr="00F02CB0">
        <w:rPr>
          <w:sz w:val="26"/>
          <w:szCs w:val="26"/>
          <w:lang w:val="lt-LT"/>
        </w:rPr>
        <w:t xml:space="preserve">nagrinėti </w:t>
      </w:r>
      <w:r w:rsidR="0060119B" w:rsidRPr="00F02CB0">
        <w:rPr>
          <w:sz w:val="26"/>
          <w:szCs w:val="26"/>
          <w:lang w:val="lt-LT"/>
        </w:rPr>
        <w:t>esminiu</w:t>
      </w:r>
      <w:r w:rsidR="001911B5" w:rsidRPr="00F02CB0">
        <w:rPr>
          <w:sz w:val="26"/>
          <w:szCs w:val="26"/>
          <w:lang w:val="lt-LT"/>
        </w:rPr>
        <w:t>s</w:t>
      </w:r>
      <w:r w:rsidR="0060119B" w:rsidRPr="00F02CB0">
        <w:rPr>
          <w:sz w:val="26"/>
          <w:szCs w:val="26"/>
          <w:lang w:val="lt-LT"/>
        </w:rPr>
        <w:t xml:space="preserve"> pokyčius ir sąlygas), naudoti</w:t>
      </w:r>
      <w:r w:rsidRPr="00F02CB0">
        <w:rPr>
          <w:sz w:val="26"/>
          <w:szCs w:val="26"/>
          <w:lang w:val="lt-LT"/>
        </w:rPr>
        <w:t xml:space="preserve"> atrank</w:t>
      </w:r>
      <w:r w:rsidR="0060119B" w:rsidRPr="00F02CB0">
        <w:rPr>
          <w:sz w:val="26"/>
          <w:szCs w:val="26"/>
          <w:lang w:val="lt-LT"/>
        </w:rPr>
        <w:t xml:space="preserve">ą ar </w:t>
      </w:r>
      <w:r w:rsidR="000D5B81">
        <w:rPr>
          <w:sz w:val="26"/>
          <w:szCs w:val="26"/>
          <w:lang w:val="lt-LT"/>
        </w:rPr>
        <w:t>t</w:t>
      </w:r>
      <w:r w:rsidR="0060119B" w:rsidRPr="00F02CB0">
        <w:rPr>
          <w:sz w:val="26"/>
          <w:szCs w:val="26"/>
          <w:lang w:val="lt-LT"/>
        </w:rPr>
        <w:t xml:space="preserve">irti tik svarbiausius elementus bei daugiau darbo </w:t>
      </w:r>
      <w:r w:rsidRPr="00F02CB0">
        <w:rPr>
          <w:sz w:val="26"/>
          <w:szCs w:val="26"/>
          <w:lang w:val="lt-LT"/>
        </w:rPr>
        <w:t>deleguoti mažiau patyrusiems audito grupės nariams</w:t>
      </w:r>
      <w:r w:rsidR="00D33CB9" w:rsidRPr="00F02CB0">
        <w:rPr>
          <w:sz w:val="26"/>
          <w:szCs w:val="26"/>
          <w:lang w:val="lt-LT"/>
        </w:rPr>
        <w:t xml:space="preserve">. </w:t>
      </w:r>
      <w:r w:rsidR="000C1D5D">
        <w:rPr>
          <w:sz w:val="26"/>
          <w:szCs w:val="26"/>
          <w:lang w:val="lt-LT"/>
        </w:rPr>
        <w:t xml:space="preserve">Šiuo atveju </w:t>
      </w:r>
      <w:r w:rsidR="00D33CB9" w:rsidRPr="00F02CB0">
        <w:rPr>
          <w:sz w:val="26"/>
          <w:szCs w:val="26"/>
          <w:lang w:val="lt-LT"/>
        </w:rPr>
        <w:t xml:space="preserve">tinkama numatyti tokias audito procedūras kaip: </w:t>
      </w:r>
      <w:r w:rsidR="0060119B" w:rsidRPr="00F02CB0">
        <w:rPr>
          <w:sz w:val="26"/>
          <w:szCs w:val="26"/>
          <w:lang w:val="lt-LT"/>
        </w:rPr>
        <w:t xml:space="preserve">dalyvauti atsargų </w:t>
      </w:r>
      <w:r w:rsidR="00D33CB9" w:rsidRPr="00F02CB0">
        <w:rPr>
          <w:sz w:val="26"/>
          <w:szCs w:val="26"/>
          <w:lang w:val="lt-LT"/>
        </w:rPr>
        <w:t xml:space="preserve">finansinių metų pabaigoje atliekamoje </w:t>
      </w:r>
      <w:r w:rsidR="0060119B" w:rsidRPr="00F02CB0">
        <w:rPr>
          <w:sz w:val="26"/>
          <w:szCs w:val="26"/>
          <w:lang w:val="lt-LT"/>
        </w:rPr>
        <w:t>inventorizacijoje, išsiųsti prašymus patvirtinti skolų sumas tiekėjams</w:t>
      </w:r>
      <w:r w:rsidR="00D33CB9" w:rsidRPr="00F02CB0">
        <w:rPr>
          <w:sz w:val="26"/>
          <w:szCs w:val="26"/>
          <w:lang w:val="lt-LT"/>
        </w:rPr>
        <w:t xml:space="preserve"> </w:t>
      </w:r>
      <w:r w:rsidR="003453D9" w:rsidRPr="00F02CB0">
        <w:rPr>
          <w:sz w:val="26"/>
          <w:szCs w:val="26"/>
          <w:lang w:val="lt-LT"/>
        </w:rPr>
        <w:t xml:space="preserve">ir susijusioms šalims </w:t>
      </w:r>
      <w:r w:rsidR="00D33CB9" w:rsidRPr="00F02CB0">
        <w:rPr>
          <w:sz w:val="26"/>
          <w:szCs w:val="26"/>
          <w:lang w:val="lt-LT"/>
        </w:rPr>
        <w:t>bei peržiūrėti įmonės atliktus mokėjimus po finansinių metų pabaigos, perskaičiuoti bendrą atostoginių kaupimų sumą, peržiūrėti pamėnesiui į veiklos sąnaudas įtrauktų darbo užmokesčio sumų pasikeitim</w:t>
      </w:r>
      <w:r w:rsidR="000C1D5D">
        <w:rPr>
          <w:sz w:val="26"/>
          <w:szCs w:val="26"/>
          <w:lang w:val="lt-LT"/>
        </w:rPr>
        <w:t>us</w:t>
      </w:r>
      <w:r w:rsidR="00D33CB9" w:rsidRPr="00F02CB0">
        <w:rPr>
          <w:sz w:val="26"/>
          <w:szCs w:val="26"/>
          <w:lang w:val="lt-LT"/>
        </w:rPr>
        <w:t xml:space="preserve"> ir t.t.)</w:t>
      </w:r>
      <w:r w:rsidRPr="00F02CB0">
        <w:rPr>
          <w:sz w:val="26"/>
          <w:szCs w:val="26"/>
          <w:lang w:val="lt-LT"/>
        </w:rPr>
        <w:t xml:space="preserve">; </w:t>
      </w:r>
    </w:p>
    <w:p w:rsidR="00713A13" w:rsidRPr="00F02CB0" w:rsidRDefault="00223ACB" w:rsidP="00223ACB">
      <w:pPr>
        <w:pStyle w:val="NormalWeb"/>
        <w:spacing w:before="0" w:beforeAutospacing="0" w:after="0" w:afterAutospacing="0" w:line="360" w:lineRule="auto"/>
        <w:ind w:firstLine="720"/>
        <w:jc w:val="both"/>
        <w:rPr>
          <w:sz w:val="26"/>
          <w:szCs w:val="26"/>
          <w:lang w:val="lt-LT"/>
        </w:rPr>
      </w:pPr>
      <w:r w:rsidRPr="00F02CB0">
        <w:rPr>
          <w:sz w:val="26"/>
          <w:szCs w:val="26"/>
          <w:lang w:val="lt-LT"/>
        </w:rPr>
        <w:t xml:space="preserve">2) </w:t>
      </w:r>
      <w:r w:rsidRPr="00F02CB0">
        <w:rPr>
          <w:i/>
          <w:sz w:val="26"/>
          <w:szCs w:val="26"/>
          <w:lang w:val="lt-LT"/>
        </w:rPr>
        <w:t xml:space="preserve">vidutinė </w:t>
      </w:r>
      <w:r w:rsidRPr="00F02CB0">
        <w:rPr>
          <w:sz w:val="26"/>
          <w:szCs w:val="26"/>
          <w:lang w:val="lt-LT"/>
        </w:rPr>
        <w:t xml:space="preserve">dėl </w:t>
      </w:r>
      <w:r w:rsidR="00D33CB9" w:rsidRPr="00F02CB0">
        <w:rPr>
          <w:sz w:val="26"/>
          <w:szCs w:val="26"/>
          <w:lang w:val="lt-LT"/>
        </w:rPr>
        <w:t xml:space="preserve">skolų tiekėjams ir skolų susijusioms šalims </w:t>
      </w:r>
      <w:r w:rsidR="003453D9" w:rsidRPr="00F02CB0">
        <w:rPr>
          <w:sz w:val="26"/>
          <w:szCs w:val="26"/>
          <w:lang w:val="lt-LT"/>
        </w:rPr>
        <w:t>į</w:t>
      </w:r>
      <w:r w:rsidR="00D33CB9" w:rsidRPr="00F02CB0">
        <w:rPr>
          <w:sz w:val="26"/>
          <w:szCs w:val="26"/>
          <w:lang w:val="lt-LT"/>
        </w:rPr>
        <w:t>vertinimo</w:t>
      </w:r>
      <w:r w:rsidR="00713A13" w:rsidRPr="00F02CB0">
        <w:rPr>
          <w:sz w:val="26"/>
          <w:szCs w:val="26"/>
          <w:lang w:val="lt-LT"/>
        </w:rPr>
        <w:t xml:space="preserve"> ir parda</w:t>
      </w:r>
      <w:r w:rsidR="00D33CB9" w:rsidRPr="00F02CB0">
        <w:rPr>
          <w:sz w:val="26"/>
          <w:szCs w:val="26"/>
          <w:lang w:val="lt-LT"/>
        </w:rPr>
        <w:t xml:space="preserve">vimo savikainos tikslumo tvirtinimų. Šiuo atveju </w:t>
      </w:r>
      <w:r w:rsidRPr="00F02CB0">
        <w:rPr>
          <w:sz w:val="26"/>
          <w:szCs w:val="26"/>
          <w:lang w:val="lt-LT"/>
        </w:rPr>
        <w:t xml:space="preserve">audito procedūrų rizika, atrankos rizika ir profesinė rizika </w:t>
      </w:r>
      <w:r w:rsidR="00D33CB9" w:rsidRPr="00F02CB0">
        <w:rPr>
          <w:sz w:val="26"/>
          <w:szCs w:val="26"/>
          <w:lang w:val="lt-LT"/>
        </w:rPr>
        <w:t>turi būti</w:t>
      </w:r>
      <w:r w:rsidRPr="00F02CB0">
        <w:rPr>
          <w:sz w:val="26"/>
          <w:szCs w:val="26"/>
          <w:lang w:val="lt-LT"/>
        </w:rPr>
        <w:t xml:space="preserve"> maža</w:t>
      </w:r>
      <w:r w:rsidR="00D33CB9" w:rsidRPr="00F02CB0">
        <w:rPr>
          <w:sz w:val="26"/>
          <w:szCs w:val="26"/>
          <w:lang w:val="lt-LT"/>
        </w:rPr>
        <w:t xml:space="preserve">, todėl </w:t>
      </w:r>
      <w:r w:rsidR="000C1D5D" w:rsidRPr="00F02CB0">
        <w:rPr>
          <w:sz w:val="26"/>
          <w:szCs w:val="26"/>
          <w:lang w:val="lt-LT"/>
        </w:rPr>
        <w:t xml:space="preserve">atliekama </w:t>
      </w:r>
      <w:r w:rsidR="00D33CB9" w:rsidRPr="00F02CB0">
        <w:rPr>
          <w:sz w:val="26"/>
          <w:szCs w:val="26"/>
          <w:lang w:val="lt-LT"/>
        </w:rPr>
        <w:t>daugiau audito procedūrų nagrinėjamų tvirtini</w:t>
      </w:r>
      <w:r w:rsidR="00713A13" w:rsidRPr="00F02CB0">
        <w:rPr>
          <w:sz w:val="26"/>
          <w:szCs w:val="26"/>
          <w:lang w:val="lt-LT"/>
        </w:rPr>
        <w:t>mų atžvilgiu</w:t>
      </w:r>
      <w:r w:rsidRPr="00F02CB0">
        <w:rPr>
          <w:sz w:val="26"/>
          <w:szCs w:val="26"/>
          <w:lang w:val="lt-LT"/>
        </w:rPr>
        <w:t>.</w:t>
      </w:r>
      <w:r w:rsidR="00713A13" w:rsidRPr="00F02CB0">
        <w:rPr>
          <w:sz w:val="26"/>
          <w:szCs w:val="26"/>
          <w:lang w:val="lt-LT"/>
        </w:rPr>
        <w:t xml:space="preserve"> </w:t>
      </w:r>
      <w:r w:rsidR="003453D9" w:rsidRPr="00F02CB0">
        <w:rPr>
          <w:sz w:val="26"/>
          <w:szCs w:val="26"/>
          <w:lang w:val="lt-LT"/>
        </w:rPr>
        <w:t>A</w:t>
      </w:r>
      <w:r w:rsidR="00713A13" w:rsidRPr="00F02CB0">
        <w:rPr>
          <w:sz w:val="26"/>
          <w:szCs w:val="26"/>
          <w:lang w:val="lt-LT"/>
        </w:rPr>
        <w:t>uditorius ar ki</w:t>
      </w:r>
      <w:r w:rsidR="003453D9" w:rsidRPr="00F02CB0">
        <w:rPr>
          <w:sz w:val="26"/>
          <w:szCs w:val="26"/>
          <w:lang w:val="lt-LT"/>
        </w:rPr>
        <w:t>ti audito grupės nariai turėtų a</w:t>
      </w:r>
      <w:r w:rsidR="00713A13" w:rsidRPr="00F02CB0">
        <w:rPr>
          <w:sz w:val="26"/>
          <w:szCs w:val="26"/>
          <w:lang w:val="lt-LT"/>
        </w:rPr>
        <w:t>) atlikti išsamią pardavimų savikainos ir pelno analizę, išsiaiškinant ar egzistuoja priklausomybė tarp šių k</w:t>
      </w:r>
      <w:r w:rsidR="003453D9" w:rsidRPr="00F02CB0">
        <w:rPr>
          <w:sz w:val="26"/>
          <w:szCs w:val="26"/>
          <w:lang w:val="lt-LT"/>
        </w:rPr>
        <w:t>intamųjų; b</w:t>
      </w:r>
      <w:r w:rsidR="00713A13" w:rsidRPr="00F02CB0">
        <w:rPr>
          <w:sz w:val="26"/>
          <w:szCs w:val="26"/>
          <w:lang w:val="lt-LT"/>
        </w:rPr>
        <w:t>)</w:t>
      </w:r>
      <w:r w:rsidR="00F02CB0">
        <w:rPr>
          <w:sz w:val="26"/>
          <w:szCs w:val="26"/>
          <w:lang w:val="lt-LT"/>
        </w:rPr>
        <w:t> </w:t>
      </w:r>
      <w:r w:rsidR="00713A13" w:rsidRPr="00F02CB0">
        <w:rPr>
          <w:sz w:val="26"/>
          <w:szCs w:val="26"/>
          <w:lang w:val="lt-LT"/>
        </w:rPr>
        <w:t>perskaičiuoti skolų tiekėjams</w:t>
      </w:r>
      <w:r w:rsidR="003453D9" w:rsidRPr="00F02CB0">
        <w:rPr>
          <w:sz w:val="26"/>
          <w:szCs w:val="26"/>
          <w:lang w:val="lt-LT"/>
        </w:rPr>
        <w:t xml:space="preserve"> ir susijusioms šalims</w:t>
      </w:r>
      <w:r w:rsidR="00713A13" w:rsidRPr="00F02CB0">
        <w:rPr>
          <w:sz w:val="26"/>
          <w:szCs w:val="26"/>
          <w:lang w:val="lt-LT"/>
        </w:rPr>
        <w:t xml:space="preserve"> likučius pagal balanso datą galiojantį oficialų užsienio valiutos ir lito santykį; </w:t>
      </w:r>
      <w:r w:rsidR="003453D9" w:rsidRPr="00F02CB0">
        <w:rPr>
          <w:sz w:val="26"/>
          <w:szCs w:val="26"/>
          <w:lang w:val="lt-LT"/>
        </w:rPr>
        <w:t>c</w:t>
      </w:r>
      <w:r w:rsidR="003706DA" w:rsidRPr="00F02CB0">
        <w:rPr>
          <w:sz w:val="26"/>
          <w:szCs w:val="26"/>
          <w:lang w:val="lt-LT"/>
        </w:rPr>
        <w:t xml:space="preserve">) </w:t>
      </w:r>
      <w:r w:rsidR="00713A13" w:rsidRPr="00F02CB0">
        <w:rPr>
          <w:sz w:val="26"/>
          <w:szCs w:val="26"/>
          <w:lang w:val="lt-LT"/>
        </w:rPr>
        <w:t xml:space="preserve">ištirti, ar teisingai </w:t>
      </w:r>
      <w:r w:rsidR="003706DA" w:rsidRPr="00F02CB0">
        <w:rPr>
          <w:sz w:val="26"/>
          <w:szCs w:val="26"/>
          <w:lang w:val="lt-LT"/>
        </w:rPr>
        <w:t xml:space="preserve">UAB „Žuvila“ </w:t>
      </w:r>
      <w:r w:rsidR="00713A13" w:rsidRPr="00F02CB0">
        <w:rPr>
          <w:sz w:val="26"/>
          <w:szCs w:val="26"/>
          <w:lang w:val="lt-LT"/>
        </w:rPr>
        <w:t xml:space="preserve">interpretuojamos Incoterms sąlygos, ypač </w:t>
      </w:r>
      <w:r w:rsidR="003706DA" w:rsidRPr="00F02CB0">
        <w:rPr>
          <w:sz w:val="26"/>
          <w:szCs w:val="26"/>
          <w:lang w:val="lt-LT"/>
        </w:rPr>
        <w:t xml:space="preserve">nagrinėjant </w:t>
      </w:r>
      <w:r w:rsidR="001911B5" w:rsidRPr="00F02CB0">
        <w:rPr>
          <w:sz w:val="26"/>
          <w:szCs w:val="26"/>
          <w:lang w:val="lt-LT"/>
        </w:rPr>
        <w:t xml:space="preserve">atsargų </w:t>
      </w:r>
      <w:r w:rsidR="003706DA" w:rsidRPr="00F02CB0">
        <w:rPr>
          <w:sz w:val="26"/>
          <w:szCs w:val="26"/>
          <w:lang w:val="lt-LT"/>
        </w:rPr>
        <w:t xml:space="preserve">įsigijimus </w:t>
      </w:r>
      <w:r w:rsidR="003706DA" w:rsidRPr="00F02CB0">
        <w:rPr>
          <w:sz w:val="26"/>
          <w:szCs w:val="26"/>
          <w:lang w:val="lt-LT"/>
        </w:rPr>
        <w:lastRenderedPageBreak/>
        <w:t>vykusius apie finansinių metų pabaigą ir iš kart po jos</w:t>
      </w:r>
      <w:r w:rsidR="001911B5" w:rsidRPr="00F02CB0">
        <w:rPr>
          <w:sz w:val="26"/>
          <w:szCs w:val="26"/>
          <w:lang w:val="lt-LT"/>
        </w:rPr>
        <w:t>, taip pat ištiriant darytus grąžinimus ir tiekėjų pritaikytas nuolaidas iš ka</w:t>
      </w:r>
      <w:r w:rsidR="000C1D5D">
        <w:rPr>
          <w:sz w:val="26"/>
          <w:szCs w:val="26"/>
          <w:lang w:val="lt-LT"/>
        </w:rPr>
        <w:t>rt po finansinių metų pabaigos</w:t>
      </w:r>
      <w:r w:rsidR="003706DA" w:rsidRPr="00F02CB0">
        <w:rPr>
          <w:sz w:val="26"/>
          <w:szCs w:val="26"/>
          <w:lang w:val="lt-LT"/>
        </w:rPr>
        <w:t xml:space="preserve">; </w:t>
      </w:r>
    </w:p>
    <w:p w:rsidR="002A56A6" w:rsidRPr="00F02CB0" w:rsidRDefault="00223ACB" w:rsidP="00223ACB">
      <w:pPr>
        <w:pStyle w:val="NormalWeb"/>
        <w:spacing w:before="0" w:beforeAutospacing="0" w:after="0" w:afterAutospacing="0" w:line="360" w:lineRule="auto"/>
        <w:ind w:firstLine="720"/>
        <w:jc w:val="both"/>
        <w:rPr>
          <w:sz w:val="26"/>
          <w:szCs w:val="26"/>
          <w:lang w:val="lt-LT"/>
        </w:rPr>
      </w:pPr>
      <w:r w:rsidRPr="00F02CB0">
        <w:rPr>
          <w:sz w:val="26"/>
          <w:szCs w:val="26"/>
          <w:lang w:val="lt-LT"/>
        </w:rPr>
        <w:t xml:space="preserve">3) </w:t>
      </w:r>
      <w:r w:rsidRPr="00F02CB0">
        <w:rPr>
          <w:i/>
          <w:sz w:val="26"/>
          <w:szCs w:val="26"/>
          <w:lang w:val="lt-LT"/>
        </w:rPr>
        <w:t xml:space="preserve">maža </w:t>
      </w:r>
      <w:r w:rsidRPr="00F02CB0">
        <w:rPr>
          <w:sz w:val="26"/>
          <w:szCs w:val="26"/>
          <w:lang w:val="lt-LT"/>
        </w:rPr>
        <w:t xml:space="preserve">dėl </w:t>
      </w:r>
      <w:r w:rsidR="003706DA" w:rsidRPr="00F02CB0">
        <w:rPr>
          <w:sz w:val="26"/>
          <w:szCs w:val="26"/>
          <w:lang w:val="lt-LT"/>
        </w:rPr>
        <w:t xml:space="preserve">atsargų </w:t>
      </w:r>
      <w:r w:rsidR="003453D9" w:rsidRPr="00F02CB0">
        <w:rPr>
          <w:sz w:val="26"/>
          <w:szCs w:val="26"/>
          <w:lang w:val="lt-LT"/>
        </w:rPr>
        <w:t>į</w:t>
      </w:r>
      <w:r w:rsidR="003706DA" w:rsidRPr="00F02CB0">
        <w:rPr>
          <w:sz w:val="26"/>
          <w:szCs w:val="26"/>
          <w:lang w:val="lt-LT"/>
        </w:rPr>
        <w:t xml:space="preserve">vertinimo, iš susijusių šalių gautinų </w:t>
      </w:r>
      <w:r w:rsidR="00774AE7" w:rsidRPr="00F02CB0">
        <w:rPr>
          <w:sz w:val="26"/>
          <w:szCs w:val="26"/>
          <w:lang w:val="lt-LT"/>
        </w:rPr>
        <w:t xml:space="preserve">prekybos </w:t>
      </w:r>
      <w:r w:rsidR="003706DA" w:rsidRPr="00F02CB0">
        <w:rPr>
          <w:sz w:val="26"/>
          <w:szCs w:val="26"/>
          <w:lang w:val="lt-LT"/>
        </w:rPr>
        <w:t xml:space="preserve">sumų </w:t>
      </w:r>
      <w:r w:rsidR="003453D9" w:rsidRPr="00F02CB0">
        <w:rPr>
          <w:sz w:val="26"/>
          <w:szCs w:val="26"/>
          <w:lang w:val="lt-LT"/>
        </w:rPr>
        <w:t>į</w:t>
      </w:r>
      <w:r w:rsidR="003706DA" w:rsidRPr="00F02CB0">
        <w:rPr>
          <w:sz w:val="26"/>
          <w:szCs w:val="26"/>
          <w:lang w:val="lt-LT"/>
        </w:rPr>
        <w:t xml:space="preserve">vertinimo, skolų kredito įstaigoms </w:t>
      </w:r>
      <w:r w:rsidR="003453D9" w:rsidRPr="00F02CB0">
        <w:rPr>
          <w:sz w:val="26"/>
          <w:szCs w:val="26"/>
          <w:lang w:val="lt-LT"/>
        </w:rPr>
        <w:t>įvertinimo</w:t>
      </w:r>
      <w:r w:rsidR="003706DA" w:rsidRPr="00F02CB0">
        <w:rPr>
          <w:sz w:val="26"/>
          <w:szCs w:val="26"/>
          <w:lang w:val="lt-LT"/>
        </w:rPr>
        <w:t xml:space="preserve">, atidėtojo mokesčio įsipareigojimo </w:t>
      </w:r>
      <w:r w:rsidR="009306C9" w:rsidRPr="00F02CB0">
        <w:rPr>
          <w:sz w:val="26"/>
          <w:szCs w:val="26"/>
          <w:lang w:val="lt-LT"/>
        </w:rPr>
        <w:t>į</w:t>
      </w:r>
      <w:r w:rsidR="003706DA" w:rsidRPr="00F02CB0">
        <w:rPr>
          <w:sz w:val="26"/>
          <w:szCs w:val="26"/>
          <w:lang w:val="lt-LT"/>
        </w:rPr>
        <w:t xml:space="preserve">vertinimo, pardavimo pajamų tikslumo tvirtinimų. Šiuo atveju </w:t>
      </w:r>
      <w:r w:rsidRPr="00F02CB0">
        <w:rPr>
          <w:sz w:val="26"/>
          <w:szCs w:val="26"/>
          <w:lang w:val="lt-LT"/>
        </w:rPr>
        <w:t>audito procedūrų rizika ir atrankos rizika turėtų būti maža, o profesinė rizika negalėtų pasireikšti</w:t>
      </w:r>
      <w:r w:rsidR="003706DA" w:rsidRPr="00F02CB0">
        <w:rPr>
          <w:sz w:val="26"/>
          <w:szCs w:val="26"/>
          <w:lang w:val="lt-LT"/>
        </w:rPr>
        <w:t xml:space="preserve">, todėl sustiprinta audito grupės narių darbo priežiūra turėtų būti taikoma. </w:t>
      </w:r>
      <w:r w:rsidR="002A56A6" w:rsidRPr="00F02CB0">
        <w:rPr>
          <w:sz w:val="26"/>
          <w:szCs w:val="26"/>
          <w:lang w:val="lt-LT"/>
        </w:rPr>
        <w:t xml:space="preserve">Būtų galima išskirti šias </w:t>
      </w:r>
      <w:r w:rsidR="001911B5" w:rsidRPr="00F02CB0">
        <w:rPr>
          <w:sz w:val="26"/>
          <w:szCs w:val="26"/>
          <w:lang w:val="lt-LT"/>
        </w:rPr>
        <w:t>pagrindine</w:t>
      </w:r>
      <w:r w:rsidR="002A56A6" w:rsidRPr="00F02CB0">
        <w:rPr>
          <w:sz w:val="26"/>
          <w:szCs w:val="26"/>
          <w:lang w:val="lt-LT"/>
        </w:rPr>
        <w:t>s audito procedūras</w:t>
      </w:r>
      <w:r w:rsidR="00EB4D3B" w:rsidRPr="00F02CB0">
        <w:rPr>
          <w:sz w:val="26"/>
          <w:szCs w:val="26"/>
          <w:lang w:val="lt-LT"/>
        </w:rPr>
        <w:t>, susijusias su atsargų, gautinų sumų ir pardavimo pajamų straipsnių auditu</w:t>
      </w:r>
      <w:r w:rsidR="009306C9" w:rsidRPr="00F02CB0">
        <w:rPr>
          <w:sz w:val="26"/>
          <w:szCs w:val="26"/>
          <w:lang w:val="lt-LT"/>
        </w:rPr>
        <w:t>: a</w:t>
      </w:r>
      <w:r w:rsidR="002A56A6" w:rsidRPr="00F02CB0">
        <w:rPr>
          <w:sz w:val="26"/>
          <w:szCs w:val="26"/>
          <w:lang w:val="lt-LT"/>
        </w:rPr>
        <w:t>) atsargų ataskaitos peržiūra įsitikinant, kad visos turimos atsargos</w:t>
      </w:r>
      <w:r w:rsidR="001911B5" w:rsidRPr="00F02CB0">
        <w:rPr>
          <w:sz w:val="26"/>
          <w:szCs w:val="26"/>
          <w:lang w:val="lt-LT"/>
        </w:rPr>
        <w:t>/pagaminta produkcija</w:t>
      </w:r>
      <w:r w:rsidR="002A56A6" w:rsidRPr="00F02CB0">
        <w:rPr>
          <w:sz w:val="26"/>
          <w:szCs w:val="26"/>
          <w:lang w:val="lt-LT"/>
        </w:rPr>
        <w:t xml:space="preserve"> galės būti realizuot</w:t>
      </w:r>
      <w:r w:rsidR="00C567F6" w:rsidRPr="00F02CB0">
        <w:rPr>
          <w:sz w:val="26"/>
          <w:szCs w:val="26"/>
          <w:lang w:val="lt-LT"/>
        </w:rPr>
        <w:t>a</w:t>
      </w:r>
      <w:r w:rsidR="002A56A6" w:rsidRPr="00F02CB0">
        <w:rPr>
          <w:sz w:val="26"/>
          <w:szCs w:val="26"/>
          <w:lang w:val="lt-LT"/>
        </w:rPr>
        <w:t xml:space="preserve"> kaina ne mažesne nei įsigijimo (pagaminimo) savikaina</w:t>
      </w:r>
      <w:r w:rsidR="00C567F6" w:rsidRPr="00F02CB0">
        <w:rPr>
          <w:sz w:val="26"/>
          <w:szCs w:val="26"/>
          <w:lang w:val="lt-LT"/>
        </w:rPr>
        <w:t>,</w:t>
      </w:r>
      <w:r w:rsidR="00B04DC2" w:rsidRPr="00F02CB0">
        <w:rPr>
          <w:sz w:val="26"/>
          <w:szCs w:val="26"/>
          <w:lang w:val="lt-LT"/>
        </w:rPr>
        <w:t xml:space="preserve"> ir peržiūrint apskaičiuotą atsargų </w:t>
      </w:r>
      <w:r w:rsidR="00C567F6" w:rsidRPr="00F02CB0">
        <w:rPr>
          <w:sz w:val="26"/>
          <w:szCs w:val="26"/>
          <w:lang w:val="lt-LT"/>
        </w:rPr>
        <w:t>nukainojimo sumą iki grynosios galimo realizavimo vertės</w:t>
      </w:r>
      <w:r w:rsidR="009306C9" w:rsidRPr="00F02CB0">
        <w:rPr>
          <w:sz w:val="26"/>
          <w:szCs w:val="26"/>
          <w:lang w:val="lt-LT"/>
        </w:rPr>
        <w:t>; b</w:t>
      </w:r>
      <w:r w:rsidR="002A56A6" w:rsidRPr="00F02CB0">
        <w:rPr>
          <w:sz w:val="26"/>
          <w:szCs w:val="26"/>
          <w:lang w:val="lt-LT"/>
        </w:rPr>
        <w:t xml:space="preserve">) </w:t>
      </w:r>
      <w:r w:rsidR="00774AE7" w:rsidRPr="00F02CB0">
        <w:rPr>
          <w:sz w:val="26"/>
          <w:szCs w:val="26"/>
          <w:lang w:val="lt-LT"/>
        </w:rPr>
        <w:t xml:space="preserve">100 proc. gautinų prekybos sumų </w:t>
      </w:r>
      <w:r w:rsidR="00EB4D3B" w:rsidRPr="00F02CB0">
        <w:rPr>
          <w:sz w:val="26"/>
          <w:szCs w:val="26"/>
          <w:lang w:val="lt-LT"/>
        </w:rPr>
        <w:t>ir pardavimo pajamų patvirti</w:t>
      </w:r>
      <w:r w:rsidR="009306C9" w:rsidRPr="00F02CB0">
        <w:rPr>
          <w:sz w:val="26"/>
          <w:szCs w:val="26"/>
          <w:lang w:val="lt-LT"/>
        </w:rPr>
        <w:t>nimas su susijusiomis šalimis; c</w:t>
      </w:r>
      <w:r w:rsidR="00EB4D3B" w:rsidRPr="00F02CB0">
        <w:rPr>
          <w:sz w:val="26"/>
          <w:szCs w:val="26"/>
          <w:lang w:val="lt-LT"/>
        </w:rPr>
        <w:t xml:space="preserve">) pardavimo pajamų priskyrimo teisingam ataskaitiniam laikotarpiui tyrimas, nagrinėjant pardavimus įvykusius apie finansinių metų pabaigą ir iš kart po jos; </w:t>
      </w:r>
      <w:r w:rsidR="009306C9" w:rsidRPr="00F02CB0">
        <w:rPr>
          <w:sz w:val="26"/>
          <w:szCs w:val="26"/>
          <w:lang w:val="lt-LT"/>
        </w:rPr>
        <w:t>d</w:t>
      </w:r>
      <w:r w:rsidR="00EB4D3B" w:rsidRPr="00F02CB0">
        <w:rPr>
          <w:sz w:val="26"/>
          <w:szCs w:val="26"/>
          <w:lang w:val="lt-LT"/>
        </w:rPr>
        <w:t xml:space="preserve">) </w:t>
      </w:r>
      <w:r w:rsidR="00EA165D" w:rsidRPr="00F02CB0">
        <w:rPr>
          <w:sz w:val="26"/>
          <w:szCs w:val="26"/>
          <w:lang w:val="lt-LT"/>
        </w:rPr>
        <w:t xml:space="preserve">įmonės išrašytų </w:t>
      </w:r>
      <w:r w:rsidR="00EB4D3B" w:rsidRPr="00F02CB0">
        <w:rPr>
          <w:sz w:val="26"/>
          <w:szCs w:val="26"/>
          <w:lang w:val="lt-LT"/>
        </w:rPr>
        <w:t xml:space="preserve">kreditinių sąskaitų </w:t>
      </w:r>
      <w:r w:rsidR="00EA165D" w:rsidRPr="00F02CB0">
        <w:rPr>
          <w:sz w:val="26"/>
          <w:szCs w:val="26"/>
          <w:lang w:val="lt-LT"/>
        </w:rPr>
        <w:t xml:space="preserve">po </w:t>
      </w:r>
      <w:r w:rsidR="00EB4D3B" w:rsidRPr="00F02CB0">
        <w:rPr>
          <w:sz w:val="26"/>
          <w:szCs w:val="26"/>
          <w:lang w:val="lt-LT"/>
        </w:rPr>
        <w:t>finansini</w:t>
      </w:r>
      <w:r w:rsidR="00EA165D" w:rsidRPr="00F02CB0">
        <w:rPr>
          <w:sz w:val="26"/>
          <w:szCs w:val="26"/>
          <w:lang w:val="lt-LT"/>
        </w:rPr>
        <w:t>ų</w:t>
      </w:r>
      <w:r w:rsidR="00EB4D3B" w:rsidRPr="00F02CB0">
        <w:rPr>
          <w:sz w:val="26"/>
          <w:szCs w:val="26"/>
          <w:lang w:val="lt-LT"/>
        </w:rPr>
        <w:t xml:space="preserve"> met</w:t>
      </w:r>
      <w:r w:rsidR="00EA165D" w:rsidRPr="00F02CB0">
        <w:rPr>
          <w:sz w:val="26"/>
          <w:szCs w:val="26"/>
          <w:lang w:val="lt-LT"/>
        </w:rPr>
        <w:t>ų</w:t>
      </w:r>
      <w:r w:rsidR="00EB4D3B" w:rsidRPr="00F02CB0">
        <w:rPr>
          <w:sz w:val="26"/>
          <w:szCs w:val="26"/>
          <w:lang w:val="lt-LT"/>
        </w:rPr>
        <w:t xml:space="preserve"> pabaig</w:t>
      </w:r>
      <w:r w:rsidR="00EA165D" w:rsidRPr="00F02CB0">
        <w:rPr>
          <w:sz w:val="26"/>
          <w:szCs w:val="26"/>
          <w:lang w:val="lt-LT"/>
        </w:rPr>
        <w:t>os</w:t>
      </w:r>
      <w:r w:rsidR="00EB4D3B" w:rsidRPr="00F02CB0">
        <w:rPr>
          <w:sz w:val="26"/>
          <w:szCs w:val="26"/>
          <w:lang w:val="lt-LT"/>
        </w:rPr>
        <w:t>, kuriose atsispindi įmonės pa</w:t>
      </w:r>
      <w:r w:rsidR="000C1D5D">
        <w:rPr>
          <w:sz w:val="26"/>
          <w:szCs w:val="26"/>
          <w:lang w:val="lt-LT"/>
        </w:rPr>
        <w:t>rduoto</w:t>
      </w:r>
      <w:r w:rsidR="00EB4D3B" w:rsidRPr="00F02CB0">
        <w:rPr>
          <w:sz w:val="26"/>
          <w:szCs w:val="26"/>
          <w:lang w:val="lt-LT"/>
        </w:rPr>
        <w:t xml:space="preserve">s produkcijos grąžinimai </w:t>
      </w:r>
      <w:r w:rsidR="00EA165D" w:rsidRPr="00F02CB0">
        <w:rPr>
          <w:sz w:val="26"/>
          <w:szCs w:val="26"/>
          <w:lang w:val="lt-LT"/>
        </w:rPr>
        <w:t>a</w:t>
      </w:r>
      <w:r w:rsidR="00EB4D3B" w:rsidRPr="00F02CB0">
        <w:rPr>
          <w:sz w:val="26"/>
          <w:szCs w:val="26"/>
          <w:lang w:val="lt-LT"/>
        </w:rPr>
        <w:t xml:space="preserve">r pritaikytos nuolaidos pirkėjams, išsamus tyrimas; </w:t>
      </w:r>
      <w:r w:rsidR="009306C9" w:rsidRPr="00F02CB0">
        <w:rPr>
          <w:sz w:val="26"/>
          <w:szCs w:val="26"/>
          <w:lang w:val="lt-LT"/>
        </w:rPr>
        <w:t>e</w:t>
      </w:r>
      <w:r w:rsidR="00EB4D3B" w:rsidRPr="00F02CB0">
        <w:rPr>
          <w:sz w:val="26"/>
          <w:szCs w:val="26"/>
          <w:lang w:val="lt-LT"/>
        </w:rPr>
        <w:t>)</w:t>
      </w:r>
      <w:r w:rsidR="00F02CB0">
        <w:rPr>
          <w:sz w:val="26"/>
          <w:szCs w:val="26"/>
          <w:lang w:val="lt-LT"/>
        </w:rPr>
        <w:t> </w:t>
      </w:r>
      <w:r w:rsidR="00C65F6D" w:rsidRPr="00F02CB0">
        <w:rPr>
          <w:sz w:val="26"/>
          <w:szCs w:val="26"/>
          <w:lang w:val="lt-LT"/>
        </w:rPr>
        <w:t xml:space="preserve">pardavimų kainodaros, taikytos susijusioms šalims ir kitoms </w:t>
      </w:r>
      <w:r w:rsidR="00EA165D" w:rsidRPr="00F02CB0">
        <w:rPr>
          <w:sz w:val="26"/>
          <w:szCs w:val="26"/>
          <w:lang w:val="lt-LT"/>
        </w:rPr>
        <w:t xml:space="preserve">(nepriklausomoms) </w:t>
      </w:r>
      <w:r w:rsidR="00C65F6D" w:rsidRPr="00F02CB0">
        <w:rPr>
          <w:sz w:val="26"/>
          <w:szCs w:val="26"/>
          <w:lang w:val="lt-LT"/>
        </w:rPr>
        <w:t xml:space="preserve">šalims palyginamasis tyrimas </w:t>
      </w:r>
      <w:r w:rsidR="009306C9" w:rsidRPr="00F02CB0">
        <w:rPr>
          <w:sz w:val="26"/>
          <w:szCs w:val="26"/>
          <w:lang w:val="lt-LT"/>
        </w:rPr>
        <w:t xml:space="preserve">per laikotarpius </w:t>
      </w:r>
      <w:r w:rsidR="00C65F6D" w:rsidRPr="00F02CB0">
        <w:rPr>
          <w:sz w:val="26"/>
          <w:szCs w:val="26"/>
          <w:lang w:val="lt-LT"/>
        </w:rPr>
        <w:t xml:space="preserve">ir pan. </w:t>
      </w:r>
      <w:r w:rsidR="00EA165D" w:rsidRPr="00F02CB0">
        <w:rPr>
          <w:sz w:val="26"/>
          <w:szCs w:val="26"/>
          <w:lang w:val="lt-LT"/>
        </w:rPr>
        <w:t>Si</w:t>
      </w:r>
      <w:r w:rsidR="00C65F6D" w:rsidRPr="00F02CB0">
        <w:rPr>
          <w:sz w:val="26"/>
          <w:szCs w:val="26"/>
          <w:lang w:val="lt-LT"/>
        </w:rPr>
        <w:t>ekiant įsitikinti atidėtojo mokesčio įsipareigojimo teisingumu</w:t>
      </w:r>
      <w:r w:rsidR="000A738F" w:rsidRPr="00F02CB0">
        <w:rPr>
          <w:sz w:val="26"/>
          <w:szCs w:val="26"/>
          <w:lang w:val="lt-LT"/>
        </w:rPr>
        <w:t xml:space="preserve">, </w:t>
      </w:r>
      <w:r w:rsidR="00C65F6D" w:rsidRPr="00F02CB0">
        <w:rPr>
          <w:sz w:val="26"/>
          <w:szCs w:val="26"/>
          <w:lang w:val="lt-LT"/>
        </w:rPr>
        <w:t xml:space="preserve">tikslinga išsiaiškinti esmines </w:t>
      </w:r>
      <w:r w:rsidR="00EA165D" w:rsidRPr="00F02CB0">
        <w:rPr>
          <w:sz w:val="26"/>
          <w:szCs w:val="26"/>
          <w:lang w:val="lt-LT"/>
        </w:rPr>
        <w:t xml:space="preserve">jo apskaičiavimo </w:t>
      </w:r>
      <w:r w:rsidR="00C65F6D" w:rsidRPr="00F02CB0">
        <w:rPr>
          <w:sz w:val="26"/>
          <w:szCs w:val="26"/>
          <w:lang w:val="lt-LT"/>
        </w:rPr>
        <w:t xml:space="preserve">sąlygas </w:t>
      </w:r>
      <w:r w:rsidR="000A738F" w:rsidRPr="00F02CB0">
        <w:rPr>
          <w:sz w:val="26"/>
          <w:szCs w:val="26"/>
          <w:lang w:val="lt-LT"/>
        </w:rPr>
        <w:t>(</w:t>
      </w:r>
      <w:r w:rsidR="009306C9" w:rsidRPr="00F02CB0">
        <w:rPr>
          <w:sz w:val="26"/>
          <w:szCs w:val="26"/>
          <w:lang w:val="lt-LT"/>
        </w:rPr>
        <w:t xml:space="preserve">ar </w:t>
      </w:r>
      <w:r w:rsidR="000A738F" w:rsidRPr="00F02CB0">
        <w:rPr>
          <w:sz w:val="26"/>
          <w:szCs w:val="26"/>
          <w:lang w:val="lt-LT"/>
        </w:rPr>
        <w:t>žemė ir pastatai yra apskait</w:t>
      </w:r>
      <w:r w:rsidR="009306C9" w:rsidRPr="00F02CB0">
        <w:rPr>
          <w:sz w:val="26"/>
          <w:szCs w:val="26"/>
          <w:lang w:val="lt-LT"/>
        </w:rPr>
        <w:t xml:space="preserve">yti tinkama </w:t>
      </w:r>
      <w:r w:rsidR="000A738F" w:rsidRPr="00F02CB0">
        <w:rPr>
          <w:sz w:val="26"/>
          <w:szCs w:val="26"/>
          <w:lang w:val="lt-LT"/>
        </w:rPr>
        <w:t xml:space="preserve">perkainota verte) </w:t>
      </w:r>
      <w:r w:rsidR="00C65F6D" w:rsidRPr="00F02CB0">
        <w:rPr>
          <w:sz w:val="26"/>
          <w:szCs w:val="26"/>
          <w:lang w:val="lt-LT"/>
        </w:rPr>
        <w:t xml:space="preserve">ir atlikti šio mokesčio perskaičiavimą. O dėl tinkamo skolų kredito įstaigoms </w:t>
      </w:r>
      <w:r w:rsidR="009306C9" w:rsidRPr="00F02CB0">
        <w:rPr>
          <w:sz w:val="26"/>
          <w:szCs w:val="26"/>
          <w:lang w:val="lt-LT"/>
        </w:rPr>
        <w:t>įvertinimo tvirtinimo</w:t>
      </w:r>
      <w:r w:rsidR="00C65F6D" w:rsidRPr="00F02CB0">
        <w:rPr>
          <w:sz w:val="26"/>
          <w:szCs w:val="26"/>
          <w:lang w:val="lt-LT"/>
        </w:rPr>
        <w:t xml:space="preserve"> </w:t>
      </w:r>
      <w:r w:rsidR="000C1D5D">
        <w:rPr>
          <w:sz w:val="26"/>
          <w:szCs w:val="26"/>
          <w:lang w:val="lt-LT"/>
        </w:rPr>
        <w:t xml:space="preserve">tikslinga </w:t>
      </w:r>
      <w:r w:rsidR="00C65F6D" w:rsidRPr="00F02CB0">
        <w:rPr>
          <w:sz w:val="26"/>
          <w:szCs w:val="26"/>
          <w:lang w:val="lt-LT"/>
        </w:rPr>
        <w:t>susipažinti su pasirašyt</w:t>
      </w:r>
      <w:r w:rsidR="00BA2477">
        <w:rPr>
          <w:sz w:val="26"/>
          <w:szCs w:val="26"/>
          <w:lang w:val="lt-LT"/>
        </w:rPr>
        <w:t>os</w:t>
      </w:r>
      <w:r w:rsidR="00C65F6D" w:rsidRPr="00F02CB0">
        <w:rPr>
          <w:sz w:val="26"/>
          <w:szCs w:val="26"/>
          <w:lang w:val="lt-LT"/>
        </w:rPr>
        <w:t xml:space="preserve"> sutar</w:t>
      </w:r>
      <w:r w:rsidR="00BA2477">
        <w:rPr>
          <w:sz w:val="26"/>
          <w:szCs w:val="26"/>
          <w:lang w:val="lt-LT"/>
        </w:rPr>
        <w:t>ties</w:t>
      </w:r>
      <w:r w:rsidR="00C65F6D" w:rsidRPr="00F02CB0">
        <w:rPr>
          <w:sz w:val="26"/>
          <w:szCs w:val="26"/>
          <w:lang w:val="lt-LT"/>
        </w:rPr>
        <w:t xml:space="preserve"> su kredito įstaig</w:t>
      </w:r>
      <w:r w:rsidR="00BA2477">
        <w:rPr>
          <w:sz w:val="26"/>
          <w:szCs w:val="26"/>
          <w:lang w:val="lt-LT"/>
        </w:rPr>
        <w:t>a</w:t>
      </w:r>
      <w:r w:rsidR="00C65F6D" w:rsidRPr="00F02CB0">
        <w:rPr>
          <w:sz w:val="26"/>
          <w:szCs w:val="26"/>
          <w:lang w:val="lt-LT"/>
        </w:rPr>
        <w:t xml:space="preserve"> </w:t>
      </w:r>
      <w:r w:rsidR="00957122" w:rsidRPr="00F02CB0">
        <w:rPr>
          <w:sz w:val="26"/>
          <w:szCs w:val="26"/>
          <w:lang w:val="lt-LT"/>
        </w:rPr>
        <w:t>sąlygomis ir j</w:t>
      </w:r>
      <w:r w:rsidR="00BA2477">
        <w:rPr>
          <w:sz w:val="26"/>
          <w:szCs w:val="26"/>
          <w:lang w:val="lt-LT"/>
        </w:rPr>
        <w:t>os</w:t>
      </w:r>
      <w:r w:rsidR="00957122" w:rsidRPr="00F02CB0">
        <w:rPr>
          <w:sz w:val="26"/>
          <w:szCs w:val="26"/>
          <w:lang w:val="lt-LT"/>
        </w:rPr>
        <w:t xml:space="preserve"> pakeitimais, </w:t>
      </w:r>
      <w:r w:rsidR="000C1D5D">
        <w:rPr>
          <w:sz w:val="26"/>
          <w:szCs w:val="26"/>
          <w:lang w:val="lt-LT"/>
        </w:rPr>
        <w:t>nustatyti</w:t>
      </w:r>
      <w:r w:rsidR="00957122" w:rsidRPr="00F02CB0">
        <w:rPr>
          <w:sz w:val="26"/>
          <w:szCs w:val="26"/>
          <w:lang w:val="lt-LT"/>
        </w:rPr>
        <w:t xml:space="preserve">, </w:t>
      </w:r>
      <w:r w:rsidR="000C1D5D">
        <w:rPr>
          <w:sz w:val="26"/>
          <w:szCs w:val="26"/>
          <w:lang w:val="lt-LT"/>
        </w:rPr>
        <w:t xml:space="preserve">ar </w:t>
      </w:r>
      <w:r w:rsidR="00957122" w:rsidRPr="00F02CB0">
        <w:rPr>
          <w:sz w:val="26"/>
          <w:szCs w:val="26"/>
          <w:lang w:val="lt-LT"/>
        </w:rPr>
        <w:t xml:space="preserve">rodikliai, kuriuos turėtų tenkinti UAB „Žuvila“, vienodai suprantami tiek pačios įmonės, tiek kredito įstaigos, bei </w:t>
      </w:r>
      <w:r w:rsidR="00A72F5E">
        <w:rPr>
          <w:sz w:val="26"/>
          <w:szCs w:val="26"/>
          <w:lang w:val="lt-LT"/>
        </w:rPr>
        <w:t xml:space="preserve">įvertinti, kaip </w:t>
      </w:r>
      <w:r w:rsidR="00957122" w:rsidRPr="00F02CB0">
        <w:rPr>
          <w:sz w:val="26"/>
          <w:szCs w:val="26"/>
          <w:lang w:val="lt-LT"/>
        </w:rPr>
        <w:t xml:space="preserve">yra tenkinama kiekviena </w:t>
      </w:r>
      <w:r w:rsidR="00A72F5E">
        <w:rPr>
          <w:sz w:val="26"/>
          <w:szCs w:val="26"/>
          <w:lang w:val="lt-LT"/>
        </w:rPr>
        <w:t xml:space="preserve">kredito </w:t>
      </w:r>
      <w:r w:rsidR="00957122" w:rsidRPr="00F02CB0">
        <w:rPr>
          <w:sz w:val="26"/>
          <w:szCs w:val="26"/>
          <w:lang w:val="lt-LT"/>
        </w:rPr>
        <w:t>sutartyje minima sąlyga</w:t>
      </w:r>
      <w:r w:rsidR="000A738F" w:rsidRPr="00F02CB0">
        <w:rPr>
          <w:sz w:val="26"/>
          <w:szCs w:val="26"/>
          <w:lang w:val="lt-LT"/>
        </w:rPr>
        <w:t>, kuri gali lemti, kad kredito įstaiga pareikal</w:t>
      </w:r>
      <w:r w:rsidR="00D4352B" w:rsidRPr="00F02CB0">
        <w:rPr>
          <w:sz w:val="26"/>
          <w:szCs w:val="26"/>
          <w:lang w:val="lt-LT"/>
        </w:rPr>
        <w:t>aus grąžinti suteiktą paskolą anksčiau sutarto termino</w:t>
      </w:r>
      <w:r w:rsidR="00957122" w:rsidRPr="00F02CB0">
        <w:rPr>
          <w:sz w:val="26"/>
          <w:szCs w:val="26"/>
          <w:lang w:val="lt-LT"/>
        </w:rPr>
        <w:t>. Kitu atveju, tinkamas atskleidimas finansinėse ataskaitose turėtų būti pateikiamas.</w:t>
      </w:r>
    </w:p>
    <w:p w:rsidR="00223ACB" w:rsidRPr="00F02CB0" w:rsidRDefault="00D4352B" w:rsidP="00223ACB">
      <w:pPr>
        <w:pStyle w:val="NormalWeb"/>
        <w:spacing w:before="0" w:beforeAutospacing="0" w:after="0" w:afterAutospacing="0" w:line="360" w:lineRule="auto"/>
        <w:ind w:firstLine="720"/>
        <w:jc w:val="both"/>
        <w:rPr>
          <w:i/>
          <w:sz w:val="26"/>
          <w:szCs w:val="26"/>
          <w:lang w:val="lt-LT"/>
        </w:rPr>
      </w:pPr>
      <w:r w:rsidRPr="00F02CB0">
        <w:rPr>
          <w:i/>
          <w:sz w:val="26"/>
          <w:szCs w:val="26"/>
          <w:lang w:val="lt-LT"/>
        </w:rPr>
        <w:lastRenderedPageBreak/>
        <w:t xml:space="preserve">Taigi matome, kad siekiant efektyvaus audito, itin svarbu atžvelgti į atvirkštinę priklausomybę tarp reikšmingo iškraipymo rizikos tvirtinimo lygmeniu ir aptikimo rizikos vertinimo, t. y. </w:t>
      </w:r>
      <w:r w:rsidR="00223ACB" w:rsidRPr="00F02CB0">
        <w:rPr>
          <w:i/>
          <w:sz w:val="26"/>
          <w:szCs w:val="26"/>
          <w:lang w:val="lt-LT"/>
        </w:rPr>
        <w:t>pa</w:t>
      </w:r>
      <w:r w:rsidR="00EA165D" w:rsidRPr="00F02CB0">
        <w:rPr>
          <w:i/>
          <w:sz w:val="26"/>
          <w:szCs w:val="26"/>
          <w:lang w:val="lt-LT"/>
        </w:rPr>
        <w:t>si</w:t>
      </w:r>
      <w:r w:rsidR="00223ACB" w:rsidRPr="00F02CB0">
        <w:rPr>
          <w:i/>
          <w:sz w:val="26"/>
          <w:szCs w:val="26"/>
          <w:lang w:val="lt-LT"/>
        </w:rPr>
        <w:t>tvirtina trečio</w:t>
      </w:r>
      <w:r w:rsidRPr="00F02CB0">
        <w:rPr>
          <w:i/>
          <w:sz w:val="26"/>
          <w:szCs w:val="26"/>
          <w:lang w:val="lt-LT"/>
        </w:rPr>
        <w:t xml:space="preserve">ji </w:t>
      </w:r>
      <w:r w:rsidR="00223ACB" w:rsidRPr="00F02CB0">
        <w:rPr>
          <w:i/>
          <w:sz w:val="26"/>
          <w:szCs w:val="26"/>
          <w:lang w:val="lt-LT"/>
        </w:rPr>
        <w:t>hipotezė (H</w:t>
      </w:r>
      <w:r w:rsidR="00223ACB" w:rsidRPr="00F02CB0">
        <w:rPr>
          <w:i/>
          <w:sz w:val="26"/>
          <w:szCs w:val="26"/>
          <w:vertAlign w:val="subscript"/>
          <w:lang w:val="lt-LT"/>
        </w:rPr>
        <w:t>3</w:t>
      </w:r>
      <w:r w:rsidR="00223ACB" w:rsidRPr="00F02CB0">
        <w:rPr>
          <w:i/>
          <w:sz w:val="26"/>
          <w:szCs w:val="26"/>
          <w:lang w:val="lt-LT"/>
        </w:rPr>
        <w:t>)</w:t>
      </w:r>
      <w:r w:rsidRPr="00F02CB0">
        <w:rPr>
          <w:i/>
          <w:sz w:val="26"/>
          <w:szCs w:val="26"/>
          <w:lang w:val="lt-LT"/>
        </w:rPr>
        <w:t>.</w:t>
      </w:r>
    </w:p>
    <w:p w:rsidR="00223ACB" w:rsidRPr="00F02CB0" w:rsidRDefault="007B1B21" w:rsidP="00EE6452">
      <w:pPr>
        <w:pStyle w:val="NormalWeb"/>
        <w:spacing w:before="0" w:beforeAutospacing="0" w:after="0" w:afterAutospacing="0" w:line="360" w:lineRule="auto"/>
        <w:ind w:firstLine="720"/>
        <w:jc w:val="both"/>
        <w:rPr>
          <w:sz w:val="26"/>
          <w:szCs w:val="26"/>
          <w:lang w:val="lt-LT"/>
        </w:rPr>
      </w:pPr>
      <w:r w:rsidRPr="00F02CB0">
        <w:rPr>
          <w:sz w:val="26"/>
          <w:szCs w:val="26"/>
          <w:lang w:val="lt-LT"/>
        </w:rPr>
        <w:t xml:space="preserve">Toliau </w:t>
      </w:r>
      <w:r w:rsidR="00D4352B" w:rsidRPr="00F02CB0">
        <w:rPr>
          <w:sz w:val="26"/>
          <w:szCs w:val="26"/>
          <w:lang w:val="lt-LT"/>
        </w:rPr>
        <w:t xml:space="preserve">atlikus visas numatytas audito procedūras, skirtas tiek patvirtinti prielaidas apie UAB „Žuvila“ svarbiausių apskaitos procesų kontrolės procedūrų veiksmingumą, tiek sumažinti </w:t>
      </w:r>
      <w:r w:rsidR="00EE6452" w:rsidRPr="00F02CB0">
        <w:rPr>
          <w:sz w:val="26"/>
          <w:szCs w:val="26"/>
          <w:lang w:val="lt-LT"/>
        </w:rPr>
        <w:t xml:space="preserve">aptikimo riziką </w:t>
      </w:r>
      <w:r w:rsidR="00D4352B" w:rsidRPr="00F02CB0">
        <w:rPr>
          <w:sz w:val="26"/>
          <w:szCs w:val="26"/>
          <w:lang w:val="lt-LT"/>
        </w:rPr>
        <w:t xml:space="preserve">kiekvieno svarbaus </w:t>
      </w:r>
      <w:r w:rsidR="00510166" w:rsidRPr="00F02CB0">
        <w:rPr>
          <w:sz w:val="26"/>
          <w:szCs w:val="26"/>
          <w:lang w:val="lt-LT"/>
        </w:rPr>
        <w:t xml:space="preserve">finansinių ataskaitų elemento ir juo susijusio </w:t>
      </w:r>
      <w:r w:rsidR="00D4352B" w:rsidRPr="00F02CB0">
        <w:rPr>
          <w:sz w:val="26"/>
          <w:szCs w:val="26"/>
          <w:lang w:val="lt-LT"/>
        </w:rPr>
        <w:t>tvirtinimo lygmeniu</w:t>
      </w:r>
      <w:r w:rsidR="00EE6452" w:rsidRPr="00F02CB0">
        <w:rPr>
          <w:sz w:val="26"/>
          <w:szCs w:val="26"/>
          <w:lang w:val="lt-LT"/>
        </w:rPr>
        <w:t xml:space="preserve">, </w:t>
      </w:r>
      <w:r w:rsidR="00510166" w:rsidRPr="00F02CB0">
        <w:rPr>
          <w:sz w:val="26"/>
          <w:szCs w:val="26"/>
          <w:lang w:val="lt-LT"/>
        </w:rPr>
        <w:t>nustatomas</w:t>
      </w:r>
      <w:r w:rsidR="00EE6452" w:rsidRPr="00F02CB0">
        <w:rPr>
          <w:sz w:val="26"/>
          <w:szCs w:val="26"/>
          <w:lang w:val="lt-LT"/>
        </w:rPr>
        <w:t xml:space="preserve"> faktinis audito rizikos </w:t>
      </w:r>
      <w:r w:rsidR="00F21453" w:rsidRPr="00F02CB0">
        <w:rPr>
          <w:sz w:val="26"/>
          <w:szCs w:val="26"/>
          <w:lang w:val="lt-LT"/>
        </w:rPr>
        <w:t xml:space="preserve">lygis </w:t>
      </w:r>
      <w:r w:rsidR="00EE6452" w:rsidRPr="00F02CB0">
        <w:rPr>
          <w:sz w:val="26"/>
          <w:szCs w:val="26"/>
          <w:lang w:val="lt-LT"/>
        </w:rPr>
        <w:t>konkretaus tvirtinimo lyg</w:t>
      </w:r>
      <w:r w:rsidR="00510166" w:rsidRPr="00F02CB0">
        <w:rPr>
          <w:sz w:val="26"/>
          <w:szCs w:val="26"/>
          <w:lang w:val="lt-LT"/>
        </w:rPr>
        <w:t xml:space="preserve">meniu. </w:t>
      </w:r>
      <w:r w:rsidR="00A72F5E">
        <w:rPr>
          <w:sz w:val="26"/>
          <w:szCs w:val="26"/>
          <w:lang w:val="lt-LT"/>
        </w:rPr>
        <w:t xml:space="preserve">UAB „Žuvila“ </w:t>
      </w:r>
      <w:r w:rsidR="00510166" w:rsidRPr="00F02CB0">
        <w:rPr>
          <w:sz w:val="26"/>
          <w:szCs w:val="26"/>
          <w:lang w:val="lt-LT"/>
        </w:rPr>
        <w:t xml:space="preserve">audito </w:t>
      </w:r>
      <w:r w:rsidR="00F21453" w:rsidRPr="00F02CB0">
        <w:rPr>
          <w:sz w:val="26"/>
          <w:szCs w:val="26"/>
          <w:lang w:val="lt-LT"/>
        </w:rPr>
        <w:t xml:space="preserve">metu </w:t>
      </w:r>
      <w:r w:rsidR="00EE6452" w:rsidRPr="00F02CB0">
        <w:rPr>
          <w:sz w:val="26"/>
          <w:szCs w:val="26"/>
          <w:lang w:val="lt-LT"/>
        </w:rPr>
        <w:t>nebuvo</w:t>
      </w:r>
      <w:r w:rsidR="00223ACB" w:rsidRPr="00F02CB0">
        <w:rPr>
          <w:sz w:val="26"/>
          <w:szCs w:val="26"/>
          <w:lang w:val="lt-LT"/>
        </w:rPr>
        <w:t xml:space="preserve"> nusta</w:t>
      </w:r>
      <w:r w:rsidR="00EE6452" w:rsidRPr="00F02CB0">
        <w:rPr>
          <w:sz w:val="26"/>
          <w:szCs w:val="26"/>
          <w:lang w:val="lt-LT"/>
        </w:rPr>
        <w:t xml:space="preserve">tyta </w:t>
      </w:r>
      <w:r w:rsidR="00223ACB" w:rsidRPr="00F02CB0">
        <w:rPr>
          <w:sz w:val="26"/>
          <w:szCs w:val="26"/>
          <w:lang w:val="lt-LT"/>
        </w:rPr>
        <w:t>reikšmingų iškraipymų</w:t>
      </w:r>
      <w:r w:rsidR="00F21453" w:rsidRPr="00F02CB0">
        <w:rPr>
          <w:sz w:val="26"/>
          <w:szCs w:val="26"/>
          <w:lang w:val="lt-LT"/>
        </w:rPr>
        <w:t xml:space="preserve"> ir visi reikiami audito įrodymai buvo surinkti</w:t>
      </w:r>
      <w:r w:rsidR="00223ACB" w:rsidRPr="00F02CB0">
        <w:rPr>
          <w:sz w:val="26"/>
          <w:szCs w:val="26"/>
          <w:lang w:val="lt-LT"/>
        </w:rPr>
        <w:t xml:space="preserve">, </w:t>
      </w:r>
      <w:r w:rsidR="00A72F5E">
        <w:rPr>
          <w:sz w:val="26"/>
          <w:szCs w:val="26"/>
          <w:lang w:val="lt-LT"/>
        </w:rPr>
        <w:t xml:space="preserve">todėl </w:t>
      </w:r>
      <w:r w:rsidR="00510166" w:rsidRPr="00F02CB0">
        <w:rPr>
          <w:sz w:val="26"/>
          <w:szCs w:val="26"/>
          <w:lang w:val="lt-LT"/>
        </w:rPr>
        <w:t xml:space="preserve">buvo </w:t>
      </w:r>
      <w:r w:rsidR="00EE6452" w:rsidRPr="00F02CB0">
        <w:rPr>
          <w:sz w:val="26"/>
          <w:szCs w:val="26"/>
          <w:lang w:val="lt-LT"/>
        </w:rPr>
        <w:t xml:space="preserve">pasiekta maža </w:t>
      </w:r>
      <w:r w:rsidR="00223ACB" w:rsidRPr="00F02CB0">
        <w:rPr>
          <w:sz w:val="26"/>
          <w:szCs w:val="26"/>
          <w:lang w:val="lt-LT"/>
        </w:rPr>
        <w:t>audito rizika kiekvieno tirto tvirtinimo lygmeniu</w:t>
      </w:r>
      <w:r w:rsidR="00C82A89" w:rsidRPr="00F02CB0">
        <w:rPr>
          <w:sz w:val="26"/>
          <w:szCs w:val="26"/>
          <w:lang w:val="lt-LT"/>
        </w:rPr>
        <w:t xml:space="preserve"> (žr. </w:t>
      </w:r>
      <w:r w:rsidR="00EA02A9" w:rsidRPr="00F02CB0">
        <w:rPr>
          <w:sz w:val="26"/>
          <w:szCs w:val="26"/>
          <w:lang w:val="lt-LT"/>
        </w:rPr>
        <w:t>3</w:t>
      </w:r>
      <w:r w:rsidR="00036530">
        <w:rPr>
          <w:sz w:val="26"/>
          <w:szCs w:val="26"/>
          <w:lang w:val="lt-LT"/>
        </w:rPr>
        <w:t>9</w:t>
      </w:r>
      <w:r w:rsidR="00C82A89" w:rsidRPr="00F02CB0">
        <w:rPr>
          <w:sz w:val="26"/>
          <w:szCs w:val="26"/>
          <w:lang w:val="lt-LT"/>
        </w:rPr>
        <w:t xml:space="preserve"> lentelė)</w:t>
      </w:r>
      <w:r w:rsidR="00223ACB" w:rsidRPr="00F02CB0">
        <w:rPr>
          <w:sz w:val="26"/>
          <w:szCs w:val="26"/>
          <w:lang w:val="lt-LT"/>
        </w:rPr>
        <w:t>.</w:t>
      </w:r>
      <w:r w:rsidR="00EE6452" w:rsidRPr="00F02CB0">
        <w:rPr>
          <w:sz w:val="26"/>
          <w:szCs w:val="26"/>
          <w:lang w:val="lt-LT"/>
        </w:rPr>
        <w:t xml:space="preserve"> </w:t>
      </w:r>
    </w:p>
    <w:p w:rsidR="00C82A89" w:rsidRPr="00F02CB0" w:rsidRDefault="00EA02A9" w:rsidP="00F02CB0">
      <w:pPr>
        <w:spacing w:line="360" w:lineRule="auto"/>
        <w:jc w:val="right"/>
        <w:rPr>
          <w:i/>
          <w:sz w:val="26"/>
          <w:szCs w:val="26"/>
          <w:lang w:val="lt-LT"/>
        </w:rPr>
      </w:pPr>
      <w:r w:rsidRPr="00F02CB0">
        <w:rPr>
          <w:i/>
          <w:sz w:val="26"/>
          <w:szCs w:val="26"/>
          <w:lang w:val="lt-LT"/>
        </w:rPr>
        <w:t>3</w:t>
      </w:r>
      <w:r w:rsidR="00036530">
        <w:rPr>
          <w:i/>
          <w:sz w:val="26"/>
          <w:szCs w:val="26"/>
          <w:lang w:val="lt-LT"/>
        </w:rPr>
        <w:t>9</w:t>
      </w:r>
      <w:r w:rsidR="00C82A89" w:rsidRPr="00F02CB0">
        <w:rPr>
          <w:i/>
          <w:sz w:val="26"/>
          <w:szCs w:val="26"/>
          <w:lang w:val="lt-LT"/>
        </w:rPr>
        <w:t xml:space="preserve"> lentelė</w:t>
      </w:r>
    </w:p>
    <w:p w:rsidR="00C82A89" w:rsidRPr="00F02CB0" w:rsidRDefault="00C82A89" w:rsidP="00A72F5E">
      <w:pPr>
        <w:pStyle w:val="NormalWeb"/>
        <w:spacing w:before="0" w:beforeAutospacing="0" w:after="0" w:afterAutospacing="0"/>
        <w:ind w:firstLine="720"/>
        <w:jc w:val="center"/>
        <w:rPr>
          <w:sz w:val="26"/>
          <w:szCs w:val="26"/>
          <w:lang w:val="lt-LT"/>
        </w:rPr>
      </w:pPr>
      <w:r w:rsidRPr="00F02CB0">
        <w:rPr>
          <w:b/>
          <w:sz w:val="26"/>
          <w:szCs w:val="26"/>
          <w:lang w:val="lt-LT"/>
        </w:rPr>
        <w:t>UAB „Žuvila“ pasiekta audito rizik</w:t>
      </w:r>
      <w:r w:rsidR="00CD07FC" w:rsidRPr="00F02CB0">
        <w:rPr>
          <w:b/>
          <w:sz w:val="26"/>
          <w:szCs w:val="26"/>
          <w:lang w:val="lt-LT"/>
        </w:rPr>
        <w:t>a</w:t>
      </w:r>
      <w:r w:rsidRPr="00F02CB0">
        <w:rPr>
          <w:b/>
          <w:sz w:val="26"/>
          <w:szCs w:val="26"/>
          <w:lang w:val="lt-LT"/>
        </w:rPr>
        <w:t xml:space="preserve"> tvirtinimo lygmeniu</w:t>
      </w:r>
    </w:p>
    <w:tbl>
      <w:tblPr>
        <w:tblStyle w:val="TableGrid"/>
        <w:tblW w:w="0" w:type="auto"/>
        <w:jc w:val="center"/>
        <w:tblInd w:w="120" w:type="dxa"/>
        <w:tblLook w:val="04A0"/>
      </w:tblPr>
      <w:tblGrid>
        <w:gridCol w:w="2580"/>
        <w:gridCol w:w="898"/>
        <w:gridCol w:w="1390"/>
        <w:gridCol w:w="1402"/>
        <w:gridCol w:w="1170"/>
        <w:gridCol w:w="934"/>
      </w:tblGrid>
      <w:tr w:rsidR="00A72F5E" w:rsidRPr="00F02CB0" w:rsidTr="00BA2477">
        <w:trPr>
          <w:cantSplit/>
          <w:trHeight w:val="1397"/>
          <w:jc w:val="center"/>
        </w:trPr>
        <w:tc>
          <w:tcPr>
            <w:tcW w:w="2580" w:type="dxa"/>
            <w:vAlign w:val="center"/>
          </w:tcPr>
          <w:p w:rsidR="00C82A89" w:rsidRPr="00F02CB0" w:rsidRDefault="00C82A89" w:rsidP="001C690D">
            <w:pPr>
              <w:pStyle w:val="NormalWeb"/>
              <w:spacing w:before="0" w:beforeAutospacing="0" w:after="0" w:afterAutospacing="0"/>
              <w:jc w:val="center"/>
              <w:rPr>
                <w:b/>
                <w:sz w:val="22"/>
                <w:szCs w:val="22"/>
                <w:lang w:val="lt-LT"/>
              </w:rPr>
            </w:pPr>
            <w:r w:rsidRPr="00F02CB0">
              <w:rPr>
                <w:b/>
                <w:sz w:val="22"/>
                <w:szCs w:val="22"/>
                <w:lang w:val="lt-LT"/>
              </w:rPr>
              <w:t>Finansinių ataskaitų elementas</w:t>
            </w:r>
          </w:p>
        </w:tc>
        <w:tc>
          <w:tcPr>
            <w:tcW w:w="898" w:type="dxa"/>
            <w:textDirection w:val="btLr"/>
          </w:tcPr>
          <w:p w:rsidR="00C82A89" w:rsidRPr="00F02CB0" w:rsidRDefault="00C82A89" w:rsidP="00BA2477">
            <w:pPr>
              <w:pStyle w:val="NormalWeb"/>
              <w:spacing w:before="0" w:beforeAutospacing="0" w:after="0" w:afterAutospacing="0"/>
              <w:ind w:left="113" w:right="113"/>
              <w:jc w:val="center"/>
              <w:rPr>
                <w:b/>
                <w:sz w:val="22"/>
                <w:szCs w:val="22"/>
                <w:lang w:val="lt-LT"/>
              </w:rPr>
            </w:pPr>
            <w:r w:rsidRPr="00F02CB0">
              <w:rPr>
                <w:b/>
                <w:sz w:val="22"/>
                <w:szCs w:val="22"/>
                <w:lang w:val="lt-LT"/>
              </w:rPr>
              <w:t>Susijęs tvirtinimas</w:t>
            </w:r>
          </w:p>
        </w:tc>
        <w:tc>
          <w:tcPr>
            <w:tcW w:w="1390" w:type="dxa"/>
          </w:tcPr>
          <w:p w:rsidR="00C82A89" w:rsidRPr="00F02CB0" w:rsidRDefault="00C82A89" w:rsidP="00550970">
            <w:pPr>
              <w:pStyle w:val="NormalWeb"/>
              <w:spacing w:before="0" w:beforeAutospacing="0" w:after="0" w:afterAutospacing="0"/>
              <w:jc w:val="center"/>
              <w:rPr>
                <w:b/>
                <w:sz w:val="22"/>
                <w:szCs w:val="22"/>
                <w:lang w:val="lt-LT"/>
              </w:rPr>
            </w:pPr>
            <w:r w:rsidRPr="00F02CB0">
              <w:rPr>
                <w:b/>
                <w:sz w:val="22"/>
                <w:szCs w:val="22"/>
                <w:lang w:val="lt-LT"/>
              </w:rPr>
              <w:t xml:space="preserve">Ar atliktos </w:t>
            </w:r>
            <w:r w:rsidR="00C567F6" w:rsidRPr="00F02CB0">
              <w:rPr>
                <w:b/>
                <w:sz w:val="22"/>
                <w:szCs w:val="22"/>
                <w:lang w:val="lt-LT"/>
              </w:rPr>
              <w:t xml:space="preserve">visos </w:t>
            </w:r>
            <w:r w:rsidRPr="00F02CB0">
              <w:rPr>
                <w:b/>
                <w:sz w:val="22"/>
                <w:szCs w:val="22"/>
                <w:lang w:val="lt-LT"/>
              </w:rPr>
              <w:t>būtinos audito procedūros?</w:t>
            </w:r>
          </w:p>
        </w:tc>
        <w:tc>
          <w:tcPr>
            <w:tcW w:w="1402" w:type="dxa"/>
          </w:tcPr>
          <w:p w:rsidR="00C82A89" w:rsidRPr="00F02CB0" w:rsidRDefault="00C82A89" w:rsidP="00C82A89">
            <w:pPr>
              <w:pStyle w:val="NormalWeb"/>
              <w:spacing w:before="0" w:beforeAutospacing="0" w:after="0" w:afterAutospacing="0"/>
              <w:jc w:val="center"/>
              <w:rPr>
                <w:b/>
                <w:sz w:val="22"/>
                <w:szCs w:val="22"/>
                <w:lang w:val="lt-LT"/>
              </w:rPr>
            </w:pPr>
            <w:r w:rsidRPr="00F02CB0">
              <w:rPr>
                <w:b/>
                <w:sz w:val="22"/>
                <w:szCs w:val="22"/>
                <w:lang w:val="lt-LT"/>
              </w:rPr>
              <w:t>Ar buvo nustatyta reikšmingų iškraipymų?</w:t>
            </w:r>
          </w:p>
        </w:tc>
        <w:tc>
          <w:tcPr>
            <w:tcW w:w="1170" w:type="dxa"/>
          </w:tcPr>
          <w:p w:rsidR="00C82A89" w:rsidRPr="00F02CB0" w:rsidRDefault="00C82A89" w:rsidP="00CD07FC">
            <w:pPr>
              <w:pStyle w:val="NormalWeb"/>
              <w:spacing w:before="0" w:beforeAutospacing="0" w:after="0" w:afterAutospacing="0"/>
              <w:jc w:val="center"/>
              <w:rPr>
                <w:b/>
                <w:sz w:val="22"/>
                <w:szCs w:val="22"/>
                <w:lang w:val="lt-LT"/>
              </w:rPr>
            </w:pPr>
            <w:r w:rsidRPr="00F02CB0">
              <w:rPr>
                <w:b/>
                <w:sz w:val="22"/>
                <w:szCs w:val="22"/>
                <w:lang w:val="lt-LT"/>
              </w:rPr>
              <w:t>P</w:t>
            </w:r>
            <w:r w:rsidR="00CD07FC" w:rsidRPr="00F02CB0">
              <w:rPr>
                <w:b/>
                <w:sz w:val="22"/>
                <w:szCs w:val="22"/>
                <w:lang w:val="lt-LT"/>
              </w:rPr>
              <w:t>asiekta</w:t>
            </w:r>
            <w:r w:rsidRPr="00F02CB0">
              <w:rPr>
                <w:b/>
                <w:sz w:val="22"/>
                <w:szCs w:val="22"/>
                <w:lang w:val="lt-LT"/>
              </w:rPr>
              <w:t xml:space="preserve"> audito rizik</w:t>
            </w:r>
            <w:r w:rsidR="00CD07FC" w:rsidRPr="00F02CB0">
              <w:rPr>
                <w:b/>
                <w:sz w:val="22"/>
                <w:szCs w:val="22"/>
                <w:lang w:val="lt-LT"/>
              </w:rPr>
              <w:t>a</w:t>
            </w:r>
            <w:r w:rsidRPr="00F02CB0">
              <w:rPr>
                <w:b/>
                <w:sz w:val="22"/>
                <w:szCs w:val="22"/>
                <w:lang w:val="lt-LT"/>
              </w:rPr>
              <w:t xml:space="preserve"> tvirtinimo lygmeniu</w:t>
            </w:r>
          </w:p>
        </w:tc>
        <w:tc>
          <w:tcPr>
            <w:tcW w:w="934" w:type="dxa"/>
            <w:textDirection w:val="btLr"/>
          </w:tcPr>
          <w:p w:rsidR="00C82A89" w:rsidRPr="00F02CB0" w:rsidRDefault="00C82A89" w:rsidP="00BA2477">
            <w:pPr>
              <w:pStyle w:val="NormalWeb"/>
              <w:spacing w:before="0" w:beforeAutospacing="0" w:after="0" w:afterAutospacing="0"/>
              <w:ind w:left="113" w:right="113"/>
              <w:jc w:val="center"/>
              <w:rPr>
                <w:b/>
                <w:sz w:val="22"/>
                <w:szCs w:val="22"/>
                <w:lang w:val="lt-LT"/>
              </w:rPr>
            </w:pPr>
            <w:r w:rsidRPr="00F02CB0">
              <w:rPr>
                <w:b/>
                <w:sz w:val="22"/>
                <w:szCs w:val="22"/>
                <w:lang w:val="lt-LT"/>
              </w:rPr>
              <w:t>Audito rizik</w:t>
            </w:r>
            <w:r w:rsidR="00CD07FC" w:rsidRPr="00F02CB0">
              <w:rPr>
                <w:b/>
                <w:sz w:val="22"/>
                <w:szCs w:val="22"/>
                <w:lang w:val="lt-LT"/>
              </w:rPr>
              <w:t>a</w:t>
            </w:r>
            <w:r w:rsidRPr="00F02CB0">
              <w:rPr>
                <w:b/>
                <w:sz w:val="22"/>
                <w:szCs w:val="22"/>
                <w:lang w:val="lt-LT"/>
              </w:rPr>
              <w:t xml:space="preserve"> </w:t>
            </w:r>
            <w:r w:rsidR="00CD07FC" w:rsidRPr="00F02CB0">
              <w:rPr>
                <w:b/>
                <w:sz w:val="22"/>
                <w:szCs w:val="22"/>
                <w:lang w:val="lt-LT"/>
              </w:rPr>
              <w:t xml:space="preserve">f/a </w:t>
            </w:r>
            <w:r w:rsidRPr="00F02CB0">
              <w:rPr>
                <w:b/>
                <w:sz w:val="22"/>
                <w:szCs w:val="22"/>
                <w:lang w:val="lt-LT"/>
              </w:rPr>
              <w:t>lygmeniu</w:t>
            </w: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Atsargos</w:t>
            </w:r>
          </w:p>
        </w:tc>
        <w:tc>
          <w:tcPr>
            <w:tcW w:w="898" w:type="dxa"/>
          </w:tcPr>
          <w:p w:rsidR="00A72F5E" w:rsidRPr="00F02CB0" w:rsidRDefault="00A72F5E" w:rsidP="00BA2477">
            <w:pPr>
              <w:pStyle w:val="NormalWeb"/>
              <w:spacing w:before="0" w:beforeAutospacing="0" w:after="0" w:afterAutospacing="0"/>
              <w:jc w:val="center"/>
              <w:rPr>
                <w:sz w:val="22"/>
                <w:szCs w:val="22"/>
                <w:lang w:val="lt-LT"/>
              </w:rPr>
            </w:pPr>
            <w:r w:rsidRPr="00F02CB0">
              <w:rPr>
                <w:sz w:val="22"/>
                <w:szCs w:val="22"/>
                <w:lang w:val="lt-LT"/>
              </w:rPr>
              <w:t>B</w:t>
            </w:r>
          </w:p>
        </w:tc>
        <w:tc>
          <w:tcPr>
            <w:tcW w:w="1390" w:type="dxa"/>
          </w:tcPr>
          <w:p w:rsidR="00A72F5E" w:rsidRPr="00F02CB0" w:rsidRDefault="00A72F5E" w:rsidP="00C82A89">
            <w:pPr>
              <w:pStyle w:val="NormalWeb"/>
              <w:spacing w:before="0" w:beforeAutospacing="0" w:after="0" w:afterAutospacing="0"/>
              <w:jc w:val="center"/>
              <w:rPr>
                <w:sz w:val="22"/>
                <w:szCs w:val="22"/>
                <w:lang w:val="lt-LT"/>
              </w:rPr>
            </w:pPr>
            <w:r w:rsidRPr="00F02CB0">
              <w:rPr>
                <w:sz w:val="22"/>
                <w:szCs w:val="22"/>
                <w:lang w:val="lt-LT"/>
              </w:rPr>
              <w:t>Taip</w:t>
            </w:r>
          </w:p>
        </w:tc>
        <w:tc>
          <w:tcPr>
            <w:tcW w:w="1402" w:type="dxa"/>
          </w:tcPr>
          <w:p w:rsidR="00A72F5E" w:rsidRPr="00F02CB0" w:rsidRDefault="00A72F5E" w:rsidP="00C82A89">
            <w:pPr>
              <w:pStyle w:val="NormalWeb"/>
              <w:spacing w:before="0" w:beforeAutospacing="0" w:after="0" w:afterAutospacing="0"/>
              <w:jc w:val="center"/>
              <w:rPr>
                <w:sz w:val="22"/>
                <w:szCs w:val="22"/>
                <w:lang w:val="lt-LT"/>
              </w:rPr>
            </w:pPr>
            <w:r w:rsidRPr="00F02CB0">
              <w:rPr>
                <w:sz w:val="22"/>
                <w:szCs w:val="22"/>
                <w:lang w:val="lt-LT"/>
              </w:rPr>
              <w:t>Ne</w:t>
            </w:r>
          </w:p>
        </w:tc>
        <w:tc>
          <w:tcPr>
            <w:tcW w:w="1170" w:type="dxa"/>
          </w:tcPr>
          <w:p w:rsidR="00A72F5E" w:rsidRPr="00F02CB0" w:rsidRDefault="00A72F5E" w:rsidP="00CD07FC">
            <w:pPr>
              <w:pStyle w:val="NormalWeb"/>
              <w:spacing w:before="0" w:beforeAutospacing="0" w:after="0" w:afterAutospacing="0"/>
              <w:jc w:val="center"/>
              <w:rPr>
                <w:sz w:val="22"/>
                <w:szCs w:val="22"/>
                <w:lang w:val="lt-LT"/>
              </w:rPr>
            </w:pPr>
            <w:r w:rsidRPr="00F02CB0">
              <w:rPr>
                <w:sz w:val="22"/>
                <w:szCs w:val="22"/>
                <w:lang w:val="lt-LT"/>
              </w:rPr>
              <w:t>Maža</w:t>
            </w:r>
          </w:p>
        </w:tc>
        <w:tc>
          <w:tcPr>
            <w:tcW w:w="934" w:type="dxa"/>
            <w:vMerge w:val="restart"/>
            <w:textDirection w:val="btLr"/>
            <w:vAlign w:val="center"/>
          </w:tcPr>
          <w:p w:rsidR="00A72F5E" w:rsidRPr="00F02CB0" w:rsidRDefault="00A72F5E" w:rsidP="00A72F5E">
            <w:pPr>
              <w:pStyle w:val="NormalWeb"/>
              <w:ind w:left="113" w:right="113"/>
              <w:jc w:val="center"/>
              <w:rPr>
                <w:b/>
                <w:sz w:val="22"/>
                <w:szCs w:val="22"/>
                <w:lang w:val="lt-LT"/>
              </w:rPr>
            </w:pPr>
            <w:r w:rsidRPr="00F02CB0">
              <w:rPr>
                <w:b/>
                <w:sz w:val="22"/>
                <w:szCs w:val="22"/>
                <w:lang w:val="lt-LT"/>
              </w:rPr>
              <w:t>Maža</w:t>
            </w: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Atsargos</w:t>
            </w:r>
          </w:p>
        </w:tc>
        <w:tc>
          <w:tcPr>
            <w:tcW w:w="898" w:type="dxa"/>
          </w:tcPr>
          <w:p w:rsidR="00A72F5E" w:rsidRPr="00F02CB0" w:rsidRDefault="00BA2477" w:rsidP="00BA2477">
            <w:pPr>
              <w:pStyle w:val="NormalWeb"/>
              <w:spacing w:before="0" w:beforeAutospacing="0" w:after="0" w:afterAutospacing="0"/>
              <w:jc w:val="center"/>
              <w:rPr>
                <w:sz w:val="22"/>
                <w:szCs w:val="22"/>
                <w:lang w:val="lt-LT"/>
              </w:rPr>
            </w:pPr>
            <w:r>
              <w:rPr>
                <w:sz w:val="22"/>
                <w:szCs w:val="22"/>
                <w:lang w:val="lt-LT"/>
              </w:rPr>
              <w:t>V</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extDirection w:val="btLr"/>
          </w:tcPr>
          <w:p w:rsidR="00A72F5E" w:rsidRPr="00F02CB0" w:rsidRDefault="00A72F5E" w:rsidP="00A72F5E">
            <w:pPr>
              <w:pStyle w:val="NormalWeb"/>
              <w:ind w:left="113" w:right="113"/>
              <w:jc w:val="center"/>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Iš susijusių šalių gautinos prekybos sumos</w:t>
            </w:r>
          </w:p>
        </w:tc>
        <w:tc>
          <w:tcPr>
            <w:tcW w:w="898" w:type="dxa"/>
          </w:tcPr>
          <w:p w:rsidR="00A72F5E" w:rsidRPr="00F02CB0" w:rsidRDefault="00BA2477" w:rsidP="00BA2477">
            <w:pPr>
              <w:pStyle w:val="NormalWeb"/>
              <w:spacing w:before="0" w:beforeAutospacing="0" w:after="0" w:afterAutospacing="0"/>
              <w:jc w:val="center"/>
              <w:rPr>
                <w:sz w:val="22"/>
                <w:szCs w:val="22"/>
                <w:lang w:val="lt-LT"/>
              </w:rPr>
            </w:pPr>
            <w:r>
              <w:rPr>
                <w:sz w:val="22"/>
                <w:szCs w:val="22"/>
                <w:lang w:val="lt-LT"/>
              </w:rPr>
              <w:t>V</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extDirection w:val="btLr"/>
          </w:tcPr>
          <w:p w:rsidR="00A72F5E" w:rsidRPr="00F02CB0" w:rsidRDefault="00A72F5E" w:rsidP="00A72F5E">
            <w:pPr>
              <w:pStyle w:val="NormalWeb"/>
              <w:ind w:left="113" w:right="113"/>
              <w:jc w:val="center"/>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Skolos kredito įstaigoms</w:t>
            </w:r>
          </w:p>
        </w:tc>
        <w:tc>
          <w:tcPr>
            <w:tcW w:w="898" w:type="dxa"/>
          </w:tcPr>
          <w:p w:rsidR="00A72F5E" w:rsidRPr="00F02CB0" w:rsidRDefault="00BA2477" w:rsidP="00BA2477">
            <w:pPr>
              <w:pStyle w:val="NormalWeb"/>
              <w:spacing w:before="0" w:beforeAutospacing="0" w:after="0" w:afterAutospacing="0"/>
              <w:jc w:val="center"/>
              <w:rPr>
                <w:sz w:val="22"/>
                <w:szCs w:val="22"/>
                <w:lang w:val="lt-LT"/>
              </w:rPr>
            </w:pPr>
            <w:r>
              <w:rPr>
                <w:sz w:val="22"/>
                <w:szCs w:val="22"/>
                <w:lang w:val="lt-LT"/>
              </w:rPr>
              <w:t>V</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extDirection w:val="btLr"/>
          </w:tcPr>
          <w:p w:rsidR="00A72F5E" w:rsidRPr="00F02CB0" w:rsidRDefault="00A72F5E" w:rsidP="00A72F5E">
            <w:pPr>
              <w:pStyle w:val="NormalWeb"/>
              <w:ind w:left="113" w:right="113"/>
              <w:jc w:val="center"/>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Atidėtojo mokesčio įsipareigojimas</w:t>
            </w:r>
          </w:p>
        </w:tc>
        <w:tc>
          <w:tcPr>
            <w:tcW w:w="898" w:type="dxa"/>
          </w:tcPr>
          <w:p w:rsidR="00A72F5E" w:rsidRPr="00F02CB0" w:rsidRDefault="00BA2477" w:rsidP="00BA2477">
            <w:pPr>
              <w:pStyle w:val="NormalWeb"/>
              <w:spacing w:before="0" w:beforeAutospacing="0" w:after="0" w:afterAutospacing="0"/>
              <w:jc w:val="center"/>
              <w:rPr>
                <w:sz w:val="22"/>
                <w:szCs w:val="22"/>
                <w:lang w:val="lt-LT"/>
              </w:rPr>
            </w:pPr>
            <w:r>
              <w:rPr>
                <w:sz w:val="22"/>
                <w:szCs w:val="22"/>
                <w:lang w:val="lt-LT"/>
              </w:rPr>
              <w:t>V</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extDirection w:val="btLr"/>
          </w:tcPr>
          <w:p w:rsidR="00A72F5E" w:rsidRPr="00F02CB0" w:rsidRDefault="00A72F5E" w:rsidP="00A72F5E">
            <w:pPr>
              <w:pStyle w:val="NormalWeb"/>
              <w:ind w:left="113" w:right="113"/>
              <w:jc w:val="center"/>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Skolos tiekėjams ir skolos susijusioms šalims</w:t>
            </w:r>
          </w:p>
        </w:tc>
        <w:tc>
          <w:tcPr>
            <w:tcW w:w="898" w:type="dxa"/>
          </w:tcPr>
          <w:p w:rsidR="00A72F5E" w:rsidRPr="00F02CB0" w:rsidRDefault="00A72F5E" w:rsidP="00BA2477">
            <w:pPr>
              <w:pStyle w:val="NormalWeb"/>
              <w:spacing w:before="0" w:beforeAutospacing="0" w:after="0" w:afterAutospacing="0"/>
              <w:jc w:val="center"/>
              <w:rPr>
                <w:sz w:val="22"/>
                <w:szCs w:val="22"/>
                <w:lang w:val="lt-LT"/>
              </w:rPr>
            </w:pPr>
            <w:r w:rsidRPr="00F02CB0">
              <w:rPr>
                <w:sz w:val="22"/>
                <w:szCs w:val="22"/>
                <w:lang w:val="lt-LT"/>
              </w:rPr>
              <w:t>I</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extDirection w:val="btLr"/>
            <w:vAlign w:val="center"/>
          </w:tcPr>
          <w:p w:rsidR="00A72F5E" w:rsidRPr="00F02CB0" w:rsidRDefault="00A72F5E" w:rsidP="00A72F5E">
            <w:pPr>
              <w:pStyle w:val="NormalWeb"/>
              <w:spacing w:before="0" w:beforeAutospacing="0" w:after="0" w:afterAutospacing="0"/>
              <w:ind w:left="113" w:right="113"/>
              <w:jc w:val="center"/>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Skolos tiekėjams ir skolos susijusioms šalims</w:t>
            </w:r>
          </w:p>
        </w:tc>
        <w:tc>
          <w:tcPr>
            <w:tcW w:w="898" w:type="dxa"/>
          </w:tcPr>
          <w:p w:rsidR="00A72F5E" w:rsidRPr="00F02CB0" w:rsidRDefault="00BA2477" w:rsidP="00BA2477">
            <w:pPr>
              <w:pStyle w:val="NormalWeb"/>
              <w:spacing w:before="0" w:beforeAutospacing="0" w:after="0" w:afterAutospacing="0"/>
              <w:jc w:val="center"/>
              <w:rPr>
                <w:sz w:val="22"/>
                <w:szCs w:val="22"/>
                <w:lang w:val="lt-LT"/>
              </w:rPr>
            </w:pPr>
            <w:r>
              <w:rPr>
                <w:sz w:val="22"/>
                <w:szCs w:val="22"/>
                <w:lang w:val="lt-LT"/>
              </w:rPr>
              <w:t>V</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cPr>
          <w:p w:rsidR="00A72F5E" w:rsidRPr="00F02CB0" w:rsidRDefault="00A72F5E" w:rsidP="00550970">
            <w:pPr>
              <w:pStyle w:val="NormalWeb"/>
              <w:spacing w:before="0" w:beforeAutospacing="0" w:after="0" w:afterAutospacing="0"/>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 xml:space="preserve">Su darbo santykiais susiję įsipareigojimai </w:t>
            </w:r>
          </w:p>
        </w:tc>
        <w:tc>
          <w:tcPr>
            <w:tcW w:w="898" w:type="dxa"/>
          </w:tcPr>
          <w:p w:rsidR="00A72F5E" w:rsidRPr="00F02CB0" w:rsidRDefault="00A72F5E" w:rsidP="00BA2477">
            <w:pPr>
              <w:pStyle w:val="NormalWeb"/>
              <w:spacing w:before="0" w:beforeAutospacing="0" w:after="0" w:afterAutospacing="0"/>
              <w:jc w:val="center"/>
              <w:rPr>
                <w:sz w:val="22"/>
                <w:szCs w:val="22"/>
                <w:lang w:val="lt-LT"/>
              </w:rPr>
            </w:pPr>
            <w:r w:rsidRPr="00F02CB0">
              <w:rPr>
                <w:sz w:val="22"/>
                <w:szCs w:val="22"/>
                <w:lang w:val="lt-LT"/>
              </w:rPr>
              <w:t>I</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cPr>
          <w:p w:rsidR="00A72F5E" w:rsidRPr="00F02CB0" w:rsidRDefault="00A72F5E" w:rsidP="00550970">
            <w:pPr>
              <w:pStyle w:val="NormalWeb"/>
              <w:spacing w:before="0" w:beforeAutospacing="0" w:after="0" w:afterAutospacing="0"/>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 xml:space="preserve">Su darbo santykiais susiję įsipareigojimai </w:t>
            </w:r>
          </w:p>
        </w:tc>
        <w:tc>
          <w:tcPr>
            <w:tcW w:w="898" w:type="dxa"/>
          </w:tcPr>
          <w:p w:rsidR="00A72F5E" w:rsidRPr="00F02CB0" w:rsidRDefault="00BA2477" w:rsidP="00BA2477">
            <w:pPr>
              <w:pStyle w:val="NormalWeb"/>
              <w:spacing w:before="0" w:beforeAutospacing="0" w:after="0" w:afterAutospacing="0"/>
              <w:jc w:val="center"/>
              <w:rPr>
                <w:sz w:val="22"/>
                <w:szCs w:val="22"/>
                <w:lang w:val="lt-LT"/>
              </w:rPr>
            </w:pPr>
            <w:r>
              <w:rPr>
                <w:sz w:val="22"/>
                <w:szCs w:val="22"/>
                <w:lang w:val="lt-LT"/>
              </w:rPr>
              <w:t>V</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cPr>
          <w:p w:rsidR="00A72F5E" w:rsidRPr="00F02CB0" w:rsidRDefault="00A72F5E" w:rsidP="00550970">
            <w:pPr>
              <w:pStyle w:val="NormalWeb"/>
              <w:spacing w:before="0" w:beforeAutospacing="0" w:after="0" w:afterAutospacing="0"/>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Pardavimo pajamos</w:t>
            </w:r>
          </w:p>
        </w:tc>
        <w:tc>
          <w:tcPr>
            <w:tcW w:w="898" w:type="dxa"/>
          </w:tcPr>
          <w:p w:rsidR="00A72F5E" w:rsidRPr="00F02CB0" w:rsidRDefault="00A72F5E" w:rsidP="00BA2477">
            <w:pPr>
              <w:pStyle w:val="NormalWeb"/>
              <w:spacing w:before="0" w:beforeAutospacing="0" w:after="0" w:afterAutospacing="0"/>
              <w:jc w:val="center"/>
              <w:rPr>
                <w:sz w:val="22"/>
                <w:szCs w:val="22"/>
                <w:lang w:val="lt-LT"/>
              </w:rPr>
            </w:pPr>
            <w:r w:rsidRPr="00F02CB0">
              <w:rPr>
                <w:sz w:val="22"/>
                <w:szCs w:val="22"/>
                <w:lang w:val="lt-LT"/>
              </w:rPr>
              <w:t>T</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cPr>
          <w:p w:rsidR="00A72F5E" w:rsidRPr="00F02CB0" w:rsidRDefault="00A72F5E" w:rsidP="00550970">
            <w:pPr>
              <w:pStyle w:val="NormalWeb"/>
              <w:spacing w:before="0" w:beforeAutospacing="0" w:after="0" w:afterAutospacing="0"/>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 xml:space="preserve">Pardavimo savikaina </w:t>
            </w:r>
          </w:p>
        </w:tc>
        <w:tc>
          <w:tcPr>
            <w:tcW w:w="898" w:type="dxa"/>
          </w:tcPr>
          <w:p w:rsidR="00A72F5E" w:rsidRPr="00F02CB0" w:rsidRDefault="00A72F5E" w:rsidP="00BA2477">
            <w:pPr>
              <w:pStyle w:val="NormalWeb"/>
              <w:spacing w:before="0" w:beforeAutospacing="0" w:after="0" w:afterAutospacing="0"/>
              <w:jc w:val="center"/>
              <w:rPr>
                <w:sz w:val="22"/>
                <w:szCs w:val="22"/>
                <w:lang w:val="lt-LT"/>
              </w:rPr>
            </w:pPr>
            <w:r w:rsidRPr="00F02CB0">
              <w:rPr>
                <w:sz w:val="22"/>
                <w:szCs w:val="22"/>
                <w:lang w:val="lt-LT"/>
              </w:rPr>
              <w:t>T</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cPr>
          <w:p w:rsidR="00A72F5E" w:rsidRPr="00F02CB0" w:rsidRDefault="00A72F5E" w:rsidP="00550970">
            <w:pPr>
              <w:pStyle w:val="NormalWeb"/>
              <w:spacing w:before="0" w:beforeAutospacing="0" w:after="0" w:afterAutospacing="0"/>
              <w:rPr>
                <w:sz w:val="22"/>
                <w:szCs w:val="22"/>
                <w:lang w:val="lt-LT"/>
              </w:rPr>
            </w:pPr>
          </w:p>
        </w:tc>
      </w:tr>
      <w:tr w:rsidR="00A72F5E" w:rsidRPr="00F02CB0" w:rsidTr="00BA2477">
        <w:trPr>
          <w:jc w:val="center"/>
        </w:trPr>
        <w:tc>
          <w:tcPr>
            <w:tcW w:w="2580" w:type="dxa"/>
          </w:tcPr>
          <w:p w:rsidR="00A72F5E" w:rsidRPr="00F02CB0" w:rsidRDefault="00A72F5E" w:rsidP="00A72F5E">
            <w:pPr>
              <w:pStyle w:val="NormalWeb"/>
              <w:spacing w:before="0" w:beforeAutospacing="0" w:after="0" w:afterAutospacing="0"/>
              <w:jc w:val="both"/>
              <w:rPr>
                <w:sz w:val="22"/>
                <w:szCs w:val="22"/>
                <w:lang w:val="lt-LT"/>
              </w:rPr>
            </w:pPr>
            <w:r w:rsidRPr="00F02CB0">
              <w:rPr>
                <w:sz w:val="22"/>
                <w:szCs w:val="22"/>
                <w:lang w:val="lt-LT"/>
              </w:rPr>
              <w:t>Veiklos sąnaudos (susiję su darbo užmokesči</w:t>
            </w:r>
            <w:r>
              <w:rPr>
                <w:sz w:val="22"/>
                <w:szCs w:val="22"/>
                <w:lang w:val="lt-LT"/>
              </w:rPr>
              <w:t>u</w:t>
            </w:r>
            <w:r w:rsidRPr="00F02CB0">
              <w:rPr>
                <w:sz w:val="22"/>
                <w:szCs w:val="22"/>
                <w:lang w:val="lt-LT"/>
              </w:rPr>
              <w:t xml:space="preserve">) </w:t>
            </w:r>
          </w:p>
        </w:tc>
        <w:tc>
          <w:tcPr>
            <w:tcW w:w="898" w:type="dxa"/>
          </w:tcPr>
          <w:p w:rsidR="00A72F5E" w:rsidRPr="00F02CB0" w:rsidRDefault="00A72F5E" w:rsidP="00BA2477">
            <w:pPr>
              <w:pStyle w:val="NormalWeb"/>
              <w:spacing w:before="0" w:beforeAutospacing="0" w:after="0" w:afterAutospacing="0"/>
              <w:jc w:val="center"/>
              <w:rPr>
                <w:sz w:val="22"/>
                <w:szCs w:val="22"/>
                <w:lang w:val="lt-LT"/>
              </w:rPr>
            </w:pPr>
            <w:r w:rsidRPr="00F02CB0">
              <w:rPr>
                <w:sz w:val="22"/>
                <w:szCs w:val="22"/>
                <w:lang w:val="lt-LT"/>
              </w:rPr>
              <w:t>T</w:t>
            </w:r>
          </w:p>
        </w:tc>
        <w:tc>
          <w:tcPr>
            <w:tcW w:w="1390" w:type="dxa"/>
          </w:tcPr>
          <w:p w:rsidR="00A72F5E" w:rsidRPr="00F02CB0" w:rsidRDefault="00A72F5E" w:rsidP="00C82A89">
            <w:pPr>
              <w:jc w:val="center"/>
              <w:rPr>
                <w:sz w:val="22"/>
                <w:szCs w:val="22"/>
              </w:rPr>
            </w:pPr>
            <w:r w:rsidRPr="00F02CB0">
              <w:rPr>
                <w:sz w:val="22"/>
                <w:szCs w:val="22"/>
                <w:lang w:val="lt-LT"/>
              </w:rPr>
              <w:t>Taip</w:t>
            </w:r>
          </w:p>
        </w:tc>
        <w:tc>
          <w:tcPr>
            <w:tcW w:w="1402" w:type="dxa"/>
          </w:tcPr>
          <w:p w:rsidR="00A72F5E" w:rsidRPr="00F02CB0" w:rsidRDefault="00A72F5E" w:rsidP="00C82A89">
            <w:pPr>
              <w:jc w:val="center"/>
              <w:rPr>
                <w:sz w:val="22"/>
                <w:szCs w:val="22"/>
              </w:rPr>
            </w:pPr>
            <w:r w:rsidRPr="00F02CB0">
              <w:rPr>
                <w:sz w:val="22"/>
                <w:szCs w:val="22"/>
                <w:lang w:val="lt-LT"/>
              </w:rPr>
              <w:t>Ne</w:t>
            </w:r>
          </w:p>
        </w:tc>
        <w:tc>
          <w:tcPr>
            <w:tcW w:w="1170" w:type="dxa"/>
          </w:tcPr>
          <w:p w:rsidR="00A72F5E" w:rsidRPr="00F02CB0" w:rsidRDefault="00A72F5E" w:rsidP="00CD07FC">
            <w:pPr>
              <w:jc w:val="center"/>
              <w:rPr>
                <w:sz w:val="22"/>
                <w:szCs w:val="22"/>
              </w:rPr>
            </w:pPr>
            <w:r w:rsidRPr="00F02CB0">
              <w:rPr>
                <w:sz w:val="22"/>
                <w:szCs w:val="22"/>
                <w:lang w:val="lt-LT"/>
              </w:rPr>
              <w:t>Maža</w:t>
            </w:r>
          </w:p>
        </w:tc>
        <w:tc>
          <w:tcPr>
            <w:tcW w:w="934" w:type="dxa"/>
            <w:vMerge/>
          </w:tcPr>
          <w:p w:rsidR="00A72F5E" w:rsidRPr="00F02CB0" w:rsidRDefault="00A72F5E" w:rsidP="00550970">
            <w:pPr>
              <w:pStyle w:val="NormalWeb"/>
              <w:spacing w:before="0" w:beforeAutospacing="0" w:after="0" w:afterAutospacing="0"/>
              <w:rPr>
                <w:sz w:val="22"/>
                <w:szCs w:val="22"/>
                <w:lang w:val="lt-LT"/>
              </w:rPr>
            </w:pPr>
          </w:p>
        </w:tc>
      </w:tr>
      <w:tr w:rsidR="00A72F5E" w:rsidRPr="00F02CB0" w:rsidTr="00BA2477">
        <w:trPr>
          <w:jc w:val="center"/>
        </w:trPr>
        <w:tc>
          <w:tcPr>
            <w:tcW w:w="2580" w:type="dxa"/>
          </w:tcPr>
          <w:p w:rsidR="00A72F5E" w:rsidRPr="00F02CB0" w:rsidRDefault="00A72F5E" w:rsidP="00550970">
            <w:pPr>
              <w:pStyle w:val="NormalWeb"/>
              <w:spacing w:before="0" w:beforeAutospacing="0" w:after="0" w:afterAutospacing="0"/>
              <w:jc w:val="both"/>
              <w:rPr>
                <w:sz w:val="22"/>
                <w:szCs w:val="22"/>
                <w:lang w:val="lt-LT"/>
              </w:rPr>
            </w:pPr>
            <w:r w:rsidRPr="00F02CB0">
              <w:rPr>
                <w:sz w:val="22"/>
                <w:szCs w:val="22"/>
                <w:lang w:val="lt-LT"/>
              </w:rPr>
              <w:t>Kiti</w:t>
            </w:r>
          </w:p>
        </w:tc>
        <w:tc>
          <w:tcPr>
            <w:tcW w:w="898" w:type="dxa"/>
          </w:tcPr>
          <w:p w:rsidR="00A72F5E" w:rsidRPr="00F02CB0" w:rsidRDefault="00A72F5E" w:rsidP="00550970">
            <w:pPr>
              <w:pStyle w:val="NormalWeb"/>
              <w:spacing w:before="0" w:beforeAutospacing="0" w:after="0" w:afterAutospacing="0"/>
              <w:jc w:val="center"/>
              <w:rPr>
                <w:sz w:val="22"/>
                <w:szCs w:val="22"/>
                <w:lang w:val="lt-LT"/>
              </w:rPr>
            </w:pPr>
            <w:r w:rsidRPr="00F02CB0">
              <w:rPr>
                <w:sz w:val="22"/>
                <w:szCs w:val="22"/>
                <w:lang w:val="lt-LT"/>
              </w:rPr>
              <w:t>X</w:t>
            </w:r>
          </w:p>
        </w:tc>
        <w:tc>
          <w:tcPr>
            <w:tcW w:w="1390" w:type="dxa"/>
          </w:tcPr>
          <w:p w:rsidR="00A72F5E" w:rsidRPr="00F02CB0" w:rsidRDefault="00A72F5E" w:rsidP="00C82A89">
            <w:pPr>
              <w:jc w:val="center"/>
              <w:rPr>
                <w:sz w:val="22"/>
                <w:szCs w:val="22"/>
                <w:lang w:val="lt-LT"/>
              </w:rPr>
            </w:pPr>
            <w:r w:rsidRPr="00F02CB0">
              <w:rPr>
                <w:sz w:val="22"/>
                <w:szCs w:val="22"/>
                <w:lang w:val="lt-LT"/>
              </w:rPr>
              <w:t>Taip</w:t>
            </w:r>
          </w:p>
        </w:tc>
        <w:tc>
          <w:tcPr>
            <w:tcW w:w="1402" w:type="dxa"/>
          </w:tcPr>
          <w:p w:rsidR="00A72F5E" w:rsidRPr="00F02CB0" w:rsidRDefault="00A72F5E" w:rsidP="00C82A89">
            <w:pPr>
              <w:jc w:val="center"/>
              <w:rPr>
                <w:sz w:val="22"/>
                <w:szCs w:val="22"/>
                <w:lang w:val="lt-LT"/>
              </w:rPr>
            </w:pPr>
            <w:r w:rsidRPr="00F02CB0">
              <w:rPr>
                <w:sz w:val="22"/>
                <w:szCs w:val="22"/>
                <w:lang w:val="lt-LT"/>
              </w:rPr>
              <w:t>Ne</w:t>
            </w:r>
          </w:p>
        </w:tc>
        <w:tc>
          <w:tcPr>
            <w:tcW w:w="1170" w:type="dxa"/>
          </w:tcPr>
          <w:p w:rsidR="00A72F5E" w:rsidRPr="00F02CB0" w:rsidRDefault="00A72F5E" w:rsidP="00CD07FC">
            <w:pPr>
              <w:jc w:val="center"/>
              <w:rPr>
                <w:sz w:val="22"/>
                <w:szCs w:val="22"/>
                <w:lang w:val="lt-LT"/>
              </w:rPr>
            </w:pPr>
            <w:r w:rsidRPr="00F02CB0">
              <w:rPr>
                <w:sz w:val="22"/>
                <w:szCs w:val="22"/>
                <w:lang w:val="lt-LT"/>
              </w:rPr>
              <w:t>Maža</w:t>
            </w:r>
          </w:p>
        </w:tc>
        <w:tc>
          <w:tcPr>
            <w:tcW w:w="934" w:type="dxa"/>
            <w:vMerge/>
          </w:tcPr>
          <w:p w:rsidR="00A72F5E" w:rsidRPr="00F02CB0" w:rsidRDefault="00A72F5E" w:rsidP="00550970">
            <w:pPr>
              <w:pStyle w:val="NormalWeb"/>
              <w:spacing w:before="0" w:beforeAutospacing="0" w:after="0" w:afterAutospacing="0"/>
              <w:rPr>
                <w:sz w:val="22"/>
                <w:szCs w:val="22"/>
                <w:lang w:val="lt-LT"/>
              </w:rPr>
            </w:pPr>
          </w:p>
        </w:tc>
      </w:tr>
    </w:tbl>
    <w:p w:rsidR="00BA2477" w:rsidRDefault="00BA2477" w:rsidP="00BA2477">
      <w:pPr>
        <w:pStyle w:val="NormalWeb"/>
        <w:spacing w:before="60" w:beforeAutospacing="0" w:after="0" w:afterAutospacing="0"/>
        <w:rPr>
          <w:sz w:val="20"/>
          <w:szCs w:val="20"/>
          <w:lang w:val="lt-LT"/>
        </w:rPr>
      </w:pPr>
      <w:r>
        <w:rPr>
          <w:sz w:val="20"/>
          <w:szCs w:val="20"/>
          <w:lang w:val="lt-LT"/>
        </w:rPr>
        <w:t>Pastaba: Susijęs tvirtinimas: B</w:t>
      </w:r>
      <w:r w:rsidR="0027655E">
        <w:rPr>
          <w:sz w:val="20"/>
          <w:szCs w:val="20"/>
          <w:lang w:val="lt-LT"/>
        </w:rPr>
        <w:t xml:space="preserve"> – </w:t>
      </w:r>
      <w:r>
        <w:rPr>
          <w:sz w:val="20"/>
          <w:szCs w:val="20"/>
          <w:lang w:val="lt-LT"/>
        </w:rPr>
        <w:t>buvimas, V</w:t>
      </w:r>
      <w:r w:rsidR="0027655E">
        <w:rPr>
          <w:sz w:val="20"/>
          <w:szCs w:val="20"/>
          <w:lang w:val="lt-LT"/>
        </w:rPr>
        <w:t xml:space="preserve"> – </w:t>
      </w:r>
      <w:r>
        <w:rPr>
          <w:sz w:val="20"/>
          <w:szCs w:val="20"/>
          <w:lang w:val="lt-LT"/>
        </w:rPr>
        <w:t>įvertinimas, I</w:t>
      </w:r>
      <w:r w:rsidR="0027655E">
        <w:rPr>
          <w:sz w:val="20"/>
          <w:szCs w:val="20"/>
          <w:lang w:val="lt-LT"/>
        </w:rPr>
        <w:t xml:space="preserve"> – </w:t>
      </w:r>
      <w:r>
        <w:rPr>
          <w:sz w:val="20"/>
          <w:szCs w:val="20"/>
          <w:lang w:val="lt-LT"/>
        </w:rPr>
        <w:t>išsamumas, T</w:t>
      </w:r>
      <w:r w:rsidR="0027655E">
        <w:rPr>
          <w:sz w:val="20"/>
          <w:szCs w:val="20"/>
          <w:lang w:val="lt-LT"/>
        </w:rPr>
        <w:t xml:space="preserve"> – </w:t>
      </w:r>
      <w:r>
        <w:rPr>
          <w:sz w:val="20"/>
          <w:szCs w:val="20"/>
          <w:lang w:val="lt-LT"/>
        </w:rPr>
        <w:t>tikslumas.</w:t>
      </w:r>
    </w:p>
    <w:p w:rsidR="00254306" w:rsidRPr="002831E4" w:rsidRDefault="00254306" w:rsidP="00254306">
      <w:pPr>
        <w:pStyle w:val="NormalWeb"/>
        <w:spacing w:before="60" w:beforeAutospacing="0" w:after="0" w:afterAutospacing="0"/>
        <w:jc w:val="both"/>
        <w:rPr>
          <w:sz w:val="20"/>
          <w:szCs w:val="20"/>
          <w:lang w:val="lt-LT"/>
        </w:rPr>
      </w:pPr>
      <w:r w:rsidRPr="002831E4">
        <w:rPr>
          <w:sz w:val="20"/>
          <w:szCs w:val="20"/>
          <w:lang w:val="lt-LT"/>
        </w:rPr>
        <w:t>Šaltinis:</w:t>
      </w:r>
      <w:r>
        <w:rPr>
          <w:sz w:val="20"/>
          <w:szCs w:val="20"/>
          <w:lang w:val="lt-LT"/>
        </w:rPr>
        <w:t xml:space="preserve"> sudaryta autorės.</w:t>
      </w:r>
    </w:p>
    <w:p w:rsidR="00A72F5E" w:rsidRPr="00F02CB0" w:rsidRDefault="009137F4" w:rsidP="00A72F5E">
      <w:pPr>
        <w:pStyle w:val="NormalWeb"/>
        <w:spacing w:before="240" w:beforeAutospacing="0" w:after="0" w:afterAutospacing="0" w:line="360" w:lineRule="auto"/>
        <w:ind w:firstLine="720"/>
        <w:jc w:val="both"/>
        <w:rPr>
          <w:sz w:val="26"/>
          <w:szCs w:val="26"/>
          <w:lang w:val="lt-LT"/>
        </w:rPr>
      </w:pPr>
      <w:r>
        <w:rPr>
          <w:sz w:val="26"/>
          <w:szCs w:val="26"/>
          <w:lang w:val="lt-LT"/>
        </w:rPr>
        <w:lastRenderedPageBreak/>
        <w:t>I</w:t>
      </w:r>
      <w:r w:rsidR="00A72F5E">
        <w:rPr>
          <w:sz w:val="26"/>
          <w:szCs w:val="26"/>
          <w:lang w:val="lt-LT"/>
        </w:rPr>
        <w:t>š 3</w:t>
      </w:r>
      <w:r w:rsidR="00036530">
        <w:rPr>
          <w:sz w:val="26"/>
          <w:szCs w:val="26"/>
          <w:lang w:val="lt-LT"/>
        </w:rPr>
        <w:t>9</w:t>
      </w:r>
      <w:r w:rsidR="00A72F5E">
        <w:rPr>
          <w:sz w:val="26"/>
          <w:szCs w:val="26"/>
          <w:lang w:val="lt-LT"/>
        </w:rPr>
        <w:t xml:space="preserve"> lentelės matyti, kad </w:t>
      </w:r>
      <w:r w:rsidR="00A72F5E" w:rsidRPr="00F02CB0">
        <w:rPr>
          <w:sz w:val="26"/>
          <w:szCs w:val="26"/>
          <w:lang w:val="lt-LT"/>
        </w:rPr>
        <w:t>bendra audito rizika atlikus UAB „Žuvila“ 2008 metų finansinių ataskaitų auditą yra maža</w:t>
      </w:r>
      <w:r w:rsidR="00A72F5E">
        <w:rPr>
          <w:sz w:val="26"/>
          <w:szCs w:val="26"/>
          <w:lang w:val="lt-LT"/>
        </w:rPr>
        <w:t xml:space="preserve"> ir </w:t>
      </w:r>
      <w:r w:rsidR="00A72F5E" w:rsidRPr="00F02CB0">
        <w:rPr>
          <w:sz w:val="26"/>
          <w:szCs w:val="26"/>
          <w:lang w:val="lt-LT"/>
        </w:rPr>
        <w:t xml:space="preserve">auditorius gali pareikšti besąlyginę nuomonę apie šias finansines ataskaitas. </w:t>
      </w:r>
    </w:p>
    <w:p w:rsidR="00223ACB" w:rsidRPr="00F02CB0" w:rsidRDefault="009137F4" w:rsidP="00A72F5E">
      <w:pPr>
        <w:pStyle w:val="NormalWeb"/>
        <w:spacing w:before="0" w:beforeAutospacing="0" w:after="0" w:afterAutospacing="0" w:line="360" w:lineRule="auto"/>
        <w:ind w:firstLine="720"/>
        <w:jc w:val="both"/>
        <w:rPr>
          <w:i/>
          <w:sz w:val="26"/>
          <w:szCs w:val="26"/>
          <w:lang w:val="lt-LT"/>
        </w:rPr>
      </w:pPr>
      <w:r>
        <w:rPr>
          <w:i/>
          <w:sz w:val="26"/>
          <w:szCs w:val="26"/>
          <w:lang w:val="lt-LT"/>
        </w:rPr>
        <w:t>P</w:t>
      </w:r>
      <w:r w:rsidR="00C82A89" w:rsidRPr="00F02CB0">
        <w:rPr>
          <w:i/>
          <w:sz w:val="26"/>
          <w:szCs w:val="26"/>
          <w:lang w:val="lt-LT"/>
        </w:rPr>
        <w:t xml:space="preserve">astarieji veiksmai, </w:t>
      </w:r>
      <w:r w:rsidR="00223ACB" w:rsidRPr="00F02CB0">
        <w:rPr>
          <w:i/>
          <w:sz w:val="26"/>
          <w:szCs w:val="26"/>
          <w:lang w:val="lt-LT"/>
        </w:rPr>
        <w:t>patvirtina ketvirtosios hipotezės (H</w:t>
      </w:r>
      <w:r w:rsidR="00223ACB" w:rsidRPr="00F02CB0">
        <w:rPr>
          <w:i/>
          <w:sz w:val="26"/>
          <w:szCs w:val="26"/>
          <w:vertAlign w:val="subscript"/>
          <w:lang w:val="lt-LT"/>
        </w:rPr>
        <w:t>4</w:t>
      </w:r>
      <w:r w:rsidR="00223ACB" w:rsidRPr="00F02CB0">
        <w:rPr>
          <w:i/>
          <w:sz w:val="26"/>
          <w:szCs w:val="26"/>
          <w:lang w:val="lt-LT"/>
        </w:rPr>
        <w:t>), jog „audito pabaigoje įvertinamas bendras audito rizikos lygis atsižvelgiant į tvirtinimo lygmeniu pasiektus audito rizikos vertinimus“ teisingumą.</w:t>
      </w:r>
    </w:p>
    <w:p w:rsidR="00CD0154" w:rsidRPr="00F02CB0" w:rsidRDefault="00CD0154" w:rsidP="00CD0154">
      <w:pPr>
        <w:pStyle w:val="NormalWeb"/>
        <w:spacing w:before="0" w:beforeAutospacing="0" w:after="0" w:afterAutospacing="0" w:line="360" w:lineRule="auto"/>
        <w:ind w:firstLine="720"/>
        <w:jc w:val="both"/>
        <w:rPr>
          <w:sz w:val="26"/>
          <w:szCs w:val="26"/>
          <w:lang w:val="lt-LT"/>
        </w:rPr>
      </w:pPr>
      <w:r w:rsidRPr="00F02CB0">
        <w:rPr>
          <w:sz w:val="26"/>
          <w:szCs w:val="26"/>
          <w:lang w:val="lt-LT"/>
        </w:rPr>
        <w:t xml:space="preserve">Kaip matome, </w:t>
      </w:r>
      <w:r w:rsidR="002D6FFB" w:rsidRPr="00F02CB0">
        <w:rPr>
          <w:sz w:val="26"/>
          <w:szCs w:val="26"/>
          <w:lang w:val="lt-LT"/>
        </w:rPr>
        <w:t>ti</w:t>
      </w:r>
      <w:r w:rsidR="009137F4">
        <w:rPr>
          <w:sz w:val="26"/>
          <w:szCs w:val="26"/>
          <w:lang w:val="lt-LT"/>
        </w:rPr>
        <w:t>krinant</w:t>
      </w:r>
      <w:r w:rsidR="002D6FFB" w:rsidRPr="00F02CB0">
        <w:rPr>
          <w:sz w:val="26"/>
          <w:szCs w:val="26"/>
          <w:lang w:val="lt-LT"/>
        </w:rPr>
        <w:t xml:space="preserve"> </w:t>
      </w:r>
      <w:r w:rsidRPr="00F02CB0">
        <w:rPr>
          <w:sz w:val="26"/>
          <w:szCs w:val="26"/>
          <w:lang w:val="lt-LT"/>
        </w:rPr>
        <w:t>darbo autorės</w:t>
      </w:r>
      <w:r w:rsidR="009137F4">
        <w:rPr>
          <w:sz w:val="26"/>
          <w:szCs w:val="26"/>
          <w:lang w:val="lt-LT"/>
        </w:rPr>
        <w:t xml:space="preserve"> sudarytą</w:t>
      </w:r>
      <w:r w:rsidRPr="00F02CB0">
        <w:rPr>
          <w:sz w:val="26"/>
          <w:szCs w:val="26"/>
          <w:lang w:val="lt-LT"/>
        </w:rPr>
        <w:t xml:space="preserve"> audito rizikos vertinimo model</w:t>
      </w:r>
      <w:r w:rsidR="002D6FFB" w:rsidRPr="00F02CB0">
        <w:rPr>
          <w:sz w:val="26"/>
          <w:szCs w:val="26"/>
          <w:lang w:val="lt-LT"/>
        </w:rPr>
        <w:t>į</w:t>
      </w:r>
      <w:r w:rsidRPr="00F02CB0">
        <w:rPr>
          <w:sz w:val="26"/>
          <w:szCs w:val="26"/>
          <w:lang w:val="lt-LT"/>
        </w:rPr>
        <w:t xml:space="preserve"> </w:t>
      </w:r>
      <w:r w:rsidR="002D6FFB" w:rsidRPr="00F02CB0">
        <w:rPr>
          <w:sz w:val="26"/>
          <w:szCs w:val="26"/>
          <w:lang w:val="lt-LT"/>
        </w:rPr>
        <w:t xml:space="preserve">UAB „Šiluma“ ir UAB „Žuvila“ 2008 metų finansinių ataskaitų auditų pavyzdžiu </w:t>
      </w:r>
      <w:r w:rsidR="009137F4">
        <w:rPr>
          <w:sz w:val="26"/>
          <w:szCs w:val="26"/>
          <w:lang w:val="lt-LT"/>
        </w:rPr>
        <w:t>pagal iškelta</w:t>
      </w:r>
      <w:r w:rsidR="002D6FFB" w:rsidRPr="00F02CB0">
        <w:rPr>
          <w:sz w:val="26"/>
          <w:szCs w:val="26"/>
          <w:lang w:val="lt-LT"/>
        </w:rPr>
        <w:t>s hipotez</w:t>
      </w:r>
      <w:r w:rsidR="009137F4">
        <w:rPr>
          <w:sz w:val="26"/>
          <w:szCs w:val="26"/>
          <w:lang w:val="lt-LT"/>
        </w:rPr>
        <w:t>e</w:t>
      </w:r>
      <w:r w:rsidR="002D6FFB" w:rsidRPr="00F02CB0">
        <w:rPr>
          <w:sz w:val="26"/>
          <w:szCs w:val="26"/>
          <w:lang w:val="lt-LT"/>
        </w:rPr>
        <w:t>s</w:t>
      </w:r>
      <w:r w:rsidR="009137F4">
        <w:rPr>
          <w:sz w:val="26"/>
          <w:szCs w:val="26"/>
          <w:lang w:val="lt-LT"/>
        </w:rPr>
        <w:t xml:space="preserve">, buvo </w:t>
      </w:r>
      <w:r w:rsidR="002D6FFB" w:rsidRPr="00F02CB0">
        <w:rPr>
          <w:sz w:val="26"/>
          <w:szCs w:val="26"/>
          <w:lang w:val="lt-LT"/>
        </w:rPr>
        <w:t>prieita vieningų išvadų. Pirmoji</w:t>
      </w:r>
      <w:r w:rsidR="00C141DC" w:rsidRPr="00F02CB0">
        <w:rPr>
          <w:sz w:val="26"/>
          <w:szCs w:val="26"/>
          <w:lang w:val="lt-LT"/>
        </w:rPr>
        <w:t xml:space="preserve"> </w:t>
      </w:r>
      <w:r w:rsidR="00C141DC" w:rsidRPr="00F02CB0">
        <w:rPr>
          <w:i/>
          <w:sz w:val="26"/>
          <w:szCs w:val="26"/>
          <w:lang w:val="lt-LT"/>
        </w:rPr>
        <w:t>(H</w:t>
      </w:r>
      <w:r w:rsidR="00C141DC" w:rsidRPr="00F02CB0">
        <w:rPr>
          <w:i/>
          <w:sz w:val="26"/>
          <w:szCs w:val="26"/>
          <w:vertAlign w:val="subscript"/>
          <w:lang w:val="lt-LT"/>
        </w:rPr>
        <w:t>1</w:t>
      </w:r>
      <w:r w:rsidR="00C141DC" w:rsidRPr="00F02CB0">
        <w:rPr>
          <w:i/>
          <w:sz w:val="26"/>
          <w:szCs w:val="26"/>
          <w:lang w:val="lt-LT"/>
        </w:rPr>
        <w:t>)</w:t>
      </w:r>
      <w:r w:rsidR="00C141DC" w:rsidRPr="00F02CB0">
        <w:rPr>
          <w:sz w:val="26"/>
          <w:szCs w:val="26"/>
          <w:lang w:val="lt-LT"/>
        </w:rPr>
        <w:t xml:space="preserve">, trečioji </w:t>
      </w:r>
      <w:r w:rsidR="00C141DC" w:rsidRPr="00F02CB0">
        <w:rPr>
          <w:i/>
          <w:sz w:val="26"/>
          <w:szCs w:val="26"/>
          <w:lang w:val="lt-LT"/>
        </w:rPr>
        <w:t>(H</w:t>
      </w:r>
      <w:r w:rsidR="00C141DC" w:rsidRPr="00F02CB0">
        <w:rPr>
          <w:i/>
          <w:sz w:val="26"/>
          <w:szCs w:val="26"/>
          <w:vertAlign w:val="subscript"/>
          <w:lang w:val="lt-LT"/>
        </w:rPr>
        <w:t>3</w:t>
      </w:r>
      <w:r w:rsidR="00C141DC" w:rsidRPr="00F02CB0">
        <w:rPr>
          <w:i/>
          <w:sz w:val="26"/>
          <w:szCs w:val="26"/>
          <w:lang w:val="lt-LT"/>
        </w:rPr>
        <w:t xml:space="preserve">) </w:t>
      </w:r>
      <w:r w:rsidR="00C141DC" w:rsidRPr="00F02CB0">
        <w:rPr>
          <w:sz w:val="26"/>
          <w:szCs w:val="26"/>
          <w:lang w:val="lt-LT"/>
        </w:rPr>
        <w:t xml:space="preserve">ir ketvirtoji </w:t>
      </w:r>
      <w:r w:rsidR="00C141DC" w:rsidRPr="00F02CB0">
        <w:rPr>
          <w:i/>
          <w:sz w:val="26"/>
          <w:szCs w:val="26"/>
          <w:lang w:val="lt-LT"/>
        </w:rPr>
        <w:t>(H</w:t>
      </w:r>
      <w:r w:rsidR="00C141DC" w:rsidRPr="00F02CB0">
        <w:rPr>
          <w:i/>
          <w:sz w:val="26"/>
          <w:szCs w:val="26"/>
          <w:vertAlign w:val="subscript"/>
          <w:lang w:val="lt-LT"/>
        </w:rPr>
        <w:t>4</w:t>
      </w:r>
      <w:r w:rsidR="00C141DC" w:rsidRPr="00F02CB0">
        <w:rPr>
          <w:i/>
          <w:sz w:val="26"/>
          <w:szCs w:val="26"/>
          <w:lang w:val="lt-LT"/>
        </w:rPr>
        <w:t xml:space="preserve">) </w:t>
      </w:r>
      <w:r w:rsidR="00C141DC" w:rsidRPr="00F02CB0">
        <w:rPr>
          <w:sz w:val="26"/>
          <w:szCs w:val="26"/>
          <w:lang w:val="lt-LT"/>
        </w:rPr>
        <w:t xml:space="preserve">hipotezės buvo </w:t>
      </w:r>
      <w:r w:rsidRPr="00F02CB0">
        <w:rPr>
          <w:sz w:val="26"/>
          <w:szCs w:val="26"/>
          <w:lang w:val="lt-LT"/>
        </w:rPr>
        <w:t>pat</w:t>
      </w:r>
      <w:r w:rsidR="00C141DC" w:rsidRPr="00F02CB0">
        <w:rPr>
          <w:sz w:val="26"/>
          <w:szCs w:val="26"/>
          <w:lang w:val="lt-LT"/>
        </w:rPr>
        <w:t xml:space="preserve">virtintos kaip teisingos, o antroji hipotezė </w:t>
      </w:r>
      <w:r w:rsidR="00C141DC" w:rsidRPr="00F02CB0">
        <w:rPr>
          <w:i/>
          <w:sz w:val="26"/>
          <w:szCs w:val="26"/>
          <w:lang w:val="lt-LT"/>
        </w:rPr>
        <w:t>(H</w:t>
      </w:r>
      <w:r w:rsidR="00C141DC" w:rsidRPr="00F02CB0">
        <w:rPr>
          <w:i/>
          <w:sz w:val="26"/>
          <w:szCs w:val="26"/>
          <w:vertAlign w:val="subscript"/>
          <w:lang w:val="lt-LT"/>
        </w:rPr>
        <w:t>2</w:t>
      </w:r>
      <w:r w:rsidR="00C141DC" w:rsidRPr="00F02CB0">
        <w:rPr>
          <w:i/>
          <w:sz w:val="26"/>
          <w:szCs w:val="26"/>
          <w:lang w:val="lt-LT"/>
        </w:rPr>
        <w:t>)</w:t>
      </w:r>
      <w:r w:rsidR="00BA2477">
        <w:rPr>
          <w:sz w:val="26"/>
          <w:szCs w:val="26"/>
          <w:lang w:val="lt-LT"/>
        </w:rPr>
        <w:t xml:space="preserve"> – atmesta. Į</w:t>
      </w:r>
      <w:r w:rsidR="00C141DC" w:rsidRPr="00F02CB0">
        <w:rPr>
          <w:sz w:val="26"/>
          <w:szCs w:val="26"/>
          <w:lang w:val="lt-LT"/>
        </w:rPr>
        <w:t xml:space="preserve"> tai </w:t>
      </w:r>
      <w:r w:rsidR="009137F4">
        <w:rPr>
          <w:sz w:val="26"/>
          <w:szCs w:val="26"/>
          <w:lang w:val="lt-LT"/>
        </w:rPr>
        <w:t xml:space="preserve">būtina </w:t>
      </w:r>
      <w:r w:rsidR="00BA2477">
        <w:rPr>
          <w:sz w:val="26"/>
          <w:szCs w:val="26"/>
          <w:lang w:val="lt-LT"/>
        </w:rPr>
        <w:t xml:space="preserve">atsižvelgti koreguojant </w:t>
      </w:r>
      <w:r w:rsidR="00C141DC" w:rsidRPr="00F02CB0">
        <w:rPr>
          <w:sz w:val="26"/>
          <w:szCs w:val="26"/>
          <w:lang w:val="lt-LT"/>
        </w:rPr>
        <w:t>audito rizikos vertinimo modelį.</w:t>
      </w:r>
    </w:p>
    <w:p w:rsidR="00AC5C8B" w:rsidRPr="00F02CB0" w:rsidRDefault="00AC5C8B" w:rsidP="00AC5C8B">
      <w:pPr>
        <w:pStyle w:val="Heading2"/>
        <w:jc w:val="center"/>
        <w:rPr>
          <w:rFonts w:ascii="Times New Roman" w:hAnsi="Times New Roman" w:cs="Times New Roman"/>
          <w:lang w:val="lt-LT" w:eastAsia="en-US"/>
        </w:rPr>
      </w:pPr>
      <w:bookmarkStart w:id="48" w:name="_Toc253244591"/>
      <w:r w:rsidRPr="00F02CB0">
        <w:rPr>
          <w:rFonts w:ascii="Times New Roman" w:hAnsi="Times New Roman" w:cs="Times New Roman"/>
          <w:lang w:val="lt-LT" w:eastAsia="en-US"/>
        </w:rPr>
        <w:t xml:space="preserve">3.2 </w:t>
      </w:r>
      <w:r w:rsidR="00A67C9A" w:rsidRPr="00F02CB0">
        <w:rPr>
          <w:rFonts w:ascii="Times New Roman" w:hAnsi="Times New Roman" w:cs="Times New Roman"/>
          <w:lang w:val="lt-LT" w:eastAsia="en-US"/>
        </w:rPr>
        <w:t>A</w:t>
      </w:r>
      <w:r w:rsidRPr="00F02CB0">
        <w:rPr>
          <w:rFonts w:ascii="Times New Roman" w:hAnsi="Times New Roman" w:cs="Times New Roman"/>
          <w:lang w:val="lt-LT" w:eastAsia="en-US"/>
        </w:rPr>
        <w:t xml:space="preserve">udito rizikos vertinimo modelio </w:t>
      </w:r>
      <w:r w:rsidR="00A67C9A" w:rsidRPr="00F02CB0">
        <w:rPr>
          <w:rFonts w:ascii="Times New Roman" w:hAnsi="Times New Roman" w:cs="Times New Roman"/>
          <w:lang w:val="lt-LT" w:eastAsia="en-US"/>
        </w:rPr>
        <w:t>koregavimas</w:t>
      </w:r>
      <w:bookmarkEnd w:id="48"/>
    </w:p>
    <w:p w:rsidR="00E05881" w:rsidRPr="00F02CB0" w:rsidRDefault="00830E10" w:rsidP="00830E10">
      <w:pPr>
        <w:spacing w:before="240" w:line="360" w:lineRule="auto"/>
        <w:ind w:firstLine="720"/>
        <w:jc w:val="both"/>
        <w:rPr>
          <w:sz w:val="26"/>
          <w:szCs w:val="26"/>
          <w:lang w:val="lt-LT" w:eastAsia="en-US"/>
        </w:rPr>
      </w:pPr>
      <w:r w:rsidRPr="00F02CB0">
        <w:rPr>
          <w:sz w:val="26"/>
          <w:szCs w:val="26"/>
          <w:lang w:val="lt-LT" w:eastAsia="en-US"/>
        </w:rPr>
        <w:t>Darbo autorės pasiūlyt</w:t>
      </w:r>
      <w:r w:rsidR="00CD0154" w:rsidRPr="00F02CB0">
        <w:rPr>
          <w:sz w:val="26"/>
          <w:szCs w:val="26"/>
          <w:lang w:val="lt-LT" w:eastAsia="en-US"/>
        </w:rPr>
        <w:t>o</w:t>
      </w:r>
      <w:r w:rsidRPr="00F02CB0">
        <w:rPr>
          <w:sz w:val="26"/>
          <w:szCs w:val="26"/>
          <w:lang w:val="lt-LT" w:eastAsia="en-US"/>
        </w:rPr>
        <w:t xml:space="preserve"> audito rizikos vertinimo modeli</w:t>
      </w:r>
      <w:r w:rsidR="00CD0154" w:rsidRPr="00F02CB0">
        <w:rPr>
          <w:sz w:val="26"/>
          <w:szCs w:val="26"/>
          <w:lang w:val="lt-LT" w:eastAsia="en-US"/>
        </w:rPr>
        <w:t>o</w:t>
      </w:r>
      <w:r w:rsidR="000B0B56">
        <w:rPr>
          <w:sz w:val="26"/>
          <w:szCs w:val="26"/>
          <w:lang w:val="lt-LT" w:eastAsia="en-US"/>
        </w:rPr>
        <w:t xml:space="preserve"> </w:t>
      </w:r>
      <w:r w:rsidRPr="00F02CB0">
        <w:rPr>
          <w:sz w:val="26"/>
          <w:szCs w:val="26"/>
          <w:lang w:val="lt-LT" w:eastAsia="en-US"/>
        </w:rPr>
        <w:t>tikrin</w:t>
      </w:r>
      <w:r w:rsidR="00CD0154" w:rsidRPr="00F02CB0">
        <w:rPr>
          <w:sz w:val="26"/>
          <w:szCs w:val="26"/>
          <w:lang w:val="lt-LT" w:eastAsia="en-US"/>
        </w:rPr>
        <w:t xml:space="preserve">imo rezultatai </w:t>
      </w:r>
      <w:r w:rsidR="00964312" w:rsidRPr="00F02CB0">
        <w:rPr>
          <w:sz w:val="26"/>
          <w:szCs w:val="26"/>
          <w:lang w:val="lt-LT" w:eastAsia="en-US"/>
        </w:rPr>
        <w:t xml:space="preserve">rodo, kad </w:t>
      </w:r>
      <w:r w:rsidR="00FA782E" w:rsidRPr="00F02CB0">
        <w:rPr>
          <w:sz w:val="26"/>
          <w:szCs w:val="26"/>
          <w:lang w:val="lt-LT" w:eastAsia="en-US"/>
        </w:rPr>
        <w:t>pagrindin</w:t>
      </w:r>
      <w:r w:rsidR="001E1E27" w:rsidRPr="00F02CB0">
        <w:rPr>
          <w:sz w:val="26"/>
          <w:szCs w:val="26"/>
          <w:lang w:val="lt-LT" w:eastAsia="en-US"/>
        </w:rPr>
        <w:t>iai</w:t>
      </w:r>
      <w:r w:rsidR="00FA782E" w:rsidRPr="00F02CB0">
        <w:rPr>
          <w:sz w:val="26"/>
          <w:szCs w:val="26"/>
          <w:lang w:val="lt-LT" w:eastAsia="en-US"/>
        </w:rPr>
        <w:t xml:space="preserve"> </w:t>
      </w:r>
      <w:r w:rsidR="001E1E27" w:rsidRPr="00F02CB0">
        <w:rPr>
          <w:sz w:val="26"/>
          <w:szCs w:val="26"/>
          <w:lang w:val="lt-LT" w:eastAsia="en-US"/>
        </w:rPr>
        <w:t xml:space="preserve">audito rizikos vertinimo </w:t>
      </w:r>
      <w:r w:rsidR="00FA782E" w:rsidRPr="00F02CB0">
        <w:rPr>
          <w:sz w:val="26"/>
          <w:szCs w:val="26"/>
          <w:lang w:val="lt-LT" w:eastAsia="en-US"/>
        </w:rPr>
        <w:t xml:space="preserve">modelio </w:t>
      </w:r>
      <w:r w:rsidR="001E1E27" w:rsidRPr="00F02CB0">
        <w:rPr>
          <w:sz w:val="26"/>
          <w:szCs w:val="26"/>
          <w:lang w:val="lt-LT" w:eastAsia="en-US"/>
        </w:rPr>
        <w:t xml:space="preserve">elementai </w:t>
      </w:r>
      <w:r w:rsidR="00FA782E" w:rsidRPr="00F02CB0">
        <w:rPr>
          <w:sz w:val="26"/>
          <w:szCs w:val="26"/>
          <w:lang w:val="lt-LT" w:eastAsia="en-US"/>
        </w:rPr>
        <w:t>bei jų ryšiai pasitvirtino</w:t>
      </w:r>
      <w:r w:rsidR="001E1E27" w:rsidRPr="00F02CB0">
        <w:rPr>
          <w:sz w:val="26"/>
          <w:szCs w:val="26"/>
          <w:lang w:val="lt-LT" w:eastAsia="en-US"/>
        </w:rPr>
        <w:t xml:space="preserve"> ir </w:t>
      </w:r>
      <w:r w:rsidR="009137F4">
        <w:rPr>
          <w:sz w:val="26"/>
          <w:szCs w:val="26"/>
          <w:lang w:val="lt-LT" w:eastAsia="en-US"/>
        </w:rPr>
        <w:t>šis</w:t>
      </w:r>
      <w:r w:rsidR="00964312" w:rsidRPr="00F02CB0">
        <w:rPr>
          <w:sz w:val="26"/>
          <w:szCs w:val="26"/>
          <w:lang w:val="lt-LT" w:eastAsia="en-US"/>
        </w:rPr>
        <w:t xml:space="preserve"> modelis </w:t>
      </w:r>
      <w:r w:rsidR="00C04EF4" w:rsidRPr="00F02CB0">
        <w:rPr>
          <w:sz w:val="26"/>
          <w:szCs w:val="26"/>
          <w:lang w:val="lt-LT" w:eastAsia="en-US"/>
        </w:rPr>
        <w:t>yra</w:t>
      </w:r>
      <w:r w:rsidR="00964312" w:rsidRPr="00F02CB0">
        <w:rPr>
          <w:sz w:val="26"/>
          <w:szCs w:val="26"/>
          <w:lang w:val="lt-LT" w:eastAsia="en-US"/>
        </w:rPr>
        <w:t xml:space="preserve"> pritaik</w:t>
      </w:r>
      <w:r w:rsidR="001E1E27" w:rsidRPr="00F02CB0">
        <w:rPr>
          <w:sz w:val="26"/>
          <w:szCs w:val="26"/>
          <w:lang w:val="lt-LT" w:eastAsia="en-US"/>
        </w:rPr>
        <w:t>omas</w:t>
      </w:r>
      <w:r w:rsidR="00964312" w:rsidRPr="00F02CB0">
        <w:rPr>
          <w:sz w:val="26"/>
          <w:szCs w:val="26"/>
          <w:lang w:val="lt-LT" w:eastAsia="en-US"/>
        </w:rPr>
        <w:t xml:space="preserve"> praktikoje </w:t>
      </w:r>
      <w:r w:rsidR="0073626D" w:rsidRPr="00F02CB0">
        <w:rPr>
          <w:sz w:val="26"/>
          <w:szCs w:val="26"/>
          <w:lang w:val="lt-LT" w:eastAsia="en-US"/>
        </w:rPr>
        <w:t>įvertin</w:t>
      </w:r>
      <w:r w:rsidR="001E1E27" w:rsidRPr="00F02CB0">
        <w:rPr>
          <w:sz w:val="26"/>
          <w:szCs w:val="26"/>
          <w:lang w:val="lt-LT" w:eastAsia="en-US"/>
        </w:rPr>
        <w:t>ant</w:t>
      </w:r>
      <w:r w:rsidR="0073626D" w:rsidRPr="00F02CB0">
        <w:rPr>
          <w:sz w:val="26"/>
          <w:szCs w:val="26"/>
          <w:lang w:val="lt-LT" w:eastAsia="en-US"/>
        </w:rPr>
        <w:t xml:space="preserve"> </w:t>
      </w:r>
      <w:r w:rsidR="00964312" w:rsidRPr="00F02CB0">
        <w:rPr>
          <w:sz w:val="26"/>
          <w:szCs w:val="26"/>
          <w:lang w:val="lt-LT" w:eastAsia="en-US"/>
        </w:rPr>
        <w:t>audito rizik</w:t>
      </w:r>
      <w:r w:rsidR="001E1E27" w:rsidRPr="00F02CB0">
        <w:rPr>
          <w:sz w:val="26"/>
          <w:szCs w:val="26"/>
          <w:lang w:val="lt-LT" w:eastAsia="en-US"/>
        </w:rPr>
        <w:t>ą</w:t>
      </w:r>
      <w:r w:rsidR="0073626D" w:rsidRPr="00F02CB0">
        <w:rPr>
          <w:sz w:val="26"/>
          <w:szCs w:val="26"/>
          <w:lang w:val="lt-LT" w:eastAsia="en-US"/>
        </w:rPr>
        <w:t>.</w:t>
      </w:r>
      <w:r w:rsidR="001E1E27" w:rsidRPr="00F02CB0">
        <w:rPr>
          <w:sz w:val="26"/>
          <w:szCs w:val="26"/>
          <w:lang w:val="lt-LT" w:eastAsia="en-US"/>
        </w:rPr>
        <w:t xml:space="preserve"> </w:t>
      </w:r>
    </w:p>
    <w:p w:rsidR="00E05881" w:rsidRPr="00F02CB0" w:rsidRDefault="00E05881" w:rsidP="00E05881">
      <w:pPr>
        <w:spacing w:line="360" w:lineRule="auto"/>
        <w:ind w:firstLine="720"/>
        <w:jc w:val="both"/>
        <w:rPr>
          <w:sz w:val="26"/>
          <w:szCs w:val="26"/>
          <w:lang w:val="lt-LT"/>
        </w:rPr>
      </w:pPr>
      <w:r w:rsidRPr="00F02CB0">
        <w:rPr>
          <w:sz w:val="26"/>
          <w:szCs w:val="26"/>
          <w:lang w:val="lt-LT" w:eastAsia="en-US"/>
        </w:rPr>
        <w:t>Mo</w:t>
      </w:r>
      <w:r w:rsidR="001E1E27" w:rsidRPr="00F02CB0">
        <w:rPr>
          <w:sz w:val="26"/>
          <w:szCs w:val="26"/>
          <w:lang w:val="lt-LT" w:eastAsia="en-US"/>
        </w:rPr>
        <w:t>del</w:t>
      </w:r>
      <w:r w:rsidRPr="00F02CB0">
        <w:rPr>
          <w:sz w:val="26"/>
          <w:szCs w:val="26"/>
          <w:lang w:val="lt-LT" w:eastAsia="en-US"/>
        </w:rPr>
        <w:t xml:space="preserve">is </w:t>
      </w:r>
      <w:r w:rsidR="00C567F6" w:rsidRPr="00F02CB0">
        <w:rPr>
          <w:sz w:val="26"/>
          <w:szCs w:val="26"/>
          <w:lang w:val="lt-LT" w:eastAsia="en-US"/>
        </w:rPr>
        <w:t xml:space="preserve">yra </w:t>
      </w:r>
      <w:r w:rsidRPr="00F02CB0">
        <w:rPr>
          <w:sz w:val="26"/>
          <w:szCs w:val="26"/>
          <w:lang w:val="lt-LT" w:eastAsia="en-US"/>
        </w:rPr>
        <w:t>taikyt</w:t>
      </w:r>
      <w:r w:rsidR="00382C27" w:rsidRPr="00F02CB0">
        <w:rPr>
          <w:sz w:val="26"/>
          <w:szCs w:val="26"/>
          <w:lang w:val="lt-LT" w:eastAsia="en-US"/>
        </w:rPr>
        <w:t>in</w:t>
      </w:r>
      <w:r w:rsidRPr="00F02CB0">
        <w:rPr>
          <w:sz w:val="26"/>
          <w:szCs w:val="26"/>
          <w:lang w:val="lt-LT" w:eastAsia="en-US"/>
        </w:rPr>
        <w:t xml:space="preserve">as visiems auditams, nepriklausomai nuo </w:t>
      </w:r>
      <w:r w:rsidR="005061B3" w:rsidRPr="00F02CB0">
        <w:rPr>
          <w:sz w:val="26"/>
          <w:szCs w:val="26"/>
          <w:lang w:val="lt-LT" w:eastAsia="en-US"/>
        </w:rPr>
        <w:t>1)</w:t>
      </w:r>
      <w:r w:rsidR="00F02CB0">
        <w:rPr>
          <w:sz w:val="26"/>
          <w:szCs w:val="26"/>
          <w:lang w:val="lt-LT" w:eastAsia="en-US"/>
        </w:rPr>
        <w:t> </w:t>
      </w:r>
      <w:r w:rsidR="001E1E27" w:rsidRPr="00F02CB0">
        <w:rPr>
          <w:sz w:val="26"/>
          <w:szCs w:val="26"/>
          <w:lang w:val="lt-LT" w:eastAsia="en-US"/>
        </w:rPr>
        <w:t>audituojamos įmonės dyd</w:t>
      </w:r>
      <w:r w:rsidRPr="00F02CB0">
        <w:rPr>
          <w:sz w:val="26"/>
          <w:szCs w:val="26"/>
          <w:lang w:val="lt-LT" w:eastAsia="en-US"/>
        </w:rPr>
        <w:t>žio</w:t>
      </w:r>
      <w:r w:rsidR="001E1E27" w:rsidRPr="00F02CB0">
        <w:rPr>
          <w:sz w:val="26"/>
          <w:szCs w:val="26"/>
          <w:lang w:val="lt-LT" w:eastAsia="en-US"/>
        </w:rPr>
        <w:t xml:space="preserve"> (UAB „Šiluma“ gerokai didesnė už UAB</w:t>
      </w:r>
      <w:r w:rsidR="005D393A">
        <w:rPr>
          <w:sz w:val="26"/>
          <w:szCs w:val="26"/>
          <w:lang w:val="lt-LT" w:eastAsia="en-US"/>
        </w:rPr>
        <w:t> </w:t>
      </w:r>
      <w:r w:rsidR="001E1E27" w:rsidRPr="00F02CB0">
        <w:rPr>
          <w:sz w:val="26"/>
          <w:szCs w:val="26"/>
          <w:lang w:val="lt-LT" w:eastAsia="en-US"/>
        </w:rPr>
        <w:t>„Žuvila“</w:t>
      </w:r>
      <w:r w:rsidR="009137F4">
        <w:rPr>
          <w:sz w:val="26"/>
          <w:szCs w:val="26"/>
          <w:lang w:val="lt-LT" w:eastAsia="en-US"/>
        </w:rPr>
        <w:t>;</w:t>
      </w:r>
      <w:r w:rsidR="001E1E27" w:rsidRPr="00F02CB0">
        <w:rPr>
          <w:sz w:val="26"/>
          <w:szCs w:val="26"/>
          <w:lang w:val="lt-LT" w:eastAsia="en-US"/>
        </w:rPr>
        <w:t xml:space="preserve"> jos </w:t>
      </w:r>
      <w:r w:rsidR="005061B3" w:rsidRPr="00F02CB0">
        <w:rPr>
          <w:sz w:val="26"/>
          <w:szCs w:val="26"/>
          <w:lang w:val="lt-LT"/>
        </w:rPr>
        <w:t>balanse nurodyto turto vertė viršija UAB “Žuvila” turtą 12,9</w:t>
      </w:r>
      <w:r w:rsidR="00F02CB0">
        <w:rPr>
          <w:sz w:val="26"/>
          <w:szCs w:val="26"/>
          <w:lang w:val="lt-LT"/>
        </w:rPr>
        <w:t> </w:t>
      </w:r>
      <w:r w:rsidR="005061B3" w:rsidRPr="00F02CB0">
        <w:rPr>
          <w:sz w:val="26"/>
          <w:szCs w:val="26"/>
          <w:lang w:val="lt-LT"/>
        </w:rPr>
        <w:t xml:space="preserve">karto, o </w:t>
      </w:r>
      <w:r w:rsidR="005061B3" w:rsidRPr="00F02CB0">
        <w:rPr>
          <w:sz w:val="26"/>
          <w:szCs w:val="26"/>
          <w:lang w:val="lt-LT" w:eastAsia="en-US"/>
        </w:rPr>
        <w:t xml:space="preserve">2008 m. </w:t>
      </w:r>
      <w:r w:rsidR="001E1E27" w:rsidRPr="00F02CB0">
        <w:rPr>
          <w:sz w:val="26"/>
          <w:szCs w:val="26"/>
          <w:lang w:val="lt-LT"/>
        </w:rPr>
        <w:t xml:space="preserve">pajamos viršija </w:t>
      </w:r>
      <w:r w:rsidR="005061B3" w:rsidRPr="00F02CB0">
        <w:rPr>
          <w:sz w:val="26"/>
          <w:szCs w:val="26"/>
          <w:lang w:val="lt-LT"/>
        </w:rPr>
        <w:t>3,4 karto)</w:t>
      </w:r>
      <w:r w:rsidRPr="00F02CB0">
        <w:rPr>
          <w:sz w:val="26"/>
          <w:szCs w:val="26"/>
          <w:lang w:val="lt-LT"/>
        </w:rPr>
        <w:t xml:space="preserve"> ir</w:t>
      </w:r>
      <w:r w:rsidR="005061B3" w:rsidRPr="00F02CB0">
        <w:rPr>
          <w:sz w:val="26"/>
          <w:szCs w:val="26"/>
          <w:lang w:val="lt-LT"/>
        </w:rPr>
        <w:t xml:space="preserve"> 2) veiklos pobūd</w:t>
      </w:r>
      <w:r w:rsidRPr="00F02CB0">
        <w:rPr>
          <w:sz w:val="26"/>
          <w:szCs w:val="26"/>
          <w:lang w:val="lt-LT"/>
        </w:rPr>
        <w:t>žio</w:t>
      </w:r>
      <w:r w:rsidR="005061B3" w:rsidRPr="00F02CB0">
        <w:rPr>
          <w:sz w:val="26"/>
          <w:szCs w:val="26"/>
          <w:lang w:val="lt-LT"/>
        </w:rPr>
        <w:t xml:space="preserve"> (UAB</w:t>
      </w:r>
      <w:r w:rsidR="00F02CB0">
        <w:rPr>
          <w:sz w:val="26"/>
          <w:szCs w:val="26"/>
          <w:lang w:val="lt-LT"/>
        </w:rPr>
        <w:t> </w:t>
      </w:r>
      <w:r w:rsidR="005061B3" w:rsidRPr="00F02CB0">
        <w:rPr>
          <w:sz w:val="26"/>
          <w:szCs w:val="26"/>
          <w:lang w:val="lt-LT"/>
        </w:rPr>
        <w:t>„Šiluma“ – šilumos ir elektros energijos gamybos ir tiekimo įmonė, UAB „Žuvila“ – žuvies produktų gamybos įmonė).</w:t>
      </w:r>
      <w:r w:rsidRPr="00F02CB0">
        <w:rPr>
          <w:sz w:val="26"/>
          <w:szCs w:val="26"/>
          <w:lang w:val="lt-LT"/>
        </w:rPr>
        <w:t xml:space="preserve"> </w:t>
      </w:r>
    </w:p>
    <w:p w:rsidR="00DD567B" w:rsidRPr="00F02CB0" w:rsidRDefault="00D15203" w:rsidP="00EA02A9">
      <w:pPr>
        <w:spacing w:line="360" w:lineRule="auto"/>
        <w:ind w:firstLine="720"/>
        <w:jc w:val="both"/>
        <w:rPr>
          <w:sz w:val="26"/>
          <w:szCs w:val="26"/>
          <w:lang w:val="lt-LT"/>
        </w:rPr>
      </w:pPr>
      <w:r w:rsidRPr="00F02CB0">
        <w:rPr>
          <w:sz w:val="26"/>
          <w:szCs w:val="26"/>
          <w:lang w:val="lt-LT"/>
        </w:rPr>
        <w:t>A</w:t>
      </w:r>
      <w:r w:rsidR="00804CB5" w:rsidRPr="00F02CB0">
        <w:rPr>
          <w:sz w:val="26"/>
          <w:szCs w:val="26"/>
          <w:lang w:val="lt-LT"/>
        </w:rPr>
        <w:t>udito rizikos vertinimo modeli</w:t>
      </w:r>
      <w:r w:rsidRPr="00F02CB0">
        <w:rPr>
          <w:sz w:val="26"/>
          <w:szCs w:val="26"/>
          <w:lang w:val="lt-LT"/>
        </w:rPr>
        <w:t xml:space="preserve">o </w:t>
      </w:r>
      <w:r w:rsidR="00382C27" w:rsidRPr="00F02CB0">
        <w:rPr>
          <w:sz w:val="26"/>
          <w:szCs w:val="26"/>
          <w:lang w:val="lt-LT"/>
        </w:rPr>
        <w:t>tikrinim</w:t>
      </w:r>
      <w:r w:rsidR="002730F6" w:rsidRPr="00F02CB0">
        <w:rPr>
          <w:sz w:val="26"/>
          <w:szCs w:val="26"/>
          <w:lang w:val="lt-LT"/>
        </w:rPr>
        <w:t>as</w:t>
      </w:r>
      <w:r w:rsidR="00382C27" w:rsidRPr="00F02CB0">
        <w:rPr>
          <w:sz w:val="26"/>
          <w:szCs w:val="26"/>
          <w:lang w:val="lt-LT"/>
        </w:rPr>
        <w:t xml:space="preserve"> </w:t>
      </w:r>
      <w:r w:rsidR="0042415C" w:rsidRPr="00F02CB0">
        <w:rPr>
          <w:sz w:val="26"/>
          <w:szCs w:val="26"/>
          <w:lang w:val="lt-LT"/>
        </w:rPr>
        <w:t xml:space="preserve">pasirinktų </w:t>
      </w:r>
      <w:r w:rsidR="00382C27" w:rsidRPr="00F02CB0">
        <w:rPr>
          <w:sz w:val="26"/>
          <w:szCs w:val="26"/>
          <w:lang w:val="lt-LT"/>
        </w:rPr>
        <w:t xml:space="preserve">auditų </w:t>
      </w:r>
      <w:r w:rsidR="002730F6" w:rsidRPr="00F02CB0">
        <w:rPr>
          <w:sz w:val="26"/>
          <w:szCs w:val="26"/>
          <w:lang w:val="lt-LT"/>
        </w:rPr>
        <w:t>pavyzdžiu</w:t>
      </w:r>
      <w:r w:rsidR="00382C27" w:rsidRPr="00F02CB0">
        <w:rPr>
          <w:sz w:val="26"/>
          <w:szCs w:val="26"/>
          <w:lang w:val="lt-LT"/>
        </w:rPr>
        <w:t xml:space="preserve"> </w:t>
      </w:r>
      <w:r w:rsidR="002730F6" w:rsidRPr="00F02CB0">
        <w:rPr>
          <w:sz w:val="26"/>
          <w:szCs w:val="26"/>
          <w:lang w:val="lt-LT"/>
        </w:rPr>
        <w:t>atskleidė</w:t>
      </w:r>
      <w:r w:rsidR="009B36C5" w:rsidRPr="00F02CB0">
        <w:rPr>
          <w:sz w:val="26"/>
          <w:szCs w:val="26"/>
          <w:lang w:val="lt-LT"/>
        </w:rPr>
        <w:t>, kad</w:t>
      </w:r>
      <w:r w:rsidR="00382C27" w:rsidRPr="00F02CB0">
        <w:rPr>
          <w:sz w:val="26"/>
          <w:szCs w:val="26"/>
          <w:lang w:val="lt-LT"/>
        </w:rPr>
        <w:t xml:space="preserve"> atliekant auditą</w:t>
      </w:r>
      <w:r w:rsidR="00101040" w:rsidRPr="00F02CB0">
        <w:rPr>
          <w:sz w:val="26"/>
          <w:szCs w:val="26"/>
          <w:lang w:val="lt-LT"/>
        </w:rPr>
        <w:t>,</w:t>
      </w:r>
      <w:r w:rsidR="009B36C5" w:rsidRPr="00F02CB0">
        <w:rPr>
          <w:sz w:val="26"/>
          <w:szCs w:val="26"/>
          <w:lang w:val="lt-LT"/>
        </w:rPr>
        <w:t xml:space="preserve"> visų pirma</w:t>
      </w:r>
      <w:r w:rsidR="00101040" w:rsidRPr="00F02CB0">
        <w:rPr>
          <w:sz w:val="26"/>
          <w:szCs w:val="26"/>
          <w:lang w:val="lt-LT"/>
        </w:rPr>
        <w:t>,</w:t>
      </w:r>
      <w:r w:rsidR="009B36C5" w:rsidRPr="00F02CB0">
        <w:rPr>
          <w:sz w:val="26"/>
          <w:szCs w:val="26"/>
          <w:lang w:val="lt-LT"/>
        </w:rPr>
        <w:t xml:space="preserve"> </w:t>
      </w:r>
      <w:r w:rsidR="00E06B33" w:rsidRPr="006863F7">
        <w:rPr>
          <w:sz w:val="26"/>
          <w:szCs w:val="26"/>
          <w:u w:val="single"/>
          <w:lang w:val="lt-LT"/>
        </w:rPr>
        <w:t>turi būti išsiaiškinama a</w:t>
      </w:r>
      <w:r w:rsidR="009B36C5" w:rsidRPr="006863F7">
        <w:rPr>
          <w:sz w:val="26"/>
          <w:szCs w:val="26"/>
          <w:u w:val="single"/>
          <w:lang w:val="lt-LT"/>
        </w:rPr>
        <w:t>udituojamos įmonės išor</w:t>
      </w:r>
      <w:r w:rsidR="008E4A5A" w:rsidRPr="006863F7">
        <w:rPr>
          <w:sz w:val="26"/>
          <w:szCs w:val="26"/>
          <w:u w:val="single"/>
          <w:lang w:val="lt-LT"/>
        </w:rPr>
        <w:t>ės</w:t>
      </w:r>
      <w:r w:rsidR="009B36C5" w:rsidRPr="006863F7">
        <w:rPr>
          <w:sz w:val="26"/>
          <w:szCs w:val="26"/>
          <w:u w:val="single"/>
          <w:lang w:val="lt-LT"/>
        </w:rPr>
        <w:t xml:space="preserve"> ir vid</w:t>
      </w:r>
      <w:r w:rsidR="008E4A5A" w:rsidRPr="006863F7">
        <w:rPr>
          <w:sz w:val="26"/>
          <w:szCs w:val="26"/>
          <w:u w:val="single"/>
          <w:lang w:val="lt-LT"/>
        </w:rPr>
        <w:t>aus</w:t>
      </w:r>
      <w:r w:rsidR="009B36C5" w:rsidRPr="006863F7">
        <w:rPr>
          <w:sz w:val="26"/>
          <w:szCs w:val="26"/>
          <w:u w:val="single"/>
          <w:lang w:val="lt-LT"/>
        </w:rPr>
        <w:t xml:space="preserve"> aplinka</w:t>
      </w:r>
      <w:r w:rsidR="009B36C5" w:rsidRPr="00F02CB0">
        <w:rPr>
          <w:sz w:val="26"/>
          <w:szCs w:val="26"/>
          <w:lang w:val="lt-LT"/>
        </w:rPr>
        <w:t xml:space="preserve">, identifikuojant esmines sąlygas </w:t>
      </w:r>
      <w:r w:rsidR="00401090" w:rsidRPr="00F02CB0">
        <w:rPr>
          <w:sz w:val="26"/>
          <w:szCs w:val="26"/>
          <w:lang w:val="lt-LT"/>
        </w:rPr>
        <w:t xml:space="preserve">bei veiksnius </w:t>
      </w:r>
      <w:r w:rsidR="009B36C5" w:rsidRPr="00F02CB0">
        <w:rPr>
          <w:sz w:val="26"/>
          <w:szCs w:val="26"/>
          <w:lang w:val="lt-LT"/>
        </w:rPr>
        <w:t>(įvykius, aplinkybes, veiklą</w:t>
      </w:r>
      <w:r w:rsidR="00C45B5F" w:rsidRPr="00F02CB0">
        <w:rPr>
          <w:sz w:val="26"/>
          <w:szCs w:val="26"/>
          <w:lang w:val="lt-LT"/>
        </w:rPr>
        <w:t>,</w:t>
      </w:r>
      <w:r w:rsidR="009B36C5" w:rsidRPr="00F02CB0">
        <w:rPr>
          <w:sz w:val="26"/>
          <w:szCs w:val="26"/>
          <w:lang w:val="lt-LT"/>
        </w:rPr>
        <w:t xml:space="preserve"> sprendimus ar kitus veiksmus)</w:t>
      </w:r>
      <w:r w:rsidR="00101040" w:rsidRPr="00F02CB0">
        <w:rPr>
          <w:sz w:val="26"/>
          <w:szCs w:val="26"/>
          <w:lang w:val="lt-LT"/>
        </w:rPr>
        <w:t>,</w:t>
      </w:r>
      <w:r w:rsidR="009B36C5" w:rsidRPr="00F02CB0">
        <w:rPr>
          <w:sz w:val="26"/>
          <w:szCs w:val="26"/>
          <w:lang w:val="lt-LT"/>
        </w:rPr>
        <w:t xml:space="preserve"> gali</w:t>
      </w:r>
      <w:r w:rsidR="00101040" w:rsidRPr="00F02CB0">
        <w:rPr>
          <w:sz w:val="26"/>
          <w:szCs w:val="26"/>
          <w:lang w:val="lt-LT"/>
        </w:rPr>
        <w:t>nči</w:t>
      </w:r>
      <w:r w:rsidR="00BA2477">
        <w:rPr>
          <w:sz w:val="26"/>
          <w:szCs w:val="26"/>
          <w:lang w:val="lt-LT"/>
        </w:rPr>
        <w:t>u</w:t>
      </w:r>
      <w:r w:rsidR="009B36C5" w:rsidRPr="00F02CB0">
        <w:rPr>
          <w:sz w:val="26"/>
          <w:szCs w:val="26"/>
          <w:lang w:val="lt-LT"/>
        </w:rPr>
        <w:t xml:space="preserve">s nepalankiai paveikti įmonės </w:t>
      </w:r>
      <w:r w:rsidR="00101040" w:rsidRPr="00F02CB0">
        <w:rPr>
          <w:sz w:val="26"/>
          <w:szCs w:val="26"/>
          <w:lang w:val="lt-LT"/>
        </w:rPr>
        <w:t xml:space="preserve">gebėjimą pasiekti savo tikslus. Todėl </w:t>
      </w:r>
      <w:r w:rsidR="00101040" w:rsidRPr="000B0B56">
        <w:rPr>
          <w:sz w:val="26"/>
          <w:szCs w:val="26"/>
          <w:u w:val="single"/>
          <w:lang w:val="lt-LT"/>
        </w:rPr>
        <w:t xml:space="preserve">atskirai turi būti įvertinami </w:t>
      </w:r>
      <w:r w:rsidR="00A334BA" w:rsidRPr="000B0B56">
        <w:rPr>
          <w:sz w:val="26"/>
          <w:szCs w:val="26"/>
          <w:u w:val="single"/>
          <w:lang w:val="lt-LT"/>
        </w:rPr>
        <w:t xml:space="preserve">visi </w:t>
      </w:r>
      <w:r w:rsidR="00101040" w:rsidRPr="000B0B56">
        <w:rPr>
          <w:sz w:val="26"/>
          <w:szCs w:val="26"/>
          <w:u w:val="single"/>
          <w:lang w:val="lt-LT"/>
        </w:rPr>
        <w:t xml:space="preserve">reikšmingo </w:t>
      </w:r>
      <w:r w:rsidR="006863F7" w:rsidRPr="000B0B56">
        <w:rPr>
          <w:sz w:val="26"/>
          <w:szCs w:val="26"/>
          <w:u w:val="single"/>
          <w:lang w:val="lt-LT"/>
        </w:rPr>
        <w:t xml:space="preserve">iškraipymo </w:t>
      </w:r>
      <w:r w:rsidR="00101040" w:rsidRPr="000B0B56">
        <w:rPr>
          <w:sz w:val="26"/>
          <w:szCs w:val="26"/>
          <w:u w:val="single"/>
          <w:lang w:val="lt-LT"/>
        </w:rPr>
        <w:t>rizikos finansinių ataskaitų lygmeniu komponentai</w:t>
      </w:r>
      <w:r w:rsidR="00AB2B0D" w:rsidRPr="00F02CB0">
        <w:rPr>
          <w:sz w:val="26"/>
          <w:szCs w:val="26"/>
          <w:lang w:val="lt-LT"/>
        </w:rPr>
        <w:t>: verslo rizika, įmonės rizika ir apgaulės rizika</w:t>
      </w:r>
      <w:r w:rsidR="00804CB5" w:rsidRPr="00F02CB0">
        <w:rPr>
          <w:sz w:val="26"/>
          <w:szCs w:val="26"/>
          <w:lang w:val="lt-LT"/>
        </w:rPr>
        <w:t xml:space="preserve"> </w:t>
      </w:r>
      <w:r w:rsidR="00804CB5" w:rsidRPr="00F02CB0">
        <w:rPr>
          <w:sz w:val="26"/>
          <w:szCs w:val="26"/>
          <w:lang w:val="lt-LT"/>
        </w:rPr>
        <w:lastRenderedPageBreak/>
        <w:t>(žr.</w:t>
      </w:r>
      <w:r w:rsidR="00F02CB0">
        <w:rPr>
          <w:sz w:val="26"/>
          <w:szCs w:val="26"/>
          <w:lang w:val="lt-LT"/>
        </w:rPr>
        <w:t> </w:t>
      </w:r>
      <w:r w:rsidR="00804CB5" w:rsidRPr="00F02CB0">
        <w:rPr>
          <w:sz w:val="26"/>
          <w:szCs w:val="26"/>
          <w:lang w:val="lt-LT"/>
        </w:rPr>
        <w:t>audito rizikos vertinimo modelio struktūrogram</w:t>
      </w:r>
      <w:r w:rsidR="00A3461A" w:rsidRPr="00F02CB0">
        <w:rPr>
          <w:sz w:val="26"/>
          <w:szCs w:val="26"/>
          <w:lang w:val="lt-LT"/>
        </w:rPr>
        <w:t xml:space="preserve">ą </w:t>
      </w:r>
      <w:r w:rsidR="007059A2" w:rsidRPr="00F02CB0">
        <w:rPr>
          <w:sz w:val="26"/>
          <w:szCs w:val="26"/>
          <w:lang w:val="lt-LT"/>
        </w:rPr>
        <w:t>(</w:t>
      </w:r>
      <w:r w:rsidR="004A4C4A" w:rsidRPr="00F02CB0">
        <w:rPr>
          <w:sz w:val="26"/>
          <w:szCs w:val="26"/>
          <w:lang w:val="lt-LT"/>
        </w:rPr>
        <w:t>19</w:t>
      </w:r>
      <w:r w:rsidR="00804CB5" w:rsidRPr="00F02CB0">
        <w:rPr>
          <w:sz w:val="26"/>
          <w:szCs w:val="26"/>
          <w:lang w:val="lt-LT"/>
        </w:rPr>
        <w:t xml:space="preserve"> pav.</w:t>
      </w:r>
      <w:r w:rsidR="007059A2" w:rsidRPr="00F02CB0">
        <w:rPr>
          <w:sz w:val="26"/>
          <w:szCs w:val="26"/>
          <w:lang w:val="lt-LT"/>
        </w:rPr>
        <w:t xml:space="preserve">) ir audito rizikos komponentų </w:t>
      </w:r>
      <w:r w:rsidR="006863F7">
        <w:rPr>
          <w:sz w:val="26"/>
          <w:szCs w:val="26"/>
          <w:lang w:val="lt-LT"/>
        </w:rPr>
        <w:t>įvertinimo</w:t>
      </w:r>
      <w:r w:rsidR="007059A2" w:rsidRPr="00F02CB0">
        <w:rPr>
          <w:sz w:val="26"/>
          <w:szCs w:val="26"/>
          <w:lang w:val="lt-LT"/>
        </w:rPr>
        <w:t xml:space="preserve"> skalę (2</w:t>
      </w:r>
      <w:r w:rsidR="006863F7">
        <w:rPr>
          <w:sz w:val="26"/>
          <w:szCs w:val="26"/>
          <w:lang w:val="lt-LT"/>
        </w:rPr>
        <w:t>3</w:t>
      </w:r>
      <w:r w:rsidR="007059A2" w:rsidRPr="00F02CB0">
        <w:rPr>
          <w:sz w:val="26"/>
          <w:szCs w:val="26"/>
          <w:lang w:val="lt-LT"/>
        </w:rPr>
        <w:t xml:space="preserve"> lentelė</w:t>
      </w:r>
      <w:r w:rsidR="00804CB5" w:rsidRPr="00F02CB0">
        <w:rPr>
          <w:sz w:val="26"/>
          <w:szCs w:val="26"/>
          <w:lang w:val="lt-LT"/>
        </w:rPr>
        <w:t>)</w:t>
      </w:r>
      <w:r w:rsidR="00AB2B0D" w:rsidRPr="00F02CB0">
        <w:rPr>
          <w:sz w:val="26"/>
          <w:szCs w:val="26"/>
          <w:lang w:val="lt-LT"/>
        </w:rPr>
        <w:t>.</w:t>
      </w:r>
      <w:r w:rsidR="00101040" w:rsidRPr="00F02CB0">
        <w:rPr>
          <w:sz w:val="26"/>
          <w:szCs w:val="26"/>
          <w:lang w:val="lt-LT"/>
        </w:rPr>
        <w:t xml:space="preserve"> </w:t>
      </w:r>
      <w:r w:rsidR="004A4C4A" w:rsidRPr="00F02CB0">
        <w:rPr>
          <w:sz w:val="26"/>
          <w:szCs w:val="26"/>
          <w:lang w:val="lt-LT"/>
        </w:rPr>
        <w:t>A</w:t>
      </w:r>
      <w:r w:rsidR="00254306" w:rsidRPr="00F02CB0">
        <w:rPr>
          <w:sz w:val="26"/>
          <w:szCs w:val="26"/>
          <w:lang w:val="lt-LT"/>
        </w:rPr>
        <w:t xml:space="preserve">iškinantis ar </w:t>
      </w:r>
      <w:r w:rsidR="004A4C4A" w:rsidRPr="00F02CB0">
        <w:rPr>
          <w:sz w:val="26"/>
          <w:szCs w:val="26"/>
          <w:lang w:val="lt-LT"/>
        </w:rPr>
        <w:t>visos svarbiausios</w:t>
      </w:r>
      <w:r w:rsidR="00254306" w:rsidRPr="00F02CB0">
        <w:rPr>
          <w:sz w:val="26"/>
          <w:szCs w:val="26"/>
          <w:lang w:val="lt-LT"/>
        </w:rPr>
        <w:t xml:space="preserve"> audituojamos įmonės išorės ir vid</w:t>
      </w:r>
      <w:r w:rsidR="008E4A5A">
        <w:rPr>
          <w:sz w:val="26"/>
          <w:szCs w:val="26"/>
          <w:lang w:val="lt-LT"/>
        </w:rPr>
        <w:t>aus</w:t>
      </w:r>
      <w:r w:rsidR="00254306" w:rsidRPr="00F02CB0">
        <w:rPr>
          <w:sz w:val="26"/>
          <w:szCs w:val="26"/>
          <w:lang w:val="lt-LT"/>
        </w:rPr>
        <w:t xml:space="preserve"> aplinkos sąlygos yra nustatyt</w:t>
      </w:r>
      <w:r w:rsidR="004A4C4A" w:rsidRPr="00F02CB0">
        <w:rPr>
          <w:sz w:val="26"/>
          <w:szCs w:val="26"/>
          <w:lang w:val="lt-LT"/>
        </w:rPr>
        <w:t>os</w:t>
      </w:r>
      <w:r w:rsidR="00254306" w:rsidRPr="00F02CB0">
        <w:rPr>
          <w:sz w:val="26"/>
          <w:szCs w:val="26"/>
          <w:lang w:val="lt-LT"/>
        </w:rPr>
        <w:t xml:space="preserve">, </w:t>
      </w:r>
      <w:r w:rsidR="004A4C4A" w:rsidRPr="00F02CB0">
        <w:rPr>
          <w:sz w:val="26"/>
          <w:szCs w:val="26"/>
          <w:lang w:val="lt-LT"/>
        </w:rPr>
        <w:t xml:space="preserve">tinkama </w:t>
      </w:r>
      <w:r w:rsidR="00254306" w:rsidRPr="00F02CB0">
        <w:rPr>
          <w:sz w:val="26"/>
          <w:szCs w:val="26"/>
          <w:lang w:val="lt-LT"/>
        </w:rPr>
        <w:t xml:space="preserve">pasinaudoti </w:t>
      </w:r>
      <w:r w:rsidR="004A4C4A" w:rsidRPr="00F02CB0">
        <w:rPr>
          <w:sz w:val="26"/>
          <w:szCs w:val="26"/>
          <w:lang w:val="lt-LT"/>
        </w:rPr>
        <w:t>rizikos apskaičiavimo lentelėmis (žr. 20-</w:t>
      </w:r>
      <w:r w:rsidR="00401090" w:rsidRPr="00F02CB0">
        <w:rPr>
          <w:sz w:val="26"/>
          <w:szCs w:val="26"/>
          <w:lang w:val="lt-LT"/>
        </w:rPr>
        <w:t>22</w:t>
      </w:r>
      <w:r w:rsidR="004A4C4A" w:rsidRPr="00F02CB0">
        <w:rPr>
          <w:sz w:val="26"/>
          <w:szCs w:val="26"/>
          <w:lang w:val="lt-LT"/>
        </w:rPr>
        <w:t xml:space="preserve"> priedai), kurios kiekvienu atveju turi būti patikslinamos atsižvelgiant į konkrečios audituojamos įmonės situaciją.</w:t>
      </w:r>
      <w:r w:rsidR="00401090" w:rsidRPr="00F02CB0">
        <w:rPr>
          <w:sz w:val="26"/>
          <w:szCs w:val="26"/>
          <w:lang w:val="lt-LT"/>
        </w:rPr>
        <w:t xml:space="preserve"> Šiose lentelėse identifikuoti veiksniai turi būti susiejami su </w:t>
      </w:r>
      <w:r w:rsidR="006863F7">
        <w:rPr>
          <w:sz w:val="26"/>
          <w:szCs w:val="26"/>
          <w:lang w:val="lt-LT"/>
        </w:rPr>
        <w:t xml:space="preserve">jų </w:t>
      </w:r>
      <w:r w:rsidR="00401090" w:rsidRPr="00F02CB0">
        <w:rPr>
          <w:sz w:val="26"/>
          <w:szCs w:val="26"/>
          <w:lang w:val="lt-LT"/>
        </w:rPr>
        <w:t>pasireiškimo tikimybės ir įtakos vertinimu, kuris leistų apskaičiuoti atitinkamo</w:t>
      </w:r>
      <w:r w:rsidR="000104F4" w:rsidRPr="00F02CB0">
        <w:rPr>
          <w:sz w:val="26"/>
          <w:szCs w:val="26"/>
          <w:lang w:val="lt-LT"/>
        </w:rPr>
        <w:t>s</w:t>
      </w:r>
      <w:r w:rsidR="00401090" w:rsidRPr="00F02CB0">
        <w:rPr>
          <w:sz w:val="26"/>
          <w:szCs w:val="26"/>
          <w:lang w:val="lt-LT"/>
        </w:rPr>
        <w:t xml:space="preserve"> rizikos lygį</w:t>
      </w:r>
      <w:r w:rsidR="006863F7">
        <w:rPr>
          <w:sz w:val="26"/>
          <w:szCs w:val="26"/>
          <w:lang w:val="lt-LT"/>
        </w:rPr>
        <w:t xml:space="preserve"> pagal pasiūlytą audito rizikos komponentų kiekybinio įvertinimo metodiką (</w:t>
      </w:r>
      <w:r w:rsidR="003F5D70">
        <w:rPr>
          <w:sz w:val="26"/>
          <w:szCs w:val="26"/>
          <w:lang w:val="lt-LT"/>
        </w:rPr>
        <w:t xml:space="preserve">žr. </w:t>
      </w:r>
      <w:r w:rsidR="006863F7">
        <w:rPr>
          <w:sz w:val="26"/>
          <w:szCs w:val="26"/>
          <w:lang w:val="lt-LT"/>
        </w:rPr>
        <w:t>21 lentelė)</w:t>
      </w:r>
      <w:r w:rsidR="00C34386">
        <w:rPr>
          <w:sz w:val="26"/>
          <w:szCs w:val="26"/>
          <w:lang w:val="lt-LT"/>
        </w:rPr>
        <w:t>.</w:t>
      </w:r>
    </w:p>
    <w:p w:rsidR="007D33B0" w:rsidRDefault="00C34386" w:rsidP="00F3761B">
      <w:pPr>
        <w:spacing w:line="360" w:lineRule="auto"/>
        <w:ind w:firstLine="720"/>
        <w:jc w:val="both"/>
        <w:rPr>
          <w:sz w:val="26"/>
          <w:szCs w:val="26"/>
          <w:lang w:val="lt-LT"/>
        </w:rPr>
      </w:pPr>
      <w:r>
        <w:rPr>
          <w:sz w:val="26"/>
          <w:szCs w:val="26"/>
          <w:lang w:val="lt-LT"/>
        </w:rPr>
        <w:t>Toliau</w:t>
      </w:r>
      <w:r w:rsidR="00101040" w:rsidRPr="00F02CB0">
        <w:rPr>
          <w:sz w:val="26"/>
          <w:szCs w:val="26"/>
          <w:lang w:val="lt-LT"/>
        </w:rPr>
        <w:t xml:space="preserve">, atsižvelgiant į </w:t>
      </w:r>
      <w:r w:rsidR="00E06B33" w:rsidRPr="00F02CB0">
        <w:rPr>
          <w:sz w:val="26"/>
          <w:szCs w:val="26"/>
          <w:lang w:val="lt-LT"/>
        </w:rPr>
        <w:t xml:space="preserve">auditoriaus </w:t>
      </w:r>
      <w:r w:rsidR="00101040" w:rsidRPr="00F02CB0">
        <w:rPr>
          <w:sz w:val="26"/>
          <w:szCs w:val="26"/>
          <w:lang w:val="lt-LT"/>
        </w:rPr>
        <w:t xml:space="preserve">nustatytą reikšmingumo </w:t>
      </w:r>
      <w:r w:rsidR="00AB2B0D" w:rsidRPr="00F02CB0">
        <w:rPr>
          <w:sz w:val="26"/>
          <w:szCs w:val="26"/>
          <w:lang w:val="lt-LT"/>
        </w:rPr>
        <w:t xml:space="preserve">ribą bei toleruotinos klaidos dydį, </w:t>
      </w:r>
      <w:r w:rsidR="00AB2B0D" w:rsidRPr="006863F7">
        <w:rPr>
          <w:sz w:val="26"/>
          <w:szCs w:val="26"/>
          <w:u w:val="single"/>
          <w:lang w:val="lt-LT"/>
        </w:rPr>
        <w:t>identifikuojami reikšmingo iškraipymo rizikos požiūriu svarbūs finansinių ataskaitų elementai ir su jais susiję tvirtinimai</w:t>
      </w:r>
      <w:r w:rsidR="00AB2B0D" w:rsidRPr="00F02CB0">
        <w:rPr>
          <w:sz w:val="26"/>
          <w:szCs w:val="26"/>
          <w:lang w:val="lt-LT"/>
        </w:rPr>
        <w:t xml:space="preserve"> </w:t>
      </w:r>
      <w:r w:rsidR="00AB2B0D" w:rsidRPr="000B0B56">
        <w:rPr>
          <w:sz w:val="26"/>
          <w:szCs w:val="26"/>
          <w:u w:val="single"/>
          <w:lang w:val="lt-LT"/>
        </w:rPr>
        <w:t xml:space="preserve">bei </w:t>
      </w:r>
      <w:r w:rsidR="00B4603B">
        <w:rPr>
          <w:sz w:val="26"/>
          <w:szCs w:val="26"/>
          <w:u w:val="single"/>
          <w:lang w:val="lt-LT"/>
        </w:rPr>
        <w:t>nustatoma</w:t>
      </w:r>
      <w:r w:rsidR="00101040" w:rsidRPr="000B0B56">
        <w:rPr>
          <w:sz w:val="26"/>
          <w:szCs w:val="26"/>
          <w:u w:val="single"/>
          <w:lang w:val="lt-LT"/>
        </w:rPr>
        <w:t xml:space="preserve"> </w:t>
      </w:r>
      <w:r w:rsidR="00962762" w:rsidRPr="000B0B56">
        <w:rPr>
          <w:sz w:val="26"/>
          <w:szCs w:val="26"/>
          <w:u w:val="single"/>
          <w:lang w:val="lt-LT"/>
        </w:rPr>
        <w:t>jų įgimta ir kontrolės rizika</w:t>
      </w:r>
      <w:r w:rsidR="00804CB5" w:rsidRPr="00F02CB0">
        <w:rPr>
          <w:sz w:val="26"/>
          <w:szCs w:val="26"/>
          <w:lang w:val="lt-LT"/>
        </w:rPr>
        <w:t xml:space="preserve"> (žr. audito rizikos </w:t>
      </w:r>
      <w:r w:rsidR="007059A2" w:rsidRPr="00F02CB0">
        <w:rPr>
          <w:sz w:val="26"/>
          <w:szCs w:val="26"/>
          <w:lang w:val="lt-LT"/>
        </w:rPr>
        <w:t>vertinimo modelio struktūrograma (</w:t>
      </w:r>
      <w:r w:rsidR="00804CB5" w:rsidRPr="00F02CB0">
        <w:rPr>
          <w:sz w:val="26"/>
          <w:szCs w:val="26"/>
          <w:lang w:val="lt-LT"/>
        </w:rPr>
        <w:t>1</w:t>
      </w:r>
      <w:r w:rsidR="000104F4" w:rsidRPr="00F02CB0">
        <w:rPr>
          <w:sz w:val="26"/>
          <w:szCs w:val="26"/>
          <w:lang w:val="lt-LT"/>
        </w:rPr>
        <w:t>9</w:t>
      </w:r>
      <w:r w:rsidR="00804CB5" w:rsidRPr="00F02CB0">
        <w:rPr>
          <w:sz w:val="26"/>
          <w:szCs w:val="26"/>
          <w:lang w:val="lt-LT"/>
        </w:rPr>
        <w:t xml:space="preserve"> pav.</w:t>
      </w:r>
      <w:r w:rsidR="007059A2" w:rsidRPr="00F02CB0">
        <w:rPr>
          <w:sz w:val="26"/>
          <w:szCs w:val="26"/>
          <w:lang w:val="lt-LT"/>
        </w:rPr>
        <w:t xml:space="preserve">) ir audito rizikos komponentų </w:t>
      </w:r>
      <w:r w:rsidR="007D33B0">
        <w:rPr>
          <w:sz w:val="26"/>
          <w:szCs w:val="26"/>
          <w:lang w:val="lt-LT"/>
        </w:rPr>
        <w:t>į</w:t>
      </w:r>
      <w:r w:rsidR="00B4603B">
        <w:rPr>
          <w:sz w:val="26"/>
          <w:szCs w:val="26"/>
          <w:lang w:val="lt-LT"/>
        </w:rPr>
        <w:t>vertinimo</w:t>
      </w:r>
      <w:r w:rsidR="007059A2" w:rsidRPr="00F02CB0">
        <w:rPr>
          <w:sz w:val="26"/>
          <w:szCs w:val="26"/>
          <w:lang w:val="lt-LT"/>
        </w:rPr>
        <w:t xml:space="preserve"> skal</w:t>
      </w:r>
      <w:r w:rsidR="007D33B0">
        <w:rPr>
          <w:sz w:val="26"/>
          <w:szCs w:val="26"/>
          <w:lang w:val="lt-LT"/>
        </w:rPr>
        <w:t>ė</w:t>
      </w:r>
      <w:r w:rsidR="007059A2" w:rsidRPr="00F02CB0">
        <w:rPr>
          <w:sz w:val="26"/>
          <w:szCs w:val="26"/>
          <w:lang w:val="lt-LT"/>
        </w:rPr>
        <w:t xml:space="preserve"> (2</w:t>
      </w:r>
      <w:r w:rsidR="006863F7">
        <w:rPr>
          <w:sz w:val="26"/>
          <w:szCs w:val="26"/>
          <w:lang w:val="lt-LT"/>
        </w:rPr>
        <w:t>3</w:t>
      </w:r>
      <w:r w:rsidR="00AA680E">
        <w:rPr>
          <w:sz w:val="26"/>
          <w:szCs w:val="26"/>
          <w:lang w:val="lt-LT"/>
        </w:rPr>
        <w:t> </w:t>
      </w:r>
      <w:r w:rsidR="007059A2" w:rsidRPr="00F02CB0">
        <w:rPr>
          <w:sz w:val="26"/>
          <w:szCs w:val="26"/>
          <w:lang w:val="lt-LT"/>
        </w:rPr>
        <w:t>lentelė</w:t>
      </w:r>
      <w:r w:rsidR="00804CB5" w:rsidRPr="00F02CB0">
        <w:rPr>
          <w:sz w:val="26"/>
          <w:szCs w:val="26"/>
          <w:lang w:val="lt-LT"/>
        </w:rPr>
        <w:t>)</w:t>
      </w:r>
      <w:r w:rsidR="00847A0E">
        <w:rPr>
          <w:sz w:val="26"/>
          <w:szCs w:val="26"/>
          <w:lang w:val="lt-LT"/>
        </w:rPr>
        <w:t>)</w:t>
      </w:r>
      <w:r w:rsidR="00962762" w:rsidRPr="00F02CB0">
        <w:rPr>
          <w:sz w:val="26"/>
          <w:szCs w:val="26"/>
          <w:lang w:val="lt-LT"/>
        </w:rPr>
        <w:t xml:space="preserve">. Kadangi empirinio </w:t>
      </w:r>
      <w:r w:rsidR="000104F4" w:rsidRPr="00F02CB0">
        <w:rPr>
          <w:sz w:val="26"/>
          <w:szCs w:val="26"/>
          <w:lang w:val="lt-LT"/>
        </w:rPr>
        <w:t>tikrinimo</w:t>
      </w:r>
      <w:r w:rsidR="00962762" w:rsidRPr="00F02CB0">
        <w:rPr>
          <w:sz w:val="26"/>
          <w:szCs w:val="26"/>
          <w:lang w:val="lt-LT"/>
        </w:rPr>
        <w:t xml:space="preserve"> rezultatai </w:t>
      </w:r>
      <w:r w:rsidR="00442556" w:rsidRPr="00F02CB0">
        <w:rPr>
          <w:sz w:val="26"/>
          <w:szCs w:val="26"/>
          <w:lang w:val="lt-LT"/>
        </w:rPr>
        <w:t>atmetė antrosios hipotezės (H</w:t>
      </w:r>
      <w:r w:rsidR="00442556" w:rsidRPr="00F02CB0">
        <w:rPr>
          <w:sz w:val="26"/>
          <w:szCs w:val="26"/>
          <w:vertAlign w:val="subscript"/>
          <w:lang w:val="lt-LT"/>
        </w:rPr>
        <w:t>2</w:t>
      </w:r>
      <w:r w:rsidR="00442556" w:rsidRPr="00F02CB0">
        <w:rPr>
          <w:sz w:val="26"/>
          <w:szCs w:val="26"/>
          <w:lang w:val="lt-LT"/>
        </w:rPr>
        <w:t>), jog turi būti „atliekamas bendras reikšmingo iškraipymo rizikos tvirtinimo lygmeniu, o ne atskirų įgimtos ir kontrolės rizikų vertinimas</w:t>
      </w:r>
      <w:r w:rsidR="00460CD4" w:rsidRPr="00F02CB0">
        <w:rPr>
          <w:i/>
          <w:sz w:val="26"/>
          <w:szCs w:val="26"/>
          <w:lang w:val="lt-LT"/>
        </w:rPr>
        <w:t xml:space="preserve">, </w:t>
      </w:r>
      <w:r w:rsidR="00460CD4" w:rsidRPr="00F02CB0">
        <w:rPr>
          <w:sz w:val="26"/>
          <w:szCs w:val="26"/>
          <w:lang w:val="lt-LT"/>
        </w:rPr>
        <w:t xml:space="preserve">kai audituojamos įmonės kontrolės procedūros yra skirtos </w:t>
      </w:r>
      <w:r w:rsidR="00460CD4" w:rsidRPr="00F02CB0">
        <w:rPr>
          <w:color w:val="000000" w:themeColor="text1"/>
          <w:sz w:val="26"/>
          <w:szCs w:val="26"/>
          <w:lang w:val="lt-LT"/>
        </w:rPr>
        <w:t>sumažinti finansinių ataskaitų elementui būdingą įgimtą riziką“</w:t>
      </w:r>
      <w:r w:rsidR="00442556" w:rsidRPr="00F02CB0">
        <w:rPr>
          <w:color w:val="000000" w:themeColor="text1"/>
          <w:sz w:val="26"/>
          <w:szCs w:val="26"/>
          <w:lang w:val="lt-LT"/>
        </w:rPr>
        <w:t>,</w:t>
      </w:r>
      <w:r w:rsidR="00442556" w:rsidRPr="00F02CB0">
        <w:rPr>
          <w:sz w:val="26"/>
          <w:szCs w:val="26"/>
          <w:lang w:val="lt-LT"/>
        </w:rPr>
        <w:t xml:space="preserve"> formuluotę, tai siūloma atskirai atlikti </w:t>
      </w:r>
      <w:r w:rsidR="007D33B0" w:rsidRPr="00F02CB0">
        <w:rPr>
          <w:sz w:val="26"/>
          <w:szCs w:val="26"/>
          <w:lang w:val="lt-LT"/>
        </w:rPr>
        <w:t xml:space="preserve">konkretaus finansinių ataskaitų elemento ir su juo susijusio tvirtinimo </w:t>
      </w:r>
      <w:r w:rsidR="00442556" w:rsidRPr="00F02CB0">
        <w:rPr>
          <w:sz w:val="26"/>
          <w:szCs w:val="26"/>
          <w:lang w:val="lt-LT"/>
        </w:rPr>
        <w:t xml:space="preserve">įgimtos </w:t>
      </w:r>
      <w:r w:rsidR="007D33B0">
        <w:rPr>
          <w:sz w:val="26"/>
          <w:szCs w:val="26"/>
          <w:lang w:val="lt-LT"/>
        </w:rPr>
        <w:t xml:space="preserve">rizikos </w:t>
      </w:r>
      <w:r w:rsidR="00442556" w:rsidRPr="00F02CB0">
        <w:rPr>
          <w:sz w:val="26"/>
          <w:szCs w:val="26"/>
          <w:lang w:val="lt-LT"/>
        </w:rPr>
        <w:t>ir kontrolės rizik</w:t>
      </w:r>
      <w:r w:rsidR="007D33B0">
        <w:rPr>
          <w:sz w:val="26"/>
          <w:szCs w:val="26"/>
          <w:lang w:val="lt-LT"/>
        </w:rPr>
        <w:t>os</w:t>
      </w:r>
      <w:r w:rsidR="00442556" w:rsidRPr="00F02CB0">
        <w:rPr>
          <w:sz w:val="26"/>
          <w:szCs w:val="26"/>
          <w:lang w:val="lt-LT"/>
        </w:rPr>
        <w:t xml:space="preserve"> </w:t>
      </w:r>
      <w:r w:rsidR="007D33B0">
        <w:rPr>
          <w:sz w:val="26"/>
          <w:szCs w:val="26"/>
          <w:lang w:val="lt-LT"/>
        </w:rPr>
        <w:t>įvertinimą</w:t>
      </w:r>
      <w:r w:rsidR="00460CD4" w:rsidRPr="00F02CB0">
        <w:rPr>
          <w:sz w:val="26"/>
          <w:szCs w:val="26"/>
          <w:lang w:val="lt-LT"/>
        </w:rPr>
        <w:t xml:space="preserve">. </w:t>
      </w:r>
      <w:r w:rsidR="007D33B0">
        <w:rPr>
          <w:sz w:val="26"/>
          <w:szCs w:val="26"/>
          <w:lang w:val="lt-LT"/>
        </w:rPr>
        <w:t xml:space="preserve">Svarbu pažymėti, kad šį darbą gerokai palengvina darbo autorės sudaryta </w:t>
      </w:r>
      <w:r w:rsidR="00BA2477">
        <w:rPr>
          <w:sz w:val="26"/>
          <w:szCs w:val="26"/>
          <w:lang w:val="lt-LT"/>
        </w:rPr>
        <w:t xml:space="preserve">įgimtos ir kontrolės </w:t>
      </w:r>
      <w:r w:rsidR="007D33B0" w:rsidRPr="00F02CB0">
        <w:rPr>
          <w:sz w:val="26"/>
          <w:szCs w:val="26"/>
          <w:lang w:val="lt-LT"/>
        </w:rPr>
        <w:t>rizik</w:t>
      </w:r>
      <w:r w:rsidR="00BA2477">
        <w:rPr>
          <w:sz w:val="26"/>
          <w:szCs w:val="26"/>
          <w:lang w:val="lt-LT"/>
        </w:rPr>
        <w:t>ų</w:t>
      </w:r>
      <w:r w:rsidR="007D33B0" w:rsidRPr="00F02CB0">
        <w:rPr>
          <w:sz w:val="26"/>
          <w:szCs w:val="26"/>
          <w:lang w:val="lt-LT"/>
        </w:rPr>
        <w:t xml:space="preserve"> apskaičiavimo lentel</w:t>
      </w:r>
      <w:r w:rsidR="007D33B0">
        <w:rPr>
          <w:sz w:val="26"/>
          <w:szCs w:val="26"/>
          <w:lang w:val="lt-LT"/>
        </w:rPr>
        <w:t>ė (</w:t>
      </w:r>
      <w:r w:rsidR="007D33B0" w:rsidRPr="0099665D">
        <w:rPr>
          <w:sz w:val="26"/>
          <w:szCs w:val="26"/>
          <w:lang w:val="lt-LT"/>
        </w:rPr>
        <w:t xml:space="preserve">žr. </w:t>
      </w:r>
      <w:r w:rsidR="0099665D" w:rsidRPr="0099665D">
        <w:rPr>
          <w:sz w:val="26"/>
          <w:szCs w:val="26"/>
          <w:lang w:val="lt-LT"/>
        </w:rPr>
        <w:t>23</w:t>
      </w:r>
      <w:r w:rsidR="007D33B0" w:rsidRPr="0099665D">
        <w:rPr>
          <w:sz w:val="26"/>
          <w:szCs w:val="26"/>
          <w:lang w:val="lt-LT"/>
        </w:rPr>
        <w:t xml:space="preserve"> priedas).</w:t>
      </w:r>
      <w:r w:rsidR="007D33B0">
        <w:rPr>
          <w:sz w:val="26"/>
          <w:szCs w:val="26"/>
          <w:lang w:val="lt-LT"/>
        </w:rPr>
        <w:t xml:space="preserve"> </w:t>
      </w:r>
    </w:p>
    <w:p w:rsidR="00AA680E" w:rsidRDefault="00A334BA" w:rsidP="00F3761B">
      <w:pPr>
        <w:spacing w:line="360" w:lineRule="auto"/>
        <w:ind w:firstLine="720"/>
        <w:jc w:val="both"/>
        <w:rPr>
          <w:sz w:val="26"/>
          <w:szCs w:val="26"/>
          <w:lang w:val="lt-LT"/>
        </w:rPr>
      </w:pPr>
      <w:r w:rsidRPr="000B0B56">
        <w:rPr>
          <w:sz w:val="26"/>
          <w:szCs w:val="26"/>
          <w:u w:val="single"/>
          <w:lang w:val="lt-LT"/>
        </w:rPr>
        <w:t xml:space="preserve">Turint </w:t>
      </w:r>
      <w:r w:rsidR="00E06B33" w:rsidRPr="000B0B56">
        <w:rPr>
          <w:sz w:val="26"/>
          <w:szCs w:val="26"/>
          <w:u w:val="single"/>
          <w:lang w:val="lt-LT"/>
        </w:rPr>
        <w:t xml:space="preserve">atskirus įgimtos ir kontrolės rizikų </w:t>
      </w:r>
      <w:r w:rsidR="006B408F" w:rsidRPr="000B0B56">
        <w:rPr>
          <w:sz w:val="26"/>
          <w:szCs w:val="26"/>
          <w:u w:val="single"/>
          <w:lang w:val="lt-LT"/>
        </w:rPr>
        <w:t>apskaičiav</w:t>
      </w:r>
      <w:r w:rsidR="006B408F" w:rsidRPr="00847A0E">
        <w:rPr>
          <w:sz w:val="26"/>
          <w:szCs w:val="26"/>
          <w:u w:val="single"/>
          <w:lang w:val="lt-LT"/>
        </w:rPr>
        <w:t>imus,</w:t>
      </w:r>
      <w:r w:rsidR="00847A0E" w:rsidRPr="00847A0E">
        <w:rPr>
          <w:sz w:val="26"/>
          <w:szCs w:val="26"/>
          <w:u w:val="single"/>
          <w:lang w:val="lt-LT"/>
        </w:rPr>
        <w:t xml:space="preserve"> </w:t>
      </w:r>
      <w:r w:rsidR="00460CD4" w:rsidRPr="00847A0E">
        <w:rPr>
          <w:sz w:val="26"/>
          <w:szCs w:val="26"/>
          <w:u w:val="single"/>
          <w:lang w:val="lt-LT"/>
        </w:rPr>
        <w:t>nu</w:t>
      </w:r>
      <w:r w:rsidR="00460CD4" w:rsidRPr="000B0B56">
        <w:rPr>
          <w:sz w:val="26"/>
          <w:szCs w:val="26"/>
          <w:u w:val="single"/>
          <w:lang w:val="lt-LT"/>
        </w:rPr>
        <w:t>statoma bendra reikšmingo iškraipymo rizika tvirtinimo lygmeniu</w:t>
      </w:r>
      <w:r w:rsidR="008E4A96" w:rsidRPr="00F02CB0">
        <w:rPr>
          <w:sz w:val="26"/>
          <w:szCs w:val="26"/>
          <w:lang w:val="lt-LT"/>
        </w:rPr>
        <w:t xml:space="preserve"> – </w:t>
      </w:r>
      <w:r w:rsidR="006B408F" w:rsidRPr="00F02CB0">
        <w:rPr>
          <w:sz w:val="26"/>
          <w:szCs w:val="26"/>
          <w:lang w:val="lt-LT"/>
        </w:rPr>
        <w:t xml:space="preserve">atliekamas </w:t>
      </w:r>
      <w:r w:rsidR="008E4A96" w:rsidRPr="00F02CB0">
        <w:rPr>
          <w:sz w:val="26"/>
          <w:szCs w:val="26"/>
          <w:lang w:val="lt-LT"/>
        </w:rPr>
        <w:t xml:space="preserve">bendrasis </w:t>
      </w:r>
      <w:r w:rsidR="007D33B0">
        <w:rPr>
          <w:sz w:val="26"/>
          <w:szCs w:val="26"/>
          <w:lang w:val="lt-LT"/>
        </w:rPr>
        <w:t xml:space="preserve">jų </w:t>
      </w:r>
      <w:r w:rsidR="008E4A96" w:rsidRPr="00F02CB0">
        <w:rPr>
          <w:sz w:val="26"/>
          <w:szCs w:val="26"/>
          <w:lang w:val="lt-LT"/>
        </w:rPr>
        <w:t>vertinimas (</w:t>
      </w:r>
      <w:r w:rsidR="00847A0E" w:rsidRPr="00F02CB0">
        <w:rPr>
          <w:sz w:val="26"/>
          <w:szCs w:val="26"/>
          <w:lang w:val="lt-LT"/>
        </w:rPr>
        <w:t>20 pav. audito rizikos vertinimo schem</w:t>
      </w:r>
      <w:r w:rsidR="00847A0E">
        <w:rPr>
          <w:sz w:val="26"/>
          <w:szCs w:val="26"/>
          <w:lang w:val="lt-LT"/>
        </w:rPr>
        <w:t xml:space="preserve">os </w:t>
      </w:r>
      <w:r w:rsidR="008E4A96" w:rsidRPr="00F02CB0">
        <w:rPr>
          <w:sz w:val="26"/>
          <w:szCs w:val="26"/>
          <w:lang w:val="lt-LT"/>
        </w:rPr>
        <w:t>II etapas)</w:t>
      </w:r>
      <w:r w:rsidRPr="00F02CB0">
        <w:rPr>
          <w:sz w:val="26"/>
          <w:szCs w:val="26"/>
          <w:lang w:val="lt-LT"/>
        </w:rPr>
        <w:t>. Po to</w:t>
      </w:r>
      <w:r w:rsidRPr="000B0B56">
        <w:rPr>
          <w:sz w:val="26"/>
          <w:szCs w:val="26"/>
          <w:lang w:val="lt-LT"/>
        </w:rPr>
        <w:t xml:space="preserve">, </w:t>
      </w:r>
      <w:r w:rsidR="00E06B33" w:rsidRPr="000B0B56">
        <w:rPr>
          <w:sz w:val="26"/>
          <w:szCs w:val="26"/>
          <w:u w:val="single"/>
          <w:lang w:val="lt-LT"/>
        </w:rPr>
        <w:t xml:space="preserve">pastarasis </w:t>
      </w:r>
      <w:r w:rsidRPr="000B0B56">
        <w:rPr>
          <w:sz w:val="26"/>
          <w:szCs w:val="26"/>
          <w:u w:val="single"/>
          <w:lang w:val="lt-LT"/>
        </w:rPr>
        <w:t>vertinimas koreguojamas susijusios reikšmingo iškraipymo rizikos finansinių ataskaitų lygmeniu</w:t>
      </w:r>
      <w:r w:rsidR="007D33B0">
        <w:rPr>
          <w:sz w:val="26"/>
          <w:szCs w:val="26"/>
          <w:u w:val="single"/>
          <w:lang w:val="lt-LT"/>
        </w:rPr>
        <w:t xml:space="preserve"> vertinimu</w:t>
      </w:r>
      <w:r w:rsidR="008E4A96" w:rsidRPr="00F02CB0">
        <w:rPr>
          <w:sz w:val="26"/>
          <w:szCs w:val="26"/>
          <w:lang w:val="lt-LT"/>
        </w:rPr>
        <w:t xml:space="preserve">, kaip tai siūloma </w:t>
      </w:r>
      <w:r w:rsidR="00492EC4" w:rsidRPr="00F02CB0">
        <w:rPr>
          <w:sz w:val="26"/>
          <w:szCs w:val="26"/>
          <w:lang w:val="lt-LT"/>
        </w:rPr>
        <w:t>a</w:t>
      </w:r>
      <w:r w:rsidR="008E4A96" w:rsidRPr="00F02CB0">
        <w:rPr>
          <w:sz w:val="26"/>
          <w:szCs w:val="26"/>
          <w:lang w:val="lt-LT"/>
        </w:rPr>
        <w:t>udito rizikos vertinimo schemos I etape (2</w:t>
      </w:r>
      <w:r w:rsidR="00492EC4" w:rsidRPr="00F02CB0">
        <w:rPr>
          <w:sz w:val="26"/>
          <w:szCs w:val="26"/>
          <w:lang w:val="lt-LT"/>
        </w:rPr>
        <w:t>0</w:t>
      </w:r>
      <w:r w:rsidR="008E4A96" w:rsidRPr="00F02CB0">
        <w:rPr>
          <w:sz w:val="26"/>
          <w:szCs w:val="26"/>
          <w:lang w:val="lt-LT"/>
        </w:rPr>
        <w:t xml:space="preserve"> pav.)</w:t>
      </w:r>
      <w:r w:rsidR="00804CB5" w:rsidRPr="00F02CB0">
        <w:rPr>
          <w:sz w:val="26"/>
          <w:szCs w:val="26"/>
          <w:lang w:val="lt-LT"/>
        </w:rPr>
        <w:t xml:space="preserve"> ir audito rizikos vertinimo modelio struktūrogramoje</w:t>
      </w:r>
      <w:r w:rsidR="006B408F" w:rsidRPr="00F02CB0">
        <w:rPr>
          <w:sz w:val="26"/>
          <w:szCs w:val="26"/>
          <w:lang w:val="lt-LT"/>
        </w:rPr>
        <w:t xml:space="preserve">, kurioje </w:t>
      </w:r>
      <w:r w:rsidR="00804CB5" w:rsidRPr="00F02CB0">
        <w:rPr>
          <w:sz w:val="26"/>
          <w:szCs w:val="26"/>
          <w:lang w:val="lt-LT"/>
        </w:rPr>
        <w:t xml:space="preserve">brūkšninė linija rodo </w:t>
      </w:r>
      <w:r w:rsidR="006B408F" w:rsidRPr="00F02CB0">
        <w:rPr>
          <w:sz w:val="26"/>
          <w:szCs w:val="26"/>
          <w:lang w:val="lt-LT"/>
        </w:rPr>
        <w:t xml:space="preserve">šį </w:t>
      </w:r>
      <w:r w:rsidR="00804CB5" w:rsidRPr="00F02CB0">
        <w:rPr>
          <w:sz w:val="26"/>
          <w:szCs w:val="26"/>
          <w:lang w:val="lt-LT"/>
        </w:rPr>
        <w:t>išvestinį (priklausomybės</w:t>
      </w:r>
      <w:r w:rsidR="006B408F" w:rsidRPr="00F02CB0">
        <w:rPr>
          <w:sz w:val="26"/>
          <w:szCs w:val="26"/>
          <w:lang w:val="lt-LT"/>
        </w:rPr>
        <w:t>)</w:t>
      </w:r>
      <w:r w:rsidR="00804CB5" w:rsidRPr="00F02CB0">
        <w:rPr>
          <w:sz w:val="26"/>
          <w:szCs w:val="26"/>
          <w:lang w:val="lt-LT"/>
        </w:rPr>
        <w:t xml:space="preserve"> ryšį</w:t>
      </w:r>
      <w:r w:rsidR="00EA02A9" w:rsidRPr="00F02CB0">
        <w:rPr>
          <w:sz w:val="26"/>
          <w:szCs w:val="26"/>
          <w:lang w:val="lt-LT"/>
        </w:rPr>
        <w:t xml:space="preserve"> (1</w:t>
      </w:r>
      <w:r w:rsidR="000E546A" w:rsidRPr="00F02CB0">
        <w:rPr>
          <w:sz w:val="26"/>
          <w:szCs w:val="26"/>
          <w:lang w:val="lt-LT"/>
        </w:rPr>
        <w:t>9</w:t>
      </w:r>
      <w:r w:rsidR="00EA02A9" w:rsidRPr="00F02CB0">
        <w:rPr>
          <w:sz w:val="26"/>
          <w:szCs w:val="26"/>
          <w:lang w:val="lt-LT"/>
        </w:rPr>
        <w:t xml:space="preserve"> pav.)</w:t>
      </w:r>
      <w:r w:rsidR="008E4A96" w:rsidRPr="00F02CB0">
        <w:rPr>
          <w:sz w:val="26"/>
          <w:szCs w:val="26"/>
          <w:lang w:val="lt-LT"/>
        </w:rPr>
        <w:t xml:space="preserve">. </w:t>
      </w:r>
      <w:r w:rsidR="000E546A" w:rsidRPr="00F02CB0">
        <w:rPr>
          <w:sz w:val="26"/>
          <w:szCs w:val="26"/>
          <w:lang w:val="lt-LT"/>
        </w:rPr>
        <w:t>Išsiaiškinta, ka</w:t>
      </w:r>
      <w:r w:rsidR="007930C9" w:rsidRPr="00F02CB0">
        <w:rPr>
          <w:sz w:val="26"/>
          <w:szCs w:val="26"/>
          <w:lang w:val="lt-LT"/>
        </w:rPr>
        <w:t xml:space="preserve">d praktikoje audito rizikos vertinimo schemos </w:t>
      </w:r>
    </w:p>
    <w:p w:rsidR="00F02CB0" w:rsidRDefault="007930C9" w:rsidP="00AA680E">
      <w:pPr>
        <w:spacing w:line="360" w:lineRule="auto"/>
        <w:jc w:val="both"/>
        <w:rPr>
          <w:sz w:val="26"/>
          <w:szCs w:val="26"/>
          <w:lang w:val="lt-LT"/>
        </w:rPr>
      </w:pPr>
      <w:r w:rsidRPr="00F02CB0">
        <w:rPr>
          <w:sz w:val="26"/>
          <w:szCs w:val="26"/>
          <w:lang w:val="lt-LT"/>
        </w:rPr>
        <w:lastRenderedPageBreak/>
        <w:t>II-asis</w:t>
      </w:r>
      <w:r w:rsidR="00E06B33" w:rsidRPr="00F02CB0">
        <w:rPr>
          <w:sz w:val="26"/>
          <w:szCs w:val="26"/>
          <w:lang w:val="lt-LT"/>
        </w:rPr>
        <w:t xml:space="preserve"> </w:t>
      </w:r>
      <w:r w:rsidRPr="00F02CB0">
        <w:rPr>
          <w:sz w:val="26"/>
          <w:szCs w:val="26"/>
          <w:lang w:val="lt-LT"/>
        </w:rPr>
        <w:t xml:space="preserve">etapas vykdomas prieš I-ąjį etapą, </w:t>
      </w:r>
      <w:r w:rsidR="00E06B33" w:rsidRPr="00F02CB0">
        <w:rPr>
          <w:sz w:val="26"/>
          <w:szCs w:val="26"/>
          <w:lang w:val="lt-LT"/>
        </w:rPr>
        <w:t>t</w:t>
      </w:r>
      <w:r w:rsidR="00C63E01">
        <w:rPr>
          <w:sz w:val="26"/>
          <w:szCs w:val="26"/>
          <w:lang w:val="lt-LT"/>
        </w:rPr>
        <w:t xml:space="preserve">odėl </w:t>
      </w:r>
      <w:r w:rsidR="007D33B0">
        <w:rPr>
          <w:sz w:val="26"/>
          <w:szCs w:val="26"/>
          <w:lang w:val="lt-LT"/>
        </w:rPr>
        <w:t xml:space="preserve">šį audito rizikos vertinimo schemos trūkumą </w:t>
      </w:r>
      <w:r w:rsidR="001449EF">
        <w:rPr>
          <w:sz w:val="26"/>
          <w:szCs w:val="26"/>
          <w:lang w:val="lt-LT"/>
        </w:rPr>
        <w:t xml:space="preserve">būtina </w:t>
      </w:r>
      <w:r w:rsidR="007D33B0">
        <w:rPr>
          <w:sz w:val="26"/>
          <w:szCs w:val="26"/>
          <w:lang w:val="lt-LT"/>
        </w:rPr>
        <w:t>ištaisyti</w:t>
      </w:r>
      <w:r w:rsidR="001449EF">
        <w:rPr>
          <w:sz w:val="26"/>
          <w:szCs w:val="26"/>
          <w:lang w:val="lt-LT"/>
        </w:rPr>
        <w:t>,</w:t>
      </w:r>
      <w:r w:rsidR="007D33B0">
        <w:rPr>
          <w:sz w:val="26"/>
          <w:szCs w:val="26"/>
          <w:lang w:val="lt-LT"/>
        </w:rPr>
        <w:t xml:space="preserve"> ją </w:t>
      </w:r>
      <w:r w:rsidR="00E06B33" w:rsidRPr="00F02CB0">
        <w:rPr>
          <w:sz w:val="26"/>
          <w:szCs w:val="26"/>
          <w:lang w:val="lt-LT"/>
        </w:rPr>
        <w:t>patikslin</w:t>
      </w:r>
      <w:r w:rsidR="001449EF">
        <w:rPr>
          <w:sz w:val="26"/>
          <w:szCs w:val="26"/>
          <w:lang w:val="lt-LT"/>
        </w:rPr>
        <w:t>ant</w:t>
      </w:r>
      <w:r w:rsidR="00C0665E" w:rsidRPr="00F02CB0">
        <w:rPr>
          <w:sz w:val="26"/>
          <w:szCs w:val="26"/>
          <w:lang w:val="lt-LT"/>
        </w:rPr>
        <w:t xml:space="preserve"> (žr.</w:t>
      </w:r>
      <w:r w:rsidR="00F02CB0">
        <w:rPr>
          <w:sz w:val="26"/>
          <w:szCs w:val="26"/>
          <w:lang w:val="lt-LT"/>
        </w:rPr>
        <w:t> </w:t>
      </w:r>
      <w:r w:rsidR="00916597" w:rsidRPr="00F02CB0">
        <w:rPr>
          <w:sz w:val="26"/>
          <w:szCs w:val="26"/>
          <w:lang w:val="lt-LT"/>
        </w:rPr>
        <w:t>21</w:t>
      </w:r>
      <w:r w:rsidR="00F02CB0">
        <w:rPr>
          <w:sz w:val="26"/>
          <w:szCs w:val="26"/>
          <w:lang w:val="lt-LT"/>
        </w:rPr>
        <w:t> </w:t>
      </w:r>
      <w:r w:rsidR="00C0665E" w:rsidRPr="00F02CB0">
        <w:rPr>
          <w:sz w:val="26"/>
          <w:szCs w:val="26"/>
          <w:lang w:val="lt-LT"/>
        </w:rPr>
        <w:t>pav.)</w:t>
      </w:r>
      <w:r w:rsidRPr="00F02CB0">
        <w:rPr>
          <w:sz w:val="26"/>
          <w:szCs w:val="26"/>
          <w:lang w:val="lt-LT"/>
        </w:rPr>
        <w:t xml:space="preserve">. </w:t>
      </w:r>
    </w:p>
    <w:p w:rsidR="00C34386" w:rsidRPr="00C34386" w:rsidRDefault="00C34386" w:rsidP="00F3761B">
      <w:pPr>
        <w:spacing w:line="360" w:lineRule="auto"/>
        <w:ind w:firstLine="720"/>
        <w:jc w:val="both"/>
        <w:rPr>
          <w:sz w:val="16"/>
          <w:szCs w:val="16"/>
          <w:lang w:val="lt-LT"/>
        </w:rPr>
      </w:pPr>
    </w:p>
    <w:tbl>
      <w:tblPr>
        <w:tblStyle w:val="TableGrid"/>
        <w:tblpPr w:leftFromText="180" w:rightFromText="180" w:vertAnchor="text" w:tblpXSpec="center" w:tblpY="1"/>
        <w:tblOverlap w:val="never"/>
        <w:tblW w:w="0" w:type="auto"/>
        <w:tblLook w:val="04A0"/>
      </w:tblPr>
      <w:tblGrid>
        <w:gridCol w:w="1404"/>
        <w:gridCol w:w="1276"/>
        <w:gridCol w:w="1275"/>
        <w:gridCol w:w="1431"/>
        <w:gridCol w:w="1276"/>
      </w:tblGrid>
      <w:tr w:rsidR="00C0665E" w:rsidRPr="00F02CB0" w:rsidTr="00F3761B">
        <w:trPr>
          <w:trHeight w:val="62"/>
        </w:trPr>
        <w:tc>
          <w:tcPr>
            <w:tcW w:w="6662" w:type="dxa"/>
            <w:gridSpan w:val="5"/>
            <w:tcBorders>
              <w:top w:val="single" w:sz="12" w:space="0" w:color="auto"/>
              <w:left w:val="single" w:sz="12" w:space="0" w:color="auto"/>
              <w:bottom w:val="single" w:sz="2" w:space="0" w:color="auto"/>
              <w:right w:val="single" w:sz="12" w:space="0" w:color="auto"/>
            </w:tcBorders>
            <w:shd w:val="clear" w:color="auto" w:fill="FFFFFF" w:themeFill="background1"/>
            <w:vAlign w:val="center"/>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b/>
                <w:sz w:val="22"/>
                <w:szCs w:val="22"/>
                <w:lang w:val="lt-LT"/>
              </w:rPr>
              <w:t>Reikšmingo iškraipymo rizika</w:t>
            </w:r>
          </w:p>
        </w:tc>
      </w:tr>
      <w:tr w:rsidR="00C0665E" w:rsidRPr="00F02CB0" w:rsidTr="00F3761B">
        <w:trPr>
          <w:trHeight w:val="62"/>
        </w:trPr>
        <w:tc>
          <w:tcPr>
            <w:tcW w:w="2680" w:type="dxa"/>
            <w:gridSpan w:val="2"/>
            <w:vMerge w:val="restart"/>
            <w:tcBorders>
              <w:top w:val="single" w:sz="2" w:space="0" w:color="auto"/>
              <w:left w:val="single" w:sz="12" w:space="0" w:color="auto"/>
              <w:right w:val="single" w:sz="2" w:space="0" w:color="auto"/>
            </w:tcBorders>
            <w:shd w:val="clear" w:color="auto" w:fill="D9D9D9" w:themeFill="background1" w:themeFillShade="D9"/>
            <w:vAlign w:val="center"/>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tvirtinimo lygmeniu</w:t>
            </w:r>
          </w:p>
        </w:tc>
        <w:tc>
          <w:tcPr>
            <w:tcW w:w="3982" w:type="dxa"/>
            <w:gridSpan w:val="3"/>
            <w:tcBorders>
              <w:top w:val="single" w:sz="2" w:space="0" w:color="auto"/>
              <w:left w:val="single" w:sz="2" w:space="0" w:color="auto"/>
              <w:bottom w:val="single" w:sz="2" w:space="0" w:color="auto"/>
              <w:right w:val="single" w:sz="12" w:space="0" w:color="auto"/>
            </w:tcBorders>
            <w:shd w:val="clear" w:color="auto" w:fill="FFFFFF" w:themeFill="background1"/>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Kontrolės rizika</w:t>
            </w:r>
          </w:p>
        </w:tc>
      </w:tr>
      <w:tr w:rsidR="00C0665E" w:rsidRPr="00F02CB0" w:rsidTr="00F3761B">
        <w:trPr>
          <w:trHeight w:val="62"/>
        </w:trPr>
        <w:tc>
          <w:tcPr>
            <w:tcW w:w="2680" w:type="dxa"/>
            <w:gridSpan w:val="2"/>
            <w:vMerge/>
            <w:tcBorders>
              <w:left w:val="single" w:sz="12" w:space="0" w:color="auto"/>
              <w:bottom w:val="single" w:sz="2" w:space="0" w:color="auto"/>
              <w:right w:val="single" w:sz="2" w:space="0" w:color="auto"/>
            </w:tcBorders>
            <w:vAlign w:val="center"/>
          </w:tcPr>
          <w:p w:rsidR="00C0665E" w:rsidRPr="00F02CB0" w:rsidRDefault="00C0665E" w:rsidP="00F3761B">
            <w:pPr>
              <w:pStyle w:val="NormalWeb"/>
              <w:spacing w:before="0" w:beforeAutospacing="0" w:after="0" w:afterAutospacing="0" w:line="276" w:lineRule="auto"/>
              <w:jc w:val="both"/>
              <w:rPr>
                <w:b/>
                <w:sz w:val="22"/>
                <w:szCs w:val="22"/>
                <w:lang w:val="lt-LT"/>
              </w:rPr>
            </w:pP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Maža</w:t>
            </w:r>
          </w:p>
        </w:tc>
        <w:tc>
          <w:tcPr>
            <w:tcW w:w="143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Vidutinė</w:t>
            </w:r>
          </w:p>
        </w:tc>
        <w:tc>
          <w:tcPr>
            <w:tcW w:w="1276"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Didelė</w:t>
            </w:r>
          </w:p>
        </w:tc>
      </w:tr>
      <w:tr w:rsidR="00C0665E" w:rsidRPr="00F02CB0" w:rsidTr="00F3761B">
        <w:trPr>
          <w:trHeight w:val="62"/>
        </w:trPr>
        <w:tc>
          <w:tcPr>
            <w:tcW w:w="1404" w:type="dxa"/>
            <w:vMerge w:val="restart"/>
            <w:tcBorders>
              <w:top w:val="single" w:sz="2" w:space="0" w:color="auto"/>
              <w:left w:val="single" w:sz="12" w:space="0" w:color="auto"/>
              <w:right w:val="single" w:sz="2" w:space="0" w:color="auto"/>
            </w:tcBorders>
            <w:vAlign w:val="center"/>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Įgimta rizika</w:t>
            </w:r>
          </w:p>
        </w:tc>
        <w:tc>
          <w:tcPr>
            <w:tcW w:w="1276" w:type="dxa"/>
            <w:tcBorders>
              <w:top w:val="single" w:sz="2" w:space="0" w:color="auto"/>
              <w:left w:val="single" w:sz="2" w:space="0" w:color="auto"/>
              <w:bottom w:val="single" w:sz="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Maža</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276"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r>
      <w:tr w:rsidR="00C0665E" w:rsidRPr="00F02CB0" w:rsidTr="00F3761B">
        <w:trPr>
          <w:trHeight w:val="62"/>
        </w:trPr>
        <w:tc>
          <w:tcPr>
            <w:tcW w:w="1404" w:type="dxa"/>
            <w:vMerge/>
            <w:tcBorders>
              <w:left w:val="single" w:sz="12" w:space="0" w:color="auto"/>
              <w:right w:val="single" w:sz="2" w:space="0" w:color="auto"/>
            </w:tcBorders>
            <w:vAlign w:val="center"/>
          </w:tcPr>
          <w:p w:rsidR="00C0665E" w:rsidRPr="00F02CB0" w:rsidRDefault="00C0665E" w:rsidP="00F3761B">
            <w:pPr>
              <w:pStyle w:val="NormalWeb"/>
              <w:spacing w:before="0" w:beforeAutospacing="0" w:after="0" w:afterAutospacing="0" w:line="276" w:lineRule="auto"/>
              <w:jc w:val="center"/>
              <w:rPr>
                <w:sz w:val="22"/>
                <w:szCs w:val="22"/>
                <w:lang w:val="lt-LT"/>
              </w:rPr>
            </w:pPr>
          </w:p>
        </w:tc>
        <w:tc>
          <w:tcPr>
            <w:tcW w:w="1276" w:type="dxa"/>
            <w:tcBorders>
              <w:top w:val="single" w:sz="2" w:space="0" w:color="auto"/>
              <w:left w:val="single" w:sz="2" w:space="0" w:color="auto"/>
              <w:bottom w:val="single" w:sz="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Vidutinė</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276"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1404" w:type="dxa"/>
            <w:vMerge/>
            <w:tcBorders>
              <w:left w:val="single" w:sz="12" w:space="0" w:color="auto"/>
              <w:bottom w:val="single" w:sz="12" w:space="0" w:color="auto"/>
              <w:right w:val="single" w:sz="2" w:space="0" w:color="auto"/>
            </w:tcBorders>
            <w:vAlign w:val="center"/>
          </w:tcPr>
          <w:p w:rsidR="00C0665E" w:rsidRPr="00F02CB0" w:rsidRDefault="00C0665E" w:rsidP="00F3761B">
            <w:pPr>
              <w:pStyle w:val="NormalWeb"/>
              <w:spacing w:before="0" w:beforeAutospacing="0" w:after="0" w:afterAutospacing="0" w:line="276" w:lineRule="auto"/>
              <w:jc w:val="center"/>
              <w:rPr>
                <w:sz w:val="22"/>
                <w:szCs w:val="22"/>
                <w:lang w:val="lt-LT"/>
              </w:rPr>
            </w:pPr>
          </w:p>
        </w:tc>
        <w:tc>
          <w:tcPr>
            <w:tcW w:w="1276" w:type="dxa"/>
            <w:tcBorders>
              <w:top w:val="single" w:sz="2" w:space="0" w:color="auto"/>
              <w:left w:val="single" w:sz="2" w:space="0" w:color="auto"/>
              <w:bottom w:val="single" w:sz="1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Didelė</w:t>
            </w:r>
          </w:p>
        </w:tc>
        <w:tc>
          <w:tcPr>
            <w:tcW w:w="1275"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431" w:type="dxa"/>
            <w:tcBorders>
              <w:top w:val="single" w:sz="2" w:space="0" w:color="auto"/>
              <w:left w:val="single" w:sz="2" w:space="0" w:color="auto"/>
              <w:bottom w:val="single" w:sz="12" w:space="0" w:color="auto"/>
              <w:right w:val="single" w:sz="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c>
          <w:tcPr>
            <w:tcW w:w="1276" w:type="dxa"/>
            <w:tcBorders>
              <w:top w:val="single" w:sz="2" w:space="0" w:color="auto"/>
              <w:left w:val="single" w:sz="2" w:space="0" w:color="auto"/>
              <w:bottom w:val="single" w:sz="1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6662" w:type="dxa"/>
            <w:gridSpan w:val="5"/>
            <w:tcBorders>
              <w:top w:val="single" w:sz="12" w:space="0" w:color="auto"/>
              <w:left w:val="single" w:sz="12" w:space="0" w:color="auto"/>
              <w:bottom w:val="single" w:sz="4" w:space="0" w:color="auto"/>
              <w:right w:val="single" w:sz="12" w:space="0" w:color="auto"/>
            </w:tcBorders>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Reikšmingo iškraipymo rizika</w:t>
            </w:r>
          </w:p>
        </w:tc>
      </w:tr>
      <w:tr w:rsidR="00C0665E" w:rsidRPr="00F02CB0" w:rsidTr="00F3761B">
        <w:trPr>
          <w:trHeight w:val="62"/>
        </w:trPr>
        <w:tc>
          <w:tcPr>
            <w:tcW w:w="2680" w:type="dxa"/>
            <w:gridSpan w:val="2"/>
            <w:vMerge w:val="restart"/>
            <w:tcBorders>
              <w:top w:val="single" w:sz="4" w:space="0" w:color="auto"/>
              <w:left w:val="single" w:sz="12" w:space="0" w:color="auto"/>
              <w:bottom w:val="single" w:sz="12" w:space="0" w:color="auto"/>
            </w:tcBorders>
            <w:shd w:val="clear" w:color="auto" w:fill="D9D9D9" w:themeFill="background1" w:themeFillShade="D9"/>
            <w:vAlign w:val="center"/>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finansinių ataskaitų lygmeniu</w:t>
            </w:r>
          </w:p>
        </w:tc>
        <w:tc>
          <w:tcPr>
            <w:tcW w:w="3982" w:type="dxa"/>
            <w:gridSpan w:val="3"/>
            <w:tcBorders>
              <w:top w:val="single" w:sz="4" w:space="0" w:color="auto"/>
              <w:right w:val="single" w:sz="12" w:space="0" w:color="auto"/>
            </w:tcBorders>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tvirtinimo lygmeniu</w:t>
            </w:r>
          </w:p>
        </w:tc>
      </w:tr>
      <w:tr w:rsidR="00C0665E" w:rsidRPr="00F02CB0" w:rsidTr="00F3761B">
        <w:trPr>
          <w:trHeight w:val="62"/>
        </w:trPr>
        <w:tc>
          <w:tcPr>
            <w:tcW w:w="2680" w:type="dxa"/>
            <w:gridSpan w:val="2"/>
            <w:vMerge/>
            <w:tcBorders>
              <w:top w:val="single" w:sz="12" w:space="0" w:color="auto"/>
              <w:left w:val="single" w:sz="12" w:space="0" w:color="auto"/>
              <w:bottom w:val="single" w:sz="4" w:space="0" w:color="auto"/>
            </w:tcBorders>
            <w:shd w:val="clear" w:color="auto" w:fill="D9D9D9" w:themeFill="background1" w:themeFillShade="D9"/>
          </w:tcPr>
          <w:p w:rsidR="00C0665E" w:rsidRPr="00F02CB0" w:rsidRDefault="00C0665E" w:rsidP="00F3761B">
            <w:pPr>
              <w:spacing w:line="276" w:lineRule="auto"/>
              <w:jc w:val="center"/>
              <w:rPr>
                <w:b/>
                <w:sz w:val="22"/>
                <w:szCs w:val="22"/>
                <w:lang w:val="lt-LT"/>
              </w:rPr>
            </w:pPr>
          </w:p>
        </w:tc>
        <w:tc>
          <w:tcPr>
            <w:tcW w:w="1275" w:type="dxa"/>
            <w:tcBorders>
              <w:bottom w:val="single" w:sz="4"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Maža</w:t>
            </w:r>
          </w:p>
        </w:tc>
        <w:tc>
          <w:tcPr>
            <w:tcW w:w="1431" w:type="dxa"/>
            <w:tcBorders>
              <w:bottom w:val="single" w:sz="4"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Vidutinė</w:t>
            </w:r>
          </w:p>
        </w:tc>
        <w:tc>
          <w:tcPr>
            <w:tcW w:w="1276" w:type="dxa"/>
            <w:tcBorders>
              <w:bottom w:val="single" w:sz="4" w:space="0" w:color="auto"/>
              <w:right w:val="single" w:sz="12"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Didelė</w:t>
            </w:r>
          </w:p>
        </w:tc>
      </w:tr>
      <w:tr w:rsidR="00C0665E" w:rsidRPr="00F02CB0" w:rsidTr="00F3761B">
        <w:trPr>
          <w:trHeight w:val="62"/>
        </w:trPr>
        <w:tc>
          <w:tcPr>
            <w:tcW w:w="1404" w:type="dxa"/>
            <w:vMerge w:val="restart"/>
            <w:tcBorders>
              <w:top w:val="single" w:sz="4" w:space="0" w:color="auto"/>
              <w:left w:val="single" w:sz="12" w:space="0" w:color="auto"/>
              <w:bottom w:val="single" w:sz="2" w:space="0" w:color="auto"/>
              <w:right w:val="single" w:sz="2"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Verslo rizika</w:t>
            </w:r>
          </w:p>
        </w:tc>
        <w:tc>
          <w:tcPr>
            <w:tcW w:w="1276" w:type="dxa"/>
            <w:tcBorders>
              <w:top w:val="single" w:sz="4" w:space="0" w:color="auto"/>
              <w:left w:val="single" w:sz="2" w:space="0" w:color="auto"/>
              <w:bottom w:val="single" w:sz="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Maža</w:t>
            </w:r>
          </w:p>
        </w:tc>
        <w:tc>
          <w:tcPr>
            <w:tcW w:w="1275" w:type="dxa"/>
            <w:tcBorders>
              <w:top w:val="single" w:sz="4"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tcBorders>
              <w:top w:val="single" w:sz="4"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276" w:type="dxa"/>
            <w:tcBorders>
              <w:top w:val="single" w:sz="4" w:space="0" w:color="auto"/>
              <w:left w:val="single" w:sz="2" w:space="0" w:color="auto"/>
              <w:bottom w:val="single" w:sz="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863A51" w:rsidRPr="00F02CB0" w:rsidTr="00F3761B">
        <w:trPr>
          <w:trHeight w:val="62"/>
        </w:trPr>
        <w:tc>
          <w:tcPr>
            <w:tcW w:w="1404" w:type="dxa"/>
            <w:vMerge/>
            <w:tcBorders>
              <w:top w:val="single" w:sz="2" w:space="0" w:color="auto"/>
              <w:left w:val="single" w:sz="12" w:space="0" w:color="auto"/>
              <w:bottom w:val="single" w:sz="2" w:space="0" w:color="auto"/>
              <w:right w:val="single" w:sz="2" w:space="0" w:color="auto"/>
            </w:tcBorders>
          </w:tcPr>
          <w:p w:rsidR="00863A51" w:rsidRPr="00F02CB0" w:rsidRDefault="00863A51" w:rsidP="00F3761B">
            <w:pPr>
              <w:spacing w:line="276" w:lineRule="auto"/>
              <w:jc w:val="both"/>
              <w:rPr>
                <w:b/>
                <w:sz w:val="22"/>
                <w:szCs w:val="22"/>
                <w:lang w:val="lt-LT"/>
              </w:rPr>
            </w:pPr>
          </w:p>
        </w:tc>
        <w:tc>
          <w:tcPr>
            <w:tcW w:w="1276" w:type="dxa"/>
            <w:tcBorders>
              <w:top w:val="single" w:sz="2" w:space="0" w:color="auto"/>
              <w:left w:val="single" w:sz="2" w:space="0" w:color="auto"/>
              <w:bottom w:val="single" w:sz="2" w:space="0" w:color="auto"/>
              <w:right w:val="single" w:sz="2" w:space="0" w:color="auto"/>
            </w:tcBorders>
          </w:tcPr>
          <w:p w:rsidR="00863A51" w:rsidRPr="00F02CB0" w:rsidRDefault="00863A51" w:rsidP="00F3761B">
            <w:pPr>
              <w:pStyle w:val="NormalWeb"/>
              <w:spacing w:before="0" w:beforeAutospacing="0" w:after="0" w:afterAutospacing="0" w:line="276" w:lineRule="auto"/>
              <w:jc w:val="both"/>
              <w:rPr>
                <w:b/>
                <w:sz w:val="22"/>
                <w:szCs w:val="22"/>
                <w:lang w:val="lt-LT"/>
              </w:rPr>
            </w:pPr>
            <w:r w:rsidRPr="00F02CB0">
              <w:rPr>
                <w:b/>
                <w:sz w:val="22"/>
                <w:szCs w:val="22"/>
                <w:lang w:val="lt-LT"/>
              </w:rPr>
              <w:t>Vidutinė</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863A51" w:rsidRPr="00F02CB0" w:rsidRDefault="00863A51"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431"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863A51" w:rsidRPr="00F02CB0" w:rsidRDefault="00863A51"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c>
          <w:tcPr>
            <w:tcW w:w="1276"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863A51" w:rsidRPr="00F02CB0" w:rsidRDefault="00863A51"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1404" w:type="dxa"/>
            <w:vMerge/>
            <w:tcBorders>
              <w:top w:val="single" w:sz="2" w:space="0" w:color="auto"/>
              <w:left w:val="single" w:sz="12" w:space="0" w:color="auto"/>
              <w:bottom w:val="single" w:sz="2" w:space="0" w:color="auto"/>
              <w:right w:val="single" w:sz="2" w:space="0" w:color="auto"/>
            </w:tcBorders>
          </w:tcPr>
          <w:p w:rsidR="00C0665E" w:rsidRPr="00F02CB0" w:rsidRDefault="00C0665E" w:rsidP="00F3761B">
            <w:pPr>
              <w:spacing w:line="276" w:lineRule="auto"/>
              <w:jc w:val="both"/>
              <w:rPr>
                <w:b/>
                <w:sz w:val="22"/>
                <w:szCs w:val="22"/>
                <w:lang w:val="lt-LT"/>
              </w:rPr>
            </w:pPr>
          </w:p>
        </w:tc>
        <w:tc>
          <w:tcPr>
            <w:tcW w:w="1276" w:type="dxa"/>
            <w:tcBorders>
              <w:top w:val="single" w:sz="2" w:space="0" w:color="auto"/>
              <w:left w:val="single" w:sz="2" w:space="0" w:color="auto"/>
              <w:bottom w:val="single" w:sz="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Didelė</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431"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c>
          <w:tcPr>
            <w:tcW w:w="1276"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1404" w:type="dxa"/>
            <w:vMerge w:val="restart"/>
            <w:tcBorders>
              <w:top w:val="single" w:sz="2" w:space="0" w:color="auto"/>
              <w:left w:val="single" w:sz="12" w:space="0" w:color="auto"/>
              <w:bottom w:val="single" w:sz="2" w:space="0" w:color="auto"/>
              <w:right w:val="single" w:sz="2"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Įmonės rizika</w:t>
            </w:r>
          </w:p>
        </w:tc>
        <w:tc>
          <w:tcPr>
            <w:tcW w:w="1276" w:type="dxa"/>
            <w:tcBorders>
              <w:top w:val="single" w:sz="2" w:space="0" w:color="auto"/>
              <w:left w:val="single" w:sz="2" w:space="0" w:color="auto"/>
              <w:bottom w:val="single" w:sz="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Maža</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276"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1404" w:type="dxa"/>
            <w:vMerge/>
            <w:tcBorders>
              <w:top w:val="single" w:sz="2" w:space="0" w:color="auto"/>
              <w:left w:val="single" w:sz="12" w:space="0" w:color="auto"/>
              <w:bottom w:val="single" w:sz="2" w:space="0" w:color="auto"/>
              <w:right w:val="single" w:sz="2" w:space="0" w:color="auto"/>
            </w:tcBorders>
          </w:tcPr>
          <w:p w:rsidR="00C0665E" w:rsidRPr="00F02CB0" w:rsidRDefault="00C0665E" w:rsidP="00F3761B">
            <w:pPr>
              <w:spacing w:line="276" w:lineRule="auto"/>
              <w:jc w:val="both"/>
              <w:rPr>
                <w:b/>
                <w:sz w:val="22"/>
                <w:szCs w:val="22"/>
                <w:lang w:val="lt-LT"/>
              </w:rPr>
            </w:pPr>
          </w:p>
        </w:tc>
        <w:tc>
          <w:tcPr>
            <w:tcW w:w="1276" w:type="dxa"/>
            <w:tcBorders>
              <w:top w:val="single" w:sz="2" w:space="0" w:color="auto"/>
              <w:left w:val="single" w:sz="2" w:space="0" w:color="auto"/>
              <w:bottom w:val="single" w:sz="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Vidutinė</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431"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C0665E" w:rsidRPr="00F02CB0" w:rsidRDefault="00065CCD"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c>
          <w:tcPr>
            <w:tcW w:w="1276"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1404" w:type="dxa"/>
            <w:vMerge/>
            <w:tcBorders>
              <w:top w:val="single" w:sz="2" w:space="0" w:color="auto"/>
              <w:left w:val="single" w:sz="12" w:space="0" w:color="auto"/>
              <w:bottom w:val="single" w:sz="2" w:space="0" w:color="auto"/>
              <w:right w:val="single" w:sz="2" w:space="0" w:color="auto"/>
            </w:tcBorders>
          </w:tcPr>
          <w:p w:rsidR="00C0665E" w:rsidRPr="00F02CB0" w:rsidRDefault="00C0665E" w:rsidP="00F3761B">
            <w:pPr>
              <w:spacing w:line="276" w:lineRule="auto"/>
              <w:jc w:val="both"/>
              <w:rPr>
                <w:b/>
                <w:sz w:val="22"/>
                <w:szCs w:val="22"/>
                <w:lang w:val="lt-LT"/>
              </w:rPr>
            </w:pPr>
          </w:p>
        </w:tc>
        <w:tc>
          <w:tcPr>
            <w:tcW w:w="1276" w:type="dxa"/>
            <w:tcBorders>
              <w:top w:val="single" w:sz="2" w:space="0" w:color="auto"/>
              <w:left w:val="single" w:sz="2" w:space="0" w:color="auto"/>
              <w:bottom w:val="single" w:sz="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Didelė</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431"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c>
          <w:tcPr>
            <w:tcW w:w="1276"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1404" w:type="dxa"/>
            <w:vMerge w:val="restart"/>
            <w:tcBorders>
              <w:top w:val="single" w:sz="2" w:space="0" w:color="auto"/>
              <w:left w:val="single" w:sz="12" w:space="0" w:color="auto"/>
              <w:bottom w:val="single" w:sz="2" w:space="0" w:color="auto"/>
              <w:right w:val="single" w:sz="2"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Apgaulės rizika</w:t>
            </w:r>
          </w:p>
        </w:tc>
        <w:tc>
          <w:tcPr>
            <w:tcW w:w="1276" w:type="dxa"/>
            <w:tcBorders>
              <w:top w:val="single" w:sz="2" w:space="0" w:color="auto"/>
              <w:left w:val="single" w:sz="2" w:space="0" w:color="auto"/>
              <w:bottom w:val="single" w:sz="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Maža</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276"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1404" w:type="dxa"/>
            <w:vMerge/>
            <w:tcBorders>
              <w:top w:val="single" w:sz="2" w:space="0" w:color="auto"/>
              <w:left w:val="single" w:sz="12" w:space="0" w:color="auto"/>
              <w:bottom w:val="single" w:sz="2" w:space="0" w:color="auto"/>
              <w:right w:val="single" w:sz="2" w:space="0" w:color="auto"/>
            </w:tcBorders>
            <w:vAlign w:val="center"/>
          </w:tcPr>
          <w:p w:rsidR="00C0665E" w:rsidRPr="00F02CB0" w:rsidRDefault="00C0665E" w:rsidP="00F3761B">
            <w:pPr>
              <w:pStyle w:val="NormalWeb"/>
              <w:spacing w:before="0" w:beforeAutospacing="0" w:after="0" w:afterAutospacing="0" w:line="276" w:lineRule="auto"/>
              <w:jc w:val="center"/>
              <w:rPr>
                <w:sz w:val="22"/>
                <w:szCs w:val="22"/>
                <w:lang w:val="lt-LT"/>
              </w:rPr>
            </w:pPr>
          </w:p>
        </w:tc>
        <w:tc>
          <w:tcPr>
            <w:tcW w:w="1276" w:type="dxa"/>
            <w:tcBorders>
              <w:top w:val="single" w:sz="2" w:space="0" w:color="auto"/>
              <w:left w:val="single" w:sz="2" w:space="0" w:color="auto"/>
              <w:bottom w:val="single" w:sz="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Vidutinė</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431"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c>
          <w:tcPr>
            <w:tcW w:w="1276"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1404" w:type="dxa"/>
            <w:vMerge/>
            <w:tcBorders>
              <w:top w:val="single" w:sz="2" w:space="0" w:color="auto"/>
              <w:left w:val="single" w:sz="12" w:space="0" w:color="auto"/>
              <w:bottom w:val="single" w:sz="12" w:space="0" w:color="auto"/>
              <w:right w:val="single" w:sz="2" w:space="0" w:color="auto"/>
            </w:tcBorders>
            <w:vAlign w:val="center"/>
          </w:tcPr>
          <w:p w:rsidR="00C0665E" w:rsidRPr="00F02CB0" w:rsidRDefault="00C0665E" w:rsidP="00F3761B">
            <w:pPr>
              <w:pStyle w:val="NormalWeb"/>
              <w:spacing w:before="0" w:beforeAutospacing="0" w:after="0" w:afterAutospacing="0" w:line="276" w:lineRule="auto"/>
              <w:jc w:val="center"/>
              <w:rPr>
                <w:sz w:val="22"/>
                <w:szCs w:val="22"/>
                <w:lang w:val="lt-LT"/>
              </w:rPr>
            </w:pPr>
          </w:p>
        </w:tc>
        <w:tc>
          <w:tcPr>
            <w:tcW w:w="1276" w:type="dxa"/>
            <w:tcBorders>
              <w:top w:val="single" w:sz="2" w:space="0" w:color="auto"/>
              <w:left w:val="single" w:sz="2" w:space="0" w:color="auto"/>
              <w:bottom w:val="single" w:sz="12" w:space="0" w:color="auto"/>
              <w:right w:val="single" w:sz="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Didelė</w:t>
            </w:r>
          </w:p>
        </w:tc>
        <w:tc>
          <w:tcPr>
            <w:tcW w:w="1275"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Pr>
          <w:p w:rsidR="00C0665E" w:rsidRPr="00F02CB0" w:rsidRDefault="00065CCD"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431" w:type="dxa"/>
            <w:tcBorders>
              <w:top w:val="single" w:sz="2" w:space="0" w:color="auto"/>
              <w:left w:val="single" w:sz="2" w:space="0" w:color="auto"/>
              <w:bottom w:val="single" w:sz="12" w:space="0" w:color="auto"/>
              <w:right w:val="single" w:sz="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c>
          <w:tcPr>
            <w:tcW w:w="1276" w:type="dxa"/>
            <w:tcBorders>
              <w:top w:val="single" w:sz="2" w:space="0" w:color="auto"/>
              <w:left w:val="single" w:sz="2" w:space="0" w:color="auto"/>
              <w:bottom w:val="single" w:sz="12" w:space="0" w:color="auto"/>
              <w:right w:val="single" w:sz="12" w:space="0" w:color="auto"/>
            </w:tcBorders>
            <w:shd w:val="clear" w:color="auto" w:fill="BFBFBF" w:themeFill="background1" w:themeFillShade="BF"/>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6662" w:type="dxa"/>
            <w:gridSpan w:val="5"/>
            <w:tcBorders>
              <w:left w:val="single" w:sz="12" w:space="0" w:color="auto"/>
              <w:bottom w:val="single" w:sz="2" w:space="0" w:color="auto"/>
              <w:right w:val="single" w:sz="12" w:space="0" w:color="auto"/>
            </w:tcBorders>
            <w:shd w:val="clear" w:color="auto" w:fill="FFFFFF" w:themeFill="background1"/>
            <w:vAlign w:val="center"/>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Audito rizika</w:t>
            </w:r>
          </w:p>
        </w:tc>
      </w:tr>
      <w:tr w:rsidR="00C0665E" w:rsidRPr="00F02CB0" w:rsidTr="00F3761B">
        <w:trPr>
          <w:trHeight w:val="62"/>
        </w:trPr>
        <w:tc>
          <w:tcPr>
            <w:tcW w:w="2680" w:type="dxa"/>
            <w:gridSpan w:val="2"/>
            <w:vMerge w:val="restart"/>
            <w:tcBorders>
              <w:top w:val="single" w:sz="2" w:space="0" w:color="auto"/>
              <w:left w:val="single" w:sz="12" w:space="0" w:color="auto"/>
            </w:tcBorders>
            <w:shd w:val="clear" w:color="auto" w:fill="D9D9D9" w:themeFill="background1" w:themeFillShade="D9"/>
            <w:vAlign w:val="center"/>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b/>
                <w:sz w:val="22"/>
                <w:szCs w:val="22"/>
                <w:lang w:val="lt-LT"/>
              </w:rPr>
              <w:t>tvirtinimo lygmeniu</w:t>
            </w:r>
          </w:p>
        </w:tc>
        <w:tc>
          <w:tcPr>
            <w:tcW w:w="3982" w:type="dxa"/>
            <w:gridSpan w:val="3"/>
            <w:tcBorders>
              <w:top w:val="single" w:sz="2" w:space="0" w:color="auto"/>
              <w:right w:val="single" w:sz="12" w:space="0" w:color="auto"/>
            </w:tcBorders>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Aptikimo rizika</w:t>
            </w:r>
          </w:p>
        </w:tc>
      </w:tr>
      <w:tr w:rsidR="00C0665E" w:rsidRPr="00F02CB0" w:rsidTr="00F3761B">
        <w:trPr>
          <w:trHeight w:val="62"/>
        </w:trPr>
        <w:tc>
          <w:tcPr>
            <w:tcW w:w="2680" w:type="dxa"/>
            <w:gridSpan w:val="2"/>
            <w:vMerge/>
            <w:tcBorders>
              <w:left w:val="single" w:sz="12" w:space="0" w:color="auto"/>
            </w:tcBorders>
            <w:shd w:val="clear" w:color="auto" w:fill="D9D9D9" w:themeFill="background1" w:themeFillShade="D9"/>
          </w:tcPr>
          <w:p w:rsidR="00C0665E" w:rsidRPr="00F02CB0" w:rsidRDefault="00C0665E" w:rsidP="00F3761B">
            <w:pPr>
              <w:pStyle w:val="NormalWeb"/>
              <w:spacing w:before="0" w:beforeAutospacing="0" w:after="0" w:afterAutospacing="0" w:line="276" w:lineRule="auto"/>
              <w:jc w:val="both"/>
              <w:rPr>
                <w:b/>
                <w:sz w:val="22"/>
                <w:szCs w:val="22"/>
                <w:lang w:val="lt-LT"/>
              </w:rPr>
            </w:pPr>
          </w:p>
        </w:tc>
        <w:tc>
          <w:tcPr>
            <w:tcW w:w="1275" w:type="dxa"/>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Maža</w:t>
            </w:r>
          </w:p>
        </w:tc>
        <w:tc>
          <w:tcPr>
            <w:tcW w:w="1431" w:type="dxa"/>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Vidutinė</w:t>
            </w:r>
          </w:p>
        </w:tc>
        <w:tc>
          <w:tcPr>
            <w:tcW w:w="1276" w:type="dxa"/>
            <w:tcBorders>
              <w:bottom w:val="single" w:sz="4" w:space="0" w:color="auto"/>
              <w:right w:val="single" w:sz="12"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Didelė</w:t>
            </w:r>
          </w:p>
        </w:tc>
      </w:tr>
      <w:tr w:rsidR="00C0665E" w:rsidRPr="00F02CB0" w:rsidTr="00F3761B">
        <w:trPr>
          <w:trHeight w:val="62"/>
        </w:trPr>
        <w:tc>
          <w:tcPr>
            <w:tcW w:w="1404" w:type="dxa"/>
            <w:vMerge w:val="restart"/>
            <w:tcBorders>
              <w:left w:val="single" w:sz="12" w:space="0" w:color="auto"/>
            </w:tcBorders>
            <w:vAlign w:val="center"/>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Reikšmingo iškraipymo rizika</w:t>
            </w:r>
          </w:p>
        </w:tc>
        <w:tc>
          <w:tcPr>
            <w:tcW w:w="1276" w:type="dxa"/>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Maža</w:t>
            </w:r>
          </w:p>
        </w:tc>
        <w:tc>
          <w:tcPr>
            <w:tcW w:w="1275" w:type="dxa"/>
            <w:vAlign w:val="center"/>
          </w:tcPr>
          <w:p w:rsidR="00C0665E" w:rsidRPr="00F02CB0" w:rsidRDefault="00C0665E" w:rsidP="00F3761B">
            <w:pPr>
              <w:spacing w:line="276" w:lineRule="auto"/>
              <w:jc w:val="center"/>
              <w:rPr>
                <w:sz w:val="22"/>
                <w:szCs w:val="22"/>
                <w:lang w:val="lt-LT"/>
              </w:rPr>
            </w:pPr>
            <w:r w:rsidRPr="00F02CB0">
              <w:rPr>
                <w:sz w:val="22"/>
                <w:szCs w:val="22"/>
                <w:lang w:val="lt-LT"/>
              </w:rPr>
              <w:t>X</w:t>
            </w:r>
          </w:p>
        </w:tc>
        <w:tc>
          <w:tcPr>
            <w:tcW w:w="1431" w:type="dxa"/>
            <w:tcBorders>
              <w:bottom w:val="single" w:sz="4" w:space="0" w:color="auto"/>
            </w:tcBorders>
            <w:vAlign w:val="center"/>
          </w:tcPr>
          <w:p w:rsidR="00C0665E" w:rsidRPr="00F02CB0" w:rsidRDefault="00C0665E" w:rsidP="00F3761B">
            <w:pPr>
              <w:spacing w:line="276" w:lineRule="auto"/>
              <w:jc w:val="center"/>
              <w:rPr>
                <w:sz w:val="22"/>
                <w:szCs w:val="22"/>
                <w:lang w:val="lt-LT"/>
              </w:rPr>
            </w:pPr>
            <w:r w:rsidRPr="00F02CB0">
              <w:rPr>
                <w:sz w:val="22"/>
                <w:szCs w:val="22"/>
                <w:lang w:val="lt-LT"/>
              </w:rPr>
              <w:t>X</w:t>
            </w:r>
          </w:p>
        </w:tc>
        <w:tc>
          <w:tcPr>
            <w:tcW w:w="1276" w:type="dxa"/>
            <w:tcBorders>
              <w:right w:val="single" w:sz="12" w:space="0" w:color="auto"/>
            </w:tcBorders>
            <w:shd w:val="clear" w:color="auto" w:fill="BFBFBF" w:themeFill="background1" w:themeFillShade="BF"/>
            <w:vAlign w:val="center"/>
          </w:tcPr>
          <w:p w:rsidR="00C0665E" w:rsidRPr="00F02CB0" w:rsidRDefault="00C0665E" w:rsidP="00F3761B">
            <w:pPr>
              <w:spacing w:line="276" w:lineRule="auto"/>
              <w:jc w:val="center"/>
              <w:rPr>
                <w:sz w:val="22"/>
                <w:szCs w:val="22"/>
                <w:lang w:val="lt-LT"/>
              </w:rPr>
            </w:pPr>
            <w:r w:rsidRPr="00F02CB0">
              <w:rPr>
                <w:sz w:val="22"/>
                <w:szCs w:val="22"/>
                <w:lang w:val="lt-LT"/>
              </w:rPr>
              <w:t>Didelė</w:t>
            </w:r>
          </w:p>
        </w:tc>
      </w:tr>
      <w:tr w:rsidR="00C0665E" w:rsidRPr="00F02CB0" w:rsidTr="00F3761B">
        <w:trPr>
          <w:trHeight w:val="62"/>
        </w:trPr>
        <w:tc>
          <w:tcPr>
            <w:tcW w:w="1404" w:type="dxa"/>
            <w:vMerge/>
            <w:tcBorders>
              <w:left w:val="single" w:sz="12" w:space="0" w:color="auto"/>
            </w:tcBorders>
          </w:tcPr>
          <w:p w:rsidR="00C0665E" w:rsidRPr="00F02CB0" w:rsidRDefault="00C0665E" w:rsidP="00F3761B">
            <w:pPr>
              <w:pStyle w:val="NormalWeb"/>
              <w:spacing w:before="0" w:beforeAutospacing="0" w:after="0" w:afterAutospacing="0" w:line="276" w:lineRule="auto"/>
              <w:jc w:val="center"/>
              <w:rPr>
                <w:sz w:val="22"/>
                <w:szCs w:val="22"/>
                <w:lang w:val="lt-LT"/>
              </w:rPr>
            </w:pPr>
          </w:p>
        </w:tc>
        <w:tc>
          <w:tcPr>
            <w:tcW w:w="1276" w:type="dxa"/>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Vidutinė</w:t>
            </w:r>
          </w:p>
        </w:tc>
        <w:tc>
          <w:tcPr>
            <w:tcW w:w="1275" w:type="dxa"/>
            <w:tcBorders>
              <w:bottom w:val="single" w:sz="4" w:space="0" w:color="auto"/>
            </w:tcBorders>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X</w:t>
            </w:r>
          </w:p>
        </w:tc>
        <w:tc>
          <w:tcPr>
            <w:tcW w:w="1431" w:type="dxa"/>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c>
          <w:tcPr>
            <w:tcW w:w="1276" w:type="dxa"/>
            <w:tcBorders>
              <w:right w:val="single" w:sz="12" w:space="0" w:color="auto"/>
            </w:tcBorders>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X</w:t>
            </w:r>
          </w:p>
        </w:tc>
      </w:tr>
      <w:tr w:rsidR="00C0665E" w:rsidRPr="00F02CB0" w:rsidTr="00F3761B">
        <w:trPr>
          <w:trHeight w:val="62"/>
        </w:trPr>
        <w:tc>
          <w:tcPr>
            <w:tcW w:w="1404" w:type="dxa"/>
            <w:vMerge/>
            <w:tcBorders>
              <w:left w:val="single" w:sz="12" w:space="0" w:color="auto"/>
              <w:bottom w:val="single" w:sz="12" w:space="0" w:color="auto"/>
            </w:tcBorders>
          </w:tcPr>
          <w:p w:rsidR="00C0665E" w:rsidRPr="00F02CB0" w:rsidRDefault="00C0665E" w:rsidP="00F3761B">
            <w:pPr>
              <w:pStyle w:val="NormalWeb"/>
              <w:spacing w:before="0" w:beforeAutospacing="0" w:after="0" w:afterAutospacing="0" w:line="276" w:lineRule="auto"/>
              <w:jc w:val="center"/>
              <w:rPr>
                <w:sz w:val="22"/>
                <w:szCs w:val="22"/>
                <w:lang w:val="lt-LT"/>
              </w:rPr>
            </w:pPr>
          </w:p>
        </w:tc>
        <w:tc>
          <w:tcPr>
            <w:tcW w:w="1276" w:type="dxa"/>
            <w:tcBorders>
              <w:bottom w:val="single" w:sz="1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Didelė</w:t>
            </w:r>
          </w:p>
        </w:tc>
        <w:tc>
          <w:tcPr>
            <w:tcW w:w="1275" w:type="dxa"/>
            <w:tcBorders>
              <w:bottom w:val="single" w:sz="1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tcBorders>
              <w:bottom w:val="single" w:sz="12" w:space="0" w:color="auto"/>
            </w:tcBorders>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X</w:t>
            </w:r>
          </w:p>
        </w:tc>
        <w:tc>
          <w:tcPr>
            <w:tcW w:w="1276" w:type="dxa"/>
            <w:tcBorders>
              <w:bottom w:val="single" w:sz="12" w:space="0" w:color="auto"/>
              <w:right w:val="single" w:sz="12" w:space="0" w:color="auto"/>
            </w:tcBorders>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X</w:t>
            </w:r>
          </w:p>
        </w:tc>
      </w:tr>
      <w:tr w:rsidR="00C0665E" w:rsidRPr="00F02CB0" w:rsidTr="00F3761B">
        <w:trPr>
          <w:trHeight w:val="62"/>
        </w:trPr>
        <w:tc>
          <w:tcPr>
            <w:tcW w:w="2680" w:type="dxa"/>
            <w:gridSpan w:val="2"/>
            <w:vMerge w:val="restart"/>
            <w:tcBorders>
              <w:top w:val="single" w:sz="12" w:space="0" w:color="auto"/>
              <w:left w:val="single" w:sz="12" w:space="0" w:color="auto"/>
            </w:tcBorders>
            <w:shd w:val="clear" w:color="auto" w:fill="D9D9D9" w:themeFill="background1" w:themeFillShade="D9"/>
            <w:vAlign w:val="center"/>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tvirtinimo lygmeniu</w:t>
            </w:r>
          </w:p>
        </w:tc>
        <w:tc>
          <w:tcPr>
            <w:tcW w:w="3982" w:type="dxa"/>
            <w:gridSpan w:val="3"/>
            <w:tcBorders>
              <w:top w:val="single" w:sz="12" w:space="0" w:color="auto"/>
              <w:right w:val="single" w:sz="12" w:space="0" w:color="auto"/>
            </w:tcBorders>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b/>
                <w:sz w:val="22"/>
                <w:szCs w:val="22"/>
                <w:lang w:val="lt-LT"/>
              </w:rPr>
              <w:t>Aptikimo rizika</w:t>
            </w:r>
          </w:p>
        </w:tc>
      </w:tr>
      <w:tr w:rsidR="00C0665E" w:rsidRPr="00F02CB0" w:rsidTr="00F3761B">
        <w:trPr>
          <w:trHeight w:val="62"/>
        </w:trPr>
        <w:tc>
          <w:tcPr>
            <w:tcW w:w="2680" w:type="dxa"/>
            <w:gridSpan w:val="2"/>
            <w:vMerge/>
            <w:tcBorders>
              <w:left w:val="single" w:sz="12" w:space="0" w:color="auto"/>
            </w:tcBorders>
            <w:shd w:val="clear" w:color="auto" w:fill="D9D9D9" w:themeFill="background1" w:themeFillShade="D9"/>
          </w:tcPr>
          <w:p w:rsidR="00C0665E" w:rsidRPr="00F02CB0" w:rsidRDefault="00C0665E" w:rsidP="00F3761B">
            <w:pPr>
              <w:pStyle w:val="NormalWeb"/>
              <w:spacing w:before="0" w:beforeAutospacing="0" w:after="0" w:afterAutospacing="0" w:line="276" w:lineRule="auto"/>
              <w:rPr>
                <w:b/>
                <w:sz w:val="22"/>
                <w:szCs w:val="22"/>
                <w:lang w:val="lt-LT"/>
              </w:rPr>
            </w:pPr>
          </w:p>
        </w:tc>
        <w:tc>
          <w:tcPr>
            <w:tcW w:w="1275" w:type="dxa"/>
            <w:tcBorders>
              <w:bottom w:val="single" w:sz="4"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Maža</w:t>
            </w:r>
          </w:p>
        </w:tc>
        <w:tc>
          <w:tcPr>
            <w:tcW w:w="1431" w:type="dxa"/>
            <w:tcBorders>
              <w:bottom w:val="single" w:sz="4"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Vidutinė</w:t>
            </w:r>
          </w:p>
        </w:tc>
        <w:tc>
          <w:tcPr>
            <w:tcW w:w="1276" w:type="dxa"/>
            <w:tcBorders>
              <w:bottom w:val="single" w:sz="4" w:space="0" w:color="auto"/>
              <w:right w:val="single" w:sz="12" w:space="0" w:color="auto"/>
            </w:tcBorders>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Didelė</w:t>
            </w:r>
          </w:p>
        </w:tc>
      </w:tr>
      <w:tr w:rsidR="00C0665E" w:rsidRPr="00F02CB0" w:rsidTr="00F3761B">
        <w:trPr>
          <w:trHeight w:val="62"/>
        </w:trPr>
        <w:tc>
          <w:tcPr>
            <w:tcW w:w="2680" w:type="dxa"/>
            <w:gridSpan w:val="2"/>
            <w:tcBorders>
              <w:left w:val="single" w:sz="12" w:space="0" w:color="auto"/>
            </w:tcBorders>
          </w:tcPr>
          <w:p w:rsidR="00C0665E" w:rsidRPr="00F02CB0" w:rsidRDefault="00C0665E" w:rsidP="00F3761B">
            <w:pPr>
              <w:pStyle w:val="NormalWeb"/>
              <w:spacing w:before="0" w:beforeAutospacing="0" w:after="0" w:afterAutospacing="0" w:line="276" w:lineRule="auto"/>
              <w:rPr>
                <w:b/>
                <w:sz w:val="22"/>
                <w:szCs w:val="22"/>
                <w:lang w:val="lt-LT"/>
              </w:rPr>
            </w:pPr>
            <w:r w:rsidRPr="00F02CB0">
              <w:rPr>
                <w:b/>
                <w:sz w:val="22"/>
                <w:szCs w:val="22"/>
                <w:lang w:val="lt-LT"/>
              </w:rPr>
              <w:t>Audito procedūrų rizika</w:t>
            </w:r>
          </w:p>
        </w:tc>
        <w:tc>
          <w:tcPr>
            <w:tcW w:w="1275" w:type="dxa"/>
            <w:tcBorders>
              <w:bottom w:val="single" w:sz="4" w:space="0" w:color="auto"/>
            </w:tcBorders>
            <w:shd w:val="clear" w:color="auto" w:fill="F2F2F2" w:themeFill="background1" w:themeFillShade="F2"/>
            <w:vAlign w:val="center"/>
          </w:tcPr>
          <w:p w:rsidR="00C0665E" w:rsidRPr="00F02CB0" w:rsidRDefault="00C0665E" w:rsidP="00F3761B">
            <w:pPr>
              <w:spacing w:line="276" w:lineRule="auto"/>
              <w:jc w:val="center"/>
              <w:rPr>
                <w:sz w:val="22"/>
                <w:szCs w:val="22"/>
                <w:lang w:val="lt-LT"/>
              </w:rPr>
            </w:pPr>
            <w:r w:rsidRPr="00F02CB0">
              <w:rPr>
                <w:sz w:val="22"/>
                <w:szCs w:val="22"/>
                <w:lang w:val="lt-LT"/>
              </w:rPr>
              <w:t>Maža</w:t>
            </w:r>
          </w:p>
        </w:tc>
        <w:tc>
          <w:tcPr>
            <w:tcW w:w="1431" w:type="dxa"/>
            <w:tcBorders>
              <w:bottom w:val="single" w:sz="4" w:space="0" w:color="auto"/>
            </w:tcBorders>
            <w:shd w:val="clear" w:color="auto" w:fill="F2F2F2" w:themeFill="background1" w:themeFillShade="F2"/>
            <w:vAlign w:val="center"/>
          </w:tcPr>
          <w:p w:rsidR="00C0665E" w:rsidRPr="00F02CB0" w:rsidRDefault="00C0665E" w:rsidP="00F3761B">
            <w:pPr>
              <w:spacing w:line="276" w:lineRule="auto"/>
              <w:jc w:val="center"/>
              <w:rPr>
                <w:sz w:val="22"/>
                <w:szCs w:val="22"/>
                <w:lang w:val="lt-LT"/>
              </w:rPr>
            </w:pPr>
            <w:r w:rsidRPr="00F02CB0">
              <w:rPr>
                <w:sz w:val="22"/>
                <w:szCs w:val="22"/>
                <w:lang w:val="lt-LT"/>
              </w:rPr>
              <w:t>Maža</w:t>
            </w:r>
          </w:p>
        </w:tc>
        <w:tc>
          <w:tcPr>
            <w:tcW w:w="1276" w:type="dxa"/>
            <w:tcBorders>
              <w:bottom w:val="single" w:sz="4" w:space="0" w:color="auto"/>
              <w:right w:val="single" w:sz="12" w:space="0" w:color="auto"/>
            </w:tcBorders>
            <w:shd w:val="clear" w:color="auto" w:fill="F2F2F2" w:themeFill="background1" w:themeFillShade="F2"/>
            <w:vAlign w:val="center"/>
          </w:tcPr>
          <w:p w:rsidR="00C0665E" w:rsidRPr="00F02CB0" w:rsidRDefault="00C0665E" w:rsidP="00F3761B">
            <w:pPr>
              <w:spacing w:line="276" w:lineRule="auto"/>
              <w:jc w:val="center"/>
              <w:rPr>
                <w:sz w:val="22"/>
                <w:szCs w:val="22"/>
                <w:lang w:val="lt-LT"/>
              </w:rPr>
            </w:pPr>
            <w:r w:rsidRPr="00F02CB0">
              <w:rPr>
                <w:sz w:val="22"/>
                <w:szCs w:val="22"/>
                <w:lang w:val="lt-LT"/>
              </w:rPr>
              <w:t>Vidutinė</w:t>
            </w:r>
          </w:p>
        </w:tc>
      </w:tr>
      <w:tr w:rsidR="00C0665E" w:rsidRPr="00F02CB0" w:rsidTr="00F3761B">
        <w:trPr>
          <w:trHeight w:val="62"/>
        </w:trPr>
        <w:tc>
          <w:tcPr>
            <w:tcW w:w="2680" w:type="dxa"/>
            <w:gridSpan w:val="2"/>
            <w:tcBorders>
              <w:left w:val="single" w:sz="1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Atrankos rizika</w:t>
            </w:r>
          </w:p>
        </w:tc>
        <w:tc>
          <w:tcPr>
            <w:tcW w:w="1275" w:type="dxa"/>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276" w:type="dxa"/>
            <w:tcBorders>
              <w:right w:val="single" w:sz="1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r>
      <w:tr w:rsidR="00C0665E" w:rsidRPr="00F02CB0" w:rsidTr="00F3761B">
        <w:trPr>
          <w:trHeight w:val="62"/>
        </w:trPr>
        <w:tc>
          <w:tcPr>
            <w:tcW w:w="2680" w:type="dxa"/>
            <w:gridSpan w:val="2"/>
            <w:tcBorders>
              <w:left w:val="single" w:sz="12" w:space="0" w:color="auto"/>
              <w:bottom w:val="single" w:sz="12" w:space="0" w:color="auto"/>
            </w:tcBorders>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Profesinė rizika</w:t>
            </w:r>
          </w:p>
        </w:tc>
        <w:tc>
          <w:tcPr>
            <w:tcW w:w="1275" w:type="dxa"/>
            <w:tcBorders>
              <w:bottom w:val="single" w:sz="12" w:space="0" w:color="auto"/>
            </w:tcBorders>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X</w:t>
            </w:r>
          </w:p>
        </w:tc>
        <w:tc>
          <w:tcPr>
            <w:tcW w:w="1431" w:type="dxa"/>
            <w:tcBorders>
              <w:bottom w:val="single" w:sz="1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276" w:type="dxa"/>
            <w:tcBorders>
              <w:bottom w:val="single" w:sz="12" w:space="0" w:color="auto"/>
              <w:right w:val="single" w:sz="12" w:space="0" w:color="auto"/>
            </w:tcBorders>
            <w:shd w:val="clear" w:color="auto" w:fill="F2F2F2" w:themeFill="background1" w:themeFillShade="F2"/>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Vidutinė</w:t>
            </w:r>
          </w:p>
        </w:tc>
      </w:tr>
      <w:tr w:rsidR="00C0665E" w:rsidRPr="00F02CB0" w:rsidTr="00F3761B">
        <w:trPr>
          <w:trHeight w:val="62"/>
        </w:trPr>
        <w:tc>
          <w:tcPr>
            <w:tcW w:w="2680" w:type="dxa"/>
            <w:gridSpan w:val="2"/>
            <w:vMerge w:val="restart"/>
            <w:tcBorders>
              <w:top w:val="single" w:sz="12" w:space="0" w:color="auto"/>
              <w:left w:val="single" w:sz="12" w:space="0" w:color="auto"/>
            </w:tcBorders>
            <w:shd w:val="clear" w:color="auto" w:fill="D9D9D9" w:themeFill="background1" w:themeFillShade="D9"/>
            <w:vAlign w:val="center"/>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finansinių ataskaitų lygmeniu</w:t>
            </w:r>
          </w:p>
        </w:tc>
        <w:tc>
          <w:tcPr>
            <w:tcW w:w="3982" w:type="dxa"/>
            <w:gridSpan w:val="3"/>
            <w:tcBorders>
              <w:top w:val="single" w:sz="12" w:space="0" w:color="auto"/>
              <w:right w:val="single" w:sz="12" w:space="0" w:color="auto"/>
            </w:tcBorders>
            <w:shd w:val="clear" w:color="auto" w:fill="FFFFFF" w:themeFill="background1"/>
          </w:tcPr>
          <w:p w:rsidR="00C0665E" w:rsidRPr="00F02CB0" w:rsidRDefault="00C0665E" w:rsidP="00F3761B">
            <w:pPr>
              <w:pStyle w:val="NormalWeb"/>
              <w:spacing w:before="0" w:beforeAutospacing="0" w:after="0" w:afterAutospacing="0" w:line="276" w:lineRule="auto"/>
              <w:jc w:val="center"/>
              <w:rPr>
                <w:b/>
                <w:sz w:val="22"/>
                <w:szCs w:val="22"/>
                <w:lang w:val="lt-LT"/>
              </w:rPr>
            </w:pPr>
            <w:r w:rsidRPr="00F02CB0">
              <w:rPr>
                <w:b/>
                <w:sz w:val="22"/>
                <w:szCs w:val="22"/>
                <w:lang w:val="lt-LT"/>
              </w:rPr>
              <w:t xml:space="preserve">Audito rizika </w:t>
            </w:r>
          </w:p>
        </w:tc>
      </w:tr>
      <w:tr w:rsidR="00C0665E" w:rsidRPr="00F02CB0" w:rsidTr="00F3761B">
        <w:trPr>
          <w:trHeight w:val="62"/>
        </w:trPr>
        <w:tc>
          <w:tcPr>
            <w:tcW w:w="2680" w:type="dxa"/>
            <w:gridSpan w:val="2"/>
            <w:vMerge/>
            <w:tcBorders>
              <w:left w:val="single" w:sz="12" w:space="0" w:color="auto"/>
            </w:tcBorders>
            <w:shd w:val="clear" w:color="auto" w:fill="D9D9D9" w:themeFill="background1" w:themeFillShade="D9"/>
          </w:tcPr>
          <w:p w:rsidR="00C0665E" w:rsidRPr="00F02CB0" w:rsidRDefault="00C0665E" w:rsidP="00F3761B">
            <w:pPr>
              <w:pStyle w:val="NormalWeb"/>
              <w:spacing w:before="0" w:beforeAutospacing="0" w:after="0" w:afterAutospacing="0" w:line="276" w:lineRule="auto"/>
              <w:jc w:val="both"/>
              <w:rPr>
                <w:b/>
                <w:sz w:val="22"/>
                <w:szCs w:val="22"/>
                <w:lang w:val="lt-LT"/>
              </w:rPr>
            </w:pPr>
          </w:p>
        </w:tc>
        <w:tc>
          <w:tcPr>
            <w:tcW w:w="1275" w:type="dxa"/>
            <w:shd w:val="clear" w:color="auto" w:fill="FFFFFF" w:themeFill="background1"/>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Maža</w:t>
            </w:r>
          </w:p>
        </w:tc>
        <w:tc>
          <w:tcPr>
            <w:tcW w:w="1431" w:type="dxa"/>
            <w:shd w:val="clear" w:color="auto" w:fill="FFFFFF" w:themeFill="background1"/>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Vidutinė</w:t>
            </w:r>
          </w:p>
        </w:tc>
        <w:tc>
          <w:tcPr>
            <w:tcW w:w="1276" w:type="dxa"/>
            <w:tcBorders>
              <w:right w:val="single" w:sz="12" w:space="0" w:color="auto"/>
            </w:tcBorders>
            <w:shd w:val="clear" w:color="auto" w:fill="FFFFFF" w:themeFill="background1"/>
            <w:vAlign w:val="center"/>
          </w:tcPr>
          <w:p w:rsidR="00C0665E" w:rsidRPr="00F02CB0" w:rsidRDefault="00C0665E" w:rsidP="00F3761B">
            <w:pPr>
              <w:spacing w:line="276" w:lineRule="auto"/>
              <w:jc w:val="center"/>
              <w:rPr>
                <w:b/>
                <w:sz w:val="22"/>
                <w:szCs w:val="22"/>
                <w:lang w:val="lt-LT"/>
              </w:rPr>
            </w:pPr>
            <w:r w:rsidRPr="00F02CB0">
              <w:rPr>
                <w:b/>
                <w:sz w:val="22"/>
                <w:szCs w:val="22"/>
                <w:lang w:val="lt-LT"/>
              </w:rPr>
              <w:t>Didelė</w:t>
            </w:r>
          </w:p>
        </w:tc>
      </w:tr>
      <w:tr w:rsidR="00C0665E" w:rsidRPr="00F02CB0" w:rsidTr="00F3761B">
        <w:trPr>
          <w:trHeight w:val="62"/>
        </w:trPr>
        <w:tc>
          <w:tcPr>
            <w:tcW w:w="2680" w:type="dxa"/>
            <w:gridSpan w:val="2"/>
            <w:tcBorders>
              <w:left w:val="single" w:sz="12" w:space="0" w:color="auto"/>
            </w:tcBorders>
            <w:shd w:val="clear" w:color="auto" w:fill="FFFFFF" w:themeFill="background1"/>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Audito rizika tvirtinimo lygmeniu</w:t>
            </w:r>
          </w:p>
        </w:tc>
        <w:tc>
          <w:tcPr>
            <w:tcW w:w="1275" w:type="dxa"/>
            <w:shd w:val="clear" w:color="auto" w:fill="FFFFFF" w:themeFill="background1"/>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vMerge w:val="restart"/>
            <w:shd w:val="clear" w:color="auto" w:fill="FFFFFF" w:themeFill="background1"/>
            <w:vAlign w:val="center"/>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X</w:t>
            </w:r>
          </w:p>
        </w:tc>
        <w:tc>
          <w:tcPr>
            <w:tcW w:w="1276" w:type="dxa"/>
            <w:vMerge w:val="restart"/>
            <w:tcBorders>
              <w:right w:val="single" w:sz="12" w:space="0" w:color="auto"/>
            </w:tcBorders>
            <w:shd w:val="clear" w:color="auto" w:fill="FFFFFF" w:themeFill="background1"/>
            <w:vAlign w:val="center"/>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X</w:t>
            </w:r>
          </w:p>
        </w:tc>
      </w:tr>
      <w:tr w:rsidR="00C0665E" w:rsidRPr="00F02CB0" w:rsidTr="00F3761B">
        <w:trPr>
          <w:trHeight w:val="62"/>
        </w:trPr>
        <w:tc>
          <w:tcPr>
            <w:tcW w:w="2680" w:type="dxa"/>
            <w:gridSpan w:val="2"/>
            <w:tcBorders>
              <w:left w:val="single" w:sz="12" w:space="0" w:color="auto"/>
            </w:tcBorders>
            <w:shd w:val="clear" w:color="auto" w:fill="FFFFFF" w:themeFill="background1"/>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Audito rizika tvirtinimo lygmeniu</w:t>
            </w:r>
          </w:p>
        </w:tc>
        <w:tc>
          <w:tcPr>
            <w:tcW w:w="1275" w:type="dxa"/>
            <w:shd w:val="clear" w:color="auto" w:fill="FFFFFF" w:themeFill="background1"/>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vMerge/>
            <w:shd w:val="clear" w:color="auto" w:fill="FFFFFF" w:themeFill="background1"/>
          </w:tcPr>
          <w:p w:rsidR="00C0665E" w:rsidRPr="00F02CB0" w:rsidRDefault="00C0665E" w:rsidP="00F3761B">
            <w:pPr>
              <w:pStyle w:val="NormalWeb"/>
              <w:spacing w:before="0" w:beforeAutospacing="0" w:after="0" w:afterAutospacing="0" w:line="276" w:lineRule="auto"/>
              <w:jc w:val="center"/>
              <w:rPr>
                <w:sz w:val="22"/>
                <w:szCs w:val="22"/>
                <w:lang w:val="lt-LT"/>
              </w:rPr>
            </w:pPr>
          </w:p>
        </w:tc>
        <w:tc>
          <w:tcPr>
            <w:tcW w:w="1276" w:type="dxa"/>
            <w:vMerge/>
            <w:tcBorders>
              <w:right w:val="single" w:sz="12" w:space="0" w:color="auto"/>
            </w:tcBorders>
            <w:shd w:val="clear" w:color="auto" w:fill="FFFFFF" w:themeFill="background1"/>
          </w:tcPr>
          <w:p w:rsidR="00C0665E" w:rsidRPr="00F02CB0" w:rsidRDefault="00C0665E" w:rsidP="00F3761B">
            <w:pPr>
              <w:pStyle w:val="NormalWeb"/>
              <w:spacing w:before="0" w:beforeAutospacing="0" w:after="0" w:afterAutospacing="0" w:line="276" w:lineRule="auto"/>
              <w:jc w:val="center"/>
              <w:rPr>
                <w:sz w:val="22"/>
                <w:szCs w:val="22"/>
                <w:lang w:val="lt-LT"/>
              </w:rPr>
            </w:pPr>
          </w:p>
        </w:tc>
      </w:tr>
      <w:tr w:rsidR="00C0665E" w:rsidRPr="00F02CB0" w:rsidTr="00F3761B">
        <w:trPr>
          <w:trHeight w:val="62"/>
        </w:trPr>
        <w:tc>
          <w:tcPr>
            <w:tcW w:w="2680" w:type="dxa"/>
            <w:gridSpan w:val="2"/>
            <w:tcBorders>
              <w:left w:val="single" w:sz="12" w:space="0" w:color="auto"/>
              <w:bottom w:val="single" w:sz="12" w:space="0" w:color="auto"/>
            </w:tcBorders>
            <w:shd w:val="clear" w:color="auto" w:fill="FFFFFF" w:themeFill="background1"/>
          </w:tcPr>
          <w:p w:rsidR="00C0665E" w:rsidRPr="00F02CB0" w:rsidRDefault="00C0665E" w:rsidP="00F3761B">
            <w:pPr>
              <w:pStyle w:val="NormalWeb"/>
              <w:spacing w:before="0" w:beforeAutospacing="0" w:after="0" w:afterAutospacing="0" w:line="276" w:lineRule="auto"/>
              <w:jc w:val="both"/>
              <w:rPr>
                <w:b/>
                <w:sz w:val="22"/>
                <w:szCs w:val="22"/>
                <w:lang w:val="lt-LT"/>
              </w:rPr>
            </w:pPr>
            <w:r w:rsidRPr="00F02CB0">
              <w:rPr>
                <w:b/>
                <w:sz w:val="22"/>
                <w:szCs w:val="22"/>
                <w:lang w:val="lt-LT"/>
              </w:rPr>
              <w:t>...</w:t>
            </w:r>
          </w:p>
        </w:tc>
        <w:tc>
          <w:tcPr>
            <w:tcW w:w="1275" w:type="dxa"/>
            <w:tcBorders>
              <w:bottom w:val="single" w:sz="12" w:space="0" w:color="auto"/>
            </w:tcBorders>
            <w:shd w:val="clear" w:color="auto" w:fill="FFFFFF" w:themeFill="background1"/>
          </w:tcPr>
          <w:p w:rsidR="00C0665E" w:rsidRPr="00F02CB0" w:rsidRDefault="00C0665E" w:rsidP="00F3761B">
            <w:pPr>
              <w:pStyle w:val="NormalWeb"/>
              <w:spacing w:before="0" w:beforeAutospacing="0" w:after="0" w:afterAutospacing="0" w:line="276" w:lineRule="auto"/>
              <w:jc w:val="center"/>
              <w:rPr>
                <w:sz w:val="22"/>
                <w:szCs w:val="22"/>
                <w:lang w:val="lt-LT"/>
              </w:rPr>
            </w:pPr>
            <w:r w:rsidRPr="00F02CB0">
              <w:rPr>
                <w:sz w:val="22"/>
                <w:szCs w:val="22"/>
                <w:lang w:val="lt-LT"/>
              </w:rPr>
              <w:t>Maža</w:t>
            </w:r>
          </w:p>
        </w:tc>
        <w:tc>
          <w:tcPr>
            <w:tcW w:w="1431" w:type="dxa"/>
            <w:vMerge/>
            <w:tcBorders>
              <w:bottom w:val="single" w:sz="12" w:space="0" w:color="auto"/>
            </w:tcBorders>
            <w:shd w:val="clear" w:color="auto" w:fill="FFFFFF" w:themeFill="background1"/>
          </w:tcPr>
          <w:p w:rsidR="00C0665E" w:rsidRPr="00F02CB0" w:rsidRDefault="00C0665E" w:rsidP="00F3761B">
            <w:pPr>
              <w:pStyle w:val="NormalWeb"/>
              <w:spacing w:before="0" w:beforeAutospacing="0" w:after="0" w:afterAutospacing="0" w:line="276" w:lineRule="auto"/>
              <w:jc w:val="center"/>
              <w:rPr>
                <w:sz w:val="22"/>
                <w:szCs w:val="22"/>
                <w:lang w:val="lt-LT"/>
              </w:rPr>
            </w:pPr>
          </w:p>
        </w:tc>
        <w:tc>
          <w:tcPr>
            <w:tcW w:w="1276" w:type="dxa"/>
            <w:vMerge/>
            <w:tcBorders>
              <w:bottom w:val="single" w:sz="12" w:space="0" w:color="auto"/>
              <w:right w:val="single" w:sz="12" w:space="0" w:color="auto"/>
            </w:tcBorders>
            <w:shd w:val="clear" w:color="auto" w:fill="FFFFFF" w:themeFill="background1"/>
          </w:tcPr>
          <w:p w:rsidR="00C0665E" w:rsidRPr="00F02CB0" w:rsidRDefault="00C0665E" w:rsidP="00F3761B">
            <w:pPr>
              <w:pStyle w:val="NormalWeb"/>
              <w:spacing w:before="0" w:beforeAutospacing="0" w:after="0" w:afterAutospacing="0" w:line="276" w:lineRule="auto"/>
              <w:jc w:val="center"/>
              <w:rPr>
                <w:sz w:val="22"/>
                <w:szCs w:val="22"/>
                <w:lang w:val="lt-LT"/>
              </w:rPr>
            </w:pPr>
          </w:p>
        </w:tc>
      </w:tr>
    </w:tbl>
    <w:p w:rsidR="00D15490" w:rsidRDefault="00166819" w:rsidP="00254306">
      <w:pPr>
        <w:pStyle w:val="NormalWeb"/>
        <w:spacing w:before="0" w:beforeAutospacing="0" w:after="0" w:afterAutospacing="0"/>
        <w:rPr>
          <w:sz w:val="20"/>
          <w:szCs w:val="20"/>
          <w:lang w:val="lt-LT"/>
        </w:rPr>
      </w:pPr>
      <w:r>
        <w:rPr>
          <w:noProof/>
          <w:sz w:val="20"/>
          <w:szCs w:val="20"/>
          <w:lang w:val="lt-LT" w:eastAsia="lt-LT"/>
        </w:rPr>
        <w:pict>
          <v:group id="_x0000_s74528" style="position:absolute;margin-left:11.3pt;margin-top:2.25pt;width:410.1pt;height:539.7pt;z-index:254406656;mso-position-horizontal-relative:text;mso-position-vertical-relative:text" coordorigin="2040,2864" coordsize="8202,10794">
            <v:shape id="_x0000_s74223" type="#_x0000_t88" style="position:absolute;left:9347;top:4680;width:240;height:3504" o:regroupid="120"/>
            <v:shape id="_x0000_s74224" type="#_x0000_t88" style="position:absolute;left:9353;top:2864;width:188;height:1816" o:regroupid="120"/>
            <v:shape id="_x0000_s74226" type="#_x0000_t202" style="position:absolute;left:9477;top:3188;width:701;height:1184" o:regroupid="120" filled="f" stroked="f">
              <v:textbox style="layout-flow:vertical;mso-layout-flow-alt:bottom-to-top;mso-next-textbox:#_x0000_s74226">
                <w:txbxContent>
                  <w:p w:rsidR="00BE5795" w:rsidRPr="00D5663A" w:rsidRDefault="00BE5795" w:rsidP="00C0665E">
                    <w:pPr>
                      <w:spacing w:line="192" w:lineRule="auto"/>
                      <w:jc w:val="center"/>
                      <w:rPr>
                        <w:b/>
                        <w:lang w:val="lt-LT"/>
                      </w:rPr>
                    </w:pPr>
                    <w:r w:rsidRPr="00D5663A">
                      <w:rPr>
                        <w:b/>
                        <w:lang w:val="lt-LT"/>
                      </w:rPr>
                      <w:t>Bendras</w:t>
                    </w:r>
                    <w:r>
                      <w:rPr>
                        <w:b/>
                        <w:lang w:val="lt-LT"/>
                      </w:rPr>
                      <w:t>is</w:t>
                    </w:r>
                    <w:r w:rsidRPr="00D5663A">
                      <w:rPr>
                        <w:b/>
                        <w:lang w:val="lt-LT"/>
                      </w:rPr>
                      <w:t xml:space="preserve"> vertinimas</w:t>
                    </w:r>
                  </w:p>
                </w:txbxContent>
              </v:textbox>
            </v:shape>
            <v:shape id="_x0000_s74228" type="#_x0000_t202" style="position:absolute;left:9480;top:5423;width:701;height:2053" o:regroupid="120" filled="f" stroked="f">
              <v:textbox style="layout-flow:vertical;mso-layout-flow-alt:bottom-to-top;mso-next-textbox:#_x0000_s74228">
                <w:txbxContent>
                  <w:p w:rsidR="00BE5795" w:rsidRPr="00D5663A" w:rsidRDefault="00BE5795" w:rsidP="00C0665E">
                    <w:pPr>
                      <w:spacing w:line="192" w:lineRule="auto"/>
                      <w:jc w:val="center"/>
                      <w:rPr>
                        <w:b/>
                        <w:lang w:val="lt-LT"/>
                      </w:rPr>
                    </w:pPr>
                    <w:r>
                      <w:rPr>
                        <w:b/>
                        <w:lang w:val="lt-LT"/>
                      </w:rPr>
                      <w:t xml:space="preserve">Priklausomybės </w:t>
                    </w:r>
                    <w:r w:rsidRPr="00D5663A">
                      <w:rPr>
                        <w:b/>
                        <w:lang w:val="lt-LT"/>
                      </w:rPr>
                      <w:t>vertinimas</w:t>
                    </w:r>
                  </w:p>
                </w:txbxContent>
              </v:textbox>
            </v:shape>
            <v:shape id="_x0000_s74233" type="#_x0000_t202" style="position:absolute;left:2240;top:3623;width:276;height:367" o:regroupid="120" filled="f" stroked="f">
              <v:textbox style="mso-next-textbox:#_x0000_s74233">
                <w:txbxContent>
                  <w:p w:rsidR="00BE5795" w:rsidRPr="006F1F89" w:rsidRDefault="00BE5795" w:rsidP="00C0665E">
                    <w:pPr>
                      <w:rPr>
                        <w:lang w:val="lt-LT"/>
                      </w:rPr>
                    </w:pPr>
                    <w:r w:rsidRPr="006F1F89">
                      <w:rPr>
                        <w:b/>
                        <w:lang w:val="lt-LT"/>
                      </w:rPr>
                      <w:t>I</w:t>
                    </w:r>
                  </w:p>
                </w:txbxContent>
              </v:textbox>
            </v:shape>
            <v:shape id="_x0000_s74234" type="#_x0000_t202" style="position:absolute;left:2118;top:6503;width:473;height:367" o:regroupid="120" filled="f" stroked="f">
              <v:textbox style="mso-next-textbox:#_x0000_s74234">
                <w:txbxContent>
                  <w:p w:rsidR="00BE5795" w:rsidRPr="006F1F89" w:rsidRDefault="00BE5795" w:rsidP="00C0665E">
                    <w:pPr>
                      <w:rPr>
                        <w:lang w:val="lt-LT"/>
                      </w:rPr>
                    </w:pPr>
                    <w:r>
                      <w:rPr>
                        <w:b/>
                        <w:lang w:val="lt-LT"/>
                      </w:rPr>
                      <w:t>I</w:t>
                    </w:r>
                    <w:r w:rsidRPr="006F1F89">
                      <w:rPr>
                        <w:b/>
                        <w:lang w:val="lt-LT"/>
                      </w:rPr>
                      <w:t>I</w:t>
                    </w:r>
                  </w:p>
                </w:txbxContent>
              </v:textbox>
            </v:shape>
            <v:shape id="_x0000_s74227" type="#_x0000_t202" style="position:absolute;left:9353;top:8184;width:889;height:2023" o:regroupid="120" filled="f" stroked="f">
              <v:textbox style="layout-flow:vertical;mso-layout-flow-alt:bottom-to-top;mso-next-textbox:#_x0000_s74227">
                <w:txbxContent>
                  <w:p w:rsidR="00BE5795" w:rsidRDefault="00BE5795" w:rsidP="00C0665E">
                    <w:pPr>
                      <w:spacing w:line="192" w:lineRule="auto"/>
                      <w:jc w:val="center"/>
                      <w:rPr>
                        <w:b/>
                        <w:lang w:val="lt-LT"/>
                      </w:rPr>
                    </w:pPr>
                    <w:r>
                      <w:rPr>
                        <w:b/>
                        <w:lang w:val="lt-LT"/>
                      </w:rPr>
                      <w:t>Atvirkštinės priklausomybės</w:t>
                    </w:r>
                  </w:p>
                  <w:p w:rsidR="00BE5795" w:rsidRPr="00D5663A" w:rsidRDefault="00BE5795" w:rsidP="00C0665E">
                    <w:pPr>
                      <w:spacing w:line="192" w:lineRule="auto"/>
                      <w:jc w:val="center"/>
                      <w:rPr>
                        <w:b/>
                        <w:lang w:val="lt-LT"/>
                      </w:rPr>
                    </w:pPr>
                    <w:r w:rsidRPr="00D5663A">
                      <w:rPr>
                        <w:b/>
                        <w:lang w:val="lt-LT"/>
                      </w:rPr>
                      <w:t>vertinimas</w:t>
                    </w:r>
                  </w:p>
                </w:txbxContent>
              </v:textbox>
            </v:shape>
            <v:shape id="_x0000_s74231" type="#_x0000_t88" style="position:absolute;left:9353;top:11697;width:185;height:1961" o:regroupid="120"/>
            <v:shape id="_x0000_s74225" type="#_x0000_t88" style="position:absolute;left:9347;top:8316;width:127;height:1674" o:regroupid="120" adj="1806,10646"/>
            <v:shape id="_x0000_s74229" type="#_x0000_t88" style="position:absolute;left:9353;top:10117;width:185;height:1443" o:regroupid="120" adj=",10807"/>
            <v:shape id="_x0000_s74245" type="#_x0000_t202" style="position:absolute;left:9353;top:10308;width:701;height:1252" o:regroupid="120" filled="f" stroked="f">
              <v:textbox style="layout-flow:vertical;mso-layout-flow-alt:bottom-to-top;mso-next-textbox:#_x0000_s74245">
                <w:txbxContent>
                  <w:p w:rsidR="00BE5795" w:rsidRPr="00D5663A" w:rsidRDefault="00BE5795" w:rsidP="00DD567B">
                    <w:pPr>
                      <w:spacing w:line="192" w:lineRule="auto"/>
                      <w:jc w:val="center"/>
                      <w:rPr>
                        <w:b/>
                        <w:lang w:val="lt-LT"/>
                      </w:rPr>
                    </w:pPr>
                    <w:r w:rsidRPr="00D5663A">
                      <w:rPr>
                        <w:b/>
                        <w:lang w:val="lt-LT"/>
                      </w:rPr>
                      <w:t>Bendras</w:t>
                    </w:r>
                    <w:r>
                      <w:rPr>
                        <w:b/>
                        <w:lang w:val="lt-LT"/>
                      </w:rPr>
                      <w:t>is</w:t>
                    </w:r>
                    <w:r w:rsidRPr="00D5663A">
                      <w:rPr>
                        <w:b/>
                        <w:lang w:val="lt-LT"/>
                      </w:rPr>
                      <w:t xml:space="preserve"> vertinimas</w:t>
                    </w:r>
                  </w:p>
                </w:txbxContent>
              </v:textbox>
            </v:shape>
            <v:shape id="_x0000_s74427" type="#_x0000_t202" style="position:absolute;left:9461;top:12087;width:701;height:1252" o:regroupid="120" filled="f" stroked="f">
              <v:textbox style="layout-flow:vertical;mso-layout-flow-alt:bottom-to-top;mso-next-textbox:#_x0000_s74427">
                <w:txbxContent>
                  <w:p w:rsidR="00BE5795" w:rsidRPr="00D5663A" w:rsidRDefault="00BE5795" w:rsidP="00D15490">
                    <w:pPr>
                      <w:spacing w:line="192" w:lineRule="auto"/>
                      <w:jc w:val="center"/>
                      <w:rPr>
                        <w:b/>
                        <w:lang w:val="lt-LT"/>
                      </w:rPr>
                    </w:pPr>
                    <w:r w:rsidRPr="00D5663A">
                      <w:rPr>
                        <w:b/>
                        <w:lang w:val="lt-LT"/>
                      </w:rPr>
                      <w:t>Bendras</w:t>
                    </w:r>
                    <w:r>
                      <w:rPr>
                        <w:b/>
                        <w:lang w:val="lt-LT"/>
                      </w:rPr>
                      <w:t>is</w:t>
                    </w:r>
                    <w:r w:rsidRPr="00D5663A">
                      <w:rPr>
                        <w:b/>
                        <w:lang w:val="lt-LT"/>
                      </w:rPr>
                      <w:t xml:space="preserve"> vertinimas</w:t>
                    </w:r>
                  </w:p>
                </w:txbxContent>
              </v:textbox>
            </v:shape>
            <v:shape id="_x0000_s74437" type="#_x0000_t202" style="position:absolute;left:2040;top:9105;width:551;height:480" o:regroupid="120" filled="f" stroked="f">
              <v:textbox style="mso-next-textbox:#_x0000_s74437">
                <w:txbxContent>
                  <w:p w:rsidR="00BE5795" w:rsidRPr="006F1F89" w:rsidRDefault="00BE5795" w:rsidP="00D15490">
                    <w:pPr>
                      <w:rPr>
                        <w:lang w:val="lt-LT"/>
                      </w:rPr>
                    </w:pPr>
                    <w:r>
                      <w:rPr>
                        <w:b/>
                        <w:lang w:val="lt-LT"/>
                      </w:rPr>
                      <w:t>III</w:t>
                    </w:r>
                  </w:p>
                </w:txbxContent>
              </v:textbox>
            </v:shape>
            <v:shape id="_x0000_s74438" type="#_x0000_t202" style="position:absolute;left:2040;top:10725;width:551;height:367" o:regroupid="120" filled="f" stroked="f">
              <v:textbox style="mso-next-textbox:#_x0000_s74438">
                <w:txbxContent>
                  <w:p w:rsidR="00BE5795" w:rsidRPr="006F1F89" w:rsidRDefault="00BE5795" w:rsidP="007928C8">
                    <w:pPr>
                      <w:rPr>
                        <w:lang w:val="lt-LT"/>
                      </w:rPr>
                    </w:pPr>
                    <w:r>
                      <w:rPr>
                        <w:b/>
                        <w:lang w:val="lt-LT"/>
                      </w:rPr>
                      <w:t>IV</w:t>
                    </w:r>
                  </w:p>
                </w:txbxContent>
              </v:textbox>
            </v:shape>
            <v:shape id="_x0000_s74527" type="#_x0000_t202" style="position:absolute;left:2118;top:12465;width:551;height:365" filled="f" stroked="f">
              <v:textbox style="mso-next-textbox:#_x0000_s74527">
                <w:txbxContent>
                  <w:p w:rsidR="00BE5795" w:rsidRPr="006F1F89" w:rsidRDefault="00BE5795" w:rsidP="00F3761B">
                    <w:pPr>
                      <w:rPr>
                        <w:lang w:val="lt-LT"/>
                      </w:rPr>
                    </w:pPr>
                    <w:r>
                      <w:rPr>
                        <w:b/>
                        <w:lang w:val="lt-LT"/>
                      </w:rPr>
                      <w:t>V</w:t>
                    </w:r>
                  </w:p>
                </w:txbxContent>
              </v:textbox>
            </v:shape>
          </v:group>
        </w:pict>
      </w: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166819" w:rsidP="00254306">
      <w:pPr>
        <w:pStyle w:val="NormalWeb"/>
        <w:spacing w:before="0" w:beforeAutospacing="0" w:after="0" w:afterAutospacing="0"/>
        <w:rPr>
          <w:sz w:val="20"/>
          <w:szCs w:val="20"/>
          <w:lang w:val="lt-LT"/>
        </w:rPr>
      </w:pPr>
      <w:r>
        <w:rPr>
          <w:noProof/>
          <w:sz w:val="20"/>
          <w:szCs w:val="20"/>
          <w:lang w:val="lt-LT" w:eastAsia="lt-LT"/>
        </w:rPr>
        <w:pict>
          <v:shape id="_x0000_s74436" type="#_x0000_t202" style="position:absolute;margin-left:-418.05pt;margin-top:-.1pt;width:28.45pt;height:18.35pt;z-index:253827072" filled="f" stroked="f">
            <v:textbox style="mso-next-textbox:#_x0000_s74436">
              <w:txbxContent>
                <w:p w:rsidR="00BE5795" w:rsidRPr="006F1F89" w:rsidRDefault="00BE5795" w:rsidP="00D15490">
                  <w:pPr>
                    <w:rPr>
                      <w:lang w:val="lt-LT"/>
                    </w:rPr>
                  </w:pPr>
                  <w:r>
                    <w:rPr>
                      <w:b/>
                      <w:lang w:val="lt-LT"/>
                    </w:rPr>
                    <w:t>I</w:t>
                  </w:r>
                  <w:r w:rsidRPr="006F1F89">
                    <w:rPr>
                      <w:b/>
                      <w:lang w:val="lt-LT"/>
                    </w:rPr>
                    <w:t>I</w:t>
                  </w:r>
                  <w:r>
                    <w:rPr>
                      <w:b/>
                      <w:lang w:val="lt-LT"/>
                    </w:rPr>
                    <w:t>I</w:t>
                  </w:r>
                </w:p>
              </w:txbxContent>
            </v:textbox>
          </v:shape>
        </w:pict>
      </w: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D15490" w:rsidRDefault="00D15490" w:rsidP="00254306">
      <w:pPr>
        <w:pStyle w:val="NormalWeb"/>
        <w:spacing w:before="0" w:beforeAutospacing="0" w:after="0" w:afterAutospacing="0"/>
        <w:rPr>
          <w:sz w:val="20"/>
          <w:szCs w:val="20"/>
          <w:lang w:val="lt-LT"/>
        </w:rPr>
      </w:pPr>
    </w:p>
    <w:p w:rsidR="00C0665E" w:rsidRDefault="00166819" w:rsidP="00F3761B">
      <w:pPr>
        <w:pStyle w:val="NormalWeb"/>
        <w:spacing w:before="0" w:beforeAutospacing="0" w:after="0" w:afterAutospacing="0"/>
        <w:rPr>
          <w:sz w:val="20"/>
          <w:szCs w:val="20"/>
          <w:lang w:val="lt-LT"/>
        </w:rPr>
      </w:pPr>
      <w:r w:rsidRPr="00166819">
        <w:rPr>
          <w:b/>
          <w:noProof/>
          <w:lang w:val="lt-LT" w:eastAsia="lt-LT"/>
        </w:rPr>
        <w:pict>
          <v:group id="_x0000_s74484" style="position:absolute;margin-left:-71.5pt;margin-top:368.85pt;width:541pt;height:225.35pt;z-index:253818368" coordorigin="384,20339" coordsize="10820,4507">
            <v:shape id="_x0000_s74232" type="#_x0000_t202" style="position:absolute;left:10503;top:23594;width:701;height:1252" o:regroupid="96" filled="f" stroked="f">
              <v:textbox style="layout-flow:vertical;mso-layout-flow-alt:bottom-to-top;mso-next-textbox:#_x0000_s74232">
                <w:txbxContent>
                  <w:p w:rsidR="00BE5795" w:rsidRPr="00D5663A" w:rsidRDefault="00BE5795" w:rsidP="00C0665E">
                    <w:pPr>
                      <w:spacing w:line="192" w:lineRule="auto"/>
                      <w:jc w:val="center"/>
                      <w:rPr>
                        <w:b/>
                        <w:lang w:val="lt-LT"/>
                      </w:rPr>
                    </w:pPr>
                    <w:r w:rsidRPr="00D5663A">
                      <w:rPr>
                        <w:b/>
                        <w:lang w:val="lt-LT"/>
                      </w:rPr>
                      <w:t>Bendras</w:t>
                    </w:r>
                    <w:r>
                      <w:rPr>
                        <w:b/>
                        <w:lang w:val="lt-LT"/>
                      </w:rPr>
                      <w:t>is</w:t>
                    </w:r>
                    <w:r w:rsidRPr="00D5663A">
                      <w:rPr>
                        <w:b/>
                        <w:lang w:val="lt-LT"/>
                      </w:rPr>
                      <w:t xml:space="preserve"> vertinimas</w:t>
                    </w:r>
                  </w:p>
                </w:txbxContent>
              </v:textbox>
            </v:shape>
            <v:shape id="_x0000_s74235" type="#_x0000_t202" style="position:absolute;left:384;top:23954;width:514;height:435" o:regroupid="96" filled="f" stroked="f">
              <v:textbox style="mso-next-textbox:#_x0000_s74235">
                <w:txbxContent>
                  <w:p w:rsidR="00BE5795" w:rsidRPr="006F1F89" w:rsidRDefault="00BE5795" w:rsidP="00C0665E">
                    <w:pPr>
                      <w:rPr>
                        <w:lang w:val="lt-LT"/>
                      </w:rPr>
                    </w:pPr>
                    <w:r>
                      <w:rPr>
                        <w:b/>
                        <w:lang w:val="lt-LT"/>
                      </w:rPr>
                      <w:t>V</w:t>
                    </w:r>
                  </w:p>
                </w:txbxContent>
              </v:textbox>
            </v:shape>
            <v:shape id="_x0000_s74236" type="#_x0000_t202" style="position:absolute;left:384;top:22109;width:611;height:388" o:regroupid="96" filled="f" stroked="f">
              <v:textbox style="mso-next-textbox:#_x0000_s74236">
                <w:txbxContent>
                  <w:p w:rsidR="00BE5795" w:rsidRPr="006F1F89" w:rsidRDefault="00BE5795" w:rsidP="00C0665E">
                    <w:pPr>
                      <w:rPr>
                        <w:lang w:val="lt-LT"/>
                      </w:rPr>
                    </w:pPr>
                    <w:r>
                      <w:rPr>
                        <w:b/>
                        <w:lang w:val="lt-LT"/>
                      </w:rPr>
                      <w:t>IV</w:t>
                    </w:r>
                  </w:p>
                </w:txbxContent>
              </v:textbox>
            </v:shape>
            <v:shape id="_x0000_s74237" type="#_x0000_t202" style="position:absolute;left:384;top:20339;width:611;height:388" o:regroupid="96" filled="f" stroked="f">
              <v:textbox style="mso-next-textbox:#_x0000_s74237">
                <w:txbxContent>
                  <w:p w:rsidR="00BE5795" w:rsidRPr="006F1F89" w:rsidRDefault="00BE5795" w:rsidP="00C0665E">
                    <w:pPr>
                      <w:rPr>
                        <w:lang w:val="lt-LT"/>
                      </w:rPr>
                    </w:pPr>
                    <w:r>
                      <w:rPr>
                        <w:b/>
                        <w:lang w:val="lt-LT"/>
                      </w:rPr>
                      <w:t>I</w:t>
                    </w:r>
                    <w:r w:rsidRPr="006F1F89">
                      <w:rPr>
                        <w:b/>
                        <w:lang w:val="lt-LT"/>
                      </w:rPr>
                      <w:t>I</w:t>
                    </w:r>
                    <w:r>
                      <w:rPr>
                        <w:b/>
                        <w:lang w:val="lt-LT"/>
                      </w:rPr>
                      <w:t>I</w:t>
                    </w:r>
                  </w:p>
                </w:txbxContent>
              </v:textbox>
            </v:shape>
          </v:group>
        </w:pict>
      </w:r>
      <w:r w:rsidR="00F3761B">
        <w:rPr>
          <w:sz w:val="20"/>
          <w:szCs w:val="20"/>
          <w:lang w:val="lt-LT"/>
        </w:rPr>
        <w:t xml:space="preserve">  </w:t>
      </w:r>
      <w:r w:rsidR="00C0665E" w:rsidRPr="00D5663A">
        <w:rPr>
          <w:sz w:val="20"/>
          <w:szCs w:val="20"/>
          <w:lang w:val="lt-LT"/>
        </w:rPr>
        <w:t>Pastaba: P</w:t>
      </w:r>
      <w:r w:rsidR="00C0665E">
        <w:rPr>
          <w:sz w:val="20"/>
          <w:szCs w:val="20"/>
          <w:lang w:val="lt-LT"/>
        </w:rPr>
        <w:t>aryškinti</w:t>
      </w:r>
      <w:r w:rsidR="00C0665E" w:rsidRPr="00D5663A">
        <w:rPr>
          <w:sz w:val="20"/>
          <w:szCs w:val="20"/>
          <w:lang w:val="lt-LT"/>
        </w:rPr>
        <w:t xml:space="preserve"> laukeliai žymi </w:t>
      </w:r>
      <w:r w:rsidR="00C0665E">
        <w:rPr>
          <w:sz w:val="20"/>
          <w:szCs w:val="20"/>
          <w:lang w:val="lt-LT"/>
        </w:rPr>
        <w:t>didelę riziką, X rodo negalimą audito rizikos komponentų sąveiką.</w:t>
      </w:r>
    </w:p>
    <w:p w:rsidR="00254306" w:rsidRDefault="00F3761B" w:rsidP="00F3761B">
      <w:pPr>
        <w:pStyle w:val="NormalWeb"/>
        <w:spacing w:before="0" w:beforeAutospacing="0" w:after="0" w:afterAutospacing="0"/>
        <w:rPr>
          <w:b/>
          <w:lang w:val="lt-LT"/>
        </w:rPr>
      </w:pPr>
      <w:r>
        <w:rPr>
          <w:sz w:val="20"/>
          <w:szCs w:val="20"/>
          <w:lang w:val="lt-LT"/>
        </w:rPr>
        <w:t xml:space="preserve">  </w:t>
      </w:r>
      <w:r w:rsidR="00254306">
        <w:rPr>
          <w:sz w:val="20"/>
          <w:szCs w:val="20"/>
          <w:lang w:val="lt-LT"/>
        </w:rPr>
        <w:t>Šaltinis sudaryta autorės.</w:t>
      </w:r>
    </w:p>
    <w:p w:rsidR="00C0665E" w:rsidRPr="007E09C1" w:rsidRDefault="000639EC" w:rsidP="00C0665E">
      <w:pPr>
        <w:pStyle w:val="NormalWeb"/>
        <w:spacing w:before="0" w:beforeAutospacing="0" w:after="0" w:afterAutospacing="0"/>
        <w:ind w:firstLine="720"/>
        <w:jc w:val="center"/>
        <w:rPr>
          <w:b/>
          <w:sz w:val="26"/>
          <w:szCs w:val="26"/>
          <w:lang w:val="lt-LT"/>
        </w:rPr>
      </w:pPr>
      <w:r w:rsidRPr="007E09C1">
        <w:rPr>
          <w:b/>
          <w:sz w:val="26"/>
          <w:szCs w:val="26"/>
          <w:lang w:val="lt-LT"/>
        </w:rPr>
        <w:t>2</w:t>
      </w:r>
      <w:r w:rsidR="00916597" w:rsidRPr="007E09C1">
        <w:rPr>
          <w:b/>
          <w:sz w:val="26"/>
          <w:szCs w:val="26"/>
          <w:lang w:val="lt-LT"/>
        </w:rPr>
        <w:t>1</w:t>
      </w:r>
      <w:r w:rsidR="00C0665E" w:rsidRPr="007E09C1">
        <w:rPr>
          <w:b/>
          <w:sz w:val="26"/>
          <w:szCs w:val="26"/>
          <w:lang w:val="lt-LT"/>
        </w:rPr>
        <w:t xml:space="preserve"> pav. Audito rizikos vertinimo schema</w:t>
      </w:r>
      <w:r w:rsidR="00843C51" w:rsidRPr="007E09C1">
        <w:rPr>
          <w:b/>
          <w:sz w:val="26"/>
          <w:szCs w:val="26"/>
          <w:lang w:val="lt-LT"/>
        </w:rPr>
        <w:t xml:space="preserve"> (patikslinta)</w:t>
      </w:r>
    </w:p>
    <w:p w:rsidR="00A56645" w:rsidRDefault="00A56645" w:rsidP="00A56645">
      <w:pPr>
        <w:spacing w:before="240" w:line="360" w:lineRule="auto"/>
        <w:ind w:firstLine="720"/>
        <w:jc w:val="both"/>
        <w:rPr>
          <w:sz w:val="26"/>
          <w:szCs w:val="26"/>
          <w:lang w:val="lt-LT"/>
        </w:rPr>
      </w:pPr>
    </w:p>
    <w:p w:rsidR="00A56645" w:rsidRDefault="00C63E01" w:rsidP="00A56645">
      <w:pPr>
        <w:spacing w:before="240" w:line="360" w:lineRule="auto"/>
        <w:ind w:firstLine="720"/>
        <w:jc w:val="both"/>
        <w:rPr>
          <w:sz w:val="26"/>
          <w:szCs w:val="26"/>
          <w:lang w:val="lt-LT"/>
        </w:rPr>
      </w:pPr>
      <w:r w:rsidRPr="00F02CB0">
        <w:rPr>
          <w:sz w:val="26"/>
          <w:szCs w:val="26"/>
          <w:lang w:val="lt-LT"/>
        </w:rPr>
        <w:lastRenderedPageBreak/>
        <w:t>Po to, audito rizikos vertinimas vyk</w:t>
      </w:r>
      <w:r w:rsidR="007D33B0">
        <w:rPr>
          <w:sz w:val="26"/>
          <w:szCs w:val="26"/>
          <w:lang w:val="lt-LT"/>
        </w:rPr>
        <w:t>domas</w:t>
      </w:r>
      <w:r w:rsidRPr="00F02CB0">
        <w:rPr>
          <w:sz w:val="26"/>
          <w:szCs w:val="26"/>
          <w:lang w:val="lt-LT"/>
        </w:rPr>
        <w:t xml:space="preserve"> tokia seka: </w:t>
      </w:r>
    </w:p>
    <w:p w:rsidR="00A56645" w:rsidRDefault="00C63E01" w:rsidP="00A56645">
      <w:pPr>
        <w:spacing w:line="360" w:lineRule="auto"/>
        <w:ind w:firstLine="720"/>
        <w:jc w:val="both"/>
        <w:rPr>
          <w:sz w:val="26"/>
          <w:szCs w:val="26"/>
          <w:lang w:val="lt-LT"/>
        </w:rPr>
      </w:pPr>
      <w:r w:rsidRPr="00F02CB0">
        <w:rPr>
          <w:sz w:val="26"/>
          <w:szCs w:val="26"/>
          <w:lang w:val="lt-LT"/>
        </w:rPr>
        <w:t>1) a</w:t>
      </w:r>
      <w:r w:rsidRPr="000B0B56">
        <w:rPr>
          <w:sz w:val="26"/>
          <w:szCs w:val="26"/>
          <w:u w:val="single"/>
          <w:lang w:val="lt-LT"/>
        </w:rPr>
        <w:t>tsižvelgiant į reikšmingo iškraipymo rizikos tvirtinimo lygmeniu</w:t>
      </w:r>
      <w:r w:rsidR="00A56645">
        <w:rPr>
          <w:sz w:val="26"/>
          <w:szCs w:val="26"/>
          <w:u w:val="single"/>
          <w:lang w:val="lt-LT"/>
        </w:rPr>
        <w:t xml:space="preserve"> lygį</w:t>
      </w:r>
      <w:r w:rsidRPr="000B0B56">
        <w:rPr>
          <w:sz w:val="26"/>
          <w:szCs w:val="26"/>
          <w:u w:val="single"/>
          <w:lang w:val="lt-LT"/>
        </w:rPr>
        <w:t>, nustatoma galima aptikimo rizika</w:t>
      </w:r>
      <w:r w:rsidRPr="00F02CB0">
        <w:rPr>
          <w:sz w:val="26"/>
          <w:szCs w:val="26"/>
          <w:lang w:val="lt-LT"/>
        </w:rPr>
        <w:t xml:space="preserve"> (atvirkštinės priklausomybės vertinimas – audito rizikos vertinimo schemos III etapas ir audito rizikos vertinimo modelio struktūrogramoje parodytas tiesioginis ryšis (vientisa linija) tarp reikšmingo iškraipymo rizikos ir aptikimo rizikos); </w:t>
      </w:r>
    </w:p>
    <w:p w:rsidR="00A56645" w:rsidRDefault="00C63E01" w:rsidP="00A56645">
      <w:pPr>
        <w:spacing w:line="360" w:lineRule="auto"/>
        <w:ind w:firstLine="720"/>
        <w:jc w:val="both"/>
        <w:rPr>
          <w:sz w:val="26"/>
          <w:szCs w:val="26"/>
          <w:lang w:val="lt-LT"/>
        </w:rPr>
      </w:pPr>
      <w:r w:rsidRPr="00F02CB0">
        <w:rPr>
          <w:sz w:val="26"/>
          <w:szCs w:val="26"/>
          <w:lang w:val="lt-LT"/>
        </w:rPr>
        <w:t xml:space="preserve">2) </w:t>
      </w:r>
      <w:r w:rsidRPr="000B0B56">
        <w:rPr>
          <w:sz w:val="26"/>
          <w:szCs w:val="26"/>
          <w:u w:val="single"/>
          <w:lang w:val="lt-LT"/>
        </w:rPr>
        <w:t>apsvarstoma, kaip pasiekti nustatytą aptikimo rizikos lygį</w:t>
      </w:r>
      <w:r w:rsidRPr="00847A0E">
        <w:rPr>
          <w:sz w:val="26"/>
          <w:szCs w:val="26"/>
          <w:lang w:val="lt-LT"/>
        </w:rPr>
        <w:t xml:space="preserve"> per jos komponentų</w:t>
      </w:r>
      <w:r w:rsidRPr="00F02CB0">
        <w:rPr>
          <w:sz w:val="26"/>
          <w:szCs w:val="26"/>
          <w:lang w:val="lt-LT"/>
        </w:rPr>
        <w:t xml:space="preserve"> (audito procedūrų rizikos, atrankos rizikos ir profesinės rizikos) </w:t>
      </w:r>
      <w:r w:rsidRPr="00847A0E">
        <w:rPr>
          <w:sz w:val="26"/>
          <w:szCs w:val="26"/>
          <w:lang w:val="lt-LT"/>
        </w:rPr>
        <w:t xml:space="preserve">sąveiką </w:t>
      </w:r>
      <w:r w:rsidRPr="00F02CB0">
        <w:rPr>
          <w:sz w:val="26"/>
          <w:szCs w:val="26"/>
          <w:lang w:val="lt-LT"/>
        </w:rPr>
        <w:t xml:space="preserve">(audito rizikos vertinimo schemos IV etapas ir audito rizikos vertinimo modelio struktūrogramoje parodytas tiesioginis ryšys (vientisa linija) tarp aptikimo rizikos ir jos komponentų) </w:t>
      </w:r>
      <w:r w:rsidRPr="00A56645">
        <w:rPr>
          <w:sz w:val="26"/>
          <w:szCs w:val="26"/>
          <w:u w:val="single"/>
          <w:lang w:val="lt-LT"/>
        </w:rPr>
        <w:t>ir kokias audito procedūras</w:t>
      </w:r>
      <w:r w:rsidRPr="00F02CB0">
        <w:rPr>
          <w:sz w:val="26"/>
          <w:szCs w:val="26"/>
          <w:lang w:val="lt-LT"/>
        </w:rPr>
        <w:t xml:space="preserve">, leidžiančias pagrįsti finansinių ataskaitų elemento tvirtinimo teisingumą, </w:t>
      </w:r>
      <w:r w:rsidRPr="00A56645">
        <w:rPr>
          <w:sz w:val="26"/>
          <w:szCs w:val="26"/>
          <w:u w:val="single"/>
          <w:lang w:val="lt-LT"/>
        </w:rPr>
        <w:t>numatyti</w:t>
      </w:r>
      <w:r w:rsidRPr="00F02CB0">
        <w:rPr>
          <w:sz w:val="26"/>
          <w:szCs w:val="26"/>
          <w:lang w:val="lt-LT"/>
        </w:rPr>
        <w:t xml:space="preserve">; </w:t>
      </w:r>
    </w:p>
    <w:p w:rsidR="00A56645" w:rsidRDefault="00C63E01" w:rsidP="00A56645">
      <w:pPr>
        <w:spacing w:line="360" w:lineRule="auto"/>
        <w:ind w:firstLine="720"/>
        <w:jc w:val="both"/>
        <w:rPr>
          <w:sz w:val="26"/>
          <w:szCs w:val="26"/>
          <w:lang w:val="lt-LT"/>
        </w:rPr>
      </w:pPr>
      <w:r w:rsidRPr="00F02CB0">
        <w:rPr>
          <w:sz w:val="26"/>
          <w:szCs w:val="26"/>
          <w:lang w:val="lt-LT"/>
        </w:rPr>
        <w:t xml:space="preserve">3) </w:t>
      </w:r>
      <w:r w:rsidRPr="00847A0E">
        <w:rPr>
          <w:sz w:val="26"/>
          <w:szCs w:val="26"/>
          <w:u w:val="single"/>
          <w:lang w:val="lt-LT"/>
        </w:rPr>
        <w:t>atliekamos audito procedūros</w:t>
      </w:r>
      <w:r w:rsidRPr="00566285">
        <w:rPr>
          <w:sz w:val="26"/>
          <w:szCs w:val="26"/>
          <w:lang w:val="lt-LT"/>
        </w:rPr>
        <w:t>, kad būtų patvirtinti/paneigti audito rizikos komponentų tvirtinimo lygmeniu vertinimai</w:t>
      </w:r>
      <w:r w:rsidR="001449EF">
        <w:rPr>
          <w:sz w:val="26"/>
          <w:szCs w:val="26"/>
          <w:lang w:val="lt-LT"/>
        </w:rPr>
        <w:t>. Jei vertinimai nėra priimtini, turi būti imamasi koregavimo veiksmų ir grįžtama į audito planavimo etapą</w:t>
      </w:r>
      <w:r w:rsidRPr="00F02CB0">
        <w:rPr>
          <w:sz w:val="26"/>
          <w:szCs w:val="26"/>
          <w:lang w:val="lt-LT"/>
        </w:rPr>
        <w:t xml:space="preserve">; </w:t>
      </w:r>
    </w:p>
    <w:p w:rsidR="00C63E01" w:rsidRDefault="00C63E01" w:rsidP="00A56645">
      <w:pPr>
        <w:spacing w:line="360" w:lineRule="auto"/>
        <w:ind w:firstLine="720"/>
        <w:jc w:val="both"/>
        <w:rPr>
          <w:sz w:val="26"/>
          <w:szCs w:val="26"/>
          <w:lang w:val="lt-LT"/>
        </w:rPr>
      </w:pPr>
      <w:r w:rsidRPr="00F02CB0">
        <w:rPr>
          <w:sz w:val="26"/>
          <w:szCs w:val="26"/>
          <w:lang w:val="lt-LT"/>
        </w:rPr>
        <w:t xml:space="preserve">4) </w:t>
      </w:r>
      <w:r w:rsidRPr="00847A0E">
        <w:rPr>
          <w:sz w:val="26"/>
          <w:szCs w:val="26"/>
          <w:u w:val="single"/>
          <w:lang w:val="lt-LT"/>
        </w:rPr>
        <w:t>įvertinamas bendras audito rizikos lygis, atsižvelgiant į tvirtinimo lygmeniu pasiektus audito rizikos vertinimus</w:t>
      </w:r>
      <w:r w:rsidRPr="00F02CB0">
        <w:rPr>
          <w:sz w:val="26"/>
          <w:szCs w:val="26"/>
          <w:lang w:val="lt-LT"/>
        </w:rPr>
        <w:t xml:space="preserve"> (audito rizikos vertinimo schemos V etapas).</w:t>
      </w:r>
    </w:p>
    <w:p w:rsidR="00D50BDB" w:rsidRPr="00B70D56" w:rsidRDefault="004D3F40" w:rsidP="00D50BDB">
      <w:pPr>
        <w:spacing w:line="360" w:lineRule="auto"/>
        <w:ind w:firstLine="720"/>
        <w:jc w:val="both"/>
        <w:rPr>
          <w:sz w:val="26"/>
          <w:szCs w:val="26"/>
          <w:lang w:val="lt-LT"/>
        </w:rPr>
      </w:pPr>
      <w:r>
        <w:rPr>
          <w:sz w:val="26"/>
          <w:szCs w:val="26"/>
          <w:lang w:val="lt-LT"/>
        </w:rPr>
        <w:t xml:space="preserve">Pateiktas </w:t>
      </w:r>
      <w:r w:rsidR="00566285" w:rsidRPr="00566285">
        <w:rPr>
          <w:sz w:val="26"/>
          <w:szCs w:val="26"/>
          <w:lang w:val="lt-LT"/>
        </w:rPr>
        <w:t xml:space="preserve">audito rizikos vertinimo </w:t>
      </w:r>
      <w:r w:rsidR="000B71C1">
        <w:rPr>
          <w:sz w:val="26"/>
          <w:szCs w:val="26"/>
          <w:lang w:val="lt-LT"/>
        </w:rPr>
        <w:t xml:space="preserve">eigos </w:t>
      </w:r>
      <w:r>
        <w:rPr>
          <w:sz w:val="26"/>
          <w:szCs w:val="26"/>
          <w:lang w:val="lt-LT"/>
        </w:rPr>
        <w:t>aprašymas</w:t>
      </w:r>
      <w:r w:rsidR="001449EF">
        <w:rPr>
          <w:sz w:val="26"/>
          <w:szCs w:val="26"/>
          <w:lang w:val="lt-LT"/>
        </w:rPr>
        <w:t xml:space="preserve"> ir atliktas jo patikrinimas</w:t>
      </w:r>
      <w:r>
        <w:rPr>
          <w:sz w:val="26"/>
          <w:szCs w:val="26"/>
          <w:lang w:val="lt-LT"/>
        </w:rPr>
        <w:t xml:space="preserve"> patvirtina, </w:t>
      </w:r>
      <w:r w:rsidRPr="001449EF">
        <w:rPr>
          <w:sz w:val="26"/>
          <w:szCs w:val="26"/>
          <w:lang w:val="lt-LT"/>
        </w:rPr>
        <w:t>kad darbo autorės sudarytas audito rizikos vertinimo modelis yra taikytinas prakti</w:t>
      </w:r>
      <w:r w:rsidR="001449EF" w:rsidRPr="001449EF">
        <w:rPr>
          <w:sz w:val="26"/>
          <w:szCs w:val="26"/>
          <w:lang w:val="lt-LT"/>
        </w:rPr>
        <w:t>koje</w:t>
      </w:r>
      <w:r w:rsidRPr="001449EF">
        <w:rPr>
          <w:sz w:val="26"/>
          <w:szCs w:val="26"/>
          <w:lang w:val="lt-LT"/>
        </w:rPr>
        <w:t xml:space="preserve">. </w:t>
      </w:r>
      <w:r w:rsidR="00FB6BB6" w:rsidRPr="001449EF">
        <w:rPr>
          <w:sz w:val="26"/>
          <w:szCs w:val="26"/>
          <w:lang w:val="lt-LT"/>
        </w:rPr>
        <w:t>Š</w:t>
      </w:r>
      <w:r w:rsidRPr="001449EF">
        <w:rPr>
          <w:sz w:val="26"/>
          <w:szCs w:val="26"/>
          <w:lang w:val="lt-LT"/>
        </w:rPr>
        <w:t xml:space="preserve">is modelis ne tik </w:t>
      </w:r>
      <w:r w:rsidR="00566285" w:rsidRPr="001449EF">
        <w:rPr>
          <w:sz w:val="26"/>
          <w:szCs w:val="26"/>
          <w:lang w:val="lt-LT"/>
        </w:rPr>
        <w:t xml:space="preserve">atskleidžia audito rizikos vertinimo proceso nuoseklumą, </w:t>
      </w:r>
      <w:r w:rsidRPr="001449EF">
        <w:rPr>
          <w:sz w:val="26"/>
          <w:szCs w:val="26"/>
          <w:lang w:val="lt-LT"/>
        </w:rPr>
        <w:t xml:space="preserve">bet ir </w:t>
      </w:r>
      <w:r w:rsidR="00FB6BB6" w:rsidRPr="001449EF">
        <w:rPr>
          <w:sz w:val="26"/>
          <w:szCs w:val="26"/>
          <w:lang w:val="lt-LT"/>
        </w:rPr>
        <w:t>iš</w:t>
      </w:r>
      <w:r w:rsidR="0079562C" w:rsidRPr="001449EF">
        <w:rPr>
          <w:sz w:val="26"/>
          <w:szCs w:val="26"/>
          <w:lang w:val="lt-LT"/>
        </w:rPr>
        <w:t>sprendžia atskirų audito rizikos komponentų įvertinimo (nustatant j</w:t>
      </w:r>
      <w:r w:rsidR="00D50BDB" w:rsidRPr="001449EF">
        <w:rPr>
          <w:sz w:val="26"/>
          <w:szCs w:val="26"/>
          <w:lang w:val="lt-LT"/>
        </w:rPr>
        <w:t xml:space="preserve">uos lemiančių sąlygų/veiksnių </w:t>
      </w:r>
      <w:r w:rsidR="0079562C" w:rsidRPr="001449EF">
        <w:rPr>
          <w:sz w:val="26"/>
          <w:szCs w:val="26"/>
          <w:lang w:val="lt-LT"/>
        </w:rPr>
        <w:t>pasireiškimo tikimybę ir įtaką), audito rizikos komponentų tarpusavio ryši</w:t>
      </w:r>
      <w:r w:rsidR="00FB6BB6" w:rsidRPr="001449EF">
        <w:rPr>
          <w:sz w:val="26"/>
          <w:szCs w:val="26"/>
          <w:lang w:val="lt-LT"/>
        </w:rPr>
        <w:t>ų</w:t>
      </w:r>
      <w:r w:rsidR="0079562C" w:rsidRPr="001449EF">
        <w:rPr>
          <w:sz w:val="26"/>
          <w:szCs w:val="26"/>
          <w:lang w:val="lt-LT"/>
        </w:rPr>
        <w:t xml:space="preserve"> bei bendro audito rizikos lygio įv</w:t>
      </w:r>
      <w:r w:rsidR="0079562C" w:rsidRPr="00B70D56">
        <w:rPr>
          <w:sz w:val="26"/>
          <w:szCs w:val="26"/>
          <w:lang w:val="lt-LT"/>
        </w:rPr>
        <w:t>ertinim</w:t>
      </w:r>
      <w:r w:rsidR="00FB6BB6" w:rsidRPr="00B70D56">
        <w:rPr>
          <w:sz w:val="26"/>
          <w:szCs w:val="26"/>
          <w:lang w:val="lt-LT"/>
        </w:rPr>
        <w:t>o problemą</w:t>
      </w:r>
      <w:r w:rsidR="0079562C" w:rsidRPr="00B70D56">
        <w:rPr>
          <w:sz w:val="26"/>
          <w:szCs w:val="26"/>
          <w:lang w:val="lt-LT"/>
        </w:rPr>
        <w:t xml:space="preserve">. </w:t>
      </w:r>
    </w:p>
    <w:p w:rsidR="000B0B56" w:rsidRPr="00B70D56" w:rsidRDefault="00B70D56" w:rsidP="00D50BDB">
      <w:pPr>
        <w:spacing w:line="360" w:lineRule="auto"/>
        <w:ind w:firstLine="720"/>
        <w:jc w:val="both"/>
        <w:rPr>
          <w:sz w:val="26"/>
          <w:szCs w:val="26"/>
          <w:lang w:val="lt-LT"/>
        </w:rPr>
      </w:pPr>
      <w:r w:rsidRPr="00B70D56">
        <w:rPr>
          <w:sz w:val="26"/>
          <w:szCs w:val="26"/>
          <w:lang w:val="lt-LT"/>
        </w:rPr>
        <w:t xml:space="preserve">22 pav. pateikta darbo autorės sudaryto audito </w:t>
      </w:r>
      <w:r w:rsidR="00FB6BB6" w:rsidRPr="00B70D56">
        <w:rPr>
          <w:sz w:val="26"/>
          <w:szCs w:val="26"/>
          <w:lang w:val="lt-LT"/>
        </w:rPr>
        <w:t>rizikos vertinimo model</w:t>
      </w:r>
      <w:r w:rsidRPr="00B70D56">
        <w:rPr>
          <w:sz w:val="26"/>
          <w:szCs w:val="26"/>
          <w:lang w:val="lt-LT"/>
        </w:rPr>
        <w:t>io struktūra. Šį modelį</w:t>
      </w:r>
      <w:r w:rsidR="00FB6BB6" w:rsidRPr="00B70D56">
        <w:rPr>
          <w:sz w:val="26"/>
          <w:szCs w:val="26"/>
          <w:lang w:val="lt-LT"/>
        </w:rPr>
        <w:t xml:space="preserve"> sudaro</w:t>
      </w:r>
      <w:r w:rsidR="0079562C" w:rsidRPr="00B70D56">
        <w:rPr>
          <w:sz w:val="26"/>
          <w:szCs w:val="26"/>
          <w:lang w:val="lt-LT"/>
        </w:rPr>
        <w:t>:</w:t>
      </w:r>
      <w:r w:rsidR="000B0B56" w:rsidRPr="00B70D56">
        <w:rPr>
          <w:sz w:val="26"/>
          <w:szCs w:val="26"/>
          <w:lang w:val="lt-LT"/>
        </w:rPr>
        <w:t xml:space="preserve"> audito rizikos v</w:t>
      </w:r>
      <w:r w:rsidR="00FB6BB6" w:rsidRPr="00B70D56">
        <w:rPr>
          <w:sz w:val="26"/>
          <w:szCs w:val="26"/>
          <w:lang w:val="lt-LT"/>
        </w:rPr>
        <w:t>ertinimo modelio struktūrograma</w:t>
      </w:r>
      <w:r w:rsidR="000B0B56" w:rsidRPr="00B70D56">
        <w:rPr>
          <w:sz w:val="26"/>
          <w:szCs w:val="26"/>
          <w:lang w:val="lt-LT"/>
        </w:rPr>
        <w:t>, audito rizikos komponentų įvertinimo skalė ir audito rizikos vertinimo schema</w:t>
      </w:r>
      <w:r w:rsidR="00D50BDB" w:rsidRPr="00B70D56">
        <w:rPr>
          <w:sz w:val="26"/>
          <w:szCs w:val="26"/>
          <w:lang w:val="lt-LT"/>
        </w:rPr>
        <w:t>. Tačiau siekiant optimalaus rezultato</w:t>
      </w:r>
      <w:r>
        <w:rPr>
          <w:sz w:val="26"/>
          <w:szCs w:val="26"/>
          <w:lang w:val="lt-LT"/>
        </w:rPr>
        <w:t>,</w:t>
      </w:r>
      <w:r w:rsidR="00D50BDB" w:rsidRPr="00B70D56">
        <w:rPr>
          <w:sz w:val="26"/>
          <w:szCs w:val="26"/>
          <w:lang w:val="lt-LT"/>
        </w:rPr>
        <w:t xml:space="preserve"> </w:t>
      </w:r>
      <w:r w:rsidR="0041454B" w:rsidRPr="00B70D56">
        <w:rPr>
          <w:sz w:val="26"/>
          <w:szCs w:val="26"/>
          <w:lang w:val="lt-LT"/>
        </w:rPr>
        <w:t xml:space="preserve">modelis </w:t>
      </w:r>
      <w:r w:rsidR="00D50BDB" w:rsidRPr="00B70D56">
        <w:rPr>
          <w:sz w:val="26"/>
          <w:szCs w:val="26"/>
          <w:lang w:val="lt-LT"/>
        </w:rPr>
        <w:t xml:space="preserve">turi būti taikomas kartu su pasiūlyta </w:t>
      </w:r>
      <w:r w:rsidR="00FB6BB6" w:rsidRPr="00B70D56">
        <w:rPr>
          <w:sz w:val="26"/>
          <w:szCs w:val="26"/>
          <w:lang w:val="lt-LT"/>
        </w:rPr>
        <w:t xml:space="preserve">audito rizikos ir/ar jos komponentų kiekybinio </w:t>
      </w:r>
      <w:r w:rsidR="00FB6BB6" w:rsidRPr="00B70D56">
        <w:rPr>
          <w:sz w:val="26"/>
          <w:szCs w:val="26"/>
          <w:lang w:val="lt-LT"/>
        </w:rPr>
        <w:lastRenderedPageBreak/>
        <w:t>įvertinimo metodik</w:t>
      </w:r>
      <w:r w:rsidR="00D50BDB" w:rsidRPr="00B70D56">
        <w:rPr>
          <w:sz w:val="26"/>
          <w:szCs w:val="26"/>
          <w:lang w:val="lt-LT"/>
        </w:rPr>
        <w:t>a</w:t>
      </w:r>
      <w:r w:rsidR="002665D4" w:rsidRPr="00B70D56">
        <w:rPr>
          <w:sz w:val="26"/>
          <w:szCs w:val="26"/>
          <w:lang w:val="lt-LT"/>
        </w:rPr>
        <w:t xml:space="preserve">, kuri apima kiekybinio įvertinimo žingsnius bei </w:t>
      </w:r>
      <w:r w:rsidR="000A5AF1" w:rsidRPr="00B70D56">
        <w:rPr>
          <w:sz w:val="26"/>
          <w:szCs w:val="26"/>
          <w:lang w:val="lt-LT"/>
        </w:rPr>
        <w:t>audito rizikos komponentų apskaičiavimo lenteles</w:t>
      </w:r>
      <w:r w:rsidR="00FB6BB6" w:rsidRPr="00B70D56">
        <w:rPr>
          <w:sz w:val="26"/>
          <w:szCs w:val="26"/>
          <w:lang w:val="lt-LT"/>
        </w:rPr>
        <w:t>.</w:t>
      </w:r>
    </w:p>
    <w:p w:rsidR="00D50BDB" w:rsidRDefault="00166819" w:rsidP="00C34386">
      <w:pPr>
        <w:spacing w:line="360" w:lineRule="auto"/>
        <w:ind w:firstLine="720"/>
        <w:jc w:val="both"/>
        <w:rPr>
          <w:sz w:val="26"/>
          <w:szCs w:val="26"/>
          <w:lang w:val="lt-LT"/>
        </w:rPr>
      </w:pPr>
      <w:r>
        <w:rPr>
          <w:noProof/>
          <w:sz w:val="26"/>
          <w:szCs w:val="26"/>
          <w:lang w:val="lt-LT"/>
        </w:rPr>
        <w:pict>
          <v:group id="_x0000_s74549" style="position:absolute;left:0;text-align:left;margin-left:39pt;margin-top:11.6pt;width:363.05pt;height:386.15pt;z-index:254447616" coordorigin="2594,1706" coordsize="7261,7723">
            <v:shape id="_x0000_s74530" type="#_x0000_t202" style="position:absolute;left:2642;top:1706;width:3877;height:789;mso-height-percent:200;mso-height-percent:200;mso-width-relative:margin;mso-height-relative:margin" o:regroupid="121" strokecolor="#bfbfbf [2412]" strokeweight="2.25pt">
              <v:textbox style="mso-next-textbox:#_x0000_s74530;mso-fit-shape-to-text:t">
                <w:txbxContent>
                  <w:p w:rsidR="00BE5795" w:rsidRDefault="00BE5795" w:rsidP="00AA680E">
                    <w:pPr>
                      <w:spacing w:line="200" w:lineRule="exact"/>
                      <w:jc w:val="center"/>
                      <w:rPr>
                        <w:b/>
                        <w:caps/>
                        <w:sz w:val="22"/>
                        <w:szCs w:val="22"/>
                        <w:lang w:val="lt-LT"/>
                      </w:rPr>
                    </w:pPr>
                    <w:r w:rsidRPr="00A83762">
                      <w:rPr>
                        <w:b/>
                        <w:caps/>
                        <w:sz w:val="22"/>
                        <w:szCs w:val="22"/>
                        <w:lang w:val="lt-LT"/>
                      </w:rPr>
                      <w:t xml:space="preserve">Audito rizikos </w:t>
                    </w:r>
                  </w:p>
                  <w:p w:rsidR="00BE5795" w:rsidRPr="00F616EC" w:rsidRDefault="00BE5795" w:rsidP="00AA680E">
                    <w:pPr>
                      <w:spacing w:line="200" w:lineRule="exact"/>
                      <w:jc w:val="center"/>
                      <w:rPr>
                        <w:b/>
                        <w:sz w:val="22"/>
                        <w:szCs w:val="22"/>
                        <w:lang w:val="lt-LT"/>
                      </w:rPr>
                    </w:pPr>
                    <w:r w:rsidRPr="00A83762">
                      <w:rPr>
                        <w:b/>
                        <w:caps/>
                        <w:sz w:val="22"/>
                        <w:szCs w:val="22"/>
                        <w:lang w:val="lt-LT"/>
                      </w:rPr>
                      <w:t xml:space="preserve">vertinimo modelio struktūrograma </w:t>
                    </w:r>
                    <w:r w:rsidRPr="00F616EC">
                      <w:rPr>
                        <w:b/>
                        <w:sz w:val="22"/>
                        <w:szCs w:val="22"/>
                        <w:lang w:val="lt-LT"/>
                      </w:rPr>
                      <w:t>(</w:t>
                    </w:r>
                    <w:r>
                      <w:rPr>
                        <w:b/>
                        <w:sz w:val="22"/>
                        <w:szCs w:val="22"/>
                        <w:lang w:val="lt-LT"/>
                      </w:rPr>
                      <w:t>19 pav.)</w:t>
                    </w:r>
                  </w:p>
                </w:txbxContent>
              </v:textbox>
            </v:shape>
            <v:shape id="_x0000_s74531" type="#_x0000_t202" style="position:absolute;left:2594;top:3062;width:3827;height:972;mso-width-relative:margin;mso-height-relative:margin" o:regroupid="121" strokecolor="#bfbfbf [2412]" strokeweight="2.25pt">
              <v:textbox style="mso-next-textbox:#_x0000_s74531">
                <w:txbxContent>
                  <w:p w:rsidR="00BE5795" w:rsidRPr="00F616EC" w:rsidRDefault="00BE5795" w:rsidP="00AA680E">
                    <w:pPr>
                      <w:spacing w:line="200" w:lineRule="exact"/>
                      <w:jc w:val="center"/>
                      <w:rPr>
                        <w:b/>
                        <w:sz w:val="22"/>
                        <w:szCs w:val="22"/>
                        <w:lang w:val="lt-LT"/>
                      </w:rPr>
                    </w:pPr>
                    <w:r w:rsidRPr="00A83762">
                      <w:rPr>
                        <w:b/>
                        <w:caps/>
                        <w:sz w:val="22"/>
                        <w:szCs w:val="22"/>
                        <w:lang w:val="lt-LT"/>
                      </w:rPr>
                      <w:t xml:space="preserve">Audito rizikos komponentų įvertinimo skalė </w:t>
                    </w:r>
                    <w:r w:rsidRPr="00F616EC">
                      <w:rPr>
                        <w:b/>
                        <w:sz w:val="22"/>
                        <w:szCs w:val="22"/>
                        <w:lang w:val="lt-LT"/>
                      </w:rPr>
                      <w:t>(</w:t>
                    </w:r>
                    <w:r>
                      <w:rPr>
                        <w:b/>
                        <w:sz w:val="22"/>
                        <w:szCs w:val="22"/>
                        <w:lang w:val="lt-LT"/>
                      </w:rPr>
                      <w:t>23 lentelė</w:t>
                    </w:r>
                    <w:r w:rsidRPr="00F616EC">
                      <w:rPr>
                        <w:b/>
                        <w:sz w:val="22"/>
                        <w:szCs w:val="22"/>
                        <w:lang w:val="lt-LT"/>
                      </w:rPr>
                      <w:t>)</w:t>
                    </w:r>
                  </w:p>
                </w:txbxContent>
              </v:textbox>
            </v:shape>
            <v:shape id="_x0000_s74534" type="#_x0000_t202" style="position:absolute;left:2594;top:5522;width:2565;height:1230" o:regroupid="121" filled="f" strokecolor="#bfbfbf [2412]" strokeweight="2.25pt">
              <v:stroke dashstyle="1 1"/>
              <v:textbox>
                <w:txbxContent>
                  <w:p w:rsidR="00BE5795" w:rsidRPr="00B53D22" w:rsidRDefault="00BE5795" w:rsidP="00AA680E">
                    <w:pPr>
                      <w:spacing w:line="200" w:lineRule="exact"/>
                      <w:jc w:val="center"/>
                      <w:rPr>
                        <w:b/>
                        <w:sz w:val="22"/>
                        <w:szCs w:val="22"/>
                        <w:lang w:val="lt-LT"/>
                      </w:rPr>
                    </w:pPr>
                    <w:r w:rsidRPr="00B53D22">
                      <w:rPr>
                        <w:b/>
                        <w:sz w:val="22"/>
                        <w:szCs w:val="22"/>
                        <w:lang w:val="lt-LT"/>
                      </w:rPr>
                      <w:t xml:space="preserve">Audito rizikos komponentų apskaičiavimo lentelės </w:t>
                    </w:r>
                  </w:p>
                  <w:p w:rsidR="00BE5795" w:rsidRPr="00B53D22" w:rsidRDefault="00BE5795" w:rsidP="002665D4">
                    <w:pPr>
                      <w:jc w:val="center"/>
                      <w:rPr>
                        <w:b/>
                        <w:sz w:val="22"/>
                        <w:szCs w:val="22"/>
                        <w:lang w:val="lt-LT"/>
                      </w:rPr>
                    </w:pPr>
                    <w:r w:rsidRPr="00B53D22">
                      <w:rPr>
                        <w:b/>
                        <w:sz w:val="22"/>
                        <w:szCs w:val="22"/>
                        <w:lang w:val="lt-LT"/>
                      </w:rPr>
                      <w:t>(</w:t>
                    </w:r>
                    <w:r>
                      <w:rPr>
                        <w:b/>
                        <w:sz w:val="22"/>
                        <w:szCs w:val="22"/>
                        <w:lang w:val="lt-LT"/>
                      </w:rPr>
                      <w:t>20-23</w:t>
                    </w:r>
                    <w:r w:rsidRPr="00B53D22">
                      <w:rPr>
                        <w:b/>
                        <w:sz w:val="22"/>
                        <w:szCs w:val="22"/>
                        <w:lang w:val="lt-LT"/>
                      </w:rPr>
                      <w:t xml:space="preserve"> priedai)</w:t>
                    </w:r>
                  </w:p>
                  <w:p w:rsidR="00BE5795" w:rsidRDefault="00BE5795"/>
                </w:txbxContent>
              </v:textbox>
            </v:shape>
            <v:shape id="_x0000_s74535" type="#_x0000_t202" style="position:absolute;left:2594;top:4292;width:2580;height:1230" o:regroupid="121" filled="f" strokecolor="#bfbfbf [2412]" strokeweight="2.25pt">
              <v:stroke dashstyle="1 1"/>
              <v:textbox style="mso-next-textbox:#_x0000_s74535">
                <w:txbxContent>
                  <w:p w:rsidR="00BE5795" w:rsidRDefault="00BE5795" w:rsidP="00AA680E">
                    <w:pPr>
                      <w:spacing w:line="200" w:lineRule="exact"/>
                      <w:jc w:val="center"/>
                      <w:rPr>
                        <w:b/>
                        <w:sz w:val="22"/>
                        <w:szCs w:val="22"/>
                        <w:lang w:val="lt-LT"/>
                      </w:rPr>
                    </w:pPr>
                    <w:r w:rsidRPr="00B53D22">
                      <w:rPr>
                        <w:b/>
                        <w:sz w:val="22"/>
                        <w:szCs w:val="22"/>
                        <w:lang w:val="lt-LT"/>
                      </w:rPr>
                      <w:t>Audito rizikos komponentų kiekybini</w:t>
                    </w:r>
                    <w:r>
                      <w:rPr>
                        <w:b/>
                        <w:sz w:val="22"/>
                        <w:szCs w:val="22"/>
                        <w:lang w:val="lt-LT"/>
                      </w:rPr>
                      <w:t>s</w:t>
                    </w:r>
                    <w:r w:rsidRPr="00B53D22">
                      <w:rPr>
                        <w:b/>
                        <w:sz w:val="22"/>
                        <w:szCs w:val="22"/>
                        <w:lang w:val="lt-LT"/>
                      </w:rPr>
                      <w:t xml:space="preserve"> įvertinim</w:t>
                    </w:r>
                    <w:r>
                      <w:rPr>
                        <w:b/>
                        <w:sz w:val="22"/>
                        <w:szCs w:val="22"/>
                        <w:lang w:val="lt-LT"/>
                      </w:rPr>
                      <w:t>as</w:t>
                    </w:r>
                  </w:p>
                  <w:p w:rsidR="00BE5795" w:rsidRPr="00B53D22" w:rsidRDefault="00BE5795" w:rsidP="002665D4">
                    <w:pPr>
                      <w:jc w:val="center"/>
                      <w:rPr>
                        <w:b/>
                        <w:sz w:val="22"/>
                        <w:szCs w:val="22"/>
                        <w:lang w:val="lt-LT"/>
                      </w:rPr>
                    </w:pPr>
                    <w:r w:rsidRPr="00B53D22">
                      <w:rPr>
                        <w:b/>
                        <w:sz w:val="22"/>
                        <w:szCs w:val="22"/>
                        <w:lang w:val="lt-LT"/>
                      </w:rPr>
                      <w:t>(</w:t>
                    </w:r>
                    <w:r>
                      <w:rPr>
                        <w:b/>
                        <w:sz w:val="22"/>
                        <w:szCs w:val="22"/>
                        <w:lang w:val="lt-LT"/>
                      </w:rPr>
                      <w:t>21</w:t>
                    </w:r>
                    <w:r w:rsidRPr="00B53D22">
                      <w:rPr>
                        <w:b/>
                        <w:sz w:val="22"/>
                        <w:szCs w:val="22"/>
                        <w:lang w:val="lt-LT"/>
                      </w:rPr>
                      <w:t xml:space="preserve"> lentelė)</w:t>
                    </w:r>
                  </w:p>
                  <w:p w:rsidR="00BE5795" w:rsidRDefault="00BE5795"/>
                </w:txbxContent>
              </v:textbox>
            </v:shape>
            <v:shape id="_x0000_s74536" type="#_x0000_t202" style="position:absolute;left:7665;top:1726;width:2190;height:6734;mso-width-relative:margin;mso-height-relative:margin" o:regroupid="121" stroked="f">
              <v:textbox>
                <w:txbxContent>
                  <w:p w:rsidR="00BE5795" w:rsidRPr="00F616EC" w:rsidRDefault="00BE5795" w:rsidP="008B727F">
                    <w:pPr>
                      <w:pStyle w:val="ListParagraph"/>
                      <w:numPr>
                        <w:ilvl w:val="0"/>
                        <w:numId w:val="31"/>
                      </w:numPr>
                      <w:tabs>
                        <w:tab w:val="left" w:pos="-142"/>
                      </w:tabs>
                      <w:ind w:left="-142" w:firstLine="0"/>
                      <w:rPr>
                        <w:b/>
                        <w:caps/>
                        <w:sz w:val="22"/>
                        <w:szCs w:val="22"/>
                        <w:lang w:val="lt-LT"/>
                      </w:rPr>
                    </w:pPr>
                    <w:r w:rsidRPr="00F616EC">
                      <w:rPr>
                        <w:b/>
                        <w:caps/>
                        <w:sz w:val="22"/>
                        <w:szCs w:val="22"/>
                        <w:lang w:val="lt-LT"/>
                      </w:rPr>
                      <w:t>Sąlygos</w:t>
                    </w:r>
                  </w:p>
                  <w:p w:rsidR="00BE5795" w:rsidRPr="00F616EC" w:rsidRDefault="00BE5795" w:rsidP="008B727F">
                    <w:pPr>
                      <w:pStyle w:val="ListParagraph"/>
                      <w:numPr>
                        <w:ilvl w:val="0"/>
                        <w:numId w:val="31"/>
                      </w:numPr>
                      <w:tabs>
                        <w:tab w:val="left" w:pos="-142"/>
                      </w:tabs>
                      <w:ind w:left="-142" w:firstLine="0"/>
                      <w:rPr>
                        <w:b/>
                        <w:caps/>
                        <w:sz w:val="22"/>
                        <w:szCs w:val="22"/>
                        <w:lang w:val="lt-LT"/>
                      </w:rPr>
                    </w:pPr>
                    <w:r w:rsidRPr="00F616EC">
                      <w:rPr>
                        <w:b/>
                        <w:caps/>
                        <w:sz w:val="22"/>
                        <w:szCs w:val="22"/>
                        <w:lang w:val="lt-LT"/>
                      </w:rPr>
                      <w:t>Komponentai</w:t>
                    </w:r>
                  </w:p>
                  <w:p w:rsidR="00BE5795" w:rsidRPr="00F616EC" w:rsidRDefault="00BE5795" w:rsidP="008B727F">
                    <w:pPr>
                      <w:pStyle w:val="ListParagraph"/>
                      <w:numPr>
                        <w:ilvl w:val="0"/>
                        <w:numId w:val="31"/>
                      </w:numPr>
                      <w:tabs>
                        <w:tab w:val="left" w:pos="-142"/>
                      </w:tabs>
                      <w:ind w:left="-142" w:firstLine="0"/>
                      <w:rPr>
                        <w:b/>
                        <w:caps/>
                        <w:sz w:val="22"/>
                        <w:szCs w:val="22"/>
                        <w:lang w:val="lt-LT"/>
                      </w:rPr>
                    </w:pPr>
                    <w:r w:rsidRPr="00F616EC">
                      <w:rPr>
                        <w:b/>
                        <w:caps/>
                        <w:sz w:val="22"/>
                        <w:szCs w:val="22"/>
                        <w:lang w:val="lt-LT"/>
                      </w:rPr>
                      <w:t>Procesas</w:t>
                    </w:r>
                  </w:p>
                  <w:p w:rsidR="00BE5795" w:rsidRDefault="00BE5795" w:rsidP="008B727F">
                    <w:pPr>
                      <w:pStyle w:val="ListParagraph"/>
                      <w:tabs>
                        <w:tab w:val="left" w:pos="-142"/>
                      </w:tabs>
                      <w:ind w:left="-142"/>
                      <w:rPr>
                        <w:sz w:val="22"/>
                        <w:szCs w:val="22"/>
                        <w:lang w:val="lt-LT"/>
                      </w:rPr>
                    </w:pPr>
                  </w:p>
                  <w:p w:rsidR="00BE5795" w:rsidRDefault="00BE5795" w:rsidP="008B727F">
                    <w:pPr>
                      <w:pStyle w:val="ListParagraph"/>
                      <w:tabs>
                        <w:tab w:val="left" w:pos="-142"/>
                      </w:tabs>
                      <w:ind w:left="-142"/>
                      <w:rPr>
                        <w:sz w:val="22"/>
                        <w:szCs w:val="22"/>
                        <w:lang w:val="lt-LT"/>
                      </w:rPr>
                    </w:pPr>
                  </w:p>
                  <w:p w:rsidR="00BE5795" w:rsidRDefault="00BE5795" w:rsidP="008B727F">
                    <w:pPr>
                      <w:pStyle w:val="ListParagraph"/>
                      <w:tabs>
                        <w:tab w:val="left" w:pos="-142"/>
                      </w:tabs>
                      <w:ind w:left="-142"/>
                      <w:rPr>
                        <w:sz w:val="22"/>
                        <w:szCs w:val="22"/>
                        <w:lang w:val="lt-LT"/>
                      </w:rPr>
                    </w:pPr>
                  </w:p>
                  <w:p w:rsidR="00BE5795" w:rsidRDefault="00BE5795" w:rsidP="00AA680E">
                    <w:pPr>
                      <w:pStyle w:val="ListParagraph"/>
                      <w:numPr>
                        <w:ilvl w:val="0"/>
                        <w:numId w:val="31"/>
                      </w:numPr>
                      <w:tabs>
                        <w:tab w:val="left" w:pos="-142"/>
                      </w:tabs>
                      <w:spacing w:line="200" w:lineRule="exact"/>
                      <w:ind w:left="-142" w:firstLine="0"/>
                      <w:rPr>
                        <w:sz w:val="22"/>
                        <w:szCs w:val="22"/>
                        <w:lang w:val="lt-LT"/>
                      </w:rPr>
                    </w:pPr>
                    <w:r w:rsidRPr="00F616EC">
                      <w:rPr>
                        <w:b/>
                        <w:caps/>
                        <w:sz w:val="22"/>
                        <w:szCs w:val="22"/>
                        <w:lang w:val="lt-LT"/>
                      </w:rPr>
                      <w:t xml:space="preserve">Įvertinimas </w:t>
                    </w:r>
                    <w:r>
                      <w:rPr>
                        <w:sz w:val="22"/>
                        <w:szCs w:val="22"/>
                        <w:lang w:val="lt-LT"/>
                      </w:rPr>
                      <w:t>(pagal sąlygas/ veiksnius, jų pasireiškimo įtaką ir tikimybę)</w:t>
                    </w: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Default="00BE5795" w:rsidP="008B727F">
                    <w:pPr>
                      <w:tabs>
                        <w:tab w:val="left" w:pos="-142"/>
                      </w:tabs>
                      <w:rPr>
                        <w:sz w:val="22"/>
                        <w:szCs w:val="22"/>
                        <w:lang w:val="lt-LT"/>
                      </w:rPr>
                    </w:pPr>
                  </w:p>
                  <w:p w:rsidR="00BE5795" w:rsidRPr="00F616EC" w:rsidRDefault="00BE5795" w:rsidP="008B727F">
                    <w:pPr>
                      <w:pStyle w:val="ListParagraph"/>
                      <w:numPr>
                        <w:ilvl w:val="0"/>
                        <w:numId w:val="31"/>
                      </w:numPr>
                      <w:tabs>
                        <w:tab w:val="left" w:pos="-142"/>
                      </w:tabs>
                      <w:ind w:left="-142" w:firstLine="0"/>
                      <w:rPr>
                        <w:sz w:val="22"/>
                        <w:szCs w:val="22"/>
                        <w:lang w:val="lt-LT"/>
                      </w:rPr>
                    </w:pPr>
                    <w:r w:rsidRPr="00F616EC">
                      <w:rPr>
                        <w:b/>
                        <w:caps/>
                        <w:sz w:val="22"/>
                        <w:szCs w:val="22"/>
                        <w:lang w:val="lt-LT"/>
                      </w:rPr>
                      <w:t xml:space="preserve">Ryšiai </w:t>
                    </w:r>
                  </w:p>
                  <w:p w:rsidR="00BE5795" w:rsidRPr="00F616EC" w:rsidRDefault="00BE5795" w:rsidP="00AA680E">
                    <w:pPr>
                      <w:pStyle w:val="ListParagraph"/>
                      <w:tabs>
                        <w:tab w:val="left" w:pos="-142"/>
                      </w:tabs>
                      <w:spacing w:line="200" w:lineRule="exact"/>
                      <w:ind w:left="-142"/>
                      <w:rPr>
                        <w:sz w:val="22"/>
                        <w:szCs w:val="22"/>
                        <w:lang w:val="lt-LT"/>
                      </w:rPr>
                    </w:pPr>
                    <w:r>
                      <w:rPr>
                        <w:b/>
                        <w:caps/>
                        <w:sz w:val="22"/>
                        <w:szCs w:val="22"/>
                        <w:lang w:val="lt-LT"/>
                      </w:rPr>
                      <w:t>(</w:t>
                    </w:r>
                    <w:r w:rsidRPr="00F616EC">
                      <w:rPr>
                        <w:sz w:val="22"/>
                        <w:szCs w:val="22"/>
                        <w:lang w:val="lt-LT"/>
                      </w:rPr>
                      <w:t>tarp atskirų komponentų ir jų įtaka audito rizikai</w:t>
                    </w:r>
                    <w:r>
                      <w:rPr>
                        <w:sz w:val="22"/>
                        <w:szCs w:val="22"/>
                        <w:lang w:val="lt-LT"/>
                      </w:rPr>
                      <w:t>)</w:t>
                    </w:r>
                  </w:p>
                </w:txbxContent>
              </v:textbox>
            </v:shape>
            <v:shape id="_x0000_s74538" type="#_x0000_t32" style="position:absolute;left:6471;top:2160;width:1119;height:1" o:connectortype="straight" o:regroupid="121" strokecolor="#bfbfbf [2412]" strokeweight="3pt">
              <v:stroke endarrow="block"/>
            </v:shape>
            <v:shape id="_x0000_s74539" type="#_x0000_t32" style="position:absolute;left:6421;top:3480;width:1190;height:1" o:connectortype="straight" o:regroupid="121" strokecolor="#bfbfbf [2412]" strokeweight="3pt">
              <v:stroke endarrow="block"/>
            </v:shape>
            <v:shape id="_x0000_s74541" type="#_x0000_t32" style="position:absolute;left:4560;top:2630;width:1;height:432" o:connectortype="straight" o:regroupid="121" strokecolor="#bfbfbf [2412]" strokeweight="3pt">
              <v:stroke endarrow="block"/>
            </v:shape>
            <v:shape id="_x0000_s74542" type="#_x0000_t32" style="position:absolute;left:5640;top:4034;width:1;height:3295;flip:x" o:connectortype="straight" o:regroupid="121" strokecolor="#bfbfbf [2412]" strokeweight="3pt">
              <v:stroke endarrow="block"/>
            </v:shape>
            <v:shape id="_x0000_s74544" type="#_x0000_t32" style="position:absolute;left:3885;top:3991;width:0;height:301;flip:y" o:connectortype="straight" o:regroupid="121" strokecolor="#bfbfbf [2412]" strokeweight="3pt">
              <v:stroke endarrow="block"/>
            </v:shape>
            <v:shape id="_x0000_s74532" type="#_x0000_t202" style="position:absolute;left:2668;top:7352;width:3812;height:842;mso-height-percent:200;mso-height-percent:200;mso-width-relative:margin;mso-height-relative:margin" o:regroupid="122" strokecolor="#bfbfbf [2412]" strokeweight="2.25pt">
              <v:textbox style="mso-next-textbox:#_x0000_s74532;mso-fit-shape-to-text:t">
                <w:txbxContent>
                  <w:p w:rsidR="00BE5795" w:rsidRPr="00A83762" w:rsidRDefault="00BE5795" w:rsidP="00AA680E">
                    <w:pPr>
                      <w:spacing w:line="200" w:lineRule="exact"/>
                      <w:jc w:val="center"/>
                      <w:rPr>
                        <w:b/>
                        <w:caps/>
                        <w:sz w:val="22"/>
                        <w:szCs w:val="22"/>
                        <w:lang w:val="lt-LT"/>
                      </w:rPr>
                    </w:pPr>
                    <w:r w:rsidRPr="00A83762">
                      <w:rPr>
                        <w:b/>
                        <w:caps/>
                        <w:sz w:val="22"/>
                        <w:szCs w:val="22"/>
                        <w:lang w:val="lt-LT"/>
                      </w:rPr>
                      <w:t xml:space="preserve">Audito rizikos vertinimo schema </w:t>
                    </w:r>
                  </w:p>
                  <w:p w:rsidR="00BE5795" w:rsidRPr="00F616EC" w:rsidRDefault="00BE5795" w:rsidP="009B09DA">
                    <w:pPr>
                      <w:jc w:val="center"/>
                      <w:rPr>
                        <w:b/>
                        <w:sz w:val="22"/>
                        <w:szCs w:val="22"/>
                        <w:lang w:val="lt-LT"/>
                      </w:rPr>
                    </w:pPr>
                    <w:r w:rsidRPr="00F616EC">
                      <w:rPr>
                        <w:b/>
                        <w:sz w:val="22"/>
                        <w:szCs w:val="22"/>
                        <w:lang w:val="lt-LT"/>
                      </w:rPr>
                      <w:t>(</w:t>
                    </w:r>
                    <w:r>
                      <w:rPr>
                        <w:b/>
                        <w:sz w:val="22"/>
                        <w:szCs w:val="22"/>
                        <w:lang w:val="lt-LT"/>
                      </w:rPr>
                      <w:t>20</w:t>
                    </w:r>
                    <w:r w:rsidRPr="00F616EC">
                      <w:rPr>
                        <w:b/>
                        <w:sz w:val="22"/>
                        <w:szCs w:val="22"/>
                        <w:lang w:val="lt-LT"/>
                      </w:rPr>
                      <w:t xml:space="preserve"> pav</w:t>
                    </w:r>
                    <w:r>
                      <w:rPr>
                        <w:b/>
                        <w:sz w:val="22"/>
                        <w:szCs w:val="22"/>
                        <w:lang w:val="lt-LT"/>
                      </w:rPr>
                      <w:t>.</w:t>
                    </w:r>
                    <w:r w:rsidRPr="00F616EC">
                      <w:rPr>
                        <w:b/>
                        <w:sz w:val="22"/>
                        <w:szCs w:val="22"/>
                        <w:lang w:val="lt-LT"/>
                      </w:rPr>
                      <w:t>)</w:t>
                    </w:r>
                  </w:p>
                </w:txbxContent>
              </v:textbox>
            </v:shape>
            <v:shape id="_x0000_s74537" type="#_x0000_t202" style="position:absolute;left:2594;top:8687;width:7156;height:742;mso-width-relative:margin;mso-height-relative:margin" o:regroupid="122" strokecolor="#bfbfbf [2412]" strokeweight="4.5pt">
              <v:stroke linestyle="thinThick"/>
              <v:textbox style="mso-next-textbox:#_x0000_s74537">
                <w:txbxContent>
                  <w:p w:rsidR="00BE5795" w:rsidRPr="00F616EC" w:rsidRDefault="00BE5795" w:rsidP="00B53D22">
                    <w:pPr>
                      <w:spacing w:before="120"/>
                      <w:jc w:val="center"/>
                      <w:rPr>
                        <w:b/>
                        <w:caps/>
                        <w:sz w:val="22"/>
                        <w:szCs w:val="22"/>
                        <w:lang w:val="lt-LT"/>
                      </w:rPr>
                    </w:pPr>
                    <w:r w:rsidRPr="00F616EC">
                      <w:rPr>
                        <w:b/>
                        <w:caps/>
                        <w:sz w:val="22"/>
                        <w:szCs w:val="22"/>
                        <w:lang w:val="lt-LT"/>
                      </w:rPr>
                      <w:t xml:space="preserve">Audito rizikos vertinimo </w:t>
                    </w:r>
                    <w:r>
                      <w:rPr>
                        <w:b/>
                        <w:caps/>
                        <w:sz w:val="22"/>
                        <w:szCs w:val="22"/>
                        <w:lang w:val="lt-LT"/>
                      </w:rPr>
                      <w:t>modelis</w:t>
                    </w:r>
                  </w:p>
                </w:txbxContent>
              </v:textbox>
            </v:shape>
            <v:shape id="_x0000_s74540" type="#_x0000_t32" style="position:absolute;left:6525;top:7710;width:1140;height:1" o:connectortype="straight" o:regroupid="122" strokecolor="#bfbfbf [2412]" strokeweight="3pt">
              <v:stroke endarrow="block"/>
            </v:shape>
            <v:shape id="_x0000_s74546" type="#_x0000_t32" style="position:absolute;left:4561;top:8253;width:1;height:432" o:connectortype="straight" o:regroupid="122" strokecolor="#bfbfbf [2412]" strokeweight="3pt">
              <v:stroke endarrow="block"/>
            </v:shape>
          </v:group>
        </w:pict>
      </w: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6B6FED" w:rsidRDefault="006B6FED" w:rsidP="00C34386">
      <w:pPr>
        <w:spacing w:line="360" w:lineRule="auto"/>
        <w:ind w:firstLine="720"/>
        <w:jc w:val="both"/>
        <w:rPr>
          <w:sz w:val="26"/>
          <w:szCs w:val="26"/>
          <w:lang w:val="lt-LT"/>
        </w:rPr>
      </w:pPr>
    </w:p>
    <w:p w:rsidR="006B6FED" w:rsidRDefault="006B6FED" w:rsidP="00C34386">
      <w:pPr>
        <w:spacing w:line="360" w:lineRule="auto"/>
        <w:ind w:firstLine="720"/>
        <w:jc w:val="both"/>
        <w:rPr>
          <w:sz w:val="26"/>
          <w:szCs w:val="26"/>
          <w:lang w:val="lt-LT"/>
        </w:rPr>
      </w:pPr>
    </w:p>
    <w:p w:rsidR="006B6FED" w:rsidRDefault="006B6FED"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3E5EF4" w:rsidRDefault="003E5EF4" w:rsidP="00C34386">
      <w:pPr>
        <w:spacing w:line="360" w:lineRule="auto"/>
        <w:ind w:firstLine="720"/>
        <w:jc w:val="both"/>
        <w:rPr>
          <w:sz w:val="26"/>
          <w:szCs w:val="26"/>
          <w:lang w:val="lt-LT"/>
        </w:rPr>
      </w:pPr>
    </w:p>
    <w:p w:rsidR="00D50BDB" w:rsidRDefault="00D50BDB" w:rsidP="00C34386">
      <w:pPr>
        <w:spacing w:line="360" w:lineRule="auto"/>
        <w:ind w:firstLine="720"/>
        <w:jc w:val="both"/>
        <w:rPr>
          <w:sz w:val="26"/>
          <w:szCs w:val="26"/>
          <w:lang w:val="lt-LT"/>
        </w:rPr>
      </w:pPr>
    </w:p>
    <w:p w:rsidR="00311124" w:rsidRDefault="00311124" w:rsidP="006B6FED">
      <w:pPr>
        <w:pStyle w:val="NormalWeb"/>
        <w:spacing w:before="0" w:beforeAutospacing="0" w:after="0" w:afterAutospacing="0"/>
        <w:ind w:firstLine="720"/>
        <w:rPr>
          <w:b/>
          <w:lang w:val="lt-LT"/>
        </w:rPr>
      </w:pPr>
      <w:r>
        <w:rPr>
          <w:sz w:val="20"/>
          <w:szCs w:val="20"/>
          <w:lang w:val="lt-LT"/>
        </w:rPr>
        <w:t xml:space="preserve"> Šaltinis sudaryta autorės.</w:t>
      </w:r>
    </w:p>
    <w:p w:rsidR="00311124" w:rsidRPr="007E09C1" w:rsidRDefault="00311124" w:rsidP="00311124">
      <w:pPr>
        <w:pStyle w:val="NormalWeb"/>
        <w:spacing w:before="0" w:beforeAutospacing="0" w:after="0" w:afterAutospacing="0"/>
        <w:ind w:firstLine="720"/>
        <w:jc w:val="center"/>
        <w:rPr>
          <w:b/>
          <w:sz w:val="26"/>
          <w:szCs w:val="26"/>
          <w:lang w:val="lt-LT"/>
        </w:rPr>
      </w:pPr>
      <w:r w:rsidRPr="007E09C1">
        <w:rPr>
          <w:b/>
          <w:sz w:val="26"/>
          <w:szCs w:val="26"/>
          <w:lang w:val="lt-LT"/>
        </w:rPr>
        <w:t>2</w:t>
      </w:r>
      <w:r w:rsidR="00CE414B">
        <w:rPr>
          <w:b/>
          <w:sz w:val="26"/>
          <w:szCs w:val="26"/>
          <w:lang w:val="lt-LT"/>
        </w:rPr>
        <w:t>2</w:t>
      </w:r>
      <w:r w:rsidRPr="007E09C1">
        <w:rPr>
          <w:b/>
          <w:sz w:val="26"/>
          <w:szCs w:val="26"/>
          <w:lang w:val="lt-LT"/>
        </w:rPr>
        <w:t xml:space="preserve"> pav. Audito rizikos vertinimo </w:t>
      </w:r>
      <w:r>
        <w:rPr>
          <w:b/>
          <w:sz w:val="26"/>
          <w:szCs w:val="26"/>
          <w:lang w:val="lt-LT"/>
        </w:rPr>
        <w:t>modelio struktūra</w:t>
      </w:r>
    </w:p>
    <w:p w:rsidR="004B2F46" w:rsidRDefault="00C34386" w:rsidP="006B6FED">
      <w:pPr>
        <w:spacing w:before="240" w:line="360" w:lineRule="auto"/>
        <w:ind w:firstLine="720"/>
        <w:jc w:val="both"/>
        <w:rPr>
          <w:sz w:val="26"/>
          <w:szCs w:val="26"/>
          <w:lang w:val="lt-LT"/>
        </w:rPr>
      </w:pPr>
      <w:r>
        <w:rPr>
          <w:sz w:val="26"/>
          <w:szCs w:val="26"/>
          <w:lang w:val="lt-LT"/>
        </w:rPr>
        <w:t>S</w:t>
      </w:r>
      <w:r w:rsidR="00B93422" w:rsidRPr="007E09C1">
        <w:rPr>
          <w:sz w:val="26"/>
          <w:szCs w:val="26"/>
          <w:lang w:val="lt-LT"/>
        </w:rPr>
        <w:t>varbu</w:t>
      </w:r>
      <w:r>
        <w:rPr>
          <w:sz w:val="26"/>
          <w:szCs w:val="26"/>
          <w:lang w:val="lt-LT"/>
        </w:rPr>
        <w:t xml:space="preserve"> paminėti</w:t>
      </w:r>
      <w:r w:rsidR="00B93422" w:rsidRPr="007E09C1">
        <w:rPr>
          <w:sz w:val="26"/>
          <w:szCs w:val="26"/>
          <w:lang w:val="lt-LT"/>
        </w:rPr>
        <w:t xml:space="preserve">, kad </w:t>
      </w:r>
      <w:r w:rsidR="003E5EF4">
        <w:rPr>
          <w:sz w:val="26"/>
          <w:szCs w:val="26"/>
          <w:lang w:val="lt-LT"/>
        </w:rPr>
        <w:t>s</w:t>
      </w:r>
      <w:r w:rsidR="00417401">
        <w:rPr>
          <w:sz w:val="26"/>
          <w:szCs w:val="26"/>
          <w:lang w:val="lt-LT"/>
        </w:rPr>
        <w:t>iūlomas</w:t>
      </w:r>
      <w:r w:rsidR="00A3461A" w:rsidRPr="007E09C1">
        <w:rPr>
          <w:sz w:val="26"/>
          <w:szCs w:val="26"/>
          <w:lang w:val="lt-LT"/>
        </w:rPr>
        <w:t xml:space="preserve"> audito rizikos vertinimo modelis </w:t>
      </w:r>
      <w:r w:rsidR="00A3461A" w:rsidRPr="007E09C1">
        <w:rPr>
          <w:i/>
          <w:sz w:val="26"/>
          <w:szCs w:val="26"/>
          <w:lang w:val="lt-LT"/>
        </w:rPr>
        <w:t xml:space="preserve">tenkina </w:t>
      </w:r>
      <w:r w:rsidR="00B93422" w:rsidRPr="007E09C1">
        <w:rPr>
          <w:i/>
          <w:sz w:val="26"/>
          <w:szCs w:val="26"/>
          <w:lang w:val="lt-LT"/>
        </w:rPr>
        <w:t xml:space="preserve">visas </w:t>
      </w:r>
      <w:r w:rsidR="00A3461A" w:rsidRPr="007E09C1">
        <w:rPr>
          <w:i/>
          <w:sz w:val="26"/>
          <w:szCs w:val="26"/>
          <w:lang w:val="lt-LT"/>
        </w:rPr>
        <w:t>sąlygas</w:t>
      </w:r>
      <w:r w:rsidR="00A3461A" w:rsidRPr="007E09C1">
        <w:rPr>
          <w:sz w:val="26"/>
          <w:szCs w:val="26"/>
          <w:lang w:val="lt-LT"/>
        </w:rPr>
        <w:t xml:space="preserve">, </w:t>
      </w:r>
      <w:r w:rsidR="007059A2" w:rsidRPr="007E09C1">
        <w:rPr>
          <w:i/>
          <w:sz w:val="26"/>
          <w:szCs w:val="26"/>
          <w:lang w:val="lt-LT"/>
        </w:rPr>
        <w:t>kurios buvo iškeltos ankstesnėse darbo dalyse</w:t>
      </w:r>
      <w:r w:rsidR="007059A2" w:rsidRPr="007E09C1">
        <w:rPr>
          <w:sz w:val="26"/>
          <w:szCs w:val="26"/>
          <w:lang w:val="lt-LT"/>
        </w:rPr>
        <w:t xml:space="preserve"> –</w:t>
      </w:r>
      <w:r w:rsidR="00B93422" w:rsidRPr="007E09C1">
        <w:rPr>
          <w:sz w:val="26"/>
          <w:szCs w:val="26"/>
          <w:lang w:val="lt-LT"/>
        </w:rPr>
        <w:t xml:space="preserve"> atlikus kritinę mokslo darbuose siūlomų audito rizikos modelių lyginamąją analizę bei apibendrinus anketinės apklausos, orientuotos į Lietuvos auditorių patirtį ir </w:t>
      </w:r>
      <w:r w:rsidR="00FE68B9">
        <w:rPr>
          <w:sz w:val="26"/>
          <w:szCs w:val="26"/>
          <w:lang w:val="lt-LT"/>
        </w:rPr>
        <w:t>problemas</w:t>
      </w:r>
      <w:r w:rsidR="00B93422" w:rsidRPr="007E09C1">
        <w:rPr>
          <w:sz w:val="26"/>
          <w:szCs w:val="26"/>
          <w:lang w:val="lt-LT"/>
        </w:rPr>
        <w:t xml:space="preserve"> vertinant audito riziką, rezultatus</w:t>
      </w:r>
      <w:r w:rsidR="007059A2" w:rsidRPr="007E09C1">
        <w:rPr>
          <w:sz w:val="26"/>
          <w:szCs w:val="26"/>
          <w:lang w:val="lt-LT"/>
        </w:rPr>
        <w:t xml:space="preserve">. Visa tai iliustruoja </w:t>
      </w:r>
      <w:r w:rsidR="0099665D">
        <w:rPr>
          <w:sz w:val="26"/>
          <w:szCs w:val="26"/>
          <w:lang w:val="lt-LT"/>
        </w:rPr>
        <w:t>40</w:t>
      </w:r>
      <w:r w:rsidR="00B93422" w:rsidRPr="007E09C1">
        <w:rPr>
          <w:sz w:val="26"/>
          <w:szCs w:val="26"/>
          <w:lang w:val="lt-LT"/>
        </w:rPr>
        <w:t xml:space="preserve"> lentelė. </w:t>
      </w:r>
    </w:p>
    <w:p w:rsidR="004F52FC" w:rsidRDefault="004F52FC" w:rsidP="006B6FED">
      <w:pPr>
        <w:spacing w:before="240" w:line="360" w:lineRule="auto"/>
        <w:ind w:firstLine="720"/>
        <w:jc w:val="both"/>
        <w:rPr>
          <w:sz w:val="26"/>
          <w:szCs w:val="26"/>
          <w:lang w:val="lt-LT"/>
        </w:rPr>
      </w:pPr>
    </w:p>
    <w:p w:rsidR="004F52FC" w:rsidRDefault="004F52FC" w:rsidP="006B6FED">
      <w:pPr>
        <w:spacing w:before="240" w:line="360" w:lineRule="auto"/>
        <w:ind w:firstLine="720"/>
        <w:jc w:val="both"/>
        <w:rPr>
          <w:sz w:val="26"/>
          <w:szCs w:val="26"/>
          <w:lang w:val="lt-LT"/>
        </w:rPr>
      </w:pPr>
    </w:p>
    <w:p w:rsidR="00B70D56" w:rsidRDefault="00B70D56" w:rsidP="001537A6">
      <w:pPr>
        <w:spacing w:line="360" w:lineRule="auto"/>
        <w:ind w:firstLine="720"/>
        <w:jc w:val="right"/>
        <w:rPr>
          <w:i/>
          <w:sz w:val="26"/>
          <w:szCs w:val="26"/>
          <w:lang w:val="lt-LT"/>
        </w:rPr>
      </w:pPr>
    </w:p>
    <w:p w:rsidR="001537A6" w:rsidRPr="007E09C1" w:rsidRDefault="0099665D" w:rsidP="001537A6">
      <w:pPr>
        <w:spacing w:line="360" w:lineRule="auto"/>
        <w:ind w:firstLine="720"/>
        <w:jc w:val="right"/>
        <w:rPr>
          <w:i/>
          <w:sz w:val="26"/>
          <w:szCs w:val="26"/>
          <w:lang w:val="lt-LT"/>
        </w:rPr>
      </w:pPr>
      <w:r>
        <w:rPr>
          <w:i/>
          <w:sz w:val="26"/>
          <w:szCs w:val="26"/>
          <w:lang w:val="lt-LT"/>
        </w:rPr>
        <w:lastRenderedPageBreak/>
        <w:t>40</w:t>
      </w:r>
      <w:r w:rsidR="001537A6" w:rsidRPr="007E09C1">
        <w:rPr>
          <w:i/>
          <w:sz w:val="26"/>
          <w:szCs w:val="26"/>
          <w:lang w:val="lt-LT"/>
        </w:rPr>
        <w:t xml:space="preserve"> lentelė</w:t>
      </w:r>
    </w:p>
    <w:p w:rsidR="001537A6" w:rsidRPr="007E09C1" w:rsidRDefault="001537A6" w:rsidP="001537A6">
      <w:pPr>
        <w:pStyle w:val="NormalWeb"/>
        <w:spacing w:before="0" w:beforeAutospacing="0" w:after="0" w:afterAutospacing="0" w:line="360" w:lineRule="auto"/>
        <w:ind w:firstLine="720"/>
        <w:jc w:val="center"/>
        <w:rPr>
          <w:sz w:val="26"/>
          <w:szCs w:val="26"/>
          <w:lang w:val="lt-LT"/>
        </w:rPr>
      </w:pPr>
      <w:r w:rsidRPr="007E09C1">
        <w:rPr>
          <w:b/>
          <w:sz w:val="26"/>
          <w:szCs w:val="26"/>
          <w:lang w:val="lt-LT"/>
        </w:rPr>
        <w:t>Audito rizikos vertinimo modelio atitikimas iškeltoms sąlygoms</w:t>
      </w:r>
    </w:p>
    <w:tbl>
      <w:tblPr>
        <w:tblStyle w:val="TableGrid"/>
        <w:tblW w:w="0" w:type="auto"/>
        <w:tblInd w:w="250" w:type="dxa"/>
        <w:tblLook w:val="04A0"/>
      </w:tblPr>
      <w:tblGrid>
        <w:gridCol w:w="1516"/>
        <w:gridCol w:w="4709"/>
        <w:gridCol w:w="2019"/>
      </w:tblGrid>
      <w:tr w:rsidR="003B600B" w:rsidRPr="007928C8" w:rsidTr="001D1C65">
        <w:tc>
          <w:tcPr>
            <w:tcW w:w="1516" w:type="dxa"/>
          </w:tcPr>
          <w:p w:rsidR="003B600B" w:rsidRPr="007928C8" w:rsidRDefault="003B600B" w:rsidP="001537A6">
            <w:pPr>
              <w:jc w:val="center"/>
              <w:rPr>
                <w:b/>
                <w:sz w:val="22"/>
                <w:szCs w:val="22"/>
                <w:lang w:val="lt-LT"/>
              </w:rPr>
            </w:pPr>
            <w:r w:rsidRPr="007928C8">
              <w:rPr>
                <w:b/>
                <w:sz w:val="22"/>
                <w:szCs w:val="22"/>
                <w:lang w:val="lt-LT"/>
              </w:rPr>
              <w:t>Pagrindas</w:t>
            </w:r>
          </w:p>
        </w:tc>
        <w:tc>
          <w:tcPr>
            <w:tcW w:w="4709" w:type="dxa"/>
          </w:tcPr>
          <w:p w:rsidR="003B600B" w:rsidRPr="007928C8" w:rsidRDefault="003B600B" w:rsidP="001537A6">
            <w:pPr>
              <w:jc w:val="center"/>
              <w:rPr>
                <w:b/>
                <w:sz w:val="22"/>
                <w:szCs w:val="22"/>
                <w:lang w:val="lt-LT"/>
              </w:rPr>
            </w:pPr>
            <w:r w:rsidRPr="007928C8">
              <w:rPr>
                <w:b/>
                <w:sz w:val="22"/>
                <w:szCs w:val="22"/>
                <w:lang w:val="lt-LT"/>
              </w:rPr>
              <w:t>Sąlyga</w:t>
            </w:r>
          </w:p>
        </w:tc>
        <w:tc>
          <w:tcPr>
            <w:tcW w:w="2019" w:type="dxa"/>
          </w:tcPr>
          <w:p w:rsidR="003B600B" w:rsidRPr="007928C8" w:rsidRDefault="003B600B" w:rsidP="001537A6">
            <w:pPr>
              <w:jc w:val="center"/>
              <w:rPr>
                <w:b/>
                <w:sz w:val="22"/>
                <w:szCs w:val="22"/>
                <w:lang w:val="lt-LT"/>
              </w:rPr>
            </w:pPr>
            <w:r w:rsidRPr="007928C8">
              <w:rPr>
                <w:b/>
                <w:sz w:val="22"/>
                <w:szCs w:val="22"/>
                <w:lang w:val="lt-LT"/>
              </w:rPr>
              <w:t>Ar</w:t>
            </w:r>
            <w:r w:rsidR="001537A6" w:rsidRPr="007928C8">
              <w:rPr>
                <w:b/>
                <w:sz w:val="22"/>
                <w:szCs w:val="22"/>
                <w:lang w:val="lt-LT"/>
              </w:rPr>
              <w:t xml:space="preserve"> sąlyga </w:t>
            </w:r>
            <w:r w:rsidRPr="007928C8">
              <w:rPr>
                <w:b/>
                <w:sz w:val="22"/>
                <w:szCs w:val="22"/>
                <w:lang w:val="lt-LT"/>
              </w:rPr>
              <w:t>tenkinama?</w:t>
            </w:r>
          </w:p>
        </w:tc>
      </w:tr>
      <w:tr w:rsidR="003B600B" w:rsidRPr="007928C8" w:rsidTr="001D1C65">
        <w:tc>
          <w:tcPr>
            <w:tcW w:w="1516" w:type="dxa"/>
            <w:vMerge w:val="restart"/>
          </w:tcPr>
          <w:p w:rsidR="003B600B" w:rsidRPr="007928C8" w:rsidRDefault="001D1C65" w:rsidP="001D1C65">
            <w:pPr>
              <w:jc w:val="both"/>
              <w:rPr>
                <w:sz w:val="22"/>
                <w:szCs w:val="22"/>
                <w:lang w:val="lt-LT"/>
              </w:rPr>
            </w:pPr>
            <w:r>
              <w:rPr>
                <w:sz w:val="22"/>
                <w:szCs w:val="22"/>
                <w:lang w:val="lt-LT"/>
              </w:rPr>
              <w:t>K</w:t>
            </w:r>
            <w:r w:rsidR="003B600B" w:rsidRPr="007928C8">
              <w:rPr>
                <w:sz w:val="22"/>
                <w:szCs w:val="22"/>
                <w:lang w:val="lt-LT"/>
              </w:rPr>
              <w:t>ritinė audito rizikos modelių lyginamoji analizė</w:t>
            </w:r>
          </w:p>
        </w:tc>
        <w:tc>
          <w:tcPr>
            <w:tcW w:w="4709" w:type="dxa"/>
          </w:tcPr>
          <w:p w:rsidR="003B600B" w:rsidRPr="007928C8" w:rsidRDefault="003B600B" w:rsidP="001537A6">
            <w:pPr>
              <w:jc w:val="both"/>
              <w:rPr>
                <w:sz w:val="22"/>
                <w:szCs w:val="22"/>
                <w:lang w:val="lt-LT"/>
              </w:rPr>
            </w:pPr>
            <w:r w:rsidRPr="007928C8">
              <w:rPr>
                <w:sz w:val="22"/>
                <w:szCs w:val="22"/>
                <w:lang w:val="lt-LT"/>
              </w:rPr>
              <w:t>pripažinti audito rizikos komponentų visumą ir jų pagrindines charakteristikas</w:t>
            </w:r>
            <w:r w:rsidR="004F52FC">
              <w:rPr>
                <w:sz w:val="22"/>
                <w:szCs w:val="22"/>
                <w:lang w:val="lt-LT"/>
              </w:rPr>
              <w:t xml:space="preserve"> bei lemiančia sąlygas</w:t>
            </w:r>
          </w:p>
        </w:tc>
        <w:tc>
          <w:tcPr>
            <w:tcW w:w="2019" w:type="dxa"/>
          </w:tcPr>
          <w:p w:rsidR="003B600B" w:rsidRPr="007928C8" w:rsidRDefault="001537A6" w:rsidP="007059A2">
            <w:pPr>
              <w:jc w:val="center"/>
              <w:rPr>
                <w:sz w:val="22"/>
                <w:szCs w:val="22"/>
                <w:lang w:val="lt-LT"/>
              </w:rPr>
            </w:pPr>
            <w:r w:rsidRPr="007928C8">
              <w:rPr>
                <w:sz w:val="22"/>
                <w:szCs w:val="22"/>
                <w:lang w:val="lt-LT"/>
              </w:rPr>
              <w:t>Taip</w:t>
            </w:r>
          </w:p>
        </w:tc>
      </w:tr>
      <w:tr w:rsidR="001537A6" w:rsidRPr="007928C8" w:rsidTr="001D1C65">
        <w:tc>
          <w:tcPr>
            <w:tcW w:w="1516" w:type="dxa"/>
            <w:vMerge/>
          </w:tcPr>
          <w:p w:rsidR="001537A6" w:rsidRPr="007928C8" w:rsidRDefault="001537A6" w:rsidP="001537A6">
            <w:pPr>
              <w:jc w:val="both"/>
              <w:rPr>
                <w:sz w:val="22"/>
                <w:szCs w:val="22"/>
                <w:lang w:val="lt-LT"/>
              </w:rPr>
            </w:pPr>
          </w:p>
        </w:tc>
        <w:tc>
          <w:tcPr>
            <w:tcW w:w="4709" w:type="dxa"/>
          </w:tcPr>
          <w:p w:rsidR="001537A6" w:rsidRPr="007928C8" w:rsidRDefault="001537A6" w:rsidP="001537A6">
            <w:pPr>
              <w:jc w:val="both"/>
              <w:rPr>
                <w:sz w:val="22"/>
                <w:szCs w:val="22"/>
                <w:lang w:val="lt-LT"/>
              </w:rPr>
            </w:pPr>
            <w:r w:rsidRPr="007928C8">
              <w:rPr>
                <w:sz w:val="22"/>
                <w:szCs w:val="22"/>
                <w:lang w:val="lt-LT"/>
              </w:rPr>
              <w:t>atskleisti priklausomybę tarp audito rizikos komponentų</w:t>
            </w:r>
          </w:p>
        </w:tc>
        <w:tc>
          <w:tcPr>
            <w:tcW w:w="2019" w:type="dxa"/>
          </w:tcPr>
          <w:p w:rsidR="001537A6" w:rsidRPr="007928C8" w:rsidRDefault="001537A6" w:rsidP="001537A6">
            <w:pPr>
              <w:jc w:val="center"/>
              <w:rPr>
                <w:sz w:val="22"/>
                <w:szCs w:val="22"/>
              </w:rPr>
            </w:pPr>
            <w:r w:rsidRPr="007928C8">
              <w:rPr>
                <w:sz w:val="22"/>
                <w:szCs w:val="22"/>
                <w:lang w:val="lt-LT"/>
              </w:rPr>
              <w:t>Taip</w:t>
            </w:r>
          </w:p>
        </w:tc>
      </w:tr>
      <w:tr w:rsidR="001537A6" w:rsidRPr="007928C8" w:rsidTr="001D1C65">
        <w:tc>
          <w:tcPr>
            <w:tcW w:w="1516" w:type="dxa"/>
            <w:vMerge/>
          </w:tcPr>
          <w:p w:rsidR="001537A6" w:rsidRPr="007928C8" w:rsidRDefault="001537A6" w:rsidP="001537A6">
            <w:pPr>
              <w:jc w:val="both"/>
              <w:rPr>
                <w:sz w:val="22"/>
                <w:szCs w:val="22"/>
                <w:lang w:val="lt-LT"/>
              </w:rPr>
            </w:pPr>
          </w:p>
        </w:tc>
        <w:tc>
          <w:tcPr>
            <w:tcW w:w="4709" w:type="dxa"/>
          </w:tcPr>
          <w:p w:rsidR="001537A6" w:rsidRPr="007928C8" w:rsidRDefault="001537A6" w:rsidP="001537A6">
            <w:pPr>
              <w:jc w:val="both"/>
              <w:rPr>
                <w:sz w:val="22"/>
                <w:szCs w:val="22"/>
                <w:lang w:val="lt-LT"/>
              </w:rPr>
            </w:pPr>
            <w:r w:rsidRPr="007928C8">
              <w:rPr>
                <w:sz w:val="22"/>
                <w:szCs w:val="22"/>
                <w:lang w:val="lt-LT"/>
              </w:rPr>
              <w:t>pritaikyti vertinant audito rezultatus</w:t>
            </w:r>
          </w:p>
        </w:tc>
        <w:tc>
          <w:tcPr>
            <w:tcW w:w="2019" w:type="dxa"/>
          </w:tcPr>
          <w:p w:rsidR="001537A6" w:rsidRPr="007928C8" w:rsidRDefault="001537A6" w:rsidP="001537A6">
            <w:pPr>
              <w:jc w:val="center"/>
              <w:rPr>
                <w:sz w:val="22"/>
                <w:szCs w:val="22"/>
              </w:rPr>
            </w:pPr>
            <w:r w:rsidRPr="007928C8">
              <w:rPr>
                <w:sz w:val="22"/>
                <w:szCs w:val="22"/>
                <w:lang w:val="lt-LT"/>
              </w:rPr>
              <w:t>Taip</w:t>
            </w:r>
          </w:p>
        </w:tc>
      </w:tr>
      <w:tr w:rsidR="001537A6" w:rsidRPr="007928C8" w:rsidTr="001D1C65">
        <w:tc>
          <w:tcPr>
            <w:tcW w:w="1516" w:type="dxa"/>
            <w:vMerge/>
          </w:tcPr>
          <w:p w:rsidR="001537A6" w:rsidRPr="007928C8" w:rsidRDefault="001537A6" w:rsidP="001537A6">
            <w:pPr>
              <w:jc w:val="both"/>
              <w:rPr>
                <w:sz w:val="22"/>
                <w:szCs w:val="22"/>
                <w:lang w:val="lt-LT"/>
              </w:rPr>
            </w:pPr>
          </w:p>
        </w:tc>
        <w:tc>
          <w:tcPr>
            <w:tcW w:w="4709" w:type="dxa"/>
          </w:tcPr>
          <w:p w:rsidR="001537A6" w:rsidRPr="007928C8" w:rsidRDefault="001537A6" w:rsidP="001537A6">
            <w:pPr>
              <w:jc w:val="both"/>
              <w:rPr>
                <w:sz w:val="22"/>
                <w:szCs w:val="22"/>
                <w:lang w:val="lt-LT"/>
              </w:rPr>
            </w:pPr>
            <w:r w:rsidRPr="007928C8">
              <w:rPr>
                <w:sz w:val="22"/>
                <w:szCs w:val="22"/>
                <w:lang w:val="lt-LT"/>
              </w:rPr>
              <w:t>nurodyti, kad audito rizika ir/ar jos komponentai vertinami kiekviename audito etape ir skirtingu pasireiškimo lygmeniu</w:t>
            </w:r>
          </w:p>
        </w:tc>
        <w:tc>
          <w:tcPr>
            <w:tcW w:w="2019" w:type="dxa"/>
          </w:tcPr>
          <w:p w:rsidR="001537A6" w:rsidRPr="007928C8" w:rsidRDefault="001537A6" w:rsidP="001537A6">
            <w:pPr>
              <w:jc w:val="center"/>
              <w:rPr>
                <w:sz w:val="22"/>
                <w:szCs w:val="22"/>
              </w:rPr>
            </w:pPr>
            <w:r w:rsidRPr="007928C8">
              <w:rPr>
                <w:sz w:val="22"/>
                <w:szCs w:val="22"/>
                <w:lang w:val="lt-LT"/>
              </w:rPr>
              <w:t>Taip</w:t>
            </w:r>
          </w:p>
        </w:tc>
      </w:tr>
      <w:tr w:rsidR="001537A6" w:rsidRPr="007928C8" w:rsidTr="001D1C65">
        <w:tc>
          <w:tcPr>
            <w:tcW w:w="1516" w:type="dxa"/>
            <w:vMerge/>
          </w:tcPr>
          <w:p w:rsidR="001537A6" w:rsidRPr="007928C8" w:rsidRDefault="001537A6" w:rsidP="001537A6">
            <w:pPr>
              <w:jc w:val="both"/>
              <w:rPr>
                <w:sz w:val="22"/>
                <w:szCs w:val="22"/>
                <w:lang w:val="lt-LT"/>
              </w:rPr>
            </w:pPr>
          </w:p>
        </w:tc>
        <w:tc>
          <w:tcPr>
            <w:tcW w:w="4709" w:type="dxa"/>
          </w:tcPr>
          <w:p w:rsidR="001537A6" w:rsidRPr="007928C8" w:rsidRDefault="001537A6" w:rsidP="001537A6">
            <w:pPr>
              <w:jc w:val="both"/>
              <w:rPr>
                <w:sz w:val="22"/>
                <w:szCs w:val="22"/>
                <w:lang w:val="lt-LT"/>
              </w:rPr>
            </w:pPr>
            <w:r w:rsidRPr="007928C8">
              <w:rPr>
                <w:sz w:val="22"/>
                <w:szCs w:val="22"/>
                <w:lang w:val="lt-LT"/>
              </w:rPr>
              <w:t>pateikti audito etapus pagal taikomą audito praktiką</w:t>
            </w:r>
          </w:p>
        </w:tc>
        <w:tc>
          <w:tcPr>
            <w:tcW w:w="2019" w:type="dxa"/>
          </w:tcPr>
          <w:p w:rsidR="001537A6" w:rsidRPr="007928C8" w:rsidRDefault="001537A6" w:rsidP="001537A6">
            <w:pPr>
              <w:jc w:val="center"/>
              <w:rPr>
                <w:sz w:val="22"/>
                <w:szCs w:val="22"/>
              </w:rPr>
            </w:pPr>
            <w:r w:rsidRPr="007928C8">
              <w:rPr>
                <w:sz w:val="22"/>
                <w:szCs w:val="22"/>
                <w:lang w:val="lt-LT"/>
              </w:rPr>
              <w:t>Taip</w:t>
            </w:r>
          </w:p>
        </w:tc>
      </w:tr>
      <w:tr w:rsidR="001537A6" w:rsidRPr="007928C8" w:rsidTr="001D1C65">
        <w:tc>
          <w:tcPr>
            <w:tcW w:w="1516" w:type="dxa"/>
            <w:vMerge/>
          </w:tcPr>
          <w:p w:rsidR="001537A6" w:rsidRPr="007928C8" w:rsidRDefault="001537A6" w:rsidP="001537A6">
            <w:pPr>
              <w:jc w:val="both"/>
              <w:rPr>
                <w:sz w:val="22"/>
                <w:szCs w:val="22"/>
                <w:lang w:val="lt-LT"/>
              </w:rPr>
            </w:pPr>
          </w:p>
        </w:tc>
        <w:tc>
          <w:tcPr>
            <w:tcW w:w="4709" w:type="dxa"/>
          </w:tcPr>
          <w:p w:rsidR="001537A6" w:rsidRPr="007928C8" w:rsidRDefault="001537A6" w:rsidP="001537A6">
            <w:pPr>
              <w:jc w:val="both"/>
              <w:rPr>
                <w:sz w:val="22"/>
                <w:szCs w:val="22"/>
                <w:lang w:val="lt-LT"/>
              </w:rPr>
            </w:pPr>
            <w:r w:rsidRPr="007928C8">
              <w:rPr>
                <w:sz w:val="22"/>
                <w:szCs w:val="22"/>
                <w:lang w:val="lt-LT"/>
              </w:rPr>
              <w:t>atskleisti iteratyvinę sprendimų priėmimo rizikos vertinimo procese prigimtį</w:t>
            </w:r>
          </w:p>
        </w:tc>
        <w:tc>
          <w:tcPr>
            <w:tcW w:w="2019" w:type="dxa"/>
          </w:tcPr>
          <w:p w:rsidR="001537A6" w:rsidRPr="007928C8" w:rsidRDefault="001537A6" w:rsidP="001537A6">
            <w:pPr>
              <w:jc w:val="center"/>
              <w:rPr>
                <w:sz w:val="22"/>
                <w:szCs w:val="22"/>
              </w:rPr>
            </w:pPr>
            <w:r w:rsidRPr="007928C8">
              <w:rPr>
                <w:sz w:val="22"/>
                <w:szCs w:val="22"/>
                <w:lang w:val="lt-LT"/>
              </w:rPr>
              <w:t>Taip</w:t>
            </w:r>
          </w:p>
        </w:tc>
      </w:tr>
      <w:tr w:rsidR="001537A6" w:rsidRPr="007928C8" w:rsidTr="001D1C65">
        <w:tc>
          <w:tcPr>
            <w:tcW w:w="1516" w:type="dxa"/>
            <w:vMerge w:val="restart"/>
          </w:tcPr>
          <w:p w:rsidR="001537A6" w:rsidRPr="007928C8" w:rsidRDefault="001D1C65" w:rsidP="001D1C65">
            <w:pPr>
              <w:jc w:val="both"/>
              <w:rPr>
                <w:sz w:val="22"/>
                <w:szCs w:val="22"/>
                <w:lang w:val="lt-LT"/>
              </w:rPr>
            </w:pPr>
            <w:r>
              <w:rPr>
                <w:sz w:val="22"/>
                <w:szCs w:val="22"/>
                <w:lang w:val="lt-LT"/>
              </w:rPr>
              <w:t>A</w:t>
            </w:r>
            <w:r w:rsidR="001537A6" w:rsidRPr="007928C8">
              <w:rPr>
                <w:sz w:val="22"/>
                <w:szCs w:val="22"/>
                <w:lang w:val="lt-LT"/>
              </w:rPr>
              <w:t>nketinė Lietuvos auditorių apklausa</w:t>
            </w:r>
          </w:p>
        </w:tc>
        <w:tc>
          <w:tcPr>
            <w:tcW w:w="4709" w:type="dxa"/>
          </w:tcPr>
          <w:p w:rsidR="001537A6" w:rsidRPr="007928C8" w:rsidRDefault="001537A6" w:rsidP="001537A6">
            <w:pPr>
              <w:jc w:val="both"/>
              <w:rPr>
                <w:sz w:val="22"/>
                <w:szCs w:val="22"/>
                <w:lang w:val="lt-LT"/>
              </w:rPr>
            </w:pPr>
            <w:r w:rsidRPr="007928C8">
              <w:rPr>
                <w:sz w:val="22"/>
                <w:szCs w:val="22"/>
                <w:lang w:val="lt-LT"/>
              </w:rPr>
              <w:t>parodyti audito rizikos komponentų tarpusavio priklausomybę</w:t>
            </w:r>
          </w:p>
        </w:tc>
        <w:tc>
          <w:tcPr>
            <w:tcW w:w="2019" w:type="dxa"/>
          </w:tcPr>
          <w:p w:rsidR="001537A6" w:rsidRPr="007928C8" w:rsidRDefault="001537A6" w:rsidP="001537A6">
            <w:pPr>
              <w:jc w:val="center"/>
              <w:rPr>
                <w:sz w:val="22"/>
                <w:szCs w:val="22"/>
              </w:rPr>
            </w:pPr>
            <w:r w:rsidRPr="007928C8">
              <w:rPr>
                <w:sz w:val="22"/>
                <w:szCs w:val="22"/>
                <w:lang w:val="lt-LT"/>
              </w:rPr>
              <w:t>Taip</w:t>
            </w:r>
          </w:p>
        </w:tc>
      </w:tr>
      <w:tr w:rsidR="001537A6" w:rsidRPr="007928C8" w:rsidTr="001D1C65">
        <w:tc>
          <w:tcPr>
            <w:tcW w:w="1516" w:type="dxa"/>
            <w:vMerge/>
          </w:tcPr>
          <w:p w:rsidR="001537A6" w:rsidRPr="007928C8" w:rsidRDefault="001537A6" w:rsidP="001537A6">
            <w:pPr>
              <w:jc w:val="both"/>
              <w:rPr>
                <w:sz w:val="22"/>
                <w:szCs w:val="22"/>
                <w:lang w:val="lt-LT"/>
              </w:rPr>
            </w:pPr>
          </w:p>
        </w:tc>
        <w:tc>
          <w:tcPr>
            <w:tcW w:w="4709" w:type="dxa"/>
          </w:tcPr>
          <w:p w:rsidR="001537A6" w:rsidRPr="007928C8" w:rsidRDefault="001537A6" w:rsidP="001537A6">
            <w:pPr>
              <w:jc w:val="both"/>
              <w:rPr>
                <w:sz w:val="22"/>
                <w:szCs w:val="22"/>
                <w:lang w:val="lt-LT"/>
              </w:rPr>
            </w:pPr>
            <w:r w:rsidRPr="007928C8">
              <w:rPr>
                <w:sz w:val="22"/>
                <w:szCs w:val="22"/>
                <w:lang w:val="lt-LT"/>
              </w:rPr>
              <w:t>nurodyti, kad audito rizika ir/ar jos komponentai vertinami kiekviename audito etape ir skirtingu pasireiškimo lygmeniu</w:t>
            </w:r>
          </w:p>
        </w:tc>
        <w:tc>
          <w:tcPr>
            <w:tcW w:w="2019" w:type="dxa"/>
          </w:tcPr>
          <w:p w:rsidR="001537A6" w:rsidRPr="007928C8" w:rsidRDefault="001537A6" w:rsidP="001537A6">
            <w:pPr>
              <w:jc w:val="center"/>
              <w:rPr>
                <w:sz w:val="22"/>
                <w:szCs w:val="22"/>
              </w:rPr>
            </w:pPr>
            <w:r w:rsidRPr="007928C8">
              <w:rPr>
                <w:sz w:val="22"/>
                <w:szCs w:val="22"/>
                <w:lang w:val="lt-LT"/>
              </w:rPr>
              <w:t>Taip</w:t>
            </w:r>
          </w:p>
        </w:tc>
      </w:tr>
      <w:tr w:rsidR="001537A6" w:rsidRPr="007928C8" w:rsidTr="001D1C65">
        <w:tc>
          <w:tcPr>
            <w:tcW w:w="1516" w:type="dxa"/>
            <w:vMerge/>
          </w:tcPr>
          <w:p w:rsidR="001537A6" w:rsidRPr="007928C8" w:rsidRDefault="001537A6" w:rsidP="001537A6">
            <w:pPr>
              <w:jc w:val="both"/>
              <w:rPr>
                <w:sz w:val="22"/>
                <w:szCs w:val="22"/>
                <w:lang w:val="lt-LT"/>
              </w:rPr>
            </w:pPr>
          </w:p>
        </w:tc>
        <w:tc>
          <w:tcPr>
            <w:tcW w:w="4709" w:type="dxa"/>
          </w:tcPr>
          <w:p w:rsidR="001537A6" w:rsidRPr="007928C8" w:rsidRDefault="001537A6" w:rsidP="001537A6">
            <w:pPr>
              <w:jc w:val="both"/>
              <w:rPr>
                <w:sz w:val="22"/>
                <w:szCs w:val="22"/>
                <w:lang w:val="lt-LT"/>
              </w:rPr>
            </w:pPr>
            <w:r w:rsidRPr="007928C8">
              <w:rPr>
                <w:sz w:val="22"/>
                <w:szCs w:val="22"/>
                <w:lang w:val="lt-LT"/>
              </w:rPr>
              <w:t>audito rizikos komponentus išskirti taip, kad reikšmingo iškraipymo rizika būtų skiriama į pasireiškiančią dėl apgaulės ir dėl klaidos; audituojamos įmonės verslo rizika būtų suprantama kaip sudėtinė reikšmingo iškraipymo rizikos dalis, o aptikimo rizika dėl atrankos taikymo ir dėl ne atrankos taikymo būtų analizuojama atskirai</w:t>
            </w:r>
          </w:p>
        </w:tc>
        <w:tc>
          <w:tcPr>
            <w:tcW w:w="2019" w:type="dxa"/>
          </w:tcPr>
          <w:p w:rsidR="001537A6" w:rsidRPr="007928C8" w:rsidRDefault="001537A6" w:rsidP="001537A6">
            <w:pPr>
              <w:jc w:val="center"/>
              <w:rPr>
                <w:sz w:val="22"/>
                <w:szCs w:val="22"/>
              </w:rPr>
            </w:pPr>
            <w:r w:rsidRPr="007928C8">
              <w:rPr>
                <w:sz w:val="22"/>
                <w:szCs w:val="22"/>
                <w:lang w:val="lt-LT"/>
              </w:rPr>
              <w:t>Taip</w:t>
            </w:r>
          </w:p>
        </w:tc>
      </w:tr>
      <w:tr w:rsidR="001537A6" w:rsidRPr="007928C8" w:rsidTr="001D1C65">
        <w:tc>
          <w:tcPr>
            <w:tcW w:w="1516" w:type="dxa"/>
            <w:vMerge/>
          </w:tcPr>
          <w:p w:rsidR="001537A6" w:rsidRPr="007928C8" w:rsidRDefault="001537A6" w:rsidP="001537A6">
            <w:pPr>
              <w:jc w:val="both"/>
              <w:rPr>
                <w:sz w:val="22"/>
                <w:szCs w:val="22"/>
                <w:lang w:val="lt-LT"/>
              </w:rPr>
            </w:pPr>
          </w:p>
        </w:tc>
        <w:tc>
          <w:tcPr>
            <w:tcW w:w="4709" w:type="dxa"/>
          </w:tcPr>
          <w:p w:rsidR="001537A6" w:rsidRPr="007928C8" w:rsidRDefault="001537A6" w:rsidP="001537A6">
            <w:pPr>
              <w:jc w:val="both"/>
              <w:rPr>
                <w:sz w:val="22"/>
                <w:szCs w:val="22"/>
                <w:lang w:val="lt-LT"/>
              </w:rPr>
            </w:pPr>
            <w:r w:rsidRPr="007928C8">
              <w:rPr>
                <w:sz w:val="22"/>
                <w:szCs w:val="22"/>
                <w:lang w:val="lt-LT"/>
              </w:rPr>
              <w:t>atsižvelgti į kitus veiksnius, lemiančius audito riziką.</w:t>
            </w:r>
          </w:p>
        </w:tc>
        <w:tc>
          <w:tcPr>
            <w:tcW w:w="2019" w:type="dxa"/>
          </w:tcPr>
          <w:p w:rsidR="001537A6" w:rsidRPr="007928C8" w:rsidRDefault="001537A6" w:rsidP="001537A6">
            <w:pPr>
              <w:jc w:val="center"/>
              <w:rPr>
                <w:sz w:val="22"/>
                <w:szCs w:val="22"/>
              </w:rPr>
            </w:pPr>
            <w:r w:rsidRPr="007928C8">
              <w:rPr>
                <w:sz w:val="22"/>
                <w:szCs w:val="22"/>
                <w:lang w:val="lt-LT"/>
              </w:rPr>
              <w:t>Taip</w:t>
            </w:r>
          </w:p>
        </w:tc>
      </w:tr>
    </w:tbl>
    <w:p w:rsidR="00DD567B" w:rsidRDefault="001D1C65" w:rsidP="00DD567B">
      <w:pPr>
        <w:spacing w:line="360" w:lineRule="auto"/>
        <w:jc w:val="both"/>
        <w:rPr>
          <w:lang w:val="lt-LT"/>
        </w:rPr>
      </w:pPr>
      <w:r>
        <w:rPr>
          <w:lang w:val="lt-LT"/>
        </w:rPr>
        <w:t xml:space="preserve">   </w:t>
      </w:r>
      <w:r w:rsidR="00DD567B">
        <w:rPr>
          <w:lang w:val="lt-LT"/>
        </w:rPr>
        <w:t>Šaltinis sudaryta autorės.</w:t>
      </w:r>
    </w:p>
    <w:p w:rsidR="0039085F" w:rsidRPr="007928C8" w:rsidRDefault="00C45B5F" w:rsidP="001A7E0B">
      <w:pPr>
        <w:spacing w:before="240" w:line="360" w:lineRule="auto"/>
        <w:ind w:firstLine="720"/>
        <w:jc w:val="both"/>
        <w:rPr>
          <w:i/>
          <w:sz w:val="26"/>
          <w:szCs w:val="26"/>
          <w:lang w:val="lt-LT" w:eastAsia="en-US"/>
        </w:rPr>
      </w:pPr>
      <w:r w:rsidRPr="007928C8">
        <w:rPr>
          <w:i/>
          <w:sz w:val="26"/>
          <w:szCs w:val="26"/>
          <w:lang w:val="lt-LT" w:eastAsia="en-US"/>
        </w:rPr>
        <w:t xml:space="preserve">Trečioje disertacijos </w:t>
      </w:r>
      <w:r w:rsidR="0039085F" w:rsidRPr="007928C8">
        <w:rPr>
          <w:i/>
          <w:sz w:val="26"/>
          <w:szCs w:val="26"/>
          <w:lang w:val="lt-LT" w:eastAsia="en-US"/>
        </w:rPr>
        <w:t>dalyje</w:t>
      </w:r>
      <w:r w:rsidRPr="007928C8">
        <w:rPr>
          <w:i/>
          <w:sz w:val="26"/>
          <w:szCs w:val="26"/>
          <w:lang w:val="lt-LT" w:eastAsia="en-US"/>
        </w:rPr>
        <w:t xml:space="preserve"> buvo patikrintas darbo autorės sudarytas audito rizikos vertinimo modelis pagal iškeltas hipotezes konkrečių auditų (UAB „Šiluma“ ir </w:t>
      </w:r>
      <w:r w:rsidR="0039085F" w:rsidRPr="007928C8">
        <w:rPr>
          <w:i/>
          <w:sz w:val="26"/>
          <w:szCs w:val="26"/>
          <w:lang w:val="lt-LT" w:eastAsia="en-US"/>
        </w:rPr>
        <w:t xml:space="preserve">Žuvila“) pavyzdžiu. Tikrinimo rezultatai patvirtino šio modelio </w:t>
      </w:r>
      <w:r w:rsidR="007E348A">
        <w:rPr>
          <w:i/>
          <w:sz w:val="26"/>
          <w:szCs w:val="26"/>
          <w:lang w:val="lt-LT" w:eastAsia="en-US"/>
        </w:rPr>
        <w:t>sudėtines dalis</w:t>
      </w:r>
      <w:r w:rsidR="0039085F" w:rsidRPr="007928C8">
        <w:rPr>
          <w:i/>
          <w:sz w:val="26"/>
          <w:szCs w:val="26"/>
          <w:lang w:val="lt-LT" w:eastAsia="en-US"/>
        </w:rPr>
        <w:t xml:space="preserve"> bei jų ryšius ir </w:t>
      </w:r>
      <w:r w:rsidR="00EB770B" w:rsidRPr="007928C8">
        <w:rPr>
          <w:i/>
          <w:sz w:val="26"/>
          <w:szCs w:val="26"/>
          <w:lang w:val="lt-LT" w:eastAsia="en-US"/>
        </w:rPr>
        <w:t xml:space="preserve">tai, kad </w:t>
      </w:r>
      <w:r w:rsidR="0039085F" w:rsidRPr="007928C8">
        <w:rPr>
          <w:i/>
          <w:sz w:val="26"/>
          <w:szCs w:val="26"/>
          <w:lang w:val="lt-LT" w:eastAsia="en-US"/>
        </w:rPr>
        <w:t>jis yra pritaikomas praktikoje įvertinant audito riziką.</w:t>
      </w:r>
    </w:p>
    <w:p w:rsidR="007C6F38" w:rsidRDefault="0039085F" w:rsidP="007E348A">
      <w:pPr>
        <w:spacing w:line="360" w:lineRule="auto"/>
        <w:ind w:firstLine="720"/>
        <w:jc w:val="both"/>
        <w:rPr>
          <w:rFonts w:cs="Arial"/>
          <w:b/>
          <w:bCs/>
          <w:caps/>
          <w:kern w:val="32"/>
          <w:sz w:val="28"/>
          <w:szCs w:val="28"/>
          <w:lang w:val="lt-LT"/>
        </w:rPr>
      </w:pPr>
      <w:r w:rsidRPr="007928C8">
        <w:rPr>
          <w:i/>
          <w:sz w:val="26"/>
          <w:szCs w:val="26"/>
          <w:lang w:val="lt-LT" w:eastAsia="en-US"/>
        </w:rPr>
        <w:t>Atsižvelgiant į tai, g</w:t>
      </w:r>
      <w:r w:rsidR="007059A2" w:rsidRPr="007928C8">
        <w:rPr>
          <w:i/>
          <w:sz w:val="26"/>
          <w:szCs w:val="26"/>
          <w:lang w:val="lt-LT" w:eastAsia="en-US"/>
        </w:rPr>
        <w:t xml:space="preserve">alima teigti, kad tyrimo tikslas – </w:t>
      </w:r>
      <w:r w:rsidR="001A7E0B" w:rsidRPr="007928C8">
        <w:rPr>
          <w:i/>
          <w:sz w:val="26"/>
          <w:szCs w:val="26"/>
          <w:lang w:val="lt-LT" w:eastAsia="en-US"/>
        </w:rPr>
        <w:t xml:space="preserve">sukurti optimalų audito rizikos vertinimo modelį, taikytiną šiandieninėje verslo aplinkoje – yra pasiektas. O </w:t>
      </w:r>
      <w:r w:rsidR="001537A6" w:rsidRPr="007928C8">
        <w:rPr>
          <w:i/>
          <w:sz w:val="26"/>
          <w:szCs w:val="26"/>
          <w:lang w:val="lt-LT" w:eastAsia="en-US"/>
        </w:rPr>
        <w:t>galutinį darbo autorės a</w:t>
      </w:r>
      <w:r w:rsidR="001537A6" w:rsidRPr="007928C8">
        <w:rPr>
          <w:i/>
          <w:sz w:val="26"/>
          <w:szCs w:val="26"/>
          <w:lang w:val="lt-LT"/>
        </w:rPr>
        <w:t>udito rizikos vertinimo modelį, sudaro audito rizikos vertinimo modelio struktūrograma, audito rizikos komponentų apskaičiavimo skalė ir audito rizikos vertinimo schema</w:t>
      </w:r>
      <w:r w:rsidR="007E348A">
        <w:rPr>
          <w:i/>
          <w:sz w:val="26"/>
          <w:szCs w:val="26"/>
          <w:lang w:val="lt-LT"/>
        </w:rPr>
        <w:t xml:space="preserve"> </w:t>
      </w:r>
      <w:r w:rsidR="007E348A" w:rsidRPr="007E348A">
        <w:rPr>
          <w:i/>
          <w:sz w:val="26"/>
          <w:szCs w:val="26"/>
          <w:lang w:val="lt-LT"/>
        </w:rPr>
        <w:t>kartu su pasiūlyta audito rizikos ir/ar jos komponentų kiekybinio įvertinimo metodika</w:t>
      </w:r>
      <w:r w:rsidR="001537A6" w:rsidRPr="007E348A">
        <w:rPr>
          <w:i/>
          <w:sz w:val="26"/>
          <w:szCs w:val="26"/>
          <w:lang w:val="lt-LT"/>
        </w:rPr>
        <w:t>.</w:t>
      </w:r>
      <w:r w:rsidR="001537A6" w:rsidRPr="007928C8">
        <w:rPr>
          <w:i/>
          <w:sz w:val="26"/>
          <w:szCs w:val="26"/>
          <w:lang w:val="lt-LT"/>
        </w:rPr>
        <w:t xml:space="preserve"> </w:t>
      </w:r>
      <w:r w:rsidR="007C6F38">
        <w:rPr>
          <w:rFonts w:cs="Arial"/>
          <w:b/>
          <w:bCs/>
          <w:caps/>
          <w:kern w:val="32"/>
          <w:sz w:val="28"/>
          <w:szCs w:val="28"/>
          <w:lang w:val="lt-LT"/>
        </w:rPr>
        <w:br w:type="page"/>
      </w:r>
    </w:p>
    <w:p w:rsidR="00421730" w:rsidRDefault="00DB306A" w:rsidP="00DB306A">
      <w:pPr>
        <w:pStyle w:val="Heading1"/>
        <w:rPr>
          <w:lang w:val="lt-LT"/>
        </w:rPr>
      </w:pPr>
      <w:bookmarkStart w:id="49" w:name="_Toc253244592"/>
      <w:r w:rsidRPr="003F5D70">
        <w:rPr>
          <w:lang w:val="lt-LT"/>
        </w:rPr>
        <w:lastRenderedPageBreak/>
        <w:t>IŠVADOS</w:t>
      </w:r>
      <w:bookmarkEnd w:id="49"/>
    </w:p>
    <w:p w:rsidR="0044367C" w:rsidRPr="007928C8" w:rsidRDefault="0044367C" w:rsidP="0044367C">
      <w:pPr>
        <w:pStyle w:val="NormalWeb"/>
        <w:spacing w:before="240" w:beforeAutospacing="0" w:after="0" w:afterAutospacing="0" w:line="360" w:lineRule="auto"/>
        <w:ind w:firstLine="720"/>
        <w:jc w:val="both"/>
        <w:rPr>
          <w:sz w:val="26"/>
          <w:szCs w:val="26"/>
          <w:lang w:val="lt-LT"/>
        </w:rPr>
      </w:pPr>
      <w:r>
        <w:rPr>
          <w:sz w:val="26"/>
          <w:szCs w:val="26"/>
          <w:lang w:val="lt-LT"/>
        </w:rPr>
        <w:t>A</w:t>
      </w:r>
      <w:r w:rsidRPr="007928C8">
        <w:rPr>
          <w:sz w:val="26"/>
          <w:szCs w:val="26"/>
          <w:lang w:val="lt-LT"/>
        </w:rPr>
        <w:t>tlikus teorinius bei praktinius audito rizikos vertinimo tyrimus, suformuluotos šios išvados:</w:t>
      </w:r>
    </w:p>
    <w:p w:rsidR="0044367C" w:rsidRPr="00E464D2" w:rsidRDefault="0044367C" w:rsidP="0044367C">
      <w:pPr>
        <w:spacing w:line="360" w:lineRule="auto"/>
        <w:ind w:firstLine="720"/>
        <w:jc w:val="both"/>
        <w:rPr>
          <w:i/>
          <w:sz w:val="26"/>
          <w:szCs w:val="26"/>
          <w:lang w:val="lt-LT"/>
        </w:rPr>
      </w:pPr>
      <w:r w:rsidRPr="007928C8">
        <w:rPr>
          <w:sz w:val="26"/>
          <w:szCs w:val="26"/>
          <w:lang w:val="lt-LT"/>
        </w:rPr>
        <w:t xml:space="preserve">1. </w:t>
      </w:r>
      <w:r w:rsidRPr="005F3722">
        <w:rPr>
          <w:sz w:val="26"/>
          <w:szCs w:val="26"/>
          <w:lang w:val="lt-LT"/>
        </w:rPr>
        <w:t>Ištyrus mokslo šaltiniuose aptariamus rizikos ekonomikoje sampratos aspektus, nustatyta, kad rizika ir neapibrėžtumas yra skirtingos koncepcijos, kurios galėtų būti tapatinamos tik tuomet, kai priimamas sprendimas ar vykdomas veiksmas, esant nenuspėjamai rinkos ekonomikai (verslo aplinkai). Todėl</w:t>
      </w:r>
      <w:r>
        <w:rPr>
          <w:sz w:val="26"/>
          <w:szCs w:val="26"/>
          <w:lang w:val="lt-LT"/>
        </w:rPr>
        <w:t xml:space="preserve"> </w:t>
      </w:r>
      <w:r w:rsidRPr="00E464D2">
        <w:rPr>
          <w:sz w:val="26"/>
          <w:szCs w:val="26"/>
          <w:lang w:val="lt-LT"/>
        </w:rPr>
        <w:t>apibrėžiant riziką būtina atsižvelgti į tai, kad rizika 1)</w:t>
      </w:r>
      <w:r>
        <w:rPr>
          <w:sz w:val="26"/>
          <w:szCs w:val="26"/>
          <w:lang w:val="lt-LT"/>
        </w:rPr>
        <w:t> </w:t>
      </w:r>
      <w:r w:rsidRPr="00E464D2">
        <w:rPr>
          <w:sz w:val="26"/>
          <w:szCs w:val="26"/>
          <w:lang w:val="lt-LT"/>
        </w:rPr>
        <w:t>susijusi su sprendimo priėmimu, 2) susijusi su nuostoliais ir siekiamu tikslu, 3)</w:t>
      </w:r>
      <w:r>
        <w:rPr>
          <w:sz w:val="26"/>
          <w:szCs w:val="26"/>
          <w:lang w:val="lt-LT"/>
        </w:rPr>
        <w:t> </w:t>
      </w:r>
      <w:r w:rsidRPr="00E464D2">
        <w:rPr>
          <w:sz w:val="26"/>
          <w:szCs w:val="26"/>
          <w:lang w:val="lt-LT"/>
        </w:rPr>
        <w:t>yra tikimybinė kategorija ir 4) jai būdingas neapibrėžtumas. Norint tinkamai įvertinti riziką turi būti taikomas sisteminis požiūris, kuris apima bendrą rizikų apskaičiavimo ir įvertinimo procesą. Šio proces</w:t>
      </w:r>
      <w:r>
        <w:rPr>
          <w:sz w:val="26"/>
          <w:szCs w:val="26"/>
          <w:lang w:val="lt-LT"/>
        </w:rPr>
        <w:t>o</w:t>
      </w:r>
      <w:r w:rsidRPr="00E464D2">
        <w:rPr>
          <w:sz w:val="26"/>
          <w:szCs w:val="26"/>
          <w:lang w:val="lt-LT"/>
        </w:rPr>
        <w:t xml:space="preserve"> metu atskiros rizikos yra apskaičiuojamos, nustatant jų tikimybę ir galimą įtaką bei įvertinama bendra šių rizikų įtaka įmonei.</w:t>
      </w:r>
    </w:p>
    <w:p w:rsidR="0044367C" w:rsidRDefault="0044367C" w:rsidP="0044367C">
      <w:pPr>
        <w:spacing w:line="360" w:lineRule="auto"/>
        <w:ind w:firstLine="720"/>
        <w:jc w:val="both"/>
        <w:rPr>
          <w:sz w:val="26"/>
          <w:szCs w:val="26"/>
          <w:lang w:val="lt-LT"/>
        </w:rPr>
      </w:pPr>
      <w:r>
        <w:rPr>
          <w:sz w:val="26"/>
          <w:szCs w:val="26"/>
          <w:lang w:val="en-GB"/>
        </w:rPr>
        <w:t xml:space="preserve">2. </w:t>
      </w:r>
      <w:r>
        <w:rPr>
          <w:sz w:val="26"/>
          <w:szCs w:val="26"/>
          <w:lang w:val="lt-LT"/>
        </w:rPr>
        <w:t xml:space="preserve">Atlikus </w:t>
      </w:r>
      <w:r w:rsidRPr="007928C8">
        <w:rPr>
          <w:sz w:val="26"/>
          <w:szCs w:val="26"/>
          <w:lang w:val="lt-LT"/>
        </w:rPr>
        <w:t>moksl</w:t>
      </w:r>
      <w:r>
        <w:rPr>
          <w:sz w:val="26"/>
          <w:szCs w:val="26"/>
          <w:lang w:val="lt-LT"/>
        </w:rPr>
        <w:t xml:space="preserve">o darbuose </w:t>
      </w:r>
      <w:r w:rsidRPr="007928C8">
        <w:rPr>
          <w:sz w:val="26"/>
          <w:szCs w:val="26"/>
          <w:lang w:val="lt-LT"/>
        </w:rPr>
        <w:t>pateik</w:t>
      </w:r>
      <w:r>
        <w:rPr>
          <w:sz w:val="26"/>
          <w:szCs w:val="26"/>
          <w:lang w:val="lt-LT"/>
        </w:rPr>
        <w:t xml:space="preserve">iamos </w:t>
      </w:r>
      <w:r w:rsidRPr="007928C8">
        <w:rPr>
          <w:sz w:val="26"/>
          <w:szCs w:val="26"/>
          <w:lang w:val="lt-LT"/>
        </w:rPr>
        <w:t xml:space="preserve">sąvokos „audito rizika“ </w:t>
      </w:r>
      <w:r>
        <w:rPr>
          <w:sz w:val="26"/>
          <w:szCs w:val="26"/>
          <w:lang w:val="lt-LT"/>
        </w:rPr>
        <w:t>analizę</w:t>
      </w:r>
      <w:r w:rsidRPr="007928C8">
        <w:rPr>
          <w:sz w:val="26"/>
          <w:szCs w:val="26"/>
          <w:lang w:val="lt-LT"/>
        </w:rPr>
        <w:t>, nustatyta, kad ši sąvoka apibūdinta nepakankamai išsamiai</w:t>
      </w:r>
      <w:r>
        <w:rPr>
          <w:sz w:val="26"/>
          <w:szCs w:val="26"/>
          <w:lang w:val="lt-LT"/>
        </w:rPr>
        <w:t>, nes n</w:t>
      </w:r>
      <w:r w:rsidRPr="00654394">
        <w:rPr>
          <w:sz w:val="26"/>
          <w:szCs w:val="26"/>
          <w:lang w:val="lt-LT"/>
        </w:rPr>
        <w:t>eakcentuojama</w:t>
      </w:r>
      <w:r>
        <w:rPr>
          <w:sz w:val="26"/>
          <w:szCs w:val="26"/>
          <w:lang w:val="lt-LT"/>
        </w:rPr>
        <w:t xml:space="preserve">: </w:t>
      </w:r>
    </w:p>
    <w:p w:rsidR="0044367C" w:rsidRDefault="0044367C" w:rsidP="002F3543">
      <w:pPr>
        <w:pStyle w:val="ListParagraph"/>
        <w:numPr>
          <w:ilvl w:val="0"/>
          <w:numId w:val="32"/>
        </w:numPr>
        <w:tabs>
          <w:tab w:val="left" w:pos="0"/>
          <w:tab w:val="left" w:pos="993"/>
        </w:tabs>
        <w:spacing w:line="360" w:lineRule="auto"/>
        <w:ind w:left="0" w:firstLine="709"/>
        <w:jc w:val="both"/>
        <w:rPr>
          <w:sz w:val="26"/>
          <w:szCs w:val="26"/>
          <w:lang w:val="lt-LT"/>
        </w:rPr>
      </w:pPr>
      <w:r w:rsidRPr="00654394">
        <w:rPr>
          <w:sz w:val="26"/>
          <w:szCs w:val="26"/>
          <w:lang w:val="lt-LT"/>
        </w:rPr>
        <w:t xml:space="preserve">dvejopa audito rizikos prigimtis, t. y. galimybė </w:t>
      </w:r>
      <w:r>
        <w:rPr>
          <w:sz w:val="26"/>
          <w:szCs w:val="26"/>
          <w:lang w:val="lt-LT"/>
        </w:rPr>
        <w:t>atsirasti rizikai dėl a) </w:t>
      </w:r>
      <w:r w:rsidRPr="00654394">
        <w:rPr>
          <w:sz w:val="26"/>
          <w:szCs w:val="26"/>
          <w:lang w:val="lt-LT"/>
        </w:rPr>
        <w:t>auditoriaus kaltės ir b) nuo jo nepriklausančių aplinkybių</w:t>
      </w:r>
      <w:r>
        <w:rPr>
          <w:sz w:val="26"/>
          <w:szCs w:val="26"/>
          <w:lang w:val="lt-LT"/>
        </w:rPr>
        <w:t>;</w:t>
      </w:r>
    </w:p>
    <w:p w:rsidR="0044367C" w:rsidRDefault="0044367C" w:rsidP="002F3543">
      <w:pPr>
        <w:pStyle w:val="ListParagraph"/>
        <w:numPr>
          <w:ilvl w:val="0"/>
          <w:numId w:val="32"/>
        </w:numPr>
        <w:tabs>
          <w:tab w:val="left" w:pos="0"/>
          <w:tab w:val="left" w:pos="993"/>
        </w:tabs>
        <w:spacing w:line="360" w:lineRule="auto"/>
        <w:ind w:left="0" w:firstLine="709"/>
        <w:jc w:val="both"/>
        <w:rPr>
          <w:sz w:val="26"/>
          <w:szCs w:val="26"/>
          <w:lang w:val="lt-LT"/>
        </w:rPr>
      </w:pPr>
      <w:r w:rsidRPr="00654394">
        <w:rPr>
          <w:sz w:val="26"/>
          <w:szCs w:val="26"/>
          <w:lang w:val="lt-LT"/>
        </w:rPr>
        <w:t xml:space="preserve">galimi netinkamos auditoriaus išvados pareiškimo atvejai. </w:t>
      </w:r>
    </w:p>
    <w:p w:rsidR="0044367C" w:rsidRDefault="0044367C" w:rsidP="0044367C">
      <w:pPr>
        <w:spacing w:line="360" w:lineRule="auto"/>
        <w:ind w:firstLine="720"/>
        <w:jc w:val="both"/>
        <w:rPr>
          <w:sz w:val="26"/>
          <w:szCs w:val="26"/>
          <w:lang w:val="lt-LT"/>
        </w:rPr>
      </w:pPr>
      <w:r w:rsidRPr="00654394">
        <w:rPr>
          <w:sz w:val="26"/>
          <w:szCs w:val="26"/>
          <w:lang w:val="lt-LT"/>
        </w:rPr>
        <w:t>Todėl apibrėžiant audito riziką</w:t>
      </w:r>
      <w:r>
        <w:rPr>
          <w:sz w:val="26"/>
          <w:szCs w:val="26"/>
          <w:lang w:val="lt-LT"/>
        </w:rPr>
        <w:t xml:space="preserve"> būtina taikyti platesnį požiūrį ir įvertinti, kad </w:t>
      </w:r>
      <w:r w:rsidRPr="00654394">
        <w:rPr>
          <w:sz w:val="26"/>
          <w:szCs w:val="26"/>
          <w:lang w:val="lt-LT"/>
        </w:rPr>
        <w:t xml:space="preserve">audito rizika tai: </w:t>
      </w:r>
    </w:p>
    <w:p w:rsidR="0044367C" w:rsidRDefault="0044367C" w:rsidP="0044367C">
      <w:pPr>
        <w:spacing w:line="360" w:lineRule="auto"/>
        <w:ind w:firstLine="720"/>
        <w:jc w:val="both"/>
        <w:rPr>
          <w:sz w:val="26"/>
          <w:szCs w:val="26"/>
          <w:lang w:val="lt-LT"/>
        </w:rPr>
      </w:pPr>
      <w:r w:rsidRPr="00654394">
        <w:rPr>
          <w:sz w:val="26"/>
          <w:szCs w:val="26"/>
          <w:lang w:val="lt-LT"/>
        </w:rPr>
        <w:t xml:space="preserve">1) rizika, kad </w:t>
      </w:r>
      <w:r w:rsidRPr="00654394">
        <w:rPr>
          <w:i/>
          <w:sz w:val="26"/>
          <w:szCs w:val="26"/>
          <w:lang w:val="lt-LT"/>
        </w:rPr>
        <w:t>egzistuoja reikšmingi iškraipymai</w:t>
      </w:r>
      <w:r w:rsidRPr="00654394">
        <w:rPr>
          <w:sz w:val="26"/>
          <w:szCs w:val="26"/>
          <w:lang w:val="lt-LT"/>
        </w:rPr>
        <w:t xml:space="preserve">; </w:t>
      </w:r>
    </w:p>
    <w:p w:rsidR="0044367C" w:rsidRDefault="0044367C" w:rsidP="0044367C">
      <w:pPr>
        <w:spacing w:line="360" w:lineRule="auto"/>
        <w:ind w:firstLine="720"/>
        <w:jc w:val="both"/>
        <w:rPr>
          <w:sz w:val="26"/>
          <w:szCs w:val="26"/>
          <w:lang w:val="lt-LT"/>
        </w:rPr>
      </w:pPr>
      <w:r w:rsidRPr="00654394">
        <w:rPr>
          <w:sz w:val="26"/>
          <w:szCs w:val="26"/>
          <w:lang w:val="lt-LT"/>
        </w:rPr>
        <w:t xml:space="preserve">2) rizika, kad </w:t>
      </w:r>
      <w:r w:rsidRPr="00654394">
        <w:rPr>
          <w:i/>
          <w:sz w:val="26"/>
          <w:szCs w:val="26"/>
          <w:lang w:val="lt-LT"/>
        </w:rPr>
        <w:t>egzistuojantys reikšmingi iškraipymai liks nepastebėti</w:t>
      </w:r>
      <w:r w:rsidRPr="00654394">
        <w:rPr>
          <w:sz w:val="26"/>
          <w:szCs w:val="26"/>
          <w:lang w:val="lt-LT"/>
        </w:rPr>
        <w:t xml:space="preserve"> ir bus pareikšta neteisinga auditoriaus nuomonė; </w:t>
      </w:r>
    </w:p>
    <w:p w:rsidR="0044367C" w:rsidRPr="00654394" w:rsidRDefault="0044367C" w:rsidP="0044367C">
      <w:pPr>
        <w:spacing w:line="360" w:lineRule="auto"/>
        <w:ind w:firstLine="720"/>
        <w:jc w:val="both"/>
        <w:rPr>
          <w:sz w:val="26"/>
          <w:szCs w:val="26"/>
          <w:lang w:val="lt-LT"/>
        </w:rPr>
      </w:pPr>
      <w:r w:rsidRPr="00654394">
        <w:rPr>
          <w:sz w:val="26"/>
          <w:szCs w:val="26"/>
          <w:lang w:val="lt-LT"/>
        </w:rPr>
        <w:t xml:space="preserve">3) rizika, kad auditorius </w:t>
      </w:r>
      <w:r w:rsidRPr="00654394">
        <w:rPr>
          <w:i/>
          <w:sz w:val="26"/>
          <w:szCs w:val="26"/>
          <w:lang w:val="lt-LT"/>
        </w:rPr>
        <w:t>pareikš netinkamą nuomonę apie finansines ataskaitas</w:t>
      </w:r>
      <w:r w:rsidRPr="00654394">
        <w:rPr>
          <w:sz w:val="26"/>
          <w:szCs w:val="26"/>
          <w:lang w:val="lt-LT"/>
        </w:rPr>
        <w:t xml:space="preserve"> ir joje (ne)esančius reikšmingus iškraipymus. </w:t>
      </w:r>
    </w:p>
    <w:p w:rsidR="0044367C" w:rsidRPr="00051E90" w:rsidRDefault="0044367C" w:rsidP="0044367C">
      <w:pPr>
        <w:spacing w:line="360" w:lineRule="auto"/>
        <w:ind w:firstLine="720"/>
        <w:jc w:val="both"/>
        <w:rPr>
          <w:sz w:val="26"/>
          <w:szCs w:val="26"/>
          <w:lang w:val="lt-LT"/>
        </w:rPr>
      </w:pPr>
      <w:r w:rsidRPr="007928C8">
        <w:rPr>
          <w:sz w:val="26"/>
          <w:szCs w:val="26"/>
          <w:lang w:val="lt-LT"/>
        </w:rPr>
        <w:t xml:space="preserve">Visi šie </w:t>
      </w:r>
      <w:r>
        <w:rPr>
          <w:sz w:val="26"/>
          <w:szCs w:val="26"/>
          <w:lang w:val="lt-LT"/>
        </w:rPr>
        <w:t>esminiai</w:t>
      </w:r>
      <w:r w:rsidRPr="007928C8">
        <w:rPr>
          <w:sz w:val="26"/>
          <w:szCs w:val="26"/>
          <w:lang w:val="lt-LT"/>
        </w:rPr>
        <w:t xml:space="preserve"> audito rizikos </w:t>
      </w:r>
      <w:r>
        <w:rPr>
          <w:sz w:val="26"/>
          <w:szCs w:val="26"/>
          <w:lang w:val="lt-LT"/>
        </w:rPr>
        <w:t xml:space="preserve">sampratos </w:t>
      </w:r>
      <w:r w:rsidRPr="007928C8">
        <w:rPr>
          <w:sz w:val="26"/>
          <w:szCs w:val="26"/>
          <w:lang w:val="lt-LT"/>
        </w:rPr>
        <w:t xml:space="preserve">aspektai atsispindi darbo </w:t>
      </w:r>
      <w:r w:rsidRPr="00051E90">
        <w:rPr>
          <w:sz w:val="26"/>
          <w:szCs w:val="26"/>
          <w:lang w:val="lt-LT"/>
        </w:rPr>
        <w:t>autorės sukurtoje audito rizikos sampratos principinėje schemoje.</w:t>
      </w:r>
    </w:p>
    <w:p w:rsidR="0044367C" w:rsidRPr="00051E90" w:rsidRDefault="0044367C" w:rsidP="0044367C">
      <w:pPr>
        <w:spacing w:line="360" w:lineRule="auto"/>
        <w:ind w:firstLine="720"/>
        <w:jc w:val="both"/>
        <w:rPr>
          <w:sz w:val="26"/>
          <w:szCs w:val="26"/>
          <w:lang w:val="lt-LT"/>
        </w:rPr>
      </w:pPr>
      <w:r>
        <w:rPr>
          <w:sz w:val="26"/>
          <w:szCs w:val="26"/>
          <w:lang w:val="lt-LT"/>
        </w:rPr>
        <w:lastRenderedPageBreak/>
        <w:t>3</w:t>
      </w:r>
      <w:r w:rsidRPr="00051E90">
        <w:rPr>
          <w:sz w:val="26"/>
          <w:szCs w:val="26"/>
          <w:lang w:val="lt-LT"/>
        </w:rPr>
        <w:t xml:space="preserve">. Apibendrinus audito rizikos vertinimo praktiką, nustatyta, jog turi būti taikomas sisteminis požiūris į audito rizikos vertinimą, t. y. </w:t>
      </w:r>
      <w:r w:rsidRPr="00051E90">
        <w:rPr>
          <w:i/>
          <w:sz w:val="26"/>
          <w:szCs w:val="26"/>
          <w:lang w:val="lt-LT"/>
        </w:rPr>
        <w:t>audito rizikos vertinimas turėtų būti siejamas ne tik su atskirų audito rizikos komponentų nagrinėjimu, bet ir su juos lemiančių veiksnių (sąlygų) tikimybės bei pasireiškimo įtakos bendru įvertinimu, atskleidžiant ryšius tarp atskirų audito rizikos komponentų ir visa tai susiejant su pačiu audito procesu</w:t>
      </w:r>
      <w:r w:rsidRPr="00051E90">
        <w:rPr>
          <w:sz w:val="26"/>
          <w:szCs w:val="26"/>
          <w:lang w:val="lt-LT"/>
        </w:rPr>
        <w:t xml:space="preserve">. Išanalizavus skirtingus rizikos vertinimo metodus, kurie pateikiami sukurtoje sisteminėje rizikos vertinimo metodų klasifikacijoje, ir įvertinus audito rizikai būdingus apribojimus (subjektyvus audito rizikos priežasčių (veiksnių ir sąlygų), tikimybės ir pasireiškimo įtakos nustatymas) galima daryti išvadą, kad ją tiriant netikslinga naudoti sudėtingų ekonominių, tikimybių teorijos ar kompiuterinio modeliavimo metodų. Nustatyta, kad vertinant audito riziką tikslinga </w:t>
      </w:r>
      <w:r w:rsidRPr="00051E90">
        <w:rPr>
          <w:i/>
          <w:sz w:val="26"/>
          <w:szCs w:val="26"/>
          <w:lang w:val="lt-LT"/>
        </w:rPr>
        <w:t>remtis rizikos pasireiškimo nustatymo ir(ar) sukauptos patirties rizikos vertinimo metodais</w:t>
      </w:r>
      <w:r w:rsidRPr="00051E90">
        <w:rPr>
          <w:sz w:val="26"/>
          <w:szCs w:val="26"/>
          <w:lang w:val="lt-LT"/>
        </w:rPr>
        <w:t>.</w:t>
      </w:r>
    </w:p>
    <w:p w:rsidR="0044367C" w:rsidRPr="007928C8" w:rsidRDefault="0044367C" w:rsidP="0044367C">
      <w:pPr>
        <w:pStyle w:val="ListParagraph"/>
        <w:tabs>
          <w:tab w:val="left" w:pos="1134"/>
        </w:tabs>
        <w:spacing w:line="360" w:lineRule="auto"/>
        <w:ind w:left="0" w:firstLine="720"/>
        <w:jc w:val="both"/>
        <w:rPr>
          <w:sz w:val="26"/>
          <w:szCs w:val="26"/>
          <w:lang w:val="lt-LT"/>
        </w:rPr>
      </w:pPr>
      <w:r>
        <w:rPr>
          <w:sz w:val="26"/>
          <w:szCs w:val="26"/>
          <w:lang w:val="lt-LT"/>
        </w:rPr>
        <w:t>4</w:t>
      </w:r>
      <w:r w:rsidRPr="00051E90">
        <w:rPr>
          <w:sz w:val="26"/>
          <w:szCs w:val="26"/>
          <w:lang w:val="lt-LT"/>
        </w:rPr>
        <w:t>. Kadangi</w:t>
      </w:r>
      <w:r>
        <w:rPr>
          <w:sz w:val="26"/>
          <w:szCs w:val="26"/>
          <w:lang w:val="lt-LT"/>
        </w:rPr>
        <w:t xml:space="preserve"> audito teorijoje ir praktikoje </w:t>
      </w:r>
      <w:r w:rsidRPr="00051E90">
        <w:rPr>
          <w:sz w:val="26"/>
          <w:szCs w:val="26"/>
          <w:lang w:val="lt-LT"/>
        </w:rPr>
        <w:t xml:space="preserve">nėra vieningos nuomonės dėl audito rizikos </w:t>
      </w:r>
      <w:r>
        <w:rPr>
          <w:sz w:val="26"/>
          <w:szCs w:val="26"/>
          <w:lang w:val="lt-LT"/>
        </w:rPr>
        <w:t xml:space="preserve">komponentų skaičiaus ir </w:t>
      </w:r>
      <w:r w:rsidRPr="007928C8">
        <w:rPr>
          <w:sz w:val="26"/>
          <w:szCs w:val="26"/>
          <w:lang w:val="lt-LT"/>
        </w:rPr>
        <w:t>j</w:t>
      </w:r>
      <w:r>
        <w:rPr>
          <w:sz w:val="26"/>
          <w:szCs w:val="26"/>
          <w:lang w:val="lt-LT"/>
        </w:rPr>
        <w:t>uos</w:t>
      </w:r>
      <w:r w:rsidRPr="007928C8">
        <w:rPr>
          <w:sz w:val="26"/>
          <w:szCs w:val="26"/>
          <w:lang w:val="lt-LT"/>
        </w:rPr>
        <w:t xml:space="preserve"> lemiančių veiksnių</w:t>
      </w:r>
      <w:r>
        <w:rPr>
          <w:sz w:val="26"/>
          <w:szCs w:val="26"/>
          <w:lang w:val="lt-LT"/>
        </w:rPr>
        <w:t xml:space="preserve"> (</w:t>
      </w:r>
      <w:r w:rsidRPr="007928C8">
        <w:rPr>
          <w:sz w:val="26"/>
          <w:szCs w:val="26"/>
          <w:lang w:val="lt-LT"/>
        </w:rPr>
        <w:t>sąlygų</w:t>
      </w:r>
      <w:r>
        <w:rPr>
          <w:sz w:val="26"/>
          <w:szCs w:val="26"/>
          <w:lang w:val="lt-LT"/>
        </w:rPr>
        <w:t>)</w:t>
      </w:r>
      <w:r w:rsidRPr="007928C8">
        <w:rPr>
          <w:sz w:val="26"/>
          <w:szCs w:val="26"/>
          <w:lang w:val="lt-LT"/>
        </w:rPr>
        <w:t xml:space="preserve"> </w:t>
      </w:r>
      <w:r>
        <w:rPr>
          <w:sz w:val="26"/>
          <w:szCs w:val="26"/>
          <w:lang w:val="lt-LT"/>
        </w:rPr>
        <w:t xml:space="preserve">klasifikacijos, todėl buvo išskirti esminiai audito rizikos komponentai, suklasifikuotos audito rizikos sąlygos bei apibendrinti tarpusavio ryšiai tarp atskirų audito rizikos komponentų: </w:t>
      </w:r>
    </w:p>
    <w:p w:rsidR="0044367C" w:rsidRDefault="0044367C" w:rsidP="0044367C">
      <w:pPr>
        <w:pStyle w:val="ListParagraph"/>
        <w:tabs>
          <w:tab w:val="left" w:pos="1134"/>
        </w:tabs>
        <w:spacing w:line="360" w:lineRule="auto"/>
        <w:ind w:left="0" w:firstLine="720"/>
        <w:jc w:val="both"/>
        <w:rPr>
          <w:sz w:val="26"/>
          <w:szCs w:val="26"/>
          <w:lang w:val="lt-LT"/>
        </w:rPr>
      </w:pPr>
      <w:r w:rsidRPr="007928C8">
        <w:rPr>
          <w:sz w:val="26"/>
          <w:szCs w:val="26"/>
          <w:lang w:val="lt-LT"/>
        </w:rPr>
        <w:t xml:space="preserve">1) </w:t>
      </w:r>
      <w:r>
        <w:rPr>
          <w:i/>
          <w:sz w:val="26"/>
          <w:szCs w:val="26"/>
          <w:lang w:val="lt-LT"/>
        </w:rPr>
        <w:t>r</w:t>
      </w:r>
      <w:r w:rsidRPr="006F130C">
        <w:rPr>
          <w:i/>
          <w:sz w:val="26"/>
          <w:szCs w:val="26"/>
          <w:lang w:val="lt-LT"/>
        </w:rPr>
        <w:t>eikšmingo iškraipymo rizika</w:t>
      </w:r>
      <w:r w:rsidRPr="007928C8">
        <w:rPr>
          <w:sz w:val="26"/>
          <w:szCs w:val="26"/>
          <w:lang w:val="lt-LT"/>
        </w:rPr>
        <w:t xml:space="preserve"> tur</w:t>
      </w:r>
      <w:r>
        <w:rPr>
          <w:sz w:val="26"/>
          <w:szCs w:val="26"/>
          <w:lang w:val="lt-LT"/>
        </w:rPr>
        <w:t>i</w:t>
      </w:r>
      <w:r w:rsidRPr="007928C8">
        <w:rPr>
          <w:sz w:val="26"/>
          <w:szCs w:val="26"/>
          <w:lang w:val="lt-LT"/>
        </w:rPr>
        <w:t xml:space="preserve"> būti suprantama kaip pasireiškianti </w:t>
      </w:r>
      <w:r>
        <w:rPr>
          <w:sz w:val="26"/>
          <w:szCs w:val="26"/>
          <w:lang w:val="lt-LT"/>
        </w:rPr>
        <w:t xml:space="preserve">a) </w:t>
      </w:r>
      <w:r w:rsidRPr="007928C8">
        <w:rPr>
          <w:sz w:val="26"/>
          <w:szCs w:val="26"/>
          <w:lang w:val="lt-LT"/>
        </w:rPr>
        <w:t xml:space="preserve">finansinių ataskaitų lygmeniu ir </w:t>
      </w:r>
      <w:r>
        <w:rPr>
          <w:sz w:val="26"/>
          <w:szCs w:val="26"/>
          <w:lang w:val="lt-LT"/>
        </w:rPr>
        <w:t>b) tvirtinimo lygmeniu.</w:t>
      </w:r>
    </w:p>
    <w:p w:rsidR="0044367C" w:rsidRDefault="0044367C" w:rsidP="0044367C">
      <w:pPr>
        <w:pStyle w:val="ListParagraph"/>
        <w:tabs>
          <w:tab w:val="left" w:pos="1134"/>
        </w:tabs>
        <w:spacing w:line="360" w:lineRule="auto"/>
        <w:ind w:left="0" w:firstLine="720"/>
        <w:jc w:val="both"/>
        <w:rPr>
          <w:sz w:val="26"/>
          <w:szCs w:val="26"/>
          <w:lang w:val="lt-LT"/>
        </w:rPr>
      </w:pPr>
      <w:r w:rsidRPr="00BF7B5D">
        <w:rPr>
          <w:i/>
          <w:sz w:val="26"/>
          <w:szCs w:val="26"/>
          <w:lang w:val="lt-LT"/>
        </w:rPr>
        <w:t>Reikšmingo iškraipymo rizika finansinių ataskaitų lygmeniu</w:t>
      </w:r>
      <w:r w:rsidRPr="006F130C">
        <w:rPr>
          <w:sz w:val="26"/>
          <w:szCs w:val="26"/>
          <w:lang w:val="lt-LT"/>
        </w:rPr>
        <w:t xml:space="preserve"> – </w:t>
      </w:r>
      <w:r w:rsidRPr="00BF7B5D">
        <w:rPr>
          <w:sz w:val="26"/>
          <w:szCs w:val="26"/>
          <w:lang w:val="lt-LT"/>
        </w:rPr>
        <w:t>rizika kylanti iš audituojamos įmonės išorės ir vidaus aplinkos</w:t>
      </w:r>
      <w:r>
        <w:rPr>
          <w:sz w:val="26"/>
          <w:szCs w:val="26"/>
          <w:lang w:val="lt-LT"/>
        </w:rPr>
        <w:t>. Nustatyta, kad</w:t>
      </w:r>
      <w:r w:rsidRPr="007928C8">
        <w:rPr>
          <w:sz w:val="26"/>
          <w:szCs w:val="26"/>
          <w:lang w:val="lt-LT"/>
        </w:rPr>
        <w:t xml:space="preserve"> audituojamos įmonės išorė</w:t>
      </w:r>
      <w:r>
        <w:rPr>
          <w:sz w:val="26"/>
          <w:szCs w:val="26"/>
          <w:lang w:val="lt-LT"/>
        </w:rPr>
        <w:t>s</w:t>
      </w:r>
      <w:r w:rsidRPr="007928C8">
        <w:rPr>
          <w:sz w:val="26"/>
          <w:szCs w:val="26"/>
          <w:lang w:val="lt-LT"/>
        </w:rPr>
        <w:t xml:space="preserve"> aplink</w:t>
      </w:r>
      <w:r>
        <w:rPr>
          <w:sz w:val="26"/>
          <w:szCs w:val="26"/>
          <w:lang w:val="lt-LT"/>
        </w:rPr>
        <w:t xml:space="preserve">oje tikslinga išskirti </w:t>
      </w:r>
      <w:r w:rsidRPr="007928C8">
        <w:rPr>
          <w:sz w:val="26"/>
          <w:szCs w:val="26"/>
          <w:lang w:val="lt-LT"/>
        </w:rPr>
        <w:t>ekonomin</w:t>
      </w:r>
      <w:r>
        <w:rPr>
          <w:sz w:val="26"/>
          <w:szCs w:val="26"/>
          <w:lang w:val="lt-LT"/>
        </w:rPr>
        <w:t>e</w:t>
      </w:r>
      <w:r w:rsidRPr="007928C8">
        <w:rPr>
          <w:sz w:val="26"/>
          <w:szCs w:val="26"/>
          <w:lang w:val="lt-LT"/>
        </w:rPr>
        <w:t>s-politin</w:t>
      </w:r>
      <w:r>
        <w:rPr>
          <w:sz w:val="26"/>
          <w:szCs w:val="26"/>
          <w:lang w:val="lt-LT"/>
        </w:rPr>
        <w:t>e</w:t>
      </w:r>
      <w:r w:rsidRPr="007928C8">
        <w:rPr>
          <w:sz w:val="26"/>
          <w:szCs w:val="26"/>
          <w:lang w:val="lt-LT"/>
        </w:rPr>
        <w:t>s, reguliavimo ir konkurencin</w:t>
      </w:r>
      <w:r>
        <w:rPr>
          <w:sz w:val="26"/>
          <w:szCs w:val="26"/>
          <w:lang w:val="lt-LT"/>
        </w:rPr>
        <w:t>es sąlyga</w:t>
      </w:r>
      <w:r w:rsidRPr="007928C8">
        <w:rPr>
          <w:sz w:val="26"/>
          <w:szCs w:val="26"/>
          <w:lang w:val="lt-LT"/>
        </w:rPr>
        <w:t>s, o vid</w:t>
      </w:r>
      <w:r>
        <w:rPr>
          <w:sz w:val="26"/>
          <w:szCs w:val="26"/>
          <w:lang w:val="lt-LT"/>
        </w:rPr>
        <w:t>aus</w:t>
      </w:r>
      <w:r w:rsidRPr="007928C8">
        <w:rPr>
          <w:sz w:val="26"/>
          <w:szCs w:val="26"/>
          <w:lang w:val="lt-LT"/>
        </w:rPr>
        <w:t xml:space="preserve"> aplink</w:t>
      </w:r>
      <w:r>
        <w:rPr>
          <w:sz w:val="26"/>
          <w:szCs w:val="26"/>
          <w:lang w:val="lt-LT"/>
        </w:rPr>
        <w:t xml:space="preserve">oje </w:t>
      </w:r>
      <w:r w:rsidRPr="007928C8">
        <w:rPr>
          <w:sz w:val="26"/>
          <w:szCs w:val="26"/>
          <w:lang w:val="lt-LT"/>
        </w:rPr>
        <w:t>– strategin</w:t>
      </w:r>
      <w:r>
        <w:rPr>
          <w:sz w:val="26"/>
          <w:szCs w:val="26"/>
          <w:lang w:val="lt-LT"/>
        </w:rPr>
        <w:t>e</w:t>
      </w:r>
      <w:r w:rsidRPr="007928C8">
        <w:rPr>
          <w:sz w:val="26"/>
          <w:szCs w:val="26"/>
          <w:lang w:val="lt-LT"/>
        </w:rPr>
        <w:t>s, valdymo ir kontrolės, veiklos bei apskaitos sąlyg</w:t>
      </w:r>
      <w:r>
        <w:rPr>
          <w:sz w:val="26"/>
          <w:szCs w:val="26"/>
          <w:lang w:val="lt-LT"/>
        </w:rPr>
        <w:t>a</w:t>
      </w:r>
      <w:r w:rsidRPr="007928C8">
        <w:rPr>
          <w:sz w:val="26"/>
          <w:szCs w:val="26"/>
          <w:lang w:val="lt-LT"/>
        </w:rPr>
        <w:t>s</w:t>
      </w:r>
      <w:r>
        <w:rPr>
          <w:sz w:val="26"/>
          <w:szCs w:val="26"/>
          <w:lang w:val="lt-LT"/>
        </w:rPr>
        <w:t>. Tačiau norint tinkamai įvertinti audito riziką, visos šios sąlygos turi būti nagrinėjamos svarstant atskirus reikšmingo iškraipymo rizikos finansinių ataskaitų lygmeniu komponentus: a) verslo riziką</w:t>
      </w:r>
      <w:r w:rsidRPr="00BF7B5D">
        <w:rPr>
          <w:sz w:val="26"/>
          <w:szCs w:val="26"/>
          <w:lang w:val="lt-LT"/>
        </w:rPr>
        <w:t xml:space="preserve">, </w:t>
      </w:r>
      <w:r>
        <w:rPr>
          <w:sz w:val="26"/>
          <w:szCs w:val="26"/>
          <w:lang w:val="lt-LT"/>
        </w:rPr>
        <w:t xml:space="preserve">b) </w:t>
      </w:r>
      <w:r w:rsidRPr="00BF7B5D">
        <w:rPr>
          <w:sz w:val="26"/>
          <w:szCs w:val="26"/>
          <w:lang w:val="lt-LT"/>
        </w:rPr>
        <w:t xml:space="preserve">apgaulės </w:t>
      </w:r>
      <w:r>
        <w:rPr>
          <w:sz w:val="26"/>
          <w:szCs w:val="26"/>
          <w:lang w:val="lt-LT"/>
        </w:rPr>
        <w:t xml:space="preserve">riziką </w:t>
      </w:r>
      <w:r w:rsidRPr="00BF7B5D">
        <w:rPr>
          <w:sz w:val="26"/>
          <w:szCs w:val="26"/>
          <w:lang w:val="lt-LT"/>
        </w:rPr>
        <w:t xml:space="preserve">ir </w:t>
      </w:r>
      <w:r>
        <w:rPr>
          <w:sz w:val="26"/>
          <w:szCs w:val="26"/>
          <w:lang w:val="lt-LT"/>
        </w:rPr>
        <w:t xml:space="preserve">c) </w:t>
      </w:r>
      <w:r w:rsidRPr="00BF7B5D">
        <w:rPr>
          <w:sz w:val="26"/>
          <w:szCs w:val="26"/>
          <w:lang w:val="lt-LT"/>
        </w:rPr>
        <w:t>įmonės rizik</w:t>
      </w:r>
      <w:r>
        <w:rPr>
          <w:sz w:val="26"/>
          <w:szCs w:val="26"/>
          <w:lang w:val="lt-LT"/>
        </w:rPr>
        <w:t xml:space="preserve">ą. Nustatyta, kad </w:t>
      </w:r>
      <w:r w:rsidRPr="003B504A">
        <w:rPr>
          <w:sz w:val="26"/>
          <w:szCs w:val="26"/>
          <w:lang w:val="lt-LT"/>
        </w:rPr>
        <w:t>vertin</w:t>
      </w:r>
      <w:r>
        <w:rPr>
          <w:sz w:val="26"/>
          <w:szCs w:val="26"/>
          <w:lang w:val="lt-LT"/>
        </w:rPr>
        <w:t xml:space="preserve">ant </w:t>
      </w:r>
      <w:r w:rsidRPr="003B504A">
        <w:rPr>
          <w:sz w:val="26"/>
          <w:szCs w:val="26"/>
          <w:lang w:val="lt-LT"/>
        </w:rPr>
        <w:t>verslo rizik</w:t>
      </w:r>
      <w:r>
        <w:rPr>
          <w:sz w:val="26"/>
          <w:szCs w:val="26"/>
          <w:lang w:val="lt-LT"/>
        </w:rPr>
        <w:t>ą pirmiausia turi būti žiūrima į</w:t>
      </w:r>
      <w:r w:rsidRPr="003B504A">
        <w:rPr>
          <w:sz w:val="26"/>
          <w:szCs w:val="26"/>
          <w:lang w:val="lt-LT"/>
        </w:rPr>
        <w:t xml:space="preserve"> įmonės strategines </w:t>
      </w:r>
      <w:r w:rsidRPr="003B504A">
        <w:rPr>
          <w:sz w:val="26"/>
          <w:szCs w:val="26"/>
          <w:lang w:val="lt-LT"/>
        </w:rPr>
        <w:lastRenderedPageBreak/>
        <w:t>verslo rizikas, po to į proceso verslo rizikas, o</w:t>
      </w:r>
      <w:r w:rsidRPr="007928C8">
        <w:rPr>
          <w:sz w:val="26"/>
          <w:szCs w:val="26"/>
          <w:lang w:val="lt-LT"/>
        </w:rPr>
        <w:t xml:space="preserve"> apgaulės </w:t>
      </w:r>
      <w:r>
        <w:rPr>
          <w:sz w:val="26"/>
          <w:szCs w:val="26"/>
          <w:lang w:val="lt-LT"/>
        </w:rPr>
        <w:t xml:space="preserve">riziką </w:t>
      </w:r>
      <w:r w:rsidRPr="007928C8">
        <w:rPr>
          <w:sz w:val="26"/>
          <w:szCs w:val="26"/>
          <w:lang w:val="lt-LT"/>
        </w:rPr>
        <w:t>t</w:t>
      </w:r>
      <w:r>
        <w:rPr>
          <w:sz w:val="26"/>
          <w:szCs w:val="26"/>
          <w:lang w:val="lt-LT"/>
        </w:rPr>
        <w:t xml:space="preserve">ikslinga </w:t>
      </w:r>
      <w:r w:rsidRPr="007928C8">
        <w:rPr>
          <w:sz w:val="26"/>
          <w:szCs w:val="26"/>
          <w:lang w:val="lt-LT"/>
        </w:rPr>
        <w:t>nagrinė</w:t>
      </w:r>
      <w:r>
        <w:rPr>
          <w:sz w:val="26"/>
          <w:szCs w:val="26"/>
          <w:lang w:val="lt-LT"/>
        </w:rPr>
        <w:t>ti</w:t>
      </w:r>
      <w:r w:rsidRPr="007928C8">
        <w:rPr>
          <w:sz w:val="26"/>
          <w:szCs w:val="26"/>
          <w:lang w:val="lt-LT"/>
        </w:rPr>
        <w:t xml:space="preserve"> per samdomų darbuotojų ar vadovybės „apgaulės rombo“ prizmę. </w:t>
      </w:r>
    </w:p>
    <w:p w:rsidR="0044367C" w:rsidRPr="007928C8" w:rsidRDefault="0044367C" w:rsidP="0044367C">
      <w:pPr>
        <w:pStyle w:val="ListParagraph"/>
        <w:tabs>
          <w:tab w:val="left" w:pos="1134"/>
        </w:tabs>
        <w:spacing w:line="360" w:lineRule="auto"/>
        <w:ind w:left="0" w:firstLine="720"/>
        <w:jc w:val="both"/>
        <w:rPr>
          <w:sz w:val="26"/>
          <w:szCs w:val="26"/>
          <w:lang w:val="lt-LT"/>
        </w:rPr>
      </w:pPr>
      <w:r w:rsidRPr="00C36259">
        <w:rPr>
          <w:i/>
          <w:sz w:val="26"/>
          <w:szCs w:val="26"/>
          <w:lang w:val="lt-LT"/>
        </w:rPr>
        <w:t>Reikšmingo iškraipymo rizika tvirtinimo lygmeniu</w:t>
      </w:r>
      <w:r w:rsidRPr="006F130C">
        <w:rPr>
          <w:sz w:val="26"/>
          <w:szCs w:val="26"/>
          <w:lang w:val="lt-LT"/>
        </w:rPr>
        <w:t xml:space="preserve"> </w:t>
      </w:r>
      <w:r w:rsidRPr="00C36259">
        <w:rPr>
          <w:sz w:val="26"/>
          <w:szCs w:val="26"/>
          <w:lang w:val="lt-LT"/>
        </w:rPr>
        <w:t>– rizika, susijusi su konkrečiu finansinių ataskaitų elementu ir(ar) jo tvirtinimo pobūdžiu (įgimta rizika) ir jų atžvilgiu taikomomis kontrolės procedūromis (kontrolės rizika).</w:t>
      </w:r>
      <w:r w:rsidRPr="007928C8">
        <w:rPr>
          <w:sz w:val="26"/>
          <w:szCs w:val="26"/>
          <w:lang w:val="lt-LT"/>
        </w:rPr>
        <w:t xml:space="preserve"> Pasiūlyta, kad audituojamos įmonės kontrolės procedūrų tinkamumas turi būti nustatomas nagrinėjant </w:t>
      </w:r>
      <w:r>
        <w:rPr>
          <w:sz w:val="26"/>
          <w:szCs w:val="26"/>
          <w:lang w:val="lt-LT"/>
        </w:rPr>
        <w:t xml:space="preserve">a) </w:t>
      </w:r>
      <w:r w:rsidRPr="007928C8">
        <w:rPr>
          <w:sz w:val="26"/>
          <w:szCs w:val="26"/>
          <w:lang w:val="lt-LT"/>
        </w:rPr>
        <w:t xml:space="preserve">vidaus kontrolės sistemos struktūrą </w:t>
      </w:r>
      <w:r>
        <w:rPr>
          <w:sz w:val="26"/>
          <w:szCs w:val="26"/>
          <w:lang w:val="lt-LT"/>
        </w:rPr>
        <w:t>pagal C</w:t>
      </w:r>
      <w:r w:rsidRPr="007928C8">
        <w:rPr>
          <w:sz w:val="26"/>
          <w:szCs w:val="26"/>
          <w:lang w:val="lt-LT"/>
        </w:rPr>
        <w:t>OSO model</w:t>
      </w:r>
      <w:r>
        <w:rPr>
          <w:sz w:val="26"/>
          <w:szCs w:val="26"/>
          <w:lang w:val="lt-LT"/>
        </w:rPr>
        <w:t>į</w:t>
      </w:r>
      <w:r w:rsidRPr="007928C8">
        <w:rPr>
          <w:sz w:val="26"/>
          <w:szCs w:val="26"/>
          <w:lang w:val="lt-LT"/>
        </w:rPr>
        <w:t xml:space="preserve">, </w:t>
      </w:r>
      <w:r>
        <w:rPr>
          <w:sz w:val="26"/>
          <w:szCs w:val="26"/>
          <w:lang w:val="lt-LT"/>
        </w:rPr>
        <w:t xml:space="preserve">b) </w:t>
      </w:r>
      <w:r w:rsidRPr="007928C8">
        <w:rPr>
          <w:sz w:val="26"/>
          <w:szCs w:val="26"/>
          <w:lang w:val="lt-LT"/>
        </w:rPr>
        <w:t xml:space="preserve">jos veikimo efektyvumą ir </w:t>
      </w:r>
      <w:r>
        <w:rPr>
          <w:sz w:val="26"/>
          <w:szCs w:val="26"/>
          <w:lang w:val="lt-LT"/>
        </w:rPr>
        <w:t xml:space="preserve">naudojant </w:t>
      </w:r>
      <w:r w:rsidRPr="007928C8">
        <w:rPr>
          <w:sz w:val="26"/>
          <w:szCs w:val="26"/>
          <w:lang w:val="lt-LT"/>
        </w:rPr>
        <w:t>CoCo modeli</w:t>
      </w:r>
      <w:r>
        <w:rPr>
          <w:sz w:val="26"/>
          <w:szCs w:val="26"/>
          <w:lang w:val="lt-LT"/>
        </w:rPr>
        <w:t xml:space="preserve">o </w:t>
      </w:r>
      <w:r w:rsidRPr="007928C8">
        <w:rPr>
          <w:sz w:val="26"/>
          <w:szCs w:val="26"/>
          <w:lang w:val="lt-LT"/>
        </w:rPr>
        <w:t>kriterij</w:t>
      </w:r>
      <w:r>
        <w:rPr>
          <w:sz w:val="26"/>
          <w:szCs w:val="26"/>
          <w:lang w:val="lt-LT"/>
        </w:rPr>
        <w:t>us</w:t>
      </w:r>
      <w:r w:rsidRPr="007928C8">
        <w:rPr>
          <w:sz w:val="26"/>
          <w:szCs w:val="26"/>
          <w:lang w:val="lt-LT"/>
        </w:rPr>
        <w:t xml:space="preserve"> (tikslo, atsidavimo, pajėgumo, stebėsenos ir mokym</w:t>
      </w:r>
      <w:r>
        <w:rPr>
          <w:sz w:val="26"/>
          <w:szCs w:val="26"/>
          <w:lang w:val="lt-LT"/>
        </w:rPr>
        <w:t>osi);</w:t>
      </w:r>
    </w:p>
    <w:p w:rsidR="0044367C" w:rsidRPr="006A61AD" w:rsidRDefault="0044367C" w:rsidP="0044367C">
      <w:pPr>
        <w:pStyle w:val="ListParagraph"/>
        <w:tabs>
          <w:tab w:val="left" w:pos="1134"/>
        </w:tabs>
        <w:spacing w:line="360" w:lineRule="auto"/>
        <w:ind w:left="0" w:firstLine="720"/>
        <w:jc w:val="both"/>
        <w:rPr>
          <w:sz w:val="26"/>
          <w:szCs w:val="26"/>
          <w:lang w:val="lt-LT"/>
        </w:rPr>
      </w:pPr>
      <w:r w:rsidRPr="007928C8">
        <w:rPr>
          <w:sz w:val="26"/>
          <w:szCs w:val="26"/>
          <w:lang w:val="lt-LT"/>
        </w:rPr>
        <w:t xml:space="preserve">2) </w:t>
      </w:r>
      <w:r>
        <w:rPr>
          <w:i/>
          <w:sz w:val="26"/>
          <w:szCs w:val="26"/>
          <w:lang w:val="lt-LT"/>
        </w:rPr>
        <w:t>a</w:t>
      </w:r>
      <w:r w:rsidRPr="007928C8">
        <w:rPr>
          <w:i/>
          <w:sz w:val="26"/>
          <w:szCs w:val="26"/>
          <w:lang w:val="lt-LT"/>
        </w:rPr>
        <w:t xml:space="preserve">ptikimo rizika </w:t>
      </w:r>
      <w:r w:rsidRPr="00602068">
        <w:rPr>
          <w:sz w:val="26"/>
          <w:szCs w:val="26"/>
          <w:lang w:val="lt-LT"/>
        </w:rPr>
        <w:t>– rizika, kurią lemia audito sąlygos</w:t>
      </w:r>
      <w:r>
        <w:rPr>
          <w:sz w:val="26"/>
          <w:szCs w:val="26"/>
          <w:lang w:val="lt-LT"/>
        </w:rPr>
        <w:t xml:space="preserve"> </w:t>
      </w:r>
      <w:r>
        <w:rPr>
          <w:sz w:val="26"/>
          <w:szCs w:val="26"/>
          <w:lang w:val="lt-LT"/>
        </w:rPr>
        <w:softHyphen/>
        <w:t xml:space="preserve"> turi </w:t>
      </w:r>
      <w:r w:rsidRPr="007928C8">
        <w:rPr>
          <w:sz w:val="26"/>
          <w:szCs w:val="26"/>
          <w:lang w:val="lt-LT"/>
        </w:rPr>
        <w:t>būti suprantama kaip audito procedūrų, atrankos ir profesinės rizikos derinys</w:t>
      </w:r>
      <w:r>
        <w:rPr>
          <w:sz w:val="26"/>
          <w:szCs w:val="26"/>
          <w:lang w:val="lt-LT"/>
        </w:rPr>
        <w:t>.</w:t>
      </w:r>
      <w:r w:rsidRPr="007928C8">
        <w:rPr>
          <w:sz w:val="26"/>
          <w:szCs w:val="26"/>
          <w:lang w:val="lt-LT"/>
        </w:rPr>
        <w:t xml:space="preserve"> Aptikimo rizika yra auditoriaus </w:t>
      </w:r>
      <w:r w:rsidRPr="006A61AD">
        <w:rPr>
          <w:sz w:val="26"/>
          <w:szCs w:val="26"/>
          <w:lang w:val="lt-LT"/>
        </w:rPr>
        <w:t xml:space="preserve">valdoma rizika tvirtinimo lygmeniu. Nustatyta, kad a) </w:t>
      </w:r>
      <w:r w:rsidRPr="006A61AD">
        <w:rPr>
          <w:i/>
          <w:sz w:val="26"/>
          <w:szCs w:val="26"/>
          <w:lang w:val="lt-LT"/>
        </w:rPr>
        <w:t>audito procedūrų rizika</w:t>
      </w:r>
      <w:r w:rsidRPr="006A61AD">
        <w:rPr>
          <w:sz w:val="26"/>
          <w:szCs w:val="26"/>
          <w:lang w:val="lt-LT"/>
        </w:rPr>
        <w:t xml:space="preserve"> susijusi su</w:t>
      </w:r>
      <w:r w:rsidRPr="006A61AD">
        <w:rPr>
          <w:i/>
          <w:sz w:val="26"/>
          <w:szCs w:val="26"/>
          <w:lang w:val="lt-LT"/>
        </w:rPr>
        <w:t xml:space="preserve"> </w:t>
      </w:r>
      <w:r w:rsidRPr="006A61AD">
        <w:rPr>
          <w:sz w:val="26"/>
          <w:szCs w:val="26"/>
          <w:lang w:val="lt-LT"/>
        </w:rPr>
        <w:t xml:space="preserve">netinkamu audito procedūros pritaikymu ar parinkimu konkrečiam finansinių ataskaitų elementui ar jo tvirtinimui tirti; b) </w:t>
      </w:r>
      <w:r w:rsidRPr="006A61AD">
        <w:rPr>
          <w:i/>
          <w:sz w:val="26"/>
          <w:szCs w:val="26"/>
          <w:lang w:val="lt-LT"/>
        </w:rPr>
        <w:t>atrankos rizika</w:t>
      </w:r>
      <w:r w:rsidRPr="006A61AD">
        <w:rPr>
          <w:sz w:val="26"/>
          <w:szCs w:val="26"/>
          <w:lang w:val="lt-LT"/>
        </w:rPr>
        <w:t xml:space="preserve"> kyla dėl </w:t>
      </w:r>
      <w:r w:rsidR="00D40D3C">
        <w:rPr>
          <w:sz w:val="26"/>
          <w:szCs w:val="26"/>
          <w:lang w:val="lt-LT"/>
        </w:rPr>
        <w:t xml:space="preserve">to, </w:t>
      </w:r>
      <w:r w:rsidRPr="006A61AD">
        <w:rPr>
          <w:sz w:val="26"/>
          <w:szCs w:val="26"/>
          <w:lang w:val="lt-LT"/>
        </w:rPr>
        <w:t xml:space="preserve">kad audito išvados padarytos remiantis atrankos duomenimis, gali skirtis nuo išvadų, jei tos pačios audito procedūros būtų taikytos visai visumai; c) </w:t>
      </w:r>
      <w:r w:rsidRPr="006A61AD">
        <w:rPr>
          <w:i/>
          <w:sz w:val="26"/>
          <w:szCs w:val="26"/>
          <w:lang w:val="lt-LT"/>
        </w:rPr>
        <w:t>profesinę riziką</w:t>
      </w:r>
      <w:r w:rsidRPr="006A61AD">
        <w:rPr>
          <w:sz w:val="26"/>
          <w:szCs w:val="26"/>
          <w:lang w:val="lt-LT"/>
        </w:rPr>
        <w:t xml:space="preserve"> lemia auditoriaus savybės (patirtis, kvalifikacija)</w:t>
      </w:r>
      <w:r w:rsidR="00D40D3C">
        <w:rPr>
          <w:sz w:val="26"/>
          <w:szCs w:val="26"/>
          <w:lang w:val="lt-LT"/>
        </w:rPr>
        <w:t>,</w:t>
      </w:r>
      <w:r w:rsidRPr="006A61AD">
        <w:rPr>
          <w:sz w:val="26"/>
          <w:szCs w:val="26"/>
          <w:lang w:val="lt-LT"/>
        </w:rPr>
        <w:t xml:space="preserve"> pagrindinių audito koncepcijų netobulumas ar tinkam</w:t>
      </w:r>
      <w:r>
        <w:rPr>
          <w:sz w:val="26"/>
          <w:szCs w:val="26"/>
          <w:lang w:val="lt-LT"/>
        </w:rPr>
        <w:t>as</w:t>
      </w:r>
      <w:r w:rsidRPr="006A61AD">
        <w:rPr>
          <w:sz w:val="26"/>
          <w:szCs w:val="26"/>
          <w:lang w:val="lt-LT"/>
        </w:rPr>
        <w:t xml:space="preserve"> jų nesilaikymas; </w:t>
      </w:r>
    </w:p>
    <w:p w:rsidR="0044367C" w:rsidRPr="007928C8" w:rsidRDefault="0044367C" w:rsidP="0044367C">
      <w:pPr>
        <w:pStyle w:val="ListParagraph"/>
        <w:tabs>
          <w:tab w:val="left" w:pos="1134"/>
        </w:tabs>
        <w:spacing w:line="360" w:lineRule="auto"/>
        <w:ind w:left="0" w:firstLine="720"/>
        <w:jc w:val="both"/>
        <w:rPr>
          <w:sz w:val="26"/>
          <w:szCs w:val="26"/>
          <w:lang w:val="lt-LT"/>
        </w:rPr>
      </w:pPr>
      <w:r w:rsidRPr="007928C8">
        <w:rPr>
          <w:sz w:val="26"/>
          <w:szCs w:val="26"/>
          <w:lang w:val="lt-LT"/>
        </w:rPr>
        <w:t xml:space="preserve">3) </w:t>
      </w:r>
      <w:r>
        <w:rPr>
          <w:sz w:val="26"/>
          <w:szCs w:val="26"/>
          <w:lang w:val="lt-LT"/>
        </w:rPr>
        <w:t>a</w:t>
      </w:r>
      <w:r w:rsidRPr="007928C8">
        <w:rPr>
          <w:sz w:val="26"/>
          <w:szCs w:val="26"/>
          <w:lang w:val="lt-LT"/>
        </w:rPr>
        <w:t xml:space="preserve">udito rizikos vertinime </w:t>
      </w:r>
      <w:r>
        <w:rPr>
          <w:sz w:val="26"/>
          <w:szCs w:val="26"/>
          <w:lang w:val="lt-LT"/>
        </w:rPr>
        <w:t xml:space="preserve">turi būti atsižvelgta į tarpusavio </w:t>
      </w:r>
      <w:r w:rsidRPr="007928C8">
        <w:rPr>
          <w:sz w:val="26"/>
          <w:szCs w:val="26"/>
          <w:lang w:val="lt-LT"/>
        </w:rPr>
        <w:t>ryš</w:t>
      </w:r>
      <w:r>
        <w:rPr>
          <w:sz w:val="26"/>
          <w:szCs w:val="26"/>
          <w:lang w:val="lt-LT"/>
        </w:rPr>
        <w:t>ius</w:t>
      </w:r>
      <w:r w:rsidRPr="007928C8">
        <w:rPr>
          <w:sz w:val="26"/>
          <w:szCs w:val="26"/>
          <w:lang w:val="lt-LT"/>
        </w:rPr>
        <w:t xml:space="preserve"> tarp audito rizikos komponentų</w:t>
      </w:r>
      <w:r>
        <w:rPr>
          <w:sz w:val="26"/>
          <w:szCs w:val="26"/>
          <w:lang w:val="lt-LT"/>
        </w:rPr>
        <w:t>, nes: a) r</w:t>
      </w:r>
      <w:r w:rsidRPr="007928C8">
        <w:rPr>
          <w:sz w:val="26"/>
          <w:szCs w:val="26"/>
          <w:lang w:val="lt-LT"/>
        </w:rPr>
        <w:t xml:space="preserve">eikšmingo iškraipymo rizika finansinių ataskaitų lygmeniu </w:t>
      </w:r>
      <w:r>
        <w:rPr>
          <w:sz w:val="26"/>
          <w:szCs w:val="26"/>
          <w:lang w:val="lt-LT"/>
        </w:rPr>
        <w:t xml:space="preserve">tiesiogiai </w:t>
      </w:r>
      <w:r w:rsidRPr="007928C8">
        <w:rPr>
          <w:sz w:val="26"/>
          <w:szCs w:val="26"/>
          <w:lang w:val="lt-LT"/>
        </w:rPr>
        <w:t>lemia susijusios reikšmingo iškraipymo rizikos, pasireiškiančios tvirtinimo lygmeniu, vertinimą</w:t>
      </w:r>
      <w:r>
        <w:rPr>
          <w:sz w:val="26"/>
          <w:szCs w:val="26"/>
          <w:lang w:val="lt-LT"/>
        </w:rPr>
        <w:t xml:space="preserve">; b) egzistuoja tiesioginis ryšys tarp </w:t>
      </w:r>
      <w:r w:rsidRPr="007928C8">
        <w:rPr>
          <w:sz w:val="26"/>
          <w:szCs w:val="26"/>
          <w:lang w:val="lt-LT"/>
        </w:rPr>
        <w:t>reikšmingo iškraipymo rizikos tvirtinimo lygmeniu ir aptikimo rizikos</w:t>
      </w:r>
      <w:r>
        <w:rPr>
          <w:sz w:val="26"/>
          <w:szCs w:val="26"/>
          <w:lang w:val="lt-LT"/>
        </w:rPr>
        <w:t>, t. y. kuo didesnė</w:t>
      </w:r>
      <w:r w:rsidRPr="00D82E50">
        <w:rPr>
          <w:sz w:val="26"/>
          <w:szCs w:val="26"/>
          <w:lang w:val="lt-LT"/>
        </w:rPr>
        <w:t xml:space="preserve"> </w:t>
      </w:r>
      <w:r w:rsidRPr="007928C8">
        <w:rPr>
          <w:sz w:val="26"/>
          <w:szCs w:val="26"/>
          <w:lang w:val="lt-LT"/>
        </w:rPr>
        <w:t>reikšmingo iškraipymo rizik</w:t>
      </w:r>
      <w:r>
        <w:rPr>
          <w:sz w:val="26"/>
          <w:szCs w:val="26"/>
          <w:lang w:val="lt-LT"/>
        </w:rPr>
        <w:t xml:space="preserve">a, tuo didesnė ir su ja susijusi aptikimo rizika; o c) atvirkštinis ryšys tarp </w:t>
      </w:r>
      <w:r w:rsidRPr="007928C8">
        <w:rPr>
          <w:sz w:val="26"/>
          <w:szCs w:val="26"/>
          <w:lang w:val="lt-LT"/>
        </w:rPr>
        <w:t>reikšmingo iškraipymo rizikos tvirtinimo lygmeniu ir aptikimo rizikos</w:t>
      </w:r>
      <w:r>
        <w:rPr>
          <w:sz w:val="26"/>
          <w:szCs w:val="26"/>
          <w:lang w:val="lt-LT"/>
        </w:rPr>
        <w:t xml:space="preserve"> rodo, kad priimtiną audito rizikos lygį galima pasiekti sumažinus vieną iš šių komponentų. Minėti ryšiai svarbūs tuo, kad jie lemia </w:t>
      </w:r>
      <w:r w:rsidRPr="007928C8">
        <w:rPr>
          <w:sz w:val="26"/>
          <w:szCs w:val="26"/>
          <w:lang w:val="lt-LT"/>
        </w:rPr>
        <w:t>tolesnių audito procedūrų atlikimą ir užtikrina audito įmonės darbo efektyvumą.</w:t>
      </w:r>
    </w:p>
    <w:p w:rsidR="0044367C" w:rsidRDefault="0044367C" w:rsidP="0044367C">
      <w:pPr>
        <w:pStyle w:val="ListParagraph"/>
        <w:tabs>
          <w:tab w:val="left" w:pos="1134"/>
        </w:tabs>
        <w:spacing w:line="360" w:lineRule="auto"/>
        <w:ind w:left="0" w:firstLine="720"/>
        <w:jc w:val="both"/>
        <w:rPr>
          <w:sz w:val="26"/>
          <w:szCs w:val="26"/>
          <w:lang w:val="lt-LT"/>
        </w:rPr>
      </w:pPr>
      <w:r>
        <w:rPr>
          <w:sz w:val="26"/>
          <w:szCs w:val="26"/>
          <w:lang w:val="lt-LT"/>
        </w:rPr>
        <w:lastRenderedPageBreak/>
        <w:t>5</w:t>
      </w:r>
      <w:r w:rsidRPr="0081743D">
        <w:rPr>
          <w:sz w:val="26"/>
          <w:szCs w:val="26"/>
          <w:lang w:val="lt-LT"/>
        </w:rPr>
        <w:t>. Kritinė mokslo darbuose siūlomų audito rizikos modelių lyginamoji analizė parodė, kad nė vienas iš analizuotų audito rizikos modelių nėra pakankamai išsamus ir pilnai neatspindi audito rizikos vertinimo esmės, nes šie modeliai:</w:t>
      </w:r>
      <w:r>
        <w:rPr>
          <w:sz w:val="26"/>
          <w:szCs w:val="26"/>
          <w:lang w:val="lt-LT"/>
        </w:rPr>
        <w:t xml:space="preserve"> </w:t>
      </w:r>
    </w:p>
    <w:p w:rsidR="0044367C" w:rsidRPr="00776F88" w:rsidRDefault="0044367C" w:rsidP="0044367C">
      <w:pPr>
        <w:pStyle w:val="ListParagraph"/>
        <w:tabs>
          <w:tab w:val="left" w:pos="1134"/>
        </w:tabs>
        <w:spacing w:line="360" w:lineRule="auto"/>
        <w:ind w:left="0" w:firstLine="720"/>
        <w:jc w:val="both"/>
        <w:rPr>
          <w:sz w:val="26"/>
          <w:szCs w:val="26"/>
          <w:lang w:val="lt-LT"/>
        </w:rPr>
      </w:pPr>
      <w:r w:rsidRPr="007928C8">
        <w:rPr>
          <w:sz w:val="26"/>
          <w:szCs w:val="26"/>
          <w:lang w:val="lt-LT"/>
        </w:rPr>
        <w:t xml:space="preserve">1) pateikia bendrą supratimą apie audito riziką ir jos komponentus, tačiau </w:t>
      </w:r>
      <w:r w:rsidRPr="007928C8">
        <w:rPr>
          <w:i/>
          <w:sz w:val="26"/>
          <w:szCs w:val="26"/>
          <w:lang w:val="lt-LT"/>
        </w:rPr>
        <w:t>nesiūlo konkretaus būdo, kaip šias rizikas apskaičiuoti</w:t>
      </w:r>
      <w:r w:rsidRPr="00776F88">
        <w:rPr>
          <w:sz w:val="26"/>
          <w:szCs w:val="26"/>
          <w:lang w:val="lt-LT"/>
        </w:rPr>
        <w:t xml:space="preserve">; </w:t>
      </w:r>
    </w:p>
    <w:p w:rsidR="0044367C" w:rsidRPr="007928C8" w:rsidRDefault="0044367C" w:rsidP="0044367C">
      <w:pPr>
        <w:pStyle w:val="ListParagraph"/>
        <w:tabs>
          <w:tab w:val="left" w:pos="1134"/>
        </w:tabs>
        <w:spacing w:line="360" w:lineRule="auto"/>
        <w:ind w:left="0" w:firstLine="720"/>
        <w:jc w:val="both"/>
        <w:rPr>
          <w:sz w:val="26"/>
          <w:szCs w:val="26"/>
          <w:lang w:val="lt-LT"/>
        </w:rPr>
      </w:pPr>
      <w:r w:rsidRPr="007928C8">
        <w:rPr>
          <w:sz w:val="26"/>
          <w:szCs w:val="26"/>
          <w:lang w:val="lt-LT"/>
        </w:rPr>
        <w:t xml:space="preserve">2) išskiria atskirus audito rizikos komponentus, </w:t>
      </w:r>
      <w:r>
        <w:rPr>
          <w:sz w:val="26"/>
          <w:szCs w:val="26"/>
          <w:lang w:val="lt-LT"/>
        </w:rPr>
        <w:t>bet</w:t>
      </w:r>
      <w:r w:rsidRPr="007928C8">
        <w:rPr>
          <w:sz w:val="26"/>
          <w:szCs w:val="26"/>
          <w:lang w:val="lt-LT"/>
        </w:rPr>
        <w:t xml:space="preserve"> </w:t>
      </w:r>
      <w:r w:rsidRPr="007928C8">
        <w:rPr>
          <w:i/>
          <w:sz w:val="26"/>
          <w:szCs w:val="26"/>
          <w:lang w:val="lt-LT"/>
        </w:rPr>
        <w:t>ne</w:t>
      </w:r>
      <w:r w:rsidR="00617605">
        <w:rPr>
          <w:i/>
          <w:sz w:val="26"/>
          <w:szCs w:val="26"/>
          <w:lang w:val="lt-LT"/>
        </w:rPr>
        <w:t>išs</w:t>
      </w:r>
      <w:r w:rsidRPr="007928C8">
        <w:rPr>
          <w:i/>
          <w:sz w:val="26"/>
          <w:szCs w:val="26"/>
          <w:lang w:val="lt-LT"/>
        </w:rPr>
        <w:t>pr</w:t>
      </w:r>
      <w:r w:rsidR="00617605">
        <w:rPr>
          <w:i/>
          <w:sz w:val="26"/>
          <w:szCs w:val="26"/>
          <w:lang w:val="lt-LT"/>
        </w:rPr>
        <w:t>endžia</w:t>
      </w:r>
      <w:r w:rsidRPr="007928C8">
        <w:rPr>
          <w:i/>
          <w:sz w:val="26"/>
          <w:szCs w:val="26"/>
          <w:lang w:val="lt-LT"/>
        </w:rPr>
        <w:t xml:space="preserve"> audito rizikos komponentų priklausomybės problemos</w:t>
      </w:r>
      <w:r w:rsidRPr="007928C8">
        <w:rPr>
          <w:sz w:val="26"/>
          <w:szCs w:val="26"/>
          <w:lang w:val="lt-LT"/>
        </w:rPr>
        <w:t xml:space="preserve">; </w:t>
      </w:r>
    </w:p>
    <w:p w:rsidR="0044367C" w:rsidRDefault="0044367C" w:rsidP="0044367C">
      <w:pPr>
        <w:pStyle w:val="ListParagraph"/>
        <w:tabs>
          <w:tab w:val="left" w:pos="1134"/>
        </w:tabs>
        <w:spacing w:line="360" w:lineRule="auto"/>
        <w:ind w:left="0" w:firstLine="720"/>
        <w:jc w:val="both"/>
        <w:rPr>
          <w:sz w:val="26"/>
          <w:szCs w:val="26"/>
          <w:lang w:val="lt-LT"/>
        </w:rPr>
      </w:pPr>
      <w:r w:rsidRPr="007928C8">
        <w:rPr>
          <w:sz w:val="26"/>
          <w:szCs w:val="26"/>
          <w:lang w:val="lt-LT"/>
        </w:rPr>
        <w:t xml:space="preserve">3) iki galo neatspindi audito rizikos komponentų visumos ir/ar jų pagrindinių charakteristikų dėl </w:t>
      </w:r>
      <w:r w:rsidRPr="007928C8">
        <w:rPr>
          <w:i/>
          <w:sz w:val="26"/>
          <w:szCs w:val="26"/>
          <w:lang w:val="lt-LT"/>
        </w:rPr>
        <w:t xml:space="preserve">audito riziką lemiančių sąlygų </w:t>
      </w:r>
      <w:r w:rsidRPr="007928C8">
        <w:rPr>
          <w:sz w:val="26"/>
          <w:szCs w:val="26"/>
          <w:lang w:val="lt-LT"/>
        </w:rPr>
        <w:t>(dėl atrankos taikymo, apgaulės pasireiškimo, audituojamos įmonės verslo rizikos ir pan.)</w:t>
      </w:r>
      <w:r>
        <w:rPr>
          <w:sz w:val="26"/>
          <w:szCs w:val="26"/>
          <w:lang w:val="lt-LT"/>
        </w:rPr>
        <w:t>;</w:t>
      </w:r>
    </w:p>
    <w:p w:rsidR="0044367C" w:rsidRDefault="0044367C" w:rsidP="0044367C">
      <w:pPr>
        <w:pStyle w:val="ListParagraph"/>
        <w:tabs>
          <w:tab w:val="left" w:pos="1134"/>
        </w:tabs>
        <w:spacing w:line="360" w:lineRule="auto"/>
        <w:ind w:left="0" w:firstLine="720"/>
        <w:jc w:val="both"/>
        <w:rPr>
          <w:sz w:val="26"/>
          <w:szCs w:val="26"/>
          <w:lang w:val="lt-LT"/>
        </w:rPr>
      </w:pPr>
      <w:r>
        <w:rPr>
          <w:sz w:val="26"/>
          <w:szCs w:val="26"/>
          <w:lang w:val="lt-LT"/>
        </w:rPr>
        <w:t>4) neišsprendžia</w:t>
      </w:r>
      <w:r w:rsidRPr="007928C8">
        <w:rPr>
          <w:sz w:val="26"/>
          <w:szCs w:val="26"/>
          <w:lang w:val="lt-LT"/>
        </w:rPr>
        <w:t xml:space="preserve"> </w:t>
      </w:r>
      <w:r w:rsidRPr="007928C8">
        <w:rPr>
          <w:i/>
          <w:sz w:val="26"/>
          <w:szCs w:val="26"/>
          <w:lang w:val="lt-LT"/>
        </w:rPr>
        <w:t>agregacijos problemos</w:t>
      </w:r>
      <w:r w:rsidRPr="007928C8">
        <w:rPr>
          <w:sz w:val="26"/>
          <w:szCs w:val="26"/>
          <w:lang w:val="lt-LT"/>
        </w:rPr>
        <w:t xml:space="preserve"> </w:t>
      </w:r>
      <w:r>
        <w:rPr>
          <w:sz w:val="26"/>
          <w:szCs w:val="26"/>
          <w:lang w:val="lt-LT"/>
        </w:rPr>
        <w:t>finansinių ataskaitų ir atskiro jų elemento tvirtinimo lygmeniu;</w:t>
      </w:r>
    </w:p>
    <w:p w:rsidR="0044367C" w:rsidRPr="0081743D" w:rsidRDefault="0044367C" w:rsidP="0044367C">
      <w:pPr>
        <w:pStyle w:val="ListParagraph"/>
        <w:tabs>
          <w:tab w:val="left" w:pos="1134"/>
        </w:tabs>
        <w:spacing w:line="360" w:lineRule="auto"/>
        <w:ind w:left="0" w:firstLine="720"/>
        <w:jc w:val="both"/>
        <w:rPr>
          <w:i/>
          <w:sz w:val="26"/>
          <w:szCs w:val="26"/>
          <w:lang w:val="lt-LT"/>
        </w:rPr>
      </w:pPr>
      <w:r w:rsidRPr="0081743D">
        <w:rPr>
          <w:sz w:val="26"/>
          <w:szCs w:val="26"/>
          <w:lang w:val="lt-LT"/>
        </w:rPr>
        <w:t xml:space="preserve">5) neparodo, kad audito rizika ir/ar jos komponentai per(vertinami) tam tikrame audito etape, atskleidžiant </w:t>
      </w:r>
      <w:r w:rsidRPr="0081743D">
        <w:rPr>
          <w:i/>
          <w:sz w:val="26"/>
          <w:szCs w:val="26"/>
          <w:lang w:val="lt-LT"/>
        </w:rPr>
        <w:t xml:space="preserve">iteratyvinę sprendimų priėmimo </w:t>
      </w:r>
      <w:r w:rsidRPr="0081743D">
        <w:rPr>
          <w:sz w:val="26"/>
          <w:szCs w:val="26"/>
          <w:lang w:val="lt-LT"/>
        </w:rPr>
        <w:t>rizikos vertinimo procese</w:t>
      </w:r>
      <w:r w:rsidRPr="0081743D">
        <w:rPr>
          <w:i/>
          <w:sz w:val="26"/>
          <w:szCs w:val="26"/>
          <w:lang w:val="lt-LT"/>
        </w:rPr>
        <w:t xml:space="preserve"> prigimtį.</w:t>
      </w:r>
    </w:p>
    <w:p w:rsidR="0044367C" w:rsidRPr="0081743D" w:rsidRDefault="0044367C" w:rsidP="0044367C">
      <w:pPr>
        <w:pStyle w:val="ListParagraph"/>
        <w:tabs>
          <w:tab w:val="left" w:pos="1134"/>
        </w:tabs>
        <w:spacing w:line="360" w:lineRule="auto"/>
        <w:ind w:left="0" w:firstLine="720"/>
        <w:jc w:val="both"/>
        <w:rPr>
          <w:sz w:val="26"/>
          <w:szCs w:val="26"/>
          <w:lang w:val="lt-LT"/>
        </w:rPr>
      </w:pPr>
      <w:r w:rsidRPr="0081743D">
        <w:rPr>
          <w:sz w:val="26"/>
          <w:szCs w:val="26"/>
          <w:lang w:val="lt-LT"/>
        </w:rPr>
        <w:t>Atsižvelgiant į tai, apibendrintos audito rizikos vertinimo modelio tobulinimo kryptys: 1) audito rizikos komponentų visumos problema; 2) audito rizikos komponentų priklausomybės atskleidimas; 3) modelio pritaikymas praktikoje vertinant audito rezultatus; 4) agregacijos problemos išsprendimas; 5) iteratyvinis sprendimo priėmimas audito procese.</w:t>
      </w:r>
    </w:p>
    <w:p w:rsidR="0044367C" w:rsidRPr="00BF063C" w:rsidRDefault="0044367C" w:rsidP="0044367C">
      <w:pPr>
        <w:spacing w:line="360" w:lineRule="auto"/>
        <w:ind w:firstLine="709"/>
        <w:jc w:val="both"/>
        <w:rPr>
          <w:sz w:val="26"/>
          <w:szCs w:val="26"/>
          <w:lang w:val="lt-LT"/>
        </w:rPr>
      </w:pPr>
      <w:r w:rsidRPr="007928C8">
        <w:rPr>
          <w:sz w:val="26"/>
          <w:szCs w:val="26"/>
          <w:lang w:val="lt-LT"/>
        </w:rPr>
        <w:t xml:space="preserve">6. </w:t>
      </w:r>
      <w:r w:rsidRPr="00BF063C">
        <w:rPr>
          <w:sz w:val="26"/>
          <w:szCs w:val="26"/>
          <w:lang w:val="lt-LT"/>
        </w:rPr>
        <w:t>Anketinės apklausos rezultatai parodė, kad Lietuvos auditoriai, vertindami audito riziką, susiduria su šiomis problemomis: 1)</w:t>
      </w:r>
      <w:r>
        <w:rPr>
          <w:sz w:val="26"/>
          <w:szCs w:val="26"/>
          <w:lang w:val="lt-LT"/>
        </w:rPr>
        <w:t> </w:t>
      </w:r>
      <w:r w:rsidRPr="00BF063C">
        <w:rPr>
          <w:sz w:val="26"/>
          <w:szCs w:val="26"/>
          <w:lang w:val="lt-LT"/>
        </w:rPr>
        <w:t xml:space="preserve">audito riziką kaip ekonominį reiškinį sunku įvertinti; </w:t>
      </w:r>
      <w:r w:rsidRPr="00BF063C">
        <w:rPr>
          <w:sz w:val="26"/>
          <w:szCs w:val="26"/>
          <w:lang w:val="en-GB"/>
        </w:rPr>
        <w:t>2)</w:t>
      </w:r>
      <w:r>
        <w:rPr>
          <w:sz w:val="26"/>
          <w:szCs w:val="26"/>
          <w:lang w:val="en-GB"/>
        </w:rPr>
        <w:t> </w:t>
      </w:r>
      <w:r w:rsidRPr="00BF063C">
        <w:rPr>
          <w:sz w:val="26"/>
          <w:szCs w:val="26"/>
          <w:lang w:val="lt-LT"/>
        </w:rPr>
        <w:t>audituojamos įmonės verslo sudėtingumas; 3)</w:t>
      </w:r>
      <w:r>
        <w:rPr>
          <w:sz w:val="26"/>
          <w:szCs w:val="26"/>
          <w:lang w:val="lt-LT"/>
        </w:rPr>
        <w:t> </w:t>
      </w:r>
      <w:r w:rsidRPr="00BF063C">
        <w:rPr>
          <w:sz w:val="26"/>
          <w:szCs w:val="26"/>
          <w:lang w:val="lt-LT"/>
        </w:rPr>
        <w:t>sąlygų (veiksnių) lemiančių audito riziką</w:t>
      </w:r>
      <w:r>
        <w:rPr>
          <w:sz w:val="26"/>
          <w:szCs w:val="26"/>
          <w:lang w:val="lt-LT"/>
        </w:rPr>
        <w:t xml:space="preserve"> ar jos komponentus</w:t>
      </w:r>
      <w:r w:rsidRPr="00BF063C">
        <w:rPr>
          <w:sz w:val="26"/>
          <w:szCs w:val="26"/>
          <w:lang w:val="lt-LT"/>
        </w:rPr>
        <w:t xml:space="preserve"> įvairovė; 4)</w:t>
      </w:r>
      <w:r>
        <w:rPr>
          <w:sz w:val="26"/>
          <w:szCs w:val="26"/>
          <w:lang w:val="lt-LT"/>
        </w:rPr>
        <w:t> </w:t>
      </w:r>
      <w:r w:rsidRPr="00BF063C">
        <w:rPr>
          <w:sz w:val="26"/>
          <w:szCs w:val="26"/>
          <w:lang w:val="lt-LT"/>
        </w:rPr>
        <w:t>audituojamos įmonės vidaus kontrolės sistemos sudėtingumas; 5)</w:t>
      </w:r>
      <w:r>
        <w:rPr>
          <w:sz w:val="26"/>
          <w:szCs w:val="26"/>
          <w:lang w:val="lt-LT"/>
        </w:rPr>
        <w:t> </w:t>
      </w:r>
      <w:r w:rsidRPr="00BF063C">
        <w:rPr>
          <w:sz w:val="26"/>
          <w:szCs w:val="26"/>
          <w:lang w:val="lt-LT"/>
        </w:rPr>
        <w:t>sukauptos patirties ir žinių stoka; 6) tinkamos audito atlikimo metodikos neturėjimas ir 7)</w:t>
      </w:r>
      <w:r>
        <w:rPr>
          <w:sz w:val="26"/>
          <w:szCs w:val="26"/>
          <w:lang w:val="lt-LT"/>
        </w:rPr>
        <w:t> </w:t>
      </w:r>
      <w:r w:rsidRPr="00BF063C">
        <w:rPr>
          <w:sz w:val="26"/>
          <w:szCs w:val="26"/>
          <w:lang w:val="lt-LT"/>
        </w:rPr>
        <w:t>kitų praktikoje taikomų audito rizikos vertinimo modelių nežinojimas.</w:t>
      </w:r>
      <w:r>
        <w:rPr>
          <w:sz w:val="26"/>
          <w:szCs w:val="26"/>
          <w:lang w:val="lt-LT"/>
        </w:rPr>
        <w:t xml:space="preserve"> Todėl išskirtos </w:t>
      </w:r>
      <w:r w:rsidRPr="007B5A44">
        <w:rPr>
          <w:sz w:val="26"/>
          <w:szCs w:val="26"/>
          <w:lang w:val="lt-LT"/>
        </w:rPr>
        <w:t xml:space="preserve">audito rizikos vertinimo modelio </w:t>
      </w:r>
      <w:r>
        <w:rPr>
          <w:sz w:val="26"/>
          <w:szCs w:val="26"/>
          <w:lang w:val="lt-LT"/>
        </w:rPr>
        <w:t xml:space="preserve">pritaikymui būtinos </w:t>
      </w:r>
      <w:r w:rsidRPr="00BF063C">
        <w:rPr>
          <w:sz w:val="26"/>
          <w:szCs w:val="26"/>
          <w:lang w:val="lt-LT"/>
        </w:rPr>
        <w:t>sąlygos:</w:t>
      </w:r>
    </w:p>
    <w:p w:rsidR="0044367C" w:rsidRDefault="0044367C" w:rsidP="0044367C">
      <w:pPr>
        <w:pStyle w:val="ListParagraph"/>
        <w:numPr>
          <w:ilvl w:val="0"/>
          <w:numId w:val="33"/>
        </w:numPr>
        <w:tabs>
          <w:tab w:val="left" w:pos="993"/>
        </w:tabs>
        <w:spacing w:line="360" w:lineRule="auto"/>
        <w:ind w:left="0" w:firstLine="709"/>
        <w:jc w:val="both"/>
        <w:rPr>
          <w:sz w:val="26"/>
          <w:szCs w:val="26"/>
          <w:lang w:val="lt-LT"/>
        </w:rPr>
      </w:pPr>
      <w:r w:rsidRPr="007B5A44">
        <w:rPr>
          <w:sz w:val="26"/>
          <w:szCs w:val="26"/>
          <w:lang w:val="lt-LT"/>
        </w:rPr>
        <w:t>parodyti audito rizikos komponentų tarpusavio priklausomybę;</w:t>
      </w:r>
    </w:p>
    <w:p w:rsidR="0044367C" w:rsidRDefault="0044367C" w:rsidP="0044367C">
      <w:pPr>
        <w:pStyle w:val="ListParagraph"/>
        <w:numPr>
          <w:ilvl w:val="0"/>
          <w:numId w:val="33"/>
        </w:numPr>
        <w:tabs>
          <w:tab w:val="left" w:pos="993"/>
        </w:tabs>
        <w:spacing w:line="360" w:lineRule="auto"/>
        <w:ind w:left="0" w:firstLine="709"/>
        <w:jc w:val="both"/>
        <w:rPr>
          <w:sz w:val="26"/>
          <w:szCs w:val="26"/>
          <w:lang w:val="lt-LT"/>
        </w:rPr>
      </w:pPr>
      <w:r w:rsidRPr="00BF063C">
        <w:rPr>
          <w:sz w:val="26"/>
          <w:szCs w:val="26"/>
          <w:lang w:val="lt-LT"/>
        </w:rPr>
        <w:lastRenderedPageBreak/>
        <w:t>nurodyti, kad audito rizika ir/ar jos komponentai vertinami kiekviename audito etape ir skirtingu pasireiškimo lygmeniu tam, kad būtų pasiektas priimtinas audito rizikos lygis;</w:t>
      </w:r>
    </w:p>
    <w:p w:rsidR="0044367C" w:rsidRPr="00BF063C" w:rsidRDefault="0044367C" w:rsidP="0044367C">
      <w:pPr>
        <w:pStyle w:val="ListParagraph"/>
        <w:numPr>
          <w:ilvl w:val="0"/>
          <w:numId w:val="33"/>
        </w:numPr>
        <w:tabs>
          <w:tab w:val="left" w:pos="993"/>
        </w:tabs>
        <w:spacing w:line="360" w:lineRule="auto"/>
        <w:ind w:left="0" w:firstLine="709"/>
        <w:jc w:val="both"/>
        <w:rPr>
          <w:sz w:val="26"/>
          <w:szCs w:val="26"/>
          <w:lang w:val="lt-LT"/>
        </w:rPr>
      </w:pPr>
      <w:r w:rsidRPr="00BF063C">
        <w:rPr>
          <w:sz w:val="26"/>
          <w:szCs w:val="26"/>
          <w:lang w:val="lt-LT"/>
        </w:rPr>
        <w:t>audito rizikos komponentus išskirti taip, kad reikšmingo iškraipymo rizika būtų skiriama į pasireiškiančią dėl apgaulės ir dėl klaidos; audituojamos įmonės verslo rizika būtų suprantama kaip sudėtinė reikšmingo iškraipymo rizikos dalis, o aptikimo rizika dėl atrankos ir ne dėl atrankos taikymo būtų analizuojama atskirai;</w:t>
      </w:r>
    </w:p>
    <w:p w:rsidR="0044367C" w:rsidRPr="007B5A44" w:rsidRDefault="0044367C" w:rsidP="0044367C">
      <w:pPr>
        <w:pStyle w:val="ListParagraph"/>
        <w:numPr>
          <w:ilvl w:val="0"/>
          <w:numId w:val="33"/>
        </w:numPr>
        <w:tabs>
          <w:tab w:val="left" w:pos="993"/>
        </w:tabs>
        <w:spacing w:before="120" w:line="360" w:lineRule="auto"/>
        <w:ind w:left="0" w:firstLine="709"/>
        <w:jc w:val="both"/>
        <w:rPr>
          <w:sz w:val="26"/>
          <w:szCs w:val="26"/>
          <w:lang w:val="lt-LT"/>
        </w:rPr>
      </w:pPr>
      <w:r w:rsidRPr="007B5A44">
        <w:rPr>
          <w:sz w:val="26"/>
          <w:szCs w:val="26"/>
          <w:lang w:val="lt-LT"/>
        </w:rPr>
        <w:t>atsižvelgti į kitus veiksnius, lemiančius audito riziką.</w:t>
      </w:r>
    </w:p>
    <w:p w:rsidR="0044367C" w:rsidRPr="007928C8" w:rsidRDefault="0044367C" w:rsidP="0044367C">
      <w:pPr>
        <w:pStyle w:val="ListParagraph"/>
        <w:tabs>
          <w:tab w:val="left" w:pos="1134"/>
        </w:tabs>
        <w:spacing w:line="360" w:lineRule="auto"/>
        <w:ind w:left="0" w:firstLine="720"/>
        <w:jc w:val="both"/>
        <w:rPr>
          <w:sz w:val="26"/>
          <w:szCs w:val="26"/>
          <w:lang w:val="lt-LT"/>
        </w:rPr>
      </w:pPr>
      <w:r>
        <w:rPr>
          <w:sz w:val="26"/>
          <w:szCs w:val="26"/>
          <w:lang w:val="en-GB"/>
        </w:rPr>
        <w:t xml:space="preserve">7. </w:t>
      </w:r>
      <w:r>
        <w:rPr>
          <w:sz w:val="26"/>
          <w:szCs w:val="26"/>
          <w:lang w:val="lt-LT"/>
        </w:rPr>
        <w:t>Sukurtas a</w:t>
      </w:r>
      <w:r w:rsidRPr="007928C8">
        <w:rPr>
          <w:sz w:val="26"/>
          <w:szCs w:val="26"/>
          <w:lang w:val="lt-LT"/>
        </w:rPr>
        <w:t xml:space="preserve">udito rizikos vertinimo modelis </w:t>
      </w:r>
      <w:r>
        <w:rPr>
          <w:sz w:val="26"/>
          <w:szCs w:val="26"/>
          <w:lang w:val="lt-LT"/>
        </w:rPr>
        <w:t xml:space="preserve">perteikia sisteminį požiūrį į audito rizikos vertinimą. Šiame </w:t>
      </w:r>
      <w:r w:rsidRPr="007928C8">
        <w:rPr>
          <w:sz w:val="26"/>
          <w:szCs w:val="26"/>
          <w:lang w:val="lt-LT"/>
        </w:rPr>
        <w:t>modelyje: 1)</w:t>
      </w:r>
      <w:r>
        <w:rPr>
          <w:sz w:val="26"/>
          <w:szCs w:val="26"/>
          <w:lang w:val="lt-LT"/>
        </w:rPr>
        <w:t> </w:t>
      </w:r>
      <w:r w:rsidRPr="007928C8">
        <w:rPr>
          <w:i/>
          <w:sz w:val="26"/>
          <w:szCs w:val="26"/>
          <w:lang w:val="lt-LT"/>
        </w:rPr>
        <w:t xml:space="preserve">įvardinti </w:t>
      </w:r>
      <w:r>
        <w:rPr>
          <w:i/>
          <w:sz w:val="26"/>
          <w:szCs w:val="26"/>
          <w:lang w:val="lt-LT"/>
        </w:rPr>
        <w:t xml:space="preserve">esminiai </w:t>
      </w:r>
      <w:r w:rsidRPr="007928C8">
        <w:rPr>
          <w:i/>
          <w:sz w:val="26"/>
          <w:szCs w:val="26"/>
          <w:lang w:val="lt-LT"/>
        </w:rPr>
        <w:t>audito rizikos komponentai</w:t>
      </w:r>
      <w:r w:rsidRPr="007928C8">
        <w:rPr>
          <w:sz w:val="26"/>
          <w:szCs w:val="26"/>
          <w:lang w:val="lt-LT"/>
        </w:rPr>
        <w:t>, susiejant su jų pasireiškimą lemiančiomis sąlygomis</w:t>
      </w:r>
      <w:r>
        <w:rPr>
          <w:sz w:val="26"/>
          <w:szCs w:val="26"/>
          <w:lang w:val="lt-LT"/>
        </w:rPr>
        <w:t xml:space="preserve"> (veiksniais); </w:t>
      </w:r>
      <w:r w:rsidRPr="007928C8">
        <w:rPr>
          <w:sz w:val="26"/>
          <w:szCs w:val="26"/>
          <w:lang w:val="lt-LT"/>
        </w:rPr>
        <w:t>2)</w:t>
      </w:r>
      <w:r>
        <w:rPr>
          <w:sz w:val="26"/>
          <w:szCs w:val="26"/>
          <w:lang w:val="lt-LT"/>
        </w:rPr>
        <w:t> </w:t>
      </w:r>
      <w:r>
        <w:rPr>
          <w:i/>
          <w:sz w:val="26"/>
          <w:szCs w:val="26"/>
          <w:lang w:val="lt-LT"/>
        </w:rPr>
        <w:t xml:space="preserve">identifikuoti </w:t>
      </w:r>
      <w:r w:rsidRPr="007928C8">
        <w:rPr>
          <w:i/>
          <w:sz w:val="26"/>
          <w:szCs w:val="26"/>
          <w:lang w:val="lt-LT"/>
        </w:rPr>
        <w:t>ryšiai</w:t>
      </w:r>
      <w:r w:rsidRPr="007928C8">
        <w:rPr>
          <w:sz w:val="26"/>
          <w:szCs w:val="26"/>
          <w:lang w:val="lt-LT"/>
        </w:rPr>
        <w:t xml:space="preserve"> tarp atskirų audito rizikos komponentų </w:t>
      </w:r>
      <w:r>
        <w:rPr>
          <w:sz w:val="26"/>
          <w:szCs w:val="26"/>
          <w:lang w:val="lt-LT"/>
        </w:rPr>
        <w:t>į</w:t>
      </w:r>
      <w:r w:rsidRPr="007928C8">
        <w:rPr>
          <w:sz w:val="26"/>
          <w:szCs w:val="26"/>
          <w:lang w:val="lt-LT"/>
        </w:rPr>
        <w:t>vertinimo bei jų ryšys su reikšmingu finansinių ataskai</w:t>
      </w:r>
      <w:r>
        <w:rPr>
          <w:sz w:val="26"/>
          <w:szCs w:val="26"/>
          <w:lang w:val="lt-LT"/>
        </w:rPr>
        <w:t xml:space="preserve">tų iškraipymu ir audito rizika; </w:t>
      </w:r>
      <w:r w:rsidRPr="007928C8">
        <w:rPr>
          <w:sz w:val="26"/>
          <w:szCs w:val="26"/>
          <w:lang w:val="lt-LT"/>
        </w:rPr>
        <w:t>3)</w:t>
      </w:r>
      <w:r>
        <w:rPr>
          <w:sz w:val="26"/>
          <w:szCs w:val="26"/>
          <w:lang w:val="lt-LT"/>
        </w:rPr>
        <w:t> </w:t>
      </w:r>
      <w:r w:rsidRPr="007928C8">
        <w:rPr>
          <w:i/>
          <w:sz w:val="26"/>
          <w:szCs w:val="26"/>
          <w:lang w:val="lt-LT"/>
        </w:rPr>
        <w:t>parodytas nuolatinis</w:t>
      </w:r>
      <w:r w:rsidRPr="007928C8">
        <w:rPr>
          <w:sz w:val="26"/>
          <w:szCs w:val="26"/>
          <w:lang w:val="lt-LT"/>
        </w:rPr>
        <w:t xml:space="preserve"> audito rizikos ir jos komponentų </w:t>
      </w:r>
      <w:r w:rsidRPr="007928C8">
        <w:rPr>
          <w:i/>
          <w:sz w:val="26"/>
          <w:szCs w:val="26"/>
          <w:lang w:val="lt-LT"/>
        </w:rPr>
        <w:t>(per)vertinimo procesas</w:t>
      </w:r>
      <w:r w:rsidRPr="007928C8">
        <w:rPr>
          <w:sz w:val="26"/>
          <w:szCs w:val="26"/>
          <w:lang w:val="lt-LT"/>
        </w:rPr>
        <w:t>, kuris vykdomas kiekviename audito etape</w:t>
      </w:r>
      <w:r w:rsidR="002F3543">
        <w:rPr>
          <w:sz w:val="26"/>
          <w:szCs w:val="26"/>
          <w:lang w:val="lt-LT"/>
        </w:rPr>
        <w:t>;</w:t>
      </w:r>
      <w:r w:rsidRPr="007928C8">
        <w:rPr>
          <w:sz w:val="26"/>
          <w:szCs w:val="26"/>
          <w:lang w:val="lt-LT"/>
        </w:rPr>
        <w:t xml:space="preserve"> 4)</w:t>
      </w:r>
      <w:r>
        <w:rPr>
          <w:sz w:val="26"/>
          <w:szCs w:val="26"/>
          <w:lang w:val="lt-LT"/>
        </w:rPr>
        <w:t> </w:t>
      </w:r>
      <w:r w:rsidRPr="007928C8">
        <w:rPr>
          <w:i/>
          <w:sz w:val="26"/>
          <w:szCs w:val="26"/>
          <w:lang w:val="lt-LT"/>
        </w:rPr>
        <w:t xml:space="preserve">pasiūlytas audito rizikos ir jos komponentų </w:t>
      </w:r>
      <w:r>
        <w:rPr>
          <w:i/>
          <w:sz w:val="26"/>
          <w:szCs w:val="26"/>
          <w:lang w:val="lt-LT"/>
        </w:rPr>
        <w:t>kiekybinis įvertinimo</w:t>
      </w:r>
      <w:r w:rsidRPr="007928C8">
        <w:rPr>
          <w:i/>
          <w:sz w:val="26"/>
          <w:szCs w:val="26"/>
          <w:lang w:val="lt-LT"/>
        </w:rPr>
        <w:t xml:space="preserve"> </w:t>
      </w:r>
      <w:r>
        <w:rPr>
          <w:i/>
          <w:sz w:val="26"/>
          <w:szCs w:val="26"/>
          <w:lang w:val="lt-LT"/>
        </w:rPr>
        <w:t>metodas</w:t>
      </w:r>
      <w:r w:rsidRPr="007A7E20">
        <w:rPr>
          <w:sz w:val="26"/>
          <w:szCs w:val="26"/>
          <w:lang w:val="lt-LT"/>
        </w:rPr>
        <w:t>, kuris</w:t>
      </w:r>
      <w:r>
        <w:rPr>
          <w:i/>
          <w:sz w:val="26"/>
          <w:szCs w:val="26"/>
          <w:lang w:val="lt-LT"/>
        </w:rPr>
        <w:t xml:space="preserve"> </w:t>
      </w:r>
      <w:r w:rsidRPr="007A7E20">
        <w:rPr>
          <w:sz w:val="26"/>
          <w:szCs w:val="26"/>
          <w:lang w:val="lt-LT"/>
        </w:rPr>
        <w:t xml:space="preserve">remiasi </w:t>
      </w:r>
      <w:r>
        <w:rPr>
          <w:sz w:val="26"/>
          <w:szCs w:val="26"/>
          <w:lang w:val="lt-LT"/>
        </w:rPr>
        <w:t xml:space="preserve">juos lemiančių </w:t>
      </w:r>
      <w:r w:rsidRPr="007A7E20">
        <w:rPr>
          <w:sz w:val="26"/>
          <w:szCs w:val="26"/>
          <w:lang w:val="lt-LT"/>
        </w:rPr>
        <w:t xml:space="preserve">sąlygų (veiksnių) tikimybės ir pasireiškimo įtakos bendru įvertinimu. </w:t>
      </w:r>
    </w:p>
    <w:p w:rsidR="0044367C" w:rsidRPr="007928C8" w:rsidRDefault="0044367C" w:rsidP="0044367C">
      <w:pPr>
        <w:pStyle w:val="ListParagraph"/>
        <w:tabs>
          <w:tab w:val="left" w:pos="1134"/>
        </w:tabs>
        <w:spacing w:line="360" w:lineRule="auto"/>
        <w:ind w:left="0" w:firstLine="720"/>
        <w:jc w:val="both"/>
        <w:rPr>
          <w:sz w:val="26"/>
          <w:szCs w:val="26"/>
          <w:lang w:val="lt-LT"/>
        </w:rPr>
      </w:pPr>
      <w:r>
        <w:rPr>
          <w:sz w:val="26"/>
          <w:szCs w:val="26"/>
          <w:lang w:val="en-GB"/>
        </w:rPr>
        <w:t>8. A</w:t>
      </w:r>
      <w:r w:rsidRPr="007928C8">
        <w:rPr>
          <w:sz w:val="26"/>
          <w:szCs w:val="26"/>
          <w:lang w:val="lt-LT"/>
        </w:rPr>
        <w:t>udito rizikos vertinimo modelis susideda iš:</w:t>
      </w:r>
    </w:p>
    <w:p w:rsidR="0044367C" w:rsidRPr="007928C8" w:rsidRDefault="0044367C" w:rsidP="0044367C">
      <w:pPr>
        <w:pStyle w:val="ListParagraph"/>
        <w:tabs>
          <w:tab w:val="left" w:pos="1134"/>
        </w:tabs>
        <w:spacing w:line="360" w:lineRule="auto"/>
        <w:ind w:left="0" w:firstLine="720"/>
        <w:jc w:val="both"/>
        <w:rPr>
          <w:sz w:val="26"/>
          <w:szCs w:val="26"/>
          <w:lang w:val="lt-LT"/>
        </w:rPr>
      </w:pPr>
      <w:r w:rsidRPr="007928C8">
        <w:rPr>
          <w:sz w:val="26"/>
          <w:szCs w:val="26"/>
          <w:lang w:val="lt-LT"/>
        </w:rPr>
        <w:t xml:space="preserve">1) </w:t>
      </w:r>
      <w:r w:rsidRPr="007928C8">
        <w:rPr>
          <w:i/>
          <w:sz w:val="26"/>
          <w:szCs w:val="26"/>
          <w:lang w:val="lt-LT"/>
        </w:rPr>
        <w:t xml:space="preserve">audito rizikos vertinimo </w:t>
      </w:r>
      <w:r>
        <w:rPr>
          <w:i/>
          <w:sz w:val="26"/>
          <w:szCs w:val="26"/>
          <w:lang w:val="lt-LT"/>
        </w:rPr>
        <w:t xml:space="preserve">modelio </w:t>
      </w:r>
      <w:r w:rsidRPr="007928C8">
        <w:rPr>
          <w:i/>
          <w:sz w:val="26"/>
          <w:szCs w:val="26"/>
          <w:lang w:val="lt-LT"/>
        </w:rPr>
        <w:t>struktūrogramos</w:t>
      </w:r>
      <w:r w:rsidRPr="007928C8">
        <w:rPr>
          <w:sz w:val="26"/>
          <w:szCs w:val="26"/>
          <w:lang w:val="lt-LT"/>
        </w:rPr>
        <w:t xml:space="preserve">, </w:t>
      </w:r>
      <w:r>
        <w:rPr>
          <w:sz w:val="26"/>
          <w:szCs w:val="26"/>
          <w:lang w:val="lt-LT"/>
        </w:rPr>
        <w:t xml:space="preserve">atskleidžiančios audito rizikos vertinimo proceso nuoseklumą, kuris neakcentuojamas taikomuose audito rizikos modeliuose. Audito rizikos vertinimo modelio struktūrogramoje: a) susistemintos tiek pagrindinės, tiek išvestinės sąlygos, lemiančios audito rizikos komponentus </w:t>
      </w:r>
      <w:r w:rsidRPr="007928C8">
        <w:rPr>
          <w:sz w:val="26"/>
          <w:szCs w:val="26"/>
          <w:lang w:val="lt-LT"/>
        </w:rPr>
        <w:t>(audituojamos įmonės išorė</w:t>
      </w:r>
      <w:r>
        <w:rPr>
          <w:sz w:val="26"/>
          <w:szCs w:val="26"/>
          <w:lang w:val="lt-LT"/>
        </w:rPr>
        <w:t>s</w:t>
      </w:r>
      <w:r w:rsidRPr="007928C8">
        <w:rPr>
          <w:sz w:val="26"/>
          <w:szCs w:val="26"/>
          <w:lang w:val="lt-LT"/>
        </w:rPr>
        <w:t xml:space="preserve"> ir vid</w:t>
      </w:r>
      <w:r>
        <w:rPr>
          <w:sz w:val="26"/>
          <w:szCs w:val="26"/>
          <w:lang w:val="lt-LT"/>
        </w:rPr>
        <w:t>aus</w:t>
      </w:r>
      <w:r w:rsidRPr="007928C8">
        <w:rPr>
          <w:sz w:val="26"/>
          <w:szCs w:val="26"/>
          <w:lang w:val="lt-LT"/>
        </w:rPr>
        <w:t xml:space="preserve"> aplinka, audito sąlygos)</w:t>
      </w:r>
      <w:r>
        <w:rPr>
          <w:sz w:val="26"/>
          <w:szCs w:val="26"/>
          <w:lang w:val="lt-LT"/>
        </w:rPr>
        <w:t xml:space="preserve">; b) išskirti </w:t>
      </w:r>
      <w:r w:rsidR="002F3543">
        <w:rPr>
          <w:sz w:val="26"/>
          <w:szCs w:val="26"/>
          <w:lang w:val="lt-LT"/>
        </w:rPr>
        <w:t>esminiai</w:t>
      </w:r>
      <w:r>
        <w:rPr>
          <w:sz w:val="26"/>
          <w:szCs w:val="26"/>
          <w:lang w:val="lt-LT"/>
        </w:rPr>
        <w:t xml:space="preserve"> audito rizikos komponentai </w:t>
      </w:r>
      <w:r w:rsidRPr="007928C8">
        <w:rPr>
          <w:sz w:val="26"/>
          <w:szCs w:val="26"/>
          <w:lang w:val="lt-LT"/>
        </w:rPr>
        <w:t>(reikšmingo iškraipymo rizika ir aptikimo rizika)</w:t>
      </w:r>
      <w:r>
        <w:rPr>
          <w:sz w:val="26"/>
          <w:szCs w:val="26"/>
          <w:lang w:val="lt-LT"/>
        </w:rPr>
        <w:t>,</w:t>
      </w:r>
      <w:r w:rsidRPr="000D6ED9">
        <w:rPr>
          <w:sz w:val="26"/>
          <w:szCs w:val="26"/>
          <w:lang w:val="lt-LT"/>
        </w:rPr>
        <w:t xml:space="preserve"> </w:t>
      </w:r>
      <w:r w:rsidRPr="007928C8">
        <w:rPr>
          <w:sz w:val="26"/>
          <w:szCs w:val="26"/>
          <w:lang w:val="lt-LT"/>
        </w:rPr>
        <w:t>pasireiškiantys</w:t>
      </w:r>
      <w:r w:rsidRPr="000D6ED9">
        <w:rPr>
          <w:sz w:val="26"/>
          <w:szCs w:val="26"/>
          <w:lang w:val="lt-LT"/>
        </w:rPr>
        <w:t xml:space="preserve"> </w:t>
      </w:r>
      <w:r w:rsidRPr="007928C8">
        <w:rPr>
          <w:sz w:val="26"/>
          <w:szCs w:val="26"/>
          <w:lang w:val="lt-LT"/>
        </w:rPr>
        <w:t>skirtingais lygmenimis</w:t>
      </w:r>
      <w:r>
        <w:rPr>
          <w:sz w:val="26"/>
          <w:szCs w:val="26"/>
          <w:lang w:val="lt-LT"/>
        </w:rPr>
        <w:t>, ir parodyta priklausomybė tarp jų</w:t>
      </w:r>
      <w:r w:rsidR="002F3543">
        <w:rPr>
          <w:sz w:val="26"/>
          <w:szCs w:val="26"/>
          <w:lang w:val="lt-LT"/>
        </w:rPr>
        <w:t>;</w:t>
      </w:r>
      <w:r>
        <w:rPr>
          <w:sz w:val="26"/>
          <w:szCs w:val="26"/>
          <w:lang w:val="lt-LT"/>
        </w:rPr>
        <w:t xml:space="preserve"> c) pateiktas </w:t>
      </w:r>
      <w:r w:rsidRPr="003E5F7B">
        <w:rPr>
          <w:sz w:val="26"/>
          <w:szCs w:val="26"/>
          <w:lang w:val="lt-LT"/>
        </w:rPr>
        <w:t>audito rizikos vertinimo procesas rodo grįžtamuosius ryšius iš ankstesnių audito etapų/veiksmų ir patikslina audito rizikos komponentų dydžius, atlikus galimo r</w:t>
      </w:r>
      <w:r>
        <w:rPr>
          <w:sz w:val="26"/>
          <w:szCs w:val="26"/>
          <w:lang w:val="lt-LT"/>
        </w:rPr>
        <w:t>eikšmingo iškraipymo įvertinimą;</w:t>
      </w:r>
    </w:p>
    <w:p w:rsidR="0044367C" w:rsidRPr="007928C8" w:rsidRDefault="0044367C" w:rsidP="0044367C">
      <w:pPr>
        <w:pStyle w:val="ListParagraph"/>
        <w:tabs>
          <w:tab w:val="left" w:pos="0"/>
          <w:tab w:val="left" w:pos="1134"/>
        </w:tabs>
        <w:spacing w:line="360" w:lineRule="auto"/>
        <w:ind w:left="0" w:firstLine="720"/>
        <w:jc w:val="both"/>
        <w:rPr>
          <w:sz w:val="26"/>
          <w:szCs w:val="26"/>
          <w:lang w:val="lt-LT"/>
        </w:rPr>
      </w:pPr>
      <w:r w:rsidRPr="007928C8">
        <w:rPr>
          <w:sz w:val="26"/>
          <w:szCs w:val="26"/>
          <w:lang w:val="lt-LT"/>
        </w:rPr>
        <w:lastRenderedPageBreak/>
        <w:t xml:space="preserve">2) </w:t>
      </w:r>
      <w:r w:rsidRPr="007928C8">
        <w:rPr>
          <w:i/>
          <w:sz w:val="26"/>
          <w:szCs w:val="26"/>
          <w:lang w:val="lt-LT"/>
        </w:rPr>
        <w:t xml:space="preserve">audito rizikos komponentų </w:t>
      </w:r>
      <w:r>
        <w:rPr>
          <w:i/>
          <w:sz w:val="26"/>
          <w:szCs w:val="26"/>
          <w:lang w:val="lt-LT"/>
        </w:rPr>
        <w:t xml:space="preserve">įvertinimo </w:t>
      </w:r>
      <w:r w:rsidRPr="007928C8">
        <w:rPr>
          <w:i/>
          <w:sz w:val="26"/>
          <w:szCs w:val="26"/>
          <w:lang w:val="lt-LT"/>
        </w:rPr>
        <w:t>skalės</w:t>
      </w:r>
      <w:r w:rsidRPr="007928C8">
        <w:rPr>
          <w:sz w:val="26"/>
          <w:szCs w:val="26"/>
          <w:lang w:val="lt-LT"/>
        </w:rPr>
        <w:t>, kuri</w:t>
      </w:r>
      <w:r>
        <w:rPr>
          <w:sz w:val="26"/>
          <w:szCs w:val="26"/>
          <w:lang w:val="lt-LT"/>
        </w:rPr>
        <w:t>oje apibendrintos sąlygų, lemiančių konkrečių audito rizikos komponentų pasireiškimą, įvertinimo gairės. Šios</w:t>
      </w:r>
      <w:r w:rsidRPr="00B952B4">
        <w:rPr>
          <w:sz w:val="26"/>
          <w:szCs w:val="26"/>
          <w:lang w:val="lt-LT"/>
        </w:rPr>
        <w:t xml:space="preserve"> gairės formuoja vieningą reikšmingo iškraipymo rizikos įvertinimo praktiką, nes rodo, kada atskiros jos komponentės finansinių ataskaitų ar tvirtinimo lygmeniu priklausomai nuo ją lemiančių sąlygų pasireiškimo masto turi būti įvertinamos kaip maža, vidutinė ar didelė rizika. Svarbu ir tai, kad šioje skalėje kokybinis audito rizikos komponentų vertinimas yra susiejamas su </w:t>
      </w:r>
      <w:r>
        <w:rPr>
          <w:sz w:val="26"/>
          <w:szCs w:val="26"/>
          <w:lang w:val="lt-LT"/>
        </w:rPr>
        <w:t>pasiūlytu kiekybiniu įvertinimu;</w:t>
      </w:r>
    </w:p>
    <w:p w:rsidR="0044367C" w:rsidRPr="007928C8" w:rsidRDefault="0044367C" w:rsidP="0044367C">
      <w:pPr>
        <w:pStyle w:val="ListParagraph"/>
        <w:tabs>
          <w:tab w:val="left" w:pos="1134"/>
        </w:tabs>
        <w:spacing w:line="360" w:lineRule="auto"/>
        <w:ind w:left="0" w:firstLine="720"/>
        <w:jc w:val="both"/>
        <w:rPr>
          <w:sz w:val="26"/>
          <w:szCs w:val="26"/>
          <w:lang w:val="lt-LT"/>
        </w:rPr>
      </w:pPr>
      <w:r w:rsidRPr="007928C8">
        <w:rPr>
          <w:sz w:val="26"/>
          <w:szCs w:val="26"/>
          <w:lang w:val="lt-LT"/>
        </w:rPr>
        <w:t>3)</w:t>
      </w:r>
      <w:r w:rsidRPr="007928C8">
        <w:rPr>
          <w:i/>
          <w:sz w:val="26"/>
          <w:szCs w:val="26"/>
          <w:lang w:val="lt-LT"/>
        </w:rPr>
        <w:t xml:space="preserve"> audito rizikos vertinimo schemos</w:t>
      </w:r>
      <w:r w:rsidRPr="007928C8">
        <w:rPr>
          <w:sz w:val="26"/>
          <w:szCs w:val="26"/>
          <w:lang w:val="lt-LT"/>
        </w:rPr>
        <w:t xml:space="preserve">, </w:t>
      </w:r>
      <w:r>
        <w:rPr>
          <w:sz w:val="26"/>
          <w:szCs w:val="26"/>
          <w:lang w:val="lt-LT"/>
        </w:rPr>
        <w:t xml:space="preserve">skirtos </w:t>
      </w:r>
      <w:r w:rsidRPr="007928C8">
        <w:rPr>
          <w:sz w:val="26"/>
          <w:szCs w:val="26"/>
          <w:lang w:val="lt-LT"/>
        </w:rPr>
        <w:t>identifi</w:t>
      </w:r>
      <w:r>
        <w:rPr>
          <w:sz w:val="26"/>
          <w:szCs w:val="26"/>
          <w:lang w:val="lt-LT"/>
        </w:rPr>
        <w:t xml:space="preserve">kuoti </w:t>
      </w:r>
      <w:r w:rsidRPr="007928C8">
        <w:rPr>
          <w:sz w:val="26"/>
          <w:szCs w:val="26"/>
          <w:lang w:val="lt-LT"/>
        </w:rPr>
        <w:t>tarpusavio ryši</w:t>
      </w:r>
      <w:r>
        <w:rPr>
          <w:sz w:val="26"/>
          <w:szCs w:val="26"/>
          <w:lang w:val="lt-LT"/>
        </w:rPr>
        <w:t>us</w:t>
      </w:r>
      <w:r w:rsidRPr="007928C8">
        <w:rPr>
          <w:sz w:val="26"/>
          <w:szCs w:val="26"/>
          <w:lang w:val="lt-LT"/>
        </w:rPr>
        <w:t xml:space="preserve"> tarp audito rizikos komponentų tiek per atskirų audito rizikos komponentų priklausomybės, tiek per bendrąjį jų vertinimą</w:t>
      </w:r>
      <w:r>
        <w:rPr>
          <w:sz w:val="26"/>
          <w:szCs w:val="26"/>
          <w:lang w:val="lt-LT"/>
        </w:rPr>
        <w:t xml:space="preserve"> ir atskleisti jų įtaką bendram audito rizikos lygiui</w:t>
      </w:r>
      <w:r w:rsidRPr="007928C8">
        <w:rPr>
          <w:sz w:val="26"/>
          <w:szCs w:val="26"/>
          <w:lang w:val="lt-LT"/>
        </w:rPr>
        <w:t>.</w:t>
      </w:r>
      <w:r>
        <w:rPr>
          <w:sz w:val="26"/>
          <w:szCs w:val="26"/>
          <w:lang w:val="lt-LT"/>
        </w:rPr>
        <w:t xml:space="preserve"> Sukurta </w:t>
      </w:r>
      <w:r w:rsidRPr="00B77598">
        <w:rPr>
          <w:sz w:val="26"/>
          <w:szCs w:val="26"/>
          <w:lang w:val="lt-LT"/>
        </w:rPr>
        <w:t>audito rizikos vertinimo schema, susieja audito rizikos komponentus, pasireiškiančius finansinių ataskaitų lygmeniu ir tvirtinimo lygmeniu, ir t</w:t>
      </w:r>
      <w:r>
        <w:rPr>
          <w:sz w:val="26"/>
          <w:szCs w:val="26"/>
          <w:lang w:val="lt-LT"/>
        </w:rPr>
        <w:t xml:space="preserve">aip </w:t>
      </w:r>
      <w:r w:rsidRPr="00B77598">
        <w:rPr>
          <w:sz w:val="26"/>
          <w:szCs w:val="26"/>
          <w:lang w:val="lt-LT"/>
        </w:rPr>
        <w:t xml:space="preserve">gerokai patobulina </w:t>
      </w:r>
      <w:r>
        <w:rPr>
          <w:sz w:val="26"/>
          <w:szCs w:val="26"/>
          <w:lang w:val="lt-LT"/>
        </w:rPr>
        <w:t xml:space="preserve">iki šiol audito literatūros šaltinuose nagrinėtą įgimtos, kontrolės ir aptikimo </w:t>
      </w:r>
      <w:r w:rsidRPr="00B77598">
        <w:rPr>
          <w:sz w:val="26"/>
          <w:szCs w:val="26"/>
          <w:lang w:val="lt-LT"/>
        </w:rPr>
        <w:t>rizik</w:t>
      </w:r>
      <w:r>
        <w:rPr>
          <w:sz w:val="26"/>
          <w:szCs w:val="26"/>
          <w:lang w:val="lt-LT"/>
        </w:rPr>
        <w:t>ų</w:t>
      </w:r>
      <w:r w:rsidRPr="00B77598">
        <w:rPr>
          <w:sz w:val="26"/>
          <w:szCs w:val="26"/>
          <w:lang w:val="lt-LT"/>
        </w:rPr>
        <w:t xml:space="preserve"> sąveikos schem</w:t>
      </w:r>
      <w:r w:rsidRPr="005556F1">
        <w:rPr>
          <w:sz w:val="26"/>
          <w:szCs w:val="26"/>
          <w:lang w:val="lt-LT"/>
        </w:rPr>
        <w:t>ą</w:t>
      </w:r>
      <w:r>
        <w:rPr>
          <w:sz w:val="26"/>
          <w:szCs w:val="26"/>
          <w:lang w:val="lt-LT"/>
        </w:rPr>
        <w:t>;</w:t>
      </w:r>
    </w:p>
    <w:p w:rsidR="0044367C" w:rsidRPr="00355C4E" w:rsidRDefault="0044367C" w:rsidP="0044367C">
      <w:pPr>
        <w:pStyle w:val="NormalWeb"/>
        <w:spacing w:before="0" w:beforeAutospacing="0" w:after="0" w:afterAutospacing="0" w:line="360" w:lineRule="auto"/>
        <w:ind w:firstLine="720"/>
        <w:jc w:val="both"/>
        <w:rPr>
          <w:sz w:val="26"/>
          <w:szCs w:val="26"/>
          <w:lang w:val="lt-LT"/>
        </w:rPr>
      </w:pPr>
      <w:r w:rsidRPr="00355C4E">
        <w:rPr>
          <w:sz w:val="26"/>
          <w:szCs w:val="26"/>
          <w:lang w:val="lt-LT"/>
        </w:rPr>
        <w:t xml:space="preserve">4) </w:t>
      </w:r>
      <w:r w:rsidRPr="00355C4E">
        <w:rPr>
          <w:i/>
          <w:sz w:val="26"/>
          <w:szCs w:val="26"/>
          <w:lang w:val="lt-LT"/>
        </w:rPr>
        <w:t>audito rizikos komponentų kiekybinio įvertinimo metodikos</w:t>
      </w:r>
      <w:r w:rsidRPr="00355C4E">
        <w:rPr>
          <w:sz w:val="26"/>
          <w:szCs w:val="26"/>
          <w:lang w:val="lt-LT"/>
        </w:rPr>
        <w:t>, kuri grindžiama 10 kiekybinio įvertinimo žingsnių ir sudarytomis rizikų apskaičiavimo lentelėmis. Pagal šią metodiką: 1) turi būti identifikuojami visi su audito rizikos komponentu susiję veiksniai</w:t>
      </w:r>
      <w:r w:rsidR="002F3543">
        <w:rPr>
          <w:sz w:val="26"/>
          <w:szCs w:val="26"/>
          <w:lang w:val="lt-LT"/>
        </w:rPr>
        <w:t>,</w:t>
      </w:r>
      <w:r w:rsidRPr="00355C4E">
        <w:rPr>
          <w:sz w:val="26"/>
          <w:szCs w:val="26"/>
          <w:lang w:val="lt-LT"/>
        </w:rPr>
        <w:t xml:space="preserve"> 2) nustatoma jų pasireiškimo tikimybė ir įtaka bei 3) įvertinamas bendras audito rizikos komponento lygis. </w:t>
      </w:r>
      <w:r>
        <w:rPr>
          <w:sz w:val="26"/>
          <w:szCs w:val="26"/>
          <w:lang w:val="lt-LT"/>
        </w:rPr>
        <w:t>Tačiau nustatant</w:t>
      </w:r>
      <w:r w:rsidRPr="00355C4E">
        <w:rPr>
          <w:sz w:val="26"/>
          <w:szCs w:val="26"/>
          <w:lang w:val="lt-LT"/>
        </w:rPr>
        <w:t xml:space="preserve"> konkretaus audito rizikos komponento lygį</w:t>
      </w:r>
      <w:r>
        <w:rPr>
          <w:sz w:val="26"/>
          <w:szCs w:val="26"/>
          <w:lang w:val="lt-LT"/>
        </w:rPr>
        <w:t xml:space="preserve"> būtina</w:t>
      </w:r>
      <w:r w:rsidRPr="00355C4E">
        <w:rPr>
          <w:sz w:val="26"/>
          <w:szCs w:val="26"/>
          <w:lang w:val="lt-LT"/>
        </w:rPr>
        <w:t xml:space="preserve">: </w:t>
      </w:r>
      <w:r w:rsidR="002F3543">
        <w:rPr>
          <w:sz w:val="26"/>
          <w:szCs w:val="26"/>
          <w:lang w:val="lt-LT"/>
        </w:rPr>
        <w:t>a</w:t>
      </w:r>
      <w:r w:rsidRPr="00355C4E">
        <w:rPr>
          <w:sz w:val="26"/>
          <w:szCs w:val="26"/>
          <w:lang w:val="lt-LT"/>
        </w:rPr>
        <w:t>)</w:t>
      </w:r>
      <w:r w:rsidR="00BE37DF">
        <w:rPr>
          <w:sz w:val="26"/>
          <w:szCs w:val="26"/>
          <w:lang w:val="lt-LT"/>
        </w:rPr>
        <w:t> </w:t>
      </w:r>
      <w:r>
        <w:rPr>
          <w:sz w:val="26"/>
          <w:szCs w:val="26"/>
          <w:lang w:val="lt-LT"/>
        </w:rPr>
        <w:t xml:space="preserve">eliminuoti </w:t>
      </w:r>
      <w:r w:rsidRPr="00355C4E">
        <w:rPr>
          <w:sz w:val="26"/>
          <w:szCs w:val="26"/>
          <w:lang w:val="lt-LT"/>
        </w:rPr>
        <w:t>veiksni</w:t>
      </w:r>
      <w:r>
        <w:rPr>
          <w:sz w:val="26"/>
          <w:szCs w:val="26"/>
          <w:lang w:val="lt-LT"/>
        </w:rPr>
        <w:t>us</w:t>
      </w:r>
      <w:r w:rsidRPr="00355C4E">
        <w:rPr>
          <w:sz w:val="26"/>
          <w:szCs w:val="26"/>
          <w:lang w:val="lt-LT"/>
        </w:rPr>
        <w:t>, kurių įtaka yra maža, t. y. nesiek</w:t>
      </w:r>
      <w:r>
        <w:rPr>
          <w:sz w:val="26"/>
          <w:szCs w:val="26"/>
          <w:lang w:val="lt-LT"/>
        </w:rPr>
        <w:t>ia toleruotinos klaidos dydžio;</w:t>
      </w:r>
      <w:r w:rsidRPr="00355C4E">
        <w:rPr>
          <w:sz w:val="26"/>
          <w:szCs w:val="26"/>
          <w:lang w:val="lt-LT"/>
        </w:rPr>
        <w:t xml:space="preserve"> </w:t>
      </w:r>
      <w:r w:rsidR="002F3543">
        <w:rPr>
          <w:sz w:val="26"/>
          <w:szCs w:val="26"/>
          <w:lang w:val="lt-LT"/>
        </w:rPr>
        <w:t>b</w:t>
      </w:r>
      <w:r w:rsidRPr="00355C4E">
        <w:rPr>
          <w:sz w:val="26"/>
          <w:szCs w:val="26"/>
          <w:lang w:val="lt-LT"/>
        </w:rPr>
        <w:t>) rem</w:t>
      </w:r>
      <w:r>
        <w:rPr>
          <w:sz w:val="26"/>
          <w:szCs w:val="26"/>
          <w:lang w:val="lt-LT"/>
        </w:rPr>
        <w:t>tis</w:t>
      </w:r>
      <w:r w:rsidRPr="00355C4E">
        <w:rPr>
          <w:sz w:val="26"/>
          <w:szCs w:val="26"/>
          <w:lang w:val="lt-LT"/>
        </w:rPr>
        <w:t xml:space="preserve"> apskaičiuotu maksimalios rizikos dydžiu, kuris lygus tiriamos rizikos bendros įtakos ir maksimalios tikimybės sandaugai. Toks skaičiavimas grindžiamas tuo, kad auditoriui turi būti svarbūs ne visi, o tik galimi reikšmingi iškraipymai ir tik veiksnio pasireiškimo tikimybės laipsnis priklausomai nuo aplinkybių gali varijuoti ir tuo pačiu keisti susijusios rizikos lygį, o jo įtaka liks nepakitusi.</w:t>
      </w:r>
    </w:p>
    <w:p w:rsidR="0044367C" w:rsidRPr="007928C8" w:rsidRDefault="0044367C" w:rsidP="0044367C">
      <w:pPr>
        <w:pStyle w:val="ListParagraph"/>
        <w:tabs>
          <w:tab w:val="left" w:pos="1134"/>
        </w:tabs>
        <w:spacing w:line="360" w:lineRule="auto"/>
        <w:ind w:left="0" w:firstLine="720"/>
        <w:jc w:val="both"/>
        <w:rPr>
          <w:sz w:val="26"/>
          <w:szCs w:val="26"/>
          <w:lang w:val="lt-LT" w:eastAsia="en-US"/>
        </w:rPr>
      </w:pPr>
      <w:r>
        <w:rPr>
          <w:sz w:val="26"/>
          <w:szCs w:val="26"/>
          <w:lang w:val="lt-LT"/>
        </w:rPr>
        <w:t>9</w:t>
      </w:r>
      <w:r w:rsidRPr="00355C4E">
        <w:rPr>
          <w:sz w:val="26"/>
          <w:szCs w:val="26"/>
          <w:lang w:val="lt-LT"/>
        </w:rPr>
        <w:t xml:space="preserve">. </w:t>
      </w:r>
      <w:r>
        <w:rPr>
          <w:sz w:val="26"/>
          <w:szCs w:val="26"/>
          <w:lang w:val="lt-LT"/>
        </w:rPr>
        <w:t>Sukurtas</w:t>
      </w:r>
      <w:r w:rsidRPr="007928C8">
        <w:rPr>
          <w:sz w:val="26"/>
          <w:szCs w:val="26"/>
          <w:lang w:val="lt-LT"/>
        </w:rPr>
        <w:t xml:space="preserve"> </w:t>
      </w:r>
      <w:r w:rsidRPr="00355C4E">
        <w:rPr>
          <w:sz w:val="26"/>
          <w:szCs w:val="26"/>
          <w:lang w:val="lt-LT" w:eastAsia="en-US"/>
        </w:rPr>
        <w:t>audito rizikos vertinimo</w:t>
      </w:r>
      <w:r w:rsidRPr="007928C8">
        <w:rPr>
          <w:sz w:val="26"/>
          <w:szCs w:val="26"/>
          <w:lang w:val="lt-LT" w:eastAsia="en-US"/>
        </w:rPr>
        <w:t xml:space="preserve"> </w:t>
      </w:r>
      <w:r w:rsidRPr="007928C8">
        <w:rPr>
          <w:sz w:val="26"/>
          <w:szCs w:val="26"/>
          <w:lang w:val="lt-LT"/>
        </w:rPr>
        <w:t xml:space="preserve">modelis </w:t>
      </w:r>
      <w:r w:rsidRPr="007928C8">
        <w:rPr>
          <w:i/>
          <w:sz w:val="26"/>
          <w:szCs w:val="26"/>
          <w:lang w:val="lt-LT"/>
        </w:rPr>
        <w:t>tenkina visas audito rizikos vertinimui svarbias sąlygas</w:t>
      </w:r>
      <w:r w:rsidRPr="007928C8">
        <w:rPr>
          <w:sz w:val="26"/>
          <w:szCs w:val="26"/>
          <w:lang w:val="lt-LT"/>
        </w:rPr>
        <w:t xml:space="preserve">, t. y. jis: </w:t>
      </w:r>
    </w:p>
    <w:p w:rsidR="0044367C" w:rsidRPr="007928C8" w:rsidRDefault="0044367C" w:rsidP="002F3543">
      <w:pPr>
        <w:pStyle w:val="ListParagraph"/>
        <w:numPr>
          <w:ilvl w:val="0"/>
          <w:numId w:val="25"/>
        </w:numPr>
        <w:tabs>
          <w:tab w:val="left" w:pos="0"/>
          <w:tab w:val="left" w:pos="993"/>
        </w:tabs>
        <w:spacing w:line="360" w:lineRule="auto"/>
        <w:ind w:left="0" w:firstLine="709"/>
        <w:jc w:val="both"/>
        <w:rPr>
          <w:sz w:val="26"/>
          <w:szCs w:val="26"/>
          <w:lang w:val="lt-LT"/>
        </w:rPr>
      </w:pPr>
      <w:r w:rsidRPr="007928C8">
        <w:rPr>
          <w:sz w:val="26"/>
          <w:szCs w:val="26"/>
          <w:lang w:val="lt-LT"/>
        </w:rPr>
        <w:lastRenderedPageBreak/>
        <w:t xml:space="preserve">pripažįsta audito rizikos komponentų visumą ir jų pagrindines charakteristikas; </w:t>
      </w:r>
    </w:p>
    <w:p w:rsidR="0044367C" w:rsidRPr="007928C8" w:rsidRDefault="0044367C" w:rsidP="002F3543">
      <w:pPr>
        <w:pStyle w:val="ListParagraph"/>
        <w:numPr>
          <w:ilvl w:val="0"/>
          <w:numId w:val="22"/>
        </w:numPr>
        <w:tabs>
          <w:tab w:val="left" w:pos="0"/>
          <w:tab w:val="left" w:pos="993"/>
        </w:tabs>
        <w:spacing w:line="360" w:lineRule="auto"/>
        <w:ind w:left="0" w:firstLine="709"/>
        <w:jc w:val="both"/>
        <w:rPr>
          <w:sz w:val="26"/>
          <w:szCs w:val="26"/>
          <w:lang w:val="lt-LT"/>
        </w:rPr>
      </w:pPr>
      <w:r w:rsidRPr="007928C8">
        <w:rPr>
          <w:sz w:val="26"/>
          <w:szCs w:val="26"/>
          <w:lang w:val="lt-LT"/>
        </w:rPr>
        <w:t xml:space="preserve">atskleidžia priklausomybę tarp audito rizikos komponentų; </w:t>
      </w:r>
    </w:p>
    <w:p w:rsidR="0044367C" w:rsidRPr="007928C8" w:rsidRDefault="0044367C" w:rsidP="002F3543">
      <w:pPr>
        <w:pStyle w:val="ListParagraph"/>
        <w:numPr>
          <w:ilvl w:val="0"/>
          <w:numId w:val="22"/>
        </w:numPr>
        <w:tabs>
          <w:tab w:val="left" w:pos="0"/>
          <w:tab w:val="left" w:pos="993"/>
        </w:tabs>
        <w:spacing w:line="360" w:lineRule="auto"/>
        <w:ind w:left="0" w:firstLine="709"/>
        <w:jc w:val="both"/>
        <w:rPr>
          <w:sz w:val="26"/>
          <w:szCs w:val="26"/>
          <w:lang w:val="lt-LT"/>
        </w:rPr>
      </w:pPr>
      <w:r w:rsidRPr="007928C8">
        <w:rPr>
          <w:sz w:val="26"/>
          <w:szCs w:val="26"/>
          <w:lang w:val="lt-LT"/>
        </w:rPr>
        <w:t xml:space="preserve">nurodo, kad audito rizika ir/ar jos komponentai vertinami kiekviename audito etape ir skirtingu pasireiškimo lygmeniu; </w:t>
      </w:r>
    </w:p>
    <w:p w:rsidR="0044367C" w:rsidRPr="007928C8" w:rsidRDefault="0044367C" w:rsidP="002F3543">
      <w:pPr>
        <w:pStyle w:val="ListParagraph"/>
        <w:numPr>
          <w:ilvl w:val="0"/>
          <w:numId w:val="22"/>
        </w:numPr>
        <w:tabs>
          <w:tab w:val="left" w:pos="0"/>
          <w:tab w:val="left" w:pos="993"/>
        </w:tabs>
        <w:spacing w:line="360" w:lineRule="auto"/>
        <w:ind w:left="0" w:firstLine="709"/>
        <w:jc w:val="both"/>
        <w:rPr>
          <w:sz w:val="26"/>
          <w:szCs w:val="26"/>
          <w:lang w:val="lt-LT"/>
        </w:rPr>
      </w:pPr>
      <w:r w:rsidRPr="007928C8">
        <w:rPr>
          <w:sz w:val="26"/>
          <w:szCs w:val="26"/>
          <w:lang w:val="lt-LT"/>
        </w:rPr>
        <w:t>pateikia audito etapus pagal taikomą audito praktiką;</w:t>
      </w:r>
    </w:p>
    <w:p w:rsidR="0044367C" w:rsidRPr="007928C8" w:rsidRDefault="0044367C" w:rsidP="002F3543">
      <w:pPr>
        <w:pStyle w:val="ListParagraph"/>
        <w:numPr>
          <w:ilvl w:val="0"/>
          <w:numId w:val="22"/>
        </w:numPr>
        <w:tabs>
          <w:tab w:val="left" w:pos="0"/>
          <w:tab w:val="left" w:pos="993"/>
        </w:tabs>
        <w:spacing w:line="360" w:lineRule="auto"/>
        <w:ind w:left="0" w:firstLine="709"/>
        <w:jc w:val="both"/>
        <w:rPr>
          <w:sz w:val="26"/>
          <w:szCs w:val="26"/>
          <w:lang w:val="lt-LT"/>
        </w:rPr>
      </w:pPr>
      <w:r w:rsidRPr="007928C8">
        <w:rPr>
          <w:sz w:val="26"/>
          <w:szCs w:val="26"/>
          <w:lang w:val="lt-LT"/>
        </w:rPr>
        <w:t>atskleidžia iteratyvinę sprendimų priėmimo rizikos vertinimo procese prigimtį ir</w:t>
      </w:r>
    </w:p>
    <w:p w:rsidR="0044367C" w:rsidRDefault="0044367C" w:rsidP="002F3543">
      <w:pPr>
        <w:pStyle w:val="ListParagraph"/>
        <w:numPr>
          <w:ilvl w:val="0"/>
          <w:numId w:val="22"/>
        </w:numPr>
        <w:tabs>
          <w:tab w:val="left" w:pos="0"/>
          <w:tab w:val="left" w:pos="993"/>
        </w:tabs>
        <w:spacing w:line="360" w:lineRule="auto"/>
        <w:ind w:left="0" w:firstLine="709"/>
        <w:jc w:val="both"/>
        <w:rPr>
          <w:sz w:val="26"/>
          <w:szCs w:val="26"/>
          <w:lang w:val="lt-LT"/>
        </w:rPr>
      </w:pPr>
      <w:r w:rsidRPr="007928C8">
        <w:rPr>
          <w:sz w:val="26"/>
          <w:szCs w:val="26"/>
          <w:lang w:val="lt-LT"/>
        </w:rPr>
        <w:t>yra taikytinas vertinant audito rezultatus.</w:t>
      </w:r>
    </w:p>
    <w:p w:rsidR="0044367C" w:rsidRPr="004117AD" w:rsidRDefault="0044367C" w:rsidP="0044367C">
      <w:pPr>
        <w:pStyle w:val="NormalWeb"/>
        <w:spacing w:before="0" w:beforeAutospacing="0" w:after="0" w:afterAutospacing="0" w:line="360" w:lineRule="auto"/>
        <w:ind w:firstLine="709"/>
        <w:jc w:val="both"/>
        <w:rPr>
          <w:sz w:val="26"/>
          <w:szCs w:val="26"/>
          <w:lang w:val="lt-LT"/>
        </w:rPr>
      </w:pPr>
      <w:r w:rsidRPr="004117AD">
        <w:rPr>
          <w:sz w:val="26"/>
          <w:szCs w:val="26"/>
          <w:lang w:val="lt-LT"/>
        </w:rPr>
        <w:t xml:space="preserve">Atliktas </w:t>
      </w:r>
      <w:r>
        <w:rPr>
          <w:sz w:val="26"/>
          <w:szCs w:val="26"/>
          <w:lang w:val="lt-LT"/>
        </w:rPr>
        <w:t xml:space="preserve">audito rizikos vertinimo </w:t>
      </w:r>
      <w:r w:rsidRPr="004117AD">
        <w:rPr>
          <w:sz w:val="26"/>
          <w:szCs w:val="26"/>
          <w:lang w:val="lt-LT"/>
        </w:rPr>
        <w:t xml:space="preserve">modelio patikrinimas konkrečių auditų pavyzdžiu patvirtino: </w:t>
      </w:r>
      <w:r w:rsidRPr="004117AD">
        <w:rPr>
          <w:sz w:val="26"/>
          <w:szCs w:val="26"/>
          <w:lang w:val="en-GB"/>
        </w:rPr>
        <w:t xml:space="preserve">1) </w:t>
      </w:r>
      <w:r>
        <w:rPr>
          <w:sz w:val="26"/>
          <w:szCs w:val="26"/>
          <w:lang w:val="lt-LT"/>
        </w:rPr>
        <w:t xml:space="preserve">jo </w:t>
      </w:r>
      <w:r w:rsidRPr="004117AD">
        <w:rPr>
          <w:sz w:val="26"/>
          <w:szCs w:val="26"/>
          <w:lang w:val="lt-LT"/>
        </w:rPr>
        <w:t>sandarą (elementus): audito rizikos sąlygas (veiksnius), audito rizikos komponentus ir audito rizikos vertinimo procesą audito metu;</w:t>
      </w:r>
      <w:r w:rsidRPr="004117AD">
        <w:rPr>
          <w:sz w:val="26"/>
          <w:szCs w:val="26"/>
          <w:lang w:val="en-GB"/>
        </w:rPr>
        <w:t xml:space="preserve"> 2)</w:t>
      </w:r>
      <w:r w:rsidRPr="004117AD">
        <w:rPr>
          <w:sz w:val="26"/>
          <w:szCs w:val="26"/>
        </w:rPr>
        <w:t xml:space="preserve"> </w:t>
      </w:r>
      <w:r w:rsidRPr="004117AD">
        <w:rPr>
          <w:sz w:val="26"/>
          <w:szCs w:val="26"/>
          <w:lang w:val="lt-LT"/>
        </w:rPr>
        <w:t>tarpusavio ryšius tarp atskirų audito rizikos komponentų per atskirų audito rizikos komponentų priklausomybės ir bendrąjį jų vertinimą. Todėl šis modelis yra taikytinas praktikoje: visiems auditams nepriklausomai nuo audituojamos įmonės dydžio ir veiklos pobūdžio, ir tinkama metodinė audito rizikos vertinimo priemonė.</w:t>
      </w:r>
    </w:p>
    <w:p w:rsidR="009B6941" w:rsidRPr="00E63152" w:rsidRDefault="00A81F56" w:rsidP="00052DF1">
      <w:pPr>
        <w:pStyle w:val="Heading1"/>
        <w:rPr>
          <w:lang w:val="lt-LT"/>
        </w:rPr>
      </w:pPr>
      <w:r w:rsidRPr="00E63152">
        <w:rPr>
          <w:sz w:val="24"/>
          <w:lang w:val="lt-LT"/>
        </w:rPr>
        <w:br w:type="page"/>
      </w:r>
      <w:bookmarkStart w:id="50" w:name="_Toc70063230"/>
      <w:bookmarkStart w:id="51" w:name="_Toc72067650"/>
      <w:bookmarkStart w:id="52" w:name="_Toc72067805"/>
      <w:bookmarkStart w:id="53" w:name="_Toc253244593"/>
      <w:r w:rsidR="009B6941" w:rsidRPr="00E63152">
        <w:rPr>
          <w:lang w:val="lt-LT"/>
        </w:rPr>
        <w:lastRenderedPageBreak/>
        <w:t>LITERATŪRA</w:t>
      </w:r>
      <w:bookmarkEnd w:id="50"/>
      <w:bookmarkEnd w:id="51"/>
      <w:bookmarkEnd w:id="52"/>
      <w:bookmarkEnd w:id="53"/>
    </w:p>
    <w:p w:rsidR="009B6941" w:rsidRPr="007928C8" w:rsidRDefault="009B6941">
      <w:pPr>
        <w:ind w:left="-90" w:firstLine="90"/>
        <w:rPr>
          <w:sz w:val="26"/>
          <w:szCs w:val="26"/>
          <w:lang w:val="lt-LT"/>
        </w:rPr>
      </w:pPr>
    </w:p>
    <w:p w:rsidR="0033534E" w:rsidRPr="007928C8" w:rsidRDefault="0033534E" w:rsidP="000406FA">
      <w:pPr>
        <w:numPr>
          <w:ilvl w:val="0"/>
          <w:numId w:val="4"/>
        </w:numPr>
        <w:tabs>
          <w:tab w:val="clear" w:pos="720"/>
          <w:tab w:val="left" w:pos="567"/>
          <w:tab w:val="left" w:pos="709"/>
        </w:tabs>
        <w:spacing w:before="120"/>
        <w:ind w:left="567" w:hanging="567"/>
        <w:jc w:val="both"/>
        <w:rPr>
          <w:rStyle w:val="terms"/>
          <w:sz w:val="26"/>
          <w:szCs w:val="26"/>
          <w:lang w:val="lt-LT"/>
        </w:rPr>
      </w:pPr>
      <w:r w:rsidRPr="007928C8">
        <w:rPr>
          <w:rStyle w:val="terms"/>
          <w:sz w:val="26"/>
          <w:szCs w:val="26"/>
          <w:lang w:val="lt-LT"/>
        </w:rPr>
        <w:t xml:space="preserve">ACCA </w:t>
      </w:r>
      <w:r w:rsidRPr="007928C8">
        <w:rPr>
          <w:rStyle w:val="terms"/>
          <w:sz w:val="26"/>
          <w:szCs w:val="26"/>
        </w:rPr>
        <w:t xml:space="preserve">Study text: Certificate Paper 6 „The Audit Framework“ </w:t>
      </w:r>
      <w:r w:rsidRPr="007928C8">
        <w:rPr>
          <w:rStyle w:val="terms"/>
          <w:sz w:val="26"/>
          <w:szCs w:val="26"/>
          <w:lang w:val="lt-LT"/>
        </w:rPr>
        <w:t xml:space="preserve">(1993). BPP </w:t>
      </w:r>
      <w:r w:rsidRPr="007928C8">
        <w:rPr>
          <w:rStyle w:val="terms"/>
          <w:sz w:val="26"/>
          <w:szCs w:val="26"/>
        </w:rPr>
        <w:t>Publishing</w:t>
      </w:r>
      <w:r w:rsidRPr="007928C8">
        <w:rPr>
          <w:rStyle w:val="terms"/>
          <w:sz w:val="26"/>
          <w:szCs w:val="26"/>
          <w:lang w:val="lt-LT"/>
        </w:rPr>
        <w:t xml:space="preserve"> limited. 565 p. ISBN 0-7517-0005-3.</w:t>
      </w:r>
    </w:p>
    <w:p w:rsidR="0033534E" w:rsidRPr="007928C8" w:rsidRDefault="0033534E"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ACCA Paper 8. Audit and Assurance (International</w:t>
      </w:r>
      <w:r w:rsidRPr="007928C8">
        <w:rPr>
          <w:sz w:val="26"/>
          <w:szCs w:val="26"/>
          <w:lang w:val="lt-LT"/>
        </w:rPr>
        <w:t xml:space="preserve">) (2007). </w:t>
      </w:r>
      <w:r w:rsidRPr="007928C8">
        <w:rPr>
          <w:rStyle w:val="terms"/>
          <w:sz w:val="26"/>
          <w:szCs w:val="26"/>
          <w:lang w:val="lt-LT"/>
        </w:rPr>
        <w:t xml:space="preserve">BPP Learning media Ltd, </w:t>
      </w:r>
      <w:r w:rsidRPr="007928C8">
        <w:rPr>
          <w:sz w:val="26"/>
          <w:szCs w:val="26"/>
          <w:lang w:val="lt-LT"/>
        </w:rPr>
        <w:t>p. 514. ISBN 978-0-7517-3299-3.</w:t>
      </w:r>
    </w:p>
    <w:p w:rsidR="0033534E" w:rsidRPr="007928C8" w:rsidRDefault="0033534E"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Adams</w:t>
      </w:r>
      <w:r w:rsidRPr="007928C8">
        <w:rPr>
          <w:sz w:val="26"/>
          <w:szCs w:val="26"/>
        </w:rPr>
        <w:t xml:space="preserve">, John. (2001) </w:t>
      </w:r>
      <w:r w:rsidRPr="007928C8">
        <w:rPr>
          <w:i/>
          <w:sz w:val="26"/>
          <w:szCs w:val="26"/>
          <w:lang w:val="lt-LT"/>
        </w:rPr>
        <w:t>Rizika</w:t>
      </w:r>
      <w:r w:rsidRPr="007928C8">
        <w:rPr>
          <w:sz w:val="26"/>
          <w:szCs w:val="26"/>
        </w:rPr>
        <w:t>. I</w:t>
      </w:r>
      <w:r w:rsidRPr="007928C8">
        <w:rPr>
          <w:sz w:val="26"/>
          <w:szCs w:val="26"/>
          <w:lang w:val="lt-LT"/>
        </w:rPr>
        <w:t xml:space="preserve">š anglų kalbos vertė G. Mačys. Kaunas: </w:t>
      </w:r>
      <w:r w:rsidRPr="007928C8">
        <w:rPr>
          <w:sz w:val="26"/>
          <w:szCs w:val="26"/>
        </w:rPr>
        <w:t>P</w:t>
      </w:r>
      <w:r w:rsidRPr="007928C8">
        <w:rPr>
          <w:sz w:val="26"/>
          <w:szCs w:val="26"/>
          <w:lang w:val="lt-LT"/>
        </w:rPr>
        <w:t>oligrafija ir informatika</w:t>
      </w:r>
      <w:r w:rsidRPr="007928C8">
        <w:rPr>
          <w:sz w:val="26"/>
          <w:szCs w:val="26"/>
        </w:rPr>
        <w:t>, 272 p. ISBN 1392-1673.</w:t>
      </w:r>
    </w:p>
    <w:p w:rsidR="0033534E" w:rsidRPr="007928C8" w:rsidRDefault="0033534E" w:rsidP="000406FA">
      <w:pPr>
        <w:numPr>
          <w:ilvl w:val="0"/>
          <w:numId w:val="4"/>
        </w:numPr>
        <w:tabs>
          <w:tab w:val="clear" w:pos="720"/>
          <w:tab w:val="left" w:pos="567"/>
          <w:tab w:val="left" w:pos="709"/>
        </w:tabs>
        <w:spacing w:before="120"/>
        <w:ind w:left="567" w:hanging="567"/>
        <w:jc w:val="both"/>
        <w:rPr>
          <w:rStyle w:val="terms"/>
          <w:sz w:val="26"/>
          <w:szCs w:val="26"/>
          <w:lang w:val="lt-LT"/>
        </w:rPr>
      </w:pPr>
      <w:r w:rsidRPr="007928C8">
        <w:rPr>
          <w:rStyle w:val="terms"/>
          <w:sz w:val="26"/>
          <w:szCs w:val="26"/>
        </w:rPr>
        <w:t>AICPA Audit Guide: Assessing and Responding to Audit Risk in a Financial Statement Audit (2006). American Institute of Certified Public Accountants, Inc</w:t>
      </w:r>
      <w:r w:rsidRPr="007928C8">
        <w:rPr>
          <w:rStyle w:val="terms"/>
          <w:sz w:val="26"/>
          <w:szCs w:val="26"/>
          <w:lang w:val="lt-LT"/>
        </w:rPr>
        <w:t>. 498 p. ISBN 0-87051-629-9.</w:t>
      </w:r>
    </w:p>
    <w:p w:rsidR="0033534E" w:rsidRPr="007928C8" w:rsidRDefault="0033534E"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ALEKNEVIČIENĖ</w:t>
      </w:r>
      <w:r w:rsidR="00D84617" w:rsidRPr="007928C8">
        <w:rPr>
          <w:sz w:val="26"/>
          <w:szCs w:val="26"/>
          <w:lang w:val="lt-LT"/>
        </w:rPr>
        <w:t>,</w:t>
      </w:r>
      <w:r w:rsidRPr="007928C8">
        <w:rPr>
          <w:sz w:val="26"/>
          <w:szCs w:val="26"/>
          <w:lang w:val="lt-LT"/>
        </w:rPr>
        <w:t xml:space="preserve"> Vilija (1997). Investicijų rizikos valdymas: daktarės disertacija: socialiniai mokslai, ekonomika (6B). Kaunas, p. 109.</w:t>
      </w:r>
    </w:p>
    <w:p w:rsidR="0033534E" w:rsidRPr="007928C8" w:rsidRDefault="0033534E"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ALLEN, </w:t>
      </w:r>
      <w:r w:rsidRPr="007928C8">
        <w:rPr>
          <w:sz w:val="26"/>
          <w:szCs w:val="26"/>
        </w:rPr>
        <w:t>Robert</w:t>
      </w:r>
      <w:r w:rsidRPr="007928C8">
        <w:rPr>
          <w:sz w:val="26"/>
          <w:szCs w:val="26"/>
          <w:lang w:val="lt-LT"/>
        </w:rPr>
        <w:t xml:space="preserve"> D., HERMANSON, Dana R., KOZLOSKI, </w:t>
      </w:r>
      <w:r w:rsidRPr="007928C8">
        <w:rPr>
          <w:sz w:val="26"/>
          <w:szCs w:val="26"/>
        </w:rPr>
        <w:t>Thomas</w:t>
      </w:r>
      <w:r w:rsidRPr="007928C8">
        <w:rPr>
          <w:sz w:val="26"/>
          <w:szCs w:val="26"/>
          <w:lang w:val="lt-LT"/>
        </w:rPr>
        <w:t xml:space="preserve"> M., RAMSAY, Robert J. (2006). </w:t>
      </w:r>
      <w:r w:rsidRPr="007928C8">
        <w:rPr>
          <w:sz w:val="26"/>
          <w:szCs w:val="26"/>
        </w:rPr>
        <w:t>Auditor Risk Assessment: Insights from Academic Literature</w:t>
      </w:r>
      <w:r w:rsidRPr="007928C8">
        <w:rPr>
          <w:sz w:val="26"/>
          <w:szCs w:val="26"/>
          <w:lang w:val="lt-LT"/>
        </w:rPr>
        <w:t xml:space="preserve">. Iš </w:t>
      </w:r>
      <w:r w:rsidRPr="007928C8">
        <w:rPr>
          <w:sz w:val="26"/>
          <w:szCs w:val="26"/>
        </w:rPr>
        <w:t>Accounting Horizons</w:t>
      </w:r>
      <w:r w:rsidRPr="007928C8">
        <w:rPr>
          <w:sz w:val="26"/>
          <w:szCs w:val="26"/>
          <w:lang w:val="lt-LT"/>
        </w:rPr>
        <w:t xml:space="preserve"> [interaktyvus]. Vol. 20, No. 2, </w:t>
      </w:r>
      <w:r w:rsidRPr="007928C8">
        <w:rPr>
          <w:sz w:val="26"/>
          <w:szCs w:val="26"/>
        </w:rPr>
        <w:t>June</w:t>
      </w:r>
      <w:r w:rsidRPr="007928C8">
        <w:rPr>
          <w:sz w:val="26"/>
          <w:szCs w:val="26"/>
          <w:lang w:val="lt-LT"/>
        </w:rPr>
        <w:t>, [žiūrėta 2008 m. kovo 14 d.], p. 157 – 177. Prieiga per internetą: &lt;</w:t>
      </w:r>
      <w:r w:rsidRPr="007928C8">
        <w:rPr>
          <w:sz w:val="26"/>
          <w:szCs w:val="26"/>
          <w:lang w:val="lt-LT" w:eastAsia="en-US"/>
        </w:rPr>
        <w:t>http://www.atypon-link.com&gt;.</w:t>
      </w:r>
      <w:r w:rsidRPr="007928C8">
        <w:rPr>
          <w:sz w:val="26"/>
          <w:szCs w:val="26"/>
          <w:lang w:val="lt-LT"/>
        </w:rPr>
        <w:t xml:space="preserve"> </w:t>
      </w:r>
    </w:p>
    <w:p w:rsidR="0033534E" w:rsidRPr="007928C8" w:rsidRDefault="006A7331"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ARENS, A</w:t>
      </w:r>
      <w:r w:rsidR="00B228C3" w:rsidRPr="007928C8">
        <w:rPr>
          <w:sz w:val="26"/>
          <w:szCs w:val="26"/>
          <w:lang w:val="lt-LT"/>
        </w:rPr>
        <w:t>lvin</w:t>
      </w:r>
      <w:r w:rsidRPr="007928C8">
        <w:rPr>
          <w:sz w:val="26"/>
          <w:szCs w:val="26"/>
          <w:lang w:val="lt-LT"/>
        </w:rPr>
        <w:t xml:space="preserve"> A.</w:t>
      </w:r>
      <w:r w:rsidR="00D84617" w:rsidRPr="007928C8">
        <w:rPr>
          <w:sz w:val="26"/>
          <w:szCs w:val="26"/>
          <w:lang w:val="lt-LT"/>
        </w:rPr>
        <w:t>;</w:t>
      </w:r>
      <w:r w:rsidR="00851635" w:rsidRPr="007928C8">
        <w:rPr>
          <w:sz w:val="26"/>
          <w:szCs w:val="26"/>
          <w:lang w:val="lt-LT"/>
        </w:rPr>
        <w:t xml:space="preserve"> LOEBBECKE, J</w:t>
      </w:r>
      <w:r w:rsidR="0053146F" w:rsidRPr="007928C8">
        <w:rPr>
          <w:sz w:val="26"/>
          <w:szCs w:val="26"/>
          <w:lang w:val="lt-LT"/>
        </w:rPr>
        <w:t>ames</w:t>
      </w:r>
      <w:r w:rsidR="00851635" w:rsidRPr="007928C8">
        <w:rPr>
          <w:sz w:val="26"/>
          <w:szCs w:val="26"/>
          <w:lang w:val="lt-LT"/>
        </w:rPr>
        <w:t xml:space="preserve"> K. (1997). </w:t>
      </w:r>
      <w:r w:rsidR="00851635" w:rsidRPr="007928C8">
        <w:rPr>
          <w:i/>
          <w:sz w:val="26"/>
          <w:szCs w:val="26"/>
          <w:lang w:val="lt-LT"/>
        </w:rPr>
        <w:t xml:space="preserve">Auditing: </w:t>
      </w:r>
      <w:r w:rsidR="00851635" w:rsidRPr="007928C8">
        <w:rPr>
          <w:i/>
          <w:sz w:val="26"/>
          <w:szCs w:val="26"/>
        </w:rPr>
        <w:t>An Integrated Approach</w:t>
      </w:r>
      <w:r w:rsidR="00851635" w:rsidRPr="007928C8">
        <w:rPr>
          <w:sz w:val="26"/>
          <w:szCs w:val="26"/>
        </w:rPr>
        <w:t>. 7 ed. Upper Sand Rives: Prentice Hall</w:t>
      </w:r>
      <w:r w:rsidR="00851635" w:rsidRPr="007928C8">
        <w:rPr>
          <w:sz w:val="26"/>
          <w:szCs w:val="26"/>
          <w:lang w:val="lt-LT"/>
        </w:rPr>
        <w:t>. 823 p.</w:t>
      </w:r>
    </w:p>
    <w:p w:rsidR="003149DA" w:rsidRPr="007928C8" w:rsidRDefault="003149DA"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ARENS, A</w:t>
      </w:r>
      <w:r w:rsidR="00B228C3" w:rsidRPr="007928C8">
        <w:rPr>
          <w:sz w:val="26"/>
          <w:szCs w:val="26"/>
          <w:lang w:val="lt-LT"/>
        </w:rPr>
        <w:t>lvin</w:t>
      </w:r>
      <w:r w:rsidRPr="007928C8">
        <w:rPr>
          <w:sz w:val="26"/>
          <w:szCs w:val="26"/>
          <w:lang w:val="lt-LT"/>
        </w:rPr>
        <w:t xml:space="preserve"> A.</w:t>
      </w:r>
      <w:r w:rsidR="00B228C3" w:rsidRPr="007928C8">
        <w:rPr>
          <w:sz w:val="26"/>
          <w:szCs w:val="26"/>
          <w:lang w:val="lt-LT"/>
        </w:rPr>
        <w:t>;</w:t>
      </w:r>
      <w:r w:rsidRPr="007928C8">
        <w:rPr>
          <w:sz w:val="26"/>
          <w:szCs w:val="26"/>
          <w:lang w:val="lt-LT"/>
        </w:rPr>
        <w:t xml:space="preserve"> ELDER, R</w:t>
      </w:r>
      <w:r w:rsidR="00B228C3" w:rsidRPr="007928C8">
        <w:rPr>
          <w:sz w:val="26"/>
          <w:szCs w:val="26"/>
          <w:lang w:val="lt-LT"/>
        </w:rPr>
        <w:t>andal</w:t>
      </w:r>
      <w:r w:rsidRPr="007928C8">
        <w:rPr>
          <w:sz w:val="26"/>
          <w:szCs w:val="26"/>
          <w:lang w:val="lt-LT"/>
        </w:rPr>
        <w:t xml:space="preserve"> J.</w:t>
      </w:r>
      <w:r w:rsidR="00B228C3" w:rsidRPr="007928C8">
        <w:rPr>
          <w:sz w:val="26"/>
          <w:szCs w:val="26"/>
          <w:lang w:val="lt-LT"/>
        </w:rPr>
        <w:t>;</w:t>
      </w:r>
      <w:r w:rsidRPr="007928C8">
        <w:rPr>
          <w:sz w:val="26"/>
          <w:szCs w:val="26"/>
          <w:lang w:val="lt-LT"/>
        </w:rPr>
        <w:t xml:space="preserve"> BEASLEY, M</w:t>
      </w:r>
      <w:r w:rsidR="00B228C3" w:rsidRPr="007928C8">
        <w:rPr>
          <w:sz w:val="26"/>
          <w:szCs w:val="26"/>
          <w:lang w:val="lt-LT"/>
        </w:rPr>
        <w:t>ark</w:t>
      </w:r>
      <w:r w:rsidRPr="007928C8">
        <w:rPr>
          <w:sz w:val="26"/>
          <w:szCs w:val="26"/>
          <w:lang w:val="lt-LT"/>
        </w:rPr>
        <w:t xml:space="preserve"> S. (2006). Auditing </w:t>
      </w:r>
      <w:r w:rsidRPr="007928C8">
        <w:rPr>
          <w:sz w:val="26"/>
          <w:szCs w:val="26"/>
        </w:rPr>
        <w:t xml:space="preserve">and Assurance Services: </w:t>
      </w:r>
      <w:r w:rsidR="00DB5708" w:rsidRPr="007928C8">
        <w:rPr>
          <w:sz w:val="26"/>
          <w:szCs w:val="26"/>
        </w:rPr>
        <w:t>An Integrated Approach. 11ed. Person Prentice Hall</w:t>
      </w:r>
      <w:r w:rsidR="00DB5708" w:rsidRPr="007928C8">
        <w:rPr>
          <w:sz w:val="26"/>
          <w:szCs w:val="26"/>
          <w:lang w:val="lt-LT"/>
        </w:rPr>
        <w:t xml:space="preserve">. </w:t>
      </w:r>
      <w:r w:rsidR="001032E4" w:rsidRPr="007928C8">
        <w:rPr>
          <w:sz w:val="26"/>
          <w:szCs w:val="26"/>
          <w:lang w:val="lt-LT"/>
        </w:rPr>
        <w:t>799 p.</w:t>
      </w:r>
    </w:p>
    <w:p w:rsidR="00B50CF2" w:rsidRPr="00B50CF2" w:rsidRDefault="00400246"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Association of Certified Fraud Examiners (2004). ACFE Fraud Prevention Check-up.</w:t>
      </w:r>
      <w:r w:rsidRPr="007928C8">
        <w:rPr>
          <w:sz w:val="26"/>
          <w:szCs w:val="26"/>
          <w:lang w:val="lt-LT"/>
        </w:rPr>
        <w:t xml:space="preserve"> [interaktyvus], [žiūrėta 2008 m. vasario 6 d.] Prie</w:t>
      </w:r>
      <w:r w:rsidR="0000755F" w:rsidRPr="007928C8">
        <w:rPr>
          <w:sz w:val="26"/>
          <w:szCs w:val="26"/>
          <w:lang w:val="lt-LT"/>
        </w:rPr>
        <w:t>i</w:t>
      </w:r>
      <w:r w:rsidRPr="007928C8">
        <w:rPr>
          <w:sz w:val="26"/>
          <w:szCs w:val="26"/>
          <w:lang w:val="lt-LT"/>
        </w:rPr>
        <w:t>ga per internetą:</w:t>
      </w:r>
      <w:r w:rsidRPr="00B50CF2">
        <w:rPr>
          <w:sz w:val="26"/>
          <w:szCs w:val="26"/>
          <w:lang w:val="lt-LT"/>
        </w:rPr>
        <w:t xml:space="preserve"> &lt;http://www.acfe.com/documents/Fraud_Prev_</w:t>
      </w:r>
    </w:p>
    <w:p w:rsidR="00591645" w:rsidRPr="007928C8" w:rsidRDefault="00400246" w:rsidP="000406FA">
      <w:pPr>
        <w:tabs>
          <w:tab w:val="left" w:pos="567"/>
        </w:tabs>
        <w:spacing w:before="120"/>
        <w:ind w:left="567"/>
        <w:jc w:val="both"/>
        <w:rPr>
          <w:sz w:val="26"/>
          <w:szCs w:val="26"/>
          <w:lang w:val="lt-LT"/>
        </w:rPr>
      </w:pPr>
      <w:r w:rsidRPr="007928C8">
        <w:rPr>
          <w:sz w:val="26"/>
          <w:szCs w:val="26"/>
          <w:lang w:val="lt-LT"/>
        </w:rPr>
        <w:t>Cheup_IA.pdf&gt; .</w:t>
      </w:r>
    </w:p>
    <w:p w:rsidR="008A7AC2" w:rsidRPr="007928C8" w:rsidRDefault="008A7AC2" w:rsidP="000406FA">
      <w:pPr>
        <w:pStyle w:val="ListParagraph"/>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Bagdonas</w:t>
      </w:r>
      <w:r w:rsidR="00D84617" w:rsidRPr="007928C8">
        <w:rPr>
          <w:caps/>
          <w:sz w:val="26"/>
          <w:szCs w:val="26"/>
          <w:lang w:val="lt-LT"/>
        </w:rPr>
        <w:t>,</w:t>
      </w:r>
      <w:r w:rsidRPr="007928C8">
        <w:rPr>
          <w:sz w:val="26"/>
          <w:szCs w:val="26"/>
          <w:lang w:val="lt-LT"/>
        </w:rPr>
        <w:t xml:space="preserve"> Vilhelmas (1996). Verslo rizika. Vilnius: Saulės vėjas, p. 116. ISBN 9986-741-07-6.</w:t>
      </w:r>
    </w:p>
    <w:p w:rsidR="00851635" w:rsidRPr="007928C8"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BAYER, T</w:t>
      </w:r>
      <w:r w:rsidR="00024417" w:rsidRPr="007928C8">
        <w:rPr>
          <w:sz w:val="26"/>
          <w:szCs w:val="26"/>
          <w:lang w:val="lt-LT"/>
        </w:rPr>
        <w:t xml:space="preserve">homas </w:t>
      </w:r>
      <w:r w:rsidRPr="007928C8">
        <w:rPr>
          <w:sz w:val="26"/>
          <w:szCs w:val="26"/>
          <w:lang w:val="lt-LT"/>
        </w:rPr>
        <w:t xml:space="preserve">E. (1999) </w:t>
      </w:r>
      <w:r w:rsidRPr="007928C8">
        <w:rPr>
          <w:i/>
          <w:sz w:val="26"/>
          <w:szCs w:val="26"/>
          <w:lang w:val="lt-LT"/>
        </w:rPr>
        <w:t xml:space="preserve">Risk – Based Auditing: A </w:t>
      </w:r>
      <w:r w:rsidRPr="007928C8">
        <w:rPr>
          <w:i/>
          <w:sz w:val="26"/>
          <w:szCs w:val="26"/>
        </w:rPr>
        <w:t>New Approach</w:t>
      </w:r>
      <w:r w:rsidRPr="007928C8">
        <w:rPr>
          <w:sz w:val="26"/>
          <w:szCs w:val="26"/>
          <w:lang w:val="lt-LT"/>
        </w:rPr>
        <w:t xml:space="preserve"> [</w:t>
      </w:r>
      <w:r w:rsidR="00C518CF" w:rsidRPr="007928C8">
        <w:rPr>
          <w:sz w:val="26"/>
          <w:szCs w:val="26"/>
          <w:lang w:val="lt-LT"/>
        </w:rPr>
        <w:t>interaktyvus</w:t>
      </w:r>
      <w:r w:rsidRPr="007928C8">
        <w:rPr>
          <w:sz w:val="26"/>
          <w:szCs w:val="26"/>
          <w:lang w:val="lt-LT"/>
        </w:rPr>
        <w:t>]. [</w:t>
      </w:r>
      <w:r w:rsidR="00C518CF" w:rsidRPr="007928C8">
        <w:rPr>
          <w:sz w:val="26"/>
          <w:szCs w:val="26"/>
          <w:lang w:val="lt-LT"/>
        </w:rPr>
        <w:t>žiūrėta</w:t>
      </w:r>
      <w:r w:rsidRPr="007928C8">
        <w:rPr>
          <w:sz w:val="26"/>
          <w:szCs w:val="26"/>
          <w:lang w:val="lt-LT"/>
        </w:rPr>
        <w:t xml:space="preserve"> 2004</w:t>
      </w:r>
      <w:r w:rsidR="00C518CF" w:rsidRPr="007928C8">
        <w:rPr>
          <w:sz w:val="26"/>
          <w:szCs w:val="26"/>
          <w:lang w:val="lt-LT"/>
        </w:rPr>
        <w:t xml:space="preserve"> m. kovo </w:t>
      </w:r>
      <w:r w:rsidRPr="007928C8">
        <w:rPr>
          <w:sz w:val="26"/>
          <w:szCs w:val="26"/>
          <w:lang w:val="lt-LT"/>
        </w:rPr>
        <w:t>25</w:t>
      </w:r>
      <w:r w:rsidR="00C518CF" w:rsidRPr="007928C8">
        <w:rPr>
          <w:sz w:val="26"/>
          <w:szCs w:val="26"/>
          <w:lang w:val="lt-LT"/>
        </w:rPr>
        <w:t xml:space="preserve"> d.</w:t>
      </w:r>
      <w:r w:rsidRPr="007928C8">
        <w:rPr>
          <w:sz w:val="26"/>
          <w:szCs w:val="26"/>
          <w:lang w:val="lt-LT"/>
        </w:rPr>
        <w:t xml:space="preserve">]. </w:t>
      </w:r>
      <w:r w:rsidR="005D4FF9" w:rsidRPr="007928C8">
        <w:rPr>
          <w:sz w:val="26"/>
          <w:szCs w:val="26"/>
          <w:lang w:val="lt-LT"/>
        </w:rPr>
        <w:t>Prieiga per internetą</w:t>
      </w:r>
      <w:r w:rsidRPr="007928C8">
        <w:rPr>
          <w:sz w:val="26"/>
          <w:szCs w:val="26"/>
          <w:lang w:val="lt-LT"/>
        </w:rPr>
        <w:t>: &lt;</w:t>
      </w:r>
      <w:r w:rsidR="006D6549" w:rsidRPr="007928C8">
        <w:rPr>
          <w:sz w:val="26"/>
          <w:szCs w:val="26"/>
          <w:lang w:val="lt-LT"/>
        </w:rPr>
        <w:t>http://</w:t>
      </w:r>
      <w:r w:rsidR="006D6549" w:rsidRPr="007928C8">
        <w:rPr>
          <w:sz w:val="26"/>
          <w:szCs w:val="26"/>
          <w:lang w:val="lt-LT" w:eastAsia="en-US"/>
        </w:rPr>
        <w:t xml:space="preserve">www.sikich.com/sg/pdf/bayer.pdf </w:t>
      </w:r>
      <w:r w:rsidRPr="007928C8">
        <w:rPr>
          <w:sz w:val="26"/>
          <w:szCs w:val="26"/>
          <w:lang w:val="lt-LT"/>
        </w:rPr>
        <w:t>&gt;.</w:t>
      </w:r>
    </w:p>
    <w:p w:rsidR="00851635" w:rsidRPr="007928C8" w:rsidRDefault="00851635"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lang w:val="lt-LT"/>
        </w:rPr>
        <w:t>BEATIE, V</w:t>
      </w:r>
      <w:r w:rsidR="00BD4C75" w:rsidRPr="007928C8">
        <w:rPr>
          <w:sz w:val="26"/>
          <w:szCs w:val="26"/>
          <w:lang w:val="lt-LT"/>
        </w:rPr>
        <w:t>iven;</w:t>
      </w:r>
      <w:r w:rsidRPr="007928C8">
        <w:rPr>
          <w:sz w:val="26"/>
          <w:szCs w:val="26"/>
          <w:lang w:val="lt-LT"/>
        </w:rPr>
        <w:t xml:space="preserve"> FEARNLEY, S</w:t>
      </w:r>
      <w:r w:rsidR="00BD4C75" w:rsidRPr="007928C8">
        <w:rPr>
          <w:sz w:val="26"/>
          <w:szCs w:val="26"/>
          <w:lang w:val="lt-LT"/>
        </w:rPr>
        <w:t>tella;</w:t>
      </w:r>
      <w:r w:rsidRPr="007928C8">
        <w:rPr>
          <w:sz w:val="26"/>
          <w:szCs w:val="26"/>
          <w:lang w:val="lt-LT"/>
        </w:rPr>
        <w:t xml:space="preserve"> BRANDT, R</w:t>
      </w:r>
      <w:r w:rsidR="00BD4C75" w:rsidRPr="007928C8">
        <w:rPr>
          <w:sz w:val="26"/>
          <w:szCs w:val="26"/>
          <w:lang w:val="lt-LT"/>
        </w:rPr>
        <w:t>ichard</w:t>
      </w:r>
      <w:r w:rsidRPr="007928C8">
        <w:rPr>
          <w:sz w:val="26"/>
          <w:szCs w:val="26"/>
          <w:lang w:val="lt-LT"/>
        </w:rPr>
        <w:t xml:space="preserve">. (2002) </w:t>
      </w:r>
      <w:r w:rsidRPr="007928C8">
        <w:rPr>
          <w:i/>
          <w:sz w:val="26"/>
          <w:szCs w:val="26"/>
        </w:rPr>
        <w:t>Auditor Independence and Audit Risk in the UK: A Reconceptualisation.</w:t>
      </w:r>
      <w:r w:rsidRPr="007928C8">
        <w:rPr>
          <w:sz w:val="26"/>
          <w:szCs w:val="26"/>
        </w:rPr>
        <w:t xml:space="preserve"> </w:t>
      </w:r>
      <w:r w:rsidRPr="007928C8">
        <w:rPr>
          <w:sz w:val="26"/>
          <w:szCs w:val="26"/>
          <w:lang w:val="lt-LT"/>
        </w:rPr>
        <w:t>[</w:t>
      </w:r>
      <w:r w:rsidR="00BD4C75" w:rsidRPr="007928C8">
        <w:rPr>
          <w:sz w:val="26"/>
          <w:szCs w:val="26"/>
          <w:lang w:val="lt-LT"/>
        </w:rPr>
        <w:t>interaktyvus</w:t>
      </w:r>
      <w:r w:rsidRPr="007928C8">
        <w:rPr>
          <w:sz w:val="26"/>
          <w:szCs w:val="26"/>
          <w:lang w:val="lt-LT"/>
        </w:rPr>
        <w:t>]. [</w:t>
      </w:r>
      <w:r w:rsidR="00BD4C75" w:rsidRPr="007928C8">
        <w:rPr>
          <w:sz w:val="26"/>
          <w:szCs w:val="26"/>
          <w:lang w:val="lt-LT"/>
        </w:rPr>
        <w:t>žiūrėta</w:t>
      </w:r>
      <w:r w:rsidRPr="007928C8">
        <w:rPr>
          <w:sz w:val="26"/>
          <w:szCs w:val="26"/>
          <w:lang w:val="lt-LT"/>
        </w:rPr>
        <w:t xml:space="preserve"> 2004</w:t>
      </w:r>
      <w:r w:rsidR="00BD4C75" w:rsidRPr="007928C8">
        <w:rPr>
          <w:sz w:val="26"/>
          <w:szCs w:val="26"/>
          <w:lang w:val="lt-LT"/>
        </w:rPr>
        <w:t xml:space="preserve"> m. vasario </w:t>
      </w:r>
      <w:r w:rsidRPr="007928C8">
        <w:rPr>
          <w:sz w:val="26"/>
          <w:szCs w:val="26"/>
          <w:lang w:val="lt-LT"/>
        </w:rPr>
        <w:t>15</w:t>
      </w:r>
      <w:r w:rsidR="00BD4C75" w:rsidRPr="007928C8">
        <w:rPr>
          <w:sz w:val="26"/>
          <w:szCs w:val="26"/>
          <w:lang w:val="lt-LT"/>
        </w:rPr>
        <w:t xml:space="preserve"> d.</w:t>
      </w:r>
      <w:r w:rsidRPr="007928C8">
        <w:rPr>
          <w:sz w:val="26"/>
          <w:szCs w:val="26"/>
          <w:lang w:val="lt-LT"/>
        </w:rPr>
        <w:t xml:space="preserve">]. </w:t>
      </w:r>
      <w:r w:rsidR="00BD4C75" w:rsidRPr="007928C8">
        <w:rPr>
          <w:sz w:val="26"/>
          <w:szCs w:val="26"/>
          <w:lang w:val="lt-LT"/>
        </w:rPr>
        <w:t>Prieiga per internetą</w:t>
      </w:r>
      <w:r w:rsidRPr="007928C8">
        <w:rPr>
          <w:sz w:val="26"/>
          <w:szCs w:val="26"/>
          <w:lang w:val="lt-LT"/>
        </w:rPr>
        <w:t>: &lt;</w:t>
      </w:r>
      <w:hyperlink r:id="rId26" w:history="1">
        <w:r w:rsidRPr="007928C8">
          <w:rPr>
            <w:rStyle w:val="Hyperlink"/>
            <w:color w:val="auto"/>
            <w:sz w:val="26"/>
            <w:szCs w:val="26"/>
            <w:u w:val="none"/>
            <w:lang w:val="lt-LT"/>
          </w:rPr>
          <w:t>http://www.stir.ac.uk/Departments/Management/Accountancy/stfpages/beattie</w:t>
        </w:r>
      </w:hyperlink>
      <w:r w:rsidRPr="007928C8">
        <w:rPr>
          <w:sz w:val="26"/>
          <w:szCs w:val="26"/>
          <w:lang w:val="lt-LT"/>
        </w:rPr>
        <w:t>&gt;</w:t>
      </w:r>
      <w:r w:rsidR="0076257D" w:rsidRPr="007928C8">
        <w:rPr>
          <w:sz w:val="26"/>
          <w:szCs w:val="26"/>
          <w:lang w:val="lt-LT"/>
        </w:rPr>
        <w:t xml:space="preserve"> .</w:t>
      </w:r>
    </w:p>
    <w:p w:rsidR="002D3079" w:rsidRPr="007928C8" w:rsidRDefault="002D3079"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lang w:val="lt-LT"/>
        </w:rPr>
        <w:t xml:space="preserve">BEATIE, Viven; FEARNLEY, Stella; BRANDT, Richard. (2005) </w:t>
      </w:r>
      <w:r w:rsidRPr="007928C8">
        <w:rPr>
          <w:sz w:val="26"/>
          <w:szCs w:val="26"/>
        </w:rPr>
        <w:t>Auditor Independence and Audit Risk: A Reconceptualisation</w:t>
      </w:r>
      <w:r w:rsidRPr="007928C8">
        <w:rPr>
          <w:i/>
          <w:sz w:val="26"/>
          <w:szCs w:val="26"/>
          <w:lang w:val="lt-LT"/>
        </w:rPr>
        <w:t>.</w:t>
      </w:r>
      <w:r w:rsidRPr="007928C8">
        <w:rPr>
          <w:sz w:val="26"/>
          <w:szCs w:val="26"/>
          <w:lang w:val="lt-LT"/>
        </w:rPr>
        <w:t xml:space="preserve"> Iš </w:t>
      </w:r>
      <w:r w:rsidRPr="007928C8">
        <w:rPr>
          <w:i/>
          <w:sz w:val="26"/>
          <w:szCs w:val="26"/>
        </w:rPr>
        <w:t xml:space="preserve">Journal </w:t>
      </w:r>
      <w:r w:rsidRPr="007928C8">
        <w:rPr>
          <w:i/>
          <w:sz w:val="26"/>
          <w:szCs w:val="26"/>
        </w:rPr>
        <w:lastRenderedPageBreak/>
        <w:t xml:space="preserve">of International Accounting Research </w:t>
      </w:r>
      <w:r w:rsidRPr="007928C8">
        <w:rPr>
          <w:sz w:val="26"/>
          <w:szCs w:val="26"/>
          <w:lang w:val="lt-LT"/>
        </w:rPr>
        <w:t xml:space="preserve">[interaktyvus]. </w:t>
      </w:r>
      <w:r w:rsidR="00D97B45" w:rsidRPr="007928C8">
        <w:rPr>
          <w:sz w:val="26"/>
          <w:szCs w:val="26"/>
          <w:lang w:val="lt-LT"/>
        </w:rPr>
        <w:t>V</w:t>
      </w:r>
      <w:r w:rsidR="00773ACE" w:rsidRPr="007928C8">
        <w:rPr>
          <w:sz w:val="26"/>
          <w:szCs w:val="26"/>
          <w:lang w:val="lt-LT"/>
        </w:rPr>
        <w:t xml:space="preserve">ol. 4, no.1 </w:t>
      </w:r>
      <w:r w:rsidRPr="007928C8">
        <w:rPr>
          <w:sz w:val="26"/>
          <w:szCs w:val="26"/>
          <w:lang w:val="lt-LT"/>
        </w:rPr>
        <w:t>[žiūrėta 2006 m. spalio 15 d.]</w:t>
      </w:r>
      <w:r w:rsidR="00773ACE" w:rsidRPr="007928C8">
        <w:rPr>
          <w:sz w:val="26"/>
          <w:szCs w:val="26"/>
          <w:lang w:val="lt-LT"/>
        </w:rPr>
        <w:t>, p. 39 – 71</w:t>
      </w:r>
      <w:r w:rsidRPr="007928C8">
        <w:rPr>
          <w:sz w:val="26"/>
          <w:szCs w:val="26"/>
          <w:lang w:val="lt-LT"/>
        </w:rPr>
        <w:t xml:space="preserve">. </w:t>
      </w:r>
      <w:r w:rsidRPr="007928C8">
        <w:rPr>
          <w:color w:val="000000"/>
          <w:sz w:val="26"/>
          <w:szCs w:val="26"/>
          <w:lang w:val="lt-LT"/>
        </w:rPr>
        <w:t>Prieiga per internetą:</w:t>
      </w:r>
      <w:r w:rsidR="00DF3813" w:rsidRPr="007928C8">
        <w:rPr>
          <w:color w:val="000000"/>
          <w:sz w:val="26"/>
          <w:szCs w:val="26"/>
          <w:lang w:val="lt-LT"/>
        </w:rPr>
        <w:t xml:space="preserve"> &lt;http://web.ebscohost.com/bsi/pdf&gt;</w:t>
      </w:r>
      <w:r w:rsidR="00C73201" w:rsidRPr="007928C8">
        <w:rPr>
          <w:color w:val="000000"/>
          <w:sz w:val="26"/>
          <w:szCs w:val="26"/>
          <w:lang w:val="lt-LT"/>
        </w:rPr>
        <w:t xml:space="preserve"> .</w:t>
      </w:r>
    </w:p>
    <w:p w:rsidR="000368E6" w:rsidRPr="007928C8" w:rsidRDefault="000368E6"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rPr>
        <w:t>BELL, Timothy B.</w:t>
      </w:r>
      <w:r w:rsidR="00D84617" w:rsidRPr="007928C8">
        <w:rPr>
          <w:sz w:val="26"/>
          <w:szCs w:val="26"/>
        </w:rPr>
        <w:t>; PEECHER, Mark E.;</w:t>
      </w:r>
      <w:r w:rsidRPr="007928C8">
        <w:rPr>
          <w:sz w:val="26"/>
          <w:szCs w:val="26"/>
        </w:rPr>
        <w:t xml:space="preserve"> SOLOMON, Ira (2005). The 21</w:t>
      </w:r>
      <w:r w:rsidRPr="007928C8">
        <w:rPr>
          <w:sz w:val="26"/>
          <w:szCs w:val="26"/>
          <w:vertAlign w:val="superscript"/>
        </w:rPr>
        <w:t>st</w:t>
      </w:r>
      <w:r w:rsidRPr="007928C8">
        <w:rPr>
          <w:sz w:val="26"/>
          <w:szCs w:val="26"/>
        </w:rPr>
        <w:t xml:space="preserve"> Century Public Company Audit: Conceptual Elements of KPMG’s Global Audit Methodology. </w:t>
      </w:r>
      <w:r w:rsidRPr="007928C8">
        <w:rPr>
          <w:sz w:val="26"/>
          <w:szCs w:val="26"/>
          <w:lang w:val="lt-LT"/>
        </w:rPr>
        <w:t xml:space="preserve">[interaktyvus]. [žiūrėta 2008 m. liepos 4 d.]. Prieiga per internetą: </w:t>
      </w:r>
      <w:r w:rsidR="00D97B45" w:rsidRPr="007928C8">
        <w:rPr>
          <w:sz w:val="26"/>
          <w:szCs w:val="26"/>
          <w:lang w:val="lt-LT"/>
        </w:rPr>
        <w:t>&lt;</w:t>
      </w:r>
      <w:r w:rsidRPr="007928C8">
        <w:rPr>
          <w:sz w:val="26"/>
          <w:szCs w:val="26"/>
        </w:rPr>
        <w:t>http://www.business.uiuc.edu/kpmg-uiuccases/monograph2.pdf</w:t>
      </w:r>
      <w:r w:rsidR="00D97B45" w:rsidRPr="007928C8">
        <w:rPr>
          <w:sz w:val="26"/>
          <w:szCs w:val="26"/>
        </w:rPr>
        <w:t>&gt; .</w:t>
      </w:r>
    </w:p>
    <w:p w:rsidR="00C73201" w:rsidRPr="007928C8" w:rsidRDefault="00DC0D71"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sz w:val="26"/>
          <w:szCs w:val="26"/>
          <w:lang w:val="lt-LT"/>
        </w:rPr>
        <w:t>Blokdijk</w:t>
      </w:r>
      <w:r w:rsidRPr="007928C8">
        <w:rPr>
          <w:sz w:val="26"/>
          <w:szCs w:val="26"/>
          <w:lang w:val="lt-LT"/>
        </w:rPr>
        <w:t xml:space="preserve">, J. H. </w:t>
      </w:r>
      <w:r w:rsidR="00C804A7" w:rsidRPr="007928C8">
        <w:rPr>
          <w:sz w:val="26"/>
          <w:szCs w:val="26"/>
          <w:lang w:val="lt-LT"/>
        </w:rPr>
        <w:t xml:space="preserve">(2004) </w:t>
      </w:r>
      <w:r w:rsidRPr="007928C8">
        <w:rPr>
          <w:sz w:val="26"/>
          <w:szCs w:val="26"/>
        </w:rPr>
        <w:t xml:space="preserve">Tests of control in the audit risk model: Effective? Efficient? </w:t>
      </w:r>
      <w:r w:rsidR="00561A56" w:rsidRPr="007928C8">
        <w:rPr>
          <w:sz w:val="26"/>
          <w:szCs w:val="26"/>
        </w:rPr>
        <w:t xml:space="preserve">Iš </w:t>
      </w:r>
      <w:r w:rsidRPr="007928C8">
        <w:rPr>
          <w:i/>
          <w:sz w:val="26"/>
          <w:szCs w:val="26"/>
        </w:rPr>
        <w:t>International Journal of Auditing</w:t>
      </w:r>
      <w:r w:rsidR="00561A56" w:rsidRPr="007928C8">
        <w:rPr>
          <w:i/>
          <w:sz w:val="26"/>
          <w:szCs w:val="26"/>
          <w:lang w:val="lt-LT"/>
        </w:rPr>
        <w:t xml:space="preserve"> </w:t>
      </w:r>
      <w:r w:rsidR="00561A56" w:rsidRPr="007928C8">
        <w:rPr>
          <w:sz w:val="26"/>
          <w:szCs w:val="26"/>
          <w:lang w:val="lt-LT"/>
        </w:rPr>
        <w:t>[interaktyvus]</w:t>
      </w:r>
      <w:r w:rsidRPr="007928C8">
        <w:rPr>
          <w:sz w:val="26"/>
          <w:szCs w:val="26"/>
          <w:lang w:val="lt-LT"/>
        </w:rPr>
        <w:t>.</w:t>
      </w:r>
      <w:r w:rsidR="00C804A7" w:rsidRPr="007928C8">
        <w:rPr>
          <w:sz w:val="26"/>
          <w:szCs w:val="26"/>
          <w:lang w:val="lt-LT"/>
        </w:rPr>
        <w:t xml:space="preserve"> </w:t>
      </w:r>
      <w:r w:rsidR="00D97B45" w:rsidRPr="007928C8">
        <w:rPr>
          <w:sz w:val="26"/>
          <w:szCs w:val="26"/>
          <w:lang w:val="lt-LT"/>
        </w:rPr>
        <w:t>N</w:t>
      </w:r>
      <w:r w:rsidR="00C804A7" w:rsidRPr="007928C8">
        <w:rPr>
          <w:sz w:val="26"/>
          <w:szCs w:val="26"/>
          <w:lang w:val="lt-LT"/>
        </w:rPr>
        <w:t>o.</w:t>
      </w:r>
      <w:r w:rsidR="00561A56" w:rsidRPr="007928C8">
        <w:rPr>
          <w:sz w:val="26"/>
          <w:szCs w:val="26"/>
          <w:lang w:val="lt-LT"/>
        </w:rPr>
        <w:t xml:space="preserve"> </w:t>
      </w:r>
      <w:r w:rsidR="00C804A7" w:rsidRPr="007928C8">
        <w:rPr>
          <w:sz w:val="26"/>
          <w:szCs w:val="26"/>
          <w:lang w:val="lt-LT"/>
        </w:rPr>
        <w:t>8</w:t>
      </w:r>
      <w:r w:rsidR="00561A56" w:rsidRPr="007928C8">
        <w:rPr>
          <w:sz w:val="26"/>
          <w:szCs w:val="26"/>
          <w:lang w:val="lt-LT"/>
        </w:rPr>
        <w:t xml:space="preserve"> [žiūrėta 200</w:t>
      </w:r>
      <w:r w:rsidR="00F826E3" w:rsidRPr="007928C8">
        <w:rPr>
          <w:sz w:val="26"/>
          <w:szCs w:val="26"/>
          <w:lang w:val="lt-LT"/>
        </w:rPr>
        <w:t>6 m. lapkričio 24 d.],</w:t>
      </w:r>
      <w:r w:rsidRPr="007928C8">
        <w:rPr>
          <w:sz w:val="26"/>
          <w:szCs w:val="26"/>
          <w:lang w:val="lt-LT"/>
        </w:rPr>
        <w:t xml:space="preserve"> p.</w:t>
      </w:r>
      <w:r w:rsidR="00F826E3" w:rsidRPr="007928C8">
        <w:rPr>
          <w:sz w:val="26"/>
          <w:szCs w:val="26"/>
          <w:lang w:val="lt-LT"/>
        </w:rPr>
        <w:t xml:space="preserve"> </w:t>
      </w:r>
      <w:r w:rsidRPr="007928C8">
        <w:rPr>
          <w:sz w:val="26"/>
          <w:szCs w:val="26"/>
          <w:lang w:val="lt-LT"/>
        </w:rPr>
        <w:t>185</w:t>
      </w:r>
      <w:r w:rsidR="00F826E3" w:rsidRPr="007928C8">
        <w:rPr>
          <w:sz w:val="26"/>
          <w:szCs w:val="26"/>
          <w:lang w:val="lt-LT"/>
        </w:rPr>
        <w:t xml:space="preserve"> – </w:t>
      </w:r>
      <w:r w:rsidRPr="007928C8">
        <w:rPr>
          <w:sz w:val="26"/>
          <w:szCs w:val="26"/>
          <w:lang w:val="lt-LT"/>
        </w:rPr>
        <w:t>194.</w:t>
      </w:r>
      <w:r w:rsidR="00F826E3" w:rsidRPr="007928C8">
        <w:rPr>
          <w:sz w:val="26"/>
          <w:szCs w:val="26"/>
          <w:lang w:val="lt-LT"/>
        </w:rPr>
        <w:t xml:space="preserve"> </w:t>
      </w:r>
      <w:r w:rsidR="00C73201" w:rsidRPr="007928C8">
        <w:rPr>
          <w:color w:val="000000"/>
          <w:sz w:val="26"/>
          <w:szCs w:val="26"/>
          <w:lang w:val="lt-LT"/>
        </w:rPr>
        <w:t>Prieiga per internetą: &lt;http://web.ebscohost.com/bsi/pdf&gt; .</w:t>
      </w:r>
    </w:p>
    <w:p w:rsidR="00372BFF" w:rsidRPr="007928C8" w:rsidRDefault="00AF4553" w:rsidP="000406FA">
      <w:pPr>
        <w:numPr>
          <w:ilvl w:val="0"/>
          <w:numId w:val="4"/>
        </w:numPr>
        <w:tabs>
          <w:tab w:val="clear" w:pos="720"/>
          <w:tab w:val="num" w:pos="360"/>
          <w:tab w:val="left" w:pos="567"/>
          <w:tab w:val="left" w:pos="709"/>
        </w:tabs>
        <w:spacing w:before="120"/>
        <w:ind w:left="567" w:hanging="567"/>
        <w:jc w:val="both"/>
        <w:rPr>
          <w:sz w:val="26"/>
          <w:szCs w:val="26"/>
        </w:rPr>
      </w:pPr>
      <w:r>
        <w:rPr>
          <w:sz w:val="26"/>
          <w:szCs w:val="26"/>
          <w:lang w:val="lt-LT"/>
        </w:rPr>
        <w:t xml:space="preserve">   </w:t>
      </w:r>
      <w:r w:rsidR="00372BFF" w:rsidRPr="007928C8">
        <w:rPr>
          <w:sz w:val="26"/>
          <w:szCs w:val="26"/>
          <w:lang w:val="lt-LT"/>
        </w:rPr>
        <w:t>BHATTACHARJEE, S</w:t>
      </w:r>
      <w:r w:rsidR="00C21435" w:rsidRPr="007928C8">
        <w:rPr>
          <w:sz w:val="26"/>
          <w:szCs w:val="26"/>
          <w:lang w:val="lt-LT"/>
        </w:rPr>
        <w:t>udip</w:t>
      </w:r>
      <w:r w:rsidR="00B228C3" w:rsidRPr="007928C8">
        <w:rPr>
          <w:sz w:val="26"/>
          <w:szCs w:val="26"/>
          <w:lang w:val="lt-LT"/>
        </w:rPr>
        <w:t>;</w:t>
      </w:r>
      <w:r w:rsidR="00C21435" w:rsidRPr="007928C8">
        <w:rPr>
          <w:sz w:val="26"/>
          <w:szCs w:val="26"/>
          <w:lang w:val="lt-LT"/>
        </w:rPr>
        <w:t xml:space="preserve"> MORENO, Kimberly. (2002) </w:t>
      </w:r>
      <w:r w:rsidR="00C21435" w:rsidRPr="007928C8">
        <w:rPr>
          <w:sz w:val="26"/>
          <w:szCs w:val="26"/>
        </w:rPr>
        <w:t>The impact of affective information on the professional judgments of more experienced and less experienced auditors</w:t>
      </w:r>
      <w:r w:rsidR="00372BFF" w:rsidRPr="007928C8">
        <w:rPr>
          <w:sz w:val="26"/>
          <w:szCs w:val="26"/>
          <w:lang w:val="lt-LT"/>
        </w:rPr>
        <w:t>.</w:t>
      </w:r>
      <w:r w:rsidR="00C21435" w:rsidRPr="007928C8">
        <w:rPr>
          <w:sz w:val="26"/>
          <w:szCs w:val="26"/>
          <w:lang w:val="lt-LT"/>
        </w:rPr>
        <w:t xml:space="preserve"> </w:t>
      </w:r>
      <w:r w:rsidR="00887A68" w:rsidRPr="007928C8">
        <w:rPr>
          <w:sz w:val="26"/>
          <w:szCs w:val="26"/>
          <w:lang w:val="lt-LT"/>
        </w:rPr>
        <w:t xml:space="preserve">Iš </w:t>
      </w:r>
      <w:r w:rsidR="00C21435" w:rsidRPr="007928C8">
        <w:rPr>
          <w:i/>
          <w:sz w:val="26"/>
          <w:szCs w:val="26"/>
        </w:rPr>
        <w:t>Journal of Behavioral Decision Making</w:t>
      </w:r>
      <w:r w:rsidR="00887A68" w:rsidRPr="007928C8">
        <w:rPr>
          <w:sz w:val="26"/>
          <w:szCs w:val="26"/>
        </w:rPr>
        <w:t xml:space="preserve"> [interaktyvus]</w:t>
      </w:r>
      <w:r w:rsidR="00C804A7" w:rsidRPr="007928C8">
        <w:rPr>
          <w:sz w:val="26"/>
          <w:szCs w:val="26"/>
        </w:rPr>
        <w:t xml:space="preserve">. </w:t>
      </w:r>
      <w:r w:rsidR="00D97B45" w:rsidRPr="007928C8">
        <w:rPr>
          <w:sz w:val="26"/>
          <w:szCs w:val="26"/>
        </w:rPr>
        <w:t>N</w:t>
      </w:r>
      <w:r w:rsidR="00C804A7" w:rsidRPr="007928C8">
        <w:rPr>
          <w:sz w:val="26"/>
          <w:szCs w:val="26"/>
        </w:rPr>
        <w:t>o.</w:t>
      </w:r>
      <w:r w:rsidR="00561A56" w:rsidRPr="007928C8">
        <w:rPr>
          <w:sz w:val="26"/>
          <w:szCs w:val="26"/>
        </w:rPr>
        <w:t xml:space="preserve"> </w:t>
      </w:r>
      <w:r w:rsidR="00C804A7" w:rsidRPr="007928C8">
        <w:rPr>
          <w:sz w:val="26"/>
          <w:szCs w:val="26"/>
        </w:rPr>
        <w:t>15</w:t>
      </w:r>
      <w:r w:rsidR="00887A68" w:rsidRPr="007928C8">
        <w:rPr>
          <w:sz w:val="26"/>
          <w:szCs w:val="26"/>
        </w:rPr>
        <w:t xml:space="preserve"> [žiūrėta 2006 m. </w:t>
      </w:r>
      <w:r w:rsidR="00887A68" w:rsidRPr="007928C8">
        <w:rPr>
          <w:sz w:val="26"/>
          <w:szCs w:val="26"/>
          <w:lang w:val="lt-LT"/>
        </w:rPr>
        <w:t>gruodžio</w:t>
      </w:r>
      <w:r w:rsidR="00887A68" w:rsidRPr="007928C8">
        <w:rPr>
          <w:sz w:val="26"/>
          <w:szCs w:val="26"/>
        </w:rPr>
        <w:t xml:space="preserve"> 15 d.],</w:t>
      </w:r>
      <w:r w:rsidR="00C804A7" w:rsidRPr="007928C8">
        <w:rPr>
          <w:sz w:val="26"/>
          <w:szCs w:val="26"/>
        </w:rPr>
        <w:t xml:space="preserve"> p. 361</w:t>
      </w:r>
      <w:r w:rsidR="00F826E3" w:rsidRPr="007928C8">
        <w:rPr>
          <w:sz w:val="26"/>
          <w:szCs w:val="26"/>
        </w:rPr>
        <w:t xml:space="preserve"> – </w:t>
      </w:r>
      <w:r w:rsidR="00C804A7" w:rsidRPr="007928C8">
        <w:rPr>
          <w:sz w:val="26"/>
          <w:szCs w:val="26"/>
        </w:rPr>
        <w:t>377.</w:t>
      </w:r>
      <w:r w:rsidR="00887A68" w:rsidRPr="007928C8">
        <w:rPr>
          <w:sz w:val="26"/>
          <w:szCs w:val="26"/>
        </w:rPr>
        <w:t xml:space="preserve"> </w:t>
      </w:r>
      <w:r w:rsidR="00DC5615" w:rsidRPr="007928C8">
        <w:rPr>
          <w:sz w:val="26"/>
          <w:szCs w:val="26"/>
        </w:rPr>
        <w:t>Prieiga</w:t>
      </w:r>
      <w:r w:rsidR="00887A68" w:rsidRPr="007928C8">
        <w:rPr>
          <w:sz w:val="26"/>
          <w:szCs w:val="26"/>
        </w:rPr>
        <w:t xml:space="preserve"> per internetą</w:t>
      </w:r>
      <w:r w:rsidR="00DD2069" w:rsidRPr="007928C8">
        <w:rPr>
          <w:sz w:val="26"/>
          <w:szCs w:val="26"/>
        </w:rPr>
        <w:t>: http://www.interscience.wiley.com .</w:t>
      </w:r>
    </w:p>
    <w:p w:rsidR="00A73392" w:rsidRPr="007928C8" w:rsidRDefault="00A73392" w:rsidP="000406FA">
      <w:pPr>
        <w:numPr>
          <w:ilvl w:val="0"/>
          <w:numId w:val="4"/>
        </w:numPr>
        <w:tabs>
          <w:tab w:val="clear" w:pos="720"/>
          <w:tab w:val="left" w:pos="567"/>
          <w:tab w:val="left" w:pos="709"/>
        </w:tabs>
        <w:spacing w:before="120"/>
        <w:ind w:left="567" w:hanging="567"/>
        <w:jc w:val="both"/>
        <w:rPr>
          <w:sz w:val="26"/>
          <w:szCs w:val="26"/>
          <w:lang w:val="lt-LT"/>
        </w:rPr>
      </w:pPr>
      <w:r w:rsidRPr="007928C8">
        <w:rPr>
          <w:i/>
          <w:sz w:val="26"/>
          <w:szCs w:val="26"/>
          <w:lang w:val="lt-LT"/>
        </w:rPr>
        <w:t>Buhalterių profesionalų etikos kodeksas.</w:t>
      </w:r>
      <w:r w:rsidRPr="007928C8">
        <w:rPr>
          <w:sz w:val="26"/>
          <w:szCs w:val="26"/>
          <w:lang w:val="lt-LT"/>
        </w:rPr>
        <w:t xml:space="preserve"> Tarptautiniai audito standartai. (2005) Vilnius: Lietuvos auditorių rūmai, 614 p. ISBN 9986-795-34-6.</w:t>
      </w:r>
    </w:p>
    <w:p w:rsidR="00AF78F7" w:rsidRPr="007928C8" w:rsidRDefault="00AF78F7" w:rsidP="000406FA">
      <w:pPr>
        <w:numPr>
          <w:ilvl w:val="0"/>
          <w:numId w:val="4"/>
        </w:numPr>
        <w:tabs>
          <w:tab w:val="clear" w:pos="720"/>
          <w:tab w:val="left" w:pos="567"/>
          <w:tab w:val="left" w:pos="709"/>
        </w:tabs>
        <w:spacing w:before="120"/>
        <w:ind w:left="567" w:hanging="567"/>
        <w:jc w:val="both"/>
        <w:rPr>
          <w:sz w:val="26"/>
          <w:szCs w:val="26"/>
          <w:lang w:val="lt-LT"/>
        </w:rPr>
      </w:pPr>
      <w:r w:rsidRPr="007928C8">
        <w:rPr>
          <w:i/>
          <w:sz w:val="26"/>
          <w:szCs w:val="26"/>
          <w:lang w:val="lt-LT"/>
        </w:rPr>
        <w:t>Buhalterių profesionalų etikos kodeksas.</w:t>
      </w:r>
      <w:r w:rsidRPr="007928C8">
        <w:rPr>
          <w:sz w:val="26"/>
          <w:szCs w:val="26"/>
          <w:lang w:val="lt-LT"/>
        </w:rPr>
        <w:t xml:space="preserve"> (2006) Vilnius: Lietuvos auditorių rūmai, 110 p. I</w:t>
      </w:r>
      <w:r w:rsidR="00796790" w:rsidRPr="007928C8">
        <w:rPr>
          <w:sz w:val="26"/>
          <w:szCs w:val="26"/>
          <w:lang w:val="lt-LT"/>
        </w:rPr>
        <w:t>SBN 9955-9841-1-2.</w:t>
      </w:r>
    </w:p>
    <w:p w:rsidR="00534FEB" w:rsidRPr="007928C8" w:rsidRDefault="008124B4"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sz w:val="26"/>
          <w:szCs w:val="26"/>
        </w:rPr>
        <w:t>Carmichael</w:t>
      </w:r>
      <w:r w:rsidRPr="007928C8">
        <w:rPr>
          <w:sz w:val="26"/>
          <w:szCs w:val="26"/>
        </w:rPr>
        <w:t xml:space="preserve">, Douglas R. (1988) </w:t>
      </w:r>
      <w:r w:rsidRPr="007928C8">
        <w:rPr>
          <w:i/>
          <w:sz w:val="26"/>
          <w:szCs w:val="26"/>
        </w:rPr>
        <w:t>The auditor’s new guide to errors, irregularities and illegal acts</w:t>
      </w:r>
      <w:r w:rsidRPr="007928C8">
        <w:rPr>
          <w:sz w:val="26"/>
          <w:szCs w:val="26"/>
        </w:rPr>
        <w:t xml:space="preserve">. </w:t>
      </w:r>
      <w:r w:rsidR="004256E8" w:rsidRPr="007928C8">
        <w:rPr>
          <w:sz w:val="26"/>
          <w:szCs w:val="26"/>
        </w:rPr>
        <w:t xml:space="preserve">Journal of </w:t>
      </w:r>
      <w:r w:rsidRPr="007928C8">
        <w:rPr>
          <w:sz w:val="26"/>
          <w:szCs w:val="26"/>
        </w:rPr>
        <w:t>Account</w:t>
      </w:r>
      <w:r w:rsidR="004256E8" w:rsidRPr="007928C8">
        <w:rPr>
          <w:sz w:val="26"/>
          <w:szCs w:val="26"/>
        </w:rPr>
        <w:t>ancy</w:t>
      </w:r>
      <w:r w:rsidRPr="007928C8">
        <w:rPr>
          <w:sz w:val="26"/>
          <w:szCs w:val="26"/>
        </w:rPr>
        <w:t xml:space="preserve">. September, </w:t>
      </w:r>
      <w:r w:rsidR="00534FEB" w:rsidRPr="007928C8">
        <w:rPr>
          <w:sz w:val="26"/>
          <w:szCs w:val="26"/>
        </w:rPr>
        <w:t>vol. 166, issue 3, [</w:t>
      </w:r>
      <w:r w:rsidR="00534FEB" w:rsidRPr="007928C8">
        <w:rPr>
          <w:sz w:val="26"/>
          <w:szCs w:val="26"/>
          <w:lang w:val="lt-LT"/>
        </w:rPr>
        <w:t xml:space="preserve">žiūrėta 2006 m. lapkričio 24 d.], </w:t>
      </w:r>
      <w:r w:rsidRPr="007928C8">
        <w:rPr>
          <w:sz w:val="26"/>
          <w:szCs w:val="26"/>
        </w:rPr>
        <w:t>p.</w:t>
      </w:r>
      <w:r w:rsidR="004256E8" w:rsidRPr="007928C8">
        <w:rPr>
          <w:sz w:val="26"/>
          <w:szCs w:val="26"/>
        </w:rPr>
        <w:t xml:space="preserve"> 40</w:t>
      </w:r>
      <w:r w:rsidR="00F826E3" w:rsidRPr="007928C8">
        <w:rPr>
          <w:sz w:val="26"/>
          <w:szCs w:val="26"/>
        </w:rPr>
        <w:t xml:space="preserve"> – </w:t>
      </w:r>
      <w:r w:rsidR="004256E8" w:rsidRPr="007928C8">
        <w:rPr>
          <w:sz w:val="26"/>
          <w:szCs w:val="26"/>
        </w:rPr>
        <w:t>48</w:t>
      </w:r>
      <w:r w:rsidRPr="007928C8">
        <w:rPr>
          <w:sz w:val="26"/>
          <w:szCs w:val="26"/>
        </w:rPr>
        <w:t>.</w:t>
      </w:r>
      <w:r w:rsidR="00F826E3" w:rsidRPr="007928C8">
        <w:rPr>
          <w:sz w:val="26"/>
          <w:szCs w:val="26"/>
        </w:rPr>
        <w:t xml:space="preserve"> </w:t>
      </w:r>
      <w:r w:rsidR="00534FEB" w:rsidRPr="007928C8">
        <w:rPr>
          <w:color w:val="000000"/>
          <w:sz w:val="26"/>
          <w:szCs w:val="26"/>
          <w:lang w:val="lt-LT"/>
        </w:rPr>
        <w:t>Prieiga per internetą: &lt;http://web.ebscohost.com/bsi/pdf&gt; .</w:t>
      </w:r>
    </w:p>
    <w:p w:rsidR="006C7DAE" w:rsidRPr="007928C8" w:rsidRDefault="002A74AC" w:rsidP="000406FA">
      <w:pPr>
        <w:numPr>
          <w:ilvl w:val="0"/>
          <w:numId w:val="4"/>
        </w:numPr>
        <w:tabs>
          <w:tab w:val="clear" w:pos="720"/>
          <w:tab w:val="left" w:pos="540"/>
          <w:tab w:val="left" w:pos="567"/>
          <w:tab w:val="left" w:pos="709"/>
        </w:tabs>
        <w:spacing w:before="120"/>
        <w:ind w:left="567" w:hanging="567"/>
        <w:jc w:val="both"/>
        <w:rPr>
          <w:sz w:val="26"/>
          <w:szCs w:val="26"/>
        </w:rPr>
      </w:pPr>
      <w:r w:rsidRPr="007928C8">
        <w:rPr>
          <w:caps/>
          <w:sz w:val="26"/>
          <w:szCs w:val="26"/>
        </w:rPr>
        <w:t>Carmichael</w:t>
      </w:r>
      <w:r w:rsidRPr="007928C8">
        <w:rPr>
          <w:sz w:val="26"/>
          <w:szCs w:val="26"/>
        </w:rPr>
        <w:t xml:space="preserve">, Douglas R. (2006a) Increase your audit „vocabulary“ with new risk standards. </w:t>
      </w:r>
      <w:r w:rsidR="00224566" w:rsidRPr="007928C8">
        <w:rPr>
          <w:sz w:val="26"/>
          <w:szCs w:val="26"/>
        </w:rPr>
        <w:t xml:space="preserve">Iš </w:t>
      </w:r>
      <w:r w:rsidRPr="007928C8">
        <w:rPr>
          <w:i/>
          <w:sz w:val="26"/>
          <w:szCs w:val="26"/>
        </w:rPr>
        <w:t>Accounting today</w:t>
      </w:r>
      <w:r w:rsidR="00224566" w:rsidRPr="007928C8">
        <w:rPr>
          <w:sz w:val="26"/>
          <w:szCs w:val="26"/>
        </w:rPr>
        <w:t xml:space="preserve"> [interaktyvus]</w:t>
      </w:r>
      <w:r w:rsidRPr="007928C8">
        <w:rPr>
          <w:sz w:val="26"/>
          <w:szCs w:val="26"/>
        </w:rPr>
        <w:t>. September 4-17</w:t>
      </w:r>
      <w:r w:rsidR="00534FEB" w:rsidRPr="007928C8">
        <w:rPr>
          <w:sz w:val="26"/>
          <w:szCs w:val="26"/>
        </w:rPr>
        <w:t xml:space="preserve">, vol. 20, issue 16, </w:t>
      </w:r>
      <w:r w:rsidR="007A04FA" w:rsidRPr="007928C8">
        <w:rPr>
          <w:sz w:val="26"/>
          <w:szCs w:val="26"/>
        </w:rPr>
        <w:t xml:space="preserve">[žiūrėta 2006 </w:t>
      </w:r>
      <w:r w:rsidR="00561A56" w:rsidRPr="007928C8">
        <w:rPr>
          <w:sz w:val="26"/>
          <w:szCs w:val="26"/>
        </w:rPr>
        <w:t xml:space="preserve">m. </w:t>
      </w:r>
      <w:r w:rsidR="007E67F7" w:rsidRPr="007928C8">
        <w:rPr>
          <w:sz w:val="26"/>
          <w:szCs w:val="26"/>
          <w:lang w:val="lt-LT"/>
        </w:rPr>
        <w:t>lapkričio</w:t>
      </w:r>
      <w:r w:rsidR="007A04FA" w:rsidRPr="007928C8">
        <w:rPr>
          <w:sz w:val="26"/>
          <w:szCs w:val="26"/>
        </w:rPr>
        <w:t xml:space="preserve"> 2</w:t>
      </w:r>
      <w:r w:rsidR="007E67F7" w:rsidRPr="007928C8">
        <w:rPr>
          <w:sz w:val="26"/>
          <w:szCs w:val="26"/>
        </w:rPr>
        <w:t>4</w:t>
      </w:r>
      <w:r w:rsidR="007A04FA" w:rsidRPr="007928C8">
        <w:rPr>
          <w:sz w:val="26"/>
          <w:szCs w:val="26"/>
        </w:rPr>
        <w:t xml:space="preserve"> d.], </w:t>
      </w:r>
      <w:r w:rsidRPr="007928C8">
        <w:rPr>
          <w:sz w:val="26"/>
          <w:szCs w:val="26"/>
        </w:rPr>
        <w:t xml:space="preserve">p. 36. </w:t>
      </w:r>
      <w:r w:rsidR="00534FEB" w:rsidRPr="007928C8">
        <w:rPr>
          <w:sz w:val="26"/>
          <w:szCs w:val="26"/>
          <w:lang w:val="lt-LT"/>
        </w:rPr>
        <w:t>Prieiga per internetą: &lt;http://web.ebscohost.com/bsi/pdf&gt; .</w:t>
      </w:r>
    </w:p>
    <w:p w:rsidR="006C7DAE" w:rsidRPr="007928C8" w:rsidRDefault="00AE271C" w:rsidP="000406FA">
      <w:pPr>
        <w:numPr>
          <w:ilvl w:val="0"/>
          <w:numId w:val="4"/>
        </w:numPr>
        <w:tabs>
          <w:tab w:val="clear" w:pos="720"/>
          <w:tab w:val="left" w:pos="567"/>
          <w:tab w:val="left" w:pos="709"/>
        </w:tabs>
        <w:spacing w:before="120"/>
        <w:ind w:left="567" w:hanging="567"/>
        <w:jc w:val="both"/>
        <w:rPr>
          <w:sz w:val="26"/>
          <w:szCs w:val="26"/>
        </w:rPr>
      </w:pPr>
      <w:r w:rsidRPr="007928C8">
        <w:rPr>
          <w:caps/>
          <w:sz w:val="26"/>
          <w:szCs w:val="26"/>
        </w:rPr>
        <w:t>Carmichael</w:t>
      </w:r>
      <w:r w:rsidRPr="007928C8">
        <w:rPr>
          <w:sz w:val="26"/>
          <w:szCs w:val="26"/>
        </w:rPr>
        <w:t xml:space="preserve">, Douglas R. (2006b) How new risk standards differ from past practice. </w:t>
      </w:r>
      <w:r w:rsidR="007E67F7" w:rsidRPr="007928C8">
        <w:rPr>
          <w:sz w:val="26"/>
          <w:szCs w:val="26"/>
        </w:rPr>
        <w:t xml:space="preserve">Iš </w:t>
      </w:r>
      <w:r w:rsidRPr="007928C8">
        <w:rPr>
          <w:i/>
          <w:sz w:val="26"/>
          <w:szCs w:val="26"/>
        </w:rPr>
        <w:t>Accounting today</w:t>
      </w:r>
      <w:r w:rsidR="00293700" w:rsidRPr="007928C8">
        <w:rPr>
          <w:i/>
          <w:sz w:val="26"/>
          <w:szCs w:val="26"/>
        </w:rPr>
        <w:t xml:space="preserve"> </w:t>
      </w:r>
      <w:r w:rsidR="00293700" w:rsidRPr="007928C8">
        <w:rPr>
          <w:sz w:val="26"/>
          <w:szCs w:val="26"/>
        </w:rPr>
        <w:t>[interaktyvus]</w:t>
      </w:r>
      <w:r w:rsidRPr="007928C8">
        <w:rPr>
          <w:sz w:val="26"/>
          <w:szCs w:val="26"/>
        </w:rPr>
        <w:t>. September 18</w:t>
      </w:r>
      <w:r w:rsidR="007E67F7" w:rsidRPr="007928C8">
        <w:rPr>
          <w:sz w:val="26"/>
          <w:szCs w:val="26"/>
        </w:rPr>
        <w:t xml:space="preserve"> –</w:t>
      </w:r>
      <w:r w:rsidRPr="007928C8">
        <w:rPr>
          <w:sz w:val="26"/>
          <w:szCs w:val="26"/>
        </w:rPr>
        <w:t xml:space="preserve"> October 1</w:t>
      </w:r>
      <w:r w:rsidR="00293700" w:rsidRPr="007928C8">
        <w:rPr>
          <w:sz w:val="26"/>
          <w:szCs w:val="26"/>
        </w:rPr>
        <w:t xml:space="preserve"> [žiūrėta 2006 </w:t>
      </w:r>
      <w:r w:rsidR="00561A56" w:rsidRPr="007928C8">
        <w:rPr>
          <w:sz w:val="26"/>
          <w:szCs w:val="26"/>
        </w:rPr>
        <w:t xml:space="preserve">m. </w:t>
      </w:r>
      <w:r w:rsidR="00293700" w:rsidRPr="007928C8">
        <w:rPr>
          <w:sz w:val="26"/>
          <w:szCs w:val="26"/>
        </w:rPr>
        <w:t>lapkričio 24 d.]</w:t>
      </w:r>
      <w:r w:rsidRPr="007928C8">
        <w:rPr>
          <w:sz w:val="26"/>
          <w:szCs w:val="26"/>
        </w:rPr>
        <w:t>, p.</w:t>
      </w:r>
      <w:r w:rsidR="000D05D6" w:rsidRPr="007928C8">
        <w:rPr>
          <w:sz w:val="26"/>
          <w:szCs w:val="26"/>
        </w:rPr>
        <w:t xml:space="preserve"> </w:t>
      </w:r>
      <w:r w:rsidRPr="007928C8">
        <w:rPr>
          <w:sz w:val="26"/>
          <w:szCs w:val="26"/>
        </w:rPr>
        <w:t xml:space="preserve">14-15, 33. </w:t>
      </w:r>
      <w:r w:rsidR="00534FEB" w:rsidRPr="007928C8">
        <w:rPr>
          <w:sz w:val="26"/>
          <w:szCs w:val="26"/>
          <w:lang w:val="lt-LT"/>
        </w:rPr>
        <w:t>Prieiga per internetą: &lt;http://web.ebscohost.com/bsi/pdf&gt; .</w:t>
      </w:r>
    </w:p>
    <w:p w:rsidR="00B50CF2" w:rsidRPr="00B50CF2" w:rsidRDefault="006C7DAE"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rPr>
        <w:t>The Canadian In</w:t>
      </w:r>
      <w:r w:rsidR="00B115C0" w:rsidRPr="007928C8">
        <w:rPr>
          <w:sz w:val="26"/>
          <w:szCs w:val="26"/>
        </w:rPr>
        <w:t>s</w:t>
      </w:r>
      <w:r w:rsidRPr="007928C8">
        <w:rPr>
          <w:sz w:val="26"/>
          <w:szCs w:val="26"/>
        </w:rPr>
        <w:t xml:space="preserve">titute of Chartered Accountants (2007). Frequently Asked Questions: Audit Risk for Small Entities </w:t>
      </w:r>
      <w:r w:rsidRPr="007928C8">
        <w:rPr>
          <w:sz w:val="26"/>
          <w:szCs w:val="26"/>
          <w:lang w:val="lt-LT"/>
        </w:rPr>
        <w:t>(</w:t>
      </w:r>
      <w:r w:rsidRPr="007928C8">
        <w:rPr>
          <w:sz w:val="26"/>
          <w:szCs w:val="26"/>
        </w:rPr>
        <w:t>2007)</w:t>
      </w:r>
      <w:r w:rsidRPr="007928C8">
        <w:rPr>
          <w:sz w:val="26"/>
          <w:szCs w:val="26"/>
          <w:lang w:val="lt-LT"/>
        </w:rPr>
        <w:t xml:space="preserve">. Iš </w:t>
      </w:r>
      <w:r w:rsidRPr="007928C8">
        <w:rPr>
          <w:i/>
          <w:sz w:val="26"/>
          <w:szCs w:val="26"/>
        </w:rPr>
        <w:t>Focus</w:t>
      </w:r>
      <w:r w:rsidRPr="007928C8">
        <w:rPr>
          <w:i/>
          <w:sz w:val="26"/>
          <w:szCs w:val="26"/>
          <w:lang w:val="lt-LT"/>
        </w:rPr>
        <w:t xml:space="preserve"> on PEM </w:t>
      </w:r>
      <w:r w:rsidRPr="007928C8">
        <w:rPr>
          <w:sz w:val="26"/>
          <w:szCs w:val="26"/>
          <w:lang w:val="lt-LT"/>
        </w:rPr>
        <w:t>[interaktyvus]</w:t>
      </w:r>
      <w:r w:rsidR="00400246" w:rsidRPr="007928C8">
        <w:rPr>
          <w:sz w:val="26"/>
          <w:szCs w:val="26"/>
          <w:lang w:val="lt-LT"/>
        </w:rPr>
        <w:t>.</w:t>
      </w:r>
      <w:r w:rsidRPr="007928C8">
        <w:rPr>
          <w:i/>
          <w:sz w:val="26"/>
          <w:szCs w:val="26"/>
          <w:lang w:val="lt-LT"/>
        </w:rPr>
        <w:t xml:space="preserve"> </w:t>
      </w:r>
      <w:r w:rsidRPr="007928C8">
        <w:rPr>
          <w:sz w:val="26"/>
          <w:szCs w:val="26"/>
          <w:lang w:val="lt-LT"/>
        </w:rPr>
        <w:t xml:space="preserve">Vol. </w:t>
      </w:r>
      <w:r w:rsidRPr="007928C8">
        <w:rPr>
          <w:sz w:val="26"/>
          <w:szCs w:val="26"/>
        </w:rPr>
        <w:t>2, Issue 1, April</w:t>
      </w:r>
      <w:r w:rsidR="00400246" w:rsidRPr="007928C8">
        <w:rPr>
          <w:sz w:val="26"/>
          <w:szCs w:val="26"/>
        </w:rPr>
        <w:t xml:space="preserve"> </w:t>
      </w:r>
      <w:r w:rsidR="00400246" w:rsidRPr="007928C8">
        <w:rPr>
          <w:sz w:val="26"/>
          <w:szCs w:val="26"/>
          <w:lang w:val="en-GB"/>
        </w:rPr>
        <w:t xml:space="preserve">[žiūrėta 2008 m. </w:t>
      </w:r>
      <w:r w:rsidR="00400246" w:rsidRPr="007928C8">
        <w:rPr>
          <w:sz w:val="26"/>
          <w:szCs w:val="26"/>
          <w:lang w:val="lt-LT"/>
        </w:rPr>
        <w:t>vasario</w:t>
      </w:r>
      <w:r w:rsidR="00400246" w:rsidRPr="007928C8">
        <w:rPr>
          <w:sz w:val="26"/>
          <w:szCs w:val="26"/>
          <w:lang w:val="en-GB"/>
        </w:rPr>
        <w:t xml:space="preserve"> 6 d.]</w:t>
      </w:r>
      <w:r w:rsidR="00B50CF2">
        <w:rPr>
          <w:sz w:val="26"/>
          <w:szCs w:val="26"/>
        </w:rPr>
        <w:t xml:space="preserve">. Prieiga per internetą: </w:t>
      </w:r>
      <w:r w:rsidRPr="007928C8">
        <w:rPr>
          <w:sz w:val="26"/>
          <w:szCs w:val="26"/>
        </w:rPr>
        <w:t>&lt;http://www.knotia.ca/kStore/ProductInfo</w:t>
      </w:r>
      <w:r w:rsidRPr="00B50CF2">
        <w:rPr>
          <w:sz w:val="26"/>
          <w:szCs w:val="26"/>
        </w:rPr>
        <w:t>/PEM/</w:t>
      </w:r>
    </w:p>
    <w:p w:rsidR="006C7DAE" w:rsidRPr="00B50CF2" w:rsidRDefault="006C7DAE" w:rsidP="000406FA">
      <w:pPr>
        <w:tabs>
          <w:tab w:val="left" w:pos="540"/>
          <w:tab w:val="left" w:pos="567"/>
        </w:tabs>
        <w:spacing w:before="120"/>
        <w:ind w:left="567"/>
        <w:jc w:val="both"/>
        <w:rPr>
          <w:rStyle w:val="terms"/>
          <w:sz w:val="26"/>
          <w:szCs w:val="26"/>
          <w:lang w:val="lt-LT"/>
        </w:rPr>
      </w:pPr>
      <w:r w:rsidRPr="00B50CF2">
        <w:rPr>
          <w:sz w:val="26"/>
          <w:szCs w:val="26"/>
        </w:rPr>
        <w:t xml:space="preserve">PDFs/FocusOnPEM/FocusOnPEM_Vol2Iss1.pdf&gt; . </w:t>
      </w:r>
    </w:p>
    <w:p w:rsidR="00B77DD0" w:rsidRPr="007928C8" w:rsidRDefault="008B0A0A"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rStyle w:val="terms"/>
          <w:sz w:val="26"/>
          <w:szCs w:val="26"/>
          <w:lang w:val="en-GB"/>
        </w:rPr>
        <w:t>CED</w:t>
      </w:r>
      <w:r w:rsidR="00BE75B5" w:rsidRPr="007928C8">
        <w:rPr>
          <w:rStyle w:val="terms"/>
          <w:sz w:val="26"/>
          <w:szCs w:val="26"/>
          <w:lang w:val="en-GB"/>
        </w:rPr>
        <w:t>E</w:t>
      </w:r>
      <w:r w:rsidRPr="007928C8">
        <w:rPr>
          <w:rStyle w:val="terms"/>
          <w:sz w:val="26"/>
          <w:szCs w:val="26"/>
          <w:lang w:val="en-GB"/>
        </w:rPr>
        <w:t xml:space="preserve">RGREN, Robert. (2006) Audits: Moving from traditional to risk-based approach. Iš </w:t>
      </w:r>
      <w:r w:rsidRPr="007928C8">
        <w:rPr>
          <w:rStyle w:val="terms"/>
          <w:i/>
          <w:sz w:val="26"/>
          <w:szCs w:val="26"/>
          <w:lang w:val="en-GB"/>
        </w:rPr>
        <w:t>North Western Financial Review</w:t>
      </w:r>
      <w:r w:rsidRPr="007928C8">
        <w:rPr>
          <w:rStyle w:val="terms"/>
          <w:sz w:val="26"/>
          <w:szCs w:val="26"/>
          <w:lang w:val="en-GB"/>
        </w:rPr>
        <w:t xml:space="preserve"> [</w:t>
      </w:r>
      <w:r w:rsidRPr="007928C8">
        <w:rPr>
          <w:sz w:val="26"/>
          <w:szCs w:val="26"/>
          <w:lang w:val="en-GB"/>
        </w:rPr>
        <w:t xml:space="preserve">interaktyvus]. </w:t>
      </w:r>
      <w:r w:rsidRPr="007928C8">
        <w:rPr>
          <w:sz w:val="26"/>
          <w:szCs w:val="26"/>
          <w:lang w:val="en-GB"/>
        </w:rPr>
        <w:lastRenderedPageBreak/>
        <w:t>August 15</w:t>
      </w:r>
      <w:r w:rsidR="00B77DD0" w:rsidRPr="007928C8">
        <w:rPr>
          <w:sz w:val="26"/>
          <w:szCs w:val="26"/>
          <w:lang w:val="en-GB"/>
        </w:rPr>
        <w:t xml:space="preserve">, vol. 191, issue 16, </w:t>
      </w:r>
      <w:r w:rsidRPr="007928C8">
        <w:rPr>
          <w:sz w:val="26"/>
          <w:szCs w:val="26"/>
          <w:lang w:val="en-GB"/>
        </w:rPr>
        <w:t>[žiūrėta 2006 m.</w:t>
      </w:r>
      <w:r w:rsidRPr="007928C8">
        <w:rPr>
          <w:sz w:val="26"/>
          <w:szCs w:val="26"/>
          <w:lang w:val="lt-LT"/>
        </w:rPr>
        <w:t xml:space="preserve"> lapkričio 24 </w:t>
      </w:r>
      <w:r w:rsidRPr="007928C8">
        <w:rPr>
          <w:sz w:val="26"/>
          <w:szCs w:val="26"/>
          <w:lang w:val="en-GB"/>
        </w:rPr>
        <w:t>d.], p. 22.</w:t>
      </w:r>
      <w:r w:rsidRPr="007928C8">
        <w:rPr>
          <w:sz w:val="26"/>
          <w:szCs w:val="26"/>
        </w:rPr>
        <w:t xml:space="preserve"> </w:t>
      </w:r>
      <w:r w:rsidR="00B77DD0" w:rsidRPr="007928C8">
        <w:rPr>
          <w:color w:val="000000"/>
          <w:sz w:val="26"/>
          <w:szCs w:val="26"/>
          <w:lang w:val="lt-LT"/>
        </w:rPr>
        <w:t>Prieiga per internetą: &lt;http://web.ebscohost.com/bsi/pdf&gt; .</w:t>
      </w:r>
    </w:p>
    <w:p w:rsidR="00FC7A14" w:rsidRPr="007928C8" w:rsidRDefault="00FC7A14" w:rsidP="000406FA">
      <w:pPr>
        <w:numPr>
          <w:ilvl w:val="0"/>
          <w:numId w:val="4"/>
        </w:numPr>
        <w:tabs>
          <w:tab w:val="clear" w:pos="720"/>
          <w:tab w:val="left" w:pos="540"/>
          <w:tab w:val="left" w:pos="567"/>
          <w:tab w:val="left" w:pos="709"/>
        </w:tabs>
        <w:autoSpaceDE w:val="0"/>
        <w:autoSpaceDN w:val="0"/>
        <w:adjustRightInd w:val="0"/>
        <w:spacing w:before="120"/>
        <w:ind w:left="567" w:hanging="567"/>
        <w:jc w:val="both"/>
        <w:rPr>
          <w:sz w:val="26"/>
          <w:szCs w:val="26"/>
        </w:rPr>
      </w:pPr>
      <w:r w:rsidRPr="007928C8">
        <w:rPr>
          <w:sz w:val="26"/>
          <w:szCs w:val="26"/>
        </w:rPr>
        <w:t xml:space="preserve">CHAPMAN Robert J. (2006) </w:t>
      </w:r>
      <w:r w:rsidRPr="007928C8">
        <w:rPr>
          <w:i/>
          <w:sz w:val="26"/>
          <w:szCs w:val="26"/>
        </w:rPr>
        <w:t>Simple Tools and Techniques for Enterprise Risk Management</w:t>
      </w:r>
      <w:r w:rsidRPr="007928C8">
        <w:rPr>
          <w:sz w:val="26"/>
          <w:szCs w:val="26"/>
        </w:rPr>
        <w:t xml:space="preserve">. </w:t>
      </w:r>
      <w:r w:rsidR="00C636D8" w:rsidRPr="007928C8">
        <w:rPr>
          <w:sz w:val="26"/>
          <w:szCs w:val="26"/>
        </w:rPr>
        <w:t>John Wiley &amp; Sons, Ltd</w:t>
      </w:r>
      <w:r w:rsidRPr="007928C8">
        <w:rPr>
          <w:sz w:val="26"/>
          <w:szCs w:val="26"/>
        </w:rPr>
        <w:t>., p. 466. ISBN 0-470-01466.</w:t>
      </w:r>
    </w:p>
    <w:p w:rsidR="00EA782D" w:rsidRPr="007928C8" w:rsidRDefault="00224566" w:rsidP="000406FA">
      <w:pPr>
        <w:numPr>
          <w:ilvl w:val="0"/>
          <w:numId w:val="4"/>
        </w:numPr>
        <w:tabs>
          <w:tab w:val="clear" w:pos="720"/>
          <w:tab w:val="left" w:pos="540"/>
          <w:tab w:val="left" w:pos="567"/>
          <w:tab w:val="left" w:pos="709"/>
        </w:tabs>
        <w:autoSpaceDE w:val="0"/>
        <w:autoSpaceDN w:val="0"/>
        <w:adjustRightInd w:val="0"/>
        <w:spacing w:before="120"/>
        <w:ind w:left="567" w:hanging="567"/>
        <w:jc w:val="both"/>
        <w:rPr>
          <w:rFonts w:ascii="Georgia" w:hAnsi="Georgia" w:cs="Arial"/>
          <w:color w:val="333333"/>
          <w:kern w:val="36"/>
          <w:sz w:val="26"/>
          <w:szCs w:val="26"/>
        </w:rPr>
      </w:pPr>
      <w:r w:rsidRPr="007928C8">
        <w:rPr>
          <w:caps/>
          <w:sz w:val="26"/>
          <w:szCs w:val="26"/>
        </w:rPr>
        <w:t>Chen,</w:t>
      </w:r>
      <w:r w:rsidRPr="007928C8">
        <w:rPr>
          <w:sz w:val="26"/>
          <w:szCs w:val="26"/>
        </w:rPr>
        <w:t xml:space="preserve"> Hsueh Ju</w:t>
      </w:r>
      <w:r w:rsidR="00B228C3" w:rsidRPr="007928C8">
        <w:rPr>
          <w:sz w:val="26"/>
          <w:szCs w:val="26"/>
        </w:rPr>
        <w:t>;</w:t>
      </w:r>
      <w:r w:rsidRPr="007928C8">
        <w:rPr>
          <w:sz w:val="26"/>
          <w:szCs w:val="26"/>
        </w:rPr>
        <w:t xml:space="preserve"> </w:t>
      </w:r>
      <w:r w:rsidRPr="007928C8">
        <w:rPr>
          <w:caps/>
          <w:sz w:val="26"/>
          <w:szCs w:val="26"/>
        </w:rPr>
        <w:t xml:space="preserve">Huang, </w:t>
      </w:r>
      <w:r w:rsidR="00B228C3" w:rsidRPr="007928C8">
        <w:rPr>
          <w:sz w:val="26"/>
          <w:szCs w:val="26"/>
        </w:rPr>
        <w:t>Shaio Yan;</w:t>
      </w:r>
      <w:r w:rsidRPr="007928C8">
        <w:rPr>
          <w:sz w:val="26"/>
          <w:szCs w:val="26"/>
        </w:rPr>
        <w:t xml:space="preserve"> </w:t>
      </w:r>
      <w:r w:rsidRPr="007928C8">
        <w:rPr>
          <w:caps/>
          <w:sz w:val="26"/>
          <w:szCs w:val="26"/>
        </w:rPr>
        <w:t xml:space="preserve">Shih </w:t>
      </w:r>
      <w:r w:rsidRPr="007928C8">
        <w:rPr>
          <w:sz w:val="26"/>
          <w:szCs w:val="26"/>
        </w:rPr>
        <w:t xml:space="preserve">Kuang-Hsun. (2006) An empirical examination of the impact of risk factors on Auditor‘s risk assessment. </w:t>
      </w:r>
      <w:r w:rsidR="00293700" w:rsidRPr="007928C8">
        <w:rPr>
          <w:sz w:val="26"/>
          <w:szCs w:val="26"/>
          <w:lang w:val="lt-LT"/>
        </w:rPr>
        <w:t>Iš</w:t>
      </w:r>
      <w:r w:rsidR="00293700" w:rsidRPr="007928C8">
        <w:rPr>
          <w:sz w:val="26"/>
          <w:szCs w:val="26"/>
        </w:rPr>
        <w:t xml:space="preserve"> </w:t>
      </w:r>
      <w:r w:rsidRPr="007928C8">
        <w:rPr>
          <w:i/>
          <w:sz w:val="26"/>
          <w:szCs w:val="26"/>
        </w:rPr>
        <w:t>International Journal of Management</w:t>
      </w:r>
      <w:r w:rsidR="00293700" w:rsidRPr="007928C8">
        <w:rPr>
          <w:i/>
          <w:sz w:val="26"/>
          <w:szCs w:val="26"/>
        </w:rPr>
        <w:t xml:space="preserve"> </w:t>
      </w:r>
      <w:r w:rsidR="00293700" w:rsidRPr="007928C8">
        <w:rPr>
          <w:sz w:val="26"/>
          <w:szCs w:val="26"/>
        </w:rPr>
        <w:t>[interaktyvus]</w:t>
      </w:r>
      <w:r w:rsidRPr="007928C8">
        <w:rPr>
          <w:sz w:val="26"/>
          <w:szCs w:val="26"/>
        </w:rPr>
        <w:t xml:space="preserve">. </w:t>
      </w:r>
      <w:r w:rsidR="00293700" w:rsidRPr="007928C8">
        <w:rPr>
          <w:sz w:val="26"/>
          <w:szCs w:val="26"/>
        </w:rPr>
        <w:t>v</w:t>
      </w:r>
      <w:r w:rsidRPr="007928C8">
        <w:rPr>
          <w:sz w:val="26"/>
          <w:szCs w:val="26"/>
        </w:rPr>
        <w:t>ol.</w:t>
      </w:r>
      <w:r w:rsidR="00293700" w:rsidRPr="007928C8">
        <w:rPr>
          <w:sz w:val="26"/>
          <w:szCs w:val="26"/>
        </w:rPr>
        <w:t xml:space="preserve"> </w:t>
      </w:r>
      <w:r w:rsidRPr="007928C8">
        <w:rPr>
          <w:sz w:val="26"/>
          <w:szCs w:val="26"/>
        </w:rPr>
        <w:t xml:space="preserve">23, </w:t>
      </w:r>
      <w:r w:rsidR="00B77DD0" w:rsidRPr="007928C8">
        <w:rPr>
          <w:sz w:val="26"/>
          <w:szCs w:val="26"/>
        </w:rPr>
        <w:t>issue</w:t>
      </w:r>
      <w:r w:rsidR="00293700" w:rsidRPr="007928C8">
        <w:rPr>
          <w:sz w:val="26"/>
          <w:szCs w:val="26"/>
        </w:rPr>
        <w:t xml:space="preserve"> </w:t>
      </w:r>
      <w:r w:rsidRPr="007928C8">
        <w:rPr>
          <w:sz w:val="26"/>
          <w:szCs w:val="26"/>
        </w:rPr>
        <w:t>3</w:t>
      </w:r>
      <w:r w:rsidR="00293700" w:rsidRPr="007928C8">
        <w:rPr>
          <w:sz w:val="26"/>
          <w:szCs w:val="26"/>
        </w:rPr>
        <w:t>, p</w:t>
      </w:r>
      <w:r w:rsidRPr="007928C8">
        <w:rPr>
          <w:sz w:val="26"/>
          <w:szCs w:val="26"/>
        </w:rPr>
        <w:t>art 1</w:t>
      </w:r>
      <w:r w:rsidR="00293700" w:rsidRPr="007928C8">
        <w:rPr>
          <w:sz w:val="26"/>
          <w:szCs w:val="26"/>
        </w:rPr>
        <w:t>,</w:t>
      </w:r>
      <w:r w:rsidRPr="007928C8">
        <w:rPr>
          <w:sz w:val="26"/>
          <w:szCs w:val="26"/>
        </w:rPr>
        <w:t xml:space="preserve"> September</w:t>
      </w:r>
      <w:r w:rsidR="00293700" w:rsidRPr="007928C8">
        <w:rPr>
          <w:sz w:val="26"/>
          <w:szCs w:val="26"/>
        </w:rPr>
        <w:t xml:space="preserve"> [žiūrėta </w:t>
      </w:r>
      <w:r w:rsidR="00293700" w:rsidRPr="007928C8">
        <w:rPr>
          <w:sz w:val="26"/>
          <w:szCs w:val="26"/>
          <w:lang w:val="lt-LT"/>
        </w:rPr>
        <w:t xml:space="preserve">2006 </w:t>
      </w:r>
      <w:r w:rsidR="00561A56" w:rsidRPr="007928C8">
        <w:rPr>
          <w:sz w:val="26"/>
          <w:szCs w:val="26"/>
          <w:lang w:val="lt-LT"/>
        </w:rPr>
        <w:t xml:space="preserve">m. </w:t>
      </w:r>
      <w:r w:rsidR="00293700" w:rsidRPr="007928C8">
        <w:rPr>
          <w:sz w:val="26"/>
          <w:szCs w:val="26"/>
          <w:lang w:val="lt-LT"/>
        </w:rPr>
        <w:t>lapkričio 24 d</w:t>
      </w:r>
      <w:r w:rsidR="00293700" w:rsidRPr="007928C8">
        <w:rPr>
          <w:sz w:val="26"/>
          <w:szCs w:val="26"/>
        </w:rPr>
        <w:t>.]</w:t>
      </w:r>
      <w:r w:rsidRPr="007928C8">
        <w:rPr>
          <w:sz w:val="26"/>
          <w:szCs w:val="26"/>
        </w:rPr>
        <w:t>, p.</w:t>
      </w:r>
      <w:r w:rsidR="00561A56" w:rsidRPr="007928C8">
        <w:rPr>
          <w:sz w:val="26"/>
          <w:szCs w:val="26"/>
        </w:rPr>
        <w:t xml:space="preserve"> </w:t>
      </w:r>
      <w:r w:rsidRPr="007928C8">
        <w:rPr>
          <w:sz w:val="26"/>
          <w:szCs w:val="26"/>
        </w:rPr>
        <w:t>515-528</w:t>
      </w:r>
      <w:r w:rsidR="00F826E3" w:rsidRPr="007928C8">
        <w:rPr>
          <w:sz w:val="26"/>
          <w:szCs w:val="26"/>
        </w:rPr>
        <w:t>.</w:t>
      </w:r>
      <w:r w:rsidR="00561A56" w:rsidRPr="007928C8">
        <w:rPr>
          <w:sz w:val="26"/>
          <w:szCs w:val="26"/>
        </w:rPr>
        <w:t xml:space="preserve"> </w:t>
      </w:r>
      <w:r w:rsidR="00B77DD0" w:rsidRPr="007928C8">
        <w:rPr>
          <w:color w:val="000000"/>
          <w:sz w:val="26"/>
          <w:szCs w:val="26"/>
          <w:lang w:val="lt-LT"/>
        </w:rPr>
        <w:t>Prieiga per internetą: &lt;http://web.ebscohost.com/bsi/pdf&gt; .</w:t>
      </w:r>
    </w:p>
    <w:p w:rsidR="00B50CF2" w:rsidRDefault="000E4319" w:rsidP="000406FA">
      <w:pPr>
        <w:numPr>
          <w:ilvl w:val="0"/>
          <w:numId w:val="4"/>
        </w:numPr>
        <w:tabs>
          <w:tab w:val="clear" w:pos="720"/>
          <w:tab w:val="left" w:pos="540"/>
          <w:tab w:val="left" w:pos="567"/>
          <w:tab w:val="left" w:pos="709"/>
        </w:tabs>
        <w:autoSpaceDE w:val="0"/>
        <w:autoSpaceDN w:val="0"/>
        <w:adjustRightInd w:val="0"/>
        <w:spacing w:before="120"/>
        <w:ind w:left="567" w:hanging="567"/>
        <w:jc w:val="both"/>
        <w:rPr>
          <w:sz w:val="26"/>
          <w:szCs w:val="26"/>
        </w:rPr>
      </w:pPr>
      <w:r w:rsidRPr="007928C8">
        <w:rPr>
          <w:sz w:val="26"/>
          <w:szCs w:val="26"/>
          <w:lang w:val="lt-LT"/>
        </w:rPr>
        <w:t>CoCo</w:t>
      </w:r>
      <w:r w:rsidR="006A4197" w:rsidRPr="007928C8">
        <w:rPr>
          <w:sz w:val="26"/>
          <w:szCs w:val="26"/>
          <w:lang w:val="lt-LT"/>
        </w:rPr>
        <w:t>.</w:t>
      </w:r>
      <w:r w:rsidRPr="007928C8">
        <w:rPr>
          <w:sz w:val="26"/>
          <w:szCs w:val="26"/>
          <w:lang w:val="lt-LT"/>
        </w:rPr>
        <w:t xml:space="preserve"> (1</w:t>
      </w:r>
      <w:r w:rsidR="00706436" w:rsidRPr="007928C8">
        <w:rPr>
          <w:sz w:val="26"/>
          <w:szCs w:val="26"/>
          <w:lang w:val="lt-LT"/>
        </w:rPr>
        <w:t>995</w:t>
      </w:r>
      <w:r w:rsidRPr="007928C8">
        <w:rPr>
          <w:sz w:val="26"/>
          <w:szCs w:val="26"/>
          <w:lang w:val="lt-LT"/>
        </w:rPr>
        <w:t xml:space="preserve">) </w:t>
      </w:r>
      <w:r w:rsidR="0000755F" w:rsidRPr="007928C8">
        <w:rPr>
          <w:sz w:val="26"/>
          <w:szCs w:val="26"/>
        </w:rPr>
        <w:t>The Canadian In</w:t>
      </w:r>
      <w:r w:rsidR="00B115C0" w:rsidRPr="007928C8">
        <w:rPr>
          <w:sz w:val="26"/>
          <w:szCs w:val="26"/>
        </w:rPr>
        <w:t>s</w:t>
      </w:r>
      <w:r w:rsidR="0000755F" w:rsidRPr="007928C8">
        <w:rPr>
          <w:sz w:val="26"/>
          <w:szCs w:val="26"/>
        </w:rPr>
        <w:t xml:space="preserve">titute of Chartered Accountants. </w:t>
      </w:r>
      <w:r w:rsidRPr="007928C8">
        <w:rPr>
          <w:sz w:val="26"/>
          <w:szCs w:val="26"/>
        </w:rPr>
        <w:t xml:space="preserve">Two Same sides of the Coin: </w:t>
      </w:r>
      <w:r w:rsidRPr="007928C8">
        <w:rPr>
          <w:bCs/>
          <w:sz w:val="26"/>
          <w:szCs w:val="26"/>
        </w:rPr>
        <w:t>CICA’S Guidance on Control and CCAF’S Effectiveness Reporting Framework</w:t>
      </w:r>
      <w:r w:rsidR="0000755F" w:rsidRPr="007928C8">
        <w:rPr>
          <w:bCs/>
          <w:sz w:val="26"/>
          <w:szCs w:val="26"/>
        </w:rPr>
        <w:t>.</w:t>
      </w:r>
      <w:r w:rsidRPr="007928C8">
        <w:rPr>
          <w:bCs/>
          <w:sz w:val="26"/>
          <w:szCs w:val="26"/>
          <w:lang w:val="lt-LT"/>
        </w:rPr>
        <w:t xml:space="preserve"> </w:t>
      </w:r>
      <w:r w:rsidRPr="007928C8">
        <w:rPr>
          <w:sz w:val="26"/>
          <w:szCs w:val="26"/>
          <w:lang w:val="lt-LT"/>
        </w:rPr>
        <w:t xml:space="preserve">[interaktyvus], [žiūrėta 2008 m. </w:t>
      </w:r>
      <w:r w:rsidR="0000755F" w:rsidRPr="007928C8">
        <w:rPr>
          <w:sz w:val="26"/>
          <w:szCs w:val="26"/>
          <w:lang w:val="lt-LT"/>
        </w:rPr>
        <w:t>rugpjūčio 1</w:t>
      </w:r>
      <w:r w:rsidRPr="007928C8">
        <w:rPr>
          <w:sz w:val="26"/>
          <w:szCs w:val="26"/>
          <w:lang w:val="lt-LT"/>
        </w:rPr>
        <w:t>6 d.] Prie</w:t>
      </w:r>
      <w:r w:rsidR="0000755F" w:rsidRPr="007928C8">
        <w:rPr>
          <w:sz w:val="26"/>
          <w:szCs w:val="26"/>
          <w:lang w:val="lt-LT"/>
        </w:rPr>
        <w:t>i</w:t>
      </w:r>
      <w:r w:rsidRPr="007928C8">
        <w:rPr>
          <w:sz w:val="26"/>
          <w:szCs w:val="26"/>
          <w:lang w:val="lt-LT"/>
        </w:rPr>
        <w:t>ga per internetą:</w:t>
      </w:r>
      <w:r w:rsidR="00B50CF2">
        <w:rPr>
          <w:sz w:val="26"/>
          <w:szCs w:val="26"/>
          <w:lang w:val="lt-LT"/>
        </w:rPr>
        <w:t xml:space="preserve"> </w:t>
      </w:r>
      <w:r w:rsidR="0000755F" w:rsidRPr="007928C8">
        <w:rPr>
          <w:sz w:val="26"/>
          <w:szCs w:val="26"/>
          <w:lang w:val="lt-LT"/>
        </w:rPr>
        <w:t>&lt;</w:t>
      </w:r>
      <w:r w:rsidRPr="007928C8">
        <w:rPr>
          <w:sz w:val="26"/>
          <w:szCs w:val="26"/>
        </w:rPr>
        <w:t>http://www.cica.ca/</w:t>
      </w:r>
      <w:r w:rsidRPr="00B50CF2">
        <w:rPr>
          <w:sz w:val="26"/>
          <w:szCs w:val="26"/>
        </w:rPr>
        <w:t>index.cfm/</w:t>
      </w:r>
    </w:p>
    <w:p w:rsidR="00EA782D" w:rsidRPr="00B50CF2" w:rsidRDefault="000E4319" w:rsidP="000406FA">
      <w:pPr>
        <w:tabs>
          <w:tab w:val="left" w:pos="540"/>
          <w:tab w:val="left" w:pos="567"/>
        </w:tabs>
        <w:autoSpaceDE w:val="0"/>
        <w:autoSpaceDN w:val="0"/>
        <w:adjustRightInd w:val="0"/>
        <w:spacing w:before="120"/>
        <w:ind w:left="567"/>
        <w:jc w:val="both"/>
        <w:rPr>
          <w:sz w:val="26"/>
          <w:szCs w:val="26"/>
        </w:rPr>
      </w:pPr>
      <w:r w:rsidRPr="00B50CF2">
        <w:rPr>
          <w:sz w:val="26"/>
          <w:szCs w:val="26"/>
        </w:rPr>
        <w:t>ci_id/7916/la_id/1</w:t>
      </w:r>
      <w:r w:rsidR="0000755F" w:rsidRPr="00B50CF2">
        <w:rPr>
          <w:sz w:val="26"/>
          <w:szCs w:val="26"/>
        </w:rPr>
        <w:t>&gt; .</w:t>
      </w:r>
    </w:p>
    <w:p w:rsidR="00BD15AF" w:rsidRPr="00BD15AF" w:rsidRDefault="00CF51DC" w:rsidP="000406FA">
      <w:pPr>
        <w:numPr>
          <w:ilvl w:val="0"/>
          <w:numId w:val="4"/>
        </w:numPr>
        <w:tabs>
          <w:tab w:val="clear" w:pos="720"/>
          <w:tab w:val="left" w:pos="540"/>
          <w:tab w:val="left" w:pos="567"/>
          <w:tab w:val="left" w:pos="709"/>
        </w:tabs>
        <w:autoSpaceDE w:val="0"/>
        <w:autoSpaceDN w:val="0"/>
        <w:adjustRightInd w:val="0"/>
        <w:spacing w:before="120"/>
        <w:ind w:left="567" w:hanging="567"/>
        <w:jc w:val="both"/>
        <w:rPr>
          <w:sz w:val="26"/>
          <w:szCs w:val="26"/>
        </w:rPr>
      </w:pPr>
      <w:r w:rsidRPr="007928C8">
        <w:rPr>
          <w:bCs/>
          <w:caps/>
          <w:sz w:val="26"/>
          <w:szCs w:val="26"/>
        </w:rPr>
        <w:t>Coenen</w:t>
      </w:r>
      <w:r w:rsidRPr="007928C8">
        <w:rPr>
          <w:bCs/>
          <w:sz w:val="26"/>
          <w:szCs w:val="26"/>
        </w:rPr>
        <w:t xml:space="preserve"> Tracy</w:t>
      </w:r>
      <w:r w:rsidR="006C1A87" w:rsidRPr="007928C8">
        <w:rPr>
          <w:bCs/>
          <w:sz w:val="26"/>
          <w:szCs w:val="26"/>
        </w:rPr>
        <w:t>.</w:t>
      </w:r>
      <w:r w:rsidRPr="007928C8">
        <w:rPr>
          <w:bCs/>
          <w:sz w:val="26"/>
          <w:szCs w:val="26"/>
        </w:rPr>
        <w:t xml:space="preserve"> (2007)</w:t>
      </w:r>
      <w:r w:rsidR="006C1A87" w:rsidRPr="007928C8">
        <w:rPr>
          <w:bCs/>
          <w:sz w:val="26"/>
          <w:szCs w:val="26"/>
        </w:rPr>
        <w:t xml:space="preserve"> </w:t>
      </w:r>
      <w:r w:rsidRPr="007928C8">
        <w:rPr>
          <w:kern w:val="36"/>
          <w:sz w:val="26"/>
          <w:szCs w:val="26"/>
        </w:rPr>
        <w:t>The Fraud Triangle and What You Can Do About It</w:t>
      </w:r>
      <w:r w:rsidR="006C1A87" w:rsidRPr="007928C8">
        <w:rPr>
          <w:kern w:val="36"/>
          <w:sz w:val="26"/>
          <w:szCs w:val="26"/>
        </w:rPr>
        <w:t xml:space="preserve">. </w:t>
      </w:r>
      <w:r w:rsidR="006C1A87" w:rsidRPr="007928C8">
        <w:rPr>
          <w:sz w:val="26"/>
          <w:szCs w:val="26"/>
          <w:lang w:val="lt-LT"/>
        </w:rPr>
        <w:t>[interaktyvus]. [žiūrėta 2008 m. spalio 16 d.]. Prieiga per internetą: &lt;</w:t>
      </w:r>
      <w:r w:rsidR="006C1A87" w:rsidRPr="007928C8">
        <w:rPr>
          <w:kern w:val="36"/>
          <w:sz w:val="26"/>
          <w:szCs w:val="26"/>
        </w:rPr>
        <w:t>http://www.allbusiness.com/accounting/forensic-accounting/</w:t>
      </w:r>
    </w:p>
    <w:p w:rsidR="00CF51DC" w:rsidRPr="007928C8" w:rsidRDefault="006C1A87" w:rsidP="000406FA">
      <w:pPr>
        <w:tabs>
          <w:tab w:val="left" w:pos="540"/>
          <w:tab w:val="left" w:pos="567"/>
        </w:tabs>
        <w:autoSpaceDE w:val="0"/>
        <w:autoSpaceDN w:val="0"/>
        <w:adjustRightInd w:val="0"/>
        <w:spacing w:before="120"/>
        <w:ind w:left="567"/>
        <w:jc w:val="both"/>
        <w:rPr>
          <w:rStyle w:val="Emphasis"/>
          <w:b w:val="0"/>
          <w:bCs w:val="0"/>
          <w:sz w:val="26"/>
          <w:szCs w:val="26"/>
        </w:rPr>
      </w:pPr>
      <w:r w:rsidRPr="007928C8">
        <w:rPr>
          <w:kern w:val="36"/>
          <w:sz w:val="26"/>
          <w:szCs w:val="26"/>
        </w:rPr>
        <w:t>4968017-1.html&gt; .</w:t>
      </w:r>
    </w:p>
    <w:p w:rsidR="00E336A1" w:rsidRPr="007928C8" w:rsidRDefault="00E336A1" w:rsidP="000406FA">
      <w:pPr>
        <w:numPr>
          <w:ilvl w:val="0"/>
          <w:numId w:val="4"/>
        </w:numPr>
        <w:tabs>
          <w:tab w:val="clear" w:pos="720"/>
          <w:tab w:val="left" w:pos="540"/>
          <w:tab w:val="left" w:pos="567"/>
          <w:tab w:val="left" w:pos="709"/>
        </w:tabs>
        <w:autoSpaceDE w:val="0"/>
        <w:autoSpaceDN w:val="0"/>
        <w:adjustRightInd w:val="0"/>
        <w:spacing w:before="120"/>
        <w:ind w:left="567" w:hanging="567"/>
        <w:jc w:val="both"/>
        <w:rPr>
          <w:sz w:val="26"/>
          <w:szCs w:val="26"/>
        </w:rPr>
      </w:pPr>
      <w:r w:rsidRPr="007928C8">
        <w:rPr>
          <w:rStyle w:val="Emphasis"/>
          <w:b w:val="0"/>
          <w:sz w:val="26"/>
          <w:szCs w:val="26"/>
        </w:rPr>
        <w:t>COSO (1992) Committee of Sponsoring Organizations of the Treadway Commission. Internal Control</w:t>
      </w:r>
      <w:r w:rsidRPr="007928C8">
        <w:rPr>
          <w:b/>
          <w:sz w:val="26"/>
          <w:szCs w:val="26"/>
        </w:rPr>
        <w:t xml:space="preserve"> — </w:t>
      </w:r>
      <w:r w:rsidRPr="007928C8">
        <w:rPr>
          <w:rStyle w:val="Emphasis"/>
          <w:b w:val="0"/>
          <w:sz w:val="26"/>
          <w:szCs w:val="26"/>
        </w:rPr>
        <w:t>Integrated Framework. American Institute of Certified Public Accountants: New York.</w:t>
      </w:r>
    </w:p>
    <w:p w:rsidR="00BD15AF" w:rsidRPr="00BD15AF" w:rsidRDefault="0000755F" w:rsidP="000406FA">
      <w:pPr>
        <w:numPr>
          <w:ilvl w:val="0"/>
          <w:numId w:val="4"/>
        </w:numPr>
        <w:tabs>
          <w:tab w:val="clear" w:pos="720"/>
          <w:tab w:val="left" w:pos="540"/>
          <w:tab w:val="left" w:pos="567"/>
          <w:tab w:val="left" w:pos="709"/>
        </w:tabs>
        <w:autoSpaceDE w:val="0"/>
        <w:autoSpaceDN w:val="0"/>
        <w:adjustRightInd w:val="0"/>
        <w:spacing w:before="120"/>
        <w:ind w:left="567" w:hanging="567"/>
        <w:jc w:val="both"/>
        <w:rPr>
          <w:rStyle w:val="HTMLCite"/>
          <w:i w:val="0"/>
          <w:iCs w:val="0"/>
          <w:color w:val="000000" w:themeColor="text1"/>
          <w:sz w:val="26"/>
          <w:szCs w:val="26"/>
        </w:rPr>
      </w:pPr>
      <w:r w:rsidRPr="007928C8">
        <w:rPr>
          <w:rStyle w:val="Emphasis"/>
          <w:b w:val="0"/>
          <w:sz w:val="26"/>
          <w:szCs w:val="26"/>
        </w:rPr>
        <w:t xml:space="preserve">COSO </w:t>
      </w:r>
      <w:r w:rsidR="007B43D1" w:rsidRPr="007928C8">
        <w:rPr>
          <w:rStyle w:val="Emphasis"/>
          <w:b w:val="0"/>
          <w:sz w:val="26"/>
          <w:szCs w:val="26"/>
        </w:rPr>
        <w:t xml:space="preserve">ERM </w:t>
      </w:r>
      <w:r w:rsidRPr="007928C8">
        <w:rPr>
          <w:rStyle w:val="Emphasis"/>
          <w:b w:val="0"/>
          <w:sz w:val="26"/>
          <w:szCs w:val="26"/>
        </w:rPr>
        <w:t>(2004) Committee of Sponsoring Organizations of the Treadway Commission. Enterprise Risk Management</w:t>
      </w:r>
      <w:r w:rsidRPr="007928C8">
        <w:rPr>
          <w:b/>
          <w:sz w:val="26"/>
          <w:szCs w:val="26"/>
        </w:rPr>
        <w:t xml:space="preserve"> — </w:t>
      </w:r>
      <w:r w:rsidRPr="007928C8">
        <w:rPr>
          <w:rStyle w:val="Emphasis"/>
          <w:b w:val="0"/>
          <w:sz w:val="26"/>
          <w:szCs w:val="26"/>
        </w:rPr>
        <w:t xml:space="preserve">Integrated Framework (Executive Summary). </w:t>
      </w:r>
      <w:r w:rsidRPr="007928C8">
        <w:rPr>
          <w:sz w:val="26"/>
          <w:szCs w:val="26"/>
          <w:lang w:val="lt-LT"/>
        </w:rPr>
        <w:t xml:space="preserve">[interaktyvus], September, [žiūrėta 2008 m. rugpjūčio 16 d.] Prieiga per internetą: </w:t>
      </w:r>
      <w:r w:rsidRPr="007928C8">
        <w:rPr>
          <w:color w:val="000000" w:themeColor="text1"/>
          <w:sz w:val="26"/>
          <w:szCs w:val="26"/>
          <w:lang w:val="lt-LT"/>
        </w:rPr>
        <w:t>&lt;http://</w:t>
      </w:r>
      <w:r w:rsidRPr="007928C8">
        <w:rPr>
          <w:rStyle w:val="HTMLCite"/>
          <w:i w:val="0"/>
          <w:color w:val="000000" w:themeColor="text1"/>
          <w:sz w:val="26"/>
          <w:szCs w:val="26"/>
        </w:rPr>
        <w:t>www.</w:t>
      </w:r>
      <w:r w:rsidRPr="007928C8">
        <w:rPr>
          <w:rStyle w:val="HTMLCite"/>
          <w:bCs/>
          <w:i w:val="0"/>
          <w:color w:val="000000" w:themeColor="text1"/>
          <w:sz w:val="26"/>
          <w:szCs w:val="26"/>
        </w:rPr>
        <w:t>coso</w:t>
      </w:r>
      <w:r w:rsidRPr="007928C8">
        <w:rPr>
          <w:rStyle w:val="HTMLCite"/>
          <w:i w:val="0"/>
          <w:color w:val="000000" w:themeColor="text1"/>
          <w:sz w:val="26"/>
          <w:szCs w:val="26"/>
        </w:rPr>
        <w:t>.org/</w:t>
      </w:r>
    </w:p>
    <w:p w:rsidR="00FA092B" w:rsidRPr="007928C8" w:rsidRDefault="0000755F" w:rsidP="000406FA">
      <w:pPr>
        <w:tabs>
          <w:tab w:val="left" w:pos="540"/>
          <w:tab w:val="left" w:pos="567"/>
        </w:tabs>
        <w:autoSpaceDE w:val="0"/>
        <w:autoSpaceDN w:val="0"/>
        <w:adjustRightInd w:val="0"/>
        <w:spacing w:before="120"/>
        <w:ind w:left="567"/>
        <w:jc w:val="both"/>
        <w:rPr>
          <w:rStyle w:val="HTMLCite"/>
          <w:i w:val="0"/>
          <w:iCs w:val="0"/>
          <w:color w:val="000000" w:themeColor="text1"/>
          <w:sz w:val="26"/>
          <w:szCs w:val="26"/>
        </w:rPr>
      </w:pPr>
      <w:r w:rsidRPr="007928C8">
        <w:rPr>
          <w:rStyle w:val="HTMLCite"/>
          <w:i w:val="0"/>
          <w:color w:val="000000" w:themeColor="text1"/>
          <w:sz w:val="26"/>
          <w:szCs w:val="26"/>
        </w:rPr>
        <w:t>documents/</w:t>
      </w:r>
      <w:r w:rsidRPr="007928C8">
        <w:rPr>
          <w:rStyle w:val="HTMLCite"/>
          <w:bCs/>
          <w:i w:val="0"/>
          <w:color w:val="000000" w:themeColor="text1"/>
          <w:sz w:val="26"/>
          <w:szCs w:val="26"/>
        </w:rPr>
        <w:t>COSO</w:t>
      </w:r>
      <w:r w:rsidR="007928C8">
        <w:rPr>
          <w:rStyle w:val="HTMLCite"/>
          <w:i w:val="0"/>
          <w:color w:val="000000" w:themeColor="text1"/>
          <w:sz w:val="26"/>
          <w:szCs w:val="26"/>
        </w:rPr>
        <w:t>_ERM_ExecutiveSummary.pdf&gt;</w:t>
      </w:r>
      <w:r w:rsidRPr="007928C8">
        <w:rPr>
          <w:rStyle w:val="HTMLCite"/>
          <w:i w:val="0"/>
          <w:color w:val="000000" w:themeColor="text1"/>
          <w:sz w:val="26"/>
          <w:szCs w:val="26"/>
        </w:rPr>
        <w:t>.</w:t>
      </w:r>
    </w:p>
    <w:p w:rsidR="00FA092B" w:rsidRPr="007928C8" w:rsidRDefault="00FA092B" w:rsidP="000406FA">
      <w:pPr>
        <w:numPr>
          <w:ilvl w:val="0"/>
          <w:numId w:val="4"/>
        </w:numPr>
        <w:tabs>
          <w:tab w:val="clear" w:pos="720"/>
          <w:tab w:val="left" w:pos="540"/>
          <w:tab w:val="left" w:pos="567"/>
          <w:tab w:val="left" w:pos="709"/>
        </w:tabs>
        <w:autoSpaceDE w:val="0"/>
        <w:autoSpaceDN w:val="0"/>
        <w:adjustRightInd w:val="0"/>
        <w:spacing w:before="120"/>
        <w:ind w:left="567" w:hanging="567"/>
        <w:jc w:val="both"/>
        <w:rPr>
          <w:color w:val="000000" w:themeColor="text1"/>
          <w:sz w:val="26"/>
          <w:szCs w:val="26"/>
        </w:rPr>
      </w:pPr>
      <w:r w:rsidRPr="007928C8">
        <w:rPr>
          <w:color w:val="000000" w:themeColor="text1"/>
          <w:sz w:val="26"/>
          <w:szCs w:val="26"/>
        </w:rPr>
        <w:t>COOPER, D</w:t>
      </w:r>
      <w:r w:rsidR="00C32F28" w:rsidRPr="007928C8">
        <w:rPr>
          <w:color w:val="000000" w:themeColor="text1"/>
          <w:sz w:val="26"/>
          <w:szCs w:val="26"/>
        </w:rPr>
        <w:t>avies</w:t>
      </w:r>
      <w:r w:rsidRPr="007928C8">
        <w:rPr>
          <w:color w:val="000000" w:themeColor="text1"/>
          <w:sz w:val="26"/>
          <w:szCs w:val="26"/>
        </w:rPr>
        <w:t xml:space="preserve"> J., GENDRON, Y</w:t>
      </w:r>
      <w:r w:rsidR="00C32F28" w:rsidRPr="007928C8">
        <w:rPr>
          <w:color w:val="000000" w:themeColor="text1"/>
          <w:sz w:val="26"/>
          <w:szCs w:val="26"/>
        </w:rPr>
        <w:t>ves</w:t>
      </w:r>
      <w:r w:rsidR="006A4197" w:rsidRPr="007928C8">
        <w:rPr>
          <w:color w:val="000000" w:themeColor="text1"/>
          <w:sz w:val="26"/>
          <w:szCs w:val="26"/>
        </w:rPr>
        <w:t>.</w:t>
      </w:r>
      <w:r w:rsidRPr="007928C8">
        <w:rPr>
          <w:color w:val="000000" w:themeColor="text1"/>
          <w:sz w:val="26"/>
          <w:szCs w:val="26"/>
        </w:rPr>
        <w:t xml:space="preserve"> (2001</w:t>
      </w:r>
      <w:r w:rsidR="00C32F28" w:rsidRPr="007928C8">
        <w:rPr>
          <w:color w:val="000000" w:themeColor="text1"/>
          <w:sz w:val="26"/>
          <w:szCs w:val="26"/>
        </w:rPr>
        <w:t>)</w:t>
      </w:r>
      <w:r w:rsidRPr="007928C8">
        <w:rPr>
          <w:color w:val="000000" w:themeColor="text1"/>
          <w:sz w:val="26"/>
          <w:szCs w:val="26"/>
        </w:rPr>
        <w:t xml:space="preserve"> Power and criteria of control. </w:t>
      </w:r>
      <w:r w:rsidR="00C32F28" w:rsidRPr="007928C8">
        <w:rPr>
          <w:color w:val="000000" w:themeColor="text1"/>
          <w:sz w:val="26"/>
          <w:szCs w:val="26"/>
        </w:rPr>
        <w:t xml:space="preserve">Iš </w:t>
      </w:r>
      <w:r w:rsidRPr="007928C8">
        <w:rPr>
          <w:i/>
          <w:iCs/>
          <w:color w:val="000000" w:themeColor="text1"/>
          <w:sz w:val="26"/>
          <w:szCs w:val="26"/>
          <w:lang w:val="it-IT"/>
        </w:rPr>
        <w:t>CA Magazine</w:t>
      </w:r>
      <w:r w:rsidR="00C32F28" w:rsidRPr="007928C8">
        <w:rPr>
          <w:i/>
          <w:iCs/>
          <w:color w:val="000000" w:themeColor="text1"/>
          <w:sz w:val="26"/>
          <w:szCs w:val="26"/>
          <w:lang w:val="it-IT"/>
        </w:rPr>
        <w:t>.</w:t>
      </w:r>
      <w:r w:rsidRPr="007928C8">
        <w:rPr>
          <w:color w:val="000000" w:themeColor="text1"/>
          <w:sz w:val="26"/>
          <w:szCs w:val="26"/>
          <w:lang w:val="it-IT"/>
        </w:rPr>
        <w:t xml:space="preserve"> </w:t>
      </w:r>
      <w:r w:rsidR="00C32F28" w:rsidRPr="007928C8">
        <w:rPr>
          <w:color w:val="000000" w:themeColor="text1"/>
          <w:sz w:val="26"/>
          <w:szCs w:val="26"/>
          <w:lang w:val="it-IT"/>
        </w:rPr>
        <w:t xml:space="preserve">[interaktyvus], </w:t>
      </w:r>
      <w:r w:rsidRPr="007928C8">
        <w:rPr>
          <w:color w:val="000000" w:themeColor="text1"/>
          <w:sz w:val="26"/>
          <w:szCs w:val="26"/>
          <w:lang w:val="it-IT"/>
        </w:rPr>
        <w:t xml:space="preserve">March, </w:t>
      </w:r>
      <w:r w:rsidR="00C32F28" w:rsidRPr="007928C8">
        <w:rPr>
          <w:color w:val="000000" w:themeColor="text1"/>
          <w:sz w:val="26"/>
          <w:szCs w:val="26"/>
          <w:lang w:val="it-IT"/>
        </w:rPr>
        <w:t>v</w:t>
      </w:r>
      <w:r w:rsidRPr="007928C8">
        <w:rPr>
          <w:color w:val="000000" w:themeColor="text1"/>
          <w:sz w:val="26"/>
          <w:szCs w:val="26"/>
          <w:lang w:val="it-IT"/>
        </w:rPr>
        <w:t xml:space="preserve">ol. 134, issue 2, </w:t>
      </w:r>
      <w:r w:rsidR="00C32F28" w:rsidRPr="007928C8">
        <w:rPr>
          <w:color w:val="000000" w:themeColor="text1"/>
          <w:sz w:val="26"/>
          <w:szCs w:val="26"/>
          <w:lang w:val="lt-LT"/>
        </w:rPr>
        <w:t xml:space="preserve">[žiūrėta 2008 m. rugpjūčio 16 d.], p. </w:t>
      </w:r>
      <w:r w:rsidRPr="007928C8">
        <w:rPr>
          <w:color w:val="000000" w:themeColor="text1"/>
          <w:sz w:val="26"/>
          <w:szCs w:val="26"/>
          <w:lang w:val="it-IT"/>
        </w:rPr>
        <w:t>33-43</w:t>
      </w:r>
      <w:r w:rsidR="00C32F28" w:rsidRPr="007928C8">
        <w:rPr>
          <w:color w:val="000000" w:themeColor="text1"/>
          <w:sz w:val="26"/>
          <w:szCs w:val="26"/>
          <w:lang w:val="it-IT"/>
        </w:rPr>
        <w:t xml:space="preserve"> </w:t>
      </w:r>
      <w:r w:rsidR="00C32F28" w:rsidRPr="007928C8">
        <w:rPr>
          <w:color w:val="000000" w:themeColor="text1"/>
          <w:sz w:val="26"/>
          <w:szCs w:val="26"/>
          <w:lang w:val="lt-LT"/>
        </w:rPr>
        <w:t>Prieiga per internetą: &lt;</w:t>
      </w:r>
      <w:r w:rsidR="006E6B16" w:rsidRPr="007928C8">
        <w:rPr>
          <w:color w:val="000000" w:themeColor="text1"/>
          <w:sz w:val="26"/>
          <w:szCs w:val="26"/>
          <w:lang w:val="it-IT"/>
        </w:rPr>
        <w:t>http://www.camagazine.com/index.cfm/ci_id/6422/la_id/1&gt; .</w:t>
      </w:r>
    </w:p>
    <w:p w:rsidR="00354FCA" w:rsidRPr="007928C8" w:rsidRDefault="00A51EEE"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sz w:val="26"/>
          <w:szCs w:val="26"/>
        </w:rPr>
        <w:t>Cooper,</w:t>
      </w:r>
      <w:r w:rsidRPr="007928C8">
        <w:rPr>
          <w:sz w:val="26"/>
          <w:szCs w:val="26"/>
        </w:rPr>
        <w:t xml:space="preserve"> Kathie</w:t>
      </w:r>
      <w:r w:rsidR="00B228C3" w:rsidRPr="007928C8">
        <w:rPr>
          <w:sz w:val="26"/>
          <w:szCs w:val="26"/>
        </w:rPr>
        <w:t>;</w:t>
      </w:r>
      <w:r w:rsidRPr="007928C8">
        <w:rPr>
          <w:sz w:val="26"/>
          <w:szCs w:val="26"/>
        </w:rPr>
        <w:t xml:space="preserve"> </w:t>
      </w:r>
      <w:r w:rsidRPr="007928C8">
        <w:rPr>
          <w:caps/>
          <w:sz w:val="26"/>
          <w:szCs w:val="26"/>
        </w:rPr>
        <w:t xml:space="preserve">Deo, </w:t>
      </w:r>
      <w:r w:rsidRPr="007928C8">
        <w:rPr>
          <w:sz w:val="26"/>
          <w:szCs w:val="26"/>
        </w:rPr>
        <w:t xml:space="preserve">Hemant. (2006) Maximize audit fees and minimize audit risk: „A recipe for auditing success or failure?“. </w:t>
      </w:r>
      <w:r w:rsidR="00581CFE" w:rsidRPr="007928C8">
        <w:rPr>
          <w:sz w:val="26"/>
          <w:szCs w:val="26"/>
        </w:rPr>
        <w:t xml:space="preserve">Iš </w:t>
      </w:r>
      <w:r w:rsidRPr="007928C8">
        <w:rPr>
          <w:i/>
          <w:sz w:val="26"/>
          <w:szCs w:val="26"/>
        </w:rPr>
        <w:t>The journal of American Academy of Business, Cambridge</w:t>
      </w:r>
      <w:r w:rsidR="00601B32" w:rsidRPr="007928C8">
        <w:rPr>
          <w:i/>
          <w:sz w:val="26"/>
          <w:szCs w:val="26"/>
        </w:rPr>
        <w:t xml:space="preserve"> </w:t>
      </w:r>
      <w:r w:rsidR="00601B32" w:rsidRPr="007928C8">
        <w:rPr>
          <w:sz w:val="26"/>
          <w:szCs w:val="26"/>
          <w:lang w:val="en-GB"/>
        </w:rPr>
        <w:t>[</w:t>
      </w:r>
      <w:r w:rsidR="00601B32" w:rsidRPr="007928C8">
        <w:rPr>
          <w:sz w:val="26"/>
          <w:szCs w:val="26"/>
          <w:lang w:val="lt-LT"/>
        </w:rPr>
        <w:t>intera</w:t>
      </w:r>
      <w:r w:rsidR="00255564" w:rsidRPr="007928C8">
        <w:rPr>
          <w:sz w:val="26"/>
          <w:szCs w:val="26"/>
          <w:lang w:val="lt-LT"/>
        </w:rPr>
        <w:t>k</w:t>
      </w:r>
      <w:r w:rsidR="00601B32" w:rsidRPr="007928C8">
        <w:rPr>
          <w:sz w:val="26"/>
          <w:szCs w:val="26"/>
          <w:lang w:val="lt-LT"/>
        </w:rPr>
        <w:t>tyvus</w:t>
      </w:r>
      <w:r w:rsidR="00601B32" w:rsidRPr="007928C8">
        <w:rPr>
          <w:sz w:val="26"/>
          <w:szCs w:val="26"/>
          <w:lang w:val="en-GB"/>
        </w:rPr>
        <w:t>]</w:t>
      </w:r>
      <w:r w:rsidRPr="007928C8">
        <w:rPr>
          <w:sz w:val="26"/>
          <w:szCs w:val="26"/>
        </w:rPr>
        <w:t xml:space="preserve">. </w:t>
      </w:r>
      <w:r w:rsidR="00354FCA" w:rsidRPr="007928C8">
        <w:rPr>
          <w:sz w:val="26"/>
          <w:szCs w:val="26"/>
        </w:rPr>
        <w:t xml:space="preserve">March, </w:t>
      </w:r>
      <w:r w:rsidR="00581CFE" w:rsidRPr="007928C8">
        <w:rPr>
          <w:sz w:val="26"/>
          <w:szCs w:val="26"/>
        </w:rPr>
        <w:t>v</w:t>
      </w:r>
      <w:r w:rsidRPr="007928C8">
        <w:rPr>
          <w:sz w:val="26"/>
          <w:szCs w:val="26"/>
        </w:rPr>
        <w:t xml:space="preserve">ol. 8, </w:t>
      </w:r>
      <w:r w:rsidR="00354FCA" w:rsidRPr="007928C8">
        <w:rPr>
          <w:sz w:val="26"/>
          <w:szCs w:val="26"/>
        </w:rPr>
        <w:t>issue</w:t>
      </w:r>
      <w:r w:rsidRPr="007928C8">
        <w:rPr>
          <w:sz w:val="26"/>
          <w:szCs w:val="26"/>
        </w:rPr>
        <w:t xml:space="preserve"> </w:t>
      </w:r>
      <w:r w:rsidR="00354FCA" w:rsidRPr="007928C8">
        <w:rPr>
          <w:sz w:val="26"/>
          <w:szCs w:val="26"/>
        </w:rPr>
        <w:t>2</w:t>
      </w:r>
      <w:r w:rsidRPr="007928C8">
        <w:rPr>
          <w:sz w:val="26"/>
          <w:szCs w:val="26"/>
        </w:rPr>
        <w:t xml:space="preserve">, </w:t>
      </w:r>
      <w:r w:rsidR="00601B32" w:rsidRPr="007928C8">
        <w:rPr>
          <w:sz w:val="26"/>
          <w:szCs w:val="26"/>
          <w:lang w:val="en-GB"/>
        </w:rPr>
        <w:t>[</w:t>
      </w:r>
      <w:r w:rsidR="00601B32" w:rsidRPr="007928C8">
        <w:rPr>
          <w:sz w:val="26"/>
          <w:szCs w:val="26"/>
          <w:lang w:val="lt-LT"/>
        </w:rPr>
        <w:t>žiūrėta</w:t>
      </w:r>
      <w:r w:rsidR="00601B32" w:rsidRPr="007928C8">
        <w:rPr>
          <w:sz w:val="26"/>
          <w:szCs w:val="26"/>
          <w:lang w:val="en-GB"/>
        </w:rPr>
        <w:t xml:space="preserve"> 2006 m. </w:t>
      </w:r>
      <w:r w:rsidR="00601B32" w:rsidRPr="007928C8">
        <w:rPr>
          <w:sz w:val="26"/>
          <w:szCs w:val="26"/>
          <w:lang w:val="lt-LT"/>
        </w:rPr>
        <w:t>lapkričio</w:t>
      </w:r>
      <w:r w:rsidR="00601B32" w:rsidRPr="007928C8">
        <w:rPr>
          <w:sz w:val="26"/>
          <w:szCs w:val="26"/>
          <w:lang w:val="en-GB"/>
        </w:rPr>
        <w:t xml:space="preserve"> 24 d.], </w:t>
      </w:r>
      <w:r w:rsidRPr="007928C8">
        <w:rPr>
          <w:sz w:val="26"/>
          <w:szCs w:val="26"/>
        </w:rPr>
        <w:t>p. 210</w:t>
      </w:r>
      <w:r w:rsidR="00601B32" w:rsidRPr="007928C8">
        <w:rPr>
          <w:sz w:val="26"/>
          <w:szCs w:val="26"/>
        </w:rPr>
        <w:t xml:space="preserve"> – </w:t>
      </w:r>
      <w:r w:rsidRPr="007928C8">
        <w:rPr>
          <w:sz w:val="26"/>
          <w:szCs w:val="26"/>
        </w:rPr>
        <w:t>215.</w:t>
      </w:r>
      <w:r w:rsidR="00601B32" w:rsidRPr="007928C8">
        <w:rPr>
          <w:sz w:val="26"/>
          <w:szCs w:val="26"/>
        </w:rPr>
        <w:t xml:space="preserve"> </w:t>
      </w:r>
      <w:r w:rsidR="00354FCA" w:rsidRPr="007928C8">
        <w:rPr>
          <w:color w:val="000000"/>
          <w:sz w:val="26"/>
          <w:szCs w:val="26"/>
          <w:lang w:val="lt-LT"/>
        </w:rPr>
        <w:t>Prieiga per internetą: &lt;http://web.ebscohost.com/bsi/pdf&gt; .</w:t>
      </w:r>
    </w:p>
    <w:p w:rsidR="007E7476" w:rsidRPr="00BD15AF" w:rsidRDefault="007E7476"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lang w:val="lt-LT"/>
        </w:rPr>
        <w:t xml:space="preserve">CUSHING </w:t>
      </w:r>
      <w:r w:rsidR="003F5709" w:rsidRPr="007928C8">
        <w:rPr>
          <w:sz w:val="26"/>
          <w:szCs w:val="26"/>
          <w:lang w:val="lt-LT"/>
        </w:rPr>
        <w:t xml:space="preserve">Barry E., </w:t>
      </w:r>
      <w:r w:rsidRPr="007928C8">
        <w:rPr>
          <w:sz w:val="26"/>
          <w:szCs w:val="26"/>
          <w:lang w:val="lt-LT"/>
        </w:rPr>
        <w:t>L</w:t>
      </w:r>
      <w:r w:rsidR="003F5709" w:rsidRPr="007928C8">
        <w:rPr>
          <w:sz w:val="26"/>
          <w:szCs w:val="26"/>
          <w:lang w:val="lt-LT"/>
        </w:rPr>
        <w:t>OEBBECKE James K.</w:t>
      </w:r>
      <w:r w:rsidRPr="007928C8">
        <w:rPr>
          <w:sz w:val="26"/>
          <w:szCs w:val="26"/>
          <w:lang w:val="lt-LT"/>
        </w:rPr>
        <w:t xml:space="preserve"> (1983)</w:t>
      </w:r>
      <w:r w:rsidR="003F5709" w:rsidRPr="007928C8">
        <w:rPr>
          <w:sz w:val="26"/>
          <w:szCs w:val="26"/>
          <w:lang w:val="lt-LT"/>
        </w:rPr>
        <w:t xml:space="preserve"> </w:t>
      </w:r>
      <w:r w:rsidR="003F5709" w:rsidRPr="007928C8">
        <w:rPr>
          <w:sz w:val="26"/>
          <w:szCs w:val="26"/>
        </w:rPr>
        <w:t xml:space="preserve">Analytical Approaches to Audit Risk: A survey and analysis. Iš </w:t>
      </w:r>
      <w:r w:rsidR="003F5709" w:rsidRPr="007928C8">
        <w:rPr>
          <w:i/>
          <w:sz w:val="26"/>
          <w:szCs w:val="26"/>
        </w:rPr>
        <w:t>Auditing: A Journal of Practice &amp; Theory</w:t>
      </w:r>
      <w:r w:rsidR="003F5709" w:rsidRPr="007928C8">
        <w:rPr>
          <w:sz w:val="26"/>
          <w:szCs w:val="26"/>
          <w:lang w:val="lt-LT"/>
        </w:rPr>
        <w:t xml:space="preserve"> </w:t>
      </w:r>
      <w:r w:rsidR="003F5709" w:rsidRPr="007928C8">
        <w:rPr>
          <w:sz w:val="26"/>
          <w:szCs w:val="26"/>
        </w:rPr>
        <w:t>[</w:t>
      </w:r>
      <w:r w:rsidR="003F5709" w:rsidRPr="007928C8">
        <w:rPr>
          <w:sz w:val="26"/>
          <w:szCs w:val="26"/>
          <w:lang w:val="lt-LT"/>
        </w:rPr>
        <w:t>interaktyvus</w:t>
      </w:r>
      <w:r w:rsidR="003F5709" w:rsidRPr="007928C8">
        <w:rPr>
          <w:sz w:val="26"/>
          <w:szCs w:val="26"/>
        </w:rPr>
        <w:t>]. Vol. 3, No.1 Fall, [</w:t>
      </w:r>
      <w:r w:rsidR="003F5709" w:rsidRPr="007928C8">
        <w:rPr>
          <w:sz w:val="26"/>
          <w:szCs w:val="26"/>
          <w:lang w:val="lt-LT"/>
        </w:rPr>
        <w:t>žiūrėta</w:t>
      </w:r>
      <w:r w:rsidR="003F5709" w:rsidRPr="007928C8">
        <w:rPr>
          <w:sz w:val="26"/>
          <w:szCs w:val="26"/>
        </w:rPr>
        <w:t xml:space="preserve"> 2007 m. </w:t>
      </w:r>
      <w:r w:rsidR="003F5709" w:rsidRPr="007928C8">
        <w:rPr>
          <w:sz w:val="26"/>
          <w:szCs w:val="26"/>
          <w:lang w:val="lt-LT"/>
        </w:rPr>
        <w:t>lapkričio</w:t>
      </w:r>
      <w:r w:rsidR="003F5709" w:rsidRPr="007928C8">
        <w:rPr>
          <w:sz w:val="26"/>
          <w:szCs w:val="26"/>
        </w:rPr>
        <w:t xml:space="preserve"> 17 d.], p. 23 – 41.</w:t>
      </w:r>
      <w:r w:rsidR="003F5709" w:rsidRPr="007928C8">
        <w:rPr>
          <w:sz w:val="26"/>
          <w:szCs w:val="26"/>
          <w:lang w:val="lt-LT"/>
        </w:rPr>
        <w:t xml:space="preserve"> Prieiga per internetą: </w:t>
      </w:r>
      <w:r w:rsidR="00C66F5D" w:rsidRPr="007928C8">
        <w:rPr>
          <w:color w:val="000000"/>
          <w:sz w:val="26"/>
          <w:szCs w:val="26"/>
          <w:lang w:val="lt-LT"/>
        </w:rPr>
        <w:t>&lt;http://web.ebscohost.com</w:t>
      </w:r>
      <w:r w:rsidR="00C66F5D" w:rsidRPr="00BD15AF">
        <w:rPr>
          <w:color w:val="000000"/>
          <w:sz w:val="26"/>
          <w:szCs w:val="26"/>
          <w:lang w:val="lt-LT"/>
        </w:rPr>
        <w:t xml:space="preserve">/bsi/pdf&gt;. </w:t>
      </w:r>
    </w:p>
    <w:p w:rsidR="00160C03" w:rsidRPr="007928C8" w:rsidRDefault="00831AC8"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rPr>
        <w:lastRenderedPageBreak/>
        <w:t>Mc</w:t>
      </w:r>
      <w:r w:rsidRPr="007928C8">
        <w:rPr>
          <w:caps/>
          <w:sz w:val="26"/>
          <w:szCs w:val="26"/>
        </w:rPr>
        <w:t>Connell</w:t>
      </w:r>
      <w:r w:rsidR="00D84617" w:rsidRPr="007928C8">
        <w:rPr>
          <w:sz w:val="26"/>
          <w:szCs w:val="26"/>
        </w:rPr>
        <w:t xml:space="preserve"> Donald K.</w:t>
      </w:r>
      <w:r w:rsidRPr="007928C8">
        <w:rPr>
          <w:sz w:val="26"/>
          <w:szCs w:val="26"/>
        </w:rPr>
        <w:t xml:space="preserve"> Jr</w:t>
      </w:r>
      <w:r w:rsidR="00D84617" w:rsidRPr="007928C8">
        <w:rPr>
          <w:sz w:val="26"/>
          <w:szCs w:val="26"/>
        </w:rPr>
        <w:t>.;</w:t>
      </w:r>
      <w:r w:rsidRPr="007928C8">
        <w:rPr>
          <w:sz w:val="26"/>
          <w:szCs w:val="26"/>
        </w:rPr>
        <w:t xml:space="preserve"> </w:t>
      </w:r>
      <w:r w:rsidRPr="007928C8">
        <w:rPr>
          <w:caps/>
          <w:sz w:val="26"/>
          <w:szCs w:val="26"/>
        </w:rPr>
        <w:t>Sweiger</w:t>
      </w:r>
      <w:r w:rsidR="00D84617" w:rsidRPr="007928C8">
        <w:rPr>
          <w:caps/>
          <w:sz w:val="26"/>
          <w:szCs w:val="26"/>
        </w:rPr>
        <w:t>,</w:t>
      </w:r>
      <w:r w:rsidRPr="007928C8">
        <w:rPr>
          <w:sz w:val="26"/>
          <w:szCs w:val="26"/>
        </w:rPr>
        <w:t xml:space="preserve"> Charles H. (2007) Implementing the New ASB Risk Assessment Audit Standards. Iš </w:t>
      </w:r>
      <w:r w:rsidRPr="007928C8">
        <w:rPr>
          <w:i/>
          <w:sz w:val="26"/>
          <w:szCs w:val="26"/>
        </w:rPr>
        <w:t>The CPA Journal</w:t>
      </w:r>
      <w:r w:rsidRPr="007928C8">
        <w:rPr>
          <w:sz w:val="26"/>
          <w:szCs w:val="26"/>
          <w:lang w:val="lt-LT"/>
        </w:rPr>
        <w:t xml:space="preserve"> </w:t>
      </w:r>
      <w:r w:rsidR="00160C03" w:rsidRPr="007928C8">
        <w:rPr>
          <w:sz w:val="26"/>
          <w:szCs w:val="26"/>
        </w:rPr>
        <w:t>[</w:t>
      </w:r>
      <w:r w:rsidR="00160C03" w:rsidRPr="007928C8">
        <w:rPr>
          <w:sz w:val="26"/>
          <w:szCs w:val="26"/>
          <w:lang w:val="lt-LT"/>
        </w:rPr>
        <w:t>interaktyvus</w:t>
      </w:r>
      <w:r w:rsidR="00160C03" w:rsidRPr="007928C8">
        <w:rPr>
          <w:sz w:val="26"/>
          <w:szCs w:val="26"/>
        </w:rPr>
        <w:t>]. June, [</w:t>
      </w:r>
      <w:r w:rsidR="00160C03" w:rsidRPr="007928C8">
        <w:rPr>
          <w:sz w:val="26"/>
          <w:szCs w:val="26"/>
          <w:lang w:val="lt-LT"/>
        </w:rPr>
        <w:t>žiūrėta</w:t>
      </w:r>
      <w:r w:rsidR="00160C03" w:rsidRPr="007928C8">
        <w:rPr>
          <w:sz w:val="26"/>
          <w:szCs w:val="26"/>
        </w:rPr>
        <w:t xml:space="preserve"> 2007 m. </w:t>
      </w:r>
      <w:r w:rsidR="00160C03" w:rsidRPr="007928C8">
        <w:rPr>
          <w:sz w:val="26"/>
          <w:szCs w:val="26"/>
          <w:lang w:val="lt-LT"/>
        </w:rPr>
        <w:t xml:space="preserve">lapkričio </w:t>
      </w:r>
      <w:r w:rsidR="00160C03" w:rsidRPr="007928C8">
        <w:rPr>
          <w:sz w:val="26"/>
          <w:szCs w:val="26"/>
        </w:rPr>
        <w:t>17 d.], p. 20 – 26.</w:t>
      </w:r>
      <w:r w:rsidR="00160C03" w:rsidRPr="007928C8">
        <w:rPr>
          <w:sz w:val="26"/>
          <w:szCs w:val="26"/>
          <w:lang w:val="lt-LT"/>
        </w:rPr>
        <w:t xml:space="preserve"> Prieiga per internetą: &lt;http://web.ebscohost.com/bsi/pdf&gt; .</w:t>
      </w:r>
    </w:p>
    <w:p w:rsidR="00FC13F4" w:rsidRPr="007928C8" w:rsidRDefault="00A55E6C"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rPr>
        <w:t xml:space="preserve">CORMIER, Denis; LAPOINTE, Pascale. (2005) To assess and detect. Detailed audit </w:t>
      </w:r>
      <w:r w:rsidR="00615591" w:rsidRPr="007928C8">
        <w:rPr>
          <w:sz w:val="26"/>
          <w:szCs w:val="26"/>
        </w:rPr>
        <w:t>procedures</w:t>
      </w:r>
      <w:r w:rsidRPr="007928C8">
        <w:rPr>
          <w:sz w:val="26"/>
          <w:szCs w:val="26"/>
        </w:rPr>
        <w:t xml:space="preserve"> such as those</w:t>
      </w:r>
      <w:r w:rsidR="00615591" w:rsidRPr="007928C8">
        <w:rPr>
          <w:sz w:val="26"/>
          <w:szCs w:val="26"/>
        </w:rPr>
        <w:t xml:space="preserve"> mandated b</w:t>
      </w:r>
      <w:r w:rsidR="00810593" w:rsidRPr="007928C8">
        <w:rPr>
          <w:sz w:val="26"/>
          <w:szCs w:val="26"/>
        </w:rPr>
        <w:t xml:space="preserve">y revised section 5135 will likely help auditors uncover existing </w:t>
      </w:r>
      <w:r w:rsidR="00615591" w:rsidRPr="007928C8">
        <w:rPr>
          <w:sz w:val="26"/>
          <w:szCs w:val="26"/>
        </w:rPr>
        <w:t>client</w:t>
      </w:r>
      <w:r w:rsidR="00810593" w:rsidRPr="007928C8">
        <w:rPr>
          <w:sz w:val="26"/>
          <w:szCs w:val="26"/>
        </w:rPr>
        <w:t xml:space="preserve"> fraud. Iš </w:t>
      </w:r>
      <w:r w:rsidR="00810593" w:rsidRPr="007928C8">
        <w:rPr>
          <w:i/>
          <w:sz w:val="26"/>
          <w:szCs w:val="26"/>
        </w:rPr>
        <w:t>C</w:t>
      </w:r>
      <w:r w:rsidR="00091110" w:rsidRPr="007928C8">
        <w:rPr>
          <w:i/>
          <w:sz w:val="26"/>
          <w:szCs w:val="26"/>
        </w:rPr>
        <w:t>A M</w:t>
      </w:r>
      <w:r w:rsidR="00810593" w:rsidRPr="007928C8">
        <w:rPr>
          <w:i/>
          <w:sz w:val="26"/>
          <w:szCs w:val="26"/>
        </w:rPr>
        <w:t>agazine</w:t>
      </w:r>
      <w:r w:rsidR="00810593" w:rsidRPr="007928C8">
        <w:rPr>
          <w:sz w:val="26"/>
          <w:szCs w:val="26"/>
        </w:rPr>
        <w:t xml:space="preserve"> [</w:t>
      </w:r>
      <w:r w:rsidR="00810593" w:rsidRPr="007928C8">
        <w:rPr>
          <w:sz w:val="26"/>
          <w:szCs w:val="26"/>
          <w:lang w:val="lt-LT"/>
        </w:rPr>
        <w:t>interaktyvus</w:t>
      </w:r>
      <w:r w:rsidR="00810593" w:rsidRPr="007928C8">
        <w:rPr>
          <w:sz w:val="26"/>
          <w:szCs w:val="26"/>
        </w:rPr>
        <w:t>]. November, [</w:t>
      </w:r>
      <w:r w:rsidR="00810593" w:rsidRPr="007928C8">
        <w:rPr>
          <w:sz w:val="26"/>
          <w:szCs w:val="26"/>
          <w:lang w:val="lt-LT"/>
        </w:rPr>
        <w:t>žiūrėta</w:t>
      </w:r>
      <w:r w:rsidR="00810593" w:rsidRPr="007928C8">
        <w:rPr>
          <w:sz w:val="26"/>
          <w:szCs w:val="26"/>
        </w:rPr>
        <w:t xml:space="preserve"> 2006 m. </w:t>
      </w:r>
      <w:r w:rsidR="00810593" w:rsidRPr="007928C8">
        <w:rPr>
          <w:sz w:val="26"/>
          <w:szCs w:val="26"/>
          <w:lang w:val="lt-LT"/>
        </w:rPr>
        <w:t>balandžio</w:t>
      </w:r>
      <w:r w:rsidR="00810593" w:rsidRPr="007928C8">
        <w:rPr>
          <w:sz w:val="26"/>
          <w:szCs w:val="26"/>
        </w:rPr>
        <w:t xml:space="preserve"> 7 d.],</w:t>
      </w:r>
      <w:r w:rsidRPr="007928C8">
        <w:rPr>
          <w:sz w:val="26"/>
          <w:szCs w:val="26"/>
        </w:rPr>
        <w:t xml:space="preserve"> p. 51</w:t>
      </w:r>
      <w:r w:rsidR="00615591" w:rsidRPr="007928C8">
        <w:rPr>
          <w:sz w:val="26"/>
          <w:szCs w:val="26"/>
        </w:rPr>
        <w:t xml:space="preserve"> – 52, 54</w:t>
      </w:r>
      <w:r w:rsidRPr="007928C8">
        <w:rPr>
          <w:sz w:val="26"/>
          <w:szCs w:val="26"/>
        </w:rPr>
        <w:t>.</w:t>
      </w:r>
      <w:r w:rsidR="00615591" w:rsidRPr="007928C8">
        <w:rPr>
          <w:sz w:val="26"/>
          <w:szCs w:val="26"/>
          <w:lang w:val="lt-LT"/>
        </w:rPr>
        <w:t xml:space="preserve"> </w:t>
      </w:r>
      <w:r w:rsidR="00C07231" w:rsidRPr="007928C8">
        <w:rPr>
          <w:sz w:val="26"/>
          <w:szCs w:val="26"/>
          <w:lang w:val="lt-LT"/>
        </w:rPr>
        <w:t>Prieiga per internetą: &lt;http://web.ebscohost.com/bsi/pdf&gt; .</w:t>
      </w:r>
    </w:p>
    <w:p w:rsidR="00FC13F4" w:rsidRPr="007928C8" w:rsidRDefault="00FC13F4"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bCs/>
          <w:sz w:val="26"/>
          <w:szCs w:val="26"/>
        </w:rPr>
        <w:t>CURTIS</w:t>
      </w:r>
      <w:r w:rsidR="00D84617" w:rsidRPr="007928C8">
        <w:rPr>
          <w:bCs/>
          <w:sz w:val="26"/>
          <w:szCs w:val="26"/>
        </w:rPr>
        <w:t>,</w:t>
      </w:r>
      <w:r w:rsidR="00D84617" w:rsidRPr="007928C8">
        <w:rPr>
          <w:sz w:val="26"/>
          <w:szCs w:val="26"/>
        </w:rPr>
        <w:t xml:space="preserve"> Emer;</w:t>
      </w:r>
      <w:r w:rsidRPr="007928C8">
        <w:rPr>
          <w:sz w:val="26"/>
          <w:szCs w:val="26"/>
        </w:rPr>
        <w:t xml:space="preserve"> </w:t>
      </w:r>
      <w:r w:rsidRPr="007928C8">
        <w:rPr>
          <w:bCs/>
          <w:sz w:val="26"/>
          <w:szCs w:val="26"/>
        </w:rPr>
        <w:t>TURLEY</w:t>
      </w:r>
      <w:r w:rsidR="00D84617" w:rsidRPr="007928C8">
        <w:rPr>
          <w:bCs/>
          <w:sz w:val="26"/>
          <w:szCs w:val="26"/>
        </w:rPr>
        <w:t>,</w:t>
      </w:r>
      <w:r w:rsidRPr="007928C8">
        <w:rPr>
          <w:sz w:val="26"/>
          <w:szCs w:val="26"/>
        </w:rPr>
        <w:t xml:space="preserve"> Stuart.</w:t>
      </w:r>
      <w:r w:rsidRPr="007928C8">
        <w:rPr>
          <w:bCs/>
          <w:sz w:val="26"/>
          <w:szCs w:val="26"/>
        </w:rPr>
        <w:t xml:space="preserve"> (2007) The business risk audit – A longitudinal case study of an audit engagement. Iš </w:t>
      </w:r>
      <w:r w:rsidRPr="007928C8">
        <w:rPr>
          <w:i/>
          <w:iCs/>
          <w:sz w:val="26"/>
          <w:szCs w:val="26"/>
        </w:rPr>
        <w:t>Accounting, Organizations and Society</w:t>
      </w:r>
      <w:r w:rsidR="006E3E9E" w:rsidRPr="007928C8">
        <w:rPr>
          <w:i/>
          <w:iCs/>
          <w:sz w:val="26"/>
          <w:szCs w:val="26"/>
        </w:rPr>
        <w:t xml:space="preserve"> </w:t>
      </w:r>
      <w:r w:rsidR="006E3E9E" w:rsidRPr="007928C8">
        <w:rPr>
          <w:iCs/>
          <w:sz w:val="26"/>
          <w:szCs w:val="26"/>
        </w:rPr>
        <w:t xml:space="preserve">[interaktyvus]. </w:t>
      </w:r>
      <w:r w:rsidRPr="007928C8">
        <w:rPr>
          <w:sz w:val="26"/>
          <w:szCs w:val="26"/>
        </w:rPr>
        <w:t> </w:t>
      </w:r>
      <w:r w:rsidRPr="007928C8">
        <w:rPr>
          <w:iCs/>
          <w:sz w:val="26"/>
          <w:szCs w:val="26"/>
        </w:rPr>
        <w:t>Vol</w:t>
      </w:r>
      <w:r w:rsidR="006E3E9E" w:rsidRPr="007928C8">
        <w:rPr>
          <w:iCs/>
          <w:sz w:val="26"/>
          <w:szCs w:val="26"/>
        </w:rPr>
        <w:t xml:space="preserve">. </w:t>
      </w:r>
      <w:r w:rsidRPr="007928C8">
        <w:rPr>
          <w:iCs/>
          <w:sz w:val="26"/>
          <w:szCs w:val="26"/>
        </w:rPr>
        <w:t>32, Issues 4-5</w:t>
      </w:r>
      <w:r w:rsidRPr="007928C8">
        <w:rPr>
          <w:sz w:val="26"/>
          <w:szCs w:val="26"/>
        </w:rPr>
        <w:t>, </w:t>
      </w:r>
      <w:r w:rsidRPr="007928C8">
        <w:rPr>
          <w:iCs/>
          <w:sz w:val="26"/>
          <w:szCs w:val="26"/>
        </w:rPr>
        <w:t xml:space="preserve">May-July </w:t>
      </w:r>
      <w:r w:rsidR="006E3E9E" w:rsidRPr="007928C8">
        <w:rPr>
          <w:iCs/>
          <w:sz w:val="26"/>
          <w:szCs w:val="26"/>
        </w:rPr>
        <w:t>[žiūrėta 2007 m. vasario 8 d.]</w:t>
      </w:r>
      <w:r w:rsidR="006E3E9E" w:rsidRPr="007928C8">
        <w:rPr>
          <w:sz w:val="26"/>
          <w:szCs w:val="26"/>
        </w:rPr>
        <w:t>, p. 439</w:t>
      </w:r>
      <w:r w:rsidR="006E3E9E" w:rsidRPr="007928C8">
        <w:rPr>
          <w:iCs/>
          <w:sz w:val="26"/>
          <w:szCs w:val="26"/>
        </w:rPr>
        <w:t xml:space="preserve"> </w:t>
      </w:r>
      <w:r w:rsidR="006E3E9E" w:rsidRPr="007928C8">
        <w:rPr>
          <w:iCs/>
          <w:sz w:val="26"/>
          <w:szCs w:val="26"/>
        </w:rPr>
        <w:softHyphen/>
        <w:t xml:space="preserve"> 461. Prieiga per internetą: &lt;</w:t>
      </w:r>
      <w:r w:rsidR="006E3E9E" w:rsidRPr="007928C8">
        <w:rPr>
          <w:bCs/>
          <w:sz w:val="26"/>
          <w:szCs w:val="26"/>
        </w:rPr>
        <w:t>http://www.sciencedirect.com&gt;.</w:t>
      </w:r>
    </w:p>
    <w:p w:rsidR="002A1917" w:rsidRPr="007928C8" w:rsidRDefault="002A1917"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Čekanavičius</w:t>
      </w:r>
      <w:r w:rsidR="00D84617" w:rsidRPr="007928C8">
        <w:rPr>
          <w:caps/>
          <w:sz w:val="26"/>
          <w:szCs w:val="26"/>
          <w:lang w:val="lt-LT"/>
        </w:rPr>
        <w:t>,</w:t>
      </w:r>
      <w:r w:rsidRPr="007928C8">
        <w:rPr>
          <w:sz w:val="26"/>
          <w:szCs w:val="26"/>
          <w:lang w:val="lt-LT"/>
        </w:rPr>
        <w:t xml:space="preserve"> Vydas</w:t>
      </w:r>
      <w:r w:rsidR="00D84617" w:rsidRPr="007928C8">
        <w:rPr>
          <w:sz w:val="26"/>
          <w:szCs w:val="26"/>
          <w:lang w:val="lt-LT"/>
        </w:rPr>
        <w:t>;</w:t>
      </w:r>
      <w:r w:rsidRPr="007928C8">
        <w:rPr>
          <w:sz w:val="26"/>
          <w:szCs w:val="26"/>
          <w:lang w:val="lt-LT"/>
        </w:rPr>
        <w:t xml:space="preserve"> </w:t>
      </w:r>
      <w:r w:rsidRPr="007928C8">
        <w:rPr>
          <w:caps/>
          <w:sz w:val="26"/>
          <w:szCs w:val="26"/>
          <w:lang w:val="lt-LT"/>
        </w:rPr>
        <w:t>Murauskas</w:t>
      </w:r>
      <w:r w:rsidR="00D84617" w:rsidRPr="007928C8">
        <w:rPr>
          <w:caps/>
          <w:sz w:val="26"/>
          <w:szCs w:val="26"/>
          <w:lang w:val="lt-LT"/>
        </w:rPr>
        <w:t>,</w:t>
      </w:r>
      <w:r w:rsidRPr="007928C8">
        <w:rPr>
          <w:caps/>
          <w:sz w:val="26"/>
          <w:szCs w:val="26"/>
          <w:lang w:val="lt-LT"/>
        </w:rPr>
        <w:t xml:space="preserve"> </w:t>
      </w:r>
      <w:r w:rsidRPr="007928C8">
        <w:rPr>
          <w:sz w:val="26"/>
          <w:szCs w:val="26"/>
          <w:lang w:val="lt-LT"/>
        </w:rPr>
        <w:t>Gediminas.</w:t>
      </w:r>
      <w:r w:rsidRPr="007928C8">
        <w:rPr>
          <w:caps/>
          <w:sz w:val="26"/>
          <w:szCs w:val="26"/>
          <w:lang w:val="lt-LT"/>
        </w:rPr>
        <w:t xml:space="preserve"> (</w:t>
      </w:r>
      <w:r w:rsidRPr="007928C8">
        <w:rPr>
          <w:sz w:val="26"/>
          <w:szCs w:val="26"/>
          <w:lang w:val="lt-LT"/>
        </w:rPr>
        <w:t>200</w:t>
      </w:r>
      <w:r w:rsidR="00DD27A4" w:rsidRPr="007928C8">
        <w:rPr>
          <w:sz w:val="26"/>
          <w:szCs w:val="26"/>
          <w:lang w:val="lt-LT"/>
        </w:rPr>
        <w:t>6</w:t>
      </w:r>
      <w:r w:rsidRPr="007928C8">
        <w:rPr>
          <w:sz w:val="26"/>
          <w:szCs w:val="26"/>
          <w:lang w:val="lt-LT"/>
        </w:rPr>
        <w:t>) Statistika ir jos taikymai: I dalis. Vilnius: TEV</w:t>
      </w:r>
      <w:r w:rsidR="00C8472B" w:rsidRPr="007928C8">
        <w:rPr>
          <w:sz w:val="26"/>
          <w:szCs w:val="26"/>
          <w:lang w:val="lt-LT"/>
        </w:rPr>
        <w:t>, p. 238</w:t>
      </w:r>
      <w:r w:rsidRPr="007928C8">
        <w:rPr>
          <w:sz w:val="26"/>
          <w:szCs w:val="26"/>
          <w:lang w:val="lt-LT"/>
        </w:rPr>
        <w:t>.</w:t>
      </w:r>
      <w:r w:rsidR="00C8472B" w:rsidRPr="007928C8">
        <w:rPr>
          <w:sz w:val="26"/>
          <w:szCs w:val="26"/>
          <w:lang w:val="lt-LT"/>
        </w:rPr>
        <w:t xml:space="preserve"> ISBN 9986-546-93-1.</w:t>
      </w:r>
    </w:p>
    <w:p w:rsidR="00C8472B" w:rsidRPr="007928C8" w:rsidRDefault="00C8472B"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Čekanavičius</w:t>
      </w:r>
      <w:r w:rsidR="00D84617" w:rsidRPr="007928C8">
        <w:rPr>
          <w:caps/>
          <w:sz w:val="26"/>
          <w:szCs w:val="26"/>
          <w:lang w:val="lt-LT"/>
        </w:rPr>
        <w:t>,</w:t>
      </w:r>
      <w:r w:rsidRPr="007928C8">
        <w:rPr>
          <w:sz w:val="26"/>
          <w:szCs w:val="26"/>
          <w:lang w:val="lt-LT"/>
        </w:rPr>
        <w:t xml:space="preserve"> Vydas</w:t>
      </w:r>
      <w:r w:rsidR="00D84617" w:rsidRPr="007928C8">
        <w:rPr>
          <w:sz w:val="26"/>
          <w:szCs w:val="26"/>
          <w:lang w:val="lt-LT"/>
        </w:rPr>
        <w:t>;</w:t>
      </w:r>
      <w:r w:rsidRPr="007928C8">
        <w:rPr>
          <w:sz w:val="26"/>
          <w:szCs w:val="26"/>
          <w:lang w:val="lt-LT"/>
        </w:rPr>
        <w:t xml:space="preserve"> </w:t>
      </w:r>
      <w:r w:rsidRPr="007928C8">
        <w:rPr>
          <w:caps/>
          <w:sz w:val="26"/>
          <w:szCs w:val="26"/>
          <w:lang w:val="lt-LT"/>
        </w:rPr>
        <w:t>Murauskas</w:t>
      </w:r>
      <w:r w:rsidR="00D84617" w:rsidRPr="007928C8">
        <w:rPr>
          <w:caps/>
          <w:sz w:val="26"/>
          <w:szCs w:val="26"/>
          <w:lang w:val="lt-LT"/>
        </w:rPr>
        <w:t>,</w:t>
      </w:r>
      <w:r w:rsidRPr="007928C8">
        <w:rPr>
          <w:caps/>
          <w:sz w:val="26"/>
          <w:szCs w:val="26"/>
          <w:lang w:val="lt-LT"/>
        </w:rPr>
        <w:t xml:space="preserve"> </w:t>
      </w:r>
      <w:r w:rsidRPr="007928C8">
        <w:rPr>
          <w:sz w:val="26"/>
          <w:szCs w:val="26"/>
          <w:lang w:val="lt-LT"/>
        </w:rPr>
        <w:t>Gediminas.</w:t>
      </w:r>
      <w:r w:rsidRPr="007928C8">
        <w:rPr>
          <w:caps/>
          <w:sz w:val="26"/>
          <w:szCs w:val="26"/>
          <w:lang w:val="lt-LT"/>
        </w:rPr>
        <w:t xml:space="preserve"> (</w:t>
      </w:r>
      <w:r w:rsidRPr="007928C8">
        <w:rPr>
          <w:sz w:val="26"/>
          <w:szCs w:val="26"/>
          <w:lang w:val="lt-LT"/>
        </w:rPr>
        <w:t>2008) Statistika ir jos taikymai: II dalis. Vilnius: TEV, p. 268. ISBN 9955-491-16-7.</w:t>
      </w:r>
    </w:p>
    <w:p w:rsidR="000E3036" w:rsidRPr="007928C8" w:rsidRDefault="00E51589"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ČEPINSKIS, Jonas</w:t>
      </w:r>
      <w:r w:rsidR="00D84617" w:rsidRPr="007928C8">
        <w:rPr>
          <w:sz w:val="26"/>
          <w:szCs w:val="26"/>
          <w:lang w:val="lt-LT"/>
        </w:rPr>
        <w:t>;</w:t>
      </w:r>
      <w:r w:rsidRPr="007928C8">
        <w:rPr>
          <w:sz w:val="26"/>
          <w:szCs w:val="26"/>
          <w:lang w:val="lt-LT"/>
        </w:rPr>
        <w:t xml:space="preserve"> RAŠKINIS, Dalius. (2004) Draudimo veikla</w:t>
      </w:r>
      <w:r w:rsidR="00E44CB6" w:rsidRPr="007928C8">
        <w:rPr>
          <w:sz w:val="26"/>
          <w:szCs w:val="26"/>
          <w:lang w:val="lt-LT"/>
        </w:rPr>
        <w:t>: vadovėlis. Kaunas: VDU. P. 290. ISBN 9955-12-035-5.</w:t>
      </w:r>
    </w:p>
    <w:p w:rsidR="008B74E1" w:rsidRPr="007928C8" w:rsidRDefault="008B74E1"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Dabartinės lietuvių kalbos žodynas. (2006) [interaktyvus]. [žiūrėta 2006 m. balandžio 7 d.]. Prieiga per </w:t>
      </w:r>
      <w:r w:rsidR="000E3036" w:rsidRPr="007928C8">
        <w:rPr>
          <w:sz w:val="26"/>
          <w:szCs w:val="26"/>
          <w:lang w:val="lt-LT"/>
        </w:rPr>
        <w:t>internetą: &lt;http:// autoinfa.lt&gt; .</w:t>
      </w:r>
    </w:p>
    <w:p w:rsidR="00851635" w:rsidRPr="00BD15AF"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BD15AF">
        <w:rPr>
          <w:sz w:val="26"/>
          <w:szCs w:val="26"/>
          <w:lang w:val="lt-LT"/>
        </w:rPr>
        <w:t>DAVIES, M</w:t>
      </w:r>
      <w:r w:rsidR="006161D2" w:rsidRPr="00BD15AF">
        <w:rPr>
          <w:sz w:val="26"/>
          <w:szCs w:val="26"/>
          <w:lang w:val="lt-LT"/>
        </w:rPr>
        <w:t>ark</w:t>
      </w:r>
      <w:r w:rsidRPr="00BD15AF">
        <w:rPr>
          <w:sz w:val="26"/>
          <w:szCs w:val="26"/>
          <w:lang w:val="lt-LT"/>
        </w:rPr>
        <w:t xml:space="preserve">. (2001) </w:t>
      </w:r>
      <w:r w:rsidRPr="00BD15AF">
        <w:rPr>
          <w:sz w:val="26"/>
          <w:szCs w:val="26"/>
        </w:rPr>
        <w:t xml:space="preserve">Auditing in the New </w:t>
      </w:r>
      <w:r w:rsidR="006A7331" w:rsidRPr="00BD15AF">
        <w:rPr>
          <w:sz w:val="26"/>
          <w:szCs w:val="26"/>
        </w:rPr>
        <w:t>Millennium</w:t>
      </w:r>
      <w:r w:rsidRPr="00BD15AF">
        <w:rPr>
          <w:sz w:val="26"/>
          <w:szCs w:val="26"/>
          <w:lang w:val="lt-LT"/>
        </w:rPr>
        <w:t>. [</w:t>
      </w:r>
      <w:r w:rsidR="006161D2" w:rsidRPr="00BD15AF">
        <w:rPr>
          <w:sz w:val="26"/>
          <w:szCs w:val="26"/>
          <w:lang w:val="lt-LT"/>
        </w:rPr>
        <w:t>interaktyvus</w:t>
      </w:r>
      <w:r w:rsidRPr="00BD15AF">
        <w:rPr>
          <w:color w:val="000000"/>
          <w:sz w:val="26"/>
          <w:szCs w:val="26"/>
          <w:lang w:val="lt-LT"/>
        </w:rPr>
        <w:t>]. [</w:t>
      </w:r>
      <w:r w:rsidR="006161D2" w:rsidRPr="00BD15AF">
        <w:rPr>
          <w:color w:val="000000"/>
          <w:sz w:val="26"/>
          <w:szCs w:val="26"/>
          <w:lang w:val="lt-LT"/>
        </w:rPr>
        <w:t>žiūrėta</w:t>
      </w:r>
      <w:r w:rsidRPr="00BD15AF">
        <w:rPr>
          <w:color w:val="000000"/>
          <w:sz w:val="26"/>
          <w:szCs w:val="26"/>
          <w:lang w:val="lt-LT"/>
        </w:rPr>
        <w:t xml:space="preserve"> 2004</w:t>
      </w:r>
      <w:r w:rsidR="006161D2" w:rsidRPr="00BD15AF">
        <w:rPr>
          <w:color w:val="000000"/>
          <w:sz w:val="26"/>
          <w:szCs w:val="26"/>
          <w:lang w:val="lt-LT"/>
        </w:rPr>
        <w:t xml:space="preserve"> m. kovo 15 d.</w:t>
      </w:r>
      <w:r w:rsidRPr="00BD15AF">
        <w:rPr>
          <w:color w:val="000000"/>
          <w:sz w:val="26"/>
          <w:szCs w:val="26"/>
          <w:lang w:val="lt-LT"/>
        </w:rPr>
        <w:t xml:space="preserve">]. </w:t>
      </w:r>
      <w:r w:rsidR="00DC5615" w:rsidRPr="00BD15AF">
        <w:rPr>
          <w:color w:val="000000"/>
          <w:sz w:val="26"/>
          <w:szCs w:val="26"/>
          <w:lang w:val="lt-LT"/>
        </w:rPr>
        <w:t>Prieiga</w:t>
      </w:r>
      <w:r w:rsidR="0030681D" w:rsidRPr="00BD15AF">
        <w:rPr>
          <w:color w:val="000000"/>
          <w:sz w:val="26"/>
          <w:szCs w:val="26"/>
          <w:lang w:val="lt-LT"/>
        </w:rPr>
        <w:t xml:space="preserve"> per internetą:</w:t>
      </w:r>
      <w:r w:rsidR="00BD15AF" w:rsidRPr="00BD15AF">
        <w:rPr>
          <w:color w:val="000000"/>
          <w:sz w:val="26"/>
          <w:szCs w:val="26"/>
          <w:lang w:val="lt-LT"/>
        </w:rPr>
        <w:t xml:space="preserve"> </w:t>
      </w:r>
      <w:r w:rsidRPr="00BD15AF">
        <w:rPr>
          <w:color w:val="000000"/>
          <w:sz w:val="26"/>
          <w:szCs w:val="26"/>
          <w:lang w:val="lt-LT"/>
        </w:rPr>
        <w:t>&lt;http://www.yuatac.com/Auditing%20in%20the%20New%20Millennium.pdf&gt;.</w:t>
      </w:r>
    </w:p>
    <w:p w:rsidR="00BD15AF"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DUSENBURY, </w:t>
      </w:r>
      <w:r w:rsidRPr="007928C8">
        <w:rPr>
          <w:sz w:val="26"/>
          <w:szCs w:val="26"/>
        </w:rPr>
        <w:t>R</w:t>
      </w:r>
      <w:r w:rsidR="00024417" w:rsidRPr="007928C8">
        <w:rPr>
          <w:sz w:val="26"/>
          <w:szCs w:val="26"/>
        </w:rPr>
        <w:t>ichard</w:t>
      </w:r>
      <w:r w:rsidR="00B228C3" w:rsidRPr="007928C8">
        <w:rPr>
          <w:sz w:val="26"/>
          <w:szCs w:val="26"/>
          <w:lang w:val="lt-LT"/>
        </w:rPr>
        <w:t>;</w:t>
      </w:r>
      <w:r w:rsidRPr="007928C8">
        <w:rPr>
          <w:sz w:val="26"/>
          <w:szCs w:val="26"/>
          <w:lang w:val="lt-LT"/>
        </w:rPr>
        <w:t xml:space="preserve"> REIMERS, J</w:t>
      </w:r>
      <w:r w:rsidR="00024417" w:rsidRPr="007928C8">
        <w:rPr>
          <w:sz w:val="26"/>
          <w:szCs w:val="26"/>
          <w:lang w:val="lt-LT"/>
        </w:rPr>
        <w:t>ane</w:t>
      </w:r>
      <w:r w:rsidR="00B228C3" w:rsidRPr="007928C8">
        <w:rPr>
          <w:sz w:val="26"/>
          <w:szCs w:val="26"/>
          <w:lang w:val="lt-LT"/>
        </w:rPr>
        <w:t>;</w:t>
      </w:r>
      <w:r w:rsidRPr="007928C8">
        <w:rPr>
          <w:sz w:val="26"/>
          <w:szCs w:val="26"/>
          <w:lang w:val="lt-LT"/>
        </w:rPr>
        <w:t xml:space="preserve"> WHEELER, </w:t>
      </w:r>
      <w:r w:rsidRPr="007928C8">
        <w:rPr>
          <w:sz w:val="26"/>
          <w:szCs w:val="26"/>
        </w:rPr>
        <w:t>S</w:t>
      </w:r>
      <w:r w:rsidR="00024417" w:rsidRPr="007928C8">
        <w:rPr>
          <w:sz w:val="26"/>
          <w:szCs w:val="26"/>
        </w:rPr>
        <w:t>tephen</w:t>
      </w:r>
      <w:r w:rsidRPr="007928C8">
        <w:rPr>
          <w:sz w:val="26"/>
          <w:szCs w:val="26"/>
          <w:lang w:val="lt-LT"/>
        </w:rPr>
        <w:t>. (2000</w:t>
      </w:r>
      <w:r w:rsidR="00DB781D" w:rsidRPr="007928C8">
        <w:rPr>
          <w:sz w:val="26"/>
          <w:szCs w:val="26"/>
          <w:lang w:val="lt-LT"/>
        </w:rPr>
        <w:t>a</w:t>
      </w:r>
      <w:r w:rsidRPr="007928C8">
        <w:rPr>
          <w:sz w:val="26"/>
          <w:szCs w:val="26"/>
          <w:lang w:val="lt-LT"/>
        </w:rPr>
        <w:t xml:space="preserve">) </w:t>
      </w:r>
      <w:r w:rsidRPr="007928C8">
        <w:rPr>
          <w:sz w:val="26"/>
          <w:szCs w:val="26"/>
        </w:rPr>
        <w:t>The audit risk model</w:t>
      </w:r>
      <w:r w:rsidR="00B54806" w:rsidRPr="007928C8">
        <w:rPr>
          <w:sz w:val="26"/>
          <w:szCs w:val="26"/>
        </w:rPr>
        <w:t>:</w:t>
      </w:r>
      <w:r w:rsidR="00A95C03" w:rsidRPr="007928C8">
        <w:rPr>
          <w:sz w:val="26"/>
          <w:szCs w:val="26"/>
        </w:rPr>
        <w:t xml:space="preserve"> </w:t>
      </w:r>
      <w:r w:rsidR="00B54806" w:rsidRPr="007928C8">
        <w:rPr>
          <w:sz w:val="26"/>
          <w:szCs w:val="26"/>
        </w:rPr>
        <w:t>t</w:t>
      </w:r>
      <w:r w:rsidRPr="007928C8">
        <w:rPr>
          <w:sz w:val="26"/>
          <w:szCs w:val="26"/>
        </w:rPr>
        <w:t xml:space="preserve">he </w:t>
      </w:r>
      <w:r w:rsidRPr="007928C8">
        <w:rPr>
          <w:color w:val="000000"/>
          <w:sz w:val="26"/>
          <w:szCs w:val="26"/>
        </w:rPr>
        <w:t>interdependence of components risks</w:t>
      </w:r>
      <w:r w:rsidRPr="007928C8">
        <w:rPr>
          <w:i/>
          <w:color w:val="000000"/>
          <w:sz w:val="26"/>
          <w:szCs w:val="26"/>
          <w:lang w:val="lt-LT"/>
        </w:rPr>
        <w:t>.</w:t>
      </w:r>
      <w:r w:rsidRPr="007928C8">
        <w:rPr>
          <w:color w:val="000000"/>
          <w:sz w:val="26"/>
          <w:szCs w:val="26"/>
          <w:lang w:val="lt-LT"/>
        </w:rPr>
        <w:t xml:space="preserve"> </w:t>
      </w:r>
      <w:r w:rsidR="00B54806" w:rsidRPr="007928C8">
        <w:rPr>
          <w:color w:val="000000"/>
          <w:sz w:val="26"/>
          <w:szCs w:val="26"/>
          <w:lang w:val="lt-LT"/>
        </w:rPr>
        <w:t xml:space="preserve">Iš </w:t>
      </w:r>
      <w:r w:rsidR="00732696" w:rsidRPr="007928C8">
        <w:rPr>
          <w:i/>
          <w:color w:val="000000"/>
          <w:sz w:val="26"/>
          <w:szCs w:val="26"/>
        </w:rPr>
        <w:t>Journal of Accountancy</w:t>
      </w:r>
      <w:r w:rsidR="00732696" w:rsidRPr="007928C8">
        <w:rPr>
          <w:color w:val="000000"/>
          <w:sz w:val="26"/>
          <w:szCs w:val="26"/>
          <w:lang w:val="lt-LT"/>
        </w:rPr>
        <w:t xml:space="preserve"> </w:t>
      </w:r>
      <w:r w:rsidRPr="007928C8">
        <w:rPr>
          <w:color w:val="000000"/>
          <w:sz w:val="26"/>
          <w:szCs w:val="26"/>
          <w:lang w:val="lt-LT"/>
        </w:rPr>
        <w:t>[</w:t>
      </w:r>
      <w:r w:rsidR="00AD4184" w:rsidRPr="007928C8">
        <w:rPr>
          <w:color w:val="000000"/>
          <w:sz w:val="26"/>
          <w:szCs w:val="26"/>
          <w:lang w:val="lt-LT"/>
        </w:rPr>
        <w:t>interaktyvus</w:t>
      </w:r>
      <w:r w:rsidRPr="007928C8">
        <w:rPr>
          <w:color w:val="000000"/>
          <w:sz w:val="26"/>
          <w:szCs w:val="26"/>
          <w:lang w:val="lt-LT"/>
        </w:rPr>
        <w:t xml:space="preserve">]. </w:t>
      </w:r>
      <w:r w:rsidR="00732696" w:rsidRPr="007928C8">
        <w:rPr>
          <w:color w:val="000000"/>
          <w:sz w:val="26"/>
          <w:szCs w:val="26"/>
        </w:rPr>
        <w:t>September,</w:t>
      </w:r>
      <w:r w:rsidR="00732696" w:rsidRPr="007928C8">
        <w:rPr>
          <w:color w:val="000000"/>
          <w:sz w:val="26"/>
          <w:szCs w:val="26"/>
          <w:lang w:val="lt-LT"/>
        </w:rPr>
        <w:t xml:space="preserve"> </w:t>
      </w:r>
      <w:r w:rsidRPr="007928C8">
        <w:rPr>
          <w:color w:val="000000"/>
          <w:sz w:val="26"/>
          <w:szCs w:val="26"/>
          <w:lang w:val="lt-LT"/>
        </w:rPr>
        <w:t>[</w:t>
      </w:r>
      <w:r w:rsidR="00AD4184" w:rsidRPr="007928C8">
        <w:rPr>
          <w:color w:val="000000"/>
          <w:sz w:val="26"/>
          <w:szCs w:val="26"/>
          <w:lang w:val="lt-LT"/>
        </w:rPr>
        <w:t>žiūrėta</w:t>
      </w:r>
      <w:r w:rsidRPr="007928C8">
        <w:rPr>
          <w:color w:val="000000"/>
          <w:sz w:val="26"/>
          <w:szCs w:val="26"/>
          <w:lang w:val="lt-LT"/>
        </w:rPr>
        <w:t xml:space="preserve"> 2004</w:t>
      </w:r>
      <w:r w:rsidR="008112D3" w:rsidRPr="007928C8">
        <w:rPr>
          <w:color w:val="000000"/>
          <w:sz w:val="26"/>
          <w:szCs w:val="26"/>
          <w:lang w:val="lt-LT"/>
        </w:rPr>
        <w:t xml:space="preserve"> m. sausio </w:t>
      </w:r>
      <w:r w:rsidRPr="007928C8">
        <w:rPr>
          <w:color w:val="000000"/>
          <w:sz w:val="26"/>
          <w:szCs w:val="26"/>
          <w:lang w:val="lt-LT"/>
        </w:rPr>
        <w:t>15</w:t>
      </w:r>
      <w:r w:rsidR="008112D3" w:rsidRPr="007928C8">
        <w:rPr>
          <w:color w:val="000000"/>
          <w:sz w:val="26"/>
          <w:szCs w:val="26"/>
          <w:lang w:val="lt-LT"/>
        </w:rPr>
        <w:t xml:space="preserve"> d.</w:t>
      </w:r>
      <w:r w:rsidRPr="007928C8">
        <w:rPr>
          <w:color w:val="000000"/>
          <w:sz w:val="26"/>
          <w:szCs w:val="26"/>
          <w:lang w:val="lt-LT"/>
        </w:rPr>
        <w:t>]</w:t>
      </w:r>
      <w:r w:rsidR="00732696" w:rsidRPr="007928C8">
        <w:rPr>
          <w:color w:val="000000"/>
          <w:sz w:val="26"/>
          <w:szCs w:val="26"/>
          <w:lang w:val="lt-LT"/>
        </w:rPr>
        <w:t>, p. 103</w:t>
      </w:r>
      <w:r w:rsidRPr="007928C8">
        <w:rPr>
          <w:color w:val="000000"/>
          <w:sz w:val="26"/>
          <w:szCs w:val="26"/>
          <w:lang w:val="lt-LT"/>
        </w:rPr>
        <w:t xml:space="preserve">. </w:t>
      </w:r>
      <w:r w:rsidR="00DF5126" w:rsidRPr="007928C8">
        <w:rPr>
          <w:color w:val="000000"/>
          <w:sz w:val="26"/>
          <w:szCs w:val="26"/>
          <w:lang w:val="lt-LT"/>
        </w:rPr>
        <w:t xml:space="preserve">Prieiga </w:t>
      </w:r>
      <w:r w:rsidR="00DF5126" w:rsidRPr="007928C8">
        <w:rPr>
          <w:sz w:val="26"/>
          <w:szCs w:val="26"/>
          <w:lang w:val="lt-LT"/>
        </w:rPr>
        <w:t>per i</w:t>
      </w:r>
      <w:r w:rsidRPr="007928C8">
        <w:rPr>
          <w:sz w:val="26"/>
          <w:szCs w:val="26"/>
          <w:lang w:val="lt-LT"/>
        </w:rPr>
        <w:t>nternet</w:t>
      </w:r>
      <w:r w:rsidR="00DF5126" w:rsidRPr="007928C8">
        <w:rPr>
          <w:sz w:val="26"/>
          <w:szCs w:val="26"/>
          <w:lang w:val="lt-LT"/>
        </w:rPr>
        <w:t>ą</w:t>
      </w:r>
      <w:r w:rsidR="00BD15AF">
        <w:rPr>
          <w:sz w:val="26"/>
          <w:szCs w:val="26"/>
          <w:lang w:val="lt-LT"/>
        </w:rPr>
        <w:t>:</w:t>
      </w:r>
      <w:r w:rsidRPr="007928C8">
        <w:rPr>
          <w:sz w:val="26"/>
          <w:szCs w:val="26"/>
          <w:lang w:val="lt-LT"/>
        </w:rPr>
        <w:t>&lt;</w:t>
      </w:r>
      <w:r w:rsidRPr="00BD15AF">
        <w:rPr>
          <w:sz w:val="26"/>
          <w:szCs w:val="26"/>
          <w:lang w:val="lt-LT"/>
        </w:rPr>
        <w:t>http://www.aicpa.org/pubs/</w:t>
      </w:r>
    </w:p>
    <w:p w:rsidR="00851635" w:rsidRPr="00BD15AF" w:rsidRDefault="00851635" w:rsidP="000406FA">
      <w:pPr>
        <w:tabs>
          <w:tab w:val="left" w:pos="567"/>
        </w:tabs>
        <w:spacing w:before="120"/>
        <w:ind w:left="567"/>
        <w:jc w:val="both"/>
        <w:rPr>
          <w:sz w:val="26"/>
          <w:szCs w:val="26"/>
          <w:lang w:val="lt-LT"/>
        </w:rPr>
      </w:pPr>
      <w:r w:rsidRPr="00BD15AF">
        <w:rPr>
          <w:sz w:val="26"/>
          <w:szCs w:val="26"/>
          <w:lang w:val="lt-LT"/>
        </w:rPr>
        <w:t>jofa/sep2000/prac-aud.htm&gt;.</w:t>
      </w:r>
    </w:p>
    <w:p w:rsidR="00DB781D" w:rsidRPr="007928C8" w:rsidRDefault="00DB781D"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DUSENBURY, </w:t>
      </w:r>
      <w:r w:rsidRPr="007928C8">
        <w:rPr>
          <w:sz w:val="26"/>
          <w:szCs w:val="26"/>
        </w:rPr>
        <w:t>Richard</w:t>
      </w:r>
      <w:r w:rsidRPr="007928C8">
        <w:rPr>
          <w:sz w:val="26"/>
          <w:szCs w:val="26"/>
          <w:lang w:val="lt-LT"/>
        </w:rPr>
        <w:t xml:space="preserve">; REIMERS, Jane; WHEELER, </w:t>
      </w:r>
      <w:r w:rsidRPr="007928C8">
        <w:rPr>
          <w:sz w:val="26"/>
          <w:szCs w:val="26"/>
        </w:rPr>
        <w:t>Stephen</w:t>
      </w:r>
      <w:r w:rsidRPr="007928C8">
        <w:rPr>
          <w:sz w:val="26"/>
          <w:szCs w:val="26"/>
          <w:lang w:val="lt-LT"/>
        </w:rPr>
        <w:t xml:space="preserve">. (2000b) </w:t>
      </w:r>
      <w:r w:rsidRPr="007928C8">
        <w:rPr>
          <w:sz w:val="26"/>
          <w:szCs w:val="26"/>
        </w:rPr>
        <w:t>The Audit Risk model: An Empirical Test for Conditional Dependencies among Assessed Component Risks</w:t>
      </w:r>
      <w:r w:rsidRPr="007928C8">
        <w:rPr>
          <w:i/>
          <w:color w:val="000000"/>
          <w:sz w:val="26"/>
          <w:szCs w:val="26"/>
          <w:lang w:val="lt-LT"/>
        </w:rPr>
        <w:t>.</w:t>
      </w:r>
      <w:r w:rsidRPr="007928C8">
        <w:rPr>
          <w:color w:val="000000"/>
          <w:sz w:val="26"/>
          <w:szCs w:val="26"/>
          <w:lang w:val="lt-LT"/>
        </w:rPr>
        <w:t xml:space="preserve"> Iš </w:t>
      </w:r>
      <w:r w:rsidRPr="007928C8">
        <w:rPr>
          <w:i/>
          <w:color w:val="000000"/>
          <w:sz w:val="26"/>
          <w:szCs w:val="26"/>
          <w:lang w:val="lt-LT"/>
        </w:rPr>
        <w:t xml:space="preserve">Auditing: </w:t>
      </w:r>
      <w:r w:rsidRPr="007928C8">
        <w:rPr>
          <w:color w:val="000000"/>
          <w:sz w:val="26"/>
          <w:szCs w:val="26"/>
          <w:lang w:val="lt-LT"/>
        </w:rPr>
        <w:t xml:space="preserve">A </w:t>
      </w:r>
      <w:r w:rsidRPr="007928C8">
        <w:rPr>
          <w:i/>
          <w:color w:val="000000"/>
          <w:sz w:val="26"/>
          <w:szCs w:val="26"/>
        </w:rPr>
        <w:t xml:space="preserve">Journal of Practice &amp; Theory </w:t>
      </w:r>
      <w:r w:rsidRPr="007928C8">
        <w:rPr>
          <w:color w:val="000000"/>
          <w:sz w:val="26"/>
          <w:szCs w:val="26"/>
          <w:lang w:val="lt-LT"/>
        </w:rPr>
        <w:t xml:space="preserve">[interaktyvus]. Vol. 19, No. 2 [žiūrėta 2008 m. kovo 14 d.], p. 103. Prieiga </w:t>
      </w:r>
      <w:r w:rsidRPr="007928C8">
        <w:rPr>
          <w:sz w:val="26"/>
          <w:szCs w:val="26"/>
          <w:lang w:val="lt-LT"/>
        </w:rPr>
        <w:t xml:space="preserve">per internetą: </w:t>
      </w:r>
      <w:r w:rsidR="00C66F5D" w:rsidRPr="007928C8">
        <w:rPr>
          <w:color w:val="000000"/>
          <w:sz w:val="26"/>
          <w:szCs w:val="26"/>
          <w:lang w:val="lt-LT"/>
        </w:rPr>
        <w:t>&lt;http://web.ebscohost.com/bsi/pdf&gt;.</w:t>
      </w:r>
    </w:p>
    <w:p w:rsidR="00721C4A" w:rsidRPr="007928C8" w:rsidRDefault="00721C4A"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DAUJOTAITĖ, Dalia. (2006)</w:t>
      </w:r>
      <w:r w:rsidRPr="007928C8">
        <w:rPr>
          <w:i/>
          <w:sz w:val="26"/>
          <w:szCs w:val="26"/>
          <w:lang w:val="lt-LT"/>
        </w:rPr>
        <w:t xml:space="preserve"> Finansinis auditas</w:t>
      </w:r>
      <w:r w:rsidRPr="007928C8">
        <w:rPr>
          <w:sz w:val="26"/>
          <w:szCs w:val="26"/>
          <w:lang w:val="lt-LT"/>
        </w:rPr>
        <w:t xml:space="preserve">. Mokomoji knyga. </w:t>
      </w:r>
      <w:r w:rsidR="002C3D22" w:rsidRPr="007928C8">
        <w:rPr>
          <w:sz w:val="26"/>
          <w:szCs w:val="26"/>
          <w:lang w:val="lt-LT"/>
        </w:rPr>
        <w:t xml:space="preserve">Vilnius: </w:t>
      </w:r>
      <w:r w:rsidRPr="007928C8">
        <w:rPr>
          <w:sz w:val="26"/>
          <w:szCs w:val="26"/>
          <w:lang w:val="lt-LT"/>
        </w:rPr>
        <w:t>V</w:t>
      </w:r>
      <w:r w:rsidR="002C3D22" w:rsidRPr="007928C8">
        <w:rPr>
          <w:sz w:val="26"/>
          <w:szCs w:val="26"/>
          <w:lang w:val="lt-LT"/>
        </w:rPr>
        <w:t>ilniaus vadybos aukštoji mokykla. 189 p.</w:t>
      </w:r>
      <w:r w:rsidR="00601B32" w:rsidRPr="007928C8">
        <w:rPr>
          <w:sz w:val="26"/>
          <w:szCs w:val="26"/>
          <w:lang w:val="lt-LT"/>
        </w:rPr>
        <w:t xml:space="preserve"> </w:t>
      </w:r>
      <w:r w:rsidR="002C3D22" w:rsidRPr="007928C8">
        <w:rPr>
          <w:sz w:val="26"/>
          <w:szCs w:val="26"/>
          <w:lang w:val="lt-LT"/>
        </w:rPr>
        <w:t>ISBN 9955-528-12-5.</w:t>
      </w:r>
    </w:p>
    <w:p w:rsidR="00BD15AF" w:rsidRDefault="00BE72EE" w:rsidP="000406FA">
      <w:pPr>
        <w:numPr>
          <w:ilvl w:val="0"/>
          <w:numId w:val="4"/>
        </w:numPr>
        <w:tabs>
          <w:tab w:val="clear" w:pos="720"/>
          <w:tab w:val="left" w:pos="540"/>
          <w:tab w:val="left" w:pos="567"/>
          <w:tab w:val="left" w:pos="709"/>
        </w:tabs>
        <w:spacing w:before="120"/>
        <w:ind w:left="567" w:hanging="567"/>
        <w:jc w:val="both"/>
        <w:rPr>
          <w:rFonts w:ascii="EUAlbertina-Bold" w:hAnsi="EUAlbertina-Bold" w:cs="EUAlbertina-Bold"/>
          <w:b/>
          <w:bCs/>
          <w:sz w:val="26"/>
          <w:szCs w:val="26"/>
        </w:rPr>
      </w:pPr>
      <w:r w:rsidRPr="007928C8">
        <w:rPr>
          <w:sz w:val="26"/>
          <w:szCs w:val="26"/>
        </w:rPr>
        <w:t>DANIEL</w:t>
      </w:r>
      <w:r w:rsidRPr="007928C8">
        <w:rPr>
          <w:caps/>
          <w:sz w:val="26"/>
          <w:szCs w:val="26"/>
        </w:rPr>
        <w:t>,</w:t>
      </w:r>
      <w:r w:rsidRPr="007928C8">
        <w:rPr>
          <w:sz w:val="26"/>
          <w:szCs w:val="26"/>
        </w:rPr>
        <w:t xml:space="preserve"> </w:t>
      </w:r>
      <w:r w:rsidRPr="007928C8">
        <w:rPr>
          <w:caps/>
          <w:sz w:val="26"/>
          <w:szCs w:val="26"/>
        </w:rPr>
        <w:t>S</w:t>
      </w:r>
      <w:r w:rsidRPr="007928C8">
        <w:rPr>
          <w:sz w:val="26"/>
          <w:szCs w:val="26"/>
        </w:rPr>
        <w:t>hirley</w:t>
      </w:r>
      <w:r w:rsidR="00EB408E" w:rsidRPr="007928C8">
        <w:rPr>
          <w:sz w:val="26"/>
          <w:szCs w:val="26"/>
        </w:rPr>
        <w:t xml:space="preserve"> J.</w:t>
      </w:r>
      <w:r w:rsidRPr="007928C8">
        <w:rPr>
          <w:sz w:val="26"/>
          <w:szCs w:val="26"/>
        </w:rPr>
        <w:t xml:space="preserve"> (1988) Some empirical evidence about the assessment of audit risk in practice. </w:t>
      </w:r>
      <w:r w:rsidRPr="007928C8">
        <w:rPr>
          <w:sz w:val="26"/>
          <w:szCs w:val="26"/>
          <w:lang w:val="lt-LT"/>
        </w:rPr>
        <w:t>Iš</w:t>
      </w:r>
      <w:r w:rsidRPr="007928C8">
        <w:rPr>
          <w:sz w:val="26"/>
          <w:szCs w:val="26"/>
        </w:rPr>
        <w:t xml:space="preserve"> </w:t>
      </w:r>
      <w:r w:rsidRPr="007928C8">
        <w:rPr>
          <w:i/>
          <w:sz w:val="26"/>
          <w:szCs w:val="26"/>
        </w:rPr>
        <w:t xml:space="preserve">Auditing: A </w:t>
      </w:r>
      <w:r w:rsidR="00C66F5D" w:rsidRPr="007928C8">
        <w:rPr>
          <w:i/>
          <w:sz w:val="26"/>
          <w:szCs w:val="26"/>
        </w:rPr>
        <w:t>J</w:t>
      </w:r>
      <w:r w:rsidRPr="007928C8">
        <w:rPr>
          <w:i/>
          <w:sz w:val="26"/>
          <w:szCs w:val="26"/>
        </w:rPr>
        <w:t xml:space="preserve">ournal of </w:t>
      </w:r>
      <w:r w:rsidR="00C66F5D" w:rsidRPr="007928C8">
        <w:rPr>
          <w:i/>
          <w:sz w:val="26"/>
          <w:szCs w:val="26"/>
        </w:rPr>
        <w:t>P</w:t>
      </w:r>
      <w:r w:rsidRPr="007928C8">
        <w:rPr>
          <w:i/>
          <w:sz w:val="26"/>
          <w:szCs w:val="26"/>
        </w:rPr>
        <w:t xml:space="preserve">ractice &amp; </w:t>
      </w:r>
      <w:r w:rsidR="00C66F5D" w:rsidRPr="007928C8">
        <w:rPr>
          <w:i/>
          <w:sz w:val="26"/>
          <w:szCs w:val="26"/>
        </w:rPr>
        <w:lastRenderedPageBreak/>
        <w:t>T</w:t>
      </w:r>
      <w:r w:rsidRPr="007928C8">
        <w:rPr>
          <w:i/>
          <w:sz w:val="26"/>
          <w:szCs w:val="26"/>
        </w:rPr>
        <w:t xml:space="preserve">heory </w:t>
      </w:r>
      <w:r w:rsidRPr="007928C8">
        <w:rPr>
          <w:sz w:val="26"/>
          <w:szCs w:val="26"/>
        </w:rPr>
        <w:t>[</w:t>
      </w:r>
      <w:r w:rsidRPr="007928C8">
        <w:rPr>
          <w:sz w:val="26"/>
          <w:szCs w:val="26"/>
          <w:lang w:val="lt-LT"/>
        </w:rPr>
        <w:t>intera</w:t>
      </w:r>
      <w:r w:rsidR="00255564" w:rsidRPr="007928C8">
        <w:rPr>
          <w:sz w:val="26"/>
          <w:szCs w:val="26"/>
          <w:lang w:val="lt-LT"/>
        </w:rPr>
        <w:t>k</w:t>
      </w:r>
      <w:r w:rsidRPr="007928C8">
        <w:rPr>
          <w:sz w:val="26"/>
          <w:szCs w:val="26"/>
          <w:lang w:val="lt-LT"/>
        </w:rPr>
        <w:t>tyvus</w:t>
      </w:r>
      <w:r w:rsidRPr="007928C8">
        <w:rPr>
          <w:sz w:val="26"/>
          <w:szCs w:val="26"/>
          <w:lang w:val="en-GB"/>
        </w:rPr>
        <w:t xml:space="preserve">]. </w:t>
      </w:r>
      <w:r w:rsidR="00601B32" w:rsidRPr="007928C8">
        <w:rPr>
          <w:sz w:val="26"/>
          <w:szCs w:val="26"/>
          <w:lang w:val="en-GB"/>
        </w:rPr>
        <w:t>v</w:t>
      </w:r>
      <w:r w:rsidRPr="007928C8">
        <w:rPr>
          <w:sz w:val="26"/>
          <w:szCs w:val="26"/>
          <w:lang w:val="en-GB"/>
        </w:rPr>
        <w:t xml:space="preserve">ol. 7, no. 2, spring </w:t>
      </w:r>
      <w:r w:rsidR="00581CFE" w:rsidRPr="007928C8">
        <w:rPr>
          <w:sz w:val="26"/>
          <w:szCs w:val="26"/>
          <w:lang w:val="en-GB"/>
        </w:rPr>
        <w:t>[</w:t>
      </w:r>
      <w:r w:rsidR="00581CFE" w:rsidRPr="007928C8">
        <w:rPr>
          <w:sz w:val="26"/>
          <w:szCs w:val="26"/>
          <w:lang w:val="lt-LT"/>
        </w:rPr>
        <w:t>žiūrėta</w:t>
      </w:r>
      <w:r w:rsidR="00581CFE" w:rsidRPr="007928C8">
        <w:rPr>
          <w:sz w:val="26"/>
          <w:szCs w:val="26"/>
          <w:lang w:val="en-GB"/>
        </w:rPr>
        <w:t xml:space="preserve"> 2006 m. </w:t>
      </w:r>
      <w:r w:rsidR="00581CFE" w:rsidRPr="007928C8">
        <w:rPr>
          <w:sz w:val="26"/>
          <w:szCs w:val="26"/>
          <w:lang w:val="lt-LT"/>
        </w:rPr>
        <w:t>lapkričio</w:t>
      </w:r>
      <w:r w:rsidR="00BD15AF">
        <w:rPr>
          <w:sz w:val="26"/>
          <w:szCs w:val="26"/>
          <w:lang w:val="en-GB"/>
        </w:rPr>
        <w:t xml:space="preserve"> 24 d.], p.</w:t>
      </w:r>
      <w:r w:rsidR="00581CFE" w:rsidRPr="007928C8">
        <w:rPr>
          <w:sz w:val="26"/>
          <w:szCs w:val="26"/>
          <w:lang w:val="en-GB"/>
        </w:rPr>
        <w:t>174–181</w:t>
      </w:r>
      <w:r w:rsidRPr="007928C8">
        <w:rPr>
          <w:sz w:val="26"/>
          <w:szCs w:val="26"/>
          <w:lang w:val="en-GB"/>
        </w:rPr>
        <w:t>.</w:t>
      </w:r>
      <w:r w:rsidR="00581CFE" w:rsidRPr="007928C8">
        <w:rPr>
          <w:sz w:val="26"/>
          <w:szCs w:val="26"/>
          <w:lang w:val="en-GB"/>
        </w:rPr>
        <w:t xml:space="preserve"> </w:t>
      </w:r>
      <w:r w:rsidR="00354FCA" w:rsidRPr="007928C8">
        <w:rPr>
          <w:color w:val="000000"/>
          <w:sz w:val="26"/>
          <w:szCs w:val="26"/>
          <w:lang w:val="lt-LT"/>
        </w:rPr>
        <w:t>Prieiga per internetą: &lt;ht</w:t>
      </w:r>
      <w:r w:rsidR="00C66F5D" w:rsidRPr="007928C8">
        <w:rPr>
          <w:color w:val="000000"/>
          <w:sz w:val="26"/>
          <w:szCs w:val="26"/>
          <w:lang w:val="lt-LT"/>
        </w:rPr>
        <w:t>tp://web.ebscohost.com/</w:t>
      </w:r>
      <w:r w:rsidR="00C66F5D" w:rsidRPr="00BD15AF">
        <w:rPr>
          <w:color w:val="000000"/>
          <w:sz w:val="26"/>
          <w:szCs w:val="26"/>
          <w:lang w:val="lt-LT"/>
        </w:rPr>
        <w:t>bsi/pdf&gt;</w:t>
      </w:r>
      <w:r w:rsidR="00BD15AF">
        <w:rPr>
          <w:color w:val="000000"/>
          <w:sz w:val="26"/>
          <w:szCs w:val="26"/>
          <w:lang w:val="lt-LT"/>
        </w:rPr>
        <w:t>.</w:t>
      </w:r>
    </w:p>
    <w:p w:rsidR="00EB15ED" w:rsidRPr="007928C8" w:rsidRDefault="00EB15ED" w:rsidP="000406FA">
      <w:pPr>
        <w:numPr>
          <w:ilvl w:val="0"/>
          <w:numId w:val="4"/>
        </w:numPr>
        <w:tabs>
          <w:tab w:val="clear" w:pos="720"/>
          <w:tab w:val="left" w:pos="540"/>
          <w:tab w:val="left" w:pos="567"/>
          <w:tab w:val="left" w:pos="709"/>
        </w:tabs>
        <w:spacing w:before="120"/>
        <w:ind w:left="567" w:hanging="567"/>
        <w:jc w:val="both"/>
        <w:rPr>
          <w:color w:val="000000" w:themeColor="text1"/>
          <w:sz w:val="26"/>
          <w:szCs w:val="26"/>
        </w:rPr>
      </w:pPr>
      <w:r w:rsidRPr="007928C8">
        <w:rPr>
          <w:color w:val="000000" w:themeColor="text1"/>
          <w:sz w:val="26"/>
          <w:szCs w:val="26"/>
        </w:rPr>
        <w:t>European Federation of Accountants</w:t>
      </w:r>
      <w:r w:rsidR="006A4197" w:rsidRPr="007928C8">
        <w:rPr>
          <w:color w:val="000000" w:themeColor="text1"/>
          <w:sz w:val="26"/>
          <w:szCs w:val="26"/>
        </w:rPr>
        <w:t>.</w:t>
      </w:r>
      <w:r w:rsidRPr="007928C8">
        <w:rPr>
          <w:color w:val="000000" w:themeColor="text1"/>
          <w:sz w:val="26"/>
          <w:szCs w:val="26"/>
        </w:rPr>
        <w:t xml:space="preserve"> (2007) Selected Issues relating to Financial Statements Audits </w:t>
      </w:r>
      <w:r w:rsidRPr="007928C8">
        <w:rPr>
          <w:color w:val="000000" w:themeColor="text1"/>
          <w:sz w:val="26"/>
          <w:szCs w:val="26"/>
        </w:rPr>
        <w:softHyphen/>
        <w:t xml:space="preserve"> Abridged Version </w:t>
      </w:r>
      <w:r w:rsidRPr="007928C8">
        <w:rPr>
          <w:color w:val="000000" w:themeColor="text1"/>
          <w:sz w:val="26"/>
          <w:szCs w:val="26"/>
          <w:lang w:val="en-GB"/>
        </w:rPr>
        <w:t>[</w:t>
      </w:r>
      <w:r w:rsidRPr="007928C8">
        <w:rPr>
          <w:color w:val="000000" w:themeColor="text1"/>
          <w:sz w:val="26"/>
          <w:szCs w:val="26"/>
          <w:lang w:val="lt-LT"/>
        </w:rPr>
        <w:t>interaktyvus</w:t>
      </w:r>
      <w:r w:rsidRPr="007928C8">
        <w:rPr>
          <w:color w:val="000000" w:themeColor="text1"/>
          <w:sz w:val="26"/>
          <w:szCs w:val="26"/>
          <w:lang w:val="en-GB"/>
        </w:rPr>
        <w:t>]. [</w:t>
      </w:r>
      <w:r w:rsidRPr="007928C8">
        <w:rPr>
          <w:color w:val="000000" w:themeColor="text1"/>
          <w:sz w:val="26"/>
          <w:szCs w:val="26"/>
          <w:lang w:val="lt-LT"/>
        </w:rPr>
        <w:t>žiūrėta 2008 m. vasario 6 d</w:t>
      </w:r>
      <w:r w:rsidRPr="007928C8">
        <w:rPr>
          <w:color w:val="000000" w:themeColor="text1"/>
          <w:sz w:val="26"/>
          <w:szCs w:val="26"/>
          <w:lang w:val="en-GB"/>
        </w:rPr>
        <w:t xml:space="preserve">.]. </w:t>
      </w:r>
      <w:r w:rsidRPr="007928C8">
        <w:rPr>
          <w:color w:val="000000" w:themeColor="text1"/>
          <w:sz w:val="26"/>
          <w:szCs w:val="26"/>
          <w:lang w:val="lt-LT"/>
        </w:rPr>
        <w:t>Prieiga per internetą: &lt;http://www.fee.be&gt; .</w:t>
      </w:r>
    </w:p>
    <w:p w:rsidR="001B01C2" w:rsidRPr="007928C8" w:rsidRDefault="00E279E1" w:rsidP="000406FA">
      <w:pPr>
        <w:numPr>
          <w:ilvl w:val="0"/>
          <w:numId w:val="4"/>
        </w:numPr>
        <w:tabs>
          <w:tab w:val="clear" w:pos="720"/>
          <w:tab w:val="left" w:pos="540"/>
          <w:tab w:val="left" w:pos="567"/>
          <w:tab w:val="left" w:pos="709"/>
        </w:tabs>
        <w:spacing w:before="120"/>
        <w:ind w:left="567" w:hanging="567"/>
        <w:jc w:val="both"/>
        <w:rPr>
          <w:sz w:val="26"/>
          <w:szCs w:val="26"/>
        </w:rPr>
      </w:pPr>
      <w:r w:rsidRPr="007928C8">
        <w:rPr>
          <w:bCs/>
          <w:sz w:val="26"/>
          <w:szCs w:val="26"/>
          <w:lang w:val="lt-LT" w:eastAsia="en-US"/>
        </w:rPr>
        <w:t>E</w:t>
      </w:r>
      <w:r w:rsidR="002A384D" w:rsidRPr="007928C8">
        <w:rPr>
          <w:bCs/>
          <w:sz w:val="26"/>
          <w:szCs w:val="26"/>
          <w:lang w:val="lt-LT" w:eastAsia="en-US"/>
        </w:rPr>
        <w:t>uropos Parlamento ir</w:t>
      </w:r>
      <w:r w:rsidRPr="007928C8">
        <w:rPr>
          <w:bCs/>
          <w:sz w:val="26"/>
          <w:szCs w:val="26"/>
          <w:lang w:val="lt-LT" w:eastAsia="en-US"/>
        </w:rPr>
        <w:t xml:space="preserve"> T</w:t>
      </w:r>
      <w:r w:rsidR="002A384D" w:rsidRPr="007928C8">
        <w:rPr>
          <w:bCs/>
          <w:sz w:val="26"/>
          <w:szCs w:val="26"/>
          <w:lang w:val="lt-LT" w:eastAsia="en-US"/>
        </w:rPr>
        <w:t xml:space="preserve">arybos </w:t>
      </w:r>
      <w:r w:rsidRPr="007928C8">
        <w:rPr>
          <w:bCs/>
          <w:sz w:val="26"/>
          <w:szCs w:val="26"/>
          <w:lang w:val="lt-LT" w:eastAsia="en-US"/>
        </w:rPr>
        <w:t>D</w:t>
      </w:r>
      <w:r w:rsidR="002A384D" w:rsidRPr="007928C8">
        <w:rPr>
          <w:bCs/>
          <w:sz w:val="26"/>
          <w:szCs w:val="26"/>
          <w:lang w:val="lt-LT" w:eastAsia="en-US"/>
        </w:rPr>
        <w:t xml:space="preserve">irektyva </w:t>
      </w:r>
      <w:r w:rsidRPr="007928C8">
        <w:rPr>
          <w:bCs/>
          <w:sz w:val="26"/>
          <w:szCs w:val="26"/>
          <w:lang w:val="lt-LT" w:eastAsia="en-US"/>
        </w:rPr>
        <w:t>2006/43/EB</w:t>
      </w:r>
      <w:r w:rsidR="002A384D" w:rsidRPr="007928C8">
        <w:rPr>
          <w:bCs/>
          <w:sz w:val="26"/>
          <w:szCs w:val="26"/>
          <w:lang w:val="lt-LT" w:eastAsia="en-US"/>
        </w:rPr>
        <w:t xml:space="preserve"> </w:t>
      </w:r>
      <w:r w:rsidRPr="007928C8">
        <w:rPr>
          <w:bCs/>
          <w:sz w:val="26"/>
          <w:szCs w:val="26"/>
          <w:lang w:val="lt-LT" w:eastAsia="en-US"/>
        </w:rPr>
        <w:t>2006 m. gegužes 17 d.</w:t>
      </w:r>
      <w:r w:rsidR="002A384D" w:rsidRPr="007928C8">
        <w:rPr>
          <w:bCs/>
          <w:sz w:val="26"/>
          <w:szCs w:val="26"/>
          <w:lang w:val="lt-LT" w:eastAsia="en-US"/>
        </w:rPr>
        <w:t xml:space="preserve"> </w:t>
      </w:r>
      <w:r w:rsidRPr="007928C8">
        <w:rPr>
          <w:bCs/>
          <w:sz w:val="26"/>
          <w:szCs w:val="26"/>
          <w:lang w:val="lt-LT" w:eastAsia="en-US"/>
        </w:rPr>
        <w:t>d</w:t>
      </w:r>
      <w:r w:rsidR="002A384D" w:rsidRPr="007928C8">
        <w:rPr>
          <w:bCs/>
          <w:sz w:val="26"/>
          <w:szCs w:val="26"/>
          <w:lang w:val="lt-LT" w:eastAsia="en-US"/>
        </w:rPr>
        <w:t>ė</w:t>
      </w:r>
      <w:r w:rsidRPr="007928C8">
        <w:rPr>
          <w:bCs/>
          <w:sz w:val="26"/>
          <w:szCs w:val="26"/>
          <w:lang w:val="lt-LT" w:eastAsia="en-US"/>
        </w:rPr>
        <w:t>l teis</w:t>
      </w:r>
      <w:r w:rsidR="002A384D" w:rsidRPr="007928C8">
        <w:rPr>
          <w:bCs/>
          <w:sz w:val="26"/>
          <w:szCs w:val="26"/>
          <w:lang w:val="lt-LT" w:eastAsia="en-US"/>
        </w:rPr>
        <w:t>ė</w:t>
      </w:r>
      <w:r w:rsidRPr="007928C8">
        <w:rPr>
          <w:bCs/>
          <w:sz w:val="26"/>
          <w:szCs w:val="26"/>
          <w:lang w:val="lt-LT" w:eastAsia="en-US"/>
        </w:rPr>
        <w:t>s akt</w:t>
      </w:r>
      <w:r w:rsidR="002A384D" w:rsidRPr="007928C8">
        <w:rPr>
          <w:bCs/>
          <w:sz w:val="26"/>
          <w:szCs w:val="26"/>
          <w:lang w:val="lt-LT" w:eastAsia="en-US"/>
        </w:rPr>
        <w:t>ų</w:t>
      </w:r>
      <w:r w:rsidRPr="007928C8">
        <w:rPr>
          <w:bCs/>
          <w:sz w:val="26"/>
          <w:szCs w:val="26"/>
          <w:lang w:val="lt-LT" w:eastAsia="en-US"/>
        </w:rPr>
        <w:t xml:space="preserve"> nustatyto metin</w:t>
      </w:r>
      <w:r w:rsidR="002A384D" w:rsidRPr="007928C8">
        <w:rPr>
          <w:bCs/>
          <w:sz w:val="26"/>
          <w:szCs w:val="26"/>
          <w:lang w:val="lt-LT" w:eastAsia="en-US"/>
        </w:rPr>
        <w:t>ė</w:t>
      </w:r>
      <w:r w:rsidRPr="007928C8">
        <w:rPr>
          <w:bCs/>
          <w:sz w:val="26"/>
          <w:szCs w:val="26"/>
          <w:lang w:val="lt-LT" w:eastAsia="en-US"/>
        </w:rPr>
        <w:t>s finansin</w:t>
      </w:r>
      <w:r w:rsidR="002A384D" w:rsidRPr="007928C8">
        <w:rPr>
          <w:bCs/>
          <w:sz w:val="26"/>
          <w:szCs w:val="26"/>
          <w:lang w:val="lt-LT" w:eastAsia="en-US"/>
        </w:rPr>
        <w:t>ė</w:t>
      </w:r>
      <w:r w:rsidRPr="007928C8">
        <w:rPr>
          <w:bCs/>
          <w:sz w:val="26"/>
          <w:szCs w:val="26"/>
          <w:lang w:val="lt-LT" w:eastAsia="en-US"/>
        </w:rPr>
        <w:t>s atskaitomyb</w:t>
      </w:r>
      <w:r w:rsidR="002A384D" w:rsidRPr="007928C8">
        <w:rPr>
          <w:bCs/>
          <w:sz w:val="26"/>
          <w:szCs w:val="26"/>
          <w:lang w:val="lt-LT" w:eastAsia="en-US"/>
        </w:rPr>
        <w:t>ė</w:t>
      </w:r>
      <w:r w:rsidRPr="007928C8">
        <w:rPr>
          <w:bCs/>
          <w:sz w:val="26"/>
          <w:szCs w:val="26"/>
          <w:lang w:val="lt-LT" w:eastAsia="en-US"/>
        </w:rPr>
        <w:t>s ir konsoliduotos finansin</w:t>
      </w:r>
      <w:r w:rsidR="002A384D" w:rsidRPr="007928C8">
        <w:rPr>
          <w:bCs/>
          <w:sz w:val="26"/>
          <w:szCs w:val="26"/>
          <w:lang w:val="lt-LT" w:eastAsia="en-US"/>
        </w:rPr>
        <w:t>ė</w:t>
      </w:r>
      <w:r w:rsidRPr="007928C8">
        <w:rPr>
          <w:bCs/>
          <w:sz w:val="26"/>
          <w:szCs w:val="26"/>
          <w:lang w:val="lt-LT" w:eastAsia="en-US"/>
        </w:rPr>
        <w:t>s atskaitomyb</w:t>
      </w:r>
      <w:r w:rsidR="002A384D" w:rsidRPr="007928C8">
        <w:rPr>
          <w:bCs/>
          <w:sz w:val="26"/>
          <w:szCs w:val="26"/>
          <w:lang w:val="lt-LT" w:eastAsia="en-US"/>
        </w:rPr>
        <w:t>ė</w:t>
      </w:r>
      <w:r w:rsidRPr="007928C8">
        <w:rPr>
          <w:bCs/>
          <w:sz w:val="26"/>
          <w:szCs w:val="26"/>
          <w:lang w:val="lt-LT" w:eastAsia="en-US"/>
        </w:rPr>
        <w:t>s</w:t>
      </w:r>
      <w:r w:rsidR="002A384D" w:rsidRPr="007928C8">
        <w:rPr>
          <w:bCs/>
          <w:sz w:val="26"/>
          <w:szCs w:val="26"/>
          <w:lang w:val="lt-LT" w:eastAsia="en-US"/>
        </w:rPr>
        <w:t xml:space="preserve"> </w:t>
      </w:r>
      <w:r w:rsidRPr="007928C8">
        <w:rPr>
          <w:bCs/>
          <w:sz w:val="26"/>
          <w:szCs w:val="26"/>
          <w:lang w:val="lt-LT" w:eastAsia="en-US"/>
        </w:rPr>
        <w:t>audito, iš dalies keičianti Tarybos direktyvas 78/660/EEB ir 83/349/EEB bei panaikinanti</w:t>
      </w:r>
      <w:r w:rsidR="002A384D" w:rsidRPr="007928C8">
        <w:rPr>
          <w:bCs/>
          <w:sz w:val="26"/>
          <w:szCs w:val="26"/>
          <w:lang w:val="lt-LT" w:eastAsia="en-US"/>
        </w:rPr>
        <w:t xml:space="preserve"> </w:t>
      </w:r>
      <w:r w:rsidRPr="007928C8">
        <w:rPr>
          <w:bCs/>
          <w:sz w:val="26"/>
          <w:szCs w:val="26"/>
          <w:lang w:val="lt-LT" w:eastAsia="en-US"/>
        </w:rPr>
        <w:t>Tarybos direktyvą 84/253/EEB</w:t>
      </w:r>
      <w:r w:rsidR="002A384D" w:rsidRPr="007928C8">
        <w:rPr>
          <w:bCs/>
          <w:sz w:val="26"/>
          <w:szCs w:val="26"/>
          <w:lang w:val="lt-LT" w:eastAsia="en-US"/>
        </w:rPr>
        <w:t>.</w:t>
      </w:r>
      <w:r w:rsidR="002A384D" w:rsidRPr="007928C8">
        <w:rPr>
          <w:sz w:val="26"/>
          <w:szCs w:val="26"/>
          <w:lang w:val="lt-LT" w:eastAsia="en-US"/>
        </w:rPr>
        <w:t xml:space="preserve"> </w:t>
      </w:r>
      <w:r w:rsidR="00B1363C" w:rsidRPr="007928C8">
        <w:rPr>
          <w:sz w:val="26"/>
          <w:szCs w:val="26"/>
          <w:lang w:val="lt-LT" w:eastAsia="en-US"/>
        </w:rPr>
        <w:t xml:space="preserve">Iš </w:t>
      </w:r>
      <w:r w:rsidR="002A384D" w:rsidRPr="007928C8">
        <w:rPr>
          <w:i/>
          <w:sz w:val="26"/>
          <w:szCs w:val="26"/>
          <w:lang w:val="lt-LT" w:eastAsia="en-US"/>
        </w:rPr>
        <w:t>Europos Sąjungos oficialusis leidinys</w:t>
      </w:r>
      <w:r w:rsidR="00B1363C" w:rsidRPr="007928C8">
        <w:rPr>
          <w:i/>
          <w:sz w:val="26"/>
          <w:szCs w:val="26"/>
          <w:lang w:val="lt-LT" w:eastAsia="en-US"/>
        </w:rPr>
        <w:t xml:space="preserve"> </w:t>
      </w:r>
      <w:r w:rsidR="00B1363C" w:rsidRPr="007928C8">
        <w:rPr>
          <w:sz w:val="26"/>
          <w:szCs w:val="26"/>
          <w:lang w:val="en-GB"/>
        </w:rPr>
        <w:t>[</w:t>
      </w:r>
      <w:r w:rsidR="00B1363C" w:rsidRPr="007928C8">
        <w:rPr>
          <w:sz w:val="26"/>
          <w:szCs w:val="26"/>
          <w:lang w:val="lt-LT"/>
        </w:rPr>
        <w:t>intera</w:t>
      </w:r>
      <w:r w:rsidR="00255564" w:rsidRPr="007928C8">
        <w:rPr>
          <w:sz w:val="26"/>
          <w:szCs w:val="26"/>
          <w:lang w:val="lt-LT"/>
        </w:rPr>
        <w:t>k</w:t>
      </w:r>
      <w:r w:rsidR="00B1363C" w:rsidRPr="007928C8">
        <w:rPr>
          <w:sz w:val="26"/>
          <w:szCs w:val="26"/>
          <w:lang w:val="lt-LT"/>
        </w:rPr>
        <w:t>tyvus</w:t>
      </w:r>
      <w:r w:rsidR="00B1363C" w:rsidRPr="007928C8">
        <w:rPr>
          <w:sz w:val="26"/>
          <w:szCs w:val="26"/>
          <w:lang w:val="en-GB"/>
        </w:rPr>
        <w:t>]</w:t>
      </w:r>
      <w:r w:rsidR="002A384D" w:rsidRPr="007928C8">
        <w:rPr>
          <w:sz w:val="26"/>
          <w:szCs w:val="26"/>
          <w:lang w:val="lt-LT" w:eastAsia="en-US"/>
        </w:rPr>
        <w:t>.</w:t>
      </w:r>
      <w:r w:rsidR="002A384D" w:rsidRPr="007928C8">
        <w:rPr>
          <w:sz w:val="26"/>
          <w:szCs w:val="26"/>
          <w:lang w:eastAsia="en-US"/>
        </w:rPr>
        <w:t xml:space="preserve"> 2006-06-09, L157, </w:t>
      </w:r>
      <w:r w:rsidR="00B1363C" w:rsidRPr="007928C8">
        <w:rPr>
          <w:sz w:val="26"/>
          <w:szCs w:val="26"/>
          <w:lang w:val="en-GB"/>
        </w:rPr>
        <w:t>[</w:t>
      </w:r>
      <w:r w:rsidR="00B1363C" w:rsidRPr="007928C8">
        <w:rPr>
          <w:sz w:val="26"/>
          <w:szCs w:val="26"/>
          <w:lang w:val="lt-LT"/>
        </w:rPr>
        <w:t>žiūrėta</w:t>
      </w:r>
      <w:r w:rsidR="00B1363C" w:rsidRPr="007928C8">
        <w:rPr>
          <w:sz w:val="26"/>
          <w:szCs w:val="26"/>
          <w:lang w:val="en-GB"/>
        </w:rPr>
        <w:t xml:space="preserve"> 2006 m. </w:t>
      </w:r>
      <w:r w:rsidR="00B1363C" w:rsidRPr="007928C8">
        <w:rPr>
          <w:sz w:val="26"/>
          <w:szCs w:val="26"/>
          <w:lang w:val="lt-LT"/>
        </w:rPr>
        <w:t>liepos</w:t>
      </w:r>
      <w:r w:rsidR="00B1363C" w:rsidRPr="007928C8">
        <w:rPr>
          <w:sz w:val="26"/>
          <w:szCs w:val="26"/>
          <w:lang w:val="en-GB"/>
        </w:rPr>
        <w:t xml:space="preserve"> 3 d.], </w:t>
      </w:r>
      <w:r w:rsidR="002A384D" w:rsidRPr="007928C8">
        <w:rPr>
          <w:sz w:val="26"/>
          <w:szCs w:val="26"/>
          <w:lang w:eastAsia="en-US"/>
        </w:rPr>
        <w:t>p.87 – 107</w:t>
      </w:r>
      <w:r w:rsidR="00B1363C" w:rsidRPr="007928C8">
        <w:rPr>
          <w:sz w:val="26"/>
          <w:szCs w:val="26"/>
          <w:lang w:eastAsia="en-US"/>
        </w:rPr>
        <w:t xml:space="preserve">. </w:t>
      </w:r>
      <w:r w:rsidR="00B1363C" w:rsidRPr="007928C8">
        <w:rPr>
          <w:sz w:val="26"/>
          <w:szCs w:val="26"/>
          <w:lang w:val="lt-LT"/>
        </w:rPr>
        <w:t>Prieiga per internetą</w:t>
      </w:r>
      <w:r w:rsidR="00B1363C" w:rsidRPr="007928C8">
        <w:rPr>
          <w:rStyle w:val="terms"/>
          <w:sz w:val="26"/>
          <w:szCs w:val="26"/>
          <w:lang w:val="lt-LT"/>
        </w:rPr>
        <w:t>:</w:t>
      </w:r>
      <w:r w:rsidR="001B01C2" w:rsidRPr="007928C8">
        <w:rPr>
          <w:rStyle w:val="terms"/>
          <w:sz w:val="26"/>
          <w:szCs w:val="26"/>
          <w:lang w:val="lt-LT"/>
        </w:rPr>
        <w:t xml:space="preserve"> </w:t>
      </w:r>
      <w:r w:rsidR="001B01C2" w:rsidRPr="007928C8">
        <w:rPr>
          <w:sz w:val="26"/>
          <w:szCs w:val="26"/>
        </w:rPr>
        <w:t>http://eur-lex.europa.eu .</w:t>
      </w:r>
    </w:p>
    <w:p w:rsidR="008A7AC2" w:rsidRPr="007928C8" w:rsidRDefault="008A7AC2"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lang w:val="lt-LT"/>
        </w:rPr>
        <w:t>GAIDIENĖ</w:t>
      </w:r>
      <w:r w:rsidR="000A5390" w:rsidRPr="007928C8">
        <w:rPr>
          <w:sz w:val="26"/>
          <w:szCs w:val="26"/>
          <w:lang w:val="lt-LT"/>
        </w:rPr>
        <w:t>,</w:t>
      </w:r>
      <w:r w:rsidRPr="007928C8">
        <w:rPr>
          <w:sz w:val="26"/>
          <w:szCs w:val="26"/>
          <w:lang w:val="lt-LT"/>
        </w:rPr>
        <w:t xml:space="preserve"> Zina (1998). Finansų val</w:t>
      </w:r>
      <w:r w:rsidR="00CC5CD9">
        <w:rPr>
          <w:sz w:val="26"/>
          <w:szCs w:val="26"/>
          <w:lang w:val="lt-LT"/>
        </w:rPr>
        <w:t>dymas, p.</w:t>
      </w:r>
      <w:r w:rsidR="000406FA">
        <w:rPr>
          <w:sz w:val="26"/>
          <w:szCs w:val="26"/>
          <w:lang w:val="lt-LT"/>
        </w:rPr>
        <w:t xml:space="preserve"> </w:t>
      </w:r>
      <w:r w:rsidR="00CC5CD9">
        <w:rPr>
          <w:sz w:val="26"/>
          <w:szCs w:val="26"/>
          <w:lang w:val="lt-LT"/>
        </w:rPr>
        <w:t>1</w:t>
      </w:r>
      <w:r w:rsidRPr="007928C8">
        <w:rPr>
          <w:sz w:val="26"/>
          <w:szCs w:val="26"/>
          <w:lang w:val="lt-LT"/>
        </w:rPr>
        <w:t>25. ISBN 9986-418-10-0.</w:t>
      </w:r>
    </w:p>
    <w:p w:rsidR="008A7AC2" w:rsidRPr="007928C8" w:rsidRDefault="00250561"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lang w:val="lt-LT"/>
        </w:rPr>
        <w:t>GARŠKIENĖ, Aldona</w:t>
      </w:r>
      <w:r w:rsidR="006A4197" w:rsidRPr="007928C8">
        <w:rPr>
          <w:sz w:val="26"/>
          <w:szCs w:val="26"/>
          <w:lang w:val="lt-LT"/>
        </w:rPr>
        <w:t>.</w:t>
      </w:r>
      <w:r w:rsidRPr="007928C8">
        <w:rPr>
          <w:sz w:val="26"/>
          <w:szCs w:val="26"/>
          <w:lang w:val="lt-LT"/>
        </w:rPr>
        <w:t xml:space="preserve"> </w:t>
      </w:r>
      <w:r w:rsidR="005D24FE" w:rsidRPr="007928C8">
        <w:rPr>
          <w:sz w:val="26"/>
          <w:szCs w:val="26"/>
          <w:lang w:val="lt-LT"/>
        </w:rPr>
        <w:t xml:space="preserve">(1997) </w:t>
      </w:r>
      <w:r w:rsidRPr="007928C8">
        <w:rPr>
          <w:i/>
          <w:sz w:val="26"/>
          <w:szCs w:val="26"/>
          <w:lang w:val="lt-LT"/>
        </w:rPr>
        <w:t>Verslo rizika.</w:t>
      </w:r>
      <w:r w:rsidRPr="007928C8">
        <w:rPr>
          <w:sz w:val="26"/>
          <w:szCs w:val="26"/>
          <w:lang w:val="lt-LT"/>
        </w:rPr>
        <w:t xml:space="preserve"> Vilnius: Lietuvos informacijos institutas, 36 p. </w:t>
      </w:r>
      <w:r w:rsidRPr="007928C8">
        <w:rPr>
          <w:sz w:val="26"/>
          <w:szCs w:val="26"/>
        </w:rPr>
        <w:t>ISBN 9986-12-139-6</w:t>
      </w:r>
      <w:r w:rsidRPr="007928C8">
        <w:rPr>
          <w:sz w:val="26"/>
          <w:szCs w:val="26"/>
          <w:lang w:val="lt-LT"/>
        </w:rPr>
        <w:t>.</w:t>
      </w:r>
    </w:p>
    <w:p w:rsidR="00784512" w:rsidRPr="007928C8" w:rsidRDefault="00D245FB"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lang w:val="lt-LT"/>
        </w:rPr>
        <w:t>GEGUŽIS, Artūras</w:t>
      </w:r>
      <w:r w:rsidR="006A4197" w:rsidRPr="007928C8">
        <w:rPr>
          <w:sz w:val="26"/>
          <w:szCs w:val="26"/>
          <w:lang w:val="lt-LT"/>
        </w:rPr>
        <w:t>.</w:t>
      </w:r>
      <w:r w:rsidRPr="007928C8">
        <w:rPr>
          <w:sz w:val="26"/>
          <w:szCs w:val="26"/>
          <w:lang w:val="lt-LT"/>
        </w:rPr>
        <w:t xml:space="preserve"> (2003) Neapibrėžtumo ir rizikos samprata ekonomikoje. </w:t>
      </w:r>
      <w:r w:rsidRPr="007928C8">
        <w:rPr>
          <w:i/>
          <w:sz w:val="26"/>
          <w:szCs w:val="26"/>
          <w:lang w:val="lt-LT"/>
        </w:rPr>
        <w:t>Ekonomika,</w:t>
      </w:r>
      <w:r w:rsidRPr="007928C8">
        <w:rPr>
          <w:sz w:val="26"/>
          <w:szCs w:val="26"/>
          <w:lang w:val="lt-LT"/>
        </w:rPr>
        <w:t xml:space="preserve"> Vilniaus Universitetas, Nr.62, p. 63 – 81. ISSN 1392-1258. </w:t>
      </w:r>
    </w:p>
    <w:p w:rsidR="008A7AC2" w:rsidRPr="00CC5CD9" w:rsidRDefault="008A7AC2"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rPr>
        <w:t>GEORGIADES</w:t>
      </w:r>
      <w:r w:rsidR="000A5390" w:rsidRPr="007928C8">
        <w:rPr>
          <w:sz w:val="26"/>
          <w:szCs w:val="26"/>
        </w:rPr>
        <w:t>,</w:t>
      </w:r>
      <w:r w:rsidRPr="007928C8">
        <w:rPr>
          <w:sz w:val="26"/>
          <w:szCs w:val="26"/>
        </w:rPr>
        <w:t xml:space="preserve"> George. (2006) General Audit Risk Alert – 2005/06. </w:t>
      </w:r>
      <w:r w:rsidRPr="007928C8">
        <w:rPr>
          <w:sz w:val="26"/>
          <w:szCs w:val="26"/>
          <w:lang w:val="lt-LT"/>
        </w:rPr>
        <w:t>Iš</w:t>
      </w:r>
      <w:r w:rsidRPr="007928C8">
        <w:rPr>
          <w:sz w:val="26"/>
          <w:szCs w:val="26"/>
        </w:rPr>
        <w:t xml:space="preserve"> </w:t>
      </w:r>
      <w:r w:rsidRPr="007928C8">
        <w:rPr>
          <w:i/>
          <w:sz w:val="26"/>
          <w:szCs w:val="26"/>
        </w:rPr>
        <w:t xml:space="preserve">GAAS Update Service </w:t>
      </w:r>
      <w:r w:rsidRPr="007928C8">
        <w:rPr>
          <w:sz w:val="26"/>
          <w:szCs w:val="26"/>
        </w:rPr>
        <w:t>[</w:t>
      </w:r>
      <w:r w:rsidRPr="007928C8">
        <w:rPr>
          <w:sz w:val="26"/>
          <w:szCs w:val="26"/>
          <w:lang w:val="lt-LT"/>
        </w:rPr>
        <w:t>interaktyvus</w:t>
      </w:r>
      <w:r w:rsidRPr="007928C8">
        <w:rPr>
          <w:sz w:val="26"/>
          <w:szCs w:val="26"/>
        </w:rPr>
        <w:t>]. vol. 06, issue 06, March 30 [</w:t>
      </w:r>
      <w:r w:rsidRPr="007928C8">
        <w:rPr>
          <w:sz w:val="26"/>
          <w:szCs w:val="26"/>
          <w:lang w:val="lt-LT"/>
        </w:rPr>
        <w:t>žiūrėta</w:t>
      </w:r>
      <w:r w:rsidRPr="007928C8">
        <w:rPr>
          <w:sz w:val="26"/>
          <w:szCs w:val="26"/>
        </w:rPr>
        <w:t xml:space="preserve"> 2006 m. </w:t>
      </w:r>
      <w:r w:rsidRPr="007928C8">
        <w:rPr>
          <w:sz w:val="26"/>
          <w:szCs w:val="26"/>
          <w:lang w:val="lt-LT"/>
        </w:rPr>
        <w:t>spalio</w:t>
      </w:r>
      <w:r w:rsidRPr="007928C8">
        <w:rPr>
          <w:sz w:val="26"/>
          <w:szCs w:val="26"/>
        </w:rPr>
        <w:t xml:space="preserve"> 15 d.], p. 1 – 7. </w:t>
      </w:r>
      <w:r w:rsidRPr="007928C8">
        <w:rPr>
          <w:color w:val="000000"/>
          <w:sz w:val="26"/>
          <w:szCs w:val="26"/>
          <w:lang w:val="lt-LT"/>
        </w:rPr>
        <w:t>Prieiga per internetą: &lt;http://web.ebscohost.com/</w:t>
      </w:r>
      <w:r w:rsidRPr="00CC5CD9">
        <w:rPr>
          <w:color w:val="000000"/>
          <w:sz w:val="26"/>
          <w:szCs w:val="26"/>
          <w:lang w:val="lt-LT"/>
        </w:rPr>
        <w:t>bsi/pdf&gt; .</w:t>
      </w:r>
    </w:p>
    <w:p w:rsidR="00784512" w:rsidRPr="007928C8" w:rsidRDefault="00784512"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lang w:val="lt-LT"/>
        </w:rPr>
        <w:t xml:space="preserve">GRAHAM, Lynford, BEDARD, Jean C. (2003) </w:t>
      </w:r>
      <w:r w:rsidRPr="007928C8">
        <w:rPr>
          <w:sz w:val="26"/>
          <w:szCs w:val="26"/>
        </w:rPr>
        <w:t xml:space="preserve">Fraud Risk and Audit Planning. Iš </w:t>
      </w:r>
      <w:r w:rsidRPr="007928C8">
        <w:rPr>
          <w:i/>
          <w:sz w:val="26"/>
          <w:szCs w:val="26"/>
        </w:rPr>
        <w:t xml:space="preserve">International </w:t>
      </w:r>
      <w:r w:rsidR="00D97B45" w:rsidRPr="007928C8">
        <w:rPr>
          <w:i/>
          <w:sz w:val="26"/>
          <w:szCs w:val="26"/>
        </w:rPr>
        <w:t>Journal</w:t>
      </w:r>
      <w:r w:rsidRPr="007928C8">
        <w:rPr>
          <w:i/>
          <w:sz w:val="26"/>
          <w:szCs w:val="26"/>
        </w:rPr>
        <w:t xml:space="preserve"> of Auditing</w:t>
      </w:r>
      <w:r w:rsidRPr="007928C8">
        <w:rPr>
          <w:i/>
          <w:sz w:val="26"/>
          <w:szCs w:val="26"/>
          <w:lang w:val="lt-LT"/>
        </w:rPr>
        <w:t xml:space="preserve"> </w:t>
      </w:r>
      <w:r w:rsidRPr="007928C8">
        <w:rPr>
          <w:sz w:val="26"/>
          <w:szCs w:val="26"/>
          <w:lang w:val="lt-LT"/>
        </w:rPr>
        <w:t xml:space="preserve">[interaktyvus]. No. 7, </w:t>
      </w:r>
      <w:r w:rsidRPr="007928C8">
        <w:rPr>
          <w:sz w:val="26"/>
          <w:szCs w:val="26"/>
        </w:rPr>
        <w:t>[</w:t>
      </w:r>
      <w:r w:rsidRPr="007928C8">
        <w:rPr>
          <w:sz w:val="26"/>
          <w:szCs w:val="26"/>
          <w:lang w:val="lt-LT"/>
        </w:rPr>
        <w:t>žiūrėta</w:t>
      </w:r>
      <w:r w:rsidRPr="007928C8">
        <w:rPr>
          <w:sz w:val="26"/>
          <w:szCs w:val="26"/>
        </w:rPr>
        <w:t xml:space="preserve"> 2007 m. </w:t>
      </w:r>
      <w:r w:rsidRPr="007928C8">
        <w:rPr>
          <w:sz w:val="26"/>
          <w:szCs w:val="26"/>
          <w:lang w:val="lt-LT"/>
        </w:rPr>
        <w:t>spalio</w:t>
      </w:r>
      <w:r w:rsidRPr="007928C8">
        <w:rPr>
          <w:sz w:val="26"/>
          <w:szCs w:val="26"/>
        </w:rPr>
        <w:t xml:space="preserve"> 15 d.], </w:t>
      </w:r>
      <w:r w:rsidRPr="007928C8">
        <w:rPr>
          <w:sz w:val="26"/>
          <w:szCs w:val="26"/>
          <w:lang w:val="lt-LT"/>
        </w:rPr>
        <w:t xml:space="preserve">p. 55 </w:t>
      </w:r>
      <w:r w:rsidRPr="007928C8">
        <w:rPr>
          <w:sz w:val="26"/>
          <w:szCs w:val="26"/>
          <w:lang w:val="lt-LT"/>
        </w:rPr>
        <w:softHyphen/>
        <w:t xml:space="preserve"> 70.</w:t>
      </w:r>
      <w:r w:rsidR="00D97B45" w:rsidRPr="007928C8">
        <w:rPr>
          <w:sz w:val="26"/>
          <w:szCs w:val="26"/>
          <w:lang w:val="lt-LT"/>
        </w:rPr>
        <w:t xml:space="preserve"> Prieiga per internetą: &lt;http://web.ebscohost.com/bsi/pdf&gt; .</w:t>
      </w:r>
    </w:p>
    <w:p w:rsidR="00430FEA" w:rsidRPr="007928C8" w:rsidRDefault="00430FEA"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GRONSKAS, Vladas</w:t>
      </w:r>
      <w:r w:rsidR="006A4197" w:rsidRPr="007928C8">
        <w:rPr>
          <w:sz w:val="26"/>
          <w:szCs w:val="26"/>
          <w:lang w:val="lt-LT"/>
        </w:rPr>
        <w:t>.</w:t>
      </w:r>
      <w:r w:rsidRPr="007928C8">
        <w:rPr>
          <w:sz w:val="26"/>
          <w:szCs w:val="26"/>
          <w:lang w:val="lt-LT"/>
        </w:rPr>
        <w:t xml:space="preserve"> (1993)</w:t>
      </w:r>
      <w:r w:rsidRPr="007928C8">
        <w:rPr>
          <w:i/>
          <w:sz w:val="26"/>
          <w:szCs w:val="26"/>
          <w:lang w:val="lt-LT"/>
        </w:rPr>
        <w:t xml:space="preserve"> Verslo ekonomika</w:t>
      </w:r>
      <w:r w:rsidRPr="007928C8">
        <w:rPr>
          <w:sz w:val="26"/>
          <w:szCs w:val="26"/>
          <w:lang w:val="lt-LT"/>
        </w:rPr>
        <w:t>. Kaunas: Raidė. 207 p.</w:t>
      </w:r>
    </w:p>
    <w:p w:rsidR="00430FEA" w:rsidRPr="007928C8" w:rsidRDefault="00430FEA"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GRONSKAS, Vladas</w:t>
      </w:r>
      <w:r w:rsidR="006A4197" w:rsidRPr="007928C8">
        <w:rPr>
          <w:sz w:val="26"/>
          <w:szCs w:val="26"/>
          <w:lang w:val="lt-LT"/>
        </w:rPr>
        <w:t>.</w:t>
      </w:r>
      <w:r w:rsidRPr="007928C8">
        <w:rPr>
          <w:sz w:val="26"/>
          <w:szCs w:val="26"/>
          <w:lang w:val="lt-LT"/>
        </w:rPr>
        <w:t xml:space="preserve"> (1997) </w:t>
      </w:r>
      <w:r w:rsidRPr="007928C8">
        <w:rPr>
          <w:i/>
          <w:sz w:val="26"/>
          <w:szCs w:val="26"/>
          <w:lang w:val="lt-LT"/>
        </w:rPr>
        <w:t>Prekinės verslininkystės rizika: mokomoji knyga</w:t>
      </w:r>
      <w:r w:rsidRPr="007928C8">
        <w:rPr>
          <w:sz w:val="26"/>
          <w:szCs w:val="26"/>
          <w:lang w:val="lt-LT"/>
        </w:rPr>
        <w:t>. Kaunas: Technologija. 115 p. ISBN 9986-13-567-2.</w:t>
      </w:r>
    </w:p>
    <w:p w:rsidR="00DD7696" w:rsidRPr="007928C8" w:rsidRDefault="00DD7696"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GRONSKAS, Vladas</w:t>
      </w:r>
      <w:r w:rsidR="006A4197" w:rsidRPr="007928C8">
        <w:rPr>
          <w:sz w:val="26"/>
          <w:szCs w:val="26"/>
          <w:lang w:val="lt-LT"/>
        </w:rPr>
        <w:t>.</w:t>
      </w:r>
      <w:r w:rsidRPr="007928C8">
        <w:rPr>
          <w:sz w:val="26"/>
          <w:szCs w:val="26"/>
          <w:lang w:val="lt-LT"/>
        </w:rPr>
        <w:t xml:space="preserve"> (2003</w:t>
      </w:r>
      <w:r w:rsidR="006A4197" w:rsidRPr="007928C8">
        <w:rPr>
          <w:sz w:val="26"/>
          <w:szCs w:val="26"/>
          <w:lang w:val="lt-LT"/>
        </w:rPr>
        <w:t>)</w:t>
      </w:r>
      <w:r w:rsidRPr="007928C8">
        <w:rPr>
          <w:sz w:val="26"/>
          <w:szCs w:val="26"/>
          <w:lang w:val="lt-LT"/>
        </w:rPr>
        <w:t xml:space="preserve"> Rizika mišrioje ekonomikoje: samprata ir sandara. </w:t>
      </w:r>
      <w:r w:rsidRPr="007928C8">
        <w:rPr>
          <w:i/>
          <w:sz w:val="26"/>
          <w:szCs w:val="26"/>
          <w:lang w:val="lt-LT"/>
        </w:rPr>
        <w:t>Inžinerinė ekonomika</w:t>
      </w:r>
      <w:r w:rsidRPr="007928C8">
        <w:rPr>
          <w:sz w:val="26"/>
          <w:szCs w:val="26"/>
          <w:lang w:val="lt-LT"/>
        </w:rPr>
        <w:t>, KTU, Nr. 3(34), p. 46-54. ISSN 1392-2785.</w:t>
      </w:r>
    </w:p>
    <w:p w:rsidR="00851635" w:rsidRPr="007928C8"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GUY, </w:t>
      </w:r>
      <w:r w:rsidRPr="007928C8">
        <w:rPr>
          <w:sz w:val="26"/>
          <w:szCs w:val="26"/>
        </w:rPr>
        <w:t>D</w:t>
      </w:r>
      <w:r w:rsidR="0038797C" w:rsidRPr="007928C8">
        <w:rPr>
          <w:sz w:val="26"/>
          <w:szCs w:val="26"/>
        </w:rPr>
        <w:t>an</w:t>
      </w:r>
      <w:r w:rsidRPr="007928C8">
        <w:rPr>
          <w:sz w:val="26"/>
          <w:szCs w:val="26"/>
        </w:rPr>
        <w:t xml:space="preserve"> M., ALDERMAN C.</w:t>
      </w:r>
      <w:r w:rsidR="00BF69BF" w:rsidRPr="007928C8">
        <w:rPr>
          <w:sz w:val="26"/>
          <w:szCs w:val="26"/>
        </w:rPr>
        <w:t xml:space="preserve"> </w:t>
      </w:r>
      <w:r w:rsidRPr="007928C8">
        <w:rPr>
          <w:sz w:val="26"/>
          <w:szCs w:val="26"/>
        </w:rPr>
        <w:t>W</w:t>
      </w:r>
      <w:r w:rsidR="00BF69BF" w:rsidRPr="007928C8">
        <w:rPr>
          <w:sz w:val="26"/>
          <w:szCs w:val="26"/>
        </w:rPr>
        <w:t>ayne</w:t>
      </w:r>
      <w:r w:rsidRPr="007928C8">
        <w:rPr>
          <w:sz w:val="26"/>
          <w:szCs w:val="26"/>
        </w:rPr>
        <w:t xml:space="preserve">. (1985) </w:t>
      </w:r>
      <w:r w:rsidRPr="007928C8">
        <w:rPr>
          <w:i/>
          <w:sz w:val="26"/>
          <w:szCs w:val="26"/>
        </w:rPr>
        <w:t>Auditing</w:t>
      </w:r>
      <w:r w:rsidRPr="007928C8">
        <w:rPr>
          <w:sz w:val="26"/>
          <w:szCs w:val="26"/>
        </w:rPr>
        <w:t>. San Diego: Harcourt Brace Javanovich Publ</w:t>
      </w:r>
      <w:r w:rsidRPr="007928C8">
        <w:rPr>
          <w:sz w:val="26"/>
          <w:szCs w:val="26"/>
          <w:lang w:val="lt-LT"/>
        </w:rPr>
        <w:t>. 940 p.</w:t>
      </w:r>
    </w:p>
    <w:p w:rsidR="0038797C" w:rsidRPr="007928C8" w:rsidRDefault="0038797C"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GUY, Dan M.; CARMICHAEL, </w:t>
      </w:r>
      <w:r w:rsidRPr="007928C8">
        <w:rPr>
          <w:sz w:val="26"/>
          <w:szCs w:val="26"/>
        </w:rPr>
        <w:t xml:space="preserve">Douglas R.; LACH, Linda A. </w:t>
      </w:r>
      <w:r w:rsidRPr="007928C8">
        <w:rPr>
          <w:sz w:val="26"/>
          <w:szCs w:val="26"/>
          <w:lang w:val="lt-LT"/>
        </w:rPr>
        <w:t xml:space="preserve">(2003) </w:t>
      </w:r>
      <w:r w:rsidRPr="007928C8">
        <w:rPr>
          <w:i/>
          <w:sz w:val="26"/>
          <w:szCs w:val="26"/>
        </w:rPr>
        <w:t>Wiley Practitioner‘s Guide to GAAS 2003: Covering all SASs, S</w:t>
      </w:r>
      <w:r w:rsidR="002D59C0" w:rsidRPr="007928C8">
        <w:rPr>
          <w:i/>
          <w:sz w:val="26"/>
          <w:szCs w:val="26"/>
        </w:rPr>
        <w:t>S</w:t>
      </w:r>
      <w:r w:rsidRPr="007928C8">
        <w:rPr>
          <w:i/>
          <w:sz w:val="26"/>
          <w:szCs w:val="26"/>
        </w:rPr>
        <w:t>AESs, SSARSs, and Interpretations</w:t>
      </w:r>
      <w:r w:rsidR="002D59C0" w:rsidRPr="007928C8">
        <w:rPr>
          <w:sz w:val="26"/>
          <w:szCs w:val="26"/>
        </w:rPr>
        <w:t>.</w:t>
      </w:r>
      <w:r w:rsidR="002D59C0" w:rsidRPr="007928C8">
        <w:rPr>
          <w:sz w:val="26"/>
          <w:szCs w:val="26"/>
          <w:lang w:val="lt-LT"/>
        </w:rPr>
        <w:t xml:space="preserve"> </w:t>
      </w:r>
      <w:r w:rsidR="002D59C0" w:rsidRPr="007928C8">
        <w:rPr>
          <w:sz w:val="26"/>
          <w:szCs w:val="26"/>
        </w:rPr>
        <w:t>John</w:t>
      </w:r>
      <w:r w:rsidR="002D59C0" w:rsidRPr="007928C8">
        <w:rPr>
          <w:sz w:val="26"/>
          <w:szCs w:val="26"/>
          <w:lang w:val="lt-LT"/>
        </w:rPr>
        <w:t xml:space="preserve"> Wiley </w:t>
      </w:r>
      <w:r w:rsidR="002D59C0" w:rsidRPr="007928C8">
        <w:rPr>
          <w:sz w:val="26"/>
          <w:szCs w:val="26"/>
        </w:rPr>
        <w:t xml:space="preserve">&amp; </w:t>
      </w:r>
      <w:r w:rsidR="002D59C0" w:rsidRPr="007928C8">
        <w:rPr>
          <w:sz w:val="26"/>
          <w:szCs w:val="26"/>
          <w:lang w:val="lt-LT"/>
        </w:rPr>
        <w:t>Sons</w:t>
      </w:r>
      <w:r w:rsidR="00EB408E" w:rsidRPr="007928C8">
        <w:rPr>
          <w:sz w:val="26"/>
          <w:szCs w:val="26"/>
          <w:lang w:val="lt-LT"/>
        </w:rPr>
        <w:t>. 832 p. ISBN 0-471-21348-9</w:t>
      </w:r>
      <w:r w:rsidRPr="007928C8">
        <w:rPr>
          <w:sz w:val="26"/>
          <w:szCs w:val="26"/>
          <w:lang w:val="lt-LT"/>
        </w:rPr>
        <w:t>.</w:t>
      </w:r>
    </w:p>
    <w:p w:rsidR="00730671" w:rsidRPr="007928C8" w:rsidRDefault="00730671" w:rsidP="000406FA">
      <w:pPr>
        <w:numPr>
          <w:ilvl w:val="0"/>
          <w:numId w:val="4"/>
        </w:numPr>
        <w:tabs>
          <w:tab w:val="clear" w:pos="720"/>
          <w:tab w:val="left" w:pos="567"/>
          <w:tab w:val="left" w:pos="709"/>
        </w:tabs>
        <w:spacing w:before="120"/>
        <w:ind w:left="567" w:hanging="567"/>
        <w:jc w:val="both"/>
        <w:rPr>
          <w:sz w:val="26"/>
          <w:szCs w:val="26"/>
        </w:rPr>
      </w:pPr>
      <w:r w:rsidRPr="007928C8">
        <w:rPr>
          <w:caps/>
          <w:sz w:val="26"/>
          <w:szCs w:val="26"/>
          <w:lang w:val="lt-LT"/>
        </w:rPr>
        <w:lastRenderedPageBreak/>
        <w:t>Ghosh</w:t>
      </w:r>
      <w:r w:rsidRPr="007928C8">
        <w:rPr>
          <w:sz w:val="26"/>
          <w:szCs w:val="26"/>
          <w:lang w:val="lt-LT"/>
        </w:rPr>
        <w:t xml:space="preserve">, Barun K. (2005) </w:t>
      </w:r>
      <w:r w:rsidRPr="007928C8">
        <w:rPr>
          <w:i/>
          <w:sz w:val="26"/>
          <w:szCs w:val="26"/>
          <w:lang w:val="lt-LT"/>
        </w:rPr>
        <w:t>Audit risk:</w:t>
      </w:r>
      <w:r w:rsidRPr="007928C8">
        <w:rPr>
          <w:i/>
          <w:sz w:val="26"/>
          <w:szCs w:val="26"/>
        </w:rPr>
        <w:t xml:space="preserve"> Its relevance, Assessment</w:t>
      </w:r>
      <w:r w:rsidRPr="007928C8">
        <w:rPr>
          <w:i/>
          <w:sz w:val="26"/>
          <w:szCs w:val="26"/>
          <w:lang w:val="lt-LT"/>
        </w:rPr>
        <w:t xml:space="preserve"> </w:t>
      </w:r>
      <w:r w:rsidRPr="007928C8">
        <w:rPr>
          <w:i/>
          <w:sz w:val="26"/>
          <w:szCs w:val="26"/>
        </w:rPr>
        <w:t>&amp; Minimization</w:t>
      </w:r>
      <w:r w:rsidRPr="007928C8">
        <w:rPr>
          <w:sz w:val="26"/>
          <w:szCs w:val="26"/>
        </w:rPr>
        <w:t xml:space="preserve">. Iš </w:t>
      </w:r>
      <w:r w:rsidRPr="007928C8">
        <w:rPr>
          <w:i/>
          <w:sz w:val="26"/>
          <w:szCs w:val="26"/>
        </w:rPr>
        <w:t>The chartered accountant</w:t>
      </w:r>
      <w:r w:rsidRPr="007928C8">
        <w:rPr>
          <w:sz w:val="26"/>
          <w:szCs w:val="26"/>
        </w:rPr>
        <w:t xml:space="preserve"> [interaktyvus]. May [žiūrėta 2007 m. vasario 13 d.] p. 1475 – 1482. Prieiga per internetą: </w:t>
      </w:r>
      <w:r w:rsidR="00C22951" w:rsidRPr="007928C8">
        <w:rPr>
          <w:sz w:val="26"/>
          <w:szCs w:val="26"/>
        </w:rPr>
        <w:t>&lt;</w:t>
      </w:r>
      <w:r w:rsidRPr="007928C8">
        <w:rPr>
          <w:sz w:val="26"/>
          <w:szCs w:val="26"/>
        </w:rPr>
        <w:t>http://www.ifacnet.com</w:t>
      </w:r>
      <w:r w:rsidR="00C22951" w:rsidRPr="007928C8">
        <w:rPr>
          <w:sz w:val="26"/>
          <w:szCs w:val="26"/>
        </w:rPr>
        <w:t>&gt;</w:t>
      </w:r>
      <w:r w:rsidRPr="007928C8">
        <w:rPr>
          <w:sz w:val="26"/>
          <w:szCs w:val="26"/>
        </w:rPr>
        <w:t xml:space="preserve">. </w:t>
      </w:r>
    </w:p>
    <w:p w:rsidR="00F82CE3" w:rsidRPr="007928C8" w:rsidRDefault="00F82CE3"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sz w:val="26"/>
          <w:szCs w:val="26"/>
        </w:rPr>
        <w:t>Fisher</w:t>
      </w:r>
      <w:r w:rsidRPr="007928C8">
        <w:rPr>
          <w:sz w:val="26"/>
          <w:szCs w:val="26"/>
        </w:rPr>
        <w:t xml:space="preserve">, Craig. (2005) Performing an audit: do I have to? Iš </w:t>
      </w:r>
      <w:r w:rsidRPr="007928C8">
        <w:rPr>
          <w:i/>
          <w:sz w:val="26"/>
          <w:szCs w:val="26"/>
        </w:rPr>
        <w:t>Chartered Accountants Journal</w:t>
      </w:r>
      <w:r w:rsidRPr="007928C8">
        <w:rPr>
          <w:sz w:val="26"/>
          <w:szCs w:val="26"/>
        </w:rPr>
        <w:t xml:space="preserve"> [interaktyvus]. February</w:t>
      </w:r>
      <w:r w:rsidR="00A80879" w:rsidRPr="007928C8">
        <w:rPr>
          <w:sz w:val="26"/>
          <w:szCs w:val="26"/>
        </w:rPr>
        <w:t xml:space="preserve"> [žiūrėta 2006 m. </w:t>
      </w:r>
      <w:r w:rsidR="00A80879" w:rsidRPr="007928C8">
        <w:rPr>
          <w:sz w:val="26"/>
          <w:szCs w:val="26"/>
          <w:lang w:val="lt-LT"/>
        </w:rPr>
        <w:t>spalio</w:t>
      </w:r>
      <w:r w:rsidR="00A80879" w:rsidRPr="007928C8">
        <w:rPr>
          <w:sz w:val="26"/>
          <w:szCs w:val="26"/>
        </w:rPr>
        <w:t xml:space="preserve"> 15 d.]</w:t>
      </w:r>
      <w:r w:rsidRPr="007928C8">
        <w:rPr>
          <w:sz w:val="26"/>
          <w:szCs w:val="26"/>
        </w:rPr>
        <w:t>, p. 3</w:t>
      </w:r>
      <w:r w:rsidR="00A80879" w:rsidRPr="007928C8">
        <w:rPr>
          <w:sz w:val="26"/>
          <w:szCs w:val="26"/>
        </w:rPr>
        <w:t>0–3</w:t>
      </w:r>
      <w:r w:rsidRPr="007928C8">
        <w:rPr>
          <w:sz w:val="26"/>
          <w:szCs w:val="26"/>
        </w:rPr>
        <w:t>1</w:t>
      </w:r>
      <w:r w:rsidR="00A80879" w:rsidRPr="007928C8">
        <w:rPr>
          <w:sz w:val="26"/>
          <w:szCs w:val="26"/>
        </w:rPr>
        <w:t>, 33</w:t>
      </w:r>
      <w:r w:rsidRPr="007928C8">
        <w:rPr>
          <w:sz w:val="26"/>
          <w:szCs w:val="26"/>
        </w:rPr>
        <w:t>.</w:t>
      </w:r>
      <w:r w:rsidR="00A80879" w:rsidRPr="007928C8">
        <w:rPr>
          <w:sz w:val="26"/>
          <w:szCs w:val="26"/>
        </w:rPr>
        <w:t xml:space="preserve"> </w:t>
      </w:r>
      <w:r w:rsidR="00E17CA1" w:rsidRPr="007928C8">
        <w:rPr>
          <w:color w:val="000000"/>
          <w:sz w:val="26"/>
          <w:szCs w:val="26"/>
          <w:lang w:val="lt-LT"/>
        </w:rPr>
        <w:t>Prieiga per internetą: &lt;ht</w:t>
      </w:r>
      <w:r w:rsidR="00645F4F" w:rsidRPr="007928C8">
        <w:rPr>
          <w:color w:val="000000"/>
          <w:sz w:val="26"/>
          <w:szCs w:val="26"/>
          <w:lang w:val="lt-LT"/>
        </w:rPr>
        <w:t>tp://web.ebscohost.com/bsi/pdf&gt;</w:t>
      </w:r>
      <w:r w:rsidR="00E17CA1" w:rsidRPr="007928C8">
        <w:rPr>
          <w:color w:val="000000"/>
          <w:sz w:val="26"/>
          <w:szCs w:val="26"/>
          <w:lang w:val="lt-LT"/>
        </w:rPr>
        <w:t>.</w:t>
      </w:r>
    </w:p>
    <w:p w:rsidR="000406FA" w:rsidRPr="000406FA" w:rsidRDefault="002146DB" w:rsidP="000406FA">
      <w:pPr>
        <w:numPr>
          <w:ilvl w:val="0"/>
          <w:numId w:val="4"/>
        </w:numPr>
        <w:tabs>
          <w:tab w:val="clear" w:pos="720"/>
          <w:tab w:val="left" w:pos="567"/>
          <w:tab w:val="left" w:pos="709"/>
        </w:tabs>
        <w:spacing w:before="120"/>
        <w:ind w:left="567" w:hanging="567"/>
        <w:jc w:val="both"/>
        <w:rPr>
          <w:rStyle w:val="terms"/>
          <w:sz w:val="26"/>
          <w:szCs w:val="26"/>
        </w:rPr>
      </w:pPr>
      <w:r w:rsidRPr="007928C8">
        <w:rPr>
          <w:caps/>
          <w:sz w:val="26"/>
          <w:szCs w:val="26"/>
        </w:rPr>
        <w:t>Fogarty,</w:t>
      </w:r>
      <w:r w:rsidRPr="007928C8">
        <w:rPr>
          <w:sz w:val="26"/>
          <w:szCs w:val="26"/>
        </w:rPr>
        <w:t xml:space="preserve"> John A.; G</w:t>
      </w:r>
      <w:r w:rsidR="0017439A" w:rsidRPr="007928C8">
        <w:rPr>
          <w:sz w:val="26"/>
          <w:szCs w:val="26"/>
        </w:rPr>
        <w:t>RAHAM, Lynford</w:t>
      </w:r>
      <w:r w:rsidRPr="007928C8">
        <w:rPr>
          <w:sz w:val="26"/>
          <w:szCs w:val="26"/>
        </w:rPr>
        <w:t xml:space="preserve">; SCHUBERT, Darrel. R. (2006) Assessing and </w:t>
      </w:r>
      <w:r w:rsidR="00273736" w:rsidRPr="007928C8">
        <w:rPr>
          <w:sz w:val="26"/>
          <w:szCs w:val="26"/>
        </w:rPr>
        <w:t>R</w:t>
      </w:r>
      <w:r w:rsidRPr="007928C8">
        <w:rPr>
          <w:sz w:val="26"/>
          <w:szCs w:val="26"/>
        </w:rPr>
        <w:t xml:space="preserve">esponding to </w:t>
      </w:r>
      <w:r w:rsidR="00273736" w:rsidRPr="007928C8">
        <w:rPr>
          <w:sz w:val="26"/>
          <w:szCs w:val="26"/>
        </w:rPr>
        <w:t>R</w:t>
      </w:r>
      <w:r w:rsidRPr="007928C8">
        <w:rPr>
          <w:sz w:val="26"/>
          <w:szCs w:val="26"/>
        </w:rPr>
        <w:t xml:space="preserve">isks in a </w:t>
      </w:r>
      <w:r w:rsidR="00273736" w:rsidRPr="007928C8">
        <w:rPr>
          <w:sz w:val="26"/>
          <w:szCs w:val="26"/>
        </w:rPr>
        <w:t>F</w:t>
      </w:r>
      <w:r w:rsidRPr="007928C8">
        <w:rPr>
          <w:sz w:val="26"/>
          <w:szCs w:val="26"/>
        </w:rPr>
        <w:t xml:space="preserve">inancial </w:t>
      </w:r>
      <w:r w:rsidR="00273736" w:rsidRPr="007928C8">
        <w:rPr>
          <w:sz w:val="26"/>
          <w:szCs w:val="26"/>
        </w:rPr>
        <w:t>S</w:t>
      </w:r>
      <w:r w:rsidRPr="007928C8">
        <w:rPr>
          <w:sz w:val="26"/>
          <w:szCs w:val="26"/>
        </w:rPr>
        <w:t xml:space="preserve">tatement </w:t>
      </w:r>
      <w:r w:rsidR="00273736" w:rsidRPr="007928C8">
        <w:rPr>
          <w:sz w:val="26"/>
          <w:szCs w:val="26"/>
        </w:rPr>
        <w:t>A</w:t>
      </w:r>
      <w:r w:rsidRPr="007928C8">
        <w:rPr>
          <w:sz w:val="26"/>
          <w:szCs w:val="26"/>
        </w:rPr>
        <w:t>udit: auditors must leave a clear record in private company audits. Iš</w:t>
      </w:r>
      <w:r w:rsidRPr="007928C8">
        <w:rPr>
          <w:i/>
          <w:sz w:val="26"/>
          <w:szCs w:val="26"/>
        </w:rPr>
        <w:t xml:space="preserve"> Journal of </w:t>
      </w:r>
      <w:r w:rsidR="00273736" w:rsidRPr="007928C8">
        <w:rPr>
          <w:i/>
          <w:sz w:val="26"/>
          <w:szCs w:val="26"/>
        </w:rPr>
        <w:t>A</w:t>
      </w:r>
      <w:r w:rsidRPr="007928C8">
        <w:rPr>
          <w:i/>
          <w:sz w:val="26"/>
          <w:szCs w:val="26"/>
        </w:rPr>
        <w:t>ccountancy</w:t>
      </w:r>
      <w:r w:rsidR="009670C3" w:rsidRPr="007928C8">
        <w:rPr>
          <w:i/>
          <w:sz w:val="26"/>
          <w:szCs w:val="26"/>
        </w:rPr>
        <w:t xml:space="preserve"> </w:t>
      </w:r>
      <w:r w:rsidR="009670C3" w:rsidRPr="007928C8">
        <w:rPr>
          <w:sz w:val="26"/>
          <w:szCs w:val="26"/>
        </w:rPr>
        <w:t>[interaktyvus]</w:t>
      </w:r>
      <w:r w:rsidRPr="007928C8">
        <w:rPr>
          <w:sz w:val="26"/>
          <w:szCs w:val="26"/>
        </w:rPr>
        <w:t xml:space="preserve">. July, </w:t>
      </w:r>
      <w:r w:rsidR="009670C3" w:rsidRPr="007928C8">
        <w:rPr>
          <w:sz w:val="26"/>
          <w:szCs w:val="26"/>
        </w:rPr>
        <w:t>[žiūrėta 2006 m. spalio 15</w:t>
      </w:r>
      <w:r w:rsidR="00C70371">
        <w:rPr>
          <w:sz w:val="26"/>
          <w:szCs w:val="26"/>
        </w:rPr>
        <w:t> </w:t>
      </w:r>
      <w:r w:rsidR="009670C3" w:rsidRPr="007928C8">
        <w:rPr>
          <w:sz w:val="26"/>
          <w:szCs w:val="26"/>
        </w:rPr>
        <w:t xml:space="preserve">d.], </w:t>
      </w:r>
      <w:r w:rsidRPr="007928C8">
        <w:rPr>
          <w:sz w:val="26"/>
          <w:szCs w:val="26"/>
        </w:rPr>
        <w:t>p.</w:t>
      </w:r>
      <w:r w:rsidR="005A3355" w:rsidRPr="007928C8">
        <w:rPr>
          <w:sz w:val="26"/>
          <w:szCs w:val="26"/>
        </w:rPr>
        <w:t xml:space="preserve"> </w:t>
      </w:r>
      <w:r w:rsidRPr="007928C8">
        <w:rPr>
          <w:sz w:val="26"/>
          <w:szCs w:val="26"/>
        </w:rPr>
        <w:t>43</w:t>
      </w:r>
      <w:r w:rsidR="009670C3" w:rsidRPr="007928C8">
        <w:rPr>
          <w:sz w:val="26"/>
          <w:szCs w:val="26"/>
        </w:rPr>
        <w:t>–</w:t>
      </w:r>
      <w:r w:rsidRPr="007928C8">
        <w:rPr>
          <w:sz w:val="26"/>
          <w:szCs w:val="26"/>
        </w:rPr>
        <w:t>46, 49.</w:t>
      </w:r>
      <w:r w:rsidR="009670C3" w:rsidRPr="007928C8">
        <w:rPr>
          <w:sz w:val="26"/>
          <w:szCs w:val="26"/>
        </w:rPr>
        <w:t xml:space="preserve"> </w:t>
      </w:r>
      <w:r w:rsidR="009670C3" w:rsidRPr="007928C8">
        <w:rPr>
          <w:sz w:val="26"/>
          <w:szCs w:val="26"/>
          <w:lang w:val="lt-LT"/>
        </w:rPr>
        <w:t>Prieiga per internetą</w:t>
      </w:r>
      <w:r w:rsidR="009670C3" w:rsidRPr="007928C8">
        <w:rPr>
          <w:rStyle w:val="terms"/>
          <w:sz w:val="26"/>
          <w:szCs w:val="26"/>
          <w:lang w:val="lt-LT"/>
        </w:rPr>
        <w:t>:</w:t>
      </w:r>
      <w:r w:rsidR="00273736" w:rsidRPr="007928C8">
        <w:rPr>
          <w:rStyle w:val="terms"/>
          <w:sz w:val="26"/>
          <w:szCs w:val="26"/>
        </w:rPr>
        <w:t xml:space="preserve"> </w:t>
      </w:r>
      <w:r w:rsidR="000412E7" w:rsidRPr="007928C8">
        <w:rPr>
          <w:rStyle w:val="terms"/>
          <w:sz w:val="26"/>
          <w:szCs w:val="26"/>
          <w:lang w:val="lt-LT"/>
        </w:rPr>
        <w:t>&lt;http://www.aicpa.org/</w:t>
      </w:r>
      <w:r w:rsidR="000412E7" w:rsidRPr="000406FA">
        <w:rPr>
          <w:rStyle w:val="terms"/>
          <w:sz w:val="26"/>
          <w:szCs w:val="26"/>
          <w:lang w:val="lt-LT"/>
        </w:rPr>
        <w:t>pubs/joa/</w:t>
      </w:r>
    </w:p>
    <w:p w:rsidR="002146DB" w:rsidRDefault="000412E7" w:rsidP="000406FA">
      <w:pPr>
        <w:tabs>
          <w:tab w:val="left" w:pos="567"/>
          <w:tab w:val="left" w:pos="709"/>
        </w:tabs>
        <w:ind w:left="567"/>
        <w:jc w:val="both"/>
        <w:rPr>
          <w:rStyle w:val="terms"/>
          <w:sz w:val="26"/>
          <w:szCs w:val="26"/>
          <w:lang w:val="lt-LT"/>
        </w:rPr>
      </w:pPr>
      <w:r w:rsidRPr="000406FA">
        <w:rPr>
          <w:rStyle w:val="terms"/>
          <w:sz w:val="26"/>
          <w:szCs w:val="26"/>
          <w:lang w:val="lt-LT"/>
        </w:rPr>
        <w:t>jul2006/fogarty.htm&gt;</w:t>
      </w:r>
      <w:r w:rsidR="00F13742" w:rsidRPr="000406FA">
        <w:rPr>
          <w:rStyle w:val="terms"/>
          <w:sz w:val="26"/>
          <w:szCs w:val="26"/>
          <w:lang w:val="lt-LT"/>
        </w:rPr>
        <w:t>.</w:t>
      </w:r>
    </w:p>
    <w:p w:rsidR="006C72BA" w:rsidRPr="007928C8" w:rsidRDefault="006C72BA" w:rsidP="000406FA">
      <w:pPr>
        <w:numPr>
          <w:ilvl w:val="0"/>
          <w:numId w:val="4"/>
        </w:numPr>
        <w:tabs>
          <w:tab w:val="clear" w:pos="720"/>
          <w:tab w:val="left" w:pos="567"/>
          <w:tab w:val="left" w:pos="709"/>
        </w:tabs>
        <w:spacing w:before="120"/>
        <w:ind w:left="567" w:hanging="567"/>
        <w:jc w:val="both"/>
        <w:rPr>
          <w:rStyle w:val="terms"/>
          <w:sz w:val="26"/>
          <w:szCs w:val="26"/>
        </w:rPr>
      </w:pPr>
      <w:r w:rsidRPr="007928C8">
        <w:rPr>
          <w:caps/>
          <w:sz w:val="26"/>
          <w:szCs w:val="26"/>
        </w:rPr>
        <w:t>Fogarty,</w:t>
      </w:r>
      <w:r w:rsidRPr="007928C8">
        <w:rPr>
          <w:sz w:val="26"/>
          <w:szCs w:val="26"/>
        </w:rPr>
        <w:t xml:space="preserve"> John A.; GRAHAM, Lynford; SCHUBERT, Darrel. R. (2007) Assessing and </w:t>
      </w:r>
      <w:r w:rsidR="00273736" w:rsidRPr="007928C8">
        <w:rPr>
          <w:sz w:val="26"/>
          <w:szCs w:val="26"/>
        </w:rPr>
        <w:t>R</w:t>
      </w:r>
      <w:r w:rsidRPr="007928C8">
        <w:rPr>
          <w:sz w:val="26"/>
          <w:szCs w:val="26"/>
        </w:rPr>
        <w:t xml:space="preserve">esponding to </w:t>
      </w:r>
      <w:r w:rsidR="00273736" w:rsidRPr="007928C8">
        <w:rPr>
          <w:sz w:val="26"/>
          <w:szCs w:val="26"/>
        </w:rPr>
        <w:t>R</w:t>
      </w:r>
      <w:r w:rsidRPr="007928C8">
        <w:rPr>
          <w:sz w:val="26"/>
          <w:szCs w:val="26"/>
        </w:rPr>
        <w:t xml:space="preserve">isks in a </w:t>
      </w:r>
      <w:r w:rsidR="00273736" w:rsidRPr="007928C8">
        <w:rPr>
          <w:sz w:val="26"/>
          <w:szCs w:val="26"/>
        </w:rPr>
        <w:t>F</w:t>
      </w:r>
      <w:r w:rsidRPr="007928C8">
        <w:rPr>
          <w:sz w:val="26"/>
          <w:szCs w:val="26"/>
        </w:rPr>
        <w:t xml:space="preserve">inancial </w:t>
      </w:r>
      <w:r w:rsidR="00273736" w:rsidRPr="007928C8">
        <w:rPr>
          <w:sz w:val="26"/>
          <w:szCs w:val="26"/>
        </w:rPr>
        <w:t>S</w:t>
      </w:r>
      <w:r w:rsidRPr="007928C8">
        <w:rPr>
          <w:sz w:val="26"/>
          <w:szCs w:val="26"/>
        </w:rPr>
        <w:t xml:space="preserve">tatement </w:t>
      </w:r>
      <w:r w:rsidR="00273736" w:rsidRPr="007928C8">
        <w:rPr>
          <w:sz w:val="26"/>
          <w:szCs w:val="26"/>
        </w:rPr>
        <w:t>A</w:t>
      </w:r>
      <w:r w:rsidRPr="007928C8">
        <w:rPr>
          <w:sz w:val="26"/>
          <w:szCs w:val="26"/>
        </w:rPr>
        <w:t xml:space="preserve">udit: </w:t>
      </w:r>
      <w:r w:rsidR="00273736" w:rsidRPr="007928C8">
        <w:rPr>
          <w:sz w:val="26"/>
          <w:szCs w:val="26"/>
        </w:rPr>
        <w:t xml:space="preserve">Part II: </w:t>
      </w:r>
      <w:r w:rsidRPr="007928C8">
        <w:rPr>
          <w:sz w:val="26"/>
          <w:szCs w:val="26"/>
        </w:rPr>
        <w:t>guidance for audit standards for nonissuers that took effect on or after December 15, 2006. Iš</w:t>
      </w:r>
      <w:r w:rsidRPr="007928C8">
        <w:rPr>
          <w:i/>
          <w:sz w:val="26"/>
          <w:szCs w:val="26"/>
        </w:rPr>
        <w:t xml:space="preserve"> Journal of </w:t>
      </w:r>
      <w:r w:rsidR="00273736" w:rsidRPr="007928C8">
        <w:rPr>
          <w:i/>
          <w:sz w:val="26"/>
          <w:szCs w:val="26"/>
        </w:rPr>
        <w:t>A</w:t>
      </w:r>
      <w:r w:rsidRPr="007928C8">
        <w:rPr>
          <w:i/>
          <w:sz w:val="26"/>
          <w:szCs w:val="26"/>
        </w:rPr>
        <w:t xml:space="preserve">ccountancy </w:t>
      </w:r>
      <w:r w:rsidRPr="007928C8">
        <w:rPr>
          <w:sz w:val="26"/>
          <w:szCs w:val="26"/>
        </w:rPr>
        <w:t>[interaktyvus]. July, [žiūrėta 200</w:t>
      </w:r>
      <w:r w:rsidR="00273736" w:rsidRPr="007928C8">
        <w:rPr>
          <w:sz w:val="26"/>
          <w:szCs w:val="26"/>
        </w:rPr>
        <w:t>7</w:t>
      </w:r>
      <w:r w:rsidRPr="007928C8">
        <w:rPr>
          <w:sz w:val="26"/>
          <w:szCs w:val="26"/>
        </w:rPr>
        <w:t xml:space="preserve"> m. </w:t>
      </w:r>
      <w:r w:rsidR="00273736" w:rsidRPr="007928C8">
        <w:rPr>
          <w:sz w:val="26"/>
          <w:szCs w:val="26"/>
          <w:lang w:val="lt-LT"/>
        </w:rPr>
        <w:t>liepos</w:t>
      </w:r>
      <w:r w:rsidR="00273736" w:rsidRPr="007928C8">
        <w:rPr>
          <w:sz w:val="26"/>
          <w:szCs w:val="26"/>
        </w:rPr>
        <w:t xml:space="preserve"> 2</w:t>
      </w:r>
      <w:r w:rsidRPr="007928C8">
        <w:rPr>
          <w:sz w:val="26"/>
          <w:szCs w:val="26"/>
        </w:rPr>
        <w:t>5 d.], p.</w:t>
      </w:r>
      <w:r w:rsidR="00273736" w:rsidRPr="007928C8">
        <w:rPr>
          <w:sz w:val="26"/>
          <w:szCs w:val="26"/>
        </w:rPr>
        <w:t xml:space="preserve"> 1–10</w:t>
      </w:r>
      <w:r w:rsidRPr="007928C8">
        <w:rPr>
          <w:sz w:val="26"/>
          <w:szCs w:val="26"/>
        </w:rPr>
        <w:t xml:space="preserve">. </w:t>
      </w:r>
      <w:r w:rsidRPr="007928C8">
        <w:rPr>
          <w:sz w:val="26"/>
          <w:szCs w:val="26"/>
          <w:lang w:val="lt-LT"/>
        </w:rPr>
        <w:t>Prieiga per internetą</w:t>
      </w:r>
      <w:r w:rsidRPr="007928C8">
        <w:rPr>
          <w:rStyle w:val="terms"/>
          <w:sz w:val="26"/>
          <w:szCs w:val="26"/>
          <w:lang w:val="lt-LT"/>
        </w:rPr>
        <w:t>:&lt;http://www.aicpa.org/pubs/joa/j</w:t>
      </w:r>
      <w:r w:rsidR="005A3355" w:rsidRPr="007928C8">
        <w:rPr>
          <w:rStyle w:val="terms"/>
          <w:sz w:val="26"/>
          <w:szCs w:val="26"/>
          <w:lang w:val="lt-LT"/>
        </w:rPr>
        <w:t>an</w:t>
      </w:r>
      <w:r w:rsidRPr="007928C8">
        <w:rPr>
          <w:rStyle w:val="terms"/>
          <w:sz w:val="26"/>
          <w:szCs w:val="26"/>
          <w:lang w:val="lt-LT"/>
        </w:rPr>
        <w:t>200</w:t>
      </w:r>
      <w:r w:rsidR="005A3355" w:rsidRPr="007928C8">
        <w:rPr>
          <w:rStyle w:val="terms"/>
          <w:sz w:val="26"/>
          <w:szCs w:val="26"/>
          <w:lang w:val="lt-LT"/>
        </w:rPr>
        <w:t>7</w:t>
      </w:r>
      <w:r w:rsidRPr="007928C8">
        <w:rPr>
          <w:rStyle w:val="terms"/>
          <w:sz w:val="26"/>
          <w:szCs w:val="26"/>
          <w:lang w:val="lt-LT"/>
        </w:rPr>
        <w:t>/fogarty.htm&gt;.</w:t>
      </w:r>
    </w:p>
    <w:p w:rsidR="00774319" w:rsidRPr="007928C8" w:rsidRDefault="00774319"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lang w:val="lt-LT"/>
        </w:rPr>
        <w:t>FUKUKAWA, Hironori; MOCK, Theodore J.; WRIGHT, Arno</w:t>
      </w:r>
      <w:r w:rsidR="00645F4F" w:rsidRPr="007928C8">
        <w:rPr>
          <w:sz w:val="26"/>
          <w:szCs w:val="26"/>
          <w:lang w:val="lt-LT"/>
        </w:rPr>
        <w:t>l</w:t>
      </w:r>
      <w:r w:rsidRPr="007928C8">
        <w:rPr>
          <w:sz w:val="26"/>
          <w:szCs w:val="26"/>
          <w:lang w:val="lt-LT"/>
        </w:rPr>
        <w:t xml:space="preserve">d. (2006) </w:t>
      </w:r>
      <w:r w:rsidRPr="007928C8">
        <w:rPr>
          <w:sz w:val="26"/>
          <w:szCs w:val="26"/>
        </w:rPr>
        <w:t>Audit programs and audit risk: a study of Japanese practice</w:t>
      </w:r>
      <w:r w:rsidRPr="007928C8">
        <w:rPr>
          <w:sz w:val="26"/>
          <w:szCs w:val="26"/>
          <w:lang w:val="lt-LT"/>
        </w:rPr>
        <w:t xml:space="preserve">. Iš </w:t>
      </w:r>
      <w:r w:rsidRPr="007928C8">
        <w:rPr>
          <w:i/>
          <w:sz w:val="26"/>
          <w:szCs w:val="26"/>
        </w:rPr>
        <w:t>International Journal of Auditing</w:t>
      </w:r>
      <w:r w:rsidRPr="007928C8">
        <w:rPr>
          <w:sz w:val="26"/>
          <w:szCs w:val="26"/>
        </w:rPr>
        <w:t xml:space="preserve"> </w:t>
      </w:r>
      <w:r w:rsidRPr="007928C8">
        <w:rPr>
          <w:sz w:val="26"/>
          <w:szCs w:val="26"/>
          <w:lang w:val="lt-LT"/>
        </w:rPr>
        <w:t xml:space="preserve">[interaktyvus]. </w:t>
      </w:r>
      <w:r w:rsidR="00B706B1" w:rsidRPr="007928C8">
        <w:rPr>
          <w:sz w:val="26"/>
          <w:szCs w:val="26"/>
          <w:lang w:val="lt-LT"/>
        </w:rPr>
        <w:t>n</w:t>
      </w:r>
      <w:r w:rsidRPr="007928C8">
        <w:rPr>
          <w:sz w:val="26"/>
          <w:szCs w:val="26"/>
          <w:lang w:val="lt-LT"/>
        </w:rPr>
        <w:t>o.10 [žiūrėta</w:t>
      </w:r>
      <w:r w:rsidR="00E17CA1" w:rsidRPr="007928C8">
        <w:rPr>
          <w:sz w:val="26"/>
          <w:szCs w:val="26"/>
          <w:lang w:val="lt-LT"/>
        </w:rPr>
        <w:t xml:space="preserve"> 2007 m. sausio 19 d.], p. 41–</w:t>
      </w:r>
      <w:r w:rsidRPr="007928C8">
        <w:rPr>
          <w:sz w:val="26"/>
          <w:szCs w:val="26"/>
          <w:lang w:val="lt-LT"/>
        </w:rPr>
        <w:t xml:space="preserve">65. </w:t>
      </w:r>
      <w:r w:rsidR="00E17CA1" w:rsidRPr="007928C8">
        <w:rPr>
          <w:color w:val="000000"/>
          <w:sz w:val="26"/>
          <w:szCs w:val="26"/>
          <w:lang w:val="lt-LT"/>
        </w:rPr>
        <w:t>Prieiga per internetą: &lt;http://web.ebscohost.com/bsi/pdf&gt;.</w:t>
      </w:r>
      <w:r w:rsidRPr="007928C8">
        <w:rPr>
          <w:sz w:val="26"/>
          <w:szCs w:val="26"/>
        </w:rPr>
        <w:t xml:space="preserve"> </w:t>
      </w:r>
    </w:p>
    <w:p w:rsidR="005F55F2" w:rsidRPr="007928C8" w:rsidRDefault="005F55F2" w:rsidP="000406FA">
      <w:pPr>
        <w:numPr>
          <w:ilvl w:val="0"/>
          <w:numId w:val="4"/>
        </w:numPr>
        <w:tabs>
          <w:tab w:val="clear" w:pos="720"/>
          <w:tab w:val="left" w:pos="567"/>
          <w:tab w:val="left" w:pos="709"/>
        </w:tabs>
        <w:spacing w:before="120"/>
        <w:ind w:left="567" w:hanging="567"/>
        <w:jc w:val="both"/>
        <w:rPr>
          <w:sz w:val="26"/>
          <w:szCs w:val="26"/>
        </w:rPr>
      </w:pPr>
      <w:r w:rsidRPr="007928C8">
        <w:rPr>
          <w:i/>
          <w:sz w:val="26"/>
          <w:szCs w:val="26"/>
        </w:rPr>
        <w:t>Handbook of International Auditing, Assurance, and Ethics pronouncements: 2006 Edition</w:t>
      </w:r>
      <w:r w:rsidRPr="007928C8">
        <w:rPr>
          <w:sz w:val="26"/>
          <w:szCs w:val="26"/>
        </w:rPr>
        <w:t xml:space="preserve">. (2006) International Federation of Accountants, </w:t>
      </w:r>
      <w:r w:rsidR="0076760A" w:rsidRPr="007928C8">
        <w:rPr>
          <w:sz w:val="26"/>
          <w:szCs w:val="26"/>
        </w:rPr>
        <w:t>1095 p. ISBN 1-931949-52-2.</w:t>
      </w:r>
      <w:r w:rsidRPr="007928C8">
        <w:rPr>
          <w:sz w:val="26"/>
          <w:szCs w:val="26"/>
        </w:rPr>
        <w:t xml:space="preserve"> </w:t>
      </w:r>
    </w:p>
    <w:p w:rsidR="0029741E" w:rsidRPr="007928C8" w:rsidRDefault="0029741E" w:rsidP="000406FA">
      <w:pPr>
        <w:numPr>
          <w:ilvl w:val="0"/>
          <w:numId w:val="4"/>
        </w:numPr>
        <w:tabs>
          <w:tab w:val="clear" w:pos="720"/>
          <w:tab w:val="left" w:pos="567"/>
          <w:tab w:val="left" w:pos="709"/>
        </w:tabs>
        <w:spacing w:before="120"/>
        <w:ind w:left="567" w:hanging="567"/>
        <w:jc w:val="both"/>
        <w:rPr>
          <w:rStyle w:val="terms"/>
          <w:sz w:val="26"/>
          <w:szCs w:val="26"/>
          <w:lang w:val="lt-LT"/>
        </w:rPr>
      </w:pPr>
      <w:r w:rsidRPr="007928C8">
        <w:rPr>
          <w:sz w:val="26"/>
          <w:szCs w:val="26"/>
          <w:lang w:val="lt-LT"/>
        </w:rPr>
        <w:t xml:space="preserve">HOLMES, Howard. </w:t>
      </w:r>
      <w:r w:rsidRPr="007928C8">
        <w:rPr>
          <w:sz w:val="26"/>
          <w:szCs w:val="26"/>
        </w:rPr>
        <w:t xml:space="preserve">(1995) </w:t>
      </w:r>
      <w:r w:rsidRPr="007928C8">
        <w:rPr>
          <w:sz w:val="26"/>
          <w:szCs w:val="26"/>
          <w:lang w:val="lt-LT"/>
        </w:rPr>
        <w:t xml:space="preserve">ABREMA – </w:t>
      </w:r>
      <w:r w:rsidRPr="007928C8">
        <w:rPr>
          <w:sz w:val="26"/>
          <w:szCs w:val="26"/>
        </w:rPr>
        <w:t xml:space="preserve">Activity Based Risk Evaluation Model of Auditing [interaktyvus]. Iš </w:t>
      </w:r>
      <w:r w:rsidRPr="007928C8">
        <w:rPr>
          <w:rStyle w:val="terms"/>
          <w:i/>
          <w:sz w:val="26"/>
          <w:szCs w:val="26"/>
        </w:rPr>
        <w:t>Australian Educational Research Pty</w:t>
      </w:r>
      <w:r w:rsidRPr="007928C8">
        <w:rPr>
          <w:rStyle w:val="terms"/>
          <w:i/>
          <w:sz w:val="26"/>
          <w:szCs w:val="26"/>
          <w:lang w:val="lt-LT"/>
        </w:rPr>
        <w:t xml:space="preserve"> Ltd</w:t>
      </w:r>
      <w:r w:rsidRPr="007928C8">
        <w:rPr>
          <w:rStyle w:val="terms"/>
          <w:sz w:val="26"/>
          <w:szCs w:val="26"/>
          <w:lang w:val="lt-LT"/>
        </w:rPr>
        <w:t xml:space="preserve">. </w:t>
      </w:r>
      <w:r w:rsidRPr="007928C8">
        <w:rPr>
          <w:sz w:val="26"/>
          <w:szCs w:val="26"/>
          <w:lang w:val="lt-LT"/>
        </w:rPr>
        <w:t>[žiūrėta 2005 m. gruodžio 2 d.]. Prieiga per internetą</w:t>
      </w:r>
      <w:r w:rsidRPr="007928C8">
        <w:rPr>
          <w:rStyle w:val="terms"/>
          <w:sz w:val="26"/>
          <w:szCs w:val="26"/>
          <w:lang w:val="lt-LT"/>
        </w:rPr>
        <w:t>: &lt;</w:t>
      </w:r>
      <w:hyperlink r:id="rId27" w:history="1">
        <w:r w:rsidRPr="007928C8">
          <w:rPr>
            <w:rStyle w:val="Hyperlink"/>
            <w:color w:val="auto"/>
            <w:sz w:val="26"/>
            <w:szCs w:val="26"/>
            <w:u w:val="none"/>
            <w:lang w:val="lt-LT"/>
          </w:rPr>
          <w:t>http://www.abrema.net/abrema/</w:t>
        </w:r>
      </w:hyperlink>
      <w:r w:rsidRPr="007928C8">
        <w:rPr>
          <w:rStyle w:val="terms"/>
          <w:sz w:val="26"/>
          <w:szCs w:val="26"/>
          <w:lang w:val="lt-LT"/>
        </w:rPr>
        <w:t>&gt;.</w:t>
      </w:r>
    </w:p>
    <w:p w:rsidR="00407E3F" w:rsidRPr="007928C8" w:rsidRDefault="00407E3F"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color w:val="000000"/>
          <w:sz w:val="26"/>
          <w:szCs w:val="26"/>
        </w:rPr>
        <w:t xml:space="preserve">Houston, </w:t>
      </w:r>
      <w:r w:rsidRPr="007928C8">
        <w:rPr>
          <w:color w:val="000000"/>
          <w:sz w:val="26"/>
          <w:szCs w:val="26"/>
        </w:rPr>
        <w:t>Richard</w:t>
      </w:r>
      <w:r w:rsidRPr="007928C8">
        <w:rPr>
          <w:caps/>
          <w:color w:val="000000"/>
          <w:sz w:val="26"/>
          <w:szCs w:val="26"/>
        </w:rPr>
        <w:t xml:space="preserve"> W.; Peters, </w:t>
      </w:r>
      <w:r w:rsidRPr="007928C8">
        <w:rPr>
          <w:color w:val="000000"/>
          <w:sz w:val="26"/>
          <w:szCs w:val="26"/>
        </w:rPr>
        <w:t>Michael</w:t>
      </w:r>
      <w:r w:rsidRPr="007928C8">
        <w:rPr>
          <w:caps/>
          <w:color w:val="000000"/>
          <w:sz w:val="26"/>
          <w:szCs w:val="26"/>
        </w:rPr>
        <w:t xml:space="preserve"> F.; Pratt</w:t>
      </w:r>
      <w:r w:rsidRPr="007928C8">
        <w:rPr>
          <w:color w:val="000000"/>
          <w:sz w:val="26"/>
          <w:szCs w:val="26"/>
        </w:rPr>
        <w:t>, Jamie H. (2005) Nonlitigation Risk an</w:t>
      </w:r>
      <w:r w:rsidR="00F70728" w:rsidRPr="007928C8">
        <w:rPr>
          <w:color w:val="000000"/>
          <w:sz w:val="26"/>
          <w:szCs w:val="26"/>
        </w:rPr>
        <w:t>d</w:t>
      </w:r>
      <w:r w:rsidRPr="007928C8">
        <w:rPr>
          <w:color w:val="000000"/>
          <w:sz w:val="26"/>
          <w:szCs w:val="26"/>
        </w:rPr>
        <w:t xml:space="preserve"> Pricing Audit Services. Iš </w:t>
      </w:r>
      <w:r w:rsidRPr="007928C8">
        <w:rPr>
          <w:i/>
          <w:color w:val="000000"/>
          <w:sz w:val="26"/>
          <w:szCs w:val="26"/>
        </w:rPr>
        <w:t>Auditing: A Journal of Practice &amp; Theory</w:t>
      </w:r>
      <w:r w:rsidR="00F70728" w:rsidRPr="007928C8">
        <w:rPr>
          <w:color w:val="000000"/>
          <w:sz w:val="26"/>
          <w:szCs w:val="26"/>
        </w:rPr>
        <w:t xml:space="preserve"> [</w:t>
      </w:r>
      <w:r w:rsidR="00F70728" w:rsidRPr="007928C8">
        <w:rPr>
          <w:color w:val="000000"/>
          <w:sz w:val="26"/>
          <w:szCs w:val="26"/>
          <w:lang w:val="lt-LT"/>
        </w:rPr>
        <w:t>interaktyvus</w:t>
      </w:r>
      <w:r w:rsidR="00F70728" w:rsidRPr="007928C8">
        <w:rPr>
          <w:color w:val="000000"/>
          <w:sz w:val="26"/>
          <w:szCs w:val="26"/>
        </w:rPr>
        <w:t>]. vol. 24, no.1</w:t>
      </w:r>
      <w:r w:rsidRPr="007928C8">
        <w:rPr>
          <w:color w:val="000000"/>
          <w:sz w:val="26"/>
          <w:szCs w:val="26"/>
        </w:rPr>
        <w:t>,</w:t>
      </w:r>
      <w:r w:rsidR="00F70728" w:rsidRPr="007928C8">
        <w:rPr>
          <w:color w:val="000000"/>
          <w:sz w:val="26"/>
          <w:szCs w:val="26"/>
        </w:rPr>
        <w:t xml:space="preserve"> May [</w:t>
      </w:r>
      <w:r w:rsidR="00F70728" w:rsidRPr="007928C8">
        <w:rPr>
          <w:color w:val="000000"/>
          <w:sz w:val="26"/>
          <w:szCs w:val="26"/>
          <w:lang w:val="lt-LT"/>
        </w:rPr>
        <w:t>žiūrėta</w:t>
      </w:r>
      <w:r w:rsidR="00F70728" w:rsidRPr="007928C8">
        <w:rPr>
          <w:color w:val="000000"/>
          <w:sz w:val="26"/>
          <w:szCs w:val="26"/>
        </w:rPr>
        <w:t xml:space="preserve"> 2006 m. </w:t>
      </w:r>
      <w:r w:rsidR="00F70728" w:rsidRPr="007928C8">
        <w:rPr>
          <w:color w:val="000000"/>
          <w:sz w:val="26"/>
          <w:szCs w:val="26"/>
          <w:lang w:val="lt-LT"/>
        </w:rPr>
        <w:t>balandžio</w:t>
      </w:r>
      <w:r w:rsidR="00F70728" w:rsidRPr="007928C8">
        <w:rPr>
          <w:color w:val="000000"/>
          <w:sz w:val="26"/>
          <w:szCs w:val="26"/>
        </w:rPr>
        <w:t xml:space="preserve"> 17 d.],</w:t>
      </w:r>
      <w:r w:rsidRPr="007928C8">
        <w:rPr>
          <w:color w:val="000000"/>
          <w:sz w:val="26"/>
          <w:szCs w:val="26"/>
        </w:rPr>
        <w:t xml:space="preserve"> p. </w:t>
      </w:r>
      <w:r w:rsidR="00F70728" w:rsidRPr="007928C8">
        <w:rPr>
          <w:color w:val="000000"/>
          <w:sz w:val="26"/>
          <w:szCs w:val="26"/>
        </w:rPr>
        <w:t>37</w:t>
      </w:r>
      <w:r w:rsidR="00E17CA1" w:rsidRPr="007928C8">
        <w:rPr>
          <w:color w:val="000000"/>
          <w:sz w:val="26"/>
          <w:szCs w:val="26"/>
        </w:rPr>
        <w:t>–</w:t>
      </w:r>
      <w:r w:rsidR="00F70728" w:rsidRPr="007928C8">
        <w:rPr>
          <w:color w:val="000000"/>
          <w:sz w:val="26"/>
          <w:szCs w:val="26"/>
        </w:rPr>
        <w:t>53.</w:t>
      </w:r>
      <w:r w:rsidR="00F70728" w:rsidRPr="007928C8">
        <w:rPr>
          <w:color w:val="0000FF"/>
          <w:sz w:val="26"/>
          <w:szCs w:val="26"/>
          <w:lang w:val="lt-LT"/>
        </w:rPr>
        <w:t xml:space="preserve"> </w:t>
      </w:r>
      <w:r w:rsidR="00E17CA1" w:rsidRPr="007928C8">
        <w:rPr>
          <w:color w:val="000000"/>
          <w:sz w:val="26"/>
          <w:szCs w:val="26"/>
          <w:lang w:val="lt-LT"/>
        </w:rPr>
        <w:t>Prieiga per internetą: &lt;http://web.ebscohost.com/bsi/pdf&gt;.</w:t>
      </w:r>
    </w:p>
    <w:p w:rsidR="00985B20" w:rsidRPr="007928C8" w:rsidRDefault="00985B20"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lang w:val="lt-LT"/>
        </w:rPr>
        <w:t>HUSS</w:t>
      </w:r>
      <w:r w:rsidR="000A5390" w:rsidRPr="007928C8">
        <w:rPr>
          <w:sz w:val="26"/>
          <w:szCs w:val="26"/>
          <w:lang w:val="lt-LT"/>
        </w:rPr>
        <w:t>,</w:t>
      </w:r>
      <w:r w:rsidRPr="007928C8">
        <w:rPr>
          <w:sz w:val="26"/>
          <w:szCs w:val="26"/>
          <w:lang w:val="lt-LT"/>
        </w:rPr>
        <w:t xml:space="preserve"> Fenwick </w:t>
      </w:r>
      <w:r w:rsidR="00E674CC" w:rsidRPr="007928C8">
        <w:rPr>
          <w:sz w:val="26"/>
          <w:szCs w:val="26"/>
          <w:lang w:val="lt-LT"/>
        </w:rPr>
        <w:t>H</w:t>
      </w:r>
      <w:r w:rsidRPr="007928C8">
        <w:rPr>
          <w:sz w:val="26"/>
          <w:szCs w:val="26"/>
          <w:lang w:val="lt-LT"/>
        </w:rPr>
        <w:t>.; JACOBS Fred A.</w:t>
      </w:r>
      <w:r w:rsidR="00E674CC" w:rsidRPr="007928C8">
        <w:rPr>
          <w:sz w:val="26"/>
          <w:szCs w:val="26"/>
          <w:lang w:val="lt-LT"/>
        </w:rPr>
        <w:t xml:space="preserve"> (1991) </w:t>
      </w:r>
      <w:r w:rsidR="00E674CC" w:rsidRPr="007928C8">
        <w:rPr>
          <w:sz w:val="26"/>
          <w:szCs w:val="26"/>
        </w:rPr>
        <w:t xml:space="preserve">Risk Containment: Exploring </w:t>
      </w:r>
      <w:r w:rsidR="002D08A3" w:rsidRPr="007928C8">
        <w:rPr>
          <w:sz w:val="26"/>
          <w:szCs w:val="26"/>
        </w:rPr>
        <w:t>Auditor</w:t>
      </w:r>
      <w:r w:rsidR="00E674CC" w:rsidRPr="007928C8">
        <w:rPr>
          <w:sz w:val="26"/>
          <w:szCs w:val="26"/>
        </w:rPr>
        <w:t xml:space="preserve"> </w:t>
      </w:r>
      <w:r w:rsidR="002D08A3" w:rsidRPr="007928C8">
        <w:rPr>
          <w:sz w:val="26"/>
          <w:szCs w:val="26"/>
        </w:rPr>
        <w:t>Decisions</w:t>
      </w:r>
      <w:r w:rsidR="00E674CC" w:rsidRPr="007928C8">
        <w:rPr>
          <w:sz w:val="26"/>
          <w:szCs w:val="26"/>
        </w:rPr>
        <w:t xml:space="preserve"> in the Engagement Process. </w:t>
      </w:r>
      <w:r w:rsidR="00E674CC" w:rsidRPr="007928C8">
        <w:rPr>
          <w:i/>
          <w:sz w:val="26"/>
          <w:szCs w:val="26"/>
        </w:rPr>
        <w:t>Iš Auditing: A Journal of Practice &amp; Theory</w:t>
      </w:r>
      <w:r w:rsidR="00E674CC" w:rsidRPr="007928C8">
        <w:rPr>
          <w:sz w:val="26"/>
          <w:szCs w:val="26"/>
          <w:lang w:val="lt-LT"/>
        </w:rPr>
        <w:t xml:space="preserve"> [interaktyvus]. </w:t>
      </w:r>
      <w:r w:rsidR="00645F4F" w:rsidRPr="007928C8">
        <w:rPr>
          <w:sz w:val="26"/>
          <w:szCs w:val="26"/>
          <w:lang w:val="lt-LT"/>
        </w:rPr>
        <w:t>V</w:t>
      </w:r>
      <w:r w:rsidR="00E674CC" w:rsidRPr="007928C8">
        <w:rPr>
          <w:sz w:val="26"/>
          <w:szCs w:val="26"/>
          <w:lang w:val="lt-LT"/>
        </w:rPr>
        <w:t xml:space="preserve">ol. 10, no. 2, [ žiūrėta </w:t>
      </w:r>
      <w:r w:rsidR="00E674CC" w:rsidRPr="007928C8">
        <w:rPr>
          <w:sz w:val="26"/>
          <w:szCs w:val="26"/>
          <w:lang w:val="lt-LT"/>
        </w:rPr>
        <w:lastRenderedPageBreak/>
        <w:t xml:space="preserve">2006 m. spalio 15 d.], p. 16 – </w:t>
      </w:r>
      <w:r w:rsidR="002D08A3" w:rsidRPr="007928C8">
        <w:rPr>
          <w:sz w:val="26"/>
          <w:szCs w:val="26"/>
          <w:lang w:val="lt-LT"/>
        </w:rPr>
        <w:t xml:space="preserve">32. </w:t>
      </w:r>
      <w:r w:rsidR="00E17CA1" w:rsidRPr="007928C8">
        <w:rPr>
          <w:color w:val="000000"/>
          <w:sz w:val="26"/>
          <w:szCs w:val="26"/>
          <w:lang w:val="lt-LT"/>
        </w:rPr>
        <w:t>Prieiga per internetą: &lt;http://web.ebscohost.com/bsi/pdf&gt;</w:t>
      </w:r>
      <w:r w:rsidR="002D08A3" w:rsidRPr="007928C8">
        <w:rPr>
          <w:sz w:val="26"/>
          <w:szCs w:val="26"/>
        </w:rPr>
        <w:t>.</w:t>
      </w:r>
    </w:p>
    <w:p w:rsidR="00A532D3" w:rsidRPr="007928C8" w:rsidRDefault="00A532D3"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International Standard on Auditing 200</w:t>
      </w:r>
      <w:r w:rsidRPr="007928C8">
        <w:rPr>
          <w:i/>
          <w:sz w:val="26"/>
          <w:szCs w:val="26"/>
        </w:rPr>
        <w:t xml:space="preserve">, </w:t>
      </w:r>
      <w:r w:rsidRPr="007928C8">
        <w:rPr>
          <w:sz w:val="26"/>
          <w:szCs w:val="26"/>
        </w:rPr>
        <w:t>Objective and General Principles Governing an Audit of Financial Statements. (2006)</w:t>
      </w:r>
      <w:r w:rsidRPr="007928C8">
        <w:rPr>
          <w:i/>
          <w:sz w:val="26"/>
          <w:szCs w:val="26"/>
        </w:rPr>
        <w:t xml:space="preserve"> </w:t>
      </w:r>
      <w:r w:rsidR="004D550D" w:rsidRPr="007928C8">
        <w:rPr>
          <w:sz w:val="26"/>
          <w:szCs w:val="26"/>
        </w:rPr>
        <w:t>Iš</w:t>
      </w:r>
      <w:r w:rsidR="004D550D" w:rsidRPr="007928C8">
        <w:rPr>
          <w:i/>
          <w:sz w:val="26"/>
          <w:szCs w:val="26"/>
        </w:rPr>
        <w:t xml:space="preserve"> </w:t>
      </w:r>
      <w:r w:rsidRPr="007928C8">
        <w:rPr>
          <w:i/>
          <w:sz w:val="26"/>
          <w:szCs w:val="26"/>
        </w:rPr>
        <w:t>Handbook of International Auditing, Assurance, and Ethics pronouncements</w:t>
      </w:r>
      <w:r w:rsidR="001023FB" w:rsidRPr="007928C8">
        <w:rPr>
          <w:i/>
          <w:sz w:val="26"/>
          <w:szCs w:val="26"/>
        </w:rPr>
        <w:t>.</w:t>
      </w:r>
      <w:r w:rsidRPr="007928C8">
        <w:rPr>
          <w:i/>
          <w:sz w:val="26"/>
          <w:szCs w:val="26"/>
        </w:rPr>
        <w:t xml:space="preserve"> 2006 edition</w:t>
      </w:r>
      <w:r w:rsidR="004D550D" w:rsidRPr="007928C8">
        <w:rPr>
          <w:i/>
          <w:sz w:val="26"/>
          <w:szCs w:val="26"/>
        </w:rPr>
        <w:t xml:space="preserve"> </w:t>
      </w:r>
      <w:r w:rsidR="004D550D" w:rsidRPr="007928C8">
        <w:rPr>
          <w:sz w:val="26"/>
          <w:szCs w:val="26"/>
        </w:rPr>
        <w:t>[interaktyvus]. [žiūrėta 2006 m. balandžio 17 d.]</w:t>
      </w:r>
      <w:r w:rsidRPr="007928C8">
        <w:rPr>
          <w:sz w:val="26"/>
          <w:szCs w:val="26"/>
        </w:rPr>
        <w:t>, p. 304</w:t>
      </w:r>
      <w:r w:rsidR="004D550D" w:rsidRPr="007928C8">
        <w:rPr>
          <w:sz w:val="26"/>
          <w:szCs w:val="26"/>
        </w:rPr>
        <w:t xml:space="preserve"> – </w:t>
      </w:r>
      <w:r w:rsidRPr="007928C8">
        <w:rPr>
          <w:sz w:val="26"/>
          <w:szCs w:val="26"/>
        </w:rPr>
        <w:t>320. Prieiga per internetą</w:t>
      </w:r>
      <w:r w:rsidR="000F5F1D" w:rsidRPr="007928C8">
        <w:rPr>
          <w:sz w:val="26"/>
          <w:szCs w:val="26"/>
        </w:rPr>
        <w:t>:</w:t>
      </w:r>
      <w:r w:rsidRPr="007928C8">
        <w:rPr>
          <w:sz w:val="26"/>
          <w:szCs w:val="26"/>
        </w:rPr>
        <w:t xml:space="preserve"> </w:t>
      </w:r>
      <w:r w:rsidR="006934C2" w:rsidRPr="007928C8">
        <w:rPr>
          <w:sz w:val="26"/>
          <w:szCs w:val="26"/>
        </w:rPr>
        <w:t>&lt;</w:t>
      </w:r>
      <w:r w:rsidRPr="007928C8">
        <w:rPr>
          <w:sz w:val="26"/>
          <w:szCs w:val="26"/>
        </w:rPr>
        <w:t>http://</w:t>
      </w:r>
      <w:r w:rsidR="00AA1BDC" w:rsidRPr="007928C8">
        <w:rPr>
          <w:sz w:val="26"/>
          <w:szCs w:val="26"/>
        </w:rPr>
        <w:t>www.</w:t>
      </w:r>
      <w:r w:rsidRPr="007928C8">
        <w:rPr>
          <w:sz w:val="26"/>
          <w:szCs w:val="26"/>
        </w:rPr>
        <w:t>ifac.org</w:t>
      </w:r>
      <w:r w:rsidR="006934C2" w:rsidRPr="007928C8">
        <w:rPr>
          <w:sz w:val="26"/>
          <w:szCs w:val="26"/>
        </w:rPr>
        <w:t>&gt;</w:t>
      </w:r>
      <w:r w:rsidRPr="007928C8">
        <w:rPr>
          <w:sz w:val="26"/>
          <w:szCs w:val="26"/>
        </w:rPr>
        <w:t xml:space="preserve">. </w:t>
      </w:r>
    </w:p>
    <w:p w:rsidR="00157158" w:rsidRPr="007928C8" w:rsidRDefault="00157158"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 xml:space="preserve">International Standard on Auditing 240, The Auditor’s Responsibility to </w:t>
      </w:r>
      <w:r w:rsidR="00241368" w:rsidRPr="007928C8">
        <w:rPr>
          <w:sz w:val="26"/>
          <w:szCs w:val="26"/>
        </w:rPr>
        <w:t>C</w:t>
      </w:r>
      <w:r w:rsidRPr="007928C8">
        <w:rPr>
          <w:sz w:val="26"/>
          <w:szCs w:val="26"/>
        </w:rPr>
        <w:t xml:space="preserve">onsider </w:t>
      </w:r>
      <w:r w:rsidR="00241368" w:rsidRPr="007928C8">
        <w:rPr>
          <w:sz w:val="26"/>
          <w:szCs w:val="26"/>
        </w:rPr>
        <w:t>Fr</w:t>
      </w:r>
      <w:r w:rsidRPr="007928C8">
        <w:rPr>
          <w:sz w:val="26"/>
          <w:szCs w:val="26"/>
        </w:rPr>
        <w:t>aud in an Audit of Financial Statements. (2006)</w:t>
      </w:r>
      <w:r w:rsidRPr="007928C8">
        <w:rPr>
          <w:i/>
          <w:sz w:val="26"/>
          <w:szCs w:val="26"/>
        </w:rPr>
        <w:t xml:space="preserve"> </w:t>
      </w:r>
      <w:r w:rsidRPr="007928C8">
        <w:rPr>
          <w:sz w:val="26"/>
          <w:szCs w:val="26"/>
        </w:rPr>
        <w:t>Iš</w:t>
      </w:r>
      <w:r w:rsidRPr="007928C8">
        <w:rPr>
          <w:i/>
          <w:sz w:val="26"/>
          <w:szCs w:val="26"/>
        </w:rPr>
        <w:t xml:space="preserve"> Handbook of International Auditing, Assurance, and Ethics pronouncements. 2006 edition </w:t>
      </w:r>
      <w:r w:rsidRPr="007928C8">
        <w:rPr>
          <w:sz w:val="26"/>
          <w:szCs w:val="26"/>
        </w:rPr>
        <w:t>[</w:t>
      </w:r>
      <w:r w:rsidRPr="007928C8">
        <w:rPr>
          <w:sz w:val="26"/>
          <w:szCs w:val="26"/>
          <w:lang w:val="lt-LT"/>
        </w:rPr>
        <w:t>interaktyvus</w:t>
      </w:r>
      <w:r w:rsidRPr="007928C8">
        <w:rPr>
          <w:sz w:val="26"/>
          <w:szCs w:val="26"/>
        </w:rPr>
        <w:t>]. [</w:t>
      </w:r>
      <w:r w:rsidRPr="007928C8">
        <w:rPr>
          <w:sz w:val="26"/>
          <w:szCs w:val="26"/>
          <w:lang w:val="lt-LT"/>
        </w:rPr>
        <w:t>žiūrėta</w:t>
      </w:r>
      <w:r w:rsidRPr="007928C8">
        <w:rPr>
          <w:sz w:val="26"/>
          <w:szCs w:val="26"/>
        </w:rPr>
        <w:t xml:space="preserve"> 2006 m. </w:t>
      </w:r>
      <w:r w:rsidRPr="007928C8">
        <w:rPr>
          <w:sz w:val="26"/>
          <w:szCs w:val="26"/>
          <w:lang w:val="lt-LT"/>
        </w:rPr>
        <w:t>balandžio</w:t>
      </w:r>
      <w:r w:rsidRPr="007928C8">
        <w:rPr>
          <w:sz w:val="26"/>
          <w:szCs w:val="26"/>
        </w:rPr>
        <w:t xml:space="preserve"> 17 d.], p. 3</w:t>
      </w:r>
      <w:r w:rsidR="00241368" w:rsidRPr="007928C8">
        <w:rPr>
          <w:sz w:val="26"/>
          <w:szCs w:val="26"/>
        </w:rPr>
        <w:t>63</w:t>
      </w:r>
      <w:r w:rsidRPr="007928C8">
        <w:rPr>
          <w:sz w:val="26"/>
          <w:szCs w:val="26"/>
        </w:rPr>
        <w:t xml:space="preserve"> – </w:t>
      </w:r>
      <w:r w:rsidR="00241368" w:rsidRPr="007928C8">
        <w:rPr>
          <w:sz w:val="26"/>
          <w:szCs w:val="26"/>
        </w:rPr>
        <w:t>408</w:t>
      </w:r>
      <w:r w:rsidRPr="007928C8">
        <w:rPr>
          <w:sz w:val="26"/>
          <w:szCs w:val="26"/>
        </w:rPr>
        <w:t xml:space="preserve">. Prieiga per internetą: </w:t>
      </w:r>
      <w:r w:rsidR="00E270BA" w:rsidRPr="007928C8">
        <w:rPr>
          <w:sz w:val="26"/>
          <w:szCs w:val="26"/>
        </w:rPr>
        <w:t>&lt;</w:t>
      </w:r>
      <w:r w:rsidRPr="007928C8">
        <w:rPr>
          <w:sz w:val="26"/>
          <w:szCs w:val="26"/>
        </w:rPr>
        <w:t>http://</w:t>
      </w:r>
      <w:r w:rsidR="00E270BA" w:rsidRPr="007928C8">
        <w:rPr>
          <w:sz w:val="26"/>
          <w:szCs w:val="26"/>
        </w:rPr>
        <w:t>www.</w:t>
      </w:r>
      <w:r w:rsidRPr="007928C8">
        <w:rPr>
          <w:sz w:val="26"/>
          <w:szCs w:val="26"/>
        </w:rPr>
        <w:t>ifac.org</w:t>
      </w:r>
      <w:r w:rsidR="00E270BA" w:rsidRPr="007928C8">
        <w:rPr>
          <w:sz w:val="26"/>
          <w:szCs w:val="26"/>
        </w:rPr>
        <w:t>&gt;</w:t>
      </w:r>
      <w:r w:rsidRPr="007928C8">
        <w:rPr>
          <w:sz w:val="26"/>
          <w:szCs w:val="26"/>
        </w:rPr>
        <w:t xml:space="preserve">. </w:t>
      </w:r>
    </w:p>
    <w:p w:rsidR="00A532D3" w:rsidRPr="007928C8" w:rsidRDefault="00A532D3"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International Standard on Auditing 315,</w:t>
      </w:r>
      <w:r w:rsidRPr="007928C8">
        <w:rPr>
          <w:i/>
          <w:sz w:val="26"/>
          <w:szCs w:val="26"/>
        </w:rPr>
        <w:t xml:space="preserve"> </w:t>
      </w:r>
      <w:r w:rsidRPr="007928C8">
        <w:rPr>
          <w:sz w:val="26"/>
          <w:szCs w:val="26"/>
        </w:rPr>
        <w:t>Obtaining an Understanding of the Entity and Its Environment and Assessing the Risks of Material Misstatement</w:t>
      </w:r>
      <w:r w:rsidRPr="007928C8">
        <w:rPr>
          <w:i/>
          <w:sz w:val="26"/>
          <w:szCs w:val="26"/>
        </w:rPr>
        <w:t>.</w:t>
      </w:r>
      <w:r w:rsidRPr="007928C8">
        <w:rPr>
          <w:sz w:val="26"/>
          <w:szCs w:val="26"/>
        </w:rPr>
        <w:t xml:space="preserve"> (2006)</w:t>
      </w:r>
      <w:r w:rsidRPr="007928C8">
        <w:rPr>
          <w:i/>
          <w:sz w:val="26"/>
          <w:szCs w:val="26"/>
        </w:rPr>
        <w:t xml:space="preserve"> </w:t>
      </w:r>
      <w:r w:rsidR="004D550D" w:rsidRPr="007928C8">
        <w:rPr>
          <w:sz w:val="26"/>
          <w:szCs w:val="26"/>
        </w:rPr>
        <w:t xml:space="preserve">Iš </w:t>
      </w:r>
      <w:r w:rsidRPr="007928C8">
        <w:rPr>
          <w:i/>
          <w:sz w:val="26"/>
          <w:szCs w:val="26"/>
        </w:rPr>
        <w:t>Handbook of International Auditing, Assurance, and Ethics pronouncements</w:t>
      </w:r>
      <w:r w:rsidR="001023FB" w:rsidRPr="007928C8">
        <w:rPr>
          <w:i/>
          <w:sz w:val="26"/>
          <w:szCs w:val="26"/>
        </w:rPr>
        <w:t>. 2006 edition</w:t>
      </w:r>
      <w:r w:rsidR="001023FB" w:rsidRPr="007928C8">
        <w:rPr>
          <w:sz w:val="26"/>
          <w:szCs w:val="26"/>
        </w:rPr>
        <w:t xml:space="preserve"> [interaktyvus]. [žiūrėta 2006 m. </w:t>
      </w:r>
      <w:r w:rsidR="00CC5CD9">
        <w:rPr>
          <w:sz w:val="26"/>
          <w:szCs w:val="26"/>
        </w:rPr>
        <w:t>kovo</w:t>
      </w:r>
      <w:r w:rsidR="001023FB" w:rsidRPr="007928C8">
        <w:rPr>
          <w:sz w:val="26"/>
          <w:szCs w:val="26"/>
        </w:rPr>
        <w:t xml:space="preserve"> </w:t>
      </w:r>
      <w:r w:rsidR="00CC5CD9">
        <w:rPr>
          <w:sz w:val="26"/>
          <w:szCs w:val="26"/>
        </w:rPr>
        <w:t>2</w:t>
      </w:r>
      <w:r w:rsidR="001023FB" w:rsidRPr="007928C8">
        <w:rPr>
          <w:sz w:val="26"/>
          <w:szCs w:val="26"/>
        </w:rPr>
        <w:t>7 d.]</w:t>
      </w:r>
      <w:r w:rsidRPr="007928C8">
        <w:rPr>
          <w:sz w:val="26"/>
          <w:szCs w:val="26"/>
        </w:rPr>
        <w:t>, p. 439</w:t>
      </w:r>
      <w:r w:rsidR="001023FB" w:rsidRPr="007928C8">
        <w:rPr>
          <w:sz w:val="26"/>
          <w:szCs w:val="26"/>
        </w:rPr>
        <w:t xml:space="preserve"> – </w:t>
      </w:r>
      <w:r w:rsidRPr="007928C8">
        <w:rPr>
          <w:sz w:val="26"/>
          <w:szCs w:val="26"/>
        </w:rPr>
        <w:t>488. Prieiga per internetą</w:t>
      </w:r>
      <w:r w:rsidR="000F5F1D" w:rsidRPr="007928C8">
        <w:rPr>
          <w:sz w:val="26"/>
          <w:szCs w:val="26"/>
        </w:rPr>
        <w:t>:</w:t>
      </w:r>
      <w:r w:rsidRPr="007928C8">
        <w:rPr>
          <w:sz w:val="26"/>
          <w:szCs w:val="26"/>
        </w:rPr>
        <w:t xml:space="preserve"> </w:t>
      </w:r>
      <w:r w:rsidR="00E270BA" w:rsidRPr="007928C8">
        <w:rPr>
          <w:sz w:val="26"/>
          <w:szCs w:val="26"/>
        </w:rPr>
        <w:t>&lt;</w:t>
      </w:r>
      <w:r w:rsidRPr="007928C8">
        <w:rPr>
          <w:sz w:val="26"/>
          <w:szCs w:val="26"/>
        </w:rPr>
        <w:t>http://</w:t>
      </w:r>
      <w:r w:rsidR="00E270BA" w:rsidRPr="007928C8">
        <w:rPr>
          <w:sz w:val="26"/>
          <w:szCs w:val="26"/>
        </w:rPr>
        <w:t>www.</w:t>
      </w:r>
      <w:r w:rsidRPr="007928C8">
        <w:rPr>
          <w:sz w:val="26"/>
          <w:szCs w:val="26"/>
        </w:rPr>
        <w:t xml:space="preserve">ifac.org </w:t>
      </w:r>
      <w:r w:rsidR="00E270BA" w:rsidRPr="007928C8">
        <w:rPr>
          <w:sz w:val="26"/>
          <w:szCs w:val="26"/>
        </w:rPr>
        <w:t>&gt;</w:t>
      </w:r>
      <w:r w:rsidRPr="007928C8">
        <w:rPr>
          <w:sz w:val="26"/>
          <w:szCs w:val="26"/>
        </w:rPr>
        <w:t xml:space="preserve">. </w:t>
      </w:r>
    </w:p>
    <w:p w:rsidR="00A532D3" w:rsidRPr="007928C8" w:rsidRDefault="00A532D3"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International Standard on Auditing 330,</w:t>
      </w:r>
      <w:r w:rsidRPr="007928C8">
        <w:rPr>
          <w:i/>
          <w:sz w:val="26"/>
          <w:szCs w:val="26"/>
        </w:rPr>
        <w:t xml:space="preserve"> </w:t>
      </w:r>
      <w:r w:rsidRPr="007928C8">
        <w:rPr>
          <w:sz w:val="26"/>
          <w:szCs w:val="26"/>
        </w:rPr>
        <w:t>The Auditor’s Procedures in Response to Assessed Risks</w:t>
      </w:r>
      <w:r w:rsidRPr="007928C8">
        <w:rPr>
          <w:i/>
          <w:sz w:val="26"/>
          <w:szCs w:val="26"/>
        </w:rPr>
        <w:t>.</w:t>
      </w:r>
      <w:r w:rsidRPr="007928C8">
        <w:rPr>
          <w:sz w:val="26"/>
          <w:szCs w:val="26"/>
        </w:rPr>
        <w:t xml:space="preserve"> (2006)</w:t>
      </w:r>
      <w:r w:rsidRPr="007928C8">
        <w:rPr>
          <w:i/>
          <w:sz w:val="26"/>
          <w:szCs w:val="26"/>
        </w:rPr>
        <w:t xml:space="preserve"> </w:t>
      </w:r>
      <w:r w:rsidR="001023FB" w:rsidRPr="007928C8">
        <w:rPr>
          <w:sz w:val="26"/>
          <w:szCs w:val="26"/>
        </w:rPr>
        <w:t>Iš</w:t>
      </w:r>
      <w:r w:rsidR="001023FB" w:rsidRPr="007928C8">
        <w:rPr>
          <w:i/>
          <w:sz w:val="26"/>
          <w:szCs w:val="26"/>
        </w:rPr>
        <w:t xml:space="preserve"> </w:t>
      </w:r>
      <w:r w:rsidRPr="007928C8">
        <w:rPr>
          <w:i/>
          <w:sz w:val="26"/>
          <w:szCs w:val="26"/>
        </w:rPr>
        <w:t>Handbook of International Auditing, Assurance, and Ethics pronouncements. 2006 edition</w:t>
      </w:r>
      <w:r w:rsidR="001023FB" w:rsidRPr="007928C8">
        <w:rPr>
          <w:i/>
          <w:sz w:val="26"/>
          <w:szCs w:val="26"/>
        </w:rPr>
        <w:t xml:space="preserve"> </w:t>
      </w:r>
      <w:r w:rsidR="001023FB" w:rsidRPr="007928C8">
        <w:rPr>
          <w:sz w:val="26"/>
          <w:szCs w:val="26"/>
        </w:rPr>
        <w:t>[interaktyvus]. [žiūrėta 2006 m. balandžio 17 d.]</w:t>
      </w:r>
      <w:r w:rsidRPr="007928C8">
        <w:rPr>
          <w:sz w:val="26"/>
          <w:szCs w:val="26"/>
        </w:rPr>
        <w:t>, p. 494</w:t>
      </w:r>
      <w:r w:rsidR="001023FB" w:rsidRPr="007928C8">
        <w:rPr>
          <w:sz w:val="26"/>
          <w:szCs w:val="26"/>
        </w:rPr>
        <w:t xml:space="preserve"> – </w:t>
      </w:r>
      <w:r w:rsidRPr="007928C8">
        <w:rPr>
          <w:sz w:val="26"/>
          <w:szCs w:val="26"/>
        </w:rPr>
        <w:t>517. Prieiga per internetą</w:t>
      </w:r>
      <w:r w:rsidR="000F5F1D" w:rsidRPr="007928C8">
        <w:rPr>
          <w:sz w:val="26"/>
          <w:szCs w:val="26"/>
        </w:rPr>
        <w:t>:</w:t>
      </w:r>
      <w:r w:rsidRPr="007928C8">
        <w:rPr>
          <w:sz w:val="26"/>
          <w:szCs w:val="26"/>
        </w:rPr>
        <w:t xml:space="preserve"> </w:t>
      </w:r>
      <w:r w:rsidR="00E270BA" w:rsidRPr="007928C8">
        <w:rPr>
          <w:sz w:val="26"/>
          <w:szCs w:val="26"/>
        </w:rPr>
        <w:t>&lt;http://www.ifac.org&gt;</w:t>
      </w:r>
      <w:r w:rsidRPr="007928C8">
        <w:rPr>
          <w:sz w:val="26"/>
          <w:szCs w:val="26"/>
        </w:rPr>
        <w:t xml:space="preserve">. </w:t>
      </w:r>
    </w:p>
    <w:p w:rsidR="00796790" w:rsidRPr="007928C8" w:rsidRDefault="00796790"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International Standard on Auditing 400, Audit Evidence. (2006)</w:t>
      </w:r>
      <w:r w:rsidRPr="007928C8">
        <w:rPr>
          <w:i/>
          <w:sz w:val="26"/>
          <w:szCs w:val="26"/>
        </w:rPr>
        <w:t xml:space="preserve"> </w:t>
      </w:r>
      <w:r w:rsidRPr="007928C8">
        <w:rPr>
          <w:sz w:val="26"/>
          <w:szCs w:val="26"/>
        </w:rPr>
        <w:t>I</w:t>
      </w:r>
      <w:r w:rsidRPr="007928C8">
        <w:rPr>
          <w:sz w:val="26"/>
          <w:szCs w:val="26"/>
          <w:lang w:val="lt-LT"/>
        </w:rPr>
        <w:t>š</w:t>
      </w:r>
      <w:r w:rsidRPr="007928C8">
        <w:rPr>
          <w:i/>
          <w:sz w:val="26"/>
          <w:szCs w:val="26"/>
          <w:lang w:val="lt-LT"/>
        </w:rPr>
        <w:t xml:space="preserve"> </w:t>
      </w:r>
      <w:r w:rsidRPr="007928C8">
        <w:rPr>
          <w:i/>
          <w:sz w:val="26"/>
          <w:szCs w:val="26"/>
        </w:rPr>
        <w:t xml:space="preserve">Handbook of International Auditing, Assurance, and Ethics pronouncements. 2006 edition </w:t>
      </w:r>
      <w:r w:rsidRPr="007928C8">
        <w:rPr>
          <w:sz w:val="26"/>
          <w:szCs w:val="26"/>
        </w:rPr>
        <w:t>[interaktyvus]. [žiūrėta 2006 m. balandžio 17 d.], p. 523 – 533. Prieiga per internetą</w:t>
      </w:r>
      <w:r w:rsidR="000F5F1D" w:rsidRPr="007928C8">
        <w:rPr>
          <w:sz w:val="26"/>
          <w:szCs w:val="26"/>
        </w:rPr>
        <w:t>:</w:t>
      </w:r>
      <w:r w:rsidRPr="007928C8">
        <w:rPr>
          <w:sz w:val="26"/>
          <w:szCs w:val="26"/>
        </w:rPr>
        <w:t xml:space="preserve"> </w:t>
      </w:r>
      <w:r w:rsidR="00E270BA" w:rsidRPr="007928C8">
        <w:rPr>
          <w:sz w:val="26"/>
          <w:szCs w:val="26"/>
        </w:rPr>
        <w:t>&lt;</w:t>
      </w:r>
      <w:r w:rsidRPr="007928C8">
        <w:rPr>
          <w:sz w:val="26"/>
          <w:szCs w:val="26"/>
        </w:rPr>
        <w:t>http://</w:t>
      </w:r>
      <w:r w:rsidR="00E270BA" w:rsidRPr="007928C8">
        <w:rPr>
          <w:sz w:val="26"/>
          <w:szCs w:val="26"/>
        </w:rPr>
        <w:t>www.</w:t>
      </w:r>
      <w:r w:rsidRPr="007928C8">
        <w:rPr>
          <w:sz w:val="26"/>
          <w:szCs w:val="26"/>
        </w:rPr>
        <w:t>ifac.org</w:t>
      </w:r>
      <w:r w:rsidR="00E270BA" w:rsidRPr="007928C8">
        <w:rPr>
          <w:sz w:val="26"/>
          <w:szCs w:val="26"/>
        </w:rPr>
        <w:t>&gt;</w:t>
      </w:r>
      <w:r w:rsidRPr="007928C8">
        <w:rPr>
          <w:sz w:val="26"/>
          <w:szCs w:val="26"/>
        </w:rPr>
        <w:t xml:space="preserve">. </w:t>
      </w:r>
    </w:p>
    <w:p w:rsidR="00A532D3" w:rsidRPr="007928C8" w:rsidRDefault="00A532D3" w:rsidP="000406FA">
      <w:pPr>
        <w:numPr>
          <w:ilvl w:val="0"/>
          <w:numId w:val="4"/>
        </w:numPr>
        <w:tabs>
          <w:tab w:val="clear" w:pos="720"/>
          <w:tab w:val="left" w:pos="567"/>
          <w:tab w:val="left" w:pos="709"/>
        </w:tabs>
        <w:spacing w:before="120"/>
        <w:ind w:left="567" w:hanging="567"/>
        <w:jc w:val="both"/>
        <w:rPr>
          <w:sz w:val="26"/>
          <w:szCs w:val="26"/>
          <w:lang w:val="lt-LT"/>
        </w:rPr>
      </w:pPr>
      <w:r w:rsidRPr="007928C8">
        <w:rPr>
          <w:i/>
          <w:sz w:val="26"/>
          <w:szCs w:val="26"/>
        </w:rPr>
        <w:t xml:space="preserve">International Standard on Auditing 500, </w:t>
      </w:r>
      <w:r w:rsidRPr="007928C8">
        <w:rPr>
          <w:sz w:val="26"/>
          <w:szCs w:val="26"/>
        </w:rPr>
        <w:t>Audit Evidence. (2006)</w:t>
      </w:r>
      <w:r w:rsidRPr="007928C8">
        <w:rPr>
          <w:i/>
          <w:sz w:val="26"/>
          <w:szCs w:val="26"/>
        </w:rPr>
        <w:t xml:space="preserve"> </w:t>
      </w:r>
      <w:r w:rsidR="001023FB" w:rsidRPr="007928C8">
        <w:rPr>
          <w:sz w:val="26"/>
          <w:szCs w:val="26"/>
        </w:rPr>
        <w:t>Iš</w:t>
      </w:r>
      <w:r w:rsidR="001023FB" w:rsidRPr="007928C8">
        <w:rPr>
          <w:i/>
          <w:sz w:val="26"/>
          <w:szCs w:val="26"/>
        </w:rPr>
        <w:t xml:space="preserve"> </w:t>
      </w:r>
      <w:r w:rsidRPr="007928C8">
        <w:rPr>
          <w:i/>
          <w:sz w:val="26"/>
          <w:szCs w:val="26"/>
        </w:rPr>
        <w:t>Handbook of International Auditing, Assurance, and Ethics pronouncements. 2006 edition</w:t>
      </w:r>
      <w:r w:rsidR="001023FB" w:rsidRPr="007928C8">
        <w:rPr>
          <w:sz w:val="26"/>
          <w:szCs w:val="26"/>
        </w:rPr>
        <w:t xml:space="preserve"> [interaktyvus]. [žiūrėta 2006 m. balandžio 17 d.]</w:t>
      </w:r>
      <w:r w:rsidRPr="007928C8">
        <w:rPr>
          <w:sz w:val="26"/>
          <w:szCs w:val="26"/>
        </w:rPr>
        <w:t>, p. 523</w:t>
      </w:r>
      <w:r w:rsidR="001023FB" w:rsidRPr="007928C8">
        <w:rPr>
          <w:sz w:val="26"/>
          <w:szCs w:val="26"/>
        </w:rPr>
        <w:t xml:space="preserve"> – </w:t>
      </w:r>
      <w:r w:rsidRPr="007928C8">
        <w:rPr>
          <w:sz w:val="26"/>
          <w:szCs w:val="26"/>
        </w:rPr>
        <w:t>533. Prieiga per internetą</w:t>
      </w:r>
      <w:r w:rsidR="000F5F1D" w:rsidRPr="007928C8">
        <w:rPr>
          <w:sz w:val="26"/>
          <w:szCs w:val="26"/>
        </w:rPr>
        <w:t>:</w:t>
      </w:r>
      <w:r w:rsidRPr="007928C8">
        <w:rPr>
          <w:sz w:val="26"/>
          <w:szCs w:val="26"/>
        </w:rPr>
        <w:t xml:space="preserve"> </w:t>
      </w:r>
      <w:r w:rsidR="00E270BA" w:rsidRPr="007928C8">
        <w:rPr>
          <w:sz w:val="26"/>
          <w:szCs w:val="26"/>
        </w:rPr>
        <w:t>&lt;</w:t>
      </w:r>
      <w:r w:rsidRPr="007928C8">
        <w:rPr>
          <w:sz w:val="26"/>
          <w:szCs w:val="26"/>
        </w:rPr>
        <w:t>http://</w:t>
      </w:r>
      <w:r w:rsidR="00E270BA" w:rsidRPr="007928C8">
        <w:rPr>
          <w:sz w:val="26"/>
          <w:szCs w:val="26"/>
        </w:rPr>
        <w:t>www.</w:t>
      </w:r>
      <w:r w:rsidRPr="007928C8">
        <w:rPr>
          <w:sz w:val="26"/>
          <w:szCs w:val="26"/>
        </w:rPr>
        <w:t>ifac.org</w:t>
      </w:r>
      <w:r w:rsidR="00E270BA" w:rsidRPr="007928C8">
        <w:rPr>
          <w:sz w:val="26"/>
          <w:szCs w:val="26"/>
        </w:rPr>
        <w:t>&gt;</w:t>
      </w:r>
      <w:r w:rsidRPr="007928C8">
        <w:rPr>
          <w:sz w:val="26"/>
          <w:szCs w:val="26"/>
        </w:rPr>
        <w:t xml:space="preserve"> . </w:t>
      </w:r>
    </w:p>
    <w:p w:rsidR="005E42B3" w:rsidRPr="007928C8" w:rsidRDefault="005E42B3" w:rsidP="000406FA">
      <w:pPr>
        <w:numPr>
          <w:ilvl w:val="0"/>
          <w:numId w:val="4"/>
        </w:numPr>
        <w:tabs>
          <w:tab w:val="clear" w:pos="720"/>
          <w:tab w:val="left" w:pos="567"/>
          <w:tab w:val="left" w:pos="709"/>
        </w:tabs>
        <w:spacing w:before="120"/>
        <w:ind w:left="567" w:hanging="567"/>
        <w:jc w:val="both"/>
        <w:rPr>
          <w:sz w:val="26"/>
          <w:szCs w:val="26"/>
          <w:lang w:val="lt-LT"/>
        </w:rPr>
      </w:pPr>
      <w:r w:rsidRPr="007928C8">
        <w:rPr>
          <w:i/>
          <w:sz w:val="26"/>
          <w:szCs w:val="26"/>
        </w:rPr>
        <w:t xml:space="preserve">International Standard on Auditing 530, </w:t>
      </w:r>
      <w:r w:rsidRPr="007928C8">
        <w:rPr>
          <w:sz w:val="26"/>
          <w:szCs w:val="26"/>
        </w:rPr>
        <w:t>Audit Sampling and Other Means of Testing. (2006)</w:t>
      </w:r>
      <w:r w:rsidRPr="007928C8">
        <w:rPr>
          <w:i/>
          <w:sz w:val="26"/>
          <w:szCs w:val="26"/>
        </w:rPr>
        <w:t xml:space="preserve"> </w:t>
      </w:r>
      <w:r w:rsidRPr="007928C8">
        <w:rPr>
          <w:sz w:val="26"/>
          <w:szCs w:val="26"/>
        </w:rPr>
        <w:t>Iš</w:t>
      </w:r>
      <w:r w:rsidRPr="007928C8">
        <w:rPr>
          <w:i/>
          <w:sz w:val="26"/>
          <w:szCs w:val="26"/>
        </w:rPr>
        <w:t xml:space="preserve"> Handbook of International Auditing, Assurance, and Ethics pronouncements. 2006 edition</w:t>
      </w:r>
      <w:r w:rsidRPr="007928C8">
        <w:rPr>
          <w:sz w:val="26"/>
          <w:szCs w:val="26"/>
        </w:rPr>
        <w:t xml:space="preserve"> [interaktyvus]. [žiūrėta 2006 m. balandžio 17 d.], p. 523 – 533. Prieiga per internetą: &lt;http://www.ifac.org&gt;. </w:t>
      </w:r>
    </w:p>
    <w:p w:rsidR="008075EF" w:rsidRPr="007928C8" w:rsidRDefault="008075EF" w:rsidP="000406FA">
      <w:pPr>
        <w:numPr>
          <w:ilvl w:val="0"/>
          <w:numId w:val="4"/>
        </w:numPr>
        <w:tabs>
          <w:tab w:val="clear" w:pos="720"/>
          <w:tab w:val="left" w:pos="567"/>
          <w:tab w:val="left" w:pos="709"/>
        </w:tabs>
        <w:spacing w:before="120"/>
        <w:ind w:left="567" w:hanging="567"/>
        <w:jc w:val="both"/>
        <w:rPr>
          <w:sz w:val="26"/>
          <w:szCs w:val="26"/>
        </w:rPr>
      </w:pPr>
      <w:r w:rsidRPr="007928C8">
        <w:rPr>
          <w:color w:val="000000"/>
          <w:sz w:val="26"/>
          <w:szCs w:val="26"/>
        </w:rPr>
        <w:t>J</w:t>
      </w:r>
      <w:r w:rsidR="000A5390" w:rsidRPr="007928C8">
        <w:rPr>
          <w:color w:val="000000"/>
          <w:sz w:val="26"/>
          <w:szCs w:val="26"/>
        </w:rPr>
        <w:t>AKUTIS</w:t>
      </w:r>
      <w:r w:rsidRPr="007928C8">
        <w:rPr>
          <w:color w:val="000000"/>
          <w:sz w:val="26"/>
          <w:szCs w:val="26"/>
        </w:rPr>
        <w:t>, Algirdas</w:t>
      </w:r>
      <w:r w:rsidR="000A5390" w:rsidRPr="007928C8">
        <w:rPr>
          <w:color w:val="000000"/>
          <w:sz w:val="26"/>
          <w:szCs w:val="26"/>
        </w:rPr>
        <w:t>;</w:t>
      </w:r>
      <w:r w:rsidRPr="007928C8">
        <w:rPr>
          <w:color w:val="000000"/>
          <w:sz w:val="26"/>
          <w:szCs w:val="26"/>
        </w:rPr>
        <w:t xml:space="preserve"> P</w:t>
      </w:r>
      <w:r w:rsidR="000A5390" w:rsidRPr="007928C8">
        <w:rPr>
          <w:color w:val="000000"/>
          <w:sz w:val="26"/>
          <w:szCs w:val="26"/>
        </w:rPr>
        <w:t>ETRAŠKEVIČIUS,</w:t>
      </w:r>
      <w:r w:rsidRPr="007928C8">
        <w:rPr>
          <w:color w:val="000000"/>
          <w:sz w:val="26"/>
          <w:szCs w:val="26"/>
        </w:rPr>
        <w:t xml:space="preserve"> Vladislavas </w:t>
      </w:r>
      <w:r w:rsidR="00DF5F66" w:rsidRPr="007928C8">
        <w:rPr>
          <w:color w:val="000000"/>
          <w:sz w:val="26"/>
          <w:szCs w:val="26"/>
        </w:rPr>
        <w:t>i</w:t>
      </w:r>
      <w:r w:rsidRPr="007928C8">
        <w:rPr>
          <w:color w:val="000000"/>
          <w:sz w:val="26"/>
          <w:szCs w:val="26"/>
        </w:rPr>
        <w:t>r kt. (2005) Ekonomikos teorija: vadovėli</w:t>
      </w:r>
      <w:r w:rsidR="00DF5F66" w:rsidRPr="007928C8">
        <w:rPr>
          <w:color w:val="000000"/>
          <w:sz w:val="26"/>
          <w:szCs w:val="26"/>
        </w:rPr>
        <w:t>s. Vilnius: Eugrimas, 570 p. ISBN 9955-501-79-0.</w:t>
      </w:r>
    </w:p>
    <w:p w:rsidR="00753BEF" w:rsidRPr="007928C8" w:rsidRDefault="00774319"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JOHNSON, H</w:t>
      </w:r>
      <w:r w:rsidR="0016491B" w:rsidRPr="007928C8">
        <w:rPr>
          <w:sz w:val="26"/>
          <w:szCs w:val="26"/>
          <w:lang w:val="lt-LT"/>
        </w:rPr>
        <w:t>umbbard</w:t>
      </w:r>
      <w:r w:rsidRPr="007928C8">
        <w:rPr>
          <w:sz w:val="26"/>
          <w:szCs w:val="26"/>
          <w:lang w:val="lt-LT"/>
        </w:rPr>
        <w:t xml:space="preserve">. (1991) </w:t>
      </w:r>
      <w:r w:rsidRPr="007928C8">
        <w:rPr>
          <w:i/>
          <w:sz w:val="26"/>
          <w:szCs w:val="26"/>
          <w:lang w:val="lt-LT"/>
        </w:rPr>
        <w:t>Auditing.</w:t>
      </w:r>
      <w:r w:rsidRPr="007928C8">
        <w:rPr>
          <w:sz w:val="26"/>
          <w:szCs w:val="26"/>
          <w:lang w:val="lt-LT"/>
        </w:rPr>
        <w:t xml:space="preserve"> </w:t>
      </w:r>
      <w:r w:rsidRPr="007928C8">
        <w:rPr>
          <w:sz w:val="26"/>
          <w:szCs w:val="26"/>
        </w:rPr>
        <w:t>4 ed. Dame publication, inc.</w:t>
      </w:r>
      <w:r w:rsidRPr="007928C8">
        <w:rPr>
          <w:sz w:val="26"/>
          <w:szCs w:val="26"/>
          <w:lang w:val="lt-LT"/>
        </w:rPr>
        <w:t xml:space="preserve"> 683 p.</w:t>
      </w:r>
    </w:p>
    <w:p w:rsidR="00753BEF" w:rsidRPr="007928C8" w:rsidRDefault="00843BBC"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JOH</w:t>
      </w:r>
      <w:r w:rsidR="00BE12C5" w:rsidRPr="007928C8">
        <w:rPr>
          <w:sz w:val="26"/>
          <w:szCs w:val="26"/>
          <w:lang w:val="lt-LT"/>
        </w:rPr>
        <w:t>N</w:t>
      </w:r>
      <w:r w:rsidRPr="007928C8">
        <w:rPr>
          <w:sz w:val="26"/>
          <w:szCs w:val="26"/>
          <w:lang w:val="lt-LT"/>
        </w:rPr>
        <w:t>STONE, Karla M. (200</w:t>
      </w:r>
      <w:r w:rsidR="001B55D5" w:rsidRPr="007928C8">
        <w:rPr>
          <w:sz w:val="26"/>
          <w:szCs w:val="26"/>
          <w:lang w:val="lt-LT"/>
        </w:rPr>
        <w:t xml:space="preserve">0) </w:t>
      </w:r>
      <w:r w:rsidR="001B55D5" w:rsidRPr="007928C8">
        <w:rPr>
          <w:sz w:val="26"/>
          <w:szCs w:val="26"/>
        </w:rPr>
        <w:t xml:space="preserve">Client-Acceptance Decisions: Simultaneous Effects of Clients Business Risk, Audit Risk, Auditor </w:t>
      </w:r>
      <w:r w:rsidR="00B57D83" w:rsidRPr="007928C8">
        <w:rPr>
          <w:sz w:val="26"/>
          <w:szCs w:val="26"/>
        </w:rPr>
        <w:lastRenderedPageBreak/>
        <w:t>Business</w:t>
      </w:r>
      <w:r w:rsidR="001B55D5" w:rsidRPr="007928C8">
        <w:rPr>
          <w:sz w:val="26"/>
          <w:szCs w:val="26"/>
        </w:rPr>
        <w:t xml:space="preserve"> Risk, and Risk Adaptation</w:t>
      </w:r>
      <w:r w:rsidR="001B55D5" w:rsidRPr="007928C8">
        <w:rPr>
          <w:sz w:val="26"/>
          <w:szCs w:val="26"/>
          <w:lang w:val="lt-LT"/>
        </w:rPr>
        <w:t xml:space="preserve">. </w:t>
      </w:r>
      <w:r w:rsidR="001B55D5" w:rsidRPr="007928C8">
        <w:rPr>
          <w:sz w:val="26"/>
          <w:szCs w:val="26"/>
        </w:rPr>
        <w:t xml:space="preserve">Iš </w:t>
      </w:r>
      <w:r w:rsidR="001B55D5" w:rsidRPr="007928C8">
        <w:rPr>
          <w:i/>
          <w:sz w:val="26"/>
          <w:szCs w:val="26"/>
        </w:rPr>
        <w:t>Auditing</w:t>
      </w:r>
      <w:r w:rsidR="00E75972" w:rsidRPr="007928C8">
        <w:rPr>
          <w:i/>
          <w:sz w:val="26"/>
          <w:szCs w:val="26"/>
        </w:rPr>
        <w:t>: A Journal of Practice and Theory</w:t>
      </w:r>
      <w:r w:rsidR="001B55D5" w:rsidRPr="007928C8">
        <w:rPr>
          <w:i/>
          <w:sz w:val="26"/>
          <w:szCs w:val="26"/>
        </w:rPr>
        <w:t xml:space="preserve"> </w:t>
      </w:r>
      <w:r w:rsidR="001B55D5" w:rsidRPr="007928C8">
        <w:rPr>
          <w:sz w:val="26"/>
          <w:szCs w:val="26"/>
        </w:rPr>
        <w:t xml:space="preserve">[interaktyvus]. </w:t>
      </w:r>
      <w:r w:rsidR="00E75972" w:rsidRPr="007928C8">
        <w:rPr>
          <w:sz w:val="26"/>
          <w:szCs w:val="26"/>
        </w:rPr>
        <w:t>vol. 19, no. 1</w:t>
      </w:r>
      <w:r w:rsidR="001B55D5" w:rsidRPr="007928C8">
        <w:rPr>
          <w:sz w:val="26"/>
          <w:szCs w:val="26"/>
        </w:rPr>
        <w:t>, [žiūrėta 200</w:t>
      </w:r>
      <w:r w:rsidR="00E75972" w:rsidRPr="007928C8">
        <w:rPr>
          <w:sz w:val="26"/>
          <w:szCs w:val="26"/>
        </w:rPr>
        <w:t>7</w:t>
      </w:r>
      <w:r w:rsidR="001B55D5" w:rsidRPr="007928C8">
        <w:rPr>
          <w:sz w:val="26"/>
          <w:szCs w:val="26"/>
        </w:rPr>
        <w:t xml:space="preserve"> m. </w:t>
      </w:r>
      <w:r w:rsidR="00E75972" w:rsidRPr="007928C8">
        <w:rPr>
          <w:sz w:val="26"/>
          <w:szCs w:val="26"/>
          <w:lang w:val="lt-LT"/>
        </w:rPr>
        <w:t>liepos</w:t>
      </w:r>
      <w:r w:rsidR="00E75972" w:rsidRPr="007928C8">
        <w:rPr>
          <w:sz w:val="26"/>
          <w:szCs w:val="26"/>
        </w:rPr>
        <w:t xml:space="preserve"> 24</w:t>
      </w:r>
      <w:r w:rsidR="001B55D5" w:rsidRPr="007928C8">
        <w:rPr>
          <w:sz w:val="26"/>
          <w:szCs w:val="26"/>
        </w:rPr>
        <w:t xml:space="preserve"> d.], p.</w:t>
      </w:r>
      <w:r w:rsidR="00E75972" w:rsidRPr="007928C8">
        <w:rPr>
          <w:sz w:val="26"/>
          <w:szCs w:val="26"/>
        </w:rPr>
        <w:t xml:space="preserve"> </w:t>
      </w:r>
      <w:r w:rsidR="00BC73FB" w:rsidRPr="007928C8">
        <w:rPr>
          <w:sz w:val="26"/>
          <w:szCs w:val="26"/>
        </w:rPr>
        <w:t>1</w:t>
      </w:r>
      <w:r w:rsidR="001B55D5" w:rsidRPr="007928C8">
        <w:rPr>
          <w:sz w:val="26"/>
          <w:szCs w:val="26"/>
        </w:rPr>
        <w:t xml:space="preserve"> – </w:t>
      </w:r>
      <w:r w:rsidR="00BC73FB" w:rsidRPr="007928C8">
        <w:rPr>
          <w:sz w:val="26"/>
          <w:szCs w:val="26"/>
        </w:rPr>
        <w:t>25</w:t>
      </w:r>
      <w:r w:rsidR="001B55D5" w:rsidRPr="007928C8">
        <w:rPr>
          <w:sz w:val="26"/>
          <w:szCs w:val="26"/>
        </w:rPr>
        <w:t>. Prieiga per internetą:</w:t>
      </w:r>
      <w:r w:rsidR="00753BEF" w:rsidRPr="007928C8">
        <w:rPr>
          <w:sz w:val="26"/>
          <w:szCs w:val="26"/>
        </w:rPr>
        <w:t xml:space="preserve"> </w:t>
      </w:r>
      <w:r w:rsidR="005F68AA" w:rsidRPr="007928C8">
        <w:rPr>
          <w:sz w:val="26"/>
          <w:szCs w:val="26"/>
        </w:rPr>
        <w:t>&lt;</w:t>
      </w:r>
      <w:r w:rsidR="00753BEF" w:rsidRPr="007928C8">
        <w:rPr>
          <w:sz w:val="26"/>
          <w:szCs w:val="26"/>
        </w:rPr>
        <w:t>http://papers.ssrn.com&gt;.</w:t>
      </w:r>
    </w:p>
    <w:p w:rsidR="00B57D83" w:rsidRPr="007928C8" w:rsidRDefault="00B57D83"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JOH</w:t>
      </w:r>
      <w:r w:rsidR="00BE12C5" w:rsidRPr="007928C8">
        <w:rPr>
          <w:sz w:val="26"/>
          <w:szCs w:val="26"/>
          <w:lang w:val="lt-LT"/>
        </w:rPr>
        <w:t>N</w:t>
      </w:r>
      <w:r w:rsidRPr="007928C8">
        <w:rPr>
          <w:sz w:val="26"/>
          <w:szCs w:val="26"/>
          <w:lang w:val="lt-LT"/>
        </w:rPr>
        <w:t xml:space="preserve">STONE, Karla M. (2001) </w:t>
      </w:r>
      <w:r w:rsidRPr="007928C8">
        <w:rPr>
          <w:sz w:val="26"/>
          <w:szCs w:val="26"/>
        </w:rPr>
        <w:t>Risk, Experience and Client-Acceptance Decisions</w:t>
      </w:r>
      <w:r w:rsidRPr="007928C8">
        <w:rPr>
          <w:sz w:val="26"/>
          <w:szCs w:val="26"/>
          <w:lang w:val="lt-LT"/>
        </w:rPr>
        <w:t xml:space="preserve">. </w:t>
      </w:r>
      <w:r w:rsidRPr="007928C8">
        <w:rPr>
          <w:sz w:val="26"/>
          <w:szCs w:val="26"/>
        </w:rPr>
        <w:t xml:space="preserve">Iš </w:t>
      </w:r>
      <w:r w:rsidRPr="007928C8">
        <w:rPr>
          <w:i/>
          <w:sz w:val="26"/>
          <w:szCs w:val="26"/>
        </w:rPr>
        <w:t xml:space="preserve">The National Public Accountant </w:t>
      </w:r>
      <w:r w:rsidRPr="007928C8">
        <w:rPr>
          <w:sz w:val="26"/>
          <w:szCs w:val="26"/>
        </w:rPr>
        <w:t xml:space="preserve">[interaktyvus]. July, [žiūrėta 2007 m. </w:t>
      </w:r>
      <w:r w:rsidRPr="007928C8">
        <w:rPr>
          <w:sz w:val="26"/>
          <w:szCs w:val="26"/>
          <w:lang w:val="lt-LT"/>
        </w:rPr>
        <w:t>liepos</w:t>
      </w:r>
      <w:r w:rsidRPr="007928C8">
        <w:rPr>
          <w:sz w:val="26"/>
          <w:szCs w:val="26"/>
        </w:rPr>
        <w:t xml:space="preserve"> 24 d.], p. </w:t>
      </w:r>
      <w:r w:rsidR="00700010" w:rsidRPr="007928C8">
        <w:rPr>
          <w:sz w:val="26"/>
          <w:szCs w:val="26"/>
        </w:rPr>
        <w:t>27</w:t>
      </w:r>
      <w:r w:rsidRPr="007928C8">
        <w:rPr>
          <w:sz w:val="26"/>
          <w:szCs w:val="26"/>
        </w:rPr>
        <w:t xml:space="preserve"> – </w:t>
      </w:r>
      <w:r w:rsidR="00700010" w:rsidRPr="007928C8">
        <w:rPr>
          <w:sz w:val="26"/>
          <w:szCs w:val="26"/>
        </w:rPr>
        <w:t>29, 38</w:t>
      </w:r>
      <w:r w:rsidRPr="007928C8">
        <w:rPr>
          <w:sz w:val="26"/>
          <w:szCs w:val="26"/>
        </w:rPr>
        <w:t xml:space="preserve">. Prieiga per internetą: </w:t>
      </w:r>
      <w:r w:rsidR="005F68AA" w:rsidRPr="007928C8">
        <w:rPr>
          <w:sz w:val="26"/>
          <w:szCs w:val="26"/>
        </w:rPr>
        <w:t>&lt;</w:t>
      </w:r>
      <w:r w:rsidRPr="007928C8">
        <w:rPr>
          <w:sz w:val="26"/>
          <w:szCs w:val="26"/>
        </w:rPr>
        <w:t>http://papers.ssrn.com&gt;.</w:t>
      </w:r>
    </w:p>
    <w:p w:rsidR="00293E83" w:rsidRPr="007928C8"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KABAŠINSKAS, J</w:t>
      </w:r>
      <w:r w:rsidR="00A53144" w:rsidRPr="007928C8">
        <w:rPr>
          <w:sz w:val="26"/>
          <w:szCs w:val="26"/>
          <w:lang w:val="lt-LT"/>
        </w:rPr>
        <w:t>uoz</w:t>
      </w:r>
      <w:r w:rsidR="00B930B1" w:rsidRPr="007928C8">
        <w:rPr>
          <w:sz w:val="26"/>
          <w:szCs w:val="26"/>
          <w:lang w:val="lt-LT"/>
        </w:rPr>
        <w:t>as</w:t>
      </w:r>
      <w:r w:rsidRPr="007928C8">
        <w:rPr>
          <w:sz w:val="26"/>
          <w:szCs w:val="26"/>
          <w:lang w:val="lt-LT"/>
        </w:rPr>
        <w:t>, TOLIATIENĖ, I</w:t>
      </w:r>
      <w:r w:rsidR="00B930B1" w:rsidRPr="007928C8">
        <w:rPr>
          <w:sz w:val="26"/>
          <w:szCs w:val="26"/>
          <w:lang w:val="lt-LT"/>
        </w:rPr>
        <w:t>rena</w:t>
      </w:r>
      <w:r w:rsidR="00631E0C" w:rsidRPr="007928C8">
        <w:rPr>
          <w:sz w:val="26"/>
          <w:szCs w:val="26"/>
          <w:lang w:val="lt-LT"/>
        </w:rPr>
        <w:t>. (1997)</w:t>
      </w:r>
      <w:r w:rsidRPr="007928C8">
        <w:rPr>
          <w:sz w:val="26"/>
          <w:szCs w:val="26"/>
          <w:lang w:val="lt-LT"/>
        </w:rPr>
        <w:t xml:space="preserve"> </w:t>
      </w:r>
      <w:r w:rsidRPr="007928C8">
        <w:rPr>
          <w:i/>
          <w:sz w:val="26"/>
          <w:szCs w:val="26"/>
          <w:lang w:val="lt-LT"/>
        </w:rPr>
        <w:t>Auditas.</w:t>
      </w:r>
      <w:r w:rsidRPr="007928C8">
        <w:rPr>
          <w:sz w:val="26"/>
          <w:szCs w:val="26"/>
          <w:lang w:val="lt-LT"/>
        </w:rPr>
        <w:t xml:space="preserve"> Vilnius: Amžius. 382 p.</w:t>
      </w:r>
      <w:r w:rsidR="00A53144" w:rsidRPr="007928C8">
        <w:rPr>
          <w:sz w:val="26"/>
          <w:szCs w:val="26"/>
          <w:lang w:val="lt-LT"/>
        </w:rPr>
        <w:t xml:space="preserve"> ISBN 9986-430-24-0</w:t>
      </w:r>
    </w:p>
    <w:p w:rsidR="008104BB" w:rsidRPr="007928C8" w:rsidRDefault="008104BB"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Kardelis</w:t>
      </w:r>
      <w:r w:rsidR="000A5390" w:rsidRPr="007928C8">
        <w:rPr>
          <w:caps/>
          <w:sz w:val="26"/>
          <w:szCs w:val="26"/>
          <w:lang w:val="lt-LT"/>
        </w:rPr>
        <w:t>,</w:t>
      </w:r>
      <w:r w:rsidRPr="007928C8">
        <w:rPr>
          <w:caps/>
          <w:sz w:val="26"/>
          <w:szCs w:val="26"/>
          <w:lang w:val="lt-LT"/>
        </w:rPr>
        <w:t xml:space="preserve"> </w:t>
      </w:r>
      <w:r w:rsidRPr="007928C8">
        <w:rPr>
          <w:sz w:val="26"/>
          <w:szCs w:val="26"/>
          <w:lang w:val="lt-LT"/>
        </w:rPr>
        <w:t xml:space="preserve">Kęstutis. (2002) </w:t>
      </w:r>
      <w:r w:rsidRPr="007928C8">
        <w:rPr>
          <w:i/>
          <w:sz w:val="26"/>
          <w:szCs w:val="26"/>
          <w:lang w:val="lt-LT"/>
        </w:rPr>
        <w:t>Mokslinių tyrimų metodologija ir metodai</w:t>
      </w:r>
      <w:r w:rsidRPr="007928C8">
        <w:rPr>
          <w:sz w:val="26"/>
          <w:szCs w:val="26"/>
          <w:lang w:val="lt-LT"/>
        </w:rPr>
        <w:t xml:space="preserve">: vadovėlis. Kaunas: </w:t>
      </w:r>
      <w:r w:rsidR="00602336" w:rsidRPr="007928C8">
        <w:rPr>
          <w:sz w:val="26"/>
          <w:szCs w:val="26"/>
          <w:lang w:val="lt-LT"/>
        </w:rPr>
        <w:t>Judex. 398 p.</w:t>
      </w:r>
      <w:r w:rsidR="00E318C5" w:rsidRPr="007928C8">
        <w:rPr>
          <w:sz w:val="26"/>
          <w:szCs w:val="26"/>
          <w:lang w:val="lt-LT"/>
        </w:rPr>
        <w:t xml:space="preserve"> ISBN </w:t>
      </w:r>
      <w:r w:rsidR="00E318C5" w:rsidRPr="007928C8">
        <w:rPr>
          <w:color w:val="000000"/>
          <w:sz w:val="26"/>
          <w:szCs w:val="26"/>
        </w:rPr>
        <w:t>9986-948-65-7.</w:t>
      </w:r>
    </w:p>
    <w:p w:rsidR="001C0F22" w:rsidRPr="007928C8" w:rsidRDefault="001C0F22"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KANAPICKIENĖ, Rasa</w:t>
      </w:r>
      <w:r w:rsidR="006A4197" w:rsidRPr="007928C8">
        <w:rPr>
          <w:sz w:val="26"/>
          <w:szCs w:val="26"/>
          <w:lang w:val="lt-LT"/>
        </w:rPr>
        <w:t>.</w:t>
      </w:r>
      <w:r w:rsidRPr="007928C8">
        <w:rPr>
          <w:sz w:val="26"/>
          <w:szCs w:val="26"/>
          <w:lang w:val="lt-LT"/>
        </w:rPr>
        <w:t xml:space="preserve"> (2001) Vadovybės vaidmuo formuojant įmonės vidaus kontrolės sistemą. </w:t>
      </w:r>
      <w:r w:rsidRPr="007928C8">
        <w:rPr>
          <w:i/>
          <w:sz w:val="26"/>
          <w:szCs w:val="26"/>
          <w:lang w:val="lt-LT"/>
        </w:rPr>
        <w:t>Ekonomika</w:t>
      </w:r>
      <w:r w:rsidR="00BC12F7" w:rsidRPr="007928C8">
        <w:rPr>
          <w:i/>
          <w:sz w:val="26"/>
          <w:szCs w:val="26"/>
        </w:rPr>
        <w:t xml:space="preserve">: </w:t>
      </w:r>
      <w:r w:rsidR="00BC12F7" w:rsidRPr="007928C8">
        <w:rPr>
          <w:i/>
          <w:sz w:val="26"/>
          <w:szCs w:val="26"/>
          <w:lang w:val="lt-LT"/>
        </w:rPr>
        <w:t>mokslo darbai</w:t>
      </w:r>
      <w:r w:rsidR="00BC12F7" w:rsidRPr="007928C8">
        <w:rPr>
          <w:sz w:val="26"/>
          <w:szCs w:val="26"/>
          <w:lang w:val="lt-LT"/>
        </w:rPr>
        <w:t>.</w:t>
      </w:r>
      <w:r w:rsidR="00BC12F7" w:rsidRPr="007928C8">
        <w:rPr>
          <w:sz w:val="26"/>
          <w:szCs w:val="26"/>
        </w:rPr>
        <w:t xml:space="preserve"> </w:t>
      </w:r>
      <w:r w:rsidRPr="007928C8">
        <w:rPr>
          <w:sz w:val="26"/>
          <w:szCs w:val="26"/>
          <w:lang w:val="lt-LT"/>
        </w:rPr>
        <w:t>V</w:t>
      </w:r>
      <w:r w:rsidR="009F6EF1" w:rsidRPr="007928C8">
        <w:rPr>
          <w:sz w:val="26"/>
          <w:szCs w:val="26"/>
          <w:lang w:val="lt-LT"/>
        </w:rPr>
        <w:t xml:space="preserve">ilniaus </w:t>
      </w:r>
      <w:r w:rsidRPr="007928C8">
        <w:rPr>
          <w:sz w:val="26"/>
          <w:szCs w:val="26"/>
          <w:lang w:val="lt-LT"/>
        </w:rPr>
        <w:t>U</w:t>
      </w:r>
      <w:r w:rsidR="009F6EF1" w:rsidRPr="007928C8">
        <w:rPr>
          <w:sz w:val="26"/>
          <w:szCs w:val="26"/>
          <w:lang w:val="lt-LT"/>
        </w:rPr>
        <w:t>niversiteto leidykla</w:t>
      </w:r>
      <w:r w:rsidR="009F6EF1" w:rsidRPr="007928C8">
        <w:rPr>
          <w:sz w:val="26"/>
          <w:szCs w:val="26"/>
        </w:rPr>
        <w:t>, t. 54, p. 55 – 71. ISSN 1392-1258.</w:t>
      </w:r>
    </w:p>
    <w:p w:rsidR="009673A9" w:rsidRPr="007928C8" w:rsidRDefault="009673A9"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KANAPICKIENĖ, Rasa, GIPIENĖ, Gailutė, JEFIMOVAS, Borisas</w:t>
      </w:r>
      <w:r w:rsidR="006A4197" w:rsidRPr="007928C8">
        <w:rPr>
          <w:sz w:val="26"/>
          <w:szCs w:val="26"/>
          <w:lang w:val="lt-LT"/>
        </w:rPr>
        <w:t>.</w:t>
      </w:r>
      <w:r w:rsidRPr="007928C8">
        <w:rPr>
          <w:sz w:val="26"/>
          <w:szCs w:val="26"/>
          <w:lang w:val="lt-LT"/>
        </w:rPr>
        <w:t xml:space="preserve"> (2004</w:t>
      </w:r>
      <w:r w:rsidR="006A4197" w:rsidRPr="007928C8">
        <w:rPr>
          <w:sz w:val="26"/>
          <w:szCs w:val="26"/>
          <w:lang w:val="lt-LT"/>
        </w:rPr>
        <w:t>)</w:t>
      </w:r>
      <w:r w:rsidRPr="007928C8">
        <w:rPr>
          <w:sz w:val="26"/>
          <w:szCs w:val="26"/>
          <w:lang w:val="lt-LT"/>
        </w:rPr>
        <w:t xml:space="preserve"> Apgaulių ir klaidų rizikos vertinimas audito metu. </w:t>
      </w:r>
      <w:r w:rsidRPr="007928C8">
        <w:rPr>
          <w:i/>
          <w:sz w:val="26"/>
          <w:szCs w:val="26"/>
          <w:lang w:val="lt-LT"/>
        </w:rPr>
        <w:t>Ekonomika</w:t>
      </w:r>
      <w:r w:rsidRPr="007928C8">
        <w:rPr>
          <w:sz w:val="26"/>
          <w:szCs w:val="26"/>
          <w:lang w:val="lt-LT"/>
        </w:rPr>
        <w:t>.</w:t>
      </w:r>
      <w:r w:rsidRPr="007928C8">
        <w:rPr>
          <w:sz w:val="26"/>
          <w:szCs w:val="26"/>
        </w:rPr>
        <w:t xml:space="preserve"> </w:t>
      </w:r>
      <w:r w:rsidRPr="007928C8">
        <w:rPr>
          <w:sz w:val="26"/>
          <w:szCs w:val="26"/>
          <w:lang w:val="lt-LT"/>
        </w:rPr>
        <w:t>Vilniaus Universiteto leidykla</w:t>
      </w:r>
      <w:r w:rsidRPr="007928C8">
        <w:rPr>
          <w:sz w:val="26"/>
          <w:szCs w:val="26"/>
        </w:rPr>
        <w:t>, t. 67, p. 27 – 38. ISSN 1392-1258.</w:t>
      </w:r>
    </w:p>
    <w:p w:rsidR="00650A07" w:rsidRPr="007928C8" w:rsidRDefault="00D72D34"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rPr>
        <w:t>KANAPICKIENĖ, Rasa</w:t>
      </w:r>
      <w:r w:rsidR="006A4197" w:rsidRPr="007928C8">
        <w:rPr>
          <w:sz w:val="26"/>
          <w:szCs w:val="26"/>
        </w:rPr>
        <w:t>.</w:t>
      </w:r>
      <w:r w:rsidRPr="007928C8">
        <w:rPr>
          <w:sz w:val="26"/>
          <w:szCs w:val="26"/>
        </w:rPr>
        <w:t xml:space="preserve"> (2006) </w:t>
      </w:r>
      <w:r w:rsidRPr="007928C8">
        <w:rPr>
          <w:i/>
          <w:sz w:val="26"/>
          <w:szCs w:val="26"/>
          <w:lang w:val="lt-LT"/>
        </w:rPr>
        <w:t>Įmonės vidaus kontrolė</w:t>
      </w:r>
      <w:r w:rsidRPr="007928C8">
        <w:rPr>
          <w:sz w:val="26"/>
          <w:szCs w:val="26"/>
          <w:lang w:val="lt-LT"/>
        </w:rPr>
        <w:t xml:space="preserve">. </w:t>
      </w:r>
      <w:r w:rsidR="00650A07" w:rsidRPr="007928C8">
        <w:rPr>
          <w:sz w:val="26"/>
          <w:szCs w:val="26"/>
          <w:lang w:val="lt-LT"/>
        </w:rPr>
        <w:t>Sąskaityba, Nr.</w:t>
      </w:r>
      <w:r w:rsidR="008E08F2">
        <w:rPr>
          <w:sz w:val="26"/>
          <w:szCs w:val="26"/>
          <w:lang w:val="lt-LT"/>
        </w:rPr>
        <w:t> </w:t>
      </w:r>
      <w:r w:rsidR="00650A07" w:rsidRPr="007928C8">
        <w:rPr>
          <w:sz w:val="26"/>
          <w:szCs w:val="26"/>
          <w:lang w:val="lt-LT"/>
        </w:rPr>
        <w:t>5</w:t>
      </w:r>
      <w:r w:rsidR="008E08F2">
        <w:rPr>
          <w:sz w:val="26"/>
          <w:szCs w:val="26"/>
          <w:lang w:val="lt-LT"/>
        </w:rPr>
        <w:t>,</w:t>
      </w:r>
      <w:r w:rsidR="00650A07" w:rsidRPr="007928C8">
        <w:rPr>
          <w:sz w:val="26"/>
          <w:szCs w:val="26"/>
          <w:lang w:val="lt-LT"/>
        </w:rPr>
        <w:t xml:space="preserve"> </w:t>
      </w:r>
      <w:r w:rsidR="008E08F2">
        <w:rPr>
          <w:sz w:val="26"/>
          <w:szCs w:val="26"/>
          <w:lang w:val="lt-LT"/>
        </w:rPr>
        <w:t>p</w:t>
      </w:r>
      <w:r w:rsidR="00650A07" w:rsidRPr="007928C8">
        <w:rPr>
          <w:sz w:val="26"/>
          <w:szCs w:val="26"/>
          <w:lang w:val="lt-LT"/>
        </w:rPr>
        <w:t>. 36 – 39.</w:t>
      </w:r>
      <w:r w:rsidR="00CE62D0" w:rsidRPr="007928C8">
        <w:rPr>
          <w:sz w:val="26"/>
          <w:szCs w:val="26"/>
          <w:lang w:val="lt-LT"/>
        </w:rPr>
        <w:t xml:space="preserve"> </w:t>
      </w:r>
      <w:r w:rsidR="00CE62D0" w:rsidRPr="007928C8">
        <w:rPr>
          <w:color w:val="000033"/>
          <w:sz w:val="26"/>
          <w:szCs w:val="26"/>
        </w:rPr>
        <w:t>ISSN</w:t>
      </w:r>
      <w:r w:rsidR="00E97674" w:rsidRPr="007928C8">
        <w:rPr>
          <w:color w:val="000033"/>
          <w:sz w:val="26"/>
          <w:szCs w:val="26"/>
        </w:rPr>
        <w:t xml:space="preserve"> </w:t>
      </w:r>
      <w:r w:rsidR="00CE62D0" w:rsidRPr="007928C8">
        <w:rPr>
          <w:color w:val="000033"/>
          <w:sz w:val="26"/>
          <w:szCs w:val="26"/>
        </w:rPr>
        <w:t>1392-4834.</w:t>
      </w:r>
    </w:p>
    <w:p w:rsidR="00293E83" w:rsidRPr="007928C8" w:rsidRDefault="00293E83"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lang w:val="lt-LT"/>
        </w:rPr>
        <w:t>KANAPICKIENĖ, R</w:t>
      </w:r>
      <w:r w:rsidR="00D72D34" w:rsidRPr="007928C8">
        <w:rPr>
          <w:sz w:val="26"/>
          <w:szCs w:val="26"/>
          <w:lang w:val="lt-LT"/>
        </w:rPr>
        <w:t>asa</w:t>
      </w:r>
      <w:r w:rsidR="000A5390" w:rsidRPr="007928C8">
        <w:rPr>
          <w:sz w:val="26"/>
          <w:szCs w:val="26"/>
          <w:lang w:val="lt-LT"/>
        </w:rPr>
        <w:t>;</w:t>
      </w:r>
      <w:r w:rsidRPr="007928C8">
        <w:rPr>
          <w:sz w:val="26"/>
          <w:szCs w:val="26"/>
          <w:lang w:val="lt-LT"/>
        </w:rPr>
        <w:t xml:space="preserve"> RAGUCKAITĖ, Sigita</w:t>
      </w:r>
      <w:r w:rsidR="006A4197" w:rsidRPr="007928C8">
        <w:rPr>
          <w:sz w:val="26"/>
          <w:szCs w:val="26"/>
          <w:lang w:val="lt-LT"/>
        </w:rPr>
        <w:t>.</w:t>
      </w:r>
      <w:r w:rsidRPr="007928C8">
        <w:rPr>
          <w:sz w:val="26"/>
          <w:szCs w:val="26"/>
          <w:lang w:val="lt-LT"/>
        </w:rPr>
        <w:t xml:space="preserve"> (2006) Įmonės vidaus kontrolės modelis: teoriniai tyrimai. </w:t>
      </w:r>
      <w:r w:rsidR="009F6EF1" w:rsidRPr="007928C8">
        <w:rPr>
          <w:sz w:val="26"/>
          <w:szCs w:val="26"/>
          <w:lang w:val="lt-LT"/>
        </w:rPr>
        <w:t xml:space="preserve">Lietuvos auditoriai - 10 metų patirtis ir perspektyvos = </w:t>
      </w:r>
      <w:r w:rsidR="009F6EF1" w:rsidRPr="007928C8">
        <w:rPr>
          <w:sz w:val="26"/>
          <w:szCs w:val="26"/>
        </w:rPr>
        <w:t>Lithuanian auditors - 10 years’ experience and prospect</w:t>
      </w:r>
      <w:r w:rsidR="009F6EF1" w:rsidRPr="007928C8">
        <w:rPr>
          <w:sz w:val="26"/>
          <w:szCs w:val="26"/>
          <w:lang w:val="lt-LT"/>
        </w:rPr>
        <w:t>s: 4-osios tarptautinės mokslinės-praktinės konferencijos medžiaga (2006 m. gruodžio 15 d.). Vilnius: Lietuvos auditorių rūmai</w:t>
      </w:r>
      <w:r w:rsidR="009F6EF1" w:rsidRPr="007928C8">
        <w:rPr>
          <w:sz w:val="26"/>
          <w:szCs w:val="26"/>
        </w:rPr>
        <w:t>, p.</w:t>
      </w:r>
      <w:r w:rsidR="00AF4553">
        <w:rPr>
          <w:sz w:val="26"/>
          <w:szCs w:val="26"/>
        </w:rPr>
        <w:t> </w:t>
      </w:r>
      <w:r w:rsidR="009F6EF1" w:rsidRPr="007928C8">
        <w:rPr>
          <w:sz w:val="26"/>
          <w:szCs w:val="26"/>
        </w:rPr>
        <w:t>95 – 107. ISBN 9955-98411-3-9</w:t>
      </w:r>
      <w:r w:rsidR="009F6EF1" w:rsidRPr="007928C8">
        <w:rPr>
          <w:sz w:val="26"/>
          <w:szCs w:val="26"/>
          <w:lang w:val="lt-LT"/>
        </w:rPr>
        <w:t>.</w:t>
      </w:r>
    </w:p>
    <w:p w:rsidR="003A644C" w:rsidRPr="007928C8" w:rsidRDefault="003A644C"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olor w:val="000000"/>
          <w:sz w:val="26"/>
          <w:szCs w:val="26"/>
          <w:lang w:val="lt-LT"/>
        </w:rPr>
        <w:t>KEAT Paul G.</w:t>
      </w:r>
      <w:r w:rsidR="000A5390" w:rsidRPr="007928C8">
        <w:rPr>
          <w:color w:val="000000"/>
          <w:sz w:val="26"/>
          <w:szCs w:val="26"/>
          <w:lang w:val="lt-LT"/>
        </w:rPr>
        <w:t>;</w:t>
      </w:r>
      <w:r w:rsidRPr="007928C8">
        <w:rPr>
          <w:color w:val="000000"/>
          <w:sz w:val="26"/>
          <w:szCs w:val="26"/>
          <w:lang w:val="lt-LT"/>
        </w:rPr>
        <w:t xml:space="preserve"> YOUNG </w:t>
      </w:r>
      <w:r w:rsidRPr="007928C8">
        <w:rPr>
          <w:color w:val="000000"/>
          <w:sz w:val="26"/>
          <w:szCs w:val="26"/>
        </w:rPr>
        <w:t xml:space="preserve">Philip K. Y. (2006) </w:t>
      </w:r>
      <w:r w:rsidRPr="007928C8">
        <w:rPr>
          <w:i/>
          <w:color w:val="000000"/>
          <w:sz w:val="26"/>
          <w:szCs w:val="26"/>
        </w:rPr>
        <w:t>Managerial economics: Economic Tools for Today‘s Decision makers</w:t>
      </w:r>
      <w:r w:rsidRPr="007928C8">
        <w:rPr>
          <w:color w:val="000000"/>
          <w:sz w:val="26"/>
          <w:szCs w:val="26"/>
        </w:rPr>
        <w:t>. Fifth edition</w:t>
      </w:r>
      <w:r w:rsidRPr="007928C8">
        <w:rPr>
          <w:color w:val="000000"/>
          <w:sz w:val="26"/>
          <w:szCs w:val="26"/>
          <w:lang w:val="lt-LT"/>
        </w:rPr>
        <w:t xml:space="preserve">, </w:t>
      </w:r>
      <w:r w:rsidRPr="007928C8">
        <w:rPr>
          <w:sz w:val="26"/>
          <w:szCs w:val="26"/>
        </w:rPr>
        <w:t>John Wiley &amp; Sons, Inc., p. 571. ISBN 0-13-197074-7.</w:t>
      </w:r>
      <w:r w:rsidRPr="007928C8">
        <w:rPr>
          <w:color w:val="000000"/>
          <w:sz w:val="26"/>
          <w:szCs w:val="26"/>
          <w:lang w:val="lt-LT"/>
        </w:rPr>
        <w:t xml:space="preserve"> </w:t>
      </w:r>
    </w:p>
    <w:p w:rsidR="001D3C4B" w:rsidRPr="007928C8" w:rsidRDefault="00E5203F"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sz w:val="26"/>
          <w:szCs w:val="26"/>
        </w:rPr>
        <w:t>Keenan</w:t>
      </w:r>
      <w:r w:rsidR="007807DE" w:rsidRPr="007928C8">
        <w:rPr>
          <w:caps/>
          <w:sz w:val="26"/>
          <w:szCs w:val="26"/>
        </w:rPr>
        <w:t>,</w:t>
      </w:r>
      <w:r w:rsidRPr="007928C8">
        <w:rPr>
          <w:caps/>
          <w:sz w:val="26"/>
          <w:szCs w:val="26"/>
        </w:rPr>
        <w:t xml:space="preserve"> </w:t>
      </w:r>
      <w:r w:rsidRPr="007928C8">
        <w:rPr>
          <w:sz w:val="26"/>
          <w:szCs w:val="26"/>
        </w:rPr>
        <w:t xml:space="preserve">Joy. (2005) Risk and reward. The revised audit risk standards are a major undertaking, so guidance is vital for a timely and appropriate adoption. </w:t>
      </w:r>
      <w:r w:rsidR="000F5F1D" w:rsidRPr="007928C8">
        <w:rPr>
          <w:sz w:val="26"/>
          <w:szCs w:val="26"/>
        </w:rPr>
        <w:t xml:space="preserve">Iš </w:t>
      </w:r>
      <w:r w:rsidRPr="007928C8">
        <w:rPr>
          <w:i/>
          <w:sz w:val="26"/>
          <w:szCs w:val="26"/>
        </w:rPr>
        <w:t>Ca magazine</w:t>
      </w:r>
      <w:r w:rsidR="000F5F1D" w:rsidRPr="007928C8">
        <w:rPr>
          <w:i/>
          <w:sz w:val="26"/>
          <w:szCs w:val="26"/>
        </w:rPr>
        <w:t xml:space="preserve"> </w:t>
      </w:r>
      <w:r w:rsidR="000F5F1D" w:rsidRPr="007928C8">
        <w:rPr>
          <w:sz w:val="26"/>
          <w:szCs w:val="26"/>
        </w:rPr>
        <w:t>[interaktyvus]</w:t>
      </w:r>
      <w:r w:rsidRPr="007928C8">
        <w:rPr>
          <w:sz w:val="26"/>
          <w:szCs w:val="26"/>
        </w:rPr>
        <w:t xml:space="preserve">. </w:t>
      </w:r>
      <w:r w:rsidR="000F5F1D" w:rsidRPr="007928C8">
        <w:rPr>
          <w:sz w:val="26"/>
          <w:szCs w:val="26"/>
        </w:rPr>
        <w:t>May, [žiūrėta 2006 m</w:t>
      </w:r>
      <w:r w:rsidR="000F5F1D" w:rsidRPr="007928C8">
        <w:rPr>
          <w:sz w:val="26"/>
          <w:szCs w:val="26"/>
          <w:lang w:val="lt-LT"/>
        </w:rPr>
        <w:t>. balandžio 17 d</w:t>
      </w:r>
      <w:r w:rsidR="000F5F1D" w:rsidRPr="007928C8">
        <w:rPr>
          <w:sz w:val="26"/>
          <w:szCs w:val="26"/>
        </w:rPr>
        <w:t>.],</w:t>
      </w:r>
      <w:r w:rsidRPr="007928C8">
        <w:rPr>
          <w:sz w:val="26"/>
          <w:szCs w:val="26"/>
        </w:rPr>
        <w:t xml:space="preserve"> p.43</w:t>
      </w:r>
      <w:r w:rsidR="000F5F1D" w:rsidRPr="007928C8">
        <w:rPr>
          <w:sz w:val="26"/>
          <w:szCs w:val="26"/>
        </w:rPr>
        <w:t xml:space="preserve"> – </w:t>
      </w:r>
      <w:r w:rsidRPr="007928C8">
        <w:rPr>
          <w:sz w:val="26"/>
          <w:szCs w:val="26"/>
        </w:rPr>
        <w:t>44.</w:t>
      </w:r>
      <w:r w:rsidR="000F5F1D" w:rsidRPr="007928C8">
        <w:rPr>
          <w:sz w:val="26"/>
          <w:szCs w:val="26"/>
        </w:rPr>
        <w:t xml:space="preserve"> </w:t>
      </w:r>
      <w:r w:rsidR="001D3C4B" w:rsidRPr="007928C8">
        <w:rPr>
          <w:color w:val="000000"/>
          <w:sz w:val="26"/>
          <w:szCs w:val="26"/>
          <w:lang w:val="lt-LT"/>
        </w:rPr>
        <w:t>Prieiga per internetą: &lt;http://web.ebscohost.com/bsi/pdf&gt; .</w:t>
      </w:r>
    </w:p>
    <w:p w:rsidR="00FC34F3" w:rsidRPr="007928C8" w:rsidRDefault="00FC34F3"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sz w:val="26"/>
          <w:szCs w:val="26"/>
        </w:rPr>
        <w:t xml:space="preserve">KINNEY, </w:t>
      </w:r>
      <w:r w:rsidR="00FF15A4" w:rsidRPr="007928C8">
        <w:rPr>
          <w:bCs/>
          <w:sz w:val="26"/>
          <w:szCs w:val="26"/>
        </w:rPr>
        <w:t>William</w:t>
      </w:r>
      <w:r w:rsidRPr="007928C8">
        <w:rPr>
          <w:caps/>
          <w:sz w:val="26"/>
          <w:szCs w:val="26"/>
        </w:rPr>
        <w:t xml:space="preserve"> R</w:t>
      </w:r>
      <w:r w:rsidRPr="007928C8">
        <w:rPr>
          <w:sz w:val="26"/>
          <w:szCs w:val="26"/>
        </w:rPr>
        <w:t xml:space="preserve">. (1989) </w:t>
      </w:r>
      <w:r w:rsidR="009B79FC" w:rsidRPr="007928C8">
        <w:rPr>
          <w:sz w:val="26"/>
          <w:szCs w:val="26"/>
        </w:rPr>
        <w:t>Achieved audit risk and the audit outcome space</w:t>
      </w:r>
      <w:r w:rsidRPr="007928C8">
        <w:rPr>
          <w:sz w:val="26"/>
          <w:szCs w:val="26"/>
        </w:rPr>
        <w:t xml:space="preserve">. Iš </w:t>
      </w:r>
      <w:r w:rsidR="009B79FC" w:rsidRPr="007928C8">
        <w:rPr>
          <w:i/>
          <w:sz w:val="26"/>
          <w:szCs w:val="26"/>
        </w:rPr>
        <w:t>Auditing: A Journal of Practice</w:t>
      </w:r>
      <w:r w:rsidR="009B79FC" w:rsidRPr="007928C8">
        <w:rPr>
          <w:i/>
          <w:sz w:val="26"/>
          <w:szCs w:val="26"/>
          <w:lang w:val="ru-RU"/>
        </w:rPr>
        <w:t xml:space="preserve"> </w:t>
      </w:r>
      <w:r w:rsidR="009B79FC" w:rsidRPr="007928C8">
        <w:rPr>
          <w:i/>
          <w:sz w:val="26"/>
          <w:szCs w:val="26"/>
        </w:rPr>
        <w:t xml:space="preserve">&amp; </w:t>
      </w:r>
      <w:r w:rsidR="008E1C0D" w:rsidRPr="007928C8">
        <w:rPr>
          <w:i/>
          <w:sz w:val="26"/>
          <w:szCs w:val="26"/>
        </w:rPr>
        <w:t xml:space="preserve">Theory </w:t>
      </w:r>
      <w:r w:rsidRPr="007928C8">
        <w:rPr>
          <w:sz w:val="26"/>
          <w:szCs w:val="26"/>
        </w:rPr>
        <w:t xml:space="preserve">[interaktyvus]. </w:t>
      </w:r>
      <w:r w:rsidR="00C00F10" w:rsidRPr="007928C8">
        <w:rPr>
          <w:sz w:val="26"/>
          <w:szCs w:val="26"/>
        </w:rPr>
        <w:t>Supplement</w:t>
      </w:r>
      <w:r w:rsidRPr="007928C8">
        <w:rPr>
          <w:sz w:val="26"/>
          <w:szCs w:val="26"/>
        </w:rPr>
        <w:t>, [žiūrėta 200</w:t>
      </w:r>
      <w:r w:rsidR="00C00F10" w:rsidRPr="007928C8">
        <w:rPr>
          <w:sz w:val="26"/>
          <w:szCs w:val="26"/>
        </w:rPr>
        <w:t>7</w:t>
      </w:r>
      <w:r w:rsidRPr="007928C8">
        <w:rPr>
          <w:sz w:val="26"/>
          <w:szCs w:val="26"/>
        </w:rPr>
        <w:t xml:space="preserve"> m. </w:t>
      </w:r>
      <w:r w:rsidR="00C00F10" w:rsidRPr="007928C8">
        <w:rPr>
          <w:sz w:val="26"/>
          <w:szCs w:val="26"/>
          <w:lang w:val="lt-LT"/>
        </w:rPr>
        <w:t>lapk</w:t>
      </w:r>
      <w:r w:rsidR="00226083" w:rsidRPr="007928C8">
        <w:rPr>
          <w:sz w:val="26"/>
          <w:szCs w:val="26"/>
          <w:lang w:val="lt-LT"/>
        </w:rPr>
        <w:t>r</w:t>
      </w:r>
      <w:r w:rsidR="00C00F10" w:rsidRPr="007928C8">
        <w:rPr>
          <w:sz w:val="26"/>
          <w:szCs w:val="26"/>
          <w:lang w:val="lt-LT"/>
        </w:rPr>
        <w:t>ičio</w:t>
      </w:r>
      <w:r w:rsidRPr="007928C8">
        <w:rPr>
          <w:sz w:val="26"/>
          <w:szCs w:val="26"/>
        </w:rPr>
        <w:t xml:space="preserve"> 17 d.], p.</w:t>
      </w:r>
      <w:r w:rsidR="00C00F10" w:rsidRPr="007928C8">
        <w:rPr>
          <w:sz w:val="26"/>
          <w:szCs w:val="26"/>
        </w:rPr>
        <w:t xml:space="preserve"> 67 – 84</w:t>
      </w:r>
      <w:r w:rsidRPr="007928C8">
        <w:rPr>
          <w:sz w:val="26"/>
          <w:szCs w:val="26"/>
        </w:rPr>
        <w:t xml:space="preserve">. </w:t>
      </w:r>
      <w:r w:rsidRPr="007928C8">
        <w:rPr>
          <w:color w:val="000000"/>
          <w:sz w:val="26"/>
          <w:szCs w:val="26"/>
          <w:lang w:val="lt-LT"/>
        </w:rPr>
        <w:t>Prieiga per internetą: &lt;http://web.ebscohost.com/bsi/pdf&gt; .</w:t>
      </w:r>
    </w:p>
    <w:p w:rsidR="001D3C4B" w:rsidRPr="007928C8" w:rsidRDefault="002D7F2A"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caps/>
          <w:sz w:val="26"/>
          <w:szCs w:val="26"/>
          <w:lang w:val="lt-LT"/>
        </w:rPr>
        <w:t>Kizirian</w:t>
      </w:r>
      <w:r w:rsidRPr="007928C8">
        <w:rPr>
          <w:sz w:val="26"/>
          <w:szCs w:val="26"/>
          <w:lang w:val="lt-LT"/>
        </w:rPr>
        <w:t xml:space="preserve">, </w:t>
      </w:r>
      <w:r w:rsidR="006464E7" w:rsidRPr="007928C8">
        <w:rPr>
          <w:sz w:val="26"/>
          <w:szCs w:val="26"/>
          <w:lang w:val="lt-LT"/>
        </w:rPr>
        <w:t xml:space="preserve">Timothy G.; </w:t>
      </w:r>
      <w:r w:rsidRPr="007928C8">
        <w:rPr>
          <w:caps/>
          <w:sz w:val="26"/>
          <w:szCs w:val="26"/>
          <w:lang w:val="lt-LT"/>
        </w:rPr>
        <w:t>Mayhew</w:t>
      </w:r>
      <w:r w:rsidR="006464E7" w:rsidRPr="007928C8">
        <w:rPr>
          <w:caps/>
          <w:sz w:val="26"/>
          <w:szCs w:val="26"/>
          <w:lang w:val="lt-LT"/>
        </w:rPr>
        <w:t xml:space="preserve">, Brain W.; </w:t>
      </w:r>
      <w:r w:rsidRPr="007928C8">
        <w:rPr>
          <w:caps/>
          <w:sz w:val="26"/>
          <w:szCs w:val="26"/>
          <w:lang w:val="lt-LT"/>
        </w:rPr>
        <w:t>Sneathen</w:t>
      </w:r>
      <w:r w:rsidR="006464E7" w:rsidRPr="007928C8">
        <w:rPr>
          <w:caps/>
          <w:sz w:val="26"/>
          <w:szCs w:val="26"/>
          <w:lang w:val="lt-LT"/>
        </w:rPr>
        <w:t xml:space="preserve"> </w:t>
      </w:r>
      <w:r w:rsidR="006464E7" w:rsidRPr="007928C8">
        <w:rPr>
          <w:sz w:val="26"/>
          <w:szCs w:val="26"/>
          <w:lang w:val="lt-LT"/>
        </w:rPr>
        <w:t>Jr., Dwight L.</w:t>
      </w:r>
      <w:r w:rsidRPr="007928C8">
        <w:rPr>
          <w:sz w:val="26"/>
          <w:szCs w:val="26"/>
          <w:lang w:val="lt-LT"/>
        </w:rPr>
        <w:t xml:space="preserve"> (2005)</w:t>
      </w:r>
      <w:r w:rsidR="006464E7" w:rsidRPr="007928C8">
        <w:rPr>
          <w:sz w:val="26"/>
          <w:szCs w:val="26"/>
          <w:lang w:val="lt-LT"/>
        </w:rPr>
        <w:t xml:space="preserve"> </w:t>
      </w:r>
      <w:r w:rsidR="006464E7" w:rsidRPr="007928C8">
        <w:rPr>
          <w:sz w:val="26"/>
          <w:szCs w:val="26"/>
        </w:rPr>
        <w:t>The Impact of Management Integrity on Audit Planning and Evidence</w:t>
      </w:r>
      <w:r w:rsidR="00D64019" w:rsidRPr="007928C8">
        <w:rPr>
          <w:sz w:val="26"/>
          <w:szCs w:val="26"/>
        </w:rPr>
        <w:t xml:space="preserve">. Iš </w:t>
      </w:r>
      <w:r w:rsidR="00D64019" w:rsidRPr="007928C8">
        <w:rPr>
          <w:i/>
          <w:sz w:val="26"/>
          <w:szCs w:val="26"/>
        </w:rPr>
        <w:t xml:space="preserve">Auditing: A Journal of </w:t>
      </w:r>
      <w:r w:rsidR="00AB77DB" w:rsidRPr="007928C8">
        <w:rPr>
          <w:i/>
          <w:sz w:val="26"/>
          <w:szCs w:val="26"/>
        </w:rPr>
        <w:t>P</w:t>
      </w:r>
      <w:r w:rsidR="00D64019" w:rsidRPr="007928C8">
        <w:rPr>
          <w:i/>
          <w:sz w:val="26"/>
          <w:szCs w:val="26"/>
        </w:rPr>
        <w:t xml:space="preserve">ractice &amp; </w:t>
      </w:r>
      <w:r w:rsidR="00AB77DB" w:rsidRPr="007928C8">
        <w:rPr>
          <w:i/>
          <w:sz w:val="26"/>
          <w:szCs w:val="26"/>
        </w:rPr>
        <w:t>Theory</w:t>
      </w:r>
      <w:r w:rsidR="00D64019" w:rsidRPr="007928C8">
        <w:rPr>
          <w:i/>
          <w:sz w:val="26"/>
          <w:szCs w:val="26"/>
          <w:lang w:val="lt-LT"/>
        </w:rPr>
        <w:t xml:space="preserve"> </w:t>
      </w:r>
      <w:r w:rsidR="00D64019" w:rsidRPr="007928C8">
        <w:rPr>
          <w:sz w:val="26"/>
          <w:szCs w:val="26"/>
          <w:lang w:val="lt-LT"/>
        </w:rPr>
        <w:lastRenderedPageBreak/>
        <w:t xml:space="preserve">[interaktyvus]. </w:t>
      </w:r>
      <w:r w:rsidR="00AB77DB" w:rsidRPr="007928C8">
        <w:rPr>
          <w:sz w:val="26"/>
          <w:szCs w:val="26"/>
          <w:lang w:val="lt-LT"/>
        </w:rPr>
        <w:t xml:space="preserve">vol. 24, </w:t>
      </w:r>
      <w:r w:rsidR="00D64019" w:rsidRPr="007928C8">
        <w:rPr>
          <w:sz w:val="26"/>
          <w:szCs w:val="26"/>
          <w:lang w:val="lt-LT"/>
        </w:rPr>
        <w:t xml:space="preserve">no. 2, [žiūrėta 2006 m. sausio 15 d.], p. </w:t>
      </w:r>
      <w:r w:rsidR="00AB77DB" w:rsidRPr="007928C8">
        <w:rPr>
          <w:sz w:val="26"/>
          <w:szCs w:val="26"/>
          <w:lang w:val="lt-LT"/>
        </w:rPr>
        <w:t>49</w:t>
      </w:r>
      <w:r w:rsidR="00D64019" w:rsidRPr="007928C8">
        <w:rPr>
          <w:sz w:val="26"/>
          <w:szCs w:val="26"/>
          <w:lang w:val="lt-LT"/>
        </w:rPr>
        <w:t xml:space="preserve"> – </w:t>
      </w:r>
      <w:r w:rsidR="00AB77DB" w:rsidRPr="007928C8">
        <w:rPr>
          <w:sz w:val="26"/>
          <w:szCs w:val="26"/>
          <w:lang w:val="lt-LT"/>
        </w:rPr>
        <w:t>67</w:t>
      </w:r>
      <w:r w:rsidR="00D64019" w:rsidRPr="007928C8">
        <w:rPr>
          <w:sz w:val="26"/>
          <w:szCs w:val="26"/>
          <w:lang w:val="lt-LT"/>
        </w:rPr>
        <w:t>.</w:t>
      </w:r>
      <w:r w:rsidR="001D3C4B" w:rsidRPr="007928C8">
        <w:rPr>
          <w:color w:val="FF0000"/>
          <w:sz w:val="26"/>
          <w:szCs w:val="26"/>
          <w:lang w:val="lt-LT"/>
        </w:rPr>
        <w:t xml:space="preserve"> </w:t>
      </w:r>
      <w:r w:rsidR="001D3C4B" w:rsidRPr="007928C8">
        <w:rPr>
          <w:color w:val="000000"/>
          <w:sz w:val="26"/>
          <w:szCs w:val="26"/>
          <w:lang w:val="lt-LT"/>
        </w:rPr>
        <w:t>Pri</w:t>
      </w:r>
      <w:r w:rsidR="001D3C4B" w:rsidRPr="007928C8">
        <w:rPr>
          <w:sz w:val="26"/>
          <w:szCs w:val="26"/>
          <w:lang w:val="lt-LT"/>
        </w:rPr>
        <w:t>eiga per internetą: &lt;http://web.ebscohost.com/bsi/pdf&gt; .</w:t>
      </w:r>
    </w:p>
    <w:p w:rsidR="00430FEA" w:rsidRPr="007928C8" w:rsidRDefault="00430FEA" w:rsidP="000406FA">
      <w:pPr>
        <w:numPr>
          <w:ilvl w:val="0"/>
          <w:numId w:val="4"/>
        </w:numPr>
        <w:tabs>
          <w:tab w:val="clear" w:pos="720"/>
          <w:tab w:val="left" w:pos="567"/>
          <w:tab w:val="left" w:pos="709"/>
        </w:tabs>
        <w:spacing w:before="120"/>
        <w:ind w:left="567" w:hanging="567"/>
        <w:jc w:val="both"/>
        <w:rPr>
          <w:sz w:val="26"/>
          <w:szCs w:val="26"/>
        </w:rPr>
      </w:pPr>
      <w:r w:rsidRPr="007928C8">
        <w:rPr>
          <w:caps/>
          <w:sz w:val="26"/>
          <w:szCs w:val="26"/>
          <w:lang w:val="lt-LT"/>
        </w:rPr>
        <w:t>Knec</w:t>
      </w:r>
      <w:r w:rsidR="00CF7A33" w:rsidRPr="007928C8">
        <w:rPr>
          <w:caps/>
          <w:sz w:val="26"/>
          <w:szCs w:val="26"/>
          <w:lang w:val="lt-LT"/>
        </w:rPr>
        <w:t>H</w:t>
      </w:r>
      <w:r w:rsidRPr="007928C8">
        <w:rPr>
          <w:caps/>
          <w:sz w:val="26"/>
          <w:szCs w:val="26"/>
          <w:lang w:val="lt-LT"/>
        </w:rPr>
        <w:t>el</w:t>
      </w:r>
      <w:r w:rsidRPr="007928C8">
        <w:rPr>
          <w:sz w:val="26"/>
          <w:szCs w:val="26"/>
          <w:lang w:val="lt-LT"/>
        </w:rPr>
        <w:t xml:space="preserve">, Robert W. (2001) </w:t>
      </w:r>
      <w:r w:rsidRPr="007928C8">
        <w:rPr>
          <w:i/>
          <w:sz w:val="26"/>
          <w:szCs w:val="26"/>
        </w:rPr>
        <w:t>Auditing: assurance and risk</w:t>
      </w:r>
      <w:r w:rsidRPr="007928C8">
        <w:rPr>
          <w:sz w:val="26"/>
          <w:szCs w:val="26"/>
        </w:rPr>
        <w:t xml:space="preserve">. 2-nd ed. South Western College Publishing, 732 p. </w:t>
      </w:r>
    </w:p>
    <w:p w:rsidR="003B591B" w:rsidRPr="007928C8" w:rsidRDefault="00CF7A33" w:rsidP="000406FA">
      <w:pPr>
        <w:pStyle w:val="ListParagraph"/>
        <w:numPr>
          <w:ilvl w:val="0"/>
          <w:numId w:val="4"/>
        </w:numPr>
        <w:tabs>
          <w:tab w:val="clear" w:pos="720"/>
          <w:tab w:val="left" w:pos="567"/>
          <w:tab w:val="left" w:pos="709"/>
        </w:tabs>
        <w:spacing w:before="120"/>
        <w:ind w:left="567" w:hanging="567"/>
        <w:jc w:val="both"/>
        <w:rPr>
          <w:bCs/>
          <w:sz w:val="26"/>
          <w:szCs w:val="26"/>
        </w:rPr>
      </w:pPr>
      <w:r w:rsidRPr="007928C8">
        <w:rPr>
          <w:caps/>
          <w:sz w:val="26"/>
          <w:szCs w:val="26"/>
          <w:lang w:val="lt-LT"/>
        </w:rPr>
        <w:t>KnecHel</w:t>
      </w:r>
      <w:r w:rsidRPr="007928C8">
        <w:rPr>
          <w:sz w:val="26"/>
          <w:szCs w:val="26"/>
          <w:lang w:val="lt-LT"/>
        </w:rPr>
        <w:t xml:space="preserve">, Robert W. (2007) </w:t>
      </w:r>
      <w:r w:rsidRPr="007928C8">
        <w:rPr>
          <w:bCs/>
          <w:sz w:val="26"/>
          <w:szCs w:val="26"/>
        </w:rPr>
        <w:t xml:space="preserve">The business risk audit: Origins, obstacles and opportunities. Iš </w:t>
      </w:r>
      <w:r w:rsidRPr="007928C8">
        <w:rPr>
          <w:i/>
          <w:iCs/>
          <w:sz w:val="26"/>
          <w:szCs w:val="26"/>
        </w:rPr>
        <w:t xml:space="preserve">Accounting, Organizations and Society </w:t>
      </w:r>
      <w:r w:rsidRPr="007928C8">
        <w:rPr>
          <w:iCs/>
          <w:sz w:val="26"/>
          <w:szCs w:val="26"/>
        </w:rPr>
        <w:t>[interaktyvus].</w:t>
      </w:r>
      <w:r w:rsidRPr="007928C8">
        <w:rPr>
          <w:sz w:val="26"/>
          <w:szCs w:val="26"/>
        </w:rPr>
        <w:t xml:space="preserve"> v</w:t>
      </w:r>
      <w:r w:rsidRPr="007928C8">
        <w:rPr>
          <w:iCs/>
          <w:sz w:val="26"/>
          <w:szCs w:val="26"/>
        </w:rPr>
        <w:t>ol. 32, issues 4-5</w:t>
      </w:r>
      <w:r w:rsidRPr="007928C8">
        <w:rPr>
          <w:sz w:val="26"/>
          <w:szCs w:val="26"/>
        </w:rPr>
        <w:t xml:space="preserve">, </w:t>
      </w:r>
      <w:r w:rsidRPr="007928C8">
        <w:rPr>
          <w:iCs/>
          <w:sz w:val="26"/>
          <w:szCs w:val="26"/>
        </w:rPr>
        <w:t xml:space="preserve">May-July [žiūrėta 2007 m. </w:t>
      </w:r>
      <w:r w:rsidRPr="007928C8">
        <w:rPr>
          <w:iCs/>
          <w:sz w:val="26"/>
          <w:szCs w:val="26"/>
          <w:lang w:val="lt-LT"/>
        </w:rPr>
        <w:t>vasario 8</w:t>
      </w:r>
      <w:r w:rsidR="00AF4553">
        <w:rPr>
          <w:iCs/>
          <w:sz w:val="26"/>
          <w:szCs w:val="26"/>
          <w:lang w:val="lt-LT"/>
        </w:rPr>
        <w:t> </w:t>
      </w:r>
      <w:r w:rsidRPr="007928C8">
        <w:rPr>
          <w:iCs/>
          <w:sz w:val="26"/>
          <w:szCs w:val="26"/>
        </w:rPr>
        <w:t>d.]</w:t>
      </w:r>
      <w:r w:rsidRPr="007928C8">
        <w:rPr>
          <w:sz w:val="26"/>
          <w:szCs w:val="26"/>
        </w:rPr>
        <w:t xml:space="preserve">, p. </w:t>
      </w:r>
      <w:r w:rsidRPr="007928C8">
        <w:rPr>
          <w:iCs/>
          <w:sz w:val="26"/>
          <w:szCs w:val="26"/>
        </w:rPr>
        <w:t xml:space="preserve">383 </w:t>
      </w:r>
      <w:r w:rsidRPr="007928C8">
        <w:rPr>
          <w:iCs/>
          <w:sz w:val="26"/>
          <w:szCs w:val="26"/>
        </w:rPr>
        <w:softHyphen/>
        <w:t xml:space="preserve"> 408. </w:t>
      </w:r>
      <w:r w:rsidRPr="007928C8">
        <w:rPr>
          <w:iCs/>
          <w:sz w:val="26"/>
          <w:szCs w:val="26"/>
          <w:lang w:val="lt-LT"/>
        </w:rPr>
        <w:t>Prieiga per internetą</w:t>
      </w:r>
      <w:r w:rsidRPr="007928C8">
        <w:rPr>
          <w:iCs/>
          <w:sz w:val="26"/>
          <w:szCs w:val="26"/>
        </w:rPr>
        <w:t>:</w:t>
      </w:r>
    </w:p>
    <w:p w:rsidR="00CF7A33" w:rsidRPr="007928C8" w:rsidRDefault="00CF7A33" w:rsidP="000406FA">
      <w:pPr>
        <w:pStyle w:val="ListParagraph"/>
        <w:tabs>
          <w:tab w:val="left" w:pos="567"/>
          <w:tab w:val="left" w:pos="709"/>
        </w:tabs>
        <w:spacing w:before="120"/>
        <w:ind w:left="567"/>
        <w:jc w:val="both"/>
        <w:rPr>
          <w:bCs/>
          <w:sz w:val="26"/>
          <w:szCs w:val="26"/>
        </w:rPr>
      </w:pPr>
      <w:r w:rsidRPr="007928C8">
        <w:rPr>
          <w:iCs/>
          <w:sz w:val="26"/>
          <w:szCs w:val="26"/>
        </w:rPr>
        <w:t>&lt;</w:t>
      </w:r>
      <w:r w:rsidRPr="007928C8">
        <w:rPr>
          <w:bCs/>
          <w:sz w:val="26"/>
          <w:szCs w:val="26"/>
        </w:rPr>
        <w:t>http://www.sciencedirect.com&gt; .</w:t>
      </w:r>
    </w:p>
    <w:p w:rsidR="00357B45" w:rsidRPr="007928C8" w:rsidRDefault="00357B45"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rPr>
        <w:t>Knight,</w:t>
      </w:r>
      <w:r w:rsidRPr="007928C8">
        <w:rPr>
          <w:sz w:val="26"/>
          <w:szCs w:val="26"/>
        </w:rPr>
        <w:t xml:space="preserve"> F</w:t>
      </w:r>
      <w:r w:rsidR="00837C07" w:rsidRPr="007928C8">
        <w:rPr>
          <w:sz w:val="26"/>
          <w:szCs w:val="26"/>
        </w:rPr>
        <w:t>rank</w:t>
      </w:r>
      <w:r w:rsidRPr="007928C8">
        <w:rPr>
          <w:sz w:val="26"/>
          <w:szCs w:val="26"/>
        </w:rPr>
        <w:t>. H.</w:t>
      </w:r>
      <w:r w:rsidR="00837C07" w:rsidRPr="007928C8">
        <w:rPr>
          <w:sz w:val="26"/>
          <w:szCs w:val="26"/>
        </w:rPr>
        <w:t xml:space="preserve"> (1921)</w:t>
      </w:r>
      <w:r w:rsidRPr="007928C8">
        <w:rPr>
          <w:sz w:val="26"/>
          <w:szCs w:val="26"/>
        </w:rPr>
        <w:t xml:space="preserve"> </w:t>
      </w:r>
      <w:r w:rsidRPr="007928C8">
        <w:rPr>
          <w:bCs/>
          <w:i/>
          <w:iCs/>
          <w:sz w:val="26"/>
          <w:szCs w:val="26"/>
        </w:rPr>
        <w:t>Risk, Uncertainty, and Profit</w:t>
      </w:r>
      <w:r w:rsidRPr="007928C8">
        <w:rPr>
          <w:bCs/>
          <w:iCs/>
          <w:sz w:val="26"/>
          <w:szCs w:val="26"/>
        </w:rPr>
        <w:t xml:space="preserve">. </w:t>
      </w:r>
      <w:r w:rsidRPr="007928C8">
        <w:rPr>
          <w:sz w:val="26"/>
          <w:szCs w:val="26"/>
        </w:rPr>
        <w:t>[</w:t>
      </w:r>
      <w:r w:rsidR="00837C07" w:rsidRPr="007928C8">
        <w:rPr>
          <w:sz w:val="26"/>
          <w:szCs w:val="26"/>
        </w:rPr>
        <w:t>interaktyvus</w:t>
      </w:r>
      <w:r w:rsidRPr="007928C8">
        <w:rPr>
          <w:sz w:val="26"/>
          <w:szCs w:val="26"/>
        </w:rPr>
        <w:t>]. Library of Economics and Liberty. [</w:t>
      </w:r>
      <w:r w:rsidR="00837C07" w:rsidRPr="007928C8">
        <w:rPr>
          <w:sz w:val="26"/>
          <w:szCs w:val="26"/>
        </w:rPr>
        <w:t>žiūrėta</w:t>
      </w:r>
      <w:r w:rsidRPr="007928C8">
        <w:rPr>
          <w:sz w:val="26"/>
          <w:szCs w:val="26"/>
        </w:rPr>
        <w:t xml:space="preserve"> 2006</w:t>
      </w:r>
      <w:r w:rsidR="00837C07" w:rsidRPr="007928C8">
        <w:rPr>
          <w:sz w:val="26"/>
          <w:szCs w:val="26"/>
        </w:rPr>
        <w:t xml:space="preserve"> m. balandžio </w:t>
      </w:r>
      <w:r w:rsidRPr="007928C8">
        <w:rPr>
          <w:sz w:val="26"/>
          <w:szCs w:val="26"/>
        </w:rPr>
        <w:t>15</w:t>
      </w:r>
      <w:r w:rsidR="00837C07" w:rsidRPr="007928C8">
        <w:rPr>
          <w:sz w:val="26"/>
          <w:szCs w:val="26"/>
        </w:rPr>
        <w:t xml:space="preserve"> d.</w:t>
      </w:r>
      <w:r w:rsidRPr="007928C8">
        <w:rPr>
          <w:sz w:val="26"/>
          <w:szCs w:val="26"/>
        </w:rPr>
        <w:t xml:space="preserve">]. </w:t>
      </w:r>
      <w:r w:rsidR="00837C07" w:rsidRPr="007928C8">
        <w:rPr>
          <w:sz w:val="26"/>
          <w:szCs w:val="26"/>
        </w:rPr>
        <w:t>Prieiga per internetą</w:t>
      </w:r>
      <w:r w:rsidRPr="007928C8">
        <w:rPr>
          <w:sz w:val="26"/>
          <w:szCs w:val="26"/>
        </w:rPr>
        <w:t xml:space="preserve">: </w:t>
      </w:r>
    </w:p>
    <w:p w:rsidR="00357B45" w:rsidRPr="007928C8" w:rsidRDefault="00837C07" w:rsidP="000406FA">
      <w:pPr>
        <w:tabs>
          <w:tab w:val="left" w:pos="567"/>
          <w:tab w:val="left" w:pos="709"/>
        </w:tabs>
        <w:spacing w:before="120"/>
        <w:ind w:left="567" w:hanging="567"/>
        <w:jc w:val="both"/>
        <w:rPr>
          <w:sz w:val="26"/>
          <w:szCs w:val="26"/>
          <w:lang w:val="lt-LT"/>
        </w:rPr>
      </w:pPr>
      <w:r w:rsidRPr="007928C8">
        <w:rPr>
          <w:sz w:val="26"/>
          <w:szCs w:val="26"/>
          <w:lang w:val="lt-LT"/>
        </w:rPr>
        <w:tab/>
      </w:r>
      <w:r w:rsidR="00357B45" w:rsidRPr="007928C8">
        <w:rPr>
          <w:sz w:val="26"/>
          <w:szCs w:val="26"/>
          <w:lang w:val="lt-LT"/>
        </w:rPr>
        <w:t>&lt;http://www.e</w:t>
      </w:r>
      <w:r w:rsidRPr="007928C8">
        <w:rPr>
          <w:sz w:val="26"/>
          <w:szCs w:val="26"/>
          <w:lang w:val="lt-LT"/>
        </w:rPr>
        <w:t>conlib.org/library/Knight/knRUPtoc</w:t>
      </w:r>
      <w:r w:rsidR="00357B45" w:rsidRPr="007928C8">
        <w:rPr>
          <w:sz w:val="26"/>
          <w:szCs w:val="26"/>
          <w:lang w:val="lt-LT"/>
        </w:rPr>
        <w:t>.html&gt;</w:t>
      </w:r>
    </w:p>
    <w:p w:rsidR="00C409CD" w:rsidRPr="007928C8" w:rsidRDefault="00C409CD" w:rsidP="000406FA">
      <w:pPr>
        <w:numPr>
          <w:ilvl w:val="0"/>
          <w:numId w:val="4"/>
        </w:numPr>
        <w:tabs>
          <w:tab w:val="clear" w:pos="720"/>
          <w:tab w:val="left" w:pos="567"/>
          <w:tab w:val="left" w:pos="709"/>
        </w:tabs>
        <w:spacing w:before="120"/>
        <w:ind w:left="567" w:hanging="567"/>
        <w:jc w:val="both"/>
        <w:rPr>
          <w:sz w:val="26"/>
          <w:szCs w:val="26"/>
        </w:rPr>
      </w:pPr>
      <w:r w:rsidRPr="007928C8">
        <w:rPr>
          <w:caps/>
          <w:sz w:val="26"/>
          <w:szCs w:val="26"/>
          <w:lang w:val="lt-LT"/>
        </w:rPr>
        <w:t>Kotchetova</w:t>
      </w:r>
      <w:r w:rsidRPr="007928C8">
        <w:rPr>
          <w:sz w:val="26"/>
          <w:szCs w:val="26"/>
          <w:lang w:val="lt-LT"/>
        </w:rPr>
        <w:t>, Natalia</w:t>
      </w:r>
      <w:r w:rsidR="00456B63" w:rsidRPr="007928C8">
        <w:rPr>
          <w:sz w:val="26"/>
          <w:szCs w:val="26"/>
          <w:lang w:val="lt-LT"/>
        </w:rPr>
        <w:t>;</w:t>
      </w:r>
      <w:r w:rsidRPr="007928C8">
        <w:rPr>
          <w:sz w:val="26"/>
          <w:szCs w:val="26"/>
          <w:lang w:val="lt-LT"/>
        </w:rPr>
        <w:t xml:space="preserve"> </w:t>
      </w:r>
      <w:r w:rsidR="00BF501D" w:rsidRPr="007928C8">
        <w:rPr>
          <w:caps/>
          <w:sz w:val="26"/>
          <w:szCs w:val="26"/>
          <w:lang w:val="lt-LT"/>
        </w:rPr>
        <w:t>Kozlo</w:t>
      </w:r>
      <w:r w:rsidRPr="007928C8">
        <w:rPr>
          <w:caps/>
          <w:sz w:val="26"/>
          <w:szCs w:val="26"/>
          <w:lang w:val="lt-LT"/>
        </w:rPr>
        <w:t>ski</w:t>
      </w:r>
      <w:r w:rsidRPr="007928C8">
        <w:rPr>
          <w:sz w:val="26"/>
          <w:szCs w:val="26"/>
          <w:lang w:val="lt-LT"/>
        </w:rPr>
        <w:t xml:space="preserve">, </w:t>
      </w:r>
      <w:r w:rsidR="00895C1D" w:rsidRPr="007928C8">
        <w:rPr>
          <w:sz w:val="26"/>
          <w:szCs w:val="26"/>
          <w:lang w:val="lt-LT"/>
        </w:rPr>
        <w:t>Thomas M.</w:t>
      </w:r>
      <w:r w:rsidR="00456B63" w:rsidRPr="007928C8">
        <w:rPr>
          <w:sz w:val="26"/>
          <w:szCs w:val="26"/>
          <w:lang w:val="lt-LT"/>
        </w:rPr>
        <w:t>;</w:t>
      </w:r>
      <w:r w:rsidR="00895C1D" w:rsidRPr="007928C8">
        <w:rPr>
          <w:sz w:val="26"/>
          <w:szCs w:val="26"/>
          <w:lang w:val="lt-LT"/>
        </w:rPr>
        <w:t xml:space="preserve"> </w:t>
      </w:r>
      <w:r w:rsidRPr="007928C8">
        <w:rPr>
          <w:caps/>
          <w:sz w:val="26"/>
          <w:szCs w:val="26"/>
          <w:lang w:val="lt-LT"/>
        </w:rPr>
        <w:t>Messier</w:t>
      </w:r>
      <w:r w:rsidRPr="007928C8">
        <w:rPr>
          <w:sz w:val="26"/>
          <w:szCs w:val="26"/>
          <w:lang w:val="lt-LT"/>
        </w:rPr>
        <w:t xml:space="preserve">, </w:t>
      </w:r>
      <w:r w:rsidR="00895C1D" w:rsidRPr="007928C8">
        <w:rPr>
          <w:sz w:val="26"/>
          <w:szCs w:val="26"/>
          <w:lang w:val="lt-LT"/>
        </w:rPr>
        <w:t xml:space="preserve">William F., </w:t>
      </w:r>
      <w:r w:rsidRPr="007928C8">
        <w:rPr>
          <w:sz w:val="26"/>
          <w:szCs w:val="26"/>
          <w:lang w:val="lt-LT"/>
        </w:rPr>
        <w:t>Jr</w:t>
      </w:r>
      <w:r w:rsidR="00895C1D" w:rsidRPr="007928C8">
        <w:rPr>
          <w:sz w:val="26"/>
          <w:szCs w:val="26"/>
          <w:lang w:val="lt-LT"/>
        </w:rPr>
        <w:t>.</w:t>
      </w:r>
      <w:r w:rsidRPr="007928C8">
        <w:rPr>
          <w:sz w:val="26"/>
          <w:szCs w:val="26"/>
          <w:lang w:val="lt-LT"/>
        </w:rPr>
        <w:t xml:space="preserve"> (2006)</w:t>
      </w:r>
      <w:r w:rsidR="00895C1D" w:rsidRPr="007928C8">
        <w:rPr>
          <w:sz w:val="26"/>
          <w:szCs w:val="26"/>
          <w:lang w:val="lt-LT"/>
        </w:rPr>
        <w:t xml:space="preserve"> </w:t>
      </w:r>
      <w:r w:rsidR="00895C1D" w:rsidRPr="007928C8">
        <w:rPr>
          <w:sz w:val="26"/>
          <w:szCs w:val="26"/>
        </w:rPr>
        <w:t>Linkages Between Auditors</w:t>
      </w:r>
      <w:r w:rsidR="00226083" w:rsidRPr="007928C8">
        <w:rPr>
          <w:sz w:val="26"/>
          <w:szCs w:val="26"/>
        </w:rPr>
        <w:t>’</w:t>
      </w:r>
      <w:r w:rsidR="00895C1D" w:rsidRPr="007928C8">
        <w:rPr>
          <w:sz w:val="26"/>
          <w:szCs w:val="26"/>
        </w:rPr>
        <w:t xml:space="preserve"> Risk Assessment in a Risk-Based Audit</w:t>
      </w:r>
      <w:r w:rsidR="008D7DAC" w:rsidRPr="007928C8">
        <w:rPr>
          <w:sz w:val="26"/>
          <w:szCs w:val="26"/>
          <w:lang w:val="lt-LT"/>
        </w:rPr>
        <w:t xml:space="preserve">. [interaktyvus] </w:t>
      </w:r>
      <w:r w:rsidR="005D0B43" w:rsidRPr="007928C8">
        <w:rPr>
          <w:sz w:val="26"/>
          <w:szCs w:val="26"/>
          <w:lang w:val="lt-LT"/>
        </w:rPr>
        <w:t xml:space="preserve">Iš </w:t>
      </w:r>
      <w:r w:rsidR="005D0B43" w:rsidRPr="007928C8">
        <w:rPr>
          <w:i/>
          <w:sz w:val="26"/>
          <w:szCs w:val="26"/>
        </w:rPr>
        <w:t>University of Illinois at Urbana-Champaign</w:t>
      </w:r>
      <w:r w:rsidR="005D0B43" w:rsidRPr="007928C8">
        <w:rPr>
          <w:sz w:val="26"/>
          <w:szCs w:val="26"/>
          <w:lang w:val="lt-LT"/>
        </w:rPr>
        <w:t xml:space="preserve"> </w:t>
      </w:r>
      <w:r w:rsidR="00456B63" w:rsidRPr="007928C8">
        <w:rPr>
          <w:sz w:val="26"/>
          <w:szCs w:val="26"/>
          <w:lang w:val="lt-LT"/>
        </w:rPr>
        <w:t>[žiūrėta 2007 m. liepos 25 d.]. Prieiga per internetą</w:t>
      </w:r>
      <w:r w:rsidR="00456B63" w:rsidRPr="007928C8">
        <w:rPr>
          <w:rStyle w:val="terms"/>
          <w:sz w:val="26"/>
          <w:szCs w:val="26"/>
          <w:lang w:val="lt-LT"/>
        </w:rPr>
        <w:t>:</w:t>
      </w:r>
      <w:r w:rsidR="005D0B43" w:rsidRPr="007928C8">
        <w:rPr>
          <w:rStyle w:val="terms"/>
          <w:sz w:val="26"/>
          <w:szCs w:val="26"/>
          <w:lang w:val="lt-LT"/>
        </w:rPr>
        <w:t xml:space="preserve"> &lt;http://www.business.uiuc.edu/accountancy/events/symposium/audit/2006/papers/KKM_BPA_August2006.pdf&gt;</w:t>
      </w:r>
      <w:r w:rsidR="00456B63" w:rsidRPr="007928C8">
        <w:rPr>
          <w:sz w:val="26"/>
          <w:szCs w:val="26"/>
        </w:rPr>
        <w:t>.</w:t>
      </w:r>
    </w:p>
    <w:p w:rsidR="00AB535F" w:rsidRPr="007928C8" w:rsidRDefault="00AB535F"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LAKIS, Vaclovas. (2007) Audito sistema: Raida ir perspektyvos (monografija). Vilniaus Universiteto leidykla. 386 p. ISBN 978-9955-33-</w:t>
      </w:r>
      <w:r w:rsidR="00BF0CD3" w:rsidRPr="007928C8">
        <w:rPr>
          <w:sz w:val="26"/>
          <w:szCs w:val="26"/>
          <w:lang w:val="lt-LT"/>
        </w:rPr>
        <w:t>0</w:t>
      </w:r>
      <w:r w:rsidRPr="007928C8">
        <w:rPr>
          <w:sz w:val="26"/>
          <w:szCs w:val="26"/>
          <w:lang w:val="lt-LT"/>
        </w:rPr>
        <w:t>54-7.</w:t>
      </w:r>
    </w:p>
    <w:p w:rsidR="008A7AC2" w:rsidRPr="007928C8" w:rsidRDefault="008A7AC2" w:rsidP="000406FA">
      <w:pPr>
        <w:pStyle w:val="ListParagraph"/>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Laskienė</w:t>
      </w:r>
      <w:r w:rsidR="000A5390" w:rsidRPr="007928C8">
        <w:rPr>
          <w:caps/>
          <w:sz w:val="26"/>
          <w:szCs w:val="26"/>
          <w:lang w:val="lt-LT"/>
        </w:rPr>
        <w:t>,</w:t>
      </w:r>
      <w:r w:rsidRPr="007928C8">
        <w:rPr>
          <w:caps/>
          <w:sz w:val="26"/>
          <w:szCs w:val="26"/>
          <w:lang w:val="lt-LT"/>
        </w:rPr>
        <w:t xml:space="preserve"> </w:t>
      </w:r>
      <w:r w:rsidRPr="007928C8">
        <w:rPr>
          <w:sz w:val="26"/>
          <w:szCs w:val="26"/>
          <w:lang w:val="lt-LT"/>
        </w:rPr>
        <w:t>Daiva (2003).Verslo rizikos valdymo modelis: daktaro disertacija: socialiniai mokslai, ekonomika (04 S). Kaunas, p. 119.</w:t>
      </w:r>
    </w:p>
    <w:p w:rsidR="00851635" w:rsidRPr="007928C8"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LEIŠYS, D</w:t>
      </w:r>
      <w:r w:rsidR="007807DE" w:rsidRPr="007928C8">
        <w:rPr>
          <w:sz w:val="26"/>
          <w:szCs w:val="26"/>
          <w:lang w:val="lt-LT"/>
        </w:rPr>
        <w:t>onatas</w:t>
      </w:r>
      <w:r w:rsidR="006A4197" w:rsidRPr="007928C8">
        <w:rPr>
          <w:sz w:val="26"/>
          <w:szCs w:val="26"/>
          <w:lang w:val="lt-LT"/>
        </w:rPr>
        <w:t>. (2001)</w:t>
      </w:r>
      <w:r w:rsidRPr="007928C8">
        <w:rPr>
          <w:sz w:val="26"/>
          <w:szCs w:val="26"/>
          <w:lang w:val="lt-LT"/>
        </w:rPr>
        <w:t xml:space="preserve"> </w:t>
      </w:r>
      <w:r w:rsidRPr="007928C8">
        <w:rPr>
          <w:i/>
          <w:sz w:val="26"/>
          <w:szCs w:val="26"/>
          <w:lang w:val="lt-LT"/>
        </w:rPr>
        <w:t>Reikšmingumo samprata atliekant auditą</w:t>
      </w:r>
      <w:r w:rsidRPr="007928C8">
        <w:rPr>
          <w:sz w:val="26"/>
          <w:szCs w:val="26"/>
          <w:lang w:val="lt-LT"/>
        </w:rPr>
        <w:t>. Apskaitos, audito ir mokesčių aktualijos, 2001 lapkritis, Nr. 44</w:t>
      </w:r>
      <w:r w:rsidR="006A7331" w:rsidRPr="007928C8">
        <w:rPr>
          <w:sz w:val="26"/>
          <w:szCs w:val="26"/>
          <w:lang w:val="lt-LT"/>
        </w:rPr>
        <w:t xml:space="preserve"> </w:t>
      </w:r>
      <w:r w:rsidRPr="007928C8">
        <w:rPr>
          <w:sz w:val="26"/>
          <w:szCs w:val="26"/>
          <w:lang w:val="lt-LT"/>
        </w:rPr>
        <w:t>(188). P.</w:t>
      </w:r>
      <w:r w:rsidR="00AF4553">
        <w:rPr>
          <w:sz w:val="26"/>
          <w:szCs w:val="26"/>
          <w:lang w:val="lt-LT"/>
        </w:rPr>
        <w:t> </w:t>
      </w:r>
      <w:r w:rsidRPr="007928C8">
        <w:rPr>
          <w:sz w:val="26"/>
          <w:szCs w:val="26"/>
          <w:lang w:val="lt-LT"/>
        </w:rPr>
        <w:t>13.</w:t>
      </w:r>
    </w:p>
    <w:p w:rsidR="00115017" w:rsidRPr="007928C8" w:rsidRDefault="00115017"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rPr>
        <w:t>Lemon</w:t>
      </w:r>
      <w:r w:rsidRPr="007928C8">
        <w:rPr>
          <w:sz w:val="26"/>
          <w:szCs w:val="26"/>
        </w:rPr>
        <w:t>, W.</w:t>
      </w:r>
      <w:r w:rsidR="009F5A29" w:rsidRPr="007928C8">
        <w:rPr>
          <w:sz w:val="26"/>
          <w:szCs w:val="26"/>
        </w:rPr>
        <w:t xml:space="preserve"> </w:t>
      </w:r>
      <w:r w:rsidRPr="007928C8">
        <w:rPr>
          <w:sz w:val="26"/>
          <w:szCs w:val="26"/>
        </w:rPr>
        <w:t xml:space="preserve">M. (2000), </w:t>
      </w:r>
      <w:r w:rsidRPr="007928C8">
        <w:rPr>
          <w:i/>
          <w:iCs/>
          <w:sz w:val="26"/>
          <w:szCs w:val="26"/>
        </w:rPr>
        <w:t>Developments in the Audit Methodologies of Large Accounting Firms</w:t>
      </w:r>
      <w:r w:rsidRPr="007928C8">
        <w:rPr>
          <w:sz w:val="26"/>
          <w:szCs w:val="26"/>
        </w:rPr>
        <w:t>, Auditing Practices Board, London.</w:t>
      </w:r>
    </w:p>
    <w:p w:rsidR="00250561" w:rsidRPr="007928C8" w:rsidRDefault="00250561"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LEONAVIČIŪTĖ, Goda, VAŠKELAITIS, Vytautas. (2001) Verslo rizikos ir įmonės vidaus kontrolės sąveikos. </w:t>
      </w:r>
      <w:r w:rsidRPr="007928C8">
        <w:rPr>
          <w:i/>
          <w:sz w:val="26"/>
          <w:szCs w:val="26"/>
          <w:lang w:val="lt-LT"/>
        </w:rPr>
        <w:t>Inžinerinė ekonomika</w:t>
      </w:r>
      <w:r w:rsidRPr="007928C8">
        <w:rPr>
          <w:sz w:val="26"/>
          <w:szCs w:val="26"/>
          <w:lang w:val="lt-LT"/>
        </w:rPr>
        <w:t>, Kaunas: Technologija, Nr.4 (24), p. 37</w:t>
      </w:r>
      <w:r w:rsidR="005D24FE" w:rsidRPr="007928C8">
        <w:rPr>
          <w:sz w:val="26"/>
          <w:szCs w:val="26"/>
          <w:lang w:val="lt-LT"/>
        </w:rPr>
        <w:t xml:space="preserve"> – </w:t>
      </w:r>
      <w:r w:rsidRPr="007928C8">
        <w:rPr>
          <w:sz w:val="26"/>
          <w:szCs w:val="26"/>
          <w:lang w:val="lt-LT"/>
        </w:rPr>
        <w:t xml:space="preserve">41. ISSN 1392-2785. </w:t>
      </w:r>
    </w:p>
    <w:p w:rsidR="005218E1" w:rsidRPr="007928C8" w:rsidRDefault="005218E1" w:rsidP="000406FA">
      <w:pPr>
        <w:pStyle w:val="ListParagraph"/>
        <w:numPr>
          <w:ilvl w:val="0"/>
          <w:numId w:val="4"/>
        </w:numPr>
        <w:tabs>
          <w:tab w:val="clear" w:pos="720"/>
          <w:tab w:val="left" w:pos="567"/>
          <w:tab w:val="left" w:pos="709"/>
        </w:tabs>
        <w:spacing w:before="120"/>
        <w:ind w:left="567" w:hanging="567"/>
        <w:contextualSpacing w:val="0"/>
        <w:jc w:val="both"/>
        <w:rPr>
          <w:sz w:val="26"/>
          <w:szCs w:val="26"/>
          <w:lang w:val="lt-LT"/>
        </w:rPr>
      </w:pPr>
      <w:r w:rsidRPr="007928C8">
        <w:rPr>
          <w:sz w:val="26"/>
          <w:szCs w:val="26"/>
          <w:lang w:val="lt-LT"/>
        </w:rPr>
        <w:t>Lietuvos Respublikos audito įstatymas Nr. X-1676. (2008)</w:t>
      </w:r>
      <w:r w:rsidR="00FF3490" w:rsidRPr="007928C8">
        <w:rPr>
          <w:sz w:val="26"/>
          <w:szCs w:val="26"/>
          <w:lang w:val="lt-LT"/>
        </w:rPr>
        <w:t xml:space="preserve"> Priimtas 2008 m. liepos 3 d. </w:t>
      </w:r>
      <w:r w:rsidR="00FF3490" w:rsidRPr="007928C8">
        <w:rPr>
          <w:i/>
          <w:sz w:val="26"/>
          <w:szCs w:val="26"/>
          <w:lang w:val="lt-LT"/>
        </w:rPr>
        <w:t>Valstybės žinios</w:t>
      </w:r>
      <w:r w:rsidR="00FF3490" w:rsidRPr="007928C8">
        <w:rPr>
          <w:sz w:val="26"/>
          <w:szCs w:val="26"/>
          <w:lang w:val="lt-LT"/>
        </w:rPr>
        <w:t>, liepos 19</w:t>
      </w:r>
      <w:r w:rsidR="00FF3490" w:rsidRPr="007928C8">
        <w:rPr>
          <w:bCs/>
          <w:sz w:val="26"/>
          <w:szCs w:val="26"/>
        </w:rPr>
        <w:t>, Nr. 82-3233.</w:t>
      </w:r>
    </w:p>
    <w:p w:rsidR="00311114" w:rsidRPr="007928C8" w:rsidRDefault="00311114" w:rsidP="000406FA">
      <w:pPr>
        <w:pStyle w:val="ListParagraph"/>
        <w:numPr>
          <w:ilvl w:val="0"/>
          <w:numId w:val="4"/>
        </w:numPr>
        <w:tabs>
          <w:tab w:val="clear" w:pos="720"/>
          <w:tab w:val="left" w:pos="567"/>
          <w:tab w:val="left" w:pos="709"/>
        </w:tabs>
        <w:spacing w:before="120"/>
        <w:ind w:left="567" w:hanging="567"/>
        <w:contextualSpacing w:val="0"/>
        <w:jc w:val="both"/>
        <w:rPr>
          <w:sz w:val="26"/>
          <w:szCs w:val="26"/>
          <w:lang w:val="lt-LT"/>
        </w:rPr>
      </w:pPr>
      <w:r w:rsidRPr="007928C8">
        <w:rPr>
          <w:sz w:val="26"/>
          <w:szCs w:val="26"/>
          <w:lang w:val="lt-LT"/>
        </w:rPr>
        <w:t xml:space="preserve">Lietuvos Respublikos elektros energetikos įstatymas </w:t>
      </w:r>
      <w:r w:rsidRPr="007928C8">
        <w:rPr>
          <w:iCs/>
          <w:sz w:val="26"/>
          <w:szCs w:val="26"/>
        </w:rPr>
        <w:t xml:space="preserve">Nr. IX-2307. </w:t>
      </w:r>
      <w:r w:rsidRPr="007928C8">
        <w:rPr>
          <w:sz w:val="26"/>
          <w:szCs w:val="26"/>
          <w:lang w:val="lt-LT"/>
        </w:rPr>
        <w:t>(</w:t>
      </w:r>
      <w:r w:rsidRPr="007928C8">
        <w:rPr>
          <w:iCs/>
          <w:sz w:val="26"/>
          <w:szCs w:val="26"/>
        </w:rPr>
        <w:t xml:space="preserve">2004) </w:t>
      </w:r>
      <w:r w:rsidRPr="007928C8">
        <w:rPr>
          <w:iCs/>
          <w:sz w:val="26"/>
          <w:szCs w:val="26"/>
          <w:lang w:val="lt-LT"/>
        </w:rPr>
        <w:t xml:space="preserve">Priimtas 2004 m. liepos 1 d. </w:t>
      </w:r>
      <w:r w:rsidRPr="007928C8">
        <w:rPr>
          <w:bCs/>
          <w:i/>
          <w:sz w:val="26"/>
          <w:szCs w:val="26"/>
          <w:lang w:val="lt-LT"/>
        </w:rPr>
        <w:t>Valstybės žinios</w:t>
      </w:r>
      <w:r w:rsidRPr="007928C8">
        <w:rPr>
          <w:bCs/>
          <w:sz w:val="26"/>
          <w:szCs w:val="26"/>
          <w:lang w:val="lt-LT"/>
        </w:rPr>
        <w:t>, liepos 10, Nr. 107-3964.</w:t>
      </w:r>
    </w:p>
    <w:p w:rsidR="00FF3490" w:rsidRPr="007928C8" w:rsidRDefault="00311114" w:rsidP="000406FA">
      <w:pPr>
        <w:pStyle w:val="ListParagraph"/>
        <w:numPr>
          <w:ilvl w:val="0"/>
          <w:numId w:val="4"/>
        </w:numPr>
        <w:tabs>
          <w:tab w:val="clear" w:pos="720"/>
          <w:tab w:val="left" w:pos="567"/>
          <w:tab w:val="left" w:pos="709"/>
        </w:tabs>
        <w:spacing w:before="120"/>
        <w:ind w:left="567" w:hanging="567"/>
        <w:contextualSpacing w:val="0"/>
        <w:jc w:val="both"/>
        <w:rPr>
          <w:sz w:val="26"/>
          <w:szCs w:val="26"/>
          <w:lang w:val="lt-LT"/>
        </w:rPr>
      </w:pPr>
      <w:r w:rsidRPr="007928C8">
        <w:rPr>
          <w:sz w:val="26"/>
          <w:szCs w:val="26"/>
          <w:lang w:val="lt-LT"/>
        </w:rPr>
        <w:t xml:space="preserve">Lietuvos Respublikos </w:t>
      </w:r>
      <w:r w:rsidR="00FF3490" w:rsidRPr="007928C8">
        <w:rPr>
          <w:sz w:val="26"/>
          <w:szCs w:val="26"/>
          <w:lang w:val="lt-LT"/>
        </w:rPr>
        <w:t xml:space="preserve">šilumos ūkio įstatymas Nr. X-1329. (2007) Priimtas 2007 m. lapkričio 20 d. </w:t>
      </w:r>
      <w:r w:rsidR="00FF3490" w:rsidRPr="007928C8">
        <w:rPr>
          <w:bCs/>
          <w:i/>
          <w:sz w:val="26"/>
          <w:szCs w:val="26"/>
          <w:lang w:val="lt-LT"/>
        </w:rPr>
        <w:t>Valstybės žinios</w:t>
      </w:r>
      <w:r w:rsidR="00FF3490" w:rsidRPr="007928C8">
        <w:rPr>
          <w:bCs/>
          <w:sz w:val="26"/>
          <w:szCs w:val="26"/>
          <w:lang w:val="lt-LT"/>
        </w:rPr>
        <w:t>, gruodžio 11, Nr. 130-5259.</w:t>
      </w:r>
    </w:p>
    <w:p w:rsidR="008A7AC2" w:rsidRPr="007928C8" w:rsidRDefault="008A7AC2" w:rsidP="000406FA">
      <w:pPr>
        <w:pStyle w:val="ListParagraph"/>
        <w:numPr>
          <w:ilvl w:val="0"/>
          <w:numId w:val="4"/>
        </w:numPr>
        <w:tabs>
          <w:tab w:val="clear" w:pos="720"/>
          <w:tab w:val="left" w:pos="567"/>
          <w:tab w:val="left" w:pos="709"/>
        </w:tabs>
        <w:spacing w:before="120"/>
        <w:ind w:left="567" w:hanging="567"/>
        <w:contextualSpacing w:val="0"/>
        <w:jc w:val="both"/>
        <w:rPr>
          <w:sz w:val="26"/>
          <w:szCs w:val="26"/>
          <w:lang w:val="lt-LT"/>
        </w:rPr>
      </w:pPr>
      <w:r w:rsidRPr="007928C8">
        <w:rPr>
          <w:caps/>
          <w:sz w:val="26"/>
          <w:szCs w:val="26"/>
          <w:lang w:val="lt-LT"/>
        </w:rPr>
        <w:lastRenderedPageBreak/>
        <w:t>Lydeka</w:t>
      </w:r>
      <w:r w:rsidR="00AD12C9" w:rsidRPr="007928C8">
        <w:rPr>
          <w:caps/>
          <w:sz w:val="26"/>
          <w:szCs w:val="26"/>
          <w:lang w:val="lt-LT"/>
        </w:rPr>
        <w:t>,</w:t>
      </w:r>
      <w:r w:rsidRPr="007928C8">
        <w:rPr>
          <w:caps/>
          <w:sz w:val="26"/>
          <w:szCs w:val="26"/>
          <w:lang w:val="lt-LT"/>
        </w:rPr>
        <w:t xml:space="preserve"> </w:t>
      </w:r>
      <w:r w:rsidR="00AD12C9" w:rsidRPr="007928C8">
        <w:rPr>
          <w:sz w:val="26"/>
          <w:szCs w:val="26"/>
          <w:lang w:val="lt-LT"/>
        </w:rPr>
        <w:t>Zigmas;</w:t>
      </w:r>
      <w:r w:rsidRPr="007928C8">
        <w:rPr>
          <w:sz w:val="26"/>
          <w:szCs w:val="26"/>
          <w:lang w:val="lt-LT"/>
        </w:rPr>
        <w:t xml:space="preserve"> </w:t>
      </w:r>
      <w:r w:rsidRPr="007928C8">
        <w:rPr>
          <w:caps/>
          <w:sz w:val="26"/>
          <w:szCs w:val="26"/>
          <w:lang w:val="lt-LT"/>
        </w:rPr>
        <w:t>Drilingas</w:t>
      </w:r>
      <w:r w:rsidR="00AD12C9" w:rsidRPr="007928C8">
        <w:rPr>
          <w:caps/>
          <w:sz w:val="26"/>
          <w:szCs w:val="26"/>
          <w:lang w:val="lt-LT"/>
        </w:rPr>
        <w:t>,</w:t>
      </w:r>
      <w:r w:rsidRPr="007928C8">
        <w:rPr>
          <w:caps/>
          <w:sz w:val="26"/>
          <w:szCs w:val="26"/>
          <w:lang w:val="lt-LT"/>
        </w:rPr>
        <w:t xml:space="preserve"> </w:t>
      </w:r>
      <w:r w:rsidRPr="007928C8">
        <w:rPr>
          <w:sz w:val="26"/>
          <w:szCs w:val="26"/>
          <w:lang w:val="lt-LT"/>
        </w:rPr>
        <w:t>Boleslovas (2002). Firmos ekonomikos pagrindai. 2-oji papild. ir patais. laida. Vilnius: Pačiolis, p.</w:t>
      </w:r>
      <w:r w:rsidR="00AF4553">
        <w:rPr>
          <w:sz w:val="26"/>
          <w:szCs w:val="26"/>
          <w:lang w:val="lt-LT"/>
        </w:rPr>
        <w:t> </w:t>
      </w:r>
      <w:r w:rsidRPr="007928C8">
        <w:rPr>
          <w:sz w:val="26"/>
          <w:szCs w:val="26"/>
          <w:lang w:val="lt-LT"/>
        </w:rPr>
        <w:t>311. ISBN 9955-04-054-8</w:t>
      </w:r>
    </w:p>
    <w:p w:rsidR="00430FEA" w:rsidRPr="007928C8" w:rsidRDefault="00430FEA"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LIUČVAITIS, Stanislovas</w:t>
      </w:r>
      <w:r w:rsidR="00250561" w:rsidRPr="007928C8">
        <w:rPr>
          <w:sz w:val="26"/>
          <w:szCs w:val="26"/>
          <w:lang w:val="lt-LT"/>
        </w:rPr>
        <w:t>.</w:t>
      </w:r>
      <w:r w:rsidRPr="007928C8">
        <w:rPr>
          <w:sz w:val="26"/>
          <w:szCs w:val="26"/>
          <w:lang w:val="lt-LT"/>
        </w:rPr>
        <w:t xml:space="preserve"> (2003) Rizikos valdymas ir jos analizės svarba verslo plėtotei. </w:t>
      </w:r>
      <w:r w:rsidRPr="007928C8">
        <w:rPr>
          <w:i/>
          <w:sz w:val="26"/>
          <w:szCs w:val="26"/>
          <w:lang w:val="lt-LT"/>
        </w:rPr>
        <w:t xml:space="preserve">Verslas: teorija ir praktika, </w:t>
      </w:r>
      <w:r w:rsidRPr="007928C8">
        <w:rPr>
          <w:sz w:val="26"/>
          <w:szCs w:val="26"/>
          <w:lang w:val="lt-LT"/>
        </w:rPr>
        <w:t>Vilniaus Gedimino technikos universitetas, IV tomas Nr.1, p. 25 – 35.</w:t>
      </w:r>
    </w:p>
    <w:p w:rsidR="00844B03" w:rsidRPr="007928C8" w:rsidRDefault="001C0A82"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 xml:space="preserve">LLOYD, </w:t>
      </w:r>
      <w:r w:rsidRPr="007928C8">
        <w:rPr>
          <w:sz w:val="26"/>
          <w:szCs w:val="26"/>
        </w:rPr>
        <w:t>Paul</w:t>
      </w:r>
      <w:r w:rsidR="00631E0C" w:rsidRPr="007928C8">
        <w:rPr>
          <w:sz w:val="26"/>
          <w:szCs w:val="26"/>
          <w:lang w:val="lt-LT"/>
        </w:rPr>
        <w:t>.</w:t>
      </w:r>
      <w:r w:rsidRPr="007928C8">
        <w:rPr>
          <w:sz w:val="26"/>
          <w:szCs w:val="26"/>
          <w:lang w:val="lt-LT"/>
        </w:rPr>
        <w:t xml:space="preserve"> (</w:t>
      </w:r>
      <w:r w:rsidR="00CD555A" w:rsidRPr="007928C8">
        <w:rPr>
          <w:sz w:val="26"/>
          <w:szCs w:val="26"/>
          <w:lang w:val="lt-LT"/>
        </w:rPr>
        <w:t>2003</w:t>
      </w:r>
      <w:r w:rsidR="00844B03" w:rsidRPr="007928C8">
        <w:rPr>
          <w:sz w:val="26"/>
          <w:szCs w:val="26"/>
          <w:lang w:val="lt-LT"/>
        </w:rPr>
        <w:t xml:space="preserve">) </w:t>
      </w:r>
      <w:r w:rsidR="00844B03" w:rsidRPr="007928C8">
        <w:rPr>
          <w:sz w:val="26"/>
          <w:szCs w:val="26"/>
        </w:rPr>
        <w:t>Modelling of Audit Risk Assessments: Explorati</w:t>
      </w:r>
      <w:r w:rsidR="00AA7A91" w:rsidRPr="007928C8">
        <w:rPr>
          <w:sz w:val="26"/>
          <w:szCs w:val="26"/>
        </w:rPr>
        <w:t>on</w:t>
      </w:r>
      <w:r w:rsidR="00844B03" w:rsidRPr="007928C8">
        <w:rPr>
          <w:sz w:val="26"/>
          <w:szCs w:val="26"/>
        </w:rPr>
        <w:t xml:space="preserve"> of an Alternative to the Use of Knowledge Based System</w:t>
      </w:r>
      <w:r w:rsidR="00CD555A" w:rsidRPr="007928C8">
        <w:rPr>
          <w:sz w:val="26"/>
          <w:szCs w:val="26"/>
        </w:rPr>
        <w:t>. I</w:t>
      </w:r>
      <w:r w:rsidR="00CD555A" w:rsidRPr="007928C8">
        <w:rPr>
          <w:sz w:val="26"/>
          <w:szCs w:val="26"/>
          <w:lang w:val="lt-LT"/>
        </w:rPr>
        <w:t xml:space="preserve">š </w:t>
      </w:r>
      <w:r w:rsidR="00CD555A" w:rsidRPr="007928C8">
        <w:rPr>
          <w:sz w:val="26"/>
          <w:szCs w:val="26"/>
        </w:rPr>
        <w:t>International Journal of Auditing.</w:t>
      </w:r>
      <w:r w:rsidR="00844B03" w:rsidRPr="007928C8">
        <w:rPr>
          <w:sz w:val="26"/>
          <w:szCs w:val="26"/>
          <w:lang w:val="lt-LT"/>
        </w:rPr>
        <w:t xml:space="preserve"> </w:t>
      </w:r>
      <w:r w:rsidR="00844B03" w:rsidRPr="007928C8">
        <w:rPr>
          <w:sz w:val="26"/>
          <w:szCs w:val="26"/>
        </w:rPr>
        <w:t xml:space="preserve">[interaktyvus]. </w:t>
      </w:r>
      <w:r w:rsidR="00CD555A" w:rsidRPr="007928C8">
        <w:rPr>
          <w:sz w:val="26"/>
          <w:szCs w:val="26"/>
        </w:rPr>
        <w:t xml:space="preserve">March, vol. 7, issue 1 </w:t>
      </w:r>
      <w:r w:rsidR="00AA7A91" w:rsidRPr="007928C8">
        <w:rPr>
          <w:sz w:val="26"/>
          <w:szCs w:val="26"/>
          <w:lang w:val="lt-LT"/>
        </w:rPr>
        <w:t>[žiūrėta 2006 m. sausio 17 d.]</w:t>
      </w:r>
      <w:r w:rsidR="00CD555A" w:rsidRPr="007928C8">
        <w:rPr>
          <w:sz w:val="26"/>
          <w:szCs w:val="26"/>
          <w:lang w:val="lt-LT"/>
        </w:rPr>
        <w:t>, p.</w:t>
      </w:r>
      <w:r w:rsidR="007E72CD" w:rsidRPr="007928C8">
        <w:rPr>
          <w:sz w:val="26"/>
          <w:szCs w:val="26"/>
          <w:lang w:val="lt-LT"/>
        </w:rPr>
        <w:t xml:space="preserve"> </w:t>
      </w:r>
      <w:r w:rsidR="00CD555A" w:rsidRPr="007928C8">
        <w:rPr>
          <w:sz w:val="26"/>
          <w:szCs w:val="26"/>
          <w:lang w:val="lt-LT"/>
        </w:rPr>
        <w:t>21</w:t>
      </w:r>
      <w:r w:rsidR="007E72CD" w:rsidRPr="007928C8">
        <w:rPr>
          <w:sz w:val="26"/>
          <w:szCs w:val="26"/>
          <w:lang w:val="lt-LT"/>
        </w:rPr>
        <w:t xml:space="preserve"> – 47</w:t>
      </w:r>
      <w:r w:rsidR="00AA7A91" w:rsidRPr="007928C8">
        <w:rPr>
          <w:sz w:val="26"/>
          <w:szCs w:val="26"/>
          <w:lang w:val="lt-LT"/>
        </w:rPr>
        <w:t xml:space="preserve">. </w:t>
      </w:r>
      <w:r w:rsidR="00844B03" w:rsidRPr="007928C8">
        <w:rPr>
          <w:sz w:val="26"/>
          <w:szCs w:val="26"/>
        </w:rPr>
        <w:t>Prie</w:t>
      </w:r>
      <w:r w:rsidR="00DC5615" w:rsidRPr="007928C8">
        <w:rPr>
          <w:sz w:val="26"/>
          <w:szCs w:val="26"/>
        </w:rPr>
        <w:t>i</w:t>
      </w:r>
      <w:r w:rsidR="00844B03" w:rsidRPr="007928C8">
        <w:rPr>
          <w:sz w:val="26"/>
          <w:szCs w:val="26"/>
        </w:rPr>
        <w:t xml:space="preserve">ga per internetą: </w:t>
      </w:r>
      <w:r w:rsidR="00976721" w:rsidRPr="007928C8">
        <w:rPr>
          <w:sz w:val="26"/>
          <w:szCs w:val="26"/>
        </w:rPr>
        <w:t>&lt;</w:t>
      </w:r>
      <w:r w:rsidR="00DC5615" w:rsidRPr="007928C8">
        <w:rPr>
          <w:sz w:val="26"/>
          <w:szCs w:val="26"/>
        </w:rPr>
        <w:t>http://</w:t>
      </w:r>
      <w:r w:rsidR="00844B03" w:rsidRPr="007928C8">
        <w:rPr>
          <w:sz w:val="26"/>
          <w:szCs w:val="26"/>
        </w:rPr>
        <w:t>www.</w:t>
      </w:r>
      <w:r w:rsidR="00AA7A91" w:rsidRPr="007928C8">
        <w:rPr>
          <w:sz w:val="26"/>
          <w:szCs w:val="26"/>
        </w:rPr>
        <w:t>af.ecel.uwa.edu.au/-data/page/9427/99-106.pdf</w:t>
      </w:r>
      <w:r w:rsidR="00976721" w:rsidRPr="007928C8">
        <w:rPr>
          <w:sz w:val="26"/>
          <w:szCs w:val="26"/>
        </w:rPr>
        <w:t>&gt;</w:t>
      </w:r>
      <w:r w:rsidR="00844B03" w:rsidRPr="007928C8">
        <w:rPr>
          <w:sz w:val="26"/>
          <w:szCs w:val="26"/>
        </w:rPr>
        <w:t>.</w:t>
      </w:r>
    </w:p>
    <w:p w:rsidR="00DC5615" w:rsidRPr="007928C8" w:rsidRDefault="00427AFE" w:rsidP="000406FA">
      <w:pPr>
        <w:numPr>
          <w:ilvl w:val="0"/>
          <w:numId w:val="4"/>
        </w:numPr>
        <w:tabs>
          <w:tab w:val="clear" w:pos="720"/>
          <w:tab w:val="left" w:pos="567"/>
          <w:tab w:val="left" w:pos="709"/>
        </w:tabs>
        <w:spacing w:before="120"/>
        <w:ind w:left="567" w:hanging="567"/>
        <w:jc w:val="both"/>
        <w:rPr>
          <w:sz w:val="26"/>
          <w:szCs w:val="26"/>
        </w:rPr>
      </w:pPr>
      <w:r w:rsidRPr="007928C8">
        <w:rPr>
          <w:caps/>
          <w:sz w:val="26"/>
          <w:szCs w:val="26"/>
        </w:rPr>
        <w:t>Long,</w:t>
      </w:r>
      <w:r w:rsidRPr="007928C8">
        <w:rPr>
          <w:sz w:val="26"/>
          <w:szCs w:val="26"/>
        </w:rPr>
        <w:t xml:space="preserve"> Gerard. </w:t>
      </w:r>
      <w:r w:rsidR="00844B03" w:rsidRPr="007928C8">
        <w:rPr>
          <w:sz w:val="26"/>
          <w:szCs w:val="26"/>
        </w:rPr>
        <w:t xml:space="preserve">(1999) </w:t>
      </w:r>
      <w:r w:rsidRPr="007928C8">
        <w:rPr>
          <w:sz w:val="26"/>
          <w:szCs w:val="26"/>
        </w:rPr>
        <w:t xml:space="preserve">Audit risk. [interaktyvus]. 1 November 1999. </w:t>
      </w:r>
      <w:r w:rsidR="00AA7A91" w:rsidRPr="007928C8">
        <w:rPr>
          <w:sz w:val="26"/>
          <w:szCs w:val="26"/>
          <w:lang w:val="lt-LT"/>
        </w:rPr>
        <w:t xml:space="preserve">[žiūrėta 2006 m. sausio 17 d.] </w:t>
      </w:r>
      <w:r w:rsidR="00DC5615" w:rsidRPr="007928C8">
        <w:rPr>
          <w:sz w:val="26"/>
          <w:szCs w:val="26"/>
        </w:rPr>
        <w:t>Prieiga</w:t>
      </w:r>
      <w:r w:rsidRPr="007928C8">
        <w:rPr>
          <w:sz w:val="26"/>
          <w:szCs w:val="26"/>
        </w:rPr>
        <w:t xml:space="preserve"> per internetą: </w:t>
      </w:r>
      <w:r w:rsidR="00976721" w:rsidRPr="007928C8">
        <w:rPr>
          <w:sz w:val="26"/>
          <w:szCs w:val="26"/>
        </w:rPr>
        <w:t>&lt;</w:t>
      </w:r>
      <w:r w:rsidRPr="007928C8">
        <w:rPr>
          <w:sz w:val="26"/>
          <w:szCs w:val="26"/>
        </w:rPr>
        <w:t>http://www.accaglobal.com/publications/studentaccountant/3915</w:t>
      </w:r>
      <w:r w:rsidR="00976721" w:rsidRPr="007928C8">
        <w:rPr>
          <w:sz w:val="26"/>
          <w:szCs w:val="26"/>
        </w:rPr>
        <w:t>&gt;</w:t>
      </w:r>
      <w:r w:rsidR="00293E83" w:rsidRPr="007928C8">
        <w:rPr>
          <w:sz w:val="26"/>
          <w:szCs w:val="26"/>
        </w:rPr>
        <w:t xml:space="preserve"> </w:t>
      </w:r>
      <w:r w:rsidRPr="007928C8">
        <w:rPr>
          <w:sz w:val="26"/>
          <w:szCs w:val="26"/>
        </w:rPr>
        <w:t>.</w:t>
      </w:r>
    </w:p>
    <w:p w:rsidR="009F1845" w:rsidRPr="007928C8" w:rsidRDefault="00C95982"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rPr>
        <w:t>LUOBIKIENĖ</w:t>
      </w:r>
      <w:r w:rsidR="00AD12C9" w:rsidRPr="007928C8">
        <w:rPr>
          <w:sz w:val="26"/>
          <w:szCs w:val="26"/>
        </w:rPr>
        <w:t>,</w:t>
      </w:r>
      <w:r w:rsidRPr="007928C8">
        <w:rPr>
          <w:sz w:val="26"/>
          <w:szCs w:val="26"/>
        </w:rPr>
        <w:t xml:space="preserve"> Irena. (2002). </w:t>
      </w:r>
      <w:r w:rsidRPr="007928C8">
        <w:rPr>
          <w:color w:val="000000"/>
          <w:sz w:val="26"/>
          <w:szCs w:val="26"/>
          <w:lang w:val="lt-LT"/>
        </w:rPr>
        <w:t>Sociologinių tyrimų</w:t>
      </w:r>
      <w:r w:rsidRPr="007928C8">
        <w:rPr>
          <w:color w:val="000000"/>
          <w:sz w:val="26"/>
          <w:szCs w:val="26"/>
        </w:rPr>
        <w:t xml:space="preserve"> </w:t>
      </w:r>
      <w:r w:rsidRPr="007928C8">
        <w:rPr>
          <w:color w:val="000000"/>
          <w:sz w:val="26"/>
          <w:szCs w:val="26"/>
          <w:lang w:val="lt-LT"/>
        </w:rPr>
        <w:t>metodika</w:t>
      </w:r>
      <w:r w:rsidRPr="007928C8">
        <w:rPr>
          <w:color w:val="000000"/>
          <w:sz w:val="26"/>
          <w:szCs w:val="26"/>
        </w:rPr>
        <w:t xml:space="preserve">. Kaunas: </w:t>
      </w:r>
      <w:r w:rsidRPr="007928C8">
        <w:rPr>
          <w:color w:val="000000"/>
          <w:sz w:val="26"/>
          <w:szCs w:val="26"/>
          <w:lang w:val="lt-LT"/>
        </w:rPr>
        <w:t>Technologija</w:t>
      </w:r>
      <w:r w:rsidRPr="007928C8">
        <w:rPr>
          <w:color w:val="000000"/>
          <w:sz w:val="26"/>
          <w:szCs w:val="26"/>
        </w:rPr>
        <w:t>, p 135. ISBN 9955-09-281-5</w:t>
      </w:r>
    </w:p>
    <w:p w:rsidR="00CC5CD9" w:rsidRPr="00CC5CD9" w:rsidRDefault="00AD12C9" w:rsidP="000406FA">
      <w:pPr>
        <w:numPr>
          <w:ilvl w:val="0"/>
          <w:numId w:val="4"/>
        </w:numPr>
        <w:tabs>
          <w:tab w:val="clear" w:pos="720"/>
          <w:tab w:val="left" w:pos="567"/>
          <w:tab w:val="left" w:pos="709"/>
        </w:tabs>
        <w:spacing w:before="120"/>
        <w:ind w:left="567" w:hanging="567"/>
        <w:jc w:val="both"/>
        <w:rPr>
          <w:rStyle w:val="HTMLCite"/>
          <w:i w:val="0"/>
          <w:iCs w:val="0"/>
          <w:sz w:val="26"/>
          <w:szCs w:val="26"/>
        </w:rPr>
      </w:pPr>
      <w:r w:rsidRPr="007928C8">
        <w:rPr>
          <w:sz w:val="26"/>
          <w:szCs w:val="26"/>
          <w:lang w:val="lt-LT"/>
        </w:rPr>
        <w:t xml:space="preserve">LUSCOMBE, </w:t>
      </w:r>
      <w:r w:rsidR="00D66046" w:rsidRPr="007928C8">
        <w:rPr>
          <w:sz w:val="26"/>
          <w:szCs w:val="26"/>
        </w:rPr>
        <w:t>Nelson</w:t>
      </w:r>
      <w:r w:rsidR="006A4197" w:rsidRPr="007928C8">
        <w:rPr>
          <w:sz w:val="26"/>
          <w:szCs w:val="26"/>
        </w:rPr>
        <w:t>.</w:t>
      </w:r>
      <w:r w:rsidR="00D66046" w:rsidRPr="007928C8">
        <w:rPr>
          <w:sz w:val="26"/>
          <w:szCs w:val="26"/>
          <w:lang w:val="lt-LT"/>
        </w:rPr>
        <w:t xml:space="preserve"> (1995) </w:t>
      </w:r>
      <w:r w:rsidR="00D66046" w:rsidRPr="007928C8">
        <w:rPr>
          <w:sz w:val="26"/>
          <w:szCs w:val="26"/>
        </w:rPr>
        <w:t>CoCo‘s control framework</w:t>
      </w:r>
      <w:r w:rsidR="00D66046" w:rsidRPr="007928C8">
        <w:rPr>
          <w:sz w:val="26"/>
          <w:szCs w:val="26"/>
          <w:lang w:val="lt-LT"/>
        </w:rPr>
        <w:t xml:space="preserve">. Iš </w:t>
      </w:r>
      <w:r w:rsidR="00D66046" w:rsidRPr="007928C8">
        <w:rPr>
          <w:i/>
          <w:sz w:val="26"/>
          <w:szCs w:val="26"/>
          <w:lang w:val="lt-LT"/>
        </w:rPr>
        <w:t>C</w:t>
      </w:r>
      <w:r w:rsidR="00091110" w:rsidRPr="007928C8">
        <w:rPr>
          <w:i/>
          <w:sz w:val="26"/>
          <w:szCs w:val="26"/>
          <w:lang w:val="lt-LT"/>
        </w:rPr>
        <w:t>A</w:t>
      </w:r>
      <w:r w:rsidR="00D66046" w:rsidRPr="007928C8">
        <w:rPr>
          <w:i/>
          <w:sz w:val="26"/>
          <w:szCs w:val="26"/>
          <w:lang w:val="lt-LT"/>
        </w:rPr>
        <w:t xml:space="preserve"> Magazine</w:t>
      </w:r>
      <w:r w:rsidR="00D66046" w:rsidRPr="007928C8">
        <w:rPr>
          <w:sz w:val="26"/>
          <w:szCs w:val="26"/>
          <w:lang w:val="lt-LT"/>
        </w:rPr>
        <w:t xml:space="preserve">. [interaktyvus]. </w:t>
      </w:r>
      <w:r w:rsidR="00D66046" w:rsidRPr="007928C8">
        <w:rPr>
          <w:sz w:val="26"/>
          <w:szCs w:val="26"/>
        </w:rPr>
        <w:t>December</w:t>
      </w:r>
      <w:r w:rsidR="00D66046" w:rsidRPr="007928C8">
        <w:rPr>
          <w:sz w:val="26"/>
          <w:szCs w:val="26"/>
          <w:lang w:val="lt-LT"/>
        </w:rPr>
        <w:t>, [žiūrėta 200</w:t>
      </w:r>
      <w:r w:rsidR="00DC5615" w:rsidRPr="007928C8">
        <w:rPr>
          <w:sz w:val="26"/>
          <w:szCs w:val="26"/>
          <w:lang w:val="lt-LT"/>
        </w:rPr>
        <w:t>8</w:t>
      </w:r>
      <w:r w:rsidR="00D66046" w:rsidRPr="007928C8">
        <w:rPr>
          <w:sz w:val="26"/>
          <w:szCs w:val="26"/>
          <w:lang w:val="lt-LT"/>
        </w:rPr>
        <w:t xml:space="preserve"> m. </w:t>
      </w:r>
      <w:r w:rsidR="00DC5615" w:rsidRPr="007928C8">
        <w:rPr>
          <w:sz w:val="26"/>
          <w:szCs w:val="26"/>
          <w:lang w:val="lt-LT"/>
        </w:rPr>
        <w:t xml:space="preserve">rugpjūčio </w:t>
      </w:r>
      <w:r w:rsidR="00D66046" w:rsidRPr="007928C8">
        <w:rPr>
          <w:sz w:val="26"/>
          <w:szCs w:val="26"/>
          <w:lang w:val="lt-LT"/>
        </w:rPr>
        <w:t>1</w:t>
      </w:r>
      <w:r w:rsidR="00DC5615" w:rsidRPr="007928C8">
        <w:rPr>
          <w:sz w:val="26"/>
          <w:szCs w:val="26"/>
          <w:lang w:val="lt-LT"/>
        </w:rPr>
        <w:t>6</w:t>
      </w:r>
      <w:r w:rsidR="00D66046" w:rsidRPr="007928C8">
        <w:rPr>
          <w:sz w:val="26"/>
          <w:szCs w:val="26"/>
          <w:lang w:val="lt-LT"/>
        </w:rPr>
        <w:t xml:space="preserve"> d.], p. </w:t>
      </w:r>
      <w:r w:rsidR="00DC5615" w:rsidRPr="007928C8">
        <w:rPr>
          <w:sz w:val="26"/>
          <w:szCs w:val="26"/>
          <w:lang w:val="lt-LT"/>
        </w:rPr>
        <w:t>3</w:t>
      </w:r>
      <w:r w:rsidR="00D66046" w:rsidRPr="007928C8">
        <w:rPr>
          <w:sz w:val="26"/>
          <w:szCs w:val="26"/>
          <w:lang w:val="lt-LT"/>
        </w:rPr>
        <w:t xml:space="preserve">. </w:t>
      </w:r>
      <w:r w:rsidR="00D66046" w:rsidRPr="007928C8">
        <w:rPr>
          <w:sz w:val="26"/>
          <w:szCs w:val="26"/>
        </w:rPr>
        <w:t>Prie</w:t>
      </w:r>
      <w:r w:rsidR="00DC5615" w:rsidRPr="007928C8">
        <w:rPr>
          <w:sz w:val="26"/>
          <w:szCs w:val="26"/>
        </w:rPr>
        <w:t>i</w:t>
      </w:r>
      <w:r w:rsidR="00D66046" w:rsidRPr="007928C8">
        <w:rPr>
          <w:sz w:val="26"/>
          <w:szCs w:val="26"/>
        </w:rPr>
        <w:t>ga per internetą: &lt;</w:t>
      </w:r>
      <w:r w:rsidR="00DC5615" w:rsidRPr="007928C8">
        <w:rPr>
          <w:sz w:val="26"/>
          <w:szCs w:val="26"/>
        </w:rPr>
        <w:t>http://</w:t>
      </w:r>
      <w:r w:rsidR="00DC5615" w:rsidRPr="007928C8">
        <w:rPr>
          <w:rStyle w:val="HTMLCite"/>
          <w:sz w:val="26"/>
          <w:szCs w:val="26"/>
        </w:rPr>
        <w:t>www.camagazine.com/</w:t>
      </w:r>
      <w:r w:rsidR="00DC5615" w:rsidRPr="00CC5CD9">
        <w:rPr>
          <w:rStyle w:val="HTMLCite"/>
          <w:sz w:val="26"/>
          <w:szCs w:val="26"/>
        </w:rPr>
        <w:t>index.cfm/ci_id/</w:t>
      </w:r>
    </w:p>
    <w:p w:rsidR="00DC5615" w:rsidRPr="00CC5CD9" w:rsidRDefault="00DC5615" w:rsidP="000406FA">
      <w:pPr>
        <w:tabs>
          <w:tab w:val="left" w:pos="567"/>
          <w:tab w:val="left" w:pos="709"/>
        </w:tabs>
        <w:spacing w:before="120"/>
        <w:ind w:left="567"/>
        <w:jc w:val="both"/>
        <w:rPr>
          <w:sz w:val="26"/>
          <w:szCs w:val="26"/>
        </w:rPr>
      </w:pPr>
      <w:r w:rsidRPr="00CC5CD9">
        <w:rPr>
          <w:rStyle w:val="HTMLCite"/>
          <w:sz w:val="26"/>
          <w:szCs w:val="26"/>
        </w:rPr>
        <w:t xml:space="preserve">4669/la_id/1.htm&gt; </w:t>
      </w:r>
    </w:p>
    <w:p w:rsidR="006F2335" w:rsidRPr="007928C8" w:rsidRDefault="006F2335"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rPr>
        <w:t xml:space="preserve">LYNN, Guy. (2005) </w:t>
      </w:r>
      <w:r w:rsidRPr="007928C8">
        <w:rPr>
          <w:i/>
          <w:sz w:val="26"/>
          <w:szCs w:val="26"/>
        </w:rPr>
        <w:t>A Dictionary of Accounting and Auditing (10000 + accounting and auditing terms currently used in the USA, UK, Ca</w:t>
      </w:r>
      <w:r w:rsidR="00D905EF" w:rsidRPr="007928C8">
        <w:rPr>
          <w:i/>
          <w:sz w:val="26"/>
          <w:szCs w:val="26"/>
        </w:rPr>
        <w:t>n</w:t>
      </w:r>
      <w:r w:rsidRPr="007928C8">
        <w:rPr>
          <w:i/>
          <w:sz w:val="26"/>
          <w:szCs w:val="26"/>
        </w:rPr>
        <w:t>ada and Australia).</w:t>
      </w:r>
      <w:r w:rsidRPr="007928C8">
        <w:rPr>
          <w:sz w:val="26"/>
          <w:szCs w:val="26"/>
        </w:rPr>
        <w:t xml:space="preserve"> </w:t>
      </w:r>
      <w:r w:rsidR="00D905EF" w:rsidRPr="007928C8">
        <w:rPr>
          <w:sz w:val="26"/>
          <w:szCs w:val="26"/>
        </w:rPr>
        <w:t>Xlibris Corporation, 424 p. ISBN 0-97441-844-7.</w:t>
      </w:r>
    </w:p>
    <w:p w:rsidR="00B733D5" w:rsidRPr="007928C8" w:rsidRDefault="00B733D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MACKEVIČIUS, Jonas. (1994) </w:t>
      </w:r>
      <w:r w:rsidRPr="007928C8">
        <w:rPr>
          <w:i/>
          <w:sz w:val="26"/>
          <w:szCs w:val="26"/>
          <w:lang w:val="lt-LT"/>
        </w:rPr>
        <w:t>Audito pradmenys</w:t>
      </w:r>
      <w:r w:rsidRPr="007928C8">
        <w:rPr>
          <w:sz w:val="26"/>
          <w:szCs w:val="26"/>
          <w:lang w:val="lt-LT"/>
        </w:rPr>
        <w:t>. Vilnius: Mintis. 263</w:t>
      </w:r>
      <w:r w:rsidR="000A1DA2">
        <w:rPr>
          <w:sz w:val="26"/>
          <w:szCs w:val="26"/>
          <w:lang w:val="lt-LT"/>
        </w:rPr>
        <w:t> </w:t>
      </w:r>
      <w:r w:rsidRPr="007928C8">
        <w:rPr>
          <w:sz w:val="26"/>
          <w:szCs w:val="26"/>
          <w:lang w:val="lt-LT"/>
        </w:rPr>
        <w:t xml:space="preserve">p. </w:t>
      </w:r>
      <w:r w:rsidR="00AA0AE0" w:rsidRPr="007928C8">
        <w:rPr>
          <w:sz w:val="26"/>
          <w:szCs w:val="26"/>
        </w:rPr>
        <w:t>ISBN 5-417-00684-X.</w:t>
      </w:r>
    </w:p>
    <w:p w:rsidR="009B6941" w:rsidRPr="007928C8" w:rsidRDefault="009B6941"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MACKEVIČIUS, J</w:t>
      </w:r>
      <w:r w:rsidR="006668A4" w:rsidRPr="007928C8">
        <w:rPr>
          <w:sz w:val="26"/>
          <w:szCs w:val="26"/>
          <w:lang w:val="lt-LT"/>
        </w:rPr>
        <w:t>onas</w:t>
      </w:r>
      <w:r w:rsidRPr="007928C8">
        <w:rPr>
          <w:sz w:val="26"/>
          <w:szCs w:val="26"/>
          <w:lang w:val="lt-LT"/>
        </w:rPr>
        <w:t xml:space="preserve">. (1999) </w:t>
      </w:r>
      <w:r w:rsidRPr="007928C8">
        <w:rPr>
          <w:i/>
          <w:sz w:val="26"/>
          <w:szCs w:val="26"/>
          <w:lang w:val="lt-LT"/>
        </w:rPr>
        <w:t>Audito teorija ir praktika: monografija</w:t>
      </w:r>
      <w:r w:rsidRPr="007928C8">
        <w:rPr>
          <w:sz w:val="26"/>
          <w:szCs w:val="26"/>
          <w:lang w:val="lt-LT"/>
        </w:rPr>
        <w:t>.</w:t>
      </w:r>
      <w:r w:rsidR="00BE00CF" w:rsidRPr="007928C8">
        <w:rPr>
          <w:sz w:val="26"/>
          <w:szCs w:val="26"/>
          <w:lang w:val="lt-LT"/>
        </w:rPr>
        <w:t xml:space="preserve"> </w:t>
      </w:r>
      <w:r w:rsidRPr="007928C8">
        <w:rPr>
          <w:sz w:val="26"/>
          <w:szCs w:val="26"/>
          <w:lang w:val="lt-LT"/>
        </w:rPr>
        <w:t xml:space="preserve">Vilnius: Lietuvos mokslas. </w:t>
      </w:r>
      <w:r w:rsidR="003415F7" w:rsidRPr="007928C8">
        <w:rPr>
          <w:sz w:val="26"/>
          <w:szCs w:val="26"/>
          <w:lang w:val="lt-LT"/>
        </w:rPr>
        <w:t>699</w:t>
      </w:r>
      <w:r w:rsidRPr="007928C8">
        <w:rPr>
          <w:sz w:val="26"/>
          <w:szCs w:val="26"/>
          <w:lang w:val="lt-LT"/>
        </w:rPr>
        <w:t xml:space="preserve"> p.</w:t>
      </w:r>
      <w:r w:rsidR="003415F7" w:rsidRPr="007928C8">
        <w:rPr>
          <w:sz w:val="26"/>
          <w:szCs w:val="26"/>
          <w:lang w:val="lt-LT"/>
        </w:rPr>
        <w:t xml:space="preserve"> ISSN 1392-3044.</w:t>
      </w:r>
    </w:p>
    <w:p w:rsidR="00BE00CF" w:rsidRPr="007928C8" w:rsidRDefault="00BE00CF"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MACKEVIČIUS, Jonas. (2001) </w:t>
      </w:r>
      <w:r w:rsidRPr="007928C8">
        <w:rPr>
          <w:i/>
          <w:sz w:val="26"/>
          <w:szCs w:val="26"/>
          <w:lang w:val="lt-LT"/>
        </w:rPr>
        <w:t>Audito teorija, praktika, perspektyvos: monografija</w:t>
      </w:r>
      <w:r w:rsidRPr="007928C8">
        <w:rPr>
          <w:sz w:val="26"/>
          <w:szCs w:val="26"/>
          <w:lang w:val="lt-LT"/>
        </w:rPr>
        <w:t>. Vilnius: Lietuvos mokslas. 827 p. ISSN 1392-4044.</w:t>
      </w:r>
    </w:p>
    <w:p w:rsidR="00C239F2" w:rsidRPr="007928C8" w:rsidRDefault="00C239F2"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MACKEVIČIUS, Jonas; BARTAŠKA, Romualdas</w:t>
      </w:r>
      <w:r w:rsidR="00B67D90" w:rsidRPr="007928C8">
        <w:rPr>
          <w:sz w:val="26"/>
          <w:szCs w:val="26"/>
          <w:lang w:val="lt-LT"/>
        </w:rPr>
        <w:t xml:space="preserve">. (2003) </w:t>
      </w:r>
      <w:r w:rsidR="00B67D90" w:rsidRPr="007928C8">
        <w:rPr>
          <w:i/>
          <w:sz w:val="26"/>
          <w:szCs w:val="26"/>
          <w:lang w:val="lt-LT"/>
        </w:rPr>
        <w:t>Klaidų ir apgaulių aptikimas, įvertinimas ir prevencija</w:t>
      </w:r>
      <w:r w:rsidR="00B67D90" w:rsidRPr="007928C8">
        <w:rPr>
          <w:sz w:val="26"/>
          <w:szCs w:val="26"/>
          <w:lang w:val="lt-LT"/>
        </w:rPr>
        <w:t>. Pinigų studijos: Ekonomikos teorija ir praktika.</w:t>
      </w:r>
      <w:r w:rsidR="005D6965" w:rsidRPr="007928C8">
        <w:rPr>
          <w:sz w:val="26"/>
          <w:szCs w:val="26"/>
          <w:lang w:val="lt-LT"/>
        </w:rPr>
        <w:t xml:space="preserve"> Vilnius: Lietuvos bankas, p. 37-59. ISSN 1392-2637.</w:t>
      </w:r>
    </w:p>
    <w:p w:rsidR="00AF78F7" w:rsidRPr="007928C8" w:rsidRDefault="00AF78F7" w:rsidP="000406FA">
      <w:pPr>
        <w:numPr>
          <w:ilvl w:val="0"/>
          <w:numId w:val="4"/>
        </w:numPr>
        <w:tabs>
          <w:tab w:val="clear" w:pos="720"/>
          <w:tab w:val="left" w:pos="567"/>
          <w:tab w:val="left" w:pos="709"/>
        </w:tabs>
        <w:spacing w:before="120"/>
        <w:ind w:left="567" w:hanging="567"/>
        <w:jc w:val="both"/>
        <w:rPr>
          <w:sz w:val="26"/>
          <w:szCs w:val="26"/>
        </w:rPr>
      </w:pPr>
      <w:r w:rsidRPr="007928C8">
        <w:rPr>
          <w:caps/>
          <w:sz w:val="26"/>
          <w:szCs w:val="26"/>
          <w:lang w:val="lt-LT"/>
        </w:rPr>
        <w:t>Mackevičius</w:t>
      </w:r>
      <w:r w:rsidR="00631E0C" w:rsidRPr="007928C8">
        <w:rPr>
          <w:sz w:val="26"/>
          <w:szCs w:val="26"/>
          <w:lang w:val="lt-LT"/>
        </w:rPr>
        <w:t>, Jonas. (2005)</w:t>
      </w:r>
      <w:r w:rsidRPr="007928C8">
        <w:rPr>
          <w:sz w:val="26"/>
          <w:szCs w:val="26"/>
          <w:lang w:val="lt-LT"/>
        </w:rPr>
        <w:t xml:space="preserve"> </w:t>
      </w:r>
      <w:r w:rsidRPr="007928C8">
        <w:rPr>
          <w:i/>
          <w:sz w:val="26"/>
          <w:szCs w:val="26"/>
          <w:lang w:val="lt-LT"/>
        </w:rPr>
        <w:t>Audito rizikos veiksnių vertinimas</w:t>
      </w:r>
      <w:r w:rsidRPr="007928C8">
        <w:rPr>
          <w:sz w:val="26"/>
          <w:szCs w:val="26"/>
          <w:lang w:val="lt-LT"/>
        </w:rPr>
        <w:t>. Organizacijų vadyba: Sisteminiai tyrimai: 2005.33. VDU: Kaunas, p.</w:t>
      </w:r>
      <w:r w:rsidR="00C70371">
        <w:rPr>
          <w:sz w:val="26"/>
          <w:szCs w:val="26"/>
          <w:lang w:val="lt-LT"/>
        </w:rPr>
        <w:t> </w:t>
      </w:r>
      <w:r w:rsidRPr="007928C8">
        <w:rPr>
          <w:sz w:val="26"/>
          <w:szCs w:val="26"/>
          <w:lang w:val="lt-LT"/>
        </w:rPr>
        <w:t xml:space="preserve">111-124. </w:t>
      </w:r>
      <w:r w:rsidR="00836075" w:rsidRPr="007928C8">
        <w:rPr>
          <w:sz w:val="26"/>
          <w:szCs w:val="26"/>
          <w:lang w:val="lt-LT"/>
        </w:rPr>
        <w:t>ISSN 1392-1142.</w:t>
      </w:r>
    </w:p>
    <w:p w:rsidR="002007E6" w:rsidRPr="007928C8" w:rsidRDefault="002007E6"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MACKEVIČIUS, Jonas. (2009</w:t>
      </w:r>
      <w:r w:rsidRPr="007928C8">
        <w:rPr>
          <w:i/>
          <w:sz w:val="26"/>
          <w:szCs w:val="26"/>
          <w:lang w:val="lt-LT"/>
        </w:rPr>
        <w:t>) Finansinių ataskaitų auditas ir analizė: Procedūros, metodikos ir vertinimas</w:t>
      </w:r>
      <w:r w:rsidRPr="007928C8">
        <w:rPr>
          <w:sz w:val="26"/>
          <w:szCs w:val="26"/>
          <w:lang w:val="lt-LT"/>
        </w:rPr>
        <w:t>. Vilnius: TEV. 389 p. ISBN 978-9955-879-49-7.</w:t>
      </w:r>
    </w:p>
    <w:p w:rsidR="00CA2AF5" w:rsidRPr="007928C8" w:rsidRDefault="00CA2AF5" w:rsidP="000406FA">
      <w:pPr>
        <w:numPr>
          <w:ilvl w:val="0"/>
          <w:numId w:val="4"/>
        </w:numPr>
        <w:tabs>
          <w:tab w:val="clear" w:pos="720"/>
          <w:tab w:val="left" w:pos="567"/>
          <w:tab w:val="left" w:pos="709"/>
        </w:tabs>
        <w:spacing w:before="120"/>
        <w:ind w:left="567" w:hanging="567"/>
        <w:jc w:val="both"/>
        <w:rPr>
          <w:sz w:val="26"/>
          <w:szCs w:val="26"/>
        </w:rPr>
      </w:pPr>
      <w:r w:rsidRPr="007928C8">
        <w:rPr>
          <w:caps/>
          <w:sz w:val="26"/>
          <w:szCs w:val="26"/>
          <w:lang w:val="lt-LT"/>
        </w:rPr>
        <w:lastRenderedPageBreak/>
        <w:t>Mackevičius</w:t>
      </w:r>
      <w:r w:rsidRPr="007928C8">
        <w:rPr>
          <w:sz w:val="26"/>
          <w:szCs w:val="26"/>
          <w:lang w:val="lt-LT"/>
        </w:rPr>
        <w:t xml:space="preserve">, Jonas; </w:t>
      </w:r>
      <w:r w:rsidRPr="007928C8">
        <w:rPr>
          <w:caps/>
          <w:sz w:val="26"/>
          <w:szCs w:val="26"/>
          <w:lang w:val="lt-LT"/>
        </w:rPr>
        <w:t xml:space="preserve">Pranckevičiūtė, </w:t>
      </w:r>
      <w:r w:rsidRPr="007928C8">
        <w:rPr>
          <w:sz w:val="26"/>
          <w:szCs w:val="26"/>
          <w:lang w:val="lt-LT"/>
        </w:rPr>
        <w:t>Laura. (2004</w:t>
      </w:r>
      <w:r w:rsidRPr="007928C8">
        <w:rPr>
          <w:sz w:val="26"/>
          <w:szCs w:val="26"/>
        </w:rPr>
        <w:t>)</w:t>
      </w:r>
      <w:r w:rsidR="009655D8" w:rsidRPr="007928C8">
        <w:rPr>
          <w:sz w:val="26"/>
          <w:szCs w:val="26"/>
        </w:rPr>
        <w:t xml:space="preserve"> Audit Risk Assessment in the National Audit Office of the Republic of Lithuania: Evaluation and Development</w:t>
      </w:r>
      <w:r w:rsidR="009655D8" w:rsidRPr="007928C8">
        <w:rPr>
          <w:sz w:val="26"/>
          <w:szCs w:val="26"/>
          <w:lang w:val="lt-LT"/>
        </w:rPr>
        <w:t xml:space="preserve">. </w:t>
      </w:r>
      <w:r w:rsidR="009655D8" w:rsidRPr="007928C8">
        <w:rPr>
          <w:i/>
          <w:sz w:val="26"/>
          <w:szCs w:val="26"/>
          <w:lang w:val="lt-LT"/>
        </w:rPr>
        <w:t>Ekonomika</w:t>
      </w:r>
      <w:r w:rsidR="00037DCC" w:rsidRPr="007928C8">
        <w:rPr>
          <w:sz w:val="26"/>
          <w:szCs w:val="26"/>
          <w:lang w:val="lt-LT"/>
        </w:rPr>
        <w:t xml:space="preserve">, Vilniaus Universitetas, </w:t>
      </w:r>
      <w:r w:rsidR="0047473C" w:rsidRPr="007928C8">
        <w:rPr>
          <w:sz w:val="26"/>
          <w:szCs w:val="26"/>
          <w:lang w:val="lt-LT"/>
        </w:rPr>
        <w:t>Nr. 66, p. 43 – 54. ISSN 1392-1258.</w:t>
      </w:r>
    </w:p>
    <w:p w:rsidR="008104BB" w:rsidRPr="007928C8" w:rsidRDefault="008104BB"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Martišius</w:t>
      </w:r>
      <w:r w:rsidR="00AD12C9" w:rsidRPr="007928C8">
        <w:rPr>
          <w:caps/>
          <w:sz w:val="26"/>
          <w:szCs w:val="26"/>
          <w:lang w:val="lt-LT"/>
        </w:rPr>
        <w:t>,</w:t>
      </w:r>
      <w:r w:rsidRPr="007928C8">
        <w:rPr>
          <w:sz w:val="26"/>
          <w:szCs w:val="26"/>
          <w:lang w:val="lt-LT"/>
        </w:rPr>
        <w:t xml:space="preserve"> Stanislovas. (1997) </w:t>
      </w:r>
      <w:r w:rsidRPr="007928C8">
        <w:rPr>
          <w:i/>
          <w:sz w:val="26"/>
          <w:szCs w:val="26"/>
          <w:lang w:val="lt-LT"/>
        </w:rPr>
        <w:t>Statistinių išvadų teorijos pradmenys</w:t>
      </w:r>
      <w:r w:rsidRPr="007928C8">
        <w:rPr>
          <w:sz w:val="26"/>
          <w:szCs w:val="26"/>
          <w:lang w:val="lt-LT"/>
        </w:rPr>
        <w:t>. Vilnius: Vilniaus univ</w:t>
      </w:r>
      <w:r w:rsidR="00AD12C9" w:rsidRPr="007928C8">
        <w:rPr>
          <w:sz w:val="26"/>
          <w:szCs w:val="26"/>
          <w:lang w:val="lt-LT"/>
        </w:rPr>
        <w:t>ersiteto leidykla</w:t>
      </w:r>
      <w:r w:rsidRPr="007928C8">
        <w:rPr>
          <w:sz w:val="26"/>
          <w:szCs w:val="26"/>
          <w:lang w:val="lt-LT"/>
        </w:rPr>
        <w:t xml:space="preserve">. 119 p. </w:t>
      </w:r>
    </w:p>
    <w:p w:rsidR="009B6941" w:rsidRPr="007928C8" w:rsidRDefault="00EB7F13"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MATICKIENĖ, I</w:t>
      </w:r>
      <w:r w:rsidR="006C00FA" w:rsidRPr="007928C8">
        <w:rPr>
          <w:sz w:val="26"/>
          <w:szCs w:val="26"/>
          <w:lang w:val="lt-LT"/>
        </w:rPr>
        <w:t>dalija</w:t>
      </w:r>
      <w:r w:rsidRPr="007928C8">
        <w:rPr>
          <w:sz w:val="26"/>
          <w:szCs w:val="26"/>
          <w:lang w:val="lt-LT"/>
        </w:rPr>
        <w:t>.</w:t>
      </w:r>
      <w:r w:rsidR="006C00FA" w:rsidRPr="007928C8">
        <w:rPr>
          <w:sz w:val="26"/>
          <w:szCs w:val="26"/>
          <w:lang w:val="lt-LT"/>
        </w:rPr>
        <w:t xml:space="preserve"> </w:t>
      </w:r>
      <w:r w:rsidR="009B6941" w:rsidRPr="007928C8">
        <w:rPr>
          <w:sz w:val="26"/>
          <w:szCs w:val="26"/>
          <w:lang w:val="lt-LT"/>
        </w:rPr>
        <w:t>(1997)</w:t>
      </w:r>
      <w:r w:rsidRPr="007928C8">
        <w:rPr>
          <w:i/>
          <w:sz w:val="26"/>
          <w:szCs w:val="26"/>
          <w:lang w:val="lt-LT"/>
        </w:rPr>
        <w:t xml:space="preserve"> </w:t>
      </w:r>
      <w:r w:rsidR="009B6941" w:rsidRPr="007928C8">
        <w:rPr>
          <w:i/>
          <w:sz w:val="26"/>
          <w:szCs w:val="26"/>
          <w:lang w:val="lt-LT"/>
        </w:rPr>
        <w:t>Audito planavimas ir organizavimas</w:t>
      </w:r>
      <w:r w:rsidR="000326D8" w:rsidRPr="007928C8">
        <w:rPr>
          <w:i/>
          <w:sz w:val="26"/>
          <w:szCs w:val="26"/>
          <w:lang w:val="lt-LT"/>
        </w:rPr>
        <w:t>: mokomoji knyga.</w:t>
      </w:r>
      <w:r w:rsidR="009B6941" w:rsidRPr="007928C8">
        <w:rPr>
          <w:sz w:val="26"/>
          <w:szCs w:val="26"/>
          <w:lang w:val="lt-LT"/>
        </w:rPr>
        <w:t xml:space="preserve"> Kaunas: Technologija. 140</w:t>
      </w:r>
      <w:r w:rsidR="006C00FA" w:rsidRPr="007928C8">
        <w:rPr>
          <w:sz w:val="26"/>
          <w:szCs w:val="26"/>
          <w:lang w:val="lt-LT"/>
        </w:rPr>
        <w:t xml:space="preserve"> </w:t>
      </w:r>
      <w:r w:rsidR="009B6941" w:rsidRPr="007928C8">
        <w:rPr>
          <w:sz w:val="26"/>
          <w:szCs w:val="26"/>
          <w:lang w:val="lt-LT"/>
        </w:rPr>
        <w:t>p.</w:t>
      </w:r>
      <w:r w:rsidR="006C00FA" w:rsidRPr="007928C8">
        <w:rPr>
          <w:sz w:val="26"/>
          <w:szCs w:val="26"/>
          <w:lang w:val="lt-LT"/>
        </w:rPr>
        <w:t xml:space="preserve"> ISBN 9986-13-542-7.</w:t>
      </w:r>
    </w:p>
    <w:p w:rsidR="00916C86" w:rsidRPr="007928C8" w:rsidRDefault="00916C86"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caps/>
          <w:sz w:val="26"/>
          <w:szCs w:val="26"/>
        </w:rPr>
        <w:t xml:space="preserve">Majid, </w:t>
      </w:r>
      <w:r w:rsidRPr="007928C8">
        <w:rPr>
          <w:sz w:val="26"/>
          <w:szCs w:val="26"/>
        </w:rPr>
        <w:t>Abdul</w:t>
      </w:r>
      <w:r w:rsidR="006C32CB" w:rsidRPr="007928C8">
        <w:rPr>
          <w:sz w:val="26"/>
          <w:szCs w:val="26"/>
        </w:rPr>
        <w:t>;</w:t>
      </w:r>
      <w:r w:rsidRPr="007928C8">
        <w:rPr>
          <w:sz w:val="26"/>
          <w:szCs w:val="26"/>
        </w:rPr>
        <w:t xml:space="preserve"> </w:t>
      </w:r>
      <w:r w:rsidRPr="007928C8">
        <w:rPr>
          <w:caps/>
          <w:sz w:val="26"/>
          <w:szCs w:val="26"/>
        </w:rPr>
        <w:t xml:space="preserve">Gul, </w:t>
      </w:r>
      <w:r w:rsidRPr="007928C8">
        <w:rPr>
          <w:sz w:val="26"/>
          <w:szCs w:val="26"/>
        </w:rPr>
        <w:t>Ferdinand A.</w:t>
      </w:r>
      <w:r w:rsidR="006C32CB" w:rsidRPr="007928C8">
        <w:rPr>
          <w:sz w:val="26"/>
          <w:szCs w:val="26"/>
        </w:rPr>
        <w:t>;</w:t>
      </w:r>
      <w:r w:rsidRPr="007928C8">
        <w:rPr>
          <w:sz w:val="26"/>
          <w:szCs w:val="26"/>
        </w:rPr>
        <w:t xml:space="preserve"> </w:t>
      </w:r>
      <w:r w:rsidRPr="007928C8">
        <w:rPr>
          <w:caps/>
          <w:sz w:val="26"/>
          <w:szCs w:val="26"/>
        </w:rPr>
        <w:t xml:space="preserve">Tsui, </w:t>
      </w:r>
      <w:r w:rsidRPr="007928C8">
        <w:rPr>
          <w:sz w:val="26"/>
          <w:szCs w:val="26"/>
        </w:rPr>
        <w:t>Judy S.</w:t>
      </w:r>
      <w:r w:rsidR="006C32CB" w:rsidRPr="007928C8">
        <w:rPr>
          <w:sz w:val="26"/>
          <w:szCs w:val="26"/>
        </w:rPr>
        <w:t xml:space="preserve"> </w:t>
      </w:r>
      <w:r w:rsidRPr="007928C8">
        <w:rPr>
          <w:sz w:val="26"/>
          <w:szCs w:val="26"/>
        </w:rPr>
        <w:t xml:space="preserve">L. (2001) An Analysis of Hong Kong </w:t>
      </w:r>
      <w:r w:rsidRPr="007928C8">
        <w:rPr>
          <w:color w:val="000000"/>
          <w:sz w:val="26"/>
          <w:szCs w:val="26"/>
        </w:rPr>
        <w:t>A</w:t>
      </w:r>
      <w:r w:rsidRPr="007928C8">
        <w:rPr>
          <w:sz w:val="26"/>
          <w:szCs w:val="26"/>
        </w:rPr>
        <w:t xml:space="preserve">uditors’ Perceptions of the </w:t>
      </w:r>
      <w:r w:rsidR="006C32CB" w:rsidRPr="007928C8">
        <w:rPr>
          <w:sz w:val="26"/>
          <w:szCs w:val="26"/>
        </w:rPr>
        <w:t>I</w:t>
      </w:r>
      <w:r w:rsidRPr="007928C8">
        <w:rPr>
          <w:sz w:val="26"/>
          <w:szCs w:val="26"/>
        </w:rPr>
        <w:t xml:space="preserve">mportance of </w:t>
      </w:r>
      <w:r w:rsidR="006C32CB" w:rsidRPr="007928C8">
        <w:rPr>
          <w:sz w:val="26"/>
          <w:szCs w:val="26"/>
        </w:rPr>
        <w:t>S</w:t>
      </w:r>
      <w:r w:rsidRPr="007928C8">
        <w:rPr>
          <w:sz w:val="26"/>
          <w:szCs w:val="26"/>
        </w:rPr>
        <w:t xml:space="preserve">elected </w:t>
      </w:r>
      <w:r w:rsidR="006C32CB" w:rsidRPr="007928C8">
        <w:rPr>
          <w:sz w:val="26"/>
          <w:szCs w:val="26"/>
        </w:rPr>
        <w:t>R</w:t>
      </w:r>
      <w:r w:rsidRPr="007928C8">
        <w:rPr>
          <w:sz w:val="26"/>
          <w:szCs w:val="26"/>
        </w:rPr>
        <w:t xml:space="preserve">ed </w:t>
      </w:r>
      <w:r w:rsidR="006C32CB" w:rsidRPr="007928C8">
        <w:rPr>
          <w:sz w:val="26"/>
          <w:szCs w:val="26"/>
        </w:rPr>
        <w:t>F</w:t>
      </w:r>
      <w:r w:rsidRPr="007928C8">
        <w:rPr>
          <w:sz w:val="26"/>
          <w:szCs w:val="26"/>
        </w:rPr>
        <w:t xml:space="preserve">lag </w:t>
      </w:r>
      <w:r w:rsidR="006C32CB" w:rsidRPr="007928C8">
        <w:rPr>
          <w:sz w:val="26"/>
          <w:szCs w:val="26"/>
        </w:rPr>
        <w:t>F</w:t>
      </w:r>
      <w:r w:rsidRPr="007928C8">
        <w:rPr>
          <w:sz w:val="26"/>
          <w:szCs w:val="26"/>
        </w:rPr>
        <w:t xml:space="preserve">actors in </w:t>
      </w:r>
      <w:r w:rsidR="006C32CB" w:rsidRPr="007928C8">
        <w:rPr>
          <w:sz w:val="26"/>
          <w:szCs w:val="26"/>
        </w:rPr>
        <w:t>R</w:t>
      </w:r>
      <w:r w:rsidRPr="007928C8">
        <w:rPr>
          <w:sz w:val="26"/>
          <w:szCs w:val="26"/>
        </w:rPr>
        <w:t xml:space="preserve">isk </w:t>
      </w:r>
      <w:r w:rsidR="006C32CB" w:rsidRPr="007928C8">
        <w:rPr>
          <w:sz w:val="26"/>
          <w:szCs w:val="26"/>
        </w:rPr>
        <w:t>A</w:t>
      </w:r>
      <w:r w:rsidRPr="007928C8">
        <w:rPr>
          <w:sz w:val="26"/>
          <w:szCs w:val="26"/>
        </w:rPr>
        <w:t xml:space="preserve">ssessment. Iš </w:t>
      </w:r>
      <w:r w:rsidRPr="007928C8">
        <w:rPr>
          <w:i/>
          <w:sz w:val="26"/>
          <w:szCs w:val="26"/>
        </w:rPr>
        <w:t>Journal of Business Ethics</w:t>
      </w:r>
      <w:r w:rsidR="006C32CB" w:rsidRPr="007928C8">
        <w:rPr>
          <w:i/>
          <w:sz w:val="26"/>
          <w:szCs w:val="26"/>
        </w:rPr>
        <w:t xml:space="preserve"> </w:t>
      </w:r>
      <w:r w:rsidR="006C32CB" w:rsidRPr="007928C8">
        <w:rPr>
          <w:sz w:val="26"/>
          <w:szCs w:val="26"/>
        </w:rPr>
        <w:t>[</w:t>
      </w:r>
      <w:r w:rsidR="006C32CB" w:rsidRPr="007928C8">
        <w:rPr>
          <w:sz w:val="26"/>
          <w:szCs w:val="26"/>
          <w:lang w:val="lt-LT"/>
        </w:rPr>
        <w:t>interaktyvus</w:t>
      </w:r>
      <w:r w:rsidR="006C32CB" w:rsidRPr="007928C8">
        <w:rPr>
          <w:sz w:val="26"/>
          <w:szCs w:val="26"/>
        </w:rPr>
        <w:t>]</w:t>
      </w:r>
      <w:r w:rsidRPr="007928C8">
        <w:rPr>
          <w:sz w:val="26"/>
          <w:szCs w:val="26"/>
        </w:rPr>
        <w:t xml:space="preserve">. </w:t>
      </w:r>
      <w:r w:rsidR="00091110" w:rsidRPr="007928C8">
        <w:rPr>
          <w:sz w:val="26"/>
          <w:szCs w:val="26"/>
        </w:rPr>
        <w:t>N</w:t>
      </w:r>
      <w:r w:rsidRPr="007928C8">
        <w:rPr>
          <w:sz w:val="26"/>
          <w:szCs w:val="26"/>
        </w:rPr>
        <w:t xml:space="preserve">o. 32, </w:t>
      </w:r>
      <w:r w:rsidR="006C32CB" w:rsidRPr="007928C8">
        <w:rPr>
          <w:sz w:val="26"/>
          <w:szCs w:val="26"/>
        </w:rPr>
        <w:t xml:space="preserve">[žiūrėta 2006 m. </w:t>
      </w:r>
      <w:r w:rsidR="006C32CB" w:rsidRPr="007928C8">
        <w:rPr>
          <w:sz w:val="26"/>
          <w:szCs w:val="26"/>
          <w:lang w:val="lt-LT"/>
        </w:rPr>
        <w:t>sausio</w:t>
      </w:r>
      <w:r w:rsidR="006C32CB" w:rsidRPr="007928C8">
        <w:rPr>
          <w:sz w:val="26"/>
          <w:szCs w:val="26"/>
        </w:rPr>
        <w:t xml:space="preserve"> 15 d.], </w:t>
      </w:r>
      <w:r w:rsidRPr="007928C8">
        <w:rPr>
          <w:sz w:val="26"/>
          <w:szCs w:val="26"/>
        </w:rPr>
        <w:t>p. 263</w:t>
      </w:r>
      <w:r w:rsidR="006C32CB" w:rsidRPr="007928C8">
        <w:rPr>
          <w:sz w:val="26"/>
          <w:szCs w:val="26"/>
        </w:rPr>
        <w:t xml:space="preserve"> – </w:t>
      </w:r>
      <w:r w:rsidRPr="007928C8">
        <w:rPr>
          <w:sz w:val="26"/>
          <w:szCs w:val="26"/>
        </w:rPr>
        <w:t>274.</w:t>
      </w:r>
      <w:r w:rsidR="006C32CB" w:rsidRPr="007928C8">
        <w:rPr>
          <w:sz w:val="26"/>
          <w:szCs w:val="26"/>
        </w:rPr>
        <w:t xml:space="preserve"> </w:t>
      </w:r>
      <w:r w:rsidR="009A474E" w:rsidRPr="007928C8">
        <w:rPr>
          <w:sz w:val="26"/>
          <w:szCs w:val="26"/>
          <w:lang w:val="lt-LT"/>
        </w:rPr>
        <w:t>Prieiga per internetą: &lt;http://web.ebscohost.com/bsi/pdf&gt; .</w:t>
      </w:r>
    </w:p>
    <w:p w:rsidR="00916C86" w:rsidRPr="007928C8" w:rsidRDefault="00916C86"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caps/>
          <w:sz w:val="26"/>
          <w:szCs w:val="26"/>
          <w:lang w:val="lt-LT"/>
        </w:rPr>
        <w:t>Martinov</w:t>
      </w:r>
      <w:r w:rsidR="00AD12C9" w:rsidRPr="007928C8">
        <w:rPr>
          <w:caps/>
          <w:sz w:val="26"/>
          <w:szCs w:val="26"/>
          <w:lang w:val="lt-LT"/>
        </w:rPr>
        <w:t>,</w:t>
      </w:r>
      <w:r w:rsidRPr="007928C8">
        <w:rPr>
          <w:caps/>
          <w:sz w:val="26"/>
          <w:szCs w:val="26"/>
          <w:lang w:val="lt-LT"/>
        </w:rPr>
        <w:t xml:space="preserve"> </w:t>
      </w:r>
      <w:r w:rsidRPr="007928C8">
        <w:rPr>
          <w:sz w:val="26"/>
          <w:szCs w:val="26"/>
        </w:rPr>
        <w:t>Nonna</w:t>
      </w:r>
      <w:r w:rsidR="006C32CB" w:rsidRPr="007928C8">
        <w:rPr>
          <w:sz w:val="26"/>
          <w:szCs w:val="26"/>
          <w:lang w:val="lt-LT"/>
        </w:rPr>
        <w:t>;</w:t>
      </w:r>
      <w:r w:rsidRPr="007928C8">
        <w:rPr>
          <w:sz w:val="26"/>
          <w:szCs w:val="26"/>
          <w:lang w:val="lt-LT"/>
        </w:rPr>
        <w:t xml:space="preserve"> </w:t>
      </w:r>
      <w:r w:rsidRPr="007928C8">
        <w:rPr>
          <w:caps/>
          <w:sz w:val="26"/>
          <w:szCs w:val="26"/>
          <w:lang w:val="lt-LT"/>
        </w:rPr>
        <w:t xml:space="preserve">Roebuck </w:t>
      </w:r>
      <w:r w:rsidRPr="007928C8">
        <w:rPr>
          <w:sz w:val="26"/>
          <w:szCs w:val="26"/>
        </w:rPr>
        <w:t>Peter</w:t>
      </w:r>
      <w:r w:rsidRPr="007928C8">
        <w:rPr>
          <w:sz w:val="26"/>
          <w:szCs w:val="26"/>
          <w:lang w:val="lt-LT"/>
        </w:rPr>
        <w:t xml:space="preserve">. (1998) </w:t>
      </w:r>
      <w:r w:rsidRPr="007928C8">
        <w:rPr>
          <w:sz w:val="26"/>
          <w:szCs w:val="26"/>
        </w:rPr>
        <w:t xml:space="preserve">The </w:t>
      </w:r>
      <w:r w:rsidR="004C4ABF" w:rsidRPr="007928C8">
        <w:rPr>
          <w:sz w:val="26"/>
          <w:szCs w:val="26"/>
        </w:rPr>
        <w:t>A</w:t>
      </w:r>
      <w:r w:rsidRPr="007928C8">
        <w:rPr>
          <w:sz w:val="26"/>
          <w:szCs w:val="26"/>
        </w:rPr>
        <w:t xml:space="preserve">ssessment and </w:t>
      </w:r>
      <w:r w:rsidR="004C4ABF" w:rsidRPr="007928C8">
        <w:rPr>
          <w:sz w:val="26"/>
          <w:szCs w:val="26"/>
        </w:rPr>
        <w:t>I</w:t>
      </w:r>
      <w:r w:rsidRPr="007928C8">
        <w:rPr>
          <w:sz w:val="26"/>
          <w:szCs w:val="26"/>
        </w:rPr>
        <w:t xml:space="preserve">ntegration of </w:t>
      </w:r>
      <w:r w:rsidR="004C4ABF" w:rsidRPr="007928C8">
        <w:rPr>
          <w:sz w:val="26"/>
          <w:szCs w:val="26"/>
        </w:rPr>
        <w:t>M</w:t>
      </w:r>
      <w:r w:rsidRPr="007928C8">
        <w:rPr>
          <w:sz w:val="26"/>
          <w:szCs w:val="26"/>
        </w:rPr>
        <w:t xml:space="preserve">ateriality and </w:t>
      </w:r>
      <w:r w:rsidR="004C4ABF" w:rsidRPr="007928C8">
        <w:rPr>
          <w:sz w:val="26"/>
          <w:szCs w:val="26"/>
        </w:rPr>
        <w:t>I</w:t>
      </w:r>
      <w:r w:rsidRPr="007928C8">
        <w:rPr>
          <w:sz w:val="26"/>
          <w:szCs w:val="26"/>
        </w:rPr>
        <w:t xml:space="preserve">nherit risk: </w:t>
      </w:r>
      <w:r w:rsidR="004C4ABF" w:rsidRPr="007928C8">
        <w:rPr>
          <w:sz w:val="26"/>
          <w:szCs w:val="26"/>
        </w:rPr>
        <w:t>A</w:t>
      </w:r>
      <w:r w:rsidRPr="007928C8">
        <w:rPr>
          <w:sz w:val="26"/>
          <w:szCs w:val="26"/>
        </w:rPr>
        <w:t xml:space="preserve">n </w:t>
      </w:r>
      <w:r w:rsidR="004C4ABF" w:rsidRPr="007928C8">
        <w:rPr>
          <w:sz w:val="26"/>
          <w:szCs w:val="26"/>
        </w:rPr>
        <w:t>A</w:t>
      </w:r>
      <w:r w:rsidRPr="007928C8">
        <w:rPr>
          <w:sz w:val="26"/>
          <w:szCs w:val="26"/>
        </w:rPr>
        <w:t>nalys</w:t>
      </w:r>
      <w:r w:rsidR="004C4ABF" w:rsidRPr="007928C8">
        <w:rPr>
          <w:sz w:val="26"/>
          <w:szCs w:val="26"/>
        </w:rPr>
        <w:t>i</w:t>
      </w:r>
      <w:r w:rsidRPr="007928C8">
        <w:rPr>
          <w:sz w:val="26"/>
          <w:szCs w:val="26"/>
        </w:rPr>
        <w:t xml:space="preserve">s of </w:t>
      </w:r>
      <w:r w:rsidR="004C4ABF" w:rsidRPr="007928C8">
        <w:rPr>
          <w:sz w:val="26"/>
          <w:szCs w:val="26"/>
        </w:rPr>
        <w:t>M</w:t>
      </w:r>
      <w:r w:rsidRPr="007928C8">
        <w:rPr>
          <w:sz w:val="26"/>
          <w:szCs w:val="26"/>
        </w:rPr>
        <w:t xml:space="preserve">ajor </w:t>
      </w:r>
      <w:r w:rsidR="004C4ABF" w:rsidRPr="007928C8">
        <w:rPr>
          <w:sz w:val="26"/>
          <w:szCs w:val="26"/>
        </w:rPr>
        <w:t>F</w:t>
      </w:r>
      <w:r w:rsidRPr="007928C8">
        <w:rPr>
          <w:sz w:val="26"/>
          <w:szCs w:val="26"/>
        </w:rPr>
        <w:t xml:space="preserve">irms‘ </w:t>
      </w:r>
      <w:r w:rsidR="004C4ABF" w:rsidRPr="007928C8">
        <w:rPr>
          <w:sz w:val="26"/>
          <w:szCs w:val="26"/>
        </w:rPr>
        <w:t>A</w:t>
      </w:r>
      <w:r w:rsidRPr="007928C8">
        <w:rPr>
          <w:sz w:val="26"/>
          <w:szCs w:val="26"/>
        </w:rPr>
        <w:t xml:space="preserve">udit </w:t>
      </w:r>
      <w:r w:rsidR="004C4ABF" w:rsidRPr="007928C8">
        <w:rPr>
          <w:sz w:val="26"/>
          <w:szCs w:val="26"/>
        </w:rPr>
        <w:t>P</w:t>
      </w:r>
      <w:r w:rsidRPr="007928C8">
        <w:rPr>
          <w:sz w:val="26"/>
          <w:szCs w:val="26"/>
        </w:rPr>
        <w:t>ractices</w:t>
      </w:r>
      <w:r w:rsidRPr="007928C8">
        <w:rPr>
          <w:sz w:val="26"/>
          <w:szCs w:val="26"/>
          <w:lang w:val="lt-LT"/>
        </w:rPr>
        <w:t xml:space="preserve">. </w:t>
      </w:r>
      <w:r w:rsidR="004C4ABF" w:rsidRPr="007928C8">
        <w:rPr>
          <w:sz w:val="26"/>
          <w:szCs w:val="26"/>
          <w:lang w:val="lt-LT"/>
        </w:rPr>
        <w:t xml:space="preserve">Iš </w:t>
      </w:r>
      <w:r w:rsidRPr="007928C8">
        <w:rPr>
          <w:i/>
          <w:sz w:val="26"/>
          <w:szCs w:val="26"/>
        </w:rPr>
        <w:t>International Journal of Auditing</w:t>
      </w:r>
      <w:r w:rsidR="004C4ABF" w:rsidRPr="007928C8">
        <w:rPr>
          <w:i/>
          <w:sz w:val="26"/>
          <w:szCs w:val="26"/>
          <w:lang w:val="lt-LT"/>
        </w:rPr>
        <w:t xml:space="preserve"> </w:t>
      </w:r>
      <w:r w:rsidR="004C4ABF" w:rsidRPr="007928C8">
        <w:rPr>
          <w:sz w:val="26"/>
          <w:szCs w:val="26"/>
          <w:lang w:val="lt-LT"/>
        </w:rPr>
        <w:t>[interaktyvus]</w:t>
      </w:r>
      <w:r w:rsidRPr="007928C8">
        <w:rPr>
          <w:sz w:val="26"/>
          <w:szCs w:val="26"/>
          <w:lang w:val="lt-LT"/>
        </w:rPr>
        <w:t xml:space="preserve">. </w:t>
      </w:r>
      <w:r w:rsidR="004C4ABF" w:rsidRPr="007928C8">
        <w:rPr>
          <w:sz w:val="26"/>
          <w:szCs w:val="26"/>
          <w:lang w:val="lt-LT"/>
        </w:rPr>
        <w:t>n</w:t>
      </w:r>
      <w:r w:rsidRPr="007928C8">
        <w:rPr>
          <w:sz w:val="26"/>
          <w:szCs w:val="26"/>
          <w:lang w:val="lt-LT"/>
        </w:rPr>
        <w:t>o.</w:t>
      </w:r>
      <w:r w:rsidR="004C4ABF" w:rsidRPr="007928C8">
        <w:rPr>
          <w:sz w:val="26"/>
          <w:szCs w:val="26"/>
          <w:lang w:val="lt-LT"/>
        </w:rPr>
        <w:t xml:space="preserve"> </w:t>
      </w:r>
      <w:r w:rsidRPr="007928C8">
        <w:rPr>
          <w:sz w:val="26"/>
          <w:szCs w:val="26"/>
          <w:lang w:val="lt-LT"/>
        </w:rPr>
        <w:t xml:space="preserve">2, </w:t>
      </w:r>
      <w:r w:rsidR="004C4ABF" w:rsidRPr="007928C8">
        <w:rPr>
          <w:sz w:val="26"/>
          <w:szCs w:val="26"/>
          <w:lang w:val="lt-LT"/>
        </w:rPr>
        <w:t xml:space="preserve">[žiūrėta 2006 m. sausio 15 d.], </w:t>
      </w:r>
      <w:r w:rsidRPr="007928C8">
        <w:rPr>
          <w:sz w:val="26"/>
          <w:szCs w:val="26"/>
          <w:lang w:val="lt-LT"/>
        </w:rPr>
        <w:t>p. 103</w:t>
      </w:r>
      <w:r w:rsidR="004C4ABF" w:rsidRPr="007928C8">
        <w:rPr>
          <w:sz w:val="26"/>
          <w:szCs w:val="26"/>
          <w:lang w:val="lt-LT"/>
        </w:rPr>
        <w:t xml:space="preserve"> – </w:t>
      </w:r>
      <w:r w:rsidRPr="007928C8">
        <w:rPr>
          <w:sz w:val="26"/>
          <w:szCs w:val="26"/>
          <w:lang w:val="lt-LT"/>
        </w:rPr>
        <w:t>126.</w:t>
      </w:r>
      <w:r w:rsidR="004C4ABF" w:rsidRPr="007928C8">
        <w:rPr>
          <w:sz w:val="26"/>
          <w:szCs w:val="26"/>
          <w:lang w:val="lt-LT"/>
        </w:rPr>
        <w:t xml:space="preserve"> Prieiga per internetą</w:t>
      </w:r>
      <w:r w:rsidR="004C4ABF" w:rsidRPr="007928C8">
        <w:rPr>
          <w:rStyle w:val="terms"/>
          <w:sz w:val="26"/>
          <w:szCs w:val="26"/>
          <w:lang w:val="lt-LT"/>
        </w:rPr>
        <w:t>:</w:t>
      </w:r>
      <w:r w:rsidR="00091110" w:rsidRPr="007928C8">
        <w:rPr>
          <w:rStyle w:val="terms"/>
          <w:sz w:val="26"/>
          <w:szCs w:val="26"/>
          <w:lang w:val="lt-LT"/>
        </w:rPr>
        <w:t xml:space="preserve"> </w:t>
      </w:r>
      <w:r w:rsidR="00091110" w:rsidRPr="007928C8">
        <w:rPr>
          <w:sz w:val="26"/>
          <w:szCs w:val="26"/>
          <w:lang w:val="lt-LT"/>
        </w:rPr>
        <w:t>&lt;http://web.ebscohost.com</w:t>
      </w:r>
      <w:r w:rsidR="006B18A9" w:rsidRPr="007928C8">
        <w:rPr>
          <w:sz w:val="26"/>
          <w:szCs w:val="26"/>
          <w:lang w:val="lt-LT"/>
        </w:rPr>
        <w:t>/bsi/pdf&gt;</w:t>
      </w:r>
      <w:r w:rsidR="00091110" w:rsidRPr="007928C8">
        <w:rPr>
          <w:sz w:val="26"/>
          <w:szCs w:val="26"/>
          <w:lang w:val="lt-LT"/>
        </w:rPr>
        <w:t>.</w:t>
      </w:r>
    </w:p>
    <w:p w:rsidR="00490478" w:rsidRPr="007928C8" w:rsidRDefault="00490478"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McNamee</w:t>
      </w:r>
      <w:r w:rsidRPr="007928C8">
        <w:rPr>
          <w:sz w:val="26"/>
          <w:szCs w:val="26"/>
          <w:lang w:val="lt-LT"/>
        </w:rPr>
        <w:t xml:space="preserve"> David.(1999) </w:t>
      </w:r>
      <w:r w:rsidRPr="007928C8">
        <w:rPr>
          <w:sz w:val="26"/>
          <w:szCs w:val="26"/>
        </w:rPr>
        <w:t>Risk Assessment and Fraud</w:t>
      </w:r>
      <w:r w:rsidRPr="007928C8">
        <w:rPr>
          <w:sz w:val="26"/>
          <w:szCs w:val="26"/>
          <w:lang w:val="lt-LT"/>
        </w:rPr>
        <w:t>. [interaktyvus]. [</w:t>
      </w:r>
      <w:r w:rsidRPr="007928C8">
        <w:rPr>
          <w:color w:val="000000"/>
          <w:sz w:val="26"/>
          <w:szCs w:val="26"/>
          <w:lang w:val="lt-LT"/>
        </w:rPr>
        <w:t>žiūrėta 2006 m. sausio 8 d.]. Prieiga per internetą: &lt;http://</w:t>
      </w:r>
      <w:r w:rsidRPr="007928C8">
        <w:rPr>
          <w:sz w:val="26"/>
          <w:szCs w:val="26"/>
        </w:rPr>
        <w:t>www.mc2consulting.com&gt;.</w:t>
      </w:r>
    </w:p>
    <w:p w:rsidR="00C70371" w:rsidRDefault="00EF5ED3" w:rsidP="00C70371">
      <w:pPr>
        <w:numPr>
          <w:ilvl w:val="0"/>
          <w:numId w:val="4"/>
        </w:numPr>
        <w:tabs>
          <w:tab w:val="clear" w:pos="720"/>
          <w:tab w:val="left" w:pos="567"/>
          <w:tab w:val="left" w:pos="709"/>
        </w:tabs>
        <w:spacing w:before="120"/>
        <w:ind w:left="567" w:hanging="567"/>
        <w:jc w:val="both"/>
        <w:rPr>
          <w:color w:val="000000"/>
          <w:sz w:val="26"/>
          <w:szCs w:val="26"/>
          <w:lang w:val="lt-LT"/>
        </w:rPr>
      </w:pPr>
      <w:r w:rsidRPr="00C70371">
        <w:rPr>
          <w:sz w:val="26"/>
          <w:szCs w:val="26"/>
          <w:lang w:val="lt-LT"/>
        </w:rPr>
        <w:t>MESSIER</w:t>
      </w:r>
      <w:r w:rsidR="008112D3" w:rsidRPr="00C70371">
        <w:rPr>
          <w:sz w:val="26"/>
          <w:szCs w:val="26"/>
          <w:lang w:val="lt-LT"/>
        </w:rPr>
        <w:t xml:space="preserve"> Jr.,</w:t>
      </w:r>
      <w:r w:rsidRPr="00C70371">
        <w:rPr>
          <w:sz w:val="26"/>
          <w:szCs w:val="26"/>
          <w:lang w:val="lt-LT"/>
        </w:rPr>
        <w:t xml:space="preserve"> William</w:t>
      </w:r>
      <w:r w:rsidR="009A7CEE" w:rsidRPr="00C70371">
        <w:rPr>
          <w:sz w:val="26"/>
          <w:szCs w:val="26"/>
          <w:lang w:val="lt-LT"/>
        </w:rPr>
        <w:t xml:space="preserve"> F.</w:t>
      </w:r>
      <w:r w:rsidR="006F51CE" w:rsidRPr="00C70371">
        <w:rPr>
          <w:sz w:val="26"/>
          <w:szCs w:val="26"/>
          <w:lang w:val="lt-LT"/>
        </w:rPr>
        <w:t>;</w:t>
      </w:r>
      <w:r w:rsidRPr="00C70371">
        <w:rPr>
          <w:sz w:val="26"/>
          <w:szCs w:val="26"/>
          <w:lang w:val="lt-LT"/>
        </w:rPr>
        <w:t xml:space="preserve"> </w:t>
      </w:r>
      <w:r w:rsidR="009A7CEE" w:rsidRPr="00C70371">
        <w:rPr>
          <w:sz w:val="26"/>
          <w:szCs w:val="26"/>
          <w:lang w:val="lt-LT"/>
        </w:rPr>
        <w:t>AUSTEN</w:t>
      </w:r>
      <w:r w:rsidRPr="00C70371">
        <w:rPr>
          <w:sz w:val="26"/>
          <w:szCs w:val="26"/>
          <w:lang w:val="lt-LT"/>
        </w:rPr>
        <w:t xml:space="preserve">, </w:t>
      </w:r>
      <w:r w:rsidR="009A7CEE" w:rsidRPr="00C70371">
        <w:rPr>
          <w:sz w:val="26"/>
          <w:szCs w:val="26"/>
        </w:rPr>
        <w:t>Lizabeth</w:t>
      </w:r>
      <w:r w:rsidR="009A7CEE" w:rsidRPr="00C70371">
        <w:rPr>
          <w:sz w:val="26"/>
          <w:szCs w:val="26"/>
          <w:lang w:val="lt-LT"/>
        </w:rPr>
        <w:t xml:space="preserve"> A.</w:t>
      </w:r>
      <w:r w:rsidRPr="00C70371">
        <w:rPr>
          <w:sz w:val="26"/>
          <w:szCs w:val="26"/>
          <w:lang w:val="lt-LT"/>
        </w:rPr>
        <w:t xml:space="preserve"> (2000</w:t>
      </w:r>
      <w:r w:rsidR="00721E22" w:rsidRPr="00C70371">
        <w:rPr>
          <w:sz w:val="26"/>
          <w:szCs w:val="26"/>
          <w:lang w:val="lt-LT"/>
        </w:rPr>
        <w:t>a</w:t>
      </w:r>
      <w:r w:rsidRPr="00C70371">
        <w:rPr>
          <w:sz w:val="26"/>
          <w:szCs w:val="26"/>
          <w:lang w:val="lt-LT"/>
        </w:rPr>
        <w:t xml:space="preserve">) </w:t>
      </w:r>
      <w:r w:rsidR="009A7CEE" w:rsidRPr="00C70371">
        <w:rPr>
          <w:sz w:val="26"/>
          <w:szCs w:val="26"/>
        </w:rPr>
        <w:t>Inherent risk and control risk assessments</w:t>
      </w:r>
      <w:r w:rsidRPr="00C70371">
        <w:rPr>
          <w:i/>
          <w:sz w:val="26"/>
          <w:szCs w:val="26"/>
          <w:lang w:val="lt-LT"/>
        </w:rPr>
        <w:t>.</w:t>
      </w:r>
      <w:r w:rsidRPr="00C70371">
        <w:rPr>
          <w:sz w:val="26"/>
          <w:szCs w:val="26"/>
          <w:lang w:val="lt-LT"/>
        </w:rPr>
        <w:t xml:space="preserve"> Iš </w:t>
      </w:r>
      <w:r w:rsidRPr="00C70371">
        <w:rPr>
          <w:i/>
          <w:sz w:val="26"/>
          <w:szCs w:val="26"/>
          <w:lang w:val="lt-LT"/>
        </w:rPr>
        <w:t xml:space="preserve">AICPA </w:t>
      </w:r>
      <w:r w:rsidRPr="00C70371">
        <w:rPr>
          <w:sz w:val="26"/>
          <w:szCs w:val="26"/>
          <w:lang w:val="lt-LT"/>
        </w:rPr>
        <w:t>[interaktyvus]. [</w:t>
      </w:r>
      <w:r w:rsidRPr="00C70371">
        <w:rPr>
          <w:color w:val="000000"/>
          <w:sz w:val="26"/>
          <w:szCs w:val="26"/>
          <w:lang w:val="lt-LT"/>
        </w:rPr>
        <w:t>žiūrėta 200</w:t>
      </w:r>
      <w:r w:rsidR="007F777F" w:rsidRPr="00C70371">
        <w:rPr>
          <w:color w:val="000000"/>
          <w:sz w:val="26"/>
          <w:szCs w:val="26"/>
          <w:lang w:val="lt-LT"/>
        </w:rPr>
        <w:t>6</w:t>
      </w:r>
      <w:r w:rsidR="000B563C" w:rsidRPr="00C70371">
        <w:rPr>
          <w:color w:val="000000"/>
          <w:sz w:val="26"/>
          <w:szCs w:val="26"/>
          <w:lang w:val="lt-LT"/>
        </w:rPr>
        <w:t xml:space="preserve"> m. sausio 1</w:t>
      </w:r>
      <w:r w:rsidRPr="00C70371">
        <w:rPr>
          <w:color w:val="000000"/>
          <w:sz w:val="26"/>
          <w:szCs w:val="26"/>
          <w:lang w:val="lt-LT"/>
        </w:rPr>
        <w:t>5</w:t>
      </w:r>
      <w:r w:rsidR="000B563C" w:rsidRPr="00C70371">
        <w:rPr>
          <w:color w:val="000000"/>
          <w:sz w:val="26"/>
          <w:szCs w:val="26"/>
          <w:lang w:val="lt-LT"/>
        </w:rPr>
        <w:t xml:space="preserve"> d.</w:t>
      </w:r>
      <w:r w:rsidRPr="00C70371">
        <w:rPr>
          <w:color w:val="000000"/>
          <w:sz w:val="26"/>
          <w:szCs w:val="26"/>
          <w:lang w:val="lt-LT"/>
        </w:rPr>
        <w:t>]. Prieiga per internetą:</w:t>
      </w:r>
    </w:p>
    <w:p w:rsidR="00C70371" w:rsidRPr="00C70371" w:rsidRDefault="00EF5ED3" w:rsidP="00C70371">
      <w:pPr>
        <w:tabs>
          <w:tab w:val="left" w:pos="567"/>
          <w:tab w:val="left" w:pos="709"/>
        </w:tabs>
        <w:ind w:left="567"/>
        <w:jc w:val="both"/>
        <w:rPr>
          <w:color w:val="000000"/>
          <w:sz w:val="26"/>
          <w:szCs w:val="26"/>
          <w:lang w:val="lt-LT"/>
        </w:rPr>
      </w:pPr>
      <w:r w:rsidRPr="00C70371">
        <w:rPr>
          <w:color w:val="000000"/>
          <w:sz w:val="26"/>
          <w:szCs w:val="26"/>
          <w:lang w:val="lt-LT"/>
        </w:rPr>
        <w:t xml:space="preserve"> &lt;</w:t>
      </w:r>
      <w:r w:rsidRPr="00C70371">
        <w:rPr>
          <w:sz w:val="26"/>
          <w:szCs w:val="26"/>
          <w:lang w:val="lt-LT"/>
        </w:rPr>
        <w:t>http://www.aicpa.org/pubs/jofa/sep2000/prac-aud.htm</w:t>
      </w:r>
      <w:r w:rsidRPr="00C70371">
        <w:rPr>
          <w:color w:val="000000"/>
          <w:sz w:val="26"/>
          <w:szCs w:val="26"/>
          <w:lang w:val="lt-LT"/>
        </w:rPr>
        <w:t>&gt;.</w:t>
      </w:r>
    </w:p>
    <w:p w:rsidR="00721E22" w:rsidRPr="007928C8" w:rsidRDefault="00721E22"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MESSIER Jr., William F.; AUSTEN, Lizabeth A. (2000b) </w:t>
      </w:r>
      <w:r w:rsidRPr="007928C8">
        <w:rPr>
          <w:sz w:val="26"/>
          <w:szCs w:val="26"/>
        </w:rPr>
        <w:t>Inherent risk and control risk assessments</w:t>
      </w:r>
      <w:r w:rsidR="008117E5" w:rsidRPr="007928C8">
        <w:rPr>
          <w:sz w:val="26"/>
          <w:szCs w:val="26"/>
        </w:rPr>
        <w:t>: Evidence on the Effect of Pervasive and Specific Risk Factors</w:t>
      </w:r>
      <w:r w:rsidRPr="007928C8">
        <w:rPr>
          <w:i/>
          <w:sz w:val="26"/>
          <w:szCs w:val="26"/>
          <w:lang w:val="lt-LT"/>
        </w:rPr>
        <w:t>.</w:t>
      </w:r>
      <w:r w:rsidRPr="007928C8">
        <w:rPr>
          <w:sz w:val="26"/>
          <w:szCs w:val="26"/>
          <w:lang w:val="lt-LT"/>
        </w:rPr>
        <w:t xml:space="preserve"> Iš </w:t>
      </w:r>
      <w:r w:rsidRPr="007928C8">
        <w:rPr>
          <w:i/>
          <w:sz w:val="26"/>
          <w:szCs w:val="26"/>
          <w:lang w:val="lt-LT"/>
        </w:rPr>
        <w:t xml:space="preserve">Auditing: </w:t>
      </w:r>
      <w:r w:rsidRPr="007928C8">
        <w:rPr>
          <w:i/>
          <w:sz w:val="26"/>
          <w:szCs w:val="26"/>
        </w:rPr>
        <w:t>A Journal of Practice &amp; Theory</w:t>
      </w:r>
      <w:r w:rsidRPr="007928C8">
        <w:rPr>
          <w:i/>
          <w:sz w:val="26"/>
          <w:szCs w:val="26"/>
          <w:lang w:val="lt-LT"/>
        </w:rPr>
        <w:t xml:space="preserve"> </w:t>
      </w:r>
      <w:r w:rsidRPr="007928C8">
        <w:rPr>
          <w:sz w:val="26"/>
          <w:szCs w:val="26"/>
          <w:lang w:val="lt-LT"/>
        </w:rPr>
        <w:t xml:space="preserve">[interaktyvus]. </w:t>
      </w:r>
      <w:r w:rsidR="008117E5" w:rsidRPr="007928C8">
        <w:rPr>
          <w:sz w:val="26"/>
          <w:szCs w:val="26"/>
          <w:lang w:val="lt-LT"/>
        </w:rPr>
        <w:t>V</w:t>
      </w:r>
      <w:r w:rsidR="00FB0897" w:rsidRPr="007928C8">
        <w:rPr>
          <w:sz w:val="26"/>
          <w:szCs w:val="26"/>
          <w:lang w:val="lt-LT"/>
        </w:rPr>
        <w:t xml:space="preserve">ol. 19, </w:t>
      </w:r>
      <w:r w:rsidR="00FB0897" w:rsidRPr="007928C8">
        <w:rPr>
          <w:sz w:val="26"/>
          <w:szCs w:val="26"/>
        </w:rPr>
        <w:t xml:space="preserve">no. 2, </w:t>
      </w:r>
      <w:r w:rsidRPr="007928C8">
        <w:rPr>
          <w:sz w:val="26"/>
          <w:szCs w:val="26"/>
          <w:lang w:val="lt-LT"/>
        </w:rPr>
        <w:t>[</w:t>
      </w:r>
      <w:r w:rsidRPr="007928C8">
        <w:rPr>
          <w:color w:val="000000"/>
          <w:sz w:val="26"/>
          <w:szCs w:val="26"/>
          <w:lang w:val="lt-LT"/>
        </w:rPr>
        <w:t>žiūrėta 2007 m. lapkričio 17 d.]</w:t>
      </w:r>
      <w:r w:rsidR="00FB0897" w:rsidRPr="007928C8">
        <w:rPr>
          <w:sz w:val="26"/>
          <w:szCs w:val="26"/>
        </w:rPr>
        <w:t xml:space="preserve">, p. 119 – 131. </w:t>
      </w:r>
      <w:r w:rsidR="00FB0897" w:rsidRPr="007928C8">
        <w:rPr>
          <w:color w:val="000000"/>
          <w:sz w:val="26"/>
          <w:szCs w:val="26"/>
          <w:lang w:val="lt-LT"/>
        </w:rPr>
        <w:t xml:space="preserve">Prieiga per internetą: &lt;http://web.ebscohost.com/bsi/pdf&gt; . </w:t>
      </w:r>
    </w:p>
    <w:p w:rsidR="001823A6" w:rsidRPr="007928C8" w:rsidRDefault="001823A6"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MESSIER Jr., William F.; AUSTEN, Lizabeth A. (2000c) </w:t>
      </w:r>
      <w:r w:rsidRPr="007928C8">
        <w:rPr>
          <w:sz w:val="26"/>
          <w:szCs w:val="26"/>
        </w:rPr>
        <w:t>Inherent risk and control risk assessments: Pervasive and specific risk factors share the floor</w:t>
      </w:r>
      <w:r w:rsidRPr="007928C8">
        <w:rPr>
          <w:i/>
          <w:sz w:val="26"/>
          <w:szCs w:val="26"/>
          <w:lang w:val="lt-LT"/>
        </w:rPr>
        <w:t>.</w:t>
      </w:r>
      <w:r w:rsidRPr="007928C8">
        <w:rPr>
          <w:sz w:val="26"/>
          <w:szCs w:val="26"/>
          <w:lang w:val="lt-LT"/>
        </w:rPr>
        <w:t xml:space="preserve"> Iš </w:t>
      </w:r>
      <w:r w:rsidRPr="007928C8">
        <w:rPr>
          <w:i/>
          <w:sz w:val="26"/>
          <w:szCs w:val="26"/>
          <w:lang w:val="lt-LT"/>
        </w:rPr>
        <w:t xml:space="preserve">Journal </w:t>
      </w:r>
      <w:r w:rsidRPr="007928C8">
        <w:rPr>
          <w:i/>
          <w:sz w:val="26"/>
          <w:szCs w:val="26"/>
        </w:rPr>
        <w:t xml:space="preserve">of Accountancy </w:t>
      </w:r>
      <w:r w:rsidRPr="007928C8">
        <w:rPr>
          <w:sz w:val="26"/>
          <w:szCs w:val="26"/>
          <w:lang w:val="lt-LT"/>
        </w:rPr>
        <w:t>[interaktyvus]. September</w:t>
      </w:r>
      <w:r w:rsidRPr="007928C8">
        <w:rPr>
          <w:sz w:val="26"/>
          <w:szCs w:val="26"/>
        </w:rPr>
        <w:t xml:space="preserve">, </w:t>
      </w:r>
      <w:r w:rsidRPr="007928C8">
        <w:rPr>
          <w:sz w:val="26"/>
          <w:szCs w:val="26"/>
          <w:lang w:val="lt-LT"/>
        </w:rPr>
        <w:t>[</w:t>
      </w:r>
      <w:r w:rsidRPr="007928C8">
        <w:rPr>
          <w:color w:val="000000"/>
          <w:sz w:val="26"/>
          <w:szCs w:val="26"/>
          <w:lang w:val="lt-LT"/>
        </w:rPr>
        <w:t>žiūrėta 2007 m. lapkričio 17 d.]</w:t>
      </w:r>
      <w:r w:rsidRPr="007928C8">
        <w:rPr>
          <w:sz w:val="26"/>
          <w:szCs w:val="26"/>
        </w:rPr>
        <w:t xml:space="preserve">, p. 104. </w:t>
      </w:r>
      <w:r w:rsidRPr="007928C8">
        <w:rPr>
          <w:color w:val="000000"/>
          <w:sz w:val="26"/>
          <w:szCs w:val="26"/>
          <w:lang w:val="lt-LT"/>
        </w:rPr>
        <w:t xml:space="preserve">Prieiga per internetą: &lt;http://web.ebscohost.com/bsi/pdf&gt; . </w:t>
      </w:r>
    </w:p>
    <w:p w:rsidR="001C5F90" w:rsidRPr="007928C8" w:rsidRDefault="00B80A8B"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rPr>
        <w:t>MITCHELL, Scott H. (2005</w:t>
      </w:r>
      <w:r w:rsidR="001F4AC5" w:rsidRPr="007928C8">
        <w:rPr>
          <w:sz w:val="26"/>
          <w:szCs w:val="26"/>
        </w:rPr>
        <w:t>a</w:t>
      </w:r>
      <w:r w:rsidRPr="007928C8">
        <w:rPr>
          <w:sz w:val="26"/>
          <w:szCs w:val="26"/>
        </w:rPr>
        <w:t xml:space="preserve">) </w:t>
      </w:r>
      <w:r w:rsidRPr="007928C8">
        <w:rPr>
          <w:i/>
          <w:sz w:val="26"/>
          <w:szCs w:val="26"/>
        </w:rPr>
        <w:t>Audit risk.</w:t>
      </w:r>
      <w:r w:rsidRPr="007928C8">
        <w:rPr>
          <w:sz w:val="26"/>
          <w:szCs w:val="26"/>
        </w:rPr>
        <w:t xml:space="preserve"> Iš </w:t>
      </w:r>
      <w:r w:rsidRPr="007928C8">
        <w:rPr>
          <w:i/>
          <w:sz w:val="26"/>
          <w:szCs w:val="26"/>
        </w:rPr>
        <w:t>The secured lender</w:t>
      </w:r>
      <w:r w:rsidRPr="007928C8">
        <w:rPr>
          <w:sz w:val="26"/>
          <w:szCs w:val="26"/>
        </w:rPr>
        <w:t xml:space="preserve"> [interaktyvus]. January/</w:t>
      </w:r>
      <w:r w:rsidR="006B18A9" w:rsidRPr="007928C8">
        <w:rPr>
          <w:sz w:val="26"/>
          <w:szCs w:val="26"/>
        </w:rPr>
        <w:t>F</w:t>
      </w:r>
      <w:r w:rsidRPr="007928C8">
        <w:rPr>
          <w:sz w:val="26"/>
          <w:szCs w:val="26"/>
        </w:rPr>
        <w:t>ebruary,</w:t>
      </w:r>
      <w:r w:rsidR="009F104A" w:rsidRPr="007928C8">
        <w:rPr>
          <w:sz w:val="26"/>
          <w:szCs w:val="26"/>
        </w:rPr>
        <w:t xml:space="preserve"> vol. 61, issue 1,</w:t>
      </w:r>
      <w:r w:rsidRPr="007928C8">
        <w:rPr>
          <w:sz w:val="26"/>
          <w:szCs w:val="26"/>
        </w:rPr>
        <w:t xml:space="preserve"> [žiūrėta </w:t>
      </w:r>
      <w:r w:rsidRPr="007928C8">
        <w:rPr>
          <w:sz w:val="26"/>
          <w:szCs w:val="26"/>
          <w:lang w:val="lt-LT"/>
        </w:rPr>
        <w:t xml:space="preserve">2006 m. kovo 17 </w:t>
      </w:r>
      <w:r w:rsidRPr="007928C8">
        <w:rPr>
          <w:sz w:val="26"/>
          <w:szCs w:val="26"/>
        </w:rPr>
        <w:t>d.]</w:t>
      </w:r>
      <w:r w:rsidR="001F4AC5" w:rsidRPr="007928C8">
        <w:rPr>
          <w:sz w:val="26"/>
          <w:szCs w:val="26"/>
        </w:rPr>
        <w:t>,</w:t>
      </w:r>
      <w:r w:rsidRPr="007928C8">
        <w:rPr>
          <w:sz w:val="26"/>
          <w:szCs w:val="26"/>
        </w:rPr>
        <w:t xml:space="preserve"> </w:t>
      </w:r>
      <w:r w:rsidR="009F104A" w:rsidRPr="007928C8">
        <w:rPr>
          <w:sz w:val="26"/>
          <w:szCs w:val="26"/>
        </w:rPr>
        <w:t>p. 22–</w:t>
      </w:r>
      <w:r w:rsidRPr="007928C8">
        <w:rPr>
          <w:sz w:val="26"/>
          <w:szCs w:val="26"/>
        </w:rPr>
        <w:t>25.</w:t>
      </w:r>
      <w:r w:rsidR="00707812" w:rsidRPr="007928C8">
        <w:rPr>
          <w:sz w:val="26"/>
          <w:szCs w:val="26"/>
        </w:rPr>
        <w:t xml:space="preserve"> </w:t>
      </w:r>
      <w:r w:rsidR="001C5F90" w:rsidRPr="007928C8">
        <w:rPr>
          <w:color w:val="000000"/>
          <w:sz w:val="26"/>
          <w:szCs w:val="26"/>
          <w:lang w:val="lt-LT"/>
        </w:rPr>
        <w:t>Prieiga per internetą: &lt;http://web.ebscohost.com/bsi/pdf&gt; .</w:t>
      </w:r>
    </w:p>
    <w:p w:rsidR="001C5F90" w:rsidRPr="007928C8" w:rsidRDefault="001F4AC5"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sz w:val="26"/>
          <w:szCs w:val="26"/>
        </w:rPr>
        <w:t>Mitchel</w:t>
      </w:r>
      <w:r w:rsidRPr="007928C8">
        <w:rPr>
          <w:sz w:val="26"/>
          <w:szCs w:val="26"/>
        </w:rPr>
        <w:t xml:space="preserve">, Scott H. (2005b) </w:t>
      </w:r>
      <w:r w:rsidRPr="007928C8">
        <w:rPr>
          <w:i/>
          <w:sz w:val="26"/>
          <w:szCs w:val="26"/>
        </w:rPr>
        <w:t>Audit risk: Part two</w:t>
      </w:r>
      <w:r w:rsidRPr="007928C8">
        <w:rPr>
          <w:sz w:val="26"/>
          <w:szCs w:val="26"/>
        </w:rPr>
        <w:t xml:space="preserve">. Iš </w:t>
      </w:r>
      <w:r w:rsidRPr="007928C8">
        <w:rPr>
          <w:i/>
          <w:sz w:val="26"/>
          <w:szCs w:val="26"/>
        </w:rPr>
        <w:t xml:space="preserve">The secured lender </w:t>
      </w:r>
      <w:r w:rsidRPr="007928C8">
        <w:rPr>
          <w:sz w:val="26"/>
          <w:szCs w:val="26"/>
        </w:rPr>
        <w:t xml:space="preserve">[interaktyvus]. </w:t>
      </w:r>
      <w:r w:rsidR="001C5F90" w:rsidRPr="007928C8">
        <w:rPr>
          <w:sz w:val="26"/>
          <w:szCs w:val="26"/>
        </w:rPr>
        <w:t>March/</w:t>
      </w:r>
      <w:r w:rsidR="006B18A9" w:rsidRPr="007928C8">
        <w:rPr>
          <w:sz w:val="26"/>
          <w:szCs w:val="26"/>
        </w:rPr>
        <w:t>A</w:t>
      </w:r>
      <w:r w:rsidR="001C5F90" w:rsidRPr="007928C8">
        <w:rPr>
          <w:sz w:val="26"/>
          <w:szCs w:val="26"/>
        </w:rPr>
        <w:t>pri</w:t>
      </w:r>
      <w:r w:rsidR="009F104A" w:rsidRPr="007928C8">
        <w:rPr>
          <w:sz w:val="26"/>
          <w:szCs w:val="26"/>
        </w:rPr>
        <w:t>l, vol. 61, issue 2</w:t>
      </w:r>
      <w:r w:rsidR="009F104A" w:rsidRPr="007928C8">
        <w:rPr>
          <w:color w:val="000000"/>
          <w:sz w:val="26"/>
          <w:szCs w:val="26"/>
        </w:rPr>
        <w:t>,</w:t>
      </w:r>
      <w:r w:rsidR="00707812" w:rsidRPr="007928C8">
        <w:rPr>
          <w:color w:val="000000"/>
          <w:sz w:val="26"/>
          <w:szCs w:val="26"/>
        </w:rPr>
        <w:t xml:space="preserve"> </w:t>
      </w:r>
      <w:r w:rsidR="009F104A" w:rsidRPr="007928C8">
        <w:rPr>
          <w:color w:val="000000"/>
          <w:sz w:val="26"/>
          <w:szCs w:val="26"/>
        </w:rPr>
        <w:t>[</w:t>
      </w:r>
      <w:r w:rsidR="00707812" w:rsidRPr="007928C8">
        <w:rPr>
          <w:color w:val="000000"/>
          <w:sz w:val="26"/>
          <w:szCs w:val="26"/>
        </w:rPr>
        <w:t>žiūrė</w:t>
      </w:r>
      <w:r w:rsidR="00707812" w:rsidRPr="007928C8">
        <w:rPr>
          <w:sz w:val="26"/>
          <w:szCs w:val="26"/>
        </w:rPr>
        <w:t xml:space="preserve">ta </w:t>
      </w:r>
      <w:r w:rsidR="00707812" w:rsidRPr="007928C8">
        <w:rPr>
          <w:sz w:val="26"/>
          <w:szCs w:val="26"/>
          <w:lang w:val="lt-LT"/>
        </w:rPr>
        <w:t>2006 m. kovo 17 d</w:t>
      </w:r>
      <w:r w:rsidR="00707812" w:rsidRPr="007928C8">
        <w:rPr>
          <w:sz w:val="26"/>
          <w:szCs w:val="26"/>
        </w:rPr>
        <w:t xml:space="preserve">.], </w:t>
      </w:r>
      <w:r w:rsidRPr="007928C8">
        <w:rPr>
          <w:sz w:val="26"/>
          <w:szCs w:val="26"/>
        </w:rPr>
        <w:t>p. 50</w:t>
      </w:r>
      <w:r w:rsidR="009F104A" w:rsidRPr="007928C8">
        <w:rPr>
          <w:sz w:val="26"/>
          <w:szCs w:val="26"/>
        </w:rPr>
        <w:t>–</w:t>
      </w:r>
      <w:r w:rsidRPr="007928C8">
        <w:rPr>
          <w:sz w:val="26"/>
          <w:szCs w:val="26"/>
        </w:rPr>
        <w:t>52.</w:t>
      </w:r>
      <w:r w:rsidR="00707812" w:rsidRPr="007928C8">
        <w:rPr>
          <w:sz w:val="26"/>
          <w:szCs w:val="26"/>
        </w:rPr>
        <w:t xml:space="preserve"> </w:t>
      </w:r>
      <w:r w:rsidR="001C5F90" w:rsidRPr="007928C8">
        <w:rPr>
          <w:color w:val="000000"/>
          <w:sz w:val="26"/>
          <w:szCs w:val="26"/>
          <w:lang w:val="lt-LT"/>
        </w:rPr>
        <w:t>Prieiga per internetą: &lt;http://web.ebscohost.com/bsi/pdf&gt; .</w:t>
      </w:r>
    </w:p>
    <w:p w:rsidR="00255564" w:rsidRPr="007928C8" w:rsidRDefault="00D319E7"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sz w:val="26"/>
          <w:szCs w:val="26"/>
        </w:rPr>
        <w:lastRenderedPageBreak/>
        <w:t xml:space="preserve">MOCK, Theodore J.; TURNER, Jerry L. (2005) Auditor Identification of Fraud </w:t>
      </w:r>
      <w:r w:rsidR="0010280A" w:rsidRPr="007928C8">
        <w:rPr>
          <w:sz w:val="26"/>
          <w:szCs w:val="26"/>
        </w:rPr>
        <w:t xml:space="preserve">Risk Factors and their Impact on Audit Programs. Iš </w:t>
      </w:r>
      <w:r w:rsidR="0010280A" w:rsidRPr="007928C8">
        <w:rPr>
          <w:i/>
          <w:sz w:val="26"/>
          <w:szCs w:val="26"/>
        </w:rPr>
        <w:t>International Journal of Auditing</w:t>
      </w:r>
      <w:r w:rsidR="0010280A" w:rsidRPr="007928C8">
        <w:rPr>
          <w:sz w:val="26"/>
          <w:szCs w:val="26"/>
        </w:rPr>
        <w:t xml:space="preserve"> [interaktyvus]. no. 9, [žiūrėta 20</w:t>
      </w:r>
      <w:r w:rsidR="0010280A" w:rsidRPr="007928C8">
        <w:rPr>
          <w:sz w:val="26"/>
          <w:szCs w:val="26"/>
          <w:lang w:val="lt-LT"/>
        </w:rPr>
        <w:t>06 m. kovo 17 d.</w:t>
      </w:r>
      <w:r w:rsidR="0010280A" w:rsidRPr="007928C8">
        <w:rPr>
          <w:sz w:val="26"/>
          <w:szCs w:val="26"/>
        </w:rPr>
        <w:t xml:space="preserve">], p. 59 – 77. </w:t>
      </w:r>
      <w:r w:rsidR="00255564" w:rsidRPr="007928C8">
        <w:rPr>
          <w:color w:val="000000"/>
          <w:sz w:val="26"/>
          <w:szCs w:val="26"/>
          <w:lang w:val="lt-LT"/>
        </w:rPr>
        <w:t>Prieiga per internetą: &lt;http://web.ebscohost.com/bsi/pdf&gt; .</w:t>
      </w:r>
    </w:p>
    <w:p w:rsidR="00987B87" w:rsidRPr="007928C8" w:rsidRDefault="006A4197" w:rsidP="000406FA">
      <w:pPr>
        <w:numPr>
          <w:ilvl w:val="0"/>
          <w:numId w:val="4"/>
        </w:numPr>
        <w:tabs>
          <w:tab w:val="clear" w:pos="720"/>
          <w:tab w:val="left" w:pos="567"/>
          <w:tab w:val="left" w:pos="709"/>
        </w:tabs>
        <w:spacing w:before="120"/>
        <w:ind w:left="567" w:hanging="567"/>
        <w:jc w:val="both"/>
        <w:rPr>
          <w:sz w:val="26"/>
          <w:szCs w:val="26"/>
        </w:rPr>
      </w:pPr>
      <w:r w:rsidRPr="007928C8">
        <w:rPr>
          <w:color w:val="000000"/>
          <w:sz w:val="26"/>
          <w:szCs w:val="26"/>
          <w:lang w:val="lt-LT"/>
        </w:rPr>
        <w:t xml:space="preserve">MOELLER, Robert R. (2007) </w:t>
      </w:r>
      <w:r w:rsidRPr="007928C8">
        <w:rPr>
          <w:i/>
          <w:color w:val="000000"/>
          <w:sz w:val="26"/>
          <w:szCs w:val="26"/>
        </w:rPr>
        <w:t>COSO Enterprise Risk Management:</w:t>
      </w:r>
      <w:r w:rsidR="00987B87" w:rsidRPr="007928C8">
        <w:rPr>
          <w:i/>
          <w:color w:val="000000"/>
          <w:sz w:val="26"/>
          <w:szCs w:val="26"/>
        </w:rPr>
        <w:t xml:space="preserve"> Understanding the New Integrated ERM Framework</w:t>
      </w:r>
      <w:r w:rsidR="00987B87" w:rsidRPr="007928C8">
        <w:rPr>
          <w:color w:val="000000"/>
          <w:sz w:val="26"/>
          <w:szCs w:val="26"/>
          <w:lang w:val="lt-LT"/>
        </w:rPr>
        <w:t xml:space="preserve">. </w:t>
      </w:r>
      <w:r w:rsidR="00987B87" w:rsidRPr="007928C8">
        <w:rPr>
          <w:color w:val="000000"/>
          <w:sz w:val="26"/>
          <w:szCs w:val="26"/>
        </w:rPr>
        <w:t xml:space="preserve">John Wiley &amp; </w:t>
      </w:r>
      <w:r w:rsidR="00987B87" w:rsidRPr="007928C8">
        <w:rPr>
          <w:sz w:val="26"/>
          <w:szCs w:val="26"/>
        </w:rPr>
        <w:t xml:space="preserve">Sons, Inc., 367 p. ISBN 978-0-471-74115-2. </w:t>
      </w:r>
    </w:p>
    <w:p w:rsidR="00835190" w:rsidRPr="007928C8" w:rsidRDefault="00835190"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sz w:val="26"/>
          <w:szCs w:val="26"/>
          <w:lang w:val="lt-LT"/>
        </w:rPr>
        <w:t>Mukherjee</w:t>
      </w:r>
      <w:r w:rsidRPr="007928C8">
        <w:rPr>
          <w:sz w:val="26"/>
          <w:szCs w:val="26"/>
          <w:lang w:val="lt-LT"/>
        </w:rPr>
        <w:t xml:space="preserve"> Anup</w:t>
      </w:r>
      <w:r w:rsidR="006A4197" w:rsidRPr="007928C8">
        <w:rPr>
          <w:sz w:val="26"/>
          <w:szCs w:val="26"/>
          <w:lang w:val="lt-LT"/>
        </w:rPr>
        <w:t>. (2006)</w:t>
      </w:r>
      <w:r w:rsidR="00F7203A" w:rsidRPr="007928C8">
        <w:rPr>
          <w:sz w:val="26"/>
          <w:szCs w:val="26"/>
          <w:lang w:val="lt-LT"/>
        </w:rPr>
        <w:t xml:space="preserve"> </w:t>
      </w:r>
      <w:r w:rsidR="00F7203A" w:rsidRPr="007928C8">
        <w:rPr>
          <w:sz w:val="26"/>
          <w:szCs w:val="26"/>
        </w:rPr>
        <w:t>Corporate Fraud and Audit Risk</w:t>
      </w:r>
      <w:r w:rsidR="00F7203A" w:rsidRPr="007928C8">
        <w:rPr>
          <w:sz w:val="26"/>
          <w:szCs w:val="26"/>
          <w:lang w:val="lt-LT"/>
        </w:rPr>
        <w:t xml:space="preserve">. [interaktyvus], </w:t>
      </w:r>
      <w:r w:rsidR="00F7203A" w:rsidRPr="007928C8">
        <w:rPr>
          <w:sz w:val="26"/>
          <w:szCs w:val="26"/>
        </w:rPr>
        <w:t xml:space="preserve">December </w:t>
      </w:r>
      <w:r w:rsidR="00F7203A" w:rsidRPr="007928C8">
        <w:rPr>
          <w:sz w:val="26"/>
          <w:szCs w:val="26"/>
          <w:lang w:val="lt-LT"/>
        </w:rPr>
        <w:t xml:space="preserve">10th, </w:t>
      </w:r>
      <w:r w:rsidR="00F7203A" w:rsidRPr="007928C8">
        <w:rPr>
          <w:sz w:val="26"/>
          <w:szCs w:val="26"/>
        </w:rPr>
        <w:t>[žiūrėta 20</w:t>
      </w:r>
      <w:r w:rsidR="00F7203A" w:rsidRPr="007928C8">
        <w:rPr>
          <w:sz w:val="26"/>
          <w:szCs w:val="26"/>
          <w:lang w:val="lt-LT"/>
        </w:rPr>
        <w:t>08 m. rugsėjo 2 d.</w:t>
      </w:r>
      <w:r w:rsidR="00F7203A" w:rsidRPr="007928C8">
        <w:rPr>
          <w:sz w:val="26"/>
          <w:szCs w:val="26"/>
        </w:rPr>
        <w:t>], p. 1-3</w:t>
      </w:r>
      <w:r w:rsidR="00F7203A" w:rsidRPr="007928C8">
        <w:rPr>
          <w:sz w:val="26"/>
          <w:szCs w:val="26"/>
          <w:lang w:val="lt-LT"/>
        </w:rPr>
        <w:t xml:space="preserve">. </w:t>
      </w:r>
      <w:r w:rsidR="00F7203A" w:rsidRPr="007928C8">
        <w:rPr>
          <w:color w:val="000000"/>
          <w:sz w:val="26"/>
          <w:szCs w:val="26"/>
          <w:lang w:val="lt-LT"/>
        </w:rPr>
        <w:t xml:space="preserve">Prieiga per internetą: &lt;http://www.i3pep.org&gt;. </w:t>
      </w:r>
    </w:p>
    <w:p w:rsidR="008A7AC2" w:rsidRPr="007928C8" w:rsidRDefault="008A7AC2" w:rsidP="000406FA">
      <w:pPr>
        <w:pStyle w:val="ListParagraph"/>
        <w:numPr>
          <w:ilvl w:val="0"/>
          <w:numId w:val="4"/>
        </w:numPr>
        <w:tabs>
          <w:tab w:val="clear" w:pos="720"/>
          <w:tab w:val="left" w:pos="567"/>
          <w:tab w:val="left" w:pos="709"/>
        </w:tabs>
        <w:spacing w:before="120"/>
        <w:ind w:left="567" w:hanging="567"/>
        <w:jc w:val="both"/>
        <w:rPr>
          <w:sz w:val="26"/>
          <w:szCs w:val="26"/>
        </w:rPr>
      </w:pPr>
      <w:r w:rsidRPr="007928C8">
        <w:rPr>
          <w:caps/>
          <w:sz w:val="26"/>
          <w:szCs w:val="26"/>
          <w:lang w:val="lt-LT"/>
        </w:rPr>
        <w:t>Mun</w:t>
      </w:r>
      <w:r w:rsidR="00AD12C9" w:rsidRPr="007928C8">
        <w:rPr>
          <w:caps/>
          <w:sz w:val="26"/>
          <w:szCs w:val="26"/>
          <w:lang w:val="lt-LT"/>
        </w:rPr>
        <w:t>,</w:t>
      </w:r>
      <w:r w:rsidRPr="007928C8">
        <w:rPr>
          <w:sz w:val="26"/>
          <w:szCs w:val="26"/>
          <w:lang w:val="lt-LT"/>
        </w:rPr>
        <w:t xml:space="preserve"> Johnathan (2004). </w:t>
      </w:r>
      <w:r w:rsidRPr="007928C8">
        <w:rPr>
          <w:i/>
          <w:sz w:val="26"/>
          <w:szCs w:val="26"/>
        </w:rPr>
        <w:t>Applied Risk Analysis – Moving Beyond Uncertainty in Business</w:t>
      </w:r>
      <w:r w:rsidRPr="007928C8">
        <w:rPr>
          <w:sz w:val="26"/>
          <w:szCs w:val="26"/>
        </w:rPr>
        <w:t>. John Wiley &amp; Sons, Inc., p. 461. ISBN 0-471-47885-7.</w:t>
      </w:r>
    </w:p>
    <w:p w:rsidR="00842759" w:rsidRPr="007928C8" w:rsidRDefault="00842759"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1-asis Nacionalinis audito standartas „Finansinės atskaitomybės audito tikslai ir bendrieji principai“ (2006) </w:t>
      </w:r>
      <w:r w:rsidR="009318B2" w:rsidRPr="007928C8">
        <w:rPr>
          <w:sz w:val="26"/>
          <w:szCs w:val="26"/>
          <w:lang w:val="lt-LT"/>
        </w:rPr>
        <w:t xml:space="preserve">[interaktyvus]. </w:t>
      </w:r>
      <w:r w:rsidR="0053146F" w:rsidRPr="007928C8">
        <w:rPr>
          <w:sz w:val="26"/>
          <w:szCs w:val="26"/>
          <w:lang w:val="lt-LT"/>
        </w:rPr>
        <w:t xml:space="preserve">[žiūrėta 2006 m. </w:t>
      </w:r>
      <w:r w:rsidR="00323F07" w:rsidRPr="007928C8">
        <w:rPr>
          <w:sz w:val="26"/>
          <w:szCs w:val="26"/>
          <w:lang w:val="lt-LT"/>
        </w:rPr>
        <w:t>birželio</w:t>
      </w:r>
      <w:r w:rsidR="0053146F" w:rsidRPr="007928C8">
        <w:rPr>
          <w:sz w:val="26"/>
          <w:szCs w:val="26"/>
          <w:lang w:val="lt-LT"/>
        </w:rPr>
        <w:t xml:space="preserve"> 3 d.]. Prieiga per internetą</w:t>
      </w:r>
      <w:r w:rsidR="0053146F" w:rsidRPr="007928C8">
        <w:rPr>
          <w:rStyle w:val="terms"/>
          <w:sz w:val="26"/>
          <w:szCs w:val="26"/>
          <w:lang w:val="lt-LT"/>
        </w:rPr>
        <w:t xml:space="preserve">: </w:t>
      </w:r>
      <w:r w:rsidR="0064738C" w:rsidRPr="007928C8">
        <w:rPr>
          <w:rStyle w:val="terms"/>
          <w:sz w:val="26"/>
          <w:szCs w:val="26"/>
          <w:lang w:val="lt-LT"/>
        </w:rPr>
        <w:t>&lt;</w:t>
      </w:r>
      <w:r w:rsidR="00CC5CD9">
        <w:rPr>
          <w:sz w:val="26"/>
          <w:szCs w:val="26"/>
          <w:lang w:val="lt-LT"/>
        </w:rPr>
        <w:t>http://www.lar.lt</w:t>
      </w:r>
      <w:r w:rsidR="0064738C" w:rsidRPr="007928C8">
        <w:rPr>
          <w:sz w:val="26"/>
          <w:szCs w:val="26"/>
          <w:lang w:val="lt-LT"/>
        </w:rPr>
        <w:t>&gt; .</w:t>
      </w:r>
    </w:p>
    <w:p w:rsidR="00323F07" w:rsidRPr="007928C8" w:rsidRDefault="00323F07"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11-asis Nacionalinis audito standartas „Apgaulė ir klaida“ (2006) </w:t>
      </w:r>
      <w:r w:rsidR="009318B2" w:rsidRPr="007928C8">
        <w:rPr>
          <w:sz w:val="26"/>
          <w:szCs w:val="26"/>
          <w:lang w:val="lt-LT"/>
        </w:rPr>
        <w:t xml:space="preserve">[interaktyvus]. </w:t>
      </w:r>
      <w:r w:rsidRPr="007928C8">
        <w:rPr>
          <w:sz w:val="26"/>
          <w:szCs w:val="26"/>
          <w:lang w:val="lt-LT"/>
        </w:rPr>
        <w:t>[žiūrėta 2006 m. lapkričio 13 d.]. Prieiga per internetą</w:t>
      </w:r>
      <w:r w:rsidRPr="007928C8">
        <w:rPr>
          <w:rStyle w:val="terms"/>
          <w:sz w:val="26"/>
          <w:szCs w:val="26"/>
          <w:lang w:val="lt-LT"/>
        </w:rPr>
        <w:t>: &lt;</w:t>
      </w:r>
      <w:r w:rsidR="00CC5CD9">
        <w:rPr>
          <w:sz w:val="26"/>
          <w:szCs w:val="26"/>
          <w:lang w:val="lt-LT"/>
        </w:rPr>
        <w:t>http://www.lar.lt</w:t>
      </w:r>
      <w:r w:rsidRPr="007928C8">
        <w:rPr>
          <w:sz w:val="26"/>
          <w:szCs w:val="26"/>
          <w:lang w:val="lt-LT"/>
        </w:rPr>
        <w:t>&gt; .</w:t>
      </w:r>
    </w:p>
    <w:p w:rsidR="00CC5CD9" w:rsidRDefault="00A077FB" w:rsidP="000406FA">
      <w:pPr>
        <w:numPr>
          <w:ilvl w:val="0"/>
          <w:numId w:val="4"/>
        </w:numPr>
        <w:tabs>
          <w:tab w:val="clear" w:pos="720"/>
          <w:tab w:val="left" w:pos="567"/>
          <w:tab w:val="left" w:pos="709"/>
        </w:tabs>
        <w:spacing w:before="120"/>
        <w:ind w:left="567" w:hanging="567"/>
        <w:jc w:val="both"/>
        <w:rPr>
          <w:rStyle w:val="terms"/>
          <w:sz w:val="26"/>
          <w:szCs w:val="26"/>
          <w:lang w:val="lt-LT"/>
        </w:rPr>
      </w:pPr>
      <w:r w:rsidRPr="007928C8">
        <w:rPr>
          <w:caps/>
          <w:sz w:val="26"/>
          <w:szCs w:val="26"/>
          <w:lang w:val="lt-LT"/>
        </w:rPr>
        <w:t>Niemi</w:t>
      </w:r>
      <w:r w:rsidR="002D73D1" w:rsidRPr="007928C8">
        <w:rPr>
          <w:caps/>
          <w:sz w:val="26"/>
          <w:szCs w:val="26"/>
          <w:lang w:val="lt-LT"/>
        </w:rPr>
        <w:t>,</w:t>
      </w:r>
      <w:r w:rsidRPr="007928C8">
        <w:rPr>
          <w:caps/>
          <w:sz w:val="26"/>
          <w:szCs w:val="26"/>
          <w:lang w:val="lt-LT"/>
        </w:rPr>
        <w:t xml:space="preserve"> </w:t>
      </w:r>
      <w:r w:rsidRPr="007928C8">
        <w:rPr>
          <w:sz w:val="26"/>
          <w:szCs w:val="26"/>
        </w:rPr>
        <w:t>Lasse</w:t>
      </w:r>
      <w:r w:rsidRPr="007928C8">
        <w:rPr>
          <w:sz w:val="26"/>
          <w:szCs w:val="26"/>
          <w:lang w:val="lt-LT"/>
        </w:rPr>
        <w:t xml:space="preserve">. (2002) </w:t>
      </w:r>
      <w:r w:rsidRPr="007928C8">
        <w:rPr>
          <w:sz w:val="26"/>
          <w:szCs w:val="26"/>
        </w:rPr>
        <w:t>Do firms pay for audit risk? Evidence on risk premiums in audit fees after direct control for audit effort</w:t>
      </w:r>
      <w:r w:rsidRPr="007928C8">
        <w:rPr>
          <w:sz w:val="26"/>
          <w:szCs w:val="26"/>
          <w:lang w:val="lt-LT"/>
        </w:rPr>
        <w:t xml:space="preserve">. Iš </w:t>
      </w:r>
      <w:r w:rsidRPr="007928C8">
        <w:rPr>
          <w:i/>
          <w:sz w:val="26"/>
          <w:szCs w:val="26"/>
        </w:rPr>
        <w:t xml:space="preserve">International Journal of Auditing </w:t>
      </w:r>
      <w:r w:rsidRPr="007928C8">
        <w:rPr>
          <w:sz w:val="26"/>
          <w:szCs w:val="26"/>
          <w:lang w:val="lt-LT"/>
        </w:rPr>
        <w:t>[interaktyvus]. no. 6, [</w:t>
      </w:r>
      <w:r w:rsidRPr="007928C8">
        <w:rPr>
          <w:sz w:val="26"/>
          <w:szCs w:val="26"/>
        </w:rPr>
        <w:t xml:space="preserve">žiūrėta </w:t>
      </w:r>
      <w:r w:rsidRPr="007928C8">
        <w:rPr>
          <w:sz w:val="26"/>
          <w:szCs w:val="26"/>
          <w:lang w:val="lt-LT"/>
        </w:rPr>
        <w:t xml:space="preserve">2006 m. kovo 17 </w:t>
      </w:r>
      <w:r w:rsidRPr="007928C8">
        <w:rPr>
          <w:sz w:val="26"/>
          <w:szCs w:val="26"/>
        </w:rPr>
        <w:t>d.],</w:t>
      </w:r>
      <w:r w:rsidRPr="007928C8">
        <w:rPr>
          <w:sz w:val="26"/>
          <w:szCs w:val="26"/>
          <w:lang w:val="lt-LT"/>
        </w:rPr>
        <w:t xml:space="preserve"> p. 37 – 51. Prieiga per internetą</w:t>
      </w:r>
      <w:r w:rsidRPr="007928C8">
        <w:rPr>
          <w:rStyle w:val="terms"/>
          <w:sz w:val="26"/>
          <w:szCs w:val="26"/>
          <w:lang w:val="lt-LT"/>
        </w:rPr>
        <w:t>:</w:t>
      </w:r>
      <w:r w:rsidR="00FF15A4" w:rsidRPr="007928C8">
        <w:rPr>
          <w:rStyle w:val="terms"/>
          <w:sz w:val="26"/>
          <w:szCs w:val="26"/>
          <w:lang w:val="lt-LT"/>
        </w:rPr>
        <w:t xml:space="preserve"> &lt;http://papers.ssrn.com/</w:t>
      </w:r>
    </w:p>
    <w:p w:rsidR="00037418" w:rsidRPr="007928C8" w:rsidRDefault="00FF15A4" w:rsidP="000406FA">
      <w:pPr>
        <w:tabs>
          <w:tab w:val="left" w:pos="567"/>
        </w:tabs>
        <w:spacing w:before="120"/>
        <w:ind w:left="567"/>
        <w:jc w:val="both"/>
        <w:rPr>
          <w:sz w:val="26"/>
          <w:szCs w:val="26"/>
          <w:lang w:val="lt-LT"/>
        </w:rPr>
      </w:pPr>
      <w:r w:rsidRPr="007928C8">
        <w:rPr>
          <w:rStyle w:val="terms"/>
          <w:sz w:val="26"/>
          <w:szCs w:val="26"/>
          <w:lang w:val="lt-LT"/>
        </w:rPr>
        <w:t>sol3/papers.cfm?abstract_id=310979&gt;</w:t>
      </w:r>
      <w:r w:rsidR="00A077FB" w:rsidRPr="007928C8">
        <w:rPr>
          <w:sz w:val="26"/>
          <w:szCs w:val="26"/>
        </w:rPr>
        <w:t>.</w:t>
      </w:r>
    </w:p>
    <w:p w:rsidR="00CC5CD9" w:rsidRPr="00CC5CD9" w:rsidRDefault="00115017" w:rsidP="000406FA">
      <w:pPr>
        <w:numPr>
          <w:ilvl w:val="0"/>
          <w:numId w:val="4"/>
        </w:numPr>
        <w:tabs>
          <w:tab w:val="clear" w:pos="720"/>
          <w:tab w:val="left" w:pos="567"/>
          <w:tab w:val="left" w:pos="709"/>
        </w:tabs>
        <w:spacing w:before="120"/>
        <w:ind w:left="567" w:hanging="567"/>
        <w:jc w:val="both"/>
        <w:rPr>
          <w:rStyle w:val="a"/>
          <w:sz w:val="26"/>
          <w:szCs w:val="26"/>
          <w:lang w:val="lt-LT"/>
        </w:rPr>
      </w:pPr>
      <w:r w:rsidRPr="007928C8">
        <w:rPr>
          <w:caps/>
          <w:sz w:val="26"/>
          <w:szCs w:val="26"/>
        </w:rPr>
        <w:t>O’Donnell</w:t>
      </w:r>
      <w:r w:rsidR="00AD12C9" w:rsidRPr="007928C8">
        <w:rPr>
          <w:sz w:val="26"/>
          <w:szCs w:val="26"/>
        </w:rPr>
        <w:t>, Ed;</w:t>
      </w:r>
      <w:r w:rsidRPr="007928C8">
        <w:rPr>
          <w:sz w:val="26"/>
          <w:szCs w:val="26"/>
        </w:rPr>
        <w:t xml:space="preserve"> </w:t>
      </w:r>
      <w:r w:rsidRPr="007928C8">
        <w:rPr>
          <w:caps/>
          <w:sz w:val="26"/>
          <w:szCs w:val="26"/>
        </w:rPr>
        <w:t>Bierstaker</w:t>
      </w:r>
      <w:r w:rsidRPr="007928C8">
        <w:rPr>
          <w:sz w:val="26"/>
          <w:szCs w:val="26"/>
        </w:rPr>
        <w:t>,</w:t>
      </w:r>
      <w:r w:rsidR="00AD12C9" w:rsidRPr="007928C8">
        <w:rPr>
          <w:sz w:val="26"/>
          <w:szCs w:val="26"/>
        </w:rPr>
        <w:t xml:space="preserve"> James L.;</w:t>
      </w:r>
      <w:r w:rsidRPr="007928C8">
        <w:rPr>
          <w:sz w:val="26"/>
          <w:szCs w:val="26"/>
        </w:rPr>
        <w:t xml:space="preserve"> </w:t>
      </w:r>
      <w:r w:rsidRPr="007928C8">
        <w:rPr>
          <w:caps/>
          <w:sz w:val="26"/>
          <w:szCs w:val="26"/>
        </w:rPr>
        <w:t>Schultz</w:t>
      </w:r>
      <w:r w:rsidRPr="007928C8">
        <w:rPr>
          <w:sz w:val="26"/>
          <w:szCs w:val="26"/>
        </w:rPr>
        <w:t xml:space="preserve">, </w:t>
      </w:r>
      <w:r w:rsidR="00037418" w:rsidRPr="007928C8">
        <w:rPr>
          <w:sz w:val="26"/>
          <w:szCs w:val="26"/>
        </w:rPr>
        <w:t xml:space="preserve">Joseph (2004). </w:t>
      </w:r>
      <w:r w:rsidRPr="007928C8">
        <w:rPr>
          <w:sz w:val="26"/>
          <w:szCs w:val="26"/>
        </w:rPr>
        <w:t>Strategic-Systems Auditing: The Influence of Task Structure</w:t>
      </w:r>
      <w:r w:rsidR="00037418" w:rsidRPr="007928C8">
        <w:rPr>
          <w:sz w:val="26"/>
          <w:szCs w:val="26"/>
        </w:rPr>
        <w:t xml:space="preserve"> </w:t>
      </w:r>
      <w:r w:rsidRPr="007928C8">
        <w:rPr>
          <w:sz w:val="26"/>
          <w:szCs w:val="26"/>
        </w:rPr>
        <w:t>on Auditor Sensitiv</w:t>
      </w:r>
      <w:r w:rsidR="007D5EBA" w:rsidRPr="007928C8">
        <w:rPr>
          <w:sz w:val="26"/>
          <w:szCs w:val="26"/>
        </w:rPr>
        <w:t>ity to Risk Factors August, [žiūrėta 2007 m. lapkričio 17 d.].</w:t>
      </w:r>
      <w:r w:rsidR="00037418" w:rsidRPr="007928C8">
        <w:rPr>
          <w:sz w:val="26"/>
          <w:szCs w:val="26"/>
        </w:rPr>
        <w:t xml:space="preserve"> </w:t>
      </w:r>
      <w:r w:rsidR="00037418" w:rsidRPr="007928C8">
        <w:rPr>
          <w:sz w:val="26"/>
          <w:szCs w:val="26"/>
          <w:lang w:val="lt-LT"/>
        </w:rPr>
        <w:t xml:space="preserve">Prieiga per internetą: </w:t>
      </w:r>
      <w:r w:rsidR="00037418" w:rsidRPr="00CC5CD9">
        <w:rPr>
          <w:sz w:val="26"/>
          <w:szCs w:val="26"/>
          <w:lang w:val="lt-LT"/>
        </w:rPr>
        <w:t>&lt;http://</w:t>
      </w:r>
      <w:r w:rsidR="00037418" w:rsidRPr="00CC5CD9">
        <w:rPr>
          <w:sz w:val="26"/>
          <w:szCs w:val="26"/>
        </w:rPr>
        <w:t>www.</w:t>
      </w:r>
      <w:r w:rsidRPr="00CC5CD9">
        <w:rPr>
          <w:rStyle w:val="a"/>
          <w:sz w:val="26"/>
          <w:szCs w:val="26"/>
        </w:rPr>
        <w:t>aaahq.org/audit/midyear/05midyear/</w:t>
      </w:r>
    </w:p>
    <w:p w:rsidR="00115017" w:rsidRPr="00CC5CD9" w:rsidRDefault="00115017" w:rsidP="000406FA">
      <w:pPr>
        <w:tabs>
          <w:tab w:val="left" w:pos="567"/>
          <w:tab w:val="left" w:pos="709"/>
        </w:tabs>
        <w:spacing w:before="120"/>
        <w:ind w:left="567"/>
        <w:jc w:val="both"/>
        <w:rPr>
          <w:sz w:val="26"/>
          <w:szCs w:val="26"/>
          <w:lang w:val="lt-LT"/>
        </w:rPr>
      </w:pPr>
      <w:r w:rsidRPr="00CC5CD9">
        <w:rPr>
          <w:rStyle w:val="a"/>
          <w:sz w:val="26"/>
          <w:szCs w:val="26"/>
        </w:rPr>
        <w:t xml:space="preserve">papers/ODONNELLpaper.doc </w:t>
      </w:r>
      <w:r w:rsidR="00037418" w:rsidRPr="00CC5CD9">
        <w:rPr>
          <w:rStyle w:val="a"/>
          <w:sz w:val="26"/>
          <w:szCs w:val="26"/>
        </w:rPr>
        <w:t>&gt; .</w:t>
      </w:r>
    </w:p>
    <w:p w:rsidR="000D04C1" w:rsidRPr="007928C8"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O’REILLY, V</w:t>
      </w:r>
      <w:r w:rsidR="00322E19" w:rsidRPr="007928C8">
        <w:rPr>
          <w:sz w:val="26"/>
          <w:szCs w:val="26"/>
        </w:rPr>
        <w:t xml:space="preserve">incent </w:t>
      </w:r>
      <w:r w:rsidRPr="007928C8">
        <w:rPr>
          <w:sz w:val="26"/>
          <w:szCs w:val="26"/>
        </w:rPr>
        <w:t xml:space="preserve">M. (1990) </w:t>
      </w:r>
      <w:r w:rsidRPr="007928C8">
        <w:rPr>
          <w:i/>
          <w:sz w:val="26"/>
          <w:szCs w:val="26"/>
        </w:rPr>
        <w:t>Montgomery’s auditing</w:t>
      </w:r>
      <w:r w:rsidRPr="007928C8">
        <w:rPr>
          <w:i/>
          <w:sz w:val="26"/>
          <w:szCs w:val="26"/>
          <w:lang w:val="lt-LT"/>
        </w:rPr>
        <w:t>.</w:t>
      </w:r>
      <w:r w:rsidRPr="007928C8">
        <w:rPr>
          <w:sz w:val="26"/>
          <w:szCs w:val="26"/>
          <w:lang w:val="lt-LT"/>
        </w:rPr>
        <w:t xml:space="preserve"> 11 </w:t>
      </w:r>
      <w:r w:rsidRPr="007928C8">
        <w:rPr>
          <w:sz w:val="26"/>
          <w:szCs w:val="26"/>
        </w:rPr>
        <w:t>ed</w:t>
      </w:r>
      <w:r w:rsidRPr="007928C8">
        <w:rPr>
          <w:sz w:val="26"/>
          <w:szCs w:val="26"/>
          <w:lang w:val="lt-LT"/>
        </w:rPr>
        <w:t xml:space="preserve">. </w:t>
      </w:r>
      <w:r w:rsidRPr="007928C8">
        <w:rPr>
          <w:sz w:val="26"/>
          <w:szCs w:val="26"/>
        </w:rPr>
        <w:t>New York</w:t>
      </w:r>
      <w:r w:rsidRPr="007928C8">
        <w:rPr>
          <w:sz w:val="26"/>
          <w:szCs w:val="26"/>
          <w:lang w:val="lt-LT"/>
        </w:rPr>
        <w:t xml:space="preserve">: J. Wiley. 1150 p. </w:t>
      </w:r>
    </w:p>
    <w:p w:rsidR="000F553D" w:rsidRPr="007928C8" w:rsidRDefault="000F553D" w:rsidP="000406FA">
      <w:pPr>
        <w:numPr>
          <w:ilvl w:val="0"/>
          <w:numId w:val="4"/>
        </w:numPr>
        <w:tabs>
          <w:tab w:val="clear" w:pos="720"/>
          <w:tab w:val="left" w:pos="540"/>
          <w:tab w:val="left" w:pos="567"/>
          <w:tab w:val="left" w:pos="709"/>
        </w:tabs>
        <w:spacing w:before="120"/>
        <w:ind w:left="567" w:hanging="567"/>
        <w:jc w:val="both"/>
        <w:rPr>
          <w:color w:val="000000"/>
          <w:sz w:val="26"/>
          <w:szCs w:val="26"/>
          <w:lang w:val="lt-LT"/>
        </w:rPr>
      </w:pPr>
      <w:r w:rsidRPr="007928C8">
        <w:rPr>
          <w:caps/>
          <w:sz w:val="26"/>
          <w:szCs w:val="26"/>
          <w:lang w:val="lt-LT"/>
        </w:rPr>
        <w:t xml:space="preserve">Quadackers, </w:t>
      </w:r>
      <w:r w:rsidR="000D04C1" w:rsidRPr="007928C8">
        <w:rPr>
          <w:sz w:val="26"/>
          <w:szCs w:val="26"/>
          <w:lang w:val="lt-LT"/>
        </w:rPr>
        <w:t>Luc</w:t>
      </w:r>
      <w:r w:rsidR="00AD12C9" w:rsidRPr="007928C8">
        <w:rPr>
          <w:sz w:val="26"/>
          <w:szCs w:val="26"/>
          <w:lang w:val="lt-LT"/>
        </w:rPr>
        <w:t>;</w:t>
      </w:r>
      <w:r w:rsidR="000D04C1" w:rsidRPr="007928C8">
        <w:rPr>
          <w:caps/>
          <w:sz w:val="26"/>
          <w:szCs w:val="26"/>
          <w:lang w:val="lt-LT"/>
        </w:rPr>
        <w:t xml:space="preserve"> </w:t>
      </w:r>
      <w:r w:rsidRPr="007928C8">
        <w:rPr>
          <w:caps/>
          <w:sz w:val="26"/>
          <w:szCs w:val="26"/>
          <w:lang w:val="lt-LT"/>
        </w:rPr>
        <w:t xml:space="preserve">Mock, </w:t>
      </w:r>
      <w:r w:rsidR="000D04C1" w:rsidRPr="007928C8">
        <w:rPr>
          <w:sz w:val="26"/>
          <w:szCs w:val="26"/>
          <w:lang w:val="lt-LT"/>
        </w:rPr>
        <w:t>Theodore J</w:t>
      </w:r>
      <w:r w:rsidR="000D04C1" w:rsidRPr="007928C8">
        <w:rPr>
          <w:caps/>
          <w:sz w:val="26"/>
          <w:szCs w:val="26"/>
          <w:lang w:val="lt-LT"/>
        </w:rPr>
        <w:t>.</w:t>
      </w:r>
      <w:r w:rsidR="00AD12C9" w:rsidRPr="007928C8">
        <w:rPr>
          <w:caps/>
          <w:sz w:val="26"/>
          <w:szCs w:val="26"/>
          <w:lang w:val="lt-LT"/>
        </w:rPr>
        <w:t>;</w:t>
      </w:r>
      <w:r w:rsidR="000D04C1" w:rsidRPr="007928C8">
        <w:rPr>
          <w:caps/>
          <w:sz w:val="26"/>
          <w:szCs w:val="26"/>
          <w:lang w:val="lt-LT"/>
        </w:rPr>
        <w:t xml:space="preserve"> </w:t>
      </w:r>
      <w:r w:rsidRPr="007928C8">
        <w:rPr>
          <w:caps/>
          <w:sz w:val="26"/>
          <w:szCs w:val="26"/>
          <w:lang w:val="lt-LT"/>
        </w:rPr>
        <w:t>Maijoor</w:t>
      </w:r>
      <w:r w:rsidR="000D04C1" w:rsidRPr="007928C8">
        <w:rPr>
          <w:sz w:val="26"/>
          <w:szCs w:val="26"/>
          <w:lang w:val="lt-LT"/>
        </w:rPr>
        <w:t xml:space="preserve"> </w:t>
      </w:r>
      <w:r w:rsidR="000D04C1" w:rsidRPr="007928C8">
        <w:rPr>
          <w:sz w:val="26"/>
          <w:szCs w:val="26"/>
        </w:rPr>
        <w:t>Steven</w:t>
      </w:r>
      <w:r w:rsidR="006146EC" w:rsidRPr="007928C8">
        <w:rPr>
          <w:sz w:val="26"/>
          <w:szCs w:val="26"/>
          <w:lang w:val="lt-LT"/>
        </w:rPr>
        <w:t xml:space="preserve">. (1996) </w:t>
      </w:r>
      <w:r w:rsidR="006146EC" w:rsidRPr="007928C8">
        <w:rPr>
          <w:sz w:val="26"/>
          <w:szCs w:val="26"/>
        </w:rPr>
        <w:t>Audit r</w:t>
      </w:r>
      <w:r w:rsidR="000D04C1" w:rsidRPr="007928C8">
        <w:rPr>
          <w:sz w:val="26"/>
          <w:szCs w:val="26"/>
        </w:rPr>
        <w:t>isk and audit p</w:t>
      </w:r>
      <w:r w:rsidR="006146EC" w:rsidRPr="007928C8">
        <w:rPr>
          <w:sz w:val="26"/>
          <w:szCs w:val="26"/>
        </w:rPr>
        <w:t>r</w:t>
      </w:r>
      <w:r w:rsidR="000D04C1" w:rsidRPr="007928C8">
        <w:rPr>
          <w:sz w:val="26"/>
          <w:szCs w:val="26"/>
        </w:rPr>
        <w:t xml:space="preserve">ogrammes: archival evidence from </w:t>
      </w:r>
      <w:r w:rsidR="006146EC" w:rsidRPr="007928C8">
        <w:rPr>
          <w:sz w:val="26"/>
          <w:szCs w:val="26"/>
        </w:rPr>
        <w:t>f</w:t>
      </w:r>
      <w:r w:rsidR="000D04C1" w:rsidRPr="007928C8">
        <w:rPr>
          <w:sz w:val="26"/>
          <w:szCs w:val="26"/>
        </w:rPr>
        <w:t xml:space="preserve">our </w:t>
      </w:r>
      <w:r w:rsidR="006146EC" w:rsidRPr="007928C8">
        <w:rPr>
          <w:sz w:val="26"/>
          <w:szCs w:val="26"/>
        </w:rPr>
        <w:t>Dutch</w:t>
      </w:r>
      <w:r w:rsidR="000D04C1" w:rsidRPr="007928C8">
        <w:rPr>
          <w:sz w:val="26"/>
          <w:szCs w:val="26"/>
        </w:rPr>
        <w:t xml:space="preserve"> audit firms</w:t>
      </w:r>
      <w:r w:rsidR="006146EC" w:rsidRPr="007928C8">
        <w:rPr>
          <w:sz w:val="26"/>
          <w:szCs w:val="26"/>
          <w:lang w:val="lt-LT"/>
        </w:rPr>
        <w:t xml:space="preserve">. </w:t>
      </w:r>
      <w:r w:rsidR="006146EC" w:rsidRPr="007928C8">
        <w:rPr>
          <w:sz w:val="26"/>
          <w:szCs w:val="26"/>
        </w:rPr>
        <w:t xml:space="preserve">Iš </w:t>
      </w:r>
      <w:r w:rsidR="006146EC" w:rsidRPr="007928C8">
        <w:rPr>
          <w:i/>
          <w:sz w:val="26"/>
          <w:szCs w:val="26"/>
        </w:rPr>
        <w:t>The European Accounting Review</w:t>
      </w:r>
      <w:r w:rsidR="006146EC" w:rsidRPr="007928C8">
        <w:rPr>
          <w:sz w:val="26"/>
          <w:szCs w:val="26"/>
        </w:rPr>
        <w:t xml:space="preserve"> [interaktyvus]. 5:2, [žiūrėta 2007 m. lapkričio 17 d.], p. 217 – 237. </w:t>
      </w:r>
      <w:r w:rsidR="006146EC" w:rsidRPr="007928C8">
        <w:rPr>
          <w:color w:val="000000"/>
          <w:sz w:val="26"/>
          <w:szCs w:val="26"/>
          <w:lang w:val="lt-LT"/>
        </w:rPr>
        <w:t>Prieiga per internetą: &lt;http://web.ebscohost.com/bsi/pdf&gt; .</w:t>
      </w:r>
    </w:p>
    <w:p w:rsidR="00D245FB" w:rsidRPr="007928C8" w:rsidRDefault="00D245FB"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PASAS, Kristoferis; LOUZAS, Brajenas; LESLIS, Deivis. (1994) </w:t>
      </w:r>
      <w:r w:rsidRPr="007928C8">
        <w:rPr>
          <w:i/>
          <w:sz w:val="26"/>
          <w:szCs w:val="26"/>
          <w:lang w:val="lt-LT"/>
        </w:rPr>
        <w:t>Ekonomikos terminų žodynas.</w:t>
      </w:r>
      <w:r w:rsidRPr="007928C8">
        <w:rPr>
          <w:sz w:val="26"/>
          <w:szCs w:val="26"/>
          <w:lang w:val="lt-LT"/>
        </w:rPr>
        <w:t xml:space="preserve"> Vilnius: Baltijos biznis. 310 p. </w:t>
      </w:r>
    </w:p>
    <w:p w:rsidR="00851635" w:rsidRPr="007928C8"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lastRenderedPageBreak/>
        <w:t>PEČIŪRA, V</w:t>
      </w:r>
      <w:r w:rsidR="00AD12C9" w:rsidRPr="007928C8">
        <w:rPr>
          <w:sz w:val="26"/>
          <w:szCs w:val="26"/>
          <w:lang w:val="lt-LT"/>
        </w:rPr>
        <w:t>ilmantas</w:t>
      </w:r>
      <w:r w:rsidRPr="007928C8">
        <w:rPr>
          <w:sz w:val="26"/>
          <w:szCs w:val="26"/>
          <w:lang w:val="lt-LT"/>
        </w:rPr>
        <w:t xml:space="preserve">. (1999). </w:t>
      </w:r>
      <w:r w:rsidRPr="007928C8">
        <w:rPr>
          <w:i/>
          <w:sz w:val="26"/>
          <w:szCs w:val="26"/>
          <w:lang w:val="lt-LT"/>
        </w:rPr>
        <w:t>Lietuvos gamybinių įmonių audito plėtra.</w:t>
      </w:r>
      <w:r w:rsidRPr="007928C8">
        <w:rPr>
          <w:sz w:val="26"/>
          <w:szCs w:val="26"/>
          <w:lang w:val="lt-LT"/>
        </w:rPr>
        <w:t xml:space="preserve"> Daktaro disertacija. Socialiniai mokslai, ekonomika (04G). Vilnius: VGTU. 168 p. </w:t>
      </w:r>
    </w:p>
    <w:p w:rsidR="00F30E88" w:rsidRPr="007928C8" w:rsidRDefault="00EB13F0" w:rsidP="000406FA">
      <w:pPr>
        <w:numPr>
          <w:ilvl w:val="0"/>
          <w:numId w:val="4"/>
        </w:numPr>
        <w:tabs>
          <w:tab w:val="clear" w:pos="720"/>
          <w:tab w:val="left" w:pos="567"/>
          <w:tab w:val="left" w:pos="709"/>
        </w:tabs>
        <w:spacing w:before="120"/>
        <w:ind w:left="567" w:hanging="567"/>
        <w:jc w:val="both"/>
        <w:rPr>
          <w:color w:val="000000"/>
          <w:sz w:val="26"/>
          <w:szCs w:val="26"/>
          <w:lang w:val="lt-LT"/>
        </w:rPr>
      </w:pPr>
      <w:r>
        <w:rPr>
          <w:color w:val="000000"/>
          <w:sz w:val="26"/>
          <w:szCs w:val="26"/>
          <w:lang w:val="lt-LT"/>
        </w:rPr>
        <w:t>SPENCER PICKET, K. H.</w:t>
      </w:r>
      <w:r w:rsidR="00F30E88" w:rsidRPr="007928C8">
        <w:rPr>
          <w:color w:val="000000"/>
          <w:sz w:val="26"/>
          <w:szCs w:val="26"/>
          <w:lang w:val="lt-LT"/>
        </w:rPr>
        <w:t xml:space="preserve"> (1997) </w:t>
      </w:r>
      <w:r w:rsidR="00F30E88" w:rsidRPr="007928C8">
        <w:rPr>
          <w:i/>
          <w:color w:val="000000"/>
          <w:sz w:val="26"/>
          <w:szCs w:val="26"/>
        </w:rPr>
        <w:t>The Internal Auditing Handbook</w:t>
      </w:r>
      <w:r w:rsidR="00F30E88" w:rsidRPr="007928C8">
        <w:rPr>
          <w:color w:val="000000"/>
          <w:sz w:val="26"/>
          <w:szCs w:val="26"/>
        </w:rPr>
        <w:t xml:space="preserve">. </w:t>
      </w:r>
      <w:r w:rsidR="00AA35B5" w:rsidRPr="007928C8">
        <w:rPr>
          <w:color w:val="000000"/>
          <w:sz w:val="26"/>
          <w:szCs w:val="26"/>
        </w:rPr>
        <w:t>Chichester [etc.}: Willey</w:t>
      </w:r>
      <w:r w:rsidR="00AA35B5" w:rsidRPr="007928C8">
        <w:rPr>
          <w:color w:val="000000"/>
          <w:sz w:val="26"/>
          <w:szCs w:val="26"/>
          <w:lang w:val="lt-LT"/>
        </w:rPr>
        <w:t xml:space="preserve">, </w:t>
      </w:r>
      <w:r w:rsidR="000326D8" w:rsidRPr="007928C8">
        <w:rPr>
          <w:color w:val="000000"/>
          <w:sz w:val="26"/>
          <w:szCs w:val="26"/>
          <w:lang w:val="lt-LT"/>
        </w:rPr>
        <w:t>636</w:t>
      </w:r>
      <w:r w:rsidR="00F30E88" w:rsidRPr="007928C8">
        <w:rPr>
          <w:color w:val="000000"/>
          <w:sz w:val="26"/>
          <w:szCs w:val="26"/>
          <w:lang w:val="lt-LT"/>
        </w:rPr>
        <w:t xml:space="preserve"> </w:t>
      </w:r>
      <w:r w:rsidR="000326D8" w:rsidRPr="007928C8">
        <w:rPr>
          <w:color w:val="000000"/>
          <w:sz w:val="26"/>
          <w:szCs w:val="26"/>
          <w:lang w:val="lt-LT"/>
        </w:rPr>
        <w:t>p.</w:t>
      </w:r>
    </w:p>
    <w:p w:rsidR="00071F5B" w:rsidRPr="007928C8" w:rsidRDefault="00851635"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PRANULIS, V</w:t>
      </w:r>
      <w:r w:rsidR="0053146F" w:rsidRPr="007928C8">
        <w:rPr>
          <w:sz w:val="26"/>
          <w:szCs w:val="26"/>
          <w:lang w:val="lt-LT"/>
        </w:rPr>
        <w:t>ytautas</w:t>
      </w:r>
      <w:r w:rsidRPr="007928C8">
        <w:rPr>
          <w:sz w:val="26"/>
          <w:szCs w:val="26"/>
          <w:lang w:val="lt-LT"/>
        </w:rPr>
        <w:t xml:space="preserve">. (1998) </w:t>
      </w:r>
      <w:r w:rsidRPr="007928C8">
        <w:rPr>
          <w:i/>
          <w:sz w:val="26"/>
          <w:szCs w:val="26"/>
          <w:lang w:val="lt-LT"/>
        </w:rPr>
        <w:t>Marketingo tyrimai</w:t>
      </w:r>
      <w:r w:rsidRPr="007928C8">
        <w:rPr>
          <w:sz w:val="26"/>
          <w:szCs w:val="26"/>
          <w:lang w:val="lt-LT"/>
        </w:rPr>
        <w:t xml:space="preserve">. </w:t>
      </w:r>
      <w:r w:rsidRPr="007928C8">
        <w:rPr>
          <w:sz w:val="26"/>
          <w:szCs w:val="26"/>
        </w:rPr>
        <w:t>Vilnius: Kron</w:t>
      </w:r>
      <w:r w:rsidR="0053146F" w:rsidRPr="007928C8">
        <w:rPr>
          <w:sz w:val="26"/>
          <w:szCs w:val="26"/>
        </w:rPr>
        <w:t>t</w:t>
      </w:r>
      <w:r w:rsidRPr="007928C8">
        <w:rPr>
          <w:sz w:val="26"/>
          <w:szCs w:val="26"/>
        </w:rPr>
        <w:t>a. 166 p.</w:t>
      </w:r>
    </w:p>
    <w:p w:rsidR="008616AE" w:rsidRPr="007928C8" w:rsidRDefault="008616AE"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rPr>
        <w:t xml:space="preserve">Professional Accountants in </w:t>
      </w:r>
      <w:r w:rsidR="006B18A9" w:rsidRPr="007928C8">
        <w:rPr>
          <w:sz w:val="26"/>
          <w:szCs w:val="26"/>
        </w:rPr>
        <w:t>Business</w:t>
      </w:r>
      <w:r w:rsidRPr="007928C8">
        <w:rPr>
          <w:sz w:val="26"/>
          <w:szCs w:val="26"/>
        </w:rPr>
        <w:t xml:space="preserve"> Committee of the International Federation of Accountants (2006). Internal Controls </w:t>
      </w:r>
      <w:r w:rsidRPr="007928C8">
        <w:rPr>
          <w:sz w:val="26"/>
          <w:szCs w:val="26"/>
        </w:rPr>
        <w:softHyphen/>
        <w:t xml:space="preserve"> A Review of Current Developments. Information paper. [interaktyvus]. August, [</w:t>
      </w:r>
      <w:r w:rsidRPr="007928C8">
        <w:rPr>
          <w:sz w:val="26"/>
          <w:szCs w:val="26"/>
          <w:lang w:val="lt-LT"/>
        </w:rPr>
        <w:t>žiūrėta</w:t>
      </w:r>
      <w:r w:rsidRPr="007928C8">
        <w:rPr>
          <w:sz w:val="26"/>
          <w:szCs w:val="26"/>
        </w:rPr>
        <w:t xml:space="preserve"> 2008 m. vasario 6 d.], p. 15. Prieiga per </w:t>
      </w:r>
      <w:r w:rsidR="00C66F5D" w:rsidRPr="007928C8">
        <w:rPr>
          <w:sz w:val="26"/>
          <w:szCs w:val="26"/>
        </w:rPr>
        <w:t>internetą: &lt;http:/www.ifac.org&gt;</w:t>
      </w:r>
      <w:r w:rsidRPr="007928C8">
        <w:rPr>
          <w:sz w:val="26"/>
          <w:szCs w:val="26"/>
        </w:rPr>
        <w:t xml:space="preserve">. </w:t>
      </w:r>
    </w:p>
    <w:p w:rsidR="009903D3" w:rsidRPr="007928C8" w:rsidRDefault="009903D3"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rPr>
        <w:t xml:space="preserve">Pronouncement: Statement on Auditing Standards No. 107, Audit risk and Materiality in Conducting an Audit (Part 2 of 2). (2006) </w:t>
      </w:r>
      <w:r w:rsidRPr="007928C8">
        <w:rPr>
          <w:sz w:val="26"/>
          <w:szCs w:val="26"/>
          <w:lang w:val="lt-LT"/>
        </w:rPr>
        <w:t>Iš</w:t>
      </w:r>
      <w:r w:rsidRPr="007928C8">
        <w:rPr>
          <w:sz w:val="26"/>
          <w:szCs w:val="26"/>
        </w:rPr>
        <w:t xml:space="preserve"> </w:t>
      </w:r>
      <w:r w:rsidRPr="007928C8">
        <w:rPr>
          <w:i/>
          <w:sz w:val="26"/>
          <w:szCs w:val="26"/>
        </w:rPr>
        <w:t xml:space="preserve">GAAS Update Service </w:t>
      </w:r>
      <w:r w:rsidRPr="007928C8">
        <w:rPr>
          <w:sz w:val="26"/>
          <w:szCs w:val="26"/>
        </w:rPr>
        <w:t>[</w:t>
      </w:r>
      <w:r w:rsidRPr="007928C8">
        <w:rPr>
          <w:sz w:val="26"/>
          <w:szCs w:val="26"/>
          <w:lang w:val="lt-LT"/>
        </w:rPr>
        <w:t>interaktyvus</w:t>
      </w:r>
      <w:r w:rsidRPr="007928C8">
        <w:rPr>
          <w:sz w:val="26"/>
          <w:szCs w:val="26"/>
        </w:rPr>
        <w:t>]. Vol. 06, issue 11, June 15 [</w:t>
      </w:r>
      <w:r w:rsidRPr="007928C8">
        <w:rPr>
          <w:sz w:val="26"/>
          <w:szCs w:val="26"/>
          <w:lang w:val="lt-LT"/>
        </w:rPr>
        <w:t>žiūrėta</w:t>
      </w:r>
      <w:r w:rsidRPr="007928C8">
        <w:rPr>
          <w:sz w:val="26"/>
          <w:szCs w:val="26"/>
        </w:rPr>
        <w:t xml:space="preserve"> 2006 m. </w:t>
      </w:r>
      <w:r w:rsidRPr="007928C8">
        <w:rPr>
          <w:sz w:val="26"/>
          <w:szCs w:val="26"/>
          <w:lang w:val="lt-LT"/>
        </w:rPr>
        <w:t>spalio</w:t>
      </w:r>
      <w:r w:rsidRPr="007928C8">
        <w:rPr>
          <w:sz w:val="26"/>
          <w:szCs w:val="26"/>
        </w:rPr>
        <w:t xml:space="preserve"> 15 d.], p. 1 – 7. </w:t>
      </w:r>
      <w:r w:rsidRPr="007928C8">
        <w:rPr>
          <w:color w:val="000000"/>
          <w:sz w:val="26"/>
          <w:szCs w:val="26"/>
          <w:lang w:val="lt-LT"/>
        </w:rPr>
        <w:t>Prieiga per internetą: &lt;</w:t>
      </w:r>
      <w:r w:rsidRPr="007928C8">
        <w:rPr>
          <w:sz w:val="26"/>
          <w:szCs w:val="26"/>
          <w:lang w:val="lt-LT"/>
        </w:rPr>
        <w:t>http://web.ebs</w:t>
      </w:r>
      <w:r w:rsidR="007928C8">
        <w:rPr>
          <w:sz w:val="26"/>
          <w:szCs w:val="26"/>
          <w:lang w:val="lt-LT"/>
        </w:rPr>
        <w:t>cohost.com/bsi/pdf&gt;</w:t>
      </w:r>
      <w:r w:rsidRPr="007928C8">
        <w:rPr>
          <w:sz w:val="26"/>
          <w:szCs w:val="26"/>
          <w:lang w:val="lt-LT"/>
        </w:rPr>
        <w:t>.</w:t>
      </w:r>
    </w:p>
    <w:p w:rsidR="00800E7C" w:rsidRPr="007928C8" w:rsidRDefault="00800E7C"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 xml:space="preserve">Public Oversight Board. Panel on Audit Effectiveness </w:t>
      </w:r>
      <w:r w:rsidRPr="007928C8">
        <w:rPr>
          <w:sz w:val="26"/>
          <w:szCs w:val="26"/>
          <w:lang w:val="lt-LT"/>
        </w:rPr>
        <w:t>(2000)</w:t>
      </w:r>
      <w:r w:rsidRPr="007928C8">
        <w:rPr>
          <w:sz w:val="26"/>
          <w:szCs w:val="26"/>
        </w:rPr>
        <w:t>.</w:t>
      </w:r>
      <w:r w:rsidRPr="007928C8">
        <w:rPr>
          <w:i/>
          <w:sz w:val="26"/>
          <w:szCs w:val="26"/>
        </w:rPr>
        <w:t xml:space="preserve"> Report and Recommendations of the Panel on Audit Effectiveness, Public Oversight Board</w:t>
      </w:r>
      <w:r w:rsidRPr="007928C8">
        <w:rPr>
          <w:sz w:val="26"/>
          <w:szCs w:val="26"/>
          <w:lang w:val="lt-LT"/>
        </w:rPr>
        <w:t xml:space="preserve"> [interaktyvus]. [žiūrėta 2006 m. vasario 15 d.]. Prieiga per internetą: &lt;http://</w:t>
      </w:r>
      <w:r w:rsidRPr="007928C8">
        <w:rPr>
          <w:sz w:val="26"/>
          <w:szCs w:val="26"/>
          <w:lang w:val="lt-LT" w:eastAsia="en-US"/>
        </w:rPr>
        <w:t>www. pobauditpanel.org&gt;.</w:t>
      </w:r>
    </w:p>
    <w:p w:rsidR="009903D3" w:rsidRPr="007928C8" w:rsidRDefault="009903D3" w:rsidP="000406FA">
      <w:pPr>
        <w:numPr>
          <w:ilvl w:val="0"/>
          <w:numId w:val="4"/>
        </w:numPr>
        <w:tabs>
          <w:tab w:val="clear" w:pos="720"/>
          <w:tab w:val="left" w:pos="540"/>
          <w:tab w:val="left" w:pos="567"/>
          <w:tab w:val="left" w:pos="709"/>
        </w:tabs>
        <w:spacing w:before="120"/>
        <w:ind w:left="567" w:hanging="567"/>
        <w:jc w:val="both"/>
        <w:rPr>
          <w:sz w:val="26"/>
          <w:szCs w:val="26"/>
          <w:lang w:val="lt-LT"/>
        </w:rPr>
      </w:pPr>
      <w:r w:rsidRPr="007928C8">
        <w:rPr>
          <w:sz w:val="26"/>
          <w:szCs w:val="26"/>
        </w:rPr>
        <w:t xml:space="preserve">Public Company Accounting Oversight Board. Standing Advisory Group Meeting (2005). </w:t>
      </w:r>
      <w:r w:rsidRPr="007928C8">
        <w:rPr>
          <w:i/>
          <w:sz w:val="26"/>
          <w:szCs w:val="26"/>
        </w:rPr>
        <w:t>Risk Assessment in Financial Statement Audit</w:t>
      </w:r>
      <w:r w:rsidRPr="007928C8">
        <w:rPr>
          <w:sz w:val="26"/>
          <w:szCs w:val="26"/>
        </w:rPr>
        <w:t>. [interaktyvus]. [žiūrėta 2</w:t>
      </w:r>
      <w:r w:rsidRPr="007928C8">
        <w:rPr>
          <w:sz w:val="26"/>
          <w:szCs w:val="26"/>
          <w:lang w:val="lt-LT"/>
        </w:rPr>
        <w:t>007 m. kovo 7 d</w:t>
      </w:r>
      <w:r w:rsidRPr="007928C8">
        <w:rPr>
          <w:sz w:val="26"/>
          <w:szCs w:val="26"/>
        </w:rPr>
        <w:t xml:space="preserve">.), p. 1 – 38. </w:t>
      </w:r>
      <w:r w:rsidRPr="007928C8">
        <w:rPr>
          <w:sz w:val="26"/>
          <w:szCs w:val="26"/>
          <w:lang w:val="lt-LT"/>
        </w:rPr>
        <w:t>Prieiga per internetą: &lt;</w:t>
      </w:r>
      <w:r w:rsidR="00CE62D0" w:rsidRPr="007928C8">
        <w:rPr>
          <w:sz w:val="26"/>
          <w:szCs w:val="26"/>
          <w:lang w:val="lt-LT"/>
        </w:rPr>
        <w:t>http://www.pcaob.org.</w:t>
      </w:r>
      <w:r w:rsidRPr="007928C8">
        <w:rPr>
          <w:sz w:val="26"/>
          <w:szCs w:val="26"/>
          <w:lang w:val="lt-LT"/>
        </w:rPr>
        <w:t>&gt; .</w:t>
      </w:r>
    </w:p>
    <w:p w:rsidR="0076257D" w:rsidRPr="007928C8" w:rsidRDefault="0076257D"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Results from the New Requirements and Auditors</w:t>
      </w:r>
      <w:r w:rsidRPr="007928C8">
        <w:rPr>
          <w:sz w:val="26"/>
          <w:szCs w:val="26"/>
          <w:lang w:val="lt-LT"/>
        </w:rPr>
        <w:t xml:space="preserve"> (2005). Iš </w:t>
      </w:r>
      <w:r w:rsidRPr="007928C8">
        <w:rPr>
          <w:i/>
          <w:sz w:val="26"/>
          <w:szCs w:val="26"/>
        </w:rPr>
        <w:t>Accountants Today</w:t>
      </w:r>
      <w:r w:rsidRPr="007928C8">
        <w:rPr>
          <w:sz w:val="26"/>
          <w:szCs w:val="26"/>
        </w:rPr>
        <w:t xml:space="preserve"> </w:t>
      </w:r>
      <w:r w:rsidRPr="007928C8">
        <w:rPr>
          <w:sz w:val="26"/>
          <w:szCs w:val="26"/>
          <w:lang w:val="lt-LT"/>
        </w:rPr>
        <w:t>[interaktyvus]. [žiūrėta 2007 m. kovo 26 d.], p. 37 – 39. Prieiga per internetą: &lt;http://www.ifac.org&gt; .</w:t>
      </w:r>
    </w:p>
    <w:p w:rsidR="003B591B" w:rsidRPr="007928C8" w:rsidRDefault="00905176"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A Risk </w:t>
      </w:r>
      <w:r w:rsidRPr="007928C8">
        <w:rPr>
          <w:sz w:val="26"/>
          <w:szCs w:val="26"/>
        </w:rPr>
        <w:t>Management</w:t>
      </w:r>
      <w:r w:rsidRPr="007928C8">
        <w:rPr>
          <w:sz w:val="26"/>
          <w:szCs w:val="26"/>
          <w:lang w:val="lt-LT"/>
        </w:rPr>
        <w:t xml:space="preserve"> Standard (2002) [interaktyvus]. AIRMIC, ALARM, IRM. [žiūrėta 2007 m. rugpjūčio 16 d. </w:t>
      </w:r>
      <w:r w:rsidR="000A02D5" w:rsidRPr="007928C8">
        <w:rPr>
          <w:sz w:val="26"/>
          <w:szCs w:val="26"/>
          <w:lang w:val="lt-LT"/>
        </w:rPr>
        <w:t xml:space="preserve">]. Prieiga per internetą: </w:t>
      </w:r>
    </w:p>
    <w:p w:rsidR="00905176" w:rsidRPr="007928C8" w:rsidRDefault="006A60AB" w:rsidP="000406FA">
      <w:pPr>
        <w:tabs>
          <w:tab w:val="left" w:pos="567"/>
          <w:tab w:val="left" w:pos="709"/>
        </w:tabs>
        <w:spacing w:before="120"/>
        <w:ind w:left="567"/>
        <w:jc w:val="both"/>
        <w:rPr>
          <w:sz w:val="26"/>
          <w:szCs w:val="26"/>
          <w:lang w:val="lt-LT"/>
        </w:rPr>
      </w:pPr>
      <w:r w:rsidRPr="007928C8">
        <w:rPr>
          <w:sz w:val="26"/>
          <w:szCs w:val="26"/>
          <w:lang w:val="lt-LT"/>
        </w:rPr>
        <w:t>&lt;http://www.theirm.org/publications/PUstandard.htm&gt; .</w:t>
      </w:r>
    </w:p>
    <w:p w:rsidR="00886EF9" w:rsidRPr="007928C8" w:rsidRDefault="00886EF9" w:rsidP="000406FA">
      <w:pPr>
        <w:numPr>
          <w:ilvl w:val="0"/>
          <w:numId w:val="4"/>
        </w:numPr>
        <w:tabs>
          <w:tab w:val="clear" w:pos="720"/>
          <w:tab w:val="left" w:pos="567"/>
          <w:tab w:val="left" w:pos="709"/>
        </w:tabs>
        <w:spacing w:before="120"/>
        <w:ind w:left="567" w:hanging="567"/>
        <w:jc w:val="both"/>
        <w:rPr>
          <w:rStyle w:val="terms"/>
          <w:sz w:val="26"/>
          <w:szCs w:val="26"/>
        </w:rPr>
      </w:pPr>
      <w:r w:rsidRPr="007928C8">
        <w:rPr>
          <w:sz w:val="26"/>
          <w:szCs w:val="26"/>
        </w:rPr>
        <w:t>Risk Management and Internal Control in the EU: Discussion Paper (2005). European Federation of Accountants. 84 p.</w:t>
      </w:r>
    </w:p>
    <w:p w:rsidR="00F12E2E" w:rsidRPr="007928C8" w:rsidRDefault="00851635"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 xml:space="preserve">ROBERTSON, </w:t>
      </w:r>
      <w:r w:rsidRPr="007928C8">
        <w:rPr>
          <w:sz w:val="26"/>
          <w:szCs w:val="26"/>
        </w:rPr>
        <w:t>J</w:t>
      </w:r>
      <w:r w:rsidR="00322E19" w:rsidRPr="007928C8">
        <w:rPr>
          <w:sz w:val="26"/>
          <w:szCs w:val="26"/>
        </w:rPr>
        <w:t>ack</w:t>
      </w:r>
      <w:r w:rsidR="00322E19" w:rsidRPr="007928C8">
        <w:rPr>
          <w:sz w:val="26"/>
          <w:szCs w:val="26"/>
          <w:lang w:val="lt-LT"/>
        </w:rPr>
        <w:t xml:space="preserve"> </w:t>
      </w:r>
      <w:r w:rsidRPr="007928C8">
        <w:rPr>
          <w:sz w:val="26"/>
          <w:szCs w:val="26"/>
          <w:lang w:val="lt-LT"/>
        </w:rPr>
        <w:t xml:space="preserve">C. (1990). </w:t>
      </w:r>
      <w:r w:rsidRPr="007928C8">
        <w:rPr>
          <w:i/>
          <w:sz w:val="26"/>
          <w:szCs w:val="26"/>
        </w:rPr>
        <w:t>Auditing</w:t>
      </w:r>
      <w:r w:rsidRPr="007928C8">
        <w:rPr>
          <w:sz w:val="26"/>
          <w:szCs w:val="26"/>
          <w:lang w:val="lt-LT"/>
        </w:rPr>
        <w:t xml:space="preserve">. 6 ed. </w:t>
      </w:r>
      <w:r w:rsidRPr="007928C8">
        <w:rPr>
          <w:sz w:val="26"/>
          <w:szCs w:val="26"/>
        </w:rPr>
        <w:t>Homewood (III); Boston</w:t>
      </w:r>
      <w:r w:rsidRPr="007928C8">
        <w:rPr>
          <w:sz w:val="26"/>
          <w:szCs w:val="26"/>
          <w:lang w:val="lt-LT"/>
        </w:rPr>
        <w:t>. 765 p.</w:t>
      </w:r>
      <w:r w:rsidR="00F12E2E" w:rsidRPr="007928C8">
        <w:rPr>
          <w:sz w:val="26"/>
          <w:szCs w:val="26"/>
          <w:lang w:val="lt-LT"/>
        </w:rPr>
        <w:t xml:space="preserve"> </w:t>
      </w:r>
      <w:r w:rsidR="00F12E2E" w:rsidRPr="007928C8">
        <w:rPr>
          <w:sz w:val="26"/>
          <w:szCs w:val="26"/>
        </w:rPr>
        <w:t>ISBN 0-256-077724-X.</w:t>
      </w:r>
    </w:p>
    <w:p w:rsidR="005A0F40" w:rsidRPr="007928C8" w:rsidRDefault="005A0F40" w:rsidP="000406FA">
      <w:pPr>
        <w:pStyle w:val="ListParagraph"/>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 xml:space="preserve">Rupeikienė </w:t>
      </w:r>
      <w:r w:rsidRPr="007928C8">
        <w:rPr>
          <w:sz w:val="26"/>
          <w:szCs w:val="26"/>
          <w:lang w:val="lt-LT"/>
        </w:rPr>
        <w:t xml:space="preserve">Loreta (2005). </w:t>
      </w:r>
      <w:r w:rsidRPr="007928C8">
        <w:rPr>
          <w:i/>
          <w:sz w:val="26"/>
          <w:szCs w:val="26"/>
          <w:lang w:val="lt-LT"/>
        </w:rPr>
        <w:t>Auditas</w:t>
      </w:r>
      <w:r w:rsidRPr="007928C8">
        <w:rPr>
          <w:sz w:val="26"/>
          <w:szCs w:val="26"/>
          <w:lang w:val="lt-LT"/>
        </w:rPr>
        <w:t xml:space="preserve">. Klaipėda: Klaipėdos universiteto leidykla, p. 155. </w:t>
      </w:r>
      <w:r w:rsidRPr="007928C8">
        <w:rPr>
          <w:sz w:val="26"/>
          <w:szCs w:val="26"/>
        </w:rPr>
        <w:t>ISBN 9955-18-084-6.</w:t>
      </w:r>
    </w:p>
    <w:p w:rsidR="008A7AC2" w:rsidRPr="007928C8" w:rsidRDefault="008A7AC2" w:rsidP="000406FA">
      <w:pPr>
        <w:pStyle w:val="ListParagraph"/>
        <w:numPr>
          <w:ilvl w:val="0"/>
          <w:numId w:val="4"/>
        </w:numPr>
        <w:tabs>
          <w:tab w:val="clear" w:pos="720"/>
          <w:tab w:val="left" w:pos="567"/>
          <w:tab w:val="left" w:pos="709"/>
        </w:tabs>
        <w:spacing w:before="120"/>
        <w:ind w:left="567" w:hanging="567"/>
        <w:contextualSpacing w:val="0"/>
        <w:jc w:val="both"/>
        <w:rPr>
          <w:sz w:val="26"/>
          <w:szCs w:val="26"/>
          <w:lang w:val="lt-LT"/>
        </w:rPr>
      </w:pPr>
      <w:r w:rsidRPr="007928C8">
        <w:rPr>
          <w:caps/>
          <w:sz w:val="26"/>
          <w:szCs w:val="26"/>
          <w:lang w:val="lt-LT"/>
        </w:rPr>
        <w:t>Rutkauskas</w:t>
      </w:r>
      <w:r w:rsidR="00D84617" w:rsidRPr="007928C8">
        <w:rPr>
          <w:caps/>
          <w:sz w:val="26"/>
          <w:szCs w:val="26"/>
          <w:lang w:val="lt-LT"/>
        </w:rPr>
        <w:t>,</w:t>
      </w:r>
      <w:r w:rsidRPr="007928C8">
        <w:rPr>
          <w:caps/>
          <w:sz w:val="26"/>
          <w:szCs w:val="26"/>
          <w:lang w:val="lt-LT"/>
        </w:rPr>
        <w:t xml:space="preserve"> </w:t>
      </w:r>
      <w:r w:rsidRPr="007928C8">
        <w:rPr>
          <w:sz w:val="26"/>
          <w:szCs w:val="26"/>
          <w:lang w:val="lt-LT"/>
        </w:rPr>
        <w:t>Vytautas (2001). Finansinės rizikos valdymas: daktaro disertacija: socialiniai mokslai, ekonomika (04S). Vilnius, p. 122.</w:t>
      </w:r>
    </w:p>
    <w:p w:rsidR="008A7AC2" w:rsidRPr="007928C8" w:rsidRDefault="008A7AC2" w:rsidP="000406FA">
      <w:pPr>
        <w:pStyle w:val="ListParagraph"/>
        <w:numPr>
          <w:ilvl w:val="0"/>
          <w:numId w:val="4"/>
        </w:numPr>
        <w:tabs>
          <w:tab w:val="clear" w:pos="720"/>
          <w:tab w:val="left" w:pos="567"/>
          <w:tab w:val="left" w:pos="709"/>
        </w:tabs>
        <w:spacing w:before="120"/>
        <w:ind w:left="567" w:hanging="567"/>
        <w:contextualSpacing w:val="0"/>
        <w:jc w:val="both"/>
        <w:rPr>
          <w:sz w:val="26"/>
          <w:szCs w:val="26"/>
          <w:lang w:val="lt-LT"/>
        </w:rPr>
      </w:pPr>
      <w:r w:rsidRPr="007928C8">
        <w:rPr>
          <w:caps/>
          <w:sz w:val="26"/>
          <w:szCs w:val="26"/>
        </w:rPr>
        <w:t>Rutkauskas</w:t>
      </w:r>
      <w:r w:rsidR="00D84617" w:rsidRPr="007928C8">
        <w:rPr>
          <w:caps/>
          <w:sz w:val="26"/>
          <w:szCs w:val="26"/>
        </w:rPr>
        <w:t>,</w:t>
      </w:r>
      <w:r w:rsidRPr="007928C8">
        <w:rPr>
          <w:caps/>
          <w:sz w:val="26"/>
          <w:szCs w:val="26"/>
          <w:lang w:val="lt-LT"/>
        </w:rPr>
        <w:t xml:space="preserve"> </w:t>
      </w:r>
      <w:r w:rsidRPr="007928C8">
        <w:rPr>
          <w:sz w:val="26"/>
          <w:szCs w:val="26"/>
          <w:lang w:val="lt-LT"/>
        </w:rPr>
        <w:t>Aleksandras Vytautas (2007). Pelno inžinerija. Vilnius: Ciklonas, p. 194. ISBN 978-9955-695-56-1.</w:t>
      </w:r>
    </w:p>
    <w:p w:rsidR="00851635" w:rsidRPr="007928C8"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lastRenderedPageBreak/>
        <w:t>SPECTOR, S</w:t>
      </w:r>
      <w:r w:rsidR="007B5D48" w:rsidRPr="007928C8">
        <w:rPr>
          <w:sz w:val="26"/>
          <w:szCs w:val="26"/>
          <w:lang w:val="lt-LT"/>
        </w:rPr>
        <w:t>tephen</w:t>
      </w:r>
      <w:r w:rsidRPr="007928C8">
        <w:rPr>
          <w:sz w:val="26"/>
          <w:szCs w:val="26"/>
          <w:lang w:val="lt-LT"/>
        </w:rPr>
        <w:t xml:space="preserve">. (2003) </w:t>
      </w:r>
      <w:r w:rsidRPr="007928C8">
        <w:rPr>
          <w:i/>
          <w:sz w:val="26"/>
          <w:szCs w:val="26"/>
          <w:lang w:val="lt-LT"/>
        </w:rPr>
        <w:t>Audit Risk.</w:t>
      </w:r>
      <w:r w:rsidRPr="007928C8">
        <w:rPr>
          <w:sz w:val="26"/>
          <w:szCs w:val="26"/>
          <w:lang w:val="lt-LT"/>
        </w:rPr>
        <w:t xml:space="preserve"> [</w:t>
      </w:r>
      <w:r w:rsidR="00C11942" w:rsidRPr="007928C8">
        <w:rPr>
          <w:sz w:val="26"/>
          <w:szCs w:val="26"/>
          <w:lang w:val="lt-LT"/>
        </w:rPr>
        <w:t>interaktyvus</w:t>
      </w:r>
      <w:r w:rsidRPr="007928C8">
        <w:rPr>
          <w:sz w:val="26"/>
          <w:szCs w:val="26"/>
          <w:lang w:val="lt-LT"/>
        </w:rPr>
        <w:t>]. [</w:t>
      </w:r>
      <w:r w:rsidR="00C11942" w:rsidRPr="007928C8">
        <w:rPr>
          <w:sz w:val="26"/>
          <w:szCs w:val="26"/>
          <w:lang w:val="lt-LT"/>
        </w:rPr>
        <w:t xml:space="preserve">žiūrėta </w:t>
      </w:r>
      <w:r w:rsidRPr="007928C8">
        <w:rPr>
          <w:sz w:val="26"/>
          <w:szCs w:val="26"/>
          <w:lang w:val="lt-LT"/>
        </w:rPr>
        <w:t>2004</w:t>
      </w:r>
      <w:r w:rsidR="00C11942" w:rsidRPr="007928C8">
        <w:rPr>
          <w:sz w:val="26"/>
          <w:szCs w:val="26"/>
          <w:lang w:val="lt-LT"/>
        </w:rPr>
        <w:t xml:space="preserve"> m. kovo </w:t>
      </w:r>
      <w:r w:rsidRPr="007928C8">
        <w:rPr>
          <w:sz w:val="26"/>
          <w:szCs w:val="26"/>
          <w:lang w:val="lt-LT"/>
        </w:rPr>
        <w:t>15</w:t>
      </w:r>
      <w:r w:rsidR="00C11942" w:rsidRPr="007928C8">
        <w:rPr>
          <w:sz w:val="26"/>
          <w:szCs w:val="26"/>
          <w:lang w:val="lt-LT"/>
        </w:rPr>
        <w:t xml:space="preserve"> d.</w:t>
      </w:r>
      <w:r w:rsidRPr="007928C8">
        <w:rPr>
          <w:sz w:val="26"/>
          <w:szCs w:val="26"/>
          <w:lang w:val="lt-LT"/>
        </w:rPr>
        <w:t xml:space="preserve">]. </w:t>
      </w:r>
      <w:r w:rsidR="00C11942" w:rsidRPr="007928C8">
        <w:rPr>
          <w:sz w:val="26"/>
          <w:szCs w:val="26"/>
          <w:lang w:val="lt-LT"/>
        </w:rPr>
        <w:t>Prieiga per internetą</w:t>
      </w:r>
      <w:r w:rsidRPr="007928C8">
        <w:rPr>
          <w:sz w:val="26"/>
          <w:szCs w:val="26"/>
          <w:lang w:val="lt-LT"/>
        </w:rPr>
        <w:t>: &lt;http://www.cga-canada.org/eng/magazine/may-jun03/standars_e.htm&gt;.</w:t>
      </w:r>
    </w:p>
    <w:p w:rsidR="009B6941" w:rsidRPr="007928C8" w:rsidRDefault="009B6941"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STALIŪNIENĖ, J</w:t>
      </w:r>
      <w:r w:rsidR="00022A19" w:rsidRPr="007928C8">
        <w:rPr>
          <w:sz w:val="26"/>
          <w:szCs w:val="26"/>
          <w:lang w:val="lt-LT"/>
        </w:rPr>
        <w:t>olanta</w:t>
      </w:r>
      <w:r w:rsidRPr="007928C8">
        <w:rPr>
          <w:sz w:val="26"/>
          <w:szCs w:val="26"/>
          <w:lang w:val="lt-LT"/>
        </w:rPr>
        <w:t xml:space="preserve"> D</w:t>
      </w:r>
      <w:r w:rsidR="0051491F" w:rsidRPr="007928C8">
        <w:rPr>
          <w:sz w:val="26"/>
          <w:szCs w:val="26"/>
          <w:lang w:val="lt-LT"/>
        </w:rPr>
        <w:t>alia</w:t>
      </w:r>
      <w:r w:rsidRPr="007928C8">
        <w:rPr>
          <w:sz w:val="26"/>
          <w:szCs w:val="26"/>
          <w:lang w:val="lt-LT"/>
        </w:rPr>
        <w:t xml:space="preserve">. (2001). </w:t>
      </w:r>
      <w:r w:rsidRPr="007928C8">
        <w:rPr>
          <w:i/>
          <w:sz w:val="26"/>
          <w:szCs w:val="26"/>
          <w:lang w:val="lt-LT"/>
        </w:rPr>
        <w:t>Vidaus kontrolės rizikos įvertinimas ir jos įtaka audito išvadai</w:t>
      </w:r>
      <w:r w:rsidRPr="007928C8">
        <w:rPr>
          <w:sz w:val="26"/>
          <w:szCs w:val="26"/>
          <w:lang w:val="lt-LT"/>
        </w:rPr>
        <w:t>. // Ketvirtoji respublikinė doktorantų ir magistrantų mokslinė konferencija. Lietuvos ūkio ekonominės ir vadybinės problemos, Kaunas: VDU, P. 123 – 129.</w:t>
      </w:r>
    </w:p>
    <w:p w:rsidR="004F3D83" w:rsidRPr="007928C8" w:rsidRDefault="004F3D83"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Statement on Auditing Standards 47, „Audit Risk and Materiality in Conducting an Audit“</w:t>
      </w:r>
      <w:r w:rsidRPr="007928C8">
        <w:rPr>
          <w:sz w:val="26"/>
          <w:szCs w:val="26"/>
          <w:lang w:val="lt-LT"/>
        </w:rPr>
        <w:t xml:space="preserve"> (2006). [interaktyvus]. [žiūrėta 200</w:t>
      </w:r>
      <w:r w:rsidR="00982348" w:rsidRPr="007928C8">
        <w:rPr>
          <w:sz w:val="26"/>
          <w:szCs w:val="26"/>
          <w:lang w:val="lt-LT"/>
        </w:rPr>
        <w:t>7</w:t>
      </w:r>
      <w:r w:rsidRPr="007928C8">
        <w:rPr>
          <w:sz w:val="26"/>
          <w:szCs w:val="26"/>
          <w:lang w:val="lt-LT"/>
        </w:rPr>
        <w:t xml:space="preserve"> m. </w:t>
      </w:r>
      <w:r w:rsidR="00982348" w:rsidRPr="007928C8">
        <w:rPr>
          <w:sz w:val="26"/>
          <w:szCs w:val="26"/>
          <w:lang w:val="lt-LT"/>
        </w:rPr>
        <w:t>liepos</w:t>
      </w:r>
      <w:r w:rsidRPr="007928C8">
        <w:rPr>
          <w:sz w:val="26"/>
          <w:szCs w:val="26"/>
          <w:lang w:val="lt-LT"/>
        </w:rPr>
        <w:t xml:space="preserve"> 17 d.]</w:t>
      </w:r>
      <w:r w:rsidR="00D67E3B" w:rsidRPr="007928C8">
        <w:rPr>
          <w:sz w:val="26"/>
          <w:szCs w:val="26"/>
          <w:lang w:val="lt-LT"/>
        </w:rPr>
        <w:t>, p. 255 – 264</w:t>
      </w:r>
      <w:r w:rsidRPr="007928C8">
        <w:rPr>
          <w:sz w:val="26"/>
          <w:szCs w:val="26"/>
          <w:lang w:val="lt-LT"/>
        </w:rPr>
        <w:t xml:space="preserve">. Prieiga per internetą: </w:t>
      </w:r>
      <w:r w:rsidR="00A46B31" w:rsidRPr="007928C8">
        <w:rPr>
          <w:sz w:val="26"/>
          <w:szCs w:val="26"/>
          <w:lang w:val="lt-LT"/>
        </w:rPr>
        <w:t>&lt;</w:t>
      </w:r>
      <w:r w:rsidR="002B624F" w:rsidRPr="007928C8">
        <w:rPr>
          <w:sz w:val="26"/>
          <w:szCs w:val="26"/>
          <w:lang w:val="lt-LT"/>
        </w:rPr>
        <w:t>http://</w:t>
      </w:r>
      <w:r w:rsidR="00A46B31" w:rsidRPr="007928C8">
        <w:rPr>
          <w:sz w:val="26"/>
          <w:szCs w:val="26"/>
          <w:lang w:val="lt-LT"/>
        </w:rPr>
        <w:t>www.</w:t>
      </w:r>
      <w:r w:rsidR="002B624F" w:rsidRPr="007928C8">
        <w:rPr>
          <w:sz w:val="26"/>
          <w:szCs w:val="26"/>
          <w:lang w:val="lt-LT"/>
        </w:rPr>
        <w:t xml:space="preserve">aicpa.org </w:t>
      </w:r>
      <w:r w:rsidR="00A46B31" w:rsidRPr="007928C8">
        <w:rPr>
          <w:sz w:val="26"/>
          <w:szCs w:val="26"/>
          <w:lang w:val="lt-LT"/>
        </w:rPr>
        <w:t>&gt;</w:t>
      </w:r>
      <w:r w:rsidR="002B624F" w:rsidRPr="007928C8">
        <w:rPr>
          <w:sz w:val="26"/>
          <w:szCs w:val="26"/>
          <w:lang w:val="lt-LT"/>
        </w:rPr>
        <w:t>.</w:t>
      </w:r>
    </w:p>
    <w:p w:rsidR="002B624F" w:rsidRPr="007928C8" w:rsidRDefault="002B624F"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rPr>
        <w:t>Statement on Auditing Standards 107, „Audit Risk and Materiality in Conducting an Audit“</w:t>
      </w:r>
      <w:r w:rsidRPr="007928C8">
        <w:rPr>
          <w:sz w:val="26"/>
          <w:szCs w:val="26"/>
          <w:lang w:val="lt-LT"/>
        </w:rPr>
        <w:t xml:space="preserve"> (2006). [interaktyvus]. [žiūrėta 2007 m. liepos 17 d.]</w:t>
      </w:r>
      <w:r w:rsidR="00D67E3B" w:rsidRPr="007928C8">
        <w:rPr>
          <w:sz w:val="26"/>
          <w:szCs w:val="26"/>
          <w:lang w:val="lt-LT"/>
        </w:rPr>
        <w:t>, p. 1561 – 1579</w:t>
      </w:r>
      <w:r w:rsidRPr="007928C8">
        <w:rPr>
          <w:sz w:val="26"/>
          <w:szCs w:val="26"/>
          <w:lang w:val="lt-LT"/>
        </w:rPr>
        <w:t xml:space="preserve">. Prieiga per internetą: </w:t>
      </w:r>
      <w:r w:rsidR="00424A33" w:rsidRPr="007928C8">
        <w:rPr>
          <w:sz w:val="26"/>
          <w:szCs w:val="26"/>
          <w:lang w:val="lt-LT"/>
        </w:rPr>
        <w:t>&lt;http://www.aicpa.org&gt; .</w:t>
      </w:r>
    </w:p>
    <w:p w:rsidR="008E08F2" w:rsidRPr="008E08F2" w:rsidRDefault="001128A0" w:rsidP="008E08F2">
      <w:pPr>
        <w:numPr>
          <w:ilvl w:val="0"/>
          <w:numId w:val="4"/>
        </w:numPr>
        <w:tabs>
          <w:tab w:val="clear" w:pos="720"/>
          <w:tab w:val="left" w:pos="567"/>
          <w:tab w:val="left" w:pos="709"/>
        </w:tabs>
        <w:spacing w:before="120"/>
        <w:ind w:left="567" w:hanging="567"/>
        <w:jc w:val="both"/>
        <w:rPr>
          <w:color w:val="000000"/>
          <w:sz w:val="26"/>
          <w:szCs w:val="26"/>
        </w:rPr>
      </w:pPr>
      <w:r w:rsidRPr="008E08F2">
        <w:rPr>
          <w:sz w:val="26"/>
          <w:szCs w:val="26"/>
          <w:lang w:val="lt-LT"/>
        </w:rPr>
        <w:t>STEINTHORSDOTTIR</w:t>
      </w:r>
      <w:r w:rsidR="00D84617" w:rsidRPr="008E08F2">
        <w:rPr>
          <w:sz w:val="26"/>
          <w:szCs w:val="26"/>
          <w:lang w:val="lt-LT"/>
        </w:rPr>
        <w:t>,</w:t>
      </w:r>
      <w:r w:rsidRPr="008E08F2">
        <w:rPr>
          <w:sz w:val="26"/>
          <w:szCs w:val="26"/>
          <w:lang w:val="lt-LT"/>
        </w:rPr>
        <w:t xml:space="preserve"> Lilja (2004). </w:t>
      </w:r>
      <w:r w:rsidRPr="008E08F2">
        <w:rPr>
          <w:sz w:val="26"/>
          <w:szCs w:val="26"/>
        </w:rPr>
        <w:t>Internal Control</w:t>
      </w:r>
      <w:r w:rsidRPr="008E08F2">
        <w:rPr>
          <w:sz w:val="26"/>
          <w:szCs w:val="26"/>
          <w:lang w:val="lt-LT"/>
        </w:rPr>
        <w:t xml:space="preserve">. Iš </w:t>
      </w:r>
      <w:r w:rsidRPr="008E08F2">
        <w:rPr>
          <w:i/>
          <w:sz w:val="26"/>
          <w:szCs w:val="26"/>
        </w:rPr>
        <w:t>Monetary Bulletin</w:t>
      </w:r>
      <w:r w:rsidRPr="008E08F2">
        <w:rPr>
          <w:sz w:val="26"/>
          <w:szCs w:val="26"/>
          <w:lang w:val="lt-LT"/>
        </w:rPr>
        <w:t xml:space="preserve"> [interaktyvus]. No.1, [žiūrėta 2008 m. rugpjūčio 16 d.], p. 85 – 95. Prie</w:t>
      </w:r>
      <w:r w:rsidR="0024425C" w:rsidRPr="008E08F2">
        <w:rPr>
          <w:sz w:val="26"/>
          <w:szCs w:val="26"/>
          <w:lang w:val="lt-LT"/>
        </w:rPr>
        <w:t>i</w:t>
      </w:r>
      <w:r w:rsidRPr="008E08F2">
        <w:rPr>
          <w:sz w:val="26"/>
          <w:szCs w:val="26"/>
          <w:lang w:val="lt-LT"/>
        </w:rPr>
        <w:t>ga per internetą: &lt;</w:t>
      </w:r>
      <w:r w:rsidRPr="008E08F2">
        <w:rPr>
          <w:color w:val="000000"/>
          <w:sz w:val="26"/>
          <w:szCs w:val="26"/>
        </w:rPr>
        <w:t>http://www.sedlabanki.is/uploads/files/</w:t>
      </w:r>
      <w:r w:rsidR="008E08F2">
        <w:rPr>
          <w:color w:val="000000"/>
          <w:sz w:val="26"/>
          <w:szCs w:val="26"/>
        </w:rPr>
        <w:t xml:space="preserve"> </w:t>
      </w:r>
      <w:r w:rsidRPr="008E08F2">
        <w:rPr>
          <w:color w:val="000000"/>
          <w:sz w:val="26"/>
          <w:szCs w:val="26"/>
        </w:rPr>
        <w:t>MB041_6.pdf</w:t>
      </w:r>
      <w:r w:rsidR="0024425C" w:rsidRPr="008E08F2">
        <w:rPr>
          <w:color w:val="000000"/>
          <w:sz w:val="26"/>
          <w:szCs w:val="26"/>
        </w:rPr>
        <w:t>&gt; .</w:t>
      </w:r>
    </w:p>
    <w:p w:rsidR="00C53E27" w:rsidRPr="007928C8" w:rsidRDefault="00994DD8" w:rsidP="000406FA">
      <w:pPr>
        <w:numPr>
          <w:ilvl w:val="0"/>
          <w:numId w:val="4"/>
        </w:numPr>
        <w:tabs>
          <w:tab w:val="clear" w:pos="720"/>
          <w:tab w:val="left" w:pos="567"/>
          <w:tab w:val="left" w:pos="709"/>
        </w:tabs>
        <w:spacing w:before="120"/>
        <w:ind w:left="567" w:hanging="567"/>
        <w:jc w:val="both"/>
        <w:rPr>
          <w:color w:val="000000" w:themeColor="text1"/>
          <w:sz w:val="26"/>
          <w:szCs w:val="26"/>
          <w:lang w:val="lt-LT"/>
        </w:rPr>
      </w:pPr>
      <w:r w:rsidRPr="007928C8">
        <w:rPr>
          <w:sz w:val="26"/>
          <w:szCs w:val="26"/>
          <w:lang w:val="lt-LT"/>
        </w:rPr>
        <w:t xml:space="preserve">SENNETTI, </w:t>
      </w:r>
      <w:r w:rsidRPr="007928C8">
        <w:rPr>
          <w:sz w:val="26"/>
          <w:szCs w:val="26"/>
        </w:rPr>
        <w:t>John</w:t>
      </w:r>
      <w:r w:rsidRPr="007928C8">
        <w:rPr>
          <w:sz w:val="26"/>
          <w:szCs w:val="26"/>
          <w:lang w:val="lt-LT"/>
        </w:rPr>
        <w:t xml:space="preserve"> T. (1990) </w:t>
      </w:r>
      <w:r w:rsidRPr="007928C8">
        <w:rPr>
          <w:sz w:val="26"/>
          <w:szCs w:val="26"/>
        </w:rPr>
        <w:t>Toward a More Consistent Model for Audit Risk</w:t>
      </w:r>
      <w:r w:rsidRPr="007928C8">
        <w:rPr>
          <w:sz w:val="26"/>
          <w:szCs w:val="26"/>
          <w:lang w:val="lt-LT"/>
        </w:rPr>
        <w:t>. Iš A</w:t>
      </w:r>
      <w:r w:rsidRPr="007928C8">
        <w:rPr>
          <w:i/>
          <w:sz w:val="26"/>
          <w:szCs w:val="26"/>
          <w:lang w:val="lt-LT"/>
        </w:rPr>
        <w:t xml:space="preserve"> </w:t>
      </w:r>
      <w:r w:rsidRPr="007928C8">
        <w:rPr>
          <w:i/>
          <w:sz w:val="26"/>
          <w:szCs w:val="26"/>
        </w:rPr>
        <w:t>Journal of Practice &amp; Theory</w:t>
      </w:r>
      <w:r w:rsidRPr="007928C8">
        <w:rPr>
          <w:sz w:val="26"/>
          <w:szCs w:val="26"/>
          <w:lang w:val="lt-LT"/>
        </w:rPr>
        <w:t xml:space="preserve"> [interaktyvus]. Vol. 9, No. 2, [žiūrėta 2007 m. kovo 26 d.], p. 103 – 112. </w:t>
      </w:r>
      <w:r w:rsidR="001128A0" w:rsidRPr="007928C8">
        <w:rPr>
          <w:sz w:val="26"/>
          <w:szCs w:val="26"/>
          <w:lang w:val="lt-LT"/>
        </w:rPr>
        <w:t>P</w:t>
      </w:r>
      <w:r w:rsidRPr="007928C8">
        <w:rPr>
          <w:sz w:val="26"/>
          <w:szCs w:val="26"/>
          <w:lang w:val="lt-LT"/>
        </w:rPr>
        <w:t>r</w:t>
      </w:r>
      <w:r w:rsidRPr="007928C8">
        <w:rPr>
          <w:color w:val="000000" w:themeColor="text1"/>
          <w:sz w:val="26"/>
          <w:szCs w:val="26"/>
          <w:lang w:val="lt-LT"/>
        </w:rPr>
        <w:t xml:space="preserve">ieiga per internetą: </w:t>
      </w:r>
      <w:r w:rsidR="00C66F5D" w:rsidRPr="007928C8">
        <w:rPr>
          <w:color w:val="000000" w:themeColor="text1"/>
          <w:sz w:val="26"/>
          <w:szCs w:val="26"/>
          <w:lang w:val="lt-LT"/>
        </w:rPr>
        <w:t xml:space="preserve">&lt;http://web.ebscohost.com/bsi/pdf&gt;. </w:t>
      </w:r>
    </w:p>
    <w:p w:rsidR="00C636D8" w:rsidRPr="007928C8" w:rsidRDefault="00C53E27"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rPr>
        <w:t>Srivastava,</w:t>
      </w:r>
      <w:r w:rsidRPr="007928C8">
        <w:rPr>
          <w:sz w:val="26"/>
          <w:szCs w:val="26"/>
        </w:rPr>
        <w:t xml:space="preserve"> Rajendra P., SHAFER Glenn R. (1992) Belief-function formulas for audit risk. I</w:t>
      </w:r>
      <w:r w:rsidRPr="007928C8">
        <w:rPr>
          <w:sz w:val="26"/>
          <w:szCs w:val="26"/>
          <w:lang w:val="lt-LT"/>
        </w:rPr>
        <w:t xml:space="preserve">š </w:t>
      </w:r>
      <w:r w:rsidRPr="007928C8">
        <w:rPr>
          <w:i/>
          <w:iCs/>
          <w:sz w:val="26"/>
          <w:szCs w:val="26"/>
        </w:rPr>
        <w:t>The Accounting Review</w:t>
      </w:r>
      <w:r w:rsidRPr="007928C8">
        <w:rPr>
          <w:sz w:val="26"/>
          <w:szCs w:val="26"/>
        </w:rPr>
        <w:t xml:space="preserve"> [interaktyvus]. Vol. </w:t>
      </w:r>
      <w:r w:rsidRPr="007928C8">
        <w:rPr>
          <w:bCs/>
          <w:sz w:val="26"/>
          <w:szCs w:val="26"/>
        </w:rPr>
        <w:t>67</w:t>
      </w:r>
      <w:r w:rsidRPr="007928C8">
        <w:rPr>
          <w:sz w:val="26"/>
          <w:szCs w:val="26"/>
        </w:rPr>
        <w:t xml:space="preserve">, No. 2, </w:t>
      </w:r>
      <w:r w:rsidRPr="007928C8">
        <w:rPr>
          <w:sz w:val="26"/>
          <w:szCs w:val="26"/>
          <w:lang w:val="lt-LT"/>
        </w:rPr>
        <w:t>[žiūrėta 2007 m. kovo 26 d.], p.</w:t>
      </w:r>
      <w:r w:rsidRPr="007928C8">
        <w:rPr>
          <w:sz w:val="26"/>
          <w:szCs w:val="26"/>
        </w:rPr>
        <w:t xml:space="preserve"> 249 – 283. Prieiga per internetą: &lt;</w:t>
      </w:r>
      <w:r w:rsidRPr="007928C8">
        <w:rPr>
          <w:sz w:val="26"/>
          <w:szCs w:val="26"/>
          <w:lang w:val="lt-LT"/>
        </w:rPr>
        <w:t>http://www.glennshafer.com&gt;.</w:t>
      </w:r>
    </w:p>
    <w:p w:rsidR="00C636D8" w:rsidRPr="007928C8" w:rsidRDefault="00C636D8"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Sutherland</w:t>
      </w:r>
      <w:r w:rsidR="00D84617" w:rsidRPr="007928C8">
        <w:rPr>
          <w:sz w:val="26"/>
          <w:szCs w:val="26"/>
          <w:lang w:val="lt-LT"/>
        </w:rPr>
        <w:t>, Jonathan;</w:t>
      </w:r>
      <w:r w:rsidRPr="007928C8">
        <w:rPr>
          <w:sz w:val="26"/>
          <w:szCs w:val="26"/>
          <w:lang w:val="lt-LT"/>
        </w:rPr>
        <w:t xml:space="preserve"> </w:t>
      </w:r>
      <w:r w:rsidRPr="007928C8">
        <w:rPr>
          <w:caps/>
          <w:sz w:val="26"/>
          <w:szCs w:val="26"/>
          <w:lang w:val="lt-LT"/>
        </w:rPr>
        <w:t>Canwell</w:t>
      </w:r>
      <w:r w:rsidRPr="007928C8">
        <w:rPr>
          <w:sz w:val="26"/>
          <w:szCs w:val="26"/>
          <w:lang w:val="lt-LT"/>
        </w:rPr>
        <w:t>, Diane (2004)</w:t>
      </w:r>
      <w:r w:rsidRPr="007928C8">
        <w:rPr>
          <w:i/>
          <w:sz w:val="26"/>
          <w:szCs w:val="26"/>
          <w:lang w:val="lt-LT"/>
        </w:rPr>
        <w:t xml:space="preserve"> </w:t>
      </w:r>
      <w:r w:rsidRPr="007928C8">
        <w:rPr>
          <w:i/>
          <w:sz w:val="26"/>
          <w:szCs w:val="26"/>
        </w:rPr>
        <w:t>Key Concepts in Management</w:t>
      </w:r>
      <w:r w:rsidRPr="007928C8">
        <w:rPr>
          <w:sz w:val="26"/>
          <w:szCs w:val="26"/>
        </w:rPr>
        <w:t>. Palgrove Macmillan</w:t>
      </w:r>
      <w:r w:rsidRPr="007928C8">
        <w:rPr>
          <w:sz w:val="26"/>
          <w:szCs w:val="26"/>
          <w:lang w:val="lt-LT"/>
        </w:rPr>
        <w:t>, p. 325. ISBN 1-4039-1533-4.</w:t>
      </w:r>
    </w:p>
    <w:p w:rsidR="00851635" w:rsidRPr="007928C8" w:rsidRDefault="00851635"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TOLIATIENĖ, I</w:t>
      </w:r>
      <w:r w:rsidR="00022A19" w:rsidRPr="007928C8">
        <w:rPr>
          <w:sz w:val="26"/>
          <w:szCs w:val="26"/>
          <w:lang w:val="lt-LT"/>
        </w:rPr>
        <w:t>rena</w:t>
      </w:r>
      <w:r w:rsidRPr="007928C8">
        <w:rPr>
          <w:sz w:val="26"/>
          <w:szCs w:val="26"/>
          <w:lang w:val="lt-LT"/>
        </w:rPr>
        <w:t xml:space="preserve"> (</w:t>
      </w:r>
      <w:r w:rsidR="00FD5655" w:rsidRPr="007928C8">
        <w:rPr>
          <w:sz w:val="26"/>
          <w:szCs w:val="26"/>
          <w:lang w:val="lt-LT"/>
        </w:rPr>
        <w:t>2004</w:t>
      </w:r>
      <w:r w:rsidRPr="007928C8">
        <w:rPr>
          <w:sz w:val="26"/>
          <w:szCs w:val="26"/>
          <w:lang w:val="lt-LT"/>
        </w:rPr>
        <w:t>)</w:t>
      </w:r>
      <w:r w:rsidR="00FD5655" w:rsidRPr="007928C8">
        <w:rPr>
          <w:sz w:val="26"/>
          <w:szCs w:val="26"/>
          <w:lang w:val="lt-LT"/>
        </w:rPr>
        <w:t>.</w:t>
      </w:r>
      <w:r w:rsidRPr="007928C8">
        <w:rPr>
          <w:sz w:val="26"/>
          <w:szCs w:val="26"/>
          <w:lang w:val="lt-LT"/>
        </w:rPr>
        <w:t xml:space="preserve"> </w:t>
      </w:r>
      <w:r w:rsidRPr="007928C8">
        <w:rPr>
          <w:i/>
          <w:sz w:val="26"/>
          <w:szCs w:val="26"/>
          <w:lang w:val="lt-LT"/>
        </w:rPr>
        <w:t>TAS naujovės dėl audito rizikos</w:t>
      </w:r>
      <w:r w:rsidRPr="007928C8">
        <w:rPr>
          <w:sz w:val="26"/>
          <w:szCs w:val="26"/>
          <w:lang w:val="lt-LT"/>
        </w:rPr>
        <w:t>. Mokesčių žinios, kovas, Nr.10 (368). P. 10.</w:t>
      </w:r>
    </w:p>
    <w:p w:rsidR="008B74E1" w:rsidRPr="007928C8" w:rsidRDefault="008B74E1" w:rsidP="000406FA">
      <w:pPr>
        <w:numPr>
          <w:ilvl w:val="0"/>
          <w:numId w:val="4"/>
        </w:numPr>
        <w:tabs>
          <w:tab w:val="clear" w:pos="720"/>
          <w:tab w:val="left" w:pos="567"/>
          <w:tab w:val="left" w:pos="709"/>
        </w:tabs>
        <w:spacing w:before="120"/>
        <w:ind w:left="567" w:hanging="567"/>
        <w:jc w:val="both"/>
        <w:rPr>
          <w:sz w:val="26"/>
          <w:szCs w:val="26"/>
          <w:lang w:val="lt-LT"/>
        </w:rPr>
      </w:pPr>
      <w:r w:rsidRPr="007928C8">
        <w:rPr>
          <w:i/>
          <w:sz w:val="26"/>
          <w:szCs w:val="26"/>
          <w:lang w:val="lt-LT"/>
        </w:rPr>
        <w:t>Tarptautinių žodžių žodynas.</w:t>
      </w:r>
      <w:r w:rsidRPr="007928C8">
        <w:rPr>
          <w:sz w:val="26"/>
          <w:szCs w:val="26"/>
          <w:lang w:val="lt-LT"/>
        </w:rPr>
        <w:t xml:space="preserve"> (1985) Vyriausioji enciklopedijų redakcija. [atsakingasis redaktorius V. Kvietkauskas], p. 527.</w:t>
      </w:r>
    </w:p>
    <w:p w:rsidR="00811D42" w:rsidRPr="007928C8" w:rsidRDefault="00811D42" w:rsidP="000406FA">
      <w:pPr>
        <w:numPr>
          <w:ilvl w:val="0"/>
          <w:numId w:val="4"/>
        </w:numPr>
        <w:tabs>
          <w:tab w:val="clear" w:pos="720"/>
          <w:tab w:val="left" w:pos="567"/>
          <w:tab w:val="left" w:pos="709"/>
        </w:tabs>
        <w:spacing w:before="120"/>
        <w:ind w:left="567" w:hanging="567"/>
        <w:jc w:val="both"/>
        <w:rPr>
          <w:sz w:val="26"/>
          <w:szCs w:val="26"/>
        </w:rPr>
      </w:pPr>
      <w:r w:rsidRPr="007928C8">
        <w:rPr>
          <w:i/>
          <w:sz w:val="26"/>
          <w:szCs w:val="26"/>
          <w:lang w:val="lt-LT"/>
        </w:rPr>
        <w:t xml:space="preserve">Tarptautinių standartų auditui taikymo mažų ir vidutinių įmonių auditams vadovas. </w:t>
      </w:r>
      <w:r w:rsidRPr="007928C8">
        <w:rPr>
          <w:sz w:val="26"/>
          <w:szCs w:val="26"/>
          <w:lang w:val="lt-LT"/>
        </w:rPr>
        <w:t>(2008)</w:t>
      </w:r>
      <w:r w:rsidR="00102351" w:rsidRPr="007928C8">
        <w:rPr>
          <w:sz w:val="26"/>
          <w:szCs w:val="26"/>
          <w:lang w:val="lt-LT"/>
        </w:rPr>
        <w:t xml:space="preserve"> Lietuvos auditorių rūmai, p. 414. ISBN 978-9955-9841-5-3.</w:t>
      </w:r>
    </w:p>
    <w:p w:rsidR="00CC5CD9" w:rsidRPr="00CC5CD9" w:rsidRDefault="00164567"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TIE, Robert</w:t>
      </w:r>
      <w:r w:rsidR="00B212F5" w:rsidRPr="007928C8">
        <w:rPr>
          <w:sz w:val="26"/>
          <w:szCs w:val="26"/>
          <w:lang w:val="lt-LT"/>
        </w:rPr>
        <w:t xml:space="preserve">. (2000) </w:t>
      </w:r>
      <w:r w:rsidR="00B212F5" w:rsidRPr="007928C8">
        <w:rPr>
          <w:sz w:val="26"/>
          <w:szCs w:val="26"/>
        </w:rPr>
        <w:t>Head of Audit Effectiveness Panel Speaks Out</w:t>
      </w:r>
      <w:r w:rsidR="00B212F5" w:rsidRPr="007928C8">
        <w:rPr>
          <w:sz w:val="26"/>
          <w:szCs w:val="26"/>
          <w:lang w:val="lt-LT"/>
        </w:rPr>
        <w:t xml:space="preserve">. Iš </w:t>
      </w:r>
      <w:r w:rsidR="00B212F5" w:rsidRPr="007928C8">
        <w:rPr>
          <w:i/>
          <w:sz w:val="26"/>
          <w:szCs w:val="26"/>
        </w:rPr>
        <w:t>Journal of Accountancy</w:t>
      </w:r>
      <w:r w:rsidR="00B212F5" w:rsidRPr="007928C8">
        <w:rPr>
          <w:sz w:val="26"/>
          <w:szCs w:val="26"/>
          <w:lang w:val="lt-LT"/>
        </w:rPr>
        <w:t xml:space="preserve"> [interaktyvus]. </w:t>
      </w:r>
      <w:r w:rsidR="00B212F5" w:rsidRPr="007928C8">
        <w:rPr>
          <w:sz w:val="26"/>
          <w:szCs w:val="26"/>
        </w:rPr>
        <w:t xml:space="preserve">December </w:t>
      </w:r>
      <w:r w:rsidR="00B212F5" w:rsidRPr="007928C8">
        <w:rPr>
          <w:sz w:val="26"/>
          <w:szCs w:val="26"/>
          <w:lang w:val="lt-LT"/>
        </w:rPr>
        <w:t>[žiūrėta 2007 m. liepos 26 d.]. Prie</w:t>
      </w:r>
      <w:r w:rsidR="007A0B8D" w:rsidRPr="007928C8">
        <w:rPr>
          <w:sz w:val="26"/>
          <w:szCs w:val="26"/>
          <w:lang w:val="lt-LT"/>
        </w:rPr>
        <w:t>i</w:t>
      </w:r>
      <w:r w:rsidR="00B212F5" w:rsidRPr="007928C8">
        <w:rPr>
          <w:sz w:val="26"/>
          <w:szCs w:val="26"/>
          <w:lang w:val="lt-LT"/>
        </w:rPr>
        <w:t xml:space="preserve">ga per internetą: </w:t>
      </w:r>
      <w:r w:rsidR="00E74923" w:rsidRPr="007928C8">
        <w:rPr>
          <w:sz w:val="26"/>
          <w:szCs w:val="26"/>
          <w:lang w:val="lt-LT"/>
        </w:rPr>
        <w:t>&lt;</w:t>
      </w:r>
      <w:r w:rsidR="00B212F5" w:rsidRPr="007928C8">
        <w:rPr>
          <w:sz w:val="26"/>
          <w:szCs w:val="26"/>
          <w:lang w:val="lt-LT"/>
        </w:rPr>
        <w:t>http://www.aicpa.org/PUBS/jofa/</w:t>
      </w:r>
      <w:r w:rsidR="00B212F5" w:rsidRPr="00CC5CD9">
        <w:rPr>
          <w:sz w:val="26"/>
          <w:szCs w:val="26"/>
          <w:lang w:val="lt-LT"/>
        </w:rPr>
        <w:t>dec2000/</w:t>
      </w:r>
    </w:p>
    <w:p w:rsidR="00A4676B" w:rsidRPr="00CC5CD9" w:rsidRDefault="00B212F5" w:rsidP="000406FA">
      <w:pPr>
        <w:tabs>
          <w:tab w:val="left" w:pos="567"/>
          <w:tab w:val="left" w:pos="709"/>
        </w:tabs>
        <w:spacing w:before="120"/>
        <w:ind w:left="567"/>
        <w:jc w:val="both"/>
        <w:rPr>
          <w:sz w:val="26"/>
          <w:szCs w:val="26"/>
        </w:rPr>
      </w:pPr>
      <w:r w:rsidRPr="00CC5CD9">
        <w:rPr>
          <w:sz w:val="26"/>
          <w:szCs w:val="26"/>
          <w:lang w:val="lt-LT"/>
        </w:rPr>
        <w:t>news_fv.htm</w:t>
      </w:r>
      <w:r w:rsidR="00E74923" w:rsidRPr="00CC5CD9">
        <w:rPr>
          <w:sz w:val="26"/>
          <w:szCs w:val="26"/>
          <w:lang w:val="lt-LT"/>
        </w:rPr>
        <w:t>&gt; .</w:t>
      </w:r>
    </w:p>
    <w:p w:rsidR="00BC29D2" w:rsidRPr="007928C8" w:rsidRDefault="00E336A1"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lang w:val="lt-LT"/>
        </w:rPr>
        <w:t xml:space="preserve">Turnbull (1999). </w:t>
      </w:r>
      <w:r w:rsidRPr="007928C8">
        <w:rPr>
          <w:sz w:val="26"/>
          <w:szCs w:val="26"/>
        </w:rPr>
        <w:t xml:space="preserve">The Institute of Chartered Accountants in England and Wales. </w:t>
      </w:r>
      <w:r w:rsidR="00A4676B" w:rsidRPr="007928C8">
        <w:rPr>
          <w:sz w:val="26"/>
          <w:szCs w:val="26"/>
        </w:rPr>
        <w:t>In</w:t>
      </w:r>
      <w:r w:rsidRPr="007928C8">
        <w:rPr>
          <w:rStyle w:val="Emphasis"/>
          <w:b w:val="0"/>
          <w:sz w:val="26"/>
          <w:szCs w:val="26"/>
        </w:rPr>
        <w:t>ternal Control</w:t>
      </w:r>
      <w:r w:rsidRPr="007928C8">
        <w:rPr>
          <w:b/>
          <w:sz w:val="26"/>
          <w:szCs w:val="26"/>
        </w:rPr>
        <w:t xml:space="preserve">: </w:t>
      </w:r>
      <w:r w:rsidRPr="007928C8">
        <w:rPr>
          <w:rStyle w:val="Emphasis"/>
          <w:b w:val="0"/>
          <w:sz w:val="26"/>
          <w:szCs w:val="26"/>
        </w:rPr>
        <w:t>Guidance</w:t>
      </w:r>
      <w:r w:rsidRPr="007928C8">
        <w:rPr>
          <w:sz w:val="26"/>
          <w:szCs w:val="26"/>
        </w:rPr>
        <w:t xml:space="preserve"> for </w:t>
      </w:r>
      <w:r w:rsidRPr="007928C8">
        <w:rPr>
          <w:rStyle w:val="Emphasis"/>
          <w:b w:val="0"/>
          <w:sz w:val="26"/>
          <w:szCs w:val="26"/>
        </w:rPr>
        <w:t>Directors on the Combined Code</w:t>
      </w:r>
      <w:r w:rsidR="00A4676B" w:rsidRPr="007928C8">
        <w:rPr>
          <w:rStyle w:val="Emphasis"/>
          <w:sz w:val="26"/>
          <w:szCs w:val="26"/>
        </w:rPr>
        <w:t xml:space="preserve">. </w:t>
      </w:r>
      <w:r w:rsidR="00A4676B" w:rsidRPr="007928C8">
        <w:rPr>
          <w:sz w:val="26"/>
          <w:szCs w:val="26"/>
          <w:lang w:val="lt-LT"/>
        </w:rPr>
        <w:lastRenderedPageBreak/>
        <w:t>[interaktyvus], [žiūrėta 2008 m. rugpjūčio 16 d.]</w:t>
      </w:r>
      <w:r w:rsidR="00BC29D2" w:rsidRPr="007928C8">
        <w:rPr>
          <w:sz w:val="26"/>
          <w:szCs w:val="26"/>
          <w:lang w:val="lt-LT"/>
        </w:rPr>
        <w:t>.</w:t>
      </w:r>
      <w:r w:rsidR="00A4676B" w:rsidRPr="007928C8">
        <w:rPr>
          <w:sz w:val="26"/>
          <w:szCs w:val="26"/>
          <w:lang w:val="lt-LT"/>
        </w:rPr>
        <w:t xml:space="preserve"> Prieiga per internetą: &lt;</w:t>
      </w:r>
      <w:r w:rsidRPr="007928C8">
        <w:rPr>
          <w:sz w:val="26"/>
          <w:szCs w:val="26"/>
        </w:rPr>
        <w:t>http://www.cg.org.cn/theory/zlyz/turnbull.pdf</w:t>
      </w:r>
      <w:r w:rsidR="00A4676B" w:rsidRPr="007928C8">
        <w:rPr>
          <w:sz w:val="26"/>
          <w:szCs w:val="26"/>
        </w:rPr>
        <w:t>&gt;.</w:t>
      </w:r>
    </w:p>
    <w:p w:rsidR="00BC29D2" w:rsidRPr="007928C8" w:rsidRDefault="00BC29D2"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Turnbull (2005). </w:t>
      </w:r>
      <w:r w:rsidRPr="007928C8">
        <w:rPr>
          <w:sz w:val="26"/>
          <w:szCs w:val="26"/>
        </w:rPr>
        <w:t>Financial Reporting Council. In</w:t>
      </w:r>
      <w:r w:rsidRPr="007928C8">
        <w:rPr>
          <w:rStyle w:val="Emphasis"/>
          <w:b w:val="0"/>
          <w:sz w:val="26"/>
          <w:szCs w:val="26"/>
        </w:rPr>
        <w:t>ternal Control</w:t>
      </w:r>
      <w:r w:rsidRPr="007928C8">
        <w:rPr>
          <w:sz w:val="26"/>
          <w:szCs w:val="26"/>
        </w:rPr>
        <w:t xml:space="preserve">: Revised </w:t>
      </w:r>
      <w:r w:rsidRPr="007928C8">
        <w:rPr>
          <w:rStyle w:val="Emphasis"/>
          <w:b w:val="0"/>
          <w:sz w:val="26"/>
          <w:szCs w:val="26"/>
        </w:rPr>
        <w:t>Guidance</w:t>
      </w:r>
      <w:r w:rsidRPr="007928C8">
        <w:rPr>
          <w:sz w:val="26"/>
          <w:szCs w:val="26"/>
        </w:rPr>
        <w:t xml:space="preserve"> for </w:t>
      </w:r>
      <w:r w:rsidRPr="007928C8">
        <w:rPr>
          <w:rStyle w:val="Emphasis"/>
          <w:b w:val="0"/>
          <w:sz w:val="26"/>
          <w:szCs w:val="26"/>
        </w:rPr>
        <w:t>Directors on the Combined Code</w:t>
      </w:r>
      <w:r w:rsidRPr="007928C8">
        <w:rPr>
          <w:rStyle w:val="Emphasis"/>
          <w:sz w:val="26"/>
          <w:szCs w:val="26"/>
        </w:rPr>
        <w:t xml:space="preserve">. </w:t>
      </w:r>
      <w:r w:rsidRPr="007928C8">
        <w:rPr>
          <w:sz w:val="26"/>
          <w:szCs w:val="26"/>
          <w:lang w:val="lt-LT"/>
        </w:rPr>
        <w:t>[interaktyvus], [žiūrėta 2008 m. rugpjūčio 16 d.]. Prieiga per internetą: &lt;http://www.frc.org.uk&gt; .</w:t>
      </w:r>
    </w:p>
    <w:p w:rsidR="00CC5CD9" w:rsidRDefault="00011C9A"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TURNER J</w:t>
      </w:r>
      <w:r w:rsidR="005C3426" w:rsidRPr="007928C8">
        <w:rPr>
          <w:sz w:val="26"/>
          <w:szCs w:val="26"/>
          <w:lang w:val="lt-LT"/>
        </w:rPr>
        <w:t>erry</w:t>
      </w:r>
      <w:r w:rsidRPr="007928C8">
        <w:rPr>
          <w:sz w:val="26"/>
          <w:szCs w:val="26"/>
          <w:lang w:val="lt-LT"/>
        </w:rPr>
        <w:t>. I.</w:t>
      </w:r>
      <w:r w:rsidR="00D84617" w:rsidRPr="007928C8">
        <w:rPr>
          <w:sz w:val="26"/>
          <w:szCs w:val="26"/>
          <w:lang w:val="lt-LT"/>
        </w:rPr>
        <w:t>;</w:t>
      </w:r>
      <w:r w:rsidRPr="007928C8">
        <w:rPr>
          <w:sz w:val="26"/>
          <w:szCs w:val="26"/>
          <w:lang w:val="lt-LT"/>
        </w:rPr>
        <w:t xml:space="preserve"> MOCK T</w:t>
      </w:r>
      <w:r w:rsidR="005C3426" w:rsidRPr="007928C8">
        <w:rPr>
          <w:sz w:val="26"/>
          <w:szCs w:val="26"/>
          <w:lang w:val="lt-LT"/>
        </w:rPr>
        <w:t>heodore</w:t>
      </w:r>
      <w:r w:rsidRPr="007928C8">
        <w:rPr>
          <w:sz w:val="26"/>
          <w:szCs w:val="26"/>
          <w:lang w:val="lt-LT"/>
        </w:rPr>
        <w:t>. J.</w:t>
      </w:r>
      <w:r w:rsidR="00D84617" w:rsidRPr="007928C8">
        <w:rPr>
          <w:sz w:val="26"/>
          <w:szCs w:val="26"/>
          <w:lang w:val="lt-LT"/>
        </w:rPr>
        <w:t>;</w:t>
      </w:r>
      <w:r w:rsidRPr="007928C8">
        <w:rPr>
          <w:sz w:val="26"/>
          <w:szCs w:val="26"/>
          <w:lang w:val="lt-LT"/>
        </w:rPr>
        <w:t xml:space="preserve"> SRIVASTAVA</w:t>
      </w:r>
      <w:r w:rsidR="00D84617" w:rsidRPr="007928C8">
        <w:rPr>
          <w:sz w:val="26"/>
          <w:szCs w:val="26"/>
          <w:lang w:val="lt-LT"/>
        </w:rPr>
        <w:t>,</w:t>
      </w:r>
      <w:r w:rsidRPr="007928C8">
        <w:rPr>
          <w:sz w:val="26"/>
          <w:szCs w:val="26"/>
          <w:lang w:val="lt-LT"/>
        </w:rPr>
        <w:t xml:space="preserve"> R</w:t>
      </w:r>
      <w:r w:rsidR="005C3426" w:rsidRPr="007928C8">
        <w:rPr>
          <w:sz w:val="26"/>
          <w:szCs w:val="26"/>
          <w:lang w:val="lt-LT"/>
        </w:rPr>
        <w:t>ajendra</w:t>
      </w:r>
      <w:r w:rsidRPr="007928C8">
        <w:rPr>
          <w:sz w:val="26"/>
          <w:szCs w:val="26"/>
          <w:lang w:val="lt-LT"/>
        </w:rPr>
        <w:t xml:space="preserve">. P. (2003). </w:t>
      </w:r>
      <w:r w:rsidRPr="007928C8">
        <w:rPr>
          <w:sz w:val="26"/>
          <w:szCs w:val="26"/>
        </w:rPr>
        <w:t>An Analysis of the Fraud Triangle</w:t>
      </w:r>
      <w:r w:rsidRPr="007928C8">
        <w:rPr>
          <w:sz w:val="26"/>
          <w:szCs w:val="26"/>
          <w:lang w:val="lt-LT"/>
        </w:rPr>
        <w:t xml:space="preserve"> [interaktyvus]. [žiūrėta 200</w:t>
      </w:r>
      <w:r w:rsidR="000749C6" w:rsidRPr="007928C8">
        <w:rPr>
          <w:sz w:val="26"/>
          <w:szCs w:val="26"/>
          <w:lang w:val="lt-LT"/>
        </w:rPr>
        <w:t>7</w:t>
      </w:r>
      <w:r w:rsidRPr="007928C8">
        <w:rPr>
          <w:sz w:val="26"/>
          <w:szCs w:val="26"/>
          <w:lang w:val="lt-LT"/>
        </w:rPr>
        <w:t xml:space="preserve"> m. </w:t>
      </w:r>
      <w:r w:rsidR="000749C6" w:rsidRPr="007928C8">
        <w:rPr>
          <w:sz w:val="26"/>
          <w:szCs w:val="26"/>
          <w:lang w:val="lt-LT"/>
        </w:rPr>
        <w:t>vasario</w:t>
      </w:r>
      <w:r w:rsidRPr="007928C8">
        <w:rPr>
          <w:sz w:val="26"/>
          <w:szCs w:val="26"/>
          <w:lang w:val="lt-LT"/>
        </w:rPr>
        <w:t xml:space="preserve"> 6 d.].</w:t>
      </w:r>
      <w:r w:rsidR="000749C6" w:rsidRPr="007928C8">
        <w:rPr>
          <w:sz w:val="26"/>
          <w:szCs w:val="26"/>
          <w:lang w:val="lt-LT"/>
        </w:rPr>
        <w:t xml:space="preserve"> </w:t>
      </w:r>
      <w:r w:rsidR="00DC5615" w:rsidRPr="007928C8">
        <w:rPr>
          <w:sz w:val="26"/>
          <w:szCs w:val="26"/>
          <w:lang w:val="lt-LT"/>
        </w:rPr>
        <w:t>Prieiga</w:t>
      </w:r>
      <w:r w:rsidRPr="007928C8">
        <w:rPr>
          <w:sz w:val="26"/>
          <w:szCs w:val="26"/>
          <w:lang w:val="lt-LT"/>
        </w:rPr>
        <w:t xml:space="preserve"> per internetą: </w:t>
      </w:r>
      <w:r w:rsidR="000749C6" w:rsidRPr="007928C8">
        <w:rPr>
          <w:sz w:val="26"/>
          <w:szCs w:val="26"/>
          <w:lang w:val="lt-LT"/>
        </w:rPr>
        <w:t>&lt;</w:t>
      </w:r>
      <w:r w:rsidRPr="007928C8">
        <w:rPr>
          <w:sz w:val="26"/>
          <w:szCs w:val="26"/>
          <w:lang w:val="lt-LT"/>
        </w:rPr>
        <w:t>http://</w:t>
      </w:r>
      <w:r w:rsidR="000749C6" w:rsidRPr="007928C8">
        <w:rPr>
          <w:sz w:val="26"/>
          <w:szCs w:val="26"/>
          <w:lang w:val="lt-LT"/>
        </w:rPr>
        <w:t>www.</w:t>
      </w:r>
      <w:r w:rsidRPr="007928C8">
        <w:rPr>
          <w:sz w:val="26"/>
          <w:szCs w:val="26"/>
          <w:lang w:val="lt-LT"/>
        </w:rPr>
        <w:t>aaahq.org/</w:t>
      </w:r>
      <w:r w:rsidRPr="00CC5CD9">
        <w:rPr>
          <w:sz w:val="26"/>
          <w:szCs w:val="26"/>
          <w:lang w:val="lt-LT"/>
        </w:rPr>
        <w:t>audit/</w:t>
      </w:r>
    </w:p>
    <w:p w:rsidR="00011C9A" w:rsidRPr="00CC5CD9" w:rsidRDefault="00011C9A" w:rsidP="000406FA">
      <w:pPr>
        <w:tabs>
          <w:tab w:val="left" w:pos="567"/>
          <w:tab w:val="left" w:pos="709"/>
        </w:tabs>
        <w:spacing w:before="120"/>
        <w:ind w:left="567"/>
        <w:jc w:val="both"/>
        <w:rPr>
          <w:sz w:val="26"/>
          <w:szCs w:val="26"/>
          <w:lang w:val="lt-LT"/>
        </w:rPr>
      </w:pPr>
      <w:r w:rsidRPr="00CC5CD9">
        <w:rPr>
          <w:sz w:val="26"/>
          <w:szCs w:val="26"/>
          <w:lang w:val="lt-LT"/>
        </w:rPr>
        <w:t>midyear/03midyear/papers/Research%20Roundtable%203-Turner-Mock-Srivastava.pdf</w:t>
      </w:r>
      <w:r w:rsidR="000749C6" w:rsidRPr="00CC5CD9">
        <w:rPr>
          <w:sz w:val="26"/>
          <w:szCs w:val="26"/>
          <w:lang w:val="lt-LT"/>
        </w:rPr>
        <w:t>&gt; .</w:t>
      </w:r>
    </w:p>
    <w:p w:rsidR="003C6032" w:rsidRPr="007928C8" w:rsidRDefault="003C6032"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URNIEŽIUS, Romanas. </w:t>
      </w:r>
      <w:r w:rsidR="00844271" w:rsidRPr="007928C8">
        <w:rPr>
          <w:sz w:val="26"/>
          <w:szCs w:val="26"/>
          <w:lang w:val="lt-LT"/>
        </w:rPr>
        <w:t xml:space="preserve">(2001) </w:t>
      </w:r>
      <w:r w:rsidRPr="007928C8">
        <w:rPr>
          <w:i/>
          <w:sz w:val="26"/>
          <w:szCs w:val="26"/>
          <w:lang w:val="lt-LT"/>
        </w:rPr>
        <w:t>Rizika</w:t>
      </w:r>
      <w:r w:rsidRPr="007928C8">
        <w:rPr>
          <w:sz w:val="26"/>
          <w:szCs w:val="26"/>
          <w:lang w:val="lt-LT"/>
        </w:rPr>
        <w:t>. Vilnius: Min</w:t>
      </w:r>
      <w:r w:rsidR="00844271" w:rsidRPr="007928C8">
        <w:rPr>
          <w:sz w:val="26"/>
          <w:szCs w:val="26"/>
          <w:lang w:val="lt-LT"/>
        </w:rPr>
        <w:t>t</w:t>
      </w:r>
      <w:r w:rsidRPr="007928C8">
        <w:rPr>
          <w:sz w:val="26"/>
          <w:szCs w:val="26"/>
          <w:lang w:val="lt-LT"/>
        </w:rPr>
        <w:t>is</w:t>
      </w:r>
      <w:r w:rsidR="00844271" w:rsidRPr="007928C8">
        <w:rPr>
          <w:sz w:val="26"/>
          <w:szCs w:val="26"/>
          <w:lang w:val="lt-LT"/>
        </w:rPr>
        <w:t>.</w:t>
      </w:r>
      <w:r w:rsidRPr="007928C8">
        <w:rPr>
          <w:sz w:val="26"/>
          <w:szCs w:val="26"/>
          <w:lang w:val="lt-LT"/>
        </w:rPr>
        <w:t xml:space="preserve"> 183 p. ISBN 5-417-00836-2.</w:t>
      </w:r>
    </w:p>
    <w:p w:rsidR="00324BF5" w:rsidRPr="007928C8" w:rsidRDefault="00324BF5"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 xml:space="preserve">Vasiliauskaitė, </w:t>
      </w:r>
      <w:r w:rsidRPr="007928C8">
        <w:rPr>
          <w:sz w:val="26"/>
          <w:szCs w:val="26"/>
          <w:lang w:val="lt-LT"/>
        </w:rPr>
        <w:t>Asta</w:t>
      </w:r>
      <w:r w:rsidR="00D84617" w:rsidRPr="007928C8">
        <w:rPr>
          <w:sz w:val="26"/>
          <w:szCs w:val="26"/>
          <w:lang w:val="lt-LT"/>
        </w:rPr>
        <w:t>;</w:t>
      </w:r>
      <w:r w:rsidRPr="007928C8">
        <w:rPr>
          <w:sz w:val="26"/>
          <w:szCs w:val="26"/>
          <w:lang w:val="lt-LT"/>
        </w:rPr>
        <w:t xml:space="preserve"> </w:t>
      </w:r>
      <w:r w:rsidRPr="007928C8">
        <w:rPr>
          <w:caps/>
          <w:sz w:val="26"/>
          <w:szCs w:val="26"/>
          <w:lang w:val="lt-LT"/>
        </w:rPr>
        <w:t xml:space="preserve">Pranckevičiūtė, </w:t>
      </w:r>
      <w:r w:rsidRPr="007928C8">
        <w:rPr>
          <w:sz w:val="26"/>
          <w:szCs w:val="26"/>
          <w:lang w:val="lt-LT"/>
        </w:rPr>
        <w:t xml:space="preserve">Asta. (2004) </w:t>
      </w:r>
      <w:r w:rsidRPr="007928C8">
        <w:rPr>
          <w:sz w:val="26"/>
          <w:szCs w:val="26"/>
        </w:rPr>
        <w:t>A Model of the Currency Exchange Risk Control</w:t>
      </w:r>
      <w:r w:rsidRPr="007928C8">
        <w:rPr>
          <w:sz w:val="26"/>
          <w:szCs w:val="26"/>
          <w:lang w:val="lt-LT"/>
        </w:rPr>
        <w:t xml:space="preserve">. </w:t>
      </w:r>
      <w:r w:rsidRPr="007928C8">
        <w:rPr>
          <w:i/>
          <w:sz w:val="26"/>
          <w:szCs w:val="26"/>
          <w:lang w:val="lt-LT"/>
        </w:rPr>
        <w:t>Inžinerinė ekonomika</w:t>
      </w:r>
      <w:r w:rsidRPr="007928C8">
        <w:rPr>
          <w:sz w:val="26"/>
          <w:szCs w:val="26"/>
          <w:lang w:val="lt-LT"/>
        </w:rPr>
        <w:t xml:space="preserve">, Kaunas: Technologija, Nr.2 (37), p. 35 – 42. ISSN 1392-2785. </w:t>
      </w:r>
    </w:p>
    <w:p w:rsidR="008A7AC2" w:rsidRPr="007928C8" w:rsidRDefault="008A7AC2" w:rsidP="000406FA">
      <w:pPr>
        <w:pStyle w:val="ListParagraph"/>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Vaughan</w:t>
      </w:r>
      <w:r w:rsidR="00D84617" w:rsidRPr="007928C8">
        <w:rPr>
          <w:caps/>
          <w:sz w:val="26"/>
          <w:szCs w:val="26"/>
          <w:lang w:val="lt-LT"/>
        </w:rPr>
        <w:t>,</w:t>
      </w:r>
      <w:r w:rsidRPr="007928C8">
        <w:rPr>
          <w:sz w:val="26"/>
          <w:szCs w:val="26"/>
          <w:lang w:val="lt-LT"/>
        </w:rPr>
        <w:t xml:space="preserve"> Emmett J. (1997). </w:t>
      </w:r>
      <w:r w:rsidRPr="007928C8">
        <w:rPr>
          <w:i/>
          <w:sz w:val="26"/>
          <w:szCs w:val="26"/>
        </w:rPr>
        <w:t>Risk Management.</w:t>
      </w:r>
      <w:r w:rsidRPr="007928C8">
        <w:rPr>
          <w:sz w:val="26"/>
          <w:szCs w:val="26"/>
          <w:lang w:val="lt-LT"/>
        </w:rPr>
        <w:t xml:space="preserve"> </w:t>
      </w:r>
      <w:r w:rsidRPr="007928C8">
        <w:rPr>
          <w:sz w:val="26"/>
          <w:szCs w:val="26"/>
        </w:rPr>
        <w:t>John Wiley &amp; Sons, Inc., p. 812. ISBN-0471-10759-X.</w:t>
      </w:r>
    </w:p>
    <w:p w:rsidR="00AD5850" w:rsidRPr="007928C8" w:rsidRDefault="00AD5850"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rPr>
        <w:t xml:space="preserve">WALLER, William S. (1993) Auditors’ Assessments of Inherent and Control Risk in Field Settings. Iš </w:t>
      </w:r>
      <w:r w:rsidRPr="007928C8">
        <w:rPr>
          <w:i/>
          <w:sz w:val="26"/>
          <w:szCs w:val="26"/>
        </w:rPr>
        <w:t>The Accounting Review</w:t>
      </w:r>
      <w:r w:rsidRPr="007928C8">
        <w:rPr>
          <w:sz w:val="26"/>
          <w:szCs w:val="26"/>
        </w:rPr>
        <w:t xml:space="preserve"> [</w:t>
      </w:r>
      <w:r w:rsidRPr="007928C8">
        <w:rPr>
          <w:sz w:val="26"/>
          <w:szCs w:val="26"/>
          <w:lang w:val="lt-LT"/>
        </w:rPr>
        <w:t>interaktyvus</w:t>
      </w:r>
      <w:r w:rsidRPr="007928C8">
        <w:rPr>
          <w:sz w:val="26"/>
          <w:szCs w:val="26"/>
        </w:rPr>
        <w:t>]. Vol. 68, No.4, [</w:t>
      </w:r>
      <w:r w:rsidRPr="007928C8">
        <w:rPr>
          <w:sz w:val="26"/>
          <w:szCs w:val="26"/>
          <w:lang w:val="lt-LT"/>
        </w:rPr>
        <w:t>žiūrėta 2007 m. kovo 6 d.], p. 783 – 803. Prieiga per internetą: &lt;</w:t>
      </w:r>
      <w:r w:rsidR="009F5A29" w:rsidRPr="007928C8">
        <w:rPr>
          <w:sz w:val="26"/>
          <w:szCs w:val="26"/>
          <w:lang w:val="lt-LT"/>
        </w:rPr>
        <w:t>http://www.jstor.org.&gt;</w:t>
      </w:r>
      <w:r w:rsidRPr="007928C8">
        <w:rPr>
          <w:sz w:val="26"/>
          <w:szCs w:val="26"/>
          <w:lang w:val="lt-LT"/>
        </w:rPr>
        <w:t>.</w:t>
      </w:r>
    </w:p>
    <w:p w:rsidR="003C6032" w:rsidRPr="007928C8" w:rsidRDefault="003C6032" w:rsidP="000406FA">
      <w:pPr>
        <w:numPr>
          <w:ilvl w:val="0"/>
          <w:numId w:val="4"/>
        </w:numPr>
        <w:tabs>
          <w:tab w:val="clear" w:pos="720"/>
          <w:tab w:val="left" w:pos="567"/>
          <w:tab w:val="left" w:pos="709"/>
        </w:tabs>
        <w:spacing w:before="120"/>
        <w:ind w:left="567" w:hanging="567"/>
        <w:jc w:val="both"/>
        <w:rPr>
          <w:sz w:val="26"/>
          <w:szCs w:val="26"/>
        </w:rPr>
      </w:pPr>
      <w:r w:rsidRPr="007928C8">
        <w:rPr>
          <w:sz w:val="26"/>
          <w:szCs w:val="26"/>
        </w:rPr>
        <w:t>WARING, Alan</w:t>
      </w:r>
      <w:r w:rsidR="00D84617" w:rsidRPr="007928C8">
        <w:rPr>
          <w:sz w:val="26"/>
          <w:szCs w:val="26"/>
        </w:rPr>
        <w:t>;</w:t>
      </w:r>
      <w:r w:rsidRPr="007928C8">
        <w:rPr>
          <w:sz w:val="26"/>
          <w:szCs w:val="26"/>
        </w:rPr>
        <w:t xml:space="preserve"> GLENDON, A. Ian</w:t>
      </w:r>
      <w:r w:rsidRPr="007928C8">
        <w:rPr>
          <w:i/>
          <w:sz w:val="26"/>
          <w:szCs w:val="26"/>
        </w:rPr>
        <w:t xml:space="preserve">. </w:t>
      </w:r>
      <w:r w:rsidR="00844271" w:rsidRPr="007928C8">
        <w:rPr>
          <w:sz w:val="26"/>
          <w:szCs w:val="26"/>
        </w:rPr>
        <w:t>(2002)</w:t>
      </w:r>
      <w:r w:rsidR="00844271" w:rsidRPr="007928C8">
        <w:rPr>
          <w:i/>
          <w:sz w:val="26"/>
          <w:szCs w:val="26"/>
        </w:rPr>
        <w:t xml:space="preserve"> </w:t>
      </w:r>
      <w:r w:rsidRPr="007928C8">
        <w:rPr>
          <w:i/>
          <w:sz w:val="26"/>
          <w:szCs w:val="26"/>
        </w:rPr>
        <w:t>Managing risk: Critical issues for survival and success into the 21st century.</w:t>
      </w:r>
      <w:r w:rsidRPr="007928C8">
        <w:rPr>
          <w:sz w:val="26"/>
          <w:szCs w:val="26"/>
        </w:rPr>
        <w:t xml:space="preserve"> London: </w:t>
      </w:r>
      <w:r w:rsidR="00844271" w:rsidRPr="007928C8">
        <w:rPr>
          <w:sz w:val="26"/>
          <w:szCs w:val="26"/>
        </w:rPr>
        <w:t>Thomson learning</w:t>
      </w:r>
      <w:r w:rsidRPr="007928C8">
        <w:rPr>
          <w:sz w:val="26"/>
          <w:szCs w:val="26"/>
        </w:rPr>
        <w:t>. 493 p.</w:t>
      </w:r>
    </w:p>
    <w:p w:rsidR="008A7AC2" w:rsidRPr="007928C8" w:rsidRDefault="008A7AC2" w:rsidP="000406FA">
      <w:pPr>
        <w:pStyle w:val="ListParagraph"/>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Warren</w:t>
      </w:r>
      <w:r w:rsidRPr="007928C8">
        <w:rPr>
          <w:sz w:val="26"/>
          <w:szCs w:val="26"/>
          <w:lang w:val="lt-LT"/>
        </w:rPr>
        <w:t xml:space="preserve"> Martyn F. (1992). </w:t>
      </w:r>
      <w:r w:rsidRPr="007928C8">
        <w:rPr>
          <w:bCs/>
          <w:sz w:val="26"/>
          <w:szCs w:val="26"/>
        </w:rPr>
        <w:t xml:space="preserve">Financial Management for Farmers. </w:t>
      </w:r>
      <w:r w:rsidRPr="007928C8">
        <w:rPr>
          <w:sz w:val="26"/>
          <w:szCs w:val="26"/>
        </w:rPr>
        <w:t>3rd edition, Nelson Thornes Ltd</w:t>
      </w:r>
      <w:r w:rsidRPr="007928C8">
        <w:rPr>
          <w:sz w:val="26"/>
          <w:szCs w:val="26"/>
          <w:lang w:val="lt-LT"/>
        </w:rPr>
        <w:t xml:space="preserve">, p. 320. </w:t>
      </w:r>
      <w:r w:rsidRPr="007928C8">
        <w:rPr>
          <w:bCs/>
          <w:sz w:val="26"/>
          <w:szCs w:val="26"/>
          <w:lang w:val="lt-LT"/>
        </w:rPr>
        <w:t>ISBN</w:t>
      </w:r>
      <w:r w:rsidRPr="007928C8">
        <w:rPr>
          <w:sz w:val="26"/>
          <w:szCs w:val="26"/>
          <w:lang w:val="lt-LT"/>
        </w:rPr>
        <w:t xml:space="preserve"> 0748715444 </w:t>
      </w:r>
    </w:p>
    <w:p w:rsidR="007A395C" w:rsidRPr="007928C8" w:rsidRDefault="00AF78F7" w:rsidP="000406FA">
      <w:pPr>
        <w:numPr>
          <w:ilvl w:val="0"/>
          <w:numId w:val="4"/>
        </w:numPr>
        <w:tabs>
          <w:tab w:val="clear" w:pos="720"/>
          <w:tab w:val="left" w:pos="567"/>
          <w:tab w:val="left" w:pos="709"/>
        </w:tabs>
        <w:spacing w:before="120"/>
        <w:ind w:left="567" w:hanging="567"/>
        <w:jc w:val="both"/>
        <w:rPr>
          <w:sz w:val="26"/>
          <w:szCs w:val="26"/>
          <w:lang w:val="ru-RU"/>
        </w:rPr>
      </w:pPr>
      <w:r w:rsidRPr="007928C8">
        <w:rPr>
          <w:caps/>
          <w:sz w:val="26"/>
          <w:szCs w:val="26"/>
        </w:rPr>
        <w:t>Whittington</w:t>
      </w:r>
      <w:r w:rsidRPr="007928C8">
        <w:rPr>
          <w:sz w:val="26"/>
          <w:szCs w:val="26"/>
        </w:rPr>
        <w:t>, Ray O.; P</w:t>
      </w:r>
      <w:r w:rsidR="00C66F5D" w:rsidRPr="007928C8">
        <w:rPr>
          <w:sz w:val="26"/>
          <w:szCs w:val="26"/>
        </w:rPr>
        <w:t>ANY</w:t>
      </w:r>
      <w:r w:rsidRPr="007928C8">
        <w:rPr>
          <w:sz w:val="26"/>
          <w:szCs w:val="26"/>
        </w:rPr>
        <w:t xml:space="preserve"> Kurt. (2006) Principles of Auditing and Other Assurance Se</w:t>
      </w:r>
      <w:r w:rsidR="00CE62D0" w:rsidRPr="007928C8">
        <w:rPr>
          <w:sz w:val="26"/>
          <w:szCs w:val="26"/>
        </w:rPr>
        <w:t>rvices. 15-th ed. McGraw-Hill I</w:t>
      </w:r>
      <w:r w:rsidRPr="007928C8">
        <w:rPr>
          <w:sz w:val="26"/>
          <w:szCs w:val="26"/>
        </w:rPr>
        <w:t>rwin, 786 p. ISBN 0-07-301084-7</w:t>
      </w:r>
      <w:r w:rsidR="00B8104E" w:rsidRPr="007928C8">
        <w:rPr>
          <w:sz w:val="26"/>
          <w:szCs w:val="26"/>
        </w:rPr>
        <w:t>.</w:t>
      </w:r>
    </w:p>
    <w:p w:rsidR="000406FA" w:rsidRPr="000406FA" w:rsidRDefault="007A395C" w:rsidP="000406FA">
      <w:pPr>
        <w:numPr>
          <w:ilvl w:val="0"/>
          <w:numId w:val="4"/>
        </w:numPr>
        <w:tabs>
          <w:tab w:val="clear" w:pos="720"/>
          <w:tab w:val="left" w:pos="567"/>
          <w:tab w:val="left" w:pos="709"/>
        </w:tabs>
        <w:spacing w:before="120"/>
        <w:ind w:left="567" w:hanging="567"/>
        <w:jc w:val="both"/>
        <w:rPr>
          <w:sz w:val="26"/>
          <w:szCs w:val="26"/>
          <w:lang w:val="ru-RU"/>
        </w:rPr>
      </w:pPr>
      <w:r w:rsidRPr="007928C8">
        <w:rPr>
          <w:sz w:val="26"/>
          <w:szCs w:val="26"/>
        </w:rPr>
        <w:t xml:space="preserve">WOOTEN, Thomas C. (2003). Research about audit quality. Iš </w:t>
      </w:r>
      <w:r w:rsidRPr="007928C8">
        <w:rPr>
          <w:i/>
          <w:sz w:val="26"/>
          <w:szCs w:val="26"/>
        </w:rPr>
        <w:t xml:space="preserve">CPA Journal </w:t>
      </w:r>
      <w:r w:rsidRPr="007928C8">
        <w:rPr>
          <w:sz w:val="26"/>
          <w:szCs w:val="26"/>
        </w:rPr>
        <w:t>[interaktyvus].</w:t>
      </w:r>
      <w:r w:rsidRPr="007928C8">
        <w:rPr>
          <w:i/>
          <w:sz w:val="26"/>
          <w:szCs w:val="26"/>
        </w:rPr>
        <w:t xml:space="preserve"> January </w:t>
      </w:r>
      <w:r w:rsidRPr="007928C8">
        <w:rPr>
          <w:sz w:val="26"/>
          <w:szCs w:val="26"/>
        </w:rPr>
        <w:t>[žiūrėta 2008</w:t>
      </w:r>
      <w:r w:rsidRPr="007928C8">
        <w:rPr>
          <w:sz w:val="26"/>
          <w:szCs w:val="26"/>
          <w:lang w:val="lt-LT"/>
        </w:rPr>
        <w:t xml:space="preserve"> m. sausio 20</w:t>
      </w:r>
      <w:r w:rsidRPr="007928C8">
        <w:rPr>
          <w:sz w:val="26"/>
          <w:szCs w:val="26"/>
        </w:rPr>
        <w:t xml:space="preserve"> d.] </w:t>
      </w:r>
      <w:r w:rsidR="00CE62D0" w:rsidRPr="007928C8">
        <w:rPr>
          <w:sz w:val="26"/>
          <w:szCs w:val="26"/>
        </w:rPr>
        <w:t>P</w:t>
      </w:r>
      <w:r w:rsidRPr="007928C8">
        <w:rPr>
          <w:sz w:val="26"/>
          <w:szCs w:val="26"/>
        </w:rPr>
        <w:t>rieiga per Internetą: &lt;http://www.nysscpa.org/cpajournal/2003/0103/</w:t>
      </w:r>
      <w:r w:rsidRPr="000406FA">
        <w:rPr>
          <w:sz w:val="26"/>
          <w:szCs w:val="26"/>
        </w:rPr>
        <w:t>dept/</w:t>
      </w:r>
    </w:p>
    <w:p w:rsidR="007A395C" w:rsidRPr="000406FA" w:rsidRDefault="007A395C" w:rsidP="000406FA">
      <w:pPr>
        <w:tabs>
          <w:tab w:val="left" w:pos="567"/>
          <w:tab w:val="left" w:pos="709"/>
        </w:tabs>
        <w:spacing w:before="120"/>
        <w:ind w:left="567"/>
        <w:jc w:val="both"/>
        <w:rPr>
          <w:sz w:val="26"/>
          <w:szCs w:val="26"/>
          <w:lang w:val="ru-RU"/>
        </w:rPr>
      </w:pPr>
      <w:r w:rsidRPr="000406FA">
        <w:rPr>
          <w:sz w:val="26"/>
          <w:szCs w:val="26"/>
        </w:rPr>
        <w:t>d014803.htm&gt; .</w:t>
      </w:r>
    </w:p>
    <w:p w:rsidR="003B591B" w:rsidRPr="007928C8" w:rsidRDefault="00B8104E" w:rsidP="000406FA">
      <w:pPr>
        <w:numPr>
          <w:ilvl w:val="0"/>
          <w:numId w:val="4"/>
        </w:numPr>
        <w:tabs>
          <w:tab w:val="clear" w:pos="720"/>
          <w:tab w:val="left" w:pos="567"/>
          <w:tab w:val="left" w:pos="709"/>
        </w:tabs>
        <w:spacing w:before="120"/>
        <w:ind w:left="567" w:hanging="567"/>
        <w:jc w:val="both"/>
        <w:rPr>
          <w:sz w:val="26"/>
          <w:szCs w:val="26"/>
          <w:lang w:val="ru-RU"/>
        </w:rPr>
      </w:pPr>
      <w:r w:rsidRPr="007928C8">
        <w:rPr>
          <w:caps/>
          <w:sz w:val="26"/>
          <w:szCs w:val="26"/>
          <w:lang w:val="lt-LT"/>
        </w:rPr>
        <w:t>Wortmann,</w:t>
      </w:r>
      <w:r w:rsidRPr="007928C8">
        <w:rPr>
          <w:sz w:val="26"/>
          <w:szCs w:val="26"/>
          <w:lang w:val="lt-LT"/>
        </w:rPr>
        <w:t xml:space="preserve"> Richard E. (2007). </w:t>
      </w:r>
      <w:r w:rsidRPr="007928C8">
        <w:rPr>
          <w:sz w:val="26"/>
          <w:szCs w:val="26"/>
        </w:rPr>
        <w:t>Don‘t Get Stuck Behind the Eight Ball: Master New Auditing Standards Now</w:t>
      </w:r>
      <w:r w:rsidR="00852E76" w:rsidRPr="007928C8">
        <w:rPr>
          <w:sz w:val="26"/>
          <w:szCs w:val="26"/>
          <w:lang w:val="lt-LT"/>
        </w:rPr>
        <w:t>?</w:t>
      </w:r>
      <w:r w:rsidR="000557CB" w:rsidRPr="007928C8">
        <w:rPr>
          <w:sz w:val="26"/>
          <w:szCs w:val="26"/>
          <w:lang w:val="lt-LT"/>
        </w:rPr>
        <w:t xml:space="preserve"> Iš </w:t>
      </w:r>
      <w:r w:rsidR="000557CB" w:rsidRPr="007928C8">
        <w:rPr>
          <w:i/>
          <w:sz w:val="26"/>
          <w:szCs w:val="26"/>
        </w:rPr>
        <w:t xml:space="preserve">Bnet Business Network </w:t>
      </w:r>
      <w:r w:rsidR="000557CB" w:rsidRPr="007928C8">
        <w:rPr>
          <w:sz w:val="26"/>
          <w:szCs w:val="26"/>
          <w:lang w:val="lt-LT"/>
        </w:rPr>
        <w:t>[interaktyvus]. [žiūrėta 2007 m. kovo 6 d.]. Prieiga per internetą:</w:t>
      </w:r>
    </w:p>
    <w:p w:rsidR="00B8104E" w:rsidRPr="000406FA" w:rsidRDefault="000557CB" w:rsidP="000406FA">
      <w:pPr>
        <w:tabs>
          <w:tab w:val="left" w:pos="567"/>
          <w:tab w:val="left" w:pos="709"/>
        </w:tabs>
        <w:spacing w:before="120"/>
        <w:ind w:left="567"/>
        <w:jc w:val="both"/>
        <w:rPr>
          <w:sz w:val="26"/>
          <w:szCs w:val="26"/>
          <w:lang w:val="lt-LT"/>
        </w:rPr>
      </w:pPr>
      <w:r w:rsidRPr="007928C8">
        <w:rPr>
          <w:sz w:val="26"/>
          <w:szCs w:val="26"/>
          <w:lang w:val="lt-LT"/>
        </w:rPr>
        <w:t>&lt;http://findarticles.com/p/articles/mi_hb5723/is_200701/ai_n23756862&gt;.</w:t>
      </w:r>
    </w:p>
    <w:p w:rsidR="008E08F2" w:rsidRPr="008E08F2" w:rsidRDefault="007A0B8D" w:rsidP="008E08F2">
      <w:pPr>
        <w:numPr>
          <w:ilvl w:val="0"/>
          <w:numId w:val="4"/>
        </w:numPr>
        <w:tabs>
          <w:tab w:val="clear" w:pos="720"/>
          <w:tab w:val="left" w:pos="567"/>
          <w:tab w:val="left" w:pos="709"/>
        </w:tabs>
        <w:spacing w:before="120"/>
        <w:ind w:left="567" w:hanging="567"/>
        <w:jc w:val="both"/>
        <w:rPr>
          <w:sz w:val="26"/>
          <w:szCs w:val="26"/>
          <w:lang w:val="lt-LT"/>
        </w:rPr>
      </w:pPr>
      <w:r w:rsidRPr="008E08F2">
        <w:rPr>
          <w:sz w:val="26"/>
          <w:szCs w:val="26"/>
          <w:lang w:val="lt-LT"/>
        </w:rPr>
        <w:t xml:space="preserve">WOLFE, </w:t>
      </w:r>
      <w:r w:rsidRPr="008E08F2">
        <w:rPr>
          <w:sz w:val="26"/>
          <w:szCs w:val="26"/>
        </w:rPr>
        <w:t>David</w:t>
      </w:r>
      <w:r w:rsidRPr="008E08F2">
        <w:rPr>
          <w:sz w:val="26"/>
          <w:szCs w:val="26"/>
          <w:lang w:val="lt-LT"/>
        </w:rPr>
        <w:t xml:space="preserve"> T.; HERMANSON, Dana R. (2004) </w:t>
      </w:r>
      <w:r w:rsidRPr="008E08F2">
        <w:rPr>
          <w:sz w:val="26"/>
          <w:szCs w:val="26"/>
        </w:rPr>
        <w:t xml:space="preserve">The Fraud Diamond: Considering the Four Elements of Fraud. </w:t>
      </w:r>
      <w:r w:rsidRPr="008E08F2">
        <w:rPr>
          <w:sz w:val="26"/>
          <w:szCs w:val="26"/>
          <w:lang w:val="lt-LT"/>
        </w:rPr>
        <w:t xml:space="preserve">Iš </w:t>
      </w:r>
      <w:r w:rsidRPr="008E08F2">
        <w:rPr>
          <w:i/>
          <w:sz w:val="26"/>
          <w:szCs w:val="26"/>
        </w:rPr>
        <w:t>The CPA Journal</w:t>
      </w:r>
      <w:r w:rsidRPr="008E08F2">
        <w:rPr>
          <w:sz w:val="26"/>
          <w:szCs w:val="26"/>
          <w:lang w:val="lt-LT"/>
        </w:rPr>
        <w:t xml:space="preserve"> [interaktyvus]. </w:t>
      </w:r>
      <w:r w:rsidRPr="008E08F2">
        <w:rPr>
          <w:sz w:val="26"/>
          <w:szCs w:val="26"/>
        </w:rPr>
        <w:t>December</w:t>
      </w:r>
      <w:r w:rsidRPr="008E08F2">
        <w:rPr>
          <w:sz w:val="26"/>
          <w:szCs w:val="26"/>
          <w:lang w:val="lt-LT"/>
        </w:rPr>
        <w:t xml:space="preserve"> [žiūrėta 200</w:t>
      </w:r>
      <w:r w:rsidR="00535B29" w:rsidRPr="008E08F2">
        <w:rPr>
          <w:sz w:val="26"/>
          <w:szCs w:val="26"/>
          <w:lang w:val="lt-LT"/>
        </w:rPr>
        <w:t>8</w:t>
      </w:r>
      <w:r w:rsidRPr="008E08F2">
        <w:rPr>
          <w:sz w:val="26"/>
          <w:szCs w:val="26"/>
          <w:lang w:val="lt-LT"/>
        </w:rPr>
        <w:t xml:space="preserve"> m. </w:t>
      </w:r>
      <w:r w:rsidR="00535B29" w:rsidRPr="008E08F2">
        <w:rPr>
          <w:sz w:val="26"/>
          <w:szCs w:val="26"/>
          <w:lang w:val="lt-LT"/>
        </w:rPr>
        <w:t>balandžio 16 d</w:t>
      </w:r>
      <w:r w:rsidRPr="008E08F2">
        <w:rPr>
          <w:sz w:val="26"/>
          <w:szCs w:val="26"/>
          <w:lang w:val="lt-LT"/>
        </w:rPr>
        <w:t>.]</w:t>
      </w:r>
      <w:r w:rsidR="00535B29" w:rsidRPr="008E08F2">
        <w:rPr>
          <w:sz w:val="26"/>
          <w:szCs w:val="26"/>
          <w:lang w:val="lt-LT"/>
        </w:rPr>
        <w:t>, No. 12</w:t>
      </w:r>
      <w:r w:rsidRPr="008E08F2">
        <w:rPr>
          <w:sz w:val="26"/>
          <w:szCs w:val="26"/>
          <w:lang w:val="lt-LT"/>
        </w:rPr>
        <w:t xml:space="preserve">. </w:t>
      </w:r>
      <w:r w:rsidRPr="008E08F2">
        <w:rPr>
          <w:sz w:val="26"/>
          <w:szCs w:val="26"/>
          <w:lang w:val="lt-LT"/>
        </w:rPr>
        <w:lastRenderedPageBreak/>
        <w:t>Prieiga per internetą: &lt;http://www.</w:t>
      </w:r>
      <w:r w:rsidR="00535B29" w:rsidRPr="008E08F2">
        <w:rPr>
          <w:sz w:val="26"/>
          <w:szCs w:val="26"/>
          <w:lang w:val="lt-LT"/>
        </w:rPr>
        <w:t>nysscpa.org/printversions/cpaj/2004/</w:t>
      </w:r>
      <w:r w:rsidR="008E08F2">
        <w:rPr>
          <w:sz w:val="26"/>
          <w:szCs w:val="26"/>
          <w:lang w:val="lt-LT"/>
        </w:rPr>
        <w:t xml:space="preserve"> </w:t>
      </w:r>
      <w:r w:rsidR="00535B29" w:rsidRPr="008E08F2">
        <w:rPr>
          <w:sz w:val="26"/>
          <w:szCs w:val="26"/>
          <w:lang w:val="lt-LT"/>
        </w:rPr>
        <w:t>1204/p38</w:t>
      </w:r>
      <w:r w:rsidRPr="008E08F2">
        <w:rPr>
          <w:sz w:val="26"/>
          <w:szCs w:val="26"/>
          <w:lang w:val="lt-LT"/>
        </w:rPr>
        <w:t>.htm&gt; .</w:t>
      </w:r>
    </w:p>
    <w:p w:rsidR="00A21C65" w:rsidRPr="007928C8" w:rsidRDefault="00851635" w:rsidP="000406FA">
      <w:pPr>
        <w:numPr>
          <w:ilvl w:val="0"/>
          <w:numId w:val="4"/>
        </w:numPr>
        <w:tabs>
          <w:tab w:val="clear" w:pos="720"/>
          <w:tab w:val="left" w:pos="567"/>
          <w:tab w:val="left" w:pos="709"/>
        </w:tabs>
        <w:spacing w:before="120"/>
        <w:ind w:left="567" w:hanging="567"/>
        <w:jc w:val="both"/>
        <w:rPr>
          <w:sz w:val="26"/>
          <w:szCs w:val="26"/>
          <w:lang w:val="ru-RU"/>
        </w:rPr>
      </w:pPr>
      <w:r w:rsidRPr="007928C8">
        <w:rPr>
          <w:caps/>
          <w:sz w:val="26"/>
          <w:szCs w:val="26"/>
          <w:lang w:val="lt-LT"/>
        </w:rPr>
        <w:t>Аренс</w:t>
      </w:r>
      <w:r w:rsidRPr="007928C8">
        <w:rPr>
          <w:sz w:val="26"/>
          <w:szCs w:val="26"/>
          <w:lang w:val="lt-LT"/>
        </w:rPr>
        <w:t xml:space="preserve">, A. A., </w:t>
      </w:r>
      <w:r w:rsidRPr="007928C8">
        <w:rPr>
          <w:caps/>
          <w:sz w:val="26"/>
          <w:szCs w:val="26"/>
          <w:lang w:val="lt-LT"/>
        </w:rPr>
        <w:t>Лоббек</w:t>
      </w:r>
      <w:r w:rsidRPr="007928C8">
        <w:rPr>
          <w:sz w:val="26"/>
          <w:szCs w:val="26"/>
          <w:lang w:val="lt-LT"/>
        </w:rPr>
        <w:t xml:space="preserve">, </w:t>
      </w:r>
      <w:r w:rsidRPr="007928C8">
        <w:rPr>
          <w:sz w:val="26"/>
          <w:szCs w:val="26"/>
          <w:lang w:val="ru-RU"/>
        </w:rPr>
        <w:t>Дж.</w:t>
      </w:r>
      <w:r w:rsidR="00CE62D0" w:rsidRPr="007928C8">
        <w:rPr>
          <w:sz w:val="26"/>
          <w:szCs w:val="26"/>
          <w:lang w:val="ru-RU"/>
        </w:rPr>
        <w:t xml:space="preserve"> </w:t>
      </w:r>
      <w:r w:rsidRPr="007928C8">
        <w:rPr>
          <w:sz w:val="26"/>
          <w:szCs w:val="26"/>
          <w:lang w:val="ru-RU"/>
        </w:rPr>
        <w:t>К.</w:t>
      </w:r>
      <w:r w:rsidRPr="007928C8">
        <w:rPr>
          <w:sz w:val="26"/>
          <w:szCs w:val="26"/>
          <w:lang w:val="lt-LT"/>
        </w:rPr>
        <w:t xml:space="preserve"> (1995). </w:t>
      </w:r>
      <w:r w:rsidRPr="007928C8">
        <w:rPr>
          <w:i/>
          <w:sz w:val="26"/>
          <w:szCs w:val="26"/>
          <w:lang w:val="ru-RU"/>
        </w:rPr>
        <w:t>Аудит.</w:t>
      </w:r>
      <w:r w:rsidRPr="007928C8">
        <w:rPr>
          <w:sz w:val="26"/>
          <w:szCs w:val="26"/>
          <w:lang w:val="ru-RU"/>
        </w:rPr>
        <w:t xml:space="preserve"> Москва: Финансы и Статистика. 55</w:t>
      </w:r>
      <w:r w:rsidR="00A21C65" w:rsidRPr="007928C8">
        <w:rPr>
          <w:sz w:val="26"/>
          <w:szCs w:val="26"/>
          <w:lang w:val="ru-RU"/>
        </w:rPr>
        <w:t>8</w:t>
      </w:r>
      <w:r w:rsidRPr="007928C8">
        <w:rPr>
          <w:sz w:val="26"/>
          <w:szCs w:val="26"/>
          <w:lang w:val="ru-RU"/>
        </w:rPr>
        <w:t xml:space="preserve"> c.</w:t>
      </w:r>
      <w:r w:rsidR="006A7331" w:rsidRPr="007928C8">
        <w:rPr>
          <w:sz w:val="26"/>
          <w:szCs w:val="26"/>
          <w:lang w:val="ru-RU"/>
        </w:rPr>
        <w:t xml:space="preserve"> </w:t>
      </w:r>
      <w:r w:rsidR="00A21C65" w:rsidRPr="007928C8">
        <w:rPr>
          <w:sz w:val="26"/>
          <w:szCs w:val="26"/>
          <w:lang w:val="ru-RU"/>
        </w:rPr>
        <w:t>- (Серия по бухгалтерскому учету и аудиту / главный редактор Я.В. Соколов)</w:t>
      </w:r>
      <w:r w:rsidR="00A21C65" w:rsidRPr="007928C8">
        <w:rPr>
          <w:sz w:val="26"/>
          <w:szCs w:val="26"/>
          <w:lang w:val="lt-LT"/>
        </w:rPr>
        <w:t>.</w:t>
      </w:r>
      <w:r w:rsidRPr="007928C8">
        <w:rPr>
          <w:sz w:val="26"/>
          <w:szCs w:val="26"/>
          <w:lang w:val="lt-LT"/>
        </w:rPr>
        <w:t xml:space="preserve"> </w:t>
      </w:r>
      <w:r w:rsidR="00A21C65" w:rsidRPr="007928C8">
        <w:rPr>
          <w:sz w:val="26"/>
          <w:szCs w:val="26"/>
          <w:lang w:val="lt-LT"/>
        </w:rPr>
        <w:t>ISBN 5-279-01213-0.</w:t>
      </w:r>
    </w:p>
    <w:p w:rsidR="00A21C65" w:rsidRPr="007928C8" w:rsidRDefault="00A21C65" w:rsidP="000406FA">
      <w:pPr>
        <w:numPr>
          <w:ilvl w:val="0"/>
          <w:numId w:val="4"/>
        </w:numPr>
        <w:tabs>
          <w:tab w:val="clear" w:pos="720"/>
          <w:tab w:val="left" w:pos="567"/>
          <w:tab w:val="left" w:pos="709"/>
        </w:tabs>
        <w:spacing w:before="120"/>
        <w:ind w:left="567" w:hanging="567"/>
        <w:jc w:val="both"/>
        <w:rPr>
          <w:color w:val="000000"/>
          <w:sz w:val="26"/>
          <w:szCs w:val="26"/>
          <w:lang w:val="ru-RU"/>
        </w:rPr>
      </w:pPr>
      <w:r w:rsidRPr="007928C8">
        <w:rPr>
          <w:i/>
          <w:color w:val="000000"/>
          <w:sz w:val="26"/>
          <w:szCs w:val="26"/>
          <w:lang w:val="ru-RU"/>
        </w:rPr>
        <w:t>Аудит Монтгомери</w:t>
      </w:r>
      <w:r w:rsidRPr="007928C8">
        <w:rPr>
          <w:color w:val="000000"/>
          <w:sz w:val="26"/>
          <w:szCs w:val="26"/>
          <w:lang w:val="ru-RU"/>
        </w:rPr>
        <w:t xml:space="preserve"> </w:t>
      </w:r>
      <w:r w:rsidR="003415F7" w:rsidRPr="007928C8">
        <w:rPr>
          <w:color w:val="000000"/>
          <w:sz w:val="26"/>
          <w:szCs w:val="26"/>
          <w:lang w:val="ru-RU"/>
        </w:rPr>
        <w:t xml:space="preserve">(1997). </w:t>
      </w:r>
      <w:r w:rsidRPr="007928C8">
        <w:rPr>
          <w:color w:val="000000"/>
          <w:sz w:val="26"/>
          <w:szCs w:val="26"/>
          <w:lang w:val="ru-RU"/>
        </w:rPr>
        <w:t xml:space="preserve">Филип Л. Дефлиз, Генри Р. Дженик, Винсент М. О'Рейлли, Маррей Б. Хирш. </w:t>
      </w:r>
      <w:r w:rsidR="003415F7" w:rsidRPr="007928C8">
        <w:rPr>
          <w:color w:val="000000"/>
          <w:sz w:val="26"/>
          <w:szCs w:val="26"/>
          <w:lang w:val="ru-RU"/>
        </w:rPr>
        <w:t>Москва</w:t>
      </w:r>
      <w:r w:rsidRPr="007928C8">
        <w:rPr>
          <w:color w:val="000000"/>
          <w:sz w:val="26"/>
          <w:szCs w:val="26"/>
          <w:lang w:val="ru-RU"/>
        </w:rPr>
        <w:t>: Аудит, 541</w:t>
      </w:r>
      <w:r w:rsidR="003415F7" w:rsidRPr="007928C8">
        <w:rPr>
          <w:color w:val="000000"/>
          <w:sz w:val="26"/>
          <w:szCs w:val="26"/>
        </w:rPr>
        <w:t xml:space="preserve"> c.</w:t>
      </w:r>
      <w:r w:rsidRPr="007928C8">
        <w:rPr>
          <w:color w:val="000000"/>
          <w:sz w:val="26"/>
          <w:szCs w:val="26"/>
          <w:lang w:val="ru-RU"/>
        </w:rPr>
        <w:t xml:space="preserve"> </w:t>
      </w:r>
      <w:r w:rsidRPr="007928C8">
        <w:rPr>
          <w:color w:val="000000"/>
          <w:sz w:val="26"/>
          <w:szCs w:val="26"/>
        </w:rPr>
        <w:t>ISBN</w:t>
      </w:r>
      <w:r w:rsidRPr="007928C8">
        <w:rPr>
          <w:color w:val="000000"/>
          <w:sz w:val="26"/>
          <w:szCs w:val="26"/>
          <w:lang w:val="ru-RU"/>
        </w:rPr>
        <w:t xml:space="preserve"> 5-85177-002-3</w:t>
      </w:r>
      <w:r w:rsidR="003415F7" w:rsidRPr="007928C8">
        <w:rPr>
          <w:color w:val="000000"/>
          <w:sz w:val="26"/>
          <w:szCs w:val="26"/>
        </w:rPr>
        <w:t>.</w:t>
      </w:r>
    </w:p>
    <w:p w:rsidR="009B6941" w:rsidRPr="007928C8" w:rsidRDefault="009B6941"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Бычкова</w:t>
      </w:r>
      <w:r w:rsidRPr="007928C8">
        <w:rPr>
          <w:sz w:val="26"/>
          <w:szCs w:val="26"/>
          <w:lang w:val="lt-LT"/>
        </w:rPr>
        <w:t xml:space="preserve">, С. М. (1998). </w:t>
      </w:r>
      <w:r w:rsidRPr="007928C8">
        <w:rPr>
          <w:i/>
          <w:sz w:val="26"/>
          <w:szCs w:val="26"/>
          <w:lang w:val="ru-RU"/>
        </w:rPr>
        <w:t>Доказательства в аудите</w:t>
      </w:r>
      <w:r w:rsidRPr="007928C8">
        <w:rPr>
          <w:sz w:val="26"/>
          <w:szCs w:val="26"/>
          <w:lang w:val="ru-RU"/>
        </w:rPr>
        <w:t>.- Москва: Финансы и Статистика</w:t>
      </w:r>
      <w:r w:rsidRPr="007928C8">
        <w:rPr>
          <w:sz w:val="26"/>
          <w:szCs w:val="26"/>
          <w:lang w:val="lt-LT"/>
        </w:rPr>
        <w:t>. 176 c.</w:t>
      </w:r>
    </w:p>
    <w:p w:rsidR="009B6941" w:rsidRPr="007928C8" w:rsidRDefault="009B6941"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Бычкова</w:t>
      </w:r>
      <w:r w:rsidRPr="007928C8">
        <w:rPr>
          <w:sz w:val="26"/>
          <w:szCs w:val="26"/>
          <w:lang w:val="lt-LT"/>
        </w:rPr>
        <w:t xml:space="preserve">, С. М., </w:t>
      </w:r>
      <w:r w:rsidRPr="007928C8">
        <w:rPr>
          <w:caps/>
          <w:sz w:val="26"/>
          <w:szCs w:val="26"/>
          <w:lang w:val="lt-LT"/>
        </w:rPr>
        <w:t>Газарян</w:t>
      </w:r>
      <w:r w:rsidRPr="007928C8">
        <w:rPr>
          <w:sz w:val="26"/>
          <w:szCs w:val="26"/>
          <w:lang w:val="lt-LT"/>
        </w:rPr>
        <w:t xml:space="preserve"> А. В. (2001). </w:t>
      </w:r>
      <w:r w:rsidR="00370115" w:rsidRPr="007928C8">
        <w:rPr>
          <w:i/>
          <w:sz w:val="26"/>
          <w:szCs w:val="26"/>
          <w:lang w:val="ru-RU"/>
        </w:rPr>
        <w:t>Планирование в аудите.</w:t>
      </w:r>
      <w:r w:rsidRPr="007928C8">
        <w:rPr>
          <w:sz w:val="26"/>
          <w:szCs w:val="26"/>
          <w:lang w:val="ru-RU"/>
        </w:rPr>
        <w:t xml:space="preserve"> Москва: Финансы и Статистика</w:t>
      </w:r>
      <w:r w:rsidRPr="007928C8">
        <w:rPr>
          <w:sz w:val="26"/>
          <w:szCs w:val="26"/>
          <w:lang w:val="lt-LT"/>
        </w:rPr>
        <w:t>. 263 c.</w:t>
      </w:r>
    </w:p>
    <w:p w:rsidR="0010385B" w:rsidRPr="007928C8" w:rsidRDefault="009B6941"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Додж</w:t>
      </w:r>
      <w:r w:rsidRPr="007928C8">
        <w:rPr>
          <w:sz w:val="26"/>
          <w:szCs w:val="26"/>
          <w:lang w:val="lt-LT"/>
        </w:rPr>
        <w:t xml:space="preserve">, Р. (1992). </w:t>
      </w:r>
      <w:r w:rsidRPr="007928C8">
        <w:rPr>
          <w:i/>
          <w:sz w:val="26"/>
          <w:szCs w:val="26"/>
          <w:lang w:val="ru-RU"/>
        </w:rPr>
        <w:t>Краткое руководство по стандартам и нормам аудита</w:t>
      </w:r>
      <w:r w:rsidRPr="007928C8">
        <w:rPr>
          <w:sz w:val="26"/>
          <w:szCs w:val="26"/>
          <w:lang w:val="ru-RU"/>
        </w:rPr>
        <w:t>. Москва: Финансы и Статистика.</w:t>
      </w:r>
      <w:r w:rsidRPr="007928C8">
        <w:rPr>
          <w:sz w:val="26"/>
          <w:szCs w:val="26"/>
          <w:lang w:val="lt-LT"/>
        </w:rPr>
        <w:t xml:space="preserve"> 240 c.</w:t>
      </w:r>
    </w:p>
    <w:p w:rsidR="002A57C5" w:rsidRPr="007928C8" w:rsidRDefault="002A57C5"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ru-RU"/>
        </w:rPr>
        <w:t>Верхов</w:t>
      </w:r>
      <w:r w:rsidR="0010385B" w:rsidRPr="007928C8">
        <w:rPr>
          <w:caps/>
          <w:sz w:val="26"/>
          <w:szCs w:val="26"/>
          <w:lang w:val="lt-LT"/>
        </w:rPr>
        <w:t>,</w:t>
      </w:r>
      <w:r w:rsidRPr="007928C8">
        <w:rPr>
          <w:sz w:val="26"/>
          <w:szCs w:val="26"/>
          <w:lang w:val="ru-RU"/>
        </w:rPr>
        <w:t xml:space="preserve"> В.</w:t>
      </w:r>
      <w:r w:rsidR="0010385B" w:rsidRPr="007928C8">
        <w:rPr>
          <w:sz w:val="26"/>
          <w:szCs w:val="26"/>
          <w:lang w:val="lt-LT"/>
        </w:rPr>
        <w:t xml:space="preserve"> </w:t>
      </w:r>
      <w:r w:rsidR="0010385B" w:rsidRPr="007928C8">
        <w:rPr>
          <w:sz w:val="26"/>
          <w:szCs w:val="26"/>
          <w:lang w:val="ru-RU"/>
        </w:rPr>
        <w:t>А.</w:t>
      </w:r>
      <w:r w:rsidR="0010385B" w:rsidRPr="007928C8">
        <w:rPr>
          <w:sz w:val="26"/>
          <w:szCs w:val="26"/>
          <w:lang w:val="lt-LT"/>
        </w:rPr>
        <w:t xml:space="preserve">, </w:t>
      </w:r>
      <w:r w:rsidR="0010385B" w:rsidRPr="007928C8">
        <w:rPr>
          <w:caps/>
          <w:sz w:val="26"/>
          <w:szCs w:val="26"/>
          <w:lang w:val="ru-RU"/>
        </w:rPr>
        <w:t>Козлова</w:t>
      </w:r>
      <w:r w:rsidR="0010385B" w:rsidRPr="007928C8">
        <w:rPr>
          <w:sz w:val="26"/>
          <w:szCs w:val="26"/>
          <w:lang w:val="ru-RU"/>
        </w:rPr>
        <w:t xml:space="preserve"> В.</w:t>
      </w:r>
      <w:r w:rsidR="0010385B" w:rsidRPr="007928C8">
        <w:rPr>
          <w:sz w:val="26"/>
          <w:szCs w:val="26"/>
          <w:lang w:val="lt-LT"/>
        </w:rPr>
        <w:t xml:space="preserve"> </w:t>
      </w:r>
      <w:r w:rsidR="0010385B" w:rsidRPr="007928C8">
        <w:rPr>
          <w:sz w:val="26"/>
          <w:szCs w:val="26"/>
          <w:lang w:val="ru-RU"/>
        </w:rPr>
        <w:t>А.</w:t>
      </w:r>
      <w:r w:rsidR="0010385B" w:rsidRPr="007928C8">
        <w:rPr>
          <w:sz w:val="26"/>
          <w:szCs w:val="26"/>
          <w:lang w:val="lt-LT"/>
        </w:rPr>
        <w:t xml:space="preserve"> (1998) </w:t>
      </w:r>
      <w:r w:rsidRPr="007928C8">
        <w:rPr>
          <w:sz w:val="26"/>
          <w:szCs w:val="26"/>
          <w:lang w:val="ru-RU"/>
        </w:rPr>
        <w:t>Аудит-2000: пр</w:t>
      </w:r>
      <w:r w:rsidR="0010385B" w:rsidRPr="007928C8">
        <w:rPr>
          <w:sz w:val="26"/>
          <w:szCs w:val="26"/>
          <w:lang w:val="ru-RU"/>
        </w:rPr>
        <w:t>облемы и перспективы развития // Бух. учет. N</w:t>
      </w:r>
      <w:r w:rsidR="0010385B" w:rsidRPr="007928C8">
        <w:rPr>
          <w:sz w:val="26"/>
          <w:szCs w:val="26"/>
          <w:lang w:val="lt-LT"/>
        </w:rPr>
        <w:t xml:space="preserve"> </w:t>
      </w:r>
      <w:r w:rsidR="0010385B" w:rsidRPr="007928C8">
        <w:rPr>
          <w:sz w:val="26"/>
          <w:szCs w:val="26"/>
          <w:lang w:val="ru-RU"/>
        </w:rPr>
        <w:t>10</w:t>
      </w:r>
      <w:r w:rsidR="0010385B" w:rsidRPr="007928C8">
        <w:rPr>
          <w:sz w:val="26"/>
          <w:szCs w:val="26"/>
          <w:lang w:val="lt-LT"/>
        </w:rPr>
        <w:t>,</w:t>
      </w:r>
      <w:r w:rsidR="0010385B" w:rsidRPr="007928C8">
        <w:rPr>
          <w:sz w:val="26"/>
          <w:szCs w:val="26"/>
          <w:lang w:val="ru-RU"/>
        </w:rPr>
        <w:t xml:space="preserve"> </w:t>
      </w:r>
      <w:r w:rsidR="0010385B" w:rsidRPr="007928C8">
        <w:rPr>
          <w:sz w:val="26"/>
          <w:szCs w:val="26"/>
          <w:lang w:val="lt-LT"/>
        </w:rPr>
        <w:t>c</w:t>
      </w:r>
      <w:r w:rsidRPr="007928C8">
        <w:rPr>
          <w:sz w:val="26"/>
          <w:szCs w:val="26"/>
          <w:lang w:val="ru-RU"/>
        </w:rPr>
        <w:t>.72-75.</w:t>
      </w:r>
    </w:p>
    <w:p w:rsidR="009B6941" w:rsidRPr="007928C8" w:rsidRDefault="009B6941"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 xml:space="preserve">КАРМАЙКЛ, Д. Р., БЕНИС М. (1995) </w:t>
      </w:r>
      <w:r w:rsidRPr="007928C8">
        <w:rPr>
          <w:i/>
          <w:sz w:val="26"/>
          <w:szCs w:val="26"/>
          <w:lang w:val="ru-RU"/>
        </w:rPr>
        <w:t>Стандарты и нормы аудита</w:t>
      </w:r>
      <w:r w:rsidRPr="007928C8">
        <w:rPr>
          <w:sz w:val="26"/>
          <w:szCs w:val="26"/>
          <w:lang w:val="ru-RU"/>
        </w:rPr>
        <w:t>. Москва: Аудит</w:t>
      </w:r>
      <w:r w:rsidRPr="007928C8">
        <w:rPr>
          <w:sz w:val="26"/>
          <w:szCs w:val="26"/>
          <w:lang w:val="lt-LT"/>
        </w:rPr>
        <w:t>. 526</w:t>
      </w:r>
      <w:r w:rsidR="00A53144" w:rsidRPr="007928C8">
        <w:rPr>
          <w:sz w:val="26"/>
          <w:szCs w:val="26"/>
          <w:lang w:val="lt-LT"/>
        </w:rPr>
        <w:t xml:space="preserve"> </w:t>
      </w:r>
      <w:r w:rsidRPr="007928C8">
        <w:rPr>
          <w:sz w:val="26"/>
          <w:szCs w:val="26"/>
          <w:lang w:val="lt-LT"/>
        </w:rPr>
        <w:t>c.</w:t>
      </w:r>
      <w:r w:rsidR="00A53144" w:rsidRPr="007928C8">
        <w:rPr>
          <w:sz w:val="26"/>
          <w:szCs w:val="26"/>
          <w:lang w:val="lt-LT"/>
        </w:rPr>
        <w:t xml:space="preserve"> ISBN 5-85177-003-01</w:t>
      </w:r>
      <w:r w:rsidR="005A0F40" w:rsidRPr="007928C8">
        <w:rPr>
          <w:sz w:val="26"/>
          <w:szCs w:val="26"/>
          <w:lang w:val="lt-LT"/>
        </w:rPr>
        <w:t>.</w:t>
      </w:r>
    </w:p>
    <w:p w:rsidR="005A0F40" w:rsidRPr="007928C8" w:rsidRDefault="005A0F40" w:rsidP="000406FA">
      <w:pPr>
        <w:numPr>
          <w:ilvl w:val="0"/>
          <w:numId w:val="4"/>
        </w:numPr>
        <w:tabs>
          <w:tab w:val="clear" w:pos="720"/>
          <w:tab w:val="left" w:pos="567"/>
          <w:tab w:val="left" w:pos="709"/>
        </w:tabs>
        <w:spacing w:before="120"/>
        <w:ind w:left="567" w:hanging="567"/>
        <w:jc w:val="both"/>
        <w:rPr>
          <w:sz w:val="26"/>
          <w:szCs w:val="26"/>
          <w:lang w:val="ru-RU"/>
        </w:rPr>
      </w:pPr>
      <w:r w:rsidRPr="007928C8">
        <w:rPr>
          <w:caps/>
          <w:sz w:val="26"/>
          <w:szCs w:val="26"/>
          <w:lang w:val="ru-RU"/>
        </w:rPr>
        <w:t>Миронова</w:t>
      </w:r>
      <w:r w:rsidRPr="007928C8">
        <w:rPr>
          <w:sz w:val="26"/>
          <w:szCs w:val="26"/>
          <w:lang w:val="ru-RU"/>
        </w:rPr>
        <w:t xml:space="preserve"> Ольга А (2006). Аудит: теория и методология : учебное пособие. 2-ое изд, Москва: Омега-Л, 169 c. ISBN 5-365-00086-2.</w:t>
      </w:r>
    </w:p>
    <w:p w:rsidR="009B6941" w:rsidRPr="007928C8" w:rsidRDefault="009B6941" w:rsidP="000406FA">
      <w:pPr>
        <w:numPr>
          <w:ilvl w:val="0"/>
          <w:numId w:val="4"/>
        </w:numPr>
        <w:tabs>
          <w:tab w:val="clear" w:pos="720"/>
          <w:tab w:val="left" w:pos="567"/>
          <w:tab w:val="left" w:pos="709"/>
        </w:tabs>
        <w:spacing w:before="120"/>
        <w:ind w:left="567" w:hanging="567"/>
        <w:jc w:val="both"/>
        <w:rPr>
          <w:sz w:val="26"/>
          <w:szCs w:val="26"/>
          <w:lang w:val="lt-LT"/>
        </w:rPr>
      </w:pPr>
      <w:r w:rsidRPr="007928C8">
        <w:rPr>
          <w:caps/>
          <w:sz w:val="26"/>
          <w:szCs w:val="26"/>
          <w:lang w:val="lt-LT"/>
        </w:rPr>
        <w:t>Скобара</w:t>
      </w:r>
      <w:r w:rsidRPr="007928C8">
        <w:rPr>
          <w:sz w:val="26"/>
          <w:szCs w:val="26"/>
          <w:lang w:val="lt-LT"/>
        </w:rPr>
        <w:t xml:space="preserve">, В. В. (1998). </w:t>
      </w:r>
      <w:r w:rsidRPr="007928C8">
        <w:rPr>
          <w:i/>
          <w:sz w:val="26"/>
          <w:szCs w:val="26"/>
          <w:lang w:val="ru-RU"/>
        </w:rPr>
        <w:t>Аудит: методология и организация.</w:t>
      </w:r>
      <w:r w:rsidR="003E7E84" w:rsidRPr="007928C8">
        <w:rPr>
          <w:i/>
          <w:sz w:val="26"/>
          <w:szCs w:val="26"/>
          <w:lang w:val="ru-RU"/>
        </w:rPr>
        <w:t xml:space="preserve"> </w:t>
      </w:r>
      <w:r w:rsidRPr="007928C8">
        <w:rPr>
          <w:sz w:val="26"/>
          <w:szCs w:val="26"/>
          <w:lang w:val="ru-RU"/>
        </w:rPr>
        <w:t>Москва: Дело и Сервис.</w:t>
      </w:r>
      <w:r w:rsidRPr="007928C8">
        <w:rPr>
          <w:sz w:val="26"/>
          <w:szCs w:val="26"/>
          <w:lang w:val="lt-LT"/>
        </w:rPr>
        <w:t xml:space="preserve"> 576</w:t>
      </w:r>
      <w:r w:rsidR="00370115" w:rsidRPr="007928C8">
        <w:rPr>
          <w:sz w:val="26"/>
          <w:szCs w:val="26"/>
          <w:lang w:val="lt-LT"/>
        </w:rPr>
        <w:t xml:space="preserve"> </w:t>
      </w:r>
      <w:r w:rsidRPr="007928C8">
        <w:rPr>
          <w:sz w:val="26"/>
          <w:szCs w:val="26"/>
          <w:lang w:val="lt-LT"/>
        </w:rPr>
        <w:t xml:space="preserve">c. </w:t>
      </w:r>
    </w:p>
    <w:p w:rsidR="006A7331" w:rsidRPr="007928C8" w:rsidRDefault="002D30FB" w:rsidP="000406FA">
      <w:pPr>
        <w:numPr>
          <w:ilvl w:val="0"/>
          <w:numId w:val="4"/>
        </w:numPr>
        <w:tabs>
          <w:tab w:val="clear" w:pos="720"/>
          <w:tab w:val="left" w:pos="567"/>
          <w:tab w:val="left" w:pos="709"/>
        </w:tabs>
        <w:spacing w:before="120"/>
        <w:ind w:left="567" w:hanging="567"/>
        <w:jc w:val="both"/>
        <w:rPr>
          <w:sz w:val="26"/>
          <w:szCs w:val="26"/>
          <w:lang w:val="lt-LT"/>
        </w:rPr>
      </w:pPr>
      <w:r w:rsidRPr="007928C8">
        <w:rPr>
          <w:i/>
          <w:sz w:val="26"/>
          <w:szCs w:val="26"/>
          <w:lang w:val="ru-RU"/>
        </w:rPr>
        <w:t>Федеральные правила стандарты аудиторской деятельности; Федеральный закон „Об аудиторской деятельности“; Кодекс этики аудиторов России</w:t>
      </w:r>
      <w:r w:rsidRPr="007928C8">
        <w:rPr>
          <w:sz w:val="26"/>
          <w:szCs w:val="26"/>
          <w:lang w:val="ru-RU"/>
        </w:rPr>
        <w:t xml:space="preserve"> </w:t>
      </w:r>
      <w:r w:rsidR="003E7E84" w:rsidRPr="007928C8">
        <w:rPr>
          <w:sz w:val="26"/>
          <w:szCs w:val="26"/>
          <w:lang w:val="lt-LT"/>
        </w:rPr>
        <w:t xml:space="preserve">(2006). </w:t>
      </w:r>
      <w:r w:rsidR="003E7E84" w:rsidRPr="007928C8">
        <w:rPr>
          <w:sz w:val="26"/>
          <w:szCs w:val="26"/>
        </w:rPr>
        <w:t xml:space="preserve">4-e </w:t>
      </w:r>
      <w:r w:rsidR="003E7E84" w:rsidRPr="007928C8">
        <w:rPr>
          <w:sz w:val="26"/>
          <w:szCs w:val="26"/>
          <w:lang w:val="ru-RU"/>
        </w:rPr>
        <w:t>изд.</w:t>
      </w:r>
      <w:r w:rsidR="003E7E84" w:rsidRPr="007928C8">
        <w:rPr>
          <w:sz w:val="26"/>
          <w:szCs w:val="26"/>
        </w:rPr>
        <w:t xml:space="preserve"> </w:t>
      </w:r>
      <w:r w:rsidR="00AA58CF" w:rsidRPr="007928C8">
        <w:rPr>
          <w:sz w:val="26"/>
          <w:szCs w:val="26"/>
          <w:lang w:val="ru-RU"/>
        </w:rPr>
        <w:t>Москва: Ось-89</w:t>
      </w:r>
      <w:r w:rsidR="00AA58CF" w:rsidRPr="007928C8">
        <w:rPr>
          <w:sz w:val="26"/>
          <w:szCs w:val="26"/>
        </w:rPr>
        <w:t xml:space="preserve">, </w:t>
      </w:r>
      <w:r w:rsidRPr="007928C8">
        <w:rPr>
          <w:sz w:val="26"/>
          <w:szCs w:val="26"/>
          <w:lang w:val="ru-RU"/>
        </w:rPr>
        <w:t>20</w:t>
      </w:r>
      <w:r w:rsidR="003E7E84" w:rsidRPr="007928C8">
        <w:rPr>
          <w:sz w:val="26"/>
          <w:szCs w:val="26"/>
        </w:rPr>
        <w:t>8</w:t>
      </w:r>
      <w:r w:rsidRPr="007928C8">
        <w:rPr>
          <w:sz w:val="26"/>
          <w:szCs w:val="26"/>
          <w:lang w:val="ru-RU"/>
        </w:rPr>
        <w:t xml:space="preserve"> </w:t>
      </w:r>
      <w:r w:rsidRPr="007928C8">
        <w:rPr>
          <w:sz w:val="26"/>
          <w:szCs w:val="26"/>
        </w:rPr>
        <w:t>c</w:t>
      </w:r>
      <w:r w:rsidRPr="007928C8">
        <w:rPr>
          <w:sz w:val="26"/>
          <w:szCs w:val="26"/>
          <w:lang w:val="ru-RU"/>
        </w:rPr>
        <w:t>.</w:t>
      </w:r>
      <w:r w:rsidR="003E7E84" w:rsidRPr="007928C8">
        <w:rPr>
          <w:sz w:val="26"/>
          <w:szCs w:val="26"/>
        </w:rPr>
        <w:t xml:space="preserve"> ISBN 5-98534-356-1.</w:t>
      </w:r>
    </w:p>
    <w:p w:rsidR="009B6941" w:rsidRPr="007928C8" w:rsidRDefault="009B6941" w:rsidP="000406FA">
      <w:pPr>
        <w:numPr>
          <w:ilvl w:val="0"/>
          <w:numId w:val="4"/>
        </w:numPr>
        <w:tabs>
          <w:tab w:val="clear" w:pos="720"/>
          <w:tab w:val="left" w:pos="567"/>
          <w:tab w:val="left" w:pos="709"/>
        </w:tabs>
        <w:spacing w:before="120"/>
        <w:ind w:left="567" w:hanging="567"/>
        <w:jc w:val="both"/>
        <w:rPr>
          <w:sz w:val="26"/>
          <w:szCs w:val="26"/>
          <w:lang w:val="lt-LT"/>
        </w:rPr>
      </w:pPr>
      <w:r w:rsidRPr="007928C8">
        <w:rPr>
          <w:sz w:val="26"/>
          <w:szCs w:val="26"/>
          <w:lang w:val="lt-LT"/>
        </w:rPr>
        <w:t>Ш</w:t>
      </w:r>
      <w:r w:rsidRPr="007928C8">
        <w:rPr>
          <w:caps/>
          <w:sz w:val="26"/>
          <w:szCs w:val="26"/>
          <w:lang w:val="lt-LT"/>
        </w:rPr>
        <w:t>еремет</w:t>
      </w:r>
      <w:r w:rsidRPr="007928C8">
        <w:rPr>
          <w:sz w:val="26"/>
          <w:szCs w:val="26"/>
          <w:lang w:val="lt-LT"/>
        </w:rPr>
        <w:t xml:space="preserve">, А. Д., </w:t>
      </w:r>
      <w:r w:rsidRPr="007928C8">
        <w:rPr>
          <w:caps/>
          <w:sz w:val="26"/>
          <w:szCs w:val="26"/>
          <w:lang w:val="lt-LT"/>
        </w:rPr>
        <w:t>Суйц</w:t>
      </w:r>
      <w:r w:rsidRPr="007928C8">
        <w:rPr>
          <w:sz w:val="26"/>
          <w:szCs w:val="26"/>
          <w:lang w:val="lt-LT"/>
        </w:rPr>
        <w:t xml:space="preserve">, В. П.(1995) </w:t>
      </w:r>
      <w:r w:rsidRPr="007928C8">
        <w:rPr>
          <w:i/>
          <w:sz w:val="26"/>
          <w:szCs w:val="26"/>
          <w:lang w:val="ru-RU"/>
        </w:rPr>
        <w:t>Аудит</w:t>
      </w:r>
      <w:r w:rsidR="001065BD" w:rsidRPr="007928C8">
        <w:rPr>
          <w:i/>
          <w:sz w:val="26"/>
          <w:szCs w:val="26"/>
          <w:lang w:val="ru-RU"/>
        </w:rPr>
        <w:t>:</w:t>
      </w:r>
      <w:r w:rsidR="001065BD" w:rsidRPr="007928C8">
        <w:rPr>
          <w:sz w:val="26"/>
          <w:szCs w:val="26"/>
          <w:lang w:val="ru-RU"/>
        </w:rPr>
        <w:t xml:space="preserve"> </w:t>
      </w:r>
      <w:r w:rsidR="001065BD" w:rsidRPr="007928C8">
        <w:rPr>
          <w:i/>
          <w:sz w:val="26"/>
          <w:szCs w:val="26"/>
          <w:lang w:val="ru-RU"/>
        </w:rPr>
        <w:t>учебное пособие</w:t>
      </w:r>
      <w:r w:rsidRPr="007928C8">
        <w:rPr>
          <w:sz w:val="26"/>
          <w:szCs w:val="26"/>
          <w:lang w:val="ru-RU"/>
        </w:rPr>
        <w:t>. Москва: Инфра</w:t>
      </w:r>
      <w:r w:rsidRPr="007928C8">
        <w:rPr>
          <w:sz w:val="26"/>
          <w:szCs w:val="26"/>
          <w:lang w:val="lt-LT"/>
        </w:rPr>
        <w:t>. 240 c.</w:t>
      </w:r>
      <w:r w:rsidR="001065BD" w:rsidRPr="007928C8">
        <w:rPr>
          <w:sz w:val="26"/>
          <w:szCs w:val="26"/>
          <w:lang w:val="lt-LT"/>
        </w:rPr>
        <w:t xml:space="preserve"> ISBN 5-86225-127-8</w:t>
      </w:r>
    </w:p>
    <w:p w:rsidR="007A0B8D" w:rsidRDefault="007A0B8D" w:rsidP="007A0B8D">
      <w:pPr>
        <w:tabs>
          <w:tab w:val="left" w:pos="567"/>
        </w:tabs>
        <w:jc w:val="both"/>
        <w:rPr>
          <w:sz w:val="24"/>
          <w:lang w:val="lt-LT"/>
        </w:rPr>
      </w:pPr>
    </w:p>
    <w:p w:rsidR="0033534E" w:rsidRPr="003E7E84" w:rsidRDefault="0033534E" w:rsidP="007A0B8D">
      <w:pPr>
        <w:tabs>
          <w:tab w:val="left" w:pos="567"/>
        </w:tabs>
        <w:jc w:val="both"/>
        <w:rPr>
          <w:sz w:val="24"/>
          <w:lang w:val="lt-LT"/>
        </w:rPr>
      </w:pPr>
    </w:p>
    <w:p w:rsidR="00052DF1" w:rsidRDefault="003D1407" w:rsidP="00052DF1">
      <w:pPr>
        <w:tabs>
          <w:tab w:val="left" w:pos="567"/>
        </w:tabs>
        <w:spacing w:line="360" w:lineRule="auto"/>
        <w:jc w:val="both"/>
        <w:rPr>
          <w:sz w:val="24"/>
          <w:szCs w:val="24"/>
          <w:lang w:val="lt-LT"/>
        </w:rPr>
      </w:pPr>
      <w:r>
        <w:rPr>
          <w:sz w:val="24"/>
          <w:szCs w:val="24"/>
          <w:lang w:val="lt-LT"/>
        </w:rPr>
        <w:br w:type="page"/>
      </w:r>
    </w:p>
    <w:p w:rsidR="00052DF1" w:rsidRDefault="00052DF1" w:rsidP="00052DF1">
      <w:pPr>
        <w:pStyle w:val="Heading1"/>
        <w:rPr>
          <w:lang w:val="lt-LT"/>
        </w:rPr>
      </w:pPr>
      <w:bookmarkStart w:id="54" w:name="_Toc253244594"/>
      <w:r>
        <w:rPr>
          <w:lang w:val="lt-LT"/>
        </w:rPr>
        <w:lastRenderedPageBreak/>
        <w:t>PRIEDAI</w:t>
      </w:r>
      <w:bookmarkEnd w:id="54"/>
    </w:p>
    <w:p w:rsidR="00052DF1" w:rsidRPr="00052DF1" w:rsidRDefault="00052DF1" w:rsidP="00052DF1">
      <w:pPr>
        <w:rPr>
          <w:sz w:val="24"/>
          <w:szCs w:val="24"/>
          <w:lang w:val="lt-LT" w:eastAsia="en-US"/>
        </w:rPr>
      </w:pPr>
    </w:p>
    <w:p w:rsidR="009A700C" w:rsidRPr="00501336" w:rsidRDefault="009A700C" w:rsidP="00D04F07">
      <w:pPr>
        <w:spacing w:before="120"/>
        <w:jc w:val="both"/>
        <w:rPr>
          <w:b/>
          <w:sz w:val="26"/>
          <w:szCs w:val="26"/>
          <w:lang w:val="en-GB"/>
        </w:rPr>
      </w:pPr>
      <w:r w:rsidRPr="00D6182F">
        <w:rPr>
          <w:sz w:val="26"/>
          <w:szCs w:val="26"/>
          <w:lang w:val="lt-LT"/>
        </w:rPr>
        <w:t>1 PRIEDAS Rizikos valdymo proceso struktūra .............................</w:t>
      </w:r>
      <w:r w:rsidR="00D6182F">
        <w:rPr>
          <w:sz w:val="26"/>
          <w:szCs w:val="26"/>
          <w:lang w:val="lt-LT"/>
        </w:rPr>
        <w:t>...</w:t>
      </w:r>
      <w:r w:rsidR="00D6182F" w:rsidRPr="00D6182F">
        <w:rPr>
          <w:sz w:val="26"/>
          <w:szCs w:val="26"/>
          <w:lang w:val="lt-LT"/>
        </w:rPr>
        <w:t>.........</w:t>
      </w:r>
      <w:r w:rsidR="00557D91">
        <w:rPr>
          <w:sz w:val="26"/>
          <w:szCs w:val="26"/>
          <w:lang w:val="lt-LT"/>
        </w:rPr>
        <w:t>. 20</w:t>
      </w:r>
      <w:r w:rsidR="003467F8">
        <w:rPr>
          <w:sz w:val="26"/>
          <w:szCs w:val="26"/>
          <w:lang w:val="lt-LT"/>
        </w:rPr>
        <w:t>3</w:t>
      </w:r>
    </w:p>
    <w:p w:rsidR="009A700C" w:rsidRPr="00D6182F" w:rsidRDefault="009A700C" w:rsidP="00D04F07">
      <w:pPr>
        <w:tabs>
          <w:tab w:val="left" w:pos="567"/>
        </w:tabs>
        <w:spacing w:before="120"/>
        <w:jc w:val="both"/>
        <w:rPr>
          <w:sz w:val="26"/>
          <w:szCs w:val="26"/>
          <w:lang w:val="lt-LT"/>
        </w:rPr>
      </w:pPr>
      <w:r w:rsidRPr="00D6182F">
        <w:rPr>
          <w:sz w:val="26"/>
          <w:szCs w:val="26"/>
          <w:lang w:val="lt-LT"/>
        </w:rPr>
        <w:t>2 PRIEDAS Rizikos vertinimo metodų suvestinė .................</w:t>
      </w:r>
      <w:r w:rsidR="00501336">
        <w:rPr>
          <w:sz w:val="26"/>
          <w:szCs w:val="26"/>
          <w:lang w:val="lt-LT"/>
        </w:rPr>
        <w:t>........................ 20</w:t>
      </w:r>
      <w:r w:rsidR="003467F8">
        <w:rPr>
          <w:sz w:val="26"/>
          <w:szCs w:val="26"/>
          <w:lang w:val="lt-LT"/>
        </w:rPr>
        <w:t>5</w:t>
      </w:r>
    </w:p>
    <w:p w:rsidR="00052DF1" w:rsidRPr="00D6182F" w:rsidRDefault="009A700C" w:rsidP="000952FA">
      <w:pPr>
        <w:tabs>
          <w:tab w:val="left" w:pos="567"/>
        </w:tabs>
        <w:spacing w:before="120"/>
        <w:jc w:val="both"/>
        <w:rPr>
          <w:sz w:val="26"/>
          <w:szCs w:val="26"/>
          <w:lang w:val="lt-LT"/>
        </w:rPr>
      </w:pPr>
      <w:r w:rsidRPr="00D6182F">
        <w:rPr>
          <w:sz w:val="26"/>
          <w:szCs w:val="26"/>
          <w:lang w:val="lt-LT"/>
        </w:rPr>
        <w:t>3</w:t>
      </w:r>
      <w:r w:rsidR="00052DF1" w:rsidRPr="00D6182F">
        <w:rPr>
          <w:sz w:val="26"/>
          <w:szCs w:val="26"/>
          <w:lang w:val="lt-LT"/>
        </w:rPr>
        <w:t xml:space="preserve"> PRIEDAS Sąlygų, lemiančių reikšmingo iškraipymo riziką finansinių ataskaitų lygmeniu klasifikacija </w:t>
      </w:r>
      <w:r w:rsidR="000952FA">
        <w:rPr>
          <w:sz w:val="26"/>
          <w:szCs w:val="26"/>
          <w:lang w:val="lt-LT"/>
        </w:rPr>
        <w:t>.</w:t>
      </w:r>
      <w:r w:rsidR="00052DF1" w:rsidRPr="00D6182F">
        <w:rPr>
          <w:sz w:val="26"/>
          <w:szCs w:val="26"/>
          <w:lang w:val="lt-LT"/>
        </w:rPr>
        <w:t>.............</w:t>
      </w:r>
      <w:r w:rsidR="00D6182F">
        <w:rPr>
          <w:sz w:val="26"/>
          <w:szCs w:val="26"/>
          <w:lang w:val="lt-LT"/>
        </w:rPr>
        <w:t>..........................</w:t>
      </w:r>
      <w:r w:rsidR="00052DF1" w:rsidRPr="00D6182F">
        <w:rPr>
          <w:sz w:val="26"/>
          <w:szCs w:val="26"/>
          <w:lang w:val="lt-LT"/>
        </w:rPr>
        <w:t>..........</w:t>
      </w:r>
      <w:r w:rsidR="000952FA">
        <w:rPr>
          <w:sz w:val="26"/>
          <w:szCs w:val="26"/>
          <w:lang w:val="lt-LT"/>
        </w:rPr>
        <w:t>.................</w:t>
      </w:r>
      <w:r w:rsidR="00052DF1" w:rsidRPr="00D6182F">
        <w:rPr>
          <w:sz w:val="26"/>
          <w:szCs w:val="26"/>
          <w:lang w:val="lt-LT"/>
        </w:rPr>
        <w:t>.</w:t>
      </w:r>
      <w:r w:rsidR="003467F8">
        <w:rPr>
          <w:sz w:val="26"/>
          <w:szCs w:val="26"/>
          <w:lang w:val="lt-LT"/>
        </w:rPr>
        <w:t xml:space="preserve"> 209</w:t>
      </w:r>
    </w:p>
    <w:p w:rsidR="009A700C" w:rsidRPr="00D6182F" w:rsidRDefault="009A700C" w:rsidP="00D04F07">
      <w:pPr>
        <w:tabs>
          <w:tab w:val="left" w:pos="567"/>
        </w:tabs>
        <w:spacing w:before="120"/>
        <w:jc w:val="both"/>
        <w:rPr>
          <w:sz w:val="26"/>
          <w:szCs w:val="26"/>
          <w:lang w:val="lt-LT"/>
        </w:rPr>
      </w:pPr>
      <w:r w:rsidRPr="00D6182F">
        <w:rPr>
          <w:sz w:val="26"/>
          <w:szCs w:val="26"/>
          <w:lang w:val="lt-LT"/>
        </w:rPr>
        <w:t>4 PRIEDAS Įmonės verslo rizikos vertinimas audito metu.</w:t>
      </w:r>
      <w:r w:rsidR="00D6182F">
        <w:rPr>
          <w:sz w:val="26"/>
          <w:szCs w:val="26"/>
          <w:lang w:val="lt-LT"/>
        </w:rPr>
        <w:t>..........................</w:t>
      </w:r>
      <w:r w:rsidR="003467F8">
        <w:rPr>
          <w:sz w:val="26"/>
          <w:szCs w:val="26"/>
          <w:lang w:val="lt-LT"/>
        </w:rPr>
        <w:t xml:space="preserve"> 211</w:t>
      </w:r>
    </w:p>
    <w:p w:rsidR="00052DF1" w:rsidRPr="00D6182F" w:rsidRDefault="009A700C" w:rsidP="00D04F07">
      <w:pPr>
        <w:tabs>
          <w:tab w:val="left" w:pos="567"/>
        </w:tabs>
        <w:spacing w:before="120"/>
        <w:jc w:val="both"/>
        <w:rPr>
          <w:sz w:val="26"/>
          <w:szCs w:val="26"/>
          <w:lang w:val="lt-LT"/>
        </w:rPr>
      </w:pPr>
      <w:r w:rsidRPr="00D6182F">
        <w:rPr>
          <w:sz w:val="26"/>
          <w:szCs w:val="26"/>
          <w:lang w:val="lt-LT"/>
        </w:rPr>
        <w:t>5</w:t>
      </w:r>
      <w:r w:rsidR="00052DF1" w:rsidRPr="00D6182F">
        <w:rPr>
          <w:sz w:val="26"/>
          <w:szCs w:val="26"/>
          <w:lang w:val="lt-LT"/>
        </w:rPr>
        <w:t xml:space="preserve"> PRIEDAS Klasikinio audito rizikos modelio kūrimo pr</w:t>
      </w:r>
      <w:r w:rsidR="00501336">
        <w:rPr>
          <w:sz w:val="26"/>
          <w:szCs w:val="26"/>
          <w:lang w:val="lt-LT"/>
        </w:rPr>
        <w:t>ielaidos ............... 21</w:t>
      </w:r>
      <w:r w:rsidR="003467F8">
        <w:rPr>
          <w:sz w:val="26"/>
          <w:szCs w:val="26"/>
          <w:lang w:val="lt-LT"/>
        </w:rPr>
        <w:t>3</w:t>
      </w:r>
    </w:p>
    <w:p w:rsidR="00052DF1" w:rsidRPr="00D6182F" w:rsidRDefault="009A700C" w:rsidP="00D04F07">
      <w:pPr>
        <w:tabs>
          <w:tab w:val="left" w:pos="567"/>
        </w:tabs>
        <w:spacing w:before="120"/>
        <w:jc w:val="both"/>
        <w:rPr>
          <w:sz w:val="26"/>
          <w:szCs w:val="26"/>
        </w:rPr>
      </w:pPr>
      <w:r w:rsidRPr="00D6182F">
        <w:rPr>
          <w:sz w:val="26"/>
          <w:szCs w:val="26"/>
          <w:lang w:val="lt-LT"/>
        </w:rPr>
        <w:t>6</w:t>
      </w:r>
      <w:r w:rsidR="00052DF1" w:rsidRPr="00D6182F">
        <w:rPr>
          <w:sz w:val="26"/>
          <w:szCs w:val="26"/>
          <w:lang w:val="lt-LT"/>
        </w:rPr>
        <w:t xml:space="preserve"> PRIEDAS Kinney (1989) audito rizikos modeli</w:t>
      </w:r>
      <w:r w:rsidR="00246AC3">
        <w:rPr>
          <w:sz w:val="26"/>
          <w:szCs w:val="26"/>
          <w:lang w:val="lt-LT"/>
        </w:rPr>
        <w:t xml:space="preserve">s </w:t>
      </w:r>
      <w:r w:rsidR="00052DF1" w:rsidRPr="00D6182F">
        <w:rPr>
          <w:sz w:val="26"/>
          <w:szCs w:val="26"/>
          <w:lang w:val="lt-LT"/>
        </w:rPr>
        <w:t>.</w:t>
      </w:r>
      <w:r w:rsidR="00246AC3">
        <w:rPr>
          <w:sz w:val="26"/>
          <w:szCs w:val="26"/>
          <w:lang w:val="lt-LT"/>
        </w:rPr>
        <w:t>...........................</w:t>
      </w:r>
      <w:r w:rsidR="003467F8">
        <w:rPr>
          <w:sz w:val="26"/>
          <w:szCs w:val="26"/>
          <w:lang w:val="lt-LT"/>
        </w:rPr>
        <w:t>.......... 215</w:t>
      </w:r>
    </w:p>
    <w:p w:rsidR="00246AC3" w:rsidRPr="00D6182F" w:rsidRDefault="00246AC3" w:rsidP="00246AC3">
      <w:pPr>
        <w:tabs>
          <w:tab w:val="left" w:pos="567"/>
        </w:tabs>
        <w:spacing w:before="120"/>
        <w:jc w:val="both"/>
        <w:rPr>
          <w:sz w:val="26"/>
          <w:szCs w:val="26"/>
        </w:rPr>
      </w:pPr>
      <w:r>
        <w:rPr>
          <w:sz w:val="26"/>
          <w:szCs w:val="26"/>
          <w:lang w:val="lt-LT"/>
        </w:rPr>
        <w:t>7</w:t>
      </w:r>
      <w:r w:rsidRPr="00D6182F">
        <w:rPr>
          <w:sz w:val="26"/>
          <w:szCs w:val="26"/>
          <w:lang w:val="lt-LT"/>
        </w:rPr>
        <w:t xml:space="preserve"> PRIEDAS Aldersley (1989) audito rizikos modeli</w:t>
      </w:r>
      <w:r>
        <w:rPr>
          <w:sz w:val="26"/>
          <w:szCs w:val="26"/>
          <w:lang w:val="lt-LT"/>
        </w:rPr>
        <w:t xml:space="preserve">s </w:t>
      </w:r>
      <w:r w:rsidRPr="00D6182F">
        <w:rPr>
          <w:sz w:val="26"/>
          <w:szCs w:val="26"/>
          <w:lang w:val="lt-LT"/>
        </w:rPr>
        <w:t>......</w:t>
      </w:r>
      <w:r>
        <w:rPr>
          <w:sz w:val="26"/>
          <w:szCs w:val="26"/>
          <w:lang w:val="lt-LT"/>
        </w:rPr>
        <w:t>........................</w:t>
      </w:r>
      <w:r w:rsidR="003467F8">
        <w:rPr>
          <w:sz w:val="26"/>
          <w:szCs w:val="26"/>
          <w:lang w:val="lt-LT"/>
        </w:rPr>
        <w:t>.... 217</w:t>
      </w:r>
    </w:p>
    <w:p w:rsidR="009A700C" w:rsidRPr="00D6182F" w:rsidRDefault="009A700C" w:rsidP="00D04F07">
      <w:pPr>
        <w:tabs>
          <w:tab w:val="left" w:pos="567"/>
        </w:tabs>
        <w:spacing w:before="120"/>
        <w:jc w:val="both"/>
        <w:rPr>
          <w:sz w:val="26"/>
          <w:szCs w:val="26"/>
        </w:rPr>
      </w:pPr>
      <w:r w:rsidRPr="00D6182F">
        <w:rPr>
          <w:sz w:val="26"/>
          <w:szCs w:val="26"/>
          <w:lang w:val="lt-LT"/>
        </w:rPr>
        <w:t xml:space="preserve">8 PRIEDAS Audito rizikos </w:t>
      </w:r>
      <w:r w:rsidR="00166A00" w:rsidRPr="00D6182F">
        <w:rPr>
          <w:sz w:val="26"/>
          <w:szCs w:val="26"/>
          <w:lang w:val="lt-LT"/>
        </w:rPr>
        <w:t>vertinimo tyrimo anketa</w:t>
      </w:r>
      <w:r w:rsidRPr="00D6182F">
        <w:rPr>
          <w:sz w:val="26"/>
          <w:szCs w:val="26"/>
          <w:lang w:val="lt-LT"/>
        </w:rPr>
        <w:t xml:space="preserve"> .......................</w:t>
      </w:r>
      <w:r w:rsidR="003467F8">
        <w:rPr>
          <w:sz w:val="26"/>
          <w:szCs w:val="26"/>
          <w:lang w:val="lt-LT"/>
        </w:rPr>
        <w:t>............. 218</w:t>
      </w:r>
    </w:p>
    <w:p w:rsidR="000D17E2" w:rsidRPr="000952FA" w:rsidRDefault="000D17E2" w:rsidP="000952FA">
      <w:pPr>
        <w:tabs>
          <w:tab w:val="left" w:pos="567"/>
        </w:tabs>
        <w:spacing w:before="120"/>
        <w:jc w:val="both"/>
        <w:rPr>
          <w:sz w:val="26"/>
          <w:szCs w:val="26"/>
          <w:lang w:val="lt-LT"/>
        </w:rPr>
      </w:pPr>
      <w:r w:rsidRPr="00D6182F">
        <w:rPr>
          <w:sz w:val="26"/>
          <w:szCs w:val="26"/>
          <w:lang w:val="lt-LT"/>
        </w:rPr>
        <w:t>9 PRIEDAS Taikomo priimtino audito rizikos lygio, rizikos vertinimo metodų ir audito rizikos komponentų vertinimo praktikos ryšys (r</w:t>
      </w:r>
      <w:r w:rsidRPr="00D6182F">
        <w:rPr>
          <w:sz w:val="26"/>
          <w:szCs w:val="26"/>
          <w:vertAlign w:val="subscript"/>
          <w:lang w:val="lt-LT"/>
        </w:rPr>
        <w:t>s</w:t>
      </w:r>
      <w:r w:rsidRPr="00D6182F">
        <w:rPr>
          <w:sz w:val="26"/>
          <w:szCs w:val="26"/>
          <w:lang w:val="lt-LT"/>
        </w:rPr>
        <w:t>) su auditorių darbo patirtimi ir atliekamų auditų skaičiumi per metus .......</w:t>
      </w:r>
      <w:r w:rsidR="000952FA">
        <w:rPr>
          <w:sz w:val="26"/>
          <w:szCs w:val="26"/>
          <w:lang w:val="lt-LT"/>
        </w:rPr>
        <w:t>......</w:t>
      </w:r>
      <w:r w:rsidR="003467F8">
        <w:rPr>
          <w:sz w:val="26"/>
          <w:szCs w:val="26"/>
          <w:lang w:val="lt-LT"/>
        </w:rPr>
        <w:t>............................ 222</w:t>
      </w:r>
    </w:p>
    <w:p w:rsidR="000D17E2" w:rsidRPr="00D6182F" w:rsidRDefault="000D17E2" w:rsidP="000952FA">
      <w:pPr>
        <w:tabs>
          <w:tab w:val="left" w:pos="567"/>
        </w:tabs>
        <w:spacing w:before="120"/>
        <w:jc w:val="both"/>
        <w:rPr>
          <w:sz w:val="26"/>
          <w:szCs w:val="26"/>
        </w:rPr>
      </w:pPr>
      <w:r w:rsidRPr="00D6182F">
        <w:rPr>
          <w:sz w:val="26"/>
          <w:szCs w:val="26"/>
          <w:lang w:val="lt-LT"/>
        </w:rPr>
        <w:t>10 PRIEDAS Reikšmingo iškraipymo rizikos vertinimo praktikos ryšys (r</w:t>
      </w:r>
      <w:r w:rsidRPr="00D6182F">
        <w:rPr>
          <w:sz w:val="26"/>
          <w:szCs w:val="26"/>
          <w:vertAlign w:val="subscript"/>
          <w:lang w:val="lt-LT"/>
        </w:rPr>
        <w:t>s</w:t>
      </w:r>
      <w:r w:rsidRPr="00D6182F">
        <w:rPr>
          <w:sz w:val="26"/>
          <w:szCs w:val="26"/>
          <w:lang w:val="lt-LT"/>
        </w:rPr>
        <w:t>) su auditorių darbo patirtimi ir atliekamų auditų skaičiumi per m</w:t>
      </w:r>
      <w:r w:rsidR="000952FA">
        <w:rPr>
          <w:sz w:val="26"/>
          <w:szCs w:val="26"/>
          <w:lang w:val="lt-LT"/>
        </w:rPr>
        <w:t>etus ...........</w:t>
      </w:r>
      <w:r w:rsidRPr="00D6182F">
        <w:rPr>
          <w:sz w:val="26"/>
          <w:szCs w:val="26"/>
          <w:lang w:val="lt-LT"/>
        </w:rPr>
        <w:t>....</w:t>
      </w:r>
      <w:r w:rsidR="003467F8">
        <w:rPr>
          <w:sz w:val="26"/>
          <w:szCs w:val="26"/>
          <w:lang w:val="lt-LT"/>
        </w:rPr>
        <w:t xml:space="preserve"> 223</w:t>
      </w:r>
    </w:p>
    <w:p w:rsidR="000952FA" w:rsidRDefault="000D17E2" w:rsidP="00D04F07">
      <w:pPr>
        <w:tabs>
          <w:tab w:val="left" w:pos="567"/>
        </w:tabs>
        <w:spacing w:before="120"/>
        <w:jc w:val="both"/>
        <w:rPr>
          <w:noProof/>
          <w:sz w:val="26"/>
          <w:szCs w:val="26"/>
          <w:lang w:val="lt-LT"/>
        </w:rPr>
      </w:pPr>
      <w:r w:rsidRPr="00D6182F">
        <w:rPr>
          <w:sz w:val="26"/>
          <w:szCs w:val="26"/>
          <w:lang w:val="lt-LT"/>
        </w:rPr>
        <w:t xml:space="preserve">11 PRIEDAS </w:t>
      </w:r>
      <w:r w:rsidRPr="00D6182F">
        <w:rPr>
          <w:noProof/>
          <w:sz w:val="26"/>
          <w:szCs w:val="26"/>
          <w:lang w:val="lt-LT"/>
        </w:rPr>
        <w:t xml:space="preserve">Klasikinio audito rizikos modelio privalumų tarpusavio </w:t>
      </w:r>
    </w:p>
    <w:p w:rsidR="000D17E2" w:rsidRPr="00D6182F" w:rsidRDefault="000D17E2" w:rsidP="000952FA">
      <w:pPr>
        <w:tabs>
          <w:tab w:val="left" w:pos="567"/>
        </w:tabs>
        <w:jc w:val="both"/>
        <w:rPr>
          <w:sz w:val="26"/>
          <w:szCs w:val="26"/>
        </w:rPr>
      </w:pPr>
      <w:r w:rsidRPr="00D6182F">
        <w:rPr>
          <w:noProof/>
          <w:sz w:val="26"/>
          <w:szCs w:val="26"/>
          <w:lang w:val="lt-LT"/>
        </w:rPr>
        <w:t xml:space="preserve">ryšys </w:t>
      </w:r>
      <w:r w:rsidRPr="00D6182F">
        <w:rPr>
          <w:sz w:val="26"/>
          <w:szCs w:val="26"/>
          <w:lang w:val="lt-LT"/>
        </w:rPr>
        <w:t>(r</w:t>
      </w:r>
      <w:r w:rsidRPr="00D6182F">
        <w:rPr>
          <w:sz w:val="26"/>
          <w:szCs w:val="26"/>
          <w:vertAlign w:val="subscript"/>
          <w:lang w:val="lt-LT"/>
        </w:rPr>
        <w:t>s</w:t>
      </w:r>
      <w:r w:rsidRPr="00D6182F">
        <w:rPr>
          <w:sz w:val="26"/>
          <w:szCs w:val="26"/>
          <w:lang w:val="lt-LT"/>
        </w:rPr>
        <w:t>) ...........................</w:t>
      </w:r>
      <w:r w:rsidR="000952FA">
        <w:rPr>
          <w:sz w:val="26"/>
          <w:szCs w:val="26"/>
          <w:lang w:val="lt-LT"/>
        </w:rPr>
        <w:t>............................................................................</w:t>
      </w:r>
      <w:r w:rsidRPr="00D6182F">
        <w:rPr>
          <w:sz w:val="26"/>
          <w:szCs w:val="26"/>
          <w:lang w:val="lt-LT"/>
        </w:rPr>
        <w:t>.</w:t>
      </w:r>
      <w:r w:rsidR="003467F8">
        <w:rPr>
          <w:sz w:val="26"/>
          <w:szCs w:val="26"/>
          <w:lang w:val="lt-LT"/>
        </w:rPr>
        <w:t xml:space="preserve"> 224</w:t>
      </w:r>
    </w:p>
    <w:p w:rsidR="000952FA" w:rsidRDefault="000D17E2" w:rsidP="00D04F07">
      <w:pPr>
        <w:tabs>
          <w:tab w:val="left" w:pos="567"/>
        </w:tabs>
        <w:spacing w:before="120"/>
        <w:jc w:val="both"/>
        <w:rPr>
          <w:noProof/>
          <w:sz w:val="26"/>
          <w:szCs w:val="26"/>
          <w:lang w:val="lt-LT"/>
        </w:rPr>
      </w:pPr>
      <w:r w:rsidRPr="00D6182F">
        <w:rPr>
          <w:sz w:val="26"/>
          <w:szCs w:val="26"/>
          <w:lang w:val="lt-LT"/>
        </w:rPr>
        <w:t xml:space="preserve">12 PRIEDAS </w:t>
      </w:r>
      <w:r w:rsidRPr="00D6182F">
        <w:rPr>
          <w:noProof/>
          <w:sz w:val="26"/>
          <w:szCs w:val="26"/>
          <w:lang w:val="lt-LT"/>
        </w:rPr>
        <w:t xml:space="preserve">Klasikinio audito rizikos modelio trūkumų tarpusavio </w:t>
      </w:r>
    </w:p>
    <w:p w:rsidR="000D17E2" w:rsidRPr="00D6182F" w:rsidRDefault="000D17E2" w:rsidP="000952FA">
      <w:pPr>
        <w:tabs>
          <w:tab w:val="left" w:pos="567"/>
        </w:tabs>
        <w:jc w:val="both"/>
        <w:rPr>
          <w:sz w:val="26"/>
          <w:szCs w:val="26"/>
        </w:rPr>
      </w:pPr>
      <w:r w:rsidRPr="00D6182F">
        <w:rPr>
          <w:noProof/>
          <w:sz w:val="26"/>
          <w:szCs w:val="26"/>
          <w:lang w:val="lt-LT"/>
        </w:rPr>
        <w:t xml:space="preserve">ryšys </w:t>
      </w:r>
      <w:r w:rsidRPr="00D6182F">
        <w:rPr>
          <w:sz w:val="26"/>
          <w:szCs w:val="26"/>
          <w:lang w:val="lt-LT"/>
        </w:rPr>
        <w:t>(r</w:t>
      </w:r>
      <w:r w:rsidRPr="00D6182F">
        <w:rPr>
          <w:sz w:val="26"/>
          <w:szCs w:val="26"/>
          <w:vertAlign w:val="subscript"/>
          <w:lang w:val="lt-LT"/>
        </w:rPr>
        <w:t>s</w:t>
      </w:r>
      <w:r w:rsidRPr="00D6182F">
        <w:rPr>
          <w:sz w:val="26"/>
          <w:szCs w:val="26"/>
          <w:lang w:val="lt-LT"/>
        </w:rPr>
        <w:t>) ..................................</w:t>
      </w:r>
      <w:r w:rsidR="000952FA">
        <w:rPr>
          <w:sz w:val="26"/>
          <w:szCs w:val="26"/>
          <w:lang w:val="lt-LT"/>
        </w:rPr>
        <w:t>.....................................................................</w:t>
      </w:r>
      <w:r w:rsidRPr="00D6182F">
        <w:rPr>
          <w:sz w:val="26"/>
          <w:szCs w:val="26"/>
          <w:lang w:val="lt-LT"/>
        </w:rPr>
        <w:t>.</w:t>
      </w:r>
      <w:r w:rsidR="003467F8">
        <w:rPr>
          <w:sz w:val="26"/>
          <w:szCs w:val="26"/>
          <w:lang w:val="lt-LT"/>
        </w:rPr>
        <w:t xml:space="preserve"> 225</w:t>
      </w:r>
    </w:p>
    <w:p w:rsidR="000D17E2" w:rsidRPr="00D6182F" w:rsidRDefault="000D17E2" w:rsidP="00D04F07">
      <w:pPr>
        <w:tabs>
          <w:tab w:val="left" w:pos="567"/>
        </w:tabs>
        <w:spacing w:before="120"/>
        <w:jc w:val="both"/>
        <w:rPr>
          <w:sz w:val="26"/>
          <w:szCs w:val="26"/>
          <w:lang w:val="lt-LT"/>
        </w:rPr>
      </w:pPr>
      <w:r w:rsidRPr="00D6182F">
        <w:rPr>
          <w:sz w:val="26"/>
          <w:szCs w:val="26"/>
          <w:lang w:val="lt-LT"/>
        </w:rPr>
        <w:t xml:space="preserve">13 PRIEDAS </w:t>
      </w:r>
      <w:r w:rsidRPr="00D6182F">
        <w:rPr>
          <w:noProof/>
          <w:sz w:val="26"/>
          <w:szCs w:val="26"/>
          <w:lang w:val="lt-LT"/>
        </w:rPr>
        <w:t xml:space="preserve">Audito rizikos vertinimo skirtingu pasireiškimo lygmeniu priklausomybė </w:t>
      </w:r>
      <w:r w:rsidRPr="00D6182F">
        <w:rPr>
          <w:sz w:val="26"/>
          <w:szCs w:val="26"/>
          <w:lang w:val="lt-LT"/>
        </w:rPr>
        <w:t>(r</w:t>
      </w:r>
      <w:r w:rsidRPr="00D6182F">
        <w:rPr>
          <w:sz w:val="26"/>
          <w:szCs w:val="26"/>
          <w:vertAlign w:val="subscript"/>
          <w:lang w:val="lt-LT"/>
        </w:rPr>
        <w:t>s</w:t>
      </w:r>
      <w:r w:rsidRPr="00D6182F">
        <w:rPr>
          <w:sz w:val="26"/>
          <w:szCs w:val="26"/>
          <w:lang w:val="lt-LT"/>
        </w:rPr>
        <w:t>) nuo auditoriaus darbo patirties ir atliekamų auditų skaičiaus per metus ............................................</w:t>
      </w:r>
      <w:r w:rsidR="000952FA">
        <w:rPr>
          <w:sz w:val="26"/>
          <w:szCs w:val="26"/>
          <w:lang w:val="lt-LT"/>
        </w:rPr>
        <w:t>....................................................</w:t>
      </w:r>
      <w:r w:rsidRPr="00D6182F">
        <w:rPr>
          <w:sz w:val="26"/>
          <w:szCs w:val="26"/>
          <w:lang w:val="lt-LT"/>
        </w:rPr>
        <w:t>.......</w:t>
      </w:r>
      <w:r w:rsidR="003467F8">
        <w:rPr>
          <w:sz w:val="26"/>
          <w:szCs w:val="26"/>
          <w:lang w:val="lt-LT"/>
        </w:rPr>
        <w:t xml:space="preserve"> 226</w:t>
      </w:r>
    </w:p>
    <w:p w:rsidR="000D17E2" w:rsidRPr="00D6182F" w:rsidRDefault="000D17E2" w:rsidP="00D04F07">
      <w:pPr>
        <w:tabs>
          <w:tab w:val="left" w:pos="567"/>
        </w:tabs>
        <w:spacing w:before="120"/>
        <w:jc w:val="both"/>
        <w:rPr>
          <w:sz w:val="26"/>
          <w:szCs w:val="26"/>
        </w:rPr>
      </w:pPr>
      <w:r w:rsidRPr="00D6182F">
        <w:rPr>
          <w:sz w:val="26"/>
          <w:szCs w:val="26"/>
          <w:lang w:val="lt-LT"/>
        </w:rPr>
        <w:t xml:space="preserve">14 PRIEDAS </w:t>
      </w:r>
      <w:r w:rsidRPr="00D6182F">
        <w:rPr>
          <w:noProof/>
          <w:sz w:val="26"/>
          <w:szCs w:val="26"/>
          <w:lang w:val="lt-LT"/>
        </w:rPr>
        <w:t xml:space="preserve">Audito rizikos komponentų vertinimo audito procese ryšys </w:t>
      </w:r>
      <w:r w:rsidRPr="00D6182F">
        <w:rPr>
          <w:sz w:val="26"/>
          <w:szCs w:val="26"/>
          <w:lang w:val="lt-LT"/>
        </w:rPr>
        <w:t>(r</w:t>
      </w:r>
      <w:r w:rsidRPr="00D6182F">
        <w:rPr>
          <w:sz w:val="26"/>
          <w:szCs w:val="26"/>
          <w:vertAlign w:val="subscript"/>
          <w:lang w:val="lt-LT"/>
        </w:rPr>
        <w:t>s</w:t>
      </w:r>
      <w:r w:rsidRPr="00D6182F">
        <w:rPr>
          <w:sz w:val="26"/>
          <w:szCs w:val="26"/>
          <w:lang w:val="lt-LT"/>
        </w:rPr>
        <w:t>) su auditorių darbo patirtimi ir atliekamų auditų skaičiumi per metus ..........................................................................</w:t>
      </w:r>
      <w:r w:rsidR="000952FA">
        <w:rPr>
          <w:sz w:val="26"/>
          <w:szCs w:val="26"/>
          <w:lang w:val="lt-LT"/>
        </w:rPr>
        <w:t>...........................................</w:t>
      </w:r>
      <w:r w:rsidRPr="00D6182F">
        <w:rPr>
          <w:sz w:val="26"/>
          <w:szCs w:val="26"/>
          <w:lang w:val="lt-LT"/>
        </w:rPr>
        <w:t>...</w:t>
      </w:r>
      <w:r w:rsidR="003467F8">
        <w:rPr>
          <w:sz w:val="26"/>
          <w:szCs w:val="26"/>
          <w:lang w:val="lt-LT"/>
        </w:rPr>
        <w:t xml:space="preserve"> 227</w:t>
      </w:r>
    </w:p>
    <w:p w:rsidR="000D17E2" w:rsidRPr="00D6182F" w:rsidRDefault="00370579" w:rsidP="00D04F07">
      <w:pPr>
        <w:tabs>
          <w:tab w:val="left" w:pos="567"/>
        </w:tabs>
        <w:spacing w:before="120"/>
        <w:jc w:val="both"/>
        <w:rPr>
          <w:noProof/>
          <w:sz w:val="26"/>
          <w:szCs w:val="26"/>
          <w:lang w:val="lt-LT"/>
        </w:rPr>
      </w:pPr>
      <w:r w:rsidRPr="00D6182F">
        <w:rPr>
          <w:sz w:val="26"/>
          <w:szCs w:val="26"/>
          <w:lang w:val="lt-LT"/>
        </w:rPr>
        <w:t>15</w:t>
      </w:r>
      <w:r w:rsidR="000D17E2" w:rsidRPr="00D6182F">
        <w:rPr>
          <w:sz w:val="26"/>
          <w:szCs w:val="26"/>
          <w:lang w:val="lt-LT"/>
        </w:rPr>
        <w:t xml:space="preserve"> PRIEDAS </w:t>
      </w:r>
      <w:r w:rsidR="000D17E2" w:rsidRPr="00D6182F">
        <w:rPr>
          <w:noProof/>
          <w:sz w:val="26"/>
          <w:szCs w:val="26"/>
          <w:lang w:val="lt-LT"/>
        </w:rPr>
        <w:t xml:space="preserve">Audito rizikos komponentų vertinimo audito etapuose ryšys </w:t>
      </w:r>
      <w:r w:rsidR="000D17E2" w:rsidRPr="00D6182F">
        <w:rPr>
          <w:sz w:val="26"/>
          <w:szCs w:val="26"/>
          <w:lang w:val="lt-LT"/>
        </w:rPr>
        <w:t>(r</w:t>
      </w:r>
      <w:r w:rsidR="000D17E2" w:rsidRPr="00D6182F">
        <w:rPr>
          <w:sz w:val="26"/>
          <w:szCs w:val="26"/>
          <w:vertAlign w:val="subscript"/>
          <w:lang w:val="lt-LT"/>
        </w:rPr>
        <w:t>s</w:t>
      </w:r>
      <w:r w:rsidR="000D17E2" w:rsidRPr="00D6182F">
        <w:rPr>
          <w:sz w:val="26"/>
          <w:szCs w:val="26"/>
          <w:lang w:val="lt-LT"/>
        </w:rPr>
        <w:t>)</w:t>
      </w:r>
      <w:r w:rsidRPr="00D6182F">
        <w:rPr>
          <w:sz w:val="26"/>
          <w:szCs w:val="26"/>
          <w:lang w:val="lt-LT"/>
        </w:rPr>
        <w:t xml:space="preserve"> ..........</w:t>
      </w:r>
      <w:r w:rsidR="000D17E2" w:rsidRPr="00D6182F">
        <w:rPr>
          <w:sz w:val="26"/>
          <w:szCs w:val="26"/>
          <w:lang w:val="lt-LT"/>
        </w:rPr>
        <w:t>........</w:t>
      </w:r>
      <w:r w:rsidR="000952FA">
        <w:rPr>
          <w:sz w:val="26"/>
          <w:szCs w:val="26"/>
          <w:lang w:val="lt-LT"/>
        </w:rPr>
        <w:t>...........................................................................</w:t>
      </w:r>
      <w:r w:rsidR="003467F8">
        <w:rPr>
          <w:sz w:val="26"/>
          <w:szCs w:val="26"/>
          <w:lang w:val="lt-LT"/>
        </w:rPr>
        <w:t>........................... 228</w:t>
      </w:r>
    </w:p>
    <w:p w:rsidR="000D17E2" w:rsidRPr="00D6182F" w:rsidRDefault="00370579" w:rsidP="00D04F07">
      <w:pPr>
        <w:tabs>
          <w:tab w:val="left" w:pos="567"/>
        </w:tabs>
        <w:spacing w:before="120"/>
        <w:jc w:val="both"/>
        <w:rPr>
          <w:sz w:val="26"/>
          <w:szCs w:val="26"/>
          <w:lang w:val="lt-LT"/>
        </w:rPr>
      </w:pPr>
      <w:r w:rsidRPr="00D6182F">
        <w:rPr>
          <w:sz w:val="26"/>
          <w:szCs w:val="26"/>
          <w:lang w:val="lt-LT"/>
        </w:rPr>
        <w:t>16</w:t>
      </w:r>
      <w:r w:rsidR="000D17E2" w:rsidRPr="00D6182F">
        <w:rPr>
          <w:sz w:val="26"/>
          <w:szCs w:val="26"/>
          <w:lang w:val="lt-LT"/>
        </w:rPr>
        <w:t xml:space="preserve"> PRIEDAS </w:t>
      </w:r>
      <w:r w:rsidRPr="00D6182F">
        <w:rPr>
          <w:noProof/>
          <w:sz w:val="26"/>
          <w:szCs w:val="26"/>
          <w:lang w:val="lt-LT"/>
        </w:rPr>
        <w:t xml:space="preserve">Apgaulės nagrinėjimo priežasčių tarpusavio ryšys ir jų ryšys </w:t>
      </w:r>
      <w:r w:rsidRPr="00D6182F">
        <w:rPr>
          <w:sz w:val="26"/>
          <w:szCs w:val="26"/>
          <w:lang w:val="lt-LT"/>
        </w:rPr>
        <w:t>(r</w:t>
      </w:r>
      <w:r w:rsidRPr="00D6182F">
        <w:rPr>
          <w:sz w:val="26"/>
          <w:szCs w:val="26"/>
          <w:vertAlign w:val="subscript"/>
          <w:lang w:val="lt-LT"/>
        </w:rPr>
        <w:t>s</w:t>
      </w:r>
      <w:r w:rsidRPr="00D6182F">
        <w:rPr>
          <w:sz w:val="26"/>
          <w:szCs w:val="26"/>
          <w:lang w:val="lt-LT"/>
        </w:rPr>
        <w:t>) su auditoriaus darbo patirtimi ir atliekamų auditų skaičiumi per metus</w:t>
      </w:r>
      <w:r w:rsidR="000D17E2" w:rsidRPr="00D6182F">
        <w:rPr>
          <w:sz w:val="26"/>
          <w:szCs w:val="26"/>
          <w:lang w:val="lt-LT"/>
        </w:rPr>
        <w:t xml:space="preserve"> ...........................................................................</w:t>
      </w:r>
      <w:r w:rsidR="000952FA">
        <w:rPr>
          <w:sz w:val="26"/>
          <w:szCs w:val="26"/>
          <w:lang w:val="lt-LT"/>
        </w:rPr>
        <w:t>............................................</w:t>
      </w:r>
      <w:r w:rsidR="000D17E2" w:rsidRPr="00D6182F">
        <w:rPr>
          <w:sz w:val="26"/>
          <w:szCs w:val="26"/>
          <w:lang w:val="lt-LT"/>
        </w:rPr>
        <w:t>.</w:t>
      </w:r>
      <w:r w:rsidR="003467F8">
        <w:rPr>
          <w:sz w:val="26"/>
          <w:szCs w:val="26"/>
          <w:lang w:val="lt-LT"/>
        </w:rPr>
        <w:t xml:space="preserve"> 229</w:t>
      </w:r>
    </w:p>
    <w:p w:rsidR="000D17E2" w:rsidRPr="00D6182F" w:rsidRDefault="00370579" w:rsidP="00D04F07">
      <w:pPr>
        <w:tabs>
          <w:tab w:val="left" w:pos="567"/>
        </w:tabs>
        <w:spacing w:before="120"/>
        <w:jc w:val="both"/>
        <w:rPr>
          <w:sz w:val="26"/>
          <w:szCs w:val="26"/>
          <w:lang w:val="lt-LT"/>
        </w:rPr>
      </w:pPr>
      <w:r w:rsidRPr="00D6182F">
        <w:rPr>
          <w:sz w:val="26"/>
          <w:szCs w:val="26"/>
          <w:lang w:val="lt-LT"/>
        </w:rPr>
        <w:t>17</w:t>
      </w:r>
      <w:r w:rsidR="000D17E2" w:rsidRPr="00D6182F">
        <w:rPr>
          <w:sz w:val="26"/>
          <w:szCs w:val="26"/>
          <w:lang w:val="lt-LT"/>
        </w:rPr>
        <w:t xml:space="preserve"> PRIEDAS </w:t>
      </w:r>
      <w:r w:rsidRPr="00D6182F">
        <w:rPr>
          <w:noProof/>
          <w:sz w:val="26"/>
          <w:szCs w:val="26"/>
          <w:lang w:val="lt-LT"/>
        </w:rPr>
        <w:t xml:space="preserve">Klasikinio audito rizikos modelio tobulinimo ryšys </w:t>
      </w:r>
      <w:r w:rsidRPr="00D6182F">
        <w:rPr>
          <w:sz w:val="26"/>
          <w:szCs w:val="26"/>
          <w:lang w:val="lt-LT"/>
        </w:rPr>
        <w:t>(r</w:t>
      </w:r>
      <w:r w:rsidRPr="00D6182F">
        <w:rPr>
          <w:sz w:val="26"/>
          <w:szCs w:val="26"/>
          <w:vertAlign w:val="subscript"/>
          <w:lang w:val="lt-LT"/>
        </w:rPr>
        <w:t>s</w:t>
      </w:r>
      <w:r w:rsidRPr="00D6182F">
        <w:rPr>
          <w:sz w:val="26"/>
          <w:szCs w:val="26"/>
          <w:lang w:val="lt-LT"/>
        </w:rPr>
        <w:t>) su auditoriaus darbo patirtimi ir atliekamų auditų skaičiumi per metus</w:t>
      </w:r>
      <w:r w:rsidR="000D17E2" w:rsidRPr="00D6182F">
        <w:rPr>
          <w:sz w:val="26"/>
          <w:szCs w:val="26"/>
          <w:lang w:val="lt-LT"/>
        </w:rPr>
        <w:t xml:space="preserve"> ....</w:t>
      </w:r>
      <w:r w:rsidRPr="00D6182F">
        <w:rPr>
          <w:sz w:val="26"/>
          <w:szCs w:val="26"/>
          <w:lang w:val="lt-LT"/>
        </w:rPr>
        <w:t>...................</w:t>
      </w:r>
      <w:r w:rsidR="000D17E2" w:rsidRPr="00D6182F">
        <w:rPr>
          <w:sz w:val="26"/>
          <w:szCs w:val="26"/>
          <w:lang w:val="lt-LT"/>
        </w:rPr>
        <w:t>..................................................................</w:t>
      </w:r>
      <w:r w:rsidR="0036030B">
        <w:rPr>
          <w:sz w:val="26"/>
          <w:szCs w:val="26"/>
          <w:lang w:val="lt-LT"/>
        </w:rPr>
        <w:t>.........................</w:t>
      </w:r>
      <w:r w:rsidR="000D17E2" w:rsidRPr="00D6182F">
        <w:rPr>
          <w:sz w:val="26"/>
          <w:szCs w:val="26"/>
          <w:lang w:val="lt-LT"/>
        </w:rPr>
        <w:t>......</w:t>
      </w:r>
      <w:r w:rsidR="003467F8">
        <w:rPr>
          <w:sz w:val="26"/>
          <w:szCs w:val="26"/>
          <w:lang w:val="lt-LT"/>
        </w:rPr>
        <w:t xml:space="preserve"> 230</w:t>
      </w:r>
    </w:p>
    <w:p w:rsidR="000D17E2" w:rsidRPr="00D6182F" w:rsidRDefault="00370579" w:rsidP="00D04F07">
      <w:pPr>
        <w:tabs>
          <w:tab w:val="left" w:pos="567"/>
        </w:tabs>
        <w:spacing w:before="120"/>
        <w:jc w:val="both"/>
        <w:rPr>
          <w:sz w:val="26"/>
          <w:szCs w:val="26"/>
        </w:rPr>
      </w:pPr>
      <w:r w:rsidRPr="00D6182F">
        <w:rPr>
          <w:sz w:val="26"/>
          <w:szCs w:val="26"/>
          <w:lang w:val="lt-LT"/>
        </w:rPr>
        <w:t>1</w:t>
      </w:r>
      <w:r w:rsidR="000D17E2" w:rsidRPr="00D6182F">
        <w:rPr>
          <w:sz w:val="26"/>
          <w:szCs w:val="26"/>
          <w:lang w:val="lt-LT"/>
        </w:rPr>
        <w:t xml:space="preserve">8 PRIEDAS </w:t>
      </w:r>
      <w:r w:rsidRPr="00D6182F">
        <w:rPr>
          <w:noProof/>
          <w:sz w:val="26"/>
          <w:szCs w:val="26"/>
          <w:lang w:val="lt-LT"/>
        </w:rPr>
        <w:t xml:space="preserve">Kitų rizikų vertinimo ryšys </w:t>
      </w:r>
      <w:r w:rsidRPr="00D6182F">
        <w:rPr>
          <w:sz w:val="26"/>
          <w:szCs w:val="26"/>
          <w:lang w:val="lt-LT"/>
        </w:rPr>
        <w:t>(r</w:t>
      </w:r>
      <w:r w:rsidRPr="00D6182F">
        <w:rPr>
          <w:sz w:val="26"/>
          <w:szCs w:val="26"/>
          <w:vertAlign w:val="subscript"/>
          <w:lang w:val="lt-LT"/>
        </w:rPr>
        <w:t>s</w:t>
      </w:r>
      <w:r w:rsidRPr="00D6182F">
        <w:rPr>
          <w:sz w:val="26"/>
          <w:szCs w:val="26"/>
          <w:lang w:val="lt-LT"/>
        </w:rPr>
        <w:t>) su auditoriaus darbo patirtimi ir atliekamų auditų skaičiumi per metus  ............................................</w:t>
      </w:r>
      <w:r w:rsidR="00CD286C">
        <w:rPr>
          <w:sz w:val="26"/>
          <w:szCs w:val="26"/>
          <w:lang w:val="lt-LT"/>
        </w:rPr>
        <w:t>......</w:t>
      </w:r>
      <w:r w:rsidR="0036030B">
        <w:rPr>
          <w:sz w:val="26"/>
          <w:szCs w:val="26"/>
          <w:lang w:val="lt-LT"/>
        </w:rPr>
        <w:t>...</w:t>
      </w:r>
      <w:r w:rsidR="000D17E2" w:rsidRPr="00D6182F">
        <w:rPr>
          <w:sz w:val="26"/>
          <w:szCs w:val="26"/>
          <w:lang w:val="lt-LT"/>
        </w:rPr>
        <w:t>.....</w:t>
      </w:r>
      <w:r w:rsidR="003467F8">
        <w:rPr>
          <w:sz w:val="26"/>
          <w:szCs w:val="26"/>
          <w:lang w:val="lt-LT"/>
        </w:rPr>
        <w:t xml:space="preserve"> 231</w:t>
      </w:r>
    </w:p>
    <w:p w:rsidR="00D04F07" w:rsidRPr="00D6182F" w:rsidRDefault="00D04F07" w:rsidP="00D04F07">
      <w:pPr>
        <w:tabs>
          <w:tab w:val="left" w:pos="567"/>
        </w:tabs>
        <w:spacing w:before="120"/>
        <w:jc w:val="both"/>
        <w:rPr>
          <w:noProof/>
          <w:sz w:val="26"/>
          <w:szCs w:val="26"/>
          <w:lang w:val="lt-LT"/>
        </w:rPr>
      </w:pPr>
      <w:r w:rsidRPr="00D6182F">
        <w:rPr>
          <w:sz w:val="26"/>
          <w:szCs w:val="26"/>
          <w:lang w:val="lt-LT"/>
        </w:rPr>
        <w:t>19 PRIEDAS</w:t>
      </w:r>
      <w:r w:rsidRPr="00D6182F">
        <w:rPr>
          <w:b/>
          <w:noProof/>
          <w:sz w:val="26"/>
          <w:szCs w:val="26"/>
          <w:lang w:val="lt-LT"/>
        </w:rPr>
        <w:t xml:space="preserve"> </w:t>
      </w:r>
      <w:r w:rsidRPr="00D6182F">
        <w:rPr>
          <w:noProof/>
          <w:sz w:val="26"/>
          <w:szCs w:val="26"/>
          <w:lang w:val="lt-LT"/>
        </w:rPr>
        <w:t>Atliktų audito rizikos vertinimo empirinių tyrimų suvestinė .........................................</w:t>
      </w:r>
      <w:r w:rsidR="0036030B">
        <w:rPr>
          <w:noProof/>
          <w:sz w:val="26"/>
          <w:szCs w:val="26"/>
          <w:lang w:val="lt-LT"/>
        </w:rPr>
        <w:t>..............................................................................</w:t>
      </w:r>
      <w:r w:rsidRPr="00D6182F">
        <w:rPr>
          <w:noProof/>
          <w:sz w:val="26"/>
          <w:szCs w:val="26"/>
          <w:lang w:val="lt-LT"/>
        </w:rPr>
        <w:t>.</w:t>
      </w:r>
      <w:r w:rsidR="003467F8">
        <w:rPr>
          <w:noProof/>
          <w:sz w:val="26"/>
          <w:szCs w:val="26"/>
          <w:lang w:val="lt-LT"/>
        </w:rPr>
        <w:t xml:space="preserve"> 232</w:t>
      </w:r>
    </w:p>
    <w:p w:rsidR="00D04F07" w:rsidRPr="00D6182F" w:rsidRDefault="00D04F07" w:rsidP="00D04F07">
      <w:pPr>
        <w:tabs>
          <w:tab w:val="left" w:pos="567"/>
        </w:tabs>
        <w:spacing w:before="120"/>
        <w:jc w:val="both"/>
        <w:rPr>
          <w:noProof/>
          <w:sz w:val="26"/>
          <w:szCs w:val="26"/>
          <w:lang w:val="lt-LT"/>
        </w:rPr>
      </w:pPr>
      <w:r w:rsidRPr="00D6182F">
        <w:rPr>
          <w:sz w:val="26"/>
          <w:szCs w:val="26"/>
          <w:lang w:val="lt-LT"/>
        </w:rPr>
        <w:lastRenderedPageBreak/>
        <w:t>20 PRIEDAS</w:t>
      </w:r>
      <w:r w:rsidRPr="00D6182F">
        <w:rPr>
          <w:noProof/>
          <w:sz w:val="26"/>
          <w:szCs w:val="26"/>
          <w:lang w:val="lt-LT"/>
        </w:rPr>
        <w:t xml:space="preserve"> Verslo rizikos apskaičiavimas ........................</w:t>
      </w:r>
      <w:r w:rsidR="0036030B">
        <w:rPr>
          <w:noProof/>
          <w:sz w:val="26"/>
          <w:szCs w:val="26"/>
          <w:lang w:val="lt-LT"/>
        </w:rPr>
        <w:t>................</w:t>
      </w:r>
      <w:r w:rsidR="003467F8">
        <w:rPr>
          <w:noProof/>
          <w:sz w:val="26"/>
          <w:szCs w:val="26"/>
          <w:lang w:val="lt-LT"/>
        </w:rPr>
        <w:t>........ 23</w:t>
      </w:r>
      <w:r w:rsidR="000B69C2">
        <w:rPr>
          <w:noProof/>
          <w:sz w:val="26"/>
          <w:szCs w:val="26"/>
          <w:lang w:val="lt-LT"/>
        </w:rPr>
        <w:t>4</w:t>
      </w:r>
    </w:p>
    <w:p w:rsidR="00D04F07" w:rsidRPr="00D6182F" w:rsidRDefault="00D04F07" w:rsidP="00D04F07">
      <w:pPr>
        <w:tabs>
          <w:tab w:val="left" w:pos="567"/>
        </w:tabs>
        <w:spacing w:before="120"/>
        <w:jc w:val="both"/>
        <w:rPr>
          <w:noProof/>
          <w:sz w:val="26"/>
          <w:szCs w:val="26"/>
          <w:lang w:val="lt-LT"/>
        </w:rPr>
      </w:pPr>
      <w:r w:rsidRPr="00D6182F">
        <w:rPr>
          <w:sz w:val="26"/>
          <w:szCs w:val="26"/>
          <w:lang w:val="lt-LT"/>
        </w:rPr>
        <w:t>21 PRIEDAS</w:t>
      </w:r>
      <w:r w:rsidRPr="00D6182F">
        <w:rPr>
          <w:noProof/>
          <w:sz w:val="26"/>
          <w:szCs w:val="26"/>
          <w:lang w:val="lt-LT"/>
        </w:rPr>
        <w:t xml:space="preserve"> Įmonės rizikos apskaičiavimas ...............................................</w:t>
      </w:r>
      <w:r w:rsidR="000B69C2">
        <w:rPr>
          <w:noProof/>
          <w:sz w:val="26"/>
          <w:szCs w:val="26"/>
          <w:lang w:val="lt-LT"/>
        </w:rPr>
        <w:t xml:space="preserve"> 236</w:t>
      </w:r>
    </w:p>
    <w:p w:rsidR="00D04F07" w:rsidRPr="00D6182F" w:rsidRDefault="009F396F" w:rsidP="00D04F07">
      <w:pPr>
        <w:tabs>
          <w:tab w:val="left" w:pos="567"/>
        </w:tabs>
        <w:spacing w:before="120"/>
        <w:jc w:val="both"/>
        <w:rPr>
          <w:noProof/>
          <w:sz w:val="26"/>
          <w:szCs w:val="26"/>
          <w:lang w:val="lt-LT"/>
        </w:rPr>
      </w:pPr>
      <w:r w:rsidRPr="00D6182F">
        <w:rPr>
          <w:sz w:val="26"/>
          <w:szCs w:val="26"/>
          <w:lang w:val="lt-LT"/>
        </w:rPr>
        <w:t>22</w:t>
      </w:r>
      <w:r w:rsidR="00D04F07" w:rsidRPr="00D6182F">
        <w:rPr>
          <w:sz w:val="26"/>
          <w:szCs w:val="26"/>
          <w:lang w:val="lt-LT"/>
        </w:rPr>
        <w:t xml:space="preserve"> PRIEDAS</w:t>
      </w:r>
      <w:r w:rsidR="00D04F07" w:rsidRPr="00D6182F">
        <w:rPr>
          <w:noProof/>
          <w:sz w:val="26"/>
          <w:szCs w:val="26"/>
          <w:lang w:val="lt-LT"/>
        </w:rPr>
        <w:t xml:space="preserve"> A</w:t>
      </w:r>
      <w:r w:rsidRPr="00D6182F">
        <w:rPr>
          <w:noProof/>
          <w:sz w:val="26"/>
          <w:szCs w:val="26"/>
          <w:lang w:val="lt-LT"/>
        </w:rPr>
        <w:t>pgaulės rizikos apskaičiavimas</w:t>
      </w:r>
      <w:r w:rsidR="00D04F07" w:rsidRPr="00D6182F">
        <w:rPr>
          <w:noProof/>
          <w:sz w:val="26"/>
          <w:szCs w:val="26"/>
          <w:lang w:val="lt-LT"/>
        </w:rPr>
        <w:t xml:space="preserve"> ..</w:t>
      </w:r>
      <w:r w:rsidRPr="00D6182F">
        <w:rPr>
          <w:noProof/>
          <w:sz w:val="26"/>
          <w:szCs w:val="26"/>
          <w:lang w:val="lt-LT"/>
        </w:rPr>
        <w:t>..........</w:t>
      </w:r>
      <w:r w:rsidR="0036030B">
        <w:rPr>
          <w:noProof/>
          <w:sz w:val="26"/>
          <w:szCs w:val="26"/>
          <w:lang w:val="lt-LT"/>
        </w:rPr>
        <w:t>....</w:t>
      </w:r>
      <w:r w:rsidR="000B69C2">
        <w:rPr>
          <w:noProof/>
          <w:sz w:val="26"/>
          <w:szCs w:val="26"/>
          <w:lang w:val="lt-LT"/>
        </w:rPr>
        <w:t>............................ 240</w:t>
      </w:r>
    </w:p>
    <w:p w:rsidR="009F396F" w:rsidRPr="00D6182F" w:rsidRDefault="009F396F" w:rsidP="009F396F">
      <w:pPr>
        <w:tabs>
          <w:tab w:val="left" w:pos="567"/>
        </w:tabs>
        <w:spacing w:before="120"/>
        <w:jc w:val="both"/>
        <w:rPr>
          <w:noProof/>
          <w:sz w:val="26"/>
          <w:szCs w:val="26"/>
          <w:lang w:val="lt-LT"/>
        </w:rPr>
      </w:pPr>
      <w:r w:rsidRPr="00D6182F">
        <w:rPr>
          <w:sz w:val="26"/>
          <w:szCs w:val="26"/>
          <w:lang w:val="lt-LT"/>
        </w:rPr>
        <w:t>23 PRIEDAS</w:t>
      </w:r>
      <w:r w:rsidRPr="00D6182F">
        <w:rPr>
          <w:noProof/>
          <w:sz w:val="26"/>
          <w:szCs w:val="26"/>
          <w:lang w:val="lt-LT"/>
        </w:rPr>
        <w:t xml:space="preserve"> Įgimtos ir kontrolės rizikų finansinių ataskaitų elementui ir/ar jo tvirtinimui apskaičiavimas .........................................................</w:t>
      </w:r>
      <w:r w:rsidR="00CD286C">
        <w:rPr>
          <w:noProof/>
          <w:sz w:val="26"/>
          <w:szCs w:val="26"/>
          <w:lang w:val="lt-LT"/>
        </w:rPr>
        <w:t>..................</w:t>
      </w:r>
      <w:r w:rsidR="000B69C2">
        <w:rPr>
          <w:noProof/>
          <w:sz w:val="26"/>
          <w:szCs w:val="26"/>
          <w:lang w:val="lt-LT"/>
        </w:rPr>
        <w:t>. 245</w:t>
      </w:r>
    </w:p>
    <w:p w:rsidR="00236268" w:rsidRPr="00D6182F" w:rsidRDefault="009F396F" w:rsidP="00D04F07">
      <w:pPr>
        <w:tabs>
          <w:tab w:val="left" w:pos="567"/>
        </w:tabs>
        <w:spacing w:before="120"/>
        <w:jc w:val="both"/>
        <w:rPr>
          <w:noProof/>
          <w:sz w:val="26"/>
          <w:szCs w:val="26"/>
          <w:lang w:val="lt-LT"/>
        </w:rPr>
      </w:pPr>
      <w:r w:rsidRPr="00D6182F">
        <w:rPr>
          <w:sz w:val="26"/>
          <w:szCs w:val="26"/>
          <w:lang w:val="lt-LT"/>
        </w:rPr>
        <w:t>24</w:t>
      </w:r>
      <w:r w:rsidR="00236268" w:rsidRPr="00D6182F">
        <w:rPr>
          <w:sz w:val="26"/>
          <w:szCs w:val="26"/>
          <w:lang w:val="lt-LT"/>
        </w:rPr>
        <w:t xml:space="preserve"> PRIEDAS</w:t>
      </w:r>
      <w:r w:rsidR="00236268" w:rsidRPr="00D6182F">
        <w:rPr>
          <w:noProof/>
          <w:sz w:val="26"/>
          <w:szCs w:val="26"/>
          <w:lang w:val="lt-LT"/>
        </w:rPr>
        <w:t xml:space="preserve"> UAB „Šiluma“ vidaus kontrolės sistemos vertinimas pagal </w:t>
      </w:r>
      <w:r w:rsidR="00236268" w:rsidRPr="00D6182F">
        <w:rPr>
          <w:sz w:val="26"/>
          <w:szCs w:val="26"/>
          <w:lang w:val="lt-LT"/>
        </w:rPr>
        <w:t>CoCo vidaus kontrolės modelio (1995) kriterijus</w:t>
      </w:r>
      <w:r w:rsidR="00CD286C">
        <w:rPr>
          <w:noProof/>
          <w:sz w:val="26"/>
          <w:szCs w:val="26"/>
          <w:lang w:val="lt-LT"/>
        </w:rPr>
        <w:t xml:space="preserve"> ..</w:t>
      </w:r>
      <w:r w:rsidR="00236268" w:rsidRPr="00D6182F">
        <w:rPr>
          <w:noProof/>
          <w:sz w:val="26"/>
          <w:szCs w:val="26"/>
          <w:lang w:val="lt-LT"/>
        </w:rPr>
        <w:t>...................</w:t>
      </w:r>
      <w:r w:rsidR="0036030B">
        <w:rPr>
          <w:noProof/>
          <w:sz w:val="26"/>
          <w:szCs w:val="26"/>
          <w:lang w:val="lt-LT"/>
        </w:rPr>
        <w:t>..</w:t>
      </w:r>
      <w:r w:rsidR="000B69C2">
        <w:rPr>
          <w:noProof/>
          <w:sz w:val="26"/>
          <w:szCs w:val="26"/>
          <w:lang w:val="lt-LT"/>
        </w:rPr>
        <w:t>............................ 265</w:t>
      </w:r>
    </w:p>
    <w:p w:rsidR="009A700C" w:rsidRPr="00D6182F" w:rsidRDefault="009F396F" w:rsidP="004335D9">
      <w:pPr>
        <w:tabs>
          <w:tab w:val="left" w:pos="567"/>
        </w:tabs>
        <w:spacing w:before="120"/>
        <w:jc w:val="both"/>
        <w:rPr>
          <w:b/>
          <w:noProof/>
          <w:sz w:val="26"/>
          <w:szCs w:val="26"/>
          <w:lang w:val="lt-LT"/>
        </w:rPr>
      </w:pPr>
      <w:r w:rsidRPr="00D6182F">
        <w:rPr>
          <w:sz w:val="26"/>
          <w:szCs w:val="26"/>
          <w:lang w:val="lt-LT"/>
        </w:rPr>
        <w:t>25</w:t>
      </w:r>
      <w:r w:rsidR="00B57710" w:rsidRPr="00D6182F">
        <w:rPr>
          <w:sz w:val="26"/>
          <w:szCs w:val="26"/>
          <w:lang w:val="lt-LT"/>
        </w:rPr>
        <w:t xml:space="preserve"> PRIEDAS</w:t>
      </w:r>
      <w:r w:rsidR="00B57710" w:rsidRPr="00D6182F">
        <w:rPr>
          <w:b/>
          <w:noProof/>
          <w:sz w:val="26"/>
          <w:szCs w:val="26"/>
          <w:lang w:val="lt-LT"/>
        </w:rPr>
        <w:t xml:space="preserve"> </w:t>
      </w:r>
      <w:r w:rsidR="00B57710" w:rsidRPr="00D6182F">
        <w:rPr>
          <w:noProof/>
          <w:sz w:val="26"/>
          <w:szCs w:val="26"/>
          <w:lang w:val="lt-LT"/>
        </w:rPr>
        <w:t xml:space="preserve">UAB „Žuvila“ vidaus kontrolės sistemos vertinimas pagal </w:t>
      </w:r>
      <w:r w:rsidR="00B57710" w:rsidRPr="00D6182F">
        <w:rPr>
          <w:sz w:val="26"/>
          <w:szCs w:val="26"/>
          <w:lang w:val="lt-LT"/>
        </w:rPr>
        <w:t>CoCo vidaus kontrolės modelio (1995) kriterijus</w:t>
      </w:r>
      <w:r w:rsidR="00B57710" w:rsidRPr="00D6182F">
        <w:rPr>
          <w:noProof/>
          <w:sz w:val="26"/>
          <w:szCs w:val="26"/>
          <w:lang w:val="lt-LT"/>
        </w:rPr>
        <w:t xml:space="preserve"> ......................</w:t>
      </w:r>
      <w:r w:rsidR="0036030B">
        <w:rPr>
          <w:noProof/>
          <w:sz w:val="26"/>
          <w:szCs w:val="26"/>
          <w:lang w:val="lt-LT"/>
        </w:rPr>
        <w:t>............................. 26</w:t>
      </w:r>
      <w:r w:rsidR="000B69C2">
        <w:rPr>
          <w:noProof/>
          <w:sz w:val="26"/>
          <w:szCs w:val="26"/>
          <w:lang w:val="lt-LT"/>
        </w:rPr>
        <w:t>6</w:t>
      </w:r>
    </w:p>
    <w:p w:rsidR="00052DF1" w:rsidRDefault="00052DF1">
      <w:pPr>
        <w:rPr>
          <w:b/>
          <w:sz w:val="24"/>
          <w:szCs w:val="24"/>
          <w:lang w:val="lt-LT"/>
        </w:rPr>
      </w:pPr>
      <w:r>
        <w:rPr>
          <w:b/>
          <w:sz w:val="24"/>
          <w:szCs w:val="24"/>
          <w:lang w:val="lt-LT"/>
        </w:rPr>
        <w:br w:type="page"/>
      </w:r>
    </w:p>
    <w:p w:rsidR="00575E2A" w:rsidRPr="00091B10" w:rsidRDefault="003D1407" w:rsidP="00CD286C">
      <w:pPr>
        <w:tabs>
          <w:tab w:val="left" w:pos="567"/>
        </w:tabs>
        <w:jc w:val="right"/>
        <w:rPr>
          <w:b/>
          <w:sz w:val="26"/>
          <w:szCs w:val="26"/>
          <w:lang w:val="lt-LT"/>
        </w:rPr>
      </w:pPr>
      <w:r w:rsidRPr="00091B10">
        <w:rPr>
          <w:b/>
          <w:sz w:val="26"/>
          <w:szCs w:val="26"/>
          <w:lang w:val="lt-LT"/>
        </w:rPr>
        <w:lastRenderedPageBreak/>
        <w:t>1 PRIEDAS</w:t>
      </w:r>
    </w:p>
    <w:p w:rsidR="001937D2" w:rsidRPr="00091B10" w:rsidRDefault="001937D2" w:rsidP="00CD286C">
      <w:pPr>
        <w:spacing w:before="120" w:after="120"/>
        <w:jc w:val="center"/>
        <w:rPr>
          <w:b/>
          <w:caps/>
          <w:sz w:val="26"/>
          <w:szCs w:val="26"/>
          <w:lang w:val="lt-LT"/>
        </w:rPr>
      </w:pPr>
      <w:r w:rsidRPr="00091B10">
        <w:rPr>
          <w:b/>
          <w:caps/>
          <w:sz w:val="26"/>
          <w:szCs w:val="26"/>
          <w:lang w:val="lt-LT"/>
        </w:rPr>
        <w:t>Rizikos valdymo proceso struktūra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751"/>
        <w:gridCol w:w="3083"/>
      </w:tblGrid>
      <w:tr w:rsidR="001937D2" w:rsidRPr="00CD286C" w:rsidTr="00CD286C">
        <w:tc>
          <w:tcPr>
            <w:tcW w:w="1985" w:type="dxa"/>
          </w:tcPr>
          <w:p w:rsidR="001937D2" w:rsidRPr="00CD286C" w:rsidRDefault="001937D2" w:rsidP="008E6B66">
            <w:pPr>
              <w:jc w:val="center"/>
              <w:rPr>
                <w:b/>
                <w:sz w:val="22"/>
                <w:szCs w:val="22"/>
                <w:lang w:val="lt-LT"/>
              </w:rPr>
            </w:pPr>
            <w:r w:rsidRPr="00CD286C">
              <w:rPr>
                <w:b/>
                <w:sz w:val="22"/>
                <w:szCs w:val="22"/>
                <w:lang w:val="lt-LT"/>
              </w:rPr>
              <w:t>Šaltinis</w:t>
            </w:r>
          </w:p>
        </w:tc>
        <w:tc>
          <w:tcPr>
            <w:tcW w:w="5834" w:type="dxa"/>
            <w:gridSpan w:val="2"/>
          </w:tcPr>
          <w:p w:rsidR="001937D2" w:rsidRPr="00CD286C" w:rsidRDefault="001937D2" w:rsidP="008E6B66">
            <w:pPr>
              <w:jc w:val="center"/>
              <w:rPr>
                <w:b/>
                <w:sz w:val="22"/>
                <w:szCs w:val="22"/>
                <w:lang w:val="lt-LT"/>
              </w:rPr>
            </w:pPr>
            <w:r w:rsidRPr="00CD286C">
              <w:rPr>
                <w:b/>
                <w:sz w:val="22"/>
                <w:szCs w:val="22"/>
                <w:lang w:val="lt-LT"/>
              </w:rPr>
              <w:t>Etapai</w:t>
            </w:r>
          </w:p>
        </w:tc>
      </w:tr>
      <w:tr w:rsidR="00076ABC" w:rsidRPr="00CD286C" w:rsidTr="00CD286C">
        <w:tc>
          <w:tcPr>
            <w:tcW w:w="1985" w:type="dxa"/>
          </w:tcPr>
          <w:p w:rsidR="00076ABC" w:rsidRPr="00CD286C" w:rsidRDefault="00076ABC" w:rsidP="00076ABC">
            <w:pPr>
              <w:rPr>
                <w:b/>
                <w:sz w:val="22"/>
                <w:szCs w:val="22"/>
                <w:lang w:val="lt-LT"/>
              </w:rPr>
            </w:pPr>
            <w:r w:rsidRPr="00CD286C">
              <w:rPr>
                <w:sz w:val="22"/>
                <w:szCs w:val="22"/>
                <w:lang w:val="lt-LT"/>
              </w:rPr>
              <w:t>R. R. Moeller (2007)</w:t>
            </w:r>
          </w:p>
        </w:tc>
        <w:tc>
          <w:tcPr>
            <w:tcW w:w="5834" w:type="dxa"/>
            <w:gridSpan w:val="2"/>
          </w:tcPr>
          <w:p w:rsidR="00076ABC" w:rsidRPr="00CD286C" w:rsidRDefault="00076ABC" w:rsidP="00076ABC">
            <w:pPr>
              <w:rPr>
                <w:sz w:val="22"/>
                <w:szCs w:val="22"/>
                <w:lang w:val="lt-LT"/>
              </w:rPr>
            </w:pPr>
            <w:r w:rsidRPr="00CD286C">
              <w:rPr>
                <w:sz w:val="22"/>
                <w:szCs w:val="22"/>
                <w:lang w:val="lt-LT"/>
              </w:rPr>
              <w:t xml:space="preserve">1) rizikos </w:t>
            </w:r>
            <w:r w:rsidR="008E6B66" w:rsidRPr="00CD286C">
              <w:rPr>
                <w:sz w:val="22"/>
                <w:szCs w:val="22"/>
                <w:lang w:val="lt-LT"/>
              </w:rPr>
              <w:t>identifikavimas</w:t>
            </w:r>
            <w:r w:rsidRPr="00CD286C">
              <w:rPr>
                <w:sz w:val="22"/>
                <w:szCs w:val="22"/>
                <w:lang w:val="lt-LT"/>
              </w:rPr>
              <w:t>,</w:t>
            </w:r>
          </w:p>
          <w:p w:rsidR="00076ABC" w:rsidRPr="00CD286C" w:rsidRDefault="00076ABC" w:rsidP="00076ABC">
            <w:pPr>
              <w:rPr>
                <w:sz w:val="22"/>
                <w:szCs w:val="22"/>
                <w:lang w:val="lt-LT"/>
              </w:rPr>
            </w:pPr>
            <w:r w:rsidRPr="00CD286C">
              <w:rPr>
                <w:sz w:val="22"/>
                <w:szCs w:val="22"/>
                <w:lang w:val="lt-LT"/>
              </w:rPr>
              <w:t>2) dokumentuotų rizikų kokybinis ir kiekybinis vertinimas,</w:t>
            </w:r>
          </w:p>
          <w:p w:rsidR="00076ABC" w:rsidRPr="00CD286C" w:rsidRDefault="00076ABC" w:rsidP="00076ABC">
            <w:pPr>
              <w:rPr>
                <w:sz w:val="22"/>
                <w:szCs w:val="22"/>
                <w:lang w:val="lt-LT"/>
              </w:rPr>
            </w:pPr>
            <w:r w:rsidRPr="00CD286C">
              <w:rPr>
                <w:sz w:val="22"/>
                <w:szCs w:val="22"/>
                <w:lang w:val="lt-LT"/>
              </w:rPr>
              <w:t>3) rizikų išdėstymas pagal svarbą ir atsako planavimas,</w:t>
            </w:r>
          </w:p>
          <w:p w:rsidR="00076ABC" w:rsidRPr="00CD286C" w:rsidRDefault="00076ABC" w:rsidP="00076ABC">
            <w:pPr>
              <w:rPr>
                <w:b/>
                <w:sz w:val="22"/>
                <w:szCs w:val="22"/>
                <w:lang w:val="lt-LT"/>
              </w:rPr>
            </w:pPr>
            <w:r w:rsidRPr="00CD286C">
              <w:rPr>
                <w:sz w:val="22"/>
                <w:szCs w:val="22"/>
                <w:lang w:val="lt-LT"/>
              </w:rPr>
              <w:t>4) rizikos stebėsena.</w:t>
            </w:r>
          </w:p>
        </w:tc>
      </w:tr>
      <w:tr w:rsidR="003447BC" w:rsidRPr="00CD286C" w:rsidTr="00CD286C">
        <w:tc>
          <w:tcPr>
            <w:tcW w:w="1985" w:type="dxa"/>
          </w:tcPr>
          <w:p w:rsidR="003447BC" w:rsidRPr="00CD286C" w:rsidRDefault="003447BC" w:rsidP="00D52A91">
            <w:pPr>
              <w:rPr>
                <w:sz w:val="22"/>
                <w:szCs w:val="22"/>
                <w:lang w:val="lt-LT"/>
              </w:rPr>
            </w:pPr>
            <w:r w:rsidRPr="00CD286C">
              <w:rPr>
                <w:sz w:val="22"/>
                <w:szCs w:val="22"/>
                <w:lang w:val="lt-LT"/>
              </w:rPr>
              <w:t>R. J. Chapman (2006)</w:t>
            </w:r>
          </w:p>
        </w:tc>
        <w:tc>
          <w:tcPr>
            <w:tcW w:w="5834" w:type="dxa"/>
            <w:gridSpan w:val="2"/>
          </w:tcPr>
          <w:p w:rsidR="003447BC" w:rsidRPr="00CD286C" w:rsidRDefault="003447BC" w:rsidP="00D52A91">
            <w:pPr>
              <w:rPr>
                <w:sz w:val="22"/>
                <w:szCs w:val="22"/>
                <w:lang w:val="lt-LT"/>
              </w:rPr>
            </w:pPr>
            <w:r w:rsidRPr="00CD286C">
              <w:rPr>
                <w:sz w:val="22"/>
                <w:szCs w:val="22"/>
                <w:lang w:val="lt-LT"/>
              </w:rPr>
              <w:t>1) rizikos identifikavimas,</w:t>
            </w:r>
          </w:p>
          <w:p w:rsidR="003447BC" w:rsidRPr="00CD286C" w:rsidRDefault="003447BC" w:rsidP="00D52A91">
            <w:pPr>
              <w:rPr>
                <w:sz w:val="22"/>
                <w:szCs w:val="22"/>
                <w:lang w:val="lt-LT"/>
              </w:rPr>
            </w:pPr>
            <w:r w:rsidRPr="00CD286C">
              <w:rPr>
                <w:sz w:val="22"/>
                <w:szCs w:val="22"/>
                <w:lang w:val="lt-LT"/>
              </w:rPr>
              <w:t>2) rizikos vertinimas,</w:t>
            </w:r>
          </w:p>
          <w:p w:rsidR="003447BC" w:rsidRPr="00CD286C" w:rsidRDefault="003447BC" w:rsidP="00D52A91">
            <w:pPr>
              <w:rPr>
                <w:sz w:val="22"/>
                <w:szCs w:val="22"/>
                <w:lang w:val="lt-LT"/>
              </w:rPr>
            </w:pPr>
            <w:r w:rsidRPr="00CD286C">
              <w:rPr>
                <w:sz w:val="22"/>
                <w:szCs w:val="22"/>
                <w:lang w:val="lt-LT"/>
              </w:rPr>
              <w:t>3) rizikos įvertinimas,</w:t>
            </w:r>
          </w:p>
          <w:p w:rsidR="003447BC" w:rsidRPr="00CD286C" w:rsidRDefault="003447BC" w:rsidP="00D52A91">
            <w:pPr>
              <w:rPr>
                <w:sz w:val="22"/>
                <w:szCs w:val="22"/>
                <w:lang w:val="lt-LT"/>
              </w:rPr>
            </w:pPr>
            <w:r w:rsidRPr="00CD286C">
              <w:rPr>
                <w:sz w:val="22"/>
                <w:szCs w:val="22"/>
                <w:lang w:val="lt-LT"/>
              </w:rPr>
              <w:t>4) rizikos planavimas</w:t>
            </w:r>
            <w:r w:rsidR="00014AA5" w:rsidRPr="00CD286C">
              <w:rPr>
                <w:sz w:val="22"/>
                <w:szCs w:val="22"/>
                <w:lang w:val="lt-LT"/>
              </w:rPr>
              <w:t xml:space="preserve"> (atsakas į riziką)</w:t>
            </w:r>
            <w:r w:rsidRPr="00CD286C">
              <w:rPr>
                <w:sz w:val="22"/>
                <w:szCs w:val="22"/>
                <w:lang w:val="lt-LT"/>
              </w:rPr>
              <w:t>,</w:t>
            </w:r>
          </w:p>
          <w:p w:rsidR="003447BC" w:rsidRPr="00CD286C" w:rsidRDefault="003447BC" w:rsidP="00014AA5">
            <w:pPr>
              <w:rPr>
                <w:sz w:val="22"/>
                <w:szCs w:val="22"/>
                <w:lang w:val="lt-LT"/>
              </w:rPr>
            </w:pPr>
            <w:r w:rsidRPr="00CD286C">
              <w:rPr>
                <w:sz w:val="22"/>
                <w:szCs w:val="22"/>
                <w:lang w:val="lt-LT"/>
              </w:rPr>
              <w:t>5) rizikos valdymas</w:t>
            </w:r>
            <w:r w:rsidR="00014AA5" w:rsidRPr="00CD286C">
              <w:rPr>
                <w:sz w:val="22"/>
                <w:szCs w:val="22"/>
                <w:lang w:val="lt-LT"/>
              </w:rPr>
              <w:t xml:space="preserve"> (vykdymas, stebėsena ir kontrolė)</w:t>
            </w:r>
            <w:r w:rsidRPr="00CD286C">
              <w:rPr>
                <w:sz w:val="22"/>
                <w:szCs w:val="22"/>
                <w:lang w:val="lt-LT"/>
              </w:rPr>
              <w:t xml:space="preserve">. </w:t>
            </w:r>
          </w:p>
        </w:tc>
      </w:tr>
      <w:tr w:rsidR="003447BC" w:rsidRPr="00CD286C" w:rsidTr="00CD286C">
        <w:tc>
          <w:tcPr>
            <w:tcW w:w="1985" w:type="dxa"/>
          </w:tcPr>
          <w:p w:rsidR="003447BC" w:rsidRPr="00CD286C" w:rsidRDefault="003447BC" w:rsidP="008E6B66">
            <w:pPr>
              <w:rPr>
                <w:sz w:val="22"/>
                <w:szCs w:val="22"/>
                <w:lang w:val="lt-LT"/>
              </w:rPr>
            </w:pPr>
            <w:r w:rsidRPr="00CD286C">
              <w:rPr>
                <w:sz w:val="22"/>
                <w:szCs w:val="22"/>
                <w:lang w:val="lt-LT"/>
              </w:rPr>
              <w:t>COSO ERM (2004)</w:t>
            </w:r>
          </w:p>
          <w:p w:rsidR="003447BC" w:rsidRPr="00CD286C" w:rsidRDefault="003447BC" w:rsidP="008E6B66">
            <w:pPr>
              <w:rPr>
                <w:b/>
                <w:sz w:val="22"/>
                <w:szCs w:val="22"/>
                <w:lang w:val="lt-LT"/>
              </w:rPr>
            </w:pPr>
          </w:p>
        </w:tc>
        <w:tc>
          <w:tcPr>
            <w:tcW w:w="5834" w:type="dxa"/>
            <w:gridSpan w:val="2"/>
          </w:tcPr>
          <w:p w:rsidR="003447BC" w:rsidRPr="00CD286C" w:rsidRDefault="003447BC" w:rsidP="00076ABC">
            <w:pPr>
              <w:rPr>
                <w:sz w:val="22"/>
                <w:szCs w:val="22"/>
                <w:lang w:val="lt-LT"/>
              </w:rPr>
            </w:pPr>
            <w:r w:rsidRPr="00CD286C">
              <w:rPr>
                <w:sz w:val="22"/>
                <w:szCs w:val="22"/>
                <w:lang w:val="lt-LT"/>
              </w:rPr>
              <w:t>1) vidaus aplinka,</w:t>
            </w:r>
          </w:p>
          <w:p w:rsidR="003447BC" w:rsidRPr="00CD286C" w:rsidRDefault="003447BC" w:rsidP="00076ABC">
            <w:pPr>
              <w:rPr>
                <w:sz w:val="22"/>
                <w:szCs w:val="22"/>
                <w:lang w:val="lt-LT"/>
              </w:rPr>
            </w:pPr>
            <w:r w:rsidRPr="00CD286C">
              <w:rPr>
                <w:sz w:val="22"/>
                <w:szCs w:val="22"/>
                <w:lang w:val="lt-LT"/>
              </w:rPr>
              <w:t>2) tikslų nustatymas,</w:t>
            </w:r>
          </w:p>
          <w:p w:rsidR="003447BC" w:rsidRPr="00CD286C" w:rsidRDefault="003447BC" w:rsidP="00076ABC">
            <w:pPr>
              <w:rPr>
                <w:sz w:val="22"/>
                <w:szCs w:val="22"/>
                <w:lang w:val="lt-LT"/>
              </w:rPr>
            </w:pPr>
            <w:r w:rsidRPr="00CD286C">
              <w:rPr>
                <w:sz w:val="22"/>
                <w:szCs w:val="22"/>
                <w:lang w:val="lt-LT"/>
              </w:rPr>
              <w:t>3) įvykio identifikavimas,</w:t>
            </w:r>
          </w:p>
          <w:p w:rsidR="003447BC" w:rsidRPr="00CD286C" w:rsidRDefault="003447BC" w:rsidP="00076ABC">
            <w:pPr>
              <w:rPr>
                <w:sz w:val="22"/>
                <w:szCs w:val="22"/>
                <w:lang w:val="lt-LT"/>
              </w:rPr>
            </w:pPr>
            <w:r w:rsidRPr="00CD286C">
              <w:rPr>
                <w:sz w:val="22"/>
                <w:szCs w:val="22"/>
                <w:lang w:val="lt-LT"/>
              </w:rPr>
              <w:t>4) rizikos vertinimas,</w:t>
            </w:r>
          </w:p>
          <w:p w:rsidR="003447BC" w:rsidRPr="00CD286C" w:rsidRDefault="003447BC" w:rsidP="00076ABC">
            <w:pPr>
              <w:rPr>
                <w:sz w:val="22"/>
                <w:szCs w:val="22"/>
                <w:lang w:val="lt-LT"/>
              </w:rPr>
            </w:pPr>
            <w:r w:rsidRPr="00CD286C">
              <w:rPr>
                <w:sz w:val="22"/>
                <w:szCs w:val="22"/>
                <w:lang w:val="lt-LT"/>
              </w:rPr>
              <w:t>5) atsakas į riziką,</w:t>
            </w:r>
          </w:p>
          <w:p w:rsidR="003447BC" w:rsidRPr="00CD286C" w:rsidRDefault="003447BC" w:rsidP="00076ABC">
            <w:pPr>
              <w:rPr>
                <w:sz w:val="22"/>
                <w:szCs w:val="22"/>
                <w:lang w:val="lt-LT"/>
              </w:rPr>
            </w:pPr>
            <w:r w:rsidRPr="00CD286C">
              <w:rPr>
                <w:sz w:val="22"/>
                <w:szCs w:val="22"/>
                <w:lang w:val="lt-LT"/>
              </w:rPr>
              <w:t>6) kontrolės veiksmai,</w:t>
            </w:r>
          </w:p>
          <w:p w:rsidR="003447BC" w:rsidRPr="00CD286C" w:rsidRDefault="003447BC" w:rsidP="00076ABC">
            <w:pPr>
              <w:rPr>
                <w:sz w:val="22"/>
                <w:szCs w:val="22"/>
                <w:lang w:val="lt-LT"/>
              </w:rPr>
            </w:pPr>
            <w:r w:rsidRPr="00CD286C">
              <w:rPr>
                <w:sz w:val="22"/>
                <w:szCs w:val="22"/>
                <w:lang w:val="lt-LT"/>
              </w:rPr>
              <w:t>7) informacija ir informavimas,</w:t>
            </w:r>
          </w:p>
          <w:p w:rsidR="003447BC" w:rsidRPr="00CD286C" w:rsidRDefault="003447BC" w:rsidP="00076ABC">
            <w:pPr>
              <w:rPr>
                <w:sz w:val="22"/>
                <w:szCs w:val="22"/>
                <w:lang w:val="lt-LT"/>
              </w:rPr>
            </w:pPr>
            <w:r w:rsidRPr="00CD286C">
              <w:rPr>
                <w:sz w:val="22"/>
                <w:szCs w:val="22"/>
                <w:lang w:val="lt-LT"/>
              </w:rPr>
              <w:t xml:space="preserve">8) stebėsena. </w:t>
            </w:r>
          </w:p>
        </w:tc>
      </w:tr>
      <w:tr w:rsidR="003447BC" w:rsidRPr="00CD286C" w:rsidTr="00CD286C">
        <w:tc>
          <w:tcPr>
            <w:tcW w:w="1985" w:type="dxa"/>
          </w:tcPr>
          <w:p w:rsidR="003447BC" w:rsidRPr="00CD286C" w:rsidRDefault="003447BC" w:rsidP="008E6B66">
            <w:pPr>
              <w:rPr>
                <w:sz w:val="22"/>
                <w:szCs w:val="22"/>
                <w:lang w:val="lt-LT"/>
              </w:rPr>
            </w:pPr>
            <w:r w:rsidRPr="00CD286C">
              <w:rPr>
                <w:sz w:val="22"/>
                <w:szCs w:val="22"/>
                <w:lang w:val="lt-LT"/>
              </w:rPr>
              <w:t xml:space="preserve">J. Sutherland, </w:t>
            </w:r>
          </w:p>
          <w:p w:rsidR="003447BC" w:rsidRPr="00CD286C" w:rsidRDefault="003447BC" w:rsidP="008E6B66">
            <w:pPr>
              <w:rPr>
                <w:sz w:val="22"/>
                <w:szCs w:val="22"/>
                <w:lang w:val="lt-LT"/>
              </w:rPr>
            </w:pPr>
            <w:r w:rsidRPr="00CD286C">
              <w:rPr>
                <w:sz w:val="22"/>
                <w:szCs w:val="22"/>
                <w:lang w:val="lt-LT"/>
              </w:rPr>
              <w:t>D. Canwell (2004)</w:t>
            </w:r>
          </w:p>
        </w:tc>
        <w:tc>
          <w:tcPr>
            <w:tcW w:w="2751" w:type="dxa"/>
          </w:tcPr>
          <w:p w:rsidR="003447BC" w:rsidRPr="00CD286C" w:rsidRDefault="003447BC" w:rsidP="008E6B66">
            <w:pPr>
              <w:rPr>
                <w:i/>
                <w:sz w:val="22"/>
                <w:szCs w:val="22"/>
                <w:lang w:val="lt-LT"/>
              </w:rPr>
            </w:pPr>
            <w:r w:rsidRPr="00CD286C">
              <w:rPr>
                <w:i/>
                <w:sz w:val="22"/>
                <w:szCs w:val="22"/>
                <w:lang w:val="lt-LT"/>
              </w:rPr>
              <w:t>Standartinis modelis:</w:t>
            </w:r>
          </w:p>
          <w:p w:rsidR="003447BC" w:rsidRPr="00CD286C" w:rsidRDefault="003447BC" w:rsidP="008E6B66">
            <w:pPr>
              <w:rPr>
                <w:sz w:val="22"/>
                <w:szCs w:val="22"/>
                <w:lang w:val="lt-LT"/>
              </w:rPr>
            </w:pPr>
            <w:r w:rsidRPr="00CD286C">
              <w:rPr>
                <w:sz w:val="22"/>
                <w:szCs w:val="22"/>
                <w:lang w:val="lt-LT"/>
              </w:rPr>
              <w:t>1) rizikų identifikavimas,</w:t>
            </w:r>
          </w:p>
          <w:p w:rsidR="003447BC" w:rsidRPr="00CD286C" w:rsidRDefault="003447BC" w:rsidP="008E6B66">
            <w:pPr>
              <w:rPr>
                <w:sz w:val="22"/>
                <w:szCs w:val="22"/>
                <w:lang w:val="lt-LT"/>
              </w:rPr>
            </w:pPr>
            <w:r w:rsidRPr="00CD286C">
              <w:rPr>
                <w:sz w:val="22"/>
                <w:szCs w:val="22"/>
                <w:lang w:val="lt-LT"/>
              </w:rPr>
              <w:t>2) rizikų analizė,</w:t>
            </w:r>
          </w:p>
          <w:p w:rsidR="003447BC" w:rsidRPr="00CD286C" w:rsidRDefault="003447BC" w:rsidP="008E6B66">
            <w:pPr>
              <w:rPr>
                <w:sz w:val="22"/>
                <w:szCs w:val="22"/>
                <w:lang w:val="lt-LT"/>
              </w:rPr>
            </w:pPr>
            <w:r w:rsidRPr="00CD286C">
              <w:rPr>
                <w:sz w:val="22"/>
                <w:szCs w:val="22"/>
                <w:lang w:val="lt-LT"/>
              </w:rPr>
              <w:t>3) rizikų privatizacija ir paskirstymas,</w:t>
            </w:r>
          </w:p>
          <w:p w:rsidR="003447BC" w:rsidRPr="00CD286C" w:rsidRDefault="003447BC" w:rsidP="008E6B66">
            <w:pPr>
              <w:rPr>
                <w:sz w:val="22"/>
                <w:szCs w:val="22"/>
                <w:lang w:val="lt-LT"/>
              </w:rPr>
            </w:pPr>
            <w:r w:rsidRPr="00CD286C">
              <w:rPr>
                <w:sz w:val="22"/>
                <w:szCs w:val="22"/>
                <w:lang w:val="lt-LT"/>
              </w:rPr>
              <w:t>4) rizikos sprendimas,</w:t>
            </w:r>
          </w:p>
          <w:p w:rsidR="003447BC" w:rsidRPr="00CD286C" w:rsidRDefault="003447BC" w:rsidP="008E6B66">
            <w:pPr>
              <w:rPr>
                <w:sz w:val="22"/>
                <w:szCs w:val="22"/>
                <w:lang w:val="lt-LT"/>
              </w:rPr>
            </w:pPr>
            <w:r w:rsidRPr="00CD286C">
              <w:rPr>
                <w:sz w:val="22"/>
                <w:szCs w:val="22"/>
                <w:lang w:val="lt-LT"/>
              </w:rPr>
              <w:t>5) rizikos stebėsena.</w:t>
            </w:r>
          </w:p>
        </w:tc>
        <w:tc>
          <w:tcPr>
            <w:tcW w:w="3083" w:type="dxa"/>
          </w:tcPr>
          <w:p w:rsidR="003447BC" w:rsidRPr="00CD286C" w:rsidRDefault="003447BC" w:rsidP="008E6B66">
            <w:pPr>
              <w:rPr>
                <w:i/>
                <w:sz w:val="22"/>
                <w:szCs w:val="22"/>
                <w:lang w:val="lt-LT"/>
              </w:rPr>
            </w:pPr>
            <w:r w:rsidRPr="00CD286C">
              <w:rPr>
                <w:i/>
                <w:sz w:val="22"/>
                <w:szCs w:val="22"/>
                <w:lang w:val="lt-LT"/>
              </w:rPr>
              <w:t>Sudėtinis modelis:</w:t>
            </w:r>
          </w:p>
          <w:p w:rsidR="003447BC" w:rsidRPr="00CD286C" w:rsidRDefault="003447BC" w:rsidP="008E6B66">
            <w:pPr>
              <w:rPr>
                <w:sz w:val="22"/>
                <w:szCs w:val="22"/>
                <w:lang w:val="lt-LT"/>
              </w:rPr>
            </w:pPr>
            <w:r w:rsidRPr="00CD286C">
              <w:rPr>
                <w:sz w:val="22"/>
                <w:szCs w:val="22"/>
                <w:lang w:val="lt-LT"/>
              </w:rPr>
              <w:t xml:space="preserve">1) rizikos aplinkos nustatymas, </w:t>
            </w:r>
          </w:p>
          <w:p w:rsidR="003447BC" w:rsidRPr="00CD286C" w:rsidRDefault="003447BC" w:rsidP="008E6B66">
            <w:pPr>
              <w:rPr>
                <w:sz w:val="22"/>
                <w:szCs w:val="22"/>
                <w:lang w:val="lt-LT"/>
              </w:rPr>
            </w:pPr>
            <w:r w:rsidRPr="00CD286C">
              <w:rPr>
                <w:sz w:val="22"/>
                <w:szCs w:val="22"/>
                <w:lang w:val="lt-LT"/>
              </w:rPr>
              <w:t>2) rizikos identifikavimas,</w:t>
            </w:r>
          </w:p>
          <w:p w:rsidR="003447BC" w:rsidRPr="00CD286C" w:rsidRDefault="003447BC" w:rsidP="008E6B66">
            <w:pPr>
              <w:rPr>
                <w:sz w:val="22"/>
                <w:szCs w:val="22"/>
                <w:lang w:val="lt-LT"/>
              </w:rPr>
            </w:pPr>
            <w:r w:rsidRPr="00CD286C">
              <w:rPr>
                <w:sz w:val="22"/>
                <w:szCs w:val="22"/>
                <w:lang w:val="lt-LT"/>
              </w:rPr>
              <w:t>3) rizikos analizė,</w:t>
            </w:r>
          </w:p>
          <w:p w:rsidR="003447BC" w:rsidRPr="00CD286C" w:rsidRDefault="003447BC" w:rsidP="008E6B66">
            <w:pPr>
              <w:rPr>
                <w:sz w:val="22"/>
                <w:szCs w:val="22"/>
                <w:lang w:val="lt-LT"/>
              </w:rPr>
            </w:pPr>
            <w:r w:rsidRPr="00CD286C">
              <w:rPr>
                <w:sz w:val="22"/>
                <w:szCs w:val="22"/>
                <w:lang w:val="lt-LT"/>
              </w:rPr>
              <w:t>4) rizikos įvertinimas ir rangavimas</w:t>
            </w:r>
          </w:p>
          <w:p w:rsidR="003447BC" w:rsidRPr="00CD286C" w:rsidRDefault="003447BC" w:rsidP="008E6B66">
            <w:pPr>
              <w:rPr>
                <w:sz w:val="22"/>
                <w:szCs w:val="22"/>
                <w:lang w:val="lt-LT"/>
              </w:rPr>
            </w:pPr>
            <w:r w:rsidRPr="00CD286C">
              <w:rPr>
                <w:sz w:val="22"/>
                <w:szCs w:val="22"/>
                <w:lang w:val="lt-LT"/>
              </w:rPr>
              <w:t>5) rizikos išsprendimas,</w:t>
            </w:r>
          </w:p>
          <w:p w:rsidR="003447BC" w:rsidRPr="00CD286C" w:rsidRDefault="003447BC" w:rsidP="008E6B66">
            <w:pPr>
              <w:rPr>
                <w:sz w:val="22"/>
                <w:szCs w:val="22"/>
                <w:lang w:val="lt-LT"/>
              </w:rPr>
            </w:pPr>
            <w:r w:rsidRPr="00CD286C">
              <w:rPr>
                <w:sz w:val="22"/>
                <w:szCs w:val="22"/>
                <w:lang w:val="lt-LT"/>
              </w:rPr>
              <w:t>6) rizikos stebėsena,</w:t>
            </w:r>
          </w:p>
          <w:p w:rsidR="003447BC" w:rsidRPr="00CD286C" w:rsidRDefault="003447BC" w:rsidP="008E6B66">
            <w:pPr>
              <w:rPr>
                <w:sz w:val="22"/>
                <w:szCs w:val="22"/>
                <w:lang w:val="lt-LT"/>
              </w:rPr>
            </w:pPr>
            <w:r w:rsidRPr="00CD286C">
              <w:rPr>
                <w:sz w:val="22"/>
                <w:szCs w:val="22"/>
                <w:lang w:val="lt-LT"/>
              </w:rPr>
              <w:t>7) pranešimas ir konsultavimas.</w:t>
            </w:r>
          </w:p>
        </w:tc>
      </w:tr>
      <w:tr w:rsidR="003447BC" w:rsidRPr="00CD286C" w:rsidTr="00CD286C">
        <w:tc>
          <w:tcPr>
            <w:tcW w:w="1985" w:type="dxa"/>
          </w:tcPr>
          <w:p w:rsidR="003447BC" w:rsidRPr="00CD286C" w:rsidRDefault="003447BC" w:rsidP="008E6B66">
            <w:pPr>
              <w:jc w:val="both"/>
              <w:rPr>
                <w:sz w:val="22"/>
                <w:szCs w:val="22"/>
                <w:lang w:val="lt-LT"/>
              </w:rPr>
            </w:pPr>
            <w:r w:rsidRPr="00CD286C">
              <w:rPr>
                <w:sz w:val="22"/>
                <w:szCs w:val="22"/>
                <w:lang w:val="lt-LT"/>
              </w:rPr>
              <w:t>AIRMIC, ALARM, IRM Rizikos valdymo standartas (2002, JK)</w:t>
            </w:r>
          </w:p>
        </w:tc>
        <w:tc>
          <w:tcPr>
            <w:tcW w:w="5834" w:type="dxa"/>
            <w:gridSpan w:val="2"/>
          </w:tcPr>
          <w:p w:rsidR="003447BC" w:rsidRPr="00CD286C" w:rsidRDefault="003447BC" w:rsidP="008E6B66">
            <w:pPr>
              <w:jc w:val="both"/>
              <w:rPr>
                <w:sz w:val="22"/>
                <w:szCs w:val="22"/>
                <w:lang w:val="lt-LT"/>
              </w:rPr>
            </w:pPr>
            <w:r w:rsidRPr="00CD286C">
              <w:rPr>
                <w:sz w:val="22"/>
                <w:szCs w:val="22"/>
                <w:lang w:val="lt-LT"/>
              </w:rPr>
              <w:t>1) organizacijos strateginiai tikslai,</w:t>
            </w:r>
          </w:p>
          <w:p w:rsidR="003447BC" w:rsidRPr="00CD286C" w:rsidRDefault="003447BC" w:rsidP="008E6B66">
            <w:pPr>
              <w:jc w:val="both"/>
              <w:rPr>
                <w:sz w:val="22"/>
                <w:szCs w:val="22"/>
                <w:lang w:val="lt-LT"/>
              </w:rPr>
            </w:pPr>
            <w:r w:rsidRPr="00CD286C">
              <w:rPr>
                <w:sz w:val="22"/>
                <w:szCs w:val="22"/>
                <w:lang w:val="lt-LT"/>
              </w:rPr>
              <w:t>2) rizikos vertinimas (rizikos analizė ir įvertinimas),</w:t>
            </w:r>
          </w:p>
          <w:p w:rsidR="003447BC" w:rsidRPr="00CD286C" w:rsidRDefault="003447BC" w:rsidP="008E6B66">
            <w:pPr>
              <w:jc w:val="both"/>
              <w:rPr>
                <w:sz w:val="22"/>
                <w:szCs w:val="22"/>
                <w:lang w:val="lt-LT"/>
              </w:rPr>
            </w:pPr>
            <w:r w:rsidRPr="00CD286C">
              <w:rPr>
                <w:sz w:val="22"/>
                <w:szCs w:val="22"/>
                <w:lang w:val="lt-LT"/>
              </w:rPr>
              <w:t>3) pranešimas apie riziką,</w:t>
            </w:r>
          </w:p>
          <w:p w:rsidR="003447BC" w:rsidRPr="00CD286C" w:rsidRDefault="003447BC" w:rsidP="008E6B66">
            <w:pPr>
              <w:jc w:val="both"/>
              <w:rPr>
                <w:sz w:val="22"/>
                <w:szCs w:val="22"/>
                <w:lang w:val="lt-LT"/>
              </w:rPr>
            </w:pPr>
            <w:r w:rsidRPr="00CD286C">
              <w:rPr>
                <w:sz w:val="22"/>
                <w:szCs w:val="22"/>
                <w:lang w:val="lt-LT"/>
              </w:rPr>
              <w:t>4) sprendimo priėmimas,</w:t>
            </w:r>
          </w:p>
          <w:p w:rsidR="003447BC" w:rsidRPr="00CD286C" w:rsidRDefault="003447BC" w:rsidP="008E6B66">
            <w:pPr>
              <w:jc w:val="both"/>
              <w:rPr>
                <w:sz w:val="22"/>
                <w:szCs w:val="22"/>
                <w:lang w:val="lt-LT"/>
              </w:rPr>
            </w:pPr>
            <w:r w:rsidRPr="00CD286C">
              <w:rPr>
                <w:sz w:val="22"/>
                <w:szCs w:val="22"/>
                <w:lang w:val="lt-LT"/>
              </w:rPr>
              <w:t>5) priemonės rizikai spręsti,</w:t>
            </w:r>
          </w:p>
          <w:p w:rsidR="003447BC" w:rsidRPr="00CD286C" w:rsidRDefault="003447BC" w:rsidP="008E6B66">
            <w:pPr>
              <w:jc w:val="both"/>
              <w:rPr>
                <w:sz w:val="22"/>
                <w:szCs w:val="22"/>
                <w:lang w:val="lt-LT"/>
              </w:rPr>
            </w:pPr>
            <w:r w:rsidRPr="00CD286C">
              <w:rPr>
                <w:sz w:val="22"/>
                <w:szCs w:val="22"/>
                <w:lang w:val="lt-LT"/>
              </w:rPr>
              <w:t>6) pranešimas apie likusią riziką,</w:t>
            </w:r>
          </w:p>
          <w:p w:rsidR="003447BC" w:rsidRPr="00CD286C" w:rsidRDefault="003447BC" w:rsidP="008E6B66">
            <w:pPr>
              <w:jc w:val="both"/>
              <w:rPr>
                <w:sz w:val="22"/>
                <w:szCs w:val="22"/>
                <w:lang w:val="lt-LT"/>
              </w:rPr>
            </w:pPr>
            <w:r w:rsidRPr="00CD286C">
              <w:rPr>
                <w:sz w:val="22"/>
                <w:szCs w:val="22"/>
                <w:lang w:val="lt-LT"/>
              </w:rPr>
              <w:t xml:space="preserve">7) stebėsena. </w:t>
            </w:r>
          </w:p>
        </w:tc>
      </w:tr>
      <w:tr w:rsidR="003447BC" w:rsidRPr="00CD286C" w:rsidTr="00CD286C">
        <w:tc>
          <w:tcPr>
            <w:tcW w:w="1985" w:type="dxa"/>
          </w:tcPr>
          <w:p w:rsidR="003447BC" w:rsidRPr="00CD286C" w:rsidRDefault="003447BC" w:rsidP="008E6B66">
            <w:pPr>
              <w:jc w:val="both"/>
              <w:rPr>
                <w:sz w:val="22"/>
                <w:szCs w:val="22"/>
                <w:lang w:val="lt-LT"/>
              </w:rPr>
            </w:pPr>
            <w:r w:rsidRPr="00CD286C">
              <w:rPr>
                <w:sz w:val="22"/>
                <w:szCs w:val="22"/>
                <w:lang w:val="lt-LT"/>
              </w:rPr>
              <w:t>A. Waring, A. I. Glendon (2002)</w:t>
            </w:r>
          </w:p>
        </w:tc>
        <w:tc>
          <w:tcPr>
            <w:tcW w:w="5834" w:type="dxa"/>
            <w:gridSpan w:val="2"/>
          </w:tcPr>
          <w:p w:rsidR="003447BC" w:rsidRPr="00CD286C" w:rsidRDefault="003447BC" w:rsidP="008E6B66">
            <w:pPr>
              <w:jc w:val="both"/>
              <w:rPr>
                <w:sz w:val="22"/>
                <w:szCs w:val="22"/>
                <w:lang w:val="lt-LT"/>
              </w:rPr>
            </w:pPr>
            <w:r w:rsidRPr="00CD286C">
              <w:rPr>
                <w:sz w:val="22"/>
                <w:szCs w:val="22"/>
                <w:lang w:val="lt-LT"/>
              </w:rPr>
              <w:t xml:space="preserve">1) pavojų ir grėsmių nustatymas, </w:t>
            </w:r>
          </w:p>
          <w:p w:rsidR="003447BC" w:rsidRPr="00CD286C" w:rsidRDefault="003447BC" w:rsidP="008E6B66">
            <w:pPr>
              <w:jc w:val="both"/>
              <w:rPr>
                <w:sz w:val="22"/>
                <w:szCs w:val="22"/>
                <w:lang w:val="lt-LT"/>
              </w:rPr>
            </w:pPr>
            <w:r w:rsidRPr="00CD286C">
              <w:rPr>
                <w:sz w:val="22"/>
                <w:szCs w:val="22"/>
                <w:lang w:val="lt-LT"/>
              </w:rPr>
              <w:t>2) rizikos vertinimas (rizikos apskaičiavimas ir įvertinimas),</w:t>
            </w:r>
          </w:p>
          <w:p w:rsidR="003447BC" w:rsidRDefault="003447BC" w:rsidP="008E6B66">
            <w:pPr>
              <w:jc w:val="both"/>
              <w:rPr>
                <w:sz w:val="22"/>
                <w:szCs w:val="22"/>
                <w:lang w:val="lt-LT"/>
              </w:rPr>
            </w:pPr>
            <w:r w:rsidRPr="00CD286C">
              <w:rPr>
                <w:sz w:val="22"/>
                <w:szCs w:val="22"/>
                <w:lang w:val="lt-LT"/>
              </w:rPr>
              <w:t>3) rizikos strategijos.</w:t>
            </w:r>
          </w:p>
          <w:p w:rsidR="00A53480" w:rsidRPr="00CD286C" w:rsidRDefault="00A53480" w:rsidP="008E6B66">
            <w:pPr>
              <w:jc w:val="both"/>
              <w:rPr>
                <w:sz w:val="22"/>
                <w:szCs w:val="22"/>
                <w:lang w:val="lt-LT"/>
              </w:rPr>
            </w:pPr>
          </w:p>
        </w:tc>
      </w:tr>
      <w:tr w:rsidR="003447BC" w:rsidRPr="00CD286C" w:rsidTr="00CD286C">
        <w:tc>
          <w:tcPr>
            <w:tcW w:w="1985" w:type="dxa"/>
          </w:tcPr>
          <w:p w:rsidR="003447BC" w:rsidRPr="00CD286C" w:rsidRDefault="003447BC" w:rsidP="008E6B66">
            <w:pPr>
              <w:jc w:val="both"/>
              <w:rPr>
                <w:sz w:val="22"/>
                <w:szCs w:val="22"/>
                <w:lang w:val="lt-LT"/>
              </w:rPr>
            </w:pPr>
            <w:r w:rsidRPr="00CD286C">
              <w:rPr>
                <w:sz w:val="22"/>
                <w:szCs w:val="22"/>
                <w:lang w:val="lt-LT"/>
              </w:rPr>
              <w:t>E. J. Vaughan (1997)</w:t>
            </w:r>
          </w:p>
        </w:tc>
        <w:tc>
          <w:tcPr>
            <w:tcW w:w="5834" w:type="dxa"/>
            <w:gridSpan w:val="2"/>
          </w:tcPr>
          <w:p w:rsidR="003447BC" w:rsidRPr="00CD286C" w:rsidRDefault="003447BC" w:rsidP="008E6B66">
            <w:pPr>
              <w:jc w:val="both"/>
              <w:rPr>
                <w:sz w:val="22"/>
                <w:szCs w:val="22"/>
                <w:lang w:val="lt-LT"/>
              </w:rPr>
            </w:pPr>
            <w:r w:rsidRPr="00CD286C">
              <w:rPr>
                <w:sz w:val="22"/>
                <w:szCs w:val="22"/>
                <w:lang w:val="lt-LT"/>
              </w:rPr>
              <w:t>1) tikslų nustatymas,</w:t>
            </w:r>
          </w:p>
          <w:p w:rsidR="003447BC" w:rsidRPr="00CD286C" w:rsidRDefault="003447BC" w:rsidP="008E6B66">
            <w:pPr>
              <w:jc w:val="both"/>
              <w:rPr>
                <w:sz w:val="22"/>
                <w:szCs w:val="22"/>
                <w:lang w:val="lt-LT"/>
              </w:rPr>
            </w:pPr>
            <w:r w:rsidRPr="00CD286C">
              <w:rPr>
                <w:sz w:val="22"/>
                <w:szCs w:val="22"/>
                <w:lang w:val="lt-LT"/>
              </w:rPr>
              <w:t>2) rizikų identifikavimas,</w:t>
            </w:r>
          </w:p>
          <w:p w:rsidR="003447BC" w:rsidRPr="00CD286C" w:rsidRDefault="003447BC" w:rsidP="008E6B66">
            <w:pPr>
              <w:jc w:val="both"/>
              <w:rPr>
                <w:sz w:val="22"/>
                <w:szCs w:val="22"/>
                <w:lang w:val="lt-LT"/>
              </w:rPr>
            </w:pPr>
            <w:r w:rsidRPr="00CD286C">
              <w:rPr>
                <w:sz w:val="22"/>
                <w:szCs w:val="22"/>
                <w:lang w:val="lt-LT"/>
              </w:rPr>
              <w:t>3) rizikų įvertinimas,</w:t>
            </w:r>
          </w:p>
          <w:p w:rsidR="003447BC" w:rsidRPr="00CD286C" w:rsidRDefault="003447BC" w:rsidP="00220E64">
            <w:pPr>
              <w:jc w:val="both"/>
              <w:rPr>
                <w:sz w:val="22"/>
                <w:szCs w:val="22"/>
                <w:lang w:val="lt-LT"/>
              </w:rPr>
            </w:pPr>
            <w:r w:rsidRPr="00CD286C">
              <w:rPr>
                <w:sz w:val="22"/>
                <w:szCs w:val="22"/>
                <w:lang w:val="lt-LT"/>
              </w:rPr>
              <w:t>4) alternatyvų svarstymas ir poveikio priemonės rizikai parinkimas,</w:t>
            </w:r>
          </w:p>
          <w:p w:rsidR="003447BC" w:rsidRPr="00CD286C" w:rsidRDefault="003447BC" w:rsidP="00220E64">
            <w:pPr>
              <w:jc w:val="both"/>
              <w:rPr>
                <w:sz w:val="22"/>
                <w:szCs w:val="22"/>
                <w:lang w:val="lt-LT"/>
              </w:rPr>
            </w:pPr>
            <w:r w:rsidRPr="00CD286C">
              <w:rPr>
                <w:sz w:val="22"/>
                <w:szCs w:val="22"/>
                <w:lang w:val="lt-LT"/>
              </w:rPr>
              <w:t>5) sprendimo įgyvendinimas,</w:t>
            </w:r>
          </w:p>
          <w:p w:rsidR="003447BC" w:rsidRPr="00CD286C" w:rsidRDefault="003447BC" w:rsidP="00220E64">
            <w:pPr>
              <w:jc w:val="both"/>
              <w:rPr>
                <w:sz w:val="22"/>
                <w:szCs w:val="22"/>
                <w:lang w:val="lt-LT"/>
              </w:rPr>
            </w:pPr>
            <w:r w:rsidRPr="00CD286C">
              <w:rPr>
                <w:sz w:val="22"/>
                <w:szCs w:val="22"/>
                <w:lang w:val="lt-LT"/>
              </w:rPr>
              <w:t>6) įvertinimas ir peržiūra.</w:t>
            </w:r>
          </w:p>
        </w:tc>
      </w:tr>
      <w:tr w:rsidR="003447BC" w:rsidRPr="00CD286C" w:rsidTr="00CD286C">
        <w:tc>
          <w:tcPr>
            <w:tcW w:w="1985" w:type="dxa"/>
          </w:tcPr>
          <w:p w:rsidR="003447BC" w:rsidRPr="00CD286C" w:rsidRDefault="003447BC" w:rsidP="008E6B66">
            <w:pPr>
              <w:jc w:val="both"/>
              <w:rPr>
                <w:sz w:val="22"/>
                <w:szCs w:val="22"/>
                <w:lang w:val="lt-LT"/>
              </w:rPr>
            </w:pPr>
            <w:r w:rsidRPr="00CD286C">
              <w:rPr>
                <w:sz w:val="22"/>
                <w:szCs w:val="22"/>
                <w:lang w:val="lt-LT"/>
              </w:rPr>
              <w:t xml:space="preserve">A. Vasiliauskaitė, </w:t>
            </w:r>
          </w:p>
          <w:p w:rsidR="003447BC" w:rsidRPr="00CD286C" w:rsidRDefault="003447BC" w:rsidP="008E6B66">
            <w:pPr>
              <w:jc w:val="both"/>
              <w:rPr>
                <w:sz w:val="22"/>
                <w:szCs w:val="22"/>
                <w:lang w:val="lt-LT"/>
              </w:rPr>
            </w:pPr>
            <w:r w:rsidRPr="00CD286C">
              <w:rPr>
                <w:sz w:val="22"/>
                <w:szCs w:val="22"/>
                <w:lang w:val="lt-LT"/>
              </w:rPr>
              <w:t>A. Pranckevičiūtė (2004)</w:t>
            </w:r>
          </w:p>
        </w:tc>
        <w:tc>
          <w:tcPr>
            <w:tcW w:w="5834" w:type="dxa"/>
            <w:gridSpan w:val="2"/>
          </w:tcPr>
          <w:p w:rsidR="003447BC" w:rsidRPr="00CD286C" w:rsidRDefault="003447BC" w:rsidP="008E6B66">
            <w:pPr>
              <w:jc w:val="both"/>
              <w:rPr>
                <w:sz w:val="22"/>
                <w:szCs w:val="22"/>
                <w:lang w:val="lt-LT"/>
              </w:rPr>
            </w:pPr>
            <w:r w:rsidRPr="00CD286C">
              <w:rPr>
                <w:sz w:val="22"/>
                <w:szCs w:val="22"/>
                <w:lang w:val="lt-LT"/>
              </w:rPr>
              <w:t>1) rizikos identifikavimas,</w:t>
            </w:r>
          </w:p>
          <w:p w:rsidR="003447BC" w:rsidRPr="00CD286C" w:rsidRDefault="003447BC" w:rsidP="008E6B66">
            <w:pPr>
              <w:jc w:val="both"/>
              <w:rPr>
                <w:sz w:val="22"/>
                <w:szCs w:val="22"/>
                <w:lang w:val="lt-LT"/>
              </w:rPr>
            </w:pPr>
            <w:r w:rsidRPr="00CD286C">
              <w:rPr>
                <w:sz w:val="22"/>
                <w:szCs w:val="22"/>
                <w:lang w:val="lt-LT"/>
              </w:rPr>
              <w:t>2) rizikos vertinimas,</w:t>
            </w:r>
          </w:p>
          <w:p w:rsidR="003447BC" w:rsidRPr="00CD286C" w:rsidRDefault="003447BC" w:rsidP="008E6B66">
            <w:pPr>
              <w:jc w:val="both"/>
              <w:rPr>
                <w:sz w:val="22"/>
                <w:szCs w:val="22"/>
                <w:lang w:val="lt-LT"/>
              </w:rPr>
            </w:pPr>
            <w:r w:rsidRPr="00CD286C">
              <w:rPr>
                <w:sz w:val="22"/>
                <w:szCs w:val="22"/>
                <w:lang w:val="lt-LT"/>
              </w:rPr>
              <w:t xml:space="preserve">3) rizikos monitoringas, </w:t>
            </w:r>
          </w:p>
          <w:p w:rsidR="003447BC" w:rsidRDefault="003447BC" w:rsidP="008E6B66">
            <w:pPr>
              <w:jc w:val="both"/>
              <w:rPr>
                <w:sz w:val="22"/>
                <w:szCs w:val="22"/>
                <w:lang w:val="lt-LT"/>
              </w:rPr>
            </w:pPr>
            <w:r w:rsidRPr="00CD286C">
              <w:rPr>
                <w:sz w:val="22"/>
                <w:szCs w:val="22"/>
                <w:lang w:val="lt-LT"/>
              </w:rPr>
              <w:t>4) rizikos kontrolė/mažinimas.</w:t>
            </w:r>
          </w:p>
          <w:p w:rsidR="00A53480" w:rsidRPr="00CD286C" w:rsidRDefault="00A53480" w:rsidP="008E6B66">
            <w:pPr>
              <w:jc w:val="both"/>
              <w:rPr>
                <w:sz w:val="22"/>
                <w:szCs w:val="22"/>
                <w:lang w:val="lt-LT"/>
              </w:rPr>
            </w:pPr>
          </w:p>
        </w:tc>
      </w:tr>
      <w:tr w:rsidR="00A53480" w:rsidRPr="00CD286C" w:rsidTr="00CD286C">
        <w:tc>
          <w:tcPr>
            <w:tcW w:w="1985" w:type="dxa"/>
          </w:tcPr>
          <w:p w:rsidR="00A53480" w:rsidRPr="00CD286C" w:rsidRDefault="00A53480" w:rsidP="009A61C2">
            <w:pPr>
              <w:jc w:val="center"/>
              <w:rPr>
                <w:b/>
                <w:sz w:val="22"/>
                <w:szCs w:val="22"/>
                <w:lang w:val="lt-LT"/>
              </w:rPr>
            </w:pPr>
            <w:r w:rsidRPr="00CD286C">
              <w:rPr>
                <w:b/>
                <w:sz w:val="22"/>
                <w:szCs w:val="22"/>
                <w:lang w:val="lt-LT"/>
              </w:rPr>
              <w:lastRenderedPageBreak/>
              <w:t>Šaltinis</w:t>
            </w:r>
          </w:p>
        </w:tc>
        <w:tc>
          <w:tcPr>
            <w:tcW w:w="5834" w:type="dxa"/>
            <w:gridSpan w:val="2"/>
          </w:tcPr>
          <w:p w:rsidR="00A53480" w:rsidRPr="00CD286C" w:rsidRDefault="00A53480" w:rsidP="009A61C2">
            <w:pPr>
              <w:jc w:val="center"/>
              <w:rPr>
                <w:b/>
                <w:sz w:val="22"/>
                <w:szCs w:val="22"/>
                <w:lang w:val="lt-LT"/>
              </w:rPr>
            </w:pPr>
            <w:r w:rsidRPr="00CD286C">
              <w:rPr>
                <w:b/>
                <w:sz w:val="22"/>
                <w:szCs w:val="22"/>
                <w:lang w:val="lt-LT"/>
              </w:rPr>
              <w:t>Etapai</w:t>
            </w:r>
          </w:p>
        </w:tc>
      </w:tr>
      <w:tr w:rsidR="00A53480" w:rsidRPr="00CD286C" w:rsidTr="00CD286C">
        <w:tc>
          <w:tcPr>
            <w:tcW w:w="1985" w:type="dxa"/>
          </w:tcPr>
          <w:p w:rsidR="00A53480" w:rsidRPr="00CD286C" w:rsidRDefault="00A53480" w:rsidP="008E6B66">
            <w:pPr>
              <w:jc w:val="both"/>
              <w:rPr>
                <w:sz w:val="22"/>
                <w:szCs w:val="22"/>
                <w:lang w:val="lt-LT"/>
              </w:rPr>
            </w:pPr>
            <w:r w:rsidRPr="00CD286C">
              <w:rPr>
                <w:sz w:val="22"/>
                <w:szCs w:val="22"/>
                <w:lang w:val="lt-LT"/>
              </w:rPr>
              <w:t>S. Liučvaitis (2003)</w:t>
            </w:r>
          </w:p>
        </w:tc>
        <w:tc>
          <w:tcPr>
            <w:tcW w:w="5834" w:type="dxa"/>
            <w:gridSpan w:val="2"/>
          </w:tcPr>
          <w:p w:rsidR="00A53480" w:rsidRPr="00CD286C" w:rsidRDefault="00A53480" w:rsidP="008E6B66">
            <w:pPr>
              <w:jc w:val="both"/>
              <w:rPr>
                <w:sz w:val="22"/>
                <w:szCs w:val="22"/>
                <w:lang w:val="lt-LT"/>
              </w:rPr>
            </w:pPr>
            <w:r w:rsidRPr="00CD286C">
              <w:rPr>
                <w:sz w:val="22"/>
                <w:szCs w:val="22"/>
                <w:lang w:val="lt-LT"/>
              </w:rPr>
              <w:t>1) rizikos rūšių identifikavimas,</w:t>
            </w:r>
          </w:p>
          <w:p w:rsidR="00A53480" w:rsidRPr="00CD286C" w:rsidRDefault="00A53480" w:rsidP="008E6B66">
            <w:pPr>
              <w:jc w:val="both"/>
              <w:rPr>
                <w:sz w:val="22"/>
                <w:szCs w:val="22"/>
                <w:lang w:val="lt-LT"/>
              </w:rPr>
            </w:pPr>
            <w:r w:rsidRPr="00CD286C">
              <w:rPr>
                <w:sz w:val="22"/>
                <w:szCs w:val="22"/>
                <w:lang w:val="lt-LT"/>
              </w:rPr>
              <w:t>2) rizikos įvertinimas prieš priimant sprendimą,</w:t>
            </w:r>
          </w:p>
          <w:p w:rsidR="00A53480" w:rsidRPr="00CD286C" w:rsidRDefault="00A53480" w:rsidP="008E6B66">
            <w:pPr>
              <w:jc w:val="both"/>
              <w:rPr>
                <w:sz w:val="22"/>
                <w:szCs w:val="22"/>
                <w:lang w:val="lt-LT"/>
              </w:rPr>
            </w:pPr>
            <w:r w:rsidRPr="00CD286C">
              <w:rPr>
                <w:sz w:val="22"/>
                <w:szCs w:val="22"/>
                <w:lang w:val="lt-LT"/>
              </w:rPr>
              <w:t>3) rizikos mažinimo priemonių numatymas,</w:t>
            </w:r>
          </w:p>
          <w:p w:rsidR="00A53480" w:rsidRPr="00CD286C" w:rsidRDefault="00A53480" w:rsidP="008E6B66">
            <w:pPr>
              <w:jc w:val="both"/>
              <w:rPr>
                <w:sz w:val="22"/>
                <w:szCs w:val="22"/>
                <w:lang w:val="lt-LT"/>
              </w:rPr>
            </w:pPr>
            <w:r w:rsidRPr="00CD286C">
              <w:rPr>
                <w:sz w:val="22"/>
                <w:szCs w:val="22"/>
                <w:lang w:val="lt-LT"/>
              </w:rPr>
              <w:t>4) rizikos kontrolė.</w:t>
            </w:r>
          </w:p>
        </w:tc>
      </w:tr>
      <w:tr w:rsidR="00A53480" w:rsidRPr="00CD286C" w:rsidTr="00CD286C">
        <w:tc>
          <w:tcPr>
            <w:tcW w:w="1985" w:type="dxa"/>
          </w:tcPr>
          <w:p w:rsidR="00A53480" w:rsidRPr="00CD286C" w:rsidRDefault="00A53480" w:rsidP="008E6B66">
            <w:pPr>
              <w:jc w:val="both"/>
              <w:rPr>
                <w:sz w:val="22"/>
                <w:szCs w:val="22"/>
                <w:lang w:val="lt-LT"/>
              </w:rPr>
            </w:pPr>
            <w:r w:rsidRPr="00CD286C">
              <w:rPr>
                <w:sz w:val="22"/>
                <w:szCs w:val="22"/>
                <w:lang w:val="lt-LT"/>
              </w:rPr>
              <w:t>G. Leonavičiūtė, V. Vaškelaitis (2001)</w:t>
            </w:r>
          </w:p>
        </w:tc>
        <w:tc>
          <w:tcPr>
            <w:tcW w:w="5834" w:type="dxa"/>
            <w:gridSpan w:val="2"/>
          </w:tcPr>
          <w:p w:rsidR="00A53480" w:rsidRPr="00CD286C" w:rsidRDefault="00A53480" w:rsidP="008E6B66">
            <w:pPr>
              <w:jc w:val="both"/>
              <w:rPr>
                <w:sz w:val="22"/>
                <w:szCs w:val="22"/>
                <w:lang w:val="lt-LT"/>
              </w:rPr>
            </w:pPr>
            <w:r w:rsidRPr="00CD286C">
              <w:rPr>
                <w:sz w:val="22"/>
                <w:szCs w:val="22"/>
                <w:lang w:val="lt-LT"/>
              </w:rPr>
              <w:t>1) tikslų, kuriuos įmonė nori pasiekti, nustatymas,</w:t>
            </w:r>
          </w:p>
          <w:p w:rsidR="00A53480" w:rsidRPr="00CD286C" w:rsidRDefault="00A53480" w:rsidP="008E6B66">
            <w:pPr>
              <w:jc w:val="both"/>
              <w:rPr>
                <w:sz w:val="22"/>
                <w:szCs w:val="22"/>
                <w:lang w:val="lt-LT"/>
              </w:rPr>
            </w:pPr>
            <w:r w:rsidRPr="00CD286C">
              <w:rPr>
                <w:sz w:val="22"/>
                <w:szCs w:val="22"/>
                <w:lang w:val="lt-LT"/>
              </w:rPr>
              <w:t>2) visų įmonei reikšmingų rizikų identifikavimas,</w:t>
            </w:r>
          </w:p>
          <w:p w:rsidR="00A53480" w:rsidRPr="00CD286C" w:rsidRDefault="00A53480" w:rsidP="008E6B66">
            <w:pPr>
              <w:jc w:val="both"/>
              <w:rPr>
                <w:sz w:val="22"/>
                <w:szCs w:val="22"/>
                <w:lang w:val="lt-LT"/>
              </w:rPr>
            </w:pPr>
            <w:r w:rsidRPr="00CD286C">
              <w:rPr>
                <w:sz w:val="22"/>
                <w:szCs w:val="22"/>
                <w:lang w:val="lt-LT"/>
              </w:rPr>
              <w:t>3) pagrindinių rizikų nustatymas,</w:t>
            </w:r>
          </w:p>
          <w:p w:rsidR="00A53480" w:rsidRPr="00CD286C" w:rsidRDefault="00A53480" w:rsidP="008E6B66">
            <w:pPr>
              <w:jc w:val="both"/>
              <w:rPr>
                <w:sz w:val="22"/>
                <w:szCs w:val="22"/>
                <w:lang w:val="lt-LT"/>
              </w:rPr>
            </w:pPr>
            <w:r w:rsidRPr="00CD286C">
              <w:rPr>
                <w:sz w:val="22"/>
                <w:szCs w:val="22"/>
                <w:lang w:val="lt-LT"/>
              </w:rPr>
              <w:t>4) esamos pagrindinių rizikų kontrolės įvertinimas,</w:t>
            </w:r>
          </w:p>
          <w:p w:rsidR="00A53480" w:rsidRPr="00CD286C" w:rsidRDefault="00A53480" w:rsidP="008E6B66">
            <w:pPr>
              <w:jc w:val="both"/>
              <w:rPr>
                <w:sz w:val="22"/>
                <w:szCs w:val="22"/>
                <w:lang w:val="lt-LT"/>
              </w:rPr>
            </w:pPr>
            <w:r w:rsidRPr="00CD286C">
              <w:rPr>
                <w:sz w:val="22"/>
                <w:szCs w:val="22"/>
                <w:lang w:val="lt-LT"/>
              </w:rPr>
              <w:t>5) pagrindinių rizikų valdymo būdo parinkimas,</w:t>
            </w:r>
          </w:p>
          <w:p w:rsidR="00A53480" w:rsidRPr="00CD286C" w:rsidRDefault="00A53480" w:rsidP="008E6B66">
            <w:pPr>
              <w:jc w:val="both"/>
              <w:rPr>
                <w:sz w:val="22"/>
                <w:szCs w:val="22"/>
                <w:lang w:val="lt-LT"/>
              </w:rPr>
            </w:pPr>
            <w:r w:rsidRPr="00CD286C">
              <w:rPr>
                <w:sz w:val="22"/>
                <w:szCs w:val="22"/>
                <w:lang w:val="lt-LT"/>
              </w:rPr>
              <w:t>6) reikšmingų rizikų stebėsena ir kontrolė bei pagrindinių rizikų valdymo priemonių taikymas,</w:t>
            </w:r>
          </w:p>
          <w:p w:rsidR="00A53480" w:rsidRPr="00CD286C" w:rsidRDefault="00A53480" w:rsidP="008E6B66">
            <w:pPr>
              <w:jc w:val="both"/>
              <w:rPr>
                <w:sz w:val="22"/>
                <w:szCs w:val="22"/>
                <w:lang w:val="lt-LT"/>
              </w:rPr>
            </w:pPr>
            <w:r w:rsidRPr="00CD286C">
              <w:rPr>
                <w:sz w:val="22"/>
                <w:szCs w:val="22"/>
                <w:lang w:val="lt-LT"/>
              </w:rPr>
              <w:t>7) rezultatų įvertinimas.</w:t>
            </w:r>
          </w:p>
        </w:tc>
      </w:tr>
    </w:tbl>
    <w:p w:rsidR="001937D2" w:rsidRDefault="001937D2" w:rsidP="00DE1F71">
      <w:pPr>
        <w:ind w:firstLine="720"/>
        <w:jc w:val="both"/>
        <w:rPr>
          <w:b/>
          <w:caps/>
          <w:sz w:val="24"/>
          <w:szCs w:val="24"/>
          <w:lang w:val="lt-LT"/>
        </w:rPr>
      </w:pPr>
      <w:r w:rsidRPr="000F4649">
        <w:rPr>
          <w:lang w:val="lt-LT"/>
        </w:rPr>
        <w:t>Šaltinis: sudaryta autor</w:t>
      </w:r>
      <w:r>
        <w:rPr>
          <w:lang w:val="lt-LT"/>
        </w:rPr>
        <w:t>ės</w:t>
      </w:r>
      <w:r w:rsidRPr="006F79B4">
        <w:rPr>
          <w:lang w:val="lt-LT"/>
        </w:rPr>
        <w:t>.</w:t>
      </w:r>
      <w:r>
        <w:rPr>
          <w:b/>
          <w:caps/>
          <w:sz w:val="24"/>
          <w:szCs w:val="24"/>
          <w:lang w:val="lt-LT"/>
        </w:rPr>
        <w:br w:type="page"/>
      </w:r>
    </w:p>
    <w:p w:rsidR="00DE1F71" w:rsidRPr="00091B10" w:rsidRDefault="00DE1F71" w:rsidP="007E348A">
      <w:pPr>
        <w:tabs>
          <w:tab w:val="left" w:pos="567"/>
        </w:tabs>
        <w:spacing w:line="360" w:lineRule="auto"/>
        <w:jc w:val="right"/>
        <w:rPr>
          <w:b/>
          <w:sz w:val="26"/>
          <w:szCs w:val="26"/>
          <w:lang w:val="lt-LT"/>
        </w:rPr>
      </w:pPr>
      <w:r w:rsidRPr="00091B10">
        <w:rPr>
          <w:b/>
          <w:sz w:val="26"/>
          <w:szCs w:val="26"/>
          <w:lang w:val="lt-LT"/>
        </w:rPr>
        <w:lastRenderedPageBreak/>
        <w:t>2 PRIEDAS</w:t>
      </w:r>
    </w:p>
    <w:p w:rsidR="00DE1F71" w:rsidRPr="00091B10" w:rsidRDefault="00DE1F71" w:rsidP="007E348A">
      <w:pPr>
        <w:spacing w:line="360" w:lineRule="auto"/>
        <w:ind w:firstLine="720"/>
        <w:jc w:val="center"/>
        <w:rPr>
          <w:b/>
          <w:caps/>
          <w:sz w:val="26"/>
          <w:szCs w:val="26"/>
          <w:lang w:val="lt-LT"/>
        </w:rPr>
      </w:pPr>
      <w:r w:rsidRPr="00091B10">
        <w:rPr>
          <w:b/>
          <w:caps/>
          <w:sz w:val="26"/>
          <w:szCs w:val="26"/>
          <w:lang w:val="lt-LT"/>
        </w:rPr>
        <w:t>Rizikos vertinimo metodų suvestinė</w:t>
      </w:r>
    </w:p>
    <w:tbl>
      <w:tblPr>
        <w:tblStyle w:val="TableGrid"/>
        <w:tblW w:w="0" w:type="auto"/>
        <w:tblLayout w:type="fixed"/>
        <w:tblLook w:val="04A0"/>
      </w:tblPr>
      <w:tblGrid>
        <w:gridCol w:w="1809"/>
        <w:gridCol w:w="2494"/>
        <w:gridCol w:w="4191"/>
      </w:tblGrid>
      <w:tr w:rsidR="00DE1F71" w:rsidRPr="00E14D71" w:rsidTr="00CD286C">
        <w:trPr>
          <w:cantSplit/>
          <w:tblHeader/>
        </w:trPr>
        <w:tc>
          <w:tcPr>
            <w:tcW w:w="1809" w:type="dxa"/>
          </w:tcPr>
          <w:p w:rsidR="00DE1F71" w:rsidRPr="00E14D71" w:rsidRDefault="00DE1F71" w:rsidP="00DE1F71">
            <w:pPr>
              <w:pStyle w:val="NormalWeb"/>
              <w:spacing w:before="0" w:beforeAutospacing="0" w:after="0" w:afterAutospacing="0" w:line="360" w:lineRule="auto"/>
              <w:jc w:val="center"/>
              <w:rPr>
                <w:b/>
                <w:sz w:val="22"/>
                <w:szCs w:val="22"/>
                <w:lang w:val="lt-LT"/>
              </w:rPr>
            </w:pPr>
            <w:r w:rsidRPr="00E14D71">
              <w:rPr>
                <w:b/>
                <w:sz w:val="22"/>
                <w:szCs w:val="22"/>
                <w:lang w:val="lt-LT"/>
              </w:rPr>
              <w:t>Metodas</w:t>
            </w:r>
          </w:p>
        </w:tc>
        <w:tc>
          <w:tcPr>
            <w:tcW w:w="2494" w:type="dxa"/>
          </w:tcPr>
          <w:p w:rsidR="00DE1F71" w:rsidRPr="00E14D71" w:rsidRDefault="00DE1F71" w:rsidP="00DE1F71">
            <w:pPr>
              <w:pStyle w:val="NormalWeb"/>
              <w:spacing w:before="0" w:beforeAutospacing="0" w:after="0" w:afterAutospacing="0" w:line="360" w:lineRule="auto"/>
              <w:jc w:val="center"/>
              <w:rPr>
                <w:b/>
                <w:sz w:val="22"/>
                <w:szCs w:val="22"/>
                <w:lang w:val="lt-LT"/>
              </w:rPr>
            </w:pPr>
            <w:r w:rsidRPr="00E14D71">
              <w:rPr>
                <w:b/>
                <w:sz w:val="22"/>
                <w:szCs w:val="22"/>
                <w:lang w:val="lt-LT"/>
              </w:rPr>
              <w:t>Šaltinis</w:t>
            </w:r>
          </w:p>
        </w:tc>
        <w:tc>
          <w:tcPr>
            <w:tcW w:w="4191" w:type="dxa"/>
          </w:tcPr>
          <w:p w:rsidR="00DE1F71" w:rsidRPr="00E14D71" w:rsidRDefault="00DE1F71" w:rsidP="00DE1F71">
            <w:pPr>
              <w:pStyle w:val="NormalWeb"/>
              <w:spacing w:before="0" w:beforeAutospacing="0" w:after="0" w:afterAutospacing="0" w:line="360" w:lineRule="auto"/>
              <w:jc w:val="center"/>
              <w:rPr>
                <w:b/>
                <w:sz w:val="22"/>
                <w:szCs w:val="22"/>
                <w:lang w:val="lt-LT"/>
              </w:rPr>
            </w:pPr>
            <w:r w:rsidRPr="00E14D71">
              <w:rPr>
                <w:b/>
                <w:sz w:val="22"/>
                <w:szCs w:val="22"/>
                <w:lang w:val="lt-LT"/>
              </w:rPr>
              <w:t>Metodo taikymo esmė</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Ekspertinio įvertinimo metodas</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V. Bagdonas (1996);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D. Laskienė (2003);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Naudojamas kai pradinė informacijos apimtis yra nepakankama kiekybiniam projekto efektyvumo ir rizikos įvertinimui. Pradinę informaciją, reikalingą tolimesnei analizei ir sprendimų priėmimui, suteikia ekspertai. Rezultatus lemia ekspertų įvertinimų subjektyvumas, ekspertų žinios ir kompetencija. </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Analogų (analogijų) metodas </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V. Bagdonas (1996);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D. Laskienė (2003)</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Naudojamasi duomenimis apie analogiškų projektų riziką, todėl reikalauja analogiškų projektų patirties.</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Sprendimų medžio (angl. </w:t>
            </w:r>
            <w:r w:rsidRPr="00E14D71">
              <w:rPr>
                <w:i/>
                <w:sz w:val="22"/>
                <w:szCs w:val="22"/>
                <w:lang w:val="lt-LT"/>
              </w:rPr>
              <w:t>Decision tree</w:t>
            </w:r>
            <w:r w:rsidRPr="00E14D71">
              <w:rPr>
                <w:sz w:val="22"/>
                <w:szCs w:val="22"/>
                <w:lang w:val="lt-LT"/>
              </w:rPr>
              <w:t>) metodas</w:t>
            </w:r>
          </w:p>
          <w:p w:rsidR="00DE1F71" w:rsidRPr="00E14D71" w:rsidRDefault="00DE1F71" w:rsidP="00DE1F71">
            <w:pPr>
              <w:pStyle w:val="NormalWeb"/>
              <w:spacing w:before="0" w:beforeAutospacing="0" w:after="0" w:afterAutospacing="0"/>
              <w:jc w:val="both"/>
              <w:rPr>
                <w:sz w:val="22"/>
                <w:szCs w:val="22"/>
                <w:lang w:val="lt-LT"/>
              </w:rPr>
            </w:pP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Z. Lydeka, B. Drilingas (2002);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D. Laskienė (2003);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A. V. Rutkauskas (2007); R. J. Chapman (2006);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P. G. Keat,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P. K. Y. Young (2006)</w:t>
            </w:r>
            <w:r w:rsidR="00E031ED" w:rsidRPr="00E14D71">
              <w:rPr>
                <w:sz w:val="22"/>
                <w:szCs w:val="22"/>
                <w:lang w:val="lt-LT"/>
              </w:rPr>
              <w:t>; R. R. Moeller (2007)</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Sprendimų medyje pažymimi tie taškai, kuriuose sprendimą priimantis asmuo turi pasirinkti vieną iš keleto alternatyvių veiksmų, o būsenos mazgais pažymimos galimos būsenos arba jų reikšmės. Metodas leidžia įvertinti bendrą projekto ir atskirų jo etapų rezultatyvumą (laukiamąją piniginę vertę, EMV), atsižvelgiant į tam tikrų aplinkos būsenų ar tam tikrų rizikingų veiksnių pasireiškimo tikimybes. </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Imitacinis (angl. </w:t>
            </w:r>
            <w:r w:rsidRPr="00E14D71">
              <w:rPr>
                <w:i/>
                <w:sz w:val="22"/>
                <w:szCs w:val="22"/>
                <w:lang w:val="lt-LT"/>
              </w:rPr>
              <w:t>Simulation</w:t>
            </w:r>
            <w:r w:rsidRPr="00E14D71">
              <w:rPr>
                <w:sz w:val="22"/>
                <w:szCs w:val="22"/>
                <w:lang w:val="lt-LT"/>
              </w:rPr>
              <w:t xml:space="preserve">) metodas </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A. V. Rutkauskas, (2007);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Įvykio modeliavimas, kai tikimybiniai skirstiniai įrašomi į imitacijos modelį (viena kiekvieno kintamojo vertė pasirenkama atsitiktinai) ir apskaičiuojama grynoji dabartinė projekto vertė (NPV). Leidžia nustatyti sąveiką tarp rezultatus veikiančių kintamųjų, tačiau reikia mokėti prognozuoti kintamųjų tikimybinius skirstinius ateityje ir stebėti jų pokyčius.</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Monte Karlo imitacinis (angl. </w:t>
            </w:r>
            <w:r w:rsidRPr="00E14D71">
              <w:rPr>
                <w:i/>
                <w:sz w:val="22"/>
                <w:szCs w:val="22"/>
                <w:lang w:val="lt-LT"/>
              </w:rPr>
              <w:t>Monte Carlo simulation</w:t>
            </w:r>
            <w:r w:rsidRPr="00E14D71">
              <w:rPr>
                <w:sz w:val="22"/>
                <w:szCs w:val="22"/>
                <w:lang w:val="lt-LT"/>
              </w:rPr>
              <w:t>) metodas</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V. Bagdonas (1996);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D. Laskienė (2003); </w:t>
            </w:r>
          </w:p>
          <w:p w:rsidR="00194225" w:rsidRPr="00E14D71" w:rsidRDefault="00DE1F71" w:rsidP="00194225">
            <w:pPr>
              <w:pStyle w:val="NormalWeb"/>
              <w:spacing w:before="0" w:beforeAutospacing="0" w:after="0" w:afterAutospacing="0"/>
              <w:jc w:val="both"/>
              <w:rPr>
                <w:sz w:val="22"/>
                <w:szCs w:val="22"/>
                <w:lang w:val="lt-LT"/>
              </w:rPr>
            </w:pPr>
            <w:r w:rsidRPr="00E14D71">
              <w:rPr>
                <w:sz w:val="22"/>
                <w:szCs w:val="22"/>
                <w:lang w:val="lt-LT"/>
              </w:rPr>
              <w:t>A. V. Rutkauskas</w:t>
            </w:r>
            <w:r w:rsidR="00194225" w:rsidRPr="00E14D71">
              <w:rPr>
                <w:sz w:val="22"/>
                <w:szCs w:val="22"/>
                <w:lang w:val="lt-LT"/>
              </w:rPr>
              <w:t xml:space="preserve"> (</w:t>
            </w:r>
            <w:r w:rsidRPr="00E14D71">
              <w:rPr>
                <w:sz w:val="22"/>
                <w:szCs w:val="22"/>
                <w:lang w:val="lt-LT"/>
              </w:rPr>
              <w:t>2007</w:t>
            </w:r>
            <w:r w:rsidR="00194225" w:rsidRPr="00E14D71">
              <w:rPr>
                <w:sz w:val="22"/>
                <w:szCs w:val="22"/>
                <w:lang w:val="lt-LT"/>
              </w:rPr>
              <w:t>)</w:t>
            </w:r>
            <w:r w:rsidRPr="00E14D71">
              <w:rPr>
                <w:sz w:val="22"/>
                <w:szCs w:val="22"/>
                <w:lang w:val="lt-LT"/>
              </w:rPr>
              <w:t>; R. J. Chapman (2006)</w:t>
            </w:r>
            <w:r w:rsidR="00E031ED" w:rsidRPr="00E14D71">
              <w:rPr>
                <w:sz w:val="22"/>
                <w:szCs w:val="22"/>
                <w:lang w:val="lt-LT"/>
              </w:rPr>
              <w:t xml:space="preserve">; </w:t>
            </w:r>
          </w:p>
          <w:p w:rsidR="00DE1F71" w:rsidRPr="00E14D71" w:rsidRDefault="00E031ED" w:rsidP="00194225">
            <w:pPr>
              <w:pStyle w:val="NormalWeb"/>
              <w:spacing w:before="0" w:beforeAutospacing="0" w:after="0" w:afterAutospacing="0"/>
              <w:jc w:val="both"/>
              <w:rPr>
                <w:sz w:val="22"/>
                <w:szCs w:val="22"/>
                <w:lang w:val="lt-LT"/>
              </w:rPr>
            </w:pPr>
            <w:r w:rsidRPr="00E14D71">
              <w:rPr>
                <w:sz w:val="22"/>
                <w:szCs w:val="22"/>
                <w:lang w:val="lt-LT"/>
              </w:rPr>
              <w:t>R. R. Moeller (2007)</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Remiasi imitaciniu metodu, tik naudojamos imitacinės kompiuterinės technologijos, kas leidžia tirti didelį scenarijų skaičių. Gauti statistiniai duomenys gali būti sukaupiami ir pavaizduojami grafiškai, pateikiant galimų rezultatų ribas.</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Latin Hypercube metodas</w:t>
            </w:r>
          </w:p>
        </w:tc>
        <w:tc>
          <w:tcPr>
            <w:tcW w:w="2494"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Skirtas tiksliai atkurti tikimybinius skirstinius nusakomus pagal pasiskirstymo funkcijas, sukuria kumuliacinę tikimybės pasiskirstymo kreivę kiekvienam kintamajam, įvesties tikimybiniams skirstiniams taiko stratifikuotą atranką. Tai apsaugo kintamųjų atsitiktinumą ir nepriklausomumą ir leidžia išvengti negalimos koreliacijos tarp kintamųjų.</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lastRenderedPageBreak/>
              <w:t xml:space="preserve">Jautrumo analizės (angl. </w:t>
            </w:r>
            <w:r w:rsidRPr="00E14D71">
              <w:rPr>
                <w:i/>
                <w:sz w:val="22"/>
                <w:szCs w:val="22"/>
                <w:lang w:val="lt-LT"/>
              </w:rPr>
              <w:t>Sensitivy analysis</w:t>
            </w:r>
            <w:r w:rsidRPr="00E14D71">
              <w:rPr>
                <w:sz w:val="22"/>
                <w:szCs w:val="22"/>
                <w:lang w:val="lt-LT"/>
              </w:rPr>
              <w:t xml:space="preserve">) metodas </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V. Bagdonas (1996);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D. Laskienė (2003);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p w:rsidR="0027655E"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P. G. Keat,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P. K. Y. Young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Tinkamas, kai įvertinamas atskiro projekto investavimo pelningumas. Imamas atskiras kintamasis ir tiriama kaip jo pasikeitimai lemia bendrus rezultatus. Tačiau tai vienfaktorinė analizė, nes neleidžia įvertinų galimų ryšių tarp atskirų kintamųjų.</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Scenarijų analizės (angl. </w:t>
            </w:r>
            <w:r w:rsidRPr="00E14D71">
              <w:rPr>
                <w:i/>
                <w:sz w:val="22"/>
                <w:szCs w:val="22"/>
                <w:lang w:val="lt-LT"/>
              </w:rPr>
              <w:t>Scenario analysis</w:t>
            </w:r>
            <w:r w:rsidRPr="00E14D71">
              <w:rPr>
                <w:sz w:val="22"/>
                <w:szCs w:val="22"/>
                <w:lang w:val="lt-LT"/>
              </w:rPr>
              <w:t>) metodas</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D. Laskienė (2003);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R. J. Chapman (2006); </w:t>
            </w:r>
          </w:p>
          <w:p w:rsidR="0027655E"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P. G. Keat,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P. K. Y. Young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Tiriama kaip pasikeitus keletui kintamųjų pasikeičia bendras rezultatas (daugiafaktorinė analizė). Analizuojami keli projekto rezultatai (optimistinis, pesimistinis ir labiausiai tikėtinas), nors galimų rezultatų gali būti ir daugiau. </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Riziką įvertinantis diskonto metodas</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V. Bagdonas (1996);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Z. Gaidienė (1998);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D. Laskienė (2003); </w:t>
            </w:r>
          </w:p>
          <w:p w:rsidR="0027655E"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A. V. Rutkauskas (2007); P. G. Keat,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P. K. Y. Young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Galima įvertinti būsimųjų pinigų neapibrėžtumą (grynoji dabartinė vertė, NPV). Kiekvieno projekto grynųjų pinigų įplaukos diskontuojamos pagal riziką, įvertinančią normą – diskonto normą. Rizikos premija dažniausiai nustatoma subjektyviai. Tinka mažiems ir plačiai taikomiems projektams.</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Laukiamos piniginės vertės (ang. </w:t>
            </w:r>
            <w:r w:rsidRPr="00E14D71">
              <w:rPr>
                <w:i/>
                <w:sz w:val="22"/>
                <w:szCs w:val="22"/>
                <w:lang w:val="lt-LT"/>
              </w:rPr>
              <w:t>Expected monetary value</w:t>
            </w:r>
            <w:r w:rsidRPr="00E14D71">
              <w:rPr>
                <w:sz w:val="22"/>
                <w:szCs w:val="22"/>
                <w:lang w:val="lt-LT"/>
              </w:rPr>
              <w:t>) metodas</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E. J. Vaughan (1997); </w:t>
            </w:r>
          </w:p>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p w:rsidR="0027655E"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P. G. Keat,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P. K. Y. Young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Tikimybė priskiriama kiekvienam galimam rezultatui, o paskui įvertinamas bendras rezultatas – laukiama piniginė vertė. Taikomas kai sprendimo situacija yra dažnai pasikartojanti.</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Naudingumo funkcijos (angl. </w:t>
            </w:r>
            <w:r w:rsidRPr="00E14D71">
              <w:rPr>
                <w:i/>
                <w:sz w:val="22"/>
                <w:szCs w:val="22"/>
                <w:lang w:val="lt-LT"/>
              </w:rPr>
              <w:t>Utility function</w:t>
            </w:r>
            <w:r w:rsidRPr="00E14D71">
              <w:rPr>
                <w:sz w:val="22"/>
                <w:szCs w:val="22"/>
                <w:lang w:val="lt-LT"/>
              </w:rPr>
              <w:t>) metodas</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R. J. Chapman (2006);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A. V. Rutkauskas (2007)</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Taikoma naudingumo funkcija, kai kiekvieno rezultato naudingumas padauginamas iš atitinkamo įvykio tikimybės. Todėl pagrįstas laukiamu naudingumu sprendimas skiriasi nuo sprendimo, pagrįsto laukiama pinigų suma, dėl egzistuojančio naudingumo indekso.</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Subjektyvus/neformalus metodas</w:t>
            </w:r>
          </w:p>
        </w:tc>
        <w:tc>
          <w:tcPr>
            <w:tcW w:w="2494"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A. V. Rutkauskas (2007)</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Sprendimai remiasi subjektyvia sprendimus priimančio asmens nuojauta apie laukiamo pelno riziką. Nors naudingas, tačiau netikslus metodas.</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highlight w:val="yellow"/>
                <w:lang w:val="lt-LT"/>
              </w:rPr>
            </w:pPr>
            <w:r w:rsidRPr="00E14D71">
              <w:rPr>
                <w:sz w:val="22"/>
                <w:szCs w:val="22"/>
                <w:lang w:val="lt-LT"/>
              </w:rPr>
              <w:t>Lūžio analizės metodas</w:t>
            </w:r>
          </w:p>
        </w:tc>
        <w:tc>
          <w:tcPr>
            <w:tcW w:w="2494"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D. Laskienė (2003)</w:t>
            </w:r>
          </w:p>
          <w:p w:rsidR="00DE1F71" w:rsidRPr="00E14D71" w:rsidRDefault="00DE1F71" w:rsidP="00DE1F71">
            <w:pPr>
              <w:pStyle w:val="NormalWeb"/>
              <w:spacing w:before="0" w:beforeAutospacing="0" w:after="0" w:afterAutospacing="0"/>
              <w:jc w:val="both"/>
              <w:rPr>
                <w:sz w:val="22"/>
                <w:szCs w:val="22"/>
                <w:lang w:val="lt-LT"/>
              </w:rPr>
            </w:pPr>
          </w:p>
          <w:p w:rsidR="00DE1F71" w:rsidRPr="00E14D71" w:rsidRDefault="00DE1F71" w:rsidP="00DE1F71">
            <w:pPr>
              <w:pStyle w:val="NormalWeb"/>
              <w:spacing w:before="0" w:beforeAutospacing="0" w:after="0" w:afterAutospacing="0"/>
              <w:jc w:val="both"/>
              <w:rPr>
                <w:sz w:val="22"/>
                <w:szCs w:val="22"/>
                <w:lang w:val="lt-LT"/>
              </w:rPr>
            </w:pP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Leidžia nustatyti lūžio tašką, parodantį pardavimų apimtį, kuri būtina, kad įmonė padengtų išlaidas. Sunku įvertinti bendrą projekto rizikos lygį. Sunku įtraukti į sprendimų priėmimo procesą.</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Tikimybių medžio (angl. </w:t>
            </w:r>
            <w:r w:rsidRPr="00E14D71">
              <w:rPr>
                <w:i/>
                <w:sz w:val="22"/>
                <w:szCs w:val="22"/>
                <w:lang w:val="lt-LT"/>
              </w:rPr>
              <w:t>Probability trees</w:t>
            </w:r>
            <w:r w:rsidRPr="00E14D71">
              <w:rPr>
                <w:sz w:val="22"/>
                <w:szCs w:val="22"/>
                <w:lang w:val="lt-LT"/>
              </w:rPr>
              <w:t>) metodas</w:t>
            </w:r>
          </w:p>
        </w:tc>
        <w:tc>
          <w:tcPr>
            <w:tcW w:w="2494"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Padeda iliustruoti susidariusią situaciją ir užtikrina, kad visi galimi rezultatai būtų svarstomi. Skiriami tikimybių medžiai, kurie iliustruoja nepriklausomus įvykius (jų tikimybės sudauginamos) ir tie, kurie iliustruoja priklausomus įvykius (atskiro įvykio tikimybės sudauginamos, bendroji tikimybė bus lygi atskirų įvykių sumai).</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lastRenderedPageBreak/>
              <w:t xml:space="preserve">Markovo grandinės (angl. </w:t>
            </w:r>
            <w:r w:rsidRPr="00E14D71">
              <w:rPr>
                <w:i/>
                <w:sz w:val="22"/>
                <w:szCs w:val="22"/>
                <w:lang w:val="lt-LT"/>
              </w:rPr>
              <w:t>Markov chain</w:t>
            </w:r>
            <w:r w:rsidRPr="00E14D71">
              <w:rPr>
                <w:sz w:val="22"/>
                <w:szCs w:val="22"/>
                <w:lang w:val="lt-LT"/>
              </w:rPr>
              <w:t>) metodas</w:t>
            </w:r>
          </w:p>
        </w:tc>
        <w:tc>
          <w:tcPr>
            <w:tcW w:w="2494"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Tikimybės derinamos su algebrinėmis matricomis. Remiamasi koncepcija, kad tikimybės laikui bėgant lieka tokios pat, bet modeliuojama sistema gali keisti iš vienos būsenos į kitą, naudojant pastovius kintamuosius kaip perėjimo tikimybes.</w:t>
            </w:r>
          </w:p>
        </w:tc>
      </w:tr>
      <w:tr w:rsidR="00DE1F71" w:rsidRPr="00E14D71" w:rsidTr="00CD286C">
        <w:trPr>
          <w:cantSplit/>
        </w:trPr>
        <w:tc>
          <w:tcPr>
            <w:tcW w:w="1809" w:type="dxa"/>
          </w:tcPr>
          <w:p w:rsidR="00DE1F71" w:rsidRPr="00E14D71" w:rsidRDefault="00177EA2" w:rsidP="00177EA2">
            <w:pPr>
              <w:pStyle w:val="NormalWeb"/>
              <w:spacing w:before="0" w:beforeAutospacing="0" w:after="0" w:afterAutospacing="0"/>
              <w:jc w:val="both"/>
              <w:rPr>
                <w:sz w:val="22"/>
                <w:szCs w:val="22"/>
                <w:lang w:val="lt-LT"/>
              </w:rPr>
            </w:pPr>
            <w:r>
              <w:rPr>
                <w:sz w:val="22"/>
                <w:szCs w:val="22"/>
                <w:lang w:val="lt-LT"/>
              </w:rPr>
              <w:t>Investicijos</w:t>
            </w:r>
            <w:r w:rsidR="00DE1F71" w:rsidRPr="00E14D71">
              <w:rPr>
                <w:sz w:val="22"/>
                <w:szCs w:val="22"/>
                <w:lang w:val="lt-LT"/>
              </w:rPr>
              <w:t xml:space="preserve"> įvertinimo (analitinis) (angl. </w:t>
            </w:r>
            <w:r w:rsidR="00DE1F71" w:rsidRPr="00E14D71">
              <w:rPr>
                <w:i/>
                <w:sz w:val="22"/>
                <w:szCs w:val="22"/>
                <w:lang w:val="lt-LT"/>
              </w:rPr>
              <w:t>Investment appraisal</w:t>
            </w:r>
            <w:r w:rsidR="00DE1F71" w:rsidRPr="00E14D71">
              <w:rPr>
                <w:sz w:val="22"/>
                <w:szCs w:val="22"/>
                <w:lang w:val="lt-LT"/>
              </w:rPr>
              <w:t>) metodas</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V. Bagdonas (1996);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Taikomas vertinant skirtingus projektus, kas leidžia parinkti sėkmingiausią. Skaičiuojami rodikliai: vidutinė pelno norma (ARR), atsipirkimo laikas (PP), grynoji dabartinė vertė (NPV), vidinė pelno norma (IRR), rentabilumas ir kt. .</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Rizikos vertės (angl. </w:t>
            </w:r>
            <w:r w:rsidRPr="00E14D71">
              <w:rPr>
                <w:i/>
                <w:sz w:val="22"/>
                <w:szCs w:val="22"/>
                <w:lang w:val="lt-LT"/>
              </w:rPr>
              <w:t>Value at risk</w:t>
            </w:r>
            <w:r w:rsidRPr="00E14D71">
              <w:rPr>
                <w:sz w:val="22"/>
                <w:szCs w:val="22"/>
                <w:lang w:val="lt-LT"/>
              </w:rPr>
              <w:t>, VaR) metodas</w:t>
            </w:r>
          </w:p>
        </w:tc>
        <w:tc>
          <w:tcPr>
            <w:tcW w:w="2494" w:type="dxa"/>
          </w:tcPr>
          <w:p w:rsidR="00194225"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J. Mun (2004); </w:t>
            </w:r>
          </w:p>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D. Laskienė (2003)</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Leidžia įvertinti kapitalo rezervų ar prekybinio portfelio sumą dėl rizikos konkrečiu pozicijos laikymo laikotarpiu su konkrečia nuostolių galimybe. Reikalauja įvairių ir tikslių duomenų, todėl vertinimo kokybė tiesiogiai priklausonuo šių duomenų kokybės. </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Priežastingumo analizė (angl. </w:t>
            </w:r>
            <w:r w:rsidRPr="00E14D71">
              <w:rPr>
                <w:i/>
                <w:sz w:val="22"/>
                <w:szCs w:val="22"/>
                <w:lang w:val="lt-LT"/>
              </w:rPr>
              <w:t>Causal analysis</w:t>
            </w:r>
            <w:r w:rsidRPr="00E14D71">
              <w:rPr>
                <w:sz w:val="22"/>
                <w:szCs w:val="22"/>
                <w:lang w:val="lt-LT"/>
              </w:rPr>
              <w:t>)</w:t>
            </w:r>
          </w:p>
        </w:tc>
        <w:tc>
          <w:tcPr>
            <w:tcW w:w="2494"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R. J. Chapman (2006) </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 Ji parodo ryšius tarp rezultatų ir galimų jo priežasčių. Naudojama priežasties-rezultato diagrama (kitaip vadinama „žuvies kaulo“ ar Ishikawa diagrama), kuri padeda atskleisti rizikos šaltinius ir išsiaiškinti jų ryšius. Pirmiausia išskiriamos pagrindinės rizikos rūšys, o paskui įvardijamos ir kitos prisidedančios priežastys. Tinkamiausia plėsti iki tokio lygio, kad nebūtų praleistos galimos pagrindinės priežastys. Plačiausiai naudojama „proto šturmo“ sesijose. </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 xml:space="preserve">Sprendimų analizė (angl. </w:t>
            </w:r>
            <w:r w:rsidRPr="00E14D71">
              <w:rPr>
                <w:i/>
                <w:sz w:val="22"/>
                <w:szCs w:val="22"/>
                <w:lang w:val="lt-LT"/>
              </w:rPr>
              <w:t>Decision analysis</w:t>
            </w:r>
            <w:r w:rsidRPr="00E14D71">
              <w:rPr>
                <w:sz w:val="22"/>
                <w:szCs w:val="22"/>
                <w:lang w:val="lt-LT"/>
              </w:rPr>
              <w:t>).</w:t>
            </w:r>
          </w:p>
        </w:tc>
        <w:tc>
          <w:tcPr>
            <w:tcW w:w="2494"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Ji naudojama susisteminti sprendimus ir pavaizduoti tikrąsias problemas su modelių pagalba. Elementai tokie kaip sprendimai, neapibrėžti įvykiai ir rezultatų vertės, yra sukonstruojami į sprendimų modelį, naudojant įtakos diagramos techniką. Įtakos diagramos pasižymi šiais privalumais: 1) pateikia sistemą, kuri leidžia ekspertams ir sprendimų priėmėjams aptarti sprendimų ir įvykių tarpusavio priklausomybes ir problemos valdymą, nereikalaujant jokios matematinės, tikimybinės ar statistinės išraiškos, 2) leidžia sumažinti didelę duomenų apimtį iki dalių, kurios yra būtinos sprendimo priėmimo procesui ir 3) gali suteikti jautrumo analizės laipsnį, parodant kiek konkretūs sprendimai ar neapibrėžti įvykiai gali lemti galutinius rezultatus.</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lastRenderedPageBreak/>
              <w:t xml:space="preserve">Pareto analizė (angl. </w:t>
            </w:r>
            <w:r w:rsidRPr="00E14D71">
              <w:rPr>
                <w:i/>
                <w:sz w:val="22"/>
                <w:szCs w:val="22"/>
                <w:lang w:val="lt-LT"/>
              </w:rPr>
              <w:t>Pareto analysis</w:t>
            </w:r>
            <w:r w:rsidRPr="00E14D71">
              <w:rPr>
                <w:sz w:val="22"/>
                <w:szCs w:val="22"/>
                <w:lang w:val="lt-LT"/>
              </w:rPr>
              <w:t>).</w:t>
            </w:r>
          </w:p>
        </w:tc>
        <w:tc>
          <w:tcPr>
            <w:tcW w:w="2494"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Naudojama telkti vadovybės pastangas į tas rizikas, kurios turi didžiausią žalingiausią įtaką projekto ar verslo tikslams. Pareto analizės metu rizikos ranguojamos ar išdėstomos, kad nustatyti kokia tvarka jos turi būti valdomos. Nustatytos rizikos atvaizduojamos grafiškai juostinės diagramos pagalba mažėjančia tvarka. Tai atskleidžia, kad dėmesys ir ištekliai turi būti skiriami į kelias svarbiausias rizikas nei į daugelių nesvarbių rizikų.</w:t>
            </w:r>
          </w:p>
        </w:tc>
      </w:tr>
      <w:tr w:rsidR="00DE1F71" w:rsidRPr="00E14D71" w:rsidTr="00CD286C">
        <w:trPr>
          <w:cantSplit/>
        </w:trPr>
        <w:tc>
          <w:tcPr>
            <w:tcW w:w="1809"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Ilgalaikio turto įkainojimo analizė (The Capital asset pricing model, CAMP)</w:t>
            </w:r>
          </w:p>
        </w:tc>
        <w:tc>
          <w:tcPr>
            <w:tcW w:w="2494"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R. J. Chapman (2006)</w:t>
            </w:r>
          </w:p>
        </w:tc>
        <w:tc>
          <w:tcPr>
            <w:tcW w:w="4191" w:type="dxa"/>
          </w:tcPr>
          <w:p w:rsidR="00DE1F71" w:rsidRPr="00E14D71" w:rsidRDefault="00DE1F71" w:rsidP="00DE1F71">
            <w:pPr>
              <w:pStyle w:val="NormalWeb"/>
              <w:spacing w:before="0" w:beforeAutospacing="0" w:after="0" w:afterAutospacing="0"/>
              <w:jc w:val="both"/>
              <w:rPr>
                <w:sz w:val="22"/>
                <w:szCs w:val="22"/>
                <w:lang w:val="lt-LT"/>
              </w:rPr>
            </w:pPr>
            <w:r w:rsidRPr="00E14D71">
              <w:rPr>
                <w:sz w:val="22"/>
                <w:szCs w:val="22"/>
                <w:lang w:val="lt-LT"/>
              </w:rPr>
              <w:t>Numato ryšį tarp turto pelningumo ir rizikos. Pagrindinis CAMP aspektas, investuotojai tikisi atlygio už investavimą esant didelei rizikai, kuris lygus nerizikingo sprendimo pelningumo ir premijos už riziką dydžiui. Tai reiškia, kad reikalaujamą pelningumą sudaro trys elementai: pinigų laiko vertė (palūkanų tarifas), pelningumas kompensuojantis infliacijos poveikį ir pelningumas už riziką (beta koeficientas).</w:t>
            </w:r>
          </w:p>
        </w:tc>
      </w:tr>
    </w:tbl>
    <w:p w:rsidR="00DE1F71" w:rsidRDefault="00DE1F71" w:rsidP="00DE1F71">
      <w:pPr>
        <w:jc w:val="both"/>
        <w:rPr>
          <w:lang w:val="lt-LT"/>
        </w:rPr>
      </w:pPr>
      <w:r w:rsidRPr="000F4649">
        <w:rPr>
          <w:lang w:val="lt-LT"/>
        </w:rPr>
        <w:t>Šaltinis: sudaryta autor</w:t>
      </w:r>
      <w:r>
        <w:rPr>
          <w:lang w:val="lt-LT"/>
        </w:rPr>
        <w:t>ės</w:t>
      </w:r>
    </w:p>
    <w:p w:rsidR="00DE1F71" w:rsidRDefault="00DE1F71">
      <w:pPr>
        <w:rPr>
          <w:lang w:val="lt-LT"/>
        </w:rPr>
      </w:pPr>
      <w:r>
        <w:rPr>
          <w:lang w:val="lt-LT"/>
        </w:rPr>
        <w:br w:type="page"/>
      </w:r>
    </w:p>
    <w:p w:rsidR="001937D2" w:rsidRPr="00091B10" w:rsidRDefault="009A700C" w:rsidP="00194225">
      <w:pPr>
        <w:tabs>
          <w:tab w:val="left" w:pos="567"/>
        </w:tabs>
        <w:jc w:val="right"/>
        <w:rPr>
          <w:b/>
          <w:sz w:val="26"/>
          <w:szCs w:val="26"/>
          <w:lang w:val="lt-LT"/>
        </w:rPr>
      </w:pPr>
      <w:r w:rsidRPr="00091B10">
        <w:rPr>
          <w:b/>
          <w:sz w:val="26"/>
          <w:szCs w:val="26"/>
          <w:lang w:val="lt-LT"/>
        </w:rPr>
        <w:lastRenderedPageBreak/>
        <w:t>3</w:t>
      </w:r>
      <w:r w:rsidR="001937D2" w:rsidRPr="00091B10">
        <w:rPr>
          <w:b/>
          <w:sz w:val="26"/>
          <w:szCs w:val="26"/>
          <w:lang w:val="lt-LT"/>
        </w:rPr>
        <w:t xml:space="preserve"> PRIEDAS</w:t>
      </w:r>
    </w:p>
    <w:p w:rsidR="00CD3D15" w:rsidRPr="00091B10" w:rsidRDefault="00CD3D15" w:rsidP="00194225">
      <w:pPr>
        <w:spacing w:before="120" w:after="120"/>
        <w:jc w:val="center"/>
        <w:rPr>
          <w:b/>
          <w:caps/>
          <w:sz w:val="26"/>
          <w:szCs w:val="26"/>
          <w:lang w:val="lt-LT"/>
        </w:rPr>
      </w:pPr>
      <w:r w:rsidRPr="00091B10">
        <w:rPr>
          <w:b/>
          <w:caps/>
          <w:sz w:val="26"/>
          <w:szCs w:val="26"/>
          <w:lang w:val="lt-LT"/>
        </w:rPr>
        <w:t>Sąlygų, lemiančių reikšmingo iškraipymo riziką finansinių ataskaitų lygmeniu klasifikacija</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6480"/>
      </w:tblGrid>
      <w:tr w:rsidR="00CD3D15" w:rsidRPr="00194225" w:rsidTr="00194225">
        <w:trPr>
          <w:jc w:val="center"/>
        </w:trPr>
        <w:tc>
          <w:tcPr>
            <w:tcW w:w="1816" w:type="dxa"/>
          </w:tcPr>
          <w:p w:rsidR="00CD3D15" w:rsidRPr="00194225" w:rsidRDefault="00CD3D15" w:rsidP="00CD3D15">
            <w:pPr>
              <w:tabs>
                <w:tab w:val="left" w:pos="510"/>
              </w:tabs>
              <w:jc w:val="both"/>
              <w:rPr>
                <w:b/>
                <w:sz w:val="22"/>
                <w:szCs w:val="22"/>
                <w:lang w:val="lt-LT"/>
              </w:rPr>
            </w:pPr>
            <w:r w:rsidRPr="00194225">
              <w:rPr>
                <w:b/>
                <w:sz w:val="22"/>
                <w:szCs w:val="22"/>
                <w:lang w:val="lt-LT"/>
              </w:rPr>
              <w:t>Sąlygos</w:t>
            </w:r>
          </w:p>
        </w:tc>
        <w:tc>
          <w:tcPr>
            <w:tcW w:w="6480" w:type="dxa"/>
          </w:tcPr>
          <w:p w:rsidR="00CD3D15" w:rsidRPr="00194225" w:rsidRDefault="00CD3D15" w:rsidP="00CD3D15">
            <w:pPr>
              <w:tabs>
                <w:tab w:val="left" w:pos="510"/>
              </w:tabs>
              <w:jc w:val="both"/>
              <w:rPr>
                <w:b/>
                <w:sz w:val="22"/>
                <w:szCs w:val="22"/>
                <w:lang w:val="lt-LT"/>
              </w:rPr>
            </w:pPr>
            <w:r w:rsidRPr="00194225">
              <w:rPr>
                <w:b/>
                <w:sz w:val="22"/>
                <w:szCs w:val="22"/>
                <w:lang w:val="lt-LT"/>
              </w:rPr>
              <w:t>Veiksniai</w:t>
            </w:r>
          </w:p>
        </w:tc>
      </w:tr>
      <w:tr w:rsidR="00CD3D15" w:rsidRPr="00194225" w:rsidTr="00194225">
        <w:trPr>
          <w:jc w:val="center"/>
        </w:trPr>
        <w:tc>
          <w:tcPr>
            <w:tcW w:w="8296" w:type="dxa"/>
            <w:gridSpan w:val="2"/>
          </w:tcPr>
          <w:p w:rsidR="00CD3D15" w:rsidRPr="00194225" w:rsidRDefault="008E4A5A" w:rsidP="008E4A5A">
            <w:pPr>
              <w:tabs>
                <w:tab w:val="left" w:pos="510"/>
              </w:tabs>
              <w:jc w:val="both"/>
              <w:rPr>
                <w:b/>
                <w:sz w:val="22"/>
                <w:szCs w:val="22"/>
                <w:lang w:val="lt-LT"/>
              </w:rPr>
            </w:pPr>
            <w:r>
              <w:rPr>
                <w:b/>
                <w:sz w:val="22"/>
                <w:szCs w:val="22"/>
                <w:lang w:val="lt-LT"/>
              </w:rPr>
              <w:t>I. Įmonės išor</w:t>
            </w:r>
            <w:r w:rsidR="00CD3D15" w:rsidRPr="00194225">
              <w:rPr>
                <w:b/>
                <w:sz w:val="22"/>
                <w:szCs w:val="22"/>
                <w:lang w:val="lt-LT"/>
              </w:rPr>
              <w:t>ės aplink</w:t>
            </w:r>
            <w:r>
              <w:rPr>
                <w:b/>
                <w:sz w:val="22"/>
                <w:szCs w:val="22"/>
                <w:lang w:val="lt-LT"/>
              </w:rPr>
              <w:t>a</w:t>
            </w:r>
          </w:p>
        </w:tc>
      </w:tr>
      <w:tr w:rsidR="00CD3D15" w:rsidRPr="00194225" w:rsidTr="00194225">
        <w:trPr>
          <w:jc w:val="center"/>
        </w:trPr>
        <w:tc>
          <w:tcPr>
            <w:tcW w:w="1816" w:type="dxa"/>
            <w:vMerge w:val="restart"/>
          </w:tcPr>
          <w:p w:rsidR="00CD3D15" w:rsidRPr="00194225" w:rsidRDefault="00CD3D15" w:rsidP="00CD3D15">
            <w:pPr>
              <w:tabs>
                <w:tab w:val="left" w:pos="510"/>
              </w:tabs>
              <w:jc w:val="both"/>
              <w:rPr>
                <w:sz w:val="22"/>
                <w:szCs w:val="22"/>
                <w:lang w:val="lt-LT"/>
              </w:rPr>
            </w:pPr>
            <w:r w:rsidRPr="00194225">
              <w:rPr>
                <w:sz w:val="22"/>
                <w:szCs w:val="22"/>
                <w:lang w:val="lt-LT"/>
              </w:rPr>
              <w:t>1. Ekonominės-politinės</w:t>
            </w: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Dažni ekonominės ir politinės sistemos pokyčiai</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Veikla ekonomiškai nestabiliuose regionuose</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Besikeičiančių rinkų veikiama veikla</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Valiutos kursų nestabilumas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Skolinimosi suvaržymai</w:t>
            </w:r>
          </w:p>
        </w:tc>
      </w:tr>
      <w:tr w:rsidR="00CD3D15" w:rsidRPr="00194225" w:rsidTr="00194225">
        <w:trPr>
          <w:jc w:val="center"/>
        </w:trPr>
        <w:tc>
          <w:tcPr>
            <w:tcW w:w="1816" w:type="dxa"/>
            <w:vMerge w:val="restart"/>
          </w:tcPr>
          <w:p w:rsidR="00CD3D15" w:rsidRPr="00194225" w:rsidRDefault="00CD3D15" w:rsidP="00CD3D15">
            <w:pPr>
              <w:tabs>
                <w:tab w:val="left" w:pos="510"/>
              </w:tabs>
              <w:jc w:val="both"/>
              <w:rPr>
                <w:sz w:val="22"/>
                <w:szCs w:val="22"/>
                <w:lang w:val="lt-LT"/>
              </w:rPr>
            </w:pPr>
            <w:r w:rsidRPr="00194225">
              <w:rPr>
                <w:sz w:val="22"/>
                <w:szCs w:val="22"/>
                <w:lang w:val="lt-LT"/>
              </w:rPr>
              <w:t xml:space="preserve">2. Reguliavimo </w:t>
            </w: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Didelis reguliavimo laipsnis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 xml:space="preserve">Priežiūros domėjimasis veikla </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Nauji apskaitos reikalavimai</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Mokesčių sistemos trūkumai</w:t>
            </w:r>
          </w:p>
        </w:tc>
      </w:tr>
      <w:tr w:rsidR="00CD3D15" w:rsidRPr="00194225" w:rsidTr="00194225">
        <w:trPr>
          <w:jc w:val="center"/>
        </w:trPr>
        <w:tc>
          <w:tcPr>
            <w:tcW w:w="1816" w:type="dxa"/>
            <w:vMerge w:val="restart"/>
          </w:tcPr>
          <w:p w:rsidR="00CD3D15" w:rsidRPr="00194225" w:rsidRDefault="00CD3D15" w:rsidP="00CD3D15">
            <w:pPr>
              <w:tabs>
                <w:tab w:val="left" w:pos="510"/>
              </w:tabs>
              <w:jc w:val="both"/>
              <w:rPr>
                <w:sz w:val="22"/>
                <w:szCs w:val="22"/>
                <w:lang w:val="lt-LT"/>
              </w:rPr>
            </w:pPr>
            <w:r w:rsidRPr="00194225">
              <w:rPr>
                <w:sz w:val="22"/>
                <w:szCs w:val="22"/>
                <w:lang w:val="lt-LT"/>
              </w:rPr>
              <w:t>3. Konkurencinės</w:t>
            </w: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Didelė konkurencija</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812A9" w:rsidP="00CD3D15">
            <w:pPr>
              <w:tabs>
                <w:tab w:val="left" w:pos="510"/>
              </w:tabs>
              <w:jc w:val="both"/>
              <w:rPr>
                <w:sz w:val="22"/>
                <w:szCs w:val="22"/>
                <w:lang w:val="lt-LT"/>
              </w:rPr>
            </w:pPr>
            <w:r w:rsidRPr="00194225">
              <w:rPr>
                <w:sz w:val="22"/>
                <w:szCs w:val="22"/>
                <w:lang w:val="lt-LT"/>
              </w:rPr>
              <w:t>Ūkio šakos augimas/</w:t>
            </w:r>
            <w:r w:rsidR="00CD3D15" w:rsidRPr="00194225">
              <w:rPr>
                <w:sz w:val="22"/>
                <w:szCs w:val="22"/>
                <w:lang w:val="lt-LT"/>
              </w:rPr>
              <w:t xml:space="preserve">nuosmukis ar permainos </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Permainos tiekimo grandinėje</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Klientų poreikio sumažėjimas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IT aplinkos pokyčiai</w:t>
            </w:r>
          </w:p>
        </w:tc>
      </w:tr>
      <w:tr w:rsidR="00CD3D15" w:rsidRPr="00194225" w:rsidTr="00194225">
        <w:trPr>
          <w:jc w:val="center"/>
        </w:trPr>
        <w:tc>
          <w:tcPr>
            <w:tcW w:w="8296" w:type="dxa"/>
            <w:gridSpan w:val="2"/>
          </w:tcPr>
          <w:p w:rsidR="00CD3D15" w:rsidRPr="00194225" w:rsidRDefault="00CD3D15" w:rsidP="008E4A5A">
            <w:pPr>
              <w:tabs>
                <w:tab w:val="left" w:pos="510"/>
              </w:tabs>
              <w:rPr>
                <w:sz w:val="22"/>
                <w:szCs w:val="22"/>
                <w:lang w:val="lt-LT"/>
              </w:rPr>
            </w:pPr>
            <w:r w:rsidRPr="00194225">
              <w:rPr>
                <w:b/>
                <w:sz w:val="22"/>
                <w:szCs w:val="22"/>
                <w:lang w:val="lt-LT"/>
              </w:rPr>
              <w:t>II. Įmonės vid</w:t>
            </w:r>
            <w:r w:rsidR="008E4A5A">
              <w:rPr>
                <w:b/>
                <w:sz w:val="22"/>
                <w:szCs w:val="22"/>
                <w:lang w:val="lt-LT"/>
              </w:rPr>
              <w:t>aus</w:t>
            </w:r>
            <w:r w:rsidRPr="00194225">
              <w:rPr>
                <w:b/>
                <w:sz w:val="22"/>
                <w:szCs w:val="22"/>
                <w:lang w:val="lt-LT"/>
              </w:rPr>
              <w:t xml:space="preserve"> aplink</w:t>
            </w:r>
            <w:r w:rsidR="008E4A5A">
              <w:rPr>
                <w:b/>
                <w:sz w:val="22"/>
                <w:szCs w:val="22"/>
                <w:lang w:val="lt-LT"/>
              </w:rPr>
              <w:t>a</w:t>
            </w:r>
            <w:r w:rsidRPr="00194225">
              <w:rPr>
                <w:b/>
                <w:sz w:val="22"/>
                <w:szCs w:val="22"/>
                <w:lang w:val="lt-LT"/>
              </w:rPr>
              <w:t xml:space="preserve"> </w:t>
            </w:r>
          </w:p>
        </w:tc>
      </w:tr>
      <w:tr w:rsidR="00E62E10" w:rsidRPr="00194225" w:rsidTr="00194225">
        <w:trPr>
          <w:jc w:val="center"/>
        </w:trPr>
        <w:tc>
          <w:tcPr>
            <w:tcW w:w="1816" w:type="dxa"/>
            <w:vMerge w:val="restart"/>
          </w:tcPr>
          <w:p w:rsidR="00E62E10" w:rsidRPr="00194225" w:rsidRDefault="00E62E10" w:rsidP="00CD3D15">
            <w:pPr>
              <w:tabs>
                <w:tab w:val="left" w:pos="510"/>
              </w:tabs>
              <w:jc w:val="both"/>
              <w:rPr>
                <w:sz w:val="22"/>
                <w:szCs w:val="22"/>
                <w:lang w:val="lt-LT"/>
              </w:rPr>
            </w:pPr>
            <w:r w:rsidRPr="00194225">
              <w:rPr>
                <w:sz w:val="22"/>
                <w:szCs w:val="22"/>
                <w:lang w:val="lt-LT"/>
              </w:rPr>
              <w:t>1. Strateginės</w:t>
            </w:r>
          </w:p>
        </w:tc>
        <w:tc>
          <w:tcPr>
            <w:tcW w:w="6480" w:type="dxa"/>
          </w:tcPr>
          <w:p w:rsidR="00E62E10" w:rsidRPr="00194225" w:rsidRDefault="00E62E10" w:rsidP="00CD3D15">
            <w:pPr>
              <w:tabs>
                <w:tab w:val="left" w:pos="510"/>
              </w:tabs>
              <w:jc w:val="both"/>
              <w:rPr>
                <w:sz w:val="22"/>
                <w:szCs w:val="22"/>
                <w:lang w:val="lt-LT"/>
              </w:rPr>
            </w:pPr>
            <w:r w:rsidRPr="00194225">
              <w:rPr>
                <w:sz w:val="22"/>
                <w:szCs w:val="22"/>
                <w:lang w:val="lt-LT"/>
              </w:rPr>
              <w:t>Naujų produktų, paslaugų ar verslo rūšies plėtra</w:t>
            </w:r>
          </w:p>
        </w:tc>
      </w:tr>
      <w:tr w:rsidR="00E62E10" w:rsidRPr="00194225" w:rsidTr="00194225">
        <w:trPr>
          <w:jc w:val="center"/>
        </w:trPr>
        <w:tc>
          <w:tcPr>
            <w:tcW w:w="1816" w:type="dxa"/>
            <w:vMerge/>
          </w:tcPr>
          <w:p w:rsidR="00E62E10" w:rsidRPr="00194225" w:rsidRDefault="00E62E10" w:rsidP="00CD3D15">
            <w:pPr>
              <w:tabs>
                <w:tab w:val="left" w:pos="510"/>
              </w:tabs>
              <w:jc w:val="both"/>
              <w:rPr>
                <w:sz w:val="22"/>
                <w:szCs w:val="22"/>
                <w:lang w:val="lt-LT"/>
              </w:rPr>
            </w:pPr>
          </w:p>
        </w:tc>
        <w:tc>
          <w:tcPr>
            <w:tcW w:w="6480" w:type="dxa"/>
          </w:tcPr>
          <w:p w:rsidR="00E62E10" w:rsidRPr="00194225" w:rsidRDefault="00E62E10" w:rsidP="00E62E10">
            <w:pPr>
              <w:tabs>
                <w:tab w:val="left" w:pos="510"/>
              </w:tabs>
              <w:jc w:val="both"/>
              <w:rPr>
                <w:sz w:val="22"/>
                <w:szCs w:val="22"/>
                <w:lang w:val="lt-LT"/>
              </w:rPr>
            </w:pPr>
            <w:r w:rsidRPr="00194225">
              <w:rPr>
                <w:sz w:val="22"/>
                <w:szCs w:val="22"/>
                <w:lang w:val="lt-LT"/>
              </w:rPr>
              <w:t>Plėtra į naujas vietoves, dideli įsigijimai</w:t>
            </w:r>
          </w:p>
        </w:tc>
      </w:tr>
      <w:tr w:rsidR="00E62E10" w:rsidRPr="00194225" w:rsidTr="00194225">
        <w:trPr>
          <w:jc w:val="center"/>
        </w:trPr>
        <w:tc>
          <w:tcPr>
            <w:tcW w:w="1816" w:type="dxa"/>
            <w:vMerge/>
          </w:tcPr>
          <w:p w:rsidR="00E62E10" w:rsidRPr="00194225" w:rsidRDefault="00E62E10" w:rsidP="00CD3D15">
            <w:pPr>
              <w:tabs>
                <w:tab w:val="left" w:pos="510"/>
              </w:tabs>
              <w:jc w:val="both"/>
              <w:rPr>
                <w:sz w:val="22"/>
                <w:szCs w:val="22"/>
                <w:lang w:val="lt-LT"/>
              </w:rPr>
            </w:pPr>
          </w:p>
        </w:tc>
        <w:tc>
          <w:tcPr>
            <w:tcW w:w="6480" w:type="dxa"/>
          </w:tcPr>
          <w:p w:rsidR="00E62E10" w:rsidRPr="00194225" w:rsidRDefault="00E62E10" w:rsidP="00CD3D15">
            <w:pPr>
              <w:tabs>
                <w:tab w:val="left" w:pos="510"/>
              </w:tabs>
              <w:jc w:val="both"/>
              <w:rPr>
                <w:sz w:val="22"/>
                <w:szCs w:val="22"/>
                <w:lang w:val="lt-LT"/>
              </w:rPr>
            </w:pPr>
            <w:r w:rsidRPr="00194225">
              <w:rPr>
                <w:sz w:val="22"/>
                <w:szCs w:val="22"/>
                <w:lang w:val="lt-LT"/>
              </w:rPr>
              <w:t>Sudėtingi susijungimai, bendros įmonės, reorganizacija</w:t>
            </w:r>
          </w:p>
        </w:tc>
      </w:tr>
      <w:tr w:rsidR="00E62E10" w:rsidRPr="00194225" w:rsidTr="00194225">
        <w:trPr>
          <w:jc w:val="center"/>
        </w:trPr>
        <w:tc>
          <w:tcPr>
            <w:tcW w:w="1816" w:type="dxa"/>
            <w:vMerge/>
          </w:tcPr>
          <w:p w:rsidR="00E62E10" w:rsidRPr="00194225" w:rsidRDefault="00E62E10" w:rsidP="00CD3D15">
            <w:pPr>
              <w:tabs>
                <w:tab w:val="left" w:pos="510"/>
              </w:tabs>
              <w:jc w:val="both"/>
              <w:rPr>
                <w:sz w:val="22"/>
                <w:szCs w:val="22"/>
                <w:lang w:val="lt-LT"/>
              </w:rPr>
            </w:pPr>
          </w:p>
        </w:tc>
        <w:tc>
          <w:tcPr>
            <w:tcW w:w="6480" w:type="dxa"/>
          </w:tcPr>
          <w:p w:rsidR="00E62E10" w:rsidRPr="00194225" w:rsidRDefault="00E62E10" w:rsidP="00CD3D15">
            <w:pPr>
              <w:tabs>
                <w:tab w:val="left" w:pos="510"/>
              </w:tabs>
              <w:jc w:val="both"/>
              <w:rPr>
                <w:sz w:val="22"/>
                <w:szCs w:val="22"/>
                <w:lang w:val="lt-LT"/>
              </w:rPr>
            </w:pPr>
            <w:r w:rsidRPr="00194225">
              <w:rPr>
                <w:sz w:val="22"/>
                <w:szCs w:val="22"/>
                <w:lang w:val="lt-LT"/>
              </w:rPr>
              <w:t>Įmonės ar verslo segmentai, kuriuos ketinama parduoti</w:t>
            </w:r>
          </w:p>
        </w:tc>
      </w:tr>
      <w:tr w:rsidR="00E62E10" w:rsidRPr="00194225" w:rsidTr="00194225">
        <w:trPr>
          <w:jc w:val="center"/>
        </w:trPr>
        <w:tc>
          <w:tcPr>
            <w:tcW w:w="1816" w:type="dxa"/>
            <w:vMerge/>
          </w:tcPr>
          <w:p w:rsidR="00E62E10" w:rsidRPr="00194225" w:rsidRDefault="00E62E10" w:rsidP="00CD3D15">
            <w:pPr>
              <w:tabs>
                <w:tab w:val="left" w:pos="510"/>
              </w:tabs>
              <w:jc w:val="both"/>
              <w:rPr>
                <w:sz w:val="22"/>
                <w:szCs w:val="22"/>
                <w:lang w:val="lt-LT"/>
              </w:rPr>
            </w:pPr>
          </w:p>
        </w:tc>
        <w:tc>
          <w:tcPr>
            <w:tcW w:w="6480" w:type="dxa"/>
          </w:tcPr>
          <w:p w:rsidR="00E62E10" w:rsidRPr="00194225" w:rsidRDefault="00E62E10" w:rsidP="00CD3D15">
            <w:pPr>
              <w:tabs>
                <w:tab w:val="left" w:pos="510"/>
              </w:tabs>
              <w:jc w:val="both"/>
              <w:rPr>
                <w:sz w:val="22"/>
                <w:szCs w:val="22"/>
                <w:lang w:val="lt-LT"/>
              </w:rPr>
            </w:pPr>
            <w:r w:rsidRPr="00194225">
              <w:rPr>
                <w:sz w:val="22"/>
                <w:szCs w:val="22"/>
                <w:lang w:val="lt-LT"/>
              </w:rPr>
              <w:t>Kapitalo trūkumas ir sudėtingi finansavimo būdai</w:t>
            </w:r>
          </w:p>
        </w:tc>
      </w:tr>
      <w:tr w:rsidR="00E62E10" w:rsidRPr="00194225" w:rsidTr="00194225">
        <w:trPr>
          <w:jc w:val="center"/>
        </w:trPr>
        <w:tc>
          <w:tcPr>
            <w:tcW w:w="1816" w:type="dxa"/>
            <w:vMerge/>
          </w:tcPr>
          <w:p w:rsidR="00E62E10" w:rsidRPr="00194225" w:rsidRDefault="00E62E10" w:rsidP="00CD3D15">
            <w:pPr>
              <w:tabs>
                <w:tab w:val="left" w:pos="510"/>
              </w:tabs>
              <w:jc w:val="both"/>
              <w:rPr>
                <w:sz w:val="22"/>
                <w:szCs w:val="22"/>
                <w:lang w:val="lt-LT"/>
              </w:rPr>
            </w:pPr>
          </w:p>
        </w:tc>
        <w:tc>
          <w:tcPr>
            <w:tcW w:w="6480" w:type="dxa"/>
          </w:tcPr>
          <w:p w:rsidR="00E62E10" w:rsidRPr="00194225" w:rsidRDefault="00E62E10" w:rsidP="00CD3D15">
            <w:pPr>
              <w:tabs>
                <w:tab w:val="left" w:pos="510"/>
              </w:tabs>
              <w:jc w:val="both"/>
              <w:rPr>
                <w:sz w:val="22"/>
                <w:szCs w:val="22"/>
                <w:lang w:val="lt-LT"/>
              </w:rPr>
            </w:pPr>
            <w:r w:rsidRPr="00194225">
              <w:rPr>
                <w:sz w:val="22"/>
                <w:szCs w:val="22"/>
                <w:lang w:val="lt-LT"/>
              </w:rPr>
              <w:t>Investuotojų lūkesčių tenkinimas</w:t>
            </w:r>
          </w:p>
        </w:tc>
      </w:tr>
      <w:tr w:rsidR="00E62E10" w:rsidRPr="00194225" w:rsidTr="00194225">
        <w:trPr>
          <w:jc w:val="center"/>
        </w:trPr>
        <w:tc>
          <w:tcPr>
            <w:tcW w:w="1816" w:type="dxa"/>
            <w:vMerge/>
          </w:tcPr>
          <w:p w:rsidR="00E62E10" w:rsidRPr="00194225" w:rsidRDefault="00E62E10" w:rsidP="00CD3D15">
            <w:pPr>
              <w:tabs>
                <w:tab w:val="left" w:pos="510"/>
              </w:tabs>
              <w:jc w:val="both"/>
              <w:rPr>
                <w:sz w:val="22"/>
                <w:szCs w:val="22"/>
                <w:lang w:val="lt-LT"/>
              </w:rPr>
            </w:pPr>
          </w:p>
        </w:tc>
        <w:tc>
          <w:tcPr>
            <w:tcW w:w="6480" w:type="dxa"/>
          </w:tcPr>
          <w:p w:rsidR="00E62E10" w:rsidRPr="00194225" w:rsidRDefault="00E62E10" w:rsidP="00CD3D15">
            <w:pPr>
              <w:tabs>
                <w:tab w:val="left" w:pos="510"/>
              </w:tabs>
              <w:jc w:val="both"/>
              <w:rPr>
                <w:sz w:val="22"/>
                <w:szCs w:val="22"/>
                <w:lang w:val="lt-LT"/>
              </w:rPr>
            </w:pPr>
            <w:r w:rsidRPr="00194225">
              <w:rPr>
                <w:sz w:val="22"/>
                <w:szCs w:val="22"/>
                <w:lang w:val="lt-LT"/>
              </w:rPr>
              <w:t>Nesuderinta įmonės IT strategija ir verslo strategija</w:t>
            </w:r>
          </w:p>
        </w:tc>
      </w:tr>
      <w:tr w:rsidR="00CD3D15" w:rsidRPr="00194225" w:rsidTr="00194225">
        <w:trPr>
          <w:jc w:val="center"/>
        </w:trPr>
        <w:tc>
          <w:tcPr>
            <w:tcW w:w="1816" w:type="dxa"/>
            <w:vMerge w:val="restart"/>
          </w:tcPr>
          <w:p w:rsidR="00CD3D15" w:rsidRPr="00194225" w:rsidRDefault="00CD3D15" w:rsidP="00CD3D15">
            <w:pPr>
              <w:tabs>
                <w:tab w:val="left" w:pos="510"/>
              </w:tabs>
              <w:jc w:val="both"/>
              <w:rPr>
                <w:sz w:val="22"/>
                <w:szCs w:val="22"/>
                <w:lang w:val="lt-LT"/>
              </w:rPr>
            </w:pPr>
            <w:r w:rsidRPr="00194225">
              <w:rPr>
                <w:sz w:val="22"/>
                <w:szCs w:val="22"/>
                <w:lang w:val="lt-LT"/>
              </w:rPr>
              <w:t>2. Valdymo ir vidaus kontrolės</w:t>
            </w: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Vieno asmens</w:t>
            </w:r>
            <w:r w:rsidR="004438F5" w:rsidRPr="00194225">
              <w:rPr>
                <w:sz w:val="22"/>
                <w:szCs w:val="22"/>
                <w:lang w:val="lt-LT"/>
              </w:rPr>
              <w:t>,</w:t>
            </w:r>
            <w:r w:rsidRPr="00194225">
              <w:rPr>
                <w:sz w:val="22"/>
                <w:szCs w:val="22"/>
                <w:lang w:val="lt-LT"/>
              </w:rPr>
              <w:t xml:space="preserve"> o ne asmenų grupės dominavimas valdyme</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Netinkama vadovybės filosofija ir veiklos pobūdis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Vadovybės sąžiningumo trūkumas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Vadovybės kompetencijos stoka</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Organizacinės struktūros, pareigų atskyrimo, įgaliojimų politikos trūkumai</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Už valdymą atsakingų asmenų spaudimas vadovybei</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Vadovybės/už valdymą atsakingų asmenų atlyginimo priklausomybė nuo finansinių rezultatų</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Vadovybės sprendimu registruojamos ūkinės operacijos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Vidaus audito padalinio/audito komiteto nebuvimas ar neveiksmingumas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Vidaus kontrolės nepaisymas ar netobulinimas, nepakankama stebėsena</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Svarbių vadovų ar darbuotojų pasitraukimas/pasikeitimas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Neveiksmingai deklaruojamos vertybės ir etikos normos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Turto grobstymo tikimybė</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Audito/kitų patikrinimų periodinis neatlikimas</w:t>
            </w:r>
          </w:p>
        </w:tc>
      </w:tr>
      <w:tr w:rsidR="00B97E99" w:rsidRPr="00194225" w:rsidTr="00194225">
        <w:trPr>
          <w:jc w:val="center"/>
        </w:trPr>
        <w:tc>
          <w:tcPr>
            <w:tcW w:w="1816" w:type="dxa"/>
            <w:vMerge w:val="restart"/>
          </w:tcPr>
          <w:p w:rsidR="00B97E99" w:rsidRPr="00194225" w:rsidRDefault="00B97E99" w:rsidP="00CD3D15">
            <w:pPr>
              <w:tabs>
                <w:tab w:val="left" w:pos="510"/>
              </w:tabs>
              <w:jc w:val="both"/>
              <w:rPr>
                <w:sz w:val="22"/>
                <w:szCs w:val="22"/>
                <w:lang w:val="lt-LT"/>
              </w:rPr>
            </w:pPr>
            <w:r w:rsidRPr="00194225">
              <w:rPr>
                <w:sz w:val="22"/>
                <w:szCs w:val="22"/>
                <w:lang w:val="lt-LT"/>
              </w:rPr>
              <w:t>3. Veiklos</w:t>
            </w:r>
          </w:p>
        </w:tc>
        <w:tc>
          <w:tcPr>
            <w:tcW w:w="6480" w:type="dxa"/>
          </w:tcPr>
          <w:p w:rsidR="00B97E99" w:rsidRPr="00194225" w:rsidRDefault="00B97E99" w:rsidP="00CD3D15">
            <w:pPr>
              <w:tabs>
                <w:tab w:val="left" w:pos="510"/>
              </w:tabs>
              <w:jc w:val="both"/>
              <w:rPr>
                <w:sz w:val="22"/>
                <w:szCs w:val="22"/>
                <w:lang w:val="lt-LT"/>
              </w:rPr>
            </w:pPr>
            <w:r w:rsidRPr="00194225">
              <w:rPr>
                <w:sz w:val="22"/>
                <w:szCs w:val="22"/>
                <w:lang w:val="lt-LT"/>
              </w:rPr>
              <w:t>Gamybos įrengimų ir technologinių procesų sudėtingumas</w:t>
            </w:r>
          </w:p>
        </w:tc>
      </w:tr>
      <w:tr w:rsidR="00B97E99" w:rsidRPr="00194225" w:rsidTr="00194225">
        <w:trPr>
          <w:jc w:val="center"/>
        </w:trPr>
        <w:tc>
          <w:tcPr>
            <w:tcW w:w="1816" w:type="dxa"/>
            <w:vMerge/>
          </w:tcPr>
          <w:p w:rsidR="00B97E99" w:rsidRPr="00194225" w:rsidRDefault="00B97E99" w:rsidP="00CD3D15">
            <w:pPr>
              <w:tabs>
                <w:tab w:val="left" w:pos="510"/>
              </w:tabs>
              <w:jc w:val="both"/>
              <w:rPr>
                <w:sz w:val="22"/>
                <w:szCs w:val="22"/>
                <w:lang w:val="lt-LT"/>
              </w:rPr>
            </w:pPr>
          </w:p>
        </w:tc>
        <w:tc>
          <w:tcPr>
            <w:tcW w:w="6480" w:type="dxa"/>
          </w:tcPr>
          <w:p w:rsidR="00B97E99" w:rsidRPr="00194225" w:rsidRDefault="00B97E99" w:rsidP="00CD3D15">
            <w:pPr>
              <w:tabs>
                <w:tab w:val="left" w:pos="510"/>
              </w:tabs>
              <w:jc w:val="both"/>
              <w:rPr>
                <w:sz w:val="22"/>
                <w:szCs w:val="22"/>
                <w:lang w:val="lt-LT"/>
              </w:rPr>
            </w:pPr>
            <w:r w:rsidRPr="00194225">
              <w:rPr>
                <w:sz w:val="22"/>
                <w:szCs w:val="22"/>
                <w:lang w:val="lt-LT"/>
              </w:rPr>
              <w:t>Didelis gaminamos produkcijos/teikiamų paslaugų asortimentas</w:t>
            </w:r>
          </w:p>
        </w:tc>
      </w:tr>
      <w:tr w:rsidR="00B97E99" w:rsidRPr="00194225" w:rsidTr="00194225">
        <w:trPr>
          <w:jc w:val="center"/>
        </w:trPr>
        <w:tc>
          <w:tcPr>
            <w:tcW w:w="1816" w:type="dxa"/>
            <w:vMerge/>
          </w:tcPr>
          <w:p w:rsidR="00B97E99" w:rsidRPr="00194225" w:rsidRDefault="00B97E99" w:rsidP="00CD3D15">
            <w:pPr>
              <w:tabs>
                <w:tab w:val="left" w:pos="510"/>
              </w:tabs>
              <w:jc w:val="both"/>
              <w:rPr>
                <w:sz w:val="22"/>
                <w:szCs w:val="22"/>
                <w:lang w:val="lt-LT"/>
              </w:rPr>
            </w:pPr>
          </w:p>
        </w:tc>
        <w:tc>
          <w:tcPr>
            <w:tcW w:w="6480" w:type="dxa"/>
          </w:tcPr>
          <w:p w:rsidR="00B97E99" w:rsidRPr="00194225" w:rsidRDefault="00B97E99" w:rsidP="00CD3D15">
            <w:pPr>
              <w:tabs>
                <w:tab w:val="left" w:pos="510"/>
              </w:tabs>
              <w:jc w:val="both"/>
              <w:rPr>
                <w:sz w:val="22"/>
                <w:szCs w:val="22"/>
                <w:lang w:val="lt-LT"/>
              </w:rPr>
            </w:pPr>
            <w:r w:rsidRPr="00194225">
              <w:rPr>
                <w:sz w:val="22"/>
                <w:szCs w:val="22"/>
                <w:lang w:val="lt-LT"/>
              </w:rPr>
              <w:t>Nevienodas pelningumas lyginant su kitomis ūkio šakos įmonėmis</w:t>
            </w:r>
          </w:p>
        </w:tc>
      </w:tr>
      <w:tr w:rsidR="00B97E99" w:rsidRPr="00194225" w:rsidTr="00194225">
        <w:trPr>
          <w:jc w:val="center"/>
        </w:trPr>
        <w:tc>
          <w:tcPr>
            <w:tcW w:w="1816" w:type="dxa"/>
            <w:vMerge/>
          </w:tcPr>
          <w:p w:rsidR="00B97E99" w:rsidRPr="00194225" w:rsidRDefault="00B97E99" w:rsidP="00CD3D15">
            <w:pPr>
              <w:tabs>
                <w:tab w:val="left" w:pos="510"/>
              </w:tabs>
              <w:jc w:val="both"/>
              <w:rPr>
                <w:sz w:val="22"/>
                <w:szCs w:val="22"/>
                <w:lang w:val="lt-LT"/>
              </w:rPr>
            </w:pPr>
          </w:p>
        </w:tc>
        <w:tc>
          <w:tcPr>
            <w:tcW w:w="6480" w:type="dxa"/>
          </w:tcPr>
          <w:p w:rsidR="00B97E99" w:rsidRPr="00194225" w:rsidRDefault="00B97E99" w:rsidP="00CD3D15">
            <w:pPr>
              <w:tabs>
                <w:tab w:val="left" w:pos="510"/>
              </w:tabs>
              <w:jc w:val="both"/>
              <w:rPr>
                <w:sz w:val="22"/>
                <w:szCs w:val="22"/>
                <w:lang w:val="lt-LT"/>
              </w:rPr>
            </w:pPr>
            <w:r w:rsidRPr="00194225">
              <w:rPr>
                <w:sz w:val="22"/>
                <w:szCs w:val="22"/>
                <w:lang w:val="lt-LT"/>
              </w:rPr>
              <w:t>Veiklos tęstinumo ir likvidumo klausimai</w:t>
            </w:r>
          </w:p>
        </w:tc>
      </w:tr>
      <w:tr w:rsidR="00B97E99" w:rsidRPr="00194225" w:rsidTr="00194225">
        <w:trPr>
          <w:jc w:val="center"/>
        </w:trPr>
        <w:tc>
          <w:tcPr>
            <w:tcW w:w="1816" w:type="dxa"/>
            <w:vMerge/>
          </w:tcPr>
          <w:p w:rsidR="00B97E99" w:rsidRPr="00194225" w:rsidRDefault="00B97E99" w:rsidP="00CD3D15">
            <w:pPr>
              <w:tabs>
                <w:tab w:val="left" w:pos="510"/>
              </w:tabs>
              <w:jc w:val="both"/>
              <w:rPr>
                <w:sz w:val="22"/>
                <w:szCs w:val="22"/>
                <w:lang w:val="lt-LT"/>
              </w:rPr>
            </w:pPr>
          </w:p>
        </w:tc>
        <w:tc>
          <w:tcPr>
            <w:tcW w:w="6480" w:type="dxa"/>
          </w:tcPr>
          <w:p w:rsidR="00B97E99" w:rsidRPr="00194225" w:rsidRDefault="00B97E99" w:rsidP="00CD3D15">
            <w:pPr>
              <w:tabs>
                <w:tab w:val="left" w:pos="510"/>
              </w:tabs>
              <w:jc w:val="both"/>
              <w:rPr>
                <w:sz w:val="22"/>
                <w:szCs w:val="22"/>
                <w:lang w:val="lt-LT"/>
              </w:rPr>
            </w:pPr>
            <w:r w:rsidRPr="00194225">
              <w:rPr>
                <w:sz w:val="22"/>
                <w:szCs w:val="22"/>
                <w:lang w:val="lt-LT"/>
              </w:rPr>
              <w:t>Pasikartojantys neigiami pinigų srautai iš įprastinės veiklos</w:t>
            </w:r>
          </w:p>
        </w:tc>
      </w:tr>
      <w:tr w:rsidR="00B97E99" w:rsidRPr="00194225" w:rsidTr="00194225">
        <w:trPr>
          <w:jc w:val="center"/>
        </w:trPr>
        <w:tc>
          <w:tcPr>
            <w:tcW w:w="1816" w:type="dxa"/>
            <w:vMerge/>
          </w:tcPr>
          <w:p w:rsidR="00B97E99" w:rsidRPr="00194225" w:rsidRDefault="00B97E99" w:rsidP="00CD3D15">
            <w:pPr>
              <w:tabs>
                <w:tab w:val="left" w:pos="510"/>
              </w:tabs>
              <w:jc w:val="both"/>
              <w:rPr>
                <w:sz w:val="22"/>
                <w:szCs w:val="22"/>
                <w:lang w:val="lt-LT"/>
              </w:rPr>
            </w:pPr>
          </w:p>
        </w:tc>
        <w:tc>
          <w:tcPr>
            <w:tcW w:w="6480" w:type="dxa"/>
          </w:tcPr>
          <w:p w:rsidR="00B97E99" w:rsidRPr="00194225" w:rsidRDefault="00B97E99" w:rsidP="00CD3D15">
            <w:pPr>
              <w:tabs>
                <w:tab w:val="left" w:pos="510"/>
              </w:tabs>
              <w:jc w:val="both"/>
              <w:rPr>
                <w:sz w:val="22"/>
                <w:szCs w:val="22"/>
                <w:lang w:val="lt-LT"/>
              </w:rPr>
            </w:pPr>
            <w:r w:rsidRPr="00194225">
              <w:rPr>
                <w:sz w:val="22"/>
                <w:szCs w:val="22"/>
                <w:lang w:val="lt-LT"/>
              </w:rPr>
              <w:t>Sandoriai su susijusiomis šalimis</w:t>
            </w:r>
          </w:p>
        </w:tc>
      </w:tr>
      <w:tr w:rsidR="00B97E99" w:rsidRPr="00194225" w:rsidTr="00194225">
        <w:trPr>
          <w:jc w:val="center"/>
        </w:trPr>
        <w:tc>
          <w:tcPr>
            <w:tcW w:w="1816" w:type="dxa"/>
            <w:vMerge w:val="restart"/>
          </w:tcPr>
          <w:p w:rsidR="00B97E99" w:rsidRPr="00194225" w:rsidRDefault="00B97E99" w:rsidP="00CD3D15">
            <w:pPr>
              <w:tabs>
                <w:tab w:val="left" w:pos="510"/>
              </w:tabs>
              <w:jc w:val="both"/>
              <w:rPr>
                <w:sz w:val="22"/>
                <w:szCs w:val="22"/>
                <w:lang w:val="lt-LT"/>
              </w:rPr>
            </w:pPr>
            <w:r w:rsidRPr="00194225">
              <w:rPr>
                <w:sz w:val="22"/>
                <w:szCs w:val="22"/>
                <w:lang w:val="lt-LT"/>
              </w:rPr>
              <w:lastRenderedPageBreak/>
              <w:t>3. Veiklos</w:t>
            </w:r>
          </w:p>
        </w:tc>
        <w:tc>
          <w:tcPr>
            <w:tcW w:w="6480" w:type="dxa"/>
          </w:tcPr>
          <w:p w:rsidR="00B97E99" w:rsidRPr="00194225" w:rsidRDefault="00B97E99" w:rsidP="00CD3D15">
            <w:pPr>
              <w:tabs>
                <w:tab w:val="left" w:pos="510"/>
              </w:tabs>
              <w:jc w:val="both"/>
              <w:rPr>
                <w:sz w:val="22"/>
                <w:szCs w:val="22"/>
                <w:lang w:val="lt-LT"/>
              </w:rPr>
            </w:pPr>
            <w:r w:rsidRPr="00194225">
              <w:rPr>
                <w:sz w:val="22"/>
                <w:szCs w:val="22"/>
                <w:lang w:val="lt-LT"/>
              </w:rPr>
              <w:t>Didelis neįprastų, sudėtingų arba nesistemingų ūkinių operacijų kiekis</w:t>
            </w:r>
          </w:p>
        </w:tc>
      </w:tr>
      <w:tr w:rsidR="00B97E99" w:rsidRPr="00194225" w:rsidTr="00194225">
        <w:trPr>
          <w:jc w:val="center"/>
        </w:trPr>
        <w:tc>
          <w:tcPr>
            <w:tcW w:w="1816" w:type="dxa"/>
            <w:vMerge/>
          </w:tcPr>
          <w:p w:rsidR="00B97E99" w:rsidRPr="00194225" w:rsidRDefault="00B97E99" w:rsidP="00CD3D15">
            <w:pPr>
              <w:tabs>
                <w:tab w:val="left" w:pos="510"/>
              </w:tabs>
              <w:jc w:val="both"/>
              <w:rPr>
                <w:sz w:val="22"/>
                <w:szCs w:val="22"/>
                <w:lang w:val="lt-LT"/>
              </w:rPr>
            </w:pPr>
          </w:p>
        </w:tc>
        <w:tc>
          <w:tcPr>
            <w:tcW w:w="6480" w:type="dxa"/>
          </w:tcPr>
          <w:p w:rsidR="00B97E99" w:rsidRPr="00194225" w:rsidRDefault="00B97E99" w:rsidP="00CD3D15">
            <w:pPr>
              <w:tabs>
                <w:tab w:val="left" w:pos="510"/>
              </w:tabs>
              <w:jc w:val="both"/>
              <w:rPr>
                <w:sz w:val="22"/>
                <w:szCs w:val="22"/>
                <w:lang w:val="lt-LT"/>
              </w:rPr>
            </w:pPr>
            <w:r w:rsidRPr="00194225">
              <w:rPr>
                <w:sz w:val="22"/>
                <w:szCs w:val="22"/>
                <w:lang w:val="lt-LT"/>
              </w:rPr>
              <w:t>Bylinėjimasis ir neapibrėžti įsipareigojimai</w:t>
            </w:r>
          </w:p>
        </w:tc>
      </w:tr>
      <w:tr w:rsidR="00B97E99" w:rsidRPr="00194225" w:rsidTr="00194225">
        <w:trPr>
          <w:jc w:val="center"/>
        </w:trPr>
        <w:tc>
          <w:tcPr>
            <w:tcW w:w="1816" w:type="dxa"/>
            <w:vMerge/>
          </w:tcPr>
          <w:p w:rsidR="00B97E99" w:rsidRPr="00194225" w:rsidRDefault="00B97E99" w:rsidP="00CD3D15">
            <w:pPr>
              <w:tabs>
                <w:tab w:val="left" w:pos="510"/>
              </w:tabs>
              <w:jc w:val="both"/>
              <w:rPr>
                <w:sz w:val="22"/>
                <w:szCs w:val="22"/>
                <w:lang w:val="lt-LT"/>
              </w:rPr>
            </w:pPr>
          </w:p>
        </w:tc>
        <w:tc>
          <w:tcPr>
            <w:tcW w:w="6480" w:type="dxa"/>
          </w:tcPr>
          <w:p w:rsidR="00B97E99" w:rsidRPr="00194225" w:rsidRDefault="00B97E99" w:rsidP="00CD3D15">
            <w:pPr>
              <w:tabs>
                <w:tab w:val="left" w:pos="510"/>
              </w:tabs>
              <w:jc w:val="both"/>
              <w:rPr>
                <w:sz w:val="22"/>
                <w:szCs w:val="22"/>
                <w:lang w:val="lt-LT"/>
              </w:rPr>
            </w:pPr>
            <w:r w:rsidRPr="00194225">
              <w:rPr>
                <w:sz w:val="22"/>
                <w:szCs w:val="22"/>
                <w:lang w:val="lt-LT"/>
              </w:rPr>
              <w:t>Įvykiai ar ūkinės operacijos, susijusios su neapibrėžtais vertinimais</w:t>
            </w:r>
          </w:p>
        </w:tc>
      </w:tr>
      <w:tr w:rsidR="00CD3D15" w:rsidRPr="00194225" w:rsidTr="00194225">
        <w:trPr>
          <w:jc w:val="center"/>
        </w:trPr>
        <w:tc>
          <w:tcPr>
            <w:tcW w:w="1816" w:type="dxa"/>
            <w:vMerge w:val="restart"/>
          </w:tcPr>
          <w:p w:rsidR="00CD3D15" w:rsidRPr="00194225" w:rsidRDefault="00CD3D15" w:rsidP="00CD3D15">
            <w:pPr>
              <w:tabs>
                <w:tab w:val="left" w:pos="510"/>
              </w:tabs>
              <w:jc w:val="both"/>
              <w:rPr>
                <w:sz w:val="22"/>
                <w:szCs w:val="22"/>
                <w:lang w:val="lt-LT"/>
              </w:rPr>
            </w:pPr>
            <w:r w:rsidRPr="00194225">
              <w:rPr>
                <w:sz w:val="22"/>
                <w:szCs w:val="22"/>
                <w:lang w:val="lt-LT"/>
              </w:rPr>
              <w:t>4. Apskaitos</w:t>
            </w: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Netinkamas apskaitos personalo pareigų paskirstymas</w:t>
            </w:r>
          </w:p>
        </w:tc>
      </w:tr>
      <w:tr w:rsidR="000C00DE" w:rsidRPr="00194225" w:rsidTr="00194225">
        <w:trPr>
          <w:jc w:val="center"/>
        </w:trPr>
        <w:tc>
          <w:tcPr>
            <w:tcW w:w="1816" w:type="dxa"/>
            <w:vMerge/>
          </w:tcPr>
          <w:p w:rsidR="000C00DE" w:rsidRPr="00194225" w:rsidRDefault="000C00DE" w:rsidP="00CD3D15">
            <w:pPr>
              <w:tabs>
                <w:tab w:val="left" w:pos="510"/>
              </w:tabs>
              <w:jc w:val="both"/>
              <w:rPr>
                <w:sz w:val="22"/>
                <w:szCs w:val="22"/>
                <w:lang w:val="lt-LT"/>
              </w:rPr>
            </w:pPr>
          </w:p>
        </w:tc>
        <w:tc>
          <w:tcPr>
            <w:tcW w:w="6480" w:type="dxa"/>
          </w:tcPr>
          <w:p w:rsidR="000C00DE" w:rsidRPr="00194225" w:rsidRDefault="000C00DE" w:rsidP="00FB3ACE">
            <w:pPr>
              <w:tabs>
                <w:tab w:val="left" w:pos="510"/>
              </w:tabs>
              <w:jc w:val="both"/>
              <w:rPr>
                <w:sz w:val="22"/>
                <w:szCs w:val="22"/>
                <w:lang w:val="lt-LT"/>
              </w:rPr>
            </w:pPr>
            <w:r w:rsidRPr="00194225">
              <w:rPr>
                <w:sz w:val="22"/>
                <w:szCs w:val="22"/>
                <w:lang w:val="lt-LT"/>
              </w:rPr>
              <w:t xml:space="preserve">Žema apskaitos </w:t>
            </w:r>
            <w:r w:rsidR="00FB3ACE" w:rsidRPr="00194225">
              <w:rPr>
                <w:sz w:val="22"/>
                <w:szCs w:val="22"/>
                <w:lang w:val="lt-LT"/>
              </w:rPr>
              <w:t>personalo</w:t>
            </w:r>
            <w:r w:rsidRPr="00194225">
              <w:rPr>
                <w:sz w:val="22"/>
                <w:szCs w:val="22"/>
                <w:lang w:val="lt-LT"/>
              </w:rPr>
              <w:t xml:space="preserve"> kvalifikacij</w:t>
            </w:r>
            <w:r w:rsidR="00FB3ACE" w:rsidRPr="00194225">
              <w:rPr>
                <w:sz w:val="22"/>
                <w:szCs w:val="22"/>
                <w:lang w:val="lt-LT"/>
              </w:rPr>
              <w:t>a</w:t>
            </w:r>
            <w:r w:rsidRPr="00194225">
              <w:rPr>
                <w:sz w:val="22"/>
                <w:szCs w:val="22"/>
                <w:lang w:val="lt-LT"/>
              </w:rPr>
              <w:t xml:space="preserve"> ir kompetencij</w:t>
            </w:r>
            <w:r w:rsidR="00FB3ACE" w:rsidRPr="00194225">
              <w:rPr>
                <w:sz w:val="22"/>
                <w:szCs w:val="22"/>
                <w:lang w:val="lt-LT"/>
              </w:rPr>
              <w:t>a</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 xml:space="preserve">Tinkamo apskaitos personalo trūkumas/dažna kaita </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Neteisingos apskaitos politikos pasirinkimas</w:t>
            </w:r>
          </w:p>
        </w:tc>
      </w:tr>
      <w:tr w:rsidR="00FB3ACE" w:rsidRPr="00194225" w:rsidTr="00194225">
        <w:trPr>
          <w:jc w:val="center"/>
        </w:trPr>
        <w:tc>
          <w:tcPr>
            <w:tcW w:w="1816" w:type="dxa"/>
            <w:vMerge/>
          </w:tcPr>
          <w:p w:rsidR="00FB3ACE" w:rsidRPr="00194225" w:rsidRDefault="00FB3ACE" w:rsidP="00CD3D15">
            <w:pPr>
              <w:tabs>
                <w:tab w:val="left" w:pos="510"/>
              </w:tabs>
              <w:jc w:val="both"/>
              <w:rPr>
                <w:sz w:val="22"/>
                <w:szCs w:val="22"/>
                <w:lang w:val="lt-LT"/>
              </w:rPr>
            </w:pPr>
          </w:p>
        </w:tc>
        <w:tc>
          <w:tcPr>
            <w:tcW w:w="6480" w:type="dxa"/>
          </w:tcPr>
          <w:p w:rsidR="00FB3ACE" w:rsidRPr="00194225" w:rsidRDefault="00FB3ACE" w:rsidP="00FB3ACE">
            <w:pPr>
              <w:tabs>
                <w:tab w:val="left" w:pos="510"/>
              </w:tabs>
              <w:jc w:val="both"/>
              <w:rPr>
                <w:sz w:val="22"/>
                <w:szCs w:val="22"/>
                <w:lang w:val="lt-LT"/>
              </w:rPr>
            </w:pPr>
            <w:r w:rsidRPr="00194225">
              <w:rPr>
                <w:sz w:val="22"/>
                <w:szCs w:val="22"/>
                <w:lang w:val="lt-LT"/>
              </w:rPr>
              <w:t>Žemas apskaitos kompiuterizavimo lygis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Naujos apskaitos IT sistemos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B7691E">
            <w:pPr>
              <w:tabs>
                <w:tab w:val="left" w:pos="510"/>
              </w:tabs>
              <w:jc w:val="both"/>
              <w:rPr>
                <w:sz w:val="22"/>
                <w:szCs w:val="22"/>
                <w:lang w:val="lt-LT"/>
              </w:rPr>
            </w:pPr>
            <w:r w:rsidRPr="00194225">
              <w:rPr>
                <w:sz w:val="22"/>
                <w:szCs w:val="22"/>
                <w:lang w:val="lt-LT"/>
              </w:rPr>
              <w:t>Paplitęs apskaitinių įver</w:t>
            </w:r>
            <w:r w:rsidR="00B7691E" w:rsidRPr="00194225">
              <w:rPr>
                <w:sz w:val="22"/>
                <w:szCs w:val="22"/>
                <w:lang w:val="lt-LT"/>
              </w:rPr>
              <w:t>čių</w:t>
            </w:r>
            <w:r w:rsidRPr="00194225">
              <w:rPr>
                <w:sz w:val="22"/>
                <w:szCs w:val="22"/>
                <w:lang w:val="lt-LT"/>
              </w:rPr>
              <w:t xml:space="preserve"> taikymas</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Ataskaitinio laikotarpio pabaigoje daroma daug koregavimų</w:t>
            </w:r>
          </w:p>
        </w:tc>
      </w:tr>
      <w:tr w:rsidR="00CD3D15" w:rsidRPr="00194225" w:rsidTr="00194225">
        <w:trPr>
          <w:jc w:val="center"/>
        </w:trPr>
        <w:tc>
          <w:tcPr>
            <w:tcW w:w="1816" w:type="dxa"/>
            <w:vMerge/>
          </w:tcPr>
          <w:p w:rsidR="00CD3D15" w:rsidRPr="00194225" w:rsidRDefault="00CD3D15" w:rsidP="00CD3D15">
            <w:pPr>
              <w:tabs>
                <w:tab w:val="left" w:pos="510"/>
              </w:tabs>
              <w:jc w:val="both"/>
              <w:rPr>
                <w:sz w:val="22"/>
                <w:szCs w:val="22"/>
                <w:lang w:val="lt-LT"/>
              </w:rPr>
            </w:pPr>
          </w:p>
        </w:tc>
        <w:tc>
          <w:tcPr>
            <w:tcW w:w="6480" w:type="dxa"/>
          </w:tcPr>
          <w:p w:rsidR="00CD3D15" w:rsidRPr="00194225" w:rsidRDefault="00CD3D15" w:rsidP="00CD3D15">
            <w:pPr>
              <w:tabs>
                <w:tab w:val="left" w:pos="510"/>
              </w:tabs>
              <w:jc w:val="both"/>
              <w:rPr>
                <w:sz w:val="22"/>
                <w:szCs w:val="22"/>
                <w:lang w:val="lt-LT"/>
              </w:rPr>
            </w:pPr>
            <w:r w:rsidRPr="00194225">
              <w:rPr>
                <w:sz w:val="22"/>
                <w:szCs w:val="22"/>
                <w:lang w:val="lt-LT"/>
              </w:rPr>
              <w:t>Ankstesnių auditų metu nustatyta daug iškraipymų</w:t>
            </w:r>
          </w:p>
        </w:tc>
      </w:tr>
    </w:tbl>
    <w:p w:rsidR="00194225" w:rsidRDefault="00194225" w:rsidP="00194225">
      <w:pPr>
        <w:jc w:val="both"/>
        <w:rPr>
          <w:lang w:val="lt-LT"/>
        </w:rPr>
      </w:pPr>
      <w:r w:rsidRPr="000F4649">
        <w:rPr>
          <w:lang w:val="lt-LT"/>
        </w:rPr>
        <w:t>Šaltinis: sudaryta autor</w:t>
      </w:r>
      <w:r>
        <w:rPr>
          <w:lang w:val="lt-LT"/>
        </w:rPr>
        <w:t>ės</w:t>
      </w:r>
    </w:p>
    <w:p w:rsidR="00194225" w:rsidRDefault="00194225" w:rsidP="00993F20">
      <w:pPr>
        <w:tabs>
          <w:tab w:val="left" w:pos="567"/>
        </w:tabs>
        <w:jc w:val="right"/>
        <w:rPr>
          <w:b/>
          <w:sz w:val="24"/>
          <w:szCs w:val="24"/>
          <w:lang w:val="lt-LT"/>
        </w:rPr>
      </w:pPr>
    </w:p>
    <w:p w:rsidR="00194225" w:rsidRDefault="00194225">
      <w:pPr>
        <w:rPr>
          <w:b/>
          <w:sz w:val="24"/>
          <w:szCs w:val="24"/>
          <w:lang w:val="lt-LT"/>
        </w:rPr>
      </w:pPr>
      <w:r>
        <w:rPr>
          <w:b/>
          <w:sz w:val="24"/>
          <w:szCs w:val="24"/>
          <w:lang w:val="lt-LT"/>
        </w:rPr>
        <w:br w:type="page"/>
      </w:r>
    </w:p>
    <w:p w:rsidR="00993F20" w:rsidRPr="00091B10" w:rsidRDefault="009A700C" w:rsidP="00993F20">
      <w:pPr>
        <w:tabs>
          <w:tab w:val="left" w:pos="567"/>
        </w:tabs>
        <w:jc w:val="right"/>
        <w:rPr>
          <w:b/>
          <w:sz w:val="26"/>
          <w:szCs w:val="26"/>
          <w:lang w:val="lt-LT"/>
        </w:rPr>
      </w:pPr>
      <w:r w:rsidRPr="00091B10">
        <w:rPr>
          <w:b/>
          <w:sz w:val="26"/>
          <w:szCs w:val="26"/>
          <w:lang w:val="lt-LT"/>
        </w:rPr>
        <w:lastRenderedPageBreak/>
        <w:t>4</w:t>
      </w:r>
      <w:r w:rsidR="007B69DE" w:rsidRPr="00091B10">
        <w:rPr>
          <w:b/>
          <w:sz w:val="26"/>
          <w:szCs w:val="26"/>
          <w:lang w:val="lt-LT"/>
        </w:rPr>
        <w:t xml:space="preserve"> </w:t>
      </w:r>
      <w:r w:rsidR="00993F20" w:rsidRPr="00091B10">
        <w:rPr>
          <w:b/>
          <w:sz w:val="26"/>
          <w:szCs w:val="26"/>
          <w:lang w:val="lt-LT"/>
        </w:rPr>
        <w:t>PRIEDAS</w:t>
      </w:r>
    </w:p>
    <w:p w:rsidR="008B1335" w:rsidRPr="00091B10" w:rsidRDefault="009A700C" w:rsidP="009615AE">
      <w:pPr>
        <w:tabs>
          <w:tab w:val="left" w:pos="567"/>
        </w:tabs>
        <w:spacing w:before="120" w:after="120"/>
        <w:jc w:val="center"/>
        <w:rPr>
          <w:b/>
          <w:caps/>
          <w:sz w:val="26"/>
          <w:szCs w:val="26"/>
          <w:lang w:val="lt-LT"/>
        </w:rPr>
      </w:pPr>
      <w:r w:rsidRPr="00091B10">
        <w:rPr>
          <w:b/>
          <w:caps/>
          <w:sz w:val="26"/>
          <w:szCs w:val="26"/>
          <w:lang w:val="lt-LT"/>
        </w:rPr>
        <w:t xml:space="preserve">ĮMONĖS VERSLO </w:t>
      </w:r>
      <w:r w:rsidR="008B1335" w:rsidRPr="00091B10">
        <w:rPr>
          <w:b/>
          <w:caps/>
          <w:sz w:val="26"/>
          <w:szCs w:val="26"/>
          <w:lang w:val="lt-LT"/>
        </w:rPr>
        <w:t>Rizik</w:t>
      </w:r>
      <w:r w:rsidRPr="00091B10">
        <w:rPr>
          <w:b/>
          <w:caps/>
          <w:sz w:val="26"/>
          <w:szCs w:val="26"/>
          <w:lang w:val="lt-LT"/>
        </w:rPr>
        <w:t xml:space="preserve">OS VERTINIMAS </w:t>
      </w:r>
      <w:r w:rsidR="008B1335" w:rsidRPr="00091B10">
        <w:rPr>
          <w:b/>
          <w:caps/>
          <w:sz w:val="26"/>
          <w:szCs w:val="26"/>
          <w:lang w:val="lt-LT"/>
        </w:rPr>
        <w:t xml:space="preserve">audito </w:t>
      </w:r>
      <w:r w:rsidRPr="00091B10">
        <w:rPr>
          <w:b/>
          <w:caps/>
          <w:sz w:val="26"/>
          <w:szCs w:val="26"/>
          <w:lang w:val="lt-LT"/>
        </w:rPr>
        <w:t>METU</w:t>
      </w:r>
    </w:p>
    <w:p w:rsidR="009615AE" w:rsidRPr="00335006" w:rsidRDefault="009615AE" w:rsidP="00E62E10">
      <w:pPr>
        <w:tabs>
          <w:tab w:val="left" w:pos="567"/>
        </w:tabs>
        <w:jc w:val="center"/>
        <w:rPr>
          <w:caps/>
          <w:sz w:val="24"/>
          <w:szCs w:val="24"/>
          <w:lang w:val="lt-LT"/>
        </w:rPr>
      </w:pPr>
    </w:p>
    <w:p w:rsidR="008B1335" w:rsidRDefault="00166819" w:rsidP="002548D4">
      <w:pPr>
        <w:tabs>
          <w:tab w:val="left" w:pos="567"/>
        </w:tabs>
        <w:jc w:val="both"/>
        <w:rPr>
          <w:sz w:val="24"/>
          <w:szCs w:val="24"/>
          <w:lang w:val="lt-LT"/>
        </w:rPr>
      </w:pPr>
      <w:r>
        <w:rPr>
          <w:noProof/>
          <w:sz w:val="24"/>
          <w:szCs w:val="24"/>
          <w:lang w:val="lt-LT"/>
        </w:rPr>
        <w:pict>
          <v:group id="_x0000_s8571" style="position:absolute;left:0;text-align:left;margin-left:75.75pt;margin-top:6.15pt;width:285.8pt;height:399.4pt;z-index:251650048" coordorigin="3496,4809" coordsize="4493,8137">
            <v:rect id="_x0000_s8572" style="position:absolute;left:3593;top:6449;width:964;height:777" filled="f" stroked="f">
              <v:textbox style="mso-next-textbox:#_x0000_s8572">
                <w:txbxContent>
                  <w:p w:rsidR="00BE5795" w:rsidRPr="00194225" w:rsidRDefault="00BE5795" w:rsidP="002548D4">
                    <w:pPr>
                      <w:jc w:val="center"/>
                      <w:rPr>
                        <w:b/>
                        <w:sz w:val="22"/>
                        <w:szCs w:val="22"/>
                        <w:lang w:val="lt-LT"/>
                      </w:rPr>
                    </w:pPr>
                    <w:r w:rsidRPr="00194225">
                      <w:rPr>
                        <w:b/>
                        <w:sz w:val="22"/>
                        <w:szCs w:val="22"/>
                        <w:lang w:val="lt-LT"/>
                      </w:rPr>
                      <w:t>Įmonės lygis</w:t>
                    </w:r>
                  </w:p>
                </w:txbxContent>
              </v:textbox>
            </v:rect>
            <v:rect id="_x0000_s8573" style="position:absolute;left:3709;top:10505;width:964;height:777" filled="f" stroked="f">
              <v:textbox style="mso-next-textbox:#_x0000_s8573">
                <w:txbxContent>
                  <w:p w:rsidR="00BE5795" w:rsidRPr="00194225" w:rsidRDefault="00BE5795" w:rsidP="002548D4">
                    <w:pPr>
                      <w:jc w:val="center"/>
                      <w:rPr>
                        <w:b/>
                        <w:sz w:val="22"/>
                        <w:szCs w:val="22"/>
                        <w:lang w:val="lt-LT"/>
                      </w:rPr>
                    </w:pPr>
                    <w:r w:rsidRPr="00194225">
                      <w:rPr>
                        <w:b/>
                        <w:sz w:val="22"/>
                        <w:szCs w:val="22"/>
                        <w:lang w:val="lt-LT"/>
                      </w:rPr>
                      <w:t>Proceso lygis</w:t>
                    </w:r>
                  </w:p>
                </w:txbxContent>
              </v:textbox>
            </v:rect>
            <v:shape id="_x0000_s8574" type="#_x0000_t32" style="position:absolute;left:3496;top:8766;width:1177;height:0" o:connectortype="straight"/>
            <v:shape id="_x0000_s8575" type="#_x0000_t32" style="position:absolute;left:3593;top:12848;width:1177;height:0" o:connectortype="straight"/>
            <v:shape id="_x0000_s8576" type="#_x0000_t32" style="position:absolute;left:3496;top:4809;width:1177;height:0" o:connectortype="straight"/>
            <v:shape id="_x0000_s8577" type="#_x0000_t32" style="position:absolute;left:4106;top:4922;width:0;height:1602" o:connectortype="straight">
              <v:stroke endarrow="block"/>
            </v:shape>
            <v:shape id="_x0000_s8578" type="#_x0000_t32" style="position:absolute;left:4106;top:7089;width:0;height:1602" o:connectortype="straight">
              <v:stroke endarrow="block"/>
            </v:shape>
            <v:shape id="_x0000_s8579" type="#_x0000_t32" style="position:absolute;left:4106;top:11195;width:0;height:1602" o:connectortype="straight">
              <v:stroke endarrow="block"/>
            </v:shape>
            <v:shape id="_x0000_s8580" type="#_x0000_t32" style="position:absolute;left:4106;top:8903;width:0;height:1602" o:connectortype="straight">
              <v:stroke endarrow="block"/>
            </v:shape>
            <v:rect id="_x0000_s8581" style="position:absolute;left:5059;top:4809;width:2930;height:764" filled="f">
              <v:textbox style="mso-next-textbox:#_x0000_s8581">
                <w:txbxContent>
                  <w:p w:rsidR="00BE5795" w:rsidRPr="00194225" w:rsidRDefault="00BE5795" w:rsidP="002548D4">
                    <w:pPr>
                      <w:jc w:val="center"/>
                      <w:rPr>
                        <w:sz w:val="22"/>
                        <w:szCs w:val="22"/>
                        <w:lang w:val="lt-LT"/>
                      </w:rPr>
                    </w:pPr>
                    <w:r w:rsidRPr="00194225">
                      <w:rPr>
                        <w:sz w:val="22"/>
                        <w:szCs w:val="22"/>
                        <w:lang w:val="lt-LT"/>
                      </w:rPr>
                      <w:t xml:space="preserve">Atlikti įmonės lygio strateginę analizę </w:t>
                    </w:r>
                  </w:p>
                </w:txbxContent>
              </v:textbox>
            </v:rect>
            <v:rect id="_x0000_s8582" style="position:absolute;left:5059;top:5835;width:2930;height:752" filled="f">
              <v:textbox style="mso-next-textbox:#_x0000_s8582">
                <w:txbxContent>
                  <w:p w:rsidR="00BE5795" w:rsidRPr="00194225" w:rsidRDefault="00BE5795" w:rsidP="002548D4">
                    <w:pPr>
                      <w:jc w:val="center"/>
                      <w:rPr>
                        <w:sz w:val="22"/>
                        <w:szCs w:val="22"/>
                        <w:lang w:val="lt-LT"/>
                      </w:rPr>
                    </w:pPr>
                    <w:r w:rsidRPr="00194225">
                      <w:rPr>
                        <w:sz w:val="22"/>
                        <w:szCs w:val="22"/>
                        <w:lang w:val="lt-LT"/>
                      </w:rPr>
                      <w:t xml:space="preserve">Nustatyti ir vertinti įmonės </w:t>
                    </w:r>
                    <w:r w:rsidRPr="00194225">
                      <w:rPr>
                        <w:b/>
                        <w:sz w:val="22"/>
                        <w:szCs w:val="22"/>
                        <w:lang w:val="lt-LT"/>
                      </w:rPr>
                      <w:t>verslo rizikas</w:t>
                    </w:r>
                  </w:p>
                </w:txbxContent>
              </v:textbox>
            </v:rect>
            <v:rect id="_x0000_s8583" style="position:absolute;left:5059;top:6849;width:2930;height:751" filled="f">
              <v:textbox style="mso-next-textbox:#_x0000_s8583">
                <w:txbxContent>
                  <w:p w:rsidR="00BE5795" w:rsidRPr="00194225" w:rsidRDefault="00BE5795" w:rsidP="002548D4">
                    <w:pPr>
                      <w:jc w:val="center"/>
                      <w:rPr>
                        <w:sz w:val="22"/>
                        <w:szCs w:val="22"/>
                        <w:lang w:val="lt-LT"/>
                      </w:rPr>
                    </w:pPr>
                    <w:r w:rsidRPr="00194225">
                      <w:rPr>
                        <w:sz w:val="22"/>
                        <w:szCs w:val="22"/>
                        <w:lang w:val="lt-LT"/>
                      </w:rPr>
                      <w:t>Nustatyti verslo rizikų poveikį finansinėms ataskaitoms</w:t>
                    </w:r>
                  </w:p>
                </w:txbxContent>
              </v:textbox>
            </v:rect>
            <v:rect id="_x0000_s8584" style="position:absolute;left:5059;top:8903;width:2930;height:739" filled="f">
              <v:textbox style="mso-next-textbox:#_x0000_s8584">
                <w:txbxContent>
                  <w:p w:rsidR="00BE5795" w:rsidRPr="00194225" w:rsidRDefault="00BE5795" w:rsidP="002548D4">
                    <w:pPr>
                      <w:jc w:val="center"/>
                      <w:rPr>
                        <w:sz w:val="22"/>
                        <w:szCs w:val="22"/>
                        <w:lang w:val="lt-LT"/>
                      </w:rPr>
                    </w:pPr>
                    <w:r w:rsidRPr="00194225">
                      <w:rPr>
                        <w:sz w:val="22"/>
                        <w:szCs w:val="22"/>
                        <w:lang w:val="lt-LT"/>
                      </w:rPr>
                      <w:t xml:space="preserve">Atlikti (neatlikti) verslo proceso lygio analizę </w:t>
                    </w:r>
                  </w:p>
                </w:txbxContent>
              </v:textbox>
            </v:rect>
            <v:rect id="_x0000_s8585" style="position:absolute;left:5059;top:7841;width:2930;height:850" filled="f">
              <v:textbox style="mso-next-textbox:#_x0000_s8585">
                <w:txbxContent>
                  <w:p w:rsidR="00BE5795" w:rsidRPr="00194225" w:rsidRDefault="00BE5795" w:rsidP="002548D4">
                    <w:pPr>
                      <w:jc w:val="center"/>
                      <w:rPr>
                        <w:sz w:val="22"/>
                        <w:szCs w:val="22"/>
                        <w:lang w:val="lt-LT"/>
                      </w:rPr>
                    </w:pPr>
                    <w:r w:rsidRPr="00194225">
                      <w:rPr>
                        <w:sz w:val="22"/>
                        <w:szCs w:val="22"/>
                        <w:lang w:val="lt-LT"/>
                      </w:rPr>
                      <w:t xml:space="preserve">Vertinti </w:t>
                    </w:r>
                    <w:r w:rsidRPr="00194225">
                      <w:rPr>
                        <w:b/>
                        <w:sz w:val="22"/>
                        <w:szCs w:val="22"/>
                        <w:lang w:val="lt-LT"/>
                      </w:rPr>
                      <w:t>reikšmingo iškraipymo riziką</w:t>
                    </w:r>
                    <w:r w:rsidRPr="00194225">
                      <w:rPr>
                        <w:sz w:val="22"/>
                        <w:szCs w:val="22"/>
                        <w:lang w:val="lt-LT"/>
                      </w:rPr>
                      <w:t xml:space="preserve"> </w:t>
                    </w:r>
                    <w:r w:rsidRPr="00194225">
                      <w:rPr>
                        <w:b/>
                        <w:sz w:val="22"/>
                        <w:szCs w:val="22"/>
                        <w:lang w:val="lt-LT"/>
                      </w:rPr>
                      <w:t>finansinių ataskaitų lygmeniu</w:t>
                    </w:r>
                  </w:p>
                </w:txbxContent>
              </v:textbox>
            </v:rect>
            <v:rect id="_x0000_s8586" style="position:absolute;left:5059;top:11006;width:2930;height:801" filled="f">
              <v:textbox style="mso-next-textbox:#_x0000_s8586">
                <w:txbxContent>
                  <w:p w:rsidR="00BE5795" w:rsidRPr="00194225" w:rsidRDefault="00BE5795" w:rsidP="002548D4">
                    <w:pPr>
                      <w:jc w:val="center"/>
                      <w:rPr>
                        <w:sz w:val="22"/>
                        <w:szCs w:val="22"/>
                        <w:lang w:val="lt-LT"/>
                      </w:rPr>
                    </w:pPr>
                    <w:r w:rsidRPr="00194225">
                      <w:rPr>
                        <w:sz w:val="22"/>
                        <w:szCs w:val="22"/>
                        <w:lang w:val="lt-LT"/>
                      </w:rPr>
                      <w:t>Ištirti susijusius finansinių ataskaitų tvirtinimus</w:t>
                    </w:r>
                  </w:p>
                </w:txbxContent>
              </v:textbox>
            </v:rect>
            <v:rect id="_x0000_s8587" style="position:absolute;left:5059;top:9918;width:2930;height:826" filled="f">
              <v:textbox style="mso-next-textbox:#_x0000_s8587">
                <w:txbxContent>
                  <w:p w:rsidR="00BE5795" w:rsidRPr="00194225" w:rsidRDefault="00BE5795" w:rsidP="002548D4">
                    <w:pPr>
                      <w:jc w:val="center"/>
                      <w:rPr>
                        <w:sz w:val="22"/>
                        <w:szCs w:val="22"/>
                        <w:lang w:val="lt-LT"/>
                      </w:rPr>
                    </w:pPr>
                    <w:r w:rsidRPr="00194225">
                      <w:rPr>
                        <w:sz w:val="22"/>
                        <w:szCs w:val="22"/>
                        <w:lang w:val="lt-LT"/>
                      </w:rPr>
                      <w:t xml:space="preserve">Vertinti </w:t>
                    </w:r>
                    <w:r w:rsidRPr="00194225">
                      <w:rPr>
                        <w:b/>
                        <w:sz w:val="22"/>
                        <w:szCs w:val="22"/>
                        <w:lang w:val="lt-LT"/>
                      </w:rPr>
                      <w:t xml:space="preserve">verslo proceso rizikas </w:t>
                    </w:r>
                    <w:r w:rsidRPr="00194225">
                      <w:rPr>
                        <w:sz w:val="22"/>
                        <w:szCs w:val="22"/>
                        <w:lang w:val="lt-LT"/>
                      </w:rPr>
                      <w:t xml:space="preserve">svarbiausiems ir </w:t>
                    </w:r>
                    <w:r>
                      <w:rPr>
                        <w:sz w:val="22"/>
                        <w:szCs w:val="22"/>
                        <w:lang w:val="lt-LT"/>
                      </w:rPr>
                      <w:t>likusiems</w:t>
                    </w:r>
                    <w:r w:rsidRPr="00194225">
                      <w:rPr>
                        <w:sz w:val="22"/>
                        <w:szCs w:val="22"/>
                        <w:lang w:val="lt-LT"/>
                      </w:rPr>
                      <w:t xml:space="preserve"> procesams</w:t>
                    </w:r>
                    <w:r w:rsidRPr="00194225">
                      <w:rPr>
                        <w:b/>
                        <w:sz w:val="22"/>
                        <w:szCs w:val="22"/>
                        <w:lang w:val="lt-LT"/>
                      </w:rPr>
                      <w:t xml:space="preserve"> </w:t>
                    </w:r>
                  </w:p>
                </w:txbxContent>
              </v:textbox>
            </v:rect>
            <v:rect id="_x0000_s8588" style="position:absolute;left:5059;top:12069;width:2930;height:877" filled="f">
              <v:textbox style="mso-next-textbox:#_x0000_s8588">
                <w:txbxContent>
                  <w:p w:rsidR="00BE5795" w:rsidRPr="00194225" w:rsidRDefault="00BE5795" w:rsidP="002548D4">
                    <w:pPr>
                      <w:jc w:val="center"/>
                      <w:rPr>
                        <w:sz w:val="22"/>
                        <w:szCs w:val="22"/>
                        <w:lang w:val="lt-LT"/>
                      </w:rPr>
                    </w:pPr>
                    <w:r w:rsidRPr="00194225">
                      <w:rPr>
                        <w:sz w:val="22"/>
                        <w:szCs w:val="22"/>
                        <w:lang w:val="lt-LT"/>
                      </w:rPr>
                      <w:t xml:space="preserve">Vertinti </w:t>
                    </w:r>
                    <w:r w:rsidRPr="00194225">
                      <w:rPr>
                        <w:b/>
                        <w:sz w:val="22"/>
                        <w:szCs w:val="22"/>
                        <w:lang w:val="lt-LT"/>
                      </w:rPr>
                      <w:t>reikšmingo iškraipymo riziką tvirtinimo lygmeniu</w:t>
                    </w:r>
                  </w:p>
                </w:txbxContent>
              </v:textbox>
            </v:rect>
            <v:shape id="_x0000_s8589" type="#_x0000_t32" style="position:absolute;left:6561;top:5573;width:0;height:262" o:connectortype="straight">
              <v:stroke endarrow="block"/>
            </v:shape>
            <v:shape id="_x0000_s8590" type="#_x0000_t32" style="position:absolute;left:6561;top:6587;width:0;height:262" o:connectortype="straight">
              <v:stroke endarrow="block"/>
            </v:shape>
            <v:shape id="_x0000_s8591" type="#_x0000_t32" style="position:absolute;left:6561;top:7600;width:0;height:262" o:connectortype="straight">
              <v:stroke endarrow="block"/>
            </v:shape>
            <v:shape id="_x0000_s8592" type="#_x0000_t32" style="position:absolute;left:6561;top:8678;width:0;height:262" o:connectortype="straight">
              <v:stroke endarrow="block"/>
            </v:shape>
            <v:shape id="_x0000_s8593" type="#_x0000_t32" style="position:absolute;left:6561;top:9642;width:0;height:262" o:connectortype="straight">
              <v:stroke endarrow="block"/>
            </v:shape>
            <v:shape id="_x0000_s8594" type="#_x0000_t32" style="position:absolute;left:6561;top:10744;width:0;height:262" o:connectortype="straight">
              <v:stroke endarrow="block"/>
            </v:shape>
            <v:shape id="_x0000_s8595" type="#_x0000_t32" style="position:absolute;left:6561;top:11807;width:0;height:262" o:connectortype="straight">
              <v:stroke endarrow="block"/>
            </v:shape>
          </v:group>
        </w:pict>
      </w:r>
      <w:r w:rsidR="00E62E10" w:rsidRPr="008B1335">
        <w:rPr>
          <w:b/>
          <w:sz w:val="24"/>
          <w:szCs w:val="24"/>
          <w:lang w:val="lt-LT"/>
        </w:rPr>
        <w:t>1)</w:t>
      </w: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2548D4" w:rsidRDefault="002548D4" w:rsidP="002548D4">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2548D4" w:rsidRDefault="002548D4" w:rsidP="00993F20">
      <w:pPr>
        <w:tabs>
          <w:tab w:val="left" w:pos="567"/>
        </w:tabs>
        <w:jc w:val="both"/>
        <w:rPr>
          <w:sz w:val="24"/>
          <w:szCs w:val="24"/>
          <w:lang w:val="lt-LT"/>
        </w:rPr>
      </w:pPr>
    </w:p>
    <w:p w:rsidR="002548D4" w:rsidRDefault="002548D4" w:rsidP="00993F20">
      <w:pPr>
        <w:tabs>
          <w:tab w:val="left" w:pos="567"/>
        </w:tabs>
        <w:jc w:val="both"/>
        <w:rPr>
          <w:sz w:val="24"/>
          <w:szCs w:val="24"/>
          <w:lang w:val="lt-LT"/>
        </w:rPr>
      </w:pPr>
    </w:p>
    <w:p w:rsidR="00E62E10" w:rsidRPr="00E62E10" w:rsidRDefault="00E62E10" w:rsidP="00E62E10">
      <w:pPr>
        <w:tabs>
          <w:tab w:val="left" w:pos="567"/>
        </w:tabs>
        <w:jc w:val="both"/>
        <w:rPr>
          <w:lang w:val="lt-LT"/>
        </w:rPr>
      </w:pPr>
      <w:r w:rsidRPr="00E62E10">
        <w:rPr>
          <w:lang w:val="lt-LT"/>
        </w:rPr>
        <w:t>Šaltinis: N. Kotchetova, T. M. Kozloski, W. F. Messier, 2006, p. 7.</w:t>
      </w:r>
    </w:p>
    <w:p w:rsidR="009615AE" w:rsidRDefault="009615AE">
      <w:pPr>
        <w:rPr>
          <w:sz w:val="24"/>
          <w:szCs w:val="24"/>
          <w:lang w:val="lt-LT"/>
        </w:rPr>
      </w:pPr>
      <w:r>
        <w:rPr>
          <w:sz w:val="24"/>
          <w:szCs w:val="24"/>
          <w:lang w:val="lt-LT"/>
        </w:rPr>
        <w:br w:type="page"/>
      </w:r>
    </w:p>
    <w:p w:rsidR="002548D4" w:rsidRDefault="00166819" w:rsidP="00993F20">
      <w:pPr>
        <w:tabs>
          <w:tab w:val="left" w:pos="567"/>
        </w:tabs>
        <w:jc w:val="both"/>
        <w:rPr>
          <w:sz w:val="24"/>
          <w:szCs w:val="24"/>
          <w:lang w:val="lt-LT"/>
        </w:rPr>
      </w:pPr>
      <w:r>
        <w:rPr>
          <w:noProof/>
          <w:sz w:val="24"/>
          <w:szCs w:val="24"/>
          <w:lang w:val="lt-LT"/>
        </w:rPr>
        <w:lastRenderedPageBreak/>
        <w:pict>
          <v:group id="_x0000_s74440" style="position:absolute;left:0;text-align:left;margin-left:55.25pt;margin-top:9.8pt;width:306.3pt;height:238pt;z-index:253855744" coordorigin="2919,10731" coordsize="6126,476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8455" type="#_x0000_t8" style="position:absolute;left:2919;top:10731;width:6126;height:4030" o:regroupid="97" filled="f">
              <v:textbox style="mso-next-textbox:#_x0000_s8455">
                <w:txbxContent>
                  <w:p w:rsidR="00BE5795" w:rsidRPr="004B3518" w:rsidRDefault="00BE5795" w:rsidP="00993F20">
                    <w:pPr>
                      <w:rPr>
                        <w:lang w:val="lt-LT"/>
                      </w:rPr>
                    </w:pPr>
                  </w:p>
                </w:txbxContent>
              </v:textbox>
            </v:shape>
            <v:rect id="_x0000_s8456" style="position:absolute;left:4561;top:10731;width:2732;height:380" o:regroupid="97" filled="f" stroked="f">
              <v:textbox style="mso-next-textbox:#_x0000_s8456">
                <w:txbxContent>
                  <w:p w:rsidR="00BE5795" w:rsidRPr="009615AE" w:rsidRDefault="00BE5795" w:rsidP="00993F20">
                    <w:pPr>
                      <w:jc w:val="center"/>
                      <w:rPr>
                        <w:b/>
                        <w:sz w:val="22"/>
                        <w:szCs w:val="22"/>
                        <w:lang w:val="lt-LT"/>
                      </w:rPr>
                    </w:pPr>
                    <w:r w:rsidRPr="009615AE">
                      <w:rPr>
                        <w:b/>
                        <w:sz w:val="22"/>
                        <w:szCs w:val="22"/>
                        <w:lang w:val="lt-LT"/>
                      </w:rPr>
                      <w:t>Strateginė analizė</w:t>
                    </w:r>
                  </w:p>
                </w:txbxContent>
              </v:textbox>
            </v:rect>
            <v:rect id="_x0000_s8457" style="position:absolute;left:3356;top:11041;width:2208;height:600" o:regroupid="97" filled="f" stroked="f">
              <v:textbox style="mso-next-textbox:#_x0000_s8457">
                <w:txbxContent>
                  <w:p w:rsidR="00BE5795" w:rsidRPr="009615AE" w:rsidRDefault="00BE5795" w:rsidP="00993F20">
                    <w:pPr>
                      <w:jc w:val="center"/>
                      <w:rPr>
                        <w:b/>
                        <w:sz w:val="22"/>
                        <w:szCs w:val="22"/>
                        <w:lang w:val="lt-LT"/>
                      </w:rPr>
                    </w:pPr>
                    <w:r w:rsidRPr="009615AE">
                      <w:rPr>
                        <w:sz w:val="22"/>
                        <w:szCs w:val="22"/>
                        <w:lang w:val="lt-LT"/>
                      </w:rPr>
                      <w:t>O</w:t>
                    </w:r>
                    <w:r w:rsidRPr="009615AE">
                      <w:rPr>
                        <w:b/>
                        <w:sz w:val="22"/>
                        <w:szCs w:val="22"/>
                        <w:lang w:val="lt-LT"/>
                      </w:rPr>
                      <w:t>rganizaciniai</w:t>
                    </w:r>
                  </w:p>
                  <w:p w:rsidR="00BE5795" w:rsidRPr="009615AE" w:rsidRDefault="00BE5795" w:rsidP="00993F20">
                    <w:pPr>
                      <w:jc w:val="center"/>
                      <w:rPr>
                        <w:b/>
                        <w:sz w:val="22"/>
                        <w:szCs w:val="22"/>
                        <w:lang w:val="lt-LT"/>
                      </w:rPr>
                    </w:pPr>
                    <w:r w:rsidRPr="009615AE">
                      <w:rPr>
                        <w:b/>
                        <w:sz w:val="22"/>
                        <w:szCs w:val="22"/>
                        <w:lang w:val="lt-LT"/>
                      </w:rPr>
                      <w:t>verslo modeliai</w:t>
                    </w:r>
                  </w:p>
                </w:txbxContent>
              </v:textbox>
            </v:rect>
            <v:rect id="_x0000_s8458" style="position:absolute;left:6226;top:11041;width:2208;height:600" o:regroupid="97" filled="f" stroked="f">
              <v:textbox style="mso-next-textbox:#_x0000_s8458">
                <w:txbxContent>
                  <w:p w:rsidR="00BE5795" w:rsidRPr="009615AE" w:rsidRDefault="00BE5795" w:rsidP="00993F20">
                    <w:pPr>
                      <w:jc w:val="center"/>
                      <w:rPr>
                        <w:sz w:val="22"/>
                        <w:szCs w:val="22"/>
                        <w:lang w:val="lt-LT"/>
                      </w:rPr>
                    </w:pPr>
                    <w:r w:rsidRPr="009615AE">
                      <w:rPr>
                        <w:sz w:val="22"/>
                        <w:szCs w:val="22"/>
                        <w:lang w:val="lt-LT"/>
                      </w:rPr>
                      <w:t>Išorė</w:t>
                    </w:r>
                    <w:r>
                      <w:rPr>
                        <w:sz w:val="22"/>
                        <w:szCs w:val="22"/>
                        <w:lang w:val="lt-LT"/>
                      </w:rPr>
                      <w:t>s</w:t>
                    </w:r>
                    <w:r w:rsidRPr="009615AE">
                      <w:rPr>
                        <w:sz w:val="22"/>
                        <w:szCs w:val="22"/>
                        <w:lang w:val="lt-LT"/>
                      </w:rPr>
                      <w:t xml:space="preserve"> grėsmių analizė</w:t>
                    </w:r>
                  </w:p>
                </w:txbxContent>
              </v:textbox>
            </v:rect>
            <v:rect id="_x0000_s8459" style="position:absolute;left:4340;top:11551;width:3367;height:430" o:regroupid="97" filled="f" stroked="f">
              <v:textbox style="mso-next-textbox:#_x0000_s8459">
                <w:txbxContent>
                  <w:p w:rsidR="00BE5795" w:rsidRPr="009615AE" w:rsidRDefault="00BE5795" w:rsidP="009615AE">
                    <w:pPr>
                      <w:jc w:val="center"/>
                      <w:rPr>
                        <w:i/>
                        <w:sz w:val="22"/>
                        <w:szCs w:val="22"/>
                        <w:lang w:val="lt-LT"/>
                      </w:rPr>
                    </w:pPr>
                    <w:r w:rsidRPr="009615AE">
                      <w:rPr>
                        <w:i/>
                        <w:sz w:val="22"/>
                        <w:szCs w:val="22"/>
                        <w:lang w:val="lt-LT"/>
                      </w:rPr>
                      <w:t>Strateginės verslo rizikos</w:t>
                    </w:r>
                  </w:p>
                </w:txbxContent>
              </v:textbox>
            </v:rect>
            <v:rect id="_x0000_s8460" style="position:absolute;left:4092;top:11841;width:3697;height:360" o:regroupid="97" filled="f" stroked="f">
              <v:textbox style="mso-next-textbox:#_x0000_s8460">
                <w:txbxContent>
                  <w:p w:rsidR="00BE5795" w:rsidRPr="009615AE" w:rsidRDefault="00BE5795" w:rsidP="00993F20">
                    <w:pPr>
                      <w:jc w:val="center"/>
                      <w:rPr>
                        <w:b/>
                        <w:sz w:val="22"/>
                        <w:szCs w:val="22"/>
                        <w:lang w:val="lt-LT"/>
                      </w:rPr>
                    </w:pPr>
                    <w:r w:rsidRPr="009615AE">
                      <w:rPr>
                        <w:b/>
                        <w:sz w:val="22"/>
                        <w:szCs w:val="22"/>
                        <w:lang w:val="lt-LT"/>
                      </w:rPr>
                      <w:t>Rizikos įvertinimas</w:t>
                    </w:r>
                  </w:p>
                </w:txbxContent>
              </v:textbox>
            </v:rect>
            <v:rect id="_x0000_s8461" style="position:absolute;left:4340;top:12151;width:3201;height:430" o:regroupid="97" filled="f" stroked="f">
              <v:textbox style="mso-next-textbox:#_x0000_s8461">
                <w:txbxContent>
                  <w:p w:rsidR="00BE5795" w:rsidRPr="009615AE" w:rsidRDefault="00BE5795" w:rsidP="00993F20">
                    <w:pPr>
                      <w:jc w:val="center"/>
                      <w:rPr>
                        <w:b/>
                        <w:sz w:val="22"/>
                        <w:szCs w:val="22"/>
                        <w:lang w:val="lt-LT"/>
                      </w:rPr>
                    </w:pPr>
                    <w:r w:rsidRPr="009615AE">
                      <w:rPr>
                        <w:b/>
                        <w:sz w:val="22"/>
                        <w:szCs w:val="22"/>
                        <w:lang w:val="lt-LT"/>
                      </w:rPr>
                      <w:t>Proceso analizė</w:t>
                    </w:r>
                  </w:p>
                </w:txbxContent>
              </v:textbox>
            </v:rect>
            <v:rect id="_x0000_s8462" style="position:absolute;left:4092;top:12521;width:1559;height:600" o:regroupid="97" filled="f" stroked="f">
              <v:textbox style="mso-next-textbox:#_x0000_s8462">
                <w:txbxContent>
                  <w:p w:rsidR="00BE5795" w:rsidRPr="009615AE" w:rsidRDefault="00BE5795" w:rsidP="00993F20">
                    <w:pPr>
                      <w:rPr>
                        <w:sz w:val="22"/>
                        <w:szCs w:val="22"/>
                        <w:lang w:val="lt-LT"/>
                      </w:rPr>
                    </w:pPr>
                    <w:r w:rsidRPr="009615AE">
                      <w:rPr>
                        <w:sz w:val="22"/>
                        <w:szCs w:val="22"/>
                        <w:lang w:val="lt-LT"/>
                      </w:rPr>
                      <w:t>Proceso schemos</w:t>
                    </w:r>
                  </w:p>
                </w:txbxContent>
              </v:textbox>
            </v:rect>
            <v:rect id="_x0000_s8463" style="position:absolute;left:5651;top:12507;width:2456;height:614" o:regroupid="97" filled="f" stroked="f">
              <v:textbox style="mso-next-textbox:#_x0000_s8463">
                <w:txbxContent>
                  <w:p w:rsidR="00BE5795" w:rsidRDefault="00BE5795" w:rsidP="00993F20">
                    <w:pPr>
                      <w:jc w:val="center"/>
                      <w:rPr>
                        <w:sz w:val="22"/>
                        <w:szCs w:val="22"/>
                        <w:lang w:val="lt-LT"/>
                      </w:rPr>
                    </w:pPr>
                    <w:r w:rsidRPr="009615AE">
                      <w:rPr>
                        <w:sz w:val="22"/>
                        <w:szCs w:val="22"/>
                        <w:lang w:val="lt-LT"/>
                      </w:rPr>
                      <w:t xml:space="preserve">Vidaus grėsmių </w:t>
                    </w:r>
                  </w:p>
                  <w:p w:rsidR="00BE5795" w:rsidRPr="009615AE" w:rsidRDefault="00BE5795" w:rsidP="00993F20">
                    <w:pPr>
                      <w:jc w:val="center"/>
                      <w:rPr>
                        <w:sz w:val="22"/>
                        <w:szCs w:val="22"/>
                        <w:lang w:val="lt-LT"/>
                      </w:rPr>
                    </w:pPr>
                    <w:r w:rsidRPr="009615AE">
                      <w:rPr>
                        <w:sz w:val="22"/>
                        <w:szCs w:val="22"/>
                        <w:lang w:val="lt-LT"/>
                      </w:rPr>
                      <w:t>analizė</w:t>
                    </w:r>
                  </w:p>
                </w:txbxContent>
              </v:textbox>
            </v:rect>
            <v:rect id="_x0000_s8464" style="position:absolute;left:4271;top:13381;width:3367;height:393" o:regroupid="97" filled="f" stroked="f">
              <v:textbox style="mso-next-textbox:#_x0000_s8464">
                <w:txbxContent>
                  <w:p w:rsidR="00BE5795" w:rsidRPr="009615AE" w:rsidRDefault="00BE5795" w:rsidP="00993F20">
                    <w:pPr>
                      <w:jc w:val="center"/>
                      <w:rPr>
                        <w:b/>
                        <w:sz w:val="22"/>
                        <w:szCs w:val="22"/>
                        <w:lang w:val="lt-LT"/>
                      </w:rPr>
                    </w:pPr>
                    <w:r w:rsidRPr="009615AE">
                      <w:rPr>
                        <w:b/>
                        <w:sz w:val="22"/>
                        <w:szCs w:val="22"/>
                        <w:lang w:val="lt-LT"/>
                      </w:rPr>
                      <w:t>Rizikos įvertinimas</w:t>
                    </w:r>
                  </w:p>
                </w:txbxContent>
              </v:textbox>
            </v:rect>
            <v:rect id="_x0000_s8465" style="position:absolute;left:4906;top:13671;width:2180;height:580" o:regroupid="97" filled="f" stroked="f">
              <v:textbox style="mso-next-textbox:#_x0000_s8465">
                <w:txbxContent>
                  <w:p w:rsidR="00BE5795" w:rsidRPr="009615AE" w:rsidRDefault="00BE5795" w:rsidP="00993F20">
                    <w:pPr>
                      <w:jc w:val="center"/>
                      <w:rPr>
                        <w:b/>
                        <w:sz w:val="22"/>
                        <w:szCs w:val="22"/>
                        <w:lang w:val="lt-LT"/>
                      </w:rPr>
                    </w:pPr>
                    <w:r w:rsidRPr="009615AE">
                      <w:rPr>
                        <w:b/>
                        <w:sz w:val="22"/>
                        <w:szCs w:val="22"/>
                        <w:lang w:val="lt-LT"/>
                      </w:rPr>
                      <w:t>Likusios rizikos</w:t>
                    </w:r>
                  </w:p>
                </w:txbxContent>
              </v:textbox>
            </v:rect>
            <v:rect id="_x0000_s8466" style="position:absolute;left:5251;top:14251;width:1259;height:423" o:regroupid="97" filled="f" stroked="f">
              <v:textbox style="mso-next-textbox:#_x0000_s8466">
                <w:txbxContent>
                  <w:p w:rsidR="00BE5795" w:rsidRPr="009615AE" w:rsidRDefault="00BE5795" w:rsidP="00993F20">
                    <w:pPr>
                      <w:rPr>
                        <w:sz w:val="22"/>
                        <w:szCs w:val="22"/>
                        <w:lang w:val="lt-LT"/>
                      </w:rPr>
                    </w:pPr>
                    <w:r w:rsidRPr="009615AE">
                      <w:rPr>
                        <w:sz w:val="22"/>
                        <w:szCs w:val="22"/>
                        <w:lang w:val="lt-LT"/>
                      </w:rPr>
                      <w:t>Poveikis?</w:t>
                    </w:r>
                  </w:p>
                </w:txbxContent>
              </v:textbox>
            </v:rect>
            <v:rect id="_x0000_s8467" style="position:absolute;left:4340;top:13121;width:3449;height:360" o:regroupid="97" filled="f" stroked="f">
              <v:textbox style="mso-next-textbox:#_x0000_s8467">
                <w:txbxContent>
                  <w:p w:rsidR="00BE5795" w:rsidRPr="009615AE" w:rsidRDefault="00BE5795" w:rsidP="009615AE">
                    <w:pPr>
                      <w:jc w:val="center"/>
                      <w:rPr>
                        <w:i/>
                        <w:sz w:val="22"/>
                        <w:szCs w:val="22"/>
                        <w:lang w:val="lt-LT"/>
                      </w:rPr>
                    </w:pPr>
                    <w:r w:rsidRPr="009615AE">
                      <w:rPr>
                        <w:i/>
                        <w:sz w:val="22"/>
                        <w:szCs w:val="22"/>
                        <w:lang w:val="lt-LT"/>
                      </w:rPr>
                      <w:t>Proceso verslo rizikos</w:t>
                    </w:r>
                  </w:p>
                </w:txbxContent>
              </v:textbox>
            </v:rect>
            <v:shape id="_x0000_s8468" type="#_x0000_t32" style="position:absolute;left:3356;top:11891;width:5247;height:0" o:connectortype="straight" o:regroupid="97"/>
            <v:shape id="_x0000_s8469" type="#_x0000_t32" style="position:absolute;left:3485;top:12191;width:4949;height:10" o:connectortype="straight" o:regroupid="97"/>
            <v:shape id="_x0000_s8470" type="#_x0000_t32" style="position:absolute;left:3981;top:13431;width:4002;height:0" o:connectortype="straight" o:regroupid="97"/>
            <v:shape id="_x0000_s8471" type="#_x0000_t32" style="position:absolute;left:4092;top:13671;width:3794;height:0" o:connectortype="straight" o:regroupid="97"/>
            <v:shape id="_x0000_s8472" type="#_x0000_t32" style="position:absolute;left:6079;top:11041;width:0;height:600" o:connectortype="straight" o:regroupid="97">
              <v:stroke endarrow="block"/>
            </v:shape>
            <v:shape id="_x0000_s8473" type="#_x0000_t32" style="position:absolute;left:5941;top:13981;width:0;height:270" o:connectortype="straight" o:regroupid="97">
              <v:stroke endarrow="block"/>
            </v:shape>
            <v:shape id="_x0000_s8474" type="#_x0000_t32" style="position:absolute;left:5941;top:12451;width:0;height:730" o:connectortype="straight" o:regroupid="97">
              <v:stroke endarrow="block"/>
            </v:shape>
            <v:shape id="_x0000_s8475" type="#_x0000_t32" style="position:absolute;left:2919;top:11641;width:980;height:2540" o:connectortype="straight" o:regroupid="97">
              <v:stroke dashstyle="1 1" endarrow="block"/>
            </v:shape>
            <v:shape id="_x0000_s8476" type="#_x0000_t32" style="position:absolute;left:7983;top:11551;width:1062;height:2700;flip:x" o:connectortype="straight" o:regroupid="97">
              <v:stroke dashstyle="1 1" endarrow="block"/>
            </v:shape>
            <v:rect id="_x0000_s8477" style="position:absolute;left:3802;top:15111;width:4512;height:380" o:regroupid="97" filled="f">
              <v:textbox style="mso-next-textbox:#_x0000_s8477">
                <w:txbxContent>
                  <w:p w:rsidR="00BE5795" w:rsidRPr="009615AE" w:rsidRDefault="00BE5795" w:rsidP="009615AE">
                    <w:pPr>
                      <w:jc w:val="center"/>
                      <w:rPr>
                        <w:b/>
                        <w:sz w:val="22"/>
                        <w:szCs w:val="22"/>
                        <w:lang w:val="lt-LT"/>
                      </w:rPr>
                    </w:pPr>
                    <w:r w:rsidRPr="009615AE">
                      <w:rPr>
                        <w:b/>
                        <w:sz w:val="22"/>
                        <w:szCs w:val="22"/>
                        <w:lang w:val="lt-LT"/>
                      </w:rPr>
                      <w:t>Užtikrinimas apie esamas sąlygas</w:t>
                    </w:r>
                  </w:p>
                </w:txbxContent>
              </v:textbox>
            </v:rect>
            <v:shape id="_x0000_s8478" type="#_x0000_t32" style="position:absolute;left:5941;top:14811;width:0;height:240" o:connectortype="straight" o:regroupid="97">
              <v:stroke endarrow="block"/>
            </v:shape>
          </v:group>
        </w:pict>
      </w:r>
    </w:p>
    <w:p w:rsidR="008B1335" w:rsidRDefault="008B1335" w:rsidP="008B1335">
      <w:pPr>
        <w:tabs>
          <w:tab w:val="left" w:pos="567"/>
        </w:tabs>
        <w:jc w:val="both"/>
        <w:rPr>
          <w:sz w:val="24"/>
          <w:szCs w:val="24"/>
          <w:lang w:val="lt-LT"/>
        </w:rPr>
      </w:pPr>
      <w:r>
        <w:rPr>
          <w:b/>
          <w:sz w:val="24"/>
          <w:szCs w:val="24"/>
          <w:lang w:val="lt-LT"/>
        </w:rPr>
        <w:t xml:space="preserve">2) </w:t>
      </w: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b/>
          <w:sz w:val="24"/>
          <w:szCs w:val="24"/>
          <w:lang w:val="lt-LT"/>
        </w:rPr>
      </w:pPr>
    </w:p>
    <w:p w:rsidR="00E62E10" w:rsidRDefault="00E62E10" w:rsidP="00993F20">
      <w:pPr>
        <w:tabs>
          <w:tab w:val="left" w:pos="567"/>
        </w:tabs>
        <w:jc w:val="both"/>
        <w:rPr>
          <w:b/>
          <w:sz w:val="24"/>
          <w:szCs w:val="24"/>
          <w:lang w:val="lt-LT"/>
        </w:rPr>
      </w:pPr>
    </w:p>
    <w:p w:rsidR="00E62E10" w:rsidRPr="00E62E10" w:rsidRDefault="00E62E10" w:rsidP="00993F20">
      <w:pPr>
        <w:tabs>
          <w:tab w:val="left" w:pos="567"/>
        </w:tabs>
        <w:jc w:val="both"/>
        <w:rPr>
          <w:b/>
          <w:sz w:val="28"/>
          <w:szCs w:val="28"/>
          <w:lang w:val="lt-LT"/>
        </w:rPr>
      </w:pPr>
    </w:p>
    <w:p w:rsidR="00E62E10" w:rsidRPr="00E62E10" w:rsidRDefault="00E62E10" w:rsidP="00993F20">
      <w:pPr>
        <w:tabs>
          <w:tab w:val="left" w:pos="567"/>
        </w:tabs>
        <w:jc w:val="both"/>
        <w:rPr>
          <w:b/>
          <w:lang w:val="lt-LT"/>
        </w:rPr>
      </w:pPr>
      <w:r w:rsidRPr="00E62E10">
        <w:rPr>
          <w:lang w:val="lt-LT"/>
        </w:rPr>
        <w:t>Šaltinis: W. R. Knechel, 2007, p. 394.</w:t>
      </w:r>
    </w:p>
    <w:p w:rsidR="007B69DE" w:rsidRDefault="007B69DE" w:rsidP="007B69DE">
      <w:pPr>
        <w:tabs>
          <w:tab w:val="left" w:pos="567"/>
        </w:tabs>
        <w:jc w:val="right"/>
        <w:rPr>
          <w:b/>
          <w:sz w:val="24"/>
          <w:szCs w:val="24"/>
          <w:lang w:val="lt-LT"/>
        </w:rPr>
      </w:pP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p>
    <w:p w:rsidR="0027655E" w:rsidRPr="00335006" w:rsidRDefault="0027655E" w:rsidP="007B69DE">
      <w:pPr>
        <w:tabs>
          <w:tab w:val="left" w:pos="567"/>
        </w:tabs>
        <w:jc w:val="right"/>
        <w:rPr>
          <w:b/>
          <w:sz w:val="24"/>
          <w:szCs w:val="24"/>
          <w:lang w:val="lt-LT"/>
        </w:rPr>
      </w:pPr>
    </w:p>
    <w:p w:rsidR="008B1335" w:rsidRDefault="00166819" w:rsidP="008B1335">
      <w:pPr>
        <w:tabs>
          <w:tab w:val="left" w:pos="567"/>
        </w:tabs>
        <w:jc w:val="both"/>
        <w:rPr>
          <w:sz w:val="24"/>
          <w:szCs w:val="24"/>
          <w:lang w:val="lt-LT"/>
        </w:rPr>
      </w:pPr>
      <w:r>
        <w:rPr>
          <w:noProof/>
          <w:sz w:val="24"/>
          <w:szCs w:val="24"/>
          <w:lang w:val="lt-LT"/>
        </w:rPr>
        <w:pict>
          <v:group id="_x0000_s8479" style="position:absolute;left:0;text-align:left;margin-left:19.6pt;margin-top:10.1pt;width:332.95pt;height:152pt;z-index:251659264" coordorigin="1810,860" coordsize="5530,3040">
            <v:rect id="_x0000_s8480" style="position:absolute;left:2110;top:1600;width:1330;height:1590" filled="f">
              <v:textbox style="mso-next-textbox:#_x0000_s8480">
                <w:txbxContent>
                  <w:p w:rsidR="00BE5795" w:rsidRPr="009615AE" w:rsidRDefault="00BE5795" w:rsidP="00993F20">
                    <w:pPr>
                      <w:jc w:val="center"/>
                      <w:rPr>
                        <w:b/>
                        <w:sz w:val="22"/>
                        <w:szCs w:val="22"/>
                        <w:lang w:val="lt-LT"/>
                      </w:rPr>
                    </w:pPr>
                  </w:p>
                  <w:p w:rsidR="00BE5795" w:rsidRPr="009615AE" w:rsidRDefault="00BE5795" w:rsidP="00993F20">
                    <w:pPr>
                      <w:jc w:val="center"/>
                      <w:rPr>
                        <w:b/>
                        <w:sz w:val="22"/>
                        <w:szCs w:val="22"/>
                        <w:lang w:val="lt-LT"/>
                      </w:rPr>
                    </w:pPr>
                    <w:r w:rsidRPr="009615AE">
                      <w:rPr>
                        <w:b/>
                        <w:sz w:val="22"/>
                        <w:szCs w:val="22"/>
                        <w:lang w:val="lt-LT"/>
                      </w:rPr>
                      <w:t>Strateginė analizė</w:t>
                    </w:r>
                  </w:p>
                </w:txbxContent>
              </v:textbox>
            </v:rect>
            <v:rect id="_x0000_s8481" style="position:absolute;left:3930;top:1600;width:1330;height:1590" filled="f">
              <v:textbox style="mso-next-textbox:#_x0000_s8481">
                <w:txbxContent>
                  <w:p w:rsidR="00BE5795" w:rsidRDefault="00BE5795" w:rsidP="00993F20">
                    <w:pPr>
                      <w:jc w:val="center"/>
                      <w:rPr>
                        <w:b/>
                        <w:lang w:val="lt-LT"/>
                      </w:rPr>
                    </w:pPr>
                  </w:p>
                  <w:p w:rsidR="00BE5795" w:rsidRPr="009615AE" w:rsidRDefault="00BE5795" w:rsidP="00993F20">
                    <w:pPr>
                      <w:jc w:val="center"/>
                      <w:rPr>
                        <w:b/>
                        <w:sz w:val="22"/>
                        <w:szCs w:val="22"/>
                        <w:lang w:val="lt-LT"/>
                      </w:rPr>
                    </w:pPr>
                    <w:r w:rsidRPr="009615AE">
                      <w:rPr>
                        <w:b/>
                        <w:sz w:val="22"/>
                        <w:szCs w:val="22"/>
                        <w:lang w:val="lt-LT"/>
                      </w:rPr>
                      <w:t>Proceso analizė</w:t>
                    </w:r>
                  </w:p>
                </w:txbxContent>
              </v:textbox>
            </v:rect>
            <v:rect id="_x0000_s8482" style="position:absolute;left:5710;top:1600;width:1330;height:1590" filled="f">
              <v:textbox style="mso-next-textbox:#_x0000_s8482">
                <w:txbxContent>
                  <w:p w:rsidR="00BE5795" w:rsidRPr="009615AE" w:rsidRDefault="00BE5795" w:rsidP="00993F20">
                    <w:pPr>
                      <w:jc w:val="center"/>
                      <w:rPr>
                        <w:b/>
                        <w:sz w:val="22"/>
                        <w:szCs w:val="22"/>
                        <w:lang w:val="lt-LT"/>
                      </w:rPr>
                    </w:pPr>
                  </w:p>
                  <w:p w:rsidR="00BE5795" w:rsidRPr="009615AE" w:rsidRDefault="00BE5795" w:rsidP="00993F20">
                    <w:pPr>
                      <w:jc w:val="center"/>
                      <w:rPr>
                        <w:b/>
                        <w:sz w:val="22"/>
                        <w:szCs w:val="22"/>
                        <w:lang w:val="lt-LT"/>
                      </w:rPr>
                    </w:pPr>
                    <w:r w:rsidRPr="009615AE">
                      <w:rPr>
                        <w:b/>
                        <w:sz w:val="22"/>
                        <w:szCs w:val="22"/>
                        <w:lang w:val="lt-LT"/>
                      </w:rPr>
                      <w:t>Verslo rezultatai</w:t>
                    </w:r>
                  </w:p>
                </w:txbxContent>
              </v:textbox>
            </v:rect>
            <v:rect id="_x0000_s8483" style="position:absolute;left:2520;top:860;width:4150;height:430" filled="f">
              <v:textbox style="mso-next-textbox:#_x0000_s8483">
                <w:txbxContent>
                  <w:p w:rsidR="00BE5795" w:rsidRPr="009615AE" w:rsidRDefault="00BE5795" w:rsidP="00993F20">
                    <w:pPr>
                      <w:jc w:val="center"/>
                      <w:rPr>
                        <w:b/>
                        <w:sz w:val="22"/>
                        <w:szCs w:val="22"/>
                        <w:lang w:val="lt-LT"/>
                      </w:rPr>
                    </w:pPr>
                    <w:r w:rsidRPr="009615AE">
                      <w:rPr>
                        <w:b/>
                        <w:sz w:val="22"/>
                        <w:szCs w:val="22"/>
                        <w:lang w:val="lt-LT"/>
                      </w:rPr>
                      <w:t>Tęstinis tobulinimas</w:t>
                    </w:r>
                  </w:p>
                </w:txbxContent>
              </v:textbox>
            </v:rect>
            <v:rect id="_x0000_s8484" style="position:absolute;left:2450;top:3470;width:4150;height:430" filled="f">
              <v:textbox style="mso-next-textbox:#_x0000_s8484">
                <w:txbxContent>
                  <w:p w:rsidR="00BE5795" w:rsidRPr="009615AE" w:rsidRDefault="00BE5795" w:rsidP="00993F20">
                    <w:pPr>
                      <w:jc w:val="center"/>
                      <w:rPr>
                        <w:b/>
                        <w:sz w:val="22"/>
                        <w:szCs w:val="22"/>
                        <w:lang w:val="lt-LT"/>
                      </w:rPr>
                    </w:pPr>
                    <w:r w:rsidRPr="009615AE">
                      <w:rPr>
                        <w:b/>
                        <w:sz w:val="22"/>
                        <w:szCs w:val="22"/>
                        <w:lang w:val="lt-LT"/>
                      </w:rPr>
                      <w:t>Rizikos vertinimas</w:t>
                    </w:r>
                  </w:p>
                </w:txbxContent>
              </v:textbox>
            </v:rect>
            <v:shape id="_x0000_s8485" type="#_x0000_t32" style="position:absolute;left:4550;top:3190;width:0;height:280" o:connectortype="straight">
              <v:stroke endarrow="block"/>
            </v:shape>
            <v:shape id="_x0000_s8486" type="#_x0000_t32" style="position:absolute;left:2740;top:3190;width:0;height:280" o:connectortype="straight">
              <v:stroke endarrow="block"/>
            </v:shape>
            <v:shape id="_x0000_s8487" type="#_x0000_t32" style="position:absolute;left:6330;top:3190;width:0;height:280" o:connectortype="straight">
              <v:stroke endarrow="block"/>
            </v:shape>
            <v:shape id="_x0000_s8488" type="#_x0000_t32" style="position:absolute;left:4550;top:1290;width:0;height:310;flip:y" o:connectortype="straight">
              <v:stroke endarrow="block"/>
            </v:shape>
            <v:shape id="_x0000_s8489" type="#_x0000_t32" style="position:absolute;left:2740;top:1290;width:0;height:310;flip:y" o:connectortype="straight">
              <v:stroke endarrow="block"/>
            </v:shape>
            <v:shape id="_x0000_s8490" type="#_x0000_t32" style="position:absolute;left:6380;top:1290;width:0;height:310;flip:y" o:connectortype="straight">
              <v:stroke endarrow="block"/>
            </v:shape>
            <v:shape id="_x0000_s8491" type="#_x0000_t32" style="position:absolute;left:6600;top:3730;width:740;height:0" o:connectortype="straight"/>
            <v:shape id="_x0000_s8492" type="#_x0000_t32" style="position:absolute;left:7340;top:1070;width:0;height:2660;flip:y" o:connectortype="straight"/>
            <v:shape id="_x0000_s8493" type="#_x0000_t32" style="position:absolute;left:6670;top:1070;width:670;height:0;flip:x" o:connectortype="straight">
              <v:stroke endarrow="block"/>
            </v:shape>
            <v:shape id="_x0000_s8494" type="#_x0000_t32" style="position:absolute;left:1810;top:1070;width:710;height:0;flip:x" o:connectortype="straight"/>
            <v:shape id="_x0000_s8495" type="#_x0000_t32" style="position:absolute;left:1810;top:1070;width:0;height:2660" o:connectortype="straight"/>
            <v:shape id="_x0000_s8496" type="#_x0000_t32" style="position:absolute;left:1810;top:3730;width:640;height:0" o:connectortype="straight">
              <v:stroke endarrow="block"/>
            </v:shape>
          </v:group>
        </w:pict>
      </w:r>
      <w:r w:rsidR="008B1335" w:rsidRPr="008B1335">
        <w:rPr>
          <w:b/>
          <w:sz w:val="24"/>
          <w:szCs w:val="24"/>
          <w:lang w:val="lt-LT"/>
        </w:rPr>
        <w:t xml:space="preserve">3) </w:t>
      </w: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993F20" w:rsidRDefault="00993F20" w:rsidP="00993F20">
      <w:pPr>
        <w:tabs>
          <w:tab w:val="left" w:pos="567"/>
        </w:tabs>
        <w:jc w:val="both"/>
        <w:rPr>
          <w:sz w:val="24"/>
          <w:szCs w:val="24"/>
          <w:lang w:val="lt-LT"/>
        </w:rPr>
      </w:pPr>
    </w:p>
    <w:p w:rsidR="00A06A92" w:rsidRPr="00E62E10" w:rsidRDefault="00E62E10" w:rsidP="00E62E10">
      <w:pPr>
        <w:tabs>
          <w:tab w:val="left" w:pos="567"/>
        </w:tabs>
        <w:jc w:val="both"/>
        <w:rPr>
          <w:b/>
          <w:lang w:val="lt-LT"/>
        </w:rPr>
      </w:pPr>
      <w:r w:rsidRPr="00E62E10">
        <w:rPr>
          <w:lang w:val="lt-LT"/>
        </w:rPr>
        <w:t>Šaltinis: W. R. Knechel, 2007, p. 394.</w:t>
      </w:r>
    </w:p>
    <w:p w:rsidR="00A06A92" w:rsidRDefault="00A06A92" w:rsidP="00A06A92">
      <w:pPr>
        <w:tabs>
          <w:tab w:val="left" w:pos="567"/>
        </w:tabs>
        <w:jc w:val="both"/>
        <w:rPr>
          <w:sz w:val="24"/>
          <w:lang w:val="lt-LT"/>
        </w:rPr>
      </w:pPr>
      <w:r>
        <w:rPr>
          <w:lang w:val="lt-LT"/>
        </w:rPr>
        <w:br w:type="page"/>
      </w:r>
    </w:p>
    <w:p w:rsidR="00E62E10" w:rsidRPr="00091B10" w:rsidRDefault="009A700C" w:rsidP="00246AC3">
      <w:pPr>
        <w:tabs>
          <w:tab w:val="left" w:pos="567"/>
        </w:tabs>
        <w:spacing w:after="120"/>
        <w:jc w:val="right"/>
        <w:rPr>
          <w:b/>
          <w:sz w:val="26"/>
          <w:szCs w:val="26"/>
          <w:lang w:val="lt-LT"/>
        </w:rPr>
      </w:pPr>
      <w:r w:rsidRPr="00091B10">
        <w:rPr>
          <w:b/>
          <w:sz w:val="26"/>
          <w:szCs w:val="26"/>
          <w:lang w:val="lt-LT"/>
        </w:rPr>
        <w:lastRenderedPageBreak/>
        <w:t>5</w:t>
      </w:r>
      <w:r w:rsidR="00E62E10" w:rsidRPr="00091B10">
        <w:rPr>
          <w:b/>
          <w:sz w:val="26"/>
          <w:szCs w:val="26"/>
          <w:lang w:val="lt-LT"/>
        </w:rPr>
        <w:t xml:space="preserve"> PRIEDAS</w:t>
      </w:r>
    </w:p>
    <w:p w:rsidR="00E62E10" w:rsidRPr="00091B10" w:rsidRDefault="00E62E10" w:rsidP="007E348A">
      <w:pPr>
        <w:tabs>
          <w:tab w:val="left" w:pos="567"/>
        </w:tabs>
        <w:spacing w:line="360" w:lineRule="auto"/>
        <w:jc w:val="center"/>
        <w:rPr>
          <w:b/>
          <w:caps/>
          <w:sz w:val="26"/>
          <w:szCs w:val="26"/>
          <w:lang w:val="lt-LT"/>
        </w:rPr>
      </w:pPr>
      <w:r w:rsidRPr="00091B10">
        <w:rPr>
          <w:b/>
          <w:caps/>
          <w:sz w:val="26"/>
          <w:szCs w:val="26"/>
          <w:lang w:val="lt-LT"/>
        </w:rPr>
        <w:t>Klasikinio audito rizikos modelio kūrimo prielaidos</w:t>
      </w:r>
    </w:p>
    <w:tbl>
      <w:tblPr>
        <w:tblStyle w:val="TableGrid"/>
        <w:tblW w:w="0" w:type="auto"/>
        <w:tblLook w:val="04A0"/>
      </w:tblPr>
      <w:tblGrid>
        <w:gridCol w:w="2016"/>
        <w:gridCol w:w="828"/>
        <w:gridCol w:w="2978"/>
        <w:gridCol w:w="2672"/>
      </w:tblGrid>
      <w:tr w:rsidR="00E62E10" w:rsidRPr="009615AE" w:rsidTr="00B44DBB">
        <w:tc>
          <w:tcPr>
            <w:tcW w:w="2235" w:type="dxa"/>
          </w:tcPr>
          <w:p w:rsidR="00E62E10" w:rsidRPr="009615AE" w:rsidRDefault="00E62E10" w:rsidP="00B44DBB">
            <w:pPr>
              <w:tabs>
                <w:tab w:val="left" w:pos="567"/>
              </w:tabs>
              <w:jc w:val="both"/>
              <w:rPr>
                <w:b/>
                <w:sz w:val="22"/>
                <w:szCs w:val="22"/>
                <w:lang w:val="lt-LT"/>
              </w:rPr>
            </w:pPr>
            <w:r w:rsidRPr="009615AE">
              <w:rPr>
                <w:b/>
                <w:sz w:val="22"/>
                <w:szCs w:val="22"/>
                <w:lang w:val="lt-LT"/>
              </w:rPr>
              <w:t>Kūrėjas/ Autorius</w:t>
            </w:r>
          </w:p>
        </w:tc>
        <w:tc>
          <w:tcPr>
            <w:tcW w:w="850" w:type="dxa"/>
          </w:tcPr>
          <w:p w:rsidR="00E62E10" w:rsidRPr="009615AE" w:rsidRDefault="00E62E10" w:rsidP="00B44DBB">
            <w:pPr>
              <w:tabs>
                <w:tab w:val="left" w:pos="567"/>
              </w:tabs>
              <w:jc w:val="both"/>
              <w:rPr>
                <w:b/>
                <w:sz w:val="22"/>
                <w:szCs w:val="22"/>
                <w:lang w:val="lt-LT"/>
              </w:rPr>
            </w:pPr>
            <w:r w:rsidRPr="009615AE">
              <w:rPr>
                <w:b/>
                <w:sz w:val="22"/>
                <w:szCs w:val="22"/>
                <w:lang w:val="lt-LT"/>
              </w:rPr>
              <w:t>Metai</w:t>
            </w:r>
          </w:p>
        </w:tc>
        <w:tc>
          <w:tcPr>
            <w:tcW w:w="3544" w:type="dxa"/>
          </w:tcPr>
          <w:p w:rsidR="00E62E10" w:rsidRPr="009615AE" w:rsidRDefault="00E62E10" w:rsidP="00B44DBB">
            <w:pPr>
              <w:tabs>
                <w:tab w:val="left" w:pos="567"/>
              </w:tabs>
              <w:jc w:val="both"/>
              <w:rPr>
                <w:b/>
                <w:sz w:val="22"/>
                <w:szCs w:val="22"/>
                <w:lang w:val="lt-LT"/>
              </w:rPr>
            </w:pPr>
            <w:r w:rsidRPr="009615AE">
              <w:rPr>
                <w:b/>
                <w:sz w:val="22"/>
                <w:szCs w:val="22"/>
                <w:lang w:val="lt-LT"/>
              </w:rPr>
              <w:t>Išraiška</w:t>
            </w:r>
          </w:p>
        </w:tc>
        <w:tc>
          <w:tcPr>
            <w:tcW w:w="3118" w:type="dxa"/>
          </w:tcPr>
          <w:p w:rsidR="00E62E10" w:rsidRPr="009615AE" w:rsidRDefault="00E62E10" w:rsidP="00B44DBB">
            <w:pPr>
              <w:tabs>
                <w:tab w:val="left" w:pos="567"/>
              </w:tabs>
              <w:jc w:val="both"/>
              <w:rPr>
                <w:b/>
                <w:sz w:val="22"/>
                <w:szCs w:val="22"/>
                <w:lang w:val="lt-LT"/>
              </w:rPr>
            </w:pPr>
            <w:r w:rsidRPr="009615AE">
              <w:rPr>
                <w:b/>
                <w:sz w:val="22"/>
                <w:szCs w:val="22"/>
                <w:lang w:val="lt-LT"/>
              </w:rPr>
              <w:t>Paaiškinimai</w:t>
            </w:r>
          </w:p>
        </w:tc>
      </w:tr>
      <w:tr w:rsidR="00E62E10" w:rsidRPr="009615AE" w:rsidTr="00B44DBB">
        <w:tc>
          <w:tcPr>
            <w:tcW w:w="2235" w:type="dxa"/>
          </w:tcPr>
          <w:p w:rsidR="00E62E10" w:rsidRPr="009615AE" w:rsidRDefault="00E62E10" w:rsidP="00DF72E0">
            <w:pPr>
              <w:tabs>
                <w:tab w:val="left" w:pos="567"/>
              </w:tabs>
              <w:jc w:val="both"/>
              <w:rPr>
                <w:sz w:val="22"/>
                <w:szCs w:val="22"/>
                <w:lang w:val="lt-LT"/>
              </w:rPr>
            </w:pPr>
            <w:r w:rsidRPr="009615AE">
              <w:rPr>
                <w:sz w:val="22"/>
                <w:szCs w:val="22"/>
                <w:lang w:val="lt-LT"/>
              </w:rPr>
              <w:t>Amerikos sertifikuotų viešųjų buhalterių institutas (angl. sutr. AICPA)</w:t>
            </w:r>
            <w:r w:rsidR="00CE3B52" w:rsidRPr="009615AE">
              <w:rPr>
                <w:sz w:val="22"/>
                <w:szCs w:val="22"/>
                <w:lang w:val="lt-LT"/>
              </w:rPr>
              <w:t xml:space="preserve"> 54-asis SAS</w:t>
            </w:r>
          </w:p>
        </w:tc>
        <w:tc>
          <w:tcPr>
            <w:tcW w:w="850" w:type="dxa"/>
          </w:tcPr>
          <w:p w:rsidR="00E62E10" w:rsidRPr="009615AE" w:rsidRDefault="00E62E10" w:rsidP="00B44DBB">
            <w:pPr>
              <w:tabs>
                <w:tab w:val="left" w:pos="567"/>
              </w:tabs>
              <w:jc w:val="both"/>
              <w:rPr>
                <w:sz w:val="22"/>
                <w:szCs w:val="22"/>
                <w:lang w:val="lt-LT"/>
              </w:rPr>
            </w:pPr>
            <w:r w:rsidRPr="009615AE">
              <w:rPr>
                <w:sz w:val="22"/>
                <w:szCs w:val="22"/>
                <w:lang w:val="lt-LT"/>
              </w:rPr>
              <w:t>1972</w:t>
            </w:r>
          </w:p>
        </w:tc>
        <w:tc>
          <w:tcPr>
            <w:tcW w:w="3544" w:type="dxa"/>
          </w:tcPr>
          <w:p w:rsidR="00E62E10" w:rsidRPr="009615AE" w:rsidRDefault="00E62E10" w:rsidP="00B44DBB">
            <w:pPr>
              <w:tabs>
                <w:tab w:val="left" w:pos="567"/>
              </w:tabs>
              <w:jc w:val="both"/>
              <w:rPr>
                <w:sz w:val="22"/>
                <w:szCs w:val="22"/>
                <w:lang w:val="lt-LT"/>
              </w:rPr>
            </w:pPr>
            <m:oMath>
              <m:r>
                <m:rPr>
                  <m:sty m:val="b"/>
                </m:rPr>
                <w:rPr>
                  <w:rFonts w:ascii="Cambria Math" w:hAnsi="Cambria Math"/>
                  <w:sz w:val="22"/>
                  <w:szCs w:val="22"/>
                  <w:lang w:val="lt-LT"/>
                </w:rPr>
                <m:t>S</m:t>
              </m:r>
              <m:r>
                <m:rPr>
                  <m:sty m:val="bi"/>
                </m:rPr>
                <w:rPr>
                  <w:rFonts w:ascii="Cambria Math" w:hAnsi="Cambria Math"/>
                  <w:sz w:val="22"/>
                  <w:szCs w:val="22"/>
                  <w:lang w:val="lt-LT"/>
                </w:rPr>
                <m:t>=1-</m:t>
              </m:r>
              <m:f>
                <m:fPr>
                  <m:ctrlPr>
                    <w:rPr>
                      <w:rFonts w:ascii="Cambria Math" w:hAnsi="Cambria Math"/>
                      <w:b/>
                      <w:sz w:val="22"/>
                      <w:szCs w:val="22"/>
                      <w:lang w:val="lt-LT"/>
                    </w:rPr>
                  </m:ctrlPr>
                </m:fPr>
                <m:num>
                  <m:d>
                    <m:dPr>
                      <m:ctrlPr>
                        <w:rPr>
                          <w:rFonts w:ascii="Cambria Math" w:hAnsi="Cambria Math"/>
                          <w:b/>
                          <w:i/>
                          <w:sz w:val="22"/>
                          <w:szCs w:val="22"/>
                          <w:lang w:val="lt-LT"/>
                        </w:rPr>
                      </m:ctrlPr>
                    </m:dPr>
                    <m:e>
                      <m:r>
                        <m:rPr>
                          <m:sty m:val="bi"/>
                        </m:rPr>
                        <w:rPr>
                          <w:rFonts w:ascii="Cambria Math" w:hAnsi="Cambria Math"/>
                          <w:sz w:val="22"/>
                          <w:szCs w:val="22"/>
                          <w:lang w:val="lt-LT"/>
                        </w:rPr>
                        <m:t>1-R</m:t>
                      </m:r>
                    </m:e>
                  </m:d>
                </m:num>
                <m:den>
                  <m:d>
                    <m:dPr>
                      <m:ctrlPr>
                        <w:rPr>
                          <w:rFonts w:ascii="Cambria Math" w:hAnsi="Cambria Math"/>
                          <w:b/>
                          <w:i/>
                          <w:sz w:val="22"/>
                          <w:szCs w:val="22"/>
                          <w:lang w:val="lt-LT"/>
                        </w:rPr>
                      </m:ctrlPr>
                    </m:dPr>
                    <m:e>
                      <m:r>
                        <m:rPr>
                          <m:sty m:val="bi"/>
                        </m:rPr>
                        <w:rPr>
                          <w:rFonts w:ascii="Cambria Math" w:hAnsi="Cambria Math"/>
                          <w:sz w:val="22"/>
                          <w:szCs w:val="22"/>
                          <w:lang w:val="lt-LT"/>
                        </w:rPr>
                        <m:t>1-C</m:t>
                      </m:r>
                    </m:e>
                  </m:d>
                </m:den>
              </m:f>
            </m:oMath>
            <w:r w:rsidRPr="009615AE">
              <w:rPr>
                <w:b/>
                <w:sz w:val="22"/>
                <w:szCs w:val="22"/>
                <w:lang w:val="lt-LT"/>
              </w:rPr>
              <w:t xml:space="preserve"> </w:t>
            </w:r>
            <w:r w:rsidRPr="009615AE">
              <w:rPr>
                <w:sz w:val="22"/>
                <w:szCs w:val="22"/>
                <w:lang w:val="lt-LT"/>
              </w:rPr>
              <w:t>;</w:t>
            </w:r>
          </w:p>
          <w:p w:rsidR="00E62E10" w:rsidRPr="009615AE" w:rsidRDefault="00E62E10" w:rsidP="00B44DBB">
            <w:pPr>
              <w:tabs>
                <w:tab w:val="left" w:pos="567"/>
              </w:tabs>
              <w:jc w:val="both"/>
              <w:rPr>
                <w:sz w:val="22"/>
                <w:szCs w:val="22"/>
                <w:lang w:val="lt-LT"/>
              </w:rPr>
            </w:pPr>
            <w:r w:rsidRPr="009615AE">
              <w:rPr>
                <w:sz w:val="22"/>
                <w:szCs w:val="22"/>
                <w:lang w:val="lt-LT"/>
              </w:rPr>
              <w:t xml:space="preserve">kur: </w:t>
            </w:r>
          </w:p>
          <w:p w:rsidR="00E62E10" w:rsidRPr="009615AE" w:rsidRDefault="00E62E10" w:rsidP="00B44DBB">
            <w:pPr>
              <w:tabs>
                <w:tab w:val="left" w:pos="567"/>
              </w:tabs>
              <w:jc w:val="both"/>
              <w:rPr>
                <w:sz w:val="22"/>
                <w:szCs w:val="22"/>
                <w:lang w:val="lt-LT"/>
              </w:rPr>
            </w:pPr>
            <w:r w:rsidRPr="009615AE">
              <w:rPr>
                <w:sz w:val="22"/>
                <w:szCs w:val="22"/>
                <w:lang w:val="lt-LT"/>
              </w:rPr>
              <w:t>S – detalių procedūrų patikimumo lygmuo;</w:t>
            </w:r>
          </w:p>
          <w:p w:rsidR="00E62E10" w:rsidRPr="009615AE" w:rsidRDefault="00E62E10" w:rsidP="00B44DBB">
            <w:pPr>
              <w:tabs>
                <w:tab w:val="left" w:pos="567"/>
              </w:tabs>
              <w:jc w:val="both"/>
              <w:rPr>
                <w:sz w:val="22"/>
                <w:szCs w:val="22"/>
                <w:lang w:val="lt-LT"/>
              </w:rPr>
            </w:pPr>
            <w:r w:rsidRPr="009615AE">
              <w:rPr>
                <w:sz w:val="22"/>
                <w:szCs w:val="22"/>
                <w:lang w:val="lt-LT"/>
              </w:rPr>
              <w:t>R – bendras norimas patikimumo lygmuo;</w:t>
            </w:r>
          </w:p>
          <w:p w:rsidR="00E62E10" w:rsidRPr="009615AE" w:rsidRDefault="00E62E10" w:rsidP="00B44DBB">
            <w:pPr>
              <w:tabs>
                <w:tab w:val="left" w:pos="567"/>
              </w:tabs>
              <w:jc w:val="both"/>
              <w:rPr>
                <w:sz w:val="22"/>
                <w:szCs w:val="22"/>
                <w:lang w:val="lt-LT"/>
              </w:rPr>
            </w:pPr>
            <w:r w:rsidRPr="009615AE">
              <w:rPr>
                <w:sz w:val="22"/>
                <w:szCs w:val="22"/>
                <w:lang w:val="lt-LT"/>
              </w:rPr>
              <w:t>C – patikimumas, skiriamas vidaus apskaitos kontrolei ir kitiems susijusiems veiksniams</w:t>
            </w:r>
            <w:r w:rsidR="00CD7041" w:rsidRPr="009615AE">
              <w:rPr>
                <w:sz w:val="22"/>
                <w:szCs w:val="22"/>
                <w:lang w:val="lt-LT"/>
              </w:rPr>
              <w:t>.</w:t>
            </w:r>
            <w:r w:rsidRPr="009615AE">
              <w:rPr>
                <w:sz w:val="22"/>
                <w:szCs w:val="22"/>
                <w:lang w:val="lt-LT"/>
              </w:rPr>
              <w:t xml:space="preserve"> </w:t>
            </w:r>
          </w:p>
        </w:tc>
        <w:tc>
          <w:tcPr>
            <w:tcW w:w="3118" w:type="dxa"/>
          </w:tcPr>
          <w:p w:rsidR="00E62E10" w:rsidRPr="009615AE" w:rsidRDefault="00E62E10" w:rsidP="00B44DBB">
            <w:pPr>
              <w:tabs>
                <w:tab w:val="left" w:pos="567"/>
              </w:tabs>
              <w:jc w:val="both"/>
              <w:rPr>
                <w:sz w:val="22"/>
                <w:szCs w:val="22"/>
                <w:lang w:val="lt-LT"/>
              </w:rPr>
            </w:pPr>
            <w:r w:rsidRPr="009615AE">
              <w:rPr>
                <w:sz w:val="22"/>
                <w:szCs w:val="22"/>
                <w:lang w:val="lt-LT"/>
              </w:rPr>
              <w:t xml:space="preserve">Modelio pagalba galima išsiaiškinti atitinkamą detalių procedūrų patikimumo lygmenį, pirmiausiai apibrėžiant bendrą norimą audito patikimumo lygmenį ir patikimumą priskirtą vidaus kontrolei.  </w:t>
            </w:r>
          </w:p>
        </w:tc>
      </w:tr>
      <w:tr w:rsidR="00E62E10" w:rsidRPr="009615AE" w:rsidTr="00B44DBB">
        <w:tc>
          <w:tcPr>
            <w:tcW w:w="2235" w:type="dxa"/>
          </w:tcPr>
          <w:p w:rsidR="00E62E10" w:rsidRPr="009615AE" w:rsidRDefault="00E62E10" w:rsidP="00B44DBB">
            <w:pPr>
              <w:tabs>
                <w:tab w:val="left" w:pos="567"/>
              </w:tabs>
              <w:jc w:val="both"/>
              <w:rPr>
                <w:sz w:val="22"/>
                <w:szCs w:val="22"/>
                <w:lang w:val="lt-LT"/>
              </w:rPr>
            </w:pPr>
            <w:r w:rsidRPr="009615AE">
              <w:rPr>
                <w:sz w:val="22"/>
                <w:szCs w:val="22"/>
                <w:lang w:val="lt-LT"/>
              </w:rPr>
              <w:t>Stringer, K.</w:t>
            </w:r>
          </w:p>
        </w:tc>
        <w:tc>
          <w:tcPr>
            <w:tcW w:w="850" w:type="dxa"/>
          </w:tcPr>
          <w:p w:rsidR="00E62E10" w:rsidRPr="009615AE" w:rsidRDefault="00E62E10" w:rsidP="00B44DBB">
            <w:pPr>
              <w:tabs>
                <w:tab w:val="left" w:pos="567"/>
              </w:tabs>
              <w:jc w:val="both"/>
              <w:rPr>
                <w:sz w:val="22"/>
                <w:szCs w:val="22"/>
                <w:lang w:val="lt-LT"/>
              </w:rPr>
            </w:pPr>
            <w:r w:rsidRPr="009615AE">
              <w:rPr>
                <w:sz w:val="22"/>
                <w:szCs w:val="22"/>
                <w:lang w:val="lt-LT"/>
              </w:rPr>
              <w:t>1975</w:t>
            </w:r>
          </w:p>
        </w:tc>
        <w:tc>
          <w:tcPr>
            <w:tcW w:w="3544" w:type="dxa"/>
          </w:tcPr>
          <w:p w:rsidR="00E62E10" w:rsidRPr="009615AE" w:rsidRDefault="00E62E10" w:rsidP="00B44DBB">
            <w:pPr>
              <w:tabs>
                <w:tab w:val="left" w:pos="567"/>
              </w:tabs>
              <w:jc w:val="both"/>
              <w:rPr>
                <w:rFonts w:asciiTheme="majorHAnsi" w:hAnsiTheme="majorHAnsi"/>
                <w:b/>
                <w:sz w:val="22"/>
                <w:szCs w:val="22"/>
              </w:rPr>
            </w:pPr>
            <w:r w:rsidRPr="009615AE">
              <w:rPr>
                <w:rFonts w:asciiTheme="majorHAnsi" w:hAnsiTheme="majorHAnsi"/>
                <w:b/>
                <w:sz w:val="22"/>
                <w:szCs w:val="22"/>
                <w:lang w:val="lt-LT"/>
              </w:rPr>
              <w:t xml:space="preserve">S </w:t>
            </w:r>
            <w:r w:rsidRPr="009615AE">
              <w:rPr>
                <w:rFonts w:asciiTheme="majorHAnsi" w:hAnsiTheme="majorHAnsi"/>
                <w:b/>
                <w:sz w:val="22"/>
                <w:szCs w:val="22"/>
              </w:rPr>
              <w:t>= 1 – (1 – D)(1 – A);</w:t>
            </w:r>
          </w:p>
          <w:p w:rsidR="00E62E10" w:rsidRPr="00246AC3" w:rsidRDefault="00E62E10" w:rsidP="00B44DBB">
            <w:pPr>
              <w:tabs>
                <w:tab w:val="left" w:pos="567"/>
              </w:tabs>
              <w:jc w:val="both"/>
              <w:rPr>
                <w:sz w:val="22"/>
                <w:szCs w:val="22"/>
              </w:rPr>
            </w:pPr>
            <w:r w:rsidRPr="00246AC3">
              <w:rPr>
                <w:sz w:val="22"/>
                <w:szCs w:val="22"/>
              </w:rPr>
              <w:t>kur:</w:t>
            </w:r>
          </w:p>
          <w:p w:rsidR="00E62E10" w:rsidRPr="009615AE" w:rsidRDefault="00E62E10" w:rsidP="00B44DBB">
            <w:pPr>
              <w:tabs>
                <w:tab w:val="left" w:pos="567"/>
              </w:tabs>
              <w:jc w:val="both"/>
              <w:rPr>
                <w:sz w:val="22"/>
                <w:szCs w:val="22"/>
                <w:lang w:val="lt-LT"/>
              </w:rPr>
            </w:pPr>
            <w:r w:rsidRPr="009615AE">
              <w:rPr>
                <w:sz w:val="22"/>
                <w:szCs w:val="22"/>
                <w:lang w:val="lt-LT"/>
              </w:rPr>
              <w:t>S – detalių procedūrų patikimumo lygmuo;</w:t>
            </w:r>
          </w:p>
          <w:p w:rsidR="00E62E10" w:rsidRPr="009615AE" w:rsidRDefault="00E62E10" w:rsidP="00B44DBB">
            <w:pPr>
              <w:tabs>
                <w:tab w:val="left" w:pos="567"/>
              </w:tabs>
              <w:jc w:val="both"/>
              <w:rPr>
                <w:sz w:val="22"/>
                <w:szCs w:val="22"/>
                <w:lang w:val="lt-LT"/>
              </w:rPr>
            </w:pPr>
            <w:r w:rsidRPr="009615AE">
              <w:rPr>
                <w:sz w:val="22"/>
                <w:szCs w:val="22"/>
                <w:lang w:val="lt-LT"/>
              </w:rPr>
              <w:t>D – detalių testų patikimumas;</w:t>
            </w:r>
          </w:p>
          <w:p w:rsidR="00E62E10" w:rsidRPr="009615AE" w:rsidRDefault="00E62E10" w:rsidP="00B44DBB">
            <w:pPr>
              <w:tabs>
                <w:tab w:val="left" w:pos="567"/>
              </w:tabs>
              <w:jc w:val="both"/>
              <w:rPr>
                <w:sz w:val="22"/>
                <w:szCs w:val="22"/>
                <w:lang w:val="lt-LT"/>
              </w:rPr>
            </w:pPr>
            <w:r w:rsidRPr="009615AE">
              <w:rPr>
                <w:sz w:val="22"/>
                <w:szCs w:val="22"/>
                <w:lang w:val="lt-LT"/>
              </w:rPr>
              <w:t>A – analitinių procedūrų patikimumas</w:t>
            </w:r>
            <w:r w:rsidR="00CD7041" w:rsidRPr="009615AE">
              <w:rPr>
                <w:sz w:val="22"/>
                <w:szCs w:val="22"/>
                <w:lang w:val="lt-LT"/>
              </w:rPr>
              <w:t>.</w:t>
            </w:r>
          </w:p>
        </w:tc>
        <w:tc>
          <w:tcPr>
            <w:tcW w:w="3118" w:type="dxa"/>
          </w:tcPr>
          <w:p w:rsidR="00E62E10" w:rsidRPr="009615AE" w:rsidRDefault="00E62E10" w:rsidP="00B44DBB">
            <w:pPr>
              <w:tabs>
                <w:tab w:val="left" w:pos="567"/>
              </w:tabs>
              <w:jc w:val="both"/>
              <w:rPr>
                <w:sz w:val="22"/>
                <w:szCs w:val="22"/>
                <w:lang w:val="lt-LT"/>
              </w:rPr>
            </w:pPr>
            <w:r w:rsidRPr="009615AE">
              <w:rPr>
                <w:sz w:val="22"/>
                <w:szCs w:val="22"/>
                <w:lang w:val="lt-LT"/>
              </w:rPr>
              <w:t>Auditoriaus patikimumas dėl detalių procedūrų gali kilti dėl detalių testų ir analitinių procedūrų patikimumo.</w:t>
            </w:r>
          </w:p>
        </w:tc>
      </w:tr>
      <w:tr w:rsidR="00E62E10" w:rsidRPr="009615AE" w:rsidTr="00B44DBB">
        <w:tc>
          <w:tcPr>
            <w:tcW w:w="2235" w:type="dxa"/>
          </w:tcPr>
          <w:p w:rsidR="00E62E10" w:rsidRPr="009615AE" w:rsidRDefault="00E62E10" w:rsidP="00B44DBB">
            <w:pPr>
              <w:tabs>
                <w:tab w:val="left" w:pos="567"/>
              </w:tabs>
              <w:jc w:val="both"/>
              <w:rPr>
                <w:sz w:val="22"/>
                <w:szCs w:val="22"/>
                <w:lang w:val="lt-LT"/>
              </w:rPr>
            </w:pPr>
            <w:r w:rsidRPr="009615AE">
              <w:rPr>
                <w:sz w:val="22"/>
                <w:szCs w:val="22"/>
                <w:lang w:val="lt-LT"/>
              </w:rPr>
              <w:t>Warren, C. S.</w:t>
            </w:r>
          </w:p>
        </w:tc>
        <w:tc>
          <w:tcPr>
            <w:tcW w:w="850" w:type="dxa"/>
          </w:tcPr>
          <w:p w:rsidR="00E62E10" w:rsidRPr="009615AE" w:rsidRDefault="00E62E10" w:rsidP="00B44DBB">
            <w:pPr>
              <w:tabs>
                <w:tab w:val="left" w:pos="567"/>
              </w:tabs>
              <w:jc w:val="both"/>
              <w:rPr>
                <w:sz w:val="22"/>
                <w:szCs w:val="22"/>
                <w:lang w:val="lt-LT"/>
              </w:rPr>
            </w:pPr>
            <w:r w:rsidRPr="009615AE">
              <w:rPr>
                <w:sz w:val="22"/>
                <w:szCs w:val="22"/>
                <w:lang w:val="lt-LT"/>
              </w:rPr>
              <w:t>1979</w:t>
            </w:r>
          </w:p>
        </w:tc>
        <w:tc>
          <w:tcPr>
            <w:tcW w:w="3544" w:type="dxa"/>
          </w:tcPr>
          <w:p w:rsidR="00E62E10" w:rsidRPr="009615AE" w:rsidRDefault="00E62E10" w:rsidP="00B44DBB">
            <w:pPr>
              <w:tabs>
                <w:tab w:val="left" w:pos="567"/>
              </w:tabs>
              <w:jc w:val="both"/>
              <w:rPr>
                <w:rFonts w:asciiTheme="majorHAnsi" w:hAnsiTheme="majorHAnsi"/>
                <w:sz w:val="22"/>
                <w:szCs w:val="22"/>
              </w:rPr>
            </w:pPr>
            <w:r w:rsidRPr="009615AE">
              <w:rPr>
                <w:b/>
                <w:sz w:val="22"/>
                <w:szCs w:val="22"/>
                <w:lang w:val="lt-LT"/>
              </w:rPr>
              <w:t xml:space="preserve">(1 – R) </w:t>
            </w:r>
            <w:r w:rsidRPr="009615AE">
              <w:rPr>
                <w:rFonts w:asciiTheme="majorHAnsi" w:hAnsiTheme="majorHAnsi"/>
                <w:b/>
                <w:sz w:val="22"/>
                <w:szCs w:val="22"/>
              </w:rPr>
              <w:t>= (1 –S) (1 – C)(ME)</w:t>
            </w:r>
            <w:r w:rsidRPr="009615AE">
              <w:rPr>
                <w:rFonts w:asciiTheme="majorHAnsi" w:hAnsiTheme="majorHAnsi"/>
                <w:sz w:val="22"/>
                <w:szCs w:val="22"/>
              </w:rPr>
              <w:t>;</w:t>
            </w:r>
          </w:p>
          <w:p w:rsidR="00E62E10" w:rsidRPr="00246AC3" w:rsidRDefault="00E62E10" w:rsidP="00B44DBB">
            <w:pPr>
              <w:tabs>
                <w:tab w:val="left" w:pos="567"/>
              </w:tabs>
              <w:jc w:val="both"/>
              <w:rPr>
                <w:sz w:val="22"/>
                <w:szCs w:val="22"/>
                <w:lang w:val="lt-LT"/>
              </w:rPr>
            </w:pPr>
            <w:r w:rsidRPr="00246AC3">
              <w:rPr>
                <w:sz w:val="22"/>
                <w:szCs w:val="22"/>
              </w:rPr>
              <w:t>kur:</w:t>
            </w:r>
            <w:r w:rsidRPr="00246AC3">
              <w:rPr>
                <w:sz w:val="22"/>
                <w:szCs w:val="22"/>
                <w:lang w:val="lt-LT"/>
              </w:rPr>
              <w:t xml:space="preserve"> </w:t>
            </w:r>
          </w:p>
          <w:p w:rsidR="00E62E10" w:rsidRPr="009615AE" w:rsidRDefault="00E62E10" w:rsidP="00B44DBB">
            <w:pPr>
              <w:tabs>
                <w:tab w:val="left" w:pos="567"/>
              </w:tabs>
              <w:jc w:val="both"/>
              <w:rPr>
                <w:sz w:val="22"/>
                <w:szCs w:val="22"/>
                <w:lang w:val="lt-LT"/>
              </w:rPr>
            </w:pPr>
            <w:r w:rsidRPr="009615AE">
              <w:rPr>
                <w:sz w:val="22"/>
                <w:szCs w:val="22"/>
                <w:lang w:val="lt-LT"/>
              </w:rPr>
              <w:t>S – detalių procedūrų patikimumo lygmuo;</w:t>
            </w:r>
          </w:p>
          <w:p w:rsidR="00E62E10" w:rsidRPr="009615AE" w:rsidRDefault="00E62E10" w:rsidP="00B44DBB">
            <w:pPr>
              <w:tabs>
                <w:tab w:val="left" w:pos="567"/>
              </w:tabs>
              <w:jc w:val="both"/>
              <w:rPr>
                <w:sz w:val="22"/>
                <w:szCs w:val="22"/>
                <w:lang w:val="lt-LT"/>
              </w:rPr>
            </w:pPr>
            <w:r w:rsidRPr="009615AE">
              <w:rPr>
                <w:sz w:val="22"/>
                <w:szCs w:val="22"/>
                <w:lang w:val="lt-LT"/>
              </w:rPr>
              <w:t>R – bendras norimas patikimumo lygmuo;</w:t>
            </w:r>
          </w:p>
          <w:p w:rsidR="00E62E10" w:rsidRPr="009615AE" w:rsidRDefault="00E62E10" w:rsidP="00B44DBB">
            <w:pPr>
              <w:tabs>
                <w:tab w:val="left" w:pos="567"/>
              </w:tabs>
              <w:jc w:val="both"/>
              <w:rPr>
                <w:sz w:val="22"/>
                <w:szCs w:val="22"/>
                <w:lang w:val="lt-LT"/>
              </w:rPr>
            </w:pPr>
            <w:r w:rsidRPr="009615AE">
              <w:rPr>
                <w:sz w:val="22"/>
                <w:szCs w:val="22"/>
                <w:lang w:val="lt-LT"/>
              </w:rPr>
              <w:t>C – patikimumas, skiriamas vidaus apskaitos kontrolei ir kitiems susijusiems veiksniams;</w:t>
            </w:r>
          </w:p>
          <w:p w:rsidR="00E62E10" w:rsidRPr="009615AE" w:rsidRDefault="00E62E10" w:rsidP="00B44DBB">
            <w:pPr>
              <w:tabs>
                <w:tab w:val="left" w:pos="567"/>
              </w:tabs>
              <w:jc w:val="both"/>
              <w:rPr>
                <w:sz w:val="22"/>
                <w:szCs w:val="22"/>
                <w:vertAlign w:val="subscript"/>
                <w:lang w:val="lt-LT"/>
              </w:rPr>
            </w:pPr>
            <w:r w:rsidRPr="009615AE">
              <w:rPr>
                <w:sz w:val="22"/>
                <w:szCs w:val="22"/>
                <w:lang w:val="lt-LT"/>
              </w:rPr>
              <w:t>ME – reikšmingos klaidos tikimybė, subjektyviai įvertinta auditoriaus</w:t>
            </w:r>
            <w:r w:rsidR="00CD7041" w:rsidRPr="009615AE">
              <w:rPr>
                <w:sz w:val="22"/>
                <w:szCs w:val="22"/>
                <w:lang w:val="lt-LT"/>
              </w:rPr>
              <w:t>.</w:t>
            </w:r>
          </w:p>
        </w:tc>
        <w:tc>
          <w:tcPr>
            <w:tcW w:w="3118" w:type="dxa"/>
          </w:tcPr>
          <w:p w:rsidR="00E62E10" w:rsidRPr="009615AE" w:rsidRDefault="00E62E10" w:rsidP="00B44DBB">
            <w:pPr>
              <w:tabs>
                <w:tab w:val="left" w:pos="567"/>
              </w:tabs>
              <w:jc w:val="both"/>
              <w:rPr>
                <w:sz w:val="22"/>
                <w:szCs w:val="22"/>
                <w:lang w:val="lt-LT"/>
              </w:rPr>
            </w:pPr>
            <w:r w:rsidRPr="009615AE">
              <w:rPr>
                <w:sz w:val="22"/>
                <w:szCs w:val="22"/>
                <w:lang w:val="lt-LT"/>
              </w:rPr>
              <w:t>Įgimtos rizikos veiksnys įtraukiamas į modelį.</w:t>
            </w:r>
          </w:p>
        </w:tc>
      </w:tr>
      <w:tr w:rsidR="00E62E10" w:rsidRPr="009615AE" w:rsidTr="00B44DBB">
        <w:tc>
          <w:tcPr>
            <w:tcW w:w="2235" w:type="dxa"/>
          </w:tcPr>
          <w:p w:rsidR="00E62E10" w:rsidRPr="009615AE" w:rsidRDefault="00E62E10" w:rsidP="00DF72E0">
            <w:pPr>
              <w:tabs>
                <w:tab w:val="left" w:pos="567"/>
              </w:tabs>
              <w:jc w:val="both"/>
              <w:rPr>
                <w:sz w:val="22"/>
                <w:szCs w:val="22"/>
                <w:lang w:val="lt-LT"/>
              </w:rPr>
            </w:pPr>
            <w:r w:rsidRPr="009615AE">
              <w:rPr>
                <w:sz w:val="22"/>
                <w:szCs w:val="22"/>
                <w:lang w:val="lt-LT"/>
              </w:rPr>
              <w:t>Kanados privilegijuotų buhalterių institutas (angl. sutr. CICA)</w:t>
            </w:r>
          </w:p>
        </w:tc>
        <w:tc>
          <w:tcPr>
            <w:tcW w:w="850" w:type="dxa"/>
          </w:tcPr>
          <w:p w:rsidR="00E62E10" w:rsidRPr="009615AE" w:rsidRDefault="00E62E10" w:rsidP="00B44DBB">
            <w:pPr>
              <w:tabs>
                <w:tab w:val="left" w:pos="567"/>
              </w:tabs>
              <w:jc w:val="both"/>
              <w:rPr>
                <w:sz w:val="22"/>
                <w:szCs w:val="22"/>
                <w:lang w:val="lt-LT"/>
              </w:rPr>
            </w:pPr>
            <w:r w:rsidRPr="009615AE">
              <w:rPr>
                <w:sz w:val="22"/>
                <w:szCs w:val="22"/>
                <w:lang w:val="lt-LT"/>
              </w:rPr>
              <w:t>1980</w:t>
            </w:r>
          </w:p>
        </w:tc>
        <w:tc>
          <w:tcPr>
            <w:tcW w:w="3544" w:type="dxa"/>
          </w:tcPr>
          <w:p w:rsidR="00E62E10" w:rsidRPr="009615AE" w:rsidRDefault="00E62E10" w:rsidP="00B44DBB">
            <w:pPr>
              <w:tabs>
                <w:tab w:val="left" w:pos="567"/>
              </w:tabs>
              <w:jc w:val="both"/>
              <w:rPr>
                <w:b/>
                <w:sz w:val="22"/>
                <w:szCs w:val="22"/>
                <w:lang w:val="lt-LT"/>
              </w:rPr>
            </w:pPr>
            <w:r w:rsidRPr="009615AE">
              <w:rPr>
                <w:b/>
                <w:sz w:val="22"/>
                <w:szCs w:val="22"/>
                <w:lang w:val="lt-LT"/>
              </w:rPr>
              <w:t xml:space="preserve">Bendra rizika </w:t>
            </w:r>
            <w:r w:rsidRPr="009615AE">
              <w:rPr>
                <w:b/>
                <w:sz w:val="22"/>
                <w:szCs w:val="22"/>
              </w:rPr>
              <w:t xml:space="preserve">= </w:t>
            </w:r>
            <w:r w:rsidRPr="009615AE">
              <w:rPr>
                <w:b/>
                <w:sz w:val="22"/>
                <w:szCs w:val="22"/>
                <w:lang w:val="lt-LT"/>
              </w:rPr>
              <w:t>įgimta rizika x kontrolės rizika x rizika iš kitų audito procedūrų x detalių testų rizika</w:t>
            </w:r>
            <w:r w:rsidR="00CD7041" w:rsidRPr="009615AE">
              <w:rPr>
                <w:b/>
                <w:sz w:val="22"/>
                <w:szCs w:val="22"/>
                <w:lang w:val="lt-LT"/>
              </w:rPr>
              <w:t>.</w:t>
            </w:r>
            <w:r w:rsidRPr="009615AE">
              <w:rPr>
                <w:b/>
                <w:sz w:val="22"/>
                <w:szCs w:val="22"/>
                <w:lang w:val="lt-LT"/>
              </w:rPr>
              <w:t xml:space="preserve"> </w:t>
            </w:r>
          </w:p>
        </w:tc>
        <w:tc>
          <w:tcPr>
            <w:tcW w:w="3118" w:type="dxa"/>
          </w:tcPr>
          <w:p w:rsidR="00E62E10" w:rsidRPr="009615AE" w:rsidRDefault="00E62E10" w:rsidP="00B44DBB">
            <w:pPr>
              <w:tabs>
                <w:tab w:val="left" w:pos="567"/>
              </w:tabs>
              <w:jc w:val="both"/>
              <w:rPr>
                <w:sz w:val="22"/>
                <w:szCs w:val="22"/>
                <w:lang w:val="lt-LT"/>
              </w:rPr>
            </w:pPr>
            <w:r w:rsidRPr="009615AE">
              <w:rPr>
                <w:sz w:val="22"/>
                <w:szCs w:val="22"/>
                <w:lang w:val="lt-LT"/>
              </w:rPr>
              <w:t xml:space="preserve">Įtraukia reikšmingos klaidos įgimtą riziką ir riziką, susijusią su analitinėmis procedūromis </w:t>
            </w:r>
          </w:p>
        </w:tc>
      </w:tr>
      <w:tr w:rsidR="00E62E10" w:rsidRPr="009615AE" w:rsidTr="00B44DBB">
        <w:tc>
          <w:tcPr>
            <w:tcW w:w="2235" w:type="dxa"/>
          </w:tcPr>
          <w:p w:rsidR="00E62E10" w:rsidRPr="009615AE" w:rsidRDefault="00E62E10" w:rsidP="00DF72E0">
            <w:pPr>
              <w:tabs>
                <w:tab w:val="left" w:pos="567"/>
              </w:tabs>
              <w:jc w:val="both"/>
              <w:rPr>
                <w:sz w:val="22"/>
                <w:szCs w:val="22"/>
                <w:lang w:val="lt-LT"/>
              </w:rPr>
            </w:pPr>
            <w:r w:rsidRPr="009615AE">
              <w:rPr>
                <w:sz w:val="22"/>
                <w:szCs w:val="22"/>
                <w:lang w:val="lt-LT"/>
              </w:rPr>
              <w:t>Amerikos sertifikuotų viešųjų buhalterių institutas (angl. sutr. AICPA)</w:t>
            </w:r>
            <w:r w:rsidR="00CE3B52" w:rsidRPr="009615AE">
              <w:rPr>
                <w:sz w:val="22"/>
                <w:szCs w:val="22"/>
                <w:lang w:val="lt-LT"/>
              </w:rPr>
              <w:t xml:space="preserve"> 39-asis SAS</w:t>
            </w:r>
          </w:p>
        </w:tc>
        <w:tc>
          <w:tcPr>
            <w:tcW w:w="850" w:type="dxa"/>
          </w:tcPr>
          <w:p w:rsidR="00E62E10" w:rsidRPr="009615AE" w:rsidRDefault="00E62E10" w:rsidP="00B44DBB">
            <w:pPr>
              <w:tabs>
                <w:tab w:val="left" w:pos="567"/>
              </w:tabs>
              <w:jc w:val="both"/>
              <w:rPr>
                <w:sz w:val="22"/>
                <w:szCs w:val="22"/>
                <w:lang w:val="lt-LT"/>
              </w:rPr>
            </w:pPr>
            <w:r w:rsidRPr="009615AE">
              <w:rPr>
                <w:sz w:val="22"/>
                <w:szCs w:val="22"/>
                <w:lang w:val="lt-LT"/>
              </w:rPr>
              <w:t>1981</w:t>
            </w:r>
          </w:p>
        </w:tc>
        <w:tc>
          <w:tcPr>
            <w:tcW w:w="3544" w:type="dxa"/>
          </w:tcPr>
          <w:p w:rsidR="00E62E10" w:rsidRPr="009615AE" w:rsidRDefault="00316B79" w:rsidP="00B44DBB">
            <w:pPr>
              <w:tabs>
                <w:tab w:val="left" w:pos="567"/>
              </w:tabs>
              <w:jc w:val="both"/>
              <w:rPr>
                <w:sz w:val="22"/>
                <w:szCs w:val="22"/>
                <w:lang w:val="lt-LT"/>
              </w:rPr>
            </w:pPr>
            <w:r w:rsidRPr="009615AE">
              <w:rPr>
                <w:rFonts w:asciiTheme="majorHAnsi" w:hAnsiTheme="majorHAnsi"/>
                <w:b/>
                <w:sz w:val="22"/>
                <w:szCs w:val="22"/>
                <w:lang w:val="lt-LT"/>
              </w:rPr>
              <w:t xml:space="preserve">AR = </w:t>
            </w:r>
            <w:r w:rsidR="00E62E10" w:rsidRPr="009615AE">
              <w:rPr>
                <w:rFonts w:asciiTheme="majorHAnsi" w:hAnsiTheme="majorHAnsi"/>
                <w:b/>
                <w:sz w:val="22"/>
                <w:szCs w:val="22"/>
                <w:lang w:val="lt-LT"/>
              </w:rPr>
              <w:t>C</w:t>
            </w:r>
            <w:r w:rsidRPr="009615AE">
              <w:rPr>
                <w:rFonts w:asciiTheme="majorHAnsi" w:hAnsiTheme="majorHAnsi"/>
                <w:b/>
                <w:sz w:val="22"/>
                <w:szCs w:val="22"/>
                <w:lang w:val="lt-LT"/>
              </w:rPr>
              <w:t>R</w:t>
            </w:r>
            <w:r w:rsidR="00E62E10" w:rsidRPr="009615AE">
              <w:rPr>
                <w:rFonts w:asciiTheme="majorHAnsi" w:hAnsiTheme="majorHAnsi"/>
                <w:b/>
                <w:sz w:val="22"/>
                <w:szCs w:val="22"/>
                <w:lang w:val="lt-LT"/>
              </w:rPr>
              <w:t xml:space="preserve"> x A</w:t>
            </w:r>
            <w:r w:rsidRPr="009615AE">
              <w:rPr>
                <w:rFonts w:asciiTheme="majorHAnsi" w:hAnsiTheme="majorHAnsi"/>
                <w:b/>
                <w:sz w:val="22"/>
                <w:szCs w:val="22"/>
                <w:lang w:val="lt-LT"/>
              </w:rPr>
              <w:t>P</w:t>
            </w:r>
            <w:r w:rsidR="00E62E10" w:rsidRPr="009615AE">
              <w:rPr>
                <w:rFonts w:asciiTheme="majorHAnsi" w:hAnsiTheme="majorHAnsi"/>
                <w:b/>
                <w:sz w:val="22"/>
                <w:szCs w:val="22"/>
                <w:lang w:val="lt-LT"/>
              </w:rPr>
              <w:t xml:space="preserve"> x TD</w:t>
            </w:r>
            <w:r w:rsidR="00E62E10" w:rsidRPr="009615AE">
              <w:rPr>
                <w:sz w:val="22"/>
                <w:szCs w:val="22"/>
                <w:lang w:val="lt-LT"/>
              </w:rPr>
              <w:t>;</w:t>
            </w:r>
          </w:p>
          <w:p w:rsidR="00E62E10" w:rsidRPr="009615AE" w:rsidRDefault="00E62E10" w:rsidP="00B44DBB">
            <w:pPr>
              <w:tabs>
                <w:tab w:val="left" w:pos="567"/>
              </w:tabs>
              <w:jc w:val="both"/>
              <w:rPr>
                <w:sz w:val="22"/>
                <w:szCs w:val="22"/>
                <w:lang w:val="lt-LT"/>
              </w:rPr>
            </w:pPr>
            <w:r w:rsidRPr="009615AE">
              <w:rPr>
                <w:sz w:val="22"/>
                <w:szCs w:val="22"/>
                <w:lang w:val="lt-LT"/>
              </w:rPr>
              <w:t>kur:</w:t>
            </w:r>
          </w:p>
          <w:p w:rsidR="00E62E10" w:rsidRPr="009615AE" w:rsidRDefault="00316B79" w:rsidP="00B44DBB">
            <w:pPr>
              <w:tabs>
                <w:tab w:val="left" w:pos="567"/>
              </w:tabs>
              <w:jc w:val="both"/>
              <w:rPr>
                <w:sz w:val="22"/>
                <w:szCs w:val="22"/>
                <w:lang w:val="lt-LT"/>
              </w:rPr>
            </w:pPr>
            <w:r w:rsidRPr="009615AE">
              <w:rPr>
                <w:sz w:val="22"/>
                <w:szCs w:val="22"/>
                <w:lang w:val="lt-LT"/>
              </w:rPr>
              <w:t>A</w:t>
            </w:r>
            <w:r w:rsidR="00E62E10" w:rsidRPr="009615AE">
              <w:rPr>
                <w:sz w:val="22"/>
                <w:szCs w:val="22"/>
                <w:lang w:val="lt-LT"/>
              </w:rPr>
              <w:t>R – bendra rizika;</w:t>
            </w:r>
          </w:p>
          <w:p w:rsidR="00E62E10" w:rsidRPr="009615AE" w:rsidRDefault="00316B79" w:rsidP="00B44DBB">
            <w:pPr>
              <w:tabs>
                <w:tab w:val="left" w:pos="567"/>
              </w:tabs>
              <w:jc w:val="both"/>
              <w:rPr>
                <w:sz w:val="22"/>
                <w:szCs w:val="22"/>
                <w:lang w:val="lt-LT"/>
              </w:rPr>
            </w:pPr>
            <w:r w:rsidRPr="009615AE">
              <w:rPr>
                <w:sz w:val="22"/>
                <w:szCs w:val="22"/>
                <w:lang w:val="lt-LT"/>
              </w:rPr>
              <w:t>CR</w:t>
            </w:r>
            <w:r w:rsidR="00E62E10" w:rsidRPr="009615AE">
              <w:rPr>
                <w:sz w:val="22"/>
                <w:szCs w:val="22"/>
                <w:lang w:val="lt-LT"/>
              </w:rPr>
              <w:t xml:space="preserve"> – auditoriaus rizikos vertinimas, kad vidaus apskaitos kontrolė nesugebės aptikti klaidos;</w:t>
            </w:r>
          </w:p>
          <w:p w:rsidR="00E62E10" w:rsidRPr="009615AE" w:rsidRDefault="00316B79" w:rsidP="00B44DBB">
            <w:pPr>
              <w:tabs>
                <w:tab w:val="left" w:pos="567"/>
              </w:tabs>
              <w:jc w:val="both"/>
              <w:rPr>
                <w:sz w:val="22"/>
                <w:szCs w:val="22"/>
                <w:lang w:val="lt-LT"/>
              </w:rPr>
            </w:pPr>
            <w:r w:rsidRPr="009615AE">
              <w:rPr>
                <w:sz w:val="22"/>
                <w:szCs w:val="22"/>
                <w:lang w:val="lt-LT"/>
              </w:rPr>
              <w:t>AP</w:t>
            </w:r>
            <w:r w:rsidR="00E62E10" w:rsidRPr="009615AE">
              <w:rPr>
                <w:sz w:val="22"/>
                <w:szCs w:val="22"/>
                <w:lang w:val="lt-LT"/>
              </w:rPr>
              <w:t xml:space="preserve"> – auditoriaus rizikos vertinimas, kad analitinės procedūros ir kiti susij</w:t>
            </w:r>
            <w:r w:rsidR="00B44DBB" w:rsidRPr="009615AE">
              <w:rPr>
                <w:sz w:val="22"/>
                <w:szCs w:val="22"/>
                <w:lang w:val="lt-LT"/>
              </w:rPr>
              <w:t>ę detalūs testai nepatiks klaidų, lygių toleruotinai klaidai</w:t>
            </w:r>
            <w:r w:rsidR="00E62E10" w:rsidRPr="009615AE">
              <w:rPr>
                <w:sz w:val="22"/>
                <w:szCs w:val="22"/>
                <w:lang w:val="lt-LT"/>
              </w:rPr>
              <w:t>;</w:t>
            </w:r>
          </w:p>
          <w:p w:rsidR="00E62E10" w:rsidRPr="009615AE" w:rsidRDefault="00E62E10" w:rsidP="00B44DBB">
            <w:pPr>
              <w:tabs>
                <w:tab w:val="left" w:pos="567"/>
              </w:tabs>
              <w:jc w:val="both"/>
              <w:rPr>
                <w:sz w:val="22"/>
                <w:szCs w:val="22"/>
                <w:lang w:val="lt-LT"/>
              </w:rPr>
            </w:pPr>
            <w:r w:rsidRPr="009615AE">
              <w:rPr>
                <w:sz w:val="22"/>
                <w:szCs w:val="22"/>
                <w:lang w:val="lt-LT"/>
              </w:rPr>
              <w:t>TD – atrankos rizika dėl neteisingo priėmimo detalių testų metu</w:t>
            </w:r>
            <w:r w:rsidR="00CD7041" w:rsidRPr="009615AE">
              <w:rPr>
                <w:sz w:val="22"/>
                <w:szCs w:val="22"/>
                <w:lang w:val="lt-LT"/>
              </w:rPr>
              <w:t>.</w:t>
            </w:r>
          </w:p>
        </w:tc>
        <w:tc>
          <w:tcPr>
            <w:tcW w:w="3118" w:type="dxa"/>
          </w:tcPr>
          <w:p w:rsidR="00E62E10" w:rsidRPr="009615AE" w:rsidRDefault="00E62E10" w:rsidP="00B44DBB">
            <w:pPr>
              <w:tabs>
                <w:tab w:val="left" w:pos="567"/>
              </w:tabs>
              <w:jc w:val="both"/>
              <w:rPr>
                <w:sz w:val="22"/>
                <w:szCs w:val="22"/>
                <w:lang w:val="lt-LT"/>
              </w:rPr>
            </w:pPr>
            <w:r w:rsidRPr="009615AE">
              <w:rPr>
                <w:sz w:val="22"/>
                <w:szCs w:val="22"/>
                <w:lang w:val="lt-LT"/>
              </w:rPr>
              <w:t>Įgimta rizika (rizika, kad klaida pasireikš dėl vidaus apskaitos kontrolės, susijusios su sąskaitos likučiu ar ūkinių operacijų grupe, nebuvimo) modelyje prilyginama vienetui.</w:t>
            </w:r>
          </w:p>
        </w:tc>
      </w:tr>
      <w:tr w:rsidR="00316B79" w:rsidRPr="009615AE" w:rsidTr="00B44DBB">
        <w:tc>
          <w:tcPr>
            <w:tcW w:w="2235" w:type="dxa"/>
          </w:tcPr>
          <w:p w:rsidR="00316B79" w:rsidRPr="009615AE" w:rsidRDefault="0000397E" w:rsidP="0000397E">
            <w:pPr>
              <w:tabs>
                <w:tab w:val="left" w:pos="567"/>
              </w:tabs>
              <w:rPr>
                <w:sz w:val="22"/>
                <w:szCs w:val="22"/>
                <w:lang w:val="lt-LT"/>
              </w:rPr>
            </w:pPr>
            <w:r w:rsidRPr="009615AE">
              <w:rPr>
                <w:sz w:val="22"/>
                <w:szCs w:val="22"/>
                <w:lang w:val="lt-LT"/>
              </w:rPr>
              <w:lastRenderedPageBreak/>
              <w:t>Amerikos sertifikuotų viešųjų buhalterių institutas (angl. sutr. AICPA)</w:t>
            </w:r>
            <w:r w:rsidR="00CE3B52" w:rsidRPr="009615AE">
              <w:rPr>
                <w:sz w:val="22"/>
                <w:szCs w:val="22"/>
                <w:lang w:val="lt-LT"/>
              </w:rPr>
              <w:t xml:space="preserve"> 47-asis SAS</w:t>
            </w:r>
          </w:p>
        </w:tc>
        <w:tc>
          <w:tcPr>
            <w:tcW w:w="850" w:type="dxa"/>
          </w:tcPr>
          <w:p w:rsidR="00316B79" w:rsidRPr="009615AE" w:rsidRDefault="00316B79" w:rsidP="00B44DBB">
            <w:pPr>
              <w:tabs>
                <w:tab w:val="left" w:pos="567"/>
              </w:tabs>
              <w:jc w:val="both"/>
              <w:rPr>
                <w:sz w:val="22"/>
                <w:szCs w:val="22"/>
                <w:lang w:val="lt-LT"/>
              </w:rPr>
            </w:pPr>
            <w:r w:rsidRPr="009615AE">
              <w:rPr>
                <w:sz w:val="22"/>
                <w:szCs w:val="22"/>
                <w:lang w:val="lt-LT"/>
              </w:rPr>
              <w:t>1983</w:t>
            </w:r>
          </w:p>
          <w:p w:rsidR="0000397E" w:rsidRPr="009615AE" w:rsidRDefault="0000397E" w:rsidP="00B44DBB">
            <w:pPr>
              <w:tabs>
                <w:tab w:val="left" w:pos="567"/>
              </w:tabs>
              <w:jc w:val="both"/>
              <w:rPr>
                <w:sz w:val="22"/>
                <w:szCs w:val="22"/>
                <w:lang w:val="lt-LT"/>
              </w:rPr>
            </w:pPr>
          </w:p>
          <w:p w:rsidR="0000397E" w:rsidRPr="009615AE" w:rsidRDefault="0000397E" w:rsidP="00B44DBB">
            <w:pPr>
              <w:tabs>
                <w:tab w:val="left" w:pos="567"/>
              </w:tabs>
              <w:jc w:val="both"/>
              <w:rPr>
                <w:sz w:val="22"/>
                <w:szCs w:val="22"/>
                <w:lang w:val="lt-LT"/>
              </w:rPr>
            </w:pPr>
          </w:p>
        </w:tc>
        <w:tc>
          <w:tcPr>
            <w:tcW w:w="3544" w:type="dxa"/>
          </w:tcPr>
          <w:p w:rsidR="00CE3B52" w:rsidRPr="009615AE" w:rsidRDefault="00316B79" w:rsidP="00316B79">
            <w:pPr>
              <w:tabs>
                <w:tab w:val="left" w:pos="567"/>
              </w:tabs>
              <w:jc w:val="both"/>
              <w:rPr>
                <w:rFonts w:asciiTheme="majorHAnsi" w:hAnsiTheme="majorHAnsi"/>
                <w:sz w:val="22"/>
                <w:szCs w:val="22"/>
                <w:lang w:val="lt-LT"/>
              </w:rPr>
            </w:pPr>
            <w:r w:rsidRPr="009615AE">
              <w:rPr>
                <w:rFonts w:asciiTheme="majorHAnsi" w:hAnsiTheme="majorHAnsi"/>
                <w:b/>
                <w:sz w:val="22"/>
                <w:szCs w:val="22"/>
                <w:lang w:val="lt-LT"/>
              </w:rPr>
              <w:t>AR = IR x CR x AP x TD</w:t>
            </w:r>
            <w:r w:rsidR="00CE3B52" w:rsidRPr="009615AE">
              <w:rPr>
                <w:rFonts w:asciiTheme="majorHAnsi" w:hAnsiTheme="majorHAnsi"/>
                <w:b/>
                <w:sz w:val="22"/>
                <w:szCs w:val="22"/>
                <w:lang w:val="lt-LT"/>
              </w:rPr>
              <w:t xml:space="preserve"> </w:t>
            </w:r>
            <w:r w:rsidR="00CE3B52" w:rsidRPr="009615AE">
              <w:rPr>
                <w:rFonts w:asciiTheme="majorHAnsi" w:hAnsiTheme="majorHAnsi"/>
                <w:sz w:val="22"/>
                <w:szCs w:val="22"/>
                <w:lang w:val="lt-LT"/>
              </w:rPr>
              <w:t>arba</w:t>
            </w:r>
          </w:p>
          <w:p w:rsidR="00316B79" w:rsidRPr="009615AE" w:rsidRDefault="00CE3B52" w:rsidP="00316B79">
            <w:pPr>
              <w:tabs>
                <w:tab w:val="left" w:pos="567"/>
              </w:tabs>
              <w:jc w:val="both"/>
              <w:rPr>
                <w:sz w:val="22"/>
                <w:szCs w:val="22"/>
                <w:lang w:val="lt-LT"/>
              </w:rPr>
            </w:pPr>
            <w:r w:rsidRPr="009615AE">
              <w:rPr>
                <w:rFonts w:asciiTheme="majorHAnsi" w:hAnsiTheme="majorHAnsi"/>
                <w:b/>
                <w:sz w:val="22"/>
                <w:szCs w:val="22"/>
                <w:lang w:val="lt-LT"/>
              </w:rPr>
              <w:t>AR = IR x CR x DR</w:t>
            </w:r>
            <w:r w:rsidR="00316B79" w:rsidRPr="009615AE">
              <w:rPr>
                <w:sz w:val="22"/>
                <w:szCs w:val="22"/>
                <w:lang w:val="lt-LT"/>
              </w:rPr>
              <w:t>;</w:t>
            </w:r>
          </w:p>
          <w:p w:rsidR="00316B79" w:rsidRPr="009615AE" w:rsidRDefault="00316B79" w:rsidP="00316B79">
            <w:pPr>
              <w:tabs>
                <w:tab w:val="left" w:pos="567"/>
              </w:tabs>
              <w:jc w:val="both"/>
              <w:rPr>
                <w:sz w:val="22"/>
                <w:szCs w:val="22"/>
                <w:lang w:val="lt-LT"/>
              </w:rPr>
            </w:pPr>
            <w:r w:rsidRPr="009615AE">
              <w:rPr>
                <w:sz w:val="22"/>
                <w:szCs w:val="22"/>
                <w:lang w:val="lt-LT"/>
              </w:rPr>
              <w:t>kur:</w:t>
            </w:r>
          </w:p>
          <w:p w:rsidR="00316B79" w:rsidRPr="009615AE" w:rsidRDefault="00316B79" w:rsidP="00316B79">
            <w:pPr>
              <w:tabs>
                <w:tab w:val="left" w:pos="567"/>
              </w:tabs>
              <w:jc w:val="both"/>
              <w:rPr>
                <w:sz w:val="22"/>
                <w:szCs w:val="22"/>
                <w:lang w:val="lt-LT"/>
              </w:rPr>
            </w:pPr>
            <w:r w:rsidRPr="009615AE">
              <w:rPr>
                <w:sz w:val="22"/>
                <w:szCs w:val="22"/>
                <w:lang w:val="lt-LT"/>
              </w:rPr>
              <w:t>AR – bendra audito rizika;</w:t>
            </w:r>
          </w:p>
          <w:p w:rsidR="00316B79" w:rsidRPr="009615AE" w:rsidRDefault="00316B79" w:rsidP="00316B79">
            <w:pPr>
              <w:tabs>
                <w:tab w:val="left" w:pos="567"/>
              </w:tabs>
              <w:jc w:val="both"/>
              <w:rPr>
                <w:sz w:val="22"/>
                <w:szCs w:val="22"/>
                <w:lang w:val="lt-LT"/>
              </w:rPr>
            </w:pPr>
            <w:r w:rsidRPr="009615AE">
              <w:rPr>
                <w:sz w:val="22"/>
                <w:szCs w:val="22"/>
                <w:lang w:val="lt-LT"/>
              </w:rPr>
              <w:t>IR – įgimta rizika;</w:t>
            </w:r>
          </w:p>
          <w:p w:rsidR="00316B79" w:rsidRPr="009615AE" w:rsidRDefault="00316B79" w:rsidP="00316B79">
            <w:pPr>
              <w:tabs>
                <w:tab w:val="left" w:pos="567"/>
              </w:tabs>
              <w:jc w:val="both"/>
              <w:rPr>
                <w:sz w:val="22"/>
                <w:szCs w:val="22"/>
                <w:lang w:val="lt-LT"/>
              </w:rPr>
            </w:pPr>
            <w:r w:rsidRPr="009615AE">
              <w:rPr>
                <w:sz w:val="22"/>
                <w:szCs w:val="22"/>
                <w:lang w:val="lt-LT"/>
              </w:rPr>
              <w:t>CR – kontrolės rizika;</w:t>
            </w:r>
          </w:p>
          <w:p w:rsidR="00316B79" w:rsidRPr="009615AE" w:rsidRDefault="00316B79" w:rsidP="00316B79">
            <w:pPr>
              <w:tabs>
                <w:tab w:val="left" w:pos="567"/>
              </w:tabs>
              <w:jc w:val="both"/>
              <w:rPr>
                <w:sz w:val="22"/>
                <w:szCs w:val="22"/>
                <w:lang w:val="lt-LT"/>
              </w:rPr>
            </w:pPr>
            <w:r w:rsidRPr="009615AE">
              <w:rPr>
                <w:sz w:val="22"/>
                <w:szCs w:val="22"/>
                <w:lang w:val="lt-LT"/>
              </w:rPr>
              <w:t>AP – auditoriaus rizikos vertinimas, kad analitinės procedūros ir kiti susiję detalūs testai nepatiks klaid</w:t>
            </w:r>
            <w:r w:rsidR="00B44DBB" w:rsidRPr="009615AE">
              <w:rPr>
                <w:sz w:val="22"/>
                <w:szCs w:val="22"/>
                <w:lang w:val="lt-LT"/>
              </w:rPr>
              <w:t>ų, lygių toleruotinai klaidai</w:t>
            </w:r>
            <w:r w:rsidRPr="009615AE">
              <w:rPr>
                <w:sz w:val="22"/>
                <w:szCs w:val="22"/>
                <w:lang w:val="lt-LT"/>
              </w:rPr>
              <w:t>;</w:t>
            </w:r>
          </w:p>
          <w:p w:rsidR="00316B79" w:rsidRPr="009615AE" w:rsidRDefault="00316B79" w:rsidP="00316B79">
            <w:pPr>
              <w:tabs>
                <w:tab w:val="left" w:pos="567"/>
              </w:tabs>
              <w:jc w:val="both"/>
              <w:rPr>
                <w:rFonts w:asciiTheme="majorHAnsi" w:hAnsiTheme="majorHAnsi"/>
                <w:b/>
                <w:sz w:val="22"/>
                <w:szCs w:val="22"/>
                <w:lang w:val="lt-LT"/>
              </w:rPr>
            </w:pPr>
            <w:r w:rsidRPr="009615AE">
              <w:rPr>
                <w:sz w:val="22"/>
                <w:szCs w:val="22"/>
                <w:lang w:val="lt-LT"/>
              </w:rPr>
              <w:t>TD – atrankos rizika dėl neteisingo priėmimo detalių testų metu.</w:t>
            </w:r>
          </w:p>
        </w:tc>
        <w:tc>
          <w:tcPr>
            <w:tcW w:w="3118" w:type="dxa"/>
          </w:tcPr>
          <w:p w:rsidR="00316B79" w:rsidRPr="009615AE" w:rsidRDefault="00B44DBB" w:rsidP="00B44DBB">
            <w:pPr>
              <w:tabs>
                <w:tab w:val="left" w:pos="567"/>
              </w:tabs>
              <w:jc w:val="both"/>
              <w:rPr>
                <w:sz w:val="22"/>
                <w:szCs w:val="22"/>
                <w:lang w:val="lt-LT"/>
              </w:rPr>
            </w:pPr>
            <w:r w:rsidRPr="009615AE">
              <w:rPr>
                <w:sz w:val="22"/>
                <w:szCs w:val="22"/>
                <w:lang w:val="lt-LT"/>
              </w:rPr>
              <w:t>Įtraukiamas įgimtos rizikos veiksnys.</w:t>
            </w:r>
          </w:p>
        </w:tc>
      </w:tr>
    </w:tbl>
    <w:p w:rsidR="00AF4456" w:rsidRPr="00EB143B" w:rsidRDefault="00E62E10" w:rsidP="00EB143B">
      <w:pPr>
        <w:rPr>
          <w:lang w:val="lt-LT"/>
        </w:rPr>
      </w:pPr>
      <w:r w:rsidRPr="00E62E10">
        <w:rPr>
          <w:lang w:val="lt-LT"/>
        </w:rPr>
        <w:t xml:space="preserve">Šaltinis: sudaryta pagal </w:t>
      </w:r>
      <w:r w:rsidR="00677CCB" w:rsidRPr="00677CCB">
        <w:rPr>
          <w:caps/>
          <w:lang w:val="lt-LT"/>
        </w:rPr>
        <w:t>Cushing</w:t>
      </w:r>
      <w:r w:rsidR="00677CCB">
        <w:rPr>
          <w:lang w:val="lt-LT"/>
        </w:rPr>
        <w:t>,</w:t>
      </w:r>
      <w:r w:rsidR="00677CCB" w:rsidRPr="00E62E10">
        <w:rPr>
          <w:lang w:val="lt-LT"/>
        </w:rPr>
        <w:t xml:space="preserve"> </w:t>
      </w:r>
      <w:r w:rsidRPr="00E62E10">
        <w:rPr>
          <w:lang w:val="lt-LT"/>
        </w:rPr>
        <w:t>B. E.</w:t>
      </w:r>
      <w:r w:rsidR="00677CCB">
        <w:rPr>
          <w:lang w:val="lt-LT"/>
        </w:rPr>
        <w:t>;</w:t>
      </w:r>
      <w:r w:rsidRPr="00E62E10">
        <w:rPr>
          <w:lang w:val="lt-LT"/>
        </w:rPr>
        <w:t xml:space="preserve"> </w:t>
      </w:r>
      <w:r w:rsidR="00677CCB" w:rsidRPr="00677CCB">
        <w:rPr>
          <w:caps/>
          <w:lang w:val="lt-LT"/>
        </w:rPr>
        <w:t>Loebbecke</w:t>
      </w:r>
      <w:r w:rsidR="00677CCB">
        <w:rPr>
          <w:caps/>
          <w:lang w:val="lt-LT"/>
        </w:rPr>
        <w:t>,</w:t>
      </w:r>
      <w:r w:rsidR="00677CCB" w:rsidRPr="00677CCB">
        <w:rPr>
          <w:caps/>
          <w:lang w:val="lt-LT"/>
        </w:rPr>
        <w:t xml:space="preserve"> </w:t>
      </w:r>
      <w:r w:rsidRPr="00E62E10">
        <w:rPr>
          <w:lang w:val="lt-LT"/>
        </w:rPr>
        <w:t>J. K.</w:t>
      </w:r>
      <w:r w:rsidR="00932508">
        <w:rPr>
          <w:lang w:val="lt-LT"/>
        </w:rPr>
        <w:t xml:space="preserve">, </w:t>
      </w:r>
      <w:r w:rsidRPr="00E62E10">
        <w:rPr>
          <w:lang w:val="lt-LT"/>
        </w:rPr>
        <w:t>1983, p. 24-27</w:t>
      </w:r>
      <w:r w:rsidR="00CD7041">
        <w:rPr>
          <w:lang w:val="lt-LT"/>
        </w:rPr>
        <w:t xml:space="preserve">; </w:t>
      </w:r>
      <w:r w:rsidR="00CD63DF">
        <w:rPr>
          <w:lang w:val="lt-LT"/>
        </w:rPr>
        <w:t xml:space="preserve">DANIEL, S. J., 1988, p. 175; </w:t>
      </w:r>
      <w:r w:rsidR="00CD7041">
        <w:rPr>
          <w:lang w:val="lt-LT"/>
        </w:rPr>
        <w:t>47-asis SAS „Audito rizika ir reikšmingumas atliekant auditą (2006)</w:t>
      </w:r>
      <w:r w:rsidRPr="00E62E10">
        <w:rPr>
          <w:lang w:val="lt-LT"/>
        </w:rPr>
        <w:t>.</w:t>
      </w:r>
      <w:r w:rsidRPr="00E62E10">
        <w:rPr>
          <w:lang w:val="lt-LT"/>
        </w:rPr>
        <w:br w:type="page"/>
      </w:r>
    </w:p>
    <w:p w:rsidR="00473D05" w:rsidRDefault="00473D05">
      <w:pPr>
        <w:tabs>
          <w:tab w:val="left" w:pos="567"/>
        </w:tabs>
        <w:jc w:val="both"/>
        <w:rPr>
          <w:sz w:val="24"/>
          <w:szCs w:val="24"/>
          <w:lang w:val="lt-LT"/>
        </w:rPr>
        <w:sectPr w:rsidR="00473D05" w:rsidSect="003E5F7B">
          <w:footerReference w:type="even" r:id="rId28"/>
          <w:footerReference w:type="default" r:id="rId29"/>
          <w:pgSz w:w="11906" w:h="16838" w:code="9"/>
          <w:pgMar w:top="1474" w:right="1814" w:bottom="1474" w:left="1814" w:header="1134" w:footer="1134" w:gutter="0"/>
          <w:cols w:space="1296"/>
          <w:titlePg/>
        </w:sectPr>
      </w:pPr>
    </w:p>
    <w:p w:rsidR="008C10B9" w:rsidRPr="00246AC3" w:rsidRDefault="00166819" w:rsidP="007E348A">
      <w:pPr>
        <w:tabs>
          <w:tab w:val="left" w:pos="567"/>
        </w:tabs>
        <w:spacing w:line="360" w:lineRule="auto"/>
        <w:jc w:val="both"/>
        <w:rPr>
          <w:b/>
          <w:sz w:val="26"/>
          <w:szCs w:val="26"/>
          <w:lang w:val="lt-LT"/>
        </w:rPr>
      </w:pPr>
      <w:r w:rsidRPr="00166819">
        <w:rPr>
          <w:noProof/>
          <w:sz w:val="24"/>
          <w:szCs w:val="24"/>
          <w:lang w:val="lt-LT"/>
        </w:rPr>
        <w:lastRenderedPageBreak/>
        <w:pict>
          <v:rect id="_x0000_s9063" style="position:absolute;left:0;text-align:left;margin-left:72.55pt;margin-top:-8.55pt;width:400.3pt;height:23.4pt;z-index:251882496" filled="f" stroked="f">
            <v:textbox style="mso-next-textbox:#_x0000_s9063">
              <w:txbxContent>
                <w:p w:rsidR="00BE5795" w:rsidRDefault="00BE5795"/>
              </w:txbxContent>
            </v:textbox>
          </v:rect>
        </w:pict>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Pr>
          <w:sz w:val="24"/>
          <w:szCs w:val="24"/>
          <w:lang w:val="lt-LT"/>
        </w:rPr>
        <w:tab/>
      </w:r>
      <w:r w:rsidR="008C10B9" w:rsidRPr="00246AC3">
        <w:rPr>
          <w:sz w:val="26"/>
          <w:szCs w:val="26"/>
          <w:lang w:val="lt-LT"/>
        </w:rPr>
        <w:tab/>
      </w:r>
      <w:r w:rsidR="009A700C" w:rsidRPr="00246AC3">
        <w:rPr>
          <w:b/>
          <w:sz w:val="26"/>
          <w:szCs w:val="26"/>
          <w:lang w:val="lt-LT"/>
        </w:rPr>
        <w:t>6</w:t>
      </w:r>
      <w:r w:rsidR="008C10B9" w:rsidRPr="00246AC3">
        <w:rPr>
          <w:b/>
          <w:sz w:val="26"/>
          <w:szCs w:val="26"/>
          <w:lang w:val="lt-LT"/>
        </w:rPr>
        <w:t xml:space="preserve"> PRIEDAS</w:t>
      </w:r>
    </w:p>
    <w:p w:rsidR="00036353" w:rsidRPr="00246AC3" w:rsidRDefault="007E348A" w:rsidP="00091B10">
      <w:pPr>
        <w:tabs>
          <w:tab w:val="left" w:pos="567"/>
        </w:tabs>
        <w:spacing w:line="360" w:lineRule="auto"/>
        <w:jc w:val="center"/>
        <w:rPr>
          <w:sz w:val="26"/>
          <w:szCs w:val="26"/>
        </w:rPr>
      </w:pPr>
      <w:r w:rsidRPr="00246AC3">
        <w:rPr>
          <w:b/>
          <w:caps/>
          <w:sz w:val="26"/>
          <w:szCs w:val="26"/>
          <w:lang w:val="lt-LT"/>
        </w:rPr>
        <w:t>Kinney (1989) audito rizikos modeli</w:t>
      </w:r>
      <w:r w:rsidR="00091B10" w:rsidRPr="00246AC3">
        <w:rPr>
          <w:b/>
          <w:caps/>
          <w:sz w:val="26"/>
          <w:szCs w:val="26"/>
          <w:lang w:val="lt-LT"/>
        </w:rPr>
        <w:t>s</w:t>
      </w:r>
      <w:r w:rsidR="00166819">
        <w:rPr>
          <w:noProof/>
          <w:sz w:val="26"/>
          <w:szCs w:val="26"/>
          <w:lang w:val="lt-LT"/>
        </w:rPr>
        <w:pict>
          <v:group id="_x0000_s74516" style="position:absolute;left:0;text-align:left;margin-left:12.1pt;margin-top:24.75pt;width:660.55pt;height:283.7pt;z-index:254388224;mso-position-horizontal-relative:text;mso-position-vertical-relative:text" coordorigin="1675,1995" coordsize="12511,4942">
            <v:rect id="_x0000_s2849" style="position:absolute;left:1675;top:3753;width:551;height:402" o:regroupid="119" filled="f">
              <v:textbox style="mso-next-textbox:#_x0000_s2849">
                <w:txbxContent>
                  <w:p w:rsidR="00BE5795" w:rsidRPr="00C773E2" w:rsidRDefault="00BE5795" w:rsidP="00036353">
                    <w:pPr>
                      <w:rPr>
                        <w:lang w:val="lt-LT"/>
                      </w:rPr>
                    </w:pPr>
                    <w:r>
                      <w:rPr>
                        <w:lang w:val="lt-LT"/>
                      </w:rPr>
                      <w:t>A</w:t>
                    </w:r>
                  </w:p>
                </w:txbxContent>
              </v:textbox>
            </v:rect>
            <v:rect id="_x0000_s2850" style="position:absolute;left:3543;top:3753;width:551;height:402" o:regroupid="119" filled="f">
              <v:textbox style="mso-next-textbox:#_x0000_s2850">
                <w:txbxContent>
                  <w:p w:rsidR="00BE5795" w:rsidRPr="00C773E2" w:rsidRDefault="00BE5795" w:rsidP="00036353">
                    <w:pPr>
                      <w:rPr>
                        <w:lang w:val="lt-LT"/>
                      </w:rPr>
                    </w:pPr>
                    <w:r>
                      <w:rPr>
                        <w:lang w:val="lt-LT"/>
                      </w:rPr>
                      <w:t>C</w:t>
                    </w:r>
                  </w:p>
                </w:txbxContent>
              </v:textbox>
            </v:rect>
            <v:rect id="_x0000_s2852" style="position:absolute;left:2564;top:3659;width:551;height:402" o:regroupid="119" filled="f" stroked="f">
              <v:textbox style="mso-next-textbox:#_x0000_s2852">
                <w:txbxContent>
                  <w:p w:rsidR="00BE5795" w:rsidRPr="00960ECB" w:rsidRDefault="00BE5795" w:rsidP="00036353">
                    <w:pPr>
                      <w:rPr>
                        <w:sz w:val="22"/>
                        <w:szCs w:val="22"/>
                        <w:lang w:val="lt-LT"/>
                      </w:rPr>
                    </w:pPr>
                    <w:r w:rsidRPr="00960ECB">
                      <w:rPr>
                        <w:sz w:val="22"/>
                        <w:szCs w:val="22"/>
                        <w:lang w:val="lt-LT"/>
                      </w:rPr>
                      <w:t>IR</w:t>
                    </w:r>
                  </w:p>
                </w:txbxContent>
              </v:textbox>
            </v:rect>
            <v:rect id="_x0000_s2853" style="position:absolute;left:2140;top:3966;width:1403;height:815" o:regroupid="119" filled="f" stroked="f">
              <v:textbox style="mso-next-textbox:#_x0000_s2853">
                <w:txbxContent>
                  <w:p w:rsidR="00BE5795" w:rsidRPr="008C10B9" w:rsidRDefault="00BE5795" w:rsidP="00036353">
                    <w:pPr>
                      <w:jc w:val="center"/>
                      <w:rPr>
                        <w:sz w:val="18"/>
                        <w:szCs w:val="18"/>
                        <w:lang w:val="lt-LT"/>
                      </w:rPr>
                    </w:pPr>
                    <w:r w:rsidRPr="008C10B9">
                      <w:rPr>
                        <w:sz w:val="18"/>
                        <w:szCs w:val="18"/>
                        <w:lang w:val="lt-LT"/>
                      </w:rPr>
                      <w:t>Reikšmingas</w:t>
                    </w:r>
                  </w:p>
                  <w:p w:rsidR="00BE5795" w:rsidRPr="008C10B9" w:rsidRDefault="00BE5795" w:rsidP="00036353">
                    <w:pPr>
                      <w:jc w:val="center"/>
                      <w:rPr>
                        <w:sz w:val="18"/>
                        <w:szCs w:val="18"/>
                        <w:lang w:val="lt-LT"/>
                      </w:rPr>
                    </w:pPr>
                    <w:r w:rsidRPr="008C10B9">
                      <w:rPr>
                        <w:sz w:val="18"/>
                        <w:szCs w:val="18"/>
                        <w:lang w:val="lt-LT"/>
                      </w:rPr>
                      <w:t>iškraipymas</w:t>
                    </w:r>
                  </w:p>
                  <w:p w:rsidR="00BE5795" w:rsidRPr="008C10B9" w:rsidRDefault="00BE5795" w:rsidP="00036353">
                    <w:pPr>
                      <w:jc w:val="center"/>
                      <w:rPr>
                        <w:sz w:val="18"/>
                        <w:szCs w:val="18"/>
                        <w:lang w:val="lt-LT"/>
                      </w:rPr>
                    </w:pPr>
                    <w:r w:rsidRPr="008C10B9">
                      <w:rPr>
                        <w:sz w:val="18"/>
                        <w:szCs w:val="18"/>
                        <w:lang w:val="lt-LT"/>
                      </w:rPr>
                      <w:t>egzistuoja</w:t>
                    </w:r>
                  </w:p>
                  <w:p w:rsidR="00BE5795" w:rsidRDefault="00BE5795" w:rsidP="00036353"/>
                </w:txbxContent>
              </v:textbox>
            </v:rect>
            <v:rect id="_x0000_s2854" style="position:absolute;left:4169;top:3353;width:2126;height:975" o:regroupid="119" filled="f" stroked="f">
              <v:textbox style="mso-next-textbox:#_x0000_s2854">
                <w:txbxContent>
                  <w:p w:rsidR="00BE5795" w:rsidRPr="008C10B9" w:rsidRDefault="00BE5795" w:rsidP="00036353">
                    <w:pPr>
                      <w:jc w:val="center"/>
                      <w:rPr>
                        <w:sz w:val="18"/>
                        <w:szCs w:val="18"/>
                        <w:lang w:val="lt-LT"/>
                      </w:rPr>
                    </w:pPr>
                    <w:r w:rsidRPr="008C10B9">
                      <w:rPr>
                        <w:sz w:val="18"/>
                        <w:szCs w:val="18"/>
                        <w:lang w:val="lt-LT"/>
                      </w:rPr>
                      <w:t>Kontrolės rizika (CR) įvertinta mažesnė nei maksimumas: CR &lt; M</w:t>
                    </w:r>
                  </w:p>
                </w:txbxContent>
              </v:textbox>
            </v:rect>
            <v:rect id="_x0000_s2855" style="position:absolute;left:4620;top:3034;width:825;height:402" o:regroupid="119" filled="f" stroked="f">
              <v:textbox style="mso-next-textbox:#_x0000_s2855">
                <w:txbxContent>
                  <w:p w:rsidR="00BE5795" w:rsidRPr="00AF4456" w:rsidRDefault="00BE5795" w:rsidP="00036353">
                    <w:pPr>
                      <w:rPr>
                        <w:rFonts w:asciiTheme="majorHAnsi" w:hAnsiTheme="majorHAnsi"/>
                        <w:i/>
                        <w:sz w:val="24"/>
                        <w:szCs w:val="24"/>
                        <w:lang w:val="lt-LT"/>
                      </w:rPr>
                    </w:pPr>
                    <w:r w:rsidRPr="00AF4456">
                      <w:rPr>
                        <w:rFonts w:asciiTheme="majorHAnsi" w:hAnsiTheme="majorHAnsi"/>
                        <w:i/>
                        <w:sz w:val="24"/>
                        <w:szCs w:val="24"/>
                        <w:lang w:val="lt-LT"/>
                      </w:rPr>
                      <w:t>IC</w:t>
                    </w:r>
                    <w:r w:rsidRPr="00AF4456">
                      <w:rPr>
                        <w:rFonts w:asciiTheme="majorHAnsi" w:hAnsiTheme="majorHAnsi"/>
                        <w:i/>
                        <w:sz w:val="24"/>
                        <w:szCs w:val="24"/>
                        <w:vertAlign w:val="subscript"/>
                        <w:lang w:val="lt-LT"/>
                      </w:rPr>
                      <w:t>1</w:t>
                    </w:r>
                  </w:p>
                </w:txbxContent>
              </v:textbox>
            </v:rect>
            <v:shape id="_x0000_s2860" type="#_x0000_t32" style="position:absolute;left:2226;top:3966;width:1317;height:0" o:connectortype="straight" o:regroupid="119"/>
            <v:shape id="_x0000_s2861" type="#_x0000_t32" style="position:absolute;left:4094;top:3966;width:161;height:0" o:connectortype="straight" o:regroupid="119"/>
            <v:shape id="_x0000_s2862" type="#_x0000_t32" style="position:absolute;left:4255;top:3353;width:0;height:2390" o:connectortype="straight" o:regroupid="119"/>
            <v:shape id="_x0000_s2863" type="#_x0000_t32" style="position:absolute;left:4255;top:3353;width:2040;height:0" o:connectortype="straight" o:regroupid="119"/>
            <v:rect id="_x0000_s2868" style="position:absolute;left:7490;top:4009;width:2225;height:577" o:regroupid="119" filled="f" stroked="f">
              <v:textbox style="mso-next-textbox:#_x0000_s2868">
                <w:txbxContent>
                  <w:p w:rsidR="00BE5795" w:rsidRPr="008C10B9" w:rsidRDefault="00BE5795" w:rsidP="00036353">
                    <w:pPr>
                      <w:jc w:val="center"/>
                      <w:rPr>
                        <w:sz w:val="18"/>
                        <w:szCs w:val="18"/>
                        <w:lang w:val="lt-LT"/>
                      </w:rPr>
                    </w:pPr>
                    <w:r w:rsidRPr="008C10B9">
                      <w:rPr>
                        <w:sz w:val="18"/>
                        <w:szCs w:val="18"/>
                        <w:lang w:val="lt-LT"/>
                      </w:rPr>
                      <w:t xml:space="preserve">(Iškraipymo </w:t>
                    </w:r>
                  </w:p>
                  <w:p w:rsidR="00BE5795" w:rsidRPr="008C10B9" w:rsidRDefault="00BE5795" w:rsidP="00036353">
                    <w:pPr>
                      <w:jc w:val="center"/>
                      <w:rPr>
                        <w:sz w:val="18"/>
                        <w:szCs w:val="18"/>
                        <w:lang w:val="lt-LT"/>
                      </w:rPr>
                    </w:pPr>
                    <w:r w:rsidRPr="008C10B9">
                      <w:rPr>
                        <w:sz w:val="18"/>
                        <w:szCs w:val="18"/>
                        <w:lang w:val="lt-LT"/>
                      </w:rPr>
                      <w:t>galimybė – siūloma)</w:t>
                    </w:r>
                  </w:p>
                </w:txbxContent>
              </v:textbox>
            </v:rect>
            <v:shape id="_x0000_s2879" type="#_x0000_t32" style="position:absolute;left:4255;top:5743;width:1886;height:0" o:connectortype="straight" o:regroupid="119"/>
            <v:rect id="_x0000_s2880" style="position:absolute;left:4620;top:5391;width:671;height:402" o:regroupid="119" filled="f" stroked="f">
              <v:textbox style="mso-next-textbox:#_x0000_s2880">
                <w:txbxContent>
                  <w:p w:rsidR="00BE5795" w:rsidRPr="00960ECB" w:rsidRDefault="00166819" w:rsidP="00036353">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IC</m:t>
                                </m:r>
                              </m:e>
                              <m:sub>
                                <m:r>
                                  <w:rPr>
                                    <w:rFonts w:ascii="Cambria Math"/>
                                    <w:sz w:val="22"/>
                                    <w:szCs w:val="22"/>
                                    <w:lang w:val="lt-LT"/>
                                  </w:rPr>
                                  <m:t>1</m:t>
                                </m:r>
                              </m:sub>
                            </m:sSub>
                          </m:e>
                        </m:acc>
                      </m:oMath>
                    </m:oMathPara>
                  </w:p>
                </w:txbxContent>
              </v:textbox>
            </v:rect>
            <v:rect id="_x0000_s2881" style="position:absolute;left:4393;top:5743;width:1190;height:329" o:regroupid="119" filled="f" stroked="f">
              <v:textbox style="mso-next-textbox:#_x0000_s2881">
                <w:txbxContent>
                  <w:p w:rsidR="00BE5795" w:rsidRPr="00E100E8" w:rsidRDefault="00BE5795" w:rsidP="00036353">
                    <w:pPr>
                      <w:rPr>
                        <w:lang w:val="ru-RU"/>
                      </w:rPr>
                    </w:pPr>
                    <w:r>
                      <w:rPr>
                        <w:lang w:val="ru-RU"/>
                      </w:rPr>
                      <w:t xml:space="preserve">( </w:t>
                    </w:r>
                    <w:r>
                      <w:rPr>
                        <w:lang w:val="lt-LT"/>
                      </w:rPr>
                      <w:t xml:space="preserve">CR </w:t>
                    </w:r>
                    <w:r>
                      <w:rPr>
                        <w:lang w:val="ru-RU"/>
                      </w:rPr>
                      <w:t>=</w:t>
                    </w:r>
                    <w:r>
                      <w:rPr>
                        <w:lang w:val="lt-LT"/>
                      </w:rPr>
                      <w:t xml:space="preserve"> M</w:t>
                    </w:r>
                    <w:r>
                      <w:rPr>
                        <w:lang w:val="ru-RU"/>
                      </w:rPr>
                      <w:t xml:space="preserve"> )</w:t>
                    </w:r>
                  </w:p>
                </w:txbxContent>
              </v:textbox>
            </v:rect>
            <v:rect id="_x0000_s2890" style="position:absolute;left:6155;top:5386;width:1266;height:759" o:regroupid="119" filled="f">
              <v:textbox style="mso-next-textbox:#_x0000_s2890">
                <w:txbxContent>
                  <w:p w:rsidR="00BE5795" w:rsidRPr="008C10B9" w:rsidRDefault="00BE5795" w:rsidP="00036353">
                    <w:pPr>
                      <w:jc w:val="center"/>
                      <w:rPr>
                        <w:sz w:val="18"/>
                        <w:szCs w:val="18"/>
                        <w:lang w:val="lt-LT"/>
                      </w:rPr>
                    </w:pPr>
                    <w:r w:rsidRPr="008C10B9">
                      <w:rPr>
                        <w:sz w:val="18"/>
                        <w:szCs w:val="18"/>
                        <w:lang w:val="lt-LT"/>
                      </w:rPr>
                      <w:t>Praplėstos analitinės procedūros</w:t>
                    </w:r>
                  </w:p>
                </w:txbxContent>
              </v:textbox>
            </v:rect>
            <v:rect id="_x0000_s2891" style="position:absolute;left:7421;top:5091;width:2225;height:538" o:regroupid="119" filled="f" stroked="f">
              <v:textbox style="mso-next-textbox:#_x0000_s2891">
                <w:txbxContent>
                  <w:p w:rsidR="00BE5795" w:rsidRPr="008C10B9" w:rsidRDefault="00BE5795" w:rsidP="00036353">
                    <w:pPr>
                      <w:jc w:val="center"/>
                      <w:rPr>
                        <w:sz w:val="18"/>
                        <w:szCs w:val="18"/>
                        <w:lang w:val="lt-LT"/>
                      </w:rPr>
                    </w:pPr>
                    <w:r w:rsidRPr="008C10B9">
                      <w:rPr>
                        <w:sz w:val="18"/>
                        <w:szCs w:val="18"/>
                        <w:lang w:val="lt-LT"/>
                      </w:rPr>
                      <w:t xml:space="preserve">(Iškraipymo </w:t>
                    </w:r>
                  </w:p>
                  <w:p w:rsidR="00BE5795" w:rsidRPr="008C10B9" w:rsidRDefault="00BE5795" w:rsidP="00036353">
                    <w:pPr>
                      <w:jc w:val="center"/>
                      <w:rPr>
                        <w:sz w:val="18"/>
                        <w:szCs w:val="18"/>
                        <w:lang w:val="lt-LT"/>
                      </w:rPr>
                    </w:pPr>
                    <w:r w:rsidRPr="008C10B9">
                      <w:rPr>
                        <w:sz w:val="18"/>
                        <w:szCs w:val="18"/>
                        <w:lang w:val="lt-LT"/>
                      </w:rPr>
                      <w:t>galimybė – nesiūloma)</w:t>
                    </w:r>
                  </w:p>
                </w:txbxContent>
              </v:textbox>
            </v:rect>
            <v:rect id="_x0000_s2892" style="position:absolute;left:7922;top:4748;width:671;height:402" o:regroupid="119" filled="f" stroked="f">
              <v:textbox style="mso-next-textbox:#_x0000_s2892">
                <w:txbxContent>
                  <w:p w:rsidR="00BE5795" w:rsidRPr="00960ECB" w:rsidRDefault="00BE5795" w:rsidP="00036353">
                    <w:pPr>
                      <w:rPr>
                        <w:rFonts w:asciiTheme="majorHAnsi" w:hAnsiTheme="majorHAnsi"/>
                        <w:i/>
                        <w:sz w:val="22"/>
                        <w:szCs w:val="22"/>
                        <w:lang w:val="lt-LT"/>
                      </w:rPr>
                    </w:pPr>
                    <w:r w:rsidRPr="00960ECB">
                      <w:rPr>
                        <w:rFonts w:asciiTheme="majorHAnsi" w:hAnsiTheme="majorHAnsi"/>
                        <w:i/>
                        <w:sz w:val="22"/>
                        <w:szCs w:val="22"/>
                        <w:lang w:val="lt-LT"/>
                      </w:rPr>
                      <w:t>R</w:t>
                    </w:r>
                    <w:r w:rsidRPr="00960ECB">
                      <w:rPr>
                        <w:rFonts w:asciiTheme="majorHAnsi" w:hAnsiTheme="majorHAnsi"/>
                        <w:i/>
                        <w:sz w:val="22"/>
                        <w:szCs w:val="22"/>
                        <w:vertAlign w:val="subscript"/>
                        <w:lang w:val="lt-LT"/>
                      </w:rPr>
                      <w:t>121</w:t>
                    </w:r>
                  </w:p>
                </w:txbxContent>
              </v:textbox>
            </v:rect>
            <v:rect id="_x0000_s2893" style="position:absolute;left:8079;top:6011;width:671;height:402" o:regroupid="119" filled="f" stroked="f">
              <v:textbox style="mso-next-textbox:#_x0000_s2893">
                <w:txbxContent>
                  <w:p w:rsidR="00BE5795" w:rsidRPr="00960ECB" w:rsidRDefault="00166819" w:rsidP="00036353">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R</m:t>
                                </m:r>
                              </m:e>
                              <m:sub>
                                <m:r>
                                  <w:rPr>
                                    <w:rFonts w:ascii="Cambria Math"/>
                                    <w:sz w:val="22"/>
                                    <w:szCs w:val="22"/>
                                    <w:lang w:val="lt-LT"/>
                                  </w:rPr>
                                  <m:t>12</m:t>
                                </m:r>
                              </m:sub>
                            </m:sSub>
                          </m:e>
                        </m:acc>
                      </m:oMath>
                    </m:oMathPara>
                  </w:p>
                </w:txbxContent>
              </v:textbox>
            </v:rect>
            <v:shape id="_x0000_s2894" type="#_x0000_t32" style="position:absolute;left:7421;top:5705;width:125;height:0" o:connectortype="straight" o:regroupid="119"/>
            <v:shape id="_x0000_s2895" type="#_x0000_t32" style="position:absolute;left:7546;top:5091;width:0;height:1322" o:connectortype="straight" o:regroupid="119"/>
            <v:shape id="_x0000_s2896" type="#_x0000_t32" style="position:absolute;left:7546;top:5091;width:2029;height:0" o:connectortype="straight" o:regroupid="119"/>
            <v:shape id="_x0000_s2897" type="#_x0000_t32" style="position:absolute;left:7546;top:6413;width:2029;height:0" o:connectortype="straight" o:regroupid="119"/>
            <v:rect id="_x0000_s2907" style="position:absolute;left:12912;top:6290;width:1209;height:402" o:regroupid="119" filled="f" stroked="f">
              <v:textbox style="mso-next-textbox:#_x0000_s2907">
                <w:txbxContent>
                  <w:p w:rsidR="00BE5795" w:rsidRPr="00960ECB" w:rsidRDefault="00BE5795" w:rsidP="00036353">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(CR</w:t>
                    </w:r>
                    <w:r w:rsidRPr="00960ECB">
                      <w:rPr>
                        <w:rFonts w:asciiTheme="majorHAnsi" w:hAnsiTheme="majorHAnsi"/>
                        <w:i/>
                        <w:sz w:val="22"/>
                        <w:szCs w:val="22"/>
                        <w:vertAlign w:val="subscript"/>
                        <w:lang w:val="lt-LT"/>
                      </w:rPr>
                      <w:t xml:space="preserve">4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2851" style="position:absolute;left:9715;top:2525;width:662;height:402" o:regroupid="119" filled="f">
              <v:textbox style="mso-next-textbox:#_x0000_s2851">
                <w:txbxContent>
                  <w:p w:rsidR="00BE5795" w:rsidRPr="00473D05" w:rsidRDefault="00BE5795" w:rsidP="00036353">
                    <w:pPr>
                      <w:jc w:val="center"/>
                      <w:rPr>
                        <w:rFonts w:asciiTheme="majorHAnsi" w:hAnsiTheme="majorHAnsi"/>
                        <w:i/>
                        <w:sz w:val="24"/>
                        <w:szCs w:val="24"/>
                        <w:lang w:val="lt-LT"/>
                      </w:rPr>
                    </w:pPr>
                    <w:r w:rsidRPr="00473D05">
                      <w:rPr>
                        <w:rFonts w:asciiTheme="majorHAnsi" w:hAnsiTheme="majorHAnsi"/>
                        <w:i/>
                        <w:sz w:val="24"/>
                        <w:szCs w:val="24"/>
                        <w:lang w:val="lt-LT"/>
                      </w:rPr>
                      <w:t>LS</w:t>
                    </w:r>
                    <w:r w:rsidRPr="00473D05">
                      <w:rPr>
                        <w:rFonts w:asciiTheme="majorHAnsi" w:hAnsiTheme="majorHAnsi"/>
                        <w:i/>
                        <w:sz w:val="24"/>
                        <w:szCs w:val="24"/>
                        <w:vertAlign w:val="subscript"/>
                        <w:lang w:val="lt-LT"/>
                      </w:rPr>
                      <w:t>1</w:t>
                    </w:r>
                  </w:p>
                </w:txbxContent>
              </v:textbox>
            </v:rect>
            <v:rect id="_x0000_s2856" style="position:absolute;left:6295;top:3034;width:1266;height:625" o:regroupid="119" filled="f">
              <v:textbox style="mso-next-textbox:#_x0000_s2856">
                <w:txbxContent>
                  <w:p w:rsidR="00BE5795" w:rsidRPr="00004C10" w:rsidRDefault="00BE5795" w:rsidP="00004C10">
                    <w:pPr>
                      <w:jc w:val="center"/>
                      <w:rPr>
                        <w:sz w:val="18"/>
                        <w:szCs w:val="18"/>
                        <w:lang w:val="lt-LT"/>
                      </w:rPr>
                    </w:pPr>
                    <w:r>
                      <w:rPr>
                        <w:sz w:val="18"/>
                        <w:szCs w:val="18"/>
                        <w:lang w:val="lt-LT"/>
                      </w:rPr>
                      <w:t>Analitinės procedūros</w:t>
                    </w:r>
                  </w:p>
                </w:txbxContent>
              </v:textbox>
            </v:rect>
            <v:rect id="_x0000_s2857" style="position:absolute;left:7561;top:2740;width:2225;height:538" o:regroupid="119" filled="f" stroked="f">
              <v:textbox style="mso-next-textbox:#_x0000_s2857">
                <w:txbxContent>
                  <w:p w:rsidR="00BE5795" w:rsidRPr="008C10B9" w:rsidRDefault="00BE5795" w:rsidP="00036353">
                    <w:pPr>
                      <w:jc w:val="center"/>
                      <w:rPr>
                        <w:sz w:val="18"/>
                        <w:szCs w:val="18"/>
                        <w:lang w:val="lt-LT"/>
                      </w:rPr>
                    </w:pPr>
                    <w:r w:rsidRPr="008C10B9">
                      <w:rPr>
                        <w:sz w:val="18"/>
                        <w:szCs w:val="18"/>
                        <w:lang w:val="lt-LT"/>
                      </w:rPr>
                      <w:t xml:space="preserve">(Iškraipymo </w:t>
                    </w:r>
                  </w:p>
                  <w:p w:rsidR="00BE5795" w:rsidRPr="008C10B9" w:rsidRDefault="00BE5795" w:rsidP="00036353">
                    <w:pPr>
                      <w:jc w:val="center"/>
                      <w:rPr>
                        <w:sz w:val="18"/>
                        <w:szCs w:val="18"/>
                        <w:lang w:val="lt-LT"/>
                      </w:rPr>
                    </w:pPr>
                    <w:r w:rsidRPr="008C10B9">
                      <w:rPr>
                        <w:sz w:val="18"/>
                        <w:szCs w:val="18"/>
                        <w:lang w:val="lt-LT"/>
                      </w:rPr>
                      <w:t>galimybė – nesiūloma)</w:t>
                    </w:r>
                  </w:p>
                </w:txbxContent>
              </v:textbox>
            </v:rect>
            <v:rect id="_x0000_s2858" style="position:absolute;left:8062;top:2397;width:671;height:402" o:regroupid="119" filled="f" stroked="f">
              <v:textbox style="mso-next-textbox:#_x0000_s2858">
                <w:txbxContent>
                  <w:p w:rsidR="00BE5795" w:rsidRPr="00960ECB" w:rsidRDefault="00BE5795" w:rsidP="00036353">
                    <w:pPr>
                      <w:rPr>
                        <w:rFonts w:asciiTheme="majorHAnsi" w:hAnsiTheme="majorHAnsi"/>
                        <w:i/>
                        <w:sz w:val="22"/>
                        <w:szCs w:val="22"/>
                        <w:lang w:val="lt-LT"/>
                      </w:rPr>
                    </w:pPr>
                    <w:r w:rsidRPr="00960ECB">
                      <w:rPr>
                        <w:rFonts w:asciiTheme="majorHAnsi" w:hAnsiTheme="majorHAnsi"/>
                        <w:i/>
                        <w:sz w:val="22"/>
                        <w:szCs w:val="22"/>
                        <w:lang w:val="lt-LT"/>
                      </w:rPr>
                      <w:t>R</w:t>
                    </w:r>
                    <w:r w:rsidRPr="00960ECB">
                      <w:rPr>
                        <w:rFonts w:asciiTheme="majorHAnsi" w:hAnsiTheme="majorHAnsi"/>
                        <w:i/>
                        <w:sz w:val="22"/>
                        <w:szCs w:val="22"/>
                        <w:vertAlign w:val="subscript"/>
                        <w:lang w:val="lt-LT"/>
                      </w:rPr>
                      <w:t>11</w:t>
                    </w:r>
                  </w:p>
                </w:txbxContent>
              </v:textbox>
            </v:rect>
            <v:rect id="_x0000_s2859" style="position:absolute;left:8219;top:3659;width:671;height:402" o:regroupid="119" filled="f" stroked="f">
              <v:textbox style="mso-next-textbox:#_x0000_s2859">
                <w:txbxContent>
                  <w:p w:rsidR="00BE5795" w:rsidRPr="00960ECB" w:rsidRDefault="00166819" w:rsidP="00036353">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R</m:t>
                                </m:r>
                              </m:e>
                              <m:sub>
                                <m:r>
                                  <w:rPr>
                                    <w:rFonts w:ascii="Cambria Math"/>
                                    <w:sz w:val="22"/>
                                    <w:szCs w:val="22"/>
                                    <w:lang w:val="lt-LT"/>
                                  </w:rPr>
                                  <m:t>11</m:t>
                                </m:r>
                              </m:sub>
                            </m:sSub>
                          </m:e>
                        </m:acc>
                      </m:oMath>
                    </m:oMathPara>
                  </w:p>
                </w:txbxContent>
              </v:textbox>
            </v:rect>
            <v:shape id="_x0000_s2864" type="#_x0000_t32" style="position:absolute;left:7561;top:3353;width:125;height:0" o:connectortype="straight" o:regroupid="119"/>
            <v:shape id="_x0000_s2865" type="#_x0000_t32" style="position:absolute;left:7686;top:2740;width:0;height:1321" o:connectortype="straight" o:regroupid="119"/>
            <v:shape id="_x0000_s2866" type="#_x0000_t32" style="position:absolute;left:7686;top:2740;width:2029;height:0" o:connectortype="straight" o:regroupid="119"/>
            <v:shape id="_x0000_s2867" type="#_x0000_t32" style="position:absolute;left:7716;top:4061;width:1913;height:0" o:connectortype="straight" o:regroupid="119"/>
            <v:rect id="_x0000_s2869" style="position:absolute;left:10377;top:2340;width:2225;height:475" o:regroupid="119" filled="f" stroked="f">
              <v:textbox style="mso-next-textbox:#_x0000_s2869">
                <w:txbxContent>
                  <w:p w:rsidR="00BE5795" w:rsidRPr="00960ECB" w:rsidRDefault="00BE5795" w:rsidP="00036353">
                    <w:pPr>
                      <w:jc w:val="center"/>
                      <w:rPr>
                        <w:sz w:val="18"/>
                        <w:szCs w:val="18"/>
                        <w:lang w:val="lt-LT"/>
                      </w:rPr>
                    </w:pPr>
                    <w:r w:rsidRPr="00960ECB">
                      <w:rPr>
                        <w:sz w:val="18"/>
                        <w:szCs w:val="18"/>
                        <w:lang w:val="lt-LT"/>
                      </w:rPr>
                      <w:t>Iškraipymas nerastas</w:t>
                    </w:r>
                  </w:p>
                </w:txbxContent>
              </v:textbox>
            </v:rect>
            <v:shape id="_x0000_s2870" type="#_x0000_t32" style="position:absolute;left:10377;top:2740;width:153;height:0" o:connectortype="straight" o:regroupid="119"/>
            <v:shape id="_x0000_s2871" type="#_x0000_t32" style="position:absolute;left:10530;top:2340;width:0;height:795" o:connectortype="straight" o:regroupid="119"/>
            <v:shape id="_x0000_s2872" type="#_x0000_t32" style="position:absolute;left:10530;top:2340;width:1986;height:0" o:connectortype="straight" o:regroupid="119"/>
            <v:shape id="_x0000_s2873" type="#_x0000_t32" style="position:absolute;left:10530;top:3135;width:1986;height:0" o:connectortype="straight" o:regroupid="119"/>
            <v:rect id="_x0000_s2874" style="position:absolute;left:10390;top:3135;width:2225;height:474" o:regroupid="119" filled="f" stroked="f">
              <v:textbox style="mso-next-textbox:#_x0000_s2874">
                <w:txbxContent>
                  <w:p w:rsidR="00BE5795" w:rsidRPr="008C10B9" w:rsidRDefault="00BE5795" w:rsidP="00036353">
                    <w:pPr>
                      <w:jc w:val="center"/>
                      <w:rPr>
                        <w:sz w:val="18"/>
                        <w:szCs w:val="18"/>
                        <w:lang w:val="lt-LT"/>
                      </w:rPr>
                    </w:pPr>
                    <w:r w:rsidRPr="008C10B9">
                      <w:rPr>
                        <w:sz w:val="18"/>
                        <w:szCs w:val="18"/>
                        <w:lang w:val="lt-LT"/>
                      </w:rPr>
                      <w:t>Iškraipymas surastas</w:t>
                    </w:r>
                  </w:p>
                </w:txbxContent>
              </v:textbox>
            </v:rect>
            <v:rect id="_x0000_s2875" style="position:absolute;left:10931;top:2815;width:789;height:402" o:regroupid="119" filled="f" stroked="f">
              <v:textbox style="mso-next-textbox:#_x0000_s2875">
                <w:txbxContent>
                  <w:p w:rsidR="00BE5795" w:rsidRPr="00960ECB" w:rsidRDefault="00166819" w:rsidP="00036353">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TD</m:t>
                                </m:r>
                              </m:e>
                              <m:sub>
                                <m:r>
                                  <w:rPr>
                                    <w:rFonts w:ascii="Cambria Math"/>
                                    <w:sz w:val="22"/>
                                    <w:szCs w:val="22"/>
                                    <w:lang w:val="lt-LT"/>
                                  </w:rPr>
                                  <m:t>111</m:t>
                                </m:r>
                              </m:sub>
                            </m:sSub>
                          </m:e>
                        </m:acc>
                      </m:oMath>
                    </m:oMathPara>
                  </w:p>
                </w:txbxContent>
              </v:textbox>
            </v:rect>
            <v:rect id="_x0000_s2876" style="position:absolute;left:12670;top:2194;width:1123;height:402" o:regroupid="119" filled="f" stroked="f">
              <v:textbox style="mso-next-textbox:#_x0000_s2876">
                <w:txbxContent>
                  <w:p w:rsidR="00BE5795" w:rsidRPr="00960ECB" w:rsidRDefault="00BE5795" w:rsidP="00036353">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(IA</w:t>
                    </w:r>
                    <w:r w:rsidRPr="00960ECB">
                      <w:rPr>
                        <w:rFonts w:asciiTheme="majorHAnsi" w:hAnsiTheme="majorHAnsi"/>
                        <w:i/>
                        <w:sz w:val="22"/>
                        <w:szCs w:val="22"/>
                        <w:vertAlign w:val="subscript"/>
                        <w:lang w:val="lt-LT"/>
                      </w:rPr>
                      <w:t xml:space="preserve">1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2877" style="position:absolute;left:12772;top:3034;width:1209;height:402" o:regroupid="119" filled="f" stroked="f">
              <v:textbox style="mso-next-textbox:#_x0000_s2877">
                <w:txbxContent>
                  <w:p w:rsidR="00BE5795" w:rsidRPr="00960ECB" w:rsidRDefault="00BE5795" w:rsidP="00036353">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(CR</w:t>
                    </w:r>
                    <w:r w:rsidRPr="00960ECB">
                      <w:rPr>
                        <w:rFonts w:asciiTheme="majorHAnsi" w:hAnsiTheme="majorHAnsi"/>
                        <w:i/>
                        <w:sz w:val="22"/>
                        <w:szCs w:val="22"/>
                        <w:vertAlign w:val="subscript"/>
                        <w:lang w:val="lt-LT"/>
                      </w:rPr>
                      <w:t xml:space="preserve">1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2878" style="position:absolute;left:12912;top:3607;width:1209;height:402" o:regroupid="119" filled="f" stroked="f">
              <v:textbox style="mso-next-textbox:#_x0000_s2878">
                <w:txbxContent>
                  <w:p w:rsidR="00BE5795" w:rsidRPr="00960ECB" w:rsidRDefault="00BE5795" w:rsidP="00036353">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(IA</w:t>
                    </w:r>
                    <w:r w:rsidRPr="00960ECB">
                      <w:rPr>
                        <w:rFonts w:asciiTheme="majorHAnsi" w:hAnsiTheme="majorHAnsi"/>
                        <w:i/>
                        <w:sz w:val="22"/>
                        <w:szCs w:val="22"/>
                        <w:vertAlign w:val="subscript"/>
                        <w:lang w:val="lt-LT"/>
                      </w:rPr>
                      <w:t xml:space="preserve">2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2946" style="position:absolute;left:11112;top:1995;width:934;height:402" o:regroupid="119" filled="f" stroked="f">
              <v:textbox style="mso-next-textbox:#_x0000_s2946">
                <w:txbxContent>
                  <w:p w:rsidR="00BE5795" w:rsidRPr="00960ECB" w:rsidRDefault="00BE5795" w:rsidP="00F0306A">
                    <w:pPr>
                      <w:rPr>
                        <w:rFonts w:asciiTheme="majorHAnsi" w:hAnsiTheme="majorHAnsi"/>
                        <w:i/>
                        <w:sz w:val="22"/>
                        <w:szCs w:val="22"/>
                        <w:lang w:val="lt-LT"/>
                      </w:rPr>
                    </w:pPr>
                    <w:r w:rsidRPr="00960ECB">
                      <w:rPr>
                        <w:rFonts w:asciiTheme="majorHAnsi" w:hAnsiTheme="majorHAnsi"/>
                        <w:i/>
                        <w:sz w:val="22"/>
                        <w:szCs w:val="22"/>
                        <w:lang w:val="lt-LT"/>
                      </w:rPr>
                      <w:t>TD</w:t>
                    </w:r>
                    <w:r w:rsidRPr="00960ECB">
                      <w:rPr>
                        <w:rFonts w:asciiTheme="majorHAnsi" w:hAnsiTheme="majorHAnsi"/>
                        <w:i/>
                        <w:sz w:val="22"/>
                        <w:szCs w:val="22"/>
                        <w:vertAlign w:val="subscript"/>
                        <w:lang w:val="lt-LT"/>
                      </w:rPr>
                      <w:t>111</w:t>
                    </w:r>
                  </w:p>
                </w:txbxContent>
              </v:textbox>
            </v:rect>
            <v:rect id="_x0000_s2938" style="position:absolute;left:9629;top:3794;width:662;height:402" o:regroupid="119" filled="f">
              <v:textbox style="mso-next-textbox:#_x0000_s2938">
                <w:txbxContent>
                  <w:p w:rsidR="00BE5795" w:rsidRPr="00473D05" w:rsidRDefault="00BE5795" w:rsidP="00F0306A">
                    <w:pPr>
                      <w:jc w:val="center"/>
                      <w:rPr>
                        <w:rFonts w:asciiTheme="majorHAnsi" w:hAnsiTheme="majorHAnsi"/>
                        <w:i/>
                        <w:sz w:val="24"/>
                        <w:szCs w:val="24"/>
                        <w:lang w:val="lt-LT"/>
                      </w:rPr>
                    </w:pPr>
                    <w:r>
                      <w:rPr>
                        <w:rFonts w:asciiTheme="majorHAnsi" w:hAnsiTheme="majorHAnsi"/>
                        <w:i/>
                        <w:sz w:val="24"/>
                        <w:szCs w:val="24"/>
                        <w:lang w:val="lt-LT"/>
                      </w:rPr>
                      <w:t>E</w:t>
                    </w:r>
                    <w:r w:rsidRPr="00473D05">
                      <w:rPr>
                        <w:rFonts w:asciiTheme="majorHAnsi" w:hAnsiTheme="majorHAnsi"/>
                        <w:i/>
                        <w:sz w:val="24"/>
                        <w:szCs w:val="24"/>
                        <w:lang w:val="lt-LT"/>
                      </w:rPr>
                      <w:t>S</w:t>
                    </w:r>
                    <w:r>
                      <w:rPr>
                        <w:rFonts w:asciiTheme="majorHAnsi" w:hAnsiTheme="majorHAnsi"/>
                        <w:i/>
                        <w:sz w:val="24"/>
                        <w:szCs w:val="24"/>
                        <w:vertAlign w:val="subscript"/>
                        <w:lang w:val="lt-LT"/>
                      </w:rPr>
                      <w:t>1</w:t>
                    </w:r>
                  </w:p>
                </w:txbxContent>
              </v:textbox>
            </v:rect>
            <v:shape id="_x0000_s2940" type="#_x0000_t32" style="position:absolute;left:10291;top:4009;width:153;height:0" o:connectortype="straight" o:regroupid="119"/>
            <v:shape id="_x0000_s2941" type="#_x0000_t32" style="position:absolute;left:10444;top:3794;width:1;height:610" o:connectortype="straight" o:regroupid="119"/>
            <v:shape id="_x0000_s2942" type="#_x0000_t32" style="position:absolute;left:10444;top:3794;width:1986;height:0" o:connectortype="straight" o:regroupid="119"/>
            <v:shape id="_x0000_s2943" type="#_x0000_t32" style="position:absolute;left:10444;top:4404;width:1986;height:0" o:connectortype="straight" o:regroupid="119"/>
            <v:rect id="_x0000_s2944" style="position:absolute;left:10845;top:4009;width:789;height:402" o:regroupid="119" filled="f" stroked="f">
              <v:textbox style="mso-next-textbox:#_x0000_s2944">
                <w:txbxContent>
                  <w:p w:rsidR="00BE5795" w:rsidRPr="00960ECB" w:rsidRDefault="00166819" w:rsidP="00F0306A">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TD</m:t>
                                </m:r>
                              </m:e>
                              <m:sub>
                                <m:r>
                                  <w:rPr>
                                    <w:rFonts w:ascii="Cambria Math"/>
                                    <w:sz w:val="22"/>
                                    <w:szCs w:val="22"/>
                                    <w:lang w:val="lt-LT"/>
                                  </w:rPr>
                                  <m:t>112</m:t>
                                </m:r>
                              </m:sub>
                            </m:sSub>
                          </m:e>
                        </m:acc>
                      </m:oMath>
                    </m:oMathPara>
                  </w:p>
                </w:txbxContent>
              </v:textbox>
            </v:rect>
            <v:rect id="_x0000_s2947" style="position:absolute;left:10931;top:3440;width:934;height:402" o:regroupid="119" filled="f" stroked="f">
              <v:textbox style="mso-next-textbox:#_x0000_s2947">
                <w:txbxContent>
                  <w:p w:rsidR="00BE5795" w:rsidRPr="00960ECB" w:rsidRDefault="00BE5795" w:rsidP="00886CEA">
                    <w:pPr>
                      <w:rPr>
                        <w:rFonts w:asciiTheme="majorHAnsi" w:hAnsiTheme="majorHAnsi"/>
                        <w:i/>
                        <w:sz w:val="22"/>
                        <w:szCs w:val="22"/>
                        <w:lang w:val="lt-LT"/>
                      </w:rPr>
                    </w:pPr>
                    <w:r w:rsidRPr="00960ECB">
                      <w:rPr>
                        <w:rFonts w:asciiTheme="majorHAnsi" w:hAnsiTheme="majorHAnsi"/>
                        <w:i/>
                        <w:sz w:val="22"/>
                        <w:szCs w:val="22"/>
                        <w:lang w:val="lt-LT"/>
                      </w:rPr>
                      <w:t>TD</w:t>
                    </w:r>
                    <w:r w:rsidRPr="00960ECB">
                      <w:rPr>
                        <w:rFonts w:asciiTheme="majorHAnsi" w:hAnsiTheme="majorHAnsi"/>
                        <w:i/>
                        <w:sz w:val="22"/>
                        <w:szCs w:val="22"/>
                        <w:vertAlign w:val="subscript"/>
                        <w:lang w:val="lt-LT"/>
                      </w:rPr>
                      <w:t>112</w:t>
                    </w:r>
                  </w:p>
                </w:txbxContent>
              </v:textbox>
            </v:rect>
            <v:rect id="_x0000_s2948" style="position:absolute;left:7490;top:6360;width:2225;height:577" o:regroupid="119" filled="f" stroked="f">
              <v:textbox style="mso-next-textbox:#_x0000_s2948">
                <w:txbxContent>
                  <w:p w:rsidR="00BE5795" w:rsidRPr="008C10B9" w:rsidRDefault="00BE5795" w:rsidP="00886CEA">
                    <w:pPr>
                      <w:jc w:val="center"/>
                      <w:rPr>
                        <w:sz w:val="18"/>
                        <w:szCs w:val="18"/>
                        <w:lang w:val="lt-LT"/>
                      </w:rPr>
                    </w:pPr>
                    <w:r w:rsidRPr="008C10B9">
                      <w:rPr>
                        <w:sz w:val="18"/>
                        <w:szCs w:val="18"/>
                        <w:lang w:val="lt-LT"/>
                      </w:rPr>
                      <w:t xml:space="preserve">(Iškraipymo </w:t>
                    </w:r>
                  </w:p>
                  <w:p w:rsidR="00BE5795" w:rsidRPr="008C10B9" w:rsidRDefault="00BE5795" w:rsidP="00886CEA">
                    <w:pPr>
                      <w:jc w:val="center"/>
                      <w:rPr>
                        <w:sz w:val="18"/>
                        <w:szCs w:val="18"/>
                        <w:lang w:val="lt-LT"/>
                      </w:rPr>
                    </w:pPr>
                    <w:r w:rsidRPr="008C10B9">
                      <w:rPr>
                        <w:sz w:val="18"/>
                        <w:szCs w:val="18"/>
                        <w:lang w:val="lt-LT"/>
                      </w:rPr>
                      <w:t>galimybė – siūloma)</w:t>
                    </w:r>
                  </w:p>
                </w:txbxContent>
              </v:textbox>
            </v:rect>
            <v:rect id="_x0000_s2930" style="position:absolute;left:9629;top:6145;width:662;height:402" o:regroupid="119" filled="f">
              <v:textbox style="mso-next-textbox:#_x0000_s2930">
                <w:txbxContent>
                  <w:p w:rsidR="00BE5795" w:rsidRPr="00473D05" w:rsidRDefault="00BE5795" w:rsidP="00F0306A">
                    <w:pPr>
                      <w:jc w:val="center"/>
                      <w:rPr>
                        <w:rFonts w:asciiTheme="majorHAnsi" w:hAnsiTheme="majorHAnsi"/>
                        <w:i/>
                        <w:sz w:val="24"/>
                        <w:szCs w:val="24"/>
                        <w:lang w:val="lt-LT"/>
                      </w:rPr>
                    </w:pPr>
                    <w:r>
                      <w:rPr>
                        <w:rFonts w:asciiTheme="majorHAnsi" w:hAnsiTheme="majorHAnsi"/>
                        <w:i/>
                        <w:sz w:val="24"/>
                        <w:szCs w:val="24"/>
                        <w:lang w:val="lt-LT"/>
                      </w:rPr>
                      <w:t>E</w:t>
                    </w:r>
                    <w:r w:rsidRPr="00473D05">
                      <w:rPr>
                        <w:rFonts w:asciiTheme="majorHAnsi" w:hAnsiTheme="majorHAnsi"/>
                        <w:i/>
                        <w:sz w:val="24"/>
                        <w:szCs w:val="24"/>
                        <w:lang w:val="lt-LT"/>
                      </w:rPr>
                      <w:t>S</w:t>
                    </w:r>
                    <w:r>
                      <w:rPr>
                        <w:rFonts w:asciiTheme="majorHAnsi" w:hAnsiTheme="majorHAnsi"/>
                        <w:i/>
                        <w:sz w:val="24"/>
                        <w:szCs w:val="24"/>
                        <w:vertAlign w:val="subscript"/>
                        <w:lang w:val="lt-LT"/>
                      </w:rPr>
                      <w:t>2</w:t>
                    </w:r>
                  </w:p>
                </w:txbxContent>
              </v:textbox>
            </v:rect>
            <v:shape id="_x0000_s2932" type="#_x0000_t32" style="position:absolute;left:10291;top:6360;width:153;height:0" o:connectortype="straight" o:regroupid="119"/>
            <v:shape id="_x0000_s2933" type="#_x0000_t32" style="position:absolute;left:10444;top:5961;width:0;height:635" o:connectortype="straight" o:regroupid="119"/>
            <v:shape id="_x0000_s2934" type="#_x0000_t32" style="position:absolute;left:10444;top:5961;width:1986;height:0" o:connectortype="straight" o:regroupid="119"/>
            <v:shape id="_x0000_s2935" type="#_x0000_t32" style="position:absolute;left:10445;top:6596;width:1986;height:0" o:connectortype="straight" o:regroupid="119"/>
            <v:rect id="_x0000_s2936" style="position:absolute;left:10845;top:6194;width:789;height:402" o:regroupid="119" filled="f" stroked="f">
              <v:textbox style="mso-next-textbox:#_x0000_s2936">
                <w:txbxContent>
                  <w:p w:rsidR="00BE5795" w:rsidRPr="00960ECB" w:rsidRDefault="00166819" w:rsidP="00F0306A">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TD</m:t>
                                </m:r>
                              </m:e>
                              <m:sub>
                                <m:r>
                                  <w:rPr>
                                    <w:rFonts w:ascii="Cambria Math"/>
                                    <w:sz w:val="22"/>
                                    <w:szCs w:val="22"/>
                                    <w:lang w:val="lt-LT"/>
                                  </w:rPr>
                                  <m:t>122</m:t>
                                </m:r>
                              </m:sub>
                            </m:sSub>
                          </m:e>
                        </m:acc>
                      </m:oMath>
                    </m:oMathPara>
                  </w:p>
                </w:txbxContent>
              </v:textbox>
            </v:rect>
            <v:rect id="_x0000_s2889" style="position:absolute;left:9575;top:4876;width:662;height:402" o:regroupid="119" filled="f">
              <v:textbox style="mso-next-textbox:#_x0000_s2889">
                <w:txbxContent>
                  <w:p w:rsidR="00BE5795" w:rsidRPr="00473D05" w:rsidRDefault="00BE5795" w:rsidP="00036353">
                    <w:pPr>
                      <w:jc w:val="center"/>
                      <w:rPr>
                        <w:rFonts w:asciiTheme="majorHAnsi" w:hAnsiTheme="majorHAnsi"/>
                        <w:i/>
                        <w:sz w:val="24"/>
                        <w:szCs w:val="24"/>
                        <w:lang w:val="lt-LT"/>
                      </w:rPr>
                    </w:pPr>
                    <w:r w:rsidRPr="00473D05">
                      <w:rPr>
                        <w:rFonts w:asciiTheme="majorHAnsi" w:hAnsiTheme="majorHAnsi"/>
                        <w:i/>
                        <w:sz w:val="24"/>
                        <w:szCs w:val="24"/>
                        <w:lang w:val="lt-LT"/>
                      </w:rPr>
                      <w:t>LS</w:t>
                    </w:r>
                    <w:r>
                      <w:rPr>
                        <w:rFonts w:asciiTheme="majorHAnsi" w:hAnsiTheme="majorHAnsi"/>
                        <w:i/>
                        <w:sz w:val="24"/>
                        <w:szCs w:val="24"/>
                        <w:vertAlign w:val="subscript"/>
                        <w:lang w:val="lt-LT"/>
                      </w:rPr>
                      <w:t>2</w:t>
                    </w:r>
                  </w:p>
                </w:txbxContent>
              </v:textbox>
            </v:rect>
            <v:shape id="_x0000_s2899" type="#_x0000_t32" style="position:absolute;left:10237;top:5091;width:153;height:0" o:connectortype="straight" o:regroupid="119"/>
            <v:shape id="_x0000_s2900" type="#_x0000_t32" style="position:absolute;left:10390;top:4876;width:0;height:510" o:connectortype="straight" o:regroupid="119"/>
            <v:shape id="_x0000_s2901" type="#_x0000_t32" style="position:absolute;left:10390;top:4876;width:1986;height:0" o:connectortype="straight" o:regroupid="119"/>
            <v:shape id="_x0000_s2902" type="#_x0000_t32" style="position:absolute;left:10390;top:5386;width:1986;height:0" o:connectortype="straight" o:regroupid="119"/>
            <v:rect id="_x0000_s2904" style="position:absolute;left:10845;top:4989;width:789;height:402" o:regroupid="119" filled="f" stroked="f">
              <v:textbox style="mso-next-textbox:#_x0000_s2904">
                <w:txbxContent>
                  <w:p w:rsidR="00BE5795" w:rsidRPr="00960ECB" w:rsidRDefault="00166819" w:rsidP="00036353">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TD</m:t>
                                </m:r>
                              </m:e>
                              <m:sub>
                                <m:r>
                                  <w:rPr>
                                    <w:rFonts w:ascii="Cambria Math"/>
                                    <w:sz w:val="22"/>
                                    <w:szCs w:val="22"/>
                                    <w:lang w:val="lt-LT"/>
                                  </w:rPr>
                                  <m:t>121</m:t>
                                </m:r>
                              </m:sub>
                            </m:sSub>
                          </m:e>
                        </m:acc>
                      </m:oMath>
                    </m:oMathPara>
                  </w:p>
                </w:txbxContent>
              </v:textbox>
            </v:rect>
            <v:rect id="_x0000_s2949" style="position:absolute;left:10845;top:4545;width:934;height:402" o:regroupid="119" filled="f" stroked="f">
              <v:textbox style="mso-next-textbox:#_x0000_s2949">
                <w:txbxContent>
                  <w:p w:rsidR="00BE5795" w:rsidRPr="00960ECB" w:rsidRDefault="00BE5795" w:rsidP="00886CEA">
                    <w:pPr>
                      <w:rPr>
                        <w:rFonts w:asciiTheme="majorHAnsi" w:hAnsiTheme="majorHAnsi"/>
                        <w:i/>
                        <w:sz w:val="22"/>
                        <w:szCs w:val="22"/>
                        <w:lang w:val="lt-LT"/>
                      </w:rPr>
                    </w:pPr>
                    <w:r w:rsidRPr="00960ECB">
                      <w:rPr>
                        <w:rFonts w:asciiTheme="majorHAnsi" w:hAnsiTheme="majorHAnsi"/>
                        <w:i/>
                        <w:sz w:val="22"/>
                        <w:szCs w:val="22"/>
                        <w:lang w:val="lt-LT"/>
                      </w:rPr>
                      <w:t>TD</w:t>
                    </w:r>
                    <w:r w:rsidRPr="00960ECB">
                      <w:rPr>
                        <w:rFonts w:asciiTheme="majorHAnsi" w:hAnsiTheme="majorHAnsi"/>
                        <w:i/>
                        <w:sz w:val="22"/>
                        <w:szCs w:val="22"/>
                        <w:vertAlign w:val="subscript"/>
                        <w:lang w:val="lt-LT"/>
                      </w:rPr>
                      <w:t>121</w:t>
                    </w:r>
                  </w:p>
                </w:txbxContent>
              </v:textbox>
            </v:rect>
            <v:rect id="_x0000_s2950" style="position:absolute;left:12912;top:4143;width:1209;height:402" o:regroupid="119" filled="f" stroked="f">
              <v:textbox style="mso-next-textbox:#_x0000_s2950">
                <w:txbxContent>
                  <w:p w:rsidR="00BE5795" w:rsidRPr="00960ECB" w:rsidRDefault="00BE5795" w:rsidP="00886CEA">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(CR</w:t>
                    </w:r>
                    <w:r w:rsidRPr="00960ECB">
                      <w:rPr>
                        <w:rFonts w:asciiTheme="majorHAnsi" w:hAnsiTheme="majorHAnsi"/>
                        <w:i/>
                        <w:sz w:val="22"/>
                        <w:szCs w:val="22"/>
                        <w:vertAlign w:val="subscript"/>
                        <w:lang w:val="lt-LT"/>
                      </w:rPr>
                      <w:t xml:space="preserve">2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2951" style="position:absolute;left:12977;top:4587;width:1209;height:402" o:regroupid="119" filled="f" stroked="f">
              <v:textbox style="mso-next-textbox:#_x0000_s2951">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(IA</w:t>
                    </w:r>
                    <w:r w:rsidRPr="00960ECB">
                      <w:rPr>
                        <w:rFonts w:asciiTheme="majorHAnsi" w:hAnsiTheme="majorHAnsi"/>
                        <w:i/>
                        <w:sz w:val="22"/>
                        <w:szCs w:val="22"/>
                        <w:vertAlign w:val="subscript"/>
                        <w:lang w:val="lt-LT"/>
                      </w:rPr>
                      <w:t xml:space="preserve">3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2952" style="position:absolute;left:12977;top:5150;width:1209;height:402" o:regroupid="119" filled="f" stroked="f">
              <v:textbox style="mso-next-textbox:#_x0000_s2952">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(CR</w:t>
                    </w:r>
                    <w:r w:rsidRPr="00960ECB">
                      <w:rPr>
                        <w:rFonts w:asciiTheme="majorHAnsi" w:hAnsiTheme="majorHAnsi"/>
                        <w:i/>
                        <w:sz w:val="22"/>
                        <w:szCs w:val="22"/>
                        <w:vertAlign w:val="subscript"/>
                        <w:lang w:val="lt-LT"/>
                      </w:rPr>
                      <w:t xml:space="preserve">3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2953" style="position:absolute;left:10845;top:5629;width:934;height:402" o:regroupid="119" filled="f" stroked="f">
              <v:textbox style="mso-next-textbox:#_x0000_s2953">
                <w:txbxContent>
                  <w:p w:rsidR="00BE5795" w:rsidRPr="00960ECB" w:rsidRDefault="00BE5795" w:rsidP="00D1254E">
                    <w:pPr>
                      <w:rPr>
                        <w:rFonts w:asciiTheme="majorHAnsi" w:hAnsiTheme="majorHAnsi"/>
                        <w:i/>
                        <w:sz w:val="22"/>
                        <w:szCs w:val="22"/>
                        <w:lang w:val="lt-LT"/>
                      </w:rPr>
                    </w:pPr>
                    <w:r w:rsidRPr="00960ECB">
                      <w:rPr>
                        <w:rFonts w:asciiTheme="majorHAnsi" w:hAnsiTheme="majorHAnsi"/>
                        <w:i/>
                        <w:sz w:val="22"/>
                        <w:szCs w:val="22"/>
                        <w:lang w:val="lt-LT"/>
                      </w:rPr>
                      <w:t>TD</w:t>
                    </w:r>
                    <w:r w:rsidRPr="00960ECB">
                      <w:rPr>
                        <w:rFonts w:asciiTheme="majorHAnsi" w:hAnsiTheme="majorHAnsi"/>
                        <w:i/>
                        <w:sz w:val="22"/>
                        <w:szCs w:val="22"/>
                        <w:vertAlign w:val="subscript"/>
                        <w:lang w:val="lt-LT"/>
                      </w:rPr>
                      <w:t>122</w:t>
                    </w:r>
                  </w:p>
                </w:txbxContent>
              </v:textbox>
            </v:rect>
            <v:rect id="_x0000_s2954" style="position:absolute;left:12977;top:5743;width:1209;height:402" o:regroupid="119" filled="f" stroked="f">
              <v:textbox style="mso-next-textbox:#_x0000_s2954">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(IA</w:t>
                    </w:r>
                    <w:r w:rsidRPr="00960ECB">
                      <w:rPr>
                        <w:rFonts w:asciiTheme="majorHAnsi" w:hAnsiTheme="majorHAnsi"/>
                        <w:i/>
                        <w:sz w:val="22"/>
                        <w:szCs w:val="22"/>
                        <w:vertAlign w:val="subscript"/>
                        <w:lang w:val="lt-LT"/>
                      </w:rPr>
                      <w:t xml:space="preserve">4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shape id="_x0000_s74513" type="#_x0000_t32" style="position:absolute;left:1934;top:4155;width:1;height:1269" o:connectortype="straight"/>
            <w10:wrap type="topAndBottom"/>
          </v:group>
        </w:pict>
      </w:r>
    </w:p>
    <w:p w:rsidR="00036353" w:rsidRDefault="00036353">
      <w:pPr>
        <w:tabs>
          <w:tab w:val="left" w:pos="567"/>
        </w:tabs>
        <w:jc w:val="both"/>
        <w:rPr>
          <w:sz w:val="24"/>
          <w:szCs w:val="24"/>
          <w:lang w:val="lt-LT"/>
        </w:rPr>
      </w:pPr>
    </w:p>
    <w:p w:rsidR="00036353" w:rsidRDefault="00036353">
      <w:pPr>
        <w:tabs>
          <w:tab w:val="left" w:pos="567"/>
        </w:tabs>
        <w:jc w:val="both"/>
        <w:rPr>
          <w:sz w:val="24"/>
          <w:szCs w:val="24"/>
          <w:lang w:val="lt-LT"/>
        </w:rPr>
      </w:pPr>
    </w:p>
    <w:p w:rsidR="00036353" w:rsidRDefault="00036353">
      <w:pPr>
        <w:tabs>
          <w:tab w:val="left" w:pos="567"/>
        </w:tabs>
        <w:jc w:val="both"/>
        <w:rPr>
          <w:sz w:val="24"/>
          <w:szCs w:val="24"/>
          <w:lang w:val="lt-LT"/>
        </w:rPr>
      </w:pPr>
    </w:p>
    <w:p w:rsidR="00036353" w:rsidRDefault="00036353">
      <w:pPr>
        <w:tabs>
          <w:tab w:val="left" w:pos="567"/>
        </w:tabs>
        <w:jc w:val="both"/>
        <w:rPr>
          <w:sz w:val="24"/>
          <w:szCs w:val="24"/>
          <w:lang w:val="lt-LT"/>
        </w:rPr>
      </w:pPr>
    </w:p>
    <w:p w:rsidR="00036353" w:rsidRDefault="00166819">
      <w:pPr>
        <w:tabs>
          <w:tab w:val="left" w:pos="567"/>
        </w:tabs>
        <w:jc w:val="both"/>
        <w:rPr>
          <w:sz w:val="24"/>
          <w:szCs w:val="24"/>
          <w:lang w:val="lt-LT"/>
        </w:rPr>
      </w:pPr>
      <w:r>
        <w:rPr>
          <w:noProof/>
          <w:sz w:val="24"/>
          <w:szCs w:val="24"/>
          <w:lang w:val="lt-LT"/>
        </w:rPr>
        <w:pict>
          <v:shape id="_x0000_s74575" type="#_x0000_t202" style="position:absolute;left:0;text-align:left;margin-left:310.95pt;margin-top:6.2pt;width:46.65pt;height:24.75pt;z-index:254784512" filled="f" strokecolor="white [3212]">
            <v:textbox>
              <w:txbxContent>
                <w:p w:rsidR="000B69C2" w:rsidRPr="000B69C2" w:rsidRDefault="000B69C2" w:rsidP="000B69C2">
                  <w:pPr>
                    <w:jc w:val="center"/>
                    <w:rPr>
                      <w:lang w:val="lt-LT"/>
                    </w:rPr>
                  </w:pPr>
                  <w:r>
                    <w:rPr>
                      <w:lang w:val="lt-LT"/>
                    </w:rPr>
                    <w:t>215</w:t>
                  </w:r>
                </w:p>
              </w:txbxContent>
            </v:textbox>
          </v:shape>
        </w:pict>
      </w:r>
    </w:p>
    <w:p w:rsidR="00036353" w:rsidRDefault="00036353">
      <w:pPr>
        <w:tabs>
          <w:tab w:val="left" w:pos="567"/>
        </w:tabs>
        <w:jc w:val="both"/>
        <w:rPr>
          <w:sz w:val="24"/>
          <w:szCs w:val="24"/>
          <w:lang w:val="lt-LT"/>
        </w:rPr>
      </w:pPr>
    </w:p>
    <w:p w:rsidR="00036353" w:rsidRDefault="00036353">
      <w:pPr>
        <w:tabs>
          <w:tab w:val="left" w:pos="567"/>
        </w:tabs>
        <w:jc w:val="both"/>
        <w:rPr>
          <w:sz w:val="24"/>
          <w:szCs w:val="24"/>
          <w:lang w:val="lt-LT"/>
        </w:rPr>
      </w:pPr>
    </w:p>
    <w:p w:rsidR="00036353" w:rsidRDefault="00166819">
      <w:pPr>
        <w:tabs>
          <w:tab w:val="left" w:pos="567"/>
        </w:tabs>
        <w:jc w:val="both"/>
        <w:rPr>
          <w:sz w:val="24"/>
          <w:szCs w:val="24"/>
          <w:lang w:val="lt-LT"/>
        </w:rPr>
      </w:pPr>
      <w:r>
        <w:rPr>
          <w:noProof/>
          <w:sz w:val="24"/>
          <w:szCs w:val="24"/>
          <w:lang w:val="lt-LT"/>
        </w:rPr>
        <w:pict>
          <v:group id="_x0000_s74550" style="position:absolute;left:0;text-align:left;margin-left:3.15pt;margin-top:9.3pt;width:650.5pt;height:260.6pt;z-index:254316544" coordorigin="1537,2276" coordsize="13010,5212">
            <v:rect id="_x0000_s2980" style="position:absolute;left:13192;top:7086;width:1209;height:402" o:regroupid="119" filled="f" stroked="f">
              <v:textbox style="mso-next-textbox:#_x0000_s2980">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(IR</w:t>
                    </w:r>
                    <w:r w:rsidRPr="00960ECB">
                      <w:rPr>
                        <w:rFonts w:asciiTheme="majorHAnsi" w:hAnsiTheme="majorHAnsi"/>
                        <w:i/>
                        <w:sz w:val="22"/>
                        <w:szCs w:val="22"/>
                        <w:vertAlign w:val="subscript"/>
                        <w:lang w:val="lt-LT"/>
                      </w:rPr>
                      <w:t xml:space="preserve">4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3000" style="position:absolute;left:11187;top:2276;width:934;height:402" o:regroupid="119" filled="f" stroked="f">
              <v:textbox style="mso-next-textbox:#_x0000_s3000">
                <w:txbxContent>
                  <w:p w:rsidR="00BE5795" w:rsidRPr="00960ECB" w:rsidRDefault="00BE5795" w:rsidP="00D1254E">
                    <w:pPr>
                      <w:rPr>
                        <w:rFonts w:asciiTheme="majorHAnsi" w:hAnsiTheme="majorHAnsi"/>
                        <w:i/>
                        <w:sz w:val="22"/>
                        <w:szCs w:val="22"/>
                        <w:lang w:val="lt-LT"/>
                      </w:rPr>
                    </w:pPr>
                    <w:r w:rsidRPr="00960ECB">
                      <w:rPr>
                        <w:rFonts w:asciiTheme="majorHAnsi" w:hAnsiTheme="majorHAnsi"/>
                        <w:i/>
                        <w:sz w:val="22"/>
                        <w:szCs w:val="22"/>
                        <w:lang w:val="lt-LT"/>
                      </w:rPr>
                      <w:t>TD</w:t>
                    </w:r>
                    <w:r w:rsidRPr="00960ECB">
                      <w:rPr>
                        <w:rFonts w:asciiTheme="majorHAnsi" w:hAnsiTheme="majorHAnsi"/>
                        <w:i/>
                        <w:sz w:val="22"/>
                        <w:szCs w:val="22"/>
                        <w:vertAlign w:val="subscript"/>
                        <w:lang w:val="lt-LT"/>
                      </w:rPr>
                      <w:t>211</w:t>
                    </w:r>
                  </w:p>
                </w:txbxContent>
              </v:textbox>
            </v:rect>
            <v:group id="_x0000_s74514" style="position:absolute;left:1537;top:2475;width:13010;height:5013" coordorigin="1750,6891" coordsize="12511,4402">
              <v:rect id="_x0000_s2885" style="position:absolute;left:2382;top:8306;width:981;height:402" o:regroupid="119" filled="f" stroked="f">
                <v:textbox style="mso-next-textbox:#_x0000_s2885">
                  <w:txbxContent>
                    <w:p w:rsidR="00BE5795" w:rsidRPr="00C773E2" w:rsidRDefault="00166819" w:rsidP="00036353">
                      <w:pPr>
                        <w:rPr>
                          <w:lang w:val="lt-LT"/>
                        </w:rPr>
                      </w:pPr>
                      <m:oMathPara>
                        <m:oMath>
                          <m:acc>
                            <m:accPr>
                              <m:chr m:val="̅"/>
                              <m:ctrlPr>
                                <w:rPr>
                                  <w:rFonts w:ascii="Cambria Math" w:hAnsi="Cambria Math"/>
                                  <w:i/>
                                  <w:sz w:val="22"/>
                                  <w:szCs w:val="22"/>
                                  <w:lang w:val="lt-LT"/>
                                </w:rPr>
                              </m:ctrlPr>
                            </m:accPr>
                            <m:e>
                              <m:r>
                                <w:rPr>
                                  <w:rFonts w:ascii="Cambria Math"/>
                                  <w:sz w:val="22"/>
                                  <w:szCs w:val="22"/>
                                  <w:lang w:val="lt-LT"/>
                                </w:rPr>
                                <m:t>IR</m:t>
                              </m:r>
                            </m:e>
                          </m:acc>
                        </m:oMath>
                      </m:oMathPara>
                    </w:p>
                  </w:txbxContent>
                </v:textbox>
              </v:rect>
              <v:rect id="_x0000_s2957" style="position:absolute;left:1750;top:8450;width:551;height:402" o:regroupid="119" filled="f">
                <v:textbox style="mso-next-textbox:#_x0000_s2957">
                  <w:txbxContent>
                    <w:p w:rsidR="00BE5795" w:rsidRPr="00C773E2" w:rsidRDefault="00BE5795" w:rsidP="00D1254E">
                      <w:pPr>
                        <w:rPr>
                          <w:lang w:val="lt-LT"/>
                        </w:rPr>
                      </w:pPr>
                      <w:r>
                        <w:rPr>
                          <w:lang w:val="lt-LT"/>
                        </w:rPr>
                        <w:t>A</w:t>
                      </w:r>
                    </w:p>
                  </w:txbxContent>
                </v:textbox>
              </v:rect>
              <v:rect id="_x0000_s2958" style="position:absolute;left:3618;top:8450;width:551;height:402" o:regroupid="119" filled="f">
                <v:textbox style="mso-next-textbox:#_x0000_s2958">
                  <w:txbxContent>
                    <w:p w:rsidR="00BE5795" w:rsidRPr="00C773E2" w:rsidRDefault="00BE5795" w:rsidP="00D1254E">
                      <w:pPr>
                        <w:rPr>
                          <w:lang w:val="lt-LT"/>
                        </w:rPr>
                      </w:pPr>
                      <w:r>
                        <w:rPr>
                          <w:lang w:val="lt-LT"/>
                        </w:rPr>
                        <w:t>C</w:t>
                      </w:r>
                    </w:p>
                  </w:txbxContent>
                </v:textbox>
              </v:rect>
              <v:rect id="_x0000_s2960" style="position:absolute;left:2215;top:8663;width:1403;height:815" o:regroupid="119" filled="f" stroked="f">
                <v:textbox style="mso-next-textbox:#_x0000_s2960">
                  <w:txbxContent>
                    <w:p w:rsidR="00BE5795" w:rsidRPr="008C10B9" w:rsidRDefault="00BE5795" w:rsidP="00D1254E">
                      <w:pPr>
                        <w:jc w:val="center"/>
                        <w:rPr>
                          <w:sz w:val="18"/>
                          <w:szCs w:val="18"/>
                          <w:lang w:val="lt-LT"/>
                        </w:rPr>
                      </w:pPr>
                      <w:r w:rsidRPr="008C10B9">
                        <w:rPr>
                          <w:sz w:val="18"/>
                          <w:szCs w:val="18"/>
                          <w:lang w:val="lt-LT"/>
                        </w:rPr>
                        <w:t>Reikšmingas</w:t>
                      </w:r>
                    </w:p>
                    <w:p w:rsidR="00BE5795" w:rsidRPr="008C10B9" w:rsidRDefault="00BE5795" w:rsidP="00D1254E">
                      <w:pPr>
                        <w:jc w:val="center"/>
                        <w:rPr>
                          <w:sz w:val="18"/>
                          <w:szCs w:val="18"/>
                          <w:lang w:val="lt-LT"/>
                        </w:rPr>
                      </w:pPr>
                      <w:r w:rsidRPr="008C10B9">
                        <w:rPr>
                          <w:sz w:val="18"/>
                          <w:szCs w:val="18"/>
                          <w:lang w:val="lt-LT"/>
                        </w:rPr>
                        <w:t>iškraipymas</w:t>
                      </w:r>
                    </w:p>
                    <w:p w:rsidR="00BE5795" w:rsidRPr="008C10B9" w:rsidRDefault="00BE5795" w:rsidP="00D1254E">
                      <w:pPr>
                        <w:jc w:val="center"/>
                        <w:rPr>
                          <w:sz w:val="18"/>
                          <w:szCs w:val="18"/>
                          <w:lang w:val="lt-LT"/>
                        </w:rPr>
                      </w:pPr>
                      <w:r w:rsidRPr="008C10B9">
                        <w:rPr>
                          <w:sz w:val="18"/>
                          <w:szCs w:val="18"/>
                          <w:lang w:val="lt-LT"/>
                        </w:rPr>
                        <w:t>neegzistuoja</w:t>
                      </w:r>
                    </w:p>
                    <w:p w:rsidR="00BE5795" w:rsidRDefault="00BE5795" w:rsidP="00D1254E"/>
                  </w:txbxContent>
                </v:textbox>
              </v:rect>
              <v:rect id="_x0000_s2961" style="position:absolute;left:4468;top:8091;width:1115;height:400" o:regroupid="119" filled="f" stroked="f">
                <v:textbox style="mso-next-textbox:#_x0000_s2961">
                  <w:txbxContent>
                    <w:p w:rsidR="00BE5795" w:rsidRPr="00C773E2" w:rsidRDefault="00BE5795" w:rsidP="00D1254E">
                      <w:pPr>
                        <w:jc w:val="center"/>
                        <w:rPr>
                          <w:lang w:val="lt-LT"/>
                        </w:rPr>
                      </w:pPr>
                      <w:r>
                        <w:rPr>
                          <w:lang w:val="lt-LT"/>
                        </w:rPr>
                        <w:t>CR ~ M</w:t>
                      </w:r>
                    </w:p>
                  </w:txbxContent>
                </v:textbox>
              </v:rect>
              <v:rect id="_x0000_s2962" style="position:absolute;left:4833;top:7735;width:825;height:402" o:regroupid="119" filled="f" stroked="f">
                <v:textbox style="mso-next-textbox:#_x0000_s2962">
                  <w:txbxContent>
                    <w:p w:rsidR="00BE5795" w:rsidRPr="00960ECB" w:rsidRDefault="00BE5795" w:rsidP="00D1254E">
                      <w:pPr>
                        <w:rPr>
                          <w:rFonts w:asciiTheme="majorHAnsi" w:hAnsiTheme="majorHAnsi"/>
                          <w:i/>
                          <w:sz w:val="22"/>
                          <w:szCs w:val="22"/>
                          <w:lang w:val="lt-LT"/>
                        </w:rPr>
                      </w:pPr>
                      <w:r w:rsidRPr="00960ECB">
                        <w:rPr>
                          <w:rFonts w:asciiTheme="majorHAnsi" w:hAnsiTheme="majorHAnsi"/>
                          <w:i/>
                          <w:sz w:val="22"/>
                          <w:szCs w:val="22"/>
                          <w:lang w:val="lt-LT"/>
                        </w:rPr>
                        <w:t>IC</w:t>
                      </w:r>
                      <w:r w:rsidRPr="00960ECB">
                        <w:rPr>
                          <w:rFonts w:asciiTheme="majorHAnsi" w:hAnsiTheme="majorHAnsi"/>
                          <w:i/>
                          <w:sz w:val="22"/>
                          <w:szCs w:val="22"/>
                          <w:vertAlign w:val="subscript"/>
                          <w:lang w:val="lt-LT"/>
                        </w:rPr>
                        <w:t>2</w:t>
                      </w:r>
                    </w:p>
                  </w:txbxContent>
                </v:textbox>
              </v:rect>
              <v:shape id="_x0000_s2963" type="#_x0000_t32" style="position:absolute;left:2301;top:8663;width:1317;height:0" o:connectortype="straight" o:regroupid="119"/>
              <v:shape id="_x0000_s2964" type="#_x0000_t32" style="position:absolute;left:4169;top:8663;width:161;height:0" o:connectortype="straight" o:regroupid="119"/>
              <v:shape id="_x0000_s2965" type="#_x0000_t32" style="position:absolute;left:4330;top:8050;width:0;height:2390" o:connectortype="straight" o:regroupid="119"/>
              <v:shape id="_x0000_s2966" type="#_x0000_t32" style="position:absolute;left:4330;top:8050;width:2040;height:0" o:connectortype="straight" o:regroupid="119"/>
              <v:rect id="_x0000_s2967" style="position:absolute;left:7565;top:8706;width:2225;height:577" o:regroupid="119" filled="f" stroked="f">
                <v:textbox style="mso-next-textbox:#_x0000_s2967">
                  <w:txbxContent>
                    <w:p w:rsidR="00BE5795" w:rsidRPr="008C10B9" w:rsidRDefault="00BE5795" w:rsidP="00D1254E">
                      <w:pPr>
                        <w:jc w:val="center"/>
                        <w:rPr>
                          <w:sz w:val="18"/>
                          <w:szCs w:val="18"/>
                          <w:lang w:val="lt-LT"/>
                        </w:rPr>
                      </w:pPr>
                      <w:r w:rsidRPr="008C10B9">
                        <w:rPr>
                          <w:sz w:val="18"/>
                          <w:szCs w:val="18"/>
                          <w:lang w:val="lt-LT"/>
                        </w:rPr>
                        <w:t xml:space="preserve">(Iškraipymo </w:t>
                      </w:r>
                    </w:p>
                    <w:p w:rsidR="00BE5795" w:rsidRPr="008C10B9" w:rsidRDefault="00BE5795" w:rsidP="00D1254E">
                      <w:pPr>
                        <w:jc w:val="center"/>
                        <w:rPr>
                          <w:sz w:val="18"/>
                          <w:szCs w:val="18"/>
                          <w:lang w:val="lt-LT"/>
                        </w:rPr>
                      </w:pPr>
                      <w:r w:rsidRPr="008C10B9">
                        <w:rPr>
                          <w:sz w:val="18"/>
                          <w:szCs w:val="18"/>
                          <w:lang w:val="lt-LT"/>
                        </w:rPr>
                        <w:t>galimybė – siūloma)</w:t>
                      </w:r>
                    </w:p>
                  </w:txbxContent>
                </v:textbox>
              </v:rect>
              <v:shape id="_x0000_s2968" type="#_x0000_t32" style="position:absolute;left:4330;top:10441;width:1896;height:0" o:connectortype="straight" o:regroupid="119"/>
              <v:rect id="_x0000_s2969" style="position:absolute;left:4620;top:10083;width:671;height:401" o:regroupid="119" filled="f" stroked="f">
                <v:textbox style="mso-next-textbox:#_x0000_s2969">
                  <w:txbxContent>
                    <w:p w:rsidR="00BE5795" w:rsidRPr="00960ECB" w:rsidRDefault="00166819" w:rsidP="00D1254E">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IC</m:t>
                                  </m:r>
                                </m:e>
                                <m:sub>
                                  <m:r>
                                    <w:rPr>
                                      <w:rFonts w:ascii="Cambria Math"/>
                                      <w:sz w:val="22"/>
                                      <w:szCs w:val="22"/>
                                      <w:lang w:val="lt-LT"/>
                                    </w:rPr>
                                    <m:t>2</m:t>
                                  </m:r>
                                </m:sub>
                              </m:sSub>
                            </m:e>
                          </m:acc>
                        </m:oMath>
                      </m:oMathPara>
                    </w:p>
                  </w:txbxContent>
                </v:textbox>
              </v:rect>
              <v:rect id="_x0000_s2970" style="position:absolute;left:4393;top:10484;width:1479;height:329" o:regroupid="119" filled="f" stroked="f">
                <v:textbox style="mso-next-textbox:#_x0000_s2970">
                  <w:txbxContent>
                    <w:p w:rsidR="00BE5795" w:rsidRPr="00E100E8" w:rsidRDefault="00BE5795" w:rsidP="00D1254E">
                      <w:pPr>
                        <w:rPr>
                          <w:lang w:val="ru-RU"/>
                        </w:rPr>
                      </w:pPr>
                      <w:r>
                        <w:rPr>
                          <w:lang w:val="ru-RU"/>
                        </w:rPr>
                        <w:t xml:space="preserve">( </w:t>
                      </w:r>
                      <w:r>
                        <w:rPr>
                          <w:lang w:val="lt-LT"/>
                        </w:rPr>
                        <w:t xml:space="preserve">CR </w:t>
                      </w:r>
                      <w:r>
                        <w:rPr>
                          <w:lang w:val="ru-RU"/>
                        </w:rPr>
                        <w:t>=</w:t>
                      </w:r>
                      <w:r>
                        <w:rPr>
                          <w:lang w:val="lt-LT"/>
                        </w:rPr>
                        <w:t xml:space="preserve"> M</w:t>
                      </w:r>
                      <w:r>
                        <w:rPr>
                          <w:lang w:val="ru-RU"/>
                        </w:rPr>
                        <w:t xml:space="preserve"> )</w:t>
                      </w:r>
                    </w:p>
                  </w:txbxContent>
                </v:textbox>
              </v:rect>
              <v:rect id="_x0000_s2972" style="position:absolute;left:6230;top:10083;width:1266;height:759" o:regroupid="119" filled="f">
                <v:textbox style="mso-next-textbox:#_x0000_s2972">
                  <w:txbxContent>
                    <w:p w:rsidR="00BE5795" w:rsidRPr="008C10B9" w:rsidRDefault="00BE5795" w:rsidP="00D1254E">
                      <w:pPr>
                        <w:jc w:val="center"/>
                        <w:rPr>
                          <w:sz w:val="18"/>
                          <w:szCs w:val="18"/>
                          <w:lang w:val="lt-LT"/>
                        </w:rPr>
                      </w:pPr>
                      <w:r w:rsidRPr="008C10B9">
                        <w:rPr>
                          <w:sz w:val="18"/>
                          <w:szCs w:val="18"/>
                          <w:lang w:val="lt-LT"/>
                        </w:rPr>
                        <w:t>Praplėstos analitinės procedūros</w:t>
                      </w:r>
                    </w:p>
                    <w:p w:rsidR="00BE5795" w:rsidRPr="00C773E2" w:rsidRDefault="00BE5795" w:rsidP="00D1254E">
                      <w:pPr>
                        <w:jc w:val="center"/>
                        <w:rPr>
                          <w:lang w:val="lt-LT"/>
                        </w:rPr>
                      </w:pPr>
                    </w:p>
                  </w:txbxContent>
                </v:textbox>
              </v:rect>
              <v:rect id="_x0000_s2973" style="position:absolute;left:7496;top:9788;width:2225;height:538" o:regroupid="119" filled="f" stroked="f">
                <v:textbox style="mso-next-textbox:#_x0000_s2973">
                  <w:txbxContent>
                    <w:p w:rsidR="00BE5795" w:rsidRPr="008C10B9" w:rsidRDefault="00BE5795" w:rsidP="008C10B9">
                      <w:pPr>
                        <w:jc w:val="center"/>
                        <w:rPr>
                          <w:sz w:val="18"/>
                          <w:szCs w:val="18"/>
                          <w:lang w:val="lt-LT"/>
                        </w:rPr>
                      </w:pPr>
                      <w:r w:rsidRPr="008C10B9">
                        <w:rPr>
                          <w:sz w:val="18"/>
                          <w:szCs w:val="18"/>
                          <w:lang w:val="lt-LT"/>
                        </w:rPr>
                        <w:t>(Iškraipymo</w:t>
                      </w:r>
                    </w:p>
                    <w:p w:rsidR="00BE5795" w:rsidRPr="008C10B9" w:rsidRDefault="00BE5795" w:rsidP="008C10B9">
                      <w:pPr>
                        <w:jc w:val="center"/>
                        <w:rPr>
                          <w:sz w:val="18"/>
                          <w:szCs w:val="18"/>
                          <w:lang w:val="lt-LT"/>
                        </w:rPr>
                      </w:pPr>
                      <w:r w:rsidRPr="008C10B9">
                        <w:rPr>
                          <w:sz w:val="18"/>
                          <w:szCs w:val="18"/>
                          <w:lang w:val="lt-LT"/>
                        </w:rPr>
                        <w:t>galimybė – nesiūloma)</w:t>
                      </w:r>
                    </w:p>
                  </w:txbxContent>
                </v:textbox>
              </v:rect>
              <v:rect id="_x0000_s2974" style="position:absolute;left:7997;top:9445;width:671;height:402" o:regroupid="119" filled="f" stroked="f">
                <v:textbox style="mso-next-textbox:#_x0000_s2974">
                  <w:txbxContent>
                    <w:p w:rsidR="00BE5795" w:rsidRPr="00960ECB" w:rsidRDefault="00BE5795" w:rsidP="00D1254E">
                      <w:pPr>
                        <w:rPr>
                          <w:rFonts w:asciiTheme="majorHAnsi" w:hAnsiTheme="majorHAnsi"/>
                          <w:i/>
                          <w:sz w:val="22"/>
                          <w:szCs w:val="22"/>
                          <w:lang w:val="lt-LT"/>
                        </w:rPr>
                      </w:pPr>
                      <w:r w:rsidRPr="00960ECB">
                        <w:rPr>
                          <w:rFonts w:asciiTheme="majorHAnsi" w:hAnsiTheme="majorHAnsi"/>
                          <w:i/>
                          <w:sz w:val="22"/>
                          <w:szCs w:val="22"/>
                          <w:lang w:val="lt-LT"/>
                        </w:rPr>
                        <w:t>R</w:t>
                      </w:r>
                      <w:r w:rsidRPr="00960ECB">
                        <w:rPr>
                          <w:rFonts w:asciiTheme="majorHAnsi" w:hAnsiTheme="majorHAnsi"/>
                          <w:i/>
                          <w:sz w:val="22"/>
                          <w:szCs w:val="22"/>
                          <w:vertAlign w:val="subscript"/>
                          <w:lang w:val="lt-LT"/>
                        </w:rPr>
                        <w:t>22</w:t>
                      </w:r>
                    </w:p>
                  </w:txbxContent>
                </v:textbox>
              </v:rect>
              <v:rect id="_x0000_s2975" style="position:absolute;left:8154;top:10708;width:671;height:402" o:regroupid="119" filled="f" stroked="f">
                <v:textbox style="mso-next-textbox:#_x0000_s2975">
                  <w:txbxContent>
                    <w:p w:rsidR="00BE5795" w:rsidRPr="00960ECB" w:rsidRDefault="00166819" w:rsidP="00D1254E">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R</m:t>
                                  </m:r>
                                </m:e>
                                <m:sub>
                                  <m:r>
                                    <w:rPr>
                                      <w:rFonts w:ascii="Cambria Math"/>
                                      <w:sz w:val="22"/>
                                      <w:szCs w:val="22"/>
                                      <w:lang w:val="lt-LT"/>
                                    </w:rPr>
                                    <m:t>22</m:t>
                                  </m:r>
                                </m:sub>
                              </m:sSub>
                            </m:e>
                          </m:acc>
                        </m:oMath>
                      </m:oMathPara>
                    </w:p>
                  </w:txbxContent>
                </v:textbox>
              </v:rect>
              <v:shape id="_x0000_s2976" type="#_x0000_t32" style="position:absolute;left:7496;top:10402;width:125;height:0" o:connectortype="straight" o:regroupid="119"/>
              <v:shape id="_x0000_s2977" type="#_x0000_t32" style="position:absolute;left:7621;top:9788;width:0;height:1322" o:connectortype="straight" o:regroupid="119"/>
              <v:shape id="_x0000_s2978" type="#_x0000_t32" style="position:absolute;left:7621;top:9788;width:2029;height:0" o:connectortype="straight" o:regroupid="119"/>
              <v:shape id="_x0000_s2979" type="#_x0000_t32" style="position:absolute;left:7621;top:11110;width:2029;height:0" o:connectortype="straight" o:regroupid="119"/>
              <v:rect id="_x0000_s2981" style="position:absolute;left:9790;top:7222;width:662;height:402" o:regroupid="119" filled="f">
                <v:textbox style="mso-next-textbox:#_x0000_s2981">
                  <w:txbxContent>
                    <w:p w:rsidR="00BE5795" w:rsidRPr="00473D05" w:rsidRDefault="00BE5795" w:rsidP="00D1254E">
                      <w:pPr>
                        <w:jc w:val="center"/>
                        <w:rPr>
                          <w:rFonts w:asciiTheme="majorHAnsi" w:hAnsiTheme="majorHAnsi"/>
                          <w:i/>
                          <w:sz w:val="24"/>
                          <w:szCs w:val="24"/>
                          <w:lang w:val="lt-LT"/>
                        </w:rPr>
                      </w:pPr>
                      <w:r w:rsidRPr="00473D05">
                        <w:rPr>
                          <w:rFonts w:asciiTheme="majorHAnsi" w:hAnsiTheme="majorHAnsi"/>
                          <w:i/>
                          <w:sz w:val="24"/>
                          <w:szCs w:val="24"/>
                          <w:lang w:val="lt-LT"/>
                        </w:rPr>
                        <w:t>LS</w:t>
                      </w:r>
                      <w:r w:rsidRPr="00473D05">
                        <w:rPr>
                          <w:rFonts w:asciiTheme="majorHAnsi" w:hAnsiTheme="majorHAnsi"/>
                          <w:i/>
                          <w:sz w:val="24"/>
                          <w:szCs w:val="24"/>
                          <w:vertAlign w:val="subscript"/>
                          <w:lang w:val="lt-LT"/>
                        </w:rPr>
                        <w:t>1</w:t>
                      </w:r>
                    </w:p>
                  </w:txbxContent>
                </v:textbox>
              </v:rect>
              <v:rect id="_x0000_s2982" style="position:absolute;left:6370;top:7731;width:1266;height:625" o:regroupid="119" filled="f">
                <v:textbox style="mso-next-textbox:#_x0000_s2982">
                  <w:txbxContent>
                    <w:p w:rsidR="00BE5795" w:rsidRPr="008C10B9" w:rsidRDefault="00BE5795" w:rsidP="00D1254E">
                      <w:pPr>
                        <w:jc w:val="center"/>
                        <w:rPr>
                          <w:sz w:val="18"/>
                          <w:szCs w:val="18"/>
                          <w:lang w:val="lt-LT"/>
                        </w:rPr>
                      </w:pPr>
                      <w:r w:rsidRPr="008C10B9">
                        <w:rPr>
                          <w:sz w:val="18"/>
                          <w:szCs w:val="18"/>
                          <w:lang w:val="lt-LT"/>
                        </w:rPr>
                        <w:t>Analitinės procedūros</w:t>
                      </w:r>
                    </w:p>
                    <w:p w:rsidR="00BE5795" w:rsidRPr="00C773E2" w:rsidRDefault="00BE5795" w:rsidP="00D1254E">
                      <w:pPr>
                        <w:jc w:val="center"/>
                        <w:rPr>
                          <w:lang w:val="lt-LT"/>
                        </w:rPr>
                      </w:pPr>
                    </w:p>
                  </w:txbxContent>
                </v:textbox>
              </v:rect>
              <v:rect id="_x0000_s2983" style="position:absolute;left:7636;top:7437;width:2225;height:538" o:regroupid="119" filled="f" stroked="f">
                <v:textbox style="mso-next-textbox:#_x0000_s2983">
                  <w:txbxContent>
                    <w:p w:rsidR="00BE5795" w:rsidRPr="008C10B9" w:rsidRDefault="00BE5795" w:rsidP="00D1254E">
                      <w:pPr>
                        <w:jc w:val="center"/>
                        <w:rPr>
                          <w:sz w:val="18"/>
                          <w:szCs w:val="18"/>
                          <w:lang w:val="lt-LT"/>
                        </w:rPr>
                      </w:pPr>
                      <w:r w:rsidRPr="008C10B9">
                        <w:rPr>
                          <w:sz w:val="18"/>
                          <w:szCs w:val="18"/>
                          <w:lang w:val="lt-LT"/>
                        </w:rPr>
                        <w:t xml:space="preserve">(Iškraipymo </w:t>
                      </w:r>
                    </w:p>
                    <w:p w:rsidR="00BE5795" w:rsidRPr="008C10B9" w:rsidRDefault="00BE5795" w:rsidP="00D1254E">
                      <w:pPr>
                        <w:jc w:val="center"/>
                        <w:rPr>
                          <w:sz w:val="18"/>
                          <w:szCs w:val="18"/>
                          <w:lang w:val="lt-LT"/>
                        </w:rPr>
                      </w:pPr>
                      <w:r w:rsidRPr="008C10B9">
                        <w:rPr>
                          <w:sz w:val="18"/>
                          <w:szCs w:val="18"/>
                          <w:lang w:val="lt-LT"/>
                        </w:rPr>
                        <w:t>galimybė – nesiūloma)</w:t>
                      </w:r>
                    </w:p>
                  </w:txbxContent>
                </v:textbox>
              </v:rect>
              <v:rect id="_x0000_s2984" style="position:absolute;left:8137;top:7094;width:671;height:402" o:regroupid="119" filled="f" stroked="f">
                <v:textbox style="mso-next-textbox:#_x0000_s2984">
                  <w:txbxContent>
                    <w:p w:rsidR="00BE5795" w:rsidRPr="00960ECB" w:rsidRDefault="00BE5795" w:rsidP="00D1254E">
                      <w:pPr>
                        <w:rPr>
                          <w:rFonts w:asciiTheme="majorHAnsi" w:hAnsiTheme="majorHAnsi"/>
                          <w:i/>
                          <w:sz w:val="22"/>
                          <w:szCs w:val="22"/>
                          <w:lang w:val="lt-LT"/>
                        </w:rPr>
                      </w:pPr>
                      <w:r w:rsidRPr="00960ECB">
                        <w:rPr>
                          <w:rFonts w:asciiTheme="majorHAnsi" w:hAnsiTheme="majorHAnsi"/>
                          <w:i/>
                          <w:sz w:val="22"/>
                          <w:szCs w:val="22"/>
                          <w:lang w:val="lt-LT"/>
                        </w:rPr>
                        <w:t>R</w:t>
                      </w:r>
                      <w:r w:rsidRPr="00960ECB">
                        <w:rPr>
                          <w:rFonts w:asciiTheme="majorHAnsi" w:hAnsiTheme="majorHAnsi"/>
                          <w:i/>
                          <w:sz w:val="22"/>
                          <w:szCs w:val="22"/>
                          <w:vertAlign w:val="subscript"/>
                          <w:lang w:val="lt-LT"/>
                        </w:rPr>
                        <w:t>21</w:t>
                      </w:r>
                    </w:p>
                    <w:p w:rsidR="00BE5795" w:rsidRDefault="00BE5795"/>
                  </w:txbxContent>
                </v:textbox>
              </v:rect>
              <v:rect id="_x0000_s2985" style="position:absolute;left:8294;top:8356;width:671;height:402" o:regroupid="119" filled="f" stroked="f">
                <v:textbox style="mso-next-textbox:#_x0000_s2985">
                  <w:txbxContent>
                    <w:p w:rsidR="00BE5795" w:rsidRPr="00960ECB" w:rsidRDefault="00166819" w:rsidP="00D1254E">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R</m:t>
                                  </m:r>
                                </m:e>
                                <m:sub>
                                  <m:r>
                                    <w:rPr>
                                      <w:rFonts w:ascii="Cambria Math"/>
                                      <w:sz w:val="22"/>
                                      <w:szCs w:val="22"/>
                                      <w:lang w:val="lt-LT"/>
                                    </w:rPr>
                                    <m:t>21</m:t>
                                  </m:r>
                                </m:sub>
                              </m:sSub>
                            </m:e>
                          </m:acc>
                        </m:oMath>
                      </m:oMathPara>
                    </w:p>
                  </w:txbxContent>
                </v:textbox>
              </v:rect>
              <v:shape id="_x0000_s2986" type="#_x0000_t32" style="position:absolute;left:7636;top:8050;width:125;height:0" o:connectortype="straight" o:regroupid="119"/>
              <v:shape id="_x0000_s2987" type="#_x0000_t32" style="position:absolute;left:7761;top:7437;width:0;height:1321" o:connectortype="straight" o:regroupid="119"/>
              <v:shape id="_x0000_s2988" type="#_x0000_t32" style="position:absolute;left:7761;top:7437;width:2029;height:0" o:connectortype="straight" o:regroupid="119"/>
              <v:shape id="_x0000_s2989" type="#_x0000_t32" style="position:absolute;left:7791;top:8758;width:1913;height:0" o:connectortype="straight" o:regroupid="119"/>
              <v:rect id="_x0000_s2990" style="position:absolute;left:10452;top:7037;width:2225;height:475" o:regroupid="119" filled="f" stroked="f">
                <v:textbox style="mso-next-textbox:#_x0000_s2990">
                  <w:txbxContent>
                    <w:p w:rsidR="00BE5795" w:rsidRPr="008C10B9" w:rsidRDefault="00BE5795" w:rsidP="00D1254E">
                      <w:pPr>
                        <w:jc w:val="center"/>
                        <w:rPr>
                          <w:sz w:val="18"/>
                          <w:szCs w:val="18"/>
                          <w:lang w:val="lt-LT"/>
                        </w:rPr>
                      </w:pPr>
                      <w:r w:rsidRPr="008C10B9">
                        <w:rPr>
                          <w:sz w:val="18"/>
                          <w:szCs w:val="18"/>
                          <w:lang w:val="lt-LT"/>
                        </w:rPr>
                        <w:t>Iškraipymas nerastas</w:t>
                      </w:r>
                    </w:p>
                  </w:txbxContent>
                </v:textbox>
              </v:rect>
              <v:shape id="_x0000_s2991" type="#_x0000_t32" style="position:absolute;left:10452;top:7437;width:153;height:0" o:connectortype="straight" o:regroupid="119"/>
              <v:shape id="_x0000_s2992" type="#_x0000_t32" style="position:absolute;left:10605;top:7037;width:0;height:795" o:connectortype="straight" o:regroupid="119"/>
              <v:shape id="_x0000_s2993" type="#_x0000_t32" style="position:absolute;left:10605;top:7037;width:1986;height:0" o:connectortype="straight" o:regroupid="119"/>
              <v:shape id="_x0000_s2994" type="#_x0000_t32" style="position:absolute;left:10605;top:7832;width:1986;height:0" o:connectortype="straight" o:regroupid="119"/>
              <v:rect id="_x0000_s2995" style="position:absolute;left:10237;top:7830;width:2943;height:474" o:regroupid="119" filled="f" stroked="f">
                <v:textbox style="mso-next-textbox:#_x0000_s2995">
                  <w:txbxContent>
                    <w:p w:rsidR="00BE5795" w:rsidRPr="008C10B9" w:rsidRDefault="00BE5795" w:rsidP="00D1254E">
                      <w:pPr>
                        <w:jc w:val="center"/>
                        <w:rPr>
                          <w:sz w:val="18"/>
                          <w:szCs w:val="18"/>
                          <w:lang w:val="lt-LT"/>
                        </w:rPr>
                      </w:pPr>
                      <w:r w:rsidRPr="008C10B9">
                        <w:rPr>
                          <w:sz w:val="18"/>
                          <w:szCs w:val="18"/>
                          <w:lang w:val="lt-LT"/>
                        </w:rPr>
                        <w:t>Iškraipymas klaidingai surastas</w:t>
                      </w:r>
                    </w:p>
                  </w:txbxContent>
                </v:textbox>
              </v:rect>
              <v:rect id="_x0000_s2996" style="position:absolute;left:11006;top:7496;width:789;height:402" o:regroupid="119" filled="f" stroked="f">
                <v:textbox style="mso-next-textbox:#_x0000_s2996">
                  <w:txbxContent>
                    <w:p w:rsidR="00BE5795" w:rsidRPr="00960ECB" w:rsidRDefault="00166819" w:rsidP="00D1254E">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TD</m:t>
                                  </m:r>
                                </m:e>
                                <m:sub>
                                  <m:r>
                                    <w:rPr>
                                      <w:rFonts w:ascii="Cambria Math"/>
                                      <w:sz w:val="22"/>
                                      <w:szCs w:val="22"/>
                                      <w:lang w:val="lt-LT"/>
                                    </w:rPr>
                                    <m:t>211</m:t>
                                  </m:r>
                                </m:sub>
                              </m:sSub>
                            </m:e>
                          </m:acc>
                        </m:oMath>
                      </m:oMathPara>
                    </w:p>
                  </w:txbxContent>
                </v:textbox>
              </v:rect>
              <v:rect id="_x0000_s2997" style="position:absolute;left:12998;top:6891;width:1123;height:402" o:regroupid="119" filled="f" stroked="f">
                <v:textbox style="mso-next-textbox:#_x0000_s2997">
                  <w:txbxContent>
                    <w:p w:rsidR="00BE5795" w:rsidRPr="00AF4456" w:rsidRDefault="00BE5795" w:rsidP="00D1254E">
                      <w:pPr>
                        <w:rPr>
                          <w:rFonts w:asciiTheme="majorHAnsi" w:hAnsiTheme="majorHAnsi"/>
                          <w:i/>
                          <w:sz w:val="24"/>
                          <w:szCs w:val="24"/>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(CA</w:t>
                      </w:r>
                      <w:r w:rsidRPr="00960ECB">
                        <w:rPr>
                          <w:rFonts w:asciiTheme="majorHAnsi" w:hAnsiTheme="majorHAnsi"/>
                          <w:i/>
                          <w:sz w:val="22"/>
                          <w:szCs w:val="22"/>
                          <w:vertAlign w:val="subscript"/>
                          <w:lang w:val="lt-LT"/>
                        </w:rPr>
                        <w:t xml:space="preserve">1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2998" style="position:absolute;left:12847;top:7731;width:1209;height:402" o:regroupid="119" filled="f" stroked="f">
                <v:textbox style="mso-next-textbox:#_x0000_s2998">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(IR</w:t>
                      </w:r>
                      <w:r w:rsidRPr="00960ECB">
                        <w:rPr>
                          <w:rFonts w:asciiTheme="majorHAnsi" w:hAnsiTheme="majorHAnsi"/>
                          <w:i/>
                          <w:sz w:val="22"/>
                          <w:szCs w:val="22"/>
                          <w:vertAlign w:val="subscript"/>
                          <w:lang w:val="lt-LT"/>
                        </w:rPr>
                        <w:t xml:space="preserve">1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2999" style="position:absolute;left:12987;top:8304;width:1209;height:402" o:regroupid="119" filled="f" stroked="f">
                <v:textbox style="mso-next-textbox:#_x0000_s2999">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(CA</w:t>
                      </w:r>
                      <w:r w:rsidRPr="00960ECB">
                        <w:rPr>
                          <w:rFonts w:asciiTheme="majorHAnsi" w:hAnsiTheme="majorHAnsi"/>
                          <w:i/>
                          <w:sz w:val="22"/>
                          <w:szCs w:val="22"/>
                          <w:vertAlign w:val="subscript"/>
                          <w:lang w:val="lt-LT"/>
                        </w:rPr>
                        <w:t xml:space="preserve">2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3001" style="position:absolute;left:9704;top:8491;width:662;height:402" o:regroupid="119" filled="f">
                <v:textbox style="mso-next-textbox:#_x0000_s3001">
                  <w:txbxContent>
                    <w:p w:rsidR="00BE5795" w:rsidRPr="00473D05" w:rsidRDefault="00BE5795" w:rsidP="00D1254E">
                      <w:pPr>
                        <w:jc w:val="center"/>
                        <w:rPr>
                          <w:rFonts w:asciiTheme="majorHAnsi" w:hAnsiTheme="majorHAnsi"/>
                          <w:i/>
                          <w:sz w:val="24"/>
                          <w:szCs w:val="24"/>
                          <w:lang w:val="lt-LT"/>
                        </w:rPr>
                      </w:pPr>
                      <w:r>
                        <w:rPr>
                          <w:rFonts w:asciiTheme="majorHAnsi" w:hAnsiTheme="majorHAnsi"/>
                          <w:i/>
                          <w:sz w:val="24"/>
                          <w:szCs w:val="24"/>
                          <w:lang w:val="lt-LT"/>
                        </w:rPr>
                        <w:t>E</w:t>
                      </w:r>
                      <w:r w:rsidRPr="00473D05">
                        <w:rPr>
                          <w:rFonts w:asciiTheme="majorHAnsi" w:hAnsiTheme="majorHAnsi"/>
                          <w:i/>
                          <w:sz w:val="24"/>
                          <w:szCs w:val="24"/>
                          <w:lang w:val="lt-LT"/>
                        </w:rPr>
                        <w:t>S</w:t>
                      </w:r>
                      <w:r>
                        <w:rPr>
                          <w:rFonts w:asciiTheme="majorHAnsi" w:hAnsiTheme="majorHAnsi"/>
                          <w:i/>
                          <w:sz w:val="24"/>
                          <w:szCs w:val="24"/>
                          <w:vertAlign w:val="subscript"/>
                          <w:lang w:val="lt-LT"/>
                        </w:rPr>
                        <w:t>1</w:t>
                      </w:r>
                    </w:p>
                  </w:txbxContent>
                </v:textbox>
              </v:rect>
              <v:shape id="_x0000_s3002" type="#_x0000_t32" style="position:absolute;left:10366;top:8706;width:153;height:0" o:connectortype="straight" o:regroupid="119"/>
              <v:shape id="_x0000_s3003" type="#_x0000_t32" style="position:absolute;left:10519;top:8491;width:1;height:610" o:connectortype="straight" o:regroupid="119"/>
              <v:shape id="_x0000_s3004" type="#_x0000_t32" style="position:absolute;left:10519;top:8491;width:1986;height:0" o:connectortype="straight" o:regroupid="119"/>
              <v:shape id="_x0000_s3005" type="#_x0000_t32" style="position:absolute;left:10519;top:9101;width:1986;height:0" o:connectortype="straight" o:regroupid="119"/>
              <v:rect id="_x0000_s3006" style="position:absolute;left:10920;top:8706;width:789;height:402" o:regroupid="119" filled="f" stroked="f">
                <v:textbox style="mso-next-textbox:#_x0000_s3006">
                  <w:txbxContent>
                    <w:p w:rsidR="00BE5795" w:rsidRPr="00960ECB" w:rsidRDefault="00166819" w:rsidP="00D1254E">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TD</m:t>
                                  </m:r>
                                </m:e>
                                <m:sub>
                                  <m:r>
                                    <w:rPr>
                                      <w:rFonts w:ascii="Cambria Math"/>
                                      <w:sz w:val="22"/>
                                      <w:szCs w:val="22"/>
                                      <w:lang w:val="lt-LT"/>
                                    </w:rPr>
                                    <m:t>212</m:t>
                                  </m:r>
                                </m:sub>
                              </m:sSub>
                            </m:e>
                          </m:acc>
                        </m:oMath>
                      </m:oMathPara>
                    </w:p>
                  </w:txbxContent>
                </v:textbox>
              </v:rect>
              <v:rect id="_x0000_s3007" style="position:absolute;left:11006;top:8137;width:934;height:402" o:regroupid="119" filled="f" stroked="f">
                <v:textbox style="mso-next-textbox:#_x0000_s3007">
                  <w:txbxContent>
                    <w:p w:rsidR="00BE5795" w:rsidRPr="00960ECB" w:rsidRDefault="00BE5795" w:rsidP="00D1254E">
                      <w:pPr>
                        <w:rPr>
                          <w:rFonts w:asciiTheme="majorHAnsi" w:hAnsiTheme="majorHAnsi"/>
                          <w:i/>
                          <w:sz w:val="22"/>
                          <w:szCs w:val="22"/>
                          <w:lang w:val="lt-LT"/>
                        </w:rPr>
                      </w:pPr>
                      <w:r w:rsidRPr="00960ECB">
                        <w:rPr>
                          <w:rFonts w:asciiTheme="majorHAnsi" w:hAnsiTheme="majorHAnsi"/>
                          <w:i/>
                          <w:sz w:val="22"/>
                          <w:szCs w:val="22"/>
                          <w:lang w:val="lt-LT"/>
                        </w:rPr>
                        <w:t>TD</w:t>
                      </w:r>
                      <w:r w:rsidRPr="00960ECB">
                        <w:rPr>
                          <w:rFonts w:asciiTheme="majorHAnsi" w:hAnsiTheme="majorHAnsi"/>
                          <w:i/>
                          <w:sz w:val="22"/>
                          <w:szCs w:val="22"/>
                          <w:vertAlign w:val="subscript"/>
                          <w:lang w:val="lt-LT"/>
                        </w:rPr>
                        <w:t>212</w:t>
                      </w:r>
                    </w:p>
                  </w:txbxContent>
                </v:textbox>
              </v:rect>
              <v:rect id="_x0000_s3009" style="position:absolute;left:9704;top:10842;width:662;height:402" o:regroupid="119" filled="f">
                <v:textbox style="mso-next-textbox:#_x0000_s3009">
                  <w:txbxContent>
                    <w:p w:rsidR="00BE5795" w:rsidRPr="00473D05" w:rsidRDefault="00BE5795" w:rsidP="00D1254E">
                      <w:pPr>
                        <w:jc w:val="center"/>
                        <w:rPr>
                          <w:rFonts w:asciiTheme="majorHAnsi" w:hAnsiTheme="majorHAnsi"/>
                          <w:i/>
                          <w:sz w:val="24"/>
                          <w:szCs w:val="24"/>
                          <w:lang w:val="lt-LT"/>
                        </w:rPr>
                      </w:pPr>
                      <w:r>
                        <w:rPr>
                          <w:rFonts w:asciiTheme="majorHAnsi" w:hAnsiTheme="majorHAnsi"/>
                          <w:i/>
                          <w:sz w:val="24"/>
                          <w:szCs w:val="24"/>
                          <w:lang w:val="lt-LT"/>
                        </w:rPr>
                        <w:t>E</w:t>
                      </w:r>
                      <w:r w:rsidRPr="00473D05">
                        <w:rPr>
                          <w:rFonts w:asciiTheme="majorHAnsi" w:hAnsiTheme="majorHAnsi"/>
                          <w:i/>
                          <w:sz w:val="24"/>
                          <w:szCs w:val="24"/>
                          <w:lang w:val="lt-LT"/>
                        </w:rPr>
                        <w:t>S</w:t>
                      </w:r>
                      <w:r>
                        <w:rPr>
                          <w:rFonts w:asciiTheme="majorHAnsi" w:hAnsiTheme="majorHAnsi"/>
                          <w:i/>
                          <w:sz w:val="24"/>
                          <w:szCs w:val="24"/>
                          <w:vertAlign w:val="subscript"/>
                          <w:lang w:val="lt-LT"/>
                        </w:rPr>
                        <w:t>2</w:t>
                      </w:r>
                    </w:p>
                  </w:txbxContent>
                </v:textbox>
              </v:rect>
              <v:shape id="_x0000_s3010" type="#_x0000_t32" style="position:absolute;left:10366;top:11057;width:153;height:0" o:connectortype="straight" o:regroupid="119"/>
              <v:shape id="_x0000_s3011" type="#_x0000_t32" style="position:absolute;left:10519;top:10658;width:0;height:635" o:connectortype="straight" o:regroupid="119"/>
              <v:shape id="_x0000_s3012" type="#_x0000_t32" style="position:absolute;left:10519;top:10658;width:1986;height:0" o:connectortype="straight" o:regroupid="119"/>
              <v:shape id="_x0000_s3013" type="#_x0000_t32" style="position:absolute;left:10520;top:11293;width:1986;height:0" o:connectortype="straight" o:regroupid="119"/>
              <v:rect id="_x0000_s3014" style="position:absolute;left:10920;top:10891;width:789;height:402" o:regroupid="119" filled="f" stroked="f">
                <v:textbox style="mso-next-textbox:#_x0000_s3014">
                  <w:txbxContent>
                    <w:p w:rsidR="00BE5795" w:rsidRPr="00960ECB" w:rsidRDefault="00166819" w:rsidP="00D1254E">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TD</m:t>
                                  </m:r>
                                </m:e>
                                <m:sub>
                                  <m:r>
                                    <w:rPr>
                                      <w:rFonts w:ascii="Cambria Math"/>
                                      <w:sz w:val="22"/>
                                      <w:szCs w:val="22"/>
                                      <w:lang w:val="lt-LT"/>
                                    </w:rPr>
                                    <m:t>222</m:t>
                                  </m:r>
                                </m:sub>
                              </m:sSub>
                            </m:e>
                          </m:acc>
                        </m:oMath>
                      </m:oMathPara>
                    </w:p>
                  </w:txbxContent>
                </v:textbox>
              </v:rect>
              <v:rect id="_x0000_s3015" style="position:absolute;left:9650;top:9573;width:662;height:402" o:regroupid="119" filled="f">
                <v:textbox style="mso-next-textbox:#_x0000_s3015">
                  <w:txbxContent>
                    <w:p w:rsidR="00BE5795" w:rsidRPr="00473D05" w:rsidRDefault="00BE5795" w:rsidP="00D1254E">
                      <w:pPr>
                        <w:jc w:val="center"/>
                        <w:rPr>
                          <w:rFonts w:asciiTheme="majorHAnsi" w:hAnsiTheme="majorHAnsi"/>
                          <w:i/>
                          <w:sz w:val="24"/>
                          <w:szCs w:val="24"/>
                          <w:lang w:val="lt-LT"/>
                        </w:rPr>
                      </w:pPr>
                      <w:r w:rsidRPr="00473D05">
                        <w:rPr>
                          <w:rFonts w:asciiTheme="majorHAnsi" w:hAnsiTheme="majorHAnsi"/>
                          <w:i/>
                          <w:sz w:val="24"/>
                          <w:szCs w:val="24"/>
                          <w:lang w:val="lt-LT"/>
                        </w:rPr>
                        <w:t>LS</w:t>
                      </w:r>
                      <w:r>
                        <w:rPr>
                          <w:rFonts w:asciiTheme="majorHAnsi" w:hAnsiTheme="majorHAnsi"/>
                          <w:i/>
                          <w:sz w:val="24"/>
                          <w:szCs w:val="24"/>
                          <w:vertAlign w:val="subscript"/>
                          <w:lang w:val="lt-LT"/>
                        </w:rPr>
                        <w:t>2</w:t>
                      </w:r>
                    </w:p>
                  </w:txbxContent>
                </v:textbox>
              </v:rect>
              <v:shape id="_x0000_s3016" type="#_x0000_t32" style="position:absolute;left:10312;top:9788;width:153;height:0" o:connectortype="straight" o:regroupid="119"/>
              <v:shape id="_x0000_s3017" type="#_x0000_t32" style="position:absolute;left:10465;top:9573;width:0;height:510" o:connectortype="straight" o:regroupid="119"/>
              <v:shape id="_x0000_s3018" type="#_x0000_t32" style="position:absolute;left:10465;top:9573;width:1986;height:0" o:connectortype="straight" o:regroupid="119"/>
              <v:shape id="_x0000_s3019" type="#_x0000_t32" style="position:absolute;left:10465;top:10083;width:1986;height:0" o:connectortype="straight" o:regroupid="119"/>
              <v:rect id="_x0000_s3020" style="position:absolute;left:10920;top:9686;width:789;height:402" o:regroupid="119" filled="f" stroked="f">
                <v:textbox style="mso-next-textbox:#_x0000_s3020">
                  <w:txbxContent>
                    <w:p w:rsidR="00BE5795" w:rsidRPr="00960ECB" w:rsidRDefault="00166819" w:rsidP="00D1254E">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TD</m:t>
                                  </m:r>
                                </m:e>
                                <m:sub>
                                  <m:r>
                                    <w:rPr>
                                      <w:rFonts w:ascii="Cambria Math"/>
                                      <w:sz w:val="22"/>
                                      <w:szCs w:val="22"/>
                                      <w:lang w:val="lt-LT"/>
                                    </w:rPr>
                                    <m:t>221</m:t>
                                  </m:r>
                                </m:sub>
                              </m:sSub>
                            </m:e>
                          </m:acc>
                        </m:oMath>
                      </m:oMathPara>
                    </w:p>
                  </w:txbxContent>
                </v:textbox>
              </v:rect>
              <v:rect id="_x0000_s3021" style="position:absolute;left:10920;top:9242;width:934;height:402" o:regroupid="119" filled="f" stroked="f">
                <v:textbox style="mso-next-textbox:#_x0000_s3021">
                  <w:txbxContent>
                    <w:p w:rsidR="00BE5795" w:rsidRPr="00960ECB" w:rsidRDefault="00BE5795" w:rsidP="00D1254E">
                      <w:pPr>
                        <w:rPr>
                          <w:rFonts w:asciiTheme="majorHAnsi" w:hAnsiTheme="majorHAnsi"/>
                          <w:i/>
                          <w:sz w:val="22"/>
                          <w:szCs w:val="22"/>
                          <w:lang w:val="lt-LT"/>
                        </w:rPr>
                      </w:pPr>
                      <w:r w:rsidRPr="00960ECB">
                        <w:rPr>
                          <w:rFonts w:asciiTheme="majorHAnsi" w:hAnsiTheme="majorHAnsi"/>
                          <w:i/>
                          <w:sz w:val="22"/>
                          <w:szCs w:val="22"/>
                          <w:lang w:val="lt-LT"/>
                        </w:rPr>
                        <w:t>TD</w:t>
                      </w:r>
                      <w:r w:rsidRPr="00960ECB">
                        <w:rPr>
                          <w:rFonts w:asciiTheme="majorHAnsi" w:hAnsiTheme="majorHAnsi"/>
                          <w:i/>
                          <w:sz w:val="22"/>
                          <w:szCs w:val="22"/>
                          <w:vertAlign w:val="subscript"/>
                          <w:lang w:val="lt-LT"/>
                        </w:rPr>
                        <w:t>221</w:t>
                      </w:r>
                    </w:p>
                  </w:txbxContent>
                </v:textbox>
              </v:rect>
              <v:rect id="_x0000_s3022" style="position:absolute;left:12987;top:8840;width:1209;height:402" o:regroupid="119" filled="f" stroked="f">
                <v:textbox style="mso-next-textbox:#_x0000_s3022">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(IR</w:t>
                      </w:r>
                      <w:r w:rsidRPr="00960ECB">
                        <w:rPr>
                          <w:rFonts w:asciiTheme="majorHAnsi" w:hAnsiTheme="majorHAnsi"/>
                          <w:i/>
                          <w:sz w:val="22"/>
                          <w:szCs w:val="22"/>
                          <w:vertAlign w:val="subscript"/>
                          <w:lang w:val="lt-LT"/>
                        </w:rPr>
                        <w:t xml:space="preserve">2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3023" style="position:absolute;left:13052;top:9284;width:1209;height:402" o:regroupid="119" filled="f" stroked="f">
                <v:textbox style="mso-next-textbox:#_x0000_s3023">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(CA</w:t>
                      </w:r>
                      <w:r w:rsidRPr="00960ECB">
                        <w:rPr>
                          <w:rFonts w:asciiTheme="majorHAnsi" w:hAnsiTheme="majorHAnsi"/>
                          <w:i/>
                          <w:sz w:val="22"/>
                          <w:szCs w:val="22"/>
                          <w:vertAlign w:val="subscript"/>
                          <w:lang w:val="lt-LT"/>
                        </w:rPr>
                        <w:t xml:space="preserve">3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3024" style="position:absolute;left:13052;top:9847;width:1209;height:402" o:regroupid="119" filled="f" stroked="f">
                <v:textbox style="mso-next-textbox:#_x0000_s3024">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(IR</w:t>
                      </w:r>
                      <w:r w:rsidRPr="00960ECB">
                        <w:rPr>
                          <w:rFonts w:asciiTheme="majorHAnsi" w:hAnsiTheme="majorHAnsi"/>
                          <w:i/>
                          <w:sz w:val="22"/>
                          <w:szCs w:val="22"/>
                          <w:vertAlign w:val="subscript"/>
                          <w:lang w:val="lt-LT"/>
                        </w:rPr>
                        <w:t xml:space="preserve">3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rect id="_x0000_s3025" style="position:absolute;left:10920;top:10326;width:934;height:402" o:regroupid="119" filled="f" stroked="f">
                <v:textbox style="mso-next-textbox:#_x0000_s3025">
                  <w:txbxContent>
                    <w:p w:rsidR="00BE5795" w:rsidRPr="00960ECB" w:rsidRDefault="00BE5795" w:rsidP="00D1254E">
                      <w:pPr>
                        <w:rPr>
                          <w:rFonts w:asciiTheme="majorHAnsi" w:hAnsiTheme="majorHAnsi"/>
                          <w:i/>
                          <w:sz w:val="22"/>
                          <w:szCs w:val="22"/>
                          <w:lang w:val="lt-LT"/>
                        </w:rPr>
                      </w:pPr>
                      <w:r w:rsidRPr="00960ECB">
                        <w:rPr>
                          <w:rFonts w:asciiTheme="majorHAnsi" w:hAnsiTheme="majorHAnsi"/>
                          <w:i/>
                          <w:sz w:val="22"/>
                          <w:szCs w:val="22"/>
                          <w:lang w:val="lt-LT"/>
                        </w:rPr>
                        <w:t>TD</w:t>
                      </w:r>
                      <w:r w:rsidRPr="00960ECB">
                        <w:rPr>
                          <w:rFonts w:asciiTheme="majorHAnsi" w:hAnsiTheme="majorHAnsi"/>
                          <w:i/>
                          <w:sz w:val="22"/>
                          <w:szCs w:val="22"/>
                          <w:vertAlign w:val="subscript"/>
                          <w:lang w:val="lt-LT"/>
                        </w:rPr>
                        <w:t>222</w:t>
                      </w:r>
                    </w:p>
                  </w:txbxContent>
                </v:textbox>
              </v:rect>
              <v:rect id="_x0000_s3026" style="position:absolute;left:13052;top:10440;width:1209;height:402" o:regroupid="119" filled="f" stroked="f">
                <v:textbox style="mso-next-textbox:#_x0000_s3026">
                  <w:txbxContent>
                    <w:p w:rsidR="00BE5795" w:rsidRPr="00960ECB" w:rsidRDefault="00BE5795" w:rsidP="00D1254E">
                      <w:pPr>
                        <w:rPr>
                          <w:rFonts w:asciiTheme="majorHAnsi" w:hAnsiTheme="majorHAnsi"/>
                          <w:i/>
                          <w:sz w:val="22"/>
                          <w:szCs w:val="22"/>
                          <w:lang w:val="lt-LT"/>
                        </w:rPr>
                      </w:pPr>
                      <w:r w:rsidRPr="00960ECB">
                        <w:rPr>
                          <w:rFonts w:asciiTheme="majorHAnsi" w:hAnsiTheme="majorHAnsi"/>
                          <w:sz w:val="22"/>
                          <w:szCs w:val="22"/>
                          <w:lang w:val="lt-LT"/>
                        </w:rPr>
                        <w:t>[</w:t>
                      </w:r>
                      <w:r w:rsidRPr="00960ECB">
                        <w:rPr>
                          <w:rFonts w:asciiTheme="majorHAnsi" w:hAnsiTheme="majorHAnsi"/>
                          <w:i/>
                          <w:sz w:val="22"/>
                          <w:szCs w:val="22"/>
                          <w:lang w:val="lt-LT"/>
                        </w:rPr>
                        <w:t xml:space="preserve"> (CA</w:t>
                      </w:r>
                      <w:r w:rsidRPr="00960ECB">
                        <w:rPr>
                          <w:rFonts w:asciiTheme="majorHAnsi" w:hAnsiTheme="majorHAnsi"/>
                          <w:i/>
                          <w:sz w:val="22"/>
                          <w:szCs w:val="22"/>
                          <w:vertAlign w:val="subscript"/>
                          <w:lang w:val="lt-LT"/>
                        </w:rPr>
                        <w:t xml:space="preserve">4 </w:t>
                      </w:r>
                      <w:r w:rsidRPr="00960ECB">
                        <w:rPr>
                          <w:rFonts w:asciiTheme="majorHAnsi" w:hAnsiTheme="majorHAnsi"/>
                          <w:i/>
                          <w:sz w:val="22"/>
                          <w:szCs w:val="22"/>
                          <w:lang w:val="lt-LT"/>
                        </w:rPr>
                        <w:t>)</w:t>
                      </w:r>
                      <w:r w:rsidRPr="00960ECB">
                        <w:rPr>
                          <w:rFonts w:asciiTheme="majorHAnsi" w:hAnsiTheme="majorHAnsi"/>
                          <w:sz w:val="22"/>
                          <w:szCs w:val="22"/>
                          <w:lang w:val="lt-LT"/>
                        </w:rPr>
                        <w:t xml:space="preserve"> ]</w:t>
                      </w:r>
                    </w:p>
                  </w:txbxContent>
                </v:textbox>
              </v:rect>
              <v:shape id="_x0000_s2883" type="#_x0000_t32" style="position:absolute;left:2025;top:7181;width:1;height:1269" o:connectortype="straight" o:regroupid="119"/>
            </v:group>
          </v:group>
        </w:pict>
      </w: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91B10" w:rsidRDefault="00091B10">
      <w:pPr>
        <w:tabs>
          <w:tab w:val="left" w:pos="567"/>
        </w:tabs>
        <w:jc w:val="both"/>
        <w:rPr>
          <w:sz w:val="24"/>
          <w:szCs w:val="24"/>
          <w:lang w:val="lt-LT"/>
        </w:rPr>
      </w:pPr>
    </w:p>
    <w:p w:rsidR="00004C10" w:rsidRPr="00677CCB" w:rsidRDefault="00004C10" w:rsidP="00091B10">
      <w:pPr>
        <w:tabs>
          <w:tab w:val="left" w:pos="567"/>
        </w:tabs>
        <w:jc w:val="both"/>
        <w:rPr>
          <w:sz w:val="32"/>
          <w:szCs w:val="32"/>
          <w:lang w:val="lt-LT"/>
        </w:rPr>
      </w:pPr>
    </w:p>
    <w:p w:rsidR="00677CCB" w:rsidRDefault="00677CCB" w:rsidP="00677CCB">
      <w:pPr>
        <w:tabs>
          <w:tab w:val="left" w:pos="567"/>
        </w:tabs>
        <w:jc w:val="both"/>
        <w:rPr>
          <w:lang w:val="lt-LT"/>
        </w:rPr>
      </w:pPr>
      <w:r w:rsidRPr="00E62E10">
        <w:rPr>
          <w:lang w:val="lt-LT"/>
        </w:rPr>
        <w:t xml:space="preserve">Šaltinis: </w:t>
      </w:r>
      <w:r>
        <w:rPr>
          <w:lang w:val="lt-LT"/>
        </w:rPr>
        <w:t>SENNETTI</w:t>
      </w:r>
      <w:r w:rsidRPr="00E62E10">
        <w:rPr>
          <w:lang w:val="lt-LT"/>
        </w:rPr>
        <w:t>,</w:t>
      </w:r>
      <w:r>
        <w:rPr>
          <w:lang w:val="lt-LT"/>
        </w:rPr>
        <w:t xml:space="preserve"> J. T., 1990</w:t>
      </w:r>
      <w:r w:rsidRPr="00E62E10">
        <w:rPr>
          <w:lang w:val="lt-LT"/>
        </w:rPr>
        <w:t xml:space="preserve">, p. </w:t>
      </w:r>
      <w:r>
        <w:rPr>
          <w:lang w:val="lt-LT"/>
        </w:rPr>
        <w:t>106</w:t>
      </w:r>
      <w:r w:rsidRPr="00E62E10">
        <w:rPr>
          <w:lang w:val="lt-LT"/>
        </w:rPr>
        <w:t>.</w:t>
      </w:r>
    </w:p>
    <w:p w:rsidR="00091B10" w:rsidRDefault="00091B10" w:rsidP="00677CCB">
      <w:pPr>
        <w:tabs>
          <w:tab w:val="left" w:pos="567"/>
        </w:tabs>
        <w:jc w:val="both"/>
        <w:rPr>
          <w:lang w:val="lt-LT"/>
        </w:rPr>
      </w:pPr>
    </w:p>
    <w:p w:rsidR="00091B10" w:rsidRDefault="00091B10" w:rsidP="00677CCB">
      <w:pPr>
        <w:tabs>
          <w:tab w:val="left" w:pos="567"/>
        </w:tabs>
        <w:jc w:val="both"/>
        <w:rPr>
          <w:lang w:val="lt-LT"/>
        </w:rPr>
      </w:pPr>
    </w:p>
    <w:p w:rsidR="00091B10" w:rsidRDefault="00091B10" w:rsidP="00091B10">
      <w:pPr>
        <w:tabs>
          <w:tab w:val="left" w:pos="567"/>
        </w:tabs>
        <w:jc w:val="both"/>
        <w:rPr>
          <w:sz w:val="24"/>
          <w:szCs w:val="24"/>
          <w:lang w:val="lt-LT"/>
        </w:rPr>
      </w:pPr>
      <w:r w:rsidRPr="00677CCB">
        <w:rPr>
          <w:lang w:val="lt-LT"/>
        </w:rPr>
        <w:t>Pastaba: A – tvirtinimas finansinėse ataskaitose</w:t>
      </w:r>
      <w:r>
        <w:rPr>
          <w:lang w:val="lt-LT"/>
        </w:rPr>
        <w:t xml:space="preserve">; </w:t>
      </w:r>
      <w:r w:rsidRPr="00677CCB">
        <w:rPr>
          <w:lang w:val="lt-LT"/>
        </w:rPr>
        <w:t>C – vidaus kontrolės svarstymas</w:t>
      </w:r>
      <w:r>
        <w:rPr>
          <w:lang w:val="lt-LT"/>
        </w:rPr>
        <w:t xml:space="preserve">; </w:t>
      </w:r>
      <w:r w:rsidRPr="00677CCB">
        <w:rPr>
          <w:lang w:val="lt-LT"/>
        </w:rPr>
        <w:t>LS</w:t>
      </w:r>
      <w:r w:rsidRPr="00677CCB">
        <w:rPr>
          <w:vertAlign w:val="subscript"/>
          <w:lang w:val="lt-LT"/>
        </w:rPr>
        <w:t>1</w:t>
      </w:r>
      <w:r w:rsidRPr="00677CCB">
        <w:rPr>
          <w:lang w:val="lt-LT"/>
        </w:rPr>
        <w:t xml:space="preserve"> – mažiau detalių testų</w:t>
      </w:r>
      <w:r>
        <w:rPr>
          <w:lang w:val="lt-LT"/>
        </w:rPr>
        <w:t xml:space="preserve">; </w:t>
      </w:r>
      <w:r w:rsidRPr="00677CCB">
        <w:rPr>
          <w:lang w:val="lt-LT"/>
        </w:rPr>
        <w:t>IA</w:t>
      </w:r>
      <w:r w:rsidRPr="00677CCB">
        <w:rPr>
          <w:vertAlign w:val="subscript"/>
          <w:lang w:val="lt-LT"/>
        </w:rPr>
        <w:t>i</w:t>
      </w:r>
      <w:r w:rsidRPr="00677CCB">
        <w:rPr>
          <w:lang w:val="lt-LT"/>
        </w:rPr>
        <w:t xml:space="preserve"> – neteisingas priėmimas</w:t>
      </w:r>
      <w:r>
        <w:rPr>
          <w:lang w:val="lt-LT"/>
        </w:rPr>
        <w:t xml:space="preserve">; </w:t>
      </w:r>
      <w:r w:rsidRPr="00677CCB">
        <w:rPr>
          <w:lang w:val="lt-LT"/>
        </w:rPr>
        <w:t>CR</w:t>
      </w:r>
      <w:r w:rsidRPr="00677CCB">
        <w:rPr>
          <w:vertAlign w:val="subscript"/>
          <w:lang w:val="lt-LT"/>
        </w:rPr>
        <w:t>i</w:t>
      </w:r>
      <w:r w:rsidRPr="00677CCB">
        <w:rPr>
          <w:lang w:val="lt-LT"/>
        </w:rPr>
        <w:t xml:space="preserve"> – teisingas atmetimas</w:t>
      </w:r>
      <w:r>
        <w:rPr>
          <w:lang w:val="lt-LT"/>
        </w:rPr>
        <w:t xml:space="preserve">; </w:t>
      </w:r>
      <w:r w:rsidRPr="00677CCB">
        <w:rPr>
          <w:lang w:val="lt-LT"/>
        </w:rPr>
        <w:t>CA – teisingas priėmimas</w:t>
      </w:r>
      <w:r>
        <w:rPr>
          <w:lang w:val="lt-LT"/>
        </w:rPr>
        <w:t xml:space="preserve">; </w:t>
      </w:r>
      <w:r w:rsidRPr="00677CCB">
        <w:rPr>
          <w:lang w:val="lt-LT"/>
        </w:rPr>
        <w:t>IR</w:t>
      </w:r>
      <w:r w:rsidRPr="00677CCB">
        <w:rPr>
          <w:vertAlign w:val="subscript"/>
          <w:lang w:val="lt-LT"/>
        </w:rPr>
        <w:t>i</w:t>
      </w:r>
      <w:r w:rsidRPr="00677CCB">
        <w:rPr>
          <w:lang w:val="lt-LT"/>
        </w:rPr>
        <w:t xml:space="preserve"> – neteisingas atmetimas</w:t>
      </w:r>
      <w:r>
        <w:rPr>
          <w:lang w:val="lt-LT"/>
        </w:rPr>
        <w:t xml:space="preserve">; </w:t>
      </w:r>
      <w:r w:rsidRPr="00677CCB">
        <w:rPr>
          <w:lang w:val="lt-LT"/>
        </w:rPr>
        <w:t>CA</w:t>
      </w:r>
      <w:r w:rsidRPr="00677CCB">
        <w:rPr>
          <w:vertAlign w:val="subscript"/>
          <w:lang w:val="lt-LT"/>
        </w:rPr>
        <w:t>i</w:t>
      </w:r>
      <w:r w:rsidRPr="00677CCB">
        <w:rPr>
          <w:lang w:val="lt-LT"/>
        </w:rPr>
        <w:t xml:space="preserve"> – teisingas priėmimas</w:t>
      </w:r>
      <w:r>
        <w:rPr>
          <w:lang w:val="lt-LT"/>
        </w:rPr>
        <w:t xml:space="preserve">; </w:t>
      </w:r>
      <w:r w:rsidRPr="00677CCB">
        <w:rPr>
          <w:lang w:val="lt-LT"/>
        </w:rPr>
        <w:t>IR – įgimta rizika</w:t>
      </w:r>
      <w:r>
        <w:rPr>
          <w:lang w:val="lt-LT"/>
        </w:rPr>
        <w:t xml:space="preserve">; </w:t>
      </w:r>
      <w:r w:rsidRPr="00677CCB">
        <w:rPr>
          <w:lang w:val="lt-LT"/>
        </w:rPr>
        <w:t>IC</w:t>
      </w:r>
      <w:r w:rsidRPr="00677CCB">
        <w:rPr>
          <w:vertAlign w:val="subscript"/>
          <w:lang w:val="lt-LT"/>
        </w:rPr>
        <w:t>1</w:t>
      </w:r>
      <w:r w:rsidRPr="00677CCB">
        <w:rPr>
          <w:lang w:val="lt-LT"/>
        </w:rPr>
        <w:t xml:space="preserve"> – rizika, kad auditorius pasitikės kontrolės procedūromis, kai kontrolės rizika vertinama mažiau nei maksimumas, kai iš tikrųjų reikšmingas iškraipymas egzistuoja</w:t>
      </w:r>
      <w:r>
        <w:rPr>
          <w:lang w:val="lt-LT"/>
        </w:rPr>
        <w:t xml:space="preserve">; </w:t>
      </w:r>
      <w:r w:rsidRPr="00677CCB">
        <w:rPr>
          <w:lang w:val="lt-LT"/>
        </w:rPr>
        <w:t>R</w:t>
      </w:r>
      <w:r w:rsidRPr="00677CCB">
        <w:rPr>
          <w:vertAlign w:val="subscript"/>
          <w:lang w:val="lt-LT"/>
        </w:rPr>
        <w:t>i</w:t>
      </w:r>
      <w:r w:rsidRPr="00677CCB">
        <w:rPr>
          <w:lang w:val="lt-LT"/>
        </w:rPr>
        <w:t xml:space="preserve"> – rizika, kad reikšmingas iškraipymas nebus rastas atlikus analitines procedūras, kai iš tikrųjų reikšmingas iškraipymas egzistuoja</w:t>
      </w:r>
      <w:r>
        <w:rPr>
          <w:lang w:val="lt-LT"/>
        </w:rPr>
        <w:t xml:space="preserve"> arba tikimybės lygis</w:t>
      </w:r>
      <w:r w:rsidRPr="00677CCB">
        <w:rPr>
          <w:lang w:val="lt-LT"/>
        </w:rPr>
        <w:t xml:space="preserve">, kad reikšmingas iškraipymas nebus rastas atlikus analitines procedūras, </w:t>
      </w:r>
      <w:r>
        <w:rPr>
          <w:lang w:val="lt-LT"/>
        </w:rPr>
        <w:t xml:space="preserve">kai </w:t>
      </w:r>
      <w:r w:rsidRPr="00677CCB">
        <w:rPr>
          <w:lang w:val="lt-LT"/>
        </w:rPr>
        <w:t xml:space="preserve">iš tikrųjų reikšmingas iškraipymas </w:t>
      </w:r>
      <w:r>
        <w:rPr>
          <w:lang w:val="lt-LT"/>
        </w:rPr>
        <w:t>ne</w:t>
      </w:r>
      <w:r w:rsidRPr="00677CCB">
        <w:rPr>
          <w:lang w:val="lt-LT"/>
        </w:rPr>
        <w:t>egzistuoja</w:t>
      </w:r>
      <w:r>
        <w:rPr>
          <w:lang w:val="lt-LT"/>
        </w:rPr>
        <w:t>;</w:t>
      </w:r>
      <w:r w:rsidR="00246AC3">
        <w:rPr>
          <w:lang w:val="lt-LT"/>
        </w:rPr>
        <w:t xml:space="preserve"> </w:t>
      </w:r>
      <w:r w:rsidRPr="00677CCB">
        <w:rPr>
          <w:lang w:val="lt-LT"/>
        </w:rPr>
        <w:t>TD</w:t>
      </w:r>
      <w:r w:rsidRPr="00677CCB">
        <w:rPr>
          <w:vertAlign w:val="subscript"/>
          <w:lang w:val="lt-LT"/>
        </w:rPr>
        <w:t>i</w:t>
      </w:r>
      <w:r w:rsidRPr="00677CCB">
        <w:rPr>
          <w:lang w:val="lt-LT"/>
        </w:rPr>
        <w:t xml:space="preserve"> – rizika, kad reikšmingas iškraipymas nebus rastas atlikus detalius testus ir analitines procedūras, po to kai įgimta ir kontrolės rizikos rodo, kad reikšmingo iškraipymo pasireiškimo tikimybė yra maža, kai iš tikrųjų reikšmingas iškraipymas egzistuoja</w:t>
      </w:r>
      <w:r>
        <w:rPr>
          <w:lang w:val="lt-LT"/>
        </w:rPr>
        <w:t xml:space="preserve"> arba tikimybės lygis</w:t>
      </w:r>
      <w:r w:rsidRPr="00677CCB">
        <w:rPr>
          <w:lang w:val="lt-LT"/>
        </w:rPr>
        <w:t xml:space="preserve">, kad reikšmingas iškraipymas nebus rastas atlikus </w:t>
      </w:r>
      <w:r>
        <w:rPr>
          <w:lang w:val="lt-LT"/>
        </w:rPr>
        <w:t>detalius testus</w:t>
      </w:r>
      <w:r w:rsidRPr="00677CCB">
        <w:rPr>
          <w:lang w:val="lt-LT"/>
        </w:rPr>
        <w:t xml:space="preserve">, </w:t>
      </w:r>
      <w:r>
        <w:rPr>
          <w:lang w:val="lt-LT"/>
        </w:rPr>
        <w:t xml:space="preserve">kai </w:t>
      </w:r>
      <w:r w:rsidRPr="00677CCB">
        <w:rPr>
          <w:lang w:val="lt-LT"/>
        </w:rPr>
        <w:t xml:space="preserve">iš tikrųjų reikšmingas iškraipymas </w:t>
      </w:r>
      <w:r>
        <w:rPr>
          <w:lang w:val="lt-LT"/>
        </w:rPr>
        <w:t>ne</w:t>
      </w:r>
      <w:r w:rsidRPr="00677CCB">
        <w:rPr>
          <w:lang w:val="lt-LT"/>
        </w:rPr>
        <w:t>egzistuoja</w:t>
      </w:r>
      <w:r>
        <w:rPr>
          <w:lang w:val="lt-LT"/>
        </w:rPr>
        <w:t>.</w:t>
      </w:r>
    </w:p>
    <w:p w:rsidR="00091B10" w:rsidRDefault="00091B10" w:rsidP="00677CCB">
      <w:pPr>
        <w:tabs>
          <w:tab w:val="left" w:pos="567"/>
        </w:tabs>
        <w:jc w:val="both"/>
        <w:rPr>
          <w:lang w:val="lt-LT"/>
        </w:rPr>
      </w:pPr>
    </w:p>
    <w:p w:rsidR="00091B10" w:rsidRDefault="00091B10" w:rsidP="00677CCB">
      <w:pPr>
        <w:tabs>
          <w:tab w:val="left" w:pos="567"/>
        </w:tabs>
        <w:jc w:val="both"/>
        <w:rPr>
          <w:lang w:val="lt-LT"/>
        </w:rPr>
      </w:pPr>
    </w:p>
    <w:p w:rsidR="00091B10" w:rsidRPr="00246AC3" w:rsidRDefault="00091B10" w:rsidP="00091B10">
      <w:pPr>
        <w:tabs>
          <w:tab w:val="left" w:pos="567"/>
        </w:tabs>
        <w:jc w:val="right"/>
        <w:rPr>
          <w:b/>
          <w:sz w:val="26"/>
          <w:szCs w:val="26"/>
          <w:lang w:val="lt-LT"/>
        </w:rPr>
      </w:pPr>
      <w:r w:rsidRPr="00246AC3">
        <w:rPr>
          <w:b/>
          <w:sz w:val="26"/>
          <w:szCs w:val="26"/>
          <w:lang w:val="lt-LT"/>
        </w:rPr>
        <w:lastRenderedPageBreak/>
        <w:t>7 PRIEDAS</w:t>
      </w:r>
    </w:p>
    <w:p w:rsidR="00091B10" w:rsidRPr="00246AC3" w:rsidRDefault="00166819" w:rsidP="00091B10">
      <w:pPr>
        <w:tabs>
          <w:tab w:val="left" w:pos="567"/>
        </w:tabs>
        <w:spacing w:line="360" w:lineRule="auto"/>
        <w:jc w:val="center"/>
        <w:rPr>
          <w:sz w:val="26"/>
          <w:szCs w:val="26"/>
        </w:rPr>
      </w:pPr>
      <w:r w:rsidRPr="00166819">
        <w:rPr>
          <w:noProof/>
          <w:sz w:val="24"/>
          <w:szCs w:val="24"/>
          <w:lang w:val="lt-LT"/>
        </w:rPr>
        <w:pict>
          <v:group id="_x0000_s74517" style="position:absolute;left:0;text-align:left;margin-left:7.6pt;margin-top:20.7pt;width:672.5pt;height:243.65pt;z-index:251654656" coordorigin="1445,3000" coordsize="12712,4483">
            <v:rect id="_x0000_s2827" style="position:absolute;left:10701;top:3000;width:909;height:475" filled="f" stroked="f">
              <v:textbox style="mso-next-textbox:#_x0000_s2827">
                <w:txbxContent>
                  <w:p w:rsidR="00BE5795" w:rsidRPr="00AF4456" w:rsidRDefault="00BE5795" w:rsidP="00473D05">
                    <w:pPr>
                      <w:rPr>
                        <w:rFonts w:asciiTheme="majorHAnsi" w:hAnsiTheme="majorHAnsi"/>
                        <w:i/>
                        <w:sz w:val="24"/>
                        <w:szCs w:val="24"/>
                        <w:lang w:val="lt-LT"/>
                      </w:rPr>
                    </w:pPr>
                    <w:r w:rsidRPr="00004C10">
                      <w:rPr>
                        <w:rFonts w:asciiTheme="majorHAnsi" w:hAnsiTheme="majorHAnsi"/>
                        <w:i/>
                        <w:sz w:val="22"/>
                        <w:szCs w:val="22"/>
                        <w:lang w:val="lt-LT"/>
                      </w:rPr>
                      <w:t>TD</w:t>
                    </w:r>
                    <w:r w:rsidRPr="00004C10">
                      <w:rPr>
                        <w:rFonts w:asciiTheme="majorHAnsi" w:hAnsiTheme="majorHAnsi"/>
                        <w:i/>
                        <w:sz w:val="22"/>
                        <w:szCs w:val="22"/>
                        <w:vertAlign w:val="subscript"/>
                        <w:lang w:val="lt-LT"/>
                      </w:rPr>
                      <w:t>111</w:t>
                    </w:r>
                  </w:p>
                </w:txbxContent>
              </v:textbox>
            </v:rect>
            <v:group id="_x0000_s2844" style="position:absolute;left:1445;top:3235;width:12712;height:4248" coordorigin="1105,616" coordsize="12712,4248">
              <v:rect id="_x0000_s2802" style="position:absolute;left:1105;top:2459;width:551;height:475" o:regroupid="23" filled="f">
                <v:textbox style="mso-next-textbox:#_x0000_s2802">
                  <w:txbxContent>
                    <w:p w:rsidR="00BE5795" w:rsidRPr="00C773E2" w:rsidRDefault="00BE5795">
                      <w:pPr>
                        <w:rPr>
                          <w:lang w:val="lt-LT"/>
                        </w:rPr>
                      </w:pPr>
                      <w:r>
                        <w:rPr>
                          <w:lang w:val="lt-LT"/>
                        </w:rPr>
                        <w:t>A</w:t>
                      </w:r>
                    </w:p>
                  </w:txbxContent>
                </v:textbox>
              </v:rect>
              <v:rect id="_x0000_s2803" style="position:absolute;left:2973;top:2459;width:551;height:475" o:regroupid="23" filled="f">
                <v:textbox style="mso-next-textbox:#_x0000_s2803">
                  <w:txbxContent>
                    <w:p w:rsidR="00BE5795" w:rsidRPr="00C773E2" w:rsidRDefault="00BE5795" w:rsidP="00C773E2">
                      <w:pPr>
                        <w:rPr>
                          <w:lang w:val="lt-LT"/>
                        </w:rPr>
                      </w:pPr>
                      <w:r>
                        <w:rPr>
                          <w:lang w:val="lt-LT"/>
                        </w:rPr>
                        <w:t>C</w:t>
                      </w:r>
                    </w:p>
                  </w:txbxContent>
                </v:textbox>
              </v:rect>
              <v:rect id="_x0000_s2804" style="position:absolute;left:9145;top:1007;width:662;height:475" o:regroupid="23" filled="f">
                <v:textbox style="mso-next-textbox:#_x0000_s2804">
                  <w:txbxContent>
                    <w:p w:rsidR="00BE5795" w:rsidRPr="00004C10" w:rsidRDefault="00BE5795" w:rsidP="00B82C81">
                      <w:pPr>
                        <w:jc w:val="center"/>
                        <w:rPr>
                          <w:rFonts w:asciiTheme="majorHAnsi" w:hAnsiTheme="majorHAnsi"/>
                          <w:i/>
                          <w:sz w:val="22"/>
                          <w:szCs w:val="22"/>
                          <w:lang w:val="lt-LT"/>
                        </w:rPr>
                      </w:pPr>
                      <w:r w:rsidRPr="00004C10">
                        <w:rPr>
                          <w:rFonts w:asciiTheme="majorHAnsi" w:hAnsiTheme="majorHAnsi"/>
                          <w:i/>
                          <w:sz w:val="22"/>
                          <w:szCs w:val="22"/>
                          <w:lang w:val="lt-LT"/>
                        </w:rPr>
                        <w:t>LS</w:t>
                      </w:r>
                      <w:r w:rsidRPr="00004C10">
                        <w:rPr>
                          <w:rFonts w:asciiTheme="majorHAnsi" w:hAnsiTheme="majorHAnsi"/>
                          <w:i/>
                          <w:sz w:val="22"/>
                          <w:szCs w:val="22"/>
                          <w:vertAlign w:val="subscript"/>
                          <w:lang w:val="lt-LT"/>
                        </w:rPr>
                        <w:t>1</w:t>
                      </w:r>
                    </w:p>
                  </w:txbxContent>
                </v:textbox>
              </v:rect>
              <v:rect id="_x0000_s2805" style="position:absolute;left:1994;top:2348;width:551;height:475" o:regroupid="23" filled="f" stroked="f">
                <v:textbox style="mso-next-textbox:#_x0000_s2805">
                  <w:txbxContent>
                    <w:p w:rsidR="00BE5795" w:rsidRPr="00004C10" w:rsidRDefault="00BE5795" w:rsidP="00C773E2">
                      <w:pPr>
                        <w:rPr>
                          <w:i/>
                          <w:sz w:val="22"/>
                          <w:szCs w:val="22"/>
                          <w:lang w:val="lt-LT"/>
                        </w:rPr>
                      </w:pPr>
                      <w:r w:rsidRPr="00004C10">
                        <w:rPr>
                          <w:i/>
                          <w:sz w:val="22"/>
                          <w:szCs w:val="22"/>
                          <w:lang w:val="lt-LT"/>
                        </w:rPr>
                        <w:t>IR</w:t>
                      </w:r>
                    </w:p>
                  </w:txbxContent>
                </v:textbox>
              </v:rect>
              <v:rect id="_x0000_s2806" style="position:absolute;left:1570;top:2710;width:1403;height:964" o:regroupid="23" filled="f" stroked="f">
                <v:textbox style="mso-next-textbox:#_x0000_s2806">
                  <w:txbxContent>
                    <w:p w:rsidR="00BE5795" w:rsidRDefault="00BE5795" w:rsidP="00C773E2">
                      <w:pPr>
                        <w:jc w:val="center"/>
                        <w:rPr>
                          <w:lang w:val="lt-LT"/>
                        </w:rPr>
                      </w:pPr>
                      <w:r>
                        <w:rPr>
                          <w:lang w:val="lt-LT"/>
                        </w:rPr>
                        <w:t>Reikšmingas</w:t>
                      </w:r>
                    </w:p>
                    <w:p w:rsidR="00BE5795" w:rsidRDefault="00BE5795" w:rsidP="00C773E2">
                      <w:pPr>
                        <w:jc w:val="center"/>
                        <w:rPr>
                          <w:lang w:val="lt-LT"/>
                        </w:rPr>
                      </w:pPr>
                      <w:r>
                        <w:rPr>
                          <w:lang w:val="lt-LT"/>
                        </w:rPr>
                        <w:t>iškraipymas</w:t>
                      </w:r>
                    </w:p>
                    <w:p w:rsidR="00BE5795" w:rsidRPr="00C773E2" w:rsidRDefault="00BE5795" w:rsidP="00C773E2">
                      <w:pPr>
                        <w:jc w:val="center"/>
                        <w:rPr>
                          <w:lang w:val="lt-LT"/>
                        </w:rPr>
                      </w:pPr>
                      <w:r>
                        <w:rPr>
                          <w:lang w:val="lt-LT"/>
                        </w:rPr>
                        <w:t>egzistuoja</w:t>
                      </w:r>
                    </w:p>
                    <w:p w:rsidR="00BE5795" w:rsidRDefault="00BE5795"/>
                  </w:txbxContent>
                </v:textbox>
              </v:rect>
              <v:rect id="_x0000_s2807" style="position:absolute;left:3599;top:1986;width:2126;height:1152" o:regroupid="23" filled="f" stroked="f">
                <v:textbox style="mso-next-textbox:#_x0000_s2807">
                  <w:txbxContent>
                    <w:p w:rsidR="00BE5795" w:rsidRPr="00C773E2" w:rsidRDefault="00BE5795" w:rsidP="00C773E2">
                      <w:pPr>
                        <w:jc w:val="center"/>
                        <w:rPr>
                          <w:lang w:val="lt-LT"/>
                        </w:rPr>
                      </w:pPr>
                      <w:r>
                        <w:rPr>
                          <w:lang w:val="lt-LT"/>
                        </w:rPr>
                        <w:t>Kontrolės rizika (CR) įvertinta mažesnė nei maksimumas: CR &lt; M</w:t>
                      </w:r>
                    </w:p>
                  </w:txbxContent>
                </v:textbox>
              </v:rect>
              <v:rect id="_x0000_s2808" style="position:absolute;left:4050;top:1609;width:825;height:475" o:regroupid="23" filled="f" stroked="f">
                <v:textbox style="mso-next-textbox:#_x0000_s2808">
                  <w:txbxContent>
                    <w:p w:rsidR="00BE5795" w:rsidRPr="00004C10" w:rsidRDefault="00BE5795" w:rsidP="00C773E2">
                      <w:pPr>
                        <w:rPr>
                          <w:rFonts w:asciiTheme="majorHAnsi" w:hAnsiTheme="majorHAnsi"/>
                          <w:i/>
                          <w:sz w:val="22"/>
                          <w:szCs w:val="22"/>
                          <w:lang w:val="lt-LT"/>
                        </w:rPr>
                      </w:pPr>
                      <w:r w:rsidRPr="00004C10">
                        <w:rPr>
                          <w:rFonts w:asciiTheme="majorHAnsi" w:hAnsiTheme="majorHAnsi"/>
                          <w:i/>
                          <w:sz w:val="22"/>
                          <w:szCs w:val="22"/>
                          <w:lang w:val="lt-LT"/>
                        </w:rPr>
                        <w:t>IC</w:t>
                      </w:r>
                      <w:r w:rsidRPr="00004C10">
                        <w:rPr>
                          <w:rFonts w:asciiTheme="majorHAnsi" w:hAnsiTheme="majorHAnsi"/>
                          <w:i/>
                          <w:sz w:val="22"/>
                          <w:szCs w:val="22"/>
                          <w:vertAlign w:val="subscript"/>
                          <w:lang w:val="lt-LT"/>
                        </w:rPr>
                        <w:t>1</w:t>
                      </w:r>
                    </w:p>
                  </w:txbxContent>
                </v:textbox>
              </v:rect>
              <v:rect id="_x0000_s2809" style="position:absolute;left:5725;top:1609;width:1266;height:739" o:regroupid="23" filled="f">
                <v:textbox style="mso-next-textbox:#_x0000_s2809">
                  <w:txbxContent>
                    <w:p w:rsidR="00BE5795" w:rsidRDefault="00BE5795" w:rsidP="00B82C81">
                      <w:pPr>
                        <w:jc w:val="center"/>
                        <w:rPr>
                          <w:lang w:val="lt-LT"/>
                        </w:rPr>
                      </w:pPr>
                      <w:r>
                        <w:rPr>
                          <w:lang w:val="lt-LT"/>
                        </w:rPr>
                        <w:t>Analitinės procedūros</w:t>
                      </w:r>
                    </w:p>
                    <w:p w:rsidR="00BE5795" w:rsidRPr="00C773E2" w:rsidRDefault="00BE5795" w:rsidP="00B82C81">
                      <w:pPr>
                        <w:jc w:val="center"/>
                        <w:rPr>
                          <w:lang w:val="lt-LT"/>
                        </w:rPr>
                      </w:pPr>
                    </w:p>
                  </w:txbxContent>
                </v:textbox>
              </v:rect>
              <v:rect id="_x0000_s2810" style="position:absolute;left:6991;top:1261;width:2225;height:636" o:regroupid="23" filled="f" stroked="f">
                <v:textbox style="mso-next-textbox:#_x0000_s2810">
                  <w:txbxContent>
                    <w:p w:rsidR="00BE5795" w:rsidRDefault="00BE5795" w:rsidP="00B82C81">
                      <w:pPr>
                        <w:jc w:val="center"/>
                        <w:rPr>
                          <w:lang w:val="lt-LT"/>
                        </w:rPr>
                      </w:pPr>
                      <w:r>
                        <w:rPr>
                          <w:lang w:val="lt-LT"/>
                        </w:rPr>
                        <w:t xml:space="preserve">(Iškraipymo </w:t>
                      </w:r>
                    </w:p>
                    <w:p w:rsidR="00BE5795" w:rsidRPr="00C773E2" w:rsidRDefault="00BE5795" w:rsidP="00B82C81">
                      <w:pPr>
                        <w:jc w:val="center"/>
                        <w:rPr>
                          <w:lang w:val="lt-LT"/>
                        </w:rPr>
                      </w:pPr>
                      <w:r>
                        <w:rPr>
                          <w:lang w:val="lt-LT"/>
                        </w:rPr>
                        <w:t>galimybė – nesiūloma)</w:t>
                      </w:r>
                    </w:p>
                  </w:txbxContent>
                </v:textbox>
              </v:rect>
              <v:rect id="_x0000_s2811" style="position:absolute;left:7492;top:856;width:671;height:475" o:regroupid="23" filled="f" stroked="f">
                <v:textbox style="mso-next-textbox:#_x0000_s2811">
                  <w:txbxContent>
                    <w:p w:rsidR="00BE5795" w:rsidRPr="00004C10" w:rsidRDefault="00BE5795" w:rsidP="00B82C81">
                      <w:pPr>
                        <w:rPr>
                          <w:rFonts w:asciiTheme="majorHAnsi" w:hAnsiTheme="majorHAnsi"/>
                          <w:i/>
                          <w:sz w:val="22"/>
                          <w:szCs w:val="22"/>
                          <w:lang w:val="lt-LT"/>
                        </w:rPr>
                      </w:pPr>
                      <w:r w:rsidRPr="00004C10">
                        <w:rPr>
                          <w:rFonts w:asciiTheme="majorHAnsi" w:hAnsiTheme="majorHAnsi"/>
                          <w:i/>
                          <w:sz w:val="22"/>
                          <w:szCs w:val="22"/>
                          <w:lang w:val="lt-LT"/>
                        </w:rPr>
                        <w:t>R</w:t>
                      </w:r>
                      <w:r w:rsidRPr="00004C10">
                        <w:rPr>
                          <w:rFonts w:asciiTheme="majorHAnsi" w:hAnsiTheme="majorHAnsi"/>
                          <w:i/>
                          <w:sz w:val="22"/>
                          <w:szCs w:val="22"/>
                          <w:vertAlign w:val="subscript"/>
                          <w:lang w:val="lt-LT"/>
                        </w:rPr>
                        <w:t>11</w:t>
                      </w:r>
                    </w:p>
                  </w:txbxContent>
                </v:textbox>
              </v:rect>
              <v:rect id="_x0000_s2812" style="position:absolute;left:7649;top:2348;width:671;height:475" o:regroupid="23" filled="f" stroked="f">
                <v:textbox style="mso-next-textbox:#_x0000_s2812">
                  <w:txbxContent>
                    <w:p w:rsidR="00BE5795" w:rsidRPr="00004C10" w:rsidRDefault="00166819" w:rsidP="00B82C81">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R</m:t>
                                  </m:r>
                                </m:e>
                                <m:sub>
                                  <m:r>
                                    <w:rPr>
                                      <w:rFonts w:ascii="Cambria Math"/>
                                      <w:sz w:val="22"/>
                                      <w:szCs w:val="22"/>
                                      <w:lang w:val="lt-LT"/>
                                    </w:rPr>
                                    <m:t>11</m:t>
                                  </m:r>
                                </m:sub>
                              </m:sSub>
                            </m:e>
                          </m:acc>
                        </m:oMath>
                      </m:oMathPara>
                    </w:p>
                  </w:txbxContent>
                </v:textbox>
              </v:rect>
              <v:shape id="_x0000_s2814" type="#_x0000_t32" style="position:absolute;left:1656;top:2710;width:1317;height:0" o:connectortype="straight"/>
              <v:shape id="_x0000_s2815" type="#_x0000_t32" style="position:absolute;left:3524;top:2710;width:161;height:0" o:connectortype="straight"/>
              <v:shape id="_x0000_s2816" type="#_x0000_t32" style="position:absolute;left:3685;top:1986;width:1;height:1933;flip:x" o:connectortype="straight"/>
              <v:shape id="_x0000_s2817" type="#_x0000_t32" style="position:absolute;left:3685;top:1986;width:2040;height:0" o:connectortype="straight"/>
              <v:shape id="_x0000_s2818" type="#_x0000_t32" style="position:absolute;left:6991;top:1986;width:125;height:0" o:connectortype="straight"/>
              <v:shape id="_x0000_s2819" type="#_x0000_t32" style="position:absolute;left:7116;top:1261;width:0;height:1562" o:connectortype="straight"/>
              <v:shape id="_x0000_s2820" type="#_x0000_t32" style="position:absolute;left:7116;top:1261;width:2029;height:0" o:connectortype="straight"/>
              <v:shape id="_x0000_s2821" type="#_x0000_t32" style="position:absolute;left:7116;top:2823;width:4916;height:0" o:connectortype="straight"/>
              <v:rect id="_x0000_s2822" style="position:absolute;left:6991;top:2823;width:2225;height:721" filled="f" stroked="f">
                <v:textbox style="mso-next-textbox:#_x0000_s2822">
                  <w:txbxContent>
                    <w:p w:rsidR="00BE5795" w:rsidRDefault="00BE5795" w:rsidP="0020436A">
                      <w:pPr>
                        <w:jc w:val="center"/>
                        <w:rPr>
                          <w:lang w:val="lt-LT"/>
                        </w:rPr>
                      </w:pPr>
                      <w:r>
                        <w:rPr>
                          <w:lang w:val="lt-LT"/>
                        </w:rPr>
                        <w:t xml:space="preserve">(Iškraipymo </w:t>
                      </w:r>
                    </w:p>
                    <w:p w:rsidR="00BE5795" w:rsidRPr="00C773E2" w:rsidRDefault="00BE5795" w:rsidP="0020436A">
                      <w:pPr>
                        <w:jc w:val="center"/>
                        <w:rPr>
                          <w:lang w:val="lt-LT"/>
                        </w:rPr>
                      </w:pPr>
                      <w:r>
                        <w:rPr>
                          <w:lang w:val="lt-LT"/>
                        </w:rPr>
                        <w:t>galimybė – siūloma)</w:t>
                      </w:r>
                    </w:p>
                  </w:txbxContent>
                </v:textbox>
              </v:rect>
              <v:rect id="_x0000_s2823" style="position:absolute;left:9807;top:789;width:2225;height:561" filled="f" stroked="f">
                <v:textbox style="mso-next-textbox:#_x0000_s2823">
                  <w:txbxContent>
                    <w:p w:rsidR="00BE5795" w:rsidRPr="00C773E2" w:rsidRDefault="00BE5795" w:rsidP="00473D05">
                      <w:pPr>
                        <w:jc w:val="center"/>
                        <w:rPr>
                          <w:lang w:val="lt-LT"/>
                        </w:rPr>
                      </w:pPr>
                      <w:r>
                        <w:rPr>
                          <w:lang w:val="lt-LT"/>
                        </w:rPr>
                        <w:t>Iškraipymas nerastas</w:t>
                      </w:r>
                    </w:p>
                  </w:txbxContent>
                </v:textbox>
              </v:rect>
              <v:shape id="_x0000_s2824" type="#_x0000_t32" style="position:absolute;left:9807;top:1261;width:153;height:0" o:connectortype="straight"/>
              <v:shape id="_x0000_s2825" type="#_x0000_t32" style="position:absolute;left:9960;top:789;width:0;height:939" o:connectortype="straight"/>
              <v:shape id="_x0000_s2826" type="#_x0000_t32" style="position:absolute;left:9960;top:789;width:1986;height:0" o:connectortype="straight"/>
              <v:shape id="_x0000_s2828" type="#_x0000_t32" style="position:absolute;left:9960;top:1728;width:1986;height:0" o:connectortype="straight"/>
              <v:rect id="_x0000_s2829" style="position:absolute;left:9807;top:1728;width:2225;height:561" filled="f" stroked="f">
                <v:textbox style="mso-next-textbox:#_x0000_s2829">
                  <w:txbxContent>
                    <w:p w:rsidR="00BE5795" w:rsidRPr="00C773E2" w:rsidRDefault="00BE5795" w:rsidP="00473D05">
                      <w:pPr>
                        <w:jc w:val="center"/>
                        <w:rPr>
                          <w:lang w:val="lt-LT"/>
                        </w:rPr>
                      </w:pPr>
                      <w:r>
                        <w:rPr>
                          <w:lang w:val="lt-LT"/>
                        </w:rPr>
                        <w:t>Iškraipymas surastas</w:t>
                      </w:r>
                    </w:p>
                  </w:txbxContent>
                </v:textbox>
              </v:rect>
              <v:rect id="_x0000_s2830" style="position:absolute;left:10361;top:1350;width:789;height:475" filled="f" stroked="f">
                <v:textbox style="mso-next-textbox:#_x0000_s2830">
                  <w:txbxContent>
                    <w:p w:rsidR="00BE5795" w:rsidRPr="00004C10" w:rsidRDefault="00166819" w:rsidP="00473D05">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TD</m:t>
                                  </m:r>
                                </m:e>
                                <m:sub>
                                  <m:r>
                                    <w:rPr>
                                      <w:rFonts w:ascii="Cambria Math"/>
                                      <w:sz w:val="22"/>
                                      <w:szCs w:val="22"/>
                                      <w:lang w:val="lt-LT"/>
                                    </w:rPr>
                                    <m:t>111</m:t>
                                  </m:r>
                                </m:sub>
                              </m:sSub>
                            </m:e>
                          </m:acc>
                        </m:oMath>
                      </m:oMathPara>
                    </w:p>
                  </w:txbxContent>
                </v:textbox>
              </v:rect>
              <v:rect id="_x0000_s2833" style="position:absolute;left:12100;top:616;width:1123;height:475" filled="f" stroked="f">
                <v:textbox style="mso-next-textbox:#_x0000_s2833">
                  <w:txbxContent>
                    <w:p w:rsidR="00BE5795" w:rsidRPr="00004C10" w:rsidRDefault="00BE5795" w:rsidP="007D709B">
                      <w:pPr>
                        <w:rPr>
                          <w:rFonts w:asciiTheme="majorHAnsi" w:hAnsiTheme="majorHAnsi"/>
                          <w:i/>
                          <w:sz w:val="22"/>
                          <w:szCs w:val="22"/>
                          <w:lang w:val="lt-LT"/>
                        </w:rPr>
                      </w:pPr>
                      <w:r w:rsidRPr="00004C10">
                        <w:rPr>
                          <w:rFonts w:asciiTheme="majorHAnsi" w:hAnsiTheme="majorHAnsi"/>
                          <w:sz w:val="22"/>
                          <w:szCs w:val="22"/>
                          <w:lang w:val="lt-LT"/>
                        </w:rPr>
                        <w:t>[</w:t>
                      </w:r>
                      <w:r w:rsidRPr="00004C10">
                        <w:rPr>
                          <w:rFonts w:asciiTheme="majorHAnsi" w:hAnsiTheme="majorHAnsi"/>
                          <w:i/>
                          <w:sz w:val="22"/>
                          <w:szCs w:val="22"/>
                          <w:lang w:val="lt-LT"/>
                        </w:rPr>
                        <w:t xml:space="preserve"> (IA</w:t>
                      </w:r>
                      <w:r w:rsidRPr="00004C10">
                        <w:rPr>
                          <w:rFonts w:asciiTheme="majorHAnsi" w:hAnsiTheme="majorHAnsi"/>
                          <w:i/>
                          <w:sz w:val="22"/>
                          <w:szCs w:val="22"/>
                          <w:vertAlign w:val="subscript"/>
                          <w:lang w:val="lt-LT"/>
                        </w:rPr>
                        <w:t xml:space="preserve">1 </w:t>
                      </w:r>
                      <w:r w:rsidRPr="00004C10">
                        <w:rPr>
                          <w:rFonts w:asciiTheme="majorHAnsi" w:hAnsiTheme="majorHAnsi"/>
                          <w:i/>
                          <w:sz w:val="22"/>
                          <w:szCs w:val="22"/>
                          <w:lang w:val="lt-LT"/>
                        </w:rPr>
                        <w:t>)</w:t>
                      </w:r>
                      <w:r w:rsidRPr="00004C10">
                        <w:rPr>
                          <w:rFonts w:asciiTheme="majorHAnsi" w:hAnsiTheme="majorHAnsi"/>
                          <w:sz w:val="22"/>
                          <w:szCs w:val="22"/>
                          <w:lang w:val="lt-LT"/>
                        </w:rPr>
                        <w:t xml:space="preserve"> ]</w:t>
                      </w:r>
                    </w:p>
                  </w:txbxContent>
                </v:textbox>
              </v:rect>
              <v:rect id="_x0000_s2834" style="position:absolute;left:12202;top:1609;width:1209;height:475" filled="f" stroked="f">
                <v:textbox style="mso-next-textbox:#_x0000_s2834">
                  <w:txbxContent>
                    <w:p w:rsidR="00BE5795" w:rsidRPr="00004C10" w:rsidRDefault="00BE5795" w:rsidP="007D709B">
                      <w:pPr>
                        <w:rPr>
                          <w:rFonts w:asciiTheme="majorHAnsi" w:hAnsiTheme="majorHAnsi"/>
                          <w:i/>
                          <w:sz w:val="22"/>
                          <w:szCs w:val="22"/>
                          <w:lang w:val="lt-LT"/>
                        </w:rPr>
                      </w:pPr>
                      <w:r w:rsidRPr="00004C10">
                        <w:rPr>
                          <w:rFonts w:asciiTheme="majorHAnsi" w:hAnsiTheme="majorHAnsi"/>
                          <w:sz w:val="22"/>
                          <w:szCs w:val="22"/>
                          <w:lang w:val="lt-LT"/>
                        </w:rPr>
                        <w:t>[</w:t>
                      </w:r>
                      <w:r w:rsidRPr="00004C10">
                        <w:rPr>
                          <w:rFonts w:asciiTheme="majorHAnsi" w:hAnsiTheme="majorHAnsi"/>
                          <w:i/>
                          <w:sz w:val="22"/>
                          <w:szCs w:val="22"/>
                          <w:lang w:val="lt-LT"/>
                        </w:rPr>
                        <w:t xml:space="preserve"> (CR</w:t>
                      </w:r>
                      <w:r w:rsidRPr="00004C10">
                        <w:rPr>
                          <w:rFonts w:asciiTheme="majorHAnsi" w:hAnsiTheme="majorHAnsi"/>
                          <w:i/>
                          <w:sz w:val="22"/>
                          <w:szCs w:val="22"/>
                          <w:vertAlign w:val="subscript"/>
                          <w:lang w:val="lt-LT"/>
                        </w:rPr>
                        <w:t xml:space="preserve">1 </w:t>
                      </w:r>
                      <w:r w:rsidRPr="00004C10">
                        <w:rPr>
                          <w:rFonts w:asciiTheme="majorHAnsi" w:hAnsiTheme="majorHAnsi"/>
                          <w:i/>
                          <w:sz w:val="22"/>
                          <w:szCs w:val="22"/>
                          <w:lang w:val="lt-LT"/>
                        </w:rPr>
                        <w:t>)</w:t>
                      </w:r>
                      <w:r w:rsidRPr="00004C10">
                        <w:rPr>
                          <w:rFonts w:asciiTheme="majorHAnsi" w:hAnsiTheme="majorHAnsi"/>
                          <w:sz w:val="22"/>
                          <w:szCs w:val="22"/>
                          <w:lang w:val="lt-LT"/>
                        </w:rPr>
                        <w:t xml:space="preserve"> ]</w:t>
                      </w:r>
                    </w:p>
                  </w:txbxContent>
                </v:textbox>
              </v:rect>
              <v:rect id="_x0000_s2835" style="position:absolute;left:12342;top:2564;width:1209;height:475" filled="f" stroked="f">
                <v:textbox style="mso-next-textbox:#_x0000_s2835">
                  <w:txbxContent>
                    <w:p w:rsidR="00BE5795" w:rsidRPr="00004C10" w:rsidRDefault="00BE5795" w:rsidP="007D709B">
                      <w:pPr>
                        <w:rPr>
                          <w:rFonts w:asciiTheme="majorHAnsi" w:hAnsiTheme="majorHAnsi"/>
                          <w:i/>
                          <w:sz w:val="22"/>
                          <w:szCs w:val="22"/>
                          <w:lang w:val="lt-LT"/>
                        </w:rPr>
                      </w:pPr>
                      <w:r w:rsidRPr="00004C10">
                        <w:rPr>
                          <w:rFonts w:asciiTheme="majorHAnsi" w:hAnsiTheme="majorHAnsi"/>
                          <w:sz w:val="22"/>
                          <w:szCs w:val="22"/>
                          <w:lang w:val="lt-LT"/>
                        </w:rPr>
                        <w:t>[</w:t>
                      </w:r>
                      <w:r w:rsidRPr="00004C10">
                        <w:rPr>
                          <w:rFonts w:asciiTheme="majorHAnsi" w:hAnsiTheme="majorHAnsi"/>
                          <w:i/>
                          <w:sz w:val="22"/>
                          <w:szCs w:val="22"/>
                          <w:lang w:val="lt-LT"/>
                        </w:rPr>
                        <w:t xml:space="preserve"> (CR</w:t>
                      </w:r>
                      <w:r w:rsidRPr="00004C10">
                        <w:rPr>
                          <w:rFonts w:asciiTheme="majorHAnsi" w:hAnsiTheme="majorHAnsi"/>
                          <w:i/>
                          <w:sz w:val="22"/>
                          <w:szCs w:val="22"/>
                          <w:vertAlign w:val="subscript"/>
                          <w:lang w:val="lt-LT"/>
                        </w:rPr>
                        <w:t xml:space="preserve">2 </w:t>
                      </w:r>
                      <w:r w:rsidRPr="00004C10">
                        <w:rPr>
                          <w:rFonts w:asciiTheme="majorHAnsi" w:hAnsiTheme="majorHAnsi"/>
                          <w:i/>
                          <w:sz w:val="22"/>
                          <w:szCs w:val="22"/>
                          <w:lang w:val="lt-LT"/>
                        </w:rPr>
                        <w:t>)</w:t>
                      </w:r>
                      <w:r w:rsidRPr="00004C10">
                        <w:rPr>
                          <w:rFonts w:asciiTheme="majorHAnsi" w:hAnsiTheme="majorHAnsi"/>
                          <w:sz w:val="22"/>
                          <w:szCs w:val="22"/>
                          <w:lang w:val="lt-LT"/>
                        </w:rPr>
                        <w:t xml:space="preserve"> ]</w:t>
                      </w:r>
                    </w:p>
                  </w:txbxContent>
                </v:textbox>
              </v:rect>
              <v:shape id="_x0000_s2836" type="#_x0000_t32" style="position:absolute;left:3686;top:3919;width:8414;height:0" o:connectortype="straight"/>
              <v:rect id="_x0000_s2837" style="position:absolute;left:3952;top:3544;width:671;height:475" filled="f" stroked="f">
                <v:textbox style="mso-next-textbox:#_x0000_s2837">
                  <w:txbxContent>
                    <w:p w:rsidR="00BE5795" w:rsidRPr="00004C10" w:rsidRDefault="00166819" w:rsidP="007D709B">
                      <w:pPr>
                        <w:rPr>
                          <w:sz w:val="22"/>
                          <w:szCs w:val="22"/>
                          <w:lang w:val="lt-LT"/>
                        </w:rPr>
                      </w:pPr>
                      <m:oMathPara>
                        <m:oMath>
                          <m:acc>
                            <m:accPr>
                              <m:chr m:val="̅"/>
                              <m:ctrlPr>
                                <w:rPr>
                                  <w:rFonts w:ascii="Cambria Math" w:hAnsi="Cambria Math"/>
                                  <w:i/>
                                  <w:sz w:val="22"/>
                                  <w:szCs w:val="22"/>
                                  <w:lang w:val="lt-LT"/>
                                </w:rPr>
                              </m:ctrlPr>
                            </m:accPr>
                            <m:e>
                              <m:sSub>
                                <m:sSubPr>
                                  <m:ctrlPr>
                                    <w:rPr>
                                      <w:rFonts w:ascii="Cambria Math" w:hAnsi="Cambria Math"/>
                                      <w:i/>
                                      <w:sz w:val="22"/>
                                      <w:szCs w:val="22"/>
                                      <w:lang w:val="lt-LT"/>
                                    </w:rPr>
                                  </m:ctrlPr>
                                </m:sSubPr>
                                <m:e>
                                  <m:r>
                                    <w:rPr>
                                      <w:rFonts w:ascii="Cambria Math" w:hAnsi="Cambria Math"/>
                                      <w:sz w:val="22"/>
                                      <w:szCs w:val="22"/>
                                      <w:lang w:val="lt-LT"/>
                                    </w:rPr>
                                    <m:t>IC</m:t>
                                  </m:r>
                                </m:e>
                                <m:sub>
                                  <m:r>
                                    <w:rPr>
                                      <w:rFonts w:ascii="Cambria Math"/>
                                      <w:sz w:val="22"/>
                                      <w:szCs w:val="22"/>
                                      <w:lang w:val="lt-LT"/>
                                    </w:rPr>
                                    <m:t>1</m:t>
                                  </m:r>
                                </m:sub>
                              </m:sSub>
                            </m:e>
                          </m:acc>
                        </m:oMath>
                      </m:oMathPara>
                    </w:p>
                  </w:txbxContent>
                </v:textbox>
              </v:rect>
              <v:rect id="_x0000_s2838" style="position:absolute;left:3823;top:3919;width:2126;height:388" filled="f" stroked="f">
                <v:textbox style="mso-next-textbox:#_x0000_s2838">
                  <w:txbxContent>
                    <w:p w:rsidR="00BE5795" w:rsidRPr="00E100E8" w:rsidRDefault="00BE5795" w:rsidP="007D709B">
                      <w:pPr>
                        <w:rPr>
                          <w:lang w:val="ru-RU"/>
                        </w:rPr>
                      </w:pPr>
                      <w:r>
                        <w:rPr>
                          <w:lang w:val="ru-RU"/>
                        </w:rPr>
                        <w:t xml:space="preserve">( </w:t>
                      </w:r>
                      <w:r>
                        <w:rPr>
                          <w:lang w:val="lt-LT"/>
                        </w:rPr>
                        <w:t xml:space="preserve">CR </w:t>
                      </w:r>
                      <w:r>
                        <w:rPr>
                          <w:lang w:val="ru-RU"/>
                        </w:rPr>
                        <w:t>=</w:t>
                      </w:r>
                      <w:r>
                        <w:rPr>
                          <w:lang w:val="lt-LT"/>
                        </w:rPr>
                        <w:t xml:space="preserve"> M</w:t>
                      </w:r>
                      <w:r>
                        <w:rPr>
                          <w:lang w:val="ru-RU"/>
                        </w:rPr>
                        <w:t xml:space="preserve"> )</w:t>
                      </w:r>
                    </w:p>
                  </w:txbxContent>
                </v:textbox>
              </v:rect>
              <v:rect id="_x0000_s2839" style="position:absolute;left:12519;top:3674;width:1209;height:475" filled="f" stroked="f">
                <v:textbox style="mso-next-textbox:#_x0000_s2839">
                  <w:txbxContent>
                    <w:p w:rsidR="00BE5795" w:rsidRPr="00004C10" w:rsidRDefault="00BE5795" w:rsidP="00E100E8">
                      <w:pPr>
                        <w:rPr>
                          <w:rFonts w:asciiTheme="majorHAnsi" w:hAnsiTheme="majorHAnsi"/>
                          <w:i/>
                          <w:sz w:val="22"/>
                          <w:szCs w:val="22"/>
                          <w:lang w:val="lt-LT"/>
                        </w:rPr>
                      </w:pPr>
                      <w:r w:rsidRPr="00004C10">
                        <w:rPr>
                          <w:rFonts w:asciiTheme="majorHAnsi" w:hAnsiTheme="majorHAnsi"/>
                          <w:sz w:val="22"/>
                          <w:szCs w:val="22"/>
                          <w:lang w:val="lt-LT"/>
                        </w:rPr>
                        <w:t>[</w:t>
                      </w:r>
                      <w:r w:rsidRPr="00004C10">
                        <w:rPr>
                          <w:rFonts w:asciiTheme="majorHAnsi" w:hAnsiTheme="majorHAnsi"/>
                          <w:i/>
                          <w:sz w:val="22"/>
                          <w:szCs w:val="22"/>
                          <w:lang w:val="lt-LT"/>
                        </w:rPr>
                        <w:t xml:space="preserve"> (CR</w:t>
                      </w:r>
                      <w:r w:rsidRPr="00004C10">
                        <w:rPr>
                          <w:rFonts w:asciiTheme="majorHAnsi" w:hAnsiTheme="majorHAnsi"/>
                          <w:i/>
                          <w:sz w:val="22"/>
                          <w:szCs w:val="22"/>
                          <w:vertAlign w:val="subscript"/>
                          <w:lang w:val="lt-LT"/>
                        </w:rPr>
                        <w:t xml:space="preserve"> </w:t>
                      </w:r>
                      <w:r w:rsidRPr="00004C10">
                        <w:rPr>
                          <w:rFonts w:asciiTheme="majorHAnsi" w:hAnsiTheme="majorHAnsi"/>
                          <w:i/>
                          <w:sz w:val="22"/>
                          <w:szCs w:val="22"/>
                          <w:lang w:val="lt-LT"/>
                        </w:rPr>
                        <w:t>)</w:t>
                      </w:r>
                      <w:r w:rsidRPr="00004C10">
                        <w:rPr>
                          <w:rFonts w:asciiTheme="majorHAnsi" w:hAnsiTheme="majorHAnsi"/>
                          <w:sz w:val="22"/>
                          <w:szCs w:val="22"/>
                          <w:lang w:val="lt-LT"/>
                        </w:rPr>
                        <w:t xml:space="preserve"> ]</w:t>
                      </w:r>
                    </w:p>
                  </w:txbxContent>
                </v:textbox>
              </v:rect>
              <v:shape id="_x0000_s2840" type="#_x0000_t32" style="position:absolute;left:1365;top:2934;width:0;height:1724" o:connectortype="straight"/>
              <v:shape id="_x0000_s2841" type="#_x0000_t32" style="position:absolute;left:1365;top:4658;width:10735;height:0" o:connectortype="straight"/>
              <v:rect id="_x0000_s2842" style="position:absolute;left:1824;top:4307;width:981;height:475" filled="f" stroked="f">
                <v:textbox style="mso-next-textbox:#_x0000_s2842">
                  <w:txbxContent>
                    <w:p w:rsidR="00BE5795" w:rsidRPr="00004C10" w:rsidRDefault="00166819" w:rsidP="00E100E8">
                      <w:pPr>
                        <w:rPr>
                          <w:sz w:val="22"/>
                          <w:szCs w:val="22"/>
                          <w:lang w:val="lt-LT"/>
                        </w:rPr>
                      </w:pPr>
                      <m:oMathPara>
                        <m:oMath>
                          <m:acc>
                            <m:accPr>
                              <m:chr m:val="̅"/>
                              <m:ctrlPr>
                                <w:rPr>
                                  <w:rFonts w:ascii="Cambria Math" w:hAnsi="Cambria Math"/>
                                  <w:i/>
                                  <w:sz w:val="22"/>
                                  <w:szCs w:val="22"/>
                                  <w:lang w:val="lt-LT"/>
                                </w:rPr>
                              </m:ctrlPr>
                            </m:accPr>
                            <m:e>
                              <m:r>
                                <w:rPr>
                                  <w:rFonts w:ascii="Cambria Math"/>
                                  <w:sz w:val="22"/>
                                  <w:szCs w:val="22"/>
                                  <w:lang w:val="lt-LT"/>
                                </w:rPr>
                                <m:t>IR</m:t>
                              </m:r>
                            </m:e>
                          </m:acc>
                        </m:oMath>
                      </m:oMathPara>
                    </w:p>
                  </w:txbxContent>
                </v:textbox>
              </v:rect>
              <v:rect id="_x0000_s2843" style="position:absolute;left:12608;top:4389;width:1209;height:475" filled="f" stroked="f">
                <v:textbox style="mso-next-textbox:#_x0000_s2843">
                  <w:txbxContent>
                    <w:p w:rsidR="00BE5795" w:rsidRPr="00004C10" w:rsidRDefault="00BE5795" w:rsidP="00E100E8">
                      <w:pPr>
                        <w:rPr>
                          <w:rFonts w:asciiTheme="majorHAnsi" w:hAnsiTheme="majorHAnsi"/>
                          <w:i/>
                          <w:sz w:val="22"/>
                          <w:szCs w:val="22"/>
                          <w:lang w:val="lt-LT"/>
                        </w:rPr>
                      </w:pPr>
                      <w:r w:rsidRPr="00004C10">
                        <w:rPr>
                          <w:rFonts w:asciiTheme="majorHAnsi" w:hAnsiTheme="majorHAnsi"/>
                          <w:sz w:val="22"/>
                          <w:szCs w:val="22"/>
                          <w:lang w:val="lt-LT"/>
                        </w:rPr>
                        <w:t>[</w:t>
                      </w:r>
                      <w:r w:rsidRPr="00004C10">
                        <w:rPr>
                          <w:rFonts w:asciiTheme="majorHAnsi" w:hAnsiTheme="majorHAnsi"/>
                          <w:i/>
                          <w:sz w:val="22"/>
                          <w:szCs w:val="22"/>
                          <w:lang w:val="lt-LT"/>
                        </w:rPr>
                        <w:t xml:space="preserve"> (CA</w:t>
                      </w:r>
                      <w:r w:rsidRPr="00004C10">
                        <w:rPr>
                          <w:rFonts w:asciiTheme="majorHAnsi" w:hAnsiTheme="majorHAnsi"/>
                          <w:i/>
                          <w:sz w:val="22"/>
                          <w:szCs w:val="22"/>
                          <w:vertAlign w:val="subscript"/>
                          <w:lang w:val="lt-LT"/>
                        </w:rPr>
                        <w:t xml:space="preserve"> </w:t>
                      </w:r>
                      <w:r w:rsidRPr="00004C10">
                        <w:rPr>
                          <w:rFonts w:asciiTheme="majorHAnsi" w:hAnsiTheme="majorHAnsi"/>
                          <w:i/>
                          <w:sz w:val="22"/>
                          <w:szCs w:val="22"/>
                          <w:lang w:val="lt-LT"/>
                        </w:rPr>
                        <w:t>)</w:t>
                      </w:r>
                      <w:r w:rsidRPr="00004C10">
                        <w:rPr>
                          <w:rFonts w:asciiTheme="majorHAnsi" w:hAnsiTheme="majorHAnsi"/>
                          <w:sz w:val="22"/>
                          <w:szCs w:val="22"/>
                          <w:lang w:val="lt-LT"/>
                        </w:rPr>
                        <w:t xml:space="preserve"> ]</w:t>
                      </w:r>
                    </w:p>
                  </w:txbxContent>
                </v:textbox>
              </v:rect>
            </v:group>
          </v:group>
        </w:pict>
      </w:r>
      <w:r w:rsidR="00091B10" w:rsidRPr="00246AC3">
        <w:rPr>
          <w:b/>
          <w:caps/>
          <w:sz w:val="26"/>
          <w:szCs w:val="26"/>
          <w:lang w:val="lt-LT"/>
        </w:rPr>
        <w:t>Aldersley (1989) audito rizikos modeli</w:t>
      </w:r>
      <w:r w:rsidR="00246AC3">
        <w:rPr>
          <w:b/>
          <w:caps/>
          <w:sz w:val="26"/>
          <w:szCs w:val="26"/>
          <w:lang w:val="lt-LT"/>
        </w:rPr>
        <w:t>s</w:t>
      </w:r>
    </w:p>
    <w:p w:rsidR="00091B10" w:rsidRPr="00335006" w:rsidRDefault="00091B10" w:rsidP="00091B10">
      <w:pPr>
        <w:tabs>
          <w:tab w:val="left" w:pos="567"/>
        </w:tabs>
        <w:jc w:val="right"/>
        <w:rPr>
          <w:b/>
          <w:sz w:val="24"/>
          <w:szCs w:val="24"/>
          <w:lang w:val="lt-LT"/>
        </w:rPr>
      </w:pPr>
    </w:p>
    <w:p w:rsidR="00D1254E" w:rsidRPr="00335006" w:rsidRDefault="00D1254E">
      <w:pPr>
        <w:tabs>
          <w:tab w:val="left" w:pos="567"/>
        </w:tabs>
        <w:jc w:val="both"/>
        <w:rPr>
          <w:b/>
          <w:sz w:val="24"/>
          <w:szCs w:val="24"/>
          <w:lang w:val="lt-LT"/>
        </w:rPr>
      </w:pPr>
    </w:p>
    <w:p w:rsidR="00D1254E" w:rsidRDefault="00D1254E">
      <w:pPr>
        <w:tabs>
          <w:tab w:val="left" w:pos="567"/>
        </w:tabs>
        <w:jc w:val="both"/>
        <w:rPr>
          <w:sz w:val="24"/>
          <w:szCs w:val="24"/>
          <w:lang w:val="lt-LT"/>
        </w:rPr>
      </w:pPr>
    </w:p>
    <w:p w:rsidR="00144D25" w:rsidRDefault="00144D25">
      <w:pPr>
        <w:tabs>
          <w:tab w:val="left" w:pos="567"/>
        </w:tabs>
        <w:jc w:val="both"/>
        <w:rPr>
          <w:sz w:val="24"/>
          <w:szCs w:val="24"/>
          <w:lang w:val="lt-LT"/>
        </w:rPr>
      </w:pPr>
    </w:p>
    <w:p w:rsidR="00144D25" w:rsidRDefault="00144D25">
      <w:pPr>
        <w:tabs>
          <w:tab w:val="left" w:pos="567"/>
        </w:tabs>
        <w:jc w:val="both"/>
        <w:rPr>
          <w:sz w:val="24"/>
          <w:szCs w:val="24"/>
          <w:lang w:val="lt-LT"/>
        </w:rPr>
      </w:pPr>
    </w:p>
    <w:p w:rsidR="00144D25" w:rsidRDefault="00144D25">
      <w:pPr>
        <w:tabs>
          <w:tab w:val="left" w:pos="567"/>
        </w:tabs>
        <w:jc w:val="both"/>
        <w:rPr>
          <w:sz w:val="24"/>
          <w:szCs w:val="24"/>
          <w:lang w:val="lt-LT"/>
        </w:rPr>
      </w:pPr>
    </w:p>
    <w:p w:rsidR="00C773E2" w:rsidRPr="00AF4456" w:rsidRDefault="00C773E2">
      <w:pPr>
        <w:tabs>
          <w:tab w:val="left" w:pos="567"/>
        </w:tabs>
        <w:jc w:val="both"/>
        <w:rPr>
          <w:sz w:val="24"/>
          <w:szCs w:val="24"/>
          <w:lang w:val="lt-LT"/>
        </w:rPr>
      </w:pPr>
    </w:p>
    <w:p w:rsidR="00C773E2" w:rsidRDefault="00C773E2">
      <w:pPr>
        <w:tabs>
          <w:tab w:val="left" w:pos="567"/>
        </w:tabs>
        <w:jc w:val="both"/>
        <w:rPr>
          <w:sz w:val="24"/>
          <w:szCs w:val="24"/>
          <w:lang w:val="lt-LT"/>
        </w:rPr>
      </w:pPr>
    </w:p>
    <w:p w:rsidR="00144D25" w:rsidRDefault="00144D25">
      <w:pPr>
        <w:tabs>
          <w:tab w:val="left" w:pos="567"/>
        </w:tabs>
        <w:jc w:val="both"/>
        <w:rPr>
          <w:sz w:val="24"/>
          <w:szCs w:val="24"/>
          <w:lang w:val="lt-LT"/>
        </w:rPr>
      </w:pPr>
    </w:p>
    <w:p w:rsidR="00144D25" w:rsidRDefault="00144D25">
      <w:pPr>
        <w:tabs>
          <w:tab w:val="left" w:pos="567"/>
        </w:tabs>
        <w:jc w:val="both"/>
        <w:rPr>
          <w:sz w:val="24"/>
          <w:szCs w:val="24"/>
          <w:lang w:val="lt-LT"/>
        </w:rPr>
      </w:pPr>
    </w:p>
    <w:p w:rsidR="00144D25" w:rsidRDefault="00144D25">
      <w:pPr>
        <w:tabs>
          <w:tab w:val="left" w:pos="567"/>
        </w:tabs>
        <w:jc w:val="both"/>
        <w:rPr>
          <w:sz w:val="24"/>
          <w:szCs w:val="24"/>
          <w:lang w:val="lt-LT"/>
        </w:rPr>
      </w:pPr>
    </w:p>
    <w:p w:rsidR="00C773E2" w:rsidRDefault="00C773E2">
      <w:pPr>
        <w:tabs>
          <w:tab w:val="left" w:pos="567"/>
        </w:tabs>
        <w:jc w:val="both"/>
        <w:rPr>
          <w:sz w:val="24"/>
          <w:szCs w:val="24"/>
          <w:lang w:val="lt-LT"/>
        </w:rPr>
      </w:pPr>
    </w:p>
    <w:p w:rsidR="00C773E2" w:rsidRDefault="00C773E2">
      <w:pPr>
        <w:tabs>
          <w:tab w:val="left" w:pos="567"/>
        </w:tabs>
        <w:jc w:val="both"/>
        <w:rPr>
          <w:sz w:val="24"/>
          <w:szCs w:val="24"/>
          <w:lang w:val="lt-LT"/>
        </w:rPr>
      </w:pPr>
    </w:p>
    <w:p w:rsidR="00C773E2" w:rsidRDefault="00C773E2">
      <w:pPr>
        <w:tabs>
          <w:tab w:val="left" w:pos="567"/>
        </w:tabs>
        <w:jc w:val="both"/>
        <w:rPr>
          <w:sz w:val="24"/>
          <w:szCs w:val="24"/>
          <w:lang w:val="lt-LT"/>
        </w:rPr>
      </w:pPr>
    </w:p>
    <w:p w:rsidR="00C773E2" w:rsidRDefault="00C773E2">
      <w:pPr>
        <w:tabs>
          <w:tab w:val="left" w:pos="567"/>
        </w:tabs>
        <w:jc w:val="both"/>
        <w:rPr>
          <w:sz w:val="24"/>
          <w:szCs w:val="24"/>
          <w:lang w:val="lt-LT"/>
        </w:rPr>
      </w:pPr>
    </w:p>
    <w:p w:rsidR="00C773E2" w:rsidRDefault="00C773E2">
      <w:pPr>
        <w:tabs>
          <w:tab w:val="left" w:pos="567"/>
        </w:tabs>
        <w:jc w:val="both"/>
        <w:rPr>
          <w:sz w:val="24"/>
          <w:szCs w:val="24"/>
          <w:lang w:val="lt-LT"/>
        </w:rPr>
      </w:pPr>
    </w:p>
    <w:p w:rsidR="00C773E2" w:rsidRDefault="00C773E2">
      <w:pPr>
        <w:tabs>
          <w:tab w:val="left" w:pos="567"/>
        </w:tabs>
        <w:jc w:val="both"/>
        <w:rPr>
          <w:sz w:val="24"/>
          <w:szCs w:val="24"/>
          <w:lang w:val="lt-LT"/>
        </w:rPr>
      </w:pPr>
    </w:p>
    <w:p w:rsidR="00C773E2" w:rsidRDefault="00C773E2">
      <w:pPr>
        <w:tabs>
          <w:tab w:val="left" w:pos="567"/>
        </w:tabs>
        <w:jc w:val="both"/>
        <w:rPr>
          <w:sz w:val="24"/>
          <w:szCs w:val="24"/>
          <w:lang w:val="lt-LT"/>
        </w:rPr>
      </w:pPr>
    </w:p>
    <w:p w:rsidR="00677CCB" w:rsidRDefault="00677CCB" w:rsidP="00677CCB">
      <w:pPr>
        <w:tabs>
          <w:tab w:val="left" w:pos="567"/>
        </w:tabs>
        <w:jc w:val="both"/>
        <w:rPr>
          <w:lang w:val="lt-LT"/>
        </w:rPr>
      </w:pPr>
    </w:p>
    <w:p w:rsidR="00677CCB" w:rsidRPr="00E62E10" w:rsidRDefault="00677CCB" w:rsidP="00677CCB">
      <w:pPr>
        <w:tabs>
          <w:tab w:val="left" w:pos="567"/>
        </w:tabs>
        <w:jc w:val="both"/>
        <w:rPr>
          <w:b/>
          <w:lang w:val="lt-LT"/>
        </w:rPr>
      </w:pPr>
      <w:r w:rsidRPr="00E62E10">
        <w:rPr>
          <w:lang w:val="lt-LT"/>
        </w:rPr>
        <w:t xml:space="preserve">Šaltinis: </w:t>
      </w:r>
      <w:r>
        <w:rPr>
          <w:lang w:val="lt-LT"/>
        </w:rPr>
        <w:t>SENNETTI</w:t>
      </w:r>
      <w:r w:rsidRPr="00E62E10">
        <w:rPr>
          <w:lang w:val="lt-LT"/>
        </w:rPr>
        <w:t>,</w:t>
      </w:r>
      <w:r>
        <w:rPr>
          <w:lang w:val="lt-LT"/>
        </w:rPr>
        <w:t xml:space="preserve"> J. T., 1990</w:t>
      </w:r>
      <w:r w:rsidRPr="00E62E10">
        <w:rPr>
          <w:lang w:val="lt-LT"/>
        </w:rPr>
        <w:t xml:space="preserve">, p. </w:t>
      </w:r>
      <w:r>
        <w:rPr>
          <w:lang w:val="lt-LT"/>
        </w:rPr>
        <w:t>110</w:t>
      </w:r>
      <w:r w:rsidRPr="00E62E10">
        <w:rPr>
          <w:lang w:val="lt-LT"/>
        </w:rPr>
        <w:t>.</w:t>
      </w:r>
    </w:p>
    <w:p w:rsidR="00C80FEE" w:rsidRDefault="00C80FEE" w:rsidP="00677CCB">
      <w:pPr>
        <w:tabs>
          <w:tab w:val="left" w:pos="567"/>
        </w:tabs>
        <w:jc w:val="both"/>
        <w:rPr>
          <w:lang w:val="lt-LT"/>
        </w:rPr>
      </w:pPr>
    </w:p>
    <w:p w:rsidR="00F33FA9" w:rsidRDefault="00677CCB" w:rsidP="00FB630B">
      <w:pPr>
        <w:tabs>
          <w:tab w:val="left" w:pos="567"/>
        </w:tabs>
        <w:jc w:val="both"/>
        <w:rPr>
          <w:sz w:val="24"/>
          <w:szCs w:val="24"/>
          <w:lang w:val="lt-LT"/>
        </w:rPr>
      </w:pPr>
      <w:r w:rsidRPr="00677CCB">
        <w:rPr>
          <w:lang w:val="lt-LT"/>
        </w:rPr>
        <w:t>Pastaba: A – tvirtinimas finansinėse ataskaitose</w:t>
      </w:r>
      <w:r w:rsidR="00F47D2E">
        <w:rPr>
          <w:lang w:val="lt-LT"/>
        </w:rPr>
        <w:t>;</w:t>
      </w:r>
      <w:r w:rsidR="00C80FEE">
        <w:rPr>
          <w:lang w:val="lt-LT"/>
        </w:rPr>
        <w:t xml:space="preserve"> </w:t>
      </w:r>
      <w:r w:rsidRPr="00677CCB">
        <w:rPr>
          <w:lang w:val="lt-LT"/>
        </w:rPr>
        <w:t>C – vidaus kontrolės svarstymas</w:t>
      </w:r>
      <w:r w:rsidR="00F47D2E">
        <w:rPr>
          <w:lang w:val="lt-LT"/>
        </w:rPr>
        <w:t>;</w:t>
      </w:r>
      <w:r w:rsidR="00C80FEE">
        <w:rPr>
          <w:lang w:val="lt-LT"/>
        </w:rPr>
        <w:t xml:space="preserve"> </w:t>
      </w:r>
      <w:r w:rsidRPr="00677CCB">
        <w:rPr>
          <w:lang w:val="lt-LT"/>
        </w:rPr>
        <w:t>LS</w:t>
      </w:r>
      <w:r w:rsidRPr="00677CCB">
        <w:rPr>
          <w:vertAlign w:val="subscript"/>
          <w:lang w:val="lt-LT"/>
        </w:rPr>
        <w:t>1</w:t>
      </w:r>
      <w:r w:rsidRPr="00677CCB">
        <w:rPr>
          <w:lang w:val="lt-LT"/>
        </w:rPr>
        <w:t xml:space="preserve"> – mažiau detalių testų</w:t>
      </w:r>
      <w:r w:rsidR="00F47D2E">
        <w:rPr>
          <w:lang w:val="lt-LT"/>
        </w:rPr>
        <w:t>;</w:t>
      </w:r>
      <w:r w:rsidR="00C80FEE">
        <w:rPr>
          <w:lang w:val="lt-LT"/>
        </w:rPr>
        <w:t xml:space="preserve"> </w:t>
      </w:r>
      <w:r w:rsidRPr="00677CCB">
        <w:rPr>
          <w:lang w:val="lt-LT"/>
        </w:rPr>
        <w:t>IA</w:t>
      </w:r>
      <w:r w:rsidRPr="00677CCB">
        <w:rPr>
          <w:vertAlign w:val="subscript"/>
          <w:lang w:val="lt-LT"/>
        </w:rPr>
        <w:t>i</w:t>
      </w:r>
      <w:r w:rsidRPr="00677CCB">
        <w:rPr>
          <w:lang w:val="lt-LT"/>
        </w:rPr>
        <w:t xml:space="preserve"> – neteisingas priėmimas</w:t>
      </w:r>
      <w:r w:rsidR="00F47D2E">
        <w:rPr>
          <w:lang w:val="lt-LT"/>
        </w:rPr>
        <w:t>;</w:t>
      </w:r>
      <w:r w:rsidR="00C80FEE">
        <w:rPr>
          <w:lang w:val="lt-LT"/>
        </w:rPr>
        <w:t xml:space="preserve"> </w:t>
      </w:r>
      <w:r w:rsidRPr="00677CCB">
        <w:rPr>
          <w:lang w:val="lt-LT"/>
        </w:rPr>
        <w:t>CR</w:t>
      </w:r>
      <w:r w:rsidRPr="00677CCB">
        <w:rPr>
          <w:vertAlign w:val="subscript"/>
          <w:lang w:val="lt-LT"/>
        </w:rPr>
        <w:t>i</w:t>
      </w:r>
      <w:r w:rsidRPr="00677CCB">
        <w:rPr>
          <w:lang w:val="lt-LT"/>
        </w:rPr>
        <w:t xml:space="preserve"> – teisingas atmetimas</w:t>
      </w:r>
      <w:r w:rsidR="00F47D2E">
        <w:rPr>
          <w:lang w:val="lt-LT"/>
        </w:rPr>
        <w:t>;</w:t>
      </w:r>
      <w:r w:rsidR="00C80FEE">
        <w:rPr>
          <w:lang w:val="lt-LT"/>
        </w:rPr>
        <w:t xml:space="preserve"> </w:t>
      </w:r>
      <w:r w:rsidRPr="00677CCB">
        <w:rPr>
          <w:lang w:val="lt-LT"/>
        </w:rPr>
        <w:t>CA – teisingas priėmimas</w:t>
      </w:r>
      <w:r w:rsidR="00F47D2E">
        <w:rPr>
          <w:lang w:val="lt-LT"/>
        </w:rPr>
        <w:t>;</w:t>
      </w:r>
      <w:r w:rsidR="00C80FEE">
        <w:rPr>
          <w:lang w:val="lt-LT"/>
        </w:rPr>
        <w:t xml:space="preserve"> </w:t>
      </w:r>
      <w:r w:rsidRPr="00677CCB">
        <w:rPr>
          <w:lang w:val="lt-LT"/>
        </w:rPr>
        <w:t>IR – įgimta rizika</w:t>
      </w:r>
      <w:r w:rsidR="00F47D2E">
        <w:rPr>
          <w:lang w:val="lt-LT"/>
        </w:rPr>
        <w:t>;</w:t>
      </w:r>
      <w:r w:rsidR="00C80FEE">
        <w:rPr>
          <w:lang w:val="lt-LT"/>
        </w:rPr>
        <w:t xml:space="preserve"> </w:t>
      </w:r>
      <w:r w:rsidRPr="00677CCB">
        <w:rPr>
          <w:lang w:val="lt-LT"/>
        </w:rPr>
        <w:t>IC</w:t>
      </w:r>
      <w:r w:rsidRPr="00677CCB">
        <w:rPr>
          <w:vertAlign w:val="subscript"/>
          <w:lang w:val="lt-LT"/>
        </w:rPr>
        <w:t>1</w:t>
      </w:r>
      <w:r w:rsidRPr="00677CCB">
        <w:rPr>
          <w:lang w:val="lt-LT"/>
        </w:rPr>
        <w:t xml:space="preserve"> – rizika, kad auditorius pasitikės kontrolės procedūromis, kai kontrolės rizika vertinama mažiau nei maksimumas, kai iš tikrųjų reikšmingas iškraipymas egzistuoja</w:t>
      </w:r>
      <w:r w:rsidR="00F47D2E">
        <w:rPr>
          <w:lang w:val="lt-LT"/>
        </w:rPr>
        <w:t>;</w:t>
      </w:r>
      <w:r w:rsidR="00C80FEE">
        <w:rPr>
          <w:lang w:val="lt-LT"/>
        </w:rPr>
        <w:t xml:space="preserve"> </w:t>
      </w:r>
      <w:r w:rsidRPr="00677CCB">
        <w:rPr>
          <w:lang w:val="lt-LT"/>
        </w:rPr>
        <w:t>R</w:t>
      </w:r>
      <w:r w:rsidRPr="00677CCB">
        <w:rPr>
          <w:vertAlign w:val="subscript"/>
          <w:lang w:val="lt-LT"/>
        </w:rPr>
        <w:t>i</w:t>
      </w:r>
      <w:r w:rsidRPr="00677CCB">
        <w:rPr>
          <w:lang w:val="lt-LT"/>
        </w:rPr>
        <w:t xml:space="preserve"> – rizika, kad reikšmingas iškraipymas nebus rastas atlikus analitines procedūras, kai iš tikrųjų reikšmingas iškraipymas egzistuoja</w:t>
      </w:r>
      <w:r>
        <w:rPr>
          <w:lang w:val="lt-LT"/>
        </w:rPr>
        <w:t xml:space="preserve"> arba </w:t>
      </w:r>
      <w:r w:rsidR="00F47D2E">
        <w:rPr>
          <w:lang w:val="lt-LT"/>
        </w:rPr>
        <w:t>tikimybės lygis</w:t>
      </w:r>
      <w:r w:rsidRPr="00677CCB">
        <w:rPr>
          <w:lang w:val="lt-LT"/>
        </w:rPr>
        <w:t xml:space="preserve">, kad reikšmingas iškraipymas nebus rastas atlikus analitines procedūras, </w:t>
      </w:r>
      <w:r w:rsidR="00676941">
        <w:rPr>
          <w:lang w:val="lt-LT"/>
        </w:rPr>
        <w:t xml:space="preserve">kai </w:t>
      </w:r>
      <w:r w:rsidRPr="00677CCB">
        <w:rPr>
          <w:lang w:val="lt-LT"/>
        </w:rPr>
        <w:t xml:space="preserve">iš tikrųjų reikšmingas iškraipymas </w:t>
      </w:r>
      <w:r w:rsidR="00F47D2E">
        <w:rPr>
          <w:lang w:val="lt-LT"/>
        </w:rPr>
        <w:t>ne</w:t>
      </w:r>
      <w:r w:rsidRPr="00677CCB">
        <w:rPr>
          <w:lang w:val="lt-LT"/>
        </w:rPr>
        <w:t>egzistuoja</w:t>
      </w:r>
      <w:r w:rsidR="00F47D2E">
        <w:rPr>
          <w:lang w:val="lt-LT"/>
        </w:rPr>
        <w:t>;</w:t>
      </w:r>
      <w:r w:rsidR="00FB630B">
        <w:rPr>
          <w:lang w:val="lt-LT"/>
        </w:rPr>
        <w:t xml:space="preserve"> </w:t>
      </w:r>
      <w:r w:rsidRPr="00677CCB">
        <w:rPr>
          <w:lang w:val="lt-LT"/>
        </w:rPr>
        <w:t>TD</w:t>
      </w:r>
      <w:r w:rsidRPr="00677CCB">
        <w:rPr>
          <w:vertAlign w:val="subscript"/>
          <w:lang w:val="lt-LT"/>
        </w:rPr>
        <w:t>i</w:t>
      </w:r>
      <w:r w:rsidRPr="00677CCB">
        <w:rPr>
          <w:lang w:val="lt-LT"/>
        </w:rPr>
        <w:t xml:space="preserve"> – rizika, kad reikšmingas iškraipymas nebus rastas atlikus detalius testus ir analitines procedūras, po to kai įgimta ir kontrolės rizikos rodo, kad reikšmingo iškraipymo pasireiškimo tikimybė yra maža, kai iš tikrųjų reikšmingas iškraipymas egzistuoja</w:t>
      </w:r>
      <w:r w:rsidR="00F47D2E">
        <w:rPr>
          <w:lang w:val="lt-LT"/>
        </w:rPr>
        <w:t xml:space="preserve"> arba tikimybės lygis</w:t>
      </w:r>
      <w:r w:rsidR="00F47D2E" w:rsidRPr="00677CCB">
        <w:rPr>
          <w:lang w:val="lt-LT"/>
        </w:rPr>
        <w:t xml:space="preserve">, kad reikšmingas iškraipymas nebus rastas atlikus </w:t>
      </w:r>
      <w:r w:rsidR="00676941">
        <w:rPr>
          <w:lang w:val="lt-LT"/>
        </w:rPr>
        <w:t>detalius testus</w:t>
      </w:r>
      <w:r w:rsidR="00F47D2E" w:rsidRPr="00677CCB">
        <w:rPr>
          <w:lang w:val="lt-LT"/>
        </w:rPr>
        <w:t xml:space="preserve">, </w:t>
      </w:r>
      <w:r w:rsidR="00676941">
        <w:rPr>
          <w:lang w:val="lt-LT"/>
        </w:rPr>
        <w:t xml:space="preserve">kai </w:t>
      </w:r>
      <w:r w:rsidR="00F47D2E" w:rsidRPr="00677CCB">
        <w:rPr>
          <w:lang w:val="lt-LT"/>
        </w:rPr>
        <w:t xml:space="preserve">iš tikrųjų reikšmingas iškraipymas </w:t>
      </w:r>
      <w:r w:rsidR="00F47D2E">
        <w:rPr>
          <w:lang w:val="lt-LT"/>
        </w:rPr>
        <w:t>ne</w:t>
      </w:r>
      <w:r w:rsidR="00F47D2E" w:rsidRPr="00677CCB">
        <w:rPr>
          <w:lang w:val="lt-LT"/>
        </w:rPr>
        <w:t>egzistuoja</w:t>
      </w:r>
      <w:r w:rsidR="00F47D2E">
        <w:rPr>
          <w:lang w:val="lt-LT"/>
        </w:rPr>
        <w:t>.</w:t>
      </w:r>
      <w:r w:rsidR="00F33FA9">
        <w:rPr>
          <w:sz w:val="24"/>
          <w:szCs w:val="24"/>
          <w:lang w:val="lt-LT"/>
        </w:rPr>
        <w:br w:type="page"/>
      </w:r>
    </w:p>
    <w:p w:rsidR="00F33FA9" w:rsidRDefault="00F33FA9">
      <w:pPr>
        <w:tabs>
          <w:tab w:val="left" w:pos="567"/>
        </w:tabs>
        <w:jc w:val="both"/>
        <w:rPr>
          <w:sz w:val="24"/>
          <w:szCs w:val="24"/>
          <w:lang w:val="lt-LT"/>
        </w:rPr>
        <w:sectPr w:rsidR="00F33FA9" w:rsidSect="00A53480">
          <w:pgSz w:w="16838" w:h="11906" w:orient="landscape" w:code="9"/>
          <w:pgMar w:top="1814" w:right="1474" w:bottom="1814" w:left="1474" w:header="1134" w:footer="1134" w:gutter="0"/>
          <w:cols w:space="1296"/>
          <w:titlePg/>
        </w:sectPr>
      </w:pPr>
    </w:p>
    <w:p w:rsidR="00E05C6B" w:rsidRPr="00E31795" w:rsidRDefault="00FA3F12" w:rsidP="00FA3F12">
      <w:pPr>
        <w:tabs>
          <w:tab w:val="left" w:pos="567"/>
        </w:tabs>
        <w:jc w:val="right"/>
        <w:rPr>
          <w:b/>
          <w:sz w:val="26"/>
          <w:szCs w:val="26"/>
          <w:lang w:val="lt-LT"/>
        </w:rPr>
      </w:pPr>
      <w:r w:rsidRPr="00E31795">
        <w:rPr>
          <w:b/>
          <w:sz w:val="26"/>
          <w:szCs w:val="26"/>
          <w:lang w:val="lt-LT"/>
        </w:rPr>
        <w:lastRenderedPageBreak/>
        <w:t>8 PRIEDAS</w:t>
      </w:r>
    </w:p>
    <w:p w:rsidR="00CB21A6" w:rsidRPr="00E31795" w:rsidRDefault="00CB21A6" w:rsidP="00CB21A6">
      <w:pPr>
        <w:pStyle w:val="Normal-pr"/>
        <w:ind w:firstLine="720"/>
        <w:jc w:val="left"/>
        <w:rPr>
          <w:b/>
          <w:sz w:val="26"/>
          <w:szCs w:val="26"/>
        </w:rPr>
      </w:pPr>
      <w:r w:rsidRPr="00E31795">
        <w:rPr>
          <w:i/>
          <w:noProof/>
          <w:sz w:val="26"/>
          <w:szCs w:val="26"/>
          <w:lang w:eastAsia="lt-LT"/>
        </w:rPr>
        <w:drawing>
          <wp:inline distT="0" distB="0" distL="0" distR="0">
            <wp:extent cx="731520" cy="755650"/>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731520" cy="755650"/>
                    </a:xfrm>
                    <a:prstGeom prst="rect">
                      <a:avLst/>
                    </a:prstGeom>
                    <a:noFill/>
                    <a:ln w="9525">
                      <a:noFill/>
                      <a:miter lim="800000"/>
                      <a:headEnd/>
                      <a:tailEnd/>
                    </a:ln>
                  </pic:spPr>
                </pic:pic>
              </a:graphicData>
            </a:graphic>
          </wp:inline>
        </w:drawing>
      </w:r>
      <w:r w:rsidRPr="00E31795">
        <w:rPr>
          <w:b/>
          <w:sz w:val="26"/>
          <w:szCs w:val="26"/>
        </w:rPr>
        <w:t>AUDITO RIZIKOS VERTINIMO TYRIMO ANKETA</w:t>
      </w:r>
    </w:p>
    <w:p w:rsidR="00CB21A6" w:rsidRPr="00E31795" w:rsidRDefault="00CB21A6" w:rsidP="00CB21A6">
      <w:pPr>
        <w:pStyle w:val="Normal-pr"/>
        <w:spacing w:before="120"/>
        <w:ind w:firstLine="567"/>
        <w:jc w:val="left"/>
        <w:rPr>
          <w:i/>
          <w:szCs w:val="22"/>
        </w:rPr>
      </w:pPr>
      <w:r w:rsidRPr="00E31795">
        <w:rPr>
          <w:i/>
          <w:szCs w:val="22"/>
        </w:rPr>
        <w:t>Gerbiamas Auditoriau,</w:t>
      </w:r>
    </w:p>
    <w:p w:rsidR="00CB21A6" w:rsidRPr="00E31795" w:rsidRDefault="00CB21A6" w:rsidP="00CB21A6">
      <w:pPr>
        <w:pStyle w:val="Normal-pr"/>
        <w:ind w:firstLine="567"/>
        <w:rPr>
          <w:i/>
          <w:szCs w:val="22"/>
        </w:rPr>
      </w:pPr>
      <w:r w:rsidRPr="00E31795">
        <w:rPr>
          <w:i/>
          <w:szCs w:val="22"/>
        </w:rPr>
        <w:t>Vilniaus Universiteto Kauno humanitarinio fakulteto doktorantė Rita Jankūnaitė atlieka tyrimą, kuriuo siekia išsiaiškinti Lietuvos auditorių patirtį vertinant audito riziką, kad būtų galima sukurti optimalų praktikoje pritaikomą audito rizikos vertinimo modelį.</w:t>
      </w:r>
    </w:p>
    <w:p w:rsidR="00CB21A6" w:rsidRPr="00E31795" w:rsidRDefault="00CB21A6" w:rsidP="00CB21A6">
      <w:pPr>
        <w:pStyle w:val="Normal-pr"/>
        <w:ind w:firstLine="567"/>
        <w:rPr>
          <w:i/>
          <w:szCs w:val="22"/>
        </w:rPr>
      </w:pPr>
      <w:r w:rsidRPr="00E31795">
        <w:rPr>
          <w:i/>
          <w:szCs w:val="22"/>
        </w:rPr>
        <w:t xml:space="preserve">Surinktų duomenų anonimiškumas garantuojamas, atsakymai į klausimus bus analizuojami tik apibendrinta forma. Jūsų nuomonę atitinkančio atsakymo variantą(-us) pažymėkite </w:t>
      </w:r>
      <w:r w:rsidR="00166819" w:rsidRPr="00E31795">
        <w:rPr>
          <w:i/>
          <w:szCs w:val="22"/>
        </w:rPr>
        <w:fldChar w:fldCharType="begin">
          <w:ffData>
            <w:name w:val="Check9"/>
            <w:enabled/>
            <w:calcOnExit w:val="0"/>
            <w:checkBox>
              <w:sizeAuto/>
              <w:default w:val="1"/>
              <w:checked/>
            </w:checkBox>
          </w:ffData>
        </w:fldChar>
      </w:r>
      <w:bookmarkStart w:id="55" w:name="Check9"/>
      <w:r w:rsidRPr="00E31795">
        <w:rPr>
          <w:i/>
          <w:szCs w:val="22"/>
        </w:rPr>
        <w:instrText xml:space="preserve"> FORMCHECKBOX </w:instrText>
      </w:r>
      <w:r w:rsidR="00166819" w:rsidRPr="00E31795">
        <w:rPr>
          <w:i/>
          <w:szCs w:val="22"/>
        </w:rPr>
      </w:r>
      <w:r w:rsidR="00166819" w:rsidRPr="00E31795">
        <w:rPr>
          <w:i/>
          <w:szCs w:val="22"/>
        </w:rPr>
        <w:fldChar w:fldCharType="end"/>
      </w:r>
      <w:bookmarkEnd w:id="55"/>
      <w:r w:rsidRPr="00E31795">
        <w:rPr>
          <w:i/>
          <w:szCs w:val="22"/>
        </w:rPr>
        <w:t xml:space="preserve"> tam skirtame kvadratėlyje arba įrašykite atsakymą tam skirtoje vietoje. </w:t>
      </w:r>
    </w:p>
    <w:p w:rsidR="00CB21A6" w:rsidRPr="00E31795" w:rsidRDefault="00CB21A6" w:rsidP="00CB21A6">
      <w:pPr>
        <w:pStyle w:val="Normal-pr"/>
        <w:ind w:firstLine="567"/>
        <w:rPr>
          <w:i/>
          <w:szCs w:val="22"/>
        </w:rPr>
      </w:pPr>
      <w:r w:rsidRPr="00E31795">
        <w:rPr>
          <w:i/>
          <w:szCs w:val="22"/>
        </w:rPr>
        <w:t>Nuoširdžiai dėkoju</w:t>
      </w:r>
      <w:r w:rsidRPr="00E31795">
        <w:rPr>
          <w:bCs/>
          <w:i/>
          <w:iCs w:val="0"/>
          <w:szCs w:val="22"/>
        </w:rPr>
        <w:t xml:space="preserve"> už pagalbą atliekant tyrimą.</w:t>
      </w:r>
    </w:p>
    <w:p w:rsidR="00CB21A6" w:rsidRDefault="00CB21A6" w:rsidP="00E31795">
      <w:pPr>
        <w:pStyle w:val="Normal-pr"/>
        <w:rPr>
          <w:b/>
          <w:bC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69"/>
        <w:gridCol w:w="1134"/>
        <w:gridCol w:w="1276"/>
        <w:gridCol w:w="1418"/>
      </w:tblGrid>
      <w:tr w:rsidR="00CB21A6" w:rsidRPr="000D17E2" w:rsidTr="009615AE">
        <w:tc>
          <w:tcPr>
            <w:tcW w:w="675" w:type="dxa"/>
            <w:shd w:val="clear" w:color="auto" w:fill="auto"/>
            <w:vAlign w:val="center"/>
          </w:tcPr>
          <w:p w:rsidR="00CB21A6" w:rsidRPr="000D17E2" w:rsidRDefault="00CB21A6" w:rsidP="00734F91">
            <w:pPr>
              <w:pStyle w:val="Normal-pr"/>
              <w:rPr>
                <w:b/>
                <w:bCs/>
                <w:sz w:val="20"/>
              </w:rPr>
            </w:pPr>
            <w:r w:rsidRPr="000D17E2">
              <w:rPr>
                <w:b/>
                <w:bCs/>
                <w:sz w:val="20"/>
              </w:rPr>
              <w:t>1.</w:t>
            </w:r>
          </w:p>
        </w:tc>
        <w:tc>
          <w:tcPr>
            <w:tcW w:w="3969" w:type="dxa"/>
            <w:shd w:val="clear" w:color="auto" w:fill="auto"/>
          </w:tcPr>
          <w:p w:rsidR="00CB21A6" w:rsidRPr="000D17E2" w:rsidRDefault="00CB21A6" w:rsidP="00734F91">
            <w:pPr>
              <w:pStyle w:val="Normal-pr"/>
              <w:rPr>
                <w:b/>
                <w:sz w:val="20"/>
              </w:rPr>
            </w:pPr>
            <w:r w:rsidRPr="000D17E2">
              <w:rPr>
                <w:b/>
                <w:sz w:val="20"/>
              </w:rPr>
              <w:t>Ar pripažįstate audito rizikos vertinimo svarbą finansinių ataskaitų audito kontekste?</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c>
          <w:tcPr>
            <w:tcW w:w="675" w:type="dxa"/>
            <w:shd w:val="clear" w:color="auto" w:fill="auto"/>
            <w:vAlign w:val="center"/>
          </w:tcPr>
          <w:p w:rsidR="00CB21A6" w:rsidRPr="000D17E2" w:rsidRDefault="00CB21A6" w:rsidP="00734F91">
            <w:pPr>
              <w:pStyle w:val="Normal-pr"/>
              <w:rPr>
                <w:b/>
                <w:bCs/>
                <w:sz w:val="20"/>
              </w:rPr>
            </w:pPr>
            <w:r w:rsidRPr="000D17E2">
              <w:rPr>
                <w:b/>
                <w:bCs/>
                <w:sz w:val="20"/>
              </w:rPr>
              <w:t>2.</w:t>
            </w:r>
          </w:p>
        </w:tc>
        <w:tc>
          <w:tcPr>
            <w:tcW w:w="3969" w:type="dxa"/>
            <w:shd w:val="clear" w:color="auto" w:fill="auto"/>
          </w:tcPr>
          <w:p w:rsidR="00CB21A6" w:rsidRPr="000D17E2" w:rsidRDefault="00CB21A6" w:rsidP="00734F91">
            <w:pPr>
              <w:pStyle w:val="Normal-pr"/>
              <w:rPr>
                <w:b/>
                <w:sz w:val="20"/>
              </w:rPr>
            </w:pPr>
            <w:r w:rsidRPr="000D17E2">
              <w:rPr>
                <w:b/>
                <w:sz w:val="20"/>
              </w:rPr>
              <w:t>Ar vertinate audito riziką atskirai kiekviename finansinių ataskaitų audite?</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c>
          <w:tcPr>
            <w:tcW w:w="675" w:type="dxa"/>
            <w:shd w:val="clear" w:color="auto" w:fill="auto"/>
          </w:tcPr>
          <w:p w:rsidR="00CB21A6" w:rsidRPr="000D17E2" w:rsidRDefault="00CB21A6" w:rsidP="00734F91">
            <w:pPr>
              <w:pStyle w:val="Normal-pr"/>
              <w:jc w:val="left"/>
              <w:rPr>
                <w:b/>
                <w:bCs/>
                <w:sz w:val="20"/>
              </w:rPr>
            </w:pPr>
            <w:r w:rsidRPr="000D17E2">
              <w:rPr>
                <w:b/>
                <w:bCs/>
                <w:sz w:val="20"/>
              </w:rPr>
              <w:t>2.1.</w:t>
            </w:r>
          </w:p>
        </w:tc>
        <w:tc>
          <w:tcPr>
            <w:tcW w:w="3969" w:type="dxa"/>
            <w:shd w:val="clear" w:color="auto" w:fill="auto"/>
          </w:tcPr>
          <w:p w:rsidR="00CB21A6" w:rsidRPr="000D17E2" w:rsidRDefault="00CB21A6" w:rsidP="00734F91">
            <w:pPr>
              <w:pStyle w:val="Normal-pr"/>
              <w:rPr>
                <w:b/>
                <w:sz w:val="20"/>
              </w:rPr>
            </w:pPr>
            <w:r w:rsidRPr="000D17E2">
              <w:rPr>
                <w:b/>
                <w:sz w:val="20"/>
              </w:rPr>
              <w:t>Jei NE (NE VISADA), kodėl?</w:t>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tc>
      </w:tr>
      <w:tr w:rsidR="00CB21A6" w:rsidRPr="000D17E2" w:rsidTr="009615AE">
        <w:tc>
          <w:tcPr>
            <w:tcW w:w="675" w:type="dxa"/>
            <w:shd w:val="clear" w:color="auto" w:fill="auto"/>
            <w:vAlign w:val="center"/>
          </w:tcPr>
          <w:p w:rsidR="00CB21A6" w:rsidRPr="000D17E2" w:rsidRDefault="00CB21A6" w:rsidP="00734F91">
            <w:pPr>
              <w:pStyle w:val="Normal-pr"/>
              <w:rPr>
                <w:b/>
                <w:bCs/>
                <w:sz w:val="20"/>
              </w:rPr>
            </w:pPr>
            <w:r w:rsidRPr="000D17E2">
              <w:rPr>
                <w:b/>
                <w:bCs/>
                <w:sz w:val="20"/>
              </w:rPr>
              <w:t>3.</w:t>
            </w:r>
          </w:p>
        </w:tc>
        <w:tc>
          <w:tcPr>
            <w:tcW w:w="3969" w:type="dxa"/>
            <w:shd w:val="clear" w:color="auto" w:fill="auto"/>
          </w:tcPr>
          <w:p w:rsidR="00CB21A6" w:rsidRPr="000D17E2" w:rsidRDefault="00CB21A6" w:rsidP="00734F91">
            <w:pPr>
              <w:pStyle w:val="Normal-pr"/>
              <w:rPr>
                <w:b/>
                <w:sz w:val="20"/>
              </w:rPr>
            </w:pPr>
            <w:r w:rsidRPr="000D17E2">
              <w:rPr>
                <w:b/>
                <w:sz w:val="20"/>
              </w:rPr>
              <w:t>Ar susiduriate su sunkumais vertindami audito riziką?</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c>
          <w:tcPr>
            <w:tcW w:w="675" w:type="dxa"/>
            <w:shd w:val="clear" w:color="auto" w:fill="auto"/>
          </w:tcPr>
          <w:p w:rsidR="00CB21A6" w:rsidRPr="000D17E2" w:rsidRDefault="00CB21A6" w:rsidP="00734F91">
            <w:pPr>
              <w:pStyle w:val="Normal-pr"/>
              <w:jc w:val="left"/>
              <w:rPr>
                <w:b/>
                <w:bCs/>
                <w:sz w:val="20"/>
              </w:rPr>
            </w:pPr>
            <w:r w:rsidRPr="000D17E2">
              <w:rPr>
                <w:b/>
                <w:bCs/>
                <w:sz w:val="20"/>
              </w:rPr>
              <w:t>3.1.</w:t>
            </w:r>
          </w:p>
        </w:tc>
        <w:tc>
          <w:tcPr>
            <w:tcW w:w="3969" w:type="dxa"/>
            <w:shd w:val="clear" w:color="auto" w:fill="auto"/>
          </w:tcPr>
          <w:p w:rsidR="00CB21A6" w:rsidRPr="000D17E2" w:rsidRDefault="00CB21A6" w:rsidP="00734F91">
            <w:pPr>
              <w:pStyle w:val="Normal-pr"/>
              <w:rPr>
                <w:b/>
                <w:sz w:val="20"/>
              </w:rPr>
            </w:pPr>
            <w:r w:rsidRPr="000D17E2">
              <w:rPr>
                <w:b/>
                <w:sz w:val="20"/>
              </w:rPr>
              <w:t xml:space="preserve">Jei TAIP (NE VISADA), nurodykite </w:t>
            </w:r>
            <w:r w:rsidRPr="000D17E2">
              <w:rPr>
                <w:b/>
                <w:sz w:val="20"/>
                <w:u w:val="single"/>
              </w:rPr>
              <w:t>visas</w:t>
            </w:r>
            <w:r w:rsidRPr="000D17E2">
              <w:rPr>
                <w:b/>
                <w:sz w:val="20"/>
              </w:rPr>
              <w:t xml:space="preserve"> priežastis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patirties ir žinių stoka</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neaiškūs audito standartų reikalavimai </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tinkamos audito atlikimo metodikos neturėjimas </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audito rizikos kaip reiškinio vertinimo sunkumai</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audituojamos įmonės verslo supratimo sudėtingumas </w:t>
            </w:r>
          </w:p>
          <w:p w:rsidR="00CB21A6" w:rsidRPr="000D17E2" w:rsidRDefault="00CB21A6" w:rsidP="00734F91">
            <w:pPr>
              <w:pStyle w:val="Normal-pr"/>
              <w:rPr>
                <w:b/>
                <w:sz w:val="20"/>
              </w:rPr>
            </w:pPr>
            <w:r w:rsidRPr="000D17E2">
              <w:rPr>
                <w:b/>
                <w:sz w:val="20"/>
              </w:rPr>
              <w:t xml:space="preserve">Kita </w:t>
            </w:r>
            <w:r w:rsidR="00166819" w:rsidRPr="000D17E2">
              <w:rPr>
                <w:sz w:val="20"/>
              </w:rPr>
              <w:fldChar w:fldCharType="begin">
                <w:ffData>
                  <w:name w:val=""/>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rPr>
                <w:sz w:val="20"/>
              </w:rPr>
            </w:pPr>
            <w:r w:rsidRPr="000D17E2">
              <w:rPr>
                <w:sz w:val="20"/>
              </w:rPr>
              <w:t>..............................................................</w:t>
            </w:r>
          </w:p>
        </w:tc>
      </w:tr>
      <w:tr w:rsidR="00CB21A6" w:rsidRPr="000D17E2" w:rsidTr="009615AE">
        <w:tc>
          <w:tcPr>
            <w:tcW w:w="675" w:type="dxa"/>
            <w:shd w:val="clear" w:color="auto" w:fill="auto"/>
            <w:vAlign w:val="center"/>
          </w:tcPr>
          <w:p w:rsidR="00CB21A6" w:rsidRPr="000D17E2" w:rsidRDefault="00CB21A6" w:rsidP="00734F91">
            <w:pPr>
              <w:pStyle w:val="Normal-pr"/>
              <w:jc w:val="left"/>
              <w:rPr>
                <w:b/>
                <w:bCs/>
                <w:sz w:val="20"/>
              </w:rPr>
            </w:pPr>
            <w:r w:rsidRPr="000D17E2">
              <w:rPr>
                <w:b/>
                <w:bCs/>
                <w:sz w:val="20"/>
              </w:rPr>
              <w:t>4.</w:t>
            </w:r>
          </w:p>
        </w:tc>
        <w:tc>
          <w:tcPr>
            <w:tcW w:w="3969" w:type="dxa"/>
            <w:shd w:val="clear" w:color="auto" w:fill="auto"/>
          </w:tcPr>
          <w:p w:rsidR="00CB21A6" w:rsidRPr="000D17E2" w:rsidRDefault="00CB21A6" w:rsidP="00734F91">
            <w:pPr>
              <w:pStyle w:val="Normal-pr"/>
              <w:rPr>
                <w:b/>
                <w:sz w:val="20"/>
              </w:rPr>
            </w:pPr>
            <w:r w:rsidRPr="000D17E2">
              <w:rPr>
                <w:b/>
                <w:sz w:val="20"/>
              </w:rPr>
              <w:t xml:space="preserve">Koks audito rizikos lygis Jums priimtinas (proc.) </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iki 5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5-10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r w:rsidRPr="000D17E2">
              <w:rPr>
                <w:sz w:val="20"/>
              </w:rPr>
              <w:t xml:space="preserve">virš 10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r w:rsidRPr="000D17E2">
              <w:rPr>
                <w:sz w:val="20"/>
              </w:rPr>
              <w:t>.</w:t>
            </w:r>
          </w:p>
        </w:tc>
      </w:tr>
      <w:tr w:rsidR="00CB21A6" w:rsidRPr="000D17E2" w:rsidTr="009615AE">
        <w:tc>
          <w:tcPr>
            <w:tcW w:w="675" w:type="dxa"/>
            <w:shd w:val="clear" w:color="auto" w:fill="auto"/>
          </w:tcPr>
          <w:p w:rsidR="00CB21A6" w:rsidRPr="000D17E2" w:rsidRDefault="00CB21A6" w:rsidP="00734F91">
            <w:pPr>
              <w:pStyle w:val="Normal-pr"/>
              <w:jc w:val="left"/>
              <w:rPr>
                <w:b/>
                <w:bCs/>
                <w:sz w:val="20"/>
              </w:rPr>
            </w:pPr>
            <w:r w:rsidRPr="000D17E2">
              <w:rPr>
                <w:b/>
                <w:bCs/>
                <w:sz w:val="20"/>
              </w:rPr>
              <w:t>5.</w:t>
            </w:r>
          </w:p>
        </w:tc>
        <w:tc>
          <w:tcPr>
            <w:tcW w:w="3969" w:type="dxa"/>
            <w:shd w:val="clear" w:color="auto" w:fill="auto"/>
          </w:tcPr>
          <w:p w:rsidR="00CB21A6" w:rsidRPr="000D17E2" w:rsidRDefault="00CB21A6" w:rsidP="00734F91">
            <w:pPr>
              <w:pStyle w:val="Normal-pr"/>
              <w:rPr>
                <w:b/>
                <w:sz w:val="20"/>
              </w:rPr>
            </w:pPr>
            <w:r w:rsidRPr="000D17E2">
              <w:rPr>
                <w:b/>
                <w:sz w:val="20"/>
              </w:rPr>
              <w:t>Audito riziką ir jos komponentus vertinate :</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kokybiškai, t. y. didelė, vidutinė, maža;</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kiekybiškai, t. y. 30 proc., 50 proc., ir pan.;</w:t>
            </w:r>
          </w:p>
          <w:p w:rsidR="00CB21A6" w:rsidRPr="000D17E2" w:rsidRDefault="00CB21A6" w:rsidP="00734F91">
            <w:pPr>
              <w:pStyle w:val="Normal-pr"/>
              <w:rPr>
                <w:b/>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noProof/>
                <w:sz w:val="20"/>
              </w:rPr>
              <w:t> </w:t>
            </w:r>
            <w:r w:rsidRPr="000D17E2">
              <w:rPr>
                <w:noProof/>
                <w:sz w:val="20"/>
              </w:rPr>
              <w:t> </w:t>
            </w:r>
            <w:r w:rsidRPr="000D17E2">
              <w:rPr>
                <w:noProof/>
                <w:sz w:val="20"/>
              </w:rPr>
              <w:t> </w:t>
            </w:r>
            <w:r w:rsidRPr="000D17E2">
              <w:rPr>
                <w:noProof/>
                <w:sz w:val="20"/>
              </w:rPr>
              <w:t> </w:t>
            </w:r>
            <w:r w:rsidRPr="000D17E2">
              <w:rPr>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spacing w:before="120"/>
              <w:rPr>
                <w:sz w:val="20"/>
              </w:rPr>
            </w:pPr>
            <w:r w:rsidRPr="000D17E2">
              <w:rPr>
                <w:sz w:val="20"/>
              </w:rPr>
              <w:t>..............................................................</w:t>
            </w:r>
          </w:p>
        </w:tc>
      </w:tr>
      <w:tr w:rsidR="00CB21A6" w:rsidRPr="000D17E2" w:rsidTr="009615AE">
        <w:tc>
          <w:tcPr>
            <w:tcW w:w="675" w:type="dxa"/>
            <w:shd w:val="clear" w:color="auto" w:fill="auto"/>
            <w:vAlign w:val="center"/>
          </w:tcPr>
          <w:p w:rsidR="00CB21A6" w:rsidRPr="000D17E2" w:rsidRDefault="00CB21A6" w:rsidP="00734F91">
            <w:pPr>
              <w:pStyle w:val="Normal-pr"/>
              <w:rPr>
                <w:b/>
                <w:bCs/>
                <w:sz w:val="20"/>
              </w:rPr>
            </w:pPr>
            <w:r w:rsidRPr="000D17E2">
              <w:rPr>
                <w:b/>
                <w:bCs/>
                <w:sz w:val="20"/>
              </w:rPr>
              <w:t>6.</w:t>
            </w:r>
          </w:p>
        </w:tc>
        <w:tc>
          <w:tcPr>
            <w:tcW w:w="3969" w:type="dxa"/>
            <w:shd w:val="clear" w:color="auto" w:fill="auto"/>
          </w:tcPr>
          <w:p w:rsidR="00CB21A6" w:rsidRPr="000D17E2" w:rsidRDefault="00CB21A6" w:rsidP="00734F91">
            <w:pPr>
              <w:pStyle w:val="Normal-pr"/>
              <w:rPr>
                <w:b/>
                <w:sz w:val="20"/>
              </w:rPr>
            </w:pPr>
            <w:r w:rsidRPr="000D17E2">
              <w:rPr>
                <w:b/>
                <w:sz w:val="20"/>
              </w:rPr>
              <w:t>Ar turite audito rizikos vertinimo metodiką?</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p>
        </w:tc>
      </w:tr>
      <w:tr w:rsidR="00CB21A6" w:rsidRPr="000D17E2" w:rsidTr="009615AE">
        <w:trPr>
          <w:trHeight w:val="293"/>
        </w:trPr>
        <w:tc>
          <w:tcPr>
            <w:tcW w:w="675" w:type="dxa"/>
            <w:shd w:val="clear" w:color="auto" w:fill="auto"/>
          </w:tcPr>
          <w:p w:rsidR="00CB21A6" w:rsidRPr="000D17E2" w:rsidRDefault="00CB21A6" w:rsidP="00734F91">
            <w:pPr>
              <w:pStyle w:val="Normal-pr"/>
              <w:jc w:val="left"/>
              <w:rPr>
                <w:b/>
                <w:bCs/>
                <w:sz w:val="20"/>
              </w:rPr>
            </w:pPr>
            <w:r w:rsidRPr="000D17E2">
              <w:rPr>
                <w:b/>
                <w:bCs/>
                <w:sz w:val="20"/>
              </w:rPr>
              <w:t>6.1.</w:t>
            </w:r>
          </w:p>
        </w:tc>
        <w:tc>
          <w:tcPr>
            <w:tcW w:w="3969" w:type="dxa"/>
            <w:shd w:val="clear" w:color="auto" w:fill="auto"/>
          </w:tcPr>
          <w:p w:rsidR="00CB21A6" w:rsidRPr="000D17E2" w:rsidRDefault="00CB21A6" w:rsidP="00734F91">
            <w:pPr>
              <w:pStyle w:val="Normal-pr"/>
              <w:rPr>
                <w:b/>
                <w:sz w:val="20"/>
              </w:rPr>
            </w:pPr>
            <w:r w:rsidRPr="000D17E2">
              <w:rPr>
                <w:b/>
                <w:sz w:val="20"/>
              </w:rPr>
              <w:t>Jei TAIP, kokia ji:</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LAR platinama metodika (ADD_DB)</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savo sukurta metodika</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audito įmonių tinklo, kuriam priklausome, metodika</w:t>
            </w:r>
          </w:p>
          <w:p w:rsidR="00CB21A6" w:rsidRPr="000D17E2" w:rsidRDefault="00CB21A6" w:rsidP="00734F91">
            <w:pPr>
              <w:pStyle w:val="Normal-pr"/>
              <w:rPr>
                <w:b/>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noProof/>
                <w:sz w:val="20"/>
              </w:rPr>
              <w:t> </w:t>
            </w:r>
            <w:r w:rsidRPr="000D17E2">
              <w:rPr>
                <w:noProof/>
                <w:sz w:val="20"/>
              </w:rPr>
              <w:t> </w:t>
            </w:r>
            <w:r w:rsidRPr="000D17E2">
              <w:rPr>
                <w:noProof/>
                <w:sz w:val="20"/>
              </w:rPr>
              <w:t> </w:t>
            </w:r>
            <w:r w:rsidRPr="000D17E2">
              <w:rPr>
                <w:noProof/>
                <w:sz w:val="20"/>
              </w:rPr>
              <w:t> </w:t>
            </w:r>
            <w:r w:rsidRPr="000D17E2">
              <w:rPr>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rPr>
                <w:sz w:val="20"/>
              </w:rPr>
            </w:pPr>
            <w:r w:rsidRPr="000D17E2">
              <w:rPr>
                <w:sz w:val="20"/>
              </w:rPr>
              <w:t>..............................................................</w:t>
            </w:r>
          </w:p>
        </w:tc>
      </w:tr>
      <w:tr w:rsidR="00CB21A6" w:rsidRPr="000D17E2" w:rsidTr="00E31795">
        <w:trPr>
          <w:trHeight w:val="368"/>
        </w:trPr>
        <w:tc>
          <w:tcPr>
            <w:tcW w:w="675" w:type="dxa"/>
            <w:shd w:val="clear" w:color="auto" w:fill="auto"/>
          </w:tcPr>
          <w:p w:rsidR="00CB21A6" w:rsidRPr="000D17E2" w:rsidRDefault="00CB21A6" w:rsidP="00734F91">
            <w:pPr>
              <w:pStyle w:val="Normal-pr"/>
              <w:jc w:val="left"/>
              <w:rPr>
                <w:b/>
                <w:bCs/>
                <w:sz w:val="20"/>
              </w:rPr>
            </w:pPr>
            <w:r w:rsidRPr="000D17E2">
              <w:rPr>
                <w:b/>
                <w:bCs/>
                <w:sz w:val="20"/>
              </w:rPr>
              <w:t>6.2.</w:t>
            </w:r>
          </w:p>
        </w:tc>
        <w:tc>
          <w:tcPr>
            <w:tcW w:w="3969" w:type="dxa"/>
            <w:shd w:val="clear" w:color="auto" w:fill="auto"/>
          </w:tcPr>
          <w:p w:rsidR="00CB21A6" w:rsidRPr="000D17E2" w:rsidRDefault="00CB21A6" w:rsidP="00734F91">
            <w:pPr>
              <w:pStyle w:val="Normal-pr"/>
              <w:rPr>
                <w:sz w:val="20"/>
              </w:rPr>
            </w:pPr>
            <w:r w:rsidRPr="000D17E2">
              <w:rPr>
                <w:b/>
                <w:sz w:val="20"/>
              </w:rPr>
              <w:t>Jei NE, nurodykite priežastis</w:t>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tc>
      </w:tr>
      <w:tr w:rsidR="00CB21A6" w:rsidRPr="000D17E2" w:rsidTr="009615AE">
        <w:trPr>
          <w:trHeight w:val="329"/>
        </w:trPr>
        <w:tc>
          <w:tcPr>
            <w:tcW w:w="675" w:type="dxa"/>
            <w:shd w:val="clear" w:color="auto" w:fill="auto"/>
          </w:tcPr>
          <w:p w:rsidR="00CB21A6" w:rsidRPr="000D17E2" w:rsidRDefault="00CB21A6" w:rsidP="00734F91">
            <w:pPr>
              <w:pStyle w:val="Normal-pr"/>
              <w:jc w:val="left"/>
              <w:rPr>
                <w:b/>
                <w:bCs/>
                <w:sz w:val="20"/>
              </w:rPr>
            </w:pPr>
            <w:r w:rsidRPr="000D17E2">
              <w:rPr>
                <w:b/>
                <w:bCs/>
                <w:sz w:val="20"/>
              </w:rPr>
              <w:t>7.</w:t>
            </w:r>
          </w:p>
        </w:tc>
        <w:tc>
          <w:tcPr>
            <w:tcW w:w="3969" w:type="dxa"/>
            <w:shd w:val="clear" w:color="auto" w:fill="auto"/>
          </w:tcPr>
          <w:p w:rsidR="00CB21A6" w:rsidRPr="000D17E2" w:rsidRDefault="00CB21A6" w:rsidP="00734F91">
            <w:pPr>
              <w:pStyle w:val="Normal-pr"/>
              <w:rPr>
                <w:b/>
                <w:sz w:val="20"/>
              </w:rPr>
            </w:pPr>
            <w:r w:rsidRPr="000D17E2">
              <w:rPr>
                <w:b/>
                <w:sz w:val="20"/>
              </w:rPr>
              <w:t>Kokius audito rizikos komponentus vertinate?</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reikšmingo iškraipymo rizikas (įgimtą riziką ir kontrolės riziką)</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aptikimo riziką</w:t>
            </w:r>
          </w:p>
          <w:p w:rsidR="00CB21A6" w:rsidRPr="000D17E2" w:rsidRDefault="00166819" w:rsidP="00734F91">
            <w:pPr>
              <w:pStyle w:val="Normal-pr"/>
              <w:rPr>
                <w:b/>
                <w:sz w:val="20"/>
              </w:rPr>
            </w:pPr>
            <w:r>
              <w:rPr>
                <w:b/>
                <w:noProof/>
                <w:sz w:val="20"/>
                <w:lang w:eastAsia="lt-LT"/>
              </w:rPr>
              <w:pict>
                <v:shape id="_x0000_s74576" type="#_x0000_t202" style="position:absolute;left:0;text-align:left;margin-left:143.15pt;margin-top:19.3pt;width:45.75pt;height:18.75pt;z-index:254785536" filled="f" strokecolor="white [3212]">
                  <v:textbox>
                    <w:txbxContent>
                      <w:p w:rsidR="000B69C2" w:rsidRPr="000B69C2" w:rsidRDefault="000B69C2" w:rsidP="000B69C2">
                        <w:pPr>
                          <w:jc w:val="center"/>
                          <w:rPr>
                            <w:lang w:val="lt-LT"/>
                          </w:rPr>
                        </w:pPr>
                        <w:r>
                          <w:rPr>
                            <w:lang w:val="lt-LT"/>
                          </w:rPr>
                          <w:t>218</w:t>
                        </w:r>
                      </w:p>
                    </w:txbxContent>
                  </v:textbox>
                </v:shape>
              </w:pict>
            </w:r>
            <w:r w:rsidR="00CB21A6" w:rsidRPr="000D17E2">
              <w:rPr>
                <w:b/>
                <w:sz w:val="20"/>
              </w:rPr>
              <w:t xml:space="preserve">Kita </w:t>
            </w:r>
            <w:r w:rsidR="00CB21A6" w:rsidRPr="000D17E2">
              <w:rPr>
                <w:sz w:val="20"/>
              </w:rPr>
              <w:t>___</w:t>
            </w:r>
            <w:r w:rsidRPr="000D17E2">
              <w:rPr>
                <w:sz w:val="20"/>
              </w:rPr>
              <w:fldChar w:fldCharType="begin">
                <w:ffData>
                  <w:name w:val="Text8"/>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noProof/>
                <w:sz w:val="20"/>
              </w:rPr>
              <w:t> </w:t>
            </w:r>
            <w:r w:rsidR="00CB21A6" w:rsidRPr="000D17E2">
              <w:rPr>
                <w:noProof/>
                <w:sz w:val="20"/>
              </w:rPr>
              <w:t> </w:t>
            </w:r>
            <w:r w:rsidR="00CB21A6" w:rsidRPr="000D17E2">
              <w:rPr>
                <w:noProof/>
                <w:sz w:val="20"/>
              </w:rPr>
              <w:t> </w:t>
            </w:r>
            <w:r w:rsidR="00CB21A6" w:rsidRPr="000D17E2">
              <w:rPr>
                <w:noProof/>
                <w:sz w:val="20"/>
              </w:rPr>
              <w:t> </w:t>
            </w:r>
            <w:r w:rsidR="00CB21A6" w:rsidRPr="000D17E2">
              <w:rPr>
                <w:noProof/>
                <w:sz w:val="20"/>
              </w:rPr>
              <w:t> </w:t>
            </w:r>
            <w:r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rPr>
                <w:sz w:val="20"/>
              </w:rPr>
            </w:pPr>
            <w:r w:rsidRPr="000D17E2">
              <w:rPr>
                <w:sz w:val="20"/>
              </w:rPr>
              <w:t>..............................................................</w:t>
            </w:r>
          </w:p>
        </w:tc>
      </w:tr>
      <w:tr w:rsidR="00CB21A6" w:rsidRPr="000D17E2" w:rsidTr="009615AE">
        <w:trPr>
          <w:trHeight w:val="637"/>
        </w:trPr>
        <w:tc>
          <w:tcPr>
            <w:tcW w:w="675" w:type="dxa"/>
            <w:shd w:val="clear" w:color="auto" w:fill="auto"/>
          </w:tcPr>
          <w:p w:rsidR="00CB21A6" w:rsidRPr="000D17E2" w:rsidRDefault="00CB21A6" w:rsidP="00734F91">
            <w:pPr>
              <w:pStyle w:val="Normal-pr"/>
              <w:rPr>
                <w:b/>
                <w:bCs/>
                <w:sz w:val="20"/>
              </w:rPr>
            </w:pPr>
            <w:r w:rsidRPr="000D17E2">
              <w:rPr>
                <w:b/>
                <w:bCs/>
                <w:sz w:val="20"/>
              </w:rPr>
              <w:lastRenderedPageBreak/>
              <w:t>8.</w:t>
            </w:r>
          </w:p>
        </w:tc>
        <w:tc>
          <w:tcPr>
            <w:tcW w:w="3969" w:type="dxa"/>
            <w:shd w:val="clear" w:color="auto" w:fill="auto"/>
          </w:tcPr>
          <w:p w:rsidR="00CB21A6" w:rsidRPr="000D17E2" w:rsidRDefault="00CB21A6" w:rsidP="00734F91">
            <w:pPr>
              <w:pStyle w:val="Normal-pr"/>
              <w:rPr>
                <w:b/>
                <w:sz w:val="20"/>
              </w:rPr>
            </w:pPr>
            <w:r w:rsidRPr="000D17E2">
              <w:rPr>
                <w:b/>
                <w:sz w:val="20"/>
              </w:rPr>
              <w:t>Ar Jums lengvai pavyksta įvertinti reikšmingo iškraipymo rizikas (įgimtą riziką ir kontrolės riziką)?</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637"/>
        </w:trPr>
        <w:tc>
          <w:tcPr>
            <w:tcW w:w="675" w:type="dxa"/>
            <w:shd w:val="clear" w:color="auto" w:fill="auto"/>
          </w:tcPr>
          <w:p w:rsidR="00CB21A6" w:rsidRPr="000D17E2" w:rsidRDefault="00CB21A6" w:rsidP="00734F91">
            <w:pPr>
              <w:pStyle w:val="Normal-pr"/>
              <w:rPr>
                <w:b/>
                <w:bCs/>
                <w:sz w:val="20"/>
              </w:rPr>
            </w:pPr>
            <w:r w:rsidRPr="000D17E2">
              <w:rPr>
                <w:b/>
                <w:bCs/>
                <w:sz w:val="20"/>
              </w:rPr>
              <w:t>8.1.</w:t>
            </w:r>
          </w:p>
        </w:tc>
        <w:tc>
          <w:tcPr>
            <w:tcW w:w="3969" w:type="dxa"/>
            <w:shd w:val="clear" w:color="auto" w:fill="auto"/>
          </w:tcPr>
          <w:p w:rsidR="00CB21A6" w:rsidRPr="000D17E2" w:rsidRDefault="00CB21A6" w:rsidP="00734F91">
            <w:pPr>
              <w:pStyle w:val="Normal-pr"/>
              <w:rPr>
                <w:b/>
                <w:sz w:val="20"/>
              </w:rPr>
            </w:pPr>
            <w:r w:rsidRPr="000D17E2">
              <w:rPr>
                <w:b/>
                <w:sz w:val="20"/>
              </w:rPr>
              <w:t xml:space="preserve">Jei NE, nurodykite </w:t>
            </w:r>
            <w:r w:rsidRPr="000D17E2">
              <w:rPr>
                <w:b/>
                <w:sz w:val="20"/>
                <w:u w:val="single"/>
              </w:rPr>
              <w:t>visas</w:t>
            </w:r>
            <w:r w:rsidRPr="000D17E2">
              <w:rPr>
                <w:b/>
                <w:sz w:val="20"/>
              </w:rPr>
              <w:t xml:space="preserve"> priežastis?</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sunku surinkti audito įrodymus dėl jų masto</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jas apsprendžia labai daug veiksnių</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audituojamos įmonės verslo aplinkos neapibrėžtumas</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audituojamos įmonės vidaus kontrolės sistema nėra paprasta</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patirties ir žinių stoka  kaip tinkamai jas reikėtų vertinti</w:t>
            </w:r>
          </w:p>
          <w:p w:rsidR="00CB21A6" w:rsidRPr="000D17E2" w:rsidRDefault="00CB21A6" w:rsidP="00734F91">
            <w:pPr>
              <w:pStyle w:val="Normal-pr"/>
              <w:jc w:val="left"/>
              <w:rPr>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noProof/>
                <w:sz w:val="20"/>
              </w:rPr>
              <w:t> </w:t>
            </w:r>
            <w:r w:rsidRPr="000D17E2">
              <w:rPr>
                <w:noProof/>
                <w:sz w:val="20"/>
              </w:rPr>
              <w:t> </w:t>
            </w:r>
            <w:r w:rsidRPr="000D17E2">
              <w:rPr>
                <w:noProof/>
                <w:sz w:val="20"/>
              </w:rPr>
              <w:t> </w:t>
            </w:r>
            <w:r w:rsidRPr="000D17E2">
              <w:rPr>
                <w:noProof/>
                <w:sz w:val="20"/>
              </w:rPr>
              <w:t> </w:t>
            </w:r>
            <w:r w:rsidRPr="000D17E2">
              <w:rPr>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rPr>
                <w:sz w:val="20"/>
              </w:rPr>
            </w:pPr>
            <w:r w:rsidRPr="000D17E2">
              <w:rPr>
                <w:sz w:val="20"/>
              </w:rPr>
              <w:t>..............................................................</w:t>
            </w:r>
          </w:p>
        </w:tc>
      </w:tr>
      <w:tr w:rsidR="00CB21A6" w:rsidRPr="000D17E2" w:rsidTr="009615AE">
        <w:trPr>
          <w:trHeight w:val="637"/>
        </w:trPr>
        <w:tc>
          <w:tcPr>
            <w:tcW w:w="675" w:type="dxa"/>
            <w:shd w:val="clear" w:color="auto" w:fill="auto"/>
          </w:tcPr>
          <w:p w:rsidR="00CB21A6" w:rsidRPr="000D17E2" w:rsidRDefault="00CB21A6" w:rsidP="00734F91">
            <w:pPr>
              <w:pStyle w:val="Normal-pr"/>
              <w:rPr>
                <w:b/>
                <w:bCs/>
                <w:sz w:val="20"/>
              </w:rPr>
            </w:pPr>
            <w:r w:rsidRPr="000D17E2">
              <w:rPr>
                <w:b/>
                <w:bCs/>
                <w:sz w:val="20"/>
              </w:rPr>
              <w:t>9.</w:t>
            </w:r>
          </w:p>
        </w:tc>
        <w:tc>
          <w:tcPr>
            <w:tcW w:w="3969" w:type="dxa"/>
            <w:shd w:val="clear" w:color="auto" w:fill="auto"/>
          </w:tcPr>
          <w:p w:rsidR="00CB21A6" w:rsidRPr="000D17E2" w:rsidRDefault="00CB21A6" w:rsidP="00734F91">
            <w:pPr>
              <w:pStyle w:val="Normal-pr"/>
              <w:rPr>
                <w:b/>
                <w:sz w:val="20"/>
              </w:rPr>
            </w:pPr>
            <w:r w:rsidRPr="000D17E2">
              <w:rPr>
                <w:b/>
                <w:sz w:val="20"/>
              </w:rPr>
              <w:t>Ar reikšmingo iškraipymo rizikų (įgimtos rizikos ir kontrolės rizikos) lygį nustatote per jas lemiančių sąlygų ir susijusių veiksnių nagrinėjimą?</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p>
        </w:tc>
      </w:tr>
      <w:tr w:rsidR="00CB21A6" w:rsidRPr="000D17E2" w:rsidTr="009615AE">
        <w:trPr>
          <w:trHeight w:val="637"/>
        </w:trPr>
        <w:tc>
          <w:tcPr>
            <w:tcW w:w="675" w:type="dxa"/>
            <w:shd w:val="clear" w:color="auto" w:fill="auto"/>
          </w:tcPr>
          <w:p w:rsidR="00CB21A6" w:rsidRPr="000D17E2" w:rsidRDefault="00CB21A6" w:rsidP="00734F91">
            <w:pPr>
              <w:pStyle w:val="Normal-pr"/>
              <w:rPr>
                <w:b/>
                <w:bCs/>
                <w:sz w:val="20"/>
              </w:rPr>
            </w:pPr>
            <w:r w:rsidRPr="000D17E2">
              <w:rPr>
                <w:b/>
                <w:bCs/>
                <w:sz w:val="20"/>
              </w:rPr>
              <w:t>10.</w:t>
            </w:r>
          </w:p>
        </w:tc>
        <w:tc>
          <w:tcPr>
            <w:tcW w:w="3969" w:type="dxa"/>
            <w:shd w:val="clear" w:color="auto" w:fill="auto"/>
          </w:tcPr>
          <w:p w:rsidR="00CB21A6" w:rsidRPr="000D17E2" w:rsidRDefault="00CB21A6" w:rsidP="00734F91">
            <w:pPr>
              <w:pStyle w:val="Normal-pr"/>
              <w:rPr>
                <w:b/>
                <w:sz w:val="20"/>
              </w:rPr>
            </w:pPr>
            <w:r w:rsidRPr="000D17E2">
              <w:rPr>
                <w:b/>
                <w:sz w:val="20"/>
              </w:rPr>
              <w:t>Ar atliekate bendrą reikšmingo iškraipymo rizikų (įgimtos rizikos ir kontrolės rizikos) vertinimą?</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637"/>
        </w:trPr>
        <w:tc>
          <w:tcPr>
            <w:tcW w:w="675" w:type="dxa"/>
            <w:shd w:val="clear" w:color="auto" w:fill="auto"/>
          </w:tcPr>
          <w:p w:rsidR="00CB21A6" w:rsidRPr="000D17E2" w:rsidRDefault="00CB21A6" w:rsidP="00734F91">
            <w:pPr>
              <w:pStyle w:val="Normal-pr"/>
              <w:rPr>
                <w:b/>
                <w:bCs/>
                <w:sz w:val="20"/>
              </w:rPr>
            </w:pPr>
            <w:r w:rsidRPr="000D17E2">
              <w:rPr>
                <w:b/>
                <w:bCs/>
                <w:sz w:val="20"/>
              </w:rPr>
              <w:t>10.1.</w:t>
            </w:r>
          </w:p>
        </w:tc>
        <w:tc>
          <w:tcPr>
            <w:tcW w:w="3969" w:type="dxa"/>
            <w:shd w:val="clear" w:color="auto" w:fill="auto"/>
          </w:tcPr>
          <w:p w:rsidR="00CB21A6" w:rsidRPr="000D17E2" w:rsidRDefault="00CB21A6" w:rsidP="00734F91">
            <w:pPr>
              <w:pStyle w:val="Normal-pr"/>
              <w:rPr>
                <w:b/>
                <w:sz w:val="20"/>
              </w:rPr>
            </w:pPr>
            <w:r w:rsidRPr="000D17E2">
              <w:rPr>
                <w:b/>
                <w:sz w:val="20"/>
              </w:rPr>
              <w:t>Jei TAIP, ar manote, kad įgimta rizika ir kontrolės rizika susijusios ir viena kitą veikia?</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637"/>
        </w:trPr>
        <w:tc>
          <w:tcPr>
            <w:tcW w:w="675" w:type="dxa"/>
            <w:shd w:val="clear" w:color="auto" w:fill="auto"/>
          </w:tcPr>
          <w:p w:rsidR="00CB21A6" w:rsidRPr="000D17E2" w:rsidRDefault="00CB21A6" w:rsidP="00734F91">
            <w:pPr>
              <w:pStyle w:val="Normal-pr"/>
              <w:rPr>
                <w:b/>
                <w:bCs/>
                <w:sz w:val="20"/>
              </w:rPr>
            </w:pPr>
            <w:r w:rsidRPr="000D17E2">
              <w:rPr>
                <w:b/>
                <w:bCs/>
                <w:sz w:val="20"/>
              </w:rPr>
              <w:t>10.2.</w:t>
            </w:r>
          </w:p>
        </w:tc>
        <w:tc>
          <w:tcPr>
            <w:tcW w:w="3969" w:type="dxa"/>
            <w:shd w:val="clear" w:color="auto" w:fill="auto"/>
          </w:tcPr>
          <w:p w:rsidR="00CB21A6" w:rsidRPr="000D17E2" w:rsidRDefault="00CB21A6" w:rsidP="00734F91">
            <w:pPr>
              <w:pStyle w:val="Normal-pr"/>
              <w:rPr>
                <w:b/>
                <w:sz w:val="20"/>
              </w:rPr>
            </w:pPr>
            <w:r w:rsidRPr="000D17E2">
              <w:rPr>
                <w:b/>
                <w:sz w:val="20"/>
              </w:rPr>
              <w:t>Jei NE, ar manote, kad įgimta ir kontrolės rizikos turi būti vertinamos atskirai, nepriklausomai viena nuo kitos?</w:t>
            </w:r>
          </w:p>
        </w:tc>
        <w:tc>
          <w:tcPr>
            <w:tcW w:w="1134" w:type="dxa"/>
            <w:shd w:val="clear" w:color="auto" w:fill="auto"/>
            <w:vAlign w:val="center"/>
          </w:tcPr>
          <w:p w:rsidR="00CB21A6" w:rsidRPr="000D17E2" w:rsidRDefault="00CB21A6" w:rsidP="00734F91">
            <w:pPr>
              <w:pStyle w:val="Normal-pr"/>
              <w:spacing w:before="120"/>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spacing w:before="120"/>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spacing w:before="120"/>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E31795">
        <w:trPr>
          <w:trHeight w:val="385"/>
        </w:trPr>
        <w:tc>
          <w:tcPr>
            <w:tcW w:w="675" w:type="dxa"/>
            <w:shd w:val="clear" w:color="auto" w:fill="auto"/>
          </w:tcPr>
          <w:p w:rsidR="00CB21A6" w:rsidRPr="000D17E2" w:rsidRDefault="00CB21A6" w:rsidP="00734F91">
            <w:pPr>
              <w:pStyle w:val="Normal-pr"/>
              <w:rPr>
                <w:b/>
                <w:bCs/>
                <w:sz w:val="20"/>
              </w:rPr>
            </w:pPr>
            <w:r w:rsidRPr="000D17E2">
              <w:rPr>
                <w:b/>
                <w:bCs/>
                <w:sz w:val="20"/>
              </w:rPr>
              <w:t>10.3.</w:t>
            </w:r>
          </w:p>
        </w:tc>
        <w:tc>
          <w:tcPr>
            <w:tcW w:w="3969" w:type="dxa"/>
            <w:shd w:val="clear" w:color="auto" w:fill="auto"/>
          </w:tcPr>
          <w:p w:rsidR="00CB21A6" w:rsidRPr="000D17E2" w:rsidRDefault="00CB21A6" w:rsidP="00734F91">
            <w:pPr>
              <w:pStyle w:val="Normal-pr"/>
              <w:rPr>
                <w:b/>
                <w:sz w:val="20"/>
              </w:rPr>
            </w:pPr>
            <w:r w:rsidRPr="000D17E2">
              <w:rPr>
                <w:b/>
                <w:sz w:val="20"/>
              </w:rPr>
              <w:t>Jei NE VISADA, nurodykite priežastis</w:t>
            </w:r>
          </w:p>
        </w:tc>
        <w:tc>
          <w:tcPr>
            <w:tcW w:w="3828" w:type="dxa"/>
            <w:gridSpan w:val="3"/>
            <w:shd w:val="clear" w:color="auto" w:fill="auto"/>
            <w:vAlign w:val="center"/>
          </w:tcPr>
          <w:p w:rsidR="00CB21A6" w:rsidRPr="000D17E2" w:rsidRDefault="00166819" w:rsidP="00E31795">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tc>
      </w:tr>
      <w:tr w:rsidR="00CB21A6" w:rsidRPr="000D17E2" w:rsidTr="009615AE">
        <w:trPr>
          <w:trHeight w:val="637"/>
        </w:trPr>
        <w:tc>
          <w:tcPr>
            <w:tcW w:w="675" w:type="dxa"/>
            <w:shd w:val="clear" w:color="auto" w:fill="auto"/>
          </w:tcPr>
          <w:p w:rsidR="00CB21A6" w:rsidRPr="000D17E2" w:rsidRDefault="00CB21A6" w:rsidP="00734F91">
            <w:pPr>
              <w:pStyle w:val="Normal-pr"/>
              <w:rPr>
                <w:b/>
                <w:bCs/>
                <w:sz w:val="20"/>
              </w:rPr>
            </w:pPr>
            <w:r w:rsidRPr="000D17E2">
              <w:rPr>
                <w:b/>
                <w:bCs/>
                <w:sz w:val="20"/>
              </w:rPr>
              <w:t>11.</w:t>
            </w:r>
          </w:p>
        </w:tc>
        <w:tc>
          <w:tcPr>
            <w:tcW w:w="3969" w:type="dxa"/>
            <w:shd w:val="clear" w:color="auto" w:fill="auto"/>
          </w:tcPr>
          <w:p w:rsidR="00CB21A6" w:rsidRPr="000D17E2" w:rsidRDefault="00CB21A6" w:rsidP="00734F91">
            <w:pPr>
              <w:pStyle w:val="Normal-pr"/>
              <w:rPr>
                <w:b/>
                <w:sz w:val="20"/>
              </w:rPr>
            </w:pPr>
            <w:r w:rsidRPr="000D17E2">
              <w:rPr>
                <w:b/>
                <w:sz w:val="20"/>
              </w:rPr>
              <w:t>Ar vertindami audito riziką remiatės klasikiniu audito rizikos modeliu:</w:t>
            </w:r>
          </w:p>
          <w:p w:rsidR="00CB21A6" w:rsidRPr="000D17E2" w:rsidRDefault="00CB21A6" w:rsidP="00734F91">
            <w:pPr>
              <w:pStyle w:val="Normal-pr"/>
              <w:rPr>
                <w:b/>
                <w:sz w:val="20"/>
              </w:rPr>
            </w:pPr>
            <w:r w:rsidRPr="000D17E2">
              <w:rPr>
                <w:b/>
                <w:sz w:val="20"/>
              </w:rPr>
              <w:t xml:space="preserve">AUDITO RIZIKA </w:t>
            </w:r>
            <w:r w:rsidRPr="000D17E2">
              <w:rPr>
                <w:b/>
                <w:sz w:val="20"/>
                <w:lang w:val="en-GB"/>
              </w:rPr>
              <w:t xml:space="preserve">= </w:t>
            </w:r>
            <w:r w:rsidRPr="000D17E2">
              <w:rPr>
                <w:b/>
                <w:sz w:val="20"/>
              </w:rPr>
              <w:t>ĮGIMTA RIZIKA x KONTROLĖS RIZIKA x APTIKIMO RIZIKA</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309"/>
        </w:trPr>
        <w:tc>
          <w:tcPr>
            <w:tcW w:w="675" w:type="dxa"/>
            <w:shd w:val="clear" w:color="auto" w:fill="auto"/>
          </w:tcPr>
          <w:p w:rsidR="00CB21A6" w:rsidRPr="000D17E2" w:rsidRDefault="00CB21A6" w:rsidP="00734F91">
            <w:pPr>
              <w:pStyle w:val="Normal-pr"/>
              <w:rPr>
                <w:b/>
                <w:bCs/>
                <w:sz w:val="20"/>
              </w:rPr>
            </w:pPr>
            <w:r w:rsidRPr="000D17E2">
              <w:rPr>
                <w:b/>
                <w:bCs/>
                <w:sz w:val="20"/>
              </w:rPr>
              <w:t>11.1.</w:t>
            </w:r>
          </w:p>
        </w:tc>
        <w:tc>
          <w:tcPr>
            <w:tcW w:w="3969" w:type="dxa"/>
            <w:shd w:val="clear" w:color="auto" w:fill="auto"/>
          </w:tcPr>
          <w:p w:rsidR="00CB21A6" w:rsidRPr="000D17E2" w:rsidRDefault="00CB21A6" w:rsidP="00734F91">
            <w:pPr>
              <w:pStyle w:val="Normal-pr"/>
              <w:rPr>
                <w:b/>
                <w:sz w:val="20"/>
              </w:rPr>
            </w:pPr>
            <w:r w:rsidRPr="000D17E2">
              <w:rPr>
                <w:b/>
                <w:sz w:val="20"/>
              </w:rPr>
              <w:t>Jei TAIP, Jūsų nuomonė apie modelį</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lengvai pritaikomas įvertinant audito riziką</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tinkamas planuojant auditą</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modelio struktūra labai aiški</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modelis atskleidžia svarbiausius audito rizikos vertinimo aspektus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modelis įtraukia visus audito rizikos komponentus</w:t>
            </w:r>
          </w:p>
          <w:p w:rsidR="00CB21A6" w:rsidRPr="000D17E2" w:rsidRDefault="00CB21A6" w:rsidP="00734F91">
            <w:pPr>
              <w:pStyle w:val="Normal-pr"/>
              <w:rPr>
                <w:b/>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noProof/>
                <w:sz w:val="20"/>
              </w:rPr>
              <w:t> </w:t>
            </w:r>
            <w:r w:rsidRPr="000D17E2">
              <w:rPr>
                <w:noProof/>
                <w:sz w:val="20"/>
              </w:rPr>
              <w:t> </w:t>
            </w:r>
            <w:r w:rsidRPr="000D17E2">
              <w:rPr>
                <w:noProof/>
                <w:sz w:val="20"/>
              </w:rPr>
              <w:t> </w:t>
            </w:r>
            <w:r w:rsidRPr="000D17E2">
              <w:rPr>
                <w:noProof/>
                <w:sz w:val="20"/>
              </w:rPr>
              <w:t> </w:t>
            </w:r>
            <w:r w:rsidRPr="000D17E2">
              <w:rPr>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rPr>
                <w:sz w:val="20"/>
              </w:rPr>
            </w:pPr>
            <w:r w:rsidRPr="000D17E2">
              <w:rPr>
                <w:sz w:val="20"/>
              </w:rPr>
              <w:t>..............................................................</w:t>
            </w:r>
          </w:p>
        </w:tc>
      </w:tr>
      <w:tr w:rsidR="00CB21A6" w:rsidRPr="000D17E2" w:rsidTr="009615AE">
        <w:tc>
          <w:tcPr>
            <w:tcW w:w="675" w:type="dxa"/>
            <w:shd w:val="clear" w:color="auto" w:fill="auto"/>
          </w:tcPr>
          <w:p w:rsidR="00CB21A6" w:rsidRPr="000D17E2" w:rsidRDefault="00CB21A6" w:rsidP="00734F91">
            <w:pPr>
              <w:pStyle w:val="Normal-pr"/>
              <w:jc w:val="left"/>
              <w:rPr>
                <w:b/>
                <w:bCs/>
                <w:sz w:val="20"/>
              </w:rPr>
            </w:pPr>
            <w:r w:rsidRPr="000D17E2">
              <w:rPr>
                <w:b/>
                <w:bCs/>
                <w:sz w:val="20"/>
              </w:rPr>
              <w:t>11.2.</w:t>
            </w:r>
          </w:p>
        </w:tc>
        <w:tc>
          <w:tcPr>
            <w:tcW w:w="3969" w:type="dxa"/>
            <w:shd w:val="clear" w:color="auto" w:fill="auto"/>
          </w:tcPr>
          <w:p w:rsidR="00CB21A6" w:rsidRPr="000D17E2" w:rsidRDefault="00CB21A6" w:rsidP="00734F91">
            <w:pPr>
              <w:pStyle w:val="Normal-pr"/>
              <w:rPr>
                <w:b/>
                <w:sz w:val="20"/>
              </w:rPr>
            </w:pPr>
            <w:r w:rsidRPr="000D17E2">
              <w:rPr>
                <w:b/>
                <w:sz w:val="20"/>
              </w:rPr>
              <w:t xml:space="preserve">Jei NE (NE VISADA), nurodykite </w:t>
            </w:r>
            <w:r w:rsidRPr="000D17E2">
              <w:rPr>
                <w:b/>
                <w:sz w:val="20"/>
                <w:u w:val="single"/>
              </w:rPr>
              <w:t xml:space="preserve">visas </w:t>
            </w:r>
            <w:r w:rsidRPr="000D17E2">
              <w:rPr>
                <w:b/>
                <w:sz w:val="20"/>
              </w:rPr>
              <w:t>priežastis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modelį sunku pritaikyti praktiškai įvertinant audito riziką</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sunku kiekybiškai įvertinti audito rizikos komponentus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modelis neišsamus (neapima visų audito rizikos komponentų) </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modelis teisingai neatspindi audito rizikos komponentų priklausomybės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modelis neparodo audito rizikos vertinimo eigos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modelis neatsižvelgia į kitus veiksnius lemiančius audito riziką</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modelio veikimo principai man nepriimtini</w:t>
            </w:r>
          </w:p>
          <w:p w:rsidR="00CB21A6" w:rsidRPr="000D17E2" w:rsidRDefault="00CB21A6" w:rsidP="00734F91">
            <w:pPr>
              <w:pStyle w:val="Normal-pr"/>
              <w:rPr>
                <w:b/>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bookmarkStart w:id="56" w:name="Text11"/>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bookmarkEnd w:id="56"/>
            <w:r w:rsidR="00CB21A6" w:rsidRPr="000D17E2">
              <w:rPr>
                <w:sz w:val="20"/>
              </w:rPr>
              <w:t>....................................................</w:t>
            </w:r>
          </w:p>
          <w:p w:rsidR="00CB21A6" w:rsidRPr="000D17E2" w:rsidRDefault="00CB21A6" w:rsidP="00734F91">
            <w:pPr>
              <w:pStyle w:val="Normal-pr"/>
              <w:rPr>
                <w:sz w:val="20"/>
              </w:rPr>
            </w:pPr>
            <w:r w:rsidRPr="000D17E2">
              <w:rPr>
                <w:sz w:val="20"/>
              </w:rPr>
              <w:t>..............................................................</w:t>
            </w:r>
          </w:p>
        </w:tc>
      </w:tr>
      <w:tr w:rsidR="00CB21A6" w:rsidRPr="000D17E2" w:rsidTr="009615AE">
        <w:trPr>
          <w:trHeight w:val="661"/>
        </w:trPr>
        <w:tc>
          <w:tcPr>
            <w:tcW w:w="675" w:type="dxa"/>
            <w:shd w:val="clear" w:color="auto" w:fill="auto"/>
          </w:tcPr>
          <w:p w:rsidR="00CB21A6" w:rsidRPr="000D17E2" w:rsidRDefault="00CB21A6" w:rsidP="00734F91">
            <w:pPr>
              <w:pStyle w:val="Normal-pr"/>
              <w:jc w:val="center"/>
              <w:rPr>
                <w:b/>
                <w:bCs/>
                <w:sz w:val="20"/>
              </w:rPr>
            </w:pPr>
            <w:r w:rsidRPr="000D17E2">
              <w:rPr>
                <w:b/>
                <w:bCs/>
                <w:sz w:val="20"/>
              </w:rPr>
              <w:lastRenderedPageBreak/>
              <w:t>12.</w:t>
            </w:r>
          </w:p>
        </w:tc>
        <w:tc>
          <w:tcPr>
            <w:tcW w:w="3969" w:type="dxa"/>
            <w:shd w:val="clear" w:color="auto" w:fill="auto"/>
          </w:tcPr>
          <w:p w:rsidR="00CB21A6" w:rsidRPr="000D17E2" w:rsidRDefault="00CB21A6" w:rsidP="00734F91">
            <w:pPr>
              <w:pStyle w:val="Normal-pr"/>
              <w:rPr>
                <w:b/>
                <w:sz w:val="20"/>
              </w:rPr>
            </w:pPr>
            <w:r w:rsidRPr="000D17E2">
              <w:rPr>
                <w:b/>
                <w:sz w:val="20"/>
              </w:rPr>
              <w:t>Ar audito rizikos vertinimui naudojate kitą nei klasikinį audito rizikos modelį:</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E31795">
        <w:trPr>
          <w:trHeight w:val="447"/>
        </w:trPr>
        <w:tc>
          <w:tcPr>
            <w:tcW w:w="675" w:type="dxa"/>
            <w:shd w:val="clear" w:color="auto" w:fill="auto"/>
          </w:tcPr>
          <w:p w:rsidR="00CB21A6" w:rsidRPr="000D17E2" w:rsidRDefault="00CB21A6" w:rsidP="00734F91">
            <w:pPr>
              <w:pStyle w:val="Normal-pr"/>
              <w:jc w:val="center"/>
              <w:rPr>
                <w:b/>
                <w:bCs/>
                <w:sz w:val="20"/>
              </w:rPr>
            </w:pPr>
            <w:r w:rsidRPr="000D17E2">
              <w:rPr>
                <w:b/>
                <w:bCs/>
                <w:sz w:val="20"/>
              </w:rPr>
              <w:t>12.1.</w:t>
            </w:r>
          </w:p>
        </w:tc>
        <w:tc>
          <w:tcPr>
            <w:tcW w:w="3969" w:type="dxa"/>
            <w:shd w:val="clear" w:color="auto" w:fill="auto"/>
          </w:tcPr>
          <w:p w:rsidR="00CB21A6" w:rsidRPr="000D17E2" w:rsidRDefault="00CB21A6" w:rsidP="00734F91">
            <w:pPr>
              <w:pStyle w:val="Normal-pr"/>
              <w:rPr>
                <w:b/>
                <w:sz w:val="20"/>
              </w:rPr>
            </w:pPr>
            <w:r w:rsidRPr="000D17E2">
              <w:rPr>
                <w:b/>
                <w:sz w:val="20"/>
              </w:rPr>
              <w:t>Jei TAIP (NE VISADA), įvardinkite ir apibūdinkite</w:t>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rPr>
                <w:sz w:val="20"/>
              </w:rPr>
            </w:pPr>
          </w:p>
        </w:tc>
      </w:tr>
      <w:tr w:rsidR="00CB21A6" w:rsidRPr="000D17E2" w:rsidTr="009615AE">
        <w:trPr>
          <w:trHeight w:val="704"/>
        </w:trPr>
        <w:tc>
          <w:tcPr>
            <w:tcW w:w="675" w:type="dxa"/>
            <w:shd w:val="clear" w:color="auto" w:fill="auto"/>
          </w:tcPr>
          <w:p w:rsidR="00CB21A6" w:rsidRPr="000D17E2" w:rsidRDefault="00CB21A6" w:rsidP="00734F91">
            <w:pPr>
              <w:pStyle w:val="Normal-pr"/>
              <w:jc w:val="center"/>
              <w:rPr>
                <w:b/>
                <w:bCs/>
                <w:sz w:val="20"/>
              </w:rPr>
            </w:pPr>
            <w:r w:rsidRPr="000D17E2">
              <w:rPr>
                <w:b/>
                <w:bCs/>
                <w:sz w:val="20"/>
              </w:rPr>
              <w:t>13.</w:t>
            </w:r>
          </w:p>
        </w:tc>
        <w:tc>
          <w:tcPr>
            <w:tcW w:w="3969" w:type="dxa"/>
            <w:shd w:val="clear" w:color="auto" w:fill="auto"/>
          </w:tcPr>
          <w:p w:rsidR="00CB21A6" w:rsidRPr="000D17E2" w:rsidRDefault="00CB21A6" w:rsidP="00734F91">
            <w:pPr>
              <w:pStyle w:val="Normal-pr"/>
              <w:rPr>
                <w:b/>
                <w:sz w:val="20"/>
              </w:rPr>
            </w:pPr>
            <w:r w:rsidRPr="000D17E2">
              <w:rPr>
                <w:b/>
                <w:sz w:val="20"/>
              </w:rPr>
              <w:t>Ar žinote kitus praktikoje taikomus audito rizikos vertinimo modelius?</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p>
        </w:tc>
      </w:tr>
      <w:tr w:rsidR="00CB21A6" w:rsidRPr="000D17E2" w:rsidTr="00E31795">
        <w:trPr>
          <w:trHeight w:val="406"/>
        </w:trPr>
        <w:tc>
          <w:tcPr>
            <w:tcW w:w="675" w:type="dxa"/>
            <w:shd w:val="clear" w:color="auto" w:fill="auto"/>
          </w:tcPr>
          <w:p w:rsidR="00CB21A6" w:rsidRPr="000D17E2" w:rsidRDefault="00CB21A6" w:rsidP="00734F91">
            <w:pPr>
              <w:pStyle w:val="Normal-pr"/>
              <w:jc w:val="center"/>
              <w:rPr>
                <w:b/>
                <w:bCs/>
                <w:sz w:val="20"/>
              </w:rPr>
            </w:pPr>
            <w:r w:rsidRPr="000D17E2">
              <w:rPr>
                <w:b/>
                <w:bCs/>
                <w:sz w:val="20"/>
              </w:rPr>
              <w:t>13.1.</w:t>
            </w:r>
          </w:p>
        </w:tc>
        <w:tc>
          <w:tcPr>
            <w:tcW w:w="3969" w:type="dxa"/>
            <w:shd w:val="clear" w:color="auto" w:fill="auto"/>
          </w:tcPr>
          <w:p w:rsidR="00CB21A6" w:rsidRPr="000D17E2" w:rsidRDefault="00CB21A6" w:rsidP="00734F91">
            <w:pPr>
              <w:pStyle w:val="Normal-pr"/>
              <w:rPr>
                <w:b/>
                <w:sz w:val="20"/>
              </w:rPr>
            </w:pPr>
            <w:r w:rsidRPr="000D17E2">
              <w:rPr>
                <w:b/>
                <w:sz w:val="20"/>
              </w:rPr>
              <w:t>Jei TAIP, įvardinkite ir apibūdinkite</w:t>
            </w:r>
          </w:p>
        </w:tc>
        <w:tc>
          <w:tcPr>
            <w:tcW w:w="3828" w:type="dxa"/>
            <w:gridSpan w:val="3"/>
            <w:shd w:val="clear" w:color="auto" w:fill="auto"/>
            <w:vAlign w:val="center"/>
          </w:tcPr>
          <w:p w:rsidR="00CB21A6" w:rsidRPr="000D17E2" w:rsidRDefault="00166819" w:rsidP="00E31795">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tc>
      </w:tr>
      <w:tr w:rsidR="00CB21A6" w:rsidRPr="000D17E2" w:rsidTr="009615AE">
        <w:trPr>
          <w:trHeight w:val="704"/>
        </w:trPr>
        <w:tc>
          <w:tcPr>
            <w:tcW w:w="675" w:type="dxa"/>
            <w:shd w:val="clear" w:color="auto" w:fill="auto"/>
          </w:tcPr>
          <w:p w:rsidR="00CB21A6" w:rsidRPr="000D17E2" w:rsidRDefault="00CB21A6" w:rsidP="00734F91">
            <w:pPr>
              <w:pStyle w:val="Normal-pr"/>
              <w:jc w:val="center"/>
              <w:rPr>
                <w:b/>
                <w:bCs/>
                <w:sz w:val="20"/>
              </w:rPr>
            </w:pPr>
            <w:r w:rsidRPr="000D17E2">
              <w:rPr>
                <w:b/>
                <w:bCs/>
                <w:sz w:val="20"/>
              </w:rPr>
              <w:t>14.</w:t>
            </w:r>
          </w:p>
        </w:tc>
        <w:tc>
          <w:tcPr>
            <w:tcW w:w="3969" w:type="dxa"/>
            <w:shd w:val="clear" w:color="auto" w:fill="auto"/>
          </w:tcPr>
          <w:p w:rsidR="00CB21A6" w:rsidRPr="000D17E2" w:rsidRDefault="00CB21A6" w:rsidP="00734F91">
            <w:pPr>
              <w:pStyle w:val="Normal-pr"/>
              <w:rPr>
                <w:b/>
                <w:sz w:val="20"/>
              </w:rPr>
            </w:pPr>
            <w:r w:rsidRPr="000D17E2">
              <w:rPr>
                <w:b/>
                <w:sz w:val="20"/>
              </w:rPr>
              <w:t>Ar audito riziką ir/ar jos komponentus vertinate skirtingu pasireiškimo lygmeniu?</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1314"/>
        </w:trPr>
        <w:tc>
          <w:tcPr>
            <w:tcW w:w="675" w:type="dxa"/>
            <w:shd w:val="clear" w:color="auto" w:fill="auto"/>
          </w:tcPr>
          <w:p w:rsidR="00CB21A6" w:rsidRPr="000D17E2" w:rsidRDefault="00CB21A6" w:rsidP="00734F91">
            <w:pPr>
              <w:pStyle w:val="Normal-pr"/>
              <w:jc w:val="center"/>
              <w:rPr>
                <w:b/>
                <w:bCs/>
                <w:sz w:val="20"/>
              </w:rPr>
            </w:pPr>
            <w:r w:rsidRPr="000D17E2">
              <w:rPr>
                <w:b/>
                <w:bCs/>
                <w:sz w:val="20"/>
              </w:rPr>
              <w:t>14.1.</w:t>
            </w:r>
          </w:p>
        </w:tc>
        <w:tc>
          <w:tcPr>
            <w:tcW w:w="3969" w:type="dxa"/>
            <w:shd w:val="clear" w:color="auto" w:fill="auto"/>
          </w:tcPr>
          <w:p w:rsidR="00CB21A6" w:rsidRPr="000D17E2" w:rsidRDefault="00CB21A6" w:rsidP="00734F91">
            <w:pPr>
              <w:pStyle w:val="Normal-pr"/>
              <w:rPr>
                <w:b/>
                <w:sz w:val="20"/>
              </w:rPr>
            </w:pPr>
            <w:r w:rsidRPr="000D17E2">
              <w:rPr>
                <w:b/>
                <w:sz w:val="20"/>
              </w:rPr>
              <w:t>Jei TAIP, kokiu pasireiškimo lygmeniu</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finansinių ataskaitų </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ūkinių operacijų grupių, sąskaitų likučių ir atskleidimų </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konkretaus tvirtinimo</w:t>
            </w:r>
          </w:p>
          <w:p w:rsidR="00CB21A6" w:rsidRPr="000D17E2" w:rsidRDefault="00CB21A6" w:rsidP="00734F91">
            <w:pPr>
              <w:pStyle w:val="Normal-pr"/>
              <w:rPr>
                <w:b/>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ind w:right="-144"/>
              <w:rPr>
                <w:sz w:val="20"/>
              </w:rPr>
            </w:pPr>
            <w:r w:rsidRPr="000D17E2">
              <w:rPr>
                <w:sz w:val="20"/>
              </w:rPr>
              <w:t>..............................................................</w:t>
            </w:r>
          </w:p>
        </w:tc>
      </w:tr>
      <w:tr w:rsidR="00CB21A6" w:rsidRPr="000D17E2" w:rsidTr="00E31795">
        <w:trPr>
          <w:trHeight w:val="557"/>
        </w:trPr>
        <w:tc>
          <w:tcPr>
            <w:tcW w:w="675" w:type="dxa"/>
            <w:shd w:val="clear" w:color="auto" w:fill="auto"/>
          </w:tcPr>
          <w:p w:rsidR="00CB21A6" w:rsidRPr="000D17E2" w:rsidRDefault="00CB21A6" w:rsidP="00734F91">
            <w:pPr>
              <w:pStyle w:val="Normal-pr"/>
              <w:jc w:val="center"/>
              <w:rPr>
                <w:b/>
                <w:bCs/>
                <w:sz w:val="20"/>
              </w:rPr>
            </w:pPr>
            <w:r w:rsidRPr="000D17E2">
              <w:rPr>
                <w:b/>
                <w:bCs/>
                <w:sz w:val="20"/>
              </w:rPr>
              <w:t>14.2.</w:t>
            </w:r>
          </w:p>
        </w:tc>
        <w:tc>
          <w:tcPr>
            <w:tcW w:w="3969" w:type="dxa"/>
            <w:shd w:val="clear" w:color="auto" w:fill="auto"/>
          </w:tcPr>
          <w:p w:rsidR="00CB21A6" w:rsidRPr="000D17E2" w:rsidRDefault="00CB21A6" w:rsidP="00734F91">
            <w:pPr>
              <w:pStyle w:val="Normal-pr"/>
              <w:rPr>
                <w:b/>
                <w:sz w:val="20"/>
              </w:rPr>
            </w:pPr>
            <w:r w:rsidRPr="000D17E2">
              <w:rPr>
                <w:b/>
                <w:sz w:val="20"/>
              </w:rPr>
              <w:t xml:space="preserve">Jei NE (NE VISADA), nurodykite priežastis </w:t>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tc>
      </w:tr>
      <w:tr w:rsidR="00CB21A6" w:rsidRPr="000D17E2" w:rsidTr="00E31795">
        <w:trPr>
          <w:trHeight w:val="579"/>
        </w:trPr>
        <w:tc>
          <w:tcPr>
            <w:tcW w:w="675" w:type="dxa"/>
            <w:shd w:val="clear" w:color="auto" w:fill="auto"/>
          </w:tcPr>
          <w:p w:rsidR="00CB21A6" w:rsidRPr="000D17E2" w:rsidRDefault="00CB21A6" w:rsidP="00734F91">
            <w:pPr>
              <w:pStyle w:val="Normal-pr"/>
              <w:jc w:val="center"/>
              <w:rPr>
                <w:b/>
                <w:bCs/>
                <w:sz w:val="20"/>
              </w:rPr>
            </w:pPr>
            <w:r w:rsidRPr="000D17E2">
              <w:rPr>
                <w:b/>
                <w:bCs/>
                <w:sz w:val="20"/>
              </w:rPr>
              <w:t>15.</w:t>
            </w:r>
          </w:p>
        </w:tc>
        <w:tc>
          <w:tcPr>
            <w:tcW w:w="3969" w:type="dxa"/>
            <w:shd w:val="clear" w:color="auto" w:fill="auto"/>
          </w:tcPr>
          <w:p w:rsidR="00CB21A6" w:rsidRPr="000D17E2" w:rsidRDefault="00CB21A6" w:rsidP="00734F91">
            <w:pPr>
              <w:pStyle w:val="Normal-pr"/>
              <w:rPr>
                <w:b/>
                <w:sz w:val="20"/>
              </w:rPr>
            </w:pPr>
            <w:r w:rsidRPr="000D17E2">
              <w:rPr>
                <w:b/>
                <w:sz w:val="20"/>
              </w:rPr>
              <w:t>Ar audito riziką ir/ar jos komponentus vertinate tik viename audito proceso etape?</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bookmarkStart w:id="57" w:name="Check7"/>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bookmarkEnd w:id="57"/>
          </w:p>
        </w:tc>
        <w:tc>
          <w:tcPr>
            <w:tcW w:w="1418" w:type="dxa"/>
            <w:shd w:val="clear" w:color="auto" w:fill="auto"/>
            <w:vAlign w:val="center"/>
          </w:tcPr>
          <w:p w:rsidR="00CB21A6" w:rsidRPr="000D17E2" w:rsidRDefault="00CB21A6" w:rsidP="00734F91">
            <w:pPr>
              <w:pStyle w:val="Normal-pr"/>
              <w:ind w:right="-144"/>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626"/>
        </w:trPr>
        <w:tc>
          <w:tcPr>
            <w:tcW w:w="675" w:type="dxa"/>
            <w:shd w:val="clear" w:color="auto" w:fill="auto"/>
          </w:tcPr>
          <w:p w:rsidR="00CB21A6" w:rsidRPr="000D17E2" w:rsidRDefault="00CB21A6" w:rsidP="00734F91">
            <w:pPr>
              <w:pStyle w:val="Normal-pr"/>
              <w:jc w:val="center"/>
              <w:rPr>
                <w:b/>
                <w:bCs/>
                <w:sz w:val="20"/>
              </w:rPr>
            </w:pPr>
            <w:r w:rsidRPr="000D17E2">
              <w:rPr>
                <w:b/>
                <w:bCs/>
                <w:sz w:val="20"/>
              </w:rPr>
              <w:t>15.1.</w:t>
            </w:r>
          </w:p>
        </w:tc>
        <w:tc>
          <w:tcPr>
            <w:tcW w:w="3969" w:type="dxa"/>
            <w:shd w:val="clear" w:color="auto" w:fill="auto"/>
          </w:tcPr>
          <w:p w:rsidR="00CB21A6" w:rsidRPr="000D17E2" w:rsidRDefault="00CB21A6" w:rsidP="00734F91">
            <w:pPr>
              <w:pStyle w:val="Normal-pr"/>
              <w:rPr>
                <w:b/>
                <w:sz w:val="20"/>
              </w:rPr>
            </w:pPr>
            <w:r w:rsidRPr="000D17E2">
              <w:rPr>
                <w:b/>
                <w:sz w:val="20"/>
              </w:rPr>
              <w:t xml:space="preserve">Jei NE (NE VISADA), nurodykite </w:t>
            </w:r>
            <w:r w:rsidRPr="000D17E2">
              <w:rPr>
                <w:b/>
                <w:sz w:val="20"/>
                <w:u w:val="single"/>
              </w:rPr>
              <w:t>visus</w:t>
            </w:r>
            <w:r w:rsidRPr="000D17E2">
              <w:rPr>
                <w:b/>
                <w:sz w:val="20"/>
              </w:rPr>
              <w:t xml:space="preserve"> etapus kuomet (per)vertinate reikšmingo iškraipymo rizikas (įgimtą riziką ir kontrolės riziką):</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susipažinimas su klientu</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audito planavimas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kontrolės tyrimas/detalus tikrinimas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nuomonės formulavimas</w:t>
            </w:r>
          </w:p>
          <w:p w:rsidR="00CB21A6" w:rsidRPr="000D17E2" w:rsidRDefault="00CB21A6" w:rsidP="00734F91">
            <w:pPr>
              <w:pStyle w:val="Normal-pr"/>
              <w:rPr>
                <w:b/>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ind w:right="-144"/>
              <w:rPr>
                <w:sz w:val="20"/>
              </w:rPr>
            </w:pPr>
            <w:r w:rsidRPr="000D17E2">
              <w:rPr>
                <w:sz w:val="20"/>
              </w:rPr>
              <w:t>..............................................................</w:t>
            </w:r>
          </w:p>
        </w:tc>
      </w:tr>
      <w:tr w:rsidR="00CB21A6" w:rsidRPr="000D17E2" w:rsidTr="009615AE">
        <w:trPr>
          <w:trHeight w:val="1314"/>
        </w:trPr>
        <w:tc>
          <w:tcPr>
            <w:tcW w:w="675" w:type="dxa"/>
            <w:shd w:val="clear" w:color="auto" w:fill="auto"/>
          </w:tcPr>
          <w:p w:rsidR="00CB21A6" w:rsidRPr="000D17E2" w:rsidRDefault="00CB21A6" w:rsidP="00734F91">
            <w:pPr>
              <w:pStyle w:val="Normal-pr"/>
              <w:jc w:val="center"/>
              <w:rPr>
                <w:b/>
                <w:bCs/>
                <w:sz w:val="20"/>
              </w:rPr>
            </w:pPr>
            <w:r w:rsidRPr="000D17E2">
              <w:rPr>
                <w:b/>
                <w:bCs/>
                <w:sz w:val="20"/>
              </w:rPr>
              <w:t>15.2.</w:t>
            </w:r>
          </w:p>
        </w:tc>
        <w:tc>
          <w:tcPr>
            <w:tcW w:w="3969" w:type="dxa"/>
            <w:shd w:val="clear" w:color="auto" w:fill="auto"/>
          </w:tcPr>
          <w:p w:rsidR="00CB21A6" w:rsidRPr="000D17E2" w:rsidRDefault="00CB21A6" w:rsidP="00734F91">
            <w:pPr>
              <w:pStyle w:val="Normal-pr"/>
              <w:rPr>
                <w:b/>
                <w:sz w:val="20"/>
              </w:rPr>
            </w:pPr>
            <w:r w:rsidRPr="000D17E2">
              <w:rPr>
                <w:b/>
                <w:sz w:val="20"/>
              </w:rPr>
              <w:t xml:space="preserve">Jei NE (NE VISADA), nurodykite </w:t>
            </w:r>
            <w:r w:rsidRPr="000D17E2">
              <w:rPr>
                <w:b/>
                <w:sz w:val="20"/>
                <w:u w:val="single"/>
              </w:rPr>
              <w:t>visus</w:t>
            </w:r>
            <w:r w:rsidRPr="000D17E2">
              <w:rPr>
                <w:b/>
                <w:sz w:val="20"/>
              </w:rPr>
              <w:t xml:space="preserve"> etapus kuomet (per)vertinate aptikimo riziką:</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susipažinimas su klientu</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audito planavimas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kontrolės tyrimas/detalus tikrinimas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nuomonės formulavimas</w:t>
            </w:r>
          </w:p>
          <w:p w:rsidR="00CB21A6" w:rsidRPr="000D17E2" w:rsidRDefault="00CB21A6" w:rsidP="00734F91">
            <w:pPr>
              <w:pStyle w:val="Normal-pr"/>
              <w:rPr>
                <w:b/>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ind w:right="-144"/>
              <w:rPr>
                <w:sz w:val="20"/>
              </w:rPr>
            </w:pPr>
            <w:r w:rsidRPr="000D17E2">
              <w:rPr>
                <w:sz w:val="20"/>
              </w:rPr>
              <w:t>..............................................................</w:t>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16.</w:t>
            </w:r>
          </w:p>
        </w:tc>
        <w:tc>
          <w:tcPr>
            <w:tcW w:w="3969" w:type="dxa"/>
            <w:shd w:val="clear" w:color="auto" w:fill="auto"/>
          </w:tcPr>
          <w:p w:rsidR="00CB21A6" w:rsidRPr="000D17E2" w:rsidRDefault="00CB21A6" w:rsidP="00734F91">
            <w:pPr>
              <w:pStyle w:val="Normal-pr"/>
              <w:rPr>
                <w:b/>
                <w:sz w:val="20"/>
              </w:rPr>
            </w:pPr>
            <w:r w:rsidRPr="000D17E2">
              <w:rPr>
                <w:b/>
                <w:sz w:val="20"/>
              </w:rPr>
              <w:t>Ar reikšmingo iškraipymo rizikas (įgimtą ir kontrolės rizikas) pasireiškiančias dėl apgaulės ir dėl klaidos vertinate atskirai?</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16.1.</w:t>
            </w:r>
          </w:p>
        </w:tc>
        <w:tc>
          <w:tcPr>
            <w:tcW w:w="3969" w:type="dxa"/>
            <w:shd w:val="clear" w:color="auto" w:fill="auto"/>
          </w:tcPr>
          <w:p w:rsidR="00CB21A6" w:rsidRPr="000D17E2" w:rsidRDefault="00CB21A6" w:rsidP="00734F91">
            <w:pPr>
              <w:pStyle w:val="Normal-pr"/>
              <w:rPr>
                <w:b/>
                <w:sz w:val="20"/>
              </w:rPr>
            </w:pPr>
            <w:r w:rsidRPr="000D17E2">
              <w:rPr>
                <w:b/>
                <w:sz w:val="20"/>
              </w:rPr>
              <w:t xml:space="preserve">Jei TAIP, ar manote, kad </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apgaulės nagrinėjimui turi būti skiriamas didesnis dėmesys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apgaulę daug sunkiau nustatyti</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apgaulę lemia sąlygos (spaudimas/galimybės/ racionalizacija), kurios nėra svarbios klaidų atsiradimui</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apgaulės vertinimui svarbūs ir asmens vykdančio apgaulę sugebėjimai</w:t>
            </w:r>
          </w:p>
          <w:p w:rsidR="00CB21A6" w:rsidRPr="000D17E2" w:rsidRDefault="00166819" w:rsidP="00734F91">
            <w:pPr>
              <w:pStyle w:val="Normal-pr"/>
              <w:rPr>
                <w:b/>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apgaulę dažniau vykdo įmonės vadovybė nei jos darbuotojai</w:t>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ind w:right="-144"/>
              <w:rPr>
                <w:sz w:val="20"/>
              </w:rPr>
            </w:pPr>
            <w:r w:rsidRPr="000D17E2">
              <w:rPr>
                <w:sz w:val="20"/>
              </w:rPr>
              <w:t>.............................................................</w:t>
            </w:r>
          </w:p>
        </w:tc>
      </w:tr>
      <w:tr w:rsidR="00CB21A6" w:rsidRPr="000D17E2" w:rsidTr="00E31795">
        <w:trPr>
          <w:trHeight w:val="282"/>
        </w:trPr>
        <w:tc>
          <w:tcPr>
            <w:tcW w:w="675" w:type="dxa"/>
            <w:shd w:val="clear" w:color="auto" w:fill="auto"/>
          </w:tcPr>
          <w:p w:rsidR="00CB21A6" w:rsidRPr="000D17E2" w:rsidRDefault="00CB21A6" w:rsidP="00734F91">
            <w:pPr>
              <w:pStyle w:val="Normal-pr"/>
              <w:jc w:val="center"/>
              <w:rPr>
                <w:b/>
                <w:bCs/>
                <w:sz w:val="20"/>
              </w:rPr>
            </w:pPr>
            <w:r w:rsidRPr="000D17E2">
              <w:rPr>
                <w:b/>
                <w:bCs/>
                <w:sz w:val="20"/>
              </w:rPr>
              <w:t>17.</w:t>
            </w:r>
          </w:p>
        </w:tc>
        <w:tc>
          <w:tcPr>
            <w:tcW w:w="3969" w:type="dxa"/>
            <w:shd w:val="clear" w:color="auto" w:fill="auto"/>
          </w:tcPr>
          <w:p w:rsidR="00CB21A6" w:rsidRPr="000D17E2" w:rsidRDefault="00CB21A6" w:rsidP="00734F91">
            <w:pPr>
              <w:pStyle w:val="Normal-pr"/>
              <w:rPr>
                <w:b/>
                <w:sz w:val="20"/>
              </w:rPr>
            </w:pPr>
            <w:r w:rsidRPr="000D17E2">
              <w:rPr>
                <w:b/>
                <w:sz w:val="20"/>
              </w:rPr>
              <w:t>Ar vertindami reikšmingo iškraipymo rizikas (įgimtą ir kontrolės rizikas) nagrinėjate audituojamos įmonės verslo riziką?</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lastRenderedPageBreak/>
              <w:t>17.1.</w:t>
            </w:r>
          </w:p>
        </w:tc>
        <w:tc>
          <w:tcPr>
            <w:tcW w:w="3969" w:type="dxa"/>
            <w:shd w:val="clear" w:color="auto" w:fill="auto"/>
          </w:tcPr>
          <w:p w:rsidR="00CB21A6" w:rsidRPr="000D17E2" w:rsidRDefault="00CB21A6" w:rsidP="00734F91">
            <w:pPr>
              <w:pStyle w:val="Normal-pr"/>
              <w:rPr>
                <w:b/>
                <w:sz w:val="20"/>
              </w:rPr>
            </w:pPr>
            <w:r w:rsidRPr="000D17E2">
              <w:rPr>
                <w:b/>
                <w:sz w:val="20"/>
              </w:rPr>
              <w:t xml:space="preserve">Jei TAIP, ar manote, kad audituojamos įmonės verslo rizikai, reikėtų skirti daugiau dėmesio ir atskirai ją nagrinėti? </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18.</w:t>
            </w:r>
          </w:p>
        </w:tc>
        <w:tc>
          <w:tcPr>
            <w:tcW w:w="3969" w:type="dxa"/>
            <w:shd w:val="clear" w:color="auto" w:fill="auto"/>
          </w:tcPr>
          <w:p w:rsidR="00CB21A6" w:rsidRPr="000D17E2" w:rsidRDefault="00CB21A6" w:rsidP="00734F91">
            <w:pPr>
              <w:pStyle w:val="Normal-pr"/>
              <w:rPr>
                <w:b/>
                <w:sz w:val="20"/>
              </w:rPr>
            </w:pPr>
            <w:r w:rsidRPr="000D17E2">
              <w:rPr>
                <w:b/>
                <w:sz w:val="20"/>
              </w:rPr>
              <w:t>Ar aptikimo riziką dėl atrankos taikymo ir ne dėl atrankos vertinate atskirai?</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18.1.</w:t>
            </w:r>
          </w:p>
        </w:tc>
        <w:tc>
          <w:tcPr>
            <w:tcW w:w="3969" w:type="dxa"/>
            <w:shd w:val="clear" w:color="auto" w:fill="auto"/>
          </w:tcPr>
          <w:p w:rsidR="00CB21A6" w:rsidRPr="000D17E2" w:rsidRDefault="00CB21A6" w:rsidP="00734F91">
            <w:pPr>
              <w:pStyle w:val="Normal-pr"/>
              <w:rPr>
                <w:b/>
                <w:sz w:val="20"/>
              </w:rPr>
            </w:pPr>
            <w:r w:rsidRPr="000D17E2">
              <w:rPr>
                <w:b/>
                <w:sz w:val="20"/>
              </w:rPr>
              <w:t>Jei NE (NE VISADA), ar manote, kad toks vertinimas galėtų būti efektyvus?</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19.</w:t>
            </w:r>
          </w:p>
        </w:tc>
        <w:tc>
          <w:tcPr>
            <w:tcW w:w="3969" w:type="dxa"/>
            <w:shd w:val="clear" w:color="auto" w:fill="auto"/>
          </w:tcPr>
          <w:p w:rsidR="00CB21A6" w:rsidRPr="000D17E2" w:rsidRDefault="00CB21A6" w:rsidP="00734F91">
            <w:pPr>
              <w:pStyle w:val="Normal-pr"/>
              <w:rPr>
                <w:b/>
                <w:sz w:val="20"/>
              </w:rPr>
            </w:pPr>
            <w:r w:rsidRPr="000D17E2">
              <w:rPr>
                <w:b/>
                <w:sz w:val="20"/>
              </w:rPr>
              <w:t>Ar atrankos riziką vertinate tik tuomet, kai testavimui naudojate statistinį atrankos būdą?</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19.1.</w:t>
            </w:r>
          </w:p>
        </w:tc>
        <w:tc>
          <w:tcPr>
            <w:tcW w:w="3969" w:type="dxa"/>
            <w:shd w:val="clear" w:color="auto" w:fill="auto"/>
          </w:tcPr>
          <w:p w:rsidR="00CB21A6" w:rsidRPr="000D17E2" w:rsidRDefault="00CB21A6" w:rsidP="00734F91">
            <w:pPr>
              <w:pStyle w:val="Normal-pr"/>
              <w:rPr>
                <w:b/>
                <w:sz w:val="20"/>
              </w:rPr>
            </w:pPr>
            <w:r w:rsidRPr="000D17E2">
              <w:rPr>
                <w:b/>
                <w:sz w:val="20"/>
              </w:rPr>
              <w:t>Jei NE, nurodykite</w:t>
            </w:r>
            <w:r w:rsidRPr="000D17E2">
              <w:rPr>
                <w:b/>
                <w:sz w:val="20"/>
                <w:u w:val="single"/>
              </w:rPr>
              <w:t xml:space="preserve"> visas</w:t>
            </w:r>
            <w:r w:rsidRPr="000D17E2">
              <w:rPr>
                <w:b/>
                <w:sz w:val="20"/>
              </w:rPr>
              <w:t xml:space="preserve"> priežastis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nežinau metodo kaip ją apskaičiuoti </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sunku ją kiekybiškai įvertinti </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nematau tikslo ją vertinti, kai kiti audito rizikos komponentai nėra tiksliai vertinami </w:t>
            </w:r>
          </w:p>
          <w:p w:rsidR="00CB21A6" w:rsidRPr="000D17E2" w:rsidRDefault="00CB21A6" w:rsidP="00734F91">
            <w:pPr>
              <w:pStyle w:val="Normal-pr"/>
              <w:rPr>
                <w:b/>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ind w:right="-144"/>
              <w:rPr>
                <w:sz w:val="20"/>
              </w:rPr>
            </w:pPr>
            <w:r w:rsidRPr="000D17E2">
              <w:rPr>
                <w:sz w:val="20"/>
              </w:rPr>
              <w:t>............................................................</w:t>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 xml:space="preserve">20. </w:t>
            </w:r>
          </w:p>
        </w:tc>
        <w:tc>
          <w:tcPr>
            <w:tcW w:w="3969" w:type="dxa"/>
            <w:shd w:val="clear" w:color="auto" w:fill="auto"/>
          </w:tcPr>
          <w:p w:rsidR="00CB21A6" w:rsidRPr="000D17E2" w:rsidRDefault="00CB21A6" w:rsidP="00734F91">
            <w:pPr>
              <w:pStyle w:val="Normal-pr"/>
              <w:rPr>
                <w:b/>
                <w:sz w:val="20"/>
              </w:rPr>
            </w:pPr>
            <w:r w:rsidRPr="000D17E2">
              <w:rPr>
                <w:b/>
                <w:sz w:val="20"/>
              </w:rPr>
              <w:t>Ar manote, kad klasikinio audito rizikos modelio sandarą ir matematinę išraišką reikėtų peržiūrėti?</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21.</w:t>
            </w:r>
          </w:p>
        </w:tc>
        <w:tc>
          <w:tcPr>
            <w:tcW w:w="3969" w:type="dxa"/>
            <w:shd w:val="clear" w:color="auto" w:fill="auto"/>
          </w:tcPr>
          <w:p w:rsidR="00CB21A6" w:rsidRPr="000D17E2" w:rsidRDefault="00CB21A6" w:rsidP="00734F91">
            <w:pPr>
              <w:pStyle w:val="Normal-pr"/>
              <w:rPr>
                <w:b/>
                <w:sz w:val="20"/>
              </w:rPr>
            </w:pPr>
            <w:r w:rsidRPr="000D17E2">
              <w:rPr>
                <w:b/>
                <w:sz w:val="20"/>
              </w:rPr>
              <w:t>Kaip manote, ar vertinant audito riziką reikėtų atsižvelgti į kitas rizikas, neaptartas klasikiniame audito rizikos modelyje?</w:t>
            </w:r>
          </w:p>
        </w:tc>
        <w:tc>
          <w:tcPr>
            <w:tcW w:w="1134" w:type="dxa"/>
            <w:shd w:val="clear" w:color="auto" w:fill="auto"/>
            <w:vAlign w:val="center"/>
          </w:tcPr>
          <w:p w:rsidR="00CB21A6" w:rsidRPr="000D17E2" w:rsidRDefault="00CB21A6" w:rsidP="00734F91">
            <w:pPr>
              <w:pStyle w:val="Normal-pr"/>
              <w:rPr>
                <w:sz w:val="20"/>
              </w:rPr>
            </w:pPr>
            <w:r w:rsidRPr="000D17E2">
              <w:rPr>
                <w:sz w:val="20"/>
              </w:rPr>
              <w:t xml:space="preserve">Taip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276" w:type="dxa"/>
            <w:shd w:val="clear" w:color="auto" w:fill="auto"/>
            <w:vAlign w:val="center"/>
          </w:tcPr>
          <w:p w:rsidR="00CB21A6" w:rsidRPr="000D17E2" w:rsidRDefault="00CB21A6" w:rsidP="00734F91">
            <w:pPr>
              <w:pStyle w:val="Normal-pr"/>
              <w:rPr>
                <w:sz w:val="20"/>
              </w:rPr>
            </w:pPr>
            <w:r w:rsidRPr="000D17E2">
              <w:rPr>
                <w:sz w:val="20"/>
              </w:rPr>
              <w:t xml:space="preserve">Ne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c>
          <w:tcPr>
            <w:tcW w:w="1418" w:type="dxa"/>
            <w:shd w:val="clear" w:color="auto" w:fill="auto"/>
            <w:vAlign w:val="center"/>
          </w:tcPr>
          <w:p w:rsidR="00CB21A6" w:rsidRPr="000D17E2" w:rsidRDefault="00CB21A6" w:rsidP="00734F91">
            <w:pPr>
              <w:pStyle w:val="Normal-pr"/>
              <w:ind w:right="-144"/>
              <w:rPr>
                <w:sz w:val="20"/>
              </w:rPr>
            </w:pPr>
            <w:r w:rsidRPr="000D17E2">
              <w:rPr>
                <w:sz w:val="20"/>
              </w:rPr>
              <w:t xml:space="preserve">Ne visada </w:t>
            </w:r>
            <w:r w:rsidR="00166819" w:rsidRPr="000D17E2">
              <w:rPr>
                <w:sz w:val="20"/>
              </w:rPr>
              <w:fldChar w:fldCharType="begin">
                <w:ffData>
                  <w:name w:val="Check7"/>
                  <w:enabled/>
                  <w:calcOnExit w:val="0"/>
                  <w:checkBox>
                    <w:sizeAuto/>
                    <w:default w:val="0"/>
                  </w:checkBox>
                </w:ffData>
              </w:fldChar>
            </w:r>
            <w:r w:rsidRPr="000D17E2">
              <w:rPr>
                <w:sz w:val="20"/>
              </w:rPr>
              <w:instrText xml:space="preserve"> FORMCHECKBOX </w:instrText>
            </w:r>
            <w:r w:rsidR="00166819" w:rsidRPr="000D17E2">
              <w:rPr>
                <w:sz w:val="20"/>
              </w:rPr>
            </w:r>
            <w:r w:rsidR="00166819" w:rsidRPr="000D17E2">
              <w:rPr>
                <w:sz w:val="20"/>
              </w:rPr>
              <w:fldChar w:fldCharType="end"/>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21.1.</w:t>
            </w:r>
          </w:p>
        </w:tc>
        <w:tc>
          <w:tcPr>
            <w:tcW w:w="3969" w:type="dxa"/>
            <w:shd w:val="clear" w:color="auto" w:fill="auto"/>
          </w:tcPr>
          <w:p w:rsidR="00CB21A6" w:rsidRPr="000D17E2" w:rsidRDefault="00CB21A6" w:rsidP="00734F91">
            <w:pPr>
              <w:pStyle w:val="Normal-pr"/>
              <w:rPr>
                <w:b/>
                <w:sz w:val="20"/>
              </w:rPr>
            </w:pPr>
            <w:r w:rsidRPr="000D17E2">
              <w:rPr>
                <w:b/>
                <w:sz w:val="20"/>
              </w:rPr>
              <w:t>Jei TAIP, įvardinkite kokias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auditoriaus užduoties rizika (dėl auditoriaus vardo susiejimo su audituojama įmone)</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auditoriaus profesinės etikos, įskaitant nepriklausomumo rizika</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audituojamos įmonės verslo rizika</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reikšmingo iškraipymo rizikas, pasireiškiančias dėl klaidos ir dėl apgaulės </w:t>
            </w:r>
          </w:p>
          <w:p w:rsidR="00CB21A6" w:rsidRPr="000D17E2" w:rsidRDefault="00166819" w:rsidP="00734F91">
            <w:pPr>
              <w:pStyle w:val="Normal-pr"/>
              <w:jc w:val="left"/>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aptikimo rizika dėl atrankos ir ne dėl atrankos taikymo</w:t>
            </w:r>
          </w:p>
          <w:p w:rsidR="00CB21A6" w:rsidRPr="000D17E2" w:rsidRDefault="00CB21A6" w:rsidP="00734F91">
            <w:pPr>
              <w:pStyle w:val="Normal-pr"/>
              <w:rPr>
                <w:b/>
                <w:sz w:val="20"/>
              </w:rPr>
            </w:pPr>
            <w:r w:rsidRPr="000D17E2">
              <w:rPr>
                <w:b/>
                <w:sz w:val="20"/>
              </w:rPr>
              <w:t xml:space="preserve">Kita </w:t>
            </w:r>
            <w:r w:rsidRPr="000D17E2">
              <w:rPr>
                <w:sz w:val="20"/>
              </w:rPr>
              <w:t>___</w:t>
            </w:r>
            <w:r w:rsidR="00166819" w:rsidRPr="000D17E2">
              <w:rPr>
                <w:sz w:val="20"/>
              </w:rPr>
              <w:fldChar w:fldCharType="begin">
                <w:ffData>
                  <w:name w:val="Text8"/>
                  <w:enabled/>
                  <w:calcOnExit w:val="0"/>
                  <w:textInput/>
                </w:ffData>
              </w:fldChar>
            </w:r>
            <w:r w:rsidRPr="000D17E2">
              <w:rPr>
                <w:sz w:val="20"/>
              </w:rPr>
              <w:instrText xml:space="preserve"> FORMTEXT </w:instrText>
            </w:r>
            <w:r w:rsidR="00166819" w:rsidRPr="000D17E2">
              <w:rPr>
                <w:sz w:val="20"/>
              </w:rPr>
            </w:r>
            <w:r w:rsidR="00166819" w:rsidRPr="000D17E2">
              <w:rPr>
                <w:sz w:val="20"/>
              </w:rPr>
              <w:fldChar w:fldCharType="separate"/>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Pr="000D17E2">
              <w:rPr>
                <w:rFonts w:ascii="Cambria Math" w:hAnsi="Cambria Math"/>
                <w:noProof/>
                <w:sz w:val="20"/>
              </w:rPr>
              <w:t> </w:t>
            </w:r>
            <w:r w:rsidR="00166819" w:rsidRPr="000D17E2">
              <w:rPr>
                <w:sz w:val="20"/>
              </w:rPr>
              <w:fldChar w:fldCharType="end"/>
            </w:r>
          </w:p>
        </w:tc>
        <w:tc>
          <w:tcPr>
            <w:tcW w:w="3828" w:type="dxa"/>
            <w:gridSpan w:val="3"/>
            <w:shd w:val="clear" w:color="auto" w:fill="auto"/>
            <w:vAlign w:val="center"/>
          </w:tcPr>
          <w:p w:rsidR="00CB21A6" w:rsidRPr="000D17E2" w:rsidRDefault="00166819" w:rsidP="00734F91">
            <w:pPr>
              <w:pStyle w:val="Normal-pr"/>
              <w:rPr>
                <w:sz w:val="20"/>
              </w:rPr>
            </w:pPr>
            <w:r w:rsidRPr="000D17E2">
              <w:rPr>
                <w:sz w:val="20"/>
              </w:rPr>
              <w:fldChar w:fldCharType="begin">
                <w:ffData>
                  <w:name w:val="Text11"/>
                  <w:enabled/>
                  <w:calcOnExit w:val="0"/>
                  <w:textInput/>
                </w:ffData>
              </w:fldChar>
            </w:r>
            <w:r w:rsidR="00CB21A6" w:rsidRPr="000D17E2">
              <w:rPr>
                <w:sz w:val="20"/>
              </w:rPr>
              <w:instrText xml:space="preserve"> FORMTEXT </w:instrText>
            </w:r>
            <w:r w:rsidRPr="000D17E2">
              <w:rPr>
                <w:sz w:val="20"/>
              </w:rPr>
            </w:r>
            <w:r w:rsidRPr="000D17E2">
              <w:rPr>
                <w:sz w:val="20"/>
              </w:rPr>
              <w:fldChar w:fldCharType="separate"/>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00CB21A6" w:rsidRPr="000D17E2">
              <w:rPr>
                <w:rFonts w:ascii="Cambria Math" w:hAnsi="Cambria Math"/>
                <w:noProof/>
                <w:sz w:val="20"/>
              </w:rPr>
              <w:t> </w:t>
            </w:r>
            <w:r w:rsidRPr="000D17E2">
              <w:rPr>
                <w:sz w:val="20"/>
              </w:rPr>
              <w:fldChar w:fldCharType="end"/>
            </w:r>
            <w:r w:rsidR="00CB21A6" w:rsidRPr="000D17E2">
              <w:rPr>
                <w:sz w:val="20"/>
              </w:rPr>
              <w:t>....................................................</w:t>
            </w:r>
          </w:p>
          <w:p w:rsidR="00CB21A6" w:rsidRPr="000D17E2" w:rsidRDefault="00CB21A6" w:rsidP="00734F91">
            <w:pPr>
              <w:pStyle w:val="Normal-pr"/>
              <w:ind w:right="-144"/>
              <w:rPr>
                <w:sz w:val="20"/>
              </w:rPr>
            </w:pPr>
            <w:r w:rsidRPr="000D17E2">
              <w:rPr>
                <w:sz w:val="20"/>
              </w:rPr>
              <w:t>.............................................................</w:t>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22.</w:t>
            </w:r>
          </w:p>
        </w:tc>
        <w:tc>
          <w:tcPr>
            <w:tcW w:w="7797" w:type="dxa"/>
            <w:gridSpan w:val="4"/>
            <w:shd w:val="clear" w:color="auto" w:fill="auto"/>
          </w:tcPr>
          <w:p w:rsidR="00CB21A6" w:rsidRPr="000D17E2" w:rsidRDefault="00CB21A6" w:rsidP="00734F91">
            <w:pPr>
              <w:pStyle w:val="Normal-pr"/>
              <w:rPr>
                <w:b/>
                <w:bCs/>
                <w:sz w:val="20"/>
              </w:rPr>
            </w:pPr>
            <w:r w:rsidRPr="000D17E2">
              <w:rPr>
                <w:b/>
                <w:bCs/>
                <w:sz w:val="20"/>
              </w:rPr>
              <w:t>Jūsų, kaip auditoriaus, darbo patirtis: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nuo 1 iki 3 metų</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nuo 4 iki 7 metų</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nuo 8 iki 11 metų</w:t>
            </w:r>
          </w:p>
          <w:p w:rsidR="00CB21A6" w:rsidRPr="000D17E2" w:rsidRDefault="00166819" w:rsidP="00734F91">
            <w:pPr>
              <w:pStyle w:val="Normal-pr"/>
              <w:ind w:right="-144"/>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virš 11 metų</w:t>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23.</w:t>
            </w:r>
          </w:p>
        </w:tc>
        <w:tc>
          <w:tcPr>
            <w:tcW w:w="7797" w:type="dxa"/>
            <w:gridSpan w:val="4"/>
            <w:shd w:val="clear" w:color="auto" w:fill="auto"/>
          </w:tcPr>
          <w:p w:rsidR="00CB21A6" w:rsidRPr="000D17E2" w:rsidRDefault="00CB21A6" w:rsidP="00734F91">
            <w:pPr>
              <w:pStyle w:val="Normal-pr"/>
              <w:rPr>
                <w:b/>
                <w:sz w:val="20"/>
              </w:rPr>
            </w:pPr>
            <w:r w:rsidRPr="000D17E2">
              <w:rPr>
                <w:b/>
                <w:sz w:val="20"/>
              </w:rPr>
              <w:t>Kiek Jums tenka atlikti auditų per metus: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nuo 1 iki 9</w:t>
            </w:r>
            <w:r w:rsidR="00CB21A6" w:rsidRPr="000D17E2">
              <w:rPr>
                <w:sz w:val="20"/>
              </w:rPr>
              <w:tab/>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nuo 10 iki 19</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nuo 20 iki 39</w:t>
            </w:r>
          </w:p>
          <w:p w:rsidR="00CB21A6" w:rsidRPr="000D17E2" w:rsidRDefault="00166819" w:rsidP="00734F91">
            <w:pPr>
              <w:pStyle w:val="Normal-pr"/>
              <w:ind w:right="-144"/>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daugiau nei 40</w:t>
            </w:r>
          </w:p>
        </w:tc>
      </w:tr>
      <w:tr w:rsidR="00CB21A6" w:rsidRPr="000D17E2" w:rsidTr="009615AE">
        <w:trPr>
          <w:trHeight w:val="563"/>
        </w:trPr>
        <w:tc>
          <w:tcPr>
            <w:tcW w:w="675" w:type="dxa"/>
            <w:shd w:val="clear" w:color="auto" w:fill="auto"/>
          </w:tcPr>
          <w:p w:rsidR="00CB21A6" w:rsidRPr="000D17E2" w:rsidRDefault="00CB21A6" w:rsidP="00734F91">
            <w:pPr>
              <w:pStyle w:val="Normal-pr"/>
              <w:jc w:val="center"/>
              <w:rPr>
                <w:b/>
                <w:bCs/>
                <w:sz w:val="20"/>
              </w:rPr>
            </w:pPr>
            <w:r w:rsidRPr="000D17E2">
              <w:rPr>
                <w:b/>
                <w:bCs/>
                <w:sz w:val="20"/>
              </w:rPr>
              <w:t>24.</w:t>
            </w:r>
          </w:p>
        </w:tc>
        <w:tc>
          <w:tcPr>
            <w:tcW w:w="7797" w:type="dxa"/>
            <w:gridSpan w:val="4"/>
            <w:shd w:val="clear" w:color="auto" w:fill="auto"/>
          </w:tcPr>
          <w:p w:rsidR="00CB21A6" w:rsidRPr="000D17E2" w:rsidRDefault="00CB21A6" w:rsidP="00734F91">
            <w:pPr>
              <w:pStyle w:val="Normal-pr"/>
              <w:rPr>
                <w:sz w:val="20"/>
              </w:rPr>
            </w:pPr>
            <w:r w:rsidRPr="000D17E2">
              <w:rPr>
                <w:b/>
                <w:bCs/>
                <w:sz w:val="20"/>
              </w:rPr>
              <w:t>Atlikdami auditą vadovaujatės: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nacionaliniais audito standartais</w:t>
            </w:r>
          </w:p>
          <w:p w:rsidR="00CB21A6" w:rsidRPr="000D17E2" w:rsidRDefault="00166819" w:rsidP="00734F91">
            <w:pPr>
              <w:pStyle w:val="Normal-pr"/>
              <w:rPr>
                <w:sz w:val="20"/>
              </w:rPr>
            </w:pPr>
            <w:r w:rsidRPr="000D17E2">
              <w:rPr>
                <w:sz w:val="20"/>
              </w:rPr>
              <w:fldChar w:fldCharType="begin">
                <w:ffData>
                  <w:name w:val="Check7"/>
                  <w:enabled/>
                  <w:calcOnExit w:val="0"/>
                  <w:checkBox>
                    <w:sizeAuto/>
                    <w:default w:val="0"/>
                  </w:checkBox>
                </w:ffData>
              </w:fldChar>
            </w:r>
            <w:r w:rsidR="00CB21A6" w:rsidRPr="000D17E2">
              <w:rPr>
                <w:sz w:val="20"/>
              </w:rPr>
              <w:instrText xml:space="preserve"> FORMCHECKBOX </w:instrText>
            </w:r>
            <w:r w:rsidRPr="000D17E2">
              <w:rPr>
                <w:sz w:val="20"/>
              </w:rPr>
            </w:r>
            <w:r w:rsidRPr="000D17E2">
              <w:rPr>
                <w:sz w:val="20"/>
              </w:rPr>
              <w:fldChar w:fldCharType="end"/>
            </w:r>
            <w:r w:rsidR="00CB21A6" w:rsidRPr="000D17E2">
              <w:rPr>
                <w:sz w:val="20"/>
              </w:rPr>
              <w:t xml:space="preserve"> tarptautiniais audito standartais </w:t>
            </w:r>
          </w:p>
        </w:tc>
      </w:tr>
    </w:tbl>
    <w:p w:rsidR="00CB21A6" w:rsidRDefault="00CB21A6" w:rsidP="00CB21A6">
      <w:pPr>
        <w:ind w:firstLine="540"/>
        <w:rPr>
          <w:i/>
          <w:lang w:val="lt-LT"/>
        </w:rPr>
      </w:pPr>
    </w:p>
    <w:p w:rsidR="00CB21A6" w:rsidRDefault="00CB21A6" w:rsidP="00CB21A6">
      <w:pPr>
        <w:rPr>
          <w:i/>
          <w:lang w:val="lt-LT"/>
        </w:rPr>
      </w:pPr>
      <w:r>
        <w:rPr>
          <w:i/>
          <w:lang w:val="lt-LT"/>
        </w:rPr>
        <w:t xml:space="preserve">Ačiū už atsakymus. Jei turite kokių nors pastabų dėl atliekamo tyrimo ar nagrinėjamos temos, labai prašyčiau jas išdėstyti. </w:t>
      </w:r>
    </w:p>
    <w:p w:rsidR="00CB21A6" w:rsidRPr="00B755A5" w:rsidRDefault="00166819" w:rsidP="00CB21A6">
      <w:pPr>
        <w:rPr>
          <w:i/>
          <w:lang w:val="lt-LT"/>
        </w:rPr>
      </w:pPr>
      <w:r>
        <w:fldChar w:fldCharType="begin">
          <w:ffData>
            <w:name w:val="Text20"/>
            <w:enabled/>
            <w:calcOnExit w:val="0"/>
            <w:textInput/>
          </w:ffData>
        </w:fldChar>
      </w:r>
      <w:bookmarkStart w:id="58" w:name="Text20"/>
      <w:r w:rsidR="00CB21A6">
        <w:instrText xml:space="preserve"> FORMTEXT </w:instrText>
      </w:r>
      <w:r>
        <w:fldChar w:fldCharType="separate"/>
      </w:r>
      <w:r w:rsidR="00CB21A6">
        <w:rPr>
          <w:noProof/>
        </w:rPr>
        <w:t> </w:t>
      </w:r>
      <w:r w:rsidR="00CB21A6">
        <w:rPr>
          <w:noProof/>
        </w:rPr>
        <w:t> </w:t>
      </w:r>
      <w:r w:rsidR="00CB21A6">
        <w:rPr>
          <w:noProof/>
        </w:rPr>
        <w:t> </w:t>
      </w:r>
      <w:r w:rsidR="00CB21A6">
        <w:rPr>
          <w:noProof/>
        </w:rPr>
        <w:t> </w:t>
      </w:r>
      <w:r w:rsidR="00CB21A6">
        <w:rPr>
          <w:noProof/>
        </w:rPr>
        <w:t> </w:t>
      </w:r>
      <w:r>
        <w:fldChar w:fldCharType="end"/>
      </w:r>
      <w:bookmarkEnd w:id="58"/>
      <w:r w:rsidR="00CB21A6">
        <w:t>………………………………………....………………………………………………………...…………………………………………………….…………………………………………………</w:t>
      </w:r>
    </w:p>
    <w:p w:rsidR="00CB21A6" w:rsidRDefault="00CB21A6" w:rsidP="00CB21A6">
      <w:pPr>
        <w:pStyle w:val="Normal-pr"/>
        <w:ind w:firstLine="357"/>
        <w:rPr>
          <w:bCs/>
          <w:i/>
          <w:iCs w:val="0"/>
        </w:rPr>
      </w:pPr>
    </w:p>
    <w:p w:rsidR="00CB21A6" w:rsidRPr="00F974A1" w:rsidRDefault="00CB21A6" w:rsidP="00CB21A6">
      <w:pPr>
        <w:rPr>
          <w:b/>
          <w:lang w:val="lt-LT"/>
        </w:rPr>
      </w:pPr>
      <w:r w:rsidRPr="00F974A1">
        <w:rPr>
          <w:b/>
          <w:lang w:val="lt-LT"/>
        </w:rPr>
        <w:t>Užpildytą anketą siųsti el.</w:t>
      </w:r>
      <w:r>
        <w:rPr>
          <w:b/>
          <w:lang w:val="lt-LT"/>
        </w:rPr>
        <w:t xml:space="preserve"> </w:t>
      </w:r>
      <w:r w:rsidRPr="00F974A1">
        <w:rPr>
          <w:b/>
          <w:lang w:val="lt-LT"/>
        </w:rPr>
        <w:t xml:space="preserve">paštu: </w:t>
      </w:r>
      <w:r w:rsidRPr="00F974A1">
        <w:rPr>
          <w:b/>
          <w:u w:val="single"/>
          <w:lang w:val="lt-LT"/>
        </w:rPr>
        <w:t>rita.jankunaite@</w:t>
      </w:r>
      <w:r>
        <w:rPr>
          <w:b/>
          <w:u w:val="single"/>
          <w:lang w:val="lt-LT"/>
        </w:rPr>
        <w:t>lar</w:t>
      </w:r>
      <w:r w:rsidRPr="00F974A1">
        <w:rPr>
          <w:b/>
          <w:u w:val="single"/>
          <w:lang w:val="lt-LT"/>
        </w:rPr>
        <w:t>.lt</w:t>
      </w:r>
      <w:r w:rsidRPr="00F974A1">
        <w:rPr>
          <w:b/>
          <w:lang w:val="lt-LT"/>
        </w:rPr>
        <w:t xml:space="preserve"> arba faksu </w:t>
      </w:r>
      <w:r w:rsidRPr="00F974A1">
        <w:rPr>
          <w:b/>
          <w:u w:val="single"/>
          <w:lang w:val="lt-LT"/>
        </w:rPr>
        <w:t>+370 618 84243</w:t>
      </w:r>
      <w:r w:rsidRPr="00F974A1">
        <w:rPr>
          <w:b/>
          <w:lang w:val="lt-LT"/>
        </w:rPr>
        <w:t>.</w:t>
      </w:r>
    </w:p>
    <w:p w:rsidR="00CB21A6" w:rsidRDefault="00CB21A6">
      <w:pPr>
        <w:rPr>
          <w:b/>
          <w:sz w:val="24"/>
          <w:szCs w:val="24"/>
          <w:lang w:val="lt-LT"/>
        </w:rPr>
      </w:pPr>
      <w:r>
        <w:rPr>
          <w:b/>
          <w:sz w:val="24"/>
          <w:szCs w:val="24"/>
          <w:lang w:val="lt-LT"/>
        </w:rPr>
        <w:br w:type="page"/>
      </w:r>
    </w:p>
    <w:p w:rsidR="00CB21A6" w:rsidRPr="00E31795" w:rsidRDefault="00CB21A6" w:rsidP="00CB21A6">
      <w:pPr>
        <w:tabs>
          <w:tab w:val="left" w:pos="567"/>
        </w:tabs>
        <w:jc w:val="right"/>
        <w:rPr>
          <w:b/>
          <w:sz w:val="26"/>
          <w:szCs w:val="26"/>
          <w:lang w:val="lt-LT"/>
        </w:rPr>
      </w:pPr>
      <w:r w:rsidRPr="00E31795">
        <w:rPr>
          <w:b/>
          <w:sz w:val="26"/>
          <w:szCs w:val="26"/>
          <w:lang w:val="lt-LT"/>
        </w:rPr>
        <w:lastRenderedPageBreak/>
        <w:t>9 PRIEDAS</w:t>
      </w:r>
    </w:p>
    <w:p w:rsidR="00F33FA9" w:rsidRPr="00E31795" w:rsidRDefault="00110CAB" w:rsidP="00E31795">
      <w:pPr>
        <w:tabs>
          <w:tab w:val="left" w:pos="567"/>
        </w:tabs>
        <w:spacing w:before="120"/>
        <w:jc w:val="center"/>
        <w:rPr>
          <w:b/>
          <w:caps/>
          <w:sz w:val="26"/>
          <w:szCs w:val="26"/>
          <w:lang w:val="lt-LT"/>
        </w:rPr>
      </w:pPr>
      <w:r w:rsidRPr="00E31795">
        <w:rPr>
          <w:b/>
          <w:caps/>
          <w:sz w:val="26"/>
          <w:szCs w:val="26"/>
          <w:lang w:val="lt-LT"/>
        </w:rPr>
        <w:t>T</w:t>
      </w:r>
      <w:r w:rsidR="00FA3F12" w:rsidRPr="00E31795">
        <w:rPr>
          <w:b/>
          <w:caps/>
          <w:sz w:val="26"/>
          <w:szCs w:val="26"/>
          <w:lang w:val="lt-LT"/>
        </w:rPr>
        <w:t>aikomo priimtino audito rizikos lygio, rizikos vertinimo metodų</w:t>
      </w:r>
      <w:r w:rsidR="003515C3" w:rsidRPr="00E31795">
        <w:rPr>
          <w:b/>
          <w:caps/>
          <w:sz w:val="26"/>
          <w:szCs w:val="26"/>
          <w:lang w:val="lt-LT"/>
        </w:rPr>
        <w:t xml:space="preserve"> </w:t>
      </w:r>
      <w:r w:rsidR="00FA3F12" w:rsidRPr="00E31795">
        <w:rPr>
          <w:b/>
          <w:caps/>
          <w:sz w:val="26"/>
          <w:szCs w:val="26"/>
          <w:lang w:val="lt-LT"/>
        </w:rPr>
        <w:t xml:space="preserve">ir audito rizikos komponentų vertinimo praktikos </w:t>
      </w:r>
      <w:r w:rsidRPr="00E31795">
        <w:rPr>
          <w:b/>
          <w:caps/>
          <w:sz w:val="26"/>
          <w:szCs w:val="26"/>
          <w:lang w:val="lt-LT"/>
        </w:rPr>
        <w:t xml:space="preserve">ryšys </w:t>
      </w:r>
      <w:r w:rsidRPr="00E31795">
        <w:rPr>
          <w:b/>
          <w:sz w:val="26"/>
          <w:szCs w:val="26"/>
          <w:lang w:val="lt-LT"/>
        </w:rPr>
        <w:t>(r</w:t>
      </w:r>
      <w:r w:rsidRPr="00E31795">
        <w:rPr>
          <w:b/>
          <w:sz w:val="26"/>
          <w:szCs w:val="26"/>
          <w:vertAlign w:val="subscript"/>
          <w:lang w:val="lt-LT"/>
        </w:rPr>
        <w:t>s</w:t>
      </w:r>
      <w:r w:rsidRPr="00E31795">
        <w:rPr>
          <w:b/>
          <w:sz w:val="26"/>
          <w:szCs w:val="26"/>
          <w:lang w:val="lt-LT"/>
        </w:rPr>
        <w:t>)</w:t>
      </w:r>
      <w:r w:rsidRPr="00E31795">
        <w:rPr>
          <w:b/>
          <w:caps/>
          <w:sz w:val="26"/>
          <w:szCs w:val="26"/>
          <w:lang w:val="lt-LT"/>
        </w:rPr>
        <w:t xml:space="preserve"> su a</w:t>
      </w:r>
      <w:r w:rsidR="00FA3F12" w:rsidRPr="00E31795">
        <w:rPr>
          <w:b/>
          <w:caps/>
          <w:sz w:val="26"/>
          <w:szCs w:val="26"/>
          <w:lang w:val="lt-LT"/>
        </w:rPr>
        <w:t>uditorių darbo patirti</w:t>
      </w:r>
      <w:r w:rsidRPr="00E31795">
        <w:rPr>
          <w:b/>
          <w:caps/>
          <w:sz w:val="26"/>
          <w:szCs w:val="26"/>
          <w:lang w:val="lt-LT"/>
        </w:rPr>
        <w:t>mi</w:t>
      </w:r>
      <w:r w:rsidR="00FA3F12" w:rsidRPr="00E31795">
        <w:rPr>
          <w:b/>
          <w:caps/>
          <w:sz w:val="26"/>
          <w:szCs w:val="26"/>
          <w:lang w:val="lt-LT"/>
        </w:rPr>
        <w:t xml:space="preserve"> ir atliekamų auditų skaiči</w:t>
      </w:r>
      <w:r w:rsidRPr="00E31795">
        <w:rPr>
          <w:b/>
          <w:caps/>
          <w:sz w:val="26"/>
          <w:szCs w:val="26"/>
          <w:lang w:val="lt-LT"/>
        </w:rPr>
        <w:t>umi</w:t>
      </w:r>
      <w:r w:rsidR="00FA3F12" w:rsidRPr="00E31795">
        <w:rPr>
          <w:b/>
          <w:caps/>
          <w:sz w:val="26"/>
          <w:szCs w:val="26"/>
          <w:lang w:val="lt-LT"/>
        </w:rPr>
        <w:t xml:space="preserve"> per metus</w:t>
      </w:r>
    </w:p>
    <w:p w:rsidR="003515C3" w:rsidRDefault="003515C3">
      <w:pPr>
        <w:tabs>
          <w:tab w:val="left" w:pos="567"/>
        </w:tabs>
        <w:jc w:val="both"/>
        <w:rPr>
          <w:sz w:val="24"/>
          <w:szCs w:val="24"/>
          <w:lang w:val="lt-LT"/>
        </w:rPr>
      </w:pPr>
    </w:p>
    <w:p w:rsidR="00F33FA9" w:rsidRDefault="00F33FA9">
      <w:pPr>
        <w:tabs>
          <w:tab w:val="left" w:pos="567"/>
        </w:tabs>
        <w:jc w:val="both"/>
        <w:rPr>
          <w:sz w:val="24"/>
          <w:szCs w:val="24"/>
          <w:lang w:val="lt-LT"/>
        </w:rPr>
      </w:pPr>
      <w:r>
        <w:rPr>
          <w:noProof/>
          <w:sz w:val="24"/>
          <w:szCs w:val="24"/>
          <w:lang w:val="lt-LT"/>
        </w:rPr>
        <w:drawing>
          <wp:inline distT="0" distB="0" distL="0" distR="0">
            <wp:extent cx="5086350" cy="300639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5084768" cy="3005455"/>
                    </a:xfrm>
                    <a:prstGeom prst="rect">
                      <a:avLst/>
                    </a:prstGeom>
                    <a:noFill/>
                    <a:ln w="9525">
                      <a:noFill/>
                      <a:miter lim="800000"/>
                      <a:headEnd/>
                      <a:tailEnd/>
                    </a:ln>
                  </pic:spPr>
                </pic:pic>
              </a:graphicData>
            </a:graphic>
          </wp:inline>
        </w:drawing>
      </w:r>
    </w:p>
    <w:p w:rsidR="003515C3" w:rsidRDefault="003515C3" w:rsidP="003515C3">
      <w:pPr>
        <w:tabs>
          <w:tab w:val="left" w:pos="567"/>
        </w:tabs>
        <w:rPr>
          <w:lang w:val="lt-LT"/>
        </w:rPr>
      </w:pPr>
      <w:r w:rsidRPr="003515C3">
        <w:rPr>
          <w:lang w:val="lt-LT"/>
        </w:rPr>
        <w:t xml:space="preserve">kur: </w:t>
      </w:r>
    </w:p>
    <w:p w:rsidR="003515C3" w:rsidRDefault="003515C3" w:rsidP="003515C3">
      <w:pPr>
        <w:tabs>
          <w:tab w:val="left" w:pos="567"/>
        </w:tabs>
        <w:rPr>
          <w:lang w:val="lt-LT"/>
        </w:rPr>
      </w:pPr>
      <w:r w:rsidRPr="003515C3">
        <w:rPr>
          <w:lang w:val="lt-LT"/>
        </w:rPr>
        <w:t>V_4 – priimtin</w:t>
      </w:r>
      <w:r>
        <w:rPr>
          <w:lang w:val="lt-LT"/>
        </w:rPr>
        <w:t>as</w:t>
      </w:r>
      <w:r w:rsidRPr="003515C3">
        <w:rPr>
          <w:lang w:val="lt-LT"/>
        </w:rPr>
        <w:t xml:space="preserve"> audito rizik</w:t>
      </w:r>
      <w:r>
        <w:rPr>
          <w:lang w:val="lt-LT"/>
        </w:rPr>
        <w:t xml:space="preserve">os lygis, </w:t>
      </w:r>
    </w:p>
    <w:p w:rsidR="003515C3" w:rsidRDefault="003515C3" w:rsidP="003515C3">
      <w:pPr>
        <w:tabs>
          <w:tab w:val="left" w:pos="567"/>
        </w:tabs>
        <w:rPr>
          <w:lang w:val="lt-LT"/>
        </w:rPr>
      </w:pPr>
      <w:r>
        <w:rPr>
          <w:lang w:val="lt-LT"/>
        </w:rPr>
        <w:t xml:space="preserve">V_5 – </w:t>
      </w:r>
      <w:r w:rsidRPr="003515C3">
        <w:rPr>
          <w:lang w:val="lt-LT"/>
        </w:rPr>
        <w:t>rizikos vertinimo metod</w:t>
      </w:r>
      <w:r>
        <w:rPr>
          <w:lang w:val="lt-LT"/>
        </w:rPr>
        <w:t>ai (kiekybiniai ar kokybiniai);</w:t>
      </w:r>
    </w:p>
    <w:p w:rsidR="003515C3" w:rsidRDefault="003515C3" w:rsidP="003515C3">
      <w:pPr>
        <w:tabs>
          <w:tab w:val="left" w:pos="567"/>
        </w:tabs>
        <w:rPr>
          <w:lang w:val="lt-LT"/>
        </w:rPr>
      </w:pPr>
      <w:r>
        <w:rPr>
          <w:lang w:val="lt-LT"/>
        </w:rPr>
        <w:t xml:space="preserve">V_7 – </w:t>
      </w:r>
      <w:r w:rsidRPr="003515C3">
        <w:rPr>
          <w:lang w:val="lt-LT"/>
        </w:rPr>
        <w:t xml:space="preserve">audito rizikos komponentų </w:t>
      </w:r>
      <w:r>
        <w:rPr>
          <w:lang w:val="lt-LT"/>
        </w:rPr>
        <w:t xml:space="preserve">(reikšmingo iškraipymo rizikos ir aptikimo rizikos) </w:t>
      </w:r>
      <w:r w:rsidRPr="003515C3">
        <w:rPr>
          <w:lang w:val="lt-LT"/>
        </w:rPr>
        <w:t>vertinim</w:t>
      </w:r>
      <w:r>
        <w:rPr>
          <w:lang w:val="lt-LT"/>
        </w:rPr>
        <w:t>as;</w:t>
      </w:r>
    </w:p>
    <w:p w:rsidR="003515C3" w:rsidRDefault="003515C3" w:rsidP="003515C3">
      <w:pPr>
        <w:tabs>
          <w:tab w:val="left" w:pos="567"/>
        </w:tabs>
        <w:rPr>
          <w:lang w:val="lt-LT"/>
        </w:rPr>
      </w:pPr>
      <w:r>
        <w:rPr>
          <w:lang w:val="lt-LT"/>
        </w:rPr>
        <w:t>V_22 – auditoriaus darbo patirti</w:t>
      </w:r>
      <w:r w:rsidRPr="003515C3">
        <w:rPr>
          <w:lang w:val="lt-LT"/>
        </w:rPr>
        <w:t>s</w:t>
      </w:r>
      <w:r>
        <w:rPr>
          <w:lang w:val="lt-LT"/>
        </w:rPr>
        <w:t>;</w:t>
      </w:r>
    </w:p>
    <w:p w:rsidR="003515C3" w:rsidRPr="003515C3" w:rsidRDefault="003515C3" w:rsidP="003515C3">
      <w:pPr>
        <w:tabs>
          <w:tab w:val="left" w:pos="567"/>
        </w:tabs>
        <w:rPr>
          <w:lang w:val="lt-LT"/>
        </w:rPr>
      </w:pPr>
      <w:r>
        <w:rPr>
          <w:lang w:val="lt-LT"/>
        </w:rPr>
        <w:t xml:space="preserve">V_23 – auditoriaus </w:t>
      </w:r>
      <w:r w:rsidRPr="003515C3">
        <w:rPr>
          <w:lang w:val="lt-LT"/>
        </w:rPr>
        <w:t>atliekamų auditų skai</w:t>
      </w:r>
      <w:r>
        <w:rPr>
          <w:lang w:val="lt-LT"/>
        </w:rPr>
        <w:t>či</w:t>
      </w:r>
      <w:r w:rsidRPr="003515C3">
        <w:rPr>
          <w:lang w:val="lt-LT"/>
        </w:rPr>
        <w:t>us per metus</w:t>
      </w:r>
      <w:r>
        <w:rPr>
          <w:lang w:val="lt-LT"/>
        </w:rPr>
        <w:t>.</w:t>
      </w:r>
    </w:p>
    <w:p w:rsidR="003515C3" w:rsidRPr="003515C3" w:rsidRDefault="003515C3">
      <w:pPr>
        <w:tabs>
          <w:tab w:val="left" w:pos="567"/>
        </w:tabs>
        <w:jc w:val="both"/>
        <w:rPr>
          <w:lang w:val="lt-LT"/>
        </w:rPr>
      </w:pPr>
    </w:p>
    <w:p w:rsidR="003515C3" w:rsidRDefault="003515C3">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Default="00110CAB">
      <w:pPr>
        <w:tabs>
          <w:tab w:val="left" w:pos="567"/>
        </w:tabs>
        <w:jc w:val="both"/>
        <w:rPr>
          <w:sz w:val="24"/>
          <w:szCs w:val="24"/>
          <w:lang w:val="lt-LT"/>
        </w:rPr>
      </w:pPr>
    </w:p>
    <w:p w:rsidR="00E31795" w:rsidRDefault="00E31795">
      <w:pPr>
        <w:tabs>
          <w:tab w:val="left" w:pos="567"/>
        </w:tabs>
        <w:jc w:val="both"/>
        <w:rPr>
          <w:sz w:val="24"/>
          <w:szCs w:val="24"/>
          <w:lang w:val="lt-LT"/>
        </w:rPr>
      </w:pPr>
    </w:p>
    <w:p w:rsidR="00110CAB" w:rsidRDefault="00110CAB">
      <w:pPr>
        <w:tabs>
          <w:tab w:val="left" w:pos="567"/>
        </w:tabs>
        <w:jc w:val="both"/>
        <w:rPr>
          <w:sz w:val="24"/>
          <w:szCs w:val="24"/>
          <w:lang w:val="lt-LT"/>
        </w:rPr>
      </w:pPr>
    </w:p>
    <w:p w:rsidR="00110CAB" w:rsidRPr="00E31795" w:rsidRDefault="00222CD6" w:rsidP="00110CAB">
      <w:pPr>
        <w:tabs>
          <w:tab w:val="left" w:pos="567"/>
        </w:tabs>
        <w:jc w:val="right"/>
        <w:rPr>
          <w:sz w:val="26"/>
          <w:szCs w:val="26"/>
          <w:lang w:val="lt-LT"/>
        </w:rPr>
      </w:pPr>
      <w:r w:rsidRPr="00E31795">
        <w:rPr>
          <w:b/>
          <w:sz w:val="26"/>
          <w:szCs w:val="26"/>
          <w:lang w:val="lt-LT"/>
        </w:rPr>
        <w:lastRenderedPageBreak/>
        <w:t>10</w:t>
      </w:r>
      <w:r w:rsidR="00110CAB" w:rsidRPr="00E31795">
        <w:rPr>
          <w:b/>
          <w:sz w:val="26"/>
          <w:szCs w:val="26"/>
          <w:lang w:val="lt-LT"/>
        </w:rPr>
        <w:t xml:space="preserve"> PRIEDAS</w:t>
      </w:r>
    </w:p>
    <w:p w:rsidR="00110CAB" w:rsidRPr="00E31795" w:rsidRDefault="00110CAB" w:rsidP="00E31795">
      <w:pPr>
        <w:tabs>
          <w:tab w:val="left" w:pos="567"/>
        </w:tabs>
        <w:spacing w:before="120"/>
        <w:jc w:val="center"/>
        <w:rPr>
          <w:b/>
          <w:caps/>
          <w:sz w:val="26"/>
          <w:szCs w:val="26"/>
          <w:lang w:val="lt-LT"/>
        </w:rPr>
      </w:pPr>
      <w:r w:rsidRPr="00E31795">
        <w:rPr>
          <w:b/>
          <w:caps/>
          <w:sz w:val="26"/>
          <w:szCs w:val="26"/>
          <w:lang w:val="lt-LT"/>
        </w:rPr>
        <w:t xml:space="preserve">Reikšmingo iškraipymo rizikos vertinimo praktikos ryšys </w:t>
      </w:r>
      <w:r w:rsidRPr="00E31795">
        <w:rPr>
          <w:b/>
          <w:sz w:val="26"/>
          <w:szCs w:val="26"/>
          <w:lang w:val="lt-LT"/>
        </w:rPr>
        <w:t>(r</w:t>
      </w:r>
      <w:r w:rsidRPr="00E31795">
        <w:rPr>
          <w:b/>
          <w:sz w:val="26"/>
          <w:szCs w:val="26"/>
          <w:vertAlign w:val="subscript"/>
          <w:lang w:val="lt-LT"/>
        </w:rPr>
        <w:t>s</w:t>
      </w:r>
      <w:r w:rsidRPr="00E31795">
        <w:rPr>
          <w:b/>
          <w:sz w:val="26"/>
          <w:szCs w:val="26"/>
          <w:lang w:val="lt-LT"/>
        </w:rPr>
        <w:t>)</w:t>
      </w:r>
      <w:r w:rsidRPr="00E31795">
        <w:rPr>
          <w:b/>
          <w:caps/>
          <w:sz w:val="26"/>
          <w:szCs w:val="26"/>
          <w:lang w:val="lt-LT"/>
        </w:rPr>
        <w:t xml:space="preserve"> su auditorių darbo patirtimi ir atliekamų auditų skaičiumi per metus</w:t>
      </w:r>
    </w:p>
    <w:p w:rsidR="00110CAB" w:rsidRDefault="00110CAB">
      <w:pPr>
        <w:tabs>
          <w:tab w:val="left" w:pos="567"/>
        </w:tabs>
        <w:jc w:val="both"/>
        <w:rPr>
          <w:sz w:val="24"/>
          <w:szCs w:val="24"/>
          <w:lang w:val="lt-LT"/>
        </w:rPr>
      </w:pPr>
      <w:r>
        <w:rPr>
          <w:noProof/>
          <w:sz w:val="24"/>
          <w:szCs w:val="24"/>
          <w:lang w:val="lt-LT"/>
        </w:rPr>
        <w:drawing>
          <wp:inline distT="0" distB="0" distL="0" distR="0">
            <wp:extent cx="5305425" cy="31242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srcRect/>
                    <a:stretch>
                      <a:fillRect/>
                    </a:stretch>
                  </pic:blipFill>
                  <pic:spPr bwMode="auto">
                    <a:xfrm>
                      <a:off x="0" y="0"/>
                      <a:ext cx="5306503" cy="3124835"/>
                    </a:xfrm>
                    <a:prstGeom prst="rect">
                      <a:avLst/>
                    </a:prstGeom>
                    <a:noFill/>
                    <a:ln w="9525">
                      <a:noFill/>
                      <a:miter lim="800000"/>
                      <a:headEnd/>
                      <a:tailEnd/>
                    </a:ln>
                  </pic:spPr>
                </pic:pic>
              </a:graphicData>
            </a:graphic>
          </wp:inline>
        </w:drawing>
      </w:r>
    </w:p>
    <w:p w:rsidR="00110CAB" w:rsidRDefault="00110CAB" w:rsidP="00110CAB">
      <w:pPr>
        <w:tabs>
          <w:tab w:val="left" w:pos="567"/>
        </w:tabs>
        <w:rPr>
          <w:lang w:val="lt-LT"/>
        </w:rPr>
      </w:pPr>
      <w:r w:rsidRPr="003515C3">
        <w:rPr>
          <w:lang w:val="lt-LT"/>
        </w:rPr>
        <w:t xml:space="preserve">kur: </w:t>
      </w:r>
    </w:p>
    <w:p w:rsidR="00110CAB" w:rsidRDefault="00110CAB" w:rsidP="00110CAB">
      <w:pPr>
        <w:tabs>
          <w:tab w:val="left" w:pos="567"/>
        </w:tabs>
        <w:rPr>
          <w:lang w:val="lt-LT"/>
        </w:rPr>
      </w:pPr>
      <w:r w:rsidRPr="003515C3">
        <w:rPr>
          <w:lang w:val="lt-LT"/>
        </w:rPr>
        <w:t>V_</w:t>
      </w:r>
      <w:r w:rsidR="00346A14">
        <w:rPr>
          <w:lang w:val="lt-LT"/>
        </w:rPr>
        <w:t>9</w:t>
      </w:r>
      <w:r w:rsidRPr="003515C3">
        <w:rPr>
          <w:lang w:val="lt-LT"/>
        </w:rPr>
        <w:t xml:space="preserve"> – </w:t>
      </w:r>
      <w:r w:rsidR="00346A14">
        <w:rPr>
          <w:lang w:val="lt-LT"/>
        </w:rPr>
        <w:t>reikšmingo iškraipymo rizikos lygis nustatomas per lemiančių sąlygų ir susijusių veiksnių nagrinėjimą</w:t>
      </w:r>
      <w:r>
        <w:rPr>
          <w:lang w:val="lt-LT"/>
        </w:rPr>
        <w:t xml:space="preserve">, </w:t>
      </w:r>
    </w:p>
    <w:p w:rsidR="00110CAB" w:rsidRDefault="00346A14" w:rsidP="00110CAB">
      <w:pPr>
        <w:tabs>
          <w:tab w:val="left" w:pos="567"/>
        </w:tabs>
        <w:rPr>
          <w:lang w:val="lt-LT"/>
        </w:rPr>
      </w:pPr>
      <w:r>
        <w:rPr>
          <w:lang w:val="lt-LT"/>
        </w:rPr>
        <w:t>V_10</w:t>
      </w:r>
      <w:r w:rsidR="00110CAB">
        <w:rPr>
          <w:lang w:val="lt-LT"/>
        </w:rPr>
        <w:t xml:space="preserve"> – </w:t>
      </w:r>
      <w:r>
        <w:rPr>
          <w:lang w:val="lt-LT"/>
        </w:rPr>
        <w:t>atliekamas bendras reikšmingo iškraipymo rizikos vertinimas</w:t>
      </w:r>
      <w:r w:rsidR="00110CAB">
        <w:rPr>
          <w:lang w:val="lt-LT"/>
        </w:rPr>
        <w:t>;</w:t>
      </w:r>
    </w:p>
    <w:p w:rsidR="00346A14" w:rsidRDefault="00110CAB" w:rsidP="00110CAB">
      <w:pPr>
        <w:tabs>
          <w:tab w:val="left" w:pos="567"/>
        </w:tabs>
        <w:rPr>
          <w:lang w:val="lt-LT"/>
        </w:rPr>
      </w:pPr>
      <w:r>
        <w:rPr>
          <w:lang w:val="lt-LT"/>
        </w:rPr>
        <w:t>V_</w:t>
      </w:r>
      <w:r w:rsidR="00346A14">
        <w:rPr>
          <w:lang w:val="lt-LT"/>
        </w:rPr>
        <w:t>10_1</w:t>
      </w:r>
      <w:r>
        <w:rPr>
          <w:lang w:val="lt-LT"/>
        </w:rPr>
        <w:t xml:space="preserve"> – </w:t>
      </w:r>
      <w:r w:rsidR="00346A14">
        <w:rPr>
          <w:lang w:val="lt-LT"/>
        </w:rPr>
        <w:t>manoma, kad įgimta rizika ir kontrolės rizika susijusios ir viena kitą veikia;</w:t>
      </w:r>
    </w:p>
    <w:p w:rsidR="00346A14" w:rsidRDefault="00346A14" w:rsidP="00110CAB">
      <w:pPr>
        <w:tabs>
          <w:tab w:val="left" w:pos="567"/>
        </w:tabs>
        <w:rPr>
          <w:lang w:val="lt-LT"/>
        </w:rPr>
      </w:pPr>
      <w:r>
        <w:rPr>
          <w:lang w:val="lt-LT"/>
        </w:rPr>
        <w:t>V_10_2 – manoma, kad įgimta rizika ir kontrolės rizika</w:t>
      </w:r>
      <w:r w:rsidRPr="003515C3">
        <w:rPr>
          <w:lang w:val="lt-LT"/>
        </w:rPr>
        <w:t xml:space="preserve"> </w:t>
      </w:r>
      <w:r>
        <w:rPr>
          <w:lang w:val="lt-LT"/>
        </w:rPr>
        <w:t>turi būti vertinamos atskirai;</w:t>
      </w:r>
    </w:p>
    <w:p w:rsidR="00110CAB" w:rsidRDefault="00110CAB" w:rsidP="00110CAB">
      <w:pPr>
        <w:tabs>
          <w:tab w:val="left" w:pos="567"/>
        </w:tabs>
        <w:rPr>
          <w:lang w:val="lt-LT"/>
        </w:rPr>
      </w:pPr>
      <w:r>
        <w:rPr>
          <w:lang w:val="lt-LT"/>
        </w:rPr>
        <w:t>V_22 – auditoriaus darbo patirti</w:t>
      </w:r>
      <w:r w:rsidRPr="003515C3">
        <w:rPr>
          <w:lang w:val="lt-LT"/>
        </w:rPr>
        <w:t>s</w:t>
      </w:r>
      <w:r>
        <w:rPr>
          <w:lang w:val="lt-LT"/>
        </w:rPr>
        <w:t>;</w:t>
      </w:r>
    </w:p>
    <w:p w:rsidR="00110CAB" w:rsidRPr="003515C3" w:rsidRDefault="00110CAB" w:rsidP="00110CAB">
      <w:pPr>
        <w:tabs>
          <w:tab w:val="left" w:pos="567"/>
        </w:tabs>
        <w:rPr>
          <w:lang w:val="lt-LT"/>
        </w:rPr>
      </w:pPr>
      <w:r>
        <w:rPr>
          <w:lang w:val="lt-LT"/>
        </w:rPr>
        <w:t xml:space="preserve">V_23 – auditoriaus </w:t>
      </w:r>
      <w:r w:rsidRPr="003515C3">
        <w:rPr>
          <w:lang w:val="lt-LT"/>
        </w:rPr>
        <w:t>atliekamų auditų skai</w:t>
      </w:r>
      <w:r>
        <w:rPr>
          <w:lang w:val="lt-LT"/>
        </w:rPr>
        <w:t>či</w:t>
      </w:r>
      <w:r w:rsidRPr="003515C3">
        <w:rPr>
          <w:lang w:val="lt-LT"/>
        </w:rPr>
        <w:t>us per metus</w:t>
      </w:r>
      <w:r>
        <w:rPr>
          <w:lang w:val="lt-LT"/>
        </w:rPr>
        <w:t>.</w:t>
      </w:r>
    </w:p>
    <w:p w:rsidR="003F6F72" w:rsidRDefault="003F6F72">
      <w:pPr>
        <w:rPr>
          <w:sz w:val="24"/>
          <w:szCs w:val="24"/>
          <w:lang w:val="lt-LT"/>
        </w:rPr>
      </w:pPr>
      <w:r>
        <w:rPr>
          <w:sz w:val="24"/>
          <w:szCs w:val="24"/>
          <w:lang w:val="lt-LT"/>
        </w:rPr>
        <w:br w:type="page"/>
      </w:r>
    </w:p>
    <w:p w:rsidR="00CB03DC" w:rsidRPr="00E31795" w:rsidRDefault="00CB03DC" w:rsidP="00CB03DC">
      <w:pPr>
        <w:tabs>
          <w:tab w:val="left" w:pos="567"/>
        </w:tabs>
        <w:jc w:val="right"/>
        <w:rPr>
          <w:b/>
          <w:sz w:val="26"/>
          <w:szCs w:val="26"/>
          <w:lang w:val="lt-LT"/>
        </w:rPr>
      </w:pPr>
      <w:r w:rsidRPr="00E31795">
        <w:rPr>
          <w:b/>
          <w:sz w:val="26"/>
          <w:szCs w:val="26"/>
          <w:lang w:val="lt-LT"/>
        </w:rPr>
        <w:lastRenderedPageBreak/>
        <w:t>1</w:t>
      </w:r>
      <w:r w:rsidR="00222CD6" w:rsidRPr="00E31795">
        <w:rPr>
          <w:b/>
          <w:sz w:val="26"/>
          <w:szCs w:val="26"/>
          <w:lang w:val="lt-LT"/>
        </w:rPr>
        <w:t>1</w:t>
      </w:r>
      <w:r w:rsidRPr="00E31795">
        <w:rPr>
          <w:b/>
          <w:sz w:val="26"/>
          <w:szCs w:val="26"/>
          <w:lang w:val="lt-LT"/>
        </w:rPr>
        <w:t xml:space="preserve"> PRIEDAS</w:t>
      </w:r>
    </w:p>
    <w:p w:rsidR="00D04F07" w:rsidRPr="00E31795" w:rsidRDefault="006744F0" w:rsidP="00E31795">
      <w:pPr>
        <w:tabs>
          <w:tab w:val="left" w:pos="567"/>
        </w:tabs>
        <w:spacing w:before="120"/>
        <w:jc w:val="center"/>
        <w:rPr>
          <w:b/>
          <w:caps/>
          <w:noProof/>
          <w:sz w:val="26"/>
          <w:szCs w:val="26"/>
          <w:lang w:val="lt-LT"/>
        </w:rPr>
      </w:pPr>
      <w:r w:rsidRPr="00E31795">
        <w:rPr>
          <w:b/>
          <w:caps/>
          <w:noProof/>
          <w:sz w:val="26"/>
          <w:szCs w:val="26"/>
          <w:lang w:val="lt-LT"/>
        </w:rPr>
        <w:t xml:space="preserve">Klasikinio audito rizikos modelio privalumų </w:t>
      </w:r>
    </w:p>
    <w:p w:rsidR="006744F0" w:rsidRPr="00E31795" w:rsidRDefault="006744F0" w:rsidP="006744F0">
      <w:pPr>
        <w:tabs>
          <w:tab w:val="left" w:pos="567"/>
        </w:tabs>
        <w:jc w:val="center"/>
        <w:rPr>
          <w:b/>
          <w:sz w:val="26"/>
          <w:szCs w:val="26"/>
          <w:lang w:val="lt-LT"/>
        </w:rPr>
      </w:pPr>
      <w:r w:rsidRPr="00E31795">
        <w:rPr>
          <w:b/>
          <w:caps/>
          <w:noProof/>
          <w:sz w:val="26"/>
          <w:szCs w:val="26"/>
          <w:lang w:val="lt-LT"/>
        </w:rPr>
        <w:t xml:space="preserve">tarpusavio ryšys </w:t>
      </w:r>
      <w:r w:rsidRPr="00E31795">
        <w:rPr>
          <w:b/>
          <w:sz w:val="26"/>
          <w:szCs w:val="26"/>
          <w:lang w:val="lt-LT"/>
        </w:rPr>
        <w:t>(r</w:t>
      </w:r>
      <w:r w:rsidRPr="00E31795">
        <w:rPr>
          <w:b/>
          <w:sz w:val="26"/>
          <w:szCs w:val="26"/>
          <w:vertAlign w:val="subscript"/>
          <w:lang w:val="lt-LT"/>
        </w:rPr>
        <w:t>s</w:t>
      </w:r>
      <w:r w:rsidRPr="00E31795">
        <w:rPr>
          <w:b/>
          <w:sz w:val="26"/>
          <w:szCs w:val="26"/>
          <w:lang w:val="lt-LT"/>
        </w:rPr>
        <w:t>)</w:t>
      </w:r>
    </w:p>
    <w:p w:rsidR="00CB03DC" w:rsidRPr="006744F0" w:rsidRDefault="001E49BD" w:rsidP="006744F0">
      <w:pPr>
        <w:tabs>
          <w:tab w:val="left" w:pos="567"/>
        </w:tabs>
        <w:jc w:val="both"/>
      </w:pPr>
      <w:r>
        <w:rPr>
          <w:noProof/>
          <w:sz w:val="24"/>
          <w:szCs w:val="24"/>
          <w:lang w:val="lt-LT"/>
        </w:rPr>
        <w:drawing>
          <wp:inline distT="0" distB="0" distL="0" distR="0">
            <wp:extent cx="5305425" cy="31527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5311836" cy="3156585"/>
                    </a:xfrm>
                    <a:prstGeom prst="rect">
                      <a:avLst/>
                    </a:prstGeom>
                    <a:noFill/>
                    <a:ln w="9525">
                      <a:noFill/>
                      <a:miter lim="800000"/>
                      <a:headEnd/>
                      <a:tailEnd/>
                    </a:ln>
                  </pic:spPr>
                </pic:pic>
              </a:graphicData>
            </a:graphic>
          </wp:inline>
        </w:drawing>
      </w:r>
      <w:r w:rsidR="00CB03DC" w:rsidRPr="006744F0">
        <w:t xml:space="preserve">kur: </w:t>
      </w:r>
    </w:p>
    <w:p w:rsidR="00CB03DC" w:rsidRPr="006744F0" w:rsidRDefault="00CB03DC" w:rsidP="00CB03DC">
      <w:pPr>
        <w:pStyle w:val="Normal-pr"/>
        <w:rPr>
          <w:sz w:val="20"/>
        </w:rPr>
      </w:pPr>
      <w:r w:rsidRPr="006744F0">
        <w:rPr>
          <w:sz w:val="20"/>
        </w:rPr>
        <w:t>V_11_1_1 – lengvai pritaikomas įvertinant audito riziką;</w:t>
      </w:r>
    </w:p>
    <w:p w:rsidR="00CB03DC" w:rsidRPr="006744F0" w:rsidRDefault="006744F0" w:rsidP="00CB03DC">
      <w:pPr>
        <w:pStyle w:val="Normal-pr"/>
        <w:rPr>
          <w:sz w:val="20"/>
        </w:rPr>
      </w:pPr>
      <w:r w:rsidRPr="006744F0">
        <w:rPr>
          <w:sz w:val="20"/>
        </w:rPr>
        <w:t>V_11_1_2</w:t>
      </w:r>
      <w:r w:rsidR="00CB03DC" w:rsidRPr="006744F0">
        <w:rPr>
          <w:sz w:val="20"/>
        </w:rPr>
        <w:t xml:space="preserve"> – tinkamas planuojant auditą</w:t>
      </w:r>
      <w:r w:rsidR="00810471">
        <w:rPr>
          <w:sz w:val="20"/>
        </w:rPr>
        <w:t>;</w:t>
      </w:r>
    </w:p>
    <w:p w:rsidR="00CB03DC" w:rsidRPr="006744F0" w:rsidRDefault="006744F0" w:rsidP="00CB03DC">
      <w:pPr>
        <w:pStyle w:val="Normal-pr"/>
        <w:rPr>
          <w:sz w:val="20"/>
        </w:rPr>
      </w:pPr>
      <w:r w:rsidRPr="006744F0">
        <w:rPr>
          <w:sz w:val="20"/>
        </w:rPr>
        <w:t>V_11_1_3</w:t>
      </w:r>
      <w:r w:rsidR="00CB03DC" w:rsidRPr="006744F0">
        <w:rPr>
          <w:sz w:val="20"/>
        </w:rPr>
        <w:t xml:space="preserve"> – modelio struktūra labai aiški</w:t>
      </w:r>
      <w:r w:rsidR="00810471">
        <w:rPr>
          <w:sz w:val="20"/>
        </w:rPr>
        <w:t>;</w:t>
      </w:r>
    </w:p>
    <w:p w:rsidR="00CB03DC" w:rsidRPr="006744F0" w:rsidRDefault="006744F0" w:rsidP="00CB03DC">
      <w:pPr>
        <w:pStyle w:val="Normal-pr"/>
        <w:rPr>
          <w:sz w:val="20"/>
        </w:rPr>
      </w:pPr>
      <w:r w:rsidRPr="006744F0">
        <w:rPr>
          <w:sz w:val="20"/>
        </w:rPr>
        <w:t>V_11_1_4</w:t>
      </w:r>
      <w:r w:rsidR="00CB03DC" w:rsidRPr="006744F0">
        <w:rPr>
          <w:sz w:val="20"/>
        </w:rPr>
        <w:t xml:space="preserve"> – modelis atskleidžia svarbiausius audito rizikos vertinimo aspektus</w:t>
      </w:r>
      <w:r w:rsidR="00810471">
        <w:rPr>
          <w:sz w:val="20"/>
        </w:rPr>
        <w:t>;</w:t>
      </w:r>
    </w:p>
    <w:p w:rsidR="00CB03DC" w:rsidRDefault="006744F0" w:rsidP="00CB03DC">
      <w:pPr>
        <w:pStyle w:val="Normal-pr"/>
        <w:rPr>
          <w:sz w:val="20"/>
        </w:rPr>
      </w:pPr>
      <w:r w:rsidRPr="006744F0">
        <w:rPr>
          <w:sz w:val="20"/>
        </w:rPr>
        <w:t>V_11_1_5</w:t>
      </w:r>
      <w:r w:rsidR="00CB03DC" w:rsidRPr="006744F0">
        <w:rPr>
          <w:sz w:val="20"/>
        </w:rPr>
        <w:t xml:space="preserve"> – modelis įtraukia visus audito rizikos komponentus</w:t>
      </w:r>
      <w:r w:rsidR="00810471">
        <w:rPr>
          <w:sz w:val="20"/>
        </w:rPr>
        <w:t>.</w:t>
      </w:r>
    </w:p>
    <w:p w:rsidR="00486D02" w:rsidRPr="006744F0" w:rsidRDefault="00486D02" w:rsidP="00CB03DC">
      <w:pPr>
        <w:pStyle w:val="Normal-pr"/>
        <w:rPr>
          <w:sz w:val="20"/>
        </w:rPr>
      </w:pPr>
    </w:p>
    <w:p w:rsidR="006744F0" w:rsidRDefault="006744F0">
      <w:pPr>
        <w:rPr>
          <w:sz w:val="24"/>
          <w:szCs w:val="24"/>
          <w:lang w:val="lt-LT"/>
        </w:rPr>
      </w:pPr>
      <w:r>
        <w:rPr>
          <w:sz w:val="24"/>
          <w:szCs w:val="24"/>
          <w:lang w:val="lt-LT"/>
        </w:rPr>
        <w:br w:type="page"/>
      </w:r>
    </w:p>
    <w:p w:rsidR="006744F0" w:rsidRPr="00E31795" w:rsidRDefault="006744F0" w:rsidP="006744F0">
      <w:pPr>
        <w:tabs>
          <w:tab w:val="left" w:pos="567"/>
        </w:tabs>
        <w:jc w:val="right"/>
        <w:rPr>
          <w:b/>
          <w:sz w:val="26"/>
          <w:szCs w:val="26"/>
          <w:lang w:val="lt-LT"/>
        </w:rPr>
      </w:pPr>
      <w:r w:rsidRPr="00E31795">
        <w:rPr>
          <w:b/>
          <w:sz w:val="26"/>
          <w:szCs w:val="26"/>
          <w:lang w:val="lt-LT"/>
        </w:rPr>
        <w:lastRenderedPageBreak/>
        <w:t>1</w:t>
      </w:r>
      <w:r w:rsidR="00222CD6" w:rsidRPr="00E31795">
        <w:rPr>
          <w:b/>
          <w:sz w:val="26"/>
          <w:szCs w:val="26"/>
          <w:lang w:val="lt-LT"/>
        </w:rPr>
        <w:t>2</w:t>
      </w:r>
      <w:r w:rsidRPr="00E31795">
        <w:rPr>
          <w:b/>
          <w:sz w:val="26"/>
          <w:szCs w:val="26"/>
          <w:lang w:val="lt-LT"/>
        </w:rPr>
        <w:t xml:space="preserve"> PRIEDAS</w:t>
      </w:r>
    </w:p>
    <w:p w:rsidR="00D04F07" w:rsidRPr="00E31795" w:rsidRDefault="006744F0" w:rsidP="00E31795">
      <w:pPr>
        <w:tabs>
          <w:tab w:val="left" w:pos="567"/>
        </w:tabs>
        <w:spacing w:before="120"/>
        <w:jc w:val="center"/>
        <w:rPr>
          <w:b/>
          <w:caps/>
          <w:noProof/>
          <w:sz w:val="26"/>
          <w:szCs w:val="26"/>
          <w:lang w:val="lt-LT"/>
        </w:rPr>
      </w:pPr>
      <w:r w:rsidRPr="00E31795">
        <w:rPr>
          <w:b/>
          <w:caps/>
          <w:noProof/>
          <w:sz w:val="26"/>
          <w:szCs w:val="26"/>
          <w:lang w:val="lt-LT"/>
        </w:rPr>
        <w:t xml:space="preserve">Klasikinio audito rizikos modelio trūkumų </w:t>
      </w:r>
    </w:p>
    <w:p w:rsidR="006744F0" w:rsidRPr="00E31795" w:rsidRDefault="006744F0" w:rsidP="006744F0">
      <w:pPr>
        <w:tabs>
          <w:tab w:val="left" w:pos="567"/>
        </w:tabs>
        <w:jc w:val="center"/>
        <w:rPr>
          <w:b/>
          <w:sz w:val="26"/>
          <w:szCs w:val="26"/>
          <w:lang w:val="lt-LT"/>
        </w:rPr>
      </w:pPr>
      <w:r w:rsidRPr="00E31795">
        <w:rPr>
          <w:b/>
          <w:caps/>
          <w:noProof/>
          <w:sz w:val="26"/>
          <w:szCs w:val="26"/>
          <w:lang w:val="lt-LT"/>
        </w:rPr>
        <w:t>tarpusavio ryšys</w:t>
      </w:r>
      <w:r w:rsidRPr="00E31795">
        <w:rPr>
          <w:b/>
          <w:noProof/>
          <w:sz w:val="26"/>
          <w:szCs w:val="26"/>
          <w:lang w:val="lt-LT"/>
        </w:rPr>
        <w:t xml:space="preserve"> </w:t>
      </w:r>
      <w:r w:rsidRPr="00E31795">
        <w:rPr>
          <w:b/>
          <w:sz w:val="26"/>
          <w:szCs w:val="26"/>
          <w:lang w:val="lt-LT"/>
        </w:rPr>
        <w:t>(r</w:t>
      </w:r>
      <w:r w:rsidRPr="00E31795">
        <w:rPr>
          <w:b/>
          <w:sz w:val="26"/>
          <w:szCs w:val="26"/>
          <w:vertAlign w:val="subscript"/>
          <w:lang w:val="lt-LT"/>
        </w:rPr>
        <w:t>s</w:t>
      </w:r>
      <w:r w:rsidRPr="00E31795">
        <w:rPr>
          <w:b/>
          <w:sz w:val="26"/>
          <w:szCs w:val="26"/>
          <w:lang w:val="lt-LT"/>
        </w:rPr>
        <w:t>)</w:t>
      </w:r>
    </w:p>
    <w:p w:rsidR="00CB03DC" w:rsidRDefault="00CB03DC">
      <w:pPr>
        <w:tabs>
          <w:tab w:val="left" w:pos="567"/>
        </w:tabs>
        <w:jc w:val="both"/>
        <w:rPr>
          <w:sz w:val="24"/>
          <w:szCs w:val="24"/>
          <w:lang w:val="lt-LT"/>
        </w:rPr>
      </w:pPr>
      <w:r>
        <w:rPr>
          <w:noProof/>
          <w:sz w:val="24"/>
          <w:szCs w:val="24"/>
          <w:lang w:val="lt-LT"/>
        </w:rPr>
        <w:drawing>
          <wp:inline distT="0" distB="0" distL="0" distR="0">
            <wp:extent cx="5353050" cy="31813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srcRect/>
                    <a:stretch>
                      <a:fillRect/>
                    </a:stretch>
                  </pic:blipFill>
                  <pic:spPr bwMode="auto">
                    <a:xfrm>
                      <a:off x="0" y="0"/>
                      <a:ext cx="5358305" cy="3184473"/>
                    </a:xfrm>
                    <a:prstGeom prst="rect">
                      <a:avLst/>
                    </a:prstGeom>
                    <a:noFill/>
                    <a:ln w="9525">
                      <a:noFill/>
                      <a:miter lim="800000"/>
                      <a:headEnd/>
                      <a:tailEnd/>
                    </a:ln>
                  </pic:spPr>
                </pic:pic>
              </a:graphicData>
            </a:graphic>
          </wp:inline>
        </w:drawing>
      </w:r>
    </w:p>
    <w:p w:rsidR="006744F0" w:rsidRDefault="006744F0" w:rsidP="00CB03DC">
      <w:pPr>
        <w:pStyle w:val="Normal-pr"/>
        <w:rPr>
          <w:sz w:val="20"/>
        </w:rPr>
      </w:pPr>
      <w:r w:rsidRPr="006744F0">
        <w:rPr>
          <w:sz w:val="20"/>
        </w:rPr>
        <w:t xml:space="preserve">kur: </w:t>
      </w:r>
    </w:p>
    <w:p w:rsidR="00CB03DC" w:rsidRPr="006744F0" w:rsidRDefault="00CB03DC" w:rsidP="00CB03DC">
      <w:pPr>
        <w:pStyle w:val="Normal-pr"/>
        <w:rPr>
          <w:sz w:val="20"/>
        </w:rPr>
      </w:pPr>
      <w:r w:rsidRPr="006744F0">
        <w:rPr>
          <w:sz w:val="20"/>
        </w:rPr>
        <w:t>V_11_2_1 – modelį sunku pritaikyti praktiškai įvertinant audito riziką</w:t>
      </w:r>
      <w:r w:rsidR="00810471">
        <w:rPr>
          <w:sz w:val="20"/>
        </w:rPr>
        <w:t>;</w:t>
      </w:r>
    </w:p>
    <w:p w:rsidR="00CB03DC" w:rsidRPr="006744F0" w:rsidRDefault="00CB03DC" w:rsidP="00CB03DC">
      <w:pPr>
        <w:pStyle w:val="Normal-pr"/>
        <w:rPr>
          <w:sz w:val="20"/>
        </w:rPr>
      </w:pPr>
      <w:r w:rsidRPr="006744F0">
        <w:rPr>
          <w:sz w:val="20"/>
        </w:rPr>
        <w:t>V_11_2_2 – sunku kiekybiškai įvertinti audito rizikos komponentus</w:t>
      </w:r>
      <w:r w:rsidR="00810471">
        <w:rPr>
          <w:sz w:val="20"/>
        </w:rPr>
        <w:t>;</w:t>
      </w:r>
    </w:p>
    <w:p w:rsidR="00CB03DC" w:rsidRPr="006744F0" w:rsidRDefault="00CB03DC" w:rsidP="00CB03DC">
      <w:pPr>
        <w:pStyle w:val="Normal-pr"/>
        <w:rPr>
          <w:sz w:val="20"/>
        </w:rPr>
      </w:pPr>
      <w:r w:rsidRPr="006744F0">
        <w:rPr>
          <w:sz w:val="20"/>
        </w:rPr>
        <w:t xml:space="preserve">V_11_2_3 – modelis neišsamus (neapima </w:t>
      </w:r>
      <w:r w:rsidR="00810471">
        <w:rPr>
          <w:sz w:val="20"/>
        </w:rPr>
        <w:t>visų audito rizikos komponentų);</w:t>
      </w:r>
    </w:p>
    <w:p w:rsidR="00CB03DC" w:rsidRPr="006744F0" w:rsidRDefault="00CB03DC" w:rsidP="00CB03DC">
      <w:pPr>
        <w:pStyle w:val="Normal-pr"/>
        <w:rPr>
          <w:sz w:val="20"/>
        </w:rPr>
      </w:pPr>
      <w:r w:rsidRPr="006744F0">
        <w:rPr>
          <w:sz w:val="20"/>
        </w:rPr>
        <w:t>V_11_2_4 – modelis teisingai neatspindi audito rizikos komponentų priklausomybės</w:t>
      </w:r>
      <w:r w:rsidR="00810471">
        <w:rPr>
          <w:sz w:val="20"/>
        </w:rPr>
        <w:t>;</w:t>
      </w:r>
    </w:p>
    <w:p w:rsidR="00CB03DC" w:rsidRPr="006744F0" w:rsidRDefault="00CB03DC" w:rsidP="00CB03DC">
      <w:pPr>
        <w:pStyle w:val="Normal-pr"/>
        <w:rPr>
          <w:sz w:val="20"/>
        </w:rPr>
      </w:pPr>
      <w:r w:rsidRPr="006744F0">
        <w:rPr>
          <w:sz w:val="20"/>
        </w:rPr>
        <w:t>V_11_2_5 – modelis neparodo audito rizikos vertinimo eigos</w:t>
      </w:r>
      <w:r w:rsidR="00810471">
        <w:rPr>
          <w:sz w:val="20"/>
        </w:rPr>
        <w:t>;</w:t>
      </w:r>
    </w:p>
    <w:p w:rsidR="00CB03DC" w:rsidRPr="006744F0" w:rsidRDefault="00CB03DC" w:rsidP="00CB03DC">
      <w:pPr>
        <w:pStyle w:val="Normal-pr"/>
        <w:rPr>
          <w:sz w:val="20"/>
        </w:rPr>
      </w:pPr>
      <w:r w:rsidRPr="006744F0">
        <w:rPr>
          <w:sz w:val="20"/>
        </w:rPr>
        <w:t>V_11_2_6 – modelis neatsižvelgia į kitus veiksnius lemiančius audito riziką</w:t>
      </w:r>
      <w:r w:rsidR="00810471">
        <w:rPr>
          <w:sz w:val="20"/>
        </w:rPr>
        <w:t>.</w:t>
      </w:r>
    </w:p>
    <w:p w:rsidR="00CB03DC" w:rsidRDefault="00CB03DC">
      <w:pPr>
        <w:tabs>
          <w:tab w:val="left" w:pos="567"/>
        </w:tabs>
        <w:jc w:val="both"/>
        <w:rPr>
          <w:sz w:val="24"/>
          <w:szCs w:val="24"/>
          <w:lang w:val="lt-LT"/>
        </w:rPr>
      </w:pPr>
    </w:p>
    <w:p w:rsidR="008717D8" w:rsidRDefault="008717D8">
      <w:pPr>
        <w:tabs>
          <w:tab w:val="left" w:pos="567"/>
        </w:tabs>
        <w:jc w:val="both"/>
        <w:rPr>
          <w:sz w:val="24"/>
          <w:szCs w:val="24"/>
          <w:lang w:val="lt-LT"/>
        </w:rPr>
      </w:pPr>
    </w:p>
    <w:p w:rsidR="008717D8" w:rsidRDefault="008717D8">
      <w:pPr>
        <w:rPr>
          <w:sz w:val="24"/>
          <w:szCs w:val="24"/>
          <w:lang w:val="lt-LT"/>
        </w:rPr>
      </w:pPr>
      <w:r>
        <w:rPr>
          <w:sz w:val="24"/>
          <w:szCs w:val="24"/>
          <w:lang w:val="lt-LT"/>
        </w:rPr>
        <w:br w:type="page"/>
      </w:r>
    </w:p>
    <w:p w:rsidR="008717D8" w:rsidRPr="00E31795" w:rsidRDefault="008717D8" w:rsidP="008717D8">
      <w:pPr>
        <w:tabs>
          <w:tab w:val="left" w:pos="567"/>
        </w:tabs>
        <w:jc w:val="right"/>
        <w:rPr>
          <w:b/>
          <w:sz w:val="26"/>
          <w:szCs w:val="26"/>
          <w:lang w:val="lt-LT"/>
        </w:rPr>
      </w:pPr>
      <w:r w:rsidRPr="00E31795">
        <w:rPr>
          <w:b/>
          <w:sz w:val="26"/>
          <w:szCs w:val="26"/>
          <w:lang w:val="lt-LT"/>
        </w:rPr>
        <w:lastRenderedPageBreak/>
        <w:t>1</w:t>
      </w:r>
      <w:r w:rsidR="00222CD6" w:rsidRPr="00E31795">
        <w:rPr>
          <w:b/>
          <w:sz w:val="26"/>
          <w:szCs w:val="26"/>
          <w:lang w:val="lt-LT"/>
        </w:rPr>
        <w:t>3</w:t>
      </w:r>
      <w:r w:rsidRPr="00E31795">
        <w:rPr>
          <w:b/>
          <w:sz w:val="26"/>
          <w:szCs w:val="26"/>
          <w:lang w:val="lt-LT"/>
        </w:rPr>
        <w:t xml:space="preserve"> PRIEDAS</w:t>
      </w:r>
    </w:p>
    <w:p w:rsidR="00D8160C" w:rsidRPr="00E31795" w:rsidRDefault="00D8160C" w:rsidP="00E31795">
      <w:pPr>
        <w:tabs>
          <w:tab w:val="left" w:pos="567"/>
        </w:tabs>
        <w:spacing w:before="120"/>
        <w:jc w:val="center"/>
        <w:rPr>
          <w:b/>
          <w:caps/>
          <w:sz w:val="26"/>
          <w:szCs w:val="26"/>
          <w:lang w:val="lt-LT"/>
        </w:rPr>
      </w:pPr>
      <w:r w:rsidRPr="00E31795">
        <w:rPr>
          <w:b/>
          <w:caps/>
          <w:noProof/>
          <w:sz w:val="26"/>
          <w:szCs w:val="26"/>
          <w:lang w:val="lt-LT"/>
        </w:rPr>
        <w:t>A</w:t>
      </w:r>
      <w:r w:rsidR="008717D8" w:rsidRPr="00E31795">
        <w:rPr>
          <w:b/>
          <w:caps/>
          <w:noProof/>
          <w:sz w:val="26"/>
          <w:szCs w:val="26"/>
          <w:lang w:val="lt-LT"/>
        </w:rPr>
        <w:t xml:space="preserve">udito rizikos </w:t>
      </w:r>
      <w:r w:rsidR="005776EC" w:rsidRPr="00E31795">
        <w:rPr>
          <w:b/>
          <w:caps/>
          <w:noProof/>
          <w:sz w:val="26"/>
          <w:szCs w:val="26"/>
          <w:lang w:val="lt-LT"/>
        </w:rPr>
        <w:t xml:space="preserve">vertinimo skirtingu pasireiškimo lygmeniu priklausomybė </w:t>
      </w:r>
      <w:r w:rsidR="008717D8" w:rsidRPr="00E31795">
        <w:rPr>
          <w:b/>
          <w:sz w:val="26"/>
          <w:szCs w:val="26"/>
          <w:lang w:val="lt-LT"/>
        </w:rPr>
        <w:t>(r</w:t>
      </w:r>
      <w:r w:rsidR="008717D8" w:rsidRPr="00E31795">
        <w:rPr>
          <w:b/>
          <w:sz w:val="26"/>
          <w:szCs w:val="26"/>
          <w:vertAlign w:val="subscript"/>
          <w:lang w:val="lt-LT"/>
        </w:rPr>
        <w:t>s</w:t>
      </w:r>
      <w:r w:rsidR="008717D8" w:rsidRPr="00E31795">
        <w:rPr>
          <w:b/>
          <w:sz w:val="26"/>
          <w:szCs w:val="26"/>
          <w:lang w:val="lt-LT"/>
        </w:rPr>
        <w:t>)</w:t>
      </w:r>
      <w:r w:rsidRPr="00E31795">
        <w:rPr>
          <w:b/>
          <w:sz w:val="26"/>
          <w:szCs w:val="26"/>
          <w:lang w:val="lt-LT"/>
        </w:rPr>
        <w:t xml:space="preserve"> </w:t>
      </w:r>
      <w:r w:rsidR="005776EC" w:rsidRPr="00E31795">
        <w:rPr>
          <w:b/>
          <w:caps/>
          <w:sz w:val="26"/>
          <w:szCs w:val="26"/>
          <w:lang w:val="lt-LT"/>
        </w:rPr>
        <w:t xml:space="preserve">nuo </w:t>
      </w:r>
      <w:r w:rsidRPr="00E31795">
        <w:rPr>
          <w:b/>
          <w:caps/>
          <w:sz w:val="26"/>
          <w:szCs w:val="26"/>
          <w:lang w:val="lt-LT"/>
        </w:rPr>
        <w:t>auditori</w:t>
      </w:r>
      <w:r w:rsidR="005776EC" w:rsidRPr="00E31795">
        <w:rPr>
          <w:b/>
          <w:caps/>
          <w:sz w:val="26"/>
          <w:szCs w:val="26"/>
          <w:lang w:val="lt-LT"/>
        </w:rPr>
        <w:t>aus</w:t>
      </w:r>
      <w:r w:rsidRPr="00E31795">
        <w:rPr>
          <w:b/>
          <w:caps/>
          <w:sz w:val="26"/>
          <w:szCs w:val="26"/>
          <w:lang w:val="lt-LT"/>
        </w:rPr>
        <w:t xml:space="preserve"> darbo patirti</w:t>
      </w:r>
      <w:r w:rsidR="005776EC" w:rsidRPr="00E31795">
        <w:rPr>
          <w:b/>
          <w:caps/>
          <w:sz w:val="26"/>
          <w:szCs w:val="26"/>
          <w:lang w:val="lt-LT"/>
        </w:rPr>
        <w:t>es</w:t>
      </w:r>
      <w:r w:rsidRPr="00E31795">
        <w:rPr>
          <w:b/>
          <w:caps/>
          <w:sz w:val="26"/>
          <w:szCs w:val="26"/>
          <w:lang w:val="lt-LT"/>
        </w:rPr>
        <w:t xml:space="preserve"> ir atliekamų auditų skaiči</w:t>
      </w:r>
      <w:r w:rsidR="005776EC" w:rsidRPr="00E31795">
        <w:rPr>
          <w:b/>
          <w:caps/>
          <w:sz w:val="26"/>
          <w:szCs w:val="26"/>
          <w:lang w:val="lt-LT"/>
        </w:rPr>
        <w:t>aus</w:t>
      </w:r>
      <w:r w:rsidRPr="00E31795">
        <w:rPr>
          <w:b/>
          <w:caps/>
          <w:sz w:val="26"/>
          <w:szCs w:val="26"/>
          <w:lang w:val="lt-LT"/>
        </w:rPr>
        <w:t xml:space="preserve"> per metus</w:t>
      </w:r>
    </w:p>
    <w:p w:rsidR="008717D8" w:rsidRPr="00E31795" w:rsidRDefault="008717D8" w:rsidP="008717D8">
      <w:pPr>
        <w:tabs>
          <w:tab w:val="left" w:pos="567"/>
        </w:tabs>
        <w:jc w:val="center"/>
        <w:rPr>
          <w:b/>
          <w:sz w:val="26"/>
          <w:szCs w:val="26"/>
          <w:lang w:val="lt-LT"/>
        </w:rPr>
      </w:pPr>
    </w:p>
    <w:p w:rsidR="00D8160C" w:rsidRPr="005776EC" w:rsidRDefault="008717D8" w:rsidP="005776EC">
      <w:pPr>
        <w:tabs>
          <w:tab w:val="left" w:pos="567"/>
        </w:tabs>
        <w:jc w:val="both"/>
        <w:rPr>
          <w:lang w:val="lt-LT"/>
        </w:rPr>
      </w:pPr>
      <w:r>
        <w:rPr>
          <w:noProof/>
          <w:sz w:val="24"/>
          <w:szCs w:val="24"/>
          <w:lang w:val="lt-LT"/>
        </w:rPr>
        <w:drawing>
          <wp:inline distT="0" distB="0" distL="0" distR="0">
            <wp:extent cx="5210175" cy="3000375"/>
            <wp:effectExtent l="19050" t="0" r="9525"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srcRect/>
                    <a:stretch>
                      <a:fillRect/>
                    </a:stretch>
                  </pic:blipFill>
                  <pic:spPr bwMode="auto">
                    <a:xfrm>
                      <a:off x="0" y="0"/>
                      <a:ext cx="5210175" cy="3000375"/>
                    </a:xfrm>
                    <a:prstGeom prst="rect">
                      <a:avLst/>
                    </a:prstGeom>
                    <a:noFill/>
                    <a:ln w="9525">
                      <a:noFill/>
                      <a:miter lim="800000"/>
                      <a:headEnd/>
                      <a:tailEnd/>
                    </a:ln>
                  </pic:spPr>
                </pic:pic>
              </a:graphicData>
            </a:graphic>
          </wp:inline>
        </w:drawing>
      </w:r>
      <w:r w:rsidR="00D8160C" w:rsidRPr="005776EC">
        <w:rPr>
          <w:lang w:val="lt-LT"/>
        </w:rPr>
        <w:t xml:space="preserve">kur: </w:t>
      </w:r>
    </w:p>
    <w:p w:rsidR="005776EC" w:rsidRPr="005776EC" w:rsidRDefault="005776EC" w:rsidP="005776EC">
      <w:pPr>
        <w:pStyle w:val="Normal-pr"/>
        <w:rPr>
          <w:sz w:val="20"/>
        </w:rPr>
      </w:pPr>
      <w:r w:rsidRPr="005776EC">
        <w:rPr>
          <w:sz w:val="20"/>
        </w:rPr>
        <w:t xml:space="preserve">V_14_1_1 finansinių ataskaitų lygmuo; </w:t>
      </w:r>
    </w:p>
    <w:p w:rsidR="005776EC" w:rsidRPr="005776EC" w:rsidRDefault="005776EC" w:rsidP="005776EC">
      <w:pPr>
        <w:pStyle w:val="Normal-pr"/>
        <w:rPr>
          <w:sz w:val="20"/>
        </w:rPr>
      </w:pPr>
      <w:r w:rsidRPr="005776EC">
        <w:rPr>
          <w:sz w:val="20"/>
        </w:rPr>
        <w:t>V_14_1_2 ūkinių operacijų grupių, sąskaitų likučių ir atskleidimų lygmuo</w:t>
      </w:r>
      <w:r w:rsidR="00810471">
        <w:rPr>
          <w:sz w:val="20"/>
        </w:rPr>
        <w:t>;</w:t>
      </w:r>
    </w:p>
    <w:p w:rsidR="005776EC" w:rsidRPr="005776EC" w:rsidRDefault="005776EC" w:rsidP="005776EC">
      <w:pPr>
        <w:pStyle w:val="Normal-pr"/>
        <w:rPr>
          <w:sz w:val="20"/>
        </w:rPr>
      </w:pPr>
      <w:r w:rsidRPr="005776EC">
        <w:rPr>
          <w:sz w:val="20"/>
        </w:rPr>
        <w:t>V_14_1_3 konkretaus tvirtinimo lygmuo</w:t>
      </w:r>
      <w:r w:rsidR="00810471">
        <w:rPr>
          <w:sz w:val="20"/>
        </w:rPr>
        <w:t>;</w:t>
      </w:r>
    </w:p>
    <w:p w:rsidR="00D8160C" w:rsidRPr="005776EC" w:rsidRDefault="00D8160C" w:rsidP="00D8160C">
      <w:pPr>
        <w:tabs>
          <w:tab w:val="left" w:pos="567"/>
        </w:tabs>
        <w:rPr>
          <w:lang w:val="lt-LT"/>
        </w:rPr>
      </w:pPr>
      <w:r w:rsidRPr="005776EC">
        <w:rPr>
          <w:lang w:val="lt-LT"/>
        </w:rPr>
        <w:t>V_22 – auditoriaus darbo patirtis;</w:t>
      </w:r>
    </w:p>
    <w:p w:rsidR="00D8160C" w:rsidRPr="005776EC" w:rsidRDefault="00D8160C" w:rsidP="00D8160C">
      <w:pPr>
        <w:tabs>
          <w:tab w:val="left" w:pos="567"/>
        </w:tabs>
        <w:rPr>
          <w:lang w:val="lt-LT"/>
        </w:rPr>
      </w:pPr>
      <w:r w:rsidRPr="005776EC">
        <w:rPr>
          <w:lang w:val="lt-LT"/>
        </w:rPr>
        <w:t>V_23 – auditoriaus atliekamų auditų skaičius per metus.</w:t>
      </w:r>
    </w:p>
    <w:p w:rsidR="008717D8" w:rsidRDefault="008717D8">
      <w:pPr>
        <w:tabs>
          <w:tab w:val="left" w:pos="567"/>
        </w:tabs>
        <w:jc w:val="both"/>
        <w:rPr>
          <w:sz w:val="24"/>
          <w:szCs w:val="24"/>
          <w:lang w:val="lt-LT"/>
        </w:rPr>
      </w:pPr>
    </w:p>
    <w:p w:rsidR="00B64591" w:rsidRDefault="00B64591">
      <w:pPr>
        <w:rPr>
          <w:sz w:val="24"/>
          <w:szCs w:val="24"/>
          <w:lang w:val="lt-LT"/>
        </w:rPr>
      </w:pPr>
      <w:r>
        <w:rPr>
          <w:sz w:val="24"/>
          <w:szCs w:val="24"/>
          <w:lang w:val="lt-LT"/>
        </w:rPr>
        <w:br w:type="page"/>
      </w:r>
    </w:p>
    <w:p w:rsidR="005F3C89" w:rsidRPr="00E31795" w:rsidRDefault="009A0C85" w:rsidP="005F3C89">
      <w:pPr>
        <w:tabs>
          <w:tab w:val="left" w:pos="567"/>
        </w:tabs>
        <w:jc w:val="right"/>
        <w:rPr>
          <w:b/>
          <w:sz w:val="26"/>
          <w:szCs w:val="26"/>
          <w:lang w:val="lt-LT"/>
        </w:rPr>
      </w:pPr>
      <w:r w:rsidRPr="00E31795">
        <w:rPr>
          <w:b/>
          <w:sz w:val="26"/>
          <w:szCs w:val="26"/>
          <w:lang w:val="lt-LT"/>
        </w:rPr>
        <w:lastRenderedPageBreak/>
        <w:t>1</w:t>
      </w:r>
      <w:r w:rsidR="005F3C89" w:rsidRPr="00E31795">
        <w:rPr>
          <w:b/>
          <w:sz w:val="26"/>
          <w:szCs w:val="26"/>
          <w:lang w:val="lt-LT"/>
        </w:rPr>
        <w:t>4</w:t>
      </w:r>
      <w:r w:rsidRPr="00E31795">
        <w:rPr>
          <w:b/>
          <w:sz w:val="26"/>
          <w:szCs w:val="26"/>
          <w:lang w:val="lt-LT"/>
        </w:rPr>
        <w:t xml:space="preserve"> PRIEDAS</w:t>
      </w:r>
    </w:p>
    <w:p w:rsidR="005F3C89" w:rsidRPr="00E31795" w:rsidRDefault="005F3C89" w:rsidP="00E31795">
      <w:pPr>
        <w:tabs>
          <w:tab w:val="left" w:pos="567"/>
        </w:tabs>
        <w:spacing w:before="120"/>
        <w:jc w:val="center"/>
        <w:rPr>
          <w:caps/>
          <w:noProof/>
          <w:sz w:val="26"/>
          <w:szCs w:val="26"/>
          <w:lang w:val="lt-LT"/>
        </w:rPr>
      </w:pPr>
      <w:r w:rsidRPr="00E31795">
        <w:rPr>
          <w:b/>
          <w:caps/>
          <w:noProof/>
          <w:sz w:val="26"/>
          <w:szCs w:val="26"/>
          <w:lang w:val="lt-LT"/>
        </w:rPr>
        <w:t xml:space="preserve">Audito rizikos komponentų vertinimo audito procese ryšys </w:t>
      </w:r>
      <w:r w:rsidRPr="00E31795">
        <w:rPr>
          <w:b/>
          <w:sz w:val="26"/>
          <w:szCs w:val="26"/>
          <w:lang w:val="lt-LT"/>
        </w:rPr>
        <w:t>(r</w:t>
      </w:r>
      <w:r w:rsidRPr="00E31795">
        <w:rPr>
          <w:b/>
          <w:sz w:val="26"/>
          <w:szCs w:val="26"/>
          <w:vertAlign w:val="subscript"/>
          <w:lang w:val="lt-LT"/>
        </w:rPr>
        <w:t>s</w:t>
      </w:r>
      <w:r w:rsidRPr="00E31795">
        <w:rPr>
          <w:b/>
          <w:sz w:val="26"/>
          <w:szCs w:val="26"/>
          <w:lang w:val="lt-LT"/>
        </w:rPr>
        <w:t xml:space="preserve">) </w:t>
      </w:r>
      <w:r w:rsidRPr="00E31795">
        <w:rPr>
          <w:b/>
          <w:caps/>
          <w:sz w:val="26"/>
          <w:szCs w:val="26"/>
          <w:lang w:val="lt-LT"/>
        </w:rPr>
        <w:t>su auditorių darbo patirtimi ir atliekamų auditų skaičiumi per metus</w:t>
      </w:r>
    </w:p>
    <w:p w:rsidR="005F3C89" w:rsidRDefault="005F3C89" w:rsidP="005F3C89">
      <w:pPr>
        <w:jc w:val="center"/>
        <w:rPr>
          <w:lang w:val="lt-LT"/>
        </w:rPr>
      </w:pPr>
      <w:r>
        <w:rPr>
          <w:b/>
          <w:noProof/>
          <w:sz w:val="24"/>
          <w:szCs w:val="24"/>
          <w:lang w:val="lt-LT"/>
        </w:rPr>
        <w:drawing>
          <wp:inline distT="0" distB="0" distL="0" distR="0">
            <wp:extent cx="4921885" cy="2329815"/>
            <wp:effectExtent l="1905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4921885" cy="2329815"/>
                    </a:xfrm>
                    <a:prstGeom prst="rect">
                      <a:avLst/>
                    </a:prstGeom>
                    <a:noFill/>
                    <a:ln w="9525">
                      <a:noFill/>
                      <a:miter lim="800000"/>
                      <a:headEnd/>
                      <a:tailEnd/>
                    </a:ln>
                  </pic:spPr>
                </pic:pic>
              </a:graphicData>
            </a:graphic>
          </wp:inline>
        </w:drawing>
      </w:r>
    </w:p>
    <w:p w:rsidR="005F3C89" w:rsidRPr="005776EC" w:rsidRDefault="005F3C89" w:rsidP="005F3C89">
      <w:pPr>
        <w:rPr>
          <w:lang w:val="lt-LT"/>
        </w:rPr>
      </w:pPr>
      <w:r w:rsidRPr="005776EC">
        <w:rPr>
          <w:lang w:val="lt-LT"/>
        </w:rPr>
        <w:t xml:space="preserve">kur: </w:t>
      </w:r>
    </w:p>
    <w:p w:rsidR="005F3C89" w:rsidRPr="005776EC" w:rsidRDefault="005F3C89" w:rsidP="005F3C89">
      <w:pPr>
        <w:pStyle w:val="Normal-pr"/>
        <w:rPr>
          <w:sz w:val="20"/>
        </w:rPr>
      </w:pPr>
      <w:r w:rsidRPr="005776EC">
        <w:rPr>
          <w:sz w:val="20"/>
        </w:rPr>
        <w:t>V_1</w:t>
      </w:r>
      <w:r>
        <w:rPr>
          <w:sz w:val="20"/>
        </w:rPr>
        <w:t>5</w:t>
      </w:r>
      <w:r w:rsidRPr="005776EC">
        <w:rPr>
          <w:sz w:val="20"/>
        </w:rPr>
        <w:t xml:space="preserve"> </w:t>
      </w:r>
      <w:r w:rsidR="0027655E">
        <w:t xml:space="preserve">– </w:t>
      </w:r>
      <w:r>
        <w:rPr>
          <w:sz w:val="20"/>
        </w:rPr>
        <w:t>audito rizikos vertinimo tik viename audito proceso etape praktika</w:t>
      </w:r>
      <w:r w:rsidRPr="005776EC">
        <w:rPr>
          <w:sz w:val="20"/>
        </w:rPr>
        <w:t xml:space="preserve">; </w:t>
      </w:r>
    </w:p>
    <w:p w:rsidR="005F3C89" w:rsidRPr="005776EC" w:rsidRDefault="005F3C89" w:rsidP="005F3C89">
      <w:pPr>
        <w:tabs>
          <w:tab w:val="left" w:pos="567"/>
        </w:tabs>
        <w:rPr>
          <w:lang w:val="lt-LT"/>
        </w:rPr>
      </w:pPr>
      <w:r w:rsidRPr="005776EC">
        <w:rPr>
          <w:lang w:val="lt-LT"/>
        </w:rPr>
        <w:t>V_22 – auditoriaus darbo patirtis;</w:t>
      </w:r>
    </w:p>
    <w:p w:rsidR="005F3C89" w:rsidRPr="005776EC" w:rsidRDefault="005F3C89" w:rsidP="005F3C89">
      <w:pPr>
        <w:tabs>
          <w:tab w:val="left" w:pos="567"/>
        </w:tabs>
        <w:rPr>
          <w:lang w:val="lt-LT"/>
        </w:rPr>
      </w:pPr>
      <w:r w:rsidRPr="005776EC">
        <w:rPr>
          <w:lang w:val="lt-LT"/>
        </w:rPr>
        <w:t>V_23 – auditoriaus atliekamų auditų skaičius per metus.</w:t>
      </w:r>
    </w:p>
    <w:p w:rsidR="005F3C89" w:rsidRDefault="005F3C89" w:rsidP="005F3C89">
      <w:pPr>
        <w:jc w:val="center"/>
        <w:rPr>
          <w:b/>
          <w:sz w:val="24"/>
          <w:szCs w:val="24"/>
          <w:lang w:val="lt-LT"/>
        </w:rPr>
      </w:pPr>
    </w:p>
    <w:p w:rsidR="005F3C89" w:rsidRDefault="005F3C89" w:rsidP="005F3C89">
      <w:pPr>
        <w:rPr>
          <w:b/>
          <w:sz w:val="24"/>
          <w:szCs w:val="24"/>
          <w:lang w:val="lt-LT"/>
        </w:rPr>
      </w:pPr>
      <w:r>
        <w:rPr>
          <w:b/>
          <w:sz w:val="24"/>
          <w:szCs w:val="24"/>
          <w:lang w:val="lt-LT"/>
        </w:rPr>
        <w:br w:type="page"/>
      </w:r>
    </w:p>
    <w:p w:rsidR="005F3C89" w:rsidRPr="00E31795" w:rsidRDefault="005F3C89" w:rsidP="005F3C89">
      <w:pPr>
        <w:tabs>
          <w:tab w:val="left" w:pos="567"/>
        </w:tabs>
        <w:jc w:val="right"/>
        <w:rPr>
          <w:b/>
          <w:sz w:val="26"/>
          <w:szCs w:val="26"/>
          <w:lang w:val="lt-LT"/>
        </w:rPr>
      </w:pPr>
      <w:r w:rsidRPr="00E31795">
        <w:rPr>
          <w:b/>
          <w:sz w:val="26"/>
          <w:szCs w:val="26"/>
          <w:lang w:val="lt-LT"/>
        </w:rPr>
        <w:lastRenderedPageBreak/>
        <w:t>15 PRIEDAS</w:t>
      </w:r>
    </w:p>
    <w:p w:rsidR="009A0C85" w:rsidRPr="00E31795" w:rsidRDefault="009A0C85" w:rsidP="009F3644">
      <w:pPr>
        <w:tabs>
          <w:tab w:val="left" w:pos="567"/>
        </w:tabs>
        <w:spacing w:before="120"/>
        <w:jc w:val="center"/>
        <w:rPr>
          <w:caps/>
          <w:noProof/>
          <w:sz w:val="26"/>
          <w:szCs w:val="26"/>
          <w:lang w:val="lt-LT"/>
        </w:rPr>
      </w:pPr>
      <w:r w:rsidRPr="00E31795">
        <w:rPr>
          <w:b/>
          <w:caps/>
          <w:noProof/>
          <w:sz w:val="26"/>
          <w:szCs w:val="26"/>
          <w:lang w:val="lt-LT"/>
        </w:rPr>
        <w:t>Audito rizikos komponentų vertinimo audito etapuose ryšys</w:t>
      </w:r>
      <w:r w:rsidR="00A77FC4" w:rsidRPr="00E31795">
        <w:rPr>
          <w:b/>
          <w:caps/>
          <w:noProof/>
          <w:sz w:val="26"/>
          <w:szCs w:val="26"/>
          <w:lang w:val="lt-LT"/>
        </w:rPr>
        <w:t xml:space="preserve"> </w:t>
      </w:r>
      <w:r w:rsidR="00A77FC4" w:rsidRPr="00E31795">
        <w:rPr>
          <w:b/>
          <w:sz w:val="26"/>
          <w:szCs w:val="26"/>
          <w:lang w:val="lt-LT"/>
        </w:rPr>
        <w:t>(r</w:t>
      </w:r>
      <w:r w:rsidR="00A77FC4" w:rsidRPr="00E31795">
        <w:rPr>
          <w:b/>
          <w:sz w:val="26"/>
          <w:szCs w:val="26"/>
          <w:vertAlign w:val="subscript"/>
          <w:lang w:val="lt-LT"/>
        </w:rPr>
        <w:t>s</w:t>
      </w:r>
      <w:r w:rsidR="00A77FC4" w:rsidRPr="00E31795">
        <w:rPr>
          <w:b/>
          <w:sz w:val="26"/>
          <w:szCs w:val="26"/>
          <w:lang w:val="lt-LT"/>
        </w:rPr>
        <w:t>)</w:t>
      </w:r>
    </w:p>
    <w:p w:rsidR="009A0C85" w:rsidRDefault="009A0C85">
      <w:pPr>
        <w:tabs>
          <w:tab w:val="left" w:pos="567"/>
        </w:tabs>
        <w:jc w:val="both"/>
        <w:rPr>
          <w:noProof/>
          <w:sz w:val="24"/>
          <w:szCs w:val="24"/>
          <w:lang w:val="lt-LT"/>
        </w:rPr>
      </w:pPr>
      <w:r>
        <w:rPr>
          <w:noProof/>
          <w:sz w:val="24"/>
          <w:szCs w:val="24"/>
          <w:lang w:val="lt-LT"/>
        </w:rPr>
        <w:drawing>
          <wp:inline distT="0" distB="0" distL="0" distR="0">
            <wp:extent cx="5261403" cy="2867025"/>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srcRect/>
                    <a:stretch>
                      <a:fillRect/>
                    </a:stretch>
                  </pic:blipFill>
                  <pic:spPr bwMode="auto">
                    <a:xfrm>
                      <a:off x="0" y="0"/>
                      <a:ext cx="5272730" cy="2873197"/>
                    </a:xfrm>
                    <a:prstGeom prst="rect">
                      <a:avLst/>
                    </a:prstGeom>
                    <a:noFill/>
                    <a:ln w="9525">
                      <a:noFill/>
                      <a:miter lim="800000"/>
                      <a:headEnd/>
                      <a:tailEnd/>
                    </a:ln>
                  </pic:spPr>
                </pic:pic>
              </a:graphicData>
            </a:graphic>
          </wp:inline>
        </w:drawing>
      </w:r>
    </w:p>
    <w:p w:rsidR="009A0C85" w:rsidRPr="00A77FC4" w:rsidRDefault="009A0C85" w:rsidP="009A0C85">
      <w:pPr>
        <w:tabs>
          <w:tab w:val="left" w:pos="567"/>
        </w:tabs>
        <w:jc w:val="both"/>
        <w:rPr>
          <w:lang w:val="lt-LT"/>
        </w:rPr>
      </w:pPr>
      <w:r w:rsidRPr="00A77FC4">
        <w:rPr>
          <w:lang w:val="lt-LT"/>
        </w:rPr>
        <w:t xml:space="preserve">kur: </w:t>
      </w:r>
    </w:p>
    <w:p w:rsidR="009A0C85" w:rsidRPr="00A77FC4" w:rsidRDefault="009A0C85" w:rsidP="009A0C85">
      <w:pPr>
        <w:pStyle w:val="Normal-pr"/>
        <w:rPr>
          <w:sz w:val="20"/>
        </w:rPr>
      </w:pPr>
      <w:r w:rsidRPr="00A77FC4">
        <w:rPr>
          <w:sz w:val="20"/>
        </w:rPr>
        <w:t>V_15_1_1</w:t>
      </w:r>
      <w:r w:rsidR="00A77FC4">
        <w:rPr>
          <w:sz w:val="20"/>
        </w:rPr>
        <w:t xml:space="preserve"> </w:t>
      </w:r>
      <w:r w:rsidR="0027655E">
        <w:t xml:space="preserve">– </w:t>
      </w:r>
      <w:r w:rsidR="003B517A">
        <w:rPr>
          <w:sz w:val="20"/>
        </w:rPr>
        <w:t>reikšmingo iškraipymo rizikos (R</w:t>
      </w:r>
      <w:r w:rsidR="00CB7528">
        <w:rPr>
          <w:sz w:val="20"/>
        </w:rPr>
        <w:t>MM</w:t>
      </w:r>
      <w:r w:rsidR="003B517A">
        <w:rPr>
          <w:sz w:val="20"/>
        </w:rPr>
        <w:t xml:space="preserve">) vertinimas: </w:t>
      </w:r>
      <w:r w:rsidRPr="00A77FC4">
        <w:rPr>
          <w:sz w:val="20"/>
        </w:rPr>
        <w:t>susipažinimas su klientu</w:t>
      </w:r>
      <w:r w:rsidR="00A77FC4">
        <w:rPr>
          <w:sz w:val="20"/>
        </w:rPr>
        <w:t>;</w:t>
      </w:r>
    </w:p>
    <w:p w:rsidR="009A0C85" w:rsidRPr="00A77FC4" w:rsidRDefault="00A77FC4" w:rsidP="009A0C85">
      <w:pPr>
        <w:pStyle w:val="Normal-pr"/>
        <w:rPr>
          <w:sz w:val="20"/>
        </w:rPr>
      </w:pPr>
      <w:r w:rsidRPr="00A77FC4">
        <w:rPr>
          <w:sz w:val="20"/>
        </w:rPr>
        <w:t>V_15</w:t>
      </w:r>
      <w:r>
        <w:rPr>
          <w:sz w:val="20"/>
        </w:rPr>
        <w:t xml:space="preserve">_1_2 </w:t>
      </w:r>
      <w:r w:rsidR="0027655E">
        <w:t xml:space="preserve">– </w:t>
      </w:r>
      <w:r w:rsidR="003B517A">
        <w:rPr>
          <w:sz w:val="20"/>
        </w:rPr>
        <w:t>R</w:t>
      </w:r>
      <w:r w:rsidR="00CB7528">
        <w:rPr>
          <w:sz w:val="20"/>
        </w:rPr>
        <w:t>MM</w:t>
      </w:r>
      <w:r w:rsidR="003B517A">
        <w:rPr>
          <w:sz w:val="20"/>
        </w:rPr>
        <w:t xml:space="preserve"> vertinimas:</w:t>
      </w:r>
      <w:r w:rsidR="003B517A" w:rsidRPr="00A77FC4">
        <w:rPr>
          <w:sz w:val="20"/>
        </w:rPr>
        <w:t xml:space="preserve"> </w:t>
      </w:r>
      <w:r w:rsidR="009A0C85" w:rsidRPr="00A77FC4">
        <w:rPr>
          <w:sz w:val="20"/>
        </w:rPr>
        <w:t>audito planavimas</w:t>
      </w:r>
      <w:r w:rsidR="003B517A">
        <w:rPr>
          <w:sz w:val="20"/>
        </w:rPr>
        <w:t>;</w:t>
      </w:r>
    </w:p>
    <w:p w:rsidR="009A0C85" w:rsidRPr="00A77FC4" w:rsidRDefault="00A77FC4" w:rsidP="009A0C85">
      <w:pPr>
        <w:pStyle w:val="Normal-pr"/>
        <w:rPr>
          <w:sz w:val="20"/>
        </w:rPr>
      </w:pPr>
      <w:r w:rsidRPr="00A77FC4">
        <w:rPr>
          <w:sz w:val="20"/>
        </w:rPr>
        <w:t>V_15_1_</w:t>
      </w:r>
      <w:r>
        <w:rPr>
          <w:sz w:val="20"/>
        </w:rPr>
        <w:t xml:space="preserve">3 </w:t>
      </w:r>
      <w:r w:rsidR="0027655E">
        <w:t xml:space="preserve">– </w:t>
      </w:r>
      <w:r w:rsidR="003B517A">
        <w:rPr>
          <w:sz w:val="20"/>
        </w:rPr>
        <w:t>R</w:t>
      </w:r>
      <w:r w:rsidR="00CB7528">
        <w:rPr>
          <w:sz w:val="20"/>
        </w:rPr>
        <w:t>MM</w:t>
      </w:r>
      <w:r w:rsidR="003B517A">
        <w:rPr>
          <w:sz w:val="20"/>
        </w:rPr>
        <w:t xml:space="preserve"> vertinimas:</w:t>
      </w:r>
      <w:r w:rsidR="003B517A" w:rsidRPr="00A77FC4">
        <w:rPr>
          <w:sz w:val="20"/>
        </w:rPr>
        <w:t xml:space="preserve"> </w:t>
      </w:r>
      <w:r w:rsidR="009A0C85" w:rsidRPr="00A77FC4">
        <w:rPr>
          <w:sz w:val="20"/>
        </w:rPr>
        <w:t>kontrolės tyrimas/detalus tikrinimas</w:t>
      </w:r>
      <w:r w:rsidR="003B517A">
        <w:rPr>
          <w:sz w:val="20"/>
        </w:rPr>
        <w:t>;</w:t>
      </w:r>
    </w:p>
    <w:p w:rsidR="009A0C85" w:rsidRDefault="00A77FC4" w:rsidP="009A0C85">
      <w:pPr>
        <w:pStyle w:val="Normal-pr"/>
        <w:rPr>
          <w:sz w:val="20"/>
        </w:rPr>
      </w:pPr>
      <w:r w:rsidRPr="00A77FC4">
        <w:rPr>
          <w:sz w:val="20"/>
        </w:rPr>
        <w:t>V_15</w:t>
      </w:r>
      <w:r>
        <w:rPr>
          <w:sz w:val="20"/>
        </w:rPr>
        <w:t xml:space="preserve">_1_4 </w:t>
      </w:r>
      <w:r w:rsidR="0027655E">
        <w:t xml:space="preserve">– </w:t>
      </w:r>
      <w:r w:rsidR="003B517A">
        <w:rPr>
          <w:sz w:val="20"/>
        </w:rPr>
        <w:t>R</w:t>
      </w:r>
      <w:r w:rsidR="00CB7528">
        <w:rPr>
          <w:sz w:val="20"/>
        </w:rPr>
        <w:t>MM</w:t>
      </w:r>
      <w:r w:rsidR="003B517A">
        <w:rPr>
          <w:sz w:val="20"/>
        </w:rPr>
        <w:t xml:space="preserve"> vertinimas:</w:t>
      </w:r>
      <w:r w:rsidR="003B517A" w:rsidRPr="00A77FC4">
        <w:rPr>
          <w:sz w:val="20"/>
        </w:rPr>
        <w:t xml:space="preserve"> </w:t>
      </w:r>
      <w:r w:rsidR="009A0C85" w:rsidRPr="00A77FC4">
        <w:rPr>
          <w:sz w:val="20"/>
        </w:rPr>
        <w:t>nuomonės formulavimas</w:t>
      </w:r>
      <w:r w:rsidR="003B517A">
        <w:rPr>
          <w:sz w:val="20"/>
        </w:rPr>
        <w:t>;</w:t>
      </w:r>
    </w:p>
    <w:p w:rsidR="003B517A" w:rsidRPr="00A77FC4" w:rsidRDefault="003B517A" w:rsidP="003B517A">
      <w:pPr>
        <w:pStyle w:val="Normal-pr"/>
        <w:rPr>
          <w:sz w:val="20"/>
        </w:rPr>
      </w:pPr>
      <w:r w:rsidRPr="00A77FC4">
        <w:rPr>
          <w:sz w:val="20"/>
        </w:rPr>
        <w:t>V_15</w:t>
      </w:r>
      <w:r>
        <w:rPr>
          <w:sz w:val="20"/>
        </w:rPr>
        <w:t>_2_1</w:t>
      </w:r>
      <w:r w:rsidRPr="00A77FC4">
        <w:rPr>
          <w:sz w:val="20"/>
        </w:rPr>
        <w:t xml:space="preserve"> </w:t>
      </w:r>
      <w:r w:rsidR="0027655E">
        <w:t xml:space="preserve">– </w:t>
      </w:r>
      <w:r w:rsidR="00756C8A">
        <w:rPr>
          <w:sz w:val="20"/>
        </w:rPr>
        <w:t xml:space="preserve">aptikimo rizikos </w:t>
      </w:r>
      <w:r>
        <w:rPr>
          <w:sz w:val="20"/>
        </w:rPr>
        <w:t xml:space="preserve">vertinimas: </w:t>
      </w:r>
      <w:r w:rsidRPr="00A77FC4">
        <w:rPr>
          <w:sz w:val="20"/>
        </w:rPr>
        <w:t>susipažinimas su klientu</w:t>
      </w:r>
      <w:r>
        <w:rPr>
          <w:sz w:val="20"/>
        </w:rPr>
        <w:t>;</w:t>
      </w:r>
    </w:p>
    <w:p w:rsidR="003B517A" w:rsidRPr="00A77FC4" w:rsidRDefault="003B517A" w:rsidP="003B517A">
      <w:pPr>
        <w:pStyle w:val="Normal-pr"/>
        <w:rPr>
          <w:sz w:val="20"/>
        </w:rPr>
      </w:pPr>
      <w:r w:rsidRPr="00A77FC4">
        <w:rPr>
          <w:sz w:val="20"/>
        </w:rPr>
        <w:t>V_15</w:t>
      </w:r>
      <w:r>
        <w:rPr>
          <w:sz w:val="20"/>
        </w:rPr>
        <w:t>_2_2</w:t>
      </w:r>
      <w:r w:rsidRPr="00A77FC4">
        <w:rPr>
          <w:sz w:val="20"/>
        </w:rPr>
        <w:t xml:space="preserve"> </w:t>
      </w:r>
      <w:r w:rsidR="0027655E">
        <w:t xml:space="preserve">– </w:t>
      </w:r>
      <w:r w:rsidR="00756C8A">
        <w:rPr>
          <w:sz w:val="20"/>
        </w:rPr>
        <w:t>aptikimo rizikos</w:t>
      </w:r>
      <w:r w:rsidR="007A55A5">
        <w:rPr>
          <w:sz w:val="20"/>
        </w:rPr>
        <w:t xml:space="preserve"> vertinimas: </w:t>
      </w:r>
      <w:r w:rsidRPr="00A77FC4">
        <w:rPr>
          <w:sz w:val="20"/>
        </w:rPr>
        <w:t>audito planavimas</w:t>
      </w:r>
      <w:r w:rsidR="007A55A5">
        <w:rPr>
          <w:sz w:val="20"/>
        </w:rPr>
        <w:t>;</w:t>
      </w:r>
    </w:p>
    <w:p w:rsidR="003B517A" w:rsidRPr="00A77FC4" w:rsidRDefault="003B517A" w:rsidP="003B517A">
      <w:pPr>
        <w:pStyle w:val="Normal-pr"/>
        <w:rPr>
          <w:sz w:val="20"/>
        </w:rPr>
      </w:pPr>
      <w:r w:rsidRPr="00A77FC4">
        <w:rPr>
          <w:sz w:val="20"/>
        </w:rPr>
        <w:t>V_15</w:t>
      </w:r>
      <w:r>
        <w:rPr>
          <w:sz w:val="20"/>
        </w:rPr>
        <w:t>_2_3</w:t>
      </w:r>
      <w:r w:rsidRPr="00A77FC4">
        <w:rPr>
          <w:sz w:val="20"/>
        </w:rPr>
        <w:t xml:space="preserve"> </w:t>
      </w:r>
      <w:r w:rsidR="0027655E">
        <w:t xml:space="preserve">– </w:t>
      </w:r>
      <w:r w:rsidR="00756C8A">
        <w:rPr>
          <w:sz w:val="20"/>
        </w:rPr>
        <w:t xml:space="preserve">aptikimo rizikos </w:t>
      </w:r>
      <w:r w:rsidR="007A55A5">
        <w:rPr>
          <w:sz w:val="20"/>
        </w:rPr>
        <w:t>vertinimas:</w:t>
      </w:r>
      <w:r w:rsidR="007A55A5" w:rsidRPr="00A77FC4">
        <w:rPr>
          <w:sz w:val="20"/>
        </w:rPr>
        <w:t xml:space="preserve"> </w:t>
      </w:r>
      <w:r w:rsidRPr="00A77FC4">
        <w:rPr>
          <w:sz w:val="20"/>
        </w:rPr>
        <w:t>kontrolės tyrimas/detalus tikrinimas</w:t>
      </w:r>
      <w:r w:rsidR="007A55A5">
        <w:rPr>
          <w:sz w:val="20"/>
        </w:rPr>
        <w:t>;</w:t>
      </w:r>
    </w:p>
    <w:p w:rsidR="003B517A" w:rsidRPr="00A77FC4" w:rsidRDefault="003B517A" w:rsidP="003B517A">
      <w:pPr>
        <w:pStyle w:val="Normal-pr"/>
        <w:rPr>
          <w:sz w:val="20"/>
        </w:rPr>
      </w:pPr>
      <w:r w:rsidRPr="00A77FC4">
        <w:rPr>
          <w:sz w:val="20"/>
        </w:rPr>
        <w:t>V_15</w:t>
      </w:r>
      <w:r>
        <w:rPr>
          <w:sz w:val="20"/>
        </w:rPr>
        <w:t>_2_4</w:t>
      </w:r>
      <w:r w:rsidRPr="00A77FC4">
        <w:rPr>
          <w:sz w:val="20"/>
        </w:rPr>
        <w:t xml:space="preserve"> </w:t>
      </w:r>
      <w:r w:rsidR="0027655E">
        <w:t xml:space="preserve">– </w:t>
      </w:r>
      <w:r w:rsidR="00756C8A">
        <w:rPr>
          <w:sz w:val="20"/>
        </w:rPr>
        <w:t>aptikimo rizikos</w:t>
      </w:r>
      <w:r w:rsidR="007A55A5">
        <w:rPr>
          <w:sz w:val="20"/>
        </w:rPr>
        <w:t xml:space="preserve"> vertinimas:</w:t>
      </w:r>
      <w:r w:rsidR="007A55A5" w:rsidRPr="00A77FC4">
        <w:rPr>
          <w:sz w:val="20"/>
        </w:rPr>
        <w:t xml:space="preserve"> </w:t>
      </w:r>
      <w:r w:rsidRPr="00A77FC4">
        <w:rPr>
          <w:sz w:val="20"/>
        </w:rPr>
        <w:t>nuomonės formulavimas</w:t>
      </w:r>
      <w:r w:rsidR="007A55A5">
        <w:rPr>
          <w:sz w:val="20"/>
        </w:rPr>
        <w:t>.</w:t>
      </w:r>
    </w:p>
    <w:p w:rsidR="003B517A" w:rsidRPr="00A77FC4" w:rsidRDefault="003B517A" w:rsidP="009A0C85">
      <w:pPr>
        <w:pStyle w:val="Normal-pr"/>
        <w:rPr>
          <w:sz w:val="20"/>
        </w:rPr>
      </w:pPr>
    </w:p>
    <w:p w:rsidR="00A77FC4" w:rsidRDefault="00A77FC4">
      <w:pPr>
        <w:rPr>
          <w:b/>
          <w:sz w:val="24"/>
          <w:szCs w:val="24"/>
          <w:lang w:val="lt-LT"/>
        </w:rPr>
      </w:pPr>
      <w:r>
        <w:rPr>
          <w:b/>
          <w:sz w:val="24"/>
          <w:szCs w:val="24"/>
          <w:lang w:val="lt-LT"/>
        </w:rPr>
        <w:br w:type="page"/>
      </w:r>
    </w:p>
    <w:p w:rsidR="00A77FC4" w:rsidRPr="009F3644" w:rsidRDefault="00A77FC4" w:rsidP="00A77FC4">
      <w:pPr>
        <w:tabs>
          <w:tab w:val="left" w:pos="567"/>
        </w:tabs>
        <w:jc w:val="right"/>
        <w:rPr>
          <w:b/>
          <w:sz w:val="26"/>
          <w:szCs w:val="26"/>
          <w:lang w:val="lt-LT"/>
        </w:rPr>
      </w:pPr>
      <w:r w:rsidRPr="009F3644">
        <w:rPr>
          <w:b/>
          <w:sz w:val="26"/>
          <w:szCs w:val="26"/>
          <w:lang w:val="lt-LT"/>
        </w:rPr>
        <w:lastRenderedPageBreak/>
        <w:t>1</w:t>
      </w:r>
      <w:r w:rsidR="005F3C89" w:rsidRPr="009F3644">
        <w:rPr>
          <w:b/>
          <w:sz w:val="26"/>
          <w:szCs w:val="26"/>
          <w:lang w:val="lt-LT"/>
        </w:rPr>
        <w:t>6</w:t>
      </w:r>
      <w:r w:rsidRPr="009F3644">
        <w:rPr>
          <w:b/>
          <w:sz w:val="26"/>
          <w:szCs w:val="26"/>
          <w:lang w:val="lt-LT"/>
        </w:rPr>
        <w:t xml:space="preserve"> PRIEDAS</w:t>
      </w:r>
    </w:p>
    <w:p w:rsidR="00A77FC4" w:rsidRPr="009F3644" w:rsidRDefault="00A77FC4" w:rsidP="009F3644">
      <w:pPr>
        <w:tabs>
          <w:tab w:val="left" w:pos="567"/>
        </w:tabs>
        <w:spacing w:before="120" w:after="120"/>
        <w:jc w:val="center"/>
        <w:rPr>
          <w:b/>
          <w:caps/>
          <w:sz w:val="26"/>
          <w:szCs w:val="26"/>
          <w:lang w:val="lt-LT"/>
        </w:rPr>
      </w:pPr>
      <w:r w:rsidRPr="009F3644">
        <w:rPr>
          <w:b/>
          <w:caps/>
          <w:noProof/>
          <w:sz w:val="26"/>
          <w:szCs w:val="26"/>
          <w:lang w:val="lt-LT"/>
        </w:rPr>
        <w:t xml:space="preserve">Apgaulės nagrinėjimo priežasčių tarpusavio ryšys ir jų ryšys </w:t>
      </w:r>
      <w:r w:rsidRPr="009F3644">
        <w:rPr>
          <w:b/>
          <w:sz w:val="26"/>
          <w:szCs w:val="26"/>
          <w:lang w:val="lt-LT"/>
        </w:rPr>
        <w:t>(r</w:t>
      </w:r>
      <w:r w:rsidRPr="009F3644">
        <w:rPr>
          <w:b/>
          <w:sz w:val="26"/>
          <w:szCs w:val="26"/>
          <w:vertAlign w:val="subscript"/>
          <w:lang w:val="lt-LT"/>
        </w:rPr>
        <w:t>s</w:t>
      </w:r>
      <w:r w:rsidRPr="009F3644">
        <w:rPr>
          <w:b/>
          <w:sz w:val="26"/>
          <w:szCs w:val="26"/>
          <w:lang w:val="lt-LT"/>
        </w:rPr>
        <w:t xml:space="preserve">) </w:t>
      </w:r>
      <w:r w:rsidRPr="009F3644">
        <w:rPr>
          <w:b/>
          <w:caps/>
          <w:sz w:val="26"/>
          <w:szCs w:val="26"/>
          <w:lang w:val="lt-LT"/>
        </w:rPr>
        <w:t>su auditoriaus darbo patirtimi ir atliekamų auditų skaičiumi per metus</w:t>
      </w:r>
    </w:p>
    <w:p w:rsidR="00A77FC4" w:rsidRDefault="00A77FC4" w:rsidP="00A77FC4">
      <w:pPr>
        <w:tabs>
          <w:tab w:val="left" w:pos="567"/>
        </w:tabs>
        <w:jc w:val="both"/>
        <w:rPr>
          <w:sz w:val="24"/>
          <w:szCs w:val="24"/>
          <w:lang w:val="lt-LT"/>
        </w:rPr>
      </w:pPr>
      <w:r>
        <w:rPr>
          <w:noProof/>
          <w:sz w:val="24"/>
          <w:szCs w:val="24"/>
          <w:lang w:val="lt-LT"/>
        </w:rPr>
        <w:drawing>
          <wp:inline distT="0" distB="0" distL="0" distR="0">
            <wp:extent cx="5476875" cy="3324225"/>
            <wp:effectExtent l="19050" t="0" r="9525"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srcRect/>
                    <a:stretch>
                      <a:fillRect/>
                    </a:stretch>
                  </pic:blipFill>
                  <pic:spPr bwMode="auto">
                    <a:xfrm>
                      <a:off x="0" y="0"/>
                      <a:ext cx="5476875" cy="3324225"/>
                    </a:xfrm>
                    <a:prstGeom prst="rect">
                      <a:avLst/>
                    </a:prstGeom>
                    <a:noFill/>
                    <a:ln w="9525">
                      <a:noFill/>
                      <a:miter lim="800000"/>
                      <a:headEnd/>
                      <a:tailEnd/>
                    </a:ln>
                  </pic:spPr>
                </pic:pic>
              </a:graphicData>
            </a:graphic>
          </wp:inline>
        </w:drawing>
      </w:r>
    </w:p>
    <w:p w:rsidR="00A77FC4" w:rsidRPr="00810471" w:rsidRDefault="00A77FC4" w:rsidP="00A77FC4">
      <w:pPr>
        <w:tabs>
          <w:tab w:val="left" w:pos="567"/>
        </w:tabs>
        <w:jc w:val="both"/>
        <w:rPr>
          <w:lang w:val="lt-LT"/>
        </w:rPr>
      </w:pPr>
      <w:r w:rsidRPr="00810471">
        <w:rPr>
          <w:lang w:val="lt-LT"/>
        </w:rPr>
        <w:t xml:space="preserve">kur: </w:t>
      </w:r>
    </w:p>
    <w:p w:rsidR="00A77FC4" w:rsidRPr="00810471" w:rsidRDefault="00A77FC4" w:rsidP="00A77FC4">
      <w:pPr>
        <w:pStyle w:val="Normal-pr"/>
        <w:rPr>
          <w:sz w:val="20"/>
        </w:rPr>
      </w:pPr>
      <w:r w:rsidRPr="005776EC">
        <w:rPr>
          <w:sz w:val="20"/>
        </w:rPr>
        <w:t>V_1</w:t>
      </w:r>
      <w:r>
        <w:rPr>
          <w:sz w:val="20"/>
        </w:rPr>
        <w:t>6</w:t>
      </w:r>
      <w:r w:rsidRPr="005776EC">
        <w:rPr>
          <w:sz w:val="20"/>
        </w:rPr>
        <w:t>_1_1</w:t>
      </w:r>
      <w:r>
        <w:rPr>
          <w:sz w:val="20"/>
        </w:rPr>
        <w:t xml:space="preserve"> </w:t>
      </w:r>
      <w:r w:rsidR="0027655E">
        <w:t xml:space="preserve">– </w:t>
      </w:r>
      <w:r w:rsidRPr="00810471">
        <w:rPr>
          <w:sz w:val="20"/>
        </w:rPr>
        <w:t>apgaulės nagrinėjimui turi būti skiriamas didesnis dėmesys</w:t>
      </w:r>
      <w:r>
        <w:rPr>
          <w:sz w:val="20"/>
        </w:rPr>
        <w:t>;</w:t>
      </w:r>
    </w:p>
    <w:p w:rsidR="00A77FC4" w:rsidRPr="00810471" w:rsidRDefault="00A77FC4" w:rsidP="00A77FC4">
      <w:pPr>
        <w:pStyle w:val="Normal-pr"/>
        <w:rPr>
          <w:sz w:val="20"/>
        </w:rPr>
      </w:pPr>
      <w:r>
        <w:rPr>
          <w:sz w:val="20"/>
        </w:rPr>
        <w:t xml:space="preserve">V_16_1_2 </w:t>
      </w:r>
      <w:r w:rsidR="0027655E">
        <w:t xml:space="preserve">– </w:t>
      </w:r>
      <w:r w:rsidRPr="00810471">
        <w:rPr>
          <w:sz w:val="20"/>
        </w:rPr>
        <w:t>apgaulę daug sunkiau nustatyti</w:t>
      </w:r>
      <w:r>
        <w:rPr>
          <w:sz w:val="20"/>
        </w:rPr>
        <w:t>;</w:t>
      </w:r>
    </w:p>
    <w:p w:rsidR="00A77FC4" w:rsidRPr="00012ED2" w:rsidRDefault="00A77FC4" w:rsidP="00A77FC4">
      <w:pPr>
        <w:pStyle w:val="Normal-pr"/>
        <w:rPr>
          <w:sz w:val="20"/>
        </w:rPr>
      </w:pPr>
      <w:r>
        <w:rPr>
          <w:sz w:val="20"/>
        </w:rPr>
        <w:t xml:space="preserve">V_16_1_3 </w:t>
      </w:r>
      <w:r w:rsidR="0027655E">
        <w:t xml:space="preserve">– </w:t>
      </w:r>
      <w:r w:rsidRPr="00810471">
        <w:rPr>
          <w:sz w:val="20"/>
        </w:rPr>
        <w:t>a</w:t>
      </w:r>
      <w:r w:rsidRPr="00012ED2">
        <w:rPr>
          <w:sz w:val="20"/>
        </w:rPr>
        <w:t>pgaulę lemia sąlygos (spaudimas/galimybės/ racionalizacija);</w:t>
      </w:r>
    </w:p>
    <w:p w:rsidR="00A77FC4" w:rsidRPr="00012ED2" w:rsidRDefault="00A77FC4" w:rsidP="00A77FC4">
      <w:pPr>
        <w:pStyle w:val="Normal-pr"/>
        <w:rPr>
          <w:sz w:val="20"/>
        </w:rPr>
      </w:pPr>
      <w:r w:rsidRPr="00012ED2">
        <w:rPr>
          <w:sz w:val="20"/>
        </w:rPr>
        <w:t xml:space="preserve">V_16_1_4 </w:t>
      </w:r>
      <w:r w:rsidR="0027655E">
        <w:t xml:space="preserve">– </w:t>
      </w:r>
      <w:r w:rsidRPr="00012ED2">
        <w:rPr>
          <w:sz w:val="20"/>
        </w:rPr>
        <w:t>apgaulės vertinimui svarbūs ir asmens vykdančio apgaulę sugebėjimai;</w:t>
      </w:r>
    </w:p>
    <w:p w:rsidR="00A77FC4" w:rsidRPr="00012ED2" w:rsidRDefault="00A77FC4" w:rsidP="00A77FC4">
      <w:pPr>
        <w:pStyle w:val="Normal-pr"/>
        <w:rPr>
          <w:sz w:val="20"/>
        </w:rPr>
      </w:pPr>
      <w:r w:rsidRPr="00012ED2">
        <w:rPr>
          <w:sz w:val="20"/>
        </w:rPr>
        <w:t xml:space="preserve">V_16_1_5 </w:t>
      </w:r>
      <w:r w:rsidR="0027655E">
        <w:t xml:space="preserve">– </w:t>
      </w:r>
      <w:r w:rsidRPr="00012ED2">
        <w:rPr>
          <w:sz w:val="20"/>
        </w:rPr>
        <w:t xml:space="preserve">apgaulę dažniau vykdo įmonės vadovybė nei jos darbuotojai; </w:t>
      </w:r>
    </w:p>
    <w:p w:rsidR="00A77FC4" w:rsidRPr="005776EC" w:rsidRDefault="00A77FC4" w:rsidP="00A77FC4">
      <w:pPr>
        <w:tabs>
          <w:tab w:val="left" w:pos="567"/>
        </w:tabs>
        <w:rPr>
          <w:lang w:val="lt-LT"/>
        </w:rPr>
      </w:pPr>
      <w:r w:rsidRPr="005776EC">
        <w:rPr>
          <w:lang w:val="lt-LT"/>
        </w:rPr>
        <w:t>V_22 – auditoriaus darbo patirtis;</w:t>
      </w:r>
    </w:p>
    <w:p w:rsidR="00A77FC4" w:rsidRPr="005776EC" w:rsidRDefault="00A77FC4" w:rsidP="00A77FC4">
      <w:pPr>
        <w:tabs>
          <w:tab w:val="left" w:pos="567"/>
        </w:tabs>
        <w:rPr>
          <w:lang w:val="lt-LT"/>
        </w:rPr>
      </w:pPr>
      <w:r w:rsidRPr="005776EC">
        <w:rPr>
          <w:lang w:val="lt-LT"/>
        </w:rPr>
        <w:t>V_23 – auditoriaus atliekamų auditų skaičius per metus.</w:t>
      </w:r>
    </w:p>
    <w:p w:rsidR="00A77FC4" w:rsidRDefault="00A77FC4" w:rsidP="00A77FC4">
      <w:pPr>
        <w:rPr>
          <w:sz w:val="24"/>
          <w:szCs w:val="24"/>
          <w:lang w:val="lt-LT"/>
        </w:rPr>
      </w:pPr>
      <w:r>
        <w:rPr>
          <w:sz w:val="24"/>
          <w:szCs w:val="24"/>
          <w:lang w:val="lt-LT"/>
        </w:rPr>
        <w:br w:type="page"/>
      </w:r>
    </w:p>
    <w:p w:rsidR="00B1498A" w:rsidRPr="009F3644" w:rsidRDefault="00B1498A" w:rsidP="00B1498A">
      <w:pPr>
        <w:tabs>
          <w:tab w:val="left" w:pos="567"/>
        </w:tabs>
        <w:jc w:val="right"/>
        <w:rPr>
          <w:b/>
          <w:sz w:val="26"/>
          <w:szCs w:val="26"/>
          <w:lang w:val="lt-LT"/>
        </w:rPr>
      </w:pPr>
      <w:r w:rsidRPr="009F3644">
        <w:rPr>
          <w:b/>
          <w:sz w:val="26"/>
          <w:szCs w:val="26"/>
          <w:lang w:val="lt-LT"/>
        </w:rPr>
        <w:lastRenderedPageBreak/>
        <w:t>1</w:t>
      </w:r>
      <w:r w:rsidR="005F3C89" w:rsidRPr="009F3644">
        <w:rPr>
          <w:b/>
          <w:sz w:val="26"/>
          <w:szCs w:val="26"/>
          <w:lang w:val="lt-LT"/>
        </w:rPr>
        <w:t>7</w:t>
      </w:r>
      <w:r w:rsidRPr="009F3644">
        <w:rPr>
          <w:b/>
          <w:sz w:val="26"/>
          <w:szCs w:val="26"/>
          <w:lang w:val="lt-LT"/>
        </w:rPr>
        <w:t xml:space="preserve"> PRIEDAS</w:t>
      </w:r>
    </w:p>
    <w:p w:rsidR="00B1498A" w:rsidRPr="009F3644" w:rsidRDefault="00B1498A" w:rsidP="009F3644">
      <w:pPr>
        <w:tabs>
          <w:tab w:val="left" w:pos="567"/>
        </w:tabs>
        <w:spacing w:before="120"/>
        <w:jc w:val="center"/>
        <w:rPr>
          <w:b/>
          <w:caps/>
          <w:sz w:val="26"/>
          <w:szCs w:val="26"/>
          <w:lang w:val="lt-LT"/>
        </w:rPr>
      </w:pPr>
      <w:r w:rsidRPr="009F3644">
        <w:rPr>
          <w:b/>
          <w:caps/>
          <w:noProof/>
          <w:sz w:val="26"/>
          <w:szCs w:val="26"/>
          <w:lang w:val="lt-LT"/>
        </w:rPr>
        <w:t xml:space="preserve">Klasikinio audito rizikos modelio tobulinimo ryšys </w:t>
      </w:r>
      <w:r w:rsidRPr="009F3644">
        <w:rPr>
          <w:b/>
          <w:sz w:val="26"/>
          <w:szCs w:val="26"/>
          <w:lang w:val="lt-LT"/>
        </w:rPr>
        <w:t>(r</w:t>
      </w:r>
      <w:r w:rsidRPr="009F3644">
        <w:rPr>
          <w:b/>
          <w:sz w:val="26"/>
          <w:szCs w:val="26"/>
          <w:vertAlign w:val="subscript"/>
          <w:lang w:val="lt-LT"/>
        </w:rPr>
        <w:t>s</w:t>
      </w:r>
      <w:r w:rsidRPr="009F3644">
        <w:rPr>
          <w:b/>
          <w:sz w:val="26"/>
          <w:szCs w:val="26"/>
          <w:lang w:val="lt-LT"/>
        </w:rPr>
        <w:t>)</w:t>
      </w:r>
      <w:r w:rsidRPr="009F3644">
        <w:rPr>
          <w:b/>
          <w:caps/>
          <w:sz w:val="26"/>
          <w:szCs w:val="26"/>
          <w:lang w:val="lt-LT"/>
        </w:rPr>
        <w:t xml:space="preserve"> su auditoriaus darbo patirtimi ir atliekamų auditų skaičiumi per metus</w:t>
      </w:r>
    </w:p>
    <w:p w:rsidR="00067D9E" w:rsidRDefault="00B1498A">
      <w:pPr>
        <w:tabs>
          <w:tab w:val="left" w:pos="567"/>
        </w:tabs>
        <w:jc w:val="both"/>
        <w:rPr>
          <w:sz w:val="24"/>
          <w:szCs w:val="24"/>
          <w:lang w:val="lt-LT"/>
        </w:rPr>
      </w:pPr>
      <w:r>
        <w:rPr>
          <w:noProof/>
          <w:sz w:val="24"/>
          <w:szCs w:val="24"/>
          <w:lang w:val="lt-LT"/>
        </w:rPr>
        <w:drawing>
          <wp:inline distT="0" distB="0" distL="0" distR="0">
            <wp:extent cx="5305425" cy="2305050"/>
            <wp:effectExtent l="19050" t="0" r="9525"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srcRect/>
                    <a:stretch>
                      <a:fillRect/>
                    </a:stretch>
                  </pic:blipFill>
                  <pic:spPr bwMode="auto">
                    <a:xfrm>
                      <a:off x="0" y="0"/>
                      <a:ext cx="5306887" cy="2305685"/>
                    </a:xfrm>
                    <a:prstGeom prst="rect">
                      <a:avLst/>
                    </a:prstGeom>
                    <a:noFill/>
                    <a:ln w="9525">
                      <a:noFill/>
                      <a:miter lim="800000"/>
                      <a:headEnd/>
                      <a:tailEnd/>
                    </a:ln>
                  </pic:spPr>
                </pic:pic>
              </a:graphicData>
            </a:graphic>
          </wp:inline>
        </w:drawing>
      </w:r>
    </w:p>
    <w:p w:rsidR="00B1498A" w:rsidRPr="00810471" w:rsidRDefault="00B1498A" w:rsidP="00B1498A">
      <w:pPr>
        <w:tabs>
          <w:tab w:val="left" w:pos="567"/>
        </w:tabs>
        <w:jc w:val="both"/>
        <w:rPr>
          <w:lang w:val="lt-LT"/>
        </w:rPr>
      </w:pPr>
      <w:r w:rsidRPr="00810471">
        <w:rPr>
          <w:lang w:val="lt-LT"/>
        </w:rPr>
        <w:t xml:space="preserve">kur: </w:t>
      </w:r>
    </w:p>
    <w:p w:rsidR="00B1498A" w:rsidRPr="006F5393" w:rsidRDefault="0026138C" w:rsidP="00B1498A">
      <w:pPr>
        <w:pStyle w:val="Normal-pr"/>
        <w:rPr>
          <w:sz w:val="20"/>
        </w:rPr>
      </w:pPr>
      <w:r w:rsidRPr="006F5393">
        <w:rPr>
          <w:sz w:val="20"/>
        </w:rPr>
        <w:t>V_20</w:t>
      </w:r>
      <w:r w:rsidR="00B1498A" w:rsidRPr="006F5393">
        <w:rPr>
          <w:sz w:val="20"/>
        </w:rPr>
        <w:t xml:space="preserve"> </w:t>
      </w:r>
      <w:r w:rsidR="0027655E">
        <w:t xml:space="preserve">– </w:t>
      </w:r>
      <w:r w:rsidRPr="006F5393">
        <w:rPr>
          <w:sz w:val="20"/>
        </w:rPr>
        <w:t xml:space="preserve">siūlymas, kad </w:t>
      </w:r>
      <w:r w:rsidR="00B1498A" w:rsidRPr="006F5393">
        <w:rPr>
          <w:sz w:val="20"/>
        </w:rPr>
        <w:t>klasikinio audito rizikos modelio sandarą ir matematinę išraišką reikėtų peržiūrėti;</w:t>
      </w:r>
    </w:p>
    <w:p w:rsidR="0026138C" w:rsidRPr="006F5393" w:rsidRDefault="00B1498A" w:rsidP="00B1498A">
      <w:pPr>
        <w:pStyle w:val="Normal-pr"/>
        <w:rPr>
          <w:sz w:val="20"/>
        </w:rPr>
      </w:pPr>
      <w:r w:rsidRPr="006F5393">
        <w:rPr>
          <w:sz w:val="20"/>
        </w:rPr>
        <w:t>V_</w:t>
      </w:r>
      <w:r w:rsidR="0026138C" w:rsidRPr="006F5393">
        <w:rPr>
          <w:sz w:val="20"/>
        </w:rPr>
        <w:t xml:space="preserve">21 </w:t>
      </w:r>
      <w:r w:rsidR="0027655E">
        <w:t xml:space="preserve">– </w:t>
      </w:r>
      <w:r w:rsidR="0026138C" w:rsidRPr="006F5393">
        <w:rPr>
          <w:sz w:val="20"/>
        </w:rPr>
        <w:t>siūlymas, kad atsižvelgti į kitas rizikas, neaptartas klasikiniame audito rizikos modelyje;</w:t>
      </w:r>
    </w:p>
    <w:p w:rsidR="00B1498A" w:rsidRPr="006F5393" w:rsidRDefault="00B1498A" w:rsidP="00B1498A">
      <w:pPr>
        <w:tabs>
          <w:tab w:val="left" w:pos="567"/>
        </w:tabs>
        <w:rPr>
          <w:lang w:val="lt-LT"/>
        </w:rPr>
      </w:pPr>
      <w:r w:rsidRPr="006F5393">
        <w:rPr>
          <w:lang w:val="lt-LT"/>
        </w:rPr>
        <w:t>V_22 – auditoriaus darbo patirtis;</w:t>
      </w:r>
    </w:p>
    <w:p w:rsidR="00B1498A" w:rsidRPr="006F5393" w:rsidRDefault="00B1498A" w:rsidP="00B1498A">
      <w:pPr>
        <w:tabs>
          <w:tab w:val="left" w:pos="567"/>
        </w:tabs>
        <w:rPr>
          <w:lang w:val="lt-LT"/>
        </w:rPr>
      </w:pPr>
      <w:r w:rsidRPr="006F5393">
        <w:rPr>
          <w:lang w:val="lt-LT"/>
        </w:rPr>
        <w:t>V_23 – auditoriaus atliekamų auditų skaičius per metus.</w:t>
      </w:r>
    </w:p>
    <w:p w:rsidR="006F5393" w:rsidRDefault="006F5393">
      <w:pPr>
        <w:rPr>
          <w:sz w:val="24"/>
          <w:szCs w:val="24"/>
          <w:lang w:val="lt-LT"/>
        </w:rPr>
      </w:pPr>
      <w:r>
        <w:rPr>
          <w:sz w:val="24"/>
          <w:szCs w:val="24"/>
          <w:lang w:val="lt-LT"/>
        </w:rPr>
        <w:br w:type="page"/>
      </w:r>
    </w:p>
    <w:p w:rsidR="005E699E" w:rsidRPr="009F3644" w:rsidRDefault="005E699E" w:rsidP="005E699E">
      <w:pPr>
        <w:tabs>
          <w:tab w:val="left" w:pos="567"/>
        </w:tabs>
        <w:jc w:val="right"/>
        <w:rPr>
          <w:b/>
          <w:sz w:val="26"/>
          <w:szCs w:val="26"/>
          <w:lang w:val="lt-LT"/>
        </w:rPr>
      </w:pPr>
      <w:r w:rsidRPr="009F3644">
        <w:rPr>
          <w:b/>
          <w:sz w:val="26"/>
          <w:szCs w:val="26"/>
          <w:lang w:val="lt-LT"/>
        </w:rPr>
        <w:lastRenderedPageBreak/>
        <w:t>1</w:t>
      </w:r>
      <w:r w:rsidR="005F3C89" w:rsidRPr="009F3644">
        <w:rPr>
          <w:b/>
          <w:sz w:val="26"/>
          <w:szCs w:val="26"/>
          <w:lang w:val="lt-LT"/>
        </w:rPr>
        <w:t>8</w:t>
      </w:r>
      <w:r w:rsidRPr="009F3644">
        <w:rPr>
          <w:b/>
          <w:sz w:val="26"/>
          <w:szCs w:val="26"/>
          <w:lang w:val="lt-LT"/>
        </w:rPr>
        <w:t xml:space="preserve"> PRIEDAS</w:t>
      </w:r>
    </w:p>
    <w:p w:rsidR="005E699E" w:rsidRPr="009F3644" w:rsidRDefault="005E699E" w:rsidP="009F3644">
      <w:pPr>
        <w:tabs>
          <w:tab w:val="left" w:pos="567"/>
        </w:tabs>
        <w:spacing w:before="120"/>
        <w:jc w:val="center"/>
        <w:rPr>
          <w:b/>
          <w:caps/>
          <w:sz w:val="26"/>
          <w:szCs w:val="26"/>
          <w:lang w:val="lt-LT"/>
        </w:rPr>
      </w:pPr>
      <w:r w:rsidRPr="009F3644">
        <w:rPr>
          <w:b/>
          <w:caps/>
          <w:noProof/>
          <w:sz w:val="26"/>
          <w:szCs w:val="26"/>
          <w:lang w:val="lt-LT"/>
        </w:rPr>
        <w:t xml:space="preserve">Kitų rizikų vertinimo ryšys </w:t>
      </w:r>
      <w:r w:rsidRPr="009F3644">
        <w:rPr>
          <w:b/>
          <w:sz w:val="26"/>
          <w:szCs w:val="26"/>
          <w:lang w:val="lt-LT"/>
        </w:rPr>
        <w:t>(r</w:t>
      </w:r>
      <w:r w:rsidRPr="009F3644">
        <w:rPr>
          <w:b/>
          <w:sz w:val="26"/>
          <w:szCs w:val="26"/>
          <w:vertAlign w:val="subscript"/>
          <w:lang w:val="lt-LT"/>
        </w:rPr>
        <w:t>s</w:t>
      </w:r>
      <w:r w:rsidRPr="009F3644">
        <w:rPr>
          <w:b/>
          <w:sz w:val="26"/>
          <w:szCs w:val="26"/>
          <w:lang w:val="lt-LT"/>
        </w:rPr>
        <w:t xml:space="preserve">) </w:t>
      </w:r>
      <w:r w:rsidRPr="009F3644">
        <w:rPr>
          <w:b/>
          <w:caps/>
          <w:sz w:val="26"/>
          <w:szCs w:val="26"/>
          <w:lang w:val="lt-LT"/>
        </w:rPr>
        <w:t>su auditoriaus darbo patirtimi ir atliekamų auditų skaičiumi per metus</w:t>
      </w:r>
    </w:p>
    <w:p w:rsidR="006F5393" w:rsidRDefault="006F5393">
      <w:pPr>
        <w:tabs>
          <w:tab w:val="left" w:pos="567"/>
        </w:tabs>
        <w:jc w:val="both"/>
        <w:rPr>
          <w:sz w:val="24"/>
          <w:szCs w:val="24"/>
          <w:lang w:val="lt-LT"/>
        </w:rPr>
      </w:pPr>
      <w:r>
        <w:rPr>
          <w:noProof/>
          <w:sz w:val="24"/>
          <w:szCs w:val="24"/>
          <w:lang w:val="lt-LT"/>
        </w:rPr>
        <w:drawing>
          <wp:inline distT="0" distB="0" distL="0" distR="0">
            <wp:extent cx="5524500" cy="31527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srcRect/>
                    <a:stretch>
                      <a:fillRect/>
                    </a:stretch>
                  </pic:blipFill>
                  <pic:spPr bwMode="auto">
                    <a:xfrm>
                      <a:off x="0" y="0"/>
                      <a:ext cx="5530728" cy="3156329"/>
                    </a:xfrm>
                    <a:prstGeom prst="rect">
                      <a:avLst/>
                    </a:prstGeom>
                    <a:noFill/>
                    <a:ln w="9525">
                      <a:noFill/>
                      <a:miter lim="800000"/>
                      <a:headEnd/>
                      <a:tailEnd/>
                    </a:ln>
                  </pic:spPr>
                </pic:pic>
              </a:graphicData>
            </a:graphic>
          </wp:inline>
        </w:drawing>
      </w:r>
    </w:p>
    <w:p w:rsidR="005E699E" w:rsidRPr="00810471" w:rsidRDefault="005E699E" w:rsidP="005E699E">
      <w:pPr>
        <w:tabs>
          <w:tab w:val="left" w:pos="567"/>
        </w:tabs>
        <w:jc w:val="both"/>
        <w:rPr>
          <w:lang w:val="lt-LT"/>
        </w:rPr>
      </w:pPr>
      <w:r w:rsidRPr="00810471">
        <w:rPr>
          <w:lang w:val="lt-LT"/>
        </w:rPr>
        <w:t xml:space="preserve">kur: </w:t>
      </w:r>
    </w:p>
    <w:p w:rsidR="005E699E" w:rsidRPr="005E699E" w:rsidRDefault="005E699E" w:rsidP="005E699E">
      <w:pPr>
        <w:pStyle w:val="Normal-pr"/>
        <w:rPr>
          <w:sz w:val="20"/>
        </w:rPr>
      </w:pPr>
      <w:r w:rsidRPr="005E699E">
        <w:rPr>
          <w:sz w:val="20"/>
        </w:rPr>
        <w:t xml:space="preserve">V_21_1_1 </w:t>
      </w:r>
      <w:r w:rsidR="0027655E">
        <w:t xml:space="preserve">– </w:t>
      </w:r>
      <w:r w:rsidRPr="005E699E">
        <w:rPr>
          <w:sz w:val="20"/>
        </w:rPr>
        <w:t>auditoriaus užduoties rizika (dėl auditoriaus vardo susiejimo su audituojama įmone);</w:t>
      </w:r>
    </w:p>
    <w:p w:rsidR="005E699E" w:rsidRPr="005E699E" w:rsidRDefault="005E699E" w:rsidP="005E699E">
      <w:pPr>
        <w:pStyle w:val="Normal-pr"/>
        <w:rPr>
          <w:sz w:val="20"/>
        </w:rPr>
      </w:pPr>
      <w:r w:rsidRPr="005E699E">
        <w:rPr>
          <w:sz w:val="20"/>
        </w:rPr>
        <w:t xml:space="preserve">V_21_1_2 </w:t>
      </w:r>
      <w:r w:rsidR="0027655E">
        <w:t xml:space="preserve">– </w:t>
      </w:r>
      <w:r w:rsidRPr="005E699E">
        <w:rPr>
          <w:sz w:val="20"/>
        </w:rPr>
        <w:t>auditoriaus profesinės etikos, įskaitant nepriklausomumo rizika;</w:t>
      </w:r>
    </w:p>
    <w:p w:rsidR="005E699E" w:rsidRPr="005E699E" w:rsidRDefault="005E699E" w:rsidP="005E699E">
      <w:pPr>
        <w:pStyle w:val="Normal-pr"/>
        <w:rPr>
          <w:sz w:val="20"/>
        </w:rPr>
      </w:pPr>
      <w:r w:rsidRPr="005E699E">
        <w:rPr>
          <w:sz w:val="20"/>
        </w:rPr>
        <w:t xml:space="preserve">V_21_1_3 </w:t>
      </w:r>
      <w:r w:rsidR="0027655E">
        <w:t xml:space="preserve">– </w:t>
      </w:r>
      <w:r w:rsidRPr="005E699E">
        <w:rPr>
          <w:sz w:val="20"/>
        </w:rPr>
        <w:t>audituojamos įmonės verslo rizika;</w:t>
      </w:r>
    </w:p>
    <w:p w:rsidR="005E699E" w:rsidRPr="005E699E" w:rsidRDefault="005E699E" w:rsidP="005E699E">
      <w:pPr>
        <w:pStyle w:val="Normal-pr"/>
        <w:jc w:val="left"/>
        <w:rPr>
          <w:sz w:val="20"/>
        </w:rPr>
      </w:pPr>
      <w:r w:rsidRPr="005E699E">
        <w:rPr>
          <w:sz w:val="20"/>
        </w:rPr>
        <w:t xml:space="preserve">V_21_1_4 </w:t>
      </w:r>
      <w:r w:rsidR="0027655E">
        <w:t xml:space="preserve">– </w:t>
      </w:r>
      <w:r w:rsidRPr="005E699E">
        <w:rPr>
          <w:sz w:val="20"/>
        </w:rPr>
        <w:t>reikšmingo iškraipymo rizikas, pasireiškiančias dėl klaidos ir dėl apgaulės;</w:t>
      </w:r>
    </w:p>
    <w:p w:rsidR="005E699E" w:rsidRPr="005E699E" w:rsidRDefault="005E699E" w:rsidP="005E699E">
      <w:pPr>
        <w:pStyle w:val="Normal-pr"/>
        <w:jc w:val="left"/>
        <w:rPr>
          <w:sz w:val="20"/>
        </w:rPr>
      </w:pPr>
      <w:r w:rsidRPr="005E699E">
        <w:rPr>
          <w:sz w:val="20"/>
        </w:rPr>
        <w:t xml:space="preserve">V_21_1_5 </w:t>
      </w:r>
      <w:r w:rsidR="0027655E">
        <w:t xml:space="preserve">– </w:t>
      </w:r>
      <w:r w:rsidRPr="005E699E">
        <w:rPr>
          <w:sz w:val="20"/>
        </w:rPr>
        <w:t>aptikimo rizika dėl atrankos ir ne dėl atrankos taikymo;</w:t>
      </w:r>
    </w:p>
    <w:p w:rsidR="005E699E" w:rsidRPr="005E699E" w:rsidRDefault="005E699E" w:rsidP="005E699E">
      <w:pPr>
        <w:tabs>
          <w:tab w:val="left" w:pos="567"/>
        </w:tabs>
        <w:rPr>
          <w:lang w:val="lt-LT"/>
        </w:rPr>
      </w:pPr>
      <w:r w:rsidRPr="005E699E">
        <w:rPr>
          <w:lang w:val="lt-LT"/>
        </w:rPr>
        <w:t>V_22 – auditoriaus darbo patirtis;</w:t>
      </w:r>
    </w:p>
    <w:p w:rsidR="005E699E" w:rsidRPr="005E699E" w:rsidRDefault="005E699E" w:rsidP="005E699E">
      <w:pPr>
        <w:tabs>
          <w:tab w:val="left" w:pos="567"/>
        </w:tabs>
        <w:rPr>
          <w:lang w:val="lt-LT"/>
        </w:rPr>
      </w:pPr>
      <w:r w:rsidRPr="005E699E">
        <w:rPr>
          <w:lang w:val="lt-LT"/>
        </w:rPr>
        <w:t>V_23 – auditoriaus atliekamų auditų skaičius per metus.</w:t>
      </w:r>
    </w:p>
    <w:p w:rsidR="00C41E23" w:rsidRDefault="00C41E23">
      <w:pPr>
        <w:rPr>
          <w:sz w:val="24"/>
          <w:szCs w:val="24"/>
          <w:lang w:val="lt-LT"/>
        </w:rPr>
      </w:pPr>
      <w:r>
        <w:rPr>
          <w:sz w:val="24"/>
          <w:szCs w:val="24"/>
          <w:lang w:val="lt-LT"/>
        </w:rPr>
        <w:br w:type="page"/>
      </w:r>
    </w:p>
    <w:p w:rsidR="008A7012" w:rsidRDefault="008A7012" w:rsidP="00C41E23">
      <w:pPr>
        <w:tabs>
          <w:tab w:val="left" w:pos="567"/>
        </w:tabs>
        <w:jc w:val="right"/>
        <w:rPr>
          <w:b/>
          <w:sz w:val="24"/>
          <w:szCs w:val="24"/>
          <w:lang w:val="lt-LT"/>
        </w:rPr>
        <w:sectPr w:rsidR="008A7012" w:rsidSect="009615AE">
          <w:pgSz w:w="11906" w:h="16838" w:code="9"/>
          <w:pgMar w:top="1474" w:right="1814" w:bottom="1474" w:left="1814" w:header="1134" w:footer="1134" w:gutter="0"/>
          <w:cols w:space="1296"/>
          <w:titlePg/>
        </w:sectPr>
      </w:pPr>
    </w:p>
    <w:p w:rsidR="00C41E23" w:rsidRPr="009F3644" w:rsidRDefault="00C41E23" w:rsidP="00C41E23">
      <w:pPr>
        <w:tabs>
          <w:tab w:val="left" w:pos="567"/>
        </w:tabs>
        <w:jc w:val="right"/>
        <w:rPr>
          <w:b/>
          <w:sz w:val="26"/>
          <w:szCs w:val="26"/>
          <w:lang w:val="lt-LT"/>
        </w:rPr>
      </w:pPr>
      <w:r>
        <w:rPr>
          <w:b/>
          <w:sz w:val="24"/>
          <w:szCs w:val="24"/>
          <w:lang w:val="lt-LT"/>
        </w:rPr>
        <w:lastRenderedPageBreak/>
        <w:t>1</w:t>
      </w:r>
      <w:r w:rsidRPr="009F3644">
        <w:rPr>
          <w:b/>
          <w:sz w:val="26"/>
          <w:szCs w:val="26"/>
          <w:lang w:val="lt-LT"/>
        </w:rPr>
        <w:t>9 PRIEDAS</w:t>
      </w:r>
    </w:p>
    <w:p w:rsidR="00A63FE8" w:rsidRDefault="00A63FE8" w:rsidP="00E91EA3">
      <w:pPr>
        <w:tabs>
          <w:tab w:val="left" w:pos="567"/>
        </w:tabs>
        <w:jc w:val="center"/>
        <w:rPr>
          <w:b/>
          <w:sz w:val="26"/>
          <w:szCs w:val="26"/>
          <w:lang w:val="lt-LT"/>
        </w:rPr>
      </w:pPr>
      <w:r w:rsidRPr="009F3644">
        <w:rPr>
          <w:b/>
          <w:sz w:val="26"/>
          <w:szCs w:val="26"/>
          <w:lang w:val="lt-LT"/>
        </w:rPr>
        <w:t>ATLIKTŲ AUDITO RIZIKOS VERTINIMO EMPIRINIŲ TYRIMŲ SUVESTINĖ</w:t>
      </w:r>
    </w:p>
    <w:p w:rsidR="00E91EA3" w:rsidRPr="00E91EA3" w:rsidRDefault="00E91EA3" w:rsidP="00E91EA3">
      <w:pPr>
        <w:tabs>
          <w:tab w:val="left" w:pos="567"/>
        </w:tabs>
        <w:jc w:val="center"/>
        <w:rPr>
          <w:b/>
          <w:sz w:val="16"/>
          <w:szCs w:val="16"/>
          <w:lang w:val="lt-LT"/>
        </w:rPr>
      </w:pPr>
    </w:p>
    <w:tbl>
      <w:tblPr>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5495"/>
        <w:gridCol w:w="1842"/>
        <w:gridCol w:w="4253"/>
      </w:tblGrid>
      <w:tr w:rsidR="00A63FE8" w:rsidRPr="0097151D" w:rsidTr="00E91EA3">
        <w:tc>
          <w:tcPr>
            <w:tcW w:w="1843" w:type="dxa"/>
          </w:tcPr>
          <w:p w:rsidR="00A63FE8" w:rsidRPr="0097151D" w:rsidRDefault="00A63FE8" w:rsidP="00E91EA3">
            <w:pPr>
              <w:rPr>
                <w:b/>
                <w:lang w:val="lt-LT"/>
              </w:rPr>
            </w:pPr>
            <w:r w:rsidRPr="0097151D">
              <w:rPr>
                <w:b/>
                <w:lang w:val="lt-LT"/>
              </w:rPr>
              <w:t>Autorius</w:t>
            </w:r>
          </w:p>
        </w:tc>
        <w:tc>
          <w:tcPr>
            <w:tcW w:w="5495" w:type="dxa"/>
          </w:tcPr>
          <w:p w:rsidR="00A63FE8" w:rsidRPr="0097151D" w:rsidRDefault="00A63FE8" w:rsidP="00E91EA3">
            <w:pPr>
              <w:rPr>
                <w:b/>
                <w:lang w:val="lt-LT"/>
              </w:rPr>
            </w:pPr>
            <w:r w:rsidRPr="0097151D">
              <w:rPr>
                <w:b/>
                <w:lang w:val="lt-LT"/>
              </w:rPr>
              <w:t>Tyrimo objektas ir rezultatai</w:t>
            </w:r>
          </w:p>
        </w:tc>
        <w:tc>
          <w:tcPr>
            <w:tcW w:w="1842" w:type="dxa"/>
          </w:tcPr>
          <w:p w:rsidR="00A63FE8" w:rsidRPr="0097151D" w:rsidRDefault="00A63FE8" w:rsidP="00E91EA3">
            <w:pPr>
              <w:rPr>
                <w:b/>
                <w:lang w:val="lt-LT"/>
              </w:rPr>
            </w:pPr>
            <w:r w:rsidRPr="0097151D">
              <w:rPr>
                <w:b/>
                <w:lang w:val="lt-LT"/>
              </w:rPr>
              <w:t>Tyrimo tipas</w:t>
            </w:r>
          </w:p>
        </w:tc>
        <w:tc>
          <w:tcPr>
            <w:tcW w:w="4253" w:type="dxa"/>
          </w:tcPr>
          <w:p w:rsidR="00A63FE8" w:rsidRPr="0097151D" w:rsidRDefault="00A63FE8" w:rsidP="00E91EA3">
            <w:pPr>
              <w:rPr>
                <w:b/>
                <w:lang w:val="lt-LT"/>
              </w:rPr>
            </w:pPr>
            <w:r w:rsidRPr="0097151D">
              <w:rPr>
                <w:b/>
                <w:lang w:val="lt-LT"/>
              </w:rPr>
              <w:t>Rizikos/ rizikos veiksnio vertinimo metodas</w:t>
            </w:r>
          </w:p>
        </w:tc>
      </w:tr>
      <w:tr w:rsidR="00A63FE8" w:rsidRPr="0097151D" w:rsidTr="00E91EA3">
        <w:trPr>
          <w:trHeight w:val="884"/>
        </w:trPr>
        <w:tc>
          <w:tcPr>
            <w:tcW w:w="1843" w:type="dxa"/>
          </w:tcPr>
          <w:p w:rsidR="001E1AF8" w:rsidRDefault="00A63FE8" w:rsidP="00E91EA3">
            <w:r w:rsidRPr="0097151D">
              <w:t xml:space="preserve">S. Bhattacharjee, </w:t>
            </w:r>
          </w:p>
          <w:p w:rsidR="00A63FE8" w:rsidRPr="0097151D" w:rsidRDefault="00A63FE8" w:rsidP="00E91EA3">
            <w:r w:rsidRPr="0097151D">
              <w:t>K. Moreno (2002)</w:t>
            </w:r>
          </w:p>
        </w:tc>
        <w:tc>
          <w:tcPr>
            <w:tcW w:w="5495" w:type="dxa"/>
          </w:tcPr>
          <w:p w:rsidR="00A63FE8" w:rsidRPr="0097151D" w:rsidRDefault="00A63FE8" w:rsidP="00E91EA3">
            <w:pPr>
              <w:rPr>
                <w:lang w:val="lt-LT"/>
              </w:rPr>
            </w:pPr>
            <w:r w:rsidRPr="0097151D">
              <w:rPr>
                <w:lang w:val="lt-LT"/>
              </w:rPr>
              <w:t>Reikšmingo iškraipymo rizikos tvirtinimo lygmeniu (atsargų nuvertėjimo) vertinimo priklausomybė nuo auditoriaus patirties (aptikimo rizika). Patvirtinta, kad profesinė patirtis yra vienas iš veiksnių, kuris lemia individualius vertinimus.</w:t>
            </w:r>
          </w:p>
        </w:tc>
        <w:tc>
          <w:tcPr>
            <w:tcW w:w="1842" w:type="dxa"/>
          </w:tcPr>
          <w:p w:rsidR="00A63FE8" w:rsidRPr="0097151D" w:rsidRDefault="00A63FE8" w:rsidP="00E91EA3">
            <w:pPr>
              <w:rPr>
                <w:lang w:val="lt-LT"/>
              </w:rPr>
            </w:pPr>
            <w:r w:rsidRPr="0097151D">
              <w:rPr>
                <w:lang w:val="lt-LT"/>
              </w:rPr>
              <w:t xml:space="preserve">Audito rizikos komponentų tyrimas </w:t>
            </w:r>
          </w:p>
          <w:p w:rsidR="00A63FE8" w:rsidRPr="0097151D" w:rsidRDefault="00A63FE8" w:rsidP="00E91EA3">
            <w:pPr>
              <w:rPr>
                <w:lang w:val="lt-LT"/>
              </w:rPr>
            </w:pPr>
          </w:p>
        </w:tc>
        <w:tc>
          <w:tcPr>
            <w:tcW w:w="4253" w:type="dxa"/>
          </w:tcPr>
          <w:p w:rsidR="00A63FE8" w:rsidRPr="0097151D" w:rsidRDefault="00A63FE8" w:rsidP="00E91EA3">
            <w:pPr>
              <w:rPr>
                <w:lang w:val="lt-LT"/>
              </w:rPr>
            </w:pPr>
            <w:r w:rsidRPr="0097151D">
              <w:rPr>
                <w:lang w:val="lt-LT"/>
              </w:rPr>
              <w:t>Rizika vertinta nuo 1 (ne labai rizikinga) iki 9 (labai rizikinga).</w:t>
            </w:r>
          </w:p>
        </w:tc>
      </w:tr>
      <w:tr w:rsidR="00A63FE8" w:rsidRPr="0097151D" w:rsidTr="00E91EA3">
        <w:tc>
          <w:tcPr>
            <w:tcW w:w="1843" w:type="dxa"/>
          </w:tcPr>
          <w:p w:rsidR="001E1AF8" w:rsidRDefault="00A63FE8" w:rsidP="00E91EA3">
            <w:r w:rsidRPr="0097151D">
              <w:t xml:space="preserve">H. J. Chen, </w:t>
            </w:r>
          </w:p>
          <w:p w:rsidR="001E1AF8" w:rsidRDefault="00A63FE8" w:rsidP="00E91EA3">
            <w:r w:rsidRPr="0097151D">
              <w:t xml:space="preserve">S. Y. Huang, </w:t>
            </w:r>
          </w:p>
          <w:p w:rsidR="00A63FE8" w:rsidRPr="0097151D" w:rsidRDefault="00A63FE8" w:rsidP="00E91EA3">
            <w:r w:rsidRPr="0097151D">
              <w:t>K. H. Shih (2006)</w:t>
            </w:r>
          </w:p>
        </w:tc>
        <w:tc>
          <w:tcPr>
            <w:tcW w:w="5495" w:type="dxa"/>
          </w:tcPr>
          <w:p w:rsidR="00A63FE8" w:rsidRPr="0097151D" w:rsidRDefault="00A63FE8" w:rsidP="00E91EA3">
            <w:pPr>
              <w:rPr>
                <w:lang w:val="lt-LT"/>
              </w:rPr>
            </w:pPr>
            <w:r w:rsidRPr="0097151D">
              <w:rPr>
                <w:lang w:val="lt-LT"/>
              </w:rPr>
              <w:t xml:space="preserve">Audito rizikos, auditorių verslo rizikos ir asmeninės rizikos vertinimas atsižvelgiant į susijusius veiksnius. Nustatyta, kad tik vienas veiksnys – audituojamos įmonės kontrolės veiksmų efektyvumas yra svarbus audito rizikos ir asmeninės rizikos vertinime. </w:t>
            </w:r>
          </w:p>
        </w:tc>
        <w:tc>
          <w:tcPr>
            <w:tcW w:w="1842" w:type="dxa"/>
          </w:tcPr>
          <w:p w:rsidR="00A63FE8" w:rsidRPr="0097151D" w:rsidRDefault="00A63FE8" w:rsidP="00E91EA3">
            <w:pPr>
              <w:rPr>
                <w:lang w:val="lt-LT"/>
              </w:rPr>
            </w:pPr>
            <w:r w:rsidRPr="0097151D">
              <w:rPr>
                <w:lang w:val="lt-LT"/>
              </w:rPr>
              <w:t xml:space="preserve">Audito rizikos komponentų tyrimas </w:t>
            </w:r>
          </w:p>
          <w:p w:rsidR="00A63FE8" w:rsidRPr="0097151D" w:rsidRDefault="00A63FE8" w:rsidP="00E91EA3">
            <w:pPr>
              <w:rPr>
                <w:lang w:val="lt-LT"/>
              </w:rPr>
            </w:pPr>
          </w:p>
        </w:tc>
        <w:tc>
          <w:tcPr>
            <w:tcW w:w="4253" w:type="dxa"/>
          </w:tcPr>
          <w:p w:rsidR="00A63FE8" w:rsidRPr="0097151D" w:rsidRDefault="00A63FE8" w:rsidP="00E91EA3">
            <w:pPr>
              <w:rPr>
                <w:lang w:val="lt-LT"/>
              </w:rPr>
            </w:pPr>
            <w:r w:rsidRPr="0097151D">
              <w:rPr>
                <w:lang w:val="lt-LT"/>
              </w:rPr>
              <w:t xml:space="preserve">Rizikos vertintos pagal 19 rizikos veiksnių remiantis 7 balų Likerto skale: 1 (ypač maža) ir 7 (ypač didelė). </w:t>
            </w:r>
          </w:p>
        </w:tc>
      </w:tr>
      <w:tr w:rsidR="00A63FE8" w:rsidRPr="0097151D" w:rsidTr="00E91EA3">
        <w:tc>
          <w:tcPr>
            <w:tcW w:w="1843" w:type="dxa"/>
          </w:tcPr>
          <w:p w:rsidR="00A63FE8" w:rsidRPr="0097151D" w:rsidRDefault="00A63FE8" w:rsidP="00E91EA3">
            <w:r w:rsidRPr="0097151D">
              <w:t>S. J. Daniel (2001)</w:t>
            </w:r>
          </w:p>
        </w:tc>
        <w:tc>
          <w:tcPr>
            <w:tcW w:w="5495" w:type="dxa"/>
          </w:tcPr>
          <w:p w:rsidR="00A63FE8" w:rsidRPr="0097151D" w:rsidRDefault="00A63FE8" w:rsidP="00E91EA3">
            <w:pPr>
              <w:rPr>
                <w:lang w:val="lt-LT"/>
              </w:rPr>
            </w:pPr>
            <w:r w:rsidRPr="0097151D">
              <w:rPr>
                <w:lang w:val="lt-LT"/>
              </w:rPr>
              <w:t xml:space="preserve">Audito rizikos modelių (39 SAS; klasikinio audito rizikos modelio (47 SAS) ir CICA (1980)) taikymas praktikoje nagrinėjamas per gautinų sumų rizikos vertinimą. Analizė parodė, kad auditoriai neapjungia audito rizikos komponentų tokiu būdu, kaip siūloma audito rizikos modeliuose. </w:t>
            </w:r>
          </w:p>
        </w:tc>
        <w:tc>
          <w:tcPr>
            <w:tcW w:w="1842" w:type="dxa"/>
          </w:tcPr>
          <w:p w:rsidR="00A63FE8" w:rsidRPr="0097151D" w:rsidRDefault="00A63FE8" w:rsidP="00E91EA3">
            <w:pPr>
              <w:rPr>
                <w:lang w:val="lt-LT"/>
              </w:rPr>
            </w:pPr>
            <w:r w:rsidRPr="0097151D">
              <w:rPr>
                <w:lang w:val="lt-LT"/>
              </w:rPr>
              <w:t xml:space="preserve">Audito rizikos komponentų tyrimas </w:t>
            </w:r>
          </w:p>
          <w:p w:rsidR="00A63FE8" w:rsidRPr="0097151D" w:rsidRDefault="00A63FE8" w:rsidP="00E91EA3">
            <w:pPr>
              <w:rPr>
                <w:lang w:val="lt-LT"/>
              </w:rPr>
            </w:pPr>
          </w:p>
        </w:tc>
        <w:tc>
          <w:tcPr>
            <w:tcW w:w="4253" w:type="dxa"/>
          </w:tcPr>
          <w:p w:rsidR="00A63FE8" w:rsidRPr="0097151D" w:rsidRDefault="00A63FE8" w:rsidP="00E91EA3">
            <w:pPr>
              <w:rPr>
                <w:lang w:val="lt-LT"/>
              </w:rPr>
            </w:pPr>
            <w:r w:rsidRPr="0097151D">
              <w:rPr>
                <w:lang w:val="lt-LT"/>
              </w:rPr>
              <w:t>Gautinų sumų sąskaitos informacija vertinta pagal veiksnius ir padaryti audito rizikos komponentų vertinimai pagal 5 balų skalę ir procentines tikimybes. Įgimtai rizikai taikytas tik skalės vertinimas.</w:t>
            </w:r>
          </w:p>
        </w:tc>
      </w:tr>
      <w:tr w:rsidR="00A63FE8" w:rsidRPr="0097151D" w:rsidTr="00E91EA3">
        <w:tc>
          <w:tcPr>
            <w:tcW w:w="1843" w:type="dxa"/>
          </w:tcPr>
          <w:p w:rsidR="001E1AF8" w:rsidRDefault="00A63FE8" w:rsidP="00E91EA3">
            <w:r w:rsidRPr="0097151D">
              <w:t xml:space="preserve">E. O‘Donnell, </w:t>
            </w:r>
          </w:p>
          <w:p w:rsidR="001E1AF8" w:rsidRDefault="00A63FE8" w:rsidP="00E91EA3">
            <w:r w:rsidRPr="0097151D">
              <w:t xml:space="preserve">J. L. Bierstaker, </w:t>
            </w:r>
          </w:p>
          <w:p w:rsidR="00A63FE8" w:rsidRPr="0097151D" w:rsidRDefault="00A63FE8" w:rsidP="00E91EA3">
            <w:r w:rsidRPr="0097151D">
              <w:t>J. Schultz (2004)</w:t>
            </w:r>
          </w:p>
        </w:tc>
        <w:tc>
          <w:tcPr>
            <w:tcW w:w="5495" w:type="dxa"/>
          </w:tcPr>
          <w:p w:rsidR="00A63FE8" w:rsidRPr="0097151D" w:rsidRDefault="00A63FE8" w:rsidP="00E91EA3">
            <w:pPr>
              <w:rPr>
                <w:lang w:val="lt-LT"/>
              </w:rPr>
            </w:pPr>
            <w:r w:rsidRPr="0097151D">
              <w:rPr>
                <w:lang w:val="lt-LT"/>
              </w:rPr>
              <w:t xml:space="preserve">Verslo rizikos reikšmė vertinant audito riziką. Rezultatai rodo, kad iš viršaus į apačią ir sutelktos į procesus užduotys, naudojamos strateginių sistemų audite, pagerino audito atlikimą, nes auditoriai naudoja jungtinius įrodymus. </w:t>
            </w:r>
          </w:p>
        </w:tc>
        <w:tc>
          <w:tcPr>
            <w:tcW w:w="1842" w:type="dxa"/>
          </w:tcPr>
          <w:p w:rsidR="00A63FE8" w:rsidRPr="0097151D" w:rsidRDefault="00A63FE8" w:rsidP="00E91EA3">
            <w:pPr>
              <w:rPr>
                <w:lang w:val="lt-LT"/>
              </w:rPr>
            </w:pPr>
            <w:r w:rsidRPr="0097151D">
              <w:rPr>
                <w:lang w:val="lt-LT"/>
              </w:rPr>
              <w:t xml:space="preserve">Audito rizikos komponentų tyrimas </w:t>
            </w:r>
          </w:p>
          <w:p w:rsidR="00A63FE8" w:rsidRPr="0097151D" w:rsidRDefault="00A63FE8" w:rsidP="00E91EA3">
            <w:pPr>
              <w:rPr>
                <w:lang w:val="lt-LT"/>
              </w:rPr>
            </w:pPr>
          </w:p>
        </w:tc>
        <w:tc>
          <w:tcPr>
            <w:tcW w:w="4253" w:type="dxa"/>
          </w:tcPr>
          <w:p w:rsidR="00A63FE8" w:rsidRPr="0097151D" w:rsidRDefault="00A63FE8" w:rsidP="00E91EA3">
            <w:pPr>
              <w:rPr>
                <w:lang w:val="lt-LT"/>
              </w:rPr>
            </w:pPr>
            <w:r w:rsidRPr="0097151D">
              <w:rPr>
                <w:lang w:val="lt-LT"/>
              </w:rPr>
              <w:t>Rizikos (strateginė verslo rizika, įmonės lygmeniu rizika, rizika sąskaitos lygmeniu) vertintos pagal 7 balų Likerto skalę.</w:t>
            </w:r>
          </w:p>
        </w:tc>
      </w:tr>
      <w:tr w:rsidR="00A63FE8" w:rsidRPr="0097151D" w:rsidTr="00E91EA3">
        <w:tc>
          <w:tcPr>
            <w:tcW w:w="1843" w:type="dxa"/>
          </w:tcPr>
          <w:p w:rsidR="00A63FE8" w:rsidRPr="0097151D" w:rsidRDefault="00A63FE8" w:rsidP="00E91EA3">
            <w:r w:rsidRPr="0097151D">
              <w:t>W. S. Waller (1993)</w:t>
            </w:r>
          </w:p>
        </w:tc>
        <w:tc>
          <w:tcPr>
            <w:tcW w:w="5495" w:type="dxa"/>
          </w:tcPr>
          <w:p w:rsidR="00112DCD" w:rsidRPr="0097151D" w:rsidRDefault="00A63FE8" w:rsidP="00E91EA3">
            <w:pPr>
              <w:rPr>
                <w:lang w:val="lt-LT"/>
              </w:rPr>
            </w:pPr>
            <w:r w:rsidRPr="0097151D">
              <w:rPr>
                <w:lang w:val="lt-LT"/>
              </w:rPr>
              <w:t>Nagrinėjant ryšį tarp įgimtos ir kontrolės rizikų, atskleista, kad jis yra nežymus. Pasiūlyta persvarstyti daugialypį rizikos vertinimą sąskaitos lygmeniu arba sustiprinti auditoriaus gebėjimą vertinti su tvirtinimu susijusią specifinę riziką.</w:t>
            </w:r>
          </w:p>
        </w:tc>
        <w:tc>
          <w:tcPr>
            <w:tcW w:w="1842" w:type="dxa"/>
          </w:tcPr>
          <w:p w:rsidR="00A63FE8" w:rsidRPr="0097151D" w:rsidRDefault="00A63FE8" w:rsidP="00E91EA3">
            <w:pPr>
              <w:rPr>
                <w:lang w:val="lt-LT"/>
              </w:rPr>
            </w:pPr>
            <w:r w:rsidRPr="0097151D">
              <w:rPr>
                <w:lang w:val="lt-LT"/>
              </w:rPr>
              <w:t xml:space="preserve">Audito rizikos komponentų tyrimas </w:t>
            </w:r>
          </w:p>
          <w:p w:rsidR="00A63FE8" w:rsidRPr="0097151D" w:rsidRDefault="00A63FE8" w:rsidP="00E91EA3">
            <w:pPr>
              <w:rPr>
                <w:lang w:val="lt-LT"/>
              </w:rPr>
            </w:pPr>
          </w:p>
        </w:tc>
        <w:tc>
          <w:tcPr>
            <w:tcW w:w="4253" w:type="dxa"/>
          </w:tcPr>
          <w:p w:rsidR="00A63FE8" w:rsidRPr="0097151D" w:rsidRDefault="00A63FE8" w:rsidP="00E91EA3">
            <w:pPr>
              <w:rPr>
                <w:lang w:val="lt-LT"/>
              </w:rPr>
            </w:pPr>
            <w:r w:rsidRPr="0097151D">
              <w:rPr>
                <w:lang w:val="lt-LT"/>
              </w:rPr>
              <w:t xml:space="preserve">Įgimta rizika vertinta kaip </w:t>
            </w:r>
            <w:r w:rsidR="009306EA" w:rsidRPr="0097151D">
              <w:rPr>
                <w:lang w:val="lt-LT"/>
              </w:rPr>
              <w:t>maža,</w:t>
            </w:r>
            <w:r w:rsidRPr="0097151D">
              <w:rPr>
                <w:lang w:val="lt-LT"/>
              </w:rPr>
              <w:t xml:space="preserve"> vidutinė ir didelė, o kontrolės rizika kaip labai </w:t>
            </w:r>
            <w:r w:rsidR="009306EA" w:rsidRPr="0097151D">
              <w:rPr>
                <w:lang w:val="lt-LT"/>
              </w:rPr>
              <w:t>maža</w:t>
            </w:r>
            <w:r w:rsidRPr="0097151D">
              <w:rPr>
                <w:lang w:val="lt-LT"/>
              </w:rPr>
              <w:t xml:space="preserve">, </w:t>
            </w:r>
            <w:r w:rsidR="009306EA" w:rsidRPr="0097151D">
              <w:rPr>
                <w:lang w:val="lt-LT"/>
              </w:rPr>
              <w:t>maža</w:t>
            </w:r>
            <w:r w:rsidRPr="0097151D">
              <w:rPr>
                <w:lang w:val="lt-LT"/>
              </w:rPr>
              <w:t xml:space="preserve">, vidutinė ir didelė. </w:t>
            </w:r>
          </w:p>
        </w:tc>
      </w:tr>
      <w:tr w:rsidR="00A63FE8" w:rsidRPr="0097151D" w:rsidTr="00E91EA3">
        <w:tc>
          <w:tcPr>
            <w:tcW w:w="1843" w:type="dxa"/>
          </w:tcPr>
          <w:p w:rsidR="001E1AF8" w:rsidRDefault="00A63FE8" w:rsidP="00E91EA3">
            <w:r w:rsidRPr="0097151D">
              <w:t xml:space="preserve">H. Fukukawa, </w:t>
            </w:r>
          </w:p>
          <w:p w:rsidR="001E1AF8" w:rsidRDefault="00A63FE8" w:rsidP="00E91EA3">
            <w:r w:rsidRPr="0097151D">
              <w:t xml:space="preserve">T. J. Mock, </w:t>
            </w:r>
          </w:p>
          <w:p w:rsidR="00A63FE8" w:rsidRPr="0097151D" w:rsidRDefault="00A63FE8" w:rsidP="00E91EA3">
            <w:r w:rsidRPr="0097151D">
              <w:t>A. Wright (2006)</w:t>
            </w:r>
          </w:p>
        </w:tc>
        <w:tc>
          <w:tcPr>
            <w:tcW w:w="5495" w:type="dxa"/>
          </w:tcPr>
          <w:p w:rsidR="00A63FE8" w:rsidRPr="0097151D" w:rsidRDefault="00A63FE8" w:rsidP="00E91EA3">
            <w:pPr>
              <w:rPr>
                <w:lang w:val="lt-LT"/>
              </w:rPr>
            </w:pPr>
            <w:r w:rsidRPr="0097151D">
              <w:rPr>
                <w:lang w:val="lt-LT"/>
              </w:rPr>
              <w:t>Nagrinėjama, ar audito planavimas nukreiptas į riziką. Nustatyta, kad audituojamos įmonės rizikos (verslo rizika, apgaulės rizika) tam tikra apimtimi veikia audito planavimą.</w:t>
            </w:r>
          </w:p>
        </w:tc>
        <w:tc>
          <w:tcPr>
            <w:tcW w:w="1842" w:type="dxa"/>
          </w:tcPr>
          <w:p w:rsidR="00A63FE8" w:rsidRPr="0097151D" w:rsidRDefault="00A63FE8" w:rsidP="00E91EA3">
            <w:pPr>
              <w:rPr>
                <w:lang w:val="lt-LT"/>
              </w:rPr>
            </w:pPr>
            <w:r w:rsidRPr="0097151D">
              <w:rPr>
                <w:lang w:val="lt-LT"/>
              </w:rPr>
              <w:t xml:space="preserve">Audito rizikos komponentų tyrimas </w:t>
            </w:r>
          </w:p>
          <w:p w:rsidR="00A63FE8" w:rsidRPr="0097151D" w:rsidRDefault="00A63FE8" w:rsidP="00E91EA3">
            <w:pPr>
              <w:rPr>
                <w:lang w:val="lt-LT"/>
              </w:rPr>
            </w:pPr>
          </w:p>
        </w:tc>
        <w:tc>
          <w:tcPr>
            <w:tcW w:w="4253" w:type="dxa"/>
          </w:tcPr>
          <w:p w:rsidR="00A63FE8" w:rsidRPr="0097151D" w:rsidRDefault="00A63FE8" w:rsidP="00E91EA3">
            <w:pPr>
              <w:rPr>
                <w:lang w:val="lt-LT"/>
              </w:rPr>
            </w:pPr>
            <w:r w:rsidRPr="0097151D">
              <w:rPr>
                <w:lang w:val="lt-LT"/>
              </w:rPr>
              <w:t>Gautinų sumų rizikos veiksnių (verslo rizi</w:t>
            </w:r>
            <w:r w:rsidR="0097151D">
              <w:rPr>
                <w:lang w:val="lt-LT"/>
              </w:rPr>
              <w:t xml:space="preserve">ka, apgaulės rizika, sąskaitos </w:t>
            </w:r>
            <w:r w:rsidRPr="0097151D">
              <w:rPr>
                <w:lang w:val="lt-LT"/>
              </w:rPr>
              <w:t xml:space="preserve">ir tvirtinimo lygmeniu rizika) vertinimui naudota skalė nuo 0 (mažiausia rizika) iki 100 (didžiausia rizika). </w:t>
            </w:r>
          </w:p>
        </w:tc>
      </w:tr>
      <w:tr w:rsidR="00A63FE8" w:rsidRPr="0097151D" w:rsidTr="00E91EA3">
        <w:tc>
          <w:tcPr>
            <w:tcW w:w="1843" w:type="dxa"/>
          </w:tcPr>
          <w:p w:rsidR="001E1AF8" w:rsidRDefault="00A63FE8" w:rsidP="00E91EA3">
            <w:r w:rsidRPr="0097151D">
              <w:t xml:space="preserve">L. Quadackers, </w:t>
            </w:r>
          </w:p>
          <w:p w:rsidR="001E1AF8" w:rsidRDefault="00A63FE8" w:rsidP="00E91EA3">
            <w:r w:rsidRPr="0097151D">
              <w:t xml:space="preserve">T. J. Mock, </w:t>
            </w:r>
          </w:p>
          <w:p w:rsidR="00A63FE8" w:rsidRPr="0097151D" w:rsidRDefault="00A63FE8" w:rsidP="00E91EA3">
            <w:r w:rsidRPr="0097151D">
              <w:t>S. Maijoor (1996)</w:t>
            </w:r>
          </w:p>
        </w:tc>
        <w:tc>
          <w:tcPr>
            <w:tcW w:w="5495" w:type="dxa"/>
          </w:tcPr>
          <w:p w:rsidR="00A63FE8" w:rsidRPr="0097151D" w:rsidRDefault="00166819" w:rsidP="00E91EA3">
            <w:pPr>
              <w:rPr>
                <w:lang w:val="lt-LT"/>
              </w:rPr>
            </w:pPr>
            <w:r>
              <w:rPr>
                <w:noProof/>
                <w:lang w:val="lt-LT"/>
              </w:rPr>
              <w:pict>
                <v:shape id="_x0000_s74577" type="#_x0000_t202" style="position:absolute;margin-left:225.65pt;margin-top:68pt;width:46.5pt;height:21pt;z-index:254786560;mso-position-horizontal-relative:text;mso-position-vertical-relative:text" filled="f" strokecolor="white [3212]">
                  <v:textbox>
                    <w:txbxContent>
                      <w:p w:rsidR="000B69C2" w:rsidRPr="000B69C2" w:rsidRDefault="000B69C2" w:rsidP="000B69C2">
                        <w:pPr>
                          <w:jc w:val="center"/>
                          <w:rPr>
                            <w:lang w:val="lt-LT"/>
                          </w:rPr>
                        </w:pPr>
                        <w:r>
                          <w:rPr>
                            <w:lang w:val="lt-LT"/>
                          </w:rPr>
                          <w:t>232</w:t>
                        </w:r>
                      </w:p>
                    </w:txbxContent>
                  </v:textbox>
                </v:shape>
              </w:pict>
            </w:r>
            <w:r w:rsidR="00A63FE8" w:rsidRPr="0097151D">
              <w:rPr>
                <w:lang w:val="lt-LT"/>
              </w:rPr>
              <w:t>Audito rizikos (įgimtos ir kontrolės rizikų) vertinimo prikla</w:t>
            </w:r>
            <w:r w:rsidR="0097151D">
              <w:rPr>
                <w:lang w:val="lt-LT"/>
              </w:rPr>
              <w:t>u</w:t>
            </w:r>
            <w:r w:rsidR="00A63FE8" w:rsidRPr="0097151D">
              <w:rPr>
                <w:lang w:val="lt-LT"/>
              </w:rPr>
              <w:t>somybė nuo veiksnių (kliento vadovybės kaita ir kliento vidaus audito padalinio kokybė). Rezultatai rodo, kad yra didelė variacija tarp audito rizikos veiksnių klientų tarpe ir tarp to paties kliento.</w:t>
            </w:r>
          </w:p>
        </w:tc>
        <w:tc>
          <w:tcPr>
            <w:tcW w:w="1842" w:type="dxa"/>
          </w:tcPr>
          <w:p w:rsidR="00A63FE8" w:rsidRPr="0097151D" w:rsidRDefault="00A63FE8" w:rsidP="00E91EA3">
            <w:pPr>
              <w:rPr>
                <w:lang w:val="lt-LT"/>
              </w:rPr>
            </w:pPr>
            <w:r w:rsidRPr="0097151D">
              <w:rPr>
                <w:lang w:val="lt-LT"/>
              </w:rPr>
              <w:t>Komponento priklausomybės nuo veiksnio tyrimas</w:t>
            </w:r>
          </w:p>
        </w:tc>
        <w:tc>
          <w:tcPr>
            <w:tcW w:w="4253" w:type="dxa"/>
          </w:tcPr>
          <w:p w:rsidR="00A63FE8" w:rsidRPr="0097151D" w:rsidRDefault="00A63FE8" w:rsidP="00E91EA3">
            <w:pPr>
              <w:rPr>
                <w:lang w:val="lt-LT"/>
              </w:rPr>
            </w:pPr>
            <w:r w:rsidRPr="0097151D">
              <w:rPr>
                <w:lang w:val="lt-LT"/>
              </w:rPr>
              <w:t>Audito rizikos veiksniai įvertinti nuo 1 iki 5, įgimta rizika vertinta skale nuo 1 iki 3, kontrolės rizika – (1-4), (1-3) ar (1-2).</w:t>
            </w:r>
          </w:p>
        </w:tc>
      </w:tr>
      <w:tr w:rsidR="00A63FE8" w:rsidRPr="0097151D" w:rsidTr="00E91EA3">
        <w:tc>
          <w:tcPr>
            <w:tcW w:w="1843" w:type="dxa"/>
          </w:tcPr>
          <w:p w:rsidR="00A63FE8" w:rsidRPr="0097151D" w:rsidRDefault="00A63FE8" w:rsidP="00E91EA3">
            <w:r w:rsidRPr="0097151D">
              <w:lastRenderedPageBreak/>
              <w:t>L. Graham, J. C. Bedard (2003)</w:t>
            </w:r>
          </w:p>
        </w:tc>
        <w:tc>
          <w:tcPr>
            <w:tcW w:w="5495" w:type="dxa"/>
          </w:tcPr>
          <w:p w:rsidR="00A63FE8" w:rsidRPr="0097151D" w:rsidRDefault="00A63FE8" w:rsidP="00E91EA3">
            <w:pPr>
              <w:rPr>
                <w:lang w:val="lt-LT"/>
              </w:rPr>
            </w:pPr>
            <w:r w:rsidRPr="0097151D">
              <w:rPr>
                <w:lang w:val="lt-LT"/>
              </w:rPr>
              <w:t>Apibūdinami apgaulės rizikos veiksniai ir jų ryšiai su apgaulės rizikos vertinimu ir audito planavimo sprendimu. Nustatyta, kad apgaulės rizikos veiksniai yra susiję su ūkio šakos/konkurencine padėtimi, vadovybės sąžiningumu, vidaus kontrolės sistema, finansine padėtimi ir spaudimu tenkinti numatytus tikslus.</w:t>
            </w:r>
          </w:p>
        </w:tc>
        <w:tc>
          <w:tcPr>
            <w:tcW w:w="1842" w:type="dxa"/>
          </w:tcPr>
          <w:p w:rsidR="00A63FE8" w:rsidRPr="0097151D" w:rsidRDefault="00A63FE8" w:rsidP="00E91EA3">
            <w:pPr>
              <w:rPr>
                <w:lang w:val="lt-LT"/>
              </w:rPr>
            </w:pPr>
            <w:r w:rsidRPr="0097151D">
              <w:rPr>
                <w:lang w:val="lt-LT"/>
              </w:rPr>
              <w:t>Komponento priklausomybės nuo veiksnio tyrimas</w:t>
            </w:r>
          </w:p>
        </w:tc>
        <w:tc>
          <w:tcPr>
            <w:tcW w:w="4253" w:type="dxa"/>
          </w:tcPr>
          <w:p w:rsidR="00A63FE8" w:rsidRPr="0097151D" w:rsidRDefault="00A63FE8" w:rsidP="00E91EA3">
            <w:pPr>
              <w:rPr>
                <w:lang w:val="lt-LT"/>
              </w:rPr>
            </w:pPr>
            <w:r w:rsidRPr="0097151D">
              <w:rPr>
                <w:lang w:val="lt-LT"/>
              </w:rPr>
              <w:t>Apgaulės rizikos vertinimas atliktas pagal 7 balų Likerto skalę, o apgaulės rizikos veiksniai, suklasifikuoti pagal tipus (finansinė padėtis, ūkio šaka/konkurencija, vadovybės sąžiningumas, spaudimas dėl rezultatų, kokybės kontrolė).</w:t>
            </w:r>
          </w:p>
        </w:tc>
      </w:tr>
      <w:tr w:rsidR="00A63FE8" w:rsidRPr="0097151D" w:rsidTr="00E91EA3">
        <w:tc>
          <w:tcPr>
            <w:tcW w:w="1843" w:type="dxa"/>
          </w:tcPr>
          <w:p w:rsidR="00A63FE8" w:rsidRPr="0097151D" w:rsidRDefault="00A63FE8" w:rsidP="00E91EA3">
            <w:r w:rsidRPr="0097151D">
              <w:t>K. M. Johnstone (2000)</w:t>
            </w:r>
          </w:p>
        </w:tc>
        <w:tc>
          <w:tcPr>
            <w:tcW w:w="5495" w:type="dxa"/>
          </w:tcPr>
          <w:p w:rsidR="00A63FE8" w:rsidRPr="0097151D" w:rsidRDefault="00A63FE8" w:rsidP="00E91EA3">
            <w:pPr>
              <w:rPr>
                <w:lang w:val="lt-LT"/>
              </w:rPr>
            </w:pPr>
            <w:r w:rsidRPr="0097151D">
              <w:rPr>
                <w:lang w:val="lt-LT"/>
              </w:rPr>
              <w:t>Kliento priėmimo sprendimo modelis buvo parengtas ir patikrintas. Rezultatai rodo, kad auditoriai apsvarstė ryšius tarp kliento susijusių rizikų ir panaudojo tai įvertindami audito įmonės riziką dėl užduoties nuostolių.</w:t>
            </w:r>
          </w:p>
        </w:tc>
        <w:tc>
          <w:tcPr>
            <w:tcW w:w="1842" w:type="dxa"/>
          </w:tcPr>
          <w:p w:rsidR="00A63FE8" w:rsidRPr="0097151D" w:rsidRDefault="00A63FE8" w:rsidP="00E91EA3">
            <w:pPr>
              <w:rPr>
                <w:lang w:val="lt-LT"/>
              </w:rPr>
            </w:pPr>
            <w:r w:rsidRPr="0097151D">
              <w:rPr>
                <w:lang w:val="lt-LT"/>
              </w:rPr>
              <w:t>Audito rizikos komponentų tyrimas</w:t>
            </w:r>
          </w:p>
        </w:tc>
        <w:tc>
          <w:tcPr>
            <w:tcW w:w="4253" w:type="dxa"/>
          </w:tcPr>
          <w:p w:rsidR="00A63FE8" w:rsidRPr="0097151D" w:rsidRDefault="00A63FE8" w:rsidP="00E91EA3">
            <w:pPr>
              <w:rPr>
                <w:lang w:val="lt-LT"/>
              </w:rPr>
            </w:pPr>
            <w:r w:rsidRPr="0097151D">
              <w:rPr>
                <w:lang w:val="lt-LT"/>
              </w:rPr>
              <w:t>Rizikos (kliento verslo rizika, audito rizika, auditoriaus verslo rizika) vertintos kaip maža ir didelė.</w:t>
            </w:r>
          </w:p>
        </w:tc>
      </w:tr>
      <w:tr w:rsidR="00A63FE8" w:rsidRPr="0097151D" w:rsidTr="00E91EA3">
        <w:tc>
          <w:tcPr>
            <w:tcW w:w="1843" w:type="dxa"/>
          </w:tcPr>
          <w:p w:rsidR="001E1AF8" w:rsidRDefault="00A63FE8" w:rsidP="00E91EA3">
            <w:r w:rsidRPr="0097151D">
              <w:t xml:space="preserve">T. G. Kizirian, </w:t>
            </w:r>
          </w:p>
          <w:p w:rsidR="001E1AF8" w:rsidRDefault="00A63FE8" w:rsidP="00E91EA3">
            <w:r w:rsidRPr="0097151D">
              <w:t xml:space="preserve">B. W. Mayhew, </w:t>
            </w:r>
          </w:p>
          <w:p w:rsidR="00A63FE8" w:rsidRPr="0097151D" w:rsidRDefault="00A63FE8" w:rsidP="00E91EA3">
            <w:r w:rsidRPr="0097151D">
              <w:t>L. D. Sneathen (2005)</w:t>
            </w:r>
          </w:p>
        </w:tc>
        <w:tc>
          <w:tcPr>
            <w:tcW w:w="5495" w:type="dxa"/>
          </w:tcPr>
          <w:p w:rsidR="00A63FE8" w:rsidRPr="0097151D" w:rsidRDefault="00A63FE8" w:rsidP="00E91EA3">
            <w:pPr>
              <w:rPr>
                <w:lang w:val="lt-LT"/>
              </w:rPr>
            </w:pPr>
            <w:r w:rsidRPr="0097151D">
              <w:rPr>
                <w:lang w:val="lt-LT"/>
              </w:rPr>
              <w:t xml:space="preserve">Tiriama auditoriaus įvertinto vadovybės sąžiningumo įtaka reikšmingo iškraipymo rizikos vertinimui, audito planavimui ir audito rezultatams. </w:t>
            </w:r>
          </w:p>
        </w:tc>
        <w:tc>
          <w:tcPr>
            <w:tcW w:w="1842" w:type="dxa"/>
          </w:tcPr>
          <w:p w:rsidR="00A63FE8" w:rsidRPr="0097151D" w:rsidRDefault="00A63FE8" w:rsidP="00E91EA3">
            <w:pPr>
              <w:rPr>
                <w:lang w:val="lt-LT"/>
              </w:rPr>
            </w:pPr>
            <w:r w:rsidRPr="0097151D">
              <w:rPr>
                <w:lang w:val="lt-LT"/>
              </w:rPr>
              <w:t>Komponento priklausomybės nuo veiksnio tyrimas</w:t>
            </w:r>
          </w:p>
        </w:tc>
        <w:tc>
          <w:tcPr>
            <w:tcW w:w="4253" w:type="dxa"/>
          </w:tcPr>
          <w:p w:rsidR="00A63FE8" w:rsidRPr="0097151D" w:rsidRDefault="00A63FE8" w:rsidP="00E91EA3">
            <w:pPr>
              <w:rPr>
                <w:lang w:val="lt-LT"/>
              </w:rPr>
            </w:pPr>
            <w:r w:rsidRPr="0097151D">
              <w:rPr>
                <w:lang w:val="lt-LT"/>
              </w:rPr>
              <w:t>Rizikos (įgimta ir kontrolės) vertintos kaip maža, vidutinė ir didelė, o veiksnys – vadovybės sąžiningumas vertintas 2-didelis, 1- vidutinis, 0 – silpnas.</w:t>
            </w:r>
          </w:p>
        </w:tc>
      </w:tr>
      <w:tr w:rsidR="00A63FE8" w:rsidRPr="0097151D" w:rsidTr="00E91EA3">
        <w:tc>
          <w:tcPr>
            <w:tcW w:w="1843" w:type="dxa"/>
          </w:tcPr>
          <w:p w:rsidR="001E1AF8" w:rsidRDefault="00A63FE8" w:rsidP="00E91EA3">
            <w:r w:rsidRPr="0097151D">
              <w:t xml:space="preserve">W. F. Messier, </w:t>
            </w:r>
          </w:p>
          <w:p w:rsidR="00A63FE8" w:rsidRPr="0097151D" w:rsidRDefault="00A63FE8" w:rsidP="00E91EA3">
            <w:r w:rsidRPr="0097151D">
              <w:t>L. A. Austen (2000)</w:t>
            </w:r>
          </w:p>
        </w:tc>
        <w:tc>
          <w:tcPr>
            <w:tcW w:w="5495" w:type="dxa"/>
          </w:tcPr>
          <w:p w:rsidR="00112DCD" w:rsidRPr="0097151D" w:rsidRDefault="00A63FE8" w:rsidP="00E91EA3">
            <w:pPr>
              <w:rPr>
                <w:lang w:val="lt-LT"/>
              </w:rPr>
            </w:pPr>
            <w:r w:rsidRPr="0097151D">
              <w:rPr>
                <w:lang w:val="lt-LT"/>
              </w:rPr>
              <w:t>Rezultatai parodė, kad visaapimantys ir specifiniai rizikos veiksniai, įtraukti į tyrimą, buvo svarbūs įgimtos ir kontrolės rizikų vertinimams.</w:t>
            </w:r>
          </w:p>
        </w:tc>
        <w:tc>
          <w:tcPr>
            <w:tcW w:w="1842" w:type="dxa"/>
          </w:tcPr>
          <w:p w:rsidR="00A63FE8" w:rsidRPr="0097151D" w:rsidRDefault="00A63FE8" w:rsidP="00E91EA3">
            <w:pPr>
              <w:rPr>
                <w:lang w:val="lt-LT"/>
              </w:rPr>
            </w:pPr>
            <w:r w:rsidRPr="0097151D">
              <w:rPr>
                <w:lang w:val="lt-LT"/>
              </w:rPr>
              <w:t>Komponento priklausomybės nuo veiksnio tyrimas</w:t>
            </w:r>
          </w:p>
        </w:tc>
        <w:tc>
          <w:tcPr>
            <w:tcW w:w="4253" w:type="dxa"/>
          </w:tcPr>
          <w:p w:rsidR="00A63FE8" w:rsidRPr="0097151D" w:rsidRDefault="00A63FE8" w:rsidP="00E91EA3">
            <w:pPr>
              <w:rPr>
                <w:lang w:val="lt-LT"/>
              </w:rPr>
            </w:pPr>
            <w:r w:rsidRPr="0097151D">
              <w:rPr>
                <w:lang w:val="lt-LT"/>
              </w:rPr>
              <w:t xml:space="preserve">Veiksniai vertinti teigiamas/neigiamas, įgimta ir kontrolės rizikos vertintos nuo 0 iki 100. </w:t>
            </w:r>
          </w:p>
        </w:tc>
      </w:tr>
      <w:tr w:rsidR="00112DCD" w:rsidRPr="0097151D" w:rsidTr="00E91EA3">
        <w:tc>
          <w:tcPr>
            <w:tcW w:w="1843" w:type="dxa"/>
          </w:tcPr>
          <w:p w:rsidR="001E1AF8" w:rsidRDefault="00112DCD" w:rsidP="00E91EA3">
            <w:r w:rsidRPr="0097151D">
              <w:t xml:space="preserve">T. Mock, </w:t>
            </w:r>
          </w:p>
          <w:p w:rsidR="00112DCD" w:rsidRPr="0097151D" w:rsidRDefault="00112DCD" w:rsidP="00E91EA3">
            <w:r w:rsidRPr="0097151D">
              <w:t>J. L. Turner (2005)</w:t>
            </w:r>
          </w:p>
        </w:tc>
        <w:tc>
          <w:tcPr>
            <w:tcW w:w="5495" w:type="dxa"/>
          </w:tcPr>
          <w:p w:rsidR="00112DCD" w:rsidRPr="0097151D" w:rsidRDefault="00112DCD" w:rsidP="00E91EA3">
            <w:pPr>
              <w:rPr>
                <w:lang w:val="lt-LT"/>
              </w:rPr>
            </w:pPr>
            <w:r w:rsidRPr="0097151D">
              <w:rPr>
                <w:lang w:val="lt-LT"/>
              </w:rPr>
              <w:t xml:space="preserve">Nagrinėjamas apgaulės rizikos vertinimas ir jo poveikis audito programoms. Rezultatai parodė, kad sprendimas pakeisti suplanuotą audito programą buvo paveiktas nustačius apgaulės rizikos veiksnius. </w:t>
            </w:r>
          </w:p>
        </w:tc>
        <w:tc>
          <w:tcPr>
            <w:tcW w:w="1842" w:type="dxa"/>
          </w:tcPr>
          <w:p w:rsidR="00112DCD" w:rsidRPr="0097151D" w:rsidRDefault="00112DCD" w:rsidP="00E91EA3">
            <w:pPr>
              <w:rPr>
                <w:lang w:val="lt-LT"/>
              </w:rPr>
            </w:pPr>
            <w:r w:rsidRPr="0097151D">
              <w:rPr>
                <w:lang w:val="lt-LT"/>
              </w:rPr>
              <w:t>Komponento priklausomybės nuo veiksnio tyrimas</w:t>
            </w:r>
          </w:p>
        </w:tc>
        <w:tc>
          <w:tcPr>
            <w:tcW w:w="4253" w:type="dxa"/>
          </w:tcPr>
          <w:p w:rsidR="00112DCD" w:rsidRPr="0097151D" w:rsidRDefault="00112DCD" w:rsidP="00E91EA3">
            <w:pPr>
              <w:rPr>
                <w:lang w:val="lt-LT"/>
              </w:rPr>
            </w:pPr>
            <w:r w:rsidRPr="0097151D">
              <w:rPr>
                <w:lang w:val="lt-LT"/>
              </w:rPr>
              <w:t>Apgaulės rizikos veiksniai suskirstyti pagal kategorijas (vadovybės savybės, ūkio šakos sąlygos, veiklos savybės ir kiti).</w:t>
            </w:r>
          </w:p>
          <w:p w:rsidR="00112DCD" w:rsidRPr="0097151D" w:rsidRDefault="00112DCD" w:rsidP="00E91EA3">
            <w:pPr>
              <w:rPr>
                <w:lang w:val="lt-LT"/>
              </w:rPr>
            </w:pPr>
          </w:p>
        </w:tc>
      </w:tr>
      <w:tr w:rsidR="00112DCD" w:rsidRPr="0097151D" w:rsidTr="00E91EA3">
        <w:tc>
          <w:tcPr>
            <w:tcW w:w="1843" w:type="dxa"/>
          </w:tcPr>
          <w:p w:rsidR="001E1AF8" w:rsidRDefault="00112DCD" w:rsidP="00E91EA3">
            <w:r w:rsidRPr="0097151D">
              <w:t xml:space="preserve">N. Kotchetova, </w:t>
            </w:r>
          </w:p>
          <w:p w:rsidR="001E1AF8" w:rsidRDefault="00112DCD" w:rsidP="00E91EA3">
            <w:r w:rsidRPr="0097151D">
              <w:t xml:space="preserve">T. M. Kozloski, </w:t>
            </w:r>
          </w:p>
          <w:p w:rsidR="00112DCD" w:rsidRPr="0097151D" w:rsidRDefault="00112DCD" w:rsidP="00E91EA3">
            <w:r w:rsidRPr="0097151D">
              <w:t>W. F. Messier (2006)</w:t>
            </w:r>
          </w:p>
        </w:tc>
        <w:tc>
          <w:tcPr>
            <w:tcW w:w="5495" w:type="dxa"/>
          </w:tcPr>
          <w:p w:rsidR="00112DCD" w:rsidRPr="0097151D" w:rsidRDefault="00112DCD" w:rsidP="00E91EA3">
            <w:pPr>
              <w:rPr>
                <w:lang w:val="lt-LT"/>
              </w:rPr>
            </w:pPr>
            <w:r w:rsidRPr="0097151D">
              <w:rPr>
                <w:lang w:val="lt-LT"/>
              </w:rPr>
              <w:t>Nagrinėjama auditoriaus rizikos vertinimai pagal rizika-paremto audito požiūrį. Rezultatai rodo, kad 1) auditoriai dokumentavo didesnį skaičių specifinių verslo rizikų, kai likutinė strateginė rizika buvo didelė; 2) kuo daugiau verslo rizikų buvo auditorių nustatyta, tuo daugiau finansinių ataskaitų trūkumų nustatyta; 3) verslo proceso lygio rizikos vertinimai nėra susiję su proceso likutine strategine rizika, bet su verslo rizikos vertinimais; 4) auditoriaus reikšmingo iškraipymo rizikos vertinimai sąskaitos lygmeniu yra susiję su reikšmingo iškraipymo rizikos vertinimai įmonės lygmeniu.</w:t>
            </w:r>
          </w:p>
        </w:tc>
        <w:tc>
          <w:tcPr>
            <w:tcW w:w="1842" w:type="dxa"/>
          </w:tcPr>
          <w:p w:rsidR="00112DCD" w:rsidRPr="0097151D" w:rsidRDefault="00112DCD" w:rsidP="00E91EA3">
            <w:pPr>
              <w:rPr>
                <w:lang w:val="lt-LT"/>
              </w:rPr>
            </w:pPr>
            <w:r w:rsidRPr="0097151D">
              <w:rPr>
                <w:lang w:val="lt-LT"/>
              </w:rPr>
              <w:t>Audito rizikos komponentų tyrimas</w:t>
            </w:r>
          </w:p>
        </w:tc>
        <w:tc>
          <w:tcPr>
            <w:tcW w:w="4253" w:type="dxa"/>
          </w:tcPr>
          <w:p w:rsidR="00112DCD" w:rsidRPr="0097151D" w:rsidRDefault="00112DCD" w:rsidP="00E91EA3">
            <w:pPr>
              <w:rPr>
                <w:lang w:val="lt-LT"/>
              </w:rPr>
            </w:pPr>
            <w:r w:rsidRPr="0097151D">
              <w:rPr>
                <w:lang w:val="lt-LT"/>
              </w:rPr>
              <w:t>Verslo ir reikšmingo iškraipymo rizika vertinta pagal 9 balų Likerto skalę (1-labai maža, 5- vidutinė, 9 –labai didelė).</w:t>
            </w:r>
          </w:p>
        </w:tc>
      </w:tr>
      <w:tr w:rsidR="00112DCD" w:rsidRPr="0097151D" w:rsidTr="00E91EA3">
        <w:tc>
          <w:tcPr>
            <w:tcW w:w="1843" w:type="dxa"/>
          </w:tcPr>
          <w:p w:rsidR="001E1AF8" w:rsidRDefault="00112DCD" w:rsidP="00E91EA3">
            <w:r w:rsidRPr="0097151D">
              <w:t xml:space="preserve">A. Majid, </w:t>
            </w:r>
          </w:p>
          <w:p w:rsidR="001E1AF8" w:rsidRDefault="00112DCD" w:rsidP="00E91EA3">
            <w:r w:rsidRPr="0097151D">
              <w:t xml:space="preserve">F. A. Gul, </w:t>
            </w:r>
          </w:p>
          <w:p w:rsidR="00112DCD" w:rsidRPr="0097151D" w:rsidRDefault="00112DCD" w:rsidP="00E91EA3">
            <w:r w:rsidRPr="0097151D">
              <w:t>J. S. L. Tsui (2001)</w:t>
            </w:r>
          </w:p>
        </w:tc>
        <w:tc>
          <w:tcPr>
            <w:tcW w:w="5495" w:type="dxa"/>
          </w:tcPr>
          <w:p w:rsidR="00112DCD" w:rsidRPr="0097151D" w:rsidRDefault="00112DCD" w:rsidP="00E91EA3">
            <w:pPr>
              <w:rPr>
                <w:lang w:val="lt-LT"/>
              </w:rPr>
            </w:pPr>
            <w:r w:rsidRPr="0097151D">
              <w:rPr>
                <w:lang w:val="lt-LT"/>
              </w:rPr>
              <w:t>Nagrinėjamas auditorių suvokimas dėl apgaulės ir reikšmingo iškraipymo rizikos lygio esant 6 veiksniams. Rezultatai parodė, kad iškraipymai ankstesnių auditų metu ir veiklos tęstinumo problema yra svarbiausi veiksniai rodantys auditoriams apgaulės ir reikšmingo iškraipymo riziką.</w:t>
            </w:r>
          </w:p>
        </w:tc>
        <w:tc>
          <w:tcPr>
            <w:tcW w:w="1842" w:type="dxa"/>
          </w:tcPr>
          <w:p w:rsidR="00112DCD" w:rsidRPr="0097151D" w:rsidRDefault="00112DCD" w:rsidP="00E91EA3">
            <w:pPr>
              <w:rPr>
                <w:lang w:val="lt-LT"/>
              </w:rPr>
            </w:pPr>
            <w:r w:rsidRPr="0097151D">
              <w:rPr>
                <w:lang w:val="lt-LT"/>
              </w:rPr>
              <w:t>Komponento priklausomybės nuo veiksnio tyrimas</w:t>
            </w:r>
          </w:p>
        </w:tc>
        <w:tc>
          <w:tcPr>
            <w:tcW w:w="4253" w:type="dxa"/>
          </w:tcPr>
          <w:p w:rsidR="00112DCD" w:rsidRPr="0097151D" w:rsidRDefault="00112DCD" w:rsidP="00E91EA3">
            <w:pPr>
              <w:rPr>
                <w:lang w:val="lt-LT"/>
              </w:rPr>
            </w:pPr>
            <w:r w:rsidRPr="0097151D">
              <w:rPr>
                <w:lang w:val="lt-LT"/>
              </w:rPr>
              <w:t xml:space="preserve">Veiksniai iš pradžių vertinti pagal 7 balų Likerto skalę (1 - ne svarbus, 7 – labai svarbus), o atrinkti 6 veiksniai vertinti pagal skalę nuo 0 iki 100, o rizikos tikimybė, pasireiškiant atitinkamiems veiksniams, vertinta pagal 7 balų skalę. </w:t>
            </w:r>
          </w:p>
        </w:tc>
      </w:tr>
    </w:tbl>
    <w:p w:rsidR="002809C1" w:rsidRPr="00FB630B" w:rsidRDefault="002809C1" w:rsidP="00112DCD">
      <w:pPr>
        <w:jc w:val="right"/>
        <w:rPr>
          <w:b/>
          <w:sz w:val="26"/>
          <w:szCs w:val="26"/>
          <w:lang w:val="lt-LT"/>
        </w:rPr>
      </w:pPr>
      <w:r w:rsidRPr="00FB630B">
        <w:rPr>
          <w:b/>
          <w:sz w:val="26"/>
          <w:szCs w:val="26"/>
          <w:lang w:val="lt-LT"/>
        </w:rPr>
        <w:lastRenderedPageBreak/>
        <w:t>20 PRIEDAS</w:t>
      </w:r>
    </w:p>
    <w:p w:rsidR="00C25A25" w:rsidRPr="00FB630B" w:rsidRDefault="002809C1" w:rsidP="00C25A25">
      <w:pPr>
        <w:jc w:val="center"/>
        <w:rPr>
          <w:b/>
          <w:sz w:val="26"/>
          <w:szCs w:val="26"/>
        </w:rPr>
      </w:pPr>
      <w:r w:rsidRPr="00FB630B">
        <w:rPr>
          <w:b/>
          <w:sz w:val="26"/>
          <w:szCs w:val="26"/>
        </w:rPr>
        <w:t>VERSLO RIZIKOS APSKAIČIAVIMAS</w:t>
      </w:r>
    </w:p>
    <w:tbl>
      <w:tblPr>
        <w:tblpPr w:leftFromText="180" w:rightFromText="180" w:vertAnchor="page" w:horzAnchor="margin" w:tblpX="108" w:tblpY="2581"/>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861"/>
        <w:gridCol w:w="1100"/>
        <w:gridCol w:w="33"/>
        <w:gridCol w:w="818"/>
        <w:gridCol w:w="32"/>
        <w:gridCol w:w="1102"/>
        <w:gridCol w:w="32"/>
        <w:gridCol w:w="1385"/>
        <w:gridCol w:w="1134"/>
        <w:gridCol w:w="992"/>
        <w:gridCol w:w="1134"/>
        <w:gridCol w:w="1276"/>
      </w:tblGrid>
      <w:tr w:rsidR="002809C1" w:rsidRPr="004273CC" w:rsidTr="0073052D">
        <w:trPr>
          <w:trHeight w:val="273"/>
          <w:tblHeader/>
        </w:trPr>
        <w:tc>
          <w:tcPr>
            <w:tcW w:w="4820" w:type="dxa"/>
            <w:gridSpan w:val="2"/>
            <w:vMerge w:val="restart"/>
            <w:vAlign w:val="center"/>
          </w:tcPr>
          <w:p w:rsidR="002809C1" w:rsidRPr="004273CC" w:rsidRDefault="002809C1" w:rsidP="008E4A5A">
            <w:pPr>
              <w:tabs>
                <w:tab w:val="left" w:pos="510"/>
              </w:tabs>
              <w:jc w:val="center"/>
              <w:rPr>
                <w:b/>
                <w:lang w:val="lt-LT"/>
              </w:rPr>
            </w:pPr>
            <w:r w:rsidRPr="004273CC">
              <w:rPr>
                <w:b/>
                <w:lang w:val="lt-LT"/>
              </w:rPr>
              <w:t>Įmonės išorė</w:t>
            </w:r>
            <w:r w:rsidR="008E4A5A">
              <w:rPr>
                <w:b/>
                <w:lang w:val="lt-LT"/>
              </w:rPr>
              <w:t>s</w:t>
            </w:r>
            <w:r w:rsidRPr="004273CC">
              <w:rPr>
                <w:b/>
                <w:lang w:val="lt-LT"/>
              </w:rPr>
              <w:t xml:space="preserve"> aplinka</w:t>
            </w:r>
          </w:p>
        </w:tc>
        <w:tc>
          <w:tcPr>
            <w:tcW w:w="4502" w:type="dxa"/>
            <w:gridSpan w:val="7"/>
          </w:tcPr>
          <w:p w:rsidR="002809C1" w:rsidRPr="004273CC" w:rsidRDefault="002809C1" w:rsidP="00C25A25">
            <w:pPr>
              <w:tabs>
                <w:tab w:val="left" w:pos="510"/>
              </w:tabs>
              <w:jc w:val="center"/>
              <w:rPr>
                <w:b/>
                <w:lang w:val="lt-LT"/>
              </w:rPr>
            </w:pPr>
            <w:r>
              <w:rPr>
                <w:b/>
                <w:lang w:val="lt-LT"/>
              </w:rPr>
              <w:t>UAB „Šiluma“</w:t>
            </w:r>
          </w:p>
        </w:tc>
        <w:tc>
          <w:tcPr>
            <w:tcW w:w="4536" w:type="dxa"/>
            <w:gridSpan w:val="4"/>
            <w:vAlign w:val="center"/>
          </w:tcPr>
          <w:p w:rsidR="002809C1" w:rsidRPr="004273CC" w:rsidRDefault="002809C1" w:rsidP="00C25A25">
            <w:pPr>
              <w:tabs>
                <w:tab w:val="left" w:pos="510"/>
              </w:tabs>
              <w:jc w:val="center"/>
              <w:rPr>
                <w:b/>
                <w:lang w:val="lt-LT"/>
              </w:rPr>
            </w:pPr>
            <w:r>
              <w:rPr>
                <w:b/>
                <w:lang w:val="lt-LT"/>
              </w:rPr>
              <w:t>UAB „Žuvila“</w:t>
            </w:r>
          </w:p>
        </w:tc>
      </w:tr>
      <w:tr w:rsidR="0073052D" w:rsidRPr="004273CC" w:rsidTr="0073052D">
        <w:trPr>
          <w:cantSplit/>
          <w:tblHeader/>
        </w:trPr>
        <w:tc>
          <w:tcPr>
            <w:tcW w:w="4820" w:type="dxa"/>
            <w:gridSpan w:val="2"/>
            <w:vMerge/>
          </w:tcPr>
          <w:p w:rsidR="002809C1" w:rsidRPr="004273CC" w:rsidRDefault="002809C1" w:rsidP="00C25A25">
            <w:pPr>
              <w:tabs>
                <w:tab w:val="left" w:pos="510"/>
              </w:tabs>
              <w:jc w:val="center"/>
              <w:rPr>
                <w:b/>
                <w:lang w:val="lt-LT"/>
              </w:rPr>
            </w:pPr>
          </w:p>
        </w:tc>
        <w:tc>
          <w:tcPr>
            <w:tcW w:w="3117" w:type="dxa"/>
            <w:gridSpan w:val="6"/>
          </w:tcPr>
          <w:p w:rsidR="002809C1" w:rsidRPr="004273CC" w:rsidRDefault="002809C1" w:rsidP="00C25A25">
            <w:pPr>
              <w:tabs>
                <w:tab w:val="left" w:pos="510"/>
              </w:tabs>
              <w:jc w:val="center"/>
              <w:rPr>
                <w:b/>
                <w:lang w:val="lt-LT"/>
              </w:rPr>
            </w:pPr>
            <w:r w:rsidRPr="004273CC">
              <w:rPr>
                <w:b/>
                <w:lang w:val="lt-LT"/>
              </w:rPr>
              <w:t>Rizikos vertinimas</w:t>
            </w:r>
          </w:p>
        </w:tc>
        <w:tc>
          <w:tcPr>
            <w:tcW w:w="1385" w:type="dxa"/>
            <w:vMerge w:val="restart"/>
            <w:vAlign w:val="center"/>
          </w:tcPr>
          <w:p w:rsidR="002809C1" w:rsidRPr="004273CC" w:rsidRDefault="002809C1" w:rsidP="00C25A25">
            <w:pPr>
              <w:tabs>
                <w:tab w:val="left" w:pos="510"/>
              </w:tabs>
              <w:jc w:val="center"/>
              <w:rPr>
                <w:b/>
                <w:lang w:val="lt-LT"/>
              </w:rPr>
            </w:pPr>
            <w:r w:rsidRPr="004273CC">
              <w:rPr>
                <w:b/>
                <w:lang w:val="lt-LT"/>
              </w:rPr>
              <w:t>Pastabos</w:t>
            </w:r>
          </w:p>
        </w:tc>
        <w:tc>
          <w:tcPr>
            <w:tcW w:w="3260" w:type="dxa"/>
            <w:gridSpan w:val="3"/>
            <w:vAlign w:val="center"/>
          </w:tcPr>
          <w:p w:rsidR="002809C1" w:rsidRPr="004273CC" w:rsidRDefault="002809C1" w:rsidP="00C25A25">
            <w:pPr>
              <w:tabs>
                <w:tab w:val="left" w:pos="510"/>
              </w:tabs>
              <w:jc w:val="center"/>
              <w:rPr>
                <w:b/>
                <w:lang w:val="lt-LT"/>
              </w:rPr>
            </w:pPr>
            <w:r w:rsidRPr="004273CC">
              <w:rPr>
                <w:b/>
                <w:lang w:val="lt-LT"/>
              </w:rPr>
              <w:t>Rizikos vertinimas</w:t>
            </w:r>
          </w:p>
        </w:tc>
        <w:tc>
          <w:tcPr>
            <w:tcW w:w="1276" w:type="dxa"/>
            <w:vMerge w:val="restart"/>
            <w:vAlign w:val="center"/>
          </w:tcPr>
          <w:p w:rsidR="002809C1" w:rsidRPr="004273CC" w:rsidRDefault="002809C1" w:rsidP="00C25A25">
            <w:pPr>
              <w:tabs>
                <w:tab w:val="left" w:pos="510"/>
              </w:tabs>
              <w:jc w:val="center"/>
              <w:rPr>
                <w:b/>
                <w:lang w:val="lt-LT"/>
              </w:rPr>
            </w:pPr>
            <w:r w:rsidRPr="004273CC">
              <w:rPr>
                <w:b/>
                <w:lang w:val="lt-LT"/>
              </w:rPr>
              <w:t>Pastabos</w:t>
            </w:r>
          </w:p>
        </w:tc>
      </w:tr>
      <w:tr w:rsidR="00C25A25" w:rsidRPr="004273CC" w:rsidTr="0073052D">
        <w:trPr>
          <w:cantSplit/>
          <w:tblHeader/>
        </w:trPr>
        <w:tc>
          <w:tcPr>
            <w:tcW w:w="959" w:type="dxa"/>
            <w:vAlign w:val="center"/>
          </w:tcPr>
          <w:p w:rsidR="002809C1" w:rsidRPr="004273CC" w:rsidRDefault="002809C1" w:rsidP="00C25A25">
            <w:pPr>
              <w:tabs>
                <w:tab w:val="left" w:pos="510"/>
              </w:tabs>
              <w:jc w:val="center"/>
              <w:rPr>
                <w:b/>
                <w:lang w:val="lt-LT"/>
              </w:rPr>
            </w:pPr>
            <w:r w:rsidRPr="004273CC">
              <w:rPr>
                <w:b/>
                <w:lang w:val="lt-LT"/>
              </w:rPr>
              <w:t>Sąlygos</w:t>
            </w:r>
          </w:p>
        </w:tc>
        <w:tc>
          <w:tcPr>
            <w:tcW w:w="3861" w:type="dxa"/>
            <w:vAlign w:val="center"/>
          </w:tcPr>
          <w:p w:rsidR="002809C1" w:rsidRPr="004273CC" w:rsidRDefault="002809C1" w:rsidP="00C25A25">
            <w:pPr>
              <w:tabs>
                <w:tab w:val="left" w:pos="510"/>
              </w:tabs>
              <w:jc w:val="center"/>
              <w:rPr>
                <w:b/>
                <w:lang w:val="lt-LT"/>
              </w:rPr>
            </w:pPr>
            <w:r w:rsidRPr="004273CC">
              <w:rPr>
                <w:b/>
                <w:lang w:val="lt-LT"/>
              </w:rPr>
              <w:t>Veiksniai</w:t>
            </w:r>
          </w:p>
        </w:tc>
        <w:tc>
          <w:tcPr>
            <w:tcW w:w="1133" w:type="dxa"/>
            <w:gridSpan w:val="2"/>
          </w:tcPr>
          <w:p w:rsidR="002809C1" w:rsidRPr="004273CC" w:rsidRDefault="002809C1" w:rsidP="00C25A25">
            <w:pPr>
              <w:tabs>
                <w:tab w:val="left" w:pos="510"/>
              </w:tabs>
              <w:jc w:val="center"/>
              <w:rPr>
                <w:lang w:val="lt-LT"/>
              </w:rPr>
            </w:pPr>
            <w:r w:rsidRPr="004273CC">
              <w:rPr>
                <w:lang w:val="lt-LT"/>
              </w:rPr>
              <w:t>Tikimybė (1-5)</w:t>
            </w:r>
          </w:p>
        </w:tc>
        <w:tc>
          <w:tcPr>
            <w:tcW w:w="850" w:type="dxa"/>
            <w:gridSpan w:val="2"/>
          </w:tcPr>
          <w:p w:rsidR="002809C1" w:rsidRPr="004273CC" w:rsidRDefault="002809C1" w:rsidP="00C25A25">
            <w:pPr>
              <w:tabs>
                <w:tab w:val="left" w:pos="510"/>
              </w:tabs>
              <w:jc w:val="center"/>
              <w:rPr>
                <w:lang w:val="lt-LT"/>
              </w:rPr>
            </w:pPr>
            <w:r w:rsidRPr="004273CC">
              <w:rPr>
                <w:lang w:val="lt-LT"/>
              </w:rPr>
              <w:t>Įtaka</w:t>
            </w:r>
          </w:p>
          <w:p w:rsidR="002809C1" w:rsidRPr="004273CC" w:rsidRDefault="002809C1" w:rsidP="00C25A25">
            <w:pPr>
              <w:tabs>
                <w:tab w:val="left" w:pos="510"/>
              </w:tabs>
              <w:jc w:val="center"/>
              <w:rPr>
                <w:lang w:val="lt-LT"/>
              </w:rPr>
            </w:pPr>
            <w:r w:rsidRPr="004273CC">
              <w:rPr>
                <w:lang w:val="lt-LT"/>
              </w:rPr>
              <w:t>(1-5)</w:t>
            </w:r>
          </w:p>
        </w:tc>
        <w:tc>
          <w:tcPr>
            <w:tcW w:w="1134" w:type="dxa"/>
            <w:gridSpan w:val="2"/>
          </w:tcPr>
          <w:p w:rsidR="002809C1" w:rsidRPr="004273CC" w:rsidRDefault="002809C1" w:rsidP="00C25A25">
            <w:pPr>
              <w:tabs>
                <w:tab w:val="left" w:pos="510"/>
              </w:tabs>
              <w:jc w:val="center"/>
              <w:rPr>
                <w:lang w:val="lt-LT"/>
              </w:rPr>
            </w:pPr>
            <w:r w:rsidRPr="004273CC">
              <w:rPr>
                <w:lang w:val="lt-LT"/>
              </w:rPr>
              <w:t>Tikimybė * Įtaka</w:t>
            </w:r>
          </w:p>
        </w:tc>
        <w:tc>
          <w:tcPr>
            <w:tcW w:w="1385" w:type="dxa"/>
            <w:vMerge/>
          </w:tcPr>
          <w:p w:rsidR="002809C1" w:rsidRPr="004273CC" w:rsidRDefault="002809C1" w:rsidP="00C25A25">
            <w:pPr>
              <w:tabs>
                <w:tab w:val="left" w:pos="510"/>
              </w:tabs>
              <w:jc w:val="center"/>
              <w:rPr>
                <w:b/>
                <w:lang w:val="lt-LT"/>
              </w:rPr>
            </w:pPr>
          </w:p>
        </w:tc>
        <w:tc>
          <w:tcPr>
            <w:tcW w:w="1134" w:type="dxa"/>
          </w:tcPr>
          <w:p w:rsidR="002809C1" w:rsidRPr="004273CC" w:rsidRDefault="002809C1" w:rsidP="00C25A25">
            <w:pPr>
              <w:tabs>
                <w:tab w:val="left" w:pos="510"/>
              </w:tabs>
              <w:jc w:val="center"/>
              <w:rPr>
                <w:lang w:val="lt-LT"/>
              </w:rPr>
            </w:pPr>
            <w:r w:rsidRPr="004273CC">
              <w:rPr>
                <w:lang w:val="lt-LT"/>
              </w:rPr>
              <w:t>Tikimybė (1-5)</w:t>
            </w:r>
          </w:p>
        </w:tc>
        <w:tc>
          <w:tcPr>
            <w:tcW w:w="992" w:type="dxa"/>
          </w:tcPr>
          <w:p w:rsidR="002809C1" w:rsidRPr="004273CC" w:rsidRDefault="002809C1" w:rsidP="00C25A25">
            <w:pPr>
              <w:tabs>
                <w:tab w:val="left" w:pos="510"/>
              </w:tabs>
              <w:jc w:val="center"/>
              <w:rPr>
                <w:lang w:val="lt-LT"/>
              </w:rPr>
            </w:pPr>
            <w:r w:rsidRPr="004273CC">
              <w:rPr>
                <w:lang w:val="lt-LT"/>
              </w:rPr>
              <w:t>Įtaka</w:t>
            </w:r>
          </w:p>
          <w:p w:rsidR="002809C1" w:rsidRPr="004273CC" w:rsidRDefault="002809C1" w:rsidP="00C25A25">
            <w:pPr>
              <w:tabs>
                <w:tab w:val="left" w:pos="510"/>
              </w:tabs>
              <w:jc w:val="center"/>
              <w:rPr>
                <w:lang w:val="lt-LT"/>
              </w:rPr>
            </w:pPr>
            <w:r w:rsidRPr="004273CC">
              <w:rPr>
                <w:lang w:val="lt-LT"/>
              </w:rPr>
              <w:t>(1-5)</w:t>
            </w:r>
          </w:p>
        </w:tc>
        <w:tc>
          <w:tcPr>
            <w:tcW w:w="1134" w:type="dxa"/>
          </w:tcPr>
          <w:p w:rsidR="002809C1" w:rsidRPr="004273CC" w:rsidRDefault="002809C1" w:rsidP="00C25A25">
            <w:pPr>
              <w:tabs>
                <w:tab w:val="left" w:pos="510"/>
              </w:tabs>
              <w:jc w:val="center"/>
              <w:rPr>
                <w:lang w:val="lt-LT"/>
              </w:rPr>
            </w:pPr>
            <w:r w:rsidRPr="004273CC">
              <w:rPr>
                <w:lang w:val="lt-LT"/>
              </w:rPr>
              <w:t>Tikimybė * Įtaka</w:t>
            </w:r>
          </w:p>
        </w:tc>
        <w:tc>
          <w:tcPr>
            <w:tcW w:w="1276" w:type="dxa"/>
            <w:vMerge/>
          </w:tcPr>
          <w:p w:rsidR="002809C1" w:rsidRPr="004273CC" w:rsidRDefault="002809C1" w:rsidP="00C25A25">
            <w:pPr>
              <w:tabs>
                <w:tab w:val="left" w:pos="510"/>
              </w:tabs>
              <w:jc w:val="center"/>
              <w:rPr>
                <w:b/>
                <w:lang w:val="lt-LT"/>
              </w:rPr>
            </w:pPr>
          </w:p>
        </w:tc>
      </w:tr>
      <w:tr w:rsidR="00C25A25" w:rsidRPr="004273CC" w:rsidTr="0073052D">
        <w:trPr>
          <w:tblHeader/>
        </w:trPr>
        <w:tc>
          <w:tcPr>
            <w:tcW w:w="959" w:type="dxa"/>
            <w:vMerge w:val="restart"/>
            <w:textDirection w:val="btLr"/>
          </w:tcPr>
          <w:p w:rsidR="002809C1" w:rsidRPr="000B74B1" w:rsidRDefault="002809C1" w:rsidP="00C25A25">
            <w:pPr>
              <w:tabs>
                <w:tab w:val="left" w:pos="510"/>
              </w:tabs>
              <w:ind w:left="113" w:right="113"/>
              <w:jc w:val="center"/>
              <w:rPr>
                <w:b/>
                <w:lang w:val="lt-LT"/>
              </w:rPr>
            </w:pPr>
            <w:r w:rsidRPr="000B74B1">
              <w:rPr>
                <w:b/>
                <w:lang w:val="lt-LT"/>
              </w:rPr>
              <w:t>1. Ekonominės-politinės sąlygos</w:t>
            </w:r>
          </w:p>
        </w:tc>
        <w:tc>
          <w:tcPr>
            <w:tcW w:w="3861" w:type="dxa"/>
          </w:tcPr>
          <w:p w:rsidR="002809C1" w:rsidRPr="004273CC" w:rsidRDefault="002809C1" w:rsidP="00C25A25">
            <w:pPr>
              <w:tabs>
                <w:tab w:val="left" w:pos="510"/>
              </w:tabs>
              <w:jc w:val="both"/>
              <w:rPr>
                <w:lang w:val="lt-LT"/>
              </w:rPr>
            </w:pPr>
            <w:r w:rsidRPr="004273CC">
              <w:rPr>
                <w:lang w:val="lt-LT"/>
              </w:rPr>
              <w:t>Vyksta svarbūs ekonominės ir politinės sistemos pokyčiai</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2809C1" w:rsidRPr="004273CC" w:rsidRDefault="002809C1" w:rsidP="00C25A25">
            <w:pPr>
              <w:tabs>
                <w:tab w:val="left" w:pos="510"/>
              </w:tabs>
              <w:jc w:val="both"/>
              <w:rPr>
                <w:lang w:val="lt-LT"/>
              </w:rPr>
            </w:pPr>
            <w:r w:rsidRPr="004273CC">
              <w:rPr>
                <w:lang w:val="lt-LT"/>
              </w:rPr>
              <w:t>Vykdoma veikla ekonomiškai nestabiliuose regionuose</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2809C1" w:rsidRPr="004273CC" w:rsidRDefault="002809C1" w:rsidP="00C25A25">
            <w:pPr>
              <w:tabs>
                <w:tab w:val="left" w:pos="510"/>
              </w:tabs>
              <w:jc w:val="both"/>
              <w:rPr>
                <w:lang w:val="lt-LT"/>
              </w:rPr>
            </w:pPr>
            <w:r w:rsidRPr="004273CC">
              <w:rPr>
                <w:lang w:val="lt-LT"/>
              </w:rPr>
              <w:t xml:space="preserve">Įmonės veiklą veikia besikeičiančios, nepastovios rinkos </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2809C1" w:rsidRPr="004273CC" w:rsidRDefault="002809C1" w:rsidP="00C25A25">
            <w:pPr>
              <w:tabs>
                <w:tab w:val="left" w:pos="510"/>
              </w:tabs>
              <w:jc w:val="both"/>
              <w:rPr>
                <w:lang w:val="lt-LT"/>
              </w:rPr>
            </w:pPr>
            <w:r>
              <w:rPr>
                <w:lang w:val="lt-LT"/>
              </w:rPr>
              <w:t>D</w:t>
            </w:r>
            <w:r w:rsidRPr="00BB43E3">
              <w:rPr>
                <w:lang w:val="lt-LT"/>
              </w:rPr>
              <w:t>idėjančios verslo nesėkmės ūkio šakoje</w:t>
            </w:r>
            <w:r>
              <w:rPr>
                <w:lang w:val="lt-LT"/>
              </w:rPr>
              <w:t>/</w:t>
            </w:r>
            <w:r w:rsidRPr="00BB43E3">
              <w:rPr>
                <w:lang w:val="lt-LT"/>
              </w:rPr>
              <w:t xml:space="preserve"> bendrai visame ūkyje</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2809C1" w:rsidRPr="004273CC" w:rsidRDefault="002809C1" w:rsidP="00C25A25">
            <w:pPr>
              <w:tabs>
                <w:tab w:val="left" w:pos="510"/>
              </w:tabs>
              <w:jc w:val="both"/>
              <w:rPr>
                <w:lang w:val="lt-LT"/>
              </w:rPr>
            </w:pPr>
            <w:r w:rsidRPr="004273CC">
              <w:rPr>
                <w:lang w:val="lt-LT"/>
              </w:rPr>
              <w:t xml:space="preserve">Nestabilus valiutos kursas </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2809C1" w:rsidRPr="004273CC" w:rsidRDefault="002809C1" w:rsidP="00C25A25">
            <w:pPr>
              <w:tabs>
                <w:tab w:val="left" w:pos="510"/>
              </w:tabs>
              <w:jc w:val="both"/>
              <w:rPr>
                <w:lang w:val="lt-LT"/>
              </w:rPr>
            </w:pPr>
            <w:r>
              <w:rPr>
                <w:lang w:val="lt-LT"/>
              </w:rPr>
              <w:t>Pernelyg didelė infliacija/defliacija</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2809C1" w:rsidRPr="004273CC" w:rsidRDefault="002809C1" w:rsidP="00C25A25">
            <w:pPr>
              <w:tabs>
                <w:tab w:val="left" w:pos="510"/>
              </w:tabs>
              <w:jc w:val="both"/>
              <w:rPr>
                <w:lang w:val="lt-LT"/>
              </w:rPr>
            </w:pPr>
            <w:r w:rsidRPr="004273CC">
              <w:rPr>
                <w:lang w:val="lt-LT"/>
              </w:rPr>
              <w:t>Egzistuoja skolinimosi suvaržymai (kapitalo ar kredito gavimo sunkumai)</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97151D" w:rsidRPr="004273CC" w:rsidRDefault="002809C1" w:rsidP="00C25A25">
            <w:pPr>
              <w:tabs>
                <w:tab w:val="left" w:pos="510"/>
              </w:tabs>
              <w:jc w:val="both"/>
              <w:rPr>
                <w:lang w:val="lt-LT"/>
              </w:rPr>
            </w:pPr>
            <w:r w:rsidRPr="004273CC">
              <w:rPr>
                <w:lang w:val="lt-LT"/>
              </w:rPr>
              <w:t>...</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val="restart"/>
            <w:textDirection w:val="btLr"/>
          </w:tcPr>
          <w:p w:rsidR="002809C1" w:rsidRPr="000B74B1" w:rsidRDefault="002809C1" w:rsidP="00C25A25">
            <w:pPr>
              <w:tabs>
                <w:tab w:val="left" w:pos="510"/>
              </w:tabs>
              <w:ind w:left="113" w:right="113"/>
              <w:jc w:val="center"/>
              <w:rPr>
                <w:b/>
                <w:lang w:val="lt-LT"/>
              </w:rPr>
            </w:pPr>
            <w:r w:rsidRPr="000B74B1">
              <w:rPr>
                <w:b/>
                <w:lang w:val="lt-LT"/>
              </w:rPr>
              <w:t>2. Reguliavimo</w:t>
            </w:r>
          </w:p>
        </w:tc>
        <w:tc>
          <w:tcPr>
            <w:tcW w:w="3861" w:type="dxa"/>
          </w:tcPr>
          <w:p w:rsidR="002809C1" w:rsidRPr="004273CC" w:rsidRDefault="002809C1" w:rsidP="00C25A25">
            <w:pPr>
              <w:tabs>
                <w:tab w:val="left" w:pos="510"/>
              </w:tabs>
              <w:jc w:val="both"/>
              <w:rPr>
                <w:lang w:val="lt-LT"/>
              </w:rPr>
            </w:pPr>
            <w:r w:rsidRPr="004273CC">
              <w:rPr>
                <w:lang w:val="lt-LT"/>
              </w:rPr>
              <w:t>Didelis reguliavimo laipsnis</w:t>
            </w:r>
          </w:p>
        </w:tc>
        <w:tc>
          <w:tcPr>
            <w:tcW w:w="1133" w:type="dxa"/>
            <w:gridSpan w:val="2"/>
          </w:tcPr>
          <w:p w:rsidR="002809C1" w:rsidRPr="004273CC" w:rsidRDefault="00482765" w:rsidP="00C25A25">
            <w:pPr>
              <w:tabs>
                <w:tab w:val="left" w:pos="510"/>
              </w:tabs>
              <w:jc w:val="both"/>
              <w:rPr>
                <w:lang w:val="lt-LT"/>
              </w:rPr>
            </w:pPr>
            <w:r>
              <w:rPr>
                <w:lang w:val="lt-LT"/>
              </w:rPr>
              <w:t>4</w:t>
            </w:r>
          </w:p>
        </w:tc>
        <w:tc>
          <w:tcPr>
            <w:tcW w:w="850" w:type="dxa"/>
            <w:gridSpan w:val="2"/>
          </w:tcPr>
          <w:p w:rsidR="002809C1" w:rsidRPr="004273CC" w:rsidRDefault="00482765" w:rsidP="00C25A25">
            <w:pPr>
              <w:tabs>
                <w:tab w:val="left" w:pos="510"/>
              </w:tabs>
              <w:jc w:val="both"/>
              <w:rPr>
                <w:lang w:val="lt-LT"/>
              </w:rPr>
            </w:pPr>
            <w:r>
              <w:rPr>
                <w:lang w:val="lt-LT"/>
              </w:rPr>
              <w:t>1</w:t>
            </w:r>
          </w:p>
        </w:tc>
        <w:tc>
          <w:tcPr>
            <w:tcW w:w="1134" w:type="dxa"/>
            <w:gridSpan w:val="2"/>
          </w:tcPr>
          <w:p w:rsidR="002809C1" w:rsidRPr="004273CC" w:rsidRDefault="00482765" w:rsidP="00C25A25">
            <w:pPr>
              <w:tabs>
                <w:tab w:val="left" w:pos="510"/>
              </w:tabs>
              <w:jc w:val="both"/>
              <w:rPr>
                <w:lang w:val="lt-LT"/>
              </w:rPr>
            </w:pPr>
            <w:r>
              <w:rPr>
                <w:lang w:val="lt-LT"/>
              </w:rPr>
              <w:t>4</w:t>
            </w:r>
          </w:p>
        </w:tc>
        <w:tc>
          <w:tcPr>
            <w:tcW w:w="1385" w:type="dxa"/>
          </w:tcPr>
          <w:p w:rsidR="002809C1" w:rsidRPr="004273CC" w:rsidRDefault="00482765" w:rsidP="00C25A25">
            <w:pPr>
              <w:tabs>
                <w:tab w:val="left" w:pos="510"/>
              </w:tabs>
              <w:jc w:val="both"/>
              <w:rPr>
                <w:lang w:val="lt-LT"/>
              </w:rPr>
            </w:pPr>
            <w:r>
              <w:rPr>
                <w:lang w:val="lt-LT"/>
              </w:rPr>
              <w:t>Eliminuojama</w:t>
            </w: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2809C1" w:rsidRPr="004273CC" w:rsidRDefault="002809C1" w:rsidP="00C25A25">
            <w:pPr>
              <w:tabs>
                <w:tab w:val="left" w:pos="510"/>
              </w:tabs>
              <w:jc w:val="both"/>
              <w:rPr>
                <w:lang w:val="lt-LT"/>
              </w:rPr>
            </w:pPr>
            <w:r w:rsidRPr="004273CC">
              <w:rPr>
                <w:lang w:val="lt-LT"/>
              </w:rPr>
              <w:t>Priežiūros domėjimasis veikla (veiklos atskaitingumas, specialių įstatymų reikalavimų laikymasis)</w:t>
            </w:r>
          </w:p>
        </w:tc>
        <w:tc>
          <w:tcPr>
            <w:tcW w:w="1133" w:type="dxa"/>
            <w:gridSpan w:val="2"/>
          </w:tcPr>
          <w:p w:rsidR="002809C1" w:rsidRPr="004273CC" w:rsidRDefault="00482765" w:rsidP="00C25A25">
            <w:pPr>
              <w:tabs>
                <w:tab w:val="left" w:pos="510"/>
              </w:tabs>
              <w:jc w:val="both"/>
              <w:rPr>
                <w:lang w:val="lt-LT"/>
              </w:rPr>
            </w:pPr>
            <w:r>
              <w:rPr>
                <w:lang w:val="lt-LT"/>
              </w:rPr>
              <w:t>2</w:t>
            </w:r>
          </w:p>
        </w:tc>
        <w:tc>
          <w:tcPr>
            <w:tcW w:w="850" w:type="dxa"/>
            <w:gridSpan w:val="2"/>
          </w:tcPr>
          <w:p w:rsidR="002809C1" w:rsidRPr="004273CC" w:rsidRDefault="00482765" w:rsidP="00C25A25">
            <w:pPr>
              <w:tabs>
                <w:tab w:val="left" w:pos="510"/>
              </w:tabs>
              <w:jc w:val="both"/>
              <w:rPr>
                <w:lang w:val="lt-LT"/>
              </w:rPr>
            </w:pPr>
            <w:r>
              <w:rPr>
                <w:lang w:val="lt-LT"/>
              </w:rPr>
              <w:t>1</w:t>
            </w:r>
          </w:p>
        </w:tc>
        <w:tc>
          <w:tcPr>
            <w:tcW w:w="1134" w:type="dxa"/>
            <w:gridSpan w:val="2"/>
          </w:tcPr>
          <w:p w:rsidR="002809C1" w:rsidRPr="004273CC" w:rsidRDefault="00482765" w:rsidP="00C25A25">
            <w:pPr>
              <w:tabs>
                <w:tab w:val="left" w:pos="510"/>
              </w:tabs>
              <w:jc w:val="both"/>
              <w:rPr>
                <w:lang w:val="lt-LT"/>
              </w:rPr>
            </w:pPr>
            <w:r>
              <w:rPr>
                <w:lang w:val="lt-LT"/>
              </w:rPr>
              <w:t>2</w:t>
            </w:r>
          </w:p>
        </w:tc>
        <w:tc>
          <w:tcPr>
            <w:tcW w:w="1385" w:type="dxa"/>
          </w:tcPr>
          <w:p w:rsidR="002809C1" w:rsidRPr="004273CC" w:rsidRDefault="00482765" w:rsidP="00C25A25">
            <w:pPr>
              <w:tabs>
                <w:tab w:val="left" w:pos="510"/>
              </w:tabs>
              <w:jc w:val="both"/>
              <w:rPr>
                <w:lang w:val="lt-LT"/>
              </w:rPr>
            </w:pPr>
            <w:r>
              <w:rPr>
                <w:lang w:val="lt-LT"/>
              </w:rPr>
              <w:t>Eliminuojama</w:t>
            </w: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2809C1" w:rsidRPr="004273CC" w:rsidRDefault="002809C1" w:rsidP="00C25A25">
            <w:pPr>
              <w:tabs>
                <w:tab w:val="left" w:pos="510"/>
              </w:tabs>
              <w:jc w:val="both"/>
              <w:rPr>
                <w:lang w:val="lt-LT"/>
              </w:rPr>
            </w:pPr>
            <w:r w:rsidRPr="004273CC">
              <w:rPr>
                <w:lang w:val="lt-LT"/>
              </w:rPr>
              <w:t>Nauji apskaitos reikalavimai ar svarbūs pokyčiai įmonės apskaitos politikoje</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2809C1" w:rsidRPr="004273CC" w:rsidRDefault="002809C1" w:rsidP="00C25A25">
            <w:pPr>
              <w:tabs>
                <w:tab w:val="left" w:pos="510"/>
              </w:tabs>
              <w:jc w:val="both"/>
              <w:rPr>
                <w:lang w:val="lt-LT"/>
              </w:rPr>
            </w:pPr>
            <w:r w:rsidRPr="004273CC">
              <w:rPr>
                <w:lang w:val="lt-LT"/>
              </w:rPr>
              <w:t>Mokesčių sistemos pokyčiai ir trūkumai</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C25A25" w:rsidRPr="004273CC" w:rsidTr="0073052D">
        <w:trPr>
          <w:tblHeader/>
        </w:trPr>
        <w:tc>
          <w:tcPr>
            <w:tcW w:w="959" w:type="dxa"/>
            <w:vMerge/>
          </w:tcPr>
          <w:p w:rsidR="002809C1" w:rsidRPr="000B74B1" w:rsidRDefault="002809C1" w:rsidP="00C25A25">
            <w:pPr>
              <w:tabs>
                <w:tab w:val="left" w:pos="510"/>
              </w:tabs>
              <w:jc w:val="center"/>
              <w:rPr>
                <w:b/>
                <w:lang w:val="lt-LT"/>
              </w:rPr>
            </w:pPr>
          </w:p>
        </w:tc>
        <w:tc>
          <w:tcPr>
            <w:tcW w:w="3861" w:type="dxa"/>
          </w:tcPr>
          <w:p w:rsidR="0097151D" w:rsidRPr="004273CC" w:rsidRDefault="002809C1" w:rsidP="0097151D">
            <w:pPr>
              <w:tabs>
                <w:tab w:val="left" w:pos="510"/>
              </w:tabs>
              <w:jc w:val="both"/>
              <w:rPr>
                <w:lang w:val="lt-LT"/>
              </w:rPr>
            </w:pPr>
            <w:r w:rsidRPr="004273CC">
              <w:rPr>
                <w:lang w:val="lt-LT"/>
              </w:rPr>
              <w:t>...</w:t>
            </w:r>
          </w:p>
        </w:tc>
        <w:tc>
          <w:tcPr>
            <w:tcW w:w="1133" w:type="dxa"/>
            <w:gridSpan w:val="2"/>
          </w:tcPr>
          <w:p w:rsidR="002809C1" w:rsidRPr="004273CC" w:rsidRDefault="002809C1" w:rsidP="00C25A25">
            <w:pPr>
              <w:tabs>
                <w:tab w:val="left" w:pos="510"/>
              </w:tabs>
              <w:jc w:val="both"/>
              <w:rPr>
                <w:lang w:val="lt-LT"/>
              </w:rPr>
            </w:pPr>
          </w:p>
        </w:tc>
        <w:tc>
          <w:tcPr>
            <w:tcW w:w="850" w:type="dxa"/>
            <w:gridSpan w:val="2"/>
          </w:tcPr>
          <w:p w:rsidR="002809C1" w:rsidRPr="004273CC" w:rsidRDefault="002809C1" w:rsidP="00C25A25">
            <w:pPr>
              <w:tabs>
                <w:tab w:val="left" w:pos="510"/>
              </w:tabs>
              <w:jc w:val="both"/>
              <w:rPr>
                <w:lang w:val="lt-LT"/>
              </w:rPr>
            </w:pPr>
          </w:p>
        </w:tc>
        <w:tc>
          <w:tcPr>
            <w:tcW w:w="1134" w:type="dxa"/>
            <w:gridSpan w:val="2"/>
          </w:tcPr>
          <w:p w:rsidR="002809C1" w:rsidRPr="004273CC" w:rsidRDefault="002809C1" w:rsidP="00C25A25">
            <w:pPr>
              <w:tabs>
                <w:tab w:val="left" w:pos="510"/>
              </w:tabs>
              <w:jc w:val="both"/>
              <w:rPr>
                <w:lang w:val="lt-LT"/>
              </w:rPr>
            </w:pPr>
          </w:p>
        </w:tc>
        <w:tc>
          <w:tcPr>
            <w:tcW w:w="1385"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992" w:type="dxa"/>
          </w:tcPr>
          <w:p w:rsidR="002809C1" w:rsidRPr="004273CC" w:rsidRDefault="002809C1" w:rsidP="00C25A25">
            <w:pPr>
              <w:tabs>
                <w:tab w:val="left" w:pos="510"/>
              </w:tabs>
              <w:jc w:val="both"/>
              <w:rPr>
                <w:lang w:val="lt-LT"/>
              </w:rPr>
            </w:pPr>
          </w:p>
        </w:tc>
        <w:tc>
          <w:tcPr>
            <w:tcW w:w="1134" w:type="dxa"/>
          </w:tcPr>
          <w:p w:rsidR="002809C1" w:rsidRPr="004273CC" w:rsidRDefault="002809C1" w:rsidP="00C25A25">
            <w:pPr>
              <w:tabs>
                <w:tab w:val="left" w:pos="510"/>
              </w:tabs>
              <w:jc w:val="both"/>
              <w:rPr>
                <w:lang w:val="lt-LT"/>
              </w:rPr>
            </w:pPr>
          </w:p>
        </w:tc>
        <w:tc>
          <w:tcPr>
            <w:tcW w:w="1276" w:type="dxa"/>
          </w:tcPr>
          <w:p w:rsidR="002809C1" w:rsidRPr="004273CC" w:rsidRDefault="002809C1" w:rsidP="00C25A25">
            <w:pPr>
              <w:tabs>
                <w:tab w:val="left" w:pos="510"/>
              </w:tabs>
              <w:jc w:val="both"/>
              <w:rPr>
                <w:lang w:val="lt-LT"/>
              </w:rPr>
            </w:pPr>
          </w:p>
        </w:tc>
      </w:tr>
      <w:tr w:rsidR="0097151D" w:rsidRPr="004273CC" w:rsidTr="0073052D">
        <w:trPr>
          <w:tblHeader/>
        </w:trPr>
        <w:tc>
          <w:tcPr>
            <w:tcW w:w="959" w:type="dxa"/>
            <w:textDirection w:val="btLr"/>
          </w:tcPr>
          <w:p w:rsidR="0097151D" w:rsidRPr="000B74B1" w:rsidRDefault="0097151D" w:rsidP="0097151D">
            <w:pPr>
              <w:tabs>
                <w:tab w:val="left" w:pos="510"/>
              </w:tabs>
              <w:ind w:left="113" w:right="113"/>
              <w:jc w:val="center"/>
              <w:rPr>
                <w:b/>
                <w:lang w:val="lt-LT"/>
              </w:rPr>
            </w:pPr>
            <w:r w:rsidRPr="000B74B1">
              <w:rPr>
                <w:b/>
                <w:lang w:val="lt-LT"/>
              </w:rPr>
              <w:t>3. Konkurencinės</w:t>
            </w:r>
          </w:p>
        </w:tc>
        <w:tc>
          <w:tcPr>
            <w:tcW w:w="3861" w:type="dxa"/>
          </w:tcPr>
          <w:p w:rsidR="0097151D" w:rsidRDefault="0097151D" w:rsidP="0097151D">
            <w:pPr>
              <w:tabs>
                <w:tab w:val="left" w:pos="510"/>
              </w:tabs>
              <w:jc w:val="both"/>
              <w:rPr>
                <w:lang w:val="lt-LT"/>
              </w:rPr>
            </w:pPr>
            <w:r w:rsidRPr="004273CC">
              <w:rPr>
                <w:lang w:val="lt-LT"/>
              </w:rPr>
              <w:t>Ūkio šakoje didelė konkurencija (gaminama produkcija nėra išskirtinė ar pirmo būtinumo</w:t>
            </w:r>
            <w:r>
              <w:rPr>
                <w:lang w:val="lt-LT"/>
              </w:rPr>
              <w:t xml:space="preserve">, </w:t>
            </w:r>
            <w:r w:rsidRPr="00BB43E3">
              <w:rPr>
                <w:lang w:val="lt-LT"/>
              </w:rPr>
              <w:t xml:space="preserve">prisotinta rinka, pasižyminti </w:t>
            </w:r>
            <w:r>
              <w:rPr>
                <w:lang w:val="lt-LT"/>
              </w:rPr>
              <w:t>mažėjančiu pelningumu</w:t>
            </w:r>
            <w:r w:rsidRPr="004273CC">
              <w:rPr>
                <w:lang w:val="lt-LT"/>
              </w:rPr>
              <w:t>)</w:t>
            </w:r>
          </w:p>
          <w:p w:rsidR="0097151D" w:rsidRDefault="0097151D" w:rsidP="0097151D">
            <w:pPr>
              <w:tabs>
                <w:tab w:val="left" w:pos="510"/>
              </w:tabs>
              <w:jc w:val="both"/>
              <w:rPr>
                <w:lang w:val="lt-LT"/>
              </w:rPr>
            </w:pPr>
          </w:p>
          <w:p w:rsidR="001E1AF8" w:rsidRDefault="001E1AF8" w:rsidP="0097151D">
            <w:pPr>
              <w:tabs>
                <w:tab w:val="left" w:pos="510"/>
              </w:tabs>
              <w:jc w:val="both"/>
              <w:rPr>
                <w:lang w:val="lt-LT"/>
              </w:rPr>
            </w:pPr>
          </w:p>
          <w:p w:rsidR="0073052D" w:rsidRPr="004273CC" w:rsidRDefault="0073052D" w:rsidP="0097151D">
            <w:pPr>
              <w:tabs>
                <w:tab w:val="left" w:pos="510"/>
              </w:tabs>
              <w:jc w:val="both"/>
              <w:rPr>
                <w:lang w:val="lt-LT"/>
              </w:rPr>
            </w:pPr>
          </w:p>
        </w:tc>
        <w:tc>
          <w:tcPr>
            <w:tcW w:w="1133" w:type="dxa"/>
            <w:gridSpan w:val="2"/>
          </w:tcPr>
          <w:p w:rsidR="0097151D" w:rsidRPr="004273CC" w:rsidRDefault="0097151D" w:rsidP="0097151D">
            <w:pPr>
              <w:tabs>
                <w:tab w:val="left" w:pos="510"/>
              </w:tabs>
              <w:jc w:val="both"/>
              <w:rPr>
                <w:lang w:val="lt-LT"/>
              </w:rPr>
            </w:pPr>
          </w:p>
        </w:tc>
        <w:tc>
          <w:tcPr>
            <w:tcW w:w="850" w:type="dxa"/>
            <w:gridSpan w:val="2"/>
          </w:tcPr>
          <w:p w:rsidR="0097151D" w:rsidRPr="004273CC" w:rsidRDefault="0097151D" w:rsidP="0097151D">
            <w:pPr>
              <w:tabs>
                <w:tab w:val="left" w:pos="510"/>
              </w:tabs>
              <w:jc w:val="both"/>
              <w:rPr>
                <w:lang w:val="lt-LT"/>
              </w:rPr>
            </w:pPr>
          </w:p>
        </w:tc>
        <w:tc>
          <w:tcPr>
            <w:tcW w:w="1134" w:type="dxa"/>
            <w:gridSpan w:val="2"/>
          </w:tcPr>
          <w:p w:rsidR="0097151D" w:rsidRPr="004273CC" w:rsidRDefault="0097151D" w:rsidP="0097151D">
            <w:pPr>
              <w:tabs>
                <w:tab w:val="left" w:pos="510"/>
              </w:tabs>
              <w:jc w:val="both"/>
              <w:rPr>
                <w:lang w:val="lt-LT"/>
              </w:rPr>
            </w:pPr>
          </w:p>
        </w:tc>
        <w:tc>
          <w:tcPr>
            <w:tcW w:w="1385" w:type="dxa"/>
          </w:tcPr>
          <w:p w:rsidR="0097151D" w:rsidRPr="004273CC" w:rsidRDefault="0097151D" w:rsidP="0097151D">
            <w:pPr>
              <w:tabs>
                <w:tab w:val="left" w:pos="510"/>
              </w:tabs>
              <w:jc w:val="both"/>
              <w:rPr>
                <w:lang w:val="lt-LT"/>
              </w:rPr>
            </w:pPr>
          </w:p>
        </w:tc>
        <w:tc>
          <w:tcPr>
            <w:tcW w:w="1134" w:type="dxa"/>
          </w:tcPr>
          <w:p w:rsidR="0097151D" w:rsidRPr="0089166D" w:rsidRDefault="0097151D" w:rsidP="0097151D">
            <w:pPr>
              <w:tabs>
                <w:tab w:val="left" w:pos="510"/>
              </w:tabs>
              <w:jc w:val="center"/>
              <w:rPr>
                <w:b/>
                <w:lang w:val="lt-LT"/>
              </w:rPr>
            </w:pPr>
            <w:r w:rsidRPr="0089166D">
              <w:rPr>
                <w:b/>
                <w:lang w:val="lt-LT"/>
              </w:rPr>
              <w:t>2</w:t>
            </w:r>
          </w:p>
        </w:tc>
        <w:tc>
          <w:tcPr>
            <w:tcW w:w="992" w:type="dxa"/>
          </w:tcPr>
          <w:p w:rsidR="0097151D" w:rsidRPr="0089166D" w:rsidRDefault="0097151D" w:rsidP="0097151D">
            <w:pPr>
              <w:tabs>
                <w:tab w:val="left" w:pos="510"/>
              </w:tabs>
              <w:jc w:val="center"/>
              <w:rPr>
                <w:b/>
                <w:lang w:val="lt-LT"/>
              </w:rPr>
            </w:pPr>
            <w:r w:rsidRPr="0089166D">
              <w:rPr>
                <w:b/>
                <w:lang w:val="lt-LT"/>
              </w:rPr>
              <w:t>5</w:t>
            </w:r>
          </w:p>
        </w:tc>
        <w:tc>
          <w:tcPr>
            <w:tcW w:w="1134" w:type="dxa"/>
          </w:tcPr>
          <w:p w:rsidR="0097151D" w:rsidRPr="0089166D" w:rsidRDefault="0097151D" w:rsidP="0097151D">
            <w:pPr>
              <w:tabs>
                <w:tab w:val="left" w:pos="510"/>
              </w:tabs>
              <w:jc w:val="center"/>
              <w:rPr>
                <w:b/>
                <w:lang w:val="lt-LT"/>
              </w:rPr>
            </w:pPr>
            <w:r w:rsidRPr="0089166D">
              <w:rPr>
                <w:b/>
                <w:lang w:val="lt-LT"/>
              </w:rPr>
              <w:t>10</w:t>
            </w:r>
          </w:p>
        </w:tc>
        <w:tc>
          <w:tcPr>
            <w:tcW w:w="1276" w:type="dxa"/>
          </w:tcPr>
          <w:p w:rsidR="0097151D" w:rsidRPr="004273CC" w:rsidRDefault="0097151D" w:rsidP="0097151D">
            <w:pPr>
              <w:tabs>
                <w:tab w:val="left" w:pos="510"/>
              </w:tabs>
              <w:jc w:val="both"/>
              <w:rPr>
                <w:lang w:val="lt-LT"/>
              </w:rPr>
            </w:pPr>
            <w:r>
              <w:rPr>
                <w:lang w:val="lt-LT"/>
              </w:rPr>
              <w:t>Pardavimai – Tikslumas</w:t>
            </w:r>
          </w:p>
        </w:tc>
      </w:tr>
      <w:tr w:rsidR="0097151D" w:rsidRPr="004273CC" w:rsidTr="0073052D">
        <w:trPr>
          <w:tblHeader/>
        </w:trPr>
        <w:tc>
          <w:tcPr>
            <w:tcW w:w="4820" w:type="dxa"/>
            <w:gridSpan w:val="2"/>
            <w:vMerge w:val="restart"/>
            <w:vAlign w:val="center"/>
          </w:tcPr>
          <w:p w:rsidR="0097151D" w:rsidRPr="004273CC" w:rsidRDefault="0097151D" w:rsidP="008E4A5A">
            <w:pPr>
              <w:tabs>
                <w:tab w:val="left" w:pos="510"/>
              </w:tabs>
              <w:jc w:val="center"/>
              <w:rPr>
                <w:b/>
                <w:lang w:val="lt-LT"/>
              </w:rPr>
            </w:pPr>
            <w:r w:rsidRPr="004273CC">
              <w:rPr>
                <w:b/>
                <w:lang w:val="lt-LT"/>
              </w:rPr>
              <w:lastRenderedPageBreak/>
              <w:t>Įmonės išorė</w:t>
            </w:r>
            <w:r w:rsidR="008E4A5A">
              <w:rPr>
                <w:b/>
                <w:lang w:val="lt-LT"/>
              </w:rPr>
              <w:t>s</w:t>
            </w:r>
            <w:r w:rsidRPr="004273CC">
              <w:rPr>
                <w:b/>
                <w:lang w:val="lt-LT"/>
              </w:rPr>
              <w:t xml:space="preserve"> aplinka</w:t>
            </w:r>
          </w:p>
        </w:tc>
        <w:tc>
          <w:tcPr>
            <w:tcW w:w="4502" w:type="dxa"/>
            <w:gridSpan w:val="7"/>
            <w:vAlign w:val="center"/>
          </w:tcPr>
          <w:p w:rsidR="0097151D" w:rsidRPr="004273CC" w:rsidRDefault="0097151D" w:rsidP="0073052D">
            <w:pPr>
              <w:tabs>
                <w:tab w:val="left" w:pos="510"/>
              </w:tabs>
              <w:jc w:val="center"/>
              <w:rPr>
                <w:lang w:val="lt-LT"/>
              </w:rPr>
            </w:pPr>
            <w:r>
              <w:rPr>
                <w:b/>
                <w:lang w:val="lt-LT"/>
              </w:rPr>
              <w:t>UAB „Šiluma“</w:t>
            </w:r>
          </w:p>
        </w:tc>
        <w:tc>
          <w:tcPr>
            <w:tcW w:w="4536" w:type="dxa"/>
            <w:gridSpan w:val="4"/>
          </w:tcPr>
          <w:p w:rsidR="0097151D" w:rsidRPr="004273CC" w:rsidRDefault="0097151D" w:rsidP="0073052D">
            <w:pPr>
              <w:tabs>
                <w:tab w:val="left" w:pos="510"/>
              </w:tabs>
              <w:jc w:val="center"/>
              <w:rPr>
                <w:lang w:val="lt-LT"/>
              </w:rPr>
            </w:pPr>
            <w:r>
              <w:rPr>
                <w:b/>
                <w:lang w:val="lt-LT"/>
              </w:rPr>
              <w:t>UAB „Žuvila“</w:t>
            </w:r>
          </w:p>
        </w:tc>
      </w:tr>
      <w:tr w:rsidR="0073052D" w:rsidRPr="004273CC" w:rsidTr="00E14D71">
        <w:trPr>
          <w:tblHeader/>
        </w:trPr>
        <w:tc>
          <w:tcPr>
            <w:tcW w:w="4820" w:type="dxa"/>
            <w:gridSpan w:val="2"/>
            <w:vMerge/>
          </w:tcPr>
          <w:p w:rsidR="0073052D" w:rsidRPr="004273CC" w:rsidRDefault="0073052D" w:rsidP="0097151D">
            <w:pPr>
              <w:tabs>
                <w:tab w:val="left" w:pos="510"/>
              </w:tabs>
              <w:jc w:val="center"/>
              <w:rPr>
                <w:b/>
                <w:lang w:val="lt-LT"/>
              </w:rPr>
            </w:pPr>
          </w:p>
        </w:tc>
        <w:tc>
          <w:tcPr>
            <w:tcW w:w="3085" w:type="dxa"/>
            <w:gridSpan w:val="5"/>
            <w:vAlign w:val="center"/>
          </w:tcPr>
          <w:p w:rsidR="0073052D" w:rsidRPr="004273CC" w:rsidRDefault="0073052D" w:rsidP="0073052D">
            <w:pPr>
              <w:tabs>
                <w:tab w:val="left" w:pos="510"/>
              </w:tabs>
              <w:jc w:val="center"/>
              <w:rPr>
                <w:b/>
                <w:lang w:val="lt-LT"/>
              </w:rPr>
            </w:pPr>
            <w:r w:rsidRPr="004273CC">
              <w:rPr>
                <w:b/>
                <w:lang w:val="lt-LT"/>
              </w:rPr>
              <w:t>Rizikos vertinimas</w:t>
            </w:r>
          </w:p>
        </w:tc>
        <w:tc>
          <w:tcPr>
            <w:tcW w:w="1417" w:type="dxa"/>
            <w:gridSpan w:val="2"/>
            <w:vMerge w:val="restart"/>
            <w:vAlign w:val="center"/>
          </w:tcPr>
          <w:p w:rsidR="0073052D" w:rsidRDefault="0073052D" w:rsidP="0073052D">
            <w:pPr>
              <w:tabs>
                <w:tab w:val="left" w:pos="510"/>
              </w:tabs>
              <w:jc w:val="center"/>
              <w:rPr>
                <w:lang w:val="lt-LT"/>
              </w:rPr>
            </w:pPr>
            <w:r w:rsidRPr="004273CC">
              <w:rPr>
                <w:b/>
                <w:lang w:val="lt-LT"/>
              </w:rPr>
              <w:t>Pastabos</w:t>
            </w:r>
          </w:p>
        </w:tc>
        <w:tc>
          <w:tcPr>
            <w:tcW w:w="3260" w:type="dxa"/>
            <w:gridSpan w:val="3"/>
          </w:tcPr>
          <w:p w:rsidR="0073052D" w:rsidRPr="004273CC" w:rsidRDefault="0073052D" w:rsidP="0073052D">
            <w:pPr>
              <w:tabs>
                <w:tab w:val="left" w:pos="510"/>
              </w:tabs>
              <w:jc w:val="center"/>
              <w:rPr>
                <w:lang w:val="lt-LT"/>
              </w:rPr>
            </w:pPr>
            <w:r w:rsidRPr="004273CC">
              <w:rPr>
                <w:b/>
                <w:lang w:val="lt-LT"/>
              </w:rPr>
              <w:t>Rizikos vertinimas</w:t>
            </w:r>
          </w:p>
        </w:tc>
        <w:tc>
          <w:tcPr>
            <w:tcW w:w="1276" w:type="dxa"/>
            <w:vMerge w:val="restart"/>
            <w:vAlign w:val="center"/>
          </w:tcPr>
          <w:p w:rsidR="0073052D" w:rsidRPr="004273CC" w:rsidRDefault="0073052D" w:rsidP="0073052D">
            <w:pPr>
              <w:tabs>
                <w:tab w:val="left" w:pos="510"/>
              </w:tabs>
              <w:jc w:val="center"/>
              <w:rPr>
                <w:lang w:val="lt-LT"/>
              </w:rPr>
            </w:pPr>
            <w:r w:rsidRPr="004273CC">
              <w:rPr>
                <w:b/>
                <w:lang w:val="lt-LT"/>
              </w:rPr>
              <w:t>Pastabos</w:t>
            </w:r>
          </w:p>
        </w:tc>
      </w:tr>
      <w:tr w:rsidR="0073052D" w:rsidRPr="004273CC" w:rsidTr="00E14D71">
        <w:trPr>
          <w:tblHeader/>
        </w:trPr>
        <w:tc>
          <w:tcPr>
            <w:tcW w:w="959" w:type="dxa"/>
            <w:vAlign w:val="center"/>
          </w:tcPr>
          <w:p w:rsidR="0073052D" w:rsidRPr="004273CC" w:rsidRDefault="0073052D" w:rsidP="0097151D">
            <w:pPr>
              <w:tabs>
                <w:tab w:val="left" w:pos="510"/>
              </w:tabs>
              <w:jc w:val="center"/>
              <w:rPr>
                <w:b/>
                <w:lang w:val="lt-LT"/>
              </w:rPr>
            </w:pPr>
            <w:r w:rsidRPr="004273CC">
              <w:rPr>
                <w:b/>
                <w:lang w:val="lt-LT"/>
              </w:rPr>
              <w:t>Sąlygos</w:t>
            </w:r>
          </w:p>
        </w:tc>
        <w:tc>
          <w:tcPr>
            <w:tcW w:w="3861" w:type="dxa"/>
            <w:vAlign w:val="center"/>
          </w:tcPr>
          <w:p w:rsidR="0073052D" w:rsidRPr="004273CC" w:rsidRDefault="0073052D" w:rsidP="0097151D">
            <w:pPr>
              <w:tabs>
                <w:tab w:val="left" w:pos="510"/>
              </w:tabs>
              <w:jc w:val="center"/>
              <w:rPr>
                <w:b/>
                <w:lang w:val="lt-LT"/>
              </w:rPr>
            </w:pPr>
            <w:r w:rsidRPr="004273CC">
              <w:rPr>
                <w:b/>
                <w:lang w:val="lt-LT"/>
              </w:rPr>
              <w:t>Veiksniai</w:t>
            </w:r>
          </w:p>
        </w:tc>
        <w:tc>
          <w:tcPr>
            <w:tcW w:w="1100" w:type="dxa"/>
          </w:tcPr>
          <w:p w:rsidR="0073052D" w:rsidRPr="004273CC" w:rsidRDefault="0073052D" w:rsidP="0097151D">
            <w:pPr>
              <w:tabs>
                <w:tab w:val="left" w:pos="510"/>
              </w:tabs>
              <w:jc w:val="center"/>
              <w:rPr>
                <w:lang w:val="lt-LT"/>
              </w:rPr>
            </w:pPr>
            <w:r w:rsidRPr="004273CC">
              <w:rPr>
                <w:lang w:val="lt-LT"/>
              </w:rPr>
              <w:t>Tikimybė (1-5)</w:t>
            </w:r>
          </w:p>
        </w:tc>
        <w:tc>
          <w:tcPr>
            <w:tcW w:w="851" w:type="dxa"/>
            <w:gridSpan w:val="2"/>
          </w:tcPr>
          <w:p w:rsidR="0073052D" w:rsidRPr="004273CC" w:rsidRDefault="0073052D" w:rsidP="0097151D">
            <w:pPr>
              <w:tabs>
                <w:tab w:val="left" w:pos="510"/>
              </w:tabs>
              <w:jc w:val="center"/>
              <w:rPr>
                <w:lang w:val="lt-LT"/>
              </w:rPr>
            </w:pPr>
            <w:r w:rsidRPr="004273CC">
              <w:rPr>
                <w:lang w:val="lt-LT"/>
              </w:rPr>
              <w:t>Įtaka</w:t>
            </w:r>
          </w:p>
          <w:p w:rsidR="0073052D" w:rsidRPr="004273CC" w:rsidRDefault="0073052D" w:rsidP="0097151D">
            <w:pPr>
              <w:tabs>
                <w:tab w:val="left" w:pos="510"/>
              </w:tabs>
              <w:jc w:val="center"/>
              <w:rPr>
                <w:lang w:val="lt-LT"/>
              </w:rPr>
            </w:pPr>
            <w:r w:rsidRPr="004273CC">
              <w:rPr>
                <w:lang w:val="lt-LT"/>
              </w:rPr>
              <w:t>(1-5)</w:t>
            </w:r>
          </w:p>
        </w:tc>
        <w:tc>
          <w:tcPr>
            <w:tcW w:w="1134" w:type="dxa"/>
            <w:gridSpan w:val="2"/>
          </w:tcPr>
          <w:p w:rsidR="0073052D" w:rsidRPr="004273CC" w:rsidRDefault="0073052D" w:rsidP="0097151D">
            <w:pPr>
              <w:tabs>
                <w:tab w:val="left" w:pos="510"/>
              </w:tabs>
              <w:jc w:val="center"/>
              <w:rPr>
                <w:lang w:val="lt-LT"/>
              </w:rPr>
            </w:pPr>
            <w:r w:rsidRPr="004273CC">
              <w:rPr>
                <w:lang w:val="lt-LT"/>
              </w:rPr>
              <w:t>Tikimybė * Įtaka</w:t>
            </w:r>
          </w:p>
        </w:tc>
        <w:tc>
          <w:tcPr>
            <w:tcW w:w="1417" w:type="dxa"/>
            <w:gridSpan w:val="2"/>
            <w:vMerge/>
          </w:tcPr>
          <w:p w:rsidR="0073052D" w:rsidRPr="004273CC" w:rsidRDefault="0073052D" w:rsidP="0097151D">
            <w:pPr>
              <w:tabs>
                <w:tab w:val="left" w:pos="510"/>
              </w:tabs>
              <w:jc w:val="center"/>
              <w:rPr>
                <w:b/>
                <w:lang w:val="lt-LT"/>
              </w:rPr>
            </w:pPr>
          </w:p>
        </w:tc>
        <w:tc>
          <w:tcPr>
            <w:tcW w:w="1134" w:type="dxa"/>
          </w:tcPr>
          <w:p w:rsidR="0073052D" w:rsidRPr="004273CC" w:rsidRDefault="0073052D" w:rsidP="0097151D">
            <w:pPr>
              <w:tabs>
                <w:tab w:val="left" w:pos="510"/>
              </w:tabs>
              <w:jc w:val="center"/>
              <w:rPr>
                <w:lang w:val="lt-LT"/>
              </w:rPr>
            </w:pPr>
            <w:r w:rsidRPr="004273CC">
              <w:rPr>
                <w:lang w:val="lt-LT"/>
              </w:rPr>
              <w:t>Tikimybė (1-5)</w:t>
            </w:r>
          </w:p>
        </w:tc>
        <w:tc>
          <w:tcPr>
            <w:tcW w:w="992" w:type="dxa"/>
          </w:tcPr>
          <w:p w:rsidR="0073052D" w:rsidRPr="004273CC" w:rsidRDefault="0073052D" w:rsidP="0097151D">
            <w:pPr>
              <w:tabs>
                <w:tab w:val="left" w:pos="510"/>
              </w:tabs>
              <w:jc w:val="center"/>
              <w:rPr>
                <w:lang w:val="lt-LT"/>
              </w:rPr>
            </w:pPr>
            <w:r w:rsidRPr="004273CC">
              <w:rPr>
                <w:lang w:val="lt-LT"/>
              </w:rPr>
              <w:t>Įtaka</w:t>
            </w:r>
          </w:p>
          <w:p w:rsidR="0073052D" w:rsidRPr="004273CC" w:rsidRDefault="0073052D" w:rsidP="0097151D">
            <w:pPr>
              <w:tabs>
                <w:tab w:val="left" w:pos="510"/>
              </w:tabs>
              <w:jc w:val="center"/>
              <w:rPr>
                <w:lang w:val="lt-LT"/>
              </w:rPr>
            </w:pPr>
            <w:r w:rsidRPr="004273CC">
              <w:rPr>
                <w:lang w:val="lt-LT"/>
              </w:rPr>
              <w:t>(1-5)</w:t>
            </w:r>
          </w:p>
        </w:tc>
        <w:tc>
          <w:tcPr>
            <w:tcW w:w="1134" w:type="dxa"/>
          </w:tcPr>
          <w:p w:rsidR="0073052D" w:rsidRPr="004273CC" w:rsidRDefault="0073052D" w:rsidP="0097151D">
            <w:pPr>
              <w:tabs>
                <w:tab w:val="left" w:pos="510"/>
              </w:tabs>
              <w:jc w:val="center"/>
              <w:rPr>
                <w:lang w:val="lt-LT"/>
              </w:rPr>
            </w:pPr>
            <w:r w:rsidRPr="004273CC">
              <w:rPr>
                <w:lang w:val="lt-LT"/>
              </w:rPr>
              <w:t>Tikimybė * Įtaka</w:t>
            </w:r>
          </w:p>
        </w:tc>
        <w:tc>
          <w:tcPr>
            <w:tcW w:w="1276" w:type="dxa"/>
            <w:vMerge/>
          </w:tcPr>
          <w:p w:rsidR="0073052D" w:rsidRPr="004273CC" w:rsidRDefault="0073052D" w:rsidP="0097151D">
            <w:pPr>
              <w:tabs>
                <w:tab w:val="left" w:pos="510"/>
              </w:tabs>
              <w:jc w:val="center"/>
              <w:rPr>
                <w:b/>
                <w:lang w:val="lt-LT"/>
              </w:rPr>
            </w:pPr>
          </w:p>
        </w:tc>
      </w:tr>
      <w:tr w:rsidR="00FF6302" w:rsidRPr="004273CC" w:rsidTr="00E14D71">
        <w:trPr>
          <w:tblHeader/>
        </w:trPr>
        <w:tc>
          <w:tcPr>
            <w:tcW w:w="959" w:type="dxa"/>
            <w:vMerge w:val="restart"/>
            <w:textDirection w:val="btLr"/>
          </w:tcPr>
          <w:p w:rsidR="00FF6302" w:rsidRPr="000B74B1" w:rsidRDefault="00FF6302" w:rsidP="0073052D">
            <w:pPr>
              <w:tabs>
                <w:tab w:val="left" w:pos="510"/>
              </w:tabs>
              <w:ind w:left="113" w:right="113"/>
              <w:jc w:val="center"/>
              <w:rPr>
                <w:b/>
                <w:lang w:val="lt-LT"/>
              </w:rPr>
            </w:pPr>
            <w:r w:rsidRPr="000B74B1">
              <w:rPr>
                <w:b/>
                <w:lang w:val="lt-LT"/>
              </w:rPr>
              <w:t>3. Konkurencinės</w:t>
            </w:r>
          </w:p>
          <w:p w:rsidR="00FF6302" w:rsidRPr="000B74B1" w:rsidRDefault="00FF6302" w:rsidP="00FF6302">
            <w:pPr>
              <w:tabs>
                <w:tab w:val="left" w:pos="510"/>
              </w:tabs>
              <w:ind w:left="113" w:right="113"/>
              <w:rPr>
                <w:b/>
                <w:lang w:val="lt-LT"/>
              </w:rPr>
            </w:pPr>
          </w:p>
        </w:tc>
        <w:tc>
          <w:tcPr>
            <w:tcW w:w="3861" w:type="dxa"/>
          </w:tcPr>
          <w:p w:rsidR="00FF6302" w:rsidRPr="004273CC" w:rsidRDefault="00FF6302" w:rsidP="0097151D">
            <w:pPr>
              <w:tabs>
                <w:tab w:val="left" w:pos="510"/>
              </w:tabs>
              <w:jc w:val="both"/>
              <w:rPr>
                <w:lang w:val="lt-LT"/>
              </w:rPr>
            </w:pPr>
            <w:r w:rsidRPr="004273CC">
              <w:rPr>
                <w:lang w:val="lt-LT"/>
              </w:rPr>
              <w:t>Ūkio šakoje pasireiškia staigus augimas/nuosmukis ar permainos</w:t>
            </w:r>
            <w:r>
              <w:rPr>
                <w:lang w:val="lt-LT"/>
              </w:rPr>
              <w:t>, daug ūkio šakos įmonių bankrutuoja</w:t>
            </w:r>
          </w:p>
        </w:tc>
        <w:tc>
          <w:tcPr>
            <w:tcW w:w="1100" w:type="dxa"/>
          </w:tcPr>
          <w:p w:rsidR="00FF6302" w:rsidRPr="004273CC" w:rsidRDefault="00FF6302" w:rsidP="0097151D">
            <w:pPr>
              <w:tabs>
                <w:tab w:val="left" w:pos="510"/>
              </w:tabs>
              <w:jc w:val="both"/>
              <w:rPr>
                <w:lang w:val="lt-LT"/>
              </w:rPr>
            </w:pPr>
          </w:p>
        </w:tc>
        <w:tc>
          <w:tcPr>
            <w:tcW w:w="851" w:type="dxa"/>
            <w:gridSpan w:val="2"/>
          </w:tcPr>
          <w:p w:rsidR="00FF6302" w:rsidRPr="004273CC" w:rsidRDefault="00FF6302" w:rsidP="0097151D">
            <w:pPr>
              <w:tabs>
                <w:tab w:val="left" w:pos="510"/>
              </w:tabs>
              <w:jc w:val="both"/>
              <w:rPr>
                <w:lang w:val="lt-LT"/>
              </w:rPr>
            </w:pPr>
          </w:p>
        </w:tc>
        <w:tc>
          <w:tcPr>
            <w:tcW w:w="1134" w:type="dxa"/>
            <w:gridSpan w:val="2"/>
          </w:tcPr>
          <w:p w:rsidR="00FF6302" w:rsidRPr="004273CC" w:rsidRDefault="00FF6302" w:rsidP="0097151D">
            <w:pPr>
              <w:tabs>
                <w:tab w:val="left" w:pos="510"/>
              </w:tabs>
              <w:jc w:val="both"/>
              <w:rPr>
                <w:lang w:val="lt-LT"/>
              </w:rPr>
            </w:pPr>
          </w:p>
        </w:tc>
        <w:tc>
          <w:tcPr>
            <w:tcW w:w="1417" w:type="dxa"/>
            <w:gridSpan w:val="2"/>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992" w:type="dxa"/>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1276" w:type="dxa"/>
          </w:tcPr>
          <w:p w:rsidR="00FF6302" w:rsidRPr="004273CC" w:rsidRDefault="00FF6302" w:rsidP="0097151D">
            <w:pPr>
              <w:tabs>
                <w:tab w:val="left" w:pos="510"/>
              </w:tabs>
              <w:jc w:val="both"/>
              <w:rPr>
                <w:lang w:val="lt-LT"/>
              </w:rPr>
            </w:pPr>
          </w:p>
        </w:tc>
      </w:tr>
      <w:tr w:rsidR="00FF6302" w:rsidRPr="004273CC" w:rsidTr="00E14D71">
        <w:trPr>
          <w:tblHeader/>
        </w:trPr>
        <w:tc>
          <w:tcPr>
            <w:tcW w:w="959" w:type="dxa"/>
            <w:vMerge/>
          </w:tcPr>
          <w:p w:rsidR="00FF6302" w:rsidRPr="000B74B1" w:rsidRDefault="00FF6302" w:rsidP="00FF6302">
            <w:pPr>
              <w:tabs>
                <w:tab w:val="left" w:pos="510"/>
              </w:tabs>
              <w:ind w:left="113" w:right="113"/>
              <w:jc w:val="center"/>
              <w:rPr>
                <w:b/>
                <w:lang w:val="lt-LT"/>
              </w:rPr>
            </w:pPr>
          </w:p>
        </w:tc>
        <w:tc>
          <w:tcPr>
            <w:tcW w:w="3861" w:type="dxa"/>
          </w:tcPr>
          <w:p w:rsidR="00FF6302" w:rsidRPr="004273CC" w:rsidRDefault="00FF6302" w:rsidP="0097151D">
            <w:pPr>
              <w:tabs>
                <w:tab w:val="left" w:pos="510"/>
              </w:tabs>
              <w:jc w:val="both"/>
              <w:rPr>
                <w:lang w:val="lt-LT"/>
              </w:rPr>
            </w:pPr>
            <w:r w:rsidRPr="004273CC">
              <w:rPr>
                <w:lang w:val="lt-LT"/>
              </w:rPr>
              <w:t xml:space="preserve">Vyksta </w:t>
            </w:r>
            <w:r>
              <w:rPr>
                <w:lang w:val="lt-LT"/>
              </w:rPr>
              <w:t xml:space="preserve">neigiamos </w:t>
            </w:r>
            <w:r w:rsidRPr="004273CC">
              <w:rPr>
                <w:lang w:val="lt-LT"/>
              </w:rPr>
              <w:t>permainos tiekimo grandinėje (brangsta pagrindinė žaliava, laiku negaunamos reikalingos žaliavos, keičiasi tiekėjų nustatomos sąlygos, prarandamas vienintelis tiekėjas)</w:t>
            </w:r>
          </w:p>
        </w:tc>
        <w:tc>
          <w:tcPr>
            <w:tcW w:w="1100" w:type="dxa"/>
          </w:tcPr>
          <w:p w:rsidR="00FF6302" w:rsidRPr="004273CC" w:rsidRDefault="00FF6302" w:rsidP="0097151D">
            <w:pPr>
              <w:tabs>
                <w:tab w:val="left" w:pos="510"/>
              </w:tabs>
              <w:jc w:val="both"/>
              <w:rPr>
                <w:lang w:val="lt-LT"/>
              </w:rPr>
            </w:pPr>
          </w:p>
        </w:tc>
        <w:tc>
          <w:tcPr>
            <w:tcW w:w="851" w:type="dxa"/>
            <w:gridSpan w:val="2"/>
          </w:tcPr>
          <w:p w:rsidR="00FF6302" w:rsidRPr="004273CC" w:rsidRDefault="00FF6302" w:rsidP="0097151D">
            <w:pPr>
              <w:tabs>
                <w:tab w:val="left" w:pos="510"/>
              </w:tabs>
              <w:jc w:val="both"/>
              <w:rPr>
                <w:lang w:val="lt-LT"/>
              </w:rPr>
            </w:pPr>
          </w:p>
        </w:tc>
        <w:tc>
          <w:tcPr>
            <w:tcW w:w="1134" w:type="dxa"/>
            <w:gridSpan w:val="2"/>
          </w:tcPr>
          <w:p w:rsidR="00FF6302" w:rsidRPr="004273CC" w:rsidRDefault="00FF6302" w:rsidP="0097151D">
            <w:pPr>
              <w:tabs>
                <w:tab w:val="left" w:pos="510"/>
              </w:tabs>
              <w:jc w:val="both"/>
              <w:rPr>
                <w:lang w:val="lt-LT"/>
              </w:rPr>
            </w:pPr>
          </w:p>
        </w:tc>
        <w:tc>
          <w:tcPr>
            <w:tcW w:w="1417" w:type="dxa"/>
            <w:gridSpan w:val="2"/>
          </w:tcPr>
          <w:p w:rsidR="00FF6302" w:rsidRPr="004273CC" w:rsidRDefault="00FF6302" w:rsidP="0097151D">
            <w:pPr>
              <w:tabs>
                <w:tab w:val="left" w:pos="510"/>
              </w:tabs>
              <w:jc w:val="both"/>
              <w:rPr>
                <w:lang w:val="lt-LT"/>
              </w:rPr>
            </w:pPr>
            <w:r>
              <w:rPr>
                <w:lang w:val="lt-LT"/>
              </w:rPr>
              <w:t xml:space="preserve">Žaliavos kaina krito metų pab. </w:t>
            </w:r>
          </w:p>
        </w:tc>
        <w:tc>
          <w:tcPr>
            <w:tcW w:w="1134" w:type="dxa"/>
          </w:tcPr>
          <w:p w:rsidR="00FF6302" w:rsidRPr="004273CC" w:rsidRDefault="00FF6302" w:rsidP="0097151D">
            <w:pPr>
              <w:tabs>
                <w:tab w:val="left" w:pos="510"/>
              </w:tabs>
              <w:jc w:val="both"/>
              <w:rPr>
                <w:lang w:val="lt-LT"/>
              </w:rPr>
            </w:pPr>
          </w:p>
        </w:tc>
        <w:tc>
          <w:tcPr>
            <w:tcW w:w="992" w:type="dxa"/>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1276" w:type="dxa"/>
          </w:tcPr>
          <w:p w:rsidR="00FF6302" w:rsidRPr="004273CC" w:rsidRDefault="00FF6302" w:rsidP="0097151D">
            <w:pPr>
              <w:tabs>
                <w:tab w:val="left" w:pos="510"/>
              </w:tabs>
              <w:jc w:val="both"/>
              <w:rPr>
                <w:lang w:val="lt-LT"/>
              </w:rPr>
            </w:pPr>
          </w:p>
        </w:tc>
      </w:tr>
      <w:tr w:rsidR="00FF6302" w:rsidRPr="004273CC" w:rsidTr="00E14D71">
        <w:trPr>
          <w:tblHeader/>
        </w:trPr>
        <w:tc>
          <w:tcPr>
            <w:tcW w:w="959" w:type="dxa"/>
            <w:vMerge/>
          </w:tcPr>
          <w:p w:rsidR="00FF6302" w:rsidRPr="000B74B1" w:rsidRDefault="00FF6302" w:rsidP="00FF6302">
            <w:pPr>
              <w:tabs>
                <w:tab w:val="left" w:pos="510"/>
              </w:tabs>
              <w:ind w:left="113" w:right="113"/>
              <w:jc w:val="center"/>
              <w:rPr>
                <w:b/>
                <w:lang w:val="lt-LT"/>
              </w:rPr>
            </w:pPr>
          </w:p>
        </w:tc>
        <w:tc>
          <w:tcPr>
            <w:tcW w:w="3861" w:type="dxa"/>
          </w:tcPr>
          <w:p w:rsidR="00FF6302" w:rsidRPr="004273CC" w:rsidRDefault="00FF6302" w:rsidP="0097151D">
            <w:pPr>
              <w:tabs>
                <w:tab w:val="left" w:pos="510"/>
              </w:tabs>
              <w:jc w:val="both"/>
              <w:rPr>
                <w:lang w:val="lt-LT"/>
              </w:rPr>
            </w:pPr>
            <w:r>
              <w:rPr>
                <w:lang w:val="lt-LT"/>
              </w:rPr>
              <w:t>Įmonės finansiniai rodikliai žymiai skiriasi nuo vidutinių ūkio šakos rodiklių</w:t>
            </w:r>
          </w:p>
        </w:tc>
        <w:tc>
          <w:tcPr>
            <w:tcW w:w="1100" w:type="dxa"/>
          </w:tcPr>
          <w:p w:rsidR="00FF6302" w:rsidRPr="004273CC" w:rsidRDefault="00FF6302" w:rsidP="0097151D">
            <w:pPr>
              <w:tabs>
                <w:tab w:val="left" w:pos="510"/>
              </w:tabs>
              <w:jc w:val="both"/>
              <w:rPr>
                <w:lang w:val="lt-LT"/>
              </w:rPr>
            </w:pPr>
          </w:p>
        </w:tc>
        <w:tc>
          <w:tcPr>
            <w:tcW w:w="851" w:type="dxa"/>
            <w:gridSpan w:val="2"/>
          </w:tcPr>
          <w:p w:rsidR="00FF6302" w:rsidRPr="004273CC" w:rsidRDefault="00FF6302" w:rsidP="0097151D">
            <w:pPr>
              <w:tabs>
                <w:tab w:val="left" w:pos="510"/>
              </w:tabs>
              <w:jc w:val="both"/>
              <w:rPr>
                <w:lang w:val="lt-LT"/>
              </w:rPr>
            </w:pPr>
          </w:p>
        </w:tc>
        <w:tc>
          <w:tcPr>
            <w:tcW w:w="1134" w:type="dxa"/>
            <w:gridSpan w:val="2"/>
          </w:tcPr>
          <w:p w:rsidR="00FF6302" w:rsidRPr="004273CC" w:rsidRDefault="00FF6302" w:rsidP="0097151D">
            <w:pPr>
              <w:tabs>
                <w:tab w:val="left" w:pos="510"/>
              </w:tabs>
              <w:jc w:val="both"/>
              <w:rPr>
                <w:lang w:val="lt-LT"/>
              </w:rPr>
            </w:pPr>
          </w:p>
        </w:tc>
        <w:tc>
          <w:tcPr>
            <w:tcW w:w="1417" w:type="dxa"/>
            <w:gridSpan w:val="2"/>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992" w:type="dxa"/>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1276" w:type="dxa"/>
          </w:tcPr>
          <w:p w:rsidR="00FF6302" w:rsidRPr="004273CC" w:rsidRDefault="00FF6302" w:rsidP="0097151D">
            <w:pPr>
              <w:tabs>
                <w:tab w:val="left" w:pos="510"/>
              </w:tabs>
              <w:jc w:val="both"/>
              <w:rPr>
                <w:lang w:val="lt-LT"/>
              </w:rPr>
            </w:pPr>
          </w:p>
        </w:tc>
      </w:tr>
      <w:tr w:rsidR="00FF6302" w:rsidRPr="004273CC" w:rsidTr="00E14D71">
        <w:trPr>
          <w:tblHeader/>
        </w:trPr>
        <w:tc>
          <w:tcPr>
            <w:tcW w:w="959" w:type="dxa"/>
            <w:vMerge/>
          </w:tcPr>
          <w:p w:rsidR="00FF6302" w:rsidRPr="000B74B1" w:rsidRDefault="00FF6302" w:rsidP="00FF6302">
            <w:pPr>
              <w:tabs>
                <w:tab w:val="left" w:pos="510"/>
              </w:tabs>
              <w:ind w:left="113" w:right="113"/>
              <w:jc w:val="center"/>
              <w:rPr>
                <w:b/>
                <w:lang w:val="lt-LT"/>
              </w:rPr>
            </w:pPr>
          </w:p>
        </w:tc>
        <w:tc>
          <w:tcPr>
            <w:tcW w:w="3861" w:type="dxa"/>
          </w:tcPr>
          <w:p w:rsidR="00FF6302" w:rsidRPr="004273CC" w:rsidRDefault="00FF6302" w:rsidP="0097151D">
            <w:pPr>
              <w:tabs>
                <w:tab w:val="left" w:pos="510"/>
              </w:tabs>
              <w:jc w:val="both"/>
              <w:rPr>
                <w:lang w:val="lt-LT"/>
              </w:rPr>
            </w:pPr>
            <w:r w:rsidRPr="004273CC">
              <w:rPr>
                <w:lang w:val="lt-LT"/>
              </w:rPr>
              <w:t xml:space="preserve">Jaučiamas klientų poreikio sumažėjimas (mažėjanti produkcijos/paslaugų paklausa) </w:t>
            </w:r>
          </w:p>
        </w:tc>
        <w:tc>
          <w:tcPr>
            <w:tcW w:w="1100" w:type="dxa"/>
          </w:tcPr>
          <w:p w:rsidR="00FF6302" w:rsidRPr="004273CC" w:rsidRDefault="00FF6302" w:rsidP="0097151D">
            <w:pPr>
              <w:tabs>
                <w:tab w:val="left" w:pos="510"/>
              </w:tabs>
              <w:jc w:val="both"/>
              <w:rPr>
                <w:lang w:val="lt-LT"/>
              </w:rPr>
            </w:pPr>
          </w:p>
        </w:tc>
        <w:tc>
          <w:tcPr>
            <w:tcW w:w="851" w:type="dxa"/>
            <w:gridSpan w:val="2"/>
          </w:tcPr>
          <w:p w:rsidR="00FF6302" w:rsidRPr="004273CC" w:rsidRDefault="00FF6302" w:rsidP="0097151D">
            <w:pPr>
              <w:tabs>
                <w:tab w:val="left" w:pos="510"/>
              </w:tabs>
              <w:jc w:val="both"/>
              <w:rPr>
                <w:lang w:val="lt-LT"/>
              </w:rPr>
            </w:pPr>
          </w:p>
        </w:tc>
        <w:tc>
          <w:tcPr>
            <w:tcW w:w="1134" w:type="dxa"/>
            <w:gridSpan w:val="2"/>
          </w:tcPr>
          <w:p w:rsidR="00FF6302" w:rsidRPr="004273CC" w:rsidRDefault="00FF6302" w:rsidP="0097151D">
            <w:pPr>
              <w:tabs>
                <w:tab w:val="left" w:pos="510"/>
              </w:tabs>
              <w:jc w:val="both"/>
              <w:rPr>
                <w:lang w:val="lt-LT"/>
              </w:rPr>
            </w:pPr>
          </w:p>
        </w:tc>
        <w:tc>
          <w:tcPr>
            <w:tcW w:w="1417" w:type="dxa"/>
            <w:gridSpan w:val="2"/>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992" w:type="dxa"/>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1276" w:type="dxa"/>
          </w:tcPr>
          <w:p w:rsidR="00FF6302" w:rsidRPr="004273CC" w:rsidRDefault="00FF6302" w:rsidP="0097151D">
            <w:pPr>
              <w:tabs>
                <w:tab w:val="left" w:pos="510"/>
              </w:tabs>
              <w:jc w:val="both"/>
              <w:rPr>
                <w:lang w:val="lt-LT"/>
              </w:rPr>
            </w:pPr>
          </w:p>
        </w:tc>
      </w:tr>
      <w:tr w:rsidR="00FF6302" w:rsidRPr="004273CC" w:rsidTr="00E14D71">
        <w:trPr>
          <w:tblHeader/>
        </w:trPr>
        <w:tc>
          <w:tcPr>
            <w:tcW w:w="959" w:type="dxa"/>
            <w:vMerge/>
          </w:tcPr>
          <w:p w:rsidR="00FF6302" w:rsidRPr="000B74B1" w:rsidRDefault="00FF6302" w:rsidP="00FF6302">
            <w:pPr>
              <w:tabs>
                <w:tab w:val="left" w:pos="510"/>
              </w:tabs>
              <w:ind w:left="113" w:right="113"/>
              <w:jc w:val="center"/>
              <w:rPr>
                <w:b/>
                <w:lang w:val="lt-LT"/>
              </w:rPr>
            </w:pPr>
          </w:p>
        </w:tc>
        <w:tc>
          <w:tcPr>
            <w:tcW w:w="3861" w:type="dxa"/>
          </w:tcPr>
          <w:p w:rsidR="00FF6302" w:rsidRDefault="00FF6302" w:rsidP="0097151D">
            <w:pPr>
              <w:tabs>
                <w:tab w:val="left" w:pos="510"/>
              </w:tabs>
              <w:jc w:val="both"/>
              <w:rPr>
                <w:lang w:val="lt-LT"/>
              </w:rPr>
            </w:pPr>
            <w:r w:rsidRPr="004273CC">
              <w:rPr>
                <w:lang w:val="lt-LT"/>
              </w:rPr>
              <w:t>Problemos su produkcijos/paslaugų pirkėjais (prarandamas vienintelis pirkėjas</w:t>
            </w:r>
            <w:r>
              <w:rPr>
                <w:lang w:val="lt-LT"/>
              </w:rPr>
              <w:t>, produkcijos pardavimo kaina artima gamybos savikainai, atsiskaitymų sutrikimas</w:t>
            </w:r>
            <w:r w:rsidRPr="004273CC">
              <w:rPr>
                <w:lang w:val="lt-LT"/>
              </w:rPr>
              <w:t>)</w:t>
            </w:r>
          </w:p>
          <w:p w:rsidR="00FF6302" w:rsidRPr="004273CC" w:rsidRDefault="00FF6302" w:rsidP="0097151D">
            <w:pPr>
              <w:tabs>
                <w:tab w:val="left" w:pos="510"/>
              </w:tabs>
              <w:jc w:val="both"/>
              <w:rPr>
                <w:lang w:val="lt-LT"/>
              </w:rPr>
            </w:pPr>
          </w:p>
        </w:tc>
        <w:tc>
          <w:tcPr>
            <w:tcW w:w="1100" w:type="dxa"/>
          </w:tcPr>
          <w:p w:rsidR="00FF6302" w:rsidRPr="004273CC" w:rsidRDefault="00FF6302" w:rsidP="0097151D">
            <w:pPr>
              <w:tabs>
                <w:tab w:val="left" w:pos="510"/>
              </w:tabs>
              <w:jc w:val="both"/>
              <w:rPr>
                <w:lang w:val="lt-LT"/>
              </w:rPr>
            </w:pPr>
            <w:r>
              <w:rPr>
                <w:lang w:val="lt-LT"/>
              </w:rPr>
              <w:t>3</w:t>
            </w:r>
          </w:p>
        </w:tc>
        <w:tc>
          <w:tcPr>
            <w:tcW w:w="851" w:type="dxa"/>
            <w:gridSpan w:val="2"/>
          </w:tcPr>
          <w:p w:rsidR="00FF6302" w:rsidRPr="004273CC" w:rsidRDefault="00FF6302" w:rsidP="0097151D">
            <w:pPr>
              <w:tabs>
                <w:tab w:val="left" w:pos="510"/>
              </w:tabs>
              <w:jc w:val="both"/>
              <w:rPr>
                <w:lang w:val="lt-LT"/>
              </w:rPr>
            </w:pPr>
            <w:r>
              <w:rPr>
                <w:lang w:val="lt-LT"/>
              </w:rPr>
              <w:t>4</w:t>
            </w:r>
          </w:p>
        </w:tc>
        <w:tc>
          <w:tcPr>
            <w:tcW w:w="1134" w:type="dxa"/>
            <w:gridSpan w:val="2"/>
          </w:tcPr>
          <w:p w:rsidR="00FF6302" w:rsidRPr="004273CC" w:rsidRDefault="00FF6302" w:rsidP="0097151D">
            <w:pPr>
              <w:tabs>
                <w:tab w:val="left" w:pos="510"/>
              </w:tabs>
              <w:jc w:val="both"/>
              <w:rPr>
                <w:lang w:val="lt-LT"/>
              </w:rPr>
            </w:pPr>
            <w:r>
              <w:rPr>
                <w:lang w:val="lt-LT"/>
              </w:rPr>
              <w:t>12</w:t>
            </w:r>
          </w:p>
        </w:tc>
        <w:tc>
          <w:tcPr>
            <w:tcW w:w="1417" w:type="dxa"/>
            <w:gridSpan w:val="2"/>
          </w:tcPr>
          <w:p w:rsidR="00FF6302" w:rsidRPr="004273CC" w:rsidRDefault="00FF6302" w:rsidP="0097151D">
            <w:pPr>
              <w:tabs>
                <w:tab w:val="left" w:pos="510"/>
              </w:tabs>
              <w:jc w:val="both"/>
              <w:rPr>
                <w:lang w:val="lt-LT"/>
              </w:rPr>
            </w:pPr>
            <w:r>
              <w:rPr>
                <w:lang w:val="lt-LT"/>
              </w:rPr>
              <w:t>Pirkėjų įsisk. – Įvertinimas</w:t>
            </w:r>
          </w:p>
        </w:tc>
        <w:tc>
          <w:tcPr>
            <w:tcW w:w="1134" w:type="dxa"/>
          </w:tcPr>
          <w:p w:rsidR="00FF6302" w:rsidRPr="004273CC" w:rsidRDefault="00FF6302" w:rsidP="0097151D">
            <w:pPr>
              <w:tabs>
                <w:tab w:val="left" w:pos="510"/>
              </w:tabs>
              <w:jc w:val="both"/>
              <w:rPr>
                <w:lang w:val="lt-LT"/>
              </w:rPr>
            </w:pPr>
          </w:p>
        </w:tc>
        <w:tc>
          <w:tcPr>
            <w:tcW w:w="992" w:type="dxa"/>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1276" w:type="dxa"/>
          </w:tcPr>
          <w:p w:rsidR="00FF6302" w:rsidRPr="004273CC" w:rsidRDefault="00FF6302" w:rsidP="0097151D">
            <w:pPr>
              <w:tabs>
                <w:tab w:val="left" w:pos="510"/>
              </w:tabs>
              <w:jc w:val="both"/>
              <w:rPr>
                <w:lang w:val="lt-LT"/>
              </w:rPr>
            </w:pPr>
          </w:p>
        </w:tc>
      </w:tr>
      <w:tr w:rsidR="00FF6302" w:rsidRPr="004273CC" w:rsidTr="00E14D71">
        <w:trPr>
          <w:trHeight w:val="611"/>
          <w:tblHeader/>
        </w:trPr>
        <w:tc>
          <w:tcPr>
            <w:tcW w:w="959" w:type="dxa"/>
            <w:vMerge/>
            <w:textDirection w:val="btLr"/>
          </w:tcPr>
          <w:p w:rsidR="00FF6302" w:rsidRPr="000B74B1" w:rsidRDefault="00FF6302" w:rsidP="0097151D">
            <w:pPr>
              <w:tabs>
                <w:tab w:val="left" w:pos="510"/>
              </w:tabs>
              <w:ind w:left="113" w:right="113"/>
              <w:jc w:val="center"/>
              <w:rPr>
                <w:b/>
                <w:lang w:val="lt-LT"/>
              </w:rPr>
            </w:pPr>
          </w:p>
        </w:tc>
        <w:tc>
          <w:tcPr>
            <w:tcW w:w="3861" w:type="dxa"/>
          </w:tcPr>
          <w:p w:rsidR="00FF6302" w:rsidRPr="004273CC" w:rsidRDefault="00FF6302" w:rsidP="0097151D">
            <w:pPr>
              <w:tabs>
                <w:tab w:val="left" w:pos="510"/>
              </w:tabs>
              <w:jc w:val="both"/>
              <w:rPr>
                <w:lang w:val="lt-LT"/>
              </w:rPr>
            </w:pPr>
            <w:r w:rsidRPr="004273CC">
              <w:rPr>
                <w:lang w:val="lt-LT"/>
              </w:rPr>
              <w:t>IT aplinkos pokyčiai (technologiją būtina keisti norint gaminti konkurencingą produkciją/paslaugas tiekti)</w:t>
            </w:r>
          </w:p>
        </w:tc>
        <w:tc>
          <w:tcPr>
            <w:tcW w:w="1100" w:type="dxa"/>
          </w:tcPr>
          <w:p w:rsidR="00FF6302" w:rsidRPr="004273CC" w:rsidRDefault="00FF6302" w:rsidP="0097151D">
            <w:pPr>
              <w:tabs>
                <w:tab w:val="left" w:pos="510"/>
              </w:tabs>
              <w:jc w:val="both"/>
              <w:rPr>
                <w:lang w:val="lt-LT"/>
              </w:rPr>
            </w:pPr>
          </w:p>
        </w:tc>
        <w:tc>
          <w:tcPr>
            <w:tcW w:w="851" w:type="dxa"/>
            <w:gridSpan w:val="2"/>
          </w:tcPr>
          <w:p w:rsidR="00FF6302" w:rsidRPr="004273CC" w:rsidRDefault="00FF6302" w:rsidP="0097151D">
            <w:pPr>
              <w:tabs>
                <w:tab w:val="left" w:pos="510"/>
              </w:tabs>
              <w:jc w:val="both"/>
              <w:rPr>
                <w:lang w:val="lt-LT"/>
              </w:rPr>
            </w:pPr>
          </w:p>
        </w:tc>
        <w:tc>
          <w:tcPr>
            <w:tcW w:w="1134" w:type="dxa"/>
            <w:gridSpan w:val="2"/>
          </w:tcPr>
          <w:p w:rsidR="00FF6302" w:rsidRPr="004273CC" w:rsidRDefault="00FF6302" w:rsidP="0097151D">
            <w:pPr>
              <w:tabs>
                <w:tab w:val="left" w:pos="510"/>
              </w:tabs>
              <w:jc w:val="both"/>
              <w:rPr>
                <w:lang w:val="lt-LT"/>
              </w:rPr>
            </w:pPr>
          </w:p>
        </w:tc>
        <w:tc>
          <w:tcPr>
            <w:tcW w:w="1417" w:type="dxa"/>
            <w:gridSpan w:val="2"/>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992" w:type="dxa"/>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1276" w:type="dxa"/>
          </w:tcPr>
          <w:p w:rsidR="00FF6302" w:rsidRPr="004273CC" w:rsidRDefault="00FF6302" w:rsidP="0097151D">
            <w:pPr>
              <w:tabs>
                <w:tab w:val="left" w:pos="510"/>
              </w:tabs>
              <w:jc w:val="both"/>
              <w:rPr>
                <w:lang w:val="lt-LT"/>
              </w:rPr>
            </w:pPr>
          </w:p>
        </w:tc>
      </w:tr>
      <w:tr w:rsidR="00FF6302" w:rsidRPr="004273CC" w:rsidTr="00E14D71">
        <w:trPr>
          <w:trHeight w:val="563"/>
          <w:tblHeader/>
        </w:trPr>
        <w:tc>
          <w:tcPr>
            <w:tcW w:w="959" w:type="dxa"/>
            <w:vMerge/>
          </w:tcPr>
          <w:p w:rsidR="00FF6302" w:rsidRPr="004273CC" w:rsidRDefault="00FF6302" w:rsidP="0097151D">
            <w:pPr>
              <w:tabs>
                <w:tab w:val="left" w:pos="510"/>
              </w:tabs>
              <w:jc w:val="both"/>
              <w:rPr>
                <w:lang w:val="lt-LT"/>
              </w:rPr>
            </w:pPr>
          </w:p>
        </w:tc>
        <w:tc>
          <w:tcPr>
            <w:tcW w:w="3861" w:type="dxa"/>
          </w:tcPr>
          <w:p w:rsidR="00FF6302" w:rsidRPr="004273CC" w:rsidRDefault="00FF6302" w:rsidP="0097151D">
            <w:pPr>
              <w:tabs>
                <w:tab w:val="left" w:pos="510"/>
              </w:tabs>
              <w:jc w:val="both"/>
              <w:rPr>
                <w:lang w:val="lt-LT"/>
              </w:rPr>
            </w:pPr>
            <w:r w:rsidRPr="004273CC">
              <w:rPr>
                <w:lang w:val="lt-LT"/>
              </w:rPr>
              <w:t>Nesugebėjimas gauti reikiamo personalo su gamybai reikalingais įgūdžiais</w:t>
            </w:r>
          </w:p>
        </w:tc>
        <w:tc>
          <w:tcPr>
            <w:tcW w:w="1100" w:type="dxa"/>
          </w:tcPr>
          <w:p w:rsidR="00FF6302" w:rsidRPr="004273CC" w:rsidRDefault="00FF6302" w:rsidP="0097151D">
            <w:pPr>
              <w:tabs>
                <w:tab w:val="left" w:pos="510"/>
              </w:tabs>
              <w:jc w:val="both"/>
              <w:rPr>
                <w:lang w:val="lt-LT"/>
              </w:rPr>
            </w:pPr>
          </w:p>
        </w:tc>
        <w:tc>
          <w:tcPr>
            <w:tcW w:w="851" w:type="dxa"/>
            <w:gridSpan w:val="2"/>
          </w:tcPr>
          <w:p w:rsidR="00FF6302" w:rsidRPr="004273CC" w:rsidRDefault="00FF6302" w:rsidP="0097151D">
            <w:pPr>
              <w:tabs>
                <w:tab w:val="left" w:pos="510"/>
              </w:tabs>
              <w:jc w:val="both"/>
              <w:rPr>
                <w:lang w:val="lt-LT"/>
              </w:rPr>
            </w:pPr>
          </w:p>
        </w:tc>
        <w:tc>
          <w:tcPr>
            <w:tcW w:w="1134" w:type="dxa"/>
            <w:gridSpan w:val="2"/>
          </w:tcPr>
          <w:p w:rsidR="00FF6302" w:rsidRPr="004273CC" w:rsidRDefault="00FF6302" w:rsidP="0097151D">
            <w:pPr>
              <w:tabs>
                <w:tab w:val="left" w:pos="510"/>
              </w:tabs>
              <w:jc w:val="both"/>
              <w:rPr>
                <w:lang w:val="lt-LT"/>
              </w:rPr>
            </w:pPr>
          </w:p>
        </w:tc>
        <w:tc>
          <w:tcPr>
            <w:tcW w:w="1417" w:type="dxa"/>
            <w:gridSpan w:val="2"/>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r w:rsidRPr="004273CC">
              <w:rPr>
                <w:lang w:val="lt-LT"/>
              </w:rPr>
              <w:t>15</w:t>
            </w:r>
          </w:p>
        </w:tc>
        <w:tc>
          <w:tcPr>
            <w:tcW w:w="992" w:type="dxa"/>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1276" w:type="dxa"/>
          </w:tcPr>
          <w:p w:rsidR="00FF6302" w:rsidRPr="004273CC" w:rsidRDefault="00FF6302" w:rsidP="0097151D">
            <w:pPr>
              <w:tabs>
                <w:tab w:val="left" w:pos="510"/>
              </w:tabs>
              <w:jc w:val="both"/>
              <w:rPr>
                <w:lang w:val="lt-LT"/>
              </w:rPr>
            </w:pPr>
          </w:p>
        </w:tc>
      </w:tr>
      <w:tr w:rsidR="00FF6302" w:rsidRPr="004273CC" w:rsidTr="00E14D71">
        <w:trPr>
          <w:trHeight w:val="685"/>
          <w:tblHeader/>
        </w:trPr>
        <w:tc>
          <w:tcPr>
            <w:tcW w:w="959" w:type="dxa"/>
            <w:vMerge/>
          </w:tcPr>
          <w:p w:rsidR="00FF6302" w:rsidRPr="004273CC" w:rsidRDefault="00FF6302" w:rsidP="0097151D">
            <w:pPr>
              <w:tabs>
                <w:tab w:val="left" w:pos="510"/>
              </w:tabs>
              <w:jc w:val="both"/>
              <w:rPr>
                <w:lang w:val="lt-LT"/>
              </w:rPr>
            </w:pPr>
          </w:p>
        </w:tc>
        <w:tc>
          <w:tcPr>
            <w:tcW w:w="3861" w:type="dxa"/>
          </w:tcPr>
          <w:p w:rsidR="00FF6302" w:rsidRPr="004273CC" w:rsidRDefault="00FF6302" w:rsidP="0097151D">
            <w:pPr>
              <w:tabs>
                <w:tab w:val="left" w:pos="510"/>
              </w:tabs>
              <w:jc w:val="both"/>
              <w:rPr>
                <w:lang w:val="lt-LT"/>
              </w:rPr>
            </w:pPr>
            <w:r w:rsidRPr="004273CC">
              <w:rPr>
                <w:lang w:val="lt-LT"/>
              </w:rPr>
              <w:t>...</w:t>
            </w:r>
          </w:p>
        </w:tc>
        <w:tc>
          <w:tcPr>
            <w:tcW w:w="1100" w:type="dxa"/>
            <w:tcBorders>
              <w:bottom w:val="single" w:sz="4" w:space="0" w:color="auto"/>
            </w:tcBorders>
          </w:tcPr>
          <w:p w:rsidR="00FF6302" w:rsidRPr="004273CC" w:rsidRDefault="00FF6302" w:rsidP="0097151D">
            <w:pPr>
              <w:tabs>
                <w:tab w:val="left" w:pos="510"/>
              </w:tabs>
              <w:jc w:val="both"/>
              <w:rPr>
                <w:lang w:val="lt-LT"/>
              </w:rPr>
            </w:pPr>
          </w:p>
        </w:tc>
        <w:tc>
          <w:tcPr>
            <w:tcW w:w="851" w:type="dxa"/>
            <w:gridSpan w:val="2"/>
          </w:tcPr>
          <w:p w:rsidR="00FF6302" w:rsidRPr="004273CC" w:rsidRDefault="00FF6302" w:rsidP="0097151D">
            <w:pPr>
              <w:tabs>
                <w:tab w:val="left" w:pos="510"/>
              </w:tabs>
              <w:jc w:val="both"/>
              <w:rPr>
                <w:lang w:val="lt-LT"/>
              </w:rPr>
            </w:pPr>
          </w:p>
        </w:tc>
        <w:tc>
          <w:tcPr>
            <w:tcW w:w="1134" w:type="dxa"/>
            <w:gridSpan w:val="2"/>
          </w:tcPr>
          <w:p w:rsidR="00FF6302" w:rsidRPr="004273CC" w:rsidRDefault="00FF6302" w:rsidP="0097151D">
            <w:pPr>
              <w:tabs>
                <w:tab w:val="left" w:pos="510"/>
              </w:tabs>
              <w:jc w:val="both"/>
              <w:rPr>
                <w:lang w:val="lt-LT"/>
              </w:rPr>
            </w:pPr>
          </w:p>
        </w:tc>
        <w:tc>
          <w:tcPr>
            <w:tcW w:w="1417" w:type="dxa"/>
            <w:gridSpan w:val="2"/>
            <w:tcBorders>
              <w:bottom w:val="single" w:sz="4" w:space="0" w:color="auto"/>
            </w:tcBorders>
          </w:tcPr>
          <w:p w:rsidR="00FF6302" w:rsidRPr="004273CC" w:rsidRDefault="00FF6302" w:rsidP="0097151D">
            <w:pPr>
              <w:tabs>
                <w:tab w:val="left" w:pos="510"/>
              </w:tabs>
              <w:jc w:val="both"/>
              <w:rPr>
                <w:lang w:val="lt-LT"/>
              </w:rPr>
            </w:pPr>
          </w:p>
        </w:tc>
        <w:tc>
          <w:tcPr>
            <w:tcW w:w="1134" w:type="dxa"/>
            <w:tcBorders>
              <w:bottom w:val="single" w:sz="4" w:space="0" w:color="auto"/>
            </w:tcBorders>
          </w:tcPr>
          <w:p w:rsidR="00FF6302" w:rsidRPr="004273CC" w:rsidRDefault="00FF6302" w:rsidP="0097151D">
            <w:pPr>
              <w:tabs>
                <w:tab w:val="left" w:pos="510"/>
              </w:tabs>
              <w:jc w:val="both"/>
              <w:rPr>
                <w:lang w:val="lt-LT"/>
              </w:rPr>
            </w:pPr>
            <w:r w:rsidRPr="004273CC">
              <w:rPr>
                <w:lang w:val="lt-LT"/>
              </w:rPr>
              <w:t>70</w:t>
            </w:r>
          </w:p>
        </w:tc>
        <w:tc>
          <w:tcPr>
            <w:tcW w:w="992" w:type="dxa"/>
          </w:tcPr>
          <w:p w:rsidR="00FF6302" w:rsidRPr="004273CC" w:rsidRDefault="00FF6302" w:rsidP="0097151D">
            <w:pPr>
              <w:tabs>
                <w:tab w:val="left" w:pos="510"/>
              </w:tabs>
              <w:jc w:val="both"/>
              <w:rPr>
                <w:lang w:val="lt-LT"/>
              </w:rPr>
            </w:pPr>
          </w:p>
        </w:tc>
        <w:tc>
          <w:tcPr>
            <w:tcW w:w="1134" w:type="dxa"/>
          </w:tcPr>
          <w:p w:rsidR="00FF6302" w:rsidRPr="004273CC" w:rsidRDefault="00FF6302" w:rsidP="0097151D">
            <w:pPr>
              <w:tabs>
                <w:tab w:val="left" w:pos="510"/>
              </w:tabs>
              <w:jc w:val="both"/>
              <w:rPr>
                <w:lang w:val="lt-LT"/>
              </w:rPr>
            </w:pPr>
          </w:p>
        </w:tc>
        <w:tc>
          <w:tcPr>
            <w:tcW w:w="1276" w:type="dxa"/>
          </w:tcPr>
          <w:p w:rsidR="00FF6302" w:rsidRPr="004273CC" w:rsidRDefault="00FF6302" w:rsidP="0097151D">
            <w:pPr>
              <w:tabs>
                <w:tab w:val="left" w:pos="510"/>
              </w:tabs>
              <w:jc w:val="both"/>
              <w:rPr>
                <w:lang w:val="lt-LT"/>
              </w:rPr>
            </w:pPr>
          </w:p>
        </w:tc>
      </w:tr>
      <w:tr w:rsidR="0097151D" w:rsidRPr="004273CC" w:rsidTr="00E14D71">
        <w:trPr>
          <w:gridAfter w:val="1"/>
          <w:wAfter w:w="1276" w:type="dxa"/>
          <w:tblHeader/>
        </w:trPr>
        <w:tc>
          <w:tcPr>
            <w:tcW w:w="4820" w:type="dxa"/>
            <w:gridSpan w:val="2"/>
          </w:tcPr>
          <w:p w:rsidR="0097151D" w:rsidRPr="004273CC" w:rsidRDefault="0097151D" w:rsidP="0097151D">
            <w:pPr>
              <w:tabs>
                <w:tab w:val="left" w:pos="510"/>
              </w:tabs>
              <w:jc w:val="right"/>
              <w:rPr>
                <w:b/>
                <w:lang w:val="lt-LT"/>
              </w:rPr>
            </w:pPr>
            <w:r w:rsidRPr="004273CC">
              <w:rPr>
                <w:b/>
                <w:lang w:val="lt-LT"/>
              </w:rPr>
              <w:t>BENDRA RIZIK</w:t>
            </w:r>
            <w:r>
              <w:rPr>
                <w:b/>
                <w:lang w:val="lt-LT"/>
              </w:rPr>
              <w:t>A</w:t>
            </w:r>
          </w:p>
        </w:tc>
        <w:tc>
          <w:tcPr>
            <w:tcW w:w="1100" w:type="dxa"/>
            <w:shd w:val="clear" w:color="auto" w:fill="D9D9D9"/>
          </w:tcPr>
          <w:p w:rsidR="0097151D" w:rsidRPr="004273CC" w:rsidRDefault="0097151D" w:rsidP="0097151D">
            <w:pPr>
              <w:tabs>
                <w:tab w:val="left" w:pos="510"/>
              </w:tabs>
              <w:jc w:val="right"/>
              <w:rPr>
                <w:lang w:val="lt-LT"/>
              </w:rPr>
            </w:pPr>
            <w:r w:rsidRPr="004273CC">
              <w:rPr>
                <w:b/>
                <w:lang w:val="lt-LT"/>
              </w:rPr>
              <w:t>1 eil.</w:t>
            </w:r>
          </w:p>
        </w:tc>
        <w:tc>
          <w:tcPr>
            <w:tcW w:w="851" w:type="dxa"/>
            <w:gridSpan w:val="2"/>
          </w:tcPr>
          <w:p w:rsidR="0097151D" w:rsidRPr="004273CC" w:rsidRDefault="0097151D" w:rsidP="0097151D">
            <w:pPr>
              <w:tabs>
                <w:tab w:val="left" w:pos="510"/>
              </w:tabs>
              <w:jc w:val="center"/>
              <w:rPr>
                <w:lang w:val="lt-LT"/>
              </w:rPr>
            </w:pPr>
            <w:r>
              <w:rPr>
                <w:lang w:val="lt-LT"/>
              </w:rPr>
              <w:t>X</w:t>
            </w:r>
          </w:p>
        </w:tc>
        <w:tc>
          <w:tcPr>
            <w:tcW w:w="1134" w:type="dxa"/>
            <w:gridSpan w:val="2"/>
            <w:tcBorders>
              <w:bottom w:val="single" w:sz="4" w:space="0" w:color="auto"/>
            </w:tcBorders>
          </w:tcPr>
          <w:p w:rsidR="0097151D" w:rsidRPr="004273CC" w:rsidRDefault="0097151D" w:rsidP="0097151D">
            <w:pPr>
              <w:tabs>
                <w:tab w:val="left" w:pos="510"/>
              </w:tabs>
              <w:jc w:val="center"/>
              <w:rPr>
                <w:b/>
                <w:lang w:val="lt-LT"/>
              </w:rPr>
            </w:pPr>
            <w:r>
              <w:rPr>
                <w:b/>
                <w:lang w:val="lt-LT"/>
              </w:rPr>
              <w:t>12</w:t>
            </w:r>
          </w:p>
        </w:tc>
        <w:tc>
          <w:tcPr>
            <w:tcW w:w="1417" w:type="dxa"/>
            <w:gridSpan w:val="2"/>
            <w:tcBorders>
              <w:bottom w:val="nil"/>
            </w:tcBorders>
            <w:shd w:val="clear" w:color="auto" w:fill="auto"/>
          </w:tcPr>
          <w:p w:rsidR="0097151D" w:rsidRPr="004273CC" w:rsidRDefault="0097151D" w:rsidP="0097151D">
            <w:pPr>
              <w:tabs>
                <w:tab w:val="left" w:pos="510"/>
              </w:tabs>
              <w:jc w:val="center"/>
              <w:rPr>
                <w:b/>
                <w:lang w:val="lt-LT"/>
              </w:rPr>
            </w:pPr>
          </w:p>
        </w:tc>
        <w:tc>
          <w:tcPr>
            <w:tcW w:w="1134" w:type="dxa"/>
            <w:shd w:val="clear" w:color="auto" w:fill="D9D9D9"/>
          </w:tcPr>
          <w:p w:rsidR="0097151D" w:rsidRPr="004273CC" w:rsidRDefault="0097151D" w:rsidP="0097151D">
            <w:pPr>
              <w:tabs>
                <w:tab w:val="left" w:pos="510"/>
              </w:tabs>
              <w:jc w:val="right"/>
              <w:rPr>
                <w:lang w:val="lt-LT"/>
              </w:rPr>
            </w:pPr>
            <w:r w:rsidRPr="004273CC">
              <w:rPr>
                <w:b/>
                <w:lang w:val="lt-LT"/>
              </w:rPr>
              <w:t>1 eil.</w:t>
            </w:r>
          </w:p>
        </w:tc>
        <w:tc>
          <w:tcPr>
            <w:tcW w:w="992" w:type="dxa"/>
          </w:tcPr>
          <w:p w:rsidR="0097151D" w:rsidRPr="00FE76EA" w:rsidRDefault="0097151D" w:rsidP="0097151D">
            <w:pPr>
              <w:tabs>
                <w:tab w:val="left" w:pos="510"/>
              </w:tabs>
              <w:jc w:val="center"/>
              <w:rPr>
                <w:lang w:val="lt-LT"/>
              </w:rPr>
            </w:pPr>
            <w:r w:rsidRPr="00FE76EA">
              <w:rPr>
                <w:lang w:val="lt-LT"/>
              </w:rPr>
              <w:t>X</w:t>
            </w:r>
          </w:p>
        </w:tc>
        <w:tc>
          <w:tcPr>
            <w:tcW w:w="1134" w:type="dxa"/>
            <w:tcBorders>
              <w:bottom w:val="single" w:sz="4" w:space="0" w:color="auto"/>
            </w:tcBorders>
          </w:tcPr>
          <w:p w:rsidR="0097151D" w:rsidRPr="004273CC" w:rsidRDefault="0097151D" w:rsidP="0097151D">
            <w:pPr>
              <w:tabs>
                <w:tab w:val="left" w:pos="510"/>
              </w:tabs>
              <w:jc w:val="center"/>
              <w:rPr>
                <w:b/>
                <w:lang w:val="lt-LT"/>
              </w:rPr>
            </w:pPr>
            <w:r>
              <w:rPr>
                <w:b/>
                <w:lang w:val="lt-LT"/>
              </w:rPr>
              <w:t>10</w:t>
            </w:r>
          </w:p>
        </w:tc>
      </w:tr>
      <w:tr w:rsidR="0097151D" w:rsidRPr="004273CC" w:rsidTr="00E14D71">
        <w:trPr>
          <w:gridAfter w:val="1"/>
          <w:wAfter w:w="1276" w:type="dxa"/>
          <w:tblHeader/>
        </w:trPr>
        <w:tc>
          <w:tcPr>
            <w:tcW w:w="4820" w:type="dxa"/>
            <w:gridSpan w:val="2"/>
          </w:tcPr>
          <w:p w:rsidR="0097151D" w:rsidRPr="004273CC" w:rsidRDefault="0097151D" w:rsidP="0097151D">
            <w:pPr>
              <w:tabs>
                <w:tab w:val="left" w:pos="510"/>
              </w:tabs>
              <w:jc w:val="right"/>
              <w:rPr>
                <w:b/>
                <w:lang w:val="lt-LT"/>
              </w:rPr>
            </w:pPr>
            <w:r w:rsidRPr="004273CC">
              <w:rPr>
                <w:b/>
                <w:lang w:val="lt-LT"/>
              </w:rPr>
              <w:t>BENDRA ĮTAKA</w:t>
            </w:r>
          </w:p>
        </w:tc>
        <w:tc>
          <w:tcPr>
            <w:tcW w:w="1100" w:type="dxa"/>
            <w:shd w:val="clear" w:color="auto" w:fill="D9D9D9"/>
          </w:tcPr>
          <w:p w:rsidR="0097151D" w:rsidRPr="004273CC" w:rsidRDefault="0097151D" w:rsidP="0097151D">
            <w:pPr>
              <w:tabs>
                <w:tab w:val="left" w:pos="510"/>
              </w:tabs>
              <w:jc w:val="right"/>
              <w:rPr>
                <w:lang w:val="lt-LT"/>
              </w:rPr>
            </w:pPr>
            <w:r w:rsidRPr="004273CC">
              <w:rPr>
                <w:b/>
                <w:lang w:val="lt-LT"/>
              </w:rPr>
              <w:t>2 eil.</w:t>
            </w:r>
          </w:p>
        </w:tc>
        <w:tc>
          <w:tcPr>
            <w:tcW w:w="851" w:type="dxa"/>
            <w:gridSpan w:val="2"/>
          </w:tcPr>
          <w:p w:rsidR="0097151D" w:rsidRPr="004273CC" w:rsidRDefault="0097151D" w:rsidP="0097151D">
            <w:pPr>
              <w:tabs>
                <w:tab w:val="left" w:pos="510"/>
              </w:tabs>
              <w:jc w:val="center"/>
              <w:rPr>
                <w:b/>
                <w:lang w:val="lt-LT"/>
              </w:rPr>
            </w:pPr>
            <w:r w:rsidRPr="004273CC">
              <w:rPr>
                <w:b/>
                <w:lang w:val="lt-LT"/>
              </w:rPr>
              <w:t>4</w:t>
            </w:r>
          </w:p>
        </w:tc>
        <w:tc>
          <w:tcPr>
            <w:tcW w:w="1134" w:type="dxa"/>
            <w:gridSpan w:val="2"/>
            <w:tcBorders>
              <w:bottom w:val="nil"/>
              <w:right w:val="nil"/>
            </w:tcBorders>
          </w:tcPr>
          <w:p w:rsidR="0097151D" w:rsidRPr="004273CC" w:rsidRDefault="0097151D" w:rsidP="0097151D">
            <w:pPr>
              <w:tabs>
                <w:tab w:val="left" w:pos="510"/>
              </w:tabs>
              <w:jc w:val="center"/>
              <w:rPr>
                <w:b/>
                <w:lang w:val="lt-LT"/>
              </w:rPr>
            </w:pPr>
          </w:p>
        </w:tc>
        <w:tc>
          <w:tcPr>
            <w:tcW w:w="1417" w:type="dxa"/>
            <w:gridSpan w:val="2"/>
            <w:tcBorders>
              <w:top w:val="nil"/>
              <w:left w:val="nil"/>
              <w:bottom w:val="nil"/>
            </w:tcBorders>
            <w:shd w:val="clear" w:color="auto" w:fill="auto"/>
          </w:tcPr>
          <w:p w:rsidR="0097151D" w:rsidRPr="004273CC" w:rsidRDefault="0097151D" w:rsidP="0097151D">
            <w:pPr>
              <w:tabs>
                <w:tab w:val="left" w:pos="510"/>
              </w:tabs>
              <w:jc w:val="center"/>
              <w:rPr>
                <w:b/>
                <w:lang w:val="lt-LT"/>
              </w:rPr>
            </w:pPr>
          </w:p>
        </w:tc>
        <w:tc>
          <w:tcPr>
            <w:tcW w:w="1134" w:type="dxa"/>
            <w:shd w:val="clear" w:color="auto" w:fill="D9D9D9"/>
          </w:tcPr>
          <w:p w:rsidR="0097151D" w:rsidRPr="004273CC" w:rsidRDefault="0097151D" w:rsidP="0097151D">
            <w:pPr>
              <w:tabs>
                <w:tab w:val="left" w:pos="510"/>
              </w:tabs>
              <w:jc w:val="right"/>
              <w:rPr>
                <w:lang w:val="lt-LT"/>
              </w:rPr>
            </w:pPr>
            <w:r w:rsidRPr="004273CC">
              <w:rPr>
                <w:b/>
                <w:lang w:val="lt-LT"/>
              </w:rPr>
              <w:t>2 eil.</w:t>
            </w:r>
          </w:p>
        </w:tc>
        <w:tc>
          <w:tcPr>
            <w:tcW w:w="992" w:type="dxa"/>
          </w:tcPr>
          <w:p w:rsidR="0097151D" w:rsidRPr="004273CC" w:rsidRDefault="0097151D" w:rsidP="0097151D">
            <w:pPr>
              <w:tabs>
                <w:tab w:val="left" w:pos="510"/>
              </w:tabs>
              <w:jc w:val="center"/>
              <w:rPr>
                <w:b/>
                <w:lang w:val="lt-LT"/>
              </w:rPr>
            </w:pPr>
            <w:r>
              <w:rPr>
                <w:b/>
                <w:lang w:val="lt-LT"/>
              </w:rPr>
              <w:t>5</w:t>
            </w:r>
          </w:p>
        </w:tc>
        <w:tc>
          <w:tcPr>
            <w:tcW w:w="1134" w:type="dxa"/>
            <w:tcBorders>
              <w:bottom w:val="nil"/>
              <w:right w:val="nil"/>
            </w:tcBorders>
          </w:tcPr>
          <w:p w:rsidR="0097151D" w:rsidRPr="004273CC" w:rsidRDefault="0097151D" w:rsidP="0097151D">
            <w:pPr>
              <w:tabs>
                <w:tab w:val="left" w:pos="510"/>
              </w:tabs>
              <w:jc w:val="center"/>
              <w:rPr>
                <w:b/>
                <w:lang w:val="lt-LT"/>
              </w:rPr>
            </w:pPr>
          </w:p>
        </w:tc>
      </w:tr>
      <w:tr w:rsidR="0097151D" w:rsidRPr="004273CC" w:rsidTr="00E14D71">
        <w:trPr>
          <w:gridAfter w:val="1"/>
          <w:wAfter w:w="1276" w:type="dxa"/>
          <w:tblHeader/>
        </w:trPr>
        <w:tc>
          <w:tcPr>
            <w:tcW w:w="4820" w:type="dxa"/>
            <w:gridSpan w:val="2"/>
          </w:tcPr>
          <w:p w:rsidR="0097151D" w:rsidRPr="004273CC" w:rsidRDefault="0097151D" w:rsidP="0097151D">
            <w:pPr>
              <w:tabs>
                <w:tab w:val="left" w:pos="510"/>
              </w:tabs>
              <w:jc w:val="right"/>
              <w:rPr>
                <w:b/>
                <w:lang w:val="lt-LT"/>
              </w:rPr>
            </w:pPr>
            <w:r w:rsidRPr="004273CC">
              <w:rPr>
                <w:b/>
                <w:lang w:val="lt-LT"/>
              </w:rPr>
              <w:t>MAKSIMAL</w:t>
            </w:r>
            <w:r>
              <w:rPr>
                <w:b/>
                <w:lang w:val="lt-LT"/>
              </w:rPr>
              <w:t>I</w:t>
            </w:r>
            <w:r w:rsidRPr="004273CC">
              <w:rPr>
                <w:b/>
                <w:lang w:val="lt-LT"/>
              </w:rPr>
              <w:t xml:space="preserve"> </w:t>
            </w:r>
            <w:r>
              <w:rPr>
                <w:b/>
                <w:lang w:val="lt-LT"/>
              </w:rPr>
              <w:t xml:space="preserve">RIZIKA </w:t>
            </w:r>
            <w:r w:rsidRPr="004273CC">
              <w:rPr>
                <w:b/>
                <w:lang w:val="lt-LT"/>
              </w:rPr>
              <w:t>(5*2 eil.)</w:t>
            </w:r>
          </w:p>
        </w:tc>
        <w:tc>
          <w:tcPr>
            <w:tcW w:w="1100" w:type="dxa"/>
            <w:shd w:val="clear" w:color="auto" w:fill="D9D9D9"/>
          </w:tcPr>
          <w:p w:rsidR="0097151D" w:rsidRPr="004273CC" w:rsidRDefault="0097151D" w:rsidP="0097151D">
            <w:pPr>
              <w:tabs>
                <w:tab w:val="left" w:pos="510"/>
              </w:tabs>
              <w:jc w:val="right"/>
              <w:rPr>
                <w:lang w:val="lt-LT"/>
              </w:rPr>
            </w:pPr>
            <w:r w:rsidRPr="004273CC">
              <w:rPr>
                <w:b/>
                <w:lang w:val="lt-LT"/>
              </w:rPr>
              <w:t>3 eil.</w:t>
            </w:r>
          </w:p>
        </w:tc>
        <w:tc>
          <w:tcPr>
            <w:tcW w:w="851" w:type="dxa"/>
            <w:gridSpan w:val="2"/>
          </w:tcPr>
          <w:p w:rsidR="0097151D" w:rsidRPr="004273CC" w:rsidRDefault="0097151D" w:rsidP="0097151D">
            <w:pPr>
              <w:tabs>
                <w:tab w:val="left" w:pos="510"/>
              </w:tabs>
              <w:jc w:val="center"/>
              <w:rPr>
                <w:b/>
                <w:lang w:val="lt-LT"/>
              </w:rPr>
            </w:pPr>
            <w:r>
              <w:rPr>
                <w:b/>
                <w:lang w:val="lt-LT"/>
              </w:rPr>
              <w:t>20</w:t>
            </w:r>
          </w:p>
        </w:tc>
        <w:tc>
          <w:tcPr>
            <w:tcW w:w="1134" w:type="dxa"/>
            <w:gridSpan w:val="2"/>
            <w:tcBorders>
              <w:top w:val="nil"/>
              <w:bottom w:val="nil"/>
              <w:right w:val="nil"/>
            </w:tcBorders>
          </w:tcPr>
          <w:p w:rsidR="0097151D" w:rsidRPr="004273CC" w:rsidRDefault="0097151D" w:rsidP="0097151D">
            <w:pPr>
              <w:tabs>
                <w:tab w:val="left" w:pos="510"/>
              </w:tabs>
              <w:jc w:val="center"/>
              <w:rPr>
                <w:b/>
                <w:lang w:val="lt-LT"/>
              </w:rPr>
            </w:pPr>
          </w:p>
        </w:tc>
        <w:tc>
          <w:tcPr>
            <w:tcW w:w="1417" w:type="dxa"/>
            <w:gridSpan w:val="2"/>
            <w:tcBorders>
              <w:top w:val="nil"/>
              <w:left w:val="nil"/>
              <w:bottom w:val="nil"/>
            </w:tcBorders>
            <w:shd w:val="clear" w:color="auto" w:fill="auto"/>
          </w:tcPr>
          <w:p w:rsidR="0097151D" w:rsidRPr="004273CC" w:rsidRDefault="0097151D" w:rsidP="0097151D">
            <w:pPr>
              <w:tabs>
                <w:tab w:val="left" w:pos="510"/>
              </w:tabs>
              <w:jc w:val="center"/>
              <w:rPr>
                <w:b/>
                <w:lang w:val="lt-LT"/>
              </w:rPr>
            </w:pPr>
          </w:p>
        </w:tc>
        <w:tc>
          <w:tcPr>
            <w:tcW w:w="1134" w:type="dxa"/>
            <w:shd w:val="clear" w:color="auto" w:fill="D9D9D9"/>
          </w:tcPr>
          <w:p w:rsidR="0097151D" w:rsidRPr="004273CC" w:rsidRDefault="0097151D" w:rsidP="0097151D">
            <w:pPr>
              <w:tabs>
                <w:tab w:val="left" w:pos="510"/>
              </w:tabs>
              <w:jc w:val="right"/>
              <w:rPr>
                <w:lang w:val="lt-LT"/>
              </w:rPr>
            </w:pPr>
            <w:r w:rsidRPr="004273CC">
              <w:rPr>
                <w:b/>
                <w:lang w:val="lt-LT"/>
              </w:rPr>
              <w:t>3 eil.</w:t>
            </w:r>
          </w:p>
        </w:tc>
        <w:tc>
          <w:tcPr>
            <w:tcW w:w="992" w:type="dxa"/>
          </w:tcPr>
          <w:p w:rsidR="0097151D" w:rsidRPr="004273CC" w:rsidRDefault="0097151D" w:rsidP="0097151D">
            <w:pPr>
              <w:tabs>
                <w:tab w:val="left" w:pos="510"/>
              </w:tabs>
              <w:jc w:val="center"/>
              <w:rPr>
                <w:b/>
                <w:lang w:val="lt-LT"/>
              </w:rPr>
            </w:pPr>
            <w:r>
              <w:rPr>
                <w:b/>
                <w:lang w:val="lt-LT"/>
              </w:rPr>
              <w:t>25</w:t>
            </w:r>
          </w:p>
        </w:tc>
        <w:tc>
          <w:tcPr>
            <w:tcW w:w="1134" w:type="dxa"/>
            <w:tcBorders>
              <w:top w:val="nil"/>
              <w:bottom w:val="nil"/>
              <w:right w:val="nil"/>
            </w:tcBorders>
          </w:tcPr>
          <w:p w:rsidR="0097151D" w:rsidRPr="004273CC" w:rsidRDefault="0097151D" w:rsidP="0097151D">
            <w:pPr>
              <w:tabs>
                <w:tab w:val="left" w:pos="510"/>
              </w:tabs>
              <w:jc w:val="center"/>
              <w:rPr>
                <w:b/>
                <w:lang w:val="lt-LT"/>
              </w:rPr>
            </w:pPr>
          </w:p>
        </w:tc>
      </w:tr>
      <w:tr w:rsidR="0097151D" w:rsidRPr="004273CC" w:rsidTr="00E14D71">
        <w:trPr>
          <w:gridAfter w:val="1"/>
          <w:wAfter w:w="1276" w:type="dxa"/>
          <w:cantSplit/>
          <w:tblHeader/>
        </w:trPr>
        <w:tc>
          <w:tcPr>
            <w:tcW w:w="4820" w:type="dxa"/>
            <w:gridSpan w:val="2"/>
          </w:tcPr>
          <w:p w:rsidR="0097151D" w:rsidRPr="004273CC" w:rsidRDefault="0097151D" w:rsidP="0097151D">
            <w:pPr>
              <w:tabs>
                <w:tab w:val="left" w:pos="510"/>
              </w:tabs>
              <w:jc w:val="right"/>
              <w:rPr>
                <w:b/>
                <w:lang w:val="lt-LT"/>
              </w:rPr>
            </w:pPr>
            <w:r w:rsidRPr="004273CC">
              <w:rPr>
                <w:b/>
                <w:lang w:val="lt-LT"/>
              </w:rPr>
              <w:t>RIZIKOS LYGIS, proc. (1 eil./3eil.*100)</w:t>
            </w:r>
          </w:p>
        </w:tc>
        <w:tc>
          <w:tcPr>
            <w:tcW w:w="1100" w:type="dxa"/>
            <w:shd w:val="clear" w:color="auto" w:fill="D9D9D9"/>
            <w:vAlign w:val="center"/>
          </w:tcPr>
          <w:p w:rsidR="0097151D" w:rsidRPr="004273CC" w:rsidRDefault="0097151D" w:rsidP="0097151D">
            <w:pPr>
              <w:tabs>
                <w:tab w:val="left" w:pos="510"/>
              </w:tabs>
              <w:jc w:val="right"/>
              <w:rPr>
                <w:lang w:val="lt-LT"/>
              </w:rPr>
            </w:pPr>
            <w:r w:rsidRPr="004273CC">
              <w:rPr>
                <w:b/>
                <w:lang w:val="lt-LT"/>
              </w:rPr>
              <w:t>4 eil.</w:t>
            </w:r>
          </w:p>
        </w:tc>
        <w:tc>
          <w:tcPr>
            <w:tcW w:w="851" w:type="dxa"/>
            <w:gridSpan w:val="2"/>
            <w:vAlign w:val="center"/>
          </w:tcPr>
          <w:p w:rsidR="0097151D" w:rsidRPr="004273CC" w:rsidRDefault="0097151D" w:rsidP="0097151D">
            <w:pPr>
              <w:tabs>
                <w:tab w:val="left" w:pos="510"/>
              </w:tabs>
              <w:jc w:val="center"/>
              <w:rPr>
                <w:b/>
                <w:lang w:val="lt-LT"/>
              </w:rPr>
            </w:pPr>
            <w:r>
              <w:rPr>
                <w:b/>
                <w:lang w:val="lt-LT"/>
              </w:rPr>
              <w:t>60</w:t>
            </w:r>
          </w:p>
        </w:tc>
        <w:tc>
          <w:tcPr>
            <w:tcW w:w="1134" w:type="dxa"/>
            <w:gridSpan w:val="2"/>
            <w:tcBorders>
              <w:top w:val="nil"/>
              <w:bottom w:val="nil"/>
              <w:right w:val="nil"/>
            </w:tcBorders>
            <w:vAlign w:val="center"/>
          </w:tcPr>
          <w:p w:rsidR="0097151D" w:rsidRPr="00B74B0A" w:rsidRDefault="0097151D" w:rsidP="0097151D">
            <w:pPr>
              <w:tabs>
                <w:tab w:val="left" w:pos="510"/>
              </w:tabs>
              <w:jc w:val="center"/>
              <w:rPr>
                <w:b/>
                <w:sz w:val="18"/>
                <w:szCs w:val="18"/>
                <w:lang w:val="lt-LT"/>
              </w:rPr>
            </w:pPr>
            <w:r w:rsidRPr="00B74B0A">
              <w:rPr>
                <w:b/>
                <w:sz w:val="18"/>
                <w:szCs w:val="18"/>
                <w:lang w:val="lt-LT"/>
              </w:rPr>
              <w:t>VIDUTIN</w:t>
            </w:r>
            <w:r>
              <w:rPr>
                <w:b/>
                <w:sz w:val="18"/>
                <w:szCs w:val="18"/>
                <w:lang w:val="lt-LT"/>
              </w:rPr>
              <w:t>Ė</w:t>
            </w:r>
          </w:p>
        </w:tc>
        <w:tc>
          <w:tcPr>
            <w:tcW w:w="1417" w:type="dxa"/>
            <w:gridSpan w:val="2"/>
            <w:tcBorders>
              <w:top w:val="nil"/>
              <w:left w:val="nil"/>
              <w:bottom w:val="nil"/>
            </w:tcBorders>
            <w:shd w:val="clear" w:color="auto" w:fill="auto"/>
            <w:vAlign w:val="center"/>
          </w:tcPr>
          <w:p w:rsidR="0097151D" w:rsidRPr="004273CC" w:rsidRDefault="0097151D" w:rsidP="0097151D">
            <w:pPr>
              <w:tabs>
                <w:tab w:val="left" w:pos="510"/>
              </w:tabs>
              <w:jc w:val="center"/>
              <w:rPr>
                <w:b/>
                <w:lang w:val="lt-LT"/>
              </w:rPr>
            </w:pPr>
          </w:p>
        </w:tc>
        <w:tc>
          <w:tcPr>
            <w:tcW w:w="1134" w:type="dxa"/>
            <w:shd w:val="clear" w:color="auto" w:fill="D9D9D9"/>
            <w:vAlign w:val="center"/>
          </w:tcPr>
          <w:p w:rsidR="0097151D" w:rsidRPr="004273CC" w:rsidRDefault="0097151D" w:rsidP="0097151D">
            <w:pPr>
              <w:tabs>
                <w:tab w:val="left" w:pos="510"/>
              </w:tabs>
              <w:jc w:val="right"/>
              <w:rPr>
                <w:lang w:val="lt-LT"/>
              </w:rPr>
            </w:pPr>
            <w:r w:rsidRPr="004273CC">
              <w:rPr>
                <w:b/>
                <w:lang w:val="lt-LT"/>
              </w:rPr>
              <w:t>4 eil.</w:t>
            </w:r>
          </w:p>
        </w:tc>
        <w:tc>
          <w:tcPr>
            <w:tcW w:w="992" w:type="dxa"/>
            <w:vAlign w:val="center"/>
          </w:tcPr>
          <w:p w:rsidR="0097151D" w:rsidRPr="004273CC" w:rsidRDefault="0097151D" w:rsidP="0097151D">
            <w:pPr>
              <w:tabs>
                <w:tab w:val="left" w:pos="510"/>
              </w:tabs>
              <w:jc w:val="center"/>
              <w:rPr>
                <w:b/>
                <w:lang w:val="lt-LT"/>
              </w:rPr>
            </w:pPr>
            <w:r>
              <w:rPr>
                <w:b/>
                <w:lang w:val="lt-LT"/>
              </w:rPr>
              <w:t>40</w:t>
            </w:r>
          </w:p>
        </w:tc>
        <w:tc>
          <w:tcPr>
            <w:tcW w:w="1134" w:type="dxa"/>
            <w:tcBorders>
              <w:top w:val="nil"/>
              <w:bottom w:val="nil"/>
              <w:right w:val="nil"/>
            </w:tcBorders>
          </w:tcPr>
          <w:p w:rsidR="0097151D" w:rsidRPr="004273CC" w:rsidRDefault="0097151D" w:rsidP="0097151D">
            <w:pPr>
              <w:tabs>
                <w:tab w:val="left" w:pos="510"/>
              </w:tabs>
              <w:jc w:val="center"/>
              <w:rPr>
                <w:b/>
                <w:lang w:val="lt-LT"/>
              </w:rPr>
            </w:pPr>
            <w:r>
              <w:rPr>
                <w:b/>
                <w:lang w:val="lt-LT"/>
              </w:rPr>
              <w:t>MAŽA</w:t>
            </w:r>
          </w:p>
        </w:tc>
      </w:tr>
    </w:tbl>
    <w:p w:rsidR="005A702E" w:rsidRDefault="002809C1" w:rsidP="002809C1">
      <w:pPr>
        <w:pStyle w:val="Header"/>
        <w:jc w:val="center"/>
      </w:pPr>
      <w:r>
        <w:br w:type="page"/>
      </w:r>
    </w:p>
    <w:p w:rsidR="005A702E" w:rsidRPr="00FB630B" w:rsidRDefault="005A702E" w:rsidP="005A702E">
      <w:pPr>
        <w:jc w:val="right"/>
        <w:rPr>
          <w:b/>
          <w:sz w:val="26"/>
          <w:szCs w:val="26"/>
        </w:rPr>
      </w:pPr>
      <w:r w:rsidRPr="00FB630B">
        <w:rPr>
          <w:b/>
          <w:sz w:val="26"/>
          <w:szCs w:val="26"/>
          <w:lang w:val="lt-LT"/>
        </w:rPr>
        <w:lastRenderedPageBreak/>
        <w:t>21 PRIEDAS</w:t>
      </w:r>
    </w:p>
    <w:p w:rsidR="002809C1" w:rsidRPr="00FB630B" w:rsidRDefault="005A702E" w:rsidP="00A07A20">
      <w:pPr>
        <w:jc w:val="center"/>
        <w:rPr>
          <w:b/>
          <w:sz w:val="26"/>
          <w:szCs w:val="26"/>
        </w:rPr>
      </w:pPr>
      <w:r w:rsidRPr="00FB630B">
        <w:rPr>
          <w:b/>
          <w:sz w:val="26"/>
          <w:szCs w:val="26"/>
        </w:rPr>
        <w:t>ĮMONĖS RIZIKOS APSKAIČIAVIMAS</w:t>
      </w:r>
    </w:p>
    <w:tbl>
      <w:tblPr>
        <w:tblpPr w:leftFromText="180" w:rightFromText="180" w:vertAnchor="page" w:horzAnchor="margin" w:tblpX="108" w:tblpY="2746"/>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11"/>
        <w:gridCol w:w="872"/>
        <w:gridCol w:w="262"/>
        <w:gridCol w:w="590"/>
        <w:gridCol w:w="118"/>
        <w:gridCol w:w="1026"/>
        <w:gridCol w:w="108"/>
        <w:gridCol w:w="1168"/>
        <w:gridCol w:w="1134"/>
        <w:gridCol w:w="992"/>
        <w:gridCol w:w="142"/>
        <w:gridCol w:w="992"/>
        <w:gridCol w:w="141"/>
        <w:gridCol w:w="1277"/>
      </w:tblGrid>
      <w:tr w:rsidR="00B93ADE" w:rsidRPr="00D5204C" w:rsidTr="001E1AF8">
        <w:trPr>
          <w:trHeight w:val="186"/>
          <w:tblHeader/>
        </w:trPr>
        <w:tc>
          <w:tcPr>
            <w:tcW w:w="5070" w:type="dxa"/>
            <w:gridSpan w:val="2"/>
            <w:vMerge w:val="restart"/>
            <w:vAlign w:val="center"/>
          </w:tcPr>
          <w:p w:rsidR="00E14D71" w:rsidRPr="004273CC" w:rsidRDefault="00E14D71" w:rsidP="008E4A5A">
            <w:pPr>
              <w:tabs>
                <w:tab w:val="left" w:pos="510"/>
              </w:tabs>
              <w:jc w:val="center"/>
              <w:rPr>
                <w:lang w:val="lt-LT"/>
              </w:rPr>
            </w:pPr>
            <w:r w:rsidRPr="004273CC">
              <w:rPr>
                <w:b/>
                <w:lang w:val="lt-LT"/>
              </w:rPr>
              <w:t xml:space="preserve">Įmonės </w:t>
            </w:r>
            <w:r w:rsidR="00B93ADE">
              <w:rPr>
                <w:b/>
                <w:lang w:val="lt-LT"/>
              </w:rPr>
              <w:t>vid</w:t>
            </w:r>
            <w:r w:rsidR="008E4A5A">
              <w:rPr>
                <w:b/>
                <w:lang w:val="lt-LT"/>
              </w:rPr>
              <w:t>aus</w:t>
            </w:r>
            <w:r w:rsidRPr="004273CC">
              <w:rPr>
                <w:b/>
                <w:lang w:val="lt-LT"/>
              </w:rPr>
              <w:t xml:space="preserve"> aplinka</w:t>
            </w:r>
          </w:p>
        </w:tc>
        <w:tc>
          <w:tcPr>
            <w:tcW w:w="4144" w:type="dxa"/>
            <w:gridSpan w:val="7"/>
          </w:tcPr>
          <w:p w:rsidR="00E14D71" w:rsidRPr="00066E17" w:rsidRDefault="00E14D71" w:rsidP="00FF6302">
            <w:pPr>
              <w:tabs>
                <w:tab w:val="left" w:pos="510"/>
              </w:tabs>
              <w:jc w:val="center"/>
              <w:rPr>
                <w:lang w:val="lt-LT"/>
              </w:rPr>
            </w:pPr>
            <w:r>
              <w:rPr>
                <w:b/>
                <w:lang w:val="lt-LT"/>
              </w:rPr>
              <w:t>UAB „Šiluma“</w:t>
            </w:r>
          </w:p>
        </w:tc>
        <w:tc>
          <w:tcPr>
            <w:tcW w:w="4678" w:type="dxa"/>
            <w:gridSpan w:val="6"/>
          </w:tcPr>
          <w:p w:rsidR="00E14D71" w:rsidRPr="00066E17" w:rsidRDefault="00E14D71" w:rsidP="00FF6302">
            <w:pPr>
              <w:tabs>
                <w:tab w:val="left" w:pos="510"/>
              </w:tabs>
              <w:jc w:val="center"/>
              <w:rPr>
                <w:lang w:val="lt-LT"/>
              </w:rPr>
            </w:pPr>
            <w:r>
              <w:rPr>
                <w:b/>
                <w:lang w:val="lt-LT"/>
              </w:rPr>
              <w:t>UAB „Žuvila“</w:t>
            </w:r>
          </w:p>
        </w:tc>
      </w:tr>
      <w:tr w:rsidR="00B93ADE" w:rsidRPr="00D5204C" w:rsidTr="001E1AF8">
        <w:trPr>
          <w:trHeight w:val="186"/>
          <w:tblHeader/>
        </w:trPr>
        <w:tc>
          <w:tcPr>
            <w:tcW w:w="5070" w:type="dxa"/>
            <w:gridSpan w:val="2"/>
            <w:vMerge/>
          </w:tcPr>
          <w:p w:rsidR="00B93ADE" w:rsidRPr="004273CC" w:rsidRDefault="00B93ADE" w:rsidP="00FF6302">
            <w:pPr>
              <w:tabs>
                <w:tab w:val="left" w:pos="510"/>
              </w:tabs>
              <w:jc w:val="center"/>
              <w:rPr>
                <w:b/>
                <w:lang w:val="lt-LT"/>
              </w:rPr>
            </w:pPr>
          </w:p>
        </w:tc>
        <w:tc>
          <w:tcPr>
            <w:tcW w:w="2868" w:type="dxa"/>
            <w:gridSpan w:val="5"/>
            <w:vAlign w:val="center"/>
          </w:tcPr>
          <w:p w:rsidR="00B93ADE" w:rsidRDefault="00B93ADE" w:rsidP="00FF6302">
            <w:pPr>
              <w:tabs>
                <w:tab w:val="left" w:pos="510"/>
              </w:tabs>
              <w:jc w:val="center"/>
              <w:rPr>
                <w:lang w:val="lt-LT"/>
              </w:rPr>
            </w:pPr>
            <w:r w:rsidRPr="004273CC">
              <w:rPr>
                <w:b/>
                <w:lang w:val="lt-LT"/>
              </w:rPr>
              <w:t>Rizikos vertinimas</w:t>
            </w:r>
          </w:p>
        </w:tc>
        <w:tc>
          <w:tcPr>
            <w:tcW w:w="1276" w:type="dxa"/>
            <w:gridSpan w:val="2"/>
            <w:vMerge w:val="restart"/>
            <w:vAlign w:val="center"/>
          </w:tcPr>
          <w:p w:rsidR="00B93ADE" w:rsidRDefault="00B93ADE" w:rsidP="00FF6302">
            <w:pPr>
              <w:tabs>
                <w:tab w:val="left" w:pos="510"/>
              </w:tabs>
              <w:jc w:val="center"/>
              <w:rPr>
                <w:lang w:val="lt-LT"/>
              </w:rPr>
            </w:pPr>
            <w:r w:rsidRPr="004273CC">
              <w:rPr>
                <w:b/>
                <w:lang w:val="lt-LT"/>
              </w:rPr>
              <w:t>Pastabos</w:t>
            </w:r>
          </w:p>
        </w:tc>
        <w:tc>
          <w:tcPr>
            <w:tcW w:w="3401" w:type="dxa"/>
            <w:gridSpan w:val="5"/>
          </w:tcPr>
          <w:p w:rsidR="00B93ADE" w:rsidRPr="004273CC" w:rsidRDefault="00B93ADE" w:rsidP="00FF6302">
            <w:pPr>
              <w:tabs>
                <w:tab w:val="left" w:pos="510"/>
              </w:tabs>
              <w:jc w:val="center"/>
              <w:rPr>
                <w:lang w:val="lt-LT"/>
              </w:rPr>
            </w:pPr>
            <w:r w:rsidRPr="004273CC">
              <w:rPr>
                <w:b/>
                <w:lang w:val="lt-LT"/>
              </w:rPr>
              <w:t>Rizikos vertinimas</w:t>
            </w:r>
          </w:p>
        </w:tc>
        <w:tc>
          <w:tcPr>
            <w:tcW w:w="1277" w:type="dxa"/>
            <w:vMerge w:val="restart"/>
            <w:vAlign w:val="center"/>
          </w:tcPr>
          <w:p w:rsidR="00B93ADE" w:rsidRPr="004273CC" w:rsidRDefault="00B93ADE" w:rsidP="00FF6302">
            <w:pPr>
              <w:tabs>
                <w:tab w:val="left" w:pos="510"/>
              </w:tabs>
              <w:jc w:val="center"/>
              <w:rPr>
                <w:lang w:val="lt-LT"/>
              </w:rPr>
            </w:pPr>
            <w:r w:rsidRPr="004273CC">
              <w:rPr>
                <w:b/>
                <w:lang w:val="lt-LT"/>
              </w:rPr>
              <w:t>Pastabos</w:t>
            </w:r>
          </w:p>
        </w:tc>
      </w:tr>
      <w:tr w:rsidR="00B93ADE" w:rsidRPr="00D5204C" w:rsidTr="001E1AF8">
        <w:trPr>
          <w:trHeight w:val="186"/>
          <w:tblHeader/>
        </w:trPr>
        <w:tc>
          <w:tcPr>
            <w:tcW w:w="959" w:type="dxa"/>
            <w:vAlign w:val="center"/>
          </w:tcPr>
          <w:p w:rsidR="00B93ADE" w:rsidRPr="004273CC" w:rsidRDefault="00B93ADE" w:rsidP="00FF6302">
            <w:pPr>
              <w:tabs>
                <w:tab w:val="left" w:pos="510"/>
              </w:tabs>
              <w:jc w:val="center"/>
              <w:rPr>
                <w:b/>
                <w:lang w:val="lt-LT"/>
              </w:rPr>
            </w:pPr>
            <w:r w:rsidRPr="004273CC">
              <w:rPr>
                <w:b/>
                <w:lang w:val="lt-LT"/>
              </w:rPr>
              <w:t>Sąlygos</w:t>
            </w:r>
          </w:p>
        </w:tc>
        <w:tc>
          <w:tcPr>
            <w:tcW w:w="4111" w:type="dxa"/>
            <w:vAlign w:val="center"/>
          </w:tcPr>
          <w:p w:rsidR="00B93ADE" w:rsidRPr="004273CC" w:rsidRDefault="00B93ADE" w:rsidP="00FF6302">
            <w:pPr>
              <w:tabs>
                <w:tab w:val="left" w:pos="510"/>
              </w:tabs>
              <w:jc w:val="center"/>
              <w:rPr>
                <w:b/>
                <w:lang w:val="lt-LT"/>
              </w:rPr>
            </w:pPr>
            <w:r w:rsidRPr="004273CC">
              <w:rPr>
                <w:b/>
                <w:lang w:val="lt-LT"/>
              </w:rPr>
              <w:t>Veiksniai</w:t>
            </w:r>
          </w:p>
        </w:tc>
        <w:tc>
          <w:tcPr>
            <w:tcW w:w="872" w:type="dxa"/>
          </w:tcPr>
          <w:p w:rsidR="00B93ADE" w:rsidRPr="004273CC" w:rsidRDefault="00B93ADE" w:rsidP="00FF6302">
            <w:pPr>
              <w:tabs>
                <w:tab w:val="left" w:pos="510"/>
              </w:tabs>
              <w:jc w:val="center"/>
              <w:rPr>
                <w:lang w:val="lt-LT"/>
              </w:rPr>
            </w:pPr>
            <w:r w:rsidRPr="004273CC">
              <w:rPr>
                <w:lang w:val="lt-LT"/>
              </w:rPr>
              <w:t>Tikimybė (1-5)</w:t>
            </w:r>
          </w:p>
        </w:tc>
        <w:tc>
          <w:tcPr>
            <w:tcW w:w="852" w:type="dxa"/>
            <w:gridSpan w:val="2"/>
          </w:tcPr>
          <w:p w:rsidR="00B93ADE" w:rsidRPr="004273CC" w:rsidRDefault="00B93ADE" w:rsidP="00FF6302">
            <w:pPr>
              <w:tabs>
                <w:tab w:val="left" w:pos="510"/>
              </w:tabs>
              <w:jc w:val="center"/>
              <w:rPr>
                <w:lang w:val="lt-LT"/>
              </w:rPr>
            </w:pPr>
            <w:r w:rsidRPr="004273CC">
              <w:rPr>
                <w:lang w:val="lt-LT"/>
              </w:rPr>
              <w:t>Įtaka</w:t>
            </w:r>
          </w:p>
          <w:p w:rsidR="00B93ADE" w:rsidRPr="004273CC" w:rsidRDefault="00B93ADE" w:rsidP="00FF6302">
            <w:pPr>
              <w:tabs>
                <w:tab w:val="left" w:pos="510"/>
              </w:tabs>
              <w:jc w:val="center"/>
              <w:rPr>
                <w:lang w:val="lt-LT"/>
              </w:rPr>
            </w:pPr>
            <w:r w:rsidRPr="004273CC">
              <w:rPr>
                <w:lang w:val="lt-LT"/>
              </w:rPr>
              <w:t>(1-5)</w:t>
            </w:r>
          </w:p>
        </w:tc>
        <w:tc>
          <w:tcPr>
            <w:tcW w:w="1144" w:type="dxa"/>
            <w:gridSpan w:val="2"/>
          </w:tcPr>
          <w:p w:rsidR="00B93ADE" w:rsidRPr="004273CC" w:rsidRDefault="00B93ADE" w:rsidP="00FF6302">
            <w:pPr>
              <w:tabs>
                <w:tab w:val="left" w:pos="510"/>
              </w:tabs>
              <w:jc w:val="center"/>
              <w:rPr>
                <w:lang w:val="lt-LT"/>
              </w:rPr>
            </w:pPr>
            <w:r w:rsidRPr="004273CC">
              <w:rPr>
                <w:lang w:val="lt-LT"/>
              </w:rPr>
              <w:t>Tikimybė * Įtaka</w:t>
            </w:r>
          </w:p>
        </w:tc>
        <w:tc>
          <w:tcPr>
            <w:tcW w:w="1276" w:type="dxa"/>
            <w:gridSpan w:val="2"/>
            <w:vMerge/>
          </w:tcPr>
          <w:p w:rsidR="00B93ADE" w:rsidRPr="004273CC" w:rsidRDefault="00B93ADE" w:rsidP="00FF6302">
            <w:pPr>
              <w:tabs>
                <w:tab w:val="left" w:pos="510"/>
              </w:tabs>
              <w:jc w:val="center"/>
              <w:rPr>
                <w:b/>
                <w:lang w:val="lt-LT"/>
              </w:rPr>
            </w:pPr>
          </w:p>
        </w:tc>
        <w:tc>
          <w:tcPr>
            <w:tcW w:w="1134" w:type="dxa"/>
          </w:tcPr>
          <w:p w:rsidR="00B93ADE" w:rsidRPr="004273CC" w:rsidRDefault="00B93ADE" w:rsidP="00FF6302">
            <w:pPr>
              <w:tabs>
                <w:tab w:val="left" w:pos="510"/>
              </w:tabs>
              <w:jc w:val="center"/>
              <w:rPr>
                <w:lang w:val="lt-LT"/>
              </w:rPr>
            </w:pPr>
            <w:r w:rsidRPr="004273CC">
              <w:rPr>
                <w:lang w:val="lt-LT"/>
              </w:rPr>
              <w:t>Tikimybė (1-5)</w:t>
            </w:r>
          </w:p>
        </w:tc>
        <w:tc>
          <w:tcPr>
            <w:tcW w:w="1134" w:type="dxa"/>
            <w:gridSpan w:val="2"/>
          </w:tcPr>
          <w:p w:rsidR="00B93ADE" w:rsidRPr="004273CC" w:rsidRDefault="00B93ADE" w:rsidP="00FF6302">
            <w:pPr>
              <w:tabs>
                <w:tab w:val="left" w:pos="510"/>
              </w:tabs>
              <w:jc w:val="center"/>
              <w:rPr>
                <w:lang w:val="lt-LT"/>
              </w:rPr>
            </w:pPr>
            <w:r w:rsidRPr="004273CC">
              <w:rPr>
                <w:lang w:val="lt-LT"/>
              </w:rPr>
              <w:t>Įtaka</w:t>
            </w:r>
          </w:p>
          <w:p w:rsidR="00B93ADE" w:rsidRPr="004273CC" w:rsidRDefault="00B93ADE" w:rsidP="00FF6302">
            <w:pPr>
              <w:tabs>
                <w:tab w:val="left" w:pos="510"/>
              </w:tabs>
              <w:jc w:val="center"/>
              <w:rPr>
                <w:lang w:val="lt-LT"/>
              </w:rPr>
            </w:pPr>
            <w:r w:rsidRPr="004273CC">
              <w:rPr>
                <w:lang w:val="lt-LT"/>
              </w:rPr>
              <w:t>(1-5)</w:t>
            </w:r>
          </w:p>
        </w:tc>
        <w:tc>
          <w:tcPr>
            <w:tcW w:w="1133" w:type="dxa"/>
            <w:gridSpan w:val="2"/>
          </w:tcPr>
          <w:p w:rsidR="00B93ADE" w:rsidRPr="004273CC" w:rsidRDefault="00B93ADE" w:rsidP="00FF6302">
            <w:pPr>
              <w:tabs>
                <w:tab w:val="left" w:pos="510"/>
              </w:tabs>
              <w:jc w:val="center"/>
              <w:rPr>
                <w:lang w:val="lt-LT"/>
              </w:rPr>
            </w:pPr>
            <w:r w:rsidRPr="004273CC">
              <w:rPr>
                <w:lang w:val="lt-LT"/>
              </w:rPr>
              <w:t>Tikimybė * Įtaka</w:t>
            </w:r>
          </w:p>
        </w:tc>
        <w:tc>
          <w:tcPr>
            <w:tcW w:w="1277" w:type="dxa"/>
            <w:vMerge/>
          </w:tcPr>
          <w:p w:rsidR="00B93ADE" w:rsidRPr="004273CC" w:rsidRDefault="00B93ADE" w:rsidP="00FF6302">
            <w:pPr>
              <w:tabs>
                <w:tab w:val="left" w:pos="510"/>
              </w:tabs>
              <w:jc w:val="center"/>
              <w:rPr>
                <w:b/>
                <w:lang w:val="lt-LT"/>
              </w:rPr>
            </w:pPr>
          </w:p>
        </w:tc>
      </w:tr>
      <w:tr w:rsidR="00B93ADE" w:rsidRPr="00D5204C" w:rsidTr="001E1AF8">
        <w:trPr>
          <w:trHeight w:val="186"/>
          <w:tblHeader/>
        </w:trPr>
        <w:tc>
          <w:tcPr>
            <w:tcW w:w="959" w:type="dxa"/>
            <w:vMerge w:val="restart"/>
            <w:textDirection w:val="btLr"/>
          </w:tcPr>
          <w:p w:rsidR="00B93ADE" w:rsidRPr="000B74B1" w:rsidRDefault="00B93ADE" w:rsidP="00FF6302">
            <w:pPr>
              <w:tabs>
                <w:tab w:val="left" w:pos="510"/>
              </w:tabs>
              <w:ind w:left="113" w:right="113"/>
              <w:jc w:val="center"/>
              <w:rPr>
                <w:b/>
                <w:lang w:val="lt-LT"/>
              </w:rPr>
            </w:pPr>
            <w:r w:rsidRPr="000B74B1">
              <w:rPr>
                <w:b/>
                <w:lang w:val="lt-LT"/>
              </w:rPr>
              <w:t>1. Strateginės</w:t>
            </w:r>
          </w:p>
        </w:tc>
        <w:tc>
          <w:tcPr>
            <w:tcW w:w="4111" w:type="dxa"/>
          </w:tcPr>
          <w:p w:rsidR="00B93ADE" w:rsidRPr="00066E17" w:rsidRDefault="00B93ADE" w:rsidP="00FF6302">
            <w:pPr>
              <w:tabs>
                <w:tab w:val="left" w:pos="510"/>
              </w:tabs>
              <w:jc w:val="both"/>
              <w:rPr>
                <w:lang w:val="lt-LT"/>
              </w:rPr>
            </w:pPr>
            <w:r w:rsidRPr="00066E17">
              <w:rPr>
                <w:lang w:val="lt-LT"/>
              </w:rPr>
              <w:t xml:space="preserve">Naujų produktų, paslaugų ar verslo rūšies </w:t>
            </w:r>
            <w:r>
              <w:rPr>
                <w:lang w:val="lt-LT"/>
              </w:rPr>
              <w:t>kūrimas ir plėtra</w:t>
            </w:r>
          </w:p>
        </w:tc>
        <w:tc>
          <w:tcPr>
            <w:tcW w:w="872" w:type="dxa"/>
          </w:tcPr>
          <w:p w:rsidR="00B93ADE" w:rsidRPr="00066E17" w:rsidRDefault="00B93ADE" w:rsidP="00FF6302">
            <w:pPr>
              <w:tabs>
                <w:tab w:val="left" w:pos="510"/>
              </w:tabs>
              <w:jc w:val="center"/>
              <w:rPr>
                <w:lang w:val="lt-LT"/>
              </w:rPr>
            </w:pPr>
          </w:p>
        </w:tc>
        <w:tc>
          <w:tcPr>
            <w:tcW w:w="852" w:type="dxa"/>
            <w:gridSpan w:val="2"/>
          </w:tcPr>
          <w:p w:rsidR="00B93ADE" w:rsidRPr="00066E17" w:rsidRDefault="00B93ADE" w:rsidP="00FF6302">
            <w:pPr>
              <w:tabs>
                <w:tab w:val="left" w:pos="510"/>
              </w:tabs>
              <w:jc w:val="center"/>
              <w:rPr>
                <w:lang w:val="lt-LT"/>
              </w:rPr>
            </w:pPr>
          </w:p>
        </w:tc>
        <w:tc>
          <w:tcPr>
            <w:tcW w:w="1144" w:type="dxa"/>
            <w:gridSpan w:val="2"/>
          </w:tcPr>
          <w:p w:rsidR="00B93ADE" w:rsidRPr="00066E17" w:rsidRDefault="00B93ADE" w:rsidP="00FF6302">
            <w:pPr>
              <w:tabs>
                <w:tab w:val="left" w:pos="510"/>
              </w:tabs>
              <w:jc w:val="center"/>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F94B3D" w:rsidRDefault="00B93ADE" w:rsidP="00FF6302">
            <w:pPr>
              <w:tabs>
                <w:tab w:val="left" w:pos="510"/>
              </w:tabs>
              <w:jc w:val="center"/>
              <w:rPr>
                <w:b/>
                <w:lang w:val="lt-LT"/>
              </w:rPr>
            </w:pPr>
          </w:p>
        </w:tc>
        <w:tc>
          <w:tcPr>
            <w:tcW w:w="1134" w:type="dxa"/>
            <w:gridSpan w:val="2"/>
          </w:tcPr>
          <w:p w:rsidR="00B93ADE" w:rsidRPr="00F94B3D" w:rsidRDefault="00B93ADE" w:rsidP="00FF6302">
            <w:pPr>
              <w:tabs>
                <w:tab w:val="left" w:pos="510"/>
              </w:tabs>
              <w:jc w:val="center"/>
              <w:rPr>
                <w:b/>
                <w:lang w:val="lt-LT"/>
              </w:rPr>
            </w:pPr>
          </w:p>
        </w:tc>
        <w:tc>
          <w:tcPr>
            <w:tcW w:w="1133" w:type="dxa"/>
            <w:gridSpan w:val="2"/>
          </w:tcPr>
          <w:p w:rsidR="00B93ADE" w:rsidRPr="00F94B3D" w:rsidRDefault="00B93ADE" w:rsidP="00FF6302">
            <w:pPr>
              <w:tabs>
                <w:tab w:val="left" w:pos="510"/>
              </w:tabs>
              <w:jc w:val="center"/>
              <w:rPr>
                <w:b/>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Pr>
                <w:lang w:val="lt-LT"/>
              </w:rPr>
              <w:t>Agresyvi p</w:t>
            </w:r>
            <w:r w:rsidRPr="00066E17">
              <w:rPr>
                <w:lang w:val="lt-LT"/>
              </w:rPr>
              <w:t>lėtra į naujas vietoves</w:t>
            </w:r>
            <w:r>
              <w:rPr>
                <w:lang w:val="lt-LT"/>
              </w:rPr>
              <w:t>, d</w:t>
            </w:r>
            <w:r w:rsidRPr="00066E17">
              <w:rPr>
                <w:lang w:val="lt-LT"/>
              </w:rPr>
              <w:t>ideli įsigijimai</w:t>
            </w:r>
            <w:r>
              <w:rPr>
                <w:lang w:val="lt-LT"/>
              </w:rPr>
              <w:t xml:space="preserve"> ar investicijos</w:t>
            </w:r>
          </w:p>
        </w:tc>
        <w:tc>
          <w:tcPr>
            <w:tcW w:w="872" w:type="dxa"/>
          </w:tcPr>
          <w:p w:rsidR="00B93ADE" w:rsidRPr="006E47C8" w:rsidRDefault="00B93ADE" w:rsidP="00FF6302">
            <w:pPr>
              <w:tabs>
                <w:tab w:val="left" w:pos="510"/>
              </w:tabs>
              <w:jc w:val="center"/>
              <w:rPr>
                <w:b/>
                <w:lang w:val="lt-LT"/>
              </w:rPr>
            </w:pPr>
            <w:r w:rsidRPr="006E47C8">
              <w:rPr>
                <w:b/>
                <w:lang w:val="lt-LT"/>
              </w:rPr>
              <w:t>4</w:t>
            </w:r>
          </w:p>
        </w:tc>
        <w:tc>
          <w:tcPr>
            <w:tcW w:w="852" w:type="dxa"/>
            <w:gridSpan w:val="2"/>
          </w:tcPr>
          <w:p w:rsidR="00B93ADE" w:rsidRPr="006E47C8" w:rsidRDefault="00B93ADE" w:rsidP="00FF6302">
            <w:pPr>
              <w:tabs>
                <w:tab w:val="left" w:pos="510"/>
              </w:tabs>
              <w:jc w:val="center"/>
              <w:rPr>
                <w:b/>
                <w:lang w:val="lt-LT"/>
              </w:rPr>
            </w:pPr>
            <w:r w:rsidRPr="006E47C8">
              <w:rPr>
                <w:b/>
                <w:lang w:val="lt-LT"/>
              </w:rPr>
              <w:t>5</w:t>
            </w:r>
          </w:p>
        </w:tc>
        <w:tc>
          <w:tcPr>
            <w:tcW w:w="1144" w:type="dxa"/>
            <w:gridSpan w:val="2"/>
          </w:tcPr>
          <w:p w:rsidR="00B93ADE" w:rsidRPr="006E47C8" w:rsidRDefault="00B93ADE" w:rsidP="00FF6302">
            <w:pPr>
              <w:tabs>
                <w:tab w:val="left" w:pos="510"/>
              </w:tabs>
              <w:jc w:val="center"/>
              <w:rPr>
                <w:b/>
                <w:lang w:val="lt-LT"/>
              </w:rPr>
            </w:pPr>
            <w:r w:rsidRPr="006E47C8">
              <w:rPr>
                <w:b/>
                <w:lang w:val="lt-LT"/>
              </w:rPr>
              <w:t>20</w:t>
            </w:r>
          </w:p>
        </w:tc>
        <w:tc>
          <w:tcPr>
            <w:tcW w:w="1276" w:type="dxa"/>
            <w:gridSpan w:val="2"/>
          </w:tcPr>
          <w:p w:rsidR="00B93ADE" w:rsidRPr="00066E17" w:rsidRDefault="00B93ADE" w:rsidP="00FF6302">
            <w:pPr>
              <w:tabs>
                <w:tab w:val="left" w:pos="510"/>
              </w:tabs>
              <w:jc w:val="both"/>
              <w:rPr>
                <w:lang w:val="lt-LT"/>
              </w:rPr>
            </w:pPr>
            <w:r>
              <w:rPr>
                <w:lang w:val="lt-LT"/>
              </w:rPr>
              <w:t>Sistemų modernizavimas</w:t>
            </w:r>
          </w:p>
        </w:tc>
        <w:tc>
          <w:tcPr>
            <w:tcW w:w="1134" w:type="dxa"/>
          </w:tcPr>
          <w:p w:rsidR="00B93ADE" w:rsidRPr="00F94B3D" w:rsidRDefault="00B93ADE" w:rsidP="00FF6302">
            <w:pPr>
              <w:tabs>
                <w:tab w:val="left" w:pos="510"/>
              </w:tabs>
              <w:jc w:val="center"/>
              <w:rPr>
                <w:b/>
                <w:lang w:val="lt-LT"/>
              </w:rPr>
            </w:pPr>
            <w:r>
              <w:rPr>
                <w:b/>
                <w:lang w:val="lt-LT"/>
              </w:rPr>
              <w:t>2</w:t>
            </w:r>
          </w:p>
        </w:tc>
        <w:tc>
          <w:tcPr>
            <w:tcW w:w="1134" w:type="dxa"/>
            <w:gridSpan w:val="2"/>
          </w:tcPr>
          <w:p w:rsidR="00B93ADE" w:rsidRPr="00F94B3D" w:rsidRDefault="00B93ADE" w:rsidP="00FF6302">
            <w:pPr>
              <w:tabs>
                <w:tab w:val="left" w:pos="510"/>
              </w:tabs>
              <w:jc w:val="center"/>
              <w:rPr>
                <w:b/>
                <w:lang w:val="lt-LT"/>
              </w:rPr>
            </w:pPr>
            <w:r w:rsidRPr="00F94B3D">
              <w:rPr>
                <w:b/>
                <w:lang w:val="lt-LT"/>
              </w:rPr>
              <w:t>3</w:t>
            </w:r>
          </w:p>
        </w:tc>
        <w:tc>
          <w:tcPr>
            <w:tcW w:w="1133" w:type="dxa"/>
            <w:gridSpan w:val="2"/>
          </w:tcPr>
          <w:p w:rsidR="00B93ADE" w:rsidRPr="00F94B3D" w:rsidRDefault="00B93ADE" w:rsidP="00FF6302">
            <w:pPr>
              <w:tabs>
                <w:tab w:val="left" w:pos="510"/>
              </w:tabs>
              <w:jc w:val="center"/>
              <w:rPr>
                <w:b/>
                <w:lang w:val="lt-LT"/>
              </w:rPr>
            </w:pPr>
            <w:r>
              <w:rPr>
                <w:b/>
                <w:lang w:val="lt-LT"/>
              </w:rPr>
              <w:t>6</w:t>
            </w:r>
          </w:p>
        </w:tc>
        <w:tc>
          <w:tcPr>
            <w:tcW w:w="1277" w:type="dxa"/>
          </w:tcPr>
          <w:p w:rsidR="00B93ADE" w:rsidRPr="00066E17" w:rsidRDefault="00B93ADE" w:rsidP="00FF6302">
            <w:pPr>
              <w:tabs>
                <w:tab w:val="left" w:pos="510"/>
              </w:tabs>
              <w:jc w:val="both"/>
              <w:rPr>
                <w:lang w:val="lt-LT"/>
              </w:rPr>
            </w:pPr>
            <w:r>
              <w:rPr>
                <w:lang w:val="lt-LT"/>
              </w:rPr>
              <w:t>Gamybos proceso tobulinimas</w:t>
            </w: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sidRPr="00066E17">
              <w:rPr>
                <w:lang w:val="lt-LT"/>
              </w:rPr>
              <w:t>Sudėtingi susijungimai, bendros įmonės</w:t>
            </w:r>
            <w:r>
              <w:rPr>
                <w:lang w:val="lt-LT"/>
              </w:rPr>
              <w:t xml:space="preserve"> steigimas</w:t>
            </w:r>
            <w:r w:rsidRPr="00066E17">
              <w:rPr>
                <w:lang w:val="lt-LT"/>
              </w:rPr>
              <w:t>, reorganizacija</w:t>
            </w:r>
            <w:r>
              <w:rPr>
                <w:lang w:val="lt-LT"/>
              </w:rPr>
              <w:t>, restruktūrizavimas</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Pr>
                <w:lang w:val="lt-LT"/>
              </w:rPr>
              <w:t>Siekimas papildomo finansavimo ir siekimas</w:t>
            </w:r>
            <w:r w:rsidRPr="00BB43E3">
              <w:rPr>
                <w:lang w:val="lt-LT"/>
              </w:rPr>
              <w:t xml:space="preserve"> įvykdyti registravimo vertybinių popierių biržoje reikalavimus</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Pr>
                <w:lang w:val="lt-LT"/>
              </w:rPr>
              <w:t>Įsitraukimas į verslo sritis/ūkines operacijas, kuriose įmonė turi menką patirtį</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sidRPr="00066E17">
              <w:rPr>
                <w:lang w:val="lt-LT"/>
              </w:rPr>
              <w:t>Įmonės ar verslo segmentai, kuriuos ketinama parduoti</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sidRPr="00066E17">
              <w:rPr>
                <w:lang w:val="lt-LT"/>
              </w:rPr>
              <w:t xml:space="preserve">Kapitalo trūkumas </w:t>
            </w:r>
            <w:r>
              <w:rPr>
                <w:lang w:val="lt-LT"/>
              </w:rPr>
              <w:t>i</w:t>
            </w:r>
            <w:r w:rsidRPr="00066E17">
              <w:rPr>
                <w:lang w:val="lt-LT"/>
              </w:rPr>
              <w:t xml:space="preserve">r </w:t>
            </w:r>
            <w:r>
              <w:rPr>
                <w:lang w:val="lt-LT"/>
              </w:rPr>
              <w:t xml:space="preserve">svarstomi </w:t>
            </w:r>
            <w:r w:rsidRPr="00066E17">
              <w:rPr>
                <w:lang w:val="lt-LT"/>
              </w:rPr>
              <w:t>sudėtingi finansavimo būdai</w:t>
            </w:r>
          </w:p>
        </w:tc>
        <w:tc>
          <w:tcPr>
            <w:tcW w:w="872" w:type="dxa"/>
          </w:tcPr>
          <w:p w:rsidR="00B93ADE" w:rsidRPr="006E47C8" w:rsidRDefault="00B93ADE" w:rsidP="00FF6302">
            <w:pPr>
              <w:tabs>
                <w:tab w:val="left" w:pos="510"/>
              </w:tabs>
              <w:jc w:val="center"/>
              <w:rPr>
                <w:b/>
                <w:lang w:val="lt-LT"/>
              </w:rPr>
            </w:pPr>
            <w:r w:rsidRPr="006E47C8">
              <w:rPr>
                <w:b/>
                <w:lang w:val="lt-LT"/>
              </w:rPr>
              <w:t>3</w:t>
            </w:r>
          </w:p>
        </w:tc>
        <w:tc>
          <w:tcPr>
            <w:tcW w:w="852" w:type="dxa"/>
            <w:gridSpan w:val="2"/>
          </w:tcPr>
          <w:p w:rsidR="00B93ADE" w:rsidRPr="006E47C8" w:rsidRDefault="00B93ADE" w:rsidP="00FF6302">
            <w:pPr>
              <w:tabs>
                <w:tab w:val="left" w:pos="510"/>
              </w:tabs>
              <w:jc w:val="center"/>
              <w:rPr>
                <w:b/>
                <w:lang w:val="lt-LT"/>
              </w:rPr>
            </w:pPr>
            <w:r w:rsidRPr="006E47C8">
              <w:rPr>
                <w:b/>
                <w:lang w:val="lt-LT"/>
              </w:rPr>
              <w:t>5</w:t>
            </w:r>
          </w:p>
        </w:tc>
        <w:tc>
          <w:tcPr>
            <w:tcW w:w="1144" w:type="dxa"/>
            <w:gridSpan w:val="2"/>
          </w:tcPr>
          <w:p w:rsidR="00B93ADE" w:rsidRPr="006E47C8" w:rsidRDefault="00B93ADE" w:rsidP="00FF6302">
            <w:pPr>
              <w:tabs>
                <w:tab w:val="left" w:pos="510"/>
              </w:tabs>
              <w:jc w:val="center"/>
              <w:rPr>
                <w:b/>
                <w:lang w:val="lt-LT"/>
              </w:rPr>
            </w:pPr>
            <w:r w:rsidRPr="006E47C8">
              <w:rPr>
                <w:b/>
                <w:lang w:val="lt-LT"/>
              </w:rPr>
              <w:t>15</w:t>
            </w:r>
          </w:p>
        </w:tc>
        <w:tc>
          <w:tcPr>
            <w:tcW w:w="1276" w:type="dxa"/>
            <w:gridSpan w:val="2"/>
          </w:tcPr>
          <w:p w:rsidR="00B93ADE" w:rsidRPr="00066E17" w:rsidRDefault="00B93ADE" w:rsidP="00FF6302">
            <w:pPr>
              <w:tabs>
                <w:tab w:val="left" w:pos="510"/>
              </w:tabs>
              <w:jc w:val="both"/>
              <w:rPr>
                <w:lang w:val="lt-LT"/>
              </w:rPr>
            </w:pPr>
            <w:r>
              <w:rPr>
                <w:lang w:val="lt-LT"/>
              </w:rPr>
              <w:t>Skolos kredito įst. – Įvertinimas</w:t>
            </w:r>
          </w:p>
        </w:tc>
        <w:tc>
          <w:tcPr>
            <w:tcW w:w="1134" w:type="dxa"/>
          </w:tcPr>
          <w:p w:rsidR="00B93ADE" w:rsidRPr="00E40D7F" w:rsidRDefault="00B93ADE" w:rsidP="00FF6302">
            <w:pPr>
              <w:tabs>
                <w:tab w:val="left" w:pos="510"/>
              </w:tabs>
              <w:jc w:val="center"/>
              <w:rPr>
                <w:b/>
                <w:lang w:val="lt-LT"/>
              </w:rPr>
            </w:pPr>
            <w:r>
              <w:rPr>
                <w:b/>
                <w:lang w:val="lt-LT"/>
              </w:rPr>
              <w:t>2</w:t>
            </w:r>
          </w:p>
        </w:tc>
        <w:tc>
          <w:tcPr>
            <w:tcW w:w="1134" w:type="dxa"/>
            <w:gridSpan w:val="2"/>
          </w:tcPr>
          <w:p w:rsidR="00B93ADE" w:rsidRPr="00E40D7F" w:rsidRDefault="00B93ADE" w:rsidP="00FF6302">
            <w:pPr>
              <w:tabs>
                <w:tab w:val="left" w:pos="510"/>
              </w:tabs>
              <w:jc w:val="center"/>
              <w:rPr>
                <w:b/>
                <w:lang w:val="lt-LT"/>
              </w:rPr>
            </w:pPr>
            <w:r>
              <w:rPr>
                <w:b/>
                <w:lang w:val="lt-LT"/>
              </w:rPr>
              <w:t>3</w:t>
            </w:r>
          </w:p>
        </w:tc>
        <w:tc>
          <w:tcPr>
            <w:tcW w:w="1133" w:type="dxa"/>
            <w:gridSpan w:val="2"/>
          </w:tcPr>
          <w:p w:rsidR="00B93ADE" w:rsidRPr="00E40D7F" w:rsidRDefault="00B93ADE" w:rsidP="00FF6302">
            <w:pPr>
              <w:tabs>
                <w:tab w:val="left" w:pos="510"/>
              </w:tabs>
              <w:jc w:val="center"/>
              <w:rPr>
                <w:b/>
                <w:lang w:val="lt-LT"/>
              </w:rPr>
            </w:pPr>
            <w:r>
              <w:rPr>
                <w:b/>
                <w:lang w:val="lt-LT"/>
              </w:rPr>
              <w:t>6</w:t>
            </w:r>
          </w:p>
        </w:tc>
        <w:tc>
          <w:tcPr>
            <w:tcW w:w="1277" w:type="dxa"/>
          </w:tcPr>
          <w:p w:rsidR="00B93ADE" w:rsidRPr="00066E17" w:rsidRDefault="00B93ADE" w:rsidP="00FF6302">
            <w:pPr>
              <w:tabs>
                <w:tab w:val="left" w:pos="510"/>
              </w:tabs>
              <w:jc w:val="both"/>
              <w:rPr>
                <w:lang w:val="lt-LT"/>
              </w:rPr>
            </w:pPr>
            <w:r>
              <w:rPr>
                <w:lang w:val="lt-LT"/>
              </w:rPr>
              <w:t>Siekia ES paramos</w:t>
            </w: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sidRPr="00066E17">
              <w:rPr>
                <w:lang w:val="lt-LT"/>
              </w:rPr>
              <w:t>Investuotojų lūkesčių tenkinimas</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sidRPr="00066E17">
              <w:rPr>
                <w:lang w:val="lt-LT"/>
              </w:rPr>
              <w:t>Nesuderinta įmonės IT strategija ir verslo strategija</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Pr>
                <w:lang w:val="lt-LT"/>
              </w:rPr>
              <w:t>...</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val="restart"/>
            <w:textDirection w:val="btLr"/>
          </w:tcPr>
          <w:p w:rsidR="00B93ADE" w:rsidRPr="000B74B1" w:rsidRDefault="00B93ADE" w:rsidP="00FF6302">
            <w:pPr>
              <w:tabs>
                <w:tab w:val="left" w:pos="510"/>
              </w:tabs>
              <w:ind w:left="113" w:right="113"/>
              <w:jc w:val="center"/>
              <w:rPr>
                <w:b/>
                <w:lang w:val="lt-LT"/>
              </w:rPr>
            </w:pPr>
            <w:r w:rsidRPr="000B74B1">
              <w:rPr>
                <w:b/>
                <w:lang w:val="lt-LT"/>
              </w:rPr>
              <w:t>2. Valdymo ir vidaus kontrolės</w:t>
            </w:r>
          </w:p>
        </w:tc>
        <w:tc>
          <w:tcPr>
            <w:tcW w:w="4111" w:type="dxa"/>
          </w:tcPr>
          <w:p w:rsidR="00B93ADE" w:rsidRPr="00066E17" w:rsidRDefault="00B93ADE" w:rsidP="00FF6302">
            <w:pPr>
              <w:tabs>
                <w:tab w:val="left" w:pos="510"/>
              </w:tabs>
              <w:jc w:val="both"/>
              <w:rPr>
                <w:lang w:val="lt-LT"/>
              </w:rPr>
            </w:pPr>
            <w:r w:rsidRPr="00066E17">
              <w:rPr>
                <w:lang w:val="lt-LT"/>
              </w:rPr>
              <w:t>Vieno asmens</w:t>
            </w:r>
            <w:r>
              <w:rPr>
                <w:lang w:val="lt-LT"/>
              </w:rPr>
              <w:t>,</w:t>
            </w:r>
            <w:r w:rsidRPr="00066E17">
              <w:rPr>
                <w:lang w:val="lt-LT"/>
              </w:rPr>
              <w:t xml:space="preserve"> o ne asmenų grupės dominavimas valdyme</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sidRPr="00066E17">
              <w:rPr>
                <w:lang w:val="lt-LT"/>
              </w:rPr>
              <w:t>Netinkama vadovybės filosofija ir veiklos pobūdis</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sidRPr="00066E17">
              <w:rPr>
                <w:lang w:val="lt-LT"/>
              </w:rPr>
              <w:t>Vadovybės sąžiningumo trūkumas</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959" w:type="dxa"/>
            <w:vMerge/>
          </w:tcPr>
          <w:p w:rsidR="00B93ADE" w:rsidRPr="000B74B1" w:rsidRDefault="00B93ADE" w:rsidP="00FF6302">
            <w:pPr>
              <w:tabs>
                <w:tab w:val="left" w:pos="510"/>
              </w:tabs>
              <w:jc w:val="center"/>
              <w:rPr>
                <w:b/>
                <w:lang w:val="lt-LT"/>
              </w:rPr>
            </w:pPr>
          </w:p>
        </w:tc>
        <w:tc>
          <w:tcPr>
            <w:tcW w:w="4111" w:type="dxa"/>
          </w:tcPr>
          <w:p w:rsidR="00B93ADE" w:rsidRPr="00066E17" w:rsidRDefault="00B93ADE" w:rsidP="00FF6302">
            <w:pPr>
              <w:tabs>
                <w:tab w:val="left" w:pos="510"/>
              </w:tabs>
              <w:jc w:val="both"/>
              <w:rPr>
                <w:lang w:val="lt-LT"/>
              </w:rPr>
            </w:pPr>
            <w:r w:rsidRPr="00066E17">
              <w:rPr>
                <w:lang w:val="lt-LT"/>
              </w:rPr>
              <w:t xml:space="preserve">Vadovybės kompetencijos </w:t>
            </w:r>
            <w:r>
              <w:rPr>
                <w:lang w:val="lt-LT"/>
              </w:rPr>
              <w:t xml:space="preserve">(išsilavinimo, patirties) </w:t>
            </w:r>
            <w:r w:rsidRPr="00066E17">
              <w:rPr>
                <w:lang w:val="lt-LT"/>
              </w:rPr>
              <w:t>stoka</w:t>
            </w:r>
          </w:p>
        </w:tc>
        <w:tc>
          <w:tcPr>
            <w:tcW w:w="872" w:type="dxa"/>
          </w:tcPr>
          <w:p w:rsidR="00B93ADE" w:rsidRPr="00066E17" w:rsidRDefault="00B93ADE" w:rsidP="00FF6302">
            <w:pPr>
              <w:tabs>
                <w:tab w:val="left" w:pos="510"/>
              </w:tabs>
              <w:jc w:val="both"/>
              <w:rPr>
                <w:lang w:val="lt-LT"/>
              </w:rPr>
            </w:pPr>
          </w:p>
        </w:tc>
        <w:tc>
          <w:tcPr>
            <w:tcW w:w="852" w:type="dxa"/>
            <w:gridSpan w:val="2"/>
          </w:tcPr>
          <w:p w:rsidR="00B93ADE" w:rsidRPr="00066E17" w:rsidRDefault="00B93ADE" w:rsidP="00FF6302">
            <w:pPr>
              <w:tabs>
                <w:tab w:val="left" w:pos="510"/>
              </w:tabs>
              <w:jc w:val="both"/>
              <w:rPr>
                <w:lang w:val="lt-LT"/>
              </w:rPr>
            </w:pPr>
          </w:p>
        </w:tc>
        <w:tc>
          <w:tcPr>
            <w:tcW w:w="1144" w:type="dxa"/>
            <w:gridSpan w:val="2"/>
          </w:tcPr>
          <w:p w:rsidR="00B93ADE" w:rsidRPr="00066E17" w:rsidRDefault="00B93ADE" w:rsidP="00FF6302">
            <w:pPr>
              <w:tabs>
                <w:tab w:val="left" w:pos="510"/>
              </w:tabs>
              <w:jc w:val="both"/>
              <w:rPr>
                <w:lang w:val="lt-LT"/>
              </w:rPr>
            </w:pPr>
          </w:p>
        </w:tc>
        <w:tc>
          <w:tcPr>
            <w:tcW w:w="1276" w:type="dxa"/>
            <w:gridSpan w:val="2"/>
          </w:tcPr>
          <w:p w:rsidR="00B93ADE" w:rsidRPr="00066E17" w:rsidRDefault="00B93ADE" w:rsidP="00FF6302">
            <w:pPr>
              <w:tabs>
                <w:tab w:val="left" w:pos="510"/>
              </w:tabs>
              <w:jc w:val="both"/>
              <w:rPr>
                <w:lang w:val="lt-LT"/>
              </w:rPr>
            </w:pPr>
          </w:p>
        </w:tc>
        <w:tc>
          <w:tcPr>
            <w:tcW w:w="1134" w:type="dxa"/>
          </w:tcPr>
          <w:p w:rsidR="00B93ADE" w:rsidRPr="00066E17" w:rsidRDefault="00B93ADE" w:rsidP="00FF6302">
            <w:pPr>
              <w:tabs>
                <w:tab w:val="left" w:pos="510"/>
              </w:tabs>
              <w:jc w:val="both"/>
              <w:rPr>
                <w:lang w:val="lt-LT"/>
              </w:rPr>
            </w:pPr>
          </w:p>
        </w:tc>
        <w:tc>
          <w:tcPr>
            <w:tcW w:w="1134" w:type="dxa"/>
            <w:gridSpan w:val="2"/>
          </w:tcPr>
          <w:p w:rsidR="00B93ADE" w:rsidRPr="00066E17" w:rsidRDefault="00B93ADE" w:rsidP="00FF6302">
            <w:pPr>
              <w:tabs>
                <w:tab w:val="left" w:pos="510"/>
              </w:tabs>
              <w:jc w:val="both"/>
              <w:rPr>
                <w:lang w:val="lt-LT"/>
              </w:rPr>
            </w:pPr>
          </w:p>
        </w:tc>
        <w:tc>
          <w:tcPr>
            <w:tcW w:w="1133" w:type="dxa"/>
            <w:gridSpan w:val="2"/>
          </w:tcPr>
          <w:p w:rsidR="00B93ADE" w:rsidRPr="00066E17" w:rsidRDefault="00B93ADE" w:rsidP="00FF6302">
            <w:pPr>
              <w:tabs>
                <w:tab w:val="left" w:pos="510"/>
              </w:tabs>
              <w:jc w:val="both"/>
              <w:rPr>
                <w:lang w:val="lt-LT"/>
              </w:rPr>
            </w:pPr>
          </w:p>
        </w:tc>
        <w:tc>
          <w:tcPr>
            <w:tcW w:w="1277" w:type="dxa"/>
          </w:tcPr>
          <w:p w:rsidR="00B93ADE" w:rsidRPr="00066E17" w:rsidRDefault="00B93ADE" w:rsidP="00FF6302">
            <w:pPr>
              <w:tabs>
                <w:tab w:val="left" w:pos="510"/>
              </w:tabs>
              <w:jc w:val="both"/>
              <w:rPr>
                <w:lang w:val="lt-LT"/>
              </w:rPr>
            </w:pPr>
          </w:p>
        </w:tc>
      </w:tr>
      <w:tr w:rsidR="00B93ADE" w:rsidRPr="00D5204C" w:rsidTr="001E1AF8">
        <w:trPr>
          <w:tblHeader/>
        </w:trPr>
        <w:tc>
          <w:tcPr>
            <w:tcW w:w="5070" w:type="dxa"/>
            <w:gridSpan w:val="2"/>
            <w:vMerge w:val="restart"/>
            <w:vAlign w:val="center"/>
          </w:tcPr>
          <w:p w:rsidR="00B93ADE" w:rsidRPr="00066E17" w:rsidRDefault="00B93ADE" w:rsidP="008E4A5A">
            <w:pPr>
              <w:tabs>
                <w:tab w:val="left" w:pos="510"/>
              </w:tabs>
              <w:jc w:val="center"/>
              <w:rPr>
                <w:lang w:val="lt-LT"/>
              </w:rPr>
            </w:pPr>
            <w:r w:rsidRPr="004273CC">
              <w:rPr>
                <w:b/>
                <w:lang w:val="lt-LT"/>
              </w:rPr>
              <w:lastRenderedPageBreak/>
              <w:t xml:space="preserve">Įmonės </w:t>
            </w:r>
            <w:r>
              <w:rPr>
                <w:b/>
                <w:lang w:val="lt-LT"/>
              </w:rPr>
              <w:t>vid</w:t>
            </w:r>
            <w:r w:rsidR="008E4A5A">
              <w:rPr>
                <w:b/>
                <w:lang w:val="lt-LT"/>
              </w:rPr>
              <w:t>aus</w:t>
            </w:r>
            <w:r w:rsidRPr="004273CC">
              <w:rPr>
                <w:b/>
                <w:lang w:val="lt-LT"/>
              </w:rPr>
              <w:t xml:space="preserve"> aplinka</w:t>
            </w:r>
          </w:p>
        </w:tc>
        <w:tc>
          <w:tcPr>
            <w:tcW w:w="4144" w:type="dxa"/>
            <w:gridSpan w:val="7"/>
          </w:tcPr>
          <w:p w:rsidR="00B93ADE" w:rsidRPr="00066E17" w:rsidRDefault="00B93ADE" w:rsidP="00FF6302">
            <w:pPr>
              <w:tabs>
                <w:tab w:val="left" w:pos="510"/>
              </w:tabs>
              <w:jc w:val="center"/>
              <w:rPr>
                <w:lang w:val="lt-LT"/>
              </w:rPr>
            </w:pPr>
            <w:r>
              <w:rPr>
                <w:b/>
                <w:lang w:val="lt-LT"/>
              </w:rPr>
              <w:t>UAB „Šiluma“</w:t>
            </w:r>
          </w:p>
        </w:tc>
        <w:tc>
          <w:tcPr>
            <w:tcW w:w="4678" w:type="dxa"/>
            <w:gridSpan w:val="6"/>
          </w:tcPr>
          <w:p w:rsidR="00B93ADE" w:rsidRPr="00066E17" w:rsidRDefault="00B93ADE" w:rsidP="00FF6302">
            <w:pPr>
              <w:tabs>
                <w:tab w:val="left" w:pos="510"/>
              </w:tabs>
              <w:jc w:val="center"/>
              <w:rPr>
                <w:lang w:val="lt-LT"/>
              </w:rPr>
            </w:pPr>
            <w:r>
              <w:rPr>
                <w:b/>
                <w:lang w:val="lt-LT"/>
              </w:rPr>
              <w:t>UAB „Žuvila“</w:t>
            </w:r>
          </w:p>
        </w:tc>
      </w:tr>
      <w:tr w:rsidR="00B93ADE" w:rsidRPr="00D5204C" w:rsidTr="001E1AF8">
        <w:trPr>
          <w:tblHeader/>
        </w:trPr>
        <w:tc>
          <w:tcPr>
            <w:tcW w:w="5070" w:type="dxa"/>
            <w:gridSpan w:val="2"/>
            <w:vMerge/>
          </w:tcPr>
          <w:p w:rsidR="00B93ADE" w:rsidRDefault="00B93ADE" w:rsidP="00FF6302">
            <w:pPr>
              <w:tabs>
                <w:tab w:val="left" w:pos="510"/>
              </w:tabs>
              <w:jc w:val="center"/>
              <w:rPr>
                <w:lang w:val="lt-LT"/>
              </w:rPr>
            </w:pPr>
          </w:p>
        </w:tc>
        <w:tc>
          <w:tcPr>
            <w:tcW w:w="2868" w:type="dxa"/>
            <w:gridSpan w:val="5"/>
            <w:vAlign w:val="center"/>
          </w:tcPr>
          <w:p w:rsidR="00B93ADE" w:rsidRDefault="00B93ADE" w:rsidP="00FF6302">
            <w:pPr>
              <w:tabs>
                <w:tab w:val="left" w:pos="510"/>
              </w:tabs>
              <w:jc w:val="center"/>
              <w:rPr>
                <w:lang w:val="lt-LT"/>
              </w:rPr>
            </w:pPr>
            <w:r w:rsidRPr="004273CC">
              <w:rPr>
                <w:b/>
                <w:lang w:val="lt-LT"/>
              </w:rPr>
              <w:t>Rizikos vertinimas</w:t>
            </w:r>
          </w:p>
        </w:tc>
        <w:tc>
          <w:tcPr>
            <w:tcW w:w="1276" w:type="dxa"/>
            <w:gridSpan w:val="2"/>
            <w:vMerge w:val="restart"/>
            <w:vAlign w:val="center"/>
          </w:tcPr>
          <w:p w:rsidR="00B93ADE" w:rsidRDefault="00B93ADE" w:rsidP="00FF6302">
            <w:pPr>
              <w:tabs>
                <w:tab w:val="left" w:pos="510"/>
              </w:tabs>
              <w:jc w:val="center"/>
              <w:rPr>
                <w:lang w:val="lt-LT"/>
              </w:rPr>
            </w:pPr>
            <w:r w:rsidRPr="004273CC">
              <w:rPr>
                <w:b/>
                <w:lang w:val="lt-LT"/>
              </w:rPr>
              <w:t>Pastabos</w:t>
            </w:r>
          </w:p>
        </w:tc>
        <w:tc>
          <w:tcPr>
            <w:tcW w:w="3401" w:type="dxa"/>
            <w:gridSpan w:val="5"/>
          </w:tcPr>
          <w:p w:rsidR="00B93ADE" w:rsidRPr="004273CC" w:rsidRDefault="00B93ADE" w:rsidP="00FF6302">
            <w:pPr>
              <w:tabs>
                <w:tab w:val="left" w:pos="510"/>
              </w:tabs>
              <w:jc w:val="center"/>
              <w:rPr>
                <w:lang w:val="lt-LT"/>
              </w:rPr>
            </w:pPr>
            <w:r w:rsidRPr="004273CC">
              <w:rPr>
                <w:b/>
                <w:lang w:val="lt-LT"/>
              </w:rPr>
              <w:t>Rizikos vertinimas</w:t>
            </w:r>
          </w:p>
        </w:tc>
        <w:tc>
          <w:tcPr>
            <w:tcW w:w="1277" w:type="dxa"/>
            <w:vMerge w:val="restart"/>
            <w:vAlign w:val="center"/>
          </w:tcPr>
          <w:p w:rsidR="00B93ADE" w:rsidRPr="004273CC" w:rsidRDefault="00B93ADE" w:rsidP="00FF6302">
            <w:pPr>
              <w:tabs>
                <w:tab w:val="left" w:pos="510"/>
              </w:tabs>
              <w:jc w:val="center"/>
              <w:rPr>
                <w:lang w:val="lt-LT"/>
              </w:rPr>
            </w:pPr>
            <w:r w:rsidRPr="004273CC">
              <w:rPr>
                <w:b/>
                <w:lang w:val="lt-LT"/>
              </w:rPr>
              <w:t>Pastabos</w:t>
            </w:r>
          </w:p>
        </w:tc>
      </w:tr>
      <w:tr w:rsidR="00B93ADE" w:rsidRPr="00D5204C" w:rsidTr="003C4F08">
        <w:trPr>
          <w:tblHeader/>
        </w:trPr>
        <w:tc>
          <w:tcPr>
            <w:tcW w:w="959" w:type="dxa"/>
            <w:vAlign w:val="center"/>
          </w:tcPr>
          <w:p w:rsidR="00B93ADE" w:rsidRPr="004273CC" w:rsidRDefault="00B93ADE" w:rsidP="00FF6302">
            <w:pPr>
              <w:tabs>
                <w:tab w:val="left" w:pos="510"/>
              </w:tabs>
              <w:jc w:val="center"/>
              <w:rPr>
                <w:b/>
                <w:lang w:val="lt-LT"/>
              </w:rPr>
            </w:pPr>
            <w:r w:rsidRPr="004273CC">
              <w:rPr>
                <w:b/>
                <w:lang w:val="lt-LT"/>
              </w:rPr>
              <w:t>Sąlygos</w:t>
            </w:r>
          </w:p>
        </w:tc>
        <w:tc>
          <w:tcPr>
            <w:tcW w:w="4111" w:type="dxa"/>
            <w:vAlign w:val="center"/>
          </w:tcPr>
          <w:p w:rsidR="00B93ADE" w:rsidRPr="004273CC" w:rsidRDefault="00B93ADE" w:rsidP="00FF6302">
            <w:pPr>
              <w:tabs>
                <w:tab w:val="left" w:pos="510"/>
              </w:tabs>
              <w:jc w:val="center"/>
              <w:rPr>
                <w:b/>
                <w:lang w:val="lt-LT"/>
              </w:rPr>
            </w:pPr>
            <w:r w:rsidRPr="004273CC">
              <w:rPr>
                <w:b/>
                <w:lang w:val="lt-LT"/>
              </w:rPr>
              <w:t>Veiksniai</w:t>
            </w:r>
          </w:p>
        </w:tc>
        <w:tc>
          <w:tcPr>
            <w:tcW w:w="1134" w:type="dxa"/>
            <w:gridSpan w:val="2"/>
          </w:tcPr>
          <w:p w:rsidR="00B93ADE" w:rsidRPr="004273CC" w:rsidRDefault="00B93ADE" w:rsidP="00FF6302">
            <w:pPr>
              <w:tabs>
                <w:tab w:val="left" w:pos="510"/>
              </w:tabs>
              <w:jc w:val="center"/>
              <w:rPr>
                <w:lang w:val="lt-LT"/>
              </w:rPr>
            </w:pPr>
            <w:r w:rsidRPr="004273CC">
              <w:rPr>
                <w:lang w:val="lt-LT"/>
              </w:rPr>
              <w:t>Tikimybė (1-5)</w:t>
            </w:r>
          </w:p>
        </w:tc>
        <w:tc>
          <w:tcPr>
            <w:tcW w:w="708" w:type="dxa"/>
            <w:gridSpan w:val="2"/>
          </w:tcPr>
          <w:p w:rsidR="00B93ADE" w:rsidRPr="004273CC" w:rsidRDefault="00B93ADE" w:rsidP="00FF6302">
            <w:pPr>
              <w:tabs>
                <w:tab w:val="left" w:pos="510"/>
              </w:tabs>
              <w:jc w:val="center"/>
              <w:rPr>
                <w:lang w:val="lt-LT"/>
              </w:rPr>
            </w:pPr>
            <w:r w:rsidRPr="004273CC">
              <w:rPr>
                <w:lang w:val="lt-LT"/>
              </w:rPr>
              <w:t>Įtaka</w:t>
            </w:r>
          </w:p>
          <w:p w:rsidR="00B93ADE" w:rsidRPr="004273CC" w:rsidRDefault="00B93ADE" w:rsidP="00FF6302">
            <w:pPr>
              <w:tabs>
                <w:tab w:val="left" w:pos="510"/>
              </w:tabs>
              <w:jc w:val="center"/>
              <w:rPr>
                <w:lang w:val="lt-LT"/>
              </w:rPr>
            </w:pPr>
            <w:r w:rsidRPr="004273CC">
              <w:rPr>
                <w:lang w:val="lt-LT"/>
              </w:rPr>
              <w:t>(1-5)</w:t>
            </w:r>
          </w:p>
        </w:tc>
        <w:tc>
          <w:tcPr>
            <w:tcW w:w="1026" w:type="dxa"/>
          </w:tcPr>
          <w:p w:rsidR="00B93ADE" w:rsidRPr="004273CC" w:rsidRDefault="00B93ADE" w:rsidP="00FF6302">
            <w:pPr>
              <w:tabs>
                <w:tab w:val="left" w:pos="510"/>
              </w:tabs>
              <w:jc w:val="center"/>
              <w:rPr>
                <w:lang w:val="lt-LT"/>
              </w:rPr>
            </w:pPr>
            <w:r w:rsidRPr="004273CC">
              <w:rPr>
                <w:lang w:val="lt-LT"/>
              </w:rPr>
              <w:t>Tikimybė * Įtaka</w:t>
            </w:r>
          </w:p>
        </w:tc>
        <w:tc>
          <w:tcPr>
            <w:tcW w:w="1276" w:type="dxa"/>
            <w:gridSpan w:val="2"/>
            <w:vMerge/>
          </w:tcPr>
          <w:p w:rsidR="00B93ADE" w:rsidRPr="004273CC" w:rsidRDefault="00B93ADE" w:rsidP="00FF6302">
            <w:pPr>
              <w:tabs>
                <w:tab w:val="left" w:pos="510"/>
              </w:tabs>
              <w:jc w:val="center"/>
              <w:rPr>
                <w:b/>
                <w:lang w:val="lt-LT"/>
              </w:rPr>
            </w:pPr>
          </w:p>
        </w:tc>
        <w:tc>
          <w:tcPr>
            <w:tcW w:w="1134" w:type="dxa"/>
          </w:tcPr>
          <w:p w:rsidR="00B93ADE" w:rsidRPr="004273CC" w:rsidRDefault="00B93ADE" w:rsidP="00FF6302">
            <w:pPr>
              <w:tabs>
                <w:tab w:val="left" w:pos="510"/>
              </w:tabs>
              <w:jc w:val="center"/>
              <w:rPr>
                <w:lang w:val="lt-LT"/>
              </w:rPr>
            </w:pPr>
            <w:r w:rsidRPr="004273CC">
              <w:rPr>
                <w:lang w:val="lt-LT"/>
              </w:rPr>
              <w:t>Tikimybė (1-5)</w:t>
            </w:r>
          </w:p>
        </w:tc>
        <w:tc>
          <w:tcPr>
            <w:tcW w:w="1134" w:type="dxa"/>
            <w:gridSpan w:val="2"/>
          </w:tcPr>
          <w:p w:rsidR="00B93ADE" w:rsidRPr="004273CC" w:rsidRDefault="00B93ADE" w:rsidP="00FF6302">
            <w:pPr>
              <w:tabs>
                <w:tab w:val="left" w:pos="510"/>
              </w:tabs>
              <w:jc w:val="center"/>
              <w:rPr>
                <w:lang w:val="lt-LT"/>
              </w:rPr>
            </w:pPr>
            <w:r w:rsidRPr="004273CC">
              <w:rPr>
                <w:lang w:val="lt-LT"/>
              </w:rPr>
              <w:t>Įtaka</w:t>
            </w:r>
          </w:p>
          <w:p w:rsidR="00B93ADE" w:rsidRPr="004273CC" w:rsidRDefault="00B93ADE" w:rsidP="00FF6302">
            <w:pPr>
              <w:tabs>
                <w:tab w:val="left" w:pos="510"/>
              </w:tabs>
              <w:jc w:val="center"/>
              <w:rPr>
                <w:lang w:val="lt-LT"/>
              </w:rPr>
            </w:pPr>
            <w:r w:rsidRPr="004273CC">
              <w:rPr>
                <w:lang w:val="lt-LT"/>
              </w:rPr>
              <w:t>(1-5)</w:t>
            </w:r>
          </w:p>
        </w:tc>
        <w:tc>
          <w:tcPr>
            <w:tcW w:w="1133" w:type="dxa"/>
            <w:gridSpan w:val="2"/>
          </w:tcPr>
          <w:p w:rsidR="00B93ADE" w:rsidRPr="004273CC" w:rsidRDefault="00B93ADE" w:rsidP="00FF6302">
            <w:pPr>
              <w:tabs>
                <w:tab w:val="left" w:pos="510"/>
              </w:tabs>
              <w:jc w:val="center"/>
              <w:rPr>
                <w:lang w:val="lt-LT"/>
              </w:rPr>
            </w:pPr>
            <w:r w:rsidRPr="004273CC">
              <w:rPr>
                <w:lang w:val="lt-LT"/>
              </w:rPr>
              <w:t>Tikimybė * Įtaka</w:t>
            </w:r>
          </w:p>
        </w:tc>
        <w:tc>
          <w:tcPr>
            <w:tcW w:w="1277" w:type="dxa"/>
            <w:vMerge/>
          </w:tcPr>
          <w:p w:rsidR="00B93ADE" w:rsidRPr="004273CC" w:rsidRDefault="00B93ADE" w:rsidP="00FF6302">
            <w:pPr>
              <w:tabs>
                <w:tab w:val="left" w:pos="510"/>
              </w:tabs>
              <w:jc w:val="center"/>
              <w:rPr>
                <w:b/>
                <w:lang w:val="lt-LT"/>
              </w:rPr>
            </w:pPr>
          </w:p>
        </w:tc>
      </w:tr>
      <w:tr w:rsidR="00EA77E9" w:rsidRPr="00D5204C" w:rsidTr="003C4F08">
        <w:trPr>
          <w:tblHeader/>
        </w:trPr>
        <w:tc>
          <w:tcPr>
            <w:tcW w:w="959" w:type="dxa"/>
            <w:vMerge w:val="restart"/>
            <w:textDirection w:val="btLr"/>
          </w:tcPr>
          <w:p w:rsidR="00EA77E9" w:rsidRPr="000B74B1" w:rsidRDefault="00EA77E9" w:rsidP="00FF6302">
            <w:pPr>
              <w:tabs>
                <w:tab w:val="left" w:pos="510"/>
              </w:tabs>
              <w:ind w:left="113" w:right="113"/>
              <w:jc w:val="center"/>
              <w:rPr>
                <w:b/>
                <w:lang w:val="lt-LT"/>
              </w:rPr>
            </w:pPr>
            <w:r w:rsidRPr="000B74B1">
              <w:rPr>
                <w:b/>
                <w:lang w:val="lt-LT"/>
              </w:rPr>
              <w:t>2. Valdymo ir vidaus kontrolės</w:t>
            </w:r>
          </w:p>
        </w:tc>
        <w:tc>
          <w:tcPr>
            <w:tcW w:w="4111" w:type="dxa"/>
          </w:tcPr>
          <w:p w:rsidR="00EA77E9" w:rsidRPr="00066E17" w:rsidRDefault="00EA77E9" w:rsidP="00FF6302">
            <w:pPr>
              <w:tabs>
                <w:tab w:val="left" w:pos="510"/>
              </w:tabs>
              <w:jc w:val="both"/>
              <w:rPr>
                <w:lang w:val="lt-LT"/>
              </w:rPr>
            </w:pPr>
            <w:r w:rsidRPr="00066E17">
              <w:rPr>
                <w:lang w:val="lt-LT"/>
              </w:rPr>
              <w:t>Neveiksmingai deklaruojamos vertybės ir etikos normos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Organizacinės struktūros, pareigų atskyrimo, įgaliojimų politikos trūkumai</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Už valdymą atsakingų asmenų spaudimas vadovybei</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Vadovybės</w:t>
            </w:r>
            <w:r>
              <w:rPr>
                <w:lang w:val="lt-LT"/>
              </w:rPr>
              <w:t>/</w:t>
            </w:r>
            <w:r w:rsidRPr="00066E17">
              <w:rPr>
                <w:lang w:val="lt-LT"/>
              </w:rPr>
              <w:t xml:space="preserve">už valdymą atsakingų asmenų </w:t>
            </w:r>
            <w:r>
              <w:rPr>
                <w:lang w:val="lt-LT"/>
              </w:rPr>
              <w:t>atlyginimo</w:t>
            </w:r>
            <w:r w:rsidRPr="00066E17">
              <w:rPr>
                <w:lang w:val="lt-LT"/>
              </w:rPr>
              <w:t xml:space="preserve"> priklausomybė nuo finansinių rezultatų</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Vadovybės sprendimu registruojamos ūkinės operacijos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Pr>
                <w:lang w:val="lt-LT"/>
              </w:rPr>
              <w:t>Nesugebėjimas pripažinti pasikeitimo reikalingumo, tokio kaip reikiami įgūdžiai ar technologijų naudojimas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cPr>
          <w:p w:rsidR="00EA77E9" w:rsidRPr="000B74B1" w:rsidRDefault="00EA77E9" w:rsidP="00FF6302">
            <w:pPr>
              <w:tabs>
                <w:tab w:val="left" w:pos="510"/>
              </w:tabs>
              <w:ind w:left="113" w:right="113"/>
              <w:jc w:val="center"/>
              <w:rPr>
                <w:b/>
                <w:lang w:val="lt-LT"/>
              </w:rPr>
            </w:pPr>
          </w:p>
        </w:tc>
        <w:tc>
          <w:tcPr>
            <w:tcW w:w="4111" w:type="dxa"/>
          </w:tcPr>
          <w:p w:rsidR="00EA77E9" w:rsidRDefault="00EA77E9" w:rsidP="00FF6302">
            <w:pPr>
              <w:tabs>
                <w:tab w:val="left" w:pos="510"/>
              </w:tabs>
              <w:jc w:val="both"/>
              <w:rPr>
                <w:lang w:val="lt-LT"/>
              </w:rPr>
            </w:pPr>
            <w:r>
              <w:rPr>
                <w:lang w:val="lt-LT"/>
              </w:rPr>
              <w:t>Nepagrįstas atsakas į greitą pardavimų augimą ar smukimą (galimas vidaus kontrolės sistemos apkrovimas, žmonių įgūdžių trūkumas)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extDirection w:val="btLr"/>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Vidaus audito padalinio/audito komiteto nebuvimas ar neveiksmingumas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extDirection w:val="btLr"/>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 xml:space="preserve">Vidaus kontrolės nepaisymas ar netobulinimas, </w:t>
            </w:r>
            <w:r>
              <w:rPr>
                <w:lang w:val="lt-LT"/>
              </w:rPr>
              <w:t xml:space="preserve">trūkumų nešalinimas, </w:t>
            </w:r>
            <w:r w:rsidRPr="00066E17">
              <w:rPr>
                <w:lang w:val="lt-LT"/>
              </w:rPr>
              <w:t>nepakankama stebėsena</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extDirection w:val="btLr"/>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Svarbių vadovų ar darbuotojų pasitraukimas/pasikeitimas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extDirection w:val="btLr"/>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Turto grobstymo tikimybė</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extDirection w:val="btLr"/>
          </w:tcPr>
          <w:p w:rsidR="00EA77E9" w:rsidRPr="000B74B1" w:rsidRDefault="00EA77E9" w:rsidP="00FF6302">
            <w:pPr>
              <w:tabs>
                <w:tab w:val="left" w:pos="510"/>
              </w:tabs>
              <w:ind w:left="113" w:right="113"/>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Audito/kitų patikrinimų periodinis neatlikimas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Default="00EA77E9" w:rsidP="00FF6302">
            <w:pPr>
              <w:tabs>
                <w:tab w:val="left" w:pos="510"/>
              </w:tabs>
              <w:jc w:val="both"/>
              <w:rPr>
                <w:lang w:val="lt-LT"/>
              </w:rPr>
            </w:pPr>
            <w:r>
              <w:rPr>
                <w:lang w:val="lt-LT"/>
              </w:rPr>
              <w:t>Vadovybės nesidomėjimas įmonės veiklos rezultatais, finansiniais rodikliais ir jų tendencijomis</w:t>
            </w:r>
          </w:p>
          <w:p w:rsidR="003C4F08" w:rsidRDefault="003C4F08" w:rsidP="00FF6302">
            <w:pPr>
              <w:tabs>
                <w:tab w:val="left" w:pos="510"/>
              </w:tabs>
              <w:jc w:val="both"/>
              <w:rPr>
                <w:lang w:val="lt-LT"/>
              </w:rPr>
            </w:pPr>
          </w:p>
          <w:p w:rsidR="003C4F08" w:rsidRPr="00066E17" w:rsidRDefault="003C4F08"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3C4F0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Pr>
                <w:lang w:val="lt-LT"/>
              </w:rPr>
              <w:t>...</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33" w:type="dxa"/>
            <w:gridSpan w:val="2"/>
          </w:tcPr>
          <w:p w:rsidR="00EA77E9" w:rsidRPr="00066E17" w:rsidRDefault="00EA77E9" w:rsidP="00FF6302">
            <w:pPr>
              <w:tabs>
                <w:tab w:val="left" w:pos="510"/>
              </w:tabs>
              <w:jc w:val="both"/>
              <w:rPr>
                <w:lang w:val="lt-LT"/>
              </w:rPr>
            </w:pPr>
          </w:p>
        </w:tc>
        <w:tc>
          <w:tcPr>
            <w:tcW w:w="1277" w:type="dxa"/>
          </w:tcPr>
          <w:p w:rsidR="00EA77E9" w:rsidRPr="00066E17" w:rsidRDefault="00EA77E9" w:rsidP="00FF6302">
            <w:pPr>
              <w:tabs>
                <w:tab w:val="left" w:pos="510"/>
              </w:tabs>
              <w:jc w:val="both"/>
              <w:rPr>
                <w:lang w:val="lt-LT"/>
              </w:rPr>
            </w:pPr>
          </w:p>
        </w:tc>
      </w:tr>
      <w:tr w:rsidR="00EA77E9" w:rsidRPr="00D5204C" w:rsidTr="001E1AF8">
        <w:trPr>
          <w:tblHeader/>
        </w:trPr>
        <w:tc>
          <w:tcPr>
            <w:tcW w:w="5070" w:type="dxa"/>
            <w:gridSpan w:val="2"/>
            <w:vMerge w:val="restart"/>
            <w:vAlign w:val="center"/>
          </w:tcPr>
          <w:p w:rsidR="00EA77E9" w:rsidRPr="00066E17" w:rsidRDefault="00EA77E9" w:rsidP="008E4A5A">
            <w:pPr>
              <w:tabs>
                <w:tab w:val="left" w:pos="510"/>
              </w:tabs>
              <w:jc w:val="center"/>
              <w:rPr>
                <w:lang w:val="lt-LT"/>
              </w:rPr>
            </w:pPr>
            <w:r w:rsidRPr="004273CC">
              <w:rPr>
                <w:b/>
                <w:lang w:val="lt-LT"/>
              </w:rPr>
              <w:lastRenderedPageBreak/>
              <w:t xml:space="preserve">Įmonės </w:t>
            </w:r>
            <w:r>
              <w:rPr>
                <w:b/>
                <w:lang w:val="lt-LT"/>
              </w:rPr>
              <w:t>vid</w:t>
            </w:r>
            <w:r w:rsidR="008E4A5A">
              <w:rPr>
                <w:b/>
                <w:lang w:val="lt-LT"/>
              </w:rPr>
              <w:t>aus</w:t>
            </w:r>
            <w:r w:rsidRPr="004273CC">
              <w:rPr>
                <w:b/>
                <w:lang w:val="lt-LT"/>
              </w:rPr>
              <w:t xml:space="preserve"> aplinka</w:t>
            </w:r>
          </w:p>
        </w:tc>
        <w:tc>
          <w:tcPr>
            <w:tcW w:w="4144" w:type="dxa"/>
            <w:gridSpan w:val="7"/>
          </w:tcPr>
          <w:p w:rsidR="00EA77E9" w:rsidRPr="00066E17" w:rsidRDefault="00EA77E9" w:rsidP="00FF6302">
            <w:pPr>
              <w:tabs>
                <w:tab w:val="left" w:pos="510"/>
              </w:tabs>
              <w:jc w:val="center"/>
              <w:rPr>
                <w:lang w:val="lt-LT"/>
              </w:rPr>
            </w:pPr>
            <w:r>
              <w:rPr>
                <w:b/>
                <w:lang w:val="lt-LT"/>
              </w:rPr>
              <w:t>UAB „Šiluma“</w:t>
            </w:r>
          </w:p>
        </w:tc>
        <w:tc>
          <w:tcPr>
            <w:tcW w:w="4678" w:type="dxa"/>
            <w:gridSpan w:val="6"/>
          </w:tcPr>
          <w:p w:rsidR="00EA77E9" w:rsidRPr="00066E17" w:rsidRDefault="00EA77E9" w:rsidP="00FF6302">
            <w:pPr>
              <w:tabs>
                <w:tab w:val="left" w:pos="510"/>
              </w:tabs>
              <w:jc w:val="center"/>
              <w:rPr>
                <w:lang w:val="lt-LT"/>
              </w:rPr>
            </w:pPr>
            <w:r>
              <w:rPr>
                <w:b/>
                <w:lang w:val="lt-LT"/>
              </w:rPr>
              <w:t>UAB „Žuvila“</w:t>
            </w:r>
          </w:p>
        </w:tc>
      </w:tr>
      <w:tr w:rsidR="00EA77E9" w:rsidRPr="00D5204C" w:rsidTr="001E1AF8">
        <w:trPr>
          <w:tblHeader/>
        </w:trPr>
        <w:tc>
          <w:tcPr>
            <w:tcW w:w="5070" w:type="dxa"/>
            <w:gridSpan w:val="2"/>
            <w:vMerge/>
          </w:tcPr>
          <w:p w:rsidR="00EA77E9" w:rsidRDefault="00EA77E9" w:rsidP="00FF6302">
            <w:pPr>
              <w:tabs>
                <w:tab w:val="left" w:pos="510"/>
              </w:tabs>
              <w:jc w:val="center"/>
              <w:rPr>
                <w:lang w:val="lt-LT"/>
              </w:rPr>
            </w:pPr>
          </w:p>
        </w:tc>
        <w:tc>
          <w:tcPr>
            <w:tcW w:w="2868" w:type="dxa"/>
            <w:gridSpan w:val="5"/>
            <w:vAlign w:val="center"/>
          </w:tcPr>
          <w:p w:rsidR="00EA77E9" w:rsidRDefault="00EA77E9" w:rsidP="00FF6302">
            <w:pPr>
              <w:tabs>
                <w:tab w:val="left" w:pos="510"/>
              </w:tabs>
              <w:jc w:val="center"/>
              <w:rPr>
                <w:lang w:val="lt-LT"/>
              </w:rPr>
            </w:pPr>
            <w:r w:rsidRPr="004273CC">
              <w:rPr>
                <w:b/>
                <w:lang w:val="lt-LT"/>
              </w:rPr>
              <w:t>Rizikos vertinimas</w:t>
            </w:r>
          </w:p>
        </w:tc>
        <w:tc>
          <w:tcPr>
            <w:tcW w:w="1276" w:type="dxa"/>
            <w:gridSpan w:val="2"/>
            <w:vMerge w:val="restart"/>
            <w:vAlign w:val="center"/>
          </w:tcPr>
          <w:p w:rsidR="00EA77E9" w:rsidRDefault="00EA77E9" w:rsidP="00FF6302">
            <w:pPr>
              <w:tabs>
                <w:tab w:val="left" w:pos="510"/>
              </w:tabs>
              <w:jc w:val="center"/>
              <w:rPr>
                <w:lang w:val="lt-LT"/>
              </w:rPr>
            </w:pPr>
            <w:r w:rsidRPr="004273CC">
              <w:rPr>
                <w:b/>
                <w:lang w:val="lt-LT"/>
              </w:rPr>
              <w:t>Pastabos</w:t>
            </w:r>
          </w:p>
        </w:tc>
        <w:tc>
          <w:tcPr>
            <w:tcW w:w="3260" w:type="dxa"/>
            <w:gridSpan w:val="4"/>
          </w:tcPr>
          <w:p w:rsidR="00EA77E9" w:rsidRPr="004273CC" w:rsidRDefault="00EA77E9" w:rsidP="00FF6302">
            <w:pPr>
              <w:tabs>
                <w:tab w:val="left" w:pos="510"/>
              </w:tabs>
              <w:jc w:val="center"/>
              <w:rPr>
                <w:lang w:val="lt-LT"/>
              </w:rPr>
            </w:pPr>
            <w:r w:rsidRPr="004273CC">
              <w:rPr>
                <w:b/>
                <w:lang w:val="lt-LT"/>
              </w:rPr>
              <w:t>Rizikos vertinimas</w:t>
            </w:r>
          </w:p>
        </w:tc>
        <w:tc>
          <w:tcPr>
            <w:tcW w:w="1418" w:type="dxa"/>
            <w:gridSpan w:val="2"/>
            <w:vMerge w:val="restart"/>
            <w:vAlign w:val="center"/>
          </w:tcPr>
          <w:p w:rsidR="00EA77E9" w:rsidRPr="004273CC" w:rsidRDefault="00EA77E9" w:rsidP="00FF6302">
            <w:pPr>
              <w:tabs>
                <w:tab w:val="left" w:pos="510"/>
              </w:tabs>
              <w:jc w:val="center"/>
              <w:rPr>
                <w:lang w:val="lt-LT"/>
              </w:rPr>
            </w:pPr>
            <w:r w:rsidRPr="004273CC">
              <w:rPr>
                <w:b/>
                <w:lang w:val="lt-LT"/>
              </w:rPr>
              <w:t>Pastabos</w:t>
            </w:r>
          </w:p>
        </w:tc>
      </w:tr>
      <w:tr w:rsidR="00EA77E9" w:rsidRPr="00D5204C" w:rsidTr="001E1AF8">
        <w:trPr>
          <w:tblHeader/>
        </w:trPr>
        <w:tc>
          <w:tcPr>
            <w:tcW w:w="959" w:type="dxa"/>
            <w:vAlign w:val="center"/>
          </w:tcPr>
          <w:p w:rsidR="00EA77E9" w:rsidRPr="004273CC" w:rsidRDefault="00EA77E9" w:rsidP="00FF6302">
            <w:pPr>
              <w:tabs>
                <w:tab w:val="left" w:pos="510"/>
              </w:tabs>
              <w:jc w:val="center"/>
              <w:rPr>
                <w:b/>
                <w:lang w:val="lt-LT"/>
              </w:rPr>
            </w:pPr>
            <w:r w:rsidRPr="004273CC">
              <w:rPr>
                <w:b/>
                <w:lang w:val="lt-LT"/>
              </w:rPr>
              <w:t>Sąlygos</w:t>
            </w:r>
          </w:p>
        </w:tc>
        <w:tc>
          <w:tcPr>
            <w:tcW w:w="4111" w:type="dxa"/>
            <w:vAlign w:val="center"/>
          </w:tcPr>
          <w:p w:rsidR="00EA77E9" w:rsidRPr="004273CC" w:rsidRDefault="00EA77E9" w:rsidP="00FF6302">
            <w:pPr>
              <w:tabs>
                <w:tab w:val="left" w:pos="510"/>
              </w:tabs>
              <w:jc w:val="center"/>
              <w:rPr>
                <w:b/>
                <w:lang w:val="lt-LT"/>
              </w:rPr>
            </w:pPr>
            <w:r w:rsidRPr="004273CC">
              <w:rPr>
                <w:b/>
                <w:lang w:val="lt-LT"/>
              </w:rPr>
              <w:t>Veiksniai</w:t>
            </w:r>
          </w:p>
        </w:tc>
        <w:tc>
          <w:tcPr>
            <w:tcW w:w="1134" w:type="dxa"/>
            <w:gridSpan w:val="2"/>
          </w:tcPr>
          <w:p w:rsidR="00EA77E9" w:rsidRPr="004273CC" w:rsidRDefault="00EA77E9" w:rsidP="00FF6302">
            <w:pPr>
              <w:tabs>
                <w:tab w:val="left" w:pos="510"/>
              </w:tabs>
              <w:jc w:val="center"/>
              <w:rPr>
                <w:lang w:val="lt-LT"/>
              </w:rPr>
            </w:pPr>
            <w:r w:rsidRPr="004273CC">
              <w:rPr>
                <w:lang w:val="lt-LT"/>
              </w:rPr>
              <w:t>Tikimybė (1-5)</w:t>
            </w:r>
          </w:p>
        </w:tc>
        <w:tc>
          <w:tcPr>
            <w:tcW w:w="708" w:type="dxa"/>
            <w:gridSpan w:val="2"/>
          </w:tcPr>
          <w:p w:rsidR="00EA77E9" w:rsidRPr="004273CC" w:rsidRDefault="00EA77E9" w:rsidP="00FF6302">
            <w:pPr>
              <w:tabs>
                <w:tab w:val="left" w:pos="510"/>
              </w:tabs>
              <w:jc w:val="center"/>
              <w:rPr>
                <w:lang w:val="lt-LT"/>
              </w:rPr>
            </w:pPr>
            <w:r w:rsidRPr="004273CC">
              <w:rPr>
                <w:lang w:val="lt-LT"/>
              </w:rPr>
              <w:t>Įtaka</w:t>
            </w:r>
          </w:p>
          <w:p w:rsidR="00EA77E9" w:rsidRPr="004273CC" w:rsidRDefault="00EA77E9" w:rsidP="00FF6302">
            <w:pPr>
              <w:tabs>
                <w:tab w:val="left" w:pos="510"/>
              </w:tabs>
              <w:jc w:val="center"/>
              <w:rPr>
                <w:lang w:val="lt-LT"/>
              </w:rPr>
            </w:pPr>
            <w:r w:rsidRPr="004273CC">
              <w:rPr>
                <w:lang w:val="lt-LT"/>
              </w:rPr>
              <w:t>(1-5)</w:t>
            </w:r>
          </w:p>
        </w:tc>
        <w:tc>
          <w:tcPr>
            <w:tcW w:w="1026" w:type="dxa"/>
          </w:tcPr>
          <w:p w:rsidR="00EA77E9" w:rsidRPr="004273CC" w:rsidRDefault="00EA77E9" w:rsidP="00FF6302">
            <w:pPr>
              <w:tabs>
                <w:tab w:val="left" w:pos="510"/>
              </w:tabs>
              <w:jc w:val="center"/>
              <w:rPr>
                <w:lang w:val="lt-LT"/>
              </w:rPr>
            </w:pPr>
            <w:r w:rsidRPr="004273CC">
              <w:rPr>
                <w:lang w:val="lt-LT"/>
              </w:rPr>
              <w:t>Tikimybė * Įtaka</w:t>
            </w:r>
          </w:p>
        </w:tc>
        <w:tc>
          <w:tcPr>
            <w:tcW w:w="1276" w:type="dxa"/>
            <w:gridSpan w:val="2"/>
            <w:vMerge/>
          </w:tcPr>
          <w:p w:rsidR="00EA77E9" w:rsidRPr="004273CC" w:rsidRDefault="00EA77E9" w:rsidP="00FF6302">
            <w:pPr>
              <w:tabs>
                <w:tab w:val="left" w:pos="510"/>
              </w:tabs>
              <w:jc w:val="center"/>
              <w:rPr>
                <w:b/>
                <w:lang w:val="lt-LT"/>
              </w:rPr>
            </w:pPr>
          </w:p>
        </w:tc>
        <w:tc>
          <w:tcPr>
            <w:tcW w:w="1134" w:type="dxa"/>
          </w:tcPr>
          <w:p w:rsidR="00EA77E9" w:rsidRPr="004273CC" w:rsidRDefault="00EA77E9" w:rsidP="00FF6302">
            <w:pPr>
              <w:tabs>
                <w:tab w:val="left" w:pos="510"/>
              </w:tabs>
              <w:jc w:val="center"/>
              <w:rPr>
                <w:lang w:val="lt-LT"/>
              </w:rPr>
            </w:pPr>
            <w:r w:rsidRPr="004273CC">
              <w:rPr>
                <w:lang w:val="lt-LT"/>
              </w:rPr>
              <w:t>Tikimybė (1-5)</w:t>
            </w:r>
          </w:p>
        </w:tc>
        <w:tc>
          <w:tcPr>
            <w:tcW w:w="992" w:type="dxa"/>
          </w:tcPr>
          <w:p w:rsidR="00EA77E9" w:rsidRPr="004273CC" w:rsidRDefault="00EA77E9" w:rsidP="00FF6302">
            <w:pPr>
              <w:tabs>
                <w:tab w:val="left" w:pos="510"/>
              </w:tabs>
              <w:jc w:val="center"/>
              <w:rPr>
                <w:lang w:val="lt-LT"/>
              </w:rPr>
            </w:pPr>
            <w:r w:rsidRPr="004273CC">
              <w:rPr>
                <w:lang w:val="lt-LT"/>
              </w:rPr>
              <w:t>Įtaka</w:t>
            </w:r>
          </w:p>
          <w:p w:rsidR="00EA77E9" w:rsidRPr="004273CC" w:rsidRDefault="00EA77E9" w:rsidP="00FF6302">
            <w:pPr>
              <w:tabs>
                <w:tab w:val="left" w:pos="510"/>
              </w:tabs>
              <w:jc w:val="center"/>
              <w:rPr>
                <w:lang w:val="lt-LT"/>
              </w:rPr>
            </w:pPr>
            <w:r w:rsidRPr="004273CC">
              <w:rPr>
                <w:lang w:val="lt-LT"/>
              </w:rPr>
              <w:t>(1-5)</w:t>
            </w:r>
          </w:p>
        </w:tc>
        <w:tc>
          <w:tcPr>
            <w:tcW w:w="1134" w:type="dxa"/>
            <w:gridSpan w:val="2"/>
          </w:tcPr>
          <w:p w:rsidR="00EA77E9" w:rsidRPr="004273CC" w:rsidRDefault="00EA77E9" w:rsidP="00FF6302">
            <w:pPr>
              <w:tabs>
                <w:tab w:val="left" w:pos="510"/>
              </w:tabs>
              <w:jc w:val="center"/>
              <w:rPr>
                <w:lang w:val="lt-LT"/>
              </w:rPr>
            </w:pPr>
            <w:r w:rsidRPr="004273CC">
              <w:rPr>
                <w:lang w:val="lt-LT"/>
              </w:rPr>
              <w:t>Tikimybė * Įtaka</w:t>
            </w:r>
          </w:p>
        </w:tc>
        <w:tc>
          <w:tcPr>
            <w:tcW w:w="1418" w:type="dxa"/>
            <w:gridSpan w:val="2"/>
            <w:vMerge/>
          </w:tcPr>
          <w:p w:rsidR="00EA77E9" w:rsidRPr="004273CC" w:rsidRDefault="00EA77E9" w:rsidP="00FF6302">
            <w:pPr>
              <w:tabs>
                <w:tab w:val="left" w:pos="510"/>
              </w:tabs>
              <w:jc w:val="center"/>
              <w:rPr>
                <w:b/>
                <w:lang w:val="lt-LT"/>
              </w:rPr>
            </w:pPr>
          </w:p>
        </w:tc>
      </w:tr>
      <w:tr w:rsidR="00EA77E9" w:rsidRPr="00D5204C" w:rsidTr="001E1AF8">
        <w:trPr>
          <w:tblHeader/>
        </w:trPr>
        <w:tc>
          <w:tcPr>
            <w:tcW w:w="959" w:type="dxa"/>
            <w:vMerge w:val="restart"/>
            <w:textDirection w:val="btLr"/>
          </w:tcPr>
          <w:p w:rsidR="00EA77E9" w:rsidRPr="000B74B1" w:rsidRDefault="00EA77E9" w:rsidP="00FF6302">
            <w:pPr>
              <w:tabs>
                <w:tab w:val="left" w:pos="510"/>
              </w:tabs>
              <w:ind w:left="113" w:right="113"/>
              <w:jc w:val="center"/>
              <w:rPr>
                <w:b/>
                <w:lang w:val="lt-LT"/>
              </w:rPr>
            </w:pPr>
            <w:r w:rsidRPr="000B74B1">
              <w:rPr>
                <w:b/>
                <w:lang w:val="lt-LT"/>
              </w:rPr>
              <w:t>3. Veikl</w:t>
            </w:r>
            <w:r w:rsidR="00C86F82">
              <w:rPr>
                <w:b/>
                <w:lang w:val="lt-LT"/>
              </w:rPr>
              <w:t>os</w:t>
            </w:r>
          </w:p>
        </w:tc>
        <w:tc>
          <w:tcPr>
            <w:tcW w:w="4111" w:type="dxa"/>
          </w:tcPr>
          <w:p w:rsidR="00EA77E9" w:rsidRPr="00066E17" w:rsidRDefault="00EA77E9" w:rsidP="00FF6302">
            <w:pPr>
              <w:tabs>
                <w:tab w:val="left" w:pos="510"/>
              </w:tabs>
              <w:jc w:val="both"/>
              <w:rPr>
                <w:lang w:val="lt-LT"/>
              </w:rPr>
            </w:pPr>
            <w:r w:rsidRPr="00066E17">
              <w:rPr>
                <w:lang w:val="lt-LT"/>
              </w:rPr>
              <w:t>Gamybos įrengimų ir technologinių procesų sudėtingumas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Pr>
                <w:lang w:val="lt-LT"/>
              </w:rPr>
              <w:t>Didelis g</w:t>
            </w:r>
            <w:r w:rsidRPr="00066E17">
              <w:rPr>
                <w:lang w:val="lt-LT"/>
              </w:rPr>
              <w:t>aminamos produkcijos</w:t>
            </w:r>
            <w:r>
              <w:rPr>
                <w:lang w:val="lt-LT"/>
              </w:rPr>
              <w:t>/</w:t>
            </w:r>
            <w:r w:rsidRPr="00066E17">
              <w:rPr>
                <w:lang w:val="lt-LT"/>
              </w:rPr>
              <w:t>teikiamų paslaugų asortimentas</w:t>
            </w:r>
          </w:p>
        </w:tc>
        <w:tc>
          <w:tcPr>
            <w:tcW w:w="1134" w:type="dxa"/>
            <w:gridSpan w:val="2"/>
          </w:tcPr>
          <w:p w:rsidR="00EA77E9" w:rsidRDefault="00EA77E9" w:rsidP="00FF6302">
            <w:pPr>
              <w:tabs>
                <w:tab w:val="left" w:pos="510"/>
              </w:tabs>
              <w:jc w:val="both"/>
              <w:rPr>
                <w:lang w:val="lt-LT"/>
              </w:rPr>
            </w:pPr>
          </w:p>
        </w:tc>
        <w:tc>
          <w:tcPr>
            <w:tcW w:w="708" w:type="dxa"/>
            <w:gridSpan w:val="2"/>
          </w:tcPr>
          <w:p w:rsidR="00EA77E9" w:rsidRDefault="00EA77E9" w:rsidP="00FF6302">
            <w:pPr>
              <w:tabs>
                <w:tab w:val="left" w:pos="510"/>
              </w:tabs>
              <w:jc w:val="both"/>
              <w:rPr>
                <w:lang w:val="lt-LT"/>
              </w:rPr>
            </w:pPr>
          </w:p>
        </w:tc>
        <w:tc>
          <w:tcPr>
            <w:tcW w:w="1026" w:type="dxa"/>
          </w:tcPr>
          <w:p w:rsidR="00EA77E9" w:rsidRDefault="00EA77E9" w:rsidP="00FF6302">
            <w:pPr>
              <w:tabs>
                <w:tab w:val="left" w:pos="510"/>
              </w:tabs>
              <w:jc w:val="both"/>
              <w:rPr>
                <w:lang w:val="lt-LT"/>
              </w:rPr>
            </w:pPr>
          </w:p>
        </w:tc>
        <w:tc>
          <w:tcPr>
            <w:tcW w:w="1276" w:type="dxa"/>
            <w:gridSpan w:val="2"/>
          </w:tcPr>
          <w:p w:rsidR="00EA77E9" w:rsidRDefault="00EA77E9" w:rsidP="00FF6302">
            <w:pPr>
              <w:tabs>
                <w:tab w:val="left" w:pos="510"/>
              </w:tabs>
              <w:jc w:val="both"/>
              <w:rPr>
                <w:lang w:val="lt-LT"/>
              </w:rPr>
            </w:pPr>
          </w:p>
        </w:tc>
        <w:tc>
          <w:tcPr>
            <w:tcW w:w="1134" w:type="dxa"/>
          </w:tcPr>
          <w:p w:rsidR="00EA77E9" w:rsidRDefault="00EA77E9" w:rsidP="00FF6302">
            <w:pPr>
              <w:tabs>
                <w:tab w:val="left" w:pos="510"/>
              </w:tabs>
              <w:jc w:val="both"/>
              <w:rPr>
                <w:lang w:val="lt-LT"/>
              </w:rPr>
            </w:pPr>
          </w:p>
        </w:tc>
        <w:tc>
          <w:tcPr>
            <w:tcW w:w="992" w:type="dxa"/>
          </w:tcPr>
          <w:p w:rsidR="00EA77E9" w:rsidRDefault="00EA77E9" w:rsidP="00FF6302">
            <w:pPr>
              <w:tabs>
                <w:tab w:val="left" w:pos="510"/>
              </w:tabs>
              <w:jc w:val="both"/>
              <w:rPr>
                <w:lang w:val="lt-LT"/>
              </w:rPr>
            </w:pPr>
          </w:p>
        </w:tc>
        <w:tc>
          <w:tcPr>
            <w:tcW w:w="1134" w:type="dxa"/>
            <w:gridSpan w:val="2"/>
          </w:tcPr>
          <w:p w:rsidR="00EA77E9" w:rsidRDefault="00EA77E9" w:rsidP="00FF6302">
            <w:pPr>
              <w:tabs>
                <w:tab w:val="left" w:pos="510"/>
              </w:tabs>
              <w:jc w:val="both"/>
              <w:rPr>
                <w:lang w:val="lt-LT"/>
              </w:rPr>
            </w:pPr>
          </w:p>
        </w:tc>
        <w:tc>
          <w:tcPr>
            <w:tcW w:w="1418" w:type="dxa"/>
            <w:gridSpan w:val="2"/>
          </w:tcPr>
          <w:p w:rsidR="00EA77E9"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Default="00EA77E9" w:rsidP="00FF6302">
            <w:pPr>
              <w:tabs>
                <w:tab w:val="left" w:pos="510"/>
              </w:tabs>
              <w:jc w:val="both"/>
              <w:rPr>
                <w:lang w:val="lt-LT"/>
              </w:rPr>
            </w:pPr>
            <w:r>
              <w:rPr>
                <w:lang w:val="lt-LT"/>
              </w:rPr>
              <w:t>Įmonės produkcijos/paslaugų trūkumas, kuris gali lemti įsipareigojimų nevykdymą</w:t>
            </w:r>
          </w:p>
        </w:tc>
        <w:tc>
          <w:tcPr>
            <w:tcW w:w="1134" w:type="dxa"/>
            <w:gridSpan w:val="2"/>
          </w:tcPr>
          <w:p w:rsidR="00EA77E9" w:rsidRDefault="00EA77E9" w:rsidP="00FF6302">
            <w:pPr>
              <w:tabs>
                <w:tab w:val="left" w:pos="510"/>
              </w:tabs>
              <w:jc w:val="both"/>
              <w:rPr>
                <w:lang w:val="lt-LT"/>
              </w:rPr>
            </w:pPr>
          </w:p>
        </w:tc>
        <w:tc>
          <w:tcPr>
            <w:tcW w:w="708" w:type="dxa"/>
            <w:gridSpan w:val="2"/>
          </w:tcPr>
          <w:p w:rsidR="00EA77E9" w:rsidRDefault="00EA77E9" w:rsidP="00FF6302">
            <w:pPr>
              <w:tabs>
                <w:tab w:val="left" w:pos="510"/>
              </w:tabs>
              <w:jc w:val="both"/>
              <w:rPr>
                <w:lang w:val="lt-LT"/>
              </w:rPr>
            </w:pPr>
          </w:p>
        </w:tc>
        <w:tc>
          <w:tcPr>
            <w:tcW w:w="1026" w:type="dxa"/>
          </w:tcPr>
          <w:p w:rsidR="00EA77E9" w:rsidRDefault="00EA77E9" w:rsidP="00FF6302">
            <w:pPr>
              <w:tabs>
                <w:tab w:val="left" w:pos="510"/>
              </w:tabs>
              <w:jc w:val="both"/>
              <w:rPr>
                <w:lang w:val="lt-LT"/>
              </w:rPr>
            </w:pPr>
          </w:p>
        </w:tc>
        <w:tc>
          <w:tcPr>
            <w:tcW w:w="1276" w:type="dxa"/>
            <w:gridSpan w:val="2"/>
          </w:tcPr>
          <w:p w:rsidR="00EA77E9" w:rsidRDefault="00EA77E9" w:rsidP="00FF6302">
            <w:pPr>
              <w:tabs>
                <w:tab w:val="left" w:pos="510"/>
              </w:tabs>
              <w:jc w:val="both"/>
              <w:rPr>
                <w:lang w:val="lt-LT"/>
              </w:rPr>
            </w:pPr>
          </w:p>
        </w:tc>
        <w:tc>
          <w:tcPr>
            <w:tcW w:w="1134" w:type="dxa"/>
          </w:tcPr>
          <w:p w:rsidR="00EA77E9" w:rsidRDefault="00EA77E9" w:rsidP="00FF6302">
            <w:pPr>
              <w:tabs>
                <w:tab w:val="left" w:pos="510"/>
              </w:tabs>
              <w:jc w:val="both"/>
              <w:rPr>
                <w:lang w:val="lt-LT"/>
              </w:rPr>
            </w:pPr>
          </w:p>
        </w:tc>
        <w:tc>
          <w:tcPr>
            <w:tcW w:w="992" w:type="dxa"/>
          </w:tcPr>
          <w:p w:rsidR="00EA77E9" w:rsidRDefault="00EA77E9" w:rsidP="00FF6302">
            <w:pPr>
              <w:tabs>
                <w:tab w:val="left" w:pos="510"/>
              </w:tabs>
              <w:jc w:val="both"/>
              <w:rPr>
                <w:lang w:val="lt-LT"/>
              </w:rPr>
            </w:pPr>
          </w:p>
        </w:tc>
        <w:tc>
          <w:tcPr>
            <w:tcW w:w="1134" w:type="dxa"/>
            <w:gridSpan w:val="2"/>
          </w:tcPr>
          <w:p w:rsidR="00EA77E9" w:rsidRDefault="00EA77E9" w:rsidP="00FF6302">
            <w:pPr>
              <w:tabs>
                <w:tab w:val="left" w:pos="510"/>
              </w:tabs>
              <w:jc w:val="both"/>
              <w:rPr>
                <w:lang w:val="lt-LT"/>
              </w:rPr>
            </w:pPr>
          </w:p>
        </w:tc>
        <w:tc>
          <w:tcPr>
            <w:tcW w:w="1418" w:type="dxa"/>
            <w:gridSpan w:val="2"/>
          </w:tcPr>
          <w:p w:rsidR="00EA77E9"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Pr>
                <w:lang w:val="lt-LT"/>
              </w:rPr>
              <w:t>G</w:t>
            </w:r>
            <w:r w:rsidRPr="00BB43E3">
              <w:rPr>
                <w:lang w:val="lt-LT"/>
              </w:rPr>
              <w:t>reitas pelno augimas arba neįprastas pelningumas</w:t>
            </w:r>
            <w:r>
              <w:rPr>
                <w:lang w:val="lt-LT"/>
              </w:rPr>
              <w:t>,</w:t>
            </w:r>
            <w:r w:rsidRPr="00066E17">
              <w:rPr>
                <w:lang w:val="lt-LT"/>
              </w:rPr>
              <w:t xml:space="preserve"> lyginant su kitomis ūkio šakos įmonėmis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Veiklos tęstinumo ir likvidumo klausimai</w:t>
            </w:r>
            <w:r>
              <w:rPr>
                <w:lang w:val="lt-LT"/>
              </w:rPr>
              <w:t xml:space="preserve"> (bankroto grėsmė)</w:t>
            </w:r>
          </w:p>
        </w:tc>
        <w:tc>
          <w:tcPr>
            <w:tcW w:w="1134" w:type="dxa"/>
            <w:gridSpan w:val="2"/>
          </w:tcPr>
          <w:p w:rsidR="00EA77E9" w:rsidRPr="006E47C8" w:rsidRDefault="00EA77E9" w:rsidP="00FF6302">
            <w:pPr>
              <w:tabs>
                <w:tab w:val="left" w:pos="510"/>
              </w:tabs>
              <w:jc w:val="center"/>
              <w:rPr>
                <w:b/>
                <w:lang w:val="lt-LT"/>
              </w:rPr>
            </w:pPr>
            <w:r w:rsidRPr="006E47C8">
              <w:rPr>
                <w:b/>
                <w:lang w:val="lt-LT"/>
              </w:rPr>
              <w:t>1</w:t>
            </w:r>
          </w:p>
        </w:tc>
        <w:tc>
          <w:tcPr>
            <w:tcW w:w="708" w:type="dxa"/>
            <w:gridSpan w:val="2"/>
          </w:tcPr>
          <w:p w:rsidR="00EA77E9" w:rsidRPr="006E47C8" w:rsidRDefault="00EA77E9" w:rsidP="00FF6302">
            <w:pPr>
              <w:tabs>
                <w:tab w:val="left" w:pos="510"/>
              </w:tabs>
              <w:jc w:val="center"/>
              <w:rPr>
                <w:b/>
                <w:lang w:val="lt-LT"/>
              </w:rPr>
            </w:pPr>
            <w:r w:rsidRPr="006E47C8">
              <w:rPr>
                <w:b/>
                <w:lang w:val="lt-LT"/>
              </w:rPr>
              <w:t>5</w:t>
            </w:r>
          </w:p>
        </w:tc>
        <w:tc>
          <w:tcPr>
            <w:tcW w:w="1026" w:type="dxa"/>
          </w:tcPr>
          <w:p w:rsidR="00EA77E9" w:rsidRPr="006E47C8" w:rsidRDefault="00EA77E9" w:rsidP="00FF6302">
            <w:pPr>
              <w:tabs>
                <w:tab w:val="left" w:pos="510"/>
              </w:tabs>
              <w:jc w:val="center"/>
              <w:rPr>
                <w:b/>
                <w:lang w:val="lt-LT"/>
              </w:rPr>
            </w:pPr>
            <w:r w:rsidRPr="006E47C8">
              <w:rPr>
                <w:b/>
                <w:lang w:val="lt-LT"/>
              </w:rPr>
              <w:t>5</w:t>
            </w:r>
          </w:p>
        </w:tc>
        <w:tc>
          <w:tcPr>
            <w:tcW w:w="1276" w:type="dxa"/>
            <w:gridSpan w:val="2"/>
          </w:tcPr>
          <w:p w:rsidR="00EA77E9" w:rsidRPr="00066E17" w:rsidRDefault="00EA77E9" w:rsidP="00FF6302">
            <w:pPr>
              <w:tabs>
                <w:tab w:val="left" w:pos="510"/>
              </w:tabs>
              <w:jc w:val="both"/>
              <w:rPr>
                <w:lang w:val="lt-LT"/>
              </w:rPr>
            </w:pPr>
            <w:r>
              <w:rPr>
                <w:lang w:val="lt-LT"/>
              </w:rPr>
              <w:t>t. p.</w:t>
            </w: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Pasikartojantys neigiami pinigų srautai iš įprastinės veiklos</w:t>
            </w:r>
            <w:r w:rsidRPr="00BB43E3">
              <w:rPr>
                <w:lang w:val="lt-LT"/>
              </w:rPr>
              <w:t xml:space="preserve"> </w:t>
            </w:r>
            <w:r>
              <w:rPr>
                <w:lang w:val="lt-LT"/>
              </w:rPr>
              <w:t xml:space="preserve">ar </w:t>
            </w:r>
            <w:r w:rsidRPr="00BB43E3">
              <w:rPr>
                <w:lang w:val="lt-LT"/>
              </w:rPr>
              <w:t>nesugebėjimas sukurti pinigų srautų iš įprastinės veiklos, nors deklaruojama, kad pajamų yra ir kad jos didėja</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Sandoriai su susijusiomis šalimis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E40D7F" w:rsidRDefault="00EA77E9" w:rsidP="00FF6302">
            <w:pPr>
              <w:tabs>
                <w:tab w:val="left" w:pos="510"/>
              </w:tabs>
              <w:jc w:val="center"/>
              <w:rPr>
                <w:b/>
                <w:lang w:val="lt-LT"/>
              </w:rPr>
            </w:pPr>
            <w:r w:rsidRPr="00E40D7F">
              <w:rPr>
                <w:b/>
                <w:lang w:val="lt-LT"/>
              </w:rPr>
              <w:t>4</w:t>
            </w:r>
          </w:p>
        </w:tc>
        <w:tc>
          <w:tcPr>
            <w:tcW w:w="992" w:type="dxa"/>
          </w:tcPr>
          <w:p w:rsidR="00EA77E9" w:rsidRPr="00E40D7F" w:rsidRDefault="00EA77E9" w:rsidP="00FF6302">
            <w:pPr>
              <w:tabs>
                <w:tab w:val="left" w:pos="510"/>
              </w:tabs>
              <w:jc w:val="center"/>
              <w:rPr>
                <w:b/>
                <w:lang w:val="lt-LT"/>
              </w:rPr>
            </w:pPr>
            <w:r>
              <w:rPr>
                <w:b/>
                <w:lang w:val="lt-LT"/>
              </w:rPr>
              <w:t>4</w:t>
            </w:r>
          </w:p>
        </w:tc>
        <w:tc>
          <w:tcPr>
            <w:tcW w:w="1134" w:type="dxa"/>
            <w:gridSpan w:val="2"/>
          </w:tcPr>
          <w:p w:rsidR="00EA77E9" w:rsidRPr="00E40D7F" w:rsidRDefault="00EA77E9" w:rsidP="00FF6302">
            <w:pPr>
              <w:tabs>
                <w:tab w:val="left" w:pos="510"/>
              </w:tabs>
              <w:jc w:val="center"/>
              <w:rPr>
                <w:b/>
                <w:lang w:val="lt-LT"/>
              </w:rPr>
            </w:pPr>
            <w:r>
              <w:rPr>
                <w:b/>
                <w:lang w:val="lt-LT"/>
              </w:rPr>
              <w:t>16</w:t>
            </w:r>
          </w:p>
        </w:tc>
        <w:tc>
          <w:tcPr>
            <w:tcW w:w="1418" w:type="dxa"/>
            <w:gridSpan w:val="2"/>
          </w:tcPr>
          <w:p w:rsidR="00EA77E9" w:rsidRPr="00066E17" w:rsidRDefault="00EA77E9" w:rsidP="00FF6302">
            <w:pPr>
              <w:tabs>
                <w:tab w:val="left" w:pos="510"/>
              </w:tabs>
              <w:jc w:val="both"/>
              <w:rPr>
                <w:lang w:val="lt-LT"/>
              </w:rPr>
            </w:pPr>
            <w:r w:rsidRPr="0024454F">
              <w:rPr>
                <w:sz w:val="18"/>
                <w:szCs w:val="18"/>
                <w:lang w:val="lt-LT"/>
              </w:rPr>
              <w:t>Pardavimai – T; Gaut. prekybos sumos – V;</w:t>
            </w:r>
            <w:r>
              <w:rPr>
                <w:sz w:val="18"/>
                <w:szCs w:val="18"/>
                <w:lang w:val="lt-LT"/>
              </w:rPr>
              <w:t xml:space="preserve"> Pelno</w:t>
            </w:r>
            <w:r w:rsidRPr="0024454F">
              <w:rPr>
                <w:sz w:val="18"/>
                <w:szCs w:val="18"/>
                <w:lang w:val="lt-LT"/>
              </w:rPr>
              <w:t xml:space="preserve"> mok. įsip. – V</w:t>
            </w: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Pr>
                <w:lang w:val="lt-LT"/>
              </w:rPr>
              <w:t>Ataskaitiniu laikotarpiu patirtos nesėkmės tam tikros veiklos srityse (gaisras, vagystės, gamybos nuostoliai)</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Didelis neįprastų, sudėtingų arba nesistemingų ūkinių operacijų kiekis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Bylinėjimasis ir neapibrėžti įsipareigojimai</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Pr="00066E17" w:rsidRDefault="00EA77E9" w:rsidP="00FF6302">
            <w:pPr>
              <w:tabs>
                <w:tab w:val="left" w:pos="510"/>
              </w:tabs>
              <w:jc w:val="both"/>
              <w:rPr>
                <w:lang w:val="lt-LT"/>
              </w:rPr>
            </w:pPr>
            <w:r w:rsidRPr="00066E17">
              <w:rPr>
                <w:lang w:val="lt-LT"/>
              </w:rPr>
              <w:t>Įvykiai ar ūkinės operacijos, susijusios su neapibrėžtais vertinimais</w:t>
            </w: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1E1AF8">
        <w:trPr>
          <w:tblHeader/>
        </w:trPr>
        <w:tc>
          <w:tcPr>
            <w:tcW w:w="959" w:type="dxa"/>
            <w:vMerge/>
          </w:tcPr>
          <w:p w:rsidR="00EA77E9" w:rsidRPr="000B74B1" w:rsidRDefault="00EA77E9" w:rsidP="00FF6302">
            <w:pPr>
              <w:tabs>
                <w:tab w:val="left" w:pos="510"/>
              </w:tabs>
              <w:jc w:val="center"/>
              <w:rPr>
                <w:b/>
                <w:lang w:val="lt-LT"/>
              </w:rPr>
            </w:pPr>
          </w:p>
        </w:tc>
        <w:tc>
          <w:tcPr>
            <w:tcW w:w="4111" w:type="dxa"/>
          </w:tcPr>
          <w:p w:rsidR="00EA77E9" w:rsidRDefault="00EA77E9" w:rsidP="00FF6302">
            <w:pPr>
              <w:tabs>
                <w:tab w:val="left" w:pos="510"/>
              </w:tabs>
              <w:jc w:val="both"/>
              <w:rPr>
                <w:lang w:val="lt-LT"/>
              </w:rPr>
            </w:pPr>
            <w:r>
              <w:rPr>
                <w:lang w:val="lt-LT"/>
              </w:rPr>
              <w:t>...</w:t>
            </w:r>
          </w:p>
          <w:p w:rsidR="007F098A" w:rsidRDefault="007F098A" w:rsidP="00FF6302">
            <w:pPr>
              <w:tabs>
                <w:tab w:val="left" w:pos="510"/>
              </w:tabs>
              <w:jc w:val="both"/>
              <w:rPr>
                <w:lang w:val="lt-LT"/>
              </w:rPr>
            </w:pPr>
          </w:p>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026" w:type="dxa"/>
          </w:tcPr>
          <w:p w:rsidR="00EA77E9" w:rsidRPr="00066E17" w:rsidRDefault="00EA77E9" w:rsidP="00FF6302">
            <w:pPr>
              <w:tabs>
                <w:tab w:val="left" w:pos="510"/>
              </w:tabs>
              <w:jc w:val="both"/>
              <w:rPr>
                <w:lang w:val="lt-LT"/>
              </w:rPr>
            </w:pPr>
          </w:p>
        </w:tc>
        <w:tc>
          <w:tcPr>
            <w:tcW w:w="1276" w:type="dxa"/>
            <w:gridSpan w:val="2"/>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1E1AF8">
        <w:trPr>
          <w:tblHeader/>
        </w:trPr>
        <w:tc>
          <w:tcPr>
            <w:tcW w:w="5070" w:type="dxa"/>
            <w:gridSpan w:val="2"/>
            <w:vMerge w:val="restart"/>
            <w:vAlign w:val="center"/>
          </w:tcPr>
          <w:p w:rsidR="00EA77E9" w:rsidRPr="00066E17" w:rsidRDefault="00EA77E9" w:rsidP="008E4A5A">
            <w:pPr>
              <w:tabs>
                <w:tab w:val="left" w:pos="510"/>
              </w:tabs>
              <w:jc w:val="center"/>
              <w:rPr>
                <w:lang w:val="lt-LT"/>
              </w:rPr>
            </w:pPr>
            <w:r w:rsidRPr="004273CC">
              <w:rPr>
                <w:b/>
                <w:lang w:val="lt-LT"/>
              </w:rPr>
              <w:lastRenderedPageBreak/>
              <w:t xml:space="preserve">Įmonės </w:t>
            </w:r>
            <w:r>
              <w:rPr>
                <w:b/>
                <w:lang w:val="lt-LT"/>
              </w:rPr>
              <w:t>vid</w:t>
            </w:r>
            <w:r w:rsidR="008E4A5A">
              <w:rPr>
                <w:b/>
                <w:lang w:val="lt-LT"/>
              </w:rPr>
              <w:t>aus</w:t>
            </w:r>
            <w:r w:rsidRPr="004273CC">
              <w:rPr>
                <w:b/>
                <w:lang w:val="lt-LT"/>
              </w:rPr>
              <w:t xml:space="preserve"> aplinka</w:t>
            </w:r>
          </w:p>
        </w:tc>
        <w:tc>
          <w:tcPr>
            <w:tcW w:w="4144" w:type="dxa"/>
            <w:gridSpan w:val="7"/>
          </w:tcPr>
          <w:p w:rsidR="00EA77E9" w:rsidRPr="00066E17" w:rsidRDefault="00EA77E9" w:rsidP="00FF6302">
            <w:pPr>
              <w:tabs>
                <w:tab w:val="left" w:pos="510"/>
              </w:tabs>
              <w:jc w:val="center"/>
              <w:rPr>
                <w:lang w:val="lt-LT"/>
              </w:rPr>
            </w:pPr>
            <w:r>
              <w:rPr>
                <w:b/>
                <w:lang w:val="lt-LT"/>
              </w:rPr>
              <w:t>UAB „Šiluma“</w:t>
            </w:r>
          </w:p>
        </w:tc>
        <w:tc>
          <w:tcPr>
            <w:tcW w:w="4678" w:type="dxa"/>
            <w:gridSpan w:val="6"/>
          </w:tcPr>
          <w:p w:rsidR="00EA77E9" w:rsidRPr="00066E17" w:rsidRDefault="00EA77E9" w:rsidP="00FF6302">
            <w:pPr>
              <w:tabs>
                <w:tab w:val="left" w:pos="510"/>
              </w:tabs>
              <w:jc w:val="center"/>
              <w:rPr>
                <w:lang w:val="lt-LT"/>
              </w:rPr>
            </w:pPr>
            <w:r>
              <w:rPr>
                <w:b/>
                <w:lang w:val="lt-LT"/>
              </w:rPr>
              <w:t>UAB „Žuvila“</w:t>
            </w:r>
          </w:p>
        </w:tc>
      </w:tr>
      <w:tr w:rsidR="00EA77E9" w:rsidRPr="00D5204C" w:rsidTr="00BF5DCF">
        <w:trPr>
          <w:tblHeader/>
        </w:trPr>
        <w:tc>
          <w:tcPr>
            <w:tcW w:w="5070" w:type="dxa"/>
            <w:gridSpan w:val="2"/>
            <w:vMerge/>
          </w:tcPr>
          <w:p w:rsidR="00EA77E9" w:rsidRDefault="00EA77E9" w:rsidP="00FF6302">
            <w:pPr>
              <w:tabs>
                <w:tab w:val="left" w:pos="510"/>
              </w:tabs>
              <w:jc w:val="center"/>
              <w:rPr>
                <w:lang w:val="lt-LT"/>
              </w:rPr>
            </w:pPr>
          </w:p>
        </w:tc>
        <w:tc>
          <w:tcPr>
            <w:tcW w:w="2976" w:type="dxa"/>
            <w:gridSpan w:val="6"/>
            <w:vAlign w:val="center"/>
          </w:tcPr>
          <w:p w:rsidR="00EA77E9" w:rsidRDefault="00EA77E9" w:rsidP="00FF6302">
            <w:pPr>
              <w:tabs>
                <w:tab w:val="left" w:pos="510"/>
              </w:tabs>
              <w:jc w:val="center"/>
              <w:rPr>
                <w:lang w:val="lt-LT"/>
              </w:rPr>
            </w:pPr>
            <w:r w:rsidRPr="004273CC">
              <w:rPr>
                <w:b/>
                <w:lang w:val="lt-LT"/>
              </w:rPr>
              <w:t>Rizikos vertinimas</w:t>
            </w:r>
          </w:p>
        </w:tc>
        <w:tc>
          <w:tcPr>
            <w:tcW w:w="1168" w:type="dxa"/>
            <w:vMerge w:val="restart"/>
            <w:vAlign w:val="center"/>
          </w:tcPr>
          <w:p w:rsidR="00EA77E9" w:rsidRDefault="00EA77E9" w:rsidP="00FF6302">
            <w:pPr>
              <w:tabs>
                <w:tab w:val="left" w:pos="510"/>
              </w:tabs>
              <w:jc w:val="center"/>
              <w:rPr>
                <w:lang w:val="lt-LT"/>
              </w:rPr>
            </w:pPr>
            <w:r w:rsidRPr="004273CC">
              <w:rPr>
                <w:b/>
                <w:lang w:val="lt-LT"/>
              </w:rPr>
              <w:t>Pastabos</w:t>
            </w:r>
          </w:p>
        </w:tc>
        <w:tc>
          <w:tcPr>
            <w:tcW w:w="3260" w:type="dxa"/>
            <w:gridSpan w:val="4"/>
          </w:tcPr>
          <w:p w:rsidR="00EA77E9" w:rsidRPr="004273CC" w:rsidRDefault="00EA77E9" w:rsidP="00FF6302">
            <w:pPr>
              <w:tabs>
                <w:tab w:val="left" w:pos="510"/>
              </w:tabs>
              <w:jc w:val="center"/>
              <w:rPr>
                <w:lang w:val="lt-LT"/>
              </w:rPr>
            </w:pPr>
            <w:r w:rsidRPr="004273CC">
              <w:rPr>
                <w:b/>
                <w:lang w:val="lt-LT"/>
              </w:rPr>
              <w:t>Rizikos vertinimas</w:t>
            </w:r>
          </w:p>
        </w:tc>
        <w:tc>
          <w:tcPr>
            <w:tcW w:w="1418" w:type="dxa"/>
            <w:gridSpan w:val="2"/>
            <w:vMerge w:val="restart"/>
            <w:vAlign w:val="center"/>
          </w:tcPr>
          <w:p w:rsidR="00EA77E9" w:rsidRPr="004273CC" w:rsidRDefault="00EA77E9" w:rsidP="00FF6302">
            <w:pPr>
              <w:tabs>
                <w:tab w:val="left" w:pos="510"/>
              </w:tabs>
              <w:jc w:val="center"/>
              <w:rPr>
                <w:lang w:val="lt-LT"/>
              </w:rPr>
            </w:pPr>
            <w:r w:rsidRPr="004273CC">
              <w:rPr>
                <w:b/>
                <w:lang w:val="lt-LT"/>
              </w:rPr>
              <w:t>Pastabos</w:t>
            </w:r>
          </w:p>
        </w:tc>
      </w:tr>
      <w:tr w:rsidR="00EA77E9" w:rsidRPr="00D5204C" w:rsidTr="00BF5DCF">
        <w:trPr>
          <w:tblHeader/>
        </w:trPr>
        <w:tc>
          <w:tcPr>
            <w:tcW w:w="959" w:type="dxa"/>
            <w:vAlign w:val="center"/>
          </w:tcPr>
          <w:p w:rsidR="00EA77E9" w:rsidRPr="004273CC" w:rsidRDefault="00EA77E9" w:rsidP="00FF6302">
            <w:pPr>
              <w:tabs>
                <w:tab w:val="left" w:pos="510"/>
              </w:tabs>
              <w:jc w:val="center"/>
              <w:rPr>
                <w:b/>
                <w:lang w:val="lt-LT"/>
              </w:rPr>
            </w:pPr>
            <w:r w:rsidRPr="004273CC">
              <w:rPr>
                <w:b/>
                <w:lang w:val="lt-LT"/>
              </w:rPr>
              <w:t>Sąlygos</w:t>
            </w:r>
          </w:p>
        </w:tc>
        <w:tc>
          <w:tcPr>
            <w:tcW w:w="4111" w:type="dxa"/>
            <w:vAlign w:val="center"/>
          </w:tcPr>
          <w:p w:rsidR="00EA77E9" w:rsidRPr="004273CC" w:rsidRDefault="00EA77E9" w:rsidP="00FF6302">
            <w:pPr>
              <w:tabs>
                <w:tab w:val="left" w:pos="510"/>
              </w:tabs>
              <w:jc w:val="center"/>
              <w:rPr>
                <w:b/>
                <w:lang w:val="lt-LT"/>
              </w:rPr>
            </w:pPr>
            <w:r w:rsidRPr="004273CC">
              <w:rPr>
                <w:b/>
                <w:lang w:val="lt-LT"/>
              </w:rPr>
              <w:t>Veiksniai</w:t>
            </w:r>
          </w:p>
        </w:tc>
        <w:tc>
          <w:tcPr>
            <w:tcW w:w="1134" w:type="dxa"/>
            <w:gridSpan w:val="2"/>
          </w:tcPr>
          <w:p w:rsidR="00EA77E9" w:rsidRPr="004273CC" w:rsidRDefault="00EA77E9" w:rsidP="00FF6302">
            <w:pPr>
              <w:tabs>
                <w:tab w:val="left" w:pos="510"/>
              </w:tabs>
              <w:jc w:val="center"/>
              <w:rPr>
                <w:lang w:val="lt-LT"/>
              </w:rPr>
            </w:pPr>
            <w:r w:rsidRPr="004273CC">
              <w:rPr>
                <w:lang w:val="lt-LT"/>
              </w:rPr>
              <w:t>Tikimybė (1-5)</w:t>
            </w:r>
          </w:p>
        </w:tc>
        <w:tc>
          <w:tcPr>
            <w:tcW w:w="708" w:type="dxa"/>
            <w:gridSpan w:val="2"/>
          </w:tcPr>
          <w:p w:rsidR="00EA77E9" w:rsidRPr="004273CC" w:rsidRDefault="00EA77E9" w:rsidP="00FF6302">
            <w:pPr>
              <w:tabs>
                <w:tab w:val="left" w:pos="510"/>
              </w:tabs>
              <w:jc w:val="center"/>
              <w:rPr>
                <w:lang w:val="lt-LT"/>
              </w:rPr>
            </w:pPr>
            <w:r w:rsidRPr="004273CC">
              <w:rPr>
                <w:lang w:val="lt-LT"/>
              </w:rPr>
              <w:t>Įtaka</w:t>
            </w:r>
          </w:p>
          <w:p w:rsidR="00EA77E9" w:rsidRPr="004273CC" w:rsidRDefault="00EA77E9" w:rsidP="00FF6302">
            <w:pPr>
              <w:tabs>
                <w:tab w:val="left" w:pos="510"/>
              </w:tabs>
              <w:jc w:val="center"/>
              <w:rPr>
                <w:lang w:val="lt-LT"/>
              </w:rPr>
            </w:pPr>
            <w:r w:rsidRPr="004273CC">
              <w:rPr>
                <w:lang w:val="lt-LT"/>
              </w:rPr>
              <w:t>(1-5)</w:t>
            </w:r>
          </w:p>
        </w:tc>
        <w:tc>
          <w:tcPr>
            <w:tcW w:w="1134" w:type="dxa"/>
            <w:gridSpan w:val="2"/>
          </w:tcPr>
          <w:p w:rsidR="00EA77E9" w:rsidRPr="004273CC" w:rsidRDefault="00EA77E9" w:rsidP="00FF6302">
            <w:pPr>
              <w:tabs>
                <w:tab w:val="left" w:pos="510"/>
              </w:tabs>
              <w:jc w:val="center"/>
              <w:rPr>
                <w:lang w:val="lt-LT"/>
              </w:rPr>
            </w:pPr>
            <w:r w:rsidRPr="004273CC">
              <w:rPr>
                <w:lang w:val="lt-LT"/>
              </w:rPr>
              <w:t>Tikimybė * Įtaka</w:t>
            </w:r>
          </w:p>
        </w:tc>
        <w:tc>
          <w:tcPr>
            <w:tcW w:w="1168" w:type="dxa"/>
            <w:vMerge/>
          </w:tcPr>
          <w:p w:rsidR="00EA77E9" w:rsidRPr="004273CC" w:rsidRDefault="00EA77E9" w:rsidP="00FF6302">
            <w:pPr>
              <w:tabs>
                <w:tab w:val="left" w:pos="510"/>
              </w:tabs>
              <w:jc w:val="center"/>
              <w:rPr>
                <w:b/>
                <w:lang w:val="lt-LT"/>
              </w:rPr>
            </w:pPr>
          </w:p>
        </w:tc>
        <w:tc>
          <w:tcPr>
            <w:tcW w:w="1134" w:type="dxa"/>
          </w:tcPr>
          <w:p w:rsidR="00EA77E9" w:rsidRPr="004273CC" w:rsidRDefault="00EA77E9" w:rsidP="00FF6302">
            <w:pPr>
              <w:tabs>
                <w:tab w:val="left" w:pos="510"/>
              </w:tabs>
              <w:jc w:val="center"/>
              <w:rPr>
                <w:lang w:val="lt-LT"/>
              </w:rPr>
            </w:pPr>
            <w:r w:rsidRPr="004273CC">
              <w:rPr>
                <w:lang w:val="lt-LT"/>
              </w:rPr>
              <w:t>Tikimybė (1-5)</w:t>
            </w:r>
          </w:p>
        </w:tc>
        <w:tc>
          <w:tcPr>
            <w:tcW w:w="992" w:type="dxa"/>
          </w:tcPr>
          <w:p w:rsidR="00EA77E9" w:rsidRPr="004273CC" w:rsidRDefault="00EA77E9" w:rsidP="00FF6302">
            <w:pPr>
              <w:tabs>
                <w:tab w:val="left" w:pos="510"/>
              </w:tabs>
              <w:jc w:val="center"/>
              <w:rPr>
                <w:lang w:val="lt-LT"/>
              </w:rPr>
            </w:pPr>
            <w:r w:rsidRPr="004273CC">
              <w:rPr>
                <w:lang w:val="lt-LT"/>
              </w:rPr>
              <w:t>Įtaka</w:t>
            </w:r>
          </w:p>
          <w:p w:rsidR="00EA77E9" w:rsidRPr="004273CC" w:rsidRDefault="00EA77E9" w:rsidP="00FF6302">
            <w:pPr>
              <w:tabs>
                <w:tab w:val="left" w:pos="510"/>
              </w:tabs>
              <w:jc w:val="center"/>
              <w:rPr>
                <w:lang w:val="lt-LT"/>
              </w:rPr>
            </w:pPr>
            <w:r w:rsidRPr="004273CC">
              <w:rPr>
                <w:lang w:val="lt-LT"/>
              </w:rPr>
              <w:t>(1-5)</w:t>
            </w:r>
          </w:p>
        </w:tc>
        <w:tc>
          <w:tcPr>
            <w:tcW w:w="1134" w:type="dxa"/>
            <w:gridSpan w:val="2"/>
          </w:tcPr>
          <w:p w:rsidR="00EA77E9" w:rsidRPr="004273CC" w:rsidRDefault="00EA77E9" w:rsidP="00FF6302">
            <w:pPr>
              <w:tabs>
                <w:tab w:val="left" w:pos="510"/>
              </w:tabs>
              <w:jc w:val="center"/>
              <w:rPr>
                <w:lang w:val="lt-LT"/>
              </w:rPr>
            </w:pPr>
            <w:r w:rsidRPr="004273CC">
              <w:rPr>
                <w:lang w:val="lt-LT"/>
              </w:rPr>
              <w:t>Tikimybė * Įtaka</w:t>
            </w:r>
          </w:p>
        </w:tc>
        <w:tc>
          <w:tcPr>
            <w:tcW w:w="1418" w:type="dxa"/>
            <w:gridSpan w:val="2"/>
            <w:vMerge/>
          </w:tcPr>
          <w:p w:rsidR="00EA77E9" w:rsidRPr="004273CC" w:rsidRDefault="00EA77E9" w:rsidP="00FF6302">
            <w:pPr>
              <w:tabs>
                <w:tab w:val="left" w:pos="510"/>
              </w:tabs>
              <w:jc w:val="center"/>
              <w:rPr>
                <w:b/>
                <w:lang w:val="lt-LT"/>
              </w:rPr>
            </w:pPr>
          </w:p>
        </w:tc>
      </w:tr>
      <w:tr w:rsidR="00EA77E9" w:rsidRPr="00D5204C" w:rsidTr="00BF5DCF">
        <w:trPr>
          <w:tblHeader/>
        </w:trPr>
        <w:tc>
          <w:tcPr>
            <w:tcW w:w="959" w:type="dxa"/>
            <w:vMerge w:val="restart"/>
            <w:textDirection w:val="btLr"/>
          </w:tcPr>
          <w:p w:rsidR="00EA77E9" w:rsidRPr="000B74B1" w:rsidRDefault="00EA77E9" w:rsidP="00FF6302">
            <w:pPr>
              <w:tabs>
                <w:tab w:val="left" w:pos="510"/>
              </w:tabs>
              <w:ind w:left="113" w:right="113"/>
              <w:jc w:val="center"/>
              <w:rPr>
                <w:b/>
                <w:lang w:val="lt-LT"/>
              </w:rPr>
            </w:pPr>
            <w:r w:rsidRPr="000B74B1">
              <w:rPr>
                <w:b/>
                <w:lang w:val="lt-LT"/>
              </w:rPr>
              <w:t>4. Apskaitos</w:t>
            </w:r>
          </w:p>
        </w:tc>
        <w:tc>
          <w:tcPr>
            <w:tcW w:w="4111" w:type="dxa"/>
          </w:tcPr>
          <w:p w:rsidR="00EA77E9" w:rsidRPr="00066E17" w:rsidRDefault="00EA77E9" w:rsidP="00FF6302">
            <w:pPr>
              <w:tabs>
                <w:tab w:val="left" w:pos="510"/>
              </w:tabs>
              <w:jc w:val="both"/>
              <w:rPr>
                <w:lang w:val="lt-LT"/>
              </w:rPr>
            </w:pPr>
            <w:r w:rsidRPr="00066E17">
              <w:rPr>
                <w:lang w:val="lt-LT"/>
              </w:rPr>
              <w:t xml:space="preserve">Netinkamas apskaitos </w:t>
            </w:r>
            <w:r>
              <w:rPr>
                <w:lang w:val="lt-LT"/>
              </w:rPr>
              <w:t>darbuotojų</w:t>
            </w:r>
            <w:r w:rsidRPr="00066E17">
              <w:rPr>
                <w:lang w:val="lt-LT"/>
              </w:rPr>
              <w:t xml:space="preserve"> pareigų paskirstymas</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Pr="000C00DE" w:rsidRDefault="00EA77E9" w:rsidP="00FF6302">
            <w:pPr>
              <w:tabs>
                <w:tab w:val="left" w:pos="510"/>
              </w:tabs>
              <w:jc w:val="both"/>
              <w:rPr>
                <w:lang w:val="lt-LT"/>
              </w:rPr>
            </w:pPr>
            <w:r>
              <w:rPr>
                <w:lang w:val="lt-LT"/>
              </w:rPr>
              <w:t>Žema a</w:t>
            </w:r>
            <w:r w:rsidRPr="000C00DE">
              <w:rPr>
                <w:lang w:val="lt-LT"/>
              </w:rPr>
              <w:t xml:space="preserve">pskaitos </w:t>
            </w:r>
            <w:r>
              <w:rPr>
                <w:lang w:val="lt-LT"/>
              </w:rPr>
              <w:t>darbuotojų</w:t>
            </w:r>
            <w:r w:rsidRPr="000C00DE">
              <w:rPr>
                <w:lang w:val="lt-LT"/>
              </w:rPr>
              <w:t xml:space="preserve"> kvalifikacij</w:t>
            </w:r>
            <w:r>
              <w:rPr>
                <w:lang w:val="lt-LT"/>
              </w:rPr>
              <w:t>a,</w:t>
            </w:r>
            <w:r w:rsidRPr="000C00DE">
              <w:rPr>
                <w:lang w:val="lt-LT"/>
              </w:rPr>
              <w:t xml:space="preserve"> kompetencij</w:t>
            </w:r>
            <w:r>
              <w:rPr>
                <w:lang w:val="lt-LT"/>
              </w:rPr>
              <w:t xml:space="preserve">a </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Default="00EA77E9" w:rsidP="00FF6302">
            <w:pPr>
              <w:tabs>
                <w:tab w:val="left" w:pos="510"/>
              </w:tabs>
              <w:jc w:val="both"/>
              <w:rPr>
                <w:lang w:val="lt-LT"/>
              </w:rPr>
            </w:pPr>
            <w:r>
              <w:rPr>
                <w:lang w:val="lt-LT"/>
              </w:rPr>
              <w:t>Netinkamas požiūris į apskaitos tvarkymą, nepakankama apskaitos darbuotojų darbo priežiūra</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Pr="00066E17" w:rsidRDefault="00EA77E9" w:rsidP="00FF6302">
            <w:pPr>
              <w:tabs>
                <w:tab w:val="left" w:pos="510"/>
              </w:tabs>
              <w:jc w:val="both"/>
              <w:rPr>
                <w:lang w:val="lt-LT"/>
              </w:rPr>
            </w:pPr>
            <w:r w:rsidRPr="00066E17">
              <w:rPr>
                <w:lang w:val="lt-LT"/>
              </w:rPr>
              <w:t xml:space="preserve">Tinkamo apskaitos personalo trūkumas/dažna kaita </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Default="00EA77E9" w:rsidP="00FF6302">
            <w:pPr>
              <w:tabs>
                <w:tab w:val="left" w:pos="510"/>
              </w:tabs>
              <w:jc w:val="both"/>
              <w:rPr>
                <w:lang w:val="lt-LT"/>
              </w:rPr>
            </w:pPr>
            <w:r>
              <w:rPr>
                <w:lang w:val="lt-LT"/>
              </w:rPr>
              <w:t>Neteisingos apskaitos politikos pasirinkimas (tendencinga apskaitos politika)</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Pr="00FB3ACE" w:rsidRDefault="00EA77E9" w:rsidP="00FF6302">
            <w:pPr>
              <w:tabs>
                <w:tab w:val="left" w:pos="510"/>
              </w:tabs>
              <w:jc w:val="both"/>
              <w:rPr>
                <w:lang w:val="lt-LT"/>
              </w:rPr>
            </w:pPr>
            <w:r>
              <w:rPr>
                <w:lang w:val="lt-LT"/>
              </w:rPr>
              <w:t xml:space="preserve">Žemas </w:t>
            </w:r>
            <w:r w:rsidRPr="00FB3ACE">
              <w:rPr>
                <w:lang w:val="lt-LT"/>
              </w:rPr>
              <w:t>apskaitos kompiuterizavimo lyg</w:t>
            </w:r>
            <w:r>
              <w:rPr>
                <w:lang w:val="lt-LT"/>
              </w:rPr>
              <w:t>is</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Pr="00066E17" w:rsidRDefault="00EA77E9" w:rsidP="00FF6302">
            <w:pPr>
              <w:tabs>
                <w:tab w:val="left" w:pos="510"/>
              </w:tabs>
              <w:jc w:val="both"/>
              <w:rPr>
                <w:lang w:val="lt-LT"/>
              </w:rPr>
            </w:pPr>
            <w:r w:rsidRPr="00066E17">
              <w:rPr>
                <w:lang w:val="lt-LT"/>
              </w:rPr>
              <w:t>Naujos apskaitos sistemos</w:t>
            </w:r>
            <w:r>
              <w:rPr>
                <w:lang w:val="lt-LT"/>
              </w:rPr>
              <w:t xml:space="preserve"> įdiegimas</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Pr="00066E17" w:rsidRDefault="00EA77E9" w:rsidP="00FF6302">
            <w:pPr>
              <w:tabs>
                <w:tab w:val="left" w:pos="510"/>
              </w:tabs>
              <w:jc w:val="both"/>
              <w:rPr>
                <w:lang w:val="lt-LT"/>
              </w:rPr>
            </w:pPr>
            <w:r>
              <w:rPr>
                <w:lang w:val="lt-LT"/>
              </w:rPr>
              <w:t>Neužtikrinta saugi prieiga prie apskaitos sistemų ir dokumentų</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Default="00EA77E9" w:rsidP="00FF6302">
            <w:pPr>
              <w:tabs>
                <w:tab w:val="left" w:pos="510"/>
              </w:tabs>
              <w:jc w:val="both"/>
              <w:rPr>
                <w:lang w:val="lt-LT"/>
              </w:rPr>
            </w:pPr>
            <w:r>
              <w:rPr>
                <w:lang w:val="lt-LT"/>
              </w:rPr>
              <w:t>Paplitęs a</w:t>
            </w:r>
            <w:r w:rsidRPr="00066E17">
              <w:rPr>
                <w:lang w:val="lt-LT"/>
              </w:rPr>
              <w:t>pskaitinių įver</w:t>
            </w:r>
            <w:r>
              <w:rPr>
                <w:lang w:val="lt-LT"/>
              </w:rPr>
              <w:t>čių</w:t>
            </w:r>
            <w:r w:rsidRPr="00066E17">
              <w:rPr>
                <w:lang w:val="lt-LT"/>
              </w:rPr>
              <w:t xml:space="preserve"> taikymas</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Pr="00066E17" w:rsidRDefault="00EA77E9" w:rsidP="00FF6302">
            <w:pPr>
              <w:tabs>
                <w:tab w:val="left" w:pos="510"/>
              </w:tabs>
              <w:jc w:val="both"/>
              <w:rPr>
                <w:lang w:val="lt-LT"/>
              </w:rPr>
            </w:pPr>
            <w:r w:rsidRPr="00066E17">
              <w:rPr>
                <w:lang w:val="lt-LT"/>
              </w:rPr>
              <w:t>Ataskaitinio laikotarpio pabaigoje daroma daug koregavimų</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extDirection w:val="btLr"/>
          </w:tcPr>
          <w:p w:rsidR="00EA77E9" w:rsidRPr="00D5204C" w:rsidRDefault="00EA77E9" w:rsidP="00FF6302">
            <w:pPr>
              <w:tabs>
                <w:tab w:val="left" w:pos="510"/>
              </w:tabs>
              <w:ind w:left="113" w:right="113"/>
              <w:jc w:val="both"/>
              <w:rPr>
                <w:lang w:val="lt-LT"/>
              </w:rPr>
            </w:pPr>
          </w:p>
        </w:tc>
        <w:tc>
          <w:tcPr>
            <w:tcW w:w="4111" w:type="dxa"/>
          </w:tcPr>
          <w:p w:rsidR="00EA77E9" w:rsidRPr="00066E17" w:rsidRDefault="00EA77E9" w:rsidP="00FF6302">
            <w:pPr>
              <w:tabs>
                <w:tab w:val="left" w:pos="510"/>
              </w:tabs>
              <w:jc w:val="both"/>
              <w:rPr>
                <w:lang w:val="lt-LT"/>
              </w:rPr>
            </w:pPr>
            <w:r w:rsidRPr="00066E17">
              <w:rPr>
                <w:lang w:val="lt-LT"/>
              </w:rPr>
              <w:t>Ankstesnių auditų metu nustatyta daug</w:t>
            </w:r>
            <w:r>
              <w:rPr>
                <w:lang w:val="lt-LT"/>
              </w:rPr>
              <w:t xml:space="preserve"> ar reikšmingų </w:t>
            </w:r>
            <w:r w:rsidRPr="00066E17">
              <w:rPr>
                <w:lang w:val="lt-LT"/>
              </w:rPr>
              <w:t>iškraipymų</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cPr>
          <w:p w:rsidR="00EA77E9" w:rsidRPr="00D5204C" w:rsidRDefault="00EA77E9" w:rsidP="00FF6302">
            <w:pPr>
              <w:tabs>
                <w:tab w:val="left" w:pos="510"/>
              </w:tabs>
              <w:jc w:val="both"/>
              <w:rPr>
                <w:lang w:val="lt-LT"/>
              </w:rPr>
            </w:pPr>
          </w:p>
        </w:tc>
        <w:tc>
          <w:tcPr>
            <w:tcW w:w="4111" w:type="dxa"/>
          </w:tcPr>
          <w:p w:rsidR="00EA77E9" w:rsidRPr="00DC3703" w:rsidRDefault="00EA77E9" w:rsidP="00FF6302">
            <w:r>
              <w:rPr>
                <w:lang w:val="lt-LT"/>
              </w:rPr>
              <w:t>Anksčiau buvo nesutarimų tarp vadovybės ir auditoriaus (prieš tai buvusio auditoriaus)</w:t>
            </w:r>
            <w:r w:rsidRPr="00066E17">
              <w:rPr>
                <w:lang w:val="lt-LT"/>
              </w:rPr>
              <w:t xml:space="preserve"> </w:t>
            </w:r>
            <w:r>
              <w:rPr>
                <w:lang w:val="lt-LT"/>
              </w:rPr>
              <w:t>dėl svarbių apskaitos klausimų ar atskleidimų finansinėse ataskaitose</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tblHeader/>
        </w:trPr>
        <w:tc>
          <w:tcPr>
            <w:tcW w:w="959" w:type="dxa"/>
            <w:vMerge/>
          </w:tcPr>
          <w:p w:rsidR="00EA77E9" w:rsidRPr="00D5204C" w:rsidRDefault="00EA77E9" w:rsidP="00FF6302">
            <w:pPr>
              <w:tabs>
                <w:tab w:val="left" w:pos="510"/>
              </w:tabs>
              <w:jc w:val="both"/>
              <w:rPr>
                <w:lang w:val="lt-LT"/>
              </w:rPr>
            </w:pPr>
          </w:p>
        </w:tc>
        <w:tc>
          <w:tcPr>
            <w:tcW w:w="4111" w:type="dxa"/>
          </w:tcPr>
          <w:p w:rsidR="00EA77E9" w:rsidRDefault="00EA77E9" w:rsidP="00FF6302">
            <w:pPr>
              <w:rPr>
                <w:lang w:val="lt-LT"/>
              </w:rPr>
            </w:pPr>
            <w:r>
              <w:rPr>
                <w:lang w:val="lt-LT"/>
              </w:rPr>
              <w:t>...</w:t>
            </w: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708" w:type="dxa"/>
            <w:gridSpan w:val="2"/>
          </w:tcPr>
          <w:p w:rsidR="00EA77E9" w:rsidRPr="00066E17" w:rsidRDefault="00EA77E9" w:rsidP="00FF6302">
            <w:pPr>
              <w:tabs>
                <w:tab w:val="left" w:pos="510"/>
              </w:tabs>
              <w:jc w:val="both"/>
              <w:rPr>
                <w:lang w:val="lt-LT"/>
              </w:rPr>
            </w:pPr>
          </w:p>
        </w:tc>
        <w:tc>
          <w:tcPr>
            <w:tcW w:w="1134" w:type="dxa"/>
            <w:gridSpan w:val="2"/>
          </w:tcPr>
          <w:p w:rsidR="00EA77E9" w:rsidRPr="00066E17" w:rsidRDefault="00EA77E9" w:rsidP="00FF6302">
            <w:pPr>
              <w:tabs>
                <w:tab w:val="left" w:pos="510"/>
              </w:tabs>
              <w:jc w:val="both"/>
              <w:rPr>
                <w:lang w:val="lt-LT"/>
              </w:rPr>
            </w:pPr>
          </w:p>
        </w:tc>
        <w:tc>
          <w:tcPr>
            <w:tcW w:w="1168" w:type="dxa"/>
          </w:tcPr>
          <w:p w:rsidR="00EA77E9" w:rsidRPr="00066E17" w:rsidRDefault="00EA77E9" w:rsidP="00FF6302">
            <w:pPr>
              <w:tabs>
                <w:tab w:val="left" w:pos="510"/>
              </w:tabs>
              <w:jc w:val="both"/>
              <w:rPr>
                <w:lang w:val="lt-LT"/>
              </w:rPr>
            </w:pPr>
          </w:p>
        </w:tc>
        <w:tc>
          <w:tcPr>
            <w:tcW w:w="1134" w:type="dxa"/>
            <w:tcBorders>
              <w:bottom w:val="single" w:sz="4" w:space="0" w:color="auto"/>
            </w:tcBorders>
          </w:tcPr>
          <w:p w:rsidR="00EA77E9" w:rsidRPr="00066E17" w:rsidRDefault="00EA77E9" w:rsidP="00FF6302">
            <w:pPr>
              <w:tabs>
                <w:tab w:val="left" w:pos="510"/>
              </w:tabs>
              <w:jc w:val="both"/>
              <w:rPr>
                <w:lang w:val="lt-LT"/>
              </w:rPr>
            </w:pPr>
          </w:p>
        </w:tc>
        <w:tc>
          <w:tcPr>
            <w:tcW w:w="992" w:type="dxa"/>
          </w:tcPr>
          <w:p w:rsidR="00EA77E9" w:rsidRPr="00066E17" w:rsidRDefault="00EA77E9" w:rsidP="00FF6302">
            <w:pPr>
              <w:tabs>
                <w:tab w:val="left" w:pos="510"/>
              </w:tabs>
              <w:jc w:val="both"/>
              <w:rPr>
                <w:lang w:val="lt-LT"/>
              </w:rPr>
            </w:pPr>
          </w:p>
        </w:tc>
        <w:tc>
          <w:tcPr>
            <w:tcW w:w="1134" w:type="dxa"/>
            <w:gridSpan w:val="2"/>
            <w:tcBorders>
              <w:bottom w:val="single" w:sz="4" w:space="0" w:color="auto"/>
            </w:tcBorders>
          </w:tcPr>
          <w:p w:rsidR="00EA77E9" w:rsidRPr="00066E17" w:rsidRDefault="00EA77E9" w:rsidP="00FF6302">
            <w:pPr>
              <w:tabs>
                <w:tab w:val="left" w:pos="510"/>
              </w:tabs>
              <w:jc w:val="both"/>
              <w:rPr>
                <w:lang w:val="lt-LT"/>
              </w:rPr>
            </w:pPr>
          </w:p>
        </w:tc>
        <w:tc>
          <w:tcPr>
            <w:tcW w:w="1418" w:type="dxa"/>
            <w:gridSpan w:val="2"/>
          </w:tcPr>
          <w:p w:rsidR="00EA77E9" w:rsidRPr="00066E17" w:rsidRDefault="00EA77E9" w:rsidP="00FF6302">
            <w:pPr>
              <w:tabs>
                <w:tab w:val="left" w:pos="510"/>
              </w:tabs>
              <w:jc w:val="both"/>
              <w:rPr>
                <w:lang w:val="lt-LT"/>
              </w:rPr>
            </w:pPr>
          </w:p>
        </w:tc>
      </w:tr>
      <w:tr w:rsidR="00EA77E9" w:rsidRPr="00D5204C" w:rsidTr="00BF5DCF">
        <w:trPr>
          <w:gridAfter w:val="2"/>
          <w:wAfter w:w="1418" w:type="dxa"/>
          <w:tblHeader/>
        </w:trPr>
        <w:tc>
          <w:tcPr>
            <w:tcW w:w="5070" w:type="dxa"/>
            <w:gridSpan w:val="2"/>
          </w:tcPr>
          <w:p w:rsidR="00EA77E9" w:rsidRPr="004273CC" w:rsidRDefault="00EA77E9" w:rsidP="00FF6302">
            <w:pPr>
              <w:tabs>
                <w:tab w:val="left" w:pos="510"/>
              </w:tabs>
              <w:jc w:val="right"/>
              <w:rPr>
                <w:b/>
                <w:lang w:val="lt-LT"/>
              </w:rPr>
            </w:pPr>
            <w:r w:rsidRPr="004273CC">
              <w:rPr>
                <w:b/>
                <w:lang w:val="lt-LT"/>
              </w:rPr>
              <w:t>BENDRA RIZIK</w:t>
            </w:r>
            <w:r>
              <w:rPr>
                <w:b/>
                <w:lang w:val="lt-LT"/>
              </w:rPr>
              <w:t>A</w:t>
            </w:r>
          </w:p>
        </w:tc>
        <w:tc>
          <w:tcPr>
            <w:tcW w:w="1134" w:type="dxa"/>
            <w:gridSpan w:val="2"/>
            <w:shd w:val="clear" w:color="auto" w:fill="D9D9D9"/>
          </w:tcPr>
          <w:p w:rsidR="00EA77E9" w:rsidRPr="004273CC" w:rsidRDefault="00EA77E9" w:rsidP="00FF6302">
            <w:pPr>
              <w:tabs>
                <w:tab w:val="left" w:pos="510"/>
              </w:tabs>
              <w:jc w:val="right"/>
              <w:rPr>
                <w:lang w:val="lt-LT"/>
              </w:rPr>
            </w:pPr>
            <w:r w:rsidRPr="004273CC">
              <w:rPr>
                <w:b/>
                <w:lang w:val="lt-LT"/>
              </w:rPr>
              <w:t>1 eil.</w:t>
            </w:r>
          </w:p>
        </w:tc>
        <w:tc>
          <w:tcPr>
            <w:tcW w:w="708" w:type="dxa"/>
            <w:gridSpan w:val="2"/>
          </w:tcPr>
          <w:p w:rsidR="00EA77E9" w:rsidRPr="00E21BF4" w:rsidRDefault="00EA77E9" w:rsidP="00FF6302">
            <w:pPr>
              <w:tabs>
                <w:tab w:val="left" w:pos="510"/>
              </w:tabs>
              <w:jc w:val="center"/>
              <w:rPr>
                <w:b/>
                <w:lang w:val="lt-LT"/>
              </w:rPr>
            </w:pPr>
            <w:r w:rsidRPr="00E21BF4">
              <w:rPr>
                <w:b/>
                <w:lang w:val="lt-LT"/>
              </w:rPr>
              <w:t>X</w:t>
            </w:r>
          </w:p>
        </w:tc>
        <w:tc>
          <w:tcPr>
            <w:tcW w:w="1134" w:type="dxa"/>
            <w:gridSpan w:val="2"/>
            <w:tcBorders>
              <w:bottom w:val="single" w:sz="4" w:space="0" w:color="auto"/>
            </w:tcBorders>
          </w:tcPr>
          <w:p w:rsidR="00EA77E9" w:rsidRPr="00E21BF4" w:rsidRDefault="00EA77E9" w:rsidP="00FF6302">
            <w:pPr>
              <w:tabs>
                <w:tab w:val="left" w:pos="510"/>
              </w:tabs>
              <w:jc w:val="center"/>
              <w:rPr>
                <w:b/>
                <w:lang w:val="lt-LT"/>
              </w:rPr>
            </w:pPr>
            <w:r w:rsidRPr="00E21BF4">
              <w:rPr>
                <w:b/>
                <w:lang w:val="lt-LT"/>
              </w:rPr>
              <w:t>40</w:t>
            </w:r>
          </w:p>
        </w:tc>
        <w:tc>
          <w:tcPr>
            <w:tcW w:w="1168" w:type="dxa"/>
            <w:tcBorders>
              <w:bottom w:val="nil"/>
            </w:tcBorders>
          </w:tcPr>
          <w:p w:rsidR="00EA77E9" w:rsidRPr="00E21BF4" w:rsidRDefault="00EA77E9" w:rsidP="00FF6302">
            <w:pPr>
              <w:tabs>
                <w:tab w:val="left" w:pos="510"/>
              </w:tabs>
              <w:jc w:val="center"/>
              <w:rPr>
                <w:b/>
                <w:lang w:val="lt-LT"/>
              </w:rPr>
            </w:pPr>
          </w:p>
        </w:tc>
        <w:tc>
          <w:tcPr>
            <w:tcW w:w="1134" w:type="dxa"/>
            <w:shd w:val="clear" w:color="auto" w:fill="D9D9D9"/>
          </w:tcPr>
          <w:p w:rsidR="00EA77E9" w:rsidRPr="00E21BF4" w:rsidRDefault="00EA77E9" w:rsidP="00FF6302">
            <w:pPr>
              <w:tabs>
                <w:tab w:val="left" w:pos="510"/>
              </w:tabs>
              <w:jc w:val="right"/>
              <w:rPr>
                <w:b/>
                <w:lang w:val="lt-LT"/>
              </w:rPr>
            </w:pPr>
            <w:r w:rsidRPr="00E21BF4">
              <w:rPr>
                <w:b/>
                <w:lang w:val="lt-LT"/>
              </w:rPr>
              <w:t>1 eil.</w:t>
            </w:r>
          </w:p>
        </w:tc>
        <w:tc>
          <w:tcPr>
            <w:tcW w:w="992" w:type="dxa"/>
          </w:tcPr>
          <w:p w:rsidR="00EA77E9" w:rsidRPr="00E21BF4" w:rsidRDefault="00EA77E9" w:rsidP="00FF6302">
            <w:pPr>
              <w:tabs>
                <w:tab w:val="left" w:pos="510"/>
              </w:tabs>
              <w:jc w:val="center"/>
              <w:rPr>
                <w:b/>
                <w:lang w:val="lt-LT"/>
              </w:rPr>
            </w:pPr>
            <w:r w:rsidRPr="00E21BF4">
              <w:rPr>
                <w:b/>
                <w:lang w:val="lt-LT"/>
              </w:rPr>
              <w:t>X</w:t>
            </w:r>
          </w:p>
        </w:tc>
        <w:tc>
          <w:tcPr>
            <w:tcW w:w="1134" w:type="dxa"/>
            <w:gridSpan w:val="2"/>
            <w:tcBorders>
              <w:bottom w:val="single" w:sz="4" w:space="0" w:color="auto"/>
              <w:right w:val="single" w:sz="4" w:space="0" w:color="auto"/>
            </w:tcBorders>
          </w:tcPr>
          <w:p w:rsidR="00EA77E9" w:rsidRPr="00E21BF4" w:rsidRDefault="00EA77E9" w:rsidP="00FF6302">
            <w:pPr>
              <w:tabs>
                <w:tab w:val="left" w:pos="510"/>
              </w:tabs>
              <w:jc w:val="center"/>
              <w:rPr>
                <w:b/>
                <w:lang w:val="lt-LT"/>
              </w:rPr>
            </w:pPr>
            <w:r w:rsidRPr="00E21BF4">
              <w:rPr>
                <w:b/>
                <w:lang w:val="lt-LT"/>
              </w:rPr>
              <w:t>28</w:t>
            </w:r>
          </w:p>
        </w:tc>
      </w:tr>
      <w:tr w:rsidR="00EA77E9" w:rsidRPr="00D5204C" w:rsidTr="00BF5DCF">
        <w:trPr>
          <w:gridAfter w:val="2"/>
          <w:wAfter w:w="1418" w:type="dxa"/>
          <w:tblHeader/>
        </w:trPr>
        <w:tc>
          <w:tcPr>
            <w:tcW w:w="5070" w:type="dxa"/>
            <w:gridSpan w:val="2"/>
          </w:tcPr>
          <w:p w:rsidR="00EA77E9" w:rsidRPr="004273CC" w:rsidRDefault="00EA77E9" w:rsidP="00FF6302">
            <w:pPr>
              <w:tabs>
                <w:tab w:val="left" w:pos="510"/>
              </w:tabs>
              <w:jc w:val="right"/>
              <w:rPr>
                <w:b/>
                <w:lang w:val="lt-LT"/>
              </w:rPr>
            </w:pPr>
            <w:r w:rsidRPr="004273CC">
              <w:rPr>
                <w:b/>
                <w:lang w:val="lt-LT"/>
              </w:rPr>
              <w:t>BENDRA ĮTAKA</w:t>
            </w:r>
          </w:p>
        </w:tc>
        <w:tc>
          <w:tcPr>
            <w:tcW w:w="1134" w:type="dxa"/>
            <w:gridSpan w:val="2"/>
            <w:shd w:val="clear" w:color="auto" w:fill="D9D9D9"/>
          </w:tcPr>
          <w:p w:rsidR="00EA77E9" w:rsidRPr="004273CC" w:rsidRDefault="00EA77E9" w:rsidP="00FF6302">
            <w:pPr>
              <w:tabs>
                <w:tab w:val="left" w:pos="510"/>
              </w:tabs>
              <w:jc w:val="right"/>
              <w:rPr>
                <w:lang w:val="lt-LT"/>
              </w:rPr>
            </w:pPr>
            <w:r w:rsidRPr="004273CC">
              <w:rPr>
                <w:b/>
                <w:lang w:val="lt-LT"/>
              </w:rPr>
              <w:t>2 eil.</w:t>
            </w:r>
          </w:p>
        </w:tc>
        <w:tc>
          <w:tcPr>
            <w:tcW w:w="708" w:type="dxa"/>
            <w:gridSpan w:val="2"/>
          </w:tcPr>
          <w:p w:rsidR="00EA77E9" w:rsidRPr="00E21BF4" w:rsidRDefault="00EA77E9" w:rsidP="00FF6302">
            <w:pPr>
              <w:tabs>
                <w:tab w:val="left" w:pos="510"/>
              </w:tabs>
              <w:jc w:val="center"/>
              <w:rPr>
                <w:b/>
                <w:lang w:val="lt-LT"/>
              </w:rPr>
            </w:pPr>
            <w:r w:rsidRPr="00E21BF4">
              <w:rPr>
                <w:b/>
                <w:lang w:val="lt-LT"/>
              </w:rPr>
              <w:t>15</w:t>
            </w:r>
          </w:p>
        </w:tc>
        <w:tc>
          <w:tcPr>
            <w:tcW w:w="1134" w:type="dxa"/>
            <w:gridSpan w:val="2"/>
            <w:tcBorders>
              <w:bottom w:val="nil"/>
              <w:right w:val="nil"/>
            </w:tcBorders>
          </w:tcPr>
          <w:p w:rsidR="00EA77E9" w:rsidRPr="00E21BF4" w:rsidRDefault="00EA77E9" w:rsidP="00FF6302">
            <w:pPr>
              <w:tabs>
                <w:tab w:val="left" w:pos="510"/>
              </w:tabs>
              <w:jc w:val="center"/>
              <w:rPr>
                <w:b/>
                <w:lang w:val="lt-LT"/>
              </w:rPr>
            </w:pPr>
          </w:p>
        </w:tc>
        <w:tc>
          <w:tcPr>
            <w:tcW w:w="1168" w:type="dxa"/>
            <w:tcBorders>
              <w:top w:val="nil"/>
              <w:left w:val="nil"/>
              <w:bottom w:val="nil"/>
            </w:tcBorders>
          </w:tcPr>
          <w:p w:rsidR="00EA77E9" w:rsidRPr="00E21BF4" w:rsidRDefault="00EA77E9" w:rsidP="00FF6302">
            <w:pPr>
              <w:tabs>
                <w:tab w:val="left" w:pos="510"/>
              </w:tabs>
              <w:jc w:val="center"/>
              <w:rPr>
                <w:b/>
                <w:lang w:val="lt-LT"/>
              </w:rPr>
            </w:pPr>
          </w:p>
        </w:tc>
        <w:tc>
          <w:tcPr>
            <w:tcW w:w="1134" w:type="dxa"/>
            <w:shd w:val="clear" w:color="auto" w:fill="D9D9D9"/>
          </w:tcPr>
          <w:p w:rsidR="00EA77E9" w:rsidRPr="00E21BF4" w:rsidRDefault="00EA77E9" w:rsidP="00FF6302">
            <w:pPr>
              <w:tabs>
                <w:tab w:val="left" w:pos="510"/>
              </w:tabs>
              <w:jc w:val="right"/>
              <w:rPr>
                <w:b/>
                <w:lang w:val="lt-LT"/>
              </w:rPr>
            </w:pPr>
            <w:r w:rsidRPr="00E21BF4">
              <w:rPr>
                <w:b/>
                <w:lang w:val="lt-LT"/>
              </w:rPr>
              <w:t>2 eil.</w:t>
            </w:r>
          </w:p>
        </w:tc>
        <w:tc>
          <w:tcPr>
            <w:tcW w:w="992" w:type="dxa"/>
          </w:tcPr>
          <w:p w:rsidR="00EA77E9" w:rsidRPr="00E21BF4" w:rsidRDefault="00EA77E9" w:rsidP="00FF6302">
            <w:pPr>
              <w:tabs>
                <w:tab w:val="left" w:pos="510"/>
              </w:tabs>
              <w:jc w:val="center"/>
              <w:rPr>
                <w:b/>
                <w:lang w:val="lt-LT"/>
              </w:rPr>
            </w:pPr>
            <w:r w:rsidRPr="00E21BF4">
              <w:rPr>
                <w:b/>
                <w:lang w:val="lt-LT"/>
              </w:rPr>
              <w:t>10</w:t>
            </w:r>
          </w:p>
        </w:tc>
        <w:tc>
          <w:tcPr>
            <w:tcW w:w="1134" w:type="dxa"/>
            <w:gridSpan w:val="2"/>
            <w:tcBorders>
              <w:top w:val="nil"/>
              <w:bottom w:val="nil"/>
              <w:right w:val="nil"/>
            </w:tcBorders>
          </w:tcPr>
          <w:p w:rsidR="00EA77E9" w:rsidRPr="00E21BF4" w:rsidRDefault="00EA77E9" w:rsidP="00FF6302">
            <w:pPr>
              <w:tabs>
                <w:tab w:val="left" w:pos="510"/>
              </w:tabs>
              <w:jc w:val="center"/>
              <w:rPr>
                <w:b/>
                <w:lang w:val="lt-LT"/>
              </w:rPr>
            </w:pPr>
          </w:p>
        </w:tc>
      </w:tr>
      <w:tr w:rsidR="00EA77E9" w:rsidRPr="00D5204C" w:rsidTr="00BF5DCF">
        <w:trPr>
          <w:gridAfter w:val="2"/>
          <w:wAfter w:w="1418" w:type="dxa"/>
          <w:tblHeader/>
        </w:trPr>
        <w:tc>
          <w:tcPr>
            <w:tcW w:w="5070" w:type="dxa"/>
            <w:gridSpan w:val="2"/>
          </w:tcPr>
          <w:p w:rsidR="00EA77E9" w:rsidRPr="004273CC" w:rsidRDefault="00EA77E9" w:rsidP="00FF6302">
            <w:pPr>
              <w:tabs>
                <w:tab w:val="left" w:pos="510"/>
              </w:tabs>
              <w:jc w:val="right"/>
              <w:rPr>
                <w:b/>
                <w:lang w:val="lt-LT"/>
              </w:rPr>
            </w:pPr>
            <w:r w:rsidRPr="004273CC">
              <w:rPr>
                <w:b/>
                <w:lang w:val="lt-LT"/>
              </w:rPr>
              <w:t>MAKSIMAL</w:t>
            </w:r>
            <w:r>
              <w:rPr>
                <w:b/>
                <w:lang w:val="lt-LT"/>
              </w:rPr>
              <w:t>I</w:t>
            </w:r>
            <w:r w:rsidRPr="004273CC">
              <w:rPr>
                <w:b/>
                <w:lang w:val="lt-LT"/>
              </w:rPr>
              <w:t xml:space="preserve"> </w:t>
            </w:r>
            <w:r>
              <w:rPr>
                <w:b/>
                <w:lang w:val="lt-LT"/>
              </w:rPr>
              <w:t xml:space="preserve">RIZIKA </w:t>
            </w:r>
            <w:r w:rsidRPr="004273CC">
              <w:rPr>
                <w:b/>
                <w:lang w:val="lt-LT"/>
              </w:rPr>
              <w:t>(5*2 eil.)</w:t>
            </w:r>
          </w:p>
        </w:tc>
        <w:tc>
          <w:tcPr>
            <w:tcW w:w="1134" w:type="dxa"/>
            <w:gridSpan w:val="2"/>
            <w:shd w:val="clear" w:color="auto" w:fill="D9D9D9"/>
          </w:tcPr>
          <w:p w:rsidR="00EA77E9" w:rsidRPr="004273CC" w:rsidRDefault="00EA77E9" w:rsidP="00FF6302">
            <w:pPr>
              <w:tabs>
                <w:tab w:val="left" w:pos="510"/>
              </w:tabs>
              <w:jc w:val="right"/>
              <w:rPr>
                <w:lang w:val="lt-LT"/>
              </w:rPr>
            </w:pPr>
            <w:r w:rsidRPr="004273CC">
              <w:rPr>
                <w:b/>
                <w:lang w:val="lt-LT"/>
              </w:rPr>
              <w:t>3 eil.</w:t>
            </w:r>
          </w:p>
        </w:tc>
        <w:tc>
          <w:tcPr>
            <w:tcW w:w="708" w:type="dxa"/>
            <w:gridSpan w:val="2"/>
          </w:tcPr>
          <w:p w:rsidR="00EA77E9" w:rsidRPr="00E21BF4" w:rsidRDefault="00EA77E9" w:rsidP="00FF6302">
            <w:pPr>
              <w:tabs>
                <w:tab w:val="left" w:pos="510"/>
              </w:tabs>
              <w:jc w:val="center"/>
              <w:rPr>
                <w:b/>
                <w:lang w:val="lt-LT"/>
              </w:rPr>
            </w:pPr>
            <w:r w:rsidRPr="00E21BF4">
              <w:rPr>
                <w:b/>
                <w:lang w:val="lt-LT"/>
              </w:rPr>
              <w:t>75</w:t>
            </w:r>
          </w:p>
        </w:tc>
        <w:tc>
          <w:tcPr>
            <w:tcW w:w="1134" w:type="dxa"/>
            <w:gridSpan w:val="2"/>
            <w:tcBorders>
              <w:top w:val="nil"/>
              <w:bottom w:val="nil"/>
              <w:right w:val="nil"/>
            </w:tcBorders>
          </w:tcPr>
          <w:p w:rsidR="00EA77E9" w:rsidRPr="00E21BF4" w:rsidRDefault="00EA77E9" w:rsidP="00FF6302">
            <w:pPr>
              <w:tabs>
                <w:tab w:val="left" w:pos="510"/>
              </w:tabs>
              <w:jc w:val="center"/>
              <w:rPr>
                <w:b/>
                <w:lang w:val="lt-LT"/>
              </w:rPr>
            </w:pPr>
          </w:p>
        </w:tc>
        <w:tc>
          <w:tcPr>
            <w:tcW w:w="1168" w:type="dxa"/>
            <w:tcBorders>
              <w:top w:val="nil"/>
              <w:left w:val="nil"/>
              <w:bottom w:val="nil"/>
            </w:tcBorders>
          </w:tcPr>
          <w:p w:rsidR="00EA77E9" w:rsidRPr="00E21BF4" w:rsidRDefault="00EA77E9" w:rsidP="00FF6302">
            <w:pPr>
              <w:tabs>
                <w:tab w:val="left" w:pos="510"/>
              </w:tabs>
              <w:jc w:val="center"/>
              <w:rPr>
                <w:b/>
                <w:lang w:val="lt-LT"/>
              </w:rPr>
            </w:pPr>
          </w:p>
        </w:tc>
        <w:tc>
          <w:tcPr>
            <w:tcW w:w="1134" w:type="dxa"/>
            <w:shd w:val="clear" w:color="auto" w:fill="D9D9D9"/>
          </w:tcPr>
          <w:p w:rsidR="00EA77E9" w:rsidRPr="00E21BF4" w:rsidRDefault="00EA77E9" w:rsidP="00FF6302">
            <w:pPr>
              <w:tabs>
                <w:tab w:val="left" w:pos="510"/>
              </w:tabs>
              <w:jc w:val="right"/>
              <w:rPr>
                <w:b/>
                <w:lang w:val="lt-LT"/>
              </w:rPr>
            </w:pPr>
            <w:r w:rsidRPr="00E21BF4">
              <w:rPr>
                <w:b/>
                <w:lang w:val="lt-LT"/>
              </w:rPr>
              <w:t>3 eil.</w:t>
            </w:r>
          </w:p>
        </w:tc>
        <w:tc>
          <w:tcPr>
            <w:tcW w:w="992" w:type="dxa"/>
          </w:tcPr>
          <w:p w:rsidR="00EA77E9" w:rsidRPr="00E21BF4" w:rsidRDefault="00EA77E9" w:rsidP="00FF6302">
            <w:pPr>
              <w:tabs>
                <w:tab w:val="left" w:pos="510"/>
              </w:tabs>
              <w:jc w:val="center"/>
              <w:rPr>
                <w:b/>
                <w:lang w:val="lt-LT"/>
              </w:rPr>
            </w:pPr>
            <w:r w:rsidRPr="00E21BF4">
              <w:rPr>
                <w:b/>
                <w:lang w:val="lt-LT"/>
              </w:rPr>
              <w:t>50</w:t>
            </w:r>
          </w:p>
        </w:tc>
        <w:tc>
          <w:tcPr>
            <w:tcW w:w="1134" w:type="dxa"/>
            <w:gridSpan w:val="2"/>
            <w:tcBorders>
              <w:top w:val="nil"/>
              <w:bottom w:val="nil"/>
              <w:right w:val="nil"/>
            </w:tcBorders>
          </w:tcPr>
          <w:p w:rsidR="00EA77E9" w:rsidRPr="00E21BF4" w:rsidRDefault="00EA77E9" w:rsidP="00FF6302">
            <w:pPr>
              <w:tabs>
                <w:tab w:val="left" w:pos="510"/>
              </w:tabs>
              <w:jc w:val="center"/>
              <w:rPr>
                <w:b/>
                <w:lang w:val="lt-LT"/>
              </w:rPr>
            </w:pPr>
          </w:p>
        </w:tc>
      </w:tr>
      <w:tr w:rsidR="00EA77E9" w:rsidRPr="00D5204C" w:rsidTr="00BF5DCF">
        <w:trPr>
          <w:gridAfter w:val="2"/>
          <w:wAfter w:w="1418" w:type="dxa"/>
          <w:trHeight w:val="464"/>
          <w:tblHeader/>
        </w:trPr>
        <w:tc>
          <w:tcPr>
            <w:tcW w:w="5070" w:type="dxa"/>
            <w:gridSpan w:val="2"/>
          </w:tcPr>
          <w:p w:rsidR="00EA77E9" w:rsidRPr="004273CC" w:rsidRDefault="00EA77E9" w:rsidP="00FF6302">
            <w:pPr>
              <w:tabs>
                <w:tab w:val="left" w:pos="510"/>
              </w:tabs>
              <w:jc w:val="right"/>
              <w:rPr>
                <w:lang w:val="lt-LT"/>
              </w:rPr>
            </w:pPr>
            <w:r w:rsidRPr="004273CC">
              <w:rPr>
                <w:b/>
                <w:lang w:val="lt-LT"/>
              </w:rPr>
              <w:t>RIZIKOS LYGIS, proc. (1 eil./3eil.*100)</w:t>
            </w:r>
          </w:p>
        </w:tc>
        <w:tc>
          <w:tcPr>
            <w:tcW w:w="1134" w:type="dxa"/>
            <w:gridSpan w:val="2"/>
            <w:shd w:val="clear" w:color="auto" w:fill="D9D9D9"/>
            <w:vAlign w:val="center"/>
          </w:tcPr>
          <w:p w:rsidR="00EA77E9" w:rsidRPr="004273CC" w:rsidRDefault="00EA77E9" w:rsidP="00FF6302">
            <w:pPr>
              <w:tabs>
                <w:tab w:val="left" w:pos="510"/>
              </w:tabs>
              <w:jc w:val="right"/>
              <w:rPr>
                <w:lang w:val="lt-LT"/>
              </w:rPr>
            </w:pPr>
            <w:r w:rsidRPr="004273CC">
              <w:rPr>
                <w:b/>
                <w:lang w:val="lt-LT"/>
              </w:rPr>
              <w:t>4 eil.</w:t>
            </w:r>
          </w:p>
        </w:tc>
        <w:tc>
          <w:tcPr>
            <w:tcW w:w="708" w:type="dxa"/>
            <w:gridSpan w:val="2"/>
            <w:vAlign w:val="center"/>
          </w:tcPr>
          <w:p w:rsidR="00EA77E9" w:rsidRPr="00E21BF4" w:rsidRDefault="00EA77E9" w:rsidP="00FF6302">
            <w:pPr>
              <w:tabs>
                <w:tab w:val="left" w:pos="510"/>
              </w:tabs>
              <w:jc w:val="center"/>
              <w:rPr>
                <w:b/>
                <w:lang w:val="lt-LT"/>
              </w:rPr>
            </w:pPr>
            <w:r w:rsidRPr="00E21BF4">
              <w:rPr>
                <w:b/>
                <w:lang w:val="lt-LT"/>
              </w:rPr>
              <w:t>53</w:t>
            </w:r>
          </w:p>
        </w:tc>
        <w:tc>
          <w:tcPr>
            <w:tcW w:w="1134" w:type="dxa"/>
            <w:gridSpan w:val="2"/>
            <w:tcBorders>
              <w:top w:val="nil"/>
              <w:bottom w:val="nil"/>
              <w:right w:val="nil"/>
            </w:tcBorders>
            <w:vAlign w:val="center"/>
          </w:tcPr>
          <w:p w:rsidR="00EA77E9" w:rsidRPr="00E21BF4" w:rsidRDefault="00EA77E9" w:rsidP="00FF6302">
            <w:pPr>
              <w:tabs>
                <w:tab w:val="left" w:pos="510"/>
              </w:tabs>
              <w:rPr>
                <w:b/>
                <w:sz w:val="18"/>
                <w:szCs w:val="18"/>
                <w:lang w:val="lt-LT"/>
              </w:rPr>
            </w:pPr>
            <w:r w:rsidRPr="00E21BF4">
              <w:rPr>
                <w:b/>
                <w:sz w:val="18"/>
                <w:szCs w:val="18"/>
                <w:lang w:val="lt-LT"/>
              </w:rPr>
              <w:t>VIDUTINĖ</w:t>
            </w:r>
          </w:p>
        </w:tc>
        <w:tc>
          <w:tcPr>
            <w:tcW w:w="1168" w:type="dxa"/>
            <w:tcBorders>
              <w:top w:val="nil"/>
              <w:left w:val="nil"/>
              <w:bottom w:val="nil"/>
            </w:tcBorders>
            <w:vAlign w:val="center"/>
          </w:tcPr>
          <w:p w:rsidR="00EA77E9" w:rsidRPr="00E21BF4" w:rsidRDefault="00EA77E9" w:rsidP="00FF6302">
            <w:pPr>
              <w:tabs>
                <w:tab w:val="left" w:pos="510"/>
              </w:tabs>
              <w:rPr>
                <w:b/>
                <w:lang w:val="lt-LT"/>
              </w:rPr>
            </w:pPr>
          </w:p>
        </w:tc>
        <w:tc>
          <w:tcPr>
            <w:tcW w:w="1134" w:type="dxa"/>
            <w:shd w:val="clear" w:color="auto" w:fill="D9D9D9"/>
            <w:vAlign w:val="center"/>
          </w:tcPr>
          <w:p w:rsidR="00EA77E9" w:rsidRPr="00E21BF4" w:rsidRDefault="00EA77E9" w:rsidP="00FF6302">
            <w:pPr>
              <w:tabs>
                <w:tab w:val="left" w:pos="510"/>
              </w:tabs>
              <w:jc w:val="right"/>
              <w:rPr>
                <w:b/>
                <w:lang w:val="lt-LT"/>
              </w:rPr>
            </w:pPr>
            <w:r w:rsidRPr="00E21BF4">
              <w:rPr>
                <w:b/>
                <w:lang w:val="lt-LT"/>
              </w:rPr>
              <w:t>4 eil.</w:t>
            </w:r>
          </w:p>
        </w:tc>
        <w:tc>
          <w:tcPr>
            <w:tcW w:w="992" w:type="dxa"/>
            <w:vAlign w:val="center"/>
          </w:tcPr>
          <w:p w:rsidR="00EA77E9" w:rsidRPr="00E21BF4" w:rsidRDefault="00EA77E9" w:rsidP="00FF6302">
            <w:pPr>
              <w:tabs>
                <w:tab w:val="left" w:pos="510"/>
              </w:tabs>
              <w:jc w:val="center"/>
              <w:rPr>
                <w:b/>
                <w:lang w:val="lt-LT"/>
              </w:rPr>
            </w:pPr>
            <w:r w:rsidRPr="00E21BF4">
              <w:rPr>
                <w:b/>
                <w:lang w:val="lt-LT"/>
              </w:rPr>
              <w:t>56</w:t>
            </w:r>
          </w:p>
        </w:tc>
        <w:tc>
          <w:tcPr>
            <w:tcW w:w="1134" w:type="dxa"/>
            <w:gridSpan w:val="2"/>
            <w:tcBorders>
              <w:top w:val="nil"/>
              <w:bottom w:val="nil"/>
              <w:right w:val="nil"/>
            </w:tcBorders>
            <w:vAlign w:val="center"/>
          </w:tcPr>
          <w:p w:rsidR="00EA77E9" w:rsidRPr="00E21BF4" w:rsidRDefault="00EA77E9" w:rsidP="00FF6302">
            <w:pPr>
              <w:tabs>
                <w:tab w:val="left" w:pos="510"/>
              </w:tabs>
              <w:rPr>
                <w:b/>
                <w:lang w:val="lt-LT"/>
              </w:rPr>
            </w:pPr>
            <w:r w:rsidRPr="00E21BF4">
              <w:rPr>
                <w:b/>
                <w:sz w:val="18"/>
                <w:szCs w:val="18"/>
                <w:lang w:val="lt-LT"/>
              </w:rPr>
              <w:t>VIDUTINĖ</w:t>
            </w:r>
          </w:p>
        </w:tc>
      </w:tr>
    </w:tbl>
    <w:p w:rsidR="002809C1" w:rsidRDefault="002809C1" w:rsidP="002809C1"/>
    <w:p w:rsidR="005A702E" w:rsidRPr="00FB630B" w:rsidRDefault="002809C1" w:rsidP="00FF7E57">
      <w:pPr>
        <w:jc w:val="right"/>
        <w:rPr>
          <w:b/>
          <w:sz w:val="26"/>
          <w:szCs w:val="26"/>
          <w:lang w:val="lt-LT"/>
        </w:rPr>
      </w:pPr>
      <w:r>
        <w:br w:type="page"/>
      </w:r>
      <w:r w:rsidR="005A702E" w:rsidRPr="00FB630B">
        <w:rPr>
          <w:b/>
          <w:sz w:val="26"/>
          <w:szCs w:val="26"/>
          <w:lang w:val="lt-LT"/>
        </w:rPr>
        <w:lastRenderedPageBreak/>
        <w:t>2</w:t>
      </w:r>
      <w:r w:rsidR="00984BDF" w:rsidRPr="00FB630B">
        <w:rPr>
          <w:b/>
          <w:sz w:val="26"/>
          <w:szCs w:val="26"/>
          <w:lang w:val="lt-LT"/>
        </w:rPr>
        <w:t>2</w:t>
      </w:r>
      <w:r w:rsidR="00FF7E57" w:rsidRPr="00FB630B">
        <w:rPr>
          <w:b/>
          <w:sz w:val="26"/>
          <w:szCs w:val="26"/>
          <w:lang w:val="lt-LT"/>
        </w:rPr>
        <w:t xml:space="preserve"> PRIEDAS</w:t>
      </w:r>
    </w:p>
    <w:p w:rsidR="00FF7E57" w:rsidRPr="00FB630B" w:rsidRDefault="00FF7E57" w:rsidP="00FF7E57">
      <w:pPr>
        <w:jc w:val="center"/>
        <w:rPr>
          <w:b/>
          <w:sz w:val="26"/>
          <w:szCs w:val="26"/>
          <w:lang w:val="lt-LT"/>
        </w:rPr>
      </w:pPr>
      <w:r w:rsidRPr="00FB630B">
        <w:rPr>
          <w:b/>
          <w:sz w:val="26"/>
          <w:szCs w:val="26"/>
        </w:rPr>
        <w:t>APGAULĖS RIZIKOS APSKAIČIAVIMAS</w:t>
      </w:r>
    </w:p>
    <w:tbl>
      <w:tblPr>
        <w:tblpPr w:leftFromText="180" w:rightFromText="180" w:vertAnchor="page" w:horzAnchor="margin" w:tblpY="253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827"/>
        <w:gridCol w:w="1134"/>
        <w:gridCol w:w="850"/>
        <w:gridCol w:w="1134"/>
        <w:gridCol w:w="1276"/>
        <w:gridCol w:w="1134"/>
        <w:gridCol w:w="992"/>
        <w:gridCol w:w="1134"/>
        <w:gridCol w:w="1418"/>
      </w:tblGrid>
      <w:tr w:rsidR="00FF7E57" w:rsidRPr="004273CC" w:rsidTr="00FF7E57">
        <w:trPr>
          <w:cantSplit/>
        </w:trPr>
        <w:tc>
          <w:tcPr>
            <w:tcW w:w="4928" w:type="dxa"/>
            <w:gridSpan w:val="2"/>
            <w:vMerge w:val="restart"/>
            <w:vAlign w:val="center"/>
          </w:tcPr>
          <w:p w:rsidR="00FF7E57" w:rsidRPr="004273CC" w:rsidRDefault="00FF7E57" w:rsidP="008E4A5A">
            <w:pPr>
              <w:tabs>
                <w:tab w:val="left" w:pos="510"/>
              </w:tabs>
              <w:jc w:val="center"/>
              <w:rPr>
                <w:b/>
                <w:lang w:val="lt-LT"/>
              </w:rPr>
            </w:pPr>
            <w:r w:rsidRPr="004273CC">
              <w:rPr>
                <w:b/>
                <w:lang w:val="lt-LT"/>
              </w:rPr>
              <w:t>Įmonės išorė</w:t>
            </w:r>
            <w:r w:rsidR="008E4A5A">
              <w:rPr>
                <w:b/>
                <w:lang w:val="lt-LT"/>
              </w:rPr>
              <w:t>s</w:t>
            </w:r>
            <w:r w:rsidRPr="004273CC">
              <w:rPr>
                <w:b/>
                <w:lang w:val="lt-LT"/>
              </w:rPr>
              <w:t xml:space="preserve"> </w:t>
            </w:r>
            <w:r>
              <w:rPr>
                <w:b/>
                <w:lang w:val="lt-LT"/>
              </w:rPr>
              <w:t>ar vid</w:t>
            </w:r>
            <w:r w:rsidR="008E4A5A">
              <w:rPr>
                <w:b/>
                <w:lang w:val="lt-LT"/>
              </w:rPr>
              <w:t xml:space="preserve">aus </w:t>
            </w:r>
            <w:r w:rsidRPr="004273CC">
              <w:rPr>
                <w:b/>
                <w:lang w:val="lt-LT"/>
              </w:rPr>
              <w:t>aplinka</w:t>
            </w:r>
          </w:p>
        </w:tc>
        <w:tc>
          <w:tcPr>
            <w:tcW w:w="4394" w:type="dxa"/>
            <w:gridSpan w:val="4"/>
            <w:vAlign w:val="center"/>
          </w:tcPr>
          <w:p w:rsidR="00FF7E57" w:rsidRPr="004273CC" w:rsidRDefault="00FF7E57" w:rsidP="00FF7E57">
            <w:pPr>
              <w:tabs>
                <w:tab w:val="left" w:pos="510"/>
              </w:tabs>
              <w:jc w:val="center"/>
              <w:rPr>
                <w:b/>
                <w:lang w:val="lt-LT"/>
              </w:rPr>
            </w:pPr>
            <w:r>
              <w:rPr>
                <w:b/>
                <w:lang w:val="lt-LT"/>
              </w:rPr>
              <w:t>UAB „Šiluma“</w:t>
            </w:r>
          </w:p>
        </w:tc>
        <w:tc>
          <w:tcPr>
            <w:tcW w:w="4678" w:type="dxa"/>
            <w:gridSpan w:val="4"/>
            <w:vAlign w:val="center"/>
          </w:tcPr>
          <w:p w:rsidR="00FF7E57" w:rsidRPr="004273CC" w:rsidRDefault="00FF7E57" w:rsidP="00FF7E57">
            <w:pPr>
              <w:tabs>
                <w:tab w:val="left" w:pos="510"/>
              </w:tabs>
              <w:jc w:val="center"/>
              <w:rPr>
                <w:b/>
                <w:lang w:val="lt-LT"/>
              </w:rPr>
            </w:pPr>
            <w:r>
              <w:rPr>
                <w:b/>
                <w:lang w:val="lt-LT"/>
              </w:rPr>
              <w:t>UAB „Žuvila“</w:t>
            </w:r>
          </w:p>
        </w:tc>
      </w:tr>
      <w:tr w:rsidR="00FF7E57" w:rsidRPr="004273CC" w:rsidTr="00FF7E57">
        <w:trPr>
          <w:cantSplit/>
        </w:trPr>
        <w:tc>
          <w:tcPr>
            <w:tcW w:w="4928" w:type="dxa"/>
            <w:gridSpan w:val="2"/>
            <w:vMerge/>
            <w:vAlign w:val="center"/>
          </w:tcPr>
          <w:p w:rsidR="00FF7E57" w:rsidRPr="004273CC" w:rsidRDefault="00FF7E57" w:rsidP="00FF7E57">
            <w:pPr>
              <w:tabs>
                <w:tab w:val="left" w:pos="510"/>
              </w:tabs>
              <w:jc w:val="center"/>
              <w:rPr>
                <w:b/>
                <w:lang w:val="lt-LT"/>
              </w:rPr>
            </w:pPr>
          </w:p>
        </w:tc>
        <w:tc>
          <w:tcPr>
            <w:tcW w:w="3118" w:type="dxa"/>
            <w:gridSpan w:val="3"/>
            <w:vAlign w:val="center"/>
          </w:tcPr>
          <w:p w:rsidR="00FF7E57" w:rsidRPr="00091C03" w:rsidRDefault="00FF7E57" w:rsidP="00FF7E57">
            <w:pPr>
              <w:tabs>
                <w:tab w:val="left" w:pos="510"/>
              </w:tabs>
              <w:jc w:val="center"/>
              <w:rPr>
                <w:lang w:val="lt-LT"/>
              </w:rPr>
            </w:pPr>
            <w:r w:rsidRPr="004273CC">
              <w:rPr>
                <w:b/>
                <w:lang w:val="lt-LT"/>
              </w:rPr>
              <w:t>Rizikos vertinimas</w:t>
            </w:r>
            <w:r>
              <w:rPr>
                <w:rStyle w:val="FootnoteReference"/>
                <w:lang w:val="lt-LT"/>
              </w:rPr>
              <w:footnoteReference w:id="30"/>
            </w:r>
          </w:p>
        </w:tc>
        <w:tc>
          <w:tcPr>
            <w:tcW w:w="1276" w:type="dxa"/>
            <w:vMerge w:val="restart"/>
            <w:vAlign w:val="center"/>
          </w:tcPr>
          <w:p w:rsidR="00FF7E57" w:rsidRPr="004273CC" w:rsidRDefault="00FF7E57" w:rsidP="00FF7E57">
            <w:pPr>
              <w:tabs>
                <w:tab w:val="left" w:pos="510"/>
              </w:tabs>
              <w:jc w:val="center"/>
              <w:rPr>
                <w:b/>
                <w:lang w:val="lt-LT"/>
              </w:rPr>
            </w:pPr>
            <w:r w:rsidRPr="004273CC">
              <w:rPr>
                <w:b/>
                <w:lang w:val="lt-LT"/>
              </w:rPr>
              <w:t>Pastabos</w:t>
            </w:r>
          </w:p>
        </w:tc>
        <w:tc>
          <w:tcPr>
            <w:tcW w:w="3260" w:type="dxa"/>
            <w:gridSpan w:val="3"/>
            <w:vAlign w:val="center"/>
          </w:tcPr>
          <w:p w:rsidR="00FF7E57" w:rsidRPr="00091C03" w:rsidRDefault="00FF7E57" w:rsidP="00FF7E57">
            <w:pPr>
              <w:tabs>
                <w:tab w:val="left" w:pos="510"/>
              </w:tabs>
              <w:jc w:val="center"/>
              <w:rPr>
                <w:lang w:val="lt-LT"/>
              </w:rPr>
            </w:pPr>
            <w:r w:rsidRPr="004273CC">
              <w:rPr>
                <w:b/>
                <w:lang w:val="lt-LT"/>
              </w:rPr>
              <w:t>Rizikos vertinimas</w:t>
            </w:r>
            <w:r>
              <w:rPr>
                <w:rStyle w:val="FootnoteReference"/>
                <w:lang w:val="lt-LT"/>
              </w:rPr>
              <w:footnoteReference w:id="31"/>
            </w:r>
          </w:p>
        </w:tc>
        <w:tc>
          <w:tcPr>
            <w:tcW w:w="1418" w:type="dxa"/>
            <w:vMerge w:val="restart"/>
            <w:vAlign w:val="center"/>
          </w:tcPr>
          <w:p w:rsidR="00FF7E57" w:rsidRPr="004273CC" w:rsidRDefault="00FF7E57" w:rsidP="00FF7E57">
            <w:pPr>
              <w:tabs>
                <w:tab w:val="left" w:pos="510"/>
              </w:tabs>
              <w:jc w:val="center"/>
              <w:rPr>
                <w:b/>
                <w:lang w:val="lt-LT"/>
              </w:rPr>
            </w:pPr>
            <w:r w:rsidRPr="004273CC">
              <w:rPr>
                <w:b/>
                <w:lang w:val="lt-LT"/>
              </w:rPr>
              <w:t>Pastabos</w:t>
            </w:r>
          </w:p>
        </w:tc>
      </w:tr>
      <w:tr w:rsidR="00FF7E57" w:rsidRPr="004273CC" w:rsidTr="00FF7E57">
        <w:trPr>
          <w:cantSplit/>
        </w:trPr>
        <w:tc>
          <w:tcPr>
            <w:tcW w:w="1101" w:type="dxa"/>
          </w:tcPr>
          <w:p w:rsidR="00FF7E57" w:rsidRPr="004273CC" w:rsidRDefault="00FF7E57" w:rsidP="00FF7E57">
            <w:pPr>
              <w:tabs>
                <w:tab w:val="left" w:pos="510"/>
              </w:tabs>
              <w:jc w:val="center"/>
              <w:rPr>
                <w:b/>
                <w:lang w:val="lt-LT"/>
              </w:rPr>
            </w:pPr>
            <w:r w:rsidRPr="004273CC">
              <w:rPr>
                <w:b/>
                <w:lang w:val="lt-LT"/>
              </w:rPr>
              <w:t>Sąlygos</w:t>
            </w:r>
          </w:p>
        </w:tc>
        <w:tc>
          <w:tcPr>
            <w:tcW w:w="3827" w:type="dxa"/>
            <w:vAlign w:val="center"/>
          </w:tcPr>
          <w:p w:rsidR="00FF7E57" w:rsidRPr="004273CC" w:rsidRDefault="00FF7E57" w:rsidP="00FF7E57">
            <w:pPr>
              <w:tabs>
                <w:tab w:val="left" w:pos="510"/>
              </w:tabs>
              <w:jc w:val="center"/>
              <w:rPr>
                <w:b/>
                <w:lang w:val="lt-LT"/>
              </w:rPr>
            </w:pPr>
            <w:r w:rsidRPr="004273CC">
              <w:rPr>
                <w:b/>
                <w:lang w:val="lt-LT"/>
              </w:rPr>
              <w:t>Veiksniai</w:t>
            </w:r>
          </w:p>
        </w:tc>
        <w:tc>
          <w:tcPr>
            <w:tcW w:w="1134" w:type="dxa"/>
            <w:vAlign w:val="center"/>
          </w:tcPr>
          <w:p w:rsidR="00FF7E57" w:rsidRPr="004273CC" w:rsidRDefault="00FF7E57" w:rsidP="00FF7E57">
            <w:pPr>
              <w:tabs>
                <w:tab w:val="left" w:pos="510"/>
              </w:tabs>
              <w:jc w:val="center"/>
              <w:rPr>
                <w:lang w:val="lt-LT"/>
              </w:rPr>
            </w:pPr>
            <w:r>
              <w:rPr>
                <w:lang w:val="lt-LT"/>
              </w:rPr>
              <w:t>Tikimybė</w:t>
            </w:r>
            <w:r w:rsidRPr="004273CC">
              <w:rPr>
                <w:lang w:val="lt-LT"/>
              </w:rPr>
              <w:t xml:space="preserve"> (1-5)</w:t>
            </w:r>
          </w:p>
        </w:tc>
        <w:tc>
          <w:tcPr>
            <w:tcW w:w="850" w:type="dxa"/>
            <w:vAlign w:val="center"/>
          </w:tcPr>
          <w:p w:rsidR="00FF7E57" w:rsidRPr="004273CC" w:rsidRDefault="00FF7E57" w:rsidP="00FF7E57">
            <w:pPr>
              <w:tabs>
                <w:tab w:val="left" w:pos="510"/>
              </w:tabs>
              <w:jc w:val="center"/>
              <w:rPr>
                <w:lang w:val="lt-LT"/>
              </w:rPr>
            </w:pPr>
            <w:r w:rsidRPr="004273CC">
              <w:rPr>
                <w:lang w:val="lt-LT"/>
              </w:rPr>
              <w:t>Įtaka</w:t>
            </w:r>
            <w:r>
              <w:rPr>
                <w:rStyle w:val="FootnoteReference"/>
                <w:lang w:val="lt-LT"/>
              </w:rPr>
              <w:footnoteReference w:id="32"/>
            </w:r>
          </w:p>
          <w:p w:rsidR="00FF7E57" w:rsidRPr="004273CC" w:rsidRDefault="00FF7E57" w:rsidP="00FF7E57">
            <w:pPr>
              <w:tabs>
                <w:tab w:val="left" w:pos="510"/>
              </w:tabs>
              <w:jc w:val="center"/>
              <w:rPr>
                <w:lang w:val="lt-LT"/>
              </w:rPr>
            </w:pPr>
            <w:r w:rsidRPr="004273CC">
              <w:rPr>
                <w:lang w:val="lt-LT"/>
              </w:rPr>
              <w:t>(1-5)</w:t>
            </w:r>
          </w:p>
        </w:tc>
        <w:tc>
          <w:tcPr>
            <w:tcW w:w="1134" w:type="dxa"/>
            <w:vAlign w:val="center"/>
          </w:tcPr>
          <w:p w:rsidR="00FF7E57" w:rsidRPr="004273CC" w:rsidRDefault="00FF7E57" w:rsidP="00FF7E57">
            <w:pPr>
              <w:tabs>
                <w:tab w:val="left" w:pos="510"/>
              </w:tabs>
              <w:jc w:val="center"/>
              <w:rPr>
                <w:lang w:val="lt-LT"/>
              </w:rPr>
            </w:pPr>
            <w:r w:rsidRPr="004273CC">
              <w:rPr>
                <w:lang w:val="lt-LT"/>
              </w:rPr>
              <w:t>Tikimybė * Įtaka</w:t>
            </w:r>
          </w:p>
        </w:tc>
        <w:tc>
          <w:tcPr>
            <w:tcW w:w="1276" w:type="dxa"/>
            <w:vMerge/>
            <w:vAlign w:val="center"/>
          </w:tcPr>
          <w:p w:rsidR="00FF7E57" w:rsidRPr="004273CC" w:rsidRDefault="00FF7E57" w:rsidP="00FF7E57">
            <w:pPr>
              <w:tabs>
                <w:tab w:val="left" w:pos="510"/>
              </w:tabs>
              <w:jc w:val="center"/>
              <w:rPr>
                <w:b/>
                <w:lang w:val="lt-LT"/>
              </w:rPr>
            </w:pPr>
          </w:p>
        </w:tc>
        <w:tc>
          <w:tcPr>
            <w:tcW w:w="1134" w:type="dxa"/>
            <w:vAlign w:val="center"/>
          </w:tcPr>
          <w:p w:rsidR="00FF7E57" w:rsidRPr="004273CC" w:rsidRDefault="00FF7E57" w:rsidP="00FF7E57">
            <w:pPr>
              <w:tabs>
                <w:tab w:val="left" w:pos="510"/>
              </w:tabs>
              <w:jc w:val="center"/>
              <w:rPr>
                <w:lang w:val="lt-LT"/>
              </w:rPr>
            </w:pPr>
            <w:r>
              <w:rPr>
                <w:lang w:val="lt-LT"/>
              </w:rPr>
              <w:t>Tikimybė</w:t>
            </w:r>
            <w:r w:rsidRPr="004273CC">
              <w:rPr>
                <w:lang w:val="lt-LT"/>
              </w:rPr>
              <w:t xml:space="preserve"> (1-5)</w:t>
            </w:r>
          </w:p>
        </w:tc>
        <w:tc>
          <w:tcPr>
            <w:tcW w:w="992" w:type="dxa"/>
            <w:vAlign w:val="center"/>
          </w:tcPr>
          <w:p w:rsidR="00FF7E57" w:rsidRPr="004273CC" w:rsidRDefault="00FF7E57" w:rsidP="00FF7E57">
            <w:pPr>
              <w:tabs>
                <w:tab w:val="left" w:pos="510"/>
              </w:tabs>
              <w:jc w:val="center"/>
              <w:rPr>
                <w:lang w:val="lt-LT"/>
              </w:rPr>
            </w:pPr>
            <w:r w:rsidRPr="004273CC">
              <w:rPr>
                <w:lang w:val="lt-LT"/>
              </w:rPr>
              <w:t>Įtaka</w:t>
            </w:r>
            <w:r>
              <w:rPr>
                <w:rStyle w:val="FootnoteReference"/>
                <w:lang w:val="lt-LT"/>
              </w:rPr>
              <w:footnoteReference w:id="33"/>
            </w:r>
          </w:p>
          <w:p w:rsidR="00FF7E57" w:rsidRPr="004273CC" w:rsidRDefault="00FF7E57" w:rsidP="00FF7E57">
            <w:pPr>
              <w:tabs>
                <w:tab w:val="left" w:pos="510"/>
              </w:tabs>
              <w:jc w:val="center"/>
              <w:rPr>
                <w:lang w:val="lt-LT"/>
              </w:rPr>
            </w:pPr>
            <w:r w:rsidRPr="004273CC">
              <w:rPr>
                <w:lang w:val="lt-LT"/>
              </w:rPr>
              <w:t>(1-5)</w:t>
            </w:r>
          </w:p>
        </w:tc>
        <w:tc>
          <w:tcPr>
            <w:tcW w:w="1134" w:type="dxa"/>
            <w:vAlign w:val="center"/>
          </w:tcPr>
          <w:p w:rsidR="00FF7E57" w:rsidRPr="004273CC" w:rsidRDefault="00FF7E57" w:rsidP="00FF7E57">
            <w:pPr>
              <w:tabs>
                <w:tab w:val="left" w:pos="510"/>
              </w:tabs>
              <w:jc w:val="center"/>
              <w:rPr>
                <w:lang w:val="lt-LT"/>
              </w:rPr>
            </w:pPr>
            <w:r w:rsidRPr="004273CC">
              <w:rPr>
                <w:lang w:val="lt-LT"/>
              </w:rPr>
              <w:t>Tikimybė * Įtaka</w:t>
            </w:r>
          </w:p>
        </w:tc>
        <w:tc>
          <w:tcPr>
            <w:tcW w:w="1418" w:type="dxa"/>
            <w:vMerge/>
            <w:vAlign w:val="center"/>
          </w:tcPr>
          <w:p w:rsidR="00FF7E57" w:rsidRPr="004273CC" w:rsidRDefault="00FF7E57" w:rsidP="00FF7E57">
            <w:pPr>
              <w:tabs>
                <w:tab w:val="left" w:pos="510"/>
              </w:tabs>
              <w:jc w:val="center"/>
              <w:rPr>
                <w:b/>
                <w:lang w:val="lt-LT"/>
              </w:rPr>
            </w:pPr>
          </w:p>
        </w:tc>
      </w:tr>
      <w:tr w:rsidR="00FF7E57" w:rsidRPr="004273CC" w:rsidTr="00FF7E57">
        <w:trPr>
          <w:cantSplit/>
        </w:trPr>
        <w:tc>
          <w:tcPr>
            <w:tcW w:w="1101" w:type="dxa"/>
            <w:vMerge w:val="restart"/>
            <w:textDirection w:val="btLr"/>
          </w:tcPr>
          <w:p w:rsidR="00FF7E57" w:rsidRPr="00292728" w:rsidRDefault="00FF7E57" w:rsidP="00FF7E57">
            <w:pPr>
              <w:tabs>
                <w:tab w:val="left" w:pos="510"/>
              </w:tabs>
              <w:ind w:left="113" w:right="113"/>
              <w:jc w:val="center"/>
              <w:rPr>
                <w:b/>
                <w:lang w:val="lt-LT"/>
              </w:rPr>
            </w:pPr>
            <w:r w:rsidRPr="00292728">
              <w:rPr>
                <w:b/>
                <w:lang w:val="lt-LT"/>
              </w:rPr>
              <w:t>1. Paskatos/</w:t>
            </w:r>
            <w:r>
              <w:rPr>
                <w:b/>
                <w:lang w:val="lt-LT"/>
              </w:rPr>
              <w:t xml:space="preserve"> </w:t>
            </w:r>
            <w:r w:rsidRPr="00292728">
              <w:rPr>
                <w:b/>
                <w:lang w:val="lt-LT"/>
              </w:rPr>
              <w:t>Spaudimas</w:t>
            </w:r>
          </w:p>
        </w:tc>
        <w:tc>
          <w:tcPr>
            <w:tcW w:w="3827" w:type="dxa"/>
          </w:tcPr>
          <w:p w:rsidR="00FF7E57" w:rsidRPr="004273CC" w:rsidRDefault="00FF7E57" w:rsidP="00FF7E57">
            <w:pPr>
              <w:tabs>
                <w:tab w:val="left" w:pos="510"/>
              </w:tabs>
              <w:jc w:val="both"/>
              <w:rPr>
                <w:lang w:val="lt-LT"/>
              </w:rPr>
            </w:pPr>
            <w:r w:rsidRPr="00BB43E3">
              <w:rPr>
                <w:lang w:val="lt-LT"/>
              </w:rPr>
              <w:t xml:space="preserve">Finansiniam stabilumui arba pelningumui grėsmę kelia ekonominės ir </w:t>
            </w:r>
            <w:r>
              <w:rPr>
                <w:lang w:val="lt-LT"/>
              </w:rPr>
              <w:t>ūkio šakos</w:t>
            </w:r>
            <w:r w:rsidRPr="00BB43E3">
              <w:rPr>
                <w:lang w:val="lt-LT"/>
              </w:rPr>
              <w:t xml:space="preserve"> sąlygos</w:t>
            </w:r>
            <w:r>
              <w:rPr>
                <w:lang w:val="lt-LT"/>
              </w:rPr>
              <w:t>, teisės aktų ar priežiūros reikalavimai</w:t>
            </w:r>
          </w:p>
        </w:tc>
        <w:tc>
          <w:tcPr>
            <w:tcW w:w="1134" w:type="dxa"/>
          </w:tcPr>
          <w:p w:rsidR="00FF7E57" w:rsidRPr="004273CC" w:rsidRDefault="00FF7E57" w:rsidP="00FF7E57">
            <w:pPr>
              <w:tabs>
                <w:tab w:val="left" w:pos="510"/>
              </w:tabs>
              <w:jc w:val="center"/>
              <w:rPr>
                <w:lang w:val="lt-LT"/>
              </w:rPr>
            </w:pPr>
          </w:p>
        </w:tc>
        <w:tc>
          <w:tcPr>
            <w:tcW w:w="850" w:type="dxa"/>
          </w:tcPr>
          <w:p w:rsidR="00FF7E57" w:rsidRPr="004273CC" w:rsidRDefault="00FF7E57" w:rsidP="00FF7E57">
            <w:pPr>
              <w:tabs>
                <w:tab w:val="left" w:pos="510"/>
              </w:tabs>
              <w:jc w:val="center"/>
              <w:rPr>
                <w:lang w:val="lt-LT"/>
              </w:rPr>
            </w:pPr>
          </w:p>
        </w:tc>
        <w:tc>
          <w:tcPr>
            <w:tcW w:w="1134" w:type="dxa"/>
          </w:tcPr>
          <w:p w:rsidR="00FF7E57" w:rsidRPr="004273CC" w:rsidRDefault="00FF7E57" w:rsidP="00FF7E57">
            <w:pPr>
              <w:tabs>
                <w:tab w:val="left" w:pos="510"/>
              </w:tabs>
              <w:jc w:val="center"/>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Pr="004273CC" w:rsidRDefault="00FF7E57" w:rsidP="00FF7E57">
            <w:pPr>
              <w:tabs>
                <w:tab w:val="left" w:pos="510"/>
              </w:tabs>
              <w:jc w:val="both"/>
              <w:rPr>
                <w:lang w:val="lt-LT"/>
              </w:rPr>
            </w:pPr>
            <w:r>
              <w:rPr>
                <w:lang w:val="lt-LT"/>
              </w:rPr>
              <w:t>Būtina</w:t>
            </w:r>
            <w:r w:rsidRPr="00BB43E3">
              <w:rPr>
                <w:lang w:val="lt-LT"/>
              </w:rPr>
              <w:t xml:space="preserve"> vykdyti reikalavimus arba pateisinti trečiųjų šalių lūkesčius</w:t>
            </w:r>
            <w:r>
              <w:rPr>
                <w:lang w:val="lt-LT"/>
              </w:rPr>
              <w:t xml:space="preserve"> dėl pelningumo, papildomo finansavimo, veiklos masto, akcijos rinkos kainos</w:t>
            </w:r>
          </w:p>
        </w:tc>
        <w:tc>
          <w:tcPr>
            <w:tcW w:w="1134" w:type="dxa"/>
          </w:tcPr>
          <w:p w:rsidR="00FF7E57" w:rsidRPr="00BB5376" w:rsidRDefault="00FF7E57" w:rsidP="00FF7E57">
            <w:pPr>
              <w:tabs>
                <w:tab w:val="left" w:pos="510"/>
              </w:tabs>
              <w:jc w:val="center"/>
              <w:rPr>
                <w:b/>
                <w:lang w:val="lt-LT"/>
              </w:rPr>
            </w:pPr>
            <w:r>
              <w:rPr>
                <w:b/>
                <w:lang w:val="lt-LT"/>
              </w:rPr>
              <w:t>3</w:t>
            </w:r>
          </w:p>
        </w:tc>
        <w:tc>
          <w:tcPr>
            <w:tcW w:w="850" w:type="dxa"/>
          </w:tcPr>
          <w:p w:rsidR="00FF7E57" w:rsidRPr="00BB5376" w:rsidRDefault="00FF7E57" w:rsidP="00FF7E57">
            <w:pPr>
              <w:tabs>
                <w:tab w:val="left" w:pos="510"/>
              </w:tabs>
              <w:jc w:val="center"/>
              <w:rPr>
                <w:b/>
                <w:lang w:val="lt-LT"/>
              </w:rPr>
            </w:pPr>
            <w:r w:rsidRPr="00BB5376">
              <w:rPr>
                <w:b/>
                <w:lang w:val="lt-LT"/>
              </w:rPr>
              <w:t>5</w:t>
            </w:r>
          </w:p>
        </w:tc>
        <w:tc>
          <w:tcPr>
            <w:tcW w:w="1134" w:type="dxa"/>
          </w:tcPr>
          <w:p w:rsidR="00FF7E57" w:rsidRPr="00BB5376" w:rsidRDefault="00FF7E57" w:rsidP="00FF7E57">
            <w:pPr>
              <w:tabs>
                <w:tab w:val="left" w:pos="510"/>
              </w:tabs>
              <w:jc w:val="center"/>
              <w:rPr>
                <w:b/>
                <w:lang w:val="lt-LT"/>
              </w:rPr>
            </w:pPr>
            <w:r w:rsidRPr="00BB5376">
              <w:rPr>
                <w:b/>
                <w:lang w:val="lt-LT"/>
              </w:rPr>
              <w:t>15</w:t>
            </w:r>
          </w:p>
        </w:tc>
        <w:tc>
          <w:tcPr>
            <w:tcW w:w="1276" w:type="dxa"/>
          </w:tcPr>
          <w:p w:rsidR="00FF7E57" w:rsidRPr="000B74B1" w:rsidRDefault="00FF7E57" w:rsidP="00FF7E57">
            <w:pPr>
              <w:tabs>
                <w:tab w:val="left" w:pos="510"/>
              </w:tabs>
              <w:jc w:val="both"/>
              <w:rPr>
                <w:lang w:val="lt-LT"/>
              </w:rPr>
            </w:pPr>
            <w:r>
              <w:rPr>
                <w:lang w:val="lt-LT"/>
              </w:rPr>
              <w:t>Pardavimai – Tikslumas</w:t>
            </w:r>
          </w:p>
        </w:tc>
        <w:tc>
          <w:tcPr>
            <w:tcW w:w="1134" w:type="dxa"/>
          </w:tcPr>
          <w:p w:rsidR="00FF7E57" w:rsidRPr="00D57C8B" w:rsidRDefault="00FF7E57" w:rsidP="00FF7E57">
            <w:pPr>
              <w:tabs>
                <w:tab w:val="left" w:pos="510"/>
              </w:tabs>
              <w:jc w:val="center"/>
              <w:rPr>
                <w:b/>
                <w:lang w:val="lt-LT"/>
              </w:rPr>
            </w:pPr>
            <w:r w:rsidRPr="00D57C8B">
              <w:rPr>
                <w:b/>
                <w:lang w:val="lt-LT"/>
              </w:rPr>
              <w:t>3</w:t>
            </w:r>
          </w:p>
        </w:tc>
        <w:tc>
          <w:tcPr>
            <w:tcW w:w="992" w:type="dxa"/>
          </w:tcPr>
          <w:p w:rsidR="00FF7E57" w:rsidRPr="00D57C8B" w:rsidRDefault="00FF7E57" w:rsidP="00FF7E57">
            <w:pPr>
              <w:tabs>
                <w:tab w:val="left" w:pos="510"/>
              </w:tabs>
              <w:jc w:val="center"/>
              <w:rPr>
                <w:b/>
                <w:lang w:val="lt-LT"/>
              </w:rPr>
            </w:pPr>
            <w:r>
              <w:rPr>
                <w:b/>
                <w:lang w:val="lt-LT"/>
              </w:rPr>
              <w:t>4</w:t>
            </w:r>
          </w:p>
        </w:tc>
        <w:tc>
          <w:tcPr>
            <w:tcW w:w="1134" w:type="dxa"/>
          </w:tcPr>
          <w:p w:rsidR="00FF7E57" w:rsidRPr="00D57C8B" w:rsidRDefault="00FF7E57" w:rsidP="00FF7E57">
            <w:pPr>
              <w:tabs>
                <w:tab w:val="left" w:pos="510"/>
              </w:tabs>
              <w:jc w:val="center"/>
              <w:rPr>
                <w:b/>
                <w:lang w:val="lt-LT"/>
              </w:rPr>
            </w:pPr>
            <w:r>
              <w:rPr>
                <w:b/>
                <w:lang w:val="lt-LT"/>
              </w:rPr>
              <w:t>12</w:t>
            </w:r>
          </w:p>
        </w:tc>
        <w:tc>
          <w:tcPr>
            <w:tcW w:w="1418" w:type="dxa"/>
          </w:tcPr>
          <w:p w:rsidR="00FF7E57" w:rsidRPr="004273CC" w:rsidRDefault="00FF7E57" w:rsidP="00FF7E57">
            <w:pPr>
              <w:tabs>
                <w:tab w:val="left" w:pos="510"/>
              </w:tabs>
              <w:jc w:val="both"/>
              <w:rPr>
                <w:lang w:val="lt-LT"/>
              </w:rPr>
            </w:pPr>
            <w:r>
              <w:rPr>
                <w:lang w:val="lt-LT"/>
              </w:rPr>
              <w:t>Pardavimai – Tikslumas; Savikaina – Tikslumas</w:t>
            </w:r>
          </w:p>
        </w:tc>
      </w:tr>
      <w:tr w:rsidR="00FF7E57" w:rsidRPr="004273CC"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Pr="004273CC" w:rsidRDefault="00FF7E57" w:rsidP="00FF7E57">
            <w:pPr>
              <w:tabs>
                <w:tab w:val="left" w:pos="510"/>
              </w:tabs>
              <w:jc w:val="both"/>
              <w:rPr>
                <w:lang w:val="lt-LT"/>
              </w:rPr>
            </w:pPr>
            <w:r>
              <w:rPr>
                <w:lang w:val="lt-LT"/>
              </w:rPr>
              <w:t>Va</w:t>
            </w:r>
            <w:r w:rsidRPr="00BB43E3">
              <w:rPr>
                <w:lang w:val="lt-LT"/>
              </w:rPr>
              <w:t>dov</w:t>
            </w:r>
            <w:r>
              <w:rPr>
                <w:lang w:val="lt-LT"/>
              </w:rPr>
              <w:t>ybės/</w:t>
            </w:r>
            <w:r w:rsidRPr="00BB43E3">
              <w:rPr>
                <w:lang w:val="lt-LT"/>
              </w:rPr>
              <w:t xml:space="preserve"> aukščiausio lygio vadov</w:t>
            </w:r>
            <w:r>
              <w:rPr>
                <w:lang w:val="lt-LT"/>
              </w:rPr>
              <w:t>ų</w:t>
            </w:r>
            <w:r w:rsidRPr="00BB43E3">
              <w:rPr>
                <w:lang w:val="lt-LT"/>
              </w:rPr>
              <w:t xml:space="preserve"> finansinė</w:t>
            </w:r>
            <w:r>
              <w:rPr>
                <w:lang w:val="lt-LT"/>
              </w:rPr>
              <w:t>s</w:t>
            </w:r>
            <w:r w:rsidRPr="00BB43E3">
              <w:rPr>
                <w:lang w:val="lt-LT"/>
              </w:rPr>
              <w:t xml:space="preserve"> padėti</w:t>
            </w:r>
            <w:r>
              <w:rPr>
                <w:lang w:val="lt-LT"/>
              </w:rPr>
              <w:t>e</w:t>
            </w:r>
            <w:r w:rsidRPr="00BB43E3">
              <w:rPr>
                <w:lang w:val="lt-LT"/>
              </w:rPr>
              <w:t>s priklaus</w:t>
            </w:r>
            <w:r>
              <w:rPr>
                <w:lang w:val="lt-LT"/>
              </w:rPr>
              <w:t>omybė</w:t>
            </w:r>
            <w:r w:rsidRPr="00BB43E3">
              <w:rPr>
                <w:lang w:val="lt-LT"/>
              </w:rPr>
              <w:t xml:space="preserve"> nuo įmonės finansinių rezultatų</w:t>
            </w:r>
            <w:r>
              <w:rPr>
                <w:lang w:val="lt-LT"/>
              </w:rPr>
              <w:t xml:space="preserve"> (turimos akcijos, gaunami dividendai ir premijos, suteiktos garantijos)</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D57C8B" w:rsidRDefault="00FF7E57" w:rsidP="00FF7E57">
            <w:pPr>
              <w:tabs>
                <w:tab w:val="left" w:pos="510"/>
              </w:tabs>
              <w:jc w:val="center"/>
              <w:rPr>
                <w:b/>
                <w:lang w:val="lt-LT"/>
              </w:rPr>
            </w:pPr>
          </w:p>
        </w:tc>
        <w:tc>
          <w:tcPr>
            <w:tcW w:w="992" w:type="dxa"/>
          </w:tcPr>
          <w:p w:rsidR="00FF7E57" w:rsidRPr="00D57C8B" w:rsidRDefault="00FF7E57" w:rsidP="00FF7E57">
            <w:pPr>
              <w:tabs>
                <w:tab w:val="left" w:pos="510"/>
              </w:tabs>
              <w:jc w:val="center"/>
              <w:rPr>
                <w:b/>
                <w:lang w:val="lt-LT"/>
              </w:rPr>
            </w:pPr>
          </w:p>
        </w:tc>
        <w:tc>
          <w:tcPr>
            <w:tcW w:w="1134" w:type="dxa"/>
          </w:tcPr>
          <w:p w:rsidR="00FF7E57" w:rsidRPr="00D57C8B" w:rsidRDefault="00FF7E57" w:rsidP="00FF7E57">
            <w:pPr>
              <w:tabs>
                <w:tab w:val="left" w:pos="510"/>
              </w:tabs>
              <w:jc w:val="center"/>
              <w:rPr>
                <w:b/>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Pr="004273CC" w:rsidRDefault="00FF7E57" w:rsidP="00FF7E57">
            <w:pPr>
              <w:tabs>
                <w:tab w:val="left" w:pos="510"/>
              </w:tabs>
              <w:jc w:val="both"/>
              <w:rPr>
                <w:lang w:val="lt-LT"/>
              </w:rPr>
            </w:pPr>
            <w:r>
              <w:rPr>
                <w:lang w:val="lt-LT"/>
              </w:rPr>
              <w:t>Agresyvus siekimas (</w:t>
            </w:r>
            <w:r w:rsidRPr="00BB43E3">
              <w:rPr>
                <w:lang w:val="lt-LT"/>
              </w:rPr>
              <w:t>didelis spaudimas</w:t>
            </w:r>
            <w:r>
              <w:rPr>
                <w:lang w:val="lt-LT"/>
              </w:rPr>
              <w:t>)</w:t>
            </w:r>
            <w:r w:rsidRPr="00BB43E3">
              <w:rPr>
                <w:lang w:val="lt-LT"/>
              </w:rPr>
              <w:t xml:space="preserve"> įgyvendinti nustatytus finansinius tikslus</w:t>
            </w:r>
            <w:r>
              <w:rPr>
                <w:lang w:val="lt-LT"/>
              </w:rPr>
              <w:t xml:space="preserve"> dėl </w:t>
            </w:r>
            <w:r w:rsidRPr="00BB43E3">
              <w:rPr>
                <w:lang w:val="lt-LT"/>
              </w:rPr>
              <w:t>pardavim</w:t>
            </w:r>
            <w:r>
              <w:rPr>
                <w:lang w:val="lt-LT"/>
              </w:rPr>
              <w:t>ų</w:t>
            </w:r>
            <w:r w:rsidRPr="00BB43E3">
              <w:rPr>
                <w:lang w:val="lt-LT"/>
              </w:rPr>
              <w:t xml:space="preserve"> ar pelningumo</w:t>
            </w:r>
          </w:p>
        </w:tc>
        <w:tc>
          <w:tcPr>
            <w:tcW w:w="1134" w:type="dxa"/>
          </w:tcPr>
          <w:p w:rsidR="00FF7E57" w:rsidRPr="00BB5376" w:rsidRDefault="00FF7E57" w:rsidP="00FF7E57">
            <w:pPr>
              <w:tabs>
                <w:tab w:val="left" w:pos="510"/>
              </w:tabs>
              <w:jc w:val="center"/>
              <w:rPr>
                <w:b/>
                <w:lang w:val="lt-LT"/>
              </w:rPr>
            </w:pPr>
          </w:p>
        </w:tc>
        <w:tc>
          <w:tcPr>
            <w:tcW w:w="850" w:type="dxa"/>
          </w:tcPr>
          <w:p w:rsidR="00FF7E57" w:rsidRPr="00BB5376" w:rsidRDefault="00FF7E57" w:rsidP="00FF7E57">
            <w:pPr>
              <w:tabs>
                <w:tab w:val="left" w:pos="510"/>
              </w:tabs>
              <w:jc w:val="center"/>
              <w:rPr>
                <w:b/>
                <w:lang w:val="lt-LT"/>
              </w:rPr>
            </w:pPr>
          </w:p>
        </w:tc>
        <w:tc>
          <w:tcPr>
            <w:tcW w:w="1134" w:type="dxa"/>
          </w:tcPr>
          <w:p w:rsidR="00FF7E57" w:rsidRPr="00BB5376" w:rsidRDefault="00FF7E57" w:rsidP="00FF7E57">
            <w:pPr>
              <w:tabs>
                <w:tab w:val="left" w:pos="510"/>
              </w:tabs>
              <w:jc w:val="center"/>
              <w:rPr>
                <w:b/>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D57C8B" w:rsidRDefault="00FF7E57" w:rsidP="00FF7E57">
            <w:pPr>
              <w:tabs>
                <w:tab w:val="left" w:pos="510"/>
              </w:tabs>
              <w:jc w:val="center"/>
              <w:rPr>
                <w:b/>
                <w:lang w:val="lt-LT"/>
              </w:rPr>
            </w:pPr>
            <w:r w:rsidRPr="00D57C8B">
              <w:rPr>
                <w:b/>
                <w:lang w:val="lt-LT"/>
              </w:rPr>
              <w:t>3</w:t>
            </w:r>
          </w:p>
        </w:tc>
        <w:tc>
          <w:tcPr>
            <w:tcW w:w="992" w:type="dxa"/>
          </w:tcPr>
          <w:p w:rsidR="00FF7E57" w:rsidRPr="00D57C8B" w:rsidRDefault="00FF7E57" w:rsidP="00FF7E57">
            <w:pPr>
              <w:tabs>
                <w:tab w:val="left" w:pos="510"/>
              </w:tabs>
              <w:jc w:val="center"/>
              <w:rPr>
                <w:b/>
                <w:lang w:val="lt-LT"/>
              </w:rPr>
            </w:pPr>
            <w:r>
              <w:rPr>
                <w:b/>
                <w:lang w:val="lt-LT"/>
              </w:rPr>
              <w:t>4</w:t>
            </w:r>
          </w:p>
        </w:tc>
        <w:tc>
          <w:tcPr>
            <w:tcW w:w="1134" w:type="dxa"/>
          </w:tcPr>
          <w:p w:rsidR="00FF7E57" w:rsidRPr="00D57C8B" w:rsidRDefault="00FF7E57" w:rsidP="00FF7E57">
            <w:pPr>
              <w:tabs>
                <w:tab w:val="left" w:pos="510"/>
              </w:tabs>
              <w:jc w:val="center"/>
              <w:rPr>
                <w:b/>
                <w:lang w:val="lt-LT"/>
              </w:rPr>
            </w:pPr>
            <w:r>
              <w:rPr>
                <w:b/>
                <w:lang w:val="lt-LT"/>
              </w:rPr>
              <w:t>12</w:t>
            </w:r>
          </w:p>
        </w:tc>
        <w:tc>
          <w:tcPr>
            <w:tcW w:w="1418" w:type="dxa"/>
          </w:tcPr>
          <w:p w:rsidR="00FF7E57" w:rsidRPr="004273CC" w:rsidRDefault="00FF7E57" w:rsidP="00FF7E57">
            <w:pPr>
              <w:tabs>
                <w:tab w:val="left" w:pos="510"/>
              </w:tabs>
              <w:jc w:val="both"/>
              <w:rPr>
                <w:lang w:val="lt-LT"/>
              </w:rPr>
            </w:pPr>
            <w:r>
              <w:rPr>
                <w:lang w:val="lt-LT"/>
              </w:rPr>
              <w:t>t. p.</w:t>
            </w:r>
          </w:p>
        </w:tc>
      </w:tr>
      <w:tr w:rsidR="00FF7E57" w:rsidRPr="004273CC"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Pr="004273CC" w:rsidRDefault="00FF7E57" w:rsidP="00FF7E57">
            <w:pPr>
              <w:tabs>
                <w:tab w:val="left" w:pos="510"/>
              </w:tabs>
              <w:jc w:val="both"/>
              <w:rPr>
                <w:lang w:val="lt-LT"/>
              </w:rPr>
            </w:pPr>
            <w:r>
              <w:rPr>
                <w:lang w:val="lt-LT"/>
              </w:rPr>
              <w:t>Vadovybė yra linkusi imtis</w:t>
            </w:r>
            <w:r w:rsidRPr="00BB43E3">
              <w:rPr>
                <w:lang w:val="lt-LT"/>
              </w:rPr>
              <w:t xml:space="preserve"> priemonių, kad </w:t>
            </w:r>
            <w:r>
              <w:rPr>
                <w:lang w:val="lt-LT"/>
              </w:rPr>
              <w:t xml:space="preserve">išvengtų </w:t>
            </w:r>
            <w:r w:rsidRPr="00BB43E3">
              <w:rPr>
                <w:lang w:val="lt-LT"/>
              </w:rPr>
              <w:t xml:space="preserve">mokesčių </w:t>
            </w:r>
            <w:r>
              <w:rPr>
                <w:lang w:val="lt-LT"/>
              </w:rPr>
              <w:t>mokėjimo</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Default="00FF7E57" w:rsidP="00FF7E57">
            <w:pPr>
              <w:tabs>
                <w:tab w:val="left" w:pos="510"/>
              </w:tabs>
              <w:jc w:val="both"/>
              <w:rPr>
                <w:lang w:val="lt-LT"/>
              </w:rPr>
            </w:pPr>
            <w:r>
              <w:rPr>
                <w:lang w:val="lt-LT"/>
              </w:rPr>
              <w:t>Įvertinimai, susiję su svarbiais pasikeitimais artimiausiu metu, kurie gali turėti finansinį griaunantį poveikį įmonei (gautinų sumų surinkimas, atsargų įvertinimas</w:t>
            </w:r>
          </w:p>
          <w:p w:rsidR="00FF7E57" w:rsidRDefault="00FF7E57" w:rsidP="00FF7E57">
            <w:pPr>
              <w:tabs>
                <w:tab w:val="left" w:pos="510"/>
              </w:tabs>
              <w:jc w:val="both"/>
              <w:rPr>
                <w:lang w:val="lt-LT"/>
              </w:rPr>
            </w:pPr>
          </w:p>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4928" w:type="dxa"/>
            <w:gridSpan w:val="2"/>
            <w:vMerge w:val="restart"/>
            <w:vAlign w:val="center"/>
          </w:tcPr>
          <w:p w:rsidR="00FF7E57" w:rsidRPr="004273CC" w:rsidRDefault="00FF7E57" w:rsidP="008E4A5A">
            <w:pPr>
              <w:tabs>
                <w:tab w:val="left" w:pos="510"/>
              </w:tabs>
              <w:jc w:val="center"/>
              <w:rPr>
                <w:b/>
                <w:lang w:val="lt-LT"/>
              </w:rPr>
            </w:pPr>
            <w:r w:rsidRPr="004273CC">
              <w:rPr>
                <w:b/>
                <w:lang w:val="lt-LT"/>
              </w:rPr>
              <w:lastRenderedPageBreak/>
              <w:t>Įmonės išorė</w:t>
            </w:r>
            <w:r w:rsidR="008E4A5A">
              <w:rPr>
                <w:b/>
                <w:lang w:val="lt-LT"/>
              </w:rPr>
              <w:t>s</w:t>
            </w:r>
            <w:r w:rsidRPr="004273CC">
              <w:rPr>
                <w:b/>
                <w:lang w:val="lt-LT"/>
              </w:rPr>
              <w:t xml:space="preserve"> </w:t>
            </w:r>
            <w:r>
              <w:rPr>
                <w:b/>
                <w:lang w:val="lt-LT"/>
              </w:rPr>
              <w:t>ar vid</w:t>
            </w:r>
            <w:r w:rsidR="008E4A5A">
              <w:rPr>
                <w:b/>
                <w:lang w:val="lt-LT"/>
              </w:rPr>
              <w:t>aus</w:t>
            </w:r>
            <w:r>
              <w:rPr>
                <w:b/>
                <w:lang w:val="lt-LT"/>
              </w:rPr>
              <w:t xml:space="preserve"> </w:t>
            </w:r>
            <w:r w:rsidRPr="004273CC">
              <w:rPr>
                <w:b/>
                <w:lang w:val="lt-LT"/>
              </w:rPr>
              <w:t>aplinka</w:t>
            </w:r>
          </w:p>
        </w:tc>
        <w:tc>
          <w:tcPr>
            <w:tcW w:w="4394" w:type="dxa"/>
            <w:gridSpan w:val="4"/>
            <w:vAlign w:val="center"/>
          </w:tcPr>
          <w:p w:rsidR="00FF7E57" w:rsidRPr="004273CC" w:rsidRDefault="00FF7E57" w:rsidP="00FF7E57">
            <w:pPr>
              <w:tabs>
                <w:tab w:val="left" w:pos="510"/>
              </w:tabs>
              <w:jc w:val="center"/>
              <w:rPr>
                <w:lang w:val="lt-LT"/>
              </w:rPr>
            </w:pPr>
            <w:r>
              <w:rPr>
                <w:b/>
                <w:lang w:val="lt-LT"/>
              </w:rPr>
              <w:t>UAB „Šiluma“</w:t>
            </w:r>
          </w:p>
        </w:tc>
        <w:tc>
          <w:tcPr>
            <w:tcW w:w="4678" w:type="dxa"/>
            <w:gridSpan w:val="4"/>
          </w:tcPr>
          <w:p w:rsidR="00FF7E57" w:rsidRPr="004273CC" w:rsidRDefault="00FF7E57" w:rsidP="00FF7E57">
            <w:pPr>
              <w:tabs>
                <w:tab w:val="left" w:pos="510"/>
              </w:tabs>
              <w:jc w:val="center"/>
              <w:rPr>
                <w:lang w:val="lt-LT"/>
              </w:rPr>
            </w:pPr>
            <w:r>
              <w:rPr>
                <w:b/>
                <w:lang w:val="lt-LT"/>
              </w:rPr>
              <w:t>UAB „Žuvila“</w:t>
            </w:r>
          </w:p>
        </w:tc>
      </w:tr>
      <w:tr w:rsidR="00FF7E57" w:rsidRPr="004273CC" w:rsidTr="00FF7E57">
        <w:trPr>
          <w:cantSplit/>
        </w:trPr>
        <w:tc>
          <w:tcPr>
            <w:tcW w:w="4928" w:type="dxa"/>
            <w:gridSpan w:val="2"/>
            <w:vMerge/>
            <w:vAlign w:val="center"/>
          </w:tcPr>
          <w:p w:rsidR="00FF7E57" w:rsidRPr="00091C03" w:rsidRDefault="00FF7E57" w:rsidP="00FF7E57">
            <w:pPr>
              <w:tabs>
                <w:tab w:val="left" w:pos="510"/>
              </w:tabs>
              <w:jc w:val="center"/>
              <w:rPr>
                <w:lang w:val="lt-LT"/>
              </w:rPr>
            </w:pPr>
          </w:p>
        </w:tc>
        <w:tc>
          <w:tcPr>
            <w:tcW w:w="3118" w:type="dxa"/>
            <w:gridSpan w:val="3"/>
            <w:vAlign w:val="center"/>
          </w:tcPr>
          <w:p w:rsidR="00FF7E57" w:rsidRPr="00091C03" w:rsidRDefault="00FF7E57" w:rsidP="00FF7E57">
            <w:pPr>
              <w:tabs>
                <w:tab w:val="left" w:pos="510"/>
              </w:tabs>
              <w:jc w:val="center"/>
              <w:rPr>
                <w:lang w:val="lt-LT"/>
              </w:rPr>
            </w:pPr>
            <w:r w:rsidRPr="004273CC">
              <w:rPr>
                <w:b/>
                <w:lang w:val="lt-LT"/>
              </w:rPr>
              <w:t>Rizikos vertinimas</w:t>
            </w:r>
          </w:p>
        </w:tc>
        <w:tc>
          <w:tcPr>
            <w:tcW w:w="1276" w:type="dxa"/>
            <w:vMerge w:val="restart"/>
            <w:vAlign w:val="center"/>
          </w:tcPr>
          <w:p w:rsidR="00FF7E57" w:rsidRPr="004273CC" w:rsidRDefault="00FF7E57" w:rsidP="00FF7E57">
            <w:pPr>
              <w:tabs>
                <w:tab w:val="left" w:pos="510"/>
              </w:tabs>
              <w:jc w:val="center"/>
              <w:rPr>
                <w:b/>
                <w:lang w:val="lt-LT"/>
              </w:rPr>
            </w:pPr>
            <w:r w:rsidRPr="004273CC">
              <w:rPr>
                <w:b/>
                <w:lang w:val="lt-LT"/>
              </w:rPr>
              <w:t>Pastabos</w:t>
            </w:r>
          </w:p>
        </w:tc>
        <w:tc>
          <w:tcPr>
            <w:tcW w:w="3260" w:type="dxa"/>
            <w:gridSpan w:val="3"/>
          </w:tcPr>
          <w:p w:rsidR="00FF7E57" w:rsidRPr="00091C03" w:rsidRDefault="00FF7E57" w:rsidP="00FF7E57">
            <w:pPr>
              <w:tabs>
                <w:tab w:val="left" w:pos="510"/>
              </w:tabs>
              <w:jc w:val="center"/>
              <w:rPr>
                <w:lang w:val="lt-LT"/>
              </w:rPr>
            </w:pPr>
            <w:r w:rsidRPr="004273CC">
              <w:rPr>
                <w:b/>
                <w:lang w:val="lt-LT"/>
              </w:rPr>
              <w:t>Rizikos vertinimas</w:t>
            </w:r>
          </w:p>
        </w:tc>
        <w:tc>
          <w:tcPr>
            <w:tcW w:w="1418" w:type="dxa"/>
            <w:vMerge w:val="restart"/>
            <w:vAlign w:val="center"/>
          </w:tcPr>
          <w:p w:rsidR="00FF7E57" w:rsidRPr="004273CC" w:rsidRDefault="00FF7E57" w:rsidP="00FF7E57">
            <w:pPr>
              <w:tabs>
                <w:tab w:val="left" w:pos="510"/>
              </w:tabs>
              <w:jc w:val="center"/>
              <w:rPr>
                <w:b/>
                <w:lang w:val="lt-LT"/>
              </w:rPr>
            </w:pPr>
            <w:r w:rsidRPr="004273CC">
              <w:rPr>
                <w:b/>
                <w:lang w:val="lt-LT"/>
              </w:rPr>
              <w:t>Pastabos</w:t>
            </w:r>
          </w:p>
        </w:tc>
      </w:tr>
      <w:tr w:rsidR="00FF7E57" w:rsidRPr="004273CC" w:rsidTr="00FF7E57">
        <w:trPr>
          <w:cantSplit/>
        </w:trPr>
        <w:tc>
          <w:tcPr>
            <w:tcW w:w="1101" w:type="dxa"/>
          </w:tcPr>
          <w:p w:rsidR="00FF7E57" w:rsidRPr="004273CC" w:rsidRDefault="00FF7E57" w:rsidP="00FF7E57">
            <w:pPr>
              <w:tabs>
                <w:tab w:val="left" w:pos="510"/>
              </w:tabs>
              <w:jc w:val="center"/>
              <w:rPr>
                <w:b/>
                <w:lang w:val="lt-LT"/>
              </w:rPr>
            </w:pPr>
            <w:r w:rsidRPr="004273CC">
              <w:rPr>
                <w:b/>
                <w:lang w:val="lt-LT"/>
              </w:rPr>
              <w:t>Sąlygos</w:t>
            </w:r>
          </w:p>
        </w:tc>
        <w:tc>
          <w:tcPr>
            <w:tcW w:w="3827" w:type="dxa"/>
            <w:vAlign w:val="center"/>
          </w:tcPr>
          <w:p w:rsidR="00FF7E57" w:rsidRPr="004273CC" w:rsidRDefault="00FF7E57" w:rsidP="00FF7E57">
            <w:pPr>
              <w:tabs>
                <w:tab w:val="left" w:pos="510"/>
              </w:tabs>
              <w:jc w:val="center"/>
              <w:rPr>
                <w:b/>
                <w:lang w:val="lt-LT"/>
              </w:rPr>
            </w:pPr>
            <w:r w:rsidRPr="004273CC">
              <w:rPr>
                <w:b/>
                <w:lang w:val="lt-LT"/>
              </w:rPr>
              <w:t>Veiksniai</w:t>
            </w:r>
          </w:p>
        </w:tc>
        <w:tc>
          <w:tcPr>
            <w:tcW w:w="1134" w:type="dxa"/>
            <w:vAlign w:val="center"/>
          </w:tcPr>
          <w:p w:rsidR="00FF7E57" w:rsidRPr="004273CC" w:rsidRDefault="00FF7E57" w:rsidP="00FF7E57">
            <w:pPr>
              <w:tabs>
                <w:tab w:val="left" w:pos="510"/>
              </w:tabs>
              <w:jc w:val="center"/>
              <w:rPr>
                <w:lang w:val="lt-LT"/>
              </w:rPr>
            </w:pPr>
            <w:r>
              <w:rPr>
                <w:lang w:val="lt-LT"/>
              </w:rPr>
              <w:t>Tikimybė</w:t>
            </w:r>
            <w:r w:rsidRPr="004273CC">
              <w:rPr>
                <w:lang w:val="lt-LT"/>
              </w:rPr>
              <w:t xml:space="preserve"> (1-5)</w:t>
            </w:r>
          </w:p>
        </w:tc>
        <w:tc>
          <w:tcPr>
            <w:tcW w:w="850" w:type="dxa"/>
            <w:vAlign w:val="center"/>
          </w:tcPr>
          <w:p w:rsidR="00FF7E57" w:rsidRPr="004273CC" w:rsidRDefault="00FF7E57" w:rsidP="00FF7E57">
            <w:pPr>
              <w:tabs>
                <w:tab w:val="left" w:pos="510"/>
              </w:tabs>
              <w:jc w:val="center"/>
              <w:rPr>
                <w:lang w:val="lt-LT"/>
              </w:rPr>
            </w:pPr>
            <w:r w:rsidRPr="004273CC">
              <w:rPr>
                <w:lang w:val="lt-LT"/>
              </w:rPr>
              <w:t>Įtaka</w:t>
            </w:r>
          </w:p>
          <w:p w:rsidR="00FF7E57" w:rsidRPr="004273CC" w:rsidRDefault="00FF7E57" w:rsidP="00FF7E57">
            <w:pPr>
              <w:tabs>
                <w:tab w:val="left" w:pos="510"/>
              </w:tabs>
              <w:jc w:val="center"/>
              <w:rPr>
                <w:lang w:val="lt-LT"/>
              </w:rPr>
            </w:pPr>
            <w:r w:rsidRPr="004273CC">
              <w:rPr>
                <w:lang w:val="lt-LT"/>
              </w:rPr>
              <w:t>(1-5)</w:t>
            </w:r>
          </w:p>
        </w:tc>
        <w:tc>
          <w:tcPr>
            <w:tcW w:w="1134" w:type="dxa"/>
            <w:vAlign w:val="center"/>
          </w:tcPr>
          <w:p w:rsidR="00FF7E57" w:rsidRPr="004273CC" w:rsidRDefault="00FF7E57" w:rsidP="00FF7E57">
            <w:pPr>
              <w:tabs>
                <w:tab w:val="left" w:pos="510"/>
              </w:tabs>
              <w:jc w:val="center"/>
              <w:rPr>
                <w:lang w:val="lt-LT"/>
              </w:rPr>
            </w:pPr>
            <w:r w:rsidRPr="004273CC">
              <w:rPr>
                <w:lang w:val="lt-LT"/>
              </w:rPr>
              <w:t>Tikimybė * Įtaka</w:t>
            </w:r>
          </w:p>
        </w:tc>
        <w:tc>
          <w:tcPr>
            <w:tcW w:w="1276" w:type="dxa"/>
            <w:vMerge/>
            <w:vAlign w:val="center"/>
          </w:tcPr>
          <w:p w:rsidR="00FF7E57" w:rsidRPr="004273CC" w:rsidRDefault="00FF7E57" w:rsidP="00FF7E57">
            <w:pPr>
              <w:tabs>
                <w:tab w:val="left" w:pos="510"/>
              </w:tabs>
              <w:jc w:val="center"/>
              <w:rPr>
                <w:b/>
                <w:lang w:val="lt-LT"/>
              </w:rPr>
            </w:pPr>
          </w:p>
        </w:tc>
        <w:tc>
          <w:tcPr>
            <w:tcW w:w="1134" w:type="dxa"/>
            <w:vAlign w:val="center"/>
          </w:tcPr>
          <w:p w:rsidR="00FF7E57" w:rsidRPr="004273CC" w:rsidRDefault="00FF7E57" w:rsidP="00FF7E57">
            <w:pPr>
              <w:tabs>
                <w:tab w:val="left" w:pos="510"/>
              </w:tabs>
              <w:jc w:val="center"/>
              <w:rPr>
                <w:lang w:val="lt-LT"/>
              </w:rPr>
            </w:pPr>
            <w:r>
              <w:rPr>
                <w:lang w:val="lt-LT"/>
              </w:rPr>
              <w:t>Tikimybė</w:t>
            </w:r>
            <w:r w:rsidRPr="004273CC">
              <w:rPr>
                <w:lang w:val="lt-LT"/>
              </w:rPr>
              <w:t xml:space="preserve"> (1-5)</w:t>
            </w:r>
          </w:p>
        </w:tc>
        <w:tc>
          <w:tcPr>
            <w:tcW w:w="992" w:type="dxa"/>
            <w:vAlign w:val="center"/>
          </w:tcPr>
          <w:p w:rsidR="00FF7E57" w:rsidRPr="004273CC" w:rsidRDefault="00FF7E57" w:rsidP="00FF7E57">
            <w:pPr>
              <w:tabs>
                <w:tab w:val="left" w:pos="510"/>
              </w:tabs>
              <w:jc w:val="center"/>
              <w:rPr>
                <w:lang w:val="lt-LT"/>
              </w:rPr>
            </w:pPr>
            <w:r w:rsidRPr="004273CC">
              <w:rPr>
                <w:lang w:val="lt-LT"/>
              </w:rPr>
              <w:t>Įtaka</w:t>
            </w:r>
          </w:p>
          <w:p w:rsidR="00FF7E57" w:rsidRPr="004273CC" w:rsidRDefault="00FF7E57" w:rsidP="00FF7E57">
            <w:pPr>
              <w:tabs>
                <w:tab w:val="left" w:pos="510"/>
              </w:tabs>
              <w:jc w:val="center"/>
              <w:rPr>
                <w:lang w:val="lt-LT"/>
              </w:rPr>
            </w:pPr>
            <w:r w:rsidRPr="004273CC">
              <w:rPr>
                <w:lang w:val="lt-LT"/>
              </w:rPr>
              <w:t>(1-5)</w:t>
            </w:r>
          </w:p>
        </w:tc>
        <w:tc>
          <w:tcPr>
            <w:tcW w:w="1134" w:type="dxa"/>
            <w:vAlign w:val="center"/>
          </w:tcPr>
          <w:p w:rsidR="00FF7E57" w:rsidRPr="004273CC" w:rsidRDefault="00FF7E57" w:rsidP="00FF7E57">
            <w:pPr>
              <w:tabs>
                <w:tab w:val="left" w:pos="510"/>
              </w:tabs>
              <w:jc w:val="center"/>
              <w:rPr>
                <w:lang w:val="lt-LT"/>
              </w:rPr>
            </w:pPr>
            <w:r w:rsidRPr="004273CC">
              <w:rPr>
                <w:lang w:val="lt-LT"/>
              </w:rPr>
              <w:t>Tikimybė * Įtaka</w:t>
            </w:r>
          </w:p>
        </w:tc>
        <w:tc>
          <w:tcPr>
            <w:tcW w:w="1418" w:type="dxa"/>
            <w:vMerge/>
            <w:vAlign w:val="center"/>
          </w:tcPr>
          <w:p w:rsidR="00FF7E57" w:rsidRPr="004273CC" w:rsidRDefault="00FF7E57" w:rsidP="00FF7E57">
            <w:pPr>
              <w:tabs>
                <w:tab w:val="left" w:pos="510"/>
              </w:tabs>
              <w:jc w:val="center"/>
              <w:rPr>
                <w:b/>
                <w:lang w:val="lt-LT"/>
              </w:rPr>
            </w:pPr>
          </w:p>
        </w:tc>
      </w:tr>
      <w:tr w:rsidR="00FF7E57" w:rsidRPr="004273CC" w:rsidTr="00FF7E57">
        <w:trPr>
          <w:cantSplit/>
        </w:trPr>
        <w:tc>
          <w:tcPr>
            <w:tcW w:w="1101" w:type="dxa"/>
            <w:vMerge w:val="restart"/>
            <w:textDirection w:val="btLr"/>
          </w:tcPr>
          <w:p w:rsidR="00FF7E57" w:rsidRPr="00292728" w:rsidRDefault="00FF7E57" w:rsidP="00FF7E57">
            <w:pPr>
              <w:tabs>
                <w:tab w:val="left" w:pos="510"/>
              </w:tabs>
              <w:ind w:left="113" w:right="113"/>
              <w:jc w:val="center"/>
              <w:rPr>
                <w:b/>
                <w:lang w:val="lt-LT"/>
              </w:rPr>
            </w:pPr>
            <w:r w:rsidRPr="00292728">
              <w:rPr>
                <w:b/>
                <w:lang w:val="lt-LT"/>
              </w:rPr>
              <w:t>1. Paskatos/</w:t>
            </w:r>
            <w:r>
              <w:rPr>
                <w:b/>
                <w:lang w:val="lt-LT"/>
              </w:rPr>
              <w:t xml:space="preserve"> </w:t>
            </w:r>
            <w:r w:rsidRPr="00292728">
              <w:rPr>
                <w:b/>
                <w:lang w:val="lt-LT"/>
              </w:rPr>
              <w:t>Spaudimas</w:t>
            </w:r>
          </w:p>
        </w:tc>
        <w:tc>
          <w:tcPr>
            <w:tcW w:w="3827" w:type="dxa"/>
          </w:tcPr>
          <w:p w:rsidR="00FF7E57" w:rsidRPr="004273CC" w:rsidRDefault="00FF7E57" w:rsidP="00FF7E57">
            <w:pPr>
              <w:tabs>
                <w:tab w:val="left" w:pos="510"/>
              </w:tabs>
              <w:jc w:val="both"/>
              <w:rPr>
                <w:lang w:val="lt-LT"/>
              </w:rPr>
            </w:pPr>
            <w:r>
              <w:rPr>
                <w:lang w:val="lt-LT"/>
              </w:rPr>
              <w:t>Nepalankios pasekmės dėl svarbių laukiamų ūkinių operacijų (verslo jungimas, sutarties sudarymas), jei pranešami blogi finansiniai rezultatai</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Default="00FF7E57" w:rsidP="00FF7E57">
            <w:pPr>
              <w:tabs>
                <w:tab w:val="left" w:pos="510"/>
              </w:tabs>
              <w:jc w:val="both"/>
              <w:rPr>
                <w:lang w:val="lt-LT"/>
              </w:rPr>
            </w:pPr>
            <w:r>
              <w:rPr>
                <w:lang w:val="lt-LT"/>
              </w:rPr>
              <w:t>Turimi dideli a</w:t>
            </w:r>
            <w:r w:rsidRPr="00BB43E3">
              <w:rPr>
                <w:lang w:val="lt-LT"/>
              </w:rPr>
              <w:t>smeniniai fi</w:t>
            </w:r>
            <w:r>
              <w:rPr>
                <w:lang w:val="lt-LT"/>
              </w:rPr>
              <w:t xml:space="preserve">nansiniai įsipareigojimai gali </w:t>
            </w:r>
            <w:r w:rsidRPr="00BB43E3">
              <w:rPr>
                <w:lang w:val="lt-LT"/>
              </w:rPr>
              <w:t xml:space="preserve">paskatinti neteisėtai pasisavinti </w:t>
            </w:r>
            <w:r>
              <w:rPr>
                <w:lang w:val="lt-LT"/>
              </w:rPr>
              <w:t xml:space="preserve">įmonės </w:t>
            </w:r>
            <w:r w:rsidRPr="00BB43E3">
              <w:rPr>
                <w:lang w:val="lt-LT"/>
              </w:rPr>
              <w:t>turtą</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Pr="00BB43E3" w:rsidRDefault="00FF7E57" w:rsidP="00FF7E57">
            <w:pPr>
              <w:tabs>
                <w:tab w:val="left" w:pos="510"/>
              </w:tabs>
              <w:jc w:val="both"/>
              <w:rPr>
                <w:lang w:val="lt-LT"/>
              </w:rPr>
            </w:pPr>
            <w:r>
              <w:rPr>
                <w:lang w:val="lt-LT"/>
              </w:rPr>
              <w:t xml:space="preserve">Priešiški įmonės ir darbuotojų santykiai (gręsiantis atleidimas, negautos premijos ar nesuteiktas paaukštinimas) gali </w:t>
            </w:r>
            <w:r w:rsidRPr="00BB43E3">
              <w:rPr>
                <w:lang w:val="lt-LT"/>
              </w:rPr>
              <w:t xml:space="preserve">paskatinti neteisėtai pasisavinti </w:t>
            </w:r>
            <w:r>
              <w:rPr>
                <w:lang w:val="lt-LT"/>
              </w:rPr>
              <w:t xml:space="preserve">įmonės </w:t>
            </w:r>
            <w:r w:rsidRPr="00BB43E3">
              <w:rPr>
                <w:lang w:val="lt-LT"/>
              </w:rPr>
              <w:t>turtą</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13332"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Pr="00413332" w:rsidRDefault="00FF7E57" w:rsidP="00FF7E57">
            <w:pPr>
              <w:tabs>
                <w:tab w:val="left" w:pos="510"/>
              </w:tabs>
              <w:jc w:val="both"/>
              <w:rPr>
                <w:lang w:val="lt-LT"/>
              </w:rPr>
            </w:pPr>
            <w:r w:rsidRPr="00413332">
              <w:rPr>
                <w:lang w:val="lt-LT"/>
              </w:rPr>
              <w:t>Stengiamasi spausti apskaitos personalą parengti finansines ataskaitas neįprastai greitai</w:t>
            </w:r>
          </w:p>
        </w:tc>
        <w:tc>
          <w:tcPr>
            <w:tcW w:w="1134" w:type="dxa"/>
          </w:tcPr>
          <w:p w:rsidR="00FF7E57" w:rsidRPr="00413332" w:rsidRDefault="00FF7E57" w:rsidP="00FF7E57">
            <w:pPr>
              <w:tabs>
                <w:tab w:val="left" w:pos="510"/>
              </w:tabs>
              <w:jc w:val="both"/>
              <w:rPr>
                <w:lang w:val="lt-LT"/>
              </w:rPr>
            </w:pPr>
          </w:p>
        </w:tc>
        <w:tc>
          <w:tcPr>
            <w:tcW w:w="850" w:type="dxa"/>
          </w:tcPr>
          <w:p w:rsidR="00FF7E57" w:rsidRPr="00413332" w:rsidRDefault="00FF7E57" w:rsidP="00FF7E57">
            <w:pPr>
              <w:tabs>
                <w:tab w:val="left" w:pos="510"/>
              </w:tabs>
              <w:jc w:val="both"/>
              <w:rPr>
                <w:lang w:val="lt-LT"/>
              </w:rPr>
            </w:pPr>
          </w:p>
        </w:tc>
        <w:tc>
          <w:tcPr>
            <w:tcW w:w="1134" w:type="dxa"/>
          </w:tcPr>
          <w:p w:rsidR="00FF7E57" w:rsidRPr="00413332" w:rsidRDefault="00FF7E57" w:rsidP="00FF7E57">
            <w:pPr>
              <w:tabs>
                <w:tab w:val="left" w:pos="510"/>
              </w:tabs>
              <w:jc w:val="both"/>
              <w:rPr>
                <w:lang w:val="lt-LT"/>
              </w:rPr>
            </w:pPr>
          </w:p>
        </w:tc>
        <w:tc>
          <w:tcPr>
            <w:tcW w:w="1276" w:type="dxa"/>
          </w:tcPr>
          <w:p w:rsidR="00FF7E57" w:rsidRPr="00413332" w:rsidRDefault="00FF7E57" w:rsidP="00FF7E57">
            <w:pPr>
              <w:tabs>
                <w:tab w:val="left" w:pos="510"/>
              </w:tabs>
              <w:jc w:val="both"/>
              <w:rPr>
                <w:lang w:val="lt-LT"/>
              </w:rPr>
            </w:pPr>
          </w:p>
        </w:tc>
        <w:tc>
          <w:tcPr>
            <w:tcW w:w="1134" w:type="dxa"/>
          </w:tcPr>
          <w:p w:rsidR="00FF7E57" w:rsidRPr="00413332" w:rsidRDefault="00FF7E57" w:rsidP="00FF7E57">
            <w:pPr>
              <w:tabs>
                <w:tab w:val="left" w:pos="510"/>
              </w:tabs>
              <w:jc w:val="both"/>
              <w:rPr>
                <w:lang w:val="lt-LT"/>
              </w:rPr>
            </w:pPr>
          </w:p>
        </w:tc>
        <w:tc>
          <w:tcPr>
            <w:tcW w:w="992" w:type="dxa"/>
          </w:tcPr>
          <w:p w:rsidR="00FF7E57" w:rsidRPr="00413332" w:rsidRDefault="00FF7E57" w:rsidP="00FF7E57">
            <w:pPr>
              <w:tabs>
                <w:tab w:val="left" w:pos="510"/>
              </w:tabs>
              <w:jc w:val="both"/>
              <w:rPr>
                <w:lang w:val="lt-LT"/>
              </w:rPr>
            </w:pPr>
          </w:p>
        </w:tc>
        <w:tc>
          <w:tcPr>
            <w:tcW w:w="1134" w:type="dxa"/>
          </w:tcPr>
          <w:p w:rsidR="00FF7E57" w:rsidRPr="00413332" w:rsidRDefault="00FF7E57" w:rsidP="00FF7E57">
            <w:pPr>
              <w:tabs>
                <w:tab w:val="left" w:pos="510"/>
              </w:tabs>
              <w:jc w:val="both"/>
              <w:rPr>
                <w:lang w:val="lt-LT"/>
              </w:rPr>
            </w:pPr>
          </w:p>
        </w:tc>
        <w:tc>
          <w:tcPr>
            <w:tcW w:w="1418" w:type="dxa"/>
          </w:tcPr>
          <w:p w:rsidR="00FF7E57" w:rsidRPr="00413332" w:rsidRDefault="00FF7E57" w:rsidP="00FF7E57">
            <w:pPr>
              <w:tabs>
                <w:tab w:val="left" w:pos="510"/>
              </w:tabs>
              <w:jc w:val="both"/>
              <w:rPr>
                <w:lang w:val="lt-LT"/>
              </w:rPr>
            </w:pPr>
          </w:p>
        </w:tc>
      </w:tr>
      <w:tr w:rsidR="00FF7E57" w:rsidRPr="00413332"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Pr="00413332" w:rsidRDefault="00FF7E57" w:rsidP="00FF7E57">
            <w:pPr>
              <w:tabs>
                <w:tab w:val="left" w:pos="510"/>
              </w:tabs>
              <w:jc w:val="both"/>
              <w:rPr>
                <w:lang w:val="lt-LT"/>
              </w:rPr>
            </w:pPr>
            <w:r>
              <w:rPr>
                <w:lang w:val="lt-LT"/>
              </w:rPr>
              <w:t>...</w:t>
            </w:r>
          </w:p>
        </w:tc>
        <w:tc>
          <w:tcPr>
            <w:tcW w:w="1134" w:type="dxa"/>
          </w:tcPr>
          <w:p w:rsidR="00FF7E57" w:rsidRPr="00413332" w:rsidRDefault="00FF7E57" w:rsidP="00FF7E57">
            <w:pPr>
              <w:tabs>
                <w:tab w:val="left" w:pos="510"/>
              </w:tabs>
              <w:jc w:val="both"/>
              <w:rPr>
                <w:lang w:val="lt-LT"/>
              </w:rPr>
            </w:pPr>
          </w:p>
        </w:tc>
        <w:tc>
          <w:tcPr>
            <w:tcW w:w="850" w:type="dxa"/>
          </w:tcPr>
          <w:p w:rsidR="00FF7E57" w:rsidRPr="00413332" w:rsidRDefault="00FF7E57" w:rsidP="00FF7E57">
            <w:pPr>
              <w:tabs>
                <w:tab w:val="left" w:pos="510"/>
              </w:tabs>
              <w:jc w:val="both"/>
              <w:rPr>
                <w:lang w:val="lt-LT"/>
              </w:rPr>
            </w:pPr>
          </w:p>
        </w:tc>
        <w:tc>
          <w:tcPr>
            <w:tcW w:w="1134" w:type="dxa"/>
          </w:tcPr>
          <w:p w:rsidR="00FF7E57" w:rsidRPr="00413332" w:rsidRDefault="00FF7E57" w:rsidP="00FF7E57">
            <w:pPr>
              <w:tabs>
                <w:tab w:val="left" w:pos="510"/>
              </w:tabs>
              <w:jc w:val="both"/>
              <w:rPr>
                <w:lang w:val="lt-LT"/>
              </w:rPr>
            </w:pPr>
          </w:p>
        </w:tc>
        <w:tc>
          <w:tcPr>
            <w:tcW w:w="1276" w:type="dxa"/>
          </w:tcPr>
          <w:p w:rsidR="00FF7E57" w:rsidRPr="00413332" w:rsidRDefault="00FF7E57" w:rsidP="00FF7E57">
            <w:pPr>
              <w:tabs>
                <w:tab w:val="left" w:pos="510"/>
              </w:tabs>
              <w:jc w:val="both"/>
              <w:rPr>
                <w:lang w:val="lt-LT"/>
              </w:rPr>
            </w:pPr>
          </w:p>
        </w:tc>
        <w:tc>
          <w:tcPr>
            <w:tcW w:w="1134" w:type="dxa"/>
          </w:tcPr>
          <w:p w:rsidR="00FF7E57" w:rsidRPr="00413332" w:rsidRDefault="00FF7E57" w:rsidP="00FF7E57">
            <w:pPr>
              <w:tabs>
                <w:tab w:val="left" w:pos="510"/>
              </w:tabs>
              <w:jc w:val="both"/>
              <w:rPr>
                <w:lang w:val="lt-LT"/>
              </w:rPr>
            </w:pPr>
          </w:p>
        </w:tc>
        <w:tc>
          <w:tcPr>
            <w:tcW w:w="992" w:type="dxa"/>
          </w:tcPr>
          <w:p w:rsidR="00FF7E57" w:rsidRPr="00413332" w:rsidRDefault="00FF7E57" w:rsidP="00FF7E57">
            <w:pPr>
              <w:tabs>
                <w:tab w:val="left" w:pos="510"/>
              </w:tabs>
              <w:jc w:val="both"/>
              <w:rPr>
                <w:lang w:val="lt-LT"/>
              </w:rPr>
            </w:pPr>
          </w:p>
        </w:tc>
        <w:tc>
          <w:tcPr>
            <w:tcW w:w="1134" w:type="dxa"/>
          </w:tcPr>
          <w:p w:rsidR="00FF7E57" w:rsidRPr="00413332" w:rsidRDefault="00FF7E57" w:rsidP="00FF7E57">
            <w:pPr>
              <w:tabs>
                <w:tab w:val="left" w:pos="510"/>
              </w:tabs>
              <w:jc w:val="both"/>
              <w:rPr>
                <w:lang w:val="lt-LT"/>
              </w:rPr>
            </w:pPr>
          </w:p>
        </w:tc>
        <w:tc>
          <w:tcPr>
            <w:tcW w:w="1418" w:type="dxa"/>
          </w:tcPr>
          <w:p w:rsidR="00FF7E57" w:rsidRPr="00413332" w:rsidRDefault="00FF7E57" w:rsidP="00FF7E57">
            <w:pPr>
              <w:tabs>
                <w:tab w:val="left" w:pos="510"/>
              </w:tabs>
              <w:jc w:val="both"/>
              <w:rPr>
                <w:lang w:val="lt-LT"/>
              </w:rPr>
            </w:pPr>
          </w:p>
        </w:tc>
      </w:tr>
      <w:tr w:rsidR="00FF7E57" w:rsidRPr="004273CC" w:rsidTr="00FF7E57">
        <w:trPr>
          <w:cantSplit/>
        </w:trPr>
        <w:tc>
          <w:tcPr>
            <w:tcW w:w="1101" w:type="dxa"/>
            <w:vMerge w:val="restart"/>
            <w:textDirection w:val="btLr"/>
          </w:tcPr>
          <w:p w:rsidR="00FF7E57" w:rsidRPr="00292728" w:rsidRDefault="00FF7E57" w:rsidP="00FF7E57">
            <w:pPr>
              <w:tabs>
                <w:tab w:val="left" w:pos="510"/>
              </w:tabs>
              <w:ind w:left="113" w:right="113"/>
              <w:jc w:val="center"/>
              <w:rPr>
                <w:b/>
                <w:lang w:val="lt-LT"/>
              </w:rPr>
            </w:pPr>
            <w:r w:rsidRPr="00292728">
              <w:rPr>
                <w:b/>
                <w:lang w:val="lt-LT"/>
              </w:rPr>
              <w:t>2. Galimybės</w:t>
            </w:r>
          </w:p>
        </w:tc>
        <w:tc>
          <w:tcPr>
            <w:tcW w:w="3827" w:type="dxa"/>
          </w:tcPr>
          <w:p w:rsidR="00FF7E57" w:rsidRPr="004273CC" w:rsidRDefault="00FF7E57" w:rsidP="00FF7E57">
            <w:pPr>
              <w:tabs>
                <w:tab w:val="left" w:pos="510"/>
              </w:tabs>
              <w:jc w:val="both"/>
              <w:rPr>
                <w:lang w:val="lt-LT"/>
              </w:rPr>
            </w:pPr>
            <w:r>
              <w:rPr>
                <w:lang w:val="lt-LT"/>
              </w:rPr>
              <w:t xml:space="preserve">Sandoriai su </w:t>
            </w:r>
            <w:r w:rsidRPr="00BB43E3">
              <w:rPr>
                <w:lang w:val="lt-LT"/>
              </w:rPr>
              <w:t>susijusio</w:t>
            </w:r>
            <w:r>
              <w:rPr>
                <w:lang w:val="lt-LT"/>
              </w:rPr>
              <w:t>mi</w:t>
            </w:r>
            <w:r w:rsidRPr="00BB43E3">
              <w:rPr>
                <w:lang w:val="lt-LT"/>
              </w:rPr>
              <w:t>s šali</w:t>
            </w:r>
            <w:r>
              <w:rPr>
                <w:lang w:val="lt-LT"/>
              </w:rPr>
              <w:t>mi</w:t>
            </w:r>
            <w:r w:rsidRPr="00BB43E3">
              <w:rPr>
                <w:lang w:val="lt-LT"/>
              </w:rPr>
              <w:t>s</w:t>
            </w:r>
            <w:r>
              <w:rPr>
                <w:lang w:val="lt-LT"/>
              </w:rPr>
              <w:t xml:space="preserve"> ar kitomis neaiškiomis (neaudituojamomis) įmonėmis (sandorių</w:t>
            </w:r>
            <w:r w:rsidRPr="00BB43E3">
              <w:rPr>
                <w:lang w:val="lt-LT"/>
              </w:rPr>
              <w:t>, kurie neatitinka įprastinės verslo krypties</w:t>
            </w:r>
            <w:r>
              <w:rPr>
                <w:lang w:val="lt-LT"/>
              </w:rPr>
              <w:t>, toleravimas)</w:t>
            </w:r>
            <w:r w:rsidRPr="00BB43E3">
              <w:rPr>
                <w:lang w:val="lt-LT"/>
              </w:rPr>
              <w:t xml:space="preserve"> </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733354" w:rsidRDefault="00FF7E57" w:rsidP="00FF7E57">
            <w:pPr>
              <w:tabs>
                <w:tab w:val="left" w:pos="510"/>
              </w:tabs>
              <w:jc w:val="center"/>
              <w:rPr>
                <w:b/>
                <w:lang w:val="lt-LT"/>
              </w:rPr>
            </w:pPr>
            <w:r w:rsidRPr="00733354">
              <w:rPr>
                <w:b/>
                <w:lang w:val="lt-LT"/>
              </w:rPr>
              <w:t>3</w:t>
            </w:r>
          </w:p>
        </w:tc>
        <w:tc>
          <w:tcPr>
            <w:tcW w:w="992" w:type="dxa"/>
          </w:tcPr>
          <w:p w:rsidR="00FF7E57" w:rsidRPr="00733354" w:rsidRDefault="00FF7E57" w:rsidP="00FF7E57">
            <w:pPr>
              <w:tabs>
                <w:tab w:val="left" w:pos="510"/>
              </w:tabs>
              <w:jc w:val="center"/>
              <w:rPr>
                <w:b/>
                <w:lang w:val="lt-LT"/>
              </w:rPr>
            </w:pPr>
            <w:r w:rsidRPr="00733354">
              <w:rPr>
                <w:b/>
                <w:lang w:val="lt-LT"/>
              </w:rPr>
              <w:t>4</w:t>
            </w:r>
          </w:p>
        </w:tc>
        <w:tc>
          <w:tcPr>
            <w:tcW w:w="1134" w:type="dxa"/>
          </w:tcPr>
          <w:p w:rsidR="00FF7E57" w:rsidRPr="00733354" w:rsidRDefault="00FF7E57" w:rsidP="00FF7E57">
            <w:pPr>
              <w:tabs>
                <w:tab w:val="left" w:pos="510"/>
              </w:tabs>
              <w:jc w:val="center"/>
              <w:rPr>
                <w:b/>
                <w:lang w:val="lt-LT"/>
              </w:rPr>
            </w:pPr>
            <w:r w:rsidRPr="00733354">
              <w:rPr>
                <w:b/>
                <w:lang w:val="lt-LT"/>
              </w:rPr>
              <w:t>12</w:t>
            </w:r>
          </w:p>
        </w:tc>
        <w:tc>
          <w:tcPr>
            <w:tcW w:w="1418" w:type="dxa"/>
          </w:tcPr>
          <w:p w:rsidR="00FF7E57" w:rsidRPr="004273CC" w:rsidRDefault="00FF7E57" w:rsidP="00FF7E57">
            <w:pPr>
              <w:tabs>
                <w:tab w:val="left" w:pos="510"/>
              </w:tabs>
              <w:jc w:val="both"/>
              <w:rPr>
                <w:lang w:val="lt-LT"/>
              </w:rPr>
            </w:pPr>
            <w:r>
              <w:rPr>
                <w:lang w:val="lt-LT"/>
              </w:rPr>
              <w:t>t. p.</w:t>
            </w:r>
          </w:p>
        </w:tc>
      </w:tr>
      <w:tr w:rsidR="00FF7E57" w:rsidRPr="004273CC" w:rsidTr="00FF7E57">
        <w:trPr>
          <w:cantSplit/>
        </w:trPr>
        <w:tc>
          <w:tcPr>
            <w:tcW w:w="1101" w:type="dxa"/>
            <w:vMerge/>
          </w:tcPr>
          <w:p w:rsidR="00FF7E57" w:rsidRPr="00292728" w:rsidRDefault="00FF7E57" w:rsidP="00FF7E57">
            <w:pPr>
              <w:tabs>
                <w:tab w:val="left" w:pos="510"/>
              </w:tabs>
              <w:ind w:left="113" w:right="113"/>
              <w:jc w:val="center"/>
              <w:rPr>
                <w:b/>
                <w:lang w:val="lt-LT"/>
              </w:rPr>
            </w:pPr>
          </w:p>
        </w:tc>
        <w:tc>
          <w:tcPr>
            <w:tcW w:w="3827" w:type="dxa"/>
          </w:tcPr>
          <w:p w:rsidR="00FF7E57" w:rsidRPr="004273CC" w:rsidRDefault="00FF7E57" w:rsidP="00FF7E57">
            <w:pPr>
              <w:pStyle w:val="NumberedParagraph"/>
              <w:tabs>
                <w:tab w:val="clear" w:pos="480"/>
                <w:tab w:val="left" w:pos="0"/>
                <w:tab w:val="num" w:pos="1260"/>
              </w:tabs>
              <w:spacing w:line="240" w:lineRule="auto"/>
              <w:ind w:left="0" w:firstLine="0"/>
              <w:rPr>
                <w:lang w:val="lt-LT"/>
              </w:rPr>
            </w:pPr>
            <w:r>
              <w:rPr>
                <w:lang w:val="lt-LT"/>
              </w:rPr>
              <w:t>D</w:t>
            </w:r>
            <w:r w:rsidRPr="00D15C0A">
              <w:rPr>
                <w:lang w:val="lt-LT"/>
              </w:rPr>
              <w:t>idelė finansinė įtak</w:t>
            </w:r>
            <w:r>
              <w:rPr>
                <w:lang w:val="lt-LT"/>
              </w:rPr>
              <w:t>a/</w:t>
            </w:r>
            <w:r w:rsidRPr="00D15C0A">
              <w:rPr>
                <w:lang w:val="lt-LT"/>
              </w:rPr>
              <w:t xml:space="preserve">galimybė dominuoti </w:t>
            </w:r>
            <w:r>
              <w:rPr>
                <w:lang w:val="lt-LT"/>
              </w:rPr>
              <w:t>ūkio šakoje</w:t>
            </w:r>
            <w:r w:rsidRPr="00D15C0A">
              <w:rPr>
                <w:lang w:val="lt-LT"/>
              </w:rPr>
              <w:t xml:space="preserve">, kas leidžia įmonei diktuoti savo sąlygas </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1101" w:type="dxa"/>
            <w:vMerge/>
          </w:tcPr>
          <w:p w:rsidR="00FF7E57" w:rsidRPr="00292728" w:rsidRDefault="00FF7E57" w:rsidP="00FF7E57">
            <w:pPr>
              <w:tabs>
                <w:tab w:val="left" w:pos="510"/>
              </w:tabs>
              <w:ind w:left="113" w:right="113"/>
              <w:jc w:val="center"/>
              <w:rPr>
                <w:b/>
                <w:lang w:val="lt-LT"/>
              </w:rPr>
            </w:pPr>
          </w:p>
        </w:tc>
        <w:tc>
          <w:tcPr>
            <w:tcW w:w="3827" w:type="dxa"/>
          </w:tcPr>
          <w:p w:rsidR="00FF7E57" w:rsidRDefault="00FF7E57" w:rsidP="00FF7E57">
            <w:pPr>
              <w:tabs>
                <w:tab w:val="left" w:pos="510"/>
              </w:tabs>
              <w:jc w:val="both"/>
              <w:rPr>
                <w:lang w:val="lt-LT"/>
              </w:rPr>
            </w:pPr>
            <w:r>
              <w:rPr>
                <w:lang w:val="lt-LT"/>
              </w:rPr>
              <w:t>Silpna priežiūros institucijų veikla</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1101" w:type="dxa"/>
            <w:vMerge/>
          </w:tcPr>
          <w:p w:rsidR="00FF7E57" w:rsidRPr="00292728" w:rsidRDefault="00FF7E57" w:rsidP="00FF7E57">
            <w:pPr>
              <w:tabs>
                <w:tab w:val="left" w:pos="510"/>
              </w:tabs>
              <w:ind w:left="113" w:right="113"/>
              <w:jc w:val="center"/>
              <w:rPr>
                <w:b/>
                <w:lang w:val="lt-LT"/>
              </w:rPr>
            </w:pPr>
          </w:p>
        </w:tc>
        <w:tc>
          <w:tcPr>
            <w:tcW w:w="3827" w:type="dxa"/>
          </w:tcPr>
          <w:p w:rsidR="00FF7E57" w:rsidRDefault="00FF7E57" w:rsidP="00FF7E57">
            <w:pPr>
              <w:tabs>
                <w:tab w:val="left" w:pos="510"/>
              </w:tabs>
              <w:jc w:val="both"/>
              <w:rPr>
                <w:lang w:val="lt-LT"/>
              </w:rPr>
            </w:pPr>
            <w:r>
              <w:rPr>
                <w:lang w:val="lt-LT"/>
              </w:rPr>
              <w:t xml:space="preserve">Svarbiausia </w:t>
            </w:r>
            <w:r w:rsidRPr="00BB43E3">
              <w:rPr>
                <w:lang w:val="lt-LT"/>
              </w:rPr>
              <w:t>veikl</w:t>
            </w:r>
            <w:r>
              <w:rPr>
                <w:lang w:val="lt-LT"/>
              </w:rPr>
              <w:t xml:space="preserve">a ir sandoriai </w:t>
            </w:r>
            <w:r w:rsidRPr="00BB43E3">
              <w:rPr>
                <w:lang w:val="lt-LT"/>
              </w:rPr>
              <w:t>vyk</w:t>
            </w:r>
            <w:r>
              <w:rPr>
                <w:lang w:val="lt-LT"/>
              </w:rPr>
              <w:t xml:space="preserve">domi </w:t>
            </w:r>
            <w:r w:rsidRPr="00BB43E3">
              <w:rPr>
                <w:lang w:val="lt-LT"/>
              </w:rPr>
              <w:t>užsienyje</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Pr="004273CC" w:rsidRDefault="00FF7E57" w:rsidP="00FF7E57">
            <w:pPr>
              <w:tabs>
                <w:tab w:val="left" w:pos="510"/>
              </w:tabs>
              <w:jc w:val="both"/>
              <w:rPr>
                <w:lang w:val="lt-LT"/>
              </w:rPr>
            </w:pPr>
            <w:r>
              <w:rPr>
                <w:lang w:val="lt-LT"/>
              </w:rPr>
              <w:t xml:space="preserve">Steigiami įmonės </w:t>
            </w:r>
            <w:r w:rsidRPr="00BB43E3">
              <w:rPr>
                <w:lang w:val="lt-LT"/>
              </w:rPr>
              <w:t>filial</w:t>
            </w:r>
            <w:r>
              <w:rPr>
                <w:lang w:val="lt-LT"/>
              </w:rPr>
              <w:t>ai/</w:t>
            </w:r>
            <w:r w:rsidRPr="00BB43E3">
              <w:rPr>
                <w:lang w:val="lt-LT"/>
              </w:rPr>
              <w:t>dukterin</w:t>
            </w:r>
            <w:r>
              <w:rPr>
                <w:lang w:val="lt-LT"/>
              </w:rPr>
              <w:t>ės</w:t>
            </w:r>
            <w:r w:rsidRPr="00BB43E3">
              <w:rPr>
                <w:lang w:val="lt-LT"/>
              </w:rPr>
              <w:t xml:space="preserve"> įmon</w:t>
            </w:r>
            <w:r>
              <w:rPr>
                <w:lang w:val="lt-LT"/>
              </w:rPr>
              <w:t>ės</w:t>
            </w:r>
            <w:r w:rsidRPr="00BB43E3">
              <w:rPr>
                <w:lang w:val="lt-LT"/>
              </w:rPr>
              <w:t xml:space="preserve"> lengvatinių mokesčių zonoje</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FF7E57">
        <w:trPr>
          <w:cantSplit/>
        </w:trPr>
        <w:tc>
          <w:tcPr>
            <w:tcW w:w="1101" w:type="dxa"/>
            <w:vMerge/>
          </w:tcPr>
          <w:p w:rsidR="00FF7E57" w:rsidRPr="00292728" w:rsidRDefault="00FF7E57" w:rsidP="00FF7E57">
            <w:pPr>
              <w:tabs>
                <w:tab w:val="left" w:pos="510"/>
              </w:tabs>
              <w:jc w:val="both"/>
              <w:rPr>
                <w:b/>
                <w:lang w:val="lt-LT"/>
              </w:rPr>
            </w:pPr>
          </w:p>
        </w:tc>
        <w:tc>
          <w:tcPr>
            <w:tcW w:w="3827" w:type="dxa"/>
          </w:tcPr>
          <w:p w:rsidR="00FF7E57" w:rsidRDefault="00FF7E57" w:rsidP="00FF7E57">
            <w:pPr>
              <w:tabs>
                <w:tab w:val="left" w:pos="510"/>
              </w:tabs>
              <w:jc w:val="both"/>
              <w:rPr>
                <w:lang w:val="lt-LT"/>
              </w:rPr>
            </w:pPr>
            <w:r>
              <w:rPr>
                <w:lang w:val="lt-LT"/>
              </w:rPr>
              <w:t xml:space="preserve">Itin toleruojamas naudojimasis </w:t>
            </w:r>
            <w:r w:rsidRPr="00BB43E3">
              <w:rPr>
                <w:lang w:val="lt-LT"/>
              </w:rPr>
              <w:t>verslo tarpininkų paslaugomi</w:t>
            </w:r>
            <w:r>
              <w:rPr>
                <w:lang w:val="lt-LT"/>
              </w:rPr>
              <w:t xml:space="preserve">s, </w:t>
            </w:r>
            <w:r w:rsidRPr="003E3445">
              <w:rPr>
                <w:lang w:val="lt-LT"/>
              </w:rPr>
              <w:t>o</w:t>
            </w:r>
            <w:r>
              <w:rPr>
                <w:lang w:val="lt-LT"/>
              </w:rPr>
              <w:t xml:space="preserve"> mokėjimai už jas p</w:t>
            </w:r>
            <w:r w:rsidRPr="003E3445">
              <w:rPr>
                <w:lang w:val="lt-LT"/>
              </w:rPr>
              <w:t>ernelyg dideli</w:t>
            </w:r>
          </w:p>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6157A1">
        <w:trPr>
          <w:cantSplit/>
        </w:trPr>
        <w:tc>
          <w:tcPr>
            <w:tcW w:w="4928" w:type="dxa"/>
            <w:gridSpan w:val="2"/>
            <w:vMerge w:val="restart"/>
            <w:vAlign w:val="center"/>
          </w:tcPr>
          <w:p w:rsidR="00FF7E57" w:rsidRPr="004273CC" w:rsidRDefault="00FF7E57" w:rsidP="008E4A5A">
            <w:pPr>
              <w:tabs>
                <w:tab w:val="left" w:pos="510"/>
              </w:tabs>
              <w:jc w:val="center"/>
              <w:rPr>
                <w:lang w:val="lt-LT"/>
              </w:rPr>
            </w:pPr>
            <w:r w:rsidRPr="004273CC">
              <w:rPr>
                <w:b/>
                <w:lang w:val="lt-LT"/>
              </w:rPr>
              <w:lastRenderedPageBreak/>
              <w:t>Įmonės išorė</w:t>
            </w:r>
            <w:r w:rsidR="008E4A5A">
              <w:rPr>
                <w:b/>
                <w:lang w:val="lt-LT"/>
              </w:rPr>
              <w:t>s</w:t>
            </w:r>
            <w:r w:rsidRPr="004273CC">
              <w:rPr>
                <w:b/>
                <w:lang w:val="lt-LT"/>
              </w:rPr>
              <w:t xml:space="preserve"> </w:t>
            </w:r>
            <w:r>
              <w:rPr>
                <w:b/>
                <w:lang w:val="lt-LT"/>
              </w:rPr>
              <w:t>ar vid</w:t>
            </w:r>
            <w:r w:rsidR="008E4A5A">
              <w:rPr>
                <w:b/>
                <w:lang w:val="lt-LT"/>
              </w:rPr>
              <w:t>aus</w:t>
            </w:r>
            <w:r>
              <w:rPr>
                <w:b/>
                <w:lang w:val="lt-LT"/>
              </w:rPr>
              <w:t xml:space="preserve"> </w:t>
            </w:r>
            <w:r w:rsidRPr="004273CC">
              <w:rPr>
                <w:b/>
                <w:lang w:val="lt-LT"/>
              </w:rPr>
              <w:t>aplinka</w:t>
            </w:r>
          </w:p>
        </w:tc>
        <w:tc>
          <w:tcPr>
            <w:tcW w:w="4394" w:type="dxa"/>
            <w:gridSpan w:val="4"/>
          </w:tcPr>
          <w:p w:rsidR="00FF7E57" w:rsidRPr="004273CC" w:rsidRDefault="00FF7E57" w:rsidP="00FF7E57">
            <w:pPr>
              <w:tabs>
                <w:tab w:val="left" w:pos="510"/>
              </w:tabs>
              <w:jc w:val="center"/>
              <w:rPr>
                <w:lang w:val="lt-LT"/>
              </w:rPr>
            </w:pPr>
            <w:r>
              <w:rPr>
                <w:b/>
                <w:lang w:val="lt-LT"/>
              </w:rPr>
              <w:t>UAB „Šiluma“</w:t>
            </w:r>
          </w:p>
        </w:tc>
        <w:tc>
          <w:tcPr>
            <w:tcW w:w="4678" w:type="dxa"/>
            <w:gridSpan w:val="4"/>
          </w:tcPr>
          <w:p w:rsidR="00FF7E57" w:rsidRPr="004273CC" w:rsidRDefault="00FF7E57" w:rsidP="00FF7E57">
            <w:pPr>
              <w:tabs>
                <w:tab w:val="left" w:pos="510"/>
              </w:tabs>
              <w:jc w:val="center"/>
              <w:rPr>
                <w:lang w:val="lt-LT"/>
              </w:rPr>
            </w:pPr>
            <w:r>
              <w:rPr>
                <w:b/>
                <w:lang w:val="lt-LT"/>
              </w:rPr>
              <w:t>UAB „Žuvila“</w:t>
            </w:r>
          </w:p>
        </w:tc>
      </w:tr>
      <w:tr w:rsidR="00FF7E57" w:rsidRPr="004273CC" w:rsidTr="006157A1">
        <w:trPr>
          <w:cantSplit/>
        </w:trPr>
        <w:tc>
          <w:tcPr>
            <w:tcW w:w="4928" w:type="dxa"/>
            <w:gridSpan w:val="2"/>
            <w:vMerge/>
            <w:vAlign w:val="center"/>
          </w:tcPr>
          <w:p w:rsidR="00FF7E57" w:rsidRPr="00091C03" w:rsidRDefault="00FF7E57" w:rsidP="00FF7E57">
            <w:pPr>
              <w:tabs>
                <w:tab w:val="left" w:pos="510"/>
              </w:tabs>
              <w:jc w:val="center"/>
              <w:rPr>
                <w:lang w:val="lt-LT"/>
              </w:rPr>
            </w:pPr>
          </w:p>
        </w:tc>
        <w:tc>
          <w:tcPr>
            <w:tcW w:w="3118" w:type="dxa"/>
            <w:gridSpan w:val="3"/>
            <w:vAlign w:val="center"/>
          </w:tcPr>
          <w:p w:rsidR="00FF7E57" w:rsidRPr="00091C03" w:rsidRDefault="00FF7E57" w:rsidP="00FF7E57">
            <w:pPr>
              <w:tabs>
                <w:tab w:val="left" w:pos="510"/>
              </w:tabs>
              <w:jc w:val="center"/>
              <w:rPr>
                <w:lang w:val="lt-LT"/>
              </w:rPr>
            </w:pPr>
            <w:r w:rsidRPr="004273CC">
              <w:rPr>
                <w:b/>
                <w:lang w:val="lt-LT"/>
              </w:rPr>
              <w:t>Rizikos vertinimas</w:t>
            </w:r>
          </w:p>
        </w:tc>
        <w:tc>
          <w:tcPr>
            <w:tcW w:w="1276" w:type="dxa"/>
            <w:vMerge w:val="restart"/>
            <w:vAlign w:val="center"/>
          </w:tcPr>
          <w:p w:rsidR="00FF7E57" w:rsidRPr="004273CC" w:rsidRDefault="00FF7E57" w:rsidP="00FF7E57">
            <w:pPr>
              <w:tabs>
                <w:tab w:val="left" w:pos="510"/>
              </w:tabs>
              <w:jc w:val="center"/>
              <w:rPr>
                <w:b/>
                <w:lang w:val="lt-LT"/>
              </w:rPr>
            </w:pPr>
            <w:r w:rsidRPr="004273CC">
              <w:rPr>
                <w:b/>
                <w:lang w:val="lt-LT"/>
              </w:rPr>
              <w:t>Pastabos</w:t>
            </w:r>
          </w:p>
        </w:tc>
        <w:tc>
          <w:tcPr>
            <w:tcW w:w="3260" w:type="dxa"/>
            <w:gridSpan w:val="3"/>
          </w:tcPr>
          <w:p w:rsidR="00FF7E57" w:rsidRPr="00091C03" w:rsidRDefault="00FF7E57" w:rsidP="00FF7E57">
            <w:pPr>
              <w:tabs>
                <w:tab w:val="left" w:pos="510"/>
              </w:tabs>
              <w:jc w:val="center"/>
              <w:rPr>
                <w:lang w:val="lt-LT"/>
              </w:rPr>
            </w:pPr>
            <w:r w:rsidRPr="004273CC">
              <w:rPr>
                <w:b/>
                <w:lang w:val="lt-LT"/>
              </w:rPr>
              <w:t>Rizikos vertinimas</w:t>
            </w:r>
          </w:p>
        </w:tc>
        <w:tc>
          <w:tcPr>
            <w:tcW w:w="1418" w:type="dxa"/>
            <w:vMerge w:val="restart"/>
            <w:vAlign w:val="center"/>
          </w:tcPr>
          <w:p w:rsidR="00FF7E57" w:rsidRPr="004273CC" w:rsidRDefault="00FF7E57" w:rsidP="00FF7E57">
            <w:pPr>
              <w:tabs>
                <w:tab w:val="left" w:pos="510"/>
              </w:tabs>
              <w:jc w:val="center"/>
              <w:rPr>
                <w:b/>
                <w:lang w:val="lt-LT"/>
              </w:rPr>
            </w:pPr>
            <w:r w:rsidRPr="004273CC">
              <w:rPr>
                <w:b/>
                <w:lang w:val="lt-LT"/>
              </w:rPr>
              <w:t>Pastabos</w:t>
            </w:r>
          </w:p>
        </w:tc>
      </w:tr>
      <w:tr w:rsidR="00FF7E57" w:rsidRPr="004273CC" w:rsidTr="006157A1">
        <w:trPr>
          <w:cantSplit/>
        </w:trPr>
        <w:tc>
          <w:tcPr>
            <w:tcW w:w="1101" w:type="dxa"/>
          </w:tcPr>
          <w:p w:rsidR="00FF7E57" w:rsidRPr="004273CC" w:rsidRDefault="00FF7E57" w:rsidP="00FF7E57">
            <w:pPr>
              <w:tabs>
                <w:tab w:val="left" w:pos="510"/>
              </w:tabs>
              <w:jc w:val="center"/>
              <w:rPr>
                <w:b/>
                <w:lang w:val="lt-LT"/>
              </w:rPr>
            </w:pPr>
            <w:r w:rsidRPr="004273CC">
              <w:rPr>
                <w:b/>
                <w:lang w:val="lt-LT"/>
              </w:rPr>
              <w:t>Sąlygos</w:t>
            </w:r>
          </w:p>
        </w:tc>
        <w:tc>
          <w:tcPr>
            <w:tcW w:w="3827" w:type="dxa"/>
            <w:vAlign w:val="center"/>
          </w:tcPr>
          <w:p w:rsidR="00FF7E57" w:rsidRPr="004273CC" w:rsidRDefault="00FF7E57" w:rsidP="00FF7E57">
            <w:pPr>
              <w:tabs>
                <w:tab w:val="left" w:pos="510"/>
              </w:tabs>
              <w:jc w:val="center"/>
              <w:rPr>
                <w:b/>
                <w:lang w:val="lt-LT"/>
              </w:rPr>
            </w:pPr>
            <w:r w:rsidRPr="004273CC">
              <w:rPr>
                <w:b/>
                <w:lang w:val="lt-LT"/>
              </w:rPr>
              <w:t>Veiksniai</w:t>
            </w:r>
          </w:p>
        </w:tc>
        <w:tc>
          <w:tcPr>
            <w:tcW w:w="1134" w:type="dxa"/>
            <w:vAlign w:val="center"/>
          </w:tcPr>
          <w:p w:rsidR="00FF7E57" w:rsidRPr="004273CC" w:rsidRDefault="00FF7E57" w:rsidP="00FF7E57">
            <w:pPr>
              <w:tabs>
                <w:tab w:val="left" w:pos="510"/>
              </w:tabs>
              <w:jc w:val="center"/>
              <w:rPr>
                <w:lang w:val="lt-LT"/>
              </w:rPr>
            </w:pPr>
            <w:r>
              <w:rPr>
                <w:lang w:val="lt-LT"/>
              </w:rPr>
              <w:t>Tikimybė</w:t>
            </w:r>
            <w:r w:rsidRPr="004273CC">
              <w:rPr>
                <w:lang w:val="lt-LT"/>
              </w:rPr>
              <w:t xml:space="preserve"> (1-5)</w:t>
            </w:r>
          </w:p>
        </w:tc>
        <w:tc>
          <w:tcPr>
            <w:tcW w:w="850" w:type="dxa"/>
            <w:vAlign w:val="center"/>
          </w:tcPr>
          <w:p w:rsidR="00FF7E57" w:rsidRPr="004273CC" w:rsidRDefault="00FF7E57" w:rsidP="00FF7E57">
            <w:pPr>
              <w:tabs>
                <w:tab w:val="left" w:pos="510"/>
              </w:tabs>
              <w:jc w:val="center"/>
              <w:rPr>
                <w:lang w:val="lt-LT"/>
              </w:rPr>
            </w:pPr>
            <w:r w:rsidRPr="004273CC">
              <w:rPr>
                <w:lang w:val="lt-LT"/>
              </w:rPr>
              <w:t>Įtaka</w:t>
            </w:r>
          </w:p>
          <w:p w:rsidR="00FF7E57" w:rsidRPr="004273CC" w:rsidRDefault="00FF7E57" w:rsidP="00FF7E57">
            <w:pPr>
              <w:tabs>
                <w:tab w:val="left" w:pos="510"/>
              </w:tabs>
              <w:jc w:val="center"/>
              <w:rPr>
                <w:lang w:val="lt-LT"/>
              </w:rPr>
            </w:pPr>
            <w:r w:rsidRPr="004273CC">
              <w:rPr>
                <w:lang w:val="lt-LT"/>
              </w:rPr>
              <w:t>(1-5)</w:t>
            </w:r>
          </w:p>
        </w:tc>
        <w:tc>
          <w:tcPr>
            <w:tcW w:w="1134" w:type="dxa"/>
            <w:vAlign w:val="center"/>
          </w:tcPr>
          <w:p w:rsidR="00FF7E57" w:rsidRPr="004273CC" w:rsidRDefault="00FF7E57" w:rsidP="00FF7E57">
            <w:pPr>
              <w:tabs>
                <w:tab w:val="left" w:pos="510"/>
              </w:tabs>
              <w:jc w:val="center"/>
              <w:rPr>
                <w:lang w:val="lt-LT"/>
              </w:rPr>
            </w:pPr>
            <w:r w:rsidRPr="004273CC">
              <w:rPr>
                <w:lang w:val="lt-LT"/>
              </w:rPr>
              <w:t>Tikimybė * Įtaka</w:t>
            </w:r>
          </w:p>
        </w:tc>
        <w:tc>
          <w:tcPr>
            <w:tcW w:w="1276" w:type="dxa"/>
            <w:vMerge/>
            <w:vAlign w:val="center"/>
          </w:tcPr>
          <w:p w:rsidR="00FF7E57" w:rsidRPr="004273CC" w:rsidRDefault="00FF7E57" w:rsidP="00FF7E57">
            <w:pPr>
              <w:tabs>
                <w:tab w:val="left" w:pos="510"/>
              </w:tabs>
              <w:jc w:val="center"/>
              <w:rPr>
                <w:b/>
                <w:lang w:val="lt-LT"/>
              </w:rPr>
            </w:pPr>
          </w:p>
        </w:tc>
        <w:tc>
          <w:tcPr>
            <w:tcW w:w="1134" w:type="dxa"/>
            <w:vAlign w:val="center"/>
          </w:tcPr>
          <w:p w:rsidR="00FF7E57" w:rsidRPr="004273CC" w:rsidRDefault="00FF7E57" w:rsidP="00FF7E57">
            <w:pPr>
              <w:tabs>
                <w:tab w:val="left" w:pos="510"/>
              </w:tabs>
              <w:jc w:val="center"/>
              <w:rPr>
                <w:lang w:val="lt-LT"/>
              </w:rPr>
            </w:pPr>
            <w:r>
              <w:rPr>
                <w:lang w:val="lt-LT"/>
              </w:rPr>
              <w:t>Tikimybė</w:t>
            </w:r>
            <w:r w:rsidRPr="004273CC">
              <w:rPr>
                <w:lang w:val="lt-LT"/>
              </w:rPr>
              <w:t xml:space="preserve"> (1-5)</w:t>
            </w:r>
          </w:p>
        </w:tc>
        <w:tc>
          <w:tcPr>
            <w:tcW w:w="992" w:type="dxa"/>
            <w:vAlign w:val="center"/>
          </w:tcPr>
          <w:p w:rsidR="00FF7E57" w:rsidRPr="004273CC" w:rsidRDefault="00FF7E57" w:rsidP="00FF7E57">
            <w:pPr>
              <w:tabs>
                <w:tab w:val="left" w:pos="510"/>
              </w:tabs>
              <w:jc w:val="center"/>
              <w:rPr>
                <w:lang w:val="lt-LT"/>
              </w:rPr>
            </w:pPr>
            <w:r w:rsidRPr="004273CC">
              <w:rPr>
                <w:lang w:val="lt-LT"/>
              </w:rPr>
              <w:t>Įtaka</w:t>
            </w:r>
          </w:p>
          <w:p w:rsidR="00FF7E57" w:rsidRPr="004273CC" w:rsidRDefault="00FF7E57" w:rsidP="00FF7E57">
            <w:pPr>
              <w:tabs>
                <w:tab w:val="left" w:pos="510"/>
              </w:tabs>
              <w:jc w:val="center"/>
              <w:rPr>
                <w:lang w:val="lt-LT"/>
              </w:rPr>
            </w:pPr>
            <w:r w:rsidRPr="004273CC">
              <w:rPr>
                <w:lang w:val="lt-LT"/>
              </w:rPr>
              <w:t>(1-5)</w:t>
            </w:r>
          </w:p>
        </w:tc>
        <w:tc>
          <w:tcPr>
            <w:tcW w:w="1134" w:type="dxa"/>
            <w:vAlign w:val="center"/>
          </w:tcPr>
          <w:p w:rsidR="00FF7E57" w:rsidRPr="004273CC" w:rsidRDefault="00FF7E57" w:rsidP="00FF7E57">
            <w:pPr>
              <w:tabs>
                <w:tab w:val="left" w:pos="510"/>
              </w:tabs>
              <w:jc w:val="center"/>
              <w:rPr>
                <w:lang w:val="lt-LT"/>
              </w:rPr>
            </w:pPr>
            <w:r w:rsidRPr="004273CC">
              <w:rPr>
                <w:lang w:val="lt-LT"/>
              </w:rPr>
              <w:t>Tikimybė * Įtaka</w:t>
            </w:r>
          </w:p>
        </w:tc>
        <w:tc>
          <w:tcPr>
            <w:tcW w:w="1418" w:type="dxa"/>
            <w:vMerge/>
            <w:vAlign w:val="center"/>
          </w:tcPr>
          <w:p w:rsidR="00FF7E57" w:rsidRPr="004273CC" w:rsidRDefault="00FF7E57" w:rsidP="00FF7E57">
            <w:pPr>
              <w:tabs>
                <w:tab w:val="left" w:pos="510"/>
              </w:tabs>
              <w:jc w:val="center"/>
              <w:rPr>
                <w:b/>
                <w:lang w:val="lt-LT"/>
              </w:rPr>
            </w:pPr>
          </w:p>
        </w:tc>
      </w:tr>
      <w:tr w:rsidR="006157A1" w:rsidRPr="004273CC" w:rsidTr="00FF7E57">
        <w:trPr>
          <w:cantSplit/>
        </w:trPr>
        <w:tc>
          <w:tcPr>
            <w:tcW w:w="1101" w:type="dxa"/>
            <w:vMerge w:val="restart"/>
            <w:textDirection w:val="btLr"/>
          </w:tcPr>
          <w:p w:rsidR="006157A1" w:rsidRPr="00292728" w:rsidRDefault="006157A1" w:rsidP="006157A1">
            <w:pPr>
              <w:tabs>
                <w:tab w:val="left" w:pos="510"/>
              </w:tabs>
              <w:ind w:left="113" w:right="113"/>
              <w:jc w:val="center"/>
              <w:rPr>
                <w:b/>
                <w:lang w:val="lt-LT"/>
              </w:rPr>
            </w:pPr>
            <w:r w:rsidRPr="00292728">
              <w:rPr>
                <w:b/>
                <w:lang w:val="lt-LT"/>
              </w:rPr>
              <w:t>2. Galimybės</w:t>
            </w:r>
          </w:p>
        </w:tc>
        <w:tc>
          <w:tcPr>
            <w:tcW w:w="3827" w:type="dxa"/>
          </w:tcPr>
          <w:p w:rsidR="006157A1" w:rsidRDefault="006157A1" w:rsidP="00FF7E57">
            <w:pPr>
              <w:tabs>
                <w:tab w:val="left" w:pos="510"/>
              </w:tabs>
              <w:jc w:val="both"/>
              <w:rPr>
                <w:lang w:val="lt-LT"/>
              </w:rPr>
            </w:pPr>
            <w:r>
              <w:rPr>
                <w:lang w:val="lt-LT"/>
              </w:rPr>
              <w:t xml:space="preserve">Turima daug turto, įsipareigojimų ar </w:t>
            </w:r>
            <w:r w:rsidRPr="00BB43E3">
              <w:rPr>
                <w:lang w:val="lt-LT"/>
              </w:rPr>
              <w:t>pajamų</w:t>
            </w:r>
            <w:r>
              <w:rPr>
                <w:lang w:val="lt-LT"/>
              </w:rPr>
              <w:t>/</w:t>
            </w:r>
            <w:r w:rsidRPr="00BB43E3">
              <w:rPr>
                <w:lang w:val="lt-LT"/>
              </w:rPr>
              <w:t xml:space="preserve">sąnaudų, kurie yra </w:t>
            </w:r>
            <w:r>
              <w:rPr>
                <w:lang w:val="lt-LT"/>
              </w:rPr>
              <w:t>pagrįsti subjektyviais skaičiavimais</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Default="006157A1" w:rsidP="00FF7E57">
            <w:pPr>
              <w:tabs>
                <w:tab w:val="left" w:pos="510"/>
              </w:tabs>
              <w:jc w:val="both"/>
              <w:rPr>
                <w:lang w:val="lt-LT"/>
              </w:rPr>
            </w:pPr>
            <w:r>
              <w:rPr>
                <w:lang w:val="lt-LT"/>
              </w:rPr>
              <w:t xml:space="preserve">Vykdomos </w:t>
            </w:r>
            <w:r w:rsidRPr="00BB43E3">
              <w:rPr>
                <w:lang w:val="lt-LT"/>
              </w:rPr>
              <w:t>didel</w:t>
            </w:r>
            <w:r>
              <w:rPr>
                <w:lang w:val="lt-LT"/>
              </w:rPr>
              <w:t>ės</w:t>
            </w:r>
            <w:r w:rsidRPr="00BB43E3">
              <w:rPr>
                <w:lang w:val="lt-LT"/>
              </w:rPr>
              <w:t>, neįprast</w:t>
            </w:r>
            <w:r>
              <w:rPr>
                <w:lang w:val="lt-LT"/>
              </w:rPr>
              <w:t>os</w:t>
            </w:r>
            <w:r w:rsidRPr="00BB43E3">
              <w:rPr>
                <w:lang w:val="lt-LT"/>
              </w:rPr>
              <w:t xml:space="preserve"> ar labai sudėting</w:t>
            </w:r>
            <w:r>
              <w:rPr>
                <w:lang w:val="lt-LT"/>
              </w:rPr>
              <w:t>os</w:t>
            </w:r>
            <w:r w:rsidRPr="00BB43E3">
              <w:rPr>
                <w:lang w:val="lt-LT"/>
              </w:rPr>
              <w:t xml:space="preserve"> ūkin</w:t>
            </w:r>
            <w:r>
              <w:rPr>
                <w:lang w:val="lt-LT"/>
              </w:rPr>
              <w:t>ės</w:t>
            </w:r>
            <w:r w:rsidRPr="00BB43E3">
              <w:rPr>
                <w:lang w:val="lt-LT"/>
              </w:rPr>
              <w:t xml:space="preserve"> operacij</w:t>
            </w:r>
            <w:r>
              <w:rPr>
                <w:lang w:val="lt-LT"/>
              </w:rPr>
              <w:t>os</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Pr="004273CC" w:rsidRDefault="006157A1" w:rsidP="00FF7E57">
            <w:pPr>
              <w:tabs>
                <w:tab w:val="left" w:pos="510"/>
              </w:tabs>
              <w:jc w:val="both"/>
              <w:rPr>
                <w:lang w:val="lt-LT"/>
              </w:rPr>
            </w:pPr>
            <w:r>
              <w:rPr>
                <w:lang w:val="lt-LT"/>
              </w:rPr>
              <w:t>V</w:t>
            </w:r>
            <w:r w:rsidRPr="00BB43E3">
              <w:rPr>
                <w:lang w:val="lt-LT"/>
              </w:rPr>
              <w:t xml:space="preserve">ieno asmens arba mažos </w:t>
            </w:r>
            <w:r>
              <w:rPr>
                <w:lang w:val="lt-LT"/>
              </w:rPr>
              <w:t xml:space="preserve">asmenų </w:t>
            </w:r>
            <w:r w:rsidRPr="00BB43E3">
              <w:rPr>
                <w:lang w:val="lt-LT"/>
              </w:rPr>
              <w:t>grupės dominavim</w:t>
            </w:r>
            <w:r>
              <w:rPr>
                <w:lang w:val="lt-LT"/>
              </w:rPr>
              <w:t>as</w:t>
            </w:r>
            <w:r w:rsidRPr="00BB43E3">
              <w:rPr>
                <w:lang w:val="lt-LT"/>
              </w:rPr>
              <w:t xml:space="preserve"> </w:t>
            </w:r>
            <w:r>
              <w:rPr>
                <w:lang w:val="lt-LT"/>
              </w:rPr>
              <w:t>įmonės valdyme</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Pr="004273CC" w:rsidRDefault="006157A1" w:rsidP="00FF7E57">
            <w:pPr>
              <w:tabs>
                <w:tab w:val="left" w:pos="510"/>
              </w:tabs>
              <w:jc w:val="both"/>
              <w:rPr>
                <w:lang w:val="lt-LT"/>
              </w:rPr>
            </w:pPr>
            <w:r>
              <w:rPr>
                <w:lang w:val="lt-LT"/>
              </w:rPr>
              <w:t>N</w:t>
            </w:r>
            <w:r w:rsidRPr="00BB43E3">
              <w:rPr>
                <w:lang w:val="lt-LT"/>
              </w:rPr>
              <w:t>e</w:t>
            </w:r>
            <w:r>
              <w:rPr>
                <w:lang w:val="lt-LT"/>
              </w:rPr>
              <w:t xml:space="preserve">pakankamai </w:t>
            </w:r>
            <w:r w:rsidRPr="00BB43E3">
              <w:rPr>
                <w:lang w:val="lt-LT"/>
              </w:rPr>
              <w:t>vykdom</w:t>
            </w:r>
            <w:r>
              <w:rPr>
                <w:lang w:val="lt-LT"/>
              </w:rPr>
              <w:t>a</w:t>
            </w:r>
            <w:r w:rsidRPr="00BB43E3">
              <w:rPr>
                <w:lang w:val="lt-LT"/>
              </w:rPr>
              <w:t xml:space="preserve"> </w:t>
            </w:r>
            <w:r>
              <w:rPr>
                <w:lang w:val="lt-LT"/>
              </w:rPr>
              <w:t xml:space="preserve">buhalterinių įrašų darymo ar </w:t>
            </w:r>
            <w:r w:rsidRPr="00BB43E3">
              <w:rPr>
                <w:lang w:val="lt-LT"/>
              </w:rPr>
              <w:t>finansin</w:t>
            </w:r>
            <w:r>
              <w:rPr>
                <w:lang w:val="lt-LT"/>
              </w:rPr>
              <w:t>ių</w:t>
            </w:r>
            <w:r w:rsidRPr="00BB43E3">
              <w:rPr>
                <w:lang w:val="lt-LT"/>
              </w:rPr>
              <w:t xml:space="preserve"> at</w:t>
            </w:r>
            <w:r>
              <w:rPr>
                <w:lang w:val="lt-LT"/>
              </w:rPr>
              <w:t>a</w:t>
            </w:r>
            <w:r w:rsidRPr="00BB43E3">
              <w:rPr>
                <w:lang w:val="lt-LT"/>
              </w:rPr>
              <w:t>skait</w:t>
            </w:r>
            <w:r>
              <w:rPr>
                <w:lang w:val="lt-LT"/>
              </w:rPr>
              <w:t>ų</w:t>
            </w:r>
            <w:r w:rsidRPr="00BB43E3">
              <w:rPr>
                <w:lang w:val="lt-LT"/>
              </w:rPr>
              <w:t xml:space="preserve"> sudarymo </w:t>
            </w:r>
            <w:r>
              <w:rPr>
                <w:lang w:val="lt-LT"/>
              </w:rPr>
              <w:t>priežiūra</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Default="006157A1" w:rsidP="00FF7E57">
            <w:pPr>
              <w:tabs>
                <w:tab w:val="left" w:pos="510"/>
              </w:tabs>
              <w:jc w:val="both"/>
              <w:rPr>
                <w:lang w:val="lt-LT"/>
              </w:rPr>
            </w:pPr>
            <w:r>
              <w:rPr>
                <w:lang w:val="lt-LT"/>
              </w:rPr>
              <w:t>Tinkamo pareigų atskyrimo, įgaliojimų suteikimo ar nepriklausomo tikrinimo trūkumas</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Default="006157A1" w:rsidP="00FF7E57">
            <w:pPr>
              <w:tabs>
                <w:tab w:val="left" w:pos="510"/>
              </w:tabs>
              <w:jc w:val="both"/>
              <w:rPr>
                <w:lang w:val="lt-LT"/>
              </w:rPr>
            </w:pPr>
            <w:r>
              <w:rPr>
                <w:lang w:val="lt-LT"/>
              </w:rPr>
              <w:t>Nepakankama vidaus kontrolės sistema ar nekontroliuojamos kontrolės procedūros</w:t>
            </w:r>
          </w:p>
        </w:tc>
        <w:tc>
          <w:tcPr>
            <w:tcW w:w="1134" w:type="dxa"/>
          </w:tcPr>
          <w:p w:rsidR="006157A1" w:rsidRPr="00BB5376" w:rsidRDefault="006157A1" w:rsidP="00FF7E57">
            <w:pPr>
              <w:tabs>
                <w:tab w:val="left" w:pos="510"/>
              </w:tabs>
              <w:jc w:val="center"/>
              <w:rPr>
                <w:b/>
                <w:lang w:val="lt-LT"/>
              </w:rPr>
            </w:pPr>
            <w:r w:rsidRPr="00BB5376">
              <w:rPr>
                <w:b/>
                <w:lang w:val="lt-LT"/>
              </w:rPr>
              <w:t>1</w:t>
            </w:r>
          </w:p>
        </w:tc>
        <w:tc>
          <w:tcPr>
            <w:tcW w:w="850" w:type="dxa"/>
          </w:tcPr>
          <w:p w:rsidR="006157A1" w:rsidRPr="00BB5376" w:rsidRDefault="006157A1" w:rsidP="00FF7E57">
            <w:pPr>
              <w:tabs>
                <w:tab w:val="left" w:pos="510"/>
              </w:tabs>
              <w:jc w:val="center"/>
              <w:rPr>
                <w:b/>
                <w:lang w:val="lt-LT"/>
              </w:rPr>
            </w:pPr>
            <w:r w:rsidRPr="00BB5376">
              <w:rPr>
                <w:b/>
                <w:lang w:val="lt-LT"/>
              </w:rPr>
              <w:t>5</w:t>
            </w:r>
          </w:p>
        </w:tc>
        <w:tc>
          <w:tcPr>
            <w:tcW w:w="1134" w:type="dxa"/>
          </w:tcPr>
          <w:p w:rsidR="006157A1" w:rsidRPr="00BB5376" w:rsidRDefault="006157A1" w:rsidP="00FF7E57">
            <w:pPr>
              <w:tabs>
                <w:tab w:val="left" w:pos="510"/>
              </w:tabs>
              <w:jc w:val="center"/>
              <w:rPr>
                <w:b/>
                <w:lang w:val="lt-LT"/>
              </w:rPr>
            </w:pPr>
            <w:r w:rsidRPr="00BB5376">
              <w:rPr>
                <w:b/>
                <w:lang w:val="lt-LT"/>
              </w:rPr>
              <w:t>5</w:t>
            </w:r>
          </w:p>
        </w:tc>
        <w:tc>
          <w:tcPr>
            <w:tcW w:w="1276" w:type="dxa"/>
          </w:tcPr>
          <w:p w:rsidR="006157A1" w:rsidRPr="004273CC" w:rsidRDefault="006157A1" w:rsidP="00FF7E57">
            <w:pPr>
              <w:tabs>
                <w:tab w:val="left" w:pos="510"/>
              </w:tabs>
              <w:jc w:val="both"/>
              <w:rPr>
                <w:lang w:val="lt-LT"/>
              </w:rPr>
            </w:pPr>
            <w:r>
              <w:rPr>
                <w:lang w:val="lt-LT"/>
              </w:rPr>
              <w:t>t. p.</w:t>
            </w:r>
          </w:p>
        </w:tc>
        <w:tc>
          <w:tcPr>
            <w:tcW w:w="1134" w:type="dxa"/>
          </w:tcPr>
          <w:p w:rsidR="006157A1" w:rsidRPr="00733354" w:rsidRDefault="006157A1" w:rsidP="00FF7E57">
            <w:pPr>
              <w:tabs>
                <w:tab w:val="left" w:pos="510"/>
              </w:tabs>
              <w:jc w:val="center"/>
              <w:rPr>
                <w:b/>
                <w:lang w:val="lt-LT"/>
              </w:rPr>
            </w:pPr>
            <w:r w:rsidRPr="00733354">
              <w:rPr>
                <w:b/>
                <w:lang w:val="lt-LT"/>
              </w:rPr>
              <w:t>1</w:t>
            </w:r>
          </w:p>
        </w:tc>
        <w:tc>
          <w:tcPr>
            <w:tcW w:w="992" w:type="dxa"/>
          </w:tcPr>
          <w:p w:rsidR="006157A1" w:rsidRPr="00733354" w:rsidRDefault="006157A1" w:rsidP="00FF7E57">
            <w:pPr>
              <w:tabs>
                <w:tab w:val="left" w:pos="510"/>
              </w:tabs>
              <w:jc w:val="center"/>
              <w:rPr>
                <w:b/>
                <w:lang w:val="lt-LT"/>
              </w:rPr>
            </w:pPr>
            <w:r w:rsidRPr="00733354">
              <w:rPr>
                <w:b/>
                <w:lang w:val="lt-LT"/>
              </w:rPr>
              <w:t>4</w:t>
            </w:r>
          </w:p>
        </w:tc>
        <w:tc>
          <w:tcPr>
            <w:tcW w:w="1134" w:type="dxa"/>
          </w:tcPr>
          <w:p w:rsidR="006157A1" w:rsidRPr="00733354" w:rsidRDefault="006157A1" w:rsidP="00FF7E57">
            <w:pPr>
              <w:tabs>
                <w:tab w:val="left" w:pos="510"/>
              </w:tabs>
              <w:jc w:val="center"/>
              <w:rPr>
                <w:b/>
                <w:lang w:val="lt-LT"/>
              </w:rPr>
            </w:pPr>
            <w:r w:rsidRPr="00733354">
              <w:rPr>
                <w:b/>
                <w:lang w:val="lt-LT"/>
              </w:rPr>
              <w:t>4</w:t>
            </w:r>
          </w:p>
        </w:tc>
        <w:tc>
          <w:tcPr>
            <w:tcW w:w="1418" w:type="dxa"/>
          </w:tcPr>
          <w:p w:rsidR="006157A1" w:rsidRPr="004273CC" w:rsidRDefault="006157A1" w:rsidP="00FF7E57">
            <w:pPr>
              <w:tabs>
                <w:tab w:val="left" w:pos="510"/>
              </w:tabs>
              <w:jc w:val="both"/>
              <w:rPr>
                <w:lang w:val="lt-LT"/>
              </w:rPr>
            </w:pPr>
            <w:r>
              <w:rPr>
                <w:lang w:val="lt-LT"/>
              </w:rPr>
              <w:t>t. p.</w:t>
            </w: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Default="006157A1" w:rsidP="00FF7E57">
            <w:pPr>
              <w:tabs>
                <w:tab w:val="left" w:pos="510"/>
              </w:tabs>
              <w:jc w:val="both"/>
              <w:rPr>
                <w:lang w:val="lt-LT"/>
              </w:rPr>
            </w:pPr>
            <w:r w:rsidRPr="00BB43E3">
              <w:rPr>
                <w:lang w:val="lt-LT"/>
              </w:rPr>
              <w:t xml:space="preserve">Vadovybė laiku neištaiso </w:t>
            </w:r>
            <w:r>
              <w:rPr>
                <w:lang w:val="lt-LT"/>
              </w:rPr>
              <w:t>nustatytų svarbių</w:t>
            </w:r>
            <w:r w:rsidRPr="00BB43E3">
              <w:rPr>
                <w:lang w:val="lt-LT"/>
              </w:rPr>
              <w:t xml:space="preserve"> vidaus kontrolės trūkumų</w:t>
            </w:r>
            <w:r>
              <w:rPr>
                <w:lang w:val="lt-LT"/>
              </w:rPr>
              <w:t>, n</w:t>
            </w:r>
            <w:r w:rsidRPr="00BB43E3">
              <w:rPr>
                <w:lang w:val="lt-LT"/>
              </w:rPr>
              <w:t>e</w:t>
            </w:r>
            <w:r>
              <w:rPr>
                <w:lang w:val="lt-LT"/>
              </w:rPr>
              <w:t xml:space="preserve">veiksminga ar nevykdoma įmonės </w:t>
            </w:r>
            <w:r w:rsidRPr="00BB43E3">
              <w:rPr>
                <w:lang w:val="lt-LT"/>
              </w:rPr>
              <w:t xml:space="preserve">vidaus kontrolės </w:t>
            </w:r>
            <w:r>
              <w:rPr>
                <w:lang w:val="lt-LT"/>
              </w:rPr>
              <w:t>sistemos stebėsena</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Pr="004273CC" w:rsidRDefault="006157A1" w:rsidP="00FF7E57">
            <w:pPr>
              <w:tabs>
                <w:tab w:val="left" w:pos="510"/>
              </w:tabs>
              <w:jc w:val="both"/>
              <w:rPr>
                <w:lang w:val="lt-LT"/>
              </w:rPr>
            </w:pPr>
            <w:r>
              <w:rPr>
                <w:lang w:val="lt-LT"/>
              </w:rPr>
              <w:t>S</w:t>
            </w:r>
            <w:r w:rsidRPr="00BB43E3">
              <w:rPr>
                <w:lang w:val="lt-LT"/>
              </w:rPr>
              <w:t>unku nustatyti</w:t>
            </w:r>
            <w:r>
              <w:rPr>
                <w:lang w:val="lt-LT"/>
              </w:rPr>
              <w:t xml:space="preserve"> įmonės kontrolinio</w:t>
            </w:r>
            <w:r w:rsidRPr="00BB43E3">
              <w:rPr>
                <w:lang w:val="lt-LT"/>
              </w:rPr>
              <w:t xml:space="preserve"> akcijų paket</w:t>
            </w:r>
            <w:r>
              <w:rPr>
                <w:lang w:val="lt-LT"/>
              </w:rPr>
              <w:t>o valdytoją</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Default="006157A1" w:rsidP="00FF7E57">
            <w:pPr>
              <w:tabs>
                <w:tab w:val="left" w:pos="510"/>
              </w:tabs>
              <w:jc w:val="both"/>
              <w:rPr>
                <w:lang w:val="lt-LT"/>
              </w:rPr>
            </w:pPr>
            <w:r>
              <w:rPr>
                <w:lang w:val="lt-LT"/>
              </w:rPr>
              <w:t>I</w:t>
            </w:r>
            <w:r w:rsidRPr="00BB43E3">
              <w:rPr>
                <w:lang w:val="lt-LT"/>
              </w:rPr>
              <w:t>tin sudėtinga organizacinė struktūra, apimanti neįprastas įmones arba valdymo lygiu</w:t>
            </w:r>
            <w:r>
              <w:rPr>
                <w:lang w:val="lt-LT"/>
              </w:rPr>
              <w:t>s</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Default="006157A1" w:rsidP="00FF7E57">
            <w:pPr>
              <w:tabs>
                <w:tab w:val="left" w:pos="510"/>
              </w:tabs>
              <w:jc w:val="both"/>
              <w:rPr>
                <w:lang w:val="lt-LT"/>
              </w:rPr>
            </w:pPr>
            <w:r>
              <w:rPr>
                <w:lang w:val="lt-LT"/>
              </w:rPr>
              <w:t>D</w:t>
            </w:r>
            <w:r w:rsidRPr="00BB43E3">
              <w:rPr>
                <w:lang w:val="lt-LT"/>
              </w:rPr>
              <w:t>idelė vadov</w:t>
            </w:r>
            <w:r>
              <w:rPr>
                <w:lang w:val="lt-LT"/>
              </w:rPr>
              <w:t>ybės</w:t>
            </w:r>
            <w:r w:rsidRPr="00BB43E3">
              <w:rPr>
                <w:lang w:val="lt-LT"/>
              </w:rPr>
              <w:t>,</w:t>
            </w:r>
            <w:r>
              <w:rPr>
                <w:lang w:val="lt-LT"/>
              </w:rPr>
              <w:t xml:space="preserve"> aukščiausio lygio vadovų, </w:t>
            </w:r>
            <w:r w:rsidRPr="00BB43E3">
              <w:rPr>
                <w:lang w:val="lt-LT"/>
              </w:rPr>
              <w:t>patarėjų teisės klausimais kaita</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Default="006157A1" w:rsidP="00FF7E57">
            <w:pPr>
              <w:tabs>
                <w:tab w:val="left" w:pos="510"/>
              </w:tabs>
              <w:jc w:val="both"/>
              <w:rPr>
                <w:lang w:val="lt-LT"/>
              </w:rPr>
            </w:pPr>
            <w:r>
              <w:rPr>
                <w:lang w:val="lt-LT"/>
              </w:rPr>
              <w:t xml:space="preserve">Neveiksmingos </w:t>
            </w:r>
            <w:r w:rsidRPr="00BB43E3">
              <w:rPr>
                <w:lang w:val="lt-LT"/>
              </w:rPr>
              <w:t>apskaitos</w:t>
            </w:r>
            <w:r>
              <w:rPr>
                <w:lang w:val="lt-LT"/>
              </w:rPr>
              <w:t xml:space="preserve"> ir</w:t>
            </w:r>
            <w:r w:rsidRPr="00BB43E3">
              <w:rPr>
                <w:lang w:val="lt-LT"/>
              </w:rPr>
              <w:t xml:space="preserve"> </w:t>
            </w:r>
            <w:r>
              <w:rPr>
                <w:lang w:val="lt-LT"/>
              </w:rPr>
              <w:t xml:space="preserve">kitos </w:t>
            </w:r>
            <w:r w:rsidRPr="00BB43E3">
              <w:rPr>
                <w:lang w:val="lt-LT"/>
              </w:rPr>
              <w:t>informacin</w:t>
            </w:r>
            <w:r>
              <w:rPr>
                <w:lang w:val="lt-LT"/>
              </w:rPr>
              <w:t>ės</w:t>
            </w:r>
            <w:r w:rsidRPr="00BB43E3">
              <w:rPr>
                <w:lang w:val="lt-LT"/>
              </w:rPr>
              <w:t xml:space="preserve"> sistem</w:t>
            </w:r>
            <w:r>
              <w:rPr>
                <w:lang w:val="lt-LT"/>
              </w:rPr>
              <w:t>os</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FF7E57">
        <w:trPr>
          <w:cantSplit/>
        </w:trPr>
        <w:tc>
          <w:tcPr>
            <w:tcW w:w="1101" w:type="dxa"/>
            <w:vMerge/>
          </w:tcPr>
          <w:p w:rsidR="006157A1" w:rsidRPr="00292728" w:rsidRDefault="006157A1" w:rsidP="00FF7E57">
            <w:pPr>
              <w:tabs>
                <w:tab w:val="left" w:pos="510"/>
              </w:tabs>
              <w:jc w:val="both"/>
              <w:rPr>
                <w:b/>
                <w:lang w:val="lt-LT"/>
              </w:rPr>
            </w:pPr>
          </w:p>
        </w:tc>
        <w:tc>
          <w:tcPr>
            <w:tcW w:w="3827" w:type="dxa"/>
          </w:tcPr>
          <w:p w:rsidR="006157A1" w:rsidRDefault="006157A1" w:rsidP="00FF7E57">
            <w:pPr>
              <w:tabs>
                <w:tab w:val="left" w:pos="510"/>
              </w:tabs>
              <w:jc w:val="both"/>
              <w:rPr>
                <w:lang w:val="lt-LT"/>
              </w:rPr>
            </w:pPr>
            <w:r>
              <w:rPr>
                <w:lang w:val="lt-LT"/>
              </w:rPr>
              <w:t>Neteisėtai pasisavintas įmonės turtas gali būti lengvai realizuotas (grynieji pinigai, vertingi daiktai be nuosavybės požymių)</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FF7E57" w:rsidRPr="004273CC" w:rsidTr="00FF7E57">
        <w:trPr>
          <w:cantSplit/>
        </w:trPr>
        <w:tc>
          <w:tcPr>
            <w:tcW w:w="4928" w:type="dxa"/>
            <w:gridSpan w:val="2"/>
            <w:vMerge w:val="restart"/>
            <w:vAlign w:val="center"/>
          </w:tcPr>
          <w:p w:rsidR="00FF7E57" w:rsidRPr="00292728" w:rsidRDefault="00FF7E57" w:rsidP="008E4A5A">
            <w:pPr>
              <w:tabs>
                <w:tab w:val="left" w:pos="510"/>
              </w:tabs>
              <w:jc w:val="center"/>
              <w:rPr>
                <w:b/>
                <w:lang w:val="lt-LT"/>
              </w:rPr>
            </w:pPr>
            <w:r w:rsidRPr="00292728">
              <w:rPr>
                <w:b/>
                <w:lang w:val="lt-LT"/>
              </w:rPr>
              <w:lastRenderedPageBreak/>
              <w:t>Įmonės išorė</w:t>
            </w:r>
            <w:r w:rsidR="008E4A5A">
              <w:rPr>
                <w:b/>
                <w:lang w:val="lt-LT"/>
              </w:rPr>
              <w:t>s</w:t>
            </w:r>
            <w:r w:rsidRPr="00292728">
              <w:rPr>
                <w:b/>
                <w:lang w:val="lt-LT"/>
              </w:rPr>
              <w:t xml:space="preserve"> ar vid</w:t>
            </w:r>
            <w:r w:rsidR="008E4A5A">
              <w:rPr>
                <w:b/>
                <w:lang w:val="lt-LT"/>
              </w:rPr>
              <w:t>aus</w:t>
            </w:r>
            <w:r w:rsidRPr="00292728">
              <w:rPr>
                <w:b/>
                <w:lang w:val="lt-LT"/>
              </w:rPr>
              <w:t xml:space="preserve"> aplinka</w:t>
            </w:r>
          </w:p>
        </w:tc>
        <w:tc>
          <w:tcPr>
            <w:tcW w:w="4394" w:type="dxa"/>
            <w:gridSpan w:val="4"/>
          </w:tcPr>
          <w:p w:rsidR="00FF7E57" w:rsidRPr="004273CC" w:rsidRDefault="00FF7E57" w:rsidP="00FF7E57">
            <w:pPr>
              <w:tabs>
                <w:tab w:val="left" w:pos="510"/>
              </w:tabs>
              <w:jc w:val="center"/>
              <w:rPr>
                <w:lang w:val="lt-LT"/>
              </w:rPr>
            </w:pPr>
            <w:r>
              <w:rPr>
                <w:b/>
                <w:lang w:val="lt-LT"/>
              </w:rPr>
              <w:t>UAB „Šiluma“</w:t>
            </w:r>
          </w:p>
        </w:tc>
        <w:tc>
          <w:tcPr>
            <w:tcW w:w="4678" w:type="dxa"/>
            <w:gridSpan w:val="4"/>
          </w:tcPr>
          <w:p w:rsidR="00FF7E57" w:rsidRPr="004273CC" w:rsidRDefault="00FF7E57" w:rsidP="00FF7E57">
            <w:pPr>
              <w:tabs>
                <w:tab w:val="left" w:pos="510"/>
              </w:tabs>
              <w:jc w:val="center"/>
              <w:rPr>
                <w:lang w:val="lt-LT"/>
              </w:rPr>
            </w:pPr>
            <w:r>
              <w:rPr>
                <w:b/>
                <w:lang w:val="lt-LT"/>
              </w:rPr>
              <w:t>UAB „Žuvila“</w:t>
            </w:r>
          </w:p>
        </w:tc>
      </w:tr>
      <w:tr w:rsidR="00FF7E57" w:rsidRPr="004273CC" w:rsidTr="006157A1">
        <w:trPr>
          <w:cantSplit/>
        </w:trPr>
        <w:tc>
          <w:tcPr>
            <w:tcW w:w="4928" w:type="dxa"/>
            <w:gridSpan w:val="2"/>
            <w:vMerge/>
            <w:vAlign w:val="center"/>
          </w:tcPr>
          <w:p w:rsidR="00FF7E57" w:rsidRPr="00292728" w:rsidRDefault="00FF7E57" w:rsidP="00FF7E57">
            <w:pPr>
              <w:tabs>
                <w:tab w:val="left" w:pos="510"/>
              </w:tabs>
              <w:jc w:val="center"/>
              <w:rPr>
                <w:b/>
                <w:lang w:val="lt-LT"/>
              </w:rPr>
            </w:pPr>
          </w:p>
        </w:tc>
        <w:tc>
          <w:tcPr>
            <w:tcW w:w="3118" w:type="dxa"/>
            <w:gridSpan w:val="3"/>
            <w:vAlign w:val="center"/>
          </w:tcPr>
          <w:p w:rsidR="00FF7E57" w:rsidRPr="004273CC" w:rsidRDefault="00FF7E57" w:rsidP="00FF7E57">
            <w:pPr>
              <w:tabs>
                <w:tab w:val="left" w:pos="510"/>
              </w:tabs>
              <w:jc w:val="center"/>
              <w:rPr>
                <w:lang w:val="lt-LT"/>
              </w:rPr>
            </w:pPr>
            <w:r w:rsidRPr="004273CC">
              <w:rPr>
                <w:b/>
                <w:lang w:val="lt-LT"/>
              </w:rPr>
              <w:t>Rizikos vertinimas</w:t>
            </w:r>
          </w:p>
        </w:tc>
        <w:tc>
          <w:tcPr>
            <w:tcW w:w="1276" w:type="dxa"/>
            <w:vMerge w:val="restart"/>
            <w:vAlign w:val="center"/>
          </w:tcPr>
          <w:p w:rsidR="00FF7E57" w:rsidRPr="004273CC" w:rsidRDefault="00FF7E57" w:rsidP="00FF7E57">
            <w:pPr>
              <w:tabs>
                <w:tab w:val="left" w:pos="510"/>
              </w:tabs>
              <w:jc w:val="center"/>
              <w:rPr>
                <w:lang w:val="lt-LT"/>
              </w:rPr>
            </w:pPr>
            <w:r w:rsidRPr="004273CC">
              <w:rPr>
                <w:b/>
                <w:lang w:val="lt-LT"/>
              </w:rPr>
              <w:t>Pastabos</w:t>
            </w:r>
          </w:p>
        </w:tc>
        <w:tc>
          <w:tcPr>
            <w:tcW w:w="3260" w:type="dxa"/>
            <w:gridSpan w:val="3"/>
          </w:tcPr>
          <w:p w:rsidR="00FF7E57" w:rsidRPr="004273CC" w:rsidRDefault="00FF7E57" w:rsidP="00FF7E57">
            <w:pPr>
              <w:tabs>
                <w:tab w:val="left" w:pos="510"/>
              </w:tabs>
              <w:jc w:val="center"/>
              <w:rPr>
                <w:lang w:val="lt-LT"/>
              </w:rPr>
            </w:pPr>
            <w:r w:rsidRPr="004273CC">
              <w:rPr>
                <w:b/>
                <w:lang w:val="lt-LT"/>
              </w:rPr>
              <w:t>Rizikos vertinimas</w:t>
            </w:r>
          </w:p>
        </w:tc>
        <w:tc>
          <w:tcPr>
            <w:tcW w:w="1418" w:type="dxa"/>
            <w:vMerge w:val="restart"/>
            <w:vAlign w:val="center"/>
          </w:tcPr>
          <w:p w:rsidR="00FF7E57" w:rsidRPr="004273CC" w:rsidRDefault="00FF7E57" w:rsidP="00FF7E57">
            <w:pPr>
              <w:tabs>
                <w:tab w:val="left" w:pos="510"/>
              </w:tabs>
              <w:jc w:val="center"/>
              <w:rPr>
                <w:lang w:val="lt-LT"/>
              </w:rPr>
            </w:pPr>
            <w:r w:rsidRPr="004273CC">
              <w:rPr>
                <w:b/>
                <w:lang w:val="lt-LT"/>
              </w:rPr>
              <w:t>Pastabos</w:t>
            </w:r>
          </w:p>
        </w:tc>
      </w:tr>
      <w:tr w:rsidR="00FF7E57" w:rsidRPr="004273CC" w:rsidTr="006157A1">
        <w:trPr>
          <w:cantSplit/>
          <w:trHeight w:val="609"/>
        </w:trPr>
        <w:tc>
          <w:tcPr>
            <w:tcW w:w="1101" w:type="dxa"/>
          </w:tcPr>
          <w:p w:rsidR="00FF7E57" w:rsidRPr="00292728" w:rsidRDefault="00FF7E57" w:rsidP="00FF7E57">
            <w:pPr>
              <w:tabs>
                <w:tab w:val="left" w:pos="510"/>
              </w:tabs>
              <w:jc w:val="center"/>
              <w:rPr>
                <w:b/>
                <w:lang w:val="lt-LT"/>
              </w:rPr>
            </w:pPr>
            <w:r w:rsidRPr="00292728">
              <w:rPr>
                <w:b/>
                <w:lang w:val="lt-LT"/>
              </w:rPr>
              <w:t>Sąlygos</w:t>
            </w:r>
          </w:p>
        </w:tc>
        <w:tc>
          <w:tcPr>
            <w:tcW w:w="3827" w:type="dxa"/>
            <w:vAlign w:val="center"/>
          </w:tcPr>
          <w:p w:rsidR="00FF7E57" w:rsidRPr="004273CC" w:rsidRDefault="00FF7E57" w:rsidP="00FF7E57">
            <w:pPr>
              <w:tabs>
                <w:tab w:val="left" w:pos="510"/>
              </w:tabs>
              <w:jc w:val="center"/>
              <w:rPr>
                <w:b/>
                <w:lang w:val="lt-LT"/>
              </w:rPr>
            </w:pPr>
            <w:r w:rsidRPr="004273CC">
              <w:rPr>
                <w:b/>
                <w:lang w:val="lt-LT"/>
              </w:rPr>
              <w:t>Veiksniai</w:t>
            </w:r>
          </w:p>
        </w:tc>
        <w:tc>
          <w:tcPr>
            <w:tcW w:w="1134" w:type="dxa"/>
            <w:vAlign w:val="center"/>
          </w:tcPr>
          <w:p w:rsidR="00FF7E57" w:rsidRPr="004273CC" w:rsidRDefault="00FF7E57" w:rsidP="00FF7E57">
            <w:pPr>
              <w:tabs>
                <w:tab w:val="left" w:pos="510"/>
              </w:tabs>
              <w:jc w:val="center"/>
              <w:rPr>
                <w:lang w:val="lt-LT"/>
              </w:rPr>
            </w:pPr>
            <w:r>
              <w:rPr>
                <w:lang w:val="lt-LT"/>
              </w:rPr>
              <w:t>Tikimybė</w:t>
            </w:r>
            <w:r w:rsidRPr="004273CC">
              <w:rPr>
                <w:lang w:val="lt-LT"/>
              </w:rPr>
              <w:t xml:space="preserve"> (1-5)</w:t>
            </w:r>
          </w:p>
        </w:tc>
        <w:tc>
          <w:tcPr>
            <w:tcW w:w="850" w:type="dxa"/>
            <w:vAlign w:val="center"/>
          </w:tcPr>
          <w:p w:rsidR="00FF7E57" w:rsidRPr="004273CC" w:rsidRDefault="00FF7E57" w:rsidP="00FF7E57">
            <w:pPr>
              <w:tabs>
                <w:tab w:val="left" w:pos="510"/>
              </w:tabs>
              <w:jc w:val="center"/>
              <w:rPr>
                <w:lang w:val="lt-LT"/>
              </w:rPr>
            </w:pPr>
            <w:r w:rsidRPr="004273CC">
              <w:rPr>
                <w:lang w:val="lt-LT"/>
              </w:rPr>
              <w:t>Įtaka</w:t>
            </w:r>
          </w:p>
          <w:p w:rsidR="00FF7E57" w:rsidRPr="004273CC" w:rsidRDefault="00FF7E57" w:rsidP="00FF7E57">
            <w:pPr>
              <w:tabs>
                <w:tab w:val="left" w:pos="510"/>
              </w:tabs>
              <w:jc w:val="center"/>
              <w:rPr>
                <w:lang w:val="lt-LT"/>
              </w:rPr>
            </w:pPr>
            <w:r w:rsidRPr="004273CC">
              <w:rPr>
                <w:lang w:val="lt-LT"/>
              </w:rPr>
              <w:t>(1-5)</w:t>
            </w:r>
          </w:p>
        </w:tc>
        <w:tc>
          <w:tcPr>
            <w:tcW w:w="1134" w:type="dxa"/>
            <w:vAlign w:val="center"/>
          </w:tcPr>
          <w:p w:rsidR="00FF7E57" w:rsidRPr="004273CC" w:rsidRDefault="00FF7E57" w:rsidP="00FF7E57">
            <w:pPr>
              <w:tabs>
                <w:tab w:val="left" w:pos="510"/>
              </w:tabs>
              <w:jc w:val="center"/>
              <w:rPr>
                <w:lang w:val="lt-LT"/>
              </w:rPr>
            </w:pPr>
            <w:r w:rsidRPr="004273CC">
              <w:rPr>
                <w:lang w:val="lt-LT"/>
              </w:rPr>
              <w:t>Tikimybė * Įtaka</w:t>
            </w:r>
          </w:p>
        </w:tc>
        <w:tc>
          <w:tcPr>
            <w:tcW w:w="1276" w:type="dxa"/>
            <w:vMerge/>
            <w:vAlign w:val="center"/>
          </w:tcPr>
          <w:p w:rsidR="00FF7E57" w:rsidRPr="004273CC" w:rsidRDefault="00FF7E57" w:rsidP="00FF7E57">
            <w:pPr>
              <w:tabs>
                <w:tab w:val="left" w:pos="510"/>
              </w:tabs>
              <w:jc w:val="center"/>
              <w:rPr>
                <w:b/>
                <w:lang w:val="lt-LT"/>
              </w:rPr>
            </w:pPr>
          </w:p>
        </w:tc>
        <w:tc>
          <w:tcPr>
            <w:tcW w:w="1134" w:type="dxa"/>
            <w:vAlign w:val="center"/>
          </w:tcPr>
          <w:p w:rsidR="00FF7E57" w:rsidRPr="004273CC" w:rsidRDefault="00FF7E57" w:rsidP="00FF7E57">
            <w:pPr>
              <w:tabs>
                <w:tab w:val="left" w:pos="510"/>
              </w:tabs>
              <w:jc w:val="center"/>
              <w:rPr>
                <w:lang w:val="lt-LT"/>
              </w:rPr>
            </w:pPr>
            <w:r>
              <w:rPr>
                <w:lang w:val="lt-LT"/>
              </w:rPr>
              <w:t>Tikimybė</w:t>
            </w:r>
            <w:r w:rsidRPr="004273CC">
              <w:rPr>
                <w:lang w:val="lt-LT"/>
              </w:rPr>
              <w:t xml:space="preserve"> (1-5)</w:t>
            </w:r>
          </w:p>
        </w:tc>
        <w:tc>
          <w:tcPr>
            <w:tcW w:w="992" w:type="dxa"/>
            <w:vAlign w:val="center"/>
          </w:tcPr>
          <w:p w:rsidR="00FF7E57" w:rsidRPr="004273CC" w:rsidRDefault="00FF7E57" w:rsidP="00FF7E57">
            <w:pPr>
              <w:tabs>
                <w:tab w:val="left" w:pos="510"/>
              </w:tabs>
              <w:jc w:val="center"/>
              <w:rPr>
                <w:lang w:val="lt-LT"/>
              </w:rPr>
            </w:pPr>
            <w:r w:rsidRPr="004273CC">
              <w:rPr>
                <w:lang w:val="lt-LT"/>
              </w:rPr>
              <w:t>Įtaka</w:t>
            </w:r>
          </w:p>
          <w:p w:rsidR="00FF7E57" w:rsidRPr="004273CC" w:rsidRDefault="00FF7E57" w:rsidP="00FF7E57">
            <w:pPr>
              <w:tabs>
                <w:tab w:val="left" w:pos="510"/>
              </w:tabs>
              <w:jc w:val="center"/>
              <w:rPr>
                <w:lang w:val="lt-LT"/>
              </w:rPr>
            </w:pPr>
            <w:r w:rsidRPr="004273CC">
              <w:rPr>
                <w:lang w:val="lt-LT"/>
              </w:rPr>
              <w:t>(1-5)</w:t>
            </w:r>
          </w:p>
        </w:tc>
        <w:tc>
          <w:tcPr>
            <w:tcW w:w="1134" w:type="dxa"/>
            <w:vAlign w:val="center"/>
          </w:tcPr>
          <w:p w:rsidR="00FF7E57" w:rsidRPr="004273CC" w:rsidRDefault="00FF7E57" w:rsidP="00FF7E57">
            <w:pPr>
              <w:tabs>
                <w:tab w:val="left" w:pos="510"/>
              </w:tabs>
              <w:jc w:val="center"/>
              <w:rPr>
                <w:lang w:val="lt-LT"/>
              </w:rPr>
            </w:pPr>
            <w:r w:rsidRPr="004273CC">
              <w:rPr>
                <w:lang w:val="lt-LT"/>
              </w:rPr>
              <w:t>Tikimybė * Įtaka</w:t>
            </w:r>
          </w:p>
        </w:tc>
        <w:tc>
          <w:tcPr>
            <w:tcW w:w="1418" w:type="dxa"/>
            <w:vMerge/>
            <w:vAlign w:val="center"/>
          </w:tcPr>
          <w:p w:rsidR="00FF7E57" w:rsidRPr="004273CC" w:rsidRDefault="00FF7E57" w:rsidP="00FF7E57">
            <w:pPr>
              <w:tabs>
                <w:tab w:val="left" w:pos="510"/>
              </w:tabs>
              <w:jc w:val="center"/>
              <w:rPr>
                <w:b/>
                <w:lang w:val="lt-LT"/>
              </w:rPr>
            </w:pPr>
          </w:p>
        </w:tc>
      </w:tr>
      <w:tr w:rsidR="006157A1" w:rsidRPr="004273CC" w:rsidTr="006157A1">
        <w:trPr>
          <w:cantSplit/>
        </w:trPr>
        <w:tc>
          <w:tcPr>
            <w:tcW w:w="1101" w:type="dxa"/>
            <w:vMerge w:val="restart"/>
            <w:textDirection w:val="btLr"/>
          </w:tcPr>
          <w:p w:rsidR="006157A1" w:rsidRPr="00292728" w:rsidRDefault="006157A1" w:rsidP="00FF7E57">
            <w:pPr>
              <w:ind w:left="113" w:right="113"/>
              <w:jc w:val="center"/>
              <w:rPr>
                <w:b/>
                <w:lang w:val="lt-LT"/>
              </w:rPr>
            </w:pPr>
            <w:r w:rsidRPr="00292728">
              <w:rPr>
                <w:b/>
                <w:lang w:val="lt-LT"/>
              </w:rPr>
              <w:t>2. Galimybės</w:t>
            </w:r>
          </w:p>
        </w:tc>
        <w:tc>
          <w:tcPr>
            <w:tcW w:w="3827" w:type="dxa"/>
          </w:tcPr>
          <w:p w:rsidR="006157A1" w:rsidRDefault="006157A1" w:rsidP="00FF7E57">
            <w:pPr>
              <w:tabs>
                <w:tab w:val="left" w:pos="510"/>
              </w:tabs>
              <w:jc w:val="both"/>
              <w:rPr>
                <w:lang w:val="lt-LT"/>
              </w:rPr>
            </w:pPr>
            <w:r>
              <w:rPr>
                <w:lang w:val="lt-LT"/>
              </w:rPr>
              <w:t>F</w:t>
            </w:r>
            <w:r w:rsidRPr="00BB43E3">
              <w:rPr>
                <w:lang w:val="lt-LT"/>
              </w:rPr>
              <w:t xml:space="preserve">ormalus ar neformalus auditoriaus </w:t>
            </w:r>
            <w:r>
              <w:rPr>
                <w:lang w:val="lt-LT"/>
              </w:rPr>
              <w:t xml:space="preserve">darbo </w:t>
            </w:r>
            <w:r w:rsidRPr="00BB43E3">
              <w:rPr>
                <w:lang w:val="lt-LT"/>
              </w:rPr>
              <w:t>suvaržymas</w:t>
            </w:r>
            <w:r>
              <w:rPr>
                <w:lang w:val="lt-LT"/>
              </w:rPr>
              <w:t xml:space="preserve"> (r</w:t>
            </w:r>
            <w:r w:rsidRPr="00BB43E3">
              <w:rPr>
                <w:lang w:val="lt-LT"/>
              </w:rPr>
              <w:t>ibojamos galimybės kalbėti</w:t>
            </w:r>
            <w:r>
              <w:rPr>
                <w:lang w:val="lt-LT"/>
              </w:rPr>
              <w:t>s</w:t>
            </w:r>
            <w:r w:rsidRPr="00BB43E3">
              <w:rPr>
                <w:lang w:val="lt-LT"/>
              </w:rPr>
              <w:t xml:space="preserve"> su darbuotojais</w:t>
            </w:r>
            <w:r>
              <w:rPr>
                <w:lang w:val="lt-LT"/>
              </w:rPr>
              <w:t xml:space="preserve">, </w:t>
            </w:r>
            <w:r w:rsidRPr="00BB43E3">
              <w:rPr>
                <w:lang w:val="lt-LT"/>
              </w:rPr>
              <w:t xml:space="preserve">gauti informaciją, </w:t>
            </w:r>
            <w:r>
              <w:rPr>
                <w:lang w:val="lt-LT"/>
              </w:rPr>
              <w:t>nustatomas trumpas atlikimo terminas)</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6157A1">
        <w:trPr>
          <w:cantSplit/>
        </w:trPr>
        <w:tc>
          <w:tcPr>
            <w:tcW w:w="1101" w:type="dxa"/>
            <w:vMerge/>
            <w:textDirection w:val="btLr"/>
          </w:tcPr>
          <w:p w:rsidR="006157A1" w:rsidRPr="00292728" w:rsidRDefault="006157A1" w:rsidP="00FF7E57">
            <w:pPr>
              <w:ind w:left="113" w:right="113"/>
              <w:jc w:val="center"/>
              <w:rPr>
                <w:b/>
                <w:lang w:val="lt-LT"/>
              </w:rPr>
            </w:pPr>
          </w:p>
        </w:tc>
        <w:tc>
          <w:tcPr>
            <w:tcW w:w="3827" w:type="dxa"/>
          </w:tcPr>
          <w:p w:rsidR="006157A1" w:rsidRDefault="006157A1" w:rsidP="00FF7E57">
            <w:pPr>
              <w:tabs>
                <w:tab w:val="left" w:pos="510"/>
              </w:tabs>
              <w:jc w:val="both"/>
              <w:rPr>
                <w:lang w:val="lt-LT"/>
              </w:rPr>
            </w:pPr>
            <w:r>
              <w:rPr>
                <w:lang w:val="lt-LT"/>
              </w:rPr>
              <w:t>Neatliekamas faktinis turto patikrinimas su apskaitos duomenimis</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6157A1">
        <w:trPr>
          <w:cantSplit/>
        </w:trPr>
        <w:tc>
          <w:tcPr>
            <w:tcW w:w="1101" w:type="dxa"/>
            <w:vMerge/>
            <w:textDirection w:val="btLr"/>
          </w:tcPr>
          <w:p w:rsidR="006157A1" w:rsidRPr="00292728" w:rsidRDefault="006157A1" w:rsidP="00FF7E57">
            <w:pPr>
              <w:ind w:left="113" w:right="113"/>
              <w:jc w:val="center"/>
              <w:rPr>
                <w:b/>
                <w:lang w:val="lt-LT"/>
              </w:rPr>
            </w:pPr>
          </w:p>
        </w:tc>
        <w:tc>
          <w:tcPr>
            <w:tcW w:w="3827" w:type="dxa"/>
          </w:tcPr>
          <w:p w:rsidR="006157A1" w:rsidRDefault="006157A1" w:rsidP="00FF7E57">
            <w:pPr>
              <w:tabs>
                <w:tab w:val="left" w:pos="510"/>
              </w:tabs>
              <w:jc w:val="both"/>
              <w:rPr>
                <w:lang w:val="lt-LT"/>
              </w:rPr>
            </w:pPr>
            <w:r>
              <w:rPr>
                <w:lang w:val="lt-LT"/>
              </w:rPr>
              <w:t xml:space="preserve">Įmonės </w:t>
            </w:r>
            <w:r w:rsidRPr="00BB43E3">
              <w:rPr>
                <w:lang w:val="lt-LT"/>
              </w:rPr>
              <w:t>turto fizinė apsauga yra prasta</w:t>
            </w:r>
            <w:r>
              <w:rPr>
                <w:lang w:val="lt-LT"/>
              </w:rPr>
              <w:t>, netinkamas turto, kurį galima pasisavinti, apskaitos įrašų tvarkymas</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6157A1" w:rsidRPr="004273CC" w:rsidTr="006157A1">
        <w:trPr>
          <w:cantSplit/>
        </w:trPr>
        <w:tc>
          <w:tcPr>
            <w:tcW w:w="1101" w:type="dxa"/>
            <w:vMerge/>
            <w:textDirection w:val="btLr"/>
          </w:tcPr>
          <w:p w:rsidR="006157A1" w:rsidRPr="00292728" w:rsidRDefault="006157A1" w:rsidP="00FF7E57">
            <w:pPr>
              <w:ind w:left="113" w:right="113"/>
              <w:jc w:val="center"/>
              <w:rPr>
                <w:b/>
                <w:lang w:val="lt-LT"/>
              </w:rPr>
            </w:pPr>
          </w:p>
        </w:tc>
        <w:tc>
          <w:tcPr>
            <w:tcW w:w="3827" w:type="dxa"/>
          </w:tcPr>
          <w:p w:rsidR="006157A1" w:rsidRDefault="006157A1" w:rsidP="00FF7E57">
            <w:pPr>
              <w:tabs>
                <w:tab w:val="left" w:pos="510"/>
              </w:tabs>
              <w:jc w:val="both"/>
              <w:rPr>
                <w:lang w:val="lt-LT"/>
              </w:rPr>
            </w:pPr>
            <w:r>
              <w:rPr>
                <w:lang w:val="lt-LT"/>
              </w:rPr>
              <w:t>...</w:t>
            </w:r>
          </w:p>
        </w:tc>
        <w:tc>
          <w:tcPr>
            <w:tcW w:w="1134" w:type="dxa"/>
          </w:tcPr>
          <w:p w:rsidR="006157A1" w:rsidRPr="004273CC" w:rsidRDefault="006157A1" w:rsidP="00FF7E57">
            <w:pPr>
              <w:tabs>
                <w:tab w:val="left" w:pos="510"/>
              </w:tabs>
              <w:jc w:val="both"/>
              <w:rPr>
                <w:lang w:val="lt-LT"/>
              </w:rPr>
            </w:pPr>
          </w:p>
        </w:tc>
        <w:tc>
          <w:tcPr>
            <w:tcW w:w="850"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276"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992" w:type="dxa"/>
          </w:tcPr>
          <w:p w:rsidR="006157A1" w:rsidRPr="004273CC" w:rsidRDefault="006157A1" w:rsidP="00FF7E57">
            <w:pPr>
              <w:tabs>
                <w:tab w:val="left" w:pos="510"/>
              </w:tabs>
              <w:jc w:val="both"/>
              <w:rPr>
                <w:lang w:val="lt-LT"/>
              </w:rPr>
            </w:pPr>
          </w:p>
        </w:tc>
        <w:tc>
          <w:tcPr>
            <w:tcW w:w="1134" w:type="dxa"/>
          </w:tcPr>
          <w:p w:rsidR="006157A1" w:rsidRPr="004273CC" w:rsidRDefault="006157A1" w:rsidP="00FF7E57">
            <w:pPr>
              <w:tabs>
                <w:tab w:val="left" w:pos="510"/>
              </w:tabs>
              <w:jc w:val="both"/>
              <w:rPr>
                <w:lang w:val="lt-LT"/>
              </w:rPr>
            </w:pPr>
          </w:p>
        </w:tc>
        <w:tc>
          <w:tcPr>
            <w:tcW w:w="1418" w:type="dxa"/>
          </w:tcPr>
          <w:p w:rsidR="006157A1" w:rsidRPr="004273CC" w:rsidRDefault="006157A1" w:rsidP="00FF7E57">
            <w:pPr>
              <w:tabs>
                <w:tab w:val="left" w:pos="510"/>
              </w:tabs>
              <w:jc w:val="both"/>
              <w:rPr>
                <w:lang w:val="lt-LT"/>
              </w:rPr>
            </w:pPr>
          </w:p>
        </w:tc>
      </w:tr>
      <w:tr w:rsidR="00FF7E57" w:rsidRPr="004273CC" w:rsidTr="006157A1">
        <w:trPr>
          <w:cantSplit/>
        </w:trPr>
        <w:tc>
          <w:tcPr>
            <w:tcW w:w="1101" w:type="dxa"/>
            <w:vMerge w:val="restart"/>
            <w:textDirection w:val="btLr"/>
          </w:tcPr>
          <w:p w:rsidR="00FF7E57" w:rsidRPr="00292728" w:rsidRDefault="00FF7E57" w:rsidP="00FF7E57">
            <w:pPr>
              <w:ind w:left="113" w:right="113"/>
              <w:jc w:val="center"/>
              <w:rPr>
                <w:b/>
                <w:lang w:val="lt-LT"/>
              </w:rPr>
            </w:pPr>
            <w:r w:rsidRPr="00292728">
              <w:rPr>
                <w:b/>
                <w:lang w:val="lt-LT"/>
              </w:rPr>
              <w:t>3. Požiūris/</w:t>
            </w:r>
            <w:r>
              <w:rPr>
                <w:b/>
                <w:lang w:val="lt-LT"/>
              </w:rPr>
              <w:t xml:space="preserve"> </w:t>
            </w:r>
            <w:r w:rsidRPr="00292728">
              <w:rPr>
                <w:b/>
                <w:lang w:val="lt-LT"/>
              </w:rPr>
              <w:t>Racionalizacija</w:t>
            </w:r>
          </w:p>
        </w:tc>
        <w:tc>
          <w:tcPr>
            <w:tcW w:w="3827" w:type="dxa"/>
          </w:tcPr>
          <w:p w:rsidR="00FF7E57" w:rsidRDefault="00FF7E57" w:rsidP="00FF7E57">
            <w:pPr>
              <w:tabs>
                <w:tab w:val="left" w:pos="510"/>
              </w:tabs>
              <w:jc w:val="both"/>
              <w:rPr>
                <w:lang w:val="lt-LT"/>
              </w:rPr>
            </w:pPr>
            <w:r w:rsidRPr="00BB43E3">
              <w:rPr>
                <w:lang w:val="lt-LT"/>
              </w:rPr>
              <w:t xml:space="preserve">Neveiksmingai </w:t>
            </w:r>
            <w:r>
              <w:rPr>
                <w:lang w:val="lt-LT"/>
              </w:rPr>
              <w:t>diegiamos</w:t>
            </w:r>
            <w:r w:rsidRPr="00BB43E3">
              <w:rPr>
                <w:lang w:val="lt-LT"/>
              </w:rPr>
              <w:t xml:space="preserve"> įmonės vertybės</w:t>
            </w:r>
            <w:r>
              <w:rPr>
                <w:lang w:val="lt-LT"/>
              </w:rPr>
              <w:t>/</w:t>
            </w:r>
            <w:r w:rsidRPr="00BB43E3">
              <w:rPr>
                <w:lang w:val="lt-LT"/>
              </w:rPr>
              <w:t>eti</w:t>
            </w:r>
            <w:r>
              <w:rPr>
                <w:lang w:val="lt-LT"/>
              </w:rPr>
              <w:t>kos</w:t>
            </w:r>
            <w:r w:rsidRPr="00BB43E3">
              <w:rPr>
                <w:lang w:val="lt-LT"/>
              </w:rPr>
              <w:t xml:space="preserve"> standartai</w:t>
            </w:r>
            <w:r>
              <w:rPr>
                <w:lang w:val="lt-LT"/>
              </w:rPr>
              <w:t>, deklaruojamos netinkamos vertybės</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6157A1">
        <w:trPr>
          <w:cantSplit/>
        </w:trPr>
        <w:tc>
          <w:tcPr>
            <w:tcW w:w="1101" w:type="dxa"/>
            <w:vMerge/>
          </w:tcPr>
          <w:p w:rsidR="00FF7E57" w:rsidRPr="00292728" w:rsidRDefault="00FF7E57" w:rsidP="00FF7E57">
            <w:pPr>
              <w:pStyle w:val="Heading3"/>
              <w:spacing w:before="0" w:after="0"/>
              <w:rPr>
                <w:lang w:val="lt-LT"/>
              </w:rPr>
            </w:pPr>
          </w:p>
        </w:tc>
        <w:tc>
          <w:tcPr>
            <w:tcW w:w="3827" w:type="dxa"/>
          </w:tcPr>
          <w:p w:rsidR="00FF7E57" w:rsidRPr="004273CC" w:rsidRDefault="00FF7E57" w:rsidP="00FF7E57">
            <w:pPr>
              <w:tabs>
                <w:tab w:val="left" w:pos="510"/>
              </w:tabs>
              <w:jc w:val="both"/>
              <w:rPr>
                <w:lang w:val="lt-LT"/>
              </w:rPr>
            </w:pPr>
            <w:r w:rsidRPr="00BB43E3">
              <w:rPr>
                <w:lang w:val="lt-LT"/>
              </w:rPr>
              <w:t>Žema v</w:t>
            </w:r>
            <w:r>
              <w:rPr>
                <w:lang w:val="lt-LT"/>
              </w:rPr>
              <w:t>adovybės</w:t>
            </w:r>
            <w:r w:rsidRPr="00BB43E3">
              <w:rPr>
                <w:lang w:val="lt-LT"/>
              </w:rPr>
              <w:t xml:space="preserve"> moralė</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6157A1">
        <w:trPr>
          <w:cantSplit/>
        </w:trPr>
        <w:tc>
          <w:tcPr>
            <w:tcW w:w="1101" w:type="dxa"/>
            <w:vMerge/>
          </w:tcPr>
          <w:p w:rsidR="00FF7E57" w:rsidRPr="00292728" w:rsidRDefault="00FF7E57" w:rsidP="00FF7E57">
            <w:pPr>
              <w:pStyle w:val="Heading3"/>
              <w:spacing w:before="0" w:after="0"/>
              <w:rPr>
                <w:lang w:val="lt-LT"/>
              </w:rPr>
            </w:pPr>
          </w:p>
        </w:tc>
        <w:tc>
          <w:tcPr>
            <w:tcW w:w="3827" w:type="dxa"/>
          </w:tcPr>
          <w:p w:rsidR="00FF7E57" w:rsidRPr="004273CC" w:rsidRDefault="00FF7E57" w:rsidP="00FF7E57">
            <w:pPr>
              <w:tabs>
                <w:tab w:val="left" w:pos="510"/>
              </w:tabs>
              <w:jc w:val="both"/>
              <w:rPr>
                <w:lang w:val="lt-LT"/>
              </w:rPr>
            </w:pPr>
            <w:r w:rsidRPr="00BB43E3">
              <w:rPr>
                <w:lang w:val="lt-LT"/>
              </w:rPr>
              <w:t>Vadov</w:t>
            </w:r>
            <w:r>
              <w:rPr>
                <w:lang w:val="lt-LT"/>
              </w:rPr>
              <w:t xml:space="preserve">ybė </w:t>
            </w:r>
            <w:r w:rsidRPr="00BB43E3">
              <w:rPr>
                <w:lang w:val="lt-LT"/>
              </w:rPr>
              <w:t xml:space="preserve">neatskiria asmeninių ir verslo </w:t>
            </w:r>
            <w:r>
              <w:rPr>
                <w:lang w:val="lt-LT"/>
              </w:rPr>
              <w:t>interesų</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6157A1">
        <w:trPr>
          <w:cantSplit/>
          <w:trHeight w:val="511"/>
        </w:trPr>
        <w:tc>
          <w:tcPr>
            <w:tcW w:w="1101" w:type="dxa"/>
            <w:vMerge/>
          </w:tcPr>
          <w:p w:rsidR="00FF7E57" w:rsidRPr="00292728" w:rsidRDefault="00FF7E57" w:rsidP="00FF7E57">
            <w:pPr>
              <w:pStyle w:val="Heading3"/>
              <w:spacing w:before="0" w:after="0"/>
              <w:rPr>
                <w:lang w:val="lt-LT"/>
              </w:rPr>
            </w:pPr>
          </w:p>
        </w:tc>
        <w:tc>
          <w:tcPr>
            <w:tcW w:w="3827" w:type="dxa"/>
          </w:tcPr>
          <w:p w:rsidR="00FF7E57" w:rsidRPr="004273CC" w:rsidRDefault="00FF7E57" w:rsidP="00FF7E57">
            <w:pPr>
              <w:tabs>
                <w:tab w:val="left" w:pos="510"/>
              </w:tabs>
              <w:jc w:val="both"/>
              <w:rPr>
                <w:lang w:val="lt-LT"/>
              </w:rPr>
            </w:pPr>
            <w:r w:rsidRPr="00BB43E3">
              <w:rPr>
                <w:lang w:val="lt-LT"/>
              </w:rPr>
              <w:t xml:space="preserve">Įmonė </w:t>
            </w:r>
            <w:r>
              <w:rPr>
                <w:lang w:val="lt-LT"/>
              </w:rPr>
              <w:t xml:space="preserve">nesistengia laikytis veiklą reglamentuojančių įstatymų, laiku nesumoka išieškotų už pažeidimus sumų </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6157A1">
        <w:trPr>
          <w:cantSplit/>
        </w:trPr>
        <w:tc>
          <w:tcPr>
            <w:tcW w:w="1101" w:type="dxa"/>
            <w:vMerge/>
          </w:tcPr>
          <w:p w:rsidR="00FF7E57" w:rsidRPr="00292728" w:rsidRDefault="00FF7E57" w:rsidP="00FF7E57">
            <w:pPr>
              <w:pStyle w:val="Heading3"/>
              <w:spacing w:before="0" w:after="0"/>
              <w:rPr>
                <w:lang w:val="lt-LT"/>
              </w:rPr>
            </w:pPr>
          </w:p>
        </w:tc>
        <w:tc>
          <w:tcPr>
            <w:tcW w:w="3827" w:type="dxa"/>
          </w:tcPr>
          <w:p w:rsidR="00FF7E57" w:rsidRPr="000D1264" w:rsidRDefault="00FF7E57" w:rsidP="00FF7E57">
            <w:pPr>
              <w:tabs>
                <w:tab w:val="left" w:pos="510"/>
              </w:tabs>
              <w:jc w:val="both"/>
              <w:rPr>
                <w:lang w:val="lt-LT"/>
              </w:rPr>
            </w:pPr>
            <w:r>
              <w:rPr>
                <w:lang w:val="lt-LT"/>
              </w:rPr>
              <w:t>Vadovybės a</w:t>
            </w:r>
            <w:r w:rsidRPr="000D1264">
              <w:rPr>
                <w:lang w:val="lt-LT"/>
              </w:rPr>
              <w:t>ktyvus užsibrėžtų tikslų</w:t>
            </w:r>
            <w:r>
              <w:rPr>
                <w:lang w:val="lt-LT"/>
              </w:rPr>
              <w:t xml:space="preserve"> siekimas/</w:t>
            </w:r>
            <w:r w:rsidRPr="00BB43E3">
              <w:rPr>
                <w:lang w:val="lt-LT"/>
              </w:rPr>
              <w:t>nereali</w:t>
            </w:r>
            <w:r>
              <w:rPr>
                <w:lang w:val="lt-LT"/>
              </w:rPr>
              <w:t>ų</w:t>
            </w:r>
            <w:r w:rsidRPr="00BB43E3">
              <w:rPr>
                <w:lang w:val="lt-LT"/>
              </w:rPr>
              <w:t xml:space="preserve"> plan</w:t>
            </w:r>
            <w:r>
              <w:rPr>
                <w:lang w:val="lt-LT"/>
              </w:rPr>
              <w:t>ų įgyvendinimas</w:t>
            </w:r>
          </w:p>
        </w:tc>
        <w:tc>
          <w:tcPr>
            <w:tcW w:w="1134" w:type="dxa"/>
          </w:tcPr>
          <w:p w:rsidR="00FF7E57" w:rsidRPr="00BB5376" w:rsidRDefault="00FF7E57" w:rsidP="00FF7E57">
            <w:pPr>
              <w:tabs>
                <w:tab w:val="left" w:pos="510"/>
              </w:tabs>
              <w:jc w:val="center"/>
              <w:rPr>
                <w:b/>
                <w:lang w:val="lt-LT"/>
              </w:rPr>
            </w:pPr>
            <w:r>
              <w:rPr>
                <w:b/>
                <w:lang w:val="lt-LT"/>
              </w:rPr>
              <w:t>4</w:t>
            </w:r>
          </w:p>
        </w:tc>
        <w:tc>
          <w:tcPr>
            <w:tcW w:w="850" w:type="dxa"/>
          </w:tcPr>
          <w:p w:rsidR="00FF7E57" w:rsidRPr="00BB5376" w:rsidRDefault="00FF7E57" w:rsidP="00FF7E57">
            <w:pPr>
              <w:tabs>
                <w:tab w:val="left" w:pos="510"/>
              </w:tabs>
              <w:jc w:val="center"/>
              <w:rPr>
                <w:b/>
                <w:lang w:val="lt-LT"/>
              </w:rPr>
            </w:pPr>
            <w:r w:rsidRPr="00BB5376">
              <w:rPr>
                <w:b/>
                <w:lang w:val="lt-LT"/>
              </w:rPr>
              <w:t>5</w:t>
            </w:r>
          </w:p>
        </w:tc>
        <w:tc>
          <w:tcPr>
            <w:tcW w:w="1134" w:type="dxa"/>
          </w:tcPr>
          <w:p w:rsidR="00FF7E57" w:rsidRPr="00BB5376" w:rsidRDefault="00FF7E57" w:rsidP="00FF7E57">
            <w:pPr>
              <w:tabs>
                <w:tab w:val="left" w:pos="510"/>
              </w:tabs>
              <w:jc w:val="center"/>
              <w:rPr>
                <w:b/>
                <w:lang w:val="lt-LT"/>
              </w:rPr>
            </w:pPr>
            <w:r>
              <w:rPr>
                <w:b/>
                <w:lang w:val="lt-LT"/>
              </w:rPr>
              <w:t>20</w:t>
            </w:r>
          </w:p>
        </w:tc>
        <w:tc>
          <w:tcPr>
            <w:tcW w:w="1276" w:type="dxa"/>
          </w:tcPr>
          <w:p w:rsidR="00FF7E57" w:rsidRPr="004273CC" w:rsidRDefault="00FF7E57" w:rsidP="00FF7E57">
            <w:pPr>
              <w:tabs>
                <w:tab w:val="left" w:pos="510"/>
              </w:tabs>
              <w:jc w:val="both"/>
              <w:rPr>
                <w:lang w:val="lt-LT"/>
              </w:rPr>
            </w:pPr>
            <w:r>
              <w:rPr>
                <w:lang w:val="lt-LT"/>
              </w:rPr>
              <w:t>t. p.</w:t>
            </w:r>
          </w:p>
        </w:tc>
        <w:tc>
          <w:tcPr>
            <w:tcW w:w="1134" w:type="dxa"/>
          </w:tcPr>
          <w:p w:rsidR="00FF7E57" w:rsidRPr="00CF459A" w:rsidRDefault="00FF7E57" w:rsidP="00FF7E57">
            <w:pPr>
              <w:tabs>
                <w:tab w:val="left" w:pos="510"/>
              </w:tabs>
              <w:jc w:val="center"/>
              <w:rPr>
                <w:b/>
                <w:lang w:val="lt-LT"/>
              </w:rPr>
            </w:pPr>
            <w:r w:rsidRPr="00CF459A">
              <w:rPr>
                <w:b/>
                <w:lang w:val="lt-LT"/>
              </w:rPr>
              <w:t>3</w:t>
            </w:r>
          </w:p>
        </w:tc>
        <w:tc>
          <w:tcPr>
            <w:tcW w:w="992" w:type="dxa"/>
          </w:tcPr>
          <w:p w:rsidR="00FF7E57" w:rsidRPr="00CF459A" w:rsidRDefault="00FF7E57" w:rsidP="00FF7E57">
            <w:pPr>
              <w:tabs>
                <w:tab w:val="left" w:pos="510"/>
              </w:tabs>
              <w:jc w:val="center"/>
              <w:rPr>
                <w:b/>
                <w:lang w:val="lt-LT"/>
              </w:rPr>
            </w:pPr>
            <w:r>
              <w:rPr>
                <w:b/>
                <w:lang w:val="lt-LT"/>
              </w:rPr>
              <w:t>4</w:t>
            </w:r>
          </w:p>
        </w:tc>
        <w:tc>
          <w:tcPr>
            <w:tcW w:w="1134" w:type="dxa"/>
          </w:tcPr>
          <w:p w:rsidR="00FF7E57" w:rsidRPr="00CF459A" w:rsidRDefault="00FF7E57" w:rsidP="00FF7E57">
            <w:pPr>
              <w:tabs>
                <w:tab w:val="left" w:pos="510"/>
              </w:tabs>
              <w:jc w:val="center"/>
              <w:rPr>
                <w:b/>
                <w:lang w:val="lt-LT"/>
              </w:rPr>
            </w:pPr>
            <w:r w:rsidRPr="00CF459A">
              <w:rPr>
                <w:b/>
                <w:lang w:val="lt-LT"/>
              </w:rPr>
              <w:t>1</w:t>
            </w:r>
            <w:r>
              <w:rPr>
                <w:b/>
                <w:lang w:val="lt-LT"/>
              </w:rPr>
              <w:t>2</w:t>
            </w:r>
          </w:p>
        </w:tc>
        <w:tc>
          <w:tcPr>
            <w:tcW w:w="1418" w:type="dxa"/>
          </w:tcPr>
          <w:p w:rsidR="00FF7E57" w:rsidRPr="004273CC" w:rsidRDefault="00FF7E57" w:rsidP="00FF7E57">
            <w:pPr>
              <w:tabs>
                <w:tab w:val="left" w:pos="510"/>
              </w:tabs>
              <w:jc w:val="both"/>
              <w:rPr>
                <w:lang w:val="lt-LT"/>
              </w:rPr>
            </w:pPr>
            <w:r>
              <w:rPr>
                <w:lang w:val="lt-LT"/>
              </w:rPr>
              <w:t>t. p.</w:t>
            </w:r>
          </w:p>
        </w:tc>
      </w:tr>
      <w:tr w:rsidR="00FF7E57" w:rsidRPr="004273CC" w:rsidTr="006157A1">
        <w:trPr>
          <w:cantSplit/>
        </w:trPr>
        <w:tc>
          <w:tcPr>
            <w:tcW w:w="1101" w:type="dxa"/>
            <w:vMerge/>
          </w:tcPr>
          <w:p w:rsidR="00FF7E57" w:rsidRPr="00292728" w:rsidRDefault="00FF7E57" w:rsidP="00FF7E57">
            <w:pPr>
              <w:pStyle w:val="Heading3"/>
              <w:spacing w:before="0" w:after="0"/>
              <w:rPr>
                <w:lang w:val="lt-LT"/>
              </w:rPr>
            </w:pPr>
          </w:p>
        </w:tc>
        <w:tc>
          <w:tcPr>
            <w:tcW w:w="3827" w:type="dxa"/>
          </w:tcPr>
          <w:p w:rsidR="00FF7E57" w:rsidRPr="004273CC" w:rsidRDefault="00FF7E57" w:rsidP="00FF7E57">
            <w:pPr>
              <w:tabs>
                <w:tab w:val="left" w:pos="510"/>
              </w:tabs>
              <w:jc w:val="both"/>
              <w:rPr>
                <w:lang w:val="lt-LT"/>
              </w:rPr>
            </w:pPr>
            <w:r>
              <w:rPr>
                <w:lang w:val="lt-LT"/>
              </w:rPr>
              <w:t xml:space="preserve">Tendencinga </w:t>
            </w:r>
            <w:r w:rsidRPr="00BB43E3">
              <w:rPr>
                <w:lang w:val="lt-LT"/>
              </w:rPr>
              <w:t>apskait</w:t>
            </w:r>
            <w:r>
              <w:rPr>
                <w:lang w:val="lt-LT"/>
              </w:rPr>
              <w:t xml:space="preserve">os politika grindžiama </w:t>
            </w:r>
            <w:r w:rsidRPr="00BB43E3">
              <w:rPr>
                <w:lang w:val="lt-LT"/>
              </w:rPr>
              <w:t>reikšmingum</w:t>
            </w:r>
            <w:r>
              <w:rPr>
                <w:lang w:val="lt-LT"/>
              </w:rPr>
              <w:t>o principu</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6157A1">
        <w:trPr>
          <w:cantSplit/>
        </w:trPr>
        <w:tc>
          <w:tcPr>
            <w:tcW w:w="1101" w:type="dxa"/>
            <w:vMerge/>
          </w:tcPr>
          <w:p w:rsidR="00FF7E57" w:rsidRPr="00292728" w:rsidRDefault="00FF7E57" w:rsidP="00FF7E57">
            <w:pPr>
              <w:pStyle w:val="Heading3"/>
              <w:spacing w:before="0" w:after="0"/>
              <w:rPr>
                <w:lang w:val="lt-LT"/>
              </w:rPr>
            </w:pPr>
          </w:p>
        </w:tc>
        <w:tc>
          <w:tcPr>
            <w:tcW w:w="3827" w:type="dxa"/>
          </w:tcPr>
          <w:p w:rsidR="00FF7E57" w:rsidRPr="004273CC" w:rsidRDefault="00FF7E57" w:rsidP="00FF7E57">
            <w:pPr>
              <w:tabs>
                <w:tab w:val="left" w:pos="510"/>
              </w:tabs>
              <w:jc w:val="both"/>
              <w:rPr>
                <w:lang w:val="lt-LT"/>
              </w:rPr>
            </w:pPr>
            <w:r w:rsidRPr="00BB43E3">
              <w:rPr>
                <w:lang w:val="lt-LT"/>
              </w:rPr>
              <w:t>Poreikio stebėti arba mažinti riziką, susijusią neteisėtu turto pasisavinimu, nepaisymas</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6157A1">
        <w:trPr>
          <w:cantSplit/>
        </w:trPr>
        <w:tc>
          <w:tcPr>
            <w:tcW w:w="1101" w:type="dxa"/>
            <w:vMerge/>
          </w:tcPr>
          <w:p w:rsidR="00FF7E57" w:rsidRPr="00292728" w:rsidRDefault="00FF7E57" w:rsidP="00FF7E57">
            <w:pPr>
              <w:pStyle w:val="Heading3"/>
              <w:spacing w:before="0" w:after="0"/>
              <w:rPr>
                <w:lang w:val="lt-LT"/>
              </w:rPr>
            </w:pPr>
          </w:p>
        </w:tc>
        <w:tc>
          <w:tcPr>
            <w:tcW w:w="3827" w:type="dxa"/>
          </w:tcPr>
          <w:p w:rsidR="00FF7E57" w:rsidRDefault="00FF7E57" w:rsidP="00FF7E57">
            <w:pPr>
              <w:tabs>
                <w:tab w:val="left" w:pos="510"/>
              </w:tabs>
              <w:jc w:val="both"/>
              <w:rPr>
                <w:lang w:val="lt-LT"/>
              </w:rPr>
            </w:pPr>
            <w:r>
              <w:rPr>
                <w:lang w:val="lt-LT"/>
              </w:rPr>
              <w:t>T</w:t>
            </w:r>
            <w:r w:rsidRPr="00BB43E3">
              <w:rPr>
                <w:lang w:val="lt-LT"/>
              </w:rPr>
              <w:t>aikomos vidaus kontrolės</w:t>
            </w:r>
            <w:r>
              <w:rPr>
                <w:lang w:val="lt-LT"/>
              </w:rPr>
              <w:t xml:space="preserve"> sistemos</w:t>
            </w:r>
            <w:r w:rsidRPr="00BB43E3">
              <w:rPr>
                <w:lang w:val="lt-LT"/>
              </w:rPr>
              <w:t xml:space="preserve"> ignoravimas</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6157A1">
        <w:trPr>
          <w:cantSplit/>
          <w:trHeight w:val="347"/>
        </w:trPr>
        <w:tc>
          <w:tcPr>
            <w:tcW w:w="1101" w:type="dxa"/>
            <w:vMerge/>
          </w:tcPr>
          <w:p w:rsidR="00FF7E57" w:rsidRPr="00292728" w:rsidRDefault="00FF7E57" w:rsidP="00FF7E57">
            <w:pPr>
              <w:pStyle w:val="Heading3"/>
              <w:spacing w:before="0" w:after="0"/>
              <w:rPr>
                <w:lang w:val="lt-LT"/>
              </w:rPr>
            </w:pPr>
          </w:p>
        </w:tc>
        <w:tc>
          <w:tcPr>
            <w:tcW w:w="3827" w:type="dxa"/>
          </w:tcPr>
          <w:p w:rsidR="00FF7E57" w:rsidRDefault="00FF7E57" w:rsidP="00FF7E57">
            <w:pPr>
              <w:tabs>
                <w:tab w:val="left" w:pos="510"/>
              </w:tabs>
              <w:jc w:val="both"/>
              <w:rPr>
                <w:lang w:val="lt-LT"/>
              </w:rPr>
            </w:pPr>
            <w:r>
              <w:rPr>
                <w:lang w:val="lt-LT"/>
              </w:rPr>
              <w:t>Nusižengimų įmonės tvarkai ar s</w:t>
            </w:r>
            <w:r w:rsidRPr="00BB43E3">
              <w:rPr>
                <w:lang w:val="lt-LT"/>
              </w:rPr>
              <w:t>mulkių vagysčių toleravimas</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FF7E57" w:rsidRPr="004273CC" w:rsidTr="006157A1">
        <w:trPr>
          <w:cantSplit/>
        </w:trPr>
        <w:tc>
          <w:tcPr>
            <w:tcW w:w="1101" w:type="dxa"/>
            <w:vMerge/>
          </w:tcPr>
          <w:p w:rsidR="00FF7E57" w:rsidRPr="00292728" w:rsidRDefault="00FF7E57" w:rsidP="00FF7E57">
            <w:pPr>
              <w:pStyle w:val="Heading3"/>
              <w:spacing w:before="0" w:after="0"/>
              <w:rPr>
                <w:lang w:val="lt-LT"/>
              </w:rPr>
            </w:pPr>
          </w:p>
        </w:tc>
        <w:tc>
          <w:tcPr>
            <w:tcW w:w="3827" w:type="dxa"/>
          </w:tcPr>
          <w:p w:rsidR="00FF7E57" w:rsidRDefault="00FF7E57" w:rsidP="00FF7E57">
            <w:pPr>
              <w:tabs>
                <w:tab w:val="left" w:pos="510"/>
              </w:tabs>
              <w:jc w:val="both"/>
              <w:rPr>
                <w:lang w:val="lt-LT"/>
              </w:rPr>
            </w:pPr>
            <w:r>
              <w:rPr>
                <w:lang w:val="lt-LT"/>
              </w:rPr>
              <w:t>...</w:t>
            </w:r>
          </w:p>
        </w:tc>
        <w:tc>
          <w:tcPr>
            <w:tcW w:w="1134" w:type="dxa"/>
          </w:tcPr>
          <w:p w:rsidR="00FF7E57" w:rsidRPr="004273CC" w:rsidRDefault="00FF7E57" w:rsidP="00FF7E57">
            <w:pPr>
              <w:tabs>
                <w:tab w:val="left" w:pos="510"/>
              </w:tabs>
              <w:jc w:val="both"/>
              <w:rPr>
                <w:lang w:val="lt-LT"/>
              </w:rPr>
            </w:pPr>
          </w:p>
        </w:tc>
        <w:tc>
          <w:tcPr>
            <w:tcW w:w="850"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276"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992" w:type="dxa"/>
          </w:tcPr>
          <w:p w:rsidR="00FF7E57" w:rsidRPr="004273CC" w:rsidRDefault="00FF7E57" w:rsidP="00FF7E57">
            <w:pPr>
              <w:tabs>
                <w:tab w:val="left" w:pos="510"/>
              </w:tabs>
              <w:jc w:val="both"/>
              <w:rPr>
                <w:lang w:val="lt-LT"/>
              </w:rPr>
            </w:pPr>
          </w:p>
        </w:tc>
        <w:tc>
          <w:tcPr>
            <w:tcW w:w="1134" w:type="dxa"/>
          </w:tcPr>
          <w:p w:rsidR="00FF7E57" w:rsidRPr="004273CC" w:rsidRDefault="00FF7E57" w:rsidP="00FF7E57">
            <w:pPr>
              <w:tabs>
                <w:tab w:val="left" w:pos="510"/>
              </w:tabs>
              <w:jc w:val="both"/>
              <w:rPr>
                <w:lang w:val="lt-LT"/>
              </w:rPr>
            </w:pPr>
          </w:p>
        </w:tc>
        <w:tc>
          <w:tcPr>
            <w:tcW w:w="1418" w:type="dxa"/>
          </w:tcPr>
          <w:p w:rsidR="00FF7E57" w:rsidRPr="004273CC" w:rsidRDefault="00FF7E57" w:rsidP="00FF7E57">
            <w:pPr>
              <w:tabs>
                <w:tab w:val="left" w:pos="510"/>
              </w:tabs>
              <w:jc w:val="both"/>
              <w:rPr>
                <w:lang w:val="lt-LT"/>
              </w:rPr>
            </w:pPr>
          </w:p>
        </w:tc>
      </w:tr>
      <w:tr w:rsidR="006157A1" w:rsidRPr="004273CC" w:rsidTr="006157A1">
        <w:trPr>
          <w:cantSplit/>
        </w:trPr>
        <w:tc>
          <w:tcPr>
            <w:tcW w:w="4928" w:type="dxa"/>
            <w:gridSpan w:val="2"/>
            <w:vMerge w:val="restart"/>
            <w:vAlign w:val="center"/>
          </w:tcPr>
          <w:p w:rsidR="006157A1" w:rsidRPr="004273CC" w:rsidRDefault="006157A1" w:rsidP="008E4A5A">
            <w:pPr>
              <w:tabs>
                <w:tab w:val="left" w:pos="510"/>
              </w:tabs>
              <w:jc w:val="center"/>
              <w:rPr>
                <w:lang w:val="lt-LT"/>
              </w:rPr>
            </w:pPr>
            <w:r w:rsidRPr="00292728">
              <w:rPr>
                <w:b/>
                <w:lang w:val="lt-LT"/>
              </w:rPr>
              <w:lastRenderedPageBreak/>
              <w:t>Įmonės išorė</w:t>
            </w:r>
            <w:r w:rsidR="008E4A5A">
              <w:rPr>
                <w:b/>
                <w:lang w:val="lt-LT"/>
              </w:rPr>
              <w:t>s</w:t>
            </w:r>
            <w:r w:rsidRPr="00292728">
              <w:rPr>
                <w:b/>
                <w:lang w:val="lt-LT"/>
              </w:rPr>
              <w:t xml:space="preserve"> ar vid</w:t>
            </w:r>
            <w:r w:rsidR="008E4A5A">
              <w:rPr>
                <w:b/>
                <w:lang w:val="lt-LT"/>
              </w:rPr>
              <w:t>aus a</w:t>
            </w:r>
            <w:r w:rsidRPr="00292728">
              <w:rPr>
                <w:b/>
                <w:lang w:val="lt-LT"/>
              </w:rPr>
              <w:t>plinka</w:t>
            </w:r>
          </w:p>
        </w:tc>
        <w:tc>
          <w:tcPr>
            <w:tcW w:w="4394" w:type="dxa"/>
            <w:gridSpan w:val="4"/>
          </w:tcPr>
          <w:p w:rsidR="006157A1" w:rsidRPr="004273CC" w:rsidRDefault="006157A1" w:rsidP="006157A1">
            <w:pPr>
              <w:tabs>
                <w:tab w:val="left" w:pos="510"/>
              </w:tabs>
              <w:jc w:val="center"/>
              <w:rPr>
                <w:lang w:val="lt-LT"/>
              </w:rPr>
            </w:pPr>
            <w:r>
              <w:rPr>
                <w:b/>
                <w:lang w:val="lt-LT"/>
              </w:rPr>
              <w:t>UAB „Šiluma“</w:t>
            </w:r>
          </w:p>
        </w:tc>
        <w:tc>
          <w:tcPr>
            <w:tcW w:w="4678" w:type="dxa"/>
            <w:gridSpan w:val="4"/>
          </w:tcPr>
          <w:p w:rsidR="006157A1" w:rsidRPr="004273CC" w:rsidRDefault="006157A1" w:rsidP="006157A1">
            <w:pPr>
              <w:tabs>
                <w:tab w:val="left" w:pos="510"/>
              </w:tabs>
              <w:jc w:val="center"/>
              <w:rPr>
                <w:lang w:val="lt-LT"/>
              </w:rPr>
            </w:pPr>
            <w:r>
              <w:rPr>
                <w:b/>
                <w:lang w:val="lt-LT"/>
              </w:rPr>
              <w:t>UAB „Žuvila“</w:t>
            </w:r>
          </w:p>
        </w:tc>
      </w:tr>
      <w:tr w:rsidR="006157A1" w:rsidRPr="004273CC" w:rsidTr="006157A1">
        <w:trPr>
          <w:cantSplit/>
        </w:trPr>
        <w:tc>
          <w:tcPr>
            <w:tcW w:w="4928" w:type="dxa"/>
            <w:gridSpan w:val="2"/>
            <w:vMerge/>
            <w:vAlign w:val="center"/>
          </w:tcPr>
          <w:p w:rsidR="006157A1" w:rsidRPr="004273CC" w:rsidRDefault="006157A1" w:rsidP="006157A1">
            <w:pPr>
              <w:tabs>
                <w:tab w:val="left" w:pos="510"/>
              </w:tabs>
              <w:jc w:val="center"/>
              <w:rPr>
                <w:lang w:val="lt-LT"/>
              </w:rPr>
            </w:pPr>
          </w:p>
        </w:tc>
        <w:tc>
          <w:tcPr>
            <w:tcW w:w="3118" w:type="dxa"/>
            <w:gridSpan w:val="3"/>
            <w:vAlign w:val="center"/>
          </w:tcPr>
          <w:p w:rsidR="006157A1" w:rsidRPr="004273CC" w:rsidRDefault="006157A1" w:rsidP="006157A1">
            <w:pPr>
              <w:tabs>
                <w:tab w:val="left" w:pos="510"/>
              </w:tabs>
              <w:jc w:val="center"/>
              <w:rPr>
                <w:lang w:val="lt-LT"/>
              </w:rPr>
            </w:pPr>
            <w:r w:rsidRPr="004273CC">
              <w:rPr>
                <w:b/>
                <w:lang w:val="lt-LT"/>
              </w:rPr>
              <w:t>Rizikos vertinimas</w:t>
            </w:r>
          </w:p>
        </w:tc>
        <w:tc>
          <w:tcPr>
            <w:tcW w:w="1276" w:type="dxa"/>
            <w:vMerge w:val="restart"/>
            <w:vAlign w:val="center"/>
          </w:tcPr>
          <w:p w:rsidR="006157A1" w:rsidRPr="004273CC" w:rsidRDefault="006157A1" w:rsidP="006157A1">
            <w:pPr>
              <w:tabs>
                <w:tab w:val="left" w:pos="510"/>
              </w:tabs>
              <w:jc w:val="center"/>
              <w:rPr>
                <w:lang w:val="lt-LT"/>
              </w:rPr>
            </w:pPr>
            <w:r w:rsidRPr="004273CC">
              <w:rPr>
                <w:b/>
                <w:lang w:val="lt-LT"/>
              </w:rPr>
              <w:t>Pastabos</w:t>
            </w:r>
          </w:p>
        </w:tc>
        <w:tc>
          <w:tcPr>
            <w:tcW w:w="3260" w:type="dxa"/>
            <w:gridSpan w:val="3"/>
          </w:tcPr>
          <w:p w:rsidR="006157A1" w:rsidRPr="004273CC" w:rsidRDefault="006157A1" w:rsidP="006157A1">
            <w:pPr>
              <w:tabs>
                <w:tab w:val="left" w:pos="510"/>
              </w:tabs>
              <w:jc w:val="center"/>
              <w:rPr>
                <w:lang w:val="lt-LT"/>
              </w:rPr>
            </w:pPr>
            <w:r w:rsidRPr="004273CC">
              <w:rPr>
                <w:b/>
                <w:lang w:val="lt-LT"/>
              </w:rPr>
              <w:t>Rizikos vertinimas</w:t>
            </w:r>
          </w:p>
        </w:tc>
        <w:tc>
          <w:tcPr>
            <w:tcW w:w="1418" w:type="dxa"/>
            <w:vMerge w:val="restart"/>
            <w:vAlign w:val="center"/>
          </w:tcPr>
          <w:p w:rsidR="006157A1" w:rsidRPr="004273CC" w:rsidRDefault="006157A1" w:rsidP="006157A1">
            <w:pPr>
              <w:tabs>
                <w:tab w:val="left" w:pos="510"/>
              </w:tabs>
              <w:jc w:val="center"/>
              <w:rPr>
                <w:lang w:val="lt-LT"/>
              </w:rPr>
            </w:pPr>
            <w:r w:rsidRPr="004273CC">
              <w:rPr>
                <w:b/>
                <w:lang w:val="lt-LT"/>
              </w:rPr>
              <w:t>Pastabos</w:t>
            </w:r>
          </w:p>
        </w:tc>
      </w:tr>
      <w:tr w:rsidR="006157A1" w:rsidRPr="004273CC" w:rsidTr="006157A1">
        <w:trPr>
          <w:cantSplit/>
        </w:trPr>
        <w:tc>
          <w:tcPr>
            <w:tcW w:w="1101" w:type="dxa"/>
          </w:tcPr>
          <w:p w:rsidR="006157A1" w:rsidRPr="00292728" w:rsidRDefault="006157A1" w:rsidP="006157A1">
            <w:pPr>
              <w:tabs>
                <w:tab w:val="left" w:pos="510"/>
              </w:tabs>
              <w:jc w:val="center"/>
              <w:rPr>
                <w:b/>
                <w:lang w:val="lt-LT"/>
              </w:rPr>
            </w:pPr>
            <w:r w:rsidRPr="00292728">
              <w:rPr>
                <w:b/>
                <w:lang w:val="lt-LT"/>
              </w:rPr>
              <w:t>Sąlygos</w:t>
            </w:r>
          </w:p>
        </w:tc>
        <w:tc>
          <w:tcPr>
            <w:tcW w:w="3827" w:type="dxa"/>
            <w:vAlign w:val="center"/>
          </w:tcPr>
          <w:p w:rsidR="006157A1" w:rsidRPr="004273CC" w:rsidRDefault="006157A1" w:rsidP="006157A1">
            <w:pPr>
              <w:tabs>
                <w:tab w:val="left" w:pos="510"/>
              </w:tabs>
              <w:jc w:val="center"/>
              <w:rPr>
                <w:b/>
                <w:lang w:val="lt-LT"/>
              </w:rPr>
            </w:pPr>
            <w:r w:rsidRPr="004273CC">
              <w:rPr>
                <w:b/>
                <w:lang w:val="lt-LT"/>
              </w:rPr>
              <w:t>Veiksniai</w:t>
            </w:r>
          </w:p>
        </w:tc>
        <w:tc>
          <w:tcPr>
            <w:tcW w:w="1134" w:type="dxa"/>
            <w:vAlign w:val="center"/>
          </w:tcPr>
          <w:p w:rsidR="006157A1" w:rsidRPr="004273CC" w:rsidRDefault="006157A1" w:rsidP="006157A1">
            <w:pPr>
              <w:tabs>
                <w:tab w:val="left" w:pos="510"/>
              </w:tabs>
              <w:jc w:val="center"/>
              <w:rPr>
                <w:lang w:val="lt-LT"/>
              </w:rPr>
            </w:pPr>
            <w:r>
              <w:rPr>
                <w:lang w:val="lt-LT"/>
              </w:rPr>
              <w:t>Tikimybė</w:t>
            </w:r>
            <w:r w:rsidRPr="004273CC">
              <w:rPr>
                <w:lang w:val="lt-LT"/>
              </w:rPr>
              <w:t xml:space="preserve"> (1-5)</w:t>
            </w:r>
          </w:p>
        </w:tc>
        <w:tc>
          <w:tcPr>
            <w:tcW w:w="850" w:type="dxa"/>
            <w:vAlign w:val="center"/>
          </w:tcPr>
          <w:p w:rsidR="006157A1" w:rsidRPr="004273CC" w:rsidRDefault="006157A1" w:rsidP="006157A1">
            <w:pPr>
              <w:tabs>
                <w:tab w:val="left" w:pos="510"/>
              </w:tabs>
              <w:jc w:val="center"/>
              <w:rPr>
                <w:lang w:val="lt-LT"/>
              </w:rPr>
            </w:pPr>
            <w:r w:rsidRPr="004273CC">
              <w:rPr>
                <w:lang w:val="lt-LT"/>
              </w:rPr>
              <w:t>Įtaka</w:t>
            </w:r>
          </w:p>
          <w:p w:rsidR="006157A1" w:rsidRPr="004273CC" w:rsidRDefault="006157A1" w:rsidP="006157A1">
            <w:pPr>
              <w:tabs>
                <w:tab w:val="left" w:pos="510"/>
              </w:tabs>
              <w:jc w:val="center"/>
              <w:rPr>
                <w:lang w:val="lt-LT"/>
              </w:rPr>
            </w:pPr>
            <w:r w:rsidRPr="004273CC">
              <w:rPr>
                <w:lang w:val="lt-LT"/>
              </w:rPr>
              <w:t>(1-5)</w:t>
            </w:r>
          </w:p>
        </w:tc>
        <w:tc>
          <w:tcPr>
            <w:tcW w:w="1134" w:type="dxa"/>
            <w:vAlign w:val="center"/>
          </w:tcPr>
          <w:p w:rsidR="006157A1" w:rsidRPr="004273CC" w:rsidRDefault="006157A1" w:rsidP="006157A1">
            <w:pPr>
              <w:tabs>
                <w:tab w:val="left" w:pos="510"/>
              </w:tabs>
              <w:jc w:val="center"/>
              <w:rPr>
                <w:lang w:val="lt-LT"/>
              </w:rPr>
            </w:pPr>
            <w:r w:rsidRPr="004273CC">
              <w:rPr>
                <w:lang w:val="lt-LT"/>
              </w:rPr>
              <w:t>Tikimybė * Įtaka</w:t>
            </w:r>
          </w:p>
        </w:tc>
        <w:tc>
          <w:tcPr>
            <w:tcW w:w="1276" w:type="dxa"/>
            <w:vMerge/>
            <w:vAlign w:val="center"/>
          </w:tcPr>
          <w:p w:rsidR="006157A1" w:rsidRPr="004273CC" w:rsidRDefault="006157A1" w:rsidP="006157A1">
            <w:pPr>
              <w:tabs>
                <w:tab w:val="left" w:pos="510"/>
              </w:tabs>
              <w:jc w:val="center"/>
              <w:rPr>
                <w:b/>
                <w:lang w:val="lt-LT"/>
              </w:rPr>
            </w:pPr>
          </w:p>
        </w:tc>
        <w:tc>
          <w:tcPr>
            <w:tcW w:w="1134" w:type="dxa"/>
            <w:vAlign w:val="center"/>
          </w:tcPr>
          <w:p w:rsidR="006157A1" w:rsidRPr="004273CC" w:rsidRDefault="006157A1" w:rsidP="006157A1">
            <w:pPr>
              <w:tabs>
                <w:tab w:val="left" w:pos="510"/>
              </w:tabs>
              <w:jc w:val="center"/>
              <w:rPr>
                <w:lang w:val="lt-LT"/>
              </w:rPr>
            </w:pPr>
            <w:r>
              <w:rPr>
                <w:lang w:val="lt-LT"/>
              </w:rPr>
              <w:t>Tikimybė</w:t>
            </w:r>
            <w:r w:rsidRPr="004273CC">
              <w:rPr>
                <w:lang w:val="lt-LT"/>
              </w:rPr>
              <w:t xml:space="preserve"> (1-5)</w:t>
            </w:r>
          </w:p>
        </w:tc>
        <w:tc>
          <w:tcPr>
            <w:tcW w:w="992" w:type="dxa"/>
            <w:vAlign w:val="center"/>
          </w:tcPr>
          <w:p w:rsidR="006157A1" w:rsidRPr="004273CC" w:rsidRDefault="006157A1" w:rsidP="006157A1">
            <w:pPr>
              <w:tabs>
                <w:tab w:val="left" w:pos="510"/>
              </w:tabs>
              <w:jc w:val="center"/>
              <w:rPr>
                <w:lang w:val="lt-LT"/>
              </w:rPr>
            </w:pPr>
            <w:r w:rsidRPr="004273CC">
              <w:rPr>
                <w:lang w:val="lt-LT"/>
              </w:rPr>
              <w:t>Įtaka</w:t>
            </w:r>
          </w:p>
          <w:p w:rsidR="006157A1" w:rsidRPr="004273CC" w:rsidRDefault="006157A1" w:rsidP="006157A1">
            <w:pPr>
              <w:tabs>
                <w:tab w:val="left" w:pos="510"/>
              </w:tabs>
              <w:jc w:val="center"/>
              <w:rPr>
                <w:lang w:val="lt-LT"/>
              </w:rPr>
            </w:pPr>
            <w:r w:rsidRPr="004273CC">
              <w:rPr>
                <w:lang w:val="lt-LT"/>
              </w:rPr>
              <w:t>(1-5)</w:t>
            </w:r>
          </w:p>
        </w:tc>
        <w:tc>
          <w:tcPr>
            <w:tcW w:w="1134" w:type="dxa"/>
            <w:vAlign w:val="center"/>
          </w:tcPr>
          <w:p w:rsidR="006157A1" w:rsidRPr="004273CC" w:rsidRDefault="006157A1" w:rsidP="006157A1">
            <w:pPr>
              <w:tabs>
                <w:tab w:val="left" w:pos="510"/>
              </w:tabs>
              <w:jc w:val="center"/>
              <w:rPr>
                <w:lang w:val="lt-LT"/>
              </w:rPr>
            </w:pPr>
            <w:r w:rsidRPr="004273CC">
              <w:rPr>
                <w:lang w:val="lt-LT"/>
              </w:rPr>
              <w:t>Tikimybė * Įtaka</w:t>
            </w:r>
          </w:p>
        </w:tc>
        <w:tc>
          <w:tcPr>
            <w:tcW w:w="1418" w:type="dxa"/>
            <w:vMerge/>
            <w:vAlign w:val="center"/>
          </w:tcPr>
          <w:p w:rsidR="006157A1" w:rsidRPr="004273CC" w:rsidRDefault="006157A1" w:rsidP="006157A1">
            <w:pPr>
              <w:tabs>
                <w:tab w:val="left" w:pos="510"/>
              </w:tabs>
              <w:jc w:val="center"/>
              <w:rPr>
                <w:b/>
                <w:lang w:val="lt-LT"/>
              </w:rPr>
            </w:pPr>
          </w:p>
        </w:tc>
      </w:tr>
      <w:tr w:rsidR="006157A1" w:rsidRPr="004273CC" w:rsidTr="006157A1">
        <w:trPr>
          <w:cantSplit/>
        </w:trPr>
        <w:tc>
          <w:tcPr>
            <w:tcW w:w="1101" w:type="dxa"/>
            <w:vMerge w:val="restart"/>
            <w:textDirection w:val="btLr"/>
          </w:tcPr>
          <w:p w:rsidR="006157A1" w:rsidRPr="00292728" w:rsidRDefault="006157A1" w:rsidP="006157A1">
            <w:pPr>
              <w:ind w:left="113" w:right="113"/>
              <w:jc w:val="center"/>
              <w:rPr>
                <w:b/>
                <w:lang w:val="lt-LT"/>
              </w:rPr>
            </w:pPr>
            <w:r w:rsidRPr="00292728">
              <w:rPr>
                <w:b/>
                <w:lang w:val="lt-LT"/>
              </w:rPr>
              <w:t>4. Sugebėjimai</w:t>
            </w:r>
          </w:p>
        </w:tc>
        <w:tc>
          <w:tcPr>
            <w:tcW w:w="3827" w:type="dxa"/>
          </w:tcPr>
          <w:p w:rsidR="006157A1" w:rsidRPr="00BB43E3" w:rsidRDefault="006157A1" w:rsidP="006157A1">
            <w:pPr>
              <w:tabs>
                <w:tab w:val="left" w:pos="510"/>
              </w:tabs>
              <w:jc w:val="both"/>
              <w:rPr>
                <w:lang w:val="lt-LT"/>
              </w:rPr>
            </w:pPr>
            <w:r w:rsidRPr="00BB43E3">
              <w:rPr>
                <w:lang w:val="lt-LT"/>
              </w:rPr>
              <w:t xml:space="preserve">Praeityje </w:t>
            </w:r>
            <w:r>
              <w:rPr>
                <w:lang w:val="lt-LT"/>
              </w:rPr>
              <w:t>vadovybė</w:t>
            </w:r>
            <w:r w:rsidRPr="00BB43E3">
              <w:rPr>
                <w:lang w:val="lt-LT"/>
              </w:rPr>
              <w:t xml:space="preserve"> buvo pažeidusi </w:t>
            </w:r>
            <w:r>
              <w:rPr>
                <w:lang w:val="lt-LT"/>
              </w:rPr>
              <w:t xml:space="preserve">veiklą reglamentuojančius </w:t>
            </w:r>
            <w:r w:rsidRPr="00BB43E3">
              <w:rPr>
                <w:lang w:val="lt-LT"/>
              </w:rPr>
              <w:t>įstatymus ar</w:t>
            </w:r>
            <w:r>
              <w:rPr>
                <w:lang w:val="lt-LT"/>
              </w:rPr>
              <w:t xml:space="preserve"> </w:t>
            </w:r>
            <w:r w:rsidRPr="00BB43E3">
              <w:rPr>
                <w:lang w:val="lt-LT"/>
              </w:rPr>
              <w:t>kitus teisės aktus</w:t>
            </w:r>
          </w:p>
        </w:tc>
        <w:tc>
          <w:tcPr>
            <w:tcW w:w="1134" w:type="dxa"/>
          </w:tcPr>
          <w:p w:rsidR="006157A1" w:rsidRPr="004273CC" w:rsidRDefault="006157A1" w:rsidP="006157A1">
            <w:pPr>
              <w:tabs>
                <w:tab w:val="left" w:pos="510"/>
              </w:tabs>
              <w:jc w:val="both"/>
              <w:rPr>
                <w:lang w:val="lt-LT"/>
              </w:rPr>
            </w:pPr>
          </w:p>
        </w:tc>
        <w:tc>
          <w:tcPr>
            <w:tcW w:w="850" w:type="dxa"/>
          </w:tcPr>
          <w:p w:rsidR="006157A1" w:rsidRPr="004273CC" w:rsidRDefault="006157A1" w:rsidP="006157A1">
            <w:pPr>
              <w:tabs>
                <w:tab w:val="left" w:pos="510"/>
              </w:tabs>
              <w:jc w:val="both"/>
              <w:rPr>
                <w:lang w:val="lt-LT"/>
              </w:rPr>
            </w:pPr>
          </w:p>
        </w:tc>
        <w:tc>
          <w:tcPr>
            <w:tcW w:w="1134" w:type="dxa"/>
          </w:tcPr>
          <w:p w:rsidR="006157A1" w:rsidRPr="004273CC" w:rsidRDefault="006157A1" w:rsidP="006157A1">
            <w:pPr>
              <w:tabs>
                <w:tab w:val="left" w:pos="510"/>
              </w:tabs>
              <w:jc w:val="both"/>
              <w:rPr>
                <w:lang w:val="lt-LT"/>
              </w:rPr>
            </w:pPr>
          </w:p>
        </w:tc>
        <w:tc>
          <w:tcPr>
            <w:tcW w:w="1276" w:type="dxa"/>
          </w:tcPr>
          <w:p w:rsidR="006157A1" w:rsidRPr="004273CC" w:rsidRDefault="006157A1" w:rsidP="006157A1">
            <w:pPr>
              <w:tabs>
                <w:tab w:val="left" w:pos="510"/>
              </w:tabs>
              <w:jc w:val="both"/>
              <w:rPr>
                <w:lang w:val="lt-LT"/>
              </w:rPr>
            </w:pPr>
          </w:p>
        </w:tc>
        <w:tc>
          <w:tcPr>
            <w:tcW w:w="1134" w:type="dxa"/>
          </w:tcPr>
          <w:p w:rsidR="006157A1" w:rsidRPr="004273CC" w:rsidRDefault="006157A1" w:rsidP="006157A1">
            <w:pPr>
              <w:tabs>
                <w:tab w:val="left" w:pos="510"/>
              </w:tabs>
              <w:jc w:val="both"/>
              <w:rPr>
                <w:lang w:val="lt-LT"/>
              </w:rPr>
            </w:pPr>
          </w:p>
        </w:tc>
        <w:tc>
          <w:tcPr>
            <w:tcW w:w="992" w:type="dxa"/>
          </w:tcPr>
          <w:p w:rsidR="006157A1" w:rsidRPr="004273CC" w:rsidRDefault="006157A1" w:rsidP="006157A1">
            <w:pPr>
              <w:tabs>
                <w:tab w:val="left" w:pos="510"/>
              </w:tabs>
              <w:jc w:val="both"/>
              <w:rPr>
                <w:lang w:val="lt-LT"/>
              </w:rPr>
            </w:pPr>
          </w:p>
        </w:tc>
        <w:tc>
          <w:tcPr>
            <w:tcW w:w="1134" w:type="dxa"/>
          </w:tcPr>
          <w:p w:rsidR="006157A1" w:rsidRPr="004273CC" w:rsidRDefault="006157A1" w:rsidP="006157A1">
            <w:pPr>
              <w:tabs>
                <w:tab w:val="left" w:pos="510"/>
              </w:tabs>
              <w:jc w:val="both"/>
              <w:rPr>
                <w:lang w:val="lt-LT"/>
              </w:rPr>
            </w:pPr>
          </w:p>
        </w:tc>
        <w:tc>
          <w:tcPr>
            <w:tcW w:w="1418" w:type="dxa"/>
          </w:tcPr>
          <w:p w:rsidR="006157A1" w:rsidRPr="004273CC" w:rsidRDefault="006157A1" w:rsidP="006157A1">
            <w:pPr>
              <w:tabs>
                <w:tab w:val="left" w:pos="510"/>
              </w:tabs>
              <w:jc w:val="both"/>
              <w:rPr>
                <w:lang w:val="lt-LT"/>
              </w:rPr>
            </w:pPr>
          </w:p>
        </w:tc>
      </w:tr>
      <w:tr w:rsidR="006157A1" w:rsidRPr="004273CC" w:rsidTr="006157A1">
        <w:trPr>
          <w:cantSplit/>
        </w:trPr>
        <w:tc>
          <w:tcPr>
            <w:tcW w:w="1101" w:type="dxa"/>
            <w:vMerge/>
          </w:tcPr>
          <w:p w:rsidR="006157A1" w:rsidRPr="004273CC" w:rsidRDefault="006157A1" w:rsidP="006157A1">
            <w:pPr>
              <w:tabs>
                <w:tab w:val="left" w:pos="510"/>
              </w:tabs>
              <w:jc w:val="both"/>
              <w:rPr>
                <w:lang w:val="lt-LT"/>
              </w:rPr>
            </w:pPr>
          </w:p>
        </w:tc>
        <w:tc>
          <w:tcPr>
            <w:tcW w:w="3827" w:type="dxa"/>
          </w:tcPr>
          <w:p w:rsidR="006157A1" w:rsidRPr="004273CC" w:rsidRDefault="006157A1" w:rsidP="006157A1">
            <w:pPr>
              <w:tabs>
                <w:tab w:val="left" w:pos="510"/>
              </w:tabs>
              <w:jc w:val="both"/>
              <w:rPr>
                <w:lang w:val="lt-LT"/>
              </w:rPr>
            </w:pPr>
            <w:r>
              <w:rPr>
                <w:lang w:val="lt-LT"/>
              </w:rPr>
              <w:t>Anksčiau buvo vykdytos s</w:t>
            </w:r>
            <w:r w:rsidRPr="00BB43E3">
              <w:rPr>
                <w:lang w:val="lt-LT"/>
              </w:rPr>
              <w:t>mulki</w:t>
            </w:r>
            <w:r>
              <w:rPr>
                <w:lang w:val="lt-LT"/>
              </w:rPr>
              <w:t>os</w:t>
            </w:r>
            <w:r w:rsidRPr="00BB43E3">
              <w:rPr>
                <w:lang w:val="lt-LT"/>
              </w:rPr>
              <w:t xml:space="preserve"> vagys</w:t>
            </w:r>
            <w:r>
              <w:rPr>
                <w:lang w:val="lt-LT"/>
              </w:rPr>
              <w:t>tės, nusižengimai pasinaudojant vidaus kontrolės sistemos trūkumais</w:t>
            </w:r>
          </w:p>
        </w:tc>
        <w:tc>
          <w:tcPr>
            <w:tcW w:w="1134" w:type="dxa"/>
          </w:tcPr>
          <w:p w:rsidR="006157A1" w:rsidRPr="004273CC" w:rsidRDefault="006157A1" w:rsidP="006157A1">
            <w:pPr>
              <w:tabs>
                <w:tab w:val="left" w:pos="510"/>
              </w:tabs>
              <w:jc w:val="both"/>
              <w:rPr>
                <w:lang w:val="lt-LT"/>
              </w:rPr>
            </w:pPr>
          </w:p>
        </w:tc>
        <w:tc>
          <w:tcPr>
            <w:tcW w:w="850" w:type="dxa"/>
          </w:tcPr>
          <w:p w:rsidR="006157A1" w:rsidRPr="004273CC" w:rsidRDefault="006157A1" w:rsidP="006157A1">
            <w:pPr>
              <w:tabs>
                <w:tab w:val="left" w:pos="510"/>
              </w:tabs>
              <w:jc w:val="both"/>
              <w:rPr>
                <w:lang w:val="lt-LT"/>
              </w:rPr>
            </w:pPr>
          </w:p>
        </w:tc>
        <w:tc>
          <w:tcPr>
            <w:tcW w:w="1134" w:type="dxa"/>
          </w:tcPr>
          <w:p w:rsidR="006157A1" w:rsidRPr="004273CC" w:rsidRDefault="006157A1" w:rsidP="006157A1">
            <w:pPr>
              <w:tabs>
                <w:tab w:val="left" w:pos="510"/>
              </w:tabs>
              <w:jc w:val="both"/>
              <w:rPr>
                <w:lang w:val="lt-LT"/>
              </w:rPr>
            </w:pPr>
          </w:p>
        </w:tc>
        <w:tc>
          <w:tcPr>
            <w:tcW w:w="1276" w:type="dxa"/>
          </w:tcPr>
          <w:p w:rsidR="006157A1" w:rsidRPr="004273CC" w:rsidRDefault="006157A1" w:rsidP="006157A1">
            <w:pPr>
              <w:tabs>
                <w:tab w:val="left" w:pos="510"/>
              </w:tabs>
              <w:jc w:val="both"/>
              <w:rPr>
                <w:lang w:val="lt-LT"/>
              </w:rPr>
            </w:pPr>
          </w:p>
        </w:tc>
        <w:tc>
          <w:tcPr>
            <w:tcW w:w="1134" w:type="dxa"/>
          </w:tcPr>
          <w:p w:rsidR="006157A1" w:rsidRPr="004273CC" w:rsidRDefault="006157A1" w:rsidP="006157A1">
            <w:pPr>
              <w:tabs>
                <w:tab w:val="left" w:pos="510"/>
              </w:tabs>
              <w:jc w:val="both"/>
              <w:rPr>
                <w:lang w:val="lt-LT"/>
              </w:rPr>
            </w:pPr>
          </w:p>
        </w:tc>
        <w:tc>
          <w:tcPr>
            <w:tcW w:w="992" w:type="dxa"/>
          </w:tcPr>
          <w:p w:rsidR="006157A1" w:rsidRPr="004273CC" w:rsidRDefault="006157A1" w:rsidP="006157A1">
            <w:pPr>
              <w:tabs>
                <w:tab w:val="left" w:pos="510"/>
              </w:tabs>
              <w:jc w:val="both"/>
              <w:rPr>
                <w:lang w:val="lt-LT"/>
              </w:rPr>
            </w:pPr>
          </w:p>
        </w:tc>
        <w:tc>
          <w:tcPr>
            <w:tcW w:w="1134" w:type="dxa"/>
          </w:tcPr>
          <w:p w:rsidR="006157A1" w:rsidRPr="004273CC" w:rsidRDefault="006157A1" w:rsidP="006157A1">
            <w:pPr>
              <w:tabs>
                <w:tab w:val="left" w:pos="510"/>
              </w:tabs>
              <w:jc w:val="both"/>
              <w:rPr>
                <w:lang w:val="lt-LT"/>
              </w:rPr>
            </w:pPr>
          </w:p>
        </w:tc>
        <w:tc>
          <w:tcPr>
            <w:tcW w:w="1418" w:type="dxa"/>
          </w:tcPr>
          <w:p w:rsidR="006157A1" w:rsidRPr="004273CC" w:rsidRDefault="006157A1" w:rsidP="006157A1">
            <w:pPr>
              <w:tabs>
                <w:tab w:val="left" w:pos="510"/>
              </w:tabs>
              <w:jc w:val="both"/>
              <w:rPr>
                <w:lang w:val="lt-LT"/>
              </w:rPr>
            </w:pPr>
          </w:p>
        </w:tc>
      </w:tr>
      <w:tr w:rsidR="006157A1" w:rsidRPr="004273CC" w:rsidTr="006157A1">
        <w:trPr>
          <w:cantSplit/>
        </w:trPr>
        <w:tc>
          <w:tcPr>
            <w:tcW w:w="1101" w:type="dxa"/>
            <w:vMerge/>
          </w:tcPr>
          <w:p w:rsidR="006157A1" w:rsidRPr="004273CC" w:rsidRDefault="006157A1" w:rsidP="006157A1">
            <w:pPr>
              <w:tabs>
                <w:tab w:val="left" w:pos="510"/>
              </w:tabs>
              <w:jc w:val="both"/>
              <w:rPr>
                <w:lang w:val="lt-LT"/>
              </w:rPr>
            </w:pPr>
          </w:p>
        </w:tc>
        <w:tc>
          <w:tcPr>
            <w:tcW w:w="3827" w:type="dxa"/>
          </w:tcPr>
          <w:p w:rsidR="006157A1" w:rsidRDefault="006157A1" w:rsidP="006157A1">
            <w:pPr>
              <w:tabs>
                <w:tab w:val="left" w:pos="510"/>
              </w:tabs>
              <w:jc w:val="both"/>
              <w:rPr>
                <w:lang w:val="lt-LT"/>
              </w:rPr>
            </w:pPr>
            <w:r>
              <w:rPr>
                <w:lang w:val="lt-LT"/>
              </w:rPr>
              <w:t>Vadovybė turi reikiamus sugebėjimus apgaulei įvykdyti</w:t>
            </w:r>
          </w:p>
        </w:tc>
        <w:tc>
          <w:tcPr>
            <w:tcW w:w="1134" w:type="dxa"/>
          </w:tcPr>
          <w:p w:rsidR="006157A1" w:rsidRPr="00BB5376" w:rsidRDefault="006157A1" w:rsidP="006157A1">
            <w:pPr>
              <w:tabs>
                <w:tab w:val="left" w:pos="510"/>
              </w:tabs>
              <w:jc w:val="center"/>
              <w:rPr>
                <w:b/>
                <w:lang w:val="lt-LT"/>
              </w:rPr>
            </w:pPr>
            <w:r w:rsidRPr="00BB5376">
              <w:rPr>
                <w:b/>
                <w:lang w:val="lt-LT"/>
              </w:rPr>
              <w:t>1</w:t>
            </w:r>
          </w:p>
        </w:tc>
        <w:tc>
          <w:tcPr>
            <w:tcW w:w="850" w:type="dxa"/>
          </w:tcPr>
          <w:p w:rsidR="006157A1" w:rsidRPr="00BB5376" w:rsidRDefault="006157A1" w:rsidP="006157A1">
            <w:pPr>
              <w:tabs>
                <w:tab w:val="left" w:pos="510"/>
              </w:tabs>
              <w:jc w:val="center"/>
              <w:rPr>
                <w:b/>
                <w:lang w:val="lt-LT"/>
              </w:rPr>
            </w:pPr>
            <w:r w:rsidRPr="00BB5376">
              <w:rPr>
                <w:b/>
                <w:lang w:val="lt-LT"/>
              </w:rPr>
              <w:t>5</w:t>
            </w:r>
          </w:p>
        </w:tc>
        <w:tc>
          <w:tcPr>
            <w:tcW w:w="1134" w:type="dxa"/>
          </w:tcPr>
          <w:p w:rsidR="006157A1" w:rsidRPr="00BB5376" w:rsidRDefault="006157A1" w:rsidP="006157A1">
            <w:pPr>
              <w:tabs>
                <w:tab w:val="left" w:pos="510"/>
              </w:tabs>
              <w:jc w:val="center"/>
              <w:rPr>
                <w:b/>
                <w:lang w:val="lt-LT"/>
              </w:rPr>
            </w:pPr>
            <w:r w:rsidRPr="00BB5376">
              <w:rPr>
                <w:b/>
                <w:lang w:val="lt-LT"/>
              </w:rPr>
              <w:t>5</w:t>
            </w:r>
          </w:p>
        </w:tc>
        <w:tc>
          <w:tcPr>
            <w:tcW w:w="1276" w:type="dxa"/>
          </w:tcPr>
          <w:p w:rsidR="006157A1" w:rsidRPr="004273CC" w:rsidRDefault="006157A1" w:rsidP="006157A1">
            <w:pPr>
              <w:tabs>
                <w:tab w:val="left" w:pos="510"/>
              </w:tabs>
              <w:jc w:val="both"/>
              <w:rPr>
                <w:lang w:val="lt-LT"/>
              </w:rPr>
            </w:pPr>
            <w:r>
              <w:rPr>
                <w:lang w:val="lt-LT"/>
              </w:rPr>
              <w:t>t. p.</w:t>
            </w:r>
          </w:p>
        </w:tc>
        <w:tc>
          <w:tcPr>
            <w:tcW w:w="1134" w:type="dxa"/>
          </w:tcPr>
          <w:p w:rsidR="006157A1" w:rsidRPr="00CF459A" w:rsidRDefault="006157A1" w:rsidP="006157A1">
            <w:pPr>
              <w:tabs>
                <w:tab w:val="left" w:pos="510"/>
              </w:tabs>
              <w:jc w:val="center"/>
              <w:rPr>
                <w:b/>
                <w:lang w:val="lt-LT"/>
              </w:rPr>
            </w:pPr>
            <w:r w:rsidRPr="00CF459A">
              <w:rPr>
                <w:b/>
                <w:lang w:val="lt-LT"/>
              </w:rPr>
              <w:t>1</w:t>
            </w:r>
          </w:p>
        </w:tc>
        <w:tc>
          <w:tcPr>
            <w:tcW w:w="992" w:type="dxa"/>
          </w:tcPr>
          <w:p w:rsidR="006157A1" w:rsidRPr="00CF459A" w:rsidRDefault="006157A1" w:rsidP="006157A1">
            <w:pPr>
              <w:tabs>
                <w:tab w:val="left" w:pos="510"/>
              </w:tabs>
              <w:jc w:val="center"/>
              <w:rPr>
                <w:b/>
                <w:lang w:val="lt-LT"/>
              </w:rPr>
            </w:pPr>
            <w:r>
              <w:rPr>
                <w:b/>
                <w:lang w:val="lt-LT"/>
              </w:rPr>
              <w:t>4</w:t>
            </w:r>
          </w:p>
        </w:tc>
        <w:tc>
          <w:tcPr>
            <w:tcW w:w="1134" w:type="dxa"/>
          </w:tcPr>
          <w:p w:rsidR="006157A1" w:rsidRPr="00CF459A" w:rsidRDefault="006157A1" w:rsidP="006157A1">
            <w:pPr>
              <w:tabs>
                <w:tab w:val="left" w:pos="510"/>
              </w:tabs>
              <w:jc w:val="center"/>
              <w:rPr>
                <w:b/>
                <w:lang w:val="lt-LT"/>
              </w:rPr>
            </w:pPr>
            <w:r>
              <w:rPr>
                <w:b/>
                <w:lang w:val="lt-LT"/>
              </w:rPr>
              <w:t>4</w:t>
            </w:r>
          </w:p>
        </w:tc>
        <w:tc>
          <w:tcPr>
            <w:tcW w:w="1418" w:type="dxa"/>
          </w:tcPr>
          <w:p w:rsidR="006157A1" w:rsidRPr="004273CC" w:rsidRDefault="006157A1" w:rsidP="006157A1">
            <w:pPr>
              <w:tabs>
                <w:tab w:val="left" w:pos="510"/>
              </w:tabs>
              <w:jc w:val="both"/>
              <w:rPr>
                <w:lang w:val="lt-LT"/>
              </w:rPr>
            </w:pPr>
            <w:r>
              <w:rPr>
                <w:lang w:val="lt-LT"/>
              </w:rPr>
              <w:t>t. p.</w:t>
            </w:r>
          </w:p>
        </w:tc>
      </w:tr>
      <w:tr w:rsidR="006157A1" w:rsidRPr="004273CC" w:rsidTr="006157A1">
        <w:trPr>
          <w:cantSplit/>
          <w:trHeight w:val="271"/>
        </w:trPr>
        <w:tc>
          <w:tcPr>
            <w:tcW w:w="1101" w:type="dxa"/>
            <w:vMerge/>
          </w:tcPr>
          <w:p w:rsidR="006157A1" w:rsidRPr="004273CC" w:rsidRDefault="006157A1" w:rsidP="006157A1">
            <w:pPr>
              <w:tabs>
                <w:tab w:val="left" w:pos="510"/>
              </w:tabs>
              <w:jc w:val="both"/>
              <w:rPr>
                <w:lang w:val="lt-LT"/>
              </w:rPr>
            </w:pPr>
          </w:p>
        </w:tc>
        <w:tc>
          <w:tcPr>
            <w:tcW w:w="3827" w:type="dxa"/>
          </w:tcPr>
          <w:p w:rsidR="006157A1" w:rsidRPr="004273CC" w:rsidRDefault="006157A1" w:rsidP="006157A1">
            <w:pPr>
              <w:tabs>
                <w:tab w:val="left" w:pos="510"/>
              </w:tabs>
              <w:jc w:val="both"/>
              <w:rPr>
                <w:lang w:val="lt-LT"/>
              </w:rPr>
            </w:pPr>
            <w:r w:rsidRPr="004273CC">
              <w:rPr>
                <w:lang w:val="lt-LT"/>
              </w:rPr>
              <w:t>...</w:t>
            </w:r>
          </w:p>
        </w:tc>
        <w:tc>
          <w:tcPr>
            <w:tcW w:w="1134" w:type="dxa"/>
            <w:tcBorders>
              <w:bottom w:val="single" w:sz="4" w:space="0" w:color="auto"/>
            </w:tcBorders>
          </w:tcPr>
          <w:p w:rsidR="006157A1" w:rsidRPr="004273CC" w:rsidRDefault="006157A1" w:rsidP="006157A1">
            <w:pPr>
              <w:tabs>
                <w:tab w:val="left" w:pos="510"/>
              </w:tabs>
              <w:jc w:val="both"/>
              <w:rPr>
                <w:lang w:val="lt-LT"/>
              </w:rPr>
            </w:pPr>
          </w:p>
        </w:tc>
        <w:tc>
          <w:tcPr>
            <w:tcW w:w="850" w:type="dxa"/>
          </w:tcPr>
          <w:p w:rsidR="006157A1" w:rsidRPr="004273CC" w:rsidRDefault="006157A1" w:rsidP="006157A1">
            <w:pPr>
              <w:tabs>
                <w:tab w:val="left" w:pos="510"/>
              </w:tabs>
              <w:jc w:val="both"/>
              <w:rPr>
                <w:lang w:val="lt-LT"/>
              </w:rPr>
            </w:pPr>
          </w:p>
        </w:tc>
        <w:tc>
          <w:tcPr>
            <w:tcW w:w="1134" w:type="dxa"/>
            <w:tcBorders>
              <w:bottom w:val="single" w:sz="4" w:space="0" w:color="auto"/>
            </w:tcBorders>
          </w:tcPr>
          <w:p w:rsidR="006157A1" w:rsidRPr="004273CC" w:rsidRDefault="006157A1" w:rsidP="006157A1">
            <w:pPr>
              <w:tabs>
                <w:tab w:val="left" w:pos="510"/>
              </w:tabs>
              <w:jc w:val="both"/>
              <w:rPr>
                <w:lang w:val="lt-LT"/>
              </w:rPr>
            </w:pPr>
          </w:p>
        </w:tc>
        <w:tc>
          <w:tcPr>
            <w:tcW w:w="1276" w:type="dxa"/>
            <w:tcBorders>
              <w:bottom w:val="single" w:sz="4" w:space="0" w:color="auto"/>
            </w:tcBorders>
          </w:tcPr>
          <w:p w:rsidR="006157A1" w:rsidRPr="004273CC" w:rsidRDefault="006157A1" w:rsidP="006157A1">
            <w:pPr>
              <w:tabs>
                <w:tab w:val="left" w:pos="510"/>
              </w:tabs>
              <w:jc w:val="both"/>
              <w:rPr>
                <w:lang w:val="lt-LT"/>
              </w:rPr>
            </w:pPr>
          </w:p>
        </w:tc>
        <w:tc>
          <w:tcPr>
            <w:tcW w:w="1134" w:type="dxa"/>
            <w:tcBorders>
              <w:bottom w:val="single" w:sz="4" w:space="0" w:color="auto"/>
            </w:tcBorders>
          </w:tcPr>
          <w:p w:rsidR="006157A1" w:rsidRPr="004273CC" w:rsidRDefault="006157A1" w:rsidP="006157A1">
            <w:pPr>
              <w:tabs>
                <w:tab w:val="left" w:pos="510"/>
              </w:tabs>
              <w:jc w:val="both"/>
              <w:rPr>
                <w:lang w:val="lt-LT"/>
              </w:rPr>
            </w:pPr>
          </w:p>
        </w:tc>
        <w:tc>
          <w:tcPr>
            <w:tcW w:w="992" w:type="dxa"/>
          </w:tcPr>
          <w:p w:rsidR="006157A1" w:rsidRPr="004273CC" w:rsidRDefault="006157A1" w:rsidP="006157A1">
            <w:pPr>
              <w:tabs>
                <w:tab w:val="left" w:pos="510"/>
              </w:tabs>
              <w:jc w:val="both"/>
              <w:rPr>
                <w:lang w:val="lt-LT"/>
              </w:rPr>
            </w:pPr>
          </w:p>
        </w:tc>
        <w:tc>
          <w:tcPr>
            <w:tcW w:w="1134" w:type="dxa"/>
          </w:tcPr>
          <w:p w:rsidR="006157A1" w:rsidRPr="004273CC" w:rsidRDefault="006157A1" w:rsidP="006157A1">
            <w:pPr>
              <w:tabs>
                <w:tab w:val="left" w:pos="510"/>
              </w:tabs>
              <w:jc w:val="both"/>
              <w:rPr>
                <w:lang w:val="lt-LT"/>
              </w:rPr>
            </w:pPr>
          </w:p>
        </w:tc>
        <w:tc>
          <w:tcPr>
            <w:tcW w:w="1418" w:type="dxa"/>
          </w:tcPr>
          <w:p w:rsidR="006157A1" w:rsidRPr="004273CC" w:rsidRDefault="006157A1" w:rsidP="006157A1">
            <w:pPr>
              <w:tabs>
                <w:tab w:val="left" w:pos="510"/>
              </w:tabs>
              <w:jc w:val="both"/>
              <w:rPr>
                <w:lang w:val="lt-LT"/>
              </w:rPr>
            </w:pPr>
          </w:p>
        </w:tc>
      </w:tr>
      <w:tr w:rsidR="006157A1" w:rsidRPr="004273CC" w:rsidTr="006157A1">
        <w:trPr>
          <w:gridAfter w:val="1"/>
          <w:wAfter w:w="1418" w:type="dxa"/>
          <w:cantSplit/>
        </w:trPr>
        <w:tc>
          <w:tcPr>
            <w:tcW w:w="4928" w:type="dxa"/>
            <w:gridSpan w:val="2"/>
          </w:tcPr>
          <w:p w:rsidR="006157A1" w:rsidRPr="004273CC" w:rsidRDefault="006157A1" w:rsidP="006157A1">
            <w:pPr>
              <w:tabs>
                <w:tab w:val="left" w:pos="510"/>
              </w:tabs>
              <w:jc w:val="right"/>
              <w:rPr>
                <w:b/>
                <w:lang w:val="lt-LT"/>
              </w:rPr>
            </w:pPr>
            <w:r w:rsidRPr="004273CC">
              <w:rPr>
                <w:b/>
                <w:lang w:val="lt-LT"/>
              </w:rPr>
              <w:t>BENDRA RIZIK</w:t>
            </w:r>
            <w:r>
              <w:rPr>
                <w:b/>
                <w:lang w:val="lt-LT"/>
              </w:rPr>
              <w:t>A</w:t>
            </w:r>
          </w:p>
        </w:tc>
        <w:tc>
          <w:tcPr>
            <w:tcW w:w="1134" w:type="dxa"/>
            <w:shd w:val="clear" w:color="auto" w:fill="D9D9D9"/>
          </w:tcPr>
          <w:p w:rsidR="006157A1" w:rsidRPr="004273CC" w:rsidRDefault="006157A1" w:rsidP="006157A1">
            <w:pPr>
              <w:tabs>
                <w:tab w:val="left" w:pos="510"/>
              </w:tabs>
              <w:jc w:val="right"/>
              <w:rPr>
                <w:lang w:val="lt-LT"/>
              </w:rPr>
            </w:pPr>
            <w:r w:rsidRPr="004273CC">
              <w:rPr>
                <w:b/>
                <w:lang w:val="lt-LT"/>
              </w:rPr>
              <w:t>1 eil.</w:t>
            </w:r>
          </w:p>
        </w:tc>
        <w:tc>
          <w:tcPr>
            <w:tcW w:w="850" w:type="dxa"/>
          </w:tcPr>
          <w:p w:rsidR="006157A1" w:rsidRPr="00BB5376" w:rsidRDefault="006157A1" w:rsidP="006157A1">
            <w:pPr>
              <w:tabs>
                <w:tab w:val="left" w:pos="510"/>
              </w:tabs>
              <w:jc w:val="center"/>
              <w:rPr>
                <w:b/>
                <w:lang w:val="lt-LT"/>
              </w:rPr>
            </w:pPr>
            <w:r w:rsidRPr="00BB5376">
              <w:rPr>
                <w:b/>
                <w:lang w:val="lt-LT"/>
              </w:rPr>
              <w:t>X</w:t>
            </w:r>
          </w:p>
        </w:tc>
        <w:tc>
          <w:tcPr>
            <w:tcW w:w="1134" w:type="dxa"/>
            <w:tcBorders>
              <w:right w:val="single" w:sz="4" w:space="0" w:color="auto"/>
            </w:tcBorders>
          </w:tcPr>
          <w:p w:rsidR="006157A1" w:rsidRPr="00BB5376" w:rsidRDefault="006157A1" w:rsidP="006157A1">
            <w:pPr>
              <w:tabs>
                <w:tab w:val="left" w:pos="510"/>
              </w:tabs>
              <w:jc w:val="center"/>
              <w:rPr>
                <w:b/>
                <w:lang w:val="lt-LT"/>
              </w:rPr>
            </w:pPr>
            <w:r w:rsidRPr="00BB5376">
              <w:rPr>
                <w:b/>
                <w:lang w:val="lt-LT"/>
              </w:rPr>
              <w:t>45</w:t>
            </w:r>
          </w:p>
        </w:tc>
        <w:tc>
          <w:tcPr>
            <w:tcW w:w="1276" w:type="dxa"/>
            <w:tcBorders>
              <w:left w:val="single" w:sz="4" w:space="0" w:color="auto"/>
              <w:bottom w:val="nil"/>
            </w:tcBorders>
          </w:tcPr>
          <w:p w:rsidR="006157A1" w:rsidRPr="004273CC" w:rsidRDefault="006157A1" w:rsidP="006157A1">
            <w:pPr>
              <w:tabs>
                <w:tab w:val="left" w:pos="510"/>
              </w:tabs>
              <w:jc w:val="center"/>
              <w:rPr>
                <w:b/>
                <w:lang w:val="lt-LT"/>
              </w:rPr>
            </w:pPr>
          </w:p>
        </w:tc>
        <w:tc>
          <w:tcPr>
            <w:tcW w:w="1134" w:type="dxa"/>
            <w:shd w:val="clear" w:color="auto" w:fill="D9D9D9"/>
          </w:tcPr>
          <w:p w:rsidR="006157A1" w:rsidRPr="004273CC" w:rsidRDefault="006157A1" w:rsidP="006157A1">
            <w:pPr>
              <w:tabs>
                <w:tab w:val="left" w:pos="510"/>
              </w:tabs>
              <w:jc w:val="right"/>
              <w:rPr>
                <w:lang w:val="lt-LT"/>
              </w:rPr>
            </w:pPr>
            <w:r w:rsidRPr="004273CC">
              <w:rPr>
                <w:b/>
                <w:lang w:val="lt-LT"/>
              </w:rPr>
              <w:t>1 eil.</w:t>
            </w:r>
          </w:p>
        </w:tc>
        <w:tc>
          <w:tcPr>
            <w:tcW w:w="992" w:type="dxa"/>
          </w:tcPr>
          <w:p w:rsidR="006157A1" w:rsidRPr="00666363" w:rsidRDefault="006157A1" w:rsidP="006157A1">
            <w:pPr>
              <w:tabs>
                <w:tab w:val="left" w:pos="510"/>
              </w:tabs>
              <w:jc w:val="center"/>
              <w:rPr>
                <w:lang w:val="lt-LT"/>
              </w:rPr>
            </w:pPr>
            <w:r w:rsidRPr="00666363">
              <w:rPr>
                <w:lang w:val="lt-LT"/>
              </w:rPr>
              <w:t>X</w:t>
            </w:r>
          </w:p>
        </w:tc>
        <w:tc>
          <w:tcPr>
            <w:tcW w:w="1134" w:type="dxa"/>
            <w:tcBorders>
              <w:bottom w:val="single" w:sz="4" w:space="0" w:color="auto"/>
            </w:tcBorders>
          </w:tcPr>
          <w:p w:rsidR="006157A1" w:rsidRPr="004273CC" w:rsidRDefault="006157A1" w:rsidP="006157A1">
            <w:pPr>
              <w:tabs>
                <w:tab w:val="left" w:pos="510"/>
              </w:tabs>
              <w:jc w:val="center"/>
              <w:rPr>
                <w:b/>
                <w:lang w:val="lt-LT"/>
              </w:rPr>
            </w:pPr>
            <w:r>
              <w:rPr>
                <w:b/>
                <w:lang w:val="lt-LT"/>
              </w:rPr>
              <w:t>56</w:t>
            </w:r>
          </w:p>
        </w:tc>
      </w:tr>
      <w:tr w:rsidR="006157A1" w:rsidRPr="004273CC" w:rsidTr="006157A1">
        <w:trPr>
          <w:gridAfter w:val="1"/>
          <w:wAfter w:w="1418" w:type="dxa"/>
          <w:cantSplit/>
        </w:trPr>
        <w:tc>
          <w:tcPr>
            <w:tcW w:w="4928" w:type="dxa"/>
            <w:gridSpan w:val="2"/>
          </w:tcPr>
          <w:p w:rsidR="006157A1" w:rsidRPr="004273CC" w:rsidRDefault="006157A1" w:rsidP="006157A1">
            <w:pPr>
              <w:tabs>
                <w:tab w:val="left" w:pos="510"/>
              </w:tabs>
              <w:jc w:val="right"/>
              <w:rPr>
                <w:b/>
                <w:lang w:val="lt-LT"/>
              </w:rPr>
            </w:pPr>
            <w:r w:rsidRPr="004273CC">
              <w:rPr>
                <w:b/>
                <w:lang w:val="lt-LT"/>
              </w:rPr>
              <w:t>BENDRA ĮTAKA</w:t>
            </w:r>
          </w:p>
        </w:tc>
        <w:tc>
          <w:tcPr>
            <w:tcW w:w="1134" w:type="dxa"/>
            <w:shd w:val="clear" w:color="auto" w:fill="D9D9D9"/>
          </w:tcPr>
          <w:p w:rsidR="006157A1" w:rsidRPr="004273CC" w:rsidRDefault="006157A1" w:rsidP="006157A1">
            <w:pPr>
              <w:tabs>
                <w:tab w:val="left" w:pos="510"/>
              </w:tabs>
              <w:jc w:val="right"/>
              <w:rPr>
                <w:lang w:val="lt-LT"/>
              </w:rPr>
            </w:pPr>
            <w:r w:rsidRPr="004273CC">
              <w:rPr>
                <w:b/>
                <w:lang w:val="lt-LT"/>
              </w:rPr>
              <w:t>2 eil.</w:t>
            </w:r>
          </w:p>
        </w:tc>
        <w:tc>
          <w:tcPr>
            <w:tcW w:w="850" w:type="dxa"/>
            <w:tcBorders>
              <w:bottom w:val="single" w:sz="4" w:space="0" w:color="auto"/>
            </w:tcBorders>
          </w:tcPr>
          <w:p w:rsidR="006157A1" w:rsidRPr="00BB5376" w:rsidRDefault="006157A1" w:rsidP="006157A1">
            <w:pPr>
              <w:tabs>
                <w:tab w:val="left" w:pos="510"/>
              </w:tabs>
              <w:jc w:val="center"/>
              <w:rPr>
                <w:b/>
                <w:lang w:val="lt-LT"/>
              </w:rPr>
            </w:pPr>
            <w:r w:rsidRPr="00BB5376">
              <w:rPr>
                <w:b/>
                <w:lang w:val="lt-LT"/>
              </w:rPr>
              <w:t>20</w:t>
            </w:r>
          </w:p>
        </w:tc>
        <w:tc>
          <w:tcPr>
            <w:tcW w:w="1134" w:type="dxa"/>
            <w:tcBorders>
              <w:bottom w:val="nil"/>
              <w:right w:val="nil"/>
            </w:tcBorders>
          </w:tcPr>
          <w:p w:rsidR="006157A1" w:rsidRPr="00BB5376" w:rsidRDefault="006157A1" w:rsidP="006157A1">
            <w:pPr>
              <w:tabs>
                <w:tab w:val="left" w:pos="510"/>
              </w:tabs>
              <w:jc w:val="center"/>
              <w:rPr>
                <w:b/>
                <w:lang w:val="lt-LT"/>
              </w:rPr>
            </w:pPr>
          </w:p>
        </w:tc>
        <w:tc>
          <w:tcPr>
            <w:tcW w:w="1276" w:type="dxa"/>
            <w:tcBorders>
              <w:top w:val="nil"/>
              <w:left w:val="nil"/>
              <w:bottom w:val="nil"/>
            </w:tcBorders>
          </w:tcPr>
          <w:p w:rsidR="006157A1" w:rsidRPr="004273CC" w:rsidRDefault="006157A1" w:rsidP="006157A1">
            <w:pPr>
              <w:tabs>
                <w:tab w:val="left" w:pos="510"/>
              </w:tabs>
              <w:jc w:val="center"/>
              <w:rPr>
                <w:b/>
                <w:lang w:val="lt-LT"/>
              </w:rPr>
            </w:pPr>
          </w:p>
        </w:tc>
        <w:tc>
          <w:tcPr>
            <w:tcW w:w="1134" w:type="dxa"/>
            <w:shd w:val="clear" w:color="auto" w:fill="D9D9D9"/>
          </w:tcPr>
          <w:p w:rsidR="006157A1" w:rsidRPr="004273CC" w:rsidRDefault="006157A1" w:rsidP="006157A1">
            <w:pPr>
              <w:tabs>
                <w:tab w:val="left" w:pos="510"/>
              </w:tabs>
              <w:jc w:val="right"/>
              <w:rPr>
                <w:lang w:val="lt-LT"/>
              </w:rPr>
            </w:pPr>
            <w:r w:rsidRPr="004273CC">
              <w:rPr>
                <w:b/>
                <w:lang w:val="lt-LT"/>
              </w:rPr>
              <w:t>2 eil.</w:t>
            </w:r>
          </w:p>
        </w:tc>
        <w:tc>
          <w:tcPr>
            <w:tcW w:w="992" w:type="dxa"/>
          </w:tcPr>
          <w:p w:rsidR="006157A1" w:rsidRPr="004273CC" w:rsidRDefault="006157A1" w:rsidP="006157A1">
            <w:pPr>
              <w:tabs>
                <w:tab w:val="left" w:pos="510"/>
              </w:tabs>
              <w:jc w:val="center"/>
              <w:rPr>
                <w:b/>
                <w:lang w:val="lt-LT"/>
              </w:rPr>
            </w:pPr>
            <w:r>
              <w:rPr>
                <w:b/>
                <w:lang w:val="lt-LT"/>
              </w:rPr>
              <w:t>24</w:t>
            </w:r>
          </w:p>
        </w:tc>
        <w:tc>
          <w:tcPr>
            <w:tcW w:w="1134" w:type="dxa"/>
            <w:tcBorders>
              <w:bottom w:val="nil"/>
              <w:right w:val="nil"/>
            </w:tcBorders>
          </w:tcPr>
          <w:p w:rsidR="006157A1" w:rsidRPr="004273CC" w:rsidRDefault="006157A1" w:rsidP="006157A1">
            <w:pPr>
              <w:tabs>
                <w:tab w:val="left" w:pos="510"/>
              </w:tabs>
              <w:jc w:val="center"/>
              <w:rPr>
                <w:b/>
                <w:lang w:val="lt-LT"/>
              </w:rPr>
            </w:pPr>
          </w:p>
        </w:tc>
      </w:tr>
      <w:tr w:rsidR="006157A1" w:rsidRPr="004273CC" w:rsidTr="006157A1">
        <w:trPr>
          <w:gridAfter w:val="1"/>
          <w:wAfter w:w="1418" w:type="dxa"/>
          <w:cantSplit/>
        </w:trPr>
        <w:tc>
          <w:tcPr>
            <w:tcW w:w="4928" w:type="dxa"/>
            <w:gridSpan w:val="2"/>
          </w:tcPr>
          <w:p w:rsidR="006157A1" w:rsidRPr="004273CC" w:rsidRDefault="006157A1" w:rsidP="006157A1">
            <w:pPr>
              <w:tabs>
                <w:tab w:val="left" w:pos="510"/>
              </w:tabs>
              <w:jc w:val="right"/>
              <w:rPr>
                <w:b/>
                <w:lang w:val="lt-LT"/>
              </w:rPr>
            </w:pPr>
            <w:r w:rsidRPr="004273CC">
              <w:rPr>
                <w:b/>
                <w:lang w:val="lt-LT"/>
              </w:rPr>
              <w:t>MAKSIMAL</w:t>
            </w:r>
            <w:r>
              <w:rPr>
                <w:b/>
                <w:lang w:val="lt-LT"/>
              </w:rPr>
              <w:t>I</w:t>
            </w:r>
            <w:r w:rsidRPr="004273CC">
              <w:rPr>
                <w:b/>
                <w:lang w:val="lt-LT"/>
              </w:rPr>
              <w:t xml:space="preserve"> </w:t>
            </w:r>
            <w:r>
              <w:rPr>
                <w:b/>
                <w:lang w:val="lt-LT"/>
              </w:rPr>
              <w:t xml:space="preserve">RIZIKA </w:t>
            </w:r>
            <w:r w:rsidRPr="004273CC">
              <w:rPr>
                <w:b/>
                <w:lang w:val="lt-LT"/>
              </w:rPr>
              <w:t>(5*2 eil.)</w:t>
            </w:r>
          </w:p>
        </w:tc>
        <w:tc>
          <w:tcPr>
            <w:tcW w:w="1134" w:type="dxa"/>
            <w:shd w:val="clear" w:color="auto" w:fill="D9D9D9"/>
          </w:tcPr>
          <w:p w:rsidR="006157A1" w:rsidRPr="004273CC" w:rsidRDefault="006157A1" w:rsidP="006157A1">
            <w:pPr>
              <w:tabs>
                <w:tab w:val="left" w:pos="510"/>
              </w:tabs>
              <w:jc w:val="right"/>
              <w:rPr>
                <w:lang w:val="lt-LT"/>
              </w:rPr>
            </w:pPr>
            <w:r w:rsidRPr="004273CC">
              <w:rPr>
                <w:b/>
                <w:lang w:val="lt-LT"/>
              </w:rPr>
              <w:t>3 eil.</w:t>
            </w:r>
          </w:p>
        </w:tc>
        <w:tc>
          <w:tcPr>
            <w:tcW w:w="850" w:type="dxa"/>
            <w:tcBorders>
              <w:right w:val="single" w:sz="4" w:space="0" w:color="auto"/>
            </w:tcBorders>
          </w:tcPr>
          <w:p w:rsidR="006157A1" w:rsidRPr="00BB5376" w:rsidRDefault="006157A1" w:rsidP="006157A1">
            <w:pPr>
              <w:tabs>
                <w:tab w:val="left" w:pos="510"/>
              </w:tabs>
              <w:jc w:val="center"/>
              <w:rPr>
                <w:b/>
                <w:lang w:val="lt-LT"/>
              </w:rPr>
            </w:pPr>
            <w:r w:rsidRPr="00BB5376">
              <w:rPr>
                <w:b/>
                <w:lang w:val="lt-LT"/>
              </w:rPr>
              <w:t>100</w:t>
            </w:r>
          </w:p>
        </w:tc>
        <w:tc>
          <w:tcPr>
            <w:tcW w:w="1134" w:type="dxa"/>
            <w:tcBorders>
              <w:top w:val="nil"/>
              <w:left w:val="single" w:sz="4" w:space="0" w:color="auto"/>
              <w:bottom w:val="nil"/>
              <w:right w:val="nil"/>
            </w:tcBorders>
          </w:tcPr>
          <w:p w:rsidR="006157A1" w:rsidRPr="00BB5376" w:rsidRDefault="006157A1" w:rsidP="006157A1">
            <w:pPr>
              <w:tabs>
                <w:tab w:val="left" w:pos="510"/>
              </w:tabs>
              <w:jc w:val="center"/>
              <w:rPr>
                <w:b/>
                <w:lang w:val="lt-LT"/>
              </w:rPr>
            </w:pPr>
          </w:p>
        </w:tc>
        <w:tc>
          <w:tcPr>
            <w:tcW w:w="1276" w:type="dxa"/>
            <w:tcBorders>
              <w:top w:val="nil"/>
              <w:left w:val="nil"/>
              <w:bottom w:val="nil"/>
              <w:right w:val="single" w:sz="4" w:space="0" w:color="auto"/>
            </w:tcBorders>
          </w:tcPr>
          <w:p w:rsidR="006157A1" w:rsidRPr="004273CC" w:rsidRDefault="006157A1" w:rsidP="006157A1">
            <w:pPr>
              <w:tabs>
                <w:tab w:val="left" w:pos="510"/>
              </w:tabs>
              <w:jc w:val="center"/>
              <w:rPr>
                <w:b/>
                <w:lang w:val="lt-LT"/>
              </w:rPr>
            </w:pPr>
          </w:p>
        </w:tc>
        <w:tc>
          <w:tcPr>
            <w:tcW w:w="1134" w:type="dxa"/>
            <w:tcBorders>
              <w:left w:val="single" w:sz="4" w:space="0" w:color="auto"/>
            </w:tcBorders>
            <w:shd w:val="clear" w:color="auto" w:fill="D9D9D9"/>
          </w:tcPr>
          <w:p w:rsidR="006157A1" w:rsidRPr="004273CC" w:rsidRDefault="006157A1" w:rsidP="006157A1">
            <w:pPr>
              <w:tabs>
                <w:tab w:val="left" w:pos="510"/>
              </w:tabs>
              <w:jc w:val="right"/>
              <w:rPr>
                <w:lang w:val="lt-LT"/>
              </w:rPr>
            </w:pPr>
            <w:r w:rsidRPr="004273CC">
              <w:rPr>
                <w:b/>
                <w:lang w:val="lt-LT"/>
              </w:rPr>
              <w:t>3 eil.</w:t>
            </w:r>
          </w:p>
        </w:tc>
        <w:tc>
          <w:tcPr>
            <w:tcW w:w="992" w:type="dxa"/>
          </w:tcPr>
          <w:p w:rsidR="006157A1" w:rsidRPr="004273CC" w:rsidRDefault="006157A1" w:rsidP="006157A1">
            <w:pPr>
              <w:tabs>
                <w:tab w:val="left" w:pos="510"/>
              </w:tabs>
              <w:jc w:val="center"/>
              <w:rPr>
                <w:b/>
                <w:lang w:val="lt-LT"/>
              </w:rPr>
            </w:pPr>
            <w:r>
              <w:rPr>
                <w:b/>
                <w:lang w:val="lt-LT"/>
              </w:rPr>
              <w:t>120</w:t>
            </w:r>
          </w:p>
        </w:tc>
        <w:tc>
          <w:tcPr>
            <w:tcW w:w="1134" w:type="dxa"/>
            <w:tcBorders>
              <w:top w:val="nil"/>
              <w:bottom w:val="nil"/>
              <w:right w:val="nil"/>
            </w:tcBorders>
          </w:tcPr>
          <w:p w:rsidR="006157A1" w:rsidRPr="004273CC" w:rsidRDefault="006157A1" w:rsidP="006157A1">
            <w:pPr>
              <w:tabs>
                <w:tab w:val="left" w:pos="510"/>
              </w:tabs>
              <w:jc w:val="center"/>
              <w:rPr>
                <w:b/>
                <w:lang w:val="lt-LT"/>
              </w:rPr>
            </w:pPr>
          </w:p>
        </w:tc>
      </w:tr>
      <w:tr w:rsidR="006157A1" w:rsidRPr="004273CC" w:rsidTr="006157A1">
        <w:trPr>
          <w:gridAfter w:val="1"/>
          <w:wAfter w:w="1418" w:type="dxa"/>
          <w:cantSplit/>
          <w:trHeight w:val="222"/>
        </w:trPr>
        <w:tc>
          <w:tcPr>
            <w:tcW w:w="4928" w:type="dxa"/>
            <w:gridSpan w:val="2"/>
          </w:tcPr>
          <w:p w:rsidR="006157A1" w:rsidRPr="004273CC" w:rsidRDefault="006157A1" w:rsidP="006157A1">
            <w:pPr>
              <w:tabs>
                <w:tab w:val="left" w:pos="510"/>
              </w:tabs>
              <w:jc w:val="right"/>
              <w:rPr>
                <w:b/>
                <w:lang w:val="lt-LT"/>
              </w:rPr>
            </w:pPr>
            <w:r w:rsidRPr="004273CC">
              <w:rPr>
                <w:b/>
                <w:lang w:val="lt-LT"/>
              </w:rPr>
              <w:t>RIZIKOS LYGIS, proc. (1 eil./3eil.*100)</w:t>
            </w:r>
          </w:p>
        </w:tc>
        <w:tc>
          <w:tcPr>
            <w:tcW w:w="1134" w:type="dxa"/>
            <w:shd w:val="clear" w:color="auto" w:fill="D9D9D9"/>
            <w:vAlign w:val="center"/>
          </w:tcPr>
          <w:p w:rsidR="006157A1" w:rsidRPr="004273CC" w:rsidRDefault="006157A1" w:rsidP="006157A1">
            <w:pPr>
              <w:tabs>
                <w:tab w:val="left" w:pos="510"/>
              </w:tabs>
              <w:jc w:val="right"/>
              <w:rPr>
                <w:lang w:val="lt-LT"/>
              </w:rPr>
            </w:pPr>
            <w:r w:rsidRPr="004273CC">
              <w:rPr>
                <w:b/>
                <w:lang w:val="lt-LT"/>
              </w:rPr>
              <w:t>4 eil.</w:t>
            </w:r>
          </w:p>
        </w:tc>
        <w:tc>
          <w:tcPr>
            <w:tcW w:w="850" w:type="dxa"/>
            <w:tcBorders>
              <w:right w:val="single" w:sz="4" w:space="0" w:color="auto"/>
            </w:tcBorders>
            <w:vAlign w:val="center"/>
          </w:tcPr>
          <w:p w:rsidR="006157A1" w:rsidRPr="00BB5376" w:rsidRDefault="006157A1" w:rsidP="006157A1">
            <w:pPr>
              <w:tabs>
                <w:tab w:val="left" w:pos="510"/>
              </w:tabs>
              <w:jc w:val="center"/>
              <w:rPr>
                <w:b/>
                <w:lang w:val="lt-LT"/>
              </w:rPr>
            </w:pPr>
            <w:r w:rsidRPr="00BB5376">
              <w:rPr>
                <w:b/>
                <w:lang w:val="lt-LT"/>
              </w:rPr>
              <w:t>45</w:t>
            </w:r>
          </w:p>
        </w:tc>
        <w:tc>
          <w:tcPr>
            <w:tcW w:w="1134" w:type="dxa"/>
            <w:tcBorders>
              <w:top w:val="nil"/>
              <w:left w:val="single" w:sz="4" w:space="0" w:color="auto"/>
              <w:bottom w:val="nil"/>
              <w:right w:val="nil"/>
            </w:tcBorders>
          </w:tcPr>
          <w:p w:rsidR="006157A1" w:rsidRPr="00B74B0A" w:rsidRDefault="006157A1" w:rsidP="006157A1">
            <w:pPr>
              <w:tabs>
                <w:tab w:val="left" w:pos="510"/>
              </w:tabs>
              <w:jc w:val="center"/>
              <w:rPr>
                <w:b/>
                <w:sz w:val="18"/>
                <w:szCs w:val="18"/>
                <w:lang w:val="lt-LT"/>
              </w:rPr>
            </w:pPr>
            <w:r w:rsidRPr="00B74B0A">
              <w:rPr>
                <w:b/>
                <w:sz w:val="18"/>
                <w:szCs w:val="18"/>
                <w:lang w:val="lt-LT"/>
              </w:rPr>
              <w:t>VIDUTINĖ</w:t>
            </w:r>
          </w:p>
        </w:tc>
        <w:tc>
          <w:tcPr>
            <w:tcW w:w="1276" w:type="dxa"/>
            <w:tcBorders>
              <w:top w:val="nil"/>
              <w:left w:val="nil"/>
              <w:bottom w:val="nil"/>
              <w:right w:val="single" w:sz="4" w:space="0" w:color="auto"/>
            </w:tcBorders>
          </w:tcPr>
          <w:p w:rsidR="006157A1" w:rsidRPr="004273CC" w:rsidRDefault="006157A1" w:rsidP="006157A1">
            <w:pPr>
              <w:tabs>
                <w:tab w:val="left" w:pos="510"/>
              </w:tabs>
              <w:jc w:val="center"/>
              <w:rPr>
                <w:b/>
                <w:lang w:val="lt-LT"/>
              </w:rPr>
            </w:pPr>
          </w:p>
        </w:tc>
        <w:tc>
          <w:tcPr>
            <w:tcW w:w="1134" w:type="dxa"/>
            <w:tcBorders>
              <w:left w:val="single" w:sz="4" w:space="0" w:color="auto"/>
            </w:tcBorders>
            <w:shd w:val="clear" w:color="auto" w:fill="D9D9D9"/>
            <w:vAlign w:val="center"/>
          </w:tcPr>
          <w:p w:rsidR="006157A1" w:rsidRPr="004273CC" w:rsidRDefault="006157A1" w:rsidP="006157A1">
            <w:pPr>
              <w:tabs>
                <w:tab w:val="left" w:pos="510"/>
              </w:tabs>
              <w:jc w:val="right"/>
              <w:rPr>
                <w:lang w:val="lt-LT"/>
              </w:rPr>
            </w:pPr>
            <w:r w:rsidRPr="004273CC">
              <w:rPr>
                <w:b/>
                <w:lang w:val="lt-LT"/>
              </w:rPr>
              <w:t>4 eil.</w:t>
            </w:r>
          </w:p>
        </w:tc>
        <w:tc>
          <w:tcPr>
            <w:tcW w:w="992" w:type="dxa"/>
            <w:vAlign w:val="center"/>
          </w:tcPr>
          <w:p w:rsidR="006157A1" w:rsidRPr="004273CC" w:rsidRDefault="006157A1" w:rsidP="006157A1">
            <w:pPr>
              <w:tabs>
                <w:tab w:val="left" w:pos="510"/>
              </w:tabs>
              <w:jc w:val="center"/>
              <w:rPr>
                <w:b/>
                <w:lang w:val="lt-LT"/>
              </w:rPr>
            </w:pPr>
            <w:r>
              <w:rPr>
                <w:b/>
                <w:lang w:val="lt-LT"/>
              </w:rPr>
              <w:t>47</w:t>
            </w:r>
          </w:p>
        </w:tc>
        <w:tc>
          <w:tcPr>
            <w:tcW w:w="1134" w:type="dxa"/>
            <w:tcBorders>
              <w:top w:val="nil"/>
              <w:bottom w:val="nil"/>
              <w:right w:val="nil"/>
            </w:tcBorders>
          </w:tcPr>
          <w:p w:rsidR="006157A1" w:rsidRPr="004273CC" w:rsidRDefault="006157A1" w:rsidP="006157A1">
            <w:pPr>
              <w:tabs>
                <w:tab w:val="left" w:pos="510"/>
              </w:tabs>
              <w:jc w:val="center"/>
              <w:rPr>
                <w:b/>
                <w:lang w:val="lt-LT"/>
              </w:rPr>
            </w:pPr>
            <w:r w:rsidRPr="00B74B0A">
              <w:rPr>
                <w:b/>
                <w:sz w:val="18"/>
                <w:szCs w:val="18"/>
                <w:lang w:val="lt-LT"/>
              </w:rPr>
              <w:t>VIDUTINĖ</w:t>
            </w:r>
          </w:p>
        </w:tc>
      </w:tr>
    </w:tbl>
    <w:p w:rsidR="00C86F82" w:rsidRDefault="00C86F82" w:rsidP="00C86F82">
      <w:pPr>
        <w:jc w:val="center"/>
        <w:rPr>
          <w:b/>
          <w:sz w:val="24"/>
          <w:szCs w:val="24"/>
        </w:rPr>
      </w:pPr>
    </w:p>
    <w:p w:rsidR="00723E93" w:rsidRDefault="00723E93">
      <w:pPr>
        <w:rPr>
          <w:b/>
          <w:sz w:val="24"/>
          <w:szCs w:val="24"/>
          <w:lang w:val="lt-LT"/>
        </w:rPr>
      </w:pPr>
      <w:r>
        <w:rPr>
          <w:b/>
          <w:sz w:val="24"/>
          <w:szCs w:val="24"/>
          <w:lang w:val="lt-LT"/>
        </w:rPr>
        <w:br w:type="page"/>
      </w:r>
    </w:p>
    <w:p w:rsidR="00CA13DD" w:rsidRDefault="00CA13DD" w:rsidP="000336CD">
      <w:pPr>
        <w:jc w:val="right"/>
        <w:rPr>
          <w:b/>
          <w:sz w:val="26"/>
          <w:szCs w:val="26"/>
          <w:lang w:val="lt-LT"/>
        </w:rPr>
      </w:pPr>
      <w:r w:rsidRPr="000336CD">
        <w:rPr>
          <w:b/>
          <w:sz w:val="26"/>
          <w:szCs w:val="26"/>
          <w:lang w:val="lt-LT"/>
        </w:rPr>
        <w:lastRenderedPageBreak/>
        <w:t>23 PRIEDAS</w:t>
      </w:r>
    </w:p>
    <w:p w:rsidR="000336CD" w:rsidRDefault="00104405" w:rsidP="00104405">
      <w:pPr>
        <w:jc w:val="center"/>
        <w:rPr>
          <w:b/>
          <w:sz w:val="26"/>
          <w:szCs w:val="26"/>
        </w:rPr>
      </w:pPr>
      <w:r w:rsidRPr="000336CD">
        <w:rPr>
          <w:b/>
          <w:sz w:val="26"/>
          <w:szCs w:val="26"/>
        </w:rPr>
        <w:t>ĮGIMTOS IR KONTROLĖS RIZIKŲ FINANSINIŲ ATASKAITŲ ELEMENTUI IR/AR JO TVIRTINIMUI APSKAIČIAVIMAS</w:t>
      </w:r>
    </w:p>
    <w:p w:rsidR="00DB5932" w:rsidRDefault="00DB5932" w:rsidP="00104405">
      <w:pPr>
        <w:jc w:val="center"/>
        <w:rPr>
          <w:b/>
          <w:sz w:val="26"/>
          <w:szCs w:val="2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22"/>
        <w:gridCol w:w="11"/>
        <w:gridCol w:w="200"/>
        <w:gridCol w:w="22"/>
        <w:gridCol w:w="6"/>
        <w:gridCol w:w="3166"/>
        <w:gridCol w:w="35"/>
        <w:gridCol w:w="12"/>
        <w:gridCol w:w="12"/>
        <w:gridCol w:w="73"/>
        <w:gridCol w:w="12"/>
        <w:gridCol w:w="135"/>
        <w:gridCol w:w="269"/>
        <w:gridCol w:w="40"/>
        <w:gridCol w:w="15"/>
        <w:gridCol w:w="15"/>
        <w:gridCol w:w="81"/>
        <w:gridCol w:w="12"/>
        <w:gridCol w:w="135"/>
        <w:gridCol w:w="269"/>
        <w:gridCol w:w="40"/>
        <w:gridCol w:w="15"/>
        <w:gridCol w:w="15"/>
        <w:gridCol w:w="81"/>
        <w:gridCol w:w="3"/>
        <w:gridCol w:w="146"/>
        <w:gridCol w:w="832"/>
        <w:gridCol w:w="55"/>
        <w:gridCol w:w="15"/>
        <w:gridCol w:w="23"/>
        <w:gridCol w:w="49"/>
        <w:gridCol w:w="9"/>
        <w:gridCol w:w="150"/>
        <w:gridCol w:w="376"/>
        <w:gridCol w:w="27"/>
        <w:gridCol w:w="60"/>
        <w:gridCol w:w="15"/>
        <w:gridCol w:w="23"/>
        <w:gridCol w:w="49"/>
        <w:gridCol w:w="9"/>
        <w:gridCol w:w="149"/>
        <w:gridCol w:w="848"/>
        <w:gridCol w:w="8"/>
        <w:gridCol w:w="13"/>
        <w:gridCol w:w="104"/>
        <w:gridCol w:w="30"/>
        <w:gridCol w:w="9"/>
        <w:gridCol w:w="144"/>
        <w:gridCol w:w="610"/>
        <w:gridCol w:w="88"/>
        <w:gridCol w:w="97"/>
        <w:gridCol w:w="36"/>
        <w:gridCol w:w="8"/>
        <w:gridCol w:w="10"/>
        <w:gridCol w:w="908"/>
        <w:gridCol w:w="22"/>
        <w:gridCol w:w="50"/>
        <w:gridCol w:w="3"/>
        <w:gridCol w:w="11"/>
        <w:gridCol w:w="120"/>
        <w:gridCol w:w="26"/>
        <w:gridCol w:w="476"/>
        <w:gridCol w:w="22"/>
        <w:gridCol w:w="50"/>
        <w:gridCol w:w="3"/>
        <w:gridCol w:w="131"/>
        <w:gridCol w:w="26"/>
        <w:gridCol w:w="846"/>
        <w:gridCol w:w="55"/>
        <w:gridCol w:w="72"/>
        <w:gridCol w:w="3"/>
        <w:gridCol w:w="131"/>
        <w:gridCol w:w="26"/>
        <w:gridCol w:w="1415"/>
      </w:tblGrid>
      <w:tr w:rsidR="00104405" w:rsidRPr="004273CC" w:rsidTr="001C0D02">
        <w:trPr>
          <w:cantSplit/>
          <w:trHeight w:val="268"/>
        </w:trPr>
        <w:tc>
          <w:tcPr>
            <w:tcW w:w="4201" w:type="dxa"/>
            <w:gridSpan w:val="7"/>
            <w:vMerge w:val="restart"/>
          </w:tcPr>
          <w:p w:rsidR="00104405" w:rsidRPr="004273CC" w:rsidRDefault="00104405" w:rsidP="00065FB5">
            <w:pPr>
              <w:tabs>
                <w:tab w:val="left" w:pos="510"/>
              </w:tabs>
              <w:jc w:val="center"/>
              <w:rPr>
                <w:b/>
                <w:lang w:val="lt-LT"/>
              </w:rPr>
            </w:pPr>
            <w:r>
              <w:rPr>
                <w:b/>
                <w:lang w:val="lt-LT"/>
              </w:rPr>
              <w:t>Finansinių ataskaitų elemento ir/ar jo tvirtinimo pobūdis ir jam taikoma vidaus kontrolės sistema</w:t>
            </w:r>
          </w:p>
        </w:tc>
        <w:tc>
          <w:tcPr>
            <w:tcW w:w="548" w:type="dxa"/>
            <w:gridSpan w:val="7"/>
            <w:vMerge w:val="restart"/>
            <w:textDirection w:val="btLr"/>
          </w:tcPr>
          <w:p w:rsidR="00104405" w:rsidRPr="004273CC" w:rsidRDefault="00104405" w:rsidP="00065FB5">
            <w:pPr>
              <w:tabs>
                <w:tab w:val="left" w:pos="510"/>
              </w:tabs>
              <w:ind w:left="113" w:right="113"/>
              <w:jc w:val="center"/>
              <w:rPr>
                <w:b/>
                <w:lang w:val="lt-LT"/>
              </w:rPr>
            </w:pPr>
            <w:r>
              <w:rPr>
                <w:b/>
                <w:lang w:val="lt-LT"/>
              </w:rPr>
              <w:t>Tvirtinimas</w:t>
            </w:r>
            <w:r>
              <w:rPr>
                <w:rStyle w:val="FootnoteReference"/>
                <w:b/>
                <w:lang w:val="lt-LT"/>
              </w:rPr>
              <w:footnoteReference w:id="34"/>
            </w:r>
          </w:p>
        </w:tc>
        <w:tc>
          <w:tcPr>
            <w:tcW w:w="567" w:type="dxa"/>
            <w:gridSpan w:val="7"/>
            <w:vMerge w:val="restart"/>
            <w:textDirection w:val="btLr"/>
          </w:tcPr>
          <w:p w:rsidR="00104405" w:rsidRPr="004273CC" w:rsidRDefault="00104405" w:rsidP="00065FB5">
            <w:pPr>
              <w:tabs>
                <w:tab w:val="left" w:pos="510"/>
              </w:tabs>
              <w:ind w:left="113" w:right="113"/>
              <w:jc w:val="center"/>
              <w:rPr>
                <w:b/>
                <w:lang w:val="lt-LT"/>
              </w:rPr>
            </w:pPr>
            <w:r>
              <w:rPr>
                <w:b/>
                <w:lang w:val="lt-LT"/>
              </w:rPr>
              <w:t>IR / KR</w:t>
            </w:r>
          </w:p>
        </w:tc>
        <w:tc>
          <w:tcPr>
            <w:tcW w:w="4128" w:type="dxa"/>
            <w:gridSpan w:val="32"/>
          </w:tcPr>
          <w:p w:rsidR="00104405" w:rsidRPr="004273CC" w:rsidRDefault="00104405" w:rsidP="00065FB5">
            <w:pPr>
              <w:tabs>
                <w:tab w:val="left" w:pos="510"/>
              </w:tabs>
              <w:jc w:val="center"/>
              <w:rPr>
                <w:b/>
                <w:lang w:val="lt-LT"/>
              </w:rPr>
            </w:pPr>
            <w:r>
              <w:rPr>
                <w:b/>
                <w:lang w:val="lt-LT"/>
              </w:rPr>
              <w:t>UAB „Šiluma“</w:t>
            </w:r>
          </w:p>
        </w:tc>
        <w:tc>
          <w:tcPr>
            <w:tcW w:w="2973" w:type="dxa"/>
            <w:gridSpan w:val="20"/>
          </w:tcPr>
          <w:p w:rsidR="00104405" w:rsidRPr="004273CC" w:rsidRDefault="00104405" w:rsidP="00065FB5">
            <w:pPr>
              <w:tabs>
                <w:tab w:val="left" w:pos="510"/>
              </w:tabs>
              <w:jc w:val="center"/>
              <w:rPr>
                <w:b/>
                <w:lang w:val="lt-LT"/>
              </w:rPr>
            </w:pPr>
            <w:r>
              <w:rPr>
                <w:b/>
                <w:lang w:val="lt-LT"/>
              </w:rPr>
              <w:t>UAB „Žuvila“</w:t>
            </w:r>
          </w:p>
        </w:tc>
        <w:tc>
          <w:tcPr>
            <w:tcW w:w="1441" w:type="dxa"/>
            <w:gridSpan w:val="2"/>
          </w:tcPr>
          <w:p w:rsidR="00104405" w:rsidRPr="004273CC" w:rsidRDefault="00104405" w:rsidP="00065FB5">
            <w:pPr>
              <w:tabs>
                <w:tab w:val="left" w:pos="510"/>
              </w:tabs>
              <w:jc w:val="center"/>
              <w:rPr>
                <w:b/>
                <w:lang w:val="lt-LT"/>
              </w:rPr>
            </w:pPr>
          </w:p>
        </w:tc>
      </w:tr>
      <w:tr w:rsidR="00104405" w:rsidRPr="004273CC" w:rsidTr="001C0D02">
        <w:trPr>
          <w:cantSplit/>
          <w:trHeight w:val="289"/>
        </w:trPr>
        <w:tc>
          <w:tcPr>
            <w:tcW w:w="4201" w:type="dxa"/>
            <w:gridSpan w:val="7"/>
            <w:vMerge/>
          </w:tcPr>
          <w:p w:rsidR="00104405" w:rsidRDefault="00104405" w:rsidP="00065FB5">
            <w:pPr>
              <w:tabs>
                <w:tab w:val="left" w:pos="510"/>
              </w:tabs>
              <w:jc w:val="center"/>
              <w:rPr>
                <w:b/>
                <w:lang w:val="lt-LT"/>
              </w:rPr>
            </w:pPr>
          </w:p>
        </w:tc>
        <w:tc>
          <w:tcPr>
            <w:tcW w:w="548" w:type="dxa"/>
            <w:gridSpan w:val="7"/>
            <w:vMerge/>
            <w:textDirection w:val="btLr"/>
          </w:tcPr>
          <w:p w:rsidR="00104405" w:rsidRDefault="00104405" w:rsidP="00065FB5">
            <w:pPr>
              <w:tabs>
                <w:tab w:val="left" w:pos="510"/>
              </w:tabs>
              <w:ind w:left="113" w:right="113"/>
              <w:jc w:val="center"/>
              <w:rPr>
                <w:b/>
                <w:lang w:val="lt-LT"/>
              </w:rPr>
            </w:pPr>
          </w:p>
        </w:tc>
        <w:tc>
          <w:tcPr>
            <w:tcW w:w="567" w:type="dxa"/>
            <w:gridSpan w:val="7"/>
            <w:vMerge/>
            <w:textDirection w:val="btLr"/>
          </w:tcPr>
          <w:p w:rsidR="00104405" w:rsidRDefault="00104405" w:rsidP="00065FB5">
            <w:pPr>
              <w:tabs>
                <w:tab w:val="left" w:pos="510"/>
              </w:tabs>
              <w:ind w:left="113" w:right="113"/>
              <w:jc w:val="center"/>
              <w:rPr>
                <w:b/>
                <w:lang w:val="lt-LT"/>
              </w:rPr>
            </w:pPr>
          </w:p>
        </w:tc>
        <w:tc>
          <w:tcPr>
            <w:tcW w:w="2989" w:type="dxa"/>
            <w:gridSpan w:val="22"/>
          </w:tcPr>
          <w:p w:rsidR="00104405" w:rsidRPr="004273CC" w:rsidRDefault="00104405" w:rsidP="00065FB5">
            <w:pPr>
              <w:tabs>
                <w:tab w:val="left" w:pos="510"/>
              </w:tabs>
              <w:jc w:val="center"/>
              <w:rPr>
                <w:b/>
                <w:lang w:val="lt-LT"/>
              </w:rPr>
            </w:pPr>
            <w:r w:rsidRPr="004273CC">
              <w:rPr>
                <w:b/>
                <w:lang w:val="lt-LT"/>
              </w:rPr>
              <w:t>Rizikos vertinimas</w:t>
            </w:r>
          </w:p>
        </w:tc>
        <w:tc>
          <w:tcPr>
            <w:tcW w:w="1139" w:type="dxa"/>
            <w:gridSpan w:val="10"/>
            <w:vAlign w:val="center"/>
          </w:tcPr>
          <w:p w:rsidR="00104405" w:rsidRPr="004273CC" w:rsidRDefault="00104405" w:rsidP="00065FB5">
            <w:pPr>
              <w:tabs>
                <w:tab w:val="left" w:pos="510"/>
              </w:tabs>
              <w:jc w:val="center"/>
              <w:rPr>
                <w:b/>
                <w:lang w:val="lt-LT"/>
              </w:rPr>
            </w:pPr>
            <w:r w:rsidRPr="004273CC">
              <w:rPr>
                <w:b/>
                <w:lang w:val="lt-LT"/>
              </w:rPr>
              <w:t>Pastabos</w:t>
            </w:r>
          </w:p>
        </w:tc>
        <w:tc>
          <w:tcPr>
            <w:tcW w:w="2973" w:type="dxa"/>
            <w:gridSpan w:val="20"/>
          </w:tcPr>
          <w:p w:rsidR="00104405" w:rsidRPr="004273CC" w:rsidRDefault="00104405" w:rsidP="00065FB5">
            <w:pPr>
              <w:tabs>
                <w:tab w:val="left" w:pos="510"/>
              </w:tabs>
              <w:jc w:val="center"/>
              <w:rPr>
                <w:b/>
                <w:lang w:val="lt-LT"/>
              </w:rPr>
            </w:pPr>
            <w:r w:rsidRPr="004273CC">
              <w:rPr>
                <w:b/>
                <w:lang w:val="lt-LT"/>
              </w:rPr>
              <w:t>Rizikos vertinimas</w:t>
            </w:r>
          </w:p>
        </w:tc>
        <w:tc>
          <w:tcPr>
            <w:tcW w:w="1441" w:type="dxa"/>
            <w:gridSpan w:val="2"/>
          </w:tcPr>
          <w:p w:rsidR="00104405" w:rsidRPr="004273CC" w:rsidRDefault="00104405" w:rsidP="00065FB5">
            <w:pPr>
              <w:tabs>
                <w:tab w:val="left" w:pos="510"/>
              </w:tabs>
              <w:jc w:val="center"/>
              <w:rPr>
                <w:b/>
                <w:lang w:val="lt-LT"/>
              </w:rPr>
            </w:pPr>
            <w:r w:rsidRPr="004273CC">
              <w:rPr>
                <w:b/>
                <w:lang w:val="lt-LT"/>
              </w:rPr>
              <w:t>Pastabos</w:t>
            </w:r>
          </w:p>
        </w:tc>
      </w:tr>
      <w:tr w:rsidR="00104405" w:rsidRPr="004273CC" w:rsidTr="001C0D02">
        <w:trPr>
          <w:cantSplit/>
          <w:trHeight w:val="985"/>
        </w:trPr>
        <w:tc>
          <w:tcPr>
            <w:tcW w:w="774" w:type="dxa"/>
          </w:tcPr>
          <w:p w:rsidR="00104405" w:rsidRPr="004273CC" w:rsidRDefault="00104405" w:rsidP="00065FB5">
            <w:pPr>
              <w:tabs>
                <w:tab w:val="left" w:pos="510"/>
              </w:tabs>
              <w:jc w:val="center"/>
              <w:rPr>
                <w:b/>
                <w:lang w:val="lt-LT"/>
              </w:rPr>
            </w:pPr>
            <w:r>
              <w:rPr>
                <w:b/>
                <w:lang w:val="lt-LT"/>
              </w:rPr>
              <w:t>Tipas</w:t>
            </w:r>
          </w:p>
        </w:tc>
        <w:tc>
          <w:tcPr>
            <w:tcW w:w="3427" w:type="dxa"/>
            <w:gridSpan w:val="6"/>
          </w:tcPr>
          <w:p w:rsidR="00104405" w:rsidRPr="004273CC" w:rsidRDefault="00104405" w:rsidP="00065FB5">
            <w:pPr>
              <w:tabs>
                <w:tab w:val="left" w:pos="510"/>
              </w:tabs>
              <w:jc w:val="center"/>
              <w:rPr>
                <w:b/>
                <w:lang w:val="lt-LT"/>
              </w:rPr>
            </w:pPr>
            <w:r w:rsidRPr="004273CC">
              <w:rPr>
                <w:b/>
                <w:lang w:val="lt-LT"/>
              </w:rPr>
              <w:t>Veiksniai</w:t>
            </w:r>
          </w:p>
        </w:tc>
        <w:tc>
          <w:tcPr>
            <w:tcW w:w="548" w:type="dxa"/>
            <w:gridSpan w:val="7"/>
            <w:vMerge/>
          </w:tcPr>
          <w:p w:rsidR="00104405" w:rsidRPr="004273CC" w:rsidRDefault="00104405" w:rsidP="00065FB5">
            <w:pPr>
              <w:tabs>
                <w:tab w:val="left" w:pos="510"/>
              </w:tabs>
              <w:jc w:val="center"/>
              <w:rPr>
                <w:lang w:val="lt-LT"/>
              </w:rPr>
            </w:pPr>
          </w:p>
        </w:tc>
        <w:tc>
          <w:tcPr>
            <w:tcW w:w="567" w:type="dxa"/>
            <w:gridSpan w:val="7"/>
            <w:vMerge/>
          </w:tcPr>
          <w:p w:rsidR="00104405" w:rsidRPr="004273CC" w:rsidRDefault="00104405" w:rsidP="00065FB5">
            <w:pPr>
              <w:tabs>
                <w:tab w:val="left" w:pos="510"/>
              </w:tabs>
              <w:jc w:val="center"/>
              <w:rPr>
                <w:lang w:val="lt-LT"/>
              </w:rPr>
            </w:pPr>
          </w:p>
        </w:tc>
        <w:tc>
          <w:tcPr>
            <w:tcW w:w="1132" w:type="dxa"/>
            <w:gridSpan w:val="7"/>
          </w:tcPr>
          <w:p w:rsidR="00104405" w:rsidRPr="004273CC" w:rsidRDefault="00104405" w:rsidP="00065FB5">
            <w:pPr>
              <w:tabs>
                <w:tab w:val="left" w:pos="510"/>
              </w:tabs>
              <w:jc w:val="center"/>
              <w:rPr>
                <w:lang w:val="lt-LT"/>
              </w:rPr>
            </w:pPr>
            <w:r w:rsidRPr="004273CC">
              <w:rPr>
                <w:lang w:val="lt-LT"/>
              </w:rPr>
              <w:t>Tikimybė (1-5)</w:t>
            </w:r>
          </w:p>
        </w:tc>
        <w:tc>
          <w:tcPr>
            <w:tcW w:w="704" w:type="dxa"/>
            <w:gridSpan w:val="8"/>
          </w:tcPr>
          <w:p w:rsidR="00104405" w:rsidRPr="004273CC" w:rsidRDefault="00104405" w:rsidP="00065FB5">
            <w:pPr>
              <w:tabs>
                <w:tab w:val="left" w:pos="510"/>
              </w:tabs>
              <w:jc w:val="center"/>
              <w:rPr>
                <w:lang w:val="lt-LT"/>
              </w:rPr>
            </w:pPr>
            <w:r w:rsidRPr="004273CC">
              <w:rPr>
                <w:lang w:val="lt-LT"/>
              </w:rPr>
              <w:t>Įtaka</w:t>
            </w:r>
          </w:p>
          <w:p w:rsidR="00104405" w:rsidRPr="004273CC" w:rsidRDefault="00104405" w:rsidP="00065FB5">
            <w:pPr>
              <w:tabs>
                <w:tab w:val="left" w:pos="510"/>
              </w:tabs>
              <w:jc w:val="center"/>
              <w:rPr>
                <w:lang w:val="lt-LT"/>
              </w:rPr>
            </w:pPr>
            <w:r w:rsidRPr="004273CC">
              <w:rPr>
                <w:lang w:val="lt-LT"/>
              </w:rPr>
              <w:t>(1-5)</w:t>
            </w:r>
          </w:p>
        </w:tc>
        <w:tc>
          <w:tcPr>
            <w:tcW w:w="1153" w:type="dxa"/>
            <w:gridSpan w:val="7"/>
          </w:tcPr>
          <w:p w:rsidR="00104405" w:rsidRPr="004273CC" w:rsidRDefault="00104405" w:rsidP="00065FB5">
            <w:pPr>
              <w:tabs>
                <w:tab w:val="left" w:pos="510"/>
              </w:tabs>
              <w:jc w:val="center"/>
              <w:rPr>
                <w:lang w:val="lt-LT"/>
              </w:rPr>
            </w:pPr>
            <w:r w:rsidRPr="004273CC">
              <w:rPr>
                <w:lang w:val="lt-LT"/>
              </w:rPr>
              <w:t>Tikimybė * Įtaka</w:t>
            </w:r>
          </w:p>
        </w:tc>
        <w:tc>
          <w:tcPr>
            <w:tcW w:w="1139" w:type="dxa"/>
            <w:gridSpan w:val="10"/>
          </w:tcPr>
          <w:p w:rsidR="00104405" w:rsidRPr="004273CC" w:rsidRDefault="00104405" w:rsidP="00065FB5">
            <w:pPr>
              <w:tabs>
                <w:tab w:val="left" w:pos="510"/>
              </w:tabs>
              <w:jc w:val="both"/>
              <w:rPr>
                <w:b/>
                <w:lang w:val="lt-LT"/>
              </w:rPr>
            </w:pPr>
          </w:p>
        </w:tc>
        <w:tc>
          <w:tcPr>
            <w:tcW w:w="1132" w:type="dxa"/>
            <w:gridSpan w:val="8"/>
          </w:tcPr>
          <w:p w:rsidR="00104405" w:rsidRPr="004273CC" w:rsidRDefault="00104405" w:rsidP="00065FB5">
            <w:pPr>
              <w:tabs>
                <w:tab w:val="left" w:pos="510"/>
              </w:tabs>
              <w:jc w:val="center"/>
              <w:rPr>
                <w:lang w:val="lt-LT"/>
              </w:rPr>
            </w:pPr>
            <w:r w:rsidRPr="004273CC">
              <w:rPr>
                <w:lang w:val="lt-LT"/>
              </w:rPr>
              <w:t>Tikimybė (1-5)</w:t>
            </w:r>
          </w:p>
        </w:tc>
        <w:tc>
          <w:tcPr>
            <w:tcW w:w="708" w:type="dxa"/>
            <w:gridSpan w:val="6"/>
          </w:tcPr>
          <w:p w:rsidR="00104405" w:rsidRPr="004273CC" w:rsidRDefault="00104405" w:rsidP="00065FB5">
            <w:pPr>
              <w:tabs>
                <w:tab w:val="left" w:pos="510"/>
              </w:tabs>
              <w:jc w:val="center"/>
              <w:rPr>
                <w:lang w:val="lt-LT"/>
              </w:rPr>
            </w:pPr>
            <w:r w:rsidRPr="004273CC">
              <w:rPr>
                <w:lang w:val="lt-LT"/>
              </w:rPr>
              <w:t>Įtaka</w:t>
            </w:r>
          </w:p>
          <w:p w:rsidR="00104405" w:rsidRPr="004273CC" w:rsidRDefault="00104405" w:rsidP="00065FB5">
            <w:pPr>
              <w:tabs>
                <w:tab w:val="left" w:pos="510"/>
              </w:tabs>
              <w:jc w:val="center"/>
              <w:rPr>
                <w:lang w:val="lt-LT"/>
              </w:rPr>
            </w:pPr>
            <w:r w:rsidRPr="004273CC">
              <w:rPr>
                <w:lang w:val="lt-LT"/>
              </w:rPr>
              <w:t>(1-5)</w:t>
            </w:r>
          </w:p>
        </w:tc>
        <w:tc>
          <w:tcPr>
            <w:tcW w:w="1133" w:type="dxa"/>
            <w:gridSpan w:val="6"/>
          </w:tcPr>
          <w:p w:rsidR="00104405" w:rsidRPr="004273CC" w:rsidRDefault="00104405" w:rsidP="00065FB5">
            <w:pPr>
              <w:tabs>
                <w:tab w:val="left" w:pos="510"/>
              </w:tabs>
              <w:jc w:val="center"/>
              <w:rPr>
                <w:lang w:val="lt-LT"/>
              </w:rPr>
            </w:pPr>
            <w:r w:rsidRPr="004273CC">
              <w:rPr>
                <w:lang w:val="lt-LT"/>
              </w:rPr>
              <w:t>Tikimybė * Įtaka</w:t>
            </w:r>
          </w:p>
        </w:tc>
        <w:tc>
          <w:tcPr>
            <w:tcW w:w="1441" w:type="dxa"/>
            <w:gridSpan w:val="2"/>
          </w:tcPr>
          <w:p w:rsidR="00104405" w:rsidRPr="004273CC" w:rsidRDefault="00104405" w:rsidP="00065FB5">
            <w:pPr>
              <w:tabs>
                <w:tab w:val="left" w:pos="510"/>
              </w:tabs>
              <w:jc w:val="both"/>
              <w:rPr>
                <w:b/>
                <w:lang w:val="lt-LT"/>
              </w:rPr>
            </w:pPr>
          </w:p>
        </w:tc>
      </w:tr>
      <w:tr w:rsidR="001C0D02" w:rsidRPr="004273CC" w:rsidTr="001C0D02">
        <w:trPr>
          <w:cantSplit/>
        </w:trPr>
        <w:tc>
          <w:tcPr>
            <w:tcW w:w="774" w:type="dxa"/>
            <w:vMerge w:val="restart"/>
            <w:textDirection w:val="btLr"/>
          </w:tcPr>
          <w:p w:rsidR="001C0D02" w:rsidRPr="002E216D" w:rsidRDefault="001C0D02" w:rsidP="00065FB5">
            <w:pPr>
              <w:tabs>
                <w:tab w:val="left" w:pos="510"/>
              </w:tabs>
              <w:ind w:left="113" w:right="113"/>
              <w:jc w:val="center"/>
              <w:rPr>
                <w:b/>
                <w:lang w:val="lt-LT"/>
              </w:rPr>
            </w:pPr>
            <w:r w:rsidRPr="002E216D">
              <w:rPr>
                <w:b/>
                <w:lang w:val="lt-LT"/>
              </w:rPr>
              <w:t>Ilgalaikis turtas</w:t>
            </w:r>
          </w:p>
        </w:tc>
        <w:tc>
          <w:tcPr>
            <w:tcW w:w="3427" w:type="dxa"/>
            <w:gridSpan w:val="6"/>
          </w:tcPr>
          <w:p w:rsidR="001C0D02" w:rsidRPr="004273CC" w:rsidRDefault="001C0D02" w:rsidP="00065FB5">
            <w:pPr>
              <w:tabs>
                <w:tab w:val="left" w:pos="510"/>
              </w:tabs>
              <w:jc w:val="both"/>
              <w:rPr>
                <w:lang w:val="lt-LT"/>
              </w:rPr>
            </w:pPr>
            <w:r>
              <w:rPr>
                <w:lang w:val="lt-LT"/>
              </w:rPr>
              <w:t>Įmonės ilgalaikis turtas gali būti nesunkiai realizuojamas</w:t>
            </w:r>
          </w:p>
        </w:tc>
        <w:tc>
          <w:tcPr>
            <w:tcW w:w="548" w:type="dxa"/>
            <w:gridSpan w:val="7"/>
          </w:tcPr>
          <w:p w:rsidR="001C0D02" w:rsidRPr="004273CC" w:rsidRDefault="001C0D02" w:rsidP="00065FB5">
            <w:pPr>
              <w:tabs>
                <w:tab w:val="left" w:pos="510"/>
              </w:tabs>
              <w:jc w:val="both"/>
              <w:rPr>
                <w:lang w:val="lt-LT"/>
              </w:rPr>
            </w:pPr>
            <w:r>
              <w:rPr>
                <w:lang w:val="lt-LT"/>
              </w:rPr>
              <w:t>B</w:t>
            </w:r>
          </w:p>
        </w:tc>
        <w:tc>
          <w:tcPr>
            <w:tcW w:w="567" w:type="dxa"/>
            <w:gridSpan w:val="7"/>
          </w:tcPr>
          <w:p w:rsidR="001C0D02" w:rsidRPr="004273CC" w:rsidRDefault="001C0D02" w:rsidP="00065FB5">
            <w:pPr>
              <w:tabs>
                <w:tab w:val="left" w:pos="510"/>
              </w:tabs>
              <w:jc w:val="both"/>
              <w:rPr>
                <w:lang w:val="lt-LT"/>
              </w:rPr>
            </w:pPr>
            <w:r>
              <w:rPr>
                <w:lang w:val="lt-LT"/>
              </w:rPr>
              <w:t>IR</w:t>
            </w:r>
          </w:p>
        </w:tc>
        <w:tc>
          <w:tcPr>
            <w:tcW w:w="1132" w:type="dxa"/>
            <w:gridSpan w:val="7"/>
          </w:tcPr>
          <w:p w:rsidR="001C0D02" w:rsidRPr="008E1506" w:rsidRDefault="001C0D02" w:rsidP="00065FB5">
            <w:pPr>
              <w:tabs>
                <w:tab w:val="left" w:pos="510"/>
              </w:tabs>
              <w:jc w:val="center"/>
              <w:rPr>
                <w:b/>
                <w:lang w:val="lt-LT"/>
              </w:rPr>
            </w:pPr>
            <w:r w:rsidRPr="008E1506">
              <w:rPr>
                <w:b/>
                <w:lang w:val="lt-LT"/>
              </w:rPr>
              <w:t>1</w:t>
            </w:r>
          </w:p>
        </w:tc>
        <w:tc>
          <w:tcPr>
            <w:tcW w:w="704" w:type="dxa"/>
            <w:gridSpan w:val="8"/>
          </w:tcPr>
          <w:p w:rsidR="001C0D02" w:rsidRPr="008E1506" w:rsidRDefault="001C0D02" w:rsidP="00065FB5">
            <w:pPr>
              <w:tabs>
                <w:tab w:val="left" w:pos="510"/>
              </w:tabs>
              <w:jc w:val="center"/>
              <w:rPr>
                <w:b/>
                <w:lang w:val="lt-LT"/>
              </w:rPr>
            </w:pPr>
            <w:r>
              <w:rPr>
                <w:b/>
                <w:lang w:val="lt-LT"/>
              </w:rPr>
              <w:t>2</w:t>
            </w:r>
          </w:p>
        </w:tc>
        <w:tc>
          <w:tcPr>
            <w:tcW w:w="1153" w:type="dxa"/>
            <w:gridSpan w:val="7"/>
          </w:tcPr>
          <w:p w:rsidR="001C0D02" w:rsidRPr="008E1506" w:rsidRDefault="001C0D02" w:rsidP="00065FB5">
            <w:pPr>
              <w:tabs>
                <w:tab w:val="left" w:pos="510"/>
              </w:tabs>
              <w:jc w:val="center"/>
              <w:rPr>
                <w:b/>
                <w:lang w:val="lt-LT"/>
              </w:rPr>
            </w:pPr>
            <w:r>
              <w:rPr>
                <w:b/>
                <w:lang w:val="lt-LT"/>
              </w:rPr>
              <w:t>2</w:t>
            </w:r>
          </w:p>
        </w:tc>
        <w:tc>
          <w:tcPr>
            <w:tcW w:w="1139" w:type="dxa"/>
            <w:gridSpan w:val="10"/>
          </w:tcPr>
          <w:p w:rsidR="001C0D02" w:rsidRPr="004273CC" w:rsidRDefault="001C0D02" w:rsidP="00065FB5">
            <w:pPr>
              <w:tabs>
                <w:tab w:val="left" w:pos="510"/>
              </w:tabs>
              <w:jc w:val="both"/>
              <w:rPr>
                <w:lang w:val="lt-LT"/>
              </w:rPr>
            </w:pPr>
            <w:r>
              <w:rPr>
                <w:lang w:val="lt-LT"/>
              </w:rPr>
              <w:t>Eliminuojama</w:t>
            </w:r>
          </w:p>
        </w:tc>
        <w:tc>
          <w:tcPr>
            <w:tcW w:w="1132" w:type="dxa"/>
            <w:gridSpan w:val="8"/>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Default="001C0D02" w:rsidP="00065FB5">
            <w:pPr>
              <w:tabs>
                <w:tab w:val="left" w:pos="510"/>
              </w:tabs>
              <w:jc w:val="both"/>
              <w:rPr>
                <w:lang w:val="lt-LT"/>
              </w:rPr>
            </w:pPr>
          </w:p>
        </w:tc>
        <w:tc>
          <w:tcPr>
            <w:tcW w:w="3427" w:type="dxa"/>
            <w:gridSpan w:val="6"/>
          </w:tcPr>
          <w:p w:rsidR="001C0D02" w:rsidRDefault="001C0D02" w:rsidP="00065FB5">
            <w:pPr>
              <w:tabs>
                <w:tab w:val="left" w:pos="510"/>
              </w:tabs>
              <w:jc w:val="both"/>
              <w:rPr>
                <w:lang w:val="lt-LT"/>
              </w:rPr>
            </w:pPr>
            <w:r>
              <w:rPr>
                <w:lang w:val="lt-LT"/>
              </w:rPr>
              <w:t>Įmonėje nėra nustatytos minimalios ilgalaikio turto vertės</w:t>
            </w:r>
          </w:p>
        </w:tc>
        <w:tc>
          <w:tcPr>
            <w:tcW w:w="548" w:type="dxa"/>
            <w:gridSpan w:val="7"/>
          </w:tcPr>
          <w:p w:rsidR="001C0D02" w:rsidRDefault="001C0D02" w:rsidP="00065FB5">
            <w:pPr>
              <w:tabs>
                <w:tab w:val="left" w:pos="510"/>
              </w:tabs>
              <w:jc w:val="both"/>
              <w:rPr>
                <w:lang w:val="lt-LT"/>
              </w:rPr>
            </w:pPr>
            <w:r>
              <w:rPr>
                <w:lang w:val="lt-LT"/>
              </w:rPr>
              <w:t>V</w:t>
            </w:r>
          </w:p>
        </w:tc>
        <w:tc>
          <w:tcPr>
            <w:tcW w:w="567" w:type="dxa"/>
            <w:gridSpan w:val="7"/>
          </w:tcPr>
          <w:p w:rsidR="001C0D02" w:rsidRPr="004273CC" w:rsidRDefault="001C0D02" w:rsidP="00065FB5">
            <w:pPr>
              <w:tabs>
                <w:tab w:val="left" w:pos="510"/>
              </w:tabs>
              <w:jc w:val="both"/>
              <w:rPr>
                <w:lang w:val="lt-LT"/>
              </w:rPr>
            </w:pPr>
            <w:r>
              <w:rPr>
                <w:lang w:val="lt-LT"/>
              </w:rPr>
              <w:t>KR</w:t>
            </w:r>
          </w:p>
        </w:tc>
        <w:tc>
          <w:tcPr>
            <w:tcW w:w="1132" w:type="dxa"/>
            <w:gridSpan w:val="7"/>
          </w:tcPr>
          <w:p w:rsidR="001C0D02" w:rsidRPr="004273CC" w:rsidRDefault="001C0D02" w:rsidP="00065FB5">
            <w:pPr>
              <w:tabs>
                <w:tab w:val="left" w:pos="510"/>
              </w:tabs>
              <w:jc w:val="both"/>
              <w:rPr>
                <w:lang w:val="lt-LT"/>
              </w:rPr>
            </w:pPr>
          </w:p>
        </w:tc>
        <w:tc>
          <w:tcPr>
            <w:tcW w:w="704" w:type="dxa"/>
            <w:gridSpan w:val="8"/>
          </w:tcPr>
          <w:p w:rsidR="001C0D02" w:rsidRPr="004273CC" w:rsidRDefault="001C0D02" w:rsidP="00065FB5">
            <w:pPr>
              <w:tabs>
                <w:tab w:val="left" w:pos="510"/>
              </w:tabs>
              <w:jc w:val="both"/>
              <w:rPr>
                <w:lang w:val="lt-LT"/>
              </w:rPr>
            </w:pPr>
          </w:p>
        </w:tc>
        <w:tc>
          <w:tcPr>
            <w:tcW w:w="1153" w:type="dxa"/>
            <w:gridSpan w:val="7"/>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r>
              <w:rPr>
                <w:lang w:val="lt-LT"/>
              </w:rPr>
              <w:t>Yra</w:t>
            </w:r>
          </w:p>
        </w:tc>
        <w:tc>
          <w:tcPr>
            <w:tcW w:w="1132" w:type="dxa"/>
            <w:gridSpan w:val="8"/>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Default="001C0D02" w:rsidP="00065FB5">
            <w:pPr>
              <w:tabs>
                <w:tab w:val="left" w:pos="510"/>
              </w:tabs>
              <w:jc w:val="both"/>
              <w:rPr>
                <w:lang w:val="lt-LT"/>
              </w:rPr>
            </w:pPr>
          </w:p>
        </w:tc>
        <w:tc>
          <w:tcPr>
            <w:tcW w:w="3427" w:type="dxa"/>
            <w:gridSpan w:val="6"/>
          </w:tcPr>
          <w:p w:rsidR="001C0D02" w:rsidRDefault="001C0D02" w:rsidP="00065FB5">
            <w:pPr>
              <w:tabs>
                <w:tab w:val="left" w:pos="510"/>
              </w:tabs>
              <w:jc w:val="both"/>
              <w:rPr>
                <w:lang w:val="lt-LT"/>
              </w:rPr>
            </w:pPr>
            <w:r>
              <w:rPr>
                <w:lang w:val="lt-LT"/>
              </w:rPr>
              <w:t>Ilgalaikio turto apskaita nėra visiškai kompiuterizuota</w:t>
            </w:r>
          </w:p>
        </w:tc>
        <w:tc>
          <w:tcPr>
            <w:tcW w:w="548" w:type="dxa"/>
            <w:gridSpan w:val="7"/>
          </w:tcPr>
          <w:p w:rsidR="001C0D02" w:rsidRDefault="001C0D02" w:rsidP="00065FB5">
            <w:pPr>
              <w:tabs>
                <w:tab w:val="left" w:pos="510"/>
              </w:tabs>
              <w:jc w:val="both"/>
              <w:rPr>
                <w:lang w:val="lt-LT"/>
              </w:rPr>
            </w:pPr>
            <w:r>
              <w:rPr>
                <w:lang w:val="lt-LT"/>
              </w:rPr>
              <w:t>V</w:t>
            </w:r>
          </w:p>
        </w:tc>
        <w:tc>
          <w:tcPr>
            <w:tcW w:w="567" w:type="dxa"/>
            <w:gridSpan w:val="7"/>
          </w:tcPr>
          <w:p w:rsidR="001C0D02" w:rsidRPr="004273CC" w:rsidRDefault="001C0D02" w:rsidP="00065FB5">
            <w:pPr>
              <w:tabs>
                <w:tab w:val="left" w:pos="510"/>
              </w:tabs>
              <w:jc w:val="both"/>
              <w:rPr>
                <w:lang w:val="lt-LT"/>
              </w:rPr>
            </w:pPr>
            <w:r>
              <w:rPr>
                <w:lang w:val="lt-LT"/>
              </w:rPr>
              <w:t>KR</w:t>
            </w:r>
          </w:p>
        </w:tc>
        <w:tc>
          <w:tcPr>
            <w:tcW w:w="1132" w:type="dxa"/>
            <w:gridSpan w:val="7"/>
          </w:tcPr>
          <w:p w:rsidR="001C0D02" w:rsidRPr="004273CC" w:rsidRDefault="001C0D02" w:rsidP="00065FB5">
            <w:pPr>
              <w:tabs>
                <w:tab w:val="left" w:pos="510"/>
              </w:tabs>
              <w:jc w:val="both"/>
              <w:rPr>
                <w:lang w:val="lt-LT"/>
              </w:rPr>
            </w:pPr>
          </w:p>
        </w:tc>
        <w:tc>
          <w:tcPr>
            <w:tcW w:w="704" w:type="dxa"/>
            <w:gridSpan w:val="8"/>
          </w:tcPr>
          <w:p w:rsidR="001C0D02" w:rsidRPr="004273CC" w:rsidRDefault="001C0D02" w:rsidP="00065FB5">
            <w:pPr>
              <w:tabs>
                <w:tab w:val="left" w:pos="510"/>
              </w:tabs>
              <w:jc w:val="both"/>
              <w:rPr>
                <w:lang w:val="lt-LT"/>
              </w:rPr>
            </w:pPr>
          </w:p>
        </w:tc>
        <w:tc>
          <w:tcPr>
            <w:tcW w:w="1153" w:type="dxa"/>
            <w:gridSpan w:val="7"/>
          </w:tcPr>
          <w:p w:rsidR="001C0D02" w:rsidRPr="004273CC" w:rsidRDefault="001C0D02" w:rsidP="00065FB5">
            <w:pPr>
              <w:tabs>
                <w:tab w:val="left" w:pos="510"/>
              </w:tabs>
              <w:jc w:val="both"/>
              <w:rPr>
                <w:lang w:val="lt-LT"/>
              </w:rPr>
            </w:pPr>
          </w:p>
        </w:tc>
        <w:tc>
          <w:tcPr>
            <w:tcW w:w="1139" w:type="dxa"/>
            <w:gridSpan w:val="10"/>
          </w:tcPr>
          <w:p w:rsidR="001C0D02" w:rsidRDefault="001C0D02" w:rsidP="00065FB5">
            <w:pPr>
              <w:tabs>
                <w:tab w:val="left" w:pos="510"/>
              </w:tabs>
              <w:jc w:val="both"/>
              <w:rPr>
                <w:lang w:val="lt-LT"/>
              </w:rPr>
            </w:pPr>
            <w:r>
              <w:rPr>
                <w:lang w:val="lt-LT"/>
              </w:rPr>
              <w:t>Yra</w:t>
            </w:r>
          </w:p>
        </w:tc>
        <w:tc>
          <w:tcPr>
            <w:tcW w:w="1132" w:type="dxa"/>
            <w:gridSpan w:val="8"/>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Pr="004273CC" w:rsidRDefault="001C0D02" w:rsidP="00065FB5">
            <w:pPr>
              <w:tabs>
                <w:tab w:val="left" w:pos="510"/>
              </w:tabs>
              <w:jc w:val="both"/>
              <w:rPr>
                <w:lang w:val="lt-LT"/>
              </w:rPr>
            </w:pPr>
          </w:p>
        </w:tc>
        <w:tc>
          <w:tcPr>
            <w:tcW w:w="3427" w:type="dxa"/>
            <w:gridSpan w:val="6"/>
          </w:tcPr>
          <w:p w:rsidR="001C0D02" w:rsidRPr="004273CC" w:rsidRDefault="001C0D02" w:rsidP="00065FB5">
            <w:pPr>
              <w:tabs>
                <w:tab w:val="left" w:pos="510"/>
              </w:tabs>
              <w:jc w:val="both"/>
              <w:rPr>
                <w:lang w:val="lt-LT"/>
              </w:rPr>
            </w:pPr>
            <w:r>
              <w:rPr>
                <w:lang w:val="lt-LT"/>
              </w:rPr>
              <w:t xml:space="preserve">Nenustatyti ilgalaikio turto nusidėvėjimo skaičiavimo metodai </w:t>
            </w:r>
          </w:p>
        </w:tc>
        <w:tc>
          <w:tcPr>
            <w:tcW w:w="548" w:type="dxa"/>
            <w:gridSpan w:val="7"/>
          </w:tcPr>
          <w:p w:rsidR="001C0D02" w:rsidRPr="004273CC" w:rsidRDefault="001C0D02" w:rsidP="00065FB5">
            <w:pPr>
              <w:tabs>
                <w:tab w:val="left" w:pos="510"/>
              </w:tabs>
              <w:jc w:val="both"/>
              <w:rPr>
                <w:lang w:val="lt-LT"/>
              </w:rPr>
            </w:pPr>
            <w:r>
              <w:rPr>
                <w:lang w:val="lt-LT"/>
              </w:rPr>
              <w:t>V</w:t>
            </w:r>
          </w:p>
        </w:tc>
        <w:tc>
          <w:tcPr>
            <w:tcW w:w="567" w:type="dxa"/>
            <w:gridSpan w:val="7"/>
          </w:tcPr>
          <w:p w:rsidR="001C0D02" w:rsidRPr="004273CC" w:rsidRDefault="001C0D02" w:rsidP="00065FB5">
            <w:pPr>
              <w:tabs>
                <w:tab w:val="left" w:pos="510"/>
              </w:tabs>
              <w:jc w:val="both"/>
              <w:rPr>
                <w:lang w:val="lt-LT"/>
              </w:rPr>
            </w:pPr>
            <w:r>
              <w:rPr>
                <w:lang w:val="lt-LT"/>
              </w:rPr>
              <w:t>KR</w:t>
            </w:r>
          </w:p>
        </w:tc>
        <w:tc>
          <w:tcPr>
            <w:tcW w:w="1132" w:type="dxa"/>
            <w:gridSpan w:val="7"/>
          </w:tcPr>
          <w:p w:rsidR="001C0D02" w:rsidRPr="004273CC" w:rsidRDefault="001C0D02" w:rsidP="00065FB5">
            <w:pPr>
              <w:tabs>
                <w:tab w:val="left" w:pos="510"/>
              </w:tabs>
              <w:jc w:val="both"/>
              <w:rPr>
                <w:lang w:val="lt-LT"/>
              </w:rPr>
            </w:pPr>
          </w:p>
        </w:tc>
        <w:tc>
          <w:tcPr>
            <w:tcW w:w="704" w:type="dxa"/>
            <w:gridSpan w:val="8"/>
          </w:tcPr>
          <w:p w:rsidR="001C0D02" w:rsidRPr="004273CC" w:rsidRDefault="001C0D02" w:rsidP="00065FB5">
            <w:pPr>
              <w:tabs>
                <w:tab w:val="left" w:pos="510"/>
              </w:tabs>
              <w:jc w:val="both"/>
              <w:rPr>
                <w:lang w:val="lt-LT"/>
              </w:rPr>
            </w:pPr>
          </w:p>
        </w:tc>
        <w:tc>
          <w:tcPr>
            <w:tcW w:w="1153" w:type="dxa"/>
            <w:gridSpan w:val="7"/>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r>
              <w:rPr>
                <w:lang w:val="lt-LT"/>
              </w:rPr>
              <w:t>Nustatyti</w:t>
            </w:r>
          </w:p>
        </w:tc>
        <w:tc>
          <w:tcPr>
            <w:tcW w:w="1132" w:type="dxa"/>
            <w:gridSpan w:val="8"/>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Pr="004273CC" w:rsidRDefault="001C0D02" w:rsidP="00065FB5">
            <w:pPr>
              <w:tabs>
                <w:tab w:val="left" w:pos="510"/>
              </w:tabs>
              <w:jc w:val="both"/>
              <w:rPr>
                <w:lang w:val="lt-LT"/>
              </w:rPr>
            </w:pPr>
          </w:p>
        </w:tc>
        <w:tc>
          <w:tcPr>
            <w:tcW w:w="3427" w:type="dxa"/>
            <w:gridSpan w:val="6"/>
          </w:tcPr>
          <w:p w:rsidR="001C0D02" w:rsidRDefault="001C0D02" w:rsidP="00065FB5">
            <w:pPr>
              <w:tabs>
                <w:tab w:val="left" w:pos="510"/>
              </w:tabs>
              <w:jc w:val="both"/>
              <w:rPr>
                <w:lang w:val="lt-LT"/>
              </w:rPr>
            </w:pPr>
            <w:r>
              <w:rPr>
                <w:lang w:val="lt-LT"/>
              </w:rPr>
              <w:t>Nusidėvėjimo skaičiavimo metodai nėra nuosekliai taikomi</w:t>
            </w:r>
          </w:p>
        </w:tc>
        <w:tc>
          <w:tcPr>
            <w:tcW w:w="548" w:type="dxa"/>
            <w:gridSpan w:val="7"/>
          </w:tcPr>
          <w:p w:rsidR="001C0D02" w:rsidRDefault="001C0D02" w:rsidP="00065FB5">
            <w:pPr>
              <w:tabs>
                <w:tab w:val="left" w:pos="510"/>
              </w:tabs>
              <w:jc w:val="both"/>
              <w:rPr>
                <w:lang w:val="lt-LT"/>
              </w:rPr>
            </w:pPr>
            <w:r>
              <w:rPr>
                <w:lang w:val="lt-LT"/>
              </w:rPr>
              <w:t>V</w:t>
            </w:r>
          </w:p>
        </w:tc>
        <w:tc>
          <w:tcPr>
            <w:tcW w:w="567" w:type="dxa"/>
            <w:gridSpan w:val="7"/>
          </w:tcPr>
          <w:p w:rsidR="001C0D02" w:rsidRPr="004273CC" w:rsidRDefault="001C0D02" w:rsidP="00065FB5">
            <w:pPr>
              <w:tabs>
                <w:tab w:val="left" w:pos="510"/>
              </w:tabs>
              <w:jc w:val="both"/>
              <w:rPr>
                <w:lang w:val="lt-LT"/>
              </w:rPr>
            </w:pPr>
            <w:r>
              <w:rPr>
                <w:lang w:val="lt-LT"/>
              </w:rPr>
              <w:t>KR</w:t>
            </w:r>
          </w:p>
        </w:tc>
        <w:tc>
          <w:tcPr>
            <w:tcW w:w="1132" w:type="dxa"/>
            <w:gridSpan w:val="7"/>
          </w:tcPr>
          <w:p w:rsidR="001C0D02" w:rsidRPr="0019292B" w:rsidRDefault="001C0D02" w:rsidP="00065FB5">
            <w:pPr>
              <w:tabs>
                <w:tab w:val="left" w:pos="510"/>
              </w:tabs>
              <w:jc w:val="center"/>
              <w:rPr>
                <w:b/>
                <w:lang w:val="lt-LT"/>
              </w:rPr>
            </w:pPr>
          </w:p>
        </w:tc>
        <w:tc>
          <w:tcPr>
            <w:tcW w:w="704" w:type="dxa"/>
            <w:gridSpan w:val="8"/>
          </w:tcPr>
          <w:p w:rsidR="001C0D02" w:rsidRPr="0019292B" w:rsidRDefault="001C0D02" w:rsidP="00065FB5">
            <w:pPr>
              <w:tabs>
                <w:tab w:val="left" w:pos="510"/>
              </w:tabs>
              <w:jc w:val="center"/>
              <w:rPr>
                <w:b/>
                <w:lang w:val="lt-LT"/>
              </w:rPr>
            </w:pPr>
          </w:p>
        </w:tc>
        <w:tc>
          <w:tcPr>
            <w:tcW w:w="1153" w:type="dxa"/>
            <w:gridSpan w:val="7"/>
          </w:tcPr>
          <w:p w:rsidR="001C0D02" w:rsidRPr="0019292B" w:rsidRDefault="001C0D02" w:rsidP="00065FB5">
            <w:pPr>
              <w:tabs>
                <w:tab w:val="left" w:pos="510"/>
              </w:tabs>
              <w:jc w:val="center"/>
              <w:rPr>
                <w:b/>
                <w:lang w:val="lt-LT"/>
              </w:rPr>
            </w:pPr>
          </w:p>
        </w:tc>
        <w:tc>
          <w:tcPr>
            <w:tcW w:w="1139" w:type="dxa"/>
            <w:gridSpan w:val="10"/>
          </w:tcPr>
          <w:p w:rsidR="001C0D02" w:rsidRPr="004273CC" w:rsidRDefault="001C0D02" w:rsidP="00065FB5">
            <w:pPr>
              <w:tabs>
                <w:tab w:val="left" w:pos="510"/>
              </w:tabs>
              <w:jc w:val="both"/>
              <w:rPr>
                <w:lang w:val="lt-LT"/>
              </w:rPr>
            </w:pPr>
            <w:r>
              <w:rPr>
                <w:lang w:val="lt-LT"/>
              </w:rPr>
              <w:t>Taikomi</w:t>
            </w:r>
          </w:p>
        </w:tc>
        <w:tc>
          <w:tcPr>
            <w:tcW w:w="1132" w:type="dxa"/>
            <w:gridSpan w:val="8"/>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Pr="004273CC" w:rsidRDefault="001C0D02" w:rsidP="00065FB5">
            <w:pPr>
              <w:tabs>
                <w:tab w:val="left" w:pos="510"/>
              </w:tabs>
              <w:jc w:val="both"/>
              <w:rPr>
                <w:lang w:val="lt-LT"/>
              </w:rPr>
            </w:pPr>
          </w:p>
        </w:tc>
        <w:tc>
          <w:tcPr>
            <w:tcW w:w="3427" w:type="dxa"/>
            <w:gridSpan w:val="6"/>
          </w:tcPr>
          <w:p w:rsidR="001C0D02" w:rsidRPr="004273CC" w:rsidRDefault="001C0D02" w:rsidP="00065FB5">
            <w:pPr>
              <w:tabs>
                <w:tab w:val="left" w:pos="510"/>
              </w:tabs>
              <w:jc w:val="both"/>
              <w:rPr>
                <w:lang w:val="lt-LT"/>
              </w:rPr>
            </w:pPr>
            <w:r>
              <w:rPr>
                <w:lang w:val="lt-LT"/>
              </w:rPr>
              <w:t>Nusidėvėjimo skaičiavimo metodai, likvidacinė vertė, minimali įsigijimo savikaina gali skirtis nuo atitinkamo sprendimo</w:t>
            </w:r>
          </w:p>
        </w:tc>
        <w:tc>
          <w:tcPr>
            <w:tcW w:w="548" w:type="dxa"/>
            <w:gridSpan w:val="7"/>
          </w:tcPr>
          <w:p w:rsidR="001C0D02" w:rsidRPr="004273CC" w:rsidRDefault="001C0D02" w:rsidP="00065FB5">
            <w:pPr>
              <w:tabs>
                <w:tab w:val="left" w:pos="510"/>
              </w:tabs>
              <w:jc w:val="both"/>
              <w:rPr>
                <w:lang w:val="lt-LT"/>
              </w:rPr>
            </w:pPr>
            <w:r>
              <w:rPr>
                <w:lang w:val="lt-LT"/>
              </w:rPr>
              <w:t>V</w:t>
            </w:r>
          </w:p>
        </w:tc>
        <w:tc>
          <w:tcPr>
            <w:tcW w:w="567" w:type="dxa"/>
            <w:gridSpan w:val="7"/>
          </w:tcPr>
          <w:p w:rsidR="001C0D02" w:rsidRPr="004273CC" w:rsidRDefault="001C0D02" w:rsidP="00065FB5">
            <w:pPr>
              <w:tabs>
                <w:tab w:val="left" w:pos="510"/>
              </w:tabs>
              <w:jc w:val="both"/>
              <w:rPr>
                <w:lang w:val="lt-LT"/>
              </w:rPr>
            </w:pPr>
            <w:r>
              <w:rPr>
                <w:lang w:val="lt-LT"/>
              </w:rPr>
              <w:t>IR</w:t>
            </w:r>
          </w:p>
        </w:tc>
        <w:tc>
          <w:tcPr>
            <w:tcW w:w="1132" w:type="dxa"/>
            <w:gridSpan w:val="7"/>
          </w:tcPr>
          <w:p w:rsidR="001C0D02" w:rsidRPr="0019292B" w:rsidRDefault="001C0D02" w:rsidP="00065FB5">
            <w:pPr>
              <w:tabs>
                <w:tab w:val="left" w:pos="510"/>
              </w:tabs>
              <w:jc w:val="center"/>
              <w:rPr>
                <w:b/>
                <w:lang w:val="lt-LT"/>
              </w:rPr>
            </w:pPr>
            <w:r>
              <w:rPr>
                <w:b/>
                <w:lang w:val="lt-LT"/>
              </w:rPr>
              <w:t>1</w:t>
            </w:r>
          </w:p>
        </w:tc>
        <w:tc>
          <w:tcPr>
            <w:tcW w:w="704" w:type="dxa"/>
            <w:gridSpan w:val="8"/>
          </w:tcPr>
          <w:p w:rsidR="001C0D02" w:rsidRPr="0019292B" w:rsidRDefault="001C0D02" w:rsidP="00065FB5">
            <w:pPr>
              <w:tabs>
                <w:tab w:val="left" w:pos="510"/>
              </w:tabs>
              <w:jc w:val="center"/>
              <w:rPr>
                <w:b/>
                <w:lang w:val="lt-LT"/>
              </w:rPr>
            </w:pPr>
            <w:r>
              <w:rPr>
                <w:b/>
                <w:lang w:val="lt-LT"/>
              </w:rPr>
              <w:t>4</w:t>
            </w:r>
          </w:p>
        </w:tc>
        <w:tc>
          <w:tcPr>
            <w:tcW w:w="1153" w:type="dxa"/>
            <w:gridSpan w:val="7"/>
          </w:tcPr>
          <w:p w:rsidR="001C0D02" w:rsidRPr="0019292B" w:rsidRDefault="001C0D02" w:rsidP="00065FB5">
            <w:pPr>
              <w:tabs>
                <w:tab w:val="left" w:pos="510"/>
              </w:tabs>
              <w:jc w:val="center"/>
              <w:rPr>
                <w:b/>
                <w:lang w:val="lt-LT"/>
              </w:rPr>
            </w:pPr>
            <w:r>
              <w:rPr>
                <w:b/>
                <w:lang w:val="lt-LT"/>
              </w:rPr>
              <w:t>4</w:t>
            </w:r>
          </w:p>
        </w:tc>
        <w:tc>
          <w:tcPr>
            <w:tcW w:w="1139" w:type="dxa"/>
            <w:gridSpan w:val="10"/>
          </w:tcPr>
          <w:p w:rsidR="001C0D02" w:rsidRPr="004273CC" w:rsidRDefault="001C0D02" w:rsidP="00065FB5">
            <w:pPr>
              <w:tabs>
                <w:tab w:val="left" w:pos="510"/>
              </w:tabs>
              <w:jc w:val="both"/>
              <w:rPr>
                <w:lang w:val="lt-LT"/>
              </w:rPr>
            </w:pPr>
          </w:p>
        </w:tc>
        <w:tc>
          <w:tcPr>
            <w:tcW w:w="1132" w:type="dxa"/>
            <w:gridSpan w:val="8"/>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Pr="004273CC" w:rsidRDefault="001C0D02" w:rsidP="00065FB5">
            <w:pPr>
              <w:tabs>
                <w:tab w:val="left" w:pos="510"/>
              </w:tabs>
              <w:jc w:val="both"/>
              <w:rPr>
                <w:lang w:val="lt-LT"/>
              </w:rPr>
            </w:pPr>
          </w:p>
        </w:tc>
        <w:tc>
          <w:tcPr>
            <w:tcW w:w="3427" w:type="dxa"/>
            <w:gridSpan w:val="6"/>
          </w:tcPr>
          <w:p w:rsidR="001C0D02" w:rsidRPr="004273CC" w:rsidRDefault="001C0D02" w:rsidP="00065FB5">
            <w:pPr>
              <w:tabs>
                <w:tab w:val="left" w:pos="510"/>
              </w:tabs>
              <w:jc w:val="both"/>
              <w:rPr>
                <w:lang w:val="lt-LT"/>
              </w:rPr>
            </w:pPr>
            <w:r>
              <w:rPr>
                <w:lang w:val="lt-LT"/>
              </w:rPr>
              <w:t xml:space="preserve">Nėra paskirtų atsakingų asmenų už ilgalaikio turto įsigijimą, perleidimą ar nurašymą </w:t>
            </w:r>
          </w:p>
        </w:tc>
        <w:tc>
          <w:tcPr>
            <w:tcW w:w="548" w:type="dxa"/>
            <w:gridSpan w:val="7"/>
          </w:tcPr>
          <w:p w:rsidR="001C0D02" w:rsidRPr="004273CC" w:rsidRDefault="001C0D02" w:rsidP="00065FB5">
            <w:pPr>
              <w:tabs>
                <w:tab w:val="left" w:pos="510"/>
              </w:tabs>
              <w:jc w:val="both"/>
              <w:rPr>
                <w:lang w:val="lt-LT"/>
              </w:rPr>
            </w:pPr>
            <w:r>
              <w:rPr>
                <w:lang w:val="lt-LT"/>
              </w:rPr>
              <w:t>T</w:t>
            </w:r>
          </w:p>
        </w:tc>
        <w:tc>
          <w:tcPr>
            <w:tcW w:w="567" w:type="dxa"/>
            <w:gridSpan w:val="7"/>
          </w:tcPr>
          <w:p w:rsidR="001C0D02" w:rsidRPr="004273CC" w:rsidRDefault="001C0D02" w:rsidP="00065FB5">
            <w:pPr>
              <w:tabs>
                <w:tab w:val="left" w:pos="510"/>
              </w:tabs>
              <w:jc w:val="both"/>
              <w:rPr>
                <w:lang w:val="lt-LT"/>
              </w:rPr>
            </w:pPr>
          </w:p>
        </w:tc>
        <w:tc>
          <w:tcPr>
            <w:tcW w:w="1132" w:type="dxa"/>
            <w:gridSpan w:val="7"/>
          </w:tcPr>
          <w:p w:rsidR="001C0D02" w:rsidRPr="0019292B" w:rsidRDefault="001C0D02" w:rsidP="00065FB5">
            <w:pPr>
              <w:tabs>
                <w:tab w:val="left" w:pos="510"/>
              </w:tabs>
              <w:jc w:val="center"/>
              <w:rPr>
                <w:b/>
                <w:lang w:val="lt-LT"/>
              </w:rPr>
            </w:pPr>
          </w:p>
        </w:tc>
        <w:tc>
          <w:tcPr>
            <w:tcW w:w="704" w:type="dxa"/>
            <w:gridSpan w:val="8"/>
          </w:tcPr>
          <w:p w:rsidR="001C0D02" w:rsidRPr="0019292B" w:rsidRDefault="001C0D02" w:rsidP="00065FB5">
            <w:pPr>
              <w:tabs>
                <w:tab w:val="left" w:pos="510"/>
              </w:tabs>
              <w:jc w:val="center"/>
              <w:rPr>
                <w:b/>
                <w:lang w:val="lt-LT"/>
              </w:rPr>
            </w:pPr>
          </w:p>
        </w:tc>
        <w:tc>
          <w:tcPr>
            <w:tcW w:w="1153" w:type="dxa"/>
            <w:gridSpan w:val="7"/>
          </w:tcPr>
          <w:p w:rsidR="001C0D02" w:rsidRPr="0019292B" w:rsidRDefault="001C0D02" w:rsidP="00065FB5">
            <w:pPr>
              <w:tabs>
                <w:tab w:val="left" w:pos="510"/>
              </w:tabs>
              <w:jc w:val="center"/>
              <w:rPr>
                <w:b/>
                <w:lang w:val="lt-LT"/>
              </w:rPr>
            </w:pPr>
          </w:p>
        </w:tc>
        <w:tc>
          <w:tcPr>
            <w:tcW w:w="1139" w:type="dxa"/>
            <w:gridSpan w:val="10"/>
          </w:tcPr>
          <w:p w:rsidR="001C0D02" w:rsidRPr="004273CC" w:rsidRDefault="001C0D02" w:rsidP="00065FB5">
            <w:pPr>
              <w:tabs>
                <w:tab w:val="left" w:pos="510"/>
              </w:tabs>
              <w:jc w:val="both"/>
              <w:rPr>
                <w:lang w:val="lt-LT"/>
              </w:rPr>
            </w:pPr>
          </w:p>
        </w:tc>
        <w:tc>
          <w:tcPr>
            <w:tcW w:w="1132" w:type="dxa"/>
            <w:gridSpan w:val="8"/>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Borders>
              <w:bottom w:val="single" w:sz="4" w:space="0" w:color="auto"/>
            </w:tcBorders>
          </w:tcPr>
          <w:p w:rsidR="001C0D02" w:rsidRPr="004273CC" w:rsidRDefault="001C0D02" w:rsidP="00065FB5">
            <w:pPr>
              <w:tabs>
                <w:tab w:val="left" w:pos="510"/>
              </w:tabs>
              <w:jc w:val="both"/>
              <w:rPr>
                <w:lang w:val="lt-LT"/>
              </w:rPr>
            </w:pPr>
          </w:p>
        </w:tc>
        <w:tc>
          <w:tcPr>
            <w:tcW w:w="3427" w:type="dxa"/>
            <w:gridSpan w:val="6"/>
            <w:tcBorders>
              <w:bottom w:val="single" w:sz="4" w:space="0" w:color="auto"/>
            </w:tcBorders>
          </w:tcPr>
          <w:p w:rsidR="001C0D02" w:rsidRDefault="001C0D02" w:rsidP="00065FB5">
            <w:pPr>
              <w:tabs>
                <w:tab w:val="left" w:pos="510"/>
              </w:tabs>
              <w:jc w:val="both"/>
              <w:rPr>
                <w:lang w:val="lt-LT"/>
              </w:rPr>
            </w:pPr>
            <w:r>
              <w:rPr>
                <w:lang w:val="lt-LT"/>
              </w:rPr>
              <w:t>Nėra paskirtų atsakingų asmenų už ilgalaikio turto saugojimą ar nėra numatyta jų atsakomybė</w:t>
            </w:r>
          </w:p>
          <w:p w:rsidR="001C0D02" w:rsidRDefault="001C0D02" w:rsidP="00065FB5">
            <w:pPr>
              <w:tabs>
                <w:tab w:val="left" w:pos="510"/>
              </w:tabs>
              <w:jc w:val="both"/>
              <w:rPr>
                <w:lang w:val="lt-LT"/>
              </w:rPr>
            </w:pPr>
          </w:p>
        </w:tc>
        <w:tc>
          <w:tcPr>
            <w:tcW w:w="548" w:type="dxa"/>
            <w:gridSpan w:val="7"/>
            <w:tcBorders>
              <w:bottom w:val="single" w:sz="4" w:space="0" w:color="auto"/>
            </w:tcBorders>
          </w:tcPr>
          <w:p w:rsidR="001C0D02" w:rsidRPr="004273CC" w:rsidRDefault="001C0D02" w:rsidP="00065FB5">
            <w:pPr>
              <w:tabs>
                <w:tab w:val="left" w:pos="510"/>
              </w:tabs>
              <w:jc w:val="both"/>
              <w:rPr>
                <w:lang w:val="lt-LT"/>
              </w:rPr>
            </w:pPr>
            <w:r>
              <w:rPr>
                <w:lang w:val="lt-LT"/>
              </w:rPr>
              <w:t>B</w:t>
            </w:r>
          </w:p>
        </w:tc>
        <w:tc>
          <w:tcPr>
            <w:tcW w:w="567" w:type="dxa"/>
            <w:gridSpan w:val="7"/>
            <w:tcBorders>
              <w:bottom w:val="single" w:sz="4" w:space="0" w:color="auto"/>
            </w:tcBorders>
          </w:tcPr>
          <w:p w:rsidR="001C0D02" w:rsidRPr="004273CC" w:rsidRDefault="001C0D02" w:rsidP="00065FB5">
            <w:pPr>
              <w:tabs>
                <w:tab w:val="left" w:pos="510"/>
              </w:tabs>
              <w:jc w:val="both"/>
              <w:rPr>
                <w:lang w:val="lt-LT"/>
              </w:rPr>
            </w:pPr>
            <w:r>
              <w:rPr>
                <w:lang w:val="lt-LT"/>
              </w:rPr>
              <w:t>KR</w:t>
            </w:r>
          </w:p>
        </w:tc>
        <w:tc>
          <w:tcPr>
            <w:tcW w:w="1132" w:type="dxa"/>
            <w:gridSpan w:val="7"/>
            <w:tcBorders>
              <w:bottom w:val="single" w:sz="4" w:space="0" w:color="auto"/>
            </w:tcBorders>
          </w:tcPr>
          <w:p w:rsidR="001C0D02" w:rsidRPr="0019292B" w:rsidRDefault="001C0D02" w:rsidP="00065FB5">
            <w:pPr>
              <w:tabs>
                <w:tab w:val="left" w:pos="510"/>
              </w:tabs>
              <w:jc w:val="center"/>
              <w:rPr>
                <w:b/>
                <w:lang w:val="lt-LT"/>
              </w:rPr>
            </w:pPr>
          </w:p>
        </w:tc>
        <w:tc>
          <w:tcPr>
            <w:tcW w:w="704" w:type="dxa"/>
            <w:gridSpan w:val="8"/>
            <w:tcBorders>
              <w:bottom w:val="single" w:sz="4" w:space="0" w:color="auto"/>
            </w:tcBorders>
          </w:tcPr>
          <w:p w:rsidR="001C0D02" w:rsidRPr="0019292B" w:rsidRDefault="001C0D02" w:rsidP="00065FB5">
            <w:pPr>
              <w:tabs>
                <w:tab w:val="left" w:pos="510"/>
              </w:tabs>
              <w:jc w:val="center"/>
              <w:rPr>
                <w:b/>
                <w:lang w:val="lt-LT"/>
              </w:rPr>
            </w:pPr>
          </w:p>
        </w:tc>
        <w:tc>
          <w:tcPr>
            <w:tcW w:w="1153" w:type="dxa"/>
            <w:gridSpan w:val="7"/>
            <w:tcBorders>
              <w:bottom w:val="single" w:sz="4" w:space="0" w:color="auto"/>
            </w:tcBorders>
          </w:tcPr>
          <w:p w:rsidR="001C0D02" w:rsidRPr="0019292B" w:rsidRDefault="001C0D02" w:rsidP="00065FB5">
            <w:pPr>
              <w:tabs>
                <w:tab w:val="left" w:pos="510"/>
              </w:tabs>
              <w:jc w:val="center"/>
              <w:rPr>
                <w:b/>
                <w:lang w:val="lt-LT"/>
              </w:rPr>
            </w:pPr>
          </w:p>
        </w:tc>
        <w:tc>
          <w:tcPr>
            <w:tcW w:w="1139" w:type="dxa"/>
            <w:gridSpan w:val="10"/>
            <w:tcBorders>
              <w:bottom w:val="single" w:sz="4" w:space="0" w:color="auto"/>
            </w:tcBorders>
          </w:tcPr>
          <w:p w:rsidR="001C0D02" w:rsidRPr="004273CC" w:rsidRDefault="001C0D02" w:rsidP="00065FB5">
            <w:pPr>
              <w:tabs>
                <w:tab w:val="left" w:pos="510"/>
              </w:tabs>
              <w:jc w:val="both"/>
              <w:rPr>
                <w:lang w:val="lt-LT"/>
              </w:rPr>
            </w:pPr>
            <w:r>
              <w:rPr>
                <w:lang w:val="lt-LT"/>
              </w:rPr>
              <w:t>Yra</w:t>
            </w:r>
          </w:p>
        </w:tc>
        <w:tc>
          <w:tcPr>
            <w:tcW w:w="1132" w:type="dxa"/>
            <w:gridSpan w:val="8"/>
            <w:tcBorders>
              <w:bottom w:val="single" w:sz="4" w:space="0" w:color="auto"/>
            </w:tcBorders>
          </w:tcPr>
          <w:p w:rsidR="001C0D02" w:rsidRPr="004273CC" w:rsidRDefault="001C0D02" w:rsidP="00065FB5">
            <w:pPr>
              <w:tabs>
                <w:tab w:val="left" w:pos="510"/>
              </w:tabs>
              <w:jc w:val="both"/>
              <w:rPr>
                <w:lang w:val="lt-LT"/>
              </w:rPr>
            </w:pPr>
          </w:p>
        </w:tc>
        <w:tc>
          <w:tcPr>
            <w:tcW w:w="708" w:type="dxa"/>
            <w:gridSpan w:val="6"/>
            <w:tcBorders>
              <w:bottom w:val="single" w:sz="4" w:space="0" w:color="auto"/>
            </w:tcBorders>
          </w:tcPr>
          <w:p w:rsidR="001C0D02" w:rsidRPr="004273CC" w:rsidRDefault="001C0D02" w:rsidP="00065FB5">
            <w:pPr>
              <w:tabs>
                <w:tab w:val="left" w:pos="510"/>
              </w:tabs>
              <w:jc w:val="both"/>
              <w:rPr>
                <w:lang w:val="lt-LT"/>
              </w:rPr>
            </w:pPr>
          </w:p>
        </w:tc>
        <w:tc>
          <w:tcPr>
            <w:tcW w:w="1133" w:type="dxa"/>
            <w:gridSpan w:val="6"/>
            <w:tcBorders>
              <w:bottom w:val="single" w:sz="4" w:space="0" w:color="auto"/>
            </w:tcBorders>
          </w:tcPr>
          <w:p w:rsidR="001C0D02" w:rsidRPr="004273CC" w:rsidRDefault="001C0D02" w:rsidP="00065FB5">
            <w:pPr>
              <w:tabs>
                <w:tab w:val="left" w:pos="510"/>
              </w:tabs>
              <w:jc w:val="both"/>
              <w:rPr>
                <w:lang w:val="lt-LT"/>
              </w:rPr>
            </w:pPr>
          </w:p>
        </w:tc>
        <w:tc>
          <w:tcPr>
            <w:tcW w:w="1441" w:type="dxa"/>
            <w:gridSpan w:val="2"/>
            <w:tcBorders>
              <w:bottom w:val="single" w:sz="4" w:space="0" w:color="auto"/>
            </w:tcBorders>
          </w:tcPr>
          <w:p w:rsidR="001C0D02" w:rsidRPr="004273CC" w:rsidRDefault="001C0D02" w:rsidP="00065FB5">
            <w:pPr>
              <w:tabs>
                <w:tab w:val="left" w:pos="510"/>
              </w:tabs>
              <w:jc w:val="both"/>
              <w:rPr>
                <w:lang w:val="lt-LT"/>
              </w:rPr>
            </w:pPr>
          </w:p>
        </w:tc>
      </w:tr>
      <w:tr w:rsidR="00104405" w:rsidRPr="004273CC" w:rsidTr="001C0D02">
        <w:trPr>
          <w:cantSplit/>
        </w:trPr>
        <w:tc>
          <w:tcPr>
            <w:tcW w:w="4201" w:type="dxa"/>
            <w:gridSpan w:val="7"/>
            <w:vMerge w:val="restart"/>
            <w:tcBorders>
              <w:top w:val="single" w:sz="4" w:space="0" w:color="auto"/>
            </w:tcBorders>
          </w:tcPr>
          <w:p w:rsidR="00104405" w:rsidRPr="004273CC" w:rsidRDefault="00104405" w:rsidP="00065FB5">
            <w:pPr>
              <w:tabs>
                <w:tab w:val="left" w:pos="510"/>
              </w:tabs>
              <w:ind w:left="113" w:right="113"/>
              <w:jc w:val="center"/>
              <w:rPr>
                <w:b/>
                <w:lang w:val="lt-LT"/>
              </w:rPr>
            </w:pPr>
            <w:r>
              <w:rPr>
                <w:b/>
                <w:lang w:val="lt-LT"/>
              </w:rPr>
              <w:lastRenderedPageBreak/>
              <w:t>Finansinių ataskaitų elemento ir/ar jo tvirtinimo pobūdis ir jam taikoma vidaus kontrolės sistema</w:t>
            </w:r>
          </w:p>
        </w:tc>
        <w:tc>
          <w:tcPr>
            <w:tcW w:w="548" w:type="dxa"/>
            <w:gridSpan w:val="7"/>
            <w:vMerge w:val="restart"/>
            <w:tcBorders>
              <w:top w:val="single" w:sz="4" w:space="0" w:color="auto"/>
            </w:tcBorders>
            <w:textDirection w:val="btLr"/>
          </w:tcPr>
          <w:p w:rsidR="00104405" w:rsidRPr="004273CC" w:rsidRDefault="00104405" w:rsidP="00065FB5">
            <w:pPr>
              <w:tabs>
                <w:tab w:val="left" w:pos="510"/>
              </w:tabs>
              <w:ind w:left="113" w:right="113"/>
              <w:jc w:val="center"/>
              <w:rPr>
                <w:b/>
                <w:lang w:val="lt-LT"/>
              </w:rPr>
            </w:pPr>
            <w:r>
              <w:rPr>
                <w:b/>
                <w:lang w:val="lt-LT"/>
              </w:rPr>
              <w:t>Tvirtinimas</w:t>
            </w:r>
          </w:p>
        </w:tc>
        <w:tc>
          <w:tcPr>
            <w:tcW w:w="567" w:type="dxa"/>
            <w:gridSpan w:val="7"/>
            <w:vMerge w:val="restart"/>
            <w:tcBorders>
              <w:top w:val="single" w:sz="4" w:space="0" w:color="auto"/>
            </w:tcBorders>
            <w:textDirection w:val="btLr"/>
          </w:tcPr>
          <w:p w:rsidR="00104405" w:rsidRPr="004273CC" w:rsidRDefault="00104405" w:rsidP="00065FB5">
            <w:pPr>
              <w:tabs>
                <w:tab w:val="left" w:pos="510"/>
              </w:tabs>
              <w:ind w:left="113" w:right="113"/>
              <w:jc w:val="center"/>
              <w:rPr>
                <w:b/>
                <w:lang w:val="lt-LT"/>
              </w:rPr>
            </w:pPr>
            <w:r>
              <w:rPr>
                <w:b/>
                <w:lang w:val="lt-LT"/>
              </w:rPr>
              <w:t>IR / KR</w:t>
            </w:r>
          </w:p>
        </w:tc>
        <w:tc>
          <w:tcPr>
            <w:tcW w:w="4128" w:type="dxa"/>
            <w:gridSpan w:val="32"/>
            <w:tcBorders>
              <w:top w:val="single" w:sz="4" w:space="0" w:color="auto"/>
            </w:tcBorders>
          </w:tcPr>
          <w:p w:rsidR="00104405" w:rsidRPr="004273CC" w:rsidRDefault="00104405" w:rsidP="00065FB5">
            <w:pPr>
              <w:tabs>
                <w:tab w:val="left" w:pos="510"/>
              </w:tabs>
              <w:jc w:val="center"/>
              <w:rPr>
                <w:lang w:val="lt-LT"/>
              </w:rPr>
            </w:pPr>
            <w:r>
              <w:rPr>
                <w:b/>
                <w:lang w:val="lt-LT"/>
              </w:rPr>
              <w:t>UAB „Šiluma“</w:t>
            </w:r>
          </w:p>
        </w:tc>
        <w:tc>
          <w:tcPr>
            <w:tcW w:w="4414" w:type="dxa"/>
            <w:gridSpan w:val="22"/>
            <w:tcBorders>
              <w:top w:val="single" w:sz="4" w:space="0" w:color="auto"/>
            </w:tcBorders>
          </w:tcPr>
          <w:p w:rsidR="00104405" w:rsidRPr="004273CC" w:rsidRDefault="00104405" w:rsidP="00065FB5">
            <w:pPr>
              <w:tabs>
                <w:tab w:val="left" w:pos="510"/>
              </w:tabs>
              <w:jc w:val="center"/>
              <w:rPr>
                <w:lang w:val="lt-LT"/>
              </w:rPr>
            </w:pPr>
            <w:r>
              <w:rPr>
                <w:b/>
                <w:lang w:val="lt-LT"/>
              </w:rPr>
              <w:t>UAB „Žuvila“</w:t>
            </w:r>
          </w:p>
        </w:tc>
      </w:tr>
      <w:tr w:rsidR="00104405" w:rsidRPr="004273CC" w:rsidTr="001C0D02">
        <w:trPr>
          <w:cantSplit/>
        </w:trPr>
        <w:tc>
          <w:tcPr>
            <w:tcW w:w="4201" w:type="dxa"/>
            <w:gridSpan w:val="7"/>
            <w:vMerge/>
          </w:tcPr>
          <w:p w:rsidR="00104405" w:rsidRDefault="00104405" w:rsidP="00065FB5">
            <w:pPr>
              <w:tabs>
                <w:tab w:val="left" w:pos="510"/>
              </w:tabs>
              <w:ind w:left="113" w:right="113"/>
              <w:jc w:val="center"/>
              <w:rPr>
                <w:b/>
                <w:lang w:val="lt-LT"/>
              </w:rPr>
            </w:pPr>
          </w:p>
        </w:tc>
        <w:tc>
          <w:tcPr>
            <w:tcW w:w="548" w:type="dxa"/>
            <w:gridSpan w:val="7"/>
            <w:vMerge/>
            <w:textDirection w:val="btLr"/>
          </w:tcPr>
          <w:p w:rsidR="00104405" w:rsidRDefault="00104405" w:rsidP="00065FB5">
            <w:pPr>
              <w:tabs>
                <w:tab w:val="left" w:pos="510"/>
              </w:tabs>
              <w:ind w:left="113" w:right="113"/>
              <w:jc w:val="center"/>
              <w:rPr>
                <w:b/>
                <w:lang w:val="lt-LT"/>
              </w:rPr>
            </w:pPr>
          </w:p>
        </w:tc>
        <w:tc>
          <w:tcPr>
            <w:tcW w:w="567" w:type="dxa"/>
            <w:gridSpan w:val="7"/>
            <w:vMerge/>
          </w:tcPr>
          <w:p w:rsidR="00104405" w:rsidRPr="004273CC" w:rsidRDefault="00104405" w:rsidP="00065FB5">
            <w:pPr>
              <w:tabs>
                <w:tab w:val="left" w:pos="510"/>
              </w:tabs>
              <w:jc w:val="center"/>
              <w:rPr>
                <w:b/>
                <w:lang w:val="lt-LT"/>
              </w:rPr>
            </w:pPr>
          </w:p>
        </w:tc>
        <w:tc>
          <w:tcPr>
            <w:tcW w:w="2989" w:type="dxa"/>
            <w:gridSpan w:val="22"/>
            <w:vAlign w:val="center"/>
          </w:tcPr>
          <w:p w:rsidR="00104405" w:rsidRPr="004273CC" w:rsidRDefault="00104405" w:rsidP="00065FB5">
            <w:pPr>
              <w:tabs>
                <w:tab w:val="left" w:pos="510"/>
              </w:tabs>
              <w:jc w:val="center"/>
              <w:rPr>
                <w:b/>
                <w:lang w:val="lt-LT"/>
              </w:rPr>
            </w:pPr>
            <w:r w:rsidRPr="004273CC">
              <w:rPr>
                <w:b/>
                <w:lang w:val="lt-LT"/>
              </w:rPr>
              <w:t>Rizikos vertinimas</w:t>
            </w:r>
          </w:p>
        </w:tc>
        <w:tc>
          <w:tcPr>
            <w:tcW w:w="1139" w:type="dxa"/>
            <w:gridSpan w:val="10"/>
            <w:vAlign w:val="center"/>
          </w:tcPr>
          <w:p w:rsidR="00104405" w:rsidRPr="004273CC" w:rsidRDefault="00104405" w:rsidP="00065FB5">
            <w:pPr>
              <w:tabs>
                <w:tab w:val="left" w:pos="510"/>
              </w:tabs>
              <w:jc w:val="center"/>
              <w:rPr>
                <w:b/>
                <w:lang w:val="lt-LT"/>
              </w:rPr>
            </w:pPr>
            <w:r w:rsidRPr="004273CC">
              <w:rPr>
                <w:b/>
                <w:lang w:val="lt-LT"/>
              </w:rPr>
              <w:t>Pastabos</w:t>
            </w:r>
          </w:p>
        </w:tc>
        <w:tc>
          <w:tcPr>
            <w:tcW w:w="2973" w:type="dxa"/>
            <w:gridSpan w:val="20"/>
          </w:tcPr>
          <w:p w:rsidR="00104405" w:rsidRPr="004273CC" w:rsidRDefault="00104405" w:rsidP="00065FB5">
            <w:pPr>
              <w:tabs>
                <w:tab w:val="left" w:pos="510"/>
              </w:tabs>
              <w:jc w:val="center"/>
              <w:rPr>
                <w:b/>
                <w:lang w:val="lt-LT"/>
              </w:rPr>
            </w:pPr>
            <w:r w:rsidRPr="004273CC">
              <w:rPr>
                <w:b/>
                <w:lang w:val="lt-LT"/>
              </w:rPr>
              <w:t>Rizikos vertinimas</w:t>
            </w:r>
          </w:p>
        </w:tc>
        <w:tc>
          <w:tcPr>
            <w:tcW w:w="1441" w:type="dxa"/>
            <w:gridSpan w:val="2"/>
          </w:tcPr>
          <w:p w:rsidR="00104405" w:rsidRPr="004273CC" w:rsidRDefault="00104405" w:rsidP="00065FB5">
            <w:pPr>
              <w:tabs>
                <w:tab w:val="left" w:pos="510"/>
              </w:tabs>
              <w:jc w:val="center"/>
              <w:rPr>
                <w:b/>
                <w:lang w:val="lt-LT"/>
              </w:rPr>
            </w:pPr>
            <w:r w:rsidRPr="004273CC">
              <w:rPr>
                <w:b/>
                <w:lang w:val="lt-LT"/>
              </w:rPr>
              <w:t>Pastabos</w:t>
            </w:r>
          </w:p>
        </w:tc>
      </w:tr>
      <w:tr w:rsidR="00104405" w:rsidRPr="004273CC" w:rsidTr="001C0D02">
        <w:trPr>
          <w:cantSplit/>
          <w:trHeight w:val="744"/>
        </w:trPr>
        <w:tc>
          <w:tcPr>
            <w:tcW w:w="774" w:type="dxa"/>
          </w:tcPr>
          <w:p w:rsidR="00104405" w:rsidRPr="004273CC" w:rsidRDefault="00104405" w:rsidP="00065FB5">
            <w:pPr>
              <w:tabs>
                <w:tab w:val="left" w:pos="510"/>
              </w:tabs>
              <w:jc w:val="center"/>
              <w:rPr>
                <w:b/>
                <w:lang w:val="lt-LT"/>
              </w:rPr>
            </w:pPr>
            <w:r>
              <w:rPr>
                <w:b/>
                <w:lang w:val="lt-LT"/>
              </w:rPr>
              <w:t>Tipas</w:t>
            </w:r>
          </w:p>
        </w:tc>
        <w:tc>
          <w:tcPr>
            <w:tcW w:w="3427" w:type="dxa"/>
            <w:gridSpan w:val="6"/>
          </w:tcPr>
          <w:p w:rsidR="00104405" w:rsidRPr="004273CC" w:rsidRDefault="00104405" w:rsidP="00065FB5">
            <w:pPr>
              <w:tabs>
                <w:tab w:val="left" w:pos="510"/>
              </w:tabs>
              <w:jc w:val="center"/>
              <w:rPr>
                <w:b/>
                <w:lang w:val="lt-LT"/>
              </w:rPr>
            </w:pPr>
            <w:r w:rsidRPr="004273CC">
              <w:rPr>
                <w:b/>
                <w:lang w:val="lt-LT"/>
              </w:rPr>
              <w:t>Veiksniai</w:t>
            </w:r>
          </w:p>
        </w:tc>
        <w:tc>
          <w:tcPr>
            <w:tcW w:w="548" w:type="dxa"/>
            <w:gridSpan w:val="7"/>
            <w:vMerge/>
          </w:tcPr>
          <w:p w:rsidR="00104405" w:rsidRPr="004273CC" w:rsidRDefault="00104405" w:rsidP="00065FB5">
            <w:pPr>
              <w:tabs>
                <w:tab w:val="left" w:pos="510"/>
              </w:tabs>
              <w:jc w:val="center"/>
              <w:rPr>
                <w:lang w:val="lt-LT"/>
              </w:rPr>
            </w:pPr>
          </w:p>
        </w:tc>
        <w:tc>
          <w:tcPr>
            <w:tcW w:w="567" w:type="dxa"/>
            <w:gridSpan w:val="7"/>
            <w:vMerge/>
          </w:tcPr>
          <w:p w:rsidR="00104405" w:rsidRPr="004273CC" w:rsidRDefault="00104405" w:rsidP="00065FB5">
            <w:pPr>
              <w:tabs>
                <w:tab w:val="left" w:pos="510"/>
              </w:tabs>
              <w:jc w:val="center"/>
              <w:rPr>
                <w:lang w:val="lt-LT"/>
              </w:rPr>
            </w:pPr>
          </w:p>
        </w:tc>
        <w:tc>
          <w:tcPr>
            <w:tcW w:w="1132" w:type="dxa"/>
            <w:gridSpan w:val="7"/>
          </w:tcPr>
          <w:p w:rsidR="00104405" w:rsidRPr="004273CC" w:rsidRDefault="00104405" w:rsidP="00065FB5">
            <w:pPr>
              <w:tabs>
                <w:tab w:val="left" w:pos="510"/>
              </w:tabs>
              <w:jc w:val="center"/>
              <w:rPr>
                <w:lang w:val="lt-LT"/>
              </w:rPr>
            </w:pPr>
            <w:r w:rsidRPr="004273CC">
              <w:rPr>
                <w:lang w:val="lt-LT"/>
              </w:rPr>
              <w:t>Tikimybė (1-5)</w:t>
            </w:r>
          </w:p>
        </w:tc>
        <w:tc>
          <w:tcPr>
            <w:tcW w:w="677" w:type="dxa"/>
            <w:gridSpan w:val="7"/>
          </w:tcPr>
          <w:p w:rsidR="00104405" w:rsidRPr="004273CC" w:rsidRDefault="00104405" w:rsidP="00065FB5">
            <w:pPr>
              <w:tabs>
                <w:tab w:val="left" w:pos="510"/>
              </w:tabs>
              <w:jc w:val="center"/>
              <w:rPr>
                <w:lang w:val="lt-LT"/>
              </w:rPr>
            </w:pPr>
            <w:r w:rsidRPr="004273CC">
              <w:rPr>
                <w:lang w:val="lt-LT"/>
              </w:rPr>
              <w:t>Įtaka</w:t>
            </w:r>
          </w:p>
          <w:p w:rsidR="00104405" w:rsidRPr="004273CC" w:rsidRDefault="00104405" w:rsidP="00065FB5">
            <w:pPr>
              <w:tabs>
                <w:tab w:val="left" w:pos="510"/>
              </w:tabs>
              <w:jc w:val="center"/>
              <w:rPr>
                <w:lang w:val="lt-LT"/>
              </w:rPr>
            </w:pPr>
            <w:r w:rsidRPr="004273CC">
              <w:rPr>
                <w:lang w:val="lt-LT"/>
              </w:rPr>
              <w:t>(1-5)</w:t>
            </w:r>
          </w:p>
        </w:tc>
        <w:tc>
          <w:tcPr>
            <w:tcW w:w="1180" w:type="dxa"/>
            <w:gridSpan w:val="8"/>
          </w:tcPr>
          <w:p w:rsidR="00104405" w:rsidRPr="004273CC" w:rsidRDefault="00104405" w:rsidP="00065FB5">
            <w:pPr>
              <w:tabs>
                <w:tab w:val="left" w:pos="510"/>
              </w:tabs>
              <w:jc w:val="center"/>
              <w:rPr>
                <w:lang w:val="lt-LT"/>
              </w:rPr>
            </w:pPr>
            <w:r w:rsidRPr="004273CC">
              <w:rPr>
                <w:lang w:val="lt-LT"/>
              </w:rPr>
              <w:t>Tikimybė * Įtaka</w:t>
            </w:r>
          </w:p>
        </w:tc>
        <w:tc>
          <w:tcPr>
            <w:tcW w:w="1139" w:type="dxa"/>
            <w:gridSpan w:val="10"/>
          </w:tcPr>
          <w:p w:rsidR="00104405" w:rsidRPr="004273CC" w:rsidRDefault="00104405" w:rsidP="00065FB5">
            <w:pPr>
              <w:tabs>
                <w:tab w:val="left" w:pos="510"/>
              </w:tabs>
              <w:jc w:val="both"/>
              <w:rPr>
                <w:b/>
                <w:lang w:val="lt-LT"/>
              </w:rPr>
            </w:pPr>
          </w:p>
        </w:tc>
        <w:tc>
          <w:tcPr>
            <w:tcW w:w="1132" w:type="dxa"/>
            <w:gridSpan w:val="8"/>
          </w:tcPr>
          <w:p w:rsidR="00104405" w:rsidRPr="004273CC" w:rsidRDefault="00104405" w:rsidP="00065FB5">
            <w:pPr>
              <w:tabs>
                <w:tab w:val="left" w:pos="510"/>
              </w:tabs>
              <w:jc w:val="center"/>
              <w:rPr>
                <w:lang w:val="lt-LT"/>
              </w:rPr>
            </w:pPr>
            <w:r w:rsidRPr="004273CC">
              <w:rPr>
                <w:lang w:val="lt-LT"/>
              </w:rPr>
              <w:t>Tikimybė (1-5)</w:t>
            </w:r>
          </w:p>
        </w:tc>
        <w:tc>
          <w:tcPr>
            <w:tcW w:w="708" w:type="dxa"/>
            <w:gridSpan w:val="6"/>
          </w:tcPr>
          <w:p w:rsidR="00104405" w:rsidRPr="004273CC" w:rsidRDefault="00104405" w:rsidP="00065FB5">
            <w:pPr>
              <w:tabs>
                <w:tab w:val="left" w:pos="510"/>
              </w:tabs>
              <w:jc w:val="center"/>
              <w:rPr>
                <w:lang w:val="lt-LT"/>
              </w:rPr>
            </w:pPr>
            <w:r w:rsidRPr="004273CC">
              <w:rPr>
                <w:lang w:val="lt-LT"/>
              </w:rPr>
              <w:t>Įtaka</w:t>
            </w:r>
          </w:p>
          <w:p w:rsidR="00104405" w:rsidRPr="004273CC" w:rsidRDefault="00104405" w:rsidP="00065FB5">
            <w:pPr>
              <w:tabs>
                <w:tab w:val="left" w:pos="510"/>
              </w:tabs>
              <w:jc w:val="center"/>
              <w:rPr>
                <w:lang w:val="lt-LT"/>
              </w:rPr>
            </w:pPr>
            <w:r w:rsidRPr="004273CC">
              <w:rPr>
                <w:lang w:val="lt-LT"/>
              </w:rPr>
              <w:t>(1-5)</w:t>
            </w:r>
          </w:p>
        </w:tc>
        <w:tc>
          <w:tcPr>
            <w:tcW w:w="1133" w:type="dxa"/>
            <w:gridSpan w:val="6"/>
          </w:tcPr>
          <w:p w:rsidR="00104405" w:rsidRPr="004273CC" w:rsidRDefault="00104405" w:rsidP="00065FB5">
            <w:pPr>
              <w:tabs>
                <w:tab w:val="left" w:pos="510"/>
              </w:tabs>
              <w:jc w:val="center"/>
              <w:rPr>
                <w:lang w:val="lt-LT"/>
              </w:rPr>
            </w:pPr>
            <w:r w:rsidRPr="004273CC">
              <w:rPr>
                <w:lang w:val="lt-LT"/>
              </w:rPr>
              <w:t>Tikimybė * Įtaka</w:t>
            </w:r>
          </w:p>
        </w:tc>
        <w:tc>
          <w:tcPr>
            <w:tcW w:w="1441" w:type="dxa"/>
            <w:gridSpan w:val="2"/>
          </w:tcPr>
          <w:p w:rsidR="00104405" w:rsidRPr="004273CC" w:rsidRDefault="00104405" w:rsidP="00065FB5">
            <w:pPr>
              <w:tabs>
                <w:tab w:val="left" w:pos="510"/>
              </w:tabs>
              <w:jc w:val="both"/>
              <w:rPr>
                <w:b/>
                <w:lang w:val="lt-LT"/>
              </w:rPr>
            </w:pPr>
          </w:p>
        </w:tc>
      </w:tr>
      <w:tr w:rsidR="007F098A" w:rsidRPr="004273CC" w:rsidTr="001C0D02">
        <w:trPr>
          <w:cantSplit/>
          <w:trHeight w:val="524"/>
        </w:trPr>
        <w:tc>
          <w:tcPr>
            <w:tcW w:w="774" w:type="dxa"/>
            <w:vMerge w:val="restart"/>
            <w:textDirection w:val="btLr"/>
          </w:tcPr>
          <w:p w:rsidR="007F098A" w:rsidRDefault="007F098A" w:rsidP="007F098A">
            <w:pPr>
              <w:tabs>
                <w:tab w:val="left" w:pos="510"/>
              </w:tabs>
              <w:ind w:left="113" w:right="113"/>
              <w:jc w:val="center"/>
              <w:rPr>
                <w:b/>
                <w:lang w:val="lt-LT"/>
              </w:rPr>
            </w:pPr>
          </w:p>
          <w:p w:rsidR="007F098A" w:rsidRDefault="007F098A" w:rsidP="00065FB5">
            <w:pPr>
              <w:tabs>
                <w:tab w:val="left" w:pos="510"/>
              </w:tabs>
              <w:ind w:left="113" w:right="113"/>
              <w:jc w:val="center"/>
              <w:rPr>
                <w:b/>
                <w:lang w:val="lt-LT"/>
              </w:rPr>
            </w:pPr>
            <w:r w:rsidRPr="002E216D">
              <w:rPr>
                <w:b/>
                <w:lang w:val="lt-LT"/>
              </w:rPr>
              <w:t>Ilgalaikis turtas</w:t>
            </w:r>
          </w:p>
        </w:tc>
        <w:tc>
          <w:tcPr>
            <w:tcW w:w="3427" w:type="dxa"/>
            <w:gridSpan w:val="6"/>
          </w:tcPr>
          <w:p w:rsidR="007F098A" w:rsidRDefault="007F098A" w:rsidP="00065FB5">
            <w:pPr>
              <w:tabs>
                <w:tab w:val="left" w:pos="510"/>
              </w:tabs>
              <w:jc w:val="both"/>
              <w:rPr>
                <w:lang w:val="lt-LT"/>
              </w:rPr>
            </w:pPr>
            <w:r>
              <w:rPr>
                <w:lang w:val="lt-LT"/>
              </w:rPr>
              <w:t>Nėra kontroliuojamas biudžetas ilgalaikio turto įsigijimui</w:t>
            </w:r>
          </w:p>
        </w:tc>
        <w:tc>
          <w:tcPr>
            <w:tcW w:w="548" w:type="dxa"/>
            <w:gridSpan w:val="7"/>
          </w:tcPr>
          <w:p w:rsidR="007F098A" w:rsidRDefault="007F098A" w:rsidP="00065FB5">
            <w:pPr>
              <w:tabs>
                <w:tab w:val="left" w:pos="510"/>
              </w:tabs>
              <w:jc w:val="both"/>
              <w:rPr>
                <w:lang w:val="lt-LT"/>
              </w:rPr>
            </w:pPr>
            <w:r>
              <w:rPr>
                <w:lang w:val="lt-LT"/>
              </w:rPr>
              <w:t>T</w:t>
            </w:r>
          </w:p>
        </w:tc>
        <w:tc>
          <w:tcPr>
            <w:tcW w:w="567" w:type="dxa"/>
            <w:gridSpan w:val="7"/>
          </w:tcPr>
          <w:p w:rsidR="007F098A" w:rsidRPr="004273CC" w:rsidRDefault="007F098A" w:rsidP="00065FB5">
            <w:pPr>
              <w:tabs>
                <w:tab w:val="left" w:pos="510"/>
              </w:tabs>
              <w:jc w:val="center"/>
              <w:rPr>
                <w:lang w:val="lt-LT"/>
              </w:rPr>
            </w:pPr>
          </w:p>
        </w:tc>
        <w:tc>
          <w:tcPr>
            <w:tcW w:w="1132" w:type="dxa"/>
            <w:gridSpan w:val="7"/>
          </w:tcPr>
          <w:p w:rsidR="007F098A" w:rsidRPr="004273CC" w:rsidRDefault="007F098A" w:rsidP="00065FB5">
            <w:pPr>
              <w:tabs>
                <w:tab w:val="left" w:pos="510"/>
              </w:tabs>
              <w:jc w:val="center"/>
              <w:rPr>
                <w:lang w:val="lt-LT"/>
              </w:rPr>
            </w:pPr>
          </w:p>
        </w:tc>
        <w:tc>
          <w:tcPr>
            <w:tcW w:w="677" w:type="dxa"/>
            <w:gridSpan w:val="7"/>
          </w:tcPr>
          <w:p w:rsidR="007F098A" w:rsidRPr="004273CC" w:rsidRDefault="007F098A" w:rsidP="00065FB5">
            <w:pPr>
              <w:tabs>
                <w:tab w:val="left" w:pos="510"/>
              </w:tabs>
              <w:jc w:val="center"/>
              <w:rPr>
                <w:lang w:val="lt-LT"/>
              </w:rPr>
            </w:pPr>
          </w:p>
        </w:tc>
        <w:tc>
          <w:tcPr>
            <w:tcW w:w="1180" w:type="dxa"/>
            <w:gridSpan w:val="8"/>
          </w:tcPr>
          <w:p w:rsidR="007F098A" w:rsidRPr="004273CC" w:rsidRDefault="007F098A" w:rsidP="00065FB5">
            <w:pPr>
              <w:tabs>
                <w:tab w:val="left" w:pos="510"/>
              </w:tabs>
              <w:jc w:val="center"/>
              <w:rPr>
                <w:lang w:val="lt-LT"/>
              </w:rPr>
            </w:pPr>
          </w:p>
        </w:tc>
        <w:tc>
          <w:tcPr>
            <w:tcW w:w="1139" w:type="dxa"/>
            <w:gridSpan w:val="10"/>
          </w:tcPr>
          <w:p w:rsidR="007F098A" w:rsidRPr="004273CC" w:rsidRDefault="007F098A" w:rsidP="00065FB5">
            <w:pPr>
              <w:tabs>
                <w:tab w:val="left" w:pos="510"/>
              </w:tabs>
              <w:jc w:val="both"/>
              <w:rPr>
                <w:b/>
                <w:lang w:val="lt-LT"/>
              </w:rPr>
            </w:pPr>
          </w:p>
        </w:tc>
        <w:tc>
          <w:tcPr>
            <w:tcW w:w="1132" w:type="dxa"/>
            <w:gridSpan w:val="8"/>
          </w:tcPr>
          <w:p w:rsidR="007F098A" w:rsidRPr="004273CC" w:rsidRDefault="007F098A" w:rsidP="00065FB5">
            <w:pPr>
              <w:tabs>
                <w:tab w:val="left" w:pos="510"/>
              </w:tabs>
              <w:jc w:val="center"/>
              <w:rPr>
                <w:lang w:val="lt-LT"/>
              </w:rPr>
            </w:pPr>
          </w:p>
        </w:tc>
        <w:tc>
          <w:tcPr>
            <w:tcW w:w="708" w:type="dxa"/>
            <w:gridSpan w:val="6"/>
          </w:tcPr>
          <w:p w:rsidR="007F098A" w:rsidRPr="004273CC" w:rsidRDefault="007F098A" w:rsidP="00065FB5">
            <w:pPr>
              <w:tabs>
                <w:tab w:val="left" w:pos="510"/>
              </w:tabs>
              <w:jc w:val="center"/>
              <w:rPr>
                <w:lang w:val="lt-LT"/>
              </w:rPr>
            </w:pPr>
          </w:p>
        </w:tc>
        <w:tc>
          <w:tcPr>
            <w:tcW w:w="1133" w:type="dxa"/>
            <w:gridSpan w:val="6"/>
          </w:tcPr>
          <w:p w:rsidR="007F098A" w:rsidRPr="004273CC" w:rsidRDefault="007F098A" w:rsidP="00065FB5">
            <w:pPr>
              <w:tabs>
                <w:tab w:val="left" w:pos="510"/>
              </w:tabs>
              <w:jc w:val="center"/>
              <w:rPr>
                <w:lang w:val="lt-LT"/>
              </w:rPr>
            </w:pPr>
          </w:p>
        </w:tc>
        <w:tc>
          <w:tcPr>
            <w:tcW w:w="1441" w:type="dxa"/>
            <w:gridSpan w:val="2"/>
          </w:tcPr>
          <w:p w:rsidR="007F098A" w:rsidRPr="004273CC" w:rsidRDefault="007F098A" w:rsidP="00065FB5">
            <w:pPr>
              <w:tabs>
                <w:tab w:val="left" w:pos="510"/>
              </w:tabs>
              <w:jc w:val="both"/>
              <w:rPr>
                <w:b/>
                <w:lang w:val="lt-LT"/>
              </w:rPr>
            </w:pPr>
          </w:p>
        </w:tc>
      </w:tr>
      <w:tr w:rsidR="007F098A" w:rsidRPr="004273CC" w:rsidTr="001C0D02">
        <w:trPr>
          <w:cantSplit/>
          <w:trHeight w:val="744"/>
        </w:trPr>
        <w:tc>
          <w:tcPr>
            <w:tcW w:w="774" w:type="dxa"/>
            <w:vMerge/>
          </w:tcPr>
          <w:p w:rsidR="007F098A" w:rsidRDefault="007F098A" w:rsidP="00065FB5">
            <w:pPr>
              <w:tabs>
                <w:tab w:val="left" w:pos="510"/>
              </w:tabs>
              <w:ind w:left="113" w:right="113"/>
              <w:jc w:val="center"/>
              <w:rPr>
                <w:b/>
                <w:lang w:val="lt-LT"/>
              </w:rPr>
            </w:pPr>
          </w:p>
        </w:tc>
        <w:tc>
          <w:tcPr>
            <w:tcW w:w="3427" w:type="dxa"/>
            <w:gridSpan w:val="6"/>
          </w:tcPr>
          <w:p w:rsidR="007F098A" w:rsidRPr="004273CC" w:rsidRDefault="007F098A" w:rsidP="00065FB5">
            <w:pPr>
              <w:tabs>
                <w:tab w:val="left" w:pos="510"/>
              </w:tabs>
              <w:jc w:val="both"/>
              <w:rPr>
                <w:lang w:val="lt-LT"/>
              </w:rPr>
            </w:pPr>
            <w:r>
              <w:rPr>
                <w:lang w:val="lt-LT"/>
              </w:rPr>
              <w:t>Netvirtinami, neperžiūrimi ilgalaikio turto įsigijimo dokumentai prieš juos apmokant ir užregistruojant apskaitoje</w:t>
            </w:r>
          </w:p>
        </w:tc>
        <w:tc>
          <w:tcPr>
            <w:tcW w:w="548" w:type="dxa"/>
            <w:gridSpan w:val="7"/>
          </w:tcPr>
          <w:p w:rsidR="007F098A" w:rsidRPr="004273CC" w:rsidRDefault="007F098A" w:rsidP="00065FB5">
            <w:pPr>
              <w:tabs>
                <w:tab w:val="left" w:pos="510"/>
              </w:tabs>
              <w:jc w:val="both"/>
              <w:rPr>
                <w:lang w:val="lt-LT"/>
              </w:rPr>
            </w:pPr>
            <w:r>
              <w:rPr>
                <w:lang w:val="lt-LT"/>
              </w:rPr>
              <w:t>I</w:t>
            </w:r>
          </w:p>
        </w:tc>
        <w:tc>
          <w:tcPr>
            <w:tcW w:w="567" w:type="dxa"/>
            <w:gridSpan w:val="7"/>
          </w:tcPr>
          <w:p w:rsidR="007F098A" w:rsidRPr="004273CC" w:rsidRDefault="007F098A" w:rsidP="00065FB5">
            <w:pPr>
              <w:tabs>
                <w:tab w:val="left" w:pos="510"/>
              </w:tabs>
              <w:jc w:val="center"/>
              <w:rPr>
                <w:lang w:val="lt-LT"/>
              </w:rPr>
            </w:pPr>
          </w:p>
        </w:tc>
        <w:tc>
          <w:tcPr>
            <w:tcW w:w="1132" w:type="dxa"/>
            <w:gridSpan w:val="7"/>
          </w:tcPr>
          <w:p w:rsidR="007F098A" w:rsidRPr="004273CC" w:rsidRDefault="007F098A" w:rsidP="00065FB5">
            <w:pPr>
              <w:tabs>
                <w:tab w:val="left" w:pos="510"/>
              </w:tabs>
              <w:jc w:val="center"/>
              <w:rPr>
                <w:lang w:val="lt-LT"/>
              </w:rPr>
            </w:pPr>
          </w:p>
        </w:tc>
        <w:tc>
          <w:tcPr>
            <w:tcW w:w="677" w:type="dxa"/>
            <w:gridSpan w:val="7"/>
          </w:tcPr>
          <w:p w:rsidR="007F098A" w:rsidRPr="004273CC" w:rsidRDefault="007F098A" w:rsidP="00065FB5">
            <w:pPr>
              <w:tabs>
                <w:tab w:val="left" w:pos="510"/>
              </w:tabs>
              <w:jc w:val="center"/>
              <w:rPr>
                <w:lang w:val="lt-LT"/>
              </w:rPr>
            </w:pPr>
          </w:p>
        </w:tc>
        <w:tc>
          <w:tcPr>
            <w:tcW w:w="1180" w:type="dxa"/>
            <w:gridSpan w:val="8"/>
          </w:tcPr>
          <w:p w:rsidR="007F098A" w:rsidRPr="004273CC" w:rsidRDefault="007F098A" w:rsidP="00065FB5">
            <w:pPr>
              <w:tabs>
                <w:tab w:val="left" w:pos="510"/>
              </w:tabs>
              <w:jc w:val="center"/>
              <w:rPr>
                <w:lang w:val="lt-LT"/>
              </w:rPr>
            </w:pPr>
          </w:p>
        </w:tc>
        <w:tc>
          <w:tcPr>
            <w:tcW w:w="1139" w:type="dxa"/>
            <w:gridSpan w:val="10"/>
          </w:tcPr>
          <w:p w:rsidR="007F098A" w:rsidRPr="004273CC" w:rsidRDefault="007F098A" w:rsidP="00065FB5">
            <w:pPr>
              <w:tabs>
                <w:tab w:val="left" w:pos="510"/>
              </w:tabs>
              <w:jc w:val="both"/>
              <w:rPr>
                <w:b/>
                <w:lang w:val="lt-LT"/>
              </w:rPr>
            </w:pPr>
          </w:p>
        </w:tc>
        <w:tc>
          <w:tcPr>
            <w:tcW w:w="1132" w:type="dxa"/>
            <w:gridSpan w:val="8"/>
          </w:tcPr>
          <w:p w:rsidR="007F098A" w:rsidRPr="004273CC" w:rsidRDefault="007F098A" w:rsidP="00065FB5">
            <w:pPr>
              <w:tabs>
                <w:tab w:val="left" w:pos="510"/>
              </w:tabs>
              <w:jc w:val="center"/>
              <w:rPr>
                <w:lang w:val="lt-LT"/>
              </w:rPr>
            </w:pPr>
          </w:p>
        </w:tc>
        <w:tc>
          <w:tcPr>
            <w:tcW w:w="708" w:type="dxa"/>
            <w:gridSpan w:val="6"/>
          </w:tcPr>
          <w:p w:rsidR="007F098A" w:rsidRPr="004273CC" w:rsidRDefault="007F098A" w:rsidP="00065FB5">
            <w:pPr>
              <w:tabs>
                <w:tab w:val="left" w:pos="510"/>
              </w:tabs>
              <w:jc w:val="center"/>
              <w:rPr>
                <w:lang w:val="lt-LT"/>
              </w:rPr>
            </w:pPr>
          </w:p>
        </w:tc>
        <w:tc>
          <w:tcPr>
            <w:tcW w:w="1133" w:type="dxa"/>
            <w:gridSpan w:val="6"/>
          </w:tcPr>
          <w:p w:rsidR="007F098A" w:rsidRPr="004273CC" w:rsidRDefault="007F098A" w:rsidP="00065FB5">
            <w:pPr>
              <w:tabs>
                <w:tab w:val="left" w:pos="510"/>
              </w:tabs>
              <w:jc w:val="center"/>
              <w:rPr>
                <w:lang w:val="lt-LT"/>
              </w:rPr>
            </w:pPr>
          </w:p>
        </w:tc>
        <w:tc>
          <w:tcPr>
            <w:tcW w:w="1441" w:type="dxa"/>
            <w:gridSpan w:val="2"/>
          </w:tcPr>
          <w:p w:rsidR="007F098A" w:rsidRPr="004273CC" w:rsidRDefault="007F098A" w:rsidP="00065FB5">
            <w:pPr>
              <w:tabs>
                <w:tab w:val="left" w:pos="510"/>
              </w:tabs>
              <w:jc w:val="both"/>
              <w:rPr>
                <w:b/>
                <w:lang w:val="lt-LT"/>
              </w:rPr>
            </w:pPr>
          </w:p>
        </w:tc>
      </w:tr>
      <w:tr w:rsidR="007F098A" w:rsidRPr="004273CC" w:rsidTr="001C0D02">
        <w:trPr>
          <w:cantSplit/>
          <w:trHeight w:val="744"/>
        </w:trPr>
        <w:tc>
          <w:tcPr>
            <w:tcW w:w="774" w:type="dxa"/>
            <w:vMerge/>
          </w:tcPr>
          <w:p w:rsidR="007F098A" w:rsidRDefault="007F098A" w:rsidP="00065FB5">
            <w:pPr>
              <w:tabs>
                <w:tab w:val="left" w:pos="510"/>
              </w:tabs>
              <w:ind w:left="113" w:right="113"/>
              <w:jc w:val="center"/>
              <w:rPr>
                <w:b/>
                <w:lang w:val="lt-LT"/>
              </w:rPr>
            </w:pPr>
          </w:p>
        </w:tc>
        <w:tc>
          <w:tcPr>
            <w:tcW w:w="3427" w:type="dxa"/>
            <w:gridSpan w:val="6"/>
          </w:tcPr>
          <w:p w:rsidR="007F098A" w:rsidRDefault="007F098A" w:rsidP="00065FB5">
            <w:pPr>
              <w:tabs>
                <w:tab w:val="left" w:pos="510"/>
              </w:tabs>
              <w:jc w:val="both"/>
              <w:rPr>
                <w:lang w:val="lt-LT"/>
              </w:rPr>
            </w:pPr>
            <w:r>
              <w:rPr>
                <w:lang w:val="lt-LT"/>
              </w:rPr>
              <w:t>Nekontroliuojama, kad ūkinės operacijos vykdomos su ilgalaikiu turtu būtų pagrindžiamos dokumentais</w:t>
            </w:r>
          </w:p>
        </w:tc>
        <w:tc>
          <w:tcPr>
            <w:tcW w:w="548" w:type="dxa"/>
            <w:gridSpan w:val="7"/>
          </w:tcPr>
          <w:p w:rsidR="007F098A" w:rsidRDefault="007F098A" w:rsidP="00065FB5">
            <w:pPr>
              <w:tabs>
                <w:tab w:val="left" w:pos="510"/>
              </w:tabs>
              <w:jc w:val="both"/>
              <w:rPr>
                <w:lang w:val="lt-LT"/>
              </w:rPr>
            </w:pPr>
            <w:r>
              <w:rPr>
                <w:lang w:val="lt-LT"/>
              </w:rPr>
              <w:t>T</w:t>
            </w:r>
          </w:p>
        </w:tc>
        <w:tc>
          <w:tcPr>
            <w:tcW w:w="567" w:type="dxa"/>
            <w:gridSpan w:val="7"/>
          </w:tcPr>
          <w:p w:rsidR="007F098A" w:rsidRPr="004273CC" w:rsidRDefault="007F098A" w:rsidP="00065FB5">
            <w:pPr>
              <w:tabs>
                <w:tab w:val="left" w:pos="510"/>
              </w:tabs>
              <w:jc w:val="center"/>
              <w:rPr>
                <w:lang w:val="lt-LT"/>
              </w:rPr>
            </w:pPr>
          </w:p>
        </w:tc>
        <w:tc>
          <w:tcPr>
            <w:tcW w:w="1132" w:type="dxa"/>
            <w:gridSpan w:val="7"/>
          </w:tcPr>
          <w:p w:rsidR="007F098A" w:rsidRPr="004273CC" w:rsidRDefault="007F098A" w:rsidP="00065FB5">
            <w:pPr>
              <w:tabs>
                <w:tab w:val="left" w:pos="510"/>
              </w:tabs>
              <w:jc w:val="center"/>
              <w:rPr>
                <w:lang w:val="lt-LT"/>
              </w:rPr>
            </w:pPr>
          </w:p>
        </w:tc>
        <w:tc>
          <w:tcPr>
            <w:tcW w:w="677" w:type="dxa"/>
            <w:gridSpan w:val="7"/>
          </w:tcPr>
          <w:p w:rsidR="007F098A" w:rsidRPr="004273CC" w:rsidRDefault="007F098A" w:rsidP="00065FB5">
            <w:pPr>
              <w:tabs>
                <w:tab w:val="left" w:pos="510"/>
              </w:tabs>
              <w:jc w:val="center"/>
              <w:rPr>
                <w:lang w:val="lt-LT"/>
              </w:rPr>
            </w:pPr>
          </w:p>
        </w:tc>
        <w:tc>
          <w:tcPr>
            <w:tcW w:w="1180" w:type="dxa"/>
            <w:gridSpan w:val="8"/>
          </w:tcPr>
          <w:p w:rsidR="007F098A" w:rsidRPr="004273CC" w:rsidRDefault="007F098A" w:rsidP="00065FB5">
            <w:pPr>
              <w:tabs>
                <w:tab w:val="left" w:pos="510"/>
              </w:tabs>
              <w:jc w:val="center"/>
              <w:rPr>
                <w:lang w:val="lt-LT"/>
              </w:rPr>
            </w:pPr>
          </w:p>
        </w:tc>
        <w:tc>
          <w:tcPr>
            <w:tcW w:w="1139" w:type="dxa"/>
            <w:gridSpan w:val="10"/>
          </w:tcPr>
          <w:p w:rsidR="007F098A" w:rsidRPr="004273CC" w:rsidRDefault="007F098A" w:rsidP="00065FB5">
            <w:pPr>
              <w:tabs>
                <w:tab w:val="left" w:pos="510"/>
              </w:tabs>
              <w:jc w:val="both"/>
              <w:rPr>
                <w:b/>
                <w:lang w:val="lt-LT"/>
              </w:rPr>
            </w:pPr>
          </w:p>
        </w:tc>
        <w:tc>
          <w:tcPr>
            <w:tcW w:w="1132" w:type="dxa"/>
            <w:gridSpan w:val="8"/>
          </w:tcPr>
          <w:p w:rsidR="007F098A" w:rsidRPr="004273CC" w:rsidRDefault="007F098A" w:rsidP="00065FB5">
            <w:pPr>
              <w:tabs>
                <w:tab w:val="left" w:pos="510"/>
              </w:tabs>
              <w:jc w:val="center"/>
              <w:rPr>
                <w:lang w:val="lt-LT"/>
              </w:rPr>
            </w:pPr>
          </w:p>
        </w:tc>
        <w:tc>
          <w:tcPr>
            <w:tcW w:w="708" w:type="dxa"/>
            <w:gridSpan w:val="6"/>
          </w:tcPr>
          <w:p w:rsidR="007F098A" w:rsidRPr="004273CC" w:rsidRDefault="007F098A" w:rsidP="00065FB5">
            <w:pPr>
              <w:tabs>
                <w:tab w:val="left" w:pos="510"/>
              </w:tabs>
              <w:jc w:val="center"/>
              <w:rPr>
                <w:lang w:val="lt-LT"/>
              </w:rPr>
            </w:pPr>
          </w:p>
        </w:tc>
        <w:tc>
          <w:tcPr>
            <w:tcW w:w="1133" w:type="dxa"/>
            <w:gridSpan w:val="6"/>
          </w:tcPr>
          <w:p w:rsidR="007F098A" w:rsidRPr="004273CC" w:rsidRDefault="007F098A" w:rsidP="00065FB5">
            <w:pPr>
              <w:tabs>
                <w:tab w:val="left" w:pos="510"/>
              </w:tabs>
              <w:jc w:val="center"/>
              <w:rPr>
                <w:lang w:val="lt-LT"/>
              </w:rPr>
            </w:pPr>
          </w:p>
        </w:tc>
        <w:tc>
          <w:tcPr>
            <w:tcW w:w="1441" w:type="dxa"/>
            <w:gridSpan w:val="2"/>
          </w:tcPr>
          <w:p w:rsidR="007F098A" w:rsidRPr="004273CC" w:rsidRDefault="007F098A" w:rsidP="00065FB5">
            <w:pPr>
              <w:tabs>
                <w:tab w:val="left" w:pos="510"/>
              </w:tabs>
              <w:jc w:val="both"/>
              <w:rPr>
                <w:b/>
                <w:lang w:val="lt-LT"/>
              </w:rPr>
            </w:pPr>
          </w:p>
        </w:tc>
      </w:tr>
      <w:tr w:rsidR="007F098A" w:rsidRPr="004273CC" w:rsidTr="001C0D02">
        <w:trPr>
          <w:cantSplit/>
        </w:trPr>
        <w:tc>
          <w:tcPr>
            <w:tcW w:w="774" w:type="dxa"/>
            <w:vMerge/>
          </w:tcPr>
          <w:p w:rsidR="007F098A" w:rsidRPr="004273CC" w:rsidRDefault="007F098A" w:rsidP="00065FB5">
            <w:pPr>
              <w:tabs>
                <w:tab w:val="left" w:pos="510"/>
              </w:tabs>
              <w:ind w:left="113" w:right="113"/>
              <w:jc w:val="center"/>
              <w:rPr>
                <w:lang w:val="lt-LT"/>
              </w:rPr>
            </w:pPr>
          </w:p>
        </w:tc>
        <w:tc>
          <w:tcPr>
            <w:tcW w:w="3427" w:type="dxa"/>
            <w:gridSpan w:val="6"/>
          </w:tcPr>
          <w:p w:rsidR="007F098A" w:rsidRPr="004273CC" w:rsidRDefault="007F098A" w:rsidP="00065FB5">
            <w:pPr>
              <w:tabs>
                <w:tab w:val="left" w:pos="510"/>
              </w:tabs>
              <w:jc w:val="both"/>
              <w:rPr>
                <w:lang w:val="lt-LT"/>
              </w:rPr>
            </w:pPr>
            <w:r>
              <w:rPr>
                <w:lang w:val="lt-LT"/>
              </w:rPr>
              <w:t xml:space="preserve">Nėra nustatyta ilgalaikio turto įvedimo į eksploataciją tvarka </w:t>
            </w:r>
          </w:p>
        </w:tc>
        <w:tc>
          <w:tcPr>
            <w:tcW w:w="548" w:type="dxa"/>
            <w:gridSpan w:val="7"/>
          </w:tcPr>
          <w:p w:rsidR="007F098A" w:rsidRPr="004273CC" w:rsidRDefault="007F098A" w:rsidP="00065FB5">
            <w:pPr>
              <w:tabs>
                <w:tab w:val="left" w:pos="510"/>
              </w:tabs>
              <w:jc w:val="both"/>
              <w:rPr>
                <w:lang w:val="lt-LT"/>
              </w:rPr>
            </w:pPr>
            <w:r>
              <w:rPr>
                <w:lang w:val="lt-LT"/>
              </w:rPr>
              <w:t>I</w:t>
            </w:r>
          </w:p>
        </w:tc>
        <w:tc>
          <w:tcPr>
            <w:tcW w:w="567" w:type="dxa"/>
            <w:gridSpan w:val="7"/>
          </w:tcPr>
          <w:p w:rsidR="007F098A" w:rsidRPr="004273CC" w:rsidRDefault="007F098A" w:rsidP="00065FB5">
            <w:pPr>
              <w:tabs>
                <w:tab w:val="left" w:pos="510"/>
              </w:tabs>
              <w:jc w:val="both"/>
              <w:rPr>
                <w:lang w:val="lt-LT"/>
              </w:rPr>
            </w:pPr>
          </w:p>
        </w:tc>
        <w:tc>
          <w:tcPr>
            <w:tcW w:w="1132" w:type="dxa"/>
            <w:gridSpan w:val="7"/>
          </w:tcPr>
          <w:p w:rsidR="007F098A" w:rsidRPr="004273CC" w:rsidRDefault="007F098A" w:rsidP="00065FB5">
            <w:pPr>
              <w:tabs>
                <w:tab w:val="left" w:pos="510"/>
              </w:tabs>
              <w:jc w:val="both"/>
              <w:rPr>
                <w:lang w:val="lt-LT"/>
              </w:rPr>
            </w:pPr>
          </w:p>
        </w:tc>
        <w:tc>
          <w:tcPr>
            <w:tcW w:w="677" w:type="dxa"/>
            <w:gridSpan w:val="7"/>
          </w:tcPr>
          <w:p w:rsidR="007F098A" w:rsidRPr="004273CC" w:rsidRDefault="007F098A" w:rsidP="00065FB5">
            <w:pPr>
              <w:tabs>
                <w:tab w:val="left" w:pos="510"/>
              </w:tabs>
              <w:jc w:val="both"/>
              <w:rPr>
                <w:lang w:val="lt-LT"/>
              </w:rPr>
            </w:pPr>
          </w:p>
        </w:tc>
        <w:tc>
          <w:tcPr>
            <w:tcW w:w="1180" w:type="dxa"/>
            <w:gridSpan w:val="8"/>
          </w:tcPr>
          <w:p w:rsidR="007F098A" w:rsidRPr="004273CC" w:rsidRDefault="007F098A" w:rsidP="00065FB5">
            <w:pPr>
              <w:tabs>
                <w:tab w:val="left" w:pos="510"/>
              </w:tabs>
              <w:jc w:val="both"/>
              <w:rPr>
                <w:lang w:val="lt-LT"/>
              </w:rPr>
            </w:pPr>
          </w:p>
        </w:tc>
        <w:tc>
          <w:tcPr>
            <w:tcW w:w="1139" w:type="dxa"/>
            <w:gridSpan w:val="10"/>
          </w:tcPr>
          <w:p w:rsidR="007F098A" w:rsidRPr="004273CC" w:rsidRDefault="007F098A" w:rsidP="00065FB5">
            <w:pPr>
              <w:tabs>
                <w:tab w:val="left" w:pos="510"/>
              </w:tabs>
              <w:jc w:val="both"/>
              <w:rPr>
                <w:lang w:val="lt-LT"/>
              </w:rPr>
            </w:pPr>
          </w:p>
        </w:tc>
        <w:tc>
          <w:tcPr>
            <w:tcW w:w="1132" w:type="dxa"/>
            <w:gridSpan w:val="8"/>
          </w:tcPr>
          <w:p w:rsidR="007F098A" w:rsidRPr="004273CC" w:rsidRDefault="007F098A" w:rsidP="00065FB5">
            <w:pPr>
              <w:tabs>
                <w:tab w:val="left" w:pos="510"/>
              </w:tabs>
              <w:jc w:val="both"/>
              <w:rPr>
                <w:lang w:val="lt-LT"/>
              </w:rPr>
            </w:pPr>
          </w:p>
        </w:tc>
        <w:tc>
          <w:tcPr>
            <w:tcW w:w="708" w:type="dxa"/>
            <w:gridSpan w:val="6"/>
          </w:tcPr>
          <w:p w:rsidR="007F098A" w:rsidRPr="004273CC" w:rsidRDefault="007F098A" w:rsidP="00065FB5">
            <w:pPr>
              <w:tabs>
                <w:tab w:val="left" w:pos="510"/>
              </w:tabs>
              <w:jc w:val="both"/>
              <w:rPr>
                <w:lang w:val="lt-LT"/>
              </w:rPr>
            </w:pPr>
          </w:p>
        </w:tc>
        <w:tc>
          <w:tcPr>
            <w:tcW w:w="1133" w:type="dxa"/>
            <w:gridSpan w:val="6"/>
          </w:tcPr>
          <w:p w:rsidR="007F098A" w:rsidRPr="004273CC" w:rsidRDefault="007F098A" w:rsidP="00065FB5">
            <w:pPr>
              <w:tabs>
                <w:tab w:val="left" w:pos="510"/>
              </w:tabs>
              <w:jc w:val="both"/>
              <w:rPr>
                <w:lang w:val="lt-LT"/>
              </w:rPr>
            </w:pPr>
          </w:p>
        </w:tc>
        <w:tc>
          <w:tcPr>
            <w:tcW w:w="1441" w:type="dxa"/>
            <w:gridSpan w:val="2"/>
          </w:tcPr>
          <w:p w:rsidR="007F098A" w:rsidRPr="004273CC" w:rsidRDefault="007F098A" w:rsidP="00065FB5">
            <w:pPr>
              <w:tabs>
                <w:tab w:val="left" w:pos="510"/>
              </w:tabs>
              <w:jc w:val="both"/>
              <w:rPr>
                <w:lang w:val="lt-LT"/>
              </w:rPr>
            </w:pPr>
          </w:p>
        </w:tc>
      </w:tr>
      <w:tr w:rsidR="007F098A" w:rsidRPr="004273CC" w:rsidTr="001C0D02">
        <w:trPr>
          <w:cantSplit/>
        </w:trPr>
        <w:tc>
          <w:tcPr>
            <w:tcW w:w="774" w:type="dxa"/>
            <w:vMerge/>
          </w:tcPr>
          <w:p w:rsidR="007F098A" w:rsidRPr="004273CC" w:rsidRDefault="007F098A" w:rsidP="00065FB5">
            <w:pPr>
              <w:tabs>
                <w:tab w:val="left" w:pos="510"/>
              </w:tabs>
              <w:ind w:left="113" w:right="113"/>
              <w:jc w:val="center"/>
              <w:rPr>
                <w:lang w:val="lt-LT"/>
              </w:rPr>
            </w:pPr>
          </w:p>
        </w:tc>
        <w:tc>
          <w:tcPr>
            <w:tcW w:w="3427" w:type="dxa"/>
            <w:gridSpan w:val="6"/>
          </w:tcPr>
          <w:p w:rsidR="007F098A" w:rsidRDefault="007F098A" w:rsidP="00065FB5">
            <w:pPr>
              <w:tabs>
                <w:tab w:val="left" w:pos="510"/>
              </w:tabs>
              <w:jc w:val="both"/>
              <w:rPr>
                <w:lang w:val="lt-LT"/>
              </w:rPr>
            </w:pPr>
            <w:r>
              <w:rPr>
                <w:lang w:val="lt-LT"/>
              </w:rPr>
              <w:t>Ne visas natūroje esantis ilgalaikis turtas yra apskaitytas</w:t>
            </w:r>
          </w:p>
        </w:tc>
        <w:tc>
          <w:tcPr>
            <w:tcW w:w="548" w:type="dxa"/>
            <w:gridSpan w:val="7"/>
          </w:tcPr>
          <w:p w:rsidR="007F098A" w:rsidRPr="004273CC" w:rsidRDefault="007F098A" w:rsidP="00065FB5">
            <w:pPr>
              <w:tabs>
                <w:tab w:val="left" w:pos="510"/>
              </w:tabs>
              <w:jc w:val="both"/>
              <w:rPr>
                <w:lang w:val="lt-LT"/>
              </w:rPr>
            </w:pPr>
            <w:r>
              <w:rPr>
                <w:lang w:val="lt-LT"/>
              </w:rPr>
              <w:t>I</w:t>
            </w:r>
          </w:p>
        </w:tc>
        <w:tc>
          <w:tcPr>
            <w:tcW w:w="567" w:type="dxa"/>
            <w:gridSpan w:val="7"/>
          </w:tcPr>
          <w:p w:rsidR="007F098A" w:rsidRPr="004273CC" w:rsidRDefault="007F098A" w:rsidP="00065FB5">
            <w:pPr>
              <w:tabs>
                <w:tab w:val="left" w:pos="510"/>
              </w:tabs>
              <w:jc w:val="both"/>
              <w:rPr>
                <w:lang w:val="lt-LT"/>
              </w:rPr>
            </w:pPr>
          </w:p>
        </w:tc>
        <w:tc>
          <w:tcPr>
            <w:tcW w:w="1132" w:type="dxa"/>
            <w:gridSpan w:val="7"/>
          </w:tcPr>
          <w:p w:rsidR="007F098A" w:rsidRPr="004273CC" w:rsidRDefault="007F098A" w:rsidP="00065FB5">
            <w:pPr>
              <w:tabs>
                <w:tab w:val="left" w:pos="510"/>
              </w:tabs>
              <w:jc w:val="both"/>
              <w:rPr>
                <w:lang w:val="lt-LT"/>
              </w:rPr>
            </w:pPr>
          </w:p>
        </w:tc>
        <w:tc>
          <w:tcPr>
            <w:tcW w:w="677" w:type="dxa"/>
            <w:gridSpan w:val="7"/>
          </w:tcPr>
          <w:p w:rsidR="007F098A" w:rsidRPr="004273CC" w:rsidRDefault="007F098A" w:rsidP="00065FB5">
            <w:pPr>
              <w:tabs>
                <w:tab w:val="left" w:pos="510"/>
              </w:tabs>
              <w:jc w:val="both"/>
              <w:rPr>
                <w:lang w:val="lt-LT"/>
              </w:rPr>
            </w:pPr>
          </w:p>
        </w:tc>
        <w:tc>
          <w:tcPr>
            <w:tcW w:w="1180" w:type="dxa"/>
            <w:gridSpan w:val="8"/>
          </w:tcPr>
          <w:p w:rsidR="007F098A" w:rsidRPr="004273CC" w:rsidRDefault="007F098A" w:rsidP="00065FB5">
            <w:pPr>
              <w:tabs>
                <w:tab w:val="left" w:pos="510"/>
              </w:tabs>
              <w:jc w:val="both"/>
              <w:rPr>
                <w:lang w:val="lt-LT"/>
              </w:rPr>
            </w:pPr>
          </w:p>
        </w:tc>
        <w:tc>
          <w:tcPr>
            <w:tcW w:w="1139" w:type="dxa"/>
            <w:gridSpan w:val="10"/>
          </w:tcPr>
          <w:p w:rsidR="007F098A" w:rsidRPr="004273CC" w:rsidRDefault="007F098A" w:rsidP="00065FB5">
            <w:pPr>
              <w:tabs>
                <w:tab w:val="left" w:pos="510"/>
              </w:tabs>
              <w:jc w:val="both"/>
              <w:rPr>
                <w:lang w:val="lt-LT"/>
              </w:rPr>
            </w:pPr>
          </w:p>
        </w:tc>
        <w:tc>
          <w:tcPr>
            <w:tcW w:w="1132" w:type="dxa"/>
            <w:gridSpan w:val="8"/>
          </w:tcPr>
          <w:p w:rsidR="007F098A" w:rsidRPr="004273CC" w:rsidRDefault="007F098A" w:rsidP="00065FB5">
            <w:pPr>
              <w:tabs>
                <w:tab w:val="left" w:pos="510"/>
              </w:tabs>
              <w:jc w:val="both"/>
              <w:rPr>
                <w:lang w:val="lt-LT"/>
              </w:rPr>
            </w:pPr>
          </w:p>
        </w:tc>
        <w:tc>
          <w:tcPr>
            <w:tcW w:w="708" w:type="dxa"/>
            <w:gridSpan w:val="6"/>
          </w:tcPr>
          <w:p w:rsidR="007F098A" w:rsidRPr="004273CC" w:rsidRDefault="007F098A" w:rsidP="00065FB5">
            <w:pPr>
              <w:tabs>
                <w:tab w:val="left" w:pos="510"/>
              </w:tabs>
              <w:jc w:val="both"/>
              <w:rPr>
                <w:lang w:val="lt-LT"/>
              </w:rPr>
            </w:pPr>
          </w:p>
        </w:tc>
        <w:tc>
          <w:tcPr>
            <w:tcW w:w="1133" w:type="dxa"/>
            <w:gridSpan w:val="6"/>
          </w:tcPr>
          <w:p w:rsidR="007F098A" w:rsidRPr="004273CC" w:rsidRDefault="007F098A" w:rsidP="00065FB5">
            <w:pPr>
              <w:tabs>
                <w:tab w:val="left" w:pos="510"/>
              </w:tabs>
              <w:jc w:val="both"/>
              <w:rPr>
                <w:lang w:val="lt-LT"/>
              </w:rPr>
            </w:pPr>
          </w:p>
        </w:tc>
        <w:tc>
          <w:tcPr>
            <w:tcW w:w="1441" w:type="dxa"/>
            <w:gridSpan w:val="2"/>
          </w:tcPr>
          <w:p w:rsidR="007F098A" w:rsidRPr="004273CC" w:rsidRDefault="007F098A" w:rsidP="00065FB5">
            <w:pPr>
              <w:tabs>
                <w:tab w:val="left" w:pos="510"/>
              </w:tabs>
              <w:jc w:val="both"/>
              <w:rPr>
                <w:lang w:val="lt-LT"/>
              </w:rPr>
            </w:pPr>
          </w:p>
        </w:tc>
      </w:tr>
      <w:tr w:rsidR="007F098A" w:rsidRPr="004273CC" w:rsidTr="001C0D02">
        <w:trPr>
          <w:cantSplit/>
        </w:trPr>
        <w:tc>
          <w:tcPr>
            <w:tcW w:w="774" w:type="dxa"/>
            <w:vMerge/>
          </w:tcPr>
          <w:p w:rsidR="007F098A" w:rsidRPr="004273CC" w:rsidRDefault="007F098A" w:rsidP="00065FB5">
            <w:pPr>
              <w:tabs>
                <w:tab w:val="left" w:pos="510"/>
              </w:tabs>
              <w:ind w:left="113" w:right="113"/>
              <w:jc w:val="center"/>
              <w:rPr>
                <w:lang w:val="lt-LT"/>
              </w:rPr>
            </w:pPr>
          </w:p>
        </w:tc>
        <w:tc>
          <w:tcPr>
            <w:tcW w:w="3427" w:type="dxa"/>
            <w:gridSpan w:val="6"/>
          </w:tcPr>
          <w:p w:rsidR="007F098A" w:rsidRDefault="007F098A" w:rsidP="00065FB5">
            <w:pPr>
              <w:tabs>
                <w:tab w:val="left" w:pos="510"/>
              </w:tabs>
              <w:jc w:val="both"/>
              <w:rPr>
                <w:lang w:val="lt-LT"/>
              </w:rPr>
            </w:pPr>
            <w:r>
              <w:rPr>
                <w:lang w:val="lt-LT"/>
              </w:rPr>
              <w:t>Ne visas apskaitytas turtas priklauso įmonei, jis neapskaitytas užbalansinėse sąskaitose</w:t>
            </w:r>
          </w:p>
        </w:tc>
        <w:tc>
          <w:tcPr>
            <w:tcW w:w="548" w:type="dxa"/>
            <w:gridSpan w:val="7"/>
          </w:tcPr>
          <w:p w:rsidR="007F098A" w:rsidRPr="004273CC" w:rsidRDefault="007F098A" w:rsidP="00065FB5">
            <w:pPr>
              <w:tabs>
                <w:tab w:val="left" w:pos="510"/>
              </w:tabs>
              <w:jc w:val="both"/>
              <w:rPr>
                <w:lang w:val="lt-LT"/>
              </w:rPr>
            </w:pPr>
            <w:r>
              <w:rPr>
                <w:lang w:val="lt-LT"/>
              </w:rPr>
              <w:t>T, V</w:t>
            </w:r>
          </w:p>
        </w:tc>
        <w:tc>
          <w:tcPr>
            <w:tcW w:w="567" w:type="dxa"/>
            <w:gridSpan w:val="7"/>
          </w:tcPr>
          <w:p w:rsidR="007F098A" w:rsidRPr="004273CC" w:rsidRDefault="007F098A" w:rsidP="00065FB5">
            <w:pPr>
              <w:tabs>
                <w:tab w:val="left" w:pos="510"/>
              </w:tabs>
              <w:jc w:val="both"/>
              <w:rPr>
                <w:lang w:val="lt-LT"/>
              </w:rPr>
            </w:pPr>
          </w:p>
        </w:tc>
        <w:tc>
          <w:tcPr>
            <w:tcW w:w="1132" w:type="dxa"/>
            <w:gridSpan w:val="7"/>
          </w:tcPr>
          <w:p w:rsidR="007F098A" w:rsidRPr="004273CC" w:rsidRDefault="007F098A" w:rsidP="00065FB5">
            <w:pPr>
              <w:tabs>
                <w:tab w:val="left" w:pos="510"/>
              </w:tabs>
              <w:jc w:val="both"/>
              <w:rPr>
                <w:lang w:val="lt-LT"/>
              </w:rPr>
            </w:pPr>
          </w:p>
        </w:tc>
        <w:tc>
          <w:tcPr>
            <w:tcW w:w="677" w:type="dxa"/>
            <w:gridSpan w:val="7"/>
          </w:tcPr>
          <w:p w:rsidR="007F098A" w:rsidRPr="004273CC" w:rsidRDefault="007F098A" w:rsidP="00065FB5">
            <w:pPr>
              <w:tabs>
                <w:tab w:val="left" w:pos="510"/>
              </w:tabs>
              <w:jc w:val="both"/>
              <w:rPr>
                <w:lang w:val="lt-LT"/>
              </w:rPr>
            </w:pPr>
          </w:p>
        </w:tc>
        <w:tc>
          <w:tcPr>
            <w:tcW w:w="1180" w:type="dxa"/>
            <w:gridSpan w:val="8"/>
          </w:tcPr>
          <w:p w:rsidR="007F098A" w:rsidRPr="004273CC" w:rsidRDefault="007F098A" w:rsidP="00065FB5">
            <w:pPr>
              <w:tabs>
                <w:tab w:val="left" w:pos="510"/>
              </w:tabs>
              <w:jc w:val="both"/>
              <w:rPr>
                <w:lang w:val="lt-LT"/>
              </w:rPr>
            </w:pPr>
          </w:p>
        </w:tc>
        <w:tc>
          <w:tcPr>
            <w:tcW w:w="1139" w:type="dxa"/>
            <w:gridSpan w:val="10"/>
          </w:tcPr>
          <w:p w:rsidR="007F098A" w:rsidRPr="004273CC" w:rsidRDefault="007F098A" w:rsidP="00065FB5">
            <w:pPr>
              <w:tabs>
                <w:tab w:val="left" w:pos="510"/>
              </w:tabs>
              <w:jc w:val="both"/>
              <w:rPr>
                <w:lang w:val="lt-LT"/>
              </w:rPr>
            </w:pPr>
          </w:p>
        </w:tc>
        <w:tc>
          <w:tcPr>
            <w:tcW w:w="1132" w:type="dxa"/>
            <w:gridSpan w:val="8"/>
          </w:tcPr>
          <w:p w:rsidR="007F098A" w:rsidRPr="004273CC" w:rsidRDefault="007F098A" w:rsidP="00065FB5">
            <w:pPr>
              <w:tabs>
                <w:tab w:val="left" w:pos="510"/>
              </w:tabs>
              <w:jc w:val="both"/>
              <w:rPr>
                <w:lang w:val="lt-LT"/>
              </w:rPr>
            </w:pPr>
          </w:p>
        </w:tc>
        <w:tc>
          <w:tcPr>
            <w:tcW w:w="708" w:type="dxa"/>
            <w:gridSpan w:val="6"/>
          </w:tcPr>
          <w:p w:rsidR="007F098A" w:rsidRPr="004273CC" w:rsidRDefault="007F098A" w:rsidP="00065FB5">
            <w:pPr>
              <w:tabs>
                <w:tab w:val="left" w:pos="510"/>
              </w:tabs>
              <w:jc w:val="both"/>
              <w:rPr>
                <w:lang w:val="lt-LT"/>
              </w:rPr>
            </w:pPr>
          </w:p>
        </w:tc>
        <w:tc>
          <w:tcPr>
            <w:tcW w:w="1133" w:type="dxa"/>
            <w:gridSpan w:val="6"/>
          </w:tcPr>
          <w:p w:rsidR="007F098A" w:rsidRPr="004273CC" w:rsidRDefault="007F098A" w:rsidP="00065FB5">
            <w:pPr>
              <w:tabs>
                <w:tab w:val="left" w:pos="510"/>
              </w:tabs>
              <w:jc w:val="both"/>
              <w:rPr>
                <w:lang w:val="lt-LT"/>
              </w:rPr>
            </w:pPr>
          </w:p>
        </w:tc>
        <w:tc>
          <w:tcPr>
            <w:tcW w:w="1441" w:type="dxa"/>
            <w:gridSpan w:val="2"/>
          </w:tcPr>
          <w:p w:rsidR="007F098A" w:rsidRPr="004273CC" w:rsidRDefault="007F098A" w:rsidP="00065FB5">
            <w:pPr>
              <w:tabs>
                <w:tab w:val="left" w:pos="510"/>
              </w:tabs>
              <w:jc w:val="both"/>
              <w:rPr>
                <w:lang w:val="lt-LT"/>
              </w:rPr>
            </w:pPr>
          </w:p>
        </w:tc>
      </w:tr>
      <w:tr w:rsidR="007F098A" w:rsidRPr="004273CC" w:rsidTr="001C0D02">
        <w:trPr>
          <w:cantSplit/>
        </w:trPr>
        <w:tc>
          <w:tcPr>
            <w:tcW w:w="774" w:type="dxa"/>
            <w:vMerge/>
          </w:tcPr>
          <w:p w:rsidR="007F098A" w:rsidRPr="004273CC" w:rsidRDefault="007F098A" w:rsidP="00065FB5">
            <w:pPr>
              <w:tabs>
                <w:tab w:val="left" w:pos="510"/>
              </w:tabs>
              <w:ind w:left="113" w:right="113"/>
              <w:jc w:val="center"/>
              <w:rPr>
                <w:lang w:val="lt-LT"/>
              </w:rPr>
            </w:pPr>
          </w:p>
        </w:tc>
        <w:tc>
          <w:tcPr>
            <w:tcW w:w="3427" w:type="dxa"/>
            <w:gridSpan w:val="6"/>
          </w:tcPr>
          <w:p w:rsidR="007F098A" w:rsidRDefault="007F098A" w:rsidP="00065FB5">
            <w:pPr>
              <w:tabs>
                <w:tab w:val="left" w:pos="510"/>
              </w:tabs>
              <w:jc w:val="both"/>
              <w:rPr>
                <w:lang w:val="lt-LT"/>
              </w:rPr>
            </w:pPr>
            <w:r>
              <w:rPr>
                <w:lang w:val="lt-LT"/>
              </w:rPr>
              <w:t>Nėra patvirtinta ilgalaikio turto inventorizacijos tvarka</w:t>
            </w:r>
          </w:p>
        </w:tc>
        <w:tc>
          <w:tcPr>
            <w:tcW w:w="548" w:type="dxa"/>
            <w:gridSpan w:val="7"/>
          </w:tcPr>
          <w:p w:rsidR="007F098A" w:rsidRPr="004273CC" w:rsidRDefault="007F098A" w:rsidP="00065FB5">
            <w:pPr>
              <w:tabs>
                <w:tab w:val="left" w:pos="510"/>
              </w:tabs>
              <w:jc w:val="both"/>
              <w:rPr>
                <w:lang w:val="lt-LT"/>
              </w:rPr>
            </w:pPr>
            <w:r>
              <w:rPr>
                <w:lang w:val="lt-LT"/>
              </w:rPr>
              <w:t>B</w:t>
            </w:r>
          </w:p>
        </w:tc>
        <w:tc>
          <w:tcPr>
            <w:tcW w:w="567" w:type="dxa"/>
            <w:gridSpan w:val="7"/>
          </w:tcPr>
          <w:p w:rsidR="007F098A" w:rsidRPr="004273CC" w:rsidRDefault="007F098A" w:rsidP="00065FB5">
            <w:pPr>
              <w:tabs>
                <w:tab w:val="left" w:pos="510"/>
              </w:tabs>
              <w:jc w:val="both"/>
              <w:rPr>
                <w:lang w:val="lt-LT"/>
              </w:rPr>
            </w:pPr>
          </w:p>
        </w:tc>
        <w:tc>
          <w:tcPr>
            <w:tcW w:w="1132" w:type="dxa"/>
            <w:gridSpan w:val="7"/>
          </w:tcPr>
          <w:p w:rsidR="007F098A" w:rsidRPr="004273CC" w:rsidRDefault="007F098A" w:rsidP="00065FB5">
            <w:pPr>
              <w:tabs>
                <w:tab w:val="left" w:pos="510"/>
              </w:tabs>
              <w:jc w:val="both"/>
              <w:rPr>
                <w:lang w:val="lt-LT"/>
              </w:rPr>
            </w:pPr>
          </w:p>
        </w:tc>
        <w:tc>
          <w:tcPr>
            <w:tcW w:w="677" w:type="dxa"/>
            <w:gridSpan w:val="7"/>
          </w:tcPr>
          <w:p w:rsidR="007F098A" w:rsidRPr="004273CC" w:rsidRDefault="007F098A" w:rsidP="00065FB5">
            <w:pPr>
              <w:tabs>
                <w:tab w:val="left" w:pos="510"/>
              </w:tabs>
              <w:jc w:val="both"/>
              <w:rPr>
                <w:lang w:val="lt-LT"/>
              </w:rPr>
            </w:pPr>
          </w:p>
        </w:tc>
        <w:tc>
          <w:tcPr>
            <w:tcW w:w="1180" w:type="dxa"/>
            <w:gridSpan w:val="8"/>
          </w:tcPr>
          <w:p w:rsidR="007F098A" w:rsidRPr="004273CC" w:rsidRDefault="007F098A" w:rsidP="00065FB5">
            <w:pPr>
              <w:tabs>
                <w:tab w:val="left" w:pos="510"/>
              </w:tabs>
              <w:jc w:val="both"/>
              <w:rPr>
                <w:lang w:val="lt-LT"/>
              </w:rPr>
            </w:pPr>
          </w:p>
        </w:tc>
        <w:tc>
          <w:tcPr>
            <w:tcW w:w="1139" w:type="dxa"/>
            <w:gridSpan w:val="10"/>
          </w:tcPr>
          <w:p w:rsidR="007F098A" w:rsidRPr="004273CC" w:rsidRDefault="007F098A" w:rsidP="00065FB5">
            <w:pPr>
              <w:tabs>
                <w:tab w:val="left" w:pos="510"/>
              </w:tabs>
              <w:jc w:val="both"/>
              <w:rPr>
                <w:lang w:val="lt-LT"/>
              </w:rPr>
            </w:pPr>
            <w:r>
              <w:rPr>
                <w:lang w:val="lt-LT"/>
              </w:rPr>
              <w:t>Yra</w:t>
            </w:r>
          </w:p>
        </w:tc>
        <w:tc>
          <w:tcPr>
            <w:tcW w:w="1132" w:type="dxa"/>
            <w:gridSpan w:val="8"/>
          </w:tcPr>
          <w:p w:rsidR="007F098A" w:rsidRPr="004273CC" w:rsidRDefault="007F098A" w:rsidP="00065FB5">
            <w:pPr>
              <w:tabs>
                <w:tab w:val="left" w:pos="510"/>
              </w:tabs>
              <w:jc w:val="both"/>
              <w:rPr>
                <w:lang w:val="lt-LT"/>
              </w:rPr>
            </w:pPr>
          </w:p>
        </w:tc>
        <w:tc>
          <w:tcPr>
            <w:tcW w:w="708" w:type="dxa"/>
            <w:gridSpan w:val="6"/>
          </w:tcPr>
          <w:p w:rsidR="007F098A" w:rsidRPr="004273CC" w:rsidRDefault="007F098A" w:rsidP="00065FB5">
            <w:pPr>
              <w:tabs>
                <w:tab w:val="left" w:pos="510"/>
              </w:tabs>
              <w:jc w:val="both"/>
              <w:rPr>
                <w:lang w:val="lt-LT"/>
              </w:rPr>
            </w:pPr>
          </w:p>
        </w:tc>
        <w:tc>
          <w:tcPr>
            <w:tcW w:w="1133" w:type="dxa"/>
            <w:gridSpan w:val="6"/>
          </w:tcPr>
          <w:p w:rsidR="007F098A" w:rsidRPr="004273CC" w:rsidRDefault="007F098A" w:rsidP="00065FB5">
            <w:pPr>
              <w:tabs>
                <w:tab w:val="left" w:pos="510"/>
              </w:tabs>
              <w:jc w:val="both"/>
              <w:rPr>
                <w:lang w:val="lt-LT"/>
              </w:rPr>
            </w:pPr>
          </w:p>
        </w:tc>
        <w:tc>
          <w:tcPr>
            <w:tcW w:w="1441" w:type="dxa"/>
            <w:gridSpan w:val="2"/>
          </w:tcPr>
          <w:p w:rsidR="007F098A" w:rsidRPr="004273CC" w:rsidRDefault="007F098A" w:rsidP="00065FB5">
            <w:pPr>
              <w:tabs>
                <w:tab w:val="left" w:pos="510"/>
              </w:tabs>
              <w:jc w:val="both"/>
              <w:rPr>
                <w:lang w:val="lt-LT"/>
              </w:rPr>
            </w:pPr>
          </w:p>
        </w:tc>
      </w:tr>
      <w:tr w:rsidR="007F098A" w:rsidRPr="004273CC" w:rsidTr="001C0D02">
        <w:trPr>
          <w:cantSplit/>
        </w:trPr>
        <w:tc>
          <w:tcPr>
            <w:tcW w:w="774" w:type="dxa"/>
            <w:vMerge/>
          </w:tcPr>
          <w:p w:rsidR="007F098A" w:rsidRPr="004273CC" w:rsidRDefault="007F098A" w:rsidP="00065FB5">
            <w:pPr>
              <w:tabs>
                <w:tab w:val="left" w:pos="510"/>
              </w:tabs>
              <w:ind w:left="113" w:right="113"/>
              <w:jc w:val="center"/>
              <w:rPr>
                <w:lang w:val="lt-LT"/>
              </w:rPr>
            </w:pPr>
          </w:p>
        </w:tc>
        <w:tc>
          <w:tcPr>
            <w:tcW w:w="3427" w:type="dxa"/>
            <w:gridSpan w:val="6"/>
          </w:tcPr>
          <w:p w:rsidR="007F098A" w:rsidRDefault="007F098A" w:rsidP="00065FB5">
            <w:pPr>
              <w:tabs>
                <w:tab w:val="left" w:pos="510"/>
              </w:tabs>
              <w:jc w:val="both"/>
              <w:rPr>
                <w:lang w:val="lt-LT"/>
              </w:rPr>
            </w:pPr>
            <w:r>
              <w:rPr>
                <w:lang w:val="lt-LT"/>
              </w:rPr>
              <w:t>Nesilaikoma inventorizacijos tvarkos arba ji yra netinkama</w:t>
            </w:r>
          </w:p>
        </w:tc>
        <w:tc>
          <w:tcPr>
            <w:tcW w:w="548" w:type="dxa"/>
            <w:gridSpan w:val="7"/>
          </w:tcPr>
          <w:p w:rsidR="007F098A" w:rsidRPr="004273CC" w:rsidRDefault="007F098A" w:rsidP="00065FB5">
            <w:pPr>
              <w:tabs>
                <w:tab w:val="left" w:pos="510"/>
              </w:tabs>
              <w:jc w:val="both"/>
              <w:rPr>
                <w:lang w:val="lt-LT"/>
              </w:rPr>
            </w:pPr>
            <w:r>
              <w:rPr>
                <w:lang w:val="lt-LT"/>
              </w:rPr>
              <w:t>B</w:t>
            </w:r>
          </w:p>
        </w:tc>
        <w:tc>
          <w:tcPr>
            <w:tcW w:w="567" w:type="dxa"/>
            <w:gridSpan w:val="7"/>
          </w:tcPr>
          <w:p w:rsidR="007F098A" w:rsidRPr="004273CC" w:rsidRDefault="007F098A" w:rsidP="00065FB5">
            <w:pPr>
              <w:tabs>
                <w:tab w:val="left" w:pos="510"/>
              </w:tabs>
              <w:jc w:val="both"/>
              <w:rPr>
                <w:lang w:val="lt-LT"/>
              </w:rPr>
            </w:pPr>
          </w:p>
        </w:tc>
        <w:tc>
          <w:tcPr>
            <w:tcW w:w="1132" w:type="dxa"/>
            <w:gridSpan w:val="7"/>
          </w:tcPr>
          <w:p w:rsidR="007F098A" w:rsidRPr="004273CC" w:rsidRDefault="007F098A" w:rsidP="00065FB5">
            <w:pPr>
              <w:tabs>
                <w:tab w:val="left" w:pos="510"/>
              </w:tabs>
              <w:jc w:val="both"/>
              <w:rPr>
                <w:lang w:val="lt-LT"/>
              </w:rPr>
            </w:pPr>
          </w:p>
        </w:tc>
        <w:tc>
          <w:tcPr>
            <w:tcW w:w="677" w:type="dxa"/>
            <w:gridSpan w:val="7"/>
          </w:tcPr>
          <w:p w:rsidR="007F098A" w:rsidRPr="004273CC" w:rsidRDefault="007F098A" w:rsidP="00065FB5">
            <w:pPr>
              <w:tabs>
                <w:tab w:val="left" w:pos="510"/>
              </w:tabs>
              <w:jc w:val="both"/>
              <w:rPr>
                <w:lang w:val="lt-LT"/>
              </w:rPr>
            </w:pPr>
          </w:p>
        </w:tc>
        <w:tc>
          <w:tcPr>
            <w:tcW w:w="1180" w:type="dxa"/>
            <w:gridSpan w:val="8"/>
          </w:tcPr>
          <w:p w:rsidR="007F098A" w:rsidRPr="004273CC" w:rsidRDefault="007F098A" w:rsidP="00065FB5">
            <w:pPr>
              <w:tabs>
                <w:tab w:val="left" w:pos="510"/>
              </w:tabs>
              <w:jc w:val="both"/>
              <w:rPr>
                <w:lang w:val="lt-LT"/>
              </w:rPr>
            </w:pPr>
          </w:p>
        </w:tc>
        <w:tc>
          <w:tcPr>
            <w:tcW w:w="1139" w:type="dxa"/>
            <w:gridSpan w:val="10"/>
          </w:tcPr>
          <w:p w:rsidR="007F098A" w:rsidRPr="004273CC" w:rsidRDefault="007F098A" w:rsidP="00065FB5">
            <w:pPr>
              <w:tabs>
                <w:tab w:val="left" w:pos="510"/>
              </w:tabs>
              <w:jc w:val="both"/>
              <w:rPr>
                <w:lang w:val="lt-LT"/>
              </w:rPr>
            </w:pPr>
            <w:r>
              <w:rPr>
                <w:lang w:val="lt-LT"/>
              </w:rPr>
              <w:t>Tinkama</w:t>
            </w:r>
          </w:p>
        </w:tc>
        <w:tc>
          <w:tcPr>
            <w:tcW w:w="1132" w:type="dxa"/>
            <w:gridSpan w:val="8"/>
          </w:tcPr>
          <w:p w:rsidR="007F098A" w:rsidRPr="004273CC" w:rsidRDefault="007F098A" w:rsidP="00065FB5">
            <w:pPr>
              <w:tabs>
                <w:tab w:val="left" w:pos="510"/>
              </w:tabs>
              <w:jc w:val="both"/>
              <w:rPr>
                <w:lang w:val="lt-LT"/>
              </w:rPr>
            </w:pPr>
          </w:p>
        </w:tc>
        <w:tc>
          <w:tcPr>
            <w:tcW w:w="708" w:type="dxa"/>
            <w:gridSpan w:val="6"/>
          </w:tcPr>
          <w:p w:rsidR="007F098A" w:rsidRPr="004273CC" w:rsidRDefault="007F098A" w:rsidP="00065FB5">
            <w:pPr>
              <w:tabs>
                <w:tab w:val="left" w:pos="510"/>
              </w:tabs>
              <w:jc w:val="both"/>
              <w:rPr>
                <w:lang w:val="lt-LT"/>
              </w:rPr>
            </w:pPr>
          </w:p>
        </w:tc>
        <w:tc>
          <w:tcPr>
            <w:tcW w:w="1133" w:type="dxa"/>
            <w:gridSpan w:val="6"/>
          </w:tcPr>
          <w:p w:rsidR="007F098A" w:rsidRPr="004273CC" w:rsidRDefault="007F098A" w:rsidP="00065FB5">
            <w:pPr>
              <w:tabs>
                <w:tab w:val="left" w:pos="510"/>
              </w:tabs>
              <w:jc w:val="both"/>
              <w:rPr>
                <w:lang w:val="lt-LT"/>
              </w:rPr>
            </w:pPr>
          </w:p>
        </w:tc>
        <w:tc>
          <w:tcPr>
            <w:tcW w:w="1441" w:type="dxa"/>
            <w:gridSpan w:val="2"/>
          </w:tcPr>
          <w:p w:rsidR="007F098A" w:rsidRPr="004273CC" w:rsidRDefault="007F098A" w:rsidP="00065FB5">
            <w:pPr>
              <w:tabs>
                <w:tab w:val="left" w:pos="510"/>
              </w:tabs>
              <w:jc w:val="both"/>
              <w:rPr>
                <w:lang w:val="lt-LT"/>
              </w:rPr>
            </w:pPr>
          </w:p>
        </w:tc>
      </w:tr>
      <w:tr w:rsidR="007F098A" w:rsidRPr="004273CC" w:rsidTr="001C0D02">
        <w:trPr>
          <w:cantSplit/>
        </w:trPr>
        <w:tc>
          <w:tcPr>
            <w:tcW w:w="774" w:type="dxa"/>
            <w:vMerge/>
          </w:tcPr>
          <w:p w:rsidR="007F098A" w:rsidRPr="004273CC" w:rsidRDefault="007F098A" w:rsidP="00065FB5">
            <w:pPr>
              <w:tabs>
                <w:tab w:val="left" w:pos="510"/>
              </w:tabs>
              <w:ind w:left="113" w:right="113"/>
              <w:jc w:val="center"/>
              <w:rPr>
                <w:lang w:val="lt-LT"/>
              </w:rPr>
            </w:pPr>
          </w:p>
        </w:tc>
        <w:tc>
          <w:tcPr>
            <w:tcW w:w="3427" w:type="dxa"/>
            <w:gridSpan w:val="6"/>
          </w:tcPr>
          <w:p w:rsidR="007F098A" w:rsidRDefault="007F098A" w:rsidP="00065FB5">
            <w:pPr>
              <w:tabs>
                <w:tab w:val="left" w:pos="510"/>
              </w:tabs>
              <w:jc w:val="both"/>
              <w:rPr>
                <w:lang w:val="lt-LT"/>
              </w:rPr>
            </w:pPr>
            <w:r>
              <w:rPr>
                <w:lang w:val="lt-LT"/>
              </w:rPr>
              <w:t>Neužtikrinama, kad inventorizacijos (vertės vertinimo) rezultatai neparodomi apskaitoje</w:t>
            </w:r>
          </w:p>
        </w:tc>
        <w:tc>
          <w:tcPr>
            <w:tcW w:w="548" w:type="dxa"/>
            <w:gridSpan w:val="7"/>
          </w:tcPr>
          <w:p w:rsidR="007F098A" w:rsidRPr="004273CC" w:rsidRDefault="007F098A" w:rsidP="00065FB5">
            <w:pPr>
              <w:tabs>
                <w:tab w:val="left" w:pos="510"/>
              </w:tabs>
              <w:jc w:val="both"/>
              <w:rPr>
                <w:lang w:val="lt-LT"/>
              </w:rPr>
            </w:pPr>
            <w:r>
              <w:rPr>
                <w:lang w:val="lt-LT"/>
              </w:rPr>
              <w:t>I, V</w:t>
            </w:r>
          </w:p>
        </w:tc>
        <w:tc>
          <w:tcPr>
            <w:tcW w:w="567" w:type="dxa"/>
            <w:gridSpan w:val="7"/>
          </w:tcPr>
          <w:p w:rsidR="007F098A" w:rsidRPr="004273CC" w:rsidRDefault="007F098A" w:rsidP="00065FB5">
            <w:pPr>
              <w:tabs>
                <w:tab w:val="left" w:pos="510"/>
              </w:tabs>
              <w:jc w:val="both"/>
              <w:rPr>
                <w:lang w:val="lt-LT"/>
              </w:rPr>
            </w:pPr>
            <w:r>
              <w:rPr>
                <w:lang w:val="lt-LT"/>
              </w:rPr>
              <w:t>KR</w:t>
            </w:r>
          </w:p>
        </w:tc>
        <w:tc>
          <w:tcPr>
            <w:tcW w:w="1132" w:type="dxa"/>
            <w:gridSpan w:val="7"/>
          </w:tcPr>
          <w:p w:rsidR="007F098A" w:rsidRDefault="007F098A" w:rsidP="00065FB5">
            <w:pPr>
              <w:tabs>
                <w:tab w:val="left" w:pos="510"/>
              </w:tabs>
              <w:jc w:val="both"/>
              <w:rPr>
                <w:b/>
                <w:lang w:val="lt-LT"/>
              </w:rPr>
            </w:pPr>
            <w:r>
              <w:rPr>
                <w:b/>
                <w:lang w:val="lt-LT"/>
              </w:rPr>
              <w:t>3</w:t>
            </w:r>
          </w:p>
          <w:p w:rsidR="007F098A" w:rsidRPr="0019292B" w:rsidRDefault="007F098A" w:rsidP="00065FB5">
            <w:pPr>
              <w:tabs>
                <w:tab w:val="left" w:pos="510"/>
              </w:tabs>
              <w:jc w:val="both"/>
              <w:rPr>
                <w:b/>
                <w:lang w:val="lt-LT"/>
              </w:rPr>
            </w:pPr>
          </w:p>
        </w:tc>
        <w:tc>
          <w:tcPr>
            <w:tcW w:w="677" w:type="dxa"/>
            <w:gridSpan w:val="7"/>
          </w:tcPr>
          <w:p w:rsidR="007F098A" w:rsidRDefault="007F098A" w:rsidP="00065FB5">
            <w:pPr>
              <w:tabs>
                <w:tab w:val="left" w:pos="510"/>
              </w:tabs>
              <w:jc w:val="both"/>
              <w:rPr>
                <w:b/>
                <w:lang w:val="lt-LT"/>
              </w:rPr>
            </w:pPr>
            <w:r>
              <w:rPr>
                <w:b/>
                <w:lang w:val="lt-LT"/>
              </w:rPr>
              <w:t>4</w:t>
            </w:r>
          </w:p>
          <w:p w:rsidR="007F098A" w:rsidRPr="0019292B" w:rsidRDefault="007F098A" w:rsidP="00065FB5">
            <w:pPr>
              <w:tabs>
                <w:tab w:val="left" w:pos="510"/>
              </w:tabs>
              <w:jc w:val="both"/>
              <w:rPr>
                <w:b/>
                <w:lang w:val="lt-LT"/>
              </w:rPr>
            </w:pPr>
          </w:p>
        </w:tc>
        <w:tc>
          <w:tcPr>
            <w:tcW w:w="1180" w:type="dxa"/>
            <w:gridSpan w:val="8"/>
          </w:tcPr>
          <w:p w:rsidR="007F098A" w:rsidRPr="0019292B" w:rsidRDefault="007F098A" w:rsidP="00065FB5">
            <w:pPr>
              <w:tabs>
                <w:tab w:val="left" w:pos="510"/>
              </w:tabs>
              <w:jc w:val="both"/>
              <w:rPr>
                <w:b/>
                <w:lang w:val="lt-LT"/>
              </w:rPr>
            </w:pPr>
            <w:r>
              <w:rPr>
                <w:b/>
                <w:lang w:val="lt-LT"/>
              </w:rPr>
              <w:t>12</w:t>
            </w:r>
          </w:p>
        </w:tc>
        <w:tc>
          <w:tcPr>
            <w:tcW w:w="1139" w:type="dxa"/>
            <w:gridSpan w:val="10"/>
          </w:tcPr>
          <w:p w:rsidR="007F098A" w:rsidRPr="004273CC" w:rsidRDefault="007F098A" w:rsidP="00065FB5">
            <w:pPr>
              <w:tabs>
                <w:tab w:val="left" w:pos="510"/>
              </w:tabs>
              <w:jc w:val="both"/>
              <w:rPr>
                <w:lang w:val="lt-LT"/>
              </w:rPr>
            </w:pPr>
          </w:p>
        </w:tc>
        <w:tc>
          <w:tcPr>
            <w:tcW w:w="1132" w:type="dxa"/>
            <w:gridSpan w:val="8"/>
          </w:tcPr>
          <w:p w:rsidR="007F098A" w:rsidRPr="004273CC" w:rsidRDefault="007F098A" w:rsidP="00065FB5">
            <w:pPr>
              <w:tabs>
                <w:tab w:val="left" w:pos="510"/>
              </w:tabs>
              <w:jc w:val="both"/>
              <w:rPr>
                <w:lang w:val="lt-LT"/>
              </w:rPr>
            </w:pPr>
          </w:p>
        </w:tc>
        <w:tc>
          <w:tcPr>
            <w:tcW w:w="708" w:type="dxa"/>
            <w:gridSpan w:val="6"/>
          </w:tcPr>
          <w:p w:rsidR="007F098A" w:rsidRPr="004273CC" w:rsidRDefault="007F098A" w:rsidP="00065FB5">
            <w:pPr>
              <w:tabs>
                <w:tab w:val="left" w:pos="510"/>
              </w:tabs>
              <w:jc w:val="both"/>
              <w:rPr>
                <w:lang w:val="lt-LT"/>
              </w:rPr>
            </w:pPr>
          </w:p>
        </w:tc>
        <w:tc>
          <w:tcPr>
            <w:tcW w:w="1133" w:type="dxa"/>
            <w:gridSpan w:val="6"/>
          </w:tcPr>
          <w:p w:rsidR="007F098A" w:rsidRPr="004273CC" w:rsidRDefault="007F098A" w:rsidP="00065FB5">
            <w:pPr>
              <w:tabs>
                <w:tab w:val="left" w:pos="510"/>
              </w:tabs>
              <w:jc w:val="both"/>
              <w:rPr>
                <w:lang w:val="lt-LT"/>
              </w:rPr>
            </w:pPr>
          </w:p>
        </w:tc>
        <w:tc>
          <w:tcPr>
            <w:tcW w:w="1441" w:type="dxa"/>
            <w:gridSpan w:val="2"/>
          </w:tcPr>
          <w:p w:rsidR="007F098A" w:rsidRPr="004273CC" w:rsidRDefault="007F098A" w:rsidP="00065FB5">
            <w:pPr>
              <w:tabs>
                <w:tab w:val="left" w:pos="510"/>
              </w:tabs>
              <w:jc w:val="both"/>
              <w:rPr>
                <w:lang w:val="lt-LT"/>
              </w:rPr>
            </w:pPr>
          </w:p>
        </w:tc>
      </w:tr>
      <w:tr w:rsidR="007F098A" w:rsidRPr="004273CC" w:rsidTr="001C0D02">
        <w:trPr>
          <w:cantSplit/>
        </w:trPr>
        <w:tc>
          <w:tcPr>
            <w:tcW w:w="774" w:type="dxa"/>
            <w:vMerge/>
            <w:textDirection w:val="btLr"/>
          </w:tcPr>
          <w:p w:rsidR="007F098A" w:rsidRPr="004273CC" w:rsidRDefault="007F098A" w:rsidP="00065FB5">
            <w:pPr>
              <w:tabs>
                <w:tab w:val="left" w:pos="510"/>
              </w:tabs>
              <w:ind w:left="113" w:right="113"/>
              <w:jc w:val="center"/>
              <w:rPr>
                <w:lang w:val="lt-LT"/>
              </w:rPr>
            </w:pPr>
          </w:p>
        </w:tc>
        <w:tc>
          <w:tcPr>
            <w:tcW w:w="3427" w:type="dxa"/>
            <w:gridSpan w:val="6"/>
          </w:tcPr>
          <w:p w:rsidR="007F098A" w:rsidRDefault="007F098A" w:rsidP="00065FB5">
            <w:pPr>
              <w:tabs>
                <w:tab w:val="left" w:pos="510"/>
              </w:tabs>
              <w:jc w:val="both"/>
              <w:rPr>
                <w:lang w:val="lt-LT"/>
              </w:rPr>
            </w:pPr>
            <w:r>
              <w:rPr>
                <w:lang w:val="lt-LT"/>
              </w:rPr>
              <w:t xml:space="preserve">Nėra nustatyta atsakomybės dėl inventorizacijos trūkumų ir pertekliaus tvarka </w:t>
            </w:r>
          </w:p>
        </w:tc>
        <w:tc>
          <w:tcPr>
            <w:tcW w:w="548" w:type="dxa"/>
            <w:gridSpan w:val="7"/>
          </w:tcPr>
          <w:p w:rsidR="007F098A" w:rsidRPr="004273CC" w:rsidRDefault="007F098A" w:rsidP="00065FB5">
            <w:pPr>
              <w:tabs>
                <w:tab w:val="left" w:pos="510"/>
              </w:tabs>
              <w:jc w:val="both"/>
              <w:rPr>
                <w:lang w:val="lt-LT"/>
              </w:rPr>
            </w:pPr>
            <w:r>
              <w:rPr>
                <w:lang w:val="lt-LT"/>
              </w:rPr>
              <w:t>I</w:t>
            </w:r>
          </w:p>
        </w:tc>
        <w:tc>
          <w:tcPr>
            <w:tcW w:w="567" w:type="dxa"/>
            <w:gridSpan w:val="7"/>
          </w:tcPr>
          <w:p w:rsidR="007F098A" w:rsidRPr="004273CC" w:rsidRDefault="007F098A" w:rsidP="00065FB5">
            <w:pPr>
              <w:tabs>
                <w:tab w:val="left" w:pos="510"/>
              </w:tabs>
              <w:jc w:val="both"/>
              <w:rPr>
                <w:lang w:val="lt-LT"/>
              </w:rPr>
            </w:pPr>
          </w:p>
        </w:tc>
        <w:tc>
          <w:tcPr>
            <w:tcW w:w="1132" w:type="dxa"/>
            <w:gridSpan w:val="7"/>
          </w:tcPr>
          <w:p w:rsidR="007F098A" w:rsidRPr="004273CC" w:rsidRDefault="007F098A" w:rsidP="00065FB5">
            <w:pPr>
              <w:tabs>
                <w:tab w:val="left" w:pos="510"/>
              </w:tabs>
              <w:jc w:val="both"/>
              <w:rPr>
                <w:lang w:val="lt-LT"/>
              </w:rPr>
            </w:pPr>
          </w:p>
        </w:tc>
        <w:tc>
          <w:tcPr>
            <w:tcW w:w="677" w:type="dxa"/>
            <w:gridSpan w:val="7"/>
          </w:tcPr>
          <w:p w:rsidR="007F098A" w:rsidRPr="004273CC" w:rsidRDefault="007F098A" w:rsidP="00065FB5">
            <w:pPr>
              <w:tabs>
                <w:tab w:val="left" w:pos="510"/>
              </w:tabs>
              <w:jc w:val="both"/>
              <w:rPr>
                <w:lang w:val="lt-LT"/>
              </w:rPr>
            </w:pPr>
          </w:p>
        </w:tc>
        <w:tc>
          <w:tcPr>
            <w:tcW w:w="1180" w:type="dxa"/>
            <w:gridSpan w:val="8"/>
          </w:tcPr>
          <w:p w:rsidR="007F098A" w:rsidRPr="004273CC" w:rsidRDefault="007F098A" w:rsidP="00065FB5">
            <w:pPr>
              <w:tabs>
                <w:tab w:val="left" w:pos="510"/>
              </w:tabs>
              <w:jc w:val="both"/>
              <w:rPr>
                <w:lang w:val="lt-LT"/>
              </w:rPr>
            </w:pPr>
          </w:p>
        </w:tc>
        <w:tc>
          <w:tcPr>
            <w:tcW w:w="1139" w:type="dxa"/>
            <w:gridSpan w:val="10"/>
          </w:tcPr>
          <w:p w:rsidR="007F098A" w:rsidRPr="004273CC" w:rsidRDefault="007F098A" w:rsidP="00065FB5">
            <w:pPr>
              <w:tabs>
                <w:tab w:val="left" w:pos="510"/>
              </w:tabs>
              <w:jc w:val="both"/>
              <w:rPr>
                <w:lang w:val="lt-LT"/>
              </w:rPr>
            </w:pPr>
          </w:p>
        </w:tc>
        <w:tc>
          <w:tcPr>
            <w:tcW w:w="1132" w:type="dxa"/>
            <w:gridSpan w:val="8"/>
          </w:tcPr>
          <w:p w:rsidR="007F098A" w:rsidRPr="004273CC" w:rsidRDefault="007F098A" w:rsidP="00065FB5">
            <w:pPr>
              <w:tabs>
                <w:tab w:val="left" w:pos="510"/>
              </w:tabs>
              <w:jc w:val="both"/>
              <w:rPr>
                <w:lang w:val="lt-LT"/>
              </w:rPr>
            </w:pPr>
          </w:p>
        </w:tc>
        <w:tc>
          <w:tcPr>
            <w:tcW w:w="708" w:type="dxa"/>
            <w:gridSpan w:val="6"/>
          </w:tcPr>
          <w:p w:rsidR="007F098A" w:rsidRPr="004273CC" w:rsidRDefault="007F098A" w:rsidP="00065FB5">
            <w:pPr>
              <w:tabs>
                <w:tab w:val="left" w:pos="510"/>
              </w:tabs>
              <w:jc w:val="both"/>
              <w:rPr>
                <w:lang w:val="lt-LT"/>
              </w:rPr>
            </w:pPr>
          </w:p>
        </w:tc>
        <w:tc>
          <w:tcPr>
            <w:tcW w:w="1133" w:type="dxa"/>
            <w:gridSpan w:val="6"/>
          </w:tcPr>
          <w:p w:rsidR="007F098A" w:rsidRPr="004273CC" w:rsidRDefault="007F098A" w:rsidP="00065FB5">
            <w:pPr>
              <w:tabs>
                <w:tab w:val="left" w:pos="510"/>
              </w:tabs>
              <w:jc w:val="both"/>
              <w:rPr>
                <w:lang w:val="lt-LT"/>
              </w:rPr>
            </w:pPr>
          </w:p>
        </w:tc>
        <w:tc>
          <w:tcPr>
            <w:tcW w:w="1441" w:type="dxa"/>
            <w:gridSpan w:val="2"/>
          </w:tcPr>
          <w:p w:rsidR="007F098A" w:rsidRPr="004273CC" w:rsidRDefault="007F098A" w:rsidP="00065FB5">
            <w:pPr>
              <w:tabs>
                <w:tab w:val="left" w:pos="510"/>
              </w:tabs>
              <w:jc w:val="both"/>
              <w:rPr>
                <w:lang w:val="lt-LT"/>
              </w:rPr>
            </w:pPr>
          </w:p>
        </w:tc>
      </w:tr>
      <w:tr w:rsidR="007F098A" w:rsidRPr="004273CC" w:rsidTr="001C0D02">
        <w:trPr>
          <w:cantSplit/>
        </w:trPr>
        <w:tc>
          <w:tcPr>
            <w:tcW w:w="774" w:type="dxa"/>
            <w:vMerge/>
            <w:textDirection w:val="btLr"/>
          </w:tcPr>
          <w:p w:rsidR="007F098A" w:rsidRPr="002E216D" w:rsidRDefault="007F098A" w:rsidP="00065FB5">
            <w:pPr>
              <w:tabs>
                <w:tab w:val="left" w:pos="510"/>
              </w:tabs>
              <w:ind w:left="113" w:right="113"/>
              <w:jc w:val="center"/>
              <w:rPr>
                <w:b/>
                <w:lang w:val="lt-LT"/>
              </w:rPr>
            </w:pPr>
          </w:p>
        </w:tc>
        <w:tc>
          <w:tcPr>
            <w:tcW w:w="3427" w:type="dxa"/>
            <w:gridSpan w:val="6"/>
          </w:tcPr>
          <w:p w:rsidR="007F098A" w:rsidRDefault="007F098A" w:rsidP="00065FB5">
            <w:pPr>
              <w:tabs>
                <w:tab w:val="left" w:pos="510"/>
              </w:tabs>
              <w:jc w:val="both"/>
              <w:rPr>
                <w:lang w:val="lt-LT"/>
              </w:rPr>
            </w:pPr>
            <w:r>
              <w:rPr>
                <w:lang w:val="lt-LT"/>
              </w:rPr>
              <w:t>Ne visas ilgalaikis turtas yra naudojamas įmonės veikloje</w:t>
            </w:r>
          </w:p>
          <w:p w:rsidR="007F098A" w:rsidRDefault="007F098A" w:rsidP="00065FB5">
            <w:pPr>
              <w:tabs>
                <w:tab w:val="left" w:pos="510"/>
              </w:tabs>
              <w:jc w:val="both"/>
              <w:rPr>
                <w:lang w:val="lt-LT"/>
              </w:rPr>
            </w:pPr>
          </w:p>
        </w:tc>
        <w:tc>
          <w:tcPr>
            <w:tcW w:w="548" w:type="dxa"/>
            <w:gridSpan w:val="7"/>
          </w:tcPr>
          <w:p w:rsidR="007F098A" w:rsidRPr="004273CC" w:rsidRDefault="007F098A" w:rsidP="00065FB5">
            <w:pPr>
              <w:tabs>
                <w:tab w:val="left" w:pos="510"/>
              </w:tabs>
              <w:jc w:val="both"/>
              <w:rPr>
                <w:lang w:val="lt-LT"/>
              </w:rPr>
            </w:pPr>
            <w:r>
              <w:rPr>
                <w:lang w:val="lt-LT"/>
              </w:rPr>
              <w:t>T, V</w:t>
            </w:r>
          </w:p>
        </w:tc>
        <w:tc>
          <w:tcPr>
            <w:tcW w:w="567" w:type="dxa"/>
            <w:gridSpan w:val="7"/>
          </w:tcPr>
          <w:p w:rsidR="007F098A" w:rsidRPr="004273CC" w:rsidRDefault="007F098A" w:rsidP="00065FB5">
            <w:pPr>
              <w:tabs>
                <w:tab w:val="left" w:pos="510"/>
              </w:tabs>
              <w:jc w:val="both"/>
              <w:rPr>
                <w:lang w:val="lt-LT"/>
              </w:rPr>
            </w:pPr>
          </w:p>
        </w:tc>
        <w:tc>
          <w:tcPr>
            <w:tcW w:w="1132" w:type="dxa"/>
            <w:gridSpan w:val="7"/>
          </w:tcPr>
          <w:p w:rsidR="007F098A" w:rsidRPr="004273CC" w:rsidRDefault="007F098A" w:rsidP="00065FB5">
            <w:pPr>
              <w:tabs>
                <w:tab w:val="left" w:pos="510"/>
              </w:tabs>
              <w:jc w:val="both"/>
              <w:rPr>
                <w:lang w:val="lt-LT"/>
              </w:rPr>
            </w:pPr>
          </w:p>
        </w:tc>
        <w:tc>
          <w:tcPr>
            <w:tcW w:w="677" w:type="dxa"/>
            <w:gridSpan w:val="7"/>
          </w:tcPr>
          <w:p w:rsidR="007F098A" w:rsidRPr="004273CC" w:rsidRDefault="007F098A" w:rsidP="00065FB5">
            <w:pPr>
              <w:tabs>
                <w:tab w:val="left" w:pos="510"/>
              </w:tabs>
              <w:jc w:val="both"/>
              <w:rPr>
                <w:lang w:val="lt-LT"/>
              </w:rPr>
            </w:pPr>
          </w:p>
        </w:tc>
        <w:tc>
          <w:tcPr>
            <w:tcW w:w="1180" w:type="dxa"/>
            <w:gridSpan w:val="8"/>
          </w:tcPr>
          <w:p w:rsidR="007F098A" w:rsidRPr="004273CC" w:rsidRDefault="007F098A" w:rsidP="00065FB5">
            <w:pPr>
              <w:tabs>
                <w:tab w:val="left" w:pos="510"/>
              </w:tabs>
              <w:jc w:val="both"/>
              <w:rPr>
                <w:lang w:val="lt-LT"/>
              </w:rPr>
            </w:pPr>
          </w:p>
        </w:tc>
        <w:tc>
          <w:tcPr>
            <w:tcW w:w="1139" w:type="dxa"/>
            <w:gridSpan w:val="10"/>
          </w:tcPr>
          <w:p w:rsidR="007F098A" w:rsidRPr="004273CC" w:rsidRDefault="007F098A" w:rsidP="00065FB5">
            <w:pPr>
              <w:tabs>
                <w:tab w:val="left" w:pos="510"/>
              </w:tabs>
              <w:jc w:val="both"/>
              <w:rPr>
                <w:lang w:val="lt-LT"/>
              </w:rPr>
            </w:pPr>
          </w:p>
        </w:tc>
        <w:tc>
          <w:tcPr>
            <w:tcW w:w="1132" w:type="dxa"/>
            <w:gridSpan w:val="8"/>
          </w:tcPr>
          <w:p w:rsidR="007F098A" w:rsidRPr="004273CC" w:rsidRDefault="007F098A" w:rsidP="00065FB5">
            <w:pPr>
              <w:tabs>
                <w:tab w:val="left" w:pos="510"/>
              </w:tabs>
              <w:jc w:val="both"/>
              <w:rPr>
                <w:lang w:val="lt-LT"/>
              </w:rPr>
            </w:pPr>
          </w:p>
        </w:tc>
        <w:tc>
          <w:tcPr>
            <w:tcW w:w="708" w:type="dxa"/>
            <w:gridSpan w:val="6"/>
          </w:tcPr>
          <w:p w:rsidR="007F098A" w:rsidRPr="004273CC" w:rsidRDefault="007F098A" w:rsidP="00065FB5">
            <w:pPr>
              <w:tabs>
                <w:tab w:val="left" w:pos="510"/>
              </w:tabs>
              <w:jc w:val="both"/>
              <w:rPr>
                <w:lang w:val="lt-LT"/>
              </w:rPr>
            </w:pPr>
          </w:p>
        </w:tc>
        <w:tc>
          <w:tcPr>
            <w:tcW w:w="1133" w:type="dxa"/>
            <w:gridSpan w:val="6"/>
          </w:tcPr>
          <w:p w:rsidR="007F098A" w:rsidRPr="004273CC" w:rsidRDefault="007F098A" w:rsidP="00065FB5">
            <w:pPr>
              <w:tabs>
                <w:tab w:val="left" w:pos="510"/>
              </w:tabs>
              <w:jc w:val="both"/>
              <w:rPr>
                <w:lang w:val="lt-LT"/>
              </w:rPr>
            </w:pPr>
          </w:p>
        </w:tc>
        <w:tc>
          <w:tcPr>
            <w:tcW w:w="1441" w:type="dxa"/>
            <w:gridSpan w:val="2"/>
          </w:tcPr>
          <w:p w:rsidR="007F098A" w:rsidRPr="004273CC" w:rsidRDefault="007F098A" w:rsidP="00065FB5">
            <w:pPr>
              <w:tabs>
                <w:tab w:val="left" w:pos="510"/>
              </w:tabs>
              <w:jc w:val="both"/>
              <w:rPr>
                <w:lang w:val="lt-LT"/>
              </w:rPr>
            </w:pPr>
          </w:p>
        </w:tc>
      </w:tr>
      <w:tr w:rsidR="00104405" w:rsidRPr="004273CC" w:rsidTr="001C0D02">
        <w:trPr>
          <w:cantSplit/>
        </w:trPr>
        <w:tc>
          <w:tcPr>
            <w:tcW w:w="4201" w:type="dxa"/>
            <w:gridSpan w:val="7"/>
            <w:vMerge w:val="restart"/>
          </w:tcPr>
          <w:p w:rsidR="00104405" w:rsidRPr="004273CC" w:rsidRDefault="00104405" w:rsidP="00065FB5">
            <w:pPr>
              <w:tabs>
                <w:tab w:val="left" w:pos="510"/>
              </w:tabs>
              <w:ind w:left="113" w:right="113"/>
              <w:jc w:val="center"/>
              <w:rPr>
                <w:b/>
                <w:lang w:val="lt-LT"/>
              </w:rPr>
            </w:pPr>
            <w:r>
              <w:rPr>
                <w:b/>
                <w:lang w:val="lt-LT"/>
              </w:rPr>
              <w:lastRenderedPageBreak/>
              <w:t>Finansinių ataskaitų elemento ir/ar jo tvirtinimo pobūdis ir jam taikoma vidaus kontrolės sistema</w:t>
            </w:r>
          </w:p>
        </w:tc>
        <w:tc>
          <w:tcPr>
            <w:tcW w:w="548" w:type="dxa"/>
            <w:gridSpan w:val="7"/>
            <w:vMerge w:val="restart"/>
            <w:textDirection w:val="btLr"/>
          </w:tcPr>
          <w:p w:rsidR="00104405" w:rsidRPr="004273CC" w:rsidRDefault="00104405" w:rsidP="00065FB5">
            <w:pPr>
              <w:tabs>
                <w:tab w:val="left" w:pos="510"/>
              </w:tabs>
              <w:ind w:left="113" w:right="113"/>
              <w:jc w:val="center"/>
              <w:rPr>
                <w:b/>
                <w:lang w:val="lt-LT"/>
              </w:rPr>
            </w:pPr>
            <w:r>
              <w:rPr>
                <w:b/>
                <w:lang w:val="lt-LT"/>
              </w:rPr>
              <w:t>Tvirtinimas</w:t>
            </w:r>
          </w:p>
        </w:tc>
        <w:tc>
          <w:tcPr>
            <w:tcW w:w="567" w:type="dxa"/>
            <w:gridSpan w:val="7"/>
            <w:vMerge w:val="restart"/>
            <w:textDirection w:val="btLr"/>
          </w:tcPr>
          <w:p w:rsidR="00104405" w:rsidRPr="004273CC" w:rsidRDefault="00104405" w:rsidP="00065FB5">
            <w:pPr>
              <w:tabs>
                <w:tab w:val="left" w:pos="510"/>
              </w:tabs>
              <w:ind w:left="113" w:right="113"/>
              <w:jc w:val="center"/>
              <w:rPr>
                <w:b/>
                <w:lang w:val="lt-LT"/>
              </w:rPr>
            </w:pPr>
            <w:r>
              <w:rPr>
                <w:b/>
                <w:lang w:val="lt-LT"/>
              </w:rPr>
              <w:t>IR / KR</w:t>
            </w:r>
          </w:p>
        </w:tc>
        <w:tc>
          <w:tcPr>
            <w:tcW w:w="4128" w:type="dxa"/>
            <w:gridSpan w:val="32"/>
          </w:tcPr>
          <w:p w:rsidR="00104405" w:rsidRPr="004273CC" w:rsidRDefault="00104405" w:rsidP="00065FB5">
            <w:pPr>
              <w:tabs>
                <w:tab w:val="left" w:pos="510"/>
              </w:tabs>
              <w:jc w:val="center"/>
              <w:rPr>
                <w:lang w:val="lt-LT"/>
              </w:rPr>
            </w:pPr>
            <w:r>
              <w:rPr>
                <w:b/>
                <w:lang w:val="lt-LT"/>
              </w:rPr>
              <w:t>UAB „Šiluma“</w:t>
            </w:r>
          </w:p>
        </w:tc>
        <w:tc>
          <w:tcPr>
            <w:tcW w:w="4414" w:type="dxa"/>
            <w:gridSpan w:val="22"/>
          </w:tcPr>
          <w:p w:rsidR="00104405" w:rsidRPr="004273CC" w:rsidRDefault="00104405" w:rsidP="00065FB5">
            <w:pPr>
              <w:tabs>
                <w:tab w:val="left" w:pos="510"/>
              </w:tabs>
              <w:jc w:val="center"/>
              <w:rPr>
                <w:lang w:val="lt-LT"/>
              </w:rPr>
            </w:pPr>
            <w:r>
              <w:rPr>
                <w:b/>
                <w:lang w:val="lt-LT"/>
              </w:rPr>
              <w:t>UAB „Žuvila“</w:t>
            </w:r>
          </w:p>
        </w:tc>
      </w:tr>
      <w:tr w:rsidR="00104405" w:rsidRPr="004273CC" w:rsidTr="001C0D02">
        <w:trPr>
          <w:cantSplit/>
        </w:trPr>
        <w:tc>
          <w:tcPr>
            <w:tcW w:w="4201" w:type="dxa"/>
            <w:gridSpan w:val="7"/>
            <w:vMerge/>
          </w:tcPr>
          <w:p w:rsidR="00104405" w:rsidRDefault="00104405" w:rsidP="00065FB5">
            <w:pPr>
              <w:tabs>
                <w:tab w:val="left" w:pos="510"/>
              </w:tabs>
              <w:ind w:left="113" w:right="113"/>
              <w:jc w:val="center"/>
              <w:rPr>
                <w:b/>
                <w:lang w:val="lt-LT"/>
              </w:rPr>
            </w:pPr>
          </w:p>
        </w:tc>
        <w:tc>
          <w:tcPr>
            <w:tcW w:w="548" w:type="dxa"/>
            <w:gridSpan w:val="7"/>
            <w:vMerge/>
          </w:tcPr>
          <w:p w:rsidR="00104405" w:rsidRPr="004273CC" w:rsidRDefault="00104405" w:rsidP="00065FB5">
            <w:pPr>
              <w:tabs>
                <w:tab w:val="left" w:pos="510"/>
              </w:tabs>
              <w:jc w:val="center"/>
              <w:rPr>
                <w:b/>
                <w:lang w:val="lt-LT"/>
              </w:rPr>
            </w:pPr>
          </w:p>
        </w:tc>
        <w:tc>
          <w:tcPr>
            <w:tcW w:w="567" w:type="dxa"/>
            <w:gridSpan w:val="7"/>
            <w:vMerge/>
            <w:vAlign w:val="center"/>
          </w:tcPr>
          <w:p w:rsidR="00104405" w:rsidRPr="004273CC" w:rsidRDefault="00104405" w:rsidP="00065FB5">
            <w:pPr>
              <w:tabs>
                <w:tab w:val="left" w:pos="510"/>
              </w:tabs>
              <w:jc w:val="center"/>
              <w:rPr>
                <w:b/>
                <w:lang w:val="lt-LT"/>
              </w:rPr>
            </w:pPr>
          </w:p>
        </w:tc>
        <w:tc>
          <w:tcPr>
            <w:tcW w:w="2989" w:type="dxa"/>
            <w:gridSpan w:val="22"/>
            <w:vAlign w:val="center"/>
          </w:tcPr>
          <w:p w:rsidR="00104405" w:rsidRPr="004273CC" w:rsidRDefault="00104405" w:rsidP="00065FB5">
            <w:pPr>
              <w:tabs>
                <w:tab w:val="left" w:pos="510"/>
              </w:tabs>
              <w:jc w:val="center"/>
              <w:rPr>
                <w:b/>
                <w:lang w:val="lt-LT"/>
              </w:rPr>
            </w:pPr>
            <w:r w:rsidRPr="004273CC">
              <w:rPr>
                <w:b/>
                <w:lang w:val="lt-LT"/>
              </w:rPr>
              <w:t>Rizikos vertinimas</w:t>
            </w:r>
          </w:p>
        </w:tc>
        <w:tc>
          <w:tcPr>
            <w:tcW w:w="1139" w:type="dxa"/>
            <w:gridSpan w:val="10"/>
            <w:vAlign w:val="center"/>
          </w:tcPr>
          <w:p w:rsidR="00104405" w:rsidRPr="004273CC" w:rsidRDefault="00104405" w:rsidP="00065FB5">
            <w:pPr>
              <w:tabs>
                <w:tab w:val="left" w:pos="510"/>
              </w:tabs>
              <w:jc w:val="center"/>
              <w:rPr>
                <w:b/>
                <w:lang w:val="lt-LT"/>
              </w:rPr>
            </w:pPr>
            <w:r w:rsidRPr="004273CC">
              <w:rPr>
                <w:b/>
                <w:lang w:val="lt-LT"/>
              </w:rPr>
              <w:t>Pastabos</w:t>
            </w:r>
          </w:p>
        </w:tc>
        <w:tc>
          <w:tcPr>
            <w:tcW w:w="2973" w:type="dxa"/>
            <w:gridSpan w:val="20"/>
          </w:tcPr>
          <w:p w:rsidR="00104405" w:rsidRPr="004273CC" w:rsidRDefault="00104405" w:rsidP="00065FB5">
            <w:pPr>
              <w:tabs>
                <w:tab w:val="left" w:pos="510"/>
              </w:tabs>
              <w:jc w:val="center"/>
              <w:rPr>
                <w:b/>
                <w:lang w:val="lt-LT"/>
              </w:rPr>
            </w:pPr>
            <w:r w:rsidRPr="004273CC">
              <w:rPr>
                <w:b/>
                <w:lang w:val="lt-LT"/>
              </w:rPr>
              <w:t>Rizikos vertinimas</w:t>
            </w:r>
          </w:p>
        </w:tc>
        <w:tc>
          <w:tcPr>
            <w:tcW w:w="1441" w:type="dxa"/>
            <w:gridSpan w:val="2"/>
          </w:tcPr>
          <w:p w:rsidR="00104405" w:rsidRPr="004273CC" w:rsidRDefault="00104405" w:rsidP="00065FB5">
            <w:pPr>
              <w:tabs>
                <w:tab w:val="left" w:pos="510"/>
              </w:tabs>
              <w:jc w:val="center"/>
              <w:rPr>
                <w:b/>
                <w:lang w:val="lt-LT"/>
              </w:rPr>
            </w:pPr>
            <w:r w:rsidRPr="004273CC">
              <w:rPr>
                <w:b/>
                <w:lang w:val="lt-LT"/>
              </w:rPr>
              <w:t>Pastabos</w:t>
            </w:r>
          </w:p>
        </w:tc>
      </w:tr>
      <w:tr w:rsidR="00104405" w:rsidRPr="004273CC" w:rsidTr="001C0D02">
        <w:trPr>
          <w:cantSplit/>
          <w:trHeight w:val="698"/>
        </w:trPr>
        <w:tc>
          <w:tcPr>
            <w:tcW w:w="774" w:type="dxa"/>
          </w:tcPr>
          <w:p w:rsidR="00104405" w:rsidRPr="004273CC" w:rsidRDefault="00104405" w:rsidP="00065FB5">
            <w:pPr>
              <w:tabs>
                <w:tab w:val="left" w:pos="510"/>
              </w:tabs>
              <w:jc w:val="center"/>
              <w:rPr>
                <w:b/>
                <w:lang w:val="lt-LT"/>
              </w:rPr>
            </w:pPr>
            <w:r>
              <w:rPr>
                <w:b/>
                <w:lang w:val="lt-LT"/>
              </w:rPr>
              <w:t>Tipas</w:t>
            </w:r>
          </w:p>
        </w:tc>
        <w:tc>
          <w:tcPr>
            <w:tcW w:w="3427" w:type="dxa"/>
            <w:gridSpan w:val="6"/>
          </w:tcPr>
          <w:p w:rsidR="00104405" w:rsidRPr="004273CC" w:rsidRDefault="00104405" w:rsidP="00065FB5">
            <w:pPr>
              <w:tabs>
                <w:tab w:val="left" w:pos="510"/>
              </w:tabs>
              <w:jc w:val="center"/>
              <w:rPr>
                <w:b/>
                <w:lang w:val="lt-LT"/>
              </w:rPr>
            </w:pPr>
            <w:r w:rsidRPr="004273CC">
              <w:rPr>
                <w:b/>
                <w:lang w:val="lt-LT"/>
              </w:rPr>
              <w:t>Veiksniai</w:t>
            </w:r>
          </w:p>
        </w:tc>
        <w:tc>
          <w:tcPr>
            <w:tcW w:w="548" w:type="dxa"/>
            <w:gridSpan w:val="7"/>
            <w:vMerge/>
          </w:tcPr>
          <w:p w:rsidR="00104405" w:rsidRPr="004273CC" w:rsidRDefault="00104405" w:rsidP="00065FB5">
            <w:pPr>
              <w:tabs>
                <w:tab w:val="left" w:pos="510"/>
              </w:tabs>
              <w:jc w:val="center"/>
              <w:rPr>
                <w:lang w:val="lt-LT"/>
              </w:rPr>
            </w:pPr>
          </w:p>
        </w:tc>
        <w:tc>
          <w:tcPr>
            <w:tcW w:w="567" w:type="dxa"/>
            <w:gridSpan w:val="7"/>
            <w:vMerge/>
          </w:tcPr>
          <w:p w:rsidR="00104405" w:rsidRPr="004273CC" w:rsidRDefault="00104405" w:rsidP="00065FB5">
            <w:pPr>
              <w:tabs>
                <w:tab w:val="left" w:pos="510"/>
              </w:tabs>
              <w:jc w:val="center"/>
              <w:rPr>
                <w:lang w:val="lt-LT"/>
              </w:rPr>
            </w:pPr>
          </w:p>
        </w:tc>
        <w:tc>
          <w:tcPr>
            <w:tcW w:w="1132" w:type="dxa"/>
            <w:gridSpan w:val="7"/>
          </w:tcPr>
          <w:p w:rsidR="00104405" w:rsidRPr="004273CC" w:rsidRDefault="00104405" w:rsidP="00065FB5">
            <w:pPr>
              <w:tabs>
                <w:tab w:val="left" w:pos="510"/>
              </w:tabs>
              <w:jc w:val="center"/>
              <w:rPr>
                <w:lang w:val="lt-LT"/>
              </w:rPr>
            </w:pPr>
            <w:r w:rsidRPr="004273CC">
              <w:rPr>
                <w:lang w:val="lt-LT"/>
              </w:rPr>
              <w:t>Tikimybė (1-5)</w:t>
            </w:r>
          </w:p>
        </w:tc>
        <w:tc>
          <w:tcPr>
            <w:tcW w:w="677" w:type="dxa"/>
            <w:gridSpan w:val="7"/>
          </w:tcPr>
          <w:p w:rsidR="00104405" w:rsidRPr="004273CC" w:rsidRDefault="00104405" w:rsidP="00065FB5">
            <w:pPr>
              <w:tabs>
                <w:tab w:val="left" w:pos="510"/>
              </w:tabs>
              <w:jc w:val="center"/>
              <w:rPr>
                <w:lang w:val="lt-LT"/>
              </w:rPr>
            </w:pPr>
            <w:r w:rsidRPr="004273CC">
              <w:rPr>
                <w:lang w:val="lt-LT"/>
              </w:rPr>
              <w:t>Įtaka</w:t>
            </w:r>
          </w:p>
          <w:p w:rsidR="00104405" w:rsidRPr="004273CC" w:rsidRDefault="00104405" w:rsidP="00065FB5">
            <w:pPr>
              <w:tabs>
                <w:tab w:val="left" w:pos="510"/>
              </w:tabs>
              <w:jc w:val="center"/>
              <w:rPr>
                <w:lang w:val="lt-LT"/>
              </w:rPr>
            </w:pPr>
            <w:r w:rsidRPr="004273CC">
              <w:rPr>
                <w:lang w:val="lt-LT"/>
              </w:rPr>
              <w:t>(1-5)</w:t>
            </w:r>
          </w:p>
        </w:tc>
        <w:tc>
          <w:tcPr>
            <w:tcW w:w="1180" w:type="dxa"/>
            <w:gridSpan w:val="8"/>
          </w:tcPr>
          <w:p w:rsidR="00104405" w:rsidRPr="004273CC" w:rsidRDefault="00104405" w:rsidP="00065FB5">
            <w:pPr>
              <w:tabs>
                <w:tab w:val="left" w:pos="510"/>
              </w:tabs>
              <w:jc w:val="center"/>
              <w:rPr>
                <w:lang w:val="lt-LT"/>
              </w:rPr>
            </w:pPr>
            <w:r w:rsidRPr="004273CC">
              <w:rPr>
                <w:lang w:val="lt-LT"/>
              </w:rPr>
              <w:t>Tikimybė * Įtaka</w:t>
            </w:r>
          </w:p>
        </w:tc>
        <w:tc>
          <w:tcPr>
            <w:tcW w:w="1139" w:type="dxa"/>
            <w:gridSpan w:val="10"/>
          </w:tcPr>
          <w:p w:rsidR="00104405" w:rsidRPr="004273CC" w:rsidRDefault="00104405" w:rsidP="00065FB5">
            <w:pPr>
              <w:tabs>
                <w:tab w:val="left" w:pos="510"/>
              </w:tabs>
              <w:jc w:val="both"/>
              <w:rPr>
                <w:b/>
                <w:lang w:val="lt-LT"/>
              </w:rPr>
            </w:pPr>
          </w:p>
        </w:tc>
        <w:tc>
          <w:tcPr>
            <w:tcW w:w="1132" w:type="dxa"/>
            <w:gridSpan w:val="8"/>
          </w:tcPr>
          <w:p w:rsidR="00104405" w:rsidRPr="004273CC" w:rsidRDefault="00104405" w:rsidP="00065FB5">
            <w:pPr>
              <w:tabs>
                <w:tab w:val="left" w:pos="510"/>
              </w:tabs>
              <w:jc w:val="center"/>
              <w:rPr>
                <w:lang w:val="lt-LT"/>
              </w:rPr>
            </w:pPr>
            <w:r w:rsidRPr="004273CC">
              <w:rPr>
                <w:lang w:val="lt-LT"/>
              </w:rPr>
              <w:t>Tikimybė (1-5)</w:t>
            </w:r>
          </w:p>
        </w:tc>
        <w:tc>
          <w:tcPr>
            <w:tcW w:w="708" w:type="dxa"/>
            <w:gridSpan w:val="6"/>
          </w:tcPr>
          <w:p w:rsidR="00104405" w:rsidRPr="004273CC" w:rsidRDefault="00104405" w:rsidP="00065FB5">
            <w:pPr>
              <w:tabs>
                <w:tab w:val="left" w:pos="510"/>
              </w:tabs>
              <w:jc w:val="center"/>
              <w:rPr>
                <w:lang w:val="lt-LT"/>
              </w:rPr>
            </w:pPr>
            <w:r w:rsidRPr="004273CC">
              <w:rPr>
                <w:lang w:val="lt-LT"/>
              </w:rPr>
              <w:t>Įtaka</w:t>
            </w:r>
          </w:p>
          <w:p w:rsidR="00104405" w:rsidRPr="004273CC" w:rsidRDefault="00104405" w:rsidP="00065FB5">
            <w:pPr>
              <w:tabs>
                <w:tab w:val="left" w:pos="510"/>
              </w:tabs>
              <w:jc w:val="center"/>
              <w:rPr>
                <w:lang w:val="lt-LT"/>
              </w:rPr>
            </w:pPr>
            <w:r w:rsidRPr="004273CC">
              <w:rPr>
                <w:lang w:val="lt-LT"/>
              </w:rPr>
              <w:t>(1-5)</w:t>
            </w:r>
          </w:p>
        </w:tc>
        <w:tc>
          <w:tcPr>
            <w:tcW w:w="1133" w:type="dxa"/>
            <w:gridSpan w:val="6"/>
          </w:tcPr>
          <w:p w:rsidR="00104405" w:rsidRPr="004273CC" w:rsidRDefault="00104405" w:rsidP="00065FB5">
            <w:pPr>
              <w:tabs>
                <w:tab w:val="left" w:pos="510"/>
              </w:tabs>
              <w:jc w:val="center"/>
              <w:rPr>
                <w:lang w:val="lt-LT"/>
              </w:rPr>
            </w:pPr>
            <w:r w:rsidRPr="004273CC">
              <w:rPr>
                <w:lang w:val="lt-LT"/>
              </w:rPr>
              <w:t>Tikimybė * Įtaka</w:t>
            </w:r>
          </w:p>
        </w:tc>
        <w:tc>
          <w:tcPr>
            <w:tcW w:w="1441" w:type="dxa"/>
            <w:gridSpan w:val="2"/>
          </w:tcPr>
          <w:p w:rsidR="00104405" w:rsidRPr="004273CC" w:rsidRDefault="00104405" w:rsidP="00065FB5">
            <w:pPr>
              <w:tabs>
                <w:tab w:val="left" w:pos="510"/>
              </w:tabs>
              <w:jc w:val="both"/>
              <w:rPr>
                <w:b/>
                <w:lang w:val="lt-LT"/>
              </w:rPr>
            </w:pPr>
          </w:p>
        </w:tc>
      </w:tr>
      <w:tr w:rsidR="001C0D02" w:rsidRPr="004273CC" w:rsidTr="001C0D02">
        <w:trPr>
          <w:cantSplit/>
        </w:trPr>
        <w:tc>
          <w:tcPr>
            <w:tcW w:w="774" w:type="dxa"/>
            <w:vMerge w:val="restart"/>
            <w:textDirection w:val="btLr"/>
          </w:tcPr>
          <w:p w:rsidR="001C0D02" w:rsidRPr="002E216D" w:rsidRDefault="001C0D02" w:rsidP="00065FB5">
            <w:pPr>
              <w:tabs>
                <w:tab w:val="left" w:pos="510"/>
              </w:tabs>
              <w:ind w:left="113" w:right="113"/>
              <w:jc w:val="center"/>
              <w:rPr>
                <w:b/>
                <w:lang w:val="lt-LT"/>
              </w:rPr>
            </w:pPr>
            <w:r w:rsidRPr="002E216D">
              <w:rPr>
                <w:b/>
                <w:lang w:val="lt-LT"/>
              </w:rPr>
              <w:t>Ilgalaikis turtas</w:t>
            </w:r>
          </w:p>
        </w:tc>
        <w:tc>
          <w:tcPr>
            <w:tcW w:w="3427" w:type="dxa"/>
            <w:gridSpan w:val="6"/>
          </w:tcPr>
          <w:p w:rsidR="001C0D02" w:rsidRDefault="001C0D02" w:rsidP="00065FB5">
            <w:pPr>
              <w:tabs>
                <w:tab w:val="left" w:pos="510"/>
              </w:tabs>
              <w:jc w:val="both"/>
              <w:rPr>
                <w:lang w:val="lt-LT"/>
              </w:rPr>
            </w:pPr>
            <w:r>
              <w:rPr>
                <w:lang w:val="lt-LT"/>
              </w:rPr>
              <w:t>Pilnai nusidėvėjęs ilgalaikis turtas neatskiriamas nuo kito turto</w:t>
            </w:r>
          </w:p>
        </w:tc>
        <w:tc>
          <w:tcPr>
            <w:tcW w:w="548" w:type="dxa"/>
            <w:gridSpan w:val="7"/>
          </w:tcPr>
          <w:p w:rsidR="001C0D02" w:rsidRPr="004273CC" w:rsidRDefault="001C0D02" w:rsidP="00065FB5">
            <w:pPr>
              <w:tabs>
                <w:tab w:val="left" w:pos="510"/>
              </w:tabs>
              <w:jc w:val="both"/>
              <w:rPr>
                <w:lang w:val="lt-LT"/>
              </w:rPr>
            </w:pPr>
            <w:r>
              <w:rPr>
                <w:lang w:val="lt-LT"/>
              </w:rPr>
              <w:t>V</w:t>
            </w:r>
          </w:p>
        </w:tc>
        <w:tc>
          <w:tcPr>
            <w:tcW w:w="567" w:type="dxa"/>
            <w:gridSpan w:val="7"/>
          </w:tcPr>
          <w:p w:rsidR="001C0D02" w:rsidRPr="004273CC" w:rsidRDefault="001C0D02" w:rsidP="00065FB5">
            <w:pPr>
              <w:tabs>
                <w:tab w:val="left" w:pos="510"/>
              </w:tabs>
              <w:jc w:val="both"/>
              <w:rPr>
                <w:lang w:val="lt-LT"/>
              </w:rPr>
            </w:pPr>
          </w:p>
        </w:tc>
        <w:tc>
          <w:tcPr>
            <w:tcW w:w="1132" w:type="dxa"/>
            <w:gridSpan w:val="7"/>
          </w:tcPr>
          <w:p w:rsidR="001C0D02" w:rsidRPr="004273CC" w:rsidRDefault="001C0D02" w:rsidP="00065FB5">
            <w:pPr>
              <w:tabs>
                <w:tab w:val="left" w:pos="510"/>
              </w:tabs>
              <w:jc w:val="both"/>
              <w:rPr>
                <w:lang w:val="lt-LT"/>
              </w:rPr>
            </w:pPr>
          </w:p>
        </w:tc>
        <w:tc>
          <w:tcPr>
            <w:tcW w:w="677" w:type="dxa"/>
            <w:gridSpan w:val="7"/>
          </w:tcPr>
          <w:p w:rsidR="001C0D02" w:rsidRPr="004273CC" w:rsidRDefault="001C0D02" w:rsidP="00065FB5">
            <w:pPr>
              <w:tabs>
                <w:tab w:val="left" w:pos="510"/>
              </w:tabs>
              <w:jc w:val="both"/>
              <w:rPr>
                <w:lang w:val="lt-LT"/>
              </w:rPr>
            </w:pPr>
          </w:p>
        </w:tc>
        <w:tc>
          <w:tcPr>
            <w:tcW w:w="1180" w:type="dxa"/>
            <w:gridSpan w:val="8"/>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p>
        </w:tc>
        <w:tc>
          <w:tcPr>
            <w:tcW w:w="1132" w:type="dxa"/>
            <w:gridSpan w:val="8"/>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Pr="004273CC" w:rsidRDefault="001C0D02" w:rsidP="00065FB5">
            <w:pPr>
              <w:tabs>
                <w:tab w:val="left" w:pos="510"/>
              </w:tabs>
              <w:jc w:val="both"/>
              <w:rPr>
                <w:lang w:val="lt-LT"/>
              </w:rPr>
            </w:pPr>
          </w:p>
        </w:tc>
        <w:tc>
          <w:tcPr>
            <w:tcW w:w="3427" w:type="dxa"/>
            <w:gridSpan w:val="6"/>
          </w:tcPr>
          <w:p w:rsidR="001C0D02" w:rsidRDefault="001C0D02" w:rsidP="00065FB5">
            <w:pPr>
              <w:tabs>
                <w:tab w:val="left" w:pos="510"/>
              </w:tabs>
              <w:jc w:val="both"/>
              <w:rPr>
                <w:lang w:val="lt-LT"/>
              </w:rPr>
            </w:pPr>
            <w:r>
              <w:rPr>
                <w:lang w:val="lt-LT"/>
              </w:rPr>
              <w:t>Įsigyjant ilgalaikį turtą, viršijantį tam tikrą maksimalią vertę, nereikia įmonės savininkų sutikimo</w:t>
            </w:r>
          </w:p>
        </w:tc>
        <w:tc>
          <w:tcPr>
            <w:tcW w:w="548" w:type="dxa"/>
            <w:gridSpan w:val="7"/>
          </w:tcPr>
          <w:p w:rsidR="001C0D02" w:rsidRPr="004273CC" w:rsidRDefault="001C0D02" w:rsidP="00065FB5">
            <w:pPr>
              <w:tabs>
                <w:tab w:val="left" w:pos="510"/>
              </w:tabs>
              <w:jc w:val="both"/>
              <w:rPr>
                <w:lang w:val="lt-LT"/>
              </w:rPr>
            </w:pPr>
            <w:r>
              <w:rPr>
                <w:lang w:val="lt-LT"/>
              </w:rPr>
              <w:t>T</w:t>
            </w:r>
          </w:p>
        </w:tc>
        <w:tc>
          <w:tcPr>
            <w:tcW w:w="567" w:type="dxa"/>
            <w:gridSpan w:val="7"/>
          </w:tcPr>
          <w:p w:rsidR="001C0D02" w:rsidRPr="004273CC" w:rsidRDefault="001C0D02" w:rsidP="00065FB5">
            <w:pPr>
              <w:tabs>
                <w:tab w:val="left" w:pos="510"/>
              </w:tabs>
              <w:jc w:val="both"/>
              <w:rPr>
                <w:lang w:val="lt-LT"/>
              </w:rPr>
            </w:pPr>
          </w:p>
        </w:tc>
        <w:tc>
          <w:tcPr>
            <w:tcW w:w="1132" w:type="dxa"/>
            <w:gridSpan w:val="7"/>
          </w:tcPr>
          <w:p w:rsidR="001C0D02" w:rsidRPr="004273CC" w:rsidRDefault="001C0D02" w:rsidP="00065FB5">
            <w:pPr>
              <w:tabs>
                <w:tab w:val="left" w:pos="510"/>
              </w:tabs>
              <w:jc w:val="both"/>
              <w:rPr>
                <w:lang w:val="lt-LT"/>
              </w:rPr>
            </w:pPr>
          </w:p>
        </w:tc>
        <w:tc>
          <w:tcPr>
            <w:tcW w:w="677" w:type="dxa"/>
            <w:gridSpan w:val="7"/>
          </w:tcPr>
          <w:p w:rsidR="001C0D02" w:rsidRPr="004273CC" w:rsidRDefault="001C0D02" w:rsidP="00065FB5">
            <w:pPr>
              <w:tabs>
                <w:tab w:val="left" w:pos="510"/>
              </w:tabs>
              <w:jc w:val="both"/>
              <w:rPr>
                <w:lang w:val="lt-LT"/>
              </w:rPr>
            </w:pPr>
          </w:p>
        </w:tc>
        <w:tc>
          <w:tcPr>
            <w:tcW w:w="1180" w:type="dxa"/>
            <w:gridSpan w:val="8"/>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p>
        </w:tc>
        <w:tc>
          <w:tcPr>
            <w:tcW w:w="1132" w:type="dxa"/>
            <w:gridSpan w:val="8"/>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Pr="004273CC" w:rsidRDefault="001C0D02" w:rsidP="00065FB5">
            <w:pPr>
              <w:tabs>
                <w:tab w:val="left" w:pos="510"/>
              </w:tabs>
              <w:jc w:val="both"/>
              <w:rPr>
                <w:lang w:val="lt-LT"/>
              </w:rPr>
            </w:pPr>
          </w:p>
        </w:tc>
        <w:tc>
          <w:tcPr>
            <w:tcW w:w="3427" w:type="dxa"/>
            <w:gridSpan w:val="6"/>
          </w:tcPr>
          <w:p w:rsidR="001C0D02" w:rsidRDefault="001C0D02" w:rsidP="00065FB5">
            <w:pPr>
              <w:tabs>
                <w:tab w:val="left" w:pos="510"/>
              </w:tabs>
              <w:jc w:val="both"/>
              <w:rPr>
                <w:lang w:val="lt-LT"/>
              </w:rPr>
            </w:pPr>
            <w:r>
              <w:rPr>
                <w:lang w:val="lt-LT"/>
              </w:rPr>
              <w:t>Ilgalaikio turto ar investicijų vertė laikotarpio pabaigoje nustatoma subjektyviai, nesiremiant vertinimais iš išorės</w:t>
            </w:r>
          </w:p>
        </w:tc>
        <w:tc>
          <w:tcPr>
            <w:tcW w:w="548" w:type="dxa"/>
            <w:gridSpan w:val="7"/>
          </w:tcPr>
          <w:p w:rsidR="001C0D02" w:rsidRPr="004273CC" w:rsidRDefault="001C0D02" w:rsidP="00065FB5">
            <w:pPr>
              <w:tabs>
                <w:tab w:val="left" w:pos="510"/>
              </w:tabs>
              <w:jc w:val="both"/>
              <w:rPr>
                <w:lang w:val="lt-LT"/>
              </w:rPr>
            </w:pPr>
            <w:r>
              <w:rPr>
                <w:lang w:val="lt-LT"/>
              </w:rPr>
              <w:t>V</w:t>
            </w:r>
          </w:p>
        </w:tc>
        <w:tc>
          <w:tcPr>
            <w:tcW w:w="567" w:type="dxa"/>
            <w:gridSpan w:val="7"/>
          </w:tcPr>
          <w:p w:rsidR="001C0D02" w:rsidRPr="004273CC" w:rsidRDefault="001C0D02" w:rsidP="00065FB5">
            <w:pPr>
              <w:tabs>
                <w:tab w:val="left" w:pos="510"/>
              </w:tabs>
              <w:jc w:val="both"/>
              <w:rPr>
                <w:lang w:val="lt-LT"/>
              </w:rPr>
            </w:pPr>
            <w:r>
              <w:rPr>
                <w:lang w:val="lt-LT"/>
              </w:rPr>
              <w:t>IR</w:t>
            </w:r>
          </w:p>
        </w:tc>
        <w:tc>
          <w:tcPr>
            <w:tcW w:w="1132" w:type="dxa"/>
            <w:gridSpan w:val="7"/>
          </w:tcPr>
          <w:p w:rsidR="001C0D02" w:rsidRPr="00E24147" w:rsidRDefault="001C0D02" w:rsidP="00065FB5">
            <w:pPr>
              <w:tabs>
                <w:tab w:val="left" w:pos="510"/>
              </w:tabs>
              <w:jc w:val="center"/>
              <w:rPr>
                <w:b/>
                <w:lang w:val="lt-LT"/>
              </w:rPr>
            </w:pPr>
            <w:r>
              <w:rPr>
                <w:b/>
                <w:lang w:val="lt-LT"/>
              </w:rPr>
              <w:t>3</w:t>
            </w:r>
          </w:p>
        </w:tc>
        <w:tc>
          <w:tcPr>
            <w:tcW w:w="677" w:type="dxa"/>
            <w:gridSpan w:val="7"/>
          </w:tcPr>
          <w:p w:rsidR="001C0D02" w:rsidRPr="00E24147" w:rsidRDefault="001C0D02" w:rsidP="00065FB5">
            <w:pPr>
              <w:tabs>
                <w:tab w:val="left" w:pos="510"/>
              </w:tabs>
              <w:jc w:val="center"/>
              <w:rPr>
                <w:b/>
                <w:lang w:val="lt-LT"/>
              </w:rPr>
            </w:pPr>
            <w:r w:rsidRPr="00E24147">
              <w:rPr>
                <w:b/>
                <w:lang w:val="lt-LT"/>
              </w:rPr>
              <w:t>5</w:t>
            </w:r>
          </w:p>
        </w:tc>
        <w:tc>
          <w:tcPr>
            <w:tcW w:w="1180" w:type="dxa"/>
            <w:gridSpan w:val="8"/>
            <w:tcBorders>
              <w:bottom w:val="single" w:sz="4" w:space="0" w:color="auto"/>
            </w:tcBorders>
          </w:tcPr>
          <w:p w:rsidR="001C0D02" w:rsidRPr="00E24147" w:rsidRDefault="001C0D02" w:rsidP="00065FB5">
            <w:pPr>
              <w:tabs>
                <w:tab w:val="left" w:pos="510"/>
              </w:tabs>
              <w:jc w:val="center"/>
              <w:rPr>
                <w:b/>
                <w:lang w:val="lt-LT"/>
              </w:rPr>
            </w:pPr>
            <w:r w:rsidRPr="00E24147">
              <w:rPr>
                <w:b/>
                <w:lang w:val="lt-LT"/>
              </w:rPr>
              <w:t>1</w:t>
            </w:r>
            <w:r>
              <w:rPr>
                <w:b/>
                <w:lang w:val="lt-LT"/>
              </w:rPr>
              <w:t>5</w:t>
            </w:r>
          </w:p>
        </w:tc>
        <w:tc>
          <w:tcPr>
            <w:tcW w:w="1139" w:type="dxa"/>
            <w:gridSpan w:val="10"/>
            <w:tcBorders>
              <w:bottom w:val="single" w:sz="4" w:space="0" w:color="auto"/>
            </w:tcBorders>
          </w:tcPr>
          <w:p w:rsidR="001C0D02" w:rsidRPr="004273CC" w:rsidRDefault="001C0D02" w:rsidP="00065FB5">
            <w:pPr>
              <w:tabs>
                <w:tab w:val="left" w:pos="510"/>
              </w:tabs>
              <w:jc w:val="both"/>
              <w:rPr>
                <w:lang w:val="lt-LT"/>
              </w:rPr>
            </w:pPr>
          </w:p>
        </w:tc>
        <w:tc>
          <w:tcPr>
            <w:tcW w:w="1132" w:type="dxa"/>
            <w:gridSpan w:val="8"/>
            <w:tcBorders>
              <w:bottom w:val="single" w:sz="4" w:space="0" w:color="auto"/>
            </w:tcBorders>
          </w:tcPr>
          <w:p w:rsidR="001C0D02" w:rsidRPr="004273CC" w:rsidRDefault="001C0D02" w:rsidP="00065FB5">
            <w:pPr>
              <w:tabs>
                <w:tab w:val="left" w:pos="510"/>
              </w:tabs>
              <w:jc w:val="both"/>
              <w:rPr>
                <w:lang w:val="lt-LT"/>
              </w:rPr>
            </w:pPr>
          </w:p>
        </w:tc>
        <w:tc>
          <w:tcPr>
            <w:tcW w:w="708" w:type="dxa"/>
            <w:gridSpan w:val="6"/>
          </w:tcPr>
          <w:p w:rsidR="001C0D02" w:rsidRPr="004273CC" w:rsidRDefault="001C0D02" w:rsidP="00065FB5">
            <w:pPr>
              <w:tabs>
                <w:tab w:val="left" w:pos="510"/>
              </w:tabs>
              <w:jc w:val="both"/>
              <w:rPr>
                <w:lang w:val="lt-LT"/>
              </w:rPr>
            </w:pPr>
          </w:p>
        </w:tc>
        <w:tc>
          <w:tcPr>
            <w:tcW w:w="1133" w:type="dxa"/>
            <w:gridSpan w:val="6"/>
          </w:tcPr>
          <w:p w:rsidR="001C0D02" w:rsidRPr="004273CC" w:rsidRDefault="001C0D02" w:rsidP="00065FB5">
            <w:pPr>
              <w:tabs>
                <w:tab w:val="left" w:pos="510"/>
              </w:tabs>
              <w:jc w:val="both"/>
              <w:rPr>
                <w:lang w:val="lt-LT"/>
              </w:rPr>
            </w:pPr>
          </w:p>
        </w:tc>
        <w:tc>
          <w:tcPr>
            <w:tcW w:w="1441" w:type="dxa"/>
            <w:gridSpan w:val="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Pr="004273CC" w:rsidRDefault="001C0D02" w:rsidP="00065FB5">
            <w:pPr>
              <w:tabs>
                <w:tab w:val="left" w:pos="510"/>
              </w:tabs>
              <w:jc w:val="both"/>
              <w:rPr>
                <w:lang w:val="lt-LT"/>
              </w:rPr>
            </w:pPr>
          </w:p>
        </w:tc>
        <w:tc>
          <w:tcPr>
            <w:tcW w:w="3427" w:type="dxa"/>
            <w:gridSpan w:val="6"/>
          </w:tcPr>
          <w:p w:rsidR="001C0D02" w:rsidRDefault="001C0D02" w:rsidP="00065FB5">
            <w:pPr>
              <w:tabs>
                <w:tab w:val="left" w:pos="510"/>
              </w:tabs>
              <w:jc w:val="both"/>
              <w:rPr>
                <w:lang w:val="lt-LT"/>
              </w:rPr>
            </w:pPr>
            <w:r>
              <w:rPr>
                <w:lang w:val="lt-LT"/>
              </w:rPr>
              <w:t xml:space="preserve">Nėra kontroliuojamas investicijų vertės nustatymo teisingumas </w:t>
            </w:r>
          </w:p>
        </w:tc>
        <w:tc>
          <w:tcPr>
            <w:tcW w:w="548" w:type="dxa"/>
            <w:gridSpan w:val="7"/>
            <w:tcBorders>
              <w:bottom w:val="single" w:sz="4" w:space="0" w:color="auto"/>
            </w:tcBorders>
          </w:tcPr>
          <w:p w:rsidR="001C0D02" w:rsidRPr="004273CC" w:rsidRDefault="001C0D02" w:rsidP="00065FB5">
            <w:pPr>
              <w:tabs>
                <w:tab w:val="left" w:pos="510"/>
              </w:tabs>
              <w:jc w:val="both"/>
              <w:rPr>
                <w:lang w:val="lt-LT"/>
              </w:rPr>
            </w:pPr>
            <w:r>
              <w:rPr>
                <w:lang w:val="lt-LT"/>
              </w:rPr>
              <w:t>V</w:t>
            </w:r>
          </w:p>
        </w:tc>
        <w:tc>
          <w:tcPr>
            <w:tcW w:w="567" w:type="dxa"/>
            <w:gridSpan w:val="7"/>
            <w:tcBorders>
              <w:bottom w:val="single" w:sz="4" w:space="0" w:color="auto"/>
            </w:tcBorders>
          </w:tcPr>
          <w:p w:rsidR="001C0D02" w:rsidRPr="004273CC" w:rsidRDefault="001C0D02" w:rsidP="00065FB5">
            <w:pPr>
              <w:tabs>
                <w:tab w:val="left" w:pos="510"/>
              </w:tabs>
              <w:jc w:val="both"/>
              <w:rPr>
                <w:lang w:val="lt-LT"/>
              </w:rPr>
            </w:pPr>
          </w:p>
        </w:tc>
        <w:tc>
          <w:tcPr>
            <w:tcW w:w="1132" w:type="dxa"/>
            <w:gridSpan w:val="7"/>
            <w:tcBorders>
              <w:bottom w:val="single" w:sz="4" w:space="0" w:color="auto"/>
            </w:tcBorders>
          </w:tcPr>
          <w:p w:rsidR="001C0D02" w:rsidRPr="004273CC" w:rsidRDefault="001C0D02" w:rsidP="00065FB5">
            <w:pPr>
              <w:tabs>
                <w:tab w:val="left" w:pos="510"/>
              </w:tabs>
              <w:jc w:val="both"/>
              <w:rPr>
                <w:lang w:val="lt-LT"/>
              </w:rPr>
            </w:pPr>
          </w:p>
        </w:tc>
        <w:tc>
          <w:tcPr>
            <w:tcW w:w="677" w:type="dxa"/>
            <w:gridSpan w:val="7"/>
            <w:tcBorders>
              <w:bottom w:val="single" w:sz="4" w:space="0" w:color="auto"/>
            </w:tcBorders>
          </w:tcPr>
          <w:p w:rsidR="001C0D02" w:rsidRPr="004273CC" w:rsidRDefault="001C0D02" w:rsidP="00065FB5">
            <w:pPr>
              <w:tabs>
                <w:tab w:val="left" w:pos="510"/>
              </w:tabs>
              <w:jc w:val="both"/>
              <w:rPr>
                <w:lang w:val="lt-LT"/>
              </w:rPr>
            </w:pPr>
          </w:p>
        </w:tc>
        <w:tc>
          <w:tcPr>
            <w:tcW w:w="1180" w:type="dxa"/>
            <w:gridSpan w:val="8"/>
            <w:tcBorders>
              <w:bottom w:val="single" w:sz="4" w:space="0" w:color="auto"/>
            </w:tcBorders>
          </w:tcPr>
          <w:p w:rsidR="001C0D02" w:rsidRPr="004273CC" w:rsidRDefault="001C0D02" w:rsidP="00065FB5">
            <w:pPr>
              <w:tabs>
                <w:tab w:val="left" w:pos="510"/>
              </w:tabs>
              <w:jc w:val="both"/>
              <w:rPr>
                <w:lang w:val="lt-LT"/>
              </w:rPr>
            </w:pPr>
          </w:p>
        </w:tc>
        <w:tc>
          <w:tcPr>
            <w:tcW w:w="1139" w:type="dxa"/>
            <w:gridSpan w:val="10"/>
            <w:tcBorders>
              <w:bottom w:val="single" w:sz="4" w:space="0" w:color="auto"/>
            </w:tcBorders>
          </w:tcPr>
          <w:p w:rsidR="001C0D02" w:rsidRPr="004273CC" w:rsidRDefault="001C0D02" w:rsidP="00065FB5">
            <w:pPr>
              <w:tabs>
                <w:tab w:val="left" w:pos="510"/>
              </w:tabs>
              <w:jc w:val="both"/>
              <w:rPr>
                <w:lang w:val="lt-LT"/>
              </w:rPr>
            </w:pPr>
          </w:p>
        </w:tc>
        <w:tc>
          <w:tcPr>
            <w:tcW w:w="1132" w:type="dxa"/>
            <w:gridSpan w:val="8"/>
            <w:tcBorders>
              <w:bottom w:val="single" w:sz="4" w:space="0" w:color="auto"/>
            </w:tcBorders>
          </w:tcPr>
          <w:p w:rsidR="001C0D02" w:rsidRPr="004273CC" w:rsidRDefault="001C0D02" w:rsidP="00065FB5">
            <w:pPr>
              <w:tabs>
                <w:tab w:val="left" w:pos="510"/>
              </w:tabs>
              <w:jc w:val="both"/>
              <w:rPr>
                <w:lang w:val="lt-LT"/>
              </w:rPr>
            </w:pPr>
          </w:p>
        </w:tc>
        <w:tc>
          <w:tcPr>
            <w:tcW w:w="708" w:type="dxa"/>
            <w:gridSpan w:val="6"/>
            <w:tcBorders>
              <w:bottom w:val="single" w:sz="4" w:space="0" w:color="auto"/>
            </w:tcBorders>
          </w:tcPr>
          <w:p w:rsidR="001C0D02" w:rsidRPr="004273CC" w:rsidRDefault="001C0D02" w:rsidP="00065FB5">
            <w:pPr>
              <w:tabs>
                <w:tab w:val="left" w:pos="510"/>
              </w:tabs>
              <w:jc w:val="both"/>
              <w:rPr>
                <w:lang w:val="lt-LT"/>
              </w:rPr>
            </w:pPr>
          </w:p>
        </w:tc>
        <w:tc>
          <w:tcPr>
            <w:tcW w:w="1133" w:type="dxa"/>
            <w:gridSpan w:val="6"/>
            <w:tcBorders>
              <w:bottom w:val="single" w:sz="4" w:space="0" w:color="auto"/>
            </w:tcBorders>
          </w:tcPr>
          <w:p w:rsidR="001C0D02" w:rsidRPr="004273CC" w:rsidRDefault="001C0D02" w:rsidP="00065FB5">
            <w:pPr>
              <w:tabs>
                <w:tab w:val="left" w:pos="510"/>
              </w:tabs>
              <w:jc w:val="both"/>
              <w:rPr>
                <w:lang w:val="lt-LT"/>
              </w:rPr>
            </w:pPr>
          </w:p>
        </w:tc>
        <w:tc>
          <w:tcPr>
            <w:tcW w:w="1441" w:type="dxa"/>
            <w:gridSpan w:val="2"/>
            <w:tcBorders>
              <w:bottom w:val="single" w:sz="4" w:space="0" w:color="auto"/>
            </w:tcBorders>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Pr="004273CC" w:rsidRDefault="001C0D02" w:rsidP="00065FB5">
            <w:pPr>
              <w:tabs>
                <w:tab w:val="left" w:pos="510"/>
              </w:tabs>
              <w:jc w:val="both"/>
              <w:rPr>
                <w:lang w:val="lt-LT"/>
              </w:rPr>
            </w:pPr>
          </w:p>
        </w:tc>
        <w:tc>
          <w:tcPr>
            <w:tcW w:w="3427" w:type="dxa"/>
            <w:gridSpan w:val="6"/>
          </w:tcPr>
          <w:p w:rsidR="001C0D02" w:rsidRDefault="001C0D02" w:rsidP="00065FB5">
            <w:pPr>
              <w:tabs>
                <w:tab w:val="left" w:pos="510"/>
              </w:tabs>
              <w:jc w:val="both"/>
              <w:rPr>
                <w:lang w:val="lt-LT"/>
              </w:rPr>
            </w:pPr>
            <w:r>
              <w:rPr>
                <w:lang w:val="lt-LT"/>
              </w:rPr>
              <w:t>Atidėtojo mokesčio turto vertė nustatoma neatsižvelgiant į realią įmonės padėtį</w:t>
            </w:r>
          </w:p>
        </w:tc>
        <w:tc>
          <w:tcPr>
            <w:tcW w:w="548" w:type="dxa"/>
            <w:gridSpan w:val="7"/>
            <w:tcBorders>
              <w:bottom w:val="single" w:sz="4" w:space="0" w:color="auto"/>
            </w:tcBorders>
          </w:tcPr>
          <w:p w:rsidR="001C0D02" w:rsidRDefault="001C0D02" w:rsidP="00065FB5">
            <w:pPr>
              <w:tabs>
                <w:tab w:val="left" w:pos="510"/>
              </w:tabs>
              <w:jc w:val="both"/>
              <w:rPr>
                <w:lang w:val="lt-LT"/>
              </w:rPr>
            </w:pPr>
            <w:r>
              <w:rPr>
                <w:lang w:val="lt-LT"/>
              </w:rPr>
              <w:t>V</w:t>
            </w:r>
          </w:p>
        </w:tc>
        <w:tc>
          <w:tcPr>
            <w:tcW w:w="567" w:type="dxa"/>
            <w:gridSpan w:val="7"/>
            <w:tcBorders>
              <w:bottom w:val="single" w:sz="4" w:space="0" w:color="auto"/>
            </w:tcBorders>
          </w:tcPr>
          <w:p w:rsidR="001C0D02" w:rsidRPr="004273CC" w:rsidRDefault="001C0D02" w:rsidP="00065FB5">
            <w:pPr>
              <w:tabs>
                <w:tab w:val="left" w:pos="510"/>
              </w:tabs>
              <w:jc w:val="both"/>
              <w:rPr>
                <w:lang w:val="lt-LT"/>
              </w:rPr>
            </w:pPr>
            <w:r>
              <w:rPr>
                <w:lang w:val="lt-LT"/>
              </w:rPr>
              <w:t>IR</w:t>
            </w:r>
          </w:p>
        </w:tc>
        <w:tc>
          <w:tcPr>
            <w:tcW w:w="1132" w:type="dxa"/>
            <w:gridSpan w:val="7"/>
            <w:tcBorders>
              <w:bottom w:val="single" w:sz="4" w:space="0" w:color="auto"/>
            </w:tcBorders>
          </w:tcPr>
          <w:p w:rsidR="001C0D02" w:rsidRPr="00C0425B" w:rsidRDefault="001C0D02" w:rsidP="00065FB5">
            <w:pPr>
              <w:tabs>
                <w:tab w:val="left" w:pos="510"/>
              </w:tabs>
              <w:jc w:val="center"/>
              <w:rPr>
                <w:b/>
                <w:lang w:val="lt-LT"/>
              </w:rPr>
            </w:pPr>
            <w:r>
              <w:rPr>
                <w:b/>
                <w:lang w:val="lt-LT"/>
              </w:rPr>
              <w:t>4</w:t>
            </w:r>
          </w:p>
        </w:tc>
        <w:tc>
          <w:tcPr>
            <w:tcW w:w="677" w:type="dxa"/>
            <w:gridSpan w:val="7"/>
            <w:tcBorders>
              <w:bottom w:val="single" w:sz="4" w:space="0" w:color="auto"/>
            </w:tcBorders>
          </w:tcPr>
          <w:p w:rsidR="001C0D02" w:rsidRPr="00C0425B" w:rsidRDefault="001C0D02" w:rsidP="00065FB5">
            <w:pPr>
              <w:tabs>
                <w:tab w:val="left" w:pos="510"/>
              </w:tabs>
              <w:jc w:val="center"/>
              <w:rPr>
                <w:b/>
                <w:lang w:val="lt-LT"/>
              </w:rPr>
            </w:pPr>
            <w:r>
              <w:rPr>
                <w:b/>
                <w:lang w:val="lt-LT"/>
              </w:rPr>
              <w:t>4</w:t>
            </w:r>
          </w:p>
        </w:tc>
        <w:tc>
          <w:tcPr>
            <w:tcW w:w="1180" w:type="dxa"/>
            <w:gridSpan w:val="8"/>
            <w:tcBorders>
              <w:bottom w:val="single" w:sz="4" w:space="0" w:color="auto"/>
            </w:tcBorders>
          </w:tcPr>
          <w:p w:rsidR="001C0D02" w:rsidRPr="00C0425B" w:rsidRDefault="001C0D02" w:rsidP="00065FB5">
            <w:pPr>
              <w:tabs>
                <w:tab w:val="left" w:pos="510"/>
              </w:tabs>
              <w:jc w:val="center"/>
              <w:rPr>
                <w:b/>
                <w:lang w:val="lt-LT"/>
              </w:rPr>
            </w:pPr>
            <w:r>
              <w:rPr>
                <w:b/>
                <w:lang w:val="lt-LT"/>
              </w:rPr>
              <w:t>16</w:t>
            </w:r>
          </w:p>
        </w:tc>
        <w:tc>
          <w:tcPr>
            <w:tcW w:w="1139" w:type="dxa"/>
            <w:gridSpan w:val="10"/>
            <w:tcBorders>
              <w:bottom w:val="single" w:sz="4" w:space="0" w:color="auto"/>
            </w:tcBorders>
          </w:tcPr>
          <w:p w:rsidR="001C0D02" w:rsidRPr="004273CC" w:rsidRDefault="001C0D02" w:rsidP="00065FB5">
            <w:pPr>
              <w:tabs>
                <w:tab w:val="left" w:pos="510"/>
              </w:tabs>
              <w:jc w:val="both"/>
              <w:rPr>
                <w:lang w:val="lt-LT"/>
              </w:rPr>
            </w:pPr>
          </w:p>
        </w:tc>
        <w:tc>
          <w:tcPr>
            <w:tcW w:w="1132" w:type="dxa"/>
            <w:gridSpan w:val="8"/>
            <w:tcBorders>
              <w:bottom w:val="single" w:sz="4" w:space="0" w:color="auto"/>
            </w:tcBorders>
          </w:tcPr>
          <w:p w:rsidR="001C0D02" w:rsidRPr="004273CC" w:rsidRDefault="001C0D02" w:rsidP="00065FB5">
            <w:pPr>
              <w:tabs>
                <w:tab w:val="left" w:pos="510"/>
              </w:tabs>
              <w:jc w:val="both"/>
              <w:rPr>
                <w:lang w:val="lt-LT"/>
              </w:rPr>
            </w:pPr>
          </w:p>
        </w:tc>
        <w:tc>
          <w:tcPr>
            <w:tcW w:w="708" w:type="dxa"/>
            <w:gridSpan w:val="6"/>
            <w:tcBorders>
              <w:bottom w:val="single" w:sz="4" w:space="0" w:color="auto"/>
            </w:tcBorders>
          </w:tcPr>
          <w:p w:rsidR="001C0D02" w:rsidRPr="004273CC" w:rsidRDefault="001C0D02" w:rsidP="00065FB5">
            <w:pPr>
              <w:tabs>
                <w:tab w:val="left" w:pos="510"/>
              </w:tabs>
              <w:jc w:val="both"/>
              <w:rPr>
                <w:lang w:val="lt-LT"/>
              </w:rPr>
            </w:pPr>
          </w:p>
        </w:tc>
        <w:tc>
          <w:tcPr>
            <w:tcW w:w="1133" w:type="dxa"/>
            <w:gridSpan w:val="6"/>
            <w:tcBorders>
              <w:bottom w:val="single" w:sz="4" w:space="0" w:color="auto"/>
            </w:tcBorders>
          </w:tcPr>
          <w:p w:rsidR="001C0D02" w:rsidRPr="004273CC" w:rsidRDefault="001C0D02" w:rsidP="00065FB5">
            <w:pPr>
              <w:tabs>
                <w:tab w:val="left" w:pos="510"/>
              </w:tabs>
              <w:jc w:val="both"/>
              <w:rPr>
                <w:lang w:val="lt-LT"/>
              </w:rPr>
            </w:pPr>
          </w:p>
        </w:tc>
        <w:tc>
          <w:tcPr>
            <w:tcW w:w="1441" w:type="dxa"/>
            <w:gridSpan w:val="2"/>
            <w:tcBorders>
              <w:bottom w:val="single" w:sz="4" w:space="0" w:color="auto"/>
            </w:tcBorders>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cPr>
          <w:p w:rsidR="001C0D02" w:rsidRPr="004273CC" w:rsidRDefault="001C0D02" w:rsidP="00065FB5">
            <w:pPr>
              <w:tabs>
                <w:tab w:val="left" w:pos="510"/>
              </w:tabs>
              <w:jc w:val="both"/>
              <w:rPr>
                <w:lang w:val="lt-LT"/>
              </w:rPr>
            </w:pPr>
          </w:p>
        </w:tc>
        <w:tc>
          <w:tcPr>
            <w:tcW w:w="3427" w:type="dxa"/>
            <w:gridSpan w:val="6"/>
          </w:tcPr>
          <w:p w:rsidR="001C0D02" w:rsidRDefault="001C0D02" w:rsidP="00065FB5">
            <w:pPr>
              <w:tabs>
                <w:tab w:val="left" w:pos="510"/>
              </w:tabs>
              <w:jc w:val="both"/>
              <w:rPr>
                <w:lang w:val="lt-LT"/>
              </w:rPr>
            </w:pPr>
            <w:r>
              <w:rPr>
                <w:lang w:val="lt-LT"/>
              </w:rPr>
              <w:t>Nėra kontroliuojama, kad vadovybės sprendimas dėl  atidėtojo mokesčio turto vertės būtų tinkamas</w:t>
            </w:r>
          </w:p>
        </w:tc>
        <w:tc>
          <w:tcPr>
            <w:tcW w:w="548" w:type="dxa"/>
            <w:gridSpan w:val="7"/>
            <w:tcBorders>
              <w:bottom w:val="single" w:sz="4" w:space="0" w:color="auto"/>
            </w:tcBorders>
          </w:tcPr>
          <w:p w:rsidR="001C0D02" w:rsidRDefault="001C0D02" w:rsidP="00065FB5">
            <w:pPr>
              <w:tabs>
                <w:tab w:val="left" w:pos="510"/>
              </w:tabs>
              <w:jc w:val="both"/>
              <w:rPr>
                <w:lang w:val="lt-LT"/>
              </w:rPr>
            </w:pPr>
            <w:r>
              <w:rPr>
                <w:lang w:val="lt-LT"/>
              </w:rPr>
              <w:t>V</w:t>
            </w:r>
          </w:p>
        </w:tc>
        <w:tc>
          <w:tcPr>
            <w:tcW w:w="567" w:type="dxa"/>
            <w:gridSpan w:val="7"/>
            <w:tcBorders>
              <w:bottom w:val="single" w:sz="4" w:space="0" w:color="auto"/>
            </w:tcBorders>
          </w:tcPr>
          <w:p w:rsidR="001C0D02" w:rsidRPr="004273CC" w:rsidRDefault="001C0D02" w:rsidP="00065FB5">
            <w:pPr>
              <w:tabs>
                <w:tab w:val="left" w:pos="510"/>
              </w:tabs>
              <w:jc w:val="both"/>
              <w:rPr>
                <w:lang w:val="lt-LT"/>
              </w:rPr>
            </w:pPr>
            <w:r>
              <w:rPr>
                <w:lang w:val="lt-LT"/>
              </w:rPr>
              <w:t>KR</w:t>
            </w:r>
          </w:p>
        </w:tc>
        <w:tc>
          <w:tcPr>
            <w:tcW w:w="1132" w:type="dxa"/>
            <w:gridSpan w:val="7"/>
            <w:tcBorders>
              <w:bottom w:val="single" w:sz="4" w:space="0" w:color="auto"/>
            </w:tcBorders>
          </w:tcPr>
          <w:p w:rsidR="001C0D02" w:rsidRPr="00310323" w:rsidRDefault="001C0D02" w:rsidP="00065FB5">
            <w:pPr>
              <w:tabs>
                <w:tab w:val="left" w:pos="510"/>
              </w:tabs>
              <w:jc w:val="center"/>
              <w:rPr>
                <w:b/>
                <w:lang w:val="lt-LT"/>
              </w:rPr>
            </w:pPr>
            <w:r>
              <w:rPr>
                <w:b/>
                <w:lang w:val="lt-LT"/>
              </w:rPr>
              <w:t>4</w:t>
            </w:r>
          </w:p>
        </w:tc>
        <w:tc>
          <w:tcPr>
            <w:tcW w:w="677" w:type="dxa"/>
            <w:gridSpan w:val="7"/>
            <w:tcBorders>
              <w:bottom w:val="single" w:sz="4" w:space="0" w:color="auto"/>
            </w:tcBorders>
          </w:tcPr>
          <w:p w:rsidR="001C0D02" w:rsidRPr="00310323" w:rsidRDefault="001C0D02" w:rsidP="00065FB5">
            <w:pPr>
              <w:tabs>
                <w:tab w:val="left" w:pos="510"/>
              </w:tabs>
              <w:jc w:val="center"/>
              <w:rPr>
                <w:b/>
                <w:lang w:val="lt-LT"/>
              </w:rPr>
            </w:pPr>
            <w:r w:rsidRPr="00310323">
              <w:rPr>
                <w:b/>
                <w:lang w:val="lt-LT"/>
              </w:rPr>
              <w:t>4</w:t>
            </w:r>
          </w:p>
        </w:tc>
        <w:tc>
          <w:tcPr>
            <w:tcW w:w="1180" w:type="dxa"/>
            <w:gridSpan w:val="8"/>
            <w:tcBorders>
              <w:bottom w:val="single" w:sz="4" w:space="0" w:color="auto"/>
            </w:tcBorders>
          </w:tcPr>
          <w:p w:rsidR="001C0D02" w:rsidRPr="00310323" w:rsidRDefault="001C0D02" w:rsidP="00065FB5">
            <w:pPr>
              <w:tabs>
                <w:tab w:val="left" w:pos="510"/>
              </w:tabs>
              <w:jc w:val="center"/>
              <w:rPr>
                <w:b/>
                <w:lang w:val="lt-LT"/>
              </w:rPr>
            </w:pPr>
            <w:r>
              <w:rPr>
                <w:b/>
                <w:lang w:val="lt-LT"/>
              </w:rPr>
              <w:t>16</w:t>
            </w:r>
          </w:p>
        </w:tc>
        <w:tc>
          <w:tcPr>
            <w:tcW w:w="1139" w:type="dxa"/>
            <w:gridSpan w:val="10"/>
            <w:tcBorders>
              <w:bottom w:val="single" w:sz="4" w:space="0" w:color="auto"/>
            </w:tcBorders>
          </w:tcPr>
          <w:p w:rsidR="001C0D02" w:rsidRPr="004273CC" w:rsidRDefault="001C0D02" w:rsidP="00065FB5">
            <w:pPr>
              <w:tabs>
                <w:tab w:val="left" w:pos="510"/>
              </w:tabs>
              <w:jc w:val="both"/>
              <w:rPr>
                <w:lang w:val="lt-LT"/>
              </w:rPr>
            </w:pPr>
          </w:p>
        </w:tc>
        <w:tc>
          <w:tcPr>
            <w:tcW w:w="1132" w:type="dxa"/>
            <w:gridSpan w:val="8"/>
            <w:tcBorders>
              <w:bottom w:val="single" w:sz="4" w:space="0" w:color="auto"/>
            </w:tcBorders>
          </w:tcPr>
          <w:p w:rsidR="001C0D02" w:rsidRPr="004273CC" w:rsidRDefault="001C0D02" w:rsidP="00065FB5">
            <w:pPr>
              <w:tabs>
                <w:tab w:val="left" w:pos="510"/>
              </w:tabs>
              <w:jc w:val="both"/>
              <w:rPr>
                <w:lang w:val="lt-LT"/>
              </w:rPr>
            </w:pPr>
          </w:p>
        </w:tc>
        <w:tc>
          <w:tcPr>
            <w:tcW w:w="708" w:type="dxa"/>
            <w:gridSpan w:val="6"/>
            <w:tcBorders>
              <w:bottom w:val="single" w:sz="4" w:space="0" w:color="auto"/>
            </w:tcBorders>
          </w:tcPr>
          <w:p w:rsidR="001C0D02" w:rsidRPr="004273CC" w:rsidRDefault="001C0D02" w:rsidP="00065FB5">
            <w:pPr>
              <w:tabs>
                <w:tab w:val="left" w:pos="510"/>
              </w:tabs>
              <w:jc w:val="both"/>
              <w:rPr>
                <w:lang w:val="lt-LT"/>
              </w:rPr>
            </w:pPr>
          </w:p>
        </w:tc>
        <w:tc>
          <w:tcPr>
            <w:tcW w:w="1133" w:type="dxa"/>
            <w:gridSpan w:val="6"/>
            <w:tcBorders>
              <w:bottom w:val="single" w:sz="4" w:space="0" w:color="auto"/>
            </w:tcBorders>
          </w:tcPr>
          <w:p w:rsidR="001C0D02" w:rsidRPr="004273CC" w:rsidRDefault="001C0D02" w:rsidP="00065FB5">
            <w:pPr>
              <w:tabs>
                <w:tab w:val="left" w:pos="510"/>
              </w:tabs>
              <w:jc w:val="both"/>
              <w:rPr>
                <w:lang w:val="lt-LT"/>
              </w:rPr>
            </w:pPr>
          </w:p>
        </w:tc>
        <w:tc>
          <w:tcPr>
            <w:tcW w:w="1441" w:type="dxa"/>
            <w:gridSpan w:val="2"/>
            <w:tcBorders>
              <w:bottom w:val="single" w:sz="4" w:space="0" w:color="auto"/>
            </w:tcBorders>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val="restart"/>
            <w:textDirection w:val="btLr"/>
          </w:tcPr>
          <w:p w:rsidR="001C0D02" w:rsidRPr="004273CC" w:rsidRDefault="001C0D02" w:rsidP="001C0D02">
            <w:pPr>
              <w:tabs>
                <w:tab w:val="left" w:pos="510"/>
              </w:tabs>
              <w:ind w:left="113" w:right="113"/>
              <w:jc w:val="center"/>
              <w:rPr>
                <w:lang w:val="lt-LT"/>
              </w:rPr>
            </w:pPr>
            <w:r w:rsidRPr="002E216D">
              <w:rPr>
                <w:b/>
                <w:lang w:val="lt-LT"/>
              </w:rPr>
              <w:t>Ilgalaikis turtas</w:t>
            </w:r>
          </w:p>
        </w:tc>
        <w:tc>
          <w:tcPr>
            <w:tcW w:w="4542" w:type="dxa"/>
            <w:gridSpan w:val="20"/>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7"/>
            <w:shd w:val="clear" w:color="auto" w:fill="D9D9D9"/>
          </w:tcPr>
          <w:p w:rsidR="001C0D02" w:rsidRPr="004273CC" w:rsidRDefault="001C0D02" w:rsidP="00065FB5">
            <w:pPr>
              <w:tabs>
                <w:tab w:val="left" w:pos="510"/>
              </w:tabs>
              <w:jc w:val="both"/>
              <w:rPr>
                <w:lang w:val="lt-LT"/>
              </w:rPr>
            </w:pPr>
            <w:r w:rsidRPr="004273CC">
              <w:rPr>
                <w:b/>
                <w:lang w:val="lt-LT"/>
              </w:rPr>
              <w:t>1 eil.</w:t>
            </w:r>
          </w:p>
        </w:tc>
        <w:tc>
          <w:tcPr>
            <w:tcW w:w="677" w:type="dxa"/>
            <w:gridSpan w:val="7"/>
            <w:tcBorders>
              <w:bottom w:val="single" w:sz="4" w:space="0" w:color="auto"/>
            </w:tcBorders>
          </w:tcPr>
          <w:p w:rsidR="001C0D02" w:rsidRPr="00A23942" w:rsidRDefault="001C0D02" w:rsidP="00065FB5">
            <w:pPr>
              <w:tabs>
                <w:tab w:val="left" w:pos="510"/>
              </w:tabs>
              <w:jc w:val="center"/>
              <w:rPr>
                <w:b/>
                <w:lang w:val="lt-LT"/>
              </w:rPr>
            </w:pPr>
            <w:r w:rsidRPr="00A23942">
              <w:rPr>
                <w:b/>
                <w:lang w:val="lt-LT"/>
              </w:rPr>
              <w:t>X</w:t>
            </w:r>
          </w:p>
        </w:tc>
        <w:tc>
          <w:tcPr>
            <w:tcW w:w="1180" w:type="dxa"/>
            <w:gridSpan w:val="8"/>
            <w:tcBorders>
              <w:bottom w:val="single" w:sz="4" w:space="0" w:color="auto"/>
              <w:right w:val="single" w:sz="4" w:space="0" w:color="auto"/>
            </w:tcBorders>
          </w:tcPr>
          <w:p w:rsidR="001C0D02" w:rsidRPr="00A23942" w:rsidRDefault="001C0D02" w:rsidP="00065FB5">
            <w:pPr>
              <w:tabs>
                <w:tab w:val="left" w:pos="510"/>
              </w:tabs>
              <w:jc w:val="center"/>
              <w:rPr>
                <w:b/>
                <w:lang w:val="lt-LT"/>
              </w:rPr>
            </w:pPr>
            <w:r>
              <w:rPr>
                <w:b/>
                <w:lang w:val="lt-LT"/>
              </w:rPr>
              <w:t>0</w:t>
            </w:r>
          </w:p>
        </w:tc>
        <w:tc>
          <w:tcPr>
            <w:tcW w:w="1139" w:type="dxa"/>
            <w:gridSpan w:val="10"/>
            <w:vMerge w:val="restart"/>
            <w:tcBorders>
              <w:top w:val="single" w:sz="4" w:space="0" w:color="auto"/>
              <w:left w:val="single" w:sz="4" w:space="0" w:color="auto"/>
              <w:right w:val="single" w:sz="4" w:space="0" w:color="auto"/>
            </w:tcBorders>
            <w:shd w:val="clear" w:color="auto" w:fill="FFFFFF"/>
            <w:textDirection w:val="btLr"/>
          </w:tcPr>
          <w:p w:rsidR="001C0D02" w:rsidRPr="00126E99" w:rsidRDefault="001C0D02" w:rsidP="00065FB5">
            <w:pPr>
              <w:tabs>
                <w:tab w:val="left" w:pos="510"/>
              </w:tabs>
              <w:ind w:left="113" w:right="113"/>
              <w:jc w:val="center"/>
              <w:rPr>
                <w:b/>
                <w:lang w:val="lt-LT"/>
              </w:rPr>
            </w:pPr>
            <w:r>
              <w:rPr>
                <w:b/>
                <w:lang w:val="lt-LT"/>
              </w:rPr>
              <w:t xml:space="preserve">IT – </w:t>
            </w:r>
            <w:r w:rsidRPr="00126E99">
              <w:rPr>
                <w:b/>
                <w:lang w:val="lt-LT"/>
              </w:rPr>
              <w:t>Buvimas</w:t>
            </w:r>
          </w:p>
        </w:tc>
        <w:tc>
          <w:tcPr>
            <w:tcW w:w="1132" w:type="dxa"/>
            <w:gridSpan w:val="8"/>
            <w:tcBorders>
              <w:top w:val="single" w:sz="4" w:space="0" w:color="auto"/>
              <w:left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1 eil.</w:t>
            </w:r>
          </w:p>
        </w:tc>
        <w:tc>
          <w:tcPr>
            <w:tcW w:w="708" w:type="dxa"/>
            <w:gridSpan w:val="6"/>
          </w:tcPr>
          <w:p w:rsidR="001C0D02" w:rsidRPr="00404FB8" w:rsidRDefault="001C0D02" w:rsidP="00065FB5">
            <w:pPr>
              <w:tabs>
                <w:tab w:val="left" w:pos="510"/>
              </w:tabs>
              <w:jc w:val="center"/>
              <w:rPr>
                <w:b/>
                <w:lang w:val="lt-LT"/>
              </w:rPr>
            </w:pPr>
            <w:r w:rsidRPr="00404FB8">
              <w:rPr>
                <w:b/>
                <w:lang w:val="lt-LT"/>
              </w:rPr>
              <w:t>X</w:t>
            </w:r>
          </w:p>
        </w:tc>
        <w:tc>
          <w:tcPr>
            <w:tcW w:w="2574" w:type="dxa"/>
            <w:gridSpan w:val="8"/>
            <w:vMerge w:val="restart"/>
            <w:tcBorders>
              <w:right w:val="single" w:sz="4" w:space="0" w:color="auto"/>
            </w:tcBorders>
            <w:vAlign w:val="bottom"/>
          </w:tcPr>
          <w:p w:rsidR="001C0D02" w:rsidRPr="00404FB8" w:rsidRDefault="001C0D02" w:rsidP="00065FB5">
            <w:pPr>
              <w:tabs>
                <w:tab w:val="left" w:pos="510"/>
              </w:tabs>
              <w:rPr>
                <w:b/>
                <w:lang w:val="lt-LT"/>
              </w:rPr>
            </w:pPr>
            <w:r w:rsidRPr="00404FB8">
              <w:rPr>
                <w:b/>
                <w:lang w:val="lt-LT"/>
              </w:rPr>
              <w:t>NETAIKOMA</w:t>
            </w: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7"/>
            <w:shd w:val="clear" w:color="auto" w:fill="D9D9D9"/>
          </w:tcPr>
          <w:p w:rsidR="001C0D02" w:rsidRPr="004273CC" w:rsidRDefault="001C0D02" w:rsidP="00065FB5">
            <w:pPr>
              <w:tabs>
                <w:tab w:val="left" w:pos="510"/>
              </w:tabs>
              <w:jc w:val="both"/>
              <w:rPr>
                <w:lang w:val="lt-LT"/>
              </w:rPr>
            </w:pPr>
            <w:r w:rsidRPr="004273CC">
              <w:rPr>
                <w:b/>
                <w:lang w:val="lt-LT"/>
              </w:rPr>
              <w:t>2 eil.</w:t>
            </w:r>
          </w:p>
        </w:tc>
        <w:tc>
          <w:tcPr>
            <w:tcW w:w="677" w:type="dxa"/>
            <w:gridSpan w:val="7"/>
            <w:tcBorders>
              <w:right w:val="single" w:sz="4" w:space="0" w:color="auto"/>
            </w:tcBorders>
          </w:tcPr>
          <w:p w:rsidR="001C0D02" w:rsidRPr="00A23942" w:rsidRDefault="001C0D02" w:rsidP="00065FB5">
            <w:pPr>
              <w:tabs>
                <w:tab w:val="left" w:pos="510"/>
              </w:tabs>
              <w:jc w:val="center"/>
              <w:rPr>
                <w:b/>
                <w:lang w:val="lt-LT"/>
              </w:rPr>
            </w:pPr>
            <w:r>
              <w:rPr>
                <w:b/>
                <w:lang w:val="lt-LT"/>
              </w:rPr>
              <w:t>0</w:t>
            </w:r>
          </w:p>
        </w:tc>
        <w:tc>
          <w:tcPr>
            <w:tcW w:w="1180" w:type="dxa"/>
            <w:gridSpan w:val="8"/>
            <w:tcBorders>
              <w:top w:val="nil"/>
              <w:left w:val="single" w:sz="4" w:space="0" w:color="auto"/>
              <w:bottom w:val="nil"/>
              <w:right w:val="single" w:sz="4" w:space="0" w:color="auto"/>
            </w:tcBorders>
          </w:tcPr>
          <w:p w:rsidR="001C0D02" w:rsidRPr="00A23942" w:rsidRDefault="001C0D02" w:rsidP="00065FB5">
            <w:pPr>
              <w:tabs>
                <w:tab w:val="left" w:pos="510"/>
              </w:tabs>
              <w:jc w:val="center"/>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2 eil.</w:t>
            </w:r>
          </w:p>
        </w:tc>
        <w:tc>
          <w:tcPr>
            <w:tcW w:w="708" w:type="dxa"/>
            <w:gridSpan w:val="6"/>
          </w:tcPr>
          <w:p w:rsidR="001C0D02" w:rsidRPr="00404FB8" w:rsidRDefault="001C0D02" w:rsidP="00065FB5">
            <w:pPr>
              <w:tabs>
                <w:tab w:val="left" w:pos="510"/>
              </w:tabs>
              <w:jc w:val="center"/>
              <w:rPr>
                <w:b/>
                <w:lang w:val="lt-LT"/>
              </w:rPr>
            </w:pPr>
          </w:p>
        </w:tc>
        <w:tc>
          <w:tcPr>
            <w:tcW w:w="2574" w:type="dxa"/>
            <w:gridSpan w:val="8"/>
            <w:vMerge/>
            <w:tcBorders>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Pr>
          <w:p w:rsidR="001C0D02" w:rsidRPr="004273CC" w:rsidRDefault="001C0D02"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7"/>
            <w:shd w:val="clear" w:color="auto" w:fill="D9D9D9"/>
          </w:tcPr>
          <w:p w:rsidR="001C0D02" w:rsidRPr="004273CC" w:rsidRDefault="001C0D02" w:rsidP="00065FB5">
            <w:pPr>
              <w:tabs>
                <w:tab w:val="left" w:pos="510"/>
              </w:tabs>
              <w:jc w:val="both"/>
              <w:rPr>
                <w:lang w:val="lt-LT"/>
              </w:rPr>
            </w:pPr>
            <w:r w:rsidRPr="004273CC">
              <w:rPr>
                <w:b/>
                <w:lang w:val="lt-LT"/>
              </w:rPr>
              <w:t>3 eil.</w:t>
            </w:r>
          </w:p>
        </w:tc>
        <w:tc>
          <w:tcPr>
            <w:tcW w:w="677" w:type="dxa"/>
            <w:gridSpan w:val="7"/>
            <w:tcBorders>
              <w:bottom w:val="single" w:sz="4" w:space="0" w:color="auto"/>
              <w:right w:val="single" w:sz="4" w:space="0" w:color="auto"/>
            </w:tcBorders>
          </w:tcPr>
          <w:p w:rsidR="001C0D02" w:rsidRPr="00A23942" w:rsidRDefault="001C0D02" w:rsidP="00065FB5">
            <w:pPr>
              <w:tabs>
                <w:tab w:val="left" w:pos="510"/>
              </w:tabs>
              <w:jc w:val="center"/>
              <w:rPr>
                <w:b/>
                <w:lang w:val="lt-LT"/>
              </w:rPr>
            </w:pPr>
            <w:r w:rsidRPr="00A23942">
              <w:rPr>
                <w:b/>
                <w:lang w:val="lt-LT"/>
              </w:rPr>
              <w:t>0</w:t>
            </w:r>
          </w:p>
        </w:tc>
        <w:tc>
          <w:tcPr>
            <w:tcW w:w="1180" w:type="dxa"/>
            <w:gridSpan w:val="8"/>
            <w:tcBorders>
              <w:top w:val="nil"/>
              <w:left w:val="single" w:sz="4" w:space="0" w:color="auto"/>
              <w:bottom w:val="nil"/>
              <w:right w:val="single" w:sz="4" w:space="0" w:color="auto"/>
            </w:tcBorders>
          </w:tcPr>
          <w:p w:rsidR="001C0D02" w:rsidRPr="00A23942" w:rsidRDefault="001C0D02" w:rsidP="00065FB5">
            <w:pPr>
              <w:tabs>
                <w:tab w:val="left" w:pos="510"/>
              </w:tabs>
              <w:jc w:val="center"/>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3 eil.</w:t>
            </w:r>
          </w:p>
        </w:tc>
        <w:tc>
          <w:tcPr>
            <w:tcW w:w="708" w:type="dxa"/>
            <w:gridSpan w:val="6"/>
            <w:tcBorders>
              <w:bottom w:val="single" w:sz="4" w:space="0" w:color="auto"/>
            </w:tcBorders>
          </w:tcPr>
          <w:p w:rsidR="001C0D02" w:rsidRPr="00404FB8" w:rsidRDefault="001C0D02" w:rsidP="00065FB5">
            <w:pPr>
              <w:tabs>
                <w:tab w:val="left" w:pos="510"/>
              </w:tabs>
              <w:jc w:val="center"/>
              <w:rPr>
                <w:b/>
                <w:lang w:val="lt-LT"/>
              </w:rPr>
            </w:pPr>
          </w:p>
        </w:tc>
        <w:tc>
          <w:tcPr>
            <w:tcW w:w="2574" w:type="dxa"/>
            <w:gridSpan w:val="8"/>
            <w:vMerge/>
            <w:tcBorders>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Height w:val="264"/>
        </w:trPr>
        <w:tc>
          <w:tcPr>
            <w:tcW w:w="774" w:type="dxa"/>
            <w:vMerge/>
          </w:tcPr>
          <w:p w:rsidR="001C0D02" w:rsidRPr="004273CC" w:rsidRDefault="001C0D02" w:rsidP="00065FB5">
            <w:pPr>
              <w:tabs>
                <w:tab w:val="left" w:pos="510"/>
              </w:tabs>
              <w:jc w:val="right"/>
              <w:rPr>
                <w:lang w:val="lt-LT"/>
              </w:rPr>
            </w:pPr>
          </w:p>
        </w:tc>
        <w:tc>
          <w:tcPr>
            <w:tcW w:w="4542" w:type="dxa"/>
            <w:gridSpan w:val="20"/>
          </w:tcPr>
          <w:p w:rsidR="001C0D02" w:rsidRPr="004273CC" w:rsidRDefault="001C0D02"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7"/>
            <w:shd w:val="clear" w:color="auto" w:fill="D9D9D9"/>
            <w:vAlign w:val="center"/>
          </w:tcPr>
          <w:p w:rsidR="001C0D02" w:rsidRPr="004273CC" w:rsidRDefault="001C0D02" w:rsidP="00065FB5">
            <w:pPr>
              <w:tabs>
                <w:tab w:val="left" w:pos="510"/>
              </w:tabs>
              <w:jc w:val="both"/>
              <w:rPr>
                <w:lang w:val="lt-LT"/>
              </w:rPr>
            </w:pPr>
            <w:r w:rsidRPr="004273CC">
              <w:rPr>
                <w:b/>
                <w:lang w:val="lt-LT"/>
              </w:rPr>
              <w:t>4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sidRPr="00A23942">
              <w:rPr>
                <w:b/>
                <w:lang w:val="lt-LT"/>
              </w:rPr>
              <w:t>0</w:t>
            </w:r>
          </w:p>
        </w:tc>
        <w:tc>
          <w:tcPr>
            <w:tcW w:w="1180" w:type="dxa"/>
            <w:gridSpan w:val="8"/>
            <w:tcBorders>
              <w:top w:val="nil"/>
              <w:left w:val="single" w:sz="4" w:space="0" w:color="auto"/>
              <w:bottom w:val="single" w:sz="4" w:space="0" w:color="auto"/>
              <w:right w:val="single" w:sz="4" w:space="0" w:color="auto"/>
            </w:tcBorders>
          </w:tcPr>
          <w:p w:rsidR="001C0D02" w:rsidRPr="00A23942" w:rsidRDefault="001C0D02" w:rsidP="00065FB5">
            <w:pPr>
              <w:tabs>
                <w:tab w:val="left" w:pos="510"/>
              </w:tabs>
              <w:rPr>
                <w:b/>
                <w:lang w:val="lt-LT"/>
              </w:rPr>
            </w:pPr>
            <w:r>
              <w:rPr>
                <w:b/>
                <w:lang w:val="lt-LT"/>
              </w:rPr>
              <w:t>MAŽA</w:t>
            </w:r>
          </w:p>
        </w:tc>
        <w:tc>
          <w:tcPr>
            <w:tcW w:w="1139" w:type="dxa"/>
            <w:gridSpan w:val="10"/>
            <w:vMerge/>
            <w:tcBorders>
              <w:left w:val="single" w:sz="4" w:space="0" w:color="auto"/>
              <w:right w:val="single" w:sz="4" w:space="0" w:color="auto"/>
            </w:tcBorders>
            <w:shd w:val="clear" w:color="auto" w:fill="FFFFFF"/>
            <w:vAlign w:val="center"/>
          </w:tcPr>
          <w:p w:rsidR="001C0D02" w:rsidRPr="004273CC" w:rsidRDefault="001C0D02" w:rsidP="00065FB5">
            <w:pPr>
              <w:tabs>
                <w:tab w:val="left" w:pos="510"/>
              </w:tabs>
              <w:jc w:val="both"/>
              <w:rPr>
                <w:lang w:val="lt-LT"/>
              </w:rPr>
            </w:pPr>
          </w:p>
        </w:tc>
        <w:tc>
          <w:tcPr>
            <w:tcW w:w="1132" w:type="dxa"/>
            <w:gridSpan w:val="8"/>
            <w:tcBorders>
              <w:left w:val="single" w:sz="4" w:space="0" w:color="auto"/>
            </w:tcBorders>
            <w:shd w:val="clear" w:color="auto" w:fill="D9D9D9"/>
            <w:vAlign w:val="center"/>
          </w:tcPr>
          <w:p w:rsidR="001C0D02" w:rsidRPr="004273CC" w:rsidRDefault="001C0D02" w:rsidP="00065FB5">
            <w:pPr>
              <w:tabs>
                <w:tab w:val="left" w:pos="510"/>
              </w:tabs>
              <w:jc w:val="both"/>
              <w:rPr>
                <w:lang w:val="lt-LT"/>
              </w:rPr>
            </w:pPr>
            <w:r w:rsidRPr="004273CC">
              <w:rPr>
                <w:b/>
                <w:lang w:val="lt-LT"/>
              </w:rPr>
              <w:t>4 eil.</w:t>
            </w:r>
          </w:p>
        </w:tc>
        <w:tc>
          <w:tcPr>
            <w:tcW w:w="708" w:type="dxa"/>
            <w:gridSpan w:val="6"/>
            <w:shd w:val="clear" w:color="auto" w:fill="D9D9D9"/>
          </w:tcPr>
          <w:p w:rsidR="001C0D02" w:rsidRPr="00404FB8" w:rsidRDefault="001C0D02" w:rsidP="00065FB5">
            <w:pPr>
              <w:tabs>
                <w:tab w:val="left" w:pos="510"/>
              </w:tabs>
              <w:jc w:val="center"/>
              <w:rPr>
                <w:b/>
                <w:lang w:val="lt-LT"/>
              </w:rPr>
            </w:pPr>
          </w:p>
        </w:tc>
        <w:tc>
          <w:tcPr>
            <w:tcW w:w="2574" w:type="dxa"/>
            <w:gridSpan w:val="8"/>
            <w:vMerge/>
            <w:tcBorders>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Pr>
          <w:p w:rsidR="001C0D02" w:rsidRPr="004273CC" w:rsidRDefault="001C0D02"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7"/>
            <w:shd w:val="clear" w:color="auto" w:fill="D9D9D9"/>
          </w:tcPr>
          <w:p w:rsidR="001C0D02" w:rsidRPr="004273CC" w:rsidRDefault="001C0D02" w:rsidP="00065FB5">
            <w:pPr>
              <w:tabs>
                <w:tab w:val="left" w:pos="510"/>
              </w:tabs>
              <w:jc w:val="both"/>
              <w:rPr>
                <w:lang w:val="lt-LT"/>
              </w:rPr>
            </w:pPr>
            <w:r>
              <w:rPr>
                <w:b/>
                <w:lang w:val="lt-LT"/>
              </w:rPr>
              <w:t>5</w:t>
            </w:r>
            <w:r w:rsidRPr="004273CC">
              <w:rPr>
                <w:b/>
                <w:lang w:val="lt-LT"/>
              </w:rPr>
              <w:t xml:space="preserve"> eil.</w:t>
            </w:r>
          </w:p>
        </w:tc>
        <w:tc>
          <w:tcPr>
            <w:tcW w:w="677" w:type="dxa"/>
            <w:gridSpan w:val="7"/>
            <w:tcBorders>
              <w:right w:val="single" w:sz="4" w:space="0" w:color="auto"/>
            </w:tcBorders>
          </w:tcPr>
          <w:p w:rsidR="001C0D02" w:rsidRPr="00A23942" w:rsidRDefault="001C0D02" w:rsidP="00065FB5">
            <w:pPr>
              <w:tabs>
                <w:tab w:val="left" w:pos="510"/>
              </w:tabs>
              <w:jc w:val="center"/>
              <w:rPr>
                <w:b/>
                <w:lang w:val="lt-LT"/>
              </w:rPr>
            </w:pPr>
            <w:r w:rsidRPr="00A23942">
              <w:rPr>
                <w:b/>
                <w:lang w:val="lt-LT"/>
              </w:rPr>
              <w:t>X</w:t>
            </w:r>
          </w:p>
        </w:tc>
        <w:tc>
          <w:tcPr>
            <w:tcW w:w="1180" w:type="dxa"/>
            <w:gridSpan w:val="8"/>
            <w:tcBorders>
              <w:top w:val="single" w:sz="4" w:space="0" w:color="auto"/>
              <w:left w:val="single" w:sz="4" w:space="0" w:color="auto"/>
              <w:bottom w:val="single" w:sz="4" w:space="0" w:color="auto"/>
              <w:right w:val="single" w:sz="4" w:space="0" w:color="auto"/>
            </w:tcBorders>
          </w:tcPr>
          <w:p w:rsidR="001C0D02" w:rsidRPr="00A23942" w:rsidRDefault="001C0D02" w:rsidP="00065FB5">
            <w:pPr>
              <w:tabs>
                <w:tab w:val="left" w:pos="510"/>
              </w:tabs>
              <w:jc w:val="center"/>
              <w:rPr>
                <w:b/>
                <w:lang w:val="lt-LT"/>
              </w:rPr>
            </w:pPr>
            <w:r>
              <w:rPr>
                <w:b/>
                <w:lang w:val="lt-LT"/>
              </w:rPr>
              <w:t>0</w:t>
            </w: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tcBorders>
            <w:shd w:val="clear" w:color="auto" w:fill="D9D9D9"/>
          </w:tcPr>
          <w:p w:rsidR="001C0D02" w:rsidRPr="004273CC" w:rsidRDefault="001C0D02" w:rsidP="00065FB5">
            <w:pPr>
              <w:tabs>
                <w:tab w:val="left" w:pos="510"/>
              </w:tabs>
              <w:jc w:val="both"/>
              <w:rPr>
                <w:lang w:val="lt-LT"/>
              </w:rPr>
            </w:pPr>
            <w:r>
              <w:rPr>
                <w:b/>
                <w:lang w:val="lt-LT"/>
              </w:rPr>
              <w:t>5</w:t>
            </w:r>
            <w:r w:rsidRPr="004273CC">
              <w:rPr>
                <w:b/>
                <w:lang w:val="lt-LT"/>
              </w:rPr>
              <w:t xml:space="preserve"> eil.</w:t>
            </w:r>
          </w:p>
        </w:tc>
        <w:tc>
          <w:tcPr>
            <w:tcW w:w="708" w:type="dxa"/>
            <w:gridSpan w:val="6"/>
          </w:tcPr>
          <w:p w:rsidR="001C0D02" w:rsidRPr="00404FB8" w:rsidRDefault="001C0D02" w:rsidP="00065FB5">
            <w:pPr>
              <w:tabs>
                <w:tab w:val="left" w:pos="510"/>
              </w:tabs>
              <w:jc w:val="center"/>
              <w:rPr>
                <w:b/>
                <w:lang w:val="lt-LT"/>
              </w:rPr>
            </w:pPr>
            <w:r w:rsidRPr="00404FB8">
              <w:rPr>
                <w:b/>
                <w:lang w:val="lt-LT"/>
              </w:rPr>
              <w:t>X</w:t>
            </w:r>
          </w:p>
        </w:tc>
        <w:tc>
          <w:tcPr>
            <w:tcW w:w="2574" w:type="dxa"/>
            <w:gridSpan w:val="8"/>
            <w:vMerge/>
            <w:tcBorders>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7"/>
            <w:shd w:val="clear" w:color="auto" w:fill="D9D9D9"/>
          </w:tcPr>
          <w:p w:rsidR="001C0D02" w:rsidRPr="004273CC" w:rsidRDefault="001C0D02" w:rsidP="00065FB5">
            <w:pPr>
              <w:tabs>
                <w:tab w:val="left" w:pos="510"/>
              </w:tabs>
              <w:jc w:val="both"/>
              <w:rPr>
                <w:lang w:val="lt-LT"/>
              </w:rPr>
            </w:pPr>
            <w:r>
              <w:rPr>
                <w:b/>
                <w:lang w:val="lt-LT"/>
              </w:rPr>
              <w:t>6</w:t>
            </w:r>
            <w:r w:rsidRPr="004273CC">
              <w:rPr>
                <w:b/>
                <w:lang w:val="lt-LT"/>
              </w:rPr>
              <w:t xml:space="preserve"> eil.</w:t>
            </w:r>
          </w:p>
        </w:tc>
        <w:tc>
          <w:tcPr>
            <w:tcW w:w="677" w:type="dxa"/>
            <w:gridSpan w:val="7"/>
            <w:tcBorders>
              <w:right w:val="single" w:sz="4" w:space="0" w:color="auto"/>
            </w:tcBorders>
          </w:tcPr>
          <w:p w:rsidR="001C0D02" w:rsidRPr="00A23942" w:rsidRDefault="001C0D02" w:rsidP="00065FB5">
            <w:pPr>
              <w:tabs>
                <w:tab w:val="left" w:pos="510"/>
              </w:tabs>
              <w:jc w:val="center"/>
              <w:rPr>
                <w:b/>
                <w:lang w:val="lt-LT"/>
              </w:rPr>
            </w:pPr>
            <w:r>
              <w:rPr>
                <w:b/>
                <w:lang w:val="lt-LT"/>
              </w:rPr>
              <w:t>0</w:t>
            </w:r>
          </w:p>
        </w:tc>
        <w:tc>
          <w:tcPr>
            <w:tcW w:w="1180" w:type="dxa"/>
            <w:gridSpan w:val="8"/>
            <w:tcBorders>
              <w:top w:val="single" w:sz="4" w:space="0" w:color="auto"/>
              <w:left w:val="single" w:sz="4" w:space="0" w:color="auto"/>
              <w:bottom w:val="nil"/>
              <w:right w:val="single" w:sz="4" w:space="0" w:color="auto"/>
            </w:tcBorders>
          </w:tcPr>
          <w:p w:rsidR="001C0D02" w:rsidRPr="00A23942" w:rsidRDefault="001C0D02" w:rsidP="00065FB5">
            <w:pPr>
              <w:tabs>
                <w:tab w:val="left" w:pos="510"/>
              </w:tabs>
              <w:jc w:val="both"/>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tcBorders>
            <w:shd w:val="clear" w:color="auto" w:fill="D9D9D9"/>
          </w:tcPr>
          <w:p w:rsidR="001C0D02" w:rsidRPr="004273CC" w:rsidRDefault="001C0D02" w:rsidP="00065FB5">
            <w:pPr>
              <w:tabs>
                <w:tab w:val="left" w:pos="510"/>
              </w:tabs>
              <w:jc w:val="both"/>
              <w:rPr>
                <w:lang w:val="lt-LT"/>
              </w:rPr>
            </w:pPr>
            <w:r>
              <w:rPr>
                <w:b/>
                <w:lang w:val="lt-LT"/>
              </w:rPr>
              <w:t>6</w:t>
            </w:r>
            <w:r w:rsidRPr="004273CC">
              <w:rPr>
                <w:b/>
                <w:lang w:val="lt-LT"/>
              </w:rPr>
              <w:t xml:space="preserve"> eil.</w:t>
            </w:r>
          </w:p>
        </w:tc>
        <w:tc>
          <w:tcPr>
            <w:tcW w:w="708" w:type="dxa"/>
            <w:gridSpan w:val="6"/>
          </w:tcPr>
          <w:p w:rsidR="001C0D02" w:rsidRPr="00404FB8" w:rsidRDefault="001C0D02" w:rsidP="00065FB5">
            <w:pPr>
              <w:tabs>
                <w:tab w:val="left" w:pos="510"/>
              </w:tabs>
              <w:jc w:val="center"/>
              <w:rPr>
                <w:b/>
                <w:lang w:val="lt-LT"/>
              </w:rPr>
            </w:pPr>
          </w:p>
        </w:tc>
        <w:tc>
          <w:tcPr>
            <w:tcW w:w="2574" w:type="dxa"/>
            <w:gridSpan w:val="8"/>
            <w:vMerge/>
            <w:tcBorders>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Pr>
          <w:p w:rsidR="001C0D02" w:rsidRPr="004273CC" w:rsidRDefault="001C0D02"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7"/>
            <w:shd w:val="clear" w:color="auto" w:fill="D9D9D9"/>
          </w:tcPr>
          <w:p w:rsidR="001C0D02" w:rsidRPr="004273CC" w:rsidRDefault="001C0D02" w:rsidP="00065FB5">
            <w:pPr>
              <w:tabs>
                <w:tab w:val="left" w:pos="510"/>
              </w:tabs>
              <w:jc w:val="both"/>
              <w:rPr>
                <w:lang w:val="lt-LT"/>
              </w:rPr>
            </w:pPr>
            <w:r>
              <w:rPr>
                <w:b/>
                <w:lang w:val="lt-LT"/>
              </w:rPr>
              <w:t>7</w:t>
            </w:r>
            <w:r w:rsidRPr="004273CC">
              <w:rPr>
                <w:b/>
                <w:lang w:val="lt-LT"/>
              </w:rPr>
              <w:t xml:space="preserve"> eil.</w:t>
            </w:r>
          </w:p>
        </w:tc>
        <w:tc>
          <w:tcPr>
            <w:tcW w:w="677" w:type="dxa"/>
            <w:gridSpan w:val="7"/>
            <w:tcBorders>
              <w:bottom w:val="single" w:sz="4" w:space="0" w:color="auto"/>
              <w:right w:val="single" w:sz="4" w:space="0" w:color="auto"/>
            </w:tcBorders>
          </w:tcPr>
          <w:p w:rsidR="001C0D02" w:rsidRPr="00A23942" w:rsidRDefault="001C0D02" w:rsidP="00065FB5">
            <w:pPr>
              <w:tabs>
                <w:tab w:val="left" w:pos="510"/>
              </w:tabs>
              <w:jc w:val="center"/>
              <w:rPr>
                <w:b/>
                <w:lang w:val="lt-LT"/>
              </w:rPr>
            </w:pPr>
            <w:r w:rsidRPr="00A23942">
              <w:rPr>
                <w:b/>
                <w:lang w:val="lt-LT"/>
              </w:rPr>
              <w:t>0</w:t>
            </w:r>
          </w:p>
        </w:tc>
        <w:tc>
          <w:tcPr>
            <w:tcW w:w="1180" w:type="dxa"/>
            <w:gridSpan w:val="8"/>
            <w:tcBorders>
              <w:top w:val="nil"/>
              <w:left w:val="single" w:sz="4" w:space="0" w:color="auto"/>
              <w:bottom w:val="nil"/>
              <w:right w:val="single" w:sz="4" w:space="0" w:color="auto"/>
            </w:tcBorders>
          </w:tcPr>
          <w:p w:rsidR="001C0D02" w:rsidRPr="00A23942" w:rsidRDefault="001C0D02" w:rsidP="00065FB5">
            <w:pPr>
              <w:tabs>
                <w:tab w:val="left" w:pos="510"/>
              </w:tabs>
              <w:jc w:val="both"/>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tcBorders>
            <w:shd w:val="clear" w:color="auto" w:fill="D9D9D9"/>
          </w:tcPr>
          <w:p w:rsidR="001C0D02" w:rsidRPr="004273CC" w:rsidRDefault="001C0D02" w:rsidP="00065FB5">
            <w:pPr>
              <w:tabs>
                <w:tab w:val="left" w:pos="510"/>
              </w:tabs>
              <w:jc w:val="both"/>
              <w:rPr>
                <w:lang w:val="lt-LT"/>
              </w:rPr>
            </w:pPr>
            <w:r>
              <w:rPr>
                <w:b/>
                <w:lang w:val="lt-LT"/>
              </w:rPr>
              <w:t>7</w:t>
            </w:r>
            <w:r w:rsidRPr="004273CC">
              <w:rPr>
                <w:b/>
                <w:lang w:val="lt-LT"/>
              </w:rPr>
              <w:t xml:space="preserve"> eil.</w:t>
            </w:r>
          </w:p>
        </w:tc>
        <w:tc>
          <w:tcPr>
            <w:tcW w:w="708" w:type="dxa"/>
            <w:gridSpan w:val="6"/>
            <w:tcBorders>
              <w:bottom w:val="single" w:sz="4" w:space="0" w:color="auto"/>
            </w:tcBorders>
          </w:tcPr>
          <w:p w:rsidR="001C0D02" w:rsidRPr="00404FB8" w:rsidRDefault="001C0D02" w:rsidP="00065FB5">
            <w:pPr>
              <w:tabs>
                <w:tab w:val="left" w:pos="510"/>
              </w:tabs>
              <w:jc w:val="center"/>
              <w:rPr>
                <w:b/>
                <w:lang w:val="lt-LT"/>
              </w:rPr>
            </w:pPr>
          </w:p>
        </w:tc>
        <w:tc>
          <w:tcPr>
            <w:tcW w:w="2574" w:type="dxa"/>
            <w:gridSpan w:val="8"/>
            <w:vMerge/>
            <w:tcBorders>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7"/>
            <w:tcBorders>
              <w:bottom w:val="single" w:sz="4" w:space="0" w:color="auto"/>
            </w:tcBorders>
            <w:shd w:val="clear" w:color="auto" w:fill="D9D9D9"/>
            <w:vAlign w:val="center"/>
          </w:tcPr>
          <w:p w:rsidR="001C0D02" w:rsidRPr="004273CC" w:rsidRDefault="001C0D02" w:rsidP="00065FB5">
            <w:pPr>
              <w:tabs>
                <w:tab w:val="left" w:pos="510"/>
              </w:tabs>
              <w:jc w:val="both"/>
              <w:rPr>
                <w:lang w:val="lt-LT"/>
              </w:rPr>
            </w:pPr>
            <w:r>
              <w:rPr>
                <w:b/>
                <w:lang w:val="lt-LT"/>
              </w:rPr>
              <w:t>8</w:t>
            </w:r>
            <w:r w:rsidRPr="004273CC">
              <w:rPr>
                <w:b/>
                <w:lang w:val="lt-LT"/>
              </w:rPr>
              <w:t xml:space="preserve">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sidRPr="00A23942">
              <w:rPr>
                <w:b/>
                <w:lang w:val="lt-LT"/>
              </w:rPr>
              <w:t>0</w:t>
            </w:r>
          </w:p>
        </w:tc>
        <w:tc>
          <w:tcPr>
            <w:tcW w:w="1180" w:type="dxa"/>
            <w:gridSpan w:val="8"/>
            <w:tcBorders>
              <w:top w:val="nil"/>
              <w:left w:val="single" w:sz="4" w:space="0" w:color="auto"/>
              <w:bottom w:val="single" w:sz="4" w:space="0" w:color="auto"/>
              <w:right w:val="single" w:sz="4" w:space="0" w:color="auto"/>
            </w:tcBorders>
          </w:tcPr>
          <w:p w:rsidR="001C0D02" w:rsidRPr="00A23942" w:rsidRDefault="001C0D02" w:rsidP="00065FB5">
            <w:pPr>
              <w:tabs>
                <w:tab w:val="left" w:pos="510"/>
              </w:tabs>
              <w:jc w:val="both"/>
              <w:rPr>
                <w:b/>
                <w:lang w:val="lt-LT"/>
              </w:rPr>
            </w:pPr>
            <w:r>
              <w:rPr>
                <w:b/>
                <w:lang w:val="lt-LT"/>
              </w:rPr>
              <w:t>MAŽA</w:t>
            </w:r>
          </w:p>
        </w:tc>
        <w:tc>
          <w:tcPr>
            <w:tcW w:w="1139" w:type="dxa"/>
            <w:gridSpan w:val="10"/>
            <w:vMerge/>
            <w:tcBorders>
              <w:left w:val="single" w:sz="4" w:space="0" w:color="auto"/>
              <w:bottom w:val="single" w:sz="4" w:space="0" w:color="auto"/>
              <w:right w:val="single" w:sz="4" w:space="0" w:color="auto"/>
            </w:tcBorders>
            <w:shd w:val="clear" w:color="auto" w:fill="FFFFFF"/>
            <w:vAlign w:val="center"/>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vAlign w:val="center"/>
          </w:tcPr>
          <w:p w:rsidR="001C0D02" w:rsidRPr="004273CC" w:rsidRDefault="001C0D02" w:rsidP="00065FB5">
            <w:pPr>
              <w:tabs>
                <w:tab w:val="left" w:pos="510"/>
              </w:tabs>
              <w:jc w:val="both"/>
              <w:rPr>
                <w:lang w:val="lt-LT"/>
              </w:rPr>
            </w:pPr>
            <w:r>
              <w:rPr>
                <w:b/>
                <w:lang w:val="lt-LT"/>
              </w:rPr>
              <w:t>8</w:t>
            </w:r>
            <w:r w:rsidRPr="004273CC">
              <w:rPr>
                <w:b/>
                <w:lang w:val="lt-LT"/>
              </w:rPr>
              <w:t xml:space="preserve"> eil.</w:t>
            </w:r>
          </w:p>
        </w:tc>
        <w:tc>
          <w:tcPr>
            <w:tcW w:w="708" w:type="dxa"/>
            <w:gridSpan w:val="6"/>
            <w:tcBorders>
              <w:bottom w:val="single" w:sz="4" w:space="0" w:color="auto"/>
            </w:tcBorders>
            <w:shd w:val="clear" w:color="auto" w:fill="D9D9D9"/>
          </w:tcPr>
          <w:p w:rsidR="001C0D02" w:rsidRPr="00404FB8" w:rsidRDefault="001C0D02" w:rsidP="00065FB5">
            <w:pPr>
              <w:tabs>
                <w:tab w:val="left" w:pos="510"/>
              </w:tabs>
              <w:jc w:val="center"/>
              <w:rPr>
                <w:b/>
                <w:lang w:val="lt-LT"/>
              </w:rPr>
            </w:pPr>
          </w:p>
        </w:tc>
        <w:tc>
          <w:tcPr>
            <w:tcW w:w="2574" w:type="dxa"/>
            <w:gridSpan w:val="8"/>
            <w:vMerge/>
            <w:tcBorders>
              <w:bottom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Borders>
              <w:top w:val="single" w:sz="4" w:space="0" w:color="auto"/>
              <w:bottom w:val="single" w:sz="4" w:space="0" w:color="auto"/>
              <w:right w:val="nil"/>
            </w:tcBorders>
            <w:shd w:val="clear" w:color="auto" w:fill="F2F2F2" w:themeFill="background1" w:themeFillShade="F2"/>
          </w:tcPr>
          <w:p w:rsidR="001C0D02" w:rsidRDefault="001C0D02" w:rsidP="00065FB5">
            <w:pPr>
              <w:tabs>
                <w:tab w:val="left" w:pos="510"/>
              </w:tabs>
              <w:jc w:val="right"/>
              <w:rPr>
                <w:b/>
                <w:lang w:val="lt-LT"/>
              </w:rPr>
            </w:pPr>
          </w:p>
          <w:p w:rsidR="001C0D02" w:rsidRDefault="001C0D02" w:rsidP="00065FB5">
            <w:pPr>
              <w:tabs>
                <w:tab w:val="left" w:pos="510"/>
              </w:tabs>
              <w:jc w:val="right"/>
              <w:rPr>
                <w:b/>
                <w:lang w:val="lt-LT"/>
              </w:rPr>
            </w:pPr>
          </w:p>
        </w:tc>
        <w:tc>
          <w:tcPr>
            <w:tcW w:w="1132" w:type="dxa"/>
            <w:gridSpan w:val="7"/>
            <w:tcBorders>
              <w:top w:val="single" w:sz="4" w:space="0" w:color="auto"/>
              <w:left w:val="nil"/>
              <w:bottom w:val="single" w:sz="4" w:space="0" w:color="auto"/>
              <w:right w:val="nil"/>
            </w:tcBorders>
            <w:shd w:val="clear" w:color="auto" w:fill="F2F2F2" w:themeFill="background1" w:themeFillShade="F2"/>
            <w:vAlign w:val="center"/>
          </w:tcPr>
          <w:p w:rsidR="001C0D02" w:rsidRDefault="001C0D02" w:rsidP="00065FB5">
            <w:pPr>
              <w:tabs>
                <w:tab w:val="left" w:pos="510"/>
              </w:tabs>
              <w:jc w:val="both"/>
              <w:rPr>
                <w:b/>
                <w:lang w:val="lt-LT"/>
              </w:rPr>
            </w:pPr>
          </w:p>
        </w:tc>
        <w:tc>
          <w:tcPr>
            <w:tcW w:w="677" w:type="dxa"/>
            <w:gridSpan w:val="7"/>
            <w:tcBorders>
              <w:top w:val="single" w:sz="4" w:space="0" w:color="auto"/>
              <w:left w:val="nil"/>
              <w:bottom w:val="single" w:sz="4" w:space="0" w:color="auto"/>
              <w:right w:val="nil"/>
            </w:tcBorders>
            <w:shd w:val="clear" w:color="auto" w:fill="F2F2F2" w:themeFill="background1" w:themeFillShade="F2"/>
          </w:tcPr>
          <w:p w:rsidR="001C0D02" w:rsidRPr="00A23942" w:rsidRDefault="001C0D02" w:rsidP="00065FB5">
            <w:pPr>
              <w:tabs>
                <w:tab w:val="left" w:pos="510"/>
              </w:tabs>
              <w:jc w:val="center"/>
              <w:rPr>
                <w:b/>
                <w:lang w:val="lt-LT"/>
              </w:rPr>
            </w:pPr>
          </w:p>
        </w:tc>
        <w:tc>
          <w:tcPr>
            <w:tcW w:w="1180" w:type="dxa"/>
            <w:gridSpan w:val="8"/>
            <w:tcBorders>
              <w:top w:val="single" w:sz="4" w:space="0" w:color="auto"/>
              <w:left w:val="nil"/>
              <w:bottom w:val="single" w:sz="4" w:space="0" w:color="auto"/>
              <w:right w:val="nil"/>
            </w:tcBorders>
            <w:shd w:val="clear" w:color="auto" w:fill="F2F2F2" w:themeFill="background1" w:themeFillShade="F2"/>
          </w:tcPr>
          <w:p w:rsidR="001C0D02" w:rsidRDefault="001C0D02" w:rsidP="00065FB5">
            <w:pPr>
              <w:tabs>
                <w:tab w:val="left" w:pos="510"/>
              </w:tabs>
              <w:jc w:val="both"/>
              <w:rPr>
                <w:b/>
                <w:lang w:val="lt-LT"/>
              </w:rPr>
            </w:pPr>
          </w:p>
        </w:tc>
        <w:tc>
          <w:tcPr>
            <w:tcW w:w="1139" w:type="dxa"/>
            <w:gridSpan w:val="10"/>
            <w:tcBorders>
              <w:top w:val="single" w:sz="4" w:space="0" w:color="auto"/>
              <w:left w:val="nil"/>
              <w:bottom w:val="single" w:sz="4" w:space="0" w:color="auto"/>
              <w:right w:val="nil"/>
            </w:tcBorders>
            <w:shd w:val="clear" w:color="auto" w:fill="F2F2F2" w:themeFill="background1" w:themeFillShade="F2"/>
            <w:vAlign w:val="center"/>
          </w:tcPr>
          <w:p w:rsidR="001C0D02" w:rsidRPr="004273CC" w:rsidRDefault="001C0D02" w:rsidP="00065FB5">
            <w:pPr>
              <w:tabs>
                <w:tab w:val="left" w:pos="510"/>
              </w:tabs>
              <w:jc w:val="both"/>
              <w:rPr>
                <w:lang w:val="lt-LT"/>
              </w:rPr>
            </w:pPr>
          </w:p>
        </w:tc>
        <w:tc>
          <w:tcPr>
            <w:tcW w:w="1132" w:type="dxa"/>
            <w:gridSpan w:val="8"/>
            <w:tcBorders>
              <w:top w:val="single" w:sz="4" w:space="0" w:color="auto"/>
              <w:left w:val="nil"/>
              <w:bottom w:val="single" w:sz="4" w:space="0" w:color="auto"/>
              <w:right w:val="nil"/>
            </w:tcBorders>
            <w:shd w:val="clear" w:color="auto" w:fill="F2F2F2" w:themeFill="background1" w:themeFillShade="F2"/>
            <w:vAlign w:val="center"/>
          </w:tcPr>
          <w:p w:rsidR="001C0D02" w:rsidRDefault="001C0D02" w:rsidP="00065FB5">
            <w:pPr>
              <w:tabs>
                <w:tab w:val="left" w:pos="510"/>
              </w:tabs>
              <w:jc w:val="both"/>
              <w:rPr>
                <w:b/>
                <w:lang w:val="lt-LT"/>
              </w:rPr>
            </w:pPr>
          </w:p>
        </w:tc>
        <w:tc>
          <w:tcPr>
            <w:tcW w:w="708" w:type="dxa"/>
            <w:gridSpan w:val="6"/>
            <w:tcBorders>
              <w:top w:val="single" w:sz="4" w:space="0" w:color="auto"/>
              <w:left w:val="nil"/>
              <w:bottom w:val="single" w:sz="4" w:space="0" w:color="auto"/>
              <w:right w:val="nil"/>
            </w:tcBorders>
            <w:shd w:val="clear" w:color="auto" w:fill="F2F2F2" w:themeFill="background1" w:themeFillShade="F2"/>
          </w:tcPr>
          <w:p w:rsidR="001C0D02" w:rsidRPr="00404FB8" w:rsidRDefault="001C0D02" w:rsidP="00065FB5">
            <w:pPr>
              <w:tabs>
                <w:tab w:val="left" w:pos="510"/>
              </w:tabs>
              <w:jc w:val="center"/>
              <w:rPr>
                <w:b/>
                <w:lang w:val="lt-LT"/>
              </w:rPr>
            </w:pPr>
          </w:p>
        </w:tc>
        <w:tc>
          <w:tcPr>
            <w:tcW w:w="872" w:type="dxa"/>
            <w:gridSpan w:val="2"/>
            <w:tcBorders>
              <w:top w:val="single" w:sz="4" w:space="0" w:color="auto"/>
              <w:left w:val="nil"/>
              <w:bottom w:val="single" w:sz="4" w:space="0" w:color="auto"/>
              <w:right w:val="nil"/>
            </w:tcBorders>
            <w:shd w:val="clear" w:color="auto" w:fill="F2F2F2" w:themeFill="background1" w:themeFillShade="F2"/>
          </w:tcPr>
          <w:p w:rsidR="001C0D02" w:rsidRPr="00404FB8" w:rsidRDefault="001C0D02" w:rsidP="00065FB5">
            <w:pPr>
              <w:tabs>
                <w:tab w:val="left" w:pos="510"/>
              </w:tabs>
              <w:jc w:val="both"/>
              <w:rPr>
                <w:b/>
                <w:lang w:val="lt-LT"/>
              </w:rPr>
            </w:pPr>
          </w:p>
        </w:tc>
        <w:tc>
          <w:tcPr>
            <w:tcW w:w="1702" w:type="dxa"/>
            <w:gridSpan w:val="6"/>
            <w:tcBorders>
              <w:top w:val="single" w:sz="4" w:space="0" w:color="auto"/>
              <w:left w:val="nil"/>
              <w:bottom w:val="single" w:sz="4" w:space="0" w:color="auto"/>
              <w:right w:val="nil"/>
            </w:tcBorders>
            <w:shd w:val="clear" w:color="auto" w:fill="F2F2F2" w:themeFill="background1" w:themeFillShade="F2"/>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val="restart"/>
            <w:textDirection w:val="btLr"/>
          </w:tcPr>
          <w:p w:rsidR="001C0D02" w:rsidRPr="004273CC" w:rsidRDefault="001C0D02" w:rsidP="001C0D02">
            <w:pPr>
              <w:tabs>
                <w:tab w:val="left" w:pos="510"/>
              </w:tabs>
              <w:ind w:left="113" w:right="113"/>
              <w:jc w:val="center"/>
              <w:rPr>
                <w:lang w:val="lt-LT"/>
              </w:rPr>
            </w:pPr>
            <w:r w:rsidRPr="002E216D">
              <w:rPr>
                <w:b/>
                <w:lang w:val="lt-LT"/>
              </w:rPr>
              <w:lastRenderedPageBreak/>
              <w:t>Ilgalaikis turtas</w:t>
            </w:r>
          </w:p>
        </w:tc>
        <w:tc>
          <w:tcPr>
            <w:tcW w:w="4542" w:type="dxa"/>
            <w:gridSpan w:val="20"/>
            <w:tcBorders>
              <w:top w:val="single" w:sz="4" w:space="0" w:color="auto"/>
              <w:bottom w:val="single" w:sz="4" w:space="0" w:color="auto"/>
            </w:tcBorders>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7"/>
            <w:tcBorders>
              <w:top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1 eil.</w:t>
            </w:r>
          </w:p>
        </w:tc>
        <w:tc>
          <w:tcPr>
            <w:tcW w:w="677" w:type="dxa"/>
            <w:gridSpan w:val="7"/>
            <w:tcBorders>
              <w:top w:val="single" w:sz="4" w:space="0" w:color="auto"/>
              <w:bottom w:val="single" w:sz="4" w:space="0" w:color="auto"/>
              <w:right w:val="single" w:sz="4" w:space="0" w:color="auto"/>
            </w:tcBorders>
            <w:shd w:val="clear" w:color="auto" w:fill="FFFFFF" w:themeFill="background1"/>
          </w:tcPr>
          <w:p w:rsidR="001C0D02" w:rsidRPr="00A23942" w:rsidRDefault="001C0D02" w:rsidP="00065FB5">
            <w:pPr>
              <w:tabs>
                <w:tab w:val="left" w:pos="510"/>
              </w:tabs>
              <w:jc w:val="center"/>
              <w:rPr>
                <w:b/>
                <w:lang w:val="lt-LT"/>
              </w:rPr>
            </w:pPr>
            <w:r w:rsidRPr="00A23942">
              <w:rPr>
                <w:b/>
                <w:lang w:val="lt-LT"/>
              </w:rPr>
              <w:t>X</w:t>
            </w:r>
          </w:p>
        </w:tc>
        <w:tc>
          <w:tcPr>
            <w:tcW w:w="1180" w:type="dxa"/>
            <w:gridSpan w:val="8"/>
            <w:tcBorders>
              <w:top w:val="single" w:sz="4" w:space="0" w:color="auto"/>
              <w:left w:val="single" w:sz="4" w:space="0" w:color="auto"/>
              <w:bottom w:val="single" w:sz="4" w:space="0" w:color="auto"/>
              <w:right w:val="single" w:sz="4" w:space="0" w:color="auto"/>
            </w:tcBorders>
          </w:tcPr>
          <w:p w:rsidR="001C0D02" w:rsidRPr="00A23942" w:rsidRDefault="001C0D02" w:rsidP="00065FB5">
            <w:pPr>
              <w:tabs>
                <w:tab w:val="left" w:pos="510"/>
              </w:tabs>
              <w:jc w:val="center"/>
              <w:rPr>
                <w:b/>
                <w:lang w:val="lt-LT"/>
              </w:rPr>
            </w:pPr>
            <w:r>
              <w:rPr>
                <w:b/>
                <w:lang w:val="lt-LT"/>
              </w:rPr>
              <w:t>19</w:t>
            </w:r>
          </w:p>
        </w:tc>
        <w:tc>
          <w:tcPr>
            <w:tcW w:w="1139" w:type="dxa"/>
            <w:gridSpan w:val="10"/>
            <w:vMerge w:val="restart"/>
            <w:tcBorders>
              <w:top w:val="single" w:sz="4" w:space="0" w:color="auto"/>
              <w:left w:val="single" w:sz="4" w:space="0" w:color="auto"/>
              <w:right w:val="single" w:sz="4" w:space="0" w:color="auto"/>
            </w:tcBorders>
            <w:shd w:val="clear" w:color="auto" w:fill="FFFFFF"/>
            <w:textDirection w:val="btLr"/>
          </w:tcPr>
          <w:p w:rsidR="001C0D02" w:rsidRPr="00126E99" w:rsidRDefault="001C0D02" w:rsidP="00065FB5">
            <w:pPr>
              <w:tabs>
                <w:tab w:val="left" w:pos="510"/>
              </w:tabs>
              <w:ind w:left="113" w:right="113"/>
              <w:jc w:val="center"/>
              <w:rPr>
                <w:b/>
                <w:lang w:val="lt-LT"/>
              </w:rPr>
            </w:pPr>
            <w:r>
              <w:rPr>
                <w:b/>
                <w:lang w:val="lt-LT"/>
              </w:rPr>
              <w:t xml:space="preserve">IT – </w:t>
            </w:r>
            <w:r w:rsidRPr="00126E99">
              <w:rPr>
                <w:b/>
                <w:lang w:val="lt-LT"/>
              </w:rPr>
              <w:t>Vertinimas</w:t>
            </w:r>
          </w:p>
        </w:tc>
        <w:tc>
          <w:tcPr>
            <w:tcW w:w="1132" w:type="dxa"/>
            <w:gridSpan w:val="8"/>
            <w:tcBorders>
              <w:top w:val="single" w:sz="4" w:space="0" w:color="auto"/>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1 eil.</w:t>
            </w:r>
          </w:p>
        </w:tc>
        <w:tc>
          <w:tcPr>
            <w:tcW w:w="708" w:type="dxa"/>
            <w:gridSpan w:val="6"/>
            <w:tcBorders>
              <w:top w:val="single" w:sz="4" w:space="0" w:color="auto"/>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r w:rsidRPr="00404FB8">
              <w:rPr>
                <w:b/>
                <w:lang w:val="lt-LT"/>
              </w:rPr>
              <w:t>X</w:t>
            </w:r>
          </w:p>
        </w:tc>
        <w:tc>
          <w:tcPr>
            <w:tcW w:w="2574" w:type="dxa"/>
            <w:gridSpan w:val="8"/>
            <w:vMerge w:val="restart"/>
            <w:tcBorders>
              <w:top w:val="single" w:sz="4" w:space="0" w:color="auto"/>
              <w:left w:val="single" w:sz="4" w:space="0" w:color="auto"/>
              <w:right w:val="single" w:sz="4" w:space="0" w:color="auto"/>
            </w:tcBorders>
            <w:vAlign w:val="bottom"/>
          </w:tcPr>
          <w:p w:rsidR="001C0D02" w:rsidRPr="00404FB8" w:rsidRDefault="001C0D02" w:rsidP="00065FB5">
            <w:pPr>
              <w:tabs>
                <w:tab w:val="left" w:pos="510"/>
              </w:tabs>
              <w:rPr>
                <w:b/>
                <w:lang w:val="lt-LT"/>
              </w:rPr>
            </w:pPr>
            <w:r w:rsidRPr="00404FB8">
              <w:rPr>
                <w:b/>
                <w:lang w:val="lt-LT"/>
              </w:rPr>
              <w:t>NETAIKOMA</w:t>
            </w:r>
          </w:p>
        </w:tc>
      </w:tr>
      <w:tr w:rsidR="001C0D02" w:rsidRPr="004273CC" w:rsidTr="001C0D02">
        <w:trPr>
          <w:cantSplit/>
        </w:trPr>
        <w:tc>
          <w:tcPr>
            <w:tcW w:w="774" w:type="dxa"/>
            <w:vMerge/>
          </w:tcPr>
          <w:p w:rsidR="001C0D02" w:rsidRPr="004273CC" w:rsidRDefault="001C0D02" w:rsidP="00065FB5">
            <w:pPr>
              <w:tabs>
                <w:tab w:val="left" w:pos="510"/>
              </w:tabs>
              <w:ind w:left="113" w:right="113"/>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2 eil.</w:t>
            </w:r>
          </w:p>
        </w:tc>
        <w:tc>
          <w:tcPr>
            <w:tcW w:w="677" w:type="dxa"/>
            <w:gridSpan w:val="7"/>
            <w:tcBorders>
              <w:bottom w:val="single" w:sz="4" w:space="0" w:color="auto"/>
              <w:right w:val="single" w:sz="4" w:space="0" w:color="auto"/>
            </w:tcBorders>
            <w:shd w:val="clear" w:color="auto" w:fill="FFFFFF" w:themeFill="background1"/>
          </w:tcPr>
          <w:p w:rsidR="001C0D02" w:rsidRPr="00A23942" w:rsidRDefault="001C0D02" w:rsidP="00065FB5">
            <w:pPr>
              <w:tabs>
                <w:tab w:val="left" w:pos="510"/>
              </w:tabs>
              <w:jc w:val="center"/>
              <w:rPr>
                <w:b/>
                <w:lang w:val="lt-LT"/>
              </w:rPr>
            </w:pPr>
            <w:r>
              <w:rPr>
                <w:b/>
                <w:lang w:val="lt-LT"/>
              </w:rPr>
              <w:t>9</w:t>
            </w:r>
          </w:p>
        </w:tc>
        <w:tc>
          <w:tcPr>
            <w:tcW w:w="1180" w:type="dxa"/>
            <w:gridSpan w:val="8"/>
            <w:tcBorders>
              <w:top w:val="single" w:sz="4" w:space="0" w:color="auto"/>
              <w:left w:val="single" w:sz="4" w:space="0" w:color="auto"/>
              <w:bottom w:val="nil"/>
              <w:right w:val="single" w:sz="4" w:space="0" w:color="auto"/>
            </w:tcBorders>
          </w:tcPr>
          <w:p w:rsidR="001C0D02" w:rsidRPr="00A23942" w:rsidRDefault="001C0D02" w:rsidP="00065FB5">
            <w:pPr>
              <w:tabs>
                <w:tab w:val="left" w:pos="510"/>
              </w:tabs>
              <w:jc w:val="center"/>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2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ind w:left="113" w:right="113"/>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3 eil.</w:t>
            </w:r>
          </w:p>
        </w:tc>
        <w:tc>
          <w:tcPr>
            <w:tcW w:w="677" w:type="dxa"/>
            <w:gridSpan w:val="7"/>
            <w:tcBorders>
              <w:bottom w:val="single" w:sz="4" w:space="0" w:color="auto"/>
              <w:right w:val="single" w:sz="4" w:space="0" w:color="auto"/>
            </w:tcBorders>
            <w:shd w:val="clear" w:color="auto" w:fill="FFFFFF" w:themeFill="background1"/>
          </w:tcPr>
          <w:p w:rsidR="001C0D02" w:rsidRPr="00A23942" w:rsidRDefault="001C0D02" w:rsidP="00065FB5">
            <w:pPr>
              <w:tabs>
                <w:tab w:val="left" w:pos="510"/>
              </w:tabs>
              <w:jc w:val="center"/>
              <w:rPr>
                <w:b/>
                <w:lang w:val="lt-LT"/>
              </w:rPr>
            </w:pPr>
            <w:r>
              <w:rPr>
                <w:b/>
                <w:lang w:val="lt-LT"/>
              </w:rPr>
              <w:t>45</w:t>
            </w:r>
          </w:p>
        </w:tc>
        <w:tc>
          <w:tcPr>
            <w:tcW w:w="1180" w:type="dxa"/>
            <w:gridSpan w:val="8"/>
            <w:tcBorders>
              <w:top w:val="nil"/>
              <w:left w:val="single" w:sz="4" w:space="0" w:color="auto"/>
              <w:bottom w:val="nil"/>
              <w:right w:val="single" w:sz="4" w:space="0" w:color="auto"/>
            </w:tcBorders>
          </w:tcPr>
          <w:p w:rsidR="001C0D02" w:rsidRPr="00A23942" w:rsidRDefault="001C0D02" w:rsidP="00065FB5">
            <w:pPr>
              <w:tabs>
                <w:tab w:val="left" w:pos="510"/>
              </w:tabs>
              <w:jc w:val="center"/>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3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ind w:left="113" w:right="113"/>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7"/>
            <w:tcBorders>
              <w:bottom w:val="single" w:sz="4" w:space="0" w:color="auto"/>
            </w:tcBorders>
            <w:shd w:val="clear" w:color="auto" w:fill="D9D9D9"/>
            <w:vAlign w:val="center"/>
          </w:tcPr>
          <w:p w:rsidR="001C0D02" w:rsidRPr="004273CC" w:rsidRDefault="001C0D02" w:rsidP="00065FB5">
            <w:pPr>
              <w:tabs>
                <w:tab w:val="left" w:pos="510"/>
              </w:tabs>
              <w:jc w:val="both"/>
              <w:rPr>
                <w:lang w:val="lt-LT"/>
              </w:rPr>
            </w:pPr>
            <w:r w:rsidRPr="004273CC">
              <w:rPr>
                <w:b/>
                <w:lang w:val="lt-LT"/>
              </w:rPr>
              <w:t>4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Pr>
                <w:b/>
                <w:lang w:val="lt-LT"/>
              </w:rPr>
              <w:t>42</w:t>
            </w:r>
          </w:p>
        </w:tc>
        <w:tc>
          <w:tcPr>
            <w:tcW w:w="1180" w:type="dxa"/>
            <w:gridSpan w:val="8"/>
            <w:tcBorders>
              <w:top w:val="nil"/>
              <w:left w:val="single" w:sz="4" w:space="0" w:color="auto"/>
              <w:bottom w:val="single" w:sz="4" w:space="0" w:color="auto"/>
              <w:right w:val="single" w:sz="4" w:space="0" w:color="auto"/>
            </w:tcBorders>
          </w:tcPr>
          <w:p w:rsidR="001C0D02" w:rsidRPr="00877DC5" w:rsidRDefault="001C0D02" w:rsidP="00065FB5">
            <w:pPr>
              <w:tabs>
                <w:tab w:val="left" w:pos="510"/>
              </w:tabs>
              <w:rPr>
                <w:b/>
                <w:sz w:val="18"/>
                <w:szCs w:val="18"/>
                <w:lang w:val="lt-LT"/>
              </w:rPr>
            </w:pPr>
            <w:r w:rsidRPr="00877DC5">
              <w:rPr>
                <w:b/>
                <w:sz w:val="18"/>
                <w:szCs w:val="18"/>
                <w:lang w:val="lt-LT"/>
              </w:rPr>
              <w:t>VIDUTINĖ</w:t>
            </w:r>
          </w:p>
        </w:tc>
        <w:tc>
          <w:tcPr>
            <w:tcW w:w="1139" w:type="dxa"/>
            <w:gridSpan w:val="10"/>
            <w:vMerge/>
            <w:tcBorders>
              <w:left w:val="single" w:sz="4" w:space="0" w:color="auto"/>
              <w:right w:val="single" w:sz="4" w:space="0" w:color="auto"/>
            </w:tcBorders>
            <w:shd w:val="clear" w:color="auto" w:fill="FFFFFF"/>
            <w:vAlign w:val="center"/>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vAlign w:val="center"/>
          </w:tcPr>
          <w:p w:rsidR="001C0D02" w:rsidRPr="004273CC" w:rsidRDefault="001C0D02" w:rsidP="00065FB5">
            <w:pPr>
              <w:tabs>
                <w:tab w:val="left" w:pos="510"/>
              </w:tabs>
              <w:jc w:val="both"/>
              <w:rPr>
                <w:lang w:val="lt-LT"/>
              </w:rPr>
            </w:pPr>
            <w:r w:rsidRPr="004273CC">
              <w:rPr>
                <w:b/>
                <w:lang w:val="lt-LT"/>
              </w:rPr>
              <w:t>4 eil.</w:t>
            </w:r>
          </w:p>
        </w:tc>
        <w:tc>
          <w:tcPr>
            <w:tcW w:w="708" w:type="dxa"/>
            <w:gridSpan w:val="6"/>
            <w:tcBorders>
              <w:bottom w:val="single" w:sz="4" w:space="0" w:color="auto"/>
              <w:right w:val="single" w:sz="4" w:space="0" w:color="auto"/>
            </w:tcBorders>
            <w:shd w:val="clear" w:color="auto" w:fill="D9D9D9"/>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ind w:left="113" w:right="113"/>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5</w:t>
            </w:r>
            <w:r w:rsidRPr="004273CC">
              <w:rPr>
                <w:b/>
                <w:lang w:val="lt-LT"/>
              </w:rPr>
              <w:t xml:space="preserve"> eil.</w:t>
            </w:r>
          </w:p>
        </w:tc>
        <w:tc>
          <w:tcPr>
            <w:tcW w:w="677" w:type="dxa"/>
            <w:gridSpan w:val="7"/>
            <w:tcBorders>
              <w:bottom w:val="single" w:sz="4" w:space="0" w:color="auto"/>
              <w:right w:val="single" w:sz="4" w:space="0" w:color="auto"/>
            </w:tcBorders>
            <w:shd w:val="clear" w:color="auto" w:fill="FFFFFF" w:themeFill="background1"/>
          </w:tcPr>
          <w:p w:rsidR="001C0D02" w:rsidRPr="00A23942" w:rsidRDefault="001C0D02" w:rsidP="00065FB5">
            <w:pPr>
              <w:tabs>
                <w:tab w:val="left" w:pos="510"/>
              </w:tabs>
              <w:jc w:val="center"/>
              <w:rPr>
                <w:b/>
                <w:lang w:val="lt-LT"/>
              </w:rPr>
            </w:pPr>
            <w:r w:rsidRPr="00A23942">
              <w:rPr>
                <w:b/>
                <w:lang w:val="lt-LT"/>
              </w:rPr>
              <w:t>X</w:t>
            </w:r>
          </w:p>
        </w:tc>
        <w:tc>
          <w:tcPr>
            <w:tcW w:w="1180" w:type="dxa"/>
            <w:gridSpan w:val="8"/>
            <w:tcBorders>
              <w:top w:val="single" w:sz="4" w:space="0" w:color="auto"/>
              <w:left w:val="single" w:sz="4" w:space="0" w:color="auto"/>
              <w:bottom w:val="single" w:sz="4" w:space="0" w:color="auto"/>
              <w:right w:val="single" w:sz="4" w:space="0" w:color="auto"/>
            </w:tcBorders>
          </w:tcPr>
          <w:p w:rsidR="001C0D02" w:rsidRPr="00A23942" w:rsidRDefault="001C0D02" w:rsidP="00065FB5">
            <w:pPr>
              <w:tabs>
                <w:tab w:val="left" w:pos="510"/>
              </w:tabs>
              <w:jc w:val="center"/>
              <w:rPr>
                <w:b/>
                <w:lang w:val="lt-LT"/>
              </w:rPr>
            </w:pPr>
            <w:r>
              <w:rPr>
                <w:b/>
                <w:lang w:val="lt-LT"/>
              </w:rPr>
              <w:t>12</w:t>
            </w: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5</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r w:rsidRPr="00404FB8">
              <w:rPr>
                <w:b/>
                <w:lang w:val="lt-LT"/>
              </w:rPr>
              <w:t>X</w:t>
            </w: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ind w:left="113" w:right="113"/>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6</w:t>
            </w:r>
            <w:r w:rsidRPr="004273CC">
              <w:rPr>
                <w:b/>
                <w:lang w:val="lt-LT"/>
              </w:rPr>
              <w:t xml:space="preserve"> eil.</w:t>
            </w:r>
          </w:p>
        </w:tc>
        <w:tc>
          <w:tcPr>
            <w:tcW w:w="677" w:type="dxa"/>
            <w:gridSpan w:val="7"/>
            <w:tcBorders>
              <w:bottom w:val="single" w:sz="4" w:space="0" w:color="auto"/>
              <w:right w:val="single" w:sz="4" w:space="0" w:color="auto"/>
            </w:tcBorders>
            <w:shd w:val="clear" w:color="auto" w:fill="FFFFFF" w:themeFill="background1"/>
          </w:tcPr>
          <w:p w:rsidR="001C0D02" w:rsidRPr="00A23942" w:rsidRDefault="001C0D02" w:rsidP="00065FB5">
            <w:pPr>
              <w:tabs>
                <w:tab w:val="left" w:pos="510"/>
              </w:tabs>
              <w:jc w:val="center"/>
              <w:rPr>
                <w:b/>
                <w:lang w:val="lt-LT"/>
              </w:rPr>
            </w:pPr>
            <w:r>
              <w:rPr>
                <w:b/>
                <w:lang w:val="lt-LT"/>
              </w:rPr>
              <w:t>4</w:t>
            </w:r>
          </w:p>
        </w:tc>
        <w:tc>
          <w:tcPr>
            <w:tcW w:w="1180" w:type="dxa"/>
            <w:gridSpan w:val="8"/>
            <w:tcBorders>
              <w:top w:val="single" w:sz="4" w:space="0" w:color="auto"/>
              <w:left w:val="single" w:sz="4" w:space="0" w:color="auto"/>
              <w:bottom w:val="nil"/>
              <w:right w:val="single" w:sz="4" w:space="0" w:color="auto"/>
            </w:tcBorders>
          </w:tcPr>
          <w:p w:rsidR="001C0D02" w:rsidRPr="00A23942" w:rsidRDefault="001C0D02" w:rsidP="00065FB5">
            <w:pPr>
              <w:tabs>
                <w:tab w:val="left" w:pos="510"/>
              </w:tabs>
              <w:jc w:val="both"/>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6</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ind w:left="113" w:right="113"/>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7</w:t>
            </w:r>
            <w:r w:rsidRPr="004273CC">
              <w:rPr>
                <w:b/>
                <w:lang w:val="lt-LT"/>
              </w:rPr>
              <w:t xml:space="preserve"> eil.</w:t>
            </w:r>
          </w:p>
        </w:tc>
        <w:tc>
          <w:tcPr>
            <w:tcW w:w="677" w:type="dxa"/>
            <w:gridSpan w:val="7"/>
            <w:tcBorders>
              <w:bottom w:val="single" w:sz="4" w:space="0" w:color="auto"/>
              <w:right w:val="single" w:sz="4" w:space="0" w:color="auto"/>
            </w:tcBorders>
            <w:shd w:val="clear" w:color="auto" w:fill="FFFFFF" w:themeFill="background1"/>
          </w:tcPr>
          <w:p w:rsidR="001C0D02" w:rsidRPr="00A23942" w:rsidRDefault="001C0D02" w:rsidP="00065FB5">
            <w:pPr>
              <w:tabs>
                <w:tab w:val="left" w:pos="510"/>
              </w:tabs>
              <w:jc w:val="center"/>
              <w:rPr>
                <w:b/>
                <w:lang w:val="lt-LT"/>
              </w:rPr>
            </w:pPr>
            <w:r>
              <w:rPr>
                <w:b/>
                <w:lang w:val="lt-LT"/>
              </w:rPr>
              <w:t>20</w:t>
            </w:r>
          </w:p>
        </w:tc>
        <w:tc>
          <w:tcPr>
            <w:tcW w:w="1180" w:type="dxa"/>
            <w:gridSpan w:val="8"/>
            <w:tcBorders>
              <w:top w:val="nil"/>
              <w:left w:val="single" w:sz="4" w:space="0" w:color="auto"/>
              <w:bottom w:val="nil"/>
              <w:right w:val="single" w:sz="4" w:space="0" w:color="auto"/>
            </w:tcBorders>
          </w:tcPr>
          <w:p w:rsidR="001C0D02" w:rsidRPr="00A23942" w:rsidRDefault="001C0D02" w:rsidP="00065FB5">
            <w:pPr>
              <w:tabs>
                <w:tab w:val="left" w:pos="510"/>
              </w:tabs>
              <w:jc w:val="both"/>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7</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ind w:left="113" w:right="113"/>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7"/>
            <w:tcBorders>
              <w:bottom w:val="single" w:sz="4" w:space="0" w:color="auto"/>
            </w:tcBorders>
            <w:shd w:val="clear" w:color="auto" w:fill="D9D9D9"/>
            <w:vAlign w:val="center"/>
          </w:tcPr>
          <w:p w:rsidR="001C0D02" w:rsidRPr="004273CC" w:rsidRDefault="001C0D02" w:rsidP="00065FB5">
            <w:pPr>
              <w:tabs>
                <w:tab w:val="left" w:pos="510"/>
              </w:tabs>
              <w:jc w:val="both"/>
              <w:rPr>
                <w:lang w:val="lt-LT"/>
              </w:rPr>
            </w:pPr>
            <w:r>
              <w:rPr>
                <w:b/>
                <w:lang w:val="lt-LT"/>
              </w:rPr>
              <w:t>8</w:t>
            </w:r>
            <w:r w:rsidRPr="004273CC">
              <w:rPr>
                <w:b/>
                <w:lang w:val="lt-LT"/>
              </w:rPr>
              <w:t xml:space="preserve">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Pr>
                <w:b/>
                <w:lang w:val="lt-LT"/>
              </w:rPr>
              <w:t>60</w:t>
            </w:r>
          </w:p>
        </w:tc>
        <w:tc>
          <w:tcPr>
            <w:tcW w:w="1180" w:type="dxa"/>
            <w:gridSpan w:val="8"/>
            <w:tcBorders>
              <w:top w:val="nil"/>
              <w:left w:val="single" w:sz="4" w:space="0" w:color="auto"/>
              <w:bottom w:val="single" w:sz="4" w:space="0" w:color="auto"/>
              <w:right w:val="single" w:sz="4" w:space="0" w:color="auto"/>
            </w:tcBorders>
          </w:tcPr>
          <w:p w:rsidR="001C0D02" w:rsidRPr="00A23942" w:rsidRDefault="001C0D02" w:rsidP="00065FB5">
            <w:pPr>
              <w:tabs>
                <w:tab w:val="left" w:pos="510"/>
              </w:tabs>
              <w:jc w:val="both"/>
              <w:rPr>
                <w:b/>
                <w:lang w:val="lt-LT"/>
              </w:rPr>
            </w:pPr>
            <w:r w:rsidRPr="00877DC5">
              <w:rPr>
                <w:b/>
                <w:sz w:val="18"/>
                <w:szCs w:val="18"/>
                <w:lang w:val="lt-LT"/>
              </w:rPr>
              <w:t>VIDUTINĖ</w:t>
            </w:r>
          </w:p>
        </w:tc>
        <w:tc>
          <w:tcPr>
            <w:tcW w:w="1139" w:type="dxa"/>
            <w:gridSpan w:val="10"/>
            <w:vMerge/>
            <w:tcBorders>
              <w:left w:val="single" w:sz="4" w:space="0" w:color="auto"/>
              <w:bottom w:val="single" w:sz="4" w:space="0" w:color="auto"/>
              <w:right w:val="single" w:sz="4" w:space="0" w:color="auto"/>
            </w:tcBorders>
            <w:shd w:val="clear" w:color="auto" w:fill="FFFFFF"/>
            <w:vAlign w:val="center"/>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vAlign w:val="center"/>
          </w:tcPr>
          <w:p w:rsidR="001C0D02" w:rsidRPr="004273CC" w:rsidRDefault="001C0D02" w:rsidP="00065FB5">
            <w:pPr>
              <w:tabs>
                <w:tab w:val="left" w:pos="510"/>
              </w:tabs>
              <w:jc w:val="both"/>
              <w:rPr>
                <w:lang w:val="lt-LT"/>
              </w:rPr>
            </w:pPr>
            <w:r>
              <w:rPr>
                <w:b/>
                <w:lang w:val="lt-LT"/>
              </w:rPr>
              <w:t>8</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bottom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ind w:left="113" w:right="113"/>
              <w:jc w:val="right"/>
              <w:rPr>
                <w:lang w:val="lt-LT"/>
              </w:rPr>
            </w:pPr>
          </w:p>
        </w:tc>
        <w:tc>
          <w:tcPr>
            <w:tcW w:w="4542" w:type="dxa"/>
            <w:gridSpan w:val="20"/>
            <w:tcBorders>
              <w:top w:val="single" w:sz="4" w:space="0" w:color="auto"/>
              <w:bottom w:val="single" w:sz="4" w:space="0" w:color="auto"/>
              <w:right w:val="nil"/>
            </w:tcBorders>
            <w:shd w:val="clear" w:color="auto" w:fill="F2F2F2" w:themeFill="background1" w:themeFillShade="F2"/>
          </w:tcPr>
          <w:p w:rsidR="001C0D02" w:rsidRDefault="001C0D02" w:rsidP="00065FB5">
            <w:pPr>
              <w:tabs>
                <w:tab w:val="left" w:pos="510"/>
              </w:tabs>
              <w:jc w:val="right"/>
              <w:rPr>
                <w:b/>
                <w:lang w:val="lt-LT"/>
              </w:rPr>
            </w:pPr>
          </w:p>
        </w:tc>
        <w:tc>
          <w:tcPr>
            <w:tcW w:w="1132" w:type="dxa"/>
            <w:gridSpan w:val="7"/>
            <w:tcBorders>
              <w:top w:val="single" w:sz="4" w:space="0" w:color="auto"/>
              <w:left w:val="nil"/>
              <w:bottom w:val="single" w:sz="4" w:space="0" w:color="auto"/>
              <w:right w:val="nil"/>
            </w:tcBorders>
            <w:shd w:val="clear" w:color="auto" w:fill="F2F2F2" w:themeFill="background1" w:themeFillShade="F2"/>
            <w:vAlign w:val="center"/>
          </w:tcPr>
          <w:p w:rsidR="001C0D02" w:rsidRDefault="001C0D02" w:rsidP="00065FB5">
            <w:pPr>
              <w:tabs>
                <w:tab w:val="left" w:pos="510"/>
              </w:tabs>
              <w:jc w:val="both"/>
              <w:rPr>
                <w:b/>
                <w:lang w:val="lt-LT"/>
              </w:rPr>
            </w:pPr>
          </w:p>
        </w:tc>
        <w:tc>
          <w:tcPr>
            <w:tcW w:w="677" w:type="dxa"/>
            <w:gridSpan w:val="7"/>
            <w:tcBorders>
              <w:top w:val="single" w:sz="4" w:space="0" w:color="auto"/>
              <w:left w:val="nil"/>
              <w:bottom w:val="single" w:sz="4" w:space="0" w:color="auto"/>
              <w:right w:val="nil"/>
            </w:tcBorders>
            <w:shd w:val="clear" w:color="auto" w:fill="F2F2F2" w:themeFill="background1" w:themeFillShade="F2"/>
          </w:tcPr>
          <w:p w:rsidR="001C0D02" w:rsidRDefault="001C0D02" w:rsidP="00065FB5">
            <w:pPr>
              <w:tabs>
                <w:tab w:val="left" w:pos="510"/>
              </w:tabs>
              <w:jc w:val="center"/>
              <w:rPr>
                <w:b/>
                <w:lang w:val="lt-LT"/>
              </w:rPr>
            </w:pPr>
          </w:p>
        </w:tc>
        <w:tc>
          <w:tcPr>
            <w:tcW w:w="1180" w:type="dxa"/>
            <w:gridSpan w:val="8"/>
            <w:tcBorders>
              <w:top w:val="single" w:sz="4" w:space="0" w:color="auto"/>
              <w:left w:val="nil"/>
              <w:bottom w:val="single" w:sz="4" w:space="0" w:color="auto"/>
              <w:right w:val="nil"/>
            </w:tcBorders>
            <w:shd w:val="clear" w:color="auto" w:fill="F2F2F2" w:themeFill="background1" w:themeFillShade="F2"/>
          </w:tcPr>
          <w:p w:rsidR="001C0D02" w:rsidRPr="00877DC5" w:rsidRDefault="001C0D02" w:rsidP="00065FB5">
            <w:pPr>
              <w:tabs>
                <w:tab w:val="left" w:pos="510"/>
              </w:tabs>
              <w:jc w:val="both"/>
              <w:rPr>
                <w:b/>
                <w:sz w:val="18"/>
                <w:szCs w:val="18"/>
                <w:lang w:val="lt-LT"/>
              </w:rPr>
            </w:pPr>
          </w:p>
        </w:tc>
        <w:tc>
          <w:tcPr>
            <w:tcW w:w="1139" w:type="dxa"/>
            <w:gridSpan w:val="10"/>
            <w:tcBorders>
              <w:top w:val="single" w:sz="4" w:space="0" w:color="auto"/>
              <w:left w:val="nil"/>
              <w:bottom w:val="single" w:sz="4" w:space="0" w:color="auto"/>
              <w:right w:val="nil"/>
            </w:tcBorders>
            <w:shd w:val="clear" w:color="auto" w:fill="F2F2F2" w:themeFill="background1" w:themeFillShade="F2"/>
            <w:vAlign w:val="center"/>
          </w:tcPr>
          <w:p w:rsidR="001C0D02" w:rsidRPr="004273CC" w:rsidRDefault="001C0D02" w:rsidP="00065FB5">
            <w:pPr>
              <w:tabs>
                <w:tab w:val="left" w:pos="510"/>
              </w:tabs>
              <w:jc w:val="both"/>
              <w:rPr>
                <w:lang w:val="lt-LT"/>
              </w:rPr>
            </w:pPr>
          </w:p>
        </w:tc>
        <w:tc>
          <w:tcPr>
            <w:tcW w:w="1132" w:type="dxa"/>
            <w:gridSpan w:val="8"/>
            <w:tcBorders>
              <w:top w:val="single" w:sz="4" w:space="0" w:color="auto"/>
              <w:left w:val="nil"/>
              <w:bottom w:val="single" w:sz="4" w:space="0" w:color="auto"/>
              <w:right w:val="nil"/>
            </w:tcBorders>
            <w:shd w:val="clear" w:color="auto" w:fill="F2F2F2" w:themeFill="background1" w:themeFillShade="F2"/>
            <w:vAlign w:val="center"/>
          </w:tcPr>
          <w:p w:rsidR="001C0D02" w:rsidRDefault="001C0D02" w:rsidP="00065FB5">
            <w:pPr>
              <w:tabs>
                <w:tab w:val="left" w:pos="510"/>
              </w:tabs>
              <w:jc w:val="both"/>
              <w:rPr>
                <w:b/>
                <w:lang w:val="lt-LT"/>
              </w:rPr>
            </w:pPr>
          </w:p>
        </w:tc>
        <w:tc>
          <w:tcPr>
            <w:tcW w:w="708" w:type="dxa"/>
            <w:gridSpan w:val="6"/>
            <w:tcBorders>
              <w:top w:val="single" w:sz="4" w:space="0" w:color="auto"/>
              <w:left w:val="nil"/>
              <w:bottom w:val="single" w:sz="4" w:space="0" w:color="auto"/>
              <w:right w:val="nil"/>
            </w:tcBorders>
            <w:shd w:val="clear" w:color="auto" w:fill="F2F2F2" w:themeFill="background1" w:themeFillShade="F2"/>
          </w:tcPr>
          <w:p w:rsidR="001C0D02" w:rsidRPr="004273CC" w:rsidRDefault="001C0D02" w:rsidP="00065FB5">
            <w:pPr>
              <w:tabs>
                <w:tab w:val="left" w:pos="510"/>
              </w:tabs>
              <w:jc w:val="center"/>
              <w:rPr>
                <w:lang w:val="lt-LT"/>
              </w:rPr>
            </w:pPr>
          </w:p>
        </w:tc>
        <w:tc>
          <w:tcPr>
            <w:tcW w:w="872" w:type="dxa"/>
            <w:gridSpan w:val="2"/>
            <w:tcBorders>
              <w:top w:val="single" w:sz="4" w:space="0" w:color="auto"/>
              <w:left w:val="nil"/>
              <w:bottom w:val="single" w:sz="4" w:space="0" w:color="auto"/>
              <w:right w:val="nil"/>
            </w:tcBorders>
            <w:shd w:val="clear" w:color="auto" w:fill="F2F2F2" w:themeFill="background1" w:themeFillShade="F2"/>
          </w:tcPr>
          <w:p w:rsidR="001C0D02" w:rsidRPr="004273CC" w:rsidRDefault="001C0D02" w:rsidP="00065FB5">
            <w:pPr>
              <w:tabs>
                <w:tab w:val="left" w:pos="510"/>
              </w:tabs>
              <w:jc w:val="both"/>
              <w:rPr>
                <w:lang w:val="lt-LT"/>
              </w:rPr>
            </w:pPr>
          </w:p>
        </w:tc>
        <w:tc>
          <w:tcPr>
            <w:tcW w:w="1702" w:type="dxa"/>
            <w:gridSpan w:val="6"/>
            <w:tcBorders>
              <w:top w:val="single" w:sz="4" w:space="0" w:color="auto"/>
              <w:left w:val="nil"/>
              <w:bottom w:val="single" w:sz="4" w:space="0" w:color="auto"/>
              <w:right w:val="nil"/>
            </w:tcBorders>
            <w:shd w:val="clear" w:color="auto" w:fill="F2F2F2" w:themeFill="background1" w:themeFillShade="F2"/>
          </w:tcPr>
          <w:p w:rsidR="001C0D02" w:rsidRPr="004273CC" w:rsidRDefault="001C0D02" w:rsidP="00065FB5">
            <w:pPr>
              <w:tabs>
                <w:tab w:val="left" w:pos="510"/>
              </w:tabs>
              <w:jc w:val="both"/>
              <w:rPr>
                <w:lang w:val="lt-LT"/>
              </w:rPr>
            </w:pPr>
          </w:p>
        </w:tc>
      </w:tr>
      <w:tr w:rsidR="001C0D02" w:rsidRPr="004273CC" w:rsidTr="001C0D02">
        <w:trPr>
          <w:cantSplit/>
        </w:trPr>
        <w:tc>
          <w:tcPr>
            <w:tcW w:w="774" w:type="dxa"/>
            <w:vMerge/>
            <w:textDirection w:val="btLr"/>
          </w:tcPr>
          <w:p w:rsidR="001C0D02" w:rsidRPr="004273CC" w:rsidRDefault="001C0D02" w:rsidP="00065FB5">
            <w:pPr>
              <w:tabs>
                <w:tab w:val="left" w:pos="510"/>
              </w:tabs>
              <w:ind w:left="113" w:right="113"/>
              <w:jc w:val="right"/>
              <w:rPr>
                <w:lang w:val="lt-LT"/>
              </w:rPr>
            </w:pPr>
          </w:p>
        </w:tc>
        <w:tc>
          <w:tcPr>
            <w:tcW w:w="4542" w:type="dxa"/>
            <w:gridSpan w:val="20"/>
            <w:tcBorders>
              <w:top w:val="single" w:sz="4" w:space="0" w:color="auto"/>
              <w:bottom w:val="single" w:sz="4" w:space="0" w:color="auto"/>
            </w:tcBorders>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7"/>
            <w:tcBorders>
              <w:top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1 eil.</w:t>
            </w:r>
          </w:p>
        </w:tc>
        <w:tc>
          <w:tcPr>
            <w:tcW w:w="677" w:type="dxa"/>
            <w:gridSpan w:val="7"/>
            <w:tcBorders>
              <w:top w:val="single" w:sz="4" w:space="0" w:color="auto"/>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sidRPr="00A23942">
              <w:rPr>
                <w:b/>
                <w:lang w:val="lt-LT"/>
              </w:rPr>
              <w:t>X</w:t>
            </w:r>
          </w:p>
        </w:tc>
        <w:tc>
          <w:tcPr>
            <w:tcW w:w="1180" w:type="dxa"/>
            <w:gridSpan w:val="8"/>
            <w:tcBorders>
              <w:top w:val="single" w:sz="4" w:space="0" w:color="auto"/>
              <w:left w:val="single" w:sz="4" w:space="0" w:color="auto"/>
              <w:bottom w:val="single" w:sz="4" w:space="0" w:color="auto"/>
              <w:right w:val="single" w:sz="4" w:space="0" w:color="auto"/>
            </w:tcBorders>
          </w:tcPr>
          <w:p w:rsidR="001C0D02" w:rsidRPr="00A23942" w:rsidRDefault="001C0D02" w:rsidP="00065FB5">
            <w:pPr>
              <w:tabs>
                <w:tab w:val="left" w:pos="510"/>
              </w:tabs>
              <w:jc w:val="center"/>
              <w:rPr>
                <w:b/>
                <w:lang w:val="lt-LT"/>
              </w:rPr>
            </w:pPr>
            <w:r>
              <w:rPr>
                <w:b/>
                <w:lang w:val="lt-LT"/>
              </w:rPr>
              <w:t>16</w:t>
            </w:r>
          </w:p>
        </w:tc>
        <w:tc>
          <w:tcPr>
            <w:tcW w:w="1139" w:type="dxa"/>
            <w:gridSpan w:val="10"/>
            <w:vMerge w:val="restart"/>
            <w:tcBorders>
              <w:top w:val="single" w:sz="4" w:space="0" w:color="auto"/>
              <w:left w:val="single" w:sz="4" w:space="0" w:color="auto"/>
              <w:right w:val="single" w:sz="4" w:space="0" w:color="auto"/>
            </w:tcBorders>
            <w:shd w:val="clear" w:color="auto" w:fill="FFFFFF"/>
            <w:textDirection w:val="btLr"/>
          </w:tcPr>
          <w:p w:rsidR="001C0D02" w:rsidRPr="00126E99" w:rsidRDefault="001C0D02" w:rsidP="00065FB5">
            <w:pPr>
              <w:tabs>
                <w:tab w:val="left" w:pos="510"/>
              </w:tabs>
              <w:ind w:left="113" w:right="113"/>
              <w:jc w:val="center"/>
              <w:rPr>
                <w:b/>
                <w:lang w:val="lt-LT"/>
              </w:rPr>
            </w:pPr>
            <w:r>
              <w:rPr>
                <w:b/>
                <w:lang w:val="lt-LT"/>
              </w:rPr>
              <w:t>AMT – Įv</w:t>
            </w:r>
            <w:r w:rsidRPr="00126E99">
              <w:rPr>
                <w:b/>
                <w:lang w:val="lt-LT"/>
              </w:rPr>
              <w:t>ertinimas</w:t>
            </w:r>
          </w:p>
        </w:tc>
        <w:tc>
          <w:tcPr>
            <w:tcW w:w="1132" w:type="dxa"/>
            <w:gridSpan w:val="8"/>
            <w:tcBorders>
              <w:top w:val="single" w:sz="4" w:space="0" w:color="auto"/>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1 eil.</w:t>
            </w:r>
          </w:p>
        </w:tc>
        <w:tc>
          <w:tcPr>
            <w:tcW w:w="708" w:type="dxa"/>
            <w:gridSpan w:val="6"/>
            <w:tcBorders>
              <w:top w:val="single" w:sz="4" w:space="0" w:color="auto"/>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r w:rsidRPr="00404FB8">
              <w:rPr>
                <w:b/>
                <w:lang w:val="lt-LT"/>
              </w:rPr>
              <w:t>X</w:t>
            </w:r>
          </w:p>
        </w:tc>
        <w:tc>
          <w:tcPr>
            <w:tcW w:w="2574" w:type="dxa"/>
            <w:gridSpan w:val="8"/>
            <w:vMerge w:val="restart"/>
            <w:tcBorders>
              <w:top w:val="single" w:sz="4" w:space="0" w:color="auto"/>
              <w:left w:val="single" w:sz="4" w:space="0" w:color="auto"/>
              <w:right w:val="single" w:sz="4" w:space="0" w:color="auto"/>
            </w:tcBorders>
          </w:tcPr>
          <w:p w:rsidR="001C0D02" w:rsidRPr="00404FB8" w:rsidRDefault="001C0D02" w:rsidP="00065FB5">
            <w:pPr>
              <w:tabs>
                <w:tab w:val="left" w:pos="510"/>
              </w:tabs>
              <w:jc w:val="both"/>
              <w:rPr>
                <w:b/>
                <w:lang w:val="lt-LT"/>
              </w:rPr>
            </w:pPr>
            <w:r w:rsidRPr="00404FB8">
              <w:rPr>
                <w:b/>
                <w:lang w:val="lt-LT"/>
              </w:rPr>
              <w:t>NETAIKOMA</w:t>
            </w: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2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Pr>
                <w:b/>
                <w:lang w:val="lt-LT"/>
              </w:rPr>
              <w:t>4</w:t>
            </w:r>
          </w:p>
        </w:tc>
        <w:tc>
          <w:tcPr>
            <w:tcW w:w="1180" w:type="dxa"/>
            <w:gridSpan w:val="8"/>
            <w:tcBorders>
              <w:top w:val="nil"/>
              <w:left w:val="single" w:sz="4" w:space="0" w:color="auto"/>
              <w:bottom w:val="single" w:sz="4" w:space="0" w:color="auto"/>
              <w:right w:val="single" w:sz="4" w:space="0" w:color="auto"/>
            </w:tcBorders>
          </w:tcPr>
          <w:p w:rsidR="001C0D02" w:rsidRPr="00A23942" w:rsidRDefault="001C0D02" w:rsidP="00065FB5">
            <w:pPr>
              <w:tabs>
                <w:tab w:val="left" w:pos="510"/>
              </w:tabs>
              <w:jc w:val="center"/>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2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3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Pr>
                <w:b/>
                <w:lang w:val="lt-LT"/>
              </w:rPr>
              <w:t>20</w:t>
            </w:r>
          </w:p>
        </w:tc>
        <w:tc>
          <w:tcPr>
            <w:tcW w:w="1180" w:type="dxa"/>
            <w:gridSpan w:val="8"/>
            <w:tcBorders>
              <w:top w:val="nil"/>
              <w:left w:val="single" w:sz="4" w:space="0" w:color="auto"/>
              <w:bottom w:val="single" w:sz="4" w:space="0" w:color="auto"/>
              <w:right w:val="single" w:sz="4" w:space="0" w:color="auto"/>
            </w:tcBorders>
          </w:tcPr>
          <w:p w:rsidR="001C0D02" w:rsidRPr="00A23942" w:rsidRDefault="001C0D02" w:rsidP="00065FB5">
            <w:pPr>
              <w:tabs>
                <w:tab w:val="left" w:pos="510"/>
              </w:tabs>
              <w:jc w:val="center"/>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3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7"/>
            <w:tcBorders>
              <w:bottom w:val="single" w:sz="4" w:space="0" w:color="auto"/>
            </w:tcBorders>
            <w:shd w:val="clear" w:color="auto" w:fill="D9D9D9"/>
            <w:vAlign w:val="center"/>
          </w:tcPr>
          <w:p w:rsidR="001C0D02" w:rsidRPr="004273CC" w:rsidRDefault="001C0D02" w:rsidP="00065FB5">
            <w:pPr>
              <w:tabs>
                <w:tab w:val="left" w:pos="510"/>
              </w:tabs>
              <w:jc w:val="both"/>
              <w:rPr>
                <w:lang w:val="lt-LT"/>
              </w:rPr>
            </w:pPr>
            <w:r w:rsidRPr="004273CC">
              <w:rPr>
                <w:b/>
                <w:lang w:val="lt-LT"/>
              </w:rPr>
              <w:t>4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Pr>
                <w:b/>
                <w:lang w:val="lt-LT"/>
              </w:rPr>
              <w:t>80</w:t>
            </w:r>
          </w:p>
        </w:tc>
        <w:tc>
          <w:tcPr>
            <w:tcW w:w="1180" w:type="dxa"/>
            <w:gridSpan w:val="8"/>
            <w:tcBorders>
              <w:top w:val="nil"/>
              <w:left w:val="single" w:sz="4" w:space="0" w:color="auto"/>
              <w:bottom w:val="single" w:sz="4" w:space="0" w:color="auto"/>
              <w:right w:val="single" w:sz="4" w:space="0" w:color="auto"/>
            </w:tcBorders>
          </w:tcPr>
          <w:p w:rsidR="001C0D02" w:rsidRPr="00877DC5" w:rsidRDefault="001C0D02" w:rsidP="00065FB5">
            <w:pPr>
              <w:tabs>
                <w:tab w:val="left" w:pos="510"/>
              </w:tabs>
              <w:rPr>
                <w:b/>
                <w:sz w:val="18"/>
                <w:szCs w:val="18"/>
                <w:lang w:val="lt-LT"/>
              </w:rPr>
            </w:pPr>
            <w:r>
              <w:rPr>
                <w:b/>
                <w:sz w:val="18"/>
                <w:szCs w:val="18"/>
                <w:lang w:val="lt-LT"/>
              </w:rPr>
              <w:t>DIDELĖ</w:t>
            </w:r>
          </w:p>
        </w:tc>
        <w:tc>
          <w:tcPr>
            <w:tcW w:w="1139" w:type="dxa"/>
            <w:gridSpan w:val="10"/>
            <w:vMerge/>
            <w:tcBorders>
              <w:left w:val="single" w:sz="4" w:space="0" w:color="auto"/>
              <w:right w:val="single" w:sz="4" w:space="0" w:color="auto"/>
            </w:tcBorders>
            <w:shd w:val="clear" w:color="auto" w:fill="FFFFFF"/>
            <w:vAlign w:val="center"/>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vAlign w:val="center"/>
          </w:tcPr>
          <w:p w:rsidR="001C0D02" w:rsidRPr="004273CC" w:rsidRDefault="001C0D02" w:rsidP="00065FB5">
            <w:pPr>
              <w:tabs>
                <w:tab w:val="left" w:pos="510"/>
              </w:tabs>
              <w:jc w:val="both"/>
              <w:rPr>
                <w:lang w:val="lt-LT"/>
              </w:rPr>
            </w:pPr>
            <w:r w:rsidRPr="004273CC">
              <w:rPr>
                <w:b/>
                <w:lang w:val="lt-LT"/>
              </w:rPr>
              <w:t>4 eil.</w:t>
            </w:r>
          </w:p>
        </w:tc>
        <w:tc>
          <w:tcPr>
            <w:tcW w:w="708" w:type="dxa"/>
            <w:gridSpan w:val="6"/>
            <w:tcBorders>
              <w:bottom w:val="single" w:sz="4" w:space="0" w:color="auto"/>
              <w:right w:val="single" w:sz="4" w:space="0" w:color="auto"/>
            </w:tcBorders>
            <w:shd w:val="clear" w:color="auto" w:fill="D9D9D9"/>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5</w:t>
            </w:r>
            <w:r w:rsidRPr="004273CC">
              <w:rPr>
                <w:b/>
                <w:lang w:val="lt-LT"/>
              </w:rPr>
              <w:t xml:space="preserve">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sidRPr="00A23942">
              <w:rPr>
                <w:b/>
                <w:lang w:val="lt-LT"/>
              </w:rPr>
              <w:t>X</w:t>
            </w:r>
          </w:p>
        </w:tc>
        <w:tc>
          <w:tcPr>
            <w:tcW w:w="1180" w:type="dxa"/>
            <w:gridSpan w:val="8"/>
            <w:tcBorders>
              <w:top w:val="nil"/>
              <w:left w:val="single" w:sz="4" w:space="0" w:color="auto"/>
              <w:bottom w:val="single" w:sz="4" w:space="0" w:color="auto"/>
              <w:right w:val="single" w:sz="4" w:space="0" w:color="auto"/>
            </w:tcBorders>
          </w:tcPr>
          <w:p w:rsidR="001C0D02" w:rsidRPr="00A23942" w:rsidRDefault="001C0D02" w:rsidP="00065FB5">
            <w:pPr>
              <w:tabs>
                <w:tab w:val="left" w:pos="510"/>
              </w:tabs>
              <w:jc w:val="center"/>
              <w:rPr>
                <w:b/>
                <w:lang w:val="lt-LT"/>
              </w:rPr>
            </w:pPr>
            <w:r>
              <w:rPr>
                <w:b/>
                <w:lang w:val="lt-LT"/>
              </w:rPr>
              <w:t>16</w:t>
            </w: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5</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r w:rsidRPr="00404FB8">
              <w:rPr>
                <w:b/>
                <w:lang w:val="lt-LT"/>
              </w:rPr>
              <w:t>X</w:t>
            </w: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6</w:t>
            </w:r>
            <w:r w:rsidRPr="004273CC">
              <w:rPr>
                <w:b/>
                <w:lang w:val="lt-LT"/>
              </w:rPr>
              <w:t xml:space="preserve">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Pr>
                <w:b/>
                <w:lang w:val="lt-LT"/>
              </w:rPr>
              <w:t>4</w:t>
            </w:r>
          </w:p>
        </w:tc>
        <w:tc>
          <w:tcPr>
            <w:tcW w:w="1180" w:type="dxa"/>
            <w:gridSpan w:val="8"/>
            <w:tcBorders>
              <w:top w:val="nil"/>
              <w:left w:val="single" w:sz="4" w:space="0" w:color="auto"/>
              <w:bottom w:val="single" w:sz="4" w:space="0" w:color="auto"/>
              <w:right w:val="single" w:sz="4" w:space="0" w:color="auto"/>
            </w:tcBorders>
          </w:tcPr>
          <w:p w:rsidR="001C0D02" w:rsidRPr="00A23942" w:rsidRDefault="001C0D02" w:rsidP="00065FB5">
            <w:pPr>
              <w:tabs>
                <w:tab w:val="left" w:pos="510"/>
              </w:tabs>
              <w:jc w:val="both"/>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6</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Pr>
          <w:p w:rsidR="001C0D02" w:rsidRPr="004273CC" w:rsidRDefault="001C0D02" w:rsidP="00065FB5">
            <w:pPr>
              <w:tabs>
                <w:tab w:val="left" w:pos="510"/>
              </w:tabs>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7"/>
            <w:tcBorders>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7</w:t>
            </w:r>
            <w:r w:rsidRPr="004273CC">
              <w:rPr>
                <w:b/>
                <w:lang w:val="lt-LT"/>
              </w:rPr>
              <w:t xml:space="preserve">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Pr>
                <w:b/>
                <w:lang w:val="lt-LT"/>
              </w:rPr>
              <w:t>20</w:t>
            </w:r>
          </w:p>
        </w:tc>
        <w:tc>
          <w:tcPr>
            <w:tcW w:w="1180" w:type="dxa"/>
            <w:gridSpan w:val="8"/>
            <w:tcBorders>
              <w:top w:val="nil"/>
              <w:left w:val="single" w:sz="4" w:space="0" w:color="auto"/>
              <w:bottom w:val="single" w:sz="4" w:space="0" w:color="auto"/>
              <w:right w:val="single" w:sz="4" w:space="0" w:color="auto"/>
            </w:tcBorders>
          </w:tcPr>
          <w:p w:rsidR="001C0D02" w:rsidRPr="00A23942" w:rsidRDefault="001C0D02" w:rsidP="00065FB5">
            <w:pPr>
              <w:tabs>
                <w:tab w:val="left" w:pos="510"/>
              </w:tabs>
              <w:jc w:val="both"/>
              <w:rPr>
                <w:b/>
                <w:lang w:val="lt-LT"/>
              </w:rPr>
            </w:pPr>
          </w:p>
        </w:tc>
        <w:tc>
          <w:tcPr>
            <w:tcW w:w="1139" w:type="dxa"/>
            <w:gridSpan w:val="10"/>
            <w:vMerge/>
            <w:tcBorders>
              <w:left w:val="single" w:sz="4" w:space="0" w:color="auto"/>
              <w:right w:val="single" w:sz="4" w:space="0" w:color="auto"/>
            </w:tcBorders>
            <w:shd w:val="clear" w:color="auto" w:fill="FFFFFF"/>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1C0D02" w:rsidRPr="004273CC" w:rsidRDefault="001C0D02" w:rsidP="00065FB5">
            <w:pPr>
              <w:tabs>
                <w:tab w:val="left" w:pos="510"/>
              </w:tabs>
              <w:jc w:val="both"/>
              <w:rPr>
                <w:lang w:val="lt-LT"/>
              </w:rPr>
            </w:pPr>
            <w:r>
              <w:rPr>
                <w:b/>
                <w:lang w:val="lt-LT"/>
              </w:rPr>
              <w:t>7</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right w:val="single" w:sz="4" w:space="0" w:color="auto"/>
            </w:tcBorders>
          </w:tcPr>
          <w:p w:rsidR="001C0D02" w:rsidRPr="00404FB8" w:rsidRDefault="001C0D02" w:rsidP="00065FB5">
            <w:pPr>
              <w:tabs>
                <w:tab w:val="left" w:pos="510"/>
              </w:tabs>
              <w:jc w:val="both"/>
              <w:rPr>
                <w:b/>
                <w:lang w:val="lt-LT"/>
              </w:rPr>
            </w:pPr>
          </w:p>
        </w:tc>
      </w:tr>
      <w:tr w:rsidR="001C0D02" w:rsidRPr="004273CC" w:rsidTr="001C0D02">
        <w:trPr>
          <w:cantSplit/>
        </w:trPr>
        <w:tc>
          <w:tcPr>
            <w:tcW w:w="774" w:type="dxa"/>
            <w:vMerge/>
            <w:tcBorders>
              <w:bottom w:val="single" w:sz="4" w:space="0" w:color="auto"/>
            </w:tcBorders>
          </w:tcPr>
          <w:p w:rsidR="001C0D02" w:rsidRPr="004273CC" w:rsidRDefault="001C0D02" w:rsidP="00065FB5">
            <w:pPr>
              <w:tabs>
                <w:tab w:val="left" w:pos="510"/>
              </w:tabs>
              <w:jc w:val="right"/>
              <w:rPr>
                <w:lang w:val="lt-LT"/>
              </w:rPr>
            </w:pPr>
          </w:p>
        </w:tc>
        <w:tc>
          <w:tcPr>
            <w:tcW w:w="4542" w:type="dxa"/>
            <w:gridSpan w:val="20"/>
            <w:tcBorders>
              <w:bottom w:val="single" w:sz="4" w:space="0" w:color="auto"/>
            </w:tcBorders>
          </w:tcPr>
          <w:p w:rsidR="001C0D02" w:rsidRPr="004273CC" w:rsidRDefault="001C0D02"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7"/>
            <w:tcBorders>
              <w:bottom w:val="single" w:sz="4" w:space="0" w:color="auto"/>
            </w:tcBorders>
            <w:shd w:val="clear" w:color="auto" w:fill="D9D9D9"/>
            <w:vAlign w:val="center"/>
          </w:tcPr>
          <w:p w:rsidR="001C0D02" w:rsidRPr="004273CC" w:rsidRDefault="001C0D02" w:rsidP="00065FB5">
            <w:pPr>
              <w:tabs>
                <w:tab w:val="left" w:pos="510"/>
              </w:tabs>
              <w:jc w:val="both"/>
              <w:rPr>
                <w:lang w:val="lt-LT"/>
              </w:rPr>
            </w:pPr>
            <w:r>
              <w:rPr>
                <w:b/>
                <w:lang w:val="lt-LT"/>
              </w:rPr>
              <w:t>8</w:t>
            </w:r>
            <w:r w:rsidRPr="004273CC">
              <w:rPr>
                <w:b/>
                <w:lang w:val="lt-LT"/>
              </w:rPr>
              <w:t xml:space="preserve"> eil.</w:t>
            </w:r>
          </w:p>
        </w:tc>
        <w:tc>
          <w:tcPr>
            <w:tcW w:w="677" w:type="dxa"/>
            <w:gridSpan w:val="7"/>
            <w:tcBorders>
              <w:bottom w:val="single" w:sz="4" w:space="0" w:color="auto"/>
              <w:right w:val="single" w:sz="4" w:space="0" w:color="auto"/>
            </w:tcBorders>
            <w:shd w:val="clear" w:color="auto" w:fill="D9D9D9"/>
          </w:tcPr>
          <w:p w:rsidR="001C0D02" w:rsidRPr="00A23942" w:rsidRDefault="001C0D02" w:rsidP="00065FB5">
            <w:pPr>
              <w:tabs>
                <w:tab w:val="left" w:pos="510"/>
              </w:tabs>
              <w:jc w:val="center"/>
              <w:rPr>
                <w:b/>
                <w:lang w:val="lt-LT"/>
              </w:rPr>
            </w:pPr>
            <w:r>
              <w:rPr>
                <w:b/>
                <w:lang w:val="lt-LT"/>
              </w:rPr>
              <w:t>80</w:t>
            </w:r>
          </w:p>
        </w:tc>
        <w:tc>
          <w:tcPr>
            <w:tcW w:w="1180" w:type="dxa"/>
            <w:gridSpan w:val="8"/>
            <w:tcBorders>
              <w:top w:val="nil"/>
              <w:left w:val="single" w:sz="4" w:space="0" w:color="auto"/>
              <w:bottom w:val="single" w:sz="4" w:space="0" w:color="auto"/>
              <w:right w:val="single" w:sz="4" w:space="0" w:color="auto"/>
            </w:tcBorders>
          </w:tcPr>
          <w:p w:rsidR="001C0D02" w:rsidRPr="00A23942" w:rsidRDefault="001C0D02" w:rsidP="00065FB5">
            <w:pPr>
              <w:tabs>
                <w:tab w:val="left" w:pos="510"/>
              </w:tabs>
              <w:jc w:val="both"/>
              <w:rPr>
                <w:b/>
                <w:lang w:val="lt-LT"/>
              </w:rPr>
            </w:pPr>
            <w:r>
              <w:rPr>
                <w:b/>
                <w:sz w:val="18"/>
                <w:szCs w:val="18"/>
                <w:lang w:val="lt-LT"/>
              </w:rPr>
              <w:t>DIDELĖ</w:t>
            </w:r>
          </w:p>
        </w:tc>
        <w:tc>
          <w:tcPr>
            <w:tcW w:w="1139" w:type="dxa"/>
            <w:gridSpan w:val="10"/>
            <w:vMerge/>
            <w:tcBorders>
              <w:left w:val="single" w:sz="4" w:space="0" w:color="auto"/>
              <w:bottom w:val="single" w:sz="4" w:space="0" w:color="auto"/>
              <w:right w:val="single" w:sz="4" w:space="0" w:color="auto"/>
            </w:tcBorders>
            <w:shd w:val="clear" w:color="auto" w:fill="FFFFFF"/>
            <w:vAlign w:val="center"/>
          </w:tcPr>
          <w:p w:rsidR="001C0D02" w:rsidRPr="004273CC" w:rsidRDefault="001C0D02"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vAlign w:val="center"/>
          </w:tcPr>
          <w:p w:rsidR="001C0D02" w:rsidRPr="004273CC" w:rsidRDefault="001C0D02" w:rsidP="00065FB5">
            <w:pPr>
              <w:tabs>
                <w:tab w:val="left" w:pos="510"/>
              </w:tabs>
              <w:jc w:val="both"/>
              <w:rPr>
                <w:lang w:val="lt-LT"/>
              </w:rPr>
            </w:pPr>
            <w:r>
              <w:rPr>
                <w:b/>
                <w:lang w:val="lt-LT"/>
              </w:rPr>
              <w:t>8</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1C0D02" w:rsidRPr="00404FB8" w:rsidRDefault="001C0D02" w:rsidP="00065FB5">
            <w:pPr>
              <w:tabs>
                <w:tab w:val="left" w:pos="510"/>
              </w:tabs>
              <w:jc w:val="center"/>
              <w:rPr>
                <w:b/>
                <w:lang w:val="lt-LT"/>
              </w:rPr>
            </w:pPr>
          </w:p>
        </w:tc>
        <w:tc>
          <w:tcPr>
            <w:tcW w:w="2574" w:type="dxa"/>
            <w:gridSpan w:val="8"/>
            <w:vMerge/>
            <w:tcBorders>
              <w:left w:val="single" w:sz="4" w:space="0" w:color="auto"/>
              <w:bottom w:val="single" w:sz="4" w:space="0" w:color="auto"/>
              <w:right w:val="single" w:sz="4" w:space="0" w:color="auto"/>
            </w:tcBorders>
          </w:tcPr>
          <w:p w:rsidR="001C0D02" w:rsidRPr="00404FB8" w:rsidRDefault="001C0D02" w:rsidP="00065FB5">
            <w:pPr>
              <w:tabs>
                <w:tab w:val="left" w:pos="510"/>
              </w:tabs>
              <w:jc w:val="both"/>
              <w:rPr>
                <w:b/>
                <w:lang w:val="lt-LT"/>
              </w:rPr>
            </w:pPr>
          </w:p>
        </w:tc>
      </w:tr>
      <w:tr w:rsidR="00104405" w:rsidRPr="004273CC" w:rsidTr="00C544CC">
        <w:trPr>
          <w:cantSplit/>
        </w:trPr>
        <w:tc>
          <w:tcPr>
            <w:tcW w:w="13858" w:type="dxa"/>
            <w:gridSpan w:val="75"/>
            <w:tcBorders>
              <w:left w:val="nil"/>
              <w:bottom w:val="nil"/>
              <w:right w:val="nil"/>
            </w:tcBorders>
            <w:shd w:val="clear" w:color="auto" w:fill="auto"/>
          </w:tcPr>
          <w:p w:rsidR="00104405" w:rsidRDefault="00104405" w:rsidP="00065FB5">
            <w:pPr>
              <w:tabs>
                <w:tab w:val="left" w:pos="510"/>
              </w:tabs>
              <w:jc w:val="both"/>
              <w:rPr>
                <w:lang w:val="lt-LT"/>
              </w:rPr>
            </w:pPr>
          </w:p>
          <w:p w:rsidR="00104405" w:rsidRDefault="00104405" w:rsidP="00065FB5">
            <w:pPr>
              <w:tabs>
                <w:tab w:val="left" w:pos="510"/>
              </w:tabs>
              <w:jc w:val="both"/>
              <w:rPr>
                <w:lang w:val="lt-LT"/>
              </w:rPr>
            </w:pPr>
          </w:p>
          <w:p w:rsidR="00C544CC" w:rsidRDefault="00C544CC" w:rsidP="00065FB5">
            <w:pPr>
              <w:tabs>
                <w:tab w:val="left" w:pos="510"/>
              </w:tabs>
              <w:jc w:val="both"/>
              <w:rPr>
                <w:lang w:val="lt-LT"/>
              </w:rPr>
            </w:pPr>
          </w:p>
          <w:p w:rsidR="00C544CC" w:rsidRDefault="00C544CC" w:rsidP="00065FB5">
            <w:pPr>
              <w:tabs>
                <w:tab w:val="left" w:pos="510"/>
              </w:tabs>
              <w:jc w:val="both"/>
              <w:rPr>
                <w:lang w:val="lt-LT"/>
              </w:rPr>
            </w:pPr>
          </w:p>
          <w:p w:rsidR="00C544CC" w:rsidRDefault="00C544CC" w:rsidP="00065FB5">
            <w:pPr>
              <w:tabs>
                <w:tab w:val="left" w:pos="510"/>
              </w:tabs>
              <w:jc w:val="both"/>
              <w:rPr>
                <w:lang w:val="lt-LT"/>
              </w:rPr>
            </w:pPr>
          </w:p>
          <w:p w:rsidR="00C544CC" w:rsidRDefault="00C544CC" w:rsidP="00065FB5">
            <w:pPr>
              <w:tabs>
                <w:tab w:val="left" w:pos="510"/>
              </w:tabs>
              <w:jc w:val="both"/>
              <w:rPr>
                <w:lang w:val="lt-LT"/>
              </w:rPr>
            </w:pPr>
          </w:p>
          <w:p w:rsidR="00C544CC" w:rsidRDefault="00C544CC" w:rsidP="00065FB5">
            <w:pPr>
              <w:tabs>
                <w:tab w:val="left" w:pos="510"/>
              </w:tabs>
              <w:jc w:val="both"/>
              <w:rPr>
                <w:lang w:val="lt-LT"/>
              </w:rPr>
            </w:pPr>
          </w:p>
          <w:p w:rsidR="00C544CC" w:rsidRDefault="00C544CC" w:rsidP="00065FB5">
            <w:pPr>
              <w:tabs>
                <w:tab w:val="left" w:pos="510"/>
              </w:tabs>
              <w:jc w:val="both"/>
              <w:rPr>
                <w:lang w:val="lt-LT"/>
              </w:rPr>
            </w:pPr>
          </w:p>
          <w:p w:rsidR="00C544CC" w:rsidRDefault="00C544CC" w:rsidP="00065FB5">
            <w:pPr>
              <w:tabs>
                <w:tab w:val="left" w:pos="510"/>
              </w:tabs>
              <w:jc w:val="both"/>
              <w:rPr>
                <w:lang w:val="lt-LT"/>
              </w:rPr>
            </w:pPr>
          </w:p>
          <w:p w:rsidR="00C544CC" w:rsidRDefault="00C544CC" w:rsidP="00065FB5">
            <w:pPr>
              <w:tabs>
                <w:tab w:val="left" w:pos="510"/>
              </w:tabs>
              <w:jc w:val="both"/>
              <w:rPr>
                <w:lang w:val="lt-LT"/>
              </w:rPr>
            </w:pPr>
          </w:p>
          <w:p w:rsidR="00C544CC" w:rsidRDefault="00C544CC" w:rsidP="00065FB5">
            <w:pPr>
              <w:tabs>
                <w:tab w:val="left" w:pos="510"/>
              </w:tabs>
              <w:jc w:val="both"/>
              <w:rPr>
                <w:lang w:val="lt-LT"/>
              </w:rPr>
            </w:pPr>
          </w:p>
          <w:p w:rsidR="00C544CC" w:rsidRDefault="00C544CC" w:rsidP="00065FB5">
            <w:pPr>
              <w:tabs>
                <w:tab w:val="left" w:pos="510"/>
              </w:tabs>
              <w:jc w:val="both"/>
              <w:rPr>
                <w:lang w:val="lt-LT"/>
              </w:rPr>
            </w:pPr>
          </w:p>
          <w:p w:rsidR="00E91EA3" w:rsidRPr="004273CC" w:rsidRDefault="00E91EA3" w:rsidP="00065FB5">
            <w:pPr>
              <w:tabs>
                <w:tab w:val="left" w:pos="510"/>
              </w:tabs>
              <w:jc w:val="both"/>
              <w:rPr>
                <w:lang w:val="lt-LT"/>
              </w:rPr>
            </w:pPr>
          </w:p>
        </w:tc>
      </w:tr>
      <w:tr w:rsidR="007F098A" w:rsidRPr="004273CC" w:rsidTr="00C544CC">
        <w:trPr>
          <w:cantSplit/>
        </w:trPr>
        <w:tc>
          <w:tcPr>
            <w:tcW w:w="13858" w:type="dxa"/>
            <w:gridSpan w:val="75"/>
            <w:tcBorders>
              <w:top w:val="nil"/>
              <w:left w:val="nil"/>
              <w:bottom w:val="nil"/>
              <w:right w:val="nil"/>
            </w:tcBorders>
            <w:shd w:val="clear" w:color="auto" w:fill="auto"/>
          </w:tcPr>
          <w:p w:rsidR="007F098A" w:rsidRDefault="007F098A" w:rsidP="00065FB5">
            <w:pPr>
              <w:tabs>
                <w:tab w:val="left" w:pos="510"/>
              </w:tabs>
              <w:jc w:val="both"/>
              <w:rPr>
                <w:lang w:val="lt-LT"/>
              </w:rPr>
            </w:pPr>
          </w:p>
        </w:tc>
      </w:tr>
      <w:tr w:rsidR="00104405" w:rsidRPr="004273CC" w:rsidTr="00894025">
        <w:trPr>
          <w:cantSplit/>
          <w:trHeight w:hRule="exact" w:val="113"/>
        </w:trPr>
        <w:tc>
          <w:tcPr>
            <w:tcW w:w="13858" w:type="dxa"/>
            <w:gridSpan w:val="75"/>
            <w:tcBorders>
              <w:top w:val="nil"/>
              <w:left w:val="nil"/>
              <w:right w:val="nil"/>
            </w:tcBorders>
            <w:shd w:val="clear" w:color="auto" w:fill="auto"/>
          </w:tcPr>
          <w:p w:rsidR="00104405" w:rsidRDefault="00104405" w:rsidP="00065FB5">
            <w:pPr>
              <w:tabs>
                <w:tab w:val="left" w:pos="510"/>
              </w:tabs>
              <w:jc w:val="both"/>
              <w:rPr>
                <w:lang w:val="lt-LT"/>
              </w:rPr>
            </w:pPr>
          </w:p>
        </w:tc>
      </w:tr>
      <w:tr w:rsidR="00104405" w:rsidRPr="004273CC" w:rsidTr="001C0D02">
        <w:trPr>
          <w:cantSplit/>
          <w:trHeight w:val="414"/>
        </w:trPr>
        <w:tc>
          <w:tcPr>
            <w:tcW w:w="4345" w:type="dxa"/>
            <w:gridSpan w:val="12"/>
            <w:vMerge w:val="restart"/>
          </w:tcPr>
          <w:p w:rsidR="00104405" w:rsidRPr="004273CC" w:rsidRDefault="00104405" w:rsidP="00065FB5">
            <w:pPr>
              <w:tabs>
                <w:tab w:val="left" w:pos="510"/>
              </w:tabs>
              <w:ind w:left="113" w:right="113"/>
              <w:jc w:val="center"/>
              <w:rPr>
                <w:b/>
                <w:lang w:val="lt-LT"/>
              </w:rPr>
            </w:pPr>
            <w:r>
              <w:rPr>
                <w:b/>
                <w:lang w:val="lt-LT"/>
              </w:rPr>
              <w:t>Finansinių ataskaitų elemento ir/ar jo tvirtinimo pobūdis ir jam taikoma vidaus kontrolės sistema</w:t>
            </w:r>
          </w:p>
        </w:tc>
        <w:tc>
          <w:tcPr>
            <w:tcW w:w="567" w:type="dxa"/>
            <w:gridSpan w:val="7"/>
            <w:vMerge w:val="restart"/>
            <w:textDirection w:val="btLr"/>
          </w:tcPr>
          <w:p w:rsidR="00104405" w:rsidRPr="004273CC" w:rsidRDefault="00104405" w:rsidP="00065FB5">
            <w:pPr>
              <w:tabs>
                <w:tab w:val="left" w:pos="510"/>
              </w:tabs>
              <w:ind w:left="113" w:right="113"/>
              <w:jc w:val="center"/>
              <w:rPr>
                <w:lang w:val="lt-LT"/>
              </w:rPr>
            </w:pPr>
            <w:r>
              <w:rPr>
                <w:b/>
                <w:lang w:val="lt-LT"/>
              </w:rPr>
              <w:t>Tvirtinimas</w:t>
            </w:r>
          </w:p>
        </w:tc>
        <w:tc>
          <w:tcPr>
            <w:tcW w:w="558" w:type="dxa"/>
            <w:gridSpan w:val="7"/>
            <w:vMerge w:val="restart"/>
            <w:textDirection w:val="btLr"/>
          </w:tcPr>
          <w:p w:rsidR="00104405" w:rsidRPr="004273CC" w:rsidRDefault="00104405" w:rsidP="00065FB5">
            <w:pPr>
              <w:tabs>
                <w:tab w:val="left" w:pos="510"/>
              </w:tabs>
              <w:ind w:left="113" w:right="113"/>
              <w:jc w:val="center"/>
              <w:rPr>
                <w:lang w:val="lt-LT"/>
              </w:rPr>
            </w:pPr>
            <w:r>
              <w:rPr>
                <w:b/>
                <w:lang w:val="lt-LT"/>
              </w:rPr>
              <w:t>IR / KR</w:t>
            </w:r>
          </w:p>
        </w:tc>
        <w:tc>
          <w:tcPr>
            <w:tcW w:w="3974" w:type="dxa"/>
            <w:gridSpan w:val="27"/>
          </w:tcPr>
          <w:p w:rsidR="00104405" w:rsidRPr="004273CC" w:rsidRDefault="00104405" w:rsidP="00065FB5">
            <w:pPr>
              <w:tabs>
                <w:tab w:val="left" w:pos="510"/>
              </w:tabs>
              <w:jc w:val="center"/>
              <w:rPr>
                <w:lang w:val="lt-LT"/>
              </w:rPr>
            </w:pPr>
            <w:r>
              <w:rPr>
                <w:b/>
                <w:lang w:val="lt-LT"/>
              </w:rPr>
              <w:t>UAB „Šiluma“</w:t>
            </w:r>
          </w:p>
        </w:tc>
        <w:tc>
          <w:tcPr>
            <w:tcW w:w="4414" w:type="dxa"/>
            <w:gridSpan w:val="22"/>
          </w:tcPr>
          <w:p w:rsidR="00104405" w:rsidRPr="004273CC" w:rsidRDefault="00104405" w:rsidP="00065FB5">
            <w:pPr>
              <w:tabs>
                <w:tab w:val="left" w:pos="510"/>
              </w:tabs>
              <w:jc w:val="center"/>
              <w:rPr>
                <w:lang w:val="lt-LT"/>
              </w:rPr>
            </w:pPr>
            <w:r>
              <w:rPr>
                <w:b/>
                <w:lang w:val="lt-LT"/>
              </w:rPr>
              <w:t>UAB „Žuvila“</w:t>
            </w:r>
          </w:p>
        </w:tc>
      </w:tr>
      <w:tr w:rsidR="00104405" w:rsidRPr="004273CC" w:rsidTr="001C0D02">
        <w:trPr>
          <w:cantSplit/>
        </w:trPr>
        <w:tc>
          <w:tcPr>
            <w:tcW w:w="4345" w:type="dxa"/>
            <w:gridSpan w:val="12"/>
            <w:vMerge/>
          </w:tcPr>
          <w:p w:rsidR="00104405" w:rsidRPr="004273CC" w:rsidRDefault="00104405" w:rsidP="00065FB5">
            <w:pPr>
              <w:tabs>
                <w:tab w:val="left" w:pos="510"/>
              </w:tabs>
              <w:jc w:val="center"/>
              <w:rPr>
                <w:b/>
                <w:lang w:val="lt-LT"/>
              </w:rPr>
            </w:pPr>
          </w:p>
        </w:tc>
        <w:tc>
          <w:tcPr>
            <w:tcW w:w="567" w:type="dxa"/>
            <w:gridSpan w:val="7"/>
            <w:vMerge/>
            <w:vAlign w:val="center"/>
          </w:tcPr>
          <w:p w:rsidR="00104405" w:rsidRPr="004273CC" w:rsidRDefault="00104405" w:rsidP="00065FB5">
            <w:pPr>
              <w:tabs>
                <w:tab w:val="left" w:pos="510"/>
              </w:tabs>
              <w:jc w:val="center"/>
              <w:rPr>
                <w:b/>
                <w:lang w:val="lt-LT"/>
              </w:rPr>
            </w:pPr>
          </w:p>
        </w:tc>
        <w:tc>
          <w:tcPr>
            <w:tcW w:w="558" w:type="dxa"/>
            <w:gridSpan w:val="7"/>
            <w:vMerge/>
            <w:vAlign w:val="center"/>
          </w:tcPr>
          <w:p w:rsidR="00104405" w:rsidRPr="004273CC" w:rsidRDefault="00104405" w:rsidP="00065FB5">
            <w:pPr>
              <w:tabs>
                <w:tab w:val="left" w:pos="510"/>
              </w:tabs>
              <w:jc w:val="center"/>
              <w:rPr>
                <w:lang w:val="lt-LT"/>
              </w:rPr>
            </w:pPr>
          </w:p>
        </w:tc>
        <w:tc>
          <w:tcPr>
            <w:tcW w:w="2835" w:type="dxa"/>
            <w:gridSpan w:val="17"/>
            <w:vAlign w:val="center"/>
          </w:tcPr>
          <w:p w:rsidR="00104405" w:rsidRPr="004273CC" w:rsidRDefault="00104405" w:rsidP="00065FB5">
            <w:pPr>
              <w:tabs>
                <w:tab w:val="left" w:pos="510"/>
              </w:tabs>
              <w:jc w:val="center"/>
              <w:rPr>
                <w:lang w:val="lt-LT"/>
              </w:rPr>
            </w:pPr>
            <w:r w:rsidRPr="004273CC">
              <w:rPr>
                <w:b/>
                <w:lang w:val="lt-LT"/>
              </w:rPr>
              <w:t>Rizikos vertinimas</w:t>
            </w:r>
          </w:p>
        </w:tc>
        <w:tc>
          <w:tcPr>
            <w:tcW w:w="1139" w:type="dxa"/>
            <w:gridSpan w:val="10"/>
            <w:vMerge w:val="restart"/>
            <w:vAlign w:val="center"/>
          </w:tcPr>
          <w:p w:rsidR="00104405" w:rsidRPr="004273CC" w:rsidRDefault="00104405" w:rsidP="00065FB5">
            <w:pPr>
              <w:tabs>
                <w:tab w:val="left" w:pos="510"/>
              </w:tabs>
              <w:jc w:val="center"/>
              <w:rPr>
                <w:lang w:val="lt-LT"/>
              </w:rPr>
            </w:pPr>
            <w:r w:rsidRPr="004273CC">
              <w:rPr>
                <w:b/>
                <w:lang w:val="lt-LT"/>
              </w:rPr>
              <w:t>Pastabos</w:t>
            </w:r>
          </w:p>
        </w:tc>
        <w:tc>
          <w:tcPr>
            <w:tcW w:w="2767" w:type="dxa"/>
            <w:gridSpan w:val="17"/>
          </w:tcPr>
          <w:p w:rsidR="00104405" w:rsidRPr="004273CC" w:rsidRDefault="00104405" w:rsidP="00065FB5">
            <w:pPr>
              <w:tabs>
                <w:tab w:val="left" w:pos="510"/>
              </w:tabs>
              <w:jc w:val="center"/>
              <w:rPr>
                <w:lang w:val="lt-LT"/>
              </w:rPr>
            </w:pPr>
            <w:r w:rsidRPr="004273CC">
              <w:rPr>
                <w:b/>
                <w:lang w:val="lt-LT"/>
              </w:rPr>
              <w:t>Rizikos vertinimas</w:t>
            </w:r>
          </w:p>
        </w:tc>
        <w:tc>
          <w:tcPr>
            <w:tcW w:w="1647" w:type="dxa"/>
            <w:gridSpan w:val="5"/>
            <w:vAlign w:val="center"/>
          </w:tcPr>
          <w:p w:rsidR="00104405" w:rsidRPr="004273CC" w:rsidRDefault="00104405" w:rsidP="00065FB5">
            <w:pPr>
              <w:tabs>
                <w:tab w:val="left" w:pos="510"/>
              </w:tabs>
              <w:jc w:val="center"/>
              <w:rPr>
                <w:lang w:val="lt-LT"/>
              </w:rPr>
            </w:pPr>
            <w:r w:rsidRPr="004273CC">
              <w:rPr>
                <w:b/>
                <w:lang w:val="lt-LT"/>
              </w:rPr>
              <w:t>Pastabos</w:t>
            </w:r>
          </w:p>
        </w:tc>
      </w:tr>
      <w:tr w:rsidR="00104405" w:rsidRPr="004273CC" w:rsidTr="001C0D02">
        <w:trPr>
          <w:cantSplit/>
          <w:trHeight w:val="731"/>
        </w:trPr>
        <w:tc>
          <w:tcPr>
            <w:tcW w:w="807" w:type="dxa"/>
            <w:gridSpan w:val="3"/>
          </w:tcPr>
          <w:p w:rsidR="00104405" w:rsidRPr="005618BC" w:rsidRDefault="00104405" w:rsidP="00065FB5">
            <w:pPr>
              <w:tabs>
                <w:tab w:val="left" w:pos="510"/>
              </w:tabs>
              <w:jc w:val="center"/>
              <w:rPr>
                <w:b/>
                <w:lang w:val="lt-LT"/>
              </w:rPr>
            </w:pPr>
            <w:r w:rsidRPr="005618BC">
              <w:rPr>
                <w:b/>
                <w:lang w:val="lt-LT"/>
              </w:rPr>
              <w:t>Tipas</w:t>
            </w:r>
          </w:p>
        </w:tc>
        <w:tc>
          <w:tcPr>
            <w:tcW w:w="3538" w:type="dxa"/>
            <w:gridSpan w:val="9"/>
          </w:tcPr>
          <w:p w:rsidR="00104405" w:rsidRPr="004273CC" w:rsidRDefault="00104405" w:rsidP="00065FB5">
            <w:pPr>
              <w:tabs>
                <w:tab w:val="left" w:pos="510"/>
              </w:tabs>
              <w:jc w:val="center"/>
              <w:rPr>
                <w:lang w:val="lt-LT"/>
              </w:rPr>
            </w:pPr>
            <w:r w:rsidRPr="005618BC">
              <w:rPr>
                <w:b/>
                <w:lang w:val="lt-LT"/>
              </w:rPr>
              <w:t>Veiksniai</w:t>
            </w:r>
          </w:p>
        </w:tc>
        <w:tc>
          <w:tcPr>
            <w:tcW w:w="567" w:type="dxa"/>
            <w:gridSpan w:val="7"/>
            <w:vMerge/>
          </w:tcPr>
          <w:p w:rsidR="00104405" w:rsidRPr="004273CC" w:rsidRDefault="00104405" w:rsidP="00065FB5">
            <w:pPr>
              <w:tabs>
                <w:tab w:val="left" w:pos="510"/>
              </w:tabs>
              <w:jc w:val="center"/>
              <w:rPr>
                <w:lang w:val="lt-LT"/>
              </w:rPr>
            </w:pPr>
          </w:p>
        </w:tc>
        <w:tc>
          <w:tcPr>
            <w:tcW w:w="558" w:type="dxa"/>
            <w:gridSpan w:val="7"/>
            <w:vMerge/>
          </w:tcPr>
          <w:p w:rsidR="00104405" w:rsidRPr="004273CC" w:rsidRDefault="00104405" w:rsidP="00065FB5">
            <w:pPr>
              <w:tabs>
                <w:tab w:val="left" w:pos="510"/>
              </w:tabs>
              <w:jc w:val="center"/>
              <w:rPr>
                <w:lang w:val="lt-LT"/>
              </w:rPr>
            </w:pPr>
          </w:p>
        </w:tc>
        <w:tc>
          <w:tcPr>
            <w:tcW w:w="1033" w:type="dxa"/>
            <w:gridSpan w:val="3"/>
          </w:tcPr>
          <w:p w:rsidR="00104405" w:rsidRPr="004273CC" w:rsidRDefault="00104405" w:rsidP="00065FB5">
            <w:pPr>
              <w:tabs>
                <w:tab w:val="left" w:pos="510"/>
              </w:tabs>
              <w:jc w:val="center"/>
              <w:rPr>
                <w:lang w:val="lt-LT"/>
              </w:rPr>
            </w:pPr>
            <w:r w:rsidRPr="004273CC">
              <w:rPr>
                <w:lang w:val="lt-LT"/>
              </w:rPr>
              <w:t>Tikimybė (1-5)</w:t>
            </w:r>
          </w:p>
        </w:tc>
        <w:tc>
          <w:tcPr>
            <w:tcW w:w="709" w:type="dxa"/>
            <w:gridSpan w:val="8"/>
          </w:tcPr>
          <w:p w:rsidR="00104405" w:rsidRPr="004273CC" w:rsidRDefault="00104405" w:rsidP="00065FB5">
            <w:pPr>
              <w:tabs>
                <w:tab w:val="left" w:pos="510"/>
              </w:tabs>
              <w:jc w:val="center"/>
              <w:rPr>
                <w:lang w:val="lt-LT"/>
              </w:rPr>
            </w:pPr>
            <w:r w:rsidRPr="004273CC">
              <w:rPr>
                <w:lang w:val="lt-LT"/>
              </w:rPr>
              <w:t>Įtaka</w:t>
            </w:r>
          </w:p>
          <w:p w:rsidR="00104405" w:rsidRPr="004273CC" w:rsidRDefault="00104405" w:rsidP="00065FB5">
            <w:pPr>
              <w:tabs>
                <w:tab w:val="left" w:pos="510"/>
              </w:tabs>
              <w:jc w:val="center"/>
              <w:rPr>
                <w:lang w:val="lt-LT"/>
              </w:rPr>
            </w:pPr>
            <w:r w:rsidRPr="004273CC">
              <w:rPr>
                <w:lang w:val="lt-LT"/>
              </w:rPr>
              <w:t>(1-5)</w:t>
            </w:r>
          </w:p>
        </w:tc>
        <w:tc>
          <w:tcPr>
            <w:tcW w:w="1093" w:type="dxa"/>
            <w:gridSpan w:val="6"/>
          </w:tcPr>
          <w:p w:rsidR="00104405" w:rsidRPr="004273CC" w:rsidRDefault="00104405" w:rsidP="00065FB5">
            <w:pPr>
              <w:tabs>
                <w:tab w:val="left" w:pos="510"/>
              </w:tabs>
              <w:jc w:val="center"/>
              <w:rPr>
                <w:lang w:val="lt-LT"/>
              </w:rPr>
            </w:pPr>
            <w:r w:rsidRPr="004273CC">
              <w:rPr>
                <w:lang w:val="lt-LT"/>
              </w:rPr>
              <w:t>Tikimybė * Įtaka</w:t>
            </w:r>
          </w:p>
        </w:tc>
        <w:tc>
          <w:tcPr>
            <w:tcW w:w="1139" w:type="dxa"/>
            <w:gridSpan w:val="10"/>
            <w:vMerge/>
          </w:tcPr>
          <w:p w:rsidR="00104405" w:rsidRPr="004273CC" w:rsidRDefault="00104405" w:rsidP="00065FB5">
            <w:pPr>
              <w:tabs>
                <w:tab w:val="left" w:pos="510"/>
              </w:tabs>
              <w:jc w:val="center"/>
              <w:rPr>
                <w:lang w:val="lt-LT"/>
              </w:rPr>
            </w:pPr>
          </w:p>
        </w:tc>
        <w:tc>
          <w:tcPr>
            <w:tcW w:w="926" w:type="dxa"/>
            <w:gridSpan w:val="3"/>
          </w:tcPr>
          <w:p w:rsidR="00104405" w:rsidRPr="004273CC" w:rsidRDefault="00104405" w:rsidP="00065FB5">
            <w:pPr>
              <w:tabs>
                <w:tab w:val="left" w:pos="510"/>
              </w:tabs>
              <w:jc w:val="center"/>
              <w:rPr>
                <w:lang w:val="lt-LT"/>
              </w:rPr>
            </w:pPr>
            <w:r w:rsidRPr="004273CC">
              <w:rPr>
                <w:lang w:val="lt-LT"/>
              </w:rPr>
              <w:t>Tikimybė (1-5)</w:t>
            </w:r>
          </w:p>
        </w:tc>
        <w:tc>
          <w:tcPr>
            <w:tcW w:w="708" w:type="dxa"/>
            <w:gridSpan w:val="7"/>
          </w:tcPr>
          <w:p w:rsidR="00104405" w:rsidRPr="004273CC" w:rsidRDefault="00104405" w:rsidP="00065FB5">
            <w:pPr>
              <w:tabs>
                <w:tab w:val="left" w:pos="510"/>
              </w:tabs>
              <w:jc w:val="center"/>
              <w:rPr>
                <w:lang w:val="lt-LT"/>
              </w:rPr>
            </w:pPr>
            <w:r w:rsidRPr="004273CC">
              <w:rPr>
                <w:lang w:val="lt-LT"/>
              </w:rPr>
              <w:t>Įtaka</w:t>
            </w:r>
          </w:p>
          <w:p w:rsidR="00104405" w:rsidRPr="004273CC" w:rsidRDefault="00104405" w:rsidP="00065FB5">
            <w:pPr>
              <w:tabs>
                <w:tab w:val="left" w:pos="510"/>
              </w:tabs>
              <w:jc w:val="center"/>
              <w:rPr>
                <w:lang w:val="lt-LT"/>
              </w:rPr>
            </w:pPr>
            <w:r w:rsidRPr="004273CC">
              <w:rPr>
                <w:lang w:val="lt-LT"/>
              </w:rPr>
              <w:t>(1-5)</w:t>
            </w:r>
          </w:p>
        </w:tc>
        <w:tc>
          <w:tcPr>
            <w:tcW w:w="1133" w:type="dxa"/>
            <w:gridSpan w:val="7"/>
          </w:tcPr>
          <w:p w:rsidR="00104405" w:rsidRPr="004273CC" w:rsidRDefault="00104405" w:rsidP="00065FB5">
            <w:pPr>
              <w:tabs>
                <w:tab w:val="left" w:pos="510"/>
              </w:tabs>
              <w:jc w:val="center"/>
              <w:rPr>
                <w:lang w:val="lt-LT"/>
              </w:rPr>
            </w:pPr>
            <w:r w:rsidRPr="004273CC">
              <w:rPr>
                <w:lang w:val="lt-LT"/>
              </w:rPr>
              <w:t>Tikimybė * Įtaka</w:t>
            </w:r>
          </w:p>
        </w:tc>
        <w:tc>
          <w:tcPr>
            <w:tcW w:w="1647" w:type="dxa"/>
            <w:gridSpan w:val="5"/>
          </w:tcPr>
          <w:p w:rsidR="00104405" w:rsidRPr="004273CC" w:rsidRDefault="00104405" w:rsidP="00065FB5">
            <w:pPr>
              <w:tabs>
                <w:tab w:val="left" w:pos="510"/>
              </w:tabs>
              <w:jc w:val="center"/>
              <w:rPr>
                <w:lang w:val="lt-LT"/>
              </w:rPr>
            </w:pPr>
          </w:p>
        </w:tc>
      </w:tr>
      <w:tr w:rsidR="001C0D02" w:rsidRPr="004273CC" w:rsidTr="001C0D02">
        <w:trPr>
          <w:cantSplit/>
        </w:trPr>
        <w:tc>
          <w:tcPr>
            <w:tcW w:w="807" w:type="dxa"/>
            <w:gridSpan w:val="3"/>
            <w:vMerge w:val="restart"/>
            <w:textDirection w:val="btLr"/>
          </w:tcPr>
          <w:p w:rsidR="001C0D02" w:rsidRPr="004273CC" w:rsidRDefault="001C0D02" w:rsidP="00065FB5">
            <w:pPr>
              <w:tabs>
                <w:tab w:val="left" w:pos="510"/>
              </w:tabs>
              <w:ind w:left="113" w:right="113"/>
              <w:jc w:val="center"/>
              <w:rPr>
                <w:lang w:val="lt-LT"/>
              </w:rPr>
            </w:pPr>
            <w:r w:rsidRPr="002E216D">
              <w:rPr>
                <w:b/>
                <w:lang w:val="lt-LT"/>
              </w:rPr>
              <w:t>Atsargos, išankstiniai apmokėjimai ir nebaigtos vykdyti sutartys</w:t>
            </w:r>
          </w:p>
        </w:tc>
        <w:tc>
          <w:tcPr>
            <w:tcW w:w="3538" w:type="dxa"/>
            <w:gridSpan w:val="9"/>
          </w:tcPr>
          <w:p w:rsidR="001C0D02" w:rsidRDefault="001C0D02" w:rsidP="00065FB5">
            <w:pPr>
              <w:tabs>
                <w:tab w:val="left" w:pos="510"/>
              </w:tabs>
              <w:jc w:val="both"/>
              <w:rPr>
                <w:lang w:val="lt-LT"/>
              </w:rPr>
            </w:pPr>
            <w:r>
              <w:rPr>
                <w:lang w:val="lt-LT"/>
              </w:rPr>
              <w:t>Įmonės atsargos gali būti nesunkiai realizuojamos rinkoje be įmonės žinios</w:t>
            </w:r>
          </w:p>
        </w:tc>
        <w:tc>
          <w:tcPr>
            <w:tcW w:w="567" w:type="dxa"/>
            <w:gridSpan w:val="7"/>
          </w:tcPr>
          <w:p w:rsidR="001C0D02" w:rsidRPr="004273CC" w:rsidRDefault="001C0D02" w:rsidP="00065FB5">
            <w:pPr>
              <w:tabs>
                <w:tab w:val="left" w:pos="510"/>
              </w:tabs>
              <w:jc w:val="both"/>
              <w:rPr>
                <w:lang w:val="lt-LT"/>
              </w:rPr>
            </w:pPr>
            <w:r>
              <w:rPr>
                <w:lang w:val="lt-LT"/>
              </w:rPr>
              <w:t>B</w:t>
            </w:r>
          </w:p>
        </w:tc>
        <w:tc>
          <w:tcPr>
            <w:tcW w:w="558" w:type="dxa"/>
            <w:gridSpan w:val="7"/>
          </w:tcPr>
          <w:p w:rsidR="001C0D02" w:rsidRPr="004273CC" w:rsidRDefault="001C0D02" w:rsidP="00065FB5">
            <w:pPr>
              <w:tabs>
                <w:tab w:val="left" w:pos="510"/>
              </w:tabs>
              <w:jc w:val="both"/>
              <w:rPr>
                <w:lang w:val="lt-LT"/>
              </w:rPr>
            </w:pPr>
            <w:r>
              <w:rPr>
                <w:lang w:val="lt-LT"/>
              </w:rPr>
              <w:t>IR</w:t>
            </w:r>
          </w:p>
        </w:tc>
        <w:tc>
          <w:tcPr>
            <w:tcW w:w="1033" w:type="dxa"/>
            <w:gridSpan w:val="3"/>
          </w:tcPr>
          <w:p w:rsidR="001C0D02" w:rsidRPr="00C903A7" w:rsidRDefault="001C0D02" w:rsidP="00065FB5">
            <w:pPr>
              <w:tabs>
                <w:tab w:val="left" w:pos="510"/>
              </w:tabs>
              <w:jc w:val="center"/>
              <w:rPr>
                <w:b/>
                <w:lang w:val="lt-LT"/>
              </w:rPr>
            </w:pPr>
            <w:r>
              <w:rPr>
                <w:b/>
                <w:lang w:val="lt-LT"/>
              </w:rPr>
              <w:t>3</w:t>
            </w:r>
          </w:p>
        </w:tc>
        <w:tc>
          <w:tcPr>
            <w:tcW w:w="709" w:type="dxa"/>
            <w:gridSpan w:val="8"/>
          </w:tcPr>
          <w:p w:rsidR="001C0D02" w:rsidRPr="00C903A7" w:rsidRDefault="001C0D02" w:rsidP="00065FB5">
            <w:pPr>
              <w:tabs>
                <w:tab w:val="left" w:pos="510"/>
              </w:tabs>
              <w:jc w:val="center"/>
              <w:rPr>
                <w:b/>
                <w:lang w:val="lt-LT"/>
              </w:rPr>
            </w:pPr>
            <w:r w:rsidRPr="00C903A7">
              <w:rPr>
                <w:b/>
                <w:lang w:val="lt-LT"/>
              </w:rPr>
              <w:t>4</w:t>
            </w:r>
          </w:p>
        </w:tc>
        <w:tc>
          <w:tcPr>
            <w:tcW w:w="1093" w:type="dxa"/>
            <w:gridSpan w:val="6"/>
          </w:tcPr>
          <w:p w:rsidR="001C0D02" w:rsidRPr="00C903A7" w:rsidRDefault="001C0D02" w:rsidP="00065FB5">
            <w:pPr>
              <w:tabs>
                <w:tab w:val="left" w:pos="510"/>
              </w:tabs>
              <w:jc w:val="center"/>
              <w:rPr>
                <w:b/>
                <w:lang w:val="lt-LT"/>
              </w:rPr>
            </w:pPr>
            <w:r w:rsidRPr="00C903A7">
              <w:rPr>
                <w:b/>
                <w:lang w:val="lt-LT"/>
              </w:rPr>
              <w:t>1</w:t>
            </w:r>
            <w:r>
              <w:rPr>
                <w:b/>
                <w:lang w:val="lt-LT"/>
              </w:rPr>
              <w:t>2</w:t>
            </w:r>
          </w:p>
        </w:tc>
        <w:tc>
          <w:tcPr>
            <w:tcW w:w="1139" w:type="dxa"/>
            <w:gridSpan w:val="10"/>
          </w:tcPr>
          <w:p w:rsidR="001C0D02" w:rsidRPr="004273CC" w:rsidRDefault="001C0D02" w:rsidP="00065FB5">
            <w:pPr>
              <w:tabs>
                <w:tab w:val="left" w:pos="510"/>
              </w:tabs>
              <w:jc w:val="both"/>
              <w:rPr>
                <w:lang w:val="lt-LT"/>
              </w:rPr>
            </w:pPr>
          </w:p>
        </w:tc>
        <w:tc>
          <w:tcPr>
            <w:tcW w:w="926" w:type="dxa"/>
            <w:gridSpan w:val="3"/>
          </w:tcPr>
          <w:p w:rsidR="001C0D02" w:rsidRPr="00986BBB" w:rsidRDefault="001C0D02" w:rsidP="00065FB5">
            <w:pPr>
              <w:tabs>
                <w:tab w:val="left" w:pos="510"/>
              </w:tabs>
              <w:jc w:val="center"/>
              <w:rPr>
                <w:b/>
                <w:lang w:val="lt-LT"/>
              </w:rPr>
            </w:pPr>
            <w:r w:rsidRPr="00986BBB">
              <w:rPr>
                <w:b/>
                <w:lang w:val="lt-LT"/>
              </w:rPr>
              <w:t>3</w:t>
            </w:r>
          </w:p>
        </w:tc>
        <w:tc>
          <w:tcPr>
            <w:tcW w:w="708" w:type="dxa"/>
            <w:gridSpan w:val="7"/>
          </w:tcPr>
          <w:p w:rsidR="001C0D02" w:rsidRPr="00986BBB" w:rsidRDefault="001C0D02" w:rsidP="00065FB5">
            <w:pPr>
              <w:tabs>
                <w:tab w:val="left" w:pos="510"/>
              </w:tabs>
              <w:jc w:val="center"/>
              <w:rPr>
                <w:b/>
                <w:lang w:val="lt-LT"/>
              </w:rPr>
            </w:pPr>
            <w:r w:rsidRPr="00986BBB">
              <w:rPr>
                <w:b/>
                <w:lang w:val="lt-LT"/>
              </w:rPr>
              <w:t>3</w:t>
            </w:r>
          </w:p>
        </w:tc>
        <w:tc>
          <w:tcPr>
            <w:tcW w:w="1133" w:type="dxa"/>
            <w:gridSpan w:val="7"/>
          </w:tcPr>
          <w:p w:rsidR="001C0D02" w:rsidRPr="00986BBB" w:rsidRDefault="001C0D02" w:rsidP="00065FB5">
            <w:pPr>
              <w:tabs>
                <w:tab w:val="left" w:pos="510"/>
              </w:tabs>
              <w:jc w:val="center"/>
              <w:rPr>
                <w:b/>
                <w:lang w:val="lt-LT"/>
              </w:rPr>
            </w:pPr>
            <w:r w:rsidRPr="00986BBB">
              <w:rPr>
                <w:b/>
                <w:lang w:val="lt-LT"/>
              </w:rPr>
              <w:t>9</w:t>
            </w:r>
          </w:p>
        </w:tc>
        <w:tc>
          <w:tcPr>
            <w:tcW w:w="1647" w:type="dxa"/>
            <w:gridSpan w:val="5"/>
          </w:tcPr>
          <w:p w:rsidR="001C0D02" w:rsidRPr="004273CC" w:rsidRDefault="001C0D02" w:rsidP="00065FB5">
            <w:pPr>
              <w:tabs>
                <w:tab w:val="left" w:pos="510"/>
              </w:tabs>
              <w:jc w:val="both"/>
              <w:rPr>
                <w:lang w:val="lt-LT"/>
              </w:rPr>
            </w:pPr>
          </w:p>
        </w:tc>
      </w:tr>
      <w:tr w:rsidR="001C0D02" w:rsidRPr="004273CC" w:rsidTr="001C0D02">
        <w:trPr>
          <w:cantSplit/>
        </w:trPr>
        <w:tc>
          <w:tcPr>
            <w:tcW w:w="807" w:type="dxa"/>
            <w:gridSpan w:val="3"/>
            <w:vMerge/>
            <w:textDirection w:val="btLr"/>
          </w:tcPr>
          <w:p w:rsidR="001C0D02" w:rsidRPr="002E216D" w:rsidRDefault="001C0D02" w:rsidP="00065FB5">
            <w:pPr>
              <w:tabs>
                <w:tab w:val="left" w:pos="510"/>
              </w:tabs>
              <w:ind w:left="113" w:right="113"/>
              <w:jc w:val="center"/>
              <w:rPr>
                <w:b/>
                <w:lang w:val="lt-LT"/>
              </w:rPr>
            </w:pPr>
          </w:p>
        </w:tc>
        <w:tc>
          <w:tcPr>
            <w:tcW w:w="3538" w:type="dxa"/>
            <w:gridSpan w:val="9"/>
          </w:tcPr>
          <w:p w:rsidR="001C0D02" w:rsidRDefault="001C0D02" w:rsidP="00065FB5">
            <w:pPr>
              <w:tabs>
                <w:tab w:val="left" w:pos="510"/>
              </w:tabs>
              <w:jc w:val="both"/>
              <w:rPr>
                <w:lang w:val="lt-LT"/>
              </w:rPr>
            </w:pPr>
            <w:r>
              <w:rPr>
                <w:lang w:val="lt-LT"/>
              </w:rPr>
              <w:t>Atsargų inventorizacija periodiškai nėra atliekama</w:t>
            </w:r>
          </w:p>
        </w:tc>
        <w:tc>
          <w:tcPr>
            <w:tcW w:w="567" w:type="dxa"/>
            <w:gridSpan w:val="7"/>
          </w:tcPr>
          <w:p w:rsidR="001C0D02" w:rsidRPr="004273CC" w:rsidRDefault="001C0D02" w:rsidP="00065FB5">
            <w:pPr>
              <w:tabs>
                <w:tab w:val="left" w:pos="510"/>
              </w:tabs>
              <w:jc w:val="both"/>
              <w:rPr>
                <w:lang w:val="lt-LT"/>
              </w:rPr>
            </w:pPr>
            <w:r>
              <w:rPr>
                <w:lang w:val="lt-LT"/>
              </w:rPr>
              <w:t>B</w:t>
            </w:r>
          </w:p>
        </w:tc>
        <w:tc>
          <w:tcPr>
            <w:tcW w:w="558" w:type="dxa"/>
            <w:gridSpan w:val="7"/>
          </w:tcPr>
          <w:p w:rsidR="001C0D02" w:rsidRPr="004273CC" w:rsidRDefault="001C0D02" w:rsidP="00065FB5">
            <w:pPr>
              <w:tabs>
                <w:tab w:val="left" w:pos="510"/>
              </w:tabs>
              <w:jc w:val="both"/>
              <w:rPr>
                <w:lang w:val="lt-LT"/>
              </w:rPr>
            </w:pPr>
            <w:r>
              <w:rPr>
                <w:lang w:val="lt-LT"/>
              </w:rPr>
              <w:t>KR</w:t>
            </w:r>
          </w:p>
        </w:tc>
        <w:tc>
          <w:tcPr>
            <w:tcW w:w="1033" w:type="dxa"/>
            <w:gridSpan w:val="3"/>
          </w:tcPr>
          <w:p w:rsidR="001C0D02" w:rsidRPr="004273CC" w:rsidRDefault="001C0D02" w:rsidP="00065FB5">
            <w:pPr>
              <w:tabs>
                <w:tab w:val="left" w:pos="510"/>
              </w:tabs>
              <w:jc w:val="both"/>
              <w:rPr>
                <w:lang w:val="lt-LT"/>
              </w:rPr>
            </w:pPr>
          </w:p>
        </w:tc>
        <w:tc>
          <w:tcPr>
            <w:tcW w:w="709" w:type="dxa"/>
            <w:gridSpan w:val="8"/>
          </w:tcPr>
          <w:p w:rsidR="001C0D02" w:rsidRPr="004273CC" w:rsidRDefault="001C0D02" w:rsidP="00065FB5">
            <w:pPr>
              <w:tabs>
                <w:tab w:val="left" w:pos="510"/>
              </w:tabs>
              <w:jc w:val="both"/>
              <w:rPr>
                <w:lang w:val="lt-LT"/>
              </w:rPr>
            </w:pPr>
          </w:p>
        </w:tc>
        <w:tc>
          <w:tcPr>
            <w:tcW w:w="1093" w:type="dxa"/>
            <w:gridSpan w:val="6"/>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r>
              <w:rPr>
                <w:lang w:val="lt-LT"/>
              </w:rPr>
              <w:t>Yra</w:t>
            </w:r>
          </w:p>
        </w:tc>
        <w:tc>
          <w:tcPr>
            <w:tcW w:w="926" w:type="dxa"/>
            <w:gridSpan w:val="3"/>
          </w:tcPr>
          <w:p w:rsidR="001C0D02" w:rsidRPr="004273CC" w:rsidRDefault="001C0D02" w:rsidP="00065FB5">
            <w:pPr>
              <w:tabs>
                <w:tab w:val="left" w:pos="510"/>
              </w:tabs>
              <w:jc w:val="both"/>
              <w:rPr>
                <w:lang w:val="lt-LT"/>
              </w:rPr>
            </w:pPr>
          </w:p>
        </w:tc>
        <w:tc>
          <w:tcPr>
            <w:tcW w:w="708" w:type="dxa"/>
            <w:gridSpan w:val="7"/>
          </w:tcPr>
          <w:p w:rsidR="001C0D02" w:rsidRPr="004273CC" w:rsidRDefault="001C0D02" w:rsidP="00065FB5">
            <w:pPr>
              <w:tabs>
                <w:tab w:val="left" w:pos="510"/>
              </w:tabs>
              <w:jc w:val="both"/>
              <w:rPr>
                <w:lang w:val="lt-LT"/>
              </w:rPr>
            </w:pPr>
          </w:p>
        </w:tc>
        <w:tc>
          <w:tcPr>
            <w:tcW w:w="1133" w:type="dxa"/>
            <w:gridSpan w:val="7"/>
          </w:tcPr>
          <w:p w:rsidR="001C0D02" w:rsidRPr="004273CC" w:rsidRDefault="001C0D02" w:rsidP="00065FB5">
            <w:pPr>
              <w:tabs>
                <w:tab w:val="left" w:pos="510"/>
              </w:tabs>
              <w:jc w:val="both"/>
              <w:rPr>
                <w:lang w:val="lt-LT"/>
              </w:rPr>
            </w:pPr>
          </w:p>
        </w:tc>
        <w:tc>
          <w:tcPr>
            <w:tcW w:w="1647" w:type="dxa"/>
            <w:gridSpan w:val="5"/>
          </w:tcPr>
          <w:p w:rsidR="001C0D02" w:rsidRPr="004273CC" w:rsidRDefault="001C0D02" w:rsidP="00065FB5">
            <w:pPr>
              <w:tabs>
                <w:tab w:val="left" w:pos="510"/>
              </w:tabs>
              <w:jc w:val="both"/>
              <w:rPr>
                <w:lang w:val="lt-LT"/>
              </w:rPr>
            </w:pPr>
            <w:r>
              <w:rPr>
                <w:lang w:val="lt-LT"/>
              </w:rPr>
              <w:t>Yra</w:t>
            </w:r>
          </w:p>
        </w:tc>
      </w:tr>
      <w:tr w:rsidR="001C0D02" w:rsidRPr="004273CC" w:rsidTr="001C0D02">
        <w:trPr>
          <w:cantSplit/>
        </w:trPr>
        <w:tc>
          <w:tcPr>
            <w:tcW w:w="807" w:type="dxa"/>
            <w:gridSpan w:val="3"/>
            <w:vMerge/>
            <w:textDirection w:val="btLr"/>
          </w:tcPr>
          <w:p w:rsidR="001C0D02" w:rsidRPr="002E216D" w:rsidRDefault="001C0D02" w:rsidP="00065FB5">
            <w:pPr>
              <w:tabs>
                <w:tab w:val="left" w:pos="510"/>
              </w:tabs>
              <w:ind w:left="113" w:right="113"/>
              <w:jc w:val="center"/>
              <w:rPr>
                <w:b/>
                <w:lang w:val="lt-LT"/>
              </w:rPr>
            </w:pPr>
          </w:p>
        </w:tc>
        <w:tc>
          <w:tcPr>
            <w:tcW w:w="3538" w:type="dxa"/>
            <w:gridSpan w:val="9"/>
          </w:tcPr>
          <w:p w:rsidR="001C0D02" w:rsidRDefault="001C0D02" w:rsidP="00065FB5">
            <w:pPr>
              <w:tabs>
                <w:tab w:val="left" w:pos="510"/>
              </w:tabs>
              <w:jc w:val="both"/>
              <w:rPr>
                <w:lang w:val="lt-LT"/>
              </w:rPr>
            </w:pPr>
            <w:r>
              <w:rPr>
                <w:lang w:val="lt-LT"/>
              </w:rPr>
              <w:t>Nėra užtikrinama, kad visos sunaudotos atsargos būtų laiku nurašytos</w:t>
            </w:r>
          </w:p>
        </w:tc>
        <w:tc>
          <w:tcPr>
            <w:tcW w:w="567" w:type="dxa"/>
            <w:gridSpan w:val="7"/>
          </w:tcPr>
          <w:p w:rsidR="001C0D02" w:rsidRPr="004273CC" w:rsidRDefault="001C0D02" w:rsidP="00065FB5">
            <w:pPr>
              <w:tabs>
                <w:tab w:val="left" w:pos="510"/>
              </w:tabs>
              <w:jc w:val="both"/>
              <w:rPr>
                <w:lang w:val="lt-LT"/>
              </w:rPr>
            </w:pPr>
            <w:r>
              <w:rPr>
                <w:lang w:val="lt-LT"/>
              </w:rPr>
              <w:t>B, V</w:t>
            </w:r>
          </w:p>
        </w:tc>
        <w:tc>
          <w:tcPr>
            <w:tcW w:w="558" w:type="dxa"/>
            <w:gridSpan w:val="7"/>
          </w:tcPr>
          <w:p w:rsidR="001C0D02" w:rsidRPr="004273CC" w:rsidRDefault="001C0D02" w:rsidP="00065FB5">
            <w:pPr>
              <w:tabs>
                <w:tab w:val="left" w:pos="510"/>
              </w:tabs>
              <w:jc w:val="both"/>
              <w:rPr>
                <w:lang w:val="lt-LT"/>
              </w:rPr>
            </w:pPr>
            <w:r>
              <w:rPr>
                <w:lang w:val="lt-LT"/>
              </w:rPr>
              <w:t>KR</w:t>
            </w:r>
          </w:p>
        </w:tc>
        <w:tc>
          <w:tcPr>
            <w:tcW w:w="1033" w:type="dxa"/>
            <w:gridSpan w:val="3"/>
          </w:tcPr>
          <w:p w:rsidR="001C0D02" w:rsidRPr="004273CC" w:rsidRDefault="001C0D02" w:rsidP="00065FB5">
            <w:pPr>
              <w:tabs>
                <w:tab w:val="left" w:pos="510"/>
              </w:tabs>
              <w:jc w:val="both"/>
              <w:rPr>
                <w:lang w:val="lt-LT"/>
              </w:rPr>
            </w:pPr>
          </w:p>
        </w:tc>
        <w:tc>
          <w:tcPr>
            <w:tcW w:w="709" w:type="dxa"/>
            <w:gridSpan w:val="8"/>
          </w:tcPr>
          <w:p w:rsidR="001C0D02" w:rsidRPr="004273CC" w:rsidRDefault="001C0D02" w:rsidP="00065FB5">
            <w:pPr>
              <w:tabs>
                <w:tab w:val="left" w:pos="510"/>
              </w:tabs>
              <w:jc w:val="both"/>
              <w:rPr>
                <w:lang w:val="lt-LT"/>
              </w:rPr>
            </w:pPr>
          </w:p>
        </w:tc>
        <w:tc>
          <w:tcPr>
            <w:tcW w:w="1093" w:type="dxa"/>
            <w:gridSpan w:val="6"/>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r>
              <w:rPr>
                <w:lang w:val="lt-LT"/>
              </w:rPr>
              <w:t>Yra</w:t>
            </w:r>
          </w:p>
        </w:tc>
        <w:tc>
          <w:tcPr>
            <w:tcW w:w="926" w:type="dxa"/>
            <w:gridSpan w:val="3"/>
          </w:tcPr>
          <w:p w:rsidR="001C0D02" w:rsidRPr="004273CC" w:rsidRDefault="001C0D02" w:rsidP="00065FB5">
            <w:pPr>
              <w:tabs>
                <w:tab w:val="left" w:pos="510"/>
              </w:tabs>
              <w:jc w:val="both"/>
              <w:rPr>
                <w:lang w:val="lt-LT"/>
              </w:rPr>
            </w:pPr>
          </w:p>
        </w:tc>
        <w:tc>
          <w:tcPr>
            <w:tcW w:w="708" w:type="dxa"/>
            <w:gridSpan w:val="7"/>
          </w:tcPr>
          <w:p w:rsidR="001C0D02" w:rsidRPr="004273CC" w:rsidRDefault="001C0D02" w:rsidP="00065FB5">
            <w:pPr>
              <w:tabs>
                <w:tab w:val="left" w:pos="510"/>
              </w:tabs>
              <w:jc w:val="both"/>
              <w:rPr>
                <w:lang w:val="lt-LT"/>
              </w:rPr>
            </w:pPr>
          </w:p>
        </w:tc>
        <w:tc>
          <w:tcPr>
            <w:tcW w:w="1133" w:type="dxa"/>
            <w:gridSpan w:val="7"/>
          </w:tcPr>
          <w:p w:rsidR="001C0D02" w:rsidRPr="004273CC" w:rsidRDefault="001C0D02" w:rsidP="00065FB5">
            <w:pPr>
              <w:tabs>
                <w:tab w:val="left" w:pos="510"/>
              </w:tabs>
              <w:jc w:val="both"/>
              <w:rPr>
                <w:lang w:val="lt-LT"/>
              </w:rPr>
            </w:pPr>
          </w:p>
        </w:tc>
        <w:tc>
          <w:tcPr>
            <w:tcW w:w="1647" w:type="dxa"/>
            <w:gridSpan w:val="5"/>
          </w:tcPr>
          <w:p w:rsidR="001C0D02" w:rsidRPr="004273CC" w:rsidRDefault="001C0D02" w:rsidP="00065FB5">
            <w:pPr>
              <w:tabs>
                <w:tab w:val="left" w:pos="510"/>
              </w:tabs>
              <w:jc w:val="both"/>
              <w:rPr>
                <w:lang w:val="lt-LT"/>
              </w:rPr>
            </w:pPr>
            <w:r>
              <w:rPr>
                <w:lang w:val="lt-LT"/>
              </w:rPr>
              <w:t>Yra</w:t>
            </w:r>
          </w:p>
        </w:tc>
      </w:tr>
      <w:tr w:rsidR="001C0D02" w:rsidRPr="004273CC" w:rsidTr="001C0D02">
        <w:trPr>
          <w:cantSplit/>
        </w:trPr>
        <w:tc>
          <w:tcPr>
            <w:tcW w:w="807" w:type="dxa"/>
            <w:gridSpan w:val="3"/>
            <w:vMerge/>
            <w:textDirection w:val="btLr"/>
          </w:tcPr>
          <w:p w:rsidR="001C0D02" w:rsidRPr="002E216D" w:rsidRDefault="001C0D02" w:rsidP="00065FB5">
            <w:pPr>
              <w:tabs>
                <w:tab w:val="left" w:pos="510"/>
              </w:tabs>
              <w:ind w:left="113" w:right="113"/>
              <w:jc w:val="center"/>
              <w:rPr>
                <w:b/>
                <w:lang w:val="lt-LT"/>
              </w:rPr>
            </w:pPr>
          </w:p>
        </w:tc>
        <w:tc>
          <w:tcPr>
            <w:tcW w:w="3538" w:type="dxa"/>
            <w:gridSpan w:val="9"/>
          </w:tcPr>
          <w:p w:rsidR="001C0D02" w:rsidRDefault="001C0D02" w:rsidP="00065FB5">
            <w:pPr>
              <w:tabs>
                <w:tab w:val="left" w:pos="510"/>
              </w:tabs>
              <w:jc w:val="both"/>
              <w:rPr>
                <w:lang w:val="lt-LT"/>
              </w:rPr>
            </w:pPr>
            <w:r>
              <w:rPr>
                <w:lang w:val="lt-LT"/>
              </w:rPr>
              <w:t>Nėra patvirtinta atsargų inventorizacijos tvarka</w:t>
            </w:r>
          </w:p>
        </w:tc>
        <w:tc>
          <w:tcPr>
            <w:tcW w:w="567" w:type="dxa"/>
            <w:gridSpan w:val="7"/>
          </w:tcPr>
          <w:p w:rsidR="001C0D02" w:rsidRPr="004273CC" w:rsidRDefault="001C0D02" w:rsidP="00065FB5">
            <w:pPr>
              <w:tabs>
                <w:tab w:val="left" w:pos="510"/>
              </w:tabs>
              <w:jc w:val="both"/>
              <w:rPr>
                <w:lang w:val="lt-LT"/>
              </w:rPr>
            </w:pPr>
            <w:r>
              <w:rPr>
                <w:lang w:val="lt-LT"/>
              </w:rPr>
              <w:t>B</w:t>
            </w:r>
          </w:p>
        </w:tc>
        <w:tc>
          <w:tcPr>
            <w:tcW w:w="558" w:type="dxa"/>
            <w:gridSpan w:val="7"/>
          </w:tcPr>
          <w:p w:rsidR="001C0D02" w:rsidRPr="004273CC" w:rsidRDefault="001C0D02" w:rsidP="00065FB5">
            <w:pPr>
              <w:tabs>
                <w:tab w:val="left" w:pos="510"/>
              </w:tabs>
              <w:jc w:val="both"/>
              <w:rPr>
                <w:lang w:val="lt-LT"/>
              </w:rPr>
            </w:pPr>
            <w:r>
              <w:rPr>
                <w:lang w:val="lt-LT"/>
              </w:rPr>
              <w:t>KR</w:t>
            </w:r>
          </w:p>
        </w:tc>
        <w:tc>
          <w:tcPr>
            <w:tcW w:w="1033" w:type="dxa"/>
            <w:gridSpan w:val="3"/>
          </w:tcPr>
          <w:p w:rsidR="001C0D02" w:rsidRPr="004273CC" w:rsidRDefault="001C0D02" w:rsidP="00065FB5">
            <w:pPr>
              <w:tabs>
                <w:tab w:val="left" w:pos="510"/>
              </w:tabs>
              <w:jc w:val="both"/>
              <w:rPr>
                <w:lang w:val="lt-LT"/>
              </w:rPr>
            </w:pPr>
          </w:p>
        </w:tc>
        <w:tc>
          <w:tcPr>
            <w:tcW w:w="709" w:type="dxa"/>
            <w:gridSpan w:val="8"/>
          </w:tcPr>
          <w:p w:rsidR="001C0D02" w:rsidRPr="004273CC" w:rsidRDefault="001C0D02" w:rsidP="00065FB5">
            <w:pPr>
              <w:tabs>
                <w:tab w:val="left" w:pos="510"/>
              </w:tabs>
              <w:jc w:val="both"/>
              <w:rPr>
                <w:lang w:val="lt-LT"/>
              </w:rPr>
            </w:pPr>
          </w:p>
        </w:tc>
        <w:tc>
          <w:tcPr>
            <w:tcW w:w="1093" w:type="dxa"/>
            <w:gridSpan w:val="6"/>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r>
              <w:rPr>
                <w:lang w:val="lt-LT"/>
              </w:rPr>
              <w:t>Yra</w:t>
            </w:r>
          </w:p>
        </w:tc>
        <w:tc>
          <w:tcPr>
            <w:tcW w:w="926" w:type="dxa"/>
            <w:gridSpan w:val="3"/>
          </w:tcPr>
          <w:p w:rsidR="001C0D02" w:rsidRPr="004273CC" w:rsidRDefault="001C0D02" w:rsidP="00065FB5">
            <w:pPr>
              <w:tabs>
                <w:tab w:val="left" w:pos="510"/>
              </w:tabs>
              <w:jc w:val="both"/>
              <w:rPr>
                <w:lang w:val="lt-LT"/>
              </w:rPr>
            </w:pPr>
          </w:p>
        </w:tc>
        <w:tc>
          <w:tcPr>
            <w:tcW w:w="708" w:type="dxa"/>
            <w:gridSpan w:val="7"/>
          </w:tcPr>
          <w:p w:rsidR="001C0D02" w:rsidRPr="004273CC" w:rsidRDefault="001C0D02" w:rsidP="00065FB5">
            <w:pPr>
              <w:tabs>
                <w:tab w:val="left" w:pos="510"/>
              </w:tabs>
              <w:jc w:val="both"/>
              <w:rPr>
                <w:lang w:val="lt-LT"/>
              </w:rPr>
            </w:pPr>
          </w:p>
        </w:tc>
        <w:tc>
          <w:tcPr>
            <w:tcW w:w="1133" w:type="dxa"/>
            <w:gridSpan w:val="7"/>
          </w:tcPr>
          <w:p w:rsidR="001C0D02" w:rsidRPr="004273CC" w:rsidRDefault="001C0D02" w:rsidP="00065FB5">
            <w:pPr>
              <w:tabs>
                <w:tab w:val="left" w:pos="510"/>
              </w:tabs>
              <w:jc w:val="both"/>
              <w:rPr>
                <w:lang w:val="lt-LT"/>
              </w:rPr>
            </w:pPr>
          </w:p>
        </w:tc>
        <w:tc>
          <w:tcPr>
            <w:tcW w:w="1647" w:type="dxa"/>
            <w:gridSpan w:val="5"/>
          </w:tcPr>
          <w:p w:rsidR="001C0D02" w:rsidRPr="004273CC" w:rsidRDefault="001C0D02" w:rsidP="00065FB5">
            <w:pPr>
              <w:tabs>
                <w:tab w:val="left" w:pos="510"/>
              </w:tabs>
              <w:jc w:val="both"/>
              <w:rPr>
                <w:lang w:val="lt-LT"/>
              </w:rPr>
            </w:pPr>
            <w:r>
              <w:rPr>
                <w:lang w:val="lt-LT"/>
              </w:rPr>
              <w:t>Yra</w:t>
            </w:r>
          </w:p>
        </w:tc>
      </w:tr>
      <w:tr w:rsidR="001C0D02" w:rsidRPr="004273CC" w:rsidTr="001C0D02">
        <w:trPr>
          <w:cantSplit/>
        </w:trPr>
        <w:tc>
          <w:tcPr>
            <w:tcW w:w="807" w:type="dxa"/>
            <w:gridSpan w:val="3"/>
            <w:vMerge/>
            <w:textDirection w:val="btLr"/>
          </w:tcPr>
          <w:p w:rsidR="001C0D02" w:rsidRPr="002E216D" w:rsidRDefault="001C0D02" w:rsidP="00065FB5">
            <w:pPr>
              <w:tabs>
                <w:tab w:val="left" w:pos="510"/>
              </w:tabs>
              <w:ind w:left="113" w:right="113"/>
              <w:jc w:val="center"/>
              <w:rPr>
                <w:b/>
                <w:lang w:val="lt-LT"/>
              </w:rPr>
            </w:pPr>
          </w:p>
        </w:tc>
        <w:tc>
          <w:tcPr>
            <w:tcW w:w="3538" w:type="dxa"/>
            <w:gridSpan w:val="9"/>
          </w:tcPr>
          <w:p w:rsidR="001C0D02" w:rsidRDefault="001C0D02" w:rsidP="00065FB5">
            <w:pPr>
              <w:tabs>
                <w:tab w:val="left" w:pos="510"/>
              </w:tabs>
              <w:jc w:val="both"/>
              <w:rPr>
                <w:lang w:val="lt-LT"/>
              </w:rPr>
            </w:pPr>
            <w:r>
              <w:rPr>
                <w:lang w:val="lt-LT"/>
              </w:rPr>
              <w:t>Nesilaikoma inventorizacijos tvarkos arba ji yra netinkama</w:t>
            </w:r>
          </w:p>
        </w:tc>
        <w:tc>
          <w:tcPr>
            <w:tcW w:w="567" w:type="dxa"/>
            <w:gridSpan w:val="7"/>
          </w:tcPr>
          <w:p w:rsidR="001C0D02" w:rsidRPr="004273CC" w:rsidRDefault="001C0D02" w:rsidP="00065FB5">
            <w:pPr>
              <w:tabs>
                <w:tab w:val="left" w:pos="510"/>
              </w:tabs>
              <w:jc w:val="both"/>
              <w:rPr>
                <w:lang w:val="lt-LT"/>
              </w:rPr>
            </w:pPr>
            <w:r>
              <w:rPr>
                <w:lang w:val="lt-LT"/>
              </w:rPr>
              <w:t>B</w:t>
            </w:r>
          </w:p>
        </w:tc>
        <w:tc>
          <w:tcPr>
            <w:tcW w:w="558" w:type="dxa"/>
            <w:gridSpan w:val="7"/>
          </w:tcPr>
          <w:p w:rsidR="001C0D02" w:rsidRPr="004273CC" w:rsidRDefault="001C0D02" w:rsidP="00065FB5">
            <w:pPr>
              <w:tabs>
                <w:tab w:val="left" w:pos="510"/>
              </w:tabs>
              <w:jc w:val="both"/>
              <w:rPr>
                <w:lang w:val="lt-LT"/>
              </w:rPr>
            </w:pPr>
            <w:r>
              <w:rPr>
                <w:lang w:val="lt-LT"/>
              </w:rPr>
              <w:t>KR</w:t>
            </w:r>
          </w:p>
        </w:tc>
        <w:tc>
          <w:tcPr>
            <w:tcW w:w="1033" w:type="dxa"/>
            <w:gridSpan w:val="3"/>
          </w:tcPr>
          <w:p w:rsidR="001C0D02" w:rsidRPr="004273CC" w:rsidRDefault="001C0D02" w:rsidP="00065FB5">
            <w:pPr>
              <w:tabs>
                <w:tab w:val="left" w:pos="510"/>
              </w:tabs>
              <w:jc w:val="both"/>
              <w:rPr>
                <w:lang w:val="lt-LT"/>
              </w:rPr>
            </w:pPr>
          </w:p>
        </w:tc>
        <w:tc>
          <w:tcPr>
            <w:tcW w:w="709" w:type="dxa"/>
            <w:gridSpan w:val="8"/>
          </w:tcPr>
          <w:p w:rsidR="001C0D02" w:rsidRPr="004273CC" w:rsidRDefault="001C0D02" w:rsidP="00065FB5">
            <w:pPr>
              <w:tabs>
                <w:tab w:val="left" w:pos="510"/>
              </w:tabs>
              <w:jc w:val="both"/>
              <w:rPr>
                <w:lang w:val="lt-LT"/>
              </w:rPr>
            </w:pPr>
          </w:p>
        </w:tc>
        <w:tc>
          <w:tcPr>
            <w:tcW w:w="1093" w:type="dxa"/>
            <w:gridSpan w:val="6"/>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r>
              <w:rPr>
                <w:lang w:val="lt-LT"/>
              </w:rPr>
              <w:t>Laikosi</w:t>
            </w:r>
          </w:p>
        </w:tc>
        <w:tc>
          <w:tcPr>
            <w:tcW w:w="926" w:type="dxa"/>
            <w:gridSpan w:val="3"/>
          </w:tcPr>
          <w:p w:rsidR="001C0D02" w:rsidRPr="004273CC" w:rsidRDefault="001C0D02" w:rsidP="00065FB5">
            <w:pPr>
              <w:tabs>
                <w:tab w:val="left" w:pos="510"/>
              </w:tabs>
              <w:jc w:val="both"/>
              <w:rPr>
                <w:lang w:val="lt-LT"/>
              </w:rPr>
            </w:pPr>
          </w:p>
        </w:tc>
        <w:tc>
          <w:tcPr>
            <w:tcW w:w="708" w:type="dxa"/>
            <w:gridSpan w:val="7"/>
          </w:tcPr>
          <w:p w:rsidR="001C0D02" w:rsidRPr="004273CC" w:rsidRDefault="001C0D02" w:rsidP="00065FB5">
            <w:pPr>
              <w:tabs>
                <w:tab w:val="left" w:pos="510"/>
              </w:tabs>
              <w:jc w:val="both"/>
              <w:rPr>
                <w:lang w:val="lt-LT"/>
              </w:rPr>
            </w:pPr>
          </w:p>
        </w:tc>
        <w:tc>
          <w:tcPr>
            <w:tcW w:w="1133" w:type="dxa"/>
            <w:gridSpan w:val="7"/>
          </w:tcPr>
          <w:p w:rsidR="001C0D02" w:rsidRPr="004273CC" w:rsidRDefault="001C0D02" w:rsidP="00065FB5">
            <w:pPr>
              <w:tabs>
                <w:tab w:val="left" w:pos="510"/>
              </w:tabs>
              <w:jc w:val="both"/>
              <w:rPr>
                <w:lang w:val="lt-LT"/>
              </w:rPr>
            </w:pPr>
          </w:p>
        </w:tc>
        <w:tc>
          <w:tcPr>
            <w:tcW w:w="1647" w:type="dxa"/>
            <w:gridSpan w:val="5"/>
          </w:tcPr>
          <w:p w:rsidR="001C0D02" w:rsidRPr="004273CC" w:rsidRDefault="001C0D02" w:rsidP="00065FB5">
            <w:pPr>
              <w:tabs>
                <w:tab w:val="left" w:pos="510"/>
              </w:tabs>
              <w:jc w:val="both"/>
              <w:rPr>
                <w:lang w:val="lt-LT"/>
              </w:rPr>
            </w:pPr>
            <w:r>
              <w:rPr>
                <w:lang w:val="lt-LT"/>
              </w:rPr>
              <w:t>Laikosi</w:t>
            </w:r>
          </w:p>
        </w:tc>
      </w:tr>
      <w:tr w:rsidR="001C0D02" w:rsidRPr="004273CC" w:rsidTr="001C0D02">
        <w:trPr>
          <w:cantSplit/>
        </w:trPr>
        <w:tc>
          <w:tcPr>
            <w:tcW w:w="807" w:type="dxa"/>
            <w:gridSpan w:val="3"/>
            <w:vMerge/>
            <w:textDirection w:val="btLr"/>
          </w:tcPr>
          <w:p w:rsidR="001C0D02" w:rsidRPr="002E216D" w:rsidRDefault="001C0D02" w:rsidP="00065FB5">
            <w:pPr>
              <w:tabs>
                <w:tab w:val="left" w:pos="510"/>
              </w:tabs>
              <w:ind w:left="113" w:right="113"/>
              <w:jc w:val="center"/>
              <w:rPr>
                <w:b/>
                <w:lang w:val="lt-LT"/>
              </w:rPr>
            </w:pPr>
          </w:p>
        </w:tc>
        <w:tc>
          <w:tcPr>
            <w:tcW w:w="3538" w:type="dxa"/>
            <w:gridSpan w:val="9"/>
          </w:tcPr>
          <w:p w:rsidR="001C0D02" w:rsidRDefault="001C0D02" w:rsidP="00065FB5">
            <w:pPr>
              <w:tabs>
                <w:tab w:val="left" w:pos="510"/>
              </w:tabs>
              <w:jc w:val="both"/>
              <w:rPr>
                <w:lang w:val="lt-LT"/>
              </w:rPr>
            </w:pPr>
            <w:r>
              <w:rPr>
                <w:lang w:val="lt-LT"/>
              </w:rPr>
              <w:t>Inventorizacijos rezultatai neparodomi apskaitoje</w:t>
            </w:r>
          </w:p>
        </w:tc>
        <w:tc>
          <w:tcPr>
            <w:tcW w:w="567" w:type="dxa"/>
            <w:gridSpan w:val="7"/>
          </w:tcPr>
          <w:p w:rsidR="001C0D02" w:rsidRPr="004273CC" w:rsidRDefault="001C0D02" w:rsidP="00065FB5">
            <w:pPr>
              <w:tabs>
                <w:tab w:val="left" w:pos="510"/>
              </w:tabs>
              <w:jc w:val="both"/>
              <w:rPr>
                <w:lang w:val="lt-LT"/>
              </w:rPr>
            </w:pPr>
            <w:r>
              <w:rPr>
                <w:lang w:val="lt-LT"/>
              </w:rPr>
              <w:t>I, V</w:t>
            </w:r>
          </w:p>
        </w:tc>
        <w:tc>
          <w:tcPr>
            <w:tcW w:w="558" w:type="dxa"/>
            <w:gridSpan w:val="7"/>
          </w:tcPr>
          <w:p w:rsidR="001C0D02" w:rsidRPr="004273CC" w:rsidRDefault="001C0D02" w:rsidP="00065FB5">
            <w:pPr>
              <w:tabs>
                <w:tab w:val="left" w:pos="510"/>
              </w:tabs>
              <w:jc w:val="both"/>
              <w:rPr>
                <w:lang w:val="lt-LT"/>
              </w:rPr>
            </w:pPr>
          </w:p>
        </w:tc>
        <w:tc>
          <w:tcPr>
            <w:tcW w:w="1033" w:type="dxa"/>
            <w:gridSpan w:val="3"/>
          </w:tcPr>
          <w:p w:rsidR="001C0D02" w:rsidRPr="004273CC" w:rsidRDefault="001C0D02" w:rsidP="00065FB5">
            <w:pPr>
              <w:tabs>
                <w:tab w:val="left" w:pos="510"/>
              </w:tabs>
              <w:jc w:val="both"/>
              <w:rPr>
                <w:lang w:val="lt-LT"/>
              </w:rPr>
            </w:pPr>
          </w:p>
        </w:tc>
        <w:tc>
          <w:tcPr>
            <w:tcW w:w="709" w:type="dxa"/>
            <w:gridSpan w:val="8"/>
          </w:tcPr>
          <w:p w:rsidR="001C0D02" w:rsidRPr="004273CC" w:rsidRDefault="001C0D02" w:rsidP="00065FB5">
            <w:pPr>
              <w:tabs>
                <w:tab w:val="left" w:pos="510"/>
              </w:tabs>
              <w:jc w:val="both"/>
              <w:rPr>
                <w:lang w:val="lt-LT"/>
              </w:rPr>
            </w:pPr>
          </w:p>
        </w:tc>
        <w:tc>
          <w:tcPr>
            <w:tcW w:w="1093" w:type="dxa"/>
            <w:gridSpan w:val="6"/>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r>
              <w:rPr>
                <w:lang w:val="lt-LT"/>
              </w:rPr>
              <w:t>Yra</w:t>
            </w:r>
          </w:p>
        </w:tc>
        <w:tc>
          <w:tcPr>
            <w:tcW w:w="926" w:type="dxa"/>
            <w:gridSpan w:val="3"/>
          </w:tcPr>
          <w:p w:rsidR="001C0D02" w:rsidRPr="004273CC" w:rsidRDefault="001C0D02" w:rsidP="00065FB5">
            <w:pPr>
              <w:tabs>
                <w:tab w:val="left" w:pos="510"/>
              </w:tabs>
              <w:jc w:val="both"/>
              <w:rPr>
                <w:lang w:val="lt-LT"/>
              </w:rPr>
            </w:pPr>
          </w:p>
        </w:tc>
        <w:tc>
          <w:tcPr>
            <w:tcW w:w="708" w:type="dxa"/>
            <w:gridSpan w:val="7"/>
          </w:tcPr>
          <w:p w:rsidR="001C0D02" w:rsidRPr="004273CC" w:rsidRDefault="001C0D02" w:rsidP="00065FB5">
            <w:pPr>
              <w:tabs>
                <w:tab w:val="left" w:pos="510"/>
              </w:tabs>
              <w:jc w:val="both"/>
              <w:rPr>
                <w:lang w:val="lt-LT"/>
              </w:rPr>
            </w:pPr>
          </w:p>
        </w:tc>
        <w:tc>
          <w:tcPr>
            <w:tcW w:w="1133" w:type="dxa"/>
            <w:gridSpan w:val="7"/>
          </w:tcPr>
          <w:p w:rsidR="001C0D02" w:rsidRPr="004273CC" w:rsidRDefault="001C0D02" w:rsidP="00065FB5">
            <w:pPr>
              <w:tabs>
                <w:tab w:val="left" w:pos="510"/>
              </w:tabs>
              <w:jc w:val="both"/>
              <w:rPr>
                <w:lang w:val="lt-LT"/>
              </w:rPr>
            </w:pPr>
          </w:p>
        </w:tc>
        <w:tc>
          <w:tcPr>
            <w:tcW w:w="1647" w:type="dxa"/>
            <w:gridSpan w:val="5"/>
          </w:tcPr>
          <w:p w:rsidR="001C0D02" w:rsidRPr="004273CC" w:rsidRDefault="001C0D02" w:rsidP="00065FB5">
            <w:pPr>
              <w:tabs>
                <w:tab w:val="left" w:pos="510"/>
              </w:tabs>
              <w:jc w:val="both"/>
              <w:rPr>
                <w:lang w:val="lt-LT"/>
              </w:rPr>
            </w:pPr>
            <w:r>
              <w:rPr>
                <w:lang w:val="lt-LT"/>
              </w:rPr>
              <w:t>Yra</w:t>
            </w:r>
          </w:p>
        </w:tc>
      </w:tr>
      <w:tr w:rsidR="001C0D02" w:rsidRPr="004273CC" w:rsidTr="001C0D02">
        <w:trPr>
          <w:cantSplit/>
        </w:trPr>
        <w:tc>
          <w:tcPr>
            <w:tcW w:w="807" w:type="dxa"/>
            <w:gridSpan w:val="3"/>
            <w:vMerge/>
            <w:textDirection w:val="btLr"/>
          </w:tcPr>
          <w:p w:rsidR="001C0D02" w:rsidRPr="002E216D" w:rsidRDefault="001C0D02" w:rsidP="00065FB5">
            <w:pPr>
              <w:tabs>
                <w:tab w:val="left" w:pos="510"/>
              </w:tabs>
              <w:ind w:left="113" w:right="113"/>
              <w:jc w:val="center"/>
              <w:rPr>
                <w:b/>
                <w:lang w:val="lt-LT"/>
              </w:rPr>
            </w:pPr>
          </w:p>
        </w:tc>
        <w:tc>
          <w:tcPr>
            <w:tcW w:w="3538" w:type="dxa"/>
            <w:gridSpan w:val="9"/>
          </w:tcPr>
          <w:p w:rsidR="001C0D02" w:rsidRDefault="001C0D02" w:rsidP="00065FB5">
            <w:pPr>
              <w:tabs>
                <w:tab w:val="left" w:pos="510"/>
              </w:tabs>
              <w:jc w:val="both"/>
              <w:rPr>
                <w:lang w:val="lt-LT"/>
              </w:rPr>
            </w:pPr>
            <w:r>
              <w:rPr>
                <w:lang w:val="lt-LT"/>
              </w:rPr>
              <w:t>Nėra nustatyta atsakomybės dėl inventorizacijos rezultatų tvarka</w:t>
            </w:r>
          </w:p>
        </w:tc>
        <w:tc>
          <w:tcPr>
            <w:tcW w:w="567" w:type="dxa"/>
            <w:gridSpan w:val="7"/>
          </w:tcPr>
          <w:p w:rsidR="001C0D02" w:rsidRPr="004273CC" w:rsidRDefault="001C0D02" w:rsidP="00065FB5">
            <w:pPr>
              <w:tabs>
                <w:tab w:val="left" w:pos="510"/>
              </w:tabs>
              <w:jc w:val="both"/>
              <w:rPr>
                <w:lang w:val="lt-LT"/>
              </w:rPr>
            </w:pPr>
            <w:r>
              <w:rPr>
                <w:lang w:val="lt-LT"/>
              </w:rPr>
              <w:t>I, V</w:t>
            </w:r>
          </w:p>
        </w:tc>
        <w:tc>
          <w:tcPr>
            <w:tcW w:w="558" w:type="dxa"/>
            <w:gridSpan w:val="7"/>
          </w:tcPr>
          <w:p w:rsidR="001C0D02" w:rsidRPr="004273CC" w:rsidRDefault="001C0D02" w:rsidP="00065FB5">
            <w:pPr>
              <w:tabs>
                <w:tab w:val="left" w:pos="510"/>
              </w:tabs>
              <w:jc w:val="both"/>
              <w:rPr>
                <w:lang w:val="lt-LT"/>
              </w:rPr>
            </w:pPr>
          </w:p>
        </w:tc>
        <w:tc>
          <w:tcPr>
            <w:tcW w:w="1033" w:type="dxa"/>
            <w:gridSpan w:val="3"/>
          </w:tcPr>
          <w:p w:rsidR="001C0D02" w:rsidRPr="004273CC" w:rsidRDefault="001C0D02" w:rsidP="00065FB5">
            <w:pPr>
              <w:tabs>
                <w:tab w:val="left" w:pos="510"/>
              </w:tabs>
              <w:jc w:val="both"/>
              <w:rPr>
                <w:lang w:val="lt-LT"/>
              </w:rPr>
            </w:pPr>
          </w:p>
        </w:tc>
        <w:tc>
          <w:tcPr>
            <w:tcW w:w="709" w:type="dxa"/>
            <w:gridSpan w:val="8"/>
          </w:tcPr>
          <w:p w:rsidR="001C0D02" w:rsidRPr="004273CC" w:rsidRDefault="001C0D02" w:rsidP="00065FB5">
            <w:pPr>
              <w:tabs>
                <w:tab w:val="left" w:pos="510"/>
              </w:tabs>
              <w:jc w:val="both"/>
              <w:rPr>
                <w:lang w:val="lt-LT"/>
              </w:rPr>
            </w:pPr>
          </w:p>
        </w:tc>
        <w:tc>
          <w:tcPr>
            <w:tcW w:w="1093" w:type="dxa"/>
            <w:gridSpan w:val="6"/>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r>
              <w:rPr>
                <w:lang w:val="lt-LT"/>
              </w:rPr>
              <w:t>Yra</w:t>
            </w:r>
          </w:p>
        </w:tc>
        <w:tc>
          <w:tcPr>
            <w:tcW w:w="926" w:type="dxa"/>
            <w:gridSpan w:val="3"/>
          </w:tcPr>
          <w:p w:rsidR="001C0D02" w:rsidRPr="004273CC" w:rsidRDefault="001C0D02" w:rsidP="00065FB5">
            <w:pPr>
              <w:tabs>
                <w:tab w:val="left" w:pos="510"/>
              </w:tabs>
              <w:jc w:val="both"/>
              <w:rPr>
                <w:lang w:val="lt-LT"/>
              </w:rPr>
            </w:pPr>
          </w:p>
        </w:tc>
        <w:tc>
          <w:tcPr>
            <w:tcW w:w="708" w:type="dxa"/>
            <w:gridSpan w:val="7"/>
          </w:tcPr>
          <w:p w:rsidR="001C0D02" w:rsidRPr="004273CC" w:rsidRDefault="001C0D02" w:rsidP="00065FB5">
            <w:pPr>
              <w:tabs>
                <w:tab w:val="left" w:pos="510"/>
              </w:tabs>
              <w:jc w:val="both"/>
              <w:rPr>
                <w:lang w:val="lt-LT"/>
              </w:rPr>
            </w:pPr>
          </w:p>
        </w:tc>
        <w:tc>
          <w:tcPr>
            <w:tcW w:w="1133" w:type="dxa"/>
            <w:gridSpan w:val="7"/>
          </w:tcPr>
          <w:p w:rsidR="001C0D02" w:rsidRPr="004273CC" w:rsidRDefault="001C0D02" w:rsidP="00065FB5">
            <w:pPr>
              <w:tabs>
                <w:tab w:val="left" w:pos="510"/>
              </w:tabs>
              <w:jc w:val="both"/>
              <w:rPr>
                <w:lang w:val="lt-LT"/>
              </w:rPr>
            </w:pPr>
          </w:p>
        </w:tc>
        <w:tc>
          <w:tcPr>
            <w:tcW w:w="1647" w:type="dxa"/>
            <w:gridSpan w:val="5"/>
          </w:tcPr>
          <w:p w:rsidR="001C0D02" w:rsidRPr="004273CC" w:rsidRDefault="001C0D02" w:rsidP="00065FB5">
            <w:pPr>
              <w:tabs>
                <w:tab w:val="left" w:pos="510"/>
              </w:tabs>
              <w:jc w:val="both"/>
              <w:rPr>
                <w:lang w:val="lt-LT"/>
              </w:rPr>
            </w:pPr>
            <w:r>
              <w:rPr>
                <w:lang w:val="lt-LT"/>
              </w:rPr>
              <w:t>Yra</w:t>
            </w:r>
          </w:p>
        </w:tc>
      </w:tr>
      <w:tr w:rsidR="001C0D02" w:rsidRPr="004273CC" w:rsidTr="001C0D02">
        <w:trPr>
          <w:cantSplit/>
        </w:trPr>
        <w:tc>
          <w:tcPr>
            <w:tcW w:w="807" w:type="dxa"/>
            <w:gridSpan w:val="3"/>
            <w:vMerge/>
            <w:textDirection w:val="btLr"/>
          </w:tcPr>
          <w:p w:rsidR="001C0D02" w:rsidRPr="002E216D" w:rsidRDefault="001C0D02" w:rsidP="00065FB5">
            <w:pPr>
              <w:tabs>
                <w:tab w:val="left" w:pos="510"/>
              </w:tabs>
              <w:ind w:left="113" w:right="113"/>
              <w:jc w:val="center"/>
              <w:rPr>
                <w:b/>
                <w:lang w:val="lt-LT"/>
              </w:rPr>
            </w:pPr>
          </w:p>
        </w:tc>
        <w:tc>
          <w:tcPr>
            <w:tcW w:w="3538" w:type="dxa"/>
            <w:gridSpan w:val="9"/>
          </w:tcPr>
          <w:p w:rsidR="001C0D02" w:rsidRDefault="001C0D02" w:rsidP="00065FB5">
            <w:pPr>
              <w:tabs>
                <w:tab w:val="left" w:pos="510"/>
              </w:tabs>
              <w:jc w:val="both"/>
              <w:rPr>
                <w:lang w:val="lt-LT"/>
              </w:rPr>
            </w:pPr>
            <w:r>
              <w:rPr>
                <w:lang w:val="lt-LT"/>
              </w:rPr>
              <w:t>Nėra tikrinama, kad gautos atsargos atitinka padarytus užsakymus / sutartis, nėra nustatyta atsargų gavimo kontrolė</w:t>
            </w:r>
          </w:p>
        </w:tc>
        <w:tc>
          <w:tcPr>
            <w:tcW w:w="567" w:type="dxa"/>
            <w:gridSpan w:val="7"/>
          </w:tcPr>
          <w:p w:rsidR="001C0D02" w:rsidRPr="004273CC" w:rsidRDefault="001C0D02" w:rsidP="00065FB5">
            <w:pPr>
              <w:tabs>
                <w:tab w:val="left" w:pos="510"/>
              </w:tabs>
              <w:jc w:val="both"/>
              <w:rPr>
                <w:lang w:val="lt-LT"/>
              </w:rPr>
            </w:pPr>
            <w:r>
              <w:rPr>
                <w:lang w:val="lt-LT"/>
              </w:rPr>
              <w:t>I, B</w:t>
            </w:r>
          </w:p>
        </w:tc>
        <w:tc>
          <w:tcPr>
            <w:tcW w:w="558" w:type="dxa"/>
            <w:gridSpan w:val="7"/>
          </w:tcPr>
          <w:p w:rsidR="001C0D02" w:rsidRPr="004273CC" w:rsidRDefault="001C0D02" w:rsidP="00065FB5">
            <w:pPr>
              <w:tabs>
                <w:tab w:val="left" w:pos="510"/>
              </w:tabs>
              <w:jc w:val="both"/>
              <w:rPr>
                <w:lang w:val="lt-LT"/>
              </w:rPr>
            </w:pPr>
            <w:r>
              <w:rPr>
                <w:lang w:val="lt-LT"/>
              </w:rPr>
              <w:t>KR</w:t>
            </w:r>
          </w:p>
        </w:tc>
        <w:tc>
          <w:tcPr>
            <w:tcW w:w="1033" w:type="dxa"/>
            <w:gridSpan w:val="3"/>
          </w:tcPr>
          <w:p w:rsidR="001C0D02" w:rsidRPr="004273CC" w:rsidRDefault="001C0D02" w:rsidP="00065FB5">
            <w:pPr>
              <w:tabs>
                <w:tab w:val="left" w:pos="510"/>
              </w:tabs>
              <w:jc w:val="both"/>
              <w:rPr>
                <w:lang w:val="lt-LT"/>
              </w:rPr>
            </w:pPr>
          </w:p>
        </w:tc>
        <w:tc>
          <w:tcPr>
            <w:tcW w:w="709" w:type="dxa"/>
            <w:gridSpan w:val="8"/>
          </w:tcPr>
          <w:p w:rsidR="001C0D02" w:rsidRPr="004273CC" w:rsidRDefault="001C0D02" w:rsidP="00065FB5">
            <w:pPr>
              <w:tabs>
                <w:tab w:val="left" w:pos="510"/>
              </w:tabs>
              <w:jc w:val="both"/>
              <w:rPr>
                <w:lang w:val="lt-LT"/>
              </w:rPr>
            </w:pPr>
          </w:p>
        </w:tc>
        <w:tc>
          <w:tcPr>
            <w:tcW w:w="1093" w:type="dxa"/>
            <w:gridSpan w:val="6"/>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r>
              <w:rPr>
                <w:lang w:val="lt-LT"/>
              </w:rPr>
              <w:t>Yra</w:t>
            </w:r>
          </w:p>
        </w:tc>
        <w:tc>
          <w:tcPr>
            <w:tcW w:w="926" w:type="dxa"/>
            <w:gridSpan w:val="3"/>
          </w:tcPr>
          <w:p w:rsidR="001C0D02" w:rsidRPr="004273CC" w:rsidRDefault="001C0D02" w:rsidP="00065FB5">
            <w:pPr>
              <w:tabs>
                <w:tab w:val="left" w:pos="510"/>
              </w:tabs>
              <w:jc w:val="both"/>
              <w:rPr>
                <w:lang w:val="lt-LT"/>
              </w:rPr>
            </w:pPr>
          </w:p>
        </w:tc>
        <w:tc>
          <w:tcPr>
            <w:tcW w:w="708" w:type="dxa"/>
            <w:gridSpan w:val="7"/>
          </w:tcPr>
          <w:p w:rsidR="001C0D02" w:rsidRPr="004273CC" w:rsidRDefault="001C0D02" w:rsidP="00065FB5">
            <w:pPr>
              <w:tabs>
                <w:tab w:val="left" w:pos="510"/>
              </w:tabs>
              <w:jc w:val="both"/>
              <w:rPr>
                <w:lang w:val="lt-LT"/>
              </w:rPr>
            </w:pPr>
          </w:p>
        </w:tc>
        <w:tc>
          <w:tcPr>
            <w:tcW w:w="1133" w:type="dxa"/>
            <w:gridSpan w:val="7"/>
          </w:tcPr>
          <w:p w:rsidR="001C0D02" w:rsidRPr="004273CC" w:rsidRDefault="001C0D02" w:rsidP="00065FB5">
            <w:pPr>
              <w:tabs>
                <w:tab w:val="left" w:pos="510"/>
              </w:tabs>
              <w:jc w:val="both"/>
              <w:rPr>
                <w:lang w:val="lt-LT"/>
              </w:rPr>
            </w:pPr>
          </w:p>
        </w:tc>
        <w:tc>
          <w:tcPr>
            <w:tcW w:w="1647" w:type="dxa"/>
            <w:gridSpan w:val="5"/>
          </w:tcPr>
          <w:p w:rsidR="001C0D02" w:rsidRPr="004273CC" w:rsidRDefault="001C0D02" w:rsidP="00065FB5">
            <w:pPr>
              <w:tabs>
                <w:tab w:val="left" w:pos="510"/>
              </w:tabs>
              <w:jc w:val="both"/>
              <w:rPr>
                <w:lang w:val="lt-LT"/>
              </w:rPr>
            </w:pPr>
            <w:r>
              <w:rPr>
                <w:lang w:val="lt-LT"/>
              </w:rPr>
              <w:t>Yra</w:t>
            </w:r>
          </w:p>
        </w:tc>
      </w:tr>
      <w:tr w:rsidR="001C0D02" w:rsidRPr="004273CC" w:rsidTr="001C0D02">
        <w:trPr>
          <w:cantSplit/>
        </w:trPr>
        <w:tc>
          <w:tcPr>
            <w:tcW w:w="807" w:type="dxa"/>
            <w:gridSpan w:val="3"/>
            <w:vMerge/>
            <w:textDirection w:val="btLr"/>
          </w:tcPr>
          <w:p w:rsidR="001C0D02" w:rsidRPr="002E216D" w:rsidRDefault="001C0D02" w:rsidP="00065FB5">
            <w:pPr>
              <w:tabs>
                <w:tab w:val="left" w:pos="510"/>
              </w:tabs>
              <w:ind w:left="113" w:right="113"/>
              <w:jc w:val="center"/>
              <w:rPr>
                <w:b/>
                <w:lang w:val="lt-LT"/>
              </w:rPr>
            </w:pPr>
          </w:p>
        </w:tc>
        <w:tc>
          <w:tcPr>
            <w:tcW w:w="3538" w:type="dxa"/>
            <w:gridSpan w:val="9"/>
          </w:tcPr>
          <w:p w:rsidR="001C0D02" w:rsidRDefault="001C0D02" w:rsidP="00065FB5">
            <w:pPr>
              <w:tabs>
                <w:tab w:val="left" w:pos="510"/>
              </w:tabs>
              <w:jc w:val="both"/>
              <w:rPr>
                <w:lang w:val="lt-LT"/>
              </w:rPr>
            </w:pPr>
            <w:r>
              <w:rPr>
                <w:lang w:val="lt-LT"/>
              </w:rPr>
              <w:t>Gautos atsargos nėra atskirai registruojamos sandėlio apskaitoje</w:t>
            </w:r>
          </w:p>
        </w:tc>
        <w:tc>
          <w:tcPr>
            <w:tcW w:w="567" w:type="dxa"/>
            <w:gridSpan w:val="7"/>
          </w:tcPr>
          <w:p w:rsidR="001C0D02" w:rsidRDefault="001C0D02" w:rsidP="00065FB5">
            <w:pPr>
              <w:tabs>
                <w:tab w:val="left" w:pos="510"/>
              </w:tabs>
              <w:jc w:val="both"/>
              <w:rPr>
                <w:lang w:val="lt-LT"/>
              </w:rPr>
            </w:pPr>
            <w:r>
              <w:rPr>
                <w:lang w:val="lt-LT"/>
              </w:rPr>
              <w:t>I</w:t>
            </w:r>
          </w:p>
        </w:tc>
        <w:tc>
          <w:tcPr>
            <w:tcW w:w="558" w:type="dxa"/>
            <w:gridSpan w:val="7"/>
          </w:tcPr>
          <w:p w:rsidR="001C0D02" w:rsidRPr="004273CC" w:rsidRDefault="001C0D02" w:rsidP="00065FB5">
            <w:pPr>
              <w:tabs>
                <w:tab w:val="left" w:pos="510"/>
              </w:tabs>
              <w:jc w:val="both"/>
              <w:rPr>
                <w:lang w:val="lt-LT"/>
              </w:rPr>
            </w:pPr>
          </w:p>
        </w:tc>
        <w:tc>
          <w:tcPr>
            <w:tcW w:w="1033" w:type="dxa"/>
            <w:gridSpan w:val="3"/>
          </w:tcPr>
          <w:p w:rsidR="001C0D02" w:rsidRPr="004273CC" w:rsidRDefault="001C0D02" w:rsidP="00065FB5">
            <w:pPr>
              <w:tabs>
                <w:tab w:val="left" w:pos="510"/>
              </w:tabs>
              <w:jc w:val="both"/>
              <w:rPr>
                <w:lang w:val="lt-LT"/>
              </w:rPr>
            </w:pPr>
          </w:p>
        </w:tc>
        <w:tc>
          <w:tcPr>
            <w:tcW w:w="709" w:type="dxa"/>
            <w:gridSpan w:val="8"/>
          </w:tcPr>
          <w:p w:rsidR="001C0D02" w:rsidRPr="004273CC" w:rsidRDefault="001C0D02" w:rsidP="00065FB5">
            <w:pPr>
              <w:tabs>
                <w:tab w:val="left" w:pos="510"/>
              </w:tabs>
              <w:jc w:val="both"/>
              <w:rPr>
                <w:lang w:val="lt-LT"/>
              </w:rPr>
            </w:pPr>
          </w:p>
        </w:tc>
        <w:tc>
          <w:tcPr>
            <w:tcW w:w="1093" w:type="dxa"/>
            <w:gridSpan w:val="6"/>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p>
        </w:tc>
        <w:tc>
          <w:tcPr>
            <w:tcW w:w="926" w:type="dxa"/>
            <w:gridSpan w:val="3"/>
          </w:tcPr>
          <w:p w:rsidR="001C0D02" w:rsidRPr="004273CC" w:rsidRDefault="001C0D02" w:rsidP="00065FB5">
            <w:pPr>
              <w:tabs>
                <w:tab w:val="left" w:pos="510"/>
              </w:tabs>
              <w:jc w:val="both"/>
              <w:rPr>
                <w:lang w:val="lt-LT"/>
              </w:rPr>
            </w:pPr>
          </w:p>
        </w:tc>
        <w:tc>
          <w:tcPr>
            <w:tcW w:w="708" w:type="dxa"/>
            <w:gridSpan w:val="7"/>
          </w:tcPr>
          <w:p w:rsidR="001C0D02" w:rsidRPr="004273CC" w:rsidRDefault="001C0D02" w:rsidP="00065FB5">
            <w:pPr>
              <w:tabs>
                <w:tab w:val="left" w:pos="510"/>
              </w:tabs>
              <w:jc w:val="both"/>
              <w:rPr>
                <w:lang w:val="lt-LT"/>
              </w:rPr>
            </w:pPr>
          </w:p>
        </w:tc>
        <w:tc>
          <w:tcPr>
            <w:tcW w:w="1133" w:type="dxa"/>
            <w:gridSpan w:val="7"/>
          </w:tcPr>
          <w:p w:rsidR="001C0D02" w:rsidRPr="004273CC" w:rsidRDefault="001C0D02" w:rsidP="00065FB5">
            <w:pPr>
              <w:tabs>
                <w:tab w:val="left" w:pos="510"/>
              </w:tabs>
              <w:jc w:val="both"/>
              <w:rPr>
                <w:lang w:val="lt-LT"/>
              </w:rPr>
            </w:pPr>
          </w:p>
        </w:tc>
        <w:tc>
          <w:tcPr>
            <w:tcW w:w="1647" w:type="dxa"/>
            <w:gridSpan w:val="5"/>
          </w:tcPr>
          <w:p w:rsidR="001C0D02" w:rsidRPr="004273CC" w:rsidRDefault="001C0D02" w:rsidP="00065FB5">
            <w:pPr>
              <w:tabs>
                <w:tab w:val="left" w:pos="510"/>
              </w:tabs>
              <w:jc w:val="both"/>
              <w:rPr>
                <w:lang w:val="lt-LT"/>
              </w:rPr>
            </w:pPr>
          </w:p>
        </w:tc>
      </w:tr>
      <w:tr w:rsidR="001C0D02" w:rsidRPr="004273CC" w:rsidTr="001C0D02">
        <w:trPr>
          <w:cantSplit/>
        </w:trPr>
        <w:tc>
          <w:tcPr>
            <w:tcW w:w="807" w:type="dxa"/>
            <w:gridSpan w:val="3"/>
            <w:vMerge/>
          </w:tcPr>
          <w:p w:rsidR="001C0D02" w:rsidRPr="004273CC" w:rsidRDefault="001C0D02" w:rsidP="00065FB5">
            <w:pPr>
              <w:tabs>
                <w:tab w:val="left" w:pos="510"/>
              </w:tabs>
              <w:jc w:val="both"/>
              <w:rPr>
                <w:lang w:val="lt-LT"/>
              </w:rPr>
            </w:pPr>
          </w:p>
        </w:tc>
        <w:tc>
          <w:tcPr>
            <w:tcW w:w="3538" w:type="dxa"/>
            <w:gridSpan w:val="9"/>
            <w:tcBorders>
              <w:bottom w:val="single" w:sz="4" w:space="0" w:color="auto"/>
            </w:tcBorders>
          </w:tcPr>
          <w:p w:rsidR="001C0D02" w:rsidRPr="004273CC" w:rsidRDefault="001C0D02" w:rsidP="00065FB5">
            <w:pPr>
              <w:tabs>
                <w:tab w:val="left" w:pos="510"/>
              </w:tabs>
              <w:jc w:val="both"/>
              <w:rPr>
                <w:lang w:val="lt-LT"/>
              </w:rPr>
            </w:pPr>
            <w:r>
              <w:rPr>
                <w:lang w:val="lt-LT"/>
              </w:rPr>
              <w:t>Nėra nustatyta kokie dokumentai, ataskaitos teikiamos buhalterijai apie gautas prekes ir kaip tikrinamas buhalterijai pateiktų sandėlio duomenų teisingumas</w:t>
            </w:r>
          </w:p>
        </w:tc>
        <w:tc>
          <w:tcPr>
            <w:tcW w:w="567" w:type="dxa"/>
            <w:gridSpan w:val="7"/>
          </w:tcPr>
          <w:p w:rsidR="001C0D02" w:rsidRPr="004273CC" w:rsidRDefault="001C0D02" w:rsidP="00065FB5">
            <w:pPr>
              <w:tabs>
                <w:tab w:val="left" w:pos="510"/>
              </w:tabs>
              <w:jc w:val="both"/>
              <w:rPr>
                <w:lang w:val="lt-LT"/>
              </w:rPr>
            </w:pPr>
            <w:r>
              <w:rPr>
                <w:lang w:val="lt-LT"/>
              </w:rPr>
              <w:t>T</w:t>
            </w:r>
          </w:p>
        </w:tc>
        <w:tc>
          <w:tcPr>
            <w:tcW w:w="558" w:type="dxa"/>
            <w:gridSpan w:val="7"/>
          </w:tcPr>
          <w:p w:rsidR="001C0D02" w:rsidRPr="004273CC" w:rsidRDefault="001C0D02" w:rsidP="00065FB5">
            <w:pPr>
              <w:tabs>
                <w:tab w:val="left" w:pos="510"/>
              </w:tabs>
              <w:jc w:val="both"/>
              <w:rPr>
                <w:lang w:val="lt-LT"/>
              </w:rPr>
            </w:pPr>
          </w:p>
        </w:tc>
        <w:tc>
          <w:tcPr>
            <w:tcW w:w="1033" w:type="dxa"/>
            <w:gridSpan w:val="3"/>
          </w:tcPr>
          <w:p w:rsidR="001C0D02" w:rsidRPr="004273CC" w:rsidRDefault="001C0D02" w:rsidP="00065FB5">
            <w:pPr>
              <w:tabs>
                <w:tab w:val="left" w:pos="510"/>
              </w:tabs>
              <w:jc w:val="both"/>
              <w:rPr>
                <w:lang w:val="lt-LT"/>
              </w:rPr>
            </w:pPr>
          </w:p>
        </w:tc>
        <w:tc>
          <w:tcPr>
            <w:tcW w:w="709" w:type="dxa"/>
            <w:gridSpan w:val="8"/>
          </w:tcPr>
          <w:p w:rsidR="001C0D02" w:rsidRPr="004273CC" w:rsidRDefault="001C0D02" w:rsidP="00065FB5">
            <w:pPr>
              <w:tabs>
                <w:tab w:val="left" w:pos="510"/>
              </w:tabs>
              <w:jc w:val="both"/>
              <w:rPr>
                <w:lang w:val="lt-LT"/>
              </w:rPr>
            </w:pPr>
          </w:p>
        </w:tc>
        <w:tc>
          <w:tcPr>
            <w:tcW w:w="1093" w:type="dxa"/>
            <w:gridSpan w:val="6"/>
          </w:tcPr>
          <w:p w:rsidR="001C0D02" w:rsidRPr="004273CC" w:rsidRDefault="001C0D02" w:rsidP="00065FB5">
            <w:pPr>
              <w:tabs>
                <w:tab w:val="left" w:pos="510"/>
              </w:tabs>
              <w:jc w:val="both"/>
              <w:rPr>
                <w:lang w:val="lt-LT"/>
              </w:rPr>
            </w:pPr>
          </w:p>
        </w:tc>
        <w:tc>
          <w:tcPr>
            <w:tcW w:w="1139" w:type="dxa"/>
            <w:gridSpan w:val="10"/>
          </w:tcPr>
          <w:p w:rsidR="001C0D02" w:rsidRPr="004273CC" w:rsidRDefault="001C0D02" w:rsidP="00065FB5">
            <w:pPr>
              <w:tabs>
                <w:tab w:val="left" w:pos="510"/>
              </w:tabs>
              <w:jc w:val="both"/>
              <w:rPr>
                <w:lang w:val="lt-LT"/>
              </w:rPr>
            </w:pPr>
          </w:p>
        </w:tc>
        <w:tc>
          <w:tcPr>
            <w:tcW w:w="926" w:type="dxa"/>
            <w:gridSpan w:val="3"/>
          </w:tcPr>
          <w:p w:rsidR="001C0D02" w:rsidRPr="004273CC" w:rsidRDefault="001C0D02" w:rsidP="00065FB5">
            <w:pPr>
              <w:tabs>
                <w:tab w:val="left" w:pos="510"/>
              </w:tabs>
              <w:jc w:val="both"/>
              <w:rPr>
                <w:lang w:val="lt-LT"/>
              </w:rPr>
            </w:pPr>
          </w:p>
        </w:tc>
        <w:tc>
          <w:tcPr>
            <w:tcW w:w="708" w:type="dxa"/>
            <w:gridSpan w:val="7"/>
          </w:tcPr>
          <w:p w:rsidR="001C0D02" w:rsidRPr="004273CC" w:rsidRDefault="001C0D02" w:rsidP="00065FB5">
            <w:pPr>
              <w:tabs>
                <w:tab w:val="left" w:pos="510"/>
              </w:tabs>
              <w:jc w:val="both"/>
              <w:rPr>
                <w:lang w:val="lt-LT"/>
              </w:rPr>
            </w:pPr>
          </w:p>
        </w:tc>
        <w:tc>
          <w:tcPr>
            <w:tcW w:w="1133" w:type="dxa"/>
            <w:gridSpan w:val="7"/>
          </w:tcPr>
          <w:p w:rsidR="001C0D02" w:rsidRPr="004273CC" w:rsidRDefault="001C0D02" w:rsidP="00065FB5">
            <w:pPr>
              <w:tabs>
                <w:tab w:val="left" w:pos="510"/>
              </w:tabs>
              <w:jc w:val="both"/>
              <w:rPr>
                <w:lang w:val="lt-LT"/>
              </w:rPr>
            </w:pPr>
          </w:p>
        </w:tc>
        <w:tc>
          <w:tcPr>
            <w:tcW w:w="1647" w:type="dxa"/>
            <w:gridSpan w:val="5"/>
          </w:tcPr>
          <w:p w:rsidR="001C0D02" w:rsidRPr="004273CC" w:rsidRDefault="001C0D02" w:rsidP="00065FB5">
            <w:pPr>
              <w:tabs>
                <w:tab w:val="left" w:pos="510"/>
              </w:tabs>
              <w:jc w:val="both"/>
              <w:rPr>
                <w:lang w:val="lt-LT"/>
              </w:rPr>
            </w:pPr>
          </w:p>
        </w:tc>
      </w:tr>
      <w:tr w:rsidR="001C0D02" w:rsidRPr="004273CC" w:rsidTr="001C0D02">
        <w:trPr>
          <w:cantSplit/>
        </w:trPr>
        <w:tc>
          <w:tcPr>
            <w:tcW w:w="807" w:type="dxa"/>
            <w:gridSpan w:val="3"/>
            <w:vMerge/>
            <w:tcBorders>
              <w:bottom w:val="single" w:sz="4" w:space="0" w:color="auto"/>
            </w:tcBorders>
          </w:tcPr>
          <w:p w:rsidR="001C0D02" w:rsidRPr="004273CC" w:rsidRDefault="001C0D02" w:rsidP="00065FB5">
            <w:pPr>
              <w:tabs>
                <w:tab w:val="left" w:pos="510"/>
              </w:tabs>
              <w:jc w:val="both"/>
              <w:rPr>
                <w:lang w:val="lt-LT"/>
              </w:rPr>
            </w:pPr>
          </w:p>
        </w:tc>
        <w:tc>
          <w:tcPr>
            <w:tcW w:w="3538" w:type="dxa"/>
            <w:gridSpan w:val="9"/>
            <w:tcBorders>
              <w:bottom w:val="single" w:sz="4" w:space="0" w:color="auto"/>
            </w:tcBorders>
          </w:tcPr>
          <w:p w:rsidR="001C0D02" w:rsidRDefault="001C0D02" w:rsidP="00E91EA3">
            <w:pPr>
              <w:tabs>
                <w:tab w:val="left" w:pos="510"/>
              </w:tabs>
              <w:jc w:val="both"/>
              <w:rPr>
                <w:lang w:val="lt-LT"/>
              </w:rPr>
            </w:pPr>
            <w:r>
              <w:rPr>
                <w:lang w:val="lt-LT"/>
              </w:rPr>
              <w:t>Nėra nustatyta kaip dokumentuojama ir apskaitoma pagaminta produkcija, gamybinės atliekos ar brokas</w:t>
            </w:r>
          </w:p>
          <w:p w:rsidR="001C0D02" w:rsidRPr="004273CC" w:rsidRDefault="001C0D02" w:rsidP="00E91EA3">
            <w:pPr>
              <w:tabs>
                <w:tab w:val="left" w:pos="510"/>
              </w:tabs>
              <w:jc w:val="both"/>
              <w:rPr>
                <w:lang w:val="lt-LT"/>
              </w:rPr>
            </w:pPr>
          </w:p>
        </w:tc>
        <w:tc>
          <w:tcPr>
            <w:tcW w:w="567" w:type="dxa"/>
            <w:gridSpan w:val="7"/>
          </w:tcPr>
          <w:p w:rsidR="001C0D02" w:rsidRPr="004273CC" w:rsidRDefault="001C0D02" w:rsidP="00E91EA3">
            <w:pPr>
              <w:tabs>
                <w:tab w:val="left" w:pos="510"/>
              </w:tabs>
              <w:jc w:val="both"/>
              <w:rPr>
                <w:lang w:val="lt-LT"/>
              </w:rPr>
            </w:pPr>
            <w:r>
              <w:rPr>
                <w:lang w:val="lt-LT"/>
              </w:rPr>
              <w:t>I</w:t>
            </w:r>
          </w:p>
        </w:tc>
        <w:tc>
          <w:tcPr>
            <w:tcW w:w="558" w:type="dxa"/>
            <w:gridSpan w:val="7"/>
          </w:tcPr>
          <w:p w:rsidR="001C0D02" w:rsidRPr="004273CC" w:rsidRDefault="001C0D02" w:rsidP="00E91EA3">
            <w:pPr>
              <w:tabs>
                <w:tab w:val="left" w:pos="510"/>
              </w:tabs>
              <w:jc w:val="center"/>
              <w:rPr>
                <w:lang w:val="lt-LT"/>
              </w:rPr>
            </w:pPr>
          </w:p>
        </w:tc>
        <w:tc>
          <w:tcPr>
            <w:tcW w:w="1033" w:type="dxa"/>
            <w:gridSpan w:val="3"/>
          </w:tcPr>
          <w:p w:rsidR="001C0D02" w:rsidRPr="004273CC" w:rsidRDefault="001C0D02" w:rsidP="00E91EA3">
            <w:pPr>
              <w:tabs>
                <w:tab w:val="left" w:pos="510"/>
              </w:tabs>
              <w:jc w:val="center"/>
              <w:rPr>
                <w:lang w:val="lt-LT"/>
              </w:rPr>
            </w:pPr>
          </w:p>
        </w:tc>
        <w:tc>
          <w:tcPr>
            <w:tcW w:w="709" w:type="dxa"/>
            <w:gridSpan w:val="8"/>
          </w:tcPr>
          <w:p w:rsidR="001C0D02" w:rsidRPr="004273CC" w:rsidRDefault="001C0D02" w:rsidP="00E91EA3">
            <w:pPr>
              <w:tabs>
                <w:tab w:val="left" w:pos="510"/>
              </w:tabs>
              <w:jc w:val="center"/>
              <w:rPr>
                <w:lang w:val="lt-LT"/>
              </w:rPr>
            </w:pPr>
          </w:p>
        </w:tc>
        <w:tc>
          <w:tcPr>
            <w:tcW w:w="1093" w:type="dxa"/>
            <w:gridSpan w:val="6"/>
          </w:tcPr>
          <w:p w:rsidR="001C0D02" w:rsidRPr="004273CC" w:rsidRDefault="001C0D02" w:rsidP="00E91EA3">
            <w:pPr>
              <w:tabs>
                <w:tab w:val="left" w:pos="510"/>
              </w:tabs>
              <w:jc w:val="center"/>
              <w:rPr>
                <w:lang w:val="lt-LT"/>
              </w:rPr>
            </w:pPr>
          </w:p>
        </w:tc>
        <w:tc>
          <w:tcPr>
            <w:tcW w:w="1139" w:type="dxa"/>
            <w:gridSpan w:val="10"/>
          </w:tcPr>
          <w:p w:rsidR="001C0D02" w:rsidRPr="004273CC" w:rsidRDefault="001C0D02" w:rsidP="00E91EA3">
            <w:pPr>
              <w:tabs>
                <w:tab w:val="left" w:pos="510"/>
              </w:tabs>
              <w:jc w:val="center"/>
              <w:rPr>
                <w:lang w:val="lt-LT"/>
              </w:rPr>
            </w:pPr>
          </w:p>
        </w:tc>
        <w:tc>
          <w:tcPr>
            <w:tcW w:w="926" w:type="dxa"/>
            <w:gridSpan w:val="3"/>
          </w:tcPr>
          <w:p w:rsidR="001C0D02" w:rsidRPr="004273CC" w:rsidRDefault="001C0D02" w:rsidP="00E91EA3">
            <w:pPr>
              <w:tabs>
                <w:tab w:val="left" w:pos="510"/>
              </w:tabs>
              <w:jc w:val="center"/>
              <w:rPr>
                <w:lang w:val="lt-LT"/>
              </w:rPr>
            </w:pPr>
          </w:p>
        </w:tc>
        <w:tc>
          <w:tcPr>
            <w:tcW w:w="708" w:type="dxa"/>
            <w:gridSpan w:val="7"/>
          </w:tcPr>
          <w:p w:rsidR="001C0D02" w:rsidRPr="004273CC" w:rsidRDefault="001C0D02" w:rsidP="00E91EA3">
            <w:pPr>
              <w:tabs>
                <w:tab w:val="left" w:pos="510"/>
              </w:tabs>
              <w:jc w:val="center"/>
              <w:rPr>
                <w:lang w:val="lt-LT"/>
              </w:rPr>
            </w:pPr>
          </w:p>
        </w:tc>
        <w:tc>
          <w:tcPr>
            <w:tcW w:w="1133" w:type="dxa"/>
            <w:gridSpan w:val="7"/>
          </w:tcPr>
          <w:p w:rsidR="001C0D02" w:rsidRPr="004273CC" w:rsidRDefault="001C0D02" w:rsidP="00E91EA3">
            <w:pPr>
              <w:tabs>
                <w:tab w:val="left" w:pos="510"/>
              </w:tabs>
              <w:jc w:val="center"/>
              <w:rPr>
                <w:lang w:val="lt-LT"/>
              </w:rPr>
            </w:pPr>
          </w:p>
        </w:tc>
        <w:tc>
          <w:tcPr>
            <w:tcW w:w="1647" w:type="dxa"/>
            <w:gridSpan w:val="5"/>
          </w:tcPr>
          <w:p w:rsidR="001C0D02" w:rsidRPr="004273CC" w:rsidRDefault="001C0D02" w:rsidP="00E91EA3">
            <w:pPr>
              <w:tabs>
                <w:tab w:val="left" w:pos="510"/>
              </w:tabs>
              <w:jc w:val="center"/>
              <w:rPr>
                <w:lang w:val="lt-LT"/>
              </w:rPr>
            </w:pPr>
          </w:p>
        </w:tc>
      </w:tr>
      <w:tr w:rsidR="00E91EA3" w:rsidRPr="004273CC" w:rsidTr="001C0D02">
        <w:trPr>
          <w:cantSplit/>
        </w:trPr>
        <w:tc>
          <w:tcPr>
            <w:tcW w:w="4345" w:type="dxa"/>
            <w:gridSpan w:val="12"/>
            <w:vMerge w:val="restart"/>
          </w:tcPr>
          <w:p w:rsidR="00E91EA3" w:rsidRPr="004273CC" w:rsidRDefault="00E91EA3" w:rsidP="00065FB5">
            <w:pPr>
              <w:tabs>
                <w:tab w:val="left" w:pos="510"/>
              </w:tabs>
              <w:ind w:left="113" w:right="113"/>
              <w:jc w:val="center"/>
              <w:rPr>
                <w:lang w:val="lt-LT"/>
              </w:rPr>
            </w:pPr>
            <w:r>
              <w:rPr>
                <w:b/>
                <w:lang w:val="lt-LT"/>
              </w:rPr>
              <w:lastRenderedPageBreak/>
              <w:t>Finansinių ataskaitų elemento ir/ar jo tvirtinimo pobūdis ir jam taikoma vidaus kontrolės sistema</w:t>
            </w:r>
          </w:p>
        </w:tc>
        <w:tc>
          <w:tcPr>
            <w:tcW w:w="567"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Tvirtinimas</w:t>
            </w:r>
          </w:p>
        </w:tc>
        <w:tc>
          <w:tcPr>
            <w:tcW w:w="558"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IR / KR</w:t>
            </w:r>
          </w:p>
        </w:tc>
        <w:tc>
          <w:tcPr>
            <w:tcW w:w="3974" w:type="dxa"/>
            <w:gridSpan w:val="27"/>
          </w:tcPr>
          <w:p w:rsidR="00E91EA3" w:rsidRPr="004273CC" w:rsidRDefault="00E91EA3" w:rsidP="00065FB5">
            <w:pPr>
              <w:tabs>
                <w:tab w:val="left" w:pos="510"/>
              </w:tabs>
              <w:jc w:val="both"/>
              <w:rPr>
                <w:lang w:val="lt-LT"/>
              </w:rPr>
            </w:pPr>
            <w:r>
              <w:rPr>
                <w:b/>
                <w:lang w:val="lt-LT"/>
              </w:rPr>
              <w:t>UAB „Šiluma“</w:t>
            </w:r>
          </w:p>
        </w:tc>
        <w:tc>
          <w:tcPr>
            <w:tcW w:w="4414" w:type="dxa"/>
            <w:gridSpan w:val="22"/>
          </w:tcPr>
          <w:p w:rsidR="00E91EA3" w:rsidRPr="004273CC" w:rsidRDefault="00E91EA3" w:rsidP="00065FB5">
            <w:pPr>
              <w:tabs>
                <w:tab w:val="left" w:pos="510"/>
              </w:tabs>
              <w:jc w:val="both"/>
              <w:rPr>
                <w:lang w:val="lt-LT"/>
              </w:rPr>
            </w:pPr>
            <w:r>
              <w:rPr>
                <w:b/>
                <w:lang w:val="lt-LT"/>
              </w:rPr>
              <w:t>UAB „Žuvila“</w:t>
            </w:r>
          </w:p>
        </w:tc>
      </w:tr>
      <w:tr w:rsidR="00E91EA3" w:rsidRPr="004273CC" w:rsidTr="001C0D02">
        <w:trPr>
          <w:cantSplit/>
          <w:trHeight w:val="240"/>
        </w:trPr>
        <w:tc>
          <w:tcPr>
            <w:tcW w:w="4345" w:type="dxa"/>
            <w:gridSpan w:val="12"/>
            <w:vMerge/>
          </w:tcPr>
          <w:p w:rsidR="00E91EA3" w:rsidRPr="004273CC" w:rsidRDefault="00E91EA3" w:rsidP="00065FB5">
            <w:pPr>
              <w:tabs>
                <w:tab w:val="left" w:pos="510"/>
              </w:tabs>
              <w:jc w:val="center"/>
              <w:rPr>
                <w:b/>
                <w:lang w:val="lt-LT"/>
              </w:rPr>
            </w:pPr>
          </w:p>
        </w:tc>
        <w:tc>
          <w:tcPr>
            <w:tcW w:w="567" w:type="dxa"/>
            <w:gridSpan w:val="7"/>
            <w:vMerge/>
            <w:vAlign w:val="center"/>
          </w:tcPr>
          <w:p w:rsidR="00E91EA3" w:rsidRPr="004273CC" w:rsidRDefault="00E91EA3" w:rsidP="00065FB5">
            <w:pPr>
              <w:tabs>
                <w:tab w:val="left" w:pos="510"/>
              </w:tabs>
              <w:jc w:val="center"/>
              <w:rPr>
                <w:lang w:val="lt-LT"/>
              </w:rPr>
            </w:pPr>
          </w:p>
        </w:tc>
        <w:tc>
          <w:tcPr>
            <w:tcW w:w="558" w:type="dxa"/>
            <w:gridSpan w:val="7"/>
            <w:vMerge/>
            <w:vAlign w:val="center"/>
          </w:tcPr>
          <w:p w:rsidR="00E91EA3" w:rsidRPr="004273CC" w:rsidRDefault="00E91EA3" w:rsidP="00065FB5">
            <w:pPr>
              <w:tabs>
                <w:tab w:val="left" w:pos="510"/>
              </w:tabs>
              <w:jc w:val="center"/>
              <w:rPr>
                <w:lang w:val="lt-LT"/>
              </w:rPr>
            </w:pPr>
          </w:p>
        </w:tc>
        <w:tc>
          <w:tcPr>
            <w:tcW w:w="2960" w:type="dxa"/>
            <w:gridSpan w:val="20"/>
            <w:vAlign w:val="center"/>
          </w:tcPr>
          <w:p w:rsidR="00E91EA3" w:rsidRPr="004273CC" w:rsidRDefault="00E91EA3" w:rsidP="00065FB5">
            <w:pPr>
              <w:tabs>
                <w:tab w:val="left" w:pos="510"/>
              </w:tabs>
              <w:jc w:val="center"/>
              <w:rPr>
                <w:lang w:val="lt-LT"/>
              </w:rPr>
            </w:pPr>
            <w:r w:rsidRPr="004273CC">
              <w:rPr>
                <w:b/>
                <w:lang w:val="lt-LT"/>
              </w:rPr>
              <w:t>Rizikos vertinimas</w:t>
            </w:r>
          </w:p>
        </w:tc>
        <w:tc>
          <w:tcPr>
            <w:tcW w:w="1014" w:type="dxa"/>
            <w:gridSpan w:val="7"/>
          </w:tcPr>
          <w:p w:rsidR="00E91EA3" w:rsidRPr="004273CC" w:rsidRDefault="00E91EA3" w:rsidP="00065FB5">
            <w:pPr>
              <w:tabs>
                <w:tab w:val="left" w:pos="510"/>
              </w:tabs>
              <w:jc w:val="both"/>
              <w:rPr>
                <w:lang w:val="lt-LT"/>
              </w:rPr>
            </w:pPr>
            <w:r w:rsidRPr="004273CC">
              <w:rPr>
                <w:b/>
                <w:lang w:val="lt-LT"/>
              </w:rPr>
              <w:t>Pastabos</w:t>
            </w:r>
          </w:p>
        </w:tc>
        <w:tc>
          <w:tcPr>
            <w:tcW w:w="2973" w:type="dxa"/>
            <w:gridSpan w:val="20"/>
          </w:tcPr>
          <w:p w:rsidR="00E91EA3" w:rsidRPr="004273CC" w:rsidRDefault="00E91EA3" w:rsidP="00065FB5">
            <w:pPr>
              <w:tabs>
                <w:tab w:val="left" w:pos="510"/>
              </w:tabs>
              <w:jc w:val="center"/>
              <w:rPr>
                <w:lang w:val="lt-LT"/>
              </w:rPr>
            </w:pPr>
            <w:r w:rsidRPr="004273CC">
              <w:rPr>
                <w:b/>
                <w:lang w:val="lt-LT"/>
              </w:rPr>
              <w:t>Rizikos vertinimas</w:t>
            </w:r>
          </w:p>
        </w:tc>
        <w:tc>
          <w:tcPr>
            <w:tcW w:w="1441" w:type="dxa"/>
            <w:gridSpan w:val="2"/>
            <w:vAlign w:val="center"/>
          </w:tcPr>
          <w:p w:rsidR="00E91EA3" w:rsidRPr="004273CC" w:rsidRDefault="00E91EA3" w:rsidP="00065FB5">
            <w:pPr>
              <w:tabs>
                <w:tab w:val="left" w:pos="510"/>
              </w:tabs>
              <w:jc w:val="center"/>
              <w:rPr>
                <w:lang w:val="lt-LT"/>
              </w:rPr>
            </w:pPr>
            <w:r w:rsidRPr="004273CC">
              <w:rPr>
                <w:b/>
                <w:lang w:val="lt-LT"/>
              </w:rPr>
              <w:t>Pastabos</w:t>
            </w:r>
          </w:p>
        </w:tc>
      </w:tr>
      <w:tr w:rsidR="00E91EA3" w:rsidRPr="004273CC" w:rsidTr="001C0D02">
        <w:trPr>
          <w:cantSplit/>
          <w:trHeight w:val="698"/>
        </w:trPr>
        <w:tc>
          <w:tcPr>
            <w:tcW w:w="1007" w:type="dxa"/>
            <w:gridSpan w:val="4"/>
          </w:tcPr>
          <w:p w:rsidR="00E91EA3" w:rsidRPr="005618BC" w:rsidRDefault="00E91EA3" w:rsidP="00065FB5">
            <w:pPr>
              <w:tabs>
                <w:tab w:val="left" w:pos="510"/>
              </w:tabs>
              <w:jc w:val="center"/>
              <w:rPr>
                <w:b/>
                <w:lang w:val="lt-LT"/>
              </w:rPr>
            </w:pPr>
            <w:r w:rsidRPr="005618BC">
              <w:rPr>
                <w:b/>
                <w:lang w:val="lt-LT"/>
              </w:rPr>
              <w:t>Tipas</w:t>
            </w:r>
          </w:p>
        </w:tc>
        <w:tc>
          <w:tcPr>
            <w:tcW w:w="3338" w:type="dxa"/>
            <w:gridSpan w:val="8"/>
          </w:tcPr>
          <w:p w:rsidR="00E91EA3" w:rsidRPr="004273CC" w:rsidRDefault="00E91EA3" w:rsidP="00065FB5">
            <w:pPr>
              <w:tabs>
                <w:tab w:val="left" w:pos="510"/>
              </w:tabs>
              <w:jc w:val="center"/>
              <w:rPr>
                <w:lang w:val="lt-LT"/>
              </w:rPr>
            </w:pPr>
            <w:r w:rsidRPr="005618BC">
              <w:rPr>
                <w:b/>
                <w:lang w:val="lt-LT"/>
              </w:rPr>
              <w:t>Veiksniai</w:t>
            </w:r>
          </w:p>
        </w:tc>
        <w:tc>
          <w:tcPr>
            <w:tcW w:w="567" w:type="dxa"/>
            <w:gridSpan w:val="7"/>
            <w:vMerge/>
          </w:tcPr>
          <w:p w:rsidR="00E91EA3" w:rsidRPr="004273CC" w:rsidRDefault="00E91EA3" w:rsidP="00065FB5">
            <w:pPr>
              <w:tabs>
                <w:tab w:val="left" w:pos="510"/>
              </w:tabs>
              <w:jc w:val="center"/>
              <w:rPr>
                <w:lang w:val="lt-LT"/>
              </w:rPr>
            </w:pPr>
          </w:p>
        </w:tc>
        <w:tc>
          <w:tcPr>
            <w:tcW w:w="558" w:type="dxa"/>
            <w:gridSpan w:val="7"/>
            <w:vMerge/>
          </w:tcPr>
          <w:p w:rsidR="00E91EA3" w:rsidRPr="004273CC" w:rsidRDefault="00E91EA3" w:rsidP="00065FB5">
            <w:pPr>
              <w:tabs>
                <w:tab w:val="left" w:pos="510"/>
              </w:tabs>
              <w:jc w:val="center"/>
              <w:rPr>
                <w:lang w:val="lt-LT"/>
              </w:rPr>
            </w:pPr>
          </w:p>
        </w:tc>
        <w:tc>
          <w:tcPr>
            <w:tcW w:w="1033" w:type="dxa"/>
            <w:gridSpan w:val="3"/>
          </w:tcPr>
          <w:p w:rsidR="00E91EA3" w:rsidRPr="004273CC" w:rsidRDefault="00E91EA3" w:rsidP="00065FB5">
            <w:pPr>
              <w:tabs>
                <w:tab w:val="left" w:pos="510"/>
              </w:tabs>
              <w:jc w:val="center"/>
              <w:rPr>
                <w:lang w:val="lt-LT"/>
              </w:rPr>
            </w:pPr>
            <w:r w:rsidRPr="004273CC">
              <w:rPr>
                <w:lang w:val="lt-LT"/>
              </w:rPr>
              <w:t>Tikimybė (1-5)</w:t>
            </w:r>
          </w:p>
        </w:tc>
        <w:tc>
          <w:tcPr>
            <w:tcW w:w="709" w:type="dxa"/>
            <w:gridSpan w:val="8"/>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218" w:type="dxa"/>
            <w:gridSpan w:val="9"/>
          </w:tcPr>
          <w:p w:rsidR="00E91EA3" w:rsidRPr="004273CC" w:rsidRDefault="00E91EA3" w:rsidP="00065FB5">
            <w:pPr>
              <w:tabs>
                <w:tab w:val="left" w:pos="510"/>
              </w:tabs>
              <w:jc w:val="center"/>
              <w:rPr>
                <w:lang w:val="lt-LT"/>
              </w:rPr>
            </w:pPr>
            <w:r w:rsidRPr="004273CC">
              <w:rPr>
                <w:lang w:val="lt-LT"/>
              </w:rPr>
              <w:t>Tikimybė * Įtaka</w:t>
            </w:r>
          </w:p>
        </w:tc>
        <w:tc>
          <w:tcPr>
            <w:tcW w:w="1014" w:type="dxa"/>
            <w:gridSpan w:val="7"/>
          </w:tcPr>
          <w:p w:rsidR="00E91EA3" w:rsidRPr="004273CC" w:rsidRDefault="00E91EA3" w:rsidP="00065FB5">
            <w:pPr>
              <w:tabs>
                <w:tab w:val="left" w:pos="510"/>
              </w:tabs>
              <w:jc w:val="center"/>
              <w:rPr>
                <w:lang w:val="lt-LT"/>
              </w:rPr>
            </w:pPr>
          </w:p>
        </w:tc>
        <w:tc>
          <w:tcPr>
            <w:tcW w:w="1132" w:type="dxa"/>
            <w:gridSpan w:val="8"/>
          </w:tcPr>
          <w:p w:rsidR="00E91EA3" w:rsidRPr="004273CC" w:rsidRDefault="00E91EA3" w:rsidP="00065FB5">
            <w:pPr>
              <w:tabs>
                <w:tab w:val="left" w:pos="510"/>
              </w:tabs>
              <w:jc w:val="center"/>
              <w:rPr>
                <w:lang w:val="lt-LT"/>
              </w:rPr>
            </w:pPr>
            <w:r w:rsidRPr="004273CC">
              <w:rPr>
                <w:lang w:val="lt-LT"/>
              </w:rPr>
              <w:t>Tikimybė (1-5)</w:t>
            </w:r>
          </w:p>
        </w:tc>
        <w:tc>
          <w:tcPr>
            <w:tcW w:w="708" w:type="dxa"/>
            <w:gridSpan w:val="6"/>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33" w:type="dxa"/>
            <w:gridSpan w:val="6"/>
          </w:tcPr>
          <w:p w:rsidR="00E91EA3" w:rsidRPr="004273CC" w:rsidRDefault="00E91EA3" w:rsidP="00065FB5">
            <w:pPr>
              <w:tabs>
                <w:tab w:val="left" w:pos="510"/>
              </w:tabs>
              <w:jc w:val="center"/>
              <w:rPr>
                <w:lang w:val="lt-LT"/>
              </w:rPr>
            </w:pPr>
            <w:r w:rsidRPr="004273CC">
              <w:rPr>
                <w:lang w:val="lt-LT"/>
              </w:rPr>
              <w:t>Tikimybė * Įtaka</w:t>
            </w:r>
          </w:p>
        </w:tc>
        <w:tc>
          <w:tcPr>
            <w:tcW w:w="1441" w:type="dxa"/>
            <w:gridSpan w:val="2"/>
          </w:tcPr>
          <w:p w:rsidR="00E91EA3" w:rsidRPr="004273CC" w:rsidRDefault="00E91EA3" w:rsidP="00065FB5">
            <w:pPr>
              <w:tabs>
                <w:tab w:val="left" w:pos="510"/>
              </w:tabs>
              <w:jc w:val="center"/>
              <w:rPr>
                <w:lang w:val="lt-LT"/>
              </w:rPr>
            </w:pPr>
          </w:p>
        </w:tc>
      </w:tr>
      <w:tr w:rsidR="00E91EA3" w:rsidRPr="004273CC" w:rsidTr="001C0D02">
        <w:trPr>
          <w:cantSplit/>
          <w:trHeight w:val="240"/>
        </w:trPr>
        <w:tc>
          <w:tcPr>
            <w:tcW w:w="1007" w:type="dxa"/>
            <w:gridSpan w:val="4"/>
            <w:vMerge w:val="restart"/>
            <w:textDirection w:val="btLr"/>
          </w:tcPr>
          <w:p w:rsidR="00E91EA3" w:rsidRPr="004273CC" w:rsidRDefault="00E91EA3" w:rsidP="00065FB5">
            <w:pPr>
              <w:tabs>
                <w:tab w:val="left" w:pos="510"/>
              </w:tabs>
              <w:ind w:left="113" w:right="113"/>
              <w:jc w:val="center"/>
              <w:rPr>
                <w:lang w:val="lt-LT"/>
              </w:rPr>
            </w:pPr>
            <w:r w:rsidRPr="002E216D">
              <w:rPr>
                <w:b/>
                <w:lang w:val="lt-LT"/>
              </w:rPr>
              <w:t>Atsargos, išankstiniai apmokėjimai ir nebaigtos vykdyti sutartys</w:t>
            </w:r>
          </w:p>
        </w:tc>
        <w:tc>
          <w:tcPr>
            <w:tcW w:w="3338" w:type="dxa"/>
            <w:gridSpan w:val="8"/>
          </w:tcPr>
          <w:p w:rsidR="00E91EA3" w:rsidRPr="004273CC" w:rsidRDefault="00E91EA3" w:rsidP="00065FB5">
            <w:pPr>
              <w:tabs>
                <w:tab w:val="left" w:pos="510"/>
              </w:tabs>
              <w:jc w:val="both"/>
              <w:rPr>
                <w:lang w:val="lt-LT"/>
              </w:rPr>
            </w:pPr>
            <w:r>
              <w:rPr>
                <w:lang w:val="lt-LT"/>
              </w:rPr>
              <w:t>Nėra nustatyta kaip dokumentuojama ir apskaitoma pagaminta produkcija, gamybinės atliekos ar brokas</w:t>
            </w:r>
          </w:p>
        </w:tc>
        <w:tc>
          <w:tcPr>
            <w:tcW w:w="567" w:type="dxa"/>
            <w:gridSpan w:val="7"/>
          </w:tcPr>
          <w:p w:rsidR="00E91EA3" w:rsidRPr="004273CC" w:rsidRDefault="00E91EA3" w:rsidP="00065FB5">
            <w:pPr>
              <w:tabs>
                <w:tab w:val="left" w:pos="510"/>
              </w:tabs>
              <w:jc w:val="both"/>
              <w:rPr>
                <w:lang w:val="lt-LT"/>
              </w:rPr>
            </w:pPr>
            <w:r>
              <w:rPr>
                <w:lang w:val="lt-LT"/>
              </w:rPr>
              <w:t>I</w:t>
            </w:r>
          </w:p>
        </w:tc>
        <w:tc>
          <w:tcPr>
            <w:tcW w:w="558" w:type="dxa"/>
            <w:gridSpan w:val="7"/>
          </w:tcPr>
          <w:p w:rsidR="00E91EA3" w:rsidRPr="004273CC" w:rsidRDefault="00E91EA3" w:rsidP="00065FB5">
            <w:pPr>
              <w:tabs>
                <w:tab w:val="left" w:pos="510"/>
              </w:tabs>
              <w:jc w:val="center"/>
              <w:rPr>
                <w:lang w:val="lt-LT"/>
              </w:rPr>
            </w:pPr>
          </w:p>
        </w:tc>
        <w:tc>
          <w:tcPr>
            <w:tcW w:w="1033" w:type="dxa"/>
            <w:gridSpan w:val="3"/>
          </w:tcPr>
          <w:p w:rsidR="00E91EA3" w:rsidRPr="004273CC" w:rsidRDefault="00E91EA3" w:rsidP="00065FB5">
            <w:pPr>
              <w:tabs>
                <w:tab w:val="left" w:pos="510"/>
              </w:tabs>
              <w:jc w:val="center"/>
              <w:rPr>
                <w:lang w:val="lt-LT"/>
              </w:rPr>
            </w:pPr>
          </w:p>
        </w:tc>
        <w:tc>
          <w:tcPr>
            <w:tcW w:w="709" w:type="dxa"/>
            <w:gridSpan w:val="8"/>
          </w:tcPr>
          <w:p w:rsidR="00E91EA3" w:rsidRPr="004273CC" w:rsidRDefault="00E91EA3" w:rsidP="00065FB5">
            <w:pPr>
              <w:tabs>
                <w:tab w:val="left" w:pos="510"/>
              </w:tabs>
              <w:jc w:val="center"/>
              <w:rPr>
                <w:lang w:val="lt-LT"/>
              </w:rPr>
            </w:pPr>
          </w:p>
        </w:tc>
        <w:tc>
          <w:tcPr>
            <w:tcW w:w="1218" w:type="dxa"/>
            <w:gridSpan w:val="9"/>
          </w:tcPr>
          <w:p w:rsidR="00E91EA3" w:rsidRPr="004273CC" w:rsidRDefault="00E91EA3" w:rsidP="00065FB5">
            <w:pPr>
              <w:tabs>
                <w:tab w:val="left" w:pos="510"/>
              </w:tabs>
              <w:jc w:val="center"/>
              <w:rPr>
                <w:lang w:val="lt-LT"/>
              </w:rPr>
            </w:pPr>
          </w:p>
        </w:tc>
        <w:tc>
          <w:tcPr>
            <w:tcW w:w="1014" w:type="dxa"/>
            <w:gridSpan w:val="7"/>
          </w:tcPr>
          <w:p w:rsidR="00E91EA3" w:rsidRPr="004273CC" w:rsidRDefault="00E91EA3" w:rsidP="00065FB5">
            <w:pPr>
              <w:tabs>
                <w:tab w:val="left" w:pos="510"/>
              </w:tabs>
              <w:jc w:val="center"/>
              <w:rPr>
                <w:lang w:val="lt-LT"/>
              </w:rPr>
            </w:pPr>
          </w:p>
        </w:tc>
        <w:tc>
          <w:tcPr>
            <w:tcW w:w="1132" w:type="dxa"/>
            <w:gridSpan w:val="8"/>
          </w:tcPr>
          <w:p w:rsidR="00E91EA3" w:rsidRPr="004273CC" w:rsidRDefault="00E91EA3" w:rsidP="00065FB5">
            <w:pPr>
              <w:tabs>
                <w:tab w:val="left" w:pos="510"/>
              </w:tabs>
              <w:jc w:val="center"/>
              <w:rPr>
                <w:lang w:val="lt-LT"/>
              </w:rPr>
            </w:pPr>
          </w:p>
        </w:tc>
        <w:tc>
          <w:tcPr>
            <w:tcW w:w="708" w:type="dxa"/>
            <w:gridSpan w:val="6"/>
          </w:tcPr>
          <w:p w:rsidR="00E91EA3" w:rsidRPr="004273CC" w:rsidRDefault="00E91EA3" w:rsidP="00065FB5">
            <w:pPr>
              <w:tabs>
                <w:tab w:val="left" w:pos="510"/>
              </w:tabs>
              <w:jc w:val="center"/>
              <w:rPr>
                <w:lang w:val="lt-LT"/>
              </w:rPr>
            </w:pPr>
          </w:p>
        </w:tc>
        <w:tc>
          <w:tcPr>
            <w:tcW w:w="1133" w:type="dxa"/>
            <w:gridSpan w:val="6"/>
          </w:tcPr>
          <w:p w:rsidR="00E91EA3" w:rsidRPr="004273CC" w:rsidRDefault="00E91EA3" w:rsidP="00065FB5">
            <w:pPr>
              <w:tabs>
                <w:tab w:val="left" w:pos="510"/>
              </w:tabs>
              <w:jc w:val="center"/>
              <w:rPr>
                <w:lang w:val="lt-LT"/>
              </w:rPr>
            </w:pPr>
          </w:p>
        </w:tc>
        <w:tc>
          <w:tcPr>
            <w:tcW w:w="1441" w:type="dxa"/>
            <w:gridSpan w:val="2"/>
          </w:tcPr>
          <w:p w:rsidR="00E91EA3" w:rsidRPr="004273CC" w:rsidRDefault="00E91EA3" w:rsidP="00065FB5">
            <w:pPr>
              <w:tabs>
                <w:tab w:val="left" w:pos="510"/>
              </w:tabs>
              <w:jc w:val="center"/>
              <w:rPr>
                <w:lang w:val="lt-LT"/>
              </w:rPr>
            </w:pPr>
          </w:p>
        </w:tc>
      </w:tr>
      <w:tr w:rsidR="00E91EA3" w:rsidRPr="004273CC" w:rsidTr="001C0D02">
        <w:trPr>
          <w:cantSplit/>
          <w:trHeight w:val="240"/>
        </w:trPr>
        <w:tc>
          <w:tcPr>
            <w:tcW w:w="1007" w:type="dxa"/>
            <w:gridSpan w:val="4"/>
            <w:vMerge/>
          </w:tcPr>
          <w:p w:rsidR="00E91EA3" w:rsidRPr="004273CC" w:rsidRDefault="00E91EA3" w:rsidP="00065FB5">
            <w:pPr>
              <w:tabs>
                <w:tab w:val="left" w:pos="510"/>
              </w:tabs>
              <w:ind w:left="113" w:right="113"/>
              <w:jc w:val="center"/>
              <w:rPr>
                <w:lang w:val="lt-LT"/>
              </w:rPr>
            </w:pPr>
          </w:p>
        </w:tc>
        <w:tc>
          <w:tcPr>
            <w:tcW w:w="3338" w:type="dxa"/>
            <w:gridSpan w:val="8"/>
          </w:tcPr>
          <w:p w:rsidR="00E91EA3" w:rsidRPr="004273CC" w:rsidRDefault="00E91EA3" w:rsidP="00065FB5">
            <w:pPr>
              <w:tabs>
                <w:tab w:val="left" w:pos="510"/>
              </w:tabs>
              <w:jc w:val="both"/>
              <w:rPr>
                <w:lang w:val="lt-LT"/>
              </w:rPr>
            </w:pPr>
            <w:r>
              <w:rPr>
                <w:lang w:val="lt-LT"/>
              </w:rPr>
              <w:t>Atsargų perdavimas į kitus įmonės barus ar grąžinimas į sandėlį nėra įforminamas dokumentu</w:t>
            </w:r>
          </w:p>
        </w:tc>
        <w:tc>
          <w:tcPr>
            <w:tcW w:w="567" w:type="dxa"/>
            <w:gridSpan w:val="7"/>
          </w:tcPr>
          <w:p w:rsidR="00E91EA3" w:rsidRPr="004273CC" w:rsidRDefault="00E91EA3" w:rsidP="00065FB5">
            <w:pPr>
              <w:tabs>
                <w:tab w:val="left" w:pos="510"/>
              </w:tabs>
              <w:jc w:val="both"/>
              <w:rPr>
                <w:lang w:val="lt-LT"/>
              </w:rPr>
            </w:pPr>
            <w:r>
              <w:rPr>
                <w:lang w:val="lt-LT"/>
              </w:rPr>
              <w:t>I</w:t>
            </w:r>
          </w:p>
        </w:tc>
        <w:tc>
          <w:tcPr>
            <w:tcW w:w="558" w:type="dxa"/>
            <w:gridSpan w:val="7"/>
          </w:tcPr>
          <w:p w:rsidR="00E91EA3" w:rsidRPr="004273CC" w:rsidRDefault="00E91EA3" w:rsidP="00065FB5">
            <w:pPr>
              <w:tabs>
                <w:tab w:val="left" w:pos="510"/>
              </w:tabs>
              <w:jc w:val="center"/>
              <w:rPr>
                <w:lang w:val="lt-LT"/>
              </w:rPr>
            </w:pPr>
          </w:p>
        </w:tc>
        <w:tc>
          <w:tcPr>
            <w:tcW w:w="1033" w:type="dxa"/>
            <w:gridSpan w:val="3"/>
          </w:tcPr>
          <w:p w:rsidR="00E91EA3" w:rsidRPr="004273CC" w:rsidRDefault="00E91EA3" w:rsidP="00065FB5">
            <w:pPr>
              <w:tabs>
                <w:tab w:val="left" w:pos="510"/>
              </w:tabs>
              <w:jc w:val="center"/>
              <w:rPr>
                <w:lang w:val="lt-LT"/>
              </w:rPr>
            </w:pPr>
          </w:p>
        </w:tc>
        <w:tc>
          <w:tcPr>
            <w:tcW w:w="709" w:type="dxa"/>
            <w:gridSpan w:val="8"/>
          </w:tcPr>
          <w:p w:rsidR="00E91EA3" w:rsidRPr="004273CC" w:rsidRDefault="00E91EA3" w:rsidP="00065FB5">
            <w:pPr>
              <w:tabs>
                <w:tab w:val="left" w:pos="510"/>
              </w:tabs>
              <w:jc w:val="center"/>
              <w:rPr>
                <w:lang w:val="lt-LT"/>
              </w:rPr>
            </w:pPr>
          </w:p>
        </w:tc>
        <w:tc>
          <w:tcPr>
            <w:tcW w:w="1218" w:type="dxa"/>
            <w:gridSpan w:val="9"/>
          </w:tcPr>
          <w:p w:rsidR="00E91EA3" w:rsidRPr="004273CC" w:rsidRDefault="00E91EA3" w:rsidP="00065FB5">
            <w:pPr>
              <w:tabs>
                <w:tab w:val="left" w:pos="510"/>
              </w:tabs>
              <w:jc w:val="center"/>
              <w:rPr>
                <w:lang w:val="lt-LT"/>
              </w:rPr>
            </w:pPr>
          </w:p>
        </w:tc>
        <w:tc>
          <w:tcPr>
            <w:tcW w:w="1014" w:type="dxa"/>
            <w:gridSpan w:val="7"/>
          </w:tcPr>
          <w:p w:rsidR="00E91EA3" w:rsidRPr="004273CC" w:rsidRDefault="00E91EA3" w:rsidP="00065FB5">
            <w:pPr>
              <w:tabs>
                <w:tab w:val="left" w:pos="510"/>
              </w:tabs>
              <w:jc w:val="center"/>
              <w:rPr>
                <w:lang w:val="lt-LT"/>
              </w:rPr>
            </w:pPr>
          </w:p>
        </w:tc>
        <w:tc>
          <w:tcPr>
            <w:tcW w:w="1132" w:type="dxa"/>
            <w:gridSpan w:val="8"/>
          </w:tcPr>
          <w:p w:rsidR="00E91EA3" w:rsidRPr="004273CC" w:rsidRDefault="00E91EA3" w:rsidP="00065FB5">
            <w:pPr>
              <w:tabs>
                <w:tab w:val="left" w:pos="510"/>
              </w:tabs>
              <w:jc w:val="center"/>
              <w:rPr>
                <w:lang w:val="lt-LT"/>
              </w:rPr>
            </w:pPr>
          </w:p>
        </w:tc>
        <w:tc>
          <w:tcPr>
            <w:tcW w:w="708" w:type="dxa"/>
            <w:gridSpan w:val="6"/>
          </w:tcPr>
          <w:p w:rsidR="00E91EA3" w:rsidRPr="004273CC" w:rsidRDefault="00E91EA3" w:rsidP="00065FB5">
            <w:pPr>
              <w:tabs>
                <w:tab w:val="left" w:pos="510"/>
              </w:tabs>
              <w:jc w:val="center"/>
              <w:rPr>
                <w:lang w:val="lt-LT"/>
              </w:rPr>
            </w:pPr>
          </w:p>
        </w:tc>
        <w:tc>
          <w:tcPr>
            <w:tcW w:w="1133" w:type="dxa"/>
            <w:gridSpan w:val="6"/>
          </w:tcPr>
          <w:p w:rsidR="00E91EA3" w:rsidRPr="004273CC" w:rsidRDefault="00E91EA3" w:rsidP="00065FB5">
            <w:pPr>
              <w:tabs>
                <w:tab w:val="left" w:pos="510"/>
              </w:tabs>
              <w:jc w:val="center"/>
              <w:rPr>
                <w:lang w:val="lt-LT"/>
              </w:rPr>
            </w:pPr>
          </w:p>
        </w:tc>
        <w:tc>
          <w:tcPr>
            <w:tcW w:w="1441" w:type="dxa"/>
            <w:gridSpan w:val="2"/>
          </w:tcPr>
          <w:p w:rsidR="00E91EA3" w:rsidRPr="004273CC" w:rsidRDefault="00E91EA3" w:rsidP="00065FB5">
            <w:pPr>
              <w:tabs>
                <w:tab w:val="left" w:pos="510"/>
              </w:tabs>
              <w:jc w:val="center"/>
              <w:rPr>
                <w:lang w:val="lt-LT"/>
              </w:rPr>
            </w:pPr>
          </w:p>
        </w:tc>
      </w:tr>
      <w:tr w:rsidR="00E91EA3" w:rsidRPr="004273CC" w:rsidTr="001C0D02">
        <w:trPr>
          <w:cantSplit/>
          <w:trHeight w:val="240"/>
        </w:trPr>
        <w:tc>
          <w:tcPr>
            <w:tcW w:w="1007" w:type="dxa"/>
            <w:gridSpan w:val="4"/>
            <w:vMerge/>
          </w:tcPr>
          <w:p w:rsidR="00E91EA3" w:rsidRPr="004273CC" w:rsidRDefault="00E91EA3" w:rsidP="00065FB5">
            <w:pPr>
              <w:tabs>
                <w:tab w:val="left" w:pos="510"/>
              </w:tabs>
              <w:ind w:left="113" w:right="113"/>
              <w:jc w:val="center"/>
              <w:rPr>
                <w:lang w:val="lt-LT"/>
              </w:rPr>
            </w:pPr>
          </w:p>
        </w:tc>
        <w:tc>
          <w:tcPr>
            <w:tcW w:w="3338" w:type="dxa"/>
            <w:gridSpan w:val="8"/>
          </w:tcPr>
          <w:p w:rsidR="00E91EA3" w:rsidRPr="004273CC" w:rsidRDefault="00E91EA3" w:rsidP="00065FB5">
            <w:pPr>
              <w:tabs>
                <w:tab w:val="left" w:pos="510"/>
              </w:tabs>
              <w:jc w:val="both"/>
              <w:rPr>
                <w:lang w:val="lt-LT"/>
              </w:rPr>
            </w:pPr>
            <w:r>
              <w:rPr>
                <w:lang w:val="lt-LT"/>
              </w:rPr>
              <w:t>Atsargų vidinis judėjimas nėra tikrinamas</w:t>
            </w:r>
          </w:p>
        </w:tc>
        <w:tc>
          <w:tcPr>
            <w:tcW w:w="567" w:type="dxa"/>
            <w:gridSpan w:val="7"/>
          </w:tcPr>
          <w:p w:rsidR="00E91EA3" w:rsidRPr="004273CC" w:rsidRDefault="00E91EA3" w:rsidP="00065FB5">
            <w:pPr>
              <w:tabs>
                <w:tab w:val="left" w:pos="510"/>
              </w:tabs>
              <w:jc w:val="both"/>
              <w:rPr>
                <w:lang w:val="lt-LT"/>
              </w:rPr>
            </w:pPr>
            <w:r>
              <w:rPr>
                <w:lang w:val="lt-LT"/>
              </w:rPr>
              <w:t>I</w:t>
            </w:r>
          </w:p>
        </w:tc>
        <w:tc>
          <w:tcPr>
            <w:tcW w:w="558" w:type="dxa"/>
            <w:gridSpan w:val="7"/>
          </w:tcPr>
          <w:p w:rsidR="00E91EA3" w:rsidRPr="004273CC" w:rsidRDefault="00E91EA3" w:rsidP="00065FB5">
            <w:pPr>
              <w:tabs>
                <w:tab w:val="left" w:pos="510"/>
              </w:tabs>
              <w:jc w:val="center"/>
              <w:rPr>
                <w:lang w:val="lt-LT"/>
              </w:rPr>
            </w:pPr>
          </w:p>
        </w:tc>
        <w:tc>
          <w:tcPr>
            <w:tcW w:w="1033" w:type="dxa"/>
            <w:gridSpan w:val="3"/>
          </w:tcPr>
          <w:p w:rsidR="00E91EA3" w:rsidRPr="004273CC" w:rsidRDefault="00E91EA3" w:rsidP="00065FB5">
            <w:pPr>
              <w:tabs>
                <w:tab w:val="left" w:pos="510"/>
              </w:tabs>
              <w:jc w:val="center"/>
              <w:rPr>
                <w:lang w:val="lt-LT"/>
              </w:rPr>
            </w:pPr>
          </w:p>
        </w:tc>
        <w:tc>
          <w:tcPr>
            <w:tcW w:w="709" w:type="dxa"/>
            <w:gridSpan w:val="8"/>
          </w:tcPr>
          <w:p w:rsidR="00E91EA3" w:rsidRPr="004273CC" w:rsidRDefault="00E91EA3" w:rsidP="00065FB5">
            <w:pPr>
              <w:tabs>
                <w:tab w:val="left" w:pos="510"/>
              </w:tabs>
              <w:jc w:val="center"/>
              <w:rPr>
                <w:lang w:val="lt-LT"/>
              </w:rPr>
            </w:pPr>
          </w:p>
        </w:tc>
        <w:tc>
          <w:tcPr>
            <w:tcW w:w="1218" w:type="dxa"/>
            <w:gridSpan w:val="9"/>
          </w:tcPr>
          <w:p w:rsidR="00E91EA3" w:rsidRPr="004273CC" w:rsidRDefault="00E91EA3" w:rsidP="00065FB5">
            <w:pPr>
              <w:tabs>
                <w:tab w:val="left" w:pos="510"/>
              </w:tabs>
              <w:jc w:val="center"/>
              <w:rPr>
                <w:lang w:val="lt-LT"/>
              </w:rPr>
            </w:pPr>
          </w:p>
        </w:tc>
        <w:tc>
          <w:tcPr>
            <w:tcW w:w="1014" w:type="dxa"/>
            <w:gridSpan w:val="7"/>
          </w:tcPr>
          <w:p w:rsidR="00E91EA3" w:rsidRPr="004273CC" w:rsidRDefault="00E91EA3" w:rsidP="00065FB5">
            <w:pPr>
              <w:tabs>
                <w:tab w:val="left" w:pos="510"/>
              </w:tabs>
              <w:jc w:val="center"/>
              <w:rPr>
                <w:lang w:val="lt-LT"/>
              </w:rPr>
            </w:pPr>
          </w:p>
        </w:tc>
        <w:tc>
          <w:tcPr>
            <w:tcW w:w="1132" w:type="dxa"/>
            <w:gridSpan w:val="8"/>
          </w:tcPr>
          <w:p w:rsidR="00E91EA3" w:rsidRPr="004273CC" w:rsidRDefault="00E91EA3" w:rsidP="00065FB5">
            <w:pPr>
              <w:tabs>
                <w:tab w:val="left" w:pos="510"/>
              </w:tabs>
              <w:jc w:val="center"/>
              <w:rPr>
                <w:lang w:val="lt-LT"/>
              </w:rPr>
            </w:pPr>
          </w:p>
        </w:tc>
        <w:tc>
          <w:tcPr>
            <w:tcW w:w="708" w:type="dxa"/>
            <w:gridSpan w:val="6"/>
          </w:tcPr>
          <w:p w:rsidR="00E91EA3" w:rsidRPr="004273CC" w:rsidRDefault="00E91EA3" w:rsidP="00065FB5">
            <w:pPr>
              <w:tabs>
                <w:tab w:val="left" w:pos="510"/>
              </w:tabs>
              <w:jc w:val="center"/>
              <w:rPr>
                <w:lang w:val="lt-LT"/>
              </w:rPr>
            </w:pPr>
          </w:p>
        </w:tc>
        <w:tc>
          <w:tcPr>
            <w:tcW w:w="1133" w:type="dxa"/>
            <w:gridSpan w:val="6"/>
          </w:tcPr>
          <w:p w:rsidR="00E91EA3" w:rsidRPr="004273CC" w:rsidRDefault="00E91EA3" w:rsidP="00065FB5">
            <w:pPr>
              <w:tabs>
                <w:tab w:val="left" w:pos="510"/>
              </w:tabs>
              <w:jc w:val="center"/>
              <w:rPr>
                <w:lang w:val="lt-LT"/>
              </w:rPr>
            </w:pPr>
          </w:p>
        </w:tc>
        <w:tc>
          <w:tcPr>
            <w:tcW w:w="1441" w:type="dxa"/>
            <w:gridSpan w:val="2"/>
          </w:tcPr>
          <w:p w:rsidR="00E91EA3" w:rsidRPr="004273CC" w:rsidRDefault="00E91EA3" w:rsidP="00065FB5">
            <w:pPr>
              <w:tabs>
                <w:tab w:val="left" w:pos="510"/>
              </w:tabs>
              <w:jc w:val="center"/>
              <w:rPr>
                <w:lang w:val="lt-LT"/>
              </w:rPr>
            </w:pPr>
          </w:p>
        </w:tc>
      </w:tr>
      <w:tr w:rsidR="00E91EA3" w:rsidRPr="004273CC" w:rsidTr="001C0D02">
        <w:trPr>
          <w:cantSplit/>
          <w:trHeight w:val="240"/>
        </w:trPr>
        <w:tc>
          <w:tcPr>
            <w:tcW w:w="1007" w:type="dxa"/>
            <w:gridSpan w:val="4"/>
            <w:vMerge/>
          </w:tcPr>
          <w:p w:rsidR="00E91EA3" w:rsidRPr="004273CC" w:rsidRDefault="00E91EA3" w:rsidP="00065FB5">
            <w:pPr>
              <w:tabs>
                <w:tab w:val="left" w:pos="510"/>
              </w:tabs>
              <w:ind w:left="113" w:right="113"/>
              <w:jc w:val="center"/>
              <w:rPr>
                <w:lang w:val="lt-LT"/>
              </w:rPr>
            </w:pPr>
          </w:p>
        </w:tc>
        <w:tc>
          <w:tcPr>
            <w:tcW w:w="3338" w:type="dxa"/>
            <w:gridSpan w:val="8"/>
          </w:tcPr>
          <w:p w:rsidR="00E91EA3" w:rsidRDefault="00E91EA3" w:rsidP="00065FB5">
            <w:pPr>
              <w:tabs>
                <w:tab w:val="left" w:pos="510"/>
              </w:tabs>
              <w:jc w:val="both"/>
              <w:rPr>
                <w:lang w:val="lt-LT"/>
              </w:rPr>
            </w:pPr>
            <w:r>
              <w:rPr>
                <w:lang w:val="lt-LT"/>
              </w:rPr>
              <w:t xml:space="preserve">Ne visuomet yra išrašomi dokumentai išsiunčiant prekę </w:t>
            </w:r>
          </w:p>
        </w:tc>
        <w:tc>
          <w:tcPr>
            <w:tcW w:w="567" w:type="dxa"/>
            <w:gridSpan w:val="7"/>
          </w:tcPr>
          <w:p w:rsidR="00E91EA3" w:rsidRPr="004273CC" w:rsidRDefault="00E91EA3" w:rsidP="00065FB5">
            <w:pPr>
              <w:tabs>
                <w:tab w:val="left" w:pos="510"/>
              </w:tabs>
              <w:jc w:val="both"/>
              <w:rPr>
                <w:lang w:val="lt-LT"/>
              </w:rPr>
            </w:pPr>
            <w:r>
              <w:rPr>
                <w:lang w:val="lt-LT"/>
              </w:rPr>
              <w:t>I</w:t>
            </w:r>
          </w:p>
        </w:tc>
        <w:tc>
          <w:tcPr>
            <w:tcW w:w="558" w:type="dxa"/>
            <w:gridSpan w:val="7"/>
          </w:tcPr>
          <w:p w:rsidR="00E91EA3" w:rsidRPr="004273CC" w:rsidRDefault="00E91EA3" w:rsidP="00065FB5">
            <w:pPr>
              <w:tabs>
                <w:tab w:val="left" w:pos="510"/>
              </w:tabs>
              <w:jc w:val="center"/>
              <w:rPr>
                <w:lang w:val="lt-LT"/>
              </w:rPr>
            </w:pPr>
          </w:p>
        </w:tc>
        <w:tc>
          <w:tcPr>
            <w:tcW w:w="1033" w:type="dxa"/>
            <w:gridSpan w:val="3"/>
          </w:tcPr>
          <w:p w:rsidR="00E91EA3" w:rsidRPr="004273CC" w:rsidRDefault="00E91EA3" w:rsidP="00065FB5">
            <w:pPr>
              <w:tabs>
                <w:tab w:val="left" w:pos="510"/>
              </w:tabs>
              <w:jc w:val="center"/>
              <w:rPr>
                <w:lang w:val="lt-LT"/>
              </w:rPr>
            </w:pPr>
          </w:p>
        </w:tc>
        <w:tc>
          <w:tcPr>
            <w:tcW w:w="709" w:type="dxa"/>
            <w:gridSpan w:val="8"/>
          </w:tcPr>
          <w:p w:rsidR="00E91EA3" w:rsidRPr="004273CC" w:rsidRDefault="00E91EA3" w:rsidP="00065FB5">
            <w:pPr>
              <w:tabs>
                <w:tab w:val="left" w:pos="510"/>
              </w:tabs>
              <w:jc w:val="center"/>
              <w:rPr>
                <w:lang w:val="lt-LT"/>
              </w:rPr>
            </w:pPr>
          </w:p>
        </w:tc>
        <w:tc>
          <w:tcPr>
            <w:tcW w:w="1218" w:type="dxa"/>
            <w:gridSpan w:val="9"/>
          </w:tcPr>
          <w:p w:rsidR="00E91EA3" w:rsidRPr="004273CC" w:rsidRDefault="00E91EA3" w:rsidP="00065FB5">
            <w:pPr>
              <w:tabs>
                <w:tab w:val="left" w:pos="510"/>
              </w:tabs>
              <w:jc w:val="center"/>
              <w:rPr>
                <w:lang w:val="lt-LT"/>
              </w:rPr>
            </w:pPr>
          </w:p>
        </w:tc>
        <w:tc>
          <w:tcPr>
            <w:tcW w:w="1014" w:type="dxa"/>
            <w:gridSpan w:val="7"/>
          </w:tcPr>
          <w:p w:rsidR="00E91EA3" w:rsidRPr="004273CC" w:rsidRDefault="00E91EA3" w:rsidP="00065FB5">
            <w:pPr>
              <w:tabs>
                <w:tab w:val="left" w:pos="510"/>
              </w:tabs>
              <w:jc w:val="center"/>
              <w:rPr>
                <w:lang w:val="lt-LT"/>
              </w:rPr>
            </w:pPr>
          </w:p>
        </w:tc>
        <w:tc>
          <w:tcPr>
            <w:tcW w:w="1132" w:type="dxa"/>
            <w:gridSpan w:val="8"/>
          </w:tcPr>
          <w:p w:rsidR="00E91EA3" w:rsidRPr="004273CC" w:rsidRDefault="00E91EA3" w:rsidP="00065FB5">
            <w:pPr>
              <w:tabs>
                <w:tab w:val="left" w:pos="510"/>
              </w:tabs>
              <w:jc w:val="center"/>
              <w:rPr>
                <w:lang w:val="lt-LT"/>
              </w:rPr>
            </w:pPr>
          </w:p>
        </w:tc>
        <w:tc>
          <w:tcPr>
            <w:tcW w:w="708" w:type="dxa"/>
            <w:gridSpan w:val="6"/>
          </w:tcPr>
          <w:p w:rsidR="00E91EA3" w:rsidRPr="004273CC" w:rsidRDefault="00E91EA3" w:rsidP="00065FB5">
            <w:pPr>
              <w:tabs>
                <w:tab w:val="left" w:pos="510"/>
              </w:tabs>
              <w:jc w:val="center"/>
              <w:rPr>
                <w:lang w:val="lt-LT"/>
              </w:rPr>
            </w:pPr>
          </w:p>
        </w:tc>
        <w:tc>
          <w:tcPr>
            <w:tcW w:w="1133" w:type="dxa"/>
            <w:gridSpan w:val="6"/>
          </w:tcPr>
          <w:p w:rsidR="00E91EA3" w:rsidRPr="004273CC" w:rsidRDefault="00E91EA3" w:rsidP="00065FB5">
            <w:pPr>
              <w:tabs>
                <w:tab w:val="left" w:pos="510"/>
              </w:tabs>
              <w:jc w:val="center"/>
              <w:rPr>
                <w:lang w:val="lt-LT"/>
              </w:rPr>
            </w:pPr>
          </w:p>
        </w:tc>
        <w:tc>
          <w:tcPr>
            <w:tcW w:w="1441" w:type="dxa"/>
            <w:gridSpan w:val="2"/>
          </w:tcPr>
          <w:p w:rsidR="00E91EA3" w:rsidRPr="004273CC" w:rsidRDefault="00E91EA3" w:rsidP="00065FB5">
            <w:pPr>
              <w:tabs>
                <w:tab w:val="left" w:pos="510"/>
              </w:tabs>
              <w:jc w:val="center"/>
              <w:rPr>
                <w:lang w:val="lt-LT"/>
              </w:rPr>
            </w:pPr>
          </w:p>
        </w:tc>
      </w:tr>
      <w:tr w:rsidR="00E91EA3" w:rsidRPr="004273CC" w:rsidTr="001C0D02">
        <w:trPr>
          <w:cantSplit/>
        </w:trPr>
        <w:tc>
          <w:tcPr>
            <w:tcW w:w="1007" w:type="dxa"/>
            <w:gridSpan w:val="4"/>
            <w:vMerge/>
            <w:textDirection w:val="btLr"/>
          </w:tcPr>
          <w:p w:rsidR="00E91EA3" w:rsidRPr="004273CC" w:rsidRDefault="00E91EA3" w:rsidP="00065FB5">
            <w:pPr>
              <w:tabs>
                <w:tab w:val="left" w:pos="510"/>
              </w:tabs>
              <w:ind w:left="113" w:right="113"/>
              <w:jc w:val="center"/>
              <w:rPr>
                <w:lang w:val="lt-LT"/>
              </w:rPr>
            </w:pPr>
          </w:p>
        </w:tc>
        <w:tc>
          <w:tcPr>
            <w:tcW w:w="3338" w:type="dxa"/>
            <w:gridSpan w:val="8"/>
          </w:tcPr>
          <w:p w:rsidR="00E91EA3" w:rsidRDefault="00E91EA3" w:rsidP="00065FB5">
            <w:pPr>
              <w:tabs>
                <w:tab w:val="left" w:pos="510"/>
              </w:tabs>
              <w:jc w:val="both"/>
              <w:rPr>
                <w:lang w:val="lt-LT"/>
              </w:rPr>
            </w:pPr>
            <w:r>
              <w:rPr>
                <w:lang w:val="lt-LT"/>
              </w:rPr>
              <w:t>Išsiuntimo dokumentai nėra griežtai numeruojami</w:t>
            </w:r>
          </w:p>
        </w:tc>
        <w:tc>
          <w:tcPr>
            <w:tcW w:w="567" w:type="dxa"/>
            <w:gridSpan w:val="7"/>
          </w:tcPr>
          <w:p w:rsidR="00E91EA3" w:rsidRPr="004273CC" w:rsidRDefault="00E91EA3" w:rsidP="00065FB5">
            <w:pPr>
              <w:tabs>
                <w:tab w:val="left" w:pos="510"/>
              </w:tabs>
              <w:jc w:val="both"/>
              <w:rPr>
                <w:lang w:val="lt-LT"/>
              </w:rPr>
            </w:pPr>
            <w:r>
              <w:rPr>
                <w:lang w:val="lt-LT"/>
              </w:rPr>
              <w:t>I</w:t>
            </w:r>
          </w:p>
        </w:tc>
        <w:tc>
          <w:tcPr>
            <w:tcW w:w="558" w:type="dxa"/>
            <w:gridSpan w:val="7"/>
          </w:tcPr>
          <w:p w:rsidR="00E91EA3" w:rsidRPr="004273CC" w:rsidRDefault="00E91EA3" w:rsidP="00065FB5">
            <w:pPr>
              <w:tabs>
                <w:tab w:val="left" w:pos="510"/>
              </w:tabs>
              <w:jc w:val="both"/>
              <w:rPr>
                <w:lang w:val="lt-LT"/>
              </w:rPr>
            </w:pPr>
          </w:p>
        </w:tc>
        <w:tc>
          <w:tcPr>
            <w:tcW w:w="1033" w:type="dxa"/>
            <w:gridSpan w:val="3"/>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218" w:type="dxa"/>
            <w:gridSpan w:val="9"/>
          </w:tcPr>
          <w:p w:rsidR="00E91EA3" w:rsidRPr="004273CC" w:rsidRDefault="00E91EA3" w:rsidP="00065FB5">
            <w:pPr>
              <w:tabs>
                <w:tab w:val="left" w:pos="510"/>
              </w:tabs>
              <w:jc w:val="both"/>
              <w:rPr>
                <w:lang w:val="lt-LT"/>
              </w:rPr>
            </w:pPr>
          </w:p>
        </w:tc>
        <w:tc>
          <w:tcPr>
            <w:tcW w:w="1014" w:type="dxa"/>
            <w:gridSpan w:val="7"/>
          </w:tcPr>
          <w:p w:rsidR="00E91EA3" w:rsidRPr="004273CC" w:rsidRDefault="00E91EA3" w:rsidP="00065FB5">
            <w:pPr>
              <w:tabs>
                <w:tab w:val="left" w:pos="510"/>
              </w:tabs>
              <w:jc w:val="both"/>
              <w:rPr>
                <w:lang w:val="lt-LT"/>
              </w:rPr>
            </w:pPr>
          </w:p>
        </w:tc>
        <w:tc>
          <w:tcPr>
            <w:tcW w:w="1132" w:type="dxa"/>
            <w:gridSpan w:val="8"/>
          </w:tcPr>
          <w:p w:rsidR="00E91EA3" w:rsidRPr="004273CC" w:rsidRDefault="00E91EA3" w:rsidP="00065FB5">
            <w:pPr>
              <w:tabs>
                <w:tab w:val="left" w:pos="510"/>
              </w:tabs>
              <w:jc w:val="both"/>
              <w:rPr>
                <w:lang w:val="lt-LT"/>
              </w:rPr>
            </w:pPr>
          </w:p>
        </w:tc>
        <w:tc>
          <w:tcPr>
            <w:tcW w:w="708" w:type="dxa"/>
            <w:gridSpan w:val="6"/>
          </w:tcPr>
          <w:p w:rsidR="00E91EA3" w:rsidRPr="004273CC" w:rsidRDefault="00E91EA3" w:rsidP="00065FB5">
            <w:pPr>
              <w:tabs>
                <w:tab w:val="left" w:pos="510"/>
              </w:tabs>
              <w:jc w:val="both"/>
              <w:rPr>
                <w:lang w:val="lt-LT"/>
              </w:rPr>
            </w:pPr>
          </w:p>
        </w:tc>
        <w:tc>
          <w:tcPr>
            <w:tcW w:w="1133" w:type="dxa"/>
            <w:gridSpan w:val="6"/>
          </w:tcPr>
          <w:p w:rsidR="00E91EA3" w:rsidRPr="004273CC" w:rsidRDefault="00E91EA3" w:rsidP="00065FB5">
            <w:pPr>
              <w:tabs>
                <w:tab w:val="left" w:pos="510"/>
              </w:tabs>
              <w:jc w:val="both"/>
              <w:rPr>
                <w:lang w:val="lt-LT"/>
              </w:rPr>
            </w:pPr>
          </w:p>
        </w:tc>
        <w:tc>
          <w:tcPr>
            <w:tcW w:w="1441" w:type="dxa"/>
            <w:gridSpan w:val="2"/>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338" w:type="dxa"/>
            <w:gridSpan w:val="8"/>
          </w:tcPr>
          <w:p w:rsidR="00E91EA3" w:rsidRDefault="00E91EA3" w:rsidP="00065FB5">
            <w:pPr>
              <w:tabs>
                <w:tab w:val="left" w:pos="510"/>
              </w:tabs>
              <w:jc w:val="both"/>
              <w:rPr>
                <w:lang w:val="lt-LT"/>
              </w:rPr>
            </w:pPr>
            <w:r>
              <w:rPr>
                <w:lang w:val="lt-LT"/>
              </w:rPr>
              <w:t>Ne visi prekių išsiuntimai yra registruojami apskaitoje</w:t>
            </w:r>
          </w:p>
        </w:tc>
        <w:tc>
          <w:tcPr>
            <w:tcW w:w="567" w:type="dxa"/>
            <w:gridSpan w:val="7"/>
          </w:tcPr>
          <w:p w:rsidR="00E91EA3" w:rsidRPr="004273CC" w:rsidRDefault="00E91EA3" w:rsidP="00065FB5">
            <w:pPr>
              <w:tabs>
                <w:tab w:val="left" w:pos="510"/>
              </w:tabs>
              <w:jc w:val="both"/>
              <w:rPr>
                <w:lang w:val="lt-LT"/>
              </w:rPr>
            </w:pPr>
            <w:r>
              <w:rPr>
                <w:lang w:val="lt-LT"/>
              </w:rPr>
              <w:t>I</w:t>
            </w:r>
          </w:p>
        </w:tc>
        <w:tc>
          <w:tcPr>
            <w:tcW w:w="558" w:type="dxa"/>
            <w:gridSpan w:val="7"/>
          </w:tcPr>
          <w:p w:rsidR="00E91EA3" w:rsidRPr="004273CC" w:rsidRDefault="00E91EA3" w:rsidP="00065FB5">
            <w:pPr>
              <w:tabs>
                <w:tab w:val="left" w:pos="510"/>
              </w:tabs>
              <w:jc w:val="both"/>
              <w:rPr>
                <w:lang w:val="lt-LT"/>
              </w:rPr>
            </w:pPr>
          </w:p>
        </w:tc>
        <w:tc>
          <w:tcPr>
            <w:tcW w:w="1033" w:type="dxa"/>
            <w:gridSpan w:val="3"/>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218" w:type="dxa"/>
            <w:gridSpan w:val="9"/>
          </w:tcPr>
          <w:p w:rsidR="00E91EA3" w:rsidRPr="004273CC" w:rsidRDefault="00E91EA3" w:rsidP="00065FB5">
            <w:pPr>
              <w:tabs>
                <w:tab w:val="left" w:pos="510"/>
              </w:tabs>
              <w:jc w:val="both"/>
              <w:rPr>
                <w:lang w:val="lt-LT"/>
              </w:rPr>
            </w:pPr>
          </w:p>
        </w:tc>
        <w:tc>
          <w:tcPr>
            <w:tcW w:w="1014" w:type="dxa"/>
            <w:gridSpan w:val="7"/>
          </w:tcPr>
          <w:p w:rsidR="00E91EA3" w:rsidRPr="004273CC" w:rsidRDefault="00E91EA3" w:rsidP="00065FB5">
            <w:pPr>
              <w:tabs>
                <w:tab w:val="left" w:pos="510"/>
              </w:tabs>
              <w:jc w:val="both"/>
              <w:rPr>
                <w:lang w:val="lt-LT"/>
              </w:rPr>
            </w:pPr>
          </w:p>
        </w:tc>
        <w:tc>
          <w:tcPr>
            <w:tcW w:w="1132" w:type="dxa"/>
            <w:gridSpan w:val="8"/>
          </w:tcPr>
          <w:p w:rsidR="00E91EA3" w:rsidRPr="004273CC" w:rsidRDefault="00E91EA3" w:rsidP="00065FB5">
            <w:pPr>
              <w:tabs>
                <w:tab w:val="left" w:pos="510"/>
              </w:tabs>
              <w:jc w:val="both"/>
              <w:rPr>
                <w:lang w:val="lt-LT"/>
              </w:rPr>
            </w:pPr>
          </w:p>
        </w:tc>
        <w:tc>
          <w:tcPr>
            <w:tcW w:w="708" w:type="dxa"/>
            <w:gridSpan w:val="6"/>
          </w:tcPr>
          <w:p w:rsidR="00E91EA3" w:rsidRPr="004273CC" w:rsidRDefault="00E91EA3" w:rsidP="00065FB5">
            <w:pPr>
              <w:tabs>
                <w:tab w:val="left" w:pos="510"/>
              </w:tabs>
              <w:jc w:val="both"/>
              <w:rPr>
                <w:lang w:val="lt-LT"/>
              </w:rPr>
            </w:pPr>
          </w:p>
        </w:tc>
        <w:tc>
          <w:tcPr>
            <w:tcW w:w="1133" w:type="dxa"/>
            <w:gridSpan w:val="6"/>
          </w:tcPr>
          <w:p w:rsidR="00E91EA3" w:rsidRPr="004273CC" w:rsidRDefault="00E91EA3" w:rsidP="00065FB5">
            <w:pPr>
              <w:tabs>
                <w:tab w:val="left" w:pos="510"/>
              </w:tabs>
              <w:jc w:val="both"/>
              <w:rPr>
                <w:lang w:val="lt-LT"/>
              </w:rPr>
            </w:pPr>
          </w:p>
        </w:tc>
        <w:tc>
          <w:tcPr>
            <w:tcW w:w="1441" w:type="dxa"/>
            <w:gridSpan w:val="2"/>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338" w:type="dxa"/>
            <w:gridSpan w:val="8"/>
          </w:tcPr>
          <w:p w:rsidR="00E91EA3" w:rsidRDefault="00E91EA3" w:rsidP="00065FB5">
            <w:pPr>
              <w:tabs>
                <w:tab w:val="left" w:pos="510"/>
              </w:tabs>
              <w:jc w:val="both"/>
              <w:rPr>
                <w:lang w:val="lt-LT"/>
              </w:rPr>
            </w:pPr>
            <w:r>
              <w:rPr>
                <w:lang w:val="lt-LT"/>
              </w:rPr>
              <w:t>Nėra nustatyti atsakingi asmenys už atsargų saugojimą, apskaitą</w:t>
            </w:r>
          </w:p>
        </w:tc>
        <w:tc>
          <w:tcPr>
            <w:tcW w:w="567" w:type="dxa"/>
            <w:gridSpan w:val="7"/>
          </w:tcPr>
          <w:p w:rsidR="00E91EA3" w:rsidRPr="004273CC" w:rsidRDefault="00E91EA3" w:rsidP="00065FB5">
            <w:pPr>
              <w:tabs>
                <w:tab w:val="left" w:pos="510"/>
              </w:tabs>
              <w:jc w:val="both"/>
              <w:rPr>
                <w:lang w:val="lt-LT"/>
              </w:rPr>
            </w:pPr>
            <w:r>
              <w:rPr>
                <w:lang w:val="lt-LT"/>
              </w:rPr>
              <w:t>B</w:t>
            </w:r>
          </w:p>
        </w:tc>
        <w:tc>
          <w:tcPr>
            <w:tcW w:w="558" w:type="dxa"/>
            <w:gridSpan w:val="7"/>
          </w:tcPr>
          <w:p w:rsidR="00E91EA3" w:rsidRPr="004273CC" w:rsidRDefault="00E91EA3" w:rsidP="00065FB5">
            <w:pPr>
              <w:tabs>
                <w:tab w:val="left" w:pos="510"/>
              </w:tabs>
              <w:jc w:val="both"/>
              <w:rPr>
                <w:lang w:val="lt-LT"/>
              </w:rPr>
            </w:pPr>
            <w:r>
              <w:rPr>
                <w:lang w:val="lt-LT"/>
              </w:rPr>
              <w:t>KR</w:t>
            </w:r>
          </w:p>
        </w:tc>
        <w:tc>
          <w:tcPr>
            <w:tcW w:w="1033" w:type="dxa"/>
            <w:gridSpan w:val="3"/>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218" w:type="dxa"/>
            <w:gridSpan w:val="9"/>
          </w:tcPr>
          <w:p w:rsidR="00E91EA3" w:rsidRPr="004273CC" w:rsidRDefault="00E91EA3" w:rsidP="00065FB5">
            <w:pPr>
              <w:tabs>
                <w:tab w:val="left" w:pos="510"/>
              </w:tabs>
              <w:jc w:val="both"/>
              <w:rPr>
                <w:lang w:val="lt-LT"/>
              </w:rPr>
            </w:pPr>
          </w:p>
        </w:tc>
        <w:tc>
          <w:tcPr>
            <w:tcW w:w="1014" w:type="dxa"/>
            <w:gridSpan w:val="7"/>
          </w:tcPr>
          <w:p w:rsidR="00E91EA3" w:rsidRPr="004273CC" w:rsidRDefault="00E91EA3" w:rsidP="00065FB5">
            <w:pPr>
              <w:tabs>
                <w:tab w:val="left" w:pos="510"/>
              </w:tabs>
              <w:jc w:val="both"/>
              <w:rPr>
                <w:lang w:val="lt-LT"/>
              </w:rPr>
            </w:pPr>
            <w:r>
              <w:rPr>
                <w:lang w:val="lt-LT"/>
              </w:rPr>
              <w:t>Yra</w:t>
            </w:r>
          </w:p>
        </w:tc>
        <w:tc>
          <w:tcPr>
            <w:tcW w:w="1132" w:type="dxa"/>
            <w:gridSpan w:val="8"/>
          </w:tcPr>
          <w:p w:rsidR="00E91EA3" w:rsidRPr="004273CC" w:rsidRDefault="00E91EA3" w:rsidP="00065FB5">
            <w:pPr>
              <w:tabs>
                <w:tab w:val="left" w:pos="510"/>
              </w:tabs>
              <w:jc w:val="both"/>
              <w:rPr>
                <w:lang w:val="lt-LT"/>
              </w:rPr>
            </w:pPr>
          </w:p>
        </w:tc>
        <w:tc>
          <w:tcPr>
            <w:tcW w:w="708" w:type="dxa"/>
            <w:gridSpan w:val="6"/>
          </w:tcPr>
          <w:p w:rsidR="00E91EA3" w:rsidRPr="004273CC" w:rsidRDefault="00E91EA3" w:rsidP="00065FB5">
            <w:pPr>
              <w:tabs>
                <w:tab w:val="left" w:pos="510"/>
              </w:tabs>
              <w:jc w:val="both"/>
              <w:rPr>
                <w:lang w:val="lt-LT"/>
              </w:rPr>
            </w:pPr>
          </w:p>
        </w:tc>
        <w:tc>
          <w:tcPr>
            <w:tcW w:w="1133" w:type="dxa"/>
            <w:gridSpan w:val="6"/>
          </w:tcPr>
          <w:p w:rsidR="00E91EA3" w:rsidRPr="004273CC" w:rsidRDefault="00E91EA3" w:rsidP="00065FB5">
            <w:pPr>
              <w:tabs>
                <w:tab w:val="left" w:pos="510"/>
              </w:tabs>
              <w:jc w:val="both"/>
              <w:rPr>
                <w:lang w:val="lt-LT"/>
              </w:rPr>
            </w:pPr>
          </w:p>
        </w:tc>
        <w:tc>
          <w:tcPr>
            <w:tcW w:w="1441" w:type="dxa"/>
            <w:gridSpan w:val="2"/>
          </w:tcPr>
          <w:p w:rsidR="00E91EA3" w:rsidRPr="004273CC" w:rsidRDefault="00E91EA3" w:rsidP="00065FB5">
            <w:pPr>
              <w:tabs>
                <w:tab w:val="left" w:pos="510"/>
              </w:tabs>
              <w:jc w:val="both"/>
              <w:rPr>
                <w:lang w:val="lt-LT"/>
              </w:rPr>
            </w:pPr>
            <w:r>
              <w:rPr>
                <w:lang w:val="lt-LT"/>
              </w:rPr>
              <w:t>Yra</w:t>
            </w: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338" w:type="dxa"/>
            <w:gridSpan w:val="8"/>
          </w:tcPr>
          <w:p w:rsidR="00E91EA3" w:rsidRDefault="00E91EA3" w:rsidP="00065FB5">
            <w:pPr>
              <w:tabs>
                <w:tab w:val="left" w:pos="510"/>
              </w:tabs>
              <w:jc w:val="both"/>
              <w:rPr>
                <w:lang w:val="lt-LT"/>
              </w:rPr>
            </w:pPr>
            <w:r>
              <w:rPr>
                <w:lang w:val="lt-LT"/>
              </w:rPr>
              <w:t>Sudėtingas atsargų likučių įvertinimas (atsižvelgiant į įsigijimo momentą, susidėvėjusias ar nebenaudotinas atsargas)</w:t>
            </w:r>
          </w:p>
        </w:tc>
        <w:tc>
          <w:tcPr>
            <w:tcW w:w="567" w:type="dxa"/>
            <w:gridSpan w:val="7"/>
          </w:tcPr>
          <w:p w:rsidR="00E91EA3" w:rsidRPr="004273CC" w:rsidRDefault="00E91EA3" w:rsidP="00065FB5">
            <w:pPr>
              <w:tabs>
                <w:tab w:val="left" w:pos="510"/>
              </w:tabs>
              <w:jc w:val="both"/>
              <w:rPr>
                <w:lang w:val="lt-LT"/>
              </w:rPr>
            </w:pPr>
            <w:r>
              <w:rPr>
                <w:lang w:val="lt-LT"/>
              </w:rPr>
              <w:t>V</w:t>
            </w:r>
          </w:p>
        </w:tc>
        <w:tc>
          <w:tcPr>
            <w:tcW w:w="558" w:type="dxa"/>
            <w:gridSpan w:val="7"/>
          </w:tcPr>
          <w:p w:rsidR="00E91EA3" w:rsidRDefault="00E91EA3" w:rsidP="00065FB5">
            <w:pPr>
              <w:tabs>
                <w:tab w:val="left" w:pos="510"/>
              </w:tabs>
              <w:jc w:val="both"/>
              <w:rPr>
                <w:lang w:val="lt-LT"/>
              </w:rPr>
            </w:pPr>
            <w:r>
              <w:rPr>
                <w:lang w:val="lt-LT"/>
              </w:rPr>
              <w:t>IR</w:t>
            </w:r>
          </w:p>
          <w:p w:rsidR="00E91EA3" w:rsidRPr="004273CC" w:rsidRDefault="00E91EA3" w:rsidP="00065FB5">
            <w:pPr>
              <w:tabs>
                <w:tab w:val="left" w:pos="510"/>
              </w:tabs>
              <w:jc w:val="both"/>
              <w:rPr>
                <w:lang w:val="lt-LT"/>
              </w:rPr>
            </w:pPr>
          </w:p>
        </w:tc>
        <w:tc>
          <w:tcPr>
            <w:tcW w:w="1033" w:type="dxa"/>
            <w:gridSpan w:val="3"/>
          </w:tcPr>
          <w:p w:rsidR="00E91EA3" w:rsidRPr="00EE6928" w:rsidRDefault="00E91EA3" w:rsidP="00065FB5">
            <w:pPr>
              <w:tabs>
                <w:tab w:val="left" w:pos="510"/>
              </w:tabs>
              <w:jc w:val="center"/>
              <w:rPr>
                <w:b/>
                <w:lang w:val="lt-LT"/>
              </w:rPr>
            </w:pPr>
            <w:r>
              <w:rPr>
                <w:b/>
                <w:lang w:val="lt-LT"/>
              </w:rPr>
              <w:t>3</w:t>
            </w:r>
          </w:p>
        </w:tc>
        <w:tc>
          <w:tcPr>
            <w:tcW w:w="709" w:type="dxa"/>
            <w:gridSpan w:val="8"/>
          </w:tcPr>
          <w:p w:rsidR="00E91EA3" w:rsidRPr="00EE6928" w:rsidRDefault="00E91EA3" w:rsidP="00065FB5">
            <w:pPr>
              <w:tabs>
                <w:tab w:val="left" w:pos="510"/>
              </w:tabs>
              <w:jc w:val="center"/>
              <w:rPr>
                <w:b/>
                <w:lang w:val="lt-LT"/>
              </w:rPr>
            </w:pPr>
            <w:r>
              <w:rPr>
                <w:b/>
                <w:lang w:val="lt-LT"/>
              </w:rPr>
              <w:t>4</w:t>
            </w:r>
          </w:p>
        </w:tc>
        <w:tc>
          <w:tcPr>
            <w:tcW w:w="1218" w:type="dxa"/>
            <w:gridSpan w:val="9"/>
          </w:tcPr>
          <w:p w:rsidR="00E91EA3" w:rsidRPr="00EE6928" w:rsidRDefault="00E91EA3" w:rsidP="00065FB5">
            <w:pPr>
              <w:tabs>
                <w:tab w:val="left" w:pos="510"/>
              </w:tabs>
              <w:jc w:val="center"/>
              <w:rPr>
                <w:b/>
                <w:lang w:val="lt-LT"/>
              </w:rPr>
            </w:pPr>
            <w:r>
              <w:rPr>
                <w:b/>
                <w:lang w:val="lt-LT"/>
              </w:rPr>
              <w:t>12</w:t>
            </w:r>
          </w:p>
        </w:tc>
        <w:tc>
          <w:tcPr>
            <w:tcW w:w="1014" w:type="dxa"/>
            <w:gridSpan w:val="7"/>
          </w:tcPr>
          <w:p w:rsidR="00E91EA3" w:rsidRPr="004273CC" w:rsidRDefault="00E91EA3" w:rsidP="00065FB5">
            <w:pPr>
              <w:tabs>
                <w:tab w:val="left" w:pos="510"/>
              </w:tabs>
              <w:jc w:val="both"/>
              <w:rPr>
                <w:lang w:val="lt-LT"/>
              </w:rPr>
            </w:pPr>
          </w:p>
        </w:tc>
        <w:tc>
          <w:tcPr>
            <w:tcW w:w="1132" w:type="dxa"/>
            <w:gridSpan w:val="8"/>
          </w:tcPr>
          <w:p w:rsidR="00E91EA3" w:rsidRPr="00A460EC" w:rsidRDefault="00E91EA3" w:rsidP="00065FB5">
            <w:pPr>
              <w:tabs>
                <w:tab w:val="left" w:pos="510"/>
              </w:tabs>
              <w:jc w:val="center"/>
              <w:rPr>
                <w:b/>
                <w:lang w:val="lt-LT"/>
              </w:rPr>
            </w:pPr>
            <w:r>
              <w:rPr>
                <w:b/>
                <w:lang w:val="lt-LT"/>
              </w:rPr>
              <w:t>3</w:t>
            </w:r>
          </w:p>
        </w:tc>
        <w:tc>
          <w:tcPr>
            <w:tcW w:w="708" w:type="dxa"/>
            <w:gridSpan w:val="6"/>
          </w:tcPr>
          <w:p w:rsidR="00E91EA3" w:rsidRPr="00A460EC" w:rsidRDefault="00E91EA3" w:rsidP="00065FB5">
            <w:pPr>
              <w:tabs>
                <w:tab w:val="left" w:pos="510"/>
              </w:tabs>
              <w:jc w:val="center"/>
              <w:rPr>
                <w:b/>
                <w:lang w:val="lt-LT"/>
              </w:rPr>
            </w:pPr>
            <w:r w:rsidRPr="00A460EC">
              <w:rPr>
                <w:b/>
                <w:lang w:val="lt-LT"/>
              </w:rPr>
              <w:t>4</w:t>
            </w:r>
          </w:p>
        </w:tc>
        <w:tc>
          <w:tcPr>
            <w:tcW w:w="1133" w:type="dxa"/>
            <w:gridSpan w:val="6"/>
          </w:tcPr>
          <w:p w:rsidR="00E91EA3" w:rsidRPr="00A460EC" w:rsidRDefault="00E91EA3" w:rsidP="00065FB5">
            <w:pPr>
              <w:tabs>
                <w:tab w:val="left" w:pos="510"/>
              </w:tabs>
              <w:jc w:val="center"/>
              <w:rPr>
                <w:b/>
                <w:lang w:val="lt-LT"/>
              </w:rPr>
            </w:pPr>
            <w:r>
              <w:rPr>
                <w:b/>
                <w:lang w:val="lt-LT"/>
              </w:rPr>
              <w:t>12</w:t>
            </w:r>
          </w:p>
        </w:tc>
        <w:tc>
          <w:tcPr>
            <w:tcW w:w="1441" w:type="dxa"/>
            <w:gridSpan w:val="2"/>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338" w:type="dxa"/>
            <w:gridSpan w:val="8"/>
          </w:tcPr>
          <w:p w:rsidR="00E91EA3" w:rsidRDefault="00E91EA3" w:rsidP="00065FB5">
            <w:pPr>
              <w:tabs>
                <w:tab w:val="left" w:pos="510"/>
              </w:tabs>
              <w:jc w:val="both"/>
              <w:rPr>
                <w:lang w:val="lt-LT"/>
              </w:rPr>
            </w:pPr>
            <w:r>
              <w:rPr>
                <w:lang w:val="lt-LT"/>
              </w:rPr>
              <w:t>Nėra patikrinamas atsargų įvertinimo ir jo įregistravimo apskaitoje teisingumas</w:t>
            </w:r>
          </w:p>
        </w:tc>
        <w:tc>
          <w:tcPr>
            <w:tcW w:w="567" w:type="dxa"/>
            <w:gridSpan w:val="7"/>
          </w:tcPr>
          <w:p w:rsidR="00E91EA3" w:rsidRPr="004273CC" w:rsidRDefault="00E91EA3" w:rsidP="00065FB5">
            <w:pPr>
              <w:tabs>
                <w:tab w:val="left" w:pos="510"/>
              </w:tabs>
              <w:jc w:val="both"/>
              <w:rPr>
                <w:lang w:val="lt-LT"/>
              </w:rPr>
            </w:pPr>
            <w:r>
              <w:rPr>
                <w:lang w:val="lt-LT"/>
              </w:rPr>
              <w:t>V</w:t>
            </w:r>
          </w:p>
        </w:tc>
        <w:tc>
          <w:tcPr>
            <w:tcW w:w="558" w:type="dxa"/>
            <w:gridSpan w:val="7"/>
          </w:tcPr>
          <w:p w:rsidR="00E91EA3" w:rsidRPr="004273CC" w:rsidRDefault="00E91EA3" w:rsidP="00065FB5">
            <w:pPr>
              <w:tabs>
                <w:tab w:val="left" w:pos="510"/>
              </w:tabs>
              <w:jc w:val="both"/>
              <w:rPr>
                <w:lang w:val="lt-LT"/>
              </w:rPr>
            </w:pPr>
            <w:r>
              <w:rPr>
                <w:lang w:val="lt-LT"/>
              </w:rPr>
              <w:t>KR</w:t>
            </w:r>
          </w:p>
        </w:tc>
        <w:tc>
          <w:tcPr>
            <w:tcW w:w="1033" w:type="dxa"/>
            <w:gridSpan w:val="3"/>
          </w:tcPr>
          <w:p w:rsidR="00E91EA3" w:rsidRPr="00EE6928" w:rsidRDefault="00E91EA3" w:rsidP="00065FB5">
            <w:pPr>
              <w:tabs>
                <w:tab w:val="left" w:pos="510"/>
              </w:tabs>
              <w:jc w:val="center"/>
              <w:rPr>
                <w:b/>
                <w:lang w:val="lt-LT"/>
              </w:rPr>
            </w:pPr>
            <w:r>
              <w:rPr>
                <w:b/>
                <w:lang w:val="lt-LT"/>
              </w:rPr>
              <w:t>4</w:t>
            </w:r>
          </w:p>
        </w:tc>
        <w:tc>
          <w:tcPr>
            <w:tcW w:w="709" w:type="dxa"/>
            <w:gridSpan w:val="8"/>
          </w:tcPr>
          <w:p w:rsidR="00E91EA3" w:rsidRPr="00EE6928" w:rsidRDefault="00E91EA3" w:rsidP="00065FB5">
            <w:pPr>
              <w:tabs>
                <w:tab w:val="left" w:pos="510"/>
              </w:tabs>
              <w:jc w:val="center"/>
              <w:rPr>
                <w:b/>
                <w:lang w:val="lt-LT"/>
              </w:rPr>
            </w:pPr>
            <w:r w:rsidRPr="00EE6928">
              <w:rPr>
                <w:b/>
                <w:lang w:val="lt-LT"/>
              </w:rPr>
              <w:t>4</w:t>
            </w:r>
          </w:p>
        </w:tc>
        <w:tc>
          <w:tcPr>
            <w:tcW w:w="1218" w:type="dxa"/>
            <w:gridSpan w:val="9"/>
          </w:tcPr>
          <w:p w:rsidR="00E91EA3" w:rsidRPr="00EE6928" w:rsidRDefault="00E91EA3" w:rsidP="00065FB5">
            <w:pPr>
              <w:tabs>
                <w:tab w:val="left" w:pos="510"/>
              </w:tabs>
              <w:jc w:val="center"/>
              <w:rPr>
                <w:b/>
                <w:lang w:val="lt-LT"/>
              </w:rPr>
            </w:pPr>
            <w:r>
              <w:rPr>
                <w:b/>
                <w:lang w:val="lt-LT"/>
              </w:rPr>
              <w:t>16</w:t>
            </w:r>
          </w:p>
        </w:tc>
        <w:tc>
          <w:tcPr>
            <w:tcW w:w="1014" w:type="dxa"/>
            <w:gridSpan w:val="7"/>
          </w:tcPr>
          <w:p w:rsidR="00E91EA3" w:rsidRPr="004273CC" w:rsidRDefault="00E91EA3" w:rsidP="00065FB5">
            <w:pPr>
              <w:tabs>
                <w:tab w:val="left" w:pos="510"/>
              </w:tabs>
              <w:jc w:val="both"/>
              <w:rPr>
                <w:lang w:val="lt-LT"/>
              </w:rPr>
            </w:pPr>
          </w:p>
        </w:tc>
        <w:tc>
          <w:tcPr>
            <w:tcW w:w="1132" w:type="dxa"/>
            <w:gridSpan w:val="8"/>
          </w:tcPr>
          <w:p w:rsidR="00E91EA3" w:rsidRPr="00A460EC" w:rsidRDefault="00E91EA3" w:rsidP="00065FB5">
            <w:pPr>
              <w:tabs>
                <w:tab w:val="left" w:pos="510"/>
              </w:tabs>
              <w:jc w:val="center"/>
              <w:rPr>
                <w:b/>
                <w:lang w:val="lt-LT"/>
              </w:rPr>
            </w:pPr>
            <w:r>
              <w:rPr>
                <w:b/>
                <w:lang w:val="lt-LT"/>
              </w:rPr>
              <w:t>4</w:t>
            </w:r>
          </w:p>
        </w:tc>
        <w:tc>
          <w:tcPr>
            <w:tcW w:w="708" w:type="dxa"/>
            <w:gridSpan w:val="6"/>
          </w:tcPr>
          <w:p w:rsidR="00E91EA3" w:rsidRPr="00A460EC" w:rsidRDefault="00E91EA3" w:rsidP="00065FB5">
            <w:pPr>
              <w:tabs>
                <w:tab w:val="left" w:pos="510"/>
              </w:tabs>
              <w:jc w:val="center"/>
              <w:rPr>
                <w:b/>
                <w:lang w:val="lt-LT"/>
              </w:rPr>
            </w:pPr>
            <w:r>
              <w:rPr>
                <w:b/>
                <w:lang w:val="lt-LT"/>
              </w:rPr>
              <w:t>4</w:t>
            </w:r>
          </w:p>
        </w:tc>
        <w:tc>
          <w:tcPr>
            <w:tcW w:w="1133" w:type="dxa"/>
            <w:gridSpan w:val="6"/>
          </w:tcPr>
          <w:p w:rsidR="00E91EA3" w:rsidRPr="00A460EC" w:rsidRDefault="00E91EA3" w:rsidP="00065FB5">
            <w:pPr>
              <w:tabs>
                <w:tab w:val="left" w:pos="510"/>
              </w:tabs>
              <w:jc w:val="center"/>
              <w:rPr>
                <w:b/>
                <w:lang w:val="lt-LT"/>
              </w:rPr>
            </w:pPr>
            <w:r>
              <w:rPr>
                <w:b/>
                <w:lang w:val="lt-LT"/>
              </w:rPr>
              <w:t>16</w:t>
            </w:r>
          </w:p>
        </w:tc>
        <w:tc>
          <w:tcPr>
            <w:tcW w:w="1441" w:type="dxa"/>
            <w:gridSpan w:val="2"/>
          </w:tcPr>
          <w:p w:rsidR="00E91EA3" w:rsidRPr="004273CC" w:rsidRDefault="00E91EA3" w:rsidP="00065FB5">
            <w:pPr>
              <w:tabs>
                <w:tab w:val="left" w:pos="510"/>
              </w:tabs>
              <w:jc w:val="both"/>
              <w:rPr>
                <w:lang w:val="lt-LT"/>
              </w:rPr>
            </w:pPr>
          </w:p>
        </w:tc>
      </w:tr>
      <w:tr w:rsidR="00E91EA3" w:rsidRPr="004273CC" w:rsidTr="001C0D02">
        <w:trPr>
          <w:cantSplit/>
          <w:trHeight w:val="70"/>
        </w:trPr>
        <w:tc>
          <w:tcPr>
            <w:tcW w:w="1007" w:type="dxa"/>
            <w:gridSpan w:val="4"/>
            <w:vMerge/>
          </w:tcPr>
          <w:p w:rsidR="00E91EA3" w:rsidRPr="004273CC" w:rsidRDefault="00E91EA3" w:rsidP="00065FB5">
            <w:pPr>
              <w:tabs>
                <w:tab w:val="left" w:pos="510"/>
              </w:tabs>
              <w:jc w:val="both"/>
              <w:rPr>
                <w:lang w:val="lt-LT"/>
              </w:rPr>
            </w:pPr>
          </w:p>
        </w:tc>
        <w:tc>
          <w:tcPr>
            <w:tcW w:w="3338" w:type="dxa"/>
            <w:gridSpan w:val="8"/>
          </w:tcPr>
          <w:p w:rsidR="00894025" w:rsidRDefault="00E91EA3" w:rsidP="00065FB5">
            <w:pPr>
              <w:tabs>
                <w:tab w:val="left" w:pos="510"/>
              </w:tabs>
              <w:jc w:val="both"/>
              <w:rPr>
                <w:lang w:val="lt-LT"/>
              </w:rPr>
            </w:pPr>
            <w:r>
              <w:rPr>
                <w:lang w:val="lt-LT"/>
              </w:rPr>
              <w:t>Nėra užtikrinama, kad gautos prekės ir paslaugos, kurioms nėra sąskaitų, yra apskaitytos tam laikotarpyje, kada ūkinė operacija faktiškai įvyko (Incoterms sąlygos)</w:t>
            </w:r>
          </w:p>
        </w:tc>
        <w:tc>
          <w:tcPr>
            <w:tcW w:w="567" w:type="dxa"/>
            <w:gridSpan w:val="7"/>
          </w:tcPr>
          <w:p w:rsidR="00E91EA3" w:rsidRPr="004273CC" w:rsidRDefault="00E91EA3" w:rsidP="00065FB5">
            <w:pPr>
              <w:tabs>
                <w:tab w:val="left" w:pos="510"/>
              </w:tabs>
              <w:jc w:val="both"/>
              <w:rPr>
                <w:lang w:val="lt-LT"/>
              </w:rPr>
            </w:pPr>
            <w:r>
              <w:rPr>
                <w:lang w:val="lt-LT"/>
              </w:rPr>
              <w:t>V</w:t>
            </w:r>
          </w:p>
        </w:tc>
        <w:tc>
          <w:tcPr>
            <w:tcW w:w="558" w:type="dxa"/>
            <w:gridSpan w:val="7"/>
          </w:tcPr>
          <w:p w:rsidR="00E91EA3" w:rsidRPr="004273CC" w:rsidRDefault="00E91EA3" w:rsidP="00065FB5">
            <w:pPr>
              <w:tabs>
                <w:tab w:val="left" w:pos="510"/>
              </w:tabs>
              <w:jc w:val="both"/>
              <w:rPr>
                <w:lang w:val="lt-LT"/>
              </w:rPr>
            </w:pPr>
            <w:r>
              <w:rPr>
                <w:lang w:val="lt-LT"/>
              </w:rPr>
              <w:t>KR</w:t>
            </w:r>
          </w:p>
        </w:tc>
        <w:tc>
          <w:tcPr>
            <w:tcW w:w="1033" w:type="dxa"/>
            <w:gridSpan w:val="3"/>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218" w:type="dxa"/>
            <w:gridSpan w:val="9"/>
          </w:tcPr>
          <w:p w:rsidR="00E91EA3" w:rsidRPr="004273CC" w:rsidRDefault="00E91EA3" w:rsidP="00065FB5">
            <w:pPr>
              <w:tabs>
                <w:tab w:val="left" w:pos="510"/>
              </w:tabs>
              <w:jc w:val="both"/>
              <w:rPr>
                <w:lang w:val="lt-LT"/>
              </w:rPr>
            </w:pPr>
          </w:p>
        </w:tc>
        <w:tc>
          <w:tcPr>
            <w:tcW w:w="1014" w:type="dxa"/>
            <w:gridSpan w:val="7"/>
          </w:tcPr>
          <w:p w:rsidR="00E91EA3" w:rsidRPr="004273CC" w:rsidRDefault="00E91EA3" w:rsidP="00065FB5">
            <w:pPr>
              <w:tabs>
                <w:tab w:val="left" w:pos="510"/>
              </w:tabs>
              <w:jc w:val="both"/>
              <w:rPr>
                <w:lang w:val="lt-LT"/>
              </w:rPr>
            </w:pPr>
            <w:r>
              <w:rPr>
                <w:lang w:val="lt-LT"/>
              </w:rPr>
              <w:t>Yra</w:t>
            </w:r>
          </w:p>
        </w:tc>
        <w:tc>
          <w:tcPr>
            <w:tcW w:w="1132" w:type="dxa"/>
            <w:gridSpan w:val="8"/>
          </w:tcPr>
          <w:p w:rsidR="00E91EA3" w:rsidRPr="00A460EC" w:rsidRDefault="00E91EA3" w:rsidP="00065FB5">
            <w:pPr>
              <w:tabs>
                <w:tab w:val="left" w:pos="510"/>
              </w:tabs>
              <w:jc w:val="center"/>
              <w:rPr>
                <w:b/>
                <w:lang w:val="lt-LT"/>
              </w:rPr>
            </w:pPr>
            <w:r w:rsidRPr="00A460EC">
              <w:rPr>
                <w:b/>
                <w:lang w:val="lt-LT"/>
              </w:rPr>
              <w:t>3</w:t>
            </w:r>
          </w:p>
        </w:tc>
        <w:tc>
          <w:tcPr>
            <w:tcW w:w="708" w:type="dxa"/>
            <w:gridSpan w:val="6"/>
          </w:tcPr>
          <w:p w:rsidR="00E91EA3" w:rsidRPr="00A460EC" w:rsidRDefault="00E91EA3" w:rsidP="00065FB5">
            <w:pPr>
              <w:tabs>
                <w:tab w:val="left" w:pos="510"/>
              </w:tabs>
              <w:jc w:val="center"/>
              <w:rPr>
                <w:b/>
                <w:lang w:val="lt-LT"/>
              </w:rPr>
            </w:pPr>
            <w:r>
              <w:rPr>
                <w:b/>
                <w:lang w:val="lt-LT"/>
              </w:rPr>
              <w:t>3</w:t>
            </w:r>
          </w:p>
        </w:tc>
        <w:tc>
          <w:tcPr>
            <w:tcW w:w="1133" w:type="dxa"/>
            <w:gridSpan w:val="6"/>
          </w:tcPr>
          <w:p w:rsidR="00E91EA3" w:rsidRPr="00A460EC" w:rsidRDefault="00E91EA3" w:rsidP="00065FB5">
            <w:pPr>
              <w:tabs>
                <w:tab w:val="left" w:pos="510"/>
              </w:tabs>
              <w:jc w:val="center"/>
              <w:rPr>
                <w:b/>
                <w:lang w:val="lt-LT"/>
              </w:rPr>
            </w:pPr>
            <w:r>
              <w:rPr>
                <w:b/>
                <w:lang w:val="lt-LT"/>
              </w:rPr>
              <w:t>9</w:t>
            </w:r>
          </w:p>
        </w:tc>
        <w:tc>
          <w:tcPr>
            <w:tcW w:w="1441" w:type="dxa"/>
            <w:gridSpan w:val="2"/>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338" w:type="dxa"/>
            <w:gridSpan w:val="8"/>
          </w:tcPr>
          <w:p w:rsidR="00E91EA3" w:rsidRDefault="00E91EA3" w:rsidP="00065FB5">
            <w:pPr>
              <w:tabs>
                <w:tab w:val="left" w:pos="510"/>
              </w:tabs>
              <w:jc w:val="both"/>
              <w:rPr>
                <w:lang w:val="lt-LT"/>
              </w:rPr>
            </w:pPr>
            <w:r>
              <w:rPr>
                <w:lang w:val="lt-LT"/>
              </w:rPr>
              <w:t>...</w:t>
            </w:r>
          </w:p>
        </w:tc>
        <w:tc>
          <w:tcPr>
            <w:tcW w:w="567" w:type="dxa"/>
            <w:gridSpan w:val="7"/>
          </w:tcPr>
          <w:p w:rsidR="00E91EA3" w:rsidRDefault="00E91EA3" w:rsidP="00065FB5">
            <w:pPr>
              <w:tabs>
                <w:tab w:val="left" w:pos="510"/>
              </w:tabs>
              <w:jc w:val="both"/>
              <w:rPr>
                <w:lang w:val="lt-LT"/>
              </w:rPr>
            </w:pPr>
          </w:p>
        </w:tc>
        <w:tc>
          <w:tcPr>
            <w:tcW w:w="558" w:type="dxa"/>
            <w:gridSpan w:val="7"/>
          </w:tcPr>
          <w:p w:rsidR="00E91EA3" w:rsidRPr="004273CC" w:rsidRDefault="00E91EA3" w:rsidP="00065FB5">
            <w:pPr>
              <w:tabs>
                <w:tab w:val="left" w:pos="510"/>
              </w:tabs>
              <w:jc w:val="both"/>
              <w:rPr>
                <w:lang w:val="lt-LT"/>
              </w:rPr>
            </w:pPr>
          </w:p>
        </w:tc>
        <w:tc>
          <w:tcPr>
            <w:tcW w:w="1033" w:type="dxa"/>
            <w:gridSpan w:val="3"/>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218" w:type="dxa"/>
            <w:gridSpan w:val="9"/>
          </w:tcPr>
          <w:p w:rsidR="00E91EA3" w:rsidRPr="004273CC" w:rsidRDefault="00E91EA3" w:rsidP="00065FB5">
            <w:pPr>
              <w:tabs>
                <w:tab w:val="left" w:pos="510"/>
              </w:tabs>
              <w:jc w:val="both"/>
              <w:rPr>
                <w:lang w:val="lt-LT"/>
              </w:rPr>
            </w:pPr>
          </w:p>
        </w:tc>
        <w:tc>
          <w:tcPr>
            <w:tcW w:w="1014" w:type="dxa"/>
            <w:gridSpan w:val="7"/>
          </w:tcPr>
          <w:p w:rsidR="00E91EA3" w:rsidRPr="004273CC" w:rsidRDefault="00E91EA3" w:rsidP="00065FB5">
            <w:pPr>
              <w:tabs>
                <w:tab w:val="left" w:pos="510"/>
              </w:tabs>
              <w:jc w:val="both"/>
              <w:rPr>
                <w:lang w:val="lt-LT"/>
              </w:rPr>
            </w:pPr>
          </w:p>
        </w:tc>
        <w:tc>
          <w:tcPr>
            <w:tcW w:w="1132" w:type="dxa"/>
            <w:gridSpan w:val="8"/>
          </w:tcPr>
          <w:p w:rsidR="00E91EA3" w:rsidRPr="004273CC" w:rsidRDefault="00E91EA3" w:rsidP="00065FB5">
            <w:pPr>
              <w:tabs>
                <w:tab w:val="left" w:pos="510"/>
              </w:tabs>
              <w:jc w:val="both"/>
              <w:rPr>
                <w:lang w:val="lt-LT"/>
              </w:rPr>
            </w:pPr>
          </w:p>
        </w:tc>
        <w:tc>
          <w:tcPr>
            <w:tcW w:w="708" w:type="dxa"/>
            <w:gridSpan w:val="6"/>
          </w:tcPr>
          <w:p w:rsidR="00E91EA3" w:rsidRPr="004273CC" w:rsidRDefault="00E91EA3" w:rsidP="00065FB5">
            <w:pPr>
              <w:tabs>
                <w:tab w:val="left" w:pos="510"/>
              </w:tabs>
              <w:jc w:val="both"/>
              <w:rPr>
                <w:lang w:val="lt-LT"/>
              </w:rPr>
            </w:pPr>
          </w:p>
        </w:tc>
        <w:tc>
          <w:tcPr>
            <w:tcW w:w="1133" w:type="dxa"/>
            <w:gridSpan w:val="6"/>
          </w:tcPr>
          <w:p w:rsidR="00E91EA3" w:rsidRPr="004273CC" w:rsidRDefault="00E91EA3" w:rsidP="00065FB5">
            <w:pPr>
              <w:tabs>
                <w:tab w:val="left" w:pos="510"/>
              </w:tabs>
              <w:jc w:val="both"/>
              <w:rPr>
                <w:lang w:val="lt-LT"/>
              </w:rPr>
            </w:pPr>
          </w:p>
        </w:tc>
        <w:tc>
          <w:tcPr>
            <w:tcW w:w="1441" w:type="dxa"/>
            <w:gridSpan w:val="2"/>
            <w:tcBorders>
              <w:bottom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val="restart"/>
            <w:textDirection w:val="btLr"/>
          </w:tcPr>
          <w:p w:rsidR="00E91EA3" w:rsidRPr="004273CC" w:rsidRDefault="00E91EA3" w:rsidP="00065FB5">
            <w:pPr>
              <w:tabs>
                <w:tab w:val="left" w:pos="510"/>
              </w:tabs>
              <w:ind w:left="113" w:right="113"/>
              <w:jc w:val="center"/>
              <w:rPr>
                <w:lang w:val="lt-LT"/>
              </w:rPr>
            </w:pPr>
            <w:r w:rsidRPr="002E216D">
              <w:rPr>
                <w:b/>
                <w:lang w:val="lt-LT"/>
              </w:rPr>
              <w:lastRenderedPageBreak/>
              <w:t>Atsargos, išankstiniai apmokėjimai ir nebaigtos vykdyti sutartys</w:t>
            </w:r>
          </w:p>
        </w:tc>
        <w:tc>
          <w:tcPr>
            <w:tcW w:w="4463" w:type="dxa"/>
            <w:gridSpan w:val="22"/>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033" w:type="dxa"/>
            <w:gridSpan w:val="3"/>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9" w:type="dxa"/>
            <w:gridSpan w:val="8"/>
            <w:tcBorders>
              <w:bottom w:val="single" w:sz="4" w:space="0" w:color="auto"/>
            </w:tcBorders>
          </w:tcPr>
          <w:p w:rsidR="00E91EA3" w:rsidRPr="00C903A7" w:rsidRDefault="00E91EA3" w:rsidP="00065FB5">
            <w:pPr>
              <w:tabs>
                <w:tab w:val="left" w:pos="510"/>
              </w:tabs>
              <w:jc w:val="center"/>
              <w:rPr>
                <w:b/>
                <w:lang w:val="lt-LT"/>
              </w:rPr>
            </w:pPr>
            <w:r w:rsidRPr="00C903A7">
              <w:rPr>
                <w:b/>
                <w:lang w:val="lt-LT"/>
              </w:rPr>
              <w:t>X</w:t>
            </w:r>
          </w:p>
        </w:tc>
        <w:tc>
          <w:tcPr>
            <w:tcW w:w="1218" w:type="dxa"/>
            <w:gridSpan w:val="9"/>
            <w:tcBorders>
              <w:bottom w:val="single" w:sz="4" w:space="0" w:color="auto"/>
              <w:right w:val="single" w:sz="4" w:space="0" w:color="auto"/>
            </w:tcBorders>
          </w:tcPr>
          <w:p w:rsidR="00E91EA3" w:rsidRPr="00C903A7" w:rsidRDefault="00E91EA3" w:rsidP="00065FB5">
            <w:pPr>
              <w:tabs>
                <w:tab w:val="left" w:pos="510"/>
              </w:tabs>
              <w:jc w:val="center"/>
              <w:rPr>
                <w:b/>
                <w:lang w:val="lt-LT"/>
              </w:rPr>
            </w:pPr>
            <w:r w:rsidRPr="00C903A7">
              <w:rPr>
                <w:b/>
                <w:lang w:val="lt-LT"/>
              </w:rPr>
              <w:t>12</w:t>
            </w:r>
          </w:p>
        </w:tc>
        <w:tc>
          <w:tcPr>
            <w:tcW w:w="1014" w:type="dxa"/>
            <w:gridSpan w:val="7"/>
            <w:vMerge w:val="restart"/>
            <w:tcBorders>
              <w:top w:val="single" w:sz="4" w:space="0" w:color="auto"/>
              <w:left w:val="single" w:sz="4" w:space="0" w:color="auto"/>
              <w:right w:val="single" w:sz="4" w:space="0" w:color="auto"/>
            </w:tcBorders>
            <w:shd w:val="clear" w:color="auto" w:fill="FFFFFF"/>
            <w:textDirection w:val="btLr"/>
          </w:tcPr>
          <w:p w:rsidR="00E91EA3" w:rsidRPr="002C4381" w:rsidRDefault="00E91EA3" w:rsidP="00065FB5">
            <w:pPr>
              <w:tabs>
                <w:tab w:val="left" w:pos="510"/>
              </w:tabs>
              <w:ind w:left="113" w:right="113"/>
              <w:jc w:val="both"/>
              <w:rPr>
                <w:b/>
                <w:lang w:val="lt-LT"/>
              </w:rPr>
            </w:pPr>
            <w:r w:rsidRPr="002C4381">
              <w:rPr>
                <w:b/>
                <w:lang w:val="lt-LT"/>
              </w:rPr>
              <w:t>Atsargos – Buvimas</w:t>
            </w:r>
          </w:p>
        </w:tc>
        <w:tc>
          <w:tcPr>
            <w:tcW w:w="1132" w:type="dxa"/>
            <w:gridSpan w:val="8"/>
            <w:tcBorders>
              <w:top w:val="single" w:sz="4" w:space="0" w:color="auto"/>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8" w:type="dxa"/>
            <w:gridSpan w:val="6"/>
          </w:tcPr>
          <w:p w:rsidR="00E91EA3" w:rsidRPr="00986BBB" w:rsidRDefault="00E91EA3" w:rsidP="00065FB5">
            <w:pPr>
              <w:tabs>
                <w:tab w:val="left" w:pos="510"/>
              </w:tabs>
              <w:jc w:val="center"/>
              <w:rPr>
                <w:b/>
                <w:lang w:val="lt-LT"/>
              </w:rPr>
            </w:pPr>
            <w:r w:rsidRPr="00986BBB">
              <w:rPr>
                <w:b/>
                <w:lang w:val="lt-LT"/>
              </w:rPr>
              <w:t>X</w:t>
            </w:r>
          </w:p>
        </w:tc>
        <w:tc>
          <w:tcPr>
            <w:tcW w:w="1133" w:type="dxa"/>
            <w:gridSpan w:val="6"/>
            <w:tcBorders>
              <w:bottom w:val="single" w:sz="4" w:space="0" w:color="auto"/>
            </w:tcBorders>
          </w:tcPr>
          <w:p w:rsidR="00E91EA3" w:rsidRPr="00986BBB" w:rsidRDefault="00E91EA3" w:rsidP="00065FB5">
            <w:pPr>
              <w:tabs>
                <w:tab w:val="left" w:pos="510"/>
              </w:tabs>
              <w:jc w:val="center"/>
              <w:rPr>
                <w:b/>
                <w:lang w:val="lt-LT"/>
              </w:rPr>
            </w:pPr>
            <w:r w:rsidRPr="00986BBB">
              <w:rPr>
                <w:b/>
                <w:lang w:val="lt-LT"/>
              </w:rPr>
              <w:t>9</w:t>
            </w:r>
          </w:p>
        </w:tc>
        <w:tc>
          <w:tcPr>
            <w:tcW w:w="1441" w:type="dxa"/>
            <w:gridSpan w:val="2"/>
            <w:vMerge w:val="restart"/>
            <w:tcBorders>
              <w:right w:val="single" w:sz="4" w:space="0" w:color="auto"/>
            </w:tcBorders>
            <w:textDirection w:val="btLr"/>
          </w:tcPr>
          <w:p w:rsidR="00E91EA3" w:rsidRPr="004273CC" w:rsidRDefault="00E91EA3" w:rsidP="00065FB5">
            <w:pPr>
              <w:tabs>
                <w:tab w:val="left" w:pos="510"/>
              </w:tabs>
              <w:ind w:left="113" w:right="113"/>
              <w:jc w:val="both"/>
              <w:rPr>
                <w:lang w:val="lt-LT"/>
              </w:rPr>
            </w:pPr>
            <w:r w:rsidRPr="002C4381">
              <w:rPr>
                <w:b/>
                <w:lang w:val="lt-LT"/>
              </w:rPr>
              <w:t>Atsargos – Buvimas</w:t>
            </w: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463" w:type="dxa"/>
            <w:gridSpan w:val="22"/>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033" w:type="dxa"/>
            <w:gridSpan w:val="3"/>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9" w:type="dxa"/>
            <w:gridSpan w:val="8"/>
            <w:tcBorders>
              <w:right w:val="single" w:sz="4" w:space="0" w:color="auto"/>
            </w:tcBorders>
          </w:tcPr>
          <w:p w:rsidR="00E91EA3" w:rsidRPr="00C903A7" w:rsidRDefault="00E91EA3" w:rsidP="00065FB5">
            <w:pPr>
              <w:tabs>
                <w:tab w:val="left" w:pos="510"/>
              </w:tabs>
              <w:jc w:val="center"/>
              <w:rPr>
                <w:b/>
                <w:lang w:val="lt-LT"/>
              </w:rPr>
            </w:pPr>
            <w:r w:rsidRPr="00C903A7">
              <w:rPr>
                <w:b/>
                <w:lang w:val="lt-LT"/>
              </w:rPr>
              <w:t>4</w:t>
            </w:r>
          </w:p>
        </w:tc>
        <w:tc>
          <w:tcPr>
            <w:tcW w:w="1218" w:type="dxa"/>
            <w:gridSpan w:val="9"/>
            <w:tcBorders>
              <w:top w:val="nil"/>
              <w:left w:val="single" w:sz="4" w:space="0" w:color="auto"/>
              <w:bottom w:val="nil"/>
              <w:right w:val="single" w:sz="4" w:space="0" w:color="auto"/>
            </w:tcBorders>
          </w:tcPr>
          <w:p w:rsidR="00E91EA3" w:rsidRPr="00C903A7" w:rsidRDefault="00E91EA3" w:rsidP="00065FB5">
            <w:pPr>
              <w:tabs>
                <w:tab w:val="left" w:pos="510"/>
              </w:tabs>
              <w:jc w:val="center"/>
              <w:rPr>
                <w:b/>
                <w:lang w:val="lt-LT"/>
              </w:rPr>
            </w:pP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8" w:type="dxa"/>
            <w:gridSpan w:val="6"/>
            <w:tcBorders>
              <w:right w:val="single" w:sz="4" w:space="0" w:color="auto"/>
            </w:tcBorders>
          </w:tcPr>
          <w:p w:rsidR="00E91EA3" w:rsidRPr="00986BBB" w:rsidRDefault="00E91EA3" w:rsidP="00065FB5">
            <w:pPr>
              <w:tabs>
                <w:tab w:val="left" w:pos="510"/>
              </w:tabs>
              <w:jc w:val="center"/>
              <w:rPr>
                <w:b/>
                <w:lang w:val="lt-LT"/>
              </w:rPr>
            </w:pPr>
            <w:r w:rsidRPr="00986BBB">
              <w:rPr>
                <w:b/>
                <w:lang w:val="lt-LT"/>
              </w:rPr>
              <w:t>3</w:t>
            </w:r>
          </w:p>
        </w:tc>
        <w:tc>
          <w:tcPr>
            <w:tcW w:w="1133" w:type="dxa"/>
            <w:gridSpan w:val="6"/>
            <w:tcBorders>
              <w:top w:val="nil"/>
              <w:left w:val="single" w:sz="4" w:space="0" w:color="auto"/>
              <w:bottom w:val="nil"/>
            </w:tcBorders>
          </w:tcPr>
          <w:p w:rsidR="00E91EA3" w:rsidRPr="00986BBB" w:rsidRDefault="00E91EA3" w:rsidP="00065FB5">
            <w:pPr>
              <w:tabs>
                <w:tab w:val="left" w:pos="510"/>
              </w:tabs>
              <w:jc w:val="center"/>
              <w:rPr>
                <w:b/>
                <w:lang w:val="lt-LT"/>
              </w:rPr>
            </w:pPr>
          </w:p>
        </w:tc>
        <w:tc>
          <w:tcPr>
            <w:tcW w:w="1441" w:type="dxa"/>
            <w:gridSpan w:val="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463" w:type="dxa"/>
            <w:gridSpan w:val="22"/>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033" w:type="dxa"/>
            <w:gridSpan w:val="3"/>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tcPr>
          <w:p w:rsidR="00E91EA3" w:rsidRPr="00C903A7" w:rsidRDefault="00E91EA3" w:rsidP="00065FB5">
            <w:pPr>
              <w:tabs>
                <w:tab w:val="left" w:pos="510"/>
              </w:tabs>
              <w:jc w:val="center"/>
              <w:rPr>
                <w:b/>
                <w:lang w:val="lt-LT"/>
              </w:rPr>
            </w:pPr>
            <w:r w:rsidRPr="00C903A7">
              <w:rPr>
                <w:b/>
                <w:lang w:val="lt-LT"/>
              </w:rPr>
              <w:t>20</w:t>
            </w:r>
          </w:p>
        </w:tc>
        <w:tc>
          <w:tcPr>
            <w:tcW w:w="1218" w:type="dxa"/>
            <w:gridSpan w:val="9"/>
            <w:tcBorders>
              <w:top w:val="nil"/>
              <w:left w:val="single" w:sz="4" w:space="0" w:color="auto"/>
              <w:bottom w:val="nil"/>
              <w:right w:val="single" w:sz="4" w:space="0" w:color="auto"/>
            </w:tcBorders>
          </w:tcPr>
          <w:p w:rsidR="00E91EA3" w:rsidRPr="00C903A7" w:rsidRDefault="00E91EA3" w:rsidP="00065FB5">
            <w:pPr>
              <w:tabs>
                <w:tab w:val="left" w:pos="510"/>
              </w:tabs>
              <w:jc w:val="center"/>
              <w:rPr>
                <w:b/>
                <w:lang w:val="lt-LT"/>
              </w:rPr>
            </w:pP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8" w:type="dxa"/>
            <w:gridSpan w:val="6"/>
            <w:tcBorders>
              <w:bottom w:val="single" w:sz="4" w:space="0" w:color="auto"/>
              <w:right w:val="single" w:sz="4" w:space="0" w:color="auto"/>
            </w:tcBorders>
          </w:tcPr>
          <w:p w:rsidR="00E91EA3" w:rsidRPr="00986BBB" w:rsidRDefault="00E91EA3" w:rsidP="00065FB5">
            <w:pPr>
              <w:tabs>
                <w:tab w:val="left" w:pos="510"/>
              </w:tabs>
              <w:jc w:val="center"/>
              <w:rPr>
                <w:b/>
                <w:lang w:val="lt-LT"/>
              </w:rPr>
            </w:pPr>
            <w:r w:rsidRPr="00986BBB">
              <w:rPr>
                <w:b/>
                <w:lang w:val="lt-LT"/>
              </w:rPr>
              <w:t>15</w:t>
            </w:r>
          </w:p>
        </w:tc>
        <w:tc>
          <w:tcPr>
            <w:tcW w:w="1133" w:type="dxa"/>
            <w:gridSpan w:val="6"/>
            <w:tcBorders>
              <w:top w:val="nil"/>
              <w:left w:val="single" w:sz="4" w:space="0" w:color="auto"/>
              <w:bottom w:val="nil"/>
            </w:tcBorders>
          </w:tcPr>
          <w:p w:rsidR="00E91EA3" w:rsidRPr="00986BBB" w:rsidRDefault="00E91EA3" w:rsidP="00065FB5">
            <w:pPr>
              <w:tabs>
                <w:tab w:val="left" w:pos="510"/>
              </w:tabs>
              <w:jc w:val="center"/>
              <w:rPr>
                <w:b/>
                <w:lang w:val="lt-LT"/>
              </w:rPr>
            </w:pPr>
          </w:p>
        </w:tc>
        <w:tc>
          <w:tcPr>
            <w:tcW w:w="1441" w:type="dxa"/>
            <w:gridSpan w:val="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Height w:val="264"/>
        </w:trPr>
        <w:tc>
          <w:tcPr>
            <w:tcW w:w="1007" w:type="dxa"/>
            <w:gridSpan w:val="4"/>
            <w:vMerge/>
          </w:tcPr>
          <w:p w:rsidR="00E91EA3" w:rsidRPr="004273CC" w:rsidRDefault="00E91EA3" w:rsidP="00065FB5">
            <w:pPr>
              <w:tabs>
                <w:tab w:val="left" w:pos="510"/>
              </w:tabs>
              <w:ind w:left="113" w:right="113"/>
              <w:jc w:val="center"/>
              <w:rPr>
                <w:lang w:val="lt-LT"/>
              </w:rPr>
            </w:pPr>
          </w:p>
        </w:tc>
        <w:tc>
          <w:tcPr>
            <w:tcW w:w="4463" w:type="dxa"/>
            <w:gridSpan w:val="22"/>
          </w:tcPr>
          <w:p w:rsidR="00E91EA3" w:rsidRPr="004273CC" w:rsidRDefault="00E91EA3" w:rsidP="00065FB5">
            <w:pPr>
              <w:tabs>
                <w:tab w:val="left" w:pos="510"/>
              </w:tabs>
              <w:jc w:val="right"/>
              <w:rPr>
                <w:lang w:val="lt-LT"/>
              </w:rPr>
            </w:pPr>
            <w:r>
              <w:rPr>
                <w:b/>
                <w:lang w:val="lt-LT"/>
              </w:rPr>
              <w:t xml:space="preserve">ĮGIMTOS </w:t>
            </w:r>
            <w:r w:rsidRPr="004273CC">
              <w:rPr>
                <w:b/>
                <w:lang w:val="lt-LT"/>
              </w:rPr>
              <w:t>RIZIKOS LYGIS, proc. (1 eil./3eil.*100)</w:t>
            </w:r>
          </w:p>
        </w:tc>
        <w:tc>
          <w:tcPr>
            <w:tcW w:w="1033" w:type="dxa"/>
            <w:gridSpan w:val="3"/>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E91EA3" w:rsidRPr="00C903A7" w:rsidRDefault="00E91EA3" w:rsidP="00065FB5">
            <w:pPr>
              <w:tabs>
                <w:tab w:val="left" w:pos="510"/>
              </w:tabs>
              <w:jc w:val="center"/>
              <w:rPr>
                <w:b/>
                <w:lang w:val="lt-LT"/>
              </w:rPr>
            </w:pPr>
            <w:r w:rsidRPr="00C903A7">
              <w:rPr>
                <w:b/>
                <w:lang w:val="lt-LT"/>
              </w:rPr>
              <w:t>60</w:t>
            </w:r>
          </w:p>
        </w:tc>
        <w:tc>
          <w:tcPr>
            <w:tcW w:w="1218" w:type="dxa"/>
            <w:gridSpan w:val="9"/>
            <w:tcBorders>
              <w:top w:val="nil"/>
              <w:left w:val="single" w:sz="4" w:space="0" w:color="auto"/>
              <w:bottom w:val="single" w:sz="4" w:space="0" w:color="auto"/>
              <w:right w:val="single" w:sz="4" w:space="0" w:color="auto"/>
            </w:tcBorders>
          </w:tcPr>
          <w:p w:rsidR="00E91EA3" w:rsidRPr="00C903A7" w:rsidRDefault="00E91EA3" w:rsidP="00065FB5">
            <w:pPr>
              <w:tabs>
                <w:tab w:val="left" w:pos="510"/>
              </w:tabs>
              <w:jc w:val="center"/>
              <w:rPr>
                <w:b/>
                <w:sz w:val="18"/>
                <w:szCs w:val="18"/>
                <w:lang w:val="lt-LT"/>
              </w:rPr>
            </w:pPr>
            <w:r w:rsidRPr="00C903A7">
              <w:rPr>
                <w:b/>
                <w:sz w:val="18"/>
                <w:szCs w:val="18"/>
                <w:lang w:val="lt-LT"/>
              </w:rPr>
              <w:t>VIDUTINĖ</w:t>
            </w:r>
          </w:p>
        </w:tc>
        <w:tc>
          <w:tcPr>
            <w:tcW w:w="1014" w:type="dxa"/>
            <w:gridSpan w:val="7"/>
            <w:vMerge/>
            <w:tcBorders>
              <w:left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132" w:type="dxa"/>
            <w:gridSpan w:val="8"/>
            <w:tcBorders>
              <w:left w:val="single" w:sz="4" w:space="0" w:color="auto"/>
            </w:tcBorders>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8" w:type="dxa"/>
            <w:gridSpan w:val="6"/>
            <w:tcBorders>
              <w:right w:val="single" w:sz="4" w:space="0" w:color="auto"/>
            </w:tcBorders>
            <w:shd w:val="clear" w:color="auto" w:fill="D9D9D9"/>
          </w:tcPr>
          <w:p w:rsidR="00E91EA3" w:rsidRPr="00986BBB" w:rsidRDefault="00E91EA3" w:rsidP="00065FB5">
            <w:pPr>
              <w:tabs>
                <w:tab w:val="left" w:pos="510"/>
              </w:tabs>
              <w:jc w:val="center"/>
              <w:rPr>
                <w:b/>
                <w:lang w:val="lt-LT"/>
              </w:rPr>
            </w:pPr>
            <w:r w:rsidRPr="00986BBB">
              <w:rPr>
                <w:b/>
                <w:lang w:val="lt-LT"/>
              </w:rPr>
              <w:t>60</w:t>
            </w:r>
          </w:p>
        </w:tc>
        <w:tc>
          <w:tcPr>
            <w:tcW w:w="1133" w:type="dxa"/>
            <w:gridSpan w:val="6"/>
            <w:tcBorders>
              <w:top w:val="nil"/>
              <w:left w:val="single" w:sz="4" w:space="0" w:color="auto"/>
              <w:bottom w:val="single" w:sz="4" w:space="0" w:color="auto"/>
            </w:tcBorders>
          </w:tcPr>
          <w:p w:rsidR="00E91EA3" w:rsidRPr="00986BBB" w:rsidRDefault="00E91EA3" w:rsidP="00065FB5">
            <w:pPr>
              <w:tabs>
                <w:tab w:val="left" w:pos="510"/>
              </w:tabs>
              <w:jc w:val="center"/>
              <w:rPr>
                <w:b/>
                <w:lang w:val="lt-LT"/>
              </w:rPr>
            </w:pPr>
            <w:r w:rsidRPr="00986BBB">
              <w:rPr>
                <w:b/>
                <w:sz w:val="18"/>
                <w:szCs w:val="18"/>
                <w:lang w:val="lt-LT"/>
              </w:rPr>
              <w:t>VIDUTINĖ</w:t>
            </w:r>
          </w:p>
        </w:tc>
        <w:tc>
          <w:tcPr>
            <w:tcW w:w="1441" w:type="dxa"/>
            <w:gridSpan w:val="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463" w:type="dxa"/>
            <w:gridSpan w:val="22"/>
          </w:tcPr>
          <w:p w:rsidR="00E91EA3" w:rsidRPr="004273CC" w:rsidRDefault="00E91EA3"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033" w:type="dxa"/>
            <w:gridSpan w:val="3"/>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right w:val="single" w:sz="4" w:space="0" w:color="auto"/>
            </w:tcBorders>
          </w:tcPr>
          <w:p w:rsidR="00E91EA3" w:rsidRPr="00C903A7" w:rsidRDefault="00E91EA3" w:rsidP="00065FB5">
            <w:pPr>
              <w:tabs>
                <w:tab w:val="left" w:pos="510"/>
              </w:tabs>
              <w:jc w:val="center"/>
              <w:rPr>
                <w:b/>
                <w:lang w:val="lt-LT"/>
              </w:rPr>
            </w:pPr>
            <w:r w:rsidRPr="00C903A7">
              <w:rPr>
                <w:b/>
                <w:lang w:val="lt-LT"/>
              </w:rPr>
              <w:t>X</w:t>
            </w:r>
          </w:p>
        </w:tc>
        <w:tc>
          <w:tcPr>
            <w:tcW w:w="1218" w:type="dxa"/>
            <w:gridSpan w:val="9"/>
            <w:tcBorders>
              <w:top w:val="single" w:sz="4" w:space="0" w:color="auto"/>
              <w:left w:val="single" w:sz="4" w:space="0" w:color="auto"/>
              <w:bottom w:val="single" w:sz="4" w:space="0" w:color="auto"/>
              <w:right w:val="single" w:sz="4" w:space="0" w:color="auto"/>
            </w:tcBorders>
          </w:tcPr>
          <w:p w:rsidR="00E91EA3" w:rsidRPr="00C903A7" w:rsidRDefault="00E91EA3" w:rsidP="00065FB5">
            <w:pPr>
              <w:tabs>
                <w:tab w:val="left" w:pos="510"/>
              </w:tabs>
              <w:jc w:val="center"/>
              <w:rPr>
                <w:b/>
                <w:lang w:val="lt-LT"/>
              </w:rPr>
            </w:pPr>
            <w:r w:rsidRPr="00C903A7">
              <w:rPr>
                <w:b/>
                <w:lang w:val="lt-LT"/>
              </w:rPr>
              <w:t>0</w:t>
            </w: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8" w:type="dxa"/>
            <w:gridSpan w:val="6"/>
          </w:tcPr>
          <w:p w:rsidR="00E91EA3" w:rsidRPr="00986BBB" w:rsidRDefault="00E91EA3" w:rsidP="00065FB5">
            <w:pPr>
              <w:tabs>
                <w:tab w:val="left" w:pos="510"/>
              </w:tabs>
              <w:jc w:val="center"/>
              <w:rPr>
                <w:b/>
                <w:lang w:val="lt-LT"/>
              </w:rPr>
            </w:pPr>
            <w:r w:rsidRPr="00986BBB">
              <w:rPr>
                <w:b/>
                <w:lang w:val="lt-LT"/>
              </w:rPr>
              <w:t>X</w:t>
            </w:r>
          </w:p>
        </w:tc>
        <w:tc>
          <w:tcPr>
            <w:tcW w:w="1133" w:type="dxa"/>
            <w:gridSpan w:val="6"/>
            <w:tcBorders>
              <w:top w:val="single" w:sz="4" w:space="0" w:color="auto"/>
              <w:bottom w:val="single" w:sz="4" w:space="0" w:color="auto"/>
            </w:tcBorders>
          </w:tcPr>
          <w:p w:rsidR="00E91EA3" w:rsidRPr="00986BBB" w:rsidRDefault="00E91EA3" w:rsidP="00065FB5">
            <w:pPr>
              <w:tabs>
                <w:tab w:val="left" w:pos="510"/>
              </w:tabs>
              <w:jc w:val="center"/>
              <w:rPr>
                <w:b/>
                <w:lang w:val="lt-LT"/>
              </w:rPr>
            </w:pPr>
            <w:r>
              <w:rPr>
                <w:b/>
                <w:lang w:val="lt-LT"/>
              </w:rPr>
              <w:t>0</w:t>
            </w:r>
          </w:p>
        </w:tc>
        <w:tc>
          <w:tcPr>
            <w:tcW w:w="1441" w:type="dxa"/>
            <w:gridSpan w:val="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463" w:type="dxa"/>
            <w:gridSpan w:val="22"/>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033" w:type="dxa"/>
            <w:gridSpan w:val="3"/>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right w:val="single" w:sz="4" w:space="0" w:color="auto"/>
            </w:tcBorders>
          </w:tcPr>
          <w:p w:rsidR="00E91EA3" w:rsidRPr="00C903A7" w:rsidRDefault="00E91EA3" w:rsidP="00065FB5">
            <w:pPr>
              <w:tabs>
                <w:tab w:val="left" w:pos="510"/>
              </w:tabs>
              <w:jc w:val="center"/>
              <w:rPr>
                <w:b/>
                <w:lang w:val="lt-LT"/>
              </w:rPr>
            </w:pPr>
            <w:r w:rsidRPr="00C903A7">
              <w:rPr>
                <w:b/>
                <w:lang w:val="lt-LT"/>
              </w:rPr>
              <w:t>0</w:t>
            </w:r>
          </w:p>
        </w:tc>
        <w:tc>
          <w:tcPr>
            <w:tcW w:w="1218" w:type="dxa"/>
            <w:gridSpan w:val="9"/>
            <w:tcBorders>
              <w:top w:val="single" w:sz="4" w:space="0" w:color="auto"/>
              <w:left w:val="single" w:sz="4" w:space="0" w:color="auto"/>
              <w:bottom w:val="nil"/>
              <w:right w:val="single" w:sz="4" w:space="0" w:color="auto"/>
            </w:tcBorders>
          </w:tcPr>
          <w:p w:rsidR="00E91EA3" w:rsidRPr="00C903A7" w:rsidRDefault="00E91EA3" w:rsidP="00065FB5">
            <w:pPr>
              <w:tabs>
                <w:tab w:val="left" w:pos="510"/>
              </w:tabs>
              <w:jc w:val="both"/>
              <w:rPr>
                <w:b/>
                <w:lang w:val="lt-LT"/>
              </w:rPr>
            </w:pP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8" w:type="dxa"/>
            <w:gridSpan w:val="6"/>
            <w:tcBorders>
              <w:right w:val="single" w:sz="4" w:space="0" w:color="auto"/>
            </w:tcBorders>
          </w:tcPr>
          <w:p w:rsidR="00E91EA3" w:rsidRPr="00986BBB" w:rsidRDefault="00E91EA3" w:rsidP="00065FB5">
            <w:pPr>
              <w:tabs>
                <w:tab w:val="left" w:pos="510"/>
              </w:tabs>
              <w:jc w:val="center"/>
              <w:rPr>
                <w:b/>
                <w:lang w:val="lt-LT"/>
              </w:rPr>
            </w:pPr>
            <w:r>
              <w:rPr>
                <w:b/>
                <w:lang w:val="lt-LT"/>
              </w:rPr>
              <w:t>0</w:t>
            </w:r>
          </w:p>
        </w:tc>
        <w:tc>
          <w:tcPr>
            <w:tcW w:w="1133" w:type="dxa"/>
            <w:gridSpan w:val="6"/>
            <w:tcBorders>
              <w:top w:val="single" w:sz="4" w:space="0" w:color="auto"/>
              <w:left w:val="single" w:sz="4" w:space="0" w:color="auto"/>
              <w:bottom w:val="nil"/>
            </w:tcBorders>
          </w:tcPr>
          <w:p w:rsidR="00E91EA3" w:rsidRPr="00986BBB" w:rsidRDefault="00E91EA3" w:rsidP="00065FB5">
            <w:pPr>
              <w:tabs>
                <w:tab w:val="left" w:pos="510"/>
              </w:tabs>
              <w:jc w:val="center"/>
              <w:rPr>
                <w:b/>
                <w:lang w:val="lt-LT"/>
              </w:rPr>
            </w:pPr>
          </w:p>
        </w:tc>
        <w:tc>
          <w:tcPr>
            <w:tcW w:w="1441" w:type="dxa"/>
            <w:gridSpan w:val="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extDirection w:val="btLr"/>
          </w:tcPr>
          <w:p w:rsidR="00E91EA3" w:rsidRPr="004273CC" w:rsidRDefault="00E91EA3" w:rsidP="00065FB5">
            <w:pPr>
              <w:tabs>
                <w:tab w:val="left" w:pos="510"/>
              </w:tabs>
              <w:ind w:left="113" w:right="113"/>
              <w:jc w:val="center"/>
              <w:rPr>
                <w:lang w:val="lt-LT"/>
              </w:rPr>
            </w:pPr>
          </w:p>
        </w:tc>
        <w:tc>
          <w:tcPr>
            <w:tcW w:w="4463" w:type="dxa"/>
            <w:gridSpan w:val="22"/>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033" w:type="dxa"/>
            <w:gridSpan w:val="3"/>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tcPr>
          <w:p w:rsidR="00E91EA3" w:rsidRPr="00C903A7" w:rsidRDefault="00E91EA3" w:rsidP="00065FB5">
            <w:pPr>
              <w:tabs>
                <w:tab w:val="left" w:pos="510"/>
              </w:tabs>
              <w:jc w:val="center"/>
              <w:rPr>
                <w:b/>
                <w:lang w:val="lt-LT"/>
              </w:rPr>
            </w:pPr>
            <w:r w:rsidRPr="00C903A7">
              <w:rPr>
                <w:b/>
                <w:lang w:val="lt-LT"/>
              </w:rPr>
              <w:t>0</w:t>
            </w:r>
          </w:p>
        </w:tc>
        <w:tc>
          <w:tcPr>
            <w:tcW w:w="1218" w:type="dxa"/>
            <w:gridSpan w:val="9"/>
            <w:tcBorders>
              <w:top w:val="nil"/>
              <w:left w:val="single" w:sz="4" w:space="0" w:color="auto"/>
              <w:bottom w:val="nil"/>
              <w:right w:val="single" w:sz="4" w:space="0" w:color="auto"/>
            </w:tcBorders>
          </w:tcPr>
          <w:p w:rsidR="00E91EA3" w:rsidRPr="00C903A7" w:rsidRDefault="00E91EA3" w:rsidP="00065FB5">
            <w:pPr>
              <w:tabs>
                <w:tab w:val="left" w:pos="510"/>
              </w:tabs>
              <w:jc w:val="both"/>
              <w:rPr>
                <w:b/>
                <w:lang w:val="lt-LT"/>
              </w:rPr>
            </w:pP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8" w:type="dxa"/>
            <w:gridSpan w:val="6"/>
            <w:tcBorders>
              <w:bottom w:val="single" w:sz="4" w:space="0" w:color="auto"/>
              <w:right w:val="single" w:sz="4" w:space="0" w:color="auto"/>
            </w:tcBorders>
          </w:tcPr>
          <w:p w:rsidR="00E91EA3" w:rsidRPr="00986BBB" w:rsidRDefault="00E91EA3" w:rsidP="00065FB5">
            <w:pPr>
              <w:tabs>
                <w:tab w:val="left" w:pos="510"/>
              </w:tabs>
              <w:jc w:val="center"/>
              <w:rPr>
                <w:b/>
                <w:lang w:val="lt-LT"/>
              </w:rPr>
            </w:pPr>
            <w:r>
              <w:rPr>
                <w:b/>
                <w:lang w:val="lt-LT"/>
              </w:rPr>
              <w:t>0</w:t>
            </w:r>
          </w:p>
        </w:tc>
        <w:tc>
          <w:tcPr>
            <w:tcW w:w="1133" w:type="dxa"/>
            <w:gridSpan w:val="6"/>
            <w:tcBorders>
              <w:top w:val="nil"/>
              <w:left w:val="single" w:sz="4" w:space="0" w:color="auto"/>
              <w:bottom w:val="nil"/>
            </w:tcBorders>
          </w:tcPr>
          <w:p w:rsidR="00E91EA3" w:rsidRPr="00986BBB" w:rsidRDefault="00E91EA3" w:rsidP="00065FB5">
            <w:pPr>
              <w:tabs>
                <w:tab w:val="left" w:pos="510"/>
              </w:tabs>
              <w:jc w:val="center"/>
              <w:rPr>
                <w:b/>
                <w:lang w:val="lt-LT"/>
              </w:rPr>
            </w:pPr>
          </w:p>
        </w:tc>
        <w:tc>
          <w:tcPr>
            <w:tcW w:w="1441" w:type="dxa"/>
            <w:gridSpan w:val="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463" w:type="dxa"/>
            <w:gridSpan w:val="22"/>
            <w:tcBorders>
              <w:bottom w:val="single" w:sz="4" w:space="0" w:color="auto"/>
            </w:tcBorders>
          </w:tcPr>
          <w:p w:rsidR="00E91EA3" w:rsidRPr="004273CC" w:rsidRDefault="00E91EA3"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033" w:type="dxa"/>
            <w:gridSpan w:val="3"/>
            <w:tcBorders>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E91EA3" w:rsidRPr="00C903A7" w:rsidRDefault="00E91EA3" w:rsidP="00065FB5">
            <w:pPr>
              <w:tabs>
                <w:tab w:val="left" w:pos="510"/>
              </w:tabs>
              <w:jc w:val="center"/>
              <w:rPr>
                <w:b/>
                <w:lang w:val="lt-LT"/>
              </w:rPr>
            </w:pPr>
            <w:r w:rsidRPr="00C903A7">
              <w:rPr>
                <w:b/>
                <w:lang w:val="lt-LT"/>
              </w:rPr>
              <w:t>0</w:t>
            </w:r>
          </w:p>
        </w:tc>
        <w:tc>
          <w:tcPr>
            <w:tcW w:w="1218" w:type="dxa"/>
            <w:gridSpan w:val="9"/>
            <w:tcBorders>
              <w:top w:val="nil"/>
              <w:left w:val="single" w:sz="4" w:space="0" w:color="auto"/>
              <w:bottom w:val="single" w:sz="4" w:space="0" w:color="auto"/>
              <w:right w:val="single" w:sz="4" w:space="0" w:color="auto"/>
            </w:tcBorders>
          </w:tcPr>
          <w:p w:rsidR="00E91EA3" w:rsidRPr="00C903A7" w:rsidRDefault="00E91EA3" w:rsidP="00065FB5">
            <w:pPr>
              <w:tabs>
                <w:tab w:val="left" w:pos="510"/>
              </w:tabs>
              <w:jc w:val="both"/>
              <w:rPr>
                <w:b/>
                <w:lang w:val="lt-LT"/>
              </w:rPr>
            </w:pPr>
            <w:r w:rsidRPr="00C903A7">
              <w:rPr>
                <w:b/>
                <w:lang w:val="lt-LT"/>
              </w:rPr>
              <w:t>MAŽA</w:t>
            </w:r>
          </w:p>
        </w:tc>
        <w:tc>
          <w:tcPr>
            <w:tcW w:w="1014" w:type="dxa"/>
            <w:gridSpan w:val="7"/>
            <w:vMerge/>
            <w:tcBorders>
              <w:left w:val="single" w:sz="4" w:space="0" w:color="auto"/>
              <w:bottom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E91EA3" w:rsidRPr="00986BBB" w:rsidRDefault="00E91EA3" w:rsidP="00065FB5">
            <w:pPr>
              <w:tabs>
                <w:tab w:val="left" w:pos="510"/>
              </w:tabs>
              <w:jc w:val="center"/>
              <w:rPr>
                <w:b/>
                <w:lang w:val="lt-LT"/>
              </w:rPr>
            </w:pPr>
            <w:r>
              <w:rPr>
                <w:b/>
                <w:lang w:val="lt-LT"/>
              </w:rPr>
              <w:t>0</w:t>
            </w:r>
          </w:p>
        </w:tc>
        <w:tc>
          <w:tcPr>
            <w:tcW w:w="1133" w:type="dxa"/>
            <w:gridSpan w:val="6"/>
            <w:tcBorders>
              <w:top w:val="nil"/>
              <w:left w:val="single" w:sz="4" w:space="0" w:color="auto"/>
              <w:bottom w:val="single" w:sz="4" w:space="0" w:color="auto"/>
            </w:tcBorders>
          </w:tcPr>
          <w:p w:rsidR="00E91EA3" w:rsidRPr="00986BBB" w:rsidRDefault="00E91EA3" w:rsidP="00065FB5">
            <w:pPr>
              <w:tabs>
                <w:tab w:val="left" w:pos="510"/>
              </w:tabs>
              <w:jc w:val="center"/>
              <w:rPr>
                <w:b/>
                <w:lang w:val="lt-LT"/>
              </w:rPr>
            </w:pPr>
            <w:r w:rsidRPr="00C903A7">
              <w:rPr>
                <w:b/>
                <w:lang w:val="lt-LT"/>
              </w:rPr>
              <w:t>MAŽA</w:t>
            </w:r>
          </w:p>
        </w:tc>
        <w:tc>
          <w:tcPr>
            <w:tcW w:w="1441" w:type="dxa"/>
            <w:gridSpan w:val="2"/>
            <w:vMerge/>
            <w:tcBorders>
              <w:bottom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463" w:type="dxa"/>
            <w:gridSpan w:val="22"/>
            <w:tcBorders>
              <w:top w:val="single" w:sz="4" w:space="0" w:color="auto"/>
              <w:bottom w:val="single" w:sz="4" w:space="0" w:color="auto"/>
              <w:right w:val="nil"/>
            </w:tcBorders>
            <w:shd w:val="clear" w:color="auto" w:fill="F2F2F2" w:themeFill="background1" w:themeFillShade="F2"/>
          </w:tcPr>
          <w:p w:rsidR="00E91EA3" w:rsidRDefault="00E91EA3" w:rsidP="00065FB5">
            <w:pPr>
              <w:tabs>
                <w:tab w:val="left" w:pos="510"/>
              </w:tabs>
              <w:jc w:val="right"/>
              <w:rPr>
                <w:b/>
                <w:lang w:val="lt-LT"/>
              </w:rPr>
            </w:pPr>
          </w:p>
        </w:tc>
        <w:tc>
          <w:tcPr>
            <w:tcW w:w="1033" w:type="dxa"/>
            <w:gridSpan w:val="3"/>
            <w:tcBorders>
              <w:top w:val="single" w:sz="4" w:space="0" w:color="auto"/>
              <w:left w:val="nil"/>
              <w:bottom w:val="single" w:sz="4" w:space="0" w:color="auto"/>
              <w:right w:val="nil"/>
            </w:tcBorders>
            <w:shd w:val="clear" w:color="auto" w:fill="F2F2F2" w:themeFill="background1" w:themeFillShade="F2"/>
            <w:vAlign w:val="center"/>
          </w:tcPr>
          <w:p w:rsidR="00E91EA3" w:rsidRDefault="00E91EA3" w:rsidP="00065FB5">
            <w:pPr>
              <w:tabs>
                <w:tab w:val="left" w:pos="510"/>
              </w:tabs>
              <w:jc w:val="both"/>
              <w:rPr>
                <w:b/>
                <w:lang w:val="lt-LT"/>
              </w:rPr>
            </w:pPr>
          </w:p>
        </w:tc>
        <w:tc>
          <w:tcPr>
            <w:tcW w:w="709" w:type="dxa"/>
            <w:gridSpan w:val="8"/>
            <w:tcBorders>
              <w:top w:val="single" w:sz="4" w:space="0" w:color="auto"/>
              <w:left w:val="nil"/>
              <w:bottom w:val="single" w:sz="4" w:space="0" w:color="auto"/>
              <w:right w:val="nil"/>
            </w:tcBorders>
            <w:shd w:val="clear" w:color="auto" w:fill="F2F2F2" w:themeFill="background1" w:themeFillShade="F2"/>
          </w:tcPr>
          <w:p w:rsidR="00E91EA3" w:rsidRPr="00C903A7" w:rsidRDefault="00E91EA3" w:rsidP="00065FB5">
            <w:pPr>
              <w:tabs>
                <w:tab w:val="left" w:pos="510"/>
              </w:tabs>
              <w:jc w:val="center"/>
              <w:rPr>
                <w:b/>
                <w:lang w:val="lt-LT"/>
              </w:rPr>
            </w:pPr>
          </w:p>
        </w:tc>
        <w:tc>
          <w:tcPr>
            <w:tcW w:w="1218" w:type="dxa"/>
            <w:gridSpan w:val="9"/>
            <w:tcBorders>
              <w:top w:val="single" w:sz="4" w:space="0" w:color="auto"/>
              <w:left w:val="nil"/>
              <w:bottom w:val="single" w:sz="4" w:space="0" w:color="auto"/>
              <w:right w:val="nil"/>
            </w:tcBorders>
            <w:shd w:val="clear" w:color="auto" w:fill="F2F2F2" w:themeFill="background1" w:themeFillShade="F2"/>
          </w:tcPr>
          <w:p w:rsidR="00E91EA3" w:rsidRPr="00C903A7" w:rsidRDefault="00E91EA3" w:rsidP="00065FB5">
            <w:pPr>
              <w:tabs>
                <w:tab w:val="left" w:pos="510"/>
              </w:tabs>
              <w:jc w:val="both"/>
              <w:rPr>
                <w:b/>
                <w:lang w:val="lt-LT"/>
              </w:rPr>
            </w:pPr>
          </w:p>
        </w:tc>
        <w:tc>
          <w:tcPr>
            <w:tcW w:w="1014" w:type="dxa"/>
            <w:gridSpan w:val="7"/>
            <w:tcBorders>
              <w:top w:val="single" w:sz="4" w:space="0" w:color="auto"/>
              <w:left w:val="nil"/>
              <w:bottom w:val="single" w:sz="4" w:space="0" w:color="auto"/>
              <w:right w:val="nil"/>
            </w:tcBorders>
            <w:shd w:val="clear" w:color="auto" w:fill="F2F2F2" w:themeFill="background1" w:themeFillShade="F2"/>
            <w:vAlign w:val="center"/>
          </w:tcPr>
          <w:p w:rsidR="00E91EA3" w:rsidRPr="004273CC" w:rsidRDefault="00E91EA3" w:rsidP="00065FB5">
            <w:pPr>
              <w:tabs>
                <w:tab w:val="left" w:pos="510"/>
              </w:tabs>
              <w:jc w:val="both"/>
              <w:rPr>
                <w:lang w:val="lt-LT"/>
              </w:rPr>
            </w:pPr>
          </w:p>
        </w:tc>
        <w:tc>
          <w:tcPr>
            <w:tcW w:w="1132" w:type="dxa"/>
            <w:gridSpan w:val="8"/>
            <w:tcBorders>
              <w:top w:val="single" w:sz="4" w:space="0" w:color="auto"/>
              <w:left w:val="nil"/>
              <w:bottom w:val="single" w:sz="4" w:space="0" w:color="auto"/>
              <w:right w:val="nil"/>
            </w:tcBorders>
            <w:shd w:val="clear" w:color="auto" w:fill="F2F2F2" w:themeFill="background1" w:themeFillShade="F2"/>
            <w:vAlign w:val="center"/>
          </w:tcPr>
          <w:p w:rsidR="00E91EA3" w:rsidRDefault="00E91EA3" w:rsidP="00065FB5">
            <w:pPr>
              <w:tabs>
                <w:tab w:val="left" w:pos="510"/>
              </w:tabs>
              <w:jc w:val="both"/>
              <w:rPr>
                <w:b/>
                <w:lang w:val="lt-LT"/>
              </w:rPr>
            </w:pPr>
          </w:p>
        </w:tc>
        <w:tc>
          <w:tcPr>
            <w:tcW w:w="708" w:type="dxa"/>
            <w:gridSpan w:val="6"/>
            <w:tcBorders>
              <w:top w:val="single" w:sz="4" w:space="0" w:color="auto"/>
              <w:left w:val="nil"/>
              <w:bottom w:val="single" w:sz="4" w:space="0" w:color="auto"/>
              <w:right w:val="nil"/>
            </w:tcBorders>
            <w:shd w:val="clear" w:color="auto" w:fill="F2F2F2" w:themeFill="background1" w:themeFillShade="F2"/>
          </w:tcPr>
          <w:p w:rsidR="00E91EA3" w:rsidRPr="004273CC" w:rsidRDefault="00E91EA3" w:rsidP="00065FB5">
            <w:pPr>
              <w:tabs>
                <w:tab w:val="left" w:pos="510"/>
              </w:tabs>
              <w:jc w:val="center"/>
              <w:rPr>
                <w:lang w:val="lt-LT"/>
              </w:rPr>
            </w:pPr>
          </w:p>
        </w:tc>
        <w:tc>
          <w:tcPr>
            <w:tcW w:w="1133" w:type="dxa"/>
            <w:gridSpan w:val="6"/>
            <w:tcBorders>
              <w:top w:val="single" w:sz="4" w:space="0" w:color="auto"/>
              <w:left w:val="nil"/>
              <w:bottom w:val="single" w:sz="4" w:space="0" w:color="auto"/>
              <w:right w:val="nil"/>
            </w:tcBorders>
            <w:shd w:val="clear" w:color="auto" w:fill="F2F2F2" w:themeFill="background1" w:themeFillShade="F2"/>
          </w:tcPr>
          <w:p w:rsidR="00E91EA3" w:rsidRPr="004273CC" w:rsidRDefault="00E91EA3" w:rsidP="00065FB5">
            <w:pPr>
              <w:tabs>
                <w:tab w:val="left" w:pos="510"/>
              </w:tabs>
              <w:jc w:val="both"/>
              <w:rPr>
                <w:lang w:val="lt-LT"/>
              </w:rPr>
            </w:pPr>
          </w:p>
        </w:tc>
        <w:tc>
          <w:tcPr>
            <w:tcW w:w="1441" w:type="dxa"/>
            <w:gridSpan w:val="2"/>
            <w:tcBorders>
              <w:top w:val="single" w:sz="4" w:space="0" w:color="auto"/>
              <w:left w:val="nil"/>
              <w:bottom w:val="single" w:sz="4" w:space="0" w:color="auto"/>
              <w:right w:val="nil"/>
            </w:tcBorders>
            <w:shd w:val="clear" w:color="auto" w:fill="F2F2F2" w:themeFill="background1" w:themeFillShade="F2"/>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463" w:type="dxa"/>
            <w:gridSpan w:val="22"/>
            <w:tcBorders>
              <w:top w:val="single" w:sz="4" w:space="0" w:color="auto"/>
              <w:bottom w:val="single" w:sz="4" w:space="0" w:color="auto"/>
            </w:tcBorders>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033" w:type="dxa"/>
            <w:gridSpan w:val="3"/>
            <w:tcBorders>
              <w:top w:val="single" w:sz="4" w:space="0" w:color="auto"/>
              <w:bottom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9" w:type="dxa"/>
            <w:gridSpan w:val="8"/>
            <w:tcBorders>
              <w:top w:val="single" w:sz="4" w:space="0" w:color="auto"/>
              <w:bottom w:val="single" w:sz="4" w:space="0" w:color="auto"/>
              <w:right w:val="single" w:sz="4" w:space="0" w:color="auto"/>
            </w:tcBorders>
            <w:shd w:val="clear" w:color="auto" w:fill="FFFFFF" w:themeFill="background1"/>
          </w:tcPr>
          <w:p w:rsidR="00E91EA3" w:rsidRPr="00C903A7" w:rsidRDefault="00E91EA3" w:rsidP="00065FB5">
            <w:pPr>
              <w:tabs>
                <w:tab w:val="left" w:pos="510"/>
              </w:tabs>
              <w:jc w:val="center"/>
              <w:rPr>
                <w:b/>
                <w:lang w:val="lt-LT"/>
              </w:rPr>
            </w:pPr>
            <w:r w:rsidRPr="00C903A7">
              <w:rPr>
                <w:b/>
                <w:lang w:val="lt-LT"/>
              </w:rPr>
              <w:t>X</w:t>
            </w:r>
          </w:p>
        </w:tc>
        <w:tc>
          <w:tcPr>
            <w:tcW w:w="1218" w:type="dxa"/>
            <w:gridSpan w:val="9"/>
            <w:tcBorders>
              <w:top w:val="single" w:sz="4" w:space="0" w:color="auto"/>
              <w:left w:val="single" w:sz="4" w:space="0" w:color="auto"/>
              <w:bottom w:val="single" w:sz="4" w:space="0" w:color="auto"/>
              <w:right w:val="single" w:sz="4" w:space="0" w:color="auto"/>
            </w:tcBorders>
          </w:tcPr>
          <w:p w:rsidR="00E91EA3" w:rsidRPr="00C903A7" w:rsidRDefault="00E91EA3" w:rsidP="00065FB5">
            <w:pPr>
              <w:tabs>
                <w:tab w:val="left" w:pos="510"/>
              </w:tabs>
              <w:jc w:val="center"/>
              <w:rPr>
                <w:b/>
                <w:lang w:val="lt-LT"/>
              </w:rPr>
            </w:pPr>
            <w:r>
              <w:rPr>
                <w:b/>
                <w:lang w:val="lt-LT"/>
              </w:rPr>
              <w:t>12</w:t>
            </w:r>
          </w:p>
        </w:tc>
        <w:tc>
          <w:tcPr>
            <w:tcW w:w="1014" w:type="dxa"/>
            <w:gridSpan w:val="7"/>
            <w:vMerge w:val="restart"/>
            <w:tcBorders>
              <w:top w:val="single" w:sz="4" w:space="0" w:color="auto"/>
              <w:left w:val="single" w:sz="4" w:space="0" w:color="auto"/>
              <w:right w:val="single" w:sz="4" w:space="0" w:color="auto"/>
            </w:tcBorders>
            <w:shd w:val="clear" w:color="auto" w:fill="FFFFFF"/>
            <w:textDirection w:val="btLr"/>
          </w:tcPr>
          <w:p w:rsidR="00E91EA3" w:rsidRPr="002C4381" w:rsidRDefault="00E91EA3" w:rsidP="00065FB5">
            <w:pPr>
              <w:tabs>
                <w:tab w:val="left" w:pos="510"/>
              </w:tabs>
              <w:ind w:left="113" w:right="113"/>
              <w:jc w:val="center"/>
              <w:rPr>
                <w:b/>
                <w:lang w:val="lt-LT"/>
              </w:rPr>
            </w:pPr>
            <w:r w:rsidRPr="002C4381">
              <w:rPr>
                <w:b/>
                <w:lang w:val="lt-LT"/>
              </w:rPr>
              <w:t xml:space="preserve">Atsargos – </w:t>
            </w:r>
            <w:r>
              <w:rPr>
                <w:b/>
                <w:lang w:val="lt-LT"/>
              </w:rPr>
              <w:t>Įvertinimas</w:t>
            </w:r>
          </w:p>
        </w:tc>
        <w:tc>
          <w:tcPr>
            <w:tcW w:w="1132" w:type="dxa"/>
            <w:gridSpan w:val="8"/>
            <w:tcBorders>
              <w:top w:val="single" w:sz="4" w:space="0" w:color="auto"/>
              <w:left w:val="single" w:sz="4" w:space="0" w:color="auto"/>
              <w:bottom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8" w:type="dxa"/>
            <w:gridSpan w:val="6"/>
            <w:tcBorders>
              <w:top w:val="single" w:sz="4" w:space="0" w:color="auto"/>
              <w:bottom w:val="single" w:sz="4" w:space="0" w:color="auto"/>
              <w:right w:val="single" w:sz="4" w:space="0" w:color="auto"/>
            </w:tcBorders>
            <w:shd w:val="clear" w:color="auto" w:fill="FFFFFF" w:themeFill="background1"/>
          </w:tcPr>
          <w:p w:rsidR="00E91EA3" w:rsidRPr="00404FB8" w:rsidRDefault="00E91EA3" w:rsidP="00065FB5">
            <w:pPr>
              <w:tabs>
                <w:tab w:val="left" w:pos="510"/>
              </w:tabs>
              <w:jc w:val="center"/>
              <w:rPr>
                <w:b/>
                <w:lang w:val="lt-LT"/>
              </w:rPr>
            </w:pPr>
            <w:r w:rsidRPr="00404FB8">
              <w:rPr>
                <w:b/>
                <w:lang w:val="lt-LT"/>
              </w:rPr>
              <w:t>X</w:t>
            </w:r>
          </w:p>
        </w:tc>
        <w:tc>
          <w:tcPr>
            <w:tcW w:w="1133" w:type="dxa"/>
            <w:gridSpan w:val="6"/>
            <w:tcBorders>
              <w:top w:val="single" w:sz="4" w:space="0" w:color="auto"/>
              <w:left w:val="single" w:sz="4" w:space="0" w:color="auto"/>
              <w:bottom w:val="single" w:sz="4" w:space="0" w:color="auto"/>
              <w:right w:val="single" w:sz="4" w:space="0" w:color="auto"/>
            </w:tcBorders>
          </w:tcPr>
          <w:p w:rsidR="00E91EA3" w:rsidRPr="00404FB8" w:rsidRDefault="00E91EA3" w:rsidP="00065FB5">
            <w:pPr>
              <w:tabs>
                <w:tab w:val="left" w:pos="510"/>
              </w:tabs>
              <w:jc w:val="center"/>
              <w:rPr>
                <w:b/>
                <w:lang w:val="lt-LT"/>
              </w:rPr>
            </w:pPr>
            <w:r>
              <w:rPr>
                <w:b/>
                <w:lang w:val="lt-LT"/>
              </w:rPr>
              <w:t>12</w:t>
            </w:r>
          </w:p>
        </w:tc>
        <w:tc>
          <w:tcPr>
            <w:tcW w:w="1441" w:type="dxa"/>
            <w:gridSpan w:val="2"/>
            <w:vMerge w:val="restart"/>
            <w:tcBorders>
              <w:top w:val="single" w:sz="4" w:space="0" w:color="auto"/>
              <w:left w:val="single" w:sz="4" w:space="0" w:color="auto"/>
              <w:right w:val="single" w:sz="4" w:space="0" w:color="auto"/>
            </w:tcBorders>
            <w:textDirection w:val="btLr"/>
          </w:tcPr>
          <w:p w:rsidR="00E91EA3" w:rsidRPr="004273CC" w:rsidRDefault="00E91EA3" w:rsidP="00065FB5">
            <w:pPr>
              <w:tabs>
                <w:tab w:val="left" w:pos="510"/>
              </w:tabs>
              <w:ind w:left="113" w:right="113"/>
              <w:jc w:val="center"/>
              <w:rPr>
                <w:lang w:val="lt-LT"/>
              </w:rPr>
            </w:pPr>
            <w:r w:rsidRPr="002C4381">
              <w:rPr>
                <w:b/>
                <w:lang w:val="lt-LT"/>
              </w:rPr>
              <w:t xml:space="preserve">Atsargos – </w:t>
            </w:r>
            <w:r>
              <w:rPr>
                <w:b/>
                <w:lang w:val="lt-LT"/>
              </w:rPr>
              <w:t>Įvertinimas</w:t>
            </w: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463" w:type="dxa"/>
            <w:gridSpan w:val="22"/>
            <w:tcBorders>
              <w:bottom w:val="single" w:sz="4" w:space="0" w:color="auto"/>
            </w:tcBorders>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033" w:type="dxa"/>
            <w:gridSpan w:val="3"/>
            <w:tcBorders>
              <w:bottom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9" w:type="dxa"/>
            <w:gridSpan w:val="8"/>
            <w:tcBorders>
              <w:bottom w:val="single" w:sz="4" w:space="0" w:color="auto"/>
              <w:right w:val="single" w:sz="4" w:space="0" w:color="auto"/>
            </w:tcBorders>
            <w:shd w:val="clear" w:color="auto" w:fill="FFFFFF" w:themeFill="background1"/>
          </w:tcPr>
          <w:p w:rsidR="00E91EA3" w:rsidRPr="00C903A7" w:rsidRDefault="00E91EA3" w:rsidP="00065FB5">
            <w:pPr>
              <w:tabs>
                <w:tab w:val="left" w:pos="510"/>
              </w:tabs>
              <w:jc w:val="center"/>
              <w:rPr>
                <w:b/>
                <w:lang w:val="lt-LT"/>
              </w:rPr>
            </w:pPr>
            <w:r w:rsidRPr="00C903A7">
              <w:rPr>
                <w:b/>
                <w:lang w:val="lt-LT"/>
              </w:rPr>
              <w:t>4</w:t>
            </w:r>
          </w:p>
        </w:tc>
        <w:tc>
          <w:tcPr>
            <w:tcW w:w="1218" w:type="dxa"/>
            <w:gridSpan w:val="9"/>
            <w:tcBorders>
              <w:top w:val="single" w:sz="4" w:space="0" w:color="auto"/>
              <w:left w:val="single" w:sz="4" w:space="0" w:color="auto"/>
              <w:bottom w:val="nil"/>
              <w:right w:val="single" w:sz="4" w:space="0" w:color="auto"/>
            </w:tcBorders>
          </w:tcPr>
          <w:p w:rsidR="00E91EA3" w:rsidRPr="00C903A7" w:rsidRDefault="00E91EA3" w:rsidP="00065FB5">
            <w:pPr>
              <w:tabs>
                <w:tab w:val="left" w:pos="510"/>
              </w:tabs>
              <w:jc w:val="center"/>
              <w:rPr>
                <w:b/>
                <w:lang w:val="lt-LT"/>
              </w:rPr>
            </w:pP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8" w:type="dxa"/>
            <w:gridSpan w:val="6"/>
            <w:tcBorders>
              <w:bottom w:val="single" w:sz="4" w:space="0" w:color="auto"/>
              <w:right w:val="single" w:sz="4" w:space="0" w:color="auto"/>
            </w:tcBorders>
            <w:shd w:val="clear" w:color="auto" w:fill="FFFFFF" w:themeFill="background1"/>
          </w:tcPr>
          <w:p w:rsidR="00E91EA3" w:rsidRPr="00404FB8" w:rsidRDefault="00E91EA3" w:rsidP="00065FB5">
            <w:pPr>
              <w:tabs>
                <w:tab w:val="left" w:pos="510"/>
              </w:tabs>
              <w:jc w:val="center"/>
              <w:rPr>
                <w:b/>
                <w:lang w:val="lt-LT"/>
              </w:rPr>
            </w:pPr>
            <w:r>
              <w:rPr>
                <w:b/>
                <w:lang w:val="lt-LT"/>
              </w:rPr>
              <w:t>4</w:t>
            </w:r>
          </w:p>
        </w:tc>
        <w:tc>
          <w:tcPr>
            <w:tcW w:w="1133" w:type="dxa"/>
            <w:gridSpan w:val="6"/>
            <w:tcBorders>
              <w:top w:val="single" w:sz="4" w:space="0" w:color="auto"/>
              <w:left w:val="single" w:sz="4" w:space="0" w:color="auto"/>
              <w:bottom w:val="nil"/>
              <w:right w:val="single" w:sz="4" w:space="0" w:color="auto"/>
            </w:tcBorders>
          </w:tcPr>
          <w:p w:rsidR="00E91EA3" w:rsidRPr="00404FB8" w:rsidRDefault="00E91EA3" w:rsidP="00065FB5">
            <w:pPr>
              <w:tabs>
                <w:tab w:val="left" w:pos="510"/>
              </w:tabs>
              <w:jc w:val="center"/>
              <w:rPr>
                <w:b/>
                <w:lang w:val="lt-LT"/>
              </w:rPr>
            </w:pPr>
          </w:p>
        </w:tc>
        <w:tc>
          <w:tcPr>
            <w:tcW w:w="1441" w:type="dxa"/>
            <w:gridSpan w:val="2"/>
            <w:vMerge/>
            <w:tcBorders>
              <w:left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463" w:type="dxa"/>
            <w:gridSpan w:val="22"/>
            <w:tcBorders>
              <w:bottom w:val="single" w:sz="4" w:space="0" w:color="auto"/>
            </w:tcBorders>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033" w:type="dxa"/>
            <w:gridSpan w:val="3"/>
            <w:tcBorders>
              <w:bottom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shd w:val="clear" w:color="auto" w:fill="FFFFFF" w:themeFill="background1"/>
          </w:tcPr>
          <w:p w:rsidR="00E91EA3" w:rsidRPr="00C903A7" w:rsidRDefault="00E91EA3" w:rsidP="00065FB5">
            <w:pPr>
              <w:tabs>
                <w:tab w:val="left" w:pos="510"/>
              </w:tabs>
              <w:jc w:val="center"/>
              <w:rPr>
                <w:b/>
                <w:lang w:val="lt-LT"/>
              </w:rPr>
            </w:pPr>
            <w:r w:rsidRPr="00C903A7">
              <w:rPr>
                <w:b/>
                <w:lang w:val="lt-LT"/>
              </w:rPr>
              <w:t>20</w:t>
            </w:r>
          </w:p>
        </w:tc>
        <w:tc>
          <w:tcPr>
            <w:tcW w:w="1218" w:type="dxa"/>
            <w:gridSpan w:val="9"/>
            <w:tcBorders>
              <w:top w:val="nil"/>
              <w:left w:val="single" w:sz="4" w:space="0" w:color="auto"/>
              <w:bottom w:val="nil"/>
              <w:right w:val="single" w:sz="4" w:space="0" w:color="auto"/>
            </w:tcBorders>
          </w:tcPr>
          <w:p w:rsidR="00E91EA3" w:rsidRPr="00C903A7" w:rsidRDefault="00E91EA3" w:rsidP="00065FB5">
            <w:pPr>
              <w:tabs>
                <w:tab w:val="left" w:pos="510"/>
              </w:tabs>
              <w:jc w:val="center"/>
              <w:rPr>
                <w:b/>
                <w:lang w:val="lt-LT"/>
              </w:rPr>
            </w:pP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8" w:type="dxa"/>
            <w:gridSpan w:val="6"/>
            <w:tcBorders>
              <w:bottom w:val="single" w:sz="4" w:space="0" w:color="auto"/>
              <w:right w:val="single" w:sz="4" w:space="0" w:color="auto"/>
            </w:tcBorders>
            <w:shd w:val="clear" w:color="auto" w:fill="FFFFFF" w:themeFill="background1"/>
          </w:tcPr>
          <w:p w:rsidR="00E91EA3" w:rsidRPr="00404FB8" w:rsidRDefault="00E91EA3" w:rsidP="00065FB5">
            <w:pPr>
              <w:tabs>
                <w:tab w:val="left" w:pos="510"/>
              </w:tabs>
              <w:jc w:val="center"/>
              <w:rPr>
                <w:b/>
                <w:lang w:val="lt-LT"/>
              </w:rPr>
            </w:pPr>
            <w:r>
              <w:rPr>
                <w:b/>
                <w:lang w:val="lt-LT"/>
              </w:rPr>
              <w:t>2</w:t>
            </w:r>
            <w:r w:rsidRPr="00404FB8">
              <w:rPr>
                <w:b/>
                <w:lang w:val="lt-LT"/>
              </w:rPr>
              <w:t>0</w:t>
            </w:r>
          </w:p>
        </w:tc>
        <w:tc>
          <w:tcPr>
            <w:tcW w:w="1133" w:type="dxa"/>
            <w:gridSpan w:val="6"/>
            <w:tcBorders>
              <w:top w:val="nil"/>
              <w:left w:val="single" w:sz="4" w:space="0" w:color="auto"/>
              <w:bottom w:val="nil"/>
              <w:right w:val="single" w:sz="4" w:space="0" w:color="auto"/>
            </w:tcBorders>
          </w:tcPr>
          <w:p w:rsidR="00E91EA3" w:rsidRPr="00404FB8" w:rsidRDefault="00E91EA3" w:rsidP="00065FB5">
            <w:pPr>
              <w:tabs>
                <w:tab w:val="left" w:pos="510"/>
              </w:tabs>
              <w:jc w:val="center"/>
              <w:rPr>
                <w:b/>
                <w:lang w:val="lt-LT"/>
              </w:rPr>
            </w:pPr>
          </w:p>
        </w:tc>
        <w:tc>
          <w:tcPr>
            <w:tcW w:w="1441" w:type="dxa"/>
            <w:gridSpan w:val="2"/>
            <w:vMerge/>
            <w:tcBorders>
              <w:left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463" w:type="dxa"/>
            <w:gridSpan w:val="22"/>
            <w:tcBorders>
              <w:bottom w:val="single" w:sz="4" w:space="0" w:color="auto"/>
            </w:tcBorders>
          </w:tcPr>
          <w:p w:rsidR="00E91EA3" w:rsidRPr="004273CC" w:rsidRDefault="00E91EA3" w:rsidP="00065FB5">
            <w:pPr>
              <w:tabs>
                <w:tab w:val="left" w:pos="510"/>
              </w:tabs>
              <w:jc w:val="right"/>
              <w:rPr>
                <w:lang w:val="lt-LT"/>
              </w:rPr>
            </w:pPr>
            <w:r>
              <w:rPr>
                <w:b/>
                <w:lang w:val="lt-LT"/>
              </w:rPr>
              <w:t xml:space="preserve">ĮGIMTOS </w:t>
            </w:r>
            <w:r w:rsidRPr="004273CC">
              <w:rPr>
                <w:b/>
                <w:lang w:val="lt-LT"/>
              </w:rPr>
              <w:t>RIZIKOS LYGIS, proc. (1 eil./3eil.*100)</w:t>
            </w:r>
          </w:p>
        </w:tc>
        <w:tc>
          <w:tcPr>
            <w:tcW w:w="1033" w:type="dxa"/>
            <w:gridSpan w:val="3"/>
            <w:tcBorders>
              <w:bottom w:val="single" w:sz="4" w:space="0" w:color="auto"/>
            </w:tcBorders>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E91EA3" w:rsidRPr="00C903A7" w:rsidRDefault="00E91EA3" w:rsidP="00065FB5">
            <w:pPr>
              <w:tabs>
                <w:tab w:val="left" w:pos="510"/>
              </w:tabs>
              <w:jc w:val="center"/>
              <w:rPr>
                <w:b/>
                <w:lang w:val="lt-LT"/>
              </w:rPr>
            </w:pPr>
            <w:r w:rsidRPr="00C903A7">
              <w:rPr>
                <w:b/>
                <w:lang w:val="lt-LT"/>
              </w:rPr>
              <w:t>60</w:t>
            </w:r>
          </w:p>
        </w:tc>
        <w:tc>
          <w:tcPr>
            <w:tcW w:w="1218" w:type="dxa"/>
            <w:gridSpan w:val="9"/>
            <w:tcBorders>
              <w:top w:val="nil"/>
              <w:left w:val="single" w:sz="4" w:space="0" w:color="auto"/>
              <w:bottom w:val="single" w:sz="4" w:space="0" w:color="auto"/>
              <w:right w:val="single" w:sz="4" w:space="0" w:color="auto"/>
            </w:tcBorders>
          </w:tcPr>
          <w:p w:rsidR="00E91EA3" w:rsidRPr="00C903A7" w:rsidRDefault="00E91EA3" w:rsidP="00065FB5">
            <w:pPr>
              <w:tabs>
                <w:tab w:val="left" w:pos="510"/>
              </w:tabs>
              <w:jc w:val="center"/>
              <w:rPr>
                <w:b/>
                <w:sz w:val="18"/>
                <w:szCs w:val="18"/>
                <w:lang w:val="lt-LT"/>
              </w:rPr>
            </w:pPr>
            <w:r w:rsidRPr="00C903A7">
              <w:rPr>
                <w:b/>
                <w:sz w:val="18"/>
                <w:szCs w:val="18"/>
                <w:lang w:val="lt-LT"/>
              </w:rPr>
              <w:t>VIDUTINĖ</w:t>
            </w:r>
          </w:p>
        </w:tc>
        <w:tc>
          <w:tcPr>
            <w:tcW w:w="1014" w:type="dxa"/>
            <w:gridSpan w:val="7"/>
            <w:vMerge/>
            <w:tcBorders>
              <w:left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8" w:type="dxa"/>
            <w:gridSpan w:val="6"/>
            <w:tcBorders>
              <w:bottom w:val="single" w:sz="4" w:space="0" w:color="auto"/>
              <w:right w:val="single" w:sz="4" w:space="0" w:color="auto"/>
            </w:tcBorders>
            <w:shd w:val="clear" w:color="auto" w:fill="D9D9D9"/>
          </w:tcPr>
          <w:p w:rsidR="00E91EA3" w:rsidRPr="00404FB8" w:rsidRDefault="00E91EA3" w:rsidP="00065FB5">
            <w:pPr>
              <w:tabs>
                <w:tab w:val="left" w:pos="510"/>
              </w:tabs>
              <w:jc w:val="center"/>
              <w:rPr>
                <w:b/>
                <w:lang w:val="lt-LT"/>
              </w:rPr>
            </w:pPr>
            <w:r>
              <w:rPr>
                <w:b/>
                <w:lang w:val="lt-LT"/>
              </w:rPr>
              <w:t>6</w:t>
            </w:r>
            <w:r w:rsidRPr="00404FB8">
              <w:rPr>
                <w:b/>
                <w:lang w:val="lt-LT"/>
              </w:rPr>
              <w:t>0</w:t>
            </w:r>
          </w:p>
        </w:tc>
        <w:tc>
          <w:tcPr>
            <w:tcW w:w="1133" w:type="dxa"/>
            <w:gridSpan w:val="6"/>
            <w:tcBorders>
              <w:top w:val="nil"/>
              <w:left w:val="single" w:sz="4" w:space="0" w:color="auto"/>
              <w:bottom w:val="single" w:sz="4" w:space="0" w:color="auto"/>
              <w:right w:val="single" w:sz="4" w:space="0" w:color="auto"/>
            </w:tcBorders>
          </w:tcPr>
          <w:p w:rsidR="00E91EA3" w:rsidRPr="00404FB8" w:rsidRDefault="00E91EA3" w:rsidP="00065FB5">
            <w:pPr>
              <w:tabs>
                <w:tab w:val="left" w:pos="510"/>
              </w:tabs>
              <w:jc w:val="center"/>
              <w:rPr>
                <w:b/>
                <w:sz w:val="18"/>
                <w:szCs w:val="18"/>
                <w:lang w:val="lt-LT"/>
              </w:rPr>
            </w:pPr>
            <w:r w:rsidRPr="00404FB8">
              <w:rPr>
                <w:b/>
                <w:sz w:val="18"/>
                <w:szCs w:val="18"/>
                <w:lang w:val="lt-LT"/>
              </w:rPr>
              <w:t>VIDUTINĖ</w:t>
            </w:r>
          </w:p>
        </w:tc>
        <w:tc>
          <w:tcPr>
            <w:tcW w:w="1441" w:type="dxa"/>
            <w:gridSpan w:val="2"/>
            <w:vMerge/>
            <w:tcBorders>
              <w:left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463" w:type="dxa"/>
            <w:gridSpan w:val="22"/>
            <w:tcBorders>
              <w:bottom w:val="single" w:sz="4" w:space="0" w:color="auto"/>
            </w:tcBorders>
          </w:tcPr>
          <w:p w:rsidR="00E91EA3" w:rsidRPr="004273CC" w:rsidRDefault="00E91EA3"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033" w:type="dxa"/>
            <w:gridSpan w:val="3"/>
            <w:tcBorders>
              <w:bottom w:val="single" w:sz="4" w:space="0" w:color="auto"/>
            </w:tcBorders>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bottom w:val="single" w:sz="4" w:space="0" w:color="auto"/>
              <w:right w:val="single" w:sz="4" w:space="0" w:color="auto"/>
            </w:tcBorders>
            <w:shd w:val="clear" w:color="auto" w:fill="FFFFFF" w:themeFill="background1"/>
          </w:tcPr>
          <w:p w:rsidR="00E91EA3" w:rsidRPr="00C903A7" w:rsidRDefault="00E91EA3" w:rsidP="00065FB5">
            <w:pPr>
              <w:tabs>
                <w:tab w:val="left" w:pos="510"/>
              </w:tabs>
              <w:jc w:val="center"/>
              <w:rPr>
                <w:b/>
                <w:lang w:val="lt-LT"/>
              </w:rPr>
            </w:pPr>
            <w:r w:rsidRPr="00C903A7">
              <w:rPr>
                <w:b/>
                <w:lang w:val="lt-LT"/>
              </w:rPr>
              <w:t>X</w:t>
            </w:r>
          </w:p>
        </w:tc>
        <w:tc>
          <w:tcPr>
            <w:tcW w:w="1218" w:type="dxa"/>
            <w:gridSpan w:val="9"/>
            <w:tcBorders>
              <w:top w:val="single" w:sz="4" w:space="0" w:color="auto"/>
              <w:left w:val="single" w:sz="4" w:space="0" w:color="auto"/>
              <w:bottom w:val="single" w:sz="4" w:space="0" w:color="auto"/>
              <w:right w:val="single" w:sz="4" w:space="0" w:color="auto"/>
            </w:tcBorders>
          </w:tcPr>
          <w:p w:rsidR="00E91EA3" w:rsidRPr="00C903A7" w:rsidRDefault="00E91EA3" w:rsidP="00065FB5">
            <w:pPr>
              <w:tabs>
                <w:tab w:val="left" w:pos="510"/>
              </w:tabs>
              <w:jc w:val="center"/>
              <w:rPr>
                <w:b/>
                <w:lang w:val="lt-LT"/>
              </w:rPr>
            </w:pPr>
            <w:r>
              <w:rPr>
                <w:b/>
                <w:lang w:val="lt-LT"/>
              </w:rPr>
              <w:t>16</w:t>
            </w: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E91EA3" w:rsidRPr="00404FB8" w:rsidRDefault="00E91EA3" w:rsidP="00065FB5">
            <w:pPr>
              <w:tabs>
                <w:tab w:val="left" w:pos="510"/>
              </w:tabs>
              <w:jc w:val="center"/>
              <w:rPr>
                <w:b/>
                <w:lang w:val="lt-LT"/>
              </w:rPr>
            </w:pPr>
            <w:r w:rsidRPr="00404FB8">
              <w:rPr>
                <w:b/>
                <w:lang w:val="lt-LT"/>
              </w:rPr>
              <w:t>X</w:t>
            </w:r>
          </w:p>
        </w:tc>
        <w:tc>
          <w:tcPr>
            <w:tcW w:w="1133" w:type="dxa"/>
            <w:gridSpan w:val="6"/>
            <w:tcBorders>
              <w:top w:val="nil"/>
              <w:left w:val="single" w:sz="4" w:space="0" w:color="auto"/>
              <w:bottom w:val="single" w:sz="4" w:space="0" w:color="auto"/>
              <w:right w:val="single" w:sz="4" w:space="0" w:color="auto"/>
            </w:tcBorders>
          </w:tcPr>
          <w:p w:rsidR="00E91EA3" w:rsidRPr="00404FB8" w:rsidRDefault="00E91EA3" w:rsidP="00065FB5">
            <w:pPr>
              <w:tabs>
                <w:tab w:val="left" w:pos="510"/>
              </w:tabs>
              <w:jc w:val="center"/>
              <w:rPr>
                <w:b/>
                <w:lang w:val="lt-LT"/>
              </w:rPr>
            </w:pPr>
            <w:r>
              <w:rPr>
                <w:b/>
                <w:lang w:val="lt-LT"/>
              </w:rPr>
              <w:t>25</w:t>
            </w:r>
          </w:p>
        </w:tc>
        <w:tc>
          <w:tcPr>
            <w:tcW w:w="1441" w:type="dxa"/>
            <w:gridSpan w:val="2"/>
            <w:vMerge/>
            <w:tcBorders>
              <w:left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463" w:type="dxa"/>
            <w:gridSpan w:val="22"/>
            <w:tcBorders>
              <w:bottom w:val="single" w:sz="4" w:space="0" w:color="auto"/>
            </w:tcBorders>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033" w:type="dxa"/>
            <w:gridSpan w:val="3"/>
            <w:tcBorders>
              <w:bottom w:val="single" w:sz="4" w:space="0" w:color="auto"/>
            </w:tcBorders>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bottom w:val="single" w:sz="4" w:space="0" w:color="auto"/>
              <w:right w:val="single" w:sz="4" w:space="0" w:color="auto"/>
            </w:tcBorders>
            <w:shd w:val="clear" w:color="auto" w:fill="FFFFFF" w:themeFill="background1"/>
          </w:tcPr>
          <w:p w:rsidR="00E91EA3" w:rsidRPr="00C903A7" w:rsidRDefault="00E91EA3" w:rsidP="00065FB5">
            <w:pPr>
              <w:tabs>
                <w:tab w:val="left" w:pos="510"/>
              </w:tabs>
              <w:jc w:val="center"/>
              <w:rPr>
                <w:b/>
                <w:lang w:val="lt-LT"/>
              </w:rPr>
            </w:pPr>
            <w:r>
              <w:rPr>
                <w:b/>
                <w:lang w:val="lt-LT"/>
              </w:rPr>
              <w:t>4</w:t>
            </w:r>
          </w:p>
        </w:tc>
        <w:tc>
          <w:tcPr>
            <w:tcW w:w="1218" w:type="dxa"/>
            <w:gridSpan w:val="9"/>
            <w:tcBorders>
              <w:top w:val="single" w:sz="4" w:space="0" w:color="auto"/>
              <w:left w:val="single" w:sz="4" w:space="0" w:color="auto"/>
              <w:bottom w:val="nil"/>
              <w:right w:val="single" w:sz="4" w:space="0" w:color="auto"/>
            </w:tcBorders>
          </w:tcPr>
          <w:p w:rsidR="00E91EA3" w:rsidRPr="00C903A7" w:rsidRDefault="00E91EA3" w:rsidP="00065FB5">
            <w:pPr>
              <w:tabs>
                <w:tab w:val="left" w:pos="510"/>
              </w:tabs>
              <w:jc w:val="both"/>
              <w:rPr>
                <w:b/>
                <w:lang w:val="lt-LT"/>
              </w:rPr>
            </w:pP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E91EA3" w:rsidRPr="00404FB8" w:rsidRDefault="00E91EA3" w:rsidP="00065FB5">
            <w:pPr>
              <w:tabs>
                <w:tab w:val="left" w:pos="510"/>
              </w:tabs>
              <w:jc w:val="center"/>
              <w:rPr>
                <w:b/>
                <w:lang w:val="lt-LT"/>
              </w:rPr>
            </w:pPr>
            <w:r>
              <w:rPr>
                <w:b/>
                <w:lang w:val="lt-LT"/>
              </w:rPr>
              <w:t>7</w:t>
            </w:r>
          </w:p>
        </w:tc>
        <w:tc>
          <w:tcPr>
            <w:tcW w:w="1133" w:type="dxa"/>
            <w:gridSpan w:val="6"/>
            <w:tcBorders>
              <w:top w:val="single" w:sz="4" w:space="0" w:color="auto"/>
              <w:left w:val="single" w:sz="4" w:space="0" w:color="auto"/>
              <w:bottom w:val="nil"/>
              <w:right w:val="single" w:sz="4" w:space="0" w:color="auto"/>
            </w:tcBorders>
          </w:tcPr>
          <w:p w:rsidR="00E91EA3" w:rsidRPr="00404FB8" w:rsidRDefault="00E91EA3" w:rsidP="00065FB5">
            <w:pPr>
              <w:tabs>
                <w:tab w:val="left" w:pos="510"/>
              </w:tabs>
              <w:jc w:val="center"/>
              <w:rPr>
                <w:b/>
                <w:lang w:val="lt-LT"/>
              </w:rPr>
            </w:pPr>
          </w:p>
        </w:tc>
        <w:tc>
          <w:tcPr>
            <w:tcW w:w="1441" w:type="dxa"/>
            <w:gridSpan w:val="2"/>
            <w:vMerge/>
            <w:tcBorders>
              <w:left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463" w:type="dxa"/>
            <w:gridSpan w:val="22"/>
            <w:tcBorders>
              <w:bottom w:val="single" w:sz="4" w:space="0" w:color="auto"/>
            </w:tcBorders>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033" w:type="dxa"/>
            <w:gridSpan w:val="3"/>
            <w:tcBorders>
              <w:bottom w:val="single" w:sz="4" w:space="0" w:color="auto"/>
            </w:tcBorders>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shd w:val="clear" w:color="auto" w:fill="FFFFFF" w:themeFill="background1"/>
          </w:tcPr>
          <w:p w:rsidR="00E91EA3" w:rsidRPr="00C903A7" w:rsidRDefault="00E91EA3" w:rsidP="00065FB5">
            <w:pPr>
              <w:tabs>
                <w:tab w:val="left" w:pos="510"/>
              </w:tabs>
              <w:jc w:val="center"/>
              <w:rPr>
                <w:b/>
                <w:lang w:val="lt-LT"/>
              </w:rPr>
            </w:pPr>
            <w:r>
              <w:rPr>
                <w:b/>
                <w:lang w:val="lt-LT"/>
              </w:rPr>
              <w:t>20</w:t>
            </w:r>
          </w:p>
        </w:tc>
        <w:tc>
          <w:tcPr>
            <w:tcW w:w="1218" w:type="dxa"/>
            <w:gridSpan w:val="9"/>
            <w:tcBorders>
              <w:top w:val="nil"/>
              <w:left w:val="single" w:sz="4" w:space="0" w:color="auto"/>
              <w:bottom w:val="nil"/>
              <w:right w:val="single" w:sz="4" w:space="0" w:color="auto"/>
            </w:tcBorders>
          </w:tcPr>
          <w:p w:rsidR="00E91EA3" w:rsidRPr="00C903A7" w:rsidRDefault="00E91EA3" w:rsidP="00065FB5">
            <w:pPr>
              <w:tabs>
                <w:tab w:val="left" w:pos="510"/>
              </w:tabs>
              <w:jc w:val="both"/>
              <w:rPr>
                <w:b/>
                <w:lang w:val="lt-LT"/>
              </w:rPr>
            </w:pPr>
          </w:p>
        </w:tc>
        <w:tc>
          <w:tcPr>
            <w:tcW w:w="1014" w:type="dxa"/>
            <w:gridSpan w:val="7"/>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E91EA3" w:rsidRPr="00404FB8" w:rsidRDefault="00E91EA3" w:rsidP="00065FB5">
            <w:pPr>
              <w:tabs>
                <w:tab w:val="left" w:pos="510"/>
              </w:tabs>
              <w:jc w:val="center"/>
              <w:rPr>
                <w:b/>
                <w:lang w:val="lt-LT"/>
              </w:rPr>
            </w:pPr>
            <w:r>
              <w:rPr>
                <w:b/>
                <w:lang w:val="lt-LT"/>
              </w:rPr>
              <w:t>35</w:t>
            </w:r>
          </w:p>
        </w:tc>
        <w:tc>
          <w:tcPr>
            <w:tcW w:w="1133" w:type="dxa"/>
            <w:gridSpan w:val="6"/>
            <w:tcBorders>
              <w:top w:val="nil"/>
              <w:left w:val="single" w:sz="4" w:space="0" w:color="auto"/>
              <w:bottom w:val="nil"/>
              <w:right w:val="single" w:sz="4" w:space="0" w:color="auto"/>
            </w:tcBorders>
          </w:tcPr>
          <w:p w:rsidR="00E91EA3" w:rsidRPr="00404FB8" w:rsidRDefault="00E91EA3" w:rsidP="00065FB5">
            <w:pPr>
              <w:tabs>
                <w:tab w:val="left" w:pos="510"/>
              </w:tabs>
              <w:jc w:val="center"/>
              <w:rPr>
                <w:b/>
                <w:lang w:val="lt-LT"/>
              </w:rPr>
            </w:pPr>
          </w:p>
        </w:tc>
        <w:tc>
          <w:tcPr>
            <w:tcW w:w="1441" w:type="dxa"/>
            <w:gridSpan w:val="2"/>
            <w:vMerge/>
            <w:tcBorders>
              <w:left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Borders>
              <w:bottom w:val="single" w:sz="4" w:space="0" w:color="auto"/>
            </w:tcBorders>
          </w:tcPr>
          <w:p w:rsidR="00E91EA3" w:rsidRPr="004273CC" w:rsidRDefault="00E91EA3" w:rsidP="00065FB5">
            <w:pPr>
              <w:tabs>
                <w:tab w:val="left" w:pos="510"/>
              </w:tabs>
              <w:jc w:val="right"/>
              <w:rPr>
                <w:lang w:val="lt-LT"/>
              </w:rPr>
            </w:pPr>
          </w:p>
        </w:tc>
        <w:tc>
          <w:tcPr>
            <w:tcW w:w="4463" w:type="dxa"/>
            <w:gridSpan w:val="22"/>
            <w:tcBorders>
              <w:bottom w:val="single" w:sz="4" w:space="0" w:color="auto"/>
            </w:tcBorders>
          </w:tcPr>
          <w:p w:rsidR="00E91EA3" w:rsidRPr="004273CC" w:rsidRDefault="00E91EA3"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033" w:type="dxa"/>
            <w:gridSpan w:val="3"/>
            <w:tcBorders>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E91EA3" w:rsidRPr="00C903A7" w:rsidRDefault="00E91EA3" w:rsidP="00065FB5">
            <w:pPr>
              <w:tabs>
                <w:tab w:val="left" w:pos="510"/>
              </w:tabs>
              <w:jc w:val="center"/>
              <w:rPr>
                <w:b/>
                <w:lang w:val="lt-LT"/>
              </w:rPr>
            </w:pPr>
            <w:r>
              <w:rPr>
                <w:b/>
                <w:lang w:val="lt-LT"/>
              </w:rPr>
              <w:t>80</w:t>
            </w:r>
          </w:p>
        </w:tc>
        <w:tc>
          <w:tcPr>
            <w:tcW w:w="1218" w:type="dxa"/>
            <w:gridSpan w:val="9"/>
            <w:tcBorders>
              <w:top w:val="nil"/>
              <w:left w:val="single" w:sz="4" w:space="0" w:color="auto"/>
              <w:bottom w:val="single" w:sz="4" w:space="0" w:color="auto"/>
              <w:right w:val="single" w:sz="4" w:space="0" w:color="auto"/>
            </w:tcBorders>
          </w:tcPr>
          <w:p w:rsidR="00E91EA3" w:rsidRPr="00C903A7" w:rsidRDefault="00E91EA3" w:rsidP="00065FB5">
            <w:pPr>
              <w:tabs>
                <w:tab w:val="left" w:pos="510"/>
              </w:tabs>
              <w:jc w:val="both"/>
              <w:rPr>
                <w:b/>
                <w:lang w:val="lt-LT"/>
              </w:rPr>
            </w:pPr>
            <w:r>
              <w:rPr>
                <w:b/>
                <w:lang w:val="lt-LT"/>
              </w:rPr>
              <w:t>DIDELĖ</w:t>
            </w:r>
          </w:p>
        </w:tc>
        <w:tc>
          <w:tcPr>
            <w:tcW w:w="1014" w:type="dxa"/>
            <w:gridSpan w:val="7"/>
            <w:vMerge/>
            <w:tcBorders>
              <w:left w:val="single" w:sz="4" w:space="0" w:color="auto"/>
              <w:bottom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132" w:type="dxa"/>
            <w:gridSpan w:val="8"/>
            <w:tcBorders>
              <w:left w:val="single" w:sz="4" w:space="0" w:color="auto"/>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E91EA3" w:rsidRPr="00404FB8" w:rsidRDefault="00E91EA3" w:rsidP="00065FB5">
            <w:pPr>
              <w:tabs>
                <w:tab w:val="left" w:pos="510"/>
              </w:tabs>
              <w:jc w:val="center"/>
              <w:rPr>
                <w:b/>
                <w:lang w:val="lt-LT"/>
              </w:rPr>
            </w:pPr>
            <w:r>
              <w:rPr>
                <w:b/>
                <w:lang w:val="lt-LT"/>
              </w:rPr>
              <w:t>71</w:t>
            </w:r>
          </w:p>
        </w:tc>
        <w:tc>
          <w:tcPr>
            <w:tcW w:w="1133" w:type="dxa"/>
            <w:gridSpan w:val="6"/>
            <w:tcBorders>
              <w:top w:val="nil"/>
              <w:left w:val="single" w:sz="4" w:space="0" w:color="auto"/>
              <w:bottom w:val="single" w:sz="4" w:space="0" w:color="auto"/>
              <w:right w:val="single" w:sz="4" w:space="0" w:color="auto"/>
            </w:tcBorders>
          </w:tcPr>
          <w:p w:rsidR="00E91EA3" w:rsidRPr="00404FB8" w:rsidRDefault="00E91EA3" w:rsidP="00065FB5">
            <w:pPr>
              <w:tabs>
                <w:tab w:val="left" w:pos="510"/>
              </w:tabs>
              <w:jc w:val="center"/>
              <w:rPr>
                <w:b/>
                <w:lang w:val="lt-LT"/>
              </w:rPr>
            </w:pPr>
            <w:r w:rsidRPr="00404FB8">
              <w:rPr>
                <w:b/>
                <w:lang w:val="lt-LT"/>
              </w:rPr>
              <w:t>DIDELĖ</w:t>
            </w:r>
          </w:p>
        </w:tc>
        <w:tc>
          <w:tcPr>
            <w:tcW w:w="1441" w:type="dxa"/>
            <w:gridSpan w:val="2"/>
            <w:vMerge/>
            <w:tcBorders>
              <w:left w:val="single" w:sz="4" w:space="0" w:color="auto"/>
              <w:bottom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DB5932">
        <w:trPr>
          <w:cantSplit/>
        </w:trPr>
        <w:tc>
          <w:tcPr>
            <w:tcW w:w="13858" w:type="dxa"/>
            <w:gridSpan w:val="75"/>
            <w:tcBorders>
              <w:left w:val="nil"/>
              <w:bottom w:val="nil"/>
              <w:right w:val="nil"/>
            </w:tcBorders>
            <w:shd w:val="clear" w:color="auto" w:fill="auto"/>
          </w:tcPr>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1C0D02" w:rsidRDefault="001C0D02" w:rsidP="00065FB5">
            <w:pPr>
              <w:tabs>
                <w:tab w:val="left" w:pos="510"/>
              </w:tabs>
              <w:jc w:val="both"/>
              <w:rPr>
                <w:lang w:val="lt-LT"/>
              </w:rPr>
            </w:pPr>
          </w:p>
          <w:p w:rsidR="00BE37DF" w:rsidRPr="00BE37DF" w:rsidRDefault="00BE37DF" w:rsidP="00065FB5">
            <w:pPr>
              <w:tabs>
                <w:tab w:val="left" w:pos="510"/>
              </w:tabs>
              <w:jc w:val="both"/>
              <w:rPr>
                <w:sz w:val="16"/>
                <w:szCs w:val="16"/>
                <w:lang w:val="lt-LT"/>
              </w:rPr>
            </w:pPr>
          </w:p>
          <w:p w:rsidR="00E91EA3" w:rsidRPr="004273CC" w:rsidRDefault="00E91EA3" w:rsidP="00065FB5">
            <w:pPr>
              <w:tabs>
                <w:tab w:val="left" w:pos="510"/>
              </w:tabs>
              <w:jc w:val="both"/>
              <w:rPr>
                <w:lang w:val="lt-LT"/>
              </w:rPr>
            </w:pPr>
          </w:p>
        </w:tc>
      </w:tr>
      <w:tr w:rsidR="00E91EA3" w:rsidRPr="004273CC" w:rsidTr="00DB5932">
        <w:trPr>
          <w:cantSplit/>
        </w:trPr>
        <w:tc>
          <w:tcPr>
            <w:tcW w:w="13858" w:type="dxa"/>
            <w:gridSpan w:val="75"/>
            <w:tcBorders>
              <w:top w:val="nil"/>
              <w:left w:val="nil"/>
              <w:right w:val="nil"/>
            </w:tcBorders>
            <w:shd w:val="clear" w:color="auto" w:fill="auto"/>
          </w:tcPr>
          <w:p w:rsidR="00E91EA3" w:rsidRDefault="00E91EA3" w:rsidP="00065FB5">
            <w:pPr>
              <w:tabs>
                <w:tab w:val="left" w:pos="510"/>
              </w:tabs>
              <w:jc w:val="both"/>
              <w:rPr>
                <w:lang w:val="lt-LT"/>
              </w:rPr>
            </w:pPr>
          </w:p>
        </w:tc>
      </w:tr>
      <w:tr w:rsidR="00E91EA3" w:rsidRPr="004273CC" w:rsidTr="001C0D02">
        <w:trPr>
          <w:cantSplit/>
          <w:trHeight w:val="276"/>
        </w:trPr>
        <w:tc>
          <w:tcPr>
            <w:tcW w:w="4236" w:type="dxa"/>
            <w:gridSpan w:val="8"/>
            <w:vMerge w:val="restart"/>
          </w:tcPr>
          <w:p w:rsidR="00E91EA3" w:rsidRPr="004273CC" w:rsidRDefault="00E91EA3" w:rsidP="00065FB5">
            <w:pPr>
              <w:tabs>
                <w:tab w:val="left" w:pos="510"/>
              </w:tabs>
              <w:ind w:left="113" w:right="113"/>
              <w:jc w:val="center"/>
              <w:rPr>
                <w:b/>
                <w:lang w:val="lt-LT"/>
              </w:rPr>
            </w:pPr>
            <w:r>
              <w:rPr>
                <w:b/>
                <w:lang w:val="lt-LT"/>
              </w:rPr>
              <w:t>Finansinių ataskaitų elemento ir/ar jo tvirtinimo pobūdis ir jam taikoma vidaus kontrolės sistema</w:t>
            </w:r>
          </w:p>
        </w:tc>
        <w:tc>
          <w:tcPr>
            <w:tcW w:w="553"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IR / KR</w:t>
            </w:r>
          </w:p>
          <w:p w:rsidR="00E91EA3" w:rsidRPr="004273CC" w:rsidRDefault="00E91EA3" w:rsidP="00065FB5">
            <w:pPr>
              <w:tabs>
                <w:tab w:val="left" w:pos="510"/>
              </w:tabs>
              <w:ind w:left="113" w:right="113"/>
              <w:jc w:val="center"/>
              <w:rPr>
                <w:lang w:val="lt-LT"/>
              </w:rPr>
            </w:pPr>
          </w:p>
        </w:tc>
        <w:tc>
          <w:tcPr>
            <w:tcW w:w="3955" w:type="dxa"/>
            <w:gridSpan w:val="29"/>
          </w:tcPr>
          <w:p w:rsidR="00E91EA3" w:rsidRPr="004273CC" w:rsidRDefault="00E91EA3" w:rsidP="00065FB5">
            <w:pPr>
              <w:tabs>
                <w:tab w:val="left" w:pos="510"/>
              </w:tabs>
              <w:jc w:val="center"/>
              <w:rPr>
                <w:lang w:val="lt-LT"/>
              </w:rPr>
            </w:pPr>
            <w:r>
              <w:rPr>
                <w:b/>
                <w:lang w:val="lt-LT"/>
              </w:rPr>
              <w:t>UAB „Šiluma“</w:t>
            </w:r>
          </w:p>
        </w:tc>
        <w:tc>
          <w:tcPr>
            <w:tcW w:w="4547" w:type="dxa"/>
            <w:gridSpan w:val="24"/>
          </w:tcPr>
          <w:p w:rsidR="00E91EA3" w:rsidRPr="004273CC" w:rsidRDefault="00E91EA3" w:rsidP="00065FB5">
            <w:pPr>
              <w:tabs>
                <w:tab w:val="left" w:pos="510"/>
              </w:tabs>
              <w:jc w:val="center"/>
              <w:rPr>
                <w:lang w:val="lt-LT"/>
              </w:rPr>
            </w:pPr>
            <w:r>
              <w:rPr>
                <w:b/>
                <w:lang w:val="lt-LT"/>
              </w:rPr>
              <w:t>UAB „Žuvila“</w:t>
            </w:r>
          </w:p>
        </w:tc>
      </w:tr>
      <w:tr w:rsidR="00E91EA3" w:rsidRPr="004273CC" w:rsidTr="001C0D02">
        <w:trPr>
          <w:cantSplit/>
        </w:trPr>
        <w:tc>
          <w:tcPr>
            <w:tcW w:w="4236" w:type="dxa"/>
            <w:gridSpan w:val="8"/>
            <w:vMerge/>
          </w:tcPr>
          <w:p w:rsidR="00E91EA3" w:rsidRPr="004273CC" w:rsidRDefault="00E91EA3" w:rsidP="00065FB5">
            <w:pPr>
              <w:tabs>
                <w:tab w:val="left" w:pos="510"/>
              </w:tabs>
              <w:jc w:val="center"/>
              <w:rPr>
                <w:b/>
                <w:lang w:val="lt-LT"/>
              </w:rPr>
            </w:pPr>
          </w:p>
        </w:tc>
        <w:tc>
          <w:tcPr>
            <w:tcW w:w="553" w:type="dxa"/>
            <w:gridSpan w:val="7"/>
            <w:vMerge/>
            <w:vAlign w:val="center"/>
          </w:tcPr>
          <w:p w:rsidR="00E91EA3" w:rsidRPr="004273CC" w:rsidRDefault="00E91EA3" w:rsidP="00065FB5">
            <w:pPr>
              <w:tabs>
                <w:tab w:val="left" w:pos="510"/>
              </w:tabs>
              <w:jc w:val="center"/>
              <w:rPr>
                <w:b/>
                <w:lang w:val="lt-LT"/>
              </w:rPr>
            </w:pPr>
          </w:p>
        </w:tc>
        <w:tc>
          <w:tcPr>
            <w:tcW w:w="567" w:type="dxa"/>
            <w:gridSpan w:val="7"/>
            <w:vMerge/>
            <w:vAlign w:val="center"/>
          </w:tcPr>
          <w:p w:rsidR="00E91EA3" w:rsidRPr="004273CC" w:rsidRDefault="00E91EA3" w:rsidP="00065FB5">
            <w:pPr>
              <w:tabs>
                <w:tab w:val="left" w:pos="510"/>
              </w:tabs>
              <w:jc w:val="center"/>
              <w:rPr>
                <w:lang w:val="lt-LT"/>
              </w:rPr>
            </w:pPr>
          </w:p>
        </w:tc>
        <w:tc>
          <w:tcPr>
            <w:tcW w:w="2949" w:type="dxa"/>
            <w:gridSpan w:val="21"/>
            <w:vAlign w:val="center"/>
          </w:tcPr>
          <w:p w:rsidR="00E91EA3" w:rsidRPr="004273CC" w:rsidRDefault="00E91EA3" w:rsidP="00065FB5">
            <w:pPr>
              <w:tabs>
                <w:tab w:val="left" w:pos="510"/>
              </w:tabs>
              <w:jc w:val="center"/>
              <w:rPr>
                <w:lang w:val="lt-LT"/>
              </w:rPr>
            </w:pPr>
            <w:r w:rsidRPr="004273CC">
              <w:rPr>
                <w:b/>
                <w:lang w:val="lt-LT"/>
              </w:rPr>
              <w:t>Rizikos vertinima</w:t>
            </w:r>
            <w:r>
              <w:rPr>
                <w:b/>
                <w:lang w:val="lt-LT"/>
              </w:rPr>
              <w:t>s</w:t>
            </w:r>
          </w:p>
        </w:tc>
        <w:tc>
          <w:tcPr>
            <w:tcW w:w="1006" w:type="dxa"/>
            <w:gridSpan w:val="8"/>
            <w:vMerge w:val="restart"/>
            <w:vAlign w:val="center"/>
          </w:tcPr>
          <w:p w:rsidR="00E91EA3" w:rsidRPr="004273CC" w:rsidRDefault="00E91EA3" w:rsidP="00065FB5">
            <w:pPr>
              <w:tabs>
                <w:tab w:val="left" w:pos="510"/>
              </w:tabs>
              <w:jc w:val="center"/>
              <w:rPr>
                <w:lang w:val="lt-LT"/>
              </w:rPr>
            </w:pPr>
            <w:r w:rsidRPr="004273CC">
              <w:rPr>
                <w:b/>
                <w:lang w:val="lt-LT"/>
              </w:rPr>
              <w:t>Pastabos</w:t>
            </w:r>
          </w:p>
        </w:tc>
        <w:tc>
          <w:tcPr>
            <w:tcW w:w="2900" w:type="dxa"/>
            <w:gridSpan w:val="19"/>
          </w:tcPr>
          <w:p w:rsidR="00E91EA3" w:rsidRPr="004273CC" w:rsidRDefault="00E91EA3" w:rsidP="00065FB5">
            <w:pPr>
              <w:tabs>
                <w:tab w:val="left" w:pos="510"/>
              </w:tabs>
              <w:jc w:val="center"/>
              <w:rPr>
                <w:lang w:val="lt-LT"/>
              </w:rPr>
            </w:pPr>
            <w:r w:rsidRPr="004273CC">
              <w:rPr>
                <w:b/>
                <w:lang w:val="lt-LT"/>
              </w:rPr>
              <w:t>Rizikos vertinimas</w:t>
            </w:r>
          </w:p>
        </w:tc>
        <w:tc>
          <w:tcPr>
            <w:tcW w:w="1647" w:type="dxa"/>
            <w:gridSpan w:val="5"/>
            <w:vAlign w:val="center"/>
          </w:tcPr>
          <w:p w:rsidR="00E91EA3" w:rsidRPr="004273CC" w:rsidRDefault="00E91EA3" w:rsidP="00065FB5">
            <w:pPr>
              <w:tabs>
                <w:tab w:val="left" w:pos="510"/>
              </w:tabs>
              <w:jc w:val="center"/>
              <w:rPr>
                <w:lang w:val="lt-LT"/>
              </w:rPr>
            </w:pPr>
            <w:r w:rsidRPr="004273CC">
              <w:rPr>
                <w:b/>
                <w:lang w:val="lt-LT"/>
              </w:rPr>
              <w:t>Pastabos</w:t>
            </w:r>
          </w:p>
        </w:tc>
      </w:tr>
      <w:tr w:rsidR="00E91EA3" w:rsidRPr="004273CC" w:rsidTr="001C0D02">
        <w:trPr>
          <w:cantSplit/>
          <w:trHeight w:val="556"/>
        </w:trPr>
        <w:tc>
          <w:tcPr>
            <w:tcW w:w="796" w:type="dxa"/>
            <w:gridSpan w:val="2"/>
          </w:tcPr>
          <w:p w:rsidR="00E91EA3" w:rsidRPr="005618BC" w:rsidRDefault="00E91EA3" w:rsidP="00065FB5">
            <w:pPr>
              <w:tabs>
                <w:tab w:val="left" w:pos="510"/>
              </w:tabs>
              <w:jc w:val="center"/>
              <w:rPr>
                <w:b/>
                <w:lang w:val="lt-LT"/>
              </w:rPr>
            </w:pPr>
            <w:r>
              <w:rPr>
                <w:b/>
                <w:lang w:val="lt-LT"/>
              </w:rPr>
              <w:t>Tipas</w:t>
            </w:r>
          </w:p>
        </w:tc>
        <w:tc>
          <w:tcPr>
            <w:tcW w:w="3440" w:type="dxa"/>
            <w:gridSpan w:val="6"/>
          </w:tcPr>
          <w:p w:rsidR="00E91EA3" w:rsidRPr="004273CC" w:rsidRDefault="00E91EA3" w:rsidP="00065FB5">
            <w:pPr>
              <w:tabs>
                <w:tab w:val="left" w:pos="510"/>
              </w:tabs>
              <w:jc w:val="center"/>
              <w:rPr>
                <w:lang w:val="lt-LT"/>
              </w:rPr>
            </w:pPr>
            <w:r w:rsidRPr="005618BC">
              <w:rPr>
                <w:b/>
                <w:lang w:val="lt-LT"/>
              </w:rPr>
              <w:t>Veiksniai</w:t>
            </w:r>
          </w:p>
        </w:tc>
        <w:tc>
          <w:tcPr>
            <w:tcW w:w="553" w:type="dxa"/>
            <w:gridSpan w:val="7"/>
            <w:vMerge/>
          </w:tcPr>
          <w:p w:rsidR="00E91EA3" w:rsidRPr="004273CC" w:rsidRDefault="00E91EA3" w:rsidP="00065FB5">
            <w:pPr>
              <w:tabs>
                <w:tab w:val="left" w:pos="510"/>
              </w:tabs>
              <w:jc w:val="center"/>
              <w:rPr>
                <w:lang w:val="lt-LT"/>
              </w:rPr>
            </w:pPr>
          </w:p>
        </w:tc>
        <w:tc>
          <w:tcPr>
            <w:tcW w:w="567" w:type="dxa"/>
            <w:gridSpan w:val="7"/>
            <w:vMerge/>
          </w:tcPr>
          <w:p w:rsidR="00E91EA3" w:rsidRPr="004273CC" w:rsidRDefault="00E91EA3" w:rsidP="00065FB5">
            <w:pPr>
              <w:tabs>
                <w:tab w:val="left" w:pos="510"/>
              </w:tabs>
              <w:jc w:val="center"/>
              <w:rPr>
                <w:lang w:val="lt-LT"/>
              </w:rPr>
            </w:pPr>
          </w:p>
        </w:tc>
        <w:tc>
          <w:tcPr>
            <w:tcW w:w="1147" w:type="dxa"/>
            <w:gridSpan w:val="7"/>
          </w:tcPr>
          <w:p w:rsidR="00E91EA3" w:rsidRPr="004273CC" w:rsidRDefault="00E91EA3" w:rsidP="00065FB5">
            <w:pPr>
              <w:tabs>
                <w:tab w:val="left" w:pos="510"/>
              </w:tabs>
              <w:jc w:val="center"/>
              <w:rPr>
                <w:lang w:val="lt-LT"/>
              </w:rPr>
            </w:pPr>
            <w:r w:rsidRPr="004273CC">
              <w:rPr>
                <w:lang w:val="lt-LT"/>
              </w:rPr>
              <w:t>Tikimybė (1-5)</w:t>
            </w:r>
          </w:p>
        </w:tc>
        <w:tc>
          <w:tcPr>
            <w:tcW w:w="709" w:type="dxa"/>
            <w:gridSpan w:val="8"/>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093" w:type="dxa"/>
            <w:gridSpan w:val="6"/>
          </w:tcPr>
          <w:p w:rsidR="00E91EA3" w:rsidRPr="004273CC" w:rsidRDefault="00E91EA3" w:rsidP="00065FB5">
            <w:pPr>
              <w:tabs>
                <w:tab w:val="left" w:pos="510"/>
              </w:tabs>
              <w:jc w:val="center"/>
              <w:rPr>
                <w:lang w:val="lt-LT"/>
              </w:rPr>
            </w:pPr>
            <w:r w:rsidRPr="004273CC">
              <w:rPr>
                <w:lang w:val="lt-LT"/>
              </w:rPr>
              <w:t>Tikimybė * Įtaka</w:t>
            </w:r>
          </w:p>
        </w:tc>
        <w:tc>
          <w:tcPr>
            <w:tcW w:w="1006" w:type="dxa"/>
            <w:gridSpan w:val="8"/>
            <w:vMerge/>
          </w:tcPr>
          <w:p w:rsidR="00E91EA3" w:rsidRPr="004273CC" w:rsidRDefault="00E91EA3" w:rsidP="00065FB5">
            <w:pPr>
              <w:tabs>
                <w:tab w:val="left" w:pos="510"/>
              </w:tabs>
              <w:jc w:val="center"/>
              <w:rPr>
                <w:lang w:val="lt-LT"/>
              </w:rPr>
            </w:pPr>
          </w:p>
        </w:tc>
        <w:tc>
          <w:tcPr>
            <w:tcW w:w="1059" w:type="dxa"/>
            <w:gridSpan w:val="5"/>
          </w:tcPr>
          <w:p w:rsidR="00E91EA3" w:rsidRPr="004273CC" w:rsidRDefault="00E91EA3" w:rsidP="00065FB5">
            <w:pPr>
              <w:tabs>
                <w:tab w:val="left" w:pos="510"/>
              </w:tabs>
              <w:jc w:val="center"/>
              <w:rPr>
                <w:lang w:val="lt-LT"/>
              </w:rPr>
            </w:pPr>
            <w:r w:rsidRPr="004273CC">
              <w:rPr>
                <w:lang w:val="lt-LT"/>
              </w:rPr>
              <w:t>Tikimybė (1-5)</w:t>
            </w:r>
          </w:p>
        </w:tc>
        <w:tc>
          <w:tcPr>
            <w:tcW w:w="708" w:type="dxa"/>
            <w:gridSpan w:val="7"/>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33" w:type="dxa"/>
            <w:gridSpan w:val="7"/>
          </w:tcPr>
          <w:p w:rsidR="00E91EA3" w:rsidRPr="004273CC" w:rsidRDefault="00E91EA3" w:rsidP="00065FB5">
            <w:pPr>
              <w:tabs>
                <w:tab w:val="left" w:pos="510"/>
              </w:tabs>
              <w:jc w:val="center"/>
              <w:rPr>
                <w:lang w:val="lt-LT"/>
              </w:rPr>
            </w:pPr>
            <w:r w:rsidRPr="004273CC">
              <w:rPr>
                <w:lang w:val="lt-LT"/>
              </w:rPr>
              <w:t>Tikimybė * Įtaka</w:t>
            </w:r>
          </w:p>
        </w:tc>
        <w:tc>
          <w:tcPr>
            <w:tcW w:w="1647" w:type="dxa"/>
            <w:gridSpan w:val="5"/>
            <w:vAlign w:val="center"/>
          </w:tcPr>
          <w:p w:rsidR="00E91EA3" w:rsidRPr="004273CC" w:rsidRDefault="00E91EA3" w:rsidP="00065FB5">
            <w:pPr>
              <w:tabs>
                <w:tab w:val="left" w:pos="510"/>
              </w:tabs>
              <w:jc w:val="center"/>
              <w:rPr>
                <w:lang w:val="lt-LT"/>
              </w:rPr>
            </w:pPr>
          </w:p>
        </w:tc>
      </w:tr>
      <w:tr w:rsidR="00E91EA3" w:rsidRPr="004273CC" w:rsidTr="001C0D02">
        <w:trPr>
          <w:cantSplit/>
        </w:trPr>
        <w:tc>
          <w:tcPr>
            <w:tcW w:w="796" w:type="dxa"/>
            <w:gridSpan w:val="2"/>
            <w:vMerge w:val="restart"/>
            <w:textDirection w:val="btLr"/>
          </w:tcPr>
          <w:p w:rsidR="00E91EA3" w:rsidRPr="002E2396" w:rsidRDefault="00E91EA3" w:rsidP="00065FB5">
            <w:pPr>
              <w:tabs>
                <w:tab w:val="left" w:pos="510"/>
              </w:tabs>
              <w:ind w:left="113" w:right="113"/>
              <w:jc w:val="center"/>
              <w:rPr>
                <w:b/>
                <w:sz w:val="18"/>
                <w:lang w:val="lt-LT"/>
              </w:rPr>
            </w:pPr>
            <w:r w:rsidRPr="002E2396">
              <w:rPr>
                <w:b/>
                <w:sz w:val="18"/>
                <w:lang w:val="lt-LT"/>
              </w:rPr>
              <w:t>Per vienerius metus gautinos sumos</w:t>
            </w:r>
          </w:p>
        </w:tc>
        <w:tc>
          <w:tcPr>
            <w:tcW w:w="3440" w:type="dxa"/>
            <w:gridSpan w:val="6"/>
          </w:tcPr>
          <w:p w:rsidR="00E91EA3" w:rsidRPr="002E2396" w:rsidRDefault="00E91EA3" w:rsidP="00065FB5">
            <w:pPr>
              <w:tabs>
                <w:tab w:val="left" w:pos="510"/>
              </w:tabs>
              <w:jc w:val="both"/>
              <w:rPr>
                <w:sz w:val="18"/>
                <w:lang w:val="lt-LT"/>
              </w:rPr>
            </w:pPr>
            <w:r w:rsidRPr="002E2396">
              <w:rPr>
                <w:sz w:val="18"/>
                <w:lang w:val="lt-LT"/>
              </w:rPr>
              <w:t>Nėra kontroliuojamos gautos sumos iš klientų (ar teisingai įregistruota pagal banko ar kitą informaciją)</w:t>
            </w:r>
          </w:p>
        </w:tc>
        <w:tc>
          <w:tcPr>
            <w:tcW w:w="553" w:type="dxa"/>
            <w:gridSpan w:val="7"/>
          </w:tcPr>
          <w:p w:rsidR="00E91EA3" w:rsidRDefault="00E91EA3" w:rsidP="00065FB5">
            <w:pPr>
              <w:tabs>
                <w:tab w:val="left" w:pos="510"/>
              </w:tabs>
              <w:jc w:val="both"/>
              <w:rPr>
                <w:lang w:val="lt-LT"/>
              </w:rPr>
            </w:pPr>
            <w:r>
              <w:rPr>
                <w:lang w:val="lt-LT"/>
              </w:rPr>
              <w:t>I</w:t>
            </w:r>
          </w:p>
        </w:tc>
        <w:tc>
          <w:tcPr>
            <w:tcW w:w="567" w:type="dxa"/>
            <w:gridSpan w:val="7"/>
          </w:tcPr>
          <w:p w:rsidR="00E91EA3" w:rsidRPr="004273CC" w:rsidRDefault="00E91EA3" w:rsidP="00065FB5">
            <w:pPr>
              <w:tabs>
                <w:tab w:val="left" w:pos="510"/>
              </w:tabs>
              <w:jc w:val="both"/>
              <w:rPr>
                <w:lang w:val="lt-LT"/>
              </w:rPr>
            </w:pPr>
          </w:p>
        </w:tc>
        <w:tc>
          <w:tcPr>
            <w:tcW w:w="1147" w:type="dxa"/>
            <w:gridSpan w:val="7"/>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93" w:type="dxa"/>
            <w:gridSpan w:val="6"/>
          </w:tcPr>
          <w:p w:rsidR="00E91EA3" w:rsidRPr="004273CC" w:rsidRDefault="00E91EA3" w:rsidP="00065FB5">
            <w:pPr>
              <w:tabs>
                <w:tab w:val="left" w:pos="510"/>
              </w:tabs>
              <w:jc w:val="both"/>
              <w:rPr>
                <w:lang w:val="lt-LT"/>
              </w:rPr>
            </w:pPr>
          </w:p>
        </w:tc>
        <w:tc>
          <w:tcPr>
            <w:tcW w:w="1006" w:type="dxa"/>
            <w:gridSpan w:val="8"/>
          </w:tcPr>
          <w:p w:rsidR="00E91EA3" w:rsidRPr="004273CC" w:rsidRDefault="00E91EA3" w:rsidP="00065FB5">
            <w:pPr>
              <w:tabs>
                <w:tab w:val="left" w:pos="510"/>
              </w:tabs>
              <w:jc w:val="both"/>
              <w:rPr>
                <w:lang w:val="lt-LT"/>
              </w:rPr>
            </w:pPr>
          </w:p>
        </w:tc>
        <w:tc>
          <w:tcPr>
            <w:tcW w:w="1059" w:type="dxa"/>
            <w:gridSpan w:val="5"/>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extDirection w:val="btLr"/>
          </w:tcPr>
          <w:p w:rsidR="00E91EA3" w:rsidRPr="002E2396" w:rsidRDefault="00E91EA3" w:rsidP="00065FB5">
            <w:pPr>
              <w:tabs>
                <w:tab w:val="left" w:pos="510"/>
              </w:tabs>
              <w:ind w:left="113" w:right="113"/>
              <w:jc w:val="center"/>
              <w:rPr>
                <w:b/>
                <w:sz w:val="18"/>
                <w:lang w:val="lt-LT"/>
              </w:rPr>
            </w:pPr>
          </w:p>
        </w:tc>
        <w:tc>
          <w:tcPr>
            <w:tcW w:w="3440" w:type="dxa"/>
            <w:gridSpan w:val="6"/>
          </w:tcPr>
          <w:p w:rsidR="00E91EA3" w:rsidRPr="002E2396" w:rsidRDefault="00E91EA3" w:rsidP="00065FB5">
            <w:pPr>
              <w:tabs>
                <w:tab w:val="left" w:pos="510"/>
              </w:tabs>
              <w:jc w:val="both"/>
              <w:rPr>
                <w:sz w:val="18"/>
                <w:lang w:val="lt-LT"/>
              </w:rPr>
            </w:pPr>
            <w:r w:rsidRPr="002E2396">
              <w:rPr>
                <w:sz w:val="18"/>
                <w:lang w:val="lt-LT"/>
              </w:rPr>
              <w:t xml:space="preserve">Pardavimo operacijos registruojamos automatiškai </w:t>
            </w:r>
          </w:p>
        </w:tc>
        <w:tc>
          <w:tcPr>
            <w:tcW w:w="553" w:type="dxa"/>
            <w:gridSpan w:val="7"/>
          </w:tcPr>
          <w:p w:rsidR="00E91EA3" w:rsidRDefault="00E91EA3" w:rsidP="00065FB5">
            <w:pPr>
              <w:tabs>
                <w:tab w:val="left" w:pos="510"/>
              </w:tabs>
              <w:jc w:val="both"/>
              <w:rPr>
                <w:lang w:val="lt-LT"/>
              </w:rPr>
            </w:pPr>
            <w:r>
              <w:rPr>
                <w:lang w:val="lt-LT"/>
              </w:rPr>
              <w:t>B, I</w:t>
            </w:r>
          </w:p>
        </w:tc>
        <w:tc>
          <w:tcPr>
            <w:tcW w:w="567" w:type="dxa"/>
            <w:gridSpan w:val="7"/>
          </w:tcPr>
          <w:p w:rsidR="00E91EA3" w:rsidRDefault="00E91EA3" w:rsidP="00065FB5">
            <w:pPr>
              <w:tabs>
                <w:tab w:val="left" w:pos="510"/>
              </w:tabs>
              <w:jc w:val="both"/>
              <w:rPr>
                <w:lang w:val="lt-LT"/>
              </w:rPr>
            </w:pPr>
            <w:r>
              <w:rPr>
                <w:lang w:val="lt-LT"/>
              </w:rPr>
              <w:t>IR</w:t>
            </w:r>
          </w:p>
          <w:p w:rsidR="00E91EA3" w:rsidRPr="004273CC" w:rsidRDefault="00E91EA3" w:rsidP="00065FB5">
            <w:pPr>
              <w:tabs>
                <w:tab w:val="left" w:pos="510"/>
              </w:tabs>
              <w:jc w:val="both"/>
              <w:rPr>
                <w:lang w:val="lt-LT"/>
              </w:rPr>
            </w:pPr>
            <w:r>
              <w:rPr>
                <w:lang w:val="lt-LT"/>
              </w:rPr>
              <w:t>KR</w:t>
            </w:r>
          </w:p>
        </w:tc>
        <w:tc>
          <w:tcPr>
            <w:tcW w:w="1147" w:type="dxa"/>
            <w:gridSpan w:val="7"/>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93" w:type="dxa"/>
            <w:gridSpan w:val="6"/>
          </w:tcPr>
          <w:p w:rsidR="00E91EA3" w:rsidRPr="004273CC" w:rsidRDefault="00E91EA3" w:rsidP="00065FB5">
            <w:pPr>
              <w:tabs>
                <w:tab w:val="left" w:pos="510"/>
              </w:tabs>
              <w:jc w:val="both"/>
              <w:rPr>
                <w:lang w:val="lt-LT"/>
              </w:rPr>
            </w:pPr>
          </w:p>
        </w:tc>
        <w:tc>
          <w:tcPr>
            <w:tcW w:w="1006" w:type="dxa"/>
            <w:gridSpan w:val="8"/>
          </w:tcPr>
          <w:p w:rsidR="00E91EA3" w:rsidRPr="004273CC" w:rsidRDefault="00E91EA3" w:rsidP="00065FB5">
            <w:pPr>
              <w:tabs>
                <w:tab w:val="left" w:pos="510"/>
              </w:tabs>
              <w:jc w:val="both"/>
              <w:rPr>
                <w:lang w:val="lt-LT"/>
              </w:rPr>
            </w:pPr>
            <w:r>
              <w:rPr>
                <w:lang w:val="lt-LT"/>
              </w:rPr>
              <w:t>Taip</w:t>
            </w:r>
          </w:p>
        </w:tc>
        <w:tc>
          <w:tcPr>
            <w:tcW w:w="1059" w:type="dxa"/>
            <w:gridSpan w:val="5"/>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2E2396" w:rsidRDefault="00E91EA3" w:rsidP="00065FB5">
            <w:pPr>
              <w:tabs>
                <w:tab w:val="left" w:pos="510"/>
              </w:tabs>
              <w:jc w:val="both"/>
              <w:rPr>
                <w:sz w:val="18"/>
                <w:lang w:val="lt-LT"/>
              </w:rPr>
            </w:pPr>
          </w:p>
        </w:tc>
        <w:tc>
          <w:tcPr>
            <w:tcW w:w="3440" w:type="dxa"/>
            <w:gridSpan w:val="6"/>
          </w:tcPr>
          <w:p w:rsidR="00E91EA3" w:rsidRPr="002E2396" w:rsidRDefault="00E91EA3" w:rsidP="00065FB5">
            <w:pPr>
              <w:tabs>
                <w:tab w:val="left" w:pos="510"/>
              </w:tabs>
              <w:jc w:val="both"/>
              <w:rPr>
                <w:sz w:val="18"/>
                <w:lang w:val="lt-LT"/>
              </w:rPr>
            </w:pPr>
            <w:r w:rsidRPr="002E2396">
              <w:rPr>
                <w:sz w:val="18"/>
                <w:lang w:val="lt-LT"/>
              </w:rPr>
              <w:t>Neatliekama gautinų sumų iš klientų apžvalga</w:t>
            </w:r>
          </w:p>
        </w:tc>
        <w:tc>
          <w:tcPr>
            <w:tcW w:w="553" w:type="dxa"/>
            <w:gridSpan w:val="7"/>
          </w:tcPr>
          <w:p w:rsidR="00E91EA3" w:rsidRPr="004273CC" w:rsidRDefault="00E91EA3" w:rsidP="00065FB5">
            <w:pPr>
              <w:tabs>
                <w:tab w:val="left" w:pos="510"/>
              </w:tabs>
              <w:jc w:val="both"/>
              <w:rPr>
                <w:lang w:val="lt-LT"/>
              </w:rPr>
            </w:pPr>
            <w:r>
              <w:rPr>
                <w:lang w:val="lt-LT"/>
              </w:rPr>
              <w:t>B</w:t>
            </w:r>
          </w:p>
        </w:tc>
        <w:tc>
          <w:tcPr>
            <w:tcW w:w="567" w:type="dxa"/>
            <w:gridSpan w:val="7"/>
          </w:tcPr>
          <w:p w:rsidR="00E91EA3" w:rsidRPr="004273CC" w:rsidRDefault="00E91EA3" w:rsidP="00065FB5">
            <w:pPr>
              <w:tabs>
                <w:tab w:val="left" w:pos="510"/>
              </w:tabs>
              <w:jc w:val="both"/>
              <w:rPr>
                <w:lang w:val="lt-LT"/>
              </w:rPr>
            </w:pPr>
            <w:r>
              <w:rPr>
                <w:lang w:val="lt-LT"/>
              </w:rPr>
              <w:t>KR</w:t>
            </w:r>
          </w:p>
        </w:tc>
        <w:tc>
          <w:tcPr>
            <w:tcW w:w="1147" w:type="dxa"/>
            <w:gridSpan w:val="7"/>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93" w:type="dxa"/>
            <w:gridSpan w:val="6"/>
          </w:tcPr>
          <w:p w:rsidR="00E91EA3" w:rsidRPr="004273CC" w:rsidRDefault="00E91EA3" w:rsidP="00065FB5">
            <w:pPr>
              <w:tabs>
                <w:tab w:val="left" w:pos="510"/>
              </w:tabs>
              <w:jc w:val="both"/>
              <w:rPr>
                <w:lang w:val="lt-LT"/>
              </w:rPr>
            </w:pPr>
          </w:p>
        </w:tc>
        <w:tc>
          <w:tcPr>
            <w:tcW w:w="1006" w:type="dxa"/>
            <w:gridSpan w:val="8"/>
          </w:tcPr>
          <w:p w:rsidR="00E91EA3" w:rsidRPr="004273CC" w:rsidRDefault="00E91EA3" w:rsidP="00065FB5">
            <w:pPr>
              <w:tabs>
                <w:tab w:val="left" w:pos="510"/>
              </w:tabs>
              <w:jc w:val="both"/>
              <w:rPr>
                <w:lang w:val="lt-LT"/>
              </w:rPr>
            </w:pPr>
            <w:r>
              <w:rPr>
                <w:lang w:val="lt-LT"/>
              </w:rPr>
              <w:t>Atlieka</w:t>
            </w:r>
          </w:p>
        </w:tc>
        <w:tc>
          <w:tcPr>
            <w:tcW w:w="1059" w:type="dxa"/>
            <w:gridSpan w:val="5"/>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2E2396" w:rsidRDefault="00E91EA3" w:rsidP="00065FB5">
            <w:pPr>
              <w:tabs>
                <w:tab w:val="left" w:pos="510"/>
              </w:tabs>
              <w:jc w:val="both"/>
              <w:rPr>
                <w:sz w:val="18"/>
                <w:lang w:val="lt-LT"/>
              </w:rPr>
            </w:pPr>
          </w:p>
        </w:tc>
        <w:tc>
          <w:tcPr>
            <w:tcW w:w="3440" w:type="dxa"/>
            <w:gridSpan w:val="6"/>
          </w:tcPr>
          <w:p w:rsidR="00E91EA3" w:rsidRPr="002E2396" w:rsidRDefault="00E91EA3" w:rsidP="00065FB5">
            <w:pPr>
              <w:tabs>
                <w:tab w:val="left" w:pos="510"/>
              </w:tabs>
              <w:jc w:val="both"/>
              <w:rPr>
                <w:sz w:val="18"/>
                <w:lang w:val="lt-LT"/>
              </w:rPr>
            </w:pPr>
            <w:r w:rsidRPr="002E2396">
              <w:rPr>
                <w:sz w:val="18"/>
                <w:lang w:val="lt-LT"/>
              </w:rPr>
              <w:t>Nėra nustatyta pirkėjų skolų įvertinimo tvarka, taip pat kokios sumos laikomos abejotinomis</w:t>
            </w:r>
          </w:p>
        </w:tc>
        <w:tc>
          <w:tcPr>
            <w:tcW w:w="553" w:type="dxa"/>
            <w:gridSpan w:val="7"/>
          </w:tcPr>
          <w:p w:rsidR="00E91EA3" w:rsidRPr="004273CC" w:rsidRDefault="00E91EA3" w:rsidP="00065FB5">
            <w:pPr>
              <w:tabs>
                <w:tab w:val="left" w:pos="510"/>
              </w:tabs>
              <w:jc w:val="both"/>
              <w:rPr>
                <w:lang w:val="lt-LT"/>
              </w:rPr>
            </w:pPr>
            <w:r>
              <w:rPr>
                <w:lang w:val="lt-LT"/>
              </w:rPr>
              <w:t>V</w:t>
            </w:r>
          </w:p>
        </w:tc>
        <w:tc>
          <w:tcPr>
            <w:tcW w:w="567" w:type="dxa"/>
            <w:gridSpan w:val="7"/>
          </w:tcPr>
          <w:p w:rsidR="00E91EA3" w:rsidRPr="004273CC" w:rsidRDefault="00E91EA3" w:rsidP="00065FB5">
            <w:pPr>
              <w:tabs>
                <w:tab w:val="left" w:pos="510"/>
              </w:tabs>
              <w:jc w:val="both"/>
              <w:rPr>
                <w:lang w:val="lt-LT"/>
              </w:rPr>
            </w:pPr>
            <w:r>
              <w:rPr>
                <w:lang w:val="lt-LT"/>
              </w:rPr>
              <w:t>KR</w:t>
            </w:r>
          </w:p>
        </w:tc>
        <w:tc>
          <w:tcPr>
            <w:tcW w:w="1147" w:type="dxa"/>
            <w:gridSpan w:val="7"/>
          </w:tcPr>
          <w:p w:rsidR="00E91EA3" w:rsidRPr="00D62D94" w:rsidRDefault="00E91EA3" w:rsidP="00065FB5">
            <w:pPr>
              <w:tabs>
                <w:tab w:val="left" w:pos="510"/>
              </w:tabs>
              <w:jc w:val="center"/>
              <w:rPr>
                <w:b/>
                <w:lang w:val="lt-LT"/>
              </w:rPr>
            </w:pPr>
            <w:r w:rsidRPr="00D62D94">
              <w:rPr>
                <w:b/>
                <w:lang w:val="lt-LT"/>
              </w:rPr>
              <w:t>4</w:t>
            </w:r>
          </w:p>
        </w:tc>
        <w:tc>
          <w:tcPr>
            <w:tcW w:w="709" w:type="dxa"/>
            <w:gridSpan w:val="8"/>
          </w:tcPr>
          <w:p w:rsidR="00E91EA3" w:rsidRPr="00D62D94" w:rsidRDefault="00E91EA3" w:rsidP="00065FB5">
            <w:pPr>
              <w:tabs>
                <w:tab w:val="left" w:pos="510"/>
              </w:tabs>
              <w:jc w:val="center"/>
              <w:rPr>
                <w:b/>
                <w:lang w:val="lt-LT"/>
              </w:rPr>
            </w:pPr>
            <w:r w:rsidRPr="00D62D94">
              <w:rPr>
                <w:b/>
                <w:lang w:val="lt-LT"/>
              </w:rPr>
              <w:t>4</w:t>
            </w:r>
          </w:p>
        </w:tc>
        <w:tc>
          <w:tcPr>
            <w:tcW w:w="1093" w:type="dxa"/>
            <w:gridSpan w:val="6"/>
          </w:tcPr>
          <w:p w:rsidR="00E91EA3" w:rsidRPr="00D62D94" w:rsidRDefault="00E91EA3" w:rsidP="00065FB5">
            <w:pPr>
              <w:tabs>
                <w:tab w:val="left" w:pos="510"/>
              </w:tabs>
              <w:jc w:val="center"/>
              <w:rPr>
                <w:b/>
                <w:lang w:val="lt-LT"/>
              </w:rPr>
            </w:pPr>
            <w:r w:rsidRPr="00D62D94">
              <w:rPr>
                <w:b/>
                <w:lang w:val="lt-LT"/>
              </w:rPr>
              <w:t>16</w:t>
            </w:r>
          </w:p>
        </w:tc>
        <w:tc>
          <w:tcPr>
            <w:tcW w:w="1006" w:type="dxa"/>
            <w:gridSpan w:val="8"/>
          </w:tcPr>
          <w:p w:rsidR="00E91EA3" w:rsidRPr="004273CC" w:rsidRDefault="00E91EA3" w:rsidP="00065FB5">
            <w:pPr>
              <w:tabs>
                <w:tab w:val="left" w:pos="510"/>
              </w:tabs>
              <w:jc w:val="both"/>
              <w:rPr>
                <w:lang w:val="lt-LT"/>
              </w:rPr>
            </w:pPr>
          </w:p>
        </w:tc>
        <w:tc>
          <w:tcPr>
            <w:tcW w:w="1059" w:type="dxa"/>
            <w:gridSpan w:val="5"/>
          </w:tcPr>
          <w:p w:rsidR="00E91EA3" w:rsidRPr="00D36F01" w:rsidRDefault="00E91EA3" w:rsidP="00065FB5">
            <w:pPr>
              <w:tabs>
                <w:tab w:val="left" w:pos="510"/>
              </w:tabs>
              <w:jc w:val="center"/>
              <w:rPr>
                <w:b/>
                <w:lang w:val="lt-LT"/>
              </w:rPr>
            </w:pPr>
            <w:r w:rsidRPr="00D36F01">
              <w:rPr>
                <w:b/>
                <w:lang w:val="lt-LT"/>
              </w:rPr>
              <w:t>2</w:t>
            </w:r>
          </w:p>
        </w:tc>
        <w:tc>
          <w:tcPr>
            <w:tcW w:w="708" w:type="dxa"/>
            <w:gridSpan w:val="7"/>
          </w:tcPr>
          <w:p w:rsidR="00E91EA3" w:rsidRPr="00D36F01" w:rsidRDefault="00E91EA3" w:rsidP="00065FB5">
            <w:pPr>
              <w:tabs>
                <w:tab w:val="left" w:pos="510"/>
              </w:tabs>
              <w:jc w:val="center"/>
              <w:rPr>
                <w:b/>
                <w:lang w:val="lt-LT"/>
              </w:rPr>
            </w:pPr>
            <w:r w:rsidRPr="00D36F01">
              <w:rPr>
                <w:b/>
                <w:lang w:val="lt-LT"/>
              </w:rPr>
              <w:t>3</w:t>
            </w:r>
          </w:p>
        </w:tc>
        <w:tc>
          <w:tcPr>
            <w:tcW w:w="1133" w:type="dxa"/>
            <w:gridSpan w:val="7"/>
          </w:tcPr>
          <w:p w:rsidR="00E91EA3" w:rsidRPr="00D36F01" w:rsidRDefault="00E91EA3" w:rsidP="00065FB5">
            <w:pPr>
              <w:tabs>
                <w:tab w:val="left" w:pos="510"/>
              </w:tabs>
              <w:jc w:val="center"/>
              <w:rPr>
                <w:b/>
                <w:lang w:val="lt-LT"/>
              </w:rPr>
            </w:pPr>
            <w:r>
              <w:rPr>
                <w:b/>
                <w:lang w:val="lt-LT"/>
              </w:rPr>
              <w:t>6</w:t>
            </w: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2E2396" w:rsidRDefault="00E91EA3" w:rsidP="00065FB5">
            <w:pPr>
              <w:tabs>
                <w:tab w:val="left" w:pos="510"/>
              </w:tabs>
              <w:jc w:val="both"/>
              <w:rPr>
                <w:sz w:val="18"/>
                <w:lang w:val="lt-LT"/>
              </w:rPr>
            </w:pPr>
          </w:p>
        </w:tc>
        <w:tc>
          <w:tcPr>
            <w:tcW w:w="3440" w:type="dxa"/>
            <w:gridSpan w:val="6"/>
          </w:tcPr>
          <w:p w:rsidR="00E91EA3" w:rsidRPr="002E2396" w:rsidRDefault="00E91EA3" w:rsidP="00065FB5">
            <w:pPr>
              <w:tabs>
                <w:tab w:val="left" w:pos="510"/>
              </w:tabs>
              <w:jc w:val="both"/>
              <w:rPr>
                <w:sz w:val="18"/>
                <w:lang w:val="lt-LT"/>
              </w:rPr>
            </w:pPr>
            <w:r w:rsidRPr="002E2396">
              <w:rPr>
                <w:sz w:val="18"/>
                <w:lang w:val="lt-LT"/>
              </w:rPr>
              <w:t>Gautinų sumų vertė laikotarpio pab. nustatoma gana subjektyviai</w:t>
            </w:r>
          </w:p>
        </w:tc>
        <w:tc>
          <w:tcPr>
            <w:tcW w:w="553" w:type="dxa"/>
            <w:gridSpan w:val="7"/>
          </w:tcPr>
          <w:p w:rsidR="00E91EA3" w:rsidRPr="004273CC" w:rsidRDefault="00E91EA3" w:rsidP="00065FB5">
            <w:pPr>
              <w:tabs>
                <w:tab w:val="left" w:pos="510"/>
              </w:tabs>
              <w:jc w:val="both"/>
              <w:rPr>
                <w:lang w:val="lt-LT"/>
              </w:rPr>
            </w:pPr>
            <w:r>
              <w:rPr>
                <w:lang w:val="lt-LT"/>
              </w:rPr>
              <w:t>V</w:t>
            </w:r>
          </w:p>
        </w:tc>
        <w:tc>
          <w:tcPr>
            <w:tcW w:w="567" w:type="dxa"/>
            <w:gridSpan w:val="7"/>
          </w:tcPr>
          <w:p w:rsidR="00E91EA3" w:rsidRPr="004273CC" w:rsidRDefault="00E91EA3" w:rsidP="00065FB5">
            <w:pPr>
              <w:tabs>
                <w:tab w:val="left" w:pos="510"/>
              </w:tabs>
              <w:jc w:val="both"/>
              <w:rPr>
                <w:lang w:val="lt-LT"/>
              </w:rPr>
            </w:pPr>
            <w:r>
              <w:rPr>
                <w:lang w:val="lt-LT"/>
              </w:rPr>
              <w:t>IR</w:t>
            </w:r>
          </w:p>
        </w:tc>
        <w:tc>
          <w:tcPr>
            <w:tcW w:w="1147" w:type="dxa"/>
            <w:gridSpan w:val="7"/>
          </w:tcPr>
          <w:p w:rsidR="00E91EA3" w:rsidRPr="00D62D94" w:rsidRDefault="00E91EA3" w:rsidP="00065FB5">
            <w:pPr>
              <w:tabs>
                <w:tab w:val="left" w:pos="510"/>
              </w:tabs>
              <w:jc w:val="center"/>
              <w:rPr>
                <w:b/>
                <w:lang w:val="lt-LT"/>
              </w:rPr>
            </w:pPr>
            <w:r>
              <w:rPr>
                <w:b/>
                <w:lang w:val="lt-LT"/>
              </w:rPr>
              <w:t>4</w:t>
            </w:r>
          </w:p>
        </w:tc>
        <w:tc>
          <w:tcPr>
            <w:tcW w:w="709" w:type="dxa"/>
            <w:gridSpan w:val="8"/>
          </w:tcPr>
          <w:p w:rsidR="00E91EA3" w:rsidRPr="00D62D94" w:rsidRDefault="00E91EA3" w:rsidP="00065FB5">
            <w:pPr>
              <w:tabs>
                <w:tab w:val="left" w:pos="510"/>
              </w:tabs>
              <w:jc w:val="center"/>
              <w:rPr>
                <w:b/>
                <w:lang w:val="lt-LT"/>
              </w:rPr>
            </w:pPr>
            <w:r w:rsidRPr="00D62D94">
              <w:rPr>
                <w:b/>
                <w:lang w:val="lt-LT"/>
              </w:rPr>
              <w:t>4</w:t>
            </w:r>
          </w:p>
        </w:tc>
        <w:tc>
          <w:tcPr>
            <w:tcW w:w="1093" w:type="dxa"/>
            <w:gridSpan w:val="6"/>
          </w:tcPr>
          <w:p w:rsidR="00E91EA3" w:rsidRPr="00D62D94" w:rsidRDefault="00E91EA3" w:rsidP="00065FB5">
            <w:pPr>
              <w:tabs>
                <w:tab w:val="left" w:pos="510"/>
              </w:tabs>
              <w:jc w:val="center"/>
              <w:rPr>
                <w:b/>
                <w:lang w:val="lt-LT"/>
              </w:rPr>
            </w:pPr>
            <w:r>
              <w:rPr>
                <w:b/>
                <w:lang w:val="lt-LT"/>
              </w:rPr>
              <w:t>16</w:t>
            </w:r>
          </w:p>
        </w:tc>
        <w:tc>
          <w:tcPr>
            <w:tcW w:w="1006" w:type="dxa"/>
            <w:gridSpan w:val="8"/>
          </w:tcPr>
          <w:p w:rsidR="00E91EA3" w:rsidRPr="004273CC" w:rsidRDefault="00E91EA3" w:rsidP="00065FB5">
            <w:pPr>
              <w:tabs>
                <w:tab w:val="left" w:pos="510"/>
              </w:tabs>
              <w:jc w:val="both"/>
              <w:rPr>
                <w:lang w:val="lt-LT"/>
              </w:rPr>
            </w:pPr>
          </w:p>
        </w:tc>
        <w:tc>
          <w:tcPr>
            <w:tcW w:w="1059" w:type="dxa"/>
            <w:gridSpan w:val="5"/>
          </w:tcPr>
          <w:p w:rsidR="00E91EA3" w:rsidRPr="00D36F01" w:rsidRDefault="00E91EA3" w:rsidP="00065FB5">
            <w:pPr>
              <w:tabs>
                <w:tab w:val="left" w:pos="510"/>
              </w:tabs>
              <w:jc w:val="center"/>
              <w:rPr>
                <w:b/>
                <w:lang w:val="lt-LT"/>
              </w:rPr>
            </w:pPr>
            <w:r w:rsidRPr="00D36F01">
              <w:rPr>
                <w:b/>
                <w:lang w:val="lt-LT"/>
              </w:rPr>
              <w:t>3</w:t>
            </w:r>
          </w:p>
        </w:tc>
        <w:tc>
          <w:tcPr>
            <w:tcW w:w="708" w:type="dxa"/>
            <w:gridSpan w:val="7"/>
          </w:tcPr>
          <w:p w:rsidR="00E91EA3" w:rsidRPr="00D36F01" w:rsidRDefault="00E91EA3" w:rsidP="00065FB5">
            <w:pPr>
              <w:tabs>
                <w:tab w:val="left" w:pos="510"/>
              </w:tabs>
              <w:jc w:val="center"/>
              <w:rPr>
                <w:b/>
                <w:lang w:val="lt-LT"/>
              </w:rPr>
            </w:pPr>
            <w:r w:rsidRPr="00D36F01">
              <w:rPr>
                <w:b/>
                <w:lang w:val="lt-LT"/>
              </w:rPr>
              <w:t>3</w:t>
            </w:r>
          </w:p>
        </w:tc>
        <w:tc>
          <w:tcPr>
            <w:tcW w:w="1133" w:type="dxa"/>
            <w:gridSpan w:val="7"/>
          </w:tcPr>
          <w:p w:rsidR="00E91EA3" w:rsidRPr="00D36F01" w:rsidRDefault="00E91EA3" w:rsidP="00065FB5">
            <w:pPr>
              <w:tabs>
                <w:tab w:val="left" w:pos="510"/>
              </w:tabs>
              <w:jc w:val="center"/>
              <w:rPr>
                <w:b/>
                <w:lang w:val="lt-LT"/>
              </w:rPr>
            </w:pPr>
            <w:r w:rsidRPr="00D36F01">
              <w:rPr>
                <w:b/>
                <w:lang w:val="lt-LT"/>
              </w:rPr>
              <w:t>9</w:t>
            </w: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2E2396" w:rsidRDefault="00E91EA3" w:rsidP="00065FB5">
            <w:pPr>
              <w:tabs>
                <w:tab w:val="left" w:pos="510"/>
              </w:tabs>
              <w:jc w:val="both"/>
              <w:rPr>
                <w:sz w:val="18"/>
                <w:lang w:val="lt-LT"/>
              </w:rPr>
            </w:pPr>
          </w:p>
        </w:tc>
        <w:tc>
          <w:tcPr>
            <w:tcW w:w="3440" w:type="dxa"/>
            <w:gridSpan w:val="6"/>
          </w:tcPr>
          <w:p w:rsidR="00E91EA3" w:rsidRPr="002E2396" w:rsidRDefault="00E91EA3" w:rsidP="00065FB5">
            <w:pPr>
              <w:tabs>
                <w:tab w:val="left" w:pos="510"/>
              </w:tabs>
              <w:jc w:val="both"/>
              <w:rPr>
                <w:sz w:val="18"/>
                <w:lang w:val="lt-LT"/>
              </w:rPr>
            </w:pPr>
            <w:r w:rsidRPr="002E2396">
              <w:rPr>
                <w:sz w:val="18"/>
                <w:lang w:val="lt-LT"/>
              </w:rPr>
              <w:t>Gautinos sumos pagrįstos sandoriais su susijusiomis šalimis, ne rinkos kaina vykdomi pardavimai</w:t>
            </w:r>
          </w:p>
        </w:tc>
        <w:tc>
          <w:tcPr>
            <w:tcW w:w="553" w:type="dxa"/>
            <w:gridSpan w:val="7"/>
          </w:tcPr>
          <w:p w:rsidR="00E91EA3" w:rsidRDefault="00E91EA3" w:rsidP="00065FB5">
            <w:pPr>
              <w:tabs>
                <w:tab w:val="left" w:pos="510"/>
              </w:tabs>
              <w:jc w:val="both"/>
              <w:rPr>
                <w:lang w:val="lt-LT"/>
              </w:rPr>
            </w:pPr>
            <w:r>
              <w:rPr>
                <w:lang w:val="lt-LT"/>
              </w:rPr>
              <w:t>V</w:t>
            </w:r>
          </w:p>
        </w:tc>
        <w:tc>
          <w:tcPr>
            <w:tcW w:w="567" w:type="dxa"/>
            <w:gridSpan w:val="7"/>
          </w:tcPr>
          <w:p w:rsidR="00E91EA3" w:rsidRDefault="00E91EA3" w:rsidP="00065FB5">
            <w:pPr>
              <w:tabs>
                <w:tab w:val="left" w:pos="510"/>
              </w:tabs>
              <w:jc w:val="both"/>
              <w:rPr>
                <w:lang w:val="lt-LT"/>
              </w:rPr>
            </w:pPr>
            <w:r>
              <w:rPr>
                <w:lang w:val="lt-LT"/>
              </w:rPr>
              <w:t>IR</w:t>
            </w:r>
          </w:p>
        </w:tc>
        <w:tc>
          <w:tcPr>
            <w:tcW w:w="1147" w:type="dxa"/>
            <w:gridSpan w:val="7"/>
          </w:tcPr>
          <w:p w:rsidR="00E91EA3" w:rsidRDefault="00E91EA3" w:rsidP="00065FB5">
            <w:pPr>
              <w:tabs>
                <w:tab w:val="left" w:pos="510"/>
              </w:tabs>
              <w:jc w:val="center"/>
              <w:rPr>
                <w:b/>
                <w:lang w:val="lt-LT"/>
              </w:rPr>
            </w:pPr>
          </w:p>
        </w:tc>
        <w:tc>
          <w:tcPr>
            <w:tcW w:w="709" w:type="dxa"/>
            <w:gridSpan w:val="8"/>
          </w:tcPr>
          <w:p w:rsidR="00E91EA3" w:rsidRPr="00D62D94" w:rsidRDefault="00E91EA3" w:rsidP="00065FB5">
            <w:pPr>
              <w:tabs>
                <w:tab w:val="left" w:pos="510"/>
              </w:tabs>
              <w:jc w:val="center"/>
              <w:rPr>
                <w:b/>
                <w:lang w:val="lt-LT"/>
              </w:rPr>
            </w:pPr>
          </w:p>
        </w:tc>
        <w:tc>
          <w:tcPr>
            <w:tcW w:w="1093" w:type="dxa"/>
            <w:gridSpan w:val="6"/>
          </w:tcPr>
          <w:p w:rsidR="00E91EA3" w:rsidRDefault="00E91EA3" w:rsidP="00065FB5">
            <w:pPr>
              <w:tabs>
                <w:tab w:val="left" w:pos="510"/>
              </w:tabs>
              <w:jc w:val="center"/>
              <w:rPr>
                <w:b/>
                <w:lang w:val="lt-LT"/>
              </w:rPr>
            </w:pPr>
          </w:p>
        </w:tc>
        <w:tc>
          <w:tcPr>
            <w:tcW w:w="1006" w:type="dxa"/>
            <w:gridSpan w:val="8"/>
          </w:tcPr>
          <w:p w:rsidR="00E91EA3" w:rsidRPr="004273CC" w:rsidRDefault="00E91EA3" w:rsidP="00065FB5">
            <w:pPr>
              <w:tabs>
                <w:tab w:val="left" w:pos="510"/>
              </w:tabs>
              <w:jc w:val="both"/>
              <w:rPr>
                <w:lang w:val="lt-LT"/>
              </w:rPr>
            </w:pPr>
          </w:p>
        </w:tc>
        <w:tc>
          <w:tcPr>
            <w:tcW w:w="1059" w:type="dxa"/>
            <w:gridSpan w:val="5"/>
          </w:tcPr>
          <w:p w:rsidR="00E91EA3" w:rsidRPr="00D36F01" w:rsidRDefault="00E91EA3" w:rsidP="00065FB5">
            <w:pPr>
              <w:tabs>
                <w:tab w:val="left" w:pos="510"/>
              </w:tabs>
              <w:jc w:val="center"/>
              <w:rPr>
                <w:b/>
                <w:lang w:val="lt-LT"/>
              </w:rPr>
            </w:pPr>
            <w:r w:rsidRPr="00D36F01">
              <w:rPr>
                <w:b/>
                <w:lang w:val="lt-LT"/>
              </w:rPr>
              <w:t>4</w:t>
            </w:r>
          </w:p>
        </w:tc>
        <w:tc>
          <w:tcPr>
            <w:tcW w:w="708" w:type="dxa"/>
            <w:gridSpan w:val="7"/>
          </w:tcPr>
          <w:p w:rsidR="00E91EA3" w:rsidRPr="00D36F01" w:rsidRDefault="00E91EA3" w:rsidP="00065FB5">
            <w:pPr>
              <w:tabs>
                <w:tab w:val="left" w:pos="510"/>
              </w:tabs>
              <w:jc w:val="center"/>
              <w:rPr>
                <w:b/>
                <w:lang w:val="lt-LT"/>
              </w:rPr>
            </w:pPr>
            <w:r>
              <w:rPr>
                <w:b/>
                <w:lang w:val="lt-LT"/>
              </w:rPr>
              <w:t>4</w:t>
            </w:r>
          </w:p>
        </w:tc>
        <w:tc>
          <w:tcPr>
            <w:tcW w:w="1133" w:type="dxa"/>
            <w:gridSpan w:val="7"/>
          </w:tcPr>
          <w:p w:rsidR="00E91EA3" w:rsidRPr="00D36F01" w:rsidRDefault="00E91EA3" w:rsidP="00065FB5">
            <w:pPr>
              <w:tabs>
                <w:tab w:val="left" w:pos="510"/>
              </w:tabs>
              <w:jc w:val="center"/>
              <w:rPr>
                <w:b/>
                <w:lang w:val="lt-LT"/>
              </w:rPr>
            </w:pPr>
            <w:r w:rsidRPr="00D36F01">
              <w:rPr>
                <w:b/>
                <w:lang w:val="lt-LT"/>
              </w:rPr>
              <w:t>16</w:t>
            </w: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2E2396" w:rsidRDefault="00E91EA3" w:rsidP="00065FB5">
            <w:pPr>
              <w:tabs>
                <w:tab w:val="left" w:pos="510"/>
              </w:tabs>
              <w:jc w:val="both"/>
              <w:rPr>
                <w:sz w:val="18"/>
                <w:lang w:val="lt-LT"/>
              </w:rPr>
            </w:pPr>
          </w:p>
        </w:tc>
        <w:tc>
          <w:tcPr>
            <w:tcW w:w="3440" w:type="dxa"/>
            <w:gridSpan w:val="6"/>
          </w:tcPr>
          <w:p w:rsidR="00E91EA3" w:rsidRPr="002E2396" w:rsidRDefault="00E91EA3" w:rsidP="00065FB5">
            <w:pPr>
              <w:tabs>
                <w:tab w:val="left" w:pos="510"/>
              </w:tabs>
              <w:jc w:val="both"/>
              <w:rPr>
                <w:sz w:val="18"/>
                <w:lang w:val="lt-LT"/>
              </w:rPr>
            </w:pPr>
            <w:r w:rsidRPr="002E2396">
              <w:rPr>
                <w:sz w:val="18"/>
                <w:lang w:val="lt-LT"/>
              </w:rPr>
              <w:t>Nėra užtikrinama, kad gautinos sumos dėl sandorių su susijusiomis šalimis vyktų rinkos kaina</w:t>
            </w:r>
          </w:p>
        </w:tc>
        <w:tc>
          <w:tcPr>
            <w:tcW w:w="553" w:type="dxa"/>
            <w:gridSpan w:val="7"/>
          </w:tcPr>
          <w:p w:rsidR="00E91EA3" w:rsidRDefault="00E91EA3" w:rsidP="00065FB5">
            <w:pPr>
              <w:tabs>
                <w:tab w:val="left" w:pos="510"/>
              </w:tabs>
              <w:jc w:val="both"/>
              <w:rPr>
                <w:lang w:val="lt-LT"/>
              </w:rPr>
            </w:pPr>
            <w:r>
              <w:rPr>
                <w:lang w:val="lt-LT"/>
              </w:rPr>
              <w:t>V</w:t>
            </w:r>
          </w:p>
        </w:tc>
        <w:tc>
          <w:tcPr>
            <w:tcW w:w="567" w:type="dxa"/>
            <w:gridSpan w:val="7"/>
          </w:tcPr>
          <w:p w:rsidR="00E91EA3" w:rsidRDefault="00E91EA3" w:rsidP="00065FB5">
            <w:pPr>
              <w:tabs>
                <w:tab w:val="left" w:pos="510"/>
              </w:tabs>
              <w:jc w:val="both"/>
              <w:rPr>
                <w:lang w:val="lt-LT"/>
              </w:rPr>
            </w:pPr>
            <w:r>
              <w:rPr>
                <w:lang w:val="lt-LT"/>
              </w:rPr>
              <w:t>KR</w:t>
            </w:r>
          </w:p>
        </w:tc>
        <w:tc>
          <w:tcPr>
            <w:tcW w:w="1147" w:type="dxa"/>
            <w:gridSpan w:val="7"/>
          </w:tcPr>
          <w:p w:rsidR="00E91EA3" w:rsidRDefault="00E91EA3" w:rsidP="00065FB5">
            <w:pPr>
              <w:tabs>
                <w:tab w:val="left" w:pos="510"/>
              </w:tabs>
              <w:jc w:val="center"/>
              <w:rPr>
                <w:b/>
                <w:lang w:val="lt-LT"/>
              </w:rPr>
            </w:pPr>
          </w:p>
        </w:tc>
        <w:tc>
          <w:tcPr>
            <w:tcW w:w="709" w:type="dxa"/>
            <w:gridSpan w:val="8"/>
          </w:tcPr>
          <w:p w:rsidR="00E91EA3" w:rsidRPr="00D62D94" w:rsidRDefault="00E91EA3" w:rsidP="00065FB5">
            <w:pPr>
              <w:tabs>
                <w:tab w:val="left" w:pos="510"/>
              </w:tabs>
              <w:jc w:val="center"/>
              <w:rPr>
                <w:b/>
                <w:lang w:val="lt-LT"/>
              </w:rPr>
            </w:pPr>
          </w:p>
        </w:tc>
        <w:tc>
          <w:tcPr>
            <w:tcW w:w="1093" w:type="dxa"/>
            <w:gridSpan w:val="6"/>
          </w:tcPr>
          <w:p w:rsidR="00E91EA3" w:rsidRDefault="00E91EA3" w:rsidP="00065FB5">
            <w:pPr>
              <w:tabs>
                <w:tab w:val="left" w:pos="510"/>
              </w:tabs>
              <w:jc w:val="center"/>
              <w:rPr>
                <w:b/>
                <w:lang w:val="lt-LT"/>
              </w:rPr>
            </w:pPr>
          </w:p>
        </w:tc>
        <w:tc>
          <w:tcPr>
            <w:tcW w:w="1006" w:type="dxa"/>
            <w:gridSpan w:val="8"/>
          </w:tcPr>
          <w:p w:rsidR="00E91EA3" w:rsidRPr="004273CC" w:rsidRDefault="00E91EA3" w:rsidP="00065FB5">
            <w:pPr>
              <w:tabs>
                <w:tab w:val="left" w:pos="510"/>
              </w:tabs>
              <w:jc w:val="both"/>
              <w:rPr>
                <w:lang w:val="lt-LT"/>
              </w:rPr>
            </w:pPr>
          </w:p>
        </w:tc>
        <w:tc>
          <w:tcPr>
            <w:tcW w:w="1059" w:type="dxa"/>
            <w:gridSpan w:val="5"/>
          </w:tcPr>
          <w:p w:rsidR="00E91EA3" w:rsidRPr="00D36F01" w:rsidRDefault="00E91EA3" w:rsidP="00065FB5">
            <w:pPr>
              <w:tabs>
                <w:tab w:val="left" w:pos="510"/>
              </w:tabs>
              <w:jc w:val="center"/>
              <w:rPr>
                <w:b/>
                <w:lang w:val="lt-LT"/>
              </w:rPr>
            </w:pPr>
            <w:r w:rsidRPr="00D36F01">
              <w:rPr>
                <w:b/>
                <w:lang w:val="lt-LT"/>
              </w:rPr>
              <w:t>4</w:t>
            </w:r>
          </w:p>
        </w:tc>
        <w:tc>
          <w:tcPr>
            <w:tcW w:w="708" w:type="dxa"/>
            <w:gridSpan w:val="7"/>
          </w:tcPr>
          <w:p w:rsidR="00E91EA3" w:rsidRPr="00D36F01" w:rsidRDefault="00E91EA3" w:rsidP="00065FB5">
            <w:pPr>
              <w:tabs>
                <w:tab w:val="left" w:pos="510"/>
              </w:tabs>
              <w:jc w:val="center"/>
              <w:rPr>
                <w:b/>
                <w:lang w:val="lt-LT"/>
              </w:rPr>
            </w:pPr>
            <w:r>
              <w:rPr>
                <w:b/>
                <w:lang w:val="lt-LT"/>
              </w:rPr>
              <w:t>4</w:t>
            </w:r>
          </w:p>
        </w:tc>
        <w:tc>
          <w:tcPr>
            <w:tcW w:w="1133" w:type="dxa"/>
            <w:gridSpan w:val="7"/>
          </w:tcPr>
          <w:p w:rsidR="00E91EA3" w:rsidRPr="00D36F01" w:rsidRDefault="00E91EA3" w:rsidP="00065FB5">
            <w:pPr>
              <w:tabs>
                <w:tab w:val="left" w:pos="510"/>
              </w:tabs>
              <w:jc w:val="center"/>
              <w:rPr>
                <w:b/>
                <w:lang w:val="lt-LT"/>
              </w:rPr>
            </w:pPr>
            <w:r w:rsidRPr="00D36F01">
              <w:rPr>
                <w:b/>
                <w:lang w:val="lt-LT"/>
              </w:rPr>
              <w:t>16</w:t>
            </w:r>
          </w:p>
        </w:tc>
        <w:tc>
          <w:tcPr>
            <w:tcW w:w="1647" w:type="dxa"/>
            <w:gridSpan w:val="5"/>
          </w:tcPr>
          <w:p w:rsidR="00E91EA3" w:rsidRPr="004273CC" w:rsidRDefault="00E91EA3" w:rsidP="00065FB5">
            <w:pPr>
              <w:tabs>
                <w:tab w:val="left" w:pos="510"/>
              </w:tabs>
              <w:jc w:val="both"/>
              <w:rPr>
                <w:lang w:val="lt-LT"/>
              </w:rPr>
            </w:pPr>
          </w:p>
        </w:tc>
      </w:tr>
      <w:tr w:rsidR="00E91EA3" w:rsidRPr="004273CC" w:rsidTr="00BE37DF">
        <w:trPr>
          <w:cantSplit/>
          <w:trHeight w:val="466"/>
        </w:trPr>
        <w:tc>
          <w:tcPr>
            <w:tcW w:w="796" w:type="dxa"/>
            <w:gridSpan w:val="2"/>
            <w:vMerge/>
          </w:tcPr>
          <w:p w:rsidR="00E91EA3" w:rsidRPr="002E2396" w:rsidRDefault="00E91EA3" w:rsidP="00065FB5">
            <w:pPr>
              <w:tabs>
                <w:tab w:val="left" w:pos="510"/>
              </w:tabs>
              <w:jc w:val="both"/>
              <w:rPr>
                <w:sz w:val="18"/>
                <w:lang w:val="lt-LT"/>
              </w:rPr>
            </w:pPr>
          </w:p>
        </w:tc>
        <w:tc>
          <w:tcPr>
            <w:tcW w:w="3440" w:type="dxa"/>
            <w:gridSpan w:val="6"/>
          </w:tcPr>
          <w:p w:rsidR="001C0D02" w:rsidRPr="002E2396" w:rsidRDefault="00E91EA3" w:rsidP="00065FB5">
            <w:pPr>
              <w:tabs>
                <w:tab w:val="left" w:pos="510"/>
              </w:tabs>
              <w:jc w:val="both"/>
              <w:rPr>
                <w:sz w:val="18"/>
                <w:lang w:val="lt-LT"/>
              </w:rPr>
            </w:pPr>
            <w:r w:rsidRPr="002E2396">
              <w:rPr>
                <w:sz w:val="18"/>
                <w:lang w:val="lt-LT"/>
              </w:rPr>
              <w:t>Periodiškai nėra vykdomas pirkėjų skolų suderinimas</w:t>
            </w:r>
          </w:p>
        </w:tc>
        <w:tc>
          <w:tcPr>
            <w:tcW w:w="553" w:type="dxa"/>
            <w:gridSpan w:val="7"/>
          </w:tcPr>
          <w:p w:rsidR="00E91EA3" w:rsidRPr="004273CC" w:rsidRDefault="00E91EA3" w:rsidP="00065FB5">
            <w:pPr>
              <w:tabs>
                <w:tab w:val="left" w:pos="510"/>
              </w:tabs>
              <w:jc w:val="both"/>
              <w:rPr>
                <w:lang w:val="lt-LT"/>
              </w:rPr>
            </w:pPr>
            <w:r>
              <w:rPr>
                <w:lang w:val="lt-LT"/>
              </w:rPr>
              <w:t>V, B</w:t>
            </w:r>
          </w:p>
        </w:tc>
        <w:tc>
          <w:tcPr>
            <w:tcW w:w="567" w:type="dxa"/>
            <w:gridSpan w:val="7"/>
          </w:tcPr>
          <w:p w:rsidR="00E91EA3" w:rsidRDefault="00E91EA3" w:rsidP="00065FB5">
            <w:pPr>
              <w:tabs>
                <w:tab w:val="left" w:pos="510"/>
              </w:tabs>
              <w:jc w:val="both"/>
              <w:rPr>
                <w:lang w:val="lt-LT"/>
              </w:rPr>
            </w:pPr>
            <w:r>
              <w:rPr>
                <w:lang w:val="lt-LT"/>
              </w:rPr>
              <w:t>IR</w:t>
            </w:r>
          </w:p>
          <w:p w:rsidR="00E91EA3" w:rsidRPr="004273CC" w:rsidRDefault="00E91EA3" w:rsidP="00065FB5">
            <w:pPr>
              <w:tabs>
                <w:tab w:val="left" w:pos="510"/>
              </w:tabs>
              <w:jc w:val="both"/>
              <w:rPr>
                <w:lang w:val="lt-LT"/>
              </w:rPr>
            </w:pPr>
            <w:r>
              <w:rPr>
                <w:lang w:val="lt-LT"/>
              </w:rPr>
              <w:t>KR</w:t>
            </w:r>
          </w:p>
        </w:tc>
        <w:tc>
          <w:tcPr>
            <w:tcW w:w="1147" w:type="dxa"/>
            <w:gridSpan w:val="7"/>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93" w:type="dxa"/>
            <w:gridSpan w:val="6"/>
          </w:tcPr>
          <w:p w:rsidR="00E91EA3" w:rsidRPr="004273CC" w:rsidRDefault="00E91EA3" w:rsidP="00065FB5">
            <w:pPr>
              <w:tabs>
                <w:tab w:val="left" w:pos="510"/>
              </w:tabs>
              <w:jc w:val="both"/>
              <w:rPr>
                <w:lang w:val="lt-LT"/>
              </w:rPr>
            </w:pPr>
          </w:p>
        </w:tc>
        <w:tc>
          <w:tcPr>
            <w:tcW w:w="1006" w:type="dxa"/>
            <w:gridSpan w:val="8"/>
          </w:tcPr>
          <w:p w:rsidR="00E91EA3" w:rsidRPr="004273CC" w:rsidRDefault="00E91EA3" w:rsidP="00065FB5">
            <w:pPr>
              <w:tabs>
                <w:tab w:val="left" w:pos="510"/>
              </w:tabs>
              <w:jc w:val="both"/>
              <w:rPr>
                <w:lang w:val="lt-LT"/>
              </w:rPr>
            </w:pPr>
            <w:r>
              <w:rPr>
                <w:lang w:val="lt-LT"/>
              </w:rPr>
              <w:t>Yra</w:t>
            </w:r>
          </w:p>
        </w:tc>
        <w:tc>
          <w:tcPr>
            <w:tcW w:w="1059" w:type="dxa"/>
            <w:gridSpan w:val="5"/>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Borders>
              <w:bottom w:val="single" w:sz="4" w:space="0" w:color="auto"/>
            </w:tcBorders>
          </w:tcPr>
          <w:p w:rsidR="00E91EA3" w:rsidRPr="004273CC" w:rsidRDefault="00E91EA3" w:rsidP="00065FB5">
            <w:pPr>
              <w:tabs>
                <w:tab w:val="left" w:pos="510"/>
              </w:tabs>
              <w:jc w:val="both"/>
              <w:rPr>
                <w:lang w:val="lt-LT"/>
              </w:rPr>
            </w:pPr>
          </w:p>
        </w:tc>
        <w:tc>
          <w:tcPr>
            <w:tcW w:w="1647" w:type="dxa"/>
            <w:gridSpan w:val="5"/>
            <w:tcBorders>
              <w:bottom w:val="single" w:sz="4" w:space="0" w:color="auto"/>
            </w:tcBorders>
          </w:tcPr>
          <w:p w:rsidR="00E91EA3" w:rsidRPr="004273CC" w:rsidRDefault="00E91EA3" w:rsidP="00065FB5">
            <w:pPr>
              <w:tabs>
                <w:tab w:val="left" w:pos="510"/>
              </w:tabs>
              <w:jc w:val="both"/>
              <w:rPr>
                <w:lang w:val="lt-LT"/>
              </w:rPr>
            </w:pPr>
            <w:r>
              <w:rPr>
                <w:lang w:val="lt-LT"/>
              </w:rPr>
              <w:t>Yra</w:t>
            </w: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47" w:type="dxa"/>
            <w:gridSpan w:val="7"/>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9" w:type="dxa"/>
            <w:gridSpan w:val="8"/>
            <w:tcBorders>
              <w:bottom w:val="single" w:sz="4" w:space="0" w:color="auto"/>
            </w:tcBorders>
          </w:tcPr>
          <w:p w:rsidR="00E91EA3" w:rsidRPr="003609BC" w:rsidRDefault="00E91EA3" w:rsidP="00065FB5">
            <w:pPr>
              <w:tabs>
                <w:tab w:val="left" w:pos="510"/>
              </w:tabs>
              <w:jc w:val="center"/>
              <w:rPr>
                <w:b/>
                <w:lang w:val="lt-LT"/>
              </w:rPr>
            </w:pPr>
            <w:r w:rsidRPr="003609BC">
              <w:rPr>
                <w:b/>
                <w:lang w:val="lt-LT"/>
              </w:rPr>
              <w:t>X</w:t>
            </w:r>
          </w:p>
        </w:tc>
        <w:tc>
          <w:tcPr>
            <w:tcW w:w="1093" w:type="dxa"/>
            <w:gridSpan w:val="6"/>
            <w:tcBorders>
              <w:bottom w:val="single" w:sz="4" w:space="0" w:color="auto"/>
              <w:right w:val="single" w:sz="4" w:space="0" w:color="auto"/>
            </w:tcBorders>
          </w:tcPr>
          <w:p w:rsidR="00E91EA3" w:rsidRPr="003609BC" w:rsidRDefault="00E91EA3" w:rsidP="00065FB5">
            <w:pPr>
              <w:tabs>
                <w:tab w:val="left" w:pos="510"/>
              </w:tabs>
              <w:jc w:val="center"/>
              <w:rPr>
                <w:b/>
                <w:lang w:val="lt-LT"/>
              </w:rPr>
            </w:pPr>
            <w:r w:rsidRPr="003609BC">
              <w:rPr>
                <w:b/>
                <w:lang w:val="lt-LT"/>
              </w:rPr>
              <w:t>0</w:t>
            </w:r>
          </w:p>
        </w:tc>
        <w:tc>
          <w:tcPr>
            <w:tcW w:w="1006" w:type="dxa"/>
            <w:gridSpan w:val="8"/>
            <w:vMerge w:val="restart"/>
            <w:tcBorders>
              <w:top w:val="single" w:sz="4" w:space="0" w:color="auto"/>
              <w:left w:val="single" w:sz="4" w:space="0" w:color="auto"/>
              <w:right w:val="single" w:sz="4" w:space="0" w:color="auto"/>
            </w:tcBorders>
            <w:shd w:val="clear" w:color="auto" w:fill="FFFFFF"/>
            <w:textDirection w:val="btLr"/>
          </w:tcPr>
          <w:p w:rsidR="00E91EA3" w:rsidRPr="003609BC" w:rsidRDefault="00E91EA3" w:rsidP="00065FB5">
            <w:pPr>
              <w:tabs>
                <w:tab w:val="left" w:pos="510"/>
              </w:tabs>
              <w:ind w:left="113" w:right="113"/>
              <w:jc w:val="center"/>
              <w:rPr>
                <w:b/>
                <w:lang w:val="lt-LT"/>
              </w:rPr>
            </w:pPr>
            <w:r w:rsidRPr="003609BC">
              <w:rPr>
                <w:b/>
                <w:lang w:val="lt-LT"/>
              </w:rPr>
              <w:t xml:space="preserve">Pirkėjų įsisk. </w:t>
            </w:r>
            <w:r>
              <w:rPr>
                <w:b/>
                <w:lang w:val="lt-LT"/>
              </w:rPr>
              <w:t>–</w:t>
            </w:r>
            <w:r w:rsidRPr="003609BC">
              <w:rPr>
                <w:b/>
                <w:lang w:val="lt-LT"/>
              </w:rPr>
              <w:t>Buvimas</w:t>
            </w:r>
          </w:p>
        </w:tc>
        <w:tc>
          <w:tcPr>
            <w:tcW w:w="1059" w:type="dxa"/>
            <w:gridSpan w:val="5"/>
            <w:tcBorders>
              <w:top w:val="single" w:sz="4" w:space="0" w:color="auto"/>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8" w:type="dxa"/>
            <w:gridSpan w:val="7"/>
          </w:tcPr>
          <w:p w:rsidR="00E91EA3" w:rsidRPr="00D36F01" w:rsidRDefault="00E91EA3" w:rsidP="00065FB5">
            <w:pPr>
              <w:tabs>
                <w:tab w:val="left" w:pos="510"/>
              </w:tabs>
              <w:jc w:val="center"/>
              <w:rPr>
                <w:b/>
                <w:lang w:val="lt-LT"/>
              </w:rPr>
            </w:pPr>
            <w:r w:rsidRPr="00D36F01">
              <w:rPr>
                <w:b/>
                <w:lang w:val="lt-LT"/>
              </w:rPr>
              <w:t>X</w:t>
            </w:r>
          </w:p>
        </w:tc>
        <w:tc>
          <w:tcPr>
            <w:tcW w:w="2780" w:type="dxa"/>
            <w:gridSpan w:val="12"/>
            <w:vMerge w:val="restart"/>
            <w:tcBorders>
              <w:right w:val="single" w:sz="4" w:space="0" w:color="auto"/>
            </w:tcBorders>
            <w:vAlign w:val="bottom"/>
          </w:tcPr>
          <w:p w:rsidR="00E91EA3" w:rsidRPr="004273CC" w:rsidRDefault="00E91EA3" w:rsidP="00065FB5">
            <w:pPr>
              <w:tabs>
                <w:tab w:val="left" w:pos="510"/>
              </w:tabs>
              <w:rPr>
                <w:lang w:val="lt-LT"/>
              </w:rPr>
            </w:pPr>
            <w:r w:rsidRPr="00404FB8">
              <w:rPr>
                <w:b/>
                <w:lang w:val="lt-LT"/>
              </w:rPr>
              <w:t>NETAIKOMA</w:t>
            </w: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47" w:type="dxa"/>
            <w:gridSpan w:val="7"/>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9" w:type="dxa"/>
            <w:gridSpan w:val="8"/>
            <w:tcBorders>
              <w:right w:val="single" w:sz="4" w:space="0" w:color="auto"/>
            </w:tcBorders>
          </w:tcPr>
          <w:p w:rsidR="00E91EA3" w:rsidRPr="003609BC" w:rsidRDefault="00E91EA3" w:rsidP="00065FB5">
            <w:pPr>
              <w:tabs>
                <w:tab w:val="left" w:pos="510"/>
              </w:tabs>
              <w:jc w:val="center"/>
              <w:rPr>
                <w:b/>
                <w:lang w:val="lt-LT"/>
              </w:rPr>
            </w:pPr>
            <w:r w:rsidRPr="003609BC">
              <w:rPr>
                <w:b/>
                <w:lang w:val="lt-LT"/>
              </w:rPr>
              <w:t>0</w:t>
            </w:r>
          </w:p>
        </w:tc>
        <w:tc>
          <w:tcPr>
            <w:tcW w:w="1093" w:type="dxa"/>
            <w:gridSpan w:val="6"/>
            <w:tcBorders>
              <w:top w:val="nil"/>
              <w:left w:val="single" w:sz="4" w:space="0" w:color="auto"/>
              <w:bottom w:val="nil"/>
              <w:right w:val="single" w:sz="4" w:space="0" w:color="auto"/>
            </w:tcBorders>
          </w:tcPr>
          <w:p w:rsidR="00E91EA3" w:rsidRPr="003609BC" w:rsidRDefault="00E91EA3" w:rsidP="00065FB5">
            <w:pPr>
              <w:tabs>
                <w:tab w:val="left" w:pos="510"/>
              </w:tabs>
              <w:jc w:val="center"/>
              <w:rPr>
                <w:b/>
                <w:lang w:val="lt-LT"/>
              </w:rPr>
            </w:pP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8" w:type="dxa"/>
            <w:gridSpan w:val="7"/>
          </w:tcPr>
          <w:p w:rsidR="00E91EA3" w:rsidRPr="00D36F01"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47" w:type="dxa"/>
            <w:gridSpan w:val="7"/>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tcPr>
          <w:p w:rsidR="00E91EA3" w:rsidRPr="003609BC" w:rsidRDefault="00E91EA3" w:rsidP="00065FB5">
            <w:pPr>
              <w:tabs>
                <w:tab w:val="left" w:pos="510"/>
              </w:tabs>
              <w:jc w:val="center"/>
              <w:rPr>
                <w:b/>
                <w:lang w:val="lt-LT"/>
              </w:rPr>
            </w:pPr>
            <w:r w:rsidRPr="003609BC">
              <w:rPr>
                <w:b/>
                <w:lang w:val="lt-LT"/>
              </w:rPr>
              <w:t>0</w:t>
            </w:r>
          </w:p>
        </w:tc>
        <w:tc>
          <w:tcPr>
            <w:tcW w:w="1093" w:type="dxa"/>
            <w:gridSpan w:val="6"/>
            <w:tcBorders>
              <w:top w:val="nil"/>
              <w:left w:val="single" w:sz="4" w:space="0" w:color="auto"/>
              <w:bottom w:val="nil"/>
              <w:right w:val="single" w:sz="4" w:space="0" w:color="auto"/>
            </w:tcBorders>
          </w:tcPr>
          <w:p w:rsidR="00E91EA3" w:rsidRPr="003609BC" w:rsidRDefault="00E91EA3" w:rsidP="00065FB5">
            <w:pPr>
              <w:tabs>
                <w:tab w:val="left" w:pos="510"/>
              </w:tabs>
              <w:jc w:val="center"/>
              <w:rPr>
                <w:b/>
                <w:lang w:val="lt-LT"/>
              </w:rPr>
            </w:pP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8" w:type="dxa"/>
            <w:gridSpan w:val="7"/>
            <w:tcBorders>
              <w:bottom w:val="single" w:sz="4" w:space="0" w:color="auto"/>
            </w:tcBorders>
          </w:tcPr>
          <w:p w:rsidR="00E91EA3" w:rsidRPr="00D36F01"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Height w:val="264"/>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Pr>
                <w:b/>
                <w:lang w:val="lt-LT"/>
              </w:rPr>
              <w:t xml:space="preserve">ĮGIMTOS </w:t>
            </w:r>
            <w:r w:rsidRPr="004273CC">
              <w:rPr>
                <w:b/>
                <w:lang w:val="lt-LT"/>
              </w:rPr>
              <w:t>RIZIKOS LYGIS, proc. (1 eil./3eil.*100)</w:t>
            </w:r>
          </w:p>
        </w:tc>
        <w:tc>
          <w:tcPr>
            <w:tcW w:w="1147" w:type="dxa"/>
            <w:gridSpan w:val="7"/>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E91EA3" w:rsidRPr="003609BC" w:rsidRDefault="00E91EA3" w:rsidP="00065FB5">
            <w:pPr>
              <w:tabs>
                <w:tab w:val="left" w:pos="510"/>
              </w:tabs>
              <w:jc w:val="center"/>
              <w:rPr>
                <w:b/>
                <w:lang w:val="lt-LT"/>
              </w:rPr>
            </w:pPr>
            <w:r w:rsidRPr="003609BC">
              <w:rPr>
                <w:b/>
                <w:lang w:val="lt-LT"/>
              </w:rPr>
              <w:t>0</w:t>
            </w:r>
          </w:p>
        </w:tc>
        <w:tc>
          <w:tcPr>
            <w:tcW w:w="1093" w:type="dxa"/>
            <w:gridSpan w:val="6"/>
            <w:tcBorders>
              <w:top w:val="nil"/>
              <w:left w:val="single" w:sz="4" w:space="0" w:color="auto"/>
              <w:bottom w:val="single" w:sz="4" w:space="0" w:color="auto"/>
              <w:right w:val="single" w:sz="4" w:space="0" w:color="auto"/>
            </w:tcBorders>
          </w:tcPr>
          <w:p w:rsidR="00E91EA3" w:rsidRPr="003609BC" w:rsidRDefault="00E91EA3" w:rsidP="00065FB5">
            <w:pPr>
              <w:tabs>
                <w:tab w:val="left" w:pos="510"/>
              </w:tabs>
              <w:jc w:val="center"/>
              <w:rPr>
                <w:b/>
                <w:lang w:val="lt-LT"/>
              </w:rPr>
            </w:pPr>
            <w:r w:rsidRPr="003609BC">
              <w:rPr>
                <w:b/>
                <w:lang w:val="lt-LT"/>
              </w:rPr>
              <w:t>MAŽA</w:t>
            </w:r>
          </w:p>
        </w:tc>
        <w:tc>
          <w:tcPr>
            <w:tcW w:w="1006" w:type="dxa"/>
            <w:gridSpan w:val="8"/>
            <w:vMerge/>
            <w:tcBorders>
              <w:left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8" w:type="dxa"/>
            <w:gridSpan w:val="7"/>
            <w:shd w:val="clear" w:color="auto" w:fill="D9D9D9"/>
          </w:tcPr>
          <w:p w:rsidR="00E91EA3" w:rsidRPr="00D36F01"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47" w:type="dxa"/>
            <w:gridSpan w:val="7"/>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right w:val="single" w:sz="4" w:space="0" w:color="auto"/>
            </w:tcBorders>
          </w:tcPr>
          <w:p w:rsidR="00E91EA3" w:rsidRPr="003609BC" w:rsidRDefault="00E91EA3" w:rsidP="00065FB5">
            <w:pPr>
              <w:tabs>
                <w:tab w:val="left" w:pos="510"/>
              </w:tabs>
              <w:jc w:val="center"/>
              <w:rPr>
                <w:b/>
                <w:lang w:val="lt-LT"/>
              </w:rPr>
            </w:pPr>
            <w:r w:rsidRPr="003609BC">
              <w:rPr>
                <w:b/>
                <w:lang w:val="lt-LT"/>
              </w:rPr>
              <w:t>X</w:t>
            </w:r>
          </w:p>
        </w:tc>
        <w:tc>
          <w:tcPr>
            <w:tcW w:w="1093" w:type="dxa"/>
            <w:gridSpan w:val="6"/>
            <w:tcBorders>
              <w:top w:val="single" w:sz="4" w:space="0" w:color="auto"/>
              <w:left w:val="single" w:sz="4" w:space="0" w:color="auto"/>
              <w:bottom w:val="single" w:sz="4" w:space="0" w:color="auto"/>
              <w:right w:val="single" w:sz="4" w:space="0" w:color="auto"/>
            </w:tcBorders>
          </w:tcPr>
          <w:p w:rsidR="00E91EA3" w:rsidRPr="003609BC" w:rsidRDefault="00E91EA3" w:rsidP="00065FB5">
            <w:pPr>
              <w:tabs>
                <w:tab w:val="left" w:pos="510"/>
              </w:tabs>
              <w:jc w:val="center"/>
              <w:rPr>
                <w:b/>
                <w:lang w:val="lt-LT"/>
              </w:rPr>
            </w:pPr>
            <w:r w:rsidRPr="003609BC">
              <w:rPr>
                <w:b/>
                <w:lang w:val="lt-LT"/>
              </w:rPr>
              <w:t>0</w:t>
            </w: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8" w:type="dxa"/>
            <w:gridSpan w:val="7"/>
          </w:tcPr>
          <w:p w:rsidR="00E91EA3" w:rsidRPr="00D36F01" w:rsidRDefault="00E91EA3" w:rsidP="00065FB5">
            <w:pPr>
              <w:tabs>
                <w:tab w:val="left" w:pos="510"/>
              </w:tabs>
              <w:jc w:val="center"/>
              <w:rPr>
                <w:b/>
                <w:lang w:val="lt-LT"/>
              </w:rPr>
            </w:pPr>
            <w:r w:rsidRPr="00D36F01">
              <w:rPr>
                <w:b/>
                <w:lang w:val="lt-LT"/>
              </w:rPr>
              <w:t>X</w:t>
            </w: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47" w:type="dxa"/>
            <w:gridSpan w:val="7"/>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right w:val="single" w:sz="4" w:space="0" w:color="auto"/>
            </w:tcBorders>
          </w:tcPr>
          <w:p w:rsidR="00E91EA3" w:rsidRPr="003609BC" w:rsidRDefault="00E91EA3" w:rsidP="00065FB5">
            <w:pPr>
              <w:tabs>
                <w:tab w:val="left" w:pos="510"/>
              </w:tabs>
              <w:jc w:val="center"/>
              <w:rPr>
                <w:b/>
                <w:lang w:val="lt-LT"/>
              </w:rPr>
            </w:pPr>
            <w:r w:rsidRPr="003609BC">
              <w:rPr>
                <w:b/>
                <w:lang w:val="lt-LT"/>
              </w:rPr>
              <w:t>0</w:t>
            </w:r>
          </w:p>
        </w:tc>
        <w:tc>
          <w:tcPr>
            <w:tcW w:w="1093" w:type="dxa"/>
            <w:gridSpan w:val="6"/>
            <w:tcBorders>
              <w:top w:val="single" w:sz="4" w:space="0" w:color="auto"/>
              <w:left w:val="single" w:sz="4" w:space="0" w:color="auto"/>
              <w:bottom w:val="nil"/>
              <w:right w:val="single" w:sz="4" w:space="0" w:color="auto"/>
            </w:tcBorders>
          </w:tcPr>
          <w:p w:rsidR="00E91EA3" w:rsidRPr="003609BC" w:rsidRDefault="00E91EA3" w:rsidP="00065FB5">
            <w:pPr>
              <w:tabs>
                <w:tab w:val="left" w:pos="510"/>
              </w:tabs>
              <w:jc w:val="center"/>
              <w:rPr>
                <w:b/>
                <w:lang w:val="lt-LT"/>
              </w:rPr>
            </w:pP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8" w:type="dxa"/>
            <w:gridSpan w:val="7"/>
          </w:tcPr>
          <w:p w:rsidR="00E91EA3" w:rsidRPr="00D36F01"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47" w:type="dxa"/>
            <w:gridSpan w:val="7"/>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tcPr>
          <w:p w:rsidR="00E91EA3" w:rsidRPr="003609BC" w:rsidRDefault="00E91EA3" w:rsidP="00065FB5">
            <w:pPr>
              <w:tabs>
                <w:tab w:val="left" w:pos="510"/>
              </w:tabs>
              <w:jc w:val="center"/>
              <w:rPr>
                <w:b/>
                <w:lang w:val="lt-LT"/>
              </w:rPr>
            </w:pPr>
            <w:r w:rsidRPr="003609BC">
              <w:rPr>
                <w:b/>
                <w:lang w:val="lt-LT"/>
              </w:rPr>
              <w:t>0</w:t>
            </w:r>
          </w:p>
        </w:tc>
        <w:tc>
          <w:tcPr>
            <w:tcW w:w="1093" w:type="dxa"/>
            <w:gridSpan w:val="6"/>
            <w:tcBorders>
              <w:top w:val="nil"/>
              <w:left w:val="single" w:sz="4" w:space="0" w:color="auto"/>
              <w:bottom w:val="nil"/>
              <w:right w:val="single" w:sz="4" w:space="0" w:color="auto"/>
            </w:tcBorders>
          </w:tcPr>
          <w:p w:rsidR="00E91EA3" w:rsidRPr="003609BC" w:rsidRDefault="00E91EA3" w:rsidP="00065FB5">
            <w:pPr>
              <w:tabs>
                <w:tab w:val="left" w:pos="510"/>
              </w:tabs>
              <w:jc w:val="center"/>
              <w:rPr>
                <w:b/>
                <w:lang w:val="lt-LT"/>
              </w:rPr>
            </w:pP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8" w:type="dxa"/>
            <w:gridSpan w:val="7"/>
            <w:tcBorders>
              <w:bottom w:val="single" w:sz="4" w:space="0" w:color="auto"/>
            </w:tcBorders>
          </w:tcPr>
          <w:p w:rsidR="00E91EA3" w:rsidRPr="00D36F01"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Height w:val="276"/>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Borders>
              <w:bottom w:val="single" w:sz="4" w:space="0" w:color="auto"/>
            </w:tcBorders>
          </w:tcPr>
          <w:p w:rsidR="00E91EA3" w:rsidRPr="004273CC" w:rsidRDefault="00E91EA3"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47" w:type="dxa"/>
            <w:gridSpan w:val="7"/>
            <w:tcBorders>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E91EA3" w:rsidRPr="003609BC" w:rsidRDefault="00E91EA3" w:rsidP="00065FB5">
            <w:pPr>
              <w:tabs>
                <w:tab w:val="left" w:pos="510"/>
              </w:tabs>
              <w:jc w:val="center"/>
              <w:rPr>
                <w:b/>
                <w:lang w:val="lt-LT"/>
              </w:rPr>
            </w:pPr>
            <w:r w:rsidRPr="003609BC">
              <w:rPr>
                <w:b/>
                <w:lang w:val="lt-LT"/>
              </w:rPr>
              <w:t>0</w:t>
            </w:r>
          </w:p>
        </w:tc>
        <w:tc>
          <w:tcPr>
            <w:tcW w:w="1093" w:type="dxa"/>
            <w:gridSpan w:val="6"/>
            <w:tcBorders>
              <w:top w:val="nil"/>
              <w:left w:val="single" w:sz="4" w:space="0" w:color="auto"/>
              <w:bottom w:val="single" w:sz="4" w:space="0" w:color="auto"/>
              <w:right w:val="single" w:sz="4" w:space="0" w:color="auto"/>
            </w:tcBorders>
          </w:tcPr>
          <w:p w:rsidR="00E91EA3" w:rsidRPr="003609BC" w:rsidRDefault="00E91EA3" w:rsidP="00065FB5">
            <w:pPr>
              <w:tabs>
                <w:tab w:val="left" w:pos="510"/>
              </w:tabs>
              <w:jc w:val="center"/>
              <w:rPr>
                <w:b/>
                <w:lang w:val="lt-LT"/>
              </w:rPr>
            </w:pPr>
            <w:r w:rsidRPr="003609BC">
              <w:rPr>
                <w:b/>
                <w:lang w:val="lt-LT"/>
              </w:rPr>
              <w:t>MAŽA</w:t>
            </w:r>
          </w:p>
        </w:tc>
        <w:tc>
          <w:tcPr>
            <w:tcW w:w="1006" w:type="dxa"/>
            <w:gridSpan w:val="8"/>
            <w:vMerge/>
            <w:tcBorders>
              <w:left w:val="single" w:sz="4" w:space="0" w:color="auto"/>
              <w:bottom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059" w:type="dxa"/>
            <w:gridSpan w:val="5"/>
            <w:tcBorders>
              <w:left w:val="single" w:sz="4" w:space="0" w:color="auto"/>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8" w:type="dxa"/>
            <w:gridSpan w:val="7"/>
            <w:tcBorders>
              <w:bottom w:val="single" w:sz="4" w:space="0" w:color="auto"/>
            </w:tcBorders>
            <w:shd w:val="clear" w:color="auto" w:fill="D9D9D9"/>
          </w:tcPr>
          <w:p w:rsidR="00E91EA3" w:rsidRPr="00D36F01" w:rsidRDefault="00E91EA3" w:rsidP="00065FB5">
            <w:pPr>
              <w:tabs>
                <w:tab w:val="left" w:pos="510"/>
              </w:tabs>
              <w:jc w:val="center"/>
              <w:rPr>
                <w:b/>
                <w:lang w:val="lt-LT"/>
              </w:rPr>
            </w:pPr>
          </w:p>
        </w:tc>
        <w:tc>
          <w:tcPr>
            <w:tcW w:w="2780" w:type="dxa"/>
            <w:gridSpan w:val="12"/>
            <w:vMerge/>
            <w:tcBorders>
              <w:bottom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val="restart"/>
            <w:textDirection w:val="btLr"/>
          </w:tcPr>
          <w:p w:rsidR="00E91EA3" w:rsidRPr="004273CC" w:rsidRDefault="00E91EA3" w:rsidP="00065FB5">
            <w:pPr>
              <w:tabs>
                <w:tab w:val="left" w:pos="510"/>
              </w:tabs>
              <w:ind w:left="113" w:right="113"/>
              <w:jc w:val="center"/>
              <w:rPr>
                <w:lang w:val="lt-LT"/>
              </w:rPr>
            </w:pPr>
            <w:r w:rsidRPr="002E2396">
              <w:rPr>
                <w:b/>
                <w:sz w:val="18"/>
                <w:lang w:val="lt-LT"/>
              </w:rPr>
              <w:lastRenderedPageBreak/>
              <w:t>Per vienerius metus gautinos sumos</w:t>
            </w:r>
          </w:p>
        </w:tc>
        <w:tc>
          <w:tcPr>
            <w:tcW w:w="4560"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47" w:type="dxa"/>
            <w:gridSpan w:val="7"/>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9" w:type="dxa"/>
            <w:gridSpan w:val="8"/>
            <w:tcBorders>
              <w:bottom w:val="single" w:sz="4" w:space="0" w:color="auto"/>
            </w:tcBorders>
          </w:tcPr>
          <w:p w:rsidR="00E91EA3" w:rsidRPr="00D62D94" w:rsidRDefault="00E91EA3" w:rsidP="00065FB5">
            <w:pPr>
              <w:tabs>
                <w:tab w:val="left" w:pos="510"/>
              </w:tabs>
              <w:jc w:val="center"/>
              <w:rPr>
                <w:b/>
                <w:lang w:val="lt-LT"/>
              </w:rPr>
            </w:pPr>
            <w:r w:rsidRPr="00D62D94">
              <w:rPr>
                <w:b/>
                <w:lang w:val="lt-LT"/>
              </w:rPr>
              <w:t>X</w:t>
            </w:r>
          </w:p>
        </w:tc>
        <w:tc>
          <w:tcPr>
            <w:tcW w:w="1093" w:type="dxa"/>
            <w:gridSpan w:val="6"/>
            <w:tcBorders>
              <w:bottom w:val="single" w:sz="4" w:space="0" w:color="auto"/>
              <w:right w:val="single" w:sz="4" w:space="0" w:color="auto"/>
            </w:tcBorders>
          </w:tcPr>
          <w:p w:rsidR="00E91EA3" w:rsidRPr="00D62D94" w:rsidRDefault="00E91EA3" w:rsidP="00065FB5">
            <w:pPr>
              <w:tabs>
                <w:tab w:val="left" w:pos="510"/>
              </w:tabs>
              <w:jc w:val="center"/>
              <w:rPr>
                <w:b/>
                <w:lang w:val="lt-LT"/>
              </w:rPr>
            </w:pPr>
            <w:r w:rsidRPr="00D62D94">
              <w:rPr>
                <w:b/>
                <w:lang w:val="lt-LT"/>
              </w:rPr>
              <w:t>16</w:t>
            </w:r>
          </w:p>
        </w:tc>
        <w:tc>
          <w:tcPr>
            <w:tcW w:w="1006" w:type="dxa"/>
            <w:gridSpan w:val="8"/>
            <w:vMerge w:val="restart"/>
            <w:tcBorders>
              <w:top w:val="single" w:sz="4" w:space="0" w:color="auto"/>
              <w:left w:val="single" w:sz="4" w:space="0" w:color="auto"/>
              <w:right w:val="single" w:sz="4" w:space="0" w:color="auto"/>
            </w:tcBorders>
            <w:shd w:val="clear" w:color="auto" w:fill="FFFFFF"/>
            <w:textDirection w:val="btLr"/>
          </w:tcPr>
          <w:p w:rsidR="00E91EA3" w:rsidRPr="004273CC" w:rsidRDefault="00E91EA3" w:rsidP="00065FB5">
            <w:pPr>
              <w:tabs>
                <w:tab w:val="left" w:pos="510"/>
              </w:tabs>
              <w:ind w:left="113" w:right="113"/>
              <w:jc w:val="center"/>
              <w:rPr>
                <w:lang w:val="lt-LT"/>
              </w:rPr>
            </w:pPr>
            <w:r w:rsidRPr="003609BC">
              <w:rPr>
                <w:b/>
                <w:lang w:val="lt-LT"/>
              </w:rPr>
              <w:t xml:space="preserve">Pirkėjų įsisk. </w:t>
            </w:r>
            <w:r>
              <w:rPr>
                <w:b/>
                <w:lang w:val="lt-LT"/>
              </w:rPr>
              <w:t>– Įvertinimas</w:t>
            </w:r>
          </w:p>
        </w:tc>
        <w:tc>
          <w:tcPr>
            <w:tcW w:w="1059" w:type="dxa"/>
            <w:gridSpan w:val="5"/>
            <w:tcBorders>
              <w:top w:val="single" w:sz="4" w:space="0" w:color="auto"/>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8" w:type="dxa"/>
            <w:gridSpan w:val="7"/>
          </w:tcPr>
          <w:p w:rsidR="00E91EA3" w:rsidRPr="00B045AF" w:rsidRDefault="00E91EA3" w:rsidP="00065FB5">
            <w:pPr>
              <w:tabs>
                <w:tab w:val="left" w:pos="510"/>
              </w:tabs>
              <w:jc w:val="center"/>
              <w:rPr>
                <w:b/>
                <w:lang w:val="lt-LT"/>
              </w:rPr>
            </w:pPr>
            <w:r w:rsidRPr="00B045AF">
              <w:rPr>
                <w:b/>
                <w:lang w:val="lt-LT"/>
              </w:rPr>
              <w:t>X</w:t>
            </w:r>
          </w:p>
        </w:tc>
        <w:tc>
          <w:tcPr>
            <w:tcW w:w="1133" w:type="dxa"/>
            <w:gridSpan w:val="7"/>
            <w:tcBorders>
              <w:bottom w:val="single" w:sz="4" w:space="0" w:color="auto"/>
            </w:tcBorders>
          </w:tcPr>
          <w:p w:rsidR="00E91EA3" w:rsidRPr="00B045AF" w:rsidRDefault="00E91EA3" w:rsidP="00065FB5">
            <w:pPr>
              <w:tabs>
                <w:tab w:val="left" w:pos="510"/>
              </w:tabs>
              <w:jc w:val="both"/>
              <w:rPr>
                <w:b/>
                <w:lang w:val="lt-LT"/>
              </w:rPr>
            </w:pPr>
            <w:r w:rsidRPr="00B045AF">
              <w:rPr>
                <w:b/>
                <w:lang w:val="lt-LT"/>
              </w:rPr>
              <w:t>25</w:t>
            </w:r>
          </w:p>
        </w:tc>
        <w:tc>
          <w:tcPr>
            <w:tcW w:w="1647" w:type="dxa"/>
            <w:gridSpan w:val="5"/>
            <w:vMerge w:val="restart"/>
            <w:tcBorders>
              <w:right w:val="single" w:sz="4" w:space="0" w:color="auto"/>
            </w:tcBorders>
            <w:textDirection w:val="btLr"/>
          </w:tcPr>
          <w:p w:rsidR="00E91EA3" w:rsidRPr="004273CC" w:rsidRDefault="00E91EA3" w:rsidP="00065FB5">
            <w:pPr>
              <w:tabs>
                <w:tab w:val="left" w:pos="510"/>
              </w:tabs>
              <w:ind w:left="113" w:right="113"/>
              <w:jc w:val="center"/>
              <w:rPr>
                <w:lang w:val="lt-LT"/>
              </w:rPr>
            </w:pPr>
            <w:r w:rsidRPr="003609BC">
              <w:rPr>
                <w:b/>
                <w:lang w:val="lt-LT"/>
              </w:rPr>
              <w:t xml:space="preserve">Pirkėjų įsisk. </w:t>
            </w:r>
            <w:r>
              <w:rPr>
                <w:b/>
                <w:lang w:val="lt-LT"/>
              </w:rPr>
              <w:t>– Įvertinimas</w:t>
            </w: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47" w:type="dxa"/>
            <w:gridSpan w:val="7"/>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9" w:type="dxa"/>
            <w:gridSpan w:val="8"/>
            <w:tcBorders>
              <w:right w:val="single" w:sz="4" w:space="0" w:color="auto"/>
            </w:tcBorders>
          </w:tcPr>
          <w:p w:rsidR="00E91EA3" w:rsidRPr="00D62D94" w:rsidRDefault="00E91EA3" w:rsidP="00065FB5">
            <w:pPr>
              <w:tabs>
                <w:tab w:val="left" w:pos="510"/>
              </w:tabs>
              <w:jc w:val="center"/>
              <w:rPr>
                <w:b/>
                <w:lang w:val="lt-LT"/>
              </w:rPr>
            </w:pPr>
            <w:r w:rsidRPr="00D62D94">
              <w:rPr>
                <w:b/>
                <w:lang w:val="lt-LT"/>
              </w:rPr>
              <w:t>4</w:t>
            </w:r>
          </w:p>
        </w:tc>
        <w:tc>
          <w:tcPr>
            <w:tcW w:w="1093" w:type="dxa"/>
            <w:gridSpan w:val="6"/>
            <w:tcBorders>
              <w:top w:val="nil"/>
              <w:left w:val="single" w:sz="4" w:space="0" w:color="auto"/>
              <w:bottom w:val="nil"/>
              <w:right w:val="single" w:sz="4" w:space="0" w:color="auto"/>
            </w:tcBorders>
          </w:tcPr>
          <w:p w:rsidR="00E91EA3" w:rsidRPr="00D62D94" w:rsidRDefault="00E91EA3" w:rsidP="00065FB5">
            <w:pPr>
              <w:tabs>
                <w:tab w:val="left" w:pos="510"/>
              </w:tabs>
              <w:jc w:val="center"/>
              <w:rPr>
                <w:b/>
                <w:lang w:val="lt-LT"/>
              </w:rPr>
            </w:pP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8" w:type="dxa"/>
            <w:gridSpan w:val="7"/>
            <w:tcBorders>
              <w:right w:val="single" w:sz="4" w:space="0" w:color="auto"/>
            </w:tcBorders>
          </w:tcPr>
          <w:p w:rsidR="00E91EA3" w:rsidRPr="00B045AF" w:rsidRDefault="00E91EA3" w:rsidP="00065FB5">
            <w:pPr>
              <w:tabs>
                <w:tab w:val="left" w:pos="510"/>
              </w:tabs>
              <w:jc w:val="center"/>
              <w:rPr>
                <w:b/>
                <w:lang w:val="lt-LT"/>
              </w:rPr>
            </w:pPr>
            <w:r w:rsidRPr="00B045AF">
              <w:rPr>
                <w:b/>
                <w:lang w:val="lt-LT"/>
              </w:rPr>
              <w:t>7</w:t>
            </w:r>
          </w:p>
        </w:tc>
        <w:tc>
          <w:tcPr>
            <w:tcW w:w="1133" w:type="dxa"/>
            <w:gridSpan w:val="7"/>
            <w:tcBorders>
              <w:top w:val="nil"/>
              <w:left w:val="single" w:sz="4" w:space="0" w:color="auto"/>
              <w:bottom w:val="nil"/>
            </w:tcBorders>
          </w:tcPr>
          <w:p w:rsidR="00E91EA3" w:rsidRPr="00B045AF" w:rsidRDefault="00E91EA3" w:rsidP="00065FB5">
            <w:pPr>
              <w:tabs>
                <w:tab w:val="left" w:pos="510"/>
              </w:tabs>
              <w:jc w:val="both"/>
              <w:rPr>
                <w:b/>
                <w:lang w:val="lt-LT"/>
              </w:rPr>
            </w:pP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47" w:type="dxa"/>
            <w:gridSpan w:val="7"/>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tcPr>
          <w:p w:rsidR="00E91EA3" w:rsidRPr="00D62D94" w:rsidRDefault="00E91EA3" w:rsidP="00065FB5">
            <w:pPr>
              <w:tabs>
                <w:tab w:val="left" w:pos="510"/>
              </w:tabs>
              <w:jc w:val="center"/>
              <w:rPr>
                <w:b/>
                <w:lang w:val="lt-LT"/>
              </w:rPr>
            </w:pPr>
            <w:r w:rsidRPr="00D62D94">
              <w:rPr>
                <w:b/>
                <w:lang w:val="lt-LT"/>
              </w:rPr>
              <w:t>20</w:t>
            </w:r>
          </w:p>
        </w:tc>
        <w:tc>
          <w:tcPr>
            <w:tcW w:w="1093" w:type="dxa"/>
            <w:gridSpan w:val="6"/>
            <w:tcBorders>
              <w:top w:val="nil"/>
              <w:left w:val="single" w:sz="4" w:space="0" w:color="auto"/>
              <w:bottom w:val="nil"/>
              <w:right w:val="single" w:sz="4" w:space="0" w:color="auto"/>
            </w:tcBorders>
          </w:tcPr>
          <w:p w:rsidR="00E91EA3" w:rsidRPr="00D62D94" w:rsidRDefault="00E91EA3" w:rsidP="00065FB5">
            <w:pPr>
              <w:tabs>
                <w:tab w:val="left" w:pos="510"/>
              </w:tabs>
              <w:jc w:val="center"/>
              <w:rPr>
                <w:b/>
                <w:lang w:val="lt-LT"/>
              </w:rPr>
            </w:pP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8" w:type="dxa"/>
            <w:gridSpan w:val="7"/>
            <w:tcBorders>
              <w:bottom w:val="single" w:sz="4" w:space="0" w:color="auto"/>
              <w:right w:val="single" w:sz="4" w:space="0" w:color="auto"/>
            </w:tcBorders>
          </w:tcPr>
          <w:p w:rsidR="00E91EA3" w:rsidRPr="00B045AF" w:rsidRDefault="00E91EA3" w:rsidP="00065FB5">
            <w:pPr>
              <w:tabs>
                <w:tab w:val="left" w:pos="510"/>
              </w:tabs>
              <w:jc w:val="center"/>
              <w:rPr>
                <w:b/>
                <w:lang w:val="lt-LT"/>
              </w:rPr>
            </w:pPr>
            <w:r w:rsidRPr="00B045AF">
              <w:rPr>
                <w:b/>
                <w:lang w:val="lt-LT"/>
              </w:rPr>
              <w:t>35</w:t>
            </w:r>
          </w:p>
        </w:tc>
        <w:tc>
          <w:tcPr>
            <w:tcW w:w="1133" w:type="dxa"/>
            <w:gridSpan w:val="7"/>
            <w:tcBorders>
              <w:top w:val="nil"/>
              <w:left w:val="single" w:sz="4" w:space="0" w:color="auto"/>
              <w:bottom w:val="nil"/>
            </w:tcBorders>
          </w:tcPr>
          <w:p w:rsidR="00E91EA3" w:rsidRPr="00B045AF" w:rsidRDefault="00E91EA3" w:rsidP="00065FB5">
            <w:pPr>
              <w:tabs>
                <w:tab w:val="left" w:pos="510"/>
              </w:tabs>
              <w:jc w:val="both"/>
              <w:rPr>
                <w:b/>
                <w:lang w:val="lt-LT"/>
              </w:rPr>
            </w:pP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Height w:val="264"/>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Pr>
                <w:b/>
                <w:lang w:val="lt-LT"/>
              </w:rPr>
              <w:t xml:space="preserve">ĮGIMTOS </w:t>
            </w:r>
            <w:r w:rsidRPr="004273CC">
              <w:rPr>
                <w:b/>
                <w:lang w:val="lt-LT"/>
              </w:rPr>
              <w:t>RIZIKOS LYGIS, proc. (1 eil./3eil.*100)</w:t>
            </w:r>
          </w:p>
        </w:tc>
        <w:tc>
          <w:tcPr>
            <w:tcW w:w="1147" w:type="dxa"/>
            <w:gridSpan w:val="7"/>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E91EA3" w:rsidRPr="00D62D94" w:rsidRDefault="00E91EA3" w:rsidP="00065FB5">
            <w:pPr>
              <w:tabs>
                <w:tab w:val="left" w:pos="510"/>
              </w:tabs>
              <w:jc w:val="center"/>
              <w:rPr>
                <w:b/>
                <w:lang w:val="lt-LT"/>
              </w:rPr>
            </w:pPr>
            <w:r w:rsidRPr="00D62D94">
              <w:rPr>
                <w:b/>
                <w:lang w:val="lt-LT"/>
              </w:rPr>
              <w:t>80</w:t>
            </w:r>
          </w:p>
        </w:tc>
        <w:tc>
          <w:tcPr>
            <w:tcW w:w="1093" w:type="dxa"/>
            <w:gridSpan w:val="6"/>
            <w:tcBorders>
              <w:top w:val="nil"/>
              <w:left w:val="single" w:sz="4" w:space="0" w:color="auto"/>
              <w:bottom w:val="single" w:sz="4" w:space="0" w:color="auto"/>
              <w:right w:val="single" w:sz="4" w:space="0" w:color="auto"/>
            </w:tcBorders>
          </w:tcPr>
          <w:p w:rsidR="00E91EA3" w:rsidRPr="00D62D94" w:rsidRDefault="00E91EA3" w:rsidP="00065FB5">
            <w:pPr>
              <w:tabs>
                <w:tab w:val="left" w:pos="510"/>
              </w:tabs>
              <w:jc w:val="center"/>
              <w:rPr>
                <w:b/>
                <w:lang w:val="lt-LT"/>
              </w:rPr>
            </w:pPr>
            <w:r w:rsidRPr="00D62D94">
              <w:rPr>
                <w:b/>
                <w:lang w:val="lt-LT"/>
              </w:rPr>
              <w:t>DIDELĖ</w:t>
            </w:r>
          </w:p>
        </w:tc>
        <w:tc>
          <w:tcPr>
            <w:tcW w:w="1006" w:type="dxa"/>
            <w:gridSpan w:val="8"/>
            <w:vMerge/>
            <w:tcBorders>
              <w:left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8" w:type="dxa"/>
            <w:gridSpan w:val="7"/>
            <w:tcBorders>
              <w:right w:val="single" w:sz="4" w:space="0" w:color="auto"/>
            </w:tcBorders>
            <w:shd w:val="clear" w:color="auto" w:fill="D9D9D9"/>
          </w:tcPr>
          <w:p w:rsidR="00E91EA3" w:rsidRPr="00B045AF" w:rsidRDefault="00E91EA3" w:rsidP="00065FB5">
            <w:pPr>
              <w:tabs>
                <w:tab w:val="left" w:pos="510"/>
              </w:tabs>
              <w:jc w:val="center"/>
              <w:rPr>
                <w:b/>
                <w:lang w:val="lt-LT"/>
              </w:rPr>
            </w:pPr>
            <w:r w:rsidRPr="00B045AF">
              <w:rPr>
                <w:b/>
                <w:lang w:val="lt-LT"/>
              </w:rPr>
              <w:t>71</w:t>
            </w:r>
          </w:p>
        </w:tc>
        <w:tc>
          <w:tcPr>
            <w:tcW w:w="1133" w:type="dxa"/>
            <w:gridSpan w:val="7"/>
            <w:tcBorders>
              <w:top w:val="nil"/>
              <w:left w:val="single" w:sz="4" w:space="0" w:color="auto"/>
              <w:bottom w:val="single" w:sz="4" w:space="0" w:color="auto"/>
            </w:tcBorders>
          </w:tcPr>
          <w:p w:rsidR="00E91EA3" w:rsidRPr="00B045AF" w:rsidRDefault="00E91EA3" w:rsidP="00065FB5">
            <w:pPr>
              <w:tabs>
                <w:tab w:val="left" w:pos="510"/>
              </w:tabs>
              <w:jc w:val="both"/>
              <w:rPr>
                <w:b/>
                <w:lang w:val="lt-LT"/>
              </w:rPr>
            </w:pPr>
            <w:r w:rsidRPr="00B045AF">
              <w:rPr>
                <w:b/>
                <w:lang w:val="lt-LT"/>
              </w:rPr>
              <w:t>DIDELĖ</w:t>
            </w: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47" w:type="dxa"/>
            <w:gridSpan w:val="7"/>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right w:val="single" w:sz="4" w:space="0" w:color="auto"/>
            </w:tcBorders>
          </w:tcPr>
          <w:p w:rsidR="00E91EA3" w:rsidRPr="00D62D94" w:rsidRDefault="00E91EA3" w:rsidP="00065FB5">
            <w:pPr>
              <w:tabs>
                <w:tab w:val="left" w:pos="510"/>
              </w:tabs>
              <w:jc w:val="center"/>
              <w:rPr>
                <w:b/>
                <w:lang w:val="lt-LT"/>
              </w:rPr>
            </w:pPr>
            <w:r w:rsidRPr="00D62D94">
              <w:rPr>
                <w:b/>
                <w:lang w:val="lt-LT"/>
              </w:rPr>
              <w:t>X</w:t>
            </w:r>
          </w:p>
        </w:tc>
        <w:tc>
          <w:tcPr>
            <w:tcW w:w="1093" w:type="dxa"/>
            <w:gridSpan w:val="6"/>
            <w:tcBorders>
              <w:top w:val="single" w:sz="4" w:space="0" w:color="auto"/>
              <w:left w:val="single" w:sz="4" w:space="0" w:color="auto"/>
              <w:bottom w:val="single" w:sz="4" w:space="0" w:color="auto"/>
              <w:right w:val="single" w:sz="4" w:space="0" w:color="auto"/>
            </w:tcBorders>
          </w:tcPr>
          <w:p w:rsidR="00E91EA3" w:rsidRPr="00D62D94" w:rsidRDefault="00E91EA3" w:rsidP="00065FB5">
            <w:pPr>
              <w:tabs>
                <w:tab w:val="left" w:pos="510"/>
              </w:tabs>
              <w:jc w:val="center"/>
              <w:rPr>
                <w:b/>
                <w:lang w:val="lt-LT"/>
              </w:rPr>
            </w:pPr>
            <w:r w:rsidRPr="00D62D94">
              <w:rPr>
                <w:b/>
                <w:lang w:val="lt-LT"/>
              </w:rPr>
              <w:t>16</w:t>
            </w: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8" w:type="dxa"/>
            <w:gridSpan w:val="7"/>
          </w:tcPr>
          <w:p w:rsidR="00E91EA3" w:rsidRPr="00B045AF" w:rsidRDefault="00E91EA3" w:rsidP="00065FB5">
            <w:pPr>
              <w:tabs>
                <w:tab w:val="left" w:pos="510"/>
              </w:tabs>
              <w:jc w:val="center"/>
              <w:rPr>
                <w:b/>
                <w:lang w:val="lt-LT"/>
              </w:rPr>
            </w:pPr>
            <w:r w:rsidRPr="00B045AF">
              <w:rPr>
                <w:b/>
                <w:lang w:val="lt-LT"/>
              </w:rPr>
              <w:t>X</w:t>
            </w:r>
          </w:p>
        </w:tc>
        <w:tc>
          <w:tcPr>
            <w:tcW w:w="1133" w:type="dxa"/>
            <w:gridSpan w:val="7"/>
            <w:tcBorders>
              <w:top w:val="single" w:sz="4" w:space="0" w:color="auto"/>
              <w:bottom w:val="single" w:sz="4" w:space="0" w:color="auto"/>
            </w:tcBorders>
          </w:tcPr>
          <w:p w:rsidR="00E91EA3" w:rsidRPr="00B045AF" w:rsidRDefault="00E91EA3" w:rsidP="00065FB5">
            <w:pPr>
              <w:tabs>
                <w:tab w:val="left" w:pos="510"/>
              </w:tabs>
              <w:jc w:val="both"/>
              <w:rPr>
                <w:b/>
                <w:lang w:val="lt-LT"/>
              </w:rPr>
            </w:pPr>
            <w:r w:rsidRPr="00B045AF">
              <w:rPr>
                <w:b/>
                <w:lang w:val="lt-LT"/>
              </w:rPr>
              <w:t>22</w:t>
            </w: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47" w:type="dxa"/>
            <w:gridSpan w:val="7"/>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right w:val="single" w:sz="4" w:space="0" w:color="auto"/>
            </w:tcBorders>
          </w:tcPr>
          <w:p w:rsidR="00E91EA3" w:rsidRPr="00D62D94" w:rsidRDefault="00E91EA3" w:rsidP="00065FB5">
            <w:pPr>
              <w:tabs>
                <w:tab w:val="left" w:pos="510"/>
              </w:tabs>
              <w:jc w:val="center"/>
              <w:rPr>
                <w:b/>
                <w:lang w:val="lt-LT"/>
              </w:rPr>
            </w:pPr>
            <w:r w:rsidRPr="00D62D94">
              <w:rPr>
                <w:b/>
                <w:lang w:val="lt-LT"/>
              </w:rPr>
              <w:t>4</w:t>
            </w:r>
          </w:p>
        </w:tc>
        <w:tc>
          <w:tcPr>
            <w:tcW w:w="1093" w:type="dxa"/>
            <w:gridSpan w:val="6"/>
            <w:tcBorders>
              <w:top w:val="single" w:sz="4" w:space="0" w:color="auto"/>
              <w:left w:val="single" w:sz="4" w:space="0" w:color="auto"/>
              <w:bottom w:val="nil"/>
              <w:right w:val="single" w:sz="4" w:space="0" w:color="auto"/>
            </w:tcBorders>
          </w:tcPr>
          <w:p w:rsidR="00E91EA3" w:rsidRPr="00D62D94" w:rsidRDefault="00E91EA3" w:rsidP="00065FB5">
            <w:pPr>
              <w:tabs>
                <w:tab w:val="left" w:pos="510"/>
              </w:tabs>
              <w:jc w:val="both"/>
              <w:rPr>
                <w:b/>
                <w:lang w:val="lt-LT"/>
              </w:rPr>
            </w:pP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8" w:type="dxa"/>
            <w:gridSpan w:val="7"/>
            <w:tcBorders>
              <w:right w:val="single" w:sz="4" w:space="0" w:color="auto"/>
            </w:tcBorders>
          </w:tcPr>
          <w:p w:rsidR="00E91EA3" w:rsidRPr="00B045AF" w:rsidRDefault="00E91EA3" w:rsidP="00065FB5">
            <w:pPr>
              <w:tabs>
                <w:tab w:val="left" w:pos="510"/>
              </w:tabs>
              <w:jc w:val="center"/>
              <w:rPr>
                <w:b/>
                <w:lang w:val="lt-LT"/>
              </w:rPr>
            </w:pPr>
            <w:r w:rsidRPr="00B045AF">
              <w:rPr>
                <w:b/>
                <w:lang w:val="lt-LT"/>
              </w:rPr>
              <w:t>7</w:t>
            </w:r>
          </w:p>
        </w:tc>
        <w:tc>
          <w:tcPr>
            <w:tcW w:w="1133" w:type="dxa"/>
            <w:gridSpan w:val="7"/>
            <w:tcBorders>
              <w:top w:val="single" w:sz="4" w:space="0" w:color="auto"/>
              <w:left w:val="single" w:sz="4" w:space="0" w:color="auto"/>
              <w:bottom w:val="nil"/>
            </w:tcBorders>
          </w:tcPr>
          <w:p w:rsidR="00E91EA3" w:rsidRPr="00B045AF" w:rsidRDefault="00E91EA3" w:rsidP="00065FB5">
            <w:pPr>
              <w:tabs>
                <w:tab w:val="left" w:pos="510"/>
              </w:tabs>
              <w:jc w:val="both"/>
              <w:rPr>
                <w:b/>
                <w:lang w:val="lt-LT"/>
              </w:rPr>
            </w:pP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Pr>
          <w:p w:rsidR="00E91EA3" w:rsidRPr="004273CC" w:rsidRDefault="00E91EA3" w:rsidP="00065FB5">
            <w:pPr>
              <w:tabs>
                <w:tab w:val="left" w:pos="510"/>
              </w:tabs>
              <w:jc w:val="right"/>
              <w:rPr>
                <w:lang w:val="lt-LT"/>
              </w:rPr>
            </w:pPr>
          </w:p>
        </w:tc>
        <w:tc>
          <w:tcPr>
            <w:tcW w:w="4560" w:type="dxa"/>
            <w:gridSpan w:val="20"/>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47" w:type="dxa"/>
            <w:gridSpan w:val="7"/>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tcPr>
          <w:p w:rsidR="00E91EA3" w:rsidRPr="00D62D94" w:rsidRDefault="00E91EA3" w:rsidP="00065FB5">
            <w:pPr>
              <w:tabs>
                <w:tab w:val="left" w:pos="510"/>
              </w:tabs>
              <w:jc w:val="center"/>
              <w:rPr>
                <w:b/>
                <w:lang w:val="lt-LT"/>
              </w:rPr>
            </w:pPr>
            <w:r w:rsidRPr="00D62D94">
              <w:rPr>
                <w:b/>
                <w:lang w:val="lt-LT"/>
              </w:rPr>
              <w:t>20</w:t>
            </w:r>
          </w:p>
        </w:tc>
        <w:tc>
          <w:tcPr>
            <w:tcW w:w="1093" w:type="dxa"/>
            <w:gridSpan w:val="6"/>
            <w:tcBorders>
              <w:top w:val="nil"/>
              <w:left w:val="single" w:sz="4" w:space="0" w:color="auto"/>
              <w:bottom w:val="nil"/>
              <w:right w:val="single" w:sz="4" w:space="0" w:color="auto"/>
            </w:tcBorders>
          </w:tcPr>
          <w:p w:rsidR="00E91EA3" w:rsidRPr="00D62D94" w:rsidRDefault="00E91EA3" w:rsidP="00065FB5">
            <w:pPr>
              <w:tabs>
                <w:tab w:val="left" w:pos="510"/>
              </w:tabs>
              <w:jc w:val="both"/>
              <w:rPr>
                <w:b/>
                <w:lang w:val="lt-LT"/>
              </w:rPr>
            </w:pPr>
          </w:p>
        </w:tc>
        <w:tc>
          <w:tcPr>
            <w:tcW w:w="1006"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059" w:type="dxa"/>
            <w:gridSpan w:val="5"/>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8" w:type="dxa"/>
            <w:gridSpan w:val="7"/>
            <w:tcBorders>
              <w:bottom w:val="single" w:sz="4" w:space="0" w:color="auto"/>
              <w:right w:val="single" w:sz="4" w:space="0" w:color="auto"/>
            </w:tcBorders>
          </w:tcPr>
          <w:p w:rsidR="00E91EA3" w:rsidRPr="00B045AF" w:rsidRDefault="00E91EA3" w:rsidP="00065FB5">
            <w:pPr>
              <w:tabs>
                <w:tab w:val="left" w:pos="510"/>
              </w:tabs>
              <w:jc w:val="center"/>
              <w:rPr>
                <w:b/>
                <w:lang w:val="lt-LT"/>
              </w:rPr>
            </w:pPr>
            <w:r w:rsidRPr="00B045AF">
              <w:rPr>
                <w:b/>
                <w:lang w:val="lt-LT"/>
              </w:rPr>
              <w:t>35</w:t>
            </w:r>
          </w:p>
        </w:tc>
        <w:tc>
          <w:tcPr>
            <w:tcW w:w="1133" w:type="dxa"/>
            <w:gridSpan w:val="7"/>
            <w:tcBorders>
              <w:top w:val="nil"/>
              <w:left w:val="single" w:sz="4" w:space="0" w:color="auto"/>
              <w:bottom w:val="nil"/>
            </w:tcBorders>
          </w:tcPr>
          <w:p w:rsidR="00E91EA3" w:rsidRPr="00B045AF" w:rsidRDefault="00E91EA3" w:rsidP="00065FB5">
            <w:pPr>
              <w:tabs>
                <w:tab w:val="left" w:pos="510"/>
              </w:tabs>
              <w:jc w:val="both"/>
              <w:rPr>
                <w:b/>
                <w:lang w:val="lt-LT"/>
              </w:rPr>
            </w:pP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796" w:type="dxa"/>
            <w:gridSpan w:val="2"/>
            <w:vMerge/>
            <w:tcBorders>
              <w:bottom w:val="single" w:sz="4" w:space="0" w:color="auto"/>
            </w:tcBorders>
          </w:tcPr>
          <w:p w:rsidR="00E91EA3" w:rsidRPr="004273CC" w:rsidRDefault="00E91EA3" w:rsidP="00065FB5">
            <w:pPr>
              <w:tabs>
                <w:tab w:val="left" w:pos="510"/>
              </w:tabs>
              <w:jc w:val="right"/>
              <w:rPr>
                <w:lang w:val="lt-LT"/>
              </w:rPr>
            </w:pPr>
          </w:p>
        </w:tc>
        <w:tc>
          <w:tcPr>
            <w:tcW w:w="4560" w:type="dxa"/>
            <w:gridSpan w:val="20"/>
            <w:tcBorders>
              <w:bottom w:val="single" w:sz="4" w:space="0" w:color="auto"/>
            </w:tcBorders>
          </w:tcPr>
          <w:p w:rsidR="00E91EA3" w:rsidRPr="004273CC" w:rsidRDefault="00E91EA3"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47" w:type="dxa"/>
            <w:gridSpan w:val="7"/>
            <w:tcBorders>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E91EA3" w:rsidRPr="00D62D94" w:rsidRDefault="00E91EA3" w:rsidP="00065FB5">
            <w:pPr>
              <w:tabs>
                <w:tab w:val="left" w:pos="510"/>
              </w:tabs>
              <w:jc w:val="center"/>
              <w:rPr>
                <w:b/>
                <w:lang w:val="lt-LT"/>
              </w:rPr>
            </w:pPr>
            <w:r w:rsidRPr="00D62D94">
              <w:rPr>
                <w:b/>
                <w:lang w:val="lt-LT"/>
              </w:rPr>
              <w:t>80</w:t>
            </w:r>
          </w:p>
        </w:tc>
        <w:tc>
          <w:tcPr>
            <w:tcW w:w="1093" w:type="dxa"/>
            <w:gridSpan w:val="6"/>
            <w:tcBorders>
              <w:top w:val="nil"/>
              <w:left w:val="single" w:sz="4" w:space="0" w:color="auto"/>
              <w:bottom w:val="single" w:sz="4" w:space="0" w:color="auto"/>
              <w:right w:val="single" w:sz="4" w:space="0" w:color="auto"/>
            </w:tcBorders>
          </w:tcPr>
          <w:p w:rsidR="00E91EA3" w:rsidRPr="00D62D94" w:rsidRDefault="00E91EA3" w:rsidP="00065FB5">
            <w:pPr>
              <w:tabs>
                <w:tab w:val="left" w:pos="510"/>
              </w:tabs>
              <w:jc w:val="both"/>
              <w:rPr>
                <w:b/>
                <w:lang w:val="lt-LT"/>
              </w:rPr>
            </w:pPr>
            <w:r w:rsidRPr="00D62D94">
              <w:rPr>
                <w:b/>
                <w:lang w:val="lt-LT"/>
              </w:rPr>
              <w:t>DIDELĖ</w:t>
            </w:r>
          </w:p>
        </w:tc>
        <w:tc>
          <w:tcPr>
            <w:tcW w:w="1006" w:type="dxa"/>
            <w:gridSpan w:val="8"/>
            <w:vMerge/>
            <w:tcBorders>
              <w:left w:val="single" w:sz="4" w:space="0" w:color="auto"/>
              <w:bottom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059" w:type="dxa"/>
            <w:gridSpan w:val="5"/>
            <w:tcBorders>
              <w:left w:val="single" w:sz="4" w:space="0" w:color="auto"/>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8" w:type="dxa"/>
            <w:gridSpan w:val="7"/>
            <w:tcBorders>
              <w:bottom w:val="single" w:sz="4" w:space="0" w:color="auto"/>
              <w:right w:val="single" w:sz="4" w:space="0" w:color="auto"/>
            </w:tcBorders>
            <w:shd w:val="clear" w:color="auto" w:fill="D9D9D9"/>
          </w:tcPr>
          <w:p w:rsidR="00E91EA3" w:rsidRPr="00B045AF" w:rsidRDefault="00E91EA3" w:rsidP="00065FB5">
            <w:pPr>
              <w:tabs>
                <w:tab w:val="left" w:pos="510"/>
              </w:tabs>
              <w:jc w:val="center"/>
              <w:rPr>
                <w:b/>
                <w:lang w:val="lt-LT"/>
              </w:rPr>
            </w:pPr>
            <w:r w:rsidRPr="00B045AF">
              <w:rPr>
                <w:b/>
                <w:lang w:val="lt-LT"/>
              </w:rPr>
              <w:t>62</w:t>
            </w:r>
          </w:p>
        </w:tc>
        <w:tc>
          <w:tcPr>
            <w:tcW w:w="1133" w:type="dxa"/>
            <w:gridSpan w:val="7"/>
            <w:tcBorders>
              <w:top w:val="nil"/>
              <w:left w:val="single" w:sz="4" w:space="0" w:color="auto"/>
              <w:bottom w:val="single" w:sz="4" w:space="0" w:color="auto"/>
            </w:tcBorders>
          </w:tcPr>
          <w:p w:rsidR="00E91EA3" w:rsidRPr="00B045AF" w:rsidRDefault="00E91EA3" w:rsidP="00065FB5">
            <w:pPr>
              <w:tabs>
                <w:tab w:val="left" w:pos="510"/>
              </w:tabs>
              <w:jc w:val="both"/>
              <w:rPr>
                <w:b/>
                <w:lang w:val="lt-LT"/>
              </w:rPr>
            </w:pPr>
            <w:r w:rsidRPr="00B045AF">
              <w:rPr>
                <w:b/>
                <w:lang w:val="lt-LT"/>
              </w:rPr>
              <w:t>DIDELĖ</w:t>
            </w:r>
          </w:p>
        </w:tc>
        <w:tc>
          <w:tcPr>
            <w:tcW w:w="1647" w:type="dxa"/>
            <w:gridSpan w:val="5"/>
            <w:vMerge/>
            <w:tcBorders>
              <w:bottom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065FB5">
        <w:trPr>
          <w:cantSplit/>
        </w:trPr>
        <w:tc>
          <w:tcPr>
            <w:tcW w:w="13858" w:type="dxa"/>
            <w:gridSpan w:val="75"/>
            <w:shd w:val="clear" w:color="auto" w:fill="F2F2F2"/>
          </w:tcPr>
          <w:p w:rsidR="00E91EA3" w:rsidRPr="004273CC" w:rsidRDefault="00E91EA3" w:rsidP="00065FB5">
            <w:pPr>
              <w:tabs>
                <w:tab w:val="left" w:pos="510"/>
              </w:tabs>
              <w:jc w:val="both"/>
              <w:rPr>
                <w:lang w:val="lt-LT"/>
              </w:rPr>
            </w:pPr>
          </w:p>
        </w:tc>
      </w:tr>
      <w:tr w:rsidR="00E91EA3" w:rsidRPr="004273CC" w:rsidTr="001C0D02">
        <w:trPr>
          <w:cantSplit/>
          <w:trHeight w:val="414"/>
        </w:trPr>
        <w:tc>
          <w:tcPr>
            <w:tcW w:w="4248" w:type="dxa"/>
            <w:gridSpan w:val="9"/>
            <w:vMerge w:val="restart"/>
          </w:tcPr>
          <w:p w:rsidR="00E91EA3" w:rsidRPr="004273CC" w:rsidRDefault="00E91EA3" w:rsidP="00065FB5">
            <w:pPr>
              <w:tabs>
                <w:tab w:val="left" w:pos="510"/>
              </w:tabs>
              <w:ind w:left="113" w:right="113"/>
              <w:jc w:val="center"/>
              <w:rPr>
                <w:lang w:val="lt-LT"/>
              </w:rPr>
            </w:pPr>
            <w:r>
              <w:rPr>
                <w:b/>
                <w:lang w:val="lt-LT"/>
              </w:rPr>
              <w:t>Finansinių ataskaitų elemento ir/ar jo tvirtinimo pobūdis ir jam taikoma vidaus kontrolės sistema</w:t>
            </w:r>
          </w:p>
        </w:tc>
        <w:tc>
          <w:tcPr>
            <w:tcW w:w="556"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IR / KR</w:t>
            </w:r>
          </w:p>
          <w:p w:rsidR="00E91EA3" w:rsidRPr="004273CC" w:rsidRDefault="00E91EA3" w:rsidP="00065FB5">
            <w:pPr>
              <w:tabs>
                <w:tab w:val="left" w:pos="510"/>
              </w:tabs>
              <w:ind w:left="113" w:right="113"/>
              <w:jc w:val="center"/>
              <w:rPr>
                <w:lang w:val="lt-LT"/>
              </w:rPr>
            </w:pPr>
          </w:p>
        </w:tc>
        <w:tc>
          <w:tcPr>
            <w:tcW w:w="2955" w:type="dxa"/>
            <w:gridSpan w:val="22"/>
          </w:tcPr>
          <w:p w:rsidR="00E91EA3" w:rsidRPr="004273CC" w:rsidRDefault="00E91EA3" w:rsidP="00065FB5">
            <w:pPr>
              <w:tabs>
                <w:tab w:val="left" w:pos="510"/>
              </w:tabs>
              <w:jc w:val="center"/>
              <w:rPr>
                <w:lang w:val="lt-LT"/>
              </w:rPr>
            </w:pPr>
            <w:r>
              <w:rPr>
                <w:b/>
                <w:lang w:val="lt-LT"/>
              </w:rPr>
              <w:t>UAB „Šiluma“</w:t>
            </w:r>
          </w:p>
        </w:tc>
        <w:tc>
          <w:tcPr>
            <w:tcW w:w="5532" w:type="dxa"/>
            <w:gridSpan w:val="30"/>
          </w:tcPr>
          <w:p w:rsidR="00E91EA3" w:rsidRPr="004273CC" w:rsidRDefault="00E91EA3" w:rsidP="00065FB5">
            <w:pPr>
              <w:tabs>
                <w:tab w:val="left" w:pos="510"/>
              </w:tabs>
              <w:jc w:val="center"/>
              <w:rPr>
                <w:lang w:val="lt-LT"/>
              </w:rPr>
            </w:pPr>
            <w:r>
              <w:rPr>
                <w:b/>
                <w:lang w:val="lt-LT"/>
              </w:rPr>
              <w:t>UAB „Žuvila“</w:t>
            </w:r>
          </w:p>
        </w:tc>
      </w:tr>
      <w:tr w:rsidR="00E91EA3" w:rsidRPr="004273CC" w:rsidTr="001C0D02">
        <w:trPr>
          <w:cantSplit/>
        </w:trPr>
        <w:tc>
          <w:tcPr>
            <w:tcW w:w="4248" w:type="dxa"/>
            <w:gridSpan w:val="9"/>
            <w:vMerge/>
          </w:tcPr>
          <w:p w:rsidR="00E91EA3" w:rsidRPr="004273CC" w:rsidRDefault="00E91EA3" w:rsidP="00065FB5">
            <w:pPr>
              <w:tabs>
                <w:tab w:val="left" w:pos="510"/>
              </w:tabs>
              <w:jc w:val="center"/>
              <w:rPr>
                <w:b/>
                <w:lang w:val="lt-LT"/>
              </w:rPr>
            </w:pPr>
          </w:p>
        </w:tc>
        <w:tc>
          <w:tcPr>
            <w:tcW w:w="556" w:type="dxa"/>
            <w:gridSpan w:val="7"/>
            <w:vMerge/>
            <w:vAlign w:val="center"/>
          </w:tcPr>
          <w:p w:rsidR="00E91EA3" w:rsidRPr="004273CC" w:rsidRDefault="00E91EA3" w:rsidP="00065FB5">
            <w:pPr>
              <w:tabs>
                <w:tab w:val="left" w:pos="510"/>
              </w:tabs>
              <w:jc w:val="center"/>
              <w:rPr>
                <w:lang w:val="lt-LT"/>
              </w:rPr>
            </w:pPr>
          </w:p>
        </w:tc>
        <w:tc>
          <w:tcPr>
            <w:tcW w:w="567" w:type="dxa"/>
            <w:gridSpan w:val="7"/>
            <w:vMerge/>
            <w:vAlign w:val="center"/>
          </w:tcPr>
          <w:p w:rsidR="00E91EA3" w:rsidRPr="004273CC" w:rsidRDefault="00E91EA3" w:rsidP="00065FB5">
            <w:pPr>
              <w:tabs>
                <w:tab w:val="left" w:pos="510"/>
              </w:tabs>
              <w:jc w:val="center"/>
              <w:rPr>
                <w:lang w:val="lt-LT"/>
              </w:rPr>
            </w:pPr>
          </w:p>
        </w:tc>
        <w:tc>
          <w:tcPr>
            <w:tcW w:w="2955" w:type="dxa"/>
            <w:gridSpan w:val="22"/>
            <w:vAlign w:val="center"/>
          </w:tcPr>
          <w:p w:rsidR="00E91EA3" w:rsidRPr="004273CC" w:rsidRDefault="00E91EA3" w:rsidP="00065FB5">
            <w:pPr>
              <w:tabs>
                <w:tab w:val="left" w:pos="510"/>
              </w:tabs>
              <w:jc w:val="center"/>
              <w:rPr>
                <w:lang w:val="lt-LT"/>
              </w:rPr>
            </w:pPr>
            <w:r w:rsidRPr="004273CC">
              <w:rPr>
                <w:b/>
                <w:lang w:val="lt-LT"/>
              </w:rPr>
              <w:t>Rizikos vertinima</w:t>
            </w:r>
            <w:r>
              <w:rPr>
                <w:b/>
                <w:lang w:val="lt-LT"/>
              </w:rPr>
              <w:t>s</w:t>
            </w:r>
          </w:p>
        </w:tc>
        <w:tc>
          <w:tcPr>
            <w:tcW w:w="1136" w:type="dxa"/>
            <w:gridSpan w:val="10"/>
            <w:vAlign w:val="center"/>
          </w:tcPr>
          <w:p w:rsidR="00E91EA3" w:rsidRPr="004273CC" w:rsidRDefault="00E91EA3" w:rsidP="00065FB5">
            <w:pPr>
              <w:tabs>
                <w:tab w:val="left" w:pos="510"/>
              </w:tabs>
              <w:jc w:val="center"/>
              <w:rPr>
                <w:lang w:val="lt-LT"/>
              </w:rPr>
            </w:pPr>
            <w:r w:rsidRPr="004273CC">
              <w:rPr>
                <w:b/>
                <w:lang w:val="lt-LT"/>
              </w:rPr>
              <w:t>Pastabos</w:t>
            </w:r>
          </w:p>
        </w:tc>
        <w:tc>
          <w:tcPr>
            <w:tcW w:w="2749" w:type="dxa"/>
            <w:gridSpan w:val="15"/>
          </w:tcPr>
          <w:p w:rsidR="00E91EA3" w:rsidRPr="004273CC" w:rsidRDefault="00E91EA3" w:rsidP="00065FB5">
            <w:pPr>
              <w:tabs>
                <w:tab w:val="left" w:pos="510"/>
              </w:tabs>
              <w:jc w:val="center"/>
              <w:rPr>
                <w:lang w:val="lt-LT"/>
              </w:rPr>
            </w:pPr>
            <w:r w:rsidRPr="004273CC">
              <w:rPr>
                <w:b/>
                <w:lang w:val="lt-LT"/>
              </w:rPr>
              <w:t>Rizikos vertinimas</w:t>
            </w:r>
          </w:p>
        </w:tc>
        <w:tc>
          <w:tcPr>
            <w:tcW w:w="1647" w:type="dxa"/>
            <w:gridSpan w:val="5"/>
            <w:vAlign w:val="center"/>
          </w:tcPr>
          <w:p w:rsidR="00E91EA3" w:rsidRPr="004273CC" w:rsidRDefault="00E91EA3" w:rsidP="00065FB5">
            <w:pPr>
              <w:tabs>
                <w:tab w:val="left" w:pos="510"/>
              </w:tabs>
              <w:jc w:val="center"/>
              <w:rPr>
                <w:lang w:val="lt-LT"/>
              </w:rPr>
            </w:pPr>
            <w:r w:rsidRPr="004273CC">
              <w:rPr>
                <w:b/>
                <w:lang w:val="lt-LT"/>
              </w:rPr>
              <w:t>Pastabos</w:t>
            </w:r>
          </w:p>
        </w:tc>
      </w:tr>
      <w:tr w:rsidR="00E91EA3" w:rsidRPr="004273CC" w:rsidTr="001C0D02">
        <w:trPr>
          <w:cantSplit/>
          <w:trHeight w:val="622"/>
        </w:trPr>
        <w:tc>
          <w:tcPr>
            <w:tcW w:w="1007" w:type="dxa"/>
            <w:gridSpan w:val="4"/>
          </w:tcPr>
          <w:p w:rsidR="00E91EA3" w:rsidRPr="005618BC" w:rsidRDefault="00E91EA3" w:rsidP="00065FB5">
            <w:pPr>
              <w:tabs>
                <w:tab w:val="left" w:pos="510"/>
              </w:tabs>
              <w:jc w:val="center"/>
              <w:rPr>
                <w:b/>
                <w:lang w:val="lt-LT"/>
              </w:rPr>
            </w:pPr>
            <w:r>
              <w:rPr>
                <w:b/>
                <w:lang w:val="lt-LT"/>
              </w:rPr>
              <w:t>Tipas</w:t>
            </w:r>
          </w:p>
        </w:tc>
        <w:tc>
          <w:tcPr>
            <w:tcW w:w="3241" w:type="dxa"/>
            <w:gridSpan w:val="5"/>
          </w:tcPr>
          <w:p w:rsidR="00E91EA3" w:rsidRPr="004273CC" w:rsidRDefault="00E91EA3" w:rsidP="00065FB5">
            <w:pPr>
              <w:tabs>
                <w:tab w:val="left" w:pos="510"/>
              </w:tabs>
              <w:jc w:val="center"/>
              <w:rPr>
                <w:lang w:val="lt-LT"/>
              </w:rPr>
            </w:pPr>
            <w:r w:rsidRPr="005618BC">
              <w:rPr>
                <w:b/>
                <w:lang w:val="lt-LT"/>
              </w:rPr>
              <w:t>Veiksniai</w:t>
            </w:r>
          </w:p>
        </w:tc>
        <w:tc>
          <w:tcPr>
            <w:tcW w:w="556" w:type="dxa"/>
            <w:gridSpan w:val="7"/>
            <w:vMerge/>
          </w:tcPr>
          <w:p w:rsidR="00E91EA3" w:rsidRPr="004273CC" w:rsidRDefault="00E91EA3" w:rsidP="00065FB5">
            <w:pPr>
              <w:tabs>
                <w:tab w:val="left" w:pos="510"/>
              </w:tabs>
              <w:jc w:val="center"/>
              <w:rPr>
                <w:lang w:val="lt-LT"/>
              </w:rPr>
            </w:pPr>
          </w:p>
        </w:tc>
        <w:tc>
          <w:tcPr>
            <w:tcW w:w="567" w:type="dxa"/>
            <w:gridSpan w:val="7"/>
            <w:vMerge/>
          </w:tcPr>
          <w:p w:rsidR="00E91EA3" w:rsidRPr="004273CC" w:rsidRDefault="00E91EA3" w:rsidP="00065FB5">
            <w:pPr>
              <w:tabs>
                <w:tab w:val="left" w:pos="510"/>
              </w:tabs>
              <w:jc w:val="center"/>
              <w:rPr>
                <w:lang w:val="lt-LT"/>
              </w:rPr>
            </w:pPr>
          </w:p>
        </w:tc>
        <w:tc>
          <w:tcPr>
            <w:tcW w:w="1132" w:type="dxa"/>
            <w:gridSpan w:val="6"/>
          </w:tcPr>
          <w:p w:rsidR="00E91EA3" w:rsidRPr="004273CC" w:rsidRDefault="00E91EA3" w:rsidP="00065FB5">
            <w:pPr>
              <w:tabs>
                <w:tab w:val="left" w:pos="510"/>
              </w:tabs>
              <w:jc w:val="center"/>
              <w:rPr>
                <w:lang w:val="lt-LT"/>
              </w:rPr>
            </w:pPr>
            <w:r w:rsidRPr="004273CC">
              <w:rPr>
                <w:lang w:val="lt-LT"/>
              </w:rPr>
              <w:t>Tikimybė (1-5)</w:t>
            </w:r>
          </w:p>
        </w:tc>
        <w:tc>
          <w:tcPr>
            <w:tcW w:w="709" w:type="dxa"/>
            <w:gridSpan w:val="8"/>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14" w:type="dxa"/>
            <w:gridSpan w:val="8"/>
          </w:tcPr>
          <w:p w:rsidR="00E91EA3" w:rsidRPr="004273CC" w:rsidRDefault="00E91EA3" w:rsidP="00065FB5">
            <w:pPr>
              <w:tabs>
                <w:tab w:val="left" w:pos="510"/>
              </w:tabs>
              <w:jc w:val="center"/>
              <w:rPr>
                <w:lang w:val="lt-LT"/>
              </w:rPr>
            </w:pPr>
            <w:r w:rsidRPr="004273CC">
              <w:rPr>
                <w:lang w:val="lt-LT"/>
              </w:rPr>
              <w:t>Tikimybė * Įtaka</w:t>
            </w:r>
          </w:p>
        </w:tc>
        <w:tc>
          <w:tcPr>
            <w:tcW w:w="1136" w:type="dxa"/>
            <w:gridSpan w:val="10"/>
          </w:tcPr>
          <w:p w:rsidR="00E91EA3" w:rsidRPr="004273CC" w:rsidRDefault="00E91EA3" w:rsidP="00065FB5">
            <w:pPr>
              <w:tabs>
                <w:tab w:val="left" w:pos="510"/>
              </w:tabs>
              <w:jc w:val="center"/>
              <w:rPr>
                <w:lang w:val="lt-LT"/>
              </w:rPr>
            </w:pPr>
          </w:p>
        </w:tc>
        <w:tc>
          <w:tcPr>
            <w:tcW w:w="994" w:type="dxa"/>
            <w:gridSpan w:val="5"/>
          </w:tcPr>
          <w:p w:rsidR="00E91EA3" w:rsidRPr="004273CC" w:rsidRDefault="00E91EA3" w:rsidP="00065FB5">
            <w:pPr>
              <w:tabs>
                <w:tab w:val="left" w:pos="510"/>
              </w:tabs>
              <w:jc w:val="center"/>
              <w:rPr>
                <w:lang w:val="lt-LT"/>
              </w:rPr>
            </w:pPr>
            <w:r w:rsidRPr="004273CC">
              <w:rPr>
                <w:lang w:val="lt-LT"/>
              </w:rPr>
              <w:t>Tikimybė (1-5)</w:t>
            </w:r>
          </w:p>
        </w:tc>
        <w:tc>
          <w:tcPr>
            <w:tcW w:w="622" w:type="dxa"/>
            <w:gridSpan w:val="3"/>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33" w:type="dxa"/>
            <w:gridSpan w:val="7"/>
          </w:tcPr>
          <w:p w:rsidR="00E91EA3" w:rsidRPr="004273CC" w:rsidRDefault="00E91EA3" w:rsidP="00065FB5">
            <w:pPr>
              <w:tabs>
                <w:tab w:val="left" w:pos="510"/>
              </w:tabs>
              <w:jc w:val="center"/>
              <w:rPr>
                <w:lang w:val="lt-LT"/>
              </w:rPr>
            </w:pPr>
            <w:r w:rsidRPr="004273CC">
              <w:rPr>
                <w:lang w:val="lt-LT"/>
              </w:rPr>
              <w:t>Tikimybė * Įtaka</w:t>
            </w:r>
          </w:p>
        </w:tc>
        <w:tc>
          <w:tcPr>
            <w:tcW w:w="1647" w:type="dxa"/>
            <w:gridSpan w:val="5"/>
            <w:vAlign w:val="center"/>
          </w:tcPr>
          <w:p w:rsidR="00E91EA3" w:rsidRPr="004273CC" w:rsidRDefault="00E91EA3" w:rsidP="00065FB5">
            <w:pPr>
              <w:tabs>
                <w:tab w:val="left" w:pos="510"/>
              </w:tabs>
              <w:jc w:val="center"/>
              <w:rPr>
                <w:lang w:val="lt-LT"/>
              </w:rPr>
            </w:pPr>
          </w:p>
        </w:tc>
      </w:tr>
      <w:tr w:rsidR="00E91EA3" w:rsidRPr="004273CC" w:rsidTr="001C0D02">
        <w:trPr>
          <w:cantSplit/>
        </w:trPr>
        <w:tc>
          <w:tcPr>
            <w:tcW w:w="1007" w:type="dxa"/>
            <w:gridSpan w:val="4"/>
            <w:vMerge w:val="restart"/>
            <w:textDirection w:val="btLr"/>
          </w:tcPr>
          <w:p w:rsidR="00E91EA3" w:rsidRPr="004273CC" w:rsidRDefault="00E91EA3" w:rsidP="00065FB5">
            <w:pPr>
              <w:tabs>
                <w:tab w:val="left" w:pos="510"/>
              </w:tabs>
              <w:ind w:left="113" w:right="113"/>
              <w:jc w:val="center"/>
              <w:rPr>
                <w:lang w:val="lt-LT"/>
              </w:rPr>
            </w:pPr>
            <w:r w:rsidRPr="002E216D">
              <w:rPr>
                <w:b/>
                <w:lang w:val="lt-LT"/>
              </w:rPr>
              <w:t>Pinigai ir jų ekvivalentai</w:t>
            </w:r>
          </w:p>
        </w:tc>
        <w:tc>
          <w:tcPr>
            <w:tcW w:w="3241" w:type="dxa"/>
            <w:gridSpan w:val="5"/>
          </w:tcPr>
          <w:p w:rsidR="00E91EA3" w:rsidRPr="004273CC" w:rsidRDefault="00E91EA3" w:rsidP="00065FB5">
            <w:pPr>
              <w:tabs>
                <w:tab w:val="left" w:pos="510"/>
              </w:tabs>
              <w:jc w:val="both"/>
              <w:rPr>
                <w:lang w:val="lt-LT"/>
              </w:rPr>
            </w:pPr>
            <w:r>
              <w:rPr>
                <w:lang w:val="lt-LT"/>
              </w:rPr>
              <w:t>Įmonėje daug laikoma pinigų kasoje</w:t>
            </w:r>
          </w:p>
        </w:tc>
        <w:tc>
          <w:tcPr>
            <w:tcW w:w="556" w:type="dxa"/>
            <w:gridSpan w:val="7"/>
          </w:tcPr>
          <w:p w:rsidR="00E91EA3" w:rsidRPr="004273CC" w:rsidRDefault="00E91EA3" w:rsidP="00065FB5">
            <w:pPr>
              <w:tabs>
                <w:tab w:val="left" w:pos="510"/>
              </w:tabs>
              <w:jc w:val="both"/>
              <w:rPr>
                <w:lang w:val="lt-LT"/>
              </w:rPr>
            </w:pPr>
            <w:r>
              <w:rPr>
                <w:lang w:val="lt-LT"/>
              </w:rPr>
              <w:t>B</w:t>
            </w:r>
          </w:p>
        </w:tc>
        <w:tc>
          <w:tcPr>
            <w:tcW w:w="567" w:type="dxa"/>
            <w:gridSpan w:val="7"/>
          </w:tcPr>
          <w:p w:rsidR="00E91EA3" w:rsidRPr="004273CC" w:rsidRDefault="00E91EA3" w:rsidP="00065FB5">
            <w:pPr>
              <w:tabs>
                <w:tab w:val="left" w:pos="510"/>
              </w:tabs>
              <w:jc w:val="both"/>
              <w:rPr>
                <w:lang w:val="lt-LT"/>
              </w:rPr>
            </w:pPr>
            <w:r>
              <w:rPr>
                <w:lang w:val="lt-LT"/>
              </w:rPr>
              <w:t>IR</w:t>
            </w: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114" w:type="dxa"/>
            <w:gridSpan w:val="8"/>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r>
              <w:rPr>
                <w:lang w:val="lt-LT"/>
              </w:rPr>
              <w:t>Ne</w:t>
            </w:r>
          </w:p>
        </w:tc>
        <w:tc>
          <w:tcPr>
            <w:tcW w:w="994" w:type="dxa"/>
            <w:gridSpan w:val="5"/>
          </w:tcPr>
          <w:p w:rsidR="00E91EA3" w:rsidRPr="004273CC" w:rsidRDefault="00E91EA3" w:rsidP="00065FB5">
            <w:pPr>
              <w:tabs>
                <w:tab w:val="left" w:pos="510"/>
              </w:tabs>
              <w:jc w:val="both"/>
              <w:rPr>
                <w:lang w:val="lt-LT"/>
              </w:rPr>
            </w:pPr>
          </w:p>
        </w:tc>
        <w:tc>
          <w:tcPr>
            <w:tcW w:w="622" w:type="dxa"/>
            <w:gridSpan w:val="3"/>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241" w:type="dxa"/>
            <w:gridSpan w:val="5"/>
          </w:tcPr>
          <w:p w:rsidR="00E91EA3" w:rsidRDefault="00E91EA3" w:rsidP="00065FB5">
            <w:pPr>
              <w:tabs>
                <w:tab w:val="left" w:pos="510"/>
              </w:tabs>
              <w:jc w:val="both"/>
              <w:rPr>
                <w:lang w:val="lt-LT"/>
              </w:rPr>
            </w:pPr>
            <w:r>
              <w:rPr>
                <w:lang w:val="lt-LT"/>
              </w:rPr>
              <w:t>Prieigą prie įmonės atsiskaitomosios sąskaitos turi keletas apskaitos darbuotojų</w:t>
            </w:r>
          </w:p>
        </w:tc>
        <w:tc>
          <w:tcPr>
            <w:tcW w:w="556" w:type="dxa"/>
            <w:gridSpan w:val="7"/>
          </w:tcPr>
          <w:p w:rsidR="00E91EA3" w:rsidRDefault="00E91EA3" w:rsidP="00065FB5">
            <w:pPr>
              <w:tabs>
                <w:tab w:val="left" w:pos="510"/>
              </w:tabs>
              <w:jc w:val="both"/>
              <w:rPr>
                <w:lang w:val="lt-LT"/>
              </w:rPr>
            </w:pPr>
            <w:r>
              <w:rPr>
                <w:lang w:val="lt-LT"/>
              </w:rPr>
              <w:t>B</w:t>
            </w:r>
          </w:p>
        </w:tc>
        <w:tc>
          <w:tcPr>
            <w:tcW w:w="567" w:type="dxa"/>
            <w:gridSpan w:val="7"/>
          </w:tcPr>
          <w:p w:rsidR="00E91EA3" w:rsidRDefault="00E91EA3" w:rsidP="00065FB5">
            <w:pPr>
              <w:tabs>
                <w:tab w:val="left" w:pos="510"/>
              </w:tabs>
              <w:jc w:val="both"/>
              <w:rPr>
                <w:lang w:val="lt-LT"/>
              </w:rPr>
            </w:pPr>
            <w:r>
              <w:rPr>
                <w:lang w:val="lt-LT"/>
              </w:rPr>
              <w:t>IR</w:t>
            </w:r>
          </w:p>
        </w:tc>
        <w:tc>
          <w:tcPr>
            <w:tcW w:w="1132" w:type="dxa"/>
            <w:gridSpan w:val="6"/>
          </w:tcPr>
          <w:p w:rsidR="00E91EA3" w:rsidRPr="001E7FA0" w:rsidRDefault="00E91EA3" w:rsidP="00065FB5">
            <w:pPr>
              <w:tabs>
                <w:tab w:val="left" w:pos="510"/>
              </w:tabs>
              <w:jc w:val="center"/>
              <w:rPr>
                <w:b/>
                <w:lang w:val="lt-LT"/>
              </w:rPr>
            </w:pPr>
            <w:r w:rsidRPr="001E7FA0">
              <w:rPr>
                <w:b/>
                <w:lang w:val="lt-LT"/>
              </w:rPr>
              <w:t>3</w:t>
            </w:r>
          </w:p>
        </w:tc>
        <w:tc>
          <w:tcPr>
            <w:tcW w:w="709" w:type="dxa"/>
            <w:gridSpan w:val="8"/>
          </w:tcPr>
          <w:p w:rsidR="00E91EA3" w:rsidRPr="001E7FA0" w:rsidRDefault="00E91EA3" w:rsidP="00065FB5">
            <w:pPr>
              <w:tabs>
                <w:tab w:val="left" w:pos="510"/>
              </w:tabs>
              <w:jc w:val="center"/>
              <w:rPr>
                <w:b/>
                <w:lang w:val="lt-LT"/>
              </w:rPr>
            </w:pPr>
            <w:r>
              <w:rPr>
                <w:b/>
                <w:lang w:val="lt-LT"/>
              </w:rPr>
              <w:t>3</w:t>
            </w:r>
          </w:p>
        </w:tc>
        <w:tc>
          <w:tcPr>
            <w:tcW w:w="1114" w:type="dxa"/>
            <w:gridSpan w:val="8"/>
          </w:tcPr>
          <w:p w:rsidR="00E91EA3" w:rsidRPr="001E7FA0" w:rsidRDefault="00E91EA3" w:rsidP="00065FB5">
            <w:pPr>
              <w:tabs>
                <w:tab w:val="left" w:pos="510"/>
              </w:tabs>
              <w:jc w:val="center"/>
              <w:rPr>
                <w:b/>
                <w:lang w:val="lt-LT"/>
              </w:rPr>
            </w:pPr>
            <w:r>
              <w:rPr>
                <w:b/>
                <w:lang w:val="lt-LT"/>
              </w:rPr>
              <w:t>9</w:t>
            </w:r>
          </w:p>
        </w:tc>
        <w:tc>
          <w:tcPr>
            <w:tcW w:w="1136" w:type="dxa"/>
            <w:gridSpan w:val="10"/>
          </w:tcPr>
          <w:p w:rsidR="00E91EA3" w:rsidRDefault="00E91EA3" w:rsidP="00065FB5">
            <w:pPr>
              <w:tabs>
                <w:tab w:val="left" w:pos="510"/>
              </w:tabs>
              <w:jc w:val="both"/>
              <w:rPr>
                <w:lang w:val="lt-LT"/>
              </w:rPr>
            </w:pPr>
          </w:p>
        </w:tc>
        <w:tc>
          <w:tcPr>
            <w:tcW w:w="994" w:type="dxa"/>
            <w:gridSpan w:val="5"/>
          </w:tcPr>
          <w:p w:rsidR="00E91EA3" w:rsidRPr="004273CC" w:rsidRDefault="00E91EA3" w:rsidP="00065FB5">
            <w:pPr>
              <w:tabs>
                <w:tab w:val="left" w:pos="510"/>
              </w:tabs>
              <w:jc w:val="both"/>
              <w:rPr>
                <w:lang w:val="lt-LT"/>
              </w:rPr>
            </w:pPr>
          </w:p>
        </w:tc>
        <w:tc>
          <w:tcPr>
            <w:tcW w:w="622" w:type="dxa"/>
            <w:gridSpan w:val="3"/>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241" w:type="dxa"/>
            <w:gridSpan w:val="5"/>
          </w:tcPr>
          <w:p w:rsidR="00E91EA3" w:rsidRPr="004273CC" w:rsidRDefault="00E91EA3" w:rsidP="00065FB5">
            <w:pPr>
              <w:tabs>
                <w:tab w:val="left" w:pos="510"/>
              </w:tabs>
              <w:jc w:val="both"/>
              <w:rPr>
                <w:lang w:val="lt-LT"/>
              </w:rPr>
            </w:pPr>
            <w:r>
              <w:rPr>
                <w:lang w:val="lt-LT"/>
              </w:rPr>
              <w:t>Nėra nustatytos kasos darbo organizavimo taisyklės (nėra paskirti atsakingi asmenys, saugi pinigų saugojimo vieta, atsakomybė ir pan.)</w:t>
            </w:r>
          </w:p>
        </w:tc>
        <w:tc>
          <w:tcPr>
            <w:tcW w:w="556" w:type="dxa"/>
            <w:gridSpan w:val="7"/>
          </w:tcPr>
          <w:p w:rsidR="00E91EA3" w:rsidRPr="004273CC" w:rsidRDefault="00E91EA3" w:rsidP="00065FB5">
            <w:pPr>
              <w:tabs>
                <w:tab w:val="left" w:pos="510"/>
              </w:tabs>
              <w:jc w:val="both"/>
              <w:rPr>
                <w:lang w:val="lt-LT"/>
              </w:rPr>
            </w:pPr>
            <w:r>
              <w:rPr>
                <w:lang w:val="lt-LT"/>
              </w:rPr>
              <w:t>B</w:t>
            </w:r>
          </w:p>
        </w:tc>
        <w:tc>
          <w:tcPr>
            <w:tcW w:w="567" w:type="dxa"/>
            <w:gridSpan w:val="7"/>
          </w:tcPr>
          <w:p w:rsidR="00E91EA3" w:rsidRPr="004273CC" w:rsidRDefault="00E91EA3" w:rsidP="00065FB5">
            <w:pPr>
              <w:tabs>
                <w:tab w:val="left" w:pos="510"/>
              </w:tabs>
              <w:jc w:val="both"/>
              <w:rPr>
                <w:lang w:val="lt-LT"/>
              </w:rPr>
            </w:pPr>
            <w:r>
              <w:rPr>
                <w:lang w:val="lt-LT"/>
              </w:rPr>
              <w:t>KR</w:t>
            </w: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114" w:type="dxa"/>
            <w:gridSpan w:val="8"/>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r>
              <w:rPr>
                <w:lang w:val="lt-LT"/>
              </w:rPr>
              <w:t>Yra</w:t>
            </w:r>
          </w:p>
        </w:tc>
        <w:tc>
          <w:tcPr>
            <w:tcW w:w="994" w:type="dxa"/>
            <w:gridSpan w:val="5"/>
          </w:tcPr>
          <w:p w:rsidR="00E91EA3" w:rsidRPr="004273CC" w:rsidRDefault="00E91EA3" w:rsidP="00065FB5">
            <w:pPr>
              <w:tabs>
                <w:tab w:val="left" w:pos="510"/>
              </w:tabs>
              <w:jc w:val="both"/>
              <w:rPr>
                <w:lang w:val="lt-LT"/>
              </w:rPr>
            </w:pPr>
          </w:p>
        </w:tc>
        <w:tc>
          <w:tcPr>
            <w:tcW w:w="622" w:type="dxa"/>
            <w:gridSpan w:val="3"/>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241" w:type="dxa"/>
            <w:gridSpan w:val="5"/>
          </w:tcPr>
          <w:p w:rsidR="00E91EA3" w:rsidRPr="004273CC" w:rsidRDefault="00E91EA3" w:rsidP="00065FB5">
            <w:pPr>
              <w:tabs>
                <w:tab w:val="left" w:pos="510"/>
              </w:tabs>
              <w:jc w:val="both"/>
              <w:rPr>
                <w:lang w:val="lt-LT"/>
              </w:rPr>
            </w:pPr>
            <w:r>
              <w:rPr>
                <w:lang w:val="lt-LT"/>
              </w:rPr>
              <w:t xml:space="preserve">Asmens, atsakingo už grynų pinigų dokumentavimą, teisingą dokumentų įforminimą, veikla nėra kontroliuojama </w:t>
            </w:r>
          </w:p>
        </w:tc>
        <w:tc>
          <w:tcPr>
            <w:tcW w:w="556" w:type="dxa"/>
            <w:gridSpan w:val="7"/>
          </w:tcPr>
          <w:p w:rsidR="00E91EA3" w:rsidRPr="004273CC" w:rsidRDefault="00E91EA3" w:rsidP="00065FB5">
            <w:pPr>
              <w:tabs>
                <w:tab w:val="left" w:pos="510"/>
              </w:tabs>
              <w:jc w:val="both"/>
              <w:rPr>
                <w:lang w:val="lt-LT"/>
              </w:rPr>
            </w:pPr>
            <w:r>
              <w:rPr>
                <w:lang w:val="lt-LT"/>
              </w:rPr>
              <w:t>I</w:t>
            </w:r>
          </w:p>
        </w:tc>
        <w:tc>
          <w:tcPr>
            <w:tcW w:w="567" w:type="dxa"/>
            <w:gridSpan w:val="7"/>
          </w:tcPr>
          <w:p w:rsidR="00E91EA3" w:rsidRPr="004273CC" w:rsidRDefault="00E91EA3" w:rsidP="00065FB5">
            <w:pPr>
              <w:tabs>
                <w:tab w:val="left" w:pos="510"/>
              </w:tabs>
              <w:jc w:val="both"/>
              <w:rPr>
                <w:lang w:val="lt-LT"/>
              </w:rPr>
            </w:pP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114" w:type="dxa"/>
            <w:gridSpan w:val="8"/>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p>
        </w:tc>
        <w:tc>
          <w:tcPr>
            <w:tcW w:w="994" w:type="dxa"/>
            <w:gridSpan w:val="5"/>
          </w:tcPr>
          <w:p w:rsidR="00E91EA3" w:rsidRPr="004273CC" w:rsidRDefault="00E91EA3" w:rsidP="00065FB5">
            <w:pPr>
              <w:tabs>
                <w:tab w:val="left" w:pos="510"/>
              </w:tabs>
              <w:jc w:val="both"/>
              <w:rPr>
                <w:lang w:val="lt-LT"/>
              </w:rPr>
            </w:pPr>
          </w:p>
        </w:tc>
        <w:tc>
          <w:tcPr>
            <w:tcW w:w="622" w:type="dxa"/>
            <w:gridSpan w:val="3"/>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241" w:type="dxa"/>
            <w:gridSpan w:val="5"/>
          </w:tcPr>
          <w:p w:rsidR="00E91EA3" w:rsidRPr="004273CC" w:rsidRDefault="00E91EA3" w:rsidP="00065FB5">
            <w:pPr>
              <w:tabs>
                <w:tab w:val="left" w:pos="510"/>
              </w:tabs>
              <w:jc w:val="both"/>
              <w:rPr>
                <w:lang w:val="lt-LT"/>
              </w:rPr>
            </w:pPr>
            <w:r>
              <w:rPr>
                <w:lang w:val="lt-LT"/>
              </w:rPr>
              <w:t>Nėra atliekamos netikėtos pinigų kasoje inventorizacijos</w:t>
            </w:r>
          </w:p>
        </w:tc>
        <w:tc>
          <w:tcPr>
            <w:tcW w:w="556" w:type="dxa"/>
            <w:gridSpan w:val="7"/>
          </w:tcPr>
          <w:p w:rsidR="00E91EA3" w:rsidRPr="004273CC" w:rsidRDefault="00E91EA3" w:rsidP="00065FB5">
            <w:pPr>
              <w:tabs>
                <w:tab w:val="left" w:pos="510"/>
              </w:tabs>
              <w:jc w:val="both"/>
              <w:rPr>
                <w:lang w:val="lt-LT"/>
              </w:rPr>
            </w:pPr>
            <w:r>
              <w:rPr>
                <w:lang w:val="lt-LT"/>
              </w:rPr>
              <w:t>B</w:t>
            </w:r>
          </w:p>
        </w:tc>
        <w:tc>
          <w:tcPr>
            <w:tcW w:w="567" w:type="dxa"/>
            <w:gridSpan w:val="7"/>
          </w:tcPr>
          <w:p w:rsidR="00E91EA3" w:rsidRPr="004273CC" w:rsidRDefault="00E91EA3" w:rsidP="00065FB5">
            <w:pPr>
              <w:tabs>
                <w:tab w:val="left" w:pos="510"/>
              </w:tabs>
              <w:jc w:val="both"/>
              <w:rPr>
                <w:lang w:val="lt-LT"/>
              </w:rPr>
            </w:pPr>
            <w:r>
              <w:rPr>
                <w:lang w:val="lt-LT"/>
              </w:rPr>
              <w:t>KR</w:t>
            </w: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114" w:type="dxa"/>
            <w:gridSpan w:val="8"/>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r>
              <w:rPr>
                <w:lang w:val="lt-LT"/>
              </w:rPr>
              <w:t>Atliekama</w:t>
            </w:r>
          </w:p>
        </w:tc>
        <w:tc>
          <w:tcPr>
            <w:tcW w:w="994" w:type="dxa"/>
            <w:gridSpan w:val="5"/>
          </w:tcPr>
          <w:p w:rsidR="00E91EA3" w:rsidRPr="004273CC" w:rsidRDefault="00E91EA3" w:rsidP="00065FB5">
            <w:pPr>
              <w:tabs>
                <w:tab w:val="left" w:pos="510"/>
              </w:tabs>
              <w:jc w:val="both"/>
              <w:rPr>
                <w:lang w:val="lt-LT"/>
              </w:rPr>
            </w:pPr>
          </w:p>
        </w:tc>
        <w:tc>
          <w:tcPr>
            <w:tcW w:w="622" w:type="dxa"/>
            <w:gridSpan w:val="3"/>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241" w:type="dxa"/>
            <w:gridSpan w:val="5"/>
          </w:tcPr>
          <w:p w:rsidR="00E91EA3" w:rsidRPr="004273CC" w:rsidRDefault="00E91EA3" w:rsidP="00065FB5">
            <w:pPr>
              <w:tabs>
                <w:tab w:val="left" w:pos="510"/>
              </w:tabs>
              <w:jc w:val="both"/>
              <w:rPr>
                <w:lang w:val="lt-LT"/>
              </w:rPr>
            </w:pPr>
            <w:r>
              <w:rPr>
                <w:lang w:val="lt-LT"/>
              </w:rPr>
              <w:t>Pinigų kasoje likutis nėra tikrinamas su apskaitos duomenimis</w:t>
            </w:r>
          </w:p>
        </w:tc>
        <w:tc>
          <w:tcPr>
            <w:tcW w:w="556" w:type="dxa"/>
            <w:gridSpan w:val="7"/>
          </w:tcPr>
          <w:p w:rsidR="00E91EA3" w:rsidRPr="004273CC" w:rsidRDefault="00E91EA3" w:rsidP="00065FB5">
            <w:pPr>
              <w:tabs>
                <w:tab w:val="left" w:pos="510"/>
              </w:tabs>
              <w:jc w:val="both"/>
              <w:rPr>
                <w:lang w:val="lt-LT"/>
              </w:rPr>
            </w:pPr>
            <w:r>
              <w:rPr>
                <w:lang w:val="lt-LT"/>
              </w:rPr>
              <w:t>B</w:t>
            </w:r>
          </w:p>
        </w:tc>
        <w:tc>
          <w:tcPr>
            <w:tcW w:w="567" w:type="dxa"/>
            <w:gridSpan w:val="7"/>
          </w:tcPr>
          <w:p w:rsidR="00E91EA3" w:rsidRPr="004273CC" w:rsidRDefault="00E91EA3" w:rsidP="00065FB5">
            <w:pPr>
              <w:tabs>
                <w:tab w:val="left" w:pos="510"/>
              </w:tabs>
              <w:jc w:val="both"/>
              <w:rPr>
                <w:lang w:val="lt-LT"/>
              </w:rPr>
            </w:pPr>
            <w:r>
              <w:rPr>
                <w:lang w:val="lt-LT"/>
              </w:rPr>
              <w:t>KR</w:t>
            </w: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114" w:type="dxa"/>
            <w:gridSpan w:val="8"/>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r>
              <w:rPr>
                <w:lang w:val="lt-LT"/>
              </w:rPr>
              <w:t>Yra</w:t>
            </w:r>
          </w:p>
        </w:tc>
        <w:tc>
          <w:tcPr>
            <w:tcW w:w="994" w:type="dxa"/>
            <w:gridSpan w:val="5"/>
          </w:tcPr>
          <w:p w:rsidR="00E91EA3" w:rsidRPr="004273CC" w:rsidRDefault="00E91EA3" w:rsidP="00065FB5">
            <w:pPr>
              <w:tabs>
                <w:tab w:val="left" w:pos="510"/>
              </w:tabs>
              <w:jc w:val="both"/>
              <w:rPr>
                <w:lang w:val="lt-LT"/>
              </w:rPr>
            </w:pPr>
          </w:p>
        </w:tc>
        <w:tc>
          <w:tcPr>
            <w:tcW w:w="622" w:type="dxa"/>
            <w:gridSpan w:val="3"/>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Borders>
              <w:bottom w:val="single" w:sz="4" w:space="0" w:color="auto"/>
            </w:tcBorders>
            <w:textDirection w:val="btLr"/>
          </w:tcPr>
          <w:p w:rsidR="00E91EA3" w:rsidRPr="002E216D" w:rsidRDefault="00E91EA3" w:rsidP="00065FB5">
            <w:pPr>
              <w:tabs>
                <w:tab w:val="left" w:pos="510"/>
              </w:tabs>
              <w:ind w:left="113" w:right="113"/>
              <w:jc w:val="center"/>
              <w:rPr>
                <w:b/>
                <w:lang w:val="lt-LT"/>
              </w:rPr>
            </w:pPr>
          </w:p>
        </w:tc>
        <w:tc>
          <w:tcPr>
            <w:tcW w:w="3241" w:type="dxa"/>
            <w:gridSpan w:val="5"/>
            <w:tcBorders>
              <w:bottom w:val="single" w:sz="4" w:space="0" w:color="auto"/>
            </w:tcBorders>
          </w:tcPr>
          <w:p w:rsidR="00E91EA3" w:rsidRPr="004273CC" w:rsidRDefault="00E91EA3" w:rsidP="00065FB5">
            <w:pPr>
              <w:tabs>
                <w:tab w:val="left" w:pos="510"/>
              </w:tabs>
              <w:jc w:val="both"/>
              <w:rPr>
                <w:lang w:val="lt-LT"/>
              </w:rPr>
            </w:pPr>
            <w:r>
              <w:rPr>
                <w:lang w:val="lt-LT"/>
              </w:rPr>
              <w:t xml:space="preserve">Nėra kontroliuojamos automatinio pinigų pervedimo paslaugos </w:t>
            </w:r>
          </w:p>
        </w:tc>
        <w:tc>
          <w:tcPr>
            <w:tcW w:w="556" w:type="dxa"/>
            <w:gridSpan w:val="7"/>
          </w:tcPr>
          <w:p w:rsidR="00E91EA3" w:rsidRPr="004273CC" w:rsidRDefault="00E91EA3" w:rsidP="00065FB5">
            <w:pPr>
              <w:tabs>
                <w:tab w:val="left" w:pos="510"/>
              </w:tabs>
              <w:jc w:val="both"/>
              <w:rPr>
                <w:lang w:val="lt-LT"/>
              </w:rPr>
            </w:pPr>
            <w:r>
              <w:rPr>
                <w:lang w:val="lt-LT"/>
              </w:rPr>
              <w:t>B</w:t>
            </w:r>
          </w:p>
        </w:tc>
        <w:tc>
          <w:tcPr>
            <w:tcW w:w="567" w:type="dxa"/>
            <w:gridSpan w:val="7"/>
          </w:tcPr>
          <w:p w:rsidR="00E91EA3" w:rsidRPr="004273CC" w:rsidRDefault="00E91EA3" w:rsidP="00065FB5">
            <w:pPr>
              <w:tabs>
                <w:tab w:val="left" w:pos="510"/>
              </w:tabs>
              <w:jc w:val="both"/>
              <w:rPr>
                <w:lang w:val="lt-LT"/>
              </w:rPr>
            </w:pPr>
            <w:r>
              <w:rPr>
                <w:lang w:val="lt-LT"/>
              </w:rPr>
              <w:t>KR</w:t>
            </w:r>
          </w:p>
        </w:tc>
        <w:tc>
          <w:tcPr>
            <w:tcW w:w="1132" w:type="dxa"/>
            <w:gridSpan w:val="6"/>
          </w:tcPr>
          <w:p w:rsidR="00E91EA3" w:rsidRPr="008C3FC0" w:rsidRDefault="00E91EA3" w:rsidP="00065FB5">
            <w:pPr>
              <w:tabs>
                <w:tab w:val="left" w:pos="510"/>
              </w:tabs>
              <w:jc w:val="center"/>
              <w:rPr>
                <w:b/>
                <w:lang w:val="lt-LT"/>
              </w:rPr>
            </w:pPr>
            <w:r w:rsidRPr="008C3FC0">
              <w:rPr>
                <w:b/>
                <w:lang w:val="lt-LT"/>
              </w:rPr>
              <w:t>1</w:t>
            </w:r>
          </w:p>
        </w:tc>
        <w:tc>
          <w:tcPr>
            <w:tcW w:w="709" w:type="dxa"/>
            <w:gridSpan w:val="8"/>
          </w:tcPr>
          <w:p w:rsidR="00E91EA3" w:rsidRPr="008C3FC0" w:rsidRDefault="00E91EA3" w:rsidP="00065FB5">
            <w:pPr>
              <w:tabs>
                <w:tab w:val="left" w:pos="510"/>
              </w:tabs>
              <w:jc w:val="center"/>
              <w:rPr>
                <w:b/>
                <w:lang w:val="lt-LT"/>
              </w:rPr>
            </w:pPr>
            <w:r>
              <w:rPr>
                <w:b/>
                <w:lang w:val="lt-LT"/>
              </w:rPr>
              <w:t>3</w:t>
            </w:r>
          </w:p>
        </w:tc>
        <w:tc>
          <w:tcPr>
            <w:tcW w:w="1114" w:type="dxa"/>
            <w:gridSpan w:val="8"/>
          </w:tcPr>
          <w:p w:rsidR="00E91EA3" w:rsidRPr="008C3FC0" w:rsidRDefault="00E91EA3" w:rsidP="00065FB5">
            <w:pPr>
              <w:tabs>
                <w:tab w:val="left" w:pos="510"/>
              </w:tabs>
              <w:jc w:val="center"/>
              <w:rPr>
                <w:b/>
                <w:lang w:val="lt-LT"/>
              </w:rPr>
            </w:pPr>
            <w:r>
              <w:rPr>
                <w:b/>
                <w:lang w:val="lt-LT"/>
              </w:rPr>
              <w:t>3</w:t>
            </w:r>
          </w:p>
        </w:tc>
        <w:tc>
          <w:tcPr>
            <w:tcW w:w="1136" w:type="dxa"/>
            <w:gridSpan w:val="10"/>
          </w:tcPr>
          <w:p w:rsidR="00E91EA3" w:rsidRDefault="00E91EA3" w:rsidP="00065FB5">
            <w:pPr>
              <w:tabs>
                <w:tab w:val="left" w:pos="510"/>
              </w:tabs>
              <w:jc w:val="both"/>
              <w:rPr>
                <w:lang w:val="lt-LT"/>
              </w:rPr>
            </w:pPr>
          </w:p>
        </w:tc>
        <w:tc>
          <w:tcPr>
            <w:tcW w:w="994" w:type="dxa"/>
            <w:gridSpan w:val="5"/>
          </w:tcPr>
          <w:p w:rsidR="00E91EA3" w:rsidRPr="004273CC" w:rsidRDefault="00E91EA3" w:rsidP="00065FB5">
            <w:pPr>
              <w:tabs>
                <w:tab w:val="left" w:pos="510"/>
              </w:tabs>
              <w:jc w:val="both"/>
              <w:rPr>
                <w:lang w:val="lt-LT"/>
              </w:rPr>
            </w:pPr>
          </w:p>
        </w:tc>
        <w:tc>
          <w:tcPr>
            <w:tcW w:w="622" w:type="dxa"/>
            <w:gridSpan w:val="3"/>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4248" w:type="dxa"/>
            <w:gridSpan w:val="9"/>
            <w:vMerge w:val="restart"/>
          </w:tcPr>
          <w:p w:rsidR="00E91EA3" w:rsidRPr="004273CC" w:rsidRDefault="00E91EA3" w:rsidP="00065FB5">
            <w:pPr>
              <w:tabs>
                <w:tab w:val="left" w:pos="510"/>
              </w:tabs>
              <w:ind w:left="113" w:right="113"/>
              <w:jc w:val="center"/>
              <w:rPr>
                <w:lang w:val="lt-LT"/>
              </w:rPr>
            </w:pPr>
            <w:r>
              <w:rPr>
                <w:b/>
                <w:lang w:val="lt-LT"/>
              </w:rPr>
              <w:lastRenderedPageBreak/>
              <w:t>Finansinių ataskaitų elemento ir/ar jo tvirtinimo pobūdis ir jam taikoma vidaus kontrolės sistema</w:t>
            </w:r>
          </w:p>
        </w:tc>
        <w:tc>
          <w:tcPr>
            <w:tcW w:w="556"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IR / KR</w:t>
            </w:r>
          </w:p>
          <w:p w:rsidR="00E91EA3" w:rsidRPr="004273CC" w:rsidRDefault="00E91EA3" w:rsidP="00065FB5">
            <w:pPr>
              <w:tabs>
                <w:tab w:val="left" w:pos="510"/>
              </w:tabs>
              <w:ind w:left="113" w:right="113"/>
              <w:jc w:val="center"/>
              <w:rPr>
                <w:lang w:val="lt-LT"/>
              </w:rPr>
            </w:pPr>
          </w:p>
        </w:tc>
        <w:tc>
          <w:tcPr>
            <w:tcW w:w="4091" w:type="dxa"/>
            <w:gridSpan w:val="32"/>
          </w:tcPr>
          <w:p w:rsidR="00E91EA3" w:rsidRDefault="00E91EA3" w:rsidP="00065FB5">
            <w:pPr>
              <w:tabs>
                <w:tab w:val="left" w:pos="510"/>
              </w:tabs>
              <w:jc w:val="both"/>
              <w:rPr>
                <w:lang w:val="lt-LT"/>
              </w:rPr>
            </w:pPr>
            <w:r>
              <w:rPr>
                <w:b/>
                <w:lang w:val="lt-LT"/>
              </w:rPr>
              <w:t>UAB „Šiluma“</w:t>
            </w:r>
          </w:p>
        </w:tc>
        <w:tc>
          <w:tcPr>
            <w:tcW w:w="4396" w:type="dxa"/>
            <w:gridSpan w:val="20"/>
          </w:tcPr>
          <w:p w:rsidR="00E91EA3" w:rsidRPr="004273CC" w:rsidRDefault="00E91EA3" w:rsidP="00065FB5">
            <w:pPr>
              <w:tabs>
                <w:tab w:val="left" w:pos="510"/>
              </w:tabs>
              <w:jc w:val="both"/>
              <w:rPr>
                <w:lang w:val="lt-LT"/>
              </w:rPr>
            </w:pPr>
            <w:r>
              <w:rPr>
                <w:b/>
                <w:lang w:val="lt-LT"/>
              </w:rPr>
              <w:t>UAB „Žuvila“</w:t>
            </w:r>
          </w:p>
        </w:tc>
      </w:tr>
      <w:tr w:rsidR="00E91EA3" w:rsidRPr="004273CC" w:rsidTr="001C0D02">
        <w:trPr>
          <w:cantSplit/>
        </w:trPr>
        <w:tc>
          <w:tcPr>
            <w:tcW w:w="4248" w:type="dxa"/>
            <w:gridSpan w:val="9"/>
            <w:vMerge/>
          </w:tcPr>
          <w:p w:rsidR="00E91EA3" w:rsidRPr="004273CC" w:rsidRDefault="00E91EA3" w:rsidP="00065FB5">
            <w:pPr>
              <w:tabs>
                <w:tab w:val="left" w:pos="510"/>
              </w:tabs>
              <w:jc w:val="center"/>
              <w:rPr>
                <w:lang w:val="lt-LT"/>
              </w:rPr>
            </w:pPr>
          </w:p>
        </w:tc>
        <w:tc>
          <w:tcPr>
            <w:tcW w:w="556" w:type="dxa"/>
            <w:gridSpan w:val="7"/>
            <w:vMerge/>
            <w:vAlign w:val="center"/>
          </w:tcPr>
          <w:p w:rsidR="00E91EA3" w:rsidRPr="004273CC" w:rsidRDefault="00E91EA3" w:rsidP="00065FB5">
            <w:pPr>
              <w:tabs>
                <w:tab w:val="left" w:pos="510"/>
              </w:tabs>
              <w:jc w:val="center"/>
              <w:rPr>
                <w:lang w:val="lt-LT"/>
              </w:rPr>
            </w:pPr>
          </w:p>
        </w:tc>
        <w:tc>
          <w:tcPr>
            <w:tcW w:w="567" w:type="dxa"/>
            <w:gridSpan w:val="7"/>
            <w:vMerge/>
            <w:vAlign w:val="center"/>
          </w:tcPr>
          <w:p w:rsidR="00E91EA3" w:rsidRPr="004273CC" w:rsidRDefault="00E91EA3" w:rsidP="00065FB5">
            <w:pPr>
              <w:tabs>
                <w:tab w:val="left" w:pos="510"/>
              </w:tabs>
              <w:jc w:val="center"/>
              <w:rPr>
                <w:lang w:val="lt-LT"/>
              </w:rPr>
            </w:pPr>
          </w:p>
        </w:tc>
        <w:tc>
          <w:tcPr>
            <w:tcW w:w="3089" w:type="dxa"/>
            <w:gridSpan w:val="24"/>
            <w:vAlign w:val="center"/>
          </w:tcPr>
          <w:p w:rsidR="00E91EA3" w:rsidRPr="004273CC" w:rsidRDefault="00E91EA3" w:rsidP="00065FB5">
            <w:pPr>
              <w:tabs>
                <w:tab w:val="left" w:pos="510"/>
              </w:tabs>
              <w:jc w:val="center"/>
              <w:rPr>
                <w:lang w:val="lt-LT"/>
              </w:rPr>
            </w:pPr>
            <w:r w:rsidRPr="004273CC">
              <w:rPr>
                <w:b/>
                <w:lang w:val="lt-LT"/>
              </w:rPr>
              <w:t>Rizikos vertinima</w:t>
            </w:r>
            <w:r>
              <w:rPr>
                <w:b/>
                <w:lang w:val="lt-LT"/>
              </w:rPr>
              <w:t>s</w:t>
            </w:r>
          </w:p>
        </w:tc>
        <w:tc>
          <w:tcPr>
            <w:tcW w:w="1002" w:type="dxa"/>
            <w:gridSpan w:val="8"/>
            <w:vMerge w:val="restart"/>
            <w:vAlign w:val="center"/>
          </w:tcPr>
          <w:p w:rsidR="00E91EA3" w:rsidRPr="004273CC" w:rsidRDefault="00E91EA3" w:rsidP="00065FB5">
            <w:pPr>
              <w:tabs>
                <w:tab w:val="left" w:pos="510"/>
              </w:tabs>
              <w:jc w:val="center"/>
              <w:rPr>
                <w:lang w:val="lt-LT"/>
              </w:rPr>
            </w:pPr>
            <w:r w:rsidRPr="004273CC">
              <w:rPr>
                <w:b/>
                <w:lang w:val="lt-LT"/>
              </w:rPr>
              <w:t>Pastabos</w:t>
            </w:r>
          </w:p>
        </w:tc>
        <w:tc>
          <w:tcPr>
            <w:tcW w:w="2749" w:type="dxa"/>
            <w:gridSpan w:val="15"/>
          </w:tcPr>
          <w:p w:rsidR="00E91EA3" w:rsidRPr="004273CC" w:rsidRDefault="00E91EA3" w:rsidP="00065FB5">
            <w:pPr>
              <w:tabs>
                <w:tab w:val="left" w:pos="510"/>
              </w:tabs>
              <w:jc w:val="center"/>
              <w:rPr>
                <w:lang w:val="lt-LT"/>
              </w:rPr>
            </w:pPr>
            <w:r w:rsidRPr="004273CC">
              <w:rPr>
                <w:b/>
                <w:lang w:val="lt-LT"/>
              </w:rPr>
              <w:t>Rizikos vertinimas</w:t>
            </w:r>
          </w:p>
        </w:tc>
        <w:tc>
          <w:tcPr>
            <w:tcW w:w="1647" w:type="dxa"/>
            <w:gridSpan w:val="5"/>
            <w:vMerge w:val="restart"/>
            <w:vAlign w:val="center"/>
          </w:tcPr>
          <w:p w:rsidR="00E91EA3" w:rsidRPr="004273CC" w:rsidRDefault="00E91EA3" w:rsidP="00065FB5">
            <w:pPr>
              <w:tabs>
                <w:tab w:val="left" w:pos="510"/>
              </w:tabs>
              <w:jc w:val="center"/>
              <w:rPr>
                <w:lang w:val="lt-LT"/>
              </w:rPr>
            </w:pPr>
            <w:r w:rsidRPr="004273CC">
              <w:rPr>
                <w:b/>
                <w:lang w:val="lt-LT"/>
              </w:rPr>
              <w:t>Pastabos</w:t>
            </w:r>
          </w:p>
        </w:tc>
      </w:tr>
      <w:tr w:rsidR="00E91EA3" w:rsidRPr="004273CC" w:rsidTr="001C0D02">
        <w:trPr>
          <w:cantSplit/>
          <w:trHeight w:val="698"/>
        </w:trPr>
        <w:tc>
          <w:tcPr>
            <w:tcW w:w="1007" w:type="dxa"/>
            <w:gridSpan w:val="4"/>
          </w:tcPr>
          <w:p w:rsidR="00E91EA3" w:rsidRPr="005618BC" w:rsidRDefault="00E91EA3" w:rsidP="00065FB5">
            <w:pPr>
              <w:tabs>
                <w:tab w:val="left" w:pos="510"/>
              </w:tabs>
              <w:jc w:val="center"/>
              <w:rPr>
                <w:b/>
                <w:lang w:val="lt-LT"/>
              </w:rPr>
            </w:pPr>
            <w:r>
              <w:rPr>
                <w:b/>
                <w:lang w:val="lt-LT"/>
              </w:rPr>
              <w:t>Tipas</w:t>
            </w:r>
          </w:p>
        </w:tc>
        <w:tc>
          <w:tcPr>
            <w:tcW w:w="3241" w:type="dxa"/>
            <w:gridSpan w:val="5"/>
          </w:tcPr>
          <w:p w:rsidR="00E91EA3" w:rsidRPr="004273CC" w:rsidRDefault="00E91EA3" w:rsidP="00065FB5">
            <w:pPr>
              <w:tabs>
                <w:tab w:val="left" w:pos="510"/>
              </w:tabs>
              <w:jc w:val="center"/>
              <w:rPr>
                <w:lang w:val="lt-LT"/>
              </w:rPr>
            </w:pPr>
            <w:r w:rsidRPr="005618BC">
              <w:rPr>
                <w:b/>
                <w:lang w:val="lt-LT"/>
              </w:rPr>
              <w:t>Veiksniai</w:t>
            </w:r>
          </w:p>
        </w:tc>
        <w:tc>
          <w:tcPr>
            <w:tcW w:w="556" w:type="dxa"/>
            <w:gridSpan w:val="7"/>
            <w:vMerge/>
          </w:tcPr>
          <w:p w:rsidR="00E91EA3" w:rsidRPr="004273CC" w:rsidRDefault="00E91EA3" w:rsidP="00065FB5">
            <w:pPr>
              <w:tabs>
                <w:tab w:val="left" w:pos="510"/>
              </w:tabs>
              <w:jc w:val="center"/>
              <w:rPr>
                <w:lang w:val="lt-LT"/>
              </w:rPr>
            </w:pPr>
          </w:p>
        </w:tc>
        <w:tc>
          <w:tcPr>
            <w:tcW w:w="567" w:type="dxa"/>
            <w:gridSpan w:val="7"/>
            <w:vMerge/>
          </w:tcPr>
          <w:p w:rsidR="00E91EA3" w:rsidRPr="004273CC" w:rsidRDefault="00E91EA3" w:rsidP="00065FB5">
            <w:pPr>
              <w:tabs>
                <w:tab w:val="left" w:pos="510"/>
              </w:tabs>
              <w:jc w:val="center"/>
              <w:rPr>
                <w:lang w:val="lt-LT"/>
              </w:rPr>
            </w:pPr>
          </w:p>
        </w:tc>
        <w:tc>
          <w:tcPr>
            <w:tcW w:w="1132" w:type="dxa"/>
            <w:gridSpan w:val="6"/>
          </w:tcPr>
          <w:p w:rsidR="00E91EA3" w:rsidRPr="004273CC" w:rsidRDefault="00E91EA3" w:rsidP="00065FB5">
            <w:pPr>
              <w:tabs>
                <w:tab w:val="left" w:pos="510"/>
              </w:tabs>
              <w:jc w:val="center"/>
              <w:rPr>
                <w:lang w:val="lt-LT"/>
              </w:rPr>
            </w:pPr>
            <w:r w:rsidRPr="004273CC">
              <w:rPr>
                <w:lang w:val="lt-LT"/>
              </w:rPr>
              <w:t>Tikimybė (1-5)</w:t>
            </w:r>
          </w:p>
        </w:tc>
        <w:tc>
          <w:tcPr>
            <w:tcW w:w="709" w:type="dxa"/>
            <w:gridSpan w:val="8"/>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248" w:type="dxa"/>
            <w:gridSpan w:val="10"/>
          </w:tcPr>
          <w:p w:rsidR="00E91EA3" w:rsidRPr="004273CC" w:rsidRDefault="00E91EA3" w:rsidP="00065FB5">
            <w:pPr>
              <w:tabs>
                <w:tab w:val="left" w:pos="510"/>
              </w:tabs>
              <w:jc w:val="center"/>
              <w:rPr>
                <w:lang w:val="lt-LT"/>
              </w:rPr>
            </w:pPr>
            <w:r w:rsidRPr="004273CC">
              <w:rPr>
                <w:lang w:val="lt-LT"/>
              </w:rPr>
              <w:t>Tikimybė * Įtaka</w:t>
            </w:r>
          </w:p>
        </w:tc>
        <w:tc>
          <w:tcPr>
            <w:tcW w:w="1002" w:type="dxa"/>
            <w:gridSpan w:val="8"/>
            <w:vMerge/>
          </w:tcPr>
          <w:p w:rsidR="00E91EA3" w:rsidRPr="004273CC" w:rsidRDefault="00E91EA3" w:rsidP="00065FB5">
            <w:pPr>
              <w:tabs>
                <w:tab w:val="left" w:pos="510"/>
              </w:tabs>
              <w:jc w:val="center"/>
              <w:rPr>
                <w:lang w:val="lt-LT"/>
              </w:rPr>
            </w:pPr>
          </w:p>
        </w:tc>
        <w:tc>
          <w:tcPr>
            <w:tcW w:w="908" w:type="dxa"/>
          </w:tcPr>
          <w:p w:rsidR="00E91EA3" w:rsidRPr="004273CC" w:rsidRDefault="00E91EA3" w:rsidP="00065FB5">
            <w:pPr>
              <w:tabs>
                <w:tab w:val="left" w:pos="510"/>
              </w:tabs>
              <w:jc w:val="center"/>
              <w:rPr>
                <w:lang w:val="lt-LT"/>
              </w:rPr>
            </w:pPr>
            <w:r w:rsidRPr="004273CC">
              <w:rPr>
                <w:lang w:val="lt-LT"/>
              </w:rPr>
              <w:t>Tikimybė (1-5)</w:t>
            </w:r>
          </w:p>
        </w:tc>
        <w:tc>
          <w:tcPr>
            <w:tcW w:w="708" w:type="dxa"/>
            <w:gridSpan w:val="7"/>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33" w:type="dxa"/>
            <w:gridSpan w:val="7"/>
          </w:tcPr>
          <w:p w:rsidR="00E91EA3" w:rsidRPr="004273CC" w:rsidRDefault="00E91EA3" w:rsidP="00065FB5">
            <w:pPr>
              <w:tabs>
                <w:tab w:val="left" w:pos="510"/>
              </w:tabs>
              <w:jc w:val="center"/>
              <w:rPr>
                <w:lang w:val="lt-LT"/>
              </w:rPr>
            </w:pPr>
            <w:r w:rsidRPr="004273CC">
              <w:rPr>
                <w:lang w:val="lt-LT"/>
              </w:rPr>
              <w:t>Tikimybė * Įtaka</w:t>
            </w:r>
          </w:p>
        </w:tc>
        <w:tc>
          <w:tcPr>
            <w:tcW w:w="1647" w:type="dxa"/>
            <w:gridSpan w:val="5"/>
            <w:vMerge/>
            <w:vAlign w:val="center"/>
          </w:tcPr>
          <w:p w:rsidR="00E91EA3" w:rsidRPr="004273CC" w:rsidRDefault="00E91EA3" w:rsidP="00065FB5">
            <w:pPr>
              <w:tabs>
                <w:tab w:val="left" w:pos="510"/>
              </w:tabs>
              <w:jc w:val="center"/>
              <w:rPr>
                <w:lang w:val="lt-LT"/>
              </w:rPr>
            </w:pPr>
          </w:p>
        </w:tc>
      </w:tr>
      <w:tr w:rsidR="00E91EA3" w:rsidRPr="004273CC" w:rsidTr="001C0D02">
        <w:trPr>
          <w:cantSplit/>
        </w:trPr>
        <w:tc>
          <w:tcPr>
            <w:tcW w:w="1007" w:type="dxa"/>
            <w:gridSpan w:val="4"/>
            <w:vMerge w:val="restart"/>
            <w:textDirection w:val="btLr"/>
          </w:tcPr>
          <w:p w:rsidR="00E91EA3" w:rsidRPr="004273CC" w:rsidRDefault="00E91EA3" w:rsidP="00065FB5">
            <w:pPr>
              <w:tabs>
                <w:tab w:val="left" w:pos="510"/>
              </w:tabs>
              <w:ind w:left="113" w:right="113"/>
              <w:jc w:val="center"/>
              <w:rPr>
                <w:lang w:val="lt-LT"/>
              </w:rPr>
            </w:pPr>
            <w:r w:rsidRPr="002E216D">
              <w:rPr>
                <w:b/>
                <w:lang w:val="lt-LT"/>
              </w:rPr>
              <w:t>Pinigai ir jų ekvivalentai</w:t>
            </w:r>
          </w:p>
        </w:tc>
        <w:tc>
          <w:tcPr>
            <w:tcW w:w="3241" w:type="dxa"/>
            <w:gridSpan w:val="5"/>
          </w:tcPr>
          <w:p w:rsidR="00E91EA3" w:rsidRPr="004273CC" w:rsidRDefault="00E91EA3" w:rsidP="00065FB5">
            <w:pPr>
              <w:tabs>
                <w:tab w:val="left" w:pos="510"/>
              </w:tabs>
              <w:jc w:val="both"/>
              <w:rPr>
                <w:lang w:val="lt-LT"/>
              </w:rPr>
            </w:pPr>
            <w:r>
              <w:rPr>
                <w:lang w:val="lt-LT"/>
              </w:rPr>
              <w:t>Pavedimus iš įmonės atsiskaitomosios sąskaitos gali atlikti keletas įmonės darbuotojų, kurių darbas nėra tikrinamas</w:t>
            </w:r>
          </w:p>
        </w:tc>
        <w:tc>
          <w:tcPr>
            <w:tcW w:w="556" w:type="dxa"/>
            <w:gridSpan w:val="7"/>
          </w:tcPr>
          <w:p w:rsidR="00E91EA3" w:rsidRPr="004273CC" w:rsidRDefault="00E91EA3" w:rsidP="00065FB5">
            <w:pPr>
              <w:tabs>
                <w:tab w:val="left" w:pos="510"/>
              </w:tabs>
              <w:jc w:val="both"/>
              <w:rPr>
                <w:lang w:val="lt-LT"/>
              </w:rPr>
            </w:pPr>
            <w:r>
              <w:rPr>
                <w:lang w:val="lt-LT"/>
              </w:rPr>
              <w:t>B</w:t>
            </w:r>
          </w:p>
        </w:tc>
        <w:tc>
          <w:tcPr>
            <w:tcW w:w="567" w:type="dxa"/>
            <w:gridSpan w:val="7"/>
          </w:tcPr>
          <w:p w:rsidR="00E91EA3" w:rsidRPr="004273CC" w:rsidRDefault="00E91EA3" w:rsidP="00065FB5">
            <w:pPr>
              <w:tabs>
                <w:tab w:val="left" w:pos="510"/>
              </w:tabs>
              <w:jc w:val="both"/>
              <w:rPr>
                <w:lang w:val="lt-LT"/>
              </w:rPr>
            </w:pPr>
            <w:r>
              <w:rPr>
                <w:lang w:val="lt-LT"/>
              </w:rPr>
              <w:t>KR</w:t>
            </w:r>
          </w:p>
        </w:tc>
        <w:tc>
          <w:tcPr>
            <w:tcW w:w="1132" w:type="dxa"/>
            <w:gridSpan w:val="6"/>
          </w:tcPr>
          <w:p w:rsidR="00E91EA3" w:rsidRPr="008C3FC0" w:rsidRDefault="00E91EA3" w:rsidP="00065FB5">
            <w:pPr>
              <w:tabs>
                <w:tab w:val="left" w:pos="510"/>
              </w:tabs>
              <w:jc w:val="center"/>
              <w:rPr>
                <w:b/>
                <w:lang w:val="lt-LT"/>
              </w:rPr>
            </w:pPr>
            <w:r>
              <w:rPr>
                <w:b/>
                <w:lang w:val="lt-LT"/>
              </w:rPr>
              <w:t>1</w:t>
            </w:r>
          </w:p>
        </w:tc>
        <w:tc>
          <w:tcPr>
            <w:tcW w:w="709" w:type="dxa"/>
            <w:gridSpan w:val="8"/>
          </w:tcPr>
          <w:p w:rsidR="00E91EA3" w:rsidRPr="004E5C1D" w:rsidRDefault="00E91EA3" w:rsidP="00065FB5">
            <w:pPr>
              <w:tabs>
                <w:tab w:val="left" w:pos="510"/>
              </w:tabs>
              <w:jc w:val="center"/>
              <w:rPr>
                <w:b/>
              </w:rPr>
            </w:pPr>
            <w:r>
              <w:rPr>
                <w:b/>
              </w:rPr>
              <w:t>3</w:t>
            </w:r>
          </w:p>
        </w:tc>
        <w:tc>
          <w:tcPr>
            <w:tcW w:w="1248" w:type="dxa"/>
            <w:gridSpan w:val="10"/>
          </w:tcPr>
          <w:p w:rsidR="00E91EA3" w:rsidRPr="008C3FC0" w:rsidRDefault="00E91EA3" w:rsidP="00065FB5">
            <w:pPr>
              <w:tabs>
                <w:tab w:val="left" w:pos="510"/>
              </w:tabs>
              <w:jc w:val="center"/>
              <w:rPr>
                <w:b/>
                <w:lang w:val="lt-LT"/>
              </w:rPr>
            </w:pPr>
            <w:r>
              <w:rPr>
                <w:b/>
                <w:lang w:val="lt-LT"/>
              </w:rPr>
              <w:t>3</w:t>
            </w:r>
          </w:p>
        </w:tc>
        <w:tc>
          <w:tcPr>
            <w:tcW w:w="1002" w:type="dxa"/>
            <w:gridSpan w:val="8"/>
          </w:tcPr>
          <w:p w:rsidR="00E91EA3" w:rsidRPr="004273CC" w:rsidRDefault="00E91EA3" w:rsidP="00065FB5">
            <w:pPr>
              <w:tabs>
                <w:tab w:val="left" w:pos="510"/>
              </w:tabs>
              <w:jc w:val="both"/>
              <w:rPr>
                <w:lang w:val="lt-LT"/>
              </w:rPr>
            </w:pPr>
          </w:p>
        </w:tc>
        <w:tc>
          <w:tcPr>
            <w:tcW w:w="908" w:type="dxa"/>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241" w:type="dxa"/>
            <w:gridSpan w:val="5"/>
          </w:tcPr>
          <w:p w:rsidR="00E91EA3" w:rsidRPr="004273CC" w:rsidRDefault="00E91EA3" w:rsidP="00065FB5">
            <w:pPr>
              <w:tabs>
                <w:tab w:val="left" w:pos="510"/>
              </w:tabs>
              <w:jc w:val="both"/>
              <w:rPr>
                <w:lang w:val="lt-LT"/>
              </w:rPr>
            </w:pPr>
            <w:r>
              <w:rPr>
                <w:lang w:val="lt-LT"/>
              </w:rPr>
              <w:t>Periodiškai nėra sutikrinamas sąskaitų bankuose likutis pagal banko išrašus su apskaitiniu pinigų likučiu</w:t>
            </w:r>
          </w:p>
        </w:tc>
        <w:tc>
          <w:tcPr>
            <w:tcW w:w="556" w:type="dxa"/>
            <w:gridSpan w:val="7"/>
          </w:tcPr>
          <w:p w:rsidR="00E91EA3" w:rsidRPr="004273CC" w:rsidRDefault="00E91EA3" w:rsidP="00065FB5">
            <w:pPr>
              <w:tabs>
                <w:tab w:val="left" w:pos="510"/>
              </w:tabs>
              <w:jc w:val="both"/>
              <w:rPr>
                <w:lang w:val="lt-LT"/>
              </w:rPr>
            </w:pPr>
            <w:r>
              <w:rPr>
                <w:lang w:val="lt-LT"/>
              </w:rPr>
              <w:t>B</w:t>
            </w:r>
          </w:p>
        </w:tc>
        <w:tc>
          <w:tcPr>
            <w:tcW w:w="567" w:type="dxa"/>
            <w:gridSpan w:val="7"/>
          </w:tcPr>
          <w:p w:rsidR="00E91EA3" w:rsidRPr="004273CC" w:rsidRDefault="00E91EA3" w:rsidP="00065FB5">
            <w:pPr>
              <w:tabs>
                <w:tab w:val="left" w:pos="510"/>
              </w:tabs>
              <w:jc w:val="both"/>
              <w:rPr>
                <w:lang w:val="lt-LT"/>
              </w:rPr>
            </w:pPr>
            <w:r>
              <w:rPr>
                <w:lang w:val="lt-LT"/>
              </w:rPr>
              <w:t>KR</w:t>
            </w: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248" w:type="dxa"/>
            <w:gridSpan w:val="10"/>
          </w:tcPr>
          <w:p w:rsidR="00E91EA3" w:rsidRPr="004273CC" w:rsidRDefault="00E91EA3" w:rsidP="00065FB5">
            <w:pPr>
              <w:tabs>
                <w:tab w:val="left" w:pos="510"/>
              </w:tabs>
              <w:jc w:val="both"/>
              <w:rPr>
                <w:lang w:val="lt-LT"/>
              </w:rPr>
            </w:pPr>
          </w:p>
        </w:tc>
        <w:tc>
          <w:tcPr>
            <w:tcW w:w="1002" w:type="dxa"/>
            <w:gridSpan w:val="8"/>
          </w:tcPr>
          <w:p w:rsidR="00E91EA3" w:rsidRPr="004273CC" w:rsidRDefault="00E91EA3" w:rsidP="00065FB5">
            <w:pPr>
              <w:tabs>
                <w:tab w:val="left" w:pos="510"/>
              </w:tabs>
              <w:jc w:val="both"/>
              <w:rPr>
                <w:lang w:val="lt-LT"/>
              </w:rPr>
            </w:pPr>
            <w:r>
              <w:rPr>
                <w:lang w:val="lt-LT"/>
              </w:rPr>
              <w:t>Yra</w:t>
            </w:r>
          </w:p>
        </w:tc>
        <w:tc>
          <w:tcPr>
            <w:tcW w:w="908" w:type="dxa"/>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241" w:type="dxa"/>
            <w:gridSpan w:val="5"/>
          </w:tcPr>
          <w:p w:rsidR="00E91EA3" w:rsidRPr="004273CC" w:rsidRDefault="00E91EA3" w:rsidP="00065FB5">
            <w:pPr>
              <w:tabs>
                <w:tab w:val="left" w:pos="510"/>
              </w:tabs>
              <w:jc w:val="both"/>
              <w:rPr>
                <w:lang w:val="lt-LT"/>
              </w:rPr>
            </w:pPr>
            <w:r>
              <w:rPr>
                <w:lang w:val="lt-LT"/>
              </w:rPr>
              <w:t>Nėra atskirtos įmonės kasos ir skirtingos grynų pinigų valiutos</w:t>
            </w:r>
          </w:p>
        </w:tc>
        <w:tc>
          <w:tcPr>
            <w:tcW w:w="556" w:type="dxa"/>
            <w:gridSpan w:val="7"/>
          </w:tcPr>
          <w:p w:rsidR="00E91EA3" w:rsidRPr="004273CC" w:rsidRDefault="00E91EA3" w:rsidP="00065FB5">
            <w:pPr>
              <w:tabs>
                <w:tab w:val="left" w:pos="510"/>
              </w:tabs>
              <w:jc w:val="both"/>
              <w:rPr>
                <w:lang w:val="lt-LT"/>
              </w:rPr>
            </w:pPr>
            <w:r>
              <w:rPr>
                <w:lang w:val="lt-LT"/>
              </w:rPr>
              <w:t>V</w:t>
            </w:r>
          </w:p>
        </w:tc>
        <w:tc>
          <w:tcPr>
            <w:tcW w:w="567" w:type="dxa"/>
            <w:gridSpan w:val="7"/>
          </w:tcPr>
          <w:p w:rsidR="00E91EA3" w:rsidRPr="004273CC" w:rsidRDefault="00E91EA3" w:rsidP="00065FB5">
            <w:pPr>
              <w:tabs>
                <w:tab w:val="left" w:pos="510"/>
              </w:tabs>
              <w:jc w:val="both"/>
              <w:rPr>
                <w:lang w:val="lt-LT"/>
              </w:rPr>
            </w:pP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248" w:type="dxa"/>
            <w:gridSpan w:val="10"/>
          </w:tcPr>
          <w:p w:rsidR="00E91EA3" w:rsidRPr="004273CC" w:rsidRDefault="00E91EA3" w:rsidP="00065FB5">
            <w:pPr>
              <w:tabs>
                <w:tab w:val="left" w:pos="510"/>
              </w:tabs>
              <w:jc w:val="both"/>
              <w:rPr>
                <w:lang w:val="lt-LT"/>
              </w:rPr>
            </w:pPr>
          </w:p>
        </w:tc>
        <w:tc>
          <w:tcPr>
            <w:tcW w:w="1002" w:type="dxa"/>
            <w:gridSpan w:val="8"/>
          </w:tcPr>
          <w:p w:rsidR="00E91EA3" w:rsidRPr="004273CC" w:rsidRDefault="00E91EA3" w:rsidP="00065FB5">
            <w:pPr>
              <w:tabs>
                <w:tab w:val="left" w:pos="510"/>
              </w:tabs>
              <w:jc w:val="both"/>
              <w:rPr>
                <w:lang w:val="lt-LT"/>
              </w:rPr>
            </w:pPr>
          </w:p>
        </w:tc>
        <w:tc>
          <w:tcPr>
            <w:tcW w:w="908" w:type="dxa"/>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241" w:type="dxa"/>
            <w:gridSpan w:val="5"/>
          </w:tcPr>
          <w:p w:rsidR="00E91EA3" w:rsidRDefault="00E91EA3" w:rsidP="00065FB5">
            <w:pPr>
              <w:tabs>
                <w:tab w:val="left" w:pos="510"/>
              </w:tabs>
              <w:jc w:val="both"/>
              <w:rPr>
                <w:lang w:val="lt-LT"/>
              </w:rPr>
            </w:pPr>
            <w:r>
              <w:rPr>
                <w:lang w:val="lt-LT"/>
              </w:rPr>
              <w:t>Valiutos kurso svyravimo įtakos skaičiavimai nėra patikrinami</w:t>
            </w:r>
          </w:p>
        </w:tc>
        <w:tc>
          <w:tcPr>
            <w:tcW w:w="556" w:type="dxa"/>
            <w:gridSpan w:val="7"/>
          </w:tcPr>
          <w:p w:rsidR="00E91EA3" w:rsidRPr="004273CC" w:rsidRDefault="00E91EA3" w:rsidP="00065FB5">
            <w:pPr>
              <w:tabs>
                <w:tab w:val="left" w:pos="510"/>
              </w:tabs>
              <w:jc w:val="both"/>
              <w:rPr>
                <w:lang w:val="lt-LT"/>
              </w:rPr>
            </w:pPr>
            <w:r>
              <w:rPr>
                <w:lang w:val="lt-LT"/>
              </w:rPr>
              <w:t>V</w:t>
            </w:r>
          </w:p>
        </w:tc>
        <w:tc>
          <w:tcPr>
            <w:tcW w:w="567" w:type="dxa"/>
            <w:gridSpan w:val="7"/>
          </w:tcPr>
          <w:p w:rsidR="00E91EA3" w:rsidRPr="004273CC" w:rsidRDefault="00E91EA3" w:rsidP="00065FB5">
            <w:pPr>
              <w:tabs>
                <w:tab w:val="left" w:pos="510"/>
              </w:tabs>
              <w:jc w:val="both"/>
              <w:rPr>
                <w:lang w:val="lt-LT"/>
              </w:rPr>
            </w:pP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248" w:type="dxa"/>
            <w:gridSpan w:val="10"/>
          </w:tcPr>
          <w:p w:rsidR="00E91EA3" w:rsidRPr="004273CC" w:rsidRDefault="00E91EA3" w:rsidP="00065FB5">
            <w:pPr>
              <w:tabs>
                <w:tab w:val="left" w:pos="510"/>
              </w:tabs>
              <w:jc w:val="both"/>
              <w:rPr>
                <w:lang w:val="lt-LT"/>
              </w:rPr>
            </w:pPr>
          </w:p>
        </w:tc>
        <w:tc>
          <w:tcPr>
            <w:tcW w:w="1002" w:type="dxa"/>
            <w:gridSpan w:val="8"/>
          </w:tcPr>
          <w:p w:rsidR="00E91EA3" w:rsidRPr="004273CC" w:rsidRDefault="00E91EA3" w:rsidP="00065FB5">
            <w:pPr>
              <w:tabs>
                <w:tab w:val="left" w:pos="510"/>
              </w:tabs>
              <w:jc w:val="both"/>
              <w:rPr>
                <w:lang w:val="lt-LT"/>
              </w:rPr>
            </w:pPr>
          </w:p>
        </w:tc>
        <w:tc>
          <w:tcPr>
            <w:tcW w:w="908" w:type="dxa"/>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241" w:type="dxa"/>
            <w:gridSpan w:val="5"/>
          </w:tcPr>
          <w:p w:rsidR="00E91EA3" w:rsidRDefault="00E91EA3" w:rsidP="00065FB5">
            <w:pPr>
              <w:tabs>
                <w:tab w:val="left" w:pos="510"/>
              </w:tabs>
              <w:jc w:val="both"/>
              <w:rPr>
                <w:lang w:val="lt-LT"/>
              </w:rPr>
            </w:pPr>
            <w:r>
              <w:rPr>
                <w:lang w:val="lt-LT"/>
              </w:rPr>
              <w:t xml:space="preserve">Valiutinių straipsnių likučiai nėra perskaičiuojami finansinių metų pabaigoje </w:t>
            </w:r>
          </w:p>
        </w:tc>
        <w:tc>
          <w:tcPr>
            <w:tcW w:w="556" w:type="dxa"/>
            <w:gridSpan w:val="7"/>
          </w:tcPr>
          <w:p w:rsidR="00E91EA3" w:rsidRPr="004273CC" w:rsidRDefault="00E91EA3" w:rsidP="00065FB5">
            <w:pPr>
              <w:tabs>
                <w:tab w:val="left" w:pos="510"/>
              </w:tabs>
              <w:jc w:val="both"/>
              <w:rPr>
                <w:lang w:val="lt-LT"/>
              </w:rPr>
            </w:pPr>
            <w:r>
              <w:rPr>
                <w:lang w:val="lt-LT"/>
              </w:rPr>
              <w:t>V</w:t>
            </w:r>
          </w:p>
        </w:tc>
        <w:tc>
          <w:tcPr>
            <w:tcW w:w="567" w:type="dxa"/>
            <w:gridSpan w:val="7"/>
          </w:tcPr>
          <w:p w:rsidR="00E91EA3" w:rsidRPr="004273CC" w:rsidRDefault="00E91EA3" w:rsidP="00065FB5">
            <w:pPr>
              <w:tabs>
                <w:tab w:val="left" w:pos="510"/>
              </w:tabs>
              <w:jc w:val="both"/>
              <w:rPr>
                <w:lang w:val="lt-LT"/>
              </w:rPr>
            </w:pP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248" w:type="dxa"/>
            <w:gridSpan w:val="10"/>
          </w:tcPr>
          <w:p w:rsidR="00E91EA3" w:rsidRPr="004273CC" w:rsidRDefault="00E91EA3" w:rsidP="00065FB5">
            <w:pPr>
              <w:tabs>
                <w:tab w:val="left" w:pos="510"/>
              </w:tabs>
              <w:jc w:val="both"/>
              <w:rPr>
                <w:lang w:val="lt-LT"/>
              </w:rPr>
            </w:pPr>
          </w:p>
        </w:tc>
        <w:tc>
          <w:tcPr>
            <w:tcW w:w="1002" w:type="dxa"/>
            <w:gridSpan w:val="8"/>
          </w:tcPr>
          <w:p w:rsidR="00E91EA3" w:rsidRPr="004273CC" w:rsidRDefault="00E91EA3" w:rsidP="00065FB5">
            <w:pPr>
              <w:tabs>
                <w:tab w:val="left" w:pos="510"/>
              </w:tabs>
              <w:jc w:val="both"/>
              <w:rPr>
                <w:lang w:val="lt-LT"/>
              </w:rPr>
            </w:pPr>
          </w:p>
        </w:tc>
        <w:tc>
          <w:tcPr>
            <w:tcW w:w="908" w:type="dxa"/>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Borders>
              <w:bottom w:val="single" w:sz="4" w:space="0" w:color="auto"/>
            </w:tcBorders>
          </w:tcPr>
          <w:p w:rsidR="00E91EA3" w:rsidRPr="004273CC" w:rsidRDefault="00E91EA3" w:rsidP="00065FB5">
            <w:pPr>
              <w:tabs>
                <w:tab w:val="left" w:pos="510"/>
              </w:tabs>
              <w:jc w:val="both"/>
              <w:rPr>
                <w:lang w:val="lt-LT"/>
              </w:rPr>
            </w:pPr>
          </w:p>
        </w:tc>
        <w:tc>
          <w:tcPr>
            <w:tcW w:w="1647" w:type="dxa"/>
            <w:gridSpan w:val="5"/>
            <w:tcBorders>
              <w:bottom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64" w:type="dxa"/>
            <w:gridSpan w:val="19"/>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6"/>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9" w:type="dxa"/>
            <w:gridSpan w:val="8"/>
            <w:tcBorders>
              <w:bottom w:val="single" w:sz="4" w:space="0" w:color="auto"/>
            </w:tcBorders>
          </w:tcPr>
          <w:p w:rsidR="00E91EA3" w:rsidRPr="008C3FC0" w:rsidRDefault="00E91EA3" w:rsidP="00065FB5">
            <w:pPr>
              <w:tabs>
                <w:tab w:val="left" w:pos="510"/>
              </w:tabs>
              <w:jc w:val="center"/>
              <w:rPr>
                <w:b/>
                <w:lang w:val="lt-LT"/>
              </w:rPr>
            </w:pPr>
            <w:r w:rsidRPr="008C3FC0">
              <w:rPr>
                <w:b/>
                <w:lang w:val="lt-LT"/>
              </w:rPr>
              <w:t>X</w:t>
            </w:r>
          </w:p>
        </w:tc>
        <w:tc>
          <w:tcPr>
            <w:tcW w:w="1248" w:type="dxa"/>
            <w:gridSpan w:val="10"/>
            <w:tcBorders>
              <w:bottom w:val="single" w:sz="4" w:space="0" w:color="auto"/>
              <w:right w:val="single" w:sz="4" w:space="0" w:color="auto"/>
            </w:tcBorders>
          </w:tcPr>
          <w:p w:rsidR="00E91EA3" w:rsidRPr="008C3FC0" w:rsidRDefault="00E91EA3" w:rsidP="00065FB5">
            <w:pPr>
              <w:tabs>
                <w:tab w:val="left" w:pos="510"/>
              </w:tabs>
              <w:jc w:val="center"/>
              <w:rPr>
                <w:b/>
                <w:lang w:val="lt-LT"/>
              </w:rPr>
            </w:pPr>
            <w:r>
              <w:rPr>
                <w:b/>
                <w:lang w:val="lt-LT"/>
              </w:rPr>
              <w:t>9</w:t>
            </w:r>
          </w:p>
        </w:tc>
        <w:tc>
          <w:tcPr>
            <w:tcW w:w="1002" w:type="dxa"/>
            <w:gridSpan w:val="8"/>
            <w:vMerge w:val="restart"/>
            <w:tcBorders>
              <w:top w:val="single" w:sz="4" w:space="0" w:color="auto"/>
              <w:left w:val="single" w:sz="4" w:space="0" w:color="auto"/>
              <w:right w:val="single" w:sz="4" w:space="0" w:color="auto"/>
            </w:tcBorders>
            <w:shd w:val="clear" w:color="auto" w:fill="FFFFFF"/>
            <w:textDirection w:val="btLr"/>
          </w:tcPr>
          <w:p w:rsidR="00E91EA3" w:rsidRPr="00B045AF" w:rsidRDefault="00E91EA3" w:rsidP="00065FB5">
            <w:pPr>
              <w:tabs>
                <w:tab w:val="left" w:pos="510"/>
              </w:tabs>
              <w:ind w:left="113" w:right="113"/>
              <w:jc w:val="center"/>
              <w:rPr>
                <w:b/>
                <w:lang w:val="lt-LT"/>
              </w:rPr>
            </w:pPr>
            <w:r w:rsidRPr="00B045AF">
              <w:rPr>
                <w:b/>
                <w:lang w:val="lt-LT"/>
              </w:rPr>
              <w:t>Pinigai – Buvimas</w:t>
            </w:r>
          </w:p>
        </w:tc>
        <w:tc>
          <w:tcPr>
            <w:tcW w:w="908" w:type="dxa"/>
            <w:tcBorders>
              <w:top w:val="single" w:sz="4" w:space="0" w:color="auto"/>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8" w:type="dxa"/>
            <w:gridSpan w:val="7"/>
          </w:tcPr>
          <w:p w:rsidR="00E91EA3" w:rsidRPr="00B045AF" w:rsidRDefault="00E91EA3" w:rsidP="00065FB5">
            <w:pPr>
              <w:tabs>
                <w:tab w:val="left" w:pos="510"/>
              </w:tabs>
              <w:jc w:val="center"/>
              <w:rPr>
                <w:b/>
                <w:lang w:val="lt-LT"/>
              </w:rPr>
            </w:pPr>
            <w:r w:rsidRPr="00B045AF">
              <w:rPr>
                <w:b/>
                <w:lang w:val="lt-LT"/>
              </w:rPr>
              <w:t>X</w:t>
            </w:r>
          </w:p>
        </w:tc>
        <w:tc>
          <w:tcPr>
            <w:tcW w:w="2780" w:type="dxa"/>
            <w:gridSpan w:val="12"/>
            <w:vMerge w:val="restart"/>
            <w:tcBorders>
              <w:right w:val="single" w:sz="4" w:space="0" w:color="auto"/>
            </w:tcBorders>
            <w:vAlign w:val="bottom"/>
          </w:tcPr>
          <w:p w:rsidR="00E91EA3" w:rsidRPr="004273CC" w:rsidRDefault="00E91EA3" w:rsidP="00065FB5">
            <w:pPr>
              <w:tabs>
                <w:tab w:val="left" w:pos="510"/>
              </w:tabs>
              <w:rPr>
                <w:lang w:val="lt-LT"/>
              </w:rPr>
            </w:pPr>
            <w:r w:rsidRPr="00404FB8">
              <w:rPr>
                <w:b/>
                <w:lang w:val="lt-LT"/>
              </w:rPr>
              <w:t>NETAIKOMA</w:t>
            </w: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64" w:type="dxa"/>
            <w:gridSpan w:val="19"/>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6"/>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9" w:type="dxa"/>
            <w:gridSpan w:val="8"/>
            <w:tcBorders>
              <w:right w:val="single" w:sz="4" w:space="0" w:color="auto"/>
            </w:tcBorders>
          </w:tcPr>
          <w:p w:rsidR="00E91EA3" w:rsidRPr="008C3FC0" w:rsidRDefault="00E91EA3" w:rsidP="00065FB5">
            <w:pPr>
              <w:tabs>
                <w:tab w:val="left" w:pos="510"/>
              </w:tabs>
              <w:jc w:val="center"/>
              <w:rPr>
                <w:b/>
                <w:lang w:val="lt-LT"/>
              </w:rPr>
            </w:pPr>
            <w:r>
              <w:rPr>
                <w:b/>
                <w:lang w:val="lt-LT"/>
              </w:rPr>
              <w:t>3</w:t>
            </w:r>
          </w:p>
        </w:tc>
        <w:tc>
          <w:tcPr>
            <w:tcW w:w="1248" w:type="dxa"/>
            <w:gridSpan w:val="10"/>
            <w:tcBorders>
              <w:top w:val="nil"/>
              <w:left w:val="single" w:sz="4" w:space="0" w:color="auto"/>
              <w:bottom w:val="nil"/>
              <w:right w:val="single" w:sz="4" w:space="0" w:color="auto"/>
            </w:tcBorders>
          </w:tcPr>
          <w:p w:rsidR="00E91EA3" w:rsidRPr="008C3FC0" w:rsidRDefault="00E91EA3" w:rsidP="00065FB5">
            <w:pPr>
              <w:tabs>
                <w:tab w:val="left" w:pos="510"/>
              </w:tabs>
              <w:jc w:val="center"/>
              <w:rPr>
                <w:b/>
                <w:lang w:val="lt-LT"/>
              </w:rPr>
            </w:pPr>
          </w:p>
        </w:tc>
        <w:tc>
          <w:tcPr>
            <w:tcW w:w="1002"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908" w:type="dxa"/>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8" w:type="dxa"/>
            <w:gridSpan w:val="7"/>
          </w:tcPr>
          <w:p w:rsidR="00E91EA3" w:rsidRPr="00B045AF"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64" w:type="dxa"/>
            <w:gridSpan w:val="19"/>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6"/>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tcPr>
          <w:p w:rsidR="00E91EA3" w:rsidRPr="008C3FC0" w:rsidRDefault="00E91EA3" w:rsidP="00065FB5">
            <w:pPr>
              <w:tabs>
                <w:tab w:val="left" w:pos="510"/>
              </w:tabs>
              <w:jc w:val="center"/>
              <w:rPr>
                <w:b/>
                <w:lang w:val="lt-LT"/>
              </w:rPr>
            </w:pPr>
            <w:r>
              <w:rPr>
                <w:b/>
                <w:lang w:val="lt-LT"/>
              </w:rPr>
              <w:t>15</w:t>
            </w:r>
          </w:p>
        </w:tc>
        <w:tc>
          <w:tcPr>
            <w:tcW w:w="1248" w:type="dxa"/>
            <w:gridSpan w:val="10"/>
            <w:tcBorders>
              <w:top w:val="nil"/>
              <w:left w:val="single" w:sz="4" w:space="0" w:color="auto"/>
              <w:bottom w:val="nil"/>
              <w:right w:val="single" w:sz="4" w:space="0" w:color="auto"/>
            </w:tcBorders>
          </w:tcPr>
          <w:p w:rsidR="00E91EA3" w:rsidRPr="008C3FC0" w:rsidRDefault="00E91EA3" w:rsidP="00065FB5">
            <w:pPr>
              <w:tabs>
                <w:tab w:val="left" w:pos="510"/>
              </w:tabs>
              <w:jc w:val="center"/>
              <w:rPr>
                <w:b/>
                <w:lang w:val="lt-LT"/>
              </w:rPr>
            </w:pPr>
          </w:p>
        </w:tc>
        <w:tc>
          <w:tcPr>
            <w:tcW w:w="1002"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908" w:type="dxa"/>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8" w:type="dxa"/>
            <w:gridSpan w:val="7"/>
            <w:tcBorders>
              <w:bottom w:val="single" w:sz="4" w:space="0" w:color="auto"/>
            </w:tcBorders>
          </w:tcPr>
          <w:p w:rsidR="00E91EA3" w:rsidRPr="00B045AF"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Height w:val="264"/>
        </w:trPr>
        <w:tc>
          <w:tcPr>
            <w:tcW w:w="1007" w:type="dxa"/>
            <w:gridSpan w:val="4"/>
            <w:vMerge/>
          </w:tcPr>
          <w:p w:rsidR="00E91EA3" w:rsidRPr="004273CC" w:rsidRDefault="00E91EA3" w:rsidP="00065FB5">
            <w:pPr>
              <w:tabs>
                <w:tab w:val="left" w:pos="510"/>
              </w:tabs>
              <w:jc w:val="right"/>
              <w:rPr>
                <w:lang w:val="lt-LT"/>
              </w:rPr>
            </w:pPr>
          </w:p>
        </w:tc>
        <w:tc>
          <w:tcPr>
            <w:tcW w:w="4364" w:type="dxa"/>
            <w:gridSpan w:val="19"/>
          </w:tcPr>
          <w:p w:rsidR="00E91EA3" w:rsidRPr="004273CC" w:rsidRDefault="00E91EA3"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6"/>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E91EA3" w:rsidRPr="008C3FC0" w:rsidRDefault="00E91EA3" w:rsidP="00065FB5">
            <w:pPr>
              <w:tabs>
                <w:tab w:val="left" w:pos="510"/>
              </w:tabs>
              <w:jc w:val="center"/>
              <w:rPr>
                <w:b/>
                <w:lang w:val="lt-LT"/>
              </w:rPr>
            </w:pPr>
            <w:r w:rsidRPr="008C3FC0">
              <w:rPr>
                <w:b/>
                <w:lang w:val="lt-LT"/>
              </w:rPr>
              <w:t>60</w:t>
            </w:r>
          </w:p>
        </w:tc>
        <w:tc>
          <w:tcPr>
            <w:tcW w:w="1248" w:type="dxa"/>
            <w:gridSpan w:val="10"/>
            <w:tcBorders>
              <w:top w:val="nil"/>
              <w:left w:val="single" w:sz="4" w:space="0" w:color="auto"/>
              <w:bottom w:val="single" w:sz="4" w:space="0" w:color="auto"/>
              <w:right w:val="single" w:sz="4" w:space="0" w:color="auto"/>
            </w:tcBorders>
          </w:tcPr>
          <w:p w:rsidR="00E91EA3" w:rsidRPr="008C3FC0" w:rsidRDefault="00E91EA3" w:rsidP="00065FB5">
            <w:pPr>
              <w:tabs>
                <w:tab w:val="left" w:pos="510"/>
              </w:tabs>
              <w:jc w:val="center"/>
              <w:rPr>
                <w:b/>
                <w:sz w:val="18"/>
                <w:szCs w:val="18"/>
                <w:lang w:val="lt-LT"/>
              </w:rPr>
            </w:pPr>
            <w:r w:rsidRPr="008C3FC0">
              <w:rPr>
                <w:b/>
                <w:sz w:val="18"/>
                <w:szCs w:val="18"/>
                <w:lang w:val="lt-LT"/>
              </w:rPr>
              <w:t>VIDUTINĖ</w:t>
            </w:r>
          </w:p>
        </w:tc>
        <w:tc>
          <w:tcPr>
            <w:tcW w:w="1002" w:type="dxa"/>
            <w:gridSpan w:val="8"/>
            <w:vMerge/>
            <w:tcBorders>
              <w:left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908" w:type="dxa"/>
            <w:tcBorders>
              <w:left w:val="single" w:sz="4" w:space="0" w:color="auto"/>
            </w:tcBorders>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8" w:type="dxa"/>
            <w:gridSpan w:val="7"/>
            <w:shd w:val="clear" w:color="auto" w:fill="D9D9D9"/>
          </w:tcPr>
          <w:p w:rsidR="00E91EA3" w:rsidRPr="00B045AF"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64" w:type="dxa"/>
            <w:gridSpan w:val="19"/>
          </w:tcPr>
          <w:p w:rsidR="00E91EA3" w:rsidRPr="004273CC" w:rsidRDefault="00E91EA3"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6"/>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right w:val="single" w:sz="4" w:space="0" w:color="auto"/>
            </w:tcBorders>
          </w:tcPr>
          <w:p w:rsidR="00E91EA3" w:rsidRPr="008C3FC0" w:rsidRDefault="00E91EA3" w:rsidP="00065FB5">
            <w:pPr>
              <w:tabs>
                <w:tab w:val="left" w:pos="510"/>
              </w:tabs>
              <w:jc w:val="center"/>
              <w:rPr>
                <w:b/>
                <w:lang w:val="lt-LT"/>
              </w:rPr>
            </w:pPr>
            <w:r w:rsidRPr="008C3FC0">
              <w:rPr>
                <w:b/>
                <w:lang w:val="lt-LT"/>
              </w:rPr>
              <w:t>X</w:t>
            </w:r>
          </w:p>
        </w:tc>
        <w:tc>
          <w:tcPr>
            <w:tcW w:w="1248" w:type="dxa"/>
            <w:gridSpan w:val="10"/>
            <w:tcBorders>
              <w:top w:val="single" w:sz="4" w:space="0" w:color="auto"/>
              <w:left w:val="single" w:sz="4" w:space="0" w:color="auto"/>
              <w:bottom w:val="single" w:sz="4" w:space="0" w:color="auto"/>
              <w:right w:val="single" w:sz="4" w:space="0" w:color="auto"/>
            </w:tcBorders>
          </w:tcPr>
          <w:p w:rsidR="00E91EA3" w:rsidRPr="008C3FC0" w:rsidRDefault="00E91EA3" w:rsidP="00065FB5">
            <w:pPr>
              <w:tabs>
                <w:tab w:val="left" w:pos="510"/>
              </w:tabs>
              <w:jc w:val="center"/>
              <w:rPr>
                <w:b/>
                <w:lang w:val="lt-LT"/>
              </w:rPr>
            </w:pPr>
            <w:r>
              <w:rPr>
                <w:b/>
                <w:lang w:val="lt-LT"/>
              </w:rPr>
              <w:t>6</w:t>
            </w:r>
          </w:p>
        </w:tc>
        <w:tc>
          <w:tcPr>
            <w:tcW w:w="1002"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908" w:type="dxa"/>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8" w:type="dxa"/>
            <w:gridSpan w:val="7"/>
          </w:tcPr>
          <w:p w:rsidR="00E91EA3" w:rsidRPr="00B045AF" w:rsidRDefault="00E91EA3" w:rsidP="00065FB5">
            <w:pPr>
              <w:tabs>
                <w:tab w:val="left" w:pos="510"/>
              </w:tabs>
              <w:jc w:val="center"/>
              <w:rPr>
                <w:b/>
                <w:lang w:val="lt-LT"/>
              </w:rPr>
            </w:pPr>
            <w:r w:rsidRPr="00B045AF">
              <w:rPr>
                <w:b/>
                <w:lang w:val="lt-LT"/>
              </w:rPr>
              <w:t>X</w:t>
            </w: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64" w:type="dxa"/>
            <w:gridSpan w:val="19"/>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6"/>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right w:val="single" w:sz="4" w:space="0" w:color="auto"/>
            </w:tcBorders>
          </w:tcPr>
          <w:p w:rsidR="00E91EA3" w:rsidRPr="008C3FC0" w:rsidRDefault="00E91EA3" w:rsidP="00065FB5">
            <w:pPr>
              <w:tabs>
                <w:tab w:val="left" w:pos="510"/>
              </w:tabs>
              <w:jc w:val="center"/>
              <w:rPr>
                <w:b/>
                <w:lang w:val="lt-LT"/>
              </w:rPr>
            </w:pPr>
            <w:r>
              <w:rPr>
                <w:b/>
                <w:lang w:val="lt-LT"/>
              </w:rPr>
              <w:t>6</w:t>
            </w:r>
          </w:p>
        </w:tc>
        <w:tc>
          <w:tcPr>
            <w:tcW w:w="1248" w:type="dxa"/>
            <w:gridSpan w:val="10"/>
            <w:tcBorders>
              <w:top w:val="single" w:sz="4" w:space="0" w:color="auto"/>
              <w:left w:val="single" w:sz="4" w:space="0" w:color="auto"/>
              <w:bottom w:val="nil"/>
              <w:right w:val="single" w:sz="4" w:space="0" w:color="auto"/>
            </w:tcBorders>
          </w:tcPr>
          <w:p w:rsidR="00E91EA3" w:rsidRPr="008C3FC0" w:rsidRDefault="00E91EA3" w:rsidP="00065FB5">
            <w:pPr>
              <w:tabs>
                <w:tab w:val="left" w:pos="510"/>
              </w:tabs>
              <w:jc w:val="both"/>
              <w:rPr>
                <w:b/>
                <w:lang w:val="lt-LT"/>
              </w:rPr>
            </w:pPr>
          </w:p>
        </w:tc>
        <w:tc>
          <w:tcPr>
            <w:tcW w:w="1002"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908" w:type="dxa"/>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8" w:type="dxa"/>
            <w:gridSpan w:val="7"/>
          </w:tcPr>
          <w:p w:rsidR="00E91EA3" w:rsidRPr="00B045AF"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64" w:type="dxa"/>
            <w:gridSpan w:val="19"/>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6"/>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tcPr>
          <w:p w:rsidR="00E91EA3" w:rsidRPr="008C3FC0" w:rsidRDefault="00E91EA3" w:rsidP="00065FB5">
            <w:pPr>
              <w:tabs>
                <w:tab w:val="left" w:pos="510"/>
              </w:tabs>
              <w:jc w:val="center"/>
              <w:rPr>
                <w:b/>
                <w:lang w:val="lt-LT"/>
              </w:rPr>
            </w:pPr>
            <w:r>
              <w:rPr>
                <w:b/>
                <w:lang w:val="lt-LT"/>
              </w:rPr>
              <w:t>3</w:t>
            </w:r>
            <w:r w:rsidRPr="008C3FC0">
              <w:rPr>
                <w:b/>
                <w:lang w:val="lt-LT"/>
              </w:rPr>
              <w:t>0</w:t>
            </w:r>
          </w:p>
        </w:tc>
        <w:tc>
          <w:tcPr>
            <w:tcW w:w="1248" w:type="dxa"/>
            <w:gridSpan w:val="10"/>
            <w:tcBorders>
              <w:top w:val="nil"/>
              <w:left w:val="single" w:sz="4" w:space="0" w:color="auto"/>
              <w:bottom w:val="nil"/>
              <w:right w:val="single" w:sz="4" w:space="0" w:color="auto"/>
            </w:tcBorders>
          </w:tcPr>
          <w:p w:rsidR="00E91EA3" w:rsidRPr="008C3FC0" w:rsidRDefault="00E91EA3" w:rsidP="00065FB5">
            <w:pPr>
              <w:tabs>
                <w:tab w:val="left" w:pos="510"/>
              </w:tabs>
              <w:jc w:val="both"/>
              <w:rPr>
                <w:b/>
                <w:lang w:val="lt-LT"/>
              </w:rPr>
            </w:pPr>
          </w:p>
        </w:tc>
        <w:tc>
          <w:tcPr>
            <w:tcW w:w="1002" w:type="dxa"/>
            <w:gridSpan w:val="8"/>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908" w:type="dxa"/>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8" w:type="dxa"/>
            <w:gridSpan w:val="7"/>
            <w:tcBorders>
              <w:bottom w:val="single" w:sz="4" w:space="0" w:color="auto"/>
            </w:tcBorders>
          </w:tcPr>
          <w:p w:rsidR="00E91EA3" w:rsidRPr="00B045AF"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Borders>
              <w:bottom w:val="single" w:sz="4" w:space="0" w:color="auto"/>
            </w:tcBorders>
          </w:tcPr>
          <w:p w:rsidR="00E91EA3" w:rsidRPr="004273CC" w:rsidRDefault="00E91EA3" w:rsidP="00065FB5">
            <w:pPr>
              <w:tabs>
                <w:tab w:val="left" w:pos="510"/>
              </w:tabs>
              <w:jc w:val="right"/>
              <w:rPr>
                <w:lang w:val="lt-LT"/>
              </w:rPr>
            </w:pPr>
          </w:p>
        </w:tc>
        <w:tc>
          <w:tcPr>
            <w:tcW w:w="4364" w:type="dxa"/>
            <w:gridSpan w:val="19"/>
            <w:tcBorders>
              <w:bottom w:val="single" w:sz="4" w:space="0" w:color="auto"/>
            </w:tcBorders>
          </w:tcPr>
          <w:p w:rsidR="00E91EA3" w:rsidRPr="004273CC" w:rsidRDefault="00E91EA3"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6"/>
            <w:tcBorders>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E91EA3" w:rsidRPr="008C3FC0" w:rsidRDefault="00E91EA3" w:rsidP="00065FB5">
            <w:pPr>
              <w:tabs>
                <w:tab w:val="left" w:pos="510"/>
              </w:tabs>
              <w:jc w:val="center"/>
              <w:rPr>
                <w:b/>
                <w:lang w:val="lt-LT"/>
              </w:rPr>
            </w:pPr>
            <w:r w:rsidRPr="008C3FC0">
              <w:rPr>
                <w:b/>
                <w:lang w:val="lt-LT"/>
              </w:rPr>
              <w:t>20</w:t>
            </w:r>
          </w:p>
        </w:tc>
        <w:tc>
          <w:tcPr>
            <w:tcW w:w="1248" w:type="dxa"/>
            <w:gridSpan w:val="10"/>
            <w:tcBorders>
              <w:top w:val="nil"/>
              <w:left w:val="single" w:sz="4" w:space="0" w:color="auto"/>
              <w:bottom w:val="single" w:sz="4" w:space="0" w:color="auto"/>
              <w:right w:val="single" w:sz="4" w:space="0" w:color="auto"/>
            </w:tcBorders>
          </w:tcPr>
          <w:p w:rsidR="00E91EA3" w:rsidRPr="008C3FC0" w:rsidRDefault="00E91EA3" w:rsidP="00065FB5">
            <w:pPr>
              <w:tabs>
                <w:tab w:val="left" w:pos="510"/>
              </w:tabs>
              <w:jc w:val="both"/>
              <w:rPr>
                <w:b/>
                <w:lang w:val="lt-LT"/>
              </w:rPr>
            </w:pPr>
            <w:r w:rsidRPr="008C3FC0">
              <w:rPr>
                <w:b/>
                <w:lang w:val="lt-LT"/>
              </w:rPr>
              <w:t>MAŽA</w:t>
            </w:r>
          </w:p>
        </w:tc>
        <w:tc>
          <w:tcPr>
            <w:tcW w:w="1002" w:type="dxa"/>
            <w:gridSpan w:val="8"/>
            <w:vMerge/>
            <w:tcBorders>
              <w:left w:val="single" w:sz="4" w:space="0" w:color="auto"/>
              <w:bottom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908" w:type="dxa"/>
            <w:tcBorders>
              <w:left w:val="single" w:sz="4" w:space="0" w:color="auto"/>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8" w:type="dxa"/>
            <w:gridSpan w:val="7"/>
            <w:tcBorders>
              <w:bottom w:val="single" w:sz="4" w:space="0" w:color="auto"/>
            </w:tcBorders>
            <w:shd w:val="clear" w:color="auto" w:fill="D9D9D9"/>
          </w:tcPr>
          <w:p w:rsidR="00E91EA3" w:rsidRPr="00B045AF" w:rsidRDefault="00E91EA3" w:rsidP="00065FB5">
            <w:pPr>
              <w:tabs>
                <w:tab w:val="left" w:pos="510"/>
              </w:tabs>
              <w:jc w:val="center"/>
              <w:rPr>
                <w:b/>
                <w:lang w:val="lt-LT"/>
              </w:rPr>
            </w:pPr>
          </w:p>
        </w:tc>
        <w:tc>
          <w:tcPr>
            <w:tcW w:w="2780" w:type="dxa"/>
            <w:gridSpan w:val="12"/>
            <w:vMerge/>
            <w:tcBorders>
              <w:bottom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6E7837">
        <w:trPr>
          <w:cantSplit/>
        </w:trPr>
        <w:tc>
          <w:tcPr>
            <w:tcW w:w="13858" w:type="dxa"/>
            <w:gridSpan w:val="75"/>
            <w:tcBorders>
              <w:top w:val="single" w:sz="4" w:space="0" w:color="auto"/>
              <w:left w:val="nil"/>
              <w:bottom w:val="nil"/>
              <w:right w:val="nil"/>
            </w:tcBorders>
            <w:shd w:val="clear" w:color="auto" w:fill="auto"/>
          </w:tcPr>
          <w:p w:rsidR="00E91EA3" w:rsidRDefault="00E91EA3" w:rsidP="00065FB5">
            <w:pPr>
              <w:tabs>
                <w:tab w:val="left" w:pos="510"/>
              </w:tabs>
              <w:jc w:val="both"/>
              <w:rPr>
                <w:lang w:val="lt-LT"/>
              </w:rPr>
            </w:pPr>
          </w:p>
          <w:p w:rsidR="00E91EA3" w:rsidRPr="004273CC" w:rsidRDefault="00E91EA3" w:rsidP="00065FB5">
            <w:pPr>
              <w:tabs>
                <w:tab w:val="left" w:pos="510"/>
              </w:tabs>
              <w:jc w:val="both"/>
              <w:rPr>
                <w:lang w:val="lt-LT"/>
              </w:rPr>
            </w:pPr>
          </w:p>
        </w:tc>
      </w:tr>
      <w:tr w:rsidR="00E91EA3" w:rsidRPr="004273CC" w:rsidTr="006E7837">
        <w:trPr>
          <w:cantSplit/>
        </w:trPr>
        <w:tc>
          <w:tcPr>
            <w:tcW w:w="13858" w:type="dxa"/>
            <w:gridSpan w:val="75"/>
            <w:tcBorders>
              <w:top w:val="nil"/>
              <w:left w:val="nil"/>
              <w:bottom w:val="nil"/>
              <w:right w:val="nil"/>
            </w:tcBorders>
            <w:shd w:val="clear" w:color="auto" w:fill="auto"/>
          </w:tcPr>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tc>
      </w:tr>
      <w:tr w:rsidR="00E91EA3" w:rsidRPr="004273CC" w:rsidTr="006E7837">
        <w:trPr>
          <w:cantSplit/>
        </w:trPr>
        <w:tc>
          <w:tcPr>
            <w:tcW w:w="13858" w:type="dxa"/>
            <w:gridSpan w:val="75"/>
            <w:tcBorders>
              <w:top w:val="nil"/>
              <w:left w:val="nil"/>
              <w:right w:val="nil"/>
            </w:tcBorders>
            <w:shd w:val="clear" w:color="auto" w:fill="auto"/>
          </w:tcPr>
          <w:p w:rsidR="00E91EA3" w:rsidRDefault="00E91EA3" w:rsidP="00065FB5">
            <w:pPr>
              <w:tabs>
                <w:tab w:val="left" w:pos="510"/>
              </w:tabs>
              <w:jc w:val="both"/>
              <w:rPr>
                <w:lang w:val="lt-LT"/>
              </w:rPr>
            </w:pPr>
          </w:p>
        </w:tc>
      </w:tr>
      <w:tr w:rsidR="00E91EA3" w:rsidRPr="004273CC" w:rsidTr="001C0D02">
        <w:trPr>
          <w:cantSplit/>
          <w:trHeight w:val="414"/>
        </w:trPr>
        <w:tc>
          <w:tcPr>
            <w:tcW w:w="4260" w:type="dxa"/>
            <w:gridSpan w:val="10"/>
            <w:vMerge w:val="restart"/>
          </w:tcPr>
          <w:p w:rsidR="00E91EA3" w:rsidRPr="004273CC" w:rsidRDefault="00E91EA3" w:rsidP="00065FB5">
            <w:pPr>
              <w:tabs>
                <w:tab w:val="left" w:pos="510"/>
              </w:tabs>
              <w:ind w:left="113" w:right="113"/>
              <w:jc w:val="center"/>
              <w:rPr>
                <w:lang w:val="lt-LT"/>
              </w:rPr>
            </w:pPr>
            <w:r>
              <w:rPr>
                <w:b/>
                <w:lang w:val="lt-LT"/>
              </w:rPr>
              <w:t>Finansinių ataskaitų elemento ir/ar jo tvirtinimo pobūdis ir jam taikoma vidaus kontrolės sistema</w:t>
            </w:r>
          </w:p>
        </w:tc>
        <w:tc>
          <w:tcPr>
            <w:tcW w:w="559"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IR / KR</w:t>
            </w:r>
          </w:p>
          <w:p w:rsidR="00E91EA3" w:rsidRPr="004273CC" w:rsidRDefault="00E91EA3" w:rsidP="00065FB5">
            <w:pPr>
              <w:tabs>
                <w:tab w:val="left" w:pos="510"/>
              </w:tabs>
              <w:ind w:left="113" w:right="113"/>
              <w:jc w:val="center"/>
              <w:rPr>
                <w:lang w:val="lt-LT"/>
              </w:rPr>
            </w:pPr>
          </w:p>
        </w:tc>
        <w:tc>
          <w:tcPr>
            <w:tcW w:w="3837" w:type="dxa"/>
            <w:gridSpan w:val="26"/>
          </w:tcPr>
          <w:p w:rsidR="00E91EA3" w:rsidRPr="004273CC" w:rsidRDefault="00E91EA3" w:rsidP="00065FB5">
            <w:pPr>
              <w:tabs>
                <w:tab w:val="left" w:pos="510"/>
              </w:tabs>
              <w:jc w:val="center"/>
              <w:rPr>
                <w:lang w:val="lt-LT"/>
              </w:rPr>
            </w:pPr>
            <w:r>
              <w:rPr>
                <w:b/>
                <w:lang w:val="lt-LT"/>
              </w:rPr>
              <w:t>UAB „Šiluma“</w:t>
            </w:r>
          </w:p>
        </w:tc>
        <w:tc>
          <w:tcPr>
            <w:tcW w:w="4635" w:type="dxa"/>
            <w:gridSpan w:val="25"/>
          </w:tcPr>
          <w:p w:rsidR="00E91EA3" w:rsidRPr="004273CC" w:rsidRDefault="00E91EA3" w:rsidP="00065FB5">
            <w:pPr>
              <w:tabs>
                <w:tab w:val="left" w:pos="510"/>
              </w:tabs>
              <w:jc w:val="center"/>
              <w:rPr>
                <w:lang w:val="lt-LT"/>
              </w:rPr>
            </w:pPr>
            <w:r>
              <w:rPr>
                <w:b/>
                <w:lang w:val="lt-LT"/>
              </w:rPr>
              <w:t>UAB „Žuvila“</w:t>
            </w:r>
          </w:p>
        </w:tc>
      </w:tr>
      <w:tr w:rsidR="00E91EA3" w:rsidRPr="004273CC" w:rsidTr="001C0D02">
        <w:trPr>
          <w:cantSplit/>
        </w:trPr>
        <w:tc>
          <w:tcPr>
            <w:tcW w:w="4260" w:type="dxa"/>
            <w:gridSpan w:val="10"/>
            <w:vMerge/>
          </w:tcPr>
          <w:p w:rsidR="00E91EA3" w:rsidRPr="004273CC" w:rsidRDefault="00E91EA3" w:rsidP="00065FB5">
            <w:pPr>
              <w:tabs>
                <w:tab w:val="left" w:pos="510"/>
              </w:tabs>
              <w:jc w:val="center"/>
              <w:rPr>
                <w:lang w:val="lt-LT"/>
              </w:rPr>
            </w:pPr>
          </w:p>
        </w:tc>
        <w:tc>
          <w:tcPr>
            <w:tcW w:w="559" w:type="dxa"/>
            <w:gridSpan w:val="7"/>
            <w:vMerge/>
            <w:vAlign w:val="center"/>
          </w:tcPr>
          <w:p w:rsidR="00E91EA3" w:rsidRPr="004273CC" w:rsidRDefault="00E91EA3" w:rsidP="00065FB5">
            <w:pPr>
              <w:tabs>
                <w:tab w:val="left" w:pos="510"/>
              </w:tabs>
              <w:jc w:val="center"/>
              <w:rPr>
                <w:lang w:val="lt-LT"/>
              </w:rPr>
            </w:pPr>
          </w:p>
        </w:tc>
        <w:tc>
          <w:tcPr>
            <w:tcW w:w="567" w:type="dxa"/>
            <w:gridSpan w:val="7"/>
            <w:vMerge/>
            <w:vAlign w:val="center"/>
          </w:tcPr>
          <w:p w:rsidR="00E91EA3" w:rsidRPr="004273CC" w:rsidRDefault="00E91EA3" w:rsidP="00065FB5">
            <w:pPr>
              <w:tabs>
                <w:tab w:val="left" w:pos="510"/>
              </w:tabs>
              <w:jc w:val="center"/>
              <w:rPr>
                <w:lang w:val="lt-LT"/>
              </w:rPr>
            </w:pPr>
          </w:p>
        </w:tc>
        <w:tc>
          <w:tcPr>
            <w:tcW w:w="2940" w:type="dxa"/>
            <w:gridSpan w:val="21"/>
            <w:vAlign w:val="center"/>
          </w:tcPr>
          <w:p w:rsidR="00E91EA3" w:rsidRPr="004273CC" w:rsidRDefault="00E91EA3" w:rsidP="00065FB5">
            <w:pPr>
              <w:tabs>
                <w:tab w:val="left" w:pos="510"/>
              </w:tabs>
              <w:jc w:val="center"/>
              <w:rPr>
                <w:lang w:val="lt-LT"/>
              </w:rPr>
            </w:pPr>
            <w:r w:rsidRPr="004273CC">
              <w:rPr>
                <w:b/>
                <w:lang w:val="lt-LT"/>
              </w:rPr>
              <w:t>Rizikos vertinima</w:t>
            </w:r>
            <w:r>
              <w:rPr>
                <w:b/>
                <w:lang w:val="lt-LT"/>
              </w:rPr>
              <w:t>s</w:t>
            </w:r>
          </w:p>
        </w:tc>
        <w:tc>
          <w:tcPr>
            <w:tcW w:w="897" w:type="dxa"/>
            <w:gridSpan w:val="5"/>
            <w:vMerge w:val="restart"/>
            <w:vAlign w:val="center"/>
          </w:tcPr>
          <w:p w:rsidR="00E91EA3" w:rsidRPr="004273CC" w:rsidRDefault="00E91EA3" w:rsidP="00065FB5">
            <w:pPr>
              <w:tabs>
                <w:tab w:val="left" w:pos="510"/>
              </w:tabs>
              <w:jc w:val="center"/>
              <w:rPr>
                <w:lang w:val="lt-LT"/>
              </w:rPr>
            </w:pPr>
            <w:r w:rsidRPr="004273CC">
              <w:rPr>
                <w:b/>
                <w:lang w:val="lt-LT"/>
              </w:rPr>
              <w:t>Pastabos</w:t>
            </w:r>
          </w:p>
        </w:tc>
        <w:tc>
          <w:tcPr>
            <w:tcW w:w="2988" w:type="dxa"/>
            <w:gridSpan w:val="20"/>
          </w:tcPr>
          <w:p w:rsidR="00E91EA3" w:rsidRPr="004273CC" w:rsidRDefault="00E91EA3" w:rsidP="00065FB5">
            <w:pPr>
              <w:tabs>
                <w:tab w:val="left" w:pos="510"/>
              </w:tabs>
              <w:jc w:val="center"/>
              <w:rPr>
                <w:lang w:val="lt-LT"/>
              </w:rPr>
            </w:pPr>
            <w:r w:rsidRPr="004273CC">
              <w:rPr>
                <w:b/>
                <w:lang w:val="lt-LT"/>
              </w:rPr>
              <w:t>Rizikos vertinimas</w:t>
            </w:r>
          </w:p>
        </w:tc>
        <w:tc>
          <w:tcPr>
            <w:tcW w:w="1647" w:type="dxa"/>
            <w:gridSpan w:val="5"/>
            <w:vAlign w:val="center"/>
          </w:tcPr>
          <w:p w:rsidR="00E91EA3" w:rsidRPr="004273CC" w:rsidRDefault="00E91EA3" w:rsidP="00065FB5">
            <w:pPr>
              <w:tabs>
                <w:tab w:val="left" w:pos="510"/>
              </w:tabs>
              <w:jc w:val="center"/>
              <w:rPr>
                <w:lang w:val="lt-LT"/>
              </w:rPr>
            </w:pPr>
            <w:r w:rsidRPr="004273CC">
              <w:rPr>
                <w:b/>
                <w:lang w:val="lt-LT"/>
              </w:rPr>
              <w:t>Pastabos</w:t>
            </w:r>
          </w:p>
        </w:tc>
      </w:tr>
      <w:tr w:rsidR="00E91EA3" w:rsidRPr="004273CC" w:rsidTr="001C0D02">
        <w:trPr>
          <w:cantSplit/>
          <w:trHeight w:val="617"/>
        </w:trPr>
        <w:tc>
          <w:tcPr>
            <w:tcW w:w="1007" w:type="dxa"/>
            <w:gridSpan w:val="4"/>
          </w:tcPr>
          <w:p w:rsidR="00E91EA3" w:rsidRPr="00130520" w:rsidRDefault="00E91EA3" w:rsidP="00065FB5">
            <w:pPr>
              <w:tabs>
                <w:tab w:val="left" w:pos="510"/>
              </w:tabs>
              <w:jc w:val="center"/>
              <w:rPr>
                <w:b/>
                <w:lang w:val="lt-LT"/>
              </w:rPr>
            </w:pPr>
            <w:r w:rsidRPr="00130520">
              <w:rPr>
                <w:b/>
                <w:lang w:val="lt-LT"/>
              </w:rPr>
              <w:t>Tipas</w:t>
            </w:r>
          </w:p>
        </w:tc>
        <w:tc>
          <w:tcPr>
            <w:tcW w:w="3253" w:type="dxa"/>
            <w:gridSpan w:val="6"/>
          </w:tcPr>
          <w:p w:rsidR="00E91EA3" w:rsidRPr="004273CC" w:rsidRDefault="00E91EA3" w:rsidP="00065FB5">
            <w:pPr>
              <w:tabs>
                <w:tab w:val="left" w:pos="510"/>
              </w:tabs>
              <w:jc w:val="center"/>
              <w:rPr>
                <w:lang w:val="lt-LT"/>
              </w:rPr>
            </w:pPr>
            <w:r w:rsidRPr="005618BC">
              <w:rPr>
                <w:b/>
                <w:lang w:val="lt-LT"/>
              </w:rPr>
              <w:t>Veiksniai</w:t>
            </w:r>
          </w:p>
        </w:tc>
        <w:tc>
          <w:tcPr>
            <w:tcW w:w="559" w:type="dxa"/>
            <w:gridSpan w:val="7"/>
            <w:vMerge/>
          </w:tcPr>
          <w:p w:rsidR="00E91EA3" w:rsidRPr="004273CC" w:rsidRDefault="00E91EA3" w:rsidP="00065FB5">
            <w:pPr>
              <w:tabs>
                <w:tab w:val="left" w:pos="510"/>
              </w:tabs>
              <w:jc w:val="center"/>
              <w:rPr>
                <w:lang w:val="lt-LT"/>
              </w:rPr>
            </w:pPr>
          </w:p>
        </w:tc>
        <w:tc>
          <w:tcPr>
            <w:tcW w:w="567" w:type="dxa"/>
            <w:gridSpan w:val="7"/>
            <w:vMerge/>
          </w:tcPr>
          <w:p w:rsidR="00E91EA3" w:rsidRPr="004273CC" w:rsidRDefault="00E91EA3" w:rsidP="00065FB5">
            <w:pPr>
              <w:tabs>
                <w:tab w:val="left" w:pos="510"/>
              </w:tabs>
              <w:jc w:val="center"/>
              <w:rPr>
                <w:lang w:val="lt-LT"/>
              </w:rPr>
            </w:pPr>
          </w:p>
        </w:tc>
        <w:tc>
          <w:tcPr>
            <w:tcW w:w="1132" w:type="dxa"/>
            <w:gridSpan w:val="6"/>
          </w:tcPr>
          <w:p w:rsidR="00E91EA3" w:rsidRPr="004273CC" w:rsidRDefault="00E91EA3" w:rsidP="00065FB5">
            <w:pPr>
              <w:tabs>
                <w:tab w:val="left" w:pos="510"/>
              </w:tabs>
              <w:jc w:val="center"/>
              <w:rPr>
                <w:lang w:val="lt-LT"/>
              </w:rPr>
            </w:pPr>
            <w:r w:rsidRPr="004273CC">
              <w:rPr>
                <w:lang w:val="lt-LT"/>
              </w:rPr>
              <w:t>Tikimybė (1-5)</w:t>
            </w:r>
          </w:p>
        </w:tc>
        <w:tc>
          <w:tcPr>
            <w:tcW w:w="709" w:type="dxa"/>
            <w:gridSpan w:val="8"/>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099" w:type="dxa"/>
            <w:gridSpan w:val="7"/>
          </w:tcPr>
          <w:p w:rsidR="00E91EA3" w:rsidRPr="004273CC" w:rsidRDefault="00E91EA3" w:rsidP="00065FB5">
            <w:pPr>
              <w:tabs>
                <w:tab w:val="left" w:pos="510"/>
              </w:tabs>
              <w:jc w:val="center"/>
              <w:rPr>
                <w:lang w:val="lt-LT"/>
              </w:rPr>
            </w:pPr>
            <w:r w:rsidRPr="004273CC">
              <w:rPr>
                <w:lang w:val="lt-LT"/>
              </w:rPr>
              <w:t>Tikimybė * Įtaka</w:t>
            </w:r>
          </w:p>
        </w:tc>
        <w:tc>
          <w:tcPr>
            <w:tcW w:w="897" w:type="dxa"/>
            <w:gridSpan w:val="5"/>
            <w:vMerge/>
          </w:tcPr>
          <w:p w:rsidR="00E91EA3" w:rsidRPr="004273CC" w:rsidRDefault="00E91EA3" w:rsidP="00065FB5">
            <w:pPr>
              <w:tabs>
                <w:tab w:val="left" w:pos="510"/>
              </w:tabs>
              <w:jc w:val="center"/>
              <w:rPr>
                <w:lang w:val="lt-LT"/>
              </w:rPr>
            </w:pPr>
          </w:p>
        </w:tc>
        <w:tc>
          <w:tcPr>
            <w:tcW w:w="1147" w:type="dxa"/>
            <w:gridSpan w:val="6"/>
          </w:tcPr>
          <w:p w:rsidR="00E91EA3" w:rsidRPr="004273CC" w:rsidRDefault="00E91EA3" w:rsidP="00065FB5">
            <w:pPr>
              <w:tabs>
                <w:tab w:val="left" w:pos="510"/>
              </w:tabs>
              <w:jc w:val="center"/>
              <w:rPr>
                <w:lang w:val="lt-LT"/>
              </w:rPr>
            </w:pPr>
            <w:r w:rsidRPr="004273CC">
              <w:rPr>
                <w:lang w:val="lt-LT"/>
              </w:rPr>
              <w:t>Tikimybė (1-5)</w:t>
            </w:r>
          </w:p>
        </w:tc>
        <w:tc>
          <w:tcPr>
            <w:tcW w:w="708" w:type="dxa"/>
            <w:gridSpan w:val="7"/>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33" w:type="dxa"/>
            <w:gridSpan w:val="7"/>
          </w:tcPr>
          <w:p w:rsidR="00E91EA3" w:rsidRPr="004273CC" w:rsidRDefault="00E91EA3" w:rsidP="00065FB5">
            <w:pPr>
              <w:tabs>
                <w:tab w:val="left" w:pos="510"/>
              </w:tabs>
              <w:jc w:val="center"/>
              <w:rPr>
                <w:lang w:val="lt-LT"/>
              </w:rPr>
            </w:pPr>
            <w:r w:rsidRPr="004273CC">
              <w:rPr>
                <w:lang w:val="lt-LT"/>
              </w:rPr>
              <w:t>Tikimybė * Įtaka</w:t>
            </w: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val="restart"/>
            <w:textDirection w:val="btLr"/>
          </w:tcPr>
          <w:p w:rsidR="00E91EA3" w:rsidRPr="002E216D" w:rsidRDefault="00E91EA3" w:rsidP="00065FB5">
            <w:pPr>
              <w:tabs>
                <w:tab w:val="left" w:pos="510"/>
              </w:tabs>
              <w:ind w:left="113" w:right="113"/>
              <w:jc w:val="center"/>
              <w:rPr>
                <w:b/>
                <w:lang w:val="lt-LT"/>
              </w:rPr>
            </w:pPr>
            <w:r w:rsidRPr="002E216D">
              <w:rPr>
                <w:b/>
                <w:lang w:val="lt-LT"/>
              </w:rPr>
              <w:t>Nuosavas kapitalas, dotacijos, subsidijos</w:t>
            </w:r>
          </w:p>
        </w:tc>
        <w:tc>
          <w:tcPr>
            <w:tcW w:w="3253" w:type="dxa"/>
            <w:gridSpan w:val="6"/>
          </w:tcPr>
          <w:p w:rsidR="00E91EA3" w:rsidRPr="004273CC" w:rsidRDefault="00E91EA3" w:rsidP="00065FB5">
            <w:pPr>
              <w:tabs>
                <w:tab w:val="left" w:pos="510"/>
              </w:tabs>
              <w:jc w:val="both"/>
              <w:rPr>
                <w:lang w:val="lt-LT"/>
              </w:rPr>
            </w:pPr>
            <w:r>
              <w:rPr>
                <w:lang w:val="lt-LT"/>
              </w:rPr>
              <w:t>Nėra nustatyta gautų dotacijų (subsidijų) panaudojimo tvarka</w:t>
            </w:r>
          </w:p>
        </w:tc>
        <w:tc>
          <w:tcPr>
            <w:tcW w:w="559" w:type="dxa"/>
            <w:gridSpan w:val="7"/>
          </w:tcPr>
          <w:p w:rsidR="00E91EA3" w:rsidRPr="004273CC" w:rsidRDefault="00E91EA3" w:rsidP="00065FB5">
            <w:pPr>
              <w:tabs>
                <w:tab w:val="left" w:pos="510"/>
              </w:tabs>
              <w:jc w:val="both"/>
              <w:rPr>
                <w:lang w:val="lt-LT"/>
              </w:rPr>
            </w:pPr>
            <w:r>
              <w:rPr>
                <w:lang w:val="lt-LT"/>
              </w:rPr>
              <w:t>V</w:t>
            </w:r>
          </w:p>
        </w:tc>
        <w:tc>
          <w:tcPr>
            <w:tcW w:w="567" w:type="dxa"/>
            <w:gridSpan w:val="7"/>
          </w:tcPr>
          <w:p w:rsidR="00E91EA3" w:rsidRPr="004273CC" w:rsidRDefault="00E91EA3" w:rsidP="00065FB5">
            <w:pPr>
              <w:tabs>
                <w:tab w:val="left" w:pos="510"/>
              </w:tabs>
              <w:jc w:val="both"/>
              <w:rPr>
                <w:lang w:val="lt-LT"/>
              </w:rPr>
            </w:pP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99" w:type="dxa"/>
            <w:gridSpan w:val="7"/>
          </w:tcPr>
          <w:p w:rsidR="00E91EA3" w:rsidRPr="004273CC" w:rsidRDefault="00E91EA3" w:rsidP="00065FB5">
            <w:pPr>
              <w:tabs>
                <w:tab w:val="left" w:pos="510"/>
              </w:tabs>
              <w:jc w:val="both"/>
              <w:rPr>
                <w:lang w:val="lt-LT"/>
              </w:rPr>
            </w:pPr>
          </w:p>
        </w:tc>
        <w:tc>
          <w:tcPr>
            <w:tcW w:w="897" w:type="dxa"/>
            <w:gridSpan w:val="5"/>
          </w:tcPr>
          <w:p w:rsidR="00E91EA3" w:rsidRPr="004273CC" w:rsidRDefault="00E91EA3" w:rsidP="00065FB5">
            <w:pPr>
              <w:tabs>
                <w:tab w:val="left" w:pos="510"/>
              </w:tabs>
              <w:jc w:val="both"/>
              <w:rPr>
                <w:lang w:val="lt-LT"/>
              </w:rPr>
            </w:pPr>
          </w:p>
        </w:tc>
        <w:tc>
          <w:tcPr>
            <w:tcW w:w="1147" w:type="dxa"/>
            <w:gridSpan w:val="6"/>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253" w:type="dxa"/>
            <w:gridSpan w:val="6"/>
          </w:tcPr>
          <w:p w:rsidR="00E91EA3" w:rsidRPr="004273CC" w:rsidRDefault="00E91EA3" w:rsidP="00065FB5">
            <w:pPr>
              <w:tabs>
                <w:tab w:val="left" w:pos="510"/>
              </w:tabs>
              <w:jc w:val="both"/>
              <w:rPr>
                <w:lang w:val="lt-LT"/>
              </w:rPr>
            </w:pPr>
            <w:r>
              <w:rPr>
                <w:lang w:val="lt-LT"/>
              </w:rPr>
              <w:t>Nėra vykdoma gautų dotacijų (subsidijų) apskaitos kontrolė</w:t>
            </w:r>
          </w:p>
        </w:tc>
        <w:tc>
          <w:tcPr>
            <w:tcW w:w="559" w:type="dxa"/>
            <w:gridSpan w:val="7"/>
          </w:tcPr>
          <w:p w:rsidR="00E91EA3" w:rsidRPr="004273CC" w:rsidRDefault="00E91EA3" w:rsidP="00065FB5">
            <w:pPr>
              <w:tabs>
                <w:tab w:val="left" w:pos="510"/>
              </w:tabs>
              <w:jc w:val="both"/>
              <w:rPr>
                <w:lang w:val="lt-LT"/>
              </w:rPr>
            </w:pPr>
            <w:r>
              <w:rPr>
                <w:lang w:val="lt-LT"/>
              </w:rPr>
              <w:t>V</w:t>
            </w:r>
          </w:p>
        </w:tc>
        <w:tc>
          <w:tcPr>
            <w:tcW w:w="567" w:type="dxa"/>
            <w:gridSpan w:val="7"/>
          </w:tcPr>
          <w:p w:rsidR="00E91EA3" w:rsidRPr="004273CC" w:rsidRDefault="00E91EA3" w:rsidP="00065FB5">
            <w:pPr>
              <w:tabs>
                <w:tab w:val="left" w:pos="510"/>
              </w:tabs>
              <w:jc w:val="both"/>
              <w:rPr>
                <w:lang w:val="lt-LT"/>
              </w:rPr>
            </w:pP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99" w:type="dxa"/>
            <w:gridSpan w:val="7"/>
            <w:tcBorders>
              <w:bottom w:val="single" w:sz="4" w:space="0" w:color="auto"/>
            </w:tcBorders>
          </w:tcPr>
          <w:p w:rsidR="00E91EA3" w:rsidRPr="004273CC" w:rsidRDefault="00E91EA3" w:rsidP="00065FB5">
            <w:pPr>
              <w:tabs>
                <w:tab w:val="left" w:pos="510"/>
              </w:tabs>
              <w:jc w:val="both"/>
              <w:rPr>
                <w:lang w:val="lt-LT"/>
              </w:rPr>
            </w:pPr>
          </w:p>
        </w:tc>
        <w:tc>
          <w:tcPr>
            <w:tcW w:w="897" w:type="dxa"/>
            <w:gridSpan w:val="5"/>
            <w:tcBorders>
              <w:bottom w:val="single" w:sz="4" w:space="0" w:color="auto"/>
            </w:tcBorders>
          </w:tcPr>
          <w:p w:rsidR="00E91EA3" w:rsidRPr="004273CC" w:rsidRDefault="00E91EA3" w:rsidP="00065FB5">
            <w:pPr>
              <w:tabs>
                <w:tab w:val="left" w:pos="510"/>
              </w:tabs>
              <w:jc w:val="both"/>
              <w:rPr>
                <w:lang w:val="lt-LT"/>
              </w:rPr>
            </w:pPr>
          </w:p>
        </w:tc>
        <w:tc>
          <w:tcPr>
            <w:tcW w:w="1147" w:type="dxa"/>
            <w:gridSpan w:val="6"/>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Borders>
              <w:bottom w:val="single" w:sz="4" w:space="0" w:color="auto"/>
            </w:tcBorders>
          </w:tcPr>
          <w:p w:rsidR="00E91EA3" w:rsidRPr="004273CC" w:rsidRDefault="00E91EA3" w:rsidP="00065FB5">
            <w:pPr>
              <w:tabs>
                <w:tab w:val="left" w:pos="510"/>
              </w:tabs>
              <w:jc w:val="both"/>
              <w:rPr>
                <w:lang w:val="lt-LT"/>
              </w:rPr>
            </w:pPr>
          </w:p>
        </w:tc>
        <w:tc>
          <w:tcPr>
            <w:tcW w:w="1647" w:type="dxa"/>
            <w:gridSpan w:val="5"/>
            <w:tcBorders>
              <w:bottom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6"/>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9" w:type="dxa"/>
            <w:gridSpan w:val="8"/>
            <w:tcBorders>
              <w:bottom w:val="single" w:sz="4" w:space="0" w:color="auto"/>
            </w:tcBorders>
          </w:tcPr>
          <w:p w:rsidR="00E91EA3" w:rsidRPr="006523AC" w:rsidRDefault="00E91EA3" w:rsidP="00065FB5">
            <w:pPr>
              <w:tabs>
                <w:tab w:val="left" w:pos="510"/>
              </w:tabs>
              <w:jc w:val="center"/>
              <w:rPr>
                <w:b/>
                <w:lang w:val="lt-LT"/>
              </w:rPr>
            </w:pPr>
            <w:r w:rsidRPr="006523AC">
              <w:rPr>
                <w:b/>
                <w:lang w:val="lt-LT"/>
              </w:rPr>
              <w:t>X</w:t>
            </w:r>
          </w:p>
        </w:tc>
        <w:tc>
          <w:tcPr>
            <w:tcW w:w="1099" w:type="dxa"/>
            <w:gridSpan w:val="7"/>
            <w:tcBorders>
              <w:bottom w:val="nil"/>
              <w:right w:val="nil"/>
            </w:tcBorders>
          </w:tcPr>
          <w:p w:rsidR="00E91EA3" w:rsidRPr="006523AC" w:rsidRDefault="00E91EA3" w:rsidP="00065FB5">
            <w:pPr>
              <w:tabs>
                <w:tab w:val="left" w:pos="510"/>
              </w:tabs>
              <w:jc w:val="center"/>
              <w:rPr>
                <w:b/>
                <w:lang w:val="lt-LT"/>
              </w:rPr>
            </w:pPr>
          </w:p>
        </w:tc>
        <w:tc>
          <w:tcPr>
            <w:tcW w:w="897" w:type="dxa"/>
            <w:gridSpan w:val="5"/>
            <w:tcBorders>
              <w:top w:val="single" w:sz="4" w:space="0" w:color="auto"/>
              <w:left w:val="nil"/>
              <w:bottom w:val="nil"/>
              <w:right w:val="single" w:sz="4" w:space="0" w:color="auto"/>
            </w:tcBorders>
            <w:shd w:val="clear" w:color="auto" w:fill="FFFFFF"/>
          </w:tcPr>
          <w:p w:rsidR="00E91EA3" w:rsidRPr="006523AC" w:rsidRDefault="00E91EA3" w:rsidP="00065FB5">
            <w:pPr>
              <w:tabs>
                <w:tab w:val="left" w:pos="510"/>
              </w:tabs>
              <w:jc w:val="both"/>
              <w:rPr>
                <w:b/>
                <w:lang w:val="lt-LT"/>
              </w:rPr>
            </w:pPr>
          </w:p>
        </w:tc>
        <w:tc>
          <w:tcPr>
            <w:tcW w:w="1147" w:type="dxa"/>
            <w:gridSpan w:val="6"/>
            <w:tcBorders>
              <w:top w:val="single" w:sz="4" w:space="0" w:color="auto"/>
              <w:left w:val="single" w:sz="4" w:space="0" w:color="auto"/>
            </w:tcBorders>
            <w:shd w:val="clear" w:color="auto" w:fill="D9D9D9"/>
          </w:tcPr>
          <w:p w:rsidR="00E91EA3" w:rsidRPr="006523AC" w:rsidRDefault="00E91EA3" w:rsidP="00065FB5">
            <w:pPr>
              <w:tabs>
                <w:tab w:val="left" w:pos="510"/>
              </w:tabs>
              <w:jc w:val="both"/>
              <w:rPr>
                <w:b/>
                <w:lang w:val="lt-LT"/>
              </w:rPr>
            </w:pPr>
            <w:r w:rsidRPr="006523AC">
              <w:rPr>
                <w:b/>
                <w:lang w:val="lt-LT"/>
              </w:rPr>
              <w:t>1 eil.</w:t>
            </w:r>
          </w:p>
        </w:tc>
        <w:tc>
          <w:tcPr>
            <w:tcW w:w="708" w:type="dxa"/>
            <w:gridSpan w:val="7"/>
          </w:tcPr>
          <w:p w:rsidR="00E91EA3" w:rsidRPr="006523AC" w:rsidRDefault="00E91EA3" w:rsidP="00065FB5">
            <w:pPr>
              <w:tabs>
                <w:tab w:val="left" w:pos="510"/>
              </w:tabs>
              <w:jc w:val="center"/>
              <w:rPr>
                <w:b/>
                <w:lang w:val="lt-LT"/>
              </w:rPr>
            </w:pPr>
            <w:r w:rsidRPr="006523AC">
              <w:rPr>
                <w:b/>
                <w:lang w:val="lt-LT"/>
              </w:rPr>
              <w:t>X</w:t>
            </w:r>
          </w:p>
        </w:tc>
        <w:tc>
          <w:tcPr>
            <w:tcW w:w="2780" w:type="dxa"/>
            <w:gridSpan w:val="12"/>
            <w:vMerge w:val="restart"/>
            <w:tcBorders>
              <w:right w:val="single" w:sz="4" w:space="0" w:color="auto"/>
            </w:tcBorders>
            <w:vAlign w:val="bottom"/>
          </w:tcPr>
          <w:p w:rsidR="00E91EA3" w:rsidRPr="006523AC" w:rsidRDefault="00E91EA3" w:rsidP="00065FB5">
            <w:pPr>
              <w:tabs>
                <w:tab w:val="left" w:pos="510"/>
              </w:tabs>
              <w:rPr>
                <w:b/>
                <w:lang w:val="lt-LT"/>
              </w:rPr>
            </w:pPr>
            <w:r w:rsidRPr="00404FB8">
              <w:rPr>
                <w:b/>
                <w:lang w:val="lt-LT"/>
              </w:rPr>
              <w:t>NETAIKOMA</w:t>
            </w: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6"/>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9" w:type="dxa"/>
            <w:gridSpan w:val="8"/>
            <w:tcBorders>
              <w:right w:val="single" w:sz="4" w:space="0" w:color="auto"/>
            </w:tcBorders>
          </w:tcPr>
          <w:p w:rsidR="00E91EA3" w:rsidRPr="006523AC" w:rsidRDefault="00E91EA3" w:rsidP="00065FB5">
            <w:pPr>
              <w:tabs>
                <w:tab w:val="left" w:pos="510"/>
              </w:tabs>
              <w:jc w:val="center"/>
              <w:rPr>
                <w:b/>
                <w:lang w:val="lt-LT"/>
              </w:rPr>
            </w:pPr>
          </w:p>
        </w:tc>
        <w:tc>
          <w:tcPr>
            <w:tcW w:w="1099" w:type="dxa"/>
            <w:gridSpan w:val="7"/>
            <w:tcBorders>
              <w:top w:val="nil"/>
              <w:left w:val="single" w:sz="4" w:space="0" w:color="auto"/>
              <w:bottom w:val="nil"/>
              <w:right w:val="nil"/>
            </w:tcBorders>
          </w:tcPr>
          <w:p w:rsidR="00E91EA3" w:rsidRPr="006523AC" w:rsidRDefault="00E91EA3" w:rsidP="00065FB5">
            <w:pPr>
              <w:tabs>
                <w:tab w:val="left" w:pos="510"/>
              </w:tabs>
              <w:jc w:val="center"/>
              <w:rPr>
                <w:b/>
                <w:lang w:val="lt-LT"/>
              </w:rPr>
            </w:pPr>
          </w:p>
        </w:tc>
        <w:tc>
          <w:tcPr>
            <w:tcW w:w="897" w:type="dxa"/>
            <w:gridSpan w:val="5"/>
            <w:tcBorders>
              <w:top w:val="nil"/>
              <w:left w:val="nil"/>
              <w:bottom w:val="nil"/>
              <w:right w:val="single" w:sz="4" w:space="0" w:color="auto"/>
            </w:tcBorders>
            <w:shd w:val="clear" w:color="auto" w:fill="FFFFFF"/>
          </w:tcPr>
          <w:p w:rsidR="00E91EA3" w:rsidRPr="006523AC" w:rsidRDefault="00E91EA3" w:rsidP="00065FB5">
            <w:pPr>
              <w:tabs>
                <w:tab w:val="left" w:pos="510"/>
              </w:tabs>
              <w:jc w:val="both"/>
              <w:rPr>
                <w:b/>
                <w:lang w:val="lt-LT"/>
              </w:rPr>
            </w:pPr>
          </w:p>
        </w:tc>
        <w:tc>
          <w:tcPr>
            <w:tcW w:w="1147" w:type="dxa"/>
            <w:gridSpan w:val="6"/>
            <w:tcBorders>
              <w:left w:val="single" w:sz="4" w:space="0" w:color="auto"/>
            </w:tcBorders>
            <w:shd w:val="clear" w:color="auto" w:fill="D9D9D9"/>
          </w:tcPr>
          <w:p w:rsidR="00E91EA3" w:rsidRPr="006523AC" w:rsidRDefault="00E91EA3" w:rsidP="00065FB5">
            <w:pPr>
              <w:tabs>
                <w:tab w:val="left" w:pos="510"/>
              </w:tabs>
              <w:jc w:val="both"/>
              <w:rPr>
                <w:b/>
                <w:lang w:val="lt-LT"/>
              </w:rPr>
            </w:pPr>
            <w:r w:rsidRPr="006523AC">
              <w:rPr>
                <w:b/>
                <w:lang w:val="lt-LT"/>
              </w:rPr>
              <w:t>2 eil.</w:t>
            </w:r>
          </w:p>
        </w:tc>
        <w:tc>
          <w:tcPr>
            <w:tcW w:w="708" w:type="dxa"/>
            <w:gridSpan w:val="7"/>
          </w:tcPr>
          <w:p w:rsidR="00E91EA3" w:rsidRPr="006523AC"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6523AC" w:rsidRDefault="00E91EA3" w:rsidP="00065FB5">
            <w:pPr>
              <w:tabs>
                <w:tab w:val="left" w:pos="510"/>
              </w:tabs>
              <w:jc w:val="both"/>
              <w:rPr>
                <w:b/>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6"/>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tcPr>
          <w:p w:rsidR="00E91EA3" w:rsidRPr="006523AC" w:rsidRDefault="00E91EA3" w:rsidP="00065FB5">
            <w:pPr>
              <w:tabs>
                <w:tab w:val="left" w:pos="510"/>
              </w:tabs>
              <w:jc w:val="center"/>
              <w:rPr>
                <w:b/>
                <w:lang w:val="lt-LT"/>
              </w:rPr>
            </w:pPr>
          </w:p>
        </w:tc>
        <w:tc>
          <w:tcPr>
            <w:tcW w:w="1099" w:type="dxa"/>
            <w:gridSpan w:val="7"/>
            <w:tcBorders>
              <w:top w:val="nil"/>
              <w:left w:val="single" w:sz="4" w:space="0" w:color="auto"/>
              <w:bottom w:val="nil"/>
              <w:right w:val="nil"/>
            </w:tcBorders>
          </w:tcPr>
          <w:p w:rsidR="00E91EA3" w:rsidRPr="006523AC" w:rsidRDefault="00E91EA3" w:rsidP="00065FB5">
            <w:pPr>
              <w:tabs>
                <w:tab w:val="left" w:pos="510"/>
              </w:tabs>
              <w:jc w:val="center"/>
              <w:rPr>
                <w:b/>
                <w:lang w:val="lt-LT"/>
              </w:rPr>
            </w:pPr>
          </w:p>
        </w:tc>
        <w:tc>
          <w:tcPr>
            <w:tcW w:w="897" w:type="dxa"/>
            <w:gridSpan w:val="5"/>
            <w:tcBorders>
              <w:top w:val="nil"/>
              <w:left w:val="nil"/>
              <w:bottom w:val="nil"/>
              <w:right w:val="single" w:sz="4" w:space="0" w:color="auto"/>
            </w:tcBorders>
            <w:shd w:val="clear" w:color="auto" w:fill="FFFFFF"/>
          </w:tcPr>
          <w:p w:rsidR="00E91EA3" w:rsidRPr="006523AC" w:rsidRDefault="00E91EA3" w:rsidP="00065FB5">
            <w:pPr>
              <w:tabs>
                <w:tab w:val="left" w:pos="510"/>
              </w:tabs>
              <w:jc w:val="both"/>
              <w:rPr>
                <w:b/>
                <w:lang w:val="lt-LT"/>
              </w:rPr>
            </w:pPr>
          </w:p>
        </w:tc>
        <w:tc>
          <w:tcPr>
            <w:tcW w:w="1147" w:type="dxa"/>
            <w:gridSpan w:val="6"/>
            <w:tcBorders>
              <w:left w:val="single" w:sz="4" w:space="0" w:color="auto"/>
            </w:tcBorders>
            <w:shd w:val="clear" w:color="auto" w:fill="D9D9D9"/>
          </w:tcPr>
          <w:p w:rsidR="00E91EA3" w:rsidRPr="006523AC" w:rsidRDefault="00E91EA3" w:rsidP="00065FB5">
            <w:pPr>
              <w:tabs>
                <w:tab w:val="left" w:pos="510"/>
              </w:tabs>
              <w:jc w:val="both"/>
              <w:rPr>
                <w:b/>
                <w:lang w:val="lt-LT"/>
              </w:rPr>
            </w:pPr>
            <w:r w:rsidRPr="006523AC">
              <w:rPr>
                <w:b/>
                <w:lang w:val="lt-LT"/>
              </w:rPr>
              <w:t>3 eil.</w:t>
            </w:r>
          </w:p>
        </w:tc>
        <w:tc>
          <w:tcPr>
            <w:tcW w:w="708" w:type="dxa"/>
            <w:gridSpan w:val="7"/>
            <w:tcBorders>
              <w:bottom w:val="single" w:sz="4" w:space="0" w:color="auto"/>
            </w:tcBorders>
          </w:tcPr>
          <w:p w:rsidR="00E91EA3" w:rsidRPr="006523AC"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6523AC" w:rsidRDefault="00E91EA3" w:rsidP="00065FB5">
            <w:pPr>
              <w:tabs>
                <w:tab w:val="left" w:pos="510"/>
              </w:tabs>
              <w:jc w:val="both"/>
              <w:rPr>
                <w:b/>
                <w:lang w:val="lt-LT"/>
              </w:rPr>
            </w:pPr>
          </w:p>
        </w:tc>
      </w:tr>
      <w:tr w:rsidR="00E91EA3" w:rsidRPr="004273CC" w:rsidTr="001C0D02">
        <w:trPr>
          <w:cantSplit/>
          <w:trHeight w:val="264"/>
        </w:trPr>
        <w:tc>
          <w:tcPr>
            <w:tcW w:w="1007" w:type="dxa"/>
            <w:gridSpan w:val="4"/>
            <w:vMerge/>
          </w:tcPr>
          <w:p w:rsidR="00E91EA3" w:rsidRPr="004273CC" w:rsidRDefault="00E91EA3" w:rsidP="00065FB5">
            <w:pPr>
              <w:tabs>
                <w:tab w:val="left" w:pos="510"/>
              </w:tabs>
              <w:jc w:val="right"/>
              <w:rPr>
                <w:lang w:val="lt-LT"/>
              </w:rPr>
            </w:pPr>
          </w:p>
        </w:tc>
        <w:tc>
          <w:tcPr>
            <w:tcW w:w="4379" w:type="dxa"/>
            <w:gridSpan w:val="20"/>
          </w:tcPr>
          <w:p w:rsidR="00E91EA3" w:rsidRPr="004273CC" w:rsidRDefault="00E91EA3"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6"/>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E91EA3" w:rsidRPr="006523AC" w:rsidRDefault="00E91EA3" w:rsidP="00065FB5">
            <w:pPr>
              <w:tabs>
                <w:tab w:val="left" w:pos="510"/>
              </w:tabs>
              <w:jc w:val="center"/>
              <w:rPr>
                <w:b/>
                <w:lang w:val="lt-LT"/>
              </w:rPr>
            </w:pPr>
          </w:p>
        </w:tc>
        <w:tc>
          <w:tcPr>
            <w:tcW w:w="1099" w:type="dxa"/>
            <w:gridSpan w:val="7"/>
            <w:tcBorders>
              <w:top w:val="nil"/>
              <w:left w:val="single" w:sz="4" w:space="0" w:color="auto"/>
              <w:bottom w:val="nil"/>
              <w:right w:val="nil"/>
            </w:tcBorders>
          </w:tcPr>
          <w:p w:rsidR="00E91EA3" w:rsidRPr="006523AC" w:rsidRDefault="00E91EA3" w:rsidP="00065FB5">
            <w:pPr>
              <w:tabs>
                <w:tab w:val="left" w:pos="510"/>
              </w:tabs>
              <w:jc w:val="center"/>
              <w:rPr>
                <w:b/>
                <w:lang w:val="lt-LT"/>
              </w:rPr>
            </w:pPr>
          </w:p>
        </w:tc>
        <w:tc>
          <w:tcPr>
            <w:tcW w:w="897" w:type="dxa"/>
            <w:gridSpan w:val="5"/>
            <w:tcBorders>
              <w:top w:val="nil"/>
              <w:left w:val="nil"/>
              <w:bottom w:val="nil"/>
              <w:right w:val="single" w:sz="4" w:space="0" w:color="auto"/>
            </w:tcBorders>
            <w:shd w:val="clear" w:color="auto" w:fill="FFFFFF"/>
            <w:vAlign w:val="center"/>
          </w:tcPr>
          <w:p w:rsidR="00E91EA3" w:rsidRPr="006523AC" w:rsidRDefault="00E91EA3" w:rsidP="00065FB5">
            <w:pPr>
              <w:tabs>
                <w:tab w:val="left" w:pos="510"/>
              </w:tabs>
              <w:jc w:val="both"/>
              <w:rPr>
                <w:b/>
                <w:lang w:val="lt-LT"/>
              </w:rPr>
            </w:pPr>
          </w:p>
        </w:tc>
        <w:tc>
          <w:tcPr>
            <w:tcW w:w="1147" w:type="dxa"/>
            <w:gridSpan w:val="6"/>
            <w:tcBorders>
              <w:left w:val="single" w:sz="4" w:space="0" w:color="auto"/>
            </w:tcBorders>
            <w:shd w:val="clear" w:color="auto" w:fill="D9D9D9"/>
            <w:vAlign w:val="center"/>
          </w:tcPr>
          <w:p w:rsidR="00E91EA3" w:rsidRPr="006523AC" w:rsidRDefault="00E91EA3" w:rsidP="00065FB5">
            <w:pPr>
              <w:tabs>
                <w:tab w:val="left" w:pos="510"/>
              </w:tabs>
              <w:jc w:val="both"/>
              <w:rPr>
                <w:b/>
                <w:lang w:val="lt-LT"/>
              </w:rPr>
            </w:pPr>
            <w:r w:rsidRPr="006523AC">
              <w:rPr>
                <w:b/>
                <w:lang w:val="lt-LT"/>
              </w:rPr>
              <w:t>4 eil.</w:t>
            </w:r>
          </w:p>
        </w:tc>
        <w:tc>
          <w:tcPr>
            <w:tcW w:w="708" w:type="dxa"/>
            <w:gridSpan w:val="7"/>
            <w:shd w:val="clear" w:color="auto" w:fill="D9D9D9"/>
          </w:tcPr>
          <w:p w:rsidR="00E91EA3" w:rsidRPr="006523AC"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6523AC" w:rsidRDefault="00E91EA3" w:rsidP="00065FB5">
            <w:pPr>
              <w:tabs>
                <w:tab w:val="left" w:pos="510"/>
              </w:tabs>
              <w:jc w:val="both"/>
              <w:rPr>
                <w:b/>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6"/>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right w:val="single" w:sz="4" w:space="0" w:color="auto"/>
            </w:tcBorders>
          </w:tcPr>
          <w:p w:rsidR="00E91EA3" w:rsidRPr="006523AC" w:rsidRDefault="00E91EA3" w:rsidP="00065FB5">
            <w:pPr>
              <w:tabs>
                <w:tab w:val="left" w:pos="510"/>
              </w:tabs>
              <w:jc w:val="center"/>
              <w:rPr>
                <w:b/>
                <w:lang w:val="lt-LT"/>
              </w:rPr>
            </w:pPr>
            <w:r w:rsidRPr="006523AC">
              <w:rPr>
                <w:b/>
                <w:lang w:val="lt-LT"/>
              </w:rPr>
              <w:t>X</w:t>
            </w:r>
          </w:p>
        </w:tc>
        <w:tc>
          <w:tcPr>
            <w:tcW w:w="1099" w:type="dxa"/>
            <w:gridSpan w:val="7"/>
            <w:tcBorders>
              <w:top w:val="nil"/>
              <w:left w:val="single" w:sz="4" w:space="0" w:color="auto"/>
              <w:bottom w:val="nil"/>
              <w:right w:val="nil"/>
            </w:tcBorders>
          </w:tcPr>
          <w:p w:rsidR="00E91EA3" w:rsidRPr="006523AC" w:rsidRDefault="00E91EA3" w:rsidP="00065FB5">
            <w:pPr>
              <w:tabs>
                <w:tab w:val="left" w:pos="510"/>
              </w:tabs>
              <w:jc w:val="center"/>
              <w:rPr>
                <w:b/>
                <w:lang w:val="lt-LT"/>
              </w:rPr>
            </w:pPr>
          </w:p>
        </w:tc>
        <w:tc>
          <w:tcPr>
            <w:tcW w:w="897" w:type="dxa"/>
            <w:gridSpan w:val="5"/>
            <w:tcBorders>
              <w:top w:val="nil"/>
              <w:left w:val="nil"/>
              <w:bottom w:val="nil"/>
              <w:right w:val="single" w:sz="4" w:space="0" w:color="auto"/>
            </w:tcBorders>
            <w:shd w:val="clear" w:color="auto" w:fill="FFFFFF"/>
          </w:tcPr>
          <w:p w:rsidR="00E91EA3" w:rsidRPr="006523AC" w:rsidRDefault="00E91EA3" w:rsidP="00065FB5">
            <w:pPr>
              <w:tabs>
                <w:tab w:val="left" w:pos="510"/>
              </w:tabs>
              <w:jc w:val="both"/>
              <w:rPr>
                <w:b/>
                <w:lang w:val="lt-LT"/>
              </w:rPr>
            </w:pPr>
          </w:p>
        </w:tc>
        <w:tc>
          <w:tcPr>
            <w:tcW w:w="1147" w:type="dxa"/>
            <w:gridSpan w:val="6"/>
            <w:tcBorders>
              <w:left w:val="single" w:sz="4" w:space="0" w:color="auto"/>
            </w:tcBorders>
            <w:shd w:val="clear" w:color="auto" w:fill="D9D9D9"/>
          </w:tcPr>
          <w:p w:rsidR="00E91EA3" w:rsidRPr="006523AC" w:rsidRDefault="00E91EA3" w:rsidP="00065FB5">
            <w:pPr>
              <w:tabs>
                <w:tab w:val="left" w:pos="510"/>
              </w:tabs>
              <w:jc w:val="both"/>
              <w:rPr>
                <w:b/>
                <w:lang w:val="lt-LT"/>
              </w:rPr>
            </w:pPr>
            <w:r w:rsidRPr="006523AC">
              <w:rPr>
                <w:b/>
                <w:lang w:val="lt-LT"/>
              </w:rPr>
              <w:t>5 eil.</w:t>
            </w:r>
          </w:p>
        </w:tc>
        <w:tc>
          <w:tcPr>
            <w:tcW w:w="708" w:type="dxa"/>
            <w:gridSpan w:val="7"/>
          </w:tcPr>
          <w:p w:rsidR="00E91EA3" w:rsidRPr="006523AC" w:rsidRDefault="00E91EA3" w:rsidP="00065FB5">
            <w:pPr>
              <w:tabs>
                <w:tab w:val="left" w:pos="510"/>
              </w:tabs>
              <w:jc w:val="center"/>
              <w:rPr>
                <w:b/>
                <w:lang w:val="lt-LT"/>
              </w:rPr>
            </w:pPr>
            <w:r w:rsidRPr="006523AC">
              <w:rPr>
                <w:b/>
                <w:lang w:val="lt-LT"/>
              </w:rPr>
              <w:t>X</w:t>
            </w:r>
          </w:p>
        </w:tc>
        <w:tc>
          <w:tcPr>
            <w:tcW w:w="2780" w:type="dxa"/>
            <w:gridSpan w:val="12"/>
            <w:vMerge/>
            <w:tcBorders>
              <w:right w:val="single" w:sz="4" w:space="0" w:color="auto"/>
            </w:tcBorders>
          </w:tcPr>
          <w:p w:rsidR="00E91EA3" w:rsidRPr="006523AC" w:rsidRDefault="00E91EA3" w:rsidP="00065FB5">
            <w:pPr>
              <w:tabs>
                <w:tab w:val="left" w:pos="510"/>
              </w:tabs>
              <w:jc w:val="both"/>
              <w:rPr>
                <w:b/>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6"/>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right w:val="single" w:sz="4" w:space="0" w:color="auto"/>
            </w:tcBorders>
          </w:tcPr>
          <w:p w:rsidR="00E91EA3" w:rsidRPr="006523AC" w:rsidRDefault="00E91EA3" w:rsidP="00065FB5">
            <w:pPr>
              <w:tabs>
                <w:tab w:val="left" w:pos="510"/>
              </w:tabs>
              <w:jc w:val="center"/>
              <w:rPr>
                <w:b/>
                <w:lang w:val="lt-LT"/>
              </w:rPr>
            </w:pPr>
          </w:p>
        </w:tc>
        <w:tc>
          <w:tcPr>
            <w:tcW w:w="1099" w:type="dxa"/>
            <w:gridSpan w:val="7"/>
            <w:tcBorders>
              <w:top w:val="nil"/>
              <w:left w:val="single" w:sz="4" w:space="0" w:color="auto"/>
              <w:bottom w:val="nil"/>
              <w:right w:val="nil"/>
            </w:tcBorders>
          </w:tcPr>
          <w:p w:rsidR="00E91EA3" w:rsidRPr="006523AC" w:rsidRDefault="00E91EA3" w:rsidP="00065FB5">
            <w:pPr>
              <w:tabs>
                <w:tab w:val="left" w:pos="510"/>
              </w:tabs>
              <w:jc w:val="both"/>
              <w:rPr>
                <w:b/>
                <w:lang w:val="lt-LT"/>
              </w:rPr>
            </w:pPr>
          </w:p>
        </w:tc>
        <w:tc>
          <w:tcPr>
            <w:tcW w:w="897" w:type="dxa"/>
            <w:gridSpan w:val="5"/>
            <w:tcBorders>
              <w:top w:val="nil"/>
              <w:left w:val="nil"/>
              <w:bottom w:val="nil"/>
              <w:right w:val="single" w:sz="4" w:space="0" w:color="auto"/>
            </w:tcBorders>
            <w:shd w:val="clear" w:color="auto" w:fill="FFFFFF"/>
          </w:tcPr>
          <w:p w:rsidR="00E91EA3" w:rsidRPr="006523AC" w:rsidRDefault="00E91EA3" w:rsidP="00065FB5">
            <w:pPr>
              <w:tabs>
                <w:tab w:val="left" w:pos="510"/>
              </w:tabs>
              <w:jc w:val="both"/>
              <w:rPr>
                <w:b/>
                <w:lang w:val="lt-LT"/>
              </w:rPr>
            </w:pPr>
          </w:p>
        </w:tc>
        <w:tc>
          <w:tcPr>
            <w:tcW w:w="1147" w:type="dxa"/>
            <w:gridSpan w:val="6"/>
            <w:tcBorders>
              <w:left w:val="single" w:sz="4" w:space="0" w:color="auto"/>
            </w:tcBorders>
            <w:shd w:val="clear" w:color="auto" w:fill="D9D9D9"/>
          </w:tcPr>
          <w:p w:rsidR="00E91EA3" w:rsidRPr="006523AC" w:rsidRDefault="00E91EA3" w:rsidP="00065FB5">
            <w:pPr>
              <w:tabs>
                <w:tab w:val="left" w:pos="510"/>
              </w:tabs>
              <w:jc w:val="both"/>
              <w:rPr>
                <w:b/>
                <w:lang w:val="lt-LT"/>
              </w:rPr>
            </w:pPr>
            <w:r w:rsidRPr="006523AC">
              <w:rPr>
                <w:b/>
                <w:lang w:val="lt-LT"/>
              </w:rPr>
              <w:t>6 eil.</w:t>
            </w:r>
          </w:p>
        </w:tc>
        <w:tc>
          <w:tcPr>
            <w:tcW w:w="708" w:type="dxa"/>
            <w:gridSpan w:val="7"/>
          </w:tcPr>
          <w:p w:rsidR="00E91EA3" w:rsidRPr="006523AC"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6523AC" w:rsidRDefault="00E91EA3" w:rsidP="00065FB5">
            <w:pPr>
              <w:tabs>
                <w:tab w:val="left" w:pos="510"/>
              </w:tabs>
              <w:jc w:val="both"/>
              <w:rPr>
                <w:b/>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right"/>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6"/>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tcPr>
          <w:p w:rsidR="00E91EA3" w:rsidRPr="006523AC" w:rsidRDefault="00E91EA3" w:rsidP="00065FB5">
            <w:pPr>
              <w:tabs>
                <w:tab w:val="left" w:pos="510"/>
              </w:tabs>
              <w:jc w:val="center"/>
              <w:rPr>
                <w:b/>
                <w:lang w:val="lt-LT"/>
              </w:rPr>
            </w:pPr>
          </w:p>
        </w:tc>
        <w:tc>
          <w:tcPr>
            <w:tcW w:w="1099" w:type="dxa"/>
            <w:gridSpan w:val="7"/>
            <w:tcBorders>
              <w:top w:val="nil"/>
              <w:left w:val="single" w:sz="4" w:space="0" w:color="auto"/>
              <w:bottom w:val="nil"/>
              <w:right w:val="nil"/>
            </w:tcBorders>
          </w:tcPr>
          <w:p w:rsidR="00E91EA3" w:rsidRPr="006523AC" w:rsidRDefault="00E91EA3" w:rsidP="00065FB5">
            <w:pPr>
              <w:tabs>
                <w:tab w:val="left" w:pos="510"/>
              </w:tabs>
              <w:jc w:val="both"/>
              <w:rPr>
                <w:b/>
                <w:lang w:val="lt-LT"/>
              </w:rPr>
            </w:pPr>
          </w:p>
        </w:tc>
        <w:tc>
          <w:tcPr>
            <w:tcW w:w="897" w:type="dxa"/>
            <w:gridSpan w:val="5"/>
            <w:tcBorders>
              <w:top w:val="nil"/>
              <w:left w:val="nil"/>
              <w:bottom w:val="nil"/>
              <w:right w:val="single" w:sz="4" w:space="0" w:color="auto"/>
            </w:tcBorders>
            <w:shd w:val="clear" w:color="auto" w:fill="FFFFFF"/>
          </w:tcPr>
          <w:p w:rsidR="00E91EA3" w:rsidRPr="006523AC" w:rsidRDefault="00E91EA3" w:rsidP="00065FB5">
            <w:pPr>
              <w:tabs>
                <w:tab w:val="left" w:pos="510"/>
              </w:tabs>
              <w:jc w:val="both"/>
              <w:rPr>
                <w:b/>
                <w:lang w:val="lt-LT"/>
              </w:rPr>
            </w:pPr>
          </w:p>
        </w:tc>
        <w:tc>
          <w:tcPr>
            <w:tcW w:w="1147" w:type="dxa"/>
            <w:gridSpan w:val="6"/>
            <w:tcBorders>
              <w:left w:val="single" w:sz="4" w:space="0" w:color="auto"/>
            </w:tcBorders>
            <w:shd w:val="clear" w:color="auto" w:fill="D9D9D9"/>
          </w:tcPr>
          <w:p w:rsidR="00E91EA3" w:rsidRPr="006523AC" w:rsidRDefault="00E91EA3" w:rsidP="00065FB5">
            <w:pPr>
              <w:tabs>
                <w:tab w:val="left" w:pos="510"/>
              </w:tabs>
              <w:jc w:val="both"/>
              <w:rPr>
                <w:b/>
                <w:lang w:val="lt-LT"/>
              </w:rPr>
            </w:pPr>
            <w:r w:rsidRPr="006523AC">
              <w:rPr>
                <w:b/>
                <w:lang w:val="lt-LT"/>
              </w:rPr>
              <w:t>7 eil.</w:t>
            </w:r>
          </w:p>
        </w:tc>
        <w:tc>
          <w:tcPr>
            <w:tcW w:w="708" w:type="dxa"/>
            <w:gridSpan w:val="7"/>
            <w:tcBorders>
              <w:bottom w:val="single" w:sz="4" w:space="0" w:color="auto"/>
            </w:tcBorders>
          </w:tcPr>
          <w:p w:rsidR="00E91EA3" w:rsidRPr="006523AC" w:rsidRDefault="00E91EA3" w:rsidP="00065FB5">
            <w:pPr>
              <w:tabs>
                <w:tab w:val="left" w:pos="510"/>
              </w:tabs>
              <w:jc w:val="center"/>
              <w:rPr>
                <w:b/>
                <w:lang w:val="lt-LT"/>
              </w:rPr>
            </w:pPr>
          </w:p>
        </w:tc>
        <w:tc>
          <w:tcPr>
            <w:tcW w:w="2780" w:type="dxa"/>
            <w:gridSpan w:val="12"/>
            <w:vMerge/>
            <w:tcBorders>
              <w:right w:val="single" w:sz="4" w:space="0" w:color="auto"/>
            </w:tcBorders>
          </w:tcPr>
          <w:p w:rsidR="00E91EA3" w:rsidRPr="006523AC" w:rsidRDefault="00E91EA3" w:rsidP="00065FB5">
            <w:pPr>
              <w:tabs>
                <w:tab w:val="left" w:pos="510"/>
              </w:tabs>
              <w:jc w:val="both"/>
              <w:rPr>
                <w:b/>
                <w:lang w:val="lt-LT"/>
              </w:rPr>
            </w:pPr>
          </w:p>
        </w:tc>
      </w:tr>
      <w:tr w:rsidR="00E91EA3" w:rsidRPr="004273CC" w:rsidTr="001C0D02">
        <w:trPr>
          <w:cantSplit/>
        </w:trPr>
        <w:tc>
          <w:tcPr>
            <w:tcW w:w="1007" w:type="dxa"/>
            <w:gridSpan w:val="4"/>
            <w:vMerge/>
            <w:tcBorders>
              <w:bottom w:val="single" w:sz="4" w:space="0" w:color="auto"/>
            </w:tcBorders>
          </w:tcPr>
          <w:p w:rsidR="00E91EA3" w:rsidRPr="004273CC" w:rsidRDefault="00E91EA3" w:rsidP="00065FB5">
            <w:pPr>
              <w:tabs>
                <w:tab w:val="left" w:pos="510"/>
              </w:tabs>
              <w:jc w:val="right"/>
              <w:rPr>
                <w:lang w:val="lt-LT"/>
              </w:rPr>
            </w:pPr>
          </w:p>
        </w:tc>
        <w:tc>
          <w:tcPr>
            <w:tcW w:w="4379" w:type="dxa"/>
            <w:gridSpan w:val="20"/>
            <w:tcBorders>
              <w:bottom w:val="single" w:sz="4" w:space="0" w:color="auto"/>
            </w:tcBorders>
          </w:tcPr>
          <w:p w:rsidR="00E91EA3" w:rsidRPr="004273CC" w:rsidRDefault="00E91EA3"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6"/>
            <w:tcBorders>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E91EA3" w:rsidRPr="006523AC" w:rsidRDefault="00E91EA3" w:rsidP="00065FB5">
            <w:pPr>
              <w:tabs>
                <w:tab w:val="left" w:pos="510"/>
              </w:tabs>
              <w:jc w:val="center"/>
              <w:rPr>
                <w:b/>
                <w:lang w:val="lt-LT"/>
              </w:rPr>
            </w:pPr>
          </w:p>
        </w:tc>
        <w:tc>
          <w:tcPr>
            <w:tcW w:w="1996" w:type="dxa"/>
            <w:gridSpan w:val="12"/>
            <w:tcBorders>
              <w:top w:val="nil"/>
              <w:left w:val="single" w:sz="4" w:space="0" w:color="auto"/>
              <w:bottom w:val="single" w:sz="4" w:space="0" w:color="auto"/>
              <w:right w:val="single" w:sz="4" w:space="0" w:color="auto"/>
            </w:tcBorders>
          </w:tcPr>
          <w:p w:rsidR="00E91EA3" w:rsidRPr="006523AC" w:rsidRDefault="00E91EA3" w:rsidP="00065FB5">
            <w:pPr>
              <w:tabs>
                <w:tab w:val="left" w:pos="510"/>
              </w:tabs>
              <w:jc w:val="both"/>
              <w:rPr>
                <w:b/>
                <w:lang w:val="lt-LT"/>
              </w:rPr>
            </w:pPr>
            <w:r w:rsidRPr="00404FB8">
              <w:rPr>
                <w:b/>
                <w:lang w:val="lt-LT"/>
              </w:rPr>
              <w:t>NETAIKOMA</w:t>
            </w:r>
          </w:p>
        </w:tc>
        <w:tc>
          <w:tcPr>
            <w:tcW w:w="1147" w:type="dxa"/>
            <w:gridSpan w:val="6"/>
            <w:tcBorders>
              <w:left w:val="single" w:sz="4" w:space="0" w:color="auto"/>
              <w:bottom w:val="single" w:sz="4" w:space="0" w:color="auto"/>
            </w:tcBorders>
            <w:shd w:val="clear" w:color="auto" w:fill="D9D9D9"/>
            <w:vAlign w:val="center"/>
          </w:tcPr>
          <w:p w:rsidR="00E91EA3" w:rsidRPr="006523AC" w:rsidRDefault="00E91EA3" w:rsidP="00065FB5">
            <w:pPr>
              <w:tabs>
                <w:tab w:val="left" w:pos="510"/>
              </w:tabs>
              <w:jc w:val="both"/>
              <w:rPr>
                <w:b/>
                <w:lang w:val="lt-LT"/>
              </w:rPr>
            </w:pPr>
            <w:r w:rsidRPr="006523AC">
              <w:rPr>
                <w:b/>
                <w:lang w:val="lt-LT"/>
              </w:rPr>
              <w:t>8 eil.</w:t>
            </w:r>
          </w:p>
        </w:tc>
        <w:tc>
          <w:tcPr>
            <w:tcW w:w="708" w:type="dxa"/>
            <w:gridSpan w:val="7"/>
            <w:tcBorders>
              <w:bottom w:val="single" w:sz="4" w:space="0" w:color="auto"/>
            </w:tcBorders>
            <w:shd w:val="clear" w:color="auto" w:fill="D9D9D9"/>
          </w:tcPr>
          <w:p w:rsidR="00E91EA3" w:rsidRPr="006523AC" w:rsidRDefault="00E91EA3" w:rsidP="00065FB5">
            <w:pPr>
              <w:tabs>
                <w:tab w:val="left" w:pos="510"/>
              </w:tabs>
              <w:jc w:val="center"/>
              <w:rPr>
                <w:b/>
                <w:lang w:val="lt-LT"/>
              </w:rPr>
            </w:pPr>
          </w:p>
        </w:tc>
        <w:tc>
          <w:tcPr>
            <w:tcW w:w="2780" w:type="dxa"/>
            <w:gridSpan w:val="12"/>
            <w:vMerge/>
            <w:tcBorders>
              <w:bottom w:val="single" w:sz="4" w:space="0" w:color="auto"/>
              <w:right w:val="single" w:sz="4" w:space="0" w:color="auto"/>
            </w:tcBorders>
          </w:tcPr>
          <w:p w:rsidR="00E91EA3" w:rsidRPr="006523AC" w:rsidRDefault="00E91EA3" w:rsidP="00065FB5">
            <w:pPr>
              <w:tabs>
                <w:tab w:val="left" w:pos="510"/>
              </w:tabs>
              <w:jc w:val="both"/>
              <w:rPr>
                <w:b/>
                <w:lang w:val="lt-LT"/>
              </w:rPr>
            </w:pPr>
          </w:p>
        </w:tc>
      </w:tr>
      <w:tr w:rsidR="00E91EA3" w:rsidRPr="004273CC" w:rsidTr="00065FB5">
        <w:trPr>
          <w:cantSplit/>
        </w:trPr>
        <w:tc>
          <w:tcPr>
            <w:tcW w:w="13858" w:type="dxa"/>
            <w:gridSpan w:val="75"/>
            <w:tcBorders>
              <w:left w:val="nil"/>
              <w:bottom w:val="single" w:sz="4" w:space="0" w:color="auto"/>
              <w:right w:val="nil"/>
            </w:tcBorders>
            <w:shd w:val="clear" w:color="auto" w:fill="F2F2F2"/>
          </w:tcPr>
          <w:p w:rsidR="00E91EA3" w:rsidRPr="004273CC" w:rsidRDefault="00E91EA3" w:rsidP="00065FB5">
            <w:pPr>
              <w:tabs>
                <w:tab w:val="left" w:pos="510"/>
              </w:tabs>
              <w:jc w:val="both"/>
              <w:rPr>
                <w:lang w:val="lt-LT"/>
              </w:rPr>
            </w:pPr>
          </w:p>
        </w:tc>
      </w:tr>
      <w:tr w:rsidR="00E91EA3" w:rsidRPr="004273CC" w:rsidTr="001C0D02">
        <w:trPr>
          <w:cantSplit/>
          <w:trHeight w:val="591"/>
        </w:trPr>
        <w:tc>
          <w:tcPr>
            <w:tcW w:w="4260" w:type="dxa"/>
            <w:gridSpan w:val="10"/>
            <w:vMerge w:val="restart"/>
          </w:tcPr>
          <w:p w:rsidR="00E91EA3" w:rsidRPr="004273CC" w:rsidRDefault="00E91EA3" w:rsidP="00065FB5">
            <w:pPr>
              <w:tabs>
                <w:tab w:val="left" w:pos="510"/>
              </w:tabs>
              <w:ind w:left="113" w:right="113"/>
              <w:jc w:val="center"/>
              <w:rPr>
                <w:lang w:val="lt-LT"/>
              </w:rPr>
            </w:pPr>
            <w:r>
              <w:rPr>
                <w:b/>
                <w:lang w:val="lt-LT"/>
              </w:rPr>
              <w:t>Finansinių ataskaitų elemento ir/ar jo tvirtinimo pobūdis ir jam taikoma vidaus kontrolės sistema</w:t>
            </w:r>
          </w:p>
        </w:tc>
        <w:tc>
          <w:tcPr>
            <w:tcW w:w="559"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IR / KR</w:t>
            </w:r>
          </w:p>
          <w:p w:rsidR="00E91EA3" w:rsidRPr="004273CC" w:rsidRDefault="00E91EA3" w:rsidP="00065FB5">
            <w:pPr>
              <w:tabs>
                <w:tab w:val="left" w:pos="510"/>
              </w:tabs>
              <w:ind w:left="113" w:right="113"/>
              <w:jc w:val="center"/>
              <w:rPr>
                <w:lang w:val="lt-LT"/>
              </w:rPr>
            </w:pPr>
          </w:p>
        </w:tc>
        <w:tc>
          <w:tcPr>
            <w:tcW w:w="3837" w:type="dxa"/>
            <w:gridSpan w:val="26"/>
          </w:tcPr>
          <w:p w:rsidR="00E91EA3" w:rsidRPr="004273CC" w:rsidRDefault="00E91EA3" w:rsidP="00065FB5">
            <w:pPr>
              <w:tabs>
                <w:tab w:val="left" w:pos="510"/>
              </w:tabs>
              <w:jc w:val="center"/>
              <w:rPr>
                <w:lang w:val="lt-LT"/>
              </w:rPr>
            </w:pPr>
            <w:r>
              <w:rPr>
                <w:b/>
                <w:lang w:val="lt-LT"/>
              </w:rPr>
              <w:t>UAB „Šiluma“</w:t>
            </w:r>
          </w:p>
        </w:tc>
        <w:tc>
          <w:tcPr>
            <w:tcW w:w="4635" w:type="dxa"/>
            <w:gridSpan w:val="25"/>
          </w:tcPr>
          <w:p w:rsidR="00E91EA3" w:rsidRPr="004273CC" w:rsidRDefault="00E91EA3" w:rsidP="00065FB5">
            <w:pPr>
              <w:tabs>
                <w:tab w:val="left" w:pos="510"/>
              </w:tabs>
              <w:jc w:val="center"/>
              <w:rPr>
                <w:lang w:val="lt-LT"/>
              </w:rPr>
            </w:pPr>
            <w:r>
              <w:rPr>
                <w:b/>
                <w:lang w:val="lt-LT"/>
              </w:rPr>
              <w:t>UAB „Žuvila“</w:t>
            </w:r>
          </w:p>
        </w:tc>
      </w:tr>
      <w:tr w:rsidR="00E91EA3" w:rsidRPr="004273CC" w:rsidTr="001C0D02">
        <w:trPr>
          <w:cantSplit/>
        </w:trPr>
        <w:tc>
          <w:tcPr>
            <w:tcW w:w="4260" w:type="dxa"/>
            <w:gridSpan w:val="10"/>
            <w:vMerge/>
          </w:tcPr>
          <w:p w:rsidR="00E91EA3" w:rsidRPr="004273CC" w:rsidRDefault="00E91EA3" w:rsidP="00065FB5">
            <w:pPr>
              <w:tabs>
                <w:tab w:val="left" w:pos="510"/>
              </w:tabs>
              <w:jc w:val="center"/>
              <w:rPr>
                <w:lang w:val="lt-LT"/>
              </w:rPr>
            </w:pPr>
          </w:p>
        </w:tc>
        <w:tc>
          <w:tcPr>
            <w:tcW w:w="559" w:type="dxa"/>
            <w:gridSpan w:val="7"/>
            <w:vMerge/>
            <w:vAlign w:val="center"/>
          </w:tcPr>
          <w:p w:rsidR="00E91EA3" w:rsidRPr="004273CC" w:rsidRDefault="00E91EA3" w:rsidP="00065FB5">
            <w:pPr>
              <w:tabs>
                <w:tab w:val="left" w:pos="510"/>
              </w:tabs>
              <w:jc w:val="center"/>
              <w:rPr>
                <w:lang w:val="lt-LT"/>
              </w:rPr>
            </w:pPr>
          </w:p>
        </w:tc>
        <w:tc>
          <w:tcPr>
            <w:tcW w:w="567" w:type="dxa"/>
            <w:gridSpan w:val="7"/>
            <w:vMerge/>
            <w:vAlign w:val="center"/>
          </w:tcPr>
          <w:p w:rsidR="00E91EA3" w:rsidRPr="004273CC" w:rsidRDefault="00E91EA3" w:rsidP="00065FB5">
            <w:pPr>
              <w:tabs>
                <w:tab w:val="left" w:pos="510"/>
              </w:tabs>
              <w:jc w:val="center"/>
              <w:rPr>
                <w:lang w:val="lt-LT"/>
              </w:rPr>
            </w:pPr>
          </w:p>
        </w:tc>
        <w:tc>
          <w:tcPr>
            <w:tcW w:w="2940" w:type="dxa"/>
            <w:gridSpan w:val="21"/>
            <w:vAlign w:val="center"/>
          </w:tcPr>
          <w:p w:rsidR="00E91EA3" w:rsidRPr="004273CC" w:rsidRDefault="00E91EA3" w:rsidP="00065FB5">
            <w:pPr>
              <w:tabs>
                <w:tab w:val="left" w:pos="510"/>
              </w:tabs>
              <w:jc w:val="center"/>
              <w:rPr>
                <w:lang w:val="lt-LT"/>
              </w:rPr>
            </w:pPr>
            <w:r w:rsidRPr="004273CC">
              <w:rPr>
                <w:b/>
                <w:lang w:val="lt-LT"/>
              </w:rPr>
              <w:t>Rizikos vertinima</w:t>
            </w:r>
            <w:r>
              <w:rPr>
                <w:b/>
                <w:lang w:val="lt-LT"/>
              </w:rPr>
              <w:t>s</w:t>
            </w:r>
          </w:p>
        </w:tc>
        <w:tc>
          <w:tcPr>
            <w:tcW w:w="897" w:type="dxa"/>
            <w:gridSpan w:val="5"/>
            <w:vMerge w:val="restart"/>
            <w:vAlign w:val="center"/>
          </w:tcPr>
          <w:p w:rsidR="00E91EA3" w:rsidRPr="004273CC" w:rsidRDefault="00E91EA3" w:rsidP="00065FB5">
            <w:pPr>
              <w:tabs>
                <w:tab w:val="left" w:pos="510"/>
              </w:tabs>
              <w:jc w:val="center"/>
              <w:rPr>
                <w:lang w:val="lt-LT"/>
              </w:rPr>
            </w:pPr>
            <w:r w:rsidRPr="004273CC">
              <w:rPr>
                <w:b/>
                <w:lang w:val="lt-LT"/>
              </w:rPr>
              <w:t>Pastabos</w:t>
            </w:r>
          </w:p>
        </w:tc>
        <w:tc>
          <w:tcPr>
            <w:tcW w:w="2988" w:type="dxa"/>
            <w:gridSpan w:val="20"/>
          </w:tcPr>
          <w:p w:rsidR="00E91EA3" w:rsidRPr="004273CC" w:rsidRDefault="00E91EA3" w:rsidP="00065FB5">
            <w:pPr>
              <w:tabs>
                <w:tab w:val="left" w:pos="510"/>
              </w:tabs>
              <w:jc w:val="center"/>
              <w:rPr>
                <w:lang w:val="lt-LT"/>
              </w:rPr>
            </w:pPr>
            <w:r w:rsidRPr="004273CC">
              <w:rPr>
                <w:b/>
                <w:lang w:val="lt-LT"/>
              </w:rPr>
              <w:t>Rizikos vertinimas</w:t>
            </w:r>
          </w:p>
        </w:tc>
        <w:tc>
          <w:tcPr>
            <w:tcW w:w="1647" w:type="dxa"/>
            <w:gridSpan w:val="5"/>
            <w:vAlign w:val="center"/>
          </w:tcPr>
          <w:p w:rsidR="00E91EA3" w:rsidRPr="004273CC" w:rsidRDefault="00E91EA3" w:rsidP="00065FB5">
            <w:pPr>
              <w:tabs>
                <w:tab w:val="left" w:pos="510"/>
              </w:tabs>
              <w:jc w:val="center"/>
              <w:rPr>
                <w:lang w:val="lt-LT"/>
              </w:rPr>
            </w:pPr>
            <w:r w:rsidRPr="004273CC">
              <w:rPr>
                <w:b/>
                <w:lang w:val="lt-LT"/>
              </w:rPr>
              <w:t>Pastabos</w:t>
            </w:r>
          </w:p>
        </w:tc>
      </w:tr>
      <w:tr w:rsidR="00E91EA3" w:rsidRPr="004273CC" w:rsidTr="001C0D02">
        <w:trPr>
          <w:cantSplit/>
          <w:trHeight w:val="557"/>
        </w:trPr>
        <w:tc>
          <w:tcPr>
            <w:tcW w:w="1007" w:type="dxa"/>
            <w:gridSpan w:val="4"/>
          </w:tcPr>
          <w:p w:rsidR="00E91EA3" w:rsidRPr="005618BC" w:rsidRDefault="00E91EA3" w:rsidP="00065FB5">
            <w:pPr>
              <w:tabs>
                <w:tab w:val="left" w:pos="510"/>
              </w:tabs>
              <w:jc w:val="center"/>
              <w:rPr>
                <w:b/>
                <w:lang w:val="lt-LT"/>
              </w:rPr>
            </w:pPr>
            <w:r>
              <w:rPr>
                <w:b/>
                <w:lang w:val="lt-LT"/>
              </w:rPr>
              <w:t>Tipas</w:t>
            </w:r>
          </w:p>
        </w:tc>
        <w:tc>
          <w:tcPr>
            <w:tcW w:w="3253" w:type="dxa"/>
            <w:gridSpan w:val="6"/>
          </w:tcPr>
          <w:p w:rsidR="00E91EA3" w:rsidRPr="004273CC" w:rsidRDefault="00E91EA3" w:rsidP="00065FB5">
            <w:pPr>
              <w:tabs>
                <w:tab w:val="left" w:pos="510"/>
              </w:tabs>
              <w:jc w:val="center"/>
              <w:rPr>
                <w:lang w:val="lt-LT"/>
              </w:rPr>
            </w:pPr>
            <w:r w:rsidRPr="005618BC">
              <w:rPr>
                <w:b/>
                <w:lang w:val="lt-LT"/>
              </w:rPr>
              <w:t>Veiksniai</w:t>
            </w:r>
          </w:p>
        </w:tc>
        <w:tc>
          <w:tcPr>
            <w:tcW w:w="559" w:type="dxa"/>
            <w:gridSpan w:val="7"/>
            <w:vMerge/>
          </w:tcPr>
          <w:p w:rsidR="00E91EA3" w:rsidRPr="004273CC" w:rsidRDefault="00E91EA3" w:rsidP="00065FB5">
            <w:pPr>
              <w:tabs>
                <w:tab w:val="left" w:pos="510"/>
              </w:tabs>
              <w:jc w:val="center"/>
              <w:rPr>
                <w:lang w:val="lt-LT"/>
              </w:rPr>
            </w:pPr>
          </w:p>
        </w:tc>
        <w:tc>
          <w:tcPr>
            <w:tcW w:w="567" w:type="dxa"/>
            <w:gridSpan w:val="7"/>
            <w:vMerge/>
          </w:tcPr>
          <w:p w:rsidR="00E91EA3" w:rsidRPr="004273CC" w:rsidRDefault="00E91EA3" w:rsidP="00065FB5">
            <w:pPr>
              <w:tabs>
                <w:tab w:val="left" w:pos="510"/>
              </w:tabs>
              <w:jc w:val="center"/>
              <w:rPr>
                <w:lang w:val="lt-LT"/>
              </w:rPr>
            </w:pPr>
          </w:p>
        </w:tc>
        <w:tc>
          <w:tcPr>
            <w:tcW w:w="1132" w:type="dxa"/>
            <w:gridSpan w:val="6"/>
          </w:tcPr>
          <w:p w:rsidR="00E91EA3" w:rsidRPr="004273CC" w:rsidRDefault="00E91EA3" w:rsidP="00065FB5">
            <w:pPr>
              <w:tabs>
                <w:tab w:val="left" w:pos="510"/>
              </w:tabs>
              <w:jc w:val="center"/>
              <w:rPr>
                <w:lang w:val="lt-LT"/>
              </w:rPr>
            </w:pPr>
            <w:r w:rsidRPr="004273CC">
              <w:rPr>
                <w:lang w:val="lt-LT"/>
              </w:rPr>
              <w:t>Tikimybė (1-5)</w:t>
            </w:r>
          </w:p>
        </w:tc>
        <w:tc>
          <w:tcPr>
            <w:tcW w:w="709" w:type="dxa"/>
            <w:gridSpan w:val="8"/>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099" w:type="dxa"/>
            <w:gridSpan w:val="7"/>
          </w:tcPr>
          <w:p w:rsidR="00E91EA3" w:rsidRPr="004273CC" w:rsidRDefault="00E91EA3" w:rsidP="00065FB5">
            <w:pPr>
              <w:tabs>
                <w:tab w:val="left" w:pos="510"/>
              </w:tabs>
              <w:jc w:val="center"/>
              <w:rPr>
                <w:lang w:val="lt-LT"/>
              </w:rPr>
            </w:pPr>
            <w:r w:rsidRPr="004273CC">
              <w:rPr>
                <w:lang w:val="lt-LT"/>
              </w:rPr>
              <w:t>Tikimybė * Įtaka</w:t>
            </w:r>
          </w:p>
        </w:tc>
        <w:tc>
          <w:tcPr>
            <w:tcW w:w="897" w:type="dxa"/>
            <w:gridSpan w:val="5"/>
            <w:vMerge/>
          </w:tcPr>
          <w:p w:rsidR="00E91EA3" w:rsidRPr="004273CC" w:rsidRDefault="00E91EA3" w:rsidP="00065FB5">
            <w:pPr>
              <w:tabs>
                <w:tab w:val="left" w:pos="510"/>
              </w:tabs>
              <w:jc w:val="center"/>
              <w:rPr>
                <w:lang w:val="lt-LT"/>
              </w:rPr>
            </w:pPr>
          </w:p>
        </w:tc>
        <w:tc>
          <w:tcPr>
            <w:tcW w:w="1147" w:type="dxa"/>
            <w:gridSpan w:val="6"/>
          </w:tcPr>
          <w:p w:rsidR="00E91EA3" w:rsidRPr="004273CC" w:rsidRDefault="00E91EA3" w:rsidP="00065FB5">
            <w:pPr>
              <w:tabs>
                <w:tab w:val="left" w:pos="510"/>
              </w:tabs>
              <w:jc w:val="center"/>
              <w:rPr>
                <w:lang w:val="lt-LT"/>
              </w:rPr>
            </w:pPr>
            <w:r w:rsidRPr="004273CC">
              <w:rPr>
                <w:lang w:val="lt-LT"/>
              </w:rPr>
              <w:t>Tikimybė (1-5)</w:t>
            </w:r>
          </w:p>
        </w:tc>
        <w:tc>
          <w:tcPr>
            <w:tcW w:w="708" w:type="dxa"/>
            <w:gridSpan w:val="7"/>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33" w:type="dxa"/>
            <w:gridSpan w:val="7"/>
          </w:tcPr>
          <w:p w:rsidR="00E91EA3" w:rsidRPr="004273CC" w:rsidRDefault="00E91EA3" w:rsidP="00065FB5">
            <w:pPr>
              <w:tabs>
                <w:tab w:val="left" w:pos="510"/>
              </w:tabs>
              <w:jc w:val="center"/>
              <w:rPr>
                <w:lang w:val="lt-LT"/>
              </w:rPr>
            </w:pPr>
            <w:r w:rsidRPr="004273CC">
              <w:rPr>
                <w:lang w:val="lt-LT"/>
              </w:rPr>
              <w:t>Tikimybė * Įtaka</w:t>
            </w:r>
          </w:p>
        </w:tc>
        <w:tc>
          <w:tcPr>
            <w:tcW w:w="1647" w:type="dxa"/>
            <w:gridSpan w:val="5"/>
            <w:vAlign w:val="center"/>
          </w:tcPr>
          <w:p w:rsidR="00E91EA3" w:rsidRPr="004273CC" w:rsidRDefault="00E91EA3" w:rsidP="00065FB5">
            <w:pPr>
              <w:tabs>
                <w:tab w:val="left" w:pos="510"/>
              </w:tabs>
              <w:jc w:val="center"/>
              <w:rPr>
                <w:lang w:val="lt-LT"/>
              </w:rPr>
            </w:pPr>
          </w:p>
        </w:tc>
      </w:tr>
      <w:tr w:rsidR="00E91EA3" w:rsidRPr="004273CC" w:rsidTr="001C0D02">
        <w:trPr>
          <w:cantSplit/>
        </w:trPr>
        <w:tc>
          <w:tcPr>
            <w:tcW w:w="1007" w:type="dxa"/>
            <w:gridSpan w:val="4"/>
            <w:vMerge w:val="restart"/>
            <w:textDirection w:val="btLr"/>
          </w:tcPr>
          <w:p w:rsidR="00E91EA3" w:rsidRPr="002E216D" w:rsidRDefault="00E91EA3" w:rsidP="00065FB5">
            <w:pPr>
              <w:tabs>
                <w:tab w:val="left" w:pos="510"/>
              </w:tabs>
              <w:ind w:left="113" w:right="113"/>
              <w:jc w:val="center"/>
              <w:rPr>
                <w:b/>
                <w:lang w:val="lt-LT"/>
              </w:rPr>
            </w:pPr>
            <w:r w:rsidRPr="002E216D">
              <w:rPr>
                <w:b/>
                <w:lang w:val="lt-LT"/>
              </w:rPr>
              <w:t>Po vienerių metų mokėtinos sumos ir ilgalaikiai įsipareigojimai</w:t>
            </w:r>
          </w:p>
        </w:tc>
        <w:tc>
          <w:tcPr>
            <w:tcW w:w="3253" w:type="dxa"/>
            <w:gridSpan w:val="6"/>
          </w:tcPr>
          <w:p w:rsidR="00E91EA3" w:rsidRPr="004273CC" w:rsidRDefault="00E91EA3" w:rsidP="00065FB5">
            <w:pPr>
              <w:tabs>
                <w:tab w:val="left" w:pos="510"/>
              </w:tabs>
              <w:jc w:val="both"/>
              <w:rPr>
                <w:lang w:val="lt-LT"/>
              </w:rPr>
            </w:pPr>
            <w:r>
              <w:rPr>
                <w:lang w:val="lt-LT"/>
              </w:rPr>
              <w:t>Nėra nustatyta, kokia dydžio paskolas gali gauti ir mokėti įmonės vadovas be savininkų žinios</w:t>
            </w:r>
          </w:p>
        </w:tc>
        <w:tc>
          <w:tcPr>
            <w:tcW w:w="559" w:type="dxa"/>
            <w:gridSpan w:val="7"/>
          </w:tcPr>
          <w:p w:rsidR="00E91EA3" w:rsidRDefault="00E91EA3" w:rsidP="00065FB5">
            <w:pPr>
              <w:tabs>
                <w:tab w:val="left" w:pos="510"/>
              </w:tabs>
              <w:jc w:val="both"/>
              <w:rPr>
                <w:lang w:val="lt-LT"/>
              </w:rPr>
            </w:pPr>
            <w:r>
              <w:rPr>
                <w:lang w:val="lt-LT"/>
              </w:rPr>
              <w:t>T</w:t>
            </w:r>
          </w:p>
        </w:tc>
        <w:tc>
          <w:tcPr>
            <w:tcW w:w="567" w:type="dxa"/>
            <w:gridSpan w:val="7"/>
          </w:tcPr>
          <w:p w:rsidR="00E91EA3" w:rsidRPr="004273CC" w:rsidRDefault="00E91EA3" w:rsidP="00065FB5">
            <w:pPr>
              <w:tabs>
                <w:tab w:val="left" w:pos="510"/>
              </w:tabs>
              <w:jc w:val="both"/>
              <w:rPr>
                <w:lang w:val="lt-LT"/>
              </w:rPr>
            </w:pP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99" w:type="dxa"/>
            <w:gridSpan w:val="7"/>
          </w:tcPr>
          <w:p w:rsidR="00E91EA3" w:rsidRPr="004273CC" w:rsidRDefault="00E91EA3" w:rsidP="00065FB5">
            <w:pPr>
              <w:tabs>
                <w:tab w:val="left" w:pos="510"/>
              </w:tabs>
              <w:jc w:val="both"/>
              <w:rPr>
                <w:lang w:val="lt-LT"/>
              </w:rPr>
            </w:pPr>
          </w:p>
        </w:tc>
        <w:tc>
          <w:tcPr>
            <w:tcW w:w="897" w:type="dxa"/>
            <w:gridSpan w:val="5"/>
          </w:tcPr>
          <w:p w:rsidR="00E91EA3" w:rsidRPr="004273CC" w:rsidRDefault="00E91EA3" w:rsidP="00065FB5">
            <w:pPr>
              <w:tabs>
                <w:tab w:val="left" w:pos="510"/>
              </w:tabs>
              <w:jc w:val="both"/>
              <w:rPr>
                <w:lang w:val="lt-LT"/>
              </w:rPr>
            </w:pPr>
          </w:p>
        </w:tc>
        <w:tc>
          <w:tcPr>
            <w:tcW w:w="1147" w:type="dxa"/>
            <w:gridSpan w:val="6"/>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jc w:val="both"/>
              <w:rPr>
                <w:lang w:val="lt-LT"/>
              </w:rPr>
            </w:pPr>
          </w:p>
        </w:tc>
        <w:tc>
          <w:tcPr>
            <w:tcW w:w="3253" w:type="dxa"/>
            <w:gridSpan w:val="6"/>
          </w:tcPr>
          <w:p w:rsidR="00E91EA3" w:rsidRPr="004273CC" w:rsidRDefault="00E91EA3" w:rsidP="006E7837">
            <w:pPr>
              <w:tabs>
                <w:tab w:val="left" w:pos="510"/>
              </w:tabs>
              <w:jc w:val="both"/>
              <w:rPr>
                <w:lang w:val="lt-LT"/>
              </w:rPr>
            </w:pPr>
            <w:r>
              <w:rPr>
                <w:lang w:val="lt-LT"/>
              </w:rPr>
              <w:t>Kai gaunamos paskolos grynais pinigais, nėra užtikrinama, kad visis reikiami dokumentai būtų laiku užpildomi ir pateikiami buhalterijai</w:t>
            </w:r>
          </w:p>
        </w:tc>
        <w:tc>
          <w:tcPr>
            <w:tcW w:w="559" w:type="dxa"/>
            <w:gridSpan w:val="7"/>
          </w:tcPr>
          <w:p w:rsidR="00E91EA3" w:rsidRPr="004273CC" w:rsidRDefault="00E91EA3" w:rsidP="00065FB5">
            <w:pPr>
              <w:tabs>
                <w:tab w:val="left" w:pos="510"/>
              </w:tabs>
              <w:jc w:val="both"/>
              <w:rPr>
                <w:lang w:val="lt-LT"/>
              </w:rPr>
            </w:pPr>
            <w:r>
              <w:rPr>
                <w:lang w:val="lt-LT"/>
              </w:rPr>
              <w:t>I</w:t>
            </w:r>
          </w:p>
        </w:tc>
        <w:tc>
          <w:tcPr>
            <w:tcW w:w="567" w:type="dxa"/>
            <w:gridSpan w:val="7"/>
          </w:tcPr>
          <w:p w:rsidR="00E91EA3" w:rsidRPr="004273CC" w:rsidRDefault="00E91EA3" w:rsidP="00065FB5">
            <w:pPr>
              <w:tabs>
                <w:tab w:val="left" w:pos="510"/>
              </w:tabs>
              <w:jc w:val="both"/>
              <w:rPr>
                <w:lang w:val="lt-LT"/>
              </w:rPr>
            </w:pP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99" w:type="dxa"/>
            <w:gridSpan w:val="7"/>
          </w:tcPr>
          <w:p w:rsidR="00E91EA3" w:rsidRPr="004273CC" w:rsidRDefault="00E91EA3" w:rsidP="00065FB5">
            <w:pPr>
              <w:tabs>
                <w:tab w:val="left" w:pos="510"/>
              </w:tabs>
              <w:jc w:val="both"/>
              <w:rPr>
                <w:lang w:val="lt-LT"/>
              </w:rPr>
            </w:pPr>
          </w:p>
        </w:tc>
        <w:tc>
          <w:tcPr>
            <w:tcW w:w="897" w:type="dxa"/>
            <w:gridSpan w:val="5"/>
          </w:tcPr>
          <w:p w:rsidR="00E91EA3" w:rsidRPr="004273CC" w:rsidRDefault="00E91EA3" w:rsidP="00065FB5">
            <w:pPr>
              <w:tabs>
                <w:tab w:val="left" w:pos="510"/>
              </w:tabs>
              <w:jc w:val="both"/>
              <w:rPr>
                <w:lang w:val="lt-LT"/>
              </w:rPr>
            </w:pPr>
          </w:p>
        </w:tc>
        <w:tc>
          <w:tcPr>
            <w:tcW w:w="1147" w:type="dxa"/>
            <w:gridSpan w:val="6"/>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4260" w:type="dxa"/>
            <w:gridSpan w:val="10"/>
            <w:vMerge w:val="restart"/>
          </w:tcPr>
          <w:p w:rsidR="00E91EA3" w:rsidRPr="004273CC" w:rsidRDefault="00E91EA3" w:rsidP="00065FB5">
            <w:pPr>
              <w:tabs>
                <w:tab w:val="left" w:pos="510"/>
              </w:tabs>
              <w:ind w:left="113" w:right="113"/>
              <w:jc w:val="center"/>
              <w:rPr>
                <w:lang w:val="lt-LT"/>
              </w:rPr>
            </w:pPr>
            <w:r>
              <w:rPr>
                <w:b/>
                <w:lang w:val="lt-LT"/>
              </w:rPr>
              <w:lastRenderedPageBreak/>
              <w:t>Finansinių ataskaitų elemento ir/ar jo tvirtinimo pobūdis ir jam taikoma vidaus kontrolės sistema</w:t>
            </w:r>
          </w:p>
        </w:tc>
        <w:tc>
          <w:tcPr>
            <w:tcW w:w="559"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IR / KR</w:t>
            </w:r>
          </w:p>
          <w:p w:rsidR="00E91EA3" w:rsidRPr="004273CC" w:rsidRDefault="00E91EA3" w:rsidP="00065FB5">
            <w:pPr>
              <w:tabs>
                <w:tab w:val="left" w:pos="510"/>
              </w:tabs>
              <w:ind w:left="113" w:right="113"/>
              <w:jc w:val="center"/>
              <w:rPr>
                <w:lang w:val="lt-LT"/>
              </w:rPr>
            </w:pPr>
          </w:p>
        </w:tc>
        <w:tc>
          <w:tcPr>
            <w:tcW w:w="3837" w:type="dxa"/>
            <w:gridSpan w:val="26"/>
          </w:tcPr>
          <w:p w:rsidR="00E91EA3" w:rsidRPr="004273CC" w:rsidRDefault="00E91EA3" w:rsidP="00065FB5">
            <w:pPr>
              <w:tabs>
                <w:tab w:val="left" w:pos="510"/>
              </w:tabs>
              <w:jc w:val="center"/>
              <w:rPr>
                <w:lang w:val="lt-LT"/>
              </w:rPr>
            </w:pPr>
            <w:r>
              <w:rPr>
                <w:b/>
                <w:lang w:val="lt-LT"/>
              </w:rPr>
              <w:t>UAB „Šiluma“</w:t>
            </w:r>
          </w:p>
        </w:tc>
        <w:tc>
          <w:tcPr>
            <w:tcW w:w="4635" w:type="dxa"/>
            <w:gridSpan w:val="25"/>
          </w:tcPr>
          <w:p w:rsidR="00E91EA3" w:rsidRPr="004273CC" w:rsidRDefault="00E91EA3" w:rsidP="00065FB5">
            <w:pPr>
              <w:tabs>
                <w:tab w:val="left" w:pos="510"/>
              </w:tabs>
              <w:jc w:val="center"/>
              <w:rPr>
                <w:lang w:val="lt-LT"/>
              </w:rPr>
            </w:pPr>
            <w:r>
              <w:rPr>
                <w:b/>
                <w:lang w:val="lt-LT"/>
              </w:rPr>
              <w:t>UAB „Žuvila“</w:t>
            </w:r>
          </w:p>
        </w:tc>
      </w:tr>
      <w:tr w:rsidR="00E91EA3" w:rsidRPr="004273CC" w:rsidTr="001C0D02">
        <w:trPr>
          <w:cantSplit/>
        </w:trPr>
        <w:tc>
          <w:tcPr>
            <w:tcW w:w="4260" w:type="dxa"/>
            <w:gridSpan w:val="10"/>
            <w:vMerge/>
          </w:tcPr>
          <w:p w:rsidR="00E91EA3" w:rsidRPr="004273CC" w:rsidRDefault="00E91EA3" w:rsidP="00065FB5">
            <w:pPr>
              <w:tabs>
                <w:tab w:val="left" w:pos="510"/>
              </w:tabs>
              <w:jc w:val="center"/>
              <w:rPr>
                <w:lang w:val="lt-LT"/>
              </w:rPr>
            </w:pPr>
          </w:p>
        </w:tc>
        <w:tc>
          <w:tcPr>
            <w:tcW w:w="559" w:type="dxa"/>
            <w:gridSpan w:val="7"/>
            <w:vMerge/>
            <w:vAlign w:val="center"/>
          </w:tcPr>
          <w:p w:rsidR="00E91EA3" w:rsidRPr="004273CC" w:rsidRDefault="00E91EA3" w:rsidP="00065FB5">
            <w:pPr>
              <w:tabs>
                <w:tab w:val="left" w:pos="510"/>
              </w:tabs>
              <w:jc w:val="center"/>
              <w:rPr>
                <w:lang w:val="lt-LT"/>
              </w:rPr>
            </w:pPr>
          </w:p>
        </w:tc>
        <w:tc>
          <w:tcPr>
            <w:tcW w:w="567" w:type="dxa"/>
            <w:gridSpan w:val="7"/>
            <w:vMerge/>
            <w:vAlign w:val="center"/>
          </w:tcPr>
          <w:p w:rsidR="00E91EA3" w:rsidRPr="004273CC" w:rsidRDefault="00E91EA3" w:rsidP="00065FB5">
            <w:pPr>
              <w:tabs>
                <w:tab w:val="left" w:pos="510"/>
              </w:tabs>
              <w:jc w:val="center"/>
              <w:rPr>
                <w:lang w:val="lt-LT"/>
              </w:rPr>
            </w:pPr>
          </w:p>
        </w:tc>
        <w:tc>
          <w:tcPr>
            <w:tcW w:w="2940" w:type="dxa"/>
            <w:gridSpan w:val="21"/>
            <w:vAlign w:val="center"/>
          </w:tcPr>
          <w:p w:rsidR="00E91EA3" w:rsidRPr="004273CC" w:rsidRDefault="00E91EA3" w:rsidP="00065FB5">
            <w:pPr>
              <w:tabs>
                <w:tab w:val="left" w:pos="510"/>
              </w:tabs>
              <w:jc w:val="center"/>
              <w:rPr>
                <w:lang w:val="lt-LT"/>
              </w:rPr>
            </w:pPr>
            <w:r w:rsidRPr="004273CC">
              <w:rPr>
                <w:b/>
                <w:lang w:val="lt-LT"/>
              </w:rPr>
              <w:t>Rizikos vertinima</w:t>
            </w:r>
            <w:r>
              <w:rPr>
                <w:b/>
                <w:lang w:val="lt-LT"/>
              </w:rPr>
              <w:t>s</w:t>
            </w:r>
          </w:p>
        </w:tc>
        <w:tc>
          <w:tcPr>
            <w:tcW w:w="897" w:type="dxa"/>
            <w:gridSpan w:val="5"/>
            <w:vMerge w:val="restart"/>
            <w:vAlign w:val="center"/>
          </w:tcPr>
          <w:p w:rsidR="00E91EA3" w:rsidRPr="004273CC" w:rsidRDefault="00E91EA3" w:rsidP="00065FB5">
            <w:pPr>
              <w:tabs>
                <w:tab w:val="left" w:pos="510"/>
              </w:tabs>
              <w:jc w:val="center"/>
              <w:rPr>
                <w:lang w:val="lt-LT"/>
              </w:rPr>
            </w:pPr>
            <w:r w:rsidRPr="004273CC">
              <w:rPr>
                <w:b/>
                <w:lang w:val="lt-LT"/>
              </w:rPr>
              <w:t>Pastabos</w:t>
            </w:r>
          </w:p>
        </w:tc>
        <w:tc>
          <w:tcPr>
            <w:tcW w:w="2988" w:type="dxa"/>
            <w:gridSpan w:val="20"/>
          </w:tcPr>
          <w:p w:rsidR="00E91EA3" w:rsidRPr="004273CC" w:rsidRDefault="00E91EA3" w:rsidP="00065FB5">
            <w:pPr>
              <w:tabs>
                <w:tab w:val="left" w:pos="510"/>
              </w:tabs>
              <w:jc w:val="center"/>
              <w:rPr>
                <w:lang w:val="lt-LT"/>
              </w:rPr>
            </w:pPr>
            <w:r w:rsidRPr="004273CC">
              <w:rPr>
                <w:b/>
                <w:lang w:val="lt-LT"/>
              </w:rPr>
              <w:t>Rizikos vertinimas</w:t>
            </w:r>
          </w:p>
        </w:tc>
        <w:tc>
          <w:tcPr>
            <w:tcW w:w="1647" w:type="dxa"/>
            <w:gridSpan w:val="5"/>
            <w:vMerge w:val="restart"/>
            <w:vAlign w:val="center"/>
          </w:tcPr>
          <w:p w:rsidR="00E91EA3" w:rsidRPr="004273CC" w:rsidRDefault="00E91EA3" w:rsidP="00065FB5">
            <w:pPr>
              <w:tabs>
                <w:tab w:val="left" w:pos="510"/>
              </w:tabs>
              <w:jc w:val="center"/>
              <w:rPr>
                <w:lang w:val="lt-LT"/>
              </w:rPr>
            </w:pPr>
            <w:r w:rsidRPr="004273CC">
              <w:rPr>
                <w:b/>
                <w:lang w:val="lt-LT"/>
              </w:rPr>
              <w:t>Pastabos</w:t>
            </w:r>
          </w:p>
        </w:tc>
      </w:tr>
      <w:tr w:rsidR="00E91EA3" w:rsidRPr="004273CC" w:rsidTr="001C0D02">
        <w:trPr>
          <w:cantSplit/>
          <w:trHeight w:val="699"/>
        </w:trPr>
        <w:tc>
          <w:tcPr>
            <w:tcW w:w="1007" w:type="dxa"/>
            <w:gridSpan w:val="4"/>
          </w:tcPr>
          <w:p w:rsidR="00E91EA3" w:rsidRPr="005618BC" w:rsidRDefault="00E91EA3" w:rsidP="00065FB5">
            <w:pPr>
              <w:tabs>
                <w:tab w:val="left" w:pos="510"/>
              </w:tabs>
              <w:jc w:val="center"/>
              <w:rPr>
                <w:b/>
                <w:lang w:val="lt-LT"/>
              </w:rPr>
            </w:pPr>
            <w:r>
              <w:rPr>
                <w:b/>
                <w:lang w:val="lt-LT"/>
              </w:rPr>
              <w:t>Tipas</w:t>
            </w:r>
          </w:p>
        </w:tc>
        <w:tc>
          <w:tcPr>
            <w:tcW w:w="3253" w:type="dxa"/>
            <w:gridSpan w:val="6"/>
          </w:tcPr>
          <w:p w:rsidR="00E91EA3" w:rsidRPr="004273CC" w:rsidRDefault="00E91EA3" w:rsidP="00065FB5">
            <w:pPr>
              <w:tabs>
                <w:tab w:val="left" w:pos="510"/>
              </w:tabs>
              <w:jc w:val="center"/>
              <w:rPr>
                <w:lang w:val="lt-LT"/>
              </w:rPr>
            </w:pPr>
            <w:r w:rsidRPr="005618BC">
              <w:rPr>
                <w:b/>
                <w:lang w:val="lt-LT"/>
              </w:rPr>
              <w:t>Veiksniai</w:t>
            </w:r>
          </w:p>
        </w:tc>
        <w:tc>
          <w:tcPr>
            <w:tcW w:w="559" w:type="dxa"/>
            <w:gridSpan w:val="7"/>
            <w:vMerge/>
          </w:tcPr>
          <w:p w:rsidR="00E91EA3" w:rsidRPr="004273CC" w:rsidRDefault="00E91EA3" w:rsidP="00065FB5">
            <w:pPr>
              <w:tabs>
                <w:tab w:val="left" w:pos="510"/>
              </w:tabs>
              <w:jc w:val="center"/>
              <w:rPr>
                <w:lang w:val="lt-LT"/>
              </w:rPr>
            </w:pPr>
          </w:p>
        </w:tc>
        <w:tc>
          <w:tcPr>
            <w:tcW w:w="567" w:type="dxa"/>
            <w:gridSpan w:val="7"/>
            <w:vMerge/>
          </w:tcPr>
          <w:p w:rsidR="00E91EA3" w:rsidRPr="004273CC" w:rsidRDefault="00E91EA3" w:rsidP="00065FB5">
            <w:pPr>
              <w:tabs>
                <w:tab w:val="left" w:pos="510"/>
              </w:tabs>
              <w:jc w:val="center"/>
              <w:rPr>
                <w:lang w:val="lt-LT"/>
              </w:rPr>
            </w:pPr>
          </w:p>
        </w:tc>
        <w:tc>
          <w:tcPr>
            <w:tcW w:w="1132" w:type="dxa"/>
            <w:gridSpan w:val="6"/>
          </w:tcPr>
          <w:p w:rsidR="00E91EA3" w:rsidRPr="004273CC" w:rsidRDefault="00E91EA3" w:rsidP="00065FB5">
            <w:pPr>
              <w:tabs>
                <w:tab w:val="left" w:pos="510"/>
              </w:tabs>
              <w:jc w:val="center"/>
              <w:rPr>
                <w:lang w:val="lt-LT"/>
              </w:rPr>
            </w:pPr>
            <w:r w:rsidRPr="004273CC">
              <w:rPr>
                <w:lang w:val="lt-LT"/>
              </w:rPr>
              <w:t>Tikimybė (1-5)</w:t>
            </w:r>
          </w:p>
        </w:tc>
        <w:tc>
          <w:tcPr>
            <w:tcW w:w="709" w:type="dxa"/>
            <w:gridSpan w:val="8"/>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099" w:type="dxa"/>
            <w:gridSpan w:val="7"/>
          </w:tcPr>
          <w:p w:rsidR="00E91EA3" w:rsidRPr="004273CC" w:rsidRDefault="00E91EA3" w:rsidP="00065FB5">
            <w:pPr>
              <w:tabs>
                <w:tab w:val="left" w:pos="510"/>
              </w:tabs>
              <w:jc w:val="center"/>
              <w:rPr>
                <w:lang w:val="lt-LT"/>
              </w:rPr>
            </w:pPr>
            <w:r w:rsidRPr="004273CC">
              <w:rPr>
                <w:lang w:val="lt-LT"/>
              </w:rPr>
              <w:t>Tikimybė * Įtaka</w:t>
            </w:r>
          </w:p>
        </w:tc>
        <w:tc>
          <w:tcPr>
            <w:tcW w:w="897" w:type="dxa"/>
            <w:gridSpan w:val="5"/>
            <w:vMerge/>
          </w:tcPr>
          <w:p w:rsidR="00E91EA3" w:rsidRPr="004273CC" w:rsidRDefault="00E91EA3" w:rsidP="00065FB5">
            <w:pPr>
              <w:tabs>
                <w:tab w:val="left" w:pos="510"/>
              </w:tabs>
              <w:jc w:val="center"/>
              <w:rPr>
                <w:lang w:val="lt-LT"/>
              </w:rPr>
            </w:pPr>
          </w:p>
        </w:tc>
        <w:tc>
          <w:tcPr>
            <w:tcW w:w="1147" w:type="dxa"/>
            <w:gridSpan w:val="6"/>
          </w:tcPr>
          <w:p w:rsidR="00E91EA3" w:rsidRPr="004273CC" w:rsidRDefault="00E91EA3" w:rsidP="00065FB5">
            <w:pPr>
              <w:tabs>
                <w:tab w:val="left" w:pos="510"/>
              </w:tabs>
              <w:jc w:val="center"/>
              <w:rPr>
                <w:lang w:val="lt-LT"/>
              </w:rPr>
            </w:pPr>
            <w:r w:rsidRPr="004273CC">
              <w:rPr>
                <w:lang w:val="lt-LT"/>
              </w:rPr>
              <w:t>Tikimybė (1-5)</w:t>
            </w:r>
          </w:p>
        </w:tc>
        <w:tc>
          <w:tcPr>
            <w:tcW w:w="708" w:type="dxa"/>
            <w:gridSpan w:val="7"/>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33" w:type="dxa"/>
            <w:gridSpan w:val="7"/>
          </w:tcPr>
          <w:p w:rsidR="00E91EA3" w:rsidRPr="004273CC" w:rsidRDefault="00E91EA3" w:rsidP="00065FB5">
            <w:pPr>
              <w:tabs>
                <w:tab w:val="left" w:pos="510"/>
              </w:tabs>
              <w:jc w:val="center"/>
              <w:rPr>
                <w:lang w:val="lt-LT"/>
              </w:rPr>
            </w:pPr>
            <w:r w:rsidRPr="004273CC">
              <w:rPr>
                <w:lang w:val="lt-LT"/>
              </w:rPr>
              <w:t>Tikimybė * Įtaka</w:t>
            </w:r>
          </w:p>
        </w:tc>
        <w:tc>
          <w:tcPr>
            <w:tcW w:w="1647" w:type="dxa"/>
            <w:gridSpan w:val="5"/>
            <w:vMerge/>
            <w:vAlign w:val="center"/>
          </w:tcPr>
          <w:p w:rsidR="00E91EA3" w:rsidRPr="004273CC" w:rsidRDefault="00E91EA3" w:rsidP="00065FB5">
            <w:pPr>
              <w:tabs>
                <w:tab w:val="left" w:pos="510"/>
              </w:tabs>
              <w:jc w:val="center"/>
              <w:rPr>
                <w:lang w:val="lt-LT"/>
              </w:rPr>
            </w:pPr>
          </w:p>
        </w:tc>
      </w:tr>
      <w:tr w:rsidR="00E91EA3" w:rsidRPr="004273CC" w:rsidTr="001C0D02">
        <w:trPr>
          <w:cantSplit/>
        </w:trPr>
        <w:tc>
          <w:tcPr>
            <w:tcW w:w="1007" w:type="dxa"/>
            <w:gridSpan w:val="4"/>
            <w:vMerge w:val="restart"/>
            <w:textDirection w:val="btLr"/>
          </w:tcPr>
          <w:p w:rsidR="00E91EA3" w:rsidRPr="004273CC" w:rsidRDefault="00E91EA3" w:rsidP="00065FB5">
            <w:pPr>
              <w:tabs>
                <w:tab w:val="left" w:pos="510"/>
              </w:tabs>
              <w:ind w:left="113" w:right="113"/>
              <w:jc w:val="center"/>
              <w:rPr>
                <w:lang w:val="lt-LT"/>
              </w:rPr>
            </w:pPr>
            <w:r w:rsidRPr="002E216D">
              <w:rPr>
                <w:b/>
                <w:lang w:val="lt-LT"/>
              </w:rPr>
              <w:t>Po vienerių metų mokėtinos sumos ir ilgalaikiai įsipareigojimai</w:t>
            </w:r>
          </w:p>
        </w:tc>
        <w:tc>
          <w:tcPr>
            <w:tcW w:w="3253" w:type="dxa"/>
            <w:gridSpan w:val="6"/>
          </w:tcPr>
          <w:p w:rsidR="00E91EA3" w:rsidRPr="004273CC" w:rsidRDefault="00E91EA3" w:rsidP="00065FB5">
            <w:pPr>
              <w:tabs>
                <w:tab w:val="left" w:pos="510"/>
              </w:tabs>
              <w:jc w:val="both"/>
              <w:rPr>
                <w:lang w:val="lt-LT"/>
              </w:rPr>
            </w:pPr>
            <w:r>
              <w:rPr>
                <w:lang w:val="lt-LT"/>
              </w:rPr>
              <w:t>Nėra kontroliuojama, kad visos paskolos, gautos grynais pinigais, būtų užregistruotos įmonės apskaitoje</w:t>
            </w:r>
          </w:p>
        </w:tc>
        <w:tc>
          <w:tcPr>
            <w:tcW w:w="559" w:type="dxa"/>
            <w:gridSpan w:val="7"/>
          </w:tcPr>
          <w:p w:rsidR="00E91EA3" w:rsidRPr="004273CC" w:rsidRDefault="00E91EA3" w:rsidP="00065FB5">
            <w:pPr>
              <w:tabs>
                <w:tab w:val="left" w:pos="510"/>
              </w:tabs>
              <w:jc w:val="both"/>
              <w:rPr>
                <w:lang w:val="lt-LT"/>
              </w:rPr>
            </w:pPr>
            <w:r>
              <w:rPr>
                <w:lang w:val="lt-LT"/>
              </w:rPr>
              <w:t>I</w:t>
            </w:r>
          </w:p>
        </w:tc>
        <w:tc>
          <w:tcPr>
            <w:tcW w:w="567" w:type="dxa"/>
            <w:gridSpan w:val="7"/>
          </w:tcPr>
          <w:p w:rsidR="00E91EA3" w:rsidRPr="004273CC" w:rsidRDefault="00E91EA3" w:rsidP="00065FB5">
            <w:pPr>
              <w:tabs>
                <w:tab w:val="left" w:pos="510"/>
              </w:tabs>
              <w:jc w:val="both"/>
              <w:rPr>
                <w:lang w:val="lt-LT"/>
              </w:rPr>
            </w:pPr>
          </w:p>
        </w:tc>
        <w:tc>
          <w:tcPr>
            <w:tcW w:w="1132" w:type="dxa"/>
            <w:gridSpan w:val="6"/>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99" w:type="dxa"/>
            <w:gridSpan w:val="7"/>
          </w:tcPr>
          <w:p w:rsidR="00E91EA3" w:rsidRPr="004273CC" w:rsidRDefault="00E91EA3" w:rsidP="00065FB5">
            <w:pPr>
              <w:tabs>
                <w:tab w:val="left" w:pos="510"/>
              </w:tabs>
              <w:jc w:val="both"/>
              <w:rPr>
                <w:lang w:val="lt-LT"/>
              </w:rPr>
            </w:pPr>
          </w:p>
        </w:tc>
        <w:tc>
          <w:tcPr>
            <w:tcW w:w="897" w:type="dxa"/>
            <w:gridSpan w:val="5"/>
          </w:tcPr>
          <w:p w:rsidR="00E91EA3" w:rsidRPr="004273CC" w:rsidRDefault="00E91EA3" w:rsidP="00065FB5">
            <w:pPr>
              <w:tabs>
                <w:tab w:val="left" w:pos="510"/>
              </w:tabs>
              <w:jc w:val="both"/>
              <w:rPr>
                <w:lang w:val="lt-LT"/>
              </w:rPr>
            </w:pPr>
          </w:p>
        </w:tc>
        <w:tc>
          <w:tcPr>
            <w:tcW w:w="1147" w:type="dxa"/>
            <w:gridSpan w:val="6"/>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33" w:type="dxa"/>
            <w:gridSpan w:val="7"/>
          </w:tcPr>
          <w:p w:rsidR="00E91EA3" w:rsidRPr="004273CC" w:rsidRDefault="00E91EA3" w:rsidP="00065FB5">
            <w:pPr>
              <w:tabs>
                <w:tab w:val="left" w:pos="510"/>
              </w:tabs>
              <w:jc w:val="both"/>
              <w:rPr>
                <w:lang w:val="lt-LT"/>
              </w:rPr>
            </w:pP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3253" w:type="dxa"/>
            <w:gridSpan w:val="6"/>
          </w:tcPr>
          <w:p w:rsidR="00E91EA3" w:rsidRDefault="00E91EA3" w:rsidP="00065FB5">
            <w:pPr>
              <w:tabs>
                <w:tab w:val="left" w:pos="510"/>
              </w:tabs>
              <w:jc w:val="both"/>
              <w:rPr>
                <w:lang w:val="lt-LT"/>
              </w:rPr>
            </w:pPr>
            <w:r>
              <w:rPr>
                <w:lang w:val="lt-LT"/>
              </w:rPr>
              <w:t>Ilgalaikėms paskoloms yra nustatytos griežtos sąlygos</w:t>
            </w:r>
          </w:p>
        </w:tc>
        <w:tc>
          <w:tcPr>
            <w:tcW w:w="559" w:type="dxa"/>
            <w:gridSpan w:val="7"/>
          </w:tcPr>
          <w:p w:rsidR="00E91EA3" w:rsidRDefault="00E91EA3" w:rsidP="00065FB5">
            <w:pPr>
              <w:tabs>
                <w:tab w:val="left" w:pos="510"/>
              </w:tabs>
              <w:jc w:val="both"/>
              <w:rPr>
                <w:lang w:val="lt-LT"/>
              </w:rPr>
            </w:pPr>
            <w:r>
              <w:rPr>
                <w:lang w:val="lt-LT"/>
              </w:rPr>
              <w:t>V</w:t>
            </w:r>
          </w:p>
        </w:tc>
        <w:tc>
          <w:tcPr>
            <w:tcW w:w="567" w:type="dxa"/>
            <w:gridSpan w:val="7"/>
          </w:tcPr>
          <w:p w:rsidR="00E91EA3" w:rsidRPr="004273CC" w:rsidRDefault="00E91EA3" w:rsidP="00065FB5">
            <w:pPr>
              <w:tabs>
                <w:tab w:val="left" w:pos="510"/>
              </w:tabs>
              <w:jc w:val="both"/>
              <w:rPr>
                <w:lang w:val="lt-LT"/>
              </w:rPr>
            </w:pPr>
            <w:r>
              <w:rPr>
                <w:lang w:val="lt-LT"/>
              </w:rPr>
              <w:t>IR</w:t>
            </w:r>
          </w:p>
        </w:tc>
        <w:tc>
          <w:tcPr>
            <w:tcW w:w="1132" w:type="dxa"/>
            <w:gridSpan w:val="6"/>
          </w:tcPr>
          <w:p w:rsidR="00E91EA3" w:rsidRPr="006523AC" w:rsidRDefault="00E91EA3" w:rsidP="00065FB5">
            <w:pPr>
              <w:tabs>
                <w:tab w:val="left" w:pos="510"/>
              </w:tabs>
              <w:jc w:val="center"/>
              <w:rPr>
                <w:b/>
                <w:lang w:val="lt-LT"/>
              </w:rPr>
            </w:pPr>
            <w:r w:rsidRPr="006523AC">
              <w:rPr>
                <w:b/>
                <w:lang w:val="lt-LT"/>
              </w:rPr>
              <w:t>4</w:t>
            </w:r>
          </w:p>
        </w:tc>
        <w:tc>
          <w:tcPr>
            <w:tcW w:w="709" w:type="dxa"/>
            <w:gridSpan w:val="8"/>
          </w:tcPr>
          <w:p w:rsidR="00E91EA3" w:rsidRPr="006523AC" w:rsidRDefault="00E91EA3" w:rsidP="00065FB5">
            <w:pPr>
              <w:tabs>
                <w:tab w:val="left" w:pos="510"/>
              </w:tabs>
              <w:jc w:val="center"/>
              <w:rPr>
                <w:b/>
                <w:lang w:val="lt-LT"/>
              </w:rPr>
            </w:pPr>
            <w:r w:rsidRPr="006523AC">
              <w:rPr>
                <w:b/>
                <w:lang w:val="lt-LT"/>
              </w:rPr>
              <w:t>5</w:t>
            </w:r>
          </w:p>
        </w:tc>
        <w:tc>
          <w:tcPr>
            <w:tcW w:w="1099" w:type="dxa"/>
            <w:gridSpan w:val="7"/>
          </w:tcPr>
          <w:p w:rsidR="00E91EA3" w:rsidRPr="006523AC" w:rsidRDefault="00E91EA3" w:rsidP="00065FB5">
            <w:pPr>
              <w:tabs>
                <w:tab w:val="left" w:pos="510"/>
              </w:tabs>
              <w:jc w:val="center"/>
              <w:rPr>
                <w:b/>
                <w:lang w:val="lt-LT"/>
              </w:rPr>
            </w:pPr>
            <w:r w:rsidRPr="006523AC">
              <w:rPr>
                <w:b/>
                <w:lang w:val="lt-LT"/>
              </w:rPr>
              <w:t>20</w:t>
            </w:r>
          </w:p>
        </w:tc>
        <w:tc>
          <w:tcPr>
            <w:tcW w:w="897" w:type="dxa"/>
            <w:gridSpan w:val="5"/>
          </w:tcPr>
          <w:p w:rsidR="00E91EA3" w:rsidRPr="004273CC" w:rsidRDefault="00E91EA3" w:rsidP="00065FB5">
            <w:pPr>
              <w:tabs>
                <w:tab w:val="left" w:pos="510"/>
              </w:tabs>
              <w:jc w:val="both"/>
              <w:rPr>
                <w:lang w:val="lt-LT"/>
              </w:rPr>
            </w:pPr>
          </w:p>
        </w:tc>
        <w:tc>
          <w:tcPr>
            <w:tcW w:w="1147" w:type="dxa"/>
            <w:gridSpan w:val="6"/>
          </w:tcPr>
          <w:p w:rsidR="00E91EA3" w:rsidRPr="00FB01FB" w:rsidRDefault="00E91EA3" w:rsidP="00065FB5">
            <w:pPr>
              <w:tabs>
                <w:tab w:val="left" w:pos="510"/>
              </w:tabs>
              <w:jc w:val="center"/>
              <w:rPr>
                <w:b/>
                <w:lang w:val="lt-LT"/>
              </w:rPr>
            </w:pPr>
            <w:r w:rsidRPr="00FB01FB">
              <w:rPr>
                <w:b/>
                <w:lang w:val="lt-LT"/>
              </w:rPr>
              <w:t>4</w:t>
            </w:r>
          </w:p>
        </w:tc>
        <w:tc>
          <w:tcPr>
            <w:tcW w:w="708" w:type="dxa"/>
            <w:gridSpan w:val="7"/>
          </w:tcPr>
          <w:p w:rsidR="00E91EA3" w:rsidRPr="00FB01FB" w:rsidRDefault="00E91EA3" w:rsidP="00065FB5">
            <w:pPr>
              <w:tabs>
                <w:tab w:val="left" w:pos="510"/>
              </w:tabs>
              <w:jc w:val="center"/>
              <w:rPr>
                <w:b/>
                <w:lang w:val="lt-LT"/>
              </w:rPr>
            </w:pPr>
            <w:r w:rsidRPr="00FB01FB">
              <w:rPr>
                <w:b/>
                <w:lang w:val="lt-LT"/>
              </w:rPr>
              <w:t>4</w:t>
            </w:r>
          </w:p>
        </w:tc>
        <w:tc>
          <w:tcPr>
            <w:tcW w:w="1133" w:type="dxa"/>
            <w:gridSpan w:val="7"/>
          </w:tcPr>
          <w:p w:rsidR="00E91EA3" w:rsidRPr="00FB01FB" w:rsidRDefault="00E91EA3" w:rsidP="00065FB5">
            <w:pPr>
              <w:tabs>
                <w:tab w:val="left" w:pos="510"/>
              </w:tabs>
              <w:jc w:val="center"/>
              <w:rPr>
                <w:b/>
                <w:lang w:val="lt-LT"/>
              </w:rPr>
            </w:pPr>
            <w:r w:rsidRPr="00FB01FB">
              <w:rPr>
                <w:b/>
                <w:lang w:val="lt-LT"/>
              </w:rPr>
              <w:t>16</w:t>
            </w: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3253" w:type="dxa"/>
            <w:gridSpan w:val="6"/>
          </w:tcPr>
          <w:p w:rsidR="00E91EA3" w:rsidRPr="004273CC" w:rsidRDefault="00E91EA3" w:rsidP="00065FB5">
            <w:pPr>
              <w:tabs>
                <w:tab w:val="left" w:pos="510"/>
              </w:tabs>
              <w:jc w:val="both"/>
              <w:rPr>
                <w:lang w:val="lt-LT"/>
              </w:rPr>
            </w:pPr>
            <w:r>
              <w:rPr>
                <w:lang w:val="lt-LT"/>
              </w:rPr>
              <w:t>Ataskaitinio laikotarpio pabaigoje nėra įvertinamas ilgalaikių paskolų sąlygų vykdymas</w:t>
            </w:r>
          </w:p>
        </w:tc>
        <w:tc>
          <w:tcPr>
            <w:tcW w:w="559" w:type="dxa"/>
            <w:gridSpan w:val="7"/>
          </w:tcPr>
          <w:p w:rsidR="00E91EA3" w:rsidRPr="004273CC" w:rsidRDefault="00E91EA3" w:rsidP="00065FB5">
            <w:pPr>
              <w:tabs>
                <w:tab w:val="left" w:pos="510"/>
              </w:tabs>
              <w:jc w:val="both"/>
              <w:rPr>
                <w:lang w:val="lt-LT"/>
              </w:rPr>
            </w:pPr>
            <w:r>
              <w:rPr>
                <w:lang w:val="lt-LT"/>
              </w:rPr>
              <w:t>V</w:t>
            </w:r>
          </w:p>
        </w:tc>
        <w:tc>
          <w:tcPr>
            <w:tcW w:w="567" w:type="dxa"/>
            <w:gridSpan w:val="7"/>
          </w:tcPr>
          <w:p w:rsidR="00E91EA3" w:rsidRPr="004273CC" w:rsidRDefault="00E91EA3" w:rsidP="00065FB5">
            <w:pPr>
              <w:tabs>
                <w:tab w:val="left" w:pos="510"/>
              </w:tabs>
              <w:jc w:val="both"/>
              <w:rPr>
                <w:lang w:val="lt-LT"/>
              </w:rPr>
            </w:pPr>
            <w:r>
              <w:rPr>
                <w:lang w:val="lt-LT"/>
              </w:rPr>
              <w:t>KR</w:t>
            </w:r>
          </w:p>
        </w:tc>
        <w:tc>
          <w:tcPr>
            <w:tcW w:w="1132" w:type="dxa"/>
            <w:gridSpan w:val="6"/>
          </w:tcPr>
          <w:p w:rsidR="00E91EA3" w:rsidRPr="006523AC" w:rsidRDefault="00E91EA3" w:rsidP="00065FB5">
            <w:pPr>
              <w:tabs>
                <w:tab w:val="left" w:pos="510"/>
              </w:tabs>
              <w:jc w:val="center"/>
              <w:rPr>
                <w:b/>
                <w:lang w:val="lt-LT"/>
              </w:rPr>
            </w:pPr>
            <w:r w:rsidRPr="006523AC">
              <w:rPr>
                <w:b/>
                <w:lang w:val="lt-LT"/>
              </w:rPr>
              <w:t>4</w:t>
            </w:r>
          </w:p>
        </w:tc>
        <w:tc>
          <w:tcPr>
            <w:tcW w:w="709" w:type="dxa"/>
            <w:gridSpan w:val="8"/>
          </w:tcPr>
          <w:p w:rsidR="00E91EA3" w:rsidRPr="006523AC" w:rsidRDefault="00E91EA3" w:rsidP="00065FB5">
            <w:pPr>
              <w:tabs>
                <w:tab w:val="left" w:pos="510"/>
              </w:tabs>
              <w:jc w:val="center"/>
              <w:rPr>
                <w:b/>
                <w:lang w:val="lt-LT"/>
              </w:rPr>
            </w:pPr>
            <w:r w:rsidRPr="006523AC">
              <w:rPr>
                <w:b/>
                <w:lang w:val="lt-LT"/>
              </w:rPr>
              <w:t>5</w:t>
            </w:r>
          </w:p>
        </w:tc>
        <w:tc>
          <w:tcPr>
            <w:tcW w:w="1099" w:type="dxa"/>
            <w:gridSpan w:val="7"/>
          </w:tcPr>
          <w:p w:rsidR="00E91EA3" w:rsidRPr="006523AC" w:rsidRDefault="00E91EA3" w:rsidP="00065FB5">
            <w:pPr>
              <w:tabs>
                <w:tab w:val="left" w:pos="510"/>
              </w:tabs>
              <w:jc w:val="center"/>
              <w:rPr>
                <w:b/>
                <w:lang w:val="lt-LT"/>
              </w:rPr>
            </w:pPr>
            <w:r w:rsidRPr="006523AC">
              <w:rPr>
                <w:b/>
                <w:lang w:val="lt-LT"/>
              </w:rPr>
              <w:t>20</w:t>
            </w:r>
          </w:p>
        </w:tc>
        <w:tc>
          <w:tcPr>
            <w:tcW w:w="897" w:type="dxa"/>
            <w:gridSpan w:val="5"/>
          </w:tcPr>
          <w:p w:rsidR="00E91EA3" w:rsidRPr="004273CC" w:rsidRDefault="00E91EA3" w:rsidP="00065FB5">
            <w:pPr>
              <w:tabs>
                <w:tab w:val="left" w:pos="510"/>
              </w:tabs>
              <w:jc w:val="both"/>
              <w:rPr>
                <w:lang w:val="lt-LT"/>
              </w:rPr>
            </w:pPr>
          </w:p>
        </w:tc>
        <w:tc>
          <w:tcPr>
            <w:tcW w:w="1147" w:type="dxa"/>
            <w:gridSpan w:val="6"/>
          </w:tcPr>
          <w:p w:rsidR="00E91EA3" w:rsidRPr="00FB01FB" w:rsidRDefault="00E91EA3" w:rsidP="00065FB5">
            <w:pPr>
              <w:tabs>
                <w:tab w:val="left" w:pos="510"/>
              </w:tabs>
              <w:jc w:val="center"/>
              <w:rPr>
                <w:b/>
                <w:lang w:val="lt-LT"/>
              </w:rPr>
            </w:pPr>
            <w:r w:rsidRPr="00FB01FB">
              <w:rPr>
                <w:b/>
                <w:lang w:val="lt-LT"/>
              </w:rPr>
              <w:t>4</w:t>
            </w:r>
          </w:p>
        </w:tc>
        <w:tc>
          <w:tcPr>
            <w:tcW w:w="708" w:type="dxa"/>
            <w:gridSpan w:val="7"/>
          </w:tcPr>
          <w:p w:rsidR="00E91EA3" w:rsidRPr="00FB01FB" w:rsidRDefault="00E91EA3" w:rsidP="00065FB5">
            <w:pPr>
              <w:tabs>
                <w:tab w:val="left" w:pos="510"/>
              </w:tabs>
              <w:jc w:val="center"/>
              <w:rPr>
                <w:b/>
                <w:lang w:val="lt-LT"/>
              </w:rPr>
            </w:pPr>
            <w:r w:rsidRPr="00FB01FB">
              <w:rPr>
                <w:b/>
                <w:lang w:val="lt-LT"/>
              </w:rPr>
              <w:t>4</w:t>
            </w:r>
          </w:p>
        </w:tc>
        <w:tc>
          <w:tcPr>
            <w:tcW w:w="1133" w:type="dxa"/>
            <w:gridSpan w:val="7"/>
          </w:tcPr>
          <w:p w:rsidR="00E91EA3" w:rsidRPr="00FB01FB" w:rsidRDefault="00E91EA3" w:rsidP="00065FB5">
            <w:pPr>
              <w:tabs>
                <w:tab w:val="left" w:pos="510"/>
              </w:tabs>
              <w:jc w:val="center"/>
              <w:rPr>
                <w:b/>
                <w:lang w:val="lt-LT"/>
              </w:rPr>
            </w:pPr>
            <w:r w:rsidRPr="00FB01FB">
              <w:rPr>
                <w:b/>
                <w:lang w:val="lt-LT"/>
              </w:rPr>
              <w:t>16</w:t>
            </w: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3253" w:type="dxa"/>
            <w:gridSpan w:val="6"/>
          </w:tcPr>
          <w:p w:rsidR="00E91EA3" w:rsidRDefault="00E91EA3" w:rsidP="00065FB5">
            <w:pPr>
              <w:tabs>
                <w:tab w:val="left" w:pos="510"/>
              </w:tabs>
              <w:jc w:val="both"/>
              <w:rPr>
                <w:lang w:val="lt-LT"/>
              </w:rPr>
            </w:pPr>
            <w:r>
              <w:rPr>
                <w:lang w:val="lt-LT"/>
              </w:rPr>
              <w:t>Atidėtojo mokesčio įsipareigojimo įvertinimo prielaidos yra subjektyvios ar itin paveikiamos aplinkos sąlygų</w:t>
            </w:r>
          </w:p>
        </w:tc>
        <w:tc>
          <w:tcPr>
            <w:tcW w:w="559" w:type="dxa"/>
            <w:gridSpan w:val="7"/>
          </w:tcPr>
          <w:p w:rsidR="00E91EA3" w:rsidRDefault="00E91EA3" w:rsidP="00065FB5">
            <w:pPr>
              <w:tabs>
                <w:tab w:val="left" w:pos="510"/>
              </w:tabs>
              <w:jc w:val="both"/>
              <w:rPr>
                <w:lang w:val="lt-LT"/>
              </w:rPr>
            </w:pPr>
            <w:r>
              <w:rPr>
                <w:lang w:val="lt-LT"/>
              </w:rPr>
              <w:t>V</w:t>
            </w:r>
          </w:p>
        </w:tc>
        <w:tc>
          <w:tcPr>
            <w:tcW w:w="567" w:type="dxa"/>
            <w:gridSpan w:val="7"/>
          </w:tcPr>
          <w:p w:rsidR="00E91EA3" w:rsidRDefault="00E91EA3" w:rsidP="00065FB5">
            <w:pPr>
              <w:tabs>
                <w:tab w:val="left" w:pos="510"/>
              </w:tabs>
              <w:jc w:val="both"/>
              <w:rPr>
                <w:lang w:val="lt-LT"/>
              </w:rPr>
            </w:pPr>
            <w:r>
              <w:rPr>
                <w:lang w:val="lt-LT"/>
              </w:rPr>
              <w:t>IR</w:t>
            </w:r>
          </w:p>
        </w:tc>
        <w:tc>
          <w:tcPr>
            <w:tcW w:w="1132" w:type="dxa"/>
            <w:gridSpan w:val="6"/>
          </w:tcPr>
          <w:p w:rsidR="00E91EA3" w:rsidRPr="006523AC" w:rsidRDefault="00E91EA3" w:rsidP="00065FB5">
            <w:pPr>
              <w:tabs>
                <w:tab w:val="left" w:pos="510"/>
              </w:tabs>
              <w:jc w:val="center"/>
              <w:rPr>
                <w:b/>
                <w:lang w:val="lt-LT"/>
              </w:rPr>
            </w:pPr>
          </w:p>
        </w:tc>
        <w:tc>
          <w:tcPr>
            <w:tcW w:w="709" w:type="dxa"/>
            <w:gridSpan w:val="8"/>
          </w:tcPr>
          <w:p w:rsidR="00E91EA3" w:rsidRPr="006523AC" w:rsidRDefault="00E91EA3" w:rsidP="00065FB5">
            <w:pPr>
              <w:tabs>
                <w:tab w:val="left" w:pos="510"/>
              </w:tabs>
              <w:jc w:val="center"/>
              <w:rPr>
                <w:b/>
                <w:lang w:val="lt-LT"/>
              </w:rPr>
            </w:pPr>
          </w:p>
        </w:tc>
        <w:tc>
          <w:tcPr>
            <w:tcW w:w="1099" w:type="dxa"/>
            <w:gridSpan w:val="7"/>
          </w:tcPr>
          <w:p w:rsidR="00E91EA3" w:rsidRPr="006523AC" w:rsidRDefault="00E91EA3" w:rsidP="00065FB5">
            <w:pPr>
              <w:tabs>
                <w:tab w:val="left" w:pos="510"/>
              </w:tabs>
              <w:jc w:val="center"/>
              <w:rPr>
                <w:b/>
                <w:lang w:val="lt-LT"/>
              </w:rPr>
            </w:pPr>
          </w:p>
        </w:tc>
        <w:tc>
          <w:tcPr>
            <w:tcW w:w="897" w:type="dxa"/>
            <w:gridSpan w:val="5"/>
          </w:tcPr>
          <w:p w:rsidR="00E91EA3" w:rsidRPr="004273CC" w:rsidRDefault="00E91EA3" w:rsidP="00065FB5">
            <w:pPr>
              <w:tabs>
                <w:tab w:val="left" w:pos="510"/>
              </w:tabs>
              <w:jc w:val="both"/>
              <w:rPr>
                <w:lang w:val="lt-LT"/>
              </w:rPr>
            </w:pPr>
          </w:p>
        </w:tc>
        <w:tc>
          <w:tcPr>
            <w:tcW w:w="1147" w:type="dxa"/>
            <w:gridSpan w:val="6"/>
          </w:tcPr>
          <w:p w:rsidR="00E91EA3" w:rsidRPr="00FB01FB" w:rsidRDefault="00E91EA3" w:rsidP="00065FB5">
            <w:pPr>
              <w:tabs>
                <w:tab w:val="left" w:pos="510"/>
              </w:tabs>
              <w:jc w:val="center"/>
              <w:rPr>
                <w:b/>
                <w:lang w:val="lt-LT"/>
              </w:rPr>
            </w:pPr>
            <w:r>
              <w:rPr>
                <w:b/>
                <w:lang w:val="lt-LT"/>
              </w:rPr>
              <w:t>4</w:t>
            </w:r>
          </w:p>
        </w:tc>
        <w:tc>
          <w:tcPr>
            <w:tcW w:w="708" w:type="dxa"/>
            <w:gridSpan w:val="7"/>
          </w:tcPr>
          <w:p w:rsidR="00E91EA3" w:rsidRPr="00FB01FB" w:rsidRDefault="00E91EA3" w:rsidP="00065FB5">
            <w:pPr>
              <w:tabs>
                <w:tab w:val="left" w:pos="510"/>
              </w:tabs>
              <w:jc w:val="center"/>
              <w:rPr>
                <w:b/>
                <w:lang w:val="lt-LT"/>
              </w:rPr>
            </w:pPr>
            <w:r>
              <w:rPr>
                <w:b/>
                <w:lang w:val="lt-LT"/>
              </w:rPr>
              <w:t>3</w:t>
            </w:r>
          </w:p>
        </w:tc>
        <w:tc>
          <w:tcPr>
            <w:tcW w:w="1133" w:type="dxa"/>
            <w:gridSpan w:val="7"/>
          </w:tcPr>
          <w:p w:rsidR="00E91EA3" w:rsidRPr="00FB01FB" w:rsidRDefault="00E91EA3" w:rsidP="00065FB5">
            <w:pPr>
              <w:tabs>
                <w:tab w:val="left" w:pos="510"/>
              </w:tabs>
              <w:jc w:val="center"/>
              <w:rPr>
                <w:b/>
                <w:lang w:val="lt-LT"/>
              </w:rPr>
            </w:pPr>
            <w:r>
              <w:rPr>
                <w:b/>
                <w:lang w:val="lt-LT"/>
              </w:rPr>
              <w:t>12</w:t>
            </w:r>
          </w:p>
        </w:tc>
        <w:tc>
          <w:tcPr>
            <w:tcW w:w="1647" w:type="dxa"/>
            <w:gridSpan w:val="5"/>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3253" w:type="dxa"/>
            <w:gridSpan w:val="6"/>
          </w:tcPr>
          <w:p w:rsidR="00E91EA3" w:rsidRDefault="00E91EA3" w:rsidP="00065FB5">
            <w:pPr>
              <w:tabs>
                <w:tab w:val="left" w:pos="510"/>
              </w:tabs>
              <w:jc w:val="both"/>
              <w:rPr>
                <w:lang w:val="lt-LT"/>
              </w:rPr>
            </w:pPr>
            <w:r>
              <w:rPr>
                <w:lang w:val="lt-LT"/>
              </w:rPr>
              <w:t>Atidėtojo mokesčio įsipareigojimo vertinimų teisingumas nėra kontroliuojamas, nustatomas tendencingai</w:t>
            </w:r>
          </w:p>
        </w:tc>
        <w:tc>
          <w:tcPr>
            <w:tcW w:w="559" w:type="dxa"/>
            <w:gridSpan w:val="7"/>
          </w:tcPr>
          <w:p w:rsidR="00E91EA3" w:rsidRDefault="00E91EA3" w:rsidP="00065FB5">
            <w:pPr>
              <w:tabs>
                <w:tab w:val="left" w:pos="510"/>
              </w:tabs>
              <w:jc w:val="both"/>
              <w:rPr>
                <w:lang w:val="lt-LT"/>
              </w:rPr>
            </w:pPr>
            <w:r>
              <w:rPr>
                <w:lang w:val="lt-LT"/>
              </w:rPr>
              <w:t>V</w:t>
            </w:r>
          </w:p>
        </w:tc>
        <w:tc>
          <w:tcPr>
            <w:tcW w:w="567" w:type="dxa"/>
            <w:gridSpan w:val="7"/>
          </w:tcPr>
          <w:p w:rsidR="00E91EA3" w:rsidRDefault="00E91EA3" w:rsidP="00065FB5">
            <w:pPr>
              <w:tabs>
                <w:tab w:val="left" w:pos="510"/>
              </w:tabs>
              <w:jc w:val="both"/>
              <w:rPr>
                <w:lang w:val="lt-LT"/>
              </w:rPr>
            </w:pPr>
            <w:r>
              <w:rPr>
                <w:lang w:val="lt-LT"/>
              </w:rPr>
              <w:t>KR</w:t>
            </w:r>
          </w:p>
        </w:tc>
        <w:tc>
          <w:tcPr>
            <w:tcW w:w="1132" w:type="dxa"/>
            <w:gridSpan w:val="6"/>
          </w:tcPr>
          <w:p w:rsidR="00E91EA3" w:rsidRPr="006523AC" w:rsidRDefault="00E91EA3" w:rsidP="00065FB5">
            <w:pPr>
              <w:tabs>
                <w:tab w:val="left" w:pos="510"/>
              </w:tabs>
              <w:jc w:val="center"/>
              <w:rPr>
                <w:b/>
                <w:lang w:val="lt-LT"/>
              </w:rPr>
            </w:pPr>
          </w:p>
        </w:tc>
        <w:tc>
          <w:tcPr>
            <w:tcW w:w="709" w:type="dxa"/>
            <w:gridSpan w:val="8"/>
          </w:tcPr>
          <w:p w:rsidR="00E91EA3" w:rsidRPr="006523AC" w:rsidRDefault="00E91EA3" w:rsidP="00065FB5">
            <w:pPr>
              <w:tabs>
                <w:tab w:val="left" w:pos="510"/>
              </w:tabs>
              <w:jc w:val="center"/>
              <w:rPr>
                <w:b/>
                <w:lang w:val="lt-LT"/>
              </w:rPr>
            </w:pPr>
          </w:p>
        </w:tc>
        <w:tc>
          <w:tcPr>
            <w:tcW w:w="1099" w:type="dxa"/>
            <w:gridSpan w:val="7"/>
          </w:tcPr>
          <w:p w:rsidR="00E91EA3" w:rsidRPr="006523AC" w:rsidRDefault="00E91EA3" w:rsidP="00065FB5">
            <w:pPr>
              <w:tabs>
                <w:tab w:val="left" w:pos="510"/>
              </w:tabs>
              <w:jc w:val="center"/>
              <w:rPr>
                <w:b/>
                <w:lang w:val="lt-LT"/>
              </w:rPr>
            </w:pPr>
          </w:p>
        </w:tc>
        <w:tc>
          <w:tcPr>
            <w:tcW w:w="897" w:type="dxa"/>
            <w:gridSpan w:val="5"/>
          </w:tcPr>
          <w:p w:rsidR="00E91EA3" w:rsidRPr="004273CC" w:rsidRDefault="00E91EA3" w:rsidP="00065FB5">
            <w:pPr>
              <w:tabs>
                <w:tab w:val="left" w:pos="510"/>
              </w:tabs>
              <w:jc w:val="both"/>
              <w:rPr>
                <w:lang w:val="lt-LT"/>
              </w:rPr>
            </w:pPr>
          </w:p>
        </w:tc>
        <w:tc>
          <w:tcPr>
            <w:tcW w:w="1147" w:type="dxa"/>
            <w:gridSpan w:val="6"/>
          </w:tcPr>
          <w:p w:rsidR="00E91EA3" w:rsidRPr="00FB01FB" w:rsidRDefault="00E91EA3" w:rsidP="00065FB5">
            <w:pPr>
              <w:tabs>
                <w:tab w:val="left" w:pos="510"/>
              </w:tabs>
              <w:jc w:val="center"/>
              <w:rPr>
                <w:b/>
                <w:lang w:val="lt-LT"/>
              </w:rPr>
            </w:pPr>
            <w:r>
              <w:rPr>
                <w:b/>
                <w:lang w:val="lt-LT"/>
              </w:rPr>
              <w:t>4</w:t>
            </w:r>
          </w:p>
        </w:tc>
        <w:tc>
          <w:tcPr>
            <w:tcW w:w="708" w:type="dxa"/>
            <w:gridSpan w:val="7"/>
          </w:tcPr>
          <w:p w:rsidR="00E91EA3" w:rsidRPr="00FB01FB" w:rsidRDefault="00E91EA3" w:rsidP="00065FB5">
            <w:pPr>
              <w:tabs>
                <w:tab w:val="left" w:pos="510"/>
              </w:tabs>
              <w:jc w:val="center"/>
              <w:rPr>
                <w:b/>
                <w:lang w:val="lt-LT"/>
              </w:rPr>
            </w:pPr>
            <w:r>
              <w:rPr>
                <w:b/>
                <w:lang w:val="lt-LT"/>
              </w:rPr>
              <w:t>3</w:t>
            </w:r>
          </w:p>
        </w:tc>
        <w:tc>
          <w:tcPr>
            <w:tcW w:w="1133" w:type="dxa"/>
            <w:gridSpan w:val="7"/>
          </w:tcPr>
          <w:p w:rsidR="00E91EA3" w:rsidRPr="00FB01FB" w:rsidRDefault="00E91EA3" w:rsidP="00065FB5">
            <w:pPr>
              <w:tabs>
                <w:tab w:val="left" w:pos="510"/>
              </w:tabs>
              <w:jc w:val="center"/>
              <w:rPr>
                <w:b/>
                <w:lang w:val="lt-LT"/>
              </w:rPr>
            </w:pPr>
            <w:r>
              <w:rPr>
                <w:b/>
                <w:lang w:val="lt-LT"/>
              </w:rPr>
              <w:t>12</w:t>
            </w:r>
          </w:p>
        </w:tc>
        <w:tc>
          <w:tcPr>
            <w:tcW w:w="1647" w:type="dxa"/>
            <w:gridSpan w:val="5"/>
            <w:tcBorders>
              <w:bottom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extDirection w:val="btLr"/>
          </w:tcPr>
          <w:p w:rsidR="00E91EA3" w:rsidRPr="004273CC" w:rsidRDefault="00E91EA3" w:rsidP="00065FB5">
            <w:pPr>
              <w:tabs>
                <w:tab w:val="left" w:pos="510"/>
              </w:tabs>
              <w:ind w:left="113" w:right="113"/>
              <w:jc w:val="center"/>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6"/>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9" w:type="dxa"/>
            <w:gridSpan w:val="8"/>
            <w:tcBorders>
              <w:bottom w:val="single" w:sz="4" w:space="0" w:color="auto"/>
            </w:tcBorders>
          </w:tcPr>
          <w:p w:rsidR="00E91EA3" w:rsidRPr="00244093" w:rsidRDefault="00E91EA3" w:rsidP="00065FB5">
            <w:pPr>
              <w:tabs>
                <w:tab w:val="left" w:pos="510"/>
              </w:tabs>
              <w:jc w:val="center"/>
              <w:rPr>
                <w:b/>
                <w:lang w:val="lt-LT"/>
              </w:rPr>
            </w:pPr>
            <w:r w:rsidRPr="00244093">
              <w:rPr>
                <w:b/>
                <w:lang w:val="lt-LT"/>
              </w:rPr>
              <w:t>X</w:t>
            </w:r>
          </w:p>
        </w:tc>
        <w:tc>
          <w:tcPr>
            <w:tcW w:w="1099" w:type="dxa"/>
            <w:gridSpan w:val="7"/>
            <w:tcBorders>
              <w:bottom w:val="single" w:sz="4" w:space="0" w:color="auto"/>
              <w:right w:val="single" w:sz="4" w:space="0" w:color="auto"/>
            </w:tcBorders>
          </w:tcPr>
          <w:p w:rsidR="00E91EA3" w:rsidRPr="00244093" w:rsidRDefault="00E91EA3" w:rsidP="00065FB5">
            <w:pPr>
              <w:tabs>
                <w:tab w:val="left" w:pos="510"/>
              </w:tabs>
              <w:jc w:val="center"/>
              <w:rPr>
                <w:b/>
                <w:lang w:val="lt-LT"/>
              </w:rPr>
            </w:pPr>
            <w:r w:rsidRPr="00244093">
              <w:rPr>
                <w:b/>
                <w:lang w:val="lt-LT"/>
              </w:rPr>
              <w:t>20</w:t>
            </w:r>
          </w:p>
        </w:tc>
        <w:tc>
          <w:tcPr>
            <w:tcW w:w="897" w:type="dxa"/>
            <w:gridSpan w:val="5"/>
            <w:vMerge w:val="restart"/>
            <w:tcBorders>
              <w:top w:val="single" w:sz="4" w:space="0" w:color="auto"/>
              <w:left w:val="single" w:sz="4" w:space="0" w:color="auto"/>
              <w:right w:val="single" w:sz="4" w:space="0" w:color="auto"/>
            </w:tcBorders>
            <w:shd w:val="clear" w:color="auto" w:fill="FFFFFF"/>
            <w:textDirection w:val="btLr"/>
          </w:tcPr>
          <w:p w:rsidR="00E91EA3" w:rsidRPr="00244093" w:rsidRDefault="00E91EA3" w:rsidP="00065FB5">
            <w:pPr>
              <w:tabs>
                <w:tab w:val="left" w:pos="510"/>
              </w:tabs>
              <w:ind w:left="113" w:right="113"/>
              <w:jc w:val="center"/>
              <w:rPr>
                <w:b/>
                <w:lang w:val="lt-LT"/>
              </w:rPr>
            </w:pPr>
            <w:r w:rsidRPr="00244093">
              <w:rPr>
                <w:b/>
                <w:lang w:val="lt-LT"/>
              </w:rPr>
              <w:t xml:space="preserve">Skolos kredito įst. – </w:t>
            </w:r>
            <w:r>
              <w:rPr>
                <w:b/>
                <w:lang w:val="lt-LT"/>
              </w:rPr>
              <w:t>Įvertinimas</w:t>
            </w:r>
          </w:p>
        </w:tc>
        <w:tc>
          <w:tcPr>
            <w:tcW w:w="1147" w:type="dxa"/>
            <w:gridSpan w:val="6"/>
            <w:tcBorders>
              <w:top w:val="single" w:sz="4" w:space="0" w:color="auto"/>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1 eil.</w:t>
            </w:r>
          </w:p>
        </w:tc>
        <w:tc>
          <w:tcPr>
            <w:tcW w:w="708" w:type="dxa"/>
            <w:gridSpan w:val="7"/>
          </w:tcPr>
          <w:p w:rsidR="00E91EA3" w:rsidRPr="00FB01FB" w:rsidRDefault="00E91EA3" w:rsidP="00065FB5">
            <w:pPr>
              <w:tabs>
                <w:tab w:val="left" w:pos="510"/>
              </w:tabs>
              <w:jc w:val="center"/>
              <w:rPr>
                <w:b/>
                <w:lang w:val="lt-LT"/>
              </w:rPr>
            </w:pPr>
            <w:r w:rsidRPr="00FB01FB">
              <w:rPr>
                <w:b/>
                <w:lang w:val="lt-LT"/>
              </w:rPr>
              <w:t>X</w:t>
            </w:r>
          </w:p>
        </w:tc>
        <w:tc>
          <w:tcPr>
            <w:tcW w:w="1133" w:type="dxa"/>
            <w:gridSpan w:val="7"/>
            <w:tcBorders>
              <w:bottom w:val="single" w:sz="4" w:space="0" w:color="auto"/>
            </w:tcBorders>
          </w:tcPr>
          <w:p w:rsidR="00E91EA3" w:rsidRPr="00FB01FB" w:rsidRDefault="00E91EA3" w:rsidP="00065FB5">
            <w:pPr>
              <w:tabs>
                <w:tab w:val="left" w:pos="510"/>
              </w:tabs>
              <w:jc w:val="center"/>
              <w:rPr>
                <w:b/>
                <w:lang w:val="lt-LT"/>
              </w:rPr>
            </w:pPr>
            <w:r w:rsidRPr="00FB01FB">
              <w:rPr>
                <w:b/>
                <w:lang w:val="lt-LT"/>
              </w:rPr>
              <w:t>16</w:t>
            </w:r>
          </w:p>
        </w:tc>
        <w:tc>
          <w:tcPr>
            <w:tcW w:w="1647" w:type="dxa"/>
            <w:gridSpan w:val="5"/>
            <w:vMerge w:val="restart"/>
            <w:tcBorders>
              <w:right w:val="single" w:sz="4" w:space="0" w:color="auto"/>
            </w:tcBorders>
            <w:textDirection w:val="btLr"/>
          </w:tcPr>
          <w:p w:rsidR="00E91EA3" w:rsidRPr="004273CC" w:rsidRDefault="00E91EA3" w:rsidP="00065FB5">
            <w:pPr>
              <w:tabs>
                <w:tab w:val="left" w:pos="510"/>
              </w:tabs>
              <w:ind w:left="113" w:right="113"/>
              <w:jc w:val="center"/>
              <w:rPr>
                <w:lang w:val="lt-LT"/>
              </w:rPr>
            </w:pPr>
            <w:r w:rsidRPr="00244093">
              <w:rPr>
                <w:b/>
                <w:lang w:val="lt-LT"/>
              </w:rPr>
              <w:t xml:space="preserve">Skolos kredito įst. – </w:t>
            </w:r>
            <w:r>
              <w:rPr>
                <w:b/>
                <w:lang w:val="lt-LT"/>
              </w:rPr>
              <w:t>Įvertini</w:t>
            </w:r>
            <w:r w:rsidRPr="00244093">
              <w:rPr>
                <w:b/>
                <w:lang w:val="lt-LT"/>
              </w:rPr>
              <w:t>mas</w:t>
            </w: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6"/>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9" w:type="dxa"/>
            <w:gridSpan w:val="8"/>
            <w:tcBorders>
              <w:right w:val="single" w:sz="4" w:space="0" w:color="auto"/>
            </w:tcBorders>
          </w:tcPr>
          <w:p w:rsidR="00E91EA3" w:rsidRPr="00244093" w:rsidRDefault="00E91EA3" w:rsidP="00065FB5">
            <w:pPr>
              <w:tabs>
                <w:tab w:val="left" w:pos="510"/>
              </w:tabs>
              <w:jc w:val="center"/>
              <w:rPr>
                <w:b/>
                <w:lang w:val="lt-LT"/>
              </w:rPr>
            </w:pPr>
            <w:r w:rsidRPr="00244093">
              <w:rPr>
                <w:b/>
                <w:lang w:val="lt-LT"/>
              </w:rPr>
              <w:t>5</w:t>
            </w:r>
          </w:p>
        </w:tc>
        <w:tc>
          <w:tcPr>
            <w:tcW w:w="1099" w:type="dxa"/>
            <w:gridSpan w:val="7"/>
            <w:tcBorders>
              <w:top w:val="nil"/>
              <w:left w:val="single" w:sz="4" w:space="0" w:color="auto"/>
              <w:bottom w:val="nil"/>
              <w:right w:val="single" w:sz="4" w:space="0" w:color="auto"/>
            </w:tcBorders>
          </w:tcPr>
          <w:p w:rsidR="00E91EA3" w:rsidRPr="00244093" w:rsidRDefault="00E91EA3" w:rsidP="00065FB5">
            <w:pPr>
              <w:tabs>
                <w:tab w:val="left" w:pos="510"/>
              </w:tabs>
              <w:jc w:val="center"/>
              <w:rPr>
                <w:b/>
                <w:lang w:val="lt-LT"/>
              </w:rPr>
            </w:pPr>
          </w:p>
        </w:tc>
        <w:tc>
          <w:tcPr>
            <w:tcW w:w="897" w:type="dxa"/>
            <w:gridSpan w:val="5"/>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47" w:type="dxa"/>
            <w:gridSpan w:val="6"/>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2 eil.</w:t>
            </w:r>
          </w:p>
        </w:tc>
        <w:tc>
          <w:tcPr>
            <w:tcW w:w="708" w:type="dxa"/>
            <w:gridSpan w:val="7"/>
            <w:tcBorders>
              <w:right w:val="single" w:sz="4" w:space="0" w:color="auto"/>
            </w:tcBorders>
          </w:tcPr>
          <w:p w:rsidR="00E91EA3" w:rsidRPr="00FB01FB" w:rsidRDefault="00E91EA3" w:rsidP="00065FB5">
            <w:pPr>
              <w:tabs>
                <w:tab w:val="left" w:pos="510"/>
              </w:tabs>
              <w:jc w:val="center"/>
              <w:rPr>
                <w:b/>
                <w:lang w:val="lt-LT"/>
              </w:rPr>
            </w:pPr>
            <w:r w:rsidRPr="00FB01FB">
              <w:rPr>
                <w:b/>
                <w:lang w:val="lt-LT"/>
              </w:rPr>
              <w:t>4</w:t>
            </w:r>
          </w:p>
        </w:tc>
        <w:tc>
          <w:tcPr>
            <w:tcW w:w="1133" w:type="dxa"/>
            <w:gridSpan w:val="7"/>
            <w:tcBorders>
              <w:top w:val="nil"/>
              <w:left w:val="single" w:sz="4" w:space="0" w:color="auto"/>
              <w:bottom w:val="nil"/>
            </w:tcBorders>
          </w:tcPr>
          <w:p w:rsidR="00E91EA3" w:rsidRPr="00FB01FB" w:rsidRDefault="00E91EA3" w:rsidP="00065FB5">
            <w:pPr>
              <w:tabs>
                <w:tab w:val="left" w:pos="510"/>
              </w:tabs>
              <w:jc w:val="center"/>
              <w:rPr>
                <w:b/>
                <w:lang w:val="lt-LT"/>
              </w:rPr>
            </w:pP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6"/>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tcPr>
          <w:p w:rsidR="00E91EA3" w:rsidRPr="00244093" w:rsidRDefault="00E91EA3" w:rsidP="00065FB5">
            <w:pPr>
              <w:tabs>
                <w:tab w:val="left" w:pos="510"/>
              </w:tabs>
              <w:jc w:val="center"/>
              <w:rPr>
                <w:b/>
                <w:lang w:val="lt-LT"/>
              </w:rPr>
            </w:pPr>
            <w:r w:rsidRPr="00244093">
              <w:rPr>
                <w:b/>
                <w:lang w:val="lt-LT"/>
              </w:rPr>
              <w:t>25</w:t>
            </w:r>
          </w:p>
        </w:tc>
        <w:tc>
          <w:tcPr>
            <w:tcW w:w="1099" w:type="dxa"/>
            <w:gridSpan w:val="7"/>
            <w:tcBorders>
              <w:top w:val="nil"/>
              <w:left w:val="single" w:sz="4" w:space="0" w:color="auto"/>
              <w:bottom w:val="nil"/>
              <w:right w:val="single" w:sz="4" w:space="0" w:color="auto"/>
            </w:tcBorders>
          </w:tcPr>
          <w:p w:rsidR="00E91EA3" w:rsidRPr="00244093" w:rsidRDefault="00E91EA3" w:rsidP="00065FB5">
            <w:pPr>
              <w:tabs>
                <w:tab w:val="left" w:pos="510"/>
              </w:tabs>
              <w:jc w:val="center"/>
              <w:rPr>
                <w:b/>
                <w:lang w:val="lt-LT"/>
              </w:rPr>
            </w:pPr>
          </w:p>
        </w:tc>
        <w:tc>
          <w:tcPr>
            <w:tcW w:w="897" w:type="dxa"/>
            <w:gridSpan w:val="5"/>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47" w:type="dxa"/>
            <w:gridSpan w:val="6"/>
            <w:tcBorders>
              <w:left w:val="single" w:sz="4" w:space="0" w:color="auto"/>
            </w:tcBorders>
            <w:shd w:val="clear" w:color="auto" w:fill="D9D9D9"/>
          </w:tcPr>
          <w:p w:rsidR="00E91EA3" w:rsidRPr="004273CC" w:rsidRDefault="00E91EA3" w:rsidP="00065FB5">
            <w:pPr>
              <w:tabs>
                <w:tab w:val="left" w:pos="510"/>
              </w:tabs>
              <w:jc w:val="both"/>
              <w:rPr>
                <w:lang w:val="lt-LT"/>
              </w:rPr>
            </w:pPr>
            <w:r w:rsidRPr="004273CC">
              <w:rPr>
                <w:b/>
                <w:lang w:val="lt-LT"/>
              </w:rPr>
              <w:t>3 eil.</w:t>
            </w:r>
          </w:p>
        </w:tc>
        <w:tc>
          <w:tcPr>
            <w:tcW w:w="708" w:type="dxa"/>
            <w:gridSpan w:val="7"/>
            <w:tcBorders>
              <w:bottom w:val="single" w:sz="4" w:space="0" w:color="auto"/>
              <w:right w:val="single" w:sz="4" w:space="0" w:color="auto"/>
            </w:tcBorders>
          </w:tcPr>
          <w:p w:rsidR="00E91EA3" w:rsidRPr="00FB01FB" w:rsidRDefault="00E91EA3" w:rsidP="00065FB5">
            <w:pPr>
              <w:tabs>
                <w:tab w:val="left" w:pos="510"/>
              </w:tabs>
              <w:jc w:val="center"/>
              <w:rPr>
                <w:b/>
                <w:lang w:val="lt-LT"/>
              </w:rPr>
            </w:pPr>
            <w:r w:rsidRPr="00FB01FB">
              <w:rPr>
                <w:b/>
                <w:lang w:val="lt-LT"/>
              </w:rPr>
              <w:t>20</w:t>
            </w:r>
          </w:p>
        </w:tc>
        <w:tc>
          <w:tcPr>
            <w:tcW w:w="1133" w:type="dxa"/>
            <w:gridSpan w:val="7"/>
            <w:tcBorders>
              <w:top w:val="nil"/>
              <w:left w:val="single" w:sz="4" w:space="0" w:color="auto"/>
              <w:bottom w:val="nil"/>
            </w:tcBorders>
          </w:tcPr>
          <w:p w:rsidR="00E91EA3" w:rsidRPr="00FB01FB" w:rsidRDefault="00E91EA3" w:rsidP="00065FB5">
            <w:pPr>
              <w:tabs>
                <w:tab w:val="left" w:pos="510"/>
              </w:tabs>
              <w:jc w:val="center"/>
              <w:rPr>
                <w:b/>
                <w:lang w:val="lt-LT"/>
              </w:rPr>
            </w:pP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Height w:val="264"/>
        </w:trPr>
        <w:tc>
          <w:tcPr>
            <w:tcW w:w="1007" w:type="dxa"/>
            <w:gridSpan w:val="4"/>
            <w:vMerge/>
          </w:tcPr>
          <w:p w:rsidR="00E91EA3" w:rsidRPr="004273CC" w:rsidRDefault="00E91EA3" w:rsidP="00065FB5">
            <w:pPr>
              <w:tabs>
                <w:tab w:val="left" w:pos="510"/>
              </w:tabs>
              <w:ind w:left="113" w:right="113"/>
              <w:jc w:val="center"/>
              <w:rPr>
                <w:lang w:val="lt-LT"/>
              </w:rPr>
            </w:pPr>
          </w:p>
        </w:tc>
        <w:tc>
          <w:tcPr>
            <w:tcW w:w="4379" w:type="dxa"/>
            <w:gridSpan w:val="20"/>
          </w:tcPr>
          <w:p w:rsidR="00E91EA3" w:rsidRPr="004273CC" w:rsidRDefault="00E91EA3"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6"/>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E91EA3" w:rsidRPr="00244093" w:rsidRDefault="00E91EA3" w:rsidP="00065FB5">
            <w:pPr>
              <w:tabs>
                <w:tab w:val="left" w:pos="510"/>
              </w:tabs>
              <w:jc w:val="center"/>
              <w:rPr>
                <w:b/>
                <w:lang w:val="lt-LT"/>
              </w:rPr>
            </w:pPr>
            <w:r w:rsidRPr="00244093">
              <w:rPr>
                <w:b/>
                <w:lang w:val="lt-LT"/>
              </w:rPr>
              <w:t>80</w:t>
            </w:r>
          </w:p>
        </w:tc>
        <w:tc>
          <w:tcPr>
            <w:tcW w:w="1099" w:type="dxa"/>
            <w:gridSpan w:val="7"/>
            <w:tcBorders>
              <w:top w:val="nil"/>
              <w:left w:val="single" w:sz="4" w:space="0" w:color="auto"/>
              <w:bottom w:val="single" w:sz="4" w:space="0" w:color="auto"/>
              <w:right w:val="single" w:sz="4" w:space="0" w:color="auto"/>
            </w:tcBorders>
          </w:tcPr>
          <w:p w:rsidR="00E91EA3" w:rsidRPr="00244093" w:rsidRDefault="00E91EA3" w:rsidP="00065FB5">
            <w:pPr>
              <w:tabs>
                <w:tab w:val="left" w:pos="510"/>
              </w:tabs>
              <w:jc w:val="center"/>
              <w:rPr>
                <w:b/>
                <w:lang w:val="lt-LT"/>
              </w:rPr>
            </w:pPr>
            <w:r w:rsidRPr="00244093">
              <w:rPr>
                <w:b/>
                <w:lang w:val="lt-LT"/>
              </w:rPr>
              <w:t>DIDELĖ</w:t>
            </w:r>
          </w:p>
        </w:tc>
        <w:tc>
          <w:tcPr>
            <w:tcW w:w="897" w:type="dxa"/>
            <w:gridSpan w:val="5"/>
            <w:vMerge/>
            <w:tcBorders>
              <w:left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147" w:type="dxa"/>
            <w:gridSpan w:val="6"/>
            <w:tcBorders>
              <w:left w:val="single" w:sz="4" w:space="0" w:color="auto"/>
            </w:tcBorders>
            <w:shd w:val="clear" w:color="auto" w:fill="D9D9D9"/>
            <w:vAlign w:val="center"/>
          </w:tcPr>
          <w:p w:rsidR="00E91EA3" w:rsidRPr="004273CC" w:rsidRDefault="00E91EA3" w:rsidP="00065FB5">
            <w:pPr>
              <w:tabs>
                <w:tab w:val="left" w:pos="510"/>
              </w:tabs>
              <w:jc w:val="both"/>
              <w:rPr>
                <w:lang w:val="lt-LT"/>
              </w:rPr>
            </w:pPr>
            <w:r w:rsidRPr="004273CC">
              <w:rPr>
                <w:b/>
                <w:lang w:val="lt-LT"/>
              </w:rPr>
              <w:t>4 eil.</w:t>
            </w:r>
          </w:p>
        </w:tc>
        <w:tc>
          <w:tcPr>
            <w:tcW w:w="708" w:type="dxa"/>
            <w:gridSpan w:val="7"/>
            <w:tcBorders>
              <w:right w:val="single" w:sz="4" w:space="0" w:color="auto"/>
            </w:tcBorders>
            <w:shd w:val="clear" w:color="auto" w:fill="D9D9D9"/>
          </w:tcPr>
          <w:p w:rsidR="00E91EA3" w:rsidRPr="00FB01FB" w:rsidRDefault="00E91EA3" w:rsidP="00065FB5">
            <w:pPr>
              <w:tabs>
                <w:tab w:val="left" w:pos="510"/>
              </w:tabs>
              <w:jc w:val="center"/>
              <w:rPr>
                <w:b/>
                <w:lang w:val="lt-LT"/>
              </w:rPr>
            </w:pPr>
            <w:r w:rsidRPr="00FB01FB">
              <w:rPr>
                <w:b/>
                <w:lang w:val="lt-LT"/>
              </w:rPr>
              <w:t>80</w:t>
            </w:r>
          </w:p>
        </w:tc>
        <w:tc>
          <w:tcPr>
            <w:tcW w:w="1133" w:type="dxa"/>
            <w:gridSpan w:val="7"/>
            <w:tcBorders>
              <w:top w:val="nil"/>
              <w:left w:val="single" w:sz="4" w:space="0" w:color="auto"/>
              <w:bottom w:val="single" w:sz="4" w:space="0" w:color="auto"/>
            </w:tcBorders>
          </w:tcPr>
          <w:p w:rsidR="00E91EA3" w:rsidRPr="00FB01FB" w:rsidRDefault="00E91EA3" w:rsidP="00065FB5">
            <w:pPr>
              <w:tabs>
                <w:tab w:val="left" w:pos="510"/>
              </w:tabs>
              <w:jc w:val="center"/>
              <w:rPr>
                <w:b/>
                <w:lang w:val="lt-LT"/>
              </w:rPr>
            </w:pPr>
            <w:r w:rsidRPr="00244093">
              <w:rPr>
                <w:b/>
                <w:lang w:val="lt-LT"/>
              </w:rPr>
              <w:t>DIDELĖ</w:t>
            </w: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6"/>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right w:val="single" w:sz="4" w:space="0" w:color="auto"/>
            </w:tcBorders>
          </w:tcPr>
          <w:p w:rsidR="00E91EA3" w:rsidRPr="00244093" w:rsidRDefault="00E91EA3" w:rsidP="00065FB5">
            <w:pPr>
              <w:tabs>
                <w:tab w:val="left" w:pos="510"/>
              </w:tabs>
              <w:jc w:val="center"/>
              <w:rPr>
                <w:b/>
                <w:lang w:val="lt-LT"/>
              </w:rPr>
            </w:pPr>
            <w:r w:rsidRPr="00244093">
              <w:rPr>
                <w:b/>
                <w:lang w:val="lt-LT"/>
              </w:rPr>
              <w:t>X</w:t>
            </w:r>
          </w:p>
        </w:tc>
        <w:tc>
          <w:tcPr>
            <w:tcW w:w="1099" w:type="dxa"/>
            <w:gridSpan w:val="7"/>
            <w:tcBorders>
              <w:top w:val="single" w:sz="4" w:space="0" w:color="auto"/>
              <w:left w:val="single" w:sz="4" w:space="0" w:color="auto"/>
              <w:bottom w:val="single" w:sz="4" w:space="0" w:color="auto"/>
              <w:right w:val="single" w:sz="4" w:space="0" w:color="auto"/>
            </w:tcBorders>
          </w:tcPr>
          <w:p w:rsidR="00E91EA3" w:rsidRPr="00244093" w:rsidRDefault="00E91EA3" w:rsidP="00065FB5">
            <w:pPr>
              <w:tabs>
                <w:tab w:val="left" w:pos="510"/>
              </w:tabs>
              <w:jc w:val="center"/>
              <w:rPr>
                <w:b/>
                <w:lang w:val="lt-LT"/>
              </w:rPr>
            </w:pPr>
            <w:r w:rsidRPr="00244093">
              <w:rPr>
                <w:b/>
                <w:lang w:val="lt-LT"/>
              </w:rPr>
              <w:t>20</w:t>
            </w:r>
          </w:p>
        </w:tc>
        <w:tc>
          <w:tcPr>
            <w:tcW w:w="897" w:type="dxa"/>
            <w:gridSpan w:val="5"/>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47" w:type="dxa"/>
            <w:gridSpan w:val="6"/>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5</w:t>
            </w:r>
            <w:r w:rsidRPr="004273CC">
              <w:rPr>
                <w:b/>
                <w:lang w:val="lt-LT"/>
              </w:rPr>
              <w:t xml:space="preserve"> eil.</w:t>
            </w:r>
          </w:p>
        </w:tc>
        <w:tc>
          <w:tcPr>
            <w:tcW w:w="708" w:type="dxa"/>
            <w:gridSpan w:val="7"/>
          </w:tcPr>
          <w:p w:rsidR="00E91EA3" w:rsidRPr="00FB01FB" w:rsidRDefault="00E91EA3" w:rsidP="00065FB5">
            <w:pPr>
              <w:tabs>
                <w:tab w:val="left" w:pos="510"/>
              </w:tabs>
              <w:jc w:val="center"/>
              <w:rPr>
                <w:b/>
                <w:lang w:val="lt-LT"/>
              </w:rPr>
            </w:pPr>
            <w:r w:rsidRPr="00FB01FB">
              <w:rPr>
                <w:b/>
                <w:lang w:val="lt-LT"/>
              </w:rPr>
              <w:t>X</w:t>
            </w:r>
          </w:p>
        </w:tc>
        <w:tc>
          <w:tcPr>
            <w:tcW w:w="1133" w:type="dxa"/>
            <w:gridSpan w:val="7"/>
            <w:tcBorders>
              <w:top w:val="single" w:sz="4" w:space="0" w:color="auto"/>
              <w:bottom w:val="single" w:sz="4" w:space="0" w:color="auto"/>
            </w:tcBorders>
          </w:tcPr>
          <w:p w:rsidR="00E91EA3" w:rsidRPr="00FB01FB" w:rsidRDefault="00E91EA3" w:rsidP="00065FB5">
            <w:pPr>
              <w:tabs>
                <w:tab w:val="left" w:pos="510"/>
              </w:tabs>
              <w:jc w:val="center"/>
              <w:rPr>
                <w:b/>
                <w:lang w:val="lt-LT"/>
              </w:rPr>
            </w:pPr>
            <w:r w:rsidRPr="00FB01FB">
              <w:rPr>
                <w:b/>
                <w:lang w:val="lt-LT"/>
              </w:rPr>
              <w:t>16</w:t>
            </w: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6"/>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right w:val="single" w:sz="4" w:space="0" w:color="auto"/>
            </w:tcBorders>
          </w:tcPr>
          <w:p w:rsidR="00E91EA3" w:rsidRPr="00244093" w:rsidRDefault="00E91EA3" w:rsidP="00065FB5">
            <w:pPr>
              <w:tabs>
                <w:tab w:val="left" w:pos="510"/>
              </w:tabs>
              <w:jc w:val="center"/>
              <w:rPr>
                <w:b/>
                <w:lang w:val="lt-LT"/>
              </w:rPr>
            </w:pPr>
            <w:r w:rsidRPr="00244093">
              <w:rPr>
                <w:b/>
                <w:lang w:val="lt-LT"/>
              </w:rPr>
              <w:t>5</w:t>
            </w:r>
          </w:p>
        </w:tc>
        <w:tc>
          <w:tcPr>
            <w:tcW w:w="1099" w:type="dxa"/>
            <w:gridSpan w:val="7"/>
            <w:tcBorders>
              <w:top w:val="single" w:sz="4" w:space="0" w:color="auto"/>
              <w:left w:val="single" w:sz="4" w:space="0" w:color="auto"/>
              <w:bottom w:val="nil"/>
              <w:right w:val="single" w:sz="4" w:space="0" w:color="auto"/>
            </w:tcBorders>
          </w:tcPr>
          <w:p w:rsidR="00E91EA3" w:rsidRPr="00244093" w:rsidRDefault="00E91EA3" w:rsidP="00065FB5">
            <w:pPr>
              <w:tabs>
                <w:tab w:val="left" w:pos="510"/>
              </w:tabs>
              <w:jc w:val="both"/>
              <w:rPr>
                <w:b/>
                <w:lang w:val="lt-LT"/>
              </w:rPr>
            </w:pPr>
          </w:p>
        </w:tc>
        <w:tc>
          <w:tcPr>
            <w:tcW w:w="897" w:type="dxa"/>
            <w:gridSpan w:val="5"/>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47" w:type="dxa"/>
            <w:gridSpan w:val="6"/>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6</w:t>
            </w:r>
            <w:r w:rsidRPr="004273CC">
              <w:rPr>
                <w:b/>
                <w:lang w:val="lt-LT"/>
              </w:rPr>
              <w:t xml:space="preserve"> eil.</w:t>
            </w:r>
          </w:p>
        </w:tc>
        <w:tc>
          <w:tcPr>
            <w:tcW w:w="708" w:type="dxa"/>
            <w:gridSpan w:val="7"/>
            <w:tcBorders>
              <w:right w:val="single" w:sz="4" w:space="0" w:color="auto"/>
            </w:tcBorders>
          </w:tcPr>
          <w:p w:rsidR="00E91EA3" w:rsidRPr="00FB01FB" w:rsidRDefault="00E91EA3" w:rsidP="00065FB5">
            <w:pPr>
              <w:tabs>
                <w:tab w:val="left" w:pos="510"/>
              </w:tabs>
              <w:jc w:val="center"/>
              <w:rPr>
                <w:b/>
                <w:lang w:val="lt-LT"/>
              </w:rPr>
            </w:pPr>
            <w:r w:rsidRPr="00FB01FB">
              <w:rPr>
                <w:b/>
                <w:lang w:val="lt-LT"/>
              </w:rPr>
              <w:t>4</w:t>
            </w:r>
          </w:p>
        </w:tc>
        <w:tc>
          <w:tcPr>
            <w:tcW w:w="1133" w:type="dxa"/>
            <w:gridSpan w:val="7"/>
            <w:tcBorders>
              <w:top w:val="single" w:sz="4" w:space="0" w:color="auto"/>
              <w:left w:val="single" w:sz="4" w:space="0" w:color="auto"/>
              <w:bottom w:val="nil"/>
            </w:tcBorders>
          </w:tcPr>
          <w:p w:rsidR="00E91EA3" w:rsidRPr="00FB01FB" w:rsidRDefault="00E91EA3" w:rsidP="00065FB5">
            <w:pPr>
              <w:tabs>
                <w:tab w:val="left" w:pos="510"/>
              </w:tabs>
              <w:jc w:val="center"/>
              <w:rPr>
                <w:b/>
                <w:lang w:val="lt-LT"/>
              </w:rPr>
            </w:pP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379" w:type="dxa"/>
            <w:gridSpan w:val="20"/>
          </w:tcPr>
          <w:p w:rsidR="00E91EA3" w:rsidRPr="004273CC" w:rsidRDefault="00E91EA3"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6"/>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tcPr>
          <w:p w:rsidR="00E91EA3" w:rsidRPr="00244093" w:rsidRDefault="00E91EA3" w:rsidP="00065FB5">
            <w:pPr>
              <w:tabs>
                <w:tab w:val="left" w:pos="510"/>
              </w:tabs>
              <w:jc w:val="center"/>
              <w:rPr>
                <w:b/>
                <w:lang w:val="lt-LT"/>
              </w:rPr>
            </w:pPr>
            <w:r w:rsidRPr="00244093">
              <w:rPr>
                <w:b/>
                <w:lang w:val="lt-LT"/>
              </w:rPr>
              <w:t>25</w:t>
            </w:r>
          </w:p>
        </w:tc>
        <w:tc>
          <w:tcPr>
            <w:tcW w:w="1099" w:type="dxa"/>
            <w:gridSpan w:val="7"/>
            <w:tcBorders>
              <w:top w:val="nil"/>
              <w:left w:val="single" w:sz="4" w:space="0" w:color="auto"/>
              <w:bottom w:val="nil"/>
              <w:right w:val="single" w:sz="4" w:space="0" w:color="auto"/>
            </w:tcBorders>
          </w:tcPr>
          <w:p w:rsidR="00E91EA3" w:rsidRPr="00244093" w:rsidRDefault="00E91EA3" w:rsidP="00065FB5">
            <w:pPr>
              <w:tabs>
                <w:tab w:val="left" w:pos="510"/>
              </w:tabs>
              <w:jc w:val="both"/>
              <w:rPr>
                <w:b/>
                <w:lang w:val="lt-LT"/>
              </w:rPr>
            </w:pPr>
          </w:p>
        </w:tc>
        <w:tc>
          <w:tcPr>
            <w:tcW w:w="897" w:type="dxa"/>
            <w:gridSpan w:val="5"/>
            <w:vMerge/>
            <w:tcBorders>
              <w:left w:val="single" w:sz="4" w:space="0" w:color="auto"/>
              <w:right w:val="single" w:sz="4" w:space="0" w:color="auto"/>
            </w:tcBorders>
            <w:shd w:val="clear" w:color="auto" w:fill="FFFFFF"/>
          </w:tcPr>
          <w:p w:rsidR="00E91EA3" w:rsidRPr="004273CC" w:rsidRDefault="00E91EA3" w:rsidP="00065FB5">
            <w:pPr>
              <w:tabs>
                <w:tab w:val="left" w:pos="510"/>
              </w:tabs>
              <w:jc w:val="both"/>
              <w:rPr>
                <w:lang w:val="lt-LT"/>
              </w:rPr>
            </w:pPr>
          </w:p>
        </w:tc>
        <w:tc>
          <w:tcPr>
            <w:tcW w:w="1147" w:type="dxa"/>
            <w:gridSpan w:val="6"/>
            <w:tcBorders>
              <w:left w:val="single" w:sz="4" w:space="0" w:color="auto"/>
            </w:tcBorders>
            <w:shd w:val="clear" w:color="auto" w:fill="D9D9D9"/>
          </w:tcPr>
          <w:p w:rsidR="00E91EA3" w:rsidRPr="004273CC" w:rsidRDefault="00E91EA3" w:rsidP="00065FB5">
            <w:pPr>
              <w:tabs>
                <w:tab w:val="left" w:pos="510"/>
              </w:tabs>
              <w:jc w:val="both"/>
              <w:rPr>
                <w:lang w:val="lt-LT"/>
              </w:rPr>
            </w:pPr>
            <w:r>
              <w:rPr>
                <w:b/>
                <w:lang w:val="lt-LT"/>
              </w:rPr>
              <w:t>7</w:t>
            </w:r>
            <w:r w:rsidRPr="004273CC">
              <w:rPr>
                <w:b/>
                <w:lang w:val="lt-LT"/>
              </w:rPr>
              <w:t xml:space="preserve"> eil.</w:t>
            </w:r>
          </w:p>
        </w:tc>
        <w:tc>
          <w:tcPr>
            <w:tcW w:w="708" w:type="dxa"/>
            <w:gridSpan w:val="7"/>
            <w:tcBorders>
              <w:bottom w:val="single" w:sz="4" w:space="0" w:color="auto"/>
              <w:right w:val="single" w:sz="4" w:space="0" w:color="auto"/>
            </w:tcBorders>
          </w:tcPr>
          <w:p w:rsidR="00E91EA3" w:rsidRPr="00FB01FB" w:rsidRDefault="00E91EA3" w:rsidP="00065FB5">
            <w:pPr>
              <w:tabs>
                <w:tab w:val="left" w:pos="510"/>
              </w:tabs>
              <w:jc w:val="center"/>
              <w:rPr>
                <w:b/>
                <w:lang w:val="lt-LT"/>
              </w:rPr>
            </w:pPr>
            <w:r w:rsidRPr="00FB01FB">
              <w:rPr>
                <w:b/>
                <w:lang w:val="lt-LT"/>
              </w:rPr>
              <w:t>20</w:t>
            </w:r>
          </w:p>
        </w:tc>
        <w:tc>
          <w:tcPr>
            <w:tcW w:w="1133" w:type="dxa"/>
            <w:gridSpan w:val="7"/>
            <w:tcBorders>
              <w:top w:val="nil"/>
              <w:left w:val="single" w:sz="4" w:space="0" w:color="auto"/>
              <w:bottom w:val="nil"/>
            </w:tcBorders>
          </w:tcPr>
          <w:p w:rsidR="00E91EA3" w:rsidRPr="00FB01FB" w:rsidRDefault="00E91EA3" w:rsidP="00065FB5">
            <w:pPr>
              <w:tabs>
                <w:tab w:val="left" w:pos="510"/>
              </w:tabs>
              <w:jc w:val="center"/>
              <w:rPr>
                <w:b/>
                <w:lang w:val="lt-LT"/>
              </w:rPr>
            </w:pPr>
          </w:p>
        </w:tc>
        <w:tc>
          <w:tcPr>
            <w:tcW w:w="1647" w:type="dxa"/>
            <w:gridSpan w:val="5"/>
            <w:vMerge/>
            <w:tcBorders>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cPr>
          <w:p w:rsidR="00E91EA3" w:rsidRPr="004273CC" w:rsidRDefault="00E91EA3" w:rsidP="00065FB5">
            <w:pPr>
              <w:tabs>
                <w:tab w:val="left" w:pos="510"/>
              </w:tabs>
              <w:ind w:left="113" w:right="113"/>
              <w:jc w:val="center"/>
              <w:rPr>
                <w:lang w:val="lt-LT"/>
              </w:rPr>
            </w:pPr>
          </w:p>
        </w:tc>
        <w:tc>
          <w:tcPr>
            <w:tcW w:w="4379" w:type="dxa"/>
            <w:gridSpan w:val="20"/>
            <w:tcBorders>
              <w:bottom w:val="single" w:sz="4" w:space="0" w:color="auto"/>
            </w:tcBorders>
          </w:tcPr>
          <w:p w:rsidR="00E91EA3" w:rsidRPr="004273CC" w:rsidRDefault="00E91EA3"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6"/>
            <w:tcBorders>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E91EA3" w:rsidRPr="00244093" w:rsidRDefault="00E91EA3" w:rsidP="00065FB5">
            <w:pPr>
              <w:tabs>
                <w:tab w:val="left" w:pos="510"/>
              </w:tabs>
              <w:jc w:val="center"/>
              <w:rPr>
                <w:b/>
                <w:lang w:val="lt-LT"/>
              </w:rPr>
            </w:pPr>
            <w:r w:rsidRPr="00244093">
              <w:rPr>
                <w:b/>
                <w:lang w:val="lt-LT"/>
              </w:rPr>
              <w:t>80</w:t>
            </w:r>
          </w:p>
        </w:tc>
        <w:tc>
          <w:tcPr>
            <w:tcW w:w="1099" w:type="dxa"/>
            <w:gridSpan w:val="7"/>
            <w:tcBorders>
              <w:top w:val="nil"/>
              <w:left w:val="single" w:sz="4" w:space="0" w:color="auto"/>
              <w:bottom w:val="single" w:sz="4" w:space="0" w:color="auto"/>
              <w:right w:val="single" w:sz="4" w:space="0" w:color="auto"/>
            </w:tcBorders>
          </w:tcPr>
          <w:p w:rsidR="00E91EA3" w:rsidRPr="00244093" w:rsidRDefault="00E91EA3" w:rsidP="00065FB5">
            <w:pPr>
              <w:tabs>
                <w:tab w:val="left" w:pos="510"/>
              </w:tabs>
              <w:jc w:val="both"/>
              <w:rPr>
                <w:b/>
                <w:lang w:val="lt-LT"/>
              </w:rPr>
            </w:pPr>
            <w:r w:rsidRPr="00244093">
              <w:rPr>
                <w:b/>
                <w:lang w:val="lt-LT"/>
              </w:rPr>
              <w:t>DIDELĖ</w:t>
            </w:r>
          </w:p>
        </w:tc>
        <w:tc>
          <w:tcPr>
            <w:tcW w:w="897" w:type="dxa"/>
            <w:gridSpan w:val="5"/>
            <w:vMerge/>
            <w:tcBorders>
              <w:left w:val="single" w:sz="4" w:space="0" w:color="auto"/>
              <w:bottom w:val="single" w:sz="4" w:space="0" w:color="auto"/>
              <w:right w:val="single" w:sz="4" w:space="0" w:color="auto"/>
            </w:tcBorders>
            <w:shd w:val="clear" w:color="auto" w:fill="FFFFFF"/>
            <w:vAlign w:val="center"/>
          </w:tcPr>
          <w:p w:rsidR="00E91EA3" w:rsidRPr="004273CC" w:rsidRDefault="00E91EA3" w:rsidP="00065FB5">
            <w:pPr>
              <w:tabs>
                <w:tab w:val="left" w:pos="510"/>
              </w:tabs>
              <w:jc w:val="both"/>
              <w:rPr>
                <w:lang w:val="lt-LT"/>
              </w:rPr>
            </w:pPr>
          </w:p>
        </w:tc>
        <w:tc>
          <w:tcPr>
            <w:tcW w:w="1147" w:type="dxa"/>
            <w:gridSpan w:val="6"/>
            <w:tcBorders>
              <w:left w:val="single" w:sz="4" w:space="0" w:color="auto"/>
              <w:bottom w:val="single" w:sz="4" w:space="0" w:color="auto"/>
            </w:tcBorders>
            <w:shd w:val="clear" w:color="auto" w:fill="D9D9D9"/>
            <w:vAlign w:val="center"/>
          </w:tcPr>
          <w:p w:rsidR="00E91EA3" w:rsidRPr="004273CC" w:rsidRDefault="00E91EA3" w:rsidP="00065FB5">
            <w:pPr>
              <w:tabs>
                <w:tab w:val="left" w:pos="510"/>
              </w:tabs>
              <w:jc w:val="both"/>
              <w:rPr>
                <w:lang w:val="lt-LT"/>
              </w:rPr>
            </w:pPr>
            <w:r>
              <w:rPr>
                <w:b/>
                <w:lang w:val="lt-LT"/>
              </w:rPr>
              <w:t>8</w:t>
            </w:r>
            <w:r w:rsidRPr="004273CC">
              <w:rPr>
                <w:b/>
                <w:lang w:val="lt-LT"/>
              </w:rPr>
              <w:t xml:space="preserve"> eil.</w:t>
            </w:r>
          </w:p>
        </w:tc>
        <w:tc>
          <w:tcPr>
            <w:tcW w:w="708" w:type="dxa"/>
            <w:gridSpan w:val="7"/>
            <w:tcBorders>
              <w:bottom w:val="single" w:sz="4" w:space="0" w:color="auto"/>
              <w:right w:val="single" w:sz="4" w:space="0" w:color="auto"/>
            </w:tcBorders>
            <w:shd w:val="clear" w:color="auto" w:fill="D9D9D9"/>
          </w:tcPr>
          <w:p w:rsidR="00E91EA3" w:rsidRPr="00FB01FB" w:rsidRDefault="00E91EA3" w:rsidP="00065FB5">
            <w:pPr>
              <w:tabs>
                <w:tab w:val="left" w:pos="510"/>
              </w:tabs>
              <w:jc w:val="center"/>
              <w:rPr>
                <w:b/>
                <w:lang w:val="lt-LT"/>
              </w:rPr>
            </w:pPr>
            <w:r>
              <w:rPr>
                <w:b/>
                <w:lang w:val="lt-LT"/>
              </w:rPr>
              <w:t>80</w:t>
            </w:r>
          </w:p>
        </w:tc>
        <w:tc>
          <w:tcPr>
            <w:tcW w:w="1133" w:type="dxa"/>
            <w:gridSpan w:val="7"/>
            <w:tcBorders>
              <w:top w:val="nil"/>
              <w:left w:val="single" w:sz="4" w:space="0" w:color="auto"/>
              <w:bottom w:val="single" w:sz="4" w:space="0" w:color="auto"/>
            </w:tcBorders>
          </w:tcPr>
          <w:p w:rsidR="00E91EA3" w:rsidRPr="00FB01FB" w:rsidRDefault="00E91EA3" w:rsidP="00065FB5">
            <w:pPr>
              <w:tabs>
                <w:tab w:val="left" w:pos="510"/>
              </w:tabs>
              <w:jc w:val="center"/>
              <w:rPr>
                <w:b/>
                <w:lang w:val="lt-LT"/>
              </w:rPr>
            </w:pPr>
            <w:r w:rsidRPr="00244093">
              <w:rPr>
                <w:b/>
                <w:lang w:val="lt-LT"/>
              </w:rPr>
              <w:t>DIDELĖ</w:t>
            </w:r>
          </w:p>
        </w:tc>
        <w:tc>
          <w:tcPr>
            <w:tcW w:w="1647" w:type="dxa"/>
            <w:gridSpan w:val="5"/>
            <w:vMerge/>
            <w:tcBorders>
              <w:bottom w:val="single" w:sz="4" w:space="0" w:color="auto"/>
              <w:right w:val="single" w:sz="4" w:space="0" w:color="auto"/>
            </w:tcBorders>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tcBorders>
              <w:left w:val="nil"/>
              <w:bottom w:val="nil"/>
              <w:right w:val="nil"/>
            </w:tcBorders>
            <w:shd w:val="clear" w:color="auto" w:fill="auto"/>
          </w:tcPr>
          <w:p w:rsidR="00E91EA3" w:rsidRPr="004273CC" w:rsidRDefault="00E91EA3" w:rsidP="00065FB5">
            <w:pPr>
              <w:tabs>
                <w:tab w:val="left" w:pos="510"/>
              </w:tabs>
              <w:ind w:left="113" w:right="113"/>
              <w:jc w:val="center"/>
              <w:rPr>
                <w:lang w:val="lt-LT"/>
              </w:rPr>
            </w:pPr>
          </w:p>
        </w:tc>
        <w:tc>
          <w:tcPr>
            <w:tcW w:w="4379" w:type="dxa"/>
            <w:gridSpan w:val="20"/>
            <w:tcBorders>
              <w:left w:val="nil"/>
              <w:bottom w:val="nil"/>
              <w:right w:val="nil"/>
            </w:tcBorders>
            <w:shd w:val="clear" w:color="auto" w:fill="auto"/>
          </w:tcPr>
          <w:p w:rsidR="00E91EA3" w:rsidRDefault="00E91EA3" w:rsidP="00065FB5">
            <w:pPr>
              <w:tabs>
                <w:tab w:val="left" w:pos="510"/>
              </w:tabs>
              <w:jc w:val="right"/>
              <w:rPr>
                <w:b/>
                <w:lang w:val="lt-LT"/>
              </w:rPr>
            </w:pPr>
          </w:p>
        </w:tc>
        <w:tc>
          <w:tcPr>
            <w:tcW w:w="1132" w:type="dxa"/>
            <w:gridSpan w:val="6"/>
            <w:tcBorders>
              <w:left w:val="nil"/>
              <w:bottom w:val="nil"/>
              <w:right w:val="nil"/>
            </w:tcBorders>
            <w:shd w:val="clear" w:color="auto" w:fill="auto"/>
            <w:vAlign w:val="center"/>
          </w:tcPr>
          <w:p w:rsidR="00E91EA3" w:rsidRDefault="00E91EA3" w:rsidP="00065FB5">
            <w:pPr>
              <w:tabs>
                <w:tab w:val="left" w:pos="510"/>
              </w:tabs>
              <w:jc w:val="both"/>
              <w:rPr>
                <w:b/>
                <w:lang w:val="lt-LT"/>
              </w:rPr>
            </w:pPr>
          </w:p>
        </w:tc>
        <w:tc>
          <w:tcPr>
            <w:tcW w:w="709" w:type="dxa"/>
            <w:gridSpan w:val="8"/>
            <w:tcBorders>
              <w:left w:val="nil"/>
              <w:bottom w:val="nil"/>
              <w:right w:val="nil"/>
            </w:tcBorders>
            <w:shd w:val="clear" w:color="auto" w:fill="auto"/>
          </w:tcPr>
          <w:p w:rsidR="00E91EA3" w:rsidRPr="00244093" w:rsidRDefault="00E91EA3" w:rsidP="00065FB5">
            <w:pPr>
              <w:tabs>
                <w:tab w:val="left" w:pos="510"/>
              </w:tabs>
              <w:jc w:val="center"/>
              <w:rPr>
                <w:b/>
                <w:lang w:val="lt-LT"/>
              </w:rPr>
            </w:pPr>
          </w:p>
        </w:tc>
        <w:tc>
          <w:tcPr>
            <w:tcW w:w="1099" w:type="dxa"/>
            <w:gridSpan w:val="7"/>
            <w:tcBorders>
              <w:top w:val="nil"/>
              <w:left w:val="nil"/>
              <w:bottom w:val="nil"/>
              <w:right w:val="nil"/>
            </w:tcBorders>
            <w:shd w:val="clear" w:color="auto" w:fill="auto"/>
          </w:tcPr>
          <w:p w:rsidR="00E91EA3" w:rsidRPr="00244093" w:rsidRDefault="00E91EA3" w:rsidP="00065FB5">
            <w:pPr>
              <w:tabs>
                <w:tab w:val="left" w:pos="510"/>
              </w:tabs>
              <w:jc w:val="both"/>
              <w:rPr>
                <w:b/>
                <w:lang w:val="lt-LT"/>
              </w:rPr>
            </w:pPr>
          </w:p>
        </w:tc>
        <w:tc>
          <w:tcPr>
            <w:tcW w:w="897" w:type="dxa"/>
            <w:gridSpan w:val="5"/>
            <w:tcBorders>
              <w:left w:val="nil"/>
              <w:bottom w:val="nil"/>
              <w:right w:val="nil"/>
            </w:tcBorders>
            <w:shd w:val="clear" w:color="auto" w:fill="auto"/>
            <w:vAlign w:val="center"/>
          </w:tcPr>
          <w:p w:rsidR="00E91EA3" w:rsidRPr="004273CC" w:rsidRDefault="00E91EA3" w:rsidP="00065FB5">
            <w:pPr>
              <w:tabs>
                <w:tab w:val="left" w:pos="510"/>
              </w:tabs>
              <w:jc w:val="both"/>
              <w:rPr>
                <w:lang w:val="lt-LT"/>
              </w:rPr>
            </w:pPr>
          </w:p>
        </w:tc>
        <w:tc>
          <w:tcPr>
            <w:tcW w:w="1147" w:type="dxa"/>
            <w:gridSpan w:val="6"/>
            <w:tcBorders>
              <w:left w:val="nil"/>
              <w:bottom w:val="nil"/>
              <w:right w:val="nil"/>
            </w:tcBorders>
            <w:shd w:val="clear" w:color="auto" w:fill="auto"/>
            <w:vAlign w:val="center"/>
          </w:tcPr>
          <w:p w:rsidR="00E91EA3" w:rsidRDefault="00E91EA3" w:rsidP="00065FB5">
            <w:pPr>
              <w:tabs>
                <w:tab w:val="left" w:pos="510"/>
              </w:tabs>
              <w:jc w:val="both"/>
              <w:rPr>
                <w:b/>
                <w:lang w:val="lt-LT"/>
              </w:rPr>
            </w:pPr>
          </w:p>
        </w:tc>
        <w:tc>
          <w:tcPr>
            <w:tcW w:w="708" w:type="dxa"/>
            <w:gridSpan w:val="7"/>
            <w:tcBorders>
              <w:left w:val="nil"/>
              <w:bottom w:val="nil"/>
              <w:right w:val="nil"/>
            </w:tcBorders>
            <w:shd w:val="clear" w:color="auto" w:fill="auto"/>
          </w:tcPr>
          <w:p w:rsidR="00E91EA3" w:rsidRDefault="00E91EA3" w:rsidP="00065FB5">
            <w:pPr>
              <w:tabs>
                <w:tab w:val="left" w:pos="510"/>
              </w:tabs>
              <w:jc w:val="center"/>
              <w:rPr>
                <w:b/>
                <w:lang w:val="lt-LT"/>
              </w:rPr>
            </w:pPr>
          </w:p>
        </w:tc>
        <w:tc>
          <w:tcPr>
            <w:tcW w:w="1133" w:type="dxa"/>
            <w:gridSpan w:val="7"/>
            <w:tcBorders>
              <w:top w:val="nil"/>
              <w:left w:val="nil"/>
              <w:bottom w:val="nil"/>
              <w:right w:val="nil"/>
            </w:tcBorders>
            <w:shd w:val="clear" w:color="auto" w:fill="auto"/>
          </w:tcPr>
          <w:p w:rsidR="00E91EA3" w:rsidRPr="00244093" w:rsidRDefault="00E91EA3" w:rsidP="00065FB5">
            <w:pPr>
              <w:tabs>
                <w:tab w:val="left" w:pos="510"/>
              </w:tabs>
              <w:jc w:val="center"/>
              <w:rPr>
                <w:b/>
                <w:lang w:val="lt-LT"/>
              </w:rPr>
            </w:pPr>
          </w:p>
        </w:tc>
        <w:tc>
          <w:tcPr>
            <w:tcW w:w="1647" w:type="dxa"/>
            <w:gridSpan w:val="5"/>
            <w:tcBorders>
              <w:left w:val="nil"/>
              <w:bottom w:val="nil"/>
              <w:right w:val="nil"/>
            </w:tcBorders>
            <w:shd w:val="clear" w:color="auto" w:fill="auto"/>
          </w:tcPr>
          <w:p w:rsidR="00E91EA3" w:rsidRDefault="00E91EA3" w:rsidP="00065FB5">
            <w:pPr>
              <w:tabs>
                <w:tab w:val="left" w:pos="510"/>
              </w:tabs>
              <w:jc w:val="both"/>
              <w:rPr>
                <w:lang w:val="lt-LT"/>
              </w:rPr>
            </w:pPr>
          </w:p>
          <w:p w:rsidR="00E91EA3" w:rsidRDefault="00E91EA3" w:rsidP="00065FB5">
            <w:pPr>
              <w:tabs>
                <w:tab w:val="left" w:pos="510"/>
              </w:tabs>
              <w:jc w:val="both"/>
              <w:rPr>
                <w:lang w:val="lt-LT"/>
              </w:rPr>
            </w:pPr>
          </w:p>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tcBorders>
              <w:top w:val="nil"/>
              <w:left w:val="nil"/>
              <w:right w:val="nil"/>
            </w:tcBorders>
            <w:shd w:val="clear" w:color="auto" w:fill="auto"/>
          </w:tcPr>
          <w:p w:rsidR="00E91EA3" w:rsidRPr="004273CC" w:rsidRDefault="00E91EA3" w:rsidP="00065FB5">
            <w:pPr>
              <w:tabs>
                <w:tab w:val="left" w:pos="510"/>
              </w:tabs>
              <w:ind w:left="113" w:right="113"/>
              <w:jc w:val="center"/>
              <w:rPr>
                <w:lang w:val="lt-LT"/>
              </w:rPr>
            </w:pPr>
          </w:p>
        </w:tc>
        <w:tc>
          <w:tcPr>
            <w:tcW w:w="4379" w:type="dxa"/>
            <w:gridSpan w:val="20"/>
            <w:tcBorders>
              <w:top w:val="nil"/>
              <w:left w:val="nil"/>
              <w:bottom w:val="single" w:sz="4" w:space="0" w:color="auto"/>
              <w:right w:val="nil"/>
            </w:tcBorders>
            <w:shd w:val="clear" w:color="auto" w:fill="auto"/>
          </w:tcPr>
          <w:p w:rsidR="00E91EA3" w:rsidRDefault="00E91EA3" w:rsidP="00065FB5">
            <w:pPr>
              <w:tabs>
                <w:tab w:val="left" w:pos="510"/>
              </w:tabs>
              <w:jc w:val="right"/>
              <w:rPr>
                <w:b/>
                <w:lang w:val="lt-LT"/>
              </w:rPr>
            </w:pPr>
          </w:p>
        </w:tc>
        <w:tc>
          <w:tcPr>
            <w:tcW w:w="1132" w:type="dxa"/>
            <w:gridSpan w:val="6"/>
            <w:tcBorders>
              <w:top w:val="nil"/>
              <w:left w:val="nil"/>
              <w:bottom w:val="single" w:sz="4" w:space="0" w:color="auto"/>
              <w:right w:val="nil"/>
            </w:tcBorders>
            <w:shd w:val="clear" w:color="auto" w:fill="auto"/>
            <w:vAlign w:val="center"/>
          </w:tcPr>
          <w:p w:rsidR="00E91EA3" w:rsidRDefault="00E91EA3" w:rsidP="00065FB5">
            <w:pPr>
              <w:tabs>
                <w:tab w:val="left" w:pos="510"/>
              </w:tabs>
              <w:jc w:val="both"/>
              <w:rPr>
                <w:b/>
                <w:lang w:val="lt-LT"/>
              </w:rPr>
            </w:pPr>
          </w:p>
        </w:tc>
        <w:tc>
          <w:tcPr>
            <w:tcW w:w="709" w:type="dxa"/>
            <w:gridSpan w:val="8"/>
            <w:tcBorders>
              <w:top w:val="nil"/>
              <w:left w:val="nil"/>
              <w:bottom w:val="single" w:sz="4" w:space="0" w:color="auto"/>
              <w:right w:val="nil"/>
            </w:tcBorders>
            <w:shd w:val="clear" w:color="auto" w:fill="auto"/>
          </w:tcPr>
          <w:p w:rsidR="00E91EA3" w:rsidRPr="00244093" w:rsidRDefault="00E91EA3" w:rsidP="00065FB5">
            <w:pPr>
              <w:tabs>
                <w:tab w:val="left" w:pos="510"/>
              </w:tabs>
              <w:jc w:val="center"/>
              <w:rPr>
                <w:b/>
                <w:lang w:val="lt-LT"/>
              </w:rPr>
            </w:pPr>
          </w:p>
        </w:tc>
        <w:tc>
          <w:tcPr>
            <w:tcW w:w="1099" w:type="dxa"/>
            <w:gridSpan w:val="7"/>
            <w:tcBorders>
              <w:top w:val="nil"/>
              <w:left w:val="nil"/>
              <w:bottom w:val="single" w:sz="4" w:space="0" w:color="auto"/>
              <w:right w:val="nil"/>
            </w:tcBorders>
            <w:shd w:val="clear" w:color="auto" w:fill="auto"/>
          </w:tcPr>
          <w:p w:rsidR="00E91EA3" w:rsidRPr="00244093" w:rsidRDefault="00E91EA3" w:rsidP="00065FB5">
            <w:pPr>
              <w:tabs>
                <w:tab w:val="left" w:pos="510"/>
              </w:tabs>
              <w:jc w:val="both"/>
              <w:rPr>
                <w:b/>
                <w:lang w:val="lt-LT"/>
              </w:rPr>
            </w:pPr>
          </w:p>
        </w:tc>
        <w:tc>
          <w:tcPr>
            <w:tcW w:w="897" w:type="dxa"/>
            <w:gridSpan w:val="5"/>
            <w:tcBorders>
              <w:top w:val="nil"/>
              <w:left w:val="nil"/>
              <w:bottom w:val="single" w:sz="4" w:space="0" w:color="auto"/>
              <w:right w:val="nil"/>
            </w:tcBorders>
            <w:shd w:val="clear" w:color="auto" w:fill="auto"/>
            <w:vAlign w:val="center"/>
          </w:tcPr>
          <w:p w:rsidR="00E91EA3" w:rsidRPr="004273CC" w:rsidRDefault="00E91EA3" w:rsidP="00065FB5">
            <w:pPr>
              <w:tabs>
                <w:tab w:val="left" w:pos="510"/>
              </w:tabs>
              <w:jc w:val="both"/>
              <w:rPr>
                <w:lang w:val="lt-LT"/>
              </w:rPr>
            </w:pPr>
          </w:p>
        </w:tc>
        <w:tc>
          <w:tcPr>
            <w:tcW w:w="1147" w:type="dxa"/>
            <w:gridSpan w:val="6"/>
            <w:tcBorders>
              <w:top w:val="nil"/>
              <w:left w:val="nil"/>
              <w:bottom w:val="single" w:sz="4" w:space="0" w:color="auto"/>
              <w:right w:val="nil"/>
            </w:tcBorders>
            <w:shd w:val="clear" w:color="auto" w:fill="auto"/>
            <w:vAlign w:val="center"/>
          </w:tcPr>
          <w:p w:rsidR="00E91EA3" w:rsidRDefault="00E91EA3" w:rsidP="00065FB5">
            <w:pPr>
              <w:tabs>
                <w:tab w:val="left" w:pos="510"/>
              </w:tabs>
              <w:jc w:val="both"/>
              <w:rPr>
                <w:b/>
                <w:lang w:val="lt-LT"/>
              </w:rPr>
            </w:pPr>
          </w:p>
        </w:tc>
        <w:tc>
          <w:tcPr>
            <w:tcW w:w="708" w:type="dxa"/>
            <w:gridSpan w:val="7"/>
            <w:tcBorders>
              <w:top w:val="nil"/>
              <w:left w:val="nil"/>
              <w:bottom w:val="single" w:sz="4" w:space="0" w:color="auto"/>
              <w:right w:val="nil"/>
            </w:tcBorders>
            <w:shd w:val="clear" w:color="auto" w:fill="auto"/>
          </w:tcPr>
          <w:p w:rsidR="00E91EA3" w:rsidRDefault="00E91EA3" w:rsidP="00065FB5">
            <w:pPr>
              <w:tabs>
                <w:tab w:val="left" w:pos="510"/>
              </w:tabs>
              <w:jc w:val="center"/>
              <w:rPr>
                <w:b/>
                <w:lang w:val="lt-LT"/>
              </w:rPr>
            </w:pPr>
          </w:p>
        </w:tc>
        <w:tc>
          <w:tcPr>
            <w:tcW w:w="1133" w:type="dxa"/>
            <w:gridSpan w:val="7"/>
            <w:tcBorders>
              <w:top w:val="nil"/>
              <w:left w:val="nil"/>
              <w:bottom w:val="single" w:sz="4" w:space="0" w:color="auto"/>
              <w:right w:val="nil"/>
            </w:tcBorders>
            <w:shd w:val="clear" w:color="auto" w:fill="auto"/>
          </w:tcPr>
          <w:p w:rsidR="00E91EA3" w:rsidRPr="00244093" w:rsidRDefault="00E91EA3" w:rsidP="00065FB5">
            <w:pPr>
              <w:tabs>
                <w:tab w:val="left" w:pos="510"/>
              </w:tabs>
              <w:jc w:val="center"/>
              <w:rPr>
                <w:b/>
                <w:lang w:val="lt-LT"/>
              </w:rPr>
            </w:pPr>
          </w:p>
        </w:tc>
        <w:tc>
          <w:tcPr>
            <w:tcW w:w="1647" w:type="dxa"/>
            <w:gridSpan w:val="5"/>
            <w:tcBorders>
              <w:top w:val="nil"/>
              <w:left w:val="nil"/>
              <w:bottom w:val="single" w:sz="4" w:space="0" w:color="auto"/>
              <w:right w:val="nil"/>
            </w:tcBorders>
            <w:shd w:val="clear" w:color="auto" w:fill="auto"/>
          </w:tcPr>
          <w:p w:rsidR="00E91EA3" w:rsidRDefault="00E91EA3" w:rsidP="00065FB5">
            <w:pPr>
              <w:tabs>
                <w:tab w:val="left" w:pos="510"/>
              </w:tabs>
              <w:jc w:val="both"/>
              <w:rPr>
                <w:lang w:val="lt-LT"/>
              </w:rPr>
            </w:pPr>
          </w:p>
        </w:tc>
      </w:tr>
      <w:tr w:rsidR="001C0D02" w:rsidRPr="004273CC" w:rsidTr="001C0D02">
        <w:trPr>
          <w:cantSplit/>
        </w:trPr>
        <w:tc>
          <w:tcPr>
            <w:tcW w:w="1007" w:type="dxa"/>
            <w:gridSpan w:val="4"/>
            <w:vMerge w:val="restart"/>
            <w:textDirection w:val="btLr"/>
          </w:tcPr>
          <w:p w:rsidR="001C0D02" w:rsidRPr="004273CC" w:rsidRDefault="001C0D02" w:rsidP="00065FB5">
            <w:pPr>
              <w:tabs>
                <w:tab w:val="left" w:pos="510"/>
              </w:tabs>
              <w:ind w:left="113" w:right="113"/>
              <w:jc w:val="center"/>
              <w:rPr>
                <w:lang w:val="lt-LT"/>
              </w:rPr>
            </w:pPr>
            <w:r w:rsidRPr="002E216D">
              <w:rPr>
                <w:b/>
                <w:lang w:val="lt-LT"/>
              </w:rPr>
              <w:t>Po vienerių metų mokėtinos sumos</w:t>
            </w:r>
          </w:p>
        </w:tc>
        <w:tc>
          <w:tcPr>
            <w:tcW w:w="4379" w:type="dxa"/>
            <w:gridSpan w:val="20"/>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6"/>
            <w:shd w:val="clear" w:color="auto" w:fill="D9D9D9"/>
          </w:tcPr>
          <w:p w:rsidR="001C0D02" w:rsidRPr="004273CC" w:rsidRDefault="001C0D02" w:rsidP="00065FB5">
            <w:pPr>
              <w:tabs>
                <w:tab w:val="left" w:pos="510"/>
              </w:tabs>
              <w:jc w:val="both"/>
              <w:rPr>
                <w:lang w:val="lt-LT"/>
              </w:rPr>
            </w:pPr>
            <w:r w:rsidRPr="004273CC">
              <w:rPr>
                <w:b/>
                <w:lang w:val="lt-LT"/>
              </w:rPr>
              <w:t>1 eil.</w:t>
            </w:r>
          </w:p>
        </w:tc>
        <w:tc>
          <w:tcPr>
            <w:tcW w:w="709" w:type="dxa"/>
            <w:gridSpan w:val="8"/>
            <w:tcBorders>
              <w:bottom w:val="single" w:sz="4" w:space="0" w:color="auto"/>
            </w:tcBorders>
          </w:tcPr>
          <w:p w:rsidR="001C0D02" w:rsidRPr="00244093" w:rsidRDefault="001C0D02" w:rsidP="00065FB5">
            <w:pPr>
              <w:tabs>
                <w:tab w:val="left" w:pos="510"/>
              </w:tabs>
              <w:jc w:val="center"/>
              <w:rPr>
                <w:b/>
                <w:lang w:val="lt-LT"/>
              </w:rPr>
            </w:pPr>
            <w:r w:rsidRPr="00244093">
              <w:rPr>
                <w:b/>
                <w:lang w:val="lt-LT"/>
              </w:rPr>
              <w:t>X</w:t>
            </w:r>
          </w:p>
        </w:tc>
        <w:tc>
          <w:tcPr>
            <w:tcW w:w="1996" w:type="dxa"/>
            <w:gridSpan w:val="12"/>
            <w:vMerge w:val="restart"/>
            <w:tcBorders>
              <w:right w:val="single" w:sz="4" w:space="0" w:color="auto"/>
            </w:tcBorders>
          </w:tcPr>
          <w:p w:rsidR="001C0D02" w:rsidRDefault="001C0D02" w:rsidP="00065FB5">
            <w:pPr>
              <w:tabs>
                <w:tab w:val="left" w:pos="510"/>
              </w:tabs>
              <w:jc w:val="center"/>
              <w:rPr>
                <w:b/>
                <w:lang w:val="lt-LT"/>
              </w:rPr>
            </w:pPr>
          </w:p>
          <w:p w:rsidR="001C0D02" w:rsidRDefault="001C0D02" w:rsidP="00065FB5">
            <w:pPr>
              <w:tabs>
                <w:tab w:val="left" w:pos="510"/>
              </w:tabs>
              <w:jc w:val="center"/>
              <w:rPr>
                <w:b/>
                <w:lang w:val="lt-LT"/>
              </w:rPr>
            </w:pPr>
          </w:p>
          <w:p w:rsidR="001C0D02" w:rsidRDefault="001C0D02" w:rsidP="00065FB5">
            <w:pPr>
              <w:tabs>
                <w:tab w:val="left" w:pos="510"/>
              </w:tabs>
              <w:jc w:val="center"/>
              <w:rPr>
                <w:b/>
                <w:lang w:val="lt-LT"/>
              </w:rPr>
            </w:pPr>
          </w:p>
          <w:p w:rsidR="001C0D02" w:rsidRDefault="001C0D02" w:rsidP="00065FB5">
            <w:pPr>
              <w:tabs>
                <w:tab w:val="left" w:pos="510"/>
              </w:tabs>
              <w:jc w:val="center"/>
              <w:rPr>
                <w:b/>
                <w:lang w:val="lt-LT"/>
              </w:rPr>
            </w:pPr>
          </w:p>
          <w:p w:rsidR="001C0D02" w:rsidRDefault="001C0D02" w:rsidP="00065FB5">
            <w:pPr>
              <w:tabs>
                <w:tab w:val="left" w:pos="510"/>
              </w:tabs>
              <w:jc w:val="center"/>
              <w:rPr>
                <w:b/>
                <w:lang w:val="lt-LT"/>
              </w:rPr>
            </w:pPr>
          </w:p>
          <w:p w:rsidR="001C0D02" w:rsidRDefault="001C0D02" w:rsidP="00065FB5">
            <w:pPr>
              <w:tabs>
                <w:tab w:val="left" w:pos="510"/>
              </w:tabs>
              <w:jc w:val="center"/>
              <w:rPr>
                <w:b/>
                <w:lang w:val="lt-LT"/>
              </w:rPr>
            </w:pPr>
          </w:p>
          <w:p w:rsidR="001C0D02" w:rsidRDefault="001C0D02" w:rsidP="00065FB5">
            <w:pPr>
              <w:tabs>
                <w:tab w:val="left" w:pos="510"/>
              </w:tabs>
              <w:jc w:val="center"/>
              <w:rPr>
                <w:b/>
                <w:lang w:val="lt-LT"/>
              </w:rPr>
            </w:pPr>
          </w:p>
          <w:p w:rsidR="001C0D02" w:rsidRPr="00244093" w:rsidRDefault="001C0D02" w:rsidP="00065FB5">
            <w:pPr>
              <w:tabs>
                <w:tab w:val="left" w:pos="510"/>
              </w:tabs>
              <w:jc w:val="center"/>
              <w:rPr>
                <w:b/>
                <w:lang w:val="lt-LT"/>
              </w:rPr>
            </w:pPr>
            <w:r>
              <w:rPr>
                <w:b/>
                <w:lang w:val="lt-LT"/>
              </w:rPr>
              <w:t>NETAIKOMA</w:t>
            </w:r>
          </w:p>
        </w:tc>
        <w:tc>
          <w:tcPr>
            <w:tcW w:w="1147" w:type="dxa"/>
            <w:gridSpan w:val="6"/>
            <w:tcBorders>
              <w:top w:val="single" w:sz="4" w:space="0" w:color="auto"/>
              <w:left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1 eil.</w:t>
            </w:r>
          </w:p>
        </w:tc>
        <w:tc>
          <w:tcPr>
            <w:tcW w:w="708" w:type="dxa"/>
            <w:gridSpan w:val="7"/>
          </w:tcPr>
          <w:p w:rsidR="001C0D02" w:rsidRPr="00FB01FB" w:rsidRDefault="001C0D02" w:rsidP="00065FB5">
            <w:pPr>
              <w:tabs>
                <w:tab w:val="left" w:pos="510"/>
              </w:tabs>
              <w:jc w:val="center"/>
              <w:rPr>
                <w:b/>
                <w:lang w:val="lt-LT"/>
              </w:rPr>
            </w:pPr>
            <w:r w:rsidRPr="00FB01FB">
              <w:rPr>
                <w:b/>
                <w:lang w:val="lt-LT"/>
              </w:rPr>
              <w:t>X</w:t>
            </w:r>
          </w:p>
        </w:tc>
        <w:tc>
          <w:tcPr>
            <w:tcW w:w="1133" w:type="dxa"/>
            <w:gridSpan w:val="7"/>
            <w:tcBorders>
              <w:bottom w:val="single" w:sz="4" w:space="0" w:color="auto"/>
            </w:tcBorders>
          </w:tcPr>
          <w:p w:rsidR="001C0D02" w:rsidRPr="00FB01FB" w:rsidRDefault="001C0D02" w:rsidP="00065FB5">
            <w:pPr>
              <w:tabs>
                <w:tab w:val="left" w:pos="510"/>
              </w:tabs>
              <w:jc w:val="center"/>
              <w:rPr>
                <w:b/>
                <w:lang w:val="lt-LT"/>
              </w:rPr>
            </w:pPr>
            <w:r w:rsidRPr="00FB01FB">
              <w:rPr>
                <w:b/>
                <w:lang w:val="lt-LT"/>
              </w:rPr>
              <w:t>1</w:t>
            </w:r>
            <w:r>
              <w:rPr>
                <w:b/>
                <w:lang w:val="lt-LT"/>
              </w:rPr>
              <w:t>2</w:t>
            </w:r>
          </w:p>
        </w:tc>
        <w:tc>
          <w:tcPr>
            <w:tcW w:w="1647" w:type="dxa"/>
            <w:gridSpan w:val="5"/>
            <w:vMerge w:val="restart"/>
            <w:tcBorders>
              <w:right w:val="single" w:sz="4" w:space="0" w:color="auto"/>
            </w:tcBorders>
            <w:textDirection w:val="btLr"/>
          </w:tcPr>
          <w:p w:rsidR="001C0D02" w:rsidRPr="004273CC" w:rsidRDefault="001C0D02" w:rsidP="00065FB5">
            <w:pPr>
              <w:tabs>
                <w:tab w:val="left" w:pos="510"/>
              </w:tabs>
              <w:ind w:left="113" w:right="113"/>
              <w:jc w:val="center"/>
              <w:rPr>
                <w:lang w:val="lt-LT"/>
              </w:rPr>
            </w:pPr>
            <w:r>
              <w:rPr>
                <w:b/>
                <w:lang w:val="lt-LT"/>
              </w:rPr>
              <w:t>AMĮ</w:t>
            </w:r>
            <w:r w:rsidRPr="00244093">
              <w:rPr>
                <w:b/>
                <w:lang w:val="lt-LT"/>
              </w:rPr>
              <w:t xml:space="preserve"> – </w:t>
            </w:r>
            <w:r>
              <w:rPr>
                <w:b/>
                <w:lang w:val="lt-LT"/>
              </w:rPr>
              <w:t>Įvertinimas</w:t>
            </w:r>
          </w:p>
        </w:tc>
      </w:tr>
      <w:tr w:rsidR="001C0D02" w:rsidRPr="004273CC" w:rsidTr="001C0D02">
        <w:trPr>
          <w:cantSplit/>
        </w:trPr>
        <w:tc>
          <w:tcPr>
            <w:tcW w:w="1007" w:type="dxa"/>
            <w:gridSpan w:val="4"/>
            <w:vMerge/>
          </w:tcPr>
          <w:p w:rsidR="001C0D02" w:rsidRPr="004273CC" w:rsidRDefault="001C0D02" w:rsidP="00065FB5">
            <w:pPr>
              <w:tabs>
                <w:tab w:val="left" w:pos="510"/>
              </w:tabs>
              <w:jc w:val="right"/>
              <w:rPr>
                <w:lang w:val="lt-LT"/>
              </w:rPr>
            </w:pPr>
          </w:p>
        </w:tc>
        <w:tc>
          <w:tcPr>
            <w:tcW w:w="4379" w:type="dxa"/>
            <w:gridSpan w:val="20"/>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6"/>
            <w:shd w:val="clear" w:color="auto" w:fill="D9D9D9"/>
          </w:tcPr>
          <w:p w:rsidR="001C0D02" w:rsidRPr="004273CC" w:rsidRDefault="001C0D02" w:rsidP="00065FB5">
            <w:pPr>
              <w:tabs>
                <w:tab w:val="left" w:pos="510"/>
              </w:tabs>
              <w:jc w:val="both"/>
              <w:rPr>
                <w:lang w:val="lt-LT"/>
              </w:rPr>
            </w:pPr>
            <w:r w:rsidRPr="004273CC">
              <w:rPr>
                <w:b/>
                <w:lang w:val="lt-LT"/>
              </w:rPr>
              <w:t>2 eil.</w:t>
            </w:r>
          </w:p>
        </w:tc>
        <w:tc>
          <w:tcPr>
            <w:tcW w:w="709" w:type="dxa"/>
            <w:gridSpan w:val="8"/>
          </w:tcPr>
          <w:p w:rsidR="001C0D02" w:rsidRPr="00244093" w:rsidRDefault="001C0D02" w:rsidP="00065FB5">
            <w:pPr>
              <w:tabs>
                <w:tab w:val="left" w:pos="510"/>
              </w:tabs>
              <w:jc w:val="center"/>
              <w:rPr>
                <w:b/>
                <w:lang w:val="lt-LT"/>
              </w:rPr>
            </w:pPr>
          </w:p>
        </w:tc>
        <w:tc>
          <w:tcPr>
            <w:tcW w:w="1996" w:type="dxa"/>
            <w:gridSpan w:val="12"/>
            <w:vMerge/>
            <w:tcBorders>
              <w:right w:val="single" w:sz="4" w:space="0" w:color="auto"/>
            </w:tcBorders>
          </w:tcPr>
          <w:p w:rsidR="001C0D02" w:rsidRPr="004273CC" w:rsidRDefault="001C0D02" w:rsidP="00065FB5">
            <w:pPr>
              <w:tabs>
                <w:tab w:val="left" w:pos="510"/>
              </w:tabs>
              <w:jc w:val="both"/>
              <w:rPr>
                <w:lang w:val="lt-LT"/>
              </w:rPr>
            </w:pPr>
          </w:p>
        </w:tc>
        <w:tc>
          <w:tcPr>
            <w:tcW w:w="1147" w:type="dxa"/>
            <w:gridSpan w:val="6"/>
            <w:tcBorders>
              <w:left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2 eil.</w:t>
            </w:r>
          </w:p>
        </w:tc>
        <w:tc>
          <w:tcPr>
            <w:tcW w:w="708" w:type="dxa"/>
            <w:gridSpan w:val="7"/>
            <w:tcBorders>
              <w:right w:val="single" w:sz="4" w:space="0" w:color="auto"/>
            </w:tcBorders>
          </w:tcPr>
          <w:p w:rsidR="001C0D02" w:rsidRPr="00FB01FB" w:rsidRDefault="001C0D02" w:rsidP="00065FB5">
            <w:pPr>
              <w:tabs>
                <w:tab w:val="left" w:pos="510"/>
              </w:tabs>
              <w:jc w:val="center"/>
              <w:rPr>
                <w:b/>
                <w:lang w:val="lt-LT"/>
              </w:rPr>
            </w:pPr>
            <w:r>
              <w:rPr>
                <w:b/>
                <w:lang w:val="lt-LT"/>
              </w:rPr>
              <w:t>3</w:t>
            </w:r>
          </w:p>
        </w:tc>
        <w:tc>
          <w:tcPr>
            <w:tcW w:w="1133" w:type="dxa"/>
            <w:gridSpan w:val="7"/>
            <w:tcBorders>
              <w:top w:val="nil"/>
              <w:left w:val="single" w:sz="4" w:space="0" w:color="auto"/>
              <w:bottom w:val="nil"/>
            </w:tcBorders>
          </w:tcPr>
          <w:p w:rsidR="001C0D02" w:rsidRPr="00FB01FB" w:rsidRDefault="001C0D02" w:rsidP="00065FB5">
            <w:pPr>
              <w:tabs>
                <w:tab w:val="left" w:pos="510"/>
              </w:tabs>
              <w:jc w:val="center"/>
              <w:rPr>
                <w:b/>
                <w:lang w:val="lt-LT"/>
              </w:rPr>
            </w:pPr>
          </w:p>
        </w:tc>
        <w:tc>
          <w:tcPr>
            <w:tcW w:w="1647" w:type="dxa"/>
            <w:gridSpan w:val="5"/>
            <w:vMerge/>
            <w:tcBorders>
              <w:right w:val="single" w:sz="4" w:space="0" w:color="auto"/>
            </w:tcBorders>
          </w:tcPr>
          <w:p w:rsidR="001C0D02" w:rsidRPr="004273CC" w:rsidRDefault="001C0D02" w:rsidP="00065FB5">
            <w:pPr>
              <w:tabs>
                <w:tab w:val="left" w:pos="510"/>
              </w:tabs>
              <w:jc w:val="both"/>
              <w:rPr>
                <w:lang w:val="lt-LT"/>
              </w:rPr>
            </w:pPr>
          </w:p>
        </w:tc>
      </w:tr>
      <w:tr w:rsidR="001C0D02" w:rsidRPr="004273CC" w:rsidTr="001C0D02">
        <w:trPr>
          <w:cantSplit/>
        </w:trPr>
        <w:tc>
          <w:tcPr>
            <w:tcW w:w="1007" w:type="dxa"/>
            <w:gridSpan w:val="4"/>
            <w:vMerge/>
          </w:tcPr>
          <w:p w:rsidR="001C0D02" w:rsidRPr="004273CC" w:rsidRDefault="001C0D02" w:rsidP="00065FB5">
            <w:pPr>
              <w:tabs>
                <w:tab w:val="left" w:pos="510"/>
              </w:tabs>
              <w:jc w:val="right"/>
              <w:rPr>
                <w:lang w:val="lt-LT"/>
              </w:rPr>
            </w:pPr>
          </w:p>
        </w:tc>
        <w:tc>
          <w:tcPr>
            <w:tcW w:w="4379" w:type="dxa"/>
            <w:gridSpan w:val="20"/>
          </w:tcPr>
          <w:p w:rsidR="001C0D02" w:rsidRPr="004273CC" w:rsidRDefault="001C0D02"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6"/>
            <w:shd w:val="clear" w:color="auto" w:fill="D9D9D9"/>
          </w:tcPr>
          <w:p w:rsidR="001C0D02" w:rsidRPr="004273CC" w:rsidRDefault="001C0D02" w:rsidP="00065FB5">
            <w:pPr>
              <w:tabs>
                <w:tab w:val="left" w:pos="510"/>
              </w:tabs>
              <w:jc w:val="both"/>
              <w:rPr>
                <w:lang w:val="lt-LT"/>
              </w:rPr>
            </w:pPr>
            <w:r w:rsidRPr="004273CC">
              <w:rPr>
                <w:b/>
                <w:lang w:val="lt-LT"/>
              </w:rPr>
              <w:t>3 eil.</w:t>
            </w:r>
          </w:p>
        </w:tc>
        <w:tc>
          <w:tcPr>
            <w:tcW w:w="709" w:type="dxa"/>
            <w:gridSpan w:val="8"/>
            <w:tcBorders>
              <w:bottom w:val="single" w:sz="4" w:space="0" w:color="auto"/>
            </w:tcBorders>
          </w:tcPr>
          <w:p w:rsidR="001C0D02" w:rsidRPr="00244093" w:rsidRDefault="001C0D02" w:rsidP="00065FB5">
            <w:pPr>
              <w:tabs>
                <w:tab w:val="left" w:pos="510"/>
              </w:tabs>
              <w:jc w:val="center"/>
              <w:rPr>
                <w:b/>
                <w:lang w:val="lt-LT"/>
              </w:rPr>
            </w:pPr>
          </w:p>
        </w:tc>
        <w:tc>
          <w:tcPr>
            <w:tcW w:w="1996" w:type="dxa"/>
            <w:gridSpan w:val="12"/>
            <w:vMerge/>
            <w:tcBorders>
              <w:right w:val="single" w:sz="4" w:space="0" w:color="auto"/>
            </w:tcBorders>
          </w:tcPr>
          <w:p w:rsidR="001C0D02" w:rsidRPr="004273CC" w:rsidRDefault="001C0D02" w:rsidP="00065FB5">
            <w:pPr>
              <w:tabs>
                <w:tab w:val="left" w:pos="510"/>
              </w:tabs>
              <w:jc w:val="both"/>
              <w:rPr>
                <w:lang w:val="lt-LT"/>
              </w:rPr>
            </w:pPr>
          </w:p>
        </w:tc>
        <w:tc>
          <w:tcPr>
            <w:tcW w:w="1147" w:type="dxa"/>
            <w:gridSpan w:val="6"/>
            <w:tcBorders>
              <w:left w:val="single" w:sz="4" w:space="0" w:color="auto"/>
            </w:tcBorders>
            <w:shd w:val="clear" w:color="auto" w:fill="D9D9D9"/>
          </w:tcPr>
          <w:p w:rsidR="001C0D02" w:rsidRPr="004273CC" w:rsidRDefault="001C0D02" w:rsidP="00065FB5">
            <w:pPr>
              <w:tabs>
                <w:tab w:val="left" w:pos="510"/>
              </w:tabs>
              <w:jc w:val="both"/>
              <w:rPr>
                <w:lang w:val="lt-LT"/>
              </w:rPr>
            </w:pPr>
            <w:r w:rsidRPr="004273CC">
              <w:rPr>
                <w:b/>
                <w:lang w:val="lt-LT"/>
              </w:rPr>
              <w:t>3 eil.</w:t>
            </w:r>
          </w:p>
        </w:tc>
        <w:tc>
          <w:tcPr>
            <w:tcW w:w="708" w:type="dxa"/>
            <w:gridSpan w:val="7"/>
            <w:tcBorders>
              <w:bottom w:val="single" w:sz="4" w:space="0" w:color="auto"/>
              <w:right w:val="single" w:sz="4" w:space="0" w:color="auto"/>
            </w:tcBorders>
          </w:tcPr>
          <w:p w:rsidR="001C0D02" w:rsidRPr="00FB01FB" w:rsidRDefault="001C0D02" w:rsidP="00065FB5">
            <w:pPr>
              <w:tabs>
                <w:tab w:val="left" w:pos="510"/>
              </w:tabs>
              <w:jc w:val="center"/>
              <w:rPr>
                <w:b/>
                <w:lang w:val="lt-LT"/>
              </w:rPr>
            </w:pPr>
            <w:r>
              <w:rPr>
                <w:b/>
                <w:lang w:val="lt-LT"/>
              </w:rPr>
              <w:t>15</w:t>
            </w:r>
          </w:p>
        </w:tc>
        <w:tc>
          <w:tcPr>
            <w:tcW w:w="1133" w:type="dxa"/>
            <w:gridSpan w:val="7"/>
            <w:tcBorders>
              <w:top w:val="nil"/>
              <w:left w:val="single" w:sz="4" w:space="0" w:color="auto"/>
              <w:bottom w:val="nil"/>
            </w:tcBorders>
          </w:tcPr>
          <w:p w:rsidR="001C0D02" w:rsidRPr="00FB01FB" w:rsidRDefault="001C0D02" w:rsidP="00065FB5">
            <w:pPr>
              <w:tabs>
                <w:tab w:val="left" w:pos="510"/>
              </w:tabs>
              <w:jc w:val="center"/>
              <w:rPr>
                <w:b/>
                <w:lang w:val="lt-LT"/>
              </w:rPr>
            </w:pPr>
          </w:p>
        </w:tc>
        <w:tc>
          <w:tcPr>
            <w:tcW w:w="1647" w:type="dxa"/>
            <w:gridSpan w:val="5"/>
            <w:vMerge/>
            <w:tcBorders>
              <w:right w:val="single" w:sz="4" w:space="0" w:color="auto"/>
            </w:tcBorders>
          </w:tcPr>
          <w:p w:rsidR="001C0D02" w:rsidRPr="004273CC" w:rsidRDefault="001C0D02" w:rsidP="00065FB5">
            <w:pPr>
              <w:tabs>
                <w:tab w:val="left" w:pos="510"/>
              </w:tabs>
              <w:jc w:val="both"/>
              <w:rPr>
                <w:lang w:val="lt-LT"/>
              </w:rPr>
            </w:pPr>
          </w:p>
        </w:tc>
      </w:tr>
      <w:tr w:rsidR="001C0D02" w:rsidRPr="004273CC" w:rsidTr="001C0D02">
        <w:trPr>
          <w:cantSplit/>
          <w:trHeight w:val="264"/>
        </w:trPr>
        <w:tc>
          <w:tcPr>
            <w:tcW w:w="1007" w:type="dxa"/>
            <w:gridSpan w:val="4"/>
            <w:vMerge/>
          </w:tcPr>
          <w:p w:rsidR="001C0D02" w:rsidRPr="004273CC" w:rsidRDefault="001C0D02" w:rsidP="00065FB5">
            <w:pPr>
              <w:tabs>
                <w:tab w:val="left" w:pos="510"/>
              </w:tabs>
              <w:jc w:val="right"/>
              <w:rPr>
                <w:lang w:val="lt-LT"/>
              </w:rPr>
            </w:pPr>
          </w:p>
        </w:tc>
        <w:tc>
          <w:tcPr>
            <w:tcW w:w="4379" w:type="dxa"/>
            <w:gridSpan w:val="20"/>
          </w:tcPr>
          <w:p w:rsidR="001C0D02" w:rsidRPr="004273CC" w:rsidRDefault="001C0D02"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6"/>
            <w:shd w:val="clear" w:color="auto" w:fill="D9D9D9"/>
            <w:vAlign w:val="center"/>
          </w:tcPr>
          <w:p w:rsidR="001C0D02" w:rsidRPr="004273CC" w:rsidRDefault="001C0D02" w:rsidP="00065FB5">
            <w:pPr>
              <w:tabs>
                <w:tab w:val="left" w:pos="510"/>
              </w:tabs>
              <w:jc w:val="both"/>
              <w:rPr>
                <w:lang w:val="lt-LT"/>
              </w:rPr>
            </w:pPr>
            <w:r w:rsidRPr="004273CC">
              <w:rPr>
                <w:b/>
                <w:lang w:val="lt-LT"/>
              </w:rPr>
              <w:t>4 eil.</w:t>
            </w:r>
          </w:p>
        </w:tc>
        <w:tc>
          <w:tcPr>
            <w:tcW w:w="709" w:type="dxa"/>
            <w:gridSpan w:val="8"/>
            <w:tcBorders>
              <w:bottom w:val="single" w:sz="4" w:space="0" w:color="auto"/>
            </w:tcBorders>
            <w:shd w:val="clear" w:color="auto" w:fill="D9D9D9"/>
          </w:tcPr>
          <w:p w:rsidR="001C0D02" w:rsidRPr="00244093" w:rsidRDefault="001C0D02" w:rsidP="00065FB5">
            <w:pPr>
              <w:tabs>
                <w:tab w:val="left" w:pos="510"/>
              </w:tabs>
              <w:jc w:val="center"/>
              <w:rPr>
                <w:b/>
                <w:lang w:val="lt-LT"/>
              </w:rPr>
            </w:pPr>
          </w:p>
        </w:tc>
        <w:tc>
          <w:tcPr>
            <w:tcW w:w="1996" w:type="dxa"/>
            <w:gridSpan w:val="12"/>
            <w:vMerge/>
            <w:tcBorders>
              <w:right w:val="single" w:sz="4" w:space="0" w:color="auto"/>
            </w:tcBorders>
          </w:tcPr>
          <w:p w:rsidR="001C0D02" w:rsidRPr="004273CC" w:rsidRDefault="001C0D02" w:rsidP="00065FB5">
            <w:pPr>
              <w:tabs>
                <w:tab w:val="left" w:pos="510"/>
              </w:tabs>
              <w:jc w:val="both"/>
              <w:rPr>
                <w:lang w:val="lt-LT"/>
              </w:rPr>
            </w:pPr>
          </w:p>
        </w:tc>
        <w:tc>
          <w:tcPr>
            <w:tcW w:w="1147" w:type="dxa"/>
            <w:gridSpan w:val="6"/>
            <w:tcBorders>
              <w:left w:val="single" w:sz="4" w:space="0" w:color="auto"/>
            </w:tcBorders>
            <w:shd w:val="clear" w:color="auto" w:fill="D9D9D9"/>
            <w:vAlign w:val="center"/>
          </w:tcPr>
          <w:p w:rsidR="001C0D02" w:rsidRPr="004273CC" w:rsidRDefault="001C0D02" w:rsidP="00065FB5">
            <w:pPr>
              <w:tabs>
                <w:tab w:val="left" w:pos="510"/>
              </w:tabs>
              <w:jc w:val="both"/>
              <w:rPr>
                <w:lang w:val="lt-LT"/>
              </w:rPr>
            </w:pPr>
            <w:r w:rsidRPr="004273CC">
              <w:rPr>
                <w:b/>
                <w:lang w:val="lt-LT"/>
              </w:rPr>
              <w:t>4 eil.</w:t>
            </w:r>
          </w:p>
        </w:tc>
        <w:tc>
          <w:tcPr>
            <w:tcW w:w="708" w:type="dxa"/>
            <w:gridSpan w:val="7"/>
            <w:tcBorders>
              <w:right w:val="single" w:sz="4" w:space="0" w:color="auto"/>
            </w:tcBorders>
            <w:shd w:val="clear" w:color="auto" w:fill="D9D9D9"/>
          </w:tcPr>
          <w:p w:rsidR="001C0D02" w:rsidRPr="00FB01FB" w:rsidRDefault="001C0D02" w:rsidP="00065FB5">
            <w:pPr>
              <w:tabs>
                <w:tab w:val="left" w:pos="510"/>
              </w:tabs>
              <w:jc w:val="center"/>
              <w:rPr>
                <w:b/>
                <w:lang w:val="lt-LT"/>
              </w:rPr>
            </w:pPr>
            <w:r w:rsidRPr="00FB01FB">
              <w:rPr>
                <w:b/>
                <w:lang w:val="lt-LT"/>
              </w:rPr>
              <w:t>80</w:t>
            </w:r>
          </w:p>
        </w:tc>
        <w:tc>
          <w:tcPr>
            <w:tcW w:w="1133" w:type="dxa"/>
            <w:gridSpan w:val="7"/>
            <w:tcBorders>
              <w:top w:val="nil"/>
              <w:left w:val="single" w:sz="4" w:space="0" w:color="auto"/>
              <w:bottom w:val="single" w:sz="4" w:space="0" w:color="auto"/>
            </w:tcBorders>
          </w:tcPr>
          <w:p w:rsidR="001C0D02" w:rsidRPr="00FB01FB" w:rsidRDefault="001C0D02" w:rsidP="00065FB5">
            <w:pPr>
              <w:tabs>
                <w:tab w:val="left" w:pos="510"/>
              </w:tabs>
              <w:jc w:val="center"/>
              <w:rPr>
                <w:b/>
                <w:lang w:val="lt-LT"/>
              </w:rPr>
            </w:pPr>
            <w:r w:rsidRPr="00244093">
              <w:rPr>
                <w:b/>
                <w:lang w:val="lt-LT"/>
              </w:rPr>
              <w:t>DIDELĖ</w:t>
            </w:r>
          </w:p>
        </w:tc>
        <w:tc>
          <w:tcPr>
            <w:tcW w:w="1647" w:type="dxa"/>
            <w:gridSpan w:val="5"/>
            <w:vMerge/>
            <w:tcBorders>
              <w:right w:val="single" w:sz="4" w:space="0" w:color="auto"/>
            </w:tcBorders>
          </w:tcPr>
          <w:p w:rsidR="001C0D02" w:rsidRPr="004273CC" w:rsidRDefault="001C0D02" w:rsidP="00065FB5">
            <w:pPr>
              <w:tabs>
                <w:tab w:val="left" w:pos="510"/>
              </w:tabs>
              <w:jc w:val="both"/>
              <w:rPr>
                <w:lang w:val="lt-LT"/>
              </w:rPr>
            </w:pPr>
          </w:p>
        </w:tc>
      </w:tr>
      <w:tr w:rsidR="001C0D02" w:rsidRPr="004273CC" w:rsidTr="001C0D02">
        <w:trPr>
          <w:cantSplit/>
        </w:trPr>
        <w:tc>
          <w:tcPr>
            <w:tcW w:w="1007" w:type="dxa"/>
            <w:gridSpan w:val="4"/>
            <w:vMerge/>
          </w:tcPr>
          <w:p w:rsidR="001C0D02" w:rsidRPr="004273CC" w:rsidRDefault="001C0D02" w:rsidP="00065FB5">
            <w:pPr>
              <w:tabs>
                <w:tab w:val="left" w:pos="510"/>
              </w:tabs>
              <w:jc w:val="right"/>
              <w:rPr>
                <w:lang w:val="lt-LT"/>
              </w:rPr>
            </w:pPr>
          </w:p>
        </w:tc>
        <w:tc>
          <w:tcPr>
            <w:tcW w:w="4379" w:type="dxa"/>
            <w:gridSpan w:val="20"/>
          </w:tcPr>
          <w:p w:rsidR="001C0D02" w:rsidRPr="004273CC" w:rsidRDefault="001C0D02"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6"/>
            <w:shd w:val="clear" w:color="auto" w:fill="D9D9D9"/>
          </w:tcPr>
          <w:p w:rsidR="001C0D02" w:rsidRPr="004273CC" w:rsidRDefault="001C0D02" w:rsidP="00065FB5">
            <w:pPr>
              <w:tabs>
                <w:tab w:val="left" w:pos="510"/>
              </w:tabs>
              <w:jc w:val="both"/>
              <w:rPr>
                <w:lang w:val="lt-LT"/>
              </w:rPr>
            </w:pPr>
            <w:r>
              <w:rPr>
                <w:b/>
                <w:lang w:val="lt-LT"/>
              </w:rPr>
              <w:t>5</w:t>
            </w:r>
            <w:r w:rsidRPr="004273CC">
              <w:rPr>
                <w:b/>
                <w:lang w:val="lt-LT"/>
              </w:rPr>
              <w:t xml:space="preserve"> eil.</w:t>
            </w:r>
          </w:p>
        </w:tc>
        <w:tc>
          <w:tcPr>
            <w:tcW w:w="709" w:type="dxa"/>
            <w:gridSpan w:val="8"/>
          </w:tcPr>
          <w:p w:rsidR="001C0D02" w:rsidRPr="00244093" w:rsidRDefault="001C0D02" w:rsidP="00065FB5">
            <w:pPr>
              <w:tabs>
                <w:tab w:val="left" w:pos="510"/>
              </w:tabs>
              <w:jc w:val="center"/>
              <w:rPr>
                <w:b/>
                <w:lang w:val="lt-LT"/>
              </w:rPr>
            </w:pPr>
            <w:r w:rsidRPr="00244093">
              <w:rPr>
                <w:b/>
                <w:lang w:val="lt-LT"/>
              </w:rPr>
              <w:t>X</w:t>
            </w:r>
          </w:p>
        </w:tc>
        <w:tc>
          <w:tcPr>
            <w:tcW w:w="1996" w:type="dxa"/>
            <w:gridSpan w:val="12"/>
            <w:vMerge/>
            <w:tcBorders>
              <w:right w:val="single" w:sz="4" w:space="0" w:color="auto"/>
            </w:tcBorders>
          </w:tcPr>
          <w:p w:rsidR="001C0D02" w:rsidRPr="004273CC" w:rsidRDefault="001C0D02" w:rsidP="00065FB5">
            <w:pPr>
              <w:tabs>
                <w:tab w:val="left" w:pos="510"/>
              </w:tabs>
              <w:jc w:val="both"/>
              <w:rPr>
                <w:lang w:val="lt-LT"/>
              </w:rPr>
            </w:pPr>
          </w:p>
        </w:tc>
        <w:tc>
          <w:tcPr>
            <w:tcW w:w="1147" w:type="dxa"/>
            <w:gridSpan w:val="6"/>
            <w:tcBorders>
              <w:left w:val="single" w:sz="4" w:space="0" w:color="auto"/>
            </w:tcBorders>
            <w:shd w:val="clear" w:color="auto" w:fill="D9D9D9"/>
          </w:tcPr>
          <w:p w:rsidR="001C0D02" w:rsidRPr="004273CC" w:rsidRDefault="001C0D02" w:rsidP="00065FB5">
            <w:pPr>
              <w:tabs>
                <w:tab w:val="left" w:pos="510"/>
              </w:tabs>
              <w:jc w:val="both"/>
              <w:rPr>
                <w:lang w:val="lt-LT"/>
              </w:rPr>
            </w:pPr>
            <w:r>
              <w:rPr>
                <w:b/>
                <w:lang w:val="lt-LT"/>
              </w:rPr>
              <w:t>5</w:t>
            </w:r>
            <w:r w:rsidRPr="004273CC">
              <w:rPr>
                <w:b/>
                <w:lang w:val="lt-LT"/>
              </w:rPr>
              <w:t xml:space="preserve"> eil.</w:t>
            </w:r>
          </w:p>
        </w:tc>
        <w:tc>
          <w:tcPr>
            <w:tcW w:w="708" w:type="dxa"/>
            <w:gridSpan w:val="7"/>
          </w:tcPr>
          <w:p w:rsidR="001C0D02" w:rsidRPr="00FB01FB" w:rsidRDefault="001C0D02" w:rsidP="00065FB5">
            <w:pPr>
              <w:tabs>
                <w:tab w:val="left" w:pos="510"/>
              </w:tabs>
              <w:jc w:val="center"/>
              <w:rPr>
                <w:b/>
                <w:lang w:val="lt-LT"/>
              </w:rPr>
            </w:pPr>
            <w:r w:rsidRPr="00FB01FB">
              <w:rPr>
                <w:b/>
                <w:lang w:val="lt-LT"/>
              </w:rPr>
              <w:t>X</w:t>
            </w:r>
          </w:p>
        </w:tc>
        <w:tc>
          <w:tcPr>
            <w:tcW w:w="1133" w:type="dxa"/>
            <w:gridSpan w:val="7"/>
            <w:tcBorders>
              <w:top w:val="single" w:sz="4" w:space="0" w:color="auto"/>
              <w:bottom w:val="single" w:sz="4" w:space="0" w:color="auto"/>
            </w:tcBorders>
          </w:tcPr>
          <w:p w:rsidR="001C0D02" w:rsidRPr="00FB01FB" w:rsidRDefault="001C0D02" w:rsidP="00065FB5">
            <w:pPr>
              <w:tabs>
                <w:tab w:val="left" w:pos="510"/>
              </w:tabs>
              <w:jc w:val="center"/>
              <w:rPr>
                <w:b/>
                <w:lang w:val="lt-LT"/>
              </w:rPr>
            </w:pPr>
            <w:r>
              <w:rPr>
                <w:b/>
                <w:lang w:val="lt-LT"/>
              </w:rPr>
              <w:t>12</w:t>
            </w:r>
          </w:p>
        </w:tc>
        <w:tc>
          <w:tcPr>
            <w:tcW w:w="1647" w:type="dxa"/>
            <w:gridSpan w:val="5"/>
            <w:vMerge/>
            <w:tcBorders>
              <w:right w:val="single" w:sz="4" w:space="0" w:color="auto"/>
            </w:tcBorders>
          </w:tcPr>
          <w:p w:rsidR="001C0D02" w:rsidRPr="004273CC" w:rsidRDefault="001C0D02" w:rsidP="00065FB5">
            <w:pPr>
              <w:tabs>
                <w:tab w:val="left" w:pos="510"/>
              </w:tabs>
              <w:jc w:val="both"/>
              <w:rPr>
                <w:lang w:val="lt-LT"/>
              </w:rPr>
            </w:pPr>
          </w:p>
        </w:tc>
      </w:tr>
      <w:tr w:rsidR="001C0D02" w:rsidRPr="004273CC" w:rsidTr="001C0D02">
        <w:trPr>
          <w:cantSplit/>
        </w:trPr>
        <w:tc>
          <w:tcPr>
            <w:tcW w:w="1007" w:type="dxa"/>
            <w:gridSpan w:val="4"/>
            <w:vMerge/>
          </w:tcPr>
          <w:p w:rsidR="001C0D02" w:rsidRPr="004273CC" w:rsidRDefault="001C0D02" w:rsidP="00065FB5">
            <w:pPr>
              <w:tabs>
                <w:tab w:val="left" w:pos="510"/>
              </w:tabs>
              <w:jc w:val="right"/>
              <w:rPr>
                <w:lang w:val="lt-LT"/>
              </w:rPr>
            </w:pPr>
          </w:p>
        </w:tc>
        <w:tc>
          <w:tcPr>
            <w:tcW w:w="4379" w:type="dxa"/>
            <w:gridSpan w:val="20"/>
          </w:tcPr>
          <w:p w:rsidR="001C0D02" w:rsidRPr="004273CC" w:rsidRDefault="001C0D02"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6"/>
            <w:shd w:val="clear" w:color="auto" w:fill="D9D9D9"/>
          </w:tcPr>
          <w:p w:rsidR="001C0D02" w:rsidRPr="004273CC" w:rsidRDefault="001C0D02" w:rsidP="00065FB5">
            <w:pPr>
              <w:tabs>
                <w:tab w:val="left" w:pos="510"/>
              </w:tabs>
              <w:jc w:val="both"/>
              <w:rPr>
                <w:lang w:val="lt-LT"/>
              </w:rPr>
            </w:pPr>
            <w:r>
              <w:rPr>
                <w:b/>
                <w:lang w:val="lt-LT"/>
              </w:rPr>
              <w:t>6</w:t>
            </w:r>
            <w:r w:rsidRPr="004273CC">
              <w:rPr>
                <w:b/>
                <w:lang w:val="lt-LT"/>
              </w:rPr>
              <w:t xml:space="preserve"> eil.</w:t>
            </w:r>
          </w:p>
        </w:tc>
        <w:tc>
          <w:tcPr>
            <w:tcW w:w="709" w:type="dxa"/>
            <w:gridSpan w:val="8"/>
          </w:tcPr>
          <w:p w:rsidR="001C0D02" w:rsidRPr="00244093" w:rsidRDefault="001C0D02" w:rsidP="00065FB5">
            <w:pPr>
              <w:tabs>
                <w:tab w:val="left" w:pos="510"/>
              </w:tabs>
              <w:jc w:val="center"/>
              <w:rPr>
                <w:b/>
                <w:lang w:val="lt-LT"/>
              </w:rPr>
            </w:pPr>
          </w:p>
        </w:tc>
        <w:tc>
          <w:tcPr>
            <w:tcW w:w="1996" w:type="dxa"/>
            <w:gridSpan w:val="12"/>
            <w:vMerge/>
            <w:tcBorders>
              <w:right w:val="single" w:sz="4" w:space="0" w:color="auto"/>
            </w:tcBorders>
          </w:tcPr>
          <w:p w:rsidR="001C0D02" w:rsidRPr="004273CC" w:rsidRDefault="001C0D02" w:rsidP="00065FB5">
            <w:pPr>
              <w:tabs>
                <w:tab w:val="left" w:pos="510"/>
              </w:tabs>
              <w:jc w:val="both"/>
              <w:rPr>
                <w:lang w:val="lt-LT"/>
              </w:rPr>
            </w:pPr>
          </w:p>
        </w:tc>
        <w:tc>
          <w:tcPr>
            <w:tcW w:w="1147" w:type="dxa"/>
            <w:gridSpan w:val="6"/>
            <w:tcBorders>
              <w:left w:val="single" w:sz="4" w:space="0" w:color="auto"/>
            </w:tcBorders>
            <w:shd w:val="clear" w:color="auto" w:fill="D9D9D9"/>
          </w:tcPr>
          <w:p w:rsidR="001C0D02" w:rsidRPr="004273CC" w:rsidRDefault="001C0D02" w:rsidP="00065FB5">
            <w:pPr>
              <w:tabs>
                <w:tab w:val="left" w:pos="510"/>
              </w:tabs>
              <w:jc w:val="both"/>
              <w:rPr>
                <w:lang w:val="lt-LT"/>
              </w:rPr>
            </w:pPr>
            <w:r>
              <w:rPr>
                <w:b/>
                <w:lang w:val="lt-LT"/>
              </w:rPr>
              <w:t>6</w:t>
            </w:r>
            <w:r w:rsidRPr="004273CC">
              <w:rPr>
                <w:b/>
                <w:lang w:val="lt-LT"/>
              </w:rPr>
              <w:t xml:space="preserve"> eil.</w:t>
            </w:r>
          </w:p>
        </w:tc>
        <w:tc>
          <w:tcPr>
            <w:tcW w:w="708" w:type="dxa"/>
            <w:gridSpan w:val="7"/>
            <w:tcBorders>
              <w:right w:val="single" w:sz="4" w:space="0" w:color="auto"/>
            </w:tcBorders>
          </w:tcPr>
          <w:p w:rsidR="001C0D02" w:rsidRPr="00FB01FB" w:rsidRDefault="001C0D02" w:rsidP="00065FB5">
            <w:pPr>
              <w:tabs>
                <w:tab w:val="left" w:pos="510"/>
              </w:tabs>
              <w:jc w:val="center"/>
              <w:rPr>
                <w:b/>
                <w:lang w:val="lt-LT"/>
              </w:rPr>
            </w:pPr>
            <w:r>
              <w:rPr>
                <w:b/>
                <w:lang w:val="lt-LT"/>
              </w:rPr>
              <w:t>3</w:t>
            </w:r>
          </w:p>
        </w:tc>
        <w:tc>
          <w:tcPr>
            <w:tcW w:w="1133" w:type="dxa"/>
            <w:gridSpan w:val="7"/>
            <w:tcBorders>
              <w:top w:val="single" w:sz="4" w:space="0" w:color="auto"/>
              <w:left w:val="single" w:sz="4" w:space="0" w:color="auto"/>
              <w:bottom w:val="nil"/>
            </w:tcBorders>
          </w:tcPr>
          <w:p w:rsidR="001C0D02" w:rsidRPr="00FB01FB" w:rsidRDefault="001C0D02" w:rsidP="00065FB5">
            <w:pPr>
              <w:tabs>
                <w:tab w:val="left" w:pos="510"/>
              </w:tabs>
              <w:jc w:val="center"/>
              <w:rPr>
                <w:b/>
                <w:lang w:val="lt-LT"/>
              </w:rPr>
            </w:pPr>
          </w:p>
        </w:tc>
        <w:tc>
          <w:tcPr>
            <w:tcW w:w="1647" w:type="dxa"/>
            <w:gridSpan w:val="5"/>
            <w:vMerge/>
            <w:tcBorders>
              <w:right w:val="single" w:sz="4" w:space="0" w:color="auto"/>
            </w:tcBorders>
          </w:tcPr>
          <w:p w:rsidR="001C0D02" w:rsidRPr="004273CC" w:rsidRDefault="001C0D02" w:rsidP="00065FB5">
            <w:pPr>
              <w:tabs>
                <w:tab w:val="left" w:pos="510"/>
              </w:tabs>
              <w:jc w:val="both"/>
              <w:rPr>
                <w:lang w:val="lt-LT"/>
              </w:rPr>
            </w:pPr>
          </w:p>
        </w:tc>
      </w:tr>
      <w:tr w:rsidR="001C0D02" w:rsidRPr="004273CC" w:rsidTr="001C0D02">
        <w:trPr>
          <w:cantSplit/>
        </w:trPr>
        <w:tc>
          <w:tcPr>
            <w:tcW w:w="1007" w:type="dxa"/>
            <w:gridSpan w:val="4"/>
            <w:vMerge/>
          </w:tcPr>
          <w:p w:rsidR="001C0D02" w:rsidRPr="004273CC" w:rsidRDefault="001C0D02" w:rsidP="00065FB5">
            <w:pPr>
              <w:tabs>
                <w:tab w:val="left" w:pos="510"/>
              </w:tabs>
              <w:jc w:val="right"/>
              <w:rPr>
                <w:lang w:val="lt-LT"/>
              </w:rPr>
            </w:pPr>
          </w:p>
        </w:tc>
        <w:tc>
          <w:tcPr>
            <w:tcW w:w="4379" w:type="dxa"/>
            <w:gridSpan w:val="20"/>
          </w:tcPr>
          <w:p w:rsidR="001C0D02" w:rsidRPr="004273CC" w:rsidRDefault="001C0D02"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6"/>
            <w:shd w:val="clear" w:color="auto" w:fill="D9D9D9"/>
          </w:tcPr>
          <w:p w:rsidR="001C0D02" w:rsidRPr="004273CC" w:rsidRDefault="001C0D02"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tcBorders>
          </w:tcPr>
          <w:p w:rsidR="001C0D02" w:rsidRPr="00244093" w:rsidRDefault="001C0D02" w:rsidP="00065FB5">
            <w:pPr>
              <w:tabs>
                <w:tab w:val="left" w:pos="510"/>
              </w:tabs>
              <w:jc w:val="center"/>
              <w:rPr>
                <w:b/>
                <w:lang w:val="lt-LT"/>
              </w:rPr>
            </w:pPr>
          </w:p>
        </w:tc>
        <w:tc>
          <w:tcPr>
            <w:tcW w:w="1996" w:type="dxa"/>
            <w:gridSpan w:val="12"/>
            <w:vMerge/>
            <w:tcBorders>
              <w:right w:val="single" w:sz="4" w:space="0" w:color="auto"/>
            </w:tcBorders>
          </w:tcPr>
          <w:p w:rsidR="001C0D02" w:rsidRPr="004273CC" w:rsidRDefault="001C0D02" w:rsidP="00065FB5">
            <w:pPr>
              <w:tabs>
                <w:tab w:val="left" w:pos="510"/>
              </w:tabs>
              <w:jc w:val="both"/>
              <w:rPr>
                <w:lang w:val="lt-LT"/>
              </w:rPr>
            </w:pPr>
          </w:p>
        </w:tc>
        <w:tc>
          <w:tcPr>
            <w:tcW w:w="1147" w:type="dxa"/>
            <w:gridSpan w:val="6"/>
            <w:tcBorders>
              <w:left w:val="single" w:sz="4" w:space="0" w:color="auto"/>
            </w:tcBorders>
            <w:shd w:val="clear" w:color="auto" w:fill="D9D9D9"/>
          </w:tcPr>
          <w:p w:rsidR="001C0D02" w:rsidRPr="004273CC" w:rsidRDefault="001C0D02" w:rsidP="00065FB5">
            <w:pPr>
              <w:tabs>
                <w:tab w:val="left" w:pos="510"/>
              </w:tabs>
              <w:jc w:val="both"/>
              <w:rPr>
                <w:lang w:val="lt-LT"/>
              </w:rPr>
            </w:pPr>
            <w:r>
              <w:rPr>
                <w:b/>
                <w:lang w:val="lt-LT"/>
              </w:rPr>
              <w:t>7</w:t>
            </w:r>
            <w:r w:rsidRPr="004273CC">
              <w:rPr>
                <w:b/>
                <w:lang w:val="lt-LT"/>
              </w:rPr>
              <w:t xml:space="preserve"> eil.</w:t>
            </w:r>
          </w:p>
        </w:tc>
        <w:tc>
          <w:tcPr>
            <w:tcW w:w="708" w:type="dxa"/>
            <w:gridSpan w:val="7"/>
            <w:tcBorders>
              <w:bottom w:val="single" w:sz="4" w:space="0" w:color="auto"/>
              <w:right w:val="single" w:sz="4" w:space="0" w:color="auto"/>
            </w:tcBorders>
          </w:tcPr>
          <w:p w:rsidR="001C0D02" w:rsidRPr="00FB01FB" w:rsidRDefault="001C0D02" w:rsidP="00065FB5">
            <w:pPr>
              <w:tabs>
                <w:tab w:val="left" w:pos="510"/>
              </w:tabs>
              <w:jc w:val="center"/>
              <w:rPr>
                <w:b/>
                <w:lang w:val="lt-LT"/>
              </w:rPr>
            </w:pPr>
            <w:r>
              <w:rPr>
                <w:b/>
                <w:lang w:val="lt-LT"/>
              </w:rPr>
              <w:t>15</w:t>
            </w:r>
          </w:p>
        </w:tc>
        <w:tc>
          <w:tcPr>
            <w:tcW w:w="1133" w:type="dxa"/>
            <w:gridSpan w:val="7"/>
            <w:tcBorders>
              <w:top w:val="nil"/>
              <w:left w:val="single" w:sz="4" w:space="0" w:color="auto"/>
              <w:bottom w:val="nil"/>
            </w:tcBorders>
          </w:tcPr>
          <w:p w:rsidR="001C0D02" w:rsidRPr="00FB01FB" w:rsidRDefault="001C0D02" w:rsidP="00065FB5">
            <w:pPr>
              <w:tabs>
                <w:tab w:val="left" w:pos="510"/>
              </w:tabs>
              <w:jc w:val="center"/>
              <w:rPr>
                <w:b/>
                <w:lang w:val="lt-LT"/>
              </w:rPr>
            </w:pPr>
          </w:p>
        </w:tc>
        <w:tc>
          <w:tcPr>
            <w:tcW w:w="1647" w:type="dxa"/>
            <w:gridSpan w:val="5"/>
            <w:vMerge/>
            <w:tcBorders>
              <w:right w:val="single" w:sz="4" w:space="0" w:color="auto"/>
            </w:tcBorders>
          </w:tcPr>
          <w:p w:rsidR="001C0D02" w:rsidRPr="004273CC" w:rsidRDefault="001C0D02" w:rsidP="00065FB5">
            <w:pPr>
              <w:tabs>
                <w:tab w:val="left" w:pos="510"/>
              </w:tabs>
              <w:jc w:val="both"/>
              <w:rPr>
                <w:lang w:val="lt-LT"/>
              </w:rPr>
            </w:pPr>
          </w:p>
        </w:tc>
      </w:tr>
      <w:tr w:rsidR="001C0D02" w:rsidRPr="004273CC" w:rsidTr="001C0D02">
        <w:trPr>
          <w:cantSplit/>
        </w:trPr>
        <w:tc>
          <w:tcPr>
            <w:tcW w:w="1007" w:type="dxa"/>
            <w:gridSpan w:val="4"/>
            <w:vMerge/>
            <w:tcBorders>
              <w:bottom w:val="single" w:sz="4" w:space="0" w:color="auto"/>
            </w:tcBorders>
          </w:tcPr>
          <w:p w:rsidR="001C0D02" w:rsidRPr="004273CC" w:rsidRDefault="001C0D02" w:rsidP="00065FB5">
            <w:pPr>
              <w:tabs>
                <w:tab w:val="left" w:pos="510"/>
              </w:tabs>
              <w:jc w:val="right"/>
              <w:rPr>
                <w:lang w:val="lt-LT"/>
              </w:rPr>
            </w:pPr>
          </w:p>
        </w:tc>
        <w:tc>
          <w:tcPr>
            <w:tcW w:w="4379" w:type="dxa"/>
            <w:gridSpan w:val="20"/>
            <w:tcBorders>
              <w:bottom w:val="single" w:sz="4" w:space="0" w:color="auto"/>
            </w:tcBorders>
          </w:tcPr>
          <w:p w:rsidR="001C0D02" w:rsidRPr="004273CC" w:rsidRDefault="001C0D02"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6"/>
            <w:tcBorders>
              <w:bottom w:val="single" w:sz="4" w:space="0" w:color="auto"/>
            </w:tcBorders>
            <w:shd w:val="clear" w:color="auto" w:fill="D9D9D9"/>
            <w:vAlign w:val="center"/>
          </w:tcPr>
          <w:p w:rsidR="001C0D02" w:rsidRPr="004273CC" w:rsidRDefault="001C0D02"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tcBorders>
            <w:shd w:val="clear" w:color="auto" w:fill="D9D9D9"/>
          </w:tcPr>
          <w:p w:rsidR="001C0D02" w:rsidRPr="00244093" w:rsidRDefault="001C0D02" w:rsidP="00065FB5">
            <w:pPr>
              <w:tabs>
                <w:tab w:val="left" w:pos="510"/>
              </w:tabs>
              <w:jc w:val="center"/>
              <w:rPr>
                <w:b/>
                <w:lang w:val="lt-LT"/>
              </w:rPr>
            </w:pPr>
          </w:p>
        </w:tc>
        <w:tc>
          <w:tcPr>
            <w:tcW w:w="1996" w:type="dxa"/>
            <w:gridSpan w:val="12"/>
            <w:vMerge/>
            <w:tcBorders>
              <w:bottom w:val="single" w:sz="4" w:space="0" w:color="auto"/>
              <w:right w:val="single" w:sz="4" w:space="0" w:color="auto"/>
            </w:tcBorders>
          </w:tcPr>
          <w:p w:rsidR="001C0D02" w:rsidRPr="004273CC" w:rsidRDefault="001C0D02" w:rsidP="00065FB5">
            <w:pPr>
              <w:tabs>
                <w:tab w:val="left" w:pos="510"/>
              </w:tabs>
              <w:jc w:val="both"/>
              <w:rPr>
                <w:lang w:val="lt-LT"/>
              </w:rPr>
            </w:pPr>
          </w:p>
        </w:tc>
        <w:tc>
          <w:tcPr>
            <w:tcW w:w="1147" w:type="dxa"/>
            <w:gridSpan w:val="6"/>
            <w:tcBorders>
              <w:left w:val="single" w:sz="4" w:space="0" w:color="auto"/>
              <w:bottom w:val="single" w:sz="4" w:space="0" w:color="auto"/>
            </w:tcBorders>
            <w:shd w:val="clear" w:color="auto" w:fill="D9D9D9"/>
            <w:vAlign w:val="center"/>
          </w:tcPr>
          <w:p w:rsidR="001C0D02" w:rsidRPr="004273CC" w:rsidRDefault="001C0D02" w:rsidP="00065FB5">
            <w:pPr>
              <w:tabs>
                <w:tab w:val="left" w:pos="510"/>
              </w:tabs>
              <w:jc w:val="both"/>
              <w:rPr>
                <w:lang w:val="lt-LT"/>
              </w:rPr>
            </w:pPr>
            <w:r>
              <w:rPr>
                <w:b/>
                <w:lang w:val="lt-LT"/>
              </w:rPr>
              <w:t>8</w:t>
            </w:r>
            <w:r w:rsidRPr="004273CC">
              <w:rPr>
                <w:b/>
                <w:lang w:val="lt-LT"/>
              </w:rPr>
              <w:t xml:space="preserve"> eil.</w:t>
            </w:r>
          </w:p>
        </w:tc>
        <w:tc>
          <w:tcPr>
            <w:tcW w:w="708" w:type="dxa"/>
            <w:gridSpan w:val="7"/>
            <w:tcBorders>
              <w:bottom w:val="single" w:sz="4" w:space="0" w:color="auto"/>
              <w:right w:val="single" w:sz="4" w:space="0" w:color="auto"/>
            </w:tcBorders>
            <w:shd w:val="clear" w:color="auto" w:fill="D9D9D9"/>
          </w:tcPr>
          <w:p w:rsidR="001C0D02" w:rsidRPr="00FB01FB" w:rsidRDefault="001C0D02" w:rsidP="00065FB5">
            <w:pPr>
              <w:tabs>
                <w:tab w:val="left" w:pos="510"/>
              </w:tabs>
              <w:jc w:val="center"/>
              <w:rPr>
                <w:b/>
                <w:lang w:val="lt-LT"/>
              </w:rPr>
            </w:pPr>
            <w:r>
              <w:rPr>
                <w:b/>
                <w:lang w:val="lt-LT"/>
              </w:rPr>
              <w:t>80</w:t>
            </w:r>
          </w:p>
        </w:tc>
        <w:tc>
          <w:tcPr>
            <w:tcW w:w="1133" w:type="dxa"/>
            <w:gridSpan w:val="7"/>
            <w:tcBorders>
              <w:top w:val="nil"/>
              <w:left w:val="single" w:sz="4" w:space="0" w:color="auto"/>
              <w:bottom w:val="single" w:sz="4" w:space="0" w:color="auto"/>
            </w:tcBorders>
          </w:tcPr>
          <w:p w:rsidR="001C0D02" w:rsidRPr="00FB01FB" w:rsidRDefault="001C0D02" w:rsidP="00065FB5">
            <w:pPr>
              <w:tabs>
                <w:tab w:val="left" w:pos="510"/>
              </w:tabs>
              <w:jc w:val="center"/>
              <w:rPr>
                <w:b/>
                <w:lang w:val="lt-LT"/>
              </w:rPr>
            </w:pPr>
            <w:r w:rsidRPr="00244093">
              <w:rPr>
                <w:b/>
                <w:lang w:val="lt-LT"/>
              </w:rPr>
              <w:t>DIDELĖ</w:t>
            </w:r>
          </w:p>
        </w:tc>
        <w:tc>
          <w:tcPr>
            <w:tcW w:w="1647" w:type="dxa"/>
            <w:gridSpan w:val="5"/>
            <w:vMerge/>
            <w:tcBorders>
              <w:bottom w:val="single" w:sz="4" w:space="0" w:color="auto"/>
              <w:right w:val="single" w:sz="4" w:space="0" w:color="auto"/>
            </w:tcBorders>
          </w:tcPr>
          <w:p w:rsidR="001C0D02" w:rsidRPr="004273CC" w:rsidRDefault="001C0D02" w:rsidP="00065FB5">
            <w:pPr>
              <w:tabs>
                <w:tab w:val="left" w:pos="510"/>
              </w:tabs>
              <w:jc w:val="both"/>
              <w:rPr>
                <w:lang w:val="lt-LT"/>
              </w:rPr>
            </w:pPr>
          </w:p>
        </w:tc>
      </w:tr>
      <w:tr w:rsidR="00E91EA3" w:rsidRPr="004273CC" w:rsidTr="001B36E5">
        <w:trPr>
          <w:cantSplit/>
          <w:trHeight w:val="215"/>
        </w:trPr>
        <w:tc>
          <w:tcPr>
            <w:tcW w:w="13858" w:type="dxa"/>
            <w:gridSpan w:val="75"/>
            <w:shd w:val="clear" w:color="auto" w:fill="F2F2F2" w:themeFill="background1" w:themeFillShade="F2"/>
          </w:tcPr>
          <w:p w:rsidR="00E91EA3" w:rsidRPr="004273CC" w:rsidRDefault="00E91EA3" w:rsidP="00065FB5">
            <w:pPr>
              <w:tabs>
                <w:tab w:val="left" w:pos="510"/>
              </w:tabs>
              <w:jc w:val="both"/>
              <w:rPr>
                <w:lang w:val="lt-LT"/>
              </w:rPr>
            </w:pPr>
          </w:p>
        </w:tc>
      </w:tr>
      <w:tr w:rsidR="00E91EA3" w:rsidRPr="004273CC" w:rsidTr="001C0D02">
        <w:trPr>
          <w:cantSplit/>
          <w:trHeight w:val="414"/>
        </w:trPr>
        <w:tc>
          <w:tcPr>
            <w:tcW w:w="4480" w:type="dxa"/>
            <w:gridSpan w:val="13"/>
            <w:vMerge w:val="restart"/>
          </w:tcPr>
          <w:p w:rsidR="00E91EA3" w:rsidRPr="004273CC" w:rsidRDefault="00E91EA3" w:rsidP="00065FB5">
            <w:pPr>
              <w:tabs>
                <w:tab w:val="left" w:pos="510"/>
              </w:tabs>
              <w:ind w:left="113" w:right="113"/>
              <w:jc w:val="center"/>
              <w:rPr>
                <w:lang w:val="lt-LT"/>
              </w:rPr>
            </w:pPr>
            <w:r>
              <w:rPr>
                <w:b/>
                <w:lang w:val="lt-LT"/>
              </w:rPr>
              <w:t>Finansinių ataskaitų elemento ir/ar jo tvirtinimo pobūdis ir jam taikoma vidaus kontrolės sistema</w:t>
            </w:r>
          </w:p>
        </w:tc>
        <w:tc>
          <w:tcPr>
            <w:tcW w:w="567"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Tvirtinimas</w:t>
            </w:r>
          </w:p>
        </w:tc>
        <w:tc>
          <w:tcPr>
            <w:tcW w:w="569"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IR / KR</w:t>
            </w:r>
          </w:p>
          <w:p w:rsidR="00E91EA3" w:rsidRPr="004273CC" w:rsidRDefault="00E91EA3" w:rsidP="00065FB5">
            <w:pPr>
              <w:tabs>
                <w:tab w:val="left" w:pos="510"/>
              </w:tabs>
              <w:ind w:left="113" w:right="113"/>
              <w:jc w:val="center"/>
              <w:rPr>
                <w:lang w:val="lt-LT"/>
              </w:rPr>
            </w:pPr>
          </w:p>
        </w:tc>
        <w:tc>
          <w:tcPr>
            <w:tcW w:w="3846" w:type="dxa"/>
            <w:gridSpan w:val="28"/>
          </w:tcPr>
          <w:p w:rsidR="00E91EA3" w:rsidRPr="004273CC" w:rsidRDefault="00E91EA3" w:rsidP="00065FB5">
            <w:pPr>
              <w:tabs>
                <w:tab w:val="left" w:pos="510"/>
              </w:tabs>
              <w:jc w:val="center"/>
              <w:rPr>
                <w:lang w:val="lt-LT"/>
              </w:rPr>
            </w:pPr>
            <w:r>
              <w:rPr>
                <w:b/>
                <w:lang w:val="lt-LT"/>
              </w:rPr>
              <w:t>UAB „Šiluma“</w:t>
            </w:r>
          </w:p>
        </w:tc>
        <w:tc>
          <w:tcPr>
            <w:tcW w:w="4396" w:type="dxa"/>
            <w:gridSpan w:val="20"/>
          </w:tcPr>
          <w:p w:rsidR="00E91EA3" w:rsidRPr="004273CC" w:rsidRDefault="00E91EA3" w:rsidP="00065FB5">
            <w:pPr>
              <w:tabs>
                <w:tab w:val="left" w:pos="510"/>
              </w:tabs>
              <w:jc w:val="center"/>
              <w:rPr>
                <w:lang w:val="lt-LT"/>
              </w:rPr>
            </w:pPr>
            <w:r>
              <w:rPr>
                <w:b/>
                <w:lang w:val="lt-LT"/>
              </w:rPr>
              <w:t>UAB „Žuvila“</w:t>
            </w:r>
          </w:p>
        </w:tc>
      </w:tr>
      <w:tr w:rsidR="00E91EA3" w:rsidRPr="004273CC" w:rsidTr="001C0D02">
        <w:trPr>
          <w:cantSplit/>
        </w:trPr>
        <w:tc>
          <w:tcPr>
            <w:tcW w:w="4480" w:type="dxa"/>
            <w:gridSpan w:val="13"/>
            <w:vMerge/>
          </w:tcPr>
          <w:p w:rsidR="00E91EA3" w:rsidRPr="004273CC" w:rsidRDefault="00E91EA3" w:rsidP="00065FB5">
            <w:pPr>
              <w:tabs>
                <w:tab w:val="left" w:pos="510"/>
              </w:tabs>
              <w:jc w:val="center"/>
              <w:rPr>
                <w:lang w:val="lt-LT"/>
              </w:rPr>
            </w:pPr>
          </w:p>
        </w:tc>
        <w:tc>
          <w:tcPr>
            <w:tcW w:w="567" w:type="dxa"/>
            <w:gridSpan w:val="7"/>
            <w:vMerge/>
            <w:vAlign w:val="center"/>
          </w:tcPr>
          <w:p w:rsidR="00E91EA3" w:rsidRPr="004273CC" w:rsidRDefault="00E91EA3" w:rsidP="00065FB5">
            <w:pPr>
              <w:tabs>
                <w:tab w:val="left" w:pos="510"/>
              </w:tabs>
              <w:jc w:val="center"/>
              <w:rPr>
                <w:lang w:val="lt-LT"/>
              </w:rPr>
            </w:pPr>
          </w:p>
        </w:tc>
        <w:tc>
          <w:tcPr>
            <w:tcW w:w="569" w:type="dxa"/>
            <w:gridSpan w:val="7"/>
            <w:vMerge/>
            <w:vAlign w:val="center"/>
          </w:tcPr>
          <w:p w:rsidR="00E91EA3" w:rsidRPr="004273CC" w:rsidRDefault="00E91EA3" w:rsidP="00065FB5">
            <w:pPr>
              <w:tabs>
                <w:tab w:val="left" w:pos="510"/>
              </w:tabs>
              <w:jc w:val="center"/>
              <w:rPr>
                <w:lang w:val="lt-LT"/>
              </w:rPr>
            </w:pPr>
          </w:p>
        </w:tc>
        <w:tc>
          <w:tcPr>
            <w:tcW w:w="2710" w:type="dxa"/>
            <w:gridSpan w:val="18"/>
            <w:vAlign w:val="center"/>
          </w:tcPr>
          <w:p w:rsidR="00E91EA3" w:rsidRPr="004273CC" w:rsidRDefault="00E91EA3" w:rsidP="00065FB5">
            <w:pPr>
              <w:tabs>
                <w:tab w:val="left" w:pos="510"/>
              </w:tabs>
              <w:jc w:val="center"/>
              <w:rPr>
                <w:lang w:val="lt-LT"/>
              </w:rPr>
            </w:pPr>
            <w:r w:rsidRPr="004273CC">
              <w:rPr>
                <w:b/>
                <w:lang w:val="lt-LT"/>
              </w:rPr>
              <w:t>Rizikos vertinima</w:t>
            </w:r>
            <w:r>
              <w:rPr>
                <w:b/>
                <w:lang w:val="lt-LT"/>
              </w:rPr>
              <w:t>s</w:t>
            </w:r>
          </w:p>
        </w:tc>
        <w:tc>
          <w:tcPr>
            <w:tcW w:w="1136" w:type="dxa"/>
            <w:gridSpan w:val="10"/>
            <w:vMerge w:val="restart"/>
            <w:vAlign w:val="center"/>
          </w:tcPr>
          <w:p w:rsidR="00E91EA3" w:rsidRPr="004273CC" w:rsidRDefault="00E91EA3" w:rsidP="00065FB5">
            <w:pPr>
              <w:tabs>
                <w:tab w:val="left" w:pos="510"/>
              </w:tabs>
              <w:jc w:val="center"/>
              <w:rPr>
                <w:lang w:val="lt-LT"/>
              </w:rPr>
            </w:pPr>
            <w:r w:rsidRPr="004273CC">
              <w:rPr>
                <w:b/>
                <w:lang w:val="lt-LT"/>
              </w:rPr>
              <w:t>Pastabos</w:t>
            </w:r>
          </w:p>
        </w:tc>
        <w:tc>
          <w:tcPr>
            <w:tcW w:w="2824" w:type="dxa"/>
            <w:gridSpan w:val="17"/>
          </w:tcPr>
          <w:p w:rsidR="00E91EA3" w:rsidRPr="004273CC" w:rsidRDefault="00E91EA3" w:rsidP="00065FB5">
            <w:pPr>
              <w:tabs>
                <w:tab w:val="left" w:pos="510"/>
              </w:tabs>
              <w:jc w:val="center"/>
              <w:rPr>
                <w:lang w:val="lt-LT"/>
              </w:rPr>
            </w:pPr>
            <w:r w:rsidRPr="004273CC">
              <w:rPr>
                <w:b/>
                <w:lang w:val="lt-LT"/>
              </w:rPr>
              <w:t>Rizikos vertinimas</w:t>
            </w:r>
          </w:p>
        </w:tc>
        <w:tc>
          <w:tcPr>
            <w:tcW w:w="1572" w:type="dxa"/>
            <w:gridSpan w:val="3"/>
            <w:vAlign w:val="center"/>
          </w:tcPr>
          <w:p w:rsidR="00E91EA3" w:rsidRPr="004273CC" w:rsidRDefault="00E91EA3" w:rsidP="00065FB5">
            <w:pPr>
              <w:tabs>
                <w:tab w:val="left" w:pos="510"/>
              </w:tabs>
              <w:jc w:val="center"/>
              <w:rPr>
                <w:lang w:val="lt-LT"/>
              </w:rPr>
            </w:pPr>
            <w:r w:rsidRPr="004273CC">
              <w:rPr>
                <w:b/>
                <w:lang w:val="lt-LT"/>
              </w:rPr>
              <w:t>Pastabos</w:t>
            </w:r>
          </w:p>
        </w:tc>
      </w:tr>
      <w:tr w:rsidR="00E91EA3" w:rsidRPr="004273CC" w:rsidTr="001C0D02">
        <w:trPr>
          <w:cantSplit/>
          <w:trHeight w:val="540"/>
        </w:trPr>
        <w:tc>
          <w:tcPr>
            <w:tcW w:w="1007" w:type="dxa"/>
            <w:gridSpan w:val="4"/>
          </w:tcPr>
          <w:p w:rsidR="00E91EA3" w:rsidRPr="005618BC" w:rsidRDefault="00E91EA3" w:rsidP="00065FB5">
            <w:pPr>
              <w:tabs>
                <w:tab w:val="left" w:pos="510"/>
              </w:tabs>
              <w:jc w:val="center"/>
              <w:rPr>
                <w:b/>
                <w:lang w:val="lt-LT"/>
              </w:rPr>
            </w:pPr>
            <w:r>
              <w:rPr>
                <w:b/>
                <w:lang w:val="lt-LT"/>
              </w:rPr>
              <w:t>Tipas</w:t>
            </w:r>
          </w:p>
        </w:tc>
        <w:tc>
          <w:tcPr>
            <w:tcW w:w="3473" w:type="dxa"/>
            <w:gridSpan w:val="9"/>
          </w:tcPr>
          <w:p w:rsidR="00E91EA3" w:rsidRPr="004273CC" w:rsidRDefault="00E91EA3" w:rsidP="00065FB5">
            <w:pPr>
              <w:tabs>
                <w:tab w:val="left" w:pos="510"/>
              </w:tabs>
              <w:jc w:val="center"/>
              <w:rPr>
                <w:lang w:val="lt-LT"/>
              </w:rPr>
            </w:pPr>
            <w:r w:rsidRPr="005618BC">
              <w:rPr>
                <w:b/>
                <w:lang w:val="lt-LT"/>
              </w:rPr>
              <w:t>Veiksniai</w:t>
            </w:r>
          </w:p>
        </w:tc>
        <w:tc>
          <w:tcPr>
            <w:tcW w:w="567" w:type="dxa"/>
            <w:gridSpan w:val="7"/>
            <w:vMerge/>
          </w:tcPr>
          <w:p w:rsidR="00E91EA3" w:rsidRPr="004273CC" w:rsidRDefault="00E91EA3" w:rsidP="00065FB5">
            <w:pPr>
              <w:tabs>
                <w:tab w:val="left" w:pos="510"/>
              </w:tabs>
              <w:jc w:val="center"/>
              <w:rPr>
                <w:lang w:val="lt-LT"/>
              </w:rPr>
            </w:pPr>
          </w:p>
        </w:tc>
        <w:tc>
          <w:tcPr>
            <w:tcW w:w="569" w:type="dxa"/>
            <w:gridSpan w:val="7"/>
            <w:vMerge/>
          </w:tcPr>
          <w:p w:rsidR="00E91EA3" w:rsidRPr="004273CC" w:rsidRDefault="00E91EA3" w:rsidP="00065FB5">
            <w:pPr>
              <w:tabs>
                <w:tab w:val="left" w:pos="510"/>
              </w:tabs>
              <w:jc w:val="center"/>
              <w:rPr>
                <w:lang w:val="lt-LT"/>
              </w:rPr>
            </w:pPr>
          </w:p>
        </w:tc>
        <w:tc>
          <w:tcPr>
            <w:tcW w:w="925" w:type="dxa"/>
            <w:gridSpan w:val="4"/>
          </w:tcPr>
          <w:p w:rsidR="00E91EA3" w:rsidRPr="004273CC" w:rsidRDefault="00E91EA3" w:rsidP="00065FB5">
            <w:pPr>
              <w:tabs>
                <w:tab w:val="left" w:pos="510"/>
              </w:tabs>
              <w:jc w:val="center"/>
              <w:rPr>
                <w:lang w:val="lt-LT"/>
              </w:rPr>
            </w:pPr>
            <w:r w:rsidRPr="004273CC">
              <w:rPr>
                <w:lang w:val="lt-LT"/>
              </w:rPr>
              <w:t>Tikimybė (1-5)</w:t>
            </w:r>
          </w:p>
        </w:tc>
        <w:tc>
          <w:tcPr>
            <w:tcW w:w="709" w:type="dxa"/>
            <w:gridSpan w:val="8"/>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076" w:type="dxa"/>
            <w:gridSpan w:val="6"/>
          </w:tcPr>
          <w:p w:rsidR="00E91EA3" w:rsidRPr="004273CC" w:rsidRDefault="00E91EA3" w:rsidP="00065FB5">
            <w:pPr>
              <w:tabs>
                <w:tab w:val="left" w:pos="510"/>
              </w:tabs>
              <w:jc w:val="center"/>
              <w:rPr>
                <w:lang w:val="lt-LT"/>
              </w:rPr>
            </w:pPr>
            <w:r w:rsidRPr="004273CC">
              <w:rPr>
                <w:lang w:val="lt-LT"/>
              </w:rPr>
              <w:t>Tikimybė * Įtaka</w:t>
            </w:r>
          </w:p>
        </w:tc>
        <w:tc>
          <w:tcPr>
            <w:tcW w:w="1136" w:type="dxa"/>
            <w:gridSpan w:val="10"/>
            <w:vMerge/>
          </w:tcPr>
          <w:p w:rsidR="00E91EA3" w:rsidRPr="004273CC" w:rsidRDefault="00E91EA3" w:rsidP="00065FB5">
            <w:pPr>
              <w:tabs>
                <w:tab w:val="left" w:pos="510"/>
              </w:tabs>
              <w:jc w:val="center"/>
              <w:rPr>
                <w:lang w:val="lt-LT"/>
              </w:rPr>
            </w:pPr>
          </w:p>
        </w:tc>
        <w:tc>
          <w:tcPr>
            <w:tcW w:w="930" w:type="dxa"/>
            <w:gridSpan w:val="2"/>
          </w:tcPr>
          <w:p w:rsidR="00E91EA3" w:rsidRPr="004273CC" w:rsidRDefault="00E91EA3" w:rsidP="00065FB5">
            <w:pPr>
              <w:tabs>
                <w:tab w:val="left" w:pos="510"/>
              </w:tabs>
              <w:jc w:val="center"/>
              <w:rPr>
                <w:lang w:val="lt-LT"/>
              </w:rPr>
            </w:pPr>
            <w:r w:rsidRPr="004273CC">
              <w:rPr>
                <w:lang w:val="lt-LT"/>
              </w:rPr>
              <w:t>Tikimybė (1-5)</w:t>
            </w:r>
          </w:p>
        </w:tc>
        <w:tc>
          <w:tcPr>
            <w:tcW w:w="708" w:type="dxa"/>
            <w:gridSpan w:val="7"/>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86" w:type="dxa"/>
            <w:gridSpan w:val="8"/>
          </w:tcPr>
          <w:p w:rsidR="00E91EA3" w:rsidRPr="004273CC" w:rsidRDefault="00E91EA3" w:rsidP="00065FB5">
            <w:pPr>
              <w:tabs>
                <w:tab w:val="left" w:pos="510"/>
              </w:tabs>
              <w:jc w:val="center"/>
              <w:rPr>
                <w:lang w:val="lt-LT"/>
              </w:rPr>
            </w:pPr>
            <w:r w:rsidRPr="004273CC">
              <w:rPr>
                <w:lang w:val="lt-LT"/>
              </w:rPr>
              <w:t>Tikimybė * Įtaka</w:t>
            </w:r>
          </w:p>
        </w:tc>
        <w:tc>
          <w:tcPr>
            <w:tcW w:w="1572" w:type="dxa"/>
            <w:gridSpan w:val="3"/>
            <w:vAlign w:val="center"/>
          </w:tcPr>
          <w:p w:rsidR="00E91EA3" w:rsidRPr="004273CC" w:rsidRDefault="00E91EA3" w:rsidP="00065FB5">
            <w:pPr>
              <w:tabs>
                <w:tab w:val="left" w:pos="510"/>
              </w:tabs>
              <w:jc w:val="center"/>
              <w:rPr>
                <w:lang w:val="lt-LT"/>
              </w:rPr>
            </w:pPr>
          </w:p>
        </w:tc>
      </w:tr>
      <w:tr w:rsidR="00E91EA3" w:rsidRPr="004273CC" w:rsidTr="001C0D02">
        <w:trPr>
          <w:cantSplit/>
        </w:trPr>
        <w:tc>
          <w:tcPr>
            <w:tcW w:w="1007" w:type="dxa"/>
            <w:gridSpan w:val="4"/>
            <w:vMerge w:val="restart"/>
            <w:textDirection w:val="btLr"/>
          </w:tcPr>
          <w:p w:rsidR="00E91EA3" w:rsidRPr="00827A72" w:rsidRDefault="00E91EA3" w:rsidP="00065FB5">
            <w:pPr>
              <w:tabs>
                <w:tab w:val="left" w:pos="510"/>
              </w:tabs>
              <w:ind w:left="113" w:right="113"/>
              <w:jc w:val="center"/>
              <w:rPr>
                <w:lang w:val="lt-LT"/>
              </w:rPr>
            </w:pPr>
            <w:r w:rsidRPr="002E216D">
              <w:rPr>
                <w:b/>
                <w:lang w:val="lt-LT"/>
              </w:rPr>
              <w:t>Per vienerius metus mokėtinos sumos ir</w:t>
            </w:r>
            <w:r>
              <w:rPr>
                <w:b/>
                <w:lang w:val="lt-LT"/>
              </w:rPr>
              <w:t xml:space="preserve"> </w:t>
            </w:r>
            <w:r w:rsidRPr="002E216D">
              <w:rPr>
                <w:b/>
                <w:lang w:val="lt-LT"/>
              </w:rPr>
              <w:t>trumpalaikiai įsipareigojimai</w:t>
            </w:r>
          </w:p>
          <w:p w:rsidR="00E91EA3" w:rsidRPr="004273CC" w:rsidRDefault="00E91EA3" w:rsidP="00065FB5">
            <w:pPr>
              <w:tabs>
                <w:tab w:val="left" w:pos="510"/>
              </w:tabs>
              <w:ind w:left="113" w:right="113"/>
              <w:jc w:val="center"/>
              <w:rPr>
                <w:lang w:val="lt-LT"/>
              </w:rPr>
            </w:pPr>
          </w:p>
        </w:tc>
        <w:tc>
          <w:tcPr>
            <w:tcW w:w="3473" w:type="dxa"/>
            <w:gridSpan w:val="9"/>
          </w:tcPr>
          <w:p w:rsidR="00E91EA3" w:rsidRPr="004273CC" w:rsidRDefault="00E91EA3" w:rsidP="00065FB5">
            <w:pPr>
              <w:tabs>
                <w:tab w:val="left" w:pos="510"/>
              </w:tabs>
              <w:jc w:val="both"/>
              <w:rPr>
                <w:lang w:val="lt-LT"/>
              </w:rPr>
            </w:pPr>
            <w:r>
              <w:rPr>
                <w:lang w:val="lt-LT"/>
              </w:rPr>
              <w:t xml:space="preserve">Nėra paskirtų asmenų, vykdančių įmonės pirkimo užsakymus </w:t>
            </w:r>
          </w:p>
        </w:tc>
        <w:tc>
          <w:tcPr>
            <w:tcW w:w="567" w:type="dxa"/>
            <w:gridSpan w:val="7"/>
          </w:tcPr>
          <w:p w:rsidR="00E91EA3" w:rsidRPr="004273CC" w:rsidRDefault="00E91EA3" w:rsidP="00065FB5">
            <w:pPr>
              <w:tabs>
                <w:tab w:val="left" w:pos="510"/>
              </w:tabs>
              <w:jc w:val="both"/>
              <w:rPr>
                <w:lang w:val="lt-LT"/>
              </w:rPr>
            </w:pPr>
            <w:r>
              <w:rPr>
                <w:lang w:val="lt-LT"/>
              </w:rPr>
              <w:t>B</w:t>
            </w:r>
          </w:p>
        </w:tc>
        <w:tc>
          <w:tcPr>
            <w:tcW w:w="569" w:type="dxa"/>
            <w:gridSpan w:val="7"/>
          </w:tcPr>
          <w:p w:rsidR="00E91EA3" w:rsidRPr="004273CC" w:rsidRDefault="00E91EA3" w:rsidP="00065FB5">
            <w:pPr>
              <w:tabs>
                <w:tab w:val="left" w:pos="510"/>
              </w:tabs>
              <w:jc w:val="both"/>
              <w:rPr>
                <w:lang w:val="lt-LT"/>
              </w:rPr>
            </w:pPr>
          </w:p>
        </w:tc>
        <w:tc>
          <w:tcPr>
            <w:tcW w:w="925" w:type="dxa"/>
            <w:gridSpan w:val="4"/>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76" w:type="dxa"/>
            <w:gridSpan w:val="6"/>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p>
        </w:tc>
        <w:tc>
          <w:tcPr>
            <w:tcW w:w="930" w:type="dxa"/>
            <w:gridSpan w:val="2"/>
          </w:tcPr>
          <w:p w:rsidR="00E91EA3" w:rsidRPr="004273CC" w:rsidRDefault="00E91EA3" w:rsidP="00065FB5">
            <w:pPr>
              <w:tabs>
                <w:tab w:val="left" w:pos="510"/>
              </w:tabs>
              <w:jc w:val="both"/>
              <w:rPr>
                <w:lang w:val="lt-LT"/>
              </w:rPr>
            </w:pPr>
          </w:p>
        </w:tc>
        <w:tc>
          <w:tcPr>
            <w:tcW w:w="708" w:type="dxa"/>
            <w:gridSpan w:val="7"/>
          </w:tcPr>
          <w:p w:rsidR="00E91EA3" w:rsidRPr="004273CC" w:rsidRDefault="00E91EA3" w:rsidP="00065FB5">
            <w:pPr>
              <w:tabs>
                <w:tab w:val="left" w:pos="510"/>
              </w:tabs>
              <w:jc w:val="both"/>
              <w:rPr>
                <w:lang w:val="lt-LT"/>
              </w:rPr>
            </w:pPr>
          </w:p>
        </w:tc>
        <w:tc>
          <w:tcPr>
            <w:tcW w:w="1186" w:type="dxa"/>
            <w:gridSpan w:val="8"/>
          </w:tcPr>
          <w:p w:rsidR="00E91EA3" w:rsidRPr="004273CC" w:rsidRDefault="00E91EA3" w:rsidP="00065FB5">
            <w:pPr>
              <w:tabs>
                <w:tab w:val="left" w:pos="510"/>
              </w:tabs>
              <w:jc w:val="both"/>
              <w:rPr>
                <w:lang w:val="lt-LT"/>
              </w:rPr>
            </w:pPr>
          </w:p>
        </w:tc>
        <w:tc>
          <w:tcPr>
            <w:tcW w:w="1572" w:type="dxa"/>
            <w:gridSpan w:val="3"/>
          </w:tcPr>
          <w:p w:rsidR="00E91EA3" w:rsidRPr="004273CC" w:rsidRDefault="00E91EA3" w:rsidP="00065FB5">
            <w:pPr>
              <w:tabs>
                <w:tab w:val="left" w:pos="510"/>
              </w:tabs>
              <w:jc w:val="both"/>
              <w:rPr>
                <w:lang w:val="lt-LT"/>
              </w:rPr>
            </w:pP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473" w:type="dxa"/>
            <w:gridSpan w:val="9"/>
          </w:tcPr>
          <w:p w:rsidR="00E91EA3" w:rsidRPr="004273CC" w:rsidRDefault="00E91EA3" w:rsidP="00065FB5">
            <w:pPr>
              <w:tabs>
                <w:tab w:val="left" w:pos="510"/>
              </w:tabs>
              <w:jc w:val="both"/>
              <w:rPr>
                <w:lang w:val="lt-LT"/>
              </w:rPr>
            </w:pPr>
            <w:r>
              <w:rPr>
                <w:lang w:val="lt-LT"/>
              </w:rPr>
              <w:t xml:space="preserve">Įmonė gali neparodyti visų skolų tiekėjams, nes pirkimai vykdomi užsienyje (vėluoja dokumentai, prekės) </w:t>
            </w:r>
          </w:p>
        </w:tc>
        <w:tc>
          <w:tcPr>
            <w:tcW w:w="567" w:type="dxa"/>
            <w:gridSpan w:val="7"/>
          </w:tcPr>
          <w:p w:rsidR="00E91EA3" w:rsidRPr="004273CC" w:rsidRDefault="00E91EA3" w:rsidP="00065FB5">
            <w:pPr>
              <w:tabs>
                <w:tab w:val="left" w:pos="510"/>
              </w:tabs>
              <w:jc w:val="both"/>
              <w:rPr>
                <w:lang w:val="lt-LT"/>
              </w:rPr>
            </w:pPr>
            <w:r>
              <w:rPr>
                <w:lang w:val="lt-LT"/>
              </w:rPr>
              <w:t>I</w:t>
            </w:r>
          </w:p>
        </w:tc>
        <w:tc>
          <w:tcPr>
            <w:tcW w:w="569" w:type="dxa"/>
            <w:gridSpan w:val="7"/>
          </w:tcPr>
          <w:p w:rsidR="00E91EA3" w:rsidRPr="004273CC" w:rsidRDefault="00E91EA3" w:rsidP="00065FB5">
            <w:pPr>
              <w:tabs>
                <w:tab w:val="left" w:pos="510"/>
              </w:tabs>
              <w:jc w:val="both"/>
              <w:rPr>
                <w:lang w:val="lt-LT"/>
              </w:rPr>
            </w:pPr>
            <w:r>
              <w:rPr>
                <w:lang w:val="lt-LT"/>
              </w:rPr>
              <w:t>IR</w:t>
            </w:r>
          </w:p>
        </w:tc>
        <w:tc>
          <w:tcPr>
            <w:tcW w:w="925" w:type="dxa"/>
            <w:gridSpan w:val="4"/>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76" w:type="dxa"/>
            <w:gridSpan w:val="6"/>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p>
        </w:tc>
        <w:tc>
          <w:tcPr>
            <w:tcW w:w="930" w:type="dxa"/>
            <w:gridSpan w:val="2"/>
          </w:tcPr>
          <w:p w:rsidR="00E91EA3" w:rsidRPr="00A909D9" w:rsidRDefault="00E91EA3" w:rsidP="00065FB5">
            <w:pPr>
              <w:tabs>
                <w:tab w:val="left" w:pos="510"/>
              </w:tabs>
              <w:jc w:val="center"/>
              <w:rPr>
                <w:b/>
                <w:lang w:val="lt-LT"/>
              </w:rPr>
            </w:pPr>
            <w:r>
              <w:rPr>
                <w:b/>
                <w:lang w:val="lt-LT"/>
              </w:rPr>
              <w:t>3</w:t>
            </w:r>
          </w:p>
        </w:tc>
        <w:tc>
          <w:tcPr>
            <w:tcW w:w="708" w:type="dxa"/>
            <w:gridSpan w:val="7"/>
          </w:tcPr>
          <w:p w:rsidR="00E91EA3" w:rsidRPr="00A909D9" w:rsidRDefault="00E91EA3" w:rsidP="00065FB5">
            <w:pPr>
              <w:tabs>
                <w:tab w:val="left" w:pos="510"/>
              </w:tabs>
              <w:jc w:val="center"/>
              <w:rPr>
                <w:b/>
                <w:lang w:val="lt-LT"/>
              </w:rPr>
            </w:pPr>
            <w:r w:rsidRPr="00A909D9">
              <w:rPr>
                <w:b/>
                <w:lang w:val="lt-LT"/>
              </w:rPr>
              <w:t>3</w:t>
            </w:r>
          </w:p>
        </w:tc>
        <w:tc>
          <w:tcPr>
            <w:tcW w:w="1186" w:type="dxa"/>
            <w:gridSpan w:val="8"/>
          </w:tcPr>
          <w:p w:rsidR="00E91EA3" w:rsidRPr="00A909D9" w:rsidRDefault="00E91EA3" w:rsidP="00065FB5">
            <w:pPr>
              <w:tabs>
                <w:tab w:val="left" w:pos="510"/>
              </w:tabs>
              <w:jc w:val="center"/>
              <w:rPr>
                <w:b/>
                <w:lang w:val="lt-LT"/>
              </w:rPr>
            </w:pPr>
            <w:r>
              <w:rPr>
                <w:b/>
                <w:lang w:val="lt-LT"/>
              </w:rPr>
              <w:t>9</w:t>
            </w:r>
          </w:p>
        </w:tc>
        <w:tc>
          <w:tcPr>
            <w:tcW w:w="1572" w:type="dxa"/>
            <w:gridSpan w:val="3"/>
          </w:tcPr>
          <w:p w:rsidR="00E91EA3" w:rsidRPr="004273CC" w:rsidRDefault="00E91EA3" w:rsidP="00065FB5">
            <w:pPr>
              <w:tabs>
                <w:tab w:val="left" w:pos="510"/>
              </w:tabs>
              <w:jc w:val="both"/>
              <w:rPr>
                <w:lang w:val="lt-LT"/>
              </w:rPr>
            </w:pPr>
            <w:r>
              <w:rPr>
                <w:lang w:val="lt-LT"/>
              </w:rPr>
              <w:t>Tiekėjai</w:t>
            </w: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473" w:type="dxa"/>
            <w:gridSpan w:val="9"/>
          </w:tcPr>
          <w:p w:rsidR="00E91EA3" w:rsidRDefault="00E91EA3" w:rsidP="00065FB5">
            <w:pPr>
              <w:tabs>
                <w:tab w:val="left" w:pos="510"/>
              </w:tabs>
              <w:jc w:val="both"/>
              <w:rPr>
                <w:lang w:val="lt-LT"/>
              </w:rPr>
            </w:pPr>
            <w:r>
              <w:rPr>
                <w:lang w:val="lt-LT"/>
              </w:rPr>
              <w:t>Užsakymų informacija nėra palyginama su pirkimų apskaitos duomenimis</w:t>
            </w:r>
          </w:p>
          <w:p w:rsidR="007C42AB" w:rsidRPr="004273CC" w:rsidRDefault="007C42AB" w:rsidP="00065FB5">
            <w:pPr>
              <w:tabs>
                <w:tab w:val="left" w:pos="510"/>
              </w:tabs>
              <w:jc w:val="both"/>
              <w:rPr>
                <w:lang w:val="lt-LT"/>
              </w:rPr>
            </w:pPr>
          </w:p>
        </w:tc>
        <w:tc>
          <w:tcPr>
            <w:tcW w:w="567" w:type="dxa"/>
            <w:gridSpan w:val="7"/>
          </w:tcPr>
          <w:p w:rsidR="00E91EA3" w:rsidRPr="004273CC" w:rsidRDefault="00E91EA3" w:rsidP="00065FB5">
            <w:pPr>
              <w:tabs>
                <w:tab w:val="left" w:pos="510"/>
              </w:tabs>
              <w:jc w:val="both"/>
              <w:rPr>
                <w:lang w:val="lt-LT"/>
              </w:rPr>
            </w:pPr>
            <w:r>
              <w:rPr>
                <w:lang w:val="lt-LT"/>
              </w:rPr>
              <w:t>I</w:t>
            </w:r>
          </w:p>
        </w:tc>
        <w:tc>
          <w:tcPr>
            <w:tcW w:w="569" w:type="dxa"/>
            <w:gridSpan w:val="7"/>
          </w:tcPr>
          <w:p w:rsidR="00E91EA3" w:rsidRPr="004273CC" w:rsidRDefault="00E91EA3" w:rsidP="00065FB5">
            <w:pPr>
              <w:tabs>
                <w:tab w:val="left" w:pos="510"/>
              </w:tabs>
              <w:jc w:val="both"/>
              <w:rPr>
                <w:lang w:val="lt-LT"/>
              </w:rPr>
            </w:pPr>
            <w:r>
              <w:rPr>
                <w:lang w:val="lt-LT"/>
              </w:rPr>
              <w:t>KR</w:t>
            </w:r>
          </w:p>
        </w:tc>
        <w:tc>
          <w:tcPr>
            <w:tcW w:w="925" w:type="dxa"/>
            <w:gridSpan w:val="4"/>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76" w:type="dxa"/>
            <w:gridSpan w:val="6"/>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r>
              <w:rPr>
                <w:lang w:val="lt-LT"/>
              </w:rPr>
              <w:t>Yra</w:t>
            </w:r>
          </w:p>
        </w:tc>
        <w:tc>
          <w:tcPr>
            <w:tcW w:w="930" w:type="dxa"/>
            <w:gridSpan w:val="2"/>
          </w:tcPr>
          <w:p w:rsidR="00E91EA3" w:rsidRPr="00A909D9" w:rsidRDefault="00E91EA3" w:rsidP="00065FB5">
            <w:pPr>
              <w:tabs>
                <w:tab w:val="left" w:pos="510"/>
              </w:tabs>
              <w:jc w:val="center"/>
              <w:rPr>
                <w:b/>
                <w:lang w:val="lt-LT"/>
              </w:rPr>
            </w:pPr>
          </w:p>
        </w:tc>
        <w:tc>
          <w:tcPr>
            <w:tcW w:w="708" w:type="dxa"/>
            <w:gridSpan w:val="7"/>
          </w:tcPr>
          <w:p w:rsidR="00E91EA3" w:rsidRPr="00A909D9" w:rsidRDefault="00E91EA3" w:rsidP="00065FB5">
            <w:pPr>
              <w:tabs>
                <w:tab w:val="left" w:pos="510"/>
              </w:tabs>
              <w:jc w:val="center"/>
              <w:rPr>
                <w:b/>
                <w:lang w:val="lt-LT"/>
              </w:rPr>
            </w:pPr>
          </w:p>
        </w:tc>
        <w:tc>
          <w:tcPr>
            <w:tcW w:w="1186" w:type="dxa"/>
            <w:gridSpan w:val="8"/>
          </w:tcPr>
          <w:p w:rsidR="00E91EA3" w:rsidRPr="00A909D9" w:rsidRDefault="00E91EA3" w:rsidP="00065FB5">
            <w:pPr>
              <w:tabs>
                <w:tab w:val="left" w:pos="510"/>
              </w:tabs>
              <w:jc w:val="center"/>
              <w:rPr>
                <w:b/>
                <w:lang w:val="lt-LT"/>
              </w:rPr>
            </w:pPr>
          </w:p>
        </w:tc>
        <w:tc>
          <w:tcPr>
            <w:tcW w:w="1572" w:type="dxa"/>
            <w:gridSpan w:val="3"/>
          </w:tcPr>
          <w:p w:rsidR="00E91EA3" w:rsidRPr="004273CC" w:rsidRDefault="00E91EA3" w:rsidP="00065FB5">
            <w:pPr>
              <w:tabs>
                <w:tab w:val="left" w:pos="510"/>
              </w:tabs>
              <w:jc w:val="both"/>
              <w:rPr>
                <w:lang w:val="lt-LT"/>
              </w:rPr>
            </w:pPr>
            <w:r>
              <w:rPr>
                <w:lang w:val="lt-LT"/>
              </w:rPr>
              <w:t>Yra</w:t>
            </w: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473" w:type="dxa"/>
            <w:gridSpan w:val="9"/>
          </w:tcPr>
          <w:p w:rsidR="00E91EA3" w:rsidRDefault="00E91EA3" w:rsidP="00065FB5">
            <w:pPr>
              <w:tabs>
                <w:tab w:val="left" w:pos="510"/>
              </w:tabs>
              <w:jc w:val="both"/>
              <w:rPr>
                <w:lang w:val="lt-LT"/>
              </w:rPr>
            </w:pPr>
            <w:r>
              <w:rPr>
                <w:lang w:val="lt-LT"/>
              </w:rPr>
              <w:t>Pirkimų sąskaitos-faktūros nėra tvirtinamos vadovybės ar patikrinamos</w:t>
            </w:r>
          </w:p>
          <w:p w:rsidR="007C42AB" w:rsidRPr="004273CC" w:rsidRDefault="007C42AB" w:rsidP="00065FB5">
            <w:pPr>
              <w:tabs>
                <w:tab w:val="left" w:pos="510"/>
              </w:tabs>
              <w:jc w:val="both"/>
              <w:rPr>
                <w:lang w:val="lt-LT"/>
              </w:rPr>
            </w:pPr>
          </w:p>
        </w:tc>
        <w:tc>
          <w:tcPr>
            <w:tcW w:w="567" w:type="dxa"/>
            <w:gridSpan w:val="7"/>
          </w:tcPr>
          <w:p w:rsidR="00E91EA3" w:rsidRPr="004273CC" w:rsidRDefault="00E91EA3" w:rsidP="00065FB5">
            <w:pPr>
              <w:tabs>
                <w:tab w:val="left" w:pos="510"/>
              </w:tabs>
              <w:jc w:val="both"/>
              <w:rPr>
                <w:lang w:val="lt-LT"/>
              </w:rPr>
            </w:pPr>
            <w:r>
              <w:rPr>
                <w:lang w:val="lt-LT"/>
              </w:rPr>
              <w:t>I, V</w:t>
            </w:r>
          </w:p>
        </w:tc>
        <w:tc>
          <w:tcPr>
            <w:tcW w:w="569" w:type="dxa"/>
            <w:gridSpan w:val="7"/>
          </w:tcPr>
          <w:p w:rsidR="00E91EA3" w:rsidRPr="004273CC" w:rsidRDefault="00E91EA3" w:rsidP="00065FB5">
            <w:pPr>
              <w:tabs>
                <w:tab w:val="left" w:pos="510"/>
              </w:tabs>
              <w:jc w:val="both"/>
              <w:rPr>
                <w:lang w:val="lt-LT"/>
              </w:rPr>
            </w:pPr>
            <w:r>
              <w:rPr>
                <w:lang w:val="lt-LT"/>
              </w:rPr>
              <w:t>KR</w:t>
            </w:r>
          </w:p>
        </w:tc>
        <w:tc>
          <w:tcPr>
            <w:tcW w:w="925" w:type="dxa"/>
            <w:gridSpan w:val="4"/>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76" w:type="dxa"/>
            <w:gridSpan w:val="6"/>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r>
              <w:rPr>
                <w:lang w:val="lt-LT"/>
              </w:rPr>
              <w:t>Yra</w:t>
            </w:r>
          </w:p>
        </w:tc>
        <w:tc>
          <w:tcPr>
            <w:tcW w:w="930" w:type="dxa"/>
            <w:gridSpan w:val="2"/>
          </w:tcPr>
          <w:p w:rsidR="00E91EA3" w:rsidRPr="00A909D9" w:rsidRDefault="00E91EA3" w:rsidP="00065FB5">
            <w:pPr>
              <w:tabs>
                <w:tab w:val="left" w:pos="510"/>
              </w:tabs>
              <w:jc w:val="center"/>
              <w:rPr>
                <w:b/>
                <w:lang w:val="lt-LT"/>
              </w:rPr>
            </w:pPr>
          </w:p>
        </w:tc>
        <w:tc>
          <w:tcPr>
            <w:tcW w:w="708" w:type="dxa"/>
            <w:gridSpan w:val="7"/>
          </w:tcPr>
          <w:p w:rsidR="00E91EA3" w:rsidRPr="00A909D9" w:rsidRDefault="00E91EA3" w:rsidP="00065FB5">
            <w:pPr>
              <w:tabs>
                <w:tab w:val="left" w:pos="510"/>
              </w:tabs>
              <w:jc w:val="center"/>
              <w:rPr>
                <w:b/>
                <w:lang w:val="lt-LT"/>
              </w:rPr>
            </w:pPr>
          </w:p>
        </w:tc>
        <w:tc>
          <w:tcPr>
            <w:tcW w:w="1186" w:type="dxa"/>
            <w:gridSpan w:val="8"/>
          </w:tcPr>
          <w:p w:rsidR="00E91EA3" w:rsidRPr="00A909D9" w:rsidRDefault="00E91EA3" w:rsidP="00065FB5">
            <w:pPr>
              <w:tabs>
                <w:tab w:val="left" w:pos="510"/>
              </w:tabs>
              <w:jc w:val="center"/>
              <w:rPr>
                <w:b/>
                <w:lang w:val="lt-LT"/>
              </w:rPr>
            </w:pPr>
          </w:p>
        </w:tc>
        <w:tc>
          <w:tcPr>
            <w:tcW w:w="1572" w:type="dxa"/>
            <w:gridSpan w:val="3"/>
          </w:tcPr>
          <w:p w:rsidR="00E91EA3" w:rsidRPr="004273CC" w:rsidRDefault="00E91EA3" w:rsidP="00065FB5">
            <w:pPr>
              <w:tabs>
                <w:tab w:val="left" w:pos="510"/>
              </w:tabs>
              <w:jc w:val="both"/>
              <w:rPr>
                <w:lang w:val="lt-LT"/>
              </w:rPr>
            </w:pPr>
            <w:r>
              <w:rPr>
                <w:lang w:val="lt-LT"/>
              </w:rPr>
              <w:t>Yra</w:t>
            </w: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473" w:type="dxa"/>
            <w:gridSpan w:val="9"/>
          </w:tcPr>
          <w:p w:rsidR="00E91EA3" w:rsidRDefault="00E91EA3" w:rsidP="00065FB5">
            <w:pPr>
              <w:tabs>
                <w:tab w:val="left" w:pos="510"/>
              </w:tabs>
              <w:jc w:val="both"/>
              <w:rPr>
                <w:lang w:val="lt-LT"/>
              </w:rPr>
            </w:pPr>
            <w:r>
              <w:rPr>
                <w:lang w:val="lt-LT"/>
              </w:rPr>
              <w:t>Ne visi pirkimai yra pagrindžiami dokumentais</w:t>
            </w:r>
          </w:p>
          <w:p w:rsidR="007C42AB" w:rsidRPr="004273CC" w:rsidRDefault="007C42AB" w:rsidP="00065FB5">
            <w:pPr>
              <w:tabs>
                <w:tab w:val="left" w:pos="510"/>
              </w:tabs>
              <w:jc w:val="both"/>
              <w:rPr>
                <w:lang w:val="lt-LT"/>
              </w:rPr>
            </w:pPr>
          </w:p>
        </w:tc>
        <w:tc>
          <w:tcPr>
            <w:tcW w:w="567" w:type="dxa"/>
            <w:gridSpan w:val="7"/>
          </w:tcPr>
          <w:p w:rsidR="00E91EA3" w:rsidRPr="004273CC" w:rsidRDefault="00E91EA3" w:rsidP="00065FB5">
            <w:pPr>
              <w:tabs>
                <w:tab w:val="left" w:pos="510"/>
              </w:tabs>
              <w:jc w:val="both"/>
              <w:rPr>
                <w:lang w:val="lt-LT"/>
              </w:rPr>
            </w:pPr>
            <w:r>
              <w:rPr>
                <w:lang w:val="lt-LT"/>
              </w:rPr>
              <w:t>I</w:t>
            </w:r>
          </w:p>
        </w:tc>
        <w:tc>
          <w:tcPr>
            <w:tcW w:w="569" w:type="dxa"/>
            <w:gridSpan w:val="7"/>
          </w:tcPr>
          <w:p w:rsidR="00E91EA3" w:rsidRPr="004273CC" w:rsidRDefault="00E91EA3" w:rsidP="00065FB5">
            <w:pPr>
              <w:tabs>
                <w:tab w:val="left" w:pos="510"/>
              </w:tabs>
              <w:jc w:val="both"/>
              <w:rPr>
                <w:lang w:val="lt-LT"/>
              </w:rPr>
            </w:pPr>
            <w:r>
              <w:rPr>
                <w:lang w:val="lt-LT"/>
              </w:rPr>
              <w:t>KR</w:t>
            </w:r>
          </w:p>
        </w:tc>
        <w:tc>
          <w:tcPr>
            <w:tcW w:w="925" w:type="dxa"/>
            <w:gridSpan w:val="4"/>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76" w:type="dxa"/>
            <w:gridSpan w:val="6"/>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r>
              <w:rPr>
                <w:lang w:val="lt-LT"/>
              </w:rPr>
              <w:t>Ne</w:t>
            </w:r>
          </w:p>
        </w:tc>
        <w:tc>
          <w:tcPr>
            <w:tcW w:w="930" w:type="dxa"/>
            <w:gridSpan w:val="2"/>
          </w:tcPr>
          <w:p w:rsidR="00E91EA3" w:rsidRPr="00A909D9" w:rsidRDefault="00E91EA3" w:rsidP="00065FB5">
            <w:pPr>
              <w:tabs>
                <w:tab w:val="left" w:pos="510"/>
              </w:tabs>
              <w:jc w:val="center"/>
              <w:rPr>
                <w:b/>
                <w:lang w:val="lt-LT"/>
              </w:rPr>
            </w:pPr>
          </w:p>
        </w:tc>
        <w:tc>
          <w:tcPr>
            <w:tcW w:w="708" w:type="dxa"/>
            <w:gridSpan w:val="7"/>
          </w:tcPr>
          <w:p w:rsidR="00E91EA3" w:rsidRPr="00A909D9" w:rsidRDefault="00E91EA3" w:rsidP="00065FB5">
            <w:pPr>
              <w:tabs>
                <w:tab w:val="left" w:pos="510"/>
              </w:tabs>
              <w:jc w:val="center"/>
              <w:rPr>
                <w:b/>
                <w:lang w:val="lt-LT"/>
              </w:rPr>
            </w:pPr>
          </w:p>
        </w:tc>
        <w:tc>
          <w:tcPr>
            <w:tcW w:w="1186" w:type="dxa"/>
            <w:gridSpan w:val="8"/>
          </w:tcPr>
          <w:p w:rsidR="00E91EA3" w:rsidRPr="00A909D9" w:rsidRDefault="00E91EA3" w:rsidP="00065FB5">
            <w:pPr>
              <w:tabs>
                <w:tab w:val="left" w:pos="510"/>
              </w:tabs>
              <w:jc w:val="center"/>
              <w:rPr>
                <w:b/>
                <w:lang w:val="lt-LT"/>
              </w:rPr>
            </w:pPr>
          </w:p>
        </w:tc>
        <w:tc>
          <w:tcPr>
            <w:tcW w:w="1572" w:type="dxa"/>
            <w:gridSpan w:val="3"/>
          </w:tcPr>
          <w:p w:rsidR="00E91EA3" w:rsidRPr="004273CC" w:rsidRDefault="00E91EA3" w:rsidP="00065FB5">
            <w:pPr>
              <w:tabs>
                <w:tab w:val="left" w:pos="510"/>
              </w:tabs>
              <w:jc w:val="both"/>
              <w:rPr>
                <w:lang w:val="lt-LT"/>
              </w:rPr>
            </w:pPr>
            <w:r>
              <w:rPr>
                <w:lang w:val="lt-LT"/>
              </w:rPr>
              <w:t>Ne</w:t>
            </w:r>
          </w:p>
        </w:tc>
      </w:tr>
      <w:tr w:rsidR="00E91EA3" w:rsidRPr="004273CC" w:rsidTr="001C0D02">
        <w:trPr>
          <w:cantSplit/>
        </w:trPr>
        <w:tc>
          <w:tcPr>
            <w:tcW w:w="1007" w:type="dxa"/>
            <w:gridSpan w:val="4"/>
            <w:vMerge/>
            <w:textDirection w:val="btLr"/>
          </w:tcPr>
          <w:p w:rsidR="00E91EA3" w:rsidRPr="002E216D" w:rsidRDefault="00E91EA3" w:rsidP="00065FB5">
            <w:pPr>
              <w:tabs>
                <w:tab w:val="left" w:pos="510"/>
              </w:tabs>
              <w:ind w:left="113" w:right="113"/>
              <w:jc w:val="center"/>
              <w:rPr>
                <w:b/>
                <w:lang w:val="lt-LT"/>
              </w:rPr>
            </w:pPr>
          </w:p>
        </w:tc>
        <w:tc>
          <w:tcPr>
            <w:tcW w:w="3473" w:type="dxa"/>
            <w:gridSpan w:val="9"/>
          </w:tcPr>
          <w:p w:rsidR="00E91EA3" w:rsidRPr="004273CC" w:rsidRDefault="00E91EA3" w:rsidP="00065FB5">
            <w:pPr>
              <w:tabs>
                <w:tab w:val="left" w:pos="510"/>
              </w:tabs>
              <w:jc w:val="both"/>
              <w:rPr>
                <w:lang w:val="lt-LT"/>
              </w:rPr>
            </w:pPr>
            <w:r>
              <w:rPr>
                <w:lang w:val="lt-LT"/>
              </w:rPr>
              <w:t>Nėra nustatyta kokiu periodiškumu pirkimo dokumentai turi būti pristatyti į buhalteriją</w:t>
            </w:r>
          </w:p>
        </w:tc>
        <w:tc>
          <w:tcPr>
            <w:tcW w:w="567" w:type="dxa"/>
            <w:gridSpan w:val="7"/>
          </w:tcPr>
          <w:p w:rsidR="00E91EA3" w:rsidRPr="004273CC" w:rsidRDefault="00E91EA3" w:rsidP="00065FB5">
            <w:pPr>
              <w:tabs>
                <w:tab w:val="left" w:pos="510"/>
              </w:tabs>
              <w:jc w:val="both"/>
              <w:rPr>
                <w:lang w:val="lt-LT"/>
              </w:rPr>
            </w:pPr>
            <w:r>
              <w:rPr>
                <w:lang w:val="lt-LT"/>
              </w:rPr>
              <w:t>I</w:t>
            </w:r>
          </w:p>
        </w:tc>
        <w:tc>
          <w:tcPr>
            <w:tcW w:w="569" w:type="dxa"/>
            <w:gridSpan w:val="7"/>
          </w:tcPr>
          <w:p w:rsidR="00E91EA3" w:rsidRPr="004273CC" w:rsidRDefault="00E91EA3" w:rsidP="00065FB5">
            <w:pPr>
              <w:tabs>
                <w:tab w:val="left" w:pos="510"/>
              </w:tabs>
              <w:jc w:val="both"/>
              <w:rPr>
                <w:lang w:val="lt-LT"/>
              </w:rPr>
            </w:pPr>
            <w:r>
              <w:rPr>
                <w:lang w:val="lt-LT"/>
              </w:rPr>
              <w:t>KR</w:t>
            </w:r>
          </w:p>
        </w:tc>
        <w:tc>
          <w:tcPr>
            <w:tcW w:w="925" w:type="dxa"/>
            <w:gridSpan w:val="4"/>
          </w:tcPr>
          <w:p w:rsidR="00E91EA3" w:rsidRPr="004273CC" w:rsidRDefault="00E91EA3" w:rsidP="00065FB5">
            <w:pPr>
              <w:tabs>
                <w:tab w:val="left" w:pos="510"/>
              </w:tabs>
              <w:jc w:val="both"/>
              <w:rPr>
                <w:lang w:val="lt-LT"/>
              </w:rPr>
            </w:pPr>
          </w:p>
        </w:tc>
        <w:tc>
          <w:tcPr>
            <w:tcW w:w="709" w:type="dxa"/>
            <w:gridSpan w:val="8"/>
          </w:tcPr>
          <w:p w:rsidR="00E91EA3" w:rsidRPr="004273CC" w:rsidRDefault="00E91EA3" w:rsidP="00065FB5">
            <w:pPr>
              <w:tabs>
                <w:tab w:val="left" w:pos="510"/>
              </w:tabs>
              <w:jc w:val="both"/>
              <w:rPr>
                <w:lang w:val="lt-LT"/>
              </w:rPr>
            </w:pPr>
          </w:p>
        </w:tc>
        <w:tc>
          <w:tcPr>
            <w:tcW w:w="1076" w:type="dxa"/>
            <w:gridSpan w:val="6"/>
          </w:tcPr>
          <w:p w:rsidR="00E91EA3" w:rsidRPr="004273CC" w:rsidRDefault="00E91EA3" w:rsidP="00065FB5">
            <w:pPr>
              <w:tabs>
                <w:tab w:val="left" w:pos="510"/>
              </w:tabs>
              <w:jc w:val="both"/>
              <w:rPr>
                <w:lang w:val="lt-LT"/>
              </w:rPr>
            </w:pPr>
          </w:p>
        </w:tc>
        <w:tc>
          <w:tcPr>
            <w:tcW w:w="1136" w:type="dxa"/>
            <w:gridSpan w:val="10"/>
          </w:tcPr>
          <w:p w:rsidR="00E91EA3" w:rsidRPr="004273CC" w:rsidRDefault="00E91EA3" w:rsidP="00065FB5">
            <w:pPr>
              <w:tabs>
                <w:tab w:val="left" w:pos="510"/>
              </w:tabs>
              <w:jc w:val="both"/>
              <w:rPr>
                <w:lang w:val="lt-LT"/>
              </w:rPr>
            </w:pPr>
            <w:r>
              <w:rPr>
                <w:lang w:val="lt-LT"/>
              </w:rPr>
              <w:t>Yra</w:t>
            </w:r>
          </w:p>
        </w:tc>
        <w:tc>
          <w:tcPr>
            <w:tcW w:w="930" w:type="dxa"/>
            <w:gridSpan w:val="2"/>
          </w:tcPr>
          <w:p w:rsidR="00E91EA3" w:rsidRPr="00A909D9" w:rsidRDefault="00E91EA3" w:rsidP="00065FB5">
            <w:pPr>
              <w:tabs>
                <w:tab w:val="left" w:pos="510"/>
              </w:tabs>
              <w:jc w:val="center"/>
              <w:rPr>
                <w:b/>
                <w:lang w:val="lt-LT"/>
              </w:rPr>
            </w:pPr>
          </w:p>
        </w:tc>
        <w:tc>
          <w:tcPr>
            <w:tcW w:w="708" w:type="dxa"/>
            <w:gridSpan w:val="7"/>
          </w:tcPr>
          <w:p w:rsidR="00E91EA3" w:rsidRPr="00A909D9" w:rsidRDefault="00E91EA3" w:rsidP="00065FB5">
            <w:pPr>
              <w:tabs>
                <w:tab w:val="left" w:pos="510"/>
              </w:tabs>
              <w:jc w:val="center"/>
              <w:rPr>
                <w:b/>
                <w:lang w:val="lt-LT"/>
              </w:rPr>
            </w:pPr>
          </w:p>
        </w:tc>
        <w:tc>
          <w:tcPr>
            <w:tcW w:w="1186" w:type="dxa"/>
            <w:gridSpan w:val="8"/>
          </w:tcPr>
          <w:p w:rsidR="00E91EA3" w:rsidRPr="00A909D9" w:rsidRDefault="00E91EA3" w:rsidP="00065FB5">
            <w:pPr>
              <w:tabs>
                <w:tab w:val="left" w:pos="510"/>
              </w:tabs>
              <w:jc w:val="center"/>
              <w:rPr>
                <w:b/>
                <w:lang w:val="lt-LT"/>
              </w:rPr>
            </w:pPr>
          </w:p>
        </w:tc>
        <w:tc>
          <w:tcPr>
            <w:tcW w:w="1572" w:type="dxa"/>
            <w:gridSpan w:val="3"/>
          </w:tcPr>
          <w:p w:rsidR="00E91EA3" w:rsidRPr="004273CC" w:rsidRDefault="00E91EA3" w:rsidP="00065FB5">
            <w:pPr>
              <w:tabs>
                <w:tab w:val="left" w:pos="510"/>
              </w:tabs>
              <w:jc w:val="both"/>
              <w:rPr>
                <w:lang w:val="lt-LT"/>
              </w:rPr>
            </w:pPr>
            <w:r>
              <w:rPr>
                <w:lang w:val="lt-LT"/>
              </w:rPr>
              <w:t>Yra</w:t>
            </w:r>
          </w:p>
        </w:tc>
      </w:tr>
      <w:tr w:rsidR="00E91EA3" w:rsidRPr="004273CC" w:rsidTr="001C0D02">
        <w:trPr>
          <w:cantSplit/>
        </w:trPr>
        <w:tc>
          <w:tcPr>
            <w:tcW w:w="4480" w:type="dxa"/>
            <w:gridSpan w:val="13"/>
            <w:vMerge w:val="restart"/>
          </w:tcPr>
          <w:p w:rsidR="00E91EA3" w:rsidRPr="004273CC" w:rsidRDefault="00E91EA3" w:rsidP="00065FB5">
            <w:pPr>
              <w:tabs>
                <w:tab w:val="left" w:pos="510"/>
              </w:tabs>
              <w:ind w:left="113" w:right="113"/>
              <w:jc w:val="center"/>
              <w:rPr>
                <w:lang w:val="lt-LT"/>
              </w:rPr>
            </w:pPr>
            <w:r>
              <w:rPr>
                <w:b/>
                <w:lang w:val="lt-LT"/>
              </w:rPr>
              <w:lastRenderedPageBreak/>
              <w:t>Finansinių ataskaitų elemento ir/ar jo tvirtinimo pobūdis ir jam taikoma vidaus kontrolės sistema</w:t>
            </w:r>
          </w:p>
        </w:tc>
        <w:tc>
          <w:tcPr>
            <w:tcW w:w="567"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Tvirtinimas</w:t>
            </w:r>
          </w:p>
        </w:tc>
        <w:tc>
          <w:tcPr>
            <w:tcW w:w="569" w:type="dxa"/>
            <w:gridSpan w:val="7"/>
            <w:vMerge w:val="restart"/>
            <w:textDirection w:val="btLr"/>
          </w:tcPr>
          <w:p w:rsidR="00E91EA3" w:rsidRPr="004273CC" w:rsidRDefault="00E91EA3" w:rsidP="00065FB5">
            <w:pPr>
              <w:tabs>
                <w:tab w:val="left" w:pos="510"/>
              </w:tabs>
              <w:ind w:left="113" w:right="113"/>
              <w:jc w:val="center"/>
              <w:rPr>
                <w:lang w:val="lt-LT"/>
              </w:rPr>
            </w:pPr>
            <w:r>
              <w:rPr>
                <w:b/>
                <w:lang w:val="lt-LT"/>
              </w:rPr>
              <w:t>IR / KR</w:t>
            </w:r>
          </w:p>
          <w:p w:rsidR="00E91EA3" w:rsidRPr="004273CC" w:rsidRDefault="00E91EA3" w:rsidP="00065FB5">
            <w:pPr>
              <w:tabs>
                <w:tab w:val="left" w:pos="510"/>
              </w:tabs>
              <w:ind w:left="113" w:right="113"/>
              <w:jc w:val="center"/>
              <w:rPr>
                <w:lang w:val="lt-LT"/>
              </w:rPr>
            </w:pPr>
          </w:p>
        </w:tc>
        <w:tc>
          <w:tcPr>
            <w:tcW w:w="3846" w:type="dxa"/>
            <w:gridSpan w:val="28"/>
          </w:tcPr>
          <w:p w:rsidR="00E91EA3" w:rsidRDefault="00E91EA3" w:rsidP="00065FB5">
            <w:pPr>
              <w:tabs>
                <w:tab w:val="left" w:pos="510"/>
              </w:tabs>
              <w:jc w:val="center"/>
              <w:rPr>
                <w:lang w:val="lt-LT"/>
              </w:rPr>
            </w:pPr>
            <w:r>
              <w:rPr>
                <w:b/>
                <w:lang w:val="lt-LT"/>
              </w:rPr>
              <w:t>UAB „Šiluma“</w:t>
            </w:r>
          </w:p>
        </w:tc>
        <w:tc>
          <w:tcPr>
            <w:tcW w:w="4396" w:type="dxa"/>
            <w:gridSpan w:val="20"/>
          </w:tcPr>
          <w:p w:rsidR="00E91EA3" w:rsidRDefault="00E91EA3" w:rsidP="00065FB5">
            <w:pPr>
              <w:tabs>
                <w:tab w:val="left" w:pos="510"/>
              </w:tabs>
              <w:jc w:val="center"/>
              <w:rPr>
                <w:lang w:val="lt-LT"/>
              </w:rPr>
            </w:pPr>
            <w:r>
              <w:rPr>
                <w:b/>
                <w:lang w:val="lt-LT"/>
              </w:rPr>
              <w:t>UAB „Žuvila“</w:t>
            </w:r>
          </w:p>
        </w:tc>
      </w:tr>
      <w:tr w:rsidR="00E91EA3" w:rsidRPr="004273CC" w:rsidTr="001C0D02">
        <w:trPr>
          <w:cantSplit/>
          <w:trHeight w:val="607"/>
        </w:trPr>
        <w:tc>
          <w:tcPr>
            <w:tcW w:w="4480" w:type="dxa"/>
            <w:gridSpan w:val="13"/>
            <w:vMerge/>
          </w:tcPr>
          <w:p w:rsidR="00E91EA3" w:rsidRPr="004273CC" w:rsidRDefault="00E91EA3" w:rsidP="00065FB5">
            <w:pPr>
              <w:tabs>
                <w:tab w:val="left" w:pos="510"/>
              </w:tabs>
              <w:jc w:val="center"/>
              <w:rPr>
                <w:lang w:val="lt-LT"/>
              </w:rPr>
            </w:pPr>
          </w:p>
        </w:tc>
        <w:tc>
          <w:tcPr>
            <w:tcW w:w="567" w:type="dxa"/>
            <w:gridSpan w:val="7"/>
            <w:vMerge/>
            <w:vAlign w:val="center"/>
          </w:tcPr>
          <w:p w:rsidR="00E91EA3" w:rsidRPr="004273CC" w:rsidRDefault="00E91EA3" w:rsidP="00065FB5">
            <w:pPr>
              <w:tabs>
                <w:tab w:val="left" w:pos="510"/>
              </w:tabs>
              <w:jc w:val="center"/>
              <w:rPr>
                <w:lang w:val="lt-LT"/>
              </w:rPr>
            </w:pPr>
          </w:p>
        </w:tc>
        <w:tc>
          <w:tcPr>
            <w:tcW w:w="569" w:type="dxa"/>
            <w:gridSpan w:val="7"/>
            <w:vMerge/>
            <w:vAlign w:val="center"/>
          </w:tcPr>
          <w:p w:rsidR="00E91EA3" w:rsidRPr="004273CC" w:rsidRDefault="00E91EA3" w:rsidP="00065FB5">
            <w:pPr>
              <w:tabs>
                <w:tab w:val="left" w:pos="510"/>
              </w:tabs>
              <w:jc w:val="center"/>
              <w:rPr>
                <w:lang w:val="lt-LT"/>
              </w:rPr>
            </w:pPr>
          </w:p>
        </w:tc>
        <w:tc>
          <w:tcPr>
            <w:tcW w:w="2689" w:type="dxa"/>
            <w:gridSpan w:val="16"/>
            <w:vAlign w:val="center"/>
          </w:tcPr>
          <w:p w:rsidR="00E91EA3" w:rsidRPr="004273CC" w:rsidRDefault="00E91EA3" w:rsidP="00065FB5">
            <w:pPr>
              <w:tabs>
                <w:tab w:val="left" w:pos="510"/>
              </w:tabs>
              <w:jc w:val="center"/>
              <w:rPr>
                <w:lang w:val="lt-LT"/>
              </w:rPr>
            </w:pPr>
            <w:r w:rsidRPr="004273CC">
              <w:rPr>
                <w:b/>
                <w:lang w:val="lt-LT"/>
              </w:rPr>
              <w:t>Rizikos vertinima</w:t>
            </w:r>
            <w:r>
              <w:rPr>
                <w:b/>
                <w:lang w:val="lt-LT"/>
              </w:rPr>
              <w:t>s</w:t>
            </w:r>
          </w:p>
        </w:tc>
        <w:tc>
          <w:tcPr>
            <w:tcW w:w="1157" w:type="dxa"/>
            <w:gridSpan w:val="12"/>
          </w:tcPr>
          <w:p w:rsidR="00E91EA3" w:rsidRDefault="00E91EA3" w:rsidP="00065FB5">
            <w:pPr>
              <w:tabs>
                <w:tab w:val="left" w:pos="510"/>
              </w:tabs>
              <w:jc w:val="center"/>
              <w:rPr>
                <w:lang w:val="lt-LT"/>
              </w:rPr>
            </w:pPr>
            <w:r w:rsidRPr="004273CC">
              <w:rPr>
                <w:b/>
                <w:lang w:val="lt-LT"/>
              </w:rPr>
              <w:t>Pastabos</w:t>
            </w:r>
          </w:p>
        </w:tc>
        <w:tc>
          <w:tcPr>
            <w:tcW w:w="2824" w:type="dxa"/>
            <w:gridSpan w:val="17"/>
          </w:tcPr>
          <w:p w:rsidR="00E91EA3" w:rsidRDefault="00E91EA3" w:rsidP="00065FB5">
            <w:pPr>
              <w:tabs>
                <w:tab w:val="left" w:pos="510"/>
              </w:tabs>
              <w:jc w:val="center"/>
              <w:rPr>
                <w:b/>
                <w:lang w:val="lt-LT"/>
              </w:rPr>
            </w:pPr>
            <w:r w:rsidRPr="004273CC">
              <w:rPr>
                <w:b/>
                <w:lang w:val="lt-LT"/>
              </w:rPr>
              <w:t>Rizikos vertinimas</w:t>
            </w:r>
          </w:p>
        </w:tc>
        <w:tc>
          <w:tcPr>
            <w:tcW w:w="1572" w:type="dxa"/>
            <w:gridSpan w:val="3"/>
          </w:tcPr>
          <w:p w:rsidR="00E91EA3" w:rsidRDefault="00E91EA3" w:rsidP="00065FB5">
            <w:pPr>
              <w:tabs>
                <w:tab w:val="left" w:pos="510"/>
              </w:tabs>
              <w:jc w:val="both"/>
              <w:rPr>
                <w:lang w:val="lt-LT"/>
              </w:rPr>
            </w:pPr>
            <w:r w:rsidRPr="004273CC">
              <w:rPr>
                <w:b/>
                <w:lang w:val="lt-LT"/>
              </w:rPr>
              <w:t>Pastabo</w:t>
            </w:r>
            <w:r>
              <w:rPr>
                <w:b/>
                <w:lang w:val="lt-LT"/>
              </w:rPr>
              <w:t>s</w:t>
            </w:r>
          </w:p>
        </w:tc>
      </w:tr>
      <w:tr w:rsidR="00E91EA3" w:rsidRPr="004273CC" w:rsidTr="001C0D02">
        <w:trPr>
          <w:cantSplit/>
          <w:trHeight w:val="275"/>
        </w:trPr>
        <w:tc>
          <w:tcPr>
            <w:tcW w:w="1029" w:type="dxa"/>
            <w:gridSpan w:val="5"/>
          </w:tcPr>
          <w:p w:rsidR="00E91EA3" w:rsidRPr="006C567F" w:rsidRDefault="00E91EA3" w:rsidP="00065FB5">
            <w:pPr>
              <w:tabs>
                <w:tab w:val="left" w:pos="510"/>
              </w:tabs>
              <w:jc w:val="center"/>
              <w:rPr>
                <w:b/>
                <w:lang w:val="lt-LT"/>
              </w:rPr>
            </w:pPr>
            <w:r w:rsidRPr="006C567F">
              <w:rPr>
                <w:b/>
                <w:lang w:val="lt-LT"/>
              </w:rPr>
              <w:t>Tipas</w:t>
            </w:r>
          </w:p>
        </w:tc>
        <w:tc>
          <w:tcPr>
            <w:tcW w:w="3451" w:type="dxa"/>
            <w:gridSpan w:val="8"/>
          </w:tcPr>
          <w:p w:rsidR="00E91EA3" w:rsidRPr="004273CC" w:rsidRDefault="00E91EA3" w:rsidP="00065FB5">
            <w:pPr>
              <w:tabs>
                <w:tab w:val="left" w:pos="510"/>
              </w:tabs>
              <w:jc w:val="center"/>
              <w:rPr>
                <w:lang w:val="lt-LT"/>
              </w:rPr>
            </w:pPr>
            <w:r w:rsidRPr="005618BC">
              <w:rPr>
                <w:b/>
                <w:lang w:val="lt-LT"/>
              </w:rPr>
              <w:t>Veiksniai</w:t>
            </w:r>
          </w:p>
        </w:tc>
        <w:tc>
          <w:tcPr>
            <w:tcW w:w="567" w:type="dxa"/>
            <w:gridSpan w:val="7"/>
            <w:vMerge/>
          </w:tcPr>
          <w:p w:rsidR="00E91EA3" w:rsidRPr="004273CC" w:rsidRDefault="00E91EA3" w:rsidP="00065FB5">
            <w:pPr>
              <w:tabs>
                <w:tab w:val="left" w:pos="510"/>
              </w:tabs>
              <w:jc w:val="center"/>
              <w:rPr>
                <w:lang w:val="lt-LT"/>
              </w:rPr>
            </w:pPr>
          </w:p>
        </w:tc>
        <w:tc>
          <w:tcPr>
            <w:tcW w:w="569" w:type="dxa"/>
            <w:gridSpan w:val="7"/>
            <w:vMerge/>
          </w:tcPr>
          <w:p w:rsidR="00E91EA3" w:rsidRPr="004273CC" w:rsidRDefault="00E91EA3" w:rsidP="00065FB5">
            <w:pPr>
              <w:tabs>
                <w:tab w:val="left" w:pos="510"/>
              </w:tabs>
              <w:jc w:val="center"/>
              <w:rPr>
                <w:lang w:val="lt-LT"/>
              </w:rPr>
            </w:pPr>
          </w:p>
        </w:tc>
        <w:tc>
          <w:tcPr>
            <w:tcW w:w="974" w:type="dxa"/>
            <w:gridSpan w:val="5"/>
          </w:tcPr>
          <w:p w:rsidR="00E91EA3" w:rsidRPr="004273CC" w:rsidRDefault="00E91EA3" w:rsidP="00065FB5">
            <w:pPr>
              <w:tabs>
                <w:tab w:val="left" w:pos="510"/>
              </w:tabs>
              <w:jc w:val="center"/>
              <w:rPr>
                <w:lang w:val="lt-LT"/>
              </w:rPr>
            </w:pPr>
            <w:r w:rsidRPr="004273CC">
              <w:rPr>
                <w:lang w:val="lt-LT"/>
              </w:rPr>
              <w:t>Tikimybė (1-5)</w:t>
            </w:r>
          </w:p>
        </w:tc>
        <w:tc>
          <w:tcPr>
            <w:tcW w:w="709" w:type="dxa"/>
            <w:gridSpan w:val="8"/>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006" w:type="dxa"/>
            <w:gridSpan w:val="3"/>
          </w:tcPr>
          <w:p w:rsidR="00E91EA3" w:rsidRPr="004273CC" w:rsidRDefault="00E91EA3" w:rsidP="00065FB5">
            <w:pPr>
              <w:tabs>
                <w:tab w:val="left" w:pos="510"/>
              </w:tabs>
              <w:jc w:val="center"/>
              <w:rPr>
                <w:lang w:val="lt-LT"/>
              </w:rPr>
            </w:pPr>
            <w:r w:rsidRPr="004273CC">
              <w:rPr>
                <w:lang w:val="lt-LT"/>
              </w:rPr>
              <w:t>Tikimybė * Įtaka</w:t>
            </w:r>
          </w:p>
        </w:tc>
        <w:tc>
          <w:tcPr>
            <w:tcW w:w="1157" w:type="dxa"/>
            <w:gridSpan w:val="12"/>
          </w:tcPr>
          <w:p w:rsidR="00E91EA3" w:rsidRPr="004273CC" w:rsidRDefault="00E91EA3" w:rsidP="00065FB5">
            <w:pPr>
              <w:tabs>
                <w:tab w:val="left" w:pos="510"/>
              </w:tabs>
              <w:jc w:val="center"/>
              <w:rPr>
                <w:lang w:val="lt-LT"/>
              </w:rPr>
            </w:pPr>
          </w:p>
        </w:tc>
        <w:tc>
          <w:tcPr>
            <w:tcW w:w="983" w:type="dxa"/>
            <w:gridSpan w:val="4"/>
          </w:tcPr>
          <w:p w:rsidR="00E91EA3" w:rsidRPr="004273CC" w:rsidRDefault="00E91EA3" w:rsidP="00065FB5">
            <w:pPr>
              <w:tabs>
                <w:tab w:val="left" w:pos="510"/>
              </w:tabs>
              <w:jc w:val="center"/>
              <w:rPr>
                <w:lang w:val="lt-LT"/>
              </w:rPr>
            </w:pPr>
            <w:r w:rsidRPr="004273CC">
              <w:rPr>
                <w:lang w:val="lt-LT"/>
              </w:rPr>
              <w:t>Tikimybė (1-5)</w:t>
            </w:r>
          </w:p>
        </w:tc>
        <w:tc>
          <w:tcPr>
            <w:tcW w:w="708" w:type="dxa"/>
            <w:gridSpan w:val="7"/>
          </w:tcPr>
          <w:p w:rsidR="00E91EA3" w:rsidRPr="004273CC" w:rsidRDefault="00E91EA3" w:rsidP="00065FB5">
            <w:pPr>
              <w:tabs>
                <w:tab w:val="left" w:pos="510"/>
              </w:tabs>
              <w:jc w:val="center"/>
              <w:rPr>
                <w:lang w:val="lt-LT"/>
              </w:rPr>
            </w:pPr>
            <w:r w:rsidRPr="004273CC">
              <w:rPr>
                <w:lang w:val="lt-LT"/>
              </w:rPr>
              <w:t>Įtaka</w:t>
            </w:r>
          </w:p>
          <w:p w:rsidR="00E91EA3" w:rsidRPr="004273CC" w:rsidRDefault="00E91EA3" w:rsidP="00065FB5">
            <w:pPr>
              <w:tabs>
                <w:tab w:val="left" w:pos="510"/>
              </w:tabs>
              <w:jc w:val="center"/>
              <w:rPr>
                <w:lang w:val="lt-LT"/>
              </w:rPr>
            </w:pPr>
            <w:r w:rsidRPr="004273CC">
              <w:rPr>
                <w:lang w:val="lt-LT"/>
              </w:rPr>
              <w:t>(1-5)</w:t>
            </w:r>
          </w:p>
        </w:tc>
        <w:tc>
          <w:tcPr>
            <w:tcW w:w="1133" w:type="dxa"/>
            <w:gridSpan w:val="6"/>
          </w:tcPr>
          <w:p w:rsidR="00E91EA3" w:rsidRPr="004273CC" w:rsidRDefault="00E91EA3" w:rsidP="00065FB5">
            <w:pPr>
              <w:tabs>
                <w:tab w:val="left" w:pos="510"/>
              </w:tabs>
              <w:jc w:val="center"/>
              <w:rPr>
                <w:lang w:val="lt-LT"/>
              </w:rPr>
            </w:pPr>
            <w:r w:rsidRPr="004273CC">
              <w:rPr>
                <w:lang w:val="lt-LT"/>
              </w:rPr>
              <w:t>Tikimybė * Įtaka</w:t>
            </w:r>
          </w:p>
        </w:tc>
        <w:tc>
          <w:tcPr>
            <w:tcW w:w="1572" w:type="dxa"/>
            <w:gridSpan w:val="3"/>
          </w:tcPr>
          <w:p w:rsidR="00E91EA3" w:rsidRDefault="00E91EA3" w:rsidP="00065FB5">
            <w:pPr>
              <w:tabs>
                <w:tab w:val="left" w:pos="510"/>
              </w:tabs>
              <w:jc w:val="both"/>
              <w:rPr>
                <w:lang w:val="lt-LT"/>
              </w:rPr>
            </w:pPr>
          </w:p>
        </w:tc>
      </w:tr>
      <w:tr w:rsidR="007C42AB" w:rsidRPr="004273CC" w:rsidTr="001C0D02">
        <w:trPr>
          <w:cantSplit/>
        </w:trPr>
        <w:tc>
          <w:tcPr>
            <w:tcW w:w="1029" w:type="dxa"/>
            <w:gridSpan w:val="5"/>
            <w:vMerge w:val="restart"/>
            <w:textDirection w:val="btLr"/>
          </w:tcPr>
          <w:p w:rsidR="007C42AB" w:rsidRDefault="007C42AB" w:rsidP="00065FB5">
            <w:pPr>
              <w:tabs>
                <w:tab w:val="left" w:pos="510"/>
              </w:tabs>
              <w:ind w:left="113" w:right="113"/>
              <w:jc w:val="center"/>
              <w:rPr>
                <w:b/>
                <w:lang w:val="lt-LT"/>
              </w:rPr>
            </w:pPr>
            <w:r w:rsidRPr="002E216D">
              <w:rPr>
                <w:b/>
                <w:lang w:val="lt-LT"/>
              </w:rPr>
              <w:t>Per vienerius metus mokėtinos sumos ir</w:t>
            </w:r>
          </w:p>
          <w:p w:rsidR="007C42AB" w:rsidRPr="001A6D23" w:rsidRDefault="007C42AB" w:rsidP="00065FB5">
            <w:pPr>
              <w:tabs>
                <w:tab w:val="left" w:pos="510"/>
              </w:tabs>
              <w:ind w:left="113" w:right="113"/>
              <w:jc w:val="center"/>
              <w:rPr>
                <w:lang w:val="lt-LT"/>
              </w:rPr>
            </w:pPr>
            <w:r w:rsidRPr="002E216D">
              <w:rPr>
                <w:b/>
                <w:lang w:val="lt-LT"/>
              </w:rPr>
              <w:t>trumpalaikiai įsipareigojimai</w:t>
            </w:r>
          </w:p>
          <w:p w:rsidR="007C42AB" w:rsidRPr="006C567F" w:rsidRDefault="007C42AB" w:rsidP="00065FB5">
            <w:pPr>
              <w:tabs>
                <w:tab w:val="left" w:pos="510"/>
              </w:tabs>
              <w:ind w:left="113" w:right="113"/>
              <w:jc w:val="center"/>
              <w:rPr>
                <w:b/>
                <w:lang w:val="lt-LT"/>
              </w:rPr>
            </w:pPr>
          </w:p>
        </w:tc>
        <w:tc>
          <w:tcPr>
            <w:tcW w:w="3451" w:type="dxa"/>
            <w:gridSpan w:val="8"/>
          </w:tcPr>
          <w:p w:rsidR="007C42AB" w:rsidRDefault="007C42AB" w:rsidP="00E91EA3">
            <w:pPr>
              <w:tabs>
                <w:tab w:val="left" w:pos="510"/>
              </w:tabs>
              <w:jc w:val="both"/>
              <w:rPr>
                <w:lang w:val="lt-LT"/>
              </w:rPr>
            </w:pPr>
            <w:r>
              <w:rPr>
                <w:lang w:val="lt-LT"/>
              </w:rPr>
              <w:t>Nėra tikrinamas pirkimų sąskaitų faktūrų įregistravimas apskaitoje</w:t>
            </w:r>
          </w:p>
        </w:tc>
        <w:tc>
          <w:tcPr>
            <w:tcW w:w="567" w:type="dxa"/>
            <w:gridSpan w:val="7"/>
          </w:tcPr>
          <w:p w:rsidR="007C42AB" w:rsidRPr="004273CC" w:rsidRDefault="007C42AB" w:rsidP="00E91EA3">
            <w:pPr>
              <w:tabs>
                <w:tab w:val="left" w:pos="510"/>
              </w:tabs>
              <w:jc w:val="both"/>
              <w:rPr>
                <w:lang w:val="lt-LT"/>
              </w:rPr>
            </w:pPr>
            <w:r>
              <w:rPr>
                <w:lang w:val="lt-LT"/>
              </w:rPr>
              <w:t>I</w:t>
            </w:r>
          </w:p>
        </w:tc>
        <w:tc>
          <w:tcPr>
            <w:tcW w:w="569" w:type="dxa"/>
            <w:gridSpan w:val="7"/>
          </w:tcPr>
          <w:p w:rsidR="007C42AB" w:rsidRPr="004273CC" w:rsidRDefault="007C42AB" w:rsidP="00E91EA3">
            <w:pPr>
              <w:tabs>
                <w:tab w:val="left" w:pos="510"/>
              </w:tabs>
              <w:jc w:val="both"/>
              <w:rPr>
                <w:lang w:val="lt-LT"/>
              </w:rPr>
            </w:pPr>
            <w:r>
              <w:rPr>
                <w:lang w:val="lt-LT"/>
              </w:rPr>
              <w:t>KR</w:t>
            </w:r>
          </w:p>
        </w:tc>
        <w:tc>
          <w:tcPr>
            <w:tcW w:w="974" w:type="dxa"/>
            <w:gridSpan w:val="5"/>
          </w:tcPr>
          <w:p w:rsidR="007C42AB" w:rsidRPr="004273CC" w:rsidRDefault="007C42AB" w:rsidP="00E91EA3">
            <w:pPr>
              <w:tabs>
                <w:tab w:val="left" w:pos="510"/>
              </w:tabs>
              <w:jc w:val="both"/>
              <w:rPr>
                <w:lang w:val="lt-LT"/>
              </w:rPr>
            </w:pPr>
          </w:p>
        </w:tc>
        <w:tc>
          <w:tcPr>
            <w:tcW w:w="709" w:type="dxa"/>
            <w:gridSpan w:val="8"/>
          </w:tcPr>
          <w:p w:rsidR="007C42AB" w:rsidRPr="004273CC" w:rsidRDefault="007C42AB" w:rsidP="00E91EA3">
            <w:pPr>
              <w:tabs>
                <w:tab w:val="left" w:pos="510"/>
              </w:tabs>
              <w:jc w:val="both"/>
              <w:rPr>
                <w:lang w:val="lt-LT"/>
              </w:rPr>
            </w:pPr>
          </w:p>
        </w:tc>
        <w:tc>
          <w:tcPr>
            <w:tcW w:w="1006" w:type="dxa"/>
            <w:gridSpan w:val="3"/>
          </w:tcPr>
          <w:p w:rsidR="007C42AB" w:rsidRPr="004273CC" w:rsidRDefault="007C42AB" w:rsidP="00E91EA3">
            <w:pPr>
              <w:tabs>
                <w:tab w:val="left" w:pos="510"/>
              </w:tabs>
              <w:jc w:val="both"/>
              <w:rPr>
                <w:lang w:val="lt-LT"/>
              </w:rPr>
            </w:pPr>
          </w:p>
        </w:tc>
        <w:tc>
          <w:tcPr>
            <w:tcW w:w="1157" w:type="dxa"/>
            <w:gridSpan w:val="12"/>
          </w:tcPr>
          <w:p w:rsidR="007C42AB" w:rsidRPr="004273CC" w:rsidRDefault="007C42AB" w:rsidP="00E91EA3">
            <w:pPr>
              <w:tabs>
                <w:tab w:val="left" w:pos="510"/>
              </w:tabs>
              <w:jc w:val="both"/>
              <w:rPr>
                <w:lang w:val="lt-LT"/>
              </w:rPr>
            </w:pPr>
            <w:r>
              <w:rPr>
                <w:lang w:val="lt-LT"/>
              </w:rPr>
              <w:t>Yra</w:t>
            </w:r>
          </w:p>
        </w:tc>
        <w:tc>
          <w:tcPr>
            <w:tcW w:w="983" w:type="dxa"/>
            <w:gridSpan w:val="4"/>
          </w:tcPr>
          <w:p w:rsidR="007C42AB" w:rsidRPr="00A909D9" w:rsidRDefault="007C42AB" w:rsidP="00E91EA3">
            <w:pPr>
              <w:tabs>
                <w:tab w:val="left" w:pos="510"/>
              </w:tabs>
              <w:jc w:val="center"/>
              <w:rPr>
                <w:b/>
                <w:lang w:val="lt-LT"/>
              </w:rPr>
            </w:pPr>
          </w:p>
        </w:tc>
        <w:tc>
          <w:tcPr>
            <w:tcW w:w="708" w:type="dxa"/>
            <w:gridSpan w:val="7"/>
          </w:tcPr>
          <w:p w:rsidR="007C42AB" w:rsidRPr="00A909D9" w:rsidRDefault="007C42AB" w:rsidP="00E91EA3">
            <w:pPr>
              <w:tabs>
                <w:tab w:val="left" w:pos="510"/>
              </w:tabs>
              <w:jc w:val="center"/>
              <w:rPr>
                <w:b/>
                <w:lang w:val="lt-LT"/>
              </w:rPr>
            </w:pPr>
          </w:p>
        </w:tc>
        <w:tc>
          <w:tcPr>
            <w:tcW w:w="1133" w:type="dxa"/>
            <w:gridSpan w:val="6"/>
          </w:tcPr>
          <w:p w:rsidR="007C42AB" w:rsidRPr="00A909D9" w:rsidRDefault="007C42AB" w:rsidP="00E91EA3">
            <w:pPr>
              <w:tabs>
                <w:tab w:val="left" w:pos="510"/>
              </w:tabs>
              <w:jc w:val="center"/>
              <w:rPr>
                <w:b/>
                <w:lang w:val="lt-LT"/>
              </w:rPr>
            </w:pPr>
          </w:p>
        </w:tc>
        <w:tc>
          <w:tcPr>
            <w:tcW w:w="1572" w:type="dxa"/>
            <w:gridSpan w:val="3"/>
          </w:tcPr>
          <w:p w:rsidR="007C42AB" w:rsidRPr="004273CC" w:rsidRDefault="007C42AB" w:rsidP="00E91EA3">
            <w:pPr>
              <w:tabs>
                <w:tab w:val="left" w:pos="510"/>
              </w:tabs>
              <w:jc w:val="both"/>
              <w:rPr>
                <w:lang w:val="lt-LT"/>
              </w:rPr>
            </w:pPr>
            <w:r>
              <w:rPr>
                <w:lang w:val="lt-LT"/>
              </w:rPr>
              <w:t>Yra</w:t>
            </w:r>
          </w:p>
        </w:tc>
      </w:tr>
      <w:tr w:rsidR="007C42AB" w:rsidRPr="004273CC" w:rsidTr="001C0D02">
        <w:trPr>
          <w:cantSplit/>
        </w:trPr>
        <w:tc>
          <w:tcPr>
            <w:tcW w:w="1029" w:type="dxa"/>
            <w:gridSpan w:val="5"/>
            <w:vMerge/>
            <w:textDirection w:val="btLr"/>
          </w:tcPr>
          <w:p w:rsidR="007C42AB" w:rsidRPr="006C567F" w:rsidRDefault="007C42AB" w:rsidP="00065FB5">
            <w:pPr>
              <w:tabs>
                <w:tab w:val="left" w:pos="510"/>
              </w:tabs>
              <w:ind w:left="113" w:right="113"/>
              <w:jc w:val="center"/>
              <w:rPr>
                <w:b/>
                <w:lang w:val="lt-LT"/>
              </w:rPr>
            </w:pPr>
          </w:p>
        </w:tc>
        <w:tc>
          <w:tcPr>
            <w:tcW w:w="3451" w:type="dxa"/>
            <w:gridSpan w:val="8"/>
          </w:tcPr>
          <w:p w:rsidR="007C42AB" w:rsidRDefault="007C42AB" w:rsidP="00065FB5">
            <w:pPr>
              <w:tabs>
                <w:tab w:val="left" w:pos="510"/>
              </w:tabs>
              <w:jc w:val="both"/>
              <w:rPr>
                <w:lang w:val="lt-LT"/>
              </w:rPr>
            </w:pPr>
            <w:r>
              <w:rPr>
                <w:lang w:val="lt-LT"/>
              </w:rPr>
              <w:t>Pirkimai yra sudėtingi, vykdomi užsienyje, taikomos įvairios Incoterms sąlygos, daromos periodinės nuolaidos</w:t>
            </w:r>
          </w:p>
        </w:tc>
        <w:tc>
          <w:tcPr>
            <w:tcW w:w="567" w:type="dxa"/>
            <w:gridSpan w:val="7"/>
          </w:tcPr>
          <w:p w:rsidR="007C42AB" w:rsidRDefault="007C42AB" w:rsidP="00065FB5">
            <w:pPr>
              <w:tabs>
                <w:tab w:val="left" w:pos="510"/>
              </w:tabs>
              <w:jc w:val="both"/>
              <w:rPr>
                <w:lang w:val="lt-LT"/>
              </w:rPr>
            </w:pPr>
            <w:r>
              <w:rPr>
                <w:lang w:val="lt-LT"/>
              </w:rPr>
              <w:t>V</w:t>
            </w:r>
          </w:p>
        </w:tc>
        <w:tc>
          <w:tcPr>
            <w:tcW w:w="569" w:type="dxa"/>
            <w:gridSpan w:val="7"/>
          </w:tcPr>
          <w:p w:rsidR="007C42AB" w:rsidRDefault="007C42AB" w:rsidP="00065FB5">
            <w:pPr>
              <w:tabs>
                <w:tab w:val="left" w:pos="510"/>
              </w:tabs>
              <w:jc w:val="both"/>
              <w:rPr>
                <w:lang w:val="lt-LT"/>
              </w:rPr>
            </w:pPr>
            <w:r>
              <w:rPr>
                <w:lang w:val="lt-LT"/>
              </w:rPr>
              <w:t>IR</w:t>
            </w:r>
          </w:p>
        </w:tc>
        <w:tc>
          <w:tcPr>
            <w:tcW w:w="974" w:type="dxa"/>
            <w:gridSpan w:val="5"/>
          </w:tcPr>
          <w:p w:rsidR="007C42AB" w:rsidRPr="004273CC" w:rsidRDefault="007C42AB" w:rsidP="00065FB5">
            <w:pPr>
              <w:tabs>
                <w:tab w:val="left" w:pos="510"/>
              </w:tabs>
              <w:jc w:val="center"/>
              <w:rPr>
                <w:lang w:val="lt-LT"/>
              </w:rPr>
            </w:pPr>
          </w:p>
        </w:tc>
        <w:tc>
          <w:tcPr>
            <w:tcW w:w="709" w:type="dxa"/>
            <w:gridSpan w:val="8"/>
          </w:tcPr>
          <w:p w:rsidR="007C42AB" w:rsidRPr="004273CC" w:rsidRDefault="007C42AB" w:rsidP="00065FB5">
            <w:pPr>
              <w:tabs>
                <w:tab w:val="left" w:pos="510"/>
              </w:tabs>
              <w:jc w:val="center"/>
              <w:rPr>
                <w:lang w:val="lt-LT"/>
              </w:rPr>
            </w:pPr>
          </w:p>
        </w:tc>
        <w:tc>
          <w:tcPr>
            <w:tcW w:w="1006" w:type="dxa"/>
            <w:gridSpan w:val="3"/>
          </w:tcPr>
          <w:p w:rsidR="007C42AB" w:rsidRPr="004273CC" w:rsidRDefault="007C42AB" w:rsidP="00065FB5">
            <w:pPr>
              <w:tabs>
                <w:tab w:val="left" w:pos="510"/>
              </w:tabs>
              <w:jc w:val="center"/>
              <w:rPr>
                <w:lang w:val="lt-LT"/>
              </w:rPr>
            </w:pPr>
          </w:p>
        </w:tc>
        <w:tc>
          <w:tcPr>
            <w:tcW w:w="1157" w:type="dxa"/>
            <w:gridSpan w:val="12"/>
          </w:tcPr>
          <w:p w:rsidR="007C42AB" w:rsidRPr="004273CC" w:rsidRDefault="007C42AB" w:rsidP="00065FB5">
            <w:pPr>
              <w:tabs>
                <w:tab w:val="left" w:pos="510"/>
              </w:tabs>
              <w:jc w:val="center"/>
              <w:rPr>
                <w:lang w:val="lt-LT"/>
              </w:rPr>
            </w:pPr>
          </w:p>
        </w:tc>
        <w:tc>
          <w:tcPr>
            <w:tcW w:w="983" w:type="dxa"/>
            <w:gridSpan w:val="4"/>
          </w:tcPr>
          <w:p w:rsidR="007C42AB" w:rsidRPr="00A909D9" w:rsidRDefault="007C42AB" w:rsidP="00065FB5">
            <w:pPr>
              <w:tabs>
                <w:tab w:val="left" w:pos="510"/>
              </w:tabs>
              <w:jc w:val="center"/>
              <w:rPr>
                <w:b/>
                <w:lang w:val="lt-LT"/>
              </w:rPr>
            </w:pPr>
            <w:r w:rsidRPr="00A909D9">
              <w:rPr>
                <w:b/>
                <w:lang w:val="lt-LT"/>
              </w:rPr>
              <w:t>3</w:t>
            </w:r>
          </w:p>
        </w:tc>
        <w:tc>
          <w:tcPr>
            <w:tcW w:w="708" w:type="dxa"/>
            <w:gridSpan w:val="7"/>
          </w:tcPr>
          <w:p w:rsidR="007C42AB" w:rsidRPr="00A909D9" w:rsidRDefault="007C42AB" w:rsidP="00065FB5">
            <w:pPr>
              <w:tabs>
                <w:tab w:val="left" w:pos="510"/>
              </w:tabs>
              <w:jc w:val="center"/>
              <w:rPr>
                <w:b/>
                <w:lang w:val="lt-LT"/>
              </w:rPr>
            </w:pPr>
            <w:r>
              <w:rPr>
                <w:b/>
                <w:lang w:val="lt-LT"/>
              </w:rPr>
              <w:t>3</w:t>
            </w:r>
          </w:p>
        </w:tc>
        <w:tc>
          <w:tcPr>
            <w:tcW w:w="1133" w:type="dxa"/>
            <w:gridSpan w:val="6"/>
          </w:tcPr>
          <w:p w:rsidR="007C42AB" w:rsidRPr="00A909D9" w:rsidRDefault="007C42AB" w:rsidP="00065FB5">
            <w:pPr>
              <w:tabs>
                <w:tab w:val="left" w:pos="510"/>
              </w:tabs>
              <w:jc w:val="center"/>
              <w:rPr>
                <w:b/>
                <w:lang w:val="lt-LT"/>
              </w:rPr>
            </w:pPr>
            <w:r>
              <w:rPr>
                <w:b/>
                <w:lang w:val="lt-LT"/>
              </w:rPr>
              <w:t>9</w:t>
            </w:r>
          </w:p>
        </w:tc>
        <w:tc>
          <w:tcPr>
            <w:tcW w:w="1572" w:type="dxa"/>
            <w:gridSpan w:val="3"/>
          </w:tcPr>
          <w:p w:rsidR="007C42AB" w:rsidRPr="004273CC" w:rsidRDefault="007C42AB" w:rsidP="00065FB5">
            <w:pPr>
              <w:tabs>
                <w:tab w:val="left" w:pos="510"/>
              </w:tabs>
              <w:jc w:val="both"/>
              <w:rPr>
                <w:lang w:val="lt-LT"/>
              </w:rPr>
            </w:pPr>
            <w:r>
              <w:rPr>
                <w:lang w:val="lt-LT"/>
              </w:rPr>
              <w:t>Tiekėjai</w:t>
            </w:r>
          </w:p>
        </w:tc>
      </w:tr>
      <w:tr w:rsidR="007C42AB" w:rsidRPr="004273CC" w:rsidTr="001C0D02">
        <w:trPr>
          <w:cantSplit/>
        </w:trPr>
        <w:tc>
          <w:tcPr>
            <w:tcW w:w="1029" w:type="dxa"/>
            <w:gridSpan w:val="5"/>
            <w:vMerge/>
            <w:textDirection w:val="btLr"/>
          </w:tcPr>
          <w:p w:rsidR="007C42AB" w:rsidRPr="002E216D" w:rsidRDefault="007C42AB" w:rsidP="00065FB5">
            <w:pPr>
              <w:tabs>
                <w:tab w:val="left" w:pos="510"/>
              </w:tabs>
              <w:ind w:left="113" w:right="113"/>
              <w:jc w:val="center"/>
              <w:rPr>
                <w:b/>
                <w:lang w:val="lt-LT"/>
              </w:rPr>
            </w:pPr>
          </w:p>
        </w:tc>
        <w:tc>
          <w:tcPr>
            <w:tcW w:w="3451" w:type="dxa"/>
            <w:gridSpan w:val="8"/>
          </w:tcPr>
          <w:p w:rsidR="007C42AB" w:rsidRDefault="007C42AB" w:rsidP="00065FB5">
            <w:pPr>
              <w:tabs>
                <w:tab w:val="left" w:pos="510"/>
              </w:tabs>
              <w:jc w:val="both"/>
              <w:rPr>
                <w:lang w:val="lt-LT"/>
              </w:rPr>
            </w:pPr>
            <w:r>
              <w:rPr>
                <w:lang w:val="lt-LT"/>
              </w:rPr>
              <w:t>Nėra tikrinama, ar teisingai priskirtos Incoterms sąlygos</w:t>
            </w:r>
          </w:p>
        </w:tc>
        <w:tc>
          <w:tcPr>
            <w:tcW w:w="567" w:type="dxa"/>
            <w:gridSpan w:val="7"/>
          </w:tcPr>
          <w:p w:rsidR="007C42AB" w:rsidRPr="004273CC" w:rsidRDefault="007C42AB" w:rsidP="00065FB5">
            <w:pPr>
              <w:tabs>
                <w:tab w:val="left" w:pos="510"/>
              </w:tabs>
              <w:jc w:val="both"/>
              <w:rPr>
                <w:lang w:val="lt-LT"/>
              </w:rPr>
            </w:pPr>
            <w:r>
              <w:rPr>
                <w:lang w:val="lt-LT"/>
              </w:rPr>
              <w:t>V</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974" w:type="dxa"/>
            <w:gridSpan w:val="5"/>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6" w:type="dxa"/>
            <w:gridSpan w:val="3"/>
          </w:tcPr>
          <w:p w:rsidR="007C42AB" w:rsidRPr="004273CC" w:rsidRDefault="007C42AB" w:rsidP="00065FB5">
            <w:pPr>
              <w:tabs>
                <w:tab w:val="left" w:pos="510"/>
              </w:tabs>
              <w:jc w:val="both"/>
              <w:rPr>
                <w:lang w:val="lt-LT"/>
              </w:rPr>
            </w:pPr>
          </w:p>
        </w:tc>
        <w:tc>
          <w:tcPr>
            <w:tcW w:w="1157" w:type="dxa"/>
            <w:gridSpan w:val="12"/>
          </w:tcPr>
          <w:p w:rsidR="007C42AB" w:rsidRPr="004273CC" w:rsidRDefault="007C42AB" w:rsidP="00065FB5">
            <w:pPr>
              <w:tabs>
                <w:tab w:val="left" w:pos="510"/>
              </w:tabs>
              <w:jc w:val="both"/>
              <w:rPr>
                <w:lang w:val="lt-LT"/>
              </w:rPr>
            </w:pPr>
          </w:p>
        </w:tc>
        <w:tc>
          <w:tcPr>
            <w:tcW w:w="983" w:type="dxa"/>
            <w:gridSpan w:val="4"/>
          </w:tcPr>
          <w:p w:rsidR="007C42AB" w:rsidRPr="00A909D9" w:rsidRDefault="007C42AB" w:rsidP="00065FB5">
            <w:pPr>
              <w:tabs>
                <w:tab w:val="left" w:pos="510"/>
              </w:tabs>
              <w:jc w:val="center"/>
              <w:rPr>
                <w:b/>
                <w:lang w:val="lt-LT"/>
              </w:rPr>
            </w:pPr>
            <w:r>
              <w:rPr>
                <w:b/>
                <w:lang w:val="lt-LT"/>
              </w:rPr>
              <w:t>3</w:t>
            </w:r>
          </w:p>
        </w:tc>
        <w:tc>
          <w:tcPr>
            <w:tcW w:w="708" w:type="dxa"/>
            <w:gridSpan w:val="7"/>
          </w:tcPr>
          <w:p w:rsidR="007C42AB" w:rsidRPr="00A909D9" w:rsidRDefault="007C42AB" w:rsidP="00065FB5">
            <w:pPr>
              <w:tabs>
                <w:tab w:val="left" w:pos="510"/>
              </w:tabs>
              <w:jc w:val="center"/>
              <w:rPr>
                <w:b/>
                <w:lang w:val="lt-LT"/>
              </w:rPr>
            </w:pPr>
            <w:r>
              <w:rPr>
                <w:b/>
                <w:lang w:val="lt-LT"/>
              </w:rPr>
              <w:t>3</w:t>
            </w:r>
          </w:p>
        </w:tc>
        <w:tc>
          <w:tcPr>
            <w:tcW w:w="1133" w:type="dxa"/>
            <w:gridSpan w:val="6"/>
          </w:tcPr>
          <w:p w:rsidR="007C42AB" w:rsidRPr="00A909D9" w:rsidRDefault="007C42AB" w:rsidP="00065FB5">
            <w:pPr>
              <w:tabs>
                <w:tab w:val="left" w:pos="510"/>
              </w:tabs>
              <w:jc w:val="center"/>
              <w:rPr>
                <w:b/>
                <w:lang w:val="lt-LT"/>
              </w:rPr>
            </w:pPr>
            <w:r>
              <w:rPr>
                <w:b/>
                <w:lang w:val="lt-LT"/>
              </w:rPr>
              <w:t>9</w:t>
            </w:r>
          </w:p>
        </w:tc>
        <w:tc>
          <w:tcPr>
            <w:tcW w:w="1572" w:type="dxa"/>
            <w:gridSpan w:val="3"/>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3451" w:type="dxa"/>
            <w:gridSpan w:val="8"/>
          </w:tcPr>
          <w:p w:rsidR="007C42AB" w:rsidRDefault="007C42AB" w:rsidP="00065FB5">
            <w:pPr>
              <w:tabs>
                <w:tab w:val="left" w:pos="510"/>
              </w:tabs>
              <w:jc w:val="both"/>
              <w:rPr>
                <w:lang w:val="lt-LT"/>
              </w:rPr>
            </w:pPr>
            <w:r>
              <w:rPr>
                <w:lang w:val="lt-LT"/>
              </w:rPr>
              <w:t>Mokėtinų sumų tiekėjams analitiniai duomenys neatitinka didžiosios knygos duomenų</w:t>
            </w:r>
          </w:p>
        </w:tc>
        <w:tc>
          <w:tcPr>
            <w:tcW w:w="567" w:type="dxa"/>
            <w:gridSpan w:val="7"/>
          </w:tcPr>
          <w:p w:rsidR="007C42AB" w:rsidRPr="004273CC" w:rsidRDefault="007C42AB" w:rsidP="00065FB5">
            <w:pPr>
              <w:tabs>
                <w:tab w:val="left" w:pos="510"/>
              </w:tabs>
              <w:jc w:val="both"/>
              <w:rPr>
                <w:lang w:val="lt-LT"/>
              </w:rPr>
            </w:pPr>
            <w:r>
              <w:rPr>
                <w:lang w:val="lt-LT"/>
              </w:rPr>
              <w:t>I</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974" w:type="dxa"/>
            <w:gridSpan w:val="5"/>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6" w:type="dxa"/>
            <w:gridSpan w:val="3"/>
          </w:tcPr>
          <w:p w:rsidR="007C42AB" w:rsidRPr="004273CC" w:rsidRDefault="007C42AB" w:rsidP="00065FB5">
            <w:pPr>
              <w:tabs>
                <w:tab w:val="left" w:pos="510"/>
              </w:tabs>
              <w:jc w:val="both"/>
              <w:rPr>
                <w:lang w:val="lt-LT"/>
              </w:rPr>
            </w:pPr>
          </w:p>
        </w:tc>
        <w:tc>
          <w:tcPr>
            <w:tcW w:w="1157" w:type="dxa"/>
            <w:gridSpan w:val="12"/>
          </w:tcPr>
          <w:p w:rsidR="007C42AB" w:rsidRPr="004273CC" w:rsidRDefault="007C42AB" w:rsidP="00065FB5">
            <w:pPr>
              <w:tabs>
                <w:tab w:val="left" w:pos="510"/>
              </w:tabs>
              <w:jc w:val="both"/>
              <w:rPr>
                <w:lang w:val="lt-LT"/>
              </w:rPr>
            </w:pPr>
          </w:p>
        </w:tc>
        <w:tc>
          <w:tcPr>
            <w:tcW w:w="983" w:type="dxa"/>
            <w:gridSpan w:val="4"/>
          </w:tcPr>
          <w:p w:rsidR="007C42AB" w:rsidRPr="00A909D9" w:rsidRDefault="007C42AB" w:rsidP="00065FB5">
            <w:pPr>
              <w:tabs>
                <w:tab w:val="left" w:pos="510"/>
              </w:tabs>
              <w:jc w:val="center"/>
              <w:rPr>
                <w:b/>
                <w:lang w:val="lt-LT"/>
              </w:rPr>
            </w:pPr>
          </w:p>
        </w:tc>
        <w:tc>
          <w:tcPr>
            <w:tcW w:w="708" w:type="dxa"/>
            <w:gridSpan w:val="7"/>
          </w:tcPr>
          <w:p w:rsidR="007C42AB" w:rsidRPr="00A909D9" w:rsidRDefault="007C42AB" w:rsidP="00065FB5">
            <w:pPr>
              <w:tabs>
                <w:tab w:val="left" w:pos="510"/>
              </w:tabs>
              <w:jc w:val="center"/>
              <w:rPr>
                <w:b/>
                <w:lang w:val="lt-LT"/>
              </w:rPr>
            </w:pPr>
          </w:p>
        </w:tc>
        <w:tc>
          <w:tcPr>
            <w:tcW w:w="1133" w:type="dxa"/>
            <w:gridSpan w:val="6"/>
          </w:tcPr>
          <w:p w:rsidR="007C42AB" w:rsidRPr="00A909D9" w:rsidRDefault="007C42AB" w:rsidP="00065FB5">
            <w:pPr>
              <w:tabs>
                <w:tab w:val="left" w:pos="510"/>
              </w:tabs>
              <w:jc w:val="center"/>
              <w:rPr>
                <w:b/>
                <w:lang w:val="lt-LT"/>
              </w:rPr>
            </w:pPr>
          </w:p>
        </w:tc>
        <w:tc>
          <w:tcPr>
            <w:tcW w:w="1572" w:type="dxa"/>
            <w:gridSpan w:val="3"/>
          </w:tcPr>
          <w:p w:rsidR="007C42AB" w:rsidRPr="004273CC" w:rsidRDefault="007C42AB" w:rsidP="00065FB5">
            <w:pPr>
              <w:tabs>
                <w:tab w:val="left" w:pos="510"/>
              </w:tabs>
              <w:jc w:val="both"/>
              <w:rPr>
                <w:lang w:val="lt-LT"/>
              </w:rPr>
            </w:pPr>
            <w:r>
              <w:rPr>
                <w:lang w:val="lt-LT"/>
              </w:rPr>
              <w:t>Atitinka</w:t>
            </w: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3451" w:type="dxa"/>
            <w:gridSpan w:val="8"/>
          </w:tcPr>
          <w:p w:rsidR="007C42AB" w:rsidRDefault="007C42AB" w:rsidP="007C42AB">
            <w:pPr>
              <w:tabs>
                <w:tab w:val="left" w:pos="510"/>
              </w:tabs>
              <w:jc w:val="both"/>
              <w:rPr>
                <w:lang w:val="lt-LT"/>
              </w:rPr>
            </w:pPr>
            <w:r>
              <w:rPr>
                <w:lang w:val="lt-LT"/>
              </w:rPr>
              <w:t>Nėra tvarkoma atskira skolų tiekėjams valiuta apskaita</w:t>
            </w:r>
          </w:p>
        </w:tc>
        <w:tc>
          <w:tcPr>
            <w:tcW w:w="567" w:type="dxa"/>
            <w:gridSpan w:val="7"/>
          </w:tcPr>
          <w:p w:rsidR="007C42AB" w:rsidRPr="004273CC" w:rsidRDefault="007C42AB" w:rsidP="00065FB5">
            <w:pPr>
              <w:tabs>
                <w:tab w:val="left" w:pos="510"/>
              </w:tabs>
              <w:jc w:val="both"/>
              <w:rPr>
                <w:lang w:val="lt-LT"/>
              </w:rPr>
            </w:pPr>
            <w:r>
              <w:rPr>
                <w:lang w:val="lt-LT"/>
              </w:rPr>
              <w:t>V</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974" w:type="dxa"/>
            <w:gridSpan w:val="5"/>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6" w:type="dxa"/>
            <w:gridSpan w:val="3"/>
          </w:tcPr>
          <w:p w:rsidR="007C42AB" w:rsidRPr="004273CC" w:rsidRDefault="007C42AB" w:rsidP="00065FB5">
            <w:pPr>
              <w:tabs>
                <w:tab w:val="left" w:pos="510"/>
              </w:tabs>
              <w:jc w:val="both"/>
              <w:rPr>
                <w:lang w:val="lt-LT"/>
              </w:rPr>
            </w:pPr>
          </w:p>
        </w:tc>
        <w:tc>
          <w:tcPr>
            <w:tcW w:w="1157" w:type="dxa"/>
            <w:gridSpan w:val="12"/>
          </w:tcPr>
          <w:p w:rsidR="007C42AB" w:rsidRPr="004273CC" w:rsidRDefault="007C42AB" w:rsidP="00065FB5">
            <w:pPr>
              <w:tabs>
                <w:tab w:val="left" w:pos="510"/>
              </w:tabs>
              <w:jc w:val="both"/>
              <w:rPr>
                <w:lang w:val="lt-LT"/>
              </w:rPr>
            </w:pPr>
          </w:p>
        </w:tc>
        <w:tc>
          <w:tcPr>
            <w:tcW w:w="983" w:type="dxa"/>
            <w:gridSpan w:val="4"/>
          </w:tcPr>
          <w:p w:rsidR="007C42AB" w:rsidRPr="00A909D9" w:rsidRDefault="007C42AB" w:rsidP="00065FB5">
            <w:pPr>
              <w:tabs>
                <w:tab w:val="left" w:pos="510"/>
              </w:tabs>
              <w:jc w:val="center"/>
              <w:rPr>
                <w:b/>
                <w:lang w:val="lt-LT"/>
              </w:rPr>
            </w:pPr>
          </w:p>
        </w:tc>
        <w:tc>
          <w:tcPr>
            <w:tcW w:w="708" w:type="dxa"/>
            <w:gridSpan w:val="7"/>
          </w:tcPr>
          <w:p w:rsidR="007C42AB" w:rsidRPr="00A909D9" w:rsidRDefault="007C42AB" w:rsidP="00065FB5">
            <w:pPr>
              <w:tabs>
                <w:tab w:val="left" w:pos="510"/>
              </w:tabs>
              <w:jc w:val="center"/>
              <w:rPr>
                <w:b/>
                <w:lang w:val="lt-LT"/>
              </w:rPr>
            </w:pPr>
          </w:p>
        </w:tc>
        <w:tc>
          <w:tcPr>
            <w:tcW w:w="1133" w:type="dxa"/>
            <w:gridSpan w:val="6"/>
          </w:tcPr>
          <w:p w:rsidR="007C42AB" w:rsidRPr="00A909D9" w:rsidRDefault="007C42AB" w:rsidP="00065FB5">
            <w:pPr>
              <w:tabs>
                <w:tab w:val="left" w:pos="510"/>
              </w:tabs>
              <w:jc w:val="center"/>
              <w:rPr>
                <w:b/>
                <w:lang w:val="lt-LT"/>
              </w:rPr>
            </w:pPr>
          </w:p>
        </w:tc>
        <w:tc>
          <w:tcPr>
            <w:tcW w:w="1572" w:type="dxa"/>
            <w:gridSpan w:val="3"/>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3451" w:type="dxa"/>
            <w:gridSpan w:val="8"/>
          </w:tcPr>
          <w:p w:rsidR="007C42AB" w:rsidRDefault="007C42AB" w:rsidP="007C42AB">
            <w:pPr>
              <w:tabs>
                <w:tab w:val="left" w:pos="510"/>
              </w:tabs>
              <w:jc w:val="both"/>
              <w:rPr>
                <w:lang w:val="lt-LT"/>
              </w:rPr>
            </w:pPr>
            <w:r>
              <w:rPr>
                <w:lang w:val="lt-LT"/>
              </w:rPr>
              <w:t>Reguliariai nėra vykdomi suderinimai su tiekėjais</w:t>
            </w:r>
          </w:p>
        </w:tc>
        <w:tc>
          <w:tcPr>
            <w:tcW w:w="567" w:type="dxa"/>
            <w:gridSpan w:val="7"/>
          </w:tcPr>
          <w:p w:rsidR="007C42AB" w:rsidRPr="004273CC" w:rsidRDefault="007C42AB" w:rsidP="00065FB5">
            <w:pPr>
              <w:tabs>
                <w:tab w:val="left" w:pos="510"/>
              </w:tabs>
              <w:jc w:val="both"/>
              <w:rPr>
                <w:lang w:val="lt-LT"/>
              </w:rPr>
            </w:pPr>
            <w:r>
              <w:rPr>
                <w:lang w:val="lt-LT"/>
              </w:rPr>
              <w:t>B, V</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974" w:type="dxa"/>
            <w:gridSpan w:val="5"/>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6" w:type="dxa"/>
            <w:gridSpan w:val="3"/>
          </w:tcPr>
          <w:p w:rsidR="007C42AB" w:rsidRPr="004273CC" w:rsidRDefault="007C42AB" w:rsidP="00065FB5">
            <w:pPr>
              <w:tabs>
                <w:tab w:val="left" w:pos="510"/>
              </w:tabs>
              <w:jc w:val="both"/>
              <w:rPr>
                <w:lang w:val="lt-LT"/>
              </w:rPr>
            </w:pPr>
          </w:p>
        </w:tc>
        <w:tc>
          <w:tcPr>
            <w:tcW w:w="1157" w:type="dxa"/>
            <w:gridSpan w:val="12"/>
          </w:tcPr>
          <w:p w:rsidR="007C42AB" w:rsidRPr="004273CC" w:rsidRDefault="007C42AB" w:rsidP="00065FB5">
            <w:pPr>
              <w:tabs>
                <w:tab w:val="left" w:pos="510"/>
              </w:tabs>
              <w:jc w:val="both"/>
              <w:rPr>
                <w:lang w:val="lt-LT"/>
              </w:rPr>
            </w:pPr>
            <w:r>
              <w:rPr>
                <w:lang w:val="lt-LT"/>
              </w:rPr>
              <w:t>Yra</w:t>
            </w:r>
          </w:p>
        </w:tc>
        <w:tc>
          <w:tcPr>
            <w:tcW w:w="983" w:type="dxa"/>
            <w:gridSpan w:val="4"/>
          </w:tcPr>
          <w:p w:rsidR="007C42AB" w:rsidRPr="00A909D9" w:rsidRDefault="007C42AB" w:rsidP="00065FB5">
            <w:pPr>
              <w:tabs>
                <w:tab w:val="left" w:pos="510"/>
              </w:tabs>
              <w:jc w:val="center"/>
              <w:rPr>
                <w:b/>
                <w:lang w:val="lt-LT"/>
              </w:rPr>
            </w:pPr>
          </w:p>
        </w:tc>
        <w:tc>
          <w:tcPr>
            <w:tcW w:w="708" w:type="dxa"/>
            <w:gridSpan w:val="7"/>
          </w:tcPr>
          <w:p w:rsidR="007C42AB" w:rsidRPr="00A909D9" w:rsidRDefault="007C42AB" w:rsidP="00065FB5">
            <w:pPr>
              <w:tabs>
                <w:tab w:val="left" w:pos="510"/>
              </w:tabs>
              <w:jc w:val="center"/>
              <w:rPr>
                <w:b/>
                <w:lang w:val="lt-LT"/>
              </w:rPr>
            </w:pPr>
          </w:p>
        </w:tc>
        <w:tc>
          <w:tcPr>
            <w:tcW w:w="1133" w:type="dxa"/>
            <w:gridSpan w:val="6"/>
          </w:tcPr>
          <w:p w:rsidR="007C42AB" w:rsidRPr="00A909D9" w:rsidRDefault="007C42AB" w:rsidP="00065FB5">
            <w:pPr>
              <w:tabs>
                <w:tab w:val="left" w:pos="510"/>
              </w:tabs>
              <w:jc w:val="center"/>
              <w:rPr>
                <w:b/>
                <w:lang w:val="lt-LT"/>
              </w:rPr>
            </w:pPr>
          </w:p>
        </w:tc>
        <w:tc>
          <w:tcPr>
            <w:tcW w:w="1572" w:type="dxa"/>
            <w:gridSpan w:val="3"/>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3451" w:type="dxa"/>
            <w:gridSpan w:val="8"/>
          </w:tcPr>
          <w:p w:rsidR="007C42AB" w:rsidRDefault="007C42AB" w:rsidP="00065FB5">
            <w:pPr>
              <w:tabs>
                <w:tab w:val="left" w:pos="510"/>
              </w:tabs>
              <w:jc w:val="both"/>
              <w:rPr>
                <w:lang w:val="lt-LT"/>
              </w:rPr>
            </w:pPr>
            <w:r>
              <w:rPr>
                <w:lang w:val="lt-LT"/>
              </w:rPr>
              <w:t>Randama neatitikimų suderinimuose su tiekėjais</w:t>
            </w:r>
          </w:p>
        </w:tc>
        <w:tc>
          <w:tcPr>
            <w:tcW w:w="567" w:type="dxa"/>
            <w:gridSpan w:val="7"/>
          </w:tcPr>
          <w:p w:rsidR="007C42AB" w:rsidRPr="004273CC" w:rsidRDefault="007C42AB" w:rsidP="00065FB5">
            <w:pPr>
              <w:tabs>
                <w:tab w:val="left" w:pos="510"/>
              </w:tabs>
              <w:jc w:val="both"/>
              <w:rPr>
                <w:lang w:val="lt-LT"/>
              </w:rPr>
            </w:pPr>
            <w:r>
              <w:rPr>
                <w:lang w:val="lt-LT"/>
              </w:rPr>
              <w:t>V</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974" w:type="dxa"/>
            <w:gridSpan w:val="5"/>
          </w:tcPr>
          <w:p w:rsidR="007C42AB" w:rsidRPr="006705B9" w:rsidRDefault="007C42AB" w:rsidP="00065FB5">
            <w:pPr>
              <w:tabs>
                <w:tab w:val="left" w:pos="510"/>
              </w:tabs>
              <w:jc w:val="center"/>
              <w:rPr>
                <w:b/>
                <w:lang w:val="lt-LT"/>
              </w:rPr>
            </w:pPr>
            <w:r w:rsidRPr="006705B9">
              <w:rPr>
                <w:b/>
                <w:lang w:val="lt-LT"/>
              </w:rPr>
              <w:t>1</w:t>
            </w:r>
          </w:p>
        </w:tc>
        <w:tc>
          <w:tcPr>
            <w:tcW w:w="709" w:type="dxa"/>
            <w:gridSpan w:val="8"/>
          </w:tcPr>
          <w:p w:rsidR="007C42AB" w:rsidRPr="006705B9" w:rsidRDefault="007C42AB" w:rsidP="00065FB5">
            <w:pPr>
              <w:tabs>
                <w:tab w:val="left" w:pos="510"/>
              </w:tabs>
              <w:jc w:val="center"/>
              <w:rPr>
                <w:b/>
                <w:lang w:val="lt-LT"/>
              </w:rPr>
            </w:pPr>
            <w:r>
              <w:rPr>
                <w:b/>
                <w:lang w:val="lt-LT"/>
              </w:rPr>
              <w:t>3</w:t>
            </w:r>
          </w:p>
        </w:tc>
        <w:tc>
          <w:tcPr>
            <w:tcW w:w="1006" w:type="dxa"/>
            <w:gridSpan w:val="3"/>
          </w:tcPr>
          <w:p w:rsidR="007C42AB" w:rsidRPr="006705B9" w:rsidRDefault="007C42AB" w:rsidP="00065FB5">
            <w:pPr>
              <w:tabs>
                <w:tab w:val="left" w:pos="510"/>
              </w:tabs>
              <w:jc w:val="center"/>
              <w:rPr>
                <w:b/>
                <w:lang w:val="lt-LT"/>
              </w:rPr>
            </w:pPr>
            <w:r>
              <w:rPr>
                <w:b/>
                <w:lang w:val="lt-LT"/>
              </w:rPr>
              <w:t>3</w:t>
            </w:r>
          </w:p>
        </w:tc>
        <w:tc>
          <w:tcPr>
            <w:tcW w:w="1157" w:type="dxa"/>
            <w:gridSpan w:val="12"/>
          </w:tcPr>
          <w:p w:rsidR="007C42AB" w:rsidRPr="004273CC" w:rsidRDefault="007C42AB" w:rsidP="00065FB5">
            <w:pPr>
              <w:tabs>
                <w:tab w:val="left" w:pos="510"/>
              </w:tabs>
              <w:jc w:val="both"/>
              <w:rPr>
                <w:lang w:val="lt-LT"/>
              </w:rPr>
            </w:pPr>
          </w:p>
        </w:tc>
        <w:tc>
          <w:tcPr>
            <w:tcW w:w="983" w:type="dxa"/>
            <w:gridSpan w:val="4"/>
          </w:tcPr>
          <w:p w:rsidR="007C42AB" w:rsidRPr="00A909D9" w:rsidRDefault="007C42AB" w:rsidP="00065FB5">
            <w:pPr>
              <w:tabs>
                <w:tab w:val="left" w:pos="510"/>
              </w:tabs>
              <w:jc w:val="center"/>
              <w:rPr>
                <w:b/>
                <w:lang w:val="lt-LT"/>
              </w:rPr>
            </w:pPr>
            <w:r w:rsidRPr="00A909D9">
              <w:rPr>
                <w:b/>
                <w:lang w:val="lt-LT"/>
              </w:rPr>
              <w:t>2</w:t>
            </w:r>
          </w:p>
        </w:tc>
        <w:tc>
          <w:tcPr>
            <w:tcW w:w="708" w:type="dxa"/>
            <w:gridSpan w:val="7"/>
          </w:tcPr>
          <w:p w:rsidR="007C42AB" w:rsidRPr="00A909D9" w:rsidRDefault="007C42AB" w:rsidP="00065FB5">
            <w:pPr>
              <w:tabs>
                <w:tab w:val="left" w:pos="510"/>
              </w:tabs>
              <w:jc w:val="center"/>
              <w:rPr>
                <w:b/>
                <w:lang w:val="lt-LT"/>
              </w:rPr>
            </w:pPr>
            <w:r w:rsidRPr="00A909D9">
              <w:rPr>
                <w:b/>
                <w:lang w:val="lt-LT"/>
              </w:rPr>
              <w:t>3</w:t>
            </w:r>
          </w:p>
        </w:tc>
        <w:tc>
          <w:tcPr>
            <w:tcW w:w="1133" w:type="dxa"/>
            <w:gridSpan w:val="6"/>
          </w:tcPr>
          <w:p w:rsidR="007C42AB" w:rsidRPr="00A909D9" w:rsidRDefault="007C42AB" w:rsidP="00065FB5">
            <w:pPr>
              <w:tabs>
                <w:tab w:val="left" w:pos="510"/>
              </w:tabs>
              <w:jc w:val="center"/>
              <w:rPr>
                <w:b/>
                <w:lang w:val="lt-LT"/>
              </w:rPr>
            </w:pPr>
            <w:r w:rsidRPr="00A909D9">
              <w:rPr>
                <w:b/>
                <w:lang w:val="lt-LT"/>
              </w:rPr>
              <w:t>6</w:t>
            </w:r>
          </w:p>
        </w:tc>
        <w:tc>
          <w:tcPr>
            <w:tcW w:w="1572" w:type="dxa"/>
            <w:gridSpan w:val="3"/>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3451" w:type="dxa"/>
            <w:gridSpan w:val="8"/>
          </w:tcPr>
          <w:p w:rsidR="007C42AB" w:rsidRPr="004273CC" w:rsidRDefault="007C42AB" w:rsidP="00065FB5">
            <w:pPr>
              <w:tabs>
                <w:tab w:val="left" w:pos="510"/>
              </w:tabs>
              <w:jc w:val="both"/>
              <w:rPr>
                <w:lang w:val="lt-LT"/>
              </w:rPr>
            </w:pPr>
            <w:r>
              <w:rPr>
                <w:lang w:val="lt-LT"/>
              </w:rPr>
              <w:t>Atostoginių kaupimai yra skaičiuojami sudėtingai, rankiniu būdu, ar įtraukiamas subjektyvumo aspektas</w:t>
            </w:r>
          </w:p>
        </w:tc>
        <w:tc>
          <w:tcPr>
            <w:tcW w:w="567" w:type="dxa"/>
            <w:gridSpan w:val="7"/>
          </w:tcPr>
          <w:p w:rsidR="007C42AB" w:rsidRPr="004273CC" w:rsidRDefault="007C42AB" w:rsidP="00065FB5">
            <w:pPr>
              <w:tabs>
                <w:tab w:val="left" w:pos="510"/>
              </w:tabs>
              <w:jc w:val="both"/>
              <w:rPr>
                <w:lang w:val="lt-LT"/>
              </w:rPr>
            </w:pPr>
            <w:r>
              <w:rPr>
                <w:lang w:val="lt-LT"/>
              </w:rPr>
              <w:t>V</w:t>
            </w:r>
          </w:p>
        </w:tc>
        <w:tc>
          <w:tcPr>
            <w:tcW w:w="569" w:type="dxa"/>
            <w:gridSpan w:val="7"/>
          </w:tcPr>
          <w:p w:rsidR="007C42AB" w:rsidRPr="004273CC" w:rsidRDefault="007C42AB" w:rsidP="00065FB5">
            <w:pPr>
              <w:tabs>
                <w:tab w:val="left" w:pos="510"/>
              </w:tabs>
              <w:jc w:val="both"/>
              <w:rPr>
                <w:lang w:val="lt-LT"/>
              </w:rPr>
            </w:pPr>
            <w:r>
              <w:rPr>
                <w:lang w:val="lt-LT"/>
              </w:rPr>
              <w:t>IR</w:t>
            </w:r>
          </w:p>
        </w:tc>
        <w:tc>
          <w:tcPr>
            <w:tcW w:w="974" w:type="dxa"/>
            <w:gridSpan w:val="5"/>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6" w:type="dxa"/>
            <w:gridSpan w:val="3"/>
          </w:tcPr>
          <w:p w:rsidR="007C42AB" w:rsidRPr="004273CC" w:rsidRDefault="007C42AB" w:rsidP="00065FB5">
            <w:pPr>
              <w:tabs>
                <w:tab w:val="left" w:pos="510"/>
              </w:tabs>
              <w:jc w:val="both"/>
              <w:rPr>
                <w:lang w:val="lt-LT"/>
              </w:rPr>
            </w:pPr>
          </w:p>
        </w:tc>
        <w:tc>
          <w:tcPr>
            <w:tcW w:w="1157" w:type="dxa"/>
            <w:gridSpan w:val="12"/>
          </w:tcPr>
          <w:p w:rsidR="007C42AB" w:rsidRPr="004273CC" w:rsidRDefault="007C42AB" w:rsidP="00065FB5">
            <w:pPr>
              <w:tabs>
                <w:tab w:val="left" w:pos="510"/>
              </w:tabs>
              <w:jc w:val="both"/>
              <w:rPr>
                <w:lang w:val="lt-LT"/>
              </w:rPr>
            </w:pPr>
          </w:p>
        </w:tc>
        <w:tc>
          <w:tcPr>
            <w:tcW w:w="983" w:type="dxa"/>
            <w:gridSpan w:val="4"/>
          </w:tcPr>
          <w:p w:rsidR="007C42AB" w:rsidRPr="00482C17" w:rsidRDefault="007C42AB" w:rsidP="00065FB5">
            <w:pPr>
              <w:tabs>
                <w:tab w:val="left" w:pos="510"/>
              </w:tabs>
              <w:jc w:val="center"/>
              <w:rPr>
                <w:b/>
                <w:lang w:val="lt-LT"/>
              </w:rPr>
            </w:pPr>
            <w:r w:rsidRPr="00482C17">
              <w:rPr>
                <w:b/>
                <w:lang w:val="lt-LT"/>
              </w:rPr>
              <w:t>3</w:t>
            </w:r>
          </w:p>
        </w:tc>
        <w:tc>
          <w:tcPr>
            <w:tcW w:w="708" w:type="dxa"/>
            <w:gridSpan w:val="7"/>
          </w:tcPr>
          <w:p w:rsidR="007C42AB" w:rsidRPr="00482C17" w:rsidRDefault="007C42AB" w:rsidP="00065FB5">
            <w:pPr>
              <w:tabs>
                <w:tab w:val="left" w:pos="510"/>
              </w:tabs>
              <w:jc w:val="center"/>
              <w:rPr>
                <w:b/>
                <w:lang w:val="lt-LT"/>
              </w:rPr>
            </w:pPr>
            <w:r w:rsidRPr="00482C17">
              <w:rPr>
                <w:b/>
                <w:lang w:val="lt-LT"/>
              </w:rPr>
              <w:t>3</w:t>
            </w:r>
          </w:p>
        </w:tc>
        <w:tc>
          <w:tcPr>
            <w:tcW w:w="1133" w:type="dxa"/>
            <w:gridSpan w:val="6"/>
          </w:tcPr>
          <w:p w:rsidR="007C42AB" w:rsidRPr="00482C17" w:rsidRDefault="007C42AB" w:rsidP="00065FB5">
            <w:pPr>
              <w:tabs>
                <w:tab w:val="left" w:pos="510"/>
              </w:tabs>
              <w:jc w:val="center"/>
              <w:rPr>
                <w:b/>
                <w:lang w:val="lt-LT"/>
              </w:rPr>
            </w:pPr>
            <w:r w:rsidRPr="00482C17">
              <w:rPr>
                <w:b/>
                <w:lang w:val="lt-LT"/>
              </w:rPr>
              <w:t>9</w:t>
            </w:r>
          </w:p>
        </w:tc>
        <w:tc>
          <w:tcPr>
            <w:tcW w:w="1572" w:type="dxa"/>
            <w:gridSpan w:val="3"/>
          </w:tcPr>
          <w:p w:rsidR="007C42AB" w:rsidRPr="004273CC" w:rsidRDefault="007C42AB" w:rsidP="00065FB5">
            <w:pPr>
              <w:tabs>
                <w:tab w:val="left" w:pos="510"/>
              </w:tabs>
              <w:jc w:val="both"/>
              <w:rPr>
                <w:lang w:val="lt-LT"/>
              </w:rPr>
            </w:pPr>
            <w:r>
              <w:rPr>
                <w:lang w:val="lt-LT"/>
              </w:rPr>
              <w:t>Darbo įsipareig.</w:t>
            </w:r>
          </w:p>
        </w:tc>
      </w:tr>
      <w:tr w:rsidR="007C42AB" w:rsidRPr="004273CC" w:rsidTr="001C0D02">
        <w:trPr>
          <w:cantSplit/>
        </w:trPr>
        <w:tc>
          <w:tcPr>
            <w:tcW w:w="1029" w:type="dxa"/>
            <w:gridSpan w:val="5"/>
            <w:vMerge/>
            <w:textDirection w:val="btLr"/>
          </w:tcPr>
          <w:p w:rsidR="007C42AB" w:rsidRPr="004273CC" w:rsidRDefault="007C42AB" w:rsidP="00065FB5">
            <w:pPr>
              <w:tabs>
                <w:tab w:val="left" w:pos="510"/>
              </w:tabs>
              <w:ind w:left="113" w:right="113"/>
              <w:jc w:val="center"/>
              <w:rPr>
                <w:lang w:val="lt-LT"/>
              </w:rPr>
            </w:pPr>
          </w:p>
        </w:tc>
        <w:tc>
          <w:tcPr>
            <w:tcW w:w="3451" w:type="dxa"/>
            <w:gridSpan w:val="8"/>
          </w:tcPr>
          <w:p w:rsidR="007C42AB" w:rsidRDefault="007C42AB" w:rsidP="00065FB5">
            <w:pPr>
              <w:tabs>
                <w:tab w:val="left" w:pos="510"/>
              </w:tabs>
              <w:jc w:val="both"/>
              <w:rPr>
                <w:lang w:val="lt-LT"/>
              </w:rPr>
            </w:pPr>
            <w:r>
              <w:rPr>
                <w:lang w:val="lt-LT"/>
              </w:rPr>
              <w:t>Darbuotojai, skaičiuojantys atlyginimus, nėra nepriklausomi nuo tų, kurie priima darbuotojus ar registruoja atliktą darbą</w:t>
            </w:r>
          </w:p>
        </w:tc>
        <w:tc>
          <w:tcPr>
            <w:tcW w:w="567" w:type="dxa"/>
            <w:gridSpan w:val="7"/>
          </w:tcPr>
          <w:p w:rsidR="007C42AB" w:rsidRPr="004273CC" w:rsidRDefault="007C42AB" w:rsidP="00065FB5">
            <w:pPr>
              <w:tabs>
                <w:tab w:val="left" w:pos="510"/>
              </w:tabs>
              <w:jc w:val="both"/>
              <w:rPr>
                <w:lang w:val="lt-LT"/>
              </w:rPr>
            </w:pPr>
            <w:r>
              <w:rPr>
                <w:lang w:val="lt-LT"/>
              </w:rPr>
              <w:t>I</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974" w:type="dxa"/>
            <w:gridSpan w:val="5"/>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6" w:type="dxa"/>
            <w:gridSpan w:val="3"/>
          </w:tcPr>
          <w:p w:rsidR="007C42AB" w:rsidRPr="004273CC" w:rsidRDefault="007C42AB" w:rsidP="00065FB5">
            <w:pPr>
              <w:tabs>
                <w:tab w:val="left" w:pos="510"/>
              </w:tabs>
              <w:jc w:val="both"/>
              <w:rPr>
                <w:lang w:val="lt-LT"/>
              </w:rPr>
            </w:pPr>
          </w:p>
        </w:tc>
        <w:tc>
          <w:tcPr>
            <w:tcW w:w="1157" w:type="dxa"/>
            <w:gridSpan w:val="12"/>
          </w:tcPr>
          <w:p w:rsidR="007C42AB" w:rsidRPr="004273CC" w:rsidRDefault="007C42AB" w:rsidP="00065FB5">
            <w:pPr>
              <w:tabs>
                <w:tab w:val="left" w:pos="510"/>
              </w:tabs>
              <w:jc w:val="both"/>
              <w:rPr>
                <w:lang w:val="lt-LT"/>
              </w:rPr>
            </w:pPr>
            <w:r>
              <w:rPr>
                <w:lang w:val="lt-LT"/>
              </w:rPr>
              <w:t>Yra</w:t>
            </w:r>
          </w:p>
        </w:tc>
        <w:tc>
          <w:tcPr>
            <w:tcW w:w="983"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2" w:type="dxa"/>
            <w:gridSpan w:val="3"/>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Pr>
        <w:tc>
          <w:tcPr>
            <w:tcW w:w="1029" w:type="dxa"/>
            <w:gridSpan w:val="5"/>
            <w:vMerge/>
          </w:tcPr>
          <w:p w:rsidR="007C42AB" w:rsidRPr="004273CC" w:rsidRDefault="007C42AB" w:rsidP="00065FB5">
            <w:pPr>
              <w:tabs>
                <w:tab w:val="left" w:pos="510"/>
              </w:tabs>
              <w:jc w:val="both"/>
              <w:rPr>
                <w:lang w:val="lt-LT"/>
              </w:rPr>
            </w:pPr>
          </w:p>
        </w:tc>
        <w:tc>
          <w:tcPr>
            <w:tcW w:w="3451" w:type="dxa"/>
            <w:gridSpan w:val="8"/>
          </w:tcPr>
          <w:p w:rsidR="007C42AB" w:rsidRDefault="007C42AB" w:rsidP="00065FB5">
            <w:pPr>
              <w:tabs>
                <w:tab w:val="left" w:pos="510"/>
              </w:tabs>
              <w:jc w:val="both"/>
              <w:rPr>
                <w:lang w:val="lt-LT"/>
              </w:rPr>
            </w:pPr>
            <w:r>
              <w:rPr>
                <w:lang w:val="lt-LT"/>
              </w:rPr>
              <w:t>Mokesčiai iš atlyginimo išskaičiuojami rankiniu būdu</w:t>
            </w:r>
          </w:p>
          <w:p w:rsidR="007C42AB" w:rsidRDefault="007C42AB" w:rsidP="00065FB5">
            <w:pPr>
              <w:tabs>
                <w:tab w:val="left" w:pos="510"/>
              </w:tabs>
              <w:jc w:val="both"/>
              <w:rPr>
                <w:lang w:val="lt-LT"/>
              </w:rPr>
            </w:pPr>
          </w:p>
        </w:tc>
        <w:tc>
          <w:tcPr>
            <w:tcW w:w="567" w:type="dxa"/>
            <w:gridSpan w:val="7"/>
          </w:tcPr>
          <w:p w:rsidR="007C42AB" w:rsidRPr="004273CC" w:rsidRDefault="007C42AB" w:rsidP="00065FB5">
            <w:pPr>
              <w:tabs>
                <w:tab w:val="left" w:pos="510"/>
              </w:tabs>
              <w:jc w:val="both"/>
              <w:rPr>
                <w:lang w:val="lt-LT"/>
              </w:rPr>
            </w:pPr>
            <w:r>
              <w:rPr>
                <w:lang w:val="lt-LT"/>
              </w:rPr>
              <w:t>I</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974" w:type="dxa"/>
            <w:gridSpan w:val="5"/>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6" w:type="dxa"/>
            <w:gridSpan w:val="3"/>
          </w:tcPr>
          <w:p w:rsidR="007C42AB" w:rsidRPr="004273CC" w:rsidRDefault="007C42AB" w:rsidP="00065FB5">
            <w:pPr>
              <w:tabs>
                <w:tab w:val="left" w:pos="510"/>
              </w:tabs>
              <w:jc w:val="both"/>
              <w:rPr>
                <w:lang w:val="lt-LT"/>
              </w:rPr>
            </w:pPr>
          </w:p>
        </w:tc>
        <w:tc>
          <w:tcPr>
            <w:tcW w:w="1157" w:type="dxa"/>
            <w:gridSpan w:val="12"/>
          </w:tcPr>
          <w:p w:rsidR="007C42AB" w:rsidRPr="004273CC" w:rsidRDefault="007C42AB" w:rsidP="00065FB5">
            <w:pPr>
              <w:tabs>
                <w:tab w:val="left" w:pos="510"/>
              </w:tabs>
              <w:jc w:val="both"/>
              <w:rPr>
                <w:lang w:val="lt-LT"/>
              </w:rPr>
            </w:pPr>
            <w:r>
              <w:rPr>
                <w:lang w:val="lt-LT"/>
              </w:rPr>
              <w:t>Ne</w:t>
            </w:r>
          </w:p>
        </w:tc>
        <w:tc>
          <w:tcPr>
            <w:tcW w:w="983"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2" w:type="dxa"/>
            <w:gridSpan w:val="3"/>
          </w:tcPr>
          <w:p w:rsidR="007C42AB" w:rsidRPr="004273CC" w:rsidRDefault="007C42AB" w:rsidP="00065FB5">
            <w:pPr>
              <w:tabs>
                <w:tab w:val="left" w:pos="510"/>
              </w:tabs>
              <w:jc w:val="both"/>
              <w:rPr>
                <w:lang w:val="lt-LT"/>
              </w:rPr>
            </w:pPr>
            <w:r>
              <w:rPr>
                <w:lang w:val="lt-LT"/>
              </w:rPr>
              <w:t>Ne</w:t>
            </w:r>
          </w:p>
        </w:tc>
      </w:tr>
      <w:tr w:rsidR="007C42AB" w:rsidRPr="004273CC" w:rsidTr="001C0D02">
        <w:trPr>
          <w:cantSplit/>
        </w:trPr>
        <w:tc>
          <w:tcPr>
            <w:tcW w:w="1029" w:type="dxa"/>
            <w:gridSpan w:val="5"/>
            <w:vMerge/>
          </w:tcPr>
          <w:p w:rsidR="007C42AB" w:rsidRPr="004273CC" w:rsidRDefault="007C42AB" w:rsidP="00065FB5">
            <w:pPr>
              <w:tabs>
                <w:tab w:val="left" w:pos="510"/>
              </w:tabs>
              <w:jc w:val="both"/>
              <w:rPr>
                <w:lang w:val="lt-LT"/>
              </w:rPr>
            </w:pPr>
          </w:p>
        </w:tc>
        <w:tc>
          <w:tcPr>
            <w:tcW w:w="3451" w:type="dxa"/>
            <w:gridSpan w:val="8"/>
          </w:tcPr>
          <w:p w:rsidR="007C42AB" w:rsidRPr="00FB630B" w:rsidRDefault="007C42AB" w:rsidP="007C42AB">
            <w:pPr>
              <w:tabs>
                <w:tab w:val="left" w:pos="510"/>
              </w:tabs>
              <w:jc w:val="both"/>
              <w:rPr>
                <w:lang w:val="lt-LT"/>
              </w:rPr>
            </w:pPr>
            <w:r w:rsidRPr="00FB630B">
              <w:rPr>
                <w:lang w:val="lt-LT"/>
              </w:rPr>
              <w:t>Nėra kontroliuojamas atlyginimų priskaitymo bei mokesčių išskaičiavimo teisingumas</w:t>
            </w:r>
          </w:p>
        </w:tc>
        <w:tc>
          <w:tcPr>
            <w:tcW w:w="567" w:type="dxa"/>
            <w:gridSpan w:val="7"/>
          </w:tcPr>
          <w:p w:rsidR="007C42AB" w:rsidRPr="007C42AB" w:rsidRDefault="007C42AB" w:rsidP="007C42AB">
            <w:pPr>
              <w:tabs>
                <w:tab w:val="left" w:pos="510"/>
              </w:tabs>
              <w:jc w:val="both"/>
            </w:pPr>
            <w:r w:rsidRPr="007C42AB">
              <w:t>I, V</w:t>
            </w:r>
          </w:p>
        </w:tc>
        <w:tc>
          <w:tcPr>
            <w:tcW w:w="569" w:type="dxa"/>
            <w:gridSpan w:val="7"/>
          </w:tcPr>
          <w:p w:rsidR="007C42AB" w:rsidRPr="007C42AB" w:rsidRDefault="007C42AB" w:rsidP="007C42AB">
            <w:pPr>
              <w:tabs>
                <w:tab w:val="left" w:pos="510"/>
              </w:tabs>
              <w:jc w:val="both"/>
            </w:pPr>
            <w:r w:rsidRPr="007C42AB">
              <w:t>KR</w:t>
            </w:r>
          </w:p>
        </w:tc>
        <w:tc>
          <w:tcPr>
            <w:tcW w:w="974" w:type="dxa"/>
            <w:gridSpan w:val="5"/>
          </w:tcPr>
          <w:p w:rsidR="007C42AB" w:rsidRPr="007C42AB" w:rsidRDefault="007C42AB" w:rsidP="007C42AB">
            <w:pPr>
              <w:tabs>
                <w:tab w:val="left" w:pos="510"/>
              </w:tabs>
              <w:jc w:val="both"/>
            </w:pPr>
          </w:p>
        </w:tc>
        <w:tc>
          <w:tcPr>
            <w:tcW w:w="709" w:type="dxa"/>
            <w:gridSpan w:val="8"/>
          </w:tcPr>
          <w:p w:rsidR="007C42AB" w:rsidRPr="007C42AB" w:rsidRDefault="007C42AB" w:rsidP="007C42AB">
            <w:pPr>
              <w:tabs>
                <w:tab w:val="left" w:pos="510"/>
              </w:tabs>
              <w:jc w:val="both"/>
            </w:pPr>
          </w:p>
        </w:tc>
        <w:tc>
          <w:tcPr>
            <w:tcW w:w="1006" w:type="dxa"/>
            <w:gridSpan w:val="3"/>
          </w:tcPr>
          <w:p w:rsidR="007C42AB" w:rsidRPr="007C42AB" w:rsidRDefault="007C42AB" w:rsidP="007C42AB">
            <w:pPr>
              <w:tabs>
                <w:tab w:val="left" w:pos="510"/>
              </w:tabs>
              <w:jc w:val="both"/>
            </w:pPr>
          </w:p>
        </w:tc>
        <w:tc>
          <w:tcPr>
            <w:tcW w:w="1157" w:type="dxa"/>
            <w:gridSpan w:val="12"/>
          </w:tcPr>
          <w:p w:rsidR="007C42AB" w:rsidRPr="007C42AB" w:rsidRDefault="007C42AB" w:rsidP="007C42AB">
            <w:pPr>
              <w:tabs>
                <w:tab w:val="left" w:pos="510"/>
              </w:tabs>
              <w:jc w:val="both"/>
            </w:pPr>
            <w:r w:rsidRPr="007C42AB">
              <w:t>Yra</w:t>
            </w:r>
          </w:p>
        </w:tc>
        <w:tc>
          <w:tcPr>
            <w:tcW w:w="983" w:type="dxa"/>
            <w:gridSpan w:val="4"/>
          </w:tcPr>
          <w:p w:rsidR="007C42AB" w:rsidRPr="007C42AB" w:rsidRDefault="007C42AB" w:rsidP="007C42AB">
            <w:pPr>
              <w:tabs>
                <w:tab w:val="left" w:pos="510"/>
              </w:tabs>
              <w:jc w:val="both"/>
            </w:pPr>
          </w:p>
        </w:tc>
        <w:tc>
          <w:tcPr>
            <w:tcW w:w="708" w:type="dxa"/>
            <w:gridSpan w:val="7"/>
          </w:tcPr>
          <w:p w:rsidR="007C42AB" w:rsidRPr="007C42AB" w:rsidRDefault="007C42AB" w:rsidP="007C42AB">
            <w:pPr>
              <w:tabs>
                <w:tab w:val="left" w:pos="510"/>
              </w:tabs>
              <w:jc w:val="both"/>
            </w:pPr>
          </w:p>
        </w:tc>
        <w:tc>
          <w:tcPr>
            <w:tcW w:w="1133" w:type="dxa"/>
            <w:gridSpan w:val="6"/>
          </w:tcPr>
          <w:p w:rsidR="007C42AB" w:rsidRPr="007C42AB" w:rsidRDefault="007C42AB" w:rsidP="007C42AB">
            <w:pPr>
              <w:tabs>
                <w:tab w:val="left" w:pos="510"/>
              </w:tabs>
              <w:jc w:val="both"/>
            </w:pPr>
          </w:p>
        </w:tc>
        <w:tc>
          <w:tcPr>
            <w:tcW w:w="1572" w:type="dxa"/>
            <w:gridSpan w:val="3"/>
          </w:tcPr>
          <w:p w:rsidR="007C42AB" w:rsidRPr="007C42AB" w:rsidRDefault="007C42AB" w:rsidP="007C42AB">
            <w:pPr>
              <w:tabs>
                <w:tab w:val="left" w:pos="510"/>
              </w:tabs>
              <w:jc w:val="both"/>
            </w:pPr>
            <w:r w:rsidRPr="007C42AB">
              <w:t>Yra</w:t>
            </w:r>
          </w:p>
        </w:tc>
      </w:tr>
      <w:tr w:rsidR="007C42AB" w:rsidRPr="004273CC" w:rsidTr="001C0D02">
        <w:trPr>
          <w:cantSplit/>
        </w:trPr>
        <w:tc>
          <w:tcPr>
            <w:tcW w:w="4480" w:type="dxa"/>
            <w:gridSpan w:val="13"/>
            <w:vMerge w:val="restart"/>
          </w:tcPr>
          <w:p w:rsidR="007C42AB" w:rsidRPr="004273CC" w:rsidRDefault="007C42AB" w:rsidP="00065FB5">
            <w:pPr>
              <w:tabs>
                <w:tab w:val="left" w:pos="510"/>
              </w:tabs>
              <w:ind w:left="113" w:right="113"/>
              <w:jc w:val="center"/>
              <w:rPr>
                <w:lang w:val="lt-LT"/>
              </w:rPr>
            </w:pPr>
            <w:r>
              <w:rPr>
                <w:b/>
                <w:lang w:val="lt-LT"/>
              </w:rPr>
              <w:lastRenderedPageBreak/>
              <w:t>Finansinių ataskaitų elemento ir/ar jo tvirtinimo pobūdis ir jam taikoma vidaus kontrolės sistema</w:t>
            </w:r>
          </w:p>
        </w:tc>
        <w:tc>
          <w:tcPr>
            <w:tcW w:w="567" w:type="dxa"/>
            <w:gridSpan w:val="7"/>
            <w:vMerge w:val="restart"/>
            <w:textDirection w:val="btLr"/>
          </w:tcPr>
          <w:p w:rsidR="007C42AB" w:rsidRPr="004273CC" w:rsidRDefault="007C42AB" w:rsidP="00065FB5">
            <w:pPr>
              <w:tabs>
                <w:tab w:val="left" w:pos="510"/>
              </w:tabs>
              <w:ind w:left="113" w:right="113"/>
              <w:jc w:val="center"/>
              <w:rPr>
                <w:lang w:val="lt-LT"/>
              </w:rPr>
            </w:pPr>
            <w:r>
              <w:rPr>
                <w:b/>
                <w:lang w:val="lt-LT"/>
              </w:rPr>
              <w:t>Tvirtinimas</w:t>
            </w:r>
          </w:p>
        </w:tc>
        <w:tc>
          <w:tcPr>
            <w:tcW w:w="569" w:type="dxa"/>
            <w:gridSpan w:val="7"/>
            <w:vMerge w:val="restart"/>
            <w:textDirection w:val="btLr"/>
          </w:tcPr>
          <w:p w:rsidR="007C42AB" w:rsidRPr="004273CC" w:rsidRDefault="007C42AB" w:rsidP="00065FB5">
            <w:pPr>
              <w:tabs>
                <w:tab w:val="left" w:pos="510"/>
              </w:tabs>
              <w:ind w:left="113" w:right="113"/>
              <w:jc w:val="center"/>
              <w:rPr>
                <w:lang w:val="lt-LT"/>
              </w:rPr>
            </w:pPr>
            <w:r>
              <w:rPr>
                <w:b/>
                <w:lang w:val="lt-LT"/>
              </w:rPr>
              <w:t>IR / KR</w:t>
            </w:r>
          </w:p>
          <w:p w:rsidR="007C42AB" w:rsidRPr="004273CC" w:rsidRDefault="007C42AB" w:rsidP="00065FB5">
            <w:pPr>
              <w:tabs>
                <w:tab w:val="left" w:pos="510"/>
              </w:tabs>
              <w:ind w:left="113" w:right="113"/>
              <w:jc w:val="center"/>
              <w:rPr>
                <w:lang w:val="lt-LT"/>
              </w:rPr>
            </w:pPr>
          </w:p>
        </w:tc>
        <w:tc>
          <w:tcPr>
            <w:tcW w:w="3846" w:type="dxa"/>
            <w:gridSpan w:val="28"/>
          </w:tcPr>
          <w:p w:rsidR="007C42AB" w:rsidRDefault="007C42AB" w:rsidP="00065FB5">
            <w:pPr>
              <w:tabs>
                <w:tab w:val="left" w:pos="510"/>
              </w:tabs>
              <w:jc w:val="center"/>
              <w:rPr>
                <w:lang w:val="lt-LT"/>
              </w:rPr>
            </w:pPr>
            <w:r>
              <w:rPr>
                <w:b/>
                <w:lang w:val="lt-LT"/>
              </w:rPr>
              <w:t>UAB „Šiluma“</w:t>
            </w:r>
          </w:p>
        </w:tc>
        <w:tc>
          <w:tcPr>
            <w:tcW w:w="4396" w:type="dxa"/>
            <w:gridSpan w:val="20"/>
          </w:tcPr>
          <w:p w:rsidR="007C42AB" w:rsidRDefault="007C42AB" w:rsidP="00065FB5">
            <w:pPr>
              <w:tabs>
                <w:tab w:val="left" w:pos="510"/>
              </w:tabs>
              <w:jc w:val="center"/>
              <w:rPr>
                <w:lang w:val="lt-LT"/>
              </w:rPr>
            </w:pPr>
            <w:r>
              <w:rPr>
                <w:b/>
                <w:lang w:val="lt-LT"/>
              </w:rPr>
              <w:t>UAB „Žuvila“</w:t>
            </w:r>
          </w:p>
        </w:tc>
      </w:tr>
      <w:tr w:rsidR="007C42AB" w:rsidRPr="004273CC" w:rsidTr="001C0D02">
        <w:trPr>
          <w:cantSplit/>
        </w:trPr>
        <w:tc>
          <w:tcPr>
            <w:tcW w:w="4480" w:type="dxa"/>
            <w:gridSpan w:val="13"/>
            <w:vMerge/>
          </w:tcPr>
          <w:p w:rsidR="007C42AB" w:rsidRPr="004273CC" w:rsidRDefault="007C42AB" w:rsidP="00065FB5">
            <w:pPr>
              <w:tabs>
                <w:tab w:val="left" w:pos="510"/>
              </w:tabs>
              <w:jc w:val="center"/>
              <w:rPr>
                <w:lang w:val="lt-LT"/>
              </w:rPr>
            </w:pPr>
          </w:p>
        </w:tc>
        <w:tc>
          <w:tcPr>
            <w:tcW w:w="567" w:type="dxa"/>
            <w:gridSpan w:val="7"/>
            <w:vMerge/>
            <w:vAlign w:val="center"/>
          </w:tcPr>
          <w:p w:rsidR="007C42AB" w:rsidRPr="004273CC" w:rsidRDefault="007C42AB" w:rsidP="00065FB5">
            <w:pPr>
              <w:tabs>
                <w:tab w:val="left" w:pos="510"/>
              </w:tabs>
              <w:jc w:val="center"/>
              <w:rPr>
                <w:lang w:val="lt-LT"/>
              </w:rPr>
            </w:pPr>
          </w:p>
        </w:tc>
        <w:tc>
          <w:tcPr>
            <w:tcW w:w="569" w:type="dxa"/>
            <w:gridSpan w:val="7"/>
            <w:vMerge/>
            <w:vAlign w:val="center"/>
          </w:tcPr>
          <w:p w:rsidR="007C42AB" w:rsidRPr="004273CC" w:rsidRDefault="007C42AB" w:rsidP="00065FB5">
            <w:pPr>
              <w:tabs>
                <w:tab w:val="left" w:pos="510"/>
              </w:tabs>
              <w:jc w:val="center"/>
              <w:rPr>
                <w:lang w:val="lt-LT"/>
              </w:rPr>
            </w:pPr>
          </w:p>
        </w:tc>
        <w:tc>
          <w:tcPr>
            <w:tcW w:w="2997" w:type="dxa"/>
            <w:gridSpan w:val="22"/>
          </w:tcPr>
          <w:p w:rsidR="007C42AB" w:rsidRPr="004273CC" w:rsidRDefault="007C42AB" w:rsidP="00065FB5">
            <w:pPr>
              <w:tabs>
                <w:tab w:val="left" w:pos="510"/>
              </w:tabs>
              <w:jc w:val="center"/>
              <w:rPr>
                <w:lang w:val="lt-LT"/>
              </w:rPr>
            </w:pPr>
            <w:r w:rsidRPr="004273CC">
              <w:rPr>
                <w:b/>
                <w:lang w:val="lt-LT"/>
              </w:rPr>
              <w:t>Rizikos vertinima</w:t>
            </w:r>
            <w:r>
              <w:rPr>
                <w:b/>
                <w:lang w:val="lt-LT"/>
              </w:rPr>
              <w:t>s</w:t>
            </w:r>
          </w:p>
        </w:tc>
        <w:tc>
          <w:tcPr>
            <w:tcW w:w="849" w:type="dxa"/>
            <w:gridSpan w:val="6"/>
            <w:vMerge w:val="restart"/>
            <w:vAlign w:val="center"/>
          </w:tcPr>
          <w:p w:rsidR="007C42AB" w:rsidRDefault="007C42AB" w:rsidP="00065FB5">
            <w:pPr>
              <w:tabs>
                <w:tab w:val="left" w:pos="510"/>
              </w:tabs>
              <w:jc w:val="center"/>
              <w:rPr>
                <w:lang w:val="lt-LT"/>
              </w:rPr>
            </w:pPr>
            <w:r w:rsidRPr="004273CC">
              <w:rPr>
                <w:b/>
                <w:lang w:val="lt-LT"/>
              </w:rPr>
              <w:t>Pastabos</w:t>
            </w:r>
          </w:p>
        </w:tc>
        <w:tc>
          <w:tcPr>
            <w:tcW w:w="2981" w:type="dxa"/>
            <w:gridSpan w:val="19"/>
          </w:tcPr>
          <w:p w:rsidR="007C42AB" w:rsidRDefault="007C42AB" w:rsidP="00065FB5">
            <w:pPr>
              <w:tabs>
                <w:tab w:val="left" w:pos="510"/>
              </w:tabs>
              <w:jc w:val="center"/>
              <w:rPr>
                <w:b/>
                <w:lang w:val="lt-LT"/>
              </w:rPr>
            </w:pPr>
            <w:r w:rsidRPr="004273CC">
              <w:rPr>
                <w:b/>
                <w:lang w:val="lt-LT"/>
              </w:rPr>
              <w:t>Rizikos vertinimas</w:t>
            </w:r>
          </w:p>
        </w:tc>
        <w:tc>
          <w:tcPr>
            <w:tcW w:w="1415" w:type="dxa"/>
            <w:vMerge w:val="restart"/>
            <w:vAlign w:val="center"/>
          </w:tcPr>
          <w:p w:rsidR="007C42AB" w:rsidRDefault="007C42AB" w:rsidP="00065FB5">
            <w:pPr>
              <w:tabs>
                <w:tab w:val="left" w:pos="510"/>
              </w:tabs>
              <w:jc w:val="center"/>
              <w:rPr>
                <w:lang w:val="lt-LT"/>
              </w:rPr>
            </w:pPr>
            <w:r w:rsidRPr="004273CC">
              <w:rPr>
                <w:b/>
                <w:lang w:val="lt-LT"/>
              </w:rPr>
              <w:t>Pastabo</w:t>
            </w:r>
            <w:r>
              <w:rPr>
                <w:b/>
                <w:lang w:val="lt-LT"/>
              </w:rPr>
              <w:t>s</w:t>
            </w:r>
          </w:p>
        </w:tc>
      </w:tr>
      <w:tr w:rsidR="007C42AB" w:rsidRPr="004273CC" w:rsidTr="001C0D02">
        <w:trPr>
          <w:cantSplit/>
          <w:trHeight w:val="557"/>
        </w:trPr>
        <w:tc>
          <w:tcPr>
            <w:tcW w:w="1029" w:type="dxa"/>
            <w:gridSpan w:val="5"/>
          </w:tcPr>
          <w:p w:rsidR="007C42AB" w:rsidRPr="006C567F" w:rsidRDefault="007C42AB" w:rsidP="00065FB5">
            <w:pPr>
              <w:tabs>
                <w:tab w:val="left" w:pos="510"/>
              </w:tabs>
              <w:jc w:val="center"/>
              <w:rPr>
                <w:b/>
                <w:lang w:val="lt-LT"/>
              </w:rPr>
            </w:pPr>
            <w:r w:rsidRPr="006C567F">
              <w:rPr>
                <w:b/>
                <w:lang w:val="lt-LT"/>
              </w:rPr>
              <w:t>Tipas</w:t>
            </w:r>
          </w:p>
        </w:tc>
        <w:tc>
          <w:tcPr>
            <w:tcW w:w="3451" w:type="dxa"/>
            <w:gridSpan w:val="8"/>
          </w:tcPr>
          <w:p w:rsidR="007C42AB" w:rsidRPr="004273CC" w:rsidRDefault="007C42AB" w:rsidP="00065FB5">
            <w:pPr>
              <w:tabs>
                <w:tab w:val="left" w:pos="510"/>
              </w:tabs>
              <w:jc w:val="center"/>
              <w:rPr>
                <w:lang w:val="lt-LT"/>
              </w:rPr>
            </w:pPr>
            <w:r w:rsidRPr="005618BC">
              <w:rPr>
                <w:b/>
                <w:lang w:val="lt-LT"/>
              </w:rPr>
              <w:t>Veiksniai</w:t>
            </w:r>
          </w:p>
        </w:tc>
        <w:tc>
          <w:tcPr>
            <w:tcW w:w="567" w:type="dxa"/>
            <w:gridSpan w:val="7"/>
            <w:vMerge/>
          </w:tcPr>
          <w:p w:rsidR="007C42AB" w:rsidRPr="004273CC" w:rsidRDefault="007C42AB" w:rsidP="00065FB5">
            <w:pPr>
              <w:tabs>
                <w:tab w:val="left" w:pos="510"/>
              </w:tabs>
              <w:jc w:val="center"/>
              <w:rPr>
                <w:lang w:val="lt-LT"/>
              </w:rPr>
            </w:pPr>
          </w:p>
        </w:tc>
        <w:tc>
          <w:tcPr>
            <w:tcW w:w="569" w:type="dxa"/>
            <w:gridSpan w:val="7"/>
            <w:vMerge/>
          </w:tcPr>
          <w:p w:rsidR="007C42AB" w:rsidRPr="004273CC" w:rsidRDefault="007C42AB" w:rsidP="00065FB5">
            <w:pPr>
              <w:tabs>
                <w:tab w:val="left" w:pos="510"/>
              </w:tabs>
              <w:jc w:val="center"/>
              <w:rPr>
                <w:lang w:val="lt-LT"/>
              </w:rPr>
            </w:pPr>
          </w:p>
        </w:tc>
        <w:tc>
          <w:tcPr>
            <w:tcW w:w="1133" w:type="dxa"/>
            <w:gridSpan w:val="7"/>
          </w:tcPr>
          <w:p w:rsidR="007C42AB" w:rsidRPr="004273CC" w:rsidRDefault="007C42AB" w:rsidP="00065FB5">
            <w:pPr>
              <w:tabs>
                <w:tab w:val="left" w:pos="510"/>
              </w:tabs>
              <w:jc w:val="center"/>
              <w:rPr>
                <w:lang w:val="lt-LT"/>
              </w:rPr>
            </w:pPr>
            <w:r w:rsidRPr="004273CC">
              <w:rPr>
                <w:lang w:val="lt-LT"/>
              </w:rPr>
              <w:t>Tikimybė (1-5)</w:t>
            </w:r>
          </w:p>
        </w:tc>
        <w:tc>
          <w:tcPr>
            <w:tcW w:w="708" w:type="dxa"/>
            <w:gridSpan w:val="8"/>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156" w:type="dxa"/>
            <w:gridSpan w:val="7"/>
          </w:tcPr>
          <w:p w:rsidR="007C42AB" w:rsidRPr="004273CC" w:rsidRDefault="007C42AB" w:rsidP="00065FB5">
            <w:pPr>
              <w:tabs>
                <w:tab w:val="left" w:pos="510"/>
              </w:tabs>
              <w:jc w:val="center"/>
              <w:rPr>
                <w:lang w:val="lt-LT"/>
              </w:rPr>
            </w:pPr>
            <w:r w:rsidRPr="004273CC">
              <w:rPr>
                <w:lang w:val="lt-LT"/>
              </w:rPr>
              <w:t>Tikimybė * Įtaka</w:t>
            </w:r>
          </w:p>
        </w:tc>
        <w:tc>
          <w:tcPr>
            <w:tcW w:w="849" w:type="dxa"/>
            <w:gridSpan w:val="6"/>
            <w:vMerge/>
          </w:tcPr>
          <w:p w:rsidR="007C42AB" w:rsidRPr="004273CC" w:rsidRDefault="007C42AB" w:rsidP="00065FB5">
            <w:pPr>
              <w:tabs>
                <w:tab w:val="left" w:pos="510"/>
              </w:tabs>
              <w:jc w:val="center"/>
              <w:rPr>
                <w:lang w:val="lt-LT"/>
              </w:rPr>
            </w:pPr>
          </w:p>
        </w:tc>
        <w:tc>
          <w:tcPr>
            <w:tcW w:w="1140" w:type="dxa"/>
            <w:gridSpan w:val="7"/>
          </w:tcPr>
          <w:p w:rsidR="007C42AB" w:rsidRPr="004273CC" w:rsidRDefault="007C42AB" w:rsidP="00065FB5">
            <w:pPr>
              <w:tabs>
                <w:tab w:val="left" w:pos="510"/>
              </w:tabs>
              <w:jc w:val="center"/>
              <w:rPr>
                <w:lang w:val="lt-LT"/>
              </w:rPr>
            </w:pPr>
            <w:r w:rsidRPr="004273CC">
              <w:rPr>
                <w:lang w:val="lt-LT"/>
              </w:rPr>
              <w:t>Tikimybė (1-5)</w:t>
            </w:r>
          </w:p>
        </w:tc>
        <w:tc>
          <w:tcPr>
            <w:tcW w:w="708" w:type="dxa"/>
            <w:gridSpan w:val="6"/>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133" w:type="dxa"/>
            <w:gridSpan w:val="6"/>
          </w:tcPr>
          <w:p w:rsidR="007C42AB" w:rsidRPr="004273CC" w:rsidRDefault="007C42AB" w:rsidP="00065FB5">
            <w:pPr>
              <w:tabs>
                <w:tab w:val="left" w:pos="510"/>
              </w:tabs>
              <w:jc w:val="center"/>
              <w:rPr>
                <w:lang w:val="lt-LT"/>
              </w:rPr>
            </w:pPr>
            <w:r w:rsidRPr="004273CC">
              <w:rPr>
                <w:lang w:val="lt-LT"/>
              </w:rPr>
              <w:t>Tikimybė * Įtaka</w:t>
            </w:r>
          </w:p>
        </w:tc>
        <w:tc>
          <w:tcPr>
            <w:tcW w:w="1415" w:type="dxa"/>
            <w:vMerge/>
          </w:tcPr>
          <w:p w:rsidR="007C42AB" w:rsidRDefault="007C42AB" w:rsidP="00065FB5">
            <w:pPr>
              <w:tabs>
                <w:tab w:val="left" w:pos="510"/>
              </w:tabs>
              <w:jc w:val="both"/>
              <w:rPr>
                <w:lang w:val="lt-LT"/>
              </w:rPr>
            </w:pPr>
          </w:p>
        </w:tc>
      </w:tr>
      <w:tr w:rsidR="007C42AB" w:rsidRPr="004273CC" w:rsidTr="001C0D02">
        <w:trPr>
          <w:cantSplit/>
        </w:trPr>
        <w:tc>
          <w:tcPr>
            <w:tcW w:w="1029" w:type="dxa"/>
            <w:gridSpan w:val="5"/>
            <w:vMerge w:val="restart"/>
            <w:textDirection w:val="btLr"/>
          </w:tcPr>
          <w:p w:rsidR="007C42AB" w:rsidRDefault="007C42AB" w:rsidP="00065FB5">
            <w:pPr>
              <w:tabs>
                <w:tab w:val="left" w:pos="510"/>
              </w:tabs>
              <w:ind w:left="113" w:right="113"/>
              <w:jc w:val="center"/>
              <w:rPr>
                <w:b/>
                <w:lang w:val="lt-LT"/>
              </w:rPr>
            </w:pPr>
            <w:r w:rsidRPr="002E216D">
              <w:rPr>
                <w:b/>
                <w:lang w:val="lt-LT"/>
              </w:rPr>
              <w:t>Per vienerius metus mokėtinos sumos ir</w:t>
            </w:r>
          </w:p>
          <w:p w:rsidR="007C42AB" w:rsidRPr="001A6D23" w:rsidRDefault="007C42AB" w:rsidP="00065FB5">
            <w:pPr>
              <w:tabs>
                <w:tab w:val="left" w:pos="510"/>
              </w:tabs>
              <w:ind w:left="113" w:right="113"/>
              <w:jc w:val="center"/>
              <w:rPr>
                <w:lang w:val="lt-LT"/>
              </w:rPr>
            </w:pPr>
            <w:r w:rsidRPr="002E216D">
              <w:rPr>
                <w:b/>
                <w:lang w:val="lt-LT"/>
              </w:rPr>
              <w:t>trumpalaikiai įsipareigojimai</w:t>
            </w:r>
          </w:p>
          <w:p w:rsidR="007C42AB" w:rsidRPr="004273CC" w:rsidRDefault="007C42AB" w:rsidP="00065FB5">
            <w:pPr>
              <w:tabs>
                <w:tab w:val="left" w:pos="510"/>
              </w:tabs>
              <w:ind w:left="113" w:right="113"/>
              <w:jc w:val="both"/>
              <w:rPr>
                <w:lang w:val="lt-LT"/>
              </w:rPr>
            </w:pPr>
          </w:p>
        </w:tc>
        <w:tc>
          <w:tcPr>
            <w:tcW w:w="3451" w:type="dxa"/>
            <w:gridSpan w:val="8"/>
          </w:tcPr>
          <w:p w:rsidR="007C42AB" w:rsidRDefault="007C42AB" w:rsidP="00065FB5">
            <w:pPr>
              <w:tabs>
                <w:tab w:val="left" w:pos="510"/>
              </w:tabs>
              <w:jc w:val="both"/>
              <w:rPr>
                <w:lang w:val="lt-LT"/>
              </w:rPr>
            </w:pPr>
            <w:r>
              <w:rPr>
                <w:lang w:val="lt-LT"/>
              </w:rPr>
              <w:t>Atlyginimų priskaitymo bei mokėjimo dokumentai nėra patvirtinti įmonės vadovo ar kito įgalioto asmens</w:t>
            </w:r>
          </w:p>
        </w:tc>
        <w:tc>
          <w:tcPr>
            <w:tcW w:w="567" w:type="dxa"/>
            <w:gridSpan w:val="7"/>
          </w:tcPr>
          <w:p w:rsidR="007C42AB" w:rsidRPr="004273CC" w:rsidRDefault="007C42AB" w:rsidP="00065FB5">
            <w:pPr>
              <w:tabs>
                <w:tab w:val="left" w:pos="510"/>
              </w:tabs>
              <w:jc w:val="both"/>
              <w:rPr>
                <w:lang w:val="lt-LT"/>
              </w:rPr>
            </w:pPr>
            <w:r>
              <w:rPr>
                <w:lang w:val="lt-LT"/>
              </w:rPr>
              <w:t>B</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1133" w:type="dxa"/>
            <w:gridSpan w:val="7"/>
          </w:tcPr>
          <w:p w:rsidR="007C42AB" w:rsidRPr="004273CC" w:rsidRDefault="007C42AB" w:rsidP="00065FB5">
            <w:pPr>
              <w:tabs>
                <w:tab w:val="left" w:pos="510"/>
              </w:tabs>
              <w:jc w:val="both"/>
              <w:rPr>
                <w:lang w:val="lt-LT"/>
              </w:rPr>
            </w:pPr>
          </w:p>
        </w:tc>
        <w:tc>
          <w:tcPr>
            <w:tcW w:w="708" w:type="dxa"/>
            <w:gridSpan w:val="8"/>
          </w:tcPr>
          <w:p w:rsidR="007C42AB" w:rsidRPr="004273CC" w:rsidRDefault="007C42AB" w:rsidP="00065FB5">
            <w:pPr>
              <w:tabs>
                <w:tab w:val="left" w:pos="510"/>
              </w:tabs>
              <w:jc w:val="both"/>
              <w:rPr>
                <w:lang w:val="lt-LT"/>
              </w:rPr>
            </w:pPr>
          </w:p>
        </w:tc>
        <w:tc>
          <w:tcPr>
            <w:tcW w:w="1156" w:type="dxa"/>
            <w:gridSpan w:val="7"/>
          </w:tcPr>
          <w:p w:rsidR="007C42AB" w:rsidRPr="004273CC" w:rsidRDefault="007C42AB" w:rsidP="00065FB5">
            <w:pPr>
              <w:tabs>
                <w:tab w:val="left" w:pos="510"/>
              </w:tabs>
              <w:jc w:val="both"/>
              <w:rPr>
                <w:lang w:val="lt-LT"/>
              </w:rPr>
            </w:pPr>
          </w:p>
        </w:tc>
        <w:tc>
          <w:tcPr>
            <w:tcW w:w="849" w:type="dxa"/>
            <w:gridSpan w:val="6"/>
          </w:tcPr>
          <w:p w:rsidR="007C42AB" w:rsidRPr="004273CC" w:rsidRDefault="007C42AB" w:rsidP="00065FB5">
            <w:pPr>
              <w:tabs>
                <w:tab w:val="left" w:pos="510"/>
              </w:tabs>
              <w:jc w:val="both"/>
              <w:rPr>
                <w:lang w:val="lt-LT"/>
              </w:rPr>
            </w:pPr>
          </w:p>
        </w:tc>
        <w:tc>
          <w:tcPr>
            <w:tcW w:w="1140" w:type="dxa"/>
            <w:gridSpan w:val="7"/>
          </w:tcPr>
          <w:p w:rsidR="007C42AB" w:rsidRPr="004273CC" w:rsidRDefault="007C42AB" w:rsidP="00065FB5">
            <w:pPr>
              <w:tabs>
                <w:tab w:val="left" w:pos="510"/>
              </w:tabs>
              <w:jc w:val="both"/>
              <w:rPr>
                <w:lang w:val="lt-LT"/>
              </w:rPr>
            </w:pPr>
          </w:p>
        </w:tc>
        <w:tc>
          <w:tcPr>
            <w:tcW w:w="708" w:type="dxa"/>
            <w:gridSpan w:val="6"/>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415" w:type="dxa"/>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both"/>
              <w:rPr>
                <w:lang w:val="lt-LT"/>
              </w:rPr>
            </w:pPr>
          </w:p>
        </w:tc>
        <w:tc>
          <w:tcPr>
            <w:tcW w:w="3451" w:type="dxa"/>
            <w:gridSpan w:val="8"/>
          </w:tcPr>
          <w:p w:rsidR="007C42AB" w:rsidRDefault="007C42AB" w:rsidP="00065FB5">
            <w:pPr>
              <w:tabs>
                <w:tab w:val="left" w:pos="510"/>
              </w:tabs>
              <w:jc w:val="both"/>
              <w:rPr>
                <w:lang w:val="lt-LT"/>
              </w:rPr>
            </w:pPr>
            <w:r>
              <w:rPr>
                <w:lang w:val="lt-LT"/>
              </w:rPr>
              <w:t>Nėra kontroliuojamas atlyginimų mokėjimo teisingumas</w:t>
            </w:r>
          </w:p>
        </w:tc>
        <w:tc>
          <w:tcPr>
            <w:tcW w:w="567" w:type="dxa"/>
            <w:gridSpan w:val="7"/>
          </w:tcPr>
          <w:p w:rsidR="007C42AB" w:rsidRPr="004273CC" w:rsidRDefault="007C42AB" w:rsidP="00065FB5">
            <w:pPr>
              <w:tabs>
                <w:tab w:val="left" w:pos="510"/>
              </w:tabs>
              <w:jc w:val="both"/>
              <w:rPr>
                <w:lang w:val="lt-LT"/>
              </w:rPr>
            </w:pPr>
            <w:r>
              <w:rPr>
                <w:lang w:val="lt-LT"/>
              </w:rPr>
              <w:t>I, V</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1133" w:type="dxa"/>
            <w:gridSpan w:val="7"/>
          </w:tcPr>
          <w:p w:rsidR="007C42AB" w:rsidRPr="004273CC" w:rsidRDefault="007C42AB" w:rsidP="00065FB5">
            <w:pPr>
              <w:tabs>
                <w:tab w:val="left" w:pos="510"/>
              </w:tabs>
              <w:jc w:val="both"/>
              <w:rPr>
                <w:lang w:val="lt-LT"/>
              </w:rPr>
            </w:pPr>
          </w:p>
        </w:tc>
        <w:tc>
          <w:tcPr>
            <w:tcW w:w="708" w:type="dxa"/>
            <w:gridSpan w:val="8"/>
          </w:tcPr>
          <w:p w:rsidR="007C42AB" w:rsidRPr="004273CC" w:rsidRDefault="007C42AB" w:rsidP="00065FB5">
            <w:pPr>
              <w:tabs>
                <w:tab w:val="left" w:pos="510"/>
              </w:tabs>
              <w:jc w:val="both"/>
              <w:rPr>
                <w:lang w:val="lt-LT"/>
              </w:rPr>
            </w:pPr>
          </w:p>
        </w:tc>
        <w:tc>
          <w:tcPr>
            <w:tcW w:w="1156" w:type="dxa"/>
            <w:gridSpan w:val="7"/>
          </w:tcPr>
          <w:p w:rsidR="007C42AB" w:rsidRPr="004273CC" w:rsidRDefault="007C42AB" w:rsidP="00065FB5">
            <w:pPr>
              <w:tabs>
                <w:tab w:val="left" w:pos="510"/>
              </w:tabs>
              <w:jc w:val="both"/>
              <w:rPr>
                <w:lang w:val="lt-LT"/>
              </w:rPr>
            </w:pPr>
          </w:p>
        </w:tc>
        <w:tc>
          <w:tcPr>
            <w:tcW w:w="849" w:type="dxa"/>
            <w:gridSpan w:val="6"/>
          </w:tcPr>
          <w:p w:rsidR="007C42AB" w:rsidRPr="004273CC" w:rsidRDefault="007C42AB" w:rsidP="00065FB5">
            <w:pPr>
              <w:tabs>
                <w:tab w:val="left" w:pos="510"/>
              </w:tabs>
              <w:jc w:val="both"/>
              <w:rPr>
                <w:lang w:val="lt-LT"/>
              </w:rPr>
            </w:pPr>
            <w:r>
              <w:rPr>
                <w:lang w:val="lt-LT"/>
              </w:rPr>
              <w:t>Yra</w:t>
            </w:r>
          </w:p>
        </w:tc>
        <w:tc>
          <w:tcPr>
            <w:tcW w:w="1140" w:type="dxa"/>
            <w:gridSpan w:val="7"/>
          </w:tcPr>
          <w:p w:rsidR="007C42AB" w:rsidRPr="004273CC" w:rsidRDefault="007C42AB" w:rsidP="00065FB5">
            <w:pPr>
              <w:tabs>
                <w:tab w:val="left" w:pos="510"/>
              </w:tabs>
              <w:jc w:val="both"/>
              <w:rPr>
                <w:lang w:val="lt-LT"/>
              </w:rPr>
            </w:pPr>
          </w:p>
        </w:tc>
        <w:tc>
          <w:tcPr>
            <w:tcW w:w="708" w:type="dxa"/>
            <w:gridSpan w:val="6"/>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415" w:type="dxa"/>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Pr>
        <w:tc>
          <w:tcPr>
            <w:tcW w:w="1029" w:type="dxa"/>
            <w:gridSpan w:val="5"/>
            <w:vMerge/>
          </w:tcPr>
          <w:p w:rsidR="007C42AB" w:rsidRPr="004273CC" w:rsidRDefault="007C42AB" w:rsidP="00065FB5">
            <w:pPr>
              <w:tabs>
                <w:tab w:val="left" w:pos="510"/>
              </w:tabs>
              <w:jc w:val="both"/>
              <w:rPr>
                <w:lang w:val="lt-LT"/>
              </w:rPr>
            </w:pPr>
          </w:p>
        </w:tc>
        <w:tc>
          <w:tcPr>
            <w:tcW w:w="3451" w:type="dxa"/>
            <w:gridSpan w:val="8"/>
          </w:tcPr>
          <w:p w:rsidR="007C42AB" w:rsidRDefault="007C42AB" w:rsidP="00065FB5">
            <w:pPr>
              <w:tabs>
                <w:tab w:val="left" w:pos="510"/>
              </w:tabs>
              <w:jc w:val="both"/>
              <w:rPr>
                <w:lang w:val="lt-LT"/>
              </w:rPr>
            </w:pPr>
            <w:r>
              <w:rPr>
                <w:lang w:val="lt-LT"/>
              </w:rPr>
              <w:t>Nėra tikrinamas ataskaitų pateikiamų valdžios institucijoms teisingumas su apskaitos duomenimis</w:t>
            </w:r>
          </w:p>
        </w:tc>
        <w:tc>
          <w:tcPr>
            <w:tcW w:w="567" w:type="dxa"/>
            <w:gridSpan w:val="7"/>
          </w:tcPr>
          <w:p w:rsidR="007C42AB" w:rsidRPr="004273CC" w:rsidRDefault="007C42AB" w:rsidP="00065FB5">
            <w:pPr>
              <w:tabs>
                <w:tab w:val="left" w:pos="510"/>
              </w:tabs>
              <w:jc w:val="both"/>
              <w:rPr>
                <w:lang w:val="lt-LT"/>
              </w:rPr>
            </w:pPr>
            <w:r>
              <w:rPr>
                <w:lang w:val="lt-LT"/>
              </w:rPr>
              <w:t>I</w:t>
            </w:r>
          </w:p>
        </w:tc>
        <w:tc>
          <w:tcPr>
            <w:tcW w:w="569" w:type="dxa"/>
            <w:gridSpan w:val="7"/>
          </w:tcPr>
          <w:p w:rsidR="007C42AB" w:rsidRPr="004273CC" w:rsidRDefault="007C42AB" w:rsidP="00065FB5">
            <w:pPr>
              <w:tabs>
                <w:tab w:val="left" w:pos="510"/>
              </w:tabs>
              <w:jc w:val="both"/>
              <w:rPr>
                <w:lang w:val="lt-LT"/>
              </w:rPr>
            </w:pPr>
            <w:r>
              <w:rPr>
                <w:lang w:val="lt-LT"/>
              </w:rPr>
              <w:t>KR</w:t>
            </w:r>
          </w:p>
        </w:tc>
        <w:tc>
          <w:tcPr>
            <w:tcW w:w="1133" w:type="dxa"/>
            <w:gridSpan w:val="7"/>
          </w:tcPr>
          <w:p w:rsidR="007C42AB" w:rsidRPr="004273CC" w:rsidRDefault="007C42AB" w:rsidP="00065FB5">
            <w:pPr>
              <w:tabs>
                <w:tab w:val="left" w:pos="510"/>
              </w:tabs>
              <w:jc w:val="both"/>
              <w:rPr>
                <w:lang w:val="lt-LT"/>
              </w:rPr>
            </w:pPr>
          </w:p>
        </w:tc>
        <w:tc>
          <w:tcPr>
            <w:tcW w:w="708" w:type="dxa"/>
            <w:gridSpan w:val="8"/>
          </w:tcPr>
          <w:p w:rsidR="007C42AB" w:rsidRPr="004273CC" w:rsidRDefault="007C42AB" w:rsidP="00065FB5">
            <w:pPr>
              <w:tabs>
                <w:tab w:val="left" w:pos="510"/>
              </w:tabs>
              <w:jc w:val="both"/>
              <w:rPr>
                <w:lang w:val="lt-LT"/>
              </w:rPr>
            </w:pPr>
          </w:p>
        </w:tc>
        <w:tc>
          <w:tcPr>
            <w:tcW w:w="1156" w:type="dxa"/>
            <w:gridSpan w:val="7"/>
          </w:tcPr>
          <w:p w:rsidR="007C42AB" w:rsidRPr="004273CC" w:rsidRDefault="007C42AB" w:rsidP="00065FB5">
            <w:pPr>
              <w:tabs>
                <w:tab w:val="left" w:pos="510"/>
              </w:tabs>
              <w:jc w:val="both"/>
              <w:rPr>
                <w:lang w:val="lt-LT"/>
              </w:rPr>
            </w:pPr>
          </w:p>
        </w:tc>
        <w:tc>
          <w:tcPr>
            <w:tcW w:w="849" w:type="dxa"/>
            <w:gridSpan w:val="6"/>
          </w:tcPr>
          <w:p w:rsidR="007C42AB" w:rsidRPr="004273CC" w:rsidRDefault="007C42AB" w:rsidP="00065FB5">
            <w:pPr>
              <w:tabs>
                <w:tab w:val="left" w:pos="510"/>
              </w:tabs>
              <w:jc w:val="both"/>
              <w:rPr>
                <w:lang w:val="lt-LT"/>
              </w:rPr>
            </w:pPr>
            <w:r>
              <w:rPr>
                <w:lang w:val="lt-LT"/>
              </w:rPr>
              <w:t>Yra</w:t>
            </w:r>
          </w:p>
        </w:tc>
        <w:tc>
          <w:tcPr>
            <w:tcW w:w="1140" w:type="dxa"/>
            <w:gridSpan w:val="7"/>
          </w:tcPr>
          <w:p w:rsidR="007C42AB" w:rsidRPr="004273CC" w:rsidRDefault="007C42AB" w:rsidP="00065FB5">
            <w:pPr>
              <w:tabs>
                <w:tab w:val="left" w:pos="510"/>
              </w:tabs>
              <w:jc w:val="both"/>
              <w:rPr>
                <w:lang w:val="lt-LT"/>
              </w:rPr>
            </w:pPr>
          </w:p>
        </w:tc>
        <w:tc>
          <w:tcPr>
            <w:tcW w:w="708" w:type="dxa"/>
            <w:gridSpan w:val="6"/>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415" w:type="dxa"/>
            <w:tcBorders>
              <w:bottom w:val="single" w:sz="4" w:space="0" w:color="auto"/>
            </w:tcBorders>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3" w:type="dxa"/>
            <w:gridSpan w:val="7"/>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8"/>
            <w:tcBorders>
              <w:bottom w:val="single" w:sz="4" w:space="0" w:color="auto"/>
            </w:tcBorders>
          </w:tcPr>
          <w:p w:rsidR="007C42AB" w:rsidRPr="008625E3" w:rsidRDefault="007C42AB" w:rsidP="00065FB5">
            <w:pPr>
              <w:tabs>
                <w:tab w:val="left" w:pos="510"/>
              </w:tabs>
              <w:jc w:val="center"/>
              <w:rPr>
                <w:b/>
                <w:lang w:val="lt-LT"/>
              </w:rPr>
            </w:pPr>
            <w:r w:rsidRPr="008625E3">
              <w:rPr>
                <w:b/>
                <w:lang w:val="lt-LT"/>
              </w:rPr>
              <w:t>X</w:t>
            </w:r>
          </w:p>
        </w:tc>
        <w:tc>
          <w:tcPr>
            <w:tcW w:w="1156" w:type="dxa"/>
            <w:gridSpan w:val="7"/>
            <w:tcBorders>
              <w:bottom w:val="single" w:sz="4" w:space="0" w:color="auto"/>
              <w:right w:val="single" w:sz="4" w:space="0" w:color="auto"/>
            </w:tcBorders>
          </w:tcPr>
          <w:p w:rsidR="007C42AB" w:rsidRPr="008625E3" w:rsidRDefault="007C42AB" w:rsidP="00065FB5">
            <w:pPr>
              <w:tabs>
                <w:tab w:val="left" w:pos="510"/>
              </w:tabs>
              <w:jc w:val="center"/>
              <w:rPr>
                <w:b/>
                <w:lang w:val="lt-LT"/>
              </w:rPr>
            </w:pPr>
            <w:r w:rsidRPr="008625E3">
              <w:rPr>
                <w:b/>
                <w:lang w:val="lt-LT"/>
              </w:rPr>
              <w:t>0</w:t>
            </w:r>
          </w:p>
        </w:tc>
        <w:tc>
          <w:tcPr>
            <w:tcW w:w="849" w:type="dxa"/>
            <w:gridSpan w:val="6"/>
            <w:vMerge w:val="restart"/>
            <w:tcBorders>
              <w:top w:val="single" w:sz="4" w:space="0" w:color="auto"/>
              <w:left w:val="single" w:sz="4" w:space="0" w:color="auto"/>
              <w:right w:val="single" w:sz="4" w:space="0" w:color="auto"/>
            </w:tcBorders>
            <w:shd w:val="clear" w:color="auto" w:fill="FFFFFF"/>
            <w:textDirection w:val="btLr"/>
          </w:tcPr>
          <w:p w:rsidR="007C42AB" w:rsidRPr="00082D89" w:rsidRDefault="007C42AB" w:rsidP="00065FB5">
            <w:pPr>
              <w:tabs>
                <w:tab w:val="left" w:pos="510"/>
              </w:tabs>
              <w:ind w:left="113" w:right="113"/>
              <w:jc w:val="center"/>
              <w:rPr>
                <w:b/>
                <w:lang w:val="lt-LT"/>
              </w:rPr>
            </w:pPr>
            <w:r w:rsidRPr="00082D89">
              <w:rPr>
                <w:b/>
                <w:lang w:val="lt-LT"/>
              </w:rPr>
              <w:t>Skolos tiekėjams – Išsamumas</w:t>
            </w:r>
          </w:p>
        </w:tc>
        <w:tc>
          <w:tcPr>
            <w:tcW w:w="1140" w:type="dxa"/>
            <w:gridSpan w:val="7"/>
            <w:tcBorders>
              <w:top w:val="single" w:sz="4" w:space="0" w:color="auto"/>
              <w:left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6"/>
          </w:tcPr>
          <w:p w:rsidR="007C42AB" w:rsidRPr="00C93D78" w:rsidRDefault="007C42AB" w:rsidP="00065FB5">
            <w:pPr>
              <w:tabs>
                <w:tab w:val="left" w:pos="510"/>
              </w:tabs>
              <w:jc w:val="center"/>
              <w:rPr>
                <w:b/>
                <w:lang w:val="lt-LT"/>
              </w:rPr>
            </w:pPr>
            <w:r w:rsidRPr="00C93D78">
              <w:rPr>
                <w:b/>
                <w:lang w:val="lt-LT"/>
              </w:rPr>
              <w:t>X</w:t>
            </w:r>
          </w:p>
        </w:tc>
        <w:tc>
          <w:tcPr>
            <w:tcW w:w="1133" w:type="dxa"/>
            <w:gridSpan w:val="6"/>
            <w:tcBorders>
              <w:bottom w:val="single" w:sz="4" w:space="0" w:color="auto"/>
            </w:tcBorders>
          </w:tcPr>
          <w:p w:rsidR="007C42AB" w:rsidRPr="00C93D78" w:rsidRDefault="007C42AB" w:rsidP="00065FB5">
            <w:pPr>
              <w:tabs>
                <w:tab w:val="left" w:pos="510"/>
              </w:tabs>
              <w:jc w:val="center"/>
              <w:rPr>
                <w:b/>
                <w:lang w:val="lt-LT"/>
              </w:rPr>
            </w:pPr>
            <w:r w:rsidRPr="00C93D78">
              <w:rPr>
                <w:b/>
                <w:lang w:val="lt-LT"/>
              </w:rPr>
              <w:t>9</w:t>
            </w:r>
          </w:p>
        </w:tc>
        <w:tc>
          <w:tcPr>
            <w:tcW w:w="1415" w:type="dxa"/>
            <w:vMerge w:val="restart"/>
            <w:tcBorders>
              <w:right w:val="single" w:sz="4" w:space="0" w:color="auto"/>
            </w:tcBorders>
            <w:textDirection w:val="btLr"/>
          </w:tcPr>
          <w:p w:rsidR="007C42AB" w:rsidRPr="004273CC" w:rsidRDefault="007C42AB" w:rsidP="00065FB5">
            <w:pPr>
              <w:tabs>
                <w:tab w:val="left" w:pos="510"/>
              </w:tabs>
              <w:ind w:left="113" w:right="113"/>
              <w:jc w:val="both"/>
              <w:rPr>
                <w:lang w:val="lt-LT"/>
              </w:rPr>
            </w:pPr>
            <w:r w:rsidRPr="00082D89">
              <w:rPr>
                <w:b/>
                <w:lang w:val="lt-LT"/>
              </w:rPr>
              <w:t>Skolos tiekėjams – Išsamumas</w:t>
            </w: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3" w:type="dxa"/>
            <w:gridSpan w:val="7"/>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8"/>
            <w:tcBorders>
              <w:right w:val="single" w:sz="4" w:space="0" w:color="auto"/>
            </w:tcBorders>
          </w:tcPr>
          <w:p w:rsidR="007C42AB" w:rsidRPr="008625E3" w:rsidRDefault="007C42AB" w:rsidP="00065FB5">
            <w:pPr>
              <w:tabs>
                <w:tab w:val="left" w:pos="510"/>
              </w:tabs>
              <w:jc w:val="center"/>
              <w:rPr>
                <w:b/>
                <w:lang w:val="lt-LT"/>
              </w:rPr>
            </w:pPr>
            <w:r w:rsidRPr="008625E3">
              <w:rPr>
                <w:b/>
                <w:lang w:val="lt-LT"/>
              </w:rPr>
              <w:t>0</w:t>
            </w:r>
          </w:p>
        </w:tc>
        <w:tc>
          <w:tcPr>
            <w:tcW w:w="1156" w:type="dxa"/>
            <w:gridSpan w:val="7"/>
            <w:tcBorders>
              <w:top w:val="nil"/>
              <w:left w:val="single" w:sz="4" w:space="0" w:color="auto"/>
              <w:bottom w:val="nil"/>
              <w:right w:val="single" w:sz="4" w:space="0" w:color="auto"/>
            </w:tcBorders>
          </w:tcPr>
          <w:p w:rsidR="007C42AB" w:rsidRPr="008625E3" w:rsidRDefault="007C42AB" w:rsidP="00065FB5">
            <w:pPr>
              <w:tabs>
                <w:tab w:val="left" w:pos="510"/>
              </w:tabs>
              <w:jc w:val="center"/>
              <w:rPr>
                <w:b/>
                <w:lang w:val="lt-LT"/>
              </w:rPr>
            </w:pPr>
          </w:p>
        </w:tc>
        <w:tc>
          <w:tcPr>
            <w:tcW w:w="849"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6"/>
            <w:tcBorders>
              <w:right w:val="single" w:sz="4" w:space="0" w:color="auto"/>
            </w:tcBorders>
          </w:tcPr>
          <w:p w:rsidR="007C42AB" w:rsidRPr="00C93D78" w:rsidRDefault="007C42AB" w:rsidP="00065FB5">
            <w:pPr>
              <w:tabs>
                <w:tab w:val="left" w:pos="510"/>
              </w:tabs>
              <w:jc w:val="center"/>
              <w:rPr>
                <w:b/>
                <w:lang w:val="lt-LT"/>
              </w:rPr>
            </w:pPr>
            <w:r w:rsidRPr="00C93D78">
              <w:rPr>
                <w:b/>
                <w:lang w:val="lt-LT"/>
              </w:rPr>
              <w:t>3</w:t>
            </w:r>
          </w:p>
        </w:tc>
        <w:tc>
          <w:tcPr>
            <w:tcW w:w="1133" w:type="dxa"/>
            <w:gridSpan w:val="6"/>
            <w:tcBorders>
              <w:top w:val="nil"/>
              <w:left w:val="single" w:sz="4" w:space="0" w:color="auto"/>
              <w:bottom w:val="nil"/>
            </w:tcBorders>
          </w:tcPr>
          <w:p w:rsidR="007C42AB" w:rsidRPr="00C93D78" w:rsidRDefault="007C42AB" w:rsidP="00065FB5">
            <w:pPr>
              <w:tabs>
                <w:tab w:val="left" w:pos="510"/>
              </w:tabs>
              <w:jc w:val="center"/>
              <w:rPr>
                <w:b/>
                <w:lang w:val="lt-LT"/>
              </w:rPr>
            </w:pPr>
          </w:p>
        </w:tc>
        <w:tc>
          <w:tcPr>
            <w:tcW w:w="1415" w:type="dxa"/>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3" w:type="dxa"/>
            <w:gridSpan w:val="7"/>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8"/>
            <w:tcBorders>
              <w:bottom w:val="single" w:sz="4" w:space="0" w:color="auto"/>
              <w:right w:val="single" w:sz="4" w:space="0" w:color="auto"/>
            </w:tcBorders>
          </w:tcPr>
          <w:p w:rsidR="007C42AB" w:rsidRPr="008625E3" w:rsidRDefault="007C42AB" w:rsidP="00065FB5">
            <w:pPr>
              <w:tabs>
                <w:tab w:val="left" w:pos="510"/>
              </w:tabs>
              <w:jc w:val="center"/>
              <w:rPr>
                <w:b/>
                <w:lang w:val="lt-LT"/>
              </w:rPr>
            </w:pPr>
            <w:r w:rsidRPr="008625E3">
              <w:rPr>
                <w:b/>
                <w:lang w:val="lt-LT"/>
              </w:rPr>
              <w:t>0</w:t>
            </w:r>
          </w:p>
        </w:tc>
        <w:tc>
          <w:tcPr>
            <w:tcW w:w="1156" w:type="dxa"/>
            <w:gridSpan w:val="7"/>
            <w:tcBorders>
              <w:top w:val="nil"/>
              <w:left w:val="single" w:sz="4" w:space="0" w:color="auto"/>
              <w:bottom w:val="nil"/>
              <w:right w:val="single" w:sz="4" w:space="0" w:color="auto"/>
            </w:tcBorders>
          </w:tcPr>
          <w:p w:rsidR="007C42AB" w:rsidRPr="008625E3" w:rsidRDefault="007C42AB" w:rsidP="00065FB5">
            <w:pPr>
              <w:tabs>
                <w:tab w:val="left" w:pos="510"/>
              </w:tabs>
              <w:jc w:val="center"/>
              <w:rPr>
                <w:b/>
                <w:lang w:val="lt-LT"/>
              </w:rPr>
            </w:pPr>
          </w:p>
        </w:tc>
        <w:tc>
          <w:tcPr>
            <w:tcW w:w="849"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6"/>
            <w:tcBorders>
              <w:bottom w:val="single" w:sz="4" w:space="0" w:color="auto"/>
              <w:right w:val="single" w:sz="4" w:space="0" w:color="auto"/>
            </w:tcBorders>
          </w:tcPr>
          <w:p w:rsidR="007C42AB" w:rsidRPr="00C93D78" w:rsidRDefault="007C42AB" w:rsidP="00065FB5">
            <w:pPr>
              <w:tabs>
                <w:tab w:val="left" w:pos="510"/>
              </w:tabs>
              <w:jc w:val="center"/>
              <w:rPr>
                <w:b/>
                <w:lang w:val="lt-LT"/>
              </w:rPr>
            </w:pPr>
            <w:r w:rsidRPr="00C93D78">
              <w:rPr>
                <w:b/>
                <w:lang w:val="lt-LT"/>
              </w:rPr>
              <w:t>15</w:t>
            </w:r>
          </w:p>
        </w:tc>
        <w:tc>
          <w:tcPr>
            <w:tcW w:w="1133" w:type="dxa"/>
            <w:gridSpan w:val="6"/>
            <w:tcBorders>
              <w:top w:val="nil"/>
              <w:left w:val="single" w:sz="4" w:space="0" w:color="auto"/>
              <w:bottom w:val="nil"/>
            </w:tcBorders>
          </w:tcPr>
          <w:p w:rsidR="007C42AB" w:rsidRPr="00C93D78" w:rsidRDefault="007C42AB" w:rsidP="00065FB5">
            <w:pPr>
              <w:tabs>
                <w:tab w:val="left" w:pos="510"/>
              </w:tabs>
              <w:jc w:val="center"/>
              <w:rPr>
                <w:b/>
                <w:lang w:val="lt-LT"/>
              </w:rPr>
            </w:pPr>
          </w:p>
        </w:tc>
        <w:tc>
          <w:tcPr>
            <w:tcW w:w="1415" w:type="dxa"/>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Height w:val="264"/>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Pr>
          <w:p w:rsidR="007C42AB" w:rsidRPr="004273CC" w:rsidRDefault="007C42AB" w:rsidP="00065FB5">
            <w:pPr>
              <w:tabs>
                <w:tab w:val="left" w:pos="510"/>
              </w:tabs>
              <w:jc w:val="right"/>
              <w:rPr>
                <w:lang w:val="lt-LT"/>
              </w:rPr>
            </w:pPr>
            <w:r>
              <w:rPr>
                <w:b/>
                <w:lang w:val="lt-LT"/>
              </w:rPr>
              <w:t xml:space="preserve">ĮGIMTOS </w:t>
            </w:r>
            <w:r w:rsidRPr="004273CC">
              <w:rPr>
                <w:b/>
                <w:lang w:val="lt-LT"/>
              </w:rPr>
              <w:t>RIZIKOS LYGIS, proc. (1 eil./3eil.*100)</w:t>
            </w:r>
          </w:p>
        </w:tc>
        <w:tc>
          <w:tcPr>
            <w:tcW w:w="1133" w:type="dxa"/>
            <w:gridSpan w:val="7"/>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8"/>
            <w:tcBorders>
              <w:bottom w:val="single" w:sz="4" w:space="0" w:color="auto"/>
              <w:right w:val="single" w:sz="4" w:space="0" w:color="auto"/>
            </w:tcBorders>
            <w:shd w:val="clear" w:color="auto" w:fill="D9D9D9"/>
          </w:tcPr>
          <w:p w:rsidR="007C42AB" w:rsidRPr="008625E3" w:rsidRDefault="007C42AB" w:rsidP="00065FB5">
            <w:pPr>
              <w:tabs>
                <w:tab w:val="left" w:pos="510"/>
              </w:tabs>
              <w:jc w:val="center"/>
              <w:rPr>
                <w:b/>
                <w:lang w:val="lt-LT"/>
              </w:rPr>
            </w:pPr>
            <w:r w:rsidRPr="008625E3">
              <w:rPr>
                <w:b/>
                <w:lang w:val="lt-LT"/>
              </w:rPr>
              <w:t>0</w:t>
            </w:r>
          </w:p>
        </w:tc>
        <w:tc>
          <w:tcPr>
            <w:tcW w:w="1156" w:type="dxa"/>
            <w:gridSpan w:val="7"/>
            <w:tcBorders>
              <w:top w:val="nil"/>
              <w:left w:val="single" w:sz="4" w:space="0" w:color="auto"/>
              <w:bottom w:val="single" w:sz="4" w:space="0" w:color="auto"/>
              <w:right w:val="single" w:sz="4" w:space="0" w:color="auto"/>
            </w:tcBorders>
          </w:tcPr>
          <w:p w:rsidR="007C42AB" w:rsidRPr="008625E3" w:rsidRDefault="007C42AB" w:rsidP="00065FB5">
            <w:pPr>
              <w:tabs>
                <w:tab w:val="left" w:pos="510"/>
              </w:tabs>
              <w:jc w:val="center"/>
              <w:rPr>
                <w:b/>
                <w:lang w:val="lt-LT"/>
              </w:rPr>
            </w:pPr>
            <w:r w:rsidRPr="008625E3">
              <w:rPr>
                <w:b/>
                <w:lang w:val="lt-LT"/>
              </w:rPr>
              <w:t>MAŽA</w:t>
            </w:r>
          </w:p>
        </w:tc>
        <w:tc>
          <w:tcPr>
            <w:tcW w:w="849" w:type="dxa"/>
            <w:gridSpan w:val="6"/>
            <w:vMerge/>
            <w:tcBorders>
              <w:left w:val="single" w:sz="4" w:space="0" w:color="auto"/>
              <w:right w:val="single" w:sz="4" w:space="0" w:color="auto"/>
            </w:tcBorders>
            <w:shd w:val="clear" w:color="auto" w:fill="FFFFFF"/>
            <w:vAlign w:val="center"/>
          </w:tcPr>
          <w:p w:rsidR="007C42AB" w:rsidRPr="004273CC" w:rsidRDefault="007C42AB" w:rsidP="00065FB5">
            <w:pPr>
              <w:tabs>
                <w:tab w:val="left" w:pos="510"/>
              </w:tabs>
              <w:jc w:val="both"/>
              <w:rPr>
                <w:lang w:val="lt-LT"/>
              </w:rPr>
            </w:pPr>
          </w:p>
        </w:tc>
        <w:tc>
          <w:tcPr>
            <w:tcW w:w="1140" w:type="dxa"/>
            <w:gridSpan w:val="7"/>
            <w:tcBorders>
              <w:left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6"/>
            <w:tcBorders>
              <w:right w:val="single" w:sz="4" w:space="0" w:color="auto"/>
            </w:tcBorders>
            <w:shd w:val="clear" w:color="auto" w:fill="D9D9D9"/>
          </w:tcPr>
          <w:p w:rsidR="007C42AB" w:rsidRPr="00C93D78" w:rsidRDefault="007C42AB" w:rsidP="00065FB5">
            <w:pPr>
              <w:tabs>
                <w:tab w:val="left" w:pos="510"/>
              </w:tabs>
              <w:jc w:val="center"/>
              <w:rPr>
                <w:b/>
                <w:lang w:val="lt-LT"/>
              </w:rPr>
            </w:pPr>
            <w:r w:rsidRPr="00C93D78">
              <w:rPr>
                <w:b/>
                <w:lang w:val="lt-LT"/>
              </w:rPr>
              <w:t>60</w:t>
            </w:r>
          </w:p>
        </w:tc>
        <w:tc>
          <w:tcPr>
            <w:tcW w:w="1133" w:type="dxa"/>
            <w:gridSpan w:val="6"/>
            <w:tcBorders>
              <w:top w:val="nil"/>
              <w:left w:val="single" w:sz="4" w:space="0" w:color="auto"/>
              <w:bottom w:val="single" w:sz="4" w:space="0" w:color="auto"/>
            </w:tcBorders>
          </w:tcPr>
          <w:p w:rsidR="007C42AB" w:rsidRPr="00C93D78" w:rsidRDefault="007C42AB" w:rsidP="00065FB5">
            <w:pPr>
              <w:tabs>
                <w:tab w:val="left" w:pos="510"/>
              </w:tabs>
              <w:jc w:val="center"/>
              <w:rPr>
                <w:b/>
                <w:lang w:val="lt-LT"/>
              </w:rPr>
            </w:pPr>
            <w:r w:rsidRPr="00C93D78">
              <w:rPr>
                <w:b/>
                <w:sz w:val="18"/>
                <w:szCs w:val="18"/>
                <w:lang w:val="lt-LT"/>
              </w:rPr>
              <w:t>VIDUTINĖ</w:t>
            </w:r>
          </w:p>
        </w:tc>
        <w:tc>
          <w:tcPr>
            <w:tcW w:w="1415" w:type="dxa"/>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Pr>
          <w:p w:rsidR="007C42AB" w:rsidRPr="004273CC" w:rsidRDefault="007C42AB"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3" w:type="dxa"/>
            <w:gridSpan w:val="7"/>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8"/>
            <w:tcBorders>
              <w:right w:val="single" w:sz="4" w:space="0" w:color="auto"/>
            </w:tcBorders>
          </w:tcPr>
          <w:p w:rsidR="007C42AB" w:rsidRPr="008625E3" w:rsidRDefault="007C42AB" w:rsidP="00065FB5">
            <w:pPr>
              <w:tabs>
                <w:tab w:val="left" w:pos="510"/>
              </w:tabs>
              <w:jc w:val="center"/>
              <w:rPr>
                <w:b/>
                <w:lang w:val="lt-LT"/>
              </w:rPr>
            </w:pPr>
            <w:r w:rsidRPr="008625E3">
              <w:rPr>
                <w:b/>
                <w:lang w:val="lt-LT"/>
              </w:rPr>
              <w:t>X</w:t>
            </w:r>
          </w:p>
        </w:tc>
        <w:tc>
          <w:tcPr>
            <w:tcW w:w="1156" w:type="dxa"/>
            <w:gridSpan w:val="7"/>
            <w:tcBorders>
              <w:top w:val="single" w:sz="4" w:space="0" w:color="auto"/>
              <w:left w:val="single" w:sz="4" w:space="0" w:color="auto"/>
              <w:bottom w:val="single" w:sz="4" w:space="0" w:color="auto"/>
              <w:right w:val="single" w:sz="4" w:space="0" w:color="auto"/>
            </w:tcBorders>
          </w:tcPr>
          <w:p w:rsidR="007C42AB" w:rsidRPr="008625E3" w:rsidRDefault="007C42AB" w:rsidP="00065FB5">
            <w:pPr>
              <w:tabs>
                <w:tab w:val="left" w:pos="510"/>
              </w:tabs>
              <w:jc w:val="center"/>
              <w:rPr>
                <w:b/>
                <w:lang w:val="lt-LT"/>
              </w:rPr>
            </w:pPr>
            <w:r w:rsidRPr="008625E3">
              <w:rPr>
                <w:b/>
                <w:lang w:val="lt-LT"/>
              </w:rPr>
              <w:t>3</w:t>
            </w:r>
          </w:p>
        </w:tc>
        <w:tc>
          <w:tcPr>
            <w:tcW w:w="849"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6"/>
          </w:tcPr>
          <w:p w:rsidR="007C42AB" w:rsidRPr="00C93D78" w:rsidRDefault="007C42AB" w:rsidP="00065FB5">
            <w:pPr>
              <w:tabs>
                <w:tab w:val="left" w:pos="510"/>
              </w:tabs>
              <w:jc w:val="center"/>
              <w:rPr>
                <w:b/>
                <w:lang w:val="lt-LT"/>
              </w:rPr>
            </w:pPr>
            <w:r w:rsidRPr="00C93D78">
              <w:rPr>
                <w:b/>
                <w:lang w:val="lt-LT"/>
              </w:rPr>
              <w:t>X</w:t>
            </w:r>
          </w:p>
        </w:tc>
        <w:tc>
          <w:tcPr>
            <w:tcW w:w="1133" w:type="dxa"/>
            <w:gridSpan w:val="6"/>
            <w:tcBorders>
              <w:top w:val="single" w:sz="4" w:space="0" w:color="auto"/>
              <w:bottom w:val="single" w:sz="4" w:space="0" w:color="auto"/>
            </w:tcBorders>
          </w:tcPr>
          <w:p w:rsidR="007C42AB" w:rsidRPr="00C93D78" w:rsidRDefault="007C42AB" w:rsidP="00065FB5">
            <w:pPr>
              <w:tabs>
                <w:tab w:val="left" w:pos="510"/>
              </w:tabs>
              <w:jc w:val="center"/>
              <w:rPr>
                <w:b/>
                <w:lang w:val="lt-LT"/>
              </w:rPr>
            </w:pPr>
            <w:r w:rsidRPr="00C93D78">
              <w:rPr>
                <w:b/>
                <w:lang w:val="lt-LT"/>
              </w:rPr>
              <w:t>0</w:t>
            </w:r>
          </w:p>
        </w:tc>
        <w:tc>
          <w:tcPr>
            <w:tcW w:w="1415" w:type="dxa"/>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3" w:type="dxa"/>
            <w:gridSpan w:val="7"/>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8"/>
            <w:tcBorders>
              <w:right w:val="single" w:sz="4" w:space="0" w:color="auto"/>
            </w:tcBorders>
          </w:tcPr>
          <w:p w:rsidR="007C42AB" w:rsidRPr="008625E3" w:rsidRDefault="007C42AB" w:rsidP="00065FB5">
            <w:pPr>
              <w:tabs>
                <w:tab w:val="left" w:pos="510"/>
              </w:tabs>
              <w:jc w:val="center"/>
              <w:rPr>
                <w:b/>
                <w:lang w:val="lt-LT"/>
              </w:rPr>
            </w:pPr>
            <w:r w:rsidRPr="008625E3">
              <w:rPr>
                <w:b/>
                <w:lang w:val="lt-LT"/>
              </w:rPr>
              <w:t>3</w:t>
            </w:r>
          </w:p>
        </w:tc>
        <w:tc>
          <w:tcPr>
            <w:tcW w:w="1156" w:type="dxa"/>
            <w:gridSpan w:val="7"/>
            <w:tcBorders>
              <w:top w:val="single" w:sz="4" w:space="0" w:color="auto"/>
              <w:left w:val="single" w:sz="4" w:space="0" w:color="auto"/>
              <w:bottom w:val="nil"/>
              <w:right w:val="single" w:sz="4" w:space="0" w:color="auto"/>
            </w:tcBorders>
          </w:tcPr>
          <w:p w:rsidR="007C42AB" w:rsidRPr="008625E3" w:rsidRDefault="007C42AB" w:rsidP="00065FB5">
            <w:pPr>
              <w:tabs>
                <w:tab w:val="left" w:pos="510"/>
              </w:tabs>
              <w:jc w:val="center"/>
              <w:rPr>
                <w:b/>
                <w:lang w:val="lt-LT"/>
              </w:rPr>
            </w:pPr>
          </w:p>
        </w:tc>
        <w:tc>
          <w:tcPr>
            <w:tcW w:w="849"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6"/>
            <w:tcBorders>
              <w:right w:val="single" w:sz="4" w:space="0" w:color="auto"/>
            </w:tcBorders>
          </w:tcPr>
          <w:p w:rsidR="007C42AB" w:rsidRPr="00C93D78" w:rsidRDefault="007C42AB" w:rsidP="00065FB5">
            <w:pPr>
              <w:tabs>
                <w:tab w:val="left" w:pos="510"/>
              </w:tabs>
              <w:jc w:val="center"/>
              <w:rPr>
                <w:b/>
                <w:lang w:val="lt-LT"/>
              </w:rPr>
            </w:pPr>
            <w:r w:rsidRPr="00C93D78">
              <w:rPr>
                <w:b/>
                <w:lang w:val="lt-LT"/>
              </w:rPr>
              <w:t>0</w:t>
            </w:r>
          </w:p>
        </w:tc>
        <w:tc>
          <w:tcPr>
            <w:tcW w:w="1133" w:type="dxa"/>
            <w:gridSpan w:val="6"/>
            <w:tcBorders>
              <w:top w:val="single" w:sz="4" w:space="0" w:color="auto"/>
              <w:left w:val="single" w:sz="4" w:space="0" w:color="auto"/>
              <w:bottom w:val="nil"/>
            </w:tcBorders>
          </w:tcPr>
          <w:p w:rsidR="007C42AB" w:rsidRPr="00C93D78" w:rsidRDefault="007C42AB" w:rsidP="00065FB5">
            <w:pPr>
              <w:tabs>
                <w:tab w:val="left" w:pos="510"/>
              </w:tabs>
              <w:jc w:val="center"/>
              <w:rPr>
                <w:b/>
                <w:lang w:val="lt-LT"/>
              </w:rPr>
            </w:pPr>
          </w:p>
        </w:tc>
        <w:tc>
          <w:tcPr>
            <w:tcW w:w="1415" w:type="dxa"/>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3" w:type="dxa"/>
            <w:gridSpan w:val="7"/>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8"/>
            <w:tcBorders>
              <w:bottom w:val="single" w:sz="4" w:space="0" w:color="auto"/>
              <w:right w:val="single" w:sz="4" w:space="0" w:color="auto"/>
            </w:tcBorders>
          </w:tcPr>
          <w:p w:rsidR="007C42AB" w:rsidRPr="008625E3" w:rsidRDefault="007C42AB" w:rsidP="00065FB5">
            <w:pPr>
              <w:tabs>
                <w:tab w:val="left" w:pos="510"/>
              </w:tabs>
              <w:jc w:val="center"/>
              <w:rPr>
                <w:b/>
                <w:lang w:val="lt-LT"/>
              </w:rPr>
            </w:pPr>
            <w:r w:rsidRPr="008625E3">
              <w:rPr>
                <w:b/>
                <w:lang w:val="lt-LT"/>
              </w:rPr>
              <w:t>15</w:t>
            </w:r>
          </w:p>
        </w:tc>
        <w:tc>
          <w:tcPr>
            <w:tcW w:w="1156" w:type="dxa"/>
            <w:gridSpan w:val="7"/>
            <w:tcBorders>
              <w:top w:val="nil"/>
              <w:left w:val="single" w:sz="4" w:space="0" w:color="auto"/>
              <w:bottom w:val="nil"/>
              <w:right w:val="single" w:sz="4" w:space="0" w:color="auto"/>
            </w:tcBorders>
          </w:tcPr>
          <w:p w:rsidR="007C42AB" w:rsidRPr="008625E3" w:rsidRDefault="007C42AB" w:rsidP="00065FB5">
            <w:pPr>
              <w:tabs>
                <w:tab w:val="left" w:pos="510"/>
              </w:tabs>
              <w:jc w:val="center"/>
              <w:rPr>
                <w:b/>
                <w:lang w:val="lt-LT"/>
              </w:rPr>
            </w:pPr>
          </w:p>
        </w:tc>
        <w:tc>
          <w:tcPr>
            <w:tcW w:w="849"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6"/>
            <w:tcBorders>
              <w:bottom w:val="single" w:sz="4" w:space="0" w:color="auto"/>
              <w:right w:val="single" w:sz="4" w:space="0" w:color="auto"/>
            </w:tcBorders>
          </w:tcPr>
          <w:p w:rsidR="007C42AB" w:rsidRPr="00C93D78" w:rsidRDefault="007C42AB" w:rsidP="00065FB5">
            <w:pPr>
              <w:tabs>
                <w:tab w:val="left" w:pos="510"/>
              </w:tabs>
              <w:jc w:val="center"/>
              <w:rPr>
                <w:b/>
                <w:lang w:val="lt-LT"/>
              </w:rPr>
            </w:pPr>
            <w:r w:rsidRPr="00C93D78">
              <w:rPr>
                <w:b/>
                <w:lang w:val="lt-LT"/>
              </w:rPr>
              <w:t>0</w:t>
            </w:r>
          </w:p>
        </w:tc>
        <w:tc>
          <w:tcPr>
            <w:tcW w:w="1133" w:type="dxa"/>
            <w:gridSpan w:val="6"/>
            <w:tcBorders>
              <w:top w:val="nil"/>
              <w:left w:val="single" w:sz="4" w:space="0" w:color="auto"/>
              <w:bottom w:val="nil"/>
            </w:tcBorders>
          </w:tcPr>
          <w:p w:rsidR="007C42AB" w:rsidRPr="00C93D78" w:rsidRDefault="007C42AB" w:rsidP="00065FB5">
            <w:pPr>
              <w:tabs>
                <w:tab w:val="left" w:pos="510"/>
              </w:tabs>
              <w:jc w:val="center"/>
              <w:rPr>
                <w:b/>
                <w:lang w:val="lt-LT"/>
              </w:rPr>
            </w:pPr>
          </w:p>
        </w:tc>
        <w:tc>
          <w:tcPr>
            <w:tcW w:w="1415" w:type="dxa"/>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3" w:type="dxa"/>
            <w:gridSpan w:val="7"/>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8"/>
            <w:tcBorders>
              <w:bottom w:val="single" w:sz="4" w:space="0" w:color="auto"/>
              <w:right w:val="single" w:sz="4" w:space="0" w:color="auto"/>
            </w:tcBorders>
            <w:shd w:val="clear" w:color="auto" w:fill="D9D9D9"/>
          </w:tcPr>
          <w:p w:rsidR="007C42AB" w:rsidRPr="008625E3" w:rsidRDefault="007C42AB" w:rsidP="00065FB5">
            <w:pPr>
              <w:tabs>
                <w:tab w:val="left" w:pos="510"/>
              </w:tabs>
              <w:jc w:val="center"/>
              <w:rPr>
                <w:b/>
                <w:lang w:val="lt-LT"/>
              </w:rPr>
            </w:pPr>
            <w:r w:rsidRPr="008625E3">
              <w:rPr>
                <w:b/>
                <w:lang w:val="lt-LT"/>
              </w:rPr>
              <w:t>20</w:t>
            </w:r>
          </w:p>
        </w:tc>
        <w:tc>
          <w:tcPr>
            <w:tcW w:w="1156" w:type="dxa"/>
            <w:gridSpan w:val="7"/>
            <w:tcBorders>
              <w:top w:val="nil"/>
              <w:left w:val="single" w:sz="4" w:space="0" w:color="auto"/>
              <w:bottom w:val="single" w:sz="4" w:space="0" w:color="auto"/>
              <w:right w:val="single" w:sz="4" w:space="0" w:color="auto"/>
            </w:tcBorders>
          </w:tcPr>
          <w:p w:rsidR="007C42AB" w:rsidRPr="008625E3" w:rsidRDefault="007C42AB" w:rsidP="00065FB5">
            <w:pPr>
              <w:tabs>
                <w:tab w:val="left" w:pos="510"/>
              </w:tabs>
              <w:jc w:val="center"/>
              <w:rPr>
                <w:b/>
                <w:lang w:val="lt-LT"/>
              </w:rPr>
            </w:pPr>
            <w:r w:rsidRPr="008625E3">
              <w:rPr>
                <w:b/>
                <w:lang w:val="lt-LT"/>
              </w:rPr>
              <w:t>MAŽA</w:t>
            </w:r>
          </w:p>
        </w:tc>
        <w:tc>
          <w:tcPr>
            <w:tcW w:w="849" w:type="dxa"/>
            <w:gridSpan w:val="6"/>
            <w:vMerge/>
            <w:tcBorders>
              <w:left w:val="single" w:sz="4" w:space="0" w:color="auto"/>
              <w:bottom w:val="single" w:sz="4" w:space="0" w:color="auto"/>
              <w:right w:val="single" w:sz="4" w:space="0" w:color="auto"/>
            </w:tcBorders>
            <w:shd w:val="clear" w:color="auto" w:fill="FFFFFF"/>
            <w:vAlign w:val="center"/>
          </w:tcPr>
          <w:p w:rsidR="007C42AB" w:rsidRPr="004273CC" w:rsidRDefault="007C42AB" w:rsidP="00065FB5">
            <w:pPr>
              <w:tabs>
                <w:tab w:val="left" w:pos="510"/>
              </w:tabs>
              <w:jc w:val="both"/>
              <w:rPr>
                <w:lang w:val="lt-LT"/>
              </w:rPr>
            </w:pPr>
          </w:p>
        </w:tc>
        <w:tc>
          <w:tcPr>
            <w:tcW w:w="1140" w:type="dxa"/>
            <w:gridSpan w:val="7"/>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C93D78" w:rsidRDefault="007C42AB" w:rsidP="00065FB5">
            <w:pPr>
              <w:tabs>
                <w:tab w:val="left" w:pos="510"/>
              </w:tabs>
              <w:jc w:val="center"/>
              <w:rPr>
                <w:b/>
                <w:lang w:val="lt-LT"/>
              </w:rPr>
            </w:pPr>
            <w:r w:rsidRPr="00C93D78">
              <w:rPr>
                <w:b/>
                <w:lang w:val="lt-LT"/>
              </w:rPr>
              <w:t>0</w:t>
            </w:r>
          </w:p>
        </w:tc>
        <w:tc>
          <w:tcPr>
            <w:tcW w:w="1133" w:type="dxa"/>
            <w:gridSpan w:val="6"/>
            <w:tcBorders>
              <w:top w:val="nil"/>
              <w:left w:val="single" w:sz="4" w:space="0" w:color="auto"/>
              <w:bottom w:val="single" w:sz="4" w:space="0" w:color="auto"/>
            </w:tcBorders>
          </w:tcPr>
          <w:p w:rsidR="007C42AB" w:rsidRPr="00C93D78" w:rsidRDefault="007C42AB" w:rsidP="00065FB5">
            <w:pPr>
              <w:tabs>
                <w:tab w:val="left" w:pos="510"/>
              </w:tabs>
              <w:jc w:val="center"/>
              <w:rPr>
                <w:b/>
                <w:lang w:val="lt-LT"/>
              </w:rPr>
            </w:pPr>
            <w:r w:rsidRPr="00C93D78">
              <w:rPr>
                <w:b/>
                <w:lang w:val="lt-LT"/>
              </w:rPr>
              <w:t>MAŽA</w:t>
            </w:r>
          </w:p>
        </w:tc>
        <w:tc>
          <w:tcPr>
            <w:tcW w:w="1415" w:type="dxa"/>
            <w:vMerge/>
            <w:tcBorders>
              <w:bottom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top w:val="single" w:sz="4" w:space="0" w:color="auto"/>
              <w:bottom w:val="single" w:sz="4" w:space="0" w:color="auto"/>
              <w:right w:val="nil"/>
            </w:tcBorders>
            <w:shd w:val="clear" w:color="auto" w:fill="F2F2F2" w:themeFill="background1" w:themeFillShade="F2"/>
          </w:tcPr>
          <w:p w:rsidR="007C42AB" w:rsidRDefault="007C42AB" w:rsidP="00065FB5">
            <w:pPr>
              <w:tabs>
                <w:tab w:val="left" w:pos="510"/>
              </w:tabs>
              <w:jc w:val="right"/>
              <w:rPr>
                <w:b/>
                <w:lang w:val="lt-LT"/>
              </w:rPr>
            </w:pPr>
          </w:p>
        </w:tc>
        <w:tc>
          <w:tcPr>
            <w:tcW w:w="1133" w:type="dxa"/>
            <w:gridSpan w:val="7"/>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8" w:type="dxa"/>
            <w:gridSpan w:val="8"/>
            <w:tcBorders>
              <w:top w:val="single" w:sz="4" w:space="0" w:color="auto"/>
              <w:left w:val="nil"/>
              <w:bottom w:val="single" w:sz="4" w:space="0" w:color="auto"/>
              <w:right w:val="nil"/>
            </w:tcBorders>
            <w:shd w:val="clear" w:color="auto" w:fill="F2F2F2" w:themeFill="background1" w:themeFillShade="F2"/>
          </w:tcPr>
          <w:p w:rsidR="007C42AB" w:rsidRPr="004273CC" w:rsidRDefault="007C42AB" w:rsidP="00065FB5">
            <w:pPr>
              <w:tabs>
                <w:tab w:val="left" w:pos="510"/>
              </w:tabs>
              <w:jc w:val="center"/>
              <w:rPr>
                <w:lang w:val="lt-LT"/>
              </w:rPr>
            </w:pPr>
          </w:p>
        </w:tc>
        <w:tc>
          <w:tcPr>
            <w:tcW w:w="1156" w:type="dxa"/>
            <w:gridSpan w:val="7"/>
            <w:tcBorders>
              <w:top w:val="single" w:sz="4" w:space="0" w:color="auto"/>
              <w:left w:val="nil"/>
              <w:bottom w:val="single" w:sz="4" w:space="0" w:color="auto"/>
              <w:right w:val="nil"/>
            </w:tcBorders>
            <w:shd w:val="clear" w:color="auto" w:fill="F2F2F2" w:themeFill="background1" w:themeFillShade="F2"/>
          </w:tcPr>
          <w:p w:rsidR="007C42AB" w:rsidRPr="004273CC" w:rsidRDefault="007C42AB" w:rsidP="00065FB5">
            <w:pPr>
              <w:tabs>
                <w:tab w:val="left" w:pos="510"/>
              </w:tabs>
              <w:jc w:val="both"/>
              <w:rPr>
                <w:lang w:val="lt-LT"/>
              </w:rPr>
            </w:pPr>
          </w:p>
        </w:tc>
        <w:tc>
          <w:tcPr>
            <w:tcW w:w="849" w:type="dxa"/>
            <w:gridSpan w:val="6"/>
            <w:tcBorders>
              <w:top w:val="single" w:sz="4" w:space="0" w:color="auto"/>
              <w:left w:val="nil"/>
              <w:bottom w:val="single" w:sz="4" w:space="0" w:color="auto"/>
              <w:right w:val="nil"/>
            </w:tcBorders>
            <w:shd w:val="clear" w:color="auto" w:fill="F2F2F2" w:themeFill="background1" w:themeFillShade="F2"/>
            <w:vAlign w:val="center"/>
          </w:tcPr>
          <w:p w:rsidR="007C42AB" w:rsidRPr="004273CC" w:rsidRDefault="007C42AB" w:rsidP="00065FB5">
            <w:pPr>
              <w:tabs>
                <w:tab w:val="left" w:pos="510"/>
              </w:tabs>
              <w:jc w:val="both"/>
              <w:rPr>
                <w:lang w:val="lt-LT"/>
              </w:rPr>
            </w:pPr>
          </w:p>
        </w:tc>
        <w:tc>
          <w:tcPr>
            <w:tcW w:w="1140" w:type="dxa"/>
            <w:gridSpan w:val="7"/>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8" w:type="dxa"/>
            <w:gridSpan w:val="6"/>
            <w:tcBorders>
              <w:top w:val="single" w:sz="4" w:space="0" w:color="auto"/>
              <w:left w:val="nil"/>
              <w:bottom w:val="single" w:sz="4" w:space="0" w:color="auto"/>
              <w:right w:val="nil"/>
            </w:tcBorders>
            <w:shd w:val="clear" w:color="auto" w:fill="F2F2F2" w:themeFill="background1" w:themeFillShade="F2"/>
          </w:tcPr>
          <w:p w:rsidR="007C42AB" w:rsidRPr="004273CC" w:rsidRDefault="007C42AB" w:rsidP="00065FB5">
            <w:pPr>
              <w:tabs>
                <w:tab w:val="left" w:pos="510"/>
              </w:tabs>
              <w:jc w:val="center"/>
              <w:rPr>
                <w:lang w:val="lt-LT"/>
              </w:rPr>
            </w:pPr>
          </w:p>
        </w:tc>
        <w:tc>
          <w:tcPr>
            <w:tcW w:w="1133" w:type="dxa"/>
            <w:gridSpan w:val="6"/>
            <w:tcBorders>
              <w:top w:val="single" w:sz="4" w:space="0" w:color="auto"/>
              <w:left w:val="nil"/>
              <w:bottom w:val="single" w:sz="4" w:space="0" w:color="auto"/>
              <w:right w:val="nil"/>
            </w:tcBorders>
            <w:shd w:val="clear" w:color="auto" w:fill="F2F2F2" w:themeFill="background1" w:themeFillShade="F2"/>
          </w:tcPr>
          <w:p w:rsidR="007C42AB" w:rsidRPr="004273CC" w:rsidRDefault="007C42AB" w:rsidP="00065FB5">
            <w:pPr>
              <w:tabs>
                <w:tab w:val="left" w:pos="510"/>
              </w:tabs>
              <w:jc w:val="both"/>
              <w:rPr>
                <w:lang w:val="lt-LT"/>
              </w:rPr>
            </w:pPr>
          </w:p>
        </w:tc>
        <w:tc>
          <w:tcPr>
            <w:tcW w:w="1415" w:type="dxa"/>
            <w:tcBorders>
              <w:top w:val="single" w:sz="4" w:space="0" w:color="auto"/>
              <w:left w:val="nil"/>
              <w:bottom w:val="single" w:sz="4" w:space="0" w:color="auto"/>
              <w:right w:val="single" w:sz="4" w:space="0" w:color="auto"/>
            </w:tcBorders>
            <w:shd w:val="clear" w:color="auto" w:fill="F2F2F2" w:themeFill="background1" w:themeFillShade="F2"/>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X</w:t>
            </w:r>
          </w:p>
        </w:tc>
        <w:tc>
          <w:tcPr>
            <w:tcW w:w="1951" w:type="dxa"/>
            <w:gridSpan w:val="10"/>
            <w:vMerge w:val="restart"/>
            <w:tcBorders>
              <w:top w:val="single" w:sz="4" w:space="0" w:color="auto"/>
              <w:left w:val="single" w:sz="4" w:space="0" w:color="auto"/>
              <w:right w:val="single" w:sz="4" w:space="0" w:color="auto"/>
            </w:tcBorders>
          </w:tcPr>
          <w:p w:rsidR="007C42AB" w:rsidRDefault="007C42AB" w:rsidP="00065FB5">
            <w:pPr>
              <w:tabs>
                <w:tab w:val="left" w:pos="510"/>
              </w:tabs>
              <w:ind w:left="113" w:right="113"/>
              <w:jc w:val="center"/>
              <w:rPr>
                <w:b/>
                <w:lang w:val="lt-LT"/>
              </w:rPr>
            </w:pPr>
          </w:p>
          <w:p w:rsidR="007C42AB" w:rsidRDefault="007C42AB" w:rsidP="00065FB5">
            <w:pPr>
              <w:tabs>
                <w:tab w:val="left" w:pos="510"/>
              </w:tabs>
              <w:ind w:left="113" w:right="113"/>
              <w:jc w:val="center"/>
              <w:rPr>
                <w:b/>
                <w:lang w:val="lt-LT"/>
              </w:rPr>
            </w:pPr>
          </w:p>
          <w:p w:rsidR="007C42AB" w:rsidRDefault="007C42AB" w:rsidP="00065FB5">
            <w:pPr>
              <w:tabs>
                <w:tab w:val="left" w:pos="510"/>
              </w:tabs>
              <w:ind w:left="113" w:right="113"/>
              <w:jc w:val="center"/>
              <w:rPr>
                <w:b/>
                <w:lang w:val="lt-LT"/>
              </w:rPr>
            </w:pPr>
          </w:p>
          <w:p w:rsidR="007C42AB" w:rsidRDefault="007C42AB" w:rsidP="00065FB5">
            <w:pPr>
              <w:tabs>
                <w:tab w:val="left" w:pos="510"/>
              </w:tabs>
              <w:ind w:left="113" w:right="113"/>
              <w:jc w:val="center"/>
              <w:rPr>
                <w:b/>
                <w:lang w:val="lt-LT"/>
              </w:rPr>
            </w:pPr>
          </w:p>
          <w:p w:rsidR="007C42AB" w:rsidRDefault="007C42AB" w:rsidP="00065FB5">
            <w:pPr>
              <w:tabs>
                <w:tab w:val="left" w:pos="510"/>
              </w:tabs>
              <w:ind w:left="113" w:right="113"/>
              <w:jc w:val="center"/>
              <w:rPr>
                <w:b/>
                <w:lang w:val="lt-LT"/>
              </w:rPr>
            </w:pPr>
          </w:p>
          <w:p w:rsidR="007C42AB" w:rsidRDefault="007C42AB" w:rsidP="00065FB5">
            <w:pPr>
              <w:tabs>
                <w:tab w:val="left" w:pos="510"/>
              </w:tabs>
              <w:ind w:left="113" w:right="113"/>
              <w:jc w:val="center"/>
              <w:rPr>
                <w:b/>
                <w:lang w:val="lt-LT"/>
              </w:rPr>
            </w:pPr>
          </w:p>
          <w:p w:rsidR="007C42AB" w:rsidRDefault="007C42AB" w:rsidP="00065FB5">
            <w:pPr>
              <w:tabs>
                <w:tab w:val="left" w:pos="510"/>
              </w:tabs>
              <w:ind w:left="113" w:right="113"/>
              <w:jc w:val="center"/>
              <w:rPr>
                <w:b/>
                <w:lang w:val="lt-LT"/>
              </w:rPr>
            </w:pPr>
          </w:p>
          <w:p w:rsidR="007C42AB" w:rsidRPr="00082D89" w:rsidRDefault="007C42AB" w:rsidP="00065FB5">
            <w:pPr>
              <w:tabs>
                <w:tab w:val="left" w:pos="510"/>
              </w:tabs>
              <w:ind w:left="113" w:right="113"/>
              <w:rPr>
                <w:b/>
                <w:lang w:val="lt-LT"/>
              </w:rPr>
            </w:pPr>
            <w:r>
              <w:rPr>
                <w:b/>
                <w:lang w:val="lt-LT"/>
              </w:rPr>
              <w:t>NETAIKOMA</w:t>
            </w: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6"/>
            <w:tcBorders>
              <w:bottom w:val="single" w:sz="4" w:space="0" w:color="auto"/>
              <w:right w:val="single" w:sz="4" w:space="0" w:color="auto"/>
            </w:tcBorders>
            <w:shd w:val="clear" w:color="auto" w:fill="D9D9D9"/>
          </w:tcPr>
          <w:p w:rsidR="007C42AB" w:rsidRPr="00CD281B" w:rsidRDefault="007C42AB" w:rsidP="00065FB5">
            <w:pPr>
              <w:tabs>
                <w:tab w:val="left" w:pos="510"/>
              </w:tabs>
              <w:jc w:val="center"/>
              <w:rPr>
                <w:b/>
                <w:lang w:val="lt-LT"/>
              </w:rPr>
            </w:pPr>
            <w:r w:rsidRPr="00CD281B">
              <w:rPr>
                <w:b/>
                <w:lang w:val="lt-LT"/>
              </w:rPr>
              <w:t>X</w:t>
            </w:r>
          </w:p>
        </w:tc>
        <w:tc>
          <w:tcPr>
            <w:tcW w:w="1133" w:type="dxa"/>
            <w:gridSpan w:val="6"/>
            <w:tcBorders>
              <w:top w:val="single" w:sz="4" w:space="0" w:color="auto"/>
              <w:left w:val="single" w:sz="4" w:space="0" w:color="auto"/>
              <w:bottom w:val="single" w:sz="4" w:space="0" w:color="auto"/>
              <w:right w:val="single" w:sz="4" w:space="0" w:color="auto"/>
            </w:tcBorders>
          </w:tcPr>
          <w:p w:rsidR="007C42AB" w:rsidRPr="00CD281B" w:rsidRDefault="007C42AB" w:rsidP="00065FB5">
            <w:pPr>
              <w:tabs>
                <w:tab w:val="left" w:pos="510"/>
              </w:tabs>
              <w:jc w:val="center"/>
              <w:rPr>
                <w:b/>
                <w:lang w:val="lt-LT"/>
              </w:rPr>
            </w:pPr>
            <w:r w:rsidRPr="00CD281B">
              <w:rPr>
                <w:b/>
                <w:lang w:val="lt-LT"/>
              </w:rPr>
              <w:t>9</w:t>
            </w:r>
          </w:p>
        </w:tc>
        <w:tc>
          <w:tcPr>
            <w:tcW w:w="1415" w:type="dxa"/>
            <w:vMerge w:val="restart"/>
            <w:tcBorders>
              <w:top w:val="single" w:sz="4" w:space="0" w:color="auto"/>
              <w:left w:val="single" w:sz="4" w:space="0" w:color="auto"/>
              <w:right w:val="single" w:sz="4" w:space="0" w:color="auto"/>
            </w:tcBorders>
            <w:textDirection w:val="btLr"/>
          </w:tcPr>
          <w:p w:rsidR="007C42AB" w:rsidRPr="004273CC" w:rsidRDefault="007C42AB" w:rsidP="00065FB5">
            <w:pPr>
              <w:tabs>
                <w:tab w:val="left" w:pos="510"/>
              </w:tabs>
              <w:ind w:left="113" w:right="113"/>
              <w:jc w:val="center"/>
              <w:rPr>
                <w:lang w:val="lt-LT"/>
              </w:rPr>
            </w:pPr>
            <w:r w:rsidRPr="00082D89">
              <w:rPr>
                <w:b/>
                <w:lang w:val="lt-LT"/>
              </w:rPr>
              <w:t xml:space="preserve">Skolos tiekėjams – </w:t>
            </w:r>
            <w:r>
              <w:rPr>
                <w:b/>
                <w:lang w:val="lt-LT"/>
              </w:rPr>
              <w:t>Įvertinimas</w:t>
            </w: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6"/>
            <w:tcBorders>
              <w:bottom w:val="single" w:sz="4" w:space="0" w:color="auto"/>
              <w:right w:val="single" w:sz="4" w:space="0" w:color="auto"/>
            </w:tcBorders>
            <w:shd w:val="clear" w:color="auto" w:fill="D9D9D9"/>
          </w:tcPr>
          <w:p w:rsidR="007C42AB" w:rsidRPr="00CD281B" w:rsidRDefault="007C42AB" w:rsidP="00065FB5">
            <w:pPr>
              <w:tabs>
                <w:tab w:val="left" w:pos="510"/>
              </w:tabs>
              <w:jc w:val="center"/>
              <w:rPr>
                <w:b/>
                <w:lang w:val="lt-LT"/>
              </w:rPr>
            </w:pPr>
            <w:r w:rsidRPr="00CD281B">
              <w:rPr>
                <w:b/>
                <w:lang w:val="lt-LT"/>
              </w:rPr>
              <w:t>3</w:t>
            </w:r>
          </w:p>
        </w:tc>
        <w:tc>
          <w:tcPr>
            <w:tcW w:w="1133" w:type="dxa"/>
            <w:gridSpan w:val="6"/>
            <w:tcBorders>
              <w:top w:val="single" w:sz="4" w:space="0" w:color="auto"/>
              <w:left w:val="single" w:sz="4" w:space="0" w:color="auto"/>
              <w:bottom w:val="nil"/>
              <w:right w:val="single" w:sz="4" w:space="0" w:color="auto"/>
            </w:tcBorders>
          </w:tcPr>
          <w:p w:rsidR="007C42AB" w:rsidRPr="00CD281B" w:rsidRDefault="007C42AB" w:rsidP="00065FB5">
            <w:pPr>
              <w:tabs>
                <w:tab w:val="left" w:pos="510"/>
              </w:tabs>
              <w:jc w:val="center"/>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6"/>
            <w:tcBorders>
              <w:bottom w:val="single" w:sz="4" w:space="0" w:color="auto"/>
              <w:right w:val="single" w:sz="4" w:space="0" w:color="auto"/>
            </w:tcBorders>
            <w:shd w:val="clear" w:color="auto" w:fill="D9D9D9"/>
          </w:tcPr>
          <w:p w:rsidR="007C42AB" w:rsidRPr="00CD281B" w:rsidRDefault="007C42AB" w:rsidP="00065FB5">
            <w:pPr>
              <w:tabs>
                <w:tab w:val="left" w:pos="510"/>
              </w:tabs>
              <w:jc w:val="center"/>
              <w:rPr>
                <w:b/>
                <w:lang w:val="lt-LT"/>
              </w:rPr>
            </w:pPr>
            <w:r w:rsidRPr="00CD281B">
              <w:rPr>
                <w:b/>
                <w:lang w:val="lt-LT"/>
              </w:rPr>
              <w:t>15</w:t>
            </w:r>
          </w:p>
        </w:tc>
        <w:tc>
          <w:tcPr>
            <w:tcW w:w="1133" w:type="dxa"/>
            <w:gridSpan w:val="6"/>
            <w:tcBorders>
              <w:top w:val="nil"/>
              <w:left w:val="single" w:sz="4" w:space="0" w:color="auto"/>
              <w:bottom w:val="nil"/>
              <w:right w:val="single" w:sz="4" w:space="0" w:color="auto"/>
            </w:tcBorders>
          </w:tcPr>
          <w:p w:rsidR="007C42AB" w:rsidRPr="00CD281B" w:rsidRDefault="007C42AB" w:rsidP="00065FB5">
            <w:pPr>
              <w:tabs>
                <w:tab w:val="left" w:pos="510"/>
              </w:tabs>
              <w:jc w:val="center"/>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Pr>
                <w:b/>
                <w:lang w:val="lt-LT"/>
              </w:rPr>
              <w:t xml:space="preserve">ĮGIMTOS </w:t>
            </w:r>
            <w:r w:rsidRPr="004273CC">
              <w:rPr>
                <w:b/>
                <w:lang w:val="lt-LT"/>
              </w:rPr>
              <w:t>RIZIKOS LYGIS, proc. (1 eil./3eil.*100)</w:t>
            </w:r>
          </w:p>
        </w:tc>
        <w:tc>
          <w:tcPr>
            <w:tcW w:w="1133" w:type="dxa"/>
            <w:gridSpan w:val="7"/>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8"/>
            <w:tcBorders>
              <w:bottom w:val="single" w:sz="4" w:space="0" w:color="auto"/>
              <w:right w:val="single" w:sz="4" w:space="0" w:color="auto"/>
            </w:tcBorders>
            <w:shd w:val="clear" w:color="auto" w:fill="D9D9D9"/>
          </w:tcPr>
          <w:p w:rsidR="007C42AB" w:rsidRPr="00B77EA9" w:rsidRDefault="007C42AB" w:rsidP="00065FB5">
            <w:pPr>
              <w:tabs>
                <w:tab w:val="left" w:pos="510"/>
              </w:tabs>
              <w:jc w:val="center"/>
              <w:rPr>
                <w:b/>
                <w:lang w:val="lt-LT"/>
              </w:rPr>
            </w:pPr>
            <w:r>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6"/>
            <w:tcBorders>
              <w:bottom w:val="single" w:sz="4" w:space="0" w:color="auto"/>
              <w:right w:val="single" w:sz="4" w:space="0" w:color="auto"/>
            </w:tcBorders>
            <w:shd w:val="clear" w:color="auto" w:fill="D9D9D9"/>
          </w:tcPr>
          <w:p w:rsidR="007C42AB" w:rsidRPr="00CD281B" w:rsidRDefault="007C42AB" w:rsidP="00065FB5">
            <w:pPr>
              <w:tabs>
                <w:tab w:val="left" w:pos="510"/>
              </w:tabs>
              <w:jc w:val="center"/>
              <w:rPr>
                <w:b/>
                <w:lang w:val="lt-LT"/>
              </w:rPr>
            </w:pPr>
            <w:r w:rsidRPr="00CD281B">
              <w:rPr>
                <w:b/>
                <w:lang w:val="lt-LT"/>
              </w:rPr>
              <w:t>60</w:t>
            </w:r>
          </w:p>
        </w:tc>
        <w:tc>
          <w:tcPr>
            <w:tcW w:w="1133" w:type="dxa"/>
            <w:gridSpan w:val="6"/>
            <w:tcBorders>
              <w:top w:val="nil"/>
              <w:left w:val="single" w:sz="4" w:space="0" w:color="auto"/>
              <w:bottom w:val="single" w:sz="4" w:space="0" w:color="auto"/>
              <w:right w:val="single" w:sz="4" w:space="0" w:color="auto"/>
            </w:tcBorders>
          </w:tcPr>
          <w:p w:rsidR="007C42AB" w:rsidRPr="00CD281B" w:rsidRDefault="007C42AB" w:rsidP="00065FB5">
            <w:pPr>
              <w:tabs>
                <w:tab w:val="left" w:pos="510"/>
              </w:tabs>
              <w:jc w:val="center"/>
              <w:rPr>
                <w:b/>
                <w:lang w:val="lt-LT"/>
              </w:rPr>
            </w:pPr>
            <w:r w:rsidRPr="00CD281B">
              <w:rPr>
                <w:b/>
                <w:sz w:val="18"/>
                <w:szCs w:val="18"/>
                <w:lang w:val="lt-LT"/>
              </w:rPr>
              <w:t>VIDUTINĖ</w:t>
            </w: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X</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CD281B" w:rsidRDefault="007C42AB" w:rsidP="00065FB5">
            <w:pPr>
              <w:tabs>
                <w:tab w:val="left" w:pos="510"/>
              </w:tabs>
              <w:jc w:val="center"/>
              <w:rPr>
                <w:b/>
                <w:lang w:val="lt-LT"/>
              </w:rPr>
            </w:pPr>
            <w:r w:rsidRPr="00CD281B">
              <w:rPr>
                <w:b/>
                <w:lang w:val="lt-LT"/>
              </w:rPr>
              <w:t>X</w:t>
            </w:r>
          </w:p>
        </w:tc>
        <w:tc>
          <w:tcPr>
            <w:tcW w:w="1133" w:type="dxa"/>
            <w:gridSpan w:val="6"/>
            <w:tcBorders>
              <w:top w:val="nil"/>
              <w:left w:val="single" w:sz="4" w:space="0" w:color="auto"/>
              <w:bottom w:val="single" w:sz="4" w:space="0" w:color="auto"/>
              <w:right w:val="single" w:sz="4" w:space="0" w:color="auto"/>
            </w:tcBorders>
          </w:tcPr>
          <w:p w:rsidR="007C42AB" w:rsidRPr="00CD281B" w:rsidRDefault="007C42AB" w:rsidP="00065FB5">
            <w:pPr>
              <w:tabs>
                <w:tab w:val="left" w:pos="510"/>
              </w:tabs>
              <w:jc w:val="center"/>
              <w:rPr>
                <w:b/>
                <w:lang w:val="lt-LT"/>
              </w:rPr>
            </w:pPr>
            <w:r w:rsidRPr="00CD281B">
              <w:rPr>
                <w:b/>
                <w:lang w:val="lt-LT"/>
              </w:rPr>
              <w:t>17</w:t>
            </w: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CD281B" w:rsidRDefault="007C42AB" w:rsidP="00065FB5">
            <w:pPr>
              <w:tabs>
                <w:tab w:val="left" w:pos="510"/>
              </w:tabs>
              <w:jc w:val="center"/>
              <w:rPr>
                <w:b/>
                <w:lang w:val="lt-LT"/>
              </w:rPr>
            </w:pPr>
            <w:r w:rsidRPr="00CD281B">
              <w:rPr>
                <w:b/>
                <w:lang w:val="lt-LT"/>
              </w:rPr>
              <w:t>6</w:t>
            </w:r>
          </w:p>
        </w:tc>
        <w:tc>
          <w:tcPr>
            <w:tcW w:w="1133" w:type="dxa"/>
            <w:gridSpan w:val="6"/>
            <w:tcBorders>
              <w:top w:val="single" w:sz="4" w:space="0" w:color="auto"/>
              <w:left w:val="single" w:sz="4" w:space="0" w:color="auto"/>
              <w:bottom w:val="nil"/>
              <w:right w:val="single" w:sz="4" w:space="0" w:color="auto"/>
            </w:tcBorders>
          </w:tcPr>
          <w:p w:rsidR="007C42AB" w:rsidRPr="00CD281B" w:rsidRDefault="007C42AB" w:rsidP="00065FB5">
            <w:pPr>
              <w:tabs>
                <w:tab w:val="left" w:pos="510"/>
              </w:tabs>
              <w:jc w:val="center"/>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Height w:val="70"/>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CD281B" w:rsidRDefault="007C42AB" w:rsidP="00065FB5">
            <w:pPr>
              <w:tabs>
                <w:tab w:val="left" w:pos="510"/>
              </w:tabs>
              <w:jc w:val="center"/>
              <w:rPr>
                <w:b/>
                <w:lang w:val="lt-LT"/>
              </w:rPr>
            </w:pPr>
            <w:r w:rsidRPr="00CD281B">
              <w:rPr>
                <w:b/>
                <w:lang w:val="lt-LT"/>
              </w:rPr>
              <w:t>30</w:t>
            </w:r>
          </w:p>
        </w:tc>
        <w:tc>
          <w:tcPr>
            <w:tcW w:w="1133" w:type="dxa"/>
            <w:gridSpan w:val="6"/>
            <w:tcBorders>
              <w:top w:val="nil"/>
              <w:left w:val="single" w:sz="4" w:space="0" w:color="auto"/>
              <w:bottom w:val="nil"/>
              <w:right w:val="single" w:sz="4" w:space="0" w:color="auto"/>
            </w:tcBorders>
          </w:tcPr>
          <w:p w:rsidR="007C42AB" w:rsidRPr="00CD281B" w:rsidRDefault="007C42AB" w:rsidP="00065FB5">
            <w:pPr>
              <w:tabs>
                <w:tab w:val="left" w:pos="510"/>
              </w:tabs>
              <w:jc w:val="center"/>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3" w:type="dxa"/>
            <w:gridSpan w:val="7"/>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8"/>
            <w:tcBorders>
              <w:bottom w:val="single" w:sz="4" w:space="0" w:color="auto"/>
              <w:right w:val="single" w:sz="4" w:space="0" w:color="auto"/>
            </w:tcBorders>
            <w:shd w:val="clear" w:color="auto" w:fill="D9D9D9"/>
          </w:tcPr>
          <w:p w:rsidR="007C42AB" w:rsidRPr="00B77EA9" w:rsidRDefault="007C42AB" w:rsidP="00065FB5">
            <w:pPr>
              <w:tabs>
                <w:tab w:val="left" w:pos="510"/>
              </w:tabs>
              <w:jc w:val="center"/>
              <w:rPr>
                <w:b/>
                <w:lang w:val="lt-LT"/>
              </w:rPr>
            </w:pPr>
            <w:r w:rsidRPr="00B77EA9">
              <w:rPr>
                <w:b/>
                <w:lang w:val="lt-LT"/>
              </w:rPr>
              <w:t>0</w:t>
            </w:r>
          </w:p>
        </w:tc>
        <w:tc>
          <w:tcPr>
            <w:tcW w:w="1951" w:type="dxa"/>
            <w:gridSpan w:val="10"/>
            <w:vMerge/>
            <w:tcBorders>
              <w:left w:val="single" w:sz="4" w:space="0" w:color="auto"/>
              <w:bottom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CD281B" w:rsidRDefault="007C42AB" w:rsidP="00065FB5">
            <w:pPr>
              <w:tabs>
                <w:tab w:val="left" w:pos="510"/>
              </w:tabs>
              <w:jc w:val="center"/>
              <w:rPr>
                <w:b/>
                <w:lang w:val="lt-LT"/>
              </w:rPr>
            </w:pPr>
            <w:r w:rsidRPr="00CD281B">
              <w:rPr>
                <w:b/>
                <w:lang w:val="lt-LT"/>
              </w:rPr>
              <w:t>57</w:t>
            </w:r>
          </w:p>
        </w:tc>
        <w:tc>
          <w:tcPr>
            <w:tcW w:w="1133" w:type="dxa"/>
            <w:gridSpan w:val="6"/>
            <w:tcBorders>
              <w:top w:val="nil"/>
              <w:left w:val="single" w:sz="4" w:space="0" w:color="auto"/>
              <w:bottom w:val="single" w:sz="4" w:space="0" w:color="auto"/>
              <w:right w:val="single" w:sz="4" w:space="0" w:color="auto"/>
            </w:tcBorders>
          </w:tcPr>
          <w:p w:rsidR="007C42AB" w:rsidRPr="00CD281B" w:rsidRDefault="007C42AB" w:rsidP="00065FB5">
            <w:pPr>
              <w:tabs>
                <w:tab w:val="left" w:pos="510"/>
              </w:tabs>
              <w:jc w:val="center"/>
              <w:rPr>
                <w:b/>
                <w:lang w:val="lt-LT"/>
              </w:rPr>
            </w:pPr>
            <w:r w:rsidRPr="00CD281B">
              <w:rPr>
                <w:b/>
                <w:sz w:val="18"/>
                <w:szCs w:val="18"/>
                <w:lang w:val="lt-LT"/>
              </w:rPr>
              <w:t>VIDUTINĖ</w:t>
            </w:r>
          </w:p>
        </w:tc>
        <w:tc>
          <w:tcPr>
            <w:tcW w:w="1415" w:type="dxa"/>
            <w:vMerge/>
            <w:tcBorders>
              <w:left w:val="single" w:sz="4" w:space="0" w:color="auto"/>
              <w:bottom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val="restart"/>
            <w:textDirection w:val="btLr"/>
          </w:tcPr>
          <w:p w:rsidR="007C42AB" w:rsidRDefault="007C42AB" w:rsidP="00065FB5">
            <w:pPr>
              <w:tabs>
                <w:tab w:val="left" w:pos="510"/>
              </w:tabs>
              <w:ind w:left="113" w:right="113"/>
              <w:jc w:val="center"/>
              <w:rPr>
                <w:b/>
                <w:lang w:val="lt-LT"/>
              </w:rPr>
            </w:pPr>
            <w:r w:rsidRPr="002E216D">
              <w:rPr>
                <w:b/>
                <w:lang w:val="lt-LT"/>
              </w:rPr>
              <w:lastRenderedPageBreak/>
              <w:t>Per vienerius metus mokėtinos sumos ir</w:t>
            </w:r>
          </w:p>
          <w:p w:rsidR="007C42AB" w:rsidRPr="004273CC" w:rsidRDefault="007C42AB" w:rsidP="00065FB5">
            <w:pPr>
              <w:tabs>
                <w:tab w:val="left" w:pos="510"/>
              </w:tabs>
              <w:ind w:left="113" w:right="113"/>
              <w:jc w:val="center"/>
              <w:rPr>
                <w:lang w:val="lt-LT"/>
              </w:rPr>
            </w:pPr>
            <w:r w:rsidRPr="002E216D">
              <w:rPr>
                <w:b/>
                <w:lang w:val="lt-LT"/>
              </w:rPr>
              <w:t>trumpalaikiai įsipareigojimai</w:t>
            </w:r>
          </w:p>
          <w:p w:rsidR="007C42AB" w:rsidRPr="004273CC" w:rsidRDefault="007C42AB" w:rsidP="00065FB5">
            <w:pPr>
              <w:tabs>
                <w:tab w:val="left" w:pos="510"/>
              </w:tabs>
              <w:ind w:left="113" w:right="113"/>
              <w:jc w:val="center"/>
              <w:rPr>
                <w:lang w:val="lt-LT"/>
              </w:rPr>
            </w:pPr>
          </w:p>
        </w:tc>
        <w:tc>
          <w:tcPr>
            <w:tcW w:w="4587" w:type="dxa"/>
            <w:gridSpan w:val="22"/>
            <w:tcBorders>
              <w:top w:val="single" w:sz="4" w:space="0" w:color="auto"/>
              <w:bottom w:val="single" w:sz="4" w:space="0" w:color="auto"/>
              <w:right w:val="nil"/>
            </w:tcBorders>
            <w:shd w:val="clear" w:color="auto" w:fill="F2F2F2" w:themeFill="background1" w:themeFillShade="F2"/>
          </w:tcPr>
          <w:p w:rsidR="007C42AB" w:rsidRDefault="007C42AB" w:rsidP="00065FB5">
            <w:pPr>
              <w:tabs>
                <w:tab w:val="left" w:pos="510"/>
              </w:tabs>
              <w:jc w:val="right"/>
              <w:rPr>
                <w:b/>
                <w:lang w:val="lt-LT"/>
              </w:rPr>
            </w:pPr>
          </w:p>
        </w:tc>
        <w:tc>
          <w:tcPr>
            <w:tcW w:w="1133" w:type="dxa"/>
            <w:gridSpan w:val="7"/>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8" w:type="dxa"/>
            <w:gridSpan w:val="8"/>
            <w:tcBorders>
              <w:top w:val="single" w:sz="4" w:space="0" w:color="auto"/>
              <w:left w:val="nil"/>
              <w:bottom w:val="single" w:sz="4" w:space="0" w:color="auto"/>
              <w:right w:val="nil"/>
            </w:tcBorders>
            <w:shd w:val="clear" w:color="auto" w:fill="F2F2F2" w:themeFill="background1" w:themeFillShade="F2"/>
          </w:tcPr>
          <w:p w:rsidR="007C42AB" w:rsidRPr="00B77EA9" w:rsidRDefault="007C42AB" w:rsidP="00065FB5">
            <w:pPr>
              <w:tabs>
                <w:tab w:val="left" w:pos="510"/>
              </w:tabs>
              <w:jc w:val="center"/>
              <w:rPr>
                <w:b/>
                <w:lang w:val="lt-LT"/>
              </w:rPr>
            </w:pPr>
          </w:p>
        </w:tc>
        <w:tc>
          <w:tcPr>
            <w:tcW w:w="848" w:type="dxa"/>
            <w:tcBorders>
              <w:top w:val="single" w:sz="4" w:space="0" w:color="auto"/>
              <w:left w:val="nil"/>
              <w:bottom w:val="single" w:sz="4" w:space="0" w:color="auto"/>
              <w:right w:val="nil"/>
            </w:tcBorders>
            <w:shd w:val="clear" w:color="auto" w:fill="F2F2F2" w:themeFill="background1" w:themeFillShade="F2"/>
          </w:tcPr>
          <w:p w:rsidR="007C42AB" w:rsidRPr="00B77EA9" w:rsidRDefault="007C42AB" w:rsidP="00065FB5">
            <w:pPr>
              <w:tabs>
                <w:tab w:val="left" w:pos="510"/>
              </w:tabs>
              <w:jc w:val="center"/>
              <w:rPr>
                <w:b/>
                <w:lang w:val="lt-LT"/>
              </w:rPr>
            </w:pPr>
          </w:p>
        </w:tc>
        <w:tc>
          <w:tcPr>
            <w:tcW w:w="1157" w:type="dxa"/>
            <w:gridSpan w:val="12"/>
            <w:tcBorders>
              <w:top w:val="single" w:sz="4" w:space="0" w:color="auto"/>
              <w:left w:val="nil"/>
              <w:bottom w:val="single" w:sz="4" w:space="0" w:color="auto"/>
              <w:right w:val="nil"/>
            </w:tcBorders>
            <w:shd w:val="clear" w:color="auto" w:fill="F2F2F2" w:themeFill="background1" w:themeFillShade="F2"/>
            <w:vAlign w:val="center"/>
          </w:tcPr>
          <w:p w:rsidR="007C42AB" w:rsidRPr="004273CC" w:rsidRDefault="007C42AB" w:rsidP="00065FB5">
            <w:pPr>
              <w:tabs>
                <w:tab w:val="left" w:pos="510"/>
              </w:tabs>
              <w:jc w:val="both"/>
              <w:rPr>
                <w:lang w:val="lt-LT"/>
              </w:rPr>
            </w:pPr>
          </w:p>
        </w:tc>
        <w:tc>
          <w:tcPr>
            <w:tcW w:w="1140" w:type="dxa"/>
            <w:gridSpan w:val="7"/>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8" w:type="dxa"/>
            <w:gridSpan w:val="6"/>
            <w:tcBorders>
              <w:top w:val="single" w:sz="4" w:space="0" w:color="auto"/>
              <w:left w:val="nil"/>
              <w:bottom w:val="single" w:sz="4" w:space="0" w:color="auto"/>
              <w:right w:val="nil"/>
            </w:tcBorders>
            <w:shd w:val="clear" w:color="auto" w:fill="F2F2F2" w:themeFill="background1" w:themeFillShade="F2"/>
          </w:tcPr>
          <w:p w:rsidR="007C42AB" w:rsidRDefault="007C42AB" w:rsidP="00065FB5">
            <w:pPr>
              <w:tabs>
                <w:tab w:val="left" w:pos="510"/>
              </w:tabs>
              <w:jc w:val="center"/>
              <w:rPr>
                <w:lang w:val="lt-LT"/>
              </w:rPr>
            </w:pPr>
          </w:p>
        </w:tc>
        <w:tc>
          <w:tcPr>
            <w:tcW w:w="1133" w:type="dxa"/>
            <w:gridSpan w:val="6"/>
            <w:tcBorders>
              <w:top w:val="single" w:sz="4" w:space="0" w:color="auto"/>
              <w:left w:val="nil"/>
              <w:bottom w:val="single" w:sz="4" w:space="0" w:color="auto"/>
              <w:right w:val="nil"/>
            </w:tcBorders>
            <w:shd w:val="clear" w:color="auto" w:fill="F2F2F2" w:themeFill="background1" w:themeFillShade="F2"/>
          </w:tcPr>
          <w:p w:rsidR="007C42AB" w:rsidRPr="00C93D78" w:rsidRDefault="007C42AB" w:rsidP="00065FB5">
            <w:pPr>
              <w:tabs>
                <w:tab w:val="left" w:pos="510"/>
              </w:tabs>
              <w:jc w:val="both"/>
              <w:rPr>
                <w:b/>
                <w:sz w:val="18"/>
                <w:szCs w:val="18"/>
                <w:lang w:val="lt-LT"/>
              </w:rPr>
            </w:pPr>
          </w:p>
        </w:tc>
        <w:tc>
          <w:tcPr>
            <w:tcW w:w="1415" w:type="dxa"/>
            <w:tcBorders>
              <w:top w:val="single" w:sz="4" w:space="0" w:color="auto"/>
              <w:left w:val="nil"/>
              <w:bottom w:val="single" w:sz="4" w:space="0" w:color="auto"/>
              <w:right w:val="single" w:sz="4" w:space="0" w:color="auto"/>
            </w:tcBorders>
            <w:shd w:val="clear" w:color="auto" w:fill="F2F2F2" w:themeFill="background1" w:themeFillShade="F2"/>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X</w:t>
            </w:r>
          </w:p>
        </w:tc>
        <w:tc>
          <w:tcPr>
            <w:tcW w:w="848" w:type="dxa"/>
            <w:tcBorders>
              <w:top w:val="nil"/>
              <w:left w:val="single" w:sz="4" w:space="0" w:color="auto"/>
              <w:bottom w:val="single" w:sz="4" w:space="0" w:color="auto"/>
              <w:right w:val="single" w:sz="4" w:space="0" w:color="auto"/>
            </w:tcBorders>
          </w:tcPr>
          <w:p w:rsidR="007C42AB" w:rsidRPr="00B77EA9" w:rsidRDefault="007C42AB" w:rsidP="00065FB5">
            <w:pPr>
              <w:tabs>
                <w:tab w:val="left" w:pos="510"/>
              </w:tabs>
              <w:jc w:val="center"/>
              <w:rPr>
                <w:b/>
                <w:lang w:val="lt-LT"/>
              </w:rPr>
            </w:pPr>
            <w:r>
              <w:rPr>
                <w:b/>
                <w:lang w:val="lt-LT"/>
              </w:rPr>
              <w:t>0</w:t>
            </w:r>
          </w:p>
        </w:tc>
        <w:tc>
          <w:tcPr>
            <w:tcW w:w="1157" w:type="dxa"/>
            <w:gridSpan w:val="12"/>
            <w:vMerge w:val="restart"/>
            <w:tcBorders>
              <w:top w:val="single" w:sz="4" w:space="0" w:color="auto"/>
              <w:left w:val="single" w:sz="4" w:space="0" w:color="auto"/>
              <w:right w:val="single" w:sz="4" w:space="0" w:color="auto"/>
            </w:tcBorders>
            <w:shd w:val="clear" w:color="auto" w:fill="FFFFFF"/>
            <w:textDirection w:val="btLr"/>
          </w:tcPr>
          <w:p w:rsidR="007C42AB" w:rsidRPr="00082D89" w:rsidRDefault="007C42AB" w:rsidP="00065FB5">
            <w:pPr>
              <w:tabs>
                <w:tab w:val="left" w:pos="510"/>
              </w:tabs>
              <w:ind w:left="113" w:right="113"/>
              <w:jc w:val="center"/>
              <w:rPr>
                <w:b/>
                <w:lang w:val="lt-LT"/>
              </w:rPr>
            </w:pPr>
            <w:r w:rsidRPr="00082D89">
              <w:rPr>
                <w:b/>
                <w:lang w:val="lt-LT"/>
              </w:rPr>
              <w:t>Darbo įsipareigojimai – Išsamumas</w:t>
            </w:r>
          </w:p>
        </w:tc>
        <w:tc>
          <w:tcPr>
            <w:tcW w:w="1140" w:type="dxa"/>
            <w:gridSpan w:val="7"/>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6"/>
            <w:tcBorders>
              <w:bottom w:val="single" w:sz="4" w:space="0" w:color="auto"/>
              <w:right w:val="single" w:sz="4" w:space="0" w:color="auto"/>
            </w:tcBorders>
            <w:shd w:val="clear" w:color="auto" w:fill="FFFFFF" w:themeFill="background1"/>
          </w:tcPr>
          <w:p w:rsidR="007C42AB" w:rsidRPr="00221E66" w:rsidRDefault="007C42AB" w:rsidP="00065FB5">
            <w:pPr>
              <w:tabs>
                <w:tab w:val="left" w:pos="510"/>
              </w:tabs>
              <w:jc w:val="center"/>
              <w:rPr>
                <w:b/>
                <w:lang w:val="lt-LT"/>
              </w:rPr>
            </w:pPr>
            <w:r w:rsidRPr="00221E66">
              <w:rPr>
                <w:b/>
                <w:lang w:val="lt-LT"/>
              </w:rPr>
              <w:t>X</w:t>
            </w:r>
          </w:p>
        </w:tc>
        <w:tc>
          <w:tcPr>
            <w:tcW w:w="1133" w:type="dxa"/>
            <w:gridSpan w:val="6"/>
            <w:tcBorders>
              <w:top w:val="single" w:sz="4" w:space="0" w:color="auto"/>
              <w:left w:val="single" w:sz="4" w:space="0" w:color="auto"/>
              <w:bottom w:val="single" w:sz="4" w:space="0" w:color="auto"/>
              <w:right w:val="single" w:sz="4" w:space="0" w:color="auto"/>
            </w:tcBorders>
          </w:tcPr>
          <w:p w:rsidR="007C42AB" w:rsidRPr="00221E66" w:rsidRDefault="007C42AB" w:rsidP="00065FB5">
            <w:pPr>
              <w:tabs>
                <w:tab w:val="left" w:pos="510"/>
              </w:tabs>
              <w:jc w:val="both"/>
              <w:rPr>
                <w:b/>
                <w:lang w:val="lt-LT"/>
              </w:rPr>
            </w:pPr>
            <w:r w:rsidRPr="00221E66">
              <w:rPr>
                <w:b/>
                <w:lang w:val="lt-LT"/>
              </w:rPr>
              <w:t>0</w:t>
            </w:r>
          </w:p>
        </w:tc>
        <w:tc>
          <w:tcPr>
            <w:tcW w:w="1415" w:type="dxa"/>
            <w:vMerge w:val="restart"/>
            <w:tcBorders>
              <w:top w:val="nil"/>
              <w:left w:val="single" w:sz="4" w:space="0" w:color="auto"/>
              <w:right w:val="single" w:sz="4" w:space="0" w:color="auto"/>
            </w:tcBorders>
            <w:textDirection w:val="btLr"/>
          </w:tcPr>
          <w:p w:rsidR="007C42AB" w:rsidRPr="004273CC" w:rsidRDefault="007C42AB" w:rsidP="00065FB5">
            <w:pPr>
              <w:tabs>
                <w:tab w:val="left" w:pos="510"/>
              </w:tabs>
              <w:ind w:left="113" w:right="113"/>
              <w:jc w:val="center"/>
              <w:rPr>
                <w:lang w:val="lt-LT"/>
              </w:rPr>
            </w:pPr>
            <w:r w:rsidRPr="00082D89">
              <w:rPr>
                <w:b/>
                <w:lang w:val="lt-LT"/>
              </w:rPr>
              <w:t>Darbo įsipareigojimai – Išsamumas</w:t>
            </w: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Pr>
                <w:b/>
                <w:lang w:val="lt-LT"/>
              </w:rPr>
              <w:t>0</w:t>
            </w:r>
          </w:p>
        </w:tc>
        <w:tc>
          <w:tcPr>
            <w:tcW w:w="848" w:type="dxa"/>
            <w:tcBorders>
              <w:top w:val="single" w:sz="4" w:space="0" w:color="auto"/>
              <w:left w:val="single" w:sz="4" w:space="0" w:color="auto"/>
              <w:bottom w:val="nil"/>
              <w:right w:val="single" w:sz="4" w:space="0" w:color="auto"/>
            </w:tcBorders>
          </w:tcPr>
          <w:p w:rsidR="007C42AB" w:rsidRPr="00B77EA9" w:rsidRDefault="007C42AB" w:rsidP="00065FB5">
            <w:pPr>
              <w:tabs>
                <w:tab w:val="left" w:pos="510"/>
              </w:tabs>
              <w:jc w:val="center"/>
              <w:rPr>
                <w:b/>
                <w:lang w:val="lt-LT"/>
              </w:rPr>
            </w:pPr>
          </w:p>
        </w:tc>
        <w:tc>
          <w:tcPr>
            <w:tcW w:w="1157" w:type="dxa"/>
            <w:gridSpan w:val="12"/>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6"/>
            <w:tcBorders>
              <w:bottom w:val="single" w:sz="4" w:space="0" w:color="auto"/>
              <w:right w:val="single" w:sz="4" w:space="0" w:color="auto"/>
            </w:tcBorders>
            <w:shd w:val="clear" w:color="auto" w:fill="FFFFFF" w:themeFill="background1"/>
          </w:tcPr>
          <w:p w:rsidR="007C42AB" w:rsidRPr="00221E66" w:rsidRDefault="007C42AB" w:rsidP="00065FB5">
            <w:pPr>
              <w:tabs>
                <w:tab w:val="left" w:pos="510"/>
              </w:tabs>
              <w:jc w:val="center"/>
              <w:rPr>
                <w:b/>
                <w:lang w:val="lt-LT"/>
              </w:rPr>
            </w:pPr>
            <w:r w:rsidRPr="00221E66">
              <w:rPr>
                <w:b/>
                <w:lang w:val="lt-LT"/>
              </w:rPr>
              <w:t>0</w:t>
            </w:r>
          </w:p>
        </w:tc>
        <w:tc>
          <w:tcPr>
            <w:tcW w:w="1133" w:type="dxa"/>
            <w:gridSpan w:val="6"/>
            <w:tcBorders>
              <w:top w:val="single" w:sz="4" w:space="0" w:color="auto"/>
              <w:left w:val="single" w:sz="4" w:space="0" w:color="auto"/>
              <w:bottom w:val="nil"/>
              <w:right w:val="single" w:sz="4" w:space="0" w:color="auto"/>
            </w:tcBorders>
          </w:tcPr>
          <w:p w:rsidR="007C42AB" w:rsidRPr="00221E66" w:rsidRDefault="007C42AB" w:rsidP="00065FB5">
            <w:pPr>
              <w:tabs>
                <w:tab w:val="left" w:pos="510"/>
              </w:tabs>
              <w:jc w:val="both"/>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Pr>
                <w:b/>
                <w:lang w:val="lt-LT"/>
              </w:rPr>
              <w:t>0</w:t>
            </w:r>
          </w:p>
        </w:tc>
        <w:tc>
          <w:tcPr>
            <w:tcW w:w="848" w:type="dxa"/>
            <w:tcBorders>
              <w:top w:val="nil"/>
              <w:left w:val="single" w:sz="4" w:space="0" w:color="auto"/>
              <w:bottom w:val="nil"/>
              <w:right w:val="single" w:sz="4" w:space="0" w:color="auto"/>
            </w:tcBorders>
          </w:tcPr>
          <w:p w:rsidR="007C42AB" w:rsidRPr="00B77EA9" w:rsidRDefault="007C42AB" w:rsidP="00065FB5">
            <w:pPr>
              <w:tabs>
                <w:tab w:val="left" w:pos="510"/>
              </w:tabs>
              <w:jc w:val="center"/>
              <w:rPr>
                <w:b/>
                <w:lang w:val="lt-LT"/>
              </w:rPr>
            </w:pPr>
          </w:p>
        </w:tc>
        <w:tc>
          <w:tcPr>
            <w:tcW w:w="1157" w:type="dxa"/>
            <w:gridSpan w:val="12"/>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6"/>
            <w:tcBorders>
              <w:bottom w:val="single" w:sz="4" w:space="0" w:color="auto"/>
              <w:right w:val="single" w:sz="4" w:space="0" w:color="auto"/>
            </w:tcBorders>
            <w:shd w:val="clear" w:color="auto" w:fill="FFFFFF" w:themeFill="background1"/>
          </w:tcPr>
          <w:p w:rsidR="007C42AB" w:rsidRPr="00221E66" w:rsidRDefault="007C42AB" w:rsidP="00065FB5">
            <w:pPr>
              <w:tabs>
                <w:tab w:val="left" w:pos="510"/>
              </w:tabs>
              <w:jc w:val="center"/>
              <w:rPr>
                <w:b/>
                <w:lang w:val="lt-LT"/>
              </w:rPr>
            </w:pPr>
            <w:r w:rsidRPr="00221E66">
              <w:rPr>
                <w:b/>
                <w:lang w:val="lt-LT"/>
              </w:rPr>
              <w:t>0</w:t>
            </w:r>
          </w:p>
        </w:tc>
        <w:tc>
          <w:tcPr>
            <w:tcW w:w="1133" w:type="dxa"/>
            <w:gridSpan w:val="6"/>
            <w:tcBorders>
              <w:top w:val="nil"/>
              <w:left w:val="single" w:sz="4" w:space="0" w:color="auto"/>
              <w:bottom w:val="nil"/>
              <w:right w:val="single" w:sz="4" w:space="0" w:color="auto"/>
            </w:tcBorders>
          </w:tcPr>
          <w:p w:rsidR="007C42AB" w:rsidRPr="00221E66" w:rsidRDefault="007C42AB" w:rsidP="00065FB5">
            <w:pPr>
              <w:tabs>
                <w:tab w:val="left" w:pos="510"/>
              </w:tabs>
              <w:jc w:val="both"/>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Pr>
                <w:b/>
                <w:lang w:val="lt-LT"/>
              </w:rPr>
              <w:t xml:space="preserve">ĮGIMTOS </w:t>
            </w:r>
            <w:r w:rsidRPr="004273CC">
              <w:rPr>
                <w:b/>
                <w:lang w:val="lt-LT"/>
              </w:rPr>
              <w:t>RIZIKOS LYGIS, proc. (1 eil./3eil.*100)</w:t>
            </w:r>
          </w:p>
        </w:tc>
        <w:tc>
          <w:tcPr>
            <w:tcW w:w="1133" w:type="dxa"/>
            <w:gridSpan w:val="7"/>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8"/>
            <w:tcBorders>
              <w:bottom w:val="single" w:sz="4" w:space="0" w:color="auto"/>
              <w:right w:val="single" w:sz="4" w:space="0" w:color="auto"/>
            </w:tcBorders>
            <w:shd w:val="clear" w:color="auto" w:fill="D9D9D9"/>
          </w:tcPr>
          <w:p w:rsidR="007C42AB" w:rsidRPr="00B77EA9" w:rsidRDefault="007C42AB" w:rsidP="00065FB5">
            <w:pPr>
              <w:tabs>
                <w:tab w:val="left" w:pos="510"/>
              </w:tabs>
              <w:jc w:val="center"/>
              <w:rPr>
                <w:b/>
                <w:lang w:val="lt-LT"/>
              </w:rPr>
            </w:pPr>
            <w:r>
              <w:rPr>
                <w:b/>
                <w:lang w:val="lt-LT"/>
              </w:rPr>
              <w:t>0</w:t>
            </w:r>
          </w:p>
        </w:tc>
        <w:tc>
          <w:tcPr>
            <w:tcW w:w="848" w:type="dxa"/>
            <w:tcBorders>
              <w:top w:val="nil"/>
              <w:left w:val="single" w:sz="4" w:space="0" w:color="auto"/>
              <w:bottom w:val="single" w:sz="4" w:space="0" w:color="auto"/>
              <w:right w:val="single" w:sz="4" w:space="0" w:color="auto"/>
            </w:tcBorders>
          </w:tcPr>
          <w:p w:rsidR="007C42AB" w:rsidRPr="00B77EA9" w:rsidRDefault="007C42AB" w:rsidP="00065FB5">
            <w:pPr>
              <w:tabs>
                <w:tab w:val="left" w:pos="510"/>
              </w:tabs>
              <w:jc w:val="center"/>
              <w:rPr>
                <w:b/>
                <w:lang w:val="lt-LT"/>
              </w:rPr>
            </w:pPr>
            <w:r>
              <w:rPr>
                <w:b/>
                <w:lang w:val="lt-LT"/>
              </w:rPr>
              <w:t>MAŽA</w:t>
            </w:r>
          </w:p>
        </w:tc>
        <w:tc>
          <w:tcPr>
            <w:tcW w:w="1157" w:type="dxa"/>
            <w:gridSpan w:val="12"/>
            <w:vMerge/>
            <w:tcBorders>
              <w:left w:val="single" w:sz="4" w:space="0" w:color="auto"/>
              <w:right w:val="single" w:sz="4" w:space="0" w:color="auto"/>
            </w:tcBorders>
            <w:shd w:val="clear" w:color="auto" w:fill="FFFFFF"/>
            <w:vAlign w:val="center"/>
          </w:tcPr>
          <w:p w:rsidR="007C42AB" w:rsidRPr="004273CC" w:rsidRDefault="007C42AB" w:rsidP="00065FB5">
            <w:pPr>
              <w:tabs>
                <w:tab w:val="left" w:pos="510"/>
              </w:tabs>
              <w:jc w:val="both"/>
              <w:rPr>
                <w:lang w:val="lt-LT"/>
              </w:rPr>
            </w:pPr>
          </w:p>
        </w:tc>
        <w:tc>
          <w:tcPr>
            <w:tcW w:w="1140" w:type="dxa"/>
            <w:gridSpan w:val="7"/>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6"/>
            <w:tcBorders>
              <w:bottom w:val="single" w:sz="4" w:space="0" w:color="auto"/>
              <w:right w:val="single" w:sz="4" w:space="0" w:color="auto"/>
            </w:tcBorders>
            <w:shd w:val="clear" w:color="auto" w:fill="D9D9D9"/>
          </w:tcPr>
          <w:p w:rsidR="007C42AB" w:rsidRPr="00221E66" w:rsidRDefault="007C42AB" w:rsidP="00065FB5">
            <w:pPr>
              <w:tabs>
                <w:tab w:val="left" w:pos="510"/>
              </w:tabs>
              <w:jc w:val="center"/>
              <w:rPr>
                <w:b/>
                <w:lang w:val="lt-LT"/>
              </w:rPr>
            </w:pPr>
            <w:r w:rsidRPr="00221E66">
              <w:rPr>
                <w:b/>
                <w:lang w:val="lt-LT"/>
              </w:rPr>
              <w:t>0</w:t>
            </w:r>
          </w:p>
        </w:tc>
        <w:tc>
          <w:tcPr>
            <w:tcW w:w="1133" w:type="dxa"/>
            <w:gridSpan w:val="6"/>
            <w:tcBorders>
              <w:top w:val="nil"/>
              <w:left w:val="single" w:sz="4" w:space="0" w:color="auto"/>
              <w:bottom w:val="single" w:sz="4" w:space="0" w:color="auto"/>
              <w:right w:val="single" w:sz="4" w:space="0" w:color="auto"/>
            </w:tcBorders>
          </w:tcPr>
          <w:p w:rsidR="007C42AB" w:rsidRPr="00221E66" w:rsidRDefault="007C42AB" w:rsidP="00065FB5">
            <w:pPr>
              <w:tabs>
                <w:tab w:val="left" w:pos="510"/>
              </w:tabs>
              <w:jc w:val="both"/>
              <w:rPr>
                <w:b/>
                <w:lang w:val="lt-LT"/>
              </w:rPr>
            </w:pPr>
            <w:r w:rsidRPr="00221E66">
              <w:rPr>
                <w:b/>
                <w:lang w:val="lt-LT"/>
              </w:rPr>
              <w:t>MAŽA</w:t>
            </w: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X</w:t>
            </w:r>
          </w:p>
        </w:tc>
        <w:tc>
          <w:tcPr>
            <w:tcW w:w="848" w:type="dxa"/>
            <w:tcBorders>
              <w:top w:val="nil"/>
              <w:left w:val="single" w:sz="4" w:space="0" w:color="auto"/>
              <w:bottom w:val="single" w:sz="4" w:space="0" w:color="auto"/>
              <w:right w:val="single" w:sz="4" w:space="0" w:color="auto"/>
            </w:tcBorders>
          </w:tcPr>
          <w:p w:rsidR="007C42AB" w:rsidRPr="00B77EA9" w:rsidRDefault="007C42AB" w:rsidP="00065FB5">
            <w:pPr>
              <w:tabs>
                <w:tab w:val="left" w:pos="510"/>
              </w:tabs>
              <w:jc w:val="center"/>
              <w:rPr>
                <w:b/>
                <w:lang w:val="lt-LT"/>
              </w:rPr>
            </w:pPr>
            <w:r w:rsidRPr="00B77EA9">
              <w:rPr>
                <w:b/>
                <w:lang w:val="lt-LT"/>
              </w:rPr>
              <w:t>0</w:t>
            </w:r>
          </w:p>
        </w:tc>
        <w:tc>
          <w:tcPr>
            <w:tcW w:w="1157" w:type="dxa"/>
            <w:gridSpan w:val="12"/>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7C42AB" w:rsidRPr="00221E66" w:rsidRDefault="007C42AB" w:rsidP="00065FB5">
            <w:pPr>
              <w:tabs>
                <w:tab w:val="left" w:pos="510"/>
              </w:tabs>
              <w:jc w:val="center"/>
              <w:rPr>
                <w:b/>
                <w:lang w:val="lt-LT"/>
              </w:rPr>
            </w:pPr>
            <w:r w:rsidRPr="00221E66">
              <w:rPr>
                <w:b/>
                <w:lang w:val="lt-LT"/>
              </w:rPr>
              <w:t>X</w:t>
            </w:r>
          </w:p>
        </w:tc>
        <w:tc>
          <w:tcPr>
            <w:tcW w:w="1133" w:type="dxa"/>
            <w:gridSpan w:val="6"/>
            <w:tcBorders>
              <w:top w:val="nil"/>
              <w:left w:val="single" w:sz="4" w:space="0" w:color="auto"/>
              <w:bottom w:val="single" w:sz="4" w:space="0" w:color="auto"/>
              <w:right w:val="single" w:sz="4" w:space="0" w:color="auto"/>
            </w:tcBorders>
          </w:tcPr>
          <w:p w:rsidR="007C42AB" w:rsidRPr="00221E66" w:rsidRDefault="007C42AB" w:rsidP="00065FB5">
            <w:pPr>
              <w:tabs>
                <w:tab w:val="left" w:pos="510"/>
              </w:tabs>
              <w:jc w:val="both"/>
              <w:rPr>
                <w:b/>
                <w:lang w:val="lt-LT"/>
              </w:rPr>
            </w:pPr>
            <w:r w:rsidRPr="00221E66">
              <w:rPr>
                <w:b/>
                <w:lang w:val="lt-LT"/>
              </w:rPr>
              <w:t>0</w:t>
            </w: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0</w:t>
            </w:r>
          </w:p>
        </w:tc>
        <w:tc>
          <w:tcPr>
            <w:tcW w:w="848" w:type="dxa"/>
            <w:tcBorders>
              <w:top w:val="single" w:sz="4" w:space="0" w:color="auto"/>
              <w:left w:val="single" w:sz="4" w:space="0" w:color="auto"/>
              <w:bottom w:val="nil"/>
              <w:right w:val="single" w:sz="4" w:space="0" w:color="auto"/>
            </w:tcBorders>
          </w:tcPr>
          <w:p w:rsidR="007C42AB" w:rsidRPr="00B77EA9" w:rsidRDefault="007C42AB" w:rsidP="00065FB5">
            <w:pPr>
              <w:tabs>
                <w:tab w:val="left" w:pos="510"/>
              </w:tabs>
              <w:jc w:val="center"/>
              <w:rPr>
                <w:b/>
                <w:lang w:val="lt-LT"/>
              </w:rPr>
            </w:pPr>
          </w:p>
        </w:tc>
        <w:tc>
          <w:tcPr>
            <w:tcW w:w="1157" w:type="dxa"/>
            <w:gridSpan w:val="12"/>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7C42AB" w:rsidRPr="00221E66" w:rsidRDefault="007C42AB" w:rsidP="00065FB5">
            <w:pPr>
              <w:tabs>
                <w:tab w:val="left" w:pos="510"/>
              </w:tabs>
              <w:jc w:val="center"/>
              <w:rPr>
                <w:b/>
                <w:lang w:val="lt-LT"/>
              </w:rPr>
            </w:pPr>
            <w:r w:rsidRPr="00221E66">
              <w:rPr>
                <w:b/>
                <w:lang w:val="lt-LT"/>
              </w:rPr>
              <w:t>0</w:t>
            </w:r>
          </w:p>
        </w:tc>
        <w:tc>
          <w:tcPr>
            <w:tcW w:w="1133" w:type="dxa"/>
            <w:gridSpan w:val="6"/>
            <w:tcBorders>
              <w:top w:val="single" w:sz="4" w:space="0" w:color="auto"/>
              <w:left w:val="single" w:sz="4" w:space="0" w:color="auto"/>
              <w:bottom w:val="nil"/>
              <w:right w:val="single" w:sz="4" w:space="0" w:color="auto"/>
            </w:tcBorders>
          </w:tcPr>
          <w:p w:rsidR="007C42AB" w:rsidRPr="00221E66" w:rsidRDefault="007C42AB" w:rsidP="00065FB5">
            <w:pPr>
              <w:tabs>
                <w:tab w:val="left" w:pos="510"/>
              </w:tabs>
              <w:jc w:val="both"/>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0</w:t>
            </w:r>
          </w:p>
        </w:tc>
        <w:tc>
          <w:tcPr>
            <w:tcW w:w="848" w:type="dxa"/>
            <w:tcBorders>
              <w:top w:val="nil"/>
              <w:left w:val="single" w:sz="4" w:space="0" w:color="auto"/>
              <w:bottom w:val="nil"/>
              <w:right w:val="single" w:sz="4" w:space="0" w:color="auto"/>
            </w:tcBorders>
          </w:tcPr>
          <w:p w:rsidR="007C42AB" w:rsidRPr="00B77EA9" w:rsidRDefault="007C42AB" w:rsidP="00065FB5">
            <w:pPr>
              <w:tabs>
                <w:tab w:val="left" w:pos="510"/>
              </w:tabs>
              <w:jc w:val="center"/>
              <w:rPr>
                <w:b/>
                <w:lang w:val="lt-LT"/>
              </w:rPr>
            </w:pPr>
          </w:p>
        </w:tc>
        <w:tc>
          <w:tcPr>
            <w:tcW w:w="1157" w:type="dxa"/>
            <w:gridSpan w:val="12"/>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1140" w:type="dxa"/>
            <w:gridSpan w:val="7"/>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6"/>
            <w:tcBorders>
              <w:bottom w:val="single" w:sz="4" w:space="0" w:color="auto"/>
              <w:right w:val="single" w:sz="4" w:space="0" w:color="auto"/>
            </w:tcBorders>
            <w:shd w:val="clear" w:color="auto" w:fill="FFFFFF" w:themeFill="background1"/>
          </w:tcPr>
          <w:p w:rsidR="007C42AB" w:rsidRPr="00221E66" w:rsidRDefault="007C42AB" w:rsidP="00065FB5">
            <w:pPr>
              <w:tabs>
                <w:tab w:val="left" w:pos="510"/>
              </w:tabs>
              <w:jc w:val="center"/>
              <w:rPr>
                <w:b/>
                <w:lang w:val="lt-LT"/>
              </w:rPr>
            </w:pPr>
            <w:r w:rsidRPr="00221E66">
              <w:rPr>
                <w:b/>
                <w:lang w:val="lt-LT"/>
              </w:rPr>
              <w:t>0</w:t>
            </w:r>
          </w:p>
        </w:tc>
        <w:tc>
          <w:tcPr>
            <w:tcW w:w="1133" w:type="dxa"/>
            <w:gridSpan w:val="6"/>
            <w:tcBorders>
              <w:top w:val="nil"/>
              <w:left w:val="single" w:sz="4" w:space="0" w:color="auto"/>
              <w:bottom w:val="nil"/>
              <w:right w:val="single" w:sz="4" w:space="0" w:color="auto"/>
            </w:tcBorders>
          </w:tcPr>
          <w:p w:rsidR="007C42AB" w:rsidRPr="00221E66" w:rsidRDefault="007C42AB" w:rsidP="00065FB5">
            <w:pPr>
              <w:tabs>
                <w:tab w:val="left" w:pos="510"/>
              </w:tabs>
              <w:jc w:val="both"/>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3" w:type="dxa"/>
            <w:gridSpan w:val="7"/>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8"/>
            <w:tcBorders>
              <w:bottom w:val="single" w:sz="4" w:space="0" w:color="auto"/>
              <w:right w:val="single" w:sz="4" w:space="0" w:color="auto"/>
            </w:tcBorders>
            <w:shd w:val="clear" w:color="auto" w:fill="D9D9D9"/>
          </w:tcPr>
          <w:p w:rsidR="007C42AB" w:rsidRPr="00B77EA9" w:rsidRDefault="007C42AB" w:rsidP="00065FB5">
            <w:pPr>
              <w:tabs>
                <w:tab w:val="left" w:pos="510"/>
              </w:tabs>
              <w:jc w:val="center"/>
              <w:rPr>
                <w:b/>
                <w:lang w:val="lt-LT"/>
              </w:rPr>
            </w:pPr>
            <w:r w:rsidRPr="00B77EA9">
              <w:rPr>
                <w:b/>
                <w:lang w:val="lt-LT"/>
              </w:rPr>
              <w:t>0</w:t>
            </w:r>
          </w:p>
        </w:tc>
        <w:tc>
          <w:tcPr>
            <w:tcW w:w="848" w:type="dxa"/>
            <w:tcBorders>
              <w:top w:val="nil"/>
              <w:left w:val="single" w:sz="4" w:space="0" w:color="auto"/>
              <w:bottom w:val="single" w:sz="4" w:space="0" w:color="auto"/>
              <w:right w:val="single" w:sz="4" w:space="0" w:color="auto"/>
            </w:tcBorders>
          </w:tcPr>
          <w:p w:rsidR="007C42AB" w:rsidRPr="00B77EA9" w:rsidRDefault="007C42AB" w:rsidP="00065FB5">
            <w:pPr>
              <w:tabs>
                <w:tab w:val="left" w:pos="510"/>
              </w:tabs>
              <w:jc w:val="center"/>
              <w:rPr>
                <w:b/>
                <w:lang w:val="lt-LT"/>
              </w:rPr>
            </w:pPr>
            <w:r w:rsidRPr="00B77EA9">
              <w:rPr>
                <w:b/>
                <w:lang w:val="lt-LT"/>
              </w:rPr>
              <w:t>MAŽA</w:t>
            </w:r>
          </w:p>
        </w:tc>
        <w:tc>
          <w:tcPr>
            <w:tcW w:w="1157" w:type="dxa"/>
            <w:gridSpan w:val="12"/>
            <w:vMerge/>
            <w:tcBorders>
              <w:left w:val="single" w:sz="4" w:space="0" w:color="auto"/>
              <w:bottom w:val="single" w:sz="4" w:space="0" w:color="auto"/>
              <w:right w:val="single" w:sz="4" w:space="0" w:color="auto"/>
            </w:tcBorders>
            <w:shd w:val="clear" w:color="auto" w:fill="FFFFFF"/>
            <w:vAlign w:val="center"/>
          </w:tcPr>
          <w:p w:rsidR="007C42AB" w:rsidRPr="004273CC" w:rsidRDefault="007C42AB" w:rsidP="00065FB5">
            <w:pPr>
              <w:tabs>
                <w:tab w:val="left" w:pos="510"/>
              </w:tabs>
              <w:jc w:val="both"/>
              <w:rPr>
                <w:lang w:val="lt-LT"/>
              </w:rPr>
            </w:pPr>
          </w:p>
        </w:tc>
        <w:tc>
          <w:tcPr>
            <w:tcW w:w="1140" w:type="dxa"/>
            <w:gridSpan w:val="7"/>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221E66" w:rsidRDefault="007C42AB" w:rsidP="00065FB5">
            <w:pPr>
              <w:tabs>
                <w:tab w:val="left" w:pos="510"/>
              </w:tabs>
              <w:jc w:val="center"/>
              <w:rPr>
                <w:b/>
                <w:lang w:val="lt-LT"/>
              </w:rPr>
            </w:pPr>
            <w:r w:rsidRPr="00221E66">
              <w:rPr>
                <w:b/>
                <w:lang w:val="lt-LT"/>
              </w:rPr>
              <w:t>0</w:t>
            </w:r>
          </w:p>
        </w:tc>
        <w:tc>
          <w:tcPr>
            <w:tcW w:w="1133" w:type="dxa"/>
            <w:gridSpan w:val="6"/>
            <w:tcBorders>
              <w:top w:val="nil"/>
              <w:left w:val="single" w:sz="4" w:space="0" w:color="auto"/>
              <w:bottom w:val="single" w:sz="4" w:space="0" w:color="auto"/>
              <w:right w:val="single" w:sz="4" w:space="0" w:color="auto"/>
            </w:tcBorders>
          </w:tcPr>
          <w:p w:rsidR="007C42AB" w:rsidRPr="00221E66" w:rsidRDefault="007C42AB" w:rsidP="00065FB5">
            <w:pPr>
              <w:tabs>
                <w:tab w:val="left" w:pos="510"/>
              </w:tabs>
              <w:jc w:val="both"/>
              <w:rPr>
                <w:b/>
                <w:lang w:val="lt-LT"/>
              </w:rPr>
            </w:pPr>
            <w:r w:rsidRPr="00221E66">
              <w:rPr>
                <w:b/>
                <w:lang w:val="lt-LT"/>
              </w:rPr>
              <w:t>MAŽA</w:t>
            </w:r>
          </w:p>
        </w:tc>
        <w:tc>
          <w:tcPr>
            <w:tcW w:w="1415" w:type="dxa"/>
            <w:vMerge/>
            <w:tcBorders>
              <w:left w:val="single" w:sz="4" w:space="0" w:color="auto"/>
              <w:bottom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ind w:left="113" w:right="113"/>
              <w:jc w:val="center"/>
              <w:rPr>
                <w:lang w:val="lt-LT"/>
              </w:rPr>
            </w:pPr>
          </w:p>
        </w:tc>
        <w:tc>
          <w:tcPr>
            <w:tcW w:w="4587" w:type="dxa"/>
            <w:gridSpan w:val="22"/>
            <w:tcBorders>
              <w:top w:val="single" w:sz="4" w:space="0" w:color="auto"/>
              <w:bottom w:val="single" w:sz="4" w:space="0" w:color="auto"/>
              <w:right w:val="nil"/>
            </w:tcBorders>
            <w:shd w:val="clear" w:color="auto" w:fill="F2F2F2" w:themeFill="background1" w:themeFillShade="F2"/>
          </w:tcPr>
          <w:p w:rsidR="007C42AB" w:rsidRDefault="007C42AB" w:rsidP="00065FB5">
            <w:pPr>
              <w:tabs>
                <w:tab w:val="left" w:pos="510"/>
              </w:tabs>
              <w:jc w:val="right"/>
              <w:rPr>
                <w:b/>
                <w:lang w:val="lt-LT"/>
              </w:rPr>
            </w:pPr>
          </w:p>
        </w:tc>
        <w:tc>
          <w:tcPr>
            <w:tcW w:w="1133" w:type="dxa"/>
            <w:gridSpan w:val="7"/>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8" w:type="dxa"/>
            <w:gridSpan w:val="8"/>
            <w:tcBorders>
              <w:top w:val="single" w:sz="4" w:space="0" w:color="auto"/>
              <w:left w:val="nil"/>
              <w:bottom w:val="single" w:sz="4" w:space="0" w:color="auto"/>
              <w:right w:val="nil"/>
            </w:tcBorders>
            <w:shd w:val="clear" w:color="auto" w:fill="F2F2F2" w:themeFill="background1" w:themeFillShade="F2"/>
          </w:tcPr>
          <w:p w:rsidR="007C42AB" w:rsidRPr="00B77EA9" w:rsidRDefault="007C42AB" w:rsidP="00065FB5">
            <w:pPr>
              <w:tabs>
                <w:tab w:val="left" w:pos="510"/>
              </w:tabs>
              <w:jc w:val="center"/>
              <w:rPr>
                <w:b/>
                <w:lang w:val="lt-LT"/>
              </w:rPr>
            </w:pPr>
          </w:p>
        </w:tc>
        <w:tc>
          <w:tcPr>
            <w:tcW w:w="848" w:type="dxa"/>
            <w:tcBorders>
              <w:top w:val="single" w:sz="4" w:space="0" w:color="auto"/>
              <w:left w:val="nil"/>
              <w:bottom w:val="single" w:sz="4" w:space="0" w:color="auto"/>
              <w:right w:val="nil"/>
            </w:tcBorders>
            <w:shd w:val="clear" w:color="auto" w:fill="F2F2F2" w:themeFill="background1" w:themeFillShade="F2"/>
          </w:tcPr>
          <w:p w:rsidR="007C42AB" w:rsidRPr="00B77EA9" w:rsidRDefault="007C42AB" w:rsidP="00065FB5">
            <w:pPr>
              <w:tabs>
                <w:tab w:val="left" w:pos="510"/>
              </w:tabs>
              <w:jc w:val="center"/>
              <w:rPr>
                <w:b/>
                <w:lang w:val="lt-LT"/>
              </w:rPr>
            </w:pPr>
          </w:p>
        </w:tc>
        <w:tc>
          <w:tcPr>
            <w:tcW w:w="1157" w:type="dxa"/>
            <w:gridSpan w:val="12"/>
            <w:tcBorders>
              <w:top w:val="single" w:sz="4" w:space="0" w:color="auto"/>
              <w:left w:val="nil"/>
              <w:bottom w:val="single" w:sz="4" w:space="0" w:color="auto"/>
              <w:right w:val="nil"/>
            </w:tcBorders>
            <w:shd w:val="clear" w:color="auto" w:fill="F2F2F2" w:themeFill="background1" w:themeFillShade="F2"/>
            <w:vAlign w:val="center"/>
          </w:tcPr>
          <w:p w:rsidR="007C42AB" w:rsidRPr="004273CC" w:rsidRDefault="007C42AB" w:rsidP="00065FB5">
            <w:pPr>
              <w:tabs>
                <w:tab w:val="left" w:pos="510"/>
              </w:tabs>
              <w:jc w:val="both"/>
              <w:rPr>
                <w:lang w:val="lt-LT"/>
              </w:rPr>
            </w:pPr>
          </w:p>
        </w:tc>
        <w:tc>
          <w:tcPr>
            <w:tcW w:w="1140" w:type="dxa"/>
            <w:gridSpan w:val="7"/>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8" w:type="dxa"/>
            <w:gridSpan w:val="6"/>
            <w:tcBorders>
              <w:top w:val="single" w:sz="4" w:space="0" w:color="auto"/>
              <w:left w:val="nil"/>
              <w:bottom w:val="single" w:sz="4" w:space="0" w:color="auto"/>
              <w:right w:val="nil"/>
            </w:tcBorders>
            <w:shd w:val="clear" w:color="auto" w:fill="F2F2F2" w:themeFill="background1" w:themeFillShade="F2"/>
          </w:tcPr>
          <w:p w:rsidR="007C42AB" w:rsidRDefault="007C42AB" w:rsidP="00065FB5">
            <w:pPr>
              <w:tabs>
                <w:tab w:val="left" w:pos="510"/>
              </w:tabs>
              <w:jc w:val="center"/>
              <w:rPr>
                <w:lang w:val="lt-LT"/>
              </w:rPr>
            </w:pPr>
          </w:p>
        </w:tc>
        <w:tc>
          <w:tcPr>
            <w:tcW w:w="1133" w:type="dxa"/>
            <w:gridSpan w:val="6"/>
            <w:tcBorders>
              <w:top w:val="single" w:sz="4" w:space="0" w:color="auto"/>
              <w:left w:val="nil"/>
              <w:bottom w:val="single" w:sz="4" w:space="0" w:color="auto"/>
              <w:right w:val="nil"/>
            </w:tcBorders>
            <w:shd w:val="clear" w:color="auto" w:fill="F2F2F2" w:themeFill="background1" w:themeFillShade="F2"/>
          </w:tcPr>
          <w:p w:rsidR="007C42AB" w:rsidRPr="00C93D78" w:rsidRDefault="007C42AB" w:rsidP="00065FB5">
            <w:pPr>
              <w:tabs>
                <w:tab w:val="left" w:pos="510"/>
              </w:tabs>
              <w:jc w:val="both"/>
              <w:rPr>
                <w:b/>
                <w:sz w:val="18"/>
                <w:szCs w:val="18"/>
                <w:lang w:val="lt-LT"/>
              </w:rPr>
            </w:pPr>
          </w:p>
        </w:tc>
        <w:tc>
          <w:tcPr>
            <w:tcW w:w="1415" w:type="dxa"/>
            <w:tcBorders>
              <w:top w:val="single" w:sz="4" w:space="0" w:color="auto"/>
              <w:left w:val="nil"/>
              <w:bottom w:val="single" w:sz="4" w:space="0" w:color="auto"/>
              <w:right w:val="single" w:sz="4" w:space="0" w:color="auto"/>
            </w:tcBorders>
            <w:shd w:val="clear" w:color="auto" w:fill="F2F2F2" w:themeFill="background1" w:themeFillShade="F2"/>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extDirection w:val="btLr"/>
          </w:tcPr>
          <w:p w:rsidR="007C42AB" w:rsidRPr="004273CC" w:rsidRDefault="007C42AB" w:rsidP="00065FB5">
            <w:pPr>
              <w:tabs>
                <w:tab w:val="left" w:pos="510"/>
              </w:tabs>
              <w:ind w:left="113" w:right="113"/>
              <w:jc w:val="center"/>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X</w:t>
            </w:r>
          </w:p>
        </w:tc>
        <w:tc>
          <w:tcPr>
            <w:tcW w:w="1951" w:type="dxa"/>
            <w:gridSpan w:val="10"/>
            <w:vMerge w:val="restart"/>
            <w:tcBorders>
              <w:top w:val="nil"/>
              <w:left w:val="single" w:sz="4" w:space="0" w:color="auto"/>
              <w:right w:val="single" w:sz="4" w:space="0" w:color="auto"/>
            </w:tcBorders>
          </w:tcPr>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Pr="00B77EA9" w:rsidRDefault="007C42AB" w:rsidP="00065FB5">
            <w:pPr>
              <w:tabs>
                <w:tab w:val="left" w:pos="510"/>
              </w:tabs>
              <w:jc w:val="center"/>
              <w:rPr>
                <w:b/>
                <w:lang w:val="lt-LT"/>
              </w:rPr>
            </w:pPr>
            <w:r>
              <w:rPr>
                <w:b/>
                <w:lang w:val="lt-LT"/>
              </w:rPr>
              <w:t>NETAIKOMA</w:t>
            </w: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6"/>
            <w:tcBorders>
              <w:bottom w:val="single" w:sz="4" w:space="0" w:color="auto"/>
              <w:right w:val="single" w:sz="4" w:space="0" w:color="auto"/>
            </w:tcBorders>
            <w:shd w:val="clear" w:color="auto" w:fill="D9D9D9"/>
          </w:tcPr>
          <w:p w:rsidR="007C42AB" w:rsidRPr="00482C17" w:rsidRDefault="007C42AB" w:rsidP="00065FB5">
            <w:pPr>
              <w:tabs>
                <w:tab w:val="left" w:pos="510"/>
              </w:tabs>
              <w:jc w:val="center"/>
              <w:rPr>
                <w:b/>
                <w:lang w:val="lt-LT"/>
              </w:rPr>
            </w:pPr>
            <w:r w:rsidRPr="00482C17">
              <w:rPr>
                <w:b/>
                <w:lang w:val="lt-LT"/>
              </w:rPr>
              <w:t>X</w:t>
            </w:r>
          </w:p>
        </w:tc>
        <w:tc>
          <w:tcPr>
            <w:tcW w:w="1133" w:type="dxa"/>
            <w:gridSpan w:val="6"/>
            <w:tcBorders>
              <w:top w:val="single" w:sz="4" w:space="0" w:color="auto"/>
              <w:left w:val="single" w:sz="4" w:space="0" w:color="auto"/>
              <w:bottom w:val="single" w:sz="4" w:space="0" w:color="auto"/>
              <w:right w:val="single" w:sz="4" w:space="0" w:color="auto"/>
            </w:tcBorders>
          </w:tcPr>
          <w:p w:rsidR="007C42AB" w:rsidRPr="00482C17" w:rsidRDefault="007C42AB" w:rsidP="00065FB5">
            <w:pPr>
              <w:tabs>
                <w:tab w:val="left" w:pos="510"/>
              </w:tabs>
              <w:jc w:val="center"/>
              <w:rPr>
                <w:b/>
                <w:lang w:val="lt-LT"/>
              </w:rPr>
            </w:pPr>
            <w:r w:rsidRPr="00482C17">
              <w:rPr>
                <w:b/>
                <w:lang w:val="lt-LT"/>
              </w:rPr>
              <w:t>9</w:t>
            </w:r>
          </w:p>
        </w:tc>
        <w:tc>
          <w:tcPr>
            <w:tcW w:w="1415" w:type="dxa"/>
            <w:vMerge w:val="restart"/>
            <w:tcBorders>
              <w:top w:val="single" w:sz="4" w:space="0" w:color="auto"/>
              <w:left w:val="single" w:sz="4" w:space="0" w:color="auto"/>
              <w:right w:val="single" w:sz="4" w:space="0" w:color="auto"/>
            </w:tcBorders>
            <w:textDirection w:val="btLr"/>
          </w:tcPr>
          <w:p w:rsidR="007C42AB" w:rsidRPr="004273CC" w:rsidRDefault="007C42AB" w:rsidP="00065FB5">
            <w:pPr>
              <w:tabs>
                <w:tab w:val="left" w:pos="510"/>
              </w:tabs>
              <w:ind w:left="113" w:right="113"/>
              <w:jc w:val="center"/>
              <w:rPr>
                <w:lang w:val="lt-LT"/>
              </w:rPr>
            </w:pPr>
            <w:r w:rsidRPr="00082D89">
              <w:rPr>
                <w:b/>
                <w:lang w:val="lt-LT"/>
              </w:rPr>
              <w:t xml:space="preserve">Darbo įsipareigojimai – </w:t>
            </w:r>
            <w:r>
              <w:rPr>
                <w:b/>
                <w:lang w:val="lt-LT"/>
              </w:rPr>
              <w:t>Įvertinimas</w:t>
            </w: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6"/>
            <w:tcBorders>
              <w:bottom w:val="single" w:sz="4" w:space="0" w:color="auto"/>
              <w:right w:val="single" w:sz="4" w:space="0" w:color="auto"/>
            </w:tcBorders>
            <w:shd w:val="clear" w:color="auto" w:fill="D9D9D9"/>
          </w:tcPr>
          <w:p w:rsidR="007C42AB" w:rsidRPr="00482C17" w:rsidRDefault="007C42AB" w:rsidP="00065FB5">
            <w:pPr>
              <w:tabs>
                <w:tab w:val="left" w:pos="510"/>
              </w:tabs>
              <w:jc w:val="center"/>
              <w:rPr>
                <w:b/>
                <w:lang w:val="lt-LT"/>
              </w:rPr>
            </w:pPr>
            <w:r w:rsidRPr="00482C17">
              <w:rPr>
                <w:b/>
                <w:lang w:val="lt-LT"/>
              </w:rPr>
              <w:t>3</w:t>
            </w:r>
          </w:p>
        </w:tc>
        <w:tc>
          <w:tcPr>
            <w:tcW w:w="1133" w:type="dxa"/>
            <w:gridSpan w:val="6"/>
            <w:tcBorders>
              <w:top w:val="single" w:sz="4" w:space="0" w:color="auto"/>
              <w:left w:val="single" w:sz="4" w:space="0" w:color="auto"/>
              <w:bottom w:val="nil"/>
              <w:right w:val="single" w:sz="4" w:space="0" w:color="auto"/>
            </w:tcBorders>
          </w:tcPr>
          <w:p w:rsidR="007C42AB" w:rsidRPr="00482C17" w:rsidRDefault="007C42AB" w:rsidP="00065FB5">
            <w:pPr>
              <w:tabs>
                <w:tab w:val="left" w:pos="510"/>
              </w:tabs>
              <w:jc w:val="center"/>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6"/>
            <w:tcBorders>
              <w:bottom w:val="single" w:sz="4" w:space="0" w:color="auto"/>
              <w:right w:val="single" w:sz="4" w:space="0" w:color="auto"/>
            </w:tcBorders>
            <w:shd w:val="clear" w:color="auto" w:fill="D9D9D9"/>
          </w:tcPr>
          <w:p w:rsidR="007C42AB" w:rsidRPr="00482C17" w:rsidRDefault="007C42AB" w:rsidP="00065FB5">
            <w:pPr>
              <w:tabs>
                <w:tab w:val="left" w:pos="510"/>
              </w:tabs>
              <w:jc w:val="center"/>
              <w:rPr>
                <w:b/>
                <w:lang w:val="lt-LT"/>
              </w:rPr>
            </w:pPr>
            <w:r w:rsidRPr="00482C17">
              <w:rPr>
                <w:b/>
                <w:lang w:val="lt-LT"/>
              </w:rPr>
              <w:t>15</w:t>
            </w:r>
          </w:p>
        </w:tc>
        <w:tc>
          <w:tcPr>
            <w:tcW w:w="1133" w:type="dxa"/>
            <w:gridSpan w:val="6"/>
            <w:tcBorders>
              <w:top w:val="nil"/>
              <w:left w:val="single" w:sz="4" w:space="0" w:color="auto"/>
              <w:bottom w:val="nil"/>
              <w:right w:val="single" w:sz="4" w:space="0" w:color="auto"/>
            </w:tcBorders>
          </w:tcPr>
          <w:p w:rsidR="007C42AB" w:rsidRPr="00482C17" w:rsidRDefault="007C42AB" w:rsidP="00065FB5">
            <w:pPr>
              <w:tabs>
                <w:tab w:val="left" w:pos="510"/>
              </w:tabs>
              <w:jc w:val="center"/>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Pr>
                <w:b/>
                <w:lang w:val="lt-LT"/>
              </w:rPr>
              <w:t xml:space="preserve">ĮGIMTOS </w:t>
            </w:r>
            <w:r w:rsidRPr="004273CC">
              <w:rPr>
                <w:b/>
                <w:lang w:val="lt-LT"/>
              </w:rPr>
              <w:t>RIZIKOS LYGIS, proc. (1 eil./3eil.*100)</w:t>
            </w:r>
          </w:p>
        </w:tc>
        <w:tc>
          <w:tcPr>
            <w:tcW w:w="1133" w:type="dxa"/>
            <w:gridSpan w:val="7"/>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8"/>
            <w:tcBorders>
              <w:bottom w:val="single" w:sz="4" w:space="0" w:color="auto"/>
              <w:right w:val="single" w:sz="4" w:space="0" w:color="auto"/>
            </w:tcBorders>
            <w:shd w:val="clear" w:color="auto" w:fill="D9D9D9"/>
          </w:tcPr>
          <w:p w:rsidR="007C42AB" w:rsidRPr="00B77EA9" w:rsidRDefault="007C42AB" w:rsidP="00065FB5">
            <w:pPr>
              <w:tabs>
                <w:tab w:val="left" w:pos="510"/>
              </w:tabs>
              <w:jc w:val="center"/>
              <w:rPr>
                <w:b/>
                <w:lang w:val="lt-LT"/>
              </w:rPr>
            </w:pPr>
            <w:r>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6"/>
            <w:tcBorders>
              <w:bottom w:val="single" w:sz="4" w:space="0" w:color="auto"/>
              <w:right w:val="single" w:sz="4" w:space="0" w:color="auto"/>
            </w:tcBorders>
            <w:shd w:val="clear" w:color="auto" w:fill="D9D9D9"/>
          </w:tcPr>
          <w:p w:rsidR="007C42AB" w:rsidRPr="00482C17" w:rsidRDefault="007C42AB" w:rsidP="00065FB5">
            <w:pPr>
              <w:tabs>
                <w:tab w:val="left" w:pos="510"/>
              </w:tabs>
              <w:jc w:val="center"/>
              <w:rPr>
                <w:b/>
                <w:lang w:val="lt-LT"/>
              </w:rPr>
            </w:pPr>
            <w:r w:rsidRPr="00482C17">
              <w:rPr>
                <w:b/>
                <w:lang w:val="lt-LT"/>
              </w:rPr>
              <w:t>60</w:t>
            </w:r>
          </w:p>
        </w:tc>
        <w:tc>
          <w:tcPr>
            <w:tcW w:w="1133" w:type="dxa"/>
            <w:gridSpan w:val="6"/>
            <w:tcBorders>
              <w:top w:val="nil"/>
              <w:left w:val="single" w:sz="4" w:space="0" w:color="auto"/>
              <w:bottom w:val="single" w:sz="4" w:space="0" w:color="auto"/>
              <w:right w:val="single" w:sz="4" w:space="0" w:color="auto"/>
            </w:tcBorders>
          </w:tcPr>
          <w:p w:rsidR="007C42AB" w:rsidRPr="00482C17" w:rsidRDefault="007C42AB" w:rsidP="00065FB5">
            <w:pPr>
              <w:tabs>
                <w:tab w:val="left" w:pos="510"/>
              </w:tabs>
              <w:jc w:val="center"/>
              <w:rPr>
                <w:b/>
                <w:lang w:val="lt-LT"/>
              </w:rPr>
            </w:pPr>
            <w:r w:rsidRPr="00482C17">
              <w:rPr>
                <w:b/>
                <w:sz w:val="18"/>
                <w:szCs w:val="18"/>
                <w:lang w:val="lt-LT"/>
              </w:rPr>
              <w:t>VIDUTINĖ</w:t>
            </w: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X</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482C17" w:rsidRDefault="007C42AB" w:rsidP="00065FB5">
            <w:pPr>
              <w:tabs>
                <w:tab w:val="left" w:pos="510"/>
              </w:tabs>
              <w:jc w:val="center"/>
              <w:rPr>
                <w:b/>
                <w:lang w:val="lt-LT"/>
              </w:rPr>
            </w:pPr>
            <w:r w:rsidRPr="00482C17">
              <w:rPr>
                <w:b/>
                <w:lang w:val="lt-LT"/>
              </w:rPr>
              <w:t>X</w:t>
            </w:r>
          </w:p>
        </w:tc>
        <w:tc>
          <w:tcPr>
            <w:tcW w:w="1133" w:type="dxa"/>
            <w:gridSpan w:val="6"/>
            <w:tcBorders>
              <w:top w:val="nil"/>
              <w:left w:val="single" w:sz="4" w:space="0" w:color="auto"/>
              <w:bottom w:val="single" w:sz="4" w:space="0" w:color="auto"/>
              <w:right w:val="single" w:sz="4" w:space="0" w:color="auto"/>
            </w:tcBorders>
          </w:tcPr>
          <w:p w:rsidR="007C42AB" w:rsidRPr="00482C17" w:rsidRDefault="007C42AB" w:rsidP="00065FB5">
            <w:pPr>
              <w:tabs>
                <w:tab w:val="left" w:pos="510"/>
              </w:tabs>
              <w:jc w:val="center"/>
              <w:rPr>
                <w:b/>
                <w:lang w:val="lt-LT"/>
              </w:rPr>
            </w:pPr>
            <w:r w:rsidRPr="00482C17">
              <w:rPr>
                <w:b/>
                <w:lang w:val="lt-LT"/>
              </w:rPr>
              <w:t>0</w:t>
            </w: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482C17" w:rsidRDefault="007C42AB" w:rsidP="00065FB5">
            <w:pPr>
              <w:tabs>
                <w:tab w:val="left" w:pos="510"/>
              </w:tabs>
              <w:jc w:val="center"/>
              <w:rPr>
                <w:b/>
                <w:lang w:val="lt-LT"/>
              </w:rPr>
            </w:pPr>
            <w:r w:rsidRPr="00482C17">
              <w:rPr>
                <w:b/>
                <w:lang w:val="lt-LT"/>
              </w:rPr>
              <w:t>0</w:t>
            </w:r>
          </w:p>
        </w:tc>
        <w:tc>
          <w:tcPr>
            <w:tcW w:w="1133" w:type="dxa"/>
            <w:gridSpan w:val="6"/>
            <w:tcBorders>
              <w:top w:val="single" w:sz="4" w:space="0" w:color="auto"/>
              <w:left w:val="single" w:sz="4" w:space="0" w:color="auto"/>
              <w:bottom w:val="nil"/>
              <w:right w:val="single" w:sz="4" w:space="0" w:color="auto"/>
            </w:tcBorders>
          </w:tcPr>
          <w:p w:rsidR="007C42AB" w:rsidRPr="00482C17" w:rsidRDefault="007C42AB" w:rsidP="00065FB5">
            <w:pPr>
              <w:tabs>
                <w:tab w:val="left" w:pos="510"/>
              </w:tabs>
              <w:jc w:val="center"/>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3" w:type="dxa"/>
            <w:gridSpan w:val="7"/>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8"/>
            <w:tcBorders>
              <w:bottom w:val="single" w:sz="4" w:space="0" w:color="auto"/>
              <w:right w:val="single" w:sz="4" w:space="0" w:color="auto"/>
            </w:tcBorders>
            <w:shd w:val="clear" w:color="auto" w:fill="FFFFFF" w:themeFill="background1"/>
          </w:tcPr>
          <w:p w:rsidR="007C42AB" w:rsidRPr="00B77EA9" w:rsidRDefault="007C42AB" w:rsidP="00065FB5">
            <w:pPr>
              <w:tabs>
                <w:tab w:val="left" w:pos="510"/>
              </w:tabs>
              <w:jc w:val="center"/>
              <w:rPr>
                <w:b/>
                <w:lang w:val="lt-LT"/>
              </w:rPr>
            </w:pPr>
            <w:r w:rsidRPr="00B77EA9">
              <w:rPr>
                <w:b/>
                <w:lang w:val="lt-LT"/>
              </w:rPr>
              <w:t>0</w:t>
            </w:r>
          </w:p>
        </w:tc>
        <w:tc>
          <w:tcPr>
            <w:tcW w:w="1951" w:type="dxa"/>
            <w:gridSpan w:val="10"/>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482C17" w:rsidRDefault="007C42AB" w:rsidP="00065FB5">
            <w:pPr>
              <w:tabs>
                <w:tab w:val="left" w:pos="510"/>
              </w:tabs>
              <w:jc w:val="center"/>
              <w:rPr>
                <w:b/>
                <w:lang w:val="lt-LT"/>
              </w:rPr>
            </w:pPr>
            <w:r w:rsidRPr="00482C17">
              <w:rPr>
                <w:b/>
                <w:lang w:val="lt-LT"/>
              </w:rPr>
              <w:t>0</w:t>
            </w:r>
          </w:p>
        </w:tc>
        <w:tc>
          <w:tcPr>
            <w:tcW w:w="1133" w:type="dxa"/>
            <w:gridSpan w:val="6"/>
            <w:tcBorders>
              <w:top w:val="nil"/>
              <w:left w:val="single" w:sz="4" w:space="0" w:color="auto"/>
              <w:bottom w:val="nil"/>
              <w:right w:val="single" w:sz="4" w:space="0" w:color="auto"/>
            </w:tcBorders>
          </w:tcPr>
          <w:p w:rsidR="007C42AB" w:rsidRPr="00482C17" w:rsidRDefault="007C42AB" w:rsidP="00065FB5">
            <w:pPr>
              <w:tabs>
                <w:tab w:val="left" w:pos="510"/>
              </w:tabs>
              <w:jc w:val="center"/>
              <w:rPr>
                <w:b/>
                <w:lang w:val="lt-LT"/>
              </w:rPr>
            </w:pPr>
          </w:p>
        </w:tc>
        <w:tc>
          <w:tcPr>
            <w:tcW w:w="1415" w:type="dxa"/>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29" w:type="dxa"/>
            <w:gridSpan w:val="5"/>
            <w:vMerge/>
            <w:tcBorders>
              <w:bottom w:val="single" w:sz="4" w:space="0" w:color="auto"/>
            </w:tcBorders>
          </w:tcPr>
          <w:p w:rsidR="007C42AB" w:rsidRPr="004273CC" w:rsidRDefault="007C42AB" w:rsidP="00065FB5">
            <w:pPr>
              <w:tabs>
                <w:tab w:val="left" w:pos="510"/>
              </w:tabs>
              <w:jc w:val="right"/>
              <w:rPr>
                <w:lang w:val="lt-LT"/>
              </w:rPr>
            </w:pPr>
          </w:p>
        </w:tc>
        <w:tc>
          <w:tcPr>
            <w:tcW w:w="4587" w:type="dxa"/>
            <w:gridSpan w:val="22"/>
            <w:tcBorders>
              <w:bottom w:val="single" w:sz="4" w:space="0" w:color="auto"/>
            </w:tcBorders>
          </w:tcPr>
          <w:p w:rsidR="007C42AB" w:rsidRPr="004273CC" w:rsidRDefault="007C42AB"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3" w:type="dxa"/>
            <w:gridSpan w:val="7"/>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8"/>
            <w:tcBorders>
              <w:bottom w:val="single" w:sz="4" w:space="0" w:color="auto"/>
              <w:right w:val="single" w:sz="4" w:space="0" w:color="auto"/>
            </w:tcBorders>
            <w:shd w:val="clear" w:color="auto" w:fill="D9D9D9"/>
          </w:tcPr>
          <w:p w:rsidR="007C42AB" w:rsidRPr="00B77EA9" w:rsidRDefault="007C42AB" w:rsidP="00065FB5">
            <w:pPr>
              <w:tabs>
                <w:tab w:val="left" w:pos="510"/>
              </w:tabs>
              <w:jc w:val="center"/>
              <w:rPr>
                <w:b/>
                <w:lang w:val="lt-LT"/>
              </w:rPr>
            </w:pPr>
            <w:r w:rsidRPr="00B77EA9">
              <w:rPr>
                <w:b/>
                <w:lang w:val="lt-LT"/>
              </w:rPr>
              <w:t>0</w:t>
            </w:r>
          </w:p>
        </w:tc>
        <w:tc>
          <w:tcPr>
            <w:tcW w:w="1951" w:type="dxa"/>
            <w:gridSpan w:val="10"/>
            <w:vMerge/>
            <w:tcBorders>
              <w:left w:val="single" w:sz="4" w:space="0" w:color="auto"/>
              <w:bottom w:val="single" w:sz="4" w:space="0" w:color="auto"/>
              <w:right w:val="single" w:sz="4" w:space="0" w:color="auto"/>
            </w:tcBorders>
          </w:tcPr>
          <w:p w:rsidR="007C42AB" w:rsidRPr="004273CC" w:rsidRDefault="007C42AB" w:rsidP="00065FB5">
            <w:pPr>
              <w:tabs>
                <w:tab w:val="left" w:pos="510"/>
              </w:tabs>
              <w:jc w:val="both"/>
              <w:rPr>
                <w:lang w:val="lt-LT"/>
              </w:rPr>
            </w:pPr>
          </w:p>
        </w:tc>
        <w:tc>
          <w:tcPr>
            <w:tcW w:w="1194" w:type="dxa"/>
            <w:gridSpan w:val="10"/>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6"/>
            <w:tcBorders>
              <w:bottom w:val="single" w:sz="4" w:space="0" w:color="auto"/>
              <w:right w:val="single" w:sz="4" w:space="0" w:color="auto"/>
            </w:tcBorders>
            <w:shd w:val="clear" w:color="auto" w:fill="D9D9D9"/>
          </w:tcPr>
          <w:p w:rsidR="007C42AB" w:rsidRPr="00482C17" w:rsidRDefault="007C42AB" w:rsidP="00065FB5">
            <w:pPr>
              <w:tabs>
                <w:tab w:val="left" w:pos="510"/>
              </w:tabs>
              <w:jc w:val="center"/>
              <w:rPr>
                <w:b/>
                <w:lang w:val="lt-LT"/>
              </w:rPr>
            </w:pPr>
            <w:r w:rsidRPr="00482C17">
              <w:rPr>
                <w:b/>
                <w:lang w:val="lt-LT"/>
              </w:rPr>
              <w:t>0</w:t>
            </w:r>
          </w:p>
        </w:tc>
        <w:tc>
          <w:tcPr>
            <w:tcW w:w="1133" w:type="dxa"/>
            <w:gridSpan w:val="6"/>
            <w:tcBorders>
              <w:top w:val="nil"/>
              <w:left w:val="single" w:sz="4" w:space="0" w:color="auto"/>
              <w:bottom w:val="single" w:sz="4" w:space="0" w:color="auto"/>
              <w:right w:val="single" w:sz="4" w:space="0" w:color="auto"/>
            </w:tcBorders>
          </w:tcPr>
          <w:p w:rsidR="007C42AB" w:rsidRPr="00482C17" w:rsidRDefault="007C42AB" w:rsidP="00065FB5">
            <w:pPr>
              <w:tabs>
                <w:tab w:val="left" w:pos="510"/>
              </w:tabs>
              <w:jc w:val="center"/>
              <w:rPr>
                <w:b/>
                <w:lang w:val="lt-LT"/>
              </w:rPr>
            </w:pPr>
            <w:r w:rsidRPr="00482C17">
              <w:rPr>
                <w:b/>
                <w:lang w:val="lt-LT"/>
              </w:rPr>
              <w:t>MAŽA</w:t>
            </w:r>
          </w:p>
        </w:tc>
        <w:tc>
          <w:tcPr>
            <w:tcW w:w="1415" w:type="dxa"/>
            <w:vMerge/>
            <w:tcBorders>
              <w:left w:val="single" w:sz="4" w:space="0" w:color="auto"/>
              <w:bottom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065FB5">
        <w:trPr>
          <w:cantSplit/>
        </w:trPr>
        <w:tc>
          <w:tcPr>
            <w:tcW w:w="13858" w:type="dxa"/>
            <w:gridSpan w:val="75"/>
            <w:shd w:val="clear" w:color="auto" w:fill="F2F2F2"/>
          </w:tcPr>
          <w:p w:rsidR="007C42AB" w:rsidRDefault="007C42AB" w:rsidP="00065FB5">
            <w:pPr>
              <w:tabs>
                <w:tab w:val="left" w:pos="510"/>
              </w:tabs>
              <w:jc w:val="both"/>
              <w:rPr>
                <w:lang w:val="lt-LT"/>
              </w:rPr>
            </w:pPr>
          </w:p>
          <w:p w:rsidR="007C42AB" w:rsidRPr="004273CC" w:rsidRDefault="007C42AB" w:rsidP="00065FB5">
            <w:pPr>
              <w:tabs>
                <w:tab w:val="left" w:pos="510"/>
              </w:tabs>
              <w:jc w:val="both"/>
              <w:rPr>
                <w:lang w:val="lt-LT"/>
              </w:rPr>
            </w:pPr>
          </w:p>
        </w:tc>
      </w:tr>
      <w:tr w:rsidR="007C42AB" w:rsidRPr="004273CC" w:rsidTr="001C0D02">
        <w:trPr>
          <w:cantSplit/>
          <w:trHeight w:val="414"/>
        </w:trPr>
        <w:tc>
          <w:tcPr>
            <w:tcW w:w="4333" w:type="dxa"/>
            <w:gridSpan w:val="11"/>
            <w:vMerge w:val="restart"/>
          </w:tcPr>
          <w:p w:rsidR="007C42AB" w:rsidRPr="004273CC" w:rsidRDefault="007C42AB" w:rsidP="00065FB5">
            <w:pPr>
              <w:tabs>
                <w:tab w:val="left" w:pos="510"/>
              </w:tabs>
              <w:ind w:left="113" w:right="113"/>
              <w:jc w:val="center"/>
              <w:rPr>
                <w:lang w:val="lt-LT"/>
              </w:rPr>
            </w:pPr>
            <w:r>
              <w:rPr>
                <w:b/>
                <w:lang w:val="lt-LT"/>
              </w:rPr>
              <w:t>Finansinių ataskaitų elemento ir/ar jo tvirtinimo pobūdis ir jam taikoma vidaus kontrolės sistema</w:t>
            </w:r>
          </w:p>
        </w:tc>
        <w:tc>
          <w:tcPr>
            <w:tcW w:w="567" w:type="dxa"/>
            <w:gridSpan w:val="7"/>
            <w:vMerge w:val="restart"/>
            <w:textDirection w:val="btLr"/>
          </w:tcPr>
          <w:p w:rsidR="007C42AB" w:rsidRPr="004273CC" w:rsidRDefault="007C42AB"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7C42AB" w:rsidRPr="004273CC" w:rsidRDefault="007C42AB" w:rsidP="00065FB5">
            <w:pPr>
              <w:tabs>
                <w:tab w:val="left" w:pos="510"/>
              </w:tabs>
              <w:ind w:left="113" w:right="113"/>
              <w:jc w:val="center"/>
              <w:rPr>
                <w:lang w:val="lt-LT"/>
              </w:rPr>
            </w:pPr>
            <w:r>
              <w:rPr>
                <w:b/>
                <w:lang w:val="lt-LT"/>
              </w:rPr>
              <w:t>IR / KR</w:t>
            </w:r>
          </w:p>
          <w:p w:rsidR="007C42AB" w:rsidRPr="004273CC" w:rsidRDefault="007C42AB" w:rsidP="00065FB5">
            <w:pPr>
              <w:tabs>
                <w:tab w:val="left" w:pos="510"/>
              </w:tabs>
              <w:ind w:left="113" w:right="113"/>
              <w:jc w:val="center"/>
              <w:rPr>
                <w:lang w:val="lt-LT"/>
              </w:rPr>
            </w:pPr>
          </w:p>
        </w:tc>
        <w:tc>
          <w:tcPr>
            <w:tcW w:w="3985" w:type="dxa"/>
            <w:gridSpan w:val="29"/>
          </w:tcPr>
          <w:p w:rsidR="007C42AB" w:rsidRPr="004273CC" w:rsidRDefault="007C42AB" w:rsidP="00065FB5">
            <w:pPr>
              <w:tabs>
                <w:tab w:val="left" w:pos="510"/>
              </w:tabs>
              <w:jc w:val="center"/>
              <w:rPr>
                <w:lang w:val="lt-LT"/>
              </w:rPr>
            </w:pPr>
            <w:r>
              <w:rPr>
                <w:b/>
                <w:lang w:val="lt-LT"/>
              </w:rPr>
              <w:t>UAB „Šiluma“</w:t>
            </w:r>
          </w:p>
        </w:tc>
        <w:tc>
          <w:tcPr>
            <w:tcW w:w="4406" w:type="dxa"/>
            <w:gridSpan w:val="21"/>
          </w:tcPr>
          <w:p w:rsidR="007C42AB" w:rsidRPr="004273CC" w:rsidRDefault="007C42AB" w:rsidP="00065FB5">
            <w:pPr>
              <w:tabs>
                <w:tab w:val="left" w:pos="510"/>
              </w:tabs>
              <w:jc w:val="center"/>
              <w:rPr>
                <w:lang w:val="lt-LT"/>
              </w:rPr>
            </w:pPr>
            <w:r>
              <w:rPr>
                <w:b/>
                <w:lang w:val="lt-LT"/>
              </w:rPr>
              <w:t>UAB „Žuvila“</w:t>
            </w:r>
          </w:p>
        </w:tc>
      </w:tr>
      <w:tr w:rsidR="007C42AB" w:rsidRPr="004273CC" w:rsidTr="001C0D02">
        <w:trPr>
          <w:cantSplit/>
          <w:trHeight w:val="280"/>
        </w:trPr>
        <w:tc>
          <w:tcPr>
            <w:tcW w:w="4333" w:type="dxa"/>
            <w:gridSpan w:val="11"/>
            <w:vMerge/>
          </w:tcPr>
          <w:p w:rsidR="007C42AB" w:rsidRPr="004273CC" w:rsidRDefault="007C42AB" w:rsidP="00065FB5">
            <w:pPr>
              <w:tabs>
                <w:tab w:val="left" w:pos="510"/>
              </w:tabs>
              <w:jc w:val="center"/>
              <w:rPr>
                <w:lang w:val="lt-LT"/>
              </w:rPr>
            </w:pPr>
          </w:p>
        </w:tc>
        <w:tc>
          <w:tcPr>
            <w:tcW w:w="567" w:type="dxa"/>
            <w:gridSpan w:val="7"/>
            <w:vMerge/>
            <w:vAlign w:val="center"/>
          </w:tcPr>
          <w:p w:rsidR="007C42AB" w:rsidRPr="004273CC" w:rsidRDefault="007C42AB" w:rsidP="00065FB5">
            <w:pPr>
              <w:tabs>
                <w:tab w:val="left" w:pos="510"/>
              </w:tabs>
              <w:jc w:val="center"/>
              <w:rPr>
                <w:lang w:val="lt-LT"/>
              </w:rPr>
            </w:pPr>
          </w:p>
        </w:tc>
        <w:tc>
          <w:tcPr>
            <w:tcW w:w="567" w:type="dxa"/>
            <w:gridSpan w:val="7"/>
            <w:vMerge/>
            <w:textDirection w:val="btLr"/>
            <w:vAlign w:val="center"/>
          </w:tcPr>
          <w:p w:rsidR="007C42AB" w:rsidRPr="004273CC" w:rsidRDefault="007C42AB" w:rsidP="00065FB5">
            <w:pPr>
              <w:tabs>
                <w:tab w:val="left" w:pos="510"/>
              </w:tabs>
              <w:ind w:left="113" w:right="113"/>
              <w:jc w:val="center"/>
              <w:rPr>
                <w:lang w:val="lt-LT"/>
              </w:rPr>
            </w:pPr>
          </w:p>
        </w:tc>
        <w:tc>
          <w:tcPr>
            <w:tcW w:w="2846" w:type="dxa"/>
            <w:gridSpan w:val="19"/>
            <w:vAlign w:val="center"/>
          </w:tcPr>
          <w:p w:rsidR="007C42AB" w:rsidRPr="004273CC" w:rsidRDefault="007C42AB" w:rsidP="00065FB5">
            <w:pPr>
              <w:tabs>
                <w:tab w:val="left" w:pos="510"/>
              </w:tabs>
              <w:jc w:val="center"/>
              <w:rPr>
                <w:lang w:val="lt-LT"/>
              </w:rPr>
            </w:pPr>
            <w:r w:rsidRPr="004273CC">
              <w:rPr>
                <w:b/>
                <w:lang w:val="lt-LT"/>
              </w:rPr>
              <w:t>Rizikos vertinima</w:t>
            </w:r>
            <w:r>
              <w:rPr>
                <w:b/>
                <w:lang w:val="lt-LT"/>
              </w:rPr>
              <w:t>s</w:t>
            </w:r>
          </w:p>
        </w:tc>
        <w:tc>
          <w:tcPr>
            <w:tcW w:w="1139" w:type="dxa"/>
            <w:gridSpan w:val="10"/>
            <w:vMerge w:val="restart"/>
            <w:vAlign w:val="center"/>
          </w:tcPr>
          <w:p w:rsidR="007C42AB" w:rsidRPr="004273CC" w:rsidRDefault="007C42AB" w:rsidP="00065FB5">
            <w:pPr>
              <w:tabs>
                <w:tab w:val="left" w:pos="510"/>
              </w:tabs>
              <w:jc w:val="center"/>
              <w:rPr>
                <w:lang w:val="lt-LT"/>
              </w:rPr>
            </w:pPr>
            <w:r w:rsidRPr="004273CC">
              <w:rPr>
                <w:b/>
                <w:lang w:val="lt-LT"/>
              </w:rPr>
              <w:t>Pastabos</w:t>
            </w:r>
          </w:p>
        </w:tc>
        <w:tc>
          <w:tcPr>
            <w:tcW w:w="2831" w:type="dxa"/>
            <w:gridSpan w:val="17"/>
          </w:tcPr>
          <w:p w:rsidR="007C42AB" w:rsidRPr="004273CC" w:rsidRDefault="007C42AB" w:rsidP="00065FB5">
            <w:pPr>
              <w:tabs>
                <w:tab w:val="left" w:pos="510"/>
              </w:tabs>
              <w:jc w:val="center"/>
              <w:rPr>
                <w:lang w:val="lt-LT"/>
              </w:rPr>
            </w:pPr>
            <w:r w:rsidRPr="004273CC">
              <w:rPr>
                <w:b/>
                <w:lang w:val="lt-LT"/>
              </w:rPr>
              <w:t>Rizikos vertinimas</w:t>
            </w:r>
          </w:p>
        </w:tc>
        <w:tc>
          <w:tcPr>
            <w:tcW w:w="1575" w:type="dxa"/>
            <w:gridSpan w:val="4"/>
            <w:vMerge w:val="restart"/>
            <w:vAlign w:val="center"/>
          </w:tcPr>
          <w:p w:rsidR="007C42AB" w:rsidRPr="004273CC" w:rsidRDefault="007C42AB" w:rsidP="00065FB5">
            <w:pPr>
              <w:tabs>
                <w:tab w:val="left" w:pos="510"/>
              </w:tabs>
              <w:jc w:val="center"/>
              <w:rPr>
                <w:lang w:val="lt-LT"/>
              </w:rPr>
            </w:pPr>
            <w:r w:rsidRPr="004273CC">
              <w:rPr>
                <w:b/>
                <w:lang w:val="lt-LT"/>
              </w:rPr>
              <w:t>Pastabos</w:t>
            </w:r>
          </w:p>
        </w:tc>
      </w:tr>
      <w:tr w:rsidR="007C42AB" w:rsidRPr="004273CC" w:rsidTr="001C0D02">
        <w:trPr>
          <w:cantSplit/>
          <w:trHeight w:val="695"/>
        </w:trPr>
        <w:tc>
          <w:tcPr>
            <w:tcW w:w="1035" w:type="dxa"/>
            <w:gridSpan w:val="6"/>
          </w:tcPr>
          <w:p w:rsidR="007C42AB" w:rsidRPr="005618BC" w:rsidRDefault="007C42AB" w:rsidP="00065FB5">
            <w:pPr>
              <w:tabs>
                <w:tab w:val="left" w:pos="510"/>
              </w:tabs>
              <w:jc w:val="center"/>
              <w:rPr>
                <w:b/>
                <w:lang w:val="lt-LT"/>
              </w:rPr>
            </w:pPr>
            <w:r>
              <w:rPr>
                <w:b/>
                <w:lang w:val="lt-LT"/>
              </w:rPr>
              <w:t>Tipas</w:t>
            </w:r>
          </w:p>
        </w:tc>
        <w:tc>
          <w:tcPr>
            <w:tcW w:w="3298" w:type="dxa"/>
            <w:gridSpan w:val="5"/>
          </w:tcPr>
          <w:p w:rsidR="007C42AB" w:rsidRPr="004273CC" w:rsidRDefault="007C42AB" w:rsidP="00065FB5">
            <w:pPr>
              <w:tabs>
                <w:tab w:val="left" w:pos="510"/>
              </w:tabs>
              <w:jc w:val="center"/>
              <w:rPr>
                <w:lang w:val="lt-LT"/>
              </w:rPr>
            </w:pPr>
            <w:r w:rsidRPr="005618BC">
              <w:rPr>
                <w:b/>
                <w:lang w:val="lt-LT"/>
              </w:rPr>
              <w:t>Veiksniai</w:t>
            </w:r>
          </w:p>
        </w:tc>
        <w:tc>
          <w:tcPr>
            <w:tcW w:w="567" w:type="dxa"/>
            <w:gridSpan w:val="7"/>
            <w:vMerge/>
          </w:tcPr>
          <w:p w:rsidR="007C42AB" w:rsidRPr="004273CC" w:rsidRDefault="007C42AB" w:rsidP="00065FB5">
            <w:pPr>
              <w:tabs>
                <w:tab w:val="left" w:pos="510"/>
              </w:tabs>
              <w:jc w:val="center"/>
              <w:rPr>
                <w:lang w:val="lt-LT"/>
              </w:rPr>
            </w:pPr>
          </w:p>
        </w:tc>
        <w:tc>
          <w:tcPr>
            <w:tcW w:w="567" w:type="dxa"/>
            <w:gridSpan w:val="7"/>
            <w:vMerge/>
            <w:textDirection w:val="btLr"/>
          </w:tcPr>
          <w:p w:rsidR="007C42AB" w:rsidRPr="004273CC" w:rsidRDefault="007C42AB" w:rsidP="00065FB5">
            <w:pPr>
              <w:tabs>
                <w:tab w:val="left" w:pos="510"/>
              </w:tabs>
              <w:ind w:left="113" w:right="113"/>
              <w:jc w:val="center"/>
              <w:rPr>
                <w:lang w:val="lt-LT"/>
              </w:rPr>
            </w:pPr>
          </w:p>
        </w:tc>
        <w:tc>
          <w:tcPr>
            <w:tcW w:w="1132" w:type="dxa"/>
            <w:gridSpan w:val="8"/>
          </w:tcPr>
          <w:p w:rsidR="007C42AB" w:rsidRPr="004273CC" w:rsidRDefault="007C42AB" w:rsidP="00065FB5">
            <w:pPr>
              <w:tabs>
                <w:tab w:val="left" w:pos="510"/>
              </w:tabs>
              <w:jc w:val="center"/>
              <w:rPr>
                <w:lang w:val="lt-LT"/>
              </w:rPr>
            </w:pPr>
            <w:r w:rsidRPr="004273CC">
              <w:rPr>
                <w:lang w:val="lt-LT"/>
              </w:rPr>
              <w:t>Tikimybė (1-5)</w:t>
            </w:r>
          </w:p>
        </w:tc>
        <w:tc>
          <w:tcPr>
            <w:tcW w:w="709" w:type="dxa"/>
            <w:gridSpan w:val="8"/>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005" w:type="dxa"/>
            <w:gridSpan w:val="3"/>
          </w:tcPr>
          <w:p w:rsidR="007C42AB" w:rsidRPr="004273CC" w:rsidRDefault="007C42AB" w:rsidP="00065FB5">
            <w:pPr>
              <w:tabs>
                <w:tab w:val="left" w:pos="510"/>
              </w:tabs>
              <w:jc w:val="center"/>
              <w:rPr>
                <w:lang w:val="lt-LT"/>
              </w:rPr>
            </w:pPr>
            <w:r w:rsidRPr="004273CC">
              <w:rPr>
                <w:lang w:val="lt-LT"/>
              </w:rPr>
              <w:t>Tikimybė * Įtaka</w:t>
            </w:r>
          </w:p>
        </w:tc>
        <w:tc>
          <w:tcPr>
            <w:tcW w:w="1139" w:type="dxa"/>
            <w:gridSpan w:val="10"/>
            <w:vMerge/>
            <w:vAlign w:val="center"/>
          </w:tcPr>
          <w:p w:rsidR="007C42AB" w:rsidRPr="004273CC" w:rsidRDefault="007C42AB" w:rsidP="00065FB5">
            <w:pPr>
              <w:tabs>
                <w:tab w:val="left" w:pos="510"/>
              </w:tabs>
              <w:jc w:val="center"/>
              <w:rPr>
                <w:lang w:val="lt-LT"/>
              </w:rPr>
            </w:pPr>
          </w:p>
        </w:tc>
        <w:tc>
          <w:tcPr>
            <w:tcW w:w="990" w:type="dxa"/>
            <w:gridSpan w:val="4"/>
          </w:tcPr>
          <w:p w:rsidR="007C42AB" w:rsidRPr="004273CC" w:rsidRDefault="007C42AB" w:rsidP="00065FB5">
            <w:pPr>
              <w:tabs>
                <w:tab w:val="left" w:pos="510"/>
              </w:tabs>
              <w:jc w:val="center"/>
              <w:rPr>
                <w:lang w:val="lt-LT"/>
              </w:rPr>
            </w:pPr>
            <w:r w:rsidRPr="004273CC">
              <w:rPr>
                <w:lang w:val="lt-LT"/>
              </w:rPr>
              <w:t>Tikimybė (1-5)</w:t>
            </w:r>
          </w:p>
        </w:tc>
        <w:tc>
          <w:tcPr>
            <w:tcW w:w="708" w:type="dxa"/>
            <w:gridSpan w:val="7"/>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133" w:type="dxa"/>
            <w:gridSpan w:val="6"/>
          </w:tcPr>
          <w:p w:rsidR="007C42AB" w:rsidRPr="004273CC" w:rsidRDefault="007C42AB" w:rsidP="00065FB5">
            <w:pPr>
              <w:tabs>
                <w:tab w:val="left" w:pos="510"/>
              </w:tabs>
              <w:jc w:val="center"/>
              <w:rPr>
                <w:lang w:val="lt-LT"/>
              </w:rPr>
            </w:pPr>
            <w:r w:rsidRPr="004273CC">
              <w:rPr>
                <w:lang w:val="lt-LT"/>
              </w:rPr>
              <w:t>Tikimybė * Įtaka</w:t>
            </w:r>
          </w:p>
        </w:tc>
        <w:tc>
          <w:tcPr>
            <w:tcW w:w="1575" w:type="dxa"/>
            <w:gridSpan w:val="4"/>
            <w:vMerge/>
            <w:vAlign w:val="center"/>
          </w:tcPr>
          <w:p w:rsidR="007C42AB" w:rsidRPr="004273CC" w:rsidRDefault="007C42AB" w:rsidP="00065FB5">
            <w:pPr>
              <w:tabs>
                <w:tab w:val="left" w:pos="510"/>
              </w:tabs>
              <w:jc w:val="center"/>
              <w:rPr>
                <w:lang w:val="lt-LT"/>
              </w:rPr>
            </w:pPr>
          </w:p>
        </w:tc>
      </w:tr>
      <w:tr w:rsidR="007C42AB" w:rsidRPr="004273CC" w:rsidTr="001C0D02">
        <w:trPr>
          <w:cantSplit/>
        </w:trPr>
        <w:tc>
          <w:tcPr>
            <w:tcW w:w="1035" w:type="dxa"/>
            <w:gridSpan w:val="6"/>
            <w:vMerge w:val="restart"/>
            <w:textDirection w:val="btLr"/>
          </w:tcPr>
          <w:p w:rsidR="007C42AB" w:rsidRPr="00981AD4" w:rsidRDefault="007C42AB" w:rsidP="00065FB5">
            <w:pPr>
              <w:tabs>
                <w:tab w:val="left" w:pos="510"/>
              </w:tabs>
              <w:ind w:left="113" w:right="113"/>
              <w:jc w:val="center"/>
              <w:rPr>
                <w:b/>
                <w:lang w:val="lt-LT"/>
              </w:rPr>
            </w:pPr>
            <w:r w:rsidRPr="00981AD4">
              <w:rPr>
                <w:b/>
                <w:lang w:val="lt-LT"/>
              </w:rPr>
              <w:t>Pajamos ir sąnaudos</w:t>
            </w:r>
          </w:p>
        </w:tc>
        <w:tc>
          <w:tcPr>
            <w:tcW w:w="3298" w:type="dxa"/>
            <w:gridSpan w:val="5"/>
          </w:tcPr>
          <w:p w:rsidR="007C42AB" w:rsidRDefault="007C42AB" w:rsidP="00065FB5">
            <w:pPr>
              <w:tabs>
                <w:tab w:val="left" w:pos="510"/>
              </w:tabs>
              <w:jc w:val="both"/>
              <w:rPr>
                <w:lang w:val="lt-LT"/>
              </w:rPr>
            </w:pPr>
            <w:r>
              <w:rPr>
                <w:lang w:val="lt-LT"/>
              </w:rPr>
              <w:t>Nėra paskirta atsakingų asmenų už pardavimo sąskaitų-faktūrų išrašymą</w:t>
            </w:r>
          </w:p>
        </w:tc>
        <w:tc>
          <w:tcPr>
            <w:tcW w:w="567" w:type="dxa"/>
            <w:gridSpan w:val="7"/>
          </w:tcPr>
          <w:p w:rsidR="007C42AB" w:rsidRPr="004273CC"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Yra</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extDirection w:val="btLr"/>
          </w:tcPr>
          <w:p w:rsidR="007C42AB" w:rsidRPr="00981AD4" w:rsidRDefault="007C42AB" w:rsidP="00065FB5">
            <w:pPr>
              <w:tabs>
                <w:tab w:val="left" w:pos="510"/>
              </w:tabs>
              <w:ind w:left="113" w:right="113"/>
              <w:jc w:val="center"/>
              <w:rPr>
                <w:b/>
                <w:lang w:val="lt-LT"/>
              </w:rPr>
            </w:pPr>
          </w:p>
        </w:tc>
        <w:tc>
          <w:tcPr>
            <w:tcW w:w="3298" w:type="dxa"/>
            <w:gridSpan w:val="5"/>
          </w:tcPr>
          <w:p w:rsidR="007C42AB" w:rsidRDefault="007C42AB" w:rsidP="00065FB5">
            <w:pPr>
              <w:tabs>
                <w:tab w:val="left" w:pos="510"/>
              </w:tabs>
              <w:jc w:val="both"/>
              <w:rPr>
                <w:lang w:val="lt-LT"/>
              </w:rPr>
            </w:pPr>
            <w:r>
              <w:rPr>
                <w:lang w:val="lt-LT"/>
              </w:rPr>
              <w:t>Įvairiems klientams taikoma nevienoda kainų politika</w:t>
            </w:r>
          </w:p>
        </w:tc>
        <w:tc>
          <w:tcPr>
            <w:tcW w:w="567" w:type="dxa"/>
            <w:gridSpan w:val="7"/>
          </w:tcPr>
          <w:p w:rsidR="007C42AB"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IR</w:t>
            </w:r>
          </w:p>
        </w:tc>
        <w:tc>
          <w:tcPr>
            <w:tcW w:w="1132" w:type="dxa"/>
            <w:gridSpan w:val="8"/>
          </w:tcPr>
          <w:p w:rsidR="007C42AB" w:rsidRPr="004E6F01" w:rsidRDefault="007C42AB" w:rsidP="00065FB5">
            <w:pPr>
              <w:tabs>
                <w:tab w:val="left" w:pos="510"/>
              </w:tabs>
              <w:jc w:val="center"/>
              <w:rPr>
                <w:b/>
                <w:lang w:val="lt-LT"/>
              </w:rPr>
            </w:pPr>
            <w:r w:rsidRPr="004E6F01">
              <w:rPr>
                <w:b/>
                <w:lang w:val="lt-LT"/>
              </w:rPr>
              <w:t>3</w:t>
            </w:r>
          </w:p>
        </w:tc>
        <w:tc>
          <w:tcPr>
            <w:tcW w:w="709" w:type="dxa"/>
            <w:gridSpan w:val="8"/>
          </w:tcPr>
          <w:p w:rsidR="007C42AB" w:rsidRPr="004E6F01" w:rsidRDefault="007C42AB" w:rsidP="00065FB5">
            <w:pPr>
              <w:tabs>
                <w:tab w:val="left" w:pos="510"/>
              </w:tabs>
              <w:jc w:val="center"/>
              <w:rPr>
                <w:b/>
                <w:lang w:val="lt-LT"/>
              </w:rPr>
            </w:pPr>
            <w:r>
              <w:rPr>
                <w:b/>
                <w:lang w:val="lt-LT"/>
              </w:rPr>
              <w:t>4</w:t>
            </w:r>
          </w:p>
        </w:tc>
        <w:tc>
          <w:tcPr>
            <w:tcW w:w="1005" w:type="dxa"/>
            <w:gridSpan w:val="3"/>
          </w:tcPr>
          <w:p w:rsidR="007C42AB" w:rsidRPr="004E6F01" w:rsidRDefault="007C42AB" w:rsidP="00065FB5">
            <w:pPr>
              <w:tabs>
                <w:tab w:val="left" w:pos="510"/>
              </w:tabs>
              <w:jc w:val="center"/>
              <w:rPr>
                <w:b/>
                <w:lang w:val="lt-LT"/>
              </w:rPr>
            </w:pPr>
            <w:r>
              <w:rPr>
                <w:b/>
                <w:lang w:val="lt-LT"/>
              </w:rPr>
              <w:t>12</w:t>
            </w:r>
          </w:p>
        </w:tc>
        <w:tc>
          <w:tcPr>
            <w:tcW w:w="1139" w:type="dxa"/>
            <w:gridSpan w:val="10"/>
          </w:tcPr>
          <w:p w:rsidR="007C42AB" w:rsidRPr="004273CC" w:rsidRDefault="007C42AB" w:rsidP="00065FB5">
            <w:pPr>
              <w:tabs>
                <w:tab w:val="left" w:pos="510"/>
              </w:tabs>
              <w:jc w:val="both"/>
              <w:rPr>
                <w:lang w:val="lt-LT"/>
              </w:rPr>
            </w:pP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Height w:val="414"/>
        </w:trPr>
        <w:tc>
          <w:tcPr>
            <w:tcW w:w="4333" w:type="dxa"/>
            <w:gridSpan w:val="11"/>
            <w:vMerge w:val="restart"/>
          </w:tcPr>
          <w:p w:rsidR="007C42AB" w:rsidRPr="004273CC" w:rsidRDefault="007C42AB" w:rsidP="00065FB5">
            <w:pPr>
              <w:tabs>
                <w:tab w:val="left" w:pos="510"/>
              </w:tabs>
              <w:ind w:left="113" w:right="113"/>
              <w:jc w:val="center"/>
              <w:rPr>
                <w:lang w:val="lt-LT"/>
              </w:rPr>
            </w:pPr>
            <w:r>
              <w:rPr>
                <w:b/>
                <w:lang w:val="lt-LT"/>
              </w:rPr>
              <w:lastRenderedPageBreak/>
              <w:t>Finansinių ataskaitų elemento ir/ar jo tvirtinimo pobūdis ir jam taikoma vidaus kontrolės sistema</w:t>
            </w:r>
          </w:p>
        </w:tc>
        <w:tc>
          <w:tcPr>
            <w:tcW w:w="567" w:type="dxa"/>
            <w:gridSpan w:val="7"/>
            <w:vMerge w:val="restart"/>
            <w:textDirection w:val="btLr"/>
          </w:tcPr>
          <w:p w:rsidR="007C42AB" w:rsidRPr="004273CC" w:rsidRDefault="007C42AB"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7C42AB" w:rsidRPr="004273CC" w:rsidRDefault="007C42AB" w:rsidP="00065FB5">
            <w:pPr>
              <w:tabs>
                <w:tab w:val="left" w:pos="510"/>
              </w:tabs>
              <w:ind w:left="113" w:right="113"/>
              <w:jc w:val="center"/>
              <w:rPr>
                <w:lang w:val="lt-LT"/>
              </w:rPr>
            </w:pPr>
            <w:r>
              <w:rPr>
                <w:b/>
                <w:lang w:val="lt-LT"/>
              </w:rPr>
              <w:t>IR / KR</w:t>
            </w:r>
          </w:p>
          <w:p w:rsidR="007C42AB" w:rsidRPr="004273CC" w:rsidRDefault="007C42AB" w:rsidP="00065FB5">
            <w:pPr>
              <w:tabs>
                <w:tab w:val="left" w:pos="510"/>
              </w:tabs>
              <w:ind w:left="113" w:right="113"/>
              <w:jc w:val="center"/>
              <w:rPr>
                <w:lang w:val="lt-LT"/>
              </w:rPr>
            </w:pPr>
          </w:p>
        </w:tc>
        <w:tc>
          <w:tcPr>
            <w:tcW w:w="3985" w:type="dxa"/>
            <w:gridSpan w:val="29"/>
          </w:tcPr>
          <w:p w:rsidR="007C42AB" w:rsidRDefault="007C42AB" w:rsidP="00065FB5">
            <w:pPr>
              <w:tabs>
                <w:tab w:val="left" w:pos="510"/>
              </w:tabs>
              <w:jc w:val="center"/>
              <w:rPr>
                <w:lang w:val="lt-LT"/>
              </w:rPr>
            </w:pPr>
            <w:r>
              <w:rPr>
                <w:b/>
                <w:lang w:val="lt-LT"/>
              </w:rPr>
              <w:t>UAB „Šiluma“</w:t>
            </w:r>
          </w:p>
        </w:tc>
        <w:tc>
          <w:tcPr>
            <w:tcW w:w="4406" w:type="dxa"/>
            <w:gridSpan w:val="21"/>
          </w:tcPr>
          <w:p w:rsidR="007C42AB" w:rsidRDefault="007C42AB" w:rsidP="00065FB5">
            <w:pPr>
              <w:tabs>
                <w:tab w:val="left" w:pos="510"/>
              </w:tabs>
              <w:jc w:val="center"/>
              <w:rPr>
                <w:lang w:val="lt-LT"/>
              </w:rPr>
            </w:pPr>
            <w:r>
              <w:rPr>
                <w:b/>
                <w:lang w:val="lt-LT"/>
              </w:rPr>
              <w:t>UAB „Žuvila“</w:t>
            </w:r>
          </w:p>
        </w:tc>
      </w:tr>
      <w:tr w:rsidR="007C42AB" w:rsidRPr="004273CC" w:rsidTr="001C0D02">
        <w:trPr>
          <w:cantSplit/>
        </w:trPr>
        <w:tc>
          <w:tcPr>
            <w:tcW w:w="4333" w:type="dxa"/>
            <w:gridSpan w:val="11"/>
            <w:vMerge/>
          </w:tcPr>
          <w:p w:rsidR="007C42AB" w:rsidRPr="004273CC" w:rsidRDefault="007C42AB" w:rsidP="00065FB5">
            <w:pPr>
              <w:tabs>
                <w:tab w:val="left" w:pos="510"/>
              </w:tabs>
              <w:jc w:val="center"/>
              <w:rPr>
                <w:lang w:val="lt-LT"/>
              </w:rPr>
            </w:pPr>
          </w:p>
        </w:tc>
        <w:tc>
          <w:tcPr>
            <w:tcW w:w="567" w:type="dxa"/>
            <w:gridSpan w:val="7"/>
            <w:vMerge/>
            <w:textDirection w:val="btLr"/>
            <w:vAlign w:val="center"/>
          </w:tcPr>
          <w:p w:rsidR="007C42AB" w:rsidRPr="004273CC" w:rsidRDefault="007C42AB" w:rsidP="00065FB5">
            <w:pPr>
              <w:tabs>
                <w:tab w:val="left" w:pos="510"/>
              </w:tabs>
              <w:ind w:left="113" w:right="113"/>
              <w:jc w:val="center"/>
              <w:rPr>
                <w:lang w:val="lt-LT"/>
              </w:rPr>
            </w:pPr>
          </w:p>
        </w:tc>
        <w:tc>
          <w:tcPr>
            <w:tcW w:w="567" w:type="dxa"/>
            <w:gridSpan w:val="7"/>
            <w:vMerge/>
            <w:vAlign w:val="center"/>
          </w:tcPr>
          <w:p w:rsidR="007C42AB" w:rsidRPr="004273CC" w:rsidRDefault="007C42AB" w:rsidP="00065FB5">
            <w:pPr>
              <w:tabs>
                <w:tab w:val="left" w:pos="510"/>
              </w:tabs>
              <w:jc w:val="center"/>
              <w:rPr>
                <w:lang w:val="lt-LT"/>
              </w:rPr>
            </w:pPr>
          </w:p>
        </w:tc>
        <w:tc>
          <w:tcPr>
            <w:tcW w:w="2846" w:type="dxa"/>
            <w:gridSpan w:val="19"/>
            <w:vAlign w:val="center"/>
          </w:tcPr>
          <w:p w:rsidR="007C42AB" w:rsidRPr="004273CC" w:rsidRDefault="007C42AB" w:rsidP="00065FB5">
            <w:pPr>
              <w:tabs>
                <w:tab w:val="left" w:pos="510"/>
              </w:tabs>
              <w:jc w:val="center"/>
              <w:rPr>
                <w:lang w:val="lt-LT"/>
              </w:rPr>
            </w:pPr>
            <w:r w:rsidRPr="004273CC">
              <w:rPr>
                <w:b/>
                <w:lang w:val="lt-LT"/>
              </w:rPr>
              <w:t>Rizikos vertinima</w:t>
            </w:r>
            <w:r>
              <w:rPr>
                <w:b/>
                <w:lang w:val="lt-LT"/>
              </w:rPr>
              <w:t>s</w:t>
            </w:r>
          </w:p>
        </w:tc>
        <w:tc>
          <w:tcPr>
            <w:tcW w:w="1139" w:type="dxa"/>
            <w:gridSpan w:val="10"/>
          </w:tcPr>
          <w:p w:rsidR="007C42AB" w:rsidRDefault="007C42AB" w:rsidP="00065FB5">
            <w:pPr>
              <w:tabs>
                <w:tab w:val="left" w:pos="510"/>
              </w:tabs>
              <w:jc w:val="center"/>
              <w:rPr>
                <w:lang w:val="lt-LT"/>
              </w:rPr>
            </w:pPr>
          </w:p>
        </w:tc>
        <w:tc>
          <w:tcPr>
            <w:tcW w:w="2831" w:type="dxa"/>
            <w:gridSpan w:val="17"/>
          </w:tcPr>
          <w:p w:rsidR="007C42AB" w:rsidRPr="004273CC" w:rsidRDefault="007C42AB" w:rsidP="00065FB5">
            <w:pPr>
              <w:tabs>
                <w:tab w:val="left" w:pos="510"/>
              </w:tabs>
              <w:jc w:val="center"/>
              <w:rPr>
                <w:lang w:val="lt-LT"/>
              </w:rPr>
            </w:pPr>
            <w:r w:rsidRPr="004273CC">
              <w:rPr>
                <w:b/>
                <w:lang w:val="lt-LT"/>
              </w:rPr>
              <w:t>Rizikos vertinimas</w:t>
            </w:r>
          </w:p>
        </w:tc>
        <w:tc>
          <w:tcPr>
            <w:tcW w:w="1575" w:type="dxa"/>
            <w:gridSpan w:val="4"/>
          </w:tcPr>
          <w:p w:rsidR="007C42AB" w:rsidRDefault="007C42AB" w:rsidP="00065FB5">
            <w:pPr>
              <w:tabs>
                <w:tab w:val="left" w:pos="510"/>
              </w:tabs>
              <w:jc w:val="center"/>
              <w:rPr>
                <w:lang w:val="lt-LT"/>
              </w:rPr>
            </w:pPr>
          </w:p>
        </w:tc>
      </w:tr>
      <w:tr w:rsidR="007C42AB" w:rsidRPr="004273CC" w:rsidTr="001C0D02">
        <w:trPr>
          <w:cantSplit/>
          <w:trHeight w:val="749"/>
        </w:trPr>
        <w:tc>
          <w:tcPr>
            <w:tcW w:w="1035" w:type="dxa"/>
            <w:gridSpan w:val="6"/>
          </w:tcPr>
          <w:p w:rsidR="007C42AB" w:rsidRPr="005618BC" w:rsidRDefault="007C42AB" w:rsidP="00065FB5">
            <w:pPr>
              <w:tabs>
                <w:tab w:val="left" w:pos="510"/>
              </w:tabs>
              <w:jc w:val="center"/>
              <w:rPr>
                <w:b/>
                <w:lang w:val="lt-LT"/>
              </w:rPr>
            </w:pPr>
            <w:r>
              <w:rPr>
                <w:b/>
                <w:lang w:val="lt-LT"/>
              </w:rPr>
              <w:t>Tipas</w:t>
            </w:r>
          </w:p>
        </w:tc>
        <w:tc>
          <w:tcPr>
            <w:tcW w:w="3298" w:type="dxa"/>
            <w:gridSpan w:val="5"/>
          </w:tcPr>
          <w:p w:rsidR="007C42AB" w:rsidRPr="004273CC" w:rsidRDefault="007C42AB" w:rsidP="00065FB5">
            <w:pPr>
              <w:tabs>
                <w:tab w:val="left" w:pos="510"/>
              </w:tabs>
              <w:jc w:val="center"/>
              <w:rPr>
                <w:lang w:val="lt-LT"/>
              </w:rPr>
            </w:pPr>
            <w:r w:rsidRPr="005618BC">
              <w:rPr>
                <w:b/>
                <w:lang w:val="lt-LT"/>
              </w:rPr>
              <w:t>Veiksniai</w:t>
            </w:r>
          </w:p>
        </w:tc>
        <w:tc>
          <w:tcPr>
            <w:tcW w:w="567" w:type="dxa"/>
            <w:gridSpan w:val="7"/>
            <w:vMerge/>
          </w:tcPr>
          <w:p w:rsidR="007C42AB" w:rsidRPr="004273CC" w:rsidRDefault="007C42AB" w:rsidP="00065FB5">
            <w:pPr>
              <w:tabs>
                <w:tab w:val="left" w:pos="510"/>
              </w:tabs>
              <w:jc w:val="center"/>
              <w:rPr>
                <w:lang w:val="lt-LT"/>
              </w:rPr>
            </w:pPr>
          </w:p>
        </w:tc>
        <w:tc>
          <w:tcPr>
            <w:tcW w:w="567" w:type="dxa"/>
            <w:gridSpan w:val="7"/>
            <w:vMerge/>
            <w:textDirection w:val="btLr"/>
          </w:tcPr>
          <w:p w:rsidR="007C42AB" w:rsidRPr="004273CC" w:rsidRDefault="007C42AB" w:rsidP="00065FB5">
            <w:pPr>
              <w:tabs>
                <w:tab w:val="left" w:pos="510"/>
              </w:tabs>
              <w:ind w:left="113" w:right="113"/>
              <w:jc w:val="center"/>
              <w:rPr>
                <w:lang w:val="lt-LT"/>
              </w:rPr>
            </w:pPr>
          </w:p>
        </w:tc>
        <w:tc>
          <w:tcPr>
            <w:tcW w:w="1132" w:type="dxa"/>
            <w:gridSpan w:val="8"/>
          </w:tcPr>
          <w:p w:rsidR="007C42AB" w:rsidRPr="004273CC" w:rsidRDefault="007C42AB" w:rsidP="00065FB5">
            <w:pPr>
              <w:tabs>
                <w:tab w:val="left" w:pos="510"/>
              </w:tabs>
              <w:jc w:val="center"/>
              <w:rPr>
                <w:lang w:val="lt-LT"/>
              </w:rPr>
            </w:pPr>
            <w:r w:rsidRPr="004273CC">
              <w:rPr>
                <w:lang w:val="lt-LT"/>
              </w:rPr>
              <w:t>Tikimybė (1-5)</w:t>
            </w:r>
          </w:p>
        </w:tc>
        <w:tc>
          <w:tcPr>
            <w:tcW w:w="709" w:type="dxa"/>
            <w:gridSpan w:val="8"/>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005" w:type="dxa"/>
            <w:gridSpan w:val="3"/>
          </w:tcPr>
          <w:p w:rsidR="007C42AB" w:rsidRPr="004273CC" w:rsidRDefault="007C42AB" w:rsidP="00065FB5">
            <w:pPr>
              <w:tabs>
                <w:tab w:val="left" w:pos="510"/>
              </w:tabs>
              <w:jc w:val="center"/>
              <w:rPr>
                <w:lang w:val="lt-LT"/>
              </w:rPr>
            </w:pPr>
            <w:r w:rsidRPr="004273CC">
              <w:rPr>
                <w:lang w:val="lt-LT"/>
              </w:rPr>
              <w:t>Tikimybė * Įtaka</w:t>
            </w:r>
          </w:p>
        </w:tc>
        <w:tc>
          <w:tcPr>
            <w:tcW w:w="1139" w:type="dxa"/>
            <w:gridSpan w:val="10"/>
            <w:vAlign w:val="center"/>
          </w:tcPr>
          <w:p w:rsidR="007C42AB" w:rsidRPr="004273CC" w:rsidRDefault="007C42AB" w:rsidP="00065FB5">
            <w:pPr>
              <w:tabs>
                <w:tab w:val="left" w:pos="510"/>
              </w:tabs>
              <w:jc w:val="center"/>
              <w:rPr>
                <w:lang w:val="lt-LT"/>
              </w:rPr>
            </w:pPr>
            <w:r w:rsidRPr="004273CC">
              <w:rPr>
                <w:b/>
                <w:lang w:val="lt-LT"/>
              </w:rPr>
              <w:t>Pastabos</w:t>
            </w:r>
          </w:p>
        </w:tc>
        <w:tc>
          <w:tcPr>
            <w:tcW w:w="990" w:type="dxa"/>
            <w:gridSpan w:val="4"/>
          </w:tcPr>
          <w:p w:rsidR="007C42AB" w:rsidRPr="004273CC" w:rsidRDefault="007C42AB" w:rsidP="00065FB5">
            <w:pPr>
              <w:tabs>
                <w:tab w:val="left" w:pos="510"/>
              </w:tabs>
              <w:jc w:val="center"/>
              <w:rPr>
                <w:lang w:val="lt-LT"/>
              </w:rPr>
            </w:pPr>
            <w:r w:rsidRPr="004273CC">
              <w:rPr>
                <w:lang w:val="lt-LT"/>
              </w:rPr>
              <w:t>Tikimybė (1-5)</w:t>
            </w:r>
          </w:p>
        </w:tc>
        <w:tc>
          <w:tcPr>
            <w:tcW w:w="708" w:type="dxa"/>
            <w:gridSpan w:val="7"/>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133" w:type="dxa"/>
            <w:gridSpan w:val="6"/>
          </w:tcPr>
          <w:p w:rsidR="007C42AB" w:rsidRPr="004273CC" w:rsidRDefault="007C42AB" w:rsidP="00065FB5">
            <w:pPr>
              <w:tabs>
                <w:tab w:val="left" w:pos="510"/>
              </w:tabs>
              <w:jc w:val="center"/>
              <w:rPr>
                <w:lang w:val="lt-LT"/>
              </w:rPr>
            </w:pPr>
            <w:r w:rsidRPr="004273CC">
              <w:rPr>
                <w:lang w:val="lt-LT"/>
              </w:rPr>
              <w:t>Tikimybė * Įtaka</w:t>
            </w:r>
          </w:p>
        </w:tc>
        <w:tc>
          <w:tcPr>
            <w:tcW w:w="1575" w:type="dxa"/>
            <w:gridSpan w:val="4"/>
            <w:vAlign w:val="center"/>
          </w:tcPr>
          <w:p w:rsidR="007C42AB" w:rsidRPr="004273CC" w:rsidRDefault="007C42AB" w:rsidP="00065FB5">
            <w:pPr>
              <w:tabs>
                <w:tab w:val="left" w:pos="510"/>
              </w:tabs>
              <w:jc w:val="center"/>
              <w:rPr>
                <w:lang w:val="lt-LT"/>
              </w:rPr>
            </w:pPr>
            <w:r w:rsidRPr="004273CC">
              <w:rPr>
                <w:b/>
                <w:lang w:val="lt-LT"/>
              </w:rPr>
              <w:t>Pastabos</w:t>
            </w:r>
          </w:p>
        </w:tc>
      </w:tr>
      <w:tr w:rsidR="007C42AB" w:rsidRPr="004273CC" w:rsidTr="001C0D02">
        <w:trPr>
          <w:cantSplit/>
          <w:trHeight w:val="749"/>
        </w:trPr>
        <w:tc>
          <w:tcPr>
            <w:tcW w:w="1035" w:type="dxa"/>
            <w:gridSpan w:val="6"/>
            <w:vMerge w:val="restart"/>
            <w:textDirection w:val="btLr"/>
          </w:tcPr>
          <w:p w:rsidR="007C42AB" w:rsidRPr="00981AD4" w:rsidRDefault="007C42AB" w:rsidP="00065FB5">
            <w:pPr>
              <w:tabs>
                <w:tab w:val="left" w:pos="510"/>
              </w:tabs>
              <w:ind w:left="113" w:right="113"/>
              <w:jc w:val="center"/>
              <w:rPr>
                <w:b/>
                <w:lang w:val="lt-LT"/>
              </w:rPr>
            </w:pPr>
            <w:r w:rsidRPr="00981AD4">
              <w:rPr>
                <w:b/>
                <w:lang w:val="lt-LT"/>
              </w:rPr>
              <w:t>Pajamos ir sąnaudos</w:t>
            </w:r>
          </w:p>
        </w:tc>
        <w:tc>
          <w:tcPr>
            <w:tcW w:w="3298" w:type="dxa"/>
            <w:gridSpan w:val="5"/>
          </w:tcPr>
          <w:p w:rsidR="007C42AB" w:rsidRDefault="007C42AB" w:rsidP="00065FB5">
            <w:pPr>
              <w:tabs>
                <w:tab w:val="left" w:pos="510"/>
              </w:tabs>
              <w:jc w:val="both"/>
              <w:rPr>
                <w:lang w:val="lt-LT"/>
              </w:rPr>
            </w:pPr>
            <w:r>
              <w:rPr>
                <w:lang w:val="lt-LT"/>
              </w:rPr>
              <w:t>Vykdomi pardavimai susijusioms šalims</w:t>
            </w:r>
          </w:p>
        </w:tc>
        <w:tc>
          <w:tcPr>
            <w:tcW w:w="567" w:type="dxa"/>
            <w:gridSpan w:val="7"/>
          </w:tcPr>
          <w:p w:rsidR="007C42AB"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IR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Ne</w:t>
            </w:r>
          </w:p>
        </w:tc>
        <w:tc>
          <w:tcPr>
            <w:tcW w:w="990" w:type="dxa"/>
            <w:gridSpan w:val="4"/>
          </w:tcPr>
          <w:p w:rsidR="007C42AB" w:rsidRPr="00332A8C" w:rsidRDefault="007C42AB" w:rsidP="00065FB5">
            <w:pPr>
              <w:tabs>
                <w:tab w:val="left" w:pos="510"/>
              </w:tabs>
              <w:jc w:val="center"/>
              <w:rPr>
                <w:b/>
                <w:lang w:val="lt-LT"/>
              </w:rPr>
            </w:pPr>
            <w:r>
              <w:rPr>
                <w:b/>
                <w:lang w:val="lt-LT"/>
              </w:rPr>
              <w:t>4</w:t>
            </w:r>
          </w:p>
        </w:tc>
        <w:tc>
          <w:tcPr>
            <w:tcW w:w="708" w:type="dxa"/>
            <w:gridSpan w:val="7"/>
          </w:tcPr>
          <w:p w:rsidR="007C42AB" w:rsidRPr="00332A8C" w:rsidRDefault="007C42AB" w:rsidP="00065FB5">
            <w:pPr>
              <w:tabs>
                <w:tab w:val="left" w:pos="510"/>
              </w:tabs>
              <w:jc w:val="center"/>
              <w:rPr>
                <w:b/>
                <w:lang w:val="lt-LT"/>
              </w:rPr>
            </w:pPr>
            <w:r>
              <w:rPr>
                <w:b/>
                <w:lang w:val="lt-LT"/>
              </w:rPr>
              <w:t>5</w:t>
            </w:r>
          </w:p>
        </w:tc>
        <w:tc>
          <w:tcPr>
            <w:tcW w:w="1133" w:type="dxa"/>
            <w:gridSpan w:val="6"/>
          </w:tcPr>
          <w:p w:rsidR="007C42AB" w:rsidRPr="00332A8C" w:rsidRDefault="007C42AB" w:rsidP="00065FB5">
            <w:pPr>
              <w:tabs>
                <w:tab w:val="left" w:pos="510"/>
              </w:tabs>
              <w:jc w:val="center"/>
              <w:rPr>
                <w:b/>
                <w:lang w:val="lt-LT"/>
              </w:rPr>
            </w:pPr>
            <w:r>
              <w:rPr>
                <w:b/>
                <w:lang w:val="lt-LT"/>
              </w:rPr>
              <w:t>20</w:t>
            </w: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Height w:val="749"/>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Nėra kontroliuojama, kad sąskaitos būtų išrašomos pagal pirkėjų užsakymus</w:t>
            </w:r>
          </w:p>
        </w:tc>
        <w:tc>
          <w:tcPr>
            <w:tcW w:w="567" w:type="dxa"/>
            <w:gridSpan w:val="7"/>
          </w:tcPr>
          <w:p w:rsidR="007C42AB" w:rsidRPr="004273CC"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Netaikoma</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Height w:val="749"/>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 xml:space="preserve">Sąskaitos-faktūroms išrašyti naudojama rankinė sistema, nesusieta su apskaitos sistema </w:t>
            </w:r>
          </w:p>
        </w:tc>
        <w:tc>
          <w:tcPr>
            <w:tcW w:w="567" w:type="dxa"/>
            <w:gridSpan w:val="7"/>
          </w:tcPr>
          <w:p w:rsidR="007C42AB" w:rsidRPr="004273CC" w:rsidRDefault="007C42AB" w:rsidP="00065FB5">
            <w:pPr>
              <w:tabs>
                <w:tab w:val="left" w:pos="510"/>
              </w:tabs>
              <w:jc w:val="both"/>
              <w:rPr>
                <w:lang w:val="lt-LT"/>
              </w:rPr>
            </w:pPr>
            <w:r>
              <w:rPr>
                <w:lang w:val="lt-LT"/>
              </w:rPr>
              <w:t>I, 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Ne</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r>
              <w:rPr>
                <w:lang w:val="lt-LT"/>
              </w:rPr>
              <w:t>Ne</w:t>
            </w:r>
          </w:p>
        </w:tc>
      </w:tr>
      <w:tr w:rsidR="007C42AB" w:rsidRPr="004273CC" w:rsidTr="001C0D02">
        <w:trPr>
          <w:cantSplit/>
          <w:trHeight w:val="749"/>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Nėra kontroliuojamas sąskaitos-faktūros išrašymo teisingumas (kiekis, kainos (įskaitant nuolaidas), galutinės sumos apskaičiavimas)</w:t>
            </w:r>
          </w:p>
        </w:tc>
        <w:tc>
          <w:tcPr>
            <w:tcW w:w="567" w:type="dxa"/>
            <w:gridSpan w:val="7"/>
          </w:tcPr>
          <w:p w:rsidR="007C42AB" w:rsidRPr="004273CC"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Ne</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r>
              <w:rPr>
                <w:lang w:val="lt-LT"/>
              </w:rPr>
              <w:t>Ne</w:t>
            </w:r>
          </w:p>
        </w:tc>
      </w:tr>
      <w:tr w:rsidR="007C42AB" w:rsidRPr="004273CC" w:rsidTr="001C0D02">
        <w:trPr>
          <w:cantSplit/>
          <w:trHeight w:val="749"/>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Išrašytos sąskaitos-faktūros nėra patvirtinamos</w:t>
            </w:r>
          </w:p>
        </w:tc>
        <w:tc>
          <w:tcPr>
            <w:tcW w:w="567" w:type="dxa"/>
            <w:gridSpan w:val="7"/>
          </w:tcPr>
          <w:p w:rsidR="007C42AB" w:rsidRPr="004273CC" w:rsidRDefault="007C42AB" w:rsidP="00065FB5">
            <w:pPr>
              <w:tabs>
                <w:tab w:val="left" w:pos="510"/>
              </w:tabs>
              <w:jc w:val="both"/>
              <w:rPr>
                <w:lang w:val="lt-LT"/>
              </w:rPr>
            </w:pPr>
            <w:r>
              <w:rPr>
                <w:lang w:val="lt-LT"/>
              </w:rPr>
              <w:t>B</w:t>
            </w:r>
          </w:p>
        </w:tc>
        <w:tc>
          <w:tcPr>
            <w:tcW w:w="567" w:type="dxa"/>
            <w:gridSpan w:val="7"/>
          </w:tcPr>
          <w:p w:rsidR="007C42AB" w:rsidRPr="004273CC" w:rsidRDefault="007C42AB" w:rsidP="00065FB5">
            <w:pPr>
              <w:tabs>
                <w:tab w:val="left" w:pos="510"/>
              </w:tabs>
              <w:jc w:val="both"/>
              <w:rPr>
                <w:lang w:val="lt-LT"/>
              </w:rPr>
            </w:pP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Height w:val="749"/>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Neužtikrinamas visų išrašytų sąskaitų-faktūrų pristatymas į buhalteriją</w:t>
            </w:r>
          </w:p>
        </w:tc>
        <w:tc>
          <w:tcPr>
            <w:tcW w:w="567" w:type="dxa"/>
            <w:gridSpan w:val="7"/>
          </w:tcPr>
          <w:p w:rsidR="007C42AB" w:rsidRPr="004273CC" w:rsidRDefault="007C42AB" w:rsidP="00065FB5">
            <w:pPr>
              <w:tabs>
                <w:tab w:val="left" w:pos="510"/>
              </w:tabs>
              <w:jc w:val="both"/>
              <w:rPr>
                <w:lang w:val="lt-LT"/>
              </w:rPr>
            </w:pPr>
            <w:r>
              <w:rPr>
                <w:lang w:val="lt-LT"/>
              </w:rPr>
              <w:t>I</w:t>
            </w:r>
          </w:p>
        </w:tc>
        <w:tc>
          <w:tcPr>
            <w:tcW w:w="567" w:type="dxa"/>
            <w:gridSpan w:val="7"/>
          </w:tcPr>
          <w:p w:rsidR="007C42AB" w:rsidRPr="004273CC" w:rsidRDefault="007C42AB" w:rsidP="00065FB5">
            <w:pPr>
              <w:tabs>
                <w:tab w:val="left" w:pos="510"/>
              </w:tabs>
              <w:jc w:val="both"/>
              <w:rPr>
                <w:lang w:val="lt-LT"/>
              </w:rPr>
            </w:pP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extDirection w:val="btLr"/>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Kai pardavimai vykdomi už grynus pinigus, nėra užtikrinama tinkama tvarka (atsakingi asmenys, dokumentai, savalaikis atsiskaitymas su buhalterija)</w:t>
            </w:r>
          </w:p>
        </w:tc>
        <w:tc>
          <w:tcPr>
            <w:tcW w:w="567" w:type="dxa"/>
            <w:gridSpan w:val="7"/>
          </w:tcPr>
          <w:p w:rsidR="007C42AB" w:rsidRPr="004273CC"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Ne</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r>
              <w:rPr>
                <w:lang w:val="lt-LT"/>
              </w:rPr>
              <w:t>Netaikoma</w:t>
            </w:r>
          </w:p>
        </w:tc>
      </w:tr>
      <w:tr w:rsidR="007C42AB" w:rsidRPr="004273CC" w:rsidTr="001C0D02">
        <w:trPr>
          <w:cantSplit/>
        </w:trPr>
        <w:tc>
          <w:tcPr>
            <w:tcW w:w="1035" w:type="dxa"/>
            <w:gridSpan w:val="6"/>
            <w:vMerge/>
            <w:tcBorders>
              <w:bottom w:val="single" w:sz="4" w:space="0" w:color="auto"/>
            </w:tcBorders>
            <w:textDirection w:val="btLr"/>
          </w:tcPr>
          <w:p w:rsidR="007C42AB" w:rsidRPr="00981AD4" w:rsidRDefault="007C42AB" w:rsidP="00065FB5">
            <w:pPr>
              <w:tabs>
                <w:tab w:val="left" w:pos="510"/>
              </w:tabs>
              <w:ind w:left="113" w:right="113"/>
              <w:jc w:val="center"/>
              <w:rPr>
                <w:b/>
                <w:lang w:val="lt-LT"/>
              </w:rPr>
            </w:pPr>
          </w:p>
        </w:tc>
        <w:tc>
          <w:tcPr>
            <w:tcW w:w="3298" w:type="dxa"/>
            <w:gridSpan w:val="5"/>
            <w:tcBorders>
              <w:bottom w:val="single" w:sz="4" w:space="0" w:color="auto"/>
            </w:tcBorders>
          </w:tcPr>
          <w:p w:rsidR="007C42AB" w:rsidRDefault="007C42AB" w:rsidP="00065FB5">
            <w:pPr>
              <w:tabs>
                <w:tab w:val="left" w:pos="510"/>
              </w:tabs>
              <w:jc w:val="both"/>
              <w:rPr>
                <w:lang w:val="lt-LT"/>
              </w:rPr>
            </w:pPr>
            <w:r>
              <w:rPr>
                <w:lang w:val="lt-LT"/>
              </w:rPr>
              <w:t>Nėra tikrinama, ar visi iš klientų gauti pinigai yra apskaityti įmonės kasoje</w:t>
            </w:r>
          </w:p>
          <w:p w:rsidR="007C42AB" w:rsidRDefault="007C42AB" w:rsidP="00065FB5">
            <w:pPr>
              <w:tabs>
                <w:tab w:val="left" w:pos="510"/>
              </w:tabs>
              <w:jc w:val="both"/>
              <w:rPr>
                <w:lang w:val="lt-LT"/>
              </w:rPr>
            </w:pPr>
          </w:p>
        </w:tc>
        <w:tc>
          <w:tcPr>
            <w:tcW w:w="567" w:type="dxa"/>
            <w:gridSpan w:val="7"/>
          </w:tcPr>
          <w:p w:rsidR="007C42AB" w:rsidRPr="004273CC" w:rsidRDefault="007C42AB" w:rsidP="00065FB5">
            <w:pPr>
              <w:tabs>
                <w:tab w:val="left" w:pos="510"/>
              </w:tabs>
              <w:jc w:val="both"/>
              <w:rPr>
                <w:lang w:val="lt-LT"/>
              </w:rPr>
            </w:pPr>
            <w:r>
              <w:rPr>
                <w:lang w:val="lt-LT"/>
              </w:rPr>
              <w:t>I</w:t>
            </w:r>
          </w:p>
        </w:tc>
        <w:tc>
          <w:tcPr>
            <w:tcW w:w="567" w:type="dxa"/>
            <w:gridSpan w:val="7"/>
          </w:tcPr>
          <w:p w:rsidR="007C42AB" w:rsidRPr="004273CC" w:rsidRDefault="007C42AB" w:rsidP="00065FB5">
            <w:pPr>
              <w:tabs>
                <w:tab w:val="left" w:pos="510"/>
              </w:tabs>
              <w:jc w:val="both"/>
              <w:rPr>
                <w:lang w:val="lt-LT"/>
              </w:rPr>
            </w:pP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Pr>
        <w:tc>
          <w:tcPr>
            <w:tcW w:w="4333" w:type="dxa"/>
            <w:gridSpan w:val="11"/>
            <w:vMerge w:val="restart"/>
            <w:shd w:val="clear" w:color="auto" w:fill="auto"/>
          </w:tcPr>
          <w:p w:rsidR="007C42AB" w:rsidRPr="004273CC" w:rsidRDefault="007C42AB" w:rsidP="00065FB5">
            <w:pPr>
              <w:tabs>
                <w:tab w:val="left" w:pos="510"/>
              </w:tabs>
              <w:ind w:left="113" w:right="113"/>
              <w:jc w:val="center"/>
              <w:rPr>
                <w:lang w:val="lt-LT"/>
              </w:rPr>
            </w:pPr>
            <w:r>
              <w:rPr>
                <w:b/>
                <w:lang w:val="lt-LT"/>
              </w:rPr>
              <w:lastRenderedPageBreak/>
              <w:t>Finansinių ataskaitų elemento ir/ar jo tvirtinimo pobūdis ir jam taikoma vidaus kontrolės sistema</w:t>
            </w:r>
          </w:p>
        </w:tc>
        <w:tc>
          <w:tcPr>
            <w:tcW w:w="567" w:type="dxa"/>
            <w:gridSpan w:val="7"/>
            <w:vMerge w:val="restart"/>
            <w:shd w:val="clear" w:color="auto" w:fill="auto"/>
            <w:textDirection w:val="btLr"/>
          </w:tcPr>
          <w:p w:rsidR="007C42AB" w:rsidRPr="004273CC" w:rsidRDefault="007C42AB"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7C42AB" w:rsidRPr="004273CC" w:rsidRDefault="007C42AB" w:rsidP="00065FB5">
            <w:pPr>
              <w:tabs>
                <w:tab w:val="left" w:pos="510"/>
              </w:tabs>
              <w:ind w:left="113" w:right="113"/>
              <w:jc w:val="center"/>
              <w:rPr>
                <w:lang w:val="lt-LT"/>
              </w:rPr>
            </w:pPr>
            <w:r>
              <w:rPr>
                <w:b/>
                <w:lang w:val="lt-LT"/>
              </w:rPr>
              <w:t>IR / KR</w:t>
            </w:r>
          </w:p>
          <w:p w:rsidR="007C42AB" w:rsidRPr="004273CC" w:rsidRDefault="007C42AB" w:rsidP="00065FB5">
            <w:pPr>
              <w:tabs>
                <w:tab w:val="left" w:pos="510"/>
              </w:tabs>
              <w:ind w:left="113" w:right="113"/>
              <w:jc w:val="center"/>
              <w:rPr>
                <w:lang w:val="lt-LT"/>
              </w:rPr>
            </w:pPr>
          </w:p>
        </w:tc>
        <w:tc>
          <w:tcPr>
            <w:tcW w:w="3985" w:type="dxa"/>
            <w:gridSpan w:val="29"/>
          </w:tcPr>
          <w:p w:rsidR="007C42AB" w:rsidRDefault="007C42AB" w:rsidP="00065FB5">
            <w:pPr>
              <w:tabs>
                <w:tab w:val="left" w:pos="510"/>
              </w:tabs>
              <w:jc w:val="center"/>
              <w:rPr>
                <w:lang w:val="lt-LT"/>
              </w:rPr>
            </w:pPr>
            <w:r>
              <w:rPr>
                <w:b/>
                <w:lang w:val="lt-LT"/>
              </w:rPr>
              <w:t>UAB „Šiluma“</w:t>
            </w:r>
          </w:p>
        </w:tc>
        <w:tc>
          <w:tcPr>
            <w:tcW w:w="4406" w:type="dxa"/>
            <w:gridSpan w:val="21"/>
          </w:tcPr>
          <w:p w:rsidR="007C42AB" w:rsidRPr="004273CC" w:rsidRDefault="007C42AB" w:rsidP="00065FB5">
            <w:pPr>
              <w:tabs>
                <w:tab w:val="left" w:pos="510"/>
              </w:tabs>
              <w:jc w:val="center"/>
              <w:rPr>
                <w:lang w:val="lt-LT"/>
              </w:rPr>
            </w:pPr>
            <w:r>
              <w:rPr>
                <w:b/>
                <w:lang w:val="lt-LT"/>
              </w:rPr>
              <w:t>UAB „Žuvila“</w:t>
            </w:r>
          </w:p>
        </w:tc>
      </w:tr>
      <w:tr w:rsidR="007C42AB" w:rsidRPr="004273CC" w:rsidTr="001C0D02">
        <w:trPr>
          <w:cantSplit/>
        </w:trPr>
        <w:tc>
          <w:tcPr>
            <w:tcW w:w="4333" w:type="dxa"/>
            <w:gridSpan w:val="11"/>
            <w:vMerge/>
            <w:shd w:val="clear" w:color="auto" w:fill="auto"/>
          </w:tcPr>
          <w:p w:rsidR="007C42AB" w:rsidRPr="004273CC" w:rsidRDefault="007C42AB" w:rsidP="00065FB5">
            <w:pPr>
              <w:tabs>
                <w:tab w:val="left" w:pos="510"/>
              </w:tabs>
              <w:ind w:left="113" w:right="113"/>
              <w:jc w:val="center"/>
              <w:rPr>
                <w:lang w:val="lt-LT"/>
              </w:rPr>
            </w:pPr>
          </w:p>
        </w:tc>
        <w:tc>
          <w:tcPr>
            <w:tcW w:w="567" w:type="dxa"/>
            <w:gridSpan w:val="7"/>
            <w:vMerge/>
            <w:shd w:val="clear" w:color="auto" w:fill="auto"/>
            <w:vAlign w:val="center"/>
          </w:tcPr>
          <w:p w:rsidR="007C42AB" w:rsidRPr="004273CC" w:rsidRDefault="007C42AB" w:rsidP="00065FB5">
            <w:pPr>
              <w:tabs>
                <w:tab w:val="left" w:pos="510"/>
              </w:tabs>
              <w:jc w:val="center"/>
              <w:rPr>
                <w:lang w:val="lt-LT"/>
              </w:rPr>
            </w:pPr>
          </w:p>
        </w:tc>
        <w:tc>
          <w:tcPr>
            <w:tcW w:w="567" w:type="dxa"/>
            <w:gridSpan w:val="7"/>
            <w:vMerge/>
            <w:vAlign w:val="center"/>
          </w:tcPr>
          <w:p w:rsidR="007C42AB" w:rsidRPr="004273CC" w:rsidRDefault="007C42AB" w:rsidP="00065FB5">
            <w:pPr>
              <w:tabs>
                <w:tab w:val="left" w:pos="510"/>
              </w:tabs>
              <w:jc w:val="center"/>
              <w:rPr>
                <w:lang w:val="lt-LT"/>
              </w:rPr>
            </w:pPr>
          </w:p>
        </w:tc>
        <w:tc>
          <w:tcPr>
            <w:tcW w:w="2846" w:type="dxa"/>
            <w:gridSpan w:val="19"/>
            <w:vAlign w:val="center"/>
          </w:tcPr>
          <w:p w:rsidR="007C42AB" w:rsidRPr="004273CC" w:rsidRDefault="007C42AB" w:rsidP="00065FB5">
            <w:pPr>
              <w:tabs>
                <w:tab w:val="left" w:pos="510"/>
              </w:tabs>
              <w:jc w:val="center"/>
              <w:rPr>
                <w:lang w:val="lt-LT"/>
              </w:rPr>
            </w:pPr>
            <w:r w:rsidRPr="004273CC">
              <w:rPr>
                <w:b/>
                <w:lang w:val="lt-LT"/>
              </w:rPr>
              <w:t>Rizikos vertinima</w:t>
            </w:r>
            <w:r>
              <w:rPr>
                <w:b/>
                <w:lang w:val="lt-LT"/>
              </w:rPr>
              <w:t>s</w:t>
            </w:r>
          </w:p>
        </w:tc>
        <w:tc>
          <w:tcPr>
            <w:tcW w:w="1139" w:type="dxa"/>
            <w:gridSpan w:val="10"/>
            <w:vMerge w:val="restart"/>
          </w:tcPr>
          <w:p w:rsidR="007C42AB" w:rsidRPr="004273CC" w:rsidRDefault="007C42AB" w:rsidP="00065FB5">
            <w:pPr>
              <w:tabs>
                <w:tab w:val="left" w:pos="510"/>
              </w:tabs>
              <w:jc w:val="center"/>
              <w:rPr>
                <w:lang w:val="lt-LT"/>
              </w:rPr>
            </w:pPr>
            <w:r w:rsidRPr="004273CC">
              <w:rPr>
                <w:b/>
                <w:lang w:val="lt-LT"/>
              </w:rPr>
              <w:t>Pastabos</w:t>
            </w:r>
          </w:p>
        </w:tc>
        <w:tc>
          <w:tcPr>
            <w:tcW w:w="2831" w:type="dxa"/>
            <w:gridSpan w:val="17"/>
          </w:tcPr>
          <w:p w:rsidR="007C42AB" w:rsidRPr="004273CC" w:rsidRDefault="007C42AB" w:rsidP="001C0D02">
            <w:pPr>
              <w:tabs>
                <w:tab w:val="left" w:pos="510"/>
              </w:tabs>
              <w:jc w:val="center"/>
              <w:rPr>
                <w:lang w:val="lt-LT"/>
              </w:rPr>
            </w:pPr>
            <w:r w:rsidRPr="004273CC">
              <w:rPr>
                <w:b/>
                <w:lang w:val="lt-LT"/>
              </w:rPr>
              <w:t>Rizikos vertinimas</w:t>
            </w:r>
          </w:p>
        </w:tc>
        <w:tc>
          <w:tcPr>
            <w:tcW w:w="1575" w:type="dxa"/>
            <w:gridSpan w:val="4"/>
            <w:vMerge w:val="restart"/>
          </w:tcPr>
          <w:p w:rsidR="007C42AB" w:rsidRPr="004273CC" w:rsidRDefault="007C42AB" w:rsidP="00065FB5">
            <w:pPr>
              <w:tabs>
                <w:tab w:val="left" w:pos="510"/>
              </w:tabs>
              <w:jc w:val="center"/>
              <w:rPr>
                <w:lang w:val="lt-LT"/>
              </w:rPr>
            </w:pPr>
            <w:r w:rsidRPr="004273CC">
              <w:rPr>
                <w:b/>
                <w:lang w:val="lt-LT"/>
              </w:rPr>
              <w:t>Pastabos</w:t>
            </w:r>
          </w:p>
        </w:tc>
      </w:tr>
      <w:tr w:rsidR="007C42AB" w:rsidRPr="004273CC" w:rsidTr="001C0D02">
        <w:trPr>
          <w:cantSplit/>
          <w:trHeight w:val="557"/>
        </w:trPr>
        <w:tc>
          <w:tcPr>
            <w:tcW w:w="1035" w:type="dxa"/>
            <w:gridSpan w:val="6"/>
            <w:shd w:val="clear" w:color="auto" w:fill="auto"/>
          </w:tcPr>
          <w:p w:rsidR="007C42AB" w:rsidRPr="005618BC" w:rsidRDefault="007C42AB" w:rsidP="00065FB5">
            <w:pPr>
              <w:tabs>
                <w:tab w:val="left" w:pos="510"/>
              </w:tabs>
              <w:jc w:val="center"/>
              <w:rPr>
                <w:b/>
                <w:lang w:val="lt-LT"/>
              </w:rPr>
            </w:pPr>
            <w:r>
              <w:rPr>
                <w:b/>
                <w:lang w:val="lt-LT"/>
              </w:rPr>
              <w:t>Tipas</w:t>
            </w:r>
          </w:p>
        </w:tc>
        <w:tc>
          <w:tcPr>
            <w:tcW w:w="3298" w:type="dxa"/>
            <w:gridSpan w:val="5"/>
            <w:shd w:val="clear" w:color="auto" w:fill="auto"/>
          </w:tcPr>
          <w:p w:rsidR="007C42AB" w:rsidRPr="004273CC" w:rsidRDefault="007C42AB" w:rsidP="00065FB5">
            <w:pPr>
              <w:tabs>
                <w:tab w:val="left" w:pos="510"/>
              </w:tabs>
              <w:jc w:val="center"/>
              <w:rPr>
                <w:lang w:val="lt-LT"/>
              </w:rPr>
            </w:pPr>
            <w:r w:rsidRPr="005618BC">
              <w:rPr>
                <w:b/>
                <w:lang w:val="lt-LT"/>
              </w:rPr>
              <w:t>Veiksniai</w:t>
            </w:r>
          </w:p>
        </w:tc>
        <w:tc>
          <w:tcPr>
            <w:tcW w:w="567" w:type="dxa"/>
            <w:gridSpan w:val="7"/>
            <w:vMerge/>
            <w:shd w:val="clear" w:color="auto" w:fill="auto"/>
          </w:tcPr>
          <w:p w:rsidR="007C42AB" w:rsidRPr="004273CC" w:rsidRDefault="007C42AB" w:rsidP="00065FB5">
            <w:pPr>
              <w:tabs>
                <w:tab w:val="left" w:pos="510"/>
              </w:tabs>
              <w:jc w:val="center"/>
              <w:rPr>
                <w:lang w:val="lt-LT"/>
              </w:rPr>
            </w:pPr>
          </w:p>
        </w:tc>
        <w:tc>
          <w:tcPr>
            <w:tcW w:w="567" w:type="dxa"/>
            <w:gridSpan w:val="7"/>
            <w:vMerge/>
            <w:textDirection w:val="btLr"/>
          </w:tcPr>
          <w:p w:rsidR="007C42AB" w:rsidRPr="004273CC" w:rsidRDefault="007C42AB" w:rsidP="00065FB5">
            <w:pPr>
              <w:tabs>
                <w:tab w:val="left" w:pos="510"/>
              </w:tabs>
              <w:ind w:left="113" w:right="113"/>
              <w:jc w:val="center"/>
              <w:rPr>
                <w:lang w:val="lt-LT"/>
              </w:rPr>
            </w:pPr>
          </w:p>
        </w:tc>
        <w:tc>
          <w:tcPr>
            <w:tcW w:w="1132" w:type="dxa"/>
            <w:gridSpan w:val="8"/>
          </w:tcPr>
          <w:p w:rsidR="007C42AB" w:rsidRPr="004273CC" w:rsidRDefault="007C42AB" w:rsidP="00065FB5">
            <w:pPr>
              <w:tabs>
                <w:tab w:val="left" w:pos="510"/>
              </w:tabs>
              <w:jc w:val="center"/>
              <w:rPr>
                <w:lang w:val="lt-LT"/>
              </w:rPr>
            </w:pPr>
            <w:r w:rsidRPr="004273CC">
              <w:rPr>
                <w:lang w:val="lt-LT"/>
              </w:rPr>
              <w:t>Tikimybė (1-5)</w:t>
            </w:r>
          </w:p>
        </w:tc>
        <w:tc>
          <w:tcPr>
            <w:tcW w:w="709" w:type="dxa"/>
            <w:gridSpan w:val="8"/>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005" w:type="dxa"/>
            <w:gridSpan w:val="3"/>
          </w:tcPr>
          <w:p w:rsidR="007C42AB" w:rsidRPr="004273CC" w:rsidRDefault="007C42AB" w:rsidP="00065FB5">
            <w:pPr>
              <w:tabs>
                <w:tab w:val="left" w:pos="510"/>
              </w:tabs>
              <w:jc w:val="center"/>
              <w:rPr>
                <w:lang w:val="lt-LT"/>
              </w:rPr>
            </w:pPr>
            <w:r w:rsidRPr="004273CC">
              <w:rPr>
                <w:lang w:val="lt-LT"/>
              </w:rPr>
              <w:t>Tikimybė * Įtaka</w:t>
            </w:r>
          </w:p>
        </w:tc>
        <w:tc>
          <w:tcPr>
            <w:tcW w:w="1139" w:type="dxa"/>
            <w:gridSpan w:val="10"/>
            <w:vMerge/>
            <w:vAlign w:val="center"/>
          </w:tcPr>
          <w:p w:rsidR="007C42AB" w:rsidRPr="004273CC" w:rsidRDefault="007C42AB" w:rsidP="00065FB5">
            <w:pPr>
              <w:tabs>
                <w:tab w:val="left" w:pos="510"/>
              </w:tabs>
              <w:jc w:val="center"/>
              <w:rPr>
                <w:lang w:val="lt-LT"/>
              </w:rPr>
            </w:pPr>
          </w:p>
        </w:tc>
        <w:tc>
          <w:tcPr>
            <w:tcW w:w="990" w:type="dxa"/>
            <w:gridSpan w:val="4"/>
          </w:tcPr>
          <w:p w:rsidR="007C42AB" w:rsidRPr="004273CC" w:rsidRDefault="007C42AB" w:rsidP="00065FB5">
            <w:pPr>
              <w:tabs>
                <w:tab w:val="left" w:pos="510"/>
              </w:tabs>
              <w:jc w:val="center"/>
              <w:rPr>
                <w:lang w:val="lt-LT"/>
              </w:rPr>
            </w:pPr>
            <w:r w:rsidRPr="004273CC">
              <w:rPr>
                <w:lang w:val="lt-LT"/>
              </w:rPr>
              <w:t>Tikimybė (1-5)</w:t>
            </w:r>
          </w:p>
        </w:tc>
        <w:tc>
          <w:tcPr>
            <w:tcW w:w="708" w:type="dxa"/>
            <w:gridSpan w:val="7"/>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133" w:type="dxa"/>
            <w:gridSpan w:val="6"/>
          </w:tcPr>
          <w:p w:rsidR="007C42AB" w:rsidRPr="004273CC" w:rsidRDefault="007C42AB" w:rsidP="00065FB5">
            <w:pPr>
              <w:tabs>
                <w:tab w:val="left" w:pos="510"/>
              </w:tabs>
              <w:jc w:val="center"/>
              <w:rPr>
                <w:lang w:val="lt-LT"/>
              </w:rPr>
            </w:pPr>
            <w:r w:rsidRPr="004273CC">
              <w:rPr>
                <w:lang w:val="lt-LT"/>
              </w:rPr>
              <w:t>Tikimybė * Įtaka</w:t>
            </w:r>
          </w:p>
        </w:tc>
        <w:tc>
          <w:tcPr>
            <w:tcW w:w="1575" w:type="dxa"/>
            <w:gridSpan w:val="4"/>
            <w:vMerge/>
            <w:vAlign w:val="center"/>
          </w:tcPr>
          <w:p w:rsidR="007C42AB" w:rsidRPr="004273CC" w:rsidRDefault="007C42AB" w:rsidP="00065FB5">
            <w:pPr>
              <w:tabs>
                <w:tab w:val="left" w:pos="510"/>
              </w:tabs>
              <w:jc w:val="center"/>
              <w:rPr>
                <w:lang w:val="lt-LT"/>
              </w:rPr>
            </w:pPr>
          </w:p>
        </w:tc>
      </w:tr>
      <w:tr w:rsidR="007C42AB" w:rsidRPr="004273CC" w:rsidTr="001C0D02">
        <w:trPr>
          <w:cantSplit/>
        </w:trPr>
        <w:tc>
          <w:tcPr>
            <w:tcW w:w="1035" w:type="dxa"/>
            <w:gridSpan w:val="6"/>
            <w:vMerge w:val="restart"/>
            <w:textDirection w:val="btLr"/>
          </w:tcPr>
          <w:p w:rsidR="007C42AB" w:rsidRPr="00981AD4" w:rsidRDefault="007C42AB" w:rsidP="00065FB5">
            <w:pPr>
              <w:tabs>
                <w:tab w:val="left" w:pos="510"/>
              </w:tabs>
              <w:ind w:left="113" w:right="113"/>
              <w:jc w:val="center"/>
              <w:rPr>
                <w:b/>
                <w:lang w:val="lt-LT"/>
              </w:rPr>
            </w:pPr>
            <w:r w:rsidRPr="00981AD4">
              <w:rPr>
                <w:b/>
                <w:lang w:val="lt-LT"/>
              </w:rPr>
              <w:t>Pajamos ir sąnaudos</w:t>
            </w:r>
          </w:p>
        </w:tc>
        <w:tc>
          <w:tcPr>
            <w:tcW w:w="3298" w:type="dxa"/>
            <w:gridSpan w:val="5"/>
          </w:tcPr>
          <w:p w:rsidR="007C42AB" w:rsidRDefault="007C42AB" w:rsidP="00065FB5">
            <w:pPr>
              <w:tabs>
                <w:tab w:val="left" w:pos="510"/>
              </w:tabs>
              <w:jc w:val="both"/>
              <w:rPr>
                <w:lang w:val="lt-LT"/>
              </w:rPr>
            </w:pPr>
            <w:r>
              <w:rPr>
                <w:lang w:val="lt-LT"/>
              </w:rPr>
              <w:t>Prekių grąžinimai (paslaugų atsisakymai), nuolaidų suteikimai nėra tvirtinami atsakingų asmenų</w:t>
            </w:r>
          </w:p>
        </w:tc>
        <w:tc>
          <w:tcPr>
            <w:tcW w:w="567" w:type="dxa"/>
            <w:gridSpan w:val="7"/>
          </w:tcPr>
          <w:p w:rsidR="007C42AB" w:rsidRPr="004273CC"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Ne</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r>
              <w:rPr>
                <w:lang w:val="lt-LT"/>
              </w:rPr>
              <w:t>Ne</w:t>
            </w:r>
          </w:p>
        </w:tc>
      </w:tr>
      <w:tr w:rsidR="007C42AB" w:rsidRPr="004273CC" w:rsidTr="001C0D02">
        <w:trPr>
          <w:cantSplit/>
        </w:trPr>
        <w:tc>
          <w:tcPr>
            <w:tcW w:w="1035" w:type="dxa"/>
            <w:gridSpan w:val="6"/>
            <w:vMerge/>
            <w:textDirection w:val="btLr"/>
          </w:tcPr>
          <w:p w:rsidR="007C42AB" w:rsidRPr="00981AD4" w:rsidRDefault="007C42AB" w:rsidP="00065FB5">
            <w:pPr>
              <w:tabs>
                <w:tab w:val="left" w:pos="510"/>
              </w:tabs>
              <w:ind w:left="113" w:right="113"/>
              <w:jc w:val="center"/>
              <w:rPr>
                <w:b/>
                <w:lang w:val="lt-LT"/>
              </w:rPr>
            </w:pPr>
          </w:p>
        </w:tc>
        <w:tc>
          <w:tcPr>
            <w:tcW w:w="3298" w:type="dxa"/>
            <w:gridSpan w:val="5"/>
          </w:tcPr>
          <w:p w:rsidR="007C42AB" w:rsidRDefault="007C42AB" w:rsidP="00065FB5">
            <w:pPr>
              <w:tabs>
                <w:tab w:val="left" w:pos="510"/>
              </w:tabs>
              <w:jc w:val="both"/>
              <w:rPr>
                <w:lang w:val="lt-LT"/>
              </w:rPr>
            </w:pPr>
            <w:r>
              <w:rPr>
                <w:lang w:val="lt-LT"/>
              </w:rPr>
              <w:t>Nėra nustatyti dokumentai, kuriais įforminamas prekių grąžinimas ar atliktų paslaugų atsisakymas</w:t>
            </w:r>
          </w:p>
        </w:tc>
        <w:tc>
          <w:tcPr>
            <w:tcW w:w="567" w:type="dxa"/>
            <w:gridSpan w:val="7"/>
          </w:tcPr>
          <w:p w:rsidR="007C42AB" w:rsidRPr="004273CC"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Yra</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Pr>
        <w:tc>
          <w:tcPr>
            <w:tcW w:w="1035" w:type="dxa"/>
            <w:gridSpan w:val="6"/>
            <w:vMerge/>
            <w:textDirection w:val="btLr"/>
          </w:tcPr>
          <w:p w:rsidR="007C42AB" w:rsidRPr="00981AD4" w:rsidRDefault="007C42AB" w:rsidP="00065FB5">
            <w:pPr>
              <w:tabs>
                <w:tab w:val="left" w:pos="510"/>
              </w:tabs>
              <w:ind w:left="113" w:right="113"/>
              <w:jc w:val="center"/>
              <w:rPr>
                <w:b/>
                <w:lang w:val="lt-LT"/>
              </w:rPr>
            </w:pPr>
          </w:p>
        </w:tc>
        <w:tc>
          <w:tcPr>
            <w:tcW w:w="3298" w:type="dxa"/>
            <w:gridSpan w:val="5"/>
          </w:tcPr>
          <w:p w:rsidR="007C42AB" w:rsidRDefault="007C42AB" w:rsidP="00065FB5">
            <w:pPr>
              <w:tabs>
                <w:tab w:val="left" w:pos="510"/>
              </w:tabs>
              <w:jc w:val="both"/>
              <w:rPr>
                <w:lang w:val="lt-LT"/>
              </w:rPr>
            </w:pPr>
            <w:r>
              <w:rPr>
                <w:lang w:val="lt-LT"/>
              </w:rPr>
              <w:t>Nėra nustatyta nuolaidų suteikimo, pirkėjų premijavimo ir kita pirkėjų skatinimo tvarka, taip pat pretenzijų ir nuostolių dėl pretenzijų dokumentavimo ir registravimo apskaitoje tvarka</w:t>
            </w:r>
          </w:p>
        </w:tc>
        <w:tc>
          <w:tcPr>
            <w:tcW w:w="567" w:type="dxa"/>
            <w:gridSpan w:val="7"/>
          </w:tcPr>
          <w:p w:rsidR="007C42AB" w:rsidRPr="004273CC"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Yra</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Nėra laiku užtikrinamas pirkėjams suteiktų nuolaidų, premijų ir kitų skatinimo priemonių registravimas apskaitoje</w:t>
            </w:r>
          </w:p>
        </w:tc>
        <w:tc>
          <w:tcPr>
            <w:tcW w:w="567" w:type="dxa"/>
            <w:gridSpan w:val="7"/>
          </w:tcPr>
          <w:p w:rsidR="007C42AB" w:rsidRPr="004273CC" w:rsidRDefault="007C42AB" w:rsidP="00065FB5">
            <w:pPr>
              <w:tabs>
                <w:tab w:val="left" w:pos="510"/>
              </w:tabs>
              <w:jc w:val="both"/>
              <w:rPr>
                <w:lang w:val="lt-LT"/>
              </w:rPr>
            </w:pPr>
            <w:r>
              <w:rPr>
                <w:lang w:val="lt-LT"/>
              </w:rPr>
              <w:t>I</w:t>
            </w:r>
          </w:p>
        </w:tc>
        <w:tc>
          <w:tcPr>
            <w:tcW w:w="567" w:type="dxa"/>
            <w:gridSpan w:val="7"/>
          </w:tcPr>
          <w:p w:rsidR="007C42AB" w:rsidRPr="004273CC" w:rsidRDefault="007C42AB" w:rsidP="00065FB5">
            <w:pPr>
              <w:tabs>
                <w:tab w:val="left" w:pos="510"/>
              </w:tabs>
              <w:jc w:val="both"/>
              <w:rPr>
                <w:lang w:val="lt-LT"/>
              </w:rPr>
            </w:pP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Apskaitoje neregistruojamas atidėjimas dėl galimų pardavimo nuostolių</w:t>
            </w:r>
          </w:p>
          <w:p w:rsidR="007C42AB" w:rsidRDefault="007C42AB" w:rsidP="00065FB5">
            <w:pPr>
              <w:tabs>
                <w:tab w:val="left" w:pos="510"/>
              </w:tabs>
              <w:jc w:val="both"/>
              <w:rPr>
                <w:lang w:val="lt-LT"/>
              </w:rPr>
            </w:pPr>
          </w:p>
        </w:tc>
        <w:tc>
          <w:tcPr>
            <w:tcW w:w="567" w:type="dxa"/>
            <w:gridSpan w:val="7"/>
          </w:tcPr>
          <w:p w:rsidR="007C42AB" w:rsidRPr="004273CC" w:rsidRDefault="007C42AB" w:rsidP="00065FB5">
            <w:pPr>
              <w:tabs>
                <w:tab w:val="left" w:pos="510"/>
              </w:tabs>
              <w:jc w:val="both"/>
              <w:rPr>
                <w:lang w:val="lt-LT"/>
              </w:rPr>
            </w:pPr>
            <w:r>
              <w:rPr>
                <w:lang w:val="lt-LT"/>
              </w:rPr>
              <w:t>I</w:t>
            </w:r>
          </w:p>
        </w:tc>
        <w:tc>
          <w:tcPr>
            <w:tcW w:w="567" w:type="dxa"/>
            <w:gridSpan w:val="7"/>
          </w:tcPr>
          <w:p w:rsidR="007C42AB" w:rsidRPr="004273CC" w:rsidRDefault="007C42AB" w:rsidP="00065FB5">
            <w:pPr>
              <w:tabs>
                <w:tab w:val="left" w:pos="510"/>
              </w:tabs>
              <w:jc w:val="both"/>
              <w:rPr>
                <w:lang w:val="lt-LT"/>
              </w:rPr>
            </w:pP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Nėra tikrinama, ar visi pirkėjų patirti nuostoliai yra įregistruoti apskaitoje, ar tai atlikta teisingai</w:t>
            </w:r>
          </w:p>
          <w:p w:rsidR="007C42AB" w:rsidRDefault="007C42AB" w:rsidP="00065FB5">
            <w:pPr>
              <w:tabs>
                <w:tab w:val="left" w:pos="510"/>
              </w:tabs>
              <w:jc w:val="both"/>
              <w:rPr>
                <w:lang w:val="lt-LT"/>
              </w:rPr>
            </w:pPr>
          </w:p>
        </w:tc>
        <w:tc>
          <w:tcPr>
            <w:tcW w:w="567" w:type="dxa"/>
            <w:gridSpan w:val="7"/>
          </w:tcPr>
          <w:p w:rsidR="007C42AB" w:rsidRPr="004273CC" w:rsidRDefault="007C42AB" w:rsidP="00065FB5">
            <w:pPr>
              <w:tabs>
                <w:tab w:val="left" w:pos="510"/>
              </w:tabs>
              <w:jc w:val="both"/>
              <w:rPr>
                <w:lang w:val="lt-LT"/>
              </w:rPr>
            </w:pPr>
            <w:r>
              <w:rPr>
                <w:lang w:val="lt-LT"/>
              </w:rPr>
              <w:t>I, 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r>
              <w:rPr>
                <w:lang w:val="lt-LT"/>
              </w:rPr>
              <w:t>Yra</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r>
              <w:rPr>
                <w:lang w:val="lt-LT"/>
              </w:rPr>
              <w:t>Yra</w:t>
            </w:r>
          </w:p>
        </w:tc>
      </w:tr>
      <w:tr w:rsidR="007C42AB" w:rsidRPr="004273CC" w:rsidTr="001C0D02">
        <w:trPr>
          <w:cantSplit/>
        </w:trPr>
        <w:tc>
          <w:tcPr>
            <w:tcW w:w="1035" w:type="dxa"/>
            <w:gridSpan w:val="6"/>
            <w:vMerge/>
            <w:tcBorders>
              <w:bottom w:val="single" w:sz="4" w:space="0" w:color="auto"/>
            </w:tcBorders>
          </w:tcPr>
          <w:p w:rsidR="007C42AB" w:rsidRPr="004273CC" w:rsidRDefault="007C42AB" w:rsidP="00065FB5">
            <w:pPr>
              <w:tabs>
                <w:tab w:val="left" w:pos="510"/>
              </w:tabs>
              <w:ind w:left="113" w:right="113"/>
              <w:jc w:val="center"/>
              <w:rPr>
                <w:lang w:val="lt-LT"/>
              </w:rPr>
            </w:pPr>
          </w:p>
        </w:tc>
        <w:tc>
          <w:tcPr>
            <w:tcW w:w="3298" w:type="dxa"/>
            <w:gridSpan w:val="5"/>
            <w:tcBorders>
              <w:bottom w:val="single" w:sz="4" w:space="0" w:color="auto"/>
            </w:tcBorders>
          </w:tcPr>
          <w:p w:rsidR="007C42AB" w:rsidRDefault="007C42AB" w:rsidP="00065FB5">
            <w:pPr>
              <w:tabs>
                <w:tab w:val="left" w:pos="510"/>
              </w:tabs>
              <w:jc w:val="both"/>
              <w:rPr>
                <w:lang w:val="lt-LT"/>
              </w:rPr>
            </w:pPr>
            <w:r>
              <w:rPr>
                <w:lang w:val="lt-LT"/>
              </w:rPr>
              <w:t>Nėra užtikrinama, kad pajamos už išsiųstas prekes (suteiktas paslaugas), kurioms finansinių metų pabaigoje nėra išrašytos sąskaitos-faktūros, būtų atspindėtos teisingame laikotarpyje</w:t>
            </w:r>
          </w:p>
          <w:p w:rsidR="007C42AB" w:rsidRDefault="007C42AB" w:rsidP="00065FB5">
            <w:pPr>
              <w:tabs>
                <w:tab w:val="left" w:pos="510"/>
              </w:tabs>
              <w:jc w:val="both"/>
              <w:rPr>
                <w:lang w:val="lt-LT"/>
              </w:rPr>
            </w:pPr>
          </w:p>
        </w:tc>
        <w:tc>
          <w:tcPr>
            <w:tcW w:w="567" w:type="dxa"/>
            <w:gridSpan w:val="7"/>
          </w:tcPr>
          <w:p w:rsidR="007C42AB" w:rsidRPr="004273CC"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005" w:type="dxa"/>
            <w:gridSpan w:val="3"/>
          </w:tcPr>
          <w:p w:rsidR="007C42AB" w:rsidRPr="004273CC" w:rsidRDefault="007C42AB" w:rsidP="00065FB5">
            <w:pPr>
              <w:tabs>
                <w:tab w:val="left" w:pos="510"/>
              </w:tabs>
              <w:jc w:val="both"/>
              <w:rPr>
                <w:lang w:val="lt-LT"/>
              </w:rPr>
            </w:pPr>
          </w:p>
        </w:tc>
        <w:tc>
          <w:tcPr>
            <w:tcW w:w="1139" w:type="dxa"/>
            <w:gridSpan w:val="10"/>
          </w:tcPr>
          <w:p w:rsidR="007C42AB" w:rsidRPr="004273CC" w:rsidRDefault="007C42AB" w:rsidP="00065FB5">
            <w:pPr>
              <w:tabs>
                <w:tab w:val="left" w:pos="510"/>
              </w:tabs>
              <w:jc w:val="both"/>
              <w:rPr>
                <w:lang w:val="lt-LT"/>
              </w:rPr>
            </w:pP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Pr>
        <w:tc>
          <w:tcPr>
            <w:tcW w:w="4333" w:type="dxa"/>
            <w:gridSpan w:val="11"/>
            <w:vMerge w:val="restart"/>
          </w:tcPr>
          <w:p w:rsidR="007C42AB" w:rsidRPr="004273CC" w:rsidRDefault="007C42AB" w:rsidP="00065FB5">
            <w:pPr>
              <w:tabs>
                <w:tab w:val="left" w:pos="510"/>
              </w:tabs>
              <w:ind w:left="113" w:right="113"/>
              <w:jc w:val="center"/>
              <w:rPr>
                <w:lang w:val="lt-LT"/>
              </w:rPr>
            </w:pPr>
            <w:r>
              <w:rPr>
                <w:b/>
                <w:lang w:val="lt-LT"/>
              </w:rPr>
              <w:lastRenderedPageBreak/>
              <w:t>Finansinių ataskaitų elemento ir/ar jo tvirtinimo pobūdis ir jam taikoma vidaus kontrolės sistema</w:t>
            </w:r>
          </w:p>
        </w:tc>
        <w:tc>
          <w:tcPr>
            <w:tcW w:w="567" w:type="dxa"/>
            <w:gridSpan w:val="7"/>
            <w:vMerge w:val="restart"/>
            <w:textDirection w:val="btLr"/>
          </w:tcPr>
          <w:p w:rsidR="007C42AB" w:rsidRPr="004273CC" w:rsidRDefault="007C42AB" w:rsidP="00065FB5">
            <w:pPr>
              <w:tabs>
                <w:tab w:val="left" w:pos="510"/>
              </w:tabs>
              <w:ind w:left="113" w:right="113"/>
              <w:jc w:val="center"/>
              <w:rPr>
                <w:lang w:val="lt-LT"/>
              </w:rPr>
            </w:pPr>
            <w:r>
              <w:rPr>
                <w:b/>
                <w:lang w:val="lt-LT"/>
              </w:rPr>
              <w:t>Tvirtinimas</w:t>
            </w:r>
          </w:p>
        </w:tc>
        <w:tc>
          <w:tcPr>
            <w:tcW w:w="567" w:type="dxa"/>
            <w:gridSpan w:val="7"/>
            <w:vMerge w:val="restart"/>
            <w:textDirection w:val="btLr"/>
          </w:tcPr>
          <w:p w:rsidR="007C42AB" w:rsidRPr="004273CC" w:rsidRDefault="007C42AB" w:rsidP="00065FB5">
            <w:pPr>
              <w:tabs>
                <w:tab w:val="left" w:pos="510"/>
              </w:tabs>
              <w:ind w:left="113" w:right="113"/>
              <w:jc w:val="center"/>
              <w:rPr>
                <w:lang w:val="lt-LT"/>
              </w:rPr>
            </w:pPr>
            <w:r>
              <w:rPr>
                <w:b/>
                <w:lang w:val="lt-LT"/>
              </w:rPr>
              <w:t>IR / KR</w:t>
            </w:r>
          </w:p>
          <w:p w:rsidR="007C42AB" w:rsidRPr="004273CC" w:rsidRDefault="007C42AB" w:rsidP="00065FB5">
            <w:pPr>
              <w:tabs>
                <w:tab w:val="left" w:pos="510"/>
              </w:tabs>
              <w:ind w:left="113" w:right="113"/>
              <w:jc w:val="center"/>
              <w:rPr>
                <w:lang w:val="lt-LT"/>
              </w:rPr>
            </w:pPr>
          </w:p>
        </w:tc>
        <w:tc>
          <w:tcPr>
            <w:tcW w:w="3985" w:type="dxa"/>
            <w:gridSpan w:val="29"/>
          </w:tcPr>
          <w:p w:rsidR="007C42AB" w:rsidRPr="004273CC" w:rsidRDefault="007C42AB" w:rsidP="00065FB5">
            <w:pPr>
              <w:tabs>
                <w:tab w:val="left" w:pos="510"/>
              </w:tabs>
              <w:jc w:val="center"/>
              <w:rPr>
                <w:lang w:val="lt-LT"/>
              </w:rPr>
            </w:pPr>
            <w:r>
              <w:rPr>
                <w:b/>
                <w:lang w:val="lt-LT"/>
              </w:rPr>
              <w:t>UAB „Šiluma“</w:t>
            </w:r>
          </w:p>
        </w:tc>
        <w:tc>
          <w:tcPr>
            <w:tcW w:w="4406" w:type="dxa"/>
            <w:gridSpan w:val="21"/>
          </w:tcPr>
          <w:p w:rsidR="007C42AB" w:rsidRPr="004273CC" w:rsidRDefault="007C42AB" w:rsidP="00065FB5">
            <w:pPr>
              <w:tabs>
                <w:tab w:val="left" w:pos="510"/>
              </w:tabs>
              <w:jc w:val="center"/>
              <w:rPr>
                <w:lang w:val="lt-LT"/>
              </w:rPr>
            </w:pPr>
            <w:r>
              <w:rPr>
                <w:b/>
                <w:lang w:val="lt-LT"/>
              </w:rPr>
              <w:t>UAB „Žuvila“</w:t>
            </w:r>
          </w:p>
        </w:tc>
      </w:tr>
      <w:tr w:rsidR="001C0D02" w:rsidRPr="004273CC" w:rsidTr="001C0D02">
        <w:trPr>
          <w:cantSplit/>
        </w:trPr>
        <w:tc>
          <w:tcPr>
            <w:tcW w:w="4333" w:type="dxa"/>
            <w:gridSpan w:val="11"/>
            <w:vMerge/>
          </w:tcPr>
          <w:p w:rsidR="001C0D02" w:rsidRPr="004273CC" w:rsidRDefault="001C0D02" w:rsidP="00065FB5">
            <w:pPr>
              <w:tabs>
                <w:tab w:val="left" w:pos="510"/>
              </w:tabs>
              <w:jc w:val="center"/>
              <w:rPr>
                <w:lang w:val="lt-LT"/>
              </w:rPr>
            </w:pPr>
          </w:p>
        </w:tc>
        <w:tc>
          <w:tcPr>
            <w:tcW w:w="567" w:type="dxa"/>
            <w:gridSpan w:val="7"/>
            <w:vMerge/>
            <w:vAlign w:val="center"/>
          </w:tcPr>
          <w:p w:rsidR="001C0D02" w:rsidRPr="004273CC" w:rsidRDefault="001C0D02" w:rsidP="00065FB5">
            <w:pPr>
              <w:tabs>
                <w:tab w:val="left" w:pos="510"/>
              </w:tabs>
              <w:jc w:val="center"/>
              <w:rPr>
                <w:lang w:val="lt-LT"/>
              </w:rPr>
            </w:pPr>
          </w:p>
        </w:tc>
        <w:tc>
          <w:tcPr>
            <w:tcW w:w="567" w:type="dxa"/>
            <w:gridSpan w:val="7"/>
            <w:vMerge/>
            <w:vAlign w:val="center"/>
          </w:tcPr>
          <w:p w:rsidR="001C0D02" w:rsidRPr="004273CC" w:rsidRDefault="001C0D02" w:rsidP="00065FB5">
            <w:pPr>
              <w:tabs>
                <w:tab w:val="left" w:pos="510"/>
              </w:tabs>
              <w:jc w:val="center"/>
              <w:rPr>
                <w:lang w:val="lt-LT"/>
              </w:rPr>
            </w:pPr>
          </w:p>
        </w:tc>
        <w:tc>
          <w:tcPr>
            <w:tcW w:w="3002" w:type="dxa"/>
            <w:gridSpan w:val="23"/>
          </w:tcPr>
          <w:p w:rsidR="001C0D02" w:rsidRPr="004273CC" w:rsidRDefault="001C0D02" w:rsidP="00065FB5">
            <w:pPr>
              <w:tabs>
                <w:tab w:val="left" w:pos="510"/>
              </w:tabs>
              <w:jc w:val="center"/>
              <w:rPr>
                <w:lang w:val="lt-LT"/>
              </w:rPr>
            </w:pPr>
            <w:r w:rsidRPr="004273CC">
              <w:rPr>
                <w:b/>
                <w:lang w:val="lt-LT"/>
              </w:rPr>
              <w:t>Rizikos vertinima</w:t>
            </w:r>
            <w:r>
              <w:rPr>
                <w:b/>
                <w:lang w:val="lt-LT"/>
              </w:rPr>
              <w:t>s</w:t>
            </w:r>
          </w:p>
        </w:tc>
        <w:tc>
          <w:tcPr>
            <w:tcW w:w="983" w:type="dxa"/>
            <w:gridSpan w:val="6"/>
            <w:vMerge w:val="restart"/>
          </w:tcPr>
          <w:p w:rsidR="001C0D02" w:rsidRPr="004273CC" w:rsidRDefault="001C0D02" w:rsidP="00065FB5">
            <w:pPr>
              <w:tabs>
                <w:tab w:val="left" w:pos="510"/>
              </w:tabs>
              <w:jc w:val="center"/>
              <w:rPr>
                <w:lang w:val="lt-LT"/>
              </w:rPr>
            </w:pPr>
            <w:r w:rsidRPr="004273CC">
              <w:rPr>
                <w:b/>
                <w:lang w:val="lt-LT"/>
              </w:rPr>
              <w:t>Pastabos</w:t>
            </w:r>
          </w:p>
        </w:tc>
        <w:tc>
          <w:tcPr>
            <w:tcW w:w="2831" w:type="dxa"/>
            <w:gridSpan w:val="17"/>
          </w:tcPr>
          <w:p w:rsidR="001C0D02" w:rsidRPr="004273CC" w:rsidRDefault="001C0D02" w:rsidP="001C0D02">
            <w:pPr>
              <w:tabs>
                <w:tab w:val="left" w:pos="510"/>
              </w:tabs>
              <w:jc w:val="center"/>
              <w:rPr>
                <w:lang w:val="lt-LT"/>
              </w:rPr>
            </w:pPr>
            <w:r w:rsidRPr="004273CC">
              <w:rPr>
                <w:b/>
                <w:lang w:val="lt-LT"/>
              </w:rPr>
              <w:t>Rizikos vertinimas</w:t>
            </w:r>
          </w:p>
        </w:tc>
        <w:tc>
          <w:tcPr>
            <w:tcW w:w="1575" w:type="dxa"/>
            <w:gridSpan w:val="4"/>
            <w:vMerge w:val="restart"/>
          </w:tcPr>
          <w:p w:rsidR="001C0D02" w:rsidRPr="004273CC" w:rsidRDefault="001C0D02" w:rsidP="00065FB5">
            <w:pPr>
              <w:tabs>
                <w:tab w:val="left" w:pos="510"/>
              </w:tabs>
              <w:jc w:val="center"/>
              <w:rPr>
                <w:lang w:val="lt-LT"/>
              </w:rPr>
            </w:pPr>
            <w:r w:rsidRPr="004273CC">
              <w:rPr>
                <w:b/>
                <w:lang w:val="lt-LT"/>
              </w:rPr>
              <w:t>Pastabos</w:t>
            </w:r>
          </w:p>
        </w:tc>
      </w:tr>
      <w:tr w:rsidR="007C42AB" w:rsidRPr="004273CC" w:rsidTr="001C0D02">
        <w:trPr>
          <w:cantSplit/>
          <w:trHeight w:val="177"/>
        </w:trPr>
        <w:tc>
          <w:tcPr>
            <w:tcW w:w="1035" w:type="dxa"/>
            <w:gridSpan w:val="6"/>
          </w:tcPr>
          <w:p w:rsidR="007C42AB" w:rsidRPr="005618BC" w:rsidRDefault="007C42AB" w:rsidP="00065FB5">
            <w:pPr>
              <w:tabs>
                <w:tab w:val="left" w:pos="510"/>
              </w:tabs>
              <w:jc w:val="center"/>
              <w:rPr>
                <w:b/>
                <w:lang w:val="lt-LT"/>
              </w:rPr>
            </w:pPr>
            <w:r>
              <w:rPr>
                <w:b/>
                <w:lang w:val="lt-LT"/>
              </w:rPr>
              <w:t>Tipas</w:t>
            </w:r>
          </w:p>
        </w:tc>
        <w:tc>
          <w:tcPr>
            <w:tcW w:w="3298" w:type="dxa"/>
            <w:gridSpan w:val="5"/>
          </w:tcPr>
          <w:p w:rsidR="007C42AB" w:rsidRPr="004273CC" w:rsidRDefault="007C42AB" w:rsidP="00065FB5">
            <w:pPr>
              <w:tabs>
                <w:tab w:val="left" w:pos="510"/>
              </w:tabs>
              <w:jc w:val="center"/>
              <w:rPr>
                <w:lang w:val="lt-LT"/>
              </w:rPr>
            </w:pPr>
            <w:r w:rsidRPr="005618BC">
              <w:rPr>
                <w:b/>
                <w:lang w:val="lt-LT"/>
              </w:rPr>
              <w:t>Veiksniai</w:t>
            </w:r>
          </w:p>
        </w:tc>
        <w:tc>
          <w:tcPr>
            <w:tcW w:w="567" w:type="dxa"/>
            <w:gridSpan w:val="7"/>
            <w:vMerge/>
          </w:tcPr>
          <w:p w:rsidR="007C42AB" w:rsidRPr="004273CC" w:rsidRDefault="007C42AB" w:rsidP="00065FB5">
            <w:pPr>
              <w:tabs>
                <w:tab w:val="left" w:pos="510"/>
              </w:tabs>
              <w:jc w:val="center"/>
              <w:rPr>
                <w:lang w:val="lt-LT"/>
              </w:rPr>
            </w:pPr>
          </w:p>
        </w:tc>
        <w:tc>
          <w:tcPr>
            <w:tcW w:w="567" w:type="dxa"/>
            <w:gridSpan w:val="7"/>
            <w:vMerge/>
            <w:textDirection w:val="btLr"/>
          </w:tcPr>
          <w:p w:rsidR="007C42AB" w:rsidRPr="004273CC" w:rsidRDefault="007C42AB" w:rsidP="00065FB5">
            <w:pPr>
              <w:tabs>
                <w:tab w:val="left" w:pos="510"/>
              </w:tabs>
              <w:ind w:left="113" w:right="113"/>
              <w:jc w:val="center"/>
              <w:rPr>
                <w:lang w:val="lt-LT"/>
              </w:rPr>
            </w:pPr>
          </w:p>
        </w:tc>
        <w:tc>
          <w:tcPr>
            <w:tcW w:w="1132" w:type="dxa"/>
            <w:gridSpan w:val="8"/>
          </w:tcPr>
          <w:p w:rsidR="007C42AB" w:rsidRPr="004273CC" w:rsidRDefault="007C42AB" w:rsidP="00065FB5">
            <w:pPr>
              <w:tabs>
                <w:tab w:val="left" w:pos="510"/>
              </w:tabs>
              <w:jc w:val="center"/>
              <w:rPr>
                <w:lang w:val="lt-LT"/>
              </w:rPr>
            </w:pPr>
            <w:r w:rsidRPr="004273CC">
              <w:rPr>
                <w:lang w:val="lt-LT"/>
              </w:rPr>
              <w:t>Tikimybė (1-5)</w:t>
            </w:r>
          </w:p>
        </w:tc>
        <w:tc>
          <w:tcPr>
            <w:tcW w:w="709" w:type="dxa"/>
            <w:gridSpan w:val="8"/>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161" w:type="dxa"/>
            <w:gridSpan w:val="7"/>
          </w:tcPr>
          <w:p w:rsidR="007C42AB" w:rsidRPr="004273CC" w:rsidRDefault="007C42AB" w:rsidP="00065FB5">
            <w:pPr>
              <w:tabs>
                <w:tab w:val="left" w:pos="510"/>
              </w:tabs>
              <w:jc w:val="center"/>
              <w:rPr>
                <w:lang w:val="lt-LT"/>
              </w:rPr>
            </w:pPr>
            <w:r w:rsidRPr="004273CC">
              <w:rPr>
                <w:lang w:val="lt-LT"/>
              </w:rPr>
              <w:t>Tikimybė * Įtaka</w:t>
            </w:r>
          </w:p>
        </w:tc>
        <w:tc>
          <w:tcPr>
            <w:tcW w:w="983" w:type="dxa"/>
            <w:gridSpan w:val="6"/>
            <w:vMerge/>
            <w:vAlign w:val="center"/>
          </w:tcPr>
          <w:p w:rsidR="007C42AB" w:rsidRPr="004273CC" w:rsidRDefault="007C42AB" w:rsidP="00065FB5">
            <w:pPr>
              <w:tabs>
                <w:tab w:val="left" w:pos="510"/>
              </w:tabs>
              <w:jc w:val="center"/>
              <w:rPr>
                <w:lang w:val="lt-LT"/>
              </w:rPr>
            </w:pPr>
          </w:p>
        </w:tc>
        <w:tc>
          <w:tcPr>
            <w:tcW w:w="990" w:type="dxa"/>
            <w:gridSpan w:val="4"/>
          </w:tcPr>
          <w:p w:rsidR="007C42AB" w:rsidRPr="004273CC" w:rsidRDefault="007C42AB" w:rsidP="00065FB5">
            <w:pPr>
              <w:tabs>
                <w:tab w:val="left" w:pos="510"/>
              </w:tabs>
              <w:jc w:val="center"/>
              <w:rPr>
                <w:lang w:val="lt-LT"/>
              </w:rPr>
            </w:pPr>
            <w:r w:rsidRPr="004273CC">
              <w:rPr>
                <w:lang w:val="lt-LT"/>
              </w:rPr>
              <w:t>Tikimybė (1-5)</w:t>
            </w:r>
          </w:p>
        </w:tc>
        <w:tc>
          <w:tcPr>
            <w:tcW w:w="708" w:type="dxa"/>
            <w:gridSpan w:val="7"/>
          </w:tcPr>
          <w:p w:rsidR="007C42AB" w:rsidRPr="004273CC" w:rsidRDefault="007C42AB" w:rsidP="00065FB5">
            <w:pPr>
              <w:tabs>
                <w:tab w:val="left" w:pos="510"/>
              </w:tabs>
              <w:jc w:val="center"/>
              <w:rPr>
                <w:lang w:val="lt-LT"/>
              </w:rPr>
            </w:pPr>
            <w:r w:rsidRPr="004273CC">
              <w:rPr>
                <w:lang w:val="lt-LT"/>
              </w:rPr>
              <w:t>Įtaka</w:t>
            </w:r>
          </w:p>
          <w:p w:rsidR="007C42AB" w:rsidRPr="004273CC" w:rsidRDefault="007C42AB" w:rsidP="00065FB5">
            <w:pPr>
              <w:tabs>
                <w:tab w:val="left" w:pos="510"/>
              </w:tabs>
              <w:jc w:val="center"/>
              <w:rPr>
                <w:lang w:val="lt-LT"/>
              </w:rPr>
            </w:pPr>
            <w:r w:rsidRPr="004273CC">
              <w:rPr>
                <w:lang w:val="lt-LT"/>
              </w:rPr>
              <w:t>(1-5)</w:t>
            </w:r>
          </w:p>
        </w:tc>
        <w:tc>
          <w:tcPr>
            <w:tcW w:w="1133" w:type="dxa"/>
            <w:gridSpan w:val="6"/>
          </w:tcPr>
          <w:p w:rsidR="007C42AB" w:rsidRPr="004273CC" w:rsidRDefault="007C42AB" w:rsidP="00065FB5">
            <w:pPr>
              <w:tabs>
                <w:tab w:val="left" w:pos="510"/>
              </w:tabs>
              <w:jc w:val="center"/>
              <w:rPr>
                <w:lang w:val="lt-LT"/>
              </w:rPr>
            </w:pPr>
            <w:r w:rsidRPr="004273CC">
              <w:rPr>
                <w:lang w:val="lt-LT"/>
              </w:rPr>
              <w:t>Tikimybė * Įtaka</w:t>
            </w:r>
          </w:p>
        </w:tc>
        <w:tc>
          <w:tcPr>
            <w:tcW w:w="1575" w:type="dxa"/>
            <w:gridSpan w:val="4"/>
            <w:vMerge/>
            <w:vAlign w:val="center"/>
          </w:tcPr>
          <w:p w:rsidR="007C42AB" w:rsidRPr="004273CC" w:rsidRDefault="007C42AB" w:rsidP="00065FB5">
            <w:pPr>
              <w:tabs>
                <w:tab w:val="left" w:pos="510"/>
              </w:tabs>
              <w:jc w:val="center"/>
              <w:rPr>
                <w:lang w:val="lt-LT"/>
              </w:rPr>
            </w:pPr>
          </w:p>
        </w:tc>
      </w:tr>
      <w:tr w:rsidR="007C42AB" w:rsidRPr="004273CC" w:rsidTr="001C0D02">
        <w:trPr>
          <w:cantSplit/>
        </w:trPr>
        <w:tc>
          <w:tcPr>
            <w:tcW w:w="1035" w:type="dxa"/>
            <w:gridSpan w:val="6"/>
            <w:vMerge w:val="restart"/>
            <w:textDirection w:val="btLr"/>
          </w:tcPr>
          <w:p w:rsidR="007C42AB" w:rsidRPr="004273CC" w:rsidRDefault="007C42AB" w:rsidP="00065FB5">
            <w:pPr>
              <w:tabs>
                <w:tab w:val="left" w:pos="510"/>
              </w:tabs>
              <w:ind w:left="113" w:right="113"/>
              <w:jc w:val="center"/>
              <w:rPr>
                <w:lang w:val="lt-LT"/>
              </w:rPr>
            </w:pPr>
            <w:r w:rsidRPr="00981AD4">
              <w:rPr>
                <w:b/>
                <w:lang w:val="lt-LT"/>
              </w:rPr>
              <w:t>Pajamos ir sąnaudos</w:t>
            </w:r>
          </w:p>
        </w:tc>
        <w:tc>
          <w:tcPr>
            <w:tcW w:w="3298" w:type="dxa"/>
            <w:gridSpan w:val="5"/>
          </w:tcPr>
          <w:p w:rsidR="007C42AB" w:rsidRDefault="007C42AB" w:rsidP="00065FB5">
            <w:pPr>
              <w:tabs>
                <w:tab w:val="left" w:pos="510"/>
              </w:tabs>
              <w:jc w:val="both"/>
              <w:rPr>
                <w:lang w:val="lt-LT"/>
              </w:rPr>
            </w:pPr>
            <w:r>
              <w:rPr>
                <w:lang w:val="lt-LT"/>
              </w:rPr>
              <w:t xml:space="preserve">Sąnaudų pripažinimą lemia sudėtinga atsargų apskaita, teisingas Incoterms sąlygų interpretavimas </w:t>
            </w:r>
          </w:p>
        </w:tc>
        <w:tc>
          <w:tcPr>
            <w:tcW w:w="567" w:type="dxa"/>
            <w:gridSpan w:val="7"/>
          </w:tcPr>
          <w:p w:rsidR="007C42AB" w:rsidRDefault="007C42AB" w:rsidP="00065FB5">
            <w:pPr>
              <w:tabs>
                <w:tab w:val="left" w:pos="510"/>
              </w:tabs>
              <w:jc w:val="both"/>
              <w:rPr>
                <w:lang w:val="lt-LT"/>
              </w:rPr>
            </w:pPr>
            <w:r>
              <w:rPr>
                <w:lang w:val="lt-LT"/>
              </w:rPr>
              <w:t>T</w:t>
            </w:r>
          </w:p>
        </w:tc>
        <w:tc>
          <w:tcPr>
            <w:tcW w:w="567" w:type="dxa"/>
            <w:gridSpan w:val="7"/>
          </w:tcPr>
          <w:p w:rsidR="007C42AB" w:rsidRDefault="007C42AB" w:rsidP="00065FB5">
            <w:pPr>
              <w:tabs>
                <w:tab w:val="left" w:pos="510"/>
              </w:tabs>
              <w:jc w:val="both"/>
              <w:rPr>
                <w:lang w:val="lt-LT"/>
              </w:rPr>
            </w:pPr>
            <w:r>
              <w:rPr>
                <w:lang w:val="lt-LT"/>
              </w:rPr>
              <w:t>IR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161" w:type="dxa"/>
            <w:gridSpan w:val="7"/>
          </w:tcPr>
          <w:p w:rsidR="007C42AB" w:rsidRPr="004273CC" w:rsidRDefault="007C42AB" w:rsidP="00065FB5">
            <w:pPr>
              <w:tabs>
                <w:tab w:val="left" w:pos="510"/>
              </w:tabs>
              <w:jc w:val="both"/>
              <w:rPr>
                <w:lang w:val="lt-LT"/>
              </w:rPr>
            </w:pPr>
          </w:p>
        </w:tc>
        <w:tc>
          <w:tcPr>
            <w:tcW w:w="983" w:type="dxa"/>
            <w:gridSpan w:val="6"/>
          </w:tcPr>
          <w:p w:rsidR="007C42AB" w:rsidRPr="004273CC" w:rsidRDefault="007C42AB" w:rsidP="00065FB5">
            <w:pPr>
              <w:tabs>
                <w:tab w:val="left" w:pos="510"/>
              </w:tabs>
              <w:jc w:val="both"/>
              <w:rPr>
                <w:lang w:val="lt-LT"/>
              </w:rPr>
            </w:pPr>
          </w:p>
        </w:tc>
        <w:tc>
          <w:tcPr>
            <w:tcW w:w="990" w:type="dxa"/>
            <w:gridSpan w:val="4"/>
          </w:tcPr>
          <w:p w:rsidR="007C42AB" w:rsidRPr="000422C4" w:rsidRDefault="007C42AB" w:rsidP="00065FB5">
            <w:pPr>
              <w:tabs>
                <w:tab w:val="left" w:pos="510"/>
              </w:tabs>
              <w:jc w:val="center"/>
              <w:rPr>
                <w:b/>
                <w:lang w:val="lt-LT"/>
              </w:rPr>
            </w:pPr>
            <w:r w:rsidRPr="000422C4">
              <w:rPr>
                <w:b/>
                <w:lang w:val="lt-LT"/>
              </w:rPr>
              <w:t>3</w:t>
            </w:r>
          </w:p>
        </w:tc>
        <w:tc>
          <w:tcPr>
            <w:tcW w:w="708" w:type="dxa"/>
            <w:gridSpan w:val="7"/>
          </w:tcPr>
          <w:p w:rsidR="007C42AB" w:rsidRPr="000422C4" w:rsidRDefault="007C42AB" w:rsidP="00065FB5">
            <w:pPr>
              <w:tabs>
                <w:tab w:val="left" w:pos="510"/>
              </w:tabs>
              <w:jc w:val="center"/>
              <w:rPr>
                <w:b/>
                <w:lang w:val="lt-LT"/>
              </w:rPr>
            </w:pPr>
            <w:r w:rsidRPr="000422C4">
              <w:rPr>
                <w:b/>
                <w:lang w:val="lt-LT"/>
              </w:rPr>
              <w:t>3</w:t>
            </w:r>
          </w:p>
        </w:tc>
        <w:tc>
          <w:tcPr>
            <w:tcW w:w="1133" w:type="dxa"/>
            <w:gridSpan w:val="6"/>
          </w:tcPr>
          <w:p w:rsidR="007C42AB" w:rsidRPr="000422C4" w:rsidRDefault="007C42AB" w:rsidP="00065FB5">
            <w:pPr>
              <w:tabs>
                <w:tab w:val="left" w:pos="510"/>
              </w:tabs>
              <w:jc w:val="center"/>
              <w:rPr>
                <w:b/>
                <w:lang w:val="lt-LT"/>
              </w:rPr>
            </w:pPr>
            <w:r w:rsidRPr="000422C4">
              <w:rPr>
                <w:b/>
                <w:lang w:val="lt-LT"/>
              </w:rPr>
              <w:t>9</w:t>
            </w:r>
          </w:p>
        </w:tc>
        <w:tc>
          <w:tcPr>
            <w:tcW w:w="1575" w:type="dxa"/>
            <w:gridSpan w:val="4"/>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Įmonė patiria daug ir įvairių, neįprastų sąnaudų</w:t>
            </w:r>
          </w:p>
        </w:tc>
        <w:tc>
          <w:tcPr>
            <w:tcW w:w="567" w:type="dxa"/>
            <w:gridSpan w:val="7"/>
          </w:tcPr>
          <w:p w:rsidR="007C42AB" w:rsidRDefault="007C42AB" w:rsidP="00065FB5">
            <w:pPr>
              <w:tabs>
                <w:tab w:val="left" w:pos="510"/>
              </w:tabs>
              <w:jc w:val="both"/>
              <w:rPr>
                <w:lang w:val="lt-LT"/>
              </w:rPr>
            </w:pPr>
            <w:r>
              <w:rPr>
                <w:lang w:val="lt-LT"/>
              </w:rPr>
              <w:t>T</w:t>
            </w:r>
          </w:p>
        </w:tc>
        <w:tc>
          <w:tcPr>
            <w:tcW w:w="567" w:type="dxa"/>
            <w:gridSpan w:val="7"/>
          </w:tcPr>
          <w:p w:rsidR="007C42AB" w:rsidRDefault="007C42AB" w:rsidP="00065FB5">
            <w:pPr>
              <w:tabs>
                <w:tab w:val="left" w:pos="510"/>
              </w:tabs>
              <w:jc w:val="both"/>
              <w:rPr>
                <w:lang w:val="lt-LT"/>
              </w:rPr>
            </w:pPr>
            <w:r>
              <w:rPr>
                <w:lang w:val="lt-LT"/>
              </w:rPr>
              <w:t>IR</w:t>
            </w:r>
          </w:p>
        </w:tc>
        <w:tc>
          <w:tcPr>
            <w:tcW w:w="1132" w:type="dxa"/>
            <w:gridSpan w:val="8"/>
          </w:tcPr>
          <w:p w:rsidR="007C42AB" w:rsidRPr="004273CC" w:rsidRDefault="007C42AB" w:rsidP="00065FB5">
            <w:pPr>
              <w:tabs>
                <w:tab w:val="left" w:pos="510"/>
              </w:tabs>
              <w:jc w:val="both"/>
              <w:rPr>
                <w:lang w:val="lt-LT"/>
              </w:rPr>
            </w:pPr>
          </w:p>
        </w:tc>
        <w:tc>
          <w:tcPr>
            <w:tcW w:w="709" w:type="dxa"/>
            <w:gridSpan w:val="8"/>
          </w:tcPr>
          <w:p w:rsidR="007C42AB" w:rsidRPr="004273CC" w:rsidRDefault="007C42AB" w:rsidP="00065FB5">
            <w:pPr>
              <w:tabs>
                <w:tab w:val="left" w:pos="510"/>
              </w:tabs>
              <w:jc w:val="both"/>
              <w:rPr>
                <w:lang w:val="lt-LT"/>
              </w:rPr>
            </w:pPr>
          </w:p>
        </w:tc>
        <w:tc>
          <w:tcPr>
            <w:tcW w:w="1161" w:type="dxa"/>
            <w:gridSpan w:val="7"/>
          </w:tcPr>
          <w:p w:rsidR="007C42AB" w:rsidRPr="004273CC" w:rsidRDefault="007C42AB" w:rsidP="00065FB5">
            <w:pPr>
              <w:tabs>
                <w:tab w:val="left" w:pos="510"/>
              </w:tabs>
              <w:jc w:val="both"/>
              <w:rPr>
                <w:lang w:val="lt-LT"/>
              </w:rPr>
            </w:pPr>
          </w:p>
        </w:tc>
        <w:tc>
          <w:tcPr>
            <w:tcW w:w="983" w:type="dxa"/>
            <w:gridSpan w:val="6"/>
          </w:tcPr>
          <w:p w:rsidR="007C42AB" w:rsidRDefault="007C42AB" w:rsidP="00065FB5">
            <w:pPr>
              <w:tabs>
                <w:tab w:val="left" w:pos="510"/>
              </w:tabs>
              <w:jc w:val="both"/>
              <w:rPr>
                <w:lang w:val="lt-LT"/>
              </w:rPr>
            </w:pPr>
            <w:r>
              <w:rPr>
                <w:lang w:val="lt-LT"/>
              </w:rPr>
              <w:t>Ne</w:t>
            </w:r>
          </w:p>
        </w:tc>
        <w:tc>
          <w:tcPr>
            <w:tcW w:w="990" w:type="dxa"/>
            <w:gridSpan w:val="4"/>
          </w:tcPr>
          <w:p w:rsidR="007C42AB" w:rsidRPr="004273CC" w:rsidRDefault="007C42AB" w:rsidP="00065FB5">
            <w:pPr>
              <w:tabs>
                <w:tab w:val="left" w:pos="510"/>
              </w:tabs>
              <w:jc w:val="both"/>
              <w:rPr>
                <w:lang w:val="lt-LT"/>
              </w:rPr>
            </w:pPr>
          </w:p>
        </w:tc>
        <w:tc>
          <w:tcPr>
            <w:tcW w:w="708" w:type="dxa"/>
            <w:gridSpan w:val="7"/>
          </w:tcPr>
          <w:p w:rsidR="007C42AB" w:rsidRPr="004273CC" w:rsidRDefault="007C42AB" w:rsidP="00065FB5">
            <w:pPr>
              <w:tabs>
                <w:tab w:val="left" w:pos="510"/>
              </w:tabs>
              <w:jc w:val="both"/>
              <w:rPr>
                <w:lang w:val="lt-LT"/>
              </w:rPr>
            </w:pPr>
          </w:p>
        </w:tc>
        <w:tc>
          <w:tcPr>
            <w:tcW w:w="1133" w:type="dxa"/>
            <w:gridSpan w:val="6"/>
          </w:tcPr>
          <w:p w:rsidR="007C42AB" w:rsidRPr="004273CC" w:rsidRDefault="007C42AB" w:rsidP="00065FB5">
            <w:pPr>
              <w:tabs>
                <w:tab w:val="left" w:pos="510"/>
              </w:tabs>
              <w:jc w:val="both"/>
              <w:rPr>
                <w:lang w:val="lt-LT"/>
              </w:rPr>
            </w:pPr>
          </w:p>
        </w:tc>
        <w:tc>
          <w:tcPr>
            <w:tcW w:w="1575" w:type="dxa"/>
            <w:gridSpan w:val="4"/>
          </w:tcPr>
          <w:p w:rsidR="007C42AB" w:rsidRPr="004273CC" w:rsidRDefault="007C42AB" w:rsidP="00065FB5">
            <w:pPr>
              <w:tabs>
                <w:tab w:val="left" w:pos="510"/>
              </w:tabs>
              <w:jc w:val="both"/>
              <w:rPr>
                <w:lang w:val="lt-LT"/>
              </w:rPr>
            </w:pPr>
            <w:r>
              <w:rPr>
                <w:lang w:val="lt-LT"/>
              </w:rPr>
              <w:t>Ne</w:t>
            </w: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3298" w:type="dxa"/>
            <w:gridSpan w:val="5"/>
          </w:tcPr>
          <w:p w:rsidR="007C42AB" w:rsidRDefault="007C42AB" w:rsidP="00065FB5">
            <w:pPr>
              <w:tabs>
                <w:tab w:val="left" w:pos="510"/>
              </w:tabs>
              <w:jc w:val="both"/>
              <w:rPr>
                <w:lang w:val="lt-LT"/>
              </w:rPr>
            </w:pPr>
            <w:r>
              <w:rPr>
                <w:lang w:val="lt-LT"/>
              </w:rPr>
              <w:t>Nėra kontroliuojamos įmonės patiriamos sąnaudos</w:t>
            </w:r>
          </w:p>
        </w:tc>
        <w:tc>
          <w:tcPr>
            <w:tcW w:w="567" w:type="dxa"/>
            <w:gridSpan w:val="7"/>
          </w:tcPr>
          <w:p w:rsidR="007C42AB" w:rsidRPr="004273CC" w:rsidRDefault="007C42AB" w:rsidP="00065FB5">
            <w:pPr>
              <w:tabs>
                <w:tab w:val="left" w:pos="510"/>
              </w:tabs>
              <w:jc w:val="both"/>
              <w:rPr>
                <w:lang w:val="lt-LT"/>
              </w:rPr>
            </w:pPr>
            <w:r>
              <w:rPr>
                <w:lang w:val="lt-LT"/>
              </w:rPr>
              <w:t>T</w:t>
            </w:r>
          </w:p>
        </w:tc>
        <w:tc>
          <w:tcPr>
            <w:tcW w:w="567" w:type="dxa"/>
            <w:gridSpan w:val="7"/>
          </w:tcPr>
          <w:p w:rsidR="007C42AB" w:rsidRPr="004273CC" w:rsidRDefault="007C42AB" w:rsidP="00065FB5">
            <w:pPr>
              <w:tabs>
                <w:tab w:val="left" w:pos="510"/>
              </w:tabs>
              <w:jc w:val="both"/>
              <w:rPr>
                <w:lang w:val="lt-LT"/>
              </w:rPr>
            </w:pPr>
            <w:r>
              <w:rPr>
                <w:lang w:val="lt-LT"/>
              </w:rPr>
              <w:t>KR</w:t>
            </w:r>
          </w:p>
        </w:tc>
        <w:tc>
          <w:tcPr>
            <w:tcW w:w="1132" w:type="dxa"/>
            <w:gridSpan w:val="8"/>
          </w:tcPr>
          <w:p w:rsidR="007C42AB" w:rsidRPr="004273CC" w:rsidRDefault="007C42AB" w:rsidP="00065FB5">
            <w:pPr>
              <w:tabs>
                <w:tab w:val="left" w:pos="510"/>
              </w:tabs>
              <w:jc w:val="both"/>
              <w:rPr>
                <w:lang w:val="lt-LT"/>
              </w:rPr>
            </w:pPr>
          </w:p>
        </w:tc>
        <w:tc>
          <w:tcPr>
            <w:tcW w:w="709" w:type="dxa"/>
            <w:gridSpan w:val="8"/>
            <w:tcBorders>
              <w:bottom w:val="single" w:sz="4" w:space="0" w:color="auto"/>
            </w:tcBorders>
          </w:tcPr>
          <w:p w:rsidR="007C42AB" w:rsidRPr="004273CC" w:rsidRDefault="007C42AB" w:rsidP="00065FB5">
            <w:pPr>
              <w:tabs>
                <w:tab w:val="left" w:pos="510"/>
              </w:tabs>
              <w:jc w:val="both"/>
              <w:rPr>
                <w:lang w:val="lt-LT"/>
              </w:rPr>
            </w:pPr>
          </w:p>
        </w:tc>
        <w:tc>
          <w:tcPr>
            <w:tcW w:w="1161" w:type="dxa"/>
            <w:gridSpan w:val="7"/>
            <w:tcBorders>
              <w:bottom w:val="single" w:sz="4" w:space="0" w:color="auto"/>
            </w:tcBorders>
          </w:tcPr>
          <w:p w:rsidR="007C42AB" w:rsidRPr="004273CC" w:rsidRDefault="007C42AB" w:rsidP="00065FB5">
            <w:pPr>
              <w:tabs>
                <w:tab w:val="left" w:pos="510"/>
              </w:tabs>
              <w:jc w:val="both"/>
              <w:rPr>
                <w:lang w:val="lt-LT"/>
              </w:rPr>
            </w:pPr>
          </w:p>
        </w:tc>
        <w:tc>
          <w:tcPr>
            <w:tcW w:w="983" w:type="dxa"/>
            <w:gridSpan w:val="6"/>
          </w:tcPr>
          <w:p w:rsidR="007C42AB" w:rsidRPr="004273CC" w:rsidRDefault="007C42AB" w:rsidP="00065FB5">
            <w:pPr>
              <w:tabs>
                <w:tab w:val="left" w:pos="510"/>
              </w:tabs>
              <w:jc w:val="both"/>
              <w:rPr>
                <w:lang w:val="lt-LT"/>
              </w:rPr>
            </w:pPr>
            <w:r>
              <w:rPr>
                <w:lang w:val="lt-LT"/>
              </w:rPr>
              <w:t>Ne</w:t>
            </w:r>
          </w:p>
        </w:tc>
        <w:tc>
          <w:tcPr>
            <w:tcW w:w="990" w:type="dxa"/>
            <w:gridSpan w:val="4"/>
          </w:tcPr>
          <w:p w:rsidR="007C42AB" w:rsidRPr="004273CC" w:rsidRDefault="007C42AB" w:rsidP="00065FB5">
            <w:pPr>
              <w:tabs>
                <w:tab w:val="left" w:pos="510"/>
              </w:tabs>
              <w:jc w:val="both"/>
              <w:rPr>
                <w:lang w:val="lt-LT"/>
              </w:rPr>
            </w:pPr>
          </w:p>
        </w:tc>
        <w:tc>
          <w:tcPr>
            <w:tcW w:w="708" w:type="dxa"/>
            <w:gridSpan w:val="7"/>
            <w:tcBorders>
              <w:bottom w:val="single" w:sz="4" w:space="0" w:color="auto"/>
            </w:tcBorders>
          </w:tcPr>
          <w:p w:rsidR="007C42AB" w:rsidRPr="004273CC" w:rsidRDefault="007C42AB" w:rsidP="00065FB5">
            <w:pPr>
              <w:tabs>
                <w:tab w:val="left" w:pos="510"/>
              </w:tabs>
              <w:jc w:val="both"/>
              <w:rPr>
                <w:lang w:val="lt-LT"/>
              </w:rPr>
            </w:pPr>
          </w:p>
        </w:tc>
        <w:tc>
          <w:tcPr>
            <w:tcW w:w="1133" w:type="dxa"/>
            <w:gridSpan w:val="6"/>
            <w:tcBorders>
              <w:bottom w:val="single" w:sz="4" w:space="0" w:color="auto"/>
            </w:tcBorders>
          </w:tcPr>
          <w:p w:rsidR="007C42AB" w:rsidRPr="004273CC" w:rsidRDefault="007C42AB" w:rsidP="00065FB5">
            <w:pPr>
              <w:tabs>
                <w:tab w:val="left" w:pos="510"/>
              </w:tabs>
              <w:jc w:val="both"/>
              <w:rPr>
                <w:lang w:val="lt-LT"/>
              </w:rPr>
            </w:pPr>
          </w:p>
        </w:tc>
        <w:tc>
          <w:tcPr>
            <w:tcW w:w="1575" w:type="dxa"/>
            <w:gridSpan w:val="4"/>
            <w:tcBorders>
              <w:bottom w:val="single" w:sz="4" w:space="0" w:color="auto"/>
            </w:tcBorders>
          </w:tcPr>
          <w:p w:rsidR="007C42AB" w:rsidRPr="004273CC" w:rsidRDefault="007C42AB" w:rsidP="00065FB5">
            <w:pPr>
              <w:tabs>
                <w:tab w:val="left" w:pos="510"/>
              </w:tabs>
              <w:jc w:val="both"/>
              <w:rPr>
                <w:lang w:val="lt-LT"/>
              </w:rPr>
            </w:pPr>
            <w:r>
              <w:rPr>
                <w:lang w:val="lt-LT"/>
              </w:rPr>
              <w:t>Ne</w:t>
            </w:r>
          </w:p>
        </w:tc>
      </w:tr>
      <w:tr w:rsidR="007C42AB" w:rsidRPr="004273CC" w:rsidTr="001C0D02">
        <w:trPr>
          <w:cantSplit/>
        </w:trPr>
        <w:tc>
          <w:tcPr>
            <w:tcW w:w="1035" w:type="dxa"/>
            <w:gridSpan w:val="6"/>
            <w:vMerge/>
            <w:textDirection w:val="btLr"/>
          </w:tcPr>
          <w:p w:rsidR="007C42AB" w:rsidRPr="004273CC" w:rsidRDefault="007C42AB" w:rsidP="00065FB5">
            <w:pPr>
              <w:tabs>
                <w:tab w:val="left" w:pos="510"/>
              </w:tabs>
              <w:ind w:left="113" w:right="113"/>
              <w:jc w:val="center"/>
              <w:rPr>
                <w:lang w:val="lt-LT"/>
              </w:rPr>
            </w:pPr>
          </w:p>
        </w:tc>
        <w:tc>
          <w:tcPr>
            <w:tcW w:w="4432" w:type="dxa"/>
            <w:gridSpan w:val="19"/>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8"/>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9" w:type="dxa"/>
            <w:gridSpan w:val="8"/>
            <w:tcBorders>
              <w:bottom w:val="single" w:sz="4" w:space="0" w:color="auto"/>
            </w:tcBorders>
          </w:tcPr>
          <w:p w:rsidR="007C42AB" w:rsidRPr="004E6F01" w:rsidRDefault="007C42AB" w:rsidP="00065FB5">
            <w:pPr>
              <w:tabs>
                <w:tab w:val="left" w:pos="510"/>
              </w:tabs>
              <w:jc w:val="center"/>
              <w:rPr>
                <w:b/>
                <w:lang w:val="lt-LT"/>
              </w:rPr>
            </w:pPr>
            <w:r w:rsidRPr="004E6F01">
              <w:rPr>
                <w:b/>
                <w:lang w:val="lt-LT"/>
              </w:rPr>
              <w:t>X</w:t>
            </w:r>
          </w:p>
        </w:tc>
        <w:tc>
          <w:tcPr>
            <w:tcW w:w="1161" w:type="dxa"/>
            <w:gridSpan w:val="7"/>
            <w:tcBorders>
              <w:bottom w:val="single" w:sz="4" w:space="0" w:color="auto"/>
              <w:right w:val="single" w:sz="4" w:space="0" w:color="auto"/>
            </w:tcBorders>
          </w:tcPr>
          <w:p w:rsidR="007C42AB" w:rsidRPr="004E6F01" w:rsidRDefault="007C42AB" w:rsidP="00065FB5">
            <w:pPr>
              <w:tabs>
                <w:tab w:val="left" w:pos="510"/>
              </w:tabs>
              <w:jc w:val="center"/>
              <w:rPr>
                <w:b/>
                <w:lang w:val="lt-LT"/>
              </w:rPr>
            </w:pPr>
            <w:r>
              <w:rPr>
                <w:b/>
                <w:lang w:val="lt-LT"/>
              </w:rPr>
              <w:t>12</w:t>
            </w:r>
          </w:p>
        </w:tc>
        <w:tc>
          <w:tcPr>
            <w:tcW w:w="983" w:type="dxa"/>
            <w:gridSpan w:val="6"/>
            <w:vMerge w:val="restart"/>
            <w:tcBorders>
              <w:top w:val="single" w:sz="4" w:space="0" w:color="auto"/>
              <w:left w:val="single" w:sz="4" w:space="0" w:color="auto"/>
              <w:right w:val="single" w:sz="4" w:space="0" w:color="auto"/>
            </w:tcBorders>
            <w:shd w:val="clear" w:color="auto" w:fill="FFFFFF"/>
            <w:textDirection w:val="btLr"/>
          </w:tcPr>
          <w:p w:rsidR="007C42AB" w:rsidRPr="00B37E60" w:rsidRDefault="007C42AB" w:rsidP="00065FB5">
            <w:pPr>
              <w:tabs>
                <w:tab w:val="left" w:pos="510"/>
              </w:tabs>
              <w:ind w:left="113" w:right="113"/>
              <w:jc w:val="center"/>
              <w:rPr>
                <w:b/>
                <w:lang w:val="lt-LT"/>
              </w:rPr>
            </w:pPr>
            <w:r w:rsidRPr="00B37E60">
              <w:rPr>
                <w:b/>
                <w:lang w:val="lt-LT"/>
              </w:rPr>
              <w:t>Pajamos – Tikslumas</w:t>
            </w:r>
          </w:p>
        </w:tc>
        <w:tc>
          <w:tcPr>
            <w:tcW w:w="990" w:type="dxa"/>
            <w:gridSpan w:val="4"/>
            <w:tcBorders>
              <w:top w:val="single" w:sz="4" w:space="0" w:color="auto"/>
              <w:left w:val="single" w:sz="4" w:space="0" w:color="auto"/>
            </w:tcBorders>
            <w:shd w:val="clear" w:color="auto" w:fill="D9D9D9"/>
          </w:tcPr>
          <w:p w:rsidR="007C42AB" w:rsidRPr="00332A8C" w:rsidRDefault="007C42AB" w:rsidP="00065FB5">
            <w:pPr>
              <w:tabs>
                <w:tab w:val="left" w:pos="510"/>
              </w:tabs>
              <w:jc w:val="both"/>
              <w:rPr>
                <w:b/>
                <w:lang w:val="lt-LT"/>
              </w:rPr>
            </w:pPr>
            <w:r w:rsidRPr="00332A8C">
              <w:rPr>
                <w:b/>
                <w:lang w:val="lt-LT"/>
              </w:rPr>
              <w:t>1 eil.</w:t>
            </w:r>
          </w:p>
        </w:tc>
        <w:tc>
          <w:tcPr>
            <w:tcW w:w="708" w:type="dxa"/>
            <w:gridSpan w:val="7"/>
          </w:tcPr>
          <w:p w:rsidR="007C42AB" w:rsidRPr="00332A8C" w:rsidRDefault="007C42AB" w:rsidP="00065FB5">
            <w:pPr>
              <w:tabs>
                <w:tab w:val="left" w:pos="510"/>
              </w:tabs>
              <w:jc w:val="center"/>
              <w:rPr>
                <w:b/>
                <w:lang w:val="lt-LT"/>
              </w:rPr>
            </w:pPr>
            <w:r w:rsidRPr="00332A8C">
              <w:rPr>
                <w:b/>
                <w:lang w:val="lt-LT"/>
              </w:rPr>
              <w:t>X</w:t>
            </w:r>
          </w:p>
        </w:tc>
        <w:tc>
          <w:tcPr>
            <w:tcW w:w="1133" w:type="dxa"/>
            <w:gridSpan w:val="6"/>
            <w:tcBorders>
              <w:bottom w:val="single" w:sz="4" w:space="0" w:color="auto"/>
            </w:tcBorders>
          </w:tcPr>
          <w:p w:rsidR="007C42AB" w:rsidRPr="00332A8C" w:rsidRDefault="007C42AB" w:rsidP="00065FB5">
            <w:pPr>
              <w:tabs>
                <w:tab w:val="left" w:pos="510"/>
              </w:tabs>
              <w:jc w:val="center"/>
              <w:rPr>
                <w:b/>
                <w:lang w:val="lt-LT"/>
              </w:rPr>
            </w:pPr>
            <w:r>
              <w:rPr>
                <w:b/>
                <w:lang w:val="lt-LT"/>
              </w:rPr>
              <w:t>20</w:t>
            </w:r>
          </w:p>
        </w:tc>
        <w:tc>
          <w:tcPr>
            <w:tcW w:w="1575" w:type="dxa"/>
            <w:gridSpan w:val="4"/>
            <w:vMerge w:val="restart"/>
            <w:tcBorders>
              <w:right w:val="single" w:sz="4" w:space="0" w:color="auto"/>
            </w:tcBorders>
            <w:textDirection w:val="btLr"/>
          </w:tcPr>
          <w:p w:rsidR="007C42AB" w:rsidRPr="004273CC" w:rsidRDefault="007C42AB" w:rsidP="00065FB5">
            <w:pPr>
              <w:tabs>
                <w:tab w:val="left" w:pos="510"/>
              </w:tabs>
              <w:ind w:left="113" w:right="113"/>
              <w:jc w:val="center"/>
              <w:rPr>
                <w:lang w:val="lt-LT"/>
              </w:rPr>
            </w:pPr>
            <w:r w:rsidRPr="00B37E60">
              <w:rPr>
                <w:b/>
                <w:lang w:val="lt-LT"/>
              </w:rPr>
              <w:t>Pajamos – Tikslumas</w:t>
            </w: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8"/>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9" w:type="dxa"/>
            <w:gridSpan w:val="8"/>
            <w:tcBorders>
              <w:right w:val="single" w:sz="4" w:space="0" w:color="auto"/>
            </w:tcBorders>
          </w:tcPr>
          <w:p w:rsidR="007C42AB" w:rsidRPr="004E6F01" w:rsidRDefault="007C42AB" w:rsidP="00065FB5">
            <w:pPr>
              <w:tabs>
                <w:tab w:val="left" w:pos="510"/>
              </w:tabs>
              <w:jc w:val="center"/>
              <w:rPr>
                <w:b/>
                <w:lang w:val="lt-LT"/>
              </w:rPr>
            </w:pPr>
            <w:r>
              <w:rPr>
                <w:b/>
                <w:lang w:val="lt-LT"/>
              </w:rPr>
              <w:t>4</w:t>
            </w:r>
          </w:p>
        </w:tc>
        <w:tc>
          <w:tcPr>
            <w:tcW w:w="1161" w:type="dxa"/>
            <w:gridSpan w:val="7"/>
            <w:tcBorders>
              <w:top w:val="nil"/>
              <w:left w:val="single" w:sz="4" w:space="0" w:color="auto"/>
              <w:bottom w:val="nil"/>
              <w:right w:val="single" w:sz="4" w:space="0" w:color="auto"/>
            </w:tcBorders>
          </w:tcPr>
          <w:p w:rsidR="007C42AB" w:rsidRPr="004E6F01" w:rsidRDefault="007C42AB" w:rsidP="00065FB5">
            <w:pPr>
              <w:tabs>
                <w:tab w:val="left" w:pos="510"/>
              </w:tabs>
              <w:jc w:val="center"/>
              <w:rPr>
                <w:b/>
                <w:lang w:val="lt-LT"/>
              </w:rPr>
            </w:pP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tcBorders>
            <w:shd w:val="clear" w:color="auto" w:fill="D9D9D9"/>
          </w:tcPr>
          <w:p w:rsidR="007C42AB" w:rsidRPr="00332A8C" w:rsidRDefault="007C42AB" w:rsidP="00065FB5">
            <w:pPr>
              <w:tabs>
                <w:tab w:val="left" w:pos="510"/>
              </w:tabs>
              <w:jc w:val="both"/>
              <w:rPr>
                <w:b/>
                <w:lang w:val="lt-LT"/>
              </w:rPr>
            </w:pPr>
            <w:r w:rsidRPr="00332A8C">
              <w:rPr>
                <w:b/>
                <w:lang w:val="lt-LT"/>
              </w:rPr>
              <w:t>2 eil.</w:t>
            </w:r>
          </w:p>
        </w:tc>
        <w:tc>
          <w:tcPr>
            <w:tcW w:w="708" w:type="dxa"/>
            <w:gridSpan w:val="7"/>
            <w:tcBorders>
              <w:right w:val="single" w:sz="4" w:space="0" w:color="auto"/>
            </w:tcBorders>
          </w:tcPr>
          <w:p w:rsidR="007C42AB" w:rsidRPr="00332A8C" w:rsidRDefault="007C42AB" w:rsidP="00065FB5">
            <w:pPr>
              <w:tabs>
                <w:tab w:val="left" w:pos="510"/>
              </w:tabs>
              <w:jc w:val="center"/>
              <w:rPr>
                <w:b/>
                <w:lang w:val="lt-LT"/>
              </w:rPr>
            </w:pPr>
            <w:r>
              <w:rPr>
                <w:b/>
                <w:lang w:val="lt-LT"/>
              </w:rPr>
              <w:t>5</w:t>
            </w:r>
          </w:p>
        </w:tc>
        <w:tc>
          <w:tcPr>
            <w:tcW w:w="1133" w:type="dxa"/>
            <w:gridSpan w:val="6"/>
            <w:tcBorders>
              <w:top w:val="nil"/>
              <w:left w:val="single" w:sz="4" w:space="0" w:color="auto"/>
              <w:bottom w:val="nil"/>
            </w:tcBorders>
          </w:tcPr>
          <w:p w:rsidR="007C42AB" w:rsidRPr="00332A8C" w:rsidRDefault="007C42AB" w:rsidP="00065FB5">
            <w:pPr>
              <w:tabs>
                <w:tab w:val="left" w:pos="510"/>
              </w:tabs>
              <w:jc w:val="center"/>
              <w:rPr>
                <w:b/>
                <w:lang w:val="lt-LT"/>
              </w:rPr>
            </w:pPr>
          </w:p>
        </w:tc>
        <w:tc>
          <w:tcPr>
            <w:tcW w:w="1575" w:type="dxa"/>
            <w:gridSpan w:val="4"/>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8"/>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tcPr>
          <w:p w:rsidR="007C42AB" w:rsidRPr="004E6F01" w:rsidRDefault="007C42AB" w:rsidP="00065FB5">
            <w:pPr>
              <w:tabs>
                <w:tab w:val="left" w:pos="510"/>
              </w:tabs>
              <w:jc w:val="center"/>
              <w:rPr>
                <w:b/>
                <w:lang w:val="lt-LT"/>
              </w:rPr>
            </w:pPr>
            <w:r>
              <w:rPr>
                <w:b/>
                <w:lang w:val="lt-LT"/>
              </w:rPr>
              <w:t>20</w:t>
            </w:r>
          </w:p>
        </w:tc>
        <w:tc>
          <w:tcPr>
            <w:tcW w:w="1161" w:type="dxa"/>
            <w:gridSpan w:val="7"/>
            <w:tcBorders>
              <w:top w:val="nil"/>
              <w:left w:val="single" w:sz="4" w:space="0" w:color="auto"/>
              <w:bottom w:val="nil"/>
              <w:right w:val="single" w:sz="4" w:space="0" w:color="auto"/>
            </w:tcBorders>
          </w:tcPr>
          <w:p w:rsidR="007C42AB" w:rsidRPr="004E6F01" w:rsidRDefault="007C42AB" w:rsidP="00065FB5">
            <w:pPr>
              <w:tabs>
                <w:tab w:val="left" w:pos="510"/>
              </w:tabs>
              <w:jc w:val="center"/>
              <w:rPr>
                <w:b/>
                <w:lang w:val="lt-LT"/>
              </w:rPr>
            </w:pP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tcBorders>
            <w:shd w:val="clear" w:color="auto" w:fill="D9D9D9"/>
          </w:tcPr>
          <w:p w:rsidR="007C42AB" w:rsidRPr="00332A8C" w:rsidRDefault="007C42AB" w:rsidP="00065FB5">
            <w:pPr>
              <w:tabs>
                <w:tab w:val="left" w:pos="510"/>
              </w:tabs>
              <w:jc w:val="both"/>
              <w:rPr>
                <w:b/>
                <w:lang w:val="lt-LT"/>
              </w:rPr>
            </w:pPr>
            <w:r w:rsidRPr="00332A8C">
              <w:rPr>
                <w:b/>
                <w:lang w:val="lt-LT"/>
              </w:rPr>
              <w:t>3 eil.</w:t>
            </w:r>
          </w:p>
        </w:tc>
        <w:tc>
          <w:tcPr>
            <w:tcW w:w="708" w:type="dxa"/>
            <w:gridSpan w:val="7"/>
            <w:tcBorders>
              <w:bottom w:val="single" w:sz="4" w:space="0" w:color="auto"/>
              <w:right w:val="single" w:sz="4" w:space="0" w:color="auto"/>
            </w:tcBorders>
          </w:tcPr>
          <w:p w:rsidR="007C42AB" w:rsidRPr="00332A8C" w:rsidRDefault="007C42AB" w:rsidP="00065FB5">
            <w:pPr>
              <w:tabs>
                <w:tab w:val="left" w:pos="510"/>
              </w:tabs>
              <w:jc w:val="center"/>
              <w:rPr>
                <w:b/>
                <w:lang w:val="lt-LT"/>
              </w:rPr>
            </w:pPr>
            <w:r w:rsidRPr="00332A8C">
              <w:rPr>
                <w:b/>
                <w:lang w:val="lt-LT"/>
              </w:rPr>
              <w:t>20</w:t>
            </w:r>
          </w:p>
        </w:tc>
        <w:tc>
          <w:tcPr>
            <w:tcW w:w="1133" w:type="dxa"/>
            <w:gridSpan w:val="6"/>
            <w:tcBorders>
              <w:top w:val="nil"/>
              <w:left w:val="single" w:sz="4" w:space="0" w:color="auto"/>
              <w:bottom w:val="nil"/>
            </w:tcBorders>
          </w:tcPr>
          <w:p w:rsidR="007C42AB" w:rsidRPr="00332A8C" w:rsidRDefault="007C42AB" w:rsidP="00065FB5">
            <w:pPr>
              <w:tabs>
                <w:tab w:val="left" w:pos="510"/>
              </w:tabs>
              <w:jc w:val="center"/>
              <w:rPr>
                <w:b/>
                <w:lang w:val="lt-LT"/>
              </w:rPr>
            </w:pPr>
          </w:p>
        </w:tc>
        <w:tc>
          <w:tcPr>
            <w:tcW w:w="1575" w:type="dxa"/>
            <w:gridSpan w:val="4"/>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Height w:val="264"/>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Pr>
          <w:p w:rsidR="007C42AB" w:rsidRPr="004273CC" w:rsidRDefault="007C42AB"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8"/>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7C42AB" w:rsidRPr="004E6F01" w:rsidRDefault="007C42AB" w:rsidP="00065FB5">
            <w:pPr>
              <w:tabs>
                <w:tab w:val="left" w:pos="510"/>
              </w:tabs>
              <w:jc w:val="center"/>
              <w:rPr>
                <w:b/>
                <w:lang w:val="lt-LT"/>
              </w:rPr>
            </w:pPr>
            <w:r>
              <w:rPr>
                <w:b/>
                <w:lang w:val="lt-LT"/>
              </w:rPr>
              <w:t>60</w:t>
            </w:r>
          </w:p>
        </w:tc>
        <w:tc>
          <w:tcPr>
            <w:tcW w:w="1161" w:type="dxa"/>
            <w:gridSpan w:val="7"/>
            <w:tcBorders>
              <w:top w:val="nil"/>
              <w:left w:val="single" w:sz="4" w:space="0" w:color="auto"/>
              <w:bottom w:val="single" w:sz="4" w:space="0" w:color="auto"/>
              <w:right w:val="single" w:sz="4" w:space="0" w:color="auto"/>
            </w:tcBorders>
          </w:tcPr>
          <w:p w:rsidR="007C42AB" w:rsidRPr="004E6F01" w:rsidRDefault="007C42AB" w:rsidP="00065FB5">
            <w:pPr>
              <w:tabs>
                <w:tab w:val="left" w:pos="510"/>
              </w:tabs>
              <w:jc w:val="center"/>
              <w:rPr>
                <w:b/>
                <w:sz w:val="18"/>
                <w:szCs w:val="18"/>
                <w:lang w:val="lt-LT"/>
              </w:rPr>
            </w:pPr>
            <w:r w:rsidRPr="004E6F01">
              <w:rPr>
                <w:b/>
                <w:sz w:val="18"/>
                <w:szCs w:val="18"/>
                <w:lang w:val="lt-LT"/>
              </w:rPr>
              <w:t>VIDUTINĖ</w:t>
            </w:r>
          </w:p>
        </w:tc>
        <w:tc>
          <w:tcPr>
            <w:tcW w:w="983" w:type="dxa"/>
            <w:gridSpan w:val="6"/>
            <w:vMerge/>
            <w:tcBorders>
              <w:left w:val="single" w:sz="4" w:space="0" w:color="auto"/>
              <w:right w:val="single" w:sz="4" w:space="0" w:color="auto"/>
            </w:tcBorders>
            <w:shd w:val="clear" w:color="auto" w:fill="FFFFFF"/>
            <w:vAlign w:val="center"/>
          </w:tcPr>
          <w:p w:rsidR="007C42AB" w:rsidRPr="004273CC" w:rsidRDefault="007C42AB" w:rsidP="00065FB5">
            <w:pPr>
              <w:tabs>
                <w:tab w:val="left" w:pos="510"/>
              </w:tabs>
              <w:jc w:val="both"/>
              <w:rPr>
                <w:lang w:val="lt-LT"/>
              </w:rPr>
            </w:pPr>
          </w:p>
        </w:tc>
        <w:tc>
          <w:tcPr>
            <w:tcW w:w="990" w:type="dxa"/>
            <w:gridSpan w:val="4"/>
            <w:tcBorders>
              <w:left w:val="single" w:sz="4" w:space="0" w:color="auto"/>
            </w:tcBorders>
            <w:shd w:val="clear" w:color="auto" w:fill="D9D9D9"/>
            <w:vAlign w:val="center"/>
          </w:tcPr>
          <w:p w:rsidR="007C42AB" w:rsidRPr="00332A8C" w:rsidRDefault="007C42AB" w:rsidP="00065FB5">
            <w:pPr>
              <w:tabs>
                <w:tab w:val="left" w:pos="510"/>
              </w:tabs>
              <w:jc w:val="both"/>
              <w:rPr>
                <w:b/>
                <w:lang w:val="lt-LT"/>
              </w:rPr>
            </w:pPr>
            <w:r w:rsidRPr="00332A8C">
              <w:rPr>
                <w:b/>
                <w:lang w:val="lt-LT"/>
              </w:rPr>
              <w:t>4 eil.</w:t>
            </w:r>
          </w:p>
        </w:tc>
        <w:tc>
          <w:tcPr>
            <w:tcW w:w="708" w:type="dxa"/>
            <w:gridSpan w:val="7"/>
            <w:tcBorders>
              <w:right w:val="single" w:sz="4" w:space="0" w:color="auto"/>
            </w:tcBorders>
            <w:shd w:val="clear" w:color="auto" w:fill="D9D9D9"/>
          </w:tcPr>
          <w:p w:rsidR="007C42AB" w:rsidRPr="00332A8C" w:rsidRDefault="007C42AB" w:rsidP="00065FB5">
            <w:pPr>
              <w:tabs>
                <w:tab w:val="left" w:pos="510"/>
              </w:tabs>
              <w:jc w:val="center"/>
              <w:rPr>
                <w:b/>
                <w:lang w:val="lt-LT"/>
              </w:rPr>
            </w:pPr>
            <w:r>
              <w:rPr>
                <w:b/>
                <w:lang w:val="lt-LT"/>
              </w:rPr>
              <w:t>10</w:t>
            </w:r>
            <w:r w:rsidRPr="00332A8C">
              <w:rPr>
                <w:b/>
                <w:lang w:val="lt-LT"/>
              </w:rPr>
              <w:t>0</w:t>
            </w:r>
          </w:p>
        </w:tc>
        <w:tc>
          <w:tcPr>
            <w:tcW w:w="1133" w:type="dxa"/>
            <w:gridSpan w:val="6"/>
            <w:tcBorders>
              <w:top w:val="nil"/>
              <w:left w:val="single" w:sz="4" w:space="0" w:color="auto"/>
              <w:bottom w:val="single" w:sz="4" w:space="0" w:color="auto"/>
            </w:tcBorders>
          </w:tcPr>
          <w:p w:rsidR="007C42AB" w:rsidRPr="00332A8C" w:rsidRDefault="007C42AB" w:rsidP="00065FB5">
            <w:pPr>
              <w:tabs>
                <w:tab w:val="left" w:pos="510"/>
              </w:tabs>
              <w:jc w:val="center"/>
              <w:rPr>
                <w:b/>
                <w:lang w:val="lt-LT"/>
              </w:rPr>
            </w:pPr>
            <w:r w:rsidRPr="00332A8C">
              <w:rPr>
                <w:b/>
                <w:lang w:val="lt-LT"/>
              </w:rPr>
              <w:t>DIDELĖ</w:t>
            </w:r>
          </w:p>
        </w:tc>
        <w:tc>
          <w:tcPr>
            <w:tcW w:w="1575" w:type="dxa"/>
            <w:gridSpan w:val="4"/>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Pr>
          <w:p w:rsidR="007C42AB" w:rsidRPr="004273CC" w:rsidRDefault="007C42AB"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8"/>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right w:val="single" w:sz="4" w:space="0" w:color="auto"/>
            </w:tcBorders>
          </w:tcPr>
          <w:p w:rsidR="007C42AB" w:rsidRPr="004E6F01" w:rsidRDefault="007C42AB" w:rsidP="00065FB5">
            <w:pPr>
              <w:tabs>
                <w:tab w:val="left" w:pos="510"/>
              </w:tabs>
              <w:jc w:val="center"/>
              <w:rPr>
                <w:b/>
                <w:lang w:val="lt-LT"/>
              </w:rPr>
            </w:pPr>
            <w:r w:rsidRPr="004E6F01">
              <w:rPr>
                <w:b/>
                <w:lang w:val="lt-LT"/>
              </w:rPr>
              <w:t>X</w:t>
            </w:r>
          </w:p>
        </w:tc>
        <w:tc>
          <w:tcPr>
            <w:tcW w:w="1161" w:type="dxa"/>
            <w:gridSpan w:val="7"/>
            <w:tcBorders>
              <w:top w:val="single" w:sz="4" w:space="0" w:color="auto"/>
              <w:left w:val="single" w:sz="4" w:space="0" w:color="auto"/>
              <w:bottom w:val="single" w:sz="4" w:space="0" w:color="auto"/>
              <w:right w:val="single" w:sz="4" w:space="0" w:color="auto"/>
            </w:tcBorders>
          </w:tcPr>
          <w:p w:rsidR="007C42AB" w:rsidRPr="004E6F01" w:rsidRDefault="007C42AB" w:rsidP="00065FB5">
            <w:pPr>
              <w:tabs>
                <w:tab w:val="left" w:pos="510"/>
              </w:tabs>
              <w:jc w:val="center"/>
              <w:rPr>
                <w:b/>
                <w:lang w:val="lt-LT"/>
              </w:rPr>
            </w:pPr>
            <w:r w:rsidRPr="004E6F01">
              <w:rPr>
                <w:b/>
                <w:lang w:val="lt-LT"/>
              </w:rPr>
              <w:t>0</w:t>
            </w: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tcBorders>
            <w:shd w:val="clear" w:color="auto" w:fill="D9D9D9"/>
          </w:tcPr>
          <w:p w:rsidR="007C42AB" w:rsidRPr="00332A8C" w:rsidRDefault="007C42AB" w:rsidP="00065FB5">
            <w:pPr>
              <w:tabs>
                <w:tab w:val="left" w:pos="510"/>
              </w:tabs>
              <w:jc w:val="both"/>
              <w:rPr>
                <w:b/>
                <w:lang w:val="lt-LT"/>
              </w:rPr>
            </w:pPr>
            <w:r w:rsidRPr="00332A8C">
              <w:rPr>
                <w:b/>
                <w:lang w:val="lt-LT"/>
              </w:rPr>
              <w:t>5 eil.</w:t>
            </w:r>
          </w:p>
        </w:tc>
        <w:tc>
          <w:tcPr>
            <w:tcW w:w="708" w:type="dxa"/>
            <w:gridSpan w:val="7"/>
          </w:tcPr>
          <w:p w:rsidR="007C42AB" w:rsidRPr="00332A8C" w:rsidRDefault="007C42AB" w:rsidP="00065FB5">
            <w:pPr>
              <w:tabs>
                <w:tab w:val="left" w:pos="510"/>
              </w:tabs>
              <w:jc w:val="center"/>
              <w:rPr>
                <w:b/>
                <w:lang w:val="lt-LT"/>
              </w:rPr>
            </w:pPr>
            <w:r w:rsidRPr="00332A8C">
              <w:rPr>
                <w:b/>
                <w:lang w:val="lt-LT"/>
              </w:rPr>
              <w:t>X</w:t>
            </w:r>
          </w:p>
        </w:tc>
        <w:tc>
          <w:tcPr>
            <w:tcW w:w="1133" w:type="dxa"/>
            <w:gridSpan w:val="6"/>
            <w:tcBorders>
              <w:top w:val="single" w:sz="4" w:space="0" w:color="auto"/>
              <w:bottom w:val="single" w:sz="4" w:space="0" w:color="auto"/>
            </w:tcBorders>
          </w:tcPr>
          <w:p w:rsidR="007C42AB" w:rsidRPr="00332A8C" w:rsidRDefault="007C42AB" w:rsidP="00065FB5">
            <w:pPr>
              <w:tabs>
                <w:tab w:val="left" w:pos="510"/>
              </w:tabs>
              <w:jc w:val="center"/>
              <w:rPr>
                <w:b/>
                <w:lang w:val="lt-LT"/>
              </w:rPr>
            </w:pPr>
            <w:r w:rsidRPr="00332A8C">
              <w:rPr>
                <w:b/>
                <w:lang w:val="lt-LT"/>
              </w:rPr>
              <w:t>0</w:t>
            </w:r>
          </w:p>
        </w:tc>
        <w:tc>
          <w:tcPr>
            <w:tcW w:w="1575" w:type="dxa"/>
            <w:gridSpan w:val="4"/>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8"/>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right w:val="single" w:sz="4" w:space="0" w:color="auto"/>
            </w:tcBorders>
          </w:tcPr>
          <w:p w:rsidR="007C42AB" w:rsidRPr="004E6F01" w:rsidRDefault="007C42AB" w:rsidP="00065FB5">
            <w:pPr>
              <w:tabs>
                <w:tab w:val="left" w:pos="510"/>
              </w:tabs>
              <w:jc w:val="center"/>
              <w:rPr>
                <w:b/>
                <w:lang w:val="lt-LT"/>
              </w:rPr>
            </w:pPr>
            <w:r w:rsidRPr="004E6F01">
              <w:rPr>
                <w:b/>
                <w:lang w:val="lt-LT"/>
              </w:rPr>
              <w:t>0</w:t>
            </w:r>
          </w:p>
        </w:tc>
        <w:tc>
          <w:tcPr>
            <w:tcW w:w="1161" w:type="dxa"/>
            <w:gridSpan w:val="7"/>
            <w:tcBorders>
              <w:top w:val="single" w:sz="4" w:space="0" w:color="auto"/>
              <w:left w:val="single" w:sz="4" w:space="0" w:color="auto"/>
              <w:bottom w:val="nil"/>
              <w:right w:val="single" w:sz="4" w:space="0" w:color="auto"/>
            </w:tcBorders>
          </w:tcPr>
          <w:p w:rsidR="007C42AB" w:rsidRPr="004E6F01" w:rsidRDefault="007C42AB" w:rsidP="00065FB5">
            <w:pPr>
              <w:tabs>
                <w:tab w:val="left" w:pos="510"/>
              </w:tabs>
              <w:jc w:val="both"/>
              <w:rPr>
                <w:b/>
                <w:lang w:val="lt-LT"/>
              </w:rPr>
            </w:pP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tcBorders>
            <w:shd w:val="clear" w:color="auto" w:fill="D9D9D9"/>
          </w:tcPr>
          <w:p w:rsidR="007C42AB" w:rsidRPr="00332A8C" w:rsidRDefault="007C42AB" w:rsidP="00065FB5">
            <w:pPr>
              <w:tabs>
                <w:tab w:val="left" w:pos="510"/>
              </w:tabs>
              <w:jc w:val="both"/>
              <w:rPr>
                <w:b/>
                <w:lang w:val="lt-LT"/>
              </w:rPr>
            </w:pPr>
            <w:r w:rsidRPr="00332A8C">
              <w:rPr>
                <w:b/>
                <w:lang w:val="lt-LT"/>
              </w:rPr>
              <w:t>6 eil.</w:t>
            </w:r>
          </w:p>
        </w:tc>
        <w:tc>
          <w:tcPr>
            <w:tcW w:w="708" w:type="dxa"/>
            <w:gridSpan w:val="7"/>
            <w:tcBorders>
              <w:right w:val="single" w:sz="4" w:space="0" w:color="auto"/>
            </w:tcBorders>
          </w:tcPr>
          <w:p w:rsidR="007C42AB" w:rsidRPr="00332A8C" w:rsidRDefault="007C42AB" w:rsidP="00065FB5">
            <w:pPr>
              <w:tabs>
                <w:tab w:val="left" w:pos="510"/>
              </w:tabs>
              <w:jc w:val="center"/>
              <w:rPr>
                <w:b/>
                <w:lang w:val="lt-LT"/>
              </w:rPr>
            </w:pPr>
            <w:r w:rsidRPr="00332A8C">
              <w:rPr>
                <w:b/>
                <w:lang w:val="lt-LT"/>
              </w:rPr>
              <w:t>0</w:t>
            </w:r>
          </w:p>
        </w:tc>
        <w:tc>
          <w:tcPr>
            <w:tcW w:w="1133" w:type="dxa"/>
            <w:gridSpan w:val="6"/>
            <w:tcBorders>
              <w:top w:val="single" w:sz="4" w:space="0" w:color="auto"/>
              <w:left w:val="single" w:sz="4" w:space="0" w:color="auto"/>
              <w:bottom w:val="nil"/>
            </w:tcBorders>
          </w:tcPr>
          <w:p w:rsidR="007C42AB" w:rsidRPr="00332A8C" w:rsidRDefault="007C42AB" w:rsidP="00065FB5">
            <w:pPr>
              <w:tabs>
                <w:tab w:val="left" w:pos="510"/>
              </w:tabs>
              <w:jc w:val="center"/>
              <w:rPr>
                <w:b/>
                <w:lang w:val="lt-LT"/>
              </w:rPr>
            </w:pPr>
          </w:p>
        </w:tc>
        <w:tc>
          <w:tcPr>
            <w:tcW w:w="1575" w:type="dxa"/>
            <w:gridSpan w:val="4"/>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8"/>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tcPr>
          <w:p w:rsidR="007C42AB" w:rsidRPr="004E6F01" w:rsidRDefault="007C42AB" w:rsidP="00065FB5">
            <w:pPr>
              <w:tabs>
                <w:tab w:val="left" w:pos="510"/>
              </w:tabs>
              <w:jc w:val="center"/>
              <w:rPr>
                <w:b/>
                <w:lang w:val="lt-LT"/>
              </w:rPr>
            </w:pPr>
            <w:r w:rsidRPr="004E6F01">
              <w:rPr>
                <w:b/>
                <w:lang w:val="lt-LT"/>
              </w:rPr>
              <w:t>0</w:t>
            </w:r>
          </w:p>
        </w:tc>
        <w:tc>
          <w:tcPr>
            <w:tcW w:w="1161" w:type="dxa"/>
            <w:gridSpan w:val="7"/>
            <w:tcBorders>
              <w:top w:val="nil"/>
              <w:left w:val="single" w:sz="4" w:space="0" w:color="auto"/>
              <w:bottom w:val="nil"/>
              <w:right w:val="single" w:sz="4" w:space="0" w:color="auto"/>
            </w:tcBorders>
          </w:tcPr>
          <w:p w:rsidR="007C42AB" w:rsidRPr="004E6F01" w:rsidRDefault="007C42AB" w:rsidP="00065FB5">
            <w:pPr>
              <w:tabs>
                <w:tab w:val="left" w:pos="510"/>
              </w:tabs>
              <w:jc w:val="both"/>
              <w:rPr>
                <w:b/>
                <w:lang w:val="lt-LT"/>
              </w:rPr>
            </w:pP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tcBorders>
            <w:shd w:val="clear" w:color="auto" w:fill="D9D9D9"/>
          </w:tcPr>
          <w:p w:rsidR="007C42AB" w:rsidRPr="00332A8C" w:rsidRDefault="007C42AB" w:rsidP="00065FB5">
            <w:pPr>
              <w:tabs>
                <w:tab w:val="left" w:pos="510"/>
              </w:tabs>
              <w:jc w:val="both"/>
              <w:rPr>
                <w:b/>
                <w:lang w:val="lt-LT"/>
              </w:rPr>
            </w:pPr>
            <w:r w:rsidRPr="00332A8C">
              <w:rPr>
                <w:b/>
                <w:lang w:val="lt-LT"/>
              </w:rPr>
              <w:t>7 eil.</w:t>
            </w:r>
          </w:p>
        </w:tc>
        <w:tc>
          <w:tcPr>
            <w:tcW w:w="708" w:type="dxa"/>
            <w:gridSpan w:val="7"/>
            <w:tcBorders>
              <w:bottom w:val="single" w:sz="4" w:space="0" w:color="auto"/>
              <w:right w:val="single" w:sz="4" w:space="0" w:color="auto"/>
            </w:tcBorders>
          </w:tcPr>
          <w:p w:rsidR="007C42AB" w:rsidRPr="00332A8C" w:rsidRDefault="007C42AB" w:rsidP="00065FB5">
            <w:pPr>
              <w:tabs>
                <w:tab w:val="left" w:pos="510"/>
              </w:tabs>
              <w:jc w:val="center"/>
              <w:rPr>
                <w:b/>
                <w:lang w:val="lt-LT"/>
              </w:rPr>
            </w:pPr>
            <w:r w:rsidRPr="00332A8C">
              <w:rPr>
                <w:b/>
                <w:lang w:val="lt-LT"/>
              </w:rPr>
              <w:t>0</w:t>
            </w:r>
          </w:p>
        </w:tc>
        <w:tc>
          <w:tcPr>
            <w:tcW w:w="1133" w:type="dxa"/>
            <w:gridSpan w:val="6"/>
            <w:tcBorders>
              <w:top w:val="nil"/>
              <w:left w:val="single" w:sz="4" w:space="0" w:color="auto"/>
              <w:bottom w:val="nil"/>
            </w:tcBorders>
          </w:tcPr>
          <w:p w:rsidR="007C42AB" w:rsidRPr="00332A8C" w:rsidRDefault="007C42AB" w:rsidP="00065FB5">
            <w:pPr>
              <w:tabs>
                <w:tab w:val="left" w:pos="510"/>
              </w:tabs>
              <w:jc w:val="center"/>
              <w:rPr>
                <w:b/>
                <w:lang w:val="lt-LT"/>
              </w:rPr>
            </w:pPr>
          </w:p>
        </w:tc>
        <w:tc>
          <w:tcPr>
            <w:tcW w:w="1575" w:type="dxa"/>
            <w:gridSpan w:val="4"/>
            <w:vMerge/>
            <w:tcBorders>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8"/>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7C42AB" w:rsidRPr="004E6F01" w:rsidRDefault="007C42AB" w:rsidP="00065FB5">
            <w:pPr>
              <w:tabs>
                <w:tab w:val="left" w:pos="510"/>
              </w:tabs>
              <w:jc w:val="center"/>
              <w:rPr>
                <w:b/>
                <w:lang w:val="lt-LT"/>
              </w:rPr>
            </w:pPr>
            <w:r w:rsidRPr="004E6F01">
              <w:rPr>
                <w:b/>
                <w:lang w:val="lt-LT"/>
              </w:rPr>
              <w:t>0</w:t>
            </w:r>
          </w:p>
        </w:tc>
        <w:tc>
          <w:tcPr>
            <w:tcW w:w="1161" w:type="dxa"/>
            <w:gridSpan w:val="7"/>
            <w:tcBorders>
              <w:top w:val="nil"/>
              <w:left w:val="single" w:sz="4" w:space="0" w:color="auto"/>
              <w:bottom w:val="single" w:sz="4" w:space="0" w:color="auto"/>
              <w:right w:val="single" w:sz="4" w:space="0" w:color="auto"/>
            </w:tcBorders>
          </w:tcPr>
          <w:p w:rsidR="007C42AB" w:rsidRPr="004E6F01" w:rsidRDefault="007C42AB" w:rsidP="00065FB5">
            <w:pPr>
              <w:tabs>
                <w:tab w:val="left" w:pos="510"/>
              </w:tabs>
              <w:jc w:val="both"/>
              <w:rPr>
                <w:b/>
                <w:lang w:val="lt-LT"/>
              </w:rPr>
            </w:pPr>
            <w:r w:rsidRPr="004E6F01">
              <w:rPr>
                <w:b/>
                <w:lang w:val="lt-LT"/>
              </w:rPr>
              <w:t>MAŽA</w:t>
            </w:r>
          </w:p>
        </w:tc>
        <w:tc>
          <w:tcPr>
            <w:tcW w:w="983" w:type="dxa"/>
            <w:gridSpan w:val="6"/>
            <w:vMerge/>
            <w:tcBorders>
              <w:left w:val="single" w:sz="4" w:space="0" w:color="auto"/>
              <w:bottom w:val="single" w:sz="4" w:space="0" w:color="auto"/>
              <w:right w:val="single" w:sz="4" w:space="0" w:color="auto"/>
            </w:tcBorders>
            <w:shd w:val="clear" w:color="auto" w:fill="FFFFFF"/>
            <w:vAlign w:val="center"/>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vAlign w:val="center"/>
          </w:tcPr>
          <w:p w:rsidR="007C42AB" w:rsidRPr="00332A8C" w:rsidRDefault="007C42AB" w:rsidP="00065FB5">
            <w:pPr>
              <w:tabs>
                <w:tab w:val="left" w:pos="510"/>
              </w:tabs>
              <w:jc w:val="both"/>
              <w:rPr>
                <w:b/>
                <w:lang w:val="lt-LT"/>
              </w:rPr>
            </w:pPr>
            <w:r w:rsidRPr="00332A8C">
              <w:rPr>
                <w:b/>
                <w:lang w:val="lt-LT"/>
              </w:rPr>
              <w:t>8 eil.</w:t>
            </w:r>
          </w:p>
        </w:tc>
        <w:tc>
          <w:tcPr>
            <w:tcW w:w="708" w:type="dxa"/>
            <w:gridSpan w:val="7"/>
            <w:tcBorders>
              <w:bottom w:val="single" w:sz="4" w:space="0" w:color="auto"/>
              <w:right w:val="single" w:sz="4" w:space="0" w:color="auto"/>
            </w:tcBorders>
            <w:shd w:val="clear" w:color="auto" w:fill="D9D9D9"/>
          </w:tcPr>
          <w:p w:rsidR="007C42AB" w:rsidRPr="00332A8C" w:rsidRDefault="007C42AB" w:rsidP="00065FB5">
            <w:pPr>
              <w:tabs>
                <w:tab w:val="left" w:pos="510"/>
              </w:tabs>
              <w:jc w:val="center"/>
              <w:rPr>
                <w:b/>
                <w:lang w:val="lt-LT"/>
              </w:rPr>
            </w:pPr>
            <w:r w:rsidRPr="00332A8C">
              <w:rPr>
                <w:b/>
                <w:lang w:val="lt-LT"/>
              </w:rPr>
              <w:t>0</w:t>
            </w:r>
          </w:p>
        </w:tc>
        <w:tc>
          <w:tcPr>
            <w:tcW w:w="1133" w:type="dxa"/>
            <w:gridSpan w:val="6"/>
            <w:tcBorders>
              <w:top w:val="nil"/>
              <w:left w:val="single" w:sz="4" w:space="0" w:color="auto"/>
              <w:bottom w:val="single" w:sz="4" w:space="0" w:color="auto"/>
            </w:tcBorders>
          </w:tcPr>
          <w:p w:rsidR="007C42AB" w:rsidRPr="00332A8C" w:rsidRDefault="007C42AB" w:rsidP="00065FB5">
            <w:pPr>
              <w:tabs>
                <w:tab w:val="left" w:pos="510"/>
              </w:tabs>
              <w:jc w:val="center"/>
              <w:rPr>
                <w:b/>
                <w:lang w:val="lt-LT"/>
              </w:rPr>
            </w:pPr>
            <w:r w:rsidRPr="00332A8C">
              <w:rPr>
                <w:b/>
                <w:lang w:val="lt-LT"/>
              </w:rPr>
              <w:t>MAŽA</w:t>
            </w:r>
          </w:p>
        </w:tc>
        <w:tc>
          <w:tcPr>
            <w:tcW w:w="1575" w:type="dxa"/>
            <w:gridSpan w:val="4"/>
            <w:vMerge/>
            <w:tcBorders>
              <w:bottom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extDirection w:val="btLr"/>
          </w:tcPr>
          <w:p w:rsidR="007C42AB" w:rsidRPr="004273CC" w:rsidRDefault="007C42AB" w:rsidP="00065FB5">
            <w:pPr>
              <w:tabs>
                <w:tab w:val="left" w:pos="510"/>
              </w:tabs>
              <w:ind w:left="113" w:right="113"/>
              <w:jc w:val="center"/>
              <w:rPr>
                <w:lang w:val="lt-LT"/>
              </w:rPr>
            </w:pPr>
          </w:p>
        </w:tc>
        <w:tc>
          <w:tcPr>
            <w:tcW w:w="4432" w:type="dxa"/>
            <w:gridSpan w:val="19"/>
            <w:tcBorders>
              <w:top w:val="single" w:sz="4" w:space="0" w:color="auto"/>
              <w:bottom w:val="single" w:sz="4" w:space="0" w:color="auto"/>
              <w:right w:val="nil"/>
            </w:tcBorders>
            <w:shd w:val="clear" w:color="auto" w:fill="F2F2F2" w:themeFill="background1" w:themeFillShade="F2"/>
          </w:tcPr>
          <w:p w:rsidR="007C42AB" w:rsidRDefault="007C42AB" w:rsidP="00065FB5">
            <w:pPr>
              <w:tabs>
                <w:tab w:val="left" w:pos="510"/>
              </w:tabs>
              <w:jc w:val="right"/>
              <w:rPr>
                <w:b/>
                <w:lang w:val="lt-LT"/>
              </w:rPr>
            </w:pPr>
          </w:p>
        </w:tc>
        <w:tc>
          <w:tcPr>
            <w:tcW w:w="1132" w:type="dxa"/>
            <w:gridSpan w:val="8"/>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9" w:type="dxa"/>
            <w:gridSpan w:val="8"/>
            <w:tcBorders>
              <w:top w:val="single" w:sz="4" w:space="0" w:color="auto"/>
              <w:left w:val="nil"/>
              <w:bottom w:val="single" w:sz="4" w:space="0" w:color="auto"/>
              <w:right w:val="nil"/>
            </w:tcBorders>
            <w:shd w:val="clear" w:color="auto" w:fill="F2F2F2" w:themeFill="background1" w:themeFillShade="F2"/>
          </w:tcPr>
          <w:p w:rsidR="007C42AB" w:rsidRPr="004E6F01" w:rsidRDefault="007C42AB" w:rsidP="00065FB5">
            <w:pPr>
              <w:tabs>
                <w:tab w:val="left" w:pos="510"/>
              </w:tabs>
              <w:jc w:val="center"/>
              <w:rPr>
                <w:b/>
                <w:lang w:val="lt-LT"/>
              </w:rPr>
            </w:pPr>
          </w:p>
        </w:tc>
        <w:tc>
          <w:tcPr>
            <w:tcW w:w="1161" w:type="dxa"/>
            <w:gridSpan w:val="7"/>
            <w:tcBorders>
              <w:top w:val="single" w:sz="4" w:space="0" w:color="auto"/>
              <w:left w:val="nil"/>
              <w:bottom w:val="single" w:sz="4" w:space="0" w:color="auto"/>
              <w:right w:val="nil"/>
            </w:tcBorders>
            <w:shd w:val="clear" w:color="auto" w:fill="F2F2F2" w:themeFill="background1" w:themeFillShade="F2"/>
          </w:tcPr>
          <w:p w:rsidR="007C42AB" w:rsidRPr="004E6F01" w:rsidRDefault="007C42AB" w:rsidP="00065FB5">
            <w:pPr>
              <w:tabs>
                <w:tab w:val="left" w:pos="510"/>
              </w:tabs>
              <w:jc w:val="both"/>
              <w:rPr>
                <w:b/>
                <w:lang w:val="lt-LT"/>
              </w:rPr>
            </w:pPr>
          </w:p>
        </w:tc>
        <w:tc>
          <w:tcPr>
            <w:tcW w:w="983" w:type="dxa"/>
            <w:gridSpan w:val="6"/>
            <w:tcBorders>
              <w:top w:val="single" w:sz="4" w:space="0" w:color="auto"/>
              <w:left w:val="nil"/>
              <w:bottom w:val="single" w:sz="4" w:space="0" w:color="auto"/>
              <w:right w:val="nil"/>
            </w:tcBorders>
            <w:shd w:val="clear" w:color="auto" w:fill="F2F2F2" w:themeFill="background1" w:themeFillShade="F2"/>
            <w:vAlign w:val="center"/>
          </w:tcPr>
          <w:p w:rsidR="007C42AB" w:rsidRPr="004273CC" w:rsidRDefault="007C42AB" w:rsidP="00065FB5">
            <w:pPr>
              <w:tabs>
                <w:tab w:val="left" w:pos="510"/>
              </w:tabs>
              <w:jc w:val="both"/>
              <w:rPr>
                <w:lang w:val="lt-LT"/>
              </w:rPr>
            </w:pPr>
          </w:p>
        </w:tc>
        <w:tc>
          <w:tcPr>
            <w:tcW w:w="990" w:type="dxa"/>
            <w:gridSpan w:val="4"/>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8" w:type="dxa"/>
            <w:gridSpan w:val="7"/>
            <w:tcBorders>
              <w:top w:val="single" w:sz="4" w:space="0" w:color="auto"/>
              <w:left w:val="nil"/>
              <w:bottom w:val="single" w:sz="4" w:space="0" w:color="auto"/>
              <w:right w:val="nil"/>
            </w:tcBorders>
            <w:shd w:val="clear" w:color="auto" w:fill="F2F2F2" w:themeFill="background1" w:themeFillShade="F2"/>
          </w:tcPr>
          <w:p w:rsidR="007C42AB" w:rsidRPr="004273CC" w:rsidRDefault="007C42AB" w:rsidP="00065FB5">
            <w:pPr>
              <w:tabs>
                <w:tab w:val="left" w:pos="510"/>
              </w:tabs>
              <w:jc w:val="center"/>
              <w:rPr>
                <w:lang w:val="lt-LT"/>
              </w:rPr>
            </w:pPr>
          </w:p>
        </w:tc>
        <w:tc>
          <w:tcPr>
            <w:tcW w:w="1133" w:type="dxa"/>
            <w:gridSpan w:val="6"/>
            <w:tcBorders>
              <w:top w:val="single" w:sz="4" w:space="0" w:color="auto"/>
              <w:left w:val="nil"/>
              <w:bottom w:val="single" w:sz="4" w:space="0" w:color="auto"/>
              <w:right w:val="nil"/>
            </w:tcBorders>
            <w:shd w:val="clear" w:color="auto" w:fill="F2F2F2" w:themeFill="background1" w:themeFillShade="F2"/>
          </w:tcPr>
          <w:p w:rsidR="007C42AB" w:rsidRPr="004273CC" w:rsidRDefault="007C42AB" w:rsidP="00065FB5">
            <w:pPr>
              <w:tabs>
                <w:tab w:val="left" w:pos="510"/>
              </w:tabs>
              <w:jc w:val="both"/>
              <w:rPr>
                <w:lang w:val="lt-LT"/>
              </w:rPr>
            </w:pPr>
          </w:p>
        </w:tc>
        <w:tc>
          <w:tcPr>
            <w:tcW w:w="1575" w:type="dxa"/>
            <w:gridSpan w:val="4"/>
            <w:tcBorders>
              <w:top w:val="single" w:sz="4" w:space="0" w:color="auto"/>
              <w:left w:val="nil"/>
              <w:bottom w:val="single" w:sz="4" w:space="0" w:color="auto"/>
              <w:right w:val="nil"/>
            </w:tcBorders>
            <w:shd w:val="clear" w:color="auto" w:fill="F2F2F2" w:themeFill="background1" w:themeFillShade="F2"/>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extDirection w:val="btLr"/>
          </w:tcPr>
          <w:p w:rsidR="007C42AB" w:rsidRPr="004273CC" w:rsidRDefault="007C42AB" w:rsidP="00065FB5">
            <w:pPr>
              <w:tabs>
                <w:tab w:val="left" w:pos="510"/>
              </w:tabs>
              <w:ind w:left="113" w:right="113"/>
              <w:jc w:val="center"/>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sidRPr="004E6F01">
              <w:rPr>
                <w:b/>
                <w:lang w:val="lt-LT"/>
              </w:rPr>
              <w:t>X</w:t>
            </w:r>
          </w:p>
        </w:tc>
        <w:tc>
          <w:tcPr>
            <w:tcW w:w="1161" w:type="dxa"/>
            <w:gridSpan w:val="7"/>
            <w:tcBorders>
              <w:top w:val="nil"/>
              <w:left w:val="single" w:sz="4" w:space="0" w:color="auto"/>
              <w:bottom w:val="single" w:sz="4" w:space="0" w:color="auto"/>
              <w:right w:val="single" w:sz="4" w:space="0" w:color="auto"/>
            </w:tcBorders>
          </w:tcPr>
          <w:p w:rsidR="007C42AB" w:rsidRPr="004E6F01" w:rsidRDefault="007C42AB" w:rsidP="00065FB5">
            <w:pPr>
              <w:tabs>
                <w:tab w:val="left" w:pos="510"/>
              </w:tabs>
              <w:jc w:val="center"/>
              <w:rPr>
                <w:b/>
                <w:lang w:val="lt-LT"/>
              </w:rPr>
            </w:pPr>
            <w:r>
              <w:rPr>
                <w:b/>
                <w:lang w:val="lt-LT"/>
              </w:rPr>
              <w:t>0</w:t>
            </w:r>
          </w:p>
        </w:tc>
        <w:tc>
          <w:tcPr>
            <w:tcW w:w="983" w:type="dxa"/>
            <w:gridSpan w:val="6"/>
            <w:vMerge w:val="restart"/>
            <w:tcBorders>
              <w:top w:val="nil"/>
              <w:left w:val="single" w:sz="4" w:space="0" w:color="auto"/>
              <w:right w:val="single" w:sz="4" w:space="0" w:color="auto"/>
            </w:tcBorders>
            <w:shd w:val="clear" w:color="auto" w:fill="FFFFFF"/>
            <w:textDirection w:val="btLr"/>
          </w:tcPr>
          <w:p w:rsidR="007C42AB" w:rsidRPr="00F4100B" w:rsidRDefault="007C42AB" w:rsidP="00065FB5">
            <w:pPr>
              <w:tabs>
                <w:tab w:val="left" w:pos="510"/>
              </w:tabs>
              <w:ind w:left="113" w:right="113"/>
              <w:jc w:val="center"/>
              <w:rPr>
                <w:b/>
                <w:lang w:val="lt-LT"/>
              </w:rPr>
            </w:pPr>
            <w:r>
              <w:rPr>
                <w:b/>
                <w:lang w:val="lt-LT"/>
              </w:rPr>
              <w:t>Pardavimo savikaina, veiklos sąnaudo</w:t>
            </w:r>
            <w:r w:rsidRPr="00F4100B">
              <w:rPr>
                <w:b/>
                <w:lang w:val="lt-LT"/>
              </w:rPr>
              <w:t>s – Tikslumas</w:t>
            </w: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X</w:t>
            </w:r>
          </w:p>
        </w:tc>
        <w:tc>
          <w:tcPr>
            <w:tcW w:w="1133" w:type="dxa"/>
            <w:gridSpan w:val="6"/>
            <w:tcBorders>
              <w:top w:val="single" w:sz="4" w:space="0" w:color="auto"/>
              <w:left w:val="single" w:sz="4" w:space="0" w:color="auto"/>
              <w:bottom w:val="single" w:sz="4" w:space="0" w:color="auto"/>
              <w:right w:val="single" w:sz="4" w:space="0" w:color="auto"/>
            </w:tcBorders>
          </w:tcPr>
          <w:p w:rsidR="007C42AB" w:rsidRPr="00F613DC" w:rsidRDefault="007C42AB" w:rsidP="00065FB5">
            <w:pPr>
              <w:tabs>
                <w:tab w:val="left" w:pos="510"/>
              </w:tabs>
              <w:jc w:val="center"/>
              <w:rPr>
                <w:b/>
                <w:lang w:val="lt-LT"/>
              </w:rPr>
            </w:pPr>
            <w:r w:rsidRPr="00F613DC">
              <w:rPr>
                <w:b/>
                <w:lang w:val="lt-LT"/>
              </w:rPr>
              <w:t>9</w:t>
            </w:r>
          </w:p>
        </w:tc>
        <w:tc>
          <w:tcPr>
            <w:tcW w:w="1575" w:type="dxa"/>
            <w:gridSpan w:val="4"/>
            <w:vMerge w:val="restart"/>
            <w:tcBorders>
              <w:top w:val="single" w:sz="4" w:space="0" w:color="auto"/>
              <w:left w:val="single" w:sz="4" w:space="0" w:color="auto"/>
              <w:right w:val="single" w:sz="4" w:space="0" w:color="auto"/>
            </w:tcBorders>
            <w:textDirection w:val="btLr"/>
          </w:tcPr>
          <w:p w:rsidR="007C42AB" w:rsidRPr="004273CC" w:rsidRDefault="007C42AB" w:rsidP="00065FB5">
            <w:pPr>
              <w:tabs>
                <w:tab w:val="left" w:pos="510"/>
              </w:tabs>
              <w:ind w:left="113" w:right="113"/>
              <w:jc w:val="center"/>
              <w:rPr>
                <w:lang w:val="lt-LT"/>
              </w:rPr>
            </w:pPr>
            <w:r w:rsidRPr="00F4100B">
              <w:rPr>
                <w:b/>
                <w:lang w:val="lt-LT"/>
              </w:rPr>
              <w:t>Sąnaudos – Tikslumas</w:t>
            </w: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Pr>
                <w:b/>
                <w:lang w:val="lt-LT"/>
              </w:rPr>
              <w:t>0</w:t>
            </w:r>
          </w:p>
        </w:tc>
        <w:tc>
          <w:tcPr>
            <w:tcW w:w="1161" w:type="dxa"/>
            <w:gridSpan w:val="7"/>
            <w:tcBorders>
              <w:top w:val="single" w:sz="4" w:space="0" w:color="auto"/>
              <w:left w:val="single" w:sz="4" w:space="0" w:color="auto"/>
              <w:bottom w:val="nil"/>
              <w:right w:val="single" w:sz="4" w:space="0" w:color="auto"/>
            </w:tcBorders>
          </w:tcPr>
          <w:p w:rsidR="007C42AB" w:rsidRPr="004E6F01" w:rsidRDefault="007C42AB" w:rsidP="00065FB5">
            <w:pPr>
              <w:tabs>
                <w:tab w:val="left" w:pos="510"/>
              </w:tabs>
              <w:jc w:val="center"/>
              <w:rPr>
                <w:b/>
                <w:lang w:val="lt-LT"/>
              </w:rPr>
            </w:pP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3</w:t>
            </w:r>
          </w:p>
        </w:tc>
        <w:tc>
          <w:tcPr>
            <w:tcW w:w="1133" w:type="dxa"/>
            <w:gridSpan w:val="6"/>
            <w:tcBorders>
              <w:top w:val="single" w:sz="4" w:space="0" w:color="auto"/>
              <w:left w:val="single" w:sz="4" w:space="0" w:color="auto"/>
              <w:bottom w:val="nil"/>
              <w:right w:val="single" w:sz="4" w:space="0" w:color="auto"/>
            </w:tcBorders>
          </w:tcPr>
          <w:p w:rsidR="007C42AB" w:rsidRPr="00F613DC" w:rsidRDefault="007C42AB" w:rsidP="00065FB5">
            <w:pPr>
              <w:tabs>
                <w:tab w:val="left" w:pos="510"/>
              </w:tabs>
              <w:jc w:val="center"/>
              <w:rPr>
                <w:b/>
                <w:lang w:val="lt-LT"/>
              </w:rPr>
            </w:pP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Height w:val="222"/>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Pr>
                <w:b/>
                <w:lang w:val="lt-LT"/>
              </w:rPr>
              <w:t>0</w:t>
            </w:r>
          </w:p>
        </w:tc>
        <w:tc>
          <w:tcPr>
            <w:tcW w:w="1161" w:type="dxa"/>
            <w:gridSpan w:val="7"/>
            <w:tcBorders>
              <w:top w:val="nil"/>
              <w:left w:val="single" w:sz="4" w:space="0" w:color="auto"/>
              <w:bottom w:val="nil"/>
              <w:right w:val="single" w:sz="4" w:space="0" w:color="auto"/>
            </w:tcBorders>
          </w:tcPr>
          <w:p w:rsidR="007C42AB" w:rsidRPr="004E6F01" w:rsidRDefault="007C42AB" w:rsidP="00065FB5">
            <w:pPr>
              <w:tabs>
                <w:tab w:val="left" w:pos="510"/>
              </w:tabs>
              <w:jc w:val="center"/>
              <w:rPr>
                <w:b/>
                <w:lang w:val="lt-LT"/>
              </w:rPr>
            </w:pP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15</w:t>
            </w:r>
          </w:p>
        </w:tc>
        <w:tc>
          <w:tcPr>
            <w:tcW w:w="1133" w:type="dxa"/>
            <w:gridSpan w:val="6"/>
            <w:tcBorders>
              <w:top w:val="nil"/>
              <w:left w:val="single" w:sz="4" w:space="0" w:color="auto"/>
              <w:bottom w:val="nil"/>
              <w:right w:val="single" w:sz="4" w:space="0" w:color="auto"/>
            </w:tcBorders>
          </w:tcPr>
          <w:p w:rsidR="007C42AB" w:rsidRPr="00F613DC" w:rsidRDefault="007C42AB" w:rsidP="00065FB5">
            <w:pPr>
              <w:tabs>
                <w:tab w:val="left" w:pos="510"/>
              </w:tabs>
              <w:jc w:val="center"/>
              <w:rPr>
                <w:b/>
                <w:lang w:val="lt-LT"/>
              </w:rPr>
            </w:pP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8"/>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7C42AB" w:rsidRPr="004E6F01" w:rsidRDefault="007C42AB" w:rsidP="00065FB5">
            <w:pPr>
              <w:tabs>
                <w:tab w:val="left" w:pos="510"/>
              </w:tabs>
              <w:jc w:val="center"/>
              <w:rPr>
                <w:b/>
                <w:lang w:val="lt-LT"/>
              </w:rPr>
            </w:pPr>
            <w:r>
              <w:rPr>
                <w:b/>
                <w:lang w:val="lt-LT"/>
              </w:rPr>
              <w:t>0</w:t>
            </w:r>
          </w:p>
        </w:tc>
        <w:tc>
          <w:tcPr>
            <w:tcW w:w="1161" w:type="dxa"/>
            <w:gridSpan w:val="7"/>
            <w:tcBorders>
              <w:top w:val="nil"/>
              <w:left w:val="single" w:sz="4" w:space="0" w:color="auto"/>
              <w:bottom w:val="single" w:sz="4" w:space="0" w:color="auto"/>
              <w:right w:val="single" w:sz="4" w:space="0" w:color="auto"/>
            </w:tcBorders>
          </w:tcPr>
          <w:p w:rsidR="007C42AB" w:rsidRPr="004E6F01" w:rsidRDefault="007C42AB" w:rsidP="00065FB5">
            <w:pPr>
              <w:tabs>
                <w:tab w:val="left" w:pos="510"/>
              </w:tabs>
              <w:jc w:val="center"/>
              <w:rPr>
                <w:b/>
                <w:sz w:val="18"/>
                <w:szCs w:val="18"/>
                <w:lang w:val="lt-LT"/>
              </w:rPr>
            </w:pPr>
            <w:r>
              <w:rPr>
                <w:b/>
                <w:sz w:val="18"/>
                <w:szCs w:val="18"/>
                <w:lang w:val="lt-LT"/>
              </w:rPr>
              <w:t>MAŽA</w:t>
            </w:r>
          </w:p>
        </w:tc>
        <w:tc>
          <w:tcPr>
            <w:tcW w:w="983" w:type="dxa"/>
            <w:gridSpan w:val="6"/>
            <w:vMerge/>
            <w:tcBorders>
              <w:left w:val="single" w:sz="4" w:space="0" w:color="auto"/>
              <w:right w:val="single" w:sz="4" w:space="0" w:color="auto"/>
            </w:tcBorders>
            <w:shd w:val="clear" w:color="auto" w:fill="FFFFFF"/>
            <w:vAlign w:val="center"/>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7"/>
            <w:tcBorders>
              <w:bottom w:val="single" w:sz="4" w:space="0" w:color="auto"/>
              <w:right w:val="single" w:sz="4" w:space="0" w:color="auto"/>
            </w:tcBorders>
            <w:shd w:val="clear" w:color="auto" w:fill="D9D9D9"/>
          </w:tcPr>
          <w:p w:rsidR="007C42AB" w:rsidRPr="00F613DC" w:rsidRDefault="007C42AB" w:rsidP="00065FB5">
            <w:pPr>
              <w:tabs>
                <w:tab w:val="left" w:pos="510"/>
              </w:tabs>
              <w:jc w:val="center"/>
              <w:rPr>
                <w:b/>
                <w:lang w:val="lt-LT"/>
              </w:rPr>
            </w:pPr>
            <w:r w:rsidRPr="00F613DC">
              <w:rPr>
                <w:b/>
                <w:lang w:val="lt-LT"/>
              </w:rPr>
              <w:t>60</w:t>
            </w:r>
          </w:p>
        </w:tc>
        <w:tc>
          <w:tcPr>
            <w:tcW w:w="1133" w:type="dxa"/>
            <w:gridSpan w:val="6"/>
            <w:tcBorders>
              <w:top w:val="nil"/>
              <w:left w:val="single" w:sz="4" w:space="0" w:color="auto"/>
              <w:bottom w:val="single" w:sz="4" w:space="0" w:color="auto"/>
              <w:right w:val="single" w:sz="4" w:space="0" w:color="auto"/>
            </w:tcBorders>
          </w:tcPr>
          <w:p w:rsidR="007C42AB" w:rsidRPr="00F613DC" w:rsidRDefault="007C42AB" w:rsidP="00065FB5">
            <w:pPr>
              <w:tabs>
                <w:tab w:val="left" w:pos="510"/>
              </w:tabs>
              <w:jc w:val="center"/>
              <w:rPr>
                <w:b/>
                <w:lang w:val="lt-LT"/>
              </w:rPr>
            </w:pPr>
            <w:r w:rsidRPr="00F613DC">
              <w:rPr>
                <w:b/>
                <w:sz w:val="18"/>
                <w:szCs w:val="18"/>
                <w:lang w:val="lt-LT"/>
              </w:rPr>
              <w:t>VIDUTINĖ</w:t>
            </w: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sidRPr="004E6F01">
              <w:rPr>
                <w:b/>
                <w:lang w:val="lt-LT"/>
              </w:rPr>
              <w:t>X</w:t>
            </w:r>
          </w:p>
        </w:tc>
        <w:tc>
          <w:tcPr>
            <w:tcW w:w="1161" w:type="dxa"/>
            <w:gridSpan w:val="7"/>
            <w:tcBorders>
              <w:top w:val="nil"/>
              <w:left w:val="single" w:sz="4" w:space="0" w:color="auto"/>
              <w:bottom w:val="single" w:sz="4" w:space="0" w:color="auto"/>
              <w:right w:val="single" w:sz="4" w:space="0" w:color="auto"/>
            </w:tcBorders>
          </w:tcPr>
          <w:p w:rsidR="007C42AB" w:rsidRPr="004E6F01" w:rsidRDefault="007C42AB" w:rsidP="00065FB5">
            <w:pPr>
              <w:tabs>
                <w:tab w:val="left" w:pos="510"/>
              </w:tabs>
              <w:jc w:val="center"/>
              <w:rPr>
                <w:b/>
                <w:lang w:val="lt-LT"/>
              </w:rPr>
            </w:pPr>
            <w:r w:rsidRPr="004E6F01">
              <w:rPr>
                <w:b/>
                <w:lang w:val="lt-LT"/>
              </w:rPr>
              <w:t>0</w:t>
            </w: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X</w:t>
            </w:r>
          </w:p>
        </w:tc>
        <w:tc>
          <w:tcPr>
            <w:tcW w:w="1133" w:type="dxa"/>
            <w:gridSpan w:val="6"/>
            <w:tcBorders>
              <w:top w:val="nil"/>
              <w:left w:val="single" w:sz="4" w:space="0" w:color="auto"/>
              <w:bottom w:val="single" w:sz="4" w:space="0" w:color="auto"/>
              <w:right w:val="single" w:sz="4" w:space="0" w:color="auto"/>
            </w:tcBorders>
          </w:tcPr>
          <w:p w:rsidR="007C42AB" w:rsidRPr="00F613DC" w:rsidRDefault="007C42AB" w:rsidP="00065FB5">
            <w:pPr>
              <w:tabs>
                <w:tab w:val="left" w:pos="510"/>
              </w:tabs>
              <w:jc w:val="center"/>
              <w:rPr>
                <w:b/>
                <w:lang w:val="lt-LT"/>
              </w:rPr>
            </w:pPr>
            <w:r w:rsidRPr="00F613DC">
              <w:rPr>
                <w:b/>
                <w:lang w:val="lt-LT"/>
              </w:rPr>
              <w:t>0</w:t>
            </w: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sidRPr="004E6F01">
              <w:rPr>
                <w:b/>
                <w:lang w:val="lt-LT"/>
              </w:rPr>
              <w:t>0</w:t>
            </w:r>
          </w:p>
        </w:tc>
        <w:tc>
          <w:tcPr>
            <w:tcW w:w="1161" w:type="dxa"/>
            <w:gridSpan w:val="7"/>
            <w:tcBorders>
              <w:top w:val="single" w:sz="4" w:space="0" w:color="auto"/>
              <w:left w:val="single" w:sz="4" w:space="0" w:color="auto"/>
              <w:bottom w:val="nil"/>
              <w:right w:val="single" w:sz="4" w:space="0" w:color="auto"/>
            </w:tcBorders>
          </w:tcPr>
          <w:p w:rsidR="007C42AB" w:rsidRPr="004E6F01" w:rsidRDefault="007C42AB" w:rsidP="00065FB5">
            <w:pPr>
              <w:tabs>
                <w:tab w:val="left" w:pos="510"/>
              </w:tabs>
              <w:jc w:val="center"/>
              <w:rPr>
                <w:b/>
                <w:lang w:val="lt-LT"/>
              </w:rPr>
            </w:pP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0</w:t>
            </w:r>
          </w:p>
        </w:tc>
        <w:tc>
          <w:tcPr>
            <w:tcW w:w="1133" w:type="dxa"/>
            <w:gridSpan w:val="6"/>
            <w:tcBorders>
              <w:top w:val="single" w:sz="4" w:space="0" w:color="auto"/>
              <w:left w:val="single" w:sz="4" w:space="0" w:color="auto"/>
              <w:bottom w:val="nil"/>
              <w:right w:val="single" w:sz="4" w:space="0" w:color="auto"/>
            </w:tcBorders>
          </w:tcPr>
          <w:p w:rsidR="007C42AB" w:rsidRPr="00F613DC" w:rsidRDefault="007C42AB" w:rsidP="00065FB5">
            <w:pPr>
              <w:tabs>
                <w:tab w:val="left" w:pos="510"/>
              </w:tabs>
              <w:jc w:val="center"/>
              <w:rPr>
                <w:b/>
                <w:lang w:val="lt-LT"/>
              </w:rPr>
            </w:pP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sidRPr="004E6F01">
              <w:rPr>
                <w:b/>
                <w:lang w:val="lt-LT"/>
              </w:rPr>
              <w:t>0</w:t>
            </w:r>
          </w:p>
        </w:tc>
        <w:tc>
          <w:tcPr>
            <w:tcW w:w="1161" w:type="dxa"/>
            <w:gridSpan w:val="7"/>
            <w:tcBorders>
              <w:top w:val="nil"/>
              <w:left w:val="single" w:sz="4" w:space="0" w:color="auto"/>
              <w:bottom w:val="nil"/>
              <w:right w:val="single" w:sz="4" w:space="0" w:color="auto"/>
            </w:tcBorders>
          </w:tcPr>
          <w:p w:rsidR="007C42AB" w:rsidRPr="004E6F01" w:rsidRDefault="007C42AB" w:rsidP="00065FB5">
            <w:pPr>
              <w:tabs>
                <w:tab w:val="left" w:pos="510"/>
              </w:tabs>
              <w:jc w:val="center"/>
              <w:rPr>
                <w:b/>
                <w:lang w:val="lt-LT"/>
              </w:rPr>
            </w:pPr>
          </w:p>
        </w:tc>
        <w:tc>
          <w:tcPr>
            <w:tcW w:w="983" w:type="dxa"/>
            <w:gridSpan w:val="6"/>
            <w:vMerge/>
            <w:tcBorders>
              <w:left w:val="single" w:sz="4" w:space="0" w:color="auto"/>
              <w:right w:val="single" w:sz="4" w:space="0" w:color="auto"/>
            </w:tcBorders>
            <w:shd w:val="clear" w:color="auto" w:fill="FFFFFF"/>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0</w:t>
            </w:r>
          </w:p>
        </w:tc>
        <w:tc>
          <w:tcPr>
            <w:tcW w:w="1133" w:type="dxa"/>
            <w:gridSpan w:val="6"/>
            <w:tcBorders>
              <w:top w:val="nil"/>
              <w:left w:val="single" w:sz="4" w:space="0" w:color="auto"/>
              <w:bottom w:val="nil"/>
              <w:right w:val="single" w:sz="4" w:space="0" w:color="auto"/>
            </w:tcBorders>
          </w:tcPr>
          <w:p w:rsidR="007C42AB" w:rsidRPr="00F613DC" w:rsidRDefault="007C42AB" w:rsidP="00065FB5">
            <w:pPr>
              <w:tabs>
                <w:tab w:val="left" w:pos="510"/>
              </w:tabs>
              <w:jc w:val="center"/>
              <w:rPr>
                <w:b/>
                <w:lang w:val="lt-LT"/>
              </w:rPr>
            </w:pP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ind w:left="113" w:right="113"/>
              <w:jc w:val="center"/>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8"/>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7C42AB" w:rsidRPr="004E6F01" w:rsidRDefault="007C42AB" w:rsidP="00065FB5">
            <w:pPr>
              <w:tabs>
                <w:tab w:val="left" w:pos="510"/>
              </w:tabs>
              <w:jc w:val="center"/>
              <w:rPr>
                <w:b/>
                <w:lang w:val="lt-LT"/>
              </w:rPr>
            </w:pPr>
            <w:r w:rsidRPr="004E6F01">
              <w:rPr>
                <w:b/>
                <w:lang w:val="lt-LT"/>
              </w:rPr>
              <w:t>0</w:t>
            </w:r>
          </w:p>
        </w:tc>
        <w:tc>
          <w:tcPr>
            <w:tcW w:w="1161" w:type="dxa"/>
            <w:gridSpan w:val="7"/>
            <w:tcBorders>
              <w:top w:val="nil"/>
              <w:left w:val="single" w:sz="4" w:space="0" w:color="auto"/>
              <w:bottom w:val="single" w:sz="4" w:space="0" w:color="auto"/>
              <w:right w:val="single" w:sz="4" w:space="0" w:color="auto"/>
            </w:tcBorders>
          </w:tcPr>
          <w:p w:rsidR="007C42AB" w:rsidRPr="004E6F01" w:rsidRDefault="007C42AB" w:rsidP="00065FB5">
            <w:pPr>
              <w:tabs>
                <w:tab w:val="left" w:pos="510"/>
              </w:tabs>
              <w:jc w:val="center"/>
              <w:rPr>
                <w:b/>
                <w:lang w:val="lt-LT"/>
              </w:rPr>
            </w:pPr>
            <w:r w:rsidRPr="004E6F01">
              <w:rPr>
                <w:b/>
                <w:lang w:val="lt-LT"/>
              </w:rPr>
              <w:t>MAŽA</w:t>
            </w:r>
          </w:p>
        </w:tc>
        <w:tc>
          <w:tcPr>
            <w:tcW w:w="983" w:type="dxa"/>
            <w:gridSpan w:val="6"/>
            <w:vMerge/>
            <w:tcBorders>
              <w:left w:val="single" w:sz="4" w:space="0" w:color="auto"/>
              <w:bottom w:val="single" w:sz="4" w:space="0" w:color="auto"/>
              <w:right w:val="single" w:sz="4" w:space="0" w:color="auto"/>
            </w:tcBorders>
            <w:shd w:val="clear" w:color="auto" w:fill="FFFFFF"/>
            <w:vAlign w:val="center"/>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7"/>
            <w:tcBorders>
              <w:bottom w:val="single" w:sz="4" w:space="0" w:color="auto"/>
              <w:right w:val="single" w:sz="4" w:space="0" w:color="auto"/>
            </w:tcBorders>
            <w:shd w:val="clear" w:color="auto" w:fill="D9D9D9"/>
          </w:tcPr>
          <w:p w:rsidR="007C42AB" w:rsidRPr="00F613DC" w:rsidRDefault="007C42AB" w:rsidP="00065FB5">
            <w:pPr>
              <w:tabs>
                <w:tab w:val="left" w:pos="510"/>
              </w:tabs>
              <w:jc w:val="center"/>
              <w:rPr>
                <w:b/>
                <w:lang w:val="lt-LT"/>
              </w:rPr>
            </w:pPr>
            <w:r w:rsidRPr="00F613DC">
              <w:rPr>
                <w:b/>
                <w:lang w:val="lt-LT"/>
              </w:rPr>
              <w:t>0</w:t>
            </w:r>
          </w:p>
        </w:tc>
        <w:tc>
          <w:tcPr>
            <w:tcW w:w="1133" w:type="dxa"/>
            <w:gridSpan w:val="6"/>
            <w:tcBorders>
              <w:top w:val="nil"/>
              <w:left w:val="single" w:sz="4" w:space="0" w:color="auto"/>
              <w:bottom w:val="single" w:sz="4" w:space="0" w:color="auto"/>
              <w:right w:val="single" w:sz="4" w:space="0" w:color="auto"/>
            </w:tcBorders>
          </w:tcPr>
          <w:p w:rsidR="007C42AB" w:rsidRPr="00F613DC" w:rsidRDefault="007C42AB" w:rsidP="00065FB5">
            <w:pPr>
              <w:tabs>
                <w:tab w:val="left" w:pos="510"/>
              </w:tabs>
              <w:jc w:val="center"/>
              <w:rPr>
                <w:b/>
                <w:lang w:val="lt-LT"/>
              </w:rPr>
            </w:pPr>
            <w:r w:rsidRPr="00F613DC">
              <w:rPr>
                <w:b/>
                <w:lang w:val="lt-LT"/>
              </w:rPr>
              <w:t>MAŽA</w:t>
            </w:r>
          </w:p>
        </w:tc>
        <w:tc>
          <w:tcPr>
            <w:tcW w:w="1575" w:type="dxa"/>
            <w:gridSpan w:val="4"/>
            <w:vMerge/>
            <w:tcBorders>
              <w:left w:val="single" w:sz="4" w:space="0" w:color="auto"/>
              <w:bottom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textDirection w:val="btLr"/>
          </w:tcPr>
          <w:p w:rsidR="007C42AB" w:rsidRPr="004273CC" w:rsidRDefault="007C42AB" w:rsidP="00065FB5">
            <w:pPr>
              <w:tabs>
                <w:tab w:val="left" w:pos="510"/>
              </w:tabs>
              <w:ind w:left="113" w:right="113"/>
              <w:jc w:val="center"/>
              <w:rPr>
                <w:lang w:val="lt-LT"/>
              </w:rPr>
            </w:pPr>
          </w:p>
        </w:tc>
        <w:tc>
          <w:tcPr>
            <w:tcW w:w="4432" w:type="dxa"/>
            <w:gridSpan w:val="19"/>
            <w:tcBorders>
              <w:top w:val="single" w:sz="4" w:space="0" w:color="auto"/>
              <w:bottom w:val="single" w:sz="4" w:space="0" w:color="auto"/>
              <w:right w:val="nil"/>
            </w:tcBorders>
            <w:shd w:val="clear" w:color="auto" w:fill="F2F2F2" w:themeFill="background1" w:themeFillShade="F2"/>
          </w:tcPr>
          <w:p w:rsidR="007C42AB" w:rsidRDefault="007C42AB" w:rsidP="00065FB5">
            <w:pPr>
              <w:tabs>
                <w:tab w:val="left" w:pos="510"/>
              </w:tabs>
              <w:jc w:val="right"/>
              <w:rPr>
                <w:b/>
                <w:lang w:val="lt-LT"/>
              </w:rPr>
            </w:pPr>
          </w:p>
        </w:tc>
        <w:tc>
          <w:tcPr>
            <w:tcW w:w="1132" w:type="dxa"/>
            <w:gridSpan w:val="8"/>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9" w:type="dxa"/>
            <w:gridSpan w:val="8"/>
            <w:tcBorders>
              <w:top w:val="single" w:sz="4" w:space="0" w:color="auto"/>
              <w:left w:val="nil"/>
              <w:bottom w:val="single" w:sz="4" w:space="0" w:color="auto"/>
              <w:right w:val="nil"/>
            </w:tcBorders>
            <w:shd w:val="clear" w:color="auto" w:fill="F2F2F2" w:themeFill="background1" w:themeFillShade="F2"/>
          </w:tcPr>
          <w:p w:rsidR="007C42AB" w:rsidRPr="004E6F01" w:rsidRDefault="007C42AB" w:rsidP="00065FB5">
            <w:pPr>
              <w:tabs>
                <w:tab w:val="left" w:pos="510"/>
              </w:tabs>
              <w:jc w:val="center"/>
              <w:rPr>
                <w:b/>
                <w:lang w:val="lt-LT"/>
              </w:rPr>
            </w:pPr>
          </w:p>
        </w:tc>
        <w:tc>
          <w:tcPr>
            <w:tcW w:w="1161" w:type="dxa"/>
            <w:gridSpan w:val="7"/>
            <w:tcBorders>
              <w:top w:val="single" w:sz="4" w:space="0" w:color="auto"/>
              <w:left w:val="nil"/>
              <w:bottom w:val="single" w:sz="4" w:space="0" w:color="auto"/>
              <w:right w:val="nil"/>
            </w:tcBorders>
            <w:shd w:val="clear" w:color="auto" w:fill="F2F2F2" w:themeFill="background1" w:themeFillShade="F2"/>
          </w:tcPr>
          <w:p w:rsidR="007C42AB" w:rsidRPr="004E6F01" w:rsidRDefault="007C42AB" w:rsidP="00065FB5">
            <w:pPr>
              <w:tabs>
                <w:tab w:val="left" w:pos="510"/>
              </w:tabs>
              <w:jc w:val="center"/>
              <w:rPr>
                <w:b/>
                <w:lang w:val="lt-LT"/>
              </w:rPr>
            </w:pPr>
          </w:p>
        </w:tc>
        <w:tc>
          <w:tcPr>
            <w:tcW w:w="983" w:type="dxa"/>
            <w:gridSpan w:val="6"/>
            <w:tcBorders>
              <w:top w:val="single" w:sz="4" w:space="0" w:color="auto"/>
              <w:left w:val="nil"/>
              <w:bottom w:val="single" w:sz="4" w:space="0" w:color="auto"/>
              <w:right w:val="nil"/>
            </w:tcBorders>
            <w:shd w:val="clear" w:color="auto" w:fill="F2F2F2" w:themeFill="background1" w:themeFillShade="F2"/>
            <w:vAlign w:val="center"/>
          </w:tcPr>
          <w:p w:rsidR="007C42AB" w:rsidRPr="004273CC" w:rsidRDefault="007C42AB" w:rsidP="00065FB5">
            <w:pPr>
              <w:tabs>
                <w:tab w:val="left" w:pos="510"/>
              </w:tabs>
              <w:jc w:val="both"/>
              <w:rPr>
                <w:lang w:val="lt-LT"/>
              </w:rPr>
            </w:pPr>
          </w:p>
        </w:tc>
        <w:tc>
          <w:tcPr>
            <w:tcW w:w="990" w:type="dxa"/>
            <w:gridSpan w:val="4"/>
            <w:tcBorders>
              <w:top w:val="single" w:sz="4" w:space="0" w:color="auto"/>
              <w:left w:val="nil"/>
              <w:bottom w:val="single" w:sz="4" w:space="0" w:color="auto"/>
              <w:right w:val="nil"/>
            </w:tcBorders>
            <w:shd w:val="clear" w:color="auto" w:fill="F2F2F2" w:themeFill="background1" w:themeFillShade="F2"/>
            <w:vAlign w:val="center"/>
          </w:tcPr>
          <w:p w:rsidR="007C42AB" w:rsidRDefault="007C42AB" w:rsidP="00065FB5">
            <w:pPr>
              <w:tabs>
                <w:tab w:val="left" w:pos="510"/>
              </w:tabs>
              <w:jc w:val="both"/>
              <w:rPr>
                <w:b/>
                <w:lang w:val="lt-LT"/>
              </w:rPr>
            </w:pPr>
          </w:p>
        </w:tc>
        <w:tc>
          <w:tcPr>
            <w:tcW w:w="708" w:type="dxa"/>
            <w:gridSpan w:val="7"/>
            <w:tcBorders>
              <w:top w:val="single" w:sz="4" w:space="0" w:color="auto"/>
              <w:left w:val="nil"/>
              <w:bottom w:val="single" w:sz="4" w:space="0" w:color="auto"/>
              <w:right w:val="nil"/>
            </w:tcBorders>
            <w:shd w:val="clear" w:color="auto" w:fill="F2F2F2" w:themeFill="background1" w:themeFillShade="F2"/>
          </w:tcPr>
          <w:p w:rsidR="007C42AB" w:rsidRPr="00F613DC" w:rsidRDefault="007C42AB" w:rsidP="00065FB5">
            <w:pPr>
              <w:tabs>
                <w:tab w:val="left" w:pos="510"/>
              </w:tabs>
              <w:jc w:val="center"/>
              <w:rPr>
                <w:b/>
                <w:lang w:val="lt-LT"/>
              </w:rPr>
            </w:pPr>
          </w:p>
        </w:tc>
        <w:tc>
          <w:tcPr>
            <w:tcW w:w="1133" w:type="dxa"/>
            <w:gridSpan w:val="6"/>
            <w:tcBorders>
              <w:top w:val="single" w:sz="4" w:space="0" w:color="auto"/>
              <w:left w:val="nil"/>
              <w:bottom w:val="single" w:sz="4" w:space="0" w:color="auto"/>
              <w:right w:val="nil"/>
            </w:tcBorders>
            <w:shd w:val="clear" w:color="auto" w:fill="F2F2F2" w:themeFill="background1" w:themeFillShade="F2"/>
          </w:tcPr>
          <w:p w:rsidR="007C42AB" w:rsidRPr="00F613DC" w:rsidRDefault="007C42AB" w:rsidP="00065FB5">
            <w:pPr>
              <w:tabs>
                <w:tab w:val="left" w:pos="510"/>
              </w:tabs>
              <w:jc w:val="center"/>
              <w:rPr>
                <w:b/>
                <w:lang w:val="lt-LT"/>
              </w:rPr>
            </w:pPr>
          </w:p>
        </w:tc>
        <w:tc>
          <w:tcPr>
            <w:tcW w:w="1575" w:type="dxa"/>
            <w:gridSpan w:val="4"/>
            <w:tcBorders>
              <w:top w:val="single" w:sz="4" w:space="0" w:color="auto"/>
              <w:left w:val="nil"/>
              <w:bottom w:val="single" w:sz="4" w:space="0" w:color="auto"/>
              <w:right w:val="single" w:sz="4" w:space="0" w:color="auto"/>
            </w:tcBorders>
            <w:shd w:val="clear" w:color="auto" w:fill="F2F2F2" w:themeFill="background1" w:themeFillShade="F2"/>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val="restart"/>
            <w:textDirection w:val="btLr"/>
          </w:tcPr>
          <w:p w:rsidR="007C42AB" w:rsidRPr="004273CC" w:rsidRDefault="007C42AB" w:rsidP="00065FB5">
            <w:pPr>
              <w:tabs>
                <w:tab w:val="left" w:pos="510"/>
              </w:tabs>
              <w:ind w:left="113" w:right="113"/>
              <w:jc w:val="center"/>
              <w:rPr>
                <w:lang w:val="lt-LT"/>
              </w:rPr>
            </w:pPr>
            <w:r w:rsidRPr="00981AD4">
              <w:rPr>
                <w:b/>
                <w:lang w:val="lt-LT"/>
              </w:rPr>
              <w:lastRenderedPageBreak/>
              <w:t>Pajamos ir sąnaudos</w:t>
            </w: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ĮGIMTA </w:t>
            </w:r>
            <w:r w:rsidRPr="004273CC">
              <w:rPr>
                <w:b/>
                <w:lang w:val="lt-LT"/>
              </w:rPr>
              <w:t>RIZIK</w:t>
            </w:r>
            <w:r>
              <w:rPr>
                <w:b/>
                <w:lang w:val="lt-LT"/>
              </w:rPr>
              <w:t>A</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sidRPr="004E6F01">
              <w:rPr>
                <w:b/>
                <w:lang w:val="lt-LT"/>
              </w:rPr>
              <w:t>X</w:t>
            </w:r>
          </w:p>
        </w:tc>
        <w:tc>
          <w:tcPr>
            <w:tcW w:w="2144" w:type="dxa"/>
            <w:gridSpan w:val="13"/>
            <w:vMerge w:val="restart"/>
            <w:tcBorders>
              <w:top w:val="single" w:sz="4" w:space="0" w:color="auto"/>
              <w:left w:val="single" w:sz="4" w:space="0" w:color="auto"/>
              <w:right w:val="single" w:sz="4" w:space="0" w:color="auto"/>
            </w:tcBorders>
          </w:tcPr>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Default="007C42AB" w:rsidP="00065FB5">
            <w:pPr>
              <w:tabs>
                <w:tab w:val="left" w:pos="510"/>
              </w:tabs>
              <w:jc w:val="center"/>
              <w:rPr>
                <w:b/>
                <w:lang w:val="lt-LT"/>
              </w:rPr>
            </w:pPr>
          </w:p>
          <w:p w:rsidR="007C42AB" w:rsidRPr="00F4100B" w:rsidRDefault="007C42AB" w:rsidP="00065FB5">
            <w:pPr>
              <w:tabs>
                <w:tab w:val="left" w:pos="510"/>
              </w:tabs>
              <w:jc w:val="center"/>
              <w:rPr>
                <w:b/>
                <w:lang w:val="lt-LT"/>
              </w:rPr>
            </w:pPr>
            <w:r>
              <w:rPr>
                <w:b/>
                <w:lang w:val="lt-LT"/>
              </w:rPr>
              <w:t>NETAIKOMA</w:t>
            </w: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1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X</w:t>
            </w:r>
          </w:p>
        </w:tc>
        <w:tc>
          <w:tcPr>
            <w:tcW w:w="1133" w:type="dxa"/>
            <w:gridSpan w:val="6"/>
            <w:tcBorders>
              <w:top w:val="single" w:sz="4" w:space="0" w:color="auto"/>
              <w:left w:val="single" w:sz="4" w:space="0" w:color="auto"/>
              <w:bottom w:val="single" w:sz="4" w:space="0" w:color="auto"/>
              <w:right w:val="single" w:sz="4" w:space="0" w:color="auto"/>
            </w:tcBorders>
          </w:tcPr>
          <w:p w:rsidR="007C42AB" w:rsidRPr="00F613DC" w:rsidRDefault="007C42AB" w:rsidP="00065FB5">
            <w:pPr>
              <w:tabs>
                <w:tab w:val="left" w:pos="510"/>
              </w:tabs>
              <w:jc w:val="center"/>
              <w:rPr>
                <w:b/>
                <w:lang w:val="lt-LT"/>
              </w:rPr>
            </w:pPr>
            <w:r>
              <w:rPr>
                <w:b/>
                <w:lang w:val="lt-LT"/>
              </w:rPr>
              <w:t>0</w:t>
            </w:r>
          </w:p>
        </w:tc>
        <w:tc>
          <w:tcPr>
            <w:tcW w:w="1575" w:type="dxa"/>
            <w:gridSpan w:val="4"/>
            <w:vMerge w:val="restart"/>
            <w:tcBorders>
              <w:top w:val="single" w:sz="4" w:space="0" w:color="auto"/>
              <w:left w:val="single" w:sz="4" w:space="0" w:color="auto"/>
              <w:right w:val="single" w:sz="4" w:space="0" w:color="auto"/>
            </w:tcBorders>
            <w:textDirection w:val="btLr"/>
          </w:tcPr>
          <w:p w:rsidR="007C42AB" w:rsidRPr="004273CC" w:rsidRDefault="007C42AB" w:rsidP="00065FB5">
            <w:pPr>
              <w:tabs>
                <w:tab w:val="left" w:pos="510"/>
              </w:tabs>
              <w:ind w:left="113" w:right="113"/>
              <w:jc w:val="center"/>
              <w:rPr>
                <w:lang w:val="lt-LT"/>
              </w:rPr>
            </w:pPr>
            <w:r>
              <w:rPr>
                <w:b/>
                <w:lang w:val="lt-LT"/>
              </w:rPr>
              <w:t>DU veiklos sąnaudos</w:t>
            </w:r>
            <w:r w:rsidRPr="00F4100B">
              <w:rPr>
                <w:b/>
                <w:lang w:val="lt-LT"/>
              </w:rPr>
              <w:t xml:space="preserve"> – Tikslumas</w:t>
            </w:r>
          </w:p>
        </w:tc>
      </w:tr>
      <w:tr w:rsidR="007C42AB" w:rsidRPr="004273CC" w:rsidTr="001C0D02">
        <w:trPr>
          <w:cantSplit/>
        </w:trPr>
        <w:tc>
          <w:tcPr>
            <w:tcW w:w="1035" w:type="dxa"/>
            <w:gridSpan w:val="6"/>
            <w:vMerge/>
          </w:tcPr>
          <w:p w:rsidR="007C42AB" w:rsidRPr="004273CC" w:rsidRDefault="007C42AB" w:rsidP="00065FB5">
            <w:pPr>
              <w:tabs>
                <w:tab w:val="left" w:pos="510"/>
              </w:tabs>
              <w:jc w:val="right"/>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ĮGIMTOS RIZIKOS </w:t>
            </w:r>
            <w:r w:rsidRPr="004273CC">
              <w:rPr>
                <w:b/>
                <w:lang w:val="lt-LT"/>
              </w:rPr>
              <w:t>ĮTAKA</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Pr>
                <w:b/>
                <w:lang w:val="lt-LT"/>
              </w:rPr>
              <w:t>0</w:t>
            </w:r>
          </w:p>
        </w:tc>
        <w:tc>
          <w:tcPr>
            <w:tcW w:w="2144" w:type="dxa"/>
            <w:gridSpan w:val="13"/>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2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Pr>
                <w:b/>
                <w:lang w:val="lt-LT"/>
              </w:rPr>
              <w:t>0</w:t>
            </w:r>
          </w:p>
        </w:tc>
        <w:tc>
          <w:tcPr>
            <w:tcW w:w="1133" w:type="dxa"/>
            <w:gridSpan w:val="6"/>
            <w:tcBorders>
              <w:top w:val="single" w:sz="4" w:space="0" w:color="auto"/>
              <w:left w:val="single" w:sz="4" w:space="0" w:color="auto"/>
              <w:bottom w:val="nil"/>
              <w:right w:val="single" w:sz="4" w:space="0" w:color="auto"/>
            </w:tcBorders>
          </w:tcPr>
          <w:p w:rsidR="007C42AB" w:rsidRPr="00F613DC" w:rsidRDefault="007C42AB" w:rsidP="00065FB5">
            <w:pPr>
              <w:tabs>
                <w:tab w:val="left" w:pos="510"/>
              </w:tabs>
              <w:jc w:val="center"/>
              <w:rPr>
                <w:b/>
                <w:lang w:val="lt-LT"/>
              </w:rPr>
            </w:pP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Height w:val="222"/>
        </w:trPr>
        <w:tc>
          <w:tcPr>
            <w:tcW w:w="1035" w:type="dxa"/>
            <w:gridSpan w:val="6"/>
            <w:vMerge/>
          </w:tcPr>
          <w:p w:rsidR="007C42AB" w:rsidRPr="004273CC" w:rsidRDefault="007C42AB" w:rsidP="00065FB5">
            <w:pPr>
              <w:tabs>
                <w:tab w:val="left" w:pos="510"/>
              </w:tabs>
              <w:jc w:val="right"/>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ĮGIMTA RIZIKA </w:t>
            </w:r>
            <w:r w:rsidRPr="004273CC">
              <w:rPr>
                <w:b/>
                <w:lang w:val="lt-LT"/>
              </w:rPr>
              <w:t>(5*2 eil.)</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Pr>
                <w:b/>
                <w:lang w:val="lt-LT"/>
              </w:rPr>
              <w:t>0</w:t>
            </w:r>
          </w:p>
        </w:tc>
        <w:tc>
          <w:tcPr>
            <w:tcW w:w="2144" w:type="dxa"/>
            <w:gridSpan w:val="13"/>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sidRPr="004273CC">
              <w:rPr>
                <w:b/>
                <w:lang w:val="lt-LT"/>
              </w:rPr>
              <w:t>3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Pr>
                <w:b/>
                <w:lang w:val="lt-LT"/>
              </w:rPr>
              <w:t>0</w:t>
            </w:r>
          </w:p>
        </w:tc>
        <w:tc>
          <w:tcPr>
            <w:tcW w:w="1133" w:type="dxa"/>
            <w:gridSpan w:val="6"/>
            <w:tcBorders>
              <w:top w:val="nil"/>
              <w:left w:val="single" w:sz="4" w:space="0" w:color="auto"/>
              <w:bottom w:val="nil"/>
              <w:right w:val="single" w:sz="4" w:space="0" w:color="auto"/>
            </w:tcBorders>
          </w:tcPr>
          <w:p w:rsidR="007C42AB" w:rsidRPr="00F613DC" w:rsidRDefault="007C42AB" w:rsidP="00065FB5">
            <w:pPr>
              <w:tabs>
                <w:tab w:val="left" w:pos="510"/>
              </w:tabs>
              <w:jc w:val="center"/>
              <w:rPr>
                <w:b/>
                <w:lang w:val="lt-LT"/>
              </w:rPr>
            </w:pP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jc w:val="right"/>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Pr>
                <w:b/>
                <w:lang w:val="lt-LT"/>
              </w:rPr>
              <w:t xml:space="preserve">ĮGIMTOS </w:t>
            </w:r>
            <w:r w:rsidRPr="004273CC">
              <w:rPr>
                <w:b/>
                <w:lang w:val="lt-LT"/>
              </w:rPr>
              <w:t>RIZIKOS LYGIS, proc. (1 eil./3eil.*100)</w:t>
            </w:r>
          </w:p>
        </w:tc>
        <w:tc>
          <w:tcPr>
            <w:tcW w:w="1132" w:type="dxa"/>
            <w:gridSpan w:val="8"/>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9" w:type="dxa"/>
            <w:gridSpan w:val="8"/>
            <w:tcBorders>
              <w:bottom w:val="single" w:sz="4" w:space="0" w:color="auto"/>
              <w:right w:val="single" w:sz="4" w:space="0" w:color="auto"/>
            </w:tcBorders>
            <w:shd w:val="clear" w:color="auto" w:fill="D9D9D9"/>
          </w:tcPr>
          <w:p w:rsidR="007C42AB" w:rsidRPr="004E6F01" w:rsidRDefault="007C42AB" w:rsidP="00065FB5">
            <w:pPr>
              <w:tabs>
                <w:tab w:val="left" w:pos="510"/>
              </w:tabs>
              <w:jc w:val="center"/>
              <w:rPr>
                <w:b/>
                <w:lang w:val="lt-LT"/>
              </w:rPr>
            </w:pPr>
            <w:r>
              <w:rPr>
                <w:b/>
                <w:lang w:val="lt-LT"/>
              </w:rPr>
              <w:t>0</w:t>
            </w:r>
          </w:p>
        </w:tc>
        <w:tc>
          <w:tcPr>
            <w:tcW w:w="2144" w:type="dxa"/>
            <w:gridSpan w:val="13"/>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sidRPr="004273CC">
              <w:rPr>
                <w:b/>
                <w:lang w:val="lt-LT"/>
              </w:rPr>
              <w:t>4 eil.</w:t>
            </w:r>
          </w:p>
        </w:tc>
        <w:tc>
          <w:tcPr>
            <w:tcW w:w="708" w:type="dxa"/>
            <w:gridSpan w:val="7"/>
            <w:tcBorders>
              <w:bottom w:val="single" w:sz="4" w:space="0" w:color="auto"/>
              <w:right w:val="single" w:sz="4" w:space="0" w:color="auto"/>
            </w:tcBorders>
            <w:shd w:val="clear" w:color="auto" w:fill="D9D9D9"/>
          </w:tcPr>
          <w:p w:rsidR="007C42AB" w:rsidRPr="00F613DC" w:rsidRDefault="007C42AB" w:rsidP="00065FB5">
            <w:pPr>
              <w:tabs>
                <w:tab w:val="left" w:pos="510"/>
              </w:tabs>
              <w:jc w:val="center"/>
              <w:rPr>
                <w:b/>
                <w:lang w:val="lt-LT"/>
              </w:rPr>
            </w:pPr>
            <w:r w:rsidRPr="00F613DC">
              <w:rPr>
                <w:b/>
                <w:lang w:val="lt-LT"/>
              </w:rPr>
              <w:t>0</w:t>
            </w:r>
          </w:p>
        </w:tc>
        <w:tc>
          <w:tcPr>
            <w:tcW w:w="1133" w:type="dxa"/>
            <w:gridSpan w:val="6"/>
            <w:tcBorders>
              <w:top w:val="nil"/>
              <w:left w:val="single" w:sz="4" w:space="0" w:color="auto"/>
              <w:bottom w:val="single" w:sz="4" w:space="0" w:color="auto"/>
              <w:right w:val="single" w:sz="4" w:space="0" w:color="auto"/>
            </w:tcBorders>
          </w:tcPr>
          <w:p w:rsidR="007C42AB" w:rsidRPr="00130520" w:rsidRDefault="007C42AB" w:rsidP="00065FB5">
            <w:pPr>
              <w:tabs>
                <w:tab w:val="left" w:pos="510"/>
              </w:tabs>
              <w:jc w:val="center"/>
              <w:rPr>
                <w:b/>
                <w:lang w:val="lt-LT"/>
              </w:rPr>
            </w:pPr>
            <w:r w:rsidRPr="00130520">
              <w:rPr>
                <w:b/>
                <w:lang w:val="lt-LT"/>
              </w:rPr>
              <w:t>MAŽA</w:t>
            </w: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jc w:val="right"/>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BENDRA</w:t>
            </w:r>
            <w:r>
              <w:rPr>
                <w:b/>
                <w:lang w:val="lt-LT"/>
              </w:rPr>
              <w:t xml:space="preserve"> KONTROLĖS R</w:t>
            </w:r>
            <w:r w:rsidRPr="004273CC">
              <w:rPr>
                <w:b/>
                <w:lang w:val="lt-LT"/>
              </w:rPr>
              <w:t>IZIK</w:t>
            </w:r>
            <w:r>
              <w:rPr>
                <w:b/>
                <w:lang w:val="lt-LT"/>
              </w:rPr>
              <w:t>A</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sidRPr="004E6F01">
              <w:rPr>
                <w:b/>
                <w:lang w:val="lt-LT"/>
              </w:rPr>
              <w:t>X</w:t>
            </w:r>
          </w:p>
        </w:tc>
        <w:tc>
          <w:tcPr>
            <w:tcW w:w="2144" w:type="dxa"/>
            <w:gridSpan w:val="13"/>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5</w:t>
            </w:r>
            <w:r w:rsidRPr="004273CC">
              <w:rPr>
                <w:b/>
                <w:lang w:val="lt-LT"/>
              </w:rPr>
              <w:t xml:space="preserve">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X</w:t>
            </w:r>
          </w:p>
        </w:tc>
        <w:tc>
          <w:tcPr>
            <w:tcW w:w="1133" w:type="dxa"/>
            <w:gridSpan w:val="6"/>
            <w:tcBorders>
              <w:top w:val="nil"/>
              <w:left w:val="single" w:sz="4" w:space="0" w:color="auto"/>
              <w:bottom w:val="single" w:sz="4" w:space="0" w:color="auto"/>
              <w:right w:val="single" w:sz="4" w:space="0" w:color="auto"/>
            </w:tcBorders>
          </w:tcPr>
          <w:p w:rsidR="007C42AB" w:rsidRPr="00F613DC" w:rsidRDefault="007C42AB" w:rsidP="00065FB5">
            <w:pPr>
              <w:tabs>
                <w:tab w:val="left" w:pos="510"/>
              </w:tabs>
              <w:jc w:val="center"/>
              <w:rPr>
                <w:b/>
                <w:lang w:val="lt-LT"/>
              </w:rPr>
            </w:pPr>
            <w:r w:rsidRPr="00F613DC">
              <w:rPr>
                <w:b/>
                <w:lang w:val="lt-LT"/>
              </w:rPr>
              <w:t>0</w:t>
            </w: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jc w:val="right"/>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 xml:space="preserve">BENDRA </w:t>
            </w:r>
            <w:r>
              <w:rPr>
                <w:b/>
                <w:lang w:val="lt-LT"/>
              </w:rPr>
              <w:t xml:space="preserve">KONTROLĖS RIZIKOS </w:t>
            </w:r>
            <w:r w:rsidRPr="004273CC">
              <w:rPr>
                <w:b/>
                <w:lang w:val="lt-LT"/>
              </w:rPr>
              <w:t>ĮTAKA</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sidRPr="004E6F01">
              <w:rPr>
                <w:b/>
                <w:lang w:val="lt-LT"/>
              </w:rPr>
              <w:t>0</w:t>
            </w:r>
          </w:p>
        </w:tc>
        <w:tc>
          <w:tcPr>
            <w:tcW w:w="2144" w:type="dxa"/>
            <w:gridSpan w:val="13"/>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6</w:t>
            </w:r>
            <w:r w:rsidRPr="004273CC">
              <w:rPr>
                <w:b/>
                <w:lang w:val="lt-LT"/>
              </w:rPr>
              <w:t xml:space="preserve">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0</w:t>
            </w:r>
          </w:p>
        </w:tc>
        <w:tc>
          <w:tcPr>
            <w:tcW w:w="1133" w:type="dxa"/>
            <w:gridSpan w:val="6"/>
            <w:tcBorders>
              <w:top w:val="single" w:sz="4" w:space="0" w:color="auto"/>
              <w:left w:val="single" w:sz="4" w:space="0" w:color="auto"/>
              <w:bottom w:val="nil"/>
              <w:right w:val="single" w:sz="4" w:space="0" w:color="auto"/>
            </w:tcBorders>
          </w:tcPr>
          <w:p w:rsidR="007C42AB" w:rsidRPr="00F613DC" w:rsidRDefault="007C42AB" w:rsidP="00065FB5">
            <w:pPr>
              <w:tabs>
                <w:tab w:val="left" w:pos="510"/>
              </w:tabs>
              <w:jc w:val="center"/>
              <w:rPr>
                <w:b/>
                <w:lang w:val="lt-LT"/>
              </w:rPr>
            </w:pP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Pr>
          <w:p w:rsidR="007C42AB" w:rsidRPr="004273CC" w:rsidRDefault="007C42AB" w:rsidP="00065FB5">
            <w:pPr>
              <w:tabs>
                <w:tab w:val="left" w:pos="510"/>
              </w:tabs>
              <w:jc w:val="right"/>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sidRPr="004273CC">
              <w:rPr>
                <w:b/>
                <w:lang w:val="lt-LT"/>
              </w:rPr>
              <w:t>MAKSIMAL</w:t>
            </w:r>
            <w:r>
              <w:rPr>
                <w:b/>
                <w:lang w:val="lt-LT"/>
              </w:rPr>
              <w:t>I</w:t>
            </w:r>
            <w:r w:rsidRPr="004273CC">
              <w:rPr>
                <w:b/>
                <w:lang w:val="lt-LT"/>
              </w:rPr>
              <w:t xml:space="preserve"> </w:t>
            </w:r>
            <w:r>
              <w:rPr>
                <w:b/>
                <w:lang w:val="lt-LT"/>
              </w:rPr>
              <w:t xml:space="preserve">KONTROLĖS RIZIKA </w:t>
            </w:r>
            <w:r w:rsidRPr="004273CC">
              <w:rPr>
                <w:b/>
                <w:lang w:val="lt-LT"/>
              </w:rPr>
              <w:t>(5*</w:t>
            </w:r>
            <w:r>
              <w:rPr>
                <w:b/>
                <w:lang w:val="lt-LT"/>
              </w:rPr>
              <w:t>6</w:t>
            </w:r>
            <w:r w:rsidRPr="004273CC">
              <w:rPr>
                <w:b/>
                <w:lang w:val="lt-LT"/>
              </w:rPr>
              <w:t xml:space="preserve"> eil.)</w:t>
            </w:r>
          </w:p>
        </w:tc>
        <w:tc>
          <w:tcPr>
            <w:tcW w:w="1132" w:type="dxa"/>
            <w:gridSpan w:val="8"/>
            <w:tcBorders>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9" w:type="dxa"/>
            <w:gridSpan w:val="8"/>
            <w:tcBorders>
              <w:bottom w:val="single" w:sz="4" w:space="0" w:color="auto"/>
              <w:right w:val="single" w:sz="4" w:space="0" w:color="auto"/>
            </w:tcBorders>
            <w:shd w:val="clear" w:color="auto" w:fill="FFFFFF" w:themeFill="background1"/>
          </w:tcPr>
          <w:p w:rsidR="007C42AB" w:rsidRPr="004E6F01" w:rsidRDefault="007C42AB" w:rsidP="00065FB5">
            <w:pPr>
              <w:tabs>
                <w:tab w:val="left" w:pos="510"/>
              </w:tabs>
              <w:jc w:val="center"/>
              <w:rPr>
                <w:b/>
                <w:lang w:val="lt-LT"/>
              </w:rPr>
            </w:pPr>
            <w:r w:rsidRPr="004E6F01">
              <w:rPr>
                <w:b/>
                <w:lang w:val="lt-LT"/>
              </w:rPr>
              <w:t>0</w:t>
            </w:r>
          </w:p>
        </w:tc>
        <w:tc>
          <w:tcPr>
            <w:tcW w:w="2144" w:type="dxa"/>
            <w:gridSpan w:val="13"/>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tcPr>
          <w:p w:rsidR="007C42AB" w:rsidRPr="004273CC" w:rsidRDefault="007C42AB" w:rsidP="00065FB5">
            <w:pPr>
              <w:tabs>
                <w:tab w:val="left" w:pos="510"/>
              </w:tabs>
              <w:jc w:val="both"/>
              <w:rPr>
                <w:lang w:val="lt-LT"/>
              </w:rPr>
            </w:pPr>
            <w:r>
              <w:rPr>
                <w:b/>
                <w:lang w:val="lt-LT"/>
              </w:rPr>
              <w:t>7</w:t>
            </w:r>
            <w:r w:rsidRPr="004273CC">
              <w:rPr>
                <w:b/>
                <w:lang w:val="lt-LT"/>
              </w:rPr>
              <w:t xml:space="preserve"> eil.</w:t>
            </w:r>
          </w:p>
        </w:tc>
        <w:tc>
          <w:tcPr>
            <w:tcW w:w="708" w:type="dxa"/>
            <w:gridSpan w:val="7"/>
            <w:tcBorders>
              <w:bottom w:val="single" w:sz="4" w:space="0" w:color="auto"/>
              <w:right w:val="single" w:sz="4" w:space="0" w:color="auto"/>
            </w:tcBorders>
            <w:shd w:val="clear" w:color="auto" w:fill="FFFFFF" w:themeFill="background1"/>
          </w:tcPr>
          <w:p w:rsidR="007C42AB" w:rsidRPr="00F613DC" w:rsidRDefault="007C42AB" w:rsidP="00065FB5">
            <w:pPr>
              <w:tabs>
                <w:tab w:val="left" w:pos="510"/>
              </w:tabs>
              <w:jc w:val="center"/>
              <w:rPr>
                <w:b/>
                <w:lang w:val="lt-LT"/>
              </w:rPr>
            </w:pPr>
            <w:r w:rsidRPr="00F613DC">
              <w:rPr>
                <w:b/>
                <w:lang w:val="lt-LT"/>
              </w:rPr>
              <w:t>0</w:t>
            </w:r>
          </w:p>
        </w:tc>
        <w:tc>
          <w:tcPr>
            <w:tcW w:w="1133" w:type="dxa"/>
            <w:gridSpan w:val="6"/>
            <w:tcBorders>
              <w:top w:val="nil"/>
              <w:left w:val="single" w:sz="4" w:space="0" w:color="auto"/>
              <w:bottom w:val="nil"/>
              <w:right w:val="single" w:sz="4" w:space="0" w:color="auto"/>
            </w:tcBorders>
          </w:tcPr>
          <w:p w:rsidR="007C42AB" w:rsidRPr="00F613DC" w:rsidRDefault="007C42AB" w:rsidP="00065FB5">
            <w:pPr>
              <w:tabs>
                <w:tab w:val="left" w:pos="510"/>
              </w:tabs>
              <w:jc w:val="center"/>
              <w:rPr>
                <w:b/>
                <w:lang w:val="lt-LT"/>
              </w:rPr>
            </w:pPr>
          </w:p>
        </w:tc>
        <w:tc>
          <w:tcPr>
            <w:tcW w:w="1575" w:type="dxa"/>
            <w:gridSpan w:val="4"/>
            <w:vMerge/>
            <w:tcBorders>
              <w:left w:val="single" w:sz="4" w:space="0" w:color="auto"/>
              <w:right w:val="single" w:sz="4" w:space="0" w:color="auto"/>
            </w:tcBorders>
          </w:tcPr>
          <w:p w:rsidR="007C42AB" w:rsidRPr="004273CC" w:rsidRDefault="007C42AB" w:rsidP="00065FB5">
            <w:pPr>
              <w:tabs>
                <w:tab w:val="left" w:pos="510"/>
              </w:tabs>
              <w:jc w:val="both"/>
              <w:rPr>
                <w:lang w:val="lt-LT"/>
              </w:rPr>
            </w:pPr>
          </w:p>
        </w:tc>
      </w:tr>
      <w:tr w:rsidR="007C42AB" w:rsidRPr="004273CC" w:rsidTr="001C0D02">
        <w:trPr>
          <w:cantSplit/>
        </w:trPr>
        <w:tc>
          <w:tcPr>
            <w:tcW w:w="1035" w:type="dxa"/>
            <w:gridSpan w:val="6"/>
            <w:vMerge/>
            <w:tcBorders>
              <w:bottom w:val="single" w:sz="4" w:space="0" w:color="auto"/>
            </w:tcBorders>
          </w:tcPr>
          <w:p w:rsidR="007C42AB" w:rsidRPr="004273CC" w:rsidRDefault="007C42AB" w:rsidP="00065FB5">
            <w:pPr>
              <w:tabs>
                <w:tab w:val="left" w:pos="510"/>
              </w:tabs>
              <w:jc w:val="right"/>
              <w:rPr>
                <w:lang w:val="lt-LT"/>
              </w:rPr>
            </w:pPr>
          </w:p>
        </w:tc>
        <w:tc>
          <w:tcPr>
            <w:tcW w:w="4432" w:type="dxa"/>
            <w:gridSpan w:val="19"/>
            <w:tcBorders>
              <w:bottom w:val="single" w:sz="4" w:space="0" w:color="auto"/>
            </w:tcBorders>
          </w:tcPr>
          <w:p w:rsidR="007C42AB" w:rsidRPr="004273CC" w:rsidRDefault="007C42AB" w:rsidP="00065FB5">
            <w:pPr>
              <w:tabs>
                <w:tab w:val="left" w:pos="510"/>
              </w:tabs>
              <w:jc w:val="right"/>
              <w:rPr>
                <w:lang w:val="lt-LT"/>
              </w:rPr>
            </w:pPr>
            <w:r>
              <w:rPr>
                <w:b/>
                <w:lang w:val="lt-LT"/>
              </w:rPr>
              <w:t>KONTROLĖS RIZIKOS LYGIS, proc. (5</w:t>
            </w:r>
            <w:r w:rsidRPr="004273CC">
              <w:rPr>
                <w:b/>
                <w:lang w:val="lt-LT"/>
              </w:rPr>
              <w:t xml:space="preserve"> eil./</w:t>
            </w:r>
            <w:r>
              <w:rPr>
                <w:b/>
                <w:lang w:val="lt-LT"/>
              </w:rPr>
              <w:t>7</w:t>
            </w:r>
            <w:r w:rsidRPr="004273CC">
              <w:rPr>
                <w:b/>
                <w:lang w:val="lt-LT"/>
              </w:rPr>
              <w:t>eil.*100)</w:t>
            </w:r>
          </w:p>
        </w:tc>
        <w:tc>
          <w:tcPr>
            <w:tcW w:w="1132" w:type="dxa"/>
            <w:gridSpan w:val="8"/>
            <w:tcBorders>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9" w:type="dxa"/>
            <w:gridSpan w:val="8"/>
            <w:tcBorders>
              <w:bottom w:val="single" w:sz="4" w:space="0" w:color="auto"/>
              <w:right w:val="single" w:sz="4" w:space="0" w:color="auto"/>
            </w:tcBorders>
            <w:shd w:val="clear" w:color="auto" w:fill="D9D9D9"/>
          </w:tcPr>
          <w:p w:rsidR="007C42AB" w:rsidRPr="004E6F01" w:rsidRDefault="007C42AB" w:rsidP="00065FB5">
            <w:pPr>
              <w:tabs>
                <w:tab w:val="left" w:pos="510"/>
              </w:tabs>
              <w:jc w:val="center"/>
              <w:rPr>
                <w:b/>
                <w:lang w:val="lt-LT"/>
              </w:rPr>
            </w:pPr>
            <w:r w:rsidRPr="004E6F01">
              <w:rPr>
                <w:b/>
                <w:lang w:val="lt-LT"/>
              </w:rPr>
              <w:t>0</w:t>
            </w:r>
          </w:p>
        </w:tc>
        <w:tc>
          <w:tcPr>
            <w:tcW w:w="2144" w:type="dxa"/>
            <w:gridSpan w:val="13"/>
            <w:vMerge/>
            <w:tcBorders>
              <w:left w:val="single" w:sz="4" w:space="0" w:color="auto"/>
              <w:bottom w:val="single" w:sz="4" w:space="0" w:color="auto"/>
              <w:right w:val="single" w:sz="4" w:space="0" w:color="auto"/>
            </w:tcBorders>
          </w:tcPr>
          <w:p w:rsidR="007C42AB" w:rsidRPr="004273CC" w:rsidRDefault="007C42AB"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D9D9D9"/>
            <w:vAlign w:val="center"/>
          </w:tcPr>
          <w:p w:rsidR="007C42AB" w:rsidRPr="004273CC" w:rsidRDefault="007C42AB" w:rsidP="00065FB5">
            <w:pPr>
              <w:tabs>
                <w:tab w:val="left" w:pos="510"/>
              </w:tabs>
              <w:jc w:val="both"/>
              <w:rPr>
                <w:lang w:val="lt-LT"/>
              </w:rPr>
            </w:pPr>
            <w:r>
              <w:rPr>
                <w:b/>
                <w:lang w:val="lt-LT"/>
              </w:rPr>
              <w:t>8</w:t>
            </w:r>
            <w:r w:rsidRPr="004273CC">
              <w:rPr>
                <w:b/>
                <w:lang w:val="lt-LT"/>
              </w:rPr>
              <w:t xml:space="preserve"> eil.</w:t>
            </w:r>
          </w:p>
        </w:tc>
        <w:tc>
          <w:tcPr>
            <w:tcW w:w="708" w:type="dxa"/>
            <w:gridSpan w:val="7"/>
            <w:tcBorders>
              <w:bottom w:val="single" w:sz="4" w:space="0" w:color="auto"/>
              <w:right w:val="single" w:sz="4" w:space="0" w:color="auto"/>
            </w:tcBorders>
            <w:shd w:val="clear" w:color="auto" w:fill="D9D9D9"/>
          </w:tcPr>
          <w:p w:rsidR="007C42AB" w:rsidRPr="00F613DC" w:rsidRDefault="007C42AB" w:rsidP="00065FB5">
            <w:pPr>
              <w:tabs>
                <w:tab w:val="left" w:pos="510"/>
              </w:tabs>
              <w:jc w:val="center"/>
              <w:rPr>
                <w:b/>
                <w:lang w:val="lt-LT"/>
              </w:rPr>
            </w:pPr>
            <w:r w:rsidRPr="00F613DC">
              <w:rPr>
                <w:b/>
                <w:lang w:val="lt-LT"/>
              </w:rPr>
              <w:t>0</w:t>
            </w:r>
          </w:p>
        </w:tc>
        <w:tc>
          <w:tcPr>
            <w:tcW w:w="1133" w:type="dxa"/>
            <w:gridSpan w:val="6"/>
            <w:tcBorders>
              <w:top w:val="nil"/>
              <w:left w:val="single" w:sz="4" w:space="0" w:color="auto"/>
              <w:bottom w:val="single" w:sz="4" w:space="0" w:color="auto"/>
              <w:right w:val="single" w:sz="4" w:space="0" w:color="auto"/>
            </w:tcBorders>
          </w:tcPr>
          <w:p w:rsidR="007C42AB" w:rsidRPr="00F613DC" w:rsidRDefault="007C42AB" w:rsidP="00065FB5">
            <w:pPr>
              <w:tabs>
                <w:tab w:val="left" w:pos="510"/>
              </w:tabs>
              <w:jc w:val="center"/>
              <w:rPr>
                <w:b/>
                <w:lang w:val="lt-LT"/>
              </w:rPr>
            </w:pPr>
            <w:r w:rsidRPr="00F613DC">
              <w:rPr>
                <w:b/>
                <w:lang w:val="lt-LT"/>
              </w:rPr>
              <w:t>MAŽA</w:t>
            </w:r>
          </w:p>
        </w:tc>
        <w:tc>
          <w:tcPr>
            <w:tcW w:w="1575" w:type="dxa"/>
            <w:gridSpan w:val="4"/>
            <w:vMerge/>
            <w:tcBorders>
              <w:left w:val="single" w:sz="4" w:space="0" w:color="auto"/>
              <w:bottom w:val="single" w:sz="4" w:space="0" w:color="auto"/>
              <w:right w:val="single" w:sz="4" w:space="0" w:color="auto"/>
            </w:tcBorders>
          </w:tcPr>
          <w:p w:rsidR="007C42AB" w:rsidRPr="004273CC" w:rsidRDefault="007C42AB" w:rsidP="00065FB5">
            <w:pPr>
              <w:tabs>
                <w:tab w:val="left" w:pos="510"/>
              </w:tabs>
              <w:jc w:val="both"/>
              <w:rPr>
                <w:lang w:val="lt-LT"/>
              </w:rPr>
            </w:pPr>
          </w:p>
        </w:tc>
      </w:tr>
      <w:tr w:rsidR="00B70416" w:rsidRPr="004273CC" w:rsidTr="001C0D02">
        <w:trPr>
          <w:cantSplit/>
        </w:trPr>
        <w:tc>
          <w:tcPr>
            <w:tcW w:w="1035" w:type="dxa"/>
            <w:gridSpan w:val="6"/>
            <w:tcBorders>
              <w:bottom w:val="single" w:sz="4" w:space="0" w:color="auto"/>
            </w:tcBorders>
            <w:shd w:val="clear" w:color="auto" w:fill="F2F2F2" w:themeFill="background1" w:themeFillShade="F2"/>
          </w:tcPr>
          <w:p w:rsidR="00B70416" w:rsidRPr="004273CC" w:rsidRDefault="00B70416" w:rsidP="00065FB5">
            <w:pPr>
              <w:tabs>
                <w:tab w:val="left" w:pos="510"/>
              </w:tabs>
              <w:jc w:val="right"/>
              <w:rPr>
                <w:lang w:val="lt-LT"/>
              </w:rPr>
            </w:pPr>
          </w:p>
        </w:tc>
        <w:tc>
          <w:tcPr>
            <w:tcW w:w="4432" w:type="dxa"/>
            <w:gridSpan w:val="19"/>
            <w:tcBorders>
              <w:bottom w:val="single" w:sz="4" w:space="0" w:color="auto"/>
            </w:tcBorders>
            <w:shd w:val="clear" w:color="auto" w:fill="F2F2F2" w:themeFill="background1" w:themeFillShade="F2"/>
          </w:tcPr>
          <w:p w:rsidR="00B70416" w:rsidRDefault="00B70416" w:rsidP="00065FB5">
            <w:pPr>
              <w:tabs>
                <w:tab w:val="left" w:pos="510"/>
              </w:tabs>
              <w:jc w:val="right"/>
              <w:rPr>
                <w:b/>
                <w:lang w:val="lt-LT"/>
              </w:rPr>
            </w:pPr>
          </w:p>
        </w:tc>
        <w:tc>
          <w:tcPr>
            <w:tcW w:w="1132" w:type="dxa"/>
            <w:gridSpan w:val="8"/>
            <w:tcBorders>
              <w:bottom w:val="single" w:sz="4" w:space="0" w:color="auto"/>
            </w:tcBorders>
            <w:shd w:val="clear" w:color="auto" w:fill="F2F2F2" w:themeFill="background1" w:themeFillShade="F2"/>
            <w:vAlign w:val="center"/>
          </w:tcPr>
          <w:p w:rsidR="00B70416" w:rsidRDefault="00B70416" w:rsidP="00065FB5">
            <w:pPr>
              <w:tabs>
                <w:tab w:val="left" w:pos="510"/>
              </w:tabs>
              <w:jc w:val="both"/>
              <w:rPr>
                <w:b/>
                <w:lang w:val="lt-LT"/>
              </w:rPr>
            </w:pPr>
          </w:p>
        </w:tc>
        <w:tc>
          <w:tcPr>
            <w:tcW w:w="709" w:type="dxa"/>
            <w:gridSpan w:val="8"/>
            <w:tcBorders>
              <w:bottom w:val="single" w:sz="4" w:space="0" w:color="auto"/>
              <w:right w:val="single" w:sz="4" w:space="0" w:color="auto"/>
            </w:tcBorders>
            <w:shd w:val="clear" w:color="auto" w:fill="F2F2F2" w:themeFill="background1" w:themeFillShade="F2"/>
          </w:tcPr>
          <w:p w:rsidR="00B70416" w:rsidRPr="004E6F01" w:rsidRDefault="00B70416" w:rsidP="00065FB5">
            <w:pPr>
              <w:tabs>
                <w:tab w:val="left" w:pos="510"/>
              </w:tabs>
              <w:jc w:val="center"/>
              <w:rPr>
                <w:b/>
                <w:lang w:val="lt-LT"/>
              </w:rPr>
            </w:pPr>
          </w:p>
        </w:tc>
        <w:tc>
          <w:tcPr>
            <w:tcW w:w="2144" w:type="dxa"/>
            <w:gridSpan w:val="13"/>
            <w:tcBorders>
              <w:left w:val="single" w:sz="4" w:space="0" w:color="auto"/>
              <w:bottom w:val="single" w:sz="4" w:space="0" w:color="auto"/>
              <w:right w:val="single" w:sz="4" w:space="0" w:color="auto"/>
            </w:tcBorders>
            <w:shd w:val="clear" w:color="auto" w:fill="F2F2F2" w:themeFill="background1" w:themeFillShade="F2"/>
          </w:tcPr>
          <w:p w:rsidR="00B70416" w:rsidRPr="004273CC" w:rsidRDefault="00B70416" w:rsidP="00065FB5">
            <w:pPr>
              <w:tabs>
                <w:tab w:val="left" w:pos="510"/>
              </w:tabs>
              <w:jc w:val="both"/>
              <w:rPr>
                <w:lang w:val="lt-LT"/>
              </w:rPr>
            </w:pPr>
          </w:p>
        </w:tc>
        <w:tc>
          <w:tcPr>
            <w:tcW w:w="990" w:type="dxa"/>
            <w:gridSpan w:val="4"/>
            <w:tcBorders>
              <w:left w:val="single" w:sz="4" w:space="0" w:color="auto"/>
              <w:bottom w:val="single" w:sz="4" w:space="0" w:color="auto"/>
            </w:tcBorders>
            <w:shd w:val="clear" w:color="auto" w:fill="F2F2F2" w:themeFill="background1" w:themeFillShade="F2"/>
            <w:vAlign w:val="center"/>
          </w:tcPr>
          <w:p w:rsidR="00B70416" w:rsidRDefault="00B70416" w:rsidP="00065FB5">
            <w:pPr>
              <w:tabs>
                <w:tab w:val="left" w:pos="510"/>
              </w:tabs>
              <w:jc w:val="both"/>
              <w:rPr>
                <w:b/>
                <w:lang w:val="lt-LT"/>
              </w:rPr>
            </w:pPr>
          </w:p>
        </w:tc>
        <w:tc>
          <w:tcPr>
            <w:tcW w:w="708" w:type="dxa"/>
            <w:gridSpan w:val="7"/>
            <w:tcBorders>
              <w:bottom w:val="single" w:sz="4" w:space="0" w:color="auto"/>
              <w:right w:val="single" w:sz="4" w:space="0" w:color="auto"/>
            </w:tcBorders>
            <w:shd w:val="clear" w:color="auto" w:fill="F2F2F2" w:themeFill="background1" w:themeFillShade="F2"/>
          </w:tcPr>
          <w:p w:rsidR="00B70416" w:rsidRPr="00F613DC" w:rsidRDefault="00B70416" w:rsidP="00065FB5">
            <w:pPr>
              <w:tabs>
                <w:tab w:val="left" w:pos="510"/>
              </w:tabs>
              <w:jc w:val="center"/>
              <w:rPr>
                <w:b/>
                <w:lang w:val="lt-LT"/>
              </w:rPr>
            </w:pPr>
          </w:p>
        </w:tc>
        <w:tc>
          <w:tcPr>
            <w:tcW w:w="1133" w:type="dxa"/>
            <w:gridSpan w:val="6"/>
            <w:tcBorders>
              <w:top w:val="nil"/>
              <w:left w:val="single" w:sz="4" w:space="0" w:color="auto"/>
              <w:bottom w:val="single" w:sz="4" w:space="0" w:color="auto"/>
              <w:right w:val="single" w:sz="4" w:space="0" w:color="auto"/>
            </w:tcBorders>
            <w:shd w:val="clear" w:color="auto" w:fill="F2F2F2" w:themeFill="background1" w:themeFillShade="F2"/>
          </w:tcPr>
          <w:p w:rsidR="00B70416" w:rsidRPr="00F613DC" w:rsidRDefault="00B70416" w:rsidP="00065FB5">
            <w:pPr>
              <w:tabs>
                <w:tab w:val="left" w:pos="510"/>
              </w:tabs>
              <w:jc w:val="center"/>
              <w:rPr>
                <w:b/>
                <w:lang w:val="lt-LT"/>
              </w:rPr>
            </w:pPr>
          </w:p>
        </w:tc>
        <w:tc>
          <w:tcPr>
            <w:tcW w:w="1575" w:type="dxa"/>
            <w:gridSpan w:val="4"/>
            <w:tcBorders>
              <w:left w:val="single" w:sz="4" w:space="0" w:color="auto"/>
              <w:bottom w:val="single" w:sz="4" w:space="0" w:color="auto"/>
              <w:right w:val="single" w:sz="4" w:space="0" w:color="auto"/>
            </w:tcBorders>
            <w:shd w:val="clear" w:color="auto" w:fill="F2F2F2" w:themeFill="background1" w:themeFillShade="F2"/>
          </w:tcPr>
          <w:p w:rsidR="00B70416" w:rsidRPr="004273CC" w:rsidRDefault="00B70416" w:rsidP="00065FB5">
            <w:pPr>
              <w:tabs>
                <w:tab w:val="left" w:pos="510"/>
              </w:tabs>
              <w:jc w:val="both"/>
              <w:rPr>
                <w:lang w:val="lt-LT"/>
              </w:rPr>
            </w:pPr>
          </w:p>
        </w:tc>
      </w:tr>
    </w:tbl>
    <w:p w:rsidR="00104405" w:rsidRDefault="00104405" w:rsidP="00104405">
      <w:pPr>
        <w:jc w:val="center"/>
        <w:rPr>
          <w:b/>
          <w:sz w:val="26"/>
          <w:szCs w:val="26"/>
          <w:lang w:val="lt-LT"/>
        </w:rPr>
      </w:pPr>
    </w:p>
    <w:p w:rsidR="000336CD" w:rsidRPr="000336CD" w:rsidRDefault="000336CD" w:rsidP="000336CD">
      <w:pPr>
        <w:jc w:val="right"/>
        <w:rPr>
          <w:sz w:val="26"/>
          <w:szCs w:val="26"/>
        </w:rPr>
      </w:pPr>
    </w:p>
    <w:p w:rsidR="00CA13DD" w:rsidRDefault="00CA13DD" w:rsidP="00CA13DD">
      <w:pPr>
        <w:jc w:val="center"/>
        <w:rPr>
          <w:b/>
          <w:sz w:val="24"/>
          <w:szCs w:val="24"/>
        </w:rPr>
      </w:pPr>
    </w:p>
    <w:p w:rsidR="00CA13DD" w:rsidRDefault="00CA13DD" w:rsidP="002809C1">
      <w:pPr>
        <w:jc w:val="center"/>
      </w:pPr>
    </w:p>
    <w:p w:rsidR="00091C03" w:rsidRDefault="00091C03" w:rsidP="005A702E">
      <w:pPr>
        <w:tabs>
          <w:tab w:val="left" w:pos="510"/>
        </w:tabs>
        <w:jc w:val="center"/>
        <w:rPr>
          <w:b/>
          <w:lang w:val="lt-LT"/>
        </w:rPr>
      </w:pPr>
    </w:p>
    <w:p w:rsidR="00091C03" w:rsidRDefault="00091C03" w:rsidP="002809C1">
      <w:pPr>
        <w:sectPr w:rsidR="00091C03" w:rsidSect="00112DCD">
          <w:footnotePr>
            <w:numRestart w:val="eachSect"/>
          </w:footnotePr>
          <w:pgSz w:w="16838" w:h="11906" w:orient="landscape" w:code="9"/>
          <w:pgMar w:top="1814" w:right="1474" w:bottom="1814" w:left="1474" w:header="1134" w:footer="1134" w:gutter="0"/>
          <w:cols w:space="1296"/>
          <w:titlePg/>
        </w:sectPr>
      </w:pPr>
    </w:p>
    <w:p w:rsidR="00A63FE8" w:rsidRPr="00586604" w:rsidRDefault="00A63FE8" w:rsidP="00A63FE8">
      <w:pPr>
        <w:jc w:val="right"/>
        <w:rPr>
          <w:b/>
          <w:noProof/>
          <w:sz w:val="26"/>
          <w:szCs w:val="26"/>
          <w:lang w:val="lt-LT"/>
        </w:rPr>
      </w:pPr>
      <w:r w:rsidRPr="00586604">
        <w:rPr>
          <w:b/>
          <w:sz w:val="26"/>
          <w:szCs w:val="26"/>
          <w:lang w:val="lt-LT"/>
        </w:rPr>
        <w:lastRenderedPageBreak/>
        <w:t>2</w:t>
      </w:r>
      <w:r w:rsidR="006072E9" w:rsidRPr="00586604">
        <w:rPr>
          <w:b/>
          <w:sz w:val="26"/>
          <w:szCs w:val="26"/>
          <w:lang w:val="lt-LT"/>
        </w:rPr>
        <w:t>4</w:t>
      </w:r>
      <w:r w:rsidRPr="00586604">
        <w:rPr>
          <w:b/>
          <w:sz w:val="26"/>
          <w:szCs w:val="26"/>
          <w:lang w:val="lt-LT"/>
        </w:rPr>
        <w:t xml:space="preserve"> PRIEDAS</w:t>
      </w:r>
      <w:r w:rsidRPr="00586604">
        <w:rPr>
          <w:b/>
          <w:noProof/>
          <w:sz w:val="26"/>
          <w:szCs w:val="26"/>
          <w:lang w:val="lt-LT"/>
        </w:rPr>
        <w:t xml:space="preserve"> </w:t>
      </w:r>
    </w:p>
    <w:p w:rsidR="00C41E23" w:rsidRPr="00586604" w:rsidRDefault="00555E3D" w:rsidP="00586604">
      <w:pPr>
        <w:jc w:val="center"/>
        <w:rPr>
          <w:b/>
          <w:noProof/>
          <w:sz w:val="26"/>
          <w:szCs w:val="26"/>
          <w:lang w:val="lt-LT"/>
        </w:rPr>
      </w:pPr>
      <w:r w:rsidRPr="00586604">
        <w:rPr>
          <w:b/>
          <w:noProof/>
          <w:sz w:val="26"/>
          <w:szCs w:val="26"/>
          <w:lang w:val="lt-LT"/>
        </w:rPr>
        <w:t>U</w:t>
      </w:r>
      <w:r w:rsidR="00236723" w:rsidRPr="00586604">
        <w:rPr>
          <w:b/>
          <w:noProof/>
          <w:sz w:val="26"/>
          <w:szCs w:val="26"/>
          <w:lang w:val="lt-LT"/>
        </w:rPr>
        <w:t xml:space="preserve">AB „Šiluma“ vidaus kontrolės sistemos vertinimas pagal </w:t>
      </w:r>
      <w:r w:rsidR="00236723" w:rsidRPr="00586604">
        <w:rPr>
          <w:b/>
          <w:sz w:val="26"/>
          <w:szCs w:val="26"/>
          <w:lang w:val="lt-LT"/>
        </w:rPr>
        <w:t>CoCo vidaus kontrolės modelio (1995) kriterijus</w:t>
      </w:r>
    </w:p>
    <w:p w:rsidR="00E65C93" w:rsidRPr="00E65C93" w:rsidRDefault="00E65C93" w:rsidP="00E65C93">
      <w:pPr>
        <w:tabs>
          <w:tab w:val="left" w:pos="567"/>
        </w:tabs>
        <w:jc w:val="center"/>
        <w:rPr>
          <w:sz w:val="16"/>
          <w:szCs w:val="16"/>
          <w:lang w:val="lt-LT"/>
        </w:rPr>
      </w:pPr>
    </w:p>
    <w:tbl>
      <w:tblPr>
        <w:tblStyle w:val="TableGrid"/>
        <w:tblW w:w="0" w:type="auto"/>
        <w:tblLook w:val="04A0"/>
      </w:tblPr>
      <w:tblGrid>
        <w:gridCol w:w="5632"/>
        <w:gridCol w:w="1462"/>
        <w:gridCol w:w="1400"/>
      </w:tblGrid>
      <w:tr w:rsidR="00916AF9" w:rsidRPr="00916AF9" w:rsidTr="00A72CE1">
        <w:tc>
          <w:tcPr>
            <w:tcW w:w="6912" w:type="dxa"/>
          </w:tcPr>
          <w:p w:rsidR="00916AF9" w:rsidRPr="009F7A4D" w:rsidRDefault="00916AF9" w:rsidP="009F7A4D">
            <w:pPr>
              <w:tabs>
                <w:tab w:val="left" w:pos="567"/>
              </w:tabs>
              <w:jc w:val="center"/>
              <w:rPr>
                <w:b/>
                <w:lang w:val="lt-LT"/>
              </w:rPr>
            </w:pPr>
            <w:r w:rsidRPr="009F7A4D">
              <w:rPr>
                <w:b/>
                <w:lang w:val="lt-LT"/>
              </w:rPr>
              <w:t>Kriterijus</w:t>
            </w:r>
          </w:p>
          <w:p w:rsidR="00916AF9" w:rsidRPr="009F7A4D" w:rsidRDefault="00916AF9" w:rsidP="009F7A4D">
            <w:pPr>
              <w:tabs>
                <w:tab w:val="left" w:pos="567"/>
              </w:tabs>
              <w:jc w:val="center"/>
              <w:rPr>
                <w:b/>
                <w:lang w:val="lt-LT"/>
              </w:rPr>
            </w:pPr>
          </w:p>
        </w:tc>
        <w:tc>
          <w:tcPr>
            <w:tcW w:w="1541" w:type="dxa"/>
          </w:tcPr>
          <w:p w:rsidR="00916AF9" w:rsidRPr="00A72CE1" w:rsidRDefault="005B2CCE" w:rsidP="00A72CE1">
            <w:pPr>
              <w:tabs>
                <w:tab w:val="left" w:pos="567"/>
              </w:tabs>
              <w:jc w:val="center"/>
              <w:rPr>
                <w:b/>
                <w:lang w:val="lt-LT"/>
              </w:rPr>
            </w:pPr>
            <w:r w:rsidRPr="00A72CE1">
              <w:rPr>
                <w:b/>
                <w:lang w:val="lt-LT"/>
              </w:rPr>
              <w:t>Ar tenkinamas kriterijus?</w:t>
            </w:r>
          </w:p>
        </w:tc>
        <w:tc>
          <w:tcPr>
            <w:tcW w:w="1400" w:type="dxa"/>
          </w:tcPr>
          <w:p w:rsidR="00916AF9" w:rsidRPr="00A72CE1" w:rsidRDefault="005B2CCE" w:rsidP="00A72CE1">
            <w:pPr>
              <w:tabs>
                <w:tab w:val="left" w:pos="567"/>
              </w:tabs>
              <w:jc w:val="center"/>
              <w:rPr>
                <w:b/>
                <w:lang w:val="lt-LT"/>
              </w:rPr>
            </w:pPr>
            <w:r w:rsidRPr="00A72CE1">
              <w:rPr>
                <w:b/>
                <w:lang w:val="lt-LT"/>
              </w:rPr>
              <w:t>Paaiškinimas, jei „Ne“</w:t>
            </w:r>
          </w:p>
        </w:tc>
      </w:tr>
      <w:tr w:rsidR="00916AF9" w:rsidRPr="00916AF9" w:rsidTr="00A72CE1">
        <w:tc>
          <w:tcPr>
            <w:tcW w:w="6912" w:type="dxa"/>
          </w:tcPr>
          <w:p w:rsidR="00916AF9" w:rsidRPr="009F7A4D" w:rsidRDefault="00916AF9" w:rsidP="009F7A4D">
            <w:pPr>
              <w:tabs>
                <w:tab w:val="left" w:pos="567"/>
              </w:tabs>
              <w:jc w:val="center"/>
              <w:rPr>
                <w:b/>
                <w:lang w:val="lt-LT"/>
              </w:rPr>
            </w:pPr>
            <w:r w:rsidRPr="009F7A4D">
              <w:rPr>
                <w:b/>
                <w:lang w:val="lt-LT"/>
              </w:rPr>
              <w:t>I grupė – Tikslo kriterijai</w:t>
            </w:r>
          </w:p>
        </w:tc>
        <w:tc>
          <w:tcPr>
            <w:tcW w:w="1541" w:type="dxa"/>
          </w:tcPr>
          <w:p w:rsidR="00916AF9" w:rsidRPr="00916AF9" w:rsidRDefault="00916AF9" w:rsidP="00A72CE1">
            <w:pPr>
              <w:tabs>
                <w:tab w:val="left" w:pos="567"/>
              </w:tabs>
              <w:jc w:val="center"/>
              <w:rPr>
                <w:lang w:val="lt-LT"/>
              </w:rPr>
            </w:pPr>
          </w:p>
        </w:tc>
        <w:tc>
          <w:tcPr>
            <w:tcW w:w="1400" w:type="dxa"/>
          </w:tcPr>
          <w:p w:rsidR="00916AF9" w:rsidRPr="00916AF9" w:rsidRDefault="00916AF9" w:rsidP="00A72CE1">
            <w:pPr>
              <w:tabs>
                <w:tab w:val="left" w:pos="567"/>
              </w:tabs>
              <w:jc w:val="center"/>
              <w:rPr>
                <w:lang w:val="lt-LT"/>
              </w:rPr>
            </w:pPr>
          </w:p>
        </w:tc>
      </w:tr>
      <w:tr w:rsidR="00916AF9" w:rsidRPr="00916AF9" w:rsidTr="00A72CE1">
        <w:tc>
          <w:tcPr>
            <w:tcW w:w="6912" w:type="dxa"/>
          </w:tcPr>
          <w:p w:rsidR="00916AF9" w:rsidRPr="00916AF9" w:rsidRDefault="00916AF9" w:rsidP="00440ED4">
            <w:pPr>
              <w:tabs>
                <w:tab w:val="left" w:pos="567"/>
              </w:tabs>
              <w:jc w:val="both"/>
              <w:rPr>
                <w:lang w:val="lt-LT"/>
              </w:rPr>
            </w:pPr>
            <w:r w:rsidRPr="00916AF9">
              <w:rPr>
                <w:lang w:val="lt-LT"/>
              </w:rPr>
              <w:t>I.1 Įmonės tikslai yra nustatyti ir pranešti.</w:t>
            </w:r>
          </w:p>
        </w:tc>
        <w:tc>
          <w:tcPr>
            <w:tcW w:w="1541" w:type="dxa"/>
          </w:tcPr>
          <w:p w:rsidR="00916AF9" w:rsidRPr="00916AF9" w:rsidRDefault="00916AF9" w:rsidP="00A72CE1">
            <w:pPr>
              <w:tabs>
                <w:tab w:val="left" w:pos="567"/>
              </w:tabs>
              <w:jc w:val="center"/>
              <w:rPr>
                <w:lang w:val="lt-LT"/>
              </w:rPr>
            </w:pPr>
            <w:r w:rsidRPr="00916AF9">
              <w:rPr>
                <w:lang w:val="lt-LT"/>
              </w:rPr>
              <w:t>Taip</w:t>
            </w:r>
          </w:p>
        </w:tc>
        <w:tc>
          <w:tcPr>
            <w:tcW w:w="1400" w:type="dxa"/>
          </w:tcPr>
          <w:p w:rsidR="00916AF9" w:rsidRPr="00916AF9" w:rsidRDefault="00916AF9" w:rsidP="00A72CE1">
            <w:pPr>
              <w:tabs>
                <w:tab w:val="left" w:pos="567"/>
              </w:tabs>
              <w:jc w:val="center"/>
              <w:rPr>
                <w:lang w:val="lt-LT"/>
              </w:rPr>
            </w:pPr>
          </w:p>
        </w:tc>
      </w:tr>
      <w:tr w:rsidR="00916AF9" w:rsidRPr="00916AF9" w:rsidTr="00A72CE1">
        <w:tc>
          <w:tcPr>
            <w:tcW w:w="6912" w:type="dxa"/>
          </w:tcPr>
          <w:p w:rsidR="00916AF9" w:rsidRPr="00916AF9" w:rsidRDefault="00916AF9" w:rsidP="008E4A5A">
            <w:pPr>
              <w:tabs>
                <w:tab w:val="left" w:pos="567"/>
              </w:tabs>
              <w:jc w:val="both"/>
              <w:rPr>
                <w:lang w:val="lt-LT"/>
              </w:rPr>
            </w:pPr>
            <w:r w:rsidRPr="00916AF9">
              <w:rPr>
                <w:lang w:val="lt-LT"/>
              </w:rPr>
              <w:t>I.2. Svarbios vid</w:t>
            </w:r>
            <w:r w:rsidR="008E4A5A">
              <w:rPr>
                <w:lang w:val="lt-LT"/>
              </w:rPr>
              <w:t>aus</w:t>
            </w:r>
            <w:r w:rsidRPr="00916AF9">
              <w:rPr>
                <w:lang w:val="lt-LT"/>
              </w:rPr>
              <w:t xml:space="preserve"> </w:t>
            </w:r>
            <w:r>
              <w:rPr>
                <w:lang w:val="lt-LT"/>
              </w:rPr>
              <w:t xml:space="preserve">ir išorės rizikos, su kuriomis susiduria įmonė siekdama savo tikslų, </w:t>
            </w:r>
            <w:r w:rsidR="00440ED4">
              <w:rPr>
                <w:lang w:val="lt-LT"/>
              </w:rPr>
              <w:t xml:space="preserve">yra </w:t>
            </w:r>
            <w:r>
              <w:rPr>
                <w:lang w:val="lt-LT"/>
              </w:rPr>
              <w:t>nustatytos ir įvertintos.</w:t>
            </w:r>
          </w:p>
        </w:tc>
        <w:tc>
          <w:tcPr>
            <w:tcW w:w="1541" w:type="dxa"/>
          </w:tcPr>
          <w:p w:rsidR="00916AF9" w:rsidRPr="00916AF9" w:rsidRDefault="00916AF9" w:rsidP="00A72CE1">
            <w:pPr>
              <w:tabs>
                <w:tab w:val="left" w:pos="567"/>
              </w:tabs>
              <w:jc w:val="center"/>
              <w:rPr>
                <w:lang w:val="lt-LT"/>
              </w:rPr>
            </w:pPr>
            <w:r>
              <w:rPr>
                <w:lang w:val="lt-LT"/>
              </w:rPr>
              <w:t>Taip</w:t>
            </w:r>
          </w:p>
        </w:tc>
        <w:tc>
          <w:tcPr>
            <w:tcW w:w="1400" w:type="dxa"/>
          </w:tcPr>
          <w:p w:rsidR="00916AF9" w:rsidRPr="00916AF9" w:rsidRDefault="00916AF9" w:rsidP="00A72CE1">
            <w:pPr>
              <w:tabs>
                <w:tab w:val="left" w:pos="567"/>
              </w:tabs>
              <w:jc w:val="center"/>
              <w:rPr>
                <w:lang w:val="lt-LT"/>
              </w:rPr>
            </w:pPr>
          </w:p>
        </w:tc>
      </w:tr>
      <w:tr w:rsidR="00916AF9" w:rsidRPr="00916AF9" w:rsidTr="00A72CE1">
        <w:tc>
          <w:tcPr>
            <w:tcW w:w="6912" w:type="dxa"/>
          </w:tcPr>
          <w:p w:rsidR="00916AF9" w:rsidRPr="00236723" w:rsidRDefault="00916AF9" w:rsidP="00440ED4">
            <w:pPr>
              <w:tabs>
                <w:tab w:val="left" w:pos="567"/>
              </w:tabs>
              <w:jc w:val="both"/>
              <w:rPr>
                <w:lang w:val="lt-LT"/>
              </w:rPr>
            </w:pPr>
            <w:r w:rsidRPr="00236723">
              <w:rPr>
                <w:lang w:val="lt-LT"/>
              </w:rPr>
              <w:t>I.3. Politikos</w:t>
            </w:r>
            <w:r w:rsidR="00440ED4">
              <w:rPr>
                <w:lang w:val="lt-LT"/>
              </w:rPr>
              <w:t>,</w:t>
            </w:r>
            <w:r w:rsidRPr="00236723">
              <w:rPr>
                <w:lang w:val="lt-LT"/>
              </w:rPr>
              <w:t xml:space="preserve"> skirtos pasiekti įmonės tikslus ir valdyti rizikas</w:t>
            </w:r>
            <w:r w:rsidR="00440ED4">
              <w:rPr>
                <w:lang w:val="lt-LT"/>
              </w:rPr>
              <w:t xml:space="preserve">, yra </w:t>
            </w:r>
            <w:r w:rsidRPr="00236723">
              <w:rPr>
                <w:lang w:val="lt-LT"/>
              </w:rPr>
              <w:t xml:space="preserve">nustatytos, praneštos ir vykdomos taip, kad darbuotojai suprastų ko </w:t>
            </w:r>
            <w:r w:rsidR="00440ED4" w:rsidRPr="00236723">
              <w:rPr>
                <w:lang w:val="lt-LT"/>
              </w:rPr>
              <w:t xml:space="preserve">iš jų </w:t>
            </w:r>
            <w:r w:rsidRPr="00236723">
              <w:rPr>
                <w:lang w:val="lt-LT"/>
              </w:rPr>
              <w:t>yra tikimasi ir kiek jiems tai darant suteikiama laisvės.</w:t>
            </w:r>
          </w:p>
        </w:tc>
        <w:tc>
          <w:tcPr>
            <w:tcW w:w="1541" w:type="dxa"/>
          </w:tcPr>
          <w:p w:rsidR="00916AF9" w:rsidRPr="00916AF9" w:rsidRDefault="002A59B7" w:rsidP="00A72CE1">
            <w:pPr>
              <w:tabs>
                <w:tab w:val="left" w:pos="567"/>
              </w:tabs>
              <w:jc w:val="center"/>
              <w:rPr>
                <w:lang w:val="lt-LT"/>
              </w:rPr>
            </w:pPr>
            <w:r w:rsidRPr="00916AF9">
              <w:rPr>
                <w:lang w:val="lt-LT"/>
              </w:rPr>
              <w:t>Taip</w:t>
            </w:r>
          </w:p>
        </w:tc>
        <w:tc>
          <w:tcPr>
            <w:tcW w:w="1400" w:type="dxa"/>
          </w:tcPr>
          <w:p w:rsidR="00916AF9" w:rsidRPr="00916AF9" w:rsidRDefault="00916AF9" w:rsidP="00A72CE1">
            <w:pPr>
              <w:tabs>
                <w:tab w:val="left" w:pos="567"/>
              </w:tabs>
              <w:jc w:val="center"/>
              <w:rPr>
                <w:lang w:val="lt-LT"/>
              </w:rPr>
            </w:pPr>
          </w:p>
        </w:tc>
      </w:tr>
      <w:tr w:rsidR="00916AF9" w:rsidRPr="00916AF9" w:rsidTr="00A72CE1">
        <w:tc>
          <w:tcPr>
            <w:tcW w:w="6912" w:type="dxa"/>
          </w:tcPr>
          <w:p w:rsidR="00916AF9" w:rsidRPr="00236723" w:rsidRDefault="00916AF9" w:rsidP="00440ED4">
            <w:pPr>
              <w:tabs>
                <w:tab w:val="left" w:pos="567"/>
              </w:tabs>
              <w:jc w:val="both"/>
              <w:rPr>
                <w:lang w:val="lt-LT"/>
              </w:rPr>
            </w:pPr>
            <w:r w:rsidRPr="00236723">
              <w:rPr>
                <w:lang w:val="lt-LT"/>
              </w:rPr>
              <w:t xml:space="preserve">I.4. </w:t>
            </w:r>
            <w:r w:rsidR="00440ED4">
              <w:rPr>
                <w:lang w:val="lt-LT"/>
              </w:rPr>
              <w:t>Į</w:t>
            </w:r>
            <w:r w:rsidR="009F7A4D" w:rsidRPr="00236723">
              <w:rPr>
                <w:lang w:val="lt-LT"/>
              </w:rPr>
              <w:t xml:space="preserve">monės tikslų </w:t>
            </w:r>
            <w:r w:rsidR="00440ED4">
              <w:rPr>
                <w:lang w:val="lt-LT"/>
              </w:rPr>
              <w:t xml:space="preserve">pasiekimo planai yra </w:t>
            </w:r>
            <w:r w:rsidR="009F7A4D" w:rsidRPr="00236723">
              <w:rPr>
                <w:lang w:val="lt-LT"/>
              </w:rPr>
              <w:t xml:space="preserve">nustatyti ir pranešti. </w:t>
            </w:r>
          </w:p>
        </w:tc>
        <w:tc>
          <w:tcPr>
            <w:tcW w:w="1541" w:type="dxa"/>
          </w:tcPr>
          <w:p w:rsidR="00916AF9" w:rsidRPr="00916AF9" w:rsidRDefault="002A59B7" w:rsidP="00A72CE1">
            <w:pPr>
              <w:tabs>
                <w:tab w:val="left" w:pos="567"/>
              </w:tabs>
              <w:jc w:val="center"/>
              <w:rPr>
                <w:lang w:val="lt-LT"/>
              </w:rPr>
            </w:pPr>
            <w:r w:rsidRPr="00916AF9">
              <w:rPr>
                <w:lang w:val="lt-LT"/>
              </w:rPr>
              <w:t>Taip</w:t>
            </w:r>
          </w:p>
        </w:tc>
        <w:tc>
          <w:tcPr>
            <w:tcW w:w="1400" w:type="dxa"/>
          </w:tcPr>
          <w:p w:rsidR="00916AF9" w:rsidRPr="00916AF9" w:rsidRDefault="00916AF9" w:rsidP="00A72CE1">
            <w:pPr>
              <w:tabs>
                <w:tab w:val="left" w:pos="567"/>
              </w:tabs>
              <w:jc w:val="center"/>
              <w:rPr>
                <w:lang w:val="lt-LT"/>
              </w:rPr>
            </w:pPr>
          </w:p>
        </w:tc>
      </w:tr>
      <w:tr w:rsidR="00916AF9" w:rsidRPr="00916AF9" w:rsidTr="00A72CE1">
        <w:tc>
          <w:tcPr>
            <w:tcW w:w="6912" w:type="dxa"/>
          </w:tcPr>
          <w:p w:rsidR="00916AF9" w:rsidRPr="00236723" w:rsidRDefault="009F7A4D" w:rsidP="00440ED4">
            <w:pPr>
              <w:tabs>
                <w:tab w:val="left" w:pos="567"/>
              </w:tabs>
              <w:jc w:val="both"/>
              <w:rPr>
                <w:lang w:val="lt-LT"/>
              </w:rPr>
            </w:pPr>
            <w:r w:rsidRPr="00236723">
              <w:rPr>
                <w:lang w:val="lt-LT"/>
              </w:rPr>
              <w:t xml:space="preserve">I.5. Tikslai ir </w:t>
            </w:r>
            <w:r w:rsidR="00440ED4">
              <w:rPr>
                <w:lang w:val="lt-LT"/>
              </w:rPr>
              <w:t xml:space="preserve">jų pasiekimo </w:t>
            </w:r>
            <w:r w:rsidRPr="00236723">
              <w:rPr>
                <w:lang w:val="lt-LT"/>
              </w:rPr>
              <w:t xml:space="preserve">planai </w:t>
            </w:r>
            <w:r w:rsidR="00440ED4">
              <w:rPr>
                <w:lang w:val="lt-LT"/>
              </w:rPr>
              <w:t xml:space="preserve">taip pat </w:t>
            </w:r>
            <w:r w:rsidRPr="00236723">
              <w:rPr>
                <w:lang w:val="lt-LT"/>
              </w:rPr>
              <w:t>apim</w:t>
            </w:r>
            <w:r w:rsidR="00440ED4">
              <w:rPr>
                <w:lang w:val="lt-LT"/>
              </w:rPr>
              <w:t>a</w:t>
            </w:r>
            <w:r w:rsidRPr="00236723">
              <w:rPr>
                <w:lang w:val="lt-LT"/>
              </w:rPr>
              <w:t xml:space="preserve"> išmat</w:t>
            </w:r>
            <w:r w:rsidR="002B7712" w:rsidRPr="00236723">
              <w:rPr>
                <w:lang w:val="lt-LT"/>
              </w:rPr>
              <w:t>u</w:t>
            </w:r>
            <w:r w:rsidRPr="00236723">
              <w:rPr>
                <w:lang w:val="lt-LT"/>
              </w:rPr>
              <w:t xml:space="preserve">ojamus veiklos objektus ir rodiklius. </w:t>
            </w:r>
          </w:p>
        </w:tc>
        <w:tc>
          <w:tcPr>
            <w:tcW w:w="1541" w:type="dxa"/>
          </w:tcPr>
          <w:p w:rsidR="00916AF9" w:rsidRPr="00916AF9" w:rsidRDefault="002A59B7" w:rsidP="00A72CE1">
            <w:pPr>
              <w:tabs>
                <w:tab w:val="left" w:pos="567"/>
              </w:tabs>
              <w:jc w:val="center"/>
              <w:rPr>
                <w:lang w:val="lt-LT"/>
              </w:rPr>
            </w:pPr>
            <w:r w:rsidRPr="00916AF9">
              <w:rPr>
                <w:lang w:val="lt-LT"/>
              </w:rPr>
              <w:t>Taip</w:t>
            </w:r>
          </w:p>
        </w:tc>
        <w:tc>
          <w:tcPr>
            <w:tcW w:w="1400" w:type="dxa"/>
          </w:tcPr>
          <w:p w:rsidR="00916AF9" w:rsidRPr="00916AF9" w:rsidRDefault="00916AF9" w:rsidP="00A72CE1">
            <w:pPr>
              <w:tabs>
                <w:tab w:val="left" w:pos="567"/>
              </w:tabs>
              <w:jc w:val="center"/>
              <w:rPr>
                <w:lang w:val="lt-LT"/>
              </w:rPr>
            </w:pPr>
          </w:p>
        </w:tc>
      </w:tr>
      <w:tr w:rsidR="00916AF9" w:rsidRPr="00916AF9" w:rsidTr="00A72CE1">
        <w:tc>
          <w:tcPr>
            <w:tcW w:w="6912" w:type="dxa"/>
          </w:tcPr>
          <w:p w:rsidR="00916AF9" w:rsidRPr="00236723" w:rsidRDefault="009F7A4D" w:rsidP="009F7A4D">
            <w:pPr>
              <w:tabs>
                <w:tab w:val="left" w:pos="567"/>
              </w:tabs>
              <w:jc w:val="center"/>
              <w:rPr>
                <w:b/>
                <w:lang w:val="lt-LT"/>
              </w:rPr>
            </w:pPr>
            <w:r w:rsidRPr="00236723">
              <w:rPr>
                <w:b/>
                <w:lang w:val="lt-LT"/>
              </w:rPr>
              <w:t>II grupė – Atsidavimo kriterijai</w:t>
            </w:r>
          </w:p>
        </w:tc>
        <w:tc>
          <w:tcPr>
            <w:tcW w:w="1541" w:type="dxa"/>
          </w:tcPr>
          <w:p w:rsidR="00916AF9" w:rsidRPr="00916AF9" w:rsidRDefault="00916AF9" w:rsidP="00A72CE1">
            <w:pPr>
              <w:tabs>
                <w:tab w:val="left" w:pos="567"/>
              </w:tabs>
              <w:jc w:val="center"/>
              <w:rPr>
                <w:lang w:val="lt-LT"/>
              </w:rPr>
            </w:pPr>
          </w:p>
        </w:tc>
        <w:tc>
          <w:tcPr>
            <w:tcW w:w="1400" w:type="dxa"/>
          </w:tcPr>
          <w:p w:rsidR="00916AF9" w:rsidRPr="00916AF9" w:rsidRDefault="00916AF9" w:rsidP="00A72CE1">
            <w:pPr>
              <w:tabs>
                <w:tab w:val="left" w:pos="567"/>
              </w:tabs>
              <w:jc w:val="center"/>
              <w:rPr>
                <w:lang w:val="lt-LT"/>
              </w:rPr>
            </w:pPr>
          </w:p>
        </w:tc>
      </w:tr>
      <w:tr w:rsidR="009F7A4D" w:rsidRPr="00916AF9" w:rsidTr="00A72CE1">
        <w:tc>
          <w:tcPr>
            <w:tcW w:w="6912" w:type="dxa"/>
          </w:tcPr>
          <w:p w:rsidR="009F7A4D" w:rsidRPr="00236723" w:rsidRDefault="009F7A4D" w:rsidP="00440ED4">
            <w:pPr>
              <w:tabs>
                <w:tab w:val="left" w:pos="567"/>
              </w:tabs>
              <w:jc w:val="both"/>
              <w:rPr>
                <w:lang w:val="lt-LT"/>
              </w:rPr>
            </w:pPr>
            <w:r w:rsidRPr="00236723">
              <w:rPr>
                <w:lang w:val="lt-LT"/>
              </w:rPr>
              <w:t xml:space="preserve">II.1 Etinės vertybės, įskaitant sąžiningumą, </w:t>
            </w:r>
            <w:r w:rsidR="00440ED4">
              <w:rPr>
                <w:lang w:val="lt-LT"/>
              </w:rPr>
              <w:t xml:space="preserve">yra </w:t>
            </w:r>
            <w:r w:rsidRPr="00236723">
              <w:rPr>
                <w:lang w:val="lt-LT"/>
              </w:rPr>
              <w:t xml:space="preserve">nustatytos, praneštos ir jų įmonėje </w:t>
            </w:r>
            <w:r w:rsidR="00440ED4">
              <w:rPr>
                <w:lang w:val="lt-LT"/>
              </w:rPr>
              <w:t xml:space="preserve">yra </w:t>
            </w:r>
            <w:r w:rsidRPr="00236723">
              <w:rPr>
                <w:lang w:val="lt-LT"/>
              </w:rPr>
              <w:t xml:space="preserve">laikomasi. </w:t>
            </w:r>
          </w:p>
        </w:tc>
        <w:tc>
          <w:tcPr>
            <w:tcW w:w="1541" w:type="dxa"/>
          </w:tcPr>
          <w:p w:rsidR="009F7A4D" w:rsidRPr="00916AF9" w:rsidRDefault="002A59B7" w:rsidP="00A72CE1">
            <w:pPr>
              <w:tabs>
                <w:tab w:val="left" w:pos="567"/>
              </w:tabs>
              <w:jc w:val="center"/>
              <w:rPr>
                <w:lang w:val="lt-LT"/>
              </w:rPr>
            </w:pPr>
            <w:r w:rsidRPr="00916AF9">
              <w:rPr>
                <w:lang w:val="lt-LT"/>
              </w:rPr>
              <w:t>Taip</w:t>
            </w: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9F7A4D" w:rsidRDefault="009F7A4D" w:rsidP="00440ED4">
            <w:pPr>
              <w:tabs>
                <w:tab w:val="left" w:pos="567"/>
              </w:tabs>
              <w:jc w:val="both"/>
              <w:rPr>
                <w:lang w:val="lt-LT"/>
              </w:rPr>
            </w:pPr>
            <w:r>
              <w:rPr>
                <w:lang w:val="lt-LT"/>
              </w:rPr>
              <w:t xml:space="preserve">II.2 Žmogiškųjų išteklių politika ir praktika </w:t>
            </w:r>
            <w:r w:rsidR="00440ED4">
              <w:rPr>
                <w:lang w:val="lt-LT"/>
              </w:rPr>
              <w:t>a</w:t>
            </w:r>
            <w:r>
              <w:rPr>
                <w:lang w:val="lt-LT"/>
              </w:rPr>
              <w:t>titi</w:t>
            </w:r>
            <w:r w:rsidR="00440ED4">
              <w:rPr>
                <w:lang w:val="lt-LT"/>
              </w:rPr>
              <w:t>nka</w:t>
            </w:r>
            <w:r>
              <w:rPr>
                <w:lang w:val="lt-LT"/>
              </w:rPr>
              <w:t xml:space="preserve"> įmonės etines vertybes ir siekiamus tikslus.</w:t>
            </w:r>
          </w:p>
        </w:tc>
        <w:tc>
          <w:tcPr>
            <w:tcW w:w="1541" w:type="dxa"/>
          </w:tcPr>
          <w:p w:rsidR="009F7A4D" w:rsidRPr="00916AF9" w:rsidRDefault="002A59B7" w:rsidP="00A72CE1">
            <w:pPr>
              <w:tabs>
                <w:tab w:val="left" w:pos="567"/>
              </w:tabs>
              <w:jc w:val="center"/>
              <w:rPr>
                <w:lang w:val="lt-LT"/>
              </w:rPr>
            </w:pPr>
            <w:r w:rsidRPr="00916AF9">
              <w:rPr>
                <w:lang w:val="lt-LT"/>
              </w:rPr>
              <w:t>Taip</w:t>
            </w: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9F7A4D" w:rsidRDefault="009F7A4D" w:rsidP="00440ED4">
            <w:pPr>
              <w:tabs>
                <w:tab w:val="left" w:pos="567"/>
              </w:tabs>
              <w:jc w:val="both"/>
              <w:rPr>
                <w:lang w:val="lt-LT"/>
              </w:rPr>
            </w:pPr>
            <w:r>
              <w:rPr>
                <w:lang w:val="lt-LT"/>
              </w:rPr>
              <w:t>III.3. Įgaliojimai, pareigos ir atsakomybė aiškiai apibrėžta</w:t>
            </w:r>
            <w:r w:rsidR="005B2CCE">
              <w:rPr>
                <w:lang w:val="lt-LT"/>
              </w:rPr>
              <w:t xml:space="preserve"> ir atiti</w:t>
            </w:r>
            <w:r w:rsidR="00440ED4">
              <w:rPr>
                <w:lang w:val="lt-LT"/>
              </w:rPr>
              <w:t>nka</w:t>
            </w:r>
            <w:r w:rsidR="005B2CCE">
              <w:rPr>
                <w:lang w:val="lt-LT"/>
              </w:rPr>
              <w:t xml:space="preserve"> įmonės tikslus, kad atitinkami asmenys galėtų priimti sprendimus ir imtis veiksmų.</w:t>
            </w:r>
          </w:p>
        </w:tc>
        <w:tc>
          <w:tcPr>
            <w:tcW w:w="1541" w:type="dxa"/>
          </w:tcPr>
          <w:p w:rsidR="009F7A4D" w:rsidRPr="00916AF9" w:rsidRDefault="002A59B7" w:rsidP="00A72CE1">
            <w:pPr>
              <w:tabs>
                <w:tab w:val="left" w:pos="567"/>
              </w:tabs>
              <w:jc w:val="center"/>
              <w:rPr>
                <w:lang w:val="lt-LT"/>
              </w:rPr>
            </w:pPr>
            <w:r w:rsidRPr="00916AF9">
              <w:rPr>
                <w:lang w:val="lt-LT"/>
              </w:rPr>
              <w:t>Taip</w:t>
            </w: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9F7A4D" w:rsidRDefault="005B2CCE" w:rsidP="002A59B7">
            <w:pPr>
              <w:tabs>
                <w:tab w:val="left" w:pos="567"/>
              </w:tabs>
              <w:jc w:val="both"/>
              <w:rPr>
                <w:lang w:val="lt-LT"/>
              </w:rPr>
            </w:pPr>
            <w:r>
              <w:rPr>
                <w:lang w:val="lt-LT"/>
              </w:rPr>
              <w:t xml:space="preserve">III.4. </w:t>
            </w:r>
            <w:r w:rsidR="00440ED4">
              <w:rPr>
                <w:lang w:val="lt-LT"/>
              </w:rPr>
              <w:t>Puoselėjamas</w:t>
            </w:r>
            <w:r>
              <w:rPr>
                <w:lang w:val="lt-LT"/>
              </w:rPr>
              <w:t xml:space="preserve"> pasitikėjimo </w:t>
            </w:r>
            <w:r w:rsidR="00440ED4">
              <w:rPr>
                <w:lang w:val="lt-LT"/>
              </w:rPr>
              <w:t>klimatas</w:t>
            </w:r>
            <w:r>
              <w:rPr>
                <w:lang w:val="lt-LT"/>
              </w:rPr>
              <w:t xml:space="preserve">, kad </w:t>
            </w:r>
            <w:r w:rsidR="002A59B7">
              <w:rPr>
                <w:lang w:val="lt-LT"/>
              </w:rPr>
              <w:t xml:space="preserve">darbuotojai </w:t>
            </w:r>
            <w:r>
              <w:rPr>
                <w:lang w:val="lt-LT"/>
              </w:rPr>
              <w:t>keistųsi informacija ir veiksmingai dirbtų siek</w:t>
            </w:r>
            <w:r w:rsidR="002A59B7">
              <w:rPr>
                <w:lang w:val="lt-LT"/>
              </w:rPr>
              <w:t>dami</w:t>
            </w:r>
            <w:r>
              <w:rPr>
                <w:lang w:val="lt-LT"/>
              </w:rPr>
              <w:t xml:space="preserve"> įmonės tikslų.</w:t>
            </w:r>
          </w:p>
        </w:tc>
        <w:tc>
          <w:tcPr>
            <w:tcW w:w="1541" w:type="dxa"/>
          </w:tcPr>
          <w:p w:rsidR="009F7A4D" w:rsidRPr="00916AF9" w:rsidRDefault="002A59B7" w:rsidP="00A72CE1">
            <w:pPr>
              <w:tabs>
                <w:tab w:val="left" w:pos="567"/>
              </w:tabs>
              <w:jc w:val="center"/>
              <w:rPr>
                <w:lang w:val="lt-LT"/>
              </w:rPr>
            </w:pPr>
            <w:r w:rsidRPr="00916AF9">
              <w:rPr>
                <w:lang w:val="lt-LT"/>
              </w:rPr>
              <w:t>Taip</w:t>
            </w: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9F7A4D" w:rsidRPr="004B5E0D" w:rsidRDefault="005B2CCE" w:rsidP="004B5E0D">
            <w:pPr>
              <w:tabs>
                <w:tab w:val="left" w:pos="567"/>
              </w:tabs>
              <w:jc w:val="center"/>
              <w:rPr>
                <w:b/>
                <w:lang w:val="lt-LT"/>
              </w:rPr>
            </w:pPr>
            <w:r w:rsidRPr="004B5E0D">
              <w:rPr>
                <w:b/>
                <w:lang w:val="lt-LT"/>
              </w:rPr>
              <w:t xml:space="preserve">III grupė </w:t>
            </w:r>
            <w:r w:rsidR="002B7712" w:rsidRPr="004B5E0D">
              <w:rPr>
                <w:b/>
                <w:lang w:val="lt-LT"/>
              </w:rPr>
              <w:t>–</w:t>
            </w:r>
            <w:r w:rsidRPr="004B5E0D">
              <w:rPr>
                <w:b/>
                <w:lang w:val="lt-LT"/>
              </w:rPr>
              <w:t xml:space="preserve"> </w:t>
            </w:r>
            <w:r w:rsidR="002B7712" w:rsidRPr="004B5E0D">
              <w:rPr>
                <w:b/>
                <w:lang w:val="lt-LT"/>
              </w:rPr>
              <w:t>Pajėgumo kriterijai</w:t>
            </w:r>
          </w:p>
        </w:tc>
        <w:tc>
          <w:tcPr>
            <w:tcW w:w="1541" w:type="dxa"/>
          </w:tcPr>
          <w:p w:rsidR="009F7A4D" w:rsidRPr="00916AF9" w:rsidRDefault="009F7A4D" w:rsidP="00A72CE1">
            <w:pPr>
              <w:tabs>
                <w:tab w:val="left" w:pos="567"/>
              </w:tabs>
              <w:jc w:val="center"/>
              <w:rPr>
                <w:lang w:val="lt-LT"/>
              </w:rPr>
            </w:pP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9F7A4D" w:rsidRDefault="002B7712" w:rsidP="002A59B7">
            <w:pPr>
              <w:tabs>
                <w:tab w:val="left" w:pos="567"/>
              </w:tabs>
              <w:jc w:val="both"/>
              <w:rPr>
                <w:lang w:val="lt-LT"/>
              </w:rPr>
            </w:pPr>
            <w:r>
              <w:rPr>
                <w:lang w:val="lt-LT"/>
              </w:rPr>
              <w:t>III.1. Darbuotojai turi būtinas žinias, įgūdžius ir priemones, kad gal</w:t>
            </w:r>
            <w:r w:rsidR="00B12410">
              <w:rPr>
                <w:lang w:val="lt-LT"/>
              </w:rPr>
              <w:t>ėtų</w:t>
            </w:r>
            <w:r>
              <w:rPr>
                <w:lang w:val="lt-LT"/>
              </w:rPr>
              <w:t xml:space="preserve"> pasiekti įmonės tikslus</w:t>
            </w:r>
            <w:r w:rsidR="00A72CE1">
              <w:rPr>
                <w:lang w:val="lt-LT"/>
              </w:rPr>
              <w:t>.</w:t>
            </w:r>
          </w:p>
        </w:tc>
        <w:tc>
          <w:tcPr>
            <w:tcW w:w="1541" w:type="dxa"/>
          </w:tcPr>
          <w:p w:rsidR="009F7A4D" w:rsidRPr="00916AF9" w:rsidRDefault="002A59B7" w:rsidP="00A72CE1">
            <w:pPr>
              <w:tabs>
                <w:tab w:val="left" w:pos="567"/>
              </w:tabs>
              <w:jc w:val="center"/>
              <w:rPr>
                <w:lang w:val="lt-LT"/>
              </w:rPr>
            </w:pPr>
            <w:r w:rsidRPr="00916AF9">
              <w:rPr>
                <w:lang w:val="lt-LT"/>
              </w:rPr>
              <w:t>Taip</w:t>
            </w: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9F7A4D" w:rsidRDefault="002B7712" w:rsidP="002A59B7">
            <w:pPr>
              <w:tabs>
                <w:tab w:val="left" w:pos="567"/>
              </w:tabs>
              <w:jc w:val="both"/>
              <w:rPr>
                <w:lang w:val="lt-LT"/>
              </w:rPr>
            </w:pPr>
            <w:r>
              <w:rPr>
                <w:lang w:val="lt-LT"/>
              </w:rPr>
              <w:t xml:space="preserve">III. 2 </w:t>
            </w:r>
            <w:r w:rsidR="004E27DB">
              <w:rPr>
                <w:lang w:val="lt-LT"/>
              </w:rPr>
              <w:t xml:space="preserve">Informavimo procesai </w:t>
            </w:r>
            <w:r w:rsidR="002A59B7">
              <w:rPr>
                <w:lang w:val="lt-LT"/>
              </w:rPr>
              <w:t>rem</w:t>
            </w:r>
            <w:r w:rsidR="004E27DB">
              <w:rPr>
                <w:lang w:val="lt-LT"/>
              </w:rPr>
              <w:t>i</w:t>
            </w:r>
            <w:r w:rsidR="002A59B7">
              <w:rPr>
                <w:lang w:val="lt-LT"/>
              </w:rPr>
              <w:t>a</w:t>
            </w:r>
            <w:r w:rsidR="004E27DB">
              <w:rPr>
                <w:lang w:val="lt-LT"/>
              </w:rPr>
              <w:t xml:space="preserve"> įmonės vertybes ir tikslų pasiekiamumą.</w:t>
            </w:r>
          </w:p>
        </w:tc>
        <w:tc>
          <w:tcPr>
            <w:tcW w:w="1541" w:type="dxa"/>
          </w:tcPr>
          <w:p w:rsidR="009F7A4D" w:rsidRPr="00916AF9" w:rsidRDefault="002A59B7" w:rsidP="00A72CE1">
            <w:pPr>
              <w:tabs>
                <w:tab w:val="left" w:pos="567"/>
              </w:tabs>
              <w:jc w:val="center"/>
              <w:rPr>
                <w:lang w:val="lt-LT"/>
              </w:rPr>
            </w:pPr>
            <w:r w:rsidRPr="00916AF9">
              <w:rPr>
                <w:lang w:val="lt-LT"/>
              </w:rPr>
              <w:t>Taip</w:t>
            </w: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9F7A4D" w:rsidRDefault="004E27DB" w:rsidP="002A59B7">
            <w:pPr>
              <w:tabs>
                <w:tab w:val="left" w:pos="567"/>
              </w:tabs>
              <w:jc w:val="both"/>
              <w:rPr>
                <w:lang w:val="lt-LT"/>
              </w:rPr>
            </w:pPr>
            <w:r>
              <w:rPr>
                <w:lang w:val="lt-LT"/>
              </w:rPr>
              <w:t xml:space="preserve">III.3 Pakankama ir svarbi informacija </w:t>
            </w:r>
            <w:r w:rsidR="00B12410">
              <w:rPr>
                <w:lang w:val="lt-LT"/>
              </w:rPr>
              <w:t>identifikuo</w:t>
            </w:r>
            <w:r w:rsidR="002A59B7">
              <w:rPr>
                <w:lang w:val="lt-LT"/>
              </w:rPr>
              <w:t>jama</w:t>
            </w:r>
            <w:r w:rsidR="004B5E0D">
              <w:rPr>
                <w:lang w:val="lt-LT"/>
              </w:rPr>
              <w:t xml:space="preserve"> ir praneša</w:t>
            </w:r>
            <w:r w:rsidR="002A59B7">
              <w:rPr>
                <w:lang w:val="lt-LT"/>
              </w:rPr>
              <w:t>ma</w:t>
            </w:r>
            <w:r w:rsidR="004B5E0D">
              <w:rPr>
                <w:lang w:val="lt-LT"/>
              </w:rPr>
              <w:t xml:space="preserve"> laiku</w:t>
            </w:r>
            <w:r w:rsidR="00B12410">
              <w:rPr>
                <w:lang w:val="lt-LT"/>
              </w:rPr>
              <w:t xml:space="preserve"> tam</w:t>
            </w:r>
            <w:r w:rsidR="004B5E0D">
              <w:rPr>
                <w:lang w:val="lt-LT"/>
              </w:rPr>
              <w:t xml:space="preserve">, kad </w:t>
            </w:r>
            <w:r w:rsidR="00B647D8">
              <w:rPr>
                <w:lang w:val="lt-LT"/>
              </w:rPr>
              <w:t>darbuotoj</w:t>
            </w:r>
            <w:r w:rsidR="00B12410">
              <w:rPr>
                <w:lang w:val="lt-LT"/>
              </w:rPr>
              <w:t>ai</w:t>
            </w:r>
            <w:r w:rsidR="00B647D8">
              <w:rPr>
                <w:lang w:val="lt-LT"/>
              </w:rPr>
              <w:t xml:space="preserve"> </w:t>
            </w:r>
            <w:r w:rsidR="00A72CE1">
              <w:rPr>
                <w:lang w:val="lt-LT"/>
              </w:rPr>
              <w:t>atlikt</w:t>
            </w:r>
            <w:r w:rsidR="00B12410">
              <w:rPr>
                <w:lang w:val="lt-LT"/>
              </w:rPr>
              <w:t xml:space="preserve">ų paskirtas </w:t>
            </w:r>
            <w:r w:rsidR="00A72CE1">
              <w:rPr>
                <w:lang w:val="lt-LT"/>
              </w:rPr>
              <w:t>pareigas.</w:t>
            </w:r>
            <w:r w:rsidR="004B5E0D">
              <w:rPr>
                <w:lang w:val="lt-LT"/>
              </w:rPr>
              <w:t xml:space="preserve"> </w:t>
            </w:r>
          </w:p>
        </w:tc>
        <w:tc>
          <w:tcPr>
            <w:tcW w:w="1541" w:type="dxa"/>
          </w:tcPr>
          <w:p w:rsidR="009F7A4D" w:rsidRPr="00916AF9" w:rsidRDefault="002A59B7" w:rsidP="00A72CE1">
            <w:pPr>
              <w:tabs>
                <w:tab w:val="left" w:pos="567"/>
              </w:tabs>
              <w:jc w:val="center"/>
              <w:rPr>
                <w:lang w:val="lt-LT"/>
              </w:rPr>
            </w:pPr>
            <w:r w:rsidRPr="00916AF9">
              <w:rPr>
                <w:lang w:val="lt-LT"/>
              </w:rPr>
              <w:t>Taip</w:t>
            </w: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B12410" w:rsidRDefault="00A72CE1" w:rsidP="002A59B7">
            <w:pPr>
              <w:tabs>
                <w:tab w:val="left" w:pos="567"/>
              </w:tabs>
              <w:jc w:val="both"/>
              <w:rPr>
                <w:lang w:val="lt-LT"/>
              </w:rPr>
            </w:pPr>
            <w:r>
              <w:rPr>
                <w:lang w:val="lt-LT"/>
              </w:rPr>
              <w:t xml:space="preserve">III.4 </w:t>
            </w:r>
            <w:r w:rsidR="00B12410">
              <w:rPr>
                <w:lang w:val="lt-LT"/>
              </w:rPr>
              <w:t>S</w:t>
            </w:r>
            <w:r w:rsidR="002A59B7">
              <w:rPr>
                <w:lang w:val="lt-LT"/>
              </w:rPr>
              <w:t>uderinami s</w:t>
            </w:r>
            <w:r w:rsidR="00B12410">
              <w:rPr>
                <w:lang w:val="lt-LT"/>
              </w:rPr>
              <w:t>kirtingų įmonės padalinių s</w:t>
            </w:r>
            <w:r w:rsidR="002A59B7">
              <w:rPr>
                <w:lang w:val="lt-LT"/>
              </w:rPr>
              <w:t>prendimai ir veiksmai</w:t>
            </w:r>
            <w:r w:rsidR="00B12410">
              <w:rPr>
                <w:lang w:val="lt-LT"/>
              </w:rPr>
              <w:t>.</w:t>
            </w:r>
          </w:p>
        </w:tc>
        <w:tc>
          <w:tcPr>
            <w:tcW w:w="1541" w:type="dxa"/>
          </w:tcPr>
          <w:p w:rsidR="009F7A4D" w:rsidRPr="00916AF9" w:rsidRDefault="002A59B7" w:rsidP="00A72CE1">
            <w:pPr>
              <w:tabs>
                <w:tab w:val="left" w:pos="567"/>
              </w:tabs>
              <w:jc w:val="center"/>
              <w:rPr>
                <w:lang w:val="lt-LT"/>
              </w:rPr>
            </w:pPr>
            <w:r w:rsidRPr="00916AF9">
              <w:rPr>
                <w:lang w:val="lt-LT"/>
              </w:rPr>
              <w:t>Taip</w:t>
            </w: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9F7A4D" w:rsidRDefault="00B12410" w:rsidP="002A59B7">
            <w:pPr>
              <w:tabs>
                <w:tab w:val="left" w:pos="567"/>
              </w:tabs>
              <w:jc w:val="both"/>
              <w:rPr>
                <w:lang w:val="lt-LT"/>
              </w:rPr>
            </w:pPr>
            <w:r>
              <w:rPr>
                <w:lang w:val="lt-LT"/>
              </w:rPr>
              <w:t>III.5. Kontrolės veiksmai vykdomi kaip sudėtinė įmonės dalis, atsižvelgiant į jos tikslus, rizikas ir ryšius tarp kontrolės elementų</w:t>
            </w:r>
            <w:r w:rsidR="00E65C93">
              <w:rPr>
                <w:lang w:val="lt-LT"/>
              </w:rPr>
              <w:t>.</w:t>
            </w:r>
            <w:r>
              <w:rPr>
                <w:lang w:val="lt-LT"/>
              </w:rPr>
              <w:t xml:space="preserve"> </w:t>
            </w:r>
          </w:p>
        </w:tc>
        <w:tc>
          <w:tcPr>
            <w:tcW w:w="1541" w:type="dxa"/>
          </w:tcPr>
          <w:p w:rsidR="009F7A4D" w:rsidRPr="00916AF9" w:rsidRDefault="002A59B7" w:rsidP="00A72CE1">
            <w:pPr>
              <w:tabs>
                <w:tab w:val="left" w:pos="567"/>
              </w:tabs>
              <w:jc w:val="center"/>
              <w:rPr>
                <w:lang w:val="lt-LT"/>
              </w:rPr>
            </w:pPr>
            <w:r w:rsidRPr="00916AF9">
              <w:rPr>
                <w:lang w:val="lt-LT"/>
              </w:rPr>
              <w:t>Taip</w:t>
            </w:r>
          </w:p>
        </w:tc>
        <w:tc>
          <w:tcPr>
            <w:tcW w:w="1400" w:type="dxa"/>
          </w:tcPr>
          <w:p w:rsidR="009F7A4D" w:rsidRPr="00916AF9" w:rsidRDefault="009F7A4D" w:rsidP="00A72CE1">
            <w:pPr>
              <w:tabs>
                <w:tab w:val="left" w:pos="567"/>
              </w:tabs>
              <w:jc w:val="center"/>
              <w:rPr>
                <w:lang w:val="lt-LT"/>
              </w:rPr>
            </w:pPr>
          </w:p>
        </w:tc>
      </w:tr>
      <w:tr w:rsidR="009F7A4D" w:rsidRPr="00916AF9" w:rsidTr="00A72CE1">
        <w:tc>
          <w:tcPr>
            <w:tcW w:w="6912" w:type="dxa"/>
          </w:tcPr>
          <w:p w:rsidR="009F7A4D" w:rsidRPr="00B12410" w:rsidRDefault="00B12410" w:rsidP="00B12410">
            <w:pPr>
              <w:tabs>
                <w:tab w:val="left" w:pos="567"/>
              </w:tabs>
              <w:jc w:val="center"/>
              <w:rPr>
                <w:b/>
                <w:lang w:val="lt-LT"/>
              </w:rPr>
            </w:pPr>
            <w:r w:rsidRPr="00B12410">
              <w:rPr>
                <w:b/>
                <w:lang w:val="lt-LT"/>
              </w:rPr>
              <w:t>IV grupė – Stebėsenos ir mokymosi kriterijai</w:t>
            </w:r>
          </w:p>
        </w:tc>
        <w:tc>
          <w:tcPr>
            <w:tcW w:w="1541" w:type="dxa"/>
          </w:tcPr>
          <w:p w:rsidR="009F7A4D" w:rsidRPr="00916AF9" w:rsidRDefault="009F7A4D" w:rsidP="00A72CE1">
            <w:pPr>
              <w:tabs>
                <w:tab w:val="left" w:pos="567"/>
              </w:tabs>
              <w:jc w:val="center"/>
              <w:rPr>
                <w:lang w:val="lt-LT"/>
              </w:rPr>
            </w:pPr>
          </w:p>
        </w:tc>
        <w:tc>
          <w:tcPr>
            <w:tcW w:w="1400" w:type="dxa"/>
          </w:tcPr>
          <w:p w:rsidR="009F7A4D" w:rsidRPr="00916AF9" w:rsidRDefault="009F7A4D" w:rsidP="00A72CE1">
            <w:pPr>
              <w:tabs>
                <w:tab w:val="left" w:pos="567"/>
              </w:tabs>
              <w:jc w:val="center"/>
              <w:rPr>
                <w:lang w:val="lt-LT"/>
              </w:rPr>
            </w:pPr>
          </w:p>
        </w:tc>
      </w:tr>
      <w:tr w:rsidR="00B12410" w:rsidRPr="00916AF9" w:rsidTr="00A72CE1">
        <w:tc>
          <w:tcPr>
            <w:tcW w:w="6912" w:type="dxa"/>
          </w:tcPr>
          <w:p w:rsidR="00B12410" w:rsidRDefault="00B12410" w:rsidP="008E4A5A">
            <w:pPr>
              <w:tabs>
                <w:tab w:val="left" w:pos="567"/>
              </w:tabs>
              <w:jc w:val="both"/>
              <w:rPr>
                <w:lang w:val="lt-LT"/>
              </w:rPr>
            </w:pPr>
            <w:r>
              <w:rPr>
                <w:lang w:val="lt-LT"/>
              </w:rPr>
              <w:t xml:space="preserve">IV.1 </w:t>
            </w:r>
            <w:r w:rsidR="002A59B7">
              <w:rPr>
                <w:lang w:val="lt-LT"/>
              </w:rPr>
              <w:t>Stebima i</w:t>
            </w:r>
            <w:r>
              <w:rPr>
                <w:lang w:val="lt-LT"/>
              </w:rPr>
              <w:t>šorė</w:t>
            </w:r>
            <w:r w:rsidR="008E4A5A">
              <w:rPr>
                <w:lang w:val="lt-LT"/>
              </w:rPr>
              <w:t>s</w:t>
            </w:r>
            <w:r>
              <w:rPr>
                <w:lang w:val="lt-LT"/>
              </w:rPr>
              <w:t xml:space="preserve"> ir vid</w:t>
            </w:r>
            <w:r w:rsidR="008E4A5A">
              <w:rPr>
                <w:lang w:val="lt-LT"/>
              </w:rPr>
              <w:t xml:space="preserve">aus </w:t>
            </w:r>
            <w:r>
              <w:rPr>
                <w:lang w:val="lt-LT"/>
              </w:rPr>
              <w:t xml:space="preserve">aplinka, kad gauti informaciją apie būtinybę </w:t>
            </w:r>
            <w:r w:rsidR="002A59B7">
              <w:rPr>
                <w:lang w:val="lt-LT"/>
              </w:rPr>
              <w:t>iš naujo į</w:t>
            </w:r>
            <w:r>
              <w:rPr>
                <w:lang w:val="lt-LT"/>
              </w:rPr>
              <w:t>vertinti įmonės tikslus ar kontrolę.</w:t>
            </w:r>
          </w:p>
        </w:tc>
        <w:tc>
          <w:tcPr>
            <w:tcW w:w="1541" w:type="dxa"/>
          </w:tcPr>
          <w:p w:rsidR="00B12410" w:rsidRPr="00916AF9" w:rsidRDefault="002A59B7" w:rsidP="00A72CE1">
            <w:pPr>
              <w:tabs>
                <w:tab w:val="left" w:pos="567"/>
              </w:tabs>
              <w:jc w:val="center"/>
              <w:rPr>
                <w:lang w:val="lt-LT"/>
              </w:rPr>
            </w:pPr>
            <w:r w:rsidRPr="00916AF9">
              <w:rPr>
                <w:lang w:val="lt-LT"/>
              </w:rPr>
              <w:t>Taip</w:t>
            </w:r>
          </w:p>
        </w:tc>
        <w:tc>
          <w:tcPr>
            <w:tcW w:w="1400" w:type="dxa"/>
          </w:tcPr>
          <w:p w:rsidR="00B12410" w:rsidRPr="00916AF9" w:rsidRDefault="00B12410" w:rsidP="00A72CE1">
            <w:pPr>
              <w:tabs>
                <w:tab w:val="left" w:pos="567"/>
              </w:tabs>
              <w:jc w:val="center"/>
              <w:rPr>
                <w:lang w:val="lt-LT"/>
              </w:rPr>
            </w:pPr>
          </w:p>
        </w:tc>
      </w:tr>
      <w:tr w:rsidR="00B12410" w:rsidRPr="00916AF9" w:rsidTr="00A72CE1">
        <w:tc>
          <w:tcPr>
            <w:tcW w:w="6912" w:type="dxa"/>
          </w:tcPr>
          <w:p w:rsidR="00B12410" w:rsidRDefault="00B12410" w:rsidP="002A59B7">
            <w:pPr>
              <w:tabs>
                <w:tab w:val="left" w:pos="567"/>
              </w:tabs>
              <w:jc w:val="both"/>
              <w:rPr>
                <w:lang w:val="lt-LT"/>
              </w:rPr>
            </w:pPr>
            <w:r>
              <w:rPr>
                <w:lang w:val="lt-LT"/>
              </w:rPr>
              <w:t>IV.2 Rezultat</w:t>
            </w:r>
            <w:r w:rsidR="0071015B">
              <w:rPr>
                <w:lang w:val="lt-LT"/>
              </w:rPr>
              <w:t>a</w:t>
            </w:r>
            <w:r>
              <w:rPr>
                <w:lang w:val="lt-LT"/>
              </w:rPr>
              <w:t xml:space="preserve">i </w:t>
            </w:r>
            <w:r w:rsidR="0071015B">
              <w:rPr>
                <w:lang w:val="lt-LT"/>
              </w:rPr>
              <w:t>lyginami su veiklos objektais ir rodikliais, nurodytais įmonės tiksluose ir planuose.</w:t>
            </w:r>
          </w:p>
        </w:tc>
        <w:tc>
          <w:tcPr>
            <w:tcW w:w="1541" w:type="dxa"/>
          </w:tcPr>
          <w:p w:rsidR="00B12410" w:rsidRPr="00916AF9" w:rsidRDefault="002A59B7" w:rsidP="00A72CE1">
            <w:pPr>
              <w:tabs>
                <w:tab w:val="left" w:pos="567"/>
              </w:tabs>
              <w:jc w:val="center"/>
              <w:rPr>
                <w:lang w:val="lt-LT"/>
              </w:rPr>
            </w:pPr>
            <w:r w:rsidRPr="00916AF9">
              <w:rPr>
                <w:lang w:val="lt-LT"/>
              </w:rPr>
              <w:t>Taip</w:t>
            </w:r>
          </w:p>
        </w:tc>
        <w:tc>
          <w:tcPr>
            <w:tcW w:w="1400" w:type="dxa"/>
          </w:tcPr>
          <w:p w:rsidR="00B12410" w:rsidRPr="00916AF9" w:rsidRDefault="00B12410" w:rsidP="00A72CE1">
            <w:pPr>
              <w:tabs>
                <w:tab w:val="left" w:pos="567"/>
              </w:tabs>
              <w:jc w:val="center"/>
              <w:rPr>
                <w:lang w:val="lt-LT"/>
              </w:rPr>
            </w:pPr>
          </w:p>
        </w:tc>
      </w:tr>
      <w:tr w:rsidR="00B12410" w:rsidRPr="00916AF9" w:rsidTr="00A72CE1">
        <w:tc>
          <w:tcPr>
            <w:tcW w:w="6912" w:type="dxa"/>
          </w:tcPr>
          <w:p w:rsidR="00B12410" w:rsidRDefault="0071015B" w:rsidP="002A59B7">
            <w:pPr>
              <w:tabs>
                <w:tab w:val="left" w:pos="567"/>
              </w:tabs>
              <w:jc w:val="both"/>
              <w:rPr>
                <w:lang w:val="lt-LT"/>
              </w:rPr>
            </w:pPr>
            <w:r>
              <w:rPr>
                <w:lang w:val="lt-LT"/>
              </w:rPr>
              <w:t>IV.3</w:t>
            </w:r>
            <w:r w:rsidR="002A59B7">
              <w:rPr>
                <w:lang w:val="lt-LT"/>
              </w:rPr>
              <w:t xml:space="preserve"> Į</w:t>
            </w:r>
            <w:r>
              <w:rPr>
                <w:lang w:val="lt-LT"/>
              </w:rPr>
              <w:t>monės tiksl</w:t>
            </w:r>
            <w:r w:rsidR="002A59B7">
              <w:rPr>
                <w:lang w:val="lt-LT"/>
              </w:rPr>
              <w:t>ų prielaidos</w:t>
            </w:r>
            <w:r>
              <w:rPr>
                <w:lang w:val="lt-LT"/>
              </w:rPr>
              <w:t xml:space="preserve"> periodiškai peržiūrimos. </w:t>
            </w:r>
          </w:p>
        </w:tc>
        <w:tc>
          <w:tcPr>
            <w:tcW w:w="1541" w:type="dxa"/>
          </w:tcPr>
          <w:p w:rsidR="00B12410" w:rsidRPr="00916AF9" w:rsidRDefault="002A59B7" w:rsidP="00A72CE1">
            <w:pPr>
              <w:tabs>
                <w:tab w:val="left" w:pos="567"/>
              </w:tabs>
              <w:jc w:val="center"/>
              <w:rPr>
                <w:lang w:val="lt-LT"/>
              </w:rPr>
            </w:pPr>
            <w:r w:rsidRPr="00916AF9">
              <w:rPr>
                <w:lang w:val="lt-LT"/>
              </w:rPr>
              <w:t>Taip</w:t>
            </w:r>
          </w:p>
        </w:tc>
        <w:tc>
          <w:tcPr>
            <w:tcW w:w="1400" w:type="dxa"/>
          </w:tcPr>
          <w:p w:rsidR="00B12410" w:rsidRPr="00916AF9" w:rsidRDefault="00B12410" w:rsidP="00A72CE1">
            <w:pPr>
              <w:tabs>
                <w:tab w:val="left" w:pos="567"/>
              </w:tabs>
              <w:jc w:val="center"/>
              <w:rPr>
                <w:lang w:val="lt-LT"/>
              </w:rPr>
            </w:pPr>
          </w:p>
        </w:tc>
      </w:tr>
      <w:tr w:rsidR="00B12410" w:rsidRPr="00916AF9" w:rsidTr="00A72CE1">
        <w:tc>
          <w:tcPr>
            <w:tcW w:w="6912" w:type="dxa"/>
          </w:tcPr>
          <w:p w:rsidR="00B12410" w:rsidRDefault="0071015B" w:rsidP="002A59B7">
            <w:pPr>
              <w:tabs>
                <w:tab w:val="left" w:pos="567"/>
              </w:tabs>
              <w:jc w:val="both"/>
              <w:rPr>
                <w:lang w:val="lt-LT"/>
              </w:rPr>
            </w:pPr>
            <w:r>
              <w:rPr>
                <w:lang w:val="lt-LT"/>
              </w:rPr>
              <w:t xml:space="preserve">IV.4 Informacijos poreikis ir susijusios informacinės sistemos </w:t>
            </w:r>
            <w:r w:rsidR="002A59B7">
              <w:rPr>
                <w:lang w:val="lt-LT"/>
              </w:rPr>
              <w:t>iš naujo į</w:t>
            </w:r>
            <w:r>
              <w:rPr>
                <w:lang w:val="lt-LT"/>
              </w:rPr>
              <w:t>vertinamos keičiantis tikslams ar nustačius informacijos pateikimo trūkumus.</w:t>
            </w:r>
          </w:p>
        </w:tc>
        <w:tc>
          <w:tcPr>
            <w:tcW w:w="1541" w:type="dxa"/>
          </w:tcPr>
          <w:p w:rsidR="00B12410" w:rsidRPr="00916AF9" w:rsidRDefault="00E65C93" w:rsidP="00A72CE1">
            <w:pPr>
              <w:tabs>
                <w:tab w:val="left" w:pos="567"/>
              </w:tabs>
              <w:jc w:val="center"/>
              <w:rPr>
                <w:lang w:val="lt-LT"/>
              </w:rPr>
            </w:pPr>
            <w:r w:rsidRPr="00916AF9">
              <w:rPr>
                <w:lang w:val="lt-LT"/>
              </w:rPr>
              <w:t>Taip</w:t>
            </w:r>
          </w:p>
        </w:tc>
        <w:tc>
          <w:tcPr>
            <w:tcW w:w="1400" w:type="dxa"/>
          </w:tcPr>
          <w:p w:rsidR="00B12410" w:rsidRPr="00916AF9" w:rsidRDefault="00B12410" w:rsidP="00A72CE1">
            <w:pPr>
              <w:tabs>
                <w:tab w:val="left" w:pos="567"/>
              </w:tabs>
              <w:jc w:val="center"/>
              <w:rPr>
                <w:lang w:val="lt-LT"/>
              </w:rPr>
            </w:pPr>
          </w:p>
        </w:tc>
      </w:tr>
      <w:tr w:rsidR="00B12410" w:rsidRPr="00916AF9" w:rsidTr="00A72CE1">
        <w:tc>
          <w:tcPr>
            <w:tcW w:w="6912" w:type="dxa"/>
          </w:tcPr>
          <w:p w:rsidR="00B12410" w:rsidRDefault="0071015B" w:rsidP="002A59B7">
            <w:pPr>
              <w:tabs>
                <w:tab w:val="left" w:pos="567"/>
              </w:tabs>
              <w:jc w:val="both"/>
              <w:rPr>
                <w:lang w:val="lt-LT"/>
              </w:rPr>
            </w:pPr>
            <w:r>
              <w:rPr>
                <w:lang w:val="lt-LT"/>
              </w:rPr>
              <w:t xml:space="preserve">IV.5 </w:t>
            </w:r>
            <w:r w:rsidR="002A59B7">
              <w:rPr>
                <w:lang w:val="lt-LT"/>
              </w:rPr>
              <w:t>N</w:t>
            </w:r>
            <w:r w:rsidR="00236723">
              <w:rPr>
                <w:lang w:val="lt-LT"/>
              </w:rPr>
              <w:t>ustatytos ir atliekamos</w:t>
            </w:r>
            <w:r w:rsidR="002A59B7">
              <w:rPr>
                <w:lang w:val="lt-LT"/>
              </w:rPr>
              <w:t xml:space="preserve"> tikrinimo procedūros</w:t>
            </w:r>
            <w:r w:rsidR="00236723">
              <w:rPr>
                <w:lang w:val="lt-LT"/>
              </w:rPr>
              <w:t xml:space="preserve">, kad užtikrinti, </w:t>
            </w:r>
            <w:r w:rsidR="002A59B7">
              <w:rPr>
                <w:lang w:val="lt-LT"/>
              </w:rPr>
              <w:t>jog</w:t>
            </w:r>
            <w:r w:rsidR="00236723">
              <w:rPr>
                <w:lang w:val="lt-LT"/>
              </w:rPr>
              <w:t xml:space="preserve"> atitinkami pakeitimai ar veiksmai daromi.</w:t>
            </w:r>
            <w:r>
              <w:rPr>
                <w:lang w:val="lt-LT"/>
              </w:rPr>
              <w:t xml:space="preserve"> </w:t>
            </w:r>
          </w:p>
        </w:tc>
        <w:tc>
          <w:tcPr>
            <w:tcW w:w="1541" w:type="dxa"/>
          </w:tcPr>
          <w:p w:rsidR="00B12410" w:rsidRPr="00916AF9" w:rsidRDefault="00E65C93" w:rsidP="00A72CE1">
            <w:pPr>
              <w:tabs>
                <w:tab w:val="left" w:pos="567"/>
              </w:tabs>
              <w:jc w:val="center"/>
              <w:rPr>
                <w:lang w:val="lt-LT"/>
              </w:rPr>
            </w:pPr>
            <w:r w:rsidRPr="00916AF9">
              <w:rPr>
                <w:lang w:val="lt-LT"/>
              </w:rPr>
              <w:t>Taip</w:t>
            </w:r>
          </w:p>
        </w:tc>
        <w:tc>
          <w:tcPr>
            <w:tcW w:w="1400" w:type="dxa"/>
          </w:tcPr>
          <w:p w:rsidR="00B12410" w:rsidRPr="00916AF9" w:rsidRDefault="00B12410" w:rsidP="00A72CE1">
            <w:pPr>
              <w:tabs>
                <w:tab w:val="left" w:pos="567"/>
              </w:tabs>
              <w:jc w:val="center"/>
              <w:rPr>
                <w:lang w:val="lt-LT"/>
              </w:rPr>
            </w:pPr>
          </w:p>
        </w:tc>
      </w:tr>
      <w:tr w:rsidR="00B12410" w:rsidRPr="00916AF9" w:rsidTr="00A72CE1">
        <w:tc>
          <w:tcPr>
            <w:tcW w:w="6912" w:type="dxa"/>
          </w:tcPr>
          <w:p w:rsidR="00B12410" w:rsidRDefault="00236723" w:rsidP="00E65C93">
            <w:pPr>
              <w:tabs>
                <w:tab w:val="left" w:pos="567"/>
              </w:tabs>
              <w:jc w:val="both"/>
              <w:rPr>
                <w:lang w:val="lt-LT"/>
              </w:rPr>
            </w:pPr>
            <w:r>
              <w:rPr>
                <w:lang w:val="lt-LT"/>
              </w:rPr>
              <w:t>IV.6. Vadovybė periodiškai įvertin</w:t>
            </w:r>
            <w:r w:rsidR="00E65C93">
              <w:rPr>
                <w:lang w:val="lt-LT"/>
              </w:rPr>
              <w:t>a</w:t>
            </w:r>
            <w:r>
              <w:rPr>
                <w:lang w:val="lt-LT"/>
              </w:rPr>
              <w:t xml:space="preserve"> </w:t>
            </w:r>
            <w:r w:rsidR="00E65C93">
              <w:rPr>
                <w:lang w:val="lt-LT"/>
              </w:rPr>
              <w:t xml:space="preserve">įmonės </w:t>
            </w:r>
            <w:r>
              <w:rPr>
                <w:lang w:val="lt-LT"/>
              </w:rPr>
              <w:t xml:space="preserve">kontrolės veiksmingumą ir </w:t>
            </w:r>
            <w:r w:rsidR="00E65C93">
              <w:rPr>
                <w:lang w:val="lt-LT"/>
              </w:rPr>
              <w:t xml:space="preserve">atsiskaito už jos </w:t>
            </w:r>
            <w:r>
              <w:rPr>
                <w:lang w:val="lt-LT"/>
              </w:rPr>
              <w:t>rezultatus.</w:t>
            </w:r>
          </w:p>
        </w:tc>
        <w:tc>
          <w:tcPr>
            <w:tcW w:w="1541" w:type="dxa"/>
          </w:tcPr>
          <w:p w:rsidR="00B12410" w:rsidRPr="00916AF9" w:rsidRDefault="00E65C93" w:rsidP="00A72CE1">
            <w:pPr>
              <w:tabs>
                <w:tab w:val="left" w:pos="567"/>
              </w:tabs>
              <w:jc w:val="center"/>
              <w:rPr>
                <w:lang w:val="lt-LT"/>
              </w:rPr>
            </w:pPr>
            <w:r w:rsidRPr="00916AF9">
              <w:rPr>
                <w:lang w:val="lt-LT"/>
              </w:rPr>
              <w:t>Taip</w:t>
            </w:r>
          </w:p>
        </w:tc>
        <w:tc>
          <w:tcPr>
            <w:tcW w:w="1400" w:type="dxa"/>
          </w:tcPr>
          <w:p w:rsidR="00B12410" w:rsidRPr="00916AF9" w:rsidRDefault="00B12410" w:rsidP="00A72CE1">
            <w:pPr>
              <w:tabs>
                <w:tab w:val="left" w:pos="567"/>
              </w:tabs>
              <w:jc w:val="center"/>
              <w:rPr>
                <w:lang w:val="lt-LT"/>
              </w:rPr>
            </w:pPr>
          </w:p>
        </w:tc>
      </w:tr>
    </w:tbl>
    <w:p w:rsidR="00B57710" w:rsidRDefault="00B57710" w:rsidP="00B57710">
      <w:pPr>
        <w:tabs>
          <w:tab w:val="left" w:pos="567"/>
        </w:tabs>
        <w:jc w:val="both"/>
        <w:rPr>
          <w:sz w:val="24"/>
          <w:szCs w:val="24"/>
          <w:u w:val="single"/>
          <w:lang w:val="lt-LT"/>
        </w:rPr>
      </w:pPr>
    </w:p>
    <w:p w:rsidR="00B57710" w:rsidRDefault="00B57710" w:rsidP="00B57710">
      <w:pPr>
        <w:tabs>
          <w:tab w:val="left" w:pos="567"/>
        </w:tabs>
        <w:jc w:val="both"/>
        <w:rPr>
          <w:sz w:val="24"/>
          <w:szCs w:val="24"/>
          <w:lang w:val="lt-LT"/>
        </w:rPr>
      </w:pPr>
      <w:r w:rsidRPr="00B57710">
        <w:rPr>
          <w:sz w:val="24"/>
          <w:szCs w:val="24"/>
          <w:u w:val="single"/>
          <w:lang w:val="lt-LT"/>
        </w:rPr>
        <w:t>Išvada:</w:t>
      </w:r>
      <w:r>
        <w:rPr>
          <w:sz w:val="24"/>
          <w:szCs w:val="24"/>
          <w:lang w:val="lt-LT"/>
        </w:rPr>
        <w:t xml:space="preserve"> UAB „Šiluma“ vidaus kontrolės sistema yra veiksminga.</w:t>
      </w:r>
    </w:p>
    <w:p w:rsidR="00B57710" w:rsidRDefault="00B57710">
      <w:pPr>
        <w:tabs>
          <w:tab w:val="left" w:pos="567"/>
        </w:tabs>
        <w:jc w:val="both"/>
        <w:rPr>
          <w:sz w:val="24"/>
          <w:szCs w:val="24"/>
          <w:lang w:val="lt-LT"/>
        </w:rPr>
      </w:pPr>
    </w:p>
    <w:p w:rsidR="00B57710" w:rsidRDefault="00166819">
      <w:pPr>
        <w:rPr>
          <w:sz w:val="24"/>
          <w:szCs w:val="24"/>
          <w:lang w:val="lt-LT"/>
        </w:rPr>
      </w:pPr>
      <w:r>
        <w:rPr>
          <w:noProof/>
          <w:sz w:val="24"/>
          <w:szCs w:val="24"/>
          <w:lang w:val="lt-LT"/>
        </w:rPr>
        <w:pict>
          <v:shape id="_x0000_s74578" type="#_x0000_t202" style="position:absolute;margin-left:189.05pt;margin-top:17.65pt;width:40.5pt;height:21pt;z-index:254787584" filled="f" strokecolor="white [3212]">
            <v:textbox>
              <w:txbxContent>
                <w:p w:rsidR="000B69C2" w:rsidRPr="000B69C2" w:rsidRDefault="000B69C2" w:rsidP="000B69C2">
                  <w:pPr>
                    <w:jc w:val="center"/>
                    <w:rPr>
                      <w:lang w:val="lt-LT"/>
                    </w:rPr>
                  </w:pPr>
                  <w:r>
                    <w:rPr>
                      <w:lang w:val="lt-LT"/>
                    </w:rPr>
                    <w:t>265</w:t>
                  </w:r>
                </w:p>
              </w:txbxContent>
            </v:textbox>
          </v:shape>
        </w:pict>
      </w:r>
      <w:r w:rsidR="00B57710">
        <w:rPr>
          <w:sz w:val="24"/>
          <w:szCs w:val="24"/>
          <w:lang w:val="lt-LT"/>
        </w:rPr>
        <w:br w:type="page"/>
      </w:r>
    </w:p>
    <w:p w:rsidR="00B57710" w:rsidRPr="008503B3" w:rsidRDefault="00B57710" w:rsidP="00B57710">
      <w:pPr>
        <w:tabs>
          <w:tab w:val="left" w:pos="567"/>
        </w:tabs>
        <w:jc w:val="right"/>
        <w:rPr>
          <w:b/>
          <w:sz w:val="26"/>
          <w:szCs w:val="26"/>
          <w:lang w:val="lt-LT"/>
        </w:rPr>
      </w:pPr>
      <w:r w:rsidRPr="008503B3">
        <w:rPr>
          <w:b/>
          <w:sz w:val="26"/>
          <w:szCs w:val="26"/>
          <w:lang w:val="lt-LT"/>
        </w:rPr>
        <w:lastRenderedPageBreak/>
        <w:t>2</w:t>
      </w:r>
      <w:r w:rsidR="006072E9" w:rsidRPr="008503B3">
        <w:rPr>
          <w:b/>
          <w:sz w:val="26"/>
          <w:szCs w:val="26"/>
          <w:lang w:val="lt-LT"/>
        </w:rPr>
        <w:t>5</w:t>
      </w:r>
      <w:r w:rsidRPr="008503B3">
        <w:rPr>
          <w:b/>
          <w:sz w:val="26"/>
          <w:szCs w:val="26"/>
          <w:lang w:val="lt-LT"/>
        </w:rPr>
        <w:t xml:space="preserve"> PRIEDAS</w:t>
      </w:r>
    </w:p>
    <w:p w:rsidR="00B57710" w:rsidRPr="008503B3" w:rsidRDefault="00B57710" w:rsidP="00B57710">
      <w:pPr>
        <w:tabs>
          <w:tab w:val="left" w:pos="567"/>
        </w:tabs>
        <w:jc w:val="center"/>
        <w:rPr>
          <w:b/>
          <w:noProof/>
          <w:sz w:val="26"/>
          <w:szCs w:val="26"/>
          <w:lang w:val="lt-LT"/>
        </w:rPr>
      </w:pPr>
      <w:r w:rsidRPr="008503B3">
        <w:rPr>
          <w:b/>
          <w:noProof/>
          <w:sz w:val="26"/>
          <w:szCs w:val="26"/>
          <w:lang w:val="lt-LT"/>
        </w:rPr>
        <w:t xml:space="preserve">UAB „Žuvila“ vidaus kontrolės sistemos vertinimas pagal </w:t>
      </w:r>
      <w:r w:rsidRPr="008503B3">
        <w:rPr>
          <w:b/>
          <w:sz w:val="26"/>
          <w:szCs w:val="26"/>
          <w:lang w:val="lt-LT"/>
        </w:rPr>
        <w:t>CoCo vidaus kontrolės modelio (1995) kriterijus</w:t>
      </w:r>
      <w:r w:rsidRPr="008503B3">
        <w:rPr>
          <w:b/>
          <w:noProof/>
          <w:sz w:val="26"/>
          <w:szCs w:val="26"/>
          <w:lang w:val="lt-LT"/>
        </w:rPr>
        <w:t xml:space="preserve"> </w:t>
      </w:r>
    </w:p>
    <w:p w:rsidR="00B57710" w:rsidRPr="008503B3" w:rsidRDefault="00B57710" w:rsidP="00B57710">
      <w:pPr>
        <w:tabs>
          <w:tab w:val="left" w:pos="567"/>
        </w:tabs>
        <w:jc w:val="center"/>
        <w:rPr>
          <w:sz w:val="26"/>
          <w:szCs w:val="26"/>
          <w:lang w:val="lt-LT"/>
        </w:rPr>
      </w:pPr>
    </w:p>
    <w:tbl>
      <w:tblPr>
        <w:tblStyle w:val="TableGrid"/>
        <w:tblW w:w="0" w:type="auto"/>
        <w:tblLook w:val="04A0"/>
      </w:tblPr>
      <w:tblGrid>
        <w:gridCol w:w="5632"/>
        <w:gridCol w:w="1462"/>
        <w:gridCol w:w="1400"/>
      </w:tblGrid>
      <w:tr w:rsidR="00B57710" w:rsidRPr="00916AF9" w:rsidTr="00B70B0E">
        <w:tc>
          <w:tcPr>
            <w:tcW w:w="6912" w:type="dxa"/>
          </w:tcPr>
          <w:p w:rsidR="00B57710" w:rsidRPr="009F7A4D" w:rsidRDefault="00B57710" w:rsidP="00B70B0E">
            <w:pPr>
              <w:tabs>
                <w:tab w:val="left" w:pos="567"/>
              </w:tabs>
              <w:jc w:val="center"/>
              <w:rPr>
                <w:b/>
                <w:lang w:val="lt-LT"/>
              </w:rPr>
            </w:pPr>
            <w:r w:rsidRPr="009F7A4D">
              <w:rPr>
                <w:b/>
                <w:lang w:val="lt-LT"/>
              </w:rPr>
              <w:t>Kriterijus</w:t>
            </w:r>
          </w:p>
          <w:p w:rsidR="00B57710" w:rsidRPr="009F7A4D" w:rsidRDefault="00B57710" w:rsidP="00B70B0E">
            <w:pPr>
              <w:tabs>
                <w:tab w:val="left" w:pos="567"/>
              </w:tabs>
              <w:jc w:val="center"/>
              <w:rPr>
                <w:b/>
                <w:lang w:val="lt-LT"/>
              </w:rPr>
            </w:pPr>
          </w:p>
        </w:tc>
        <w:tc>
          <w:tcPr>
            <w:tcW w:w="1541" w:type="dxa"/>
          </w:tcPr>
          <w:p w:rsidR="00B57710" w:rsidRPr="00A72CE1" w:rsidRDefault="00B57710" w:rsidP="00B70B0E">
            <w:pPr>
              <w:tabs>
                <w:tab w:val="left" w:pos="567"/>
              </w:tabs>
              <w:jc w:val="center"/>
              <w:rPr>
                <w:b/>
                <w:lang w:val="lt-LT"/>
              </w:rPr>
            </w:pPr>
            <w:r w:rsidRPr="00A72CE1">
              <w:rPr>
                <w:b/>
                <w:lang w:val="lt-LT"/>
              </w:rPr>
              <w:t>Ar tenkinamas kriterijus?</w:t>
            </w:r>
          </w:p>
        </w:tc>
        <w:tc>
          <w:tcPr>
            <w:tcW w:w="1400" w:type="dxa"/>
          </w:tcPr>
          <w:p w:rsidR="00B57710" w:rsidRPr="00A72CE1" w:rsidRDefault="00B57710" w:rsidP="00B70B0E">
            <w:pPr>
              <w:tabs>
                <w:tab w:val="left" w:pos="567"/>
              </w:tabs>
              <w:jc w:val="center"/>
              <w:rPr>
                <w:b/>
                <w:lang w:val="lt-LT"/>
              </w:rPr>
            </w:pPr>
            <w:r w:rsidRPr="00A72CE1">
              <w:rPr>
                <w:b/>
                <w:lang w:val="lt-LT"/>
              </w:rPr>
              <w:t>Paaiškinimas, jei „Ne“</w:t>
            </w:r>
          </w:p>
        </w:tc>
      </w:tr>
      <w:tr w:rsidR="00B57710" w:rsidRPr="00916AF9" w:rsidTr="00B70B0E">
        <w:tc>
          <w:tcPr>
            <w:tcW w:w="6912" w:type="dxa"/>
          </w:tcPr>
          <w:p w:rsidR="00B57710" w:rsidRPr="009F7A4D" w:rsidRDefault="00B57710" w:rsidP="00B70B0E">
            <w:pPr>
              <w:tabs>
                <w:tab w:val="left" w:pos="567"/>
              </w:tabs>
              <w:jc w:val="center"/>
              <w:rPr>
                <w:b/>
                <w:lang w:val="lt-LT"/>
              </w:rPr>
            </w:pPr>
            <w:r w:rsidRPr="009F7A4D">
              <w:rPr>
                <w:b/>
                <w:lang w:val="lt-LT"/>
              </w:rPr>
              <w:t>I grupė – Tikslo kriterijai</w:t>
            </w:r>
          </w:p>
        </w:tc>
        <w:tc>
          <w:tcPr>
            <w:tcW w:w="1541" w:type="dxa"/>
          </w:tcPr>
          <w:p w:rsidR="00B57710" w:rsidRPr="00916AF9" w:rsidRDefault="00B57710" w:rsidP="00B70B0E">
            <w:pPr>
              <w:tabs>
                <w:tab w:val="left" w:pos="567"/>
              </w:tabs>
              <w:jc w:val="center"/>
              <w:rPr>
                <w:lang w:val="lt-LT"/>
              </w:rPr>
            </w:pP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Pr="00916AF9" w:rsidRDefault="00B57710" w:rsidP="00B70B0E">
            <w:pPr>
              <w:tabs>
                <w:tab w:val="left" w:pos="567"/>
              </w:tabs>
              <w:jc w:val="both"/>
              <w:rPr>
                <w:lang w:val="lt-LT"/>
              </w:rPr>
            </w:pPr>
            <w:r w:rsidRPr="00916AF9">
              <w:rPr>
                <w:lang w:val="lt-LT"/>
              </w:rPr>
              <w:t>I.1 Įmonės tikslai yra nustatyti ir pranešti.</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Pr="00916AF9" w:rsidRDefault="00B57710" w:rsidP="008E4A5A">
            <w:pPr>
              <w:tabs>
                <w:tab w:val="left" w:pos="567"/>
              </w:tabs>
              <w:jc w:val="both"/>
              <w:rPr>
                <w:lang w:val="lt-LT"/>
              </w:rPr>
            </w:pPr>
            <w:r w:rsidRPr="00916AF9">
              <w:rPr>
                <w:lang w:val="lt-LT"/>
              </w:rPr>
              <w:t>I.2. Svarbios vid</w:t>
            </w:r>
            <w:r w:rsidR="008E4A5A">
              <w:rPr>
                <w:lang w:val="lt-LT"/>
              </w:rPr>
              <w:t>aus</w:t>
            </w:r>
            <w:r w:rsidRPr="00916AF9">
              <w:rPr>
                <w:lang w:val="lt-LT"/>
              </w:rPr>
              <w:t xml:space="preserve"> </w:t>
            </w:r>
            <w:r>
              <w:rPr>
                <w:lang w:val="lt-LT"/>
              </w:rPr>
              <w:t>ir išorės rizikos, su kuriomis susiduria įmonė siekdama savo tikslų, yra nustatytos ir įvertintos.</w:t>
            </w:r>
          </w:p>
        </w:tc>
        <w:tc>
          <w:tcPr>
            <w:tcW w:w="1541" w:type="dxa"/>
          </w:tcPr>
          <w:p w:rsidR="00B57710" w:rsidRPr="00916AF9" w:rsidRDefault="00B57710" w:rsidP="00B70B0E">
            <w:pPr>
              <w:tabs>
                <w:tab w:val="left" w:pos="567"/>
              </w:tabs>
              <w:jc w:val="center"/>
              <w:rPr>
                <w:lang w:val="lt-LT"/>
              </w:rPr>
            </w:pPr>
            <w:r>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Pr="00236723" w:rsidRDefault="00B57710" w:rsidP="00B70B0E">
            <w:pPr>
              <w:tabs>
                <w:tab w:val="left" w:pos="567"/>
              </w:tabs>
              <w:jc w:val="both"/>
              <w:rPr>
                <w:lang w:val="lt-LT"/>
              </w:rPr>
            </w:pPr>
            <w:r w:rsidRPr="00236723">
              <w:rPr>
                <w:lang w:val="lt-LT"/>
              </w:rPr>
              <w:t>I.3. Politikos</w:t>
            </w:r>
            <w:r>
              <w:rPr>
                <w:lang w:val="lt-LT"/>
              </w:rPr>
              <w:t>,</w:t>
            </w:r>
            <w:r w:rsidRPr="00236723">
              <w:rPr>
                <w:lang w:val="lt-LT"/>
              </w:rPr>
              <w:t xml:space="preserve"> skirtos pasiekti įmonės tikslus ir valdyti rizikas</w:t>
            </w:r>
            <w:r>
              <w:rPr>
                <w:lang w:val="lt-LT"/>
              </w:rPr>
              <w:t xml:space="preserve">, yra </w:t>
            </w:r>
            <w:r w:rsidRPr="00236723">
              <w:rPr>
                <w:lang w:val="lt-LT"/>
              </w:rPr>
              <w:t>nustatytos, praneštos ir vykdomos taip, kad darbuotojai suprastų ko iš jų yra tikimasi ir kiek jiems tai darant suteikiama laisvės.</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Pr="00236723" w:rsidRDefault="00B57710" w:rsidP="00B70B0E">
            <w:pPr>
              <w:tabs>
                <w:tab w:val="left" w:pos="567"/>
              </w:tabs>
              <w:jc w:val="both"/>
              <w:rPr>
                <w:lang w:val="lt-LT"/>
              </w:rPr>
            </w:pPr>
            <w:r w:rsidRPr="00236723">
              <w:rPr>
                <w:lang w:val="lt-LT"/>
              </w:rPr>
              <w:t xml:space="preserve">I.4. </w:t>
            </w:r>
            <w:r>
              <w:rPr>
                <w:lang w:val="lt-LT"/>
              </w:rPr>
              <w:t>Į</w:t>
            </w:r>
            <w:r w:rsidRPr="00236723">
              <w:rPr>
                <w:lang w:val="lt-LT"/>
              </w:rPr>
              <w:t xml:space="preserve">monės tikslų </w:t>
            </w:r>
            <w:r>
              <w:rPr>
                <w:lang w:val="lt-LT"/>
              </w:rPr>
              <w:t xml:space="preserve">pasiekimo planai yra </w:t>
            </w:r>
            <w:r w:rsidRPr="00236723">
              <w:rPr>
                <w:lang w:val="lt-LT"/>
              </w:rPr>
              <w:t xml:space="preserve">nustatyti ir pranešti. </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Pr="00236723" w:rsidRDefault="00B57710" w:rsidP="00B70B0E">
            <w:pPr>
              <w:tabs>
                <w:tab w:val="left" w:pos="567"/>
              </w:tabs>
              <w:jc w:val="both"/>
              <w:rPr>
                <w:lang w:val="lt-LT"/>
              </w:rPr>
            </w:pPr>
            <w:r w:rsidRPr="00236723">
              <w:rPr>
                <w:lang w:val="lt-LT"/>
              </w:rPr>
              <w:t xml:space="preserve">I.5. Tikslai ir </w:t>
            </w:r>
            <w:r>
              <w:rPr>
                <w:lang w:val="lt-LT"/>
              </w:rPr>
              <w:t xml:space="preserve">jų pasiekimo </w:t>
            </w:r>
            <w:r w:rsidRPr="00236723">
              <w:rPr>
                <w:lang w:val="lt-LT"/>
              </w:rPr>
              <w:t xml:space="preserve">planai </w:t>
            </w:r>
            <w:r>
              <w:rPr>
                <w:lang w:val="lt-LT"/>
              </w:rPr>
              <w:t xml:space="preserve">taip pat </w:t>
            </w:r>
            <w:r w:rsidRPr="00236723">
              <w:rPr>
                <w:lang w:val="lt-LT"/>
              </w:rPr>
              <w:t>apim</w:t>
            </w:r>
            <w:r>
              <w:rPr>
                <w:lang w:val="lt-LT"/>
              </w:rPr>
              <w:t>a</w:t>
            </w:r>
            <w:r w:rsidRPr="00236723">
              <w:rPr>
                <w:lang w:val="lt-LT"/>
              </w:rPr>
              <w:t xml:space="preserve"> išmatuojamus veiklos objektus ir rodiklius. </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Pr="00236723" w:rsidRDefault="00B57710" w:rsidP="00B70B0E">
            <w:pPr>
              <w:tabs>
                <w:tab w:val="left" w:pos="567"/>
              </w:tabs>
              <w:jc w:val="center"/>
              <w:rPr>
                <w:b/>
                <w:lang w:val="lt-LT"/>
              </w:rPr>
            </w:pPr>
            <w:r w:rsidRPr="00236723">
              <w:rPr>
                <w:b/>
                <w:lang w:val="lt-LT"/>
              </w:rPr>
              <w:t>II grupė – Atsidavimo kriterijai</w:t>
            </w:r>
          </w:p>
        </w:tc>
        <w:tc>
          <w:tcPr>
            <w:tcW w:w="1541" w:type="dxa"/>
          </w:tcPr>
          <w:p w:rsidR="00B57710" w:rsidRPr="00916AF9" w:rsidRDefault="00B57710" w:rsidP="00B70B0E">
            <w:pPr>
              <w:tabs>
                <w:tab w:val="left" w:pos="567"/>
              </w:tabs>
              <w:jc w:val="center"/>
              <w:rPr>
                <w:lang w:val="lt-LT"/>
              </w:rPr>
            </w:pP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Pr="00236723" w:rsidRDefault="00B57710" w:rsidP="00B70B0E">
            <w:pPr>
              <w:tabs>
                <w:tab w:val="left" w:pos="567"/>
              </w:tabs>
              <w:jc w:val="both"/>
              <w:rPr>
                <w:lang w:val="lt-LT"/>
              </w:rPr>
            </w:pPr>
            <w:r w:rsidRPr="00236723">
              <w:rPr>
                <w:lang w:val="lt-LT"/>
              </w:rPr>
              <w:t xml:space="preserve">II.1 Etinės vertybės, įskaitant sąžiningumą, </w:t>
            </w:r>
            <w:r>
              <w:rPr>
                <w:lang w:val="lt-LT"/>
              </w:rPr>
              <w:t xml:space="preserve">yra </w:t>
            </w:r>
            <w:r w:rsidRPr="00236723">
              <w:rPr>
                <w:lang w:val="lt-LT"/>
              </w:rPr>
              <w:t xml:space="preserve">nustatytos, praneštos ir jų įmonėje </w:t>
            </w:r>
            <w:r>
              <w:rPr>
                <w:lang w:val="lt-LT"/>
              </w:rPr>
              <w:t xml:space="preserve">yra </w:t>
            </w:r>
            <w:r w:rsidRPr="00236723">
              <w:rPr>
                <w:lang w:val="lt-LT"/>
              </w:rPr>
              <w:t xml:space="preserve">laikomasi. </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II.2 Žmogiškųjų išteklių politika ir praktika atitinka įmonės etines vertybes ir siekiamus tikslus.</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III.3. Įgaliojimai, pareigos ir atsakomybė aiškiai apibrėžta ir atitinka įmonės tikslus, kad atitinkami asmenys galėtų priimti sprendimus ir imtis veiksmų.</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III.4. Puoselėjamas pasitikėjimo klimatas, kad darbuotojai keistųsi informacija ir veiksmingai dirbtų siekdami įmonės tikslų.</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Pr="004B5E0D" w:rsidRDefault="00B57710" w:rsidP="00B70B0E">
            <w:pPr>
              <w:tabs>
                <w:tab w:val="left" w:pos="567"/>
              </w:tabs>
              <w:jc w:val="center"/>
              <w:rPr>
                <w:b/>
                <w:lang w:val="lt-LT"/>
              </w:rPr>
            </w:pPr>
            <w:r w:rsidRPr="004B5E0D">
              <w:rPr>
                <w:b/>
                <w:lang w:val="lt-LT"/>
              </w:rPr>
              <w:t>III grupė – Pajėgumo kriterijai</w:t>
            </w:r>
          </w:p>
        </w:tc>
        <w:tc>
          <w:tcPr>
            <w:tcW w:w="1541" w:type="dxa"/>
          </w:tcPr>
          <w:p w:rsidR="00B57710" w:rsidRPr="00916AF9" w:rsidRDefault="00B57710" w:rsidP="00B70B0E">
            <w:pPr>
              <w:tabs>
                <w:tab w:val="left" w:pos="567"/>
              </w:tabs>
              <w:jc w:val="center"/>
              <w:rPr>
                <w:lang w:val="lt-LT"/>
              </w:rPr>
            </w:pP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III.1. Darbuotojai turi būtinas žinias, įgūdžius ir priemones, kad galėtų pasiekti įmonės tikslus.</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III. 2 Informavimo procesai remia įmonės vertybes ir tikslų pasiekiamumą.</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 xml:space="preserve">III.3 Pakankama ir svarbi informacija identifikuojama ir pranešama laiku tam, kad darbuotojai atliktų paskirtas pareigas. </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III.4 Suderinami skirtingų įmonės padalinių sprendimai ir veiksmai.</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 xml:space="preserve">III.5. Kontrolės veiksmai vykdomi kaip sudėtinė įmonės dalis, atsižvelgiant į jos tikslus, rizikas ir ryšius tarp kontrolės elementų. </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Pr="00B12410" w:rsidRDefault="00B57710" w:rsidP="00B70B0E">
            <w:pPr>
              <w:tabs>
                <w:tab w:val="left" w:pos="567"/>
              </w:tabs>
              <w:jc w:val="center"/>
              <w:rPr>
                <w:b/>
                <w:lang w:val="lt-LT"/>
              </w:rPr>
            </w:pPr>
            <w:r w:rsidRPr="00B12410">
              <w:rPr>
                <w:b/>
                <w:lang w:val="lt-LT"/>
              </w:rPr>
              <w:t>IV grupė – Stebėsenos ir mokymosi kriterijai</w:t>
            </w:r>
          </w:p>
        </w:tc>
        <w:tc>
          <w:tcPr>
            <w:tcW w:w="1541" w:type="dxa"/>
          </w:tcPr>
          <w:p w:rsidR="00B57710" w:rsidRPr="00916AF9" w:rsidRDefault="00B57710" w:rsidP="00B70B0E">
            <w:pPr>
              <w:tabs>
                <w:tab w:val="left" w:pos="567"/>
              </w:tabs>
              <w:jc w:val="center"/>
              <w:rPr>
                <w:lang w:val="lt-LT"/>
              </w:rPr>
            </w:pP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8E4A5A">
            <w:pPr>
              <w:tabs>
                <w:tab w:val="left" w:pos="567"/>
              </w:tabs>
              <w:jc w:val="both"/>
              <w:rPr>
                <w:lang w:val="lt-LT"/>
              </w:rPr>
            </w:pPr>
            <w:r>
              <w:rPr>
                <w:lang w:val="lt-LT"/>
              </w:rPr>
              <w:t>IV.1 Stebima išorė</w:t>
            </w:r>
            <w:r w:rsidR="008E4A5A">
              <w:rPr>
                <w:lang w:val="lt-LT"/>
              </w:rPr>
              <w:t>s</w:t>
            </w:r>
            <w:r>
              <w:rPr>
                <w:lang w:val="lt-LT"/>
              </w:rPr>
              <w:t xml:space="preserve"> ir vid</w:t>
            </w:r>
            <w:r w:rsidR="008E4A5A">
              <w:rPr>
                <w:lang w:val="lt-LT"/>
              </w:rPr>
              <w:t>aus</w:t>
            </w:r>
            <w:r>
              <w:rPr>
                <w:lang w:val="lt-LT"/>
              </w:rPr>
              <w:t xml:space="preserve"> aplinka, kad gauti informaciją apie būtinybę iš naujo įvertinti įmonės tikslus ar kontrolę.</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IV.2 Rezultatai lyginami su veiklos objektais ir rodikliais, nurodytais įmonės tiksluose ir planuose.</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 xml:space="preserve">IV.3 Įmonės tikslų prielaidos periodiškai peržiūrimos. </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IV.4 Informacijos poreikis ir susijusios informacinės sistemos iš naujo įvertinamos keičiantis tikslams ar nustačius informacijos pateikimo trūkumus.</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 xml:space="preserve">IV.5 Nustatytos ir atliekamos tikrinimo procedūros, kad užtikrinti, jog atitinkami pakeitimai ar veiksmai daromi. </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r w:rsidR="00B57710" w:rsidRPr="00916AF9" w:rsidTr="00B70B0E">
        <w:tc>
          <w:tcPr>
            <w:tcW w:w="6912" w:type="dxa"/>
          </w:tcPr>
          <w:p w:rsidR="00B57710" w:rsidRDefault="00B57710" w:rsidP="00B70B0E">
            <w:pPr>
              <w:tabs>
                <w:tab w:val="left" w:pos="567"/>
              </w:tabs>
              <w:jc w:val="both"/>
              <w:rPr>
                <w:lang w:val="lt-LT"/>
              </w:rPr>
            </w:pPr>
            <w:r>
              <w:rPr>
                <w:lang w:val="lt-LT"/>
              </w:rPr>
              <w:t>IV.6. Vadovybė periodiškai įvertina įmonės kontrolės veiksmingumą ir atsiskaito už jos rezultatus.</w:t>
            </w:r>
          </w:p>
        </w:tc>
        <w:tc>
          <w:tcPr>
            <w:tcW w:w="1541" w:type="dxa"/>
          </w:tcPr>
          <w:p w:rsidR="00B57710" w:rsidRPr="00916AF9" w:rsidRDefault="00B57710" w:rsidP="00B70B0E">
            <w:pPr>
              <w:tabs>
                <w:tab w:val="left" w:pos="567"/>
              </w:tabs>
              <w:jc w:val="center"/>
              <w:rPr>
                <w:lang w:val="lt-LT"/>
              </w:rPr>
            </w:pPr>
            <w:r w:rsidRPr="00916AF9">
              <w:rPr>
                <w:lang w:val="lt-LT"/>
              </w:rPr>
              <w:t>Taip</w:t>
            </w:r>
          </w:p>
        </w:tc>
        <w:tc>
          <w:tcPr>
            <w:tcW w:w="1400" w:type="dxa"/>
          </w:tcPr>
          <w:p w:rsidR="00B57710" w:rsidRPr="00916AF9" w:rsidRDefault="00B57710" w:rsidP="00B70B0E">
            <w:pPr>
              <w:tabs>
                <w:tab w:val="left" w:pos="567"/>
              </w:tabs>
              <w:jc w:val="center"/>
              <w:rPr>
                <w:lang w:val="lt-LT"/>
              </w:rPr>
            </w:pPr>
          </w:p>
        </w:tc>
      </w:tr>
    </w:tbl>
    <w:p w:rsidR="00B57710" w:rsidRDefault="00B57710" w:rsidP="00B57710">
      <w:pPr>
        <w:tabs>
          <w:tab w:val="left" w:pos="567"/>
        </w:tabs>
        <w:jc w:val="both"/>
        <w:rPr>
          <w:sz w:val="24"/>
          <w:szCs w:val="24"/>
          <w:lang w:val="lt-LT"/>
        </w:rPr>
      </w:pPr>
    </w:p>
    <w:p w:rsidR="00C41E23" w:rsidRDefault="00B57710">
      <w:pPr>
        <w:tabs>
          <w:tab w:val="left" w:pos="567"/>
        </w:tabs>
        <w:jc w:val="both"/>
        <w:rPr>
          <w:sz w:val="24"/>
          <w:szCs w:val="24"/>
          <w:lang w:val="lt-LT"/>
        </w:rPr>
      </w:pPr>
      <w:r w:rsidRPr="00B57710">
        <w:rPr>
          <w:sz w:val="24"/>
          <w:szCs w:val="24"/>
          <w:u w:val="single"/>
          <w:lang w:val="lt-LT"/>
        </w:rPr>
        <w:t>Išvada:</w:t>
      </w:r>
      <w:r>
        <w:rPr>
          <w:sz w:val="24"/>
          <w:szCs w:val="24"/>
          <w:lang w:val="lt-LT"/>
        </w:rPr>
        <w:t xml:space="preserve"> UAB „Žuvila“ vidaus kontrolės sistema yra veiksminga.</w:t>
      </w:r>
    </w:p>
    <w:sectPr w:rsidR="00C41E23" w:rsidSect="00586604">
      <w:pgSz w:w="11906" w:h="16838" w:code="9"/>
      <w:pgMar w:top="1474" w:right="1814" w:bottom="1474" w:left="1814" w:header="1134" w:footer="1134"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C45" w:rsidRDefault="004E3C45">
      <w:r>
        <w:separator/>
      </w:r>
    </w:p>
  </w:endnote>
  <w:endnote w:type="continuationSeparator" w:id="1">
    <w:p w:rsidR="004E3C45" w:rsidRDefault="004E3C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A00002EF" w:usb1="4000207B" w:usb2="00000000" w:usb3="00000000" w:csb0="0000009F" w:csb1="00000000"/>
  </w:font>
  <w:font w:name="Cambria Math">
    <w:panose1 w:val="02040503050406030204"/>
    <w:charset w:val="BA"/>
    <w:family w:val="roman"/>
    <w:pitch w:val="variable"/>
    <w:sig w:usb0="A00002EF" w:usb1="420020E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EUAlbertina-Bold">
    <w:altName w:val="Times New Roman"/>
    <w:panose1 w:val="00000000000000000000"/>
    <w:charset w:val="BA"/>
    <w:family w:val="auto"/>
    <w:notTrueType/>
    <w:pitch w:val="default"/>
    <w:sig w:usb0="00000005"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95" w:rsidRDefault="00166819">
    <w:pPr>
      <w:pStyle w:val="Footer"/>
      <w:framePr w:wrap="around" w:vAnchor="text" w:hAnchor="margin" w:xAlign="right" w:y="1"/>
      <w:rPr>
        <w:rStyle w:val="PageNumber"/>
      </w:rPr>
    </w:pPr>
    <w:r>
      <w:rPr>
        <w:rStyle w:val="PageNumber"/>
      </w:rPr>
      <w:fldChar w:fldCharType="begin"/>
    </w:r>
    <w:r w:rsidR="00BE5795">
      <w:rPr>
        <w:rStyle w:val="PageNumber"/>
      </w:rPr>
      <w:instrText xml:space="preserve">PAGE  </w:instrText>
    </w:r>
    <w:r>
      <w:rPr>
        <w:rStyle w:val="PageNumber"/>
      </w:rPr>
      <w:fldChar w:fldCharType="end"/>
    </w:r>
  </w:p>
  <w:p w:rsidR="00BE5795" w:rsidRDefault="00BE57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439"/>
      <w:docPartObj>
        <w:docPartGallery w:val="Page Numbers (Bottom of Page)"/>
        <w:docPartUnique/>
      </w:docPartObj>
    </w:sdtPr>
    <w:sdtContent>
      <w:p w:rsidR="00BE5795" w:rsidRDefault="00166819">
        <w:pPr>
          <w:pStyle w:val="Footer"/>
          <w:jc w:val="center"/>
        </w:pPr>
        <w:fldSimple w:instr=" PAGE   \* MERGEFORMAT ">
          <w:r w:rsidR="00050948">
            <w:rPr>
              <w:noProof/>
            </w:rPr>
            <w:t>2</w:t>
          </w:r>
        </w:fldSimple>
      </w:p>
    </w:sdtContent>
  </w:sdt>
  <w:p w:rsidR="00BE5795" w:rsidRDefault="00BE579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95" w:rsidRDefault="00166819">
    <w:pPr>
      <w:pStyle w:val="Footer"/>
      <w:framePr w:wrap="around" w:vAnchor="text" w:hAnchor="margin" w:xAlign="right" w:y="1"/>
      <w:rPr>
        <w:rStyle w:val="PageNumber"/>
      </w:rPr>
    </w:pPr>
    <w:r>
      <w:rPr>
        <w:rStyle w:val="PageNumber"/>
      </w:rPr>
      <w:fldChar w:fldCharType="begin"/>
    </w:r>
    <w:r w:rsidR="00BE5795">
      <w:rPr>
        <w:rStyle w:val="PageNumber"/>
      </w:rPr>
      <w:instrText xml:space="preserve">PAGE  </w:instrText>
    </w:r>
    <w:r>
      <w:rPr>
        <w:rStyle w:val="PageNumber"/>
      </w:rPr>
      <w:fldChar w:fldCharType="end"/>
    </w:r>
  </w:p>
  <w:p w:rsidR="00BE5795" w:rsidRDefault="00BE579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440"/>
      <w:docPartObj>
        <w:docPartGallery w:val="Page Numbers (Bottom of Page)"/>
        <w:docPartUnique/>
      </w:docPartObj>
    </w:sdtPr>
    <w:sdtContent>
      <w:p w:rsidR="00BE5795" w:rsidRDefault="00166819">
        <w:pPr>
          <w:pStyle w:val="Footer"/>
          <w:jc w:val="center"/>
        </w:pPr>
        <w:fldSimple w:instr=" PAGE   \* MERGEFORMAT ">
          <w:r w:rsidR="00050948">
            <w:rPr>
              <w:noProof/>
            </w:rPr>
            <w:t>266</w:t>
          </w:r>
        </w:fldSimple>
      </w:p>
    </w:sdtContent>
  </w:sdt>
  <w:p w:rsidR="00BE5795" w:rsidRDefault="00BE57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C45" w:rsidRDefault="004E3C45">
      <w:r>
        <w:separator/>
      </w:r>
    </w:p>
  </w:footnote>
  <w:footnote w:type="continuationSeparator" w:id="1">
    <w:p w:rsidR="004E3C45" w:rsidRDefault="004E3C45">
      <w:r>
        <w:continuationSeparator/>
      </w:r>
    </w:p>
  </w:footnote>
  <w:footnote w:id="2">
    <w:p w:rsidR="00BE5795" w:rsidRPr="009E5838" w:rsidRDefault="00BE5795" w:rsidP="0073647B">
      <w:pPr>
        <w:pStyle w:val="FootnoteText"/>
        <w:jc w:val="both"/>
        <w:rPr>
          <w:sz w:val="18"/>
          <w:szCs w:val="18"/>
          <w:lang w:val="lt-LT"/>
        </w:rPr>
      </w:pPr>
      <w:r w:rsidRPr="009E5838">
        <w:rPr>
          <w:rStyle w:val="FootnoteReference"/>
          <w:sz w:val="18"/>
          <w:szCs w:val="18"/>
        </w:rPr>
        <w:footnoteRef/>
      </w:r>
      <w:r w:rsidRPr="009E5838">
        <w:rPr>
          <w:sz w:val="18"/>
          <w:szCs w:val="18"/>
        </w:rPr>
        <w:t xml:space="preserve"> </w:t>
      </w:r>
      <w:r w:rsidRPr="009E5838">
        <w:rPr>
          <w:sz w:val="18"/>
          <w:szCs w:val="18"/>
          <w:lang w:val="lt-LT"/>
        </w:rPr>
        <w:t>200-asis TSA (2006) ir Lietuvos 1-asis nacionalinis audito standartas (toliau – NAS) „Finansinės atskaitomybės audito tikslai ir bendrieji principai“ (2006), 8-asis Rusijos Federacijos audito veiklos standartas (toliau – RFAVS) „Audito rizikos vertinimas ir audituojamos įmonės vidaus kontrolė“(2005).</w:t>
      </w:r>
    </w:p>
  </w:footnote>
  <w:footnote w:id="3">
    <w:p w:rsidR="00BE5795" w:rsidRPr="0073647B" w:rsidRDefault="00BE5795" w:rsidP="0073647B">
      <w:pPr>
        <w:pStyle w:val="FootnoteText"/>
        <w:jc w:val="both"/>
        <w:rPr>
          <w:lang w:val="lt-LT"/>
        </w:rPr>
      </w:pPr>
      <w:r w:rsidRPr="009E5838">
        <w:rPr>
          <w:rStyle w:val="FootnoteReference"/>
          <w:sz w:val="18"/>
          <w:szCs w:val="18"/>
        </w:rPr>
        <w:footnoteRef/>
      </w:r>
      <w:r w:rsidRPr="009E5838">
        <w:rPr>
          <w:sz w:val="18"/>
          <w:szCs w:val="18"/>
        </w:rPr>
        <w:t xml:space="preserve"> </w:t>
      </w:r>
      <w:r w:rsidRPr="009E5838">
        <w:rPr>
          <w:sz w:val="18"/>
          <w:szCs w:val="18"/>
          <w:lang w:val="lt-LT"/>
        </w:rPr>
        <w:t>47-asis JAV audito standartas (toliau – SAS) „Audito rizika ir reikšmingumas atliekant auditą“ (2006) ir 107-asis SAS „Audito rizika ir reikšmingumas atliekant auditą (2006), kuris taikomas nuo 2006 m. gruodžio 15 d. ir vėliau prasidedančių laikotarpių finansinių ataskaitų auditui.</w:t>
      </w:r>
    </w:p>
  </w:footnote>
  <w:footnote w:id="4">
    <w:p w:rsidR="00BE5795" w:rsidRPr="009E5838" w:rsidRDefault="00BE5795" w:rsidP="00A34FC2">
      <w:pPr>
        <w:pStyle w:val="FootnoteText"/>
        <w:rPr>
          <w:sz w:val="18"/>
          <w:szCs w:val="18"/>
          <w:lang w:val="lt-LT"/>
        </w:rPr>
      </w:pPr>
      <w:r w:rsidRPr="009E5838">
        <w:rPr>
          <w:rStyle w:val="FootnoteReference"/>
          <w:sz w:val="18"/>
          <w:szCs w:val="18"/>
        </w:rPr>
        <w:footnoteRef/>
      </w:r>
      <w:r w:rsidRPr="009E5838">
        <w:rPr>
          <w:sz w:val="18"/>
          <w:szCs w:val="18"/>
        </w:rPr>
        <w:t xml:space="preserve"> </w:t>
      </w:r>
      <w:r w:rsidRPr="009E5838">
        <w:rPr>
          <w:sz w:val="18"/>
          <w:szCs w:val="18"/>
          <w:lang w:val="lt-LT"/>
        </w:rPr>
        <w:t>240-asis TSA “Auditoriaus pareiga atsižvelgti į apgaulę finansinių ataskaitų audito metu“ (2006), 11-asis NAS „Apgaulė ir klaida“ (2006).</w:t>
      </w:r>
    </w:p>
  </w:footnote>
  <w:footnote w:id="5">
    <w:p w:rsidR="00BE5795" w:rsidRPr="004A6595" w:rsidRDefault="00BE5795" w:rsidP="006162BB">
      <w:pPr>
        <w:pStyle w:val="FootnoteText"/>
        <w:jc w:val="both"/>
        <w:rPr>
          <w:sz w:val="18"/>
          <w:szCs w:val="18"/>
          <w:lang w:val="lt-LT"/>
        </w:rPr>
      </w:pPr>
      <w:r w:rsidRPr="004A6595">
        <w:rPr>
          <w:rStyle w:val="FootnoteReference"/>
          <w:sz w:val="18"/>
          <w:szCs w:val="18"/>
        </w:rPr>
        <w:footnoteRef/>
      </w:r>
      <w:r w:rsidRPr="004A6595">
        <w:rPr>
          <w:sz w:val="18"/>
          <w:szCs w:val="18"/>
        </w:rPr>
        <w:t xml:space="preserve"> </w:t>
      </w:r>
      <w:r w:rsidRPr="004A6595">
        <w:rPr>
          <w:i/>
          <w:sz w:val="18"/>
          <w:szCs w:val="18"/>
          <w:lang w:val="lt-LT"/>
        </w:rPr>
        <w:t>Reikšmingumas</w:t>
      </w:r>
      <w:r w:rsidRPr="004A6595">
        <w:rPr>
          <w:sz w:val="18"/>
          <w:szCs w:val="18"/>
          <w:lang w:val="lt-LT"/>
        </w:rPr>
        <w:t xml:space="preserve"> – informacija yra reikšminga, jei jos nepateikimas arba klaidingas pateikimas gali turėti įtakos jos naudotojų ekonominiams sprendimams, priimamiems remiantis finansinėmis ataskaitomis. Reikšmingumas priklauso nuo straipsnio arba klaidos dydžio, kuris kiekvienu konkrečiu informacijos nepateikimo arba klaidingo pateikimo atveju nustatomas atskirai. (Tarptautinių audito, užtikrinimo ir etikos pareiškimo vadovas, 2007, p. 151).</w:t>
      </w:r>
    </w:p>
  </w:footnote>
  <w:footnote w:id="6">
    <w:p w:rsidR="00BE5795" w:rsidRPr="004A6595" w:rsidRDefault="00BE5795" w:rsidP="003A5B69">
      <w:pPr>
        <w:pStyle w:val="FootnoteText"/>
        <w:jc w:val="both"/>
        <w:rPr>
          <w:sz w:val="18"/>
          <w:szCs w:val="18"/>
          <w:lang w:val="lt-LT"/>
        </w:rPr>
      </w:pPr>
      <w:r w:rsidRPr="004A6595">
        <w:rPr>
          <w:rStyle w:val="FootnoteReference"/>
          <w:sz w:val="18"/>
          <w:szCs w:val="18"/>
        </w:rPr>
        <w:footnoteRef/>
      </w:r>
      <w:r w:rsidRPr="004A6595">
        <w:rPr>
          <w:sz w:val="18"/>
          <w:szCs w:val="18"/>
        </w:rPr>
        <w:t xml:space="preserve"> </w:t>
      </w:r>
      <w:r w:rsidRPr="004A6595">
        <w:rPr>
          <w:sz w:val="18"/>
          <w:szCs w:val="18"/>
          <w:lang w:val="lt-LT"/>
        </w:rPr>
        <w:t>Audito įrodymai – visa auditoriaus surinkta informacija, naudojama išvadoms, kuriomis grindžiama auditoriaus nuomonė, daryti (500 TSA „Audito įrodymai“, 2006).</w:t>
      </w:r>
    </w:p>
  </w:footnote>
  <w:footnote w:id="7">
    <w:p w:rsidR="00BE5795" w:rsidRPr="004A6595" w:rsidRDefault="00BE5795" w:rsidP="00BB3708">
      <w:pPr>
        <w:pStyle w:val="FootnoteText"/>
        <w:tabs>
          <w:tab w:val="left" w:pos="8647"/>
          <w:tab w:val="left" w:pos="9637"/>
        </w:tabs>
        <w:jc w:val="both"/>
        <w:rPr>
          <w:sz w:val="18"/>
          <w:szCs w:val="18"/>
          <w:lang w:val="lt-LT"/>
        </w:rPr>
      </w:pPr>
      <w:r w:rsidRPr="004A6595">
        <w:rPr>
          <w:rStyle w:val="FootnoteReference"/>
          <w:sz w:val="18"/>
          <w:szCs w:val="18"/>
        </w:rPr>
        <w:footnoteRef/>
      </w:r>
      <w:r w:rsidRPr="004A6595">
        <w:rPr>
          <w:sz w:val="18"/>
          <w:szCs w:val="18"/>
        </w:rPr>
        <w:t xml:space="preserve"> </w:t>
      </w:r>
      <w:r w:rsidRPr="004A6595">
        <w:rPr>
          <w:i/>
          <w:sz w:val="18"/>
          <w:szCs w:val="18"/>
          <w:lang w:val="lt-LT"/>
        </w:rPr>
        <w:t>Tvirtinimai</w:t>
      </w:r>
      <w:r w:rsidRPr="004A6595">
        <w:rPr>
          <w:sz w:val="18"/>
          <w:szCs w:val="18"/>
          <w:lang w:val="lt-LT"/>
        </w:rPr>
        <w:t xml:space="preserve">  – finansinėse ataskaitose pateikti aiškūs ar kitokio pobūdžio vadovybės pareiškimai (Tarptautinių audito, užtikrinimo ir etikos pareiškimų vadovas, 2007, p. 139). </w:t>
      </w:r>
    </w:p>
  </w:footnote>
  <w:footnote w:id="8">
    <w:p w:rsidR="00BE5795" w:rsidRPr="000D0B97" w:rsidRDefault="00BE5795">
      <w:pPr>
        <w:pStyle w:val="FootnoteText"/>
        <w:rPr>
          <w:lang w:val="lt-LT"/>
        </w:rPr>
      </w:pPr>
      <w:r>
        <w:rPr>
          <w:rStyle w:val="FootnoteReference"/>
        </w:rPr>
        <w:footnoteRef/>
      </w:r>
      <w:r>
        <w:t xml:space="preserve"> </w:t>
      </w:r>
      <w:r w:rsidRPr="00F91B5C">
        <w:rPr>
          <w:i/>
          <w:sz w:val="16"/>
          <w:szCs w:val="16"/>
        </w:rPr>
        <w:t>CICA (</w:t>
      </w:r>
      <w:r w:rsidRPr="000D0B97">
        <w:rPr>
          <w:sz w:val="16"/>
          <w:szCs w:val="16"/>
        </w:rPr>
        <w:t>the Cana</w:t>
      </w:r>
      <w:r w:rsidRPr="00F91B5C">
        <w:rPr>
          <w:sz w:val="16"/>
          <w:szCs w:val="16"/>
        </w:rPr>
        <w:t xml:space="preserve">dian Institute of Chartered Accountants) – </w:t>
      </w:r>
      <w:r w:rsidRPr="00F91B5C">
        <w:rPr>
          <w:sz w:val="16"/>
          <w:szCs w:val="16"/>
          <w:lang w:val="lt-LT"/>
        </w:rPr>
        <w:t>Kanados privilegijuotų buhalterių institutas.</w:t>
      </w:r>
    </w:p>
  </w:footnote>
  <w:footnote w:id="9">
    <w:p w:rsidR="00BE5795" w:rsidRPr="000D0B97" w:rsidRDefault="00BE5795">
      <w:pPr>
        <w:pStyle w:val="FootnoteText"/>
        <w:rPr>
          <w:lang w:val="lt-LT"/>
        </w:rPr>
      </w:pPr>
      <w:r>
        <w:rPr>
          <w:rStyle w:val="FootnoteReference"/>
        </w:rPr>
        <w:footnoteRef/>
      </w:r>
      <w:r>
        <w:t xml:space="preserve"> </w:t>
      </w:r>
      <w:r w:rsidRPr="000D0B97">
        <w:rPr>
          <w:i/>
          <w:sz w:val="16"/>
          <w:szCs w:val="16"/>
        </w:rPr>
        <w:t>ACCA (</w:t>
      </w:r>
      <w:r w:rsidRPr="000D0B97">
        <w:rPr>
          <w:sz w:val="16"/>
          <w:szCs w:val="16"/>
        </w:rPr>
        <w:t xml:space="preserve">the Association of Chartered </w:t>
      </w:r>
      <w:r>
        <w:rPr>
          <w:sz w:val="16"/>
          <w:szCs w:val="16"/>
        </w:rPr>
        <w:t xml:space="preserve">Certified </w:t>
      </w:r>
      <w:r w:rsidRPr="000D0B97">
        <w:rPr>
          <w:sz w:val="16"/>
          <w:szCs w:val="16"/>
        </w:rPr>
        <w:t xml:space="preserve">Accountants) – </w:t>
      </w:r>
      <w:r w:rsidRPr="000D0B97">
        <w:rPr>
          <w:sz w:val="16"/>
          <w:szCs w:val="16"/>
          <w:lang w:val="lt-LT"/>
        </w:rPr>
        <w:t>Privilegijuotų sertifikuotų buhalterių asociacija.</w:t>
      </w:r>
    </w:p>
  </w:footnote>
  <w:footnote w:id="10">
    <w:p w:rsidR="00BE5795" w:rsidRPr="00982E04" w:rsidRDefault="00BE5795" w:rsidP="008C615B">
      <w:pPr>
        <w:pStyle w:val="FootnoteText"/>
        <w:rPr>
          <w:sz w:val="18"/>
          <w:szCs w:val="18"/>
          <w:lang w:val="lt-LT"/>
        </w:rPr>
      </w:pPr>
      <w:r w:rsidRPr="00982E04">
        <w:rPr>
          <w:rStyle w:val="FootnoteReference"/>
          <w:sz w:val="18"/>
          <w:szCs w:val="18"/>
        </w:rPr>
        <w:footnoteRef/>
      </w:r>
      <w:r w:rsidRPr="00982E04">
        <w:rPr>
          <w:sz w:val="18"/>
          <w:szCs w:val="18"/>
        </w:rPr>
        <w:t xml:space="preserve"> </w:t>
      </w:r>
      <w:r w:rsidRPr="00982E04">
        <w:rPr>
          <w:sz w:val="18"/>
          <w:szCs w:val="18"/>
          <w:lang w:val="lt-LT"/>
        </w:rPr>
        <w:t>530-asis TSA „Audito atranka ir kiti tikrinimo būdai“</w:t>
      </w:r>
      <w:r>
        <w:rPr>
          <w:sz w:val="18"/>
          <w:szCs w:val="18"/>
          <w:lang w:val="lt-LT"/>
        </w:rPr>
        <w:t>.</w:t>
      </w:r>
    </w:p>
  </w:footnote>
  <w:footnote w:id="11">
    <w:p w:rsidR="00BE5795" w:rsidRPr="00982E04" w:rsidRDefault="00BE5795" w:rsidP="008C615B">
      <w:pPr>
        <w:jc w:val="both"/>
        <w:rPr>
          <w:sz w:val="18"/>
          <w:szCs w:val="18"/>
        </w:rPr>
      </w:pPr>
      <w:r w:rsidRPr="00982E04">
        <w:rPr>
          <w:rStyle w:val="FootnoteReference"/>
          <w:sz w:val="18"/>
          <w:szCs w:val="18"/>
        </w:rPr>
        <w:footnoteRef/>
      </w:r>
      <w:r w:rsidRPr="00982E04">
        <w:rPr>
          <w:sz w:val="18"/>
          <w:szCs w:val="18"/>
        </w:rPr>
        <w:t xml:space="preserve"> </w:t>
      </w:r>
      <w:r w:rsidRPr="00982E04">
        <w:rPr>
          <w:i/>
          <w:sz w:val="18"/>
          <w:szCs w:val="18"/>
          <w:lang w:val="lt-LT"/>
        </w:rPr>
        <w:t>Analitinės procedūros</w:t>
      </w:r>
      <w:r w:rsidRPr="00982E04">
        <w:rPr>
          <w:sz w:val="18"/>
          <w:szCs w:val="18"/>
          <w:lang w:val="lt-LT"/>
        </w:rPr>
        <w:t xml:space="preserve"> </w:t>
      </w:r>
      <w:r w:rsidRPr="00982E04">
        <w:rPr>
          <w:sz w:val="18"/>
          <w:szCs w:val="18"/>
        </w:rPr>
        <w:t xml:space="preserve">– </w:t>
      </w:r>
      <w:r w:rsidRPr="00982E04">
        <w:rPr>
          <w:sz w:val="18"/>
          <w:szCs w:val="18"/>
          <w:lang w:val="lt-LT"/>
        </w:rPr>
        <w:t>finansinės informacijos vertinimas nustatant pagrįstas sąsajas tarp finansinių ir nefinansinių duomenų. Taikant analitines procedūras taip pat vertinami pokyčiai ir sąsajos, kurios prieštarauja kitai informacijai ar ženkliai skiriasi nuo prognozuotų rezultatų (Tarptautinių audito, užtikrinimo ir etikos pareiškimų vadovas, 2007, p. 138)</w:t>
      </w:r>
      <w:r w:rsidRPr="00982E04">
        <w:rPr>
          <w:sz w:val="18"/>
          <w:szCs w:val="18"/>
        </w:rPr>
        <w:t xml:space="preserve">. </w:t>
      </w:r>
    </w:p>
  </w:footnote>
  <w:footnote w:id="12">
    <w:p w:rsidR="00BE5795" w:rsidRPr="00107D98" w:rsidRDefault="00BE5795" w:rsidP="008C615B">
      <w:pPr>
        <w:jc w:val="both"/>
        <w:rPr>
          <w:sz w:val="16"/>
          <w:szCs w:val="16"/>
          <w:lang w:val="lt-LT"/>
        </w:rPr>
      </w:pPr>
      <w:r w:rsidRPr="00982E04">
        <w:rPr>
          <w:rStyle w:val="FootnoteReference"/>
          <w:sz w:val="18"/>
          <w:szCs w:val="18"/>
        </w:rPr>
        <w:footnoteRef/>
      </w:r>
      <w:r w:rsidRPr="00982E04">
        <w:rPr>
          <w:sz w:val="18"/>
          <w:szCs w:val="18"/>
        </w:rPr>
        <w:t xml:space="preserve"> </w:t>
      </w:r>
      <w:r w:rsidRPr="00982E04">
        <w:rPr>
          <w:i/>
          <w:sz w:val="18"/>
          <w:szCs w:val="18"/>
          <w:lang w:val="lt-LT"/>
        </w:rPr>
        <w:t>Detalūs testai</w:t>
      </w:r>
      <w:r w:rsidRPr="00982E04">
        <w:rPr>
          <w:sz w:val="18"/>
          <w:szCs w:val="18"/>
          <w:lang w:val="lt-LT"/>
        </w:rPr>
        <w:t xml:space="preserve"> – detalūs ūkinių operacijų grupių, sąskaitų likučių ir atskleidimų testai (Tarptautinių audito, užtikrinimo ir etikos pareiškimų vadovas, 2007, p. 158)</w:t>
      </w:r>
      <w:r w:rsidRPr="00982E04">
        <w:rPr>
          <w:sz w:val="18"/>
          <w:szCs w:val="18"/>
        </w:rPr>
        <w:t xml:space="preserve">. </w:t>
      </w:r>
    </w:p>
  </w:footnote>
  <w:footnote w:id="13">
    <w:p w:rsidR="00BE5795" w:rsidRPr="00982E04" w:rsidRDefault="00BE5795" w:rsidP="002007E6">
      <w:pPr>
        <w:pStyle w:val="FootnoteText"/>
        <w:jc w:val="both"/>
        <w:rPr>
          <w:sz w:val="18"/>
          <w:szCs w:val="18"/>
          <w:lang w:val="lt-LT"/>
        </w:rPr>
      </w:pPr>
      <w:r w:rsidRPr="00982E04">
        <w:rPr>
          <w:rStyle w:val="FootnoteReference"/>
          <w:sz w:val="18"/>
          <w:szCs w:val="18"/>
        </w:rPr>
        <w:footnoteRef/>
      </w:r>
      <w:r w:rsidRPr="00982E04">
        <w:rPr>
          <w:sz w:val="18"/>
          <w:szCs w:val="18"/>
        </w:rPr>
        <w:t xml:space="preserve"> </w:t>
      </w:r>
      <w:r w:rsidRPr="00982E04">
        <w:rPr>
          <w:sz w:val="18"/>
          <w:szCs w:val="18"/>
          <w:lang w:val="lt-LT"/>
        </w:rPr>
        <w:t>Europos Parlamento ir Tarybos direktyva 2006/43/EB 2006 m. gegužės 17 d. dėl teisės aktų nustatyto metinės finansinės atskaitomybės ir konsoliduotos finansinės atskaitomybės audito, iš dalies keičianti Tarybos direktyvas 78/660/EEB ir 83/349/EEB bei panaikinanti Tarybos direktyvą 84/253/EEB.</w:t>
      </w:r>
    </w:p>
  </w:footnote>
  <w:footnote w:id="14">
    <w:p w:rsidR="00BE5795" w:rsidRPr="00AA74DB" w:rsidRDefault="00BE5795" w:rsidP="002007E6">
      <w:pPr>
        <w:pStyle w:val="FootnoteText"/>
        <w:jc w:val="both"/>
        <w:rPr>
          <w:sz w:val="16"/>
          <w:szCs w:val="16"/>
          <w:lang w:val="lt-LT"/>
        </w:rPr>
      </w:pPr>
      <w:r w:rsidRPr="00982E04">
        <w:rPr>
          <w:rStyle w:val="FootnoteReference"/>
          <w:sz w:val="18"/>
          <w:szCs w:val="18"/>
        </w:rPr>
        <w:footnoteRef/>
      </w:r>
      <w:r w:rsidRPr="00982E04">
        <w:rPr>
          <w:sz w:val="18"/>
          <w:szCs w:val="18"/>
          <w:lang w:val="lt-LT"/>
        </w:rPr>
        <w:t xml:space="preserve"> Kur: </w:t>
      </w:r>
      <w:r w:rsidRPr="00982E04">
        <w:rPr>
          <w:i/>
          <w:sz w:val="18"/>
          <w:szCs w:val="18"/>
          <w:lang w:val="lt-LT"/>
        </w:rPr>
        <w:t>įmonės verslo aplinka –</w:t>
      </w:r>
      <w:r w:rsidRPr="00982E04">
        <w:rPr>
          <w:sz w:val="18"/>
          <w:szCs w:val="18"/>
          <w:lang w:val="lt-LT"/>
        </w:rPr>
        <w:t xml:space="preserve"> ekonominiai veiksniai ir įvykiai, ūkio šakos ir reguliavimo sąlygos, įmonės tikslai, strategijos ir susijusios verslo rizikos, verslo procesai ir jų rezultatai; </w:t>
      </w:r>
      <w:r w:rsidRPr="00982E04">
        <w:rPr>
          <w:i/>
          <w:sz w:val="18"/>
          <w:szCs w:val="18"/>
          <w:lang w:val="lt-LT"/>
        </w:rPr>
        <w:t>vadovybės informacijos tarpininkai</w:t>
      </w:r>
      <w:r w:rsidRPr="00982E04">
        <w:rPr>
          <w:sz w:val="18"/>
          <w:szCs w:val="18"/>
          <w:lang w:val="lt-LT"/>
        </w:rPr>
        <w:t xml:space="preserve"> – transformavimo procesai, kurie apima politiką, žmones, apskaitą ir kitas informacines sistemas, dokumentus, vidaus kontrolę dėl finansinių ataskaitų sudarymo ir taikomą finansinių ataskaitų sudarymo tvarką; ir </w:t>
      </w:r>
      <w:r w:rsidRPr="00982E04">
        <w:rPr>
          <w:i/>
          <w:sz w:val="18"/>
          <w:szCs w:val="18"/>
          <w:lang w:val="lt-LT"/>
        </w:rPr>
        <w:t>vadovybės verslo pareiškimai</w:t>
      </w:r>
      <w:r w:rsidRPr="00982E04">
        <w:rPr>
          <w:sz w:val="18"/>
          <w:szCs w:val="18"/>
          <w:lang w:val="lt-LT"/>
        </w:rPr>
        <w:t xml:space="preserve"> – sumos užregistruotas apskaitoje, šių sumų pateikimas finansinėse atskaitose ir kituose pareiškimuose informacijos naudotojams (T. B. Bell, M. E. Peecher, I. Solomon, 2005, p. )</w:t>
      </w:r>
    </w:p>
  </w:footnote>
  <w:footnote w:id="15">
    <w:p w:rsidR="00BE5795" w:rsidRPr="003D53E8" w:rsidRDefault="00BE5795">
      <w:pPr>
        <w:pStyle w:val="FootnoteText"/>
        <w:rPr>
          <w:sz w:val="18"/>
          <w:szCs w:val="18"/>
          <w:lang w:val="lt-LT"/>
        </w:rPr>
      </w:pPr>
      <w:r w:rsidRPr="003D53E8">
        <w:rPr>
          <w:rStyle w:val="FootnoteReference"/>
          <w:sz w:val="18"/>
          <w:szCs w:val="18"/>
        </w:rPr>
        <w:footnoteRef/>
      </w:r>
      <w:r w:rsidRPr="003D53E8">
        <w:rPr>
          <w:sz w:val="18"/>
          <w:szCs w:val="18"/>
        </w:rPr>
        <w:t xml:space="preserve"> </w:t>
      </w:r>
      <w:r w:rsidRPr="003D53E8">
        <w:rPr>
          <w:sz w:val="18"/>
          <w:szCs w:val="18"/>
          <w:lang w:val="lt-LT"/>
        </w:rPr>
        <w:t>Schema pateikta 400-ajame TSA (2004), tačiau jį pakeitusiuose audito rizikos standartuose (315-ajame TSA ir 330-ajame TSA) jos nėra.</w:t>
      </w:r>
    </w:p>
  </w:footnote>
  <w:footnote w:id="16">
    <w:p w:rsidR="00BE5795" w:rsidRPr="003D53E8" w:rsidRDefault="00BE5795">
      <w:pPr>
        <w:pStyle w:val="FootnoteText"/>
        <w:rPr>
          <w:sz w:val="18"/>
          <w:szCs w:val="18"/>
          <w:lang w:val="lt-LT"/>
        </w:rPr>
      </w:pPr>
      <w:r w:rsidRPr="003D53E8">
        <w:rPr>
          <w:rStyle w:val="FootnoteReference"/>
          <w:sz w:val="18"/>
          <w:szCs w:val="18"/>
        </w:rPr>
        <w:footnoteRef/>
      </w:r>
      <w:r w:rsidRPr="003D53E8">
        <w:rPr>
          <w:sz w:val="18"/>
          <w:szCs w:val="18"/>
        </w:rPr>
        <w:t xml:space="preserve"> </w:t>
      </w:r>
      <w:r w:rsidRPr="003D53E8">
        <w:rPr>
          <w:i/>
          <w:sz w:val="18"/>
          <w:szCs w:val="18"/>
        </w:rPr>
        <w:t xml:space="preserve">CICA (the </w:t>
      </w:r>
      <w:r w:rsidRPr="00D13812">
        <w:rPr>
          <w:i/>
          <w:sz w:val="18"/>
          <w:szCs w:val="18"/>
        </w:rPr>
        <w:t>Canadian Institute of Chartered Accountants</w:t>
      </w:r>
      <w:r w:rsidRPr="003D53E8">
        <w:rPr>
          <w:sz w:val="18"/>
          <w:szCs w:val="18"/>
        </w:rPr>
        <w:t xml:space="preserve">) – </w:t>
      </w:r>
      <w:r w:rsidRPr="003D53E8">
        <w:rPr>
          <w:sz w:val="18"/>
          <w:szCs w:val="18"/>
          <w:lang w:val="lt-LT"/>
        </w:rPr>
        <w:t>Kanados privilegijuotų buhalterių institutas.</w:t>
      </w:r>
    </w:p>
  </w:footnote>
  <w:footnote w:id="17">
    <w:p w:rsidR="00BE5795" w:rsidRPr="00F91B5C" w:rsidRDefault="00BE5795">
      <w:pPr>
        <w:pStyle w:val="FootnoteText"/>
        <w:rPr>
          <w:lang w:val="lt-LT"/>
        </w:rPr>
      </w:pPr>
      <w:r w:rsidRPr="003D53E8">
        <w:rPr>
          <w:rStyle w:val="FootnoteReference"/>
          <w:sz w:val="18"/>
          <w:szCs w:val="18"/>
        </w:rPr>
        <w:footnoteRef/>
      </w:r>
      <w:r w:rsidRPr="003D53E8">
        <w:rPr>
          <w:sz w:val="18"/>
          <w:szCs w:val="18"/>
        </w:rPr>
        <w:t xml:space="preserve"> </w:t>
      </w:r>
      <w:r w:rsidRPr="003D53E8">
        <w:rPr>
          <w:i/>
          <w:sz w:val="18"/>
          <w:szCs w:val="18"/>
        </w:rPr>
        <w:t>AICPA (the American Institute of Certified Public Accountants)</w:t>
      </w:r>
      <w:r w:rsidRPr="003D53E8">
        <w:rPr>
          <w:sz w:val="18"/>
          <w:szCs w:val="18"/>
          <w:lang w:val="lt-LT"/>
        </w:rPr>
        <w:t xml:space="preserve"> – Amerikos sertifikuotų viešųjų buhalterių institutas.</w:t>
      </w:r>
    </w:p>
  </w:footnote>
  <w:footnote w:id="18">
    <w:p w:rsidR="00BE5795" w:rsidRPr="00D13812" w:rsidRDefault="00BE5795">
      <w:pPr>
        <w:pStyle w:val="FootnoteText"/>
        <w:rPr>
          <w:lang w:val="lt-LT"/>
        </w:rPr>
      </w:pPr>
      <w:r>
        <w:rPr>
          <w:rStyle w:val="FootnoteReference"/>
        </w:rPr>
        <w:footnoteRef/>
      </w:r>
      <w:r>
        <w:t xml:space="preserve"> </w:t>
      </w:r>
      <w:r w:rsidRPr="00D13812">
        <w:rPr>
          <w:i/>
          <w:sz w:val="18"/>
          <w:szCs w:val="18"/>
        </w:rPr>
        <w:t>POB</w:t>
      </w:r>
      <w:r>
        <w:rPr>
          <w:i/>
          <w:sz w:val="18"/>
          <w:szCs w:val="18"/>
        </w:rPr>
        <w:t xml:space="preserve">PAE </w:t>
      </w:r>
      <w:r w:rsidRPr="00D13812">
        <w:rPr>
          <w:sz w:val="18"/>
          <w:szCs w:val="18"/>
        </w:rPr>
        <w:t>(</w:t>
      </w:r>
      <w:r w:rsidRPr="00D13812">
        <w:rPr>
          <w:i/>
          <w:sz w:val="18"/>
          <w:szCs w:val="18"/>
        </w:rPr>
        <w:t>the Public Oversight board, Panel on Audit effectiveness</w:t>
      </w:r>
      <w:r w:rsidRPr="00D13812">
        <w:rPr>
          <w:sz w:val="18"/>
          <w:szCs w:val="18"/>
        </w:rPr>
        <w:t>)</w:t>
      </w:r>
      <w:r w:rsidRPr="00D13812">
        <w:rPr>
          <w:i/>
          <w:sz w:val="18"/>
          <w:szCs w:val="18"/>
        </w:rPr>
        <w:t xml:space="preserve"> </w:t>
      </w:r>
      <w:r>
        <w:rPr>
          <w:sz w:val="18"/>
          <w:szCs w:val="18"/>
        </w:rPr>
        <w:t xml:space="preserve">– </w:t>
      </w:r>
      <w:r w:rsidRPr="00D13812">
        <w:rPr>
          <w:sz w:val="18"/>
          <w:szCs w:val="18"/>
          <w:lang w:val="lt-LT"/>
        </w:rPr>
        <w:t>Specialio</w:t>
      </w:r>
      <w:r>
        <w:rPr>
          <w:sz w:val="18"/>
          <w:szCs w:val="18"/>
          <w:lang w:val="lt-LT"/>
        </w:rPr>
        <w:t>ji</w:t>
      </w:r>
      <w:r w:rsidRPr="00D13812">
        <w:rPr>
          <w:sz w:val="18"/>
          <w:szCs w:val="18"/>
          <w:lang w:val="lt-LT"/>
        </w:rPr>
        <w:t xml:space="preserve"> grupė dėl audito efektyvumo prie Viešosios priežiūros komisijos</w:t>
      </w:r>
      <w:r>
        <w:rPr>
          <w:sz w:val="18"/>
          <w:szCs w:val="18"/>
          <w:lang w:val="lt-LT"/>
        </w:rPr>
        <w:t>.</w:t>
      </w:r>
    </w:p>
  </w:footnote>
  <w:footnote w:id="19">
    <w:p w:rsidR="00BE5795" w:rsidRPr="00351D74" w:rsidRDefault="00BE5795">
      <w:pPr>
        <w:pStyle w:val="FootnoteText"/>
        <w:rPr>
          <w:sz w:val="18"/>
          <w:szCs w:val="18"/>
          <w:lang w:val="lt-LT"/>
        </w:rPr>
      </w:pPr>
      <w:r w:rsidRPr="00351D74">
        <w:rPr>
          <w:rStyle w:val="FootnoteReference"/>
          <w:sz w:val="18"/>
          <w:szCs w:val="18"/>
        </w:rPr>
        <w:footnoteRef/>
      </w:r>
      <w:r w:rsidRPr="00351D74">
        <w:rPr>
          <w:sz w:val="18"/>
          <w:szCs w:val="18"/>
        </w:rPr>
        <w:t xml:space="preserve"> </w:t>
      </w:r>
      <w:r w:rsidRPr="00351D74">
        <w:rPr>
          <w:i/>
          <w:sz w:val="18"/>
          <w:szCs w:val="18"/>
          <w:lang w:val="lt-LT"/>
        </w:rPr>
        <w:t xml:space="preserve">Toleruotina klaida </w:t>
      </w:r>
      <w:r w:rsidRPr="00351D74">
        <w:rPr>
          <w:sz w:val="18"/>
          <w:szCs w:val="18"/>
          <w:lang w:val="lt-LT"/>
        </w:rPr>
        <w:t>– tai didžiausia auditoriaus požiūriu priimtina klaida visumoje (Tarptautinių audito, užtikrinimo ir etikos pareiškimų vadovas, 2007, p. 142).</w:t>
      </w:r>
    </w:p>
  </w:footnote>
  <w:footnote w:id="20">
    <w:p w:rsidR="00BE5795" w:rsidRPr="00A86F13" w:rsidRDefault="00BE5795" w:rsidP="007D690B">
      <w:pPr>
        <w:pStyle w:val="FootnoteText"/>
        <w:jc w:val="both"/>
        <w:rPr>
          <w:sz w:val="16"/>
          <w:szCs w:val="16"/>
          <w:lang w:val="lt-LT"/>
        </w:rPr>
      </w:pPr>
      <w:r>
        <w:rPr>
          <w:rStyle w:val="FootnoteReference"/>
        </w:rPr>
        <w:footnoteRef/>
      </w:r>
      <w:r>
        <w:t xml:space="preserve"> </w:t>
      </w:r>
      <w:r w:rsidRPr="00982E04">
        <w:rPr>
          <w:sz w:val="18"/>
          <w:szCs w:val="18"/>
          <w:lang w:val="lt-LT"/>
        </w:rPr>
        <w:t xml:space="preserve">Kur: </w:t>
      </w:r>
      <w:r>
        <w:rPr>
          <w:sz w:val="18"/>
          <w:szCs w:val="18"/>
          <w:lang w:val="lt-LT"/>
        </w:rPr>
        <w:t>ĮVA</w:t>
      </w:r>
      <w:r w:rsidRPr="00982E04">
        <w:rPr>
          <w:i/>
          <w:sz w:val="18"/>
          <w:szCs w:val="18"/>
          <w:lang w:val="lt-LT"/>
        </w:rPr>
        <w:t xml:space="preserve"> –</w:t>
      </w:r>
      <w:r w:rsidRPr="00982E04">
        <w:rPr>
          <w:sz w:val="18"/>
          <w:szCs w:val="18"/>
          <w:lang w:val="lt-LT"/>
        </w:rPr>
        <w:t xml:space="preserve"> ekonominiai veiksniai ir įvykiai, ūkio šakos ir reguliavimo sąlygos, įmonės tikslai, strategijos ir susijusios verslo rizikos, verslo procesai ir jų rezultatai; </w:t>
      </w:r>
      <w:r>
        <w:rPr>
          <w:sz w:val="18"/>
          <w:szCs w:val="18"/>
          <w:lang w:val="lt-LT"/>
        </w:rPr>
        <w:t>VIT</w:t>
      </w:r>
      <w:r w:rsidRPr="00982E04">
        <w:rPr>
          <w:sz w:val="18"/>
          <w:szCs w:val="18"/>
          <w:lang w:val="lt-LT"/>
        </w:rPr>
        <w:t xml:space="preserve"> – transformavimo procesai, kurie apima politiką, žmones, apskaitą ir kitas informacines sistemas, dokumentus, vidaus kontrolę dėl finansinių ataskaitų sudarymo ir taikomą finansinių ataskaitų sudarymo tvarką; </w:t>
      </w:r>
      <w:r>
        <w:rPr>
          <w:sz w:val="18"/>
          <w:szCs w:val="18"/>
          <w:lang w:val="lt-LT"/>
        </w:rPr>
        <w:t>VVP</w:t>
      </w:r>
      <w:r w:rsidRPr="00982E04">
        <w:rPr>
          <w:sz w:val="18"/>
          <w:szCs w:val="18"/>
          <w:lang w:val="lt-LT"/>
        </w:rPr>
        <w:t xml:space="preserve"> – sumos užregistruotas apskaitoje, šių sumų pateikimas finansinėse atskaitose ir kituose pareiškimuose informacijos naudotojams (T. B. Bell, M. E. Peecher, I. Solomon, 2005, p. )</w:t>
      </w:r>
    </w:p>
  </w:footnote>
  <w:footnote w:id="21">
    <w:p w:rsidR="00BE5795" w:rsidRPr="00BB05DB" w:rsidRDefault="00BE5795">
      <w:pPr>
        <w:pStyle w:val="FootnoteText"/>
        <w:rPr>
          <w:sz w:val="18"/>
          <w:szCs w:val="18"/>
          <w:lang w:val="lt-LT"/>
        </w:rPr>
      </w:pPr>
      <w:r w:rsidRPr="00BB05DB">
        <w:rPr>
          <w:rStyle w:val="FootnoteReference"/>
          <w:sz w:val="18"/>
          <w:szCs w:val="18"/>
        </w:rPr>
        <w:footnoteRef/>
      </w:r>
      <w:r w:rsidRPr="00BB05DB">
        <w:rPr>
          <w:sz w:val="18"/>
          <w:szCs w:val="18"/>
        </w:rPr>
        <w:t xml:space="preserve"> </w:t>
      </w:r>
      <w:r w:rsidRPr="00BB05DB">
        <w:rPr>
          <w:sz w:val="18"/>
          <w:szCs w:val="18"/>
          <w:lang w:val="lt-LT"/>
        </w:rPr>
        <w:t xml:space="preserve"> www.lar.lt</w:t>
      </w:r>
    </w:p>
  </w:footnote>
  <w:footnote w:id="22">
    <w:p w:rsidR="00BE5795" w:rsidRPr="00DA03DC" w:rsidRDefault="00BE5795" w:rsidP="0024462D">
      <w:pPr>
        <w:spacing w:after="120"/>
        <w:rPr>
          <w:sz w:val="18"/>
          <w:szCs w:val="18"/>
          <w:lang w:val="lt-LT"/>
        </w:rPr>
      </w:pPr>
      <w:r w:rsidRPr="00DA03DC">
        <w:rPr>
          <w:rStyle w:val="FootnoteReference"/>
          <w:sz w:val="18"/>
          <w:szCs w:val="18"/>
          <w:lang w:val="lt-LT"/>
        </w:rPr>
        <w:footnoteRef/>
      </w:r>
      <w:r w:rsidRPr="00DA03DC">
        <w:rPr>
          <w:sz w:val="18"/>
          <w:szCs w:val="18"/>
          <w:lang w:val="lt-LT"/>
        </w:rPr>
        <w:t xml:space="preserve"> žr. 17 išnašą.</w:t>
      </w:r>
    </w:p>
    <w:p w:rsidR="00BE5795" w:rsidRPr="00C930CD" w:rsidRDefault="00BE5795" w:rsidP="0024462D">
      <w:pPr>
        <w:pStyle w:val="FootnoteText"/>
        <w:rPr>
          <w:lang w:val="lt-LT"/>
        </w:rPr>
      </w:pPr>
    </w:p>
  </w:footnote>
  <w:footnote w:id="23">
    <w:p w:rsidR="00BE5795" w:rsidRPr="00DA03DC" w:rsidRDefault="00BE5795" w:rsidP="003223EA">
      <w:pPr>
        <w:pStyle w:val="FootnoteText"/>
        <w:jc w:val="both"/>
        <w:rPr>
          <w:sz w:val="18"/>
          <w:szCs w:val="18"/>
          <w:lang w:val="lt-LT"/>
        </w:rPr>
      </w:pPr>
      <w:r w:rsidRPr="00DA03DC">
        <w:rPr>
          <w:rStyle w:val="FootnoteReference"/>
          <w:sz w:val="18"/>
          <w:szCs w:val="18"/>
        </w:rPr>
        <w:footnoteRef/>
      </w:r>
      <w:r w:rsidRPr="00DA03DC">
        <w:rPr>
          <w:sz w:val="18"/>
          <w:szCs w:val="18"/>
        </w:rPr>
        <w:t xml:space="preserve"> 2</w:t>
      </w:r>
      <w:r w:rsidRPr="00DA03DC">
        <w:rPr>
          <w:sz w:val="18"/>
          <w:szCs w:val="18"/>
          <w:lang w:val="lt-LT"/>
        </w:rPr>
        <w:t>0-23 prieduose pateiktos lentelės nėra galutinės ir konkretaus audito atveju į jas turi būti įtraukiami papildomi su šiomis rizikomis susiję veiksniai.</w:t>
      </w:r>
    </w:p>
  </w:footnote>
  <w:footnote w:id="24">
    <w:p w:rsidR="00BE5795" w:rsidRPr="00601B86" w:rsidRDefault="00BE5795" w:rsidP="008C615B">
      <w:pPr>
        <w:pStyle w:val="NormalWeb"/>
        <w:spacing w:before="0" w:beforeAutospacing="0" w:after="0" w:afterAutospacing="0"/>
        <w:jc w:val="both"/>
        <w:rPr>
          <w:sz w:val="18"/>
          <w:szCs w:val="18"/>
          <w:lang w:val="lt-LT"/>
        </w:rPr>
      </w:pPr>
      <w:r w:rsidRPr="00601B86">
        <w:rPr>
          <w:rStyle w:val="FootnoteReference"/>
          <w:sz w:val="18"/>
          <w:szCs w:val="18"/>
          <w:lang w:val="lt-LT"/>
        </w:rPr>
        <w:footnoteRef/>
      </w:r>
      <w:r w:rsidRPr="00601B86">
        <w:rPr>
          <w:sz w:val="18"/>
          <w:szCs w:val="18"/>
          <w:lang w:val="lt-LT"/>
        </w:rPr>
        <w:t xml:space="preserve"> </w:t>
      </w:r>
      <w:r w:rsidRPr="00601B86">
        <w:rPr>
          <w:bCs/>
          <w:i/>
          <w:sz w:val="18"/>
          <w:szCs w:val="18"/>
          <w:lang w:val="lt-LT"/>
        </w:rPr>
        <w:t>Šilumos bazinė kaina</w:t>
      </w:r>
      <w:r w:rsidRPr="00601B86">
        <w:rPr>
          <w:i/>
          <w:sz w:val="18"/>
          <w:szCs w:val="18"/>
          <w:lang w:val="lt-LT"/>
        </w:rPr>
        <w:t xml:space="preserve"> </w:t>
      </w:r>
      <w:r w:rsidRPr="00601B86">
        <w:rPr>
          <w:sz w:val="18"/>
          <w:szCs w:val="18"/>
          <w:lang w:val="lt-LT"/>
        </w:rPr>
        <w:t>– ilgalaikė</w:t>
      </w:r>
      <w:r w:rsidRPr="00601B86">
        <w:rPr>
          <w:b/>
          <w:bCs/>
          <w:sz w:val="18"/>
          <w:szCs w:val="18"/>
          <w:lang w:val="lt-LT"/>
        </w:rPr>
        <w:t xml:space="preserve"> </w:t>
      </w:r>
      <w:r w:rsidRPr="00601B86">
        <w:rPr>
          <w:sz w:val="18"/>
          <w:szCs w:val="18"/>
          <w:lang w:val="lt-LT"/>
        </w:rPr>
        <w:t>šilumos kaina, apskaičiuota pagal Valstybinės kainų ir energetikos kontrolės komisijos patvirtintas šilumos ir karšto vandens kainų nustatymo metodikas, nustatyta ne trumpesniam kaip 3 metų ir ne ilgesniam kaip 5 metų</w:t>
      </w:r>
      <w:r w:rsidRPr="00601B86">
        <w:rPr>
          <w:b/>
          <w:bCs/>
          <w:sz w:val="18"/>
          <w:szCs w:val="18"/>
          <w:lang w:val="lt-LT"/>
        </w:rPr>
        <w:t xml:space="preserve"> </w:t>
      </w:r>
      <w:r w:rsidRPr="00601B86">
        <w:rPr>
          <w:sz w:val="18"/>
          <w:szCs w:val="18"/>
          <w:lang w:val="lt-LT"/>
        </w:rPr>
        <w:t>laikotarpiui ir antrais bei kitais jos galiojimo metais</w:t>
      </w:r>
      <w:r w:rsidRPr="00601B86">
        <w:rPr>
          <w:b/>
          <w:bCs/>
          <w:sz w:val="18"/>
          <w:szCs w:val="18"/>
          <w:lang w:val="lt-LT"/>
        </w:rPr>
        <w:t xml:space="preserve"> </w:t>
      </w:r>
      <w:r w:rsidRPr="00601B86">
        <w:rPr>
          <w:sz w:val="18"/>
          <w:szCs w:val="18"/>
          <w:lang w:val="lt-LT"/>
        </w:rPr>
        <w:t>taikoma perskaičiuojant šilumos ir karšto vandens</w:t>
      </w:r>
      <w:r w:rsidRPr="00601B86">
        <w:rPr>
          <w:b/>
          <w:bCs/>
          <w:sz w:val="18"/>
          <w:szCs w:val="18"/>
          <w:lang w:val="lt-LT"/>
        </w:rPr>
        <w:t xml:space="preserve"> </w:t>
      </w:r>
      <w:r w:rsidRPr="00601B86">
        <w:rPr>
          <w:sz w:val="18"/>
          <w:szCs w:val="18"/>
          <w:lang w:val="lt-LT"/>
        </w:rPr>
        <w:t>kainas (LR šilumos ūkio įstatymas, 2 str. 23 d.).</w:t>
      </w:r>
    </w:p>
  </w:footnote>
  <w:footnote w:id="25">
    <w:p w:rsidR="00BE5795" w:rsidRPr="00FC1533" w:rsidRDefault="00BE5795">
      <w:pPr>
        <w:pStyle w:val="FootnoteText"/>
        <w:rPr>
          <w:lang w:val="lt-LT"/>
        </w:rPr>
      </w:pPr>
      <w:r>
        <w:rPr>
          <w:rStyle w:val="FootnoteReference"/>
        </w:rPr>
        <w:footnoteRef/>
      </w:r>
      <w:r>
        <w:t xml:space="preserve"> </w:t>
      </w:r>
      <w:r w:rsidRPr="0095294E">
        <w:rPr>
          <w:sz w:val="16"/>
          <w:szCs w:val="16"/>
          <w:lang w:val="lt-LT"/>
        </w:rPr>
        <w:t xml:space="preserve">Tyrime </w:t>
      </w:r>
      <w:r>
        <w:rPr>
          <w:sz w:val="16"/>
          <w:szCs w:val="16"/>
          <w:lang w:val="lt-LT"/>
        </w:rPr>
        <w:t xml:space="preserve">naudojami </w:t>
      </w:r>
      <w:r w:rsidRPr="0095294E">
        <w:rPr>
          <w:sz w:val="16"/>
          <w:szCs w:val="16"/>
          <w:lang w:val="lt-LT"/>
        </w:rPr>
        <w:t>ši</w:t>
      </w:r>
      <w:r>
        <w:rPr>
          <w:sz w:val="16"/>
          <w:szCs w:val="16"/>
          <w:lang w:val="lt-LT"/>
        </w:rPr>
        <w:t>e</w:t>
      </w:r>
      <w:r w:rsidRPr="0095294E">
        <w:rPr>
          <w:sz w:val="16"/>
          <w:szCs w:val="16"/>
          <w:lang w:val="lt-LT"/>
        </w:rPr>
        <w:t xml:space="preserve">  jungtini</w:t>
      </w:r>
      <w:r>
        <w:rPr>
          <w:sz w:val="16"/>
          <w:szCs w:val="16"/>
          <w:lang w:val="lt-LT"/>
        </w:rPr>
        <w:t>ai</w:t>
      </w:r>
      <w:r w:rsidRPr="0095294E">
        <w:rPr>
          <w:sz w:val="16"/>
          <w:szCs w:val="16"/>
          <w:lang w:val="lt-LT"/>
        </w:rPr>
        <w:t xml:space="preserve"> ūkinių operacijų grupės, sąskaitų likučio ir atskleidimo tvirtinim</w:t>
      </w:r>
      <w:r>
        <w:rPr>
          <w:sz w:val="16"/>
          <w:szCs w:val="16"/>
          <w:lang w:val="lt-LT"/>
        </w:rPr>
        <w:t>ai</w:t>
      </w:r>
      <w:r w:rsidRPr="0095294E">
        <w:rPr>
          <w:sz w:val="16"/>
          <w:szCs w:val="16"/>
          <w:lang w:val="lt-LT"/>
        </w:rPr>
        <w:t xml:space="preserve">: išsamumas (I), buvimas (B), tikslumas (T), įvertinimas (V) </w:t>
      </w:r>
      <w:r>
        <w:rPr>
          <w:sz w:val="16"/>
          <w:szCs w:val="16"/>
          <w:lang w:val="lt-LT"/>
        </w:rPr>
        <w:t>(</w:t>
      </w:r>
      <w:r w:rsidRPr="0095294E">
        <w:rPr>
          <w:sz w:val="16"/>
          <w:szCs w:val="16"/>
          <w:lang w:val="lt-LT"/>
        </w:rPr>
        <w:t>Tarptautinių standartų auditui taikymo mažų ir vidutinių įmonių auditams vadova</w:t>
      </w:r>
      <w:r>
        <w:rPr>
          <w:sz w:val="16"/>
          <w:szCs w:val="16"/>
          <w:lang w:val="lt-LT"/>
        </w:rPr>
        <w:t>s, 2008, p. 73)</w:t>
      </w:r>
      <w:r w:rsidRPr="0095294E">
        <w:rPr>
          <w:sz w:val="16"/>
          <w:szCs w:val="16"/>
          <w:lang w:val="lt-LT"/>
        </w:rPr>
        <w:t>.</w:t>
      </w:r>
    </w:p>
  </w:footnote>
  <w:footnote w:id="26">
    <w:p w:rsidR="00BE5795" w:rsidRPr="00A86F13" w:rsidRDefault="00BE5795">
      <w:pPr>
        <w:pStyle w:val="FootnoteText"/>
        <w:rPr>
          <w:sz w:val="16"/>
          <w:szCs w:val="16"/>
          <w:lang w:val="lt-LT"/>
        </w:rPr>
      </w:pPr>
      <w:r w:rsidRPr="00A86F13">
        <w:rPr>
          <w:rStyle w:val="FootnoteReference"/>
          <w:sz w:val="16"/>
          <w:szCs w:val="16"/>
        </w:rPr>
        <w:footnoteRef/>
      </w:r>
      <w:r w:rsidRPr="00A86F13">
        <w:rPr>
          <w:sz w:val="16"/>
          <w:szCs w:val="16"/>
        </w:rPr>
        <w:t xml:space="preserve"> </w:t>
      </w:r>
      <w:r w:rsidRPr="00A86F13">
        <w:rPr>
          <w:sz w:val="16"/>
          <w:szCs w:val="16"/>
          <w:lang w:val="lt-LT"/>
        </w:rPr>
        <w:t xml:space="preserve"> RMM – reikšmingo iškraipymo rizika.</w:t>
      </w:r>
    </w:p>
  </w:footnote>
  <w:footnote w:id="27">
    <w:p w:rsidR="00BE5795" w:rsidRPr="0082439C" w:rsidRDefault="00BE5795" w:rsidP="00BB75C0">
      <w:pPr>
        <w:pStyle w:val="FootnoteText"/>
        <w:rPr>
          <w:lang w:val="lt-LT"/>
        </w:rPr>
      </w:pPr>
      <w:r w:rsidRPr="00A86F13">
        <w:rPr>
          <w:rStyle w:val="FootnoteReference"/>
          <w:sz w:val="16"/>
          <w:szCs w:val="16"/>
        </w:rPr>
        <w:footnoteRef/>
      </w:r>
      <w:r w:rsidRPr="00A86F13">
        <w:rPr>
          <w:sz w:val="16"/>
          <w:szCs w:val="16"/>
        </w:rPr>
        <w:t xml:space="preserve"> </w:t>
      </w:r>
      <w:r w:rsidRPr="00A86F13">
        <w:rPr>
          <w:sz w:val="16"/>
          <w:szCs w:val="16"/>
          <w:lang w:val="lt-LT"/>
        </w:rPr>
        <w:t xml:space="preserve"> RMM f/a – reikšmingo iškraipymo rizika finansinių ataskaitų lygmeniu.</w:t>
      </w:r>
    </w:p>
  </w:footnote>
  <w:footnote w:id="28">
    <w:p w:rsidR="00BE5795" w:rsidRPr="00313C2E" w:rsidRDefault="00BE5795" w:rsidP="00223ACB">
      <w:pPr>
        <w:pStyle w:val="FootnoteText"/>
        <w:rPr>
          <w:sz w:val="18"/>
          <w:szCs w:val="18"/>
          <w:lang w:val="lt-LT"/>
        </w:rPr>
      </w:pPr>
      <w:r w:rsidRPr="00313C2E">
        <w:rPr>
          <w:rStyle w:val="FootnoteReference"/>
          <w:sz w:val="18"/>
          <w:szCs w:val="18"/>
        </w:rPr>
        <w:footnoteRef/>
      </w:r>
      <w:r w:rsidRPr="00313C2E">
        <w:rPr>
          <w:sz w:val="18"/>
          <w:szCs w:val="18"/>
        </w:rPr>
        <w:t xml:space="preserve"> </w:t>
      </w:r>
      <w:r w:rsidRPr="00313C2E">
        <w:rPr>
          <w:sz w:val="18"/>
          <w:szCs w:val="18"/>
          <w:lang w:val="lt-LT"/>
        </w:rPr>
        <w:t xml:space="preserve"> RMM – reikšmingo iškraipymo rizika.</w:t>
      </w:r>
    </w:p>
  </w:footnote>
  <w:footnote w:id="29">
    <w:p w:rsidR="00BE5795" w:rsidRPr="0082439C" w:rsidRDefault="00BE5795" w:rsidP="001C690D">
      <w:pPr>
        <w:pStyle w:val="FootnoteText"/>
        <w:rPr>
          <w:lang w:val="lt-LT"/>
        </w:rPr>
      </w:pPr>
      <w:r w:rsidRPr="00313C2E">
        <w:rPr>
          <w:rStyle w:val="FootnoteReference"/>
          <w:sz w:val="18"/>
          <w:szCs w:val="18"/>
        </w:rPr>
        <w:footnoteRef/>
      </w:r>
      <w:r w:rsidRPr="00313C2E">
        <w:rPr>
          <w:sz w:val="18"/>
          <w:szCs w:val="18"/>
        </w:rPr>
        <w:t xml:space="preserve"> </w:t>
      </w:r>
      <w:r w:rsidRPr="00313C2E">
        <w:rPr>
          <w:sz w:val="18"/>
          <w:szCs w:val="18"/>
          <w:lang w:val="lt-LT"/>
        </w:rPr>
        <w:t xml:space="preserve"> RMM f/a – reikšmingo iškraipymo rizika finansinių ataskaitų lygmeniu.</w:t>
      </w:r>
    </w:p>
  </w:footnote>
  <w:footnote w:id="30">
    <w:p w:rsidR="00BE5795" w:rsidRPr="00A904C5" w:rsidRDefault="00BE5795" w:rsidP="00FF7E57">
      <w:pPr>
        <w:pStyle w:val="FootnoteText"/>
        <w:rPr>
          <w:sz w:val="16"/>
          <w:szCs w:val="16"/>
          <w:lang w:val="lt-LT"/>
        </w:rPr>
      </w:pPr>
      <w:r w:rsidRPr="00A904C5">
        <w:rPr>
          <w:rStyle w:val="FootnoteReference"/>
          <w:sz w:val="16"/>
          <w:szCs w:val="16"/>
          <w:lang w:val="lt-LT"/>
        </w:rPr>
        <w:footnoteRef/>
      </w:r>
      <w:r w:rsidRPr="00A904C5">
        <w:rPr>
          <w:sz w:val="16"/>
          <w:szCs w:val="16"/>
          <w:lang w:val="lt-LT"/>
        </w:rPr>
        <w:t xml:space="preserve"> Vertinant apgaulės rizikos tikimybę turi būti išsiaiškinamos visos susijusios „apgaulės rombo“ sąlygos, t. y. paskatos/spaudimas – galimybės – požiūris/racionalizacija – sugebėjimai.</w:t>
      </w:r>
    </w:p>
  </w:footnote>
  <w:footnote w:id="31">
    <w:p w:rsidR="00BE5795" w:rsidRPr="00A904C5" w:rsidRDefault="00BE5795" w:rsidP="00FF7E57">
      <w:pPr>
        <w:pStyle w:val="FootnoteText"/>
        <w:rPr>
          <w:sz w:val="16"/>
          <w:szCs w:val="16"/>
          <w:lang w:val="lt-LT"/>
        </w:rPr>
      </w:pPr>
      <w:r w:rsidRPr="00A904C5">
        <w:rPr>
          <w:rStyle w:val="FootnoteReference"/>
          <w:sz w:val="16"/>
          <w:szCs w:val="16"/>
          <w:lang w:val="lt-LT"/>
        </w:rPr>
        <w:footnoteRef/>
      </w:r>
      <w:r w:rsidRPr="00A904C5">
        <w:rPr>
          <w:sz w:val="16"/>
          <w:szCs w:val="16"/>
          <w:lang w:val="lt-LT"/>
        </w:rPr>
        <w:t xml:space="preserve"> žr. 1 išnašą.</w:t>
      </w:r>
    </w:p>
  </w:footnote>
  <w:footnote w:id="32">
    <w:p w:rsidR="00BE5795" w:rsidRPr="00A904C5" w:rsidRDefault="00BE5795" w:rsidP="00FF7E57">
      <w:pPr>
        <w:jc w:val="both"/>
        <w:rPr>
          <w:sz w:val="16"/>
          <w:szCs w:val="16"/>
          <w:lang w:val="lt-LT"/>
        </w:rPr>
      </w:pPr>
      <w:r w:rsidRPr="00A904C5">
        <w:rPr>
          <w:rStyle w:val="FootnoteReference"/>
          <w:sz w:val="16"/>
          <w:szCs w:val="16"/>
        </w:rPr>
        <w:footnoteRef/>
      </w:r>
      <w:r w:rsidRPr="00A904C5">
        <w:rPr>
          <w:sz w:val="16"/>
          <w:szCs w:val="16"/>
        </w:rPr>
        <w:t xml:space="preserve"> </w:t>
      </w:r>
      <w:r w:rsidRPr="00A904C5">
        <w:rPr>
          <w:sz w:val="16"/>
          <w:szCs w:val="16"/>
          <w:lang w:val="lt-LT"/>
        </w:rPr>
        <w:t>Veiks</w:t>
      </w:r>
      <w:r>
        <w:rPr>
          <w:sz w:val="16"/>
          <w:szCs w:val="16"/>
          <w:lang w:val="lt-LT"/>
        </w:rPr>
        <w:t>nio</w:t>
      </w:r>
      <w:r w:rsidRPr="00A904C5">
        <w:rPr>
          <w:sz w:val="16"/>
          <w:szCs w:val="16"/>
          <w:lang w:val="lt-LT"/>
        </w:rPr>
        <w:t xml:space="preserve"> įtaka finansinėms ataskaitoms visų </w:t>
      </w:r>
      <w:r>
        <w:rPr>
          <w:sz w:val="16"/>
          <w:szCs w:val="16"/>
          <w:lang w:val="lt-LT"/>
        </w:rPr>
        <w:t xml:space="preserve">„apgaulės rombo“ </w:t>
      </w:r>
      <w:r w:rsidRPr="00A904C5">
        <w:rPr>
          <w:sz w:val="16"/>
          <w:szCs w:val="16"/>
          <w:lang w:val="lt-LT"/>
        </w:rPr>
        <w:t xml:space="preserve">sąlygų atveju bus vienoda. </w:t>
      </w:r>
    </w:p>
  </w:footnote>
  <w:footnote w:id="33">
    <w:p w:rsidR="00BE5795" w:rsidRPr="00A904C5" w:rsidRDefault="00BE5795" w:rsidP="00FF7E57">
      <w:pPr>
        <w:pStyle w:val="FootnoteText"/>
        <w:rPr>
          <w:lang w:val="lt-LT"/>
        </w:rPr>
      </w:pPr>
      <w:r w:rsidRPr="00A904C5">
        <w:rPr>
          <w:rStyle w:val="FootnoteReference"/>
          <w:sz w:val="16"/>
          <w:szCs w:val="16"/>
        </w:rPr>
        <w:footnoteRef/>
      </w:r>
      <w:r w:rsidRPr="00A904C5">
        <w:rPr>
          <w:sz w:val="16"/>
          <w:szCs w:val="16"/>
        </w:rPr>
        <w:t xml:space="preserve"> </w:t>
      </w:r>
      <w:r w:rsidRPr="00A904C5">
        <w:rPr>
          <w:sz w:val="16"/>
          <w:szCs w:val="16"/>
          <w:lang w:val="lt-LT"/>
        </w:rPr>
        <w:t>žr. 3 išnašą.</w:t>
      </w:r>
    </w:p>
  </w:footnote>
  <w:footnote w:id="34">
    <w:p w:rsidR="00BE5795" w:rsidRPr="00C00E85" w:rsidRDefault="00BE5795" w:rsidP="00104405">
      <w:pPr>
        <w:pStyle w:val="FootnoteText"/>
        <w:rPr>
          <w:lang w:val="lt-LT"/>
        </w:rPr>
      </w:pPr>
      <w:r>
        <w:rPr>
          <w:rStyle w:val="FootnoteReference"/>
        </w:rPr>
        <w:footnoteRef/>
      </w:r>
      <w:r>
        <w:t xml:space="preserve"> </w:t>
      </w:r>
      <w:r>
        <w:rPr>
          <w:lang w:val="lt-LT"/>
        </w:rPr>
        <w:t>I – Išsamumas, B – Buvimas, T – Tikslumas, V – Įvertinimas.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EE1"/>
    <w:multiLevelType w:val="hybridMultilevel"/>
    <w:tmpl w:val="C9C409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37E18EB"/>
    <w:multiLevelType w:val="multilevel"/>
    <w:tmpl w:val="53E4D4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77524"/>
    <w:multiLevelType w:val="hybridMultilevel"/>
    <w:tmpl w:val="512426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467560D"/>
    <w:multiLevelType w:val="hybridMultilevel"/>
    <w:tmpl w:val="111E0E16"/>
    <w:lvl w:ilvl="0" w:tplc="D2B4D3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182B634F"/>
    <w:multiLevelType w:val="hybridMultilevel"/>
    <w:tmpl w:val="49C2E4B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nsid w:val="18620C0A"/>
    <w:multiLevelType w:val="hybridMultilevel"/>
    <w:tmpl w:val="07AA40F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nsid w:val="1B925A57"/>
    <w:multiLevelType w:val="hybridMultilevel"/>
    <w:tmpl w:val="06649F9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nsid w:val="1DCB1B9E"/>
    <w:multiLevelType w:val="hybridMultilevel"/>
    <w:tmpl w:val="6AD4CBF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nsid w:val="2801714F"/>
    <w:multiLevelType w:val="hybridMultilevel"/>
    <w:tmpl w:val="B1187F1C"/>
    <w:lvl w:ilvl="0" w:tplc="AC301862">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2A3D15D5"/>
    <w:multiLevelType w:val="hybridMultilevel"/>
    <w:tmpl w:val="9C50460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nsid w:val="2DC10734"/>
    <w:multiLevelType w:val="hybridMultilevel"/>
    <w:tmpl w:val="0CCA0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E1C1DB9"/>
    <w:multiLevelType w:val="hybridMultilevel"/>
    <w:tmpl w:val="0E6EFD9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nsid w:val="318C7807"/>
    <w:multiLevelType w:val="hybridMultilevel"/>
    <w:tmpl w:val="F182B6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355424EB"/>
    <w:multiLevelType w:val="hybridMultilevel"/>
    <w:tmpl w:val="15629250"/>
    <w:lvl w:ilvl="0" w:tplc="04270011">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nsid w:val="3A5A5530"/>
    <w:multiLevelType w:val="hybridMultilevel"/>
    <w:tmpl w:val="A81CE02C"/>
    <w:lvl w:ilvl="0" w:tplc="04270001">
      <w:start w:val="1"/>
      <w:numFmt w:val="bullet"/>
      <w:lvlText w:val=""/>
      <w:lvlJc w:val="left"/>
      <w:pPr>
        <w:tabs>
          <w:tab w:val="num" w:pos="1656"/>
        </w:tabs>
        <w:ind w:left="1656" w:hanging="360"/>
      </w:pPr>
      <w:rPr>
        <w:rFonts w:ascii="Symbol" w:hAnsi="Symbol" w:hint="default"/>
      </w:rPr>
    </w:lvl>
    <w:lvl w:ilvl="1" w:tplc="04270003" w:tentative="1">
      <w:start w:val="1"/>
      <w:numFmt w:val="bullet"/>
      <w:lvlText w:val="o"/>
      <w:lvlJc w:val="left"/>
      <w:pPr>
        <w:tabs>
          <w:tab w:val="num" w:pos="2016"/>
        </w:tabs>
        <w:ind w:left="2016" w:hanging="360"/>
      </w:pPr>
      <w:rPr>
        <w:rFonts w:ascii="Courier New" w:hAnsi="Courier New" w:cs="Courier New" w:hint="default"/>
      </w:rPr>
    </w:lvl>
    <w:lvl w:ilvl="2" w:tplc="04270005" w:tentative="1">
      <w:start w:val="1"/>
      <w:numFmt w:val="bullet"/>
      <w:lvlText w:val=""/>
      <w:lvlJc w:val="left"/>
      <w:pPr>
        <w:tabs>
          <w:tab w:val="num" w:pos="2736"/>
        </w:tabs>
        <w:ind w:left="2736" w:hanging="360"/>
      </w:pPr>
      <w:rPr>
        <w:rFonts w:ascii="Wingdings" w:hAnsi="Wingdings" w:hint="default"/>
      </w:rPr>
    </w:lvl>
    <w:lvl w:ilvl="3" w:tplc="04270001" w:tentative="1">
      <w:start w:val="1"/>
      <w:numFmt w:val="bullet"/>
      <w:lvlText w:val=""/>
      <w:lvlJc w:val="left"/>
      <w:pPr>
        <w:tabs>
          <w:tab w:val="num" w:pos="3456"/>
        </w:tabs>
        <w:ind w:left="3456" w:hanging="360"/>
      </w:pPr>
      <w:rPr>
        <w:rFonts w:ascii="Symbol" w:hAnsi="Symbol" w:hint="default"/>
      </w:rPr>
    </w:lvl>
    <w:lvl w:ilvl="4" w:tplc="04270003" w:tentative="1">
      <w:start w:val="1"/>
      <w:numFmt w:val="bullet"/>
      <w:lvlText w:val="o"/>
      <w:lvlJc w:val="left"/>
      <w:pPr>
        <w:tabs>
          <w:tab w:val="num" w:pos="4176"/>
        </w:tabs>
        <w:ind w:left="4176" w:hanging="360"/>
      </w:pPr>
      <w:rPr>
        <w:rFonts w:ascii="Courier New" w:hAnsi="Courier New" w:cs="Courier New" w:hint="default"/>
      </w:rPr>
    </w:lvl>
    <w:lvl w:ilvl="5" w:tplc="04270005" w:tentative="1">
      <w:start w:val="1"/>
      <w:numFmt w:val="bullet"/>
      <w:lvlText w:val=""/>
      <w:lvlJc w:val="left"/>
      <w:pPr>
        <w:tabs>
          <w:tab w:val="num" w:pos="4896"/>
        </w:tabs>
        <w:ind w:left="4896" w:hanging="360"/>
      </w:pPr>
      <w:rPr>
        <w:rFonts w:ascii="Wingdings" w:hAnsi="Wingdings" w:hint="default"/>
      </w:rPr>
    </w:lvl>
    <w:lvl w:ilvl="6" w:tplc="04270001" w:tentative="1">
      <w:start w:val="1"/>
      <w:numFmt w:val="bullet"/>
      <w:lvlText w:val=""/>
      <w:lvlJc w:val="left"/>
      <w:pPr>
        <w:tabs>
          <w:tab w:val="num" w:pos="5616"/>
        </w:tabs>
        <w:ind w:left="5616" w:hanging="360"/>
      </w:pPr>
      <w:rPr>
        <w:rFonts w:ascii="Symbol" w:hAnsi="Symbol" w:hint="default"/>
      </w:rPr>
    </w:lvl>
    <w:lvl w:ilvl="7" w:tplc="04270003" w:tentative="1">
      <w:start w:val="1"/>
      <w:numFmt w:val="bullet"/>
      <w:lvlText w:val="o"/>
      <w:lvlJc w:val="left"/>
      <w:pPr>
        <w:tabs>
          <w:tab w:val="num" w:pos="6336"/>
        </w:tabs>
        <w:ind w:left="6336" w:hanging="360"/>
      </w:pPr>
      <w:rPr>
        <w:rFonts w:ascii="Courier New" w:hAnsi="Courier New" w:cs="Courier New" w:hint="default"/>
      </w:rPr>
    </w:lvl>
    <w:lvl w:ilvl="8" w:tplc="04270005" w:tentative="1">
      <w:start w:val="1"/>
      <w:numFmt w:val="bullet"/>
      <w:lvlText w:val=""/>
      <w:lvlJc w:val="left"/>
      <w:pPr>
        <w:tabs>
          <w:tab w:val="num" w:pos="7056"/>
        </w:tabs>
        <w:ind w:left="7056" w:hanging="360"/>
      </w:pPr>
      <w:rPr>
        <w:rFonts w:ascii="Wingdings" w:hAnsi="Wingdings" w:hint="default"/>
      </w:rPr>
    </w:lvl>
  </w:abstractNum>
  <w:abstractNum w:abstractNumId="15">
    <w:nsid w:val="3C8B52C0"/>
    <w:multiLevelType w:val="hybridMultilevel"/>
    <w:tmpl w:val="BC4E6D2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nsid w:val="3E3536AE"/>
    <w:multiLevelType w:val="hybridMultilevel"/>
    <w:tmpl w:val="E820DB1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0EB3E08"/>
    <w:multiLevelType w:val="hybridMultilevel"/>
    <w:tmpl w:val="08FAC8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80932B0"/>
    <w:multiLevelType w:val="hybridMultilevel"/>
    <w:tmpl w:val="A0E0594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nsid w:val="4AFC75D2"/>
    <w:multiLevelType w:val="hybridMultilevel"/>
    <w:tmpl w:val="A628F4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C157422"/>
    <w:multiLevelType w:val="hybridMultilevel"/>
    <w:tmpl w:val="29260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ECB7CA7"/>
    <w:multiLevelType w:val="hybridMultilevel"/>
    <w:tmpl w:val="EF52E62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2">
    <w:nsid w:val="57F23657"/>
    <w:multiLevelType w:val="hybridMultilevel"/>
    <w:tmpl w:val="D580133E"/>
    <w:lvl w:ilvl="0" w:tplc="1B2021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58614884"/>
    <w:multiLevelType w:val="hybridMultilevel"/>
    <w:tmpl w:val="64381A30"/>
    <w:lvl w:ilvl="0" w:tplc="739209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nsid w:val="5F033B27"/>
    <w:multiLevelType w:val="hybridMultilevel"/>
    <w:tmpl w:val="F6BAF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F7F5E2F"/>
    <w:multiLevelType w:val="hybridMultilevel"/>
    <w:tmpl w:val="DFEABBD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6">
    <w:nsid w:val="68956B2C"/>
    <w:multiLevelType w:val="hybridMultilevel"/>
    <w:tmpl w:val="9C2CE85E"/>
    <w:lvl w:ilvl="0" w:tplc="F056D0D8">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FFEDB1E">
      <w:start w:val="1"/>
      <w:numFmt w:val="lowerLetter"/>
      <w:lvlText w:val="%2."/>
      <w:lvlJc w:val="left"/>
      <w:pPr>
        <w:tabs>
          <w:tab w:val="num" w:pos="1440"/>
        </w:tabs>
        <w:ind w:left="1440" w:hanging="360"/>
      </w:pPr>
    </w:lvl>
    <w:lvl w:ilvl="2" w:tplc="BA60A7B8" w:tentative="1">
      <w:start w:val="1"/>
      <w:numFmt w:val="lowerRoman"/>
      <w:lvlText w:val="%3."/>
      <w:lvlJc w:val="right"/>
      <w:pPr>
        <w:tabs>
          <w:tab w:val="num" w:pos="2160"/>
        </w:tabs>
        <w:ind w:left="2160" w:hanging="180"/>
      </w:pPr>
    </w:lvl>
    <w:lvl w:ilvl="3" w:tplc="DF6493AC" w:tentative="1">
      <w:start w:val="1"/>
      <w:numFmt w:val="decimal"/>
      <w:lvlText w:val="%4."/>
      <w:lvlJc w:val="left"/>
      <w:pPr>
        <w:tabs>
          <w:tab w:val="num" w:pos="2880"/>
        </w:tabs>
        <w:ind w:left="2880" w:hanging="360"/>
      </w:pPr>
    </w:lvl>
    <w:lvl w:ilvl="4" w:tplc="D6FABE38" w:tentative="1">
      <w:start w:val="1"/>
      <w:numFmt w:val="lowerLetter"/>
      <w:lvlText w:val="%5."/>
      <w:lvlJc w:val="left"/>
      <w:pPr>
        <w:tabs>
          <w:tab w:val="num" w:pos="3600"/>
        </w:tabs>
        <w:ind w:left="3600" w:hanging="360"/>
      </w:pPr>
    </w:lvl>
    <w:lvl w:ilvl="5" w:tplc="F016091A" w:tentative="1">
      <w:start w:val="1"/>
      <w:numFmt w:val="lowerRoman"/>
      <w:lvlText w:val="%6."/>
      <w:lvlJc w:val="right"/>
      <w:pPr>
        <w:tabs>
          <w:tab w:val="num" w:pos="4320"/>
        </w:tabs>
        <w:ind w:left="4320" w:hanging="180"/>
      </w:pPr>
    </w:lvl>
    <w:lvl w:ilvl="6" w:tplc="A2762636" w:tentative="1">
      <w:start w:val="1"/>
      <w:numFmt w:val="decimal"/>
      <w:lvlText w:val="%7."/>
      <w:lvlJc w:val="left"/>
      <w:pPr>
        <w:tabs>
          <w:tab w:val="num" w:pos="5040"/>
        </w:tabs>
        <w:ind w:left="5040" w:hanging="360"/>
      </w:pPr>
    </w:lvl>
    <w:lvl w:ilvl="7" w:tplc="4748033E" w:tentative="1">
      <w:start w:val="1"/>
      <w:numFmt w:val="lowerLetter"/>
      <w:lvlText w:val="%8."/>
      <w:lvlJc w:val="left"/>
      <w:pPr>
        <w:tabs>
          <w:tab w:val="num" w:pos="5760"/>
        </w:tabs>
        <w:ind w:left="5760" w:hanging="360"/>
      </w:pPr>
    </w:lvl>
    <w:lvl w:ilvl="8" w:tplc="BA6A086A" w:tentative="1">
      <w:start w:val="1"/>
      <w:numFmt w:val="lowerRoman"/>
      <w:lvlText w:val="%9."/>
      <w:lvlJc w:val="right"/>
      <w:pPr>
        <w:tabs>
          <w:tab w:val="num" w:pos="6480"/>
        </w:tabs>
        <w:ind w:left="6480" w:hanging="180"/>
      </w:pPr>
    </w:lvl>
  </w:abstractNum>
  <w:abstractNum w:abstractNumId="27">
    <w:nsid w:val="6E1734A1"/>
    <w:multiLevelType w:val="hybridMultilevel"/>
    <w:tmpl w:val="98A471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6E9A6923"/>
    <w:multiLevelType w:val="hybridMultilevel"/>
    <w:tmpl w:val="5FA0D1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F2D6837"/>
    <w:multiLevelType w:val="hybridMultilevel"/>
    <w:tmpl w:val="D828F5E4"/>
    <w:lvl w:ilvl="0" w:tplc="2138C1A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0">
    <w:nsid w:val="759D50D6"/>
    <w:multiLevelType w:val="hybridMultilevel"/>
    <w:tmpl w:val="EE4676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77C76583"/>
    <w:multiLevelType w:val="hybridMultilevel"/>
    <w:tmpl w:val="287A5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7870390C"/>
    <w:multiLevelType w:val="hybridMultilevel"/>
    <w:tmpl w:val="EE168374"/>
    <w:lvl w:ilvl="0" w:tplc="927066C6">
      <w:start w:val="1"/>
      <w:numFmt w:val="decimal"/>
      <w:lvlText w:val="%1)"/>
      <w:lvlJc w:val="left"/>
      <w:pPr>
        <w:tabs>
          <w:tab w:val="num" w:pos="1080"/>
        </w:tabs>
        <w:ind w:left="1080" w:hanging="360"/>
      </w:pPr>
      <w:rPr>
        <w:rFonts w:ascii="Times New Roman" w:eastAsia="Times New Roman" w:hAnsi="Times New Roman" w:cs="Times New Roman"/>
      </w:rPr>
    </w:lvl>
    <w:lvl w:ilvl="1" w:tplc="0F08EAB8" w:tentative="1">
      <w:start w:val="1"/>
      <w:numFmt w:val="lowerLetter"/>
      <w:lvlText w:val="%2."/>
      <w:lvlJc w:val="left"/>
      <w:pPr>
        <w:tabs>
          <w:tab w:val="num" w:pos="1800"/>
        </w:tabs>
        <w:ind w:left="1800" w:hanging="360"/>
      </w:pPr>
    </w:lvl>
    <w:lvl w:ilvl="2" w:tplc="23BE7E60" w:tentative="1">
      <w:start w:val="1"/>
      <w:numFmt w:val="lowerRoman"/>
      <w:lvlText w:val="%3."/>
      <w:lvlJc w:val="right"/>
      <w:pPr>
        <w:tabs>
          <w:tab w:val="num" w:pos="2520"/>
        </w:tabs>
        <w:ind w:left="2520" w:hanging="180"/>
      </w:pPr>
    </w:lvl>
    <w:lvl w:ilvl="3" w:tplc="9AC63616" w:tentative="1">
      <w:start w:val="1"/>
      <w:numFmt w:val="decimal"/>
      <w:lvlText w:val="%4."/>
      <w:lvlJc w:val="left"/>
      <w:pPr>
        <w:tabs>
          <w:tab w:val="num" w:pos="3240"/>
        </w:tabs>
        <w:ind w:left="3240" w:hanging="360"/>
      </w:pPr>
    </w:lvl>
    <w:lvl w:ilvl="4" w:tplc="5AB2C10E" w:tentative="1">
      <w:start w:val="1"/>
      <w:numFmt w:val="lowerLetter"/>
      <w:lvlText w:val="%5."/>
      <w:lvlJc w:val="left"/>
      <w:pPr>
        <w:tabs>
          <w:tab w:val="num" w:pos="3960"/>
        </w:tabs>
        <w:ind w:left="3960" w:hanging="360"/>
      </w:pPr>
    </w:lvl>
    <w:lvl w:ilvl="5" w:tplc="A99A2704" w:tentative="1">
      <w:start w:val="1"/>
      <w:numFmt w:val="lowerRoman"/>
      <w:lvlText w:val="%6."/>
      <w:lvlJc w:val="right"/>
      <w:pPr>
        <w:tabs>
          <w:tab w:val="num" w:pos="4680"/>
        </w:tabs>
        <w:ind w:left="4680" w:hanging="180"/>
      </w:pPr>
    </w:lvl>
    <w:lvl w:ilvl="6" w:tplc="20244566" w:tentative="1">
      <w:start w:val="1"/>
      <w:numFmt w:val="decimal"/>
      <w:lvlText w:val="%7."/>
      <w:lvlJc w:val="left"/>
      <w:pPr>
        <w:tabs>
          <w:tab w:val="num" w:pos="5400"/>
        </w:tabs>
        <w:ind w:left="5400" w:hanging="360"/>
      </w:pPr>
    </w:lvl>
    <w:lvl w:ilvl="7" w:tplc="DC70747C" w:tentative="1">
      <w:start w:val="1"/>
      <w:numFmt w:val="lowerLetter"/>
      <w:lvlText w:val="%8."/>
      <w:lvlJc w:val="left"/>
      <w:pPr>
        <w:tabs>
          <w:tab w:val="num" w:pos="6120"/>
        </w:tabs>
        <w:ind w:left="6120" w:hanging="360"/>
      </w:pPr>
    </w:lvl>
    <w:lvl w:ilvl="8" w:tplc="3D8EC7D0" w:tentative="1">
      <w:start w:val="1"/>
      <w:numFmt w:val="lowerRoman"/>
      <w:lvlText w:val="%9."/>
      <w:lvlJc w:val="right"/>
      <w:pPr>
        <w:tabs>
          <w:tab w:val="num" w:pos="6840"/>
        </w:tabs>
        <w:ind w:left="6840" w:hanging="180"/>
      </w:pPr>
    </w:lvl>
  </w:abstractNum>
  <w:num w:numId="1">
    <w:abstractNumId w:val="32"/>
  </w:num>
  <w:num w:numId="2">
    <w:abstractNumId w:val="14"/>
  </w:num>
  <w:num w:numId="3">
    <w:abstractNumId w:val="1"/>
  </w:num>
  <w:num w:numId="4">
    <w:abstractNumId w:val="26"/>
  </w:num>
  <w:num w:numId="5">
    <w:abstractNumId w:val="0"/>
  </w:num>
  <w:num w:numId="6">
    <w:abstractNumId w:val="27"/>
  </w:num>
  <w:num w:numId="7">
    <w:abstractNumId w:val="20"/>
  </w:num>
  <w:num w:numId="8">
    <w:abstractNumId w:val="31"/>
  </w:num>
  <w:num w:numId="9">
    <w:abstractNumId w:val="17"/>
  </w:num>
  <w:num w:numId="10">
    <w:abstractNumId w:val="10"/>
  </w:num>
  <w:num w:numId="11">
    <w:abstractNumId w:val="2"/>
  </w:num>
  <w:num w:numId="12">
    <w:abstractNumId w:val="29"/>
  </w:num>
  <w:num w:numId="13">
    <w:abstractNumId w:val="3"/>
  </w:num>
  <w:num w:numId="14">
    <w:abstractNumId w:val="12"/>
  </w:num>
  <w:num w:numId="15">
    <w:abstractNumId w:val="19"/>
  </w:num>
  <w:num w:numId="16">
    <w:abstractNumId w:val="5"/>
  </w:num>
  <w:num w:numId="17">
    <w:abstractNumId w:val="24"/>
  </w:num>
  <w:num w:numId="18">
    <w:abstractNumId w:val="30"/>
  </w:num>
  <w:num w:numId="19">
    <w:abstractNumId w:val="9"/>
  </w:num>
  <w:num w:numId="20">
    <w:abstractNumId w:val="4"/>
  </w:num>
  <w:num w:numId="21">
    <w:abstractNumId w:val="6"/>
  </w:num>
  <w:num w:numId="22">
    <w:abstractNumId w:val="21"/>
  </w:num>
  <w:num w:numId="23">
    <w:abstractNumId w:val="8"/>
  </w:num>
  <w:num w:numId="24">
    <w:abstractNumId w:val="22"/>
  </w:num>
  <w:num w:numId="25">
    <w:abstractNumId w:val="11"/>
  </w:num>
  <w:num w:numId="26">
    <w:abstractNumId w:val="23"/>
  </w:num>
  <w:num w:numId="27">
    <w:abstractNumId w:val="15"/>
  </w:num>
  <w:num w:numId="28">
    <w:abstractNumId w:val="25"/>
  </w:num>
  <w:num w:numId="29">
    <w:abstractNumId w:val="7"/>
  </w:num>
  <w:num w:numId="30">
    <w:abstractNumId w:val="16"/>
  </w:num>
  <w:num w:numId="31">
    <w:abstractNumId w:val="28"/>
  </w:num>
  <w:num w:numId="32">
    <w:abstractNumId w:val="18"/>
  </w:num>
  <w:num w:numId="33">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396"/>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E54C5"/>
    <w:rsid w:val="0000003C"/>
    <w:rsid w:val="000000CE"/>
    <w:rsid w:val="000009CF"/>
    <w:rsid w:val="00000F20"/>
    <w:rsid w:val="000019DF"/>
    <w:rsid w:val="00001EB6"/>
    <w:rsid w:val="00001F20"/>
    <w:rsid w:val="00001FA5"/>
    <w:rsid w:val="00002855"/>
    <w:rsid w:val="00002FC8"/>
    <w:rsid w:val="00003084"/>
    <w:rsid w:val="000030A9"/>
    <w:rsid w:val="00003271"/>
    <w:rsid w:val="0000397E"/>
    <w:rsid w:val="000039EB"/>
    <w:rsid w:val="000040BE"/>
    <w:rsid w:val="0000425C"/>
    <w:rsid w:val="00004330"/>
    <w:rsid w:val="00004C10"/>
    <w:rsid w:val="00004C29"/>
    <w:rsid w:val="000050F3"/>
    <w:rsid w:val="000057A9"/>
    <w:rsid w:val="0000583F"/>
    <w:rsid w:val="00005ABF"/>
    <w:rsid w:val="00005C12"/>
    <w:rsid w:val="00005EBD"/>
    <w:rsid w:val="000060B5"/>
    <w:rsid w:val="0000618C"/>
    <w:rsid w:val="000066E6"/>
    <w:rsid w:val="00006967"/>
    <w:rsid w:val="00006A25"/>
    <w:rsid w:val="00006A6F"/>
    <w:rsid w:val="00006C22"/>
    <w:rsid w:val="00007298"/>
    <w:rsid w:val="000072B9"/>
    <w:rsid w:val="000072EC"/>
    <w:rsid w:val="0000755F"/>
    <w:rsid w:val="000077A6"/>
    <w:rsid w:val="00007973"/>
    <w:rsid w:val="00007CFD"/>
    <w:rsid w:val="000100C4"/>
    <w:rsid w:val="00010298"/>
    <w:rsid w:val="000104F4"/>
    <w:rsid w:val="00010817"/>
    <w:rsid w:val="00010B16"/>
    <w:rsid w:val="000114A9"/>
    <w:rsid w:val="00011859"/>
    <w:rsid w:val="00011C9A"/>
    <w:rsid w:val="00011CEC"/>
    <w:rsid w:val="00011F43"/>
    <w:rsid w:val="000122B2"/>
    <w:rsid w:val="000122F4"/>
    <w:rsid w:val="00012714"/>
    <w:rsid w:val="00012C97"/>
    <w:rsid w:val="00012D71"/>
    <w:rsid w:val="00012ED2"/>
    <w:rsid w:val="0001308E"/>
    <w:rsid w:val="000137C8"/>
    <w:rsid w:val="00013876"/>
    <w:rsid w:val="000138EE"/>
    <w:rsid w:val="00013932"/>
    <w:rsid w:val="00013EC1"/>
    <w:rsid w:val="00013EE4"/>
    <w:rsid w:val="0001429F"/>
    <w:rsid w:val="00014AA5"/>
    <w:rsid w:val="00014AD6"/>
    <w:rsid w:val="000150D6"/>
    <w:rsid w:val="00015327"/>
    <w:rsid w:val="00015914"/>
    <w:rsid w:val="00015B1E"/>
    <w:rsid w:val="00015B73"/>
    <w:rsid w:val="00015BAB"/>
    <w:rsid w:val="00015DD5"/>
    <w:rsid w:val="00016046"/>
    <w:rsid w:val="000163C1"/>
    <w:rsid w:val="000163E4"/>
    <w:rsid w:val="000164C6"/>
    <w:rsid w:val="00016959"/>
    <w:rsid w:val="0001713D"/>
    <w:rsid w:val="000172B0"/>
    <w:rsid w:val="00017958"/>
    <w:rsid w:val="00017B8E"/>
    <w:rsid w:val="00017F19"/>
    <w:rsid w:val="00020268"/>
    <w:rsid w:val="0002029C"/>
    <w:rsid w:val="0002053A"/>
    <w:rsid w:val="00020C1F"/>
    <w:rsid w:val="00021174"/>
    <w:rsid w:val="000211FF"/>
    <w:rsid w:val="0002143C"/>
    <w:rsid w:val="00022772"/>
    <w:rsid w:val="000228F2"/>
    <w:rsid w:val="00022A19"/>
    <w:rsid w:val="00022AA5"/>
    <w:rsid w:val="00022CCD"/>
    <w:rsid w:val="000236B9"/>
    <w:rsid w:val="000236DE"/>
    <w:rsid w:val="00023B9E"/>
    <w:rsid w:val="00023FAC"/>
    <w:rsid w:val="000243CB"/>
    <w:rsid w:val="000243D3"/>
    <w:rsid w:val="00024417"/>
    <w:rsid w:val="00024484"/>
    <w:rsid w:val="00024719"/>
    <w:rsid w:val="0002475D"/>
    <w:rsid w:val="00024880"/>
    <w:rsid w:val="000248C7"/>
    <w:rsid w:val="00024DD2"/>
    <w:rsid w:val="00024FED"/>
    <w:rsid w:val="000253B4"/>
    <w:rsid w:val="00025627"/>
    <w:rsid w:val="000258D5"/>
    <w:rsid w:val="00025CA1"/>
    <w:rsid w:val="00026609"/>
    <w:rsid w:val="00026951"/>
    <w:rsid w:val="00026A33"/>
    <w:rsid w:val="00027301"/>
    <w:rsid w:val="00027463"/>
    <w:rsid w:val="00027E83"/>
    <w:rsid w:val="00030093"/>
    <w:rsid w:val="0003039A"/>
    <w:rsid w:val="0003051E"/>
    <w:rsid w:val="000309F5"/>
    <w:rsid w:val="000311DD"/>
    <w:rsid w:val="0003174F"/>
    <w:rsid w:val="00031981"/>
    <w:rsid w:val="00031BC9"/>
    <w:rsid w:val="000326D8"/>
    <w:rsid w:val="00032817"/>
    <w:rsid w:val="000328E0"/>
    <w:rsid w:val="00032E7E"/>
    <w:rsid w:val="000336CD"/>
    <w:rsid w:val="00033734"/>
    <w:rsid w:val="000343F0"/>
    <w:rsid w:val="000344DF"/>
    <w:rsid w:val="0003463A"/>
    <w:rsid w:val="00034674"/>
    <w:rsid w:val="00034893"/>
    <w:rsid w:val="00034AF2"/>
    <w:rsid w:val="00034C80"/>
    <w:rsid w:val="00034CB0"/>
    <w:rsid w:val="000351BA"/>
    <w:rsid w:val="000352E5"/>
    <w:rsid w:val="000352ED"/>
    <w:rsid w:val="00035845"/>
    <w:rsid w:val="00036106"/>
    <w:rsid w:val="000361B0"/>
    <w:rsid w:val="00036353"/>
    <w:rsid w:val="00036497"/>
    <w:rsid w:val="00036530"/>
    <w:rsid w:val="000365D4"/>
    <w:rsid w:val="0003662E"/>
    <w:rsid w:val="000368E6"/>
    <w:rsid w:val="00036DCB"/>
    <w:rsid w:val="00036F32"/>
    <w:rsid w:val="00037075"/>
    <w:rsid w:val="000371FE"/>
    <w:rsid w:val="000372E1"/>
    <w:rsid w:val="00037327"/>
    <w:rsid w:val="0003738F"/>
    <w:rsid w:val="00037418"/>
    <w:rsid w:val="00037672"/>
    <w:rsid w:val="00037A04"/>
    <w:rsid w:val="00037DCC"/>
    <w:rsid w:val="00037E05"/>
    <w:rsid w:val="000406FA"/>
    <w:rsid w:val="0004093E"/>
    <w:rsid w:val="00040D4E"/>
    <w:rsid w:val="00040ECF"/>
    <w:rsid w:val="00041242"/>
    <w:rsid w:val="000412E7"/>
    <w:rsid w:val="0004144A"/>
    <w:rsid w:val="000414AE"/>
    <w:rsid w:val="00041860"/>
    <w:rsid w:val="00041903"/>
    <w:rsid w:val="00041D34"/>
    <w:rsid w:val="00041D97"/>
    <w:rsid w:val="00041E12"/>
    <w:rsid w:val="00041E30"/>
    <w:rsid w:val="000422C4"/>
    <w:rsid w:val="000432E9"/>
    <w:rsid w:val="00043455"/>
    <w:rsid w:val="000436F2"/>
    <w:rsid w:val="00043747"/>
    <w:rsid w:val="00043888"/>
    <w:rsid w:val="00043B6A"/>
    <w:rsid w:val="000440EB"/>
    <w:rsid w:val="00044444"/>
    <w:rsid w:val="000446CC"/>
    <w:rsid w:val="0004476D"/>
    <w:rsid w:val="000448CF"/>
    <w:rsid w:val="00045475"/>
    <w:rsid w:val="000458CE"/>
    <w:rsid w:val="00045C89"/>
    <w:rsid w:val="00045D01"/>
    <w:rsid w:val="00045DB3"/>
    <w:rsid w:val="00046385"/>
    <w:rsid w:val="00046AF6"/>
    <w:rsid w:val="00046E55"/>
    <w:rsid w:val="000472B9"/>
    <w:rsid w:val="000476DC"/>
    <w:rsid w:val="000478C8"/>
    <w:rsid w:val="00047F4B"/>
    <w:rsid w:val="00047FE9"/>
    <w:rsid w:val="000508D8"/>
    <w:rsid w:val="00050948"/>
    <w:rsid w:val="00050B99"/>
    <w:rsid w:val="00050BF1"/>
    <w:rsid w:val="00050C95"/>
    <w:rsid w:val="00050E39"/>
    <w:rsid w:val="0005131F"/>
    <w:rsid w:val="000514CA"/>
    <w:rsid w:val="00051A0B"/>
    <w:rsid w:val="00051AF3"/>
    <w:rsid w:val="00051F6B"/>
    <w:rsid w:val="0005238A"/>
    <w:rsid w:val="0005279C"/>
    <w:rsid w:val="00052DF1"/>
    <w:rsid w:val="0005330D"/>
    <w:rsid w:val="0005386F"/>
    <w:rsid w:val="000541EE"/>
    <w:rsid w:val="000546B1"/>
    <w:rsid w:val="00054A46"/>
    <w:rsid w:val="00054BED"/>
    <w:rsid w:val="00054D6F"/>
    <w:rsid w:val="00055336"/>
    <w:rsid w:val="000556CF"/>
    <w:rsid w:val="000557CB"/>
    <w:rsid w:val="00055995"/>
    <w:rsid w:val="00055AEC"/>
    <w:rsid w:val="00055C08"/>
    <w:rsid w:val="00056562"/>
    <w:rsid w:val="0005665C"/>
    <w:rsid w:val="000566D4"/>
    <w:rsid w:val="000569AC"/>
    <w:rsid w:val="00056DE1"/>
    <w:rsid w:val="000574BE"/>
    <w:rsid w:val="00057533"/>
    <w:rsid w:val="000575C0"/>
    <w:rsid w:val="00057D2E"/>
    <w:rsid w:val="0006081C"/>
    <w:rsid w:val="000608CF"/>
    <w:rsid w:val="00060C6F"/>
    <w:rsid w:val="00060DE7"/>
    <w:rsid w:val="00060F04"/>
    <w:rsid w:val="0006121A"/>
    <w:rsid w:val="00061766"/>
    <w:rsid w:val="000617BE"/>
    <w:rsid w:val="00061CC7"/>
    <w:rsid w:val="00061F14"/>
    <w:rsid w:val="000621EF"/>
    <w:rsid w:val="00062DBF"/>
    <w:rsid w:val="00062FF0"/>
    <w:rsid w:val="000630D0"/>
    <w:rsid w:val="00063358"/>
    <w:rsid w:val="00063834"/>
    <w:rsid w:val="00063932"/>
    <w:rsid w:val="000639EC"/>
    <w:rsid w:val="00063B19"/>
    <w:rsid w:val="00063CAD"/>
    <w:rsid w:val="00063EDC"/>
    <w:rsid w:val="0006497F"/>
    <w:rsid w:val="000656AD"/>
    <w:rsid w:val="00065CCD"/>
    <w:rsid w:val="00065D63"/>
    <w:rsid w:val="00065FB5"/>
    <w:rsid w:val="00065FF9"/>
    <w:rsid w:val="00066A2F"/>
    <w:rsid w:val="00066E17"/>
    <w:rsid w:val="00067802"/>
    <w:rsid w:val="00067C8E"/>
    <w:rsid w:val="00067D9E"/>
    <w:rsid w:val="000702B2"/>
    <w:rsid w:val="00070343"/>
    <w:rsid w:val="000705AF"/>
    <w:rsid w:val="000708D3"/>
    <w:rsid w:val="00070F27"/>
    <w:rsid w:val="00071092"/>
    <w:rsid w:val="0007179E"/>
    <w:rsid w:val="00071B50"/>
    <w:rsid w:val="00071C5E"/>
    <w:rsid w:val="00071EEB"/>
    <w:rsid w:val="00071F5B"/>
    <w:rsid w:val="00072163"/>
    <w:rsid w:val="00072397"/>
    <w:rsid w:val="0007282D"/>
    <w:rsid w:val="00072ED0"/>
    <w:rsid w:val="0007373B"/>
    <w:rsid w:val="00073780"/>
    <w:rsid w:val="000738D2"/>
    <w:rsid w:val="00073F99"/>
    <w:rsid w:val="000740A3"/>
    <w:rsid w:val="0007429B"/>
    <w:rsid w:val="00074488"/>
    <w:rsid w:val="000744F3"/>
    <w:rsid w:val="000749C6"/>
    <w:rsid w:val="000749EB"/>
    <w:rsid w:val="00074EBA"/>
    <w:rsid w:val="00075173"/>
    <w:rsid w:val="00075932"/>
    <w:rsid w:val="00076ABC"/>
    <w:rsid w:val="00076C0C"/>
    <w:rsid w:val="000770FB"/>
    <w:rsid w:val="00077B57"/>
    <w:rsid w:val="00080060"/>
    <w:rsid w:val="000803DB"/>
    <w:rsid w:val="00080621"/>
    <w:rsid w:val="00080688"/>
    <w:rsid w:val="00080A8D"/>
    <w:rsid w:val="00080AB3"/>
    <w:rsid w:val="00080B67"/>
    <w:rsid w:val="00080DBB"/>
    <w:rsid w:val="000812E0"/>
    <w:rsid w:val="0008162C"/>
    <w:rsid w:val="00081824"/>
    <w:rsid w:val="000824AC"/>
    <w:rsid w:val="00082837"/>
    <w:rsid w:val="0008299B"/>
    <w:rsid w:val="00082D89"/>
    <w:rsid w:val="00082E69"/>
    <w:rsid w:val="00082FE0"/>
    <w:rsid w:val="0008318E"/>
    <w:rsid w:val="00083548"/>
    <w:rsid w:val="00084757"/>
    <w:rsid w:val="00084920"/>
    <w:rsid w:val="00085461"/>
    <w:rsid w:val="00085D2C"/>
    <w:rsid w:val="00085FD4"/>
    <w:rsid w:val="00086074"/>
    <w:rsid w:val="00086923"/>
    <w:rsid w:val="00086C0F"/>
    <w:rsid w:val="00086C70"/>
    <w:rsid w:val="00086E88"/>
    <w:rsid w:val="0008703C"/>
    <w:rsid w:val="000870D1"/>
    <w:rsid w:val="000871AA"/>
    <w:rsid w:val="00087217"/>
    <w:rsid w:val="00087568"/>
    <w:rsid w:val="00087D9C"/>
    <w:rsid w:val="00090A15"/>
    <w:rsid w:val="00090B8D"/>
    <w:rsid w:val="00091110"/>
    <w:rsid w:val="0009112A"/>
    <w:rsid w:val="00091772"/>
    <w:rsid w:val="00091B10"/>
    <w:rsid w:val="00091C03"/>
    <w:rsid w:val="00091F1C"/>
    <w:rsid w:val="00092748"/>
    <w:rsid w:val="00092781"/>
    <w:rsid w:val="00092824"/>
    <w:rsid w:val="00092DF1"/>
    <w:rsid w:val="00093482"/>
    <w:rsid w:val="00093504"/>
    <w:rsid w:val="00093573"/>
    <w:rsid w:val="00093E14"/>
    <w:rsid w:val="00093F53"/>
    <w:rsid w:val="0009419C"/>
    <w:rsid w:val="00094503"/>
    <w:rsid w:val="000952FA"/>
    <w:rsid w:val="00095557"/>
    <w:rsid w:val="00095A93"/>
    <w:rsid w:val="00095DFE"/>
    <w:rsid w:val="00095F13"/>
    <w:rsid w:val="0009615C"/>
    <w:rsid w:val="000961AC"/>
    <w:rsid w:val="000969D3"/>
    <w:rsid w:val="00096A9C"/>
    <w:rsid w:val="00096D78"/>
    <w:rsid w:val="000973CA"/>
    <w:rsid w:val="00097CF2"/>
    <w:rsid w:val="000A02D5"/>
    <w:rsid w:val="000A0EF3"/>
    <w:rsid w:val="000A103F"/>
    <w:rsid w:val="000A125F"/>
    <w:rsid w:val="000A1702"/>
    <w:rsid w:val="000A192F"/>
    <w:rsid w:val="000A1DA2"/>
    <w:rsid w:val="000A1DDD"/>
    <w:rsid w:val="000A1EAD"/>
    <w:rsid w:val="000A1FB0"/>
    <w:rsid w:val="000A2126"/>
    <w:rsid w:val="000A2143"/>
    <w:rsid w:val="000A221F"/>
    <w:rsid w:val="000A2710"/>
    <w:rsid w:val="000A2CD4"/>
    <w:rsid w:val="000A340A"/>
    <w:rsid w:val="000A3559"/>
    <w:rsid w:val="000A3792"/>
    <w:rsid w:val="000A4246"/>
    <w:rsid w:val="000A42B5"/>
    <w:rsid w:val="000A4E54"/>
    <w:rsid w:val="000A5217"/>
    <w:rsid w:val="000A534F"/>
    <w:rsid w:val="000A5390"/>
    <w:rsid w:val="000A5AF1"/>
    <w:rsid w:val="000A5EE3"/>
    <w:rsid w:val="000A620D"/>
    <w:rsid w:val="000A63B8"/>
    <w:rsid w:val="000A6D0D"/>
    <w:rsid w:val="000A6E79"/>
    <w:rsid w:val="000A6ECE"/>
    <w:rsid w:val="000A738F"/>
    <w:rsid w:val="000A777B"/>
    <w:rsid w:val="000A7DD4"/>
    <w:rsid w:val="000A7F18"/>
    <w:rsid w:val="000B014F"/>
    <w:rsid w:val="000B0602"/>
    <w:rsid w:val="000B0B56"/>
    <w:rsid w:val="000B1226"/>
    <w:rsid w:val="000B141F"/>
    <w:rsid w:val="000B14D9"/>
    <w:rsid w:val="000B200B"/>
    <w:rsid w:val="000B20D2"/>
    <w:rsid w:val="000B223D"/>
    <w:rsid w:val="000B2998"/>
    <w:rsid w:val="000B2A7E"/>
    <w:rsid w:val="000B2CDF"/>
    <w:rsid w:val="000B31F5"/>
    <w:rsid w:val="000B3226"/>
    <w:rsid w:val="000B3499"/>
    <w:rsid w:val="000B3729"/>
    <w:rsid w:val="000B3994"/>
    <w:rsid w:val="000B39E9"/>
    <w:rsid w:val="000B3AFA"/>
    <w:rsid w:val="000B3B34"/>
    <w:rsid w:val="000B3E87"/>
    <w:rsid w:val="000B3ED9"/>
    <w:rsid w:val="000B41EA"/>
    <w:rsid w:val="000B4488"/>
    <w:rsid w:val="000B4C06"/>
    <w:rsid w:val="000B4D57"/>
    <w:rsid w:val="000B4D94"/>
    <w:rsid w:val="000B5202"/>
    <w:rsid w:val="000B5370"/>
    <w:rsid w:val="000B563C"/>
    <w:rsid w:val="000B56B5"/>
    <w:rsid w:val="000B5795"/>
    <w:rsid w:val="000B5A2A"/>
    <w:rsid w:val="000B5BE2"/>
    <w:rsid w:val="000B5EF7"/>
    <w:rsid w:val="000B6108"/>
    <w:rsid w:val="000B69C2"/>
    <w:rsid w:val="000B6C00"/>
    <w:rsid w:val="000B71C1"/>
    <w:rsid w:val="000B7331"/>
    <w:rsid w:val="000B74B1"/>
    <w:rsid w:val="000B7E2B"/>
    <w:rsid w:val="000B7F78"/>
    <w:rsid w:val="000C00DE"/>
    <w:rsid w:val="000C014A"/>
    <w:rsid w:val="000C0428"/>
    <w:rsid w:val="000C044F"/>
    <w:rsid w:val="000C0481"/>
    <w:rsid w:val="000C05C4"/>
    <w:rsid w:val="000C0E01"/>
    <w:rsid w:val="000C0F19"/>
    <w:rsid w:val="000C1264"/>
    <w:rsid w:val="000C1528"/>
    <w:rsid w:val="000C1736"/>
    <w:rsid w:val="000C1D5D"/>
    <w:rsid w:val="000C1DB2"/>
    <w:rsid w:val="000C2A21"/>
    <w:rsid w:val="000C2B2B"/>
    <w:rsid w:val="000C3074"/>
    <w:rsid w:val="000C315A"/>
    <w:rsid w:val="000C32C1"/>
    <w:rsid w:val="000C339F"/>
    <w:rsid w:val="000C34AF"/>
    <w:rsid w:val="000C377A"/>
    <w:rsid w:val="000C410F"/>
    <w:rsid w:val="000C4330"/>
    <w:rsid w:val="000C47BC"/>
    <w:rsid w:val="000C515E"/>
    <w:rsid w:val="000C51D9"/>
    <w:rsid w:val="000C51E8"/>
    <w:rsid w:val="000C5696"/>
    <w:rsid w:val="000C57DA"/>
    <w:rsid w:val="000C59FD"/>
    <w:rsid w:val="000C5A63"/>
    <w:rsid w:val="000C5CF1"/>
    <w:rsid w:val="000C5DE3"/>
    <w:rsid w:val="000C5FD0"/>
    <w:rsid w:val="000C6056"/>
    <w:rsid w:val="000C677A"/>
    <w:rsid w:val="000C6803"/>
    <w:rsid w:val="000C686E"/>
    <w:rsid w:val="000C68FA"/>
    <w:rsid w:val="000C6BB4"/>
    <w:rsid w:val="000C6DC4"/>
    <w:rsid w:val="000C6E59"/>
    <w:rsid w:val="000D04C1"/>
    <w:rsid w:val="000D05D6"/>
    <w:rsid w:val="000D0857"/>
    <w:rsid w:val="000D09DD"/>
    <w:rsid w:val="000D0B97"/>
    <w:rsid w:val="000D0DEE"/>
    <w:rsid w:val="000D1180"/>
    <w:rsid w:val="000D1264"/>
    <w:rsid w:val="000D13C7"/>
    <w:rsid w:val="000D178F"/>
    <w:rsid w:val="000D17E2"/>
    <w:rsid w:val="000D1E5F"/>
    <w:rsid w:val="000D2773"/>
    <w:rsid w:val="000D373D"/>
    <w:rsid w:val="000D382F"/>
    <w:rsid w:val="000D392E"/>
    <w:rsid w:val="000D3BF4"/>
    <w:rsid w:val="000D3D46"/>
    <w:rsid w:val="000D3E3E"/>
    <w:rsid w:val="000D4BC0"/>
    <w:rsid w:val="000D4CF5"/>
    <w:rsid w:val="000D5556"/>
    <w:rsid w:val="000D5B81"/>
    <w:rsid w:val="000D5DA6"/>
    <w:rsid w:val="000D5E40"/>
    <w:rsid w:val="000D5F4B"/>
    <w:rsid w:val="000D5FC0"/>
    <w:rsid w:val="000D6D67"/>
    <w:rsid w:val="000D6ED9"/>
    <w:rsid w:val="000D6F11"/>
    <w:rsid w:val="000D7D4D"/>
    <w:rsid w:val="000D7E37"/>
    <w:rsid w:val="000D7EE8"/>
    <w:rsid w:val="000D7F38"/>
    <w:rsid w:val="000E0030"/>
    <w:rsid w:val="000E02C5"/>
    <w:rsid w:val="000E03EC"/>
    <w:rsid w:val="000E0437"/>
    <w:rsid w:val="000E09DD"/>
    <w:rsid w:val="000E0EE6"/>
    <w:rsid w:val="000E14A8"/>
    <w:rsid w:val="000E196B"/>
    <w:rsid w:val="000E29D3"/>
    <w:rsid w:val="000E2E4B"/>
    <w:rsid w:val="000E2F57"/>
    <w:rsid w:val="000E3036"/>
    <w:rsid w:val="000E3678"/>
    <w:rsid w:val="000E3C8D"/>
    <w:rsid w:val="000E3F43"/>
    <w:rsid w:val="000E419E"/>
    <w:rsid w:val="000E42B0"/>
    <w:rsid w:val="000E4319"/>
    <w:rsid w:val="000E4435"/>
    <w:rsid w:val="000E44D8"/>
    <w:rsid w:val="000E47EF"/>
    <w:rsid w:val="000E4D20"/>
    <w:rsid w:val="000E546A"/>
    <w:rsid w:val="000E5936"/>
    <w:rsid w:val="000E5A3C"/>
    <w:rsid w:val="000E60EF"/>
    <w:rsid w:val="000E67D6"/>
    <w:rsid w:val="000E6F79"/>
    <w:rsid w:val="000E7030"/>
    <w:rsid w:val="000E74C0"/>
    <w:rsid w:val="000E7633"/>
    <w:rsid w:val="000E7759"/>
    <w:rsid w:val="000E7923"/>
    <w:rsid w:val="000F022C"/>
    <w:rsid w:val="000F0C30"/>
    <w:rsid w:val="000F0F2C"/>
    <w:rsid w:val="000F12BA"/>
    <w:rsid w:val="000F13C9"/>
    <w:rsid w:val="000F13D8"/>
    <w:rsid w:val="000F181C"/>
    <w:rsid w:val="000F1A4C"/>
    <w:rsid w:val="000F1EE9"/>
    <w:rsid w:val="000F2425"/>
    <w:rsid w:val="000F25E1"/>
    <w:rsid w:val="000F2741"/>
    <w:rsid w:val="000F2819"/>
    <w:rsid w:val="000F2A0F"/>
    <w:rsid w:val="000F2C4A"/>
    <w:rsid w:val="000F2D46"/>
    <w:rsid w:val="000F2EC6"/>
    <w:rsid w:val="000F304B"/>
    <w:rsid w:val="000F3758"/>
    <w:rsid w:val="000F4167"/>
    <w:rsid w:val="000F42AA"/>
    <w:rsid w:val="000F4649"/>
    <w:rsid w:val="000F4687"/>
    <w:rsid w:val="000F49C5"/>
    <w:rsid w:val="000F4EA2"/>
    <w:rsid w:val="000F4F77"/>
    <w:rsid w:val="000F542F"/>
    <w:rsid w:val="000F54F0"/>
    <w:rsid w:val="000F553D"/>
    <w:rsid w:val="000F56C5"/>
    <w:rsid w:val="000F5743"/>
    <w:rsid w:val="000F5AAE"/>
    <w:rsid w:val="000F5E59"/>
    <w:rsid w:val="000F5EFD"/>
    <w:rsid w:val="000F5F1D"/>
    <w:rsid w:val="000F65D5"/>
    <w:rsid w:val="000F684A"/>
    <w:rsid w:val="000F6A89"/>
    <w:rsid w:val="000F6A9C"/>
    <w:rsid w:val="000F6EB6"/>
    <w:rsid w:val="000F6FB5"/>
    <w:rsid w:val="000F75E2"/>
    <w:rsid w:val="000F7629"/>
    <w:rsid w:val="000F7E00"/>
    <w:rsid w:val="000F7E50"/>
    <w:rsid w:val="00100490"/>
    <w:rsid w:val="001006DB"/>
    <w:rsid w:val="00100D76"/>
    <w:rsid w:val="00101040"/>
    <w:rsid w:val="001013EC"/>
    <w:rsid w:val="00101947"/>
    <w:rsid w:val="001019F7"/>
    <w:rsid w:val="00101A40"/>
    <w:rsid w:val="00101A94"/>
    <w:rsid w:val="00101D48"/>
    <w:rsid w:val="001021B6"/>
    <w:rsid w:val="00102351"/>
    <w:rsid w:val="00102374"/>
    <w:rsid w:val="001023FB"/>
    <w:rsid w:val="001024F6"/>
    <w:rsid w:val="00102678"/>
    <w:rsid w:val="0010280A"/>
    <w:rsid w:val="001032E3"/>
    <w:rsid w:val="001032E4"/>
    <w:rsid w:val="00103326"/>
    <w:rsid w:val="001036D2"/>
    <w:rsid w:val="0010385B"/>
    <w:rsid w:val="00103A3A"/>
    <w:rsid w:val="00103EE6"/>
    <w:rsid w:val="00104405"/>
    <w:rsid w:val="00104485"/>
    <w:rsid w:val="00104649"/>
    <w:rsid w:val="00105023"/>
    <w:rsid w:val="0010508C"/>
    <w:rsid w:val="001056ED"/>
    <w:rsid w:val="00105839"/>
    <w:rsid w:val="001063C3"/>
    <w:rsid w:val="00106552"/>
    <w:rsid w:val="001065BD"/>
    <w:rsid w:val="001065ED"/>
    <w:rsid w:val="00106654"/>
    <w:rsid w:val="00106784"/>
    <w:rsid w:val="001069BC"/>
    <w:rsid w:val="00106A55"/>
    <w:rsid w:val="001072C2"/>
    <w:rsid w:val="00107A58"/>
    <w:rsid w:val="00107D98"/>
    <w:rsid w:val="00107DE9"/>
    <w:rsid w:val="00107F3B"/>
    <w:rsid w:val="00110624"/>
    <w:rsid w:val="00110803"/>
    <w:rsid w:val="0011093B"/>
    <w:rsid w:val="00110AEF"/>
    <w:rsid w:val="00110BE1"/>
    <w:rsid w:val="00110CAB"/>
    <w:rsid w:val="0011197F"/>
    <w:rsid w:val="00112192"/>
    <w:rsid w:val="001121CD"/>
    <w:rsid w:val="001122C3"/>
    <w:rsid w:val="001128A0"/>
    <w:rsid w:val="0011292D"/>
    <w:rsid w:val="00112B8F"/>
    <w:rsid w:val="00112DCD"/>
    <w:rsid w:val="00112EFC"/>
    <w:rsid w:val="00113491"/>
    <w:rsid w:val="00113C00"/>
    <w:rsid w:val="001142F9"/>
    <w:rsid w:val="0011437B"/>
    <w:rsid w:val="00114782"/>
    <w:rsid w:val="00114A9B"/>
    <w:rsid w:val="00114AE0"/>
    <w:rsid w:val="00115017"/>
    <w:rsid w:val="001151B0"/>
    <w:rsid w:val="0011531F"/>
    <w:rsid w:val="001159A0"/>
    <w:rsid w:val="001166F9"/>
    <w:rsid w:val="00116ED7"/>
    <w:rsid w:val="00116EE4"/>
    <w:rsid w:val="001176C5"/>
    <w:rsid w:val="00117B4F"/>
    <w:rsid w:val="001207E4"/>
    <w:rsid w:val="00121379"/>
    <w:rsid w:val="00121CCB"/>
    <w:rsid w:val="001227C4"/>
    <w:rsid w:val="00122DEB"/>
    <w:rsid w:val="00123095"/>
    <w:rsid w:val="00123A77"/>
    <w:rsid w:val="001240E7"/>
    <w:rsid w:val="00124597"/>
    <w:rsid w:val="0012471E"/>
    <w:rsid w:val="00124731"/>
    <w:rsid w:val="00124B83"/>
    <w:rsid w:val="00124BB4"/>
    <w:rsid w:val="00124E43"/>
    <w:rsid w:val="00124FE0"/>
    <w:rsid w:val="0012577B"/>
    <w:rsid w:val="001259E5"/>
    <w:rsid w:val="00125B20"/>
    <w:rsid w:val="00125F98"/>
    <w:rsid w:val="001261BA"/>
    <w:rsid w:val="0012633D"/>
    <w:rsid w:val="001264D3"/>
    <w:rsid w:val="001266E9"/>
    <w:rsid w:val="001267A8"/>
    <w:rsid w:val="00126951"/>
    <w:rsid w:val="00126B5F"/>
    <w:rsid w:val="00126C83"/>
    <w:rsid w:val="00126E99"/>
    <w:rsid w:val="001273AB"/>
    <w:rsid w:val="00127638"/>
    <w:rsid w:val="00127AFA"/>
    <w:rsid w:val="00127D4E"/>
    <w:rsid w:val="0013027F"/>
    <w:rsid w:val="00130520"/>
    <w:rsid w:val="00130611"/>
    <w:rsid w:val="0013071A"/>
    <w:rsid w:val="00130807"/>
    <w:rsid w:val="0013118F"/>
    <w:rsid w:val="00131734"/>
    <w:rsid w:val="00131B05"/>
    <w:rsid w:val="00131CBC"/>
    <w:rsid w:val="00131FE6"/>
    <w:rsid w:val="00132235"/>
    <w:rsid w:val="0013226B"/>
    <w:rsid w:val="001322BF"/>
    <w:rsid w:val="00132435"/>
    <w:rsid w:val="001324A8"/>
    <w:rsid w:val="001326D0"/>
    <w:rsid w:val="00132797"/>
    <w:rsid w:val="00132AD1"/>
    <w:rsid w:val="00133123"/>
    <w:rsid w:val="00133472"/>
    <w:rsid w:val="00133CC1"/>
    <w:rsid w:val="00134159"/>
    <w:rsid w:val="0013418A"/>
    <w:rsid w:val="001343F0"/>
    <w:rsid w:val="00134514"/>
    <w:rsid w:val="00134CE2"/>
    <w:rsid w:val="00134D2B"/>
    <w:rsid w:val="0013506E"/>
    <w:rsid w:val="0013599E"/>
    <w:rsid w:val="00135E08"/>
    <w:rsid w:val="001361A8"/>
    <w:rsid w:val="0013676B"/>
    <w:rsid w:val="001367BB"/>
    <w:rsid w:val="00136E7E"/>
    <w:rsid w:val="00136EC7"/>
    <w:rsid w:val="00137D23"/>
    <w:rsid w:val="00137D40"/>
    <w:rsid w:val="00137E0F"/>
    <w:rsid w:val="0014002D"/>
    <w:rsid w:val="0014049D"/>
    <w:rsid w:val="001407E6"/>
    <w:rsid w:val="001408BC"/>
    <w:rsid w:val="00140C30"/>
    <w:rsid w:val="001412C6"/>
    <w:rsid w:val="0014169C"/>
    <w:rsid w:val="00141789"/>
    <w:rsid w:val="001419BF"/>
    <w:rsid w:val="00141C72"/>
    <w:rsid w:val="00142507"/>
    <w:rsid w:val="0014260B"/>
    <w:rsid w:val="00142840"/>
    <w:rsid w:val="001428AB"/>
    <w:rsid w:val="001432A7"/>
    <w:rsid w:val="001436EE"/>
    <w:rsid w:val="00143B36"/>
    <w:rsid w:val="00143D30"/>
    <w:rsid w:val="00143E15"/>
    <w:rsid w:val="00144091"/>
    <w:rsid w:val="0014414A"/>
    <w:rsid w:val="00144729"/>
    <w:rsid w:val="0014478A"/>
    <w:rsid w:val="001447A8"/>
    <w:rsid w:val="00144980"/>
    <w:rsid w:val="001449EF"/>
    <w:rsid w:val="00144D25"/>
    <w:rsid w:val="00144E06"/>
    <w:rsid w:val="00144FDF"/>
    <w:rsid w:val="00145277"/>
    <w:rsid w:val="0014535A"/>
    <w:rsid w:val="00145364"/>
    <w:rsid w:val="00145482"/>
    <w:rsid w:val="00145500"/>
    <w:rsid w:val="00145770"/>
    <w:rsid w:val="001459A2"/>
    <w:rsid w:val="00145D8F"/>
    <w:rsid w:val="00145EA9"/>
    <w:rsid w:val="00145F21"/>
    <w:rsid w:val="00145F83"/>
    <w:rsid w:val="0014683B"/>
    <w:rsid w:val="00146CF2"/>
    <w:rsid w:val="00146CFA"/>
    <w:rsid w:val="0014700B"/>
    <w:rsid w:val="0014727B"/>
    <w:rsid w:val="00147770"/>
    <w:rsid w:val="0014794C"/>
    <w:rsid w:val="00147B99"/>
    <w:rsid w:val="00147F14"/>
    <w:rsid w:val="00150715"/>
    <w:rsid w:val="0015081B"/>
    <w:rsid w:val="00150BC1"/>
    <w:rsid w:val="001518C7"/>
    <w:rsid w:val="001518E3"/>
    <w:rsid w:val="001519D1"/>
    <w:rsid w:val="0015210F"/>
    <w:rsid w:val="0015236C"/>
    <w:rsid w:val="0015246C"/>
    <w:rsid w:val="00152569"/>
    <w:rsid w:val="00152E07"/>
    <w:rsid w:val="00152F54"/>
    <w:rsid w:val="00153067"/>
    <w:rsid w:val="00153179"/>
    <w:rsid w:val="0015347D"/>
    <w:rsid w:val="001537A6"/>
    <w:rsid w:val="00153A9E"/>
    <w:rsid w:val="00154024"/>
    <w:rsid w:val="00154335"/>
    <w:rsid w:val="001543D6"/>
    <w:rsid w:val="00154590"/>
    <w:rsid w:val="00154896"/>
    <w:rsid w:val="00154CDA"/>
    <w:rsid w:val="00154CF6"/>
    <w:rsid w:val="00154F51"/>
    <w:rsid w:val="00154FA7"/>
    <w:rsid w:val="00155496"/>
    <w:rsid w:val="00155593"/>
    <w:rsid w:val="00155741"/>
    <w:rsid w:val="0015608B"/>
    <w:rsid w:val="00156552"/>
    <w:rsid w:val="0015676E"/>
    <w:rsid w:val="00156C32"/>
    <w:rsid w:val="00156E01"/>
    <w:rsid w:val="00157158"/>
    <w:rsid w:val="00157214"/>
    <w:rsid w:val="0015742D"/>
    <w:rsid w:val="0016032E"/>
    <w:rsid w:val="001606CD"/>
    <w:rsid w:val="00160C03"/>
    <w:rsid w:val="00160F03"/>
    <w:rsid w:val="00161076"/>
    <w:rsid w:val="00161149"/>
    <w:rsid w:val="00161252"/>
    <w:rsid w:val="001614C1"/>
    <w:rsid w:val="0016183F"/>
    <w:rsid w:val="00161AA0"/>
    <w:rsid w:val="001625CB"/>
    <w:rsid w:val="00162771"/>
    <w:rsid w:val="00162E08"/>
    <w:rsid w:val="00162F17"/>
    <w:rsid w:val="00162FF2"/>
    <w:rsid w:val="00162FFC"/>
    <w:rsid w:val="0016329A"/>
    <w:rsid w:val="00163AD9"/>
    <w:rsid w:val="00163BF0"/>
    <w:rsid w:val="00164567"/>
    <w:rsid w:val="0016491B"/>
    <w:rsid w:val="00164BD5"/>
    <w:rsid w:val="00164C92"/>
    <w:rsid w:val="00164F8F"/>
    <w:rsid w:val="00165539"/>
    <w:rsid w:val="001656BF"/>
    <w:rsid w:val="00165C73"/>
    <w:rsid w:val="00165CAC"/>
    <w:rsid w:val="00165E8E"/>
    <w:rsid w:val="00166819"/>
    <w:rsid w:val="00166A00"/>
    <w:rsid w:val="0016708F"/>
    <w:rsid w:val="0016726F"/>
    <w:rsid w:val="00167468"/>
    <w:rsid w:val="001675AA"/>
    <w:rsid w:val="00167AE0"/>
    <w:rsid w:val="00167B33"/>
    <w:rsid w:val="00170E7A"/>
    <w:rsid w:val="001711EE"/>
    <w:rsid w:val="001713A2"/>
    <w:rsid w:val="00171565"/>
    <w:rsid w:val="00171991"/>
    <w:rsid w:val="00171B20"/>
    <w:rsid w:val="00171E4C"/>
    <w:rsid w:val="00172865"/>
    <w:rsid w:val="00172923"/>
    <w:rsid w:val="0017294D"/>
    <w:rsid w:val="00172AF6"/>
    <w:rsid w:val="00172C70"/>
    <w:rsid w:val="00172D63"/>
    <w:rsid w:val="00172D7B"/>
    <w:rsid w:val="00172E7F"/>
    <w:rsid w:val="0017316C"/>
    <w:rsid w:val="001736A7"/>
    <w:rsid w:val="00173DA7"/>
    <w:rsid w:val="0017403B"/>
    <w:rsid w:val="0017439A"/>
    <w:rsid w:val="0017471A"/>
    <w:rsid w:val="00174CAF"/>
    <w:rsid w:val="00174DD1"/>
    <w:rsid w:val="00175025"/>
    <w:rsid w:val="00175026"/>
    <w:rsid w:val="0017537B"/>
    <w:rsid w:val="00175387"/>
    <w:rsid w:val="0017541B"/>
    <w:rsid w:val="00175473"/>
    <w:rsid w:val="00175564"/>
    <w:rsid w:val="001758AE"/>
    <w:rsid w:val="0017597D"/>
    <w:rsid w:val="001764F6"/>
    <w:rsid w:val="0017675E"/>
    <w:rsid w:val="00176956"/>
    <w:rsid w:val="00177239"/>
    <w:rsid w:val="001774F6"/>
    <w:rsid w:val="00177CA8"/>
    <w:rsid w:val="00177EA2"/>
    <w:rsid w:val="00180139"/>
    <w:rsid w:val="0018047C"/>
    <w:rsid w:val="0018088C"/>
    <w:rsid w:val="00180944"/>
    <w:rsid w:val="00180A15"/>
    <w:rsid w:val="00180E0A"/>
    <w:rsid w:val="00180F3F"/>
    <w:rsid w:val="00181054"/>
    <w:rsid w:val="001810F8"/>
    <w:rsid w:val="00181288"/>
    <w:rsid w:val="0018150F"/>
    <w:rsid w:val="00181D6F"/>
    <w:rsid w:val="001823A6"/>
    <w:rsid w:val="00182A21"/>
    <w:rsid w:val="00182D57"/>
    <w:rsid w:val="00182DE5"/>
    <w:rsid w:val="00183579"/>
    <w:rsid w:val="00183A90"/>
    <w:rsid w:val="00183B06"/>
    <w:rsid w:val="00183B61"/>
    <w:rsid w:val="00183E97"/>
    <w:rsid w:val="00184742"/>
    <w:rsid w:val="00184A37"/>
    <w:rsid w:val="00184A76"/>
    <w:rsid w:val="00184D5F"/>
    <w:rsid w:val="0018612C"/>
    <w:rsid w:val="00186234"/>
    <w:rsid w:val="001863A0"/>
    <w:rsid w:val="00186A71"/>
    <w:rsid w:val="00186ECF"/>
    <w:rsid w:val="0018732D"/>
    <w:rsid w:val="00187771"/>
    <w:rsid w:val="001878B7"/>
    <w:rsid w:val="00187CC2"/>
    <w:rsid w:val="001902CD"/>
    <w:rsid w:val="001906CD"/>
    <w:rsid w:val="00190A0C"/>
    <w:rsid w:val="00190EC5"/>
    <w:rsid w:val="00190F83"/>
    <w:rsid w:val="001911B5"/>
    <w:rsid w:val="00191399"/>
    <w:rsid w:val="00191593"/>
    <w:rsid w:val="00192419"/>
    <w:rsid w:val="0019292B"/>
    <w:rsid w:val="00193033"/>
    <w:rsid w:val="001937D2"/>
    <w:rsid w:val="00193EFA"/>
    <w:rsid w:val="00193F88"/>
    <w:rsid w:val="001940CE"/>
    <w:rsid w:val="00194225"/>
    <w:rsid w:val="00194382"/>
    <w:rsid w:val="0019483F"/>
    <w:rsid w:val="00194FD4"/>
    <w:rsid w:val="00195557"/>
    <w:rsid w:val="00195AD9"/>
    <w:rsid w:val="0019608F"/>
    <w:rsid w:val="001963CF"/>
    <w:rsid w:val="001964F1"/>
    <w:rsid w:val="00196715"/>
    <w:rsid w:val="00196FDF"/>
    <w:rsid w:val="00197965"/>
    <w:rsid w:val="00197B6A"/>
    <w:rsid w:val="00197C60"/>
    <w:rsid w:val="00197DE0"/>
    <w:rsid w:val="001A052A"/>
    <w:rsid w:val="001A099D"/>
    <w:rsid w:val="001A0D29"/>
    <w:rsid w:val="001A0D42"/>
    <w:rsid w:val="001A104A"/>
    <w:rsid w:val="001A13FE"/>
    <w:rsid w:val="001A199F"/>
    <w:rsid w:val="001A22D3"/>
    <w:rsid w:val="001A2820"/>
    <w:rsid w:val="001A2BF6"/>
    <w:rsid w:val="001A2C35"/>
    <w:rsid w:val="001A2C6D"/>
    <w:rsid w:val="001A3460"/>
    <w:rsid w:val="001A3972"/>
    <w:rsid w:val="001A3FA2"/>
    <w:rsid w:val="001A44CC"/>
    <w:rsid w:val="001A5D36"/>
    <w:rsid w:val="001A6137"/>
    <w:rsid w:val="001A62C1"/>
    <w:rsid w:val="001A67C3"/>
    <w:rsid w:val="001A6B29"/>
    <w:rsid w:val="001A6D23"/>
    <w:rsid w:val="001A7019"/>
    <w:rsid w:val="001A7256"/>
    <w:rsid w:val="001A7D91"/>
    <w:rsid w:val="001A7E0B"/>
    <w:rsid w:val="001B009B"/>
    <w:rsid w:val="001B01C2"/>
    <w:rsid w:val="001B0719"/>
    <w:rsid w:val="001B07B2"/>
    <w:rsid w:val="001B08E6"/>
    <w:rsid w:val="001B12F9"/>
    <w:rsid w:val="001B13D9"/>
    <w:rsid w:val="001B143A"/>
    <w:rsid w:val="001B186D"/>
    <w:rsid w:val="001B18E5"/>
    <w:rsid w:val="001B1A33"/>
    <w:rsid w:val="001B1E06"/>
    <w:rsid w:val="001B21C2"/>
    <w:rsid w:val="001B24B3"/>
    <w:rsid w:val="001B267F"/>
    <w:rsid w:val="001B2C59"/>
    <w:rsid w:val="001B31A2"/>
    <w:rsid w:val="001B36E5"/>
    <w:rsid w:val="001B3DF7"/>
    <w:rsid w:val="001B3E4C"/>
    <w:rsid w:val="001B3EF8"/>
    <w:rsid w:val="001B41AD"/>
    <w:rsid w:val="001B4244"/>
    <w:rsid w:val="001B42D7"/>
    <w:rsid w:val="001B4589"/>
    <w:rsid w:val="001B4868"/>
    <w:rsid w:val="001B4B57"/>
    <w:rsid w:val="001B4E36"/>
    <w:rsid w:val="001B4E4E"/>
    <w:rsid w:val="001B4F62"/>
    <w:rsid w:val="001B502A"/>
    <w:rsid w:val="001B5331"/>
    <w:rsid w:val="001B5457"/>
    <w:rsid w:val="001B55D5"/>
    <w:rsid w:val="001B597D"/>
    <w:rsid w:val="001B5D94"/>
    <w:rsid w:val="001B5EA7"/>
    <w:rsid w:val="001B5ECB"/>
    <w:rsid w:val="001B6D29"/>
    <w:rsid w:val="001B7075"/>
    <w:rsid w:val="001B72E0"/>
    <w:rsid w:val="001B79FD"/>
    <w:rsid w:val="001B7CC9"/>
    <w:rsid w:val="001C04C0"/>
    <w:rsid w:val="001C0A82"/>
    <w:rsid w:val="001C0B04"/>
    <w:rsid w:val="001C0D02"/>
    <w:rsid w:val="001C0D61"/>
    <w:rsid w:val="001C0F22"/>
    <w:rsid w:val="001C1357"/>
    <w:rsid w:val="001C140C"/>
    <w:rsid w:val="001C1B36"/>
    <w:rsid w:val="001C1BD9"/>
    <w:rsid w:val="001C1EC0"/>
    <w:rsid w:val="001C2044"/>
    <w:rsid w:val="001C221E"/>
    <w:rsid w:val="001C2309"/>
    <w:rsid w:val="001C28D7"/>
    <w:rsid w:val="001C316F"/>
    <w:rsid w:val="001C3218"/>
    <w:rsid w:val="001C3545"/>
    <w:rsid w:val="001C3A7D"/>
    <w:rsid w:val="001C3C2D"/>
    <w:rsid w:val="001C3DCF"/>
    <w:rsid w:val="001C4118"/>
    <w:rsid w:val="001C44BB"/>
    <w:rsid w:val="001C45C5"/>
    <w:rsid w:val="001C4679"/>
    <w:rsid w:val="001C46EC"/>
    <w:rsid w:val="001C499C"/>
    <w:rsid w:val="001C4AC4"/>
    <w:rsid w:val="001C52E4"/>
    <w:rsid w:val="001C52FC"/>
    <w:rsid w:val="001C5407"/>
    <w:rsid w:val="001C5447"/>
    <w:rsid w:val="001C56DC"/>
    <w:rsid w:val="001C5B51"/>
    <w:rsid w:val="001C5F90"/>
    <w:rsid w:val="001C6048"/>
    <w:rsid w:val="001C616B"/>
    <w:rsid w:val="001C67D4"/>
    <w:rsid w:val="001C68B3"/>
    <w:rsid w:val="001C690D"/>
    <w:rsid w:val="001C69D8"/>
    <w:rsid w:val="001C6A38"/>
    <w:rsid w:val="001C6B2B"/>
    <w:rsid w:val="001C6C01"/>
    <w:rsid w:val="001C770D"/>
    <w:rsid w:val="001D01F9"/>
    <w:rsid w:val="001D0433"/>
    <w:rsid w:val="001D0D77"/>
    <w:rsid w:val="001D0DD1"/>
    <w:rsid w:val="001D184D"/>
    <w:rsid w:val="001D1C65"/>
    <w:rsid w:val="001D1EF6"/>
    <w:rsid w:val="001D236B"/>
    <w:rsid w:val="001D23C7"/>
    <w:rsid w:val="001D2753"/>
    <w:rsid w:val="001D27F7"/>
    <w:rsid w:val="001D2AC6"/>
    <w:rsid w:val="001D2B43"/>
    <w:rsid w:val="001D38BB"/>
    <w:rsid w:val="001D3994"/>
    <w:rsid w:val="001D3AE5"/>
    <w:rsid w:val="001D3C4B"/>
    <w:rsid w:val="001D3F43"/>
    <w:rsid w:val="001D42F3"/>
    <w:rsid w:val="001D48BE"/>
    <w:rsid w:val="001D4B3D"/>
    <w:rsid w:val="001D4BFE"/>
    <w:rsid w:val="001D50C3"/>
    <w:rsid w:val="001D5455"/>
    <w:rsid w:val="001D5632"/>
    <w:rsid w:val="001D56E3"/>
    <w:rsid w:val="001D579F"/>
    <w:rsid w:val="001D5AC6"/>
    <w:rsid w:val="001D5B36"/>
    <w:rsid w:val="001D5FC7"/>
    <w:rsid w:val="001D63A3"/>
    <w:rsid w:val="001D646B"/>
    <w:rsid w:val="001D65C6"/>
    <w:rsid w:val="001D67DD"/>
    <w:rsid w:val="001D6879"/>
    <w:rsid w:val="001D6BE3"/>
    <w:rsid w:val="001E061F"/>
    <w:rsid w:val="001E0626"/>
    <w:rsid w:val="001E1356"/>
    <w:rsid w:val="001E13D6"/>
    <w:rsid w:val="001E1737"/>
    <w:rsid w:val="001E1938"/>
    <w:rsid w:val="001E1AF8"/>
    <w:rsid w:val="001E1E27"/>
    <w:rsid w:val="001E2015"/>
    <w:rsid w:val="001E2588"/>
    <w:rsid w:val="001E3333"/>
    <w:rsid w:val="001E33AD"/>
    <w:rsid w:val="001E3624"/>
    <w:rsid w:val="001E375A"/>
    <w:rsid w:val="001E3ACA"/>
    <w:rsid w:val="001E3B2F"/>
    <w:rsid w:val="001E4196"/>
    <w:rsid w:val="001E47D4"/>
    <w:rsid w:val="001E494F"/>
    <w:rsid w:val="001E49BD"/>
    <w:rsid w:val="001E4CA1"/>
    <w:rsid w:val="001E52AD"/>
    <w:rsid w:val="001E54C5"/>
    <w:rsid w:val="001E552A"/>
    <w:rsid w:val="001E594C"/>
    <w:rsid w:val="001E6605"/>
    <w:rsid w:val="001E78C2"/>
    <w:rsid w:val="001E7C72"/>
    <w:rsid w:val="001E7D62"/>
    <w:rsid w:val="001E7FA0"/>
    <w:rsid w:val="001E7FC2"/>
    <w:rsid w:val="001F0118"/>
    <w:rsid w:val="001F039F"/>
    <w:rsid w:val="001F03AA"/>
    <w:rsid w:val="001F03B1"/>
    <w:rsid w:val="001F04DE"/>
    <w:rsid w:val="001F0B3C"/>
    <w:rsid w:val="001F106B"/>
    <w:rsid w:val="001F1466"/>
    <w:rsid w:val="001F1682"/>
    <w:rsid w:val="001F26FA"/>
    <w:rsid w:val="001F28A5"/>
    <w:rsid w:val="001F2CB8"/>
    <w:rsid w:val="001F2D23"/>
    <w:rsid w:val="001F3550"/>
    <w:rsid w:val="001F3687"/>
    <w:rsid w:val="001F3773"/>
    <w:rsid w:val="001F37E4"/>
    <w:rsid w:val="001F38FD"/>
    <w:rsid w:val="001F395E"/>
    <w:rsid w:val="001F3C28"/>
    <w:rsid w:val="001F3C6B"/>
    <w:rsid w:val="001F47A0"/>
    <w:rsid w:val="001F4AC5"/>
    <w:rsid w:val="001F4FBC"/>
    <w:rsid w:val="001F5900"/>
    <w:rsid w:val="001F5E87"/>
    <w:rsid w:val="001F5EAC"/>
    <w:rsid w:val="001F6EC4"/>
    <w:rsid w:val="001F71A5"/>
    <w:rsid w:val="001F7492"/>
    <w:rsid w:val="001F7692"/>
    <w:rsid w:val="001F79F4"/>
    <w:rsid w:val="001F7A0D"/>
    <w:rsid w:val="001F7E2D"/>
    <w:rsid w:val="001F7EAB"/>
    <w:rsid w:val="001F7F44"/>
    <w:rsid w:val="002007E6"/>
    <w:rsid w:val="00200B8F"/>
    <w:rsid w:val="00200EA2"/>
    <w:rsid w:val="002016E6"/>
    <w:rsid w:val="0020175B"/>
    <w:rsid w:val="0020199F"/>
    <w:rsid w:val="00201B95"/>
    <w:rsid w:val="00201C81"/>
    <w:rsid w:val="00202215"/>
    <w:rsid w:val="002026B5"/>
    <w:rsid w:val="002026B7"/>
    <w:rsid w:val="00202801"/>
    <w:rsid w:val="0020289D"/>
    <w:rsid w:val="002029E7"/>
    <w:rsid w:val="00202A83"/>
    <w:rsid w:val="00202A99"/>
    <w:rsid w:val="00202B47"/>
    <w:rsid w:val="00202EB7"/>
    <w:rsid w:val="00203180"/>
    <w:rsid w:val="002032BA"/>
    <w:rsid w:val="002033A6"/>
    <w:rsid w:val="002033C5"/>
    <w:rsid w:val="002035F2"/>
    <w:rsid w:val="00203AF6"/>
    <w:rsid w:val="00203F34"/>
    <w:rsid w:val="00204125"/>
    <w:rsid w:val="0020428E"/>
    <w:rsid w:val="0020436A"/>
    <w:rsid w:val="002045A1"/>
    <w:rsid w:val="002048B3"/>
    <w:rsid w:val="0020508A"/>
    <w:rsid w:val="0020529C"/>
    <w:rsid w:val="0020587A"/>
    <w:rsid w:val="002062BD"/>
    <w:rsid w:val="0020653D"/>
    <w:rsid w:val="00206735"/>
    <w:rsid w:val="002068D0"/>
    <w:rsid w:val="00206AF0"/>
    <w:rsid w:val="00206B48"/>
    <w:rsid w:val="00206C2A"/>
    <w:rsid w:val="00206DE4"/>
    <w:rsid w:val="0020718F"/>
    <w:rsid w:val="00207194"/>
    <w:rsid w:val="00207316"/>
    <w:rsid w:val="00207733"/>
    <w:rsid w:val="002077C5"/>
    <w:rsid w:val="0020789F"/>
    <w:rsid w:val="002078D1"/>
    <w:rsid w:val="00207A84"/>
    <w:rsid w:val="00207B11"/>
    <w:rsid w:val="00207F62"/>
    <w:rsid w:val="002100EA"/>
    <w:rsid w:val="00210311"/>
    <w:rsid w:val="0021071E"/>
    <w:rsid w:val="0021099D"/>
    <w:rsid w:val="00210AF1"/>
    <w:rsid w:val="00210B38"/>
    <w:rsid w:val="002112E1"/>
    <w:rsid w:val="00211406"/>
    <w:rsid w:val="002115DD"/>
    <w:rsid w:val="00211CC8"/>
    <w:rsid w:val="0021242E"/>
    <w:rsid w:val="0021257E"/>
    <w:rsid w:val="002129AA"/>
    <w:rsid w:val="00212EF1"/>
    <w:rsid w:val="00213B6F"/>
    <w:rsid w:val="002143F0"/>
    <w:rsid w:val="002146DB"/>
    <w:rsid w:val="0021575A"/>
    <w:rsid w:val="00215B63"/>
    <w:rsid w:val="00215BF4"/>
    <w:rsid w:val="00215D06"/>
    <w:rsid w:val="00216151"/>
    <w:rsid w:val="00216158"/>
    <w:rsid w:val="0021635E"/>
    <w:rsid w:val="00216621"/>
    <w:rsid w:val="00216799"/>
    <w:rsid w:val="002167E0"/>
    <w:rsid w:val="00216A82"/>
    <w:rsid w:val="00216BD9"/>
    <w:rsid w:val="00216C48"/>
    <w:rsid w:val="00216E65"/>
    <w:rsid w:val="00216EB9"/>
    <w:rsid w:val="002201FB"/>
    <w:rsid w:val="002206AB"/>
    <w:rsid w:val="002206CB"/>
    <w:rsid w:val="00220BC1"/>
    <w:rsid w:val="00220E64"/>
    <w:rsid w:val="00221469"/>
    <w:rsid w:val="0022162F"/>
    <w:rsid w:val="00221791"/>
    <w:rsid w:val="00221E66"/>
    <w:rsid w:val="0022272D"/>
    <w:rsid w:val="00222AF7"/>
    <w:rsid w:val="00222B13"/>
    <w:rsid w:val="00222B6C"/>
    <w:rsid w:val="00222CD6"/>
    <w:rsid w:val="002238AF"/>
    <w:rsid w:val="00223ACB"/>
    <w:rsid w:val="00223F61"/>
    <w:rsid w:val="0022443D"/>
    <w:rsid w:val="00224566"/>
    <w:rsid w:val="002247C6"/>
    <w:rsid w:val="00224AA2"/>
    <w:rsid w:val="00224D7A"/>
    <w:rsid w:val="00224F2F"/>
    <w:rsid w:val="002250A7"/>
    <w:rsid w:val="00225224"/>
    <w:rsid w:val="0022523A"/>
    <w:rsid w:val="00225281"/>
    <w:rsid w:val="00225AB9"/>
    <w:rsid w:val="00225B01"/>
    <w:rsid w:val="00226083"/>
    <w:rsid w:val="0022677F"/>
    <w:rsid w:val="00226A4A"/>
    <w:rsid w:val="002272CA"/>
    <w:rsid w:val="00227789"/>
    <w:rsid w:val="00227825"/>
    <w:rsid w:val="002278F0"/>
    <w:rsid w:val="002279F4"/>
    <w:rsid w:val="00227B57"/>
    <w:rsid w:val="00227E2E"/>
    <w:rsid w:val="002300C8"/>
    <w:rsid w:val="00230881"/>
    <w:rsid w:val="002309D4"/>
    <w:rsid w:val="0023100D"/>
    <w:rsid w:val="002310C4"/>
    <w:rsid w:val="00231132"/>
    <w:rsid w:val="002314F3"/>
    <w:rsid w:val="002321F8"/>
    <w:rsid w:val="00232574"/>
    <w:rsid w:val="002325E8"/>
    <w:rsid w:val="002327D5"/>
    <w:rsid w:val="002330B1"/>
    <w:rsid w:val="0023316F"/>
    <w:rsid w:val="00233185"/>
    <w:rsid w:val="0023386B"/>
    <w:rsid w:val="00233A05"/>
    <w:rsid w:val="00233A7D"/>
    <w:rsid w:val="00233C9A"/>
    <w:rsid w:val="0023401C"/>
    <w:rsid w:val="0023439D"/>
    <w:rsid w:val="0023466E"/>
    <w:rsid w:val="0023490B"/>
    <w:rsid w:val="00234D67"/>
    <w:rsid w:val="00235C10"/>
    <w:rsid w:val="002360A9"/>
    <w:rsid w:val="00236268"/>
    <w:rsid w:val="00236462"/>
    <w:rsid w:val="0023647D"/>
    <w:rsid w:val="00236723"/>
    <w:rsid w:val="00236A8D"/>
    <w:rsid w:val="00236B34"/>
    <w:rsid w:val="00236C4D"/>
    <w:rsid w:val="0023721D"/>
    <w:rsid w:val="00237577"/>
    <w:rsid w:val="00237EC4"/>
    <w:rsid w:val="002402F1"/>
    <w:rsid w:val="00240350"/>
    <w:rsid w:val="00241354"/>
    <w:rsid w:val="00241368"/>
    <w:rsid w:val="00241996"/>
    <w:rsid w:val="00241D04"/>
    <w:rsid w:val="00241E9E"/>
    <w:rsid w:val="0024246A"/>
    <w:rsid w:val="002434D9"/>
    <w:rsid w:val="0024352B"/>
    <w:rsid w:val="0024385A"/>
    <w:rsid w:val="00243A43"/>
    <w:rsid w:val="00244019"/>
    <w:rsid w:val="00244093"/>
    <w:rsid w:val="0024425C"/>
    <w:rsid w:val="00244416"/>
    <w:rsid w:val="00244499"/>
    <w:rsid w:val="0024454F"/>
    <w:rsid w:val="0024462D"/>
    <w:rsid w:val="00244F46"/>
    <w:rsid w:val="00245038"/>
    <w:rsid w:val="00245328"/>
    <w:rsid w:val="00245BAF"/>
    <w:rsid w:val="00245D40"/>
    <w:rsid w:val="00245E77"/>
    <w:rsid w:val="00245F68"/>
    <w:rsid w:val="00246105"/>
    <w:rsid w:val="00246174"/>
    <w:rsid w:val="00246187"/>
    <w:rsid w:val="00246A1D"/>
    <w:rsid w:val="00246AC3"/>
    <w:rsid w:val="00246B40"/>
    <w:rsid w:val="00246D28"/>
    <w:rsid w:val="00246FDD"/>
    <w:rsid w:val="00247C21"/>
    <w:rsid w:val="00250561"/>
    <w:rsid w:val="00250B86"/>
    <w:rsid w:val="0025108E"/>
    <w:rsid w:val="0025119F"/>
    <w:rsid w:val="0025194A"/>
    <w:rsid w:val="002519BD"/>
    <w:rsid w:val="00251AB6"/>
    <w:rsid w:val="00251D54"/>
    <w:rsid w:val="00251EC8"/>
    <w:rsid w:val="0025219E"/>
    <w:rsid w:val="0025224C"/>
    <w:rsid w:val="002526D3"/>
    <w:rsid w:val="00252709"/>
    <w:rsid w:val="0025281C"/>
    <w:rsid w:val="00252A29"/>
    <w:rsid w:val="002537C2"/>
    <w:rsid w:val="00253D3C"/>
    <w:rsid w:val="00253E19"/>
    <w:rsid w:val="00254306"/>
    <w:rsid w:val="002544D1"/>
    <w:rsid w:val="0025471C"/>
    <w:rsid w:val="0025473B"/>
    <w:rsid w:val="002548D4"/>
    <w:rsid w:val="002549FE"/>
    <w:rsid w:val="00254A36"/>
    <w:rsid w:val="00254AD7"/>
    <w:rsid w:val="00254CE4"/>
    <w:rsid w:val="00254D7A"/>
    <w:rsid w:val="0025545D"/>
    <w:rsid w:val="00255564"/>
    <w:rsid w:val="00255C0F"/>
    <w:rsid w:val="00255D9A"/>
    <w:rsid w:val="002561FF"/>
    <w:rsid w:val="002562C1"/>
    <w:rsid w:val="00256BDF"/>
    <w:rsid w:val="00256C59"/>
    <w:rsid w:val="00256E77"/>
    <w:rsid w:val="00256F52"/>
    <w:rsid w:val="00257210"/>
    <w:rsid w:val="0025778A"/>
    <w:rsid w:val="0025790B"/>
    <w:rsid w:val="00257A3F"/>
    <w:rsid w:val="00257BB5"/>
    <w:rsid w:val="002602D8"/>
    <w:rsid w:val="0026041C"/>
    <w:rsid w:val="0026083D"/>
    <w:rsid w:val="00260D05"/>
    <w:rsid w:val="0026138C"/>
    <w:rsid w:val="0026149C"/>
    <w:rsid w:val="00261509"/>
    <w:rsid w:val="002615D0"/>
    <w:rsid w:val="0026194A"/>
    <w:rsid w:val="00261A75"/>
    <w:rsid w:val="00261C6D"/>
    <w:rsid w:val="00261F9E"/>
    <w:rsid w:val="002620A0"/>
    <w:rsid w:val="0026210C"/>
    <w:rsid w:val="00262381"/>
    <w:rsid w:val="00262962"/>
    <w:rsid w:val="00262A15"/>
    <w:rsid w:val="00262F98"/>
    <w:rsid w:val="002636FD"/>
    <w:rsid w:val="002639C5"/>
    <w:rsid w:val="002639F7"/>
    <w:rsid w:val="00263F1B"/>
    <w:rsid w:val="00264847"/>
    <w:rsid w:val="00264863"/>
    <w:rsid w:val="00264E1E"/>
    <w:rsid w:val="00265174"/>
    <w:rsid w:val="00265AC4"/>
    <w:rsid w:val="00265C61"/>
    <w:rsid w:val="002661B1"/>
    <w:rsid w:val="002665CD"/>
    <w:rsid w:val="002665D4"/>
    <w:rsid w:val="002669A6"/>
    <w:rsid w:val="00266F7A"/>
    <w:rsid w:val="0026785C"/>
    <w:rsid w:val="00270613"/>
    <w:rsid w:val="00270BC7"/>
    <w:rsid w:val="00270CCD"/>
    <w:rsid w:val="00270D94"/>
    <w:rsid w:val="0027169D"/>
    <w:rsid w:val="00271E9F"/>
    <w:rsid w:val="00271F21"/>
    <w:rsid w:val="00272077"/>
    <w:rsid w:val="0027225C"/>
    <w:rsid w:val="002729CF"/>
    <w:rsid w:val="00272A8D"/>
    <w:rsid w:val="002730F6"/>
    <w:rsid w:val="002733E0"/>
    <w:rsid w:val="00273649"/>
    <w:rsid w:val="00273736"/>
    <w:rsid w:val="002738AE"/>
    <w:rsid w:val="0027444C"/>
    <w:rsid w:val="00274520"/>
    <w:rsid w:val="00274663"/>
    <w:rsid w:val="00274B5B"/>
    <w:rsid w:val="002754C9"/>
    <w:rsid w:val="002755F1"/>
    <w:rsid w:val="00275758"/>
    <w:rsid w:val="002759B8"/>
    <w:rsid w:val="00275EDE"/>
    <w:rsid w:val="00275F75"/>
    <w:rsid w:val="0027606D"/>
    <w:rsid w:val="0027655E"/>
    <w:rsid w:val="00276939"/>
    <w:rsid w:val="00276B6C"/>
    <w:rsid w:val="00276CED"/>
    <w:rsid w:val="00277588"/>
    <w:rsid w:val="002775CA"/>
    <w:rsid w:val="0027771F"/>
    <w:rsid w:val="002778E8"/>
    <w:rsid w:val="00277B23"/>
    <w:rsid w:val="00280595"/>
    <w:rsid w:val="002806A7"/>
    <w:rsid w:val="002809C1"/>
    <w:rsid w:val="00280B5A"/>
    <w:rsid w:val="0028108A"/>
    <w:rsid w:val="0028114C"/>
    <w:rsid w:val="00281632"/>
    <w:rsid w:val="00281925"/>
    <w:rsid w:val="00282097"/>
    <w:rsid w:val="0028270E"/>
    <w:rsid w:val="00282764"/>
    <w:rsid w:val="00282C1F"/>
    <w:rsid w:val="002830F5"/>
    <w:rsid w:val="002831E4"/>
    <w:rsid w:val="0028364F"/>
    <w:rsid w:val="00283B1D"/>
    <w:rsid w:val="002844AF"/>
    <w:rsid w:val="00284C4E"/>
    <w:rsid w:val="00285BDA"/>
    <w:rsid w:val="00285F74"/>
    <w:rsid w:val="002861FC"/>
    <w:rsid w:val="00286451"/>
    <w:rsid w:val="00286471"/>
    <w:rsid w:val="0028678D"/>
    <w:rsid w:val="00286A9B"/>
    <w:rsid w:val="00286BDB"/>
    <w:rsid w:val="00286BDF"/>
    <w:rsid w:val="00286C44"/>
    <w:rsid w:val="00286C5C"/>
    <w:rsid w:val="002870BD"/>
    <w:rsid w:val="00287182"/>
    <w:rsid w:val="00287374"/>
    <w:rsid w:val="00287A39"/>
    <w:rsid w:val="00290523"/>
    <w:rsid w:val="00290554"/>
    <w:rsid w:val="002905D0"/>
    <w:rsid w:val="002909F2"/>
    <w:rsid w:val="00290BC2"/>
    <w:rsid w:val="002912D2"/>
    <w:rsid w:val="00291AFA"/>
    <w:rsid w:val="002923A0"/>
    <w:rsid w:val="00292728"/>
    <w:rsid w:val="00292D88"/>
    <w:rsid w:val="00292E9E"/>
    <w:rsid w:val="00293524"/>
    <w:rsid w:val="0029360B"/>
    <w:rsid w:val="00293700"/>
    <w:rsid w:val="00293E83"/>
    <w:rsid w:val="00294159"/>
    <w:rsid w:val="00294204"/>
    <w:rsid w:val="00294324"/>
    <w:rsid w:val="0029445B"/>
    <w:rsid w:val="00294683"/>
    <w:rsid w:val="00294885"/>
    <w:rsid w:val="0029491D"/>
    <w:rsid w:val="00295622"/>
    <w:rsid w:val="00295949"/>
    <w:rsid w:val="002961C1"/>
    <w:rsid w:val="002963B2"/>
    <w:rsid w:val="002967E2"/>
    <w:rsid w:val="00296A87"/>
    <w:rsid w:val="00297065"/>
    <w:rsid w:val="0029741E"/>
    <w:rsid w:val="002974DB"/>
    <w:rsid w:val="00297585"/>
    <w:rsid w:val="002979E6"/>
    <w:rsid w:val="00297BA8"/>
    <w:rsid w:val="002A0186"/>
    <w:rsid w:val="002A02D2"/>
    <w:rsid w:val="002A048D"/>
    <w:rsid w:val="002A0871"/>
    <w:rsid w:val="002A0873"/>
    <w:rsid w:val="002A0CA1"/>
    <w:rsid w:val="002A145E"/>
    <w:rsid w:val="002A156D"/>
    <w:rsid w:val="002A1917"/>
    <w:rsid w:val="002A1E5C"/>
    <w:rsid w:val="002A27F6"/>
    <w:rsid w:val="002A2CEA"/>
    <w:rsid w:val="002A384D"/>
    <w:rsid w:val="002A390A"/>
    <w:rsid w:val="002A3AB7"/>
    <w:rsid w:val="002A420F"/>
    <w:rsid w:val="002A43AA"/>
    <w:rsid w:val="002A46D4"/>
    <w:rsid w:val="002A4FEB"/>
    <w:rsid w:val="002A5460"/>
    <w:rsid w:val="002A56A6"/>
    <w:rsid w:val="002A57C5"/>
    <w:rsid w:val="002A59B7"/>
    <w:rsid w:val="002A5FC1"/>
    <w:rsid w:val="002A66D2"/>
    <w:rsid w:val="002A6C1A"/>
    <w:rsid w:val="002A6D75"/>
    <w:rsid w:val="002A7257"/>
    <w:rsid w:val="002A74AC"/>
    <w:rsid w:val="002A772F"/>
    <w:rsid w:val="002A7CA0"/>
    <w:rsid w:val="002B0122"/>
    <w:rsid w:val="002B0E28"/>
    <w:rsid w:val="002B1982"/>
    <w:rsid w:val="002B2778"/>
    <w:rsid w:val="002B2A61"/>
    <w:rsid w:val="002B2C51"/>
    <w:rsid w:val="002B2F67"/>
    <w:rsid w:val="002B31E2"/>
    <w:rsid w:val="002B37CF"/>
    <w:rsid w:val="002B3AF1"/>
    <w:rsid w:val="002B3DFF"/>
    <w:rsid w:val="002B3E18"/>
    <w:rsid w:val="002B3E72"/>
    <w:rsid w:val="002B4122"/>
    <w:rsid w:val="002B4223"/>
    <w:rsid w:val="002B4295"/>
    <w:rsid w:val="002B461A"/>
    <w:rsid w:val="002B486C"/>
    <w:rsid w:val="002B5732"/>
    <w:rsid w:val="002B5815"/>
    <w:rsid w:val="002B5B37"/>
    <w:rsid w:val="002B5C2F"/>
    <w:rsid w:val="002B5FB6"/>
    <w:rsid w:val="002B6163"/>
    <w:rsid w:val="002B624F"/>
    <w:rsid w:val="002B6413"/>
    <w:rsid w:val="002B6784"/>
    <w:rsid w:val="002B69A1"/>
    <w:rsid w:val="002B6A1A"/>
    <w:rsid w:val="002B6F4F"/>
    <w:rsid w:val="002B72A8"/>
    <w:rsid w:val="002B72D3"/>
    <w:rsid w:val="002B7422"/>
    <w:rsid w:val="002B7712"/>
    <w:rsid w:val="002B791B"/>
    <w:rsid w:val="002C0048"/>
    <w:rsid w:val="002C02C7"/>
    <w:rsid w:val="002C0A1D"/>
    <w:rsid w:val="002C0D13"/>
    <w:rsid w:val="002C0D35"/>
    <w:rsid w:val="002C1F88"/>
    <w:rsid w:val="002C237A"/>
    <w:rsid w:val="002C2418"/>
    <w:rsid w:val="002C24E1"/>
    <w:rsid w:val="002C27A1"/>
    <w:rsid w:val="002C2964"/>
    <w:rsid w:val="002C2A26"/>
    <w:rsid w:val="002C3216"/>
    <w:rsid w:val="002C348E"/>
    <w:rsid w:val="002C3D22"/>
    <w:rsid w:val="002C3E36"/>
    <w:rsid w:val="002C3EA9"/>
    <w:rsid w:val="002C4381"/>
    <w:rsid w:val="002C443A"/>
    <w:rsid w:val="002C4544"/>
    <w:rsid w:val="002C479D"/>
    <w:rsid w:val="002C4A11"/>
    <w:rsid w:val="002C52B0"/>
    <w:rsid w:val="002C55B8"/>
    <w:rsid w:val="002C55FE"/>
    <w:rsid w:val="002C56DD"/>
    <w:rsid w:val="002C5D93"/>
    <w:rsid w:val="002C6364"/>
    <w:rsid w:val="002C67DF"/>
    <w:rsid w:val="002C6C97"/>
    <w:rsid w:val="002C6DDA"/>
    <w:rsid w:val="002C70F0"/>
    <w:rsid w:val="002C7100"/>
    <w:rsid w:val="002C73C7"/>
    <w:rsid w:val="002C769E"/>
    <w:rsid w:val="002C771A"/>
    <w:rsid w:val="002C7842"/>
    <w:rsid w:val="002C7A30"/>
    <w:rsid w:val="002D0347"/>
    <w:rsid w:val="002D0607"/>
    <w:rsid w:val="002D0833"/>
    <w:rsid w:val="002D08A3"/>
    <w:rsid w:val="002D0A5C"/>
    <w:rsid w:val="002D0AC3"/>
    <w:rsid w:val="002D12FE"/>
    <w:rsid w:val="002D27E9"/>
    <w:rsid w:val="002D2952"/>
    <w:rsid w:val="002D2BB6"/>
    <w:rsid w:val="002D2C2E"/>
    <w:rsid w:val="002D2DDC"/>
    <w:rsid w:val="002D2F54"/>
    <w:rsid w:val="002D3079"/>
    <w:rsid w:val="002D30F4"/>
    <w:rsid w:val="002D30FB"/>
    <w:rsid w:val="002D3128"/>
    <w:rsid w:val="002D3BAE"/>
    <w:rsid w:val="002D41DA"/>
    <w:rsid w:val="002D4472"/>
    <w:rsid w:val="002D4686"/>
    <w:rsid w:val="002D4698"/>
    <w:rsid w:val="002D4832"/>
    <w:rsid w:val="002D4A36"/>
    <w:rsid w:val="002D4A45"/>
    <w:rsid w:val="002D4AAE"/>
    <w:rsid w:val="002D51E7"/>
    <w:rsid w:val="002D5298"/>
    <w:rsid w:val="002D5830"/>
    <w:rsid w:val="002D5870"/>
    <w:rsid w:val="002D59C0"/>
    <w:rsid w:val="002D5AD6"/>
    <w:rsid w:val="002D5F22"/>
    <w:rsid w:val="002D615F"/>
    <w:rsid w:val="002D68CB"/>
    <w:rsid w:val="002D6E2E"/>
    <w:rsid w:val="002D6FFB"/>
    <w:rsid w:val="002D73D1"/>
    <w:rsid w:val="002D79D2"/>
    <w:rsid w:val="002D7F2A"/>
    <w:rsid w:val="002E02F9"/>
    <w:rsid w:val="002E06A9"/>
    <w:rsid w:val="002E09A8"/>
    <w:rsid w:val="002E0C39"/>
    <w:rsid w:val="002E0C87"/>
    <w:rsid w:val="002E1106"/>
    <w:rsid w:val="002E142D"/>
    <w:rsid w:val="002E19C7"/>
    <w:rsid w:val="002E21EC"/>
    <w:rsid w:val="002E22AE"/>
    <w:rsid w:val="002E2396"/>
    <w:rsid w:val="002E25EB"/>
    <w:rsid w:val="002E270B"/>
    <w:rsid w:val="002E270D"/>
    <w:rsid w:val="002E29AC"/>
    <w:rsid w:val="002E2D39"/>
    <w:rsid w:val="002E3100"/>
    <w:rsid w:val="002E320E"/>
    <w:rsid w:val="002E3DF5"/>
    <w:rsid w:val="002E4556"/>
    <w:rsid w:val="002E4B3D"/>
    <w:rsid w:val="002E4DE1"/>
    <w:rsid w:val="002E53B2"/>
    <w:rsid w:val="002E5695"/>
    <w:rsid w:val="002E56BD"/>
    <w:rsid w:val="002E56F0"/>
    <w:rsid w:val="002E59B8"/>
    <w:rsid w:val="002E61B2"/>
    <w:rsid w:val="002E66B3"/>
    <w:rsid w:val="002E67DF"/>
    <w:rsid w:val="002E71C9"/>
    <w:rsid w:val="002E7613"/>
    <w:rsid w:val="002E76AB"/>
    <w:rsid w:val="002E7AA1"/>
    <w:rsid w:val="002E7C96"/>
    <w:rsid w:val="002F010F"/>
    <w:rsid w:val="002F034F"/>
    <w:rsid w:val="002F06A0"/>
    <w:rsid w:val="002F1385"/>
    <w:rsid w:val="002F19AE"/>
    <w:rsid w:val="002F1B79"/>
    <w:rsid w:val="002F1E88"/>
    <w:rsid w:val="002F21C8"/>
    <w:rsid w:val="002F265F"/>
    <w:rsid w:val="002F2A24"/>
    <w:rsid w:val="002F2BD6"/>
    <w:rsid w:val="002F2C58"/>
    <w:rsid w:val="002F2C61"/>
    <w:rsid w:val="002F2F44"/>
    <w:rsid w:val="002F31B0"/>
    <w:rsid w:val="002F34FB"/>
    <w:rsid w:val="002F3543"/>
    <w:rsid w:val="002F372E"/>
    <w:rsid w:val="002F3DF4"/>
    <w:rsid w:val="002F457C"/>
    <w:rsid w:val="002F4601"/>
    <w:rsid w:val="002F46D8"/>
    <w:rsid w:val="002F4A6C"/>
    <w:rsid w:val="002F4DBF"/>
    <w:rsid w:val="002F52A3"/>
    <w:rsid w:val="002F5365"/>
    <w:rsid w:val="002F57DE"/>
    <w:rsid w:val="002F5B66"/>
    <w:rsid w:val="002F5DE8"/>
    <w:rsid w:val="002F5E4C"/>
    <w:rsid w:val="002F6254"/>
    <w:rsid w:val="002F62FE"/>
    <w:rsid w:val="002F648B"/>
    <w:rsid w:val="002F64FD"/>
    <w:rsid w:val="002F6CB9"/>
    <w:rsid w:val="002F728C"/>
    <w:rsid w:val="002F7447"/>
    <w:rsid w:val="002F7643"/>
    <w:rsid w:val="002F78C9"/>
    <w:rsid w:val="002F7958"/>
    <w:rsid w:val="002F7CA1"/>
    <w:rsid w:val="00300052"/>
    <w:rsid w:val="0030066E"/>
    <w:rsid w:val="0030081B"/>
    <w:rsid w:val="00301349"/>
    <w:rsid w:val="0030147D"/>
    <w:rsid w:val="00301C99"/>
    <w:rsid w:val="00301F4A"/>
    <w:rsid w:val="003022BC"/>
    <w:rsid w:val="00302364"/>
    <w:rsid w:val="00302ADE"/>
    <w:rsid w:val="00303241"/>
    <w:rsid w:val="00303356"/>
    <w:rsid w:val="00303451"/>
    <w:rsid w:val="0030362A"/>
    <w:rsid w:val="003038E4"/>
    <w:rsid w:val="0030396C"/>
    <w:rsid w:val="00303D78"/>
    <w:rsid w:val="003042D4"/>
    <w:rsid w:val="00305B8A"/>
    <w:rsid w:val="00305F53"/>
    <w:rsid w:val="00305F72"/>
    <w:rsid w:val="0030602E"/>
    <w:rsid w:val="003062F5"/>
    <w:rsid w:val="003067E6"/>
    <w:rsid w:val="0030681D"/>
    <w:rsid w:val="00306A4D"/>
    <w:rsid w:val="00306BEA"/>
    <w:rsid w:val="00306E41"/>
    <w:rsid w:val="0030700D"/>
    <w:rsid w:val="00307561"/>
    <w:rsid w:val="003075CD"/>
    <w:rsid w:val="00307654"/>
    <w:rsid w:val="00307878"/>
    <w:rsid w:val="00307BB0"/>
    <w:rsid w:val="00307DE7"/>
    <w:rsid w:val="00310023"/>
    <w:rsid w:val="00310082"/>
    <w:rsid w:val="00310323"/>
    <w:rsid w:val="0031049C"/>
    <w:rsid w:val="00310A6A"/>
    <w:rsid w:val="00310C1A"/>
    <w:rsid w:val="00311114"/>
    <w:rsid w:val="00311124"/>
    <w:rsid w:val="003116F5"/>
    <w:rsid w:val="00311B7C"/>
    <w:rsid w:val="00313024"/>
    <w:rsid w:val="0031359E"/>
    <w:rsid w:val="003136EF"/>
    <w:rsid w:val="00313B26"/>
    <w:rsid w:val="00313C2E"/>
    <w:rsid w:val="00313DD6"/>
    <w:rsid w:val="00313EC5"/>
    <w:rsid w:val="0031436B"/>
    <w:rsid w:val="00314579"/>
    <w:rsid w:val="003149DA"/>
    <w:rsid w:val="0031530B"/>
    <w:rsid w:val="00315752"/>
    <w:rsid w:val="003158EA"/>
    <w:rsid w:val="003158EB"/>
    <w:rsid w:val="00316114"/>
    <w:rsid w:val="003162A2"/>
    <w:rsid w:val="003164B9"/>
    <w:rsid w:val="003168AE"/>
    <w:rsid w:val="00316B79"/>
    <w:rsid w:val="003170D1"/>
    <w:rsid w:val="0031749C"/>
    <w:rsid w:val="00317A08"/>
    <w:rsid w:val="00317AD4"/>
    <w:rsid w:val="00317AEA"/>
    <w:rsid w:val="00317BC1"/>
    <w:rsid w:val="00320620"/>
    <w:rsid w:val="003206B8"/>
    <w:rsid w:val="0032073D"/>
    <w:rsid w:val="00320EC2"/>
    <w:rsid w:val="00320F13"/>
    <w:rsid w:val="0032200D"/>
    <w:rsid w:val="003223EA"/>
    <w:rsid w:val="00322C47"/>
    <w:rsid w:val="00322D9F"/>
    <w:rsid w:val="00322E19"/>
    <w:rsid w:val="0032325C"/>
    <w:rsid w:val="003236D1"/>
    <w:rsid w:val="00323716"/>
    <w:rsid w:val="003238C8"/>
    <w:rsid w:val="00323A8A"/>
    <w:rsid w:val="00323F07"/>
    <w:rsid w:val="00323FA4"/>
    <w:rsid w:val="003241E6"/>
    <w:rsid w:val="00324354"/>
    <w:rsid w:val="00324533"/>
    <w:rsid w:val="003246DD"/>
    <w:rsid w:val="00324797"/>
    <w:rsid w:val="00324888"/>
    <w:rsid w:val="00324A96"/>
    <w:rsid w:val="00324BF5"/>
    <w:rsid w:val="00324E7C"/>
    <w:rsid w:val="003253EE"/>
    <w:rsid w:val="00325694"/>
    <w:rsid w:val="00325820"/>
    <w:rsid w:val="00325B0D"/>
    <w:rsid w:val="00326316"/>
    <w:rsid w:val="0032714B"/>
    <w:rsid w:val="003278D2"/>
    <w:rsid w:val="00327FF5"/>
    <w:rsid w:val="003306D8"/>
    <w:rsid w:val="00330AAC"/>
    <w:rsid w:val="00330B76"/>
    <w:rsid w:val="003314E2"/>
    <w:rsid w:val="00331955"/>
    <w:rsid w:val="00331F45"/>
    <w:rsid w:val="00332001"/>
    <w:rsid w:val="00332299"/>
    <w:rsid w:val="003322CD"/>
    <w:rsid w:val="0033255D"/>
    <w:rsid w:val="003325CF"/>
    <w:rsid w:val="0033272E"/>
    <w:rsid w:val="00332905"/>
    <w:rsid w:val="00332A39"/>
    <w:rsid w:val="00332A8C"/>
    <w:rsid w:val="00332A95"/>
    <w:rsid w:val="0033321C"/>
    <w:rsid w:val="00333672"/>
    <w:rsid w:val="00333A6E"/>
    <w:rsid w:val="00333C8B"/>
    <w:rsid w:val="00334191"/>
    <w:rsid w:val="00334388"/>
    <w:rsid w:val="00334428"/>
    <w:rsid w:val="0033459C"/>
    <w:rsid w:val="00334685"/>
    <w:rsid w:val="00334859"/>
    <w:rsid w:val="00334C9E"/>
    <w:rsid w:val="00334CC6"/>
    <w:rsid w:val="00334F79"/>
    <w:rsid w:val="00335006"/>
    <w:rsid w:val="003351CE"/>
    <w:rsid w:val="0033534E"/>
    <w:rsid w:val="00335D59"/>
    <w:rsid w:val="003366FC"/>
    <w:rsid w:val="00336A6C"/>
    <w:rsid w:val="00337079"/>
    <w:rsid w:val="0033709F"/>
    <w:rsid w:val="003371C3"/>
    <w:rsid w:val="003379CE"/>
    <w:rsid w:val="00337A7E"/>
    <w:rsid w:val="00337F87"/>
    <w:rsid w:val="003404D1"/>
    <w:rsid w:val="00340796"/>
    <w:rsid w:val="00340E66"/>
    <w:rsid w:val="0034118A"/>
    <w:rsid w:val="003411E9"/>
    <w:rsid w:val="00341472"/>
    <w:rsid w:val="003415F7"/>
    <w:rsid w:val="0034192D"/>
    <w:rsid w:val="00341F79"/>
    <w:rsid w:val="00342576"/>
    <w:rsid w:val="00342A04"/>
    <w:rsid w:val="00342B30"/>
    <w:rsid w:val="00342DD0"/>
    <w:rsid w:val="00343161"/>
    <w:rsid w:val="00343773"/>
    <w:rsid w:val="0034437F"/>
    <w:rsid w:val="003447BC"/>
    <w:rsid w:val="00345031"/>
    <w:rsid w:val="00345043"/>
    <w:rsid w:val="0034519E"/>
    <w:rsid w:val="003453D9"/>
    <w:rsid w:val="0034556D"/>
    <w:rsid w:val="003455E0"/>
    <w:rsid w:val="00345607"/>
    <w:rsid w:val="00345A33"/>
    <w:rsid w:val="00345A50"/>
    <w:rsid w:val="003467F8"/>
    <w:rsid w:val="00346835"/>
    <w:rsid w:val="00346A14"/>
    <w:rsid w:val="00346CAB"/>
    <w:rsid w:val="00346ECB"/>
    <w:rsid w:val="003470F7"/>
    <w:rsid w:val="003471F4"/>
    <w:rsid w:val="003473A9"/>
    <w:rsid w:val="0034740C"/>
    <w:rsid w:val="003503E9"/>
    <w:rsid w:val="00350616"/>
    <w:rsid w:val="003507B7"/>
    <w:rsid w:val="00350824"/>
    <w:rsid w:val="003508C2"/>
    <w:rsid w:val="00351528"/>
    <w:rsid w:val="003515C3"/>
    <w:rsid w:val="00351613"/>
    <w:rsid w:val="003518E3"/>
    <w:rsid w:val="00351C18"/>
    <w:rsid w:val="00351D74"/>
    <w:rsid w:val="00351DC1"/>
    <w:rsid w:val="00351EA6"/>
    <w:rsid w:val="003523A7"/>
    <w:rsid w:val="00352619"/>
    <w:rsid w:val="00352763"/>
    <w:rsid w:val="0035347D"/>
    <w:rsid w:val="00353E92"/>
    <w:rsid w:val="003540E4"/>
    <w:rsid w:val="0035475D"/>
    <w:rsid w:val="00354BF1"/>
    <w:rsid w:val="00354E0D"/>
    <w:rsid w:val="00354FCA"/>
    <w:rsid w:val="0035501E"/>
    <w:rsid w:val="00355085"/>
    <w:rsid w:val="00355581"/>
    <w:rsid w:val="00355C4E"/>
    <w:rsid w:val="003565A4"/>
    <w:rsid w:val="00356801"/>
    <w:rsid w:val="00356983"/>
    <w:rsid w:val="00356BA1"/>
    <w:rsid w:val="00356BF9"/>
    <w:rsid w:val="003573B1"/>
    <w:rsid w:val="00357540"/>
    <w:rsid w:val="00357A85"/>
    <w:rsid w:val="00357B18"/>
    <w:rsid w:val="00357B45"/>
    <w:rsid w:val="00357D10"/>
    <w:rsid w:val="0036030B"/>
    <w:rsid w:val="003609BC"/>
    <w:rsid w:val="00360AE7"/>
    <w:rsid w:val="00360B90"/>
    <w:rsid w:val="003611EA"/>
    <w:rsid w:val="0036147D"/>
    <w:rsid w:val="003614E5"/>
    <w:rsid w:val="003619B4"/>
    <w:rsid w:val="00361B81"/>
    <w:rsid w:val="00361E4D"/>
    <w:rsid w:val="003620A1"/>
    <w:rsid w:val="0036296E"/>
    <w:rsid w:val="00362D9A"/>
    <w:rsid w:val="00362F9D"/>
    <w:rsid w:val="00362FB3"/>
    <w:rsid w:val="003635DA"/>
    <w:rsid w:val="003636C1"/>
    <w:rsid w:val="0036395C"/>
    <w:rsid w:val="00363C8E"/>
    <w:rsid w:val="00364174"/>
    <w:rsid w:val="0036421E"/>
    <w:rsid w:val="0036467D"/>
    <w:rsid w:val="00364717"/>
    <w:rsid w:val="0036480C"/>
    <w:rsid w:val="003649D6"/>
    <w:rsid w:val="00364B36"/>
    <w:rsid w:val="00364EC9"/>
    <w:rsid w:val="00365042"/>
    <w:rsid w:val="003651F5"/>
    <w:rsid w:val="0036527C"/>
    <w:rsid w:val="003653EB"/>
    <w:rsid w:val="00365568"/>
    <w:rsid w:val="00365B24"/>
    <w:rsid w:val="00365CDD"/>
    <w:rsid w:val="0036620D"/>
    <w:rsid w:val="0036638C"/>
    <w:rsid w:val="00366B65"/>
    <w:rsid w:val="00366D51"/>
    <w:rsid w:val="00366EC5"/>
    <w:rsid w:val="00366F9E"/>
    <w:rsid w:val="0036716D"/>
    <w:rsid w:val="003671D9"/>
    <w:rsid w:val="003672A3"/>
    <w:rsid w:val="003673A0"/>
    <w:rsid w:val="00367464"/>
    <w:rsid w:val="00367D18"/>
    <w:rsid w:val="00370115"/>
    <w:rsid w:val="0037014A"/>
    <w:rsid w:val="003704F0"/>
    <w:rsid w:val="00370560"/>
    <w:rsid w:val="00370579"/>
    <w:rsid w:val="003706DA"/>
    <w:rsid w:val="00370A65"/>
    <w:rsid w:val="00370B78"/>
    <w:rsid w:val="00371185"/>
    <w:rsid w:val="00371499"/>
    <w:rsid w:val="00371847"/>
    <w:rsid w:val="00371849"/>
    <w:rsid w:val="00371B2A"/>
    <w:rsid w:val="00371E91"/>
    <w:rsid w:val="00372015"/>
    <w:rsid w:val="003728F0"/>
    <w:rsid w:val="00372967"/>
    <w:rsid w:val="00372BFF"/>
    <w:rsid w:val="0037325C"/>
    <w:rsid w:val="00373621"/>
    <w:rsid w:val="003739FD"/>
    <w:rsid w:val="00373A0C"/>
    <w:rsid w:val="00373F54"/>
    <w:rsid w:val="003743A7"/>
    <w:rsid w:val="0037463A"/>
    <w:rsid w:val="003747CB"/>
    <w:rsid w:val="00374AE3"/>
    <w:rsid w:val="00374F23"/>
    <w:rsid w:val="00374F24"/>
    <w:rsid w:val="00375895"/>
    <w:rsid w:val="00375C7E"/>
    <w:rsid w:val="00375D0D"/>
    <w:rsid w:val="00375E7F"/>
    <w:rsid w:val="003766DE"/>
    <w:rsid w:val="0037698B"/>
    <w:rsid w:val="003769B9"/>
    <w:rsid w:val="00376ADA"/>
    <w:rsid w:val="00376DF2"/>
    <w:rsid w:val="003776CB"/>
    <w:rsid w:val="0037794D"/>
    <w:rsid w:val="00377EA6"/>
    <w:rsid w:val="0038038B"/>
    <w:rsid w:val="00380FD5"/>
    <w:rsid w:val="003811F2"/>
    <w:rsid w:val="00381849"/>
    <w:rsid w:val="00381CBB"/>
    <w:rsid w:val="00381CC5"/>
    <w:rsid w:val="00381DA1"/>
    <w:rsid w:val="003826BC"/>
    <w:rsid w:val="003826DF"/>
    <w:rsid w:val="0038283F"/>
    <w:rsid w:val="00382A02"/>
    <w:rsid w:val="00382B4E"/>
    <w:rsid w:val="00382B51"/>
    <w:rsid w:val="00382C27"/>
    <w:rsid w:val="00382F55"/>
    <w:rsid w:val="00383058"/>
    <w:rsid w:val="003834F4"/>
    <w:rsid w:val="003836CE"/>
    <w:rsid w:val="00383717"/>
    <w:rsid w:val="0038378C"/>
    <w:rsid w:val="00383D71"/>
    <w:rsid w:val="00383FD2"/>
    <w:rsid w:val="00384199"/>
    <w:rsid w:val="003844BC"/>
    <w:rsid w:val="0038489B"/>
    <w:rsid w:val="003849D3"/>
    <w:rsid w:val="00384EB5"/>
    <w:rsid w:val="003851EA"/>
    <w:rsid w:val="0038520B"/>
    <w:rsid w:val="00385837"/>
    <w:rsid w:val="00385A04"/>
    <w:rsid w:val="00385A8A"/>
    <w:rsid w:val="003861A2"/>
    <w:rsid w:val="003872C6"/>
    <w:rsid w:val="00387399"/>
    <w:rsid w:val="00387534"/>
    <w:rsid w:val="003875D1"/>
    <w:rsid w:val="0038797C"/>
    <w:rsid w:val="00387A98"/>
    <w:rsid w:val="00387D3F"/>
    <w:rsid w:val="00390735"/>
    <w:rsid w:val="0039083B"/>
    <w:rsid w:val="0039085F"/>
    <w:rsid w:val="00390ADC"/>
    <w:rsid w:val="00390AFE"/>
    <w:rsid w:val="00390C06"/>
    <w:rsid w:val="00390E2C"/>
    <w:rsid w:val="003913B1"/>
    <w:rsid w:val="003917FC"/>
    <w:rsid w:val="0039264A"/>
    <w:rsid w:val="00392662"/>
    <w:rsid w:val="0039284C"/>
    <w:rsid w:val="00392A41"/>
    <w:rsid w:val="00392F16"/>
    <w:rsid w:val="0039337A"/>
    <w:rsid w:val="003940C7"/>
    <w:rsid w:val="0039414D"/>
    <w:rsid w:val="0039418E"/>
    <w:rsid w:val="003943E2"/>
    <w:rsid w:val="003945AA"/>
    <w:rsid w:val="00394BED"/>
    <w:rsid w:val="00394D5B"/>
    <w:rsid w:val="00394DFA"/>
    <w:rsid w:val="00394E0E"/>
    <w:rsid w:val="00394E16"/>
    <w:rsid w:val="00394F79"/>
    <w:rsid w:val="003957FC"/>
    <w:rsid w:val="00395A84"/>
    <w:rsid w:val="00395C07"/>
    <w:rsid w:val="003961C2"/>
    <w:rsid w:val="00396242"/>
    <w:rsid w:val="0039648D"/>
    <w:rsid w:val="0039671B"/>
    <w:rsid w:val="0039690E"/>
    <w:rsid w:val="00396BB5"/>
    <w:rsid w:val="003972CF"/>
    <w:rsid w:val="0039795F"/>
    <w:rsid w:val="003A04E0"/>
    <w:rsid w:val="003A0A20"/>
    <w:rsid w:val="003A0BBB"/>
    <w:rsid w:val="003A0DDA"/>
    <w:rsid w:val="003A0E42"/>
    <w:rsid w:val="003A1650"/>
    <w:rsid w:val="003A1875"/>
    <w:rsid w:val="003A1B31"/>
    <w:rsid w:val="003A3062"/>
    <w:rsid w:val="003A324A"/>
    <w:rsid w:val="003A3292"/>
    <w:rsid w:val="003A3765"/>
    <w:rsid w:val="003A3A64"/>
    <w:rsid w:val="003A3BC3"/>
    <w:rsid w:val="003A3C61"/>
    <w:rsid w:val="003A3D0C"/>
    <w:rsid w:val="003A42F6"/>
    <w:rsid w:val="003A4A61"/>
    <w:rsid w:val="003A4C0A"/>
    <w:rsid w:val="003A5484"/>
    <w:rsid w:val="003A5B69"/>
    <w:rsid w:val="003A5C8C"/>
    <w:rsid w:val="003A5F5B"/>
    <w:rsid w:val="003A611F"/>
    <w:rsid w:val="003A614F"/>
    <w:rsid w:val="003A644C"/>
    <w:rsid w:val="003A6775"/>
    <w:rsid w:val="003A6A0C"/>
    <w:rsid w:val="003A71EC"/>
    <w:rsid w:val="003A75FC"/>
    <w:rsid w:val="003A7696"/>
    <w:rsid w:val="003A772E"/>
    <w:rsid w:val="003A774C"/>
    <w:rsid w:val="003A7CE7"/>
    <w:rsid w:val="003A7FD2"/>
    <w:rsid w:val="003B021A"/>
    <w:rsid w:val="003B0ACA"/>
    <w:rsid w:val="003B0F56"/>
    <w:rsid w:val="003B0F57"/>
    <w:rsid w:val="003B10E6"/>
    <w:rsid w:val="003B1522"/>
    <w:rsid w:val="003B1582"/>
    <w:rsid w:val="003B1610"/>
    <w:rsid w:val="003B1849"/>
    <w:rsid w:val="003B1B64"/>
    <w:rsid w:val="003B1D2B"/>
    <w:rsid w:val="003B1F78"/>
    <w:rsid w:val="003B21FA"/>
    <w:rsid w:val="003B23BC"/>
    <w:rsid w:val="003B2613"/>
    <w:rsid w:val="003B2673"/>
    <w:rsid w:val="003B26F2"/>
    <w:rsid w:val="003B2A5E"/>
    <w:rsid w:val="003B2E92"/>
    <w:rsid w:val="003B2F63"/>
    <w:rsid w:val="003B348D"/>
    <w:rsid w:val="003B385A"/>
    <w:rsid w:val="003B3B4C"/>
    <w:rsid w:val="003B3BFA"/>
    <w:rsid w:val="003B3EC0"/>
    <w:rsid w:val="003B41F7"/>
    <w:rsid w:val="003B4A5C"/>
    <w:rsid w:val="003B4F64"/>
    <w:rsid w:val="003B5080"/>
    <w:rsid w:val="003B517A"/>
    <w:rsid w:val="003B591B"/>
    <w:rsid w:val="003B5E1A"/>
    <w:rsid w:val="003B5FAF"/>
    <w:rsid w:val="003B600B"/>
    <w:rsid w:val="003B653D"/>
    <w:rsid w:val="003B6660"/>
    <w:rsid w:val="003B6756"/>
    <w:rsid w:val="003B6AC7"/>
    <w:rsid w:val="003B71EF"/>
    <w:rsid w:val="003C0446"/>
    <w:rsid w:val="003C0464"/>
    <w:rsid w:val="003C065D"/>
    <w:rsid w:val="003C06A0"/>
    <w:rsid w:val="003C0B5C"/>
    <w:rsid w:val="003C0BF0"/>
    <w:rsid w:val="003C0DFD"/>
    <w:rsid w:val="003C166F"/>
    <w:rsid w:val="003C1B10"/>
    <w:rsid w:val="003C1F1F"/>
    <w:rsid w:val="003C2262"/>
    <w:rsid w:val="003C28CC"/>
    <w:rsid w:val="003C2B12"/>
    <w:rsid w:val="003C317D"/>
    <w:rsid w:val="003C332F"/>
    <w:rsid w:val="003C342B"/>
    <w:rsid w:val="003C34A9"/>
    <w:rsid w:val="003C361E"/>
    <w:rsid w:val="003C3C68"/>
    <w:rsid w:val="003C3F69"/>
    <w:rsid w:val="003C441C"/>
    <w:rsid w:val="003C4F08"/>
    <w:rsid w:val="003C5262"/>
    <w:rsid w:val="003C5357"/>
    <w:rsid w:val="003C5760"/>
    <w:rsid w:val="003C597A"/>
    <w:rsid w:val="003C59B9"/>
    <w:rsid w:val="003C6032"/>
    <w:rsid w:val="003C6BE6"/>
    <w:rsid w:val="003C70CE"/>
    <w:rsid w:val="003C7442"/>
    <w:rsid w:val="003C7662"/>
    <w:rsid w:val="003C7864"/>
    <w:rsid w:val="003C7A10"/>
    <w:rsid w:val="003C7AA9"/>
    <w:rsid w:val="003C7E0D"/>
    <w:rsid w:val="003D0066"/>
    <w:rsid w:val="003D0639"/>
    <w:rsid w:val="003D070B"/>
    <w:rsid w:val="003D0852"/>
    <w:rsid w:val="003D098E"/>
    <w:rsid w:val="003D0CA6"/>
    <w:rsid w:val="003D0F18"/>
    <w:rsid w:val="003D1407"/>
    <w:rsid w:val="003D16AC"/>
    <w:rsid w:val="003D178F"/>
    <w:rsid w:val="003D1797"/>
    <w:rsid w:val="003D19DC"/>
    <w:rsid w:val="003D1BF1"/>
    <w:rsid w:val="003D1CF0"/>
    <w:rsid w:val="003D2173"/>
    <w:rsid w:val="003D2425"/>
    <w:rsid w:val="003D2C9A"/>
    <w:rsid w:val="003D2E11"/>
    <w:rsid w:val="003D2E8D"/>
    <w:rsid w:val="003D2E9E"/>
    <w:rsid w:val="003D315B"/>
    <w:rsid w:val="003D323A"/>
    <w:rsid w:val="003D42D2"/>
    <w:rsid w:val="003D4458"/>
    <w:rsid w:val="003D4874"/>
    <w:rsid w:val="003D53E8"/>
    <w:rsid w:val="003D5A87"/>
    <w:rsid w:val="003D5C15"/>
    <w:rsid w:val="003D5FC7"/>
    <w:rsid w:val="003D6253"/>
    <w:rsid w:val="003D68C5"/>
    <w:rsid w:val="003D73F8"/>
    <w:rsid w:val="003D762E"/>
    <w:rsid w:val="003D7B18"/>
    <w:rsid w:val="003E00FB"/>
    <w:rsid w:val="003E046D"/>
    <w:rsid w:val="003E0C8A"/>
    <w:rsid w:val="003E0F01"/>
    <w:rsid w:val="003E1567"/>
    <w:rsid w:val="003E1BCC"/>
    <w:rsid w:val="003E1D35"/>
    <w:rsid w:val="003E1F13"/>
    <w:rsid w:val="003E2107"/>
    <w:rsid w:val="003E21A2"/>
    <w:rsid w:val="003E2281"/>
    <w:rsid w:val="003E22B3"/>
    <w:rsid w:val="003E2361"/>
    <w:rsid w:val="003E23D9"/>
    <w:rsid w:val="003E28EA"/>
    <w:rsid w:val="003E32F4"/>
    <w:rsid w:val="003E377D"/>
    <w:rsid w:val="003E3895"/>
    <w:rsid w:val="003E3B03"/>
    <w:rsid w:val="003E3EEB"/>
    <w:rsid w:val="003E3F10"/>
    <w:rsid w:val="003E3F9E"/>
    <w:rsid w:val="003E4134"/>
    <w:rsid w:val="003E4262"/>
    <w:rsid w:val="003E472C"/>
    <w:rsid w:val="003E4F3F"/>
    <w:rsid w:val="003E576D"/>
    <w:rsid w:val="003E5EF4"/>
    <w:rsid w:val="003E5F7B"/>
    <w:rsid w:val="003E67B3"/>
    <w:rsid w:val="003E6FA1"/>
    <w:rsid w:val="003E73CC"/>
    <w:rsid w:val="003E7573"/>
    <w:rsid w:val="003E78A2"/>
    <w:rsid w:val="003E7B1F"/>
    <w:rsid w:val="003E7CBA"/>
    <w:rsid w:val="003E7E84"/>
    <w:rsid w:val="003F00A8"/>
    <w:rsid w:val="003F00D7"/>
    <w:rsid w:val="003F02D4"/>
    <w:rsid w:val="003F02E3"/>
    <w:rsid w:val="003F051B"/>
    <w:rsid w:val="003F058D"/>
    <w:rsid w:val="003F059A"/>
    <w:rsid w:val="003F05A4"/>
    <w:rsid w:val="003F0767"/>
    <w:rsid w:val="003F0897"/>
    <w:rsid w:val="003F0D4A"/>
    <w:rsid w:val="003F1835"/>
    <w:rsid w:val="003F243F"/>
    <w:rsid w:val="003F25EB"/>
    <w:rsid w:val="003F2C27"/>
    <w:rsid w:val="003F373D"/>
    <w:rsid w:val="003F3A7D"/>
    <w:rsid w:val="003F3CC2"/>
    <w:rsid w:val="003F44EF"/>
    <w:rsid w:val="003F4B98"/>
    <w:rsid w:val="003F4D49"/>
    <w:rsid w:val="003F4DEC"/>
    <w:rsid w:val="003F4E9E"/>
    <w:rsid w:val="003F51D3"/>
    <w:rsid w:val="003F5709"/>
    <w:rsid w:val="003F5AB9"/>
    <w:rsid w:val="003F5D70"/>
    <w:rsid w:val="003F5DCA"/>
    <w:rsid w:val="003F6544"/>
    <w:rsid w:val="003F6565"/>
    <w:rsid w:val="003F6A32"/>
    <w:rsid w:val="003F6AD6"/>
    <w:rsid w:val="003F6CFF"/>
    <w:rsid w:val="003F6F36"/>
    <w:rsid w:val="003F6F72"/>
    <w:rsid w:val="003F707B"/>
    <w:rsid w:val="003F7112"/>
    <w:rsid w:val="003F71DE"/>
    <w:rsid w:val="003F71F2"/>
    <w:rsid w:val="003F754A"/>
    <w:rsid w:val="003F7836"/>
    <w:rsid w:val="003F7A06"/>
    <w:rsid w:val="003F7B41"/>
    <w:rsid w:val="003F7B4B"/>
    <w:rsid w:val="003F7D30"/>
    <w:rsid w:val="00400246"/>
    <w:rsid w:val="00400447"/>
    <w:rsid w:val="004005E6"/>
    <w:rsid w:val="004008F8"/>
    <w:rsid w:val="00400A85"/>
    <w:rsid w:val="00400ABB"/>
    <w:rsid w:val="00400C96"/>
    <w:rsid w:val="0040100A"/>
    <w:rsid w:val="00401090"/>
    <w:rsid w:val="004022DB"/>
    <w:rsid w:val="004027AA"/>
    <w:rsid w:val="0040289E"/>
    <w:rsid w:val="004035A5"/>
    <w:rsid w:val="004035DD"/>
    <w:rsid w:val="004036EB"/>
    <w:rsid w:val="00403AE4"/>
    <w:rsid w:val="00403B3F"/>
    <w:rsid w:val="00403C48"/>
    <w:rsid w:val="00403F1B"/>
    <w:rsid w:val="00403FF5"/>
    <w:rsid w:val="00404111"/>
    <w:rsid w:val="00404733"/>
    <w:rsid w:val="00404918"/>
    <w:rsid w:val="00404F1C"/>
    <w:rsid w:val="00404FB8"/>
    <w:rsid w:val="00405156"/>
    <w:rsid w:val="00405998"/>
    <w:rsid w:val="004059EC"/>
    <w:rsid w:val="00405E8F"/>
    <w:rsid w:val="00406899"/>
    <w:rsid w:val="00406A0B"/>
    <w:rsid w:val="00406AEB"/>
    <w:rsid w:val="00406E84"/>
    <w:rsid w:val="00407C39"/>
    <w:rsid w:val="00407E3F"/>
    <w:rsid w:val="00407F00"/>
    <w:rsid w:val="004100A1"/>
    <w:rsid w:val="00410859"/>
    <w:rsid w:val="00410938"/>
    <w:rsid w:val="0041172B"/>
    <w:rsid w:val="004117C3"/>
    <w:rsid w:val="00411FD4"/>
    <w:rsid w:val="00412129"/>
    <w:rsid w:val="004122EE"/>
    <w:rsid w:val="004125CC"/>
    <w:rsid w:val="00412D2E"/>
    <w:rsid w:val="004131A2"/>
    <w:rsid w:val="004131C5"/>
    <w:rsid w:val="00413885"/>
    <w:rsid w:val="00413E47"/>
    <w:rsid w:val="00413FAB"/>
    <w:rsid w:val="0041454B"/>
    <w:rsid w:val="00414CD8"/>
    <w:rsid w:val="00415345"/>
    <w:rsid w:val="004156FD"/>
    <w:rsid w:val="00415DED"/>
    <w:rsid w:val="004164E8"/>
    <w:rsid w:val="00417251"/>
    <w:rsid w:val="00417401"/>
    <w:rsid w:val="00417C0B"/>
    <w:rsid w:val="00417D66"/>
    <w:rsid w:val="00417F69"/>
    <w:rsid w:val="0042099E"/>
    <w:rsid w:val="00420E4A"/>
    <w:rsid w:val="00421203"/>
    <w:rsid w:val="004213AE"/>
    <w:rsid w:val="00421730"/>
    <w:rsid w:val="00421779"/>
    <w:rsid w:val="004217C8"/>
    <w:rsid w:val="004218C5"/>
    <w:rsid w:val="00421A2A"/>
    <w:rsid w:val="00421E6C"/>
    <w:rsid w:val="00421EB1"/>
    <w:rsid w:val="00422780"/>
    <w:rsid w:val="00423153"/>
    <w:rsid w:val="004235B8"/>
    <w:rsid w:val="004235BA"/>
    <w:rsid w:val="004235E1"/>
    <w:rsid w:val="00423AC8"/>
    <w:rsid w:val="00423E4D"/>
    <w:rsid w:val="0042400F"/>
    <w:rsid w:val="0042415C"/>
    <w:rsid w:val="004246CE"/>
    <w:rsid w:val="00424913"/>
    <w:rsid w:val="00424A33"/>
    <w:rsid w:val="00424A43"/>
    <w:rsid w:val="00424AE8"/>
    <w:rsid w:val="0042516F"/>
    <w:rsid w:val="00425346"/>
    <w:rsid w:val="004256E8"/>
    <w:rsid w:val="00425A34"/>
    <w:rsid w:val="00426211"/>
    <w:rsid w:val="00426813"/>
    <w:rsid w:val="00426AD1"/>
    <w:rsid w:val="00426B6F"/>
    <w:rsid w:val="00426DC4"/>
    <w:rsid w:val="00427103"/>
    <w:rsid w:val="004271D5"/>
    <w:rsid w:val="00427364"/>
    <w:rsid w:val="004277FB"/>
    <w:rsid w:val="00427AFE"/>
    <w:rsid w:val="00427F12"/>
    <w:rsid w:val="00427F2A"/>
    <w:rsid w:val="004307E7"/>
    <w:rsid w:val="00430B65"/>
    <w:rsid w:val="00430C78"/>
    <w:rsid w:val="00430FEA"/>
    <w:rsid w:val="00431A4A"/>
    <w:rsid w:val="0043200F"/>
    <w:rsid w:val="00432796"/>
    <w:rsid w:val="00432980"/>
    <w:rsid w:val="00432CA0"/>
    <w:rsid w:val="00432F02"/>
    <w:rsid w:val="0043350A"/>
    <w:rsid w:val="004335D9"/>
    <w:rsid w:val="00433C67"/>
    <w:rsid w:val="00433EE5"/>
    <w:rsid w:val="00434424"/>
    <w:rsid w:val="004347B1"/>
    <w:rsid w:val="0043542A"/>
    <w:rsid w:val="00435594"/>
    <w:rsid w:val="004355F8"/>
    <w:rsid w:val="00435773"/>
    <w:rsid w:val="00435876"/>
    <w:rsid w:val="00435AD2"/>
    <w:rsid w:val="00435F51"/>
    <w:rsid w:val="00436059"/>
    <w:rsid w:val="0043605F"/>
    <w:rsid w:val="0043630A"/>
    <w:rsid w:val="00436E14"/>
    <w:rsid w:val="00436FD1"/>
    <w:rsid w:val="0043728C"/>
    <w:rsid w:val="00437677"/>
    <w:rsid w:val="00437BC3"/>
    <w:rsid w:val="00437E66"/>
    <w:rsid w:val="004400D1"/>
    <w:rsid w:val="0044031F"/>
    <w:rsid w:val="004405FA"/>
    <w:rsid w:val="00440807"/>
    <w:rsid w:val="00440951"/>
    <w:rsid w:val="004409C2"/>
    <w:rsid w:val="00440B5F"/>
    <w:rsid w:val="00440C61"/>
    <w:rsid w:val="00440ED4"/>
    <w:rsid w:val="00442220"/>
    <w:rsid w:val="004423A2"/>
    <w:rsid w:val="004424ED"/>
    <w:rsid w:val="00442556"/>
    <w:rsid w:val="00442904"/>
    <w:rsid w:val="00442E15"/>
    <w:rsid w:val="00442EF2"/>
    <w:rsid w:val="00443052"/>
    <w:rsid w:val="004432FE"/>
    <w:rsid w:val="004434CC"/>
    <w:rsid w:val="0044355C"/>
    <w:rsid w:val="0044367C"/>
    <w:rsid w:val="004437CD"/>
    <w:rsid w:val="004438F5"/>
    <w:rsid w:val="00443E3E"/>
    <w:rsid w:val="0044422B"/>
    <w:rsid w:val="004445C8"/>
    <w:rsid w:val="00444884"/>
    <w:rsid w:val="00444CC6"/>
    <w:rsid w:val="00444F29"/>
    <w:rsid w:val="004451BC"/>
    <w:rsid w:val="00445459"/>
    <w:rsid w:val="00445E12"/>
    <w:rsid w:val="0044605C"/>
    <w:rsid w:val="00446170"/>
    <w:rsid w:val="004464C9"/>
    <w:rsid w:val="004466FD"/>
    <w:rsid w:val="00446A21"/>
    <w:rsid w:val="00446A74"/>
    <w:rsid w:val="00446B6A"/>
    <w:rsid w:val="00446F71"/>
    <w:rsid w:val="0044726A"/>
    <w:rsid w:val="0044743B"/>
    <w:rsid w:val="004476A2"/>
    <w:rsid w:val="00447C09"/>
    <w:rsid w:val="00447CE1"/>
    <w:rsid w:val="00450105"/>
    <w:rsid w:val="00450AE7"/>
    <w:rsid w:val="00450B2C"/>
    <w:rsid w:val="00450BCE"/>
    <w:rsid w:val="004511D2"/>
    <w:rsid w:val="0045156F"/>
    <w:rsid w:val="00451A29"/>
    <w:rsid w:val="00451F27"/>
    <w:rsid w:val="004525F8"/>
    <w:rsid w:val="0045272B"/>
    <w:rsid w:val="00452BE4"/>
    <w:rsid w:val="0045342F"/>
    <w:rsid w:val="00454815"/>
    <w:rsid w:val="0045482D"/>
    <w:rsid w:val="00454A2A"/>
    <w:rsid w:val="00454BA4"/>
    <w:rsid w:val="00454D79"/>
    <w:rsid w:val="00455985"/>
    <w:rsid w:val="00455BA8"/>
    <w:rsid w:val="00455D74"/>
    <w:rsid w:val="00455E7A"/>
    <w:rsid w:val="00456707"/>
    <w:rsid w:val="004567C1"/>
    <w:rsid w:val="00456B63"/>
    <w:rsid w:val="00456E54"/>
    <w:rsid w:val="004574B7"/>
    <w:rsid w:val="0045770F"/>
    <w:rsid w:val="00457AC9"/>
    <w:rsid w:val="00457E11"/>
    <w:rsid w:val="00460C57"/>
    <w:rsid w:val="00460CD4"/>
    <w:rsid w:val="004613B0"/>
    <w:rsid w:val="004614E2"/>
    <w:rsid w:val="004615FD"/>
    <w:rsid w:val="0046196D"/>
    <w:rsid w:val="004619D9"/>
    <w:rsid w:val="00461A5D"/>
    <w:rsid w:val="00461A8F"/>
    <w:rsid w:val="00462398"/>
    <w:rsid w:val="00462BD9"/>
    <w:rsid w:val="00462EF8"/>
    <w:rsid w:val="00463007"/>
    <w:rsid w:val="004631A1"/>
    <w:rsid w:val="004634DE"/>
    <w:rsid w:val="004634E5"/>
    <w:rsid w:val="00463872"/>
    <w:rsid w:val="0046395A"/>
    <w:rsid w:val="00463E22"/>
    <w:rsid w:val="0046408C"/>
    <w:rsid w:val="0046421C"/>
    <w:rsid w:val="004644C8"/>
    <w:rsid w:val="00464BA4"/>
    <w:rsid w:val="00464D3C"/>
    <w:rsid w:val="0046518F"/>
    <w:rsid w:val="00465280"/>
    <w:rsid w:val="00465436"/>
    <w:rsid w:val="004654A9"/>
    <w:rsid w:val="004655E1"/>
    <w:rsid w:val="00465765"/>
    <w:rsid w:val="0046596A"/>
    <w:rsid w:val="00465A2B"/>
    <w:rsid w:val="00465BBF"/>
    <w:rsid w:val="00465E66"/>
    <w:rsid w:val="00465F88"/>
    <w:rsid w:val="00466072"/>
    <w:rsid w:val="004663ED"/>
    <w:rsid w:val="00466938"/>
    <w:rsid w:val="00466972"/>
    <w:rsid w:val="00466B7F"/>
    <w:rsid w:val="00466C11"/>
    <w:rsid w:val="00466D5F"/>
    <w:rsid w:val="00466E1B"/>
    <w:rsid w:val="00466E51"/>
    <w:rsid w:val="00466FC8"/>
    <w:rsid w:val="004678AA"/>
    <w:rsid w:val="00467AEE"/>
    <w:rsid w:val="00470061"/>
    <w:rsid w:val="00470387"/>
    <w:rsid w:val="00470E66"/>
    <w:rsid w:val="00471169"/>
    <w:rsid w:val="00471502"/>
    <w:rsid w:val="00471810"/>
    <w:rsid w:val="004719D8"/>
    <w:rsid w:val="00471B75"/>
    <w:rsid w:val="00471D38"/>
    <w:rsid w:val="004723AC"/>
    <w:rsid w:val="004723B9"/>
    <w:rsid w:val="00472805"/>
    <w:rsid w:val="00472EB1"/>
    <w:rsid w:val="00472FB8"/>
    <w:rsid w:val="004734A1"/>
    <w:rsid w:val="00473ADA"/>
    <w:rsid w:val="00473B95"/>
    <w:rsid w:val="00473D05"/>
    <w:rsid w:val="0047426E"/>
    <w:rsid w:val="00474349"/>
    <w:rsid w:val="0047442B"/>
    <w:rsid w:val="004746EC"/>
    <w:rsid w:val="0047473C"/>
    <w:rsid w:val="00474B24"/>
    <w:rsid w:val="00474B5E"/>
    <w:rsid w:val="0047588C"/>
    <w:rsid w:val="00475AD2"/>
    <w:rsid w:val="00475C88"/>
    <w:rsid w:val="00476288"/>
    <w:rsid w:val="00476563"/>
    <w:rsid w:val="004765C3"/>
    <w:rsid w:val="004767DB"/>
    <w:rsid w:val="00476AB2"/>
    <w:rsid w:val="00476FD6"/>
    <w:rsid w:val="00477160"/>
    <w:rsid w:val="00477AAB"/>
    <w:rsid w:val="00477DBD"/>
    <w:rsid w:val="00477E82"/>
    <w:rsid w:val="00480089"/>
    <w:rsid w:val="00480B19"/>
    <w:rsid w:val="00480F9F"/>
    <w:rsid w:val="004819D1"/>
    <w:rsid w:val="00482248"/>
    <w:rsid w:val="004826CC"/>
    <w:rsid w:val="00482703"/>
    <w:rsid w:val="00482765"/>
    <w:rsid w:val="00482891"/>
    <w:rsid w:val="00482C17"/>
    <w:rsid w:val="004837B8"/>
    <w:rsid w:val="00483888"/>
    <w:rsid w:val="00483ADC"/>
    <w:rsid w:val="00483E2B"/>
    <w:rsid w:val="004843B5"/>
    <w:rsid w:val="00484691"/>
    <w:rsid w:val="00484706"/>
    <w:rsid w:val="00484A74"/>
    <w:rsid w:val="00484D09"/>
    <w:rsid w:val="00484F5D"/>
    <w:rsid w:val="00484FCE"/>
    <w:rsid w:val="0048642B"/>
    <w:rsid w:val="00486BA9"/>
    <w:rsid w:val="00486BF4"/>
    <w:rsid w:val="00486D02"/>
    <w:rsid w:val="0048736C"/>
    <w:rsid w:val="00487940"/>
    <w:rsid w:val="00487ABA"/>
    <w:rsid w:val="00487C26"/>
    <w:rsid w:val="00487C64"/>
    <w:rsid w:val="00487F4F"/>
    <w:rsid w:val="0049018F"/>
    <w:rsid w:val="00490369"/>
    <w:rsid w:val="00490478"/>
    <w:rsid w:val="00490B2A"/>
    <w:rsid w:val="00490CD6"/>
    <w:rsid w:val="00490CE2"/>
    <w:rsid w:val="00490F06"/>
    <w:rsid w:val="004914F0"/>
    <w:rsid w:val="004916F7"/>
    <w:rsid w:val="00491741"/>
    <w:rsid w:val="004918EA"/>
    <w:rsid w:val="00491999"/>
    <w:rsid w:val="00491AAD"/>
    <w:rsid w:val="00491EB5"/>
    <w:rsid w:val="00491FFE"/>
    <w:rsid w:val="00492564"/>
    <w:rsid w:val="00492BF1"/>
    <w:rsid w:val="00492EC4"/>
    <w:rsid w:val="004930AB"/>
    <w:rsid w:val="0049384D"/>
    <w:rsid w:val="00493D7A"/>
    <w:rsid w:val="00493EC9"/>
    <w:rsid w:val="00493ECC"/>
    <w:rsid w:val="00493EE3"/>
    <w:rsid w:val="0049432B"/>
    <w:rsid w:val="00494857"/>
    <w:rsid w:val="0049572C"/>
    <w:rsid w:val="004957D4"/>
    <w:rsid w:val="00496061"/>
    <w:rsid w:val="004964BA"/>
    <w:rsid w:val="004968BF"/>
    <w:rsid w:val="00496A33"/>
    <w:rsid w:val="00496B40"/>
    <w:rsid w:val="00496EA9"/>
    <w:rsid w:val="0049708A"/>
    <w:rsid w:val="0049764F"/>
    <w:rsid w:val="0049785F"/>
    <w:rsid w:val="00497BC3"/>
    <w:rsid w:val="00497D08"/>
    <w:rsid w:val="00497D91"/>
    <w:rsid w:val="004A06A7"/>
    <w:rsid w:val="004A0F00"/>
    <w:rsid w:val="004A0F11"/>
    <w:rsid w:val="004A10C9"/>
    <w:rsid w:val="004A1198"/>
    <w:rsid w:val="004A11E5"/>
    <w:rsid w:val="004A1545"/>
    <w:rsid w:val="004A1839"/>
    <w:rsid w:val="004A1FB5"/>
    <w:rsid w:val="004A2167"/>
    <w:rsid w:val="004A23F8"/>
    <w:rsid w:val="004A26EA"/>
    <w:rsid w:val="004A285A"/>
    <w:rsid w:val="004A2998"/>
    <w:rsid w:val="004A2B00"/>
    <w:rsid w:val="004A32CA"/>
    <w:rsid w:val="004A3878"/>
    <w:rsid w:val="004A41D9"/>
    <w:rsid w:val="004A48F4"/>
    <w:rsid w:val="004A4C4A"/>
    <w:rsid w:val="004A4FD3"/>
    <w:rsid w:val="004A5005"/>
    <w:rsid w:val="004A50F4"/>
    <w:rsid w:val="004A53D9"/>
    <w:rsid w:val="004A56B4"/>
    <w:rsid w:val="004A572C"/>
    <w:rsid w:val="004A576A"/>
    <w:rsid w:val="004A5B67"/>
    <w:rsid w:val="004A6595"/>
    <w:rsid w:val="004A68AA"/>
    <w:rsid w:val="004A692C"/>
    <w:rsid w:val="004A71AD"/>
    <w:rsid w:val="004A7797"/>
    <w:rsid w:val="004A7B09"/>
    <w:rsid w:val="004A7B61"/>
    <w:rsid w:val="004B01F7"/>
    <w:rsid w:val="004B0CD8"/>
    <w:rsid w:val="004B134C"/>
    <w:rsid w:val="004B1FB6"/>
    <w:rsid w:val="004B202D"/>
    <w:rsid w:val="004B2426"/>
    <w:rsid w:val="004B2AAF"/>
    <w:rsid w:val="004B2C41"/>
    <w:rsid w:val="004B2E98"/>
    <w:rsid w:val="004B2F46"/>
    <w:rsid w:val="004B323C"/>
    <w:rsid w:val="004B3518"/>
    <w:rsid w:val="004B38CB"/>
    <w:rsid w:val="004B3F82"/>
    <w:rsid w:val="004B4C82"/>
    <w:rsid w:val="004B4FDF"/>
    <w:rsid w:val="004B513D"/>
    <w:rsid w:val="004B5DC0"/>
    <w:rsid w:val="004B5E0D"/>
    <w:rsid w:val="004B610F"/>
    <w:rsid w:val="004B6241"/>
    <w:rsid w:val="004B654F"/>
    <w:rsid w:val="004B6DCA"/>
    <w:rsid w:val="004B7149"/>
    <w:rsid w:val="004B74D9"/>
    <w:rsid w:val="004B77A8"/>
    <w:rsid w:val="004B7B25"/>
    <w:rsid w:val="004B7DF2"/>
    <w:rsid w:val="004C05DB"/>
    <w:rsid w:val="004C0725"/>
    <w:rsid w:val="004C0D2F"/>
    <w:rsid w:val="004C156A"/>
    <w:rsid w:val="004C1D26"/>
    <w:rsid w:val="004C24F8"/>
    <w:rsid w:val="004C3068"/>
    <w:rsid w:val="004C3440"/>
    <w:rsid w:val="004C3572"/>
    <w:rsid w:val="004C3642"/>
    <w:rsid w:val="004C38B8"/>
    <w:rsid w:val="004C3A03"/>
    <w:rsid w:val="004C3A3E"/>
    <w:rsid w:val="004C3A6C"/>
    <w:rsid w:val="004C3AC4"/>
    <w:rsid w:val="004C3B7D"/>
    <w:rsid w:val="004C40F1"/>
    <w:rsid w:val="004C4261"/>
    <w:rsid w:val="004C4A76"/>
    <w:rsid w:val="004C4ABF"/>
    <w:rsid w:val="004C4EC7"/>
    <w:rsid w:val="004C4FDF"/>
    <w:rsid w:val="004C549F"/>
    <w:rsid w:val="004C5686"/>
    <w:rsid w:val="004C5FDF"/>
    <w:rsid w:val="004C64F0"/>
    <w:rsid w:val="004C65CE"/>
    <w:rsid w:val="004C65F4"/>
    <w:rsid w:val="004C6627"/>
    <w:rsid w:val="004C6747"/>
    <w:rsid w:val="004C67D2"/>
    <w:rsid w:val="004C696C"/>
    <w:rsid w:val="004C6E96"/>
    <w:rsid w:val="004C6FA4"/>
    <w:rsid w:val="004C734E"/>
    <w:rsid w:val="004C763E"/>
    <w:rsid w:val="004C76C0"/>
    <w:rsid w:val="004C7A73"/>
    <w:rsid w:val="004C7DE9"/>
    <w:rsid w:val="004C7EEC"/>
    <w:rsid w:val="004C7F15"/>
    <w:rsid w:val="004D00F9"/>
    <w:rsid w:val="004D080B"/>
    <w:rsid w:val="004D09A1"/>
    <w:rsid w:val="004D0E43"/>
    <w:rsid w:val="004D14A4"/>
    <w:rsid w:val="004D250D"/>
    <w:rsid w:val="004D260F"/>
    <w:rsid w:val="004D262D"/>
    <w:rsid w:val="004D298E"/>
    <w:rsid w:val="004D2BF9"/>
    <w:rsid w:val="004D360B"/>
    <w:rsid w:val="004D3677"/>
    <w:rsid w:val="004D3B37"/>
    <w:rsid w:val="004D3F22"/>
    <w:rsid w:val="004D3F40"/>
    <w:rsid w:val="004D4609"/>
    <w:rsid w:val="004D4613"/>
    <w:rsid w:val="004D51F0"/>
    <w:rsid w:val="004D521D"/>
    <w:rsid w:val="004D5465"/>
    <w:rsid w:val="004D550D"/>
    <w:rsid w:val="004D5614"/>
    <w:rsid w:val="004D561F"/>
    <w:rsid w:val="004D5975"/>
    <w:rsid w:val="004D5C07"/>
    <w:rsid w:val="004D68C2"/>
    <w:rsid w:val="004D6D47"/>
    <w:rsid w:val="004D7103"/>
    <w:rsid w:val="004D7618"/>
    <w:rsid w:val="004D7862"/>
    <w:rsid w:val="004D78C9"/>
    <w:rsid w:val="004D7B71"/>
    <w:rsid w:val="004D7D64"/>
    <w:rsid w:val="004D7EE5"/>
    <w:rsid w:val="004D7F5C"/>
    <w:rsid w:val="004E040F"/>
    <w:rsid w:val="004E049D"/>
    <w:rsid w:val="004E077F"/>
    <w:rsid w:val="004E10C1"/>
    <w:rsid w:val="004E1159"/>
    <w:rsid w:val="004E12B1"/>
    <w:rsid w:val="004E1357"/>
    <w:rsid w:val="004E160B"/>
    <w:rsid w:val="004E1658"/>
    <w:rsid w:val="004E1DB5"/>
    <w:rsid w:val="004E21C0"/>
    <w:rsid w:val="004E236C"/>
    <w:rsid w:val="004E27DB"/>
    <w:rsid w:val="004E2C19"/>
    <w:rsid w:val="004E2C8C"/>
    <w:rsid w:val="004E2CEB"/>
    <w:rsid w:val="004E3619"/>
    <w:rsid w:val="004E3743"/>
    <w:rsid w:val="004E3C45"/>
    <w:rsid w:val="004E3EE6"/>
    <w:rsid w:val="004E4C1C"/>
    <w:rsid w:val="004E4E71"/>
    <w:rsid w:val="004E4E77"/>
    <w:rsid w:val="004E5521"/>
    <w:rsid w:val="004E5821"/>
    <w:rsid w:val="004E5C1D"/>
    <w:rsid w:val="004E5E54"/>
    <w:rsid w:val="004E6598"/>
    <w:rsid w:val="004E66DA"/>
    <w:rsid w:val="004E69C7"/>
    <w:rsid w:val="004E6E52"/>
    <w:rsid w:val="004E6F01"/>
    <w:rsid w:val="004E7074"/>
    <w:rsid w:val="004E790A"/>
    <w:rsid w:val="004E7C2D"/>
    <w:rsid w:val="004F097F"/>
    <w:rsid w:val="004F0B51"/>
    <w:rsid w:val="004F0B70"/>
    <w:rsid w:val="004F0B89"/>
    <w:rsid w:val="004F0EA9"/>
    <w:rsid w:val="004F123C"/>
    <w:rsid w:val="004F12B1"/>
    <w:rsid w:val="004F16FC"/>
    <w:rsid w:val="004F1832"/>
    <w:rsid w:val="004F198D"/>
    <w:rsid w:val="004F1C56"/>
    <w:rsid w:val="004F1E6A"/>
    <w:rsid w:val="004F25C1"/>
    <w:rsid w:val="004F264B"/>
    <w:rsid w:val="004F27AF"/>
    <w:rsid w:val="004F3260"/>
    <w:rsid w:val="004F39CB"/>
    <w:rsid w:val="004F3C48"/>
    <w:rsid w:val="004F3D83"/>
    <w:rsid w:val="004F3F9C"/>
    <w:rsid w:val="004F4213"/>
    <w:rsid w:val="004F432B"/>
    <w:rsid w:val="004F432C"/>
    <w:rsid w:val="004F4605"/>
    <w:rsid w:val="004F488B"/>
    <w:rsid w:val="004F4AC6"/>
    <w:rsid w:val="004F52FC"/>
    <w:rsid w:val="004F56A4"/>
    <w:rsid w:val="004F5A9B"/>
    <w:rsid w:val="004F5BED"/>
    <w:rsid w:val="004F5FFA"/>
    <w:rsid w:val="004F620B"/>
    <w:rsid w:val="004F6503"/>
    <w:rsid w:val="004F6924"/>
    <w:rsid w:val="004F6B8F"/>
    <w:rsid w:val="004F7145"/>
    <w:rsid w:val="004F7336"/>
    <w:rsid w:val="004F77E6"/>
    <w:rsid w:val="004F7D4E"/>
    <w:rsid w:val="005002F9"/>
    <w:rsid w:val="00500C37"/>
    <w:rsid w:val="00500F56"/>
    <w:rsid w:val="00500F9C"/>
    <w:rsid w:val="00501007"/>
    <w:rsid w:val="00501336"/>
    <w:rsid w:val="00501597"/>
    <w:rsid w:val="005020F7"/>
    <w:rsid w:val="00502AD4"/>
    <w:rsid w:val="00502B0A"/>
    <w:rsid w:val="00502B96"/>
    <w:rsid w:val="00502D3A"/>
    <w:rsid w:val="0050345C"/>
    <w:rsid w:val="005035BD"/>
    <w:rsid w:val="00503E60"/>
    <w:rsid w:val="0050400B"/>
    <w:rsid w:val="00504953"/>
    <w:rsid w:val="00504A49"/>
    <w:rsid w:val="00504FDB"/>
    <w:rsid w:val="0050553E"/>
    <w:rsid w:val="005055A9"/>
    <w:rsid w:val="005055C9"/>
    <w:rsid w:val="00505CD8"/>
    <w:rsid w:val="00505D13"/>
    <w:rsid w:val="00505DEB"/>
    <w:rsid w:val="00506008"/>
    <w:rsid w:val="00506197"/>
    <w:rsid w:val="005061B3"/>
    <w:rsid w:val="005065DA"/>
    <w:rsid w:val="005068F5"/>
    <w:rsid w:val="00507332"/>
    <w:rsid w:val="005077BE"/>
    <w:rsid w:val="0050783A"/>
    <w:rsid w:val="00507BBF"/>
    <w:rsid w:val="00507DB8"/>
    <w:rsid w:val="00510166"/>
    <w:rsid w:val="005106CF"/>
    <w:rsid w:val="00510973"/>
    <w:rsid w:val="00510F6D"/>
    <w:rsid w:val="0051190E"/>
    <w:rsid w:val="00511F39"/>
    <w:rsid w:val="005120E3"/>
    <w:rsid w:val="00512473"/>
    <w:rsid w:val="005130C1"/>
    <w:rsid w:val="005131F8"/>
    <w:rsid w:val="00513201"/>
    <w:rsid w:val="005133CD"/>
    <w:rsid w:val="005138B4"/>
    <w:rsid w:val="005142ED"/>
    <w:rsid w:val="005145F6"/>
    <w:rsid w:val="0051491F"/>
    <w:rsid w:val="00514CFC"/>
    <w:rsid w:val="00515458"/>
    <w:rsid w:val="005154A7"/>
    <w:rsid w:val="0051593E"/>
    <w:rsid w:val="00515980"/>
    <w:rsid w:val="00515C81"/>
    <w:rsid w:val="00515F74"/>
    <w:rsid w:val="00516222"/>
    <w:rsid w:val="00516618"/>
    <w:rsid w:val="005168AA"/>
    <w:rsid w:val="00516C09"/>
    <w:rsid w:val="00516D6F"/>
    <w:rsid w:val="00516EB8"/>
    <w:rsid w:val="005171E8"/>
    <w:rsid w:val="00517551"/>
    <w:rsid w:val="00517A28"/>
    <w:rsid w:val="00517EEE"/>
    <w:rsid w:val="00520412"/>
    <w:rsid w:val="0052071C"/>
    <w:rsid w:val="00521446"/>
    <w:rsid w:val="00521647"/>
    <w:rsid w:val="005218E1"/>
    <w:rsid w:val="00521978"/>
    <w:rsid w:val="00521F41"/>
    <w:rsid w:val="00522103"/>
    <w:rsid w:val="00522BA3"/>
    <w:rsid w:val="00522EE5"/>
    <w:rsid w:val="00523998"/>
    <w:rsid w:val="005239EA"/>
    <w:rsid w:val="00523EA1"/>
    <w:rsid w:val="00523EA8"/>
    <w:rsid w:val="0052431A"/>
    <w:rsid w:val="00524FD6"/>
    <w:rsid w:val="00525AE0"/>
    <w:rsid w:val="00525DC9"/>
    <w:rsid w:val="00525E5E"/>
    <w:rsid w:val="00525EFA"/>
    <w:rsid w:val="005267E4"/>
    <w:rsid w:val="00526A0A"/>
    <w:rsid w:val="00526AA3"/>
    <w:rsid w:val="00526AB3"/>
    <w:rsid w:val="00527657"/>
    <w:rsid w:val="00527686"/>
    <w:rsid w:val="005277FD"/>
    <w:rsid w:val="00527E1D"/>
    <w:rsid w:val="0053017F"/>
    <w:rsid w:val="0053057E"/>
    <w:rsid w:val="00530605"/>
    <w:rsid w:val="005307C0"/>
    <w:rsid w:val="005308A6"/>
    <w:rsid w:val="00530D94"/>
    <w:rsid w:val="00530F56"/>
    <w:rsid w:val="005312E7"/>
    <w:rsid w:val="0053146F"/>
    <w:rsid w:val="005316D3"/>
    <w:rsid w:val="005317AE"/>
    <w:rsid w:val="00531899"/>
    <w:rsid w:val="00531BD4"/>
    <w:rsid w:val="00531CAE"/>
    <w:rsid w:val="00532538"/>
    <w:rsid w:val="00532A6E"/>
    <w:rsid w:val="00532B0B"/>
    <w:rsid w:val="00532D67"/>
    <w:rsid w:val="005330E3"/>
    <w:rsid w:val="00533760"/>
    <w:rsid w:val="00533796"/>
    <w:rsid w:val="0053440D"/>
    <w:rsid w:val="00534D38"/>
    <w:rsid w:val="00534FEB"/>
    <w:rsid w:val="00535594"/>
    <w:rsid w:val="00535B29"/>
    <w:rsid w:val="00535E05"/>
    <w:rsid w:val="00535E75"/>
    <w:rsid w:val="00536259"/>
    <w:rsid w:val="00536735"/>
    <w:rsid w:val="0053702E"/>
    <w:rsid w:val="00537722"/>
    <w:rsid w:val="00537744"/>
    <w:rsid w:val="00537A4A"/>
    <w:rsid w:val="0054013C"/>
    <w:rsid w:val="00540192"/>
    <w:rsid w:val="00540B37"/>
    <w:rsid w:val="00541505"/>
    <w:rsid w:val="005417A2"/>
    <w:rsid w:val="0054197A"/>
    <w:rsid w:val="00542163"/>
    <w:rsid w:val="005422EE"/>
    <w:rsid w:val="00542616"/>
    <w:rsid w:val="005426EA"/>
    <w:rsid w:val="00542D61"/>
    <w:rsid w:val="005439A3"/>
    <w:rsid w:val="005442C1"/>
    <w:rsid w:val="00544312"/>
    <w:rsid w:val="0054438F"/>
    <w:rsid w:val="00544523"/>
    <w:rsid w:val="00544828"/>
    <w:rsid w:val="00544EAF"/>
    <w:rsid w:val="0054551B"/>
    <w:rsid w:val="00545BCF"/>
    <w:rsid w:val="005460C1"/>
    <w:rsid w:val="00546176"/>
    <w:rsid w:val="0054619A"/>
    <w:rsid w:val="005461AC"/>
    <w:rsid w:val="005461E0"/>
    <w:rsid w:val="00546223"/>
    <w:rsid w:val="005465AC"/>
    <w:rsid w:val="00546CA0"/>
    <w:rsid w:val="00546D3E"/>
    <w:rsid w:val="005470AF"/>
    <w:rsid w:val="00547283"/>
    <w:rsid w:val="00547537"/>
    <w:rsid w:val="0054764E"/>
    <w:rsid w:val="00547BBF"/>
    <w:rsid w:val="00547FDB"/>
    <w:rsid w:val="00550158"/>
    <w:rsid w:val="005502B8"/>
    <w:rsid w:val="00550751"/>
    <w:rsid w:val="00550920"/>
    <w:rsid w:val="00550970"/>
    <w:rsid w:val="00550C83"/>
    <w:rsid w:val="00550FAC"/>
    <w:rsid w:val="00551640"/>
    <w:rsid w:val="005519EF"/>
    <w:rsid w:val="00551ACF"/>
    <w:rsid w:val="00552199"/>
    <w:rsid w:val="00552552"/>
    <w:rsid w:val="005527F5"/>
    <w:rsid w:val="005529C8"/>
    <w:rsid w:val="00552F38"/>
    <w:rsid w:val="005536E0"/>
    <w:rsid w:val="00553B1A"/>
    <w:rsid w:val="00553C3C"/>
    <w:rsid w:val="00554061"/>
    <w:rsid w:val="0055442C"/>
    <w:rsid w:val="00554723"/>
    <w:rsid w:val="00555009"/>
    <w:rsid w:val="00555154"/>
    <w:rsid w:val="005552DB"/>
    <w:rsid w:val="00555410"/>
    <w:rsid w:val="005556F1"/>
    <w:rsid w:val="00555ABB"/>
    <w:rsid w:val="00555E3D"/>
    <w:rsid w:val="00555EDB"/>
    <w:rsid w:val="00555FCD"/>
    <w:rsid w:val="005562D3"/>
    <w:rsid w:val="005566E2"/>
    <w:rsid w:val="005569A1"/>
    <w:rsid w:val="00556B61"/>
    <w:rsid w:val="00556BE0"/>
    <w:rsid w:val="00556DD3"/>
    <w:rsid w:val="005570AC"/>
    <w:rsid w:val="00557149"/>
    <w:rsid w:val="00557181"/>
    <w:rsid w:val="00557335"/>
    <w:rsid w:val="00557D91"/>
    <w:rsid w:val="0056018E"/>
    <w:rsid w:val="00560D66"/>
    <w:rsid w:val="0056100C"/>
    <w:rsid w:val="005618BC"/>
    <w:rsid w:val="00561A56"/>
    <w:rsid w:val="00561C38"/>
    <w:rsid w:val="00561CAE"/>
    <w:rsid w:val="00561D3F"/>
    <w:rsid w:val="00561FAB"/>
    <w:rsid w:val="00562836"/>
    <w:rsid w:val="00562C73"/>
    <w:rsid w:val="0056302F"/>
    <w:rsid w:val="00563515"/>
    <w:rsid w:val="00563651"/>
    <w:rsid w:val="00563987"/>
    <w:rsid w:val="0056432A"/>
    <w:rsid w:val="005645F4"/>
    <w:rsid w:val="005646A7"/>
    <w:rsid w:val="005646F5"/>
    <w:rsid w:val="00564A4B"/>
    <w:rsid w:val="0056545B"/>
    <w:rsid w:val="005659E0"/>
    <w:rsid w:val="00565BDD"/>
    <w:rsid w:val="00565C82"/>
    <w:rsid w:val="00565D03"/>
    <w:rsid w:val="00566285"/>
    <w:rsid w:val="00566877"/>
    <w:rsid w:val="00566956"/>
    <w:rsid w:val="005669B1"/>
    <w:rsid w:val="00566B45"/>
    <w:rsid w:val="005671AA"/>
    <w:rsid w:val="005676A1"/>
    <w:rsid w:val="005677FD"/>
    <w:rsid w:val="00567AAC"/>
    <w:rsid w:val="00567B23"/>
    <w:rsid w:val="00567F3C"/>
    <w:rsid w:val="00570008"/>
    <w:rsid w:val="00570D61"/>
    <w:rsid w:val="005710B0"/>
    <w:rsid w:val="00571479"/>
    <w:rsid w:val="00571B26"/>
    <w:rsid w:val="00571E29"/>
    <w:rsid w:val="00571E3A"/>
    <w:rsid w:val="00571EE6"/>
    <w:rsid w:val="00571FA6"/>
    <w:rsid w:val="0057231A"/>
    <w:rsid w:val="0057272E"/>
    <w:rsid w:val="00572C7B"/>
    <w:rsid w:val="00572CAC"/>
    <w:rsid w:val="00572FDD"/>
    <w:rsid w:val="0057309E"/>
    <w:rsid w:val="005734B0"/>
    <w:rsid w:val="00573899"/>
    <w:rsid w:val="0057396B"/>
    <w:rsid w:val="00573C32"/>
    <w:rsid w:val="00573EDF"/>
    <w:rsid w:val="00574BDD"/>
    <w:rsid w:val="00574CBE"/>
    <w:rsid w:val="0057503E"/>
    <w:rsid w:val="005753CF"/>
    <w:rsid w:val="005753DD"/>
    <w:rsid w:val="005753F9"/>
    <w:rsid w:val="00575753"/>
    <w:rsid w:val="00575AB1"/>
    <w:rsid w:val="00575E2A"/>
    <w:rsid w:val="00576840"/>
    <w:rsid w:val="0057692B"/>
    <w:rsid w:val="00576C93"/>
    <w:rsid w:val="00576D05"/>
    <w:rsid w:val="0057719D"/>
    <w:rsid w:val="0057748B"/>
    <w:rsid w:val="00577530"/>
    <w:rsid w:val="005776EC"/>
    <w:rsid w:val="00577760"/>
    <w:rsid w:val="00577A2E"/>
    <w:rsid w:val="00580C3C"/>
    <w:rsid w:val="00581044"/>
    <w:rsid w:val="00581083"/>
    <w:rsid w:val="005811D4"/>
    <w:rsid w:val="00581429"/>
    <w:rsid w:val="00581CFE"/>
    <w:rsid w:val="005826C2"/>
    <w:rsid w:val="005832F7"/>
    <w:rsid w:val="00583363"/>
    <w:rsid w:val="00583934"/>
    <w:rsid w:val="00583C2C"/>
    <w:rsid w:val="00583CFF"/>
    <w:rsid w:val="00583D35"/>
    <w:rsid w:val="00583F69"/>
    <w:rsid w:val="00584D93"/>
    <w:rsid w:val="00584FCD"/>
    <w:rsid w:val="005857B3"/>
    <w:rsid w:val="005860C4"/>
    <w:rsid w:val="0058620F"/>
    <w:rsid w:val="00586604"/>
    <w:rsid w:val="0058691D"/>
    <w:rsid w:val="00586A09"/>
    <w:rsid w:val="00586CB1"/>
    <w:rsid w:val="00586F26"/>
    <w:rsid w:val="00586F2A"/>
    <w:rsid w:val="00587127"/>
    <w:rsid w:val="005878C9"/>
    <w:rsid w:val="00587916"/>
    <w:rsid w:val="005879DD"/>
    <w:rsid w:val="00587D76"/>
    <w:rsid w:val="00587E60"/>
    <w:rsid w:val="0059036A"/>
    <w:rsid w:val="00590516"/>
    <w:rsid w:val="00590BB8"/>
    <w:rsid w:val="00591645"/>
    <w:rsid w:val="005918B5"/>
    <w:rsid w:val="0059206D"/>
    <w:rsid w:val="00592362"/>
    <w:rsid w:val="005924B4"/>
    <w:rsid w:val="00593044"/>
    <w:rsid w:val="0059305E"/>
    <w:rsid w:val="005931A5"/>
    <w:rsid w:val="00593232"/>
    <w:rsid w:val="00593A99"/>
    <w:rsid w:val="00593E59"/>
    <w:rsid w:val="00594725"/>
    <w:rsid w:val="0059486C"/>
    <w:rsid w:val="0059498D"/>
    <w:rsid w:val="00594CF5"/>
    <w:rsid w:val="00595033"/>
    <w:rsid w:val="005950E8"/>
    <w:rsid w:val="0059519B"/>
    <w:rsid w:val="005951A3"/>
    <w:rsid w:val="005955DB"/>
    <w:rsid w:val="00595A2A"/>
    <w:rsid w:val="00595DA4"/>
    <w:rsid w:val="005960D3"/>
    <w:rsid w:val="005962FE"/>
    <w:rsid w:val="00596452"/>
    <w:rsid w:val="005972B2"/>
    <w:rsid w:val="005A0C65"/>
    <w:rsid w:val="005A0F40"/>
    <w:rsid w:val="005A1189"/>
    <w:rsid w:val="005A1530"/>
    <w:rsid w:val="005A1E10"/>
    <w:rsid w:val="005A2403"/>
    <w:rsid w:val="005A258F"/>
    <w:rsid w:val="005A25C9"/>
    <w:rsid w:val="005A29F5"/>
    <w:rsid w:val="005A2E16"/>
    <w:rsid w:val="005A3352"/>
    <w:rsid w:val="005A3355"/>
    <w:rsid w:val="005A367B"/>
    <w:rsid w:val="005A36F4"/>
    <w:rsid w:val="005A4248"/>
    <w:rsid w:val="005A46FE"/>
    <w:rsid w:val="005A48D7"/>
    <w:rsid w:val="005A4942"/>
    <w:rsid w:val="005A49A5"/>
    <w:rsid w:val="005A4C24"/>
    <w:rsid w:val="005A4FCF"/>
    <w:rsid w:val="005A5F4A"/>
    <w:rsid w:val="005A6194"/>
    <w:rsid w:val="005A6536"/>
    <w:rsid w:val="005A702E"/>
    <w:rsid w:val="005A75B1"/>
    <w:rsid w:val="005B05DB"/>
    <w:rsid w:val="005B0709"/>
    <w:rsid w:val="005B0847"/>
    <w:rsid w:val="005B0C5B"/>
    <w:rsid w:val="005B1133"/>
    <w:rsid w:val="005B14D9"/>
    <w:rsid w:val="005B178E"/>
    <w:rsid w:val="005B1D94"/>
    <w:rsid w:val="005B1E24"/>
    <w:rsid w:val="005B2258"/>
    <w:rsid w:val="005B2524"/>
    <w:rsid w:val="005B2863"/>
    <w:rsid w:val="005B2B7D"/>
    <w:rsid w:val="005B2BED"/>
    <w:rsid w:val="005B2CCE"/>
    <w:rsid w:val="005B35FF"/>
    <w:rsid w:val="005B377E"/>
    <w:rsid w:val="005B3A38"/>
    <w:rsid w:val="005B3E22"/>
    <w:rsid w:val="005B40C0"/>
    <w:rsid w:val="005B43E1"/>
    <w:rsid w:val="005B4685"/>
    <w:rsid w:val="005B4A28"/>
    <w:rsid w:val="005B4B7F"/>
    <w:rsid w:val="005B4E71"/>
    <w:rsid w:val="005B5943"/>
    <w:rsid w:val="005B5D35"/>
    <w:rsid w:val="005B5E84"/>
    <w:rsid w:val="005B621E"/>
    <w:rsid w:val="005B63A2"/>
    <w:rsid w:val="005B68FE"/>
    <w:rsid w:val="005B6F9C"/>
    <w:rsid w:val="005B7265"/>
    <w:rsid w:val="005B7464"/>
    <w:rsid w:val="005B7726"/>
    <w:rsid w:val="005B7AC0"/>
    <w:rsid w:val="005B7D04"/>
    <w:rsid w:val="005B7F3F"/>
    <w:rsid w:val="005B7F66"/>
    <w:rsid w:val="005C0702"/>
    <w:rsid w:val="005C0E42"/>
    <w:rsid w:val="005C1175"/>
    <w:rsid w:val="005C1BAA"/>
    <w:rsid w:val="005C1C9B"/>
    <w:rsid w:val="005C1EA9"/>
    <w:rsid w:val="005C20D4"/>
    <w:rsid w:val="005C20D7"/>
    <w:rsid w:val="005C24EC"/>
    <w:rsid w:val="005C24F4"/>
    <w:rsid w:val="005C2907"/>
    <w:rsid w:val="005C2B7A"/>
    <w:rsid w:val="005C2CC5"/>
    <w:rsid w:val="005C2EB1"/>
    <w:rsid w:val="005C2F50"/>
    <w:rsid w:val="005C3183"/>
    <w:rsid w:val="005C33BC"/>
    <w:rsid w:val="005C3426"/>
    <w:rsid w:val="005C3675"/>
    <w:rsid w:val="005C36EE"/>
    <w:rsid w:val="005C39AD"/>
    <w:rsid w:val="005C3EAD"/>
    <w:rsid w:val="005C45A8"/>
    <w:rsid w:val="005C474A"/>
    <w:rsid w:val="005C4752"/>
    <w:rsid w:val="005C48EB"/>
    <w:rsid w:val="005C4E30"/>
    <w:rsid w:val="005C5056"/>
    <w:rsid w:val="005C57FA"/>
    <w:rsid w:val="005C5E2A"/>
    <w:rsid w:val="005C5F28"/>
    <w:rsid w:val="005C6691"/>
    <w:rsid w:val="005C6952"/>
    <w:rsid w:val="005C6EF7"/>
    <w:rsid w:val="005C70E1"/>
    <w:rsid w:val="005C72B6"/>
    <w:rsid w:val="005C76E5"/>
    <w:rsid w:val="005C7796"/>
    <w:rsid w:val="005D0158"/>
    <w:rsid w:val="005D0202"/>
    <w:rsid w:val="005D03A2"/>
    <w:rsid w:val="005D0548"/>
    <w:rsid w:val="005D0976"/>
    <w:rsid w:val="005D09BD"/>
    <w:rsid w:val="005D0A15"/>
    <w:rsid w:val="005D0A48"/>
    <w:rsid w:val="005D0B43"/>
    <w:rsid w:val="005D0BD5"/>
    <w:rsid w:val="005D1021"/>
    <w:rsid w:val="005D1341"/>
    <w:rsid w:val="005D18FD"/>
    <w:rsid w:val="005D1B27"/>
    <w:rsid w:val="005D1D85"/>
    <w:rsid w:val="005D1EA1"/>
    <w:rsid w:val="005D1EFE"/>
    <w:rsid w:val="005D224A"/>
    <w:rsid w:val="005D24FE"/>
    <w:rsid w:val="005D25A7"/>
    <w:rsid w:val="005D2758"/>
    <w:rsid w:val="005D27F8"/>
    <w:rsid w:val="005D3137"/>
    <w:rsid w:val="005D3567"/>
    <w:rsid w:val="005D3768"/>
    <w:rsid w:val="005D393A"/>
    <w:rsid w:val="005D3EE6"/>
    <w:rsid w:val="005D41B5"/>
    <w:rsid w:val="005D4BB9"/>
    <w:rsid w:val="005D4FF9"/>
    <w:rsid w:val="005D50AC"/>
    <w:rsid w:val="005D54C7"/>
    <w:rsid w:val="005D5844"/>
    <w:rsid w:val="005D5854"/>
    <w:rsid w:val="005D59AA"/>
    <w:rsid w:val="005D5AD8"/>
    <w:rsid w:val="005D63EA"/>
    <w:rsid w:val="005D6965"/>
    <w:rsid w:val="005D71F7"/>
    <w:rsid w:val="005D7836"/>
    <w:rsid w:val="005D7C18"/>
    <w:rsid w:val="005D7CE1"/>
    <w:rsid w:val="005E01D7"/>
    <w:rsid w:val="005E0737"/>
    <w:rsid w:val="005E089F"/>
    <w:rsid w:val="005E1454"/>
    <w:rsid w:val="005E1663"/>
    <w:rsid w:val="005E1C1B"/>
    <w:rsid w:val="005E1EC9"/>
    <w:rsid w:val="005E2105"/>
    <w:rsid w:val="005E2120"/>
    <w:rsid w:val="005E250C"/>
    <w:rsid w:val="005E2789"/>
    <w:rsid w:val="005E2799"/>
    <w:rsid w:val="005E2850"/>
    <w:rsid w:val="005E299A"/>
    <w:rsid w:val="005E2C9B"/>
    <w:rsid w:val="005E2D67"/>
    <w:rsid w:val="005E2DFE"/>
    <w:rsid w:val="005E3619"/>
    <w:rsid w:val="005E3940"/>
    <w:rsid w:val="005E396E"/>
    <w:rsid w:val="005E3DBE"/>
    <w:rsid w:val="005E42B3"/>
    <w:rsid w:val="005E4BB8"/>
    <w:rsid w:val="005E5014"/>
    <w:rsid w:val="005E5532"/>
    <w:rsid w:val="005E5580"/>
    <w:rsid w:val="005E55F1"/>
    <w:rsid w:val="005E5D11"/>
    <w:rsid w:val="005E5E59"/>
    <w:rsid w:val="005E627E"/>
    <w:rsid w:val="005E63D9"/>
    <w:rsid w:val="005E699E"/>
    <w:rsid w:val="005E6AA3"/>
    <w:rsid w:val="005E6CA0"/>
    <w:rsid w:val="005E6CB0"/>
    <w:rsid w:val="005E71B4"/>
    <w:rsid w:val="005E7C1F"/>
    <w:rsid w:val="005E7CD0"/>
    <w:rsid w:val="005E7F2F"/>
    <w:rsid w:val="005F0384"/>
    <w:rsid w:val="005F0A05"/>
    <w:rsid w:val="005F0C9D"/>
    <w:rsid w:val="005F14E4"/>
    <w:rsid w:val="005F1682"/>
    <w:rsid w:val="005F1981"/>
    <w:rsid w:val="005F1FCB"/>
    <w:rsid w:val="005F2293"/>
    <w:rsid w:val="005F2654"/>
    <w:rsid w:val="005F2659"/>
    <w:rsid w:val="005F26ED"/>
    <w:rsid w:val="005F2A62"/>
    <w:rsid w:val="005F2A6E"/>
    <w:rsid w:val="005F2B00"/>
    <w:rsid w:val="005F2B93"/>
    <w:rsid w:val="005F2BAD"/>
    <w:rsid w:val="005F2C8A"/>
    <w:rsid w:val="005F2CE0"/>
    <w:rsid w:val="005F351C"/>
    <w:rsid w:val="005F3AA1"/>
    <w:rsid w:val="005F3C89"/>
    <w:rsid w:val="005F3CE5"/>
    <w:rsid w:val="005F3F19"/>
    <w:rsid w:val="005F4154"/>
    <w:rsid w:val="005F418B"/>
    <w:rsid w:val="005F430C"/>
    <w:rsid w:val="005F44E6"/>
    <w:rsid w:val="005F4665"/>
    <w:rsid w:val="005F5197"/>
    <w:rsid w:val="005F528C"/>
    <w:rsid w:val="005F52BB"/>
    <w:rsid w:val="005F548A"/>
    <w:rsid w:val="005F5582"/>
    <w:rsid w:val="005F55F2"/>
    <w:rsid w:val="005F5CD3"/>
    <w:rsid w:val="005F6038"/>
    <w:rsid w:val="005F6697"/>
    <w:rsid w:val="005F68AA"/>
    <w:rsid w:val="005F696E"/>
    <w:rsid w:val="005F7C5D"/>
    <w:rsid w:val="005F7F87"/>
    <w:rsid w:val="0060017E"/>
    <w:rsid w:val="00600736"/>
    <w:rsid w:val="00600A6A"/>
    <w:rsid w:val="0060119B"/>
    <w:rsid w:val="006018E3"/>
    <w:rsid w:val="00601B32"/>
    <w:rsid w:val="00601B86"/>
    <w:rsid w:val="00602336"/>
    <w:rsid w:val="006029A2"/>
    <w:rsid w:val="00603322"/>
    <w:rsid w:val="0060365B"/>
    <w:rsid w:val="0060391A"/>
    <w:rsid w:val="00603AAB"/>
    <w:rsid w:val="00603D1C"/>
    <w:rsid w:val="00604058"/>
    <w:rsid w:val="006040AD"/>
    <w:rsid w:val="00604167"/>
    <w:rsid w:val="0060454B"/>
    <w:rsid w:val="00605049"/>
    <w:rsid w:val="00605253"/>
    <w:rsid w:val="00605A31"/>
    <w:rsid w:val="00605A40"/>
    <w:rsid w:val="00605A82"/>
    <w:rsid w:val="00605B1F"/>
    <w:rsid w:val="00605F1D"/>
    <w:rsid w:val="00605FD6"/>
    <w:rsid w:val="00606070"/>
    <w:rsid w:val="00606472"/>
    <w:rsid w:val="00606C74"/>
    <w:rsid w:val="00606D85"/>
    <w:rsid w:val="00606F9A"/>
    <w:rsid w:val="006072E9"/>
    <w:rsid w:val="00607B2E"/>
    <w:rsid w:val="00607BFC"/>
    <w:rsid w:val="00610178"/>
    <w:rsid w:val="006104D8"/>
    <w:rsid w:val="0061084D"/>
    <w:rsid w:val="006109D4"/>
    <w:rsid w:val="0061105A"/>
    <w:rsid w:val="006111AB"/>
    <w:rsid w:val="00611212"/>
    <w:rsid w:val="00611DE5"/>
    <w:rsid w:val="00611E9C"/>
    <w:rsid w:val="00612252"/>
    <w:rsid w:val="006125EF"/>
    <w:rsid w:val="00612B07"/>
    <w:rsid w:val="00612DB1"/>
    <w:rsid w:val="00613984"/>
    <w:rsid w:val="00613C76"/>
    <w:rsid w:val="00613C9E"/>
    <w:rsid w:val="00614053"/>
    <w:rsid w:val="0061416E"/>
    <w:rsid w:val="00614182"/>
    <w:rsid w:val="0061440C"/>
    <w:rsid w:val="006146EC"/>
    <w:rsid w:val="006147A0"/>
    <w:rsid w:val="00614CB2"/>
    <w:rsid w:val="00615141"/>
    <w:rsid w:val="00615436"/>
    <w:rsid w:val="00615591"/>
    <w:rsid w:val="006156E4"/>
    <w:rsid w:val="006157A1"/>
    <w:rsid w:val="00615ABB"/>
    <w:rsid w:val="00615CE7"/>
    <w:rsid w:val="006161B1"/>
    <w:rsid w:val="006161D2"/>
    <w:rsid w:val="00616213"/>
    <w:rsid w:val="006162BB"/>
    <w:rsid w:val="00616474"/>
    <w:rsid w:val="006165C5"/>
    <w:rsid w:val="00616BA8"/>
    <w:rsid w:val="0061726D"/>
    <w:rsid w:val="00617605"/>
    <w:rsid w:val="0061766E"/>
    <w:rsid w:val="00617788"/>
    <w:rsid w:val="00617BE2"/>
    <w:rsid w:val="00617E54"/>
    <w:rsid w:val="00617EC1"/>
    <w:rsid w:val="00617F21"/>
    <w:rsid w:val="006205CA"/>
    <w:rsid w:val="00620893"/>
    <w:rsid w:val="006208D3"/>
    <w:rsid w:val="0062092F"/>
    <w:rsid w:val="00621AA0"/>
    <w:rsid w:val="00621AC9"/>
    <w:rsid w:val="00621BDA"/>
    <w:rsid w:val="00621EA7"/>
    <w:rsid w:val="0062247E"/>
    <w:rsid w:val="0062283E"/>
    <w:rsid w:val="00622B72"/>
    <w:rsid w:val="00622CD7"/>
    <w:rsid w:val="00622F4E"/>
    <w:rsid w:val="00623684"/>
    <w:rsid w:val="0062374C"/>
    <w:rsid w:val="00623B76"/>
    <w:rsid w:val="00623CDC"/>
    <w:rsid w:val="00624359"/>
    <w:rsid w:val="006248C7"/>
    <w:rsid w:val="00624AA6"/>
    <w:rsid w:val="00624CCB"/>
    <w:rsid w:val="00624CF1"/>
    <w:rsid w:val="0062511F"/>
    <w:rsid w:val="006255AA"/>
    <w:rsid w:val="0062564D"/>
    <w:rsid w:val="00625803"/>
    <w:rsid w:val="00625950"/>
    <w:rsid w:val="00625BB6"/>
    <w:rsid w:val="00625D74"/>
    <w:rsid w:val="00625EFD"/>
    <w:rsid w:val="00625F30"/>
    <w:rsid w:val="00625F3E"/>
    <w:rsid w:val="00626097"/>
    <w:rsid w:val="006261F6"/>
    <w:rsid w:val="00626670"/>
    <w:rsid w:val="00626C40"/>
    <w:rsid w:val="0062792A"/>
    <w:rsid w:val="00627C48"/>
    <w:rsid w:val="00627D98"/>
    <w:rsid w:val="00627E97"/>
    <w:rsid w:val="0063030B"/>
    <w:rsid w:val="006305BA"/>
    <w:rsid w:val="00630770"/>
    <w:rsid w:val="00630D0B"/>
    <w:rsid w:val="00630D38"/>
    <w:rsid w:val="00630E97"/>
    <w:rsid w:val="0063128E"/>
    <w:rsid w:val="00631431"/>
    <w:rsid w:val="006315B0"/>
    <w:rsid w:val="00631B9F"/>
    <w:rsid w:val="00631E0C"/>
    <w:rsid w:val="0063206E"/>
    <w:rsid w:val="006320C0"/>
    <w:rsid w:val="006325B1"/>
    <w:rsid w:val="006326AF"/>
    <w:rsid w:val="006329AD"/>
    <w:rsid w:val="006331F7"/>
    <w:rsid w:val="006333CF"/>
    <w:rsid w:val="00633BA4"/>
    <w:rsid w:val="00633D29"/>
    <w:rsid w:val="00633D52"/>
    <w:rsid w:val="00634422"/>
    <w:rsid w:val="00634BCB"/>
    <w:rsid w:val="006352A6"/>
    <w:rsid w:val="00635AC7"/>
    <w:rsid w:val="00635D3B"/>
    <w:rsid w:val="006365FB"/>
    <w:rsid w:val="00636BD8"/>
    <w:rsid w:val="00636D2F"/>
    <w:rsid w:val="00636EEC"/>
    <w:rsid w:val="00637167"/>
    <w:rsid w:val="00637A56"/>
    <w:rsid w:val="00640327"/>
    <w:rsid w:val="00640811"/>
    <w:rsid w:val="00640BFA"/>
    <w:rsid w:val="00640CCA"/>
    <w:rsid w:val="00640F26"/>
    <w:rsid w:val="006411E9"/>
    <w:rsid w:val="006414AA"/>
    <w:rsid w:val="006415C8"/>
    <w:rsid w:val="006419AE"/>
    <w:rsid w:val="00641ABA"/>
    <w:rsid w:val="00641C67"/>
    <w:rsid w:val="00641FA6"/>
    <w:rsid w:val="0064203D"/>
    <w:rsid w:val="00642AE8"/>
    <w:rsid w:val="00643E03"/>
    <w:rsid w:val="00643E86"/>
    <w:rsid w:val="00643E9C"/>
    <w:rsid w:val="006440B3"/>
    <w:rsid w:val="006444A0"/>
    <w:rsid w:val="00644C0A"/>
    <w:rsid w:val="006450EB"/>
    <w:rsid w:val="00645535"/>
    <w:rsid w:val="00645715"/>
    <w:rsid w:val="006457DD"/>
    <w:rsid w:val="00645AEB"/>
    <w:rsid w:val="00645F4F"/>
    <w:rsid w:val="0064644A"/>
    <w:rsid w:val="006464E7"/>
    <w:rsid w:val="006468C8"/>
    <w:rsid w:val="00646C44"/>
    <w:rsid w:val="00646EB7"/>
    <w:rsid w:val="00646F71"/>
    <w:rsid w:val="0064738C"/>
    <w:rsid w:val="00647686"/>
    <w:rsid w:val="00647866"/>
    <w:rsid w:val="006479B5"/>
    <w:rsid w:val="00647AD8"/>
    <w:rsid w:val="00647BB5"/>
    <w:rsid w:val="006500FF"/>
    <w:rsid w:val="006504A6"/>
    <w:rsid w:val="00650A07"/>
    <w:rsid w:val="00650A75"/>
    <w:rsid w:val="00651137"/>
    <w:rsid w:val="00651240"/>
    <w:rsid w:val="006517EC"/>
    <w:rsid w:val="006520AA"/>
    <w:rsid w:val="006523AC"/>
    <w:rsid w:val="00652D86"/>
    <w:rsid w:val="00652F56"/>
    <w:rsid w:val="0065304D"/>
    <w:rsid w:val="0065320D"/>
    <w:rsid w:val="0065343C"/>
    <w:rsid w:val="00653632"/>
    <w:rsid w:val="00653A59"/>
    <w:rsid w:val="006541E3"/>
    <w:rsid w:val="00654844"/>
    <w:rsid w:val="006548E1"/>
    <w:rsid w:val="00654AF6"/>
    <w:rsid w:val="00654D22"/>
    <w:rsid w:val="0065509F"/>
    <w:rsid w:val="00655AD2"/>
    <w:rsid w:val="00655C3F"/>
    <w:rsid w:val="00655EAD"/>
    <w:rsid w:val="00656190"/>
    <w:rsid w:val="0065681F"/>
    <w:rsid w:val="00656A78"/>
    <w:rsid w:val="00656B37"/>
    <w:rsid w:val="006579D2"/>
    <w:rsid w:val="00657A94"/>
    <w:rsid w:val="00661232"/>
    <w:rsid w:val="006613CD"/>
    <w:rsid w:val="00661468"/>
    <w:rsid w:val="0066180D"/>
    <w:rsid w:val="006618E5"/>
    <w:rsid w:val="00662139"/>
    <w:rsid w:val="0066245E"/>
    <w:rsid w:val="006632A4"/>
    <w:rsid w:val="006641DB"/>
    <w:rsid w:val="006642CD"/>
    <w:rsid w:val="006645F1"/>
    <w:rsid w:val="00664A7B"/>
    <w:rsid w:val="00664BE9"/>
    <w:rsid w:val="00665123"/>
    <w:rsid w:val="00666004"/>
    <w:rsid w:val="00666381"/>
    <w:rsid w:val="0066639A"/>
    <w:rsid w:val="006668A4"/>
    <w:rsid w:val="00666E96"/>
    <w:rsid w:val="00666FA7"/>
    <w:rsid w:val="00667712"/>
    <w:rsid w:val="00667A52"/>
    <w:rsid w:val="00667E69"/>
    <w:rsid w:val="0067046C"/>
    <w:rsid w:val="006705B9"/>
    <w:rsid w:val="006708A4"/>
    <w:rsid w:val="00670DF4"/>
    <w:rsid w:val="00670E49"/>
    <w:rsid w:val="00670E96"/>
    <w:rsid w:val="00671735"/>
    <w:rsid w:val="006717BD"/>
    <w:rsid w:val="00671BBC"/>
    <w:rsid w:val="00672231"/>
    <w:rsid w:val="006723FA"/>
    <w:rsid w:val="006726B3"/>
    <w:rsid w:val="006726BC"/>
    <w:rsid w:val="006727BC"/>
    <w:rsid w:val="006728C7"/>
    <w:rsid w:val="00672BF3"/>
    <w:rsid w:val="00672CE2"/>
    <w:rsid w:val="00673088"/>
    <w:rsid w:val="00674038"/>
    <w:rsid w:val="00674390"/>
    <w:rsid w:val="00674468"/>
    <w:rsid w:val="0067447C"/>
    <w:rsid w:val="006744F0"/>
    <w:rsid w:val="00674A78"/>
    <w:rsid w:val="00674BE2"/>
    <w:rsid w:val="00674FEE"/>
    <w:rsid w:val="006754B9"/>
    <w:rsid w:val="006757F8"/>
    <w:rsid w:val="00675EED"/>
    <w:rsid w:val="006762CF"/>
    <w:rsid w:val="00676941"/>
    <w:rsid w:val="00676BE3"/>
    <w:rsid w:val="00676BFE"/>
    <w:rsid w:val="00676E3C"/>
    <w:rsid w:val="006770D9"/>
    <w:rsid w:val="006772B0"/>
    <w:rsid w:val="00677441"/>
    <w:rsid w:val="0067759A"/>
    <w:rsid w:val="00677AE3"/>
    <w:rsid w:val="00677CCB"/>
    <w:rsid w:val="00677F2D"/>
    <w:rsid w:val="00680049"/>
    <w:rsid w:val="006800EB"/>
    <w:rsid w:val="00680338"/>
    <w:rsid w:val="006808C8"/>
    <w:rsid w:val="00680D79"/>
    <w:rsid w:val="006815B3"/>
    <w:rsid w:val="006815C9"/>
    <w:rsid w:val="00681A95"/>
    <w:rsid w:val="00681C06"/>
    <w:rsid w:val="00681FF8"/>
    <w:rsid w:val="00682087"/>
    <w:rsid w:val="00682121"/>
    <w:rsid w:val="0068219E"/>
    <w:rsid w:val="006828DF"/>
    <w:rsid w:val="006829E5"/>
    <w:rsid w:val="00682B30"/>
    <w:rsid w:val="00682D5C"/>
    <w:rsid w:val="00682E09"/>
    <w:rsid w:val="00683036"/>
    <w:rsid w:val="00683245"/>
    <w:rsid w:val="0068362A"/>
    <w:rsid w:val="0068374C"/>
    <w:rsid w:val="0068388D"/>
    <w:rsid w:val="0068392A"/>
    <w:rsid w:val="006839FD"/>
    <w:rsid w:val="00684520"/>
    <w:rsid w:val="00684577"/>
    <w:rsid w:val="00684757"/>
    <w:rsid w:val="00684976"/>
    <w:rsid w:val="00684B24"/>
    <w:rsid w:val="00684D75"/>
    <w:rsid w:val="00685018"/>
    <w:rsid w:val="006863C8"/>
    <w:rsid w:val="006863F7"/>
    <w:rsid w:val="006865FF"/>
    <w:rsid w:val="00686D3E"/>
    <w:rsid w:val="00686E96"/>
    <w:rsid w:val="0068736D"/>
    <w:rsid w:val="0068772C"/>
    <w:rsid w:val="00687B33"/>
    <w:rsid w:val="00687C4B"/>
    <w:rsid w:val="00687C69"/>
    <w:rsid w:val="00687C70"/>
    <w:rsid w:val="00687E21"/>
    <w:rsid w:val="00687E8A"/>
    <w:rsid w:val="00691210"/>
    <w:rsid w:val="00691292"/>
    <w:rsid w:val="006921D1"/>
    <w:rsid w:val="0069249A"/>
    <w:rsid w:val="00692556"/>
    <w:rsid w:val="006925D8"/>
    <w:rsid w:val="00692BE1"/>
    <w:rsid w:val="00692D56"/>
    <w:rsid w:val="00692DC4"/>
    <w:rsid w:val="00692E0D"/>
    <w:rsid w:val="006934C2"/>
    <w:rsid w:val="0069371C"/>
    <w:rsid w:val="00693796"/>
    <w:rsid w:val="00693B8A"/>
    <w:rsid w:val="00693DA0"/>
    <w:rsid w:val="0069411A"/>
    <w:rsid w:val="0069412A"/>
    <w:rsid w:val="0069423D"/>
    <w:rsid w:val="006943EC"/>
    <w:rsid w:val="00694A72"/>
    <w:rsid w:val="00694BDA"/>
    <w:rsid w:val="00694C4D"/>
    <w:rsid w:val="00694ED9"/>
    <w:rsid w:val="0069502D"/>
    <w:rsid w:val="00695225"/>
    <w:rsid w:val="006952AF"/>
    <w:rsid w:val="006952B3"/>
    <w:rsid w:val="006955C4"/>
    <w:rsid w:val="00695999"/>
    <w:rsid w:val="00696147"/>
    <w:rsid w:val="00696804"/>
    <w:rsid w:val="00696BF5"/>
    <w:rsid w:val="00696E53"/>
    <w:rsid w:val="00696EE9"/>
    <w:rsid w:val="006971BF"/>
    <w:rsid w:val="006978B8"/>
    <w:rsid w:val="00697AFA"/>
    <w:rsid w:val="00697E09"/>
    <w:rsid w:val="006A00BE"/>
    <w:rsid w:val="006A06D5"/>
    <w:rsid w:val="006A1033"/>
    <w:rsid w:val="006A129D"/>
    <w:rsid w:val="006A1813"/>
    <w:rsid w:val="006A1862"/>
    <w:rsid w:val="006A19F0"/>
    <w:rsid w:val="006A1E9B"/>
    <w:rsid w:val="006A206E"/>
    <w:rsid w:val="006A2339"/>
    <w:rsid w:val="006A2727"/>
    <w:rsid w:val="006A2805"/>
    <w:rsid w:val="006A2C4C"/>
    <w:rsid w:val="006A300E"/>
    <w:rsid w:val="006A301C"/>
    <w:rsid w:val="006A32BE"/>
    <w:rsid w:val="006A36AD"/>
    <w:rsid w:val="006A3EE0"/>
    <w:rsid w:val="006A4197"/>
    <w:rsid w:val="006A47D9"/>
    <w:rsid w:val="006A4B5F"/>
    <w:rsid w:val="006A4EDB"/>
    <w:rsid w:val="006A54D2"/>
    <w:rsid w:val="006A56C0"/>
    <w:rsid w:val="006A571E"/>
    <w:rsid w:val="006A5999"/>
    <w:rsid w:val="006A60AB"/>
    <w:rsid w:val="006A629E"/>
    <w:rsid w:val="006A63C6"/>
    <w:rsid w:val="006A6778"/>
    <w:rsid w:val="006A69D6"/>
    <w:rsid w:val="006A7331"/>
    <w:rsid w:val="006A76BE"/>
    <w:rsid w:val="006A7850"/>
    <w:rsid w:val="006A7CE1"/>
    <w:rsid w:val="006B045D"/>
    <w:rsid w:val="006B0872"/>
    <w:rsid w:val="006B0951"/>
    <w:rsid w:val="006B0A8F"/>
    <w:rsid w:val="006B1615"/>
    <w:rsid w:val="006B172C"/>
    <w:rsid w:val="006B18A9"/>
    <w:rsid w:val="006B1E46"/>
    <w:rsid w:val="006B26EF"/>
    <w:rsid w:val="006B2A1F"/>
    <w:rsid w:val="006B2CED"/>
    <w:rsid w:val="006B2D19"/>
    <w:rsid w:val="006B35F5"/>
    <w:rsid w:val="006B3815"/>
    <w:rsid w:val="006B3C43"/>
    <w:rsid w:val="006B3D20"/>
    <w:rsid w:val="006B3E96"/>
    <w:rsid w:val="006B408F"/>
    <w:rsid w:val="006B4724"/>
    <w:rsid w:val="006B477B"/>
    <w:rsid w:val="006B4963"/>
    <w:rsid w:val="006B4BA3"/>
    <w:rsid w:val="006B520D"/>
    <w:rsid w:val="006B52B1"/>
    <w:rsid w:val="006B5386"/>
    <w:rsid w:val="006B5516"/>
    <w:rsid w:val="006B5558"/>
    <w:rsid w:val="006B56E9"/>
    <w:rsid w:val="006B57E6"/>
    <w:rsid w:val="006B5D67"/>
    <w:rsid w:val="006B6802"/>
    <w:rsid w:val="006B6F53"/>
    <w:rsid w:val="006B6F6C"/>
    <w:rsid w:val="006B6FED"/>
    <w:rsid w:val="006B7043"/>
    <w:rsid w:val="006B73C3"/>
    <w:rsid w:val="006B742F"/>
    <w:rsid w:val="006B79C2"/>
    <w:rsid w:val="006C00FA"/>
    <w:rsid w:val="006C06B5"/>
    <w:rsid w:val="006C0F4B"/>
    <w:rsid w:val="006C1307"/>
    <w:rsid w:val="006C14C7"/>
    <w:rsid w:val="006C16CE"/>
    <w:rsid w:val="006C17CF"/>
    <w:rsid w:val="006C1A87"/>
    <w:rsid w:val="006C1AB4"/>
    <w:rsid w:val="006C1C68"/>
    <w:rsid w:val="006C20A9"/>
    <w:rsid w:val="006C2431"/>
    <w:rsid w:val="006C2ACF"/>
    <w:rsid w:val="006C32CB"/>
    <w:rsid w:val="006C34DC"/>
    <w:rsid w:val="006C3B36"/>
    <w:rsid w:val="006C4713"/>
    <w:rsid w:val="006C4C05"/>
    <w:rsid w:val="006C4EC0"/>
    <w:rsid w:val="006C51CA"/>
    <w:rsid w:val="006C540C"/>
    <w:rsid w:val="006C54A7"/>
    <w:rsid w:val="006C567F"/>
    <w:rsid w:val="006C5730"/>
    <w:rsid w:val="006C581C"/>
    <w:rsid w:val="006C6235"/>
    <w:rsid w:val="006C6284"/>
    <w:rsid w:val="006C71A2"/>
    <w:rsid w:val="006C72BA"/>
    <w:rsid w:val="006C7DAE"/>
    <w:rsid w:val="006D0098"/>
    <w:rsid w:val="006D01E9"/>
    <w:rsid w:val="006D07FA"/>
    <w:rsid w:val="006D13E8"/>
    <w:rsid w:val="006D1912"/>
    <w:rsid w:val="006D1BB0"/>
    <w:rsid w:val="006D21B9"/>
    <w:rsid w:val="006D24F3"/>
    <w:rsid w:val="006D2657"/>
    <w:rsid w:val="006D2662"/>
    <w:rsid w:val="006D2749"/>
    <w:rsid w:val="006D2AB0"/>
    <w:rsid w:val="006D2D39"/>
    <w:rsid w:val="006D2FBE"/>
    <w:rsid w:val="006D326A"/>
    <w:rsid w:val="006D3273"/>
    <w:rsid w:val="006D3458"/>
    <w:rsid w:val="006D36CF"/>
    <w:rsid w:val="006D3952"/>
    <w:rsid w:val="006D3E2D"/>
    <w:rsid w:val="006D4A30"/>
    <w:rsid w:val="006D4C92"/>
    <w:rsid w:val="006D519C"/>
    <w:rsid w:val="006D56EA"/>
    <w:rsid w:val="006D6523"/>
    <w:rsid w:val="006D6549"/>
    <w:rsid w:val="006D671A"/>
    <w:rsid w:val="006D685B"/>
    <w:rsid w:val="006D6A94"/>
    <w:rsid w:val="006D71E3"/>
    <w:rsid w:val="006D7733"/>
    <w:rsid w:val="006D77C4"/>
    <w:rsid w:val="006D77CA"/>
    <w:rsid w:val="006D7DE1"/>
    <w:rsid w:val="006E0202"/>
    <w:rsid w:val="006E0844"/>
    <w:rsid w:val="006E08DD"/>
    <w:rsid w:val="006E0C49"/>
    <w:rsid w:val="006E0D4A"/>
    <w:rsid w:val="006E0F1F"/>
    <w:rsid w:val="006E11B0"/>
    <w:rsid w:val="006E1254"/>
    <w:rsid w:val="006E1E3A"/>
    <w:rsid w:val="006E1E92"/>
    <w:rsid w:val="006E1F40"/>
    <w:rsid w:val="006E224A"/>
    <w:rsid w:val="006E2326"/>
    <w:rsid w:val="006E23F9"/>
    <w:rsid w:val="006E24C0"/>
    <w:rsid w:val="006E2B6D"/>
    <w:rsid w:val="006E3905"/>
    <w:rsid w:val="006E3D3F"/>
    <w:rsid w:val="006E3E08"/>
    <w:rsid w:val="006E3E9E"/>
    <w:rsid w:val="006E4048"/>
    <w:rsid w:val="006E468B"/>
    <w:rsid w:val="006E47C8"/>
    <w:rsid w:val="006E4900"/>
    <w:rsid w:val="006E4B70"/>
    <w:rsid w:val="006E5014"/>
    <w:rsid w:val="006E55D4"/>
    <w:rsid w:val="006E59AE"/>
    <w:rsid w:val="006E6478"/>
    <w:rsid w:val="006E656F"/>
    <w:rsid w:val="006E68F3"/>
    <w:rsid w:val="006E6B16"/>
    <w:rsid w:val="006E6C7D"/>
    <w:rsid w:val="006E6F31"/>
    <w:rsid w:val="006E73E9"/>
    <w:rsid w:val="006E7837"/>
    <w:rsid w:val="006E7CB6"/>
    <w:rsid w:val="006F0352"/>
    <w:rsid w:val="006F0B91"/>
    <w:rsid w:val="006F0C8B"/>
    <w:rsid w:val="006F0CC0"/>
    <w:rsid w:val="006F0DF3"/>
    <w:rsid w:val="006F0E25"/>
    <w:rsid w:val="006F11D1"/>
    <w:rsid w:val="006F122C"/>
    <w:rsid w:val="006F126B"/>
    <w:rsid w:val="006F12E4"/>
    <w:rsid w:val="006F130C"/>
    <w:rsid w:val="006F1F89"/>
    <w:rsid w:val="006F21C7"/>
    <w:rsid w:val="006F2335"/>
    <w:rsid w:val="006F2B11"/>
    <w:rsid w:val="006F2EB4"/>
    <w:rsid w:val="006F314E"/>
    <w:rsid w:val="006F31CB"/>
    <w:rsid w:val="006F3212"/>
    <w:rsid w:val="006F3479"/>
    <w:rsid w:val="006F36AC"/>
    <w:rsid w:val="006F3DB4"/>
    <w:rsid w:val="006F3E4E"/>
    <w:rsid w:val="006F3F4E"/>
    <w:rsid w:val="006F413E"/>
    <w:rsid w:val="006F4AD0"/>
    <w:rsid w:val="006F51CE"/>
    <w:rsid w:val="006F533C"/>
    <w:rsid w:val="006F5393"/>
    <w:rsid w:val="006F53DE"/>
    <w:rsid w:val="006F5420"/>
    <w:rsid w:val="006F5715"/>
    <w:rsid w:val="006F5AF1"/>
    <w:rsid w:val="006F5DB5"/>
    <w:rsid w:val="006F626C"/>
    <w:rsid w:val="006F6274"/>
    <w:rsid w:val="006F676B"/>
    <w:rsid w:val="006F690F"/>
    <w:rsid w:val="006F6F60"/>
    <w:rsid w:val="006F723D"/>
    <w:rsid w:val="006F7382"/>
    <w:rsid w:val="006F77D9"/>
    <w:rsid w:val="006F7800"/>
    <w:rsid w:val="006F78E6"/>
    <w:rsid w:val="006F79B4"/>
    <w:rsid w:val="006F7A98"/>
    <w:rsid w:val="00700010"/>
    <w:rsid w:val="00700376"/>
    <w:rsid w:val="007005B0"/>
    <w:rsid w:val="007005C9"/>
    <w:rsid w:val="00700A20"/>
    <w:rsid w:val="00700F67"/>
    <w:rsid w:val="00701396"/>
    <w:rsid w:val="00701D3D"/>
    <w:rsid w:val="00701E74"/>
    <w:rsid w:val="0070205F"/>
    <w:rsid w:val="00702394"/>
    <w:rsid w:val="0070243A"/>
    <w:rsid w:val="0070243E"/>
    <w:rsid w:val="00702441"/>
    <w:rsid w:val="00702587"/>
    <w:rsid w:val="0070355A"/>
    <w:rsid w:val="00703847"/>
    <w:rsid w:val="00703BF8"/>
    <w:rsid w:val="00703D0E"/>
    <w:rsid w:val="00704385"/>
    <w:rsid w:val="00704B7D"/>
    <w:rsid w:val="00704E49"/>
    <w:rsid w:val="007050D2"/>
    <w:rsid w:val="0070540E"/>
    <w:rsid w:val="0070577B"/>
    <w:rsid w:val="007059A2"/>
    <w:rsid w:val="007060C8"/>
    <w:rsid w:val="00706330"/>
    <w:rsid w:val="00706436"/>
    <w:rsid w:val="00706513"/>
    <w:rsid w:val="00706680"/>
    <w:rsid w:val="00706E97"/>
    <w:rsid w:val="007070B2"/>
    <w:rsid w:val="00707332"/>
    <w:rsid w:val="0070764C"/>
    <w:rsid w:val="007076D1"/>
    <w:rsid w:val="0070771E"/>
    <w:rsid w:val="0070773E"/>
    <w:rsid w:val="00707812"/>
    <w:rsid w:val="00707B16"/>
    <w:rsid w:val="00707E42"/>
    <w:rsid w:val="0071004A"/>
    <w:rsid w:val="00710135"/>
    <w:rsid w:val="0071015B"/>
    <w:rsid w:val="007104B3"/>
    <w:rsid w:val="00710888"/>
    <w:rsid w:val="00710D78"/>
    <w:rsid w:val="00710E56"/>
    <w:rsid w:val="0071116E"/>
    <w:rsid w:val="007111B1"/>
    <w:rsid w:val="0071187D"/>
    <w:rsid w:val="0071188E"/>
    <w:rsid w:val="0071199B"/>
    <w:rsid w:val="00711B0E"/>
    <w:rsid w:val="007124A9"/>
    <w:rsid w:val="00712A71"/>
    <w:rsid w:val="00713A13"/>
    <w:rsid w:val="00713F4A"/>
    <w:rsid w:val="00714423"/>
    <w:rsid w:val="00714563"/>
    <w:rsid w:val="0071498A"/>
    <w:rsid w:val="00715DCE"/>
    <w:rsid w:val="00715F70"/>
    <w:rsid w:val="0071692A"/>
    <w:rsid w:val="00716944"/>
    <w:rsid w:val="00716CB3"/>
    <w:rsid w:val="00717129"/>
    <w:rsid w:val="00717B97"/>
    <w:rsid w:val="00720359"/>
    <w:rsid w:val="007208EC"/>
    <w:rsid w:val="0072095F"/>
    <w:rsid w:val="00720E80"/>
    <w:rsid w:val="00720E9A"/>
    <w:rsid w:val="00721197"/>
    <w:rsid w:val="007216DB"/>
    <w:rsid w:val="0072186D"/>
    <w:rsid w:val="00721C4A"/>
    <w:rsid w:val="00721E22"/>
    <w:rsid w:val="00722001"/>
    <w:rsid w:val="00722282"/>
    <w:rsid w:val="00722349"/>
    <w:rsid w:val="007226E2"/>
    <w:rsid w:val="0072274E"/>
    <w:rsid w:val="00722D28"/>
    <w:rsid w:val="00722D9F"/>
    <w:rsid w:val="00723405"/>
    <w:rsid w:val="00723B9E"/>
    <w:rsid w:val="00723E93"/>
    <w:rsid w:val="00724429"/>
    <w:rsid w:val="0072458A"/>
    <w:rsid w:val="00724F53"/>
    <w:rsid w:val="007250EE"/>
    <w:rsid w:val="00725432"/>
    <w:rsid w:val="007254E6"/>
    <w:rsid w:val="00725AA5"/>
    <w:rsid w:val="00725C18"/>
    <w:rsid w:val="00725F74"/>
    <w:rsid w:val="0072612F"/>
    <w:rsid w:val="0072622D"/>
    <w:rsid w:val="007263EF"/>
    <w:rsid w:val="007265D6"/>
    <w:rsid w:val="0072688D"/>
    <w:rsid w:val="00726C6D"/>
    <w:rsid w:val="0072702B"/>
    <w:rsid w:val="00727056"/>
    <w:rsid w:val="007273EB"/>
    <w:rsid w:val="007273F9"/>
    <w:rsid w:val="00727527"/>
    <w:rsid w:val="00727E67"/>
    <w:rsid w:val="00730430"/>
    <w:rsid w:val="007304EB"/>
    <w:rsid w:val="0073052D"/>
    <w:rsid w:val="00730671"/>
    <w:rsid w:val="00730A84"/>
    <w:rsid w:val="00730C8E"/>
    <w:rsid w:val="00730CE8"/>
    <w:rsid w:val="00730CF0"/>
    <w:rsid w:val="0073175E"/>
    <w:rsid w:val="00731D5D"/>
    <w:rsid w:val="00732325"/>
    <w:rsid w:val="0073249F"/>
    <w:rsid w:val="00732696"/>
    <w:rsid w:val="007327B9"/>
    <w:rsid w:val="00732F2F"/>
    <w:rsid w:val="00733354"/>
    <w:rsid w:val="0073350F"/>
    <w:rsid w:val="007338E6"/>
    <w:rsid w:val="00733A0B"/>
    <w:rsid w:val="00733BC4"/>
    <w:rsid w:val="00734081"/>
    <w:rsid w:val="00734230"/>
    <w:rsid w:val="0073456B"/>
    <w:rsid w:val="00734584"/>
    <w:rsid w:val="00734F91"/>
    <w:rsid w:val="007350E2"/>
    <w:rsid w:val="007351D0"/>
    <w:rsid w:val="0073537E"/>
    <w:rsid w:val="00735576"/>
    <w:rsid w:val="00735C5A"/>
    <w:rsid w:val="00735CB0"/>
    <w:rsid w:val="0073626D"/>
    <w:rsid w:val="0073647B"/>
    <w:rsid w:val="0073683C"/>
    <w:rsid w:val="00736919"/>
    <w:rsid w:val="00736BB6"/>
    <w:rsid w:val="007374FC"/>
    <w:rsid w:val="0073783A"/>
    <w:rsid w:val="00737A95"/>
    <w:rsid w:val="00740104"/>
    <w:rsid w:val="00740AE5"/>
    <w:rsid w:val="00740AF7"/>
    <w:rsid w:val="00740BBE"/>
    <w:rsid w:val="00741169"/>
    <w:rsid w:val="00741594"/>
    <w:rsid w:val="0074188E"/>
    <w:rsid w:val="007419C7"/>
    <w:rsid w:val="00741FBF"/>
    <w:rsid w:val="007427C2"/>
    <w:rsid w:val="007428BA"/>
    <w:rsid w:val="00742CB5"/>
    <w:rsid w:val="00743395"/>
    <w:rsid w:val="00743490"/>
    <w:rsid w:val="00744162"/>
    <w:rsid w:val="007442A7"/>
    <w:rsid w:val="0074454B"/>
    <w:rsid w:val="007447E6"/>
    <w:rsid w:val="00744CF3"/>
    <w:rsid w:val="00744EA8"/>
    <w:rsid w:val="00744EAF"/>
    <w:rsid w:val="00745378"/>
    <w:rsid w:val="007453D8"/>
    <w:rsid w:val="0074561C"/>
    <w:rsid w:val="00745692"/>
    <w:rsid w:val="0074570A"/>
    <w:rsid w:val="00745B38"/>
    <w:rsid w:val="00745C14"/>
    <w:rsid w:val="00745C27"/>
    <w:rsid w:val="00745C75"/>
    <w:rsid w:val="00745DB4"/>
    <w:rsid w:val="00745E8F"/>
    <w:rsid w:val="00745ED4"/>
    <w:rsid w:val="007460A9"/>
    <w:rsid w:val="007468E7"/>
    <w:rsid w:val="00746931"/>
    <w:rsid w:val="00746AAA"/>
    <w:rsid w:val="00746BF4"/>
    <w:rsid w:val="00746DBF"/>
    <w:rsid w:val="00747373"/>
    <w:rsid w:val="00747E18"/>
    <w:rsid w:val="00747FC7"/>
    <w:rsid w:val="0075061F"/>
    <w:rsid w:val="00750B2D"/>
    <w:rsid w:val="00750CBF"/>
    <w:rsid w:val="00750DC0"/>
    <w:rsid w:val="0075106F"/>
    <w:rsid w:val="00752177"/>
    <w:rsid w:val="00752620"/>
    <w:rsid w:val="007526A4"/>
    <w:rsid w:val="00752A01"/>
    <w:rsid w:val="007532A0"/>
    <w:rsid w:val="00753714"/>
    <w:rsid w:val="0075377D"/>
    <w:rsid w:val="00753BEF"/>
    <w:rsid w:val="007540E2"/>
    <w:rsid w:val="00754744"/>
    <w:rsid w:val="0075485B"/>
    <w:rsid w:val="00754937"/>
    <w:rsid w:val="00755523"/>
    <w:rsid w:val="00755F7C"/>
    <w:rsid w:val="00755F93"/>
    <w:rsid w:val="00756364"/>
    <w:rsid w:val="00756C8A"/>
    <w:rsid w:val="00757326"/>
    <w:rsid w:val="0075739B"/>
    <w:rsid w:val="00757907"/>
    <w:rsid w:val="00757A31"/>
    <w:rsid w:val="00757AF5"/>
    <w:rsid w:val="00757DFB"/>
    <w:rsid w:val="00760595"/>
    <w:rsid w:val="007605D3"/>
    <w:rsid w:val="00760673"/>
    <w:rsid w:val="00760A0A"/>
    <w:rsid w:val="00760C2B"/>
    <w:rsid w:val="00761075"/>
    <w:rsid w:val="0076170F"/>
    <w:rsid w:val="007617B2"/>
    <w:rsid w:val="00761B9B"/>
    <w:rsid w:val="00761E41"/>
    <w:rsid w:val="0076257D"/>
    <w:rsid w:val="007631CD"/>
    <w:rsid w:val="00763763"/>
    <w:rsid w:val="00763F2A"/>
    <w:rsid w:val="007644A2"/>
    <w:rsid w:val="00764BDC"/>
    <w:rsid w:val="007650F5"/>
    <w:rsid w:val="00765E4A"/>
    <w:rsid w:val="00766319"/>
    <w:rsid w:val="007668A1"/>
    <w:rsid w:val="00766E27"/>
    <w:rsid w:val="0076754B"/>
    <w:rsid w:val="0076760A"/>
    <w:rsid w:val="0076773F"/>
    <w:rsid w:val="00767770"/>
    <w:rsid w:val="00767852"/>
    <w:rsid w:val="007678FD"/>
    <w:rsid w:val="00767CE4"/>
    <w:rsid w:val="00770143"/>
    <w:rsid w:val="007701F1"/>
    <w:rsid w:val="0077072A"/>
    <w:rsid w:val="0077074D"/>
    <w:rsid w:val="00770FA0"/>
    <w:rsid w:val="0077129B"/>
    <w:rsid w:val="007716A6"/>
    <w:rsid w:val="0077186F"/>
    <w:rsid w:val="00771B62"/>
    <w:rsid w:val="00772D1D"/>
    <w:rsid w:val="007730B0"/>
    <w:rsid w:val="007733CB"/>
    <w:rsid w:val="00773925"/>
    <w:rsid w:val="00773ACE"/>
    <w:rsid w:val="00774319"/>
    <w:rsid w:val="00774357"/>
    <w:rsid w:val="0077473E"/>
    <w:rsid w:val="00774ACB"/>
    <w:rsid w:val="00774AE7"/>
    <w:rsid w:val="00775090"/>
    <w:rsid w:val="00775101"/>
    <w:rsid w:val="00775783"/>
    <w:rsid w:val="00775991"/>
    <w:rsid w:val="007760DB"/>
    <w:rsid w:val="00776404"/>
    <w:rsid w:val="0077671D"/>
    <w:rsid w:val="00776C0B"/>
    <w:rsid w:val="00776C76"/>
    <w:rsid w:val="00776DFD"/>
    <w:rsid w:val="00776F88"/>
    <w:rsid w:val="00777028"/>
    <w:rsid w:val="00777277"/>
    <w:rsid w:val="007774B6"/>
    <w:rsid w:val="0077771C"/>
    <w:rsid w:val="00777878"/>
    <w:rsid w:val="00777988"/>
    <w:rsid w:val="00777D69"/>
    <w:rsid w:val="00777E51"/>
    <w:rsid w:val="0078003D"/>
    <w:rsid w:val="00780108"/>
    <w:rsid w:val="007807DE"/>
    <w:rsid w:val="00780A15"/>
    <w:rsid w:val="00780A9E"/>
    <w:rsid w:val="00780AF3"/>
    <w:rsid w:val="00780DFB"/>
    <w:rsid w:val="007814D5"/>
    <w:rsid w:val="007819B4"/>
    <w:rsid w:val="00782A3C"/>
    <w:rsid w:val="00783182"/>
    <w:rsid w:val="0078359D"/>
    <w:rsid w:val="007836D1"/>
    <w:rsid w:val="0078372D"/>
    <w:rsid w:val="0078389B"/>
    <w:rsid w:val="00784512"/>
    <w:rsid w:val="007846A6"/>
    <w:rsid w:val="00784F77"/>
    <w:rsid w:val="0078523B"/>
    <w:rsid w:val="00785E06"/>
    <w:rsid w:val="00785E0D"/>
    <w:rsid w:val="0078657E"/>
    <w:rsid w:val="00786614"/>
    <w:rsid w:val="007869AE"/>
    <w:rsid w:val="00786C64"/>
    <w:rsid w:val="0078716E"/>
    <w:rsid w:val="00787364"/>
    <w:rsid w:val="007874A3"/>
    <w:rsid w:val="007878BA"/>
    <w:rsid w:val="00787EC3"/>
    <w:rsid w:val="007910A5"/>
    <w:rsid w:val="0079113B"/>
    <w:rsid w:val="0079120C"/>
    <w:rsid w:val="00791ABE"/>
    <w:rsid w:val="00792702"/>
    <w:rsid w:val="007928C8"/>
    <w:rsid w:val="00792A32"/>
    <w:rsid w:val="007930C9"/>
    <w:rsid w:val="0079377D"/>
    <w:rsid w:val="00794092"/>
    <w:rsid w:val="00794292"/>
    <w:rsid w:val="00794C0D"/>
    <w:rsid w:val="00794C81"/>
    <w:rsid w:val="00795437"/>
    <w:rsid w:val="0079543F"/>
    <w:rsid w:val="0079562C"/>
    <w:rsid w:val="007956FC"/>
    <w:rsid w:val="007957F6"/>
    <w:rsid w:val="007958CD"/>
    <w:rsid w:val="00795A61"/>
    <w:rsid w:val="00795EC5"/>
    <w:rsid w:val="00795FB9"/>
    <w:rsid w:val="00796019"/>
    <w:rsid w:val="0079610F"/>
    <w:rsid w:val="00796219"/>
    <w:rsid w:val="0079655C"/>
    <w:rsid w:val="00796790"/>
    <w:rsid w:val="00796921"/>
    <w:rsid w:val="00796A97"/>
    <w:rsid w:val="007972CC"/>
    <w:rsid w:val="00797371"/>
    <w:rsid w:val="00797514"/>
    <w:rsid w:val="00797E48"/>
    <w:rsid w:val="00797FAC"/>
    <w:rsid w:val="007A04FA"/>
    <w:rsid w:val="007A0AC7"/>
    <w:rsid w:val="007A0B21"/>
    <w:rsid w:val="007A0B5A"/>
    <w:rsid w:val="007A0B8D"/>
    <w:rsid w:val="007A0E8E"/>
    <w:rsid w:val="007A113F"/>
    <w:rsid w:val="007A1CA7"/>
    <w:rsid w:val="007A1E6D"/>
    <w:rsid w:val="007A262E"/>
    <w:rsid w:val="007A285B"/>
    <w:rsid w:val="007A2A1E"/>
    <w:rsid w:val="007A2A43"/>
    <w:rsid w:val="007A3377"/>
    <w:rsid w:val="007A3551"/>
    <w:rsid w:val="007A3598"/>
    <w:rsid w:val="007A395C"/>
    <w:rsid w:val="007A41BA"/>
    <w:rsid w:val="007A4BDB"/>
    <w:rsid w:val="007A532E"/>
    <w:rsid w:val="007A55A5"/>
    <w:rsid w:val="007A5FE9"/>
    <w:rsid w:val="007A6285"/>
    <w:rsid w:val="007A6595"/>
    <w:rsid w:val="007A6614"/>
    <w:rsid w:val="007A69AD"/>
    <w:rsid w:val="007A6B04"/>
    <w:rsid w:val="007A7208"/>
    <w:rsid w:val="007A732B"/>
    <w:rsid w:val="007A76C8"/>
    <w:rsid w:val="007A76DE"/>
    <w:rsid w:val="007A7753"/>
    <w:rsid w:val="007A79B5"/>
    <w:rsid w:val="007A7EB7"/>
    <w:rsid w:val="007B00E5"/>
    <w:rsid w:val="007B1B21"/>
    <w:rsid w:val="007B1FDA"/>
    <w:rsid w:val="007B2175"/>
    <w:rsid w:val="007B2A15"/>
    <w:rsid w:val="007B2CB8"/>
    <w:rsid w:val="007B38D2"/>
    <w:rsid w:val="007B3D55"/>
    <w:rsid w:val="007B43D1"/>
    <w:rsid w:val="007B43FA"/>
    <w:rsid w:val="007B45A5"/>
    <w:rsid w:val="007B47E9"/>
    <w:rsid w:val="007B4ACB"/>
    <w:rsid w:val="007B4C7F"/>
    <w:rsid w:val="007B4D03"/>
    <w:rsid w:val="007B5975"/>
    <w:rsid w:val="007B5A44"/>
    <w:rsid w:val="007B5D48"/>
    <w:rsid w:val="007B5D81"/>
    <w:rsid w:val="007B6076"/>
    <w:rsid w:val="007B614C"/>
    <w:rsid w:val="007B614D"/>
    <w:rsid w:val="007B62AB"/>
    <w:rsid w:val="007B6873"/>
    <w:rsid w:val="007B69DE"/>
    <w:rsid w:val="007B6D0C"/>
    <w:rsid w:val="007B6FEE"/>
    <w:rsid w:val="007B715C"/>
    <w:rsid w:val="007B7379"/>
    <w:rsid w:val="007B7882"/>
    <w:rsid w:val="007B7BC4"/>
    <w:rsid w:val="007B7D7A"/>
    <w:rsid w:val="007C0074"/>
    <w:rsid w:val="007C0495"/>
    <w:rsid w:val="007C08C5"/>
    <w:rsid w:val="007C08F0"/>
    <w:rsid w:val="007C12EF"/>
    <w:rsid w:val="007C17CA"/>
    <w:rsid w:val="007C192A"/>
    <w:rsid w:val="007C1CEC"/>
    <w:rsid w:val="007C20E5"/>
    <w:rsid w:val="007C268D"/>
    <w:rsid w:val="007C26EC"/>
    <w:rsid w:val="007C29F9"/>
    <w:rsid w:val="007C2ADD"/>
    <w:rsid w:val="007C2C61"/>
    <w:rsid w:val="007C2E0C"/>
    <w:rsid w:val="007C2F8F"/>
    <w:rsid w:val="007C3541"/>
    <w:rsid w:val="007C3BB8"/>
    <w:rsid w:val="007C3DD8"/>
    <w:rsid w:val="007C3EEC"/>
    <w:rsid w:val="007C42AB"/>
    <w:rsid w:val="007C42BD"/>
    <w:rsid w:val="007C46E5"/>
    <w:rsid w:val="007C4F22"/>
    <w:rsid w:val="007C5167"/>
    <w:rsid w:val="007C522C"/>
    <w:rsid w:val="007C56A4"/>
    <w:rsid w:val="007C587A"/>
    <w:rsid w:val="007C59FB"/>
    <w:rsid w:val="007C5B37"/>
    <w:rsid w:val="007C5D1F"/>
    <w:rsid w:val="007C6653"/>
    <w:rsid w:val="007C6F38"/>
    <w:rsid w:val="007C71FF"/>
    <w:rsid w:val="007C77F0"/>
    <w:rsid w:val="007C7EBA"/>
    <w:rsid w:val="007C7F73"/>
    <w:rsid w:val="007D02A9"/>
    <w:rsid w:val="007D04B1"/>
    <w:rsid w:val="007D0BF5"/>
    <w:rsid w:val="007D0D7C"/>
    <w:rsid w:val="007D0ED2"/>
    <w:rsid w:val="007D103B"/>
    <w:rsid w:val="007D1A50"/>
    <w:rsid w:val="007D1ADC"/>
    <w:rsid w:val="007D1F1C"/>
    <w:rsid w:val="007D2078"/>
    <w:rsid w:val="007D2519"/>
    <w:rsid w:val="007D252E"/>
    <w:rsid w:val="007D283D"/>
    <w:rsid w:val="007D2D0D"/>
    <w:rsid w:val="007D3127"/>
    <w:rsid w:val="007D3230"/>
    <w:rsid w:val="007D33B0"/>
    <w:rsid w:val="007D34A8"/>
    <w:rsid w:val="007D37F8"/>
    <w:rsid w:val="007D4125"/>
    <w:rsid w:val="007D41BA"/>
    <w:rsid w:val="007D4305"/>
    <w:rsid w:val="007D4342"/>
    <w:rsid w:val="007D479E"/>
    <w:rsid w:val="007D4B90"/>
    <w:rsid w:val="007D5104"/>
    <w:rsid w:val="007D52D0"/>
    <w:rsid w:val="007D57DD"/>
    <w:rsid w:val="007D5C66"/>
    <w:rsid w:val="007D5CC4"/>
    <w:rsid w:val="007D5D20"/>
    <w:rsid w:val="007D5EBA"/>
    <w:rsid w:val="007D673D"/>
    <w:rsid w:val="007D68A0"/>
    <w:rsid w:val="007D690B"/>
    <w:rsid w:val="007D6D23"/>
    <w:rsid w:val="007D7076"/>
    <w:rsid w:val="007D708C"/>
    <w:rsid w:val="007D708E"/>
    <w:rsid w:val="007D709B"/>
    <w:rsid w:val="007D73C3"/>
    <w:rsid w:val="007E01B5"/>
    <w:rsid w:val="007E0562"/>
    <w:rsid w:val="007E09C1"/>
    <w:rsid w:val="007E0DEC"/>
    <w:rsid w:val="007E0E4A"/>
    <w:rsid w:val="007E10EB"/>
    <w:rsid w:val="007E1E29"/>
    <w:rsid w:val="007E1FF6"/>
    <w:rsid w:val="007E2451"/>
    <w:rsid w:val="007E261D"/>
    <w:rsid w:val="007E2886"/>
    <w:rsid w:val="007E2A12"/>
    <w:rsid w:val="007E309B"/>
    <w:rsid w:val="007E32E6"/>
    <w:rsid w:val="007E348A"/>
    <w:rsid w:val="007E3794"/>
    <w:rsid w:val="007E3D09"/>
    <w:rsid w:val="007E3DFE"/>
    <w:rsid w:val="007E4003"/>
    <w:rsid w:val="007E46C1"/>
    <w:rsid w:val="007E480B"/>
    <w:rsid w:val="007E48C6"/>
    <w:rsid w:val="007E4927"/>
    <w:rsid w:val="007E4990"/>
    <w:rsid w:val="007E4999"/>
    <w:rsid w:val="007E4B7B"/>
    <w:rsid w:val="007E4C7A"/>
    <w:rsid w:val="007E4D05"/>
    <w:rsid w:val="007E57D3"/>
    <w:rsid w:val="007E592F"/>
    <w:rsid w:val="007E5CDE"/>
    <w:rsid w:val="007E60F3"/>
    <w:rsid w:val="007E65A6"/>
    <w:rsid w:val="007E67F7"/>
    <w:rsid w:val="007E6800"/>
    <w:rsid w:val="007E7016"/>
    <w:rsid w:val="007E7047"/>
    <w:rsid w:val="007E71DA"/>
    <w:rsid w:val="007E7256"/>
    <w:rsid w:val="007E72CD"/>
    <w:rsid w:val="007E7312"/>
    <w:rsid w:val="007E7476"/>
    <w:rsid w:val="007E7519"/>
    <w:rsid w:val="007E77D4"/>
    <w:rsid w:val="007E783E"/>
    <w:rsid w:val="007E7985"/>
    <w:rsid w:val="007E7DE8"/>
    <w:rsid w:val="007E7F9D"/>
    <w:rsid w:val="007F0544"/>
    <w:rsid w:val="007F0719"/>
    <w:rsid w:val="007F098A"/>
    <w:rsid w:val="007F0B75"/>
    <w:rsid w:val="007F0C07"/>
    <w:rsid w:val="007F0F80"/>
    <w:rsid w:val="007F1174"/>
    <w:rsid w:val="007F11CD"/>
    <w:rsid w:val="007F122A"/>
    <w:rsid w:val="007F13D6"/>
    <w:rsid w:val="007F1950"/>
    <w:rsid w:val="007F1B93"/>
    <w:rsid w:val="007F1DD6"/>
    <w:rsid w:val="007F1ED9"/>
    <w:rsid w:val="007F2466"/>
    <w:rsid w:val="007F2C5C"/>
    <w:rsid w:val="007F2C77"/>
    <w:rsid w:val="007F2DAA"/>
    <w:rsid w:val="007F3202"/>
    <w:rsid w:val="007F37AB"/>
    <w:rsid w:val="007F4205"/>
    <w:rsid w:val="007F4816"/>
    <w:rsid w:val="007F4B1D"/>
    <w:rsid w:val="007F4F56"/>
    <w:rsid w:val="007F50B5"/>
    <w:rsid w:val="007F5457"/>
    <w:rsid w:val="007F5531"/>
    <w:rsid w:val="007F5876"/>
    <w:rsid w:val="007F593F"/>
    <w:rsid w:val="007F5E87"/>
    <w:rsid w:val="007F60D9"/>
    <w:rsid w:val="007F6165"/>
    <w:rsid w:val="007F62F4"/>
    <w:rsid w:val="007F63C5"/>
    <w:rsid w:val="007F65E0"/>
    <w:rsid w:val="007F6A97"/>
    <w:rsid w:val="007F721C"/>
    <w:rsid w:val="007F777F"/>
    <w:rsid w:val="007F7ACB"/>
    <w:rsid w:val="007F7BA9"/>
    <w:rsid w:val="00800149"/>
    <w:rsid w:val="00800267"/>
    <w:rsid w:val="0080027B"/>
    <w:rsid w:val="00800354"/>
    <w:rsid w:val="00800682"/>
    <w:rsid w:val="008008BC"/>
    <w:rsid w:val="00800958"/>
    <w:rsid w:val="00800A24"/>
    <w:rsid w:val="00800A8F"/>
    <w:rsid w:val="00800D37"/>
    <w:rsid w:val="00800E7C"/>
    <w:rsid w:val="00800FFC"/>
    <w:rsid w:val="0080108D"/>
    <w:rsid w:val="008011EC"/>
    <w:rsid w:val="0080177F"/>
    <w:rsid w:val="00801A07"/>
    <w:rsid w:val="00801F00"/>
    <w:rsid w:val="00802296"/>
    <w:rsid w:val="008023F9"/>
    <w:rsid w:val="008025E4"/>
    <w:rsid w:val="00802BD4"/>
    <w:rsid w:val="008038ED"/>
    <w:rsid w:val="0080428F"/>
    <w:rsid w:val="008043F2"/>
    <w:rsid w:val="008049A7"/>
    <w:rsid w:val="00804A86"/>
    <w:rsid w:val="00804B38"/>
    <w:rsid w:val="00804CB5"/>
    <w:rsid w:val="00804E2E"/>
    <w:rsid w:val="0080505B"/>
    <w:rsid w:val="00805360"/>
    <w:rsid w:val="008054E2"/>
    <w:rsid w:val="0080573B"/>
    <w:rsid w:val="008057D6"/>
    <w:rsid w:val="00805D00"/>
    <w:rsid w:val="008062CA"/>
    <w:rsid w:val="00806503"/>
    <w:rsid w:val="00806627"/>
    <w:rsid w:val="0080694C"/>
    <w:rsid w:val="00806C46"/>
    <w:rsid w:val="00806E4D"/>
    <w:rsid w:val="00806F6A"/>
    <w:rsid w:val="00806FC9"/>
    <w:rsid w:val="00807380"/>
    <w:rsid w:val="0080746B"/>
    <w:rsid w:val="008075CD"/>
    <w:rsid w:val="008075EF"/>
    <w:rsid w:val="00807722"/>
    <w:rsid w:val="00807F80"/>
    <w:rsid w:val="00810471"/>
    <w:rsid w:val="008104BB"/>
    <w:rsid w:val="00810593"/>
    <w:rsid w:val="00811096"/>
    <w:rsid w:val="008112D3"/>
    <w:rsid w:val="008117E5"/>
    <w:rsid w:val="0081195A"/>
    <w:rsid w:val="00811C5C"/>
    <w:rsid w:val="00811D42"/>
    <w:rsid w:val="00811D55"/>
    <w:rsid w:val="00811E9F"/>
    <w:rsid w:val="00811F49"/>
    <w:rsid w:val="008124B4"/>
    <w:rsid w:val="00812992"/>
    <w:rsid w:val="00812A7F"/>
    <w:rsid w:val="008131A6"/>
    <w:rsid w:val="0081342A"/>
    <w:rsid w:val="00813557"/>
    <w:rsid w:val="008135AD"/>
    <w:rsid w:val="00813746"/>
    <w:rsid w:val="008137CF"/>
    <w:rsid w:val="0081390F"/>
    <w:rsid w:val="00813EDB"/>
    <w:rsid w:val="00814A6E"/>
    <w:rsid w:val="00814CB1"/>
    <w:rsid w:val="00814D43"/>
    <w:rsid w:val="00815332"/>
    <w:rsid w:val="008165D6"/>
    <w:rsid w:val="00816816"/>
    <w:rsid w:val="00816D3E"/>
    <w:rsid w:val="0081732C"/>
    <w:rsid w:val="00817518"/>
    <w:rsid w:val="0081759D"/>
    <w:rsid w:val="00817713"/>
    <w:rsid w:val="00817793"/>
    <w:rsid w:val="00817C98"/>
    <w:rsid w:val="008200DD"/>
    <w:rsid w:val="00820147"/>
    <w:rsid w:val="0082016E"/>
    <w:rsid w:val="00820682"/>
    <w:rsid w:val="00820879"/>
    <w:rsid w:val="00820BE9"/>
    <w:rsid w:val="00820F86"/>
    <w:rsid w:val="00821088"/>
    <w:rsid w:val="008215CD"/>
    <w:rsid w:val="0082181E"/>
    <w:rsid w:val="00821D1E"/>
    <w:rsid w:val="00822094"/>
    <w:rsid w:val="00822179"/>
    <w:rsid w:val="008229F4"/>
    <w:rsid w:val="00822C5D"/>
    <w:rsid w:val="00822CB7"/>
    <w:rsid w:val="008233ED"/>
    <w:rsid w:val="0082393D"/>
    <w:rsid w:val="00823B29"/>
    <w:rsid w:val="00823C9A"/>
    <w:rsid w:val="00823DC4"/>
    <w:rsid w:val="00824056"/>
    <w:rsid w:val="00824187"/>
    <w:rsid w:val="0082439C"/>
    <w:rsid w:val="00824DBF"/>
    <w:rsid w:val="00824F77"/>
    <w:rsid w:val="00824FEA"/>
    <w:rsid w:val="008252CA"/>
    <w:rsid w:val="00825351"/>
    <w:rsid w:val="008254EA"/>
    <w:rsid w:val="008255A0"/>
    <w:rsid w:val="00825794"/>
    <w:rsid w:val="008259BC"/>
    <w:rsid w:val="00825A64"/>
    <w:rsid w:val="00825AB4"/>
    <w:rsid w:val="00825DF5"/>
    <w:rsid w:val="00825EB7"/>
    <w:rsid w:val="00826603"/>
    <w:rsid w:val="008267A7"/>
    <w:rsid w:val="008268B6"/>
    <w:rsid w:val="00826D7B"/>
    <w:rsid w:val="00827464"/>
    <w:rsid w:val="00827A72"/>
    <w:rsid w:val="00827F02"/>
    <w:rsid w:val="0083095D"/>
    <w:rsid w:val="00830E10"/>
    <w:rsid w:val="00830FCB"/>
    <w:rsid w:val="00831751"/>
    <w:rsid w:val="00831AC8"/>
    <w:rsid w:val="008327F4"/>
    <w:rsid w:val="00832C29"/>
    <w:rsid w:val="008334AE"/>
    <w:rsid w:val="00833EAA"/>
    <w:rsid w:val="008343F4"/>
    <w:rsid w:val="008345FF"/>
    <w:rsid w:val="00834D4F"/>
    <w:rsid w:val="00835190"/>
    <w:rsid w:val="00835301"/>
    <w:rsid w:val="008358CE"/>
    <w:rsid w:val="00835A47"/>
    <w:rsid w:val="00835E85"/>
    <w:rsid w:val="00836075"/>
    <w:rsid w:val="0083681A"/>
    <w:rsid w:val="00836EE5"/>
    <w:rsid w:val="00837042"/>
    <w:rsid w:val="0083724F"/>
    <w:rsid w:val="00837433"/>
    <w:rsid w:val="0083755A"/>
    <w:rsid w:val="00837957"/>
    <w:rsid w:val="00837BD7"/>
    <w:rsid w:val="00837C07"/>
    <w:rsid w:val="00837C26"/>
    <w:rsid w:val="00840C05"/>
    <w:rsid w:val="00840C3F"/>
    <w:rsid w:val="00841271"/>
    <w:rsid w:val="008415F2"/>
    <w:rsid w:val="008416D6"/>
    <w:rsid w:val="0084176F"/>
    <w:rsid w:val="00841810"/>
    <w:rsid w:val="00841A06"/>
    <w:rsid w:val="008422B4"/>
    <w:rsid w:val="00842387"/>
    <w:rsid w:val="008424C0"/>
    <w:rsid w:val="00842674"/>
    <w:rsid w:val="00842759"/>
    <w:rsid w:val="00842BA4"/>
    <w:rsid w:val="00843198"/>
    <w:rsid w:val="008431EA"/>
    <w:rsid w:val="00843457"/>
    <w:rsid w:val="00843530"/>
    <w:rsid w:val="00843BBC"/>
    <w:rsid w:val="00843C51"/>
    <w:rsid w:val="008441F8"/>
    <w:rsid w:val="00844271"/>
    <w:rsid w:val="00844628"/>
    <w:rsid w:val="008448C3"/>
    <w:rsid w:val="00844B03"/>
    <w:rsid w:val="00844B32"/>
    <w:rsid w:val="00844FC2"/>
    <w:rsid w:val="00845372"/>
    <w:rsid w:val="008459E0"/>
    <w:rsid w:val="00845BD6"/>
    <w:rsid w:val="00845BF1"/>
    <w:rsid w:val="00845FA7"/>
    <w:rsid w:val="00846145"/>
    <w:rsid w:val="00846531"/>
    <w:rsid w:val="008465EA"/>
    <w:rsid w:val="00846A09"/>
    <w:rsid w:val="00846C4C"/>
    <w:rsid w:val="008470D0"/>
    <w:rsid w:val="008472BE"/>
    <w:rsid w:val="0084730C"/>
    <w:rsid w:val="008477A6"/>
    <w:rsid w:val="00847A0E"/>
    <w:rsid w:val="008503B3"/>
    <w:rsid w:val="008506EB"/>
    <w:rsid w:val="0085097C"/>
    <w:rsid w:val="00850A2B"/>
    <w:rsid w:val="0085101F"/>
    <w:rsid w:val="00851635"/>
    <w:rsid w:val="00851E00"/>
    <w:rsid w:val="00851FA8"/>
    <w:rsid w:val="0085255B"/>
    <w:rsid w:val="0085265F"/>
    <w:rsid w:val="00852E76"/>
    <w:rsid w:val="00852FB1"/>
    <w:rsid w:val="00853059"/>
    <w:rsid w:val="008538A7"/>
    <w:rsid w:val="00853F15"/>
    <w:rsid w:val="00853FCB"/>
    <w:rsid w:val="008540F9"/>
    <w:rsid w:val="008541CC"/>
    <w:rsid w:val="008542C8"/>
    <w:rsid w:val="00854326"/>
    <w:rsid w:val="008549FB"/>
    <w:rsid w:val="00854F5A"/>
    <w:rsid w:val="00855326"/>
    <w:rsid w:val="008558EC"/>
    <w:rsid w:val="00855958"/>
    <w:rsid w:val="00855B25"/>
    <w:rsid w:val="00855C15"/>
    <w:rsid w:val="00856163"/>
    <w:rsid w:val="00856360"/>
    <w:rsid w:val="0085659F"/>
    <w:rsid w:val="00856672"/>
    <w:rsid w:val="00856AC3"/>
    <w:rsid w:val="00856CC2"/>
    <w:rsid w:val="00856CE8"/>
    <w:rsid w:val="00857500"/>
    <w:rsid w:val="008575A6"/>
    <w:rsid w:val="008600BC"/>
    <w:rsid w:val="00860E28"/>
    <w:rsid w:val="0086107D"/>
    <w:rsid w:val="008611DA"/>
    <w:rsid w:val="008616AE"/>
    <w:rsid w:val="00861C78"/>
    <w:rsid w:val="00861F05"/>
    <w:rsid w:val="00862190"/>
    <w:rsid w:val="00862488"/>
    <w:rsid w:val="008625E3"/>
    <w:rsid w:val="008625E9"/>
    <w:rsid w:val="0086270B"/>
    <w:rsid w:val="00862C3A"/>
    <w:rsid w:val="00862D1A"/>
    <w:rsid w:val="00863350"/>
    <w:rsid w:val="00863A51"/>
    <w:rsid w:val="00864078"/>
    <w:rsid w:val="008650EB"/>
    <w:rsid w:val="008652E7"/>
    <w:rsid w:val="0086552D"/>
    <w:rsid w:val="008658C9"/>
    <w:rsid w:val="00865A9D"/>
    <w:rsid w:val="00865FBB"/>
    <w:rsid w:val="00865FC1"/>
    <w:rsid w:val="0086670F"/>
    <w:rsid w:val="00866B0C"/>
    <w:rsid w:val="00866C7C"/>
    <w:rsid w:val="00866D0A"/>
    <w:rsid w:val="00866D83"/>
    <w:rsid w:val="0086711D"/>
    <w:rsid w:val="00867BA3"/>
    <w:rsid w:val="00867BD5"/>
    <w:rsid w:val="00867C8D"/>
    <w:rsid w:val="00867F7E"/>
    <w:rsid w:val="008702A3"/>
    <w:rsid w:val="0087041A"/>
    <w:rsid w:val="008704ED"/>
    <w:rsid w:val="00870C8D"/>
    <w:rsid w:val="00870DDE"/>
    <w:rsid w:val="008712BE"/>
    <w:rsid w:val="008713E5"/>
    <w:rsid w:val="0087165C"/>
    <w:rsid w:val="008717D8"/>
    <w:rsid w:val="008719C2"/>
    <w:rsid w:val="00871D3D"/>
    <w:rsid w:val="00872A19"/>
    <w:rsid w:val="00872B0D"/>
    <w:rsid w:val="00872E05"/>
    <w:rsid w:val="00873094"/>
    <w:rsid w:val="00873299"/>
    <w:rsid w:val="0087378A"/>
    <w:rsid w:val="00873C2F"/>
    <w:rsid w:val="00874306"/>
    <w:rsid w:val="00874B8C"/>
    <w:rsid w:val="00875197"/>
    <w:rsid w:val="008752E9"/>
    <w:rsid w:val="00875A32"/>
    <w:rsid w:val="00875BCA"/>
    <w:rsid w:val="008760DA"/>
    <w:rsid w:val="00876CB0"/>
    <w:rsid w:val="00876CF0"/>
    <w:rsid w:val="00877DC5"/>
    <w:rsid w:val="00877E21"/>
    <w:rsid w:val="008806CA"/>
    <w:rsid w:val="008807E6"/>
    <w:rsid w:val="00880835"/>
    <w:rsid w:val="00880B21"/>
    <w:rsid w:val="00880B4A"/>
    <w:rsid w:val="008815FC"/>
    <w:rsid w:val="00881812"/>
    <w:rsid w:val="00881C6F"/>
    <w:rsid w:val="008824B8"/>
    <w:rsid w:val="00882545"/>
    <w:rsid w:val="008831A8"/>
    <w:rsid w:val="00883B8E"/>
    <w:rsid w:val="00884A1E"/>
    <w:rsid w:val="00884E0D"/>
    <w:rsid w:val="00885401"/>
    <w:rsid w:val="00885442"/>
    <w:rsid w:val="008854E4"/>
    <w:rsid w:val="00885D73"/>
    <w:rsid w:val="00886028"/>
    <w:rsid w:val="008862DE"/>
    <w:rsid w:val="00886400"/>
    <w:rsid w:val="00886CEA"/>
    <w:rsid w:val="00886EF9"/>
    <w:rsid w:val="008872D7"/>
    <w:rsid w:val="00887878"/>
    <w:rsid w:val="00887A68"/>
    <w:rsid w:val="00890B3D"/>
    <w:rsid w:val="0089166D"/>
    <w:rsid w:val="00891724"/>
    <w:rsid w:val="0089173E"/>
    <w:rsid w:val="00891922"/>
    <w:rsid w:val="008922CF"/>
    <w:rsid w:val="00892636"/>
    <w:rsid w:val="00892914"/>
    <w:rsid w:val="00892AEF"/>
    <w:rsid w:val="00892C36"/>
    <w:rsid w:val="00893CB6"/>
    <w:rsid w:val="00893D5A"/>
    <w:rsid w:val="00894025"/>
    <w:rsid w:val="008948EF"/>
    <w:rsid w:val="00894B4D"/>
    <w:rsid w:val="00894D50"/>
    <w:rsid w:val="00895844"/>
    <w:rsid w:val="0089588E"/>
    <w:rsid w:val="00895958"/>
    <w:rsid w:val="008959C8"/>
    <w:rsid w:val="00895A49"/>
    <w:rsid w:val="00895B07"/>
    <w:rsid w:val="00895B9E"/>
    <w:rsid w:val="00895C1D"/>
    <w:rsid w:val="00896213"/>
    <w:rsid w:val="00896736"/>
    <w:rsid w:val="00897358"/>
    <w:rsid w:val="00897644"/>
    <w:rsid w:val="00897863"/>
    <w:rsid w:val="00897D65"/>
    <w:rsid w:val="008A06F7"/>
    <w:rsid w:val="008A080A"/>
    <w:rsid w:val="008A0AA1"/>
    <w:rsid w:val="008A0D81"/>
    <w:rsid w:val="008A19EB"/>
    <w:rsid w:val="008A1E34"/>
    <w:rsid w:val="008A1E42"/>
    <w:rsid w:val="008A2135"/>
    <w:rsid w:val="008A2496"/>
    <w:rsid w:val="008A2507"/>
    <w:rsid w:val="008A29A1"/>
    <w:rsid w:val="008A30B8"/>
    <w:rsid w:val="008A378B"/>
    <w:rsid w:val="008A3B72"/>
    <w:rsid w:val="008A3E10"/>
    <w:rsid w:val="008A4A19"/>
    <w:rsid w:val="008A4CA9"/>
    <w:rsid w:val="008A546B"/>
    <w:rsid w:val="008A55EF"/>
    <w:rsid w:val="008A67A6"/>
    <w:rsid w:val="008A6C39"/>
    <w:rsid w:val="008A7012"/>
    <w:rsid w:val="008A7251"/>
    <w:rsid w:val="008A749A"/>
    <w:rsid w:val="008A75C0"/>
    <w:rsid w:val="008A79F6"/>
    <w:rsid w:val="008A7A9A"/>
    <w:rsid w:val="008A7AC2"/>
    <w:rsid w:val="008A7CEB"/>
    <w:rsid w:val="008A7E36"/>
    <w:rsid w:val="008B0A0A"/>
    <w:rsid w:val="008B0A0F"/>
    <w:rsid w:val="008B0A2F"/>
    <w:rsid w:val="008B0BEA"/>
    <w:rsid w:val="008B1335"/>
    <w:rsid w:val="008B1CB8"/>
    <w:rsid w:val="008B2341"/>
    <w:rsid w:val="008B262D"/>
    <w:rsid w:val="008B37EA"/>
    <w:rsid w:val="008B39D6"/>
    <w:rsid w:val="008B3E6B"/>
    <w:rsid w:val="008B3EB2"/>
    <w:rsid w:val="008B3EC6"/>
    <w:rsid w:val="008B4A15"/>
    <w:rsid w:val="008B55F1"/>
    <w:rsid w:val="008B5D53"/>
    <w:rsid w:val="008B62D2"/>
    <w:rsid w:val="008B6397"/>
    <w:rsid w:val="008B64D0"/>
    <w:rsid w:val="008B6B21"/>
    <w:rsid w:val="008B6E73"/>
    <w:rsid w:val="008B71DA"/>
    <w:rsid w:val="008B727F"/>
    <w:rsid w:val="008B7289"/>
    <w:rsid w:val="008B73E2"/>
    <w:rsid w:val="008B74E1"/>
    <w:rsid w:val="008B7D6D"/>
    <w:rsid w:val="008B7DD1"/>
    <w:rsid w:val="008C03BC"/>
    <w:rsid w:val="008C04E3"/>
    <w:rsid w:val="008C068D"/>
    <w:rsid w:val="008C07A7"/>
    <w:rsid w:val="008C0A50"/>
    <w:rsid w:val="008C0AF1"/>
    <w:rsid w:val="008C0C70"/>
    <w:rsid w:val="008C0E58"/>
    <w:rsid w:val="008C0FA6"/>
    <w:rsid w:val="008C10B9"/>
    <w:rsid w:val="008C196D"/>
    <w:rsid w:val="008C2438"/>
    <w:rsid w:val="008C299B"/>
    <w:rsid w:val="008C2A3D"/>
    <w:rsid w:val="008C334C"/>
    <w:rsid w:val="008C360D"/>
    <w:rsid w:val="008C399D"/>
    <w:rsid w:val="008C3A36"/>
    <w:rsid w:val="008C3C2A"/>
    <w:rsid w:val="008C3FC0"/>
    <w:rsid w:val="008C4271"/>
    <w:rsid w:val="008C4742"/>
    <w:rsid w:val="008C5579"/>
    <w:rsid w:val="008C568F"/>
    <w:rsid w:val="008C56DC"/>
    <w:rsid w:val="008C5A9A"/>
    <w:rsid w:val="008C615B"/>
    <w:rsid w:val="008C7522"/>
    <w:rsid w:val="008C7938"/>
    <w:rsid w:val="008C7E05"/>
    <w:rsid w:val="008C7F3F"/>
    <w:rsid w:val="008D01D1"/>
    <w:rsid w:val="008D10B7"/>
    <w:rsid w:val="008D120E"/>
    <w:rsid w:val="008D129A"/>
    <w:rsid w:val="008D16D5"/>
    <w:rsid w:val="008D17DE"/>
    <w:rsid w:val="008D1859"/>
    <w:rsid w:val="008D1DE4"/>
    <w:rsid w:val="008D2075"/>
    <w:rsid w:val="008D2265"/>
    <w:rsid w:val="008D240F"/>
    <w:rsid w:val="008D29B1"/>
    <w:rsid w:val="008D29CB"/>
    <w:rsid w:val="008D2A0F"/>
    <w:rsid w:val="008D2CAB"/>
    <w:rsid w:val="008D2ED1"/>
    <w:rsid w:val="008D2F1F"/>
    <w:rsid w:val="008D3281"/>
    <w:rsid w:val="008D3359"/>
    <w:rsid w:val="008D35A8"/>
    <w:rsid w:val="008D3668"/>
    <w:rsid w:val="008D3CBB"/>
    <w:rsid w:val="008D3DA4"/>
    <w:rsid w:val="008D4402"/>
    <w:rsid w:val="008D44A7"/>
    <w:rsid w:val="008D497B"/>
    <w:rsid w:val="008D4E11"/>
    <w:rsid w:val="008D4FF3"/>
    <w:rsid w:val="008D56CE"/>
    <w:rsid w:val="008D5A2C"/>
    <w:rsid w:val="008D5B03"/>
    <w:rsid w:val="008D5E3D"/>
    <w:rsid w:val="008D5EFD"/>
    <w:rsid w:val="008D5F89"/>
    <w:rsid w:val="008D6056"/>
    <w:rsid w:val="008D6268"/>
    <w:rsid w:val="008D6540"/>
    <w:rsid w:val="008D660A"/>
    <w:rsid w:val="008D66DE"/>
    <w:rsid w:val="008D6787"/>
    <w:rsid w:val="008D6DB6"/>
    <w:rsid w:val="008D72B1"/>
    <w:rsid w:val="008D7550"/>
    <w:rsid w:val="008D7722"/>
    <w:rsid w:val="008D7D4A"/>
    <w:rsid w:val="008D7DA1"/>
    <w:rsid w:val="008D7DAC"/>
    <w:rsid w:val="008D7FA5"/>
    <w:rsid w:val="008E032E"/>
    <w:rsid w:val="008E0423"/>
    <w:rsid w:val="008E0769"/>
    <w:rsid w:val="008E07BE"/>
    <w:rsid w:val="008E081C"/>
    <w:rsid w:val="008E08F2"/>
    <w:rsid w:val="008E0B8C"/>
    <w:rsid w:val="008E0DE7"/>
    <w:rsid w:val="008E13E8"/>
    <w:rsid w:val="008E1506"/>
    <w:rsid w:val="008E1C0D"/>
    <w:rsid w:val="008E212D"/>
    <w:rsid w:val="008E219C"/>
    <w:rsid w:val="008E26D5"/>
    <w:rsid w:val="008E2905"/>
    <w:rsid w:val="008E2BF9"/>
    <w:rsid w:val="008E2DC1"/>
    <w:rsid w:val="008E2DEC"/>
    <w:rsid w:val="008E2F36"/>
    <w:rsid w:val="008E2FD1"/>
    <w:rsid w:val="008E3B57"/>
    <w:rsid w:val="008E3B6F"/>
    <w:rsid w:val="008E3D35"/>
    <w:rsid w:val="008E43BA"/>
    <w:rsid w:val="008E4758"/>
    <w:rsid w:val="008E4782"/>
    <w:rsid w:val="008E4A5A"/>
    <w:rsid w:val="008E4A96"/>
    <w:rsid w:val="008E548F"/>
    <w:rsid w:val="008E5754"/>
    <w:rsid w:val="008E5A21"/>
    <w:rsid w:val="008E5A91"/>
    <w:rsid w:val="008E5B7C"/>
    <w:rsid w:val="008E5D1C"/>
    <w:rsid w:val="008E5F8E"/>
    <w:rsid w:val="008E615D"/>
    <w:rsid w:val="008E6230"/>
    <w:rsid w:val="008E62C6"/>
    <w:rsid w:val="008E6567"/>
    <w:rsid w:val="008E672F"/>
    <w:rsid w:val="008E6777"/>
    <w:rsid w:val="008E68BE"/>
    <w:rsid w:val="008E68E5"/>
    <w:rsid w:val="008E6B66"/>
    <w:rsid w:val="008E6BAB"/>
    <w:rsid w:val="008E6DD2"/>
    <w:rsid w:val="008E6EB0"/>
    <w:rsid w:val="008E7037"/>
    <w:rsid w:val="008E73B4"/>
    <w:rsid w:val="008E7C07"/>
    <w:rsid w:val="008E7FAE"/>
    <w:rsid w:val="008F011E"/>
    <w:rsid w:val="008F0468"/>
    <w:rsid w:val="008F0599"/>
    <w:rsid w:val="008F0664"/>
    <w:rsid w:val="008F0EFB"/>
    <w:rsid w:val="008F0F23"/>
    <w:rsid w:val="008F1147"/>
    <w:rsid w:val="008F1310"/>
    <w:rsid w:val="008F1811"/>
    <w:rsid w:val="008F18DF"/>
    <w:rsid w:val="008F1DF2"/>
    <w:rsid w:val="008F1EE6"/>
    <w:rsid w:val="008F204D"/>
    <w:rsid w:val="008F28F4"/>
    <w:rsid w:val="008F2AA0"/>
    <w:rsid w:val="008F30A9"/>
    <w:rsid w:val="008F3B86"/>
    <w:rsid w:val="008F4B7B"/>
    <w:rsid w:val="008F4B83"/>
    <w:rsid w:val="008F4CAD"/>
    <w:rsid w:val="008F4EF9"/>
    <w:rsid w:val="008F4F20"/>
    <w:rsid w:val="008F5521"/>
    <w:rsid w:val="008F59EF"/>
    <w:rsid w:val="008F60B7"/>
    <w:rsid w:val="008F632D"/>
    <w:rsid w:val="008F64D1"/>
    <w:rsid w:val="008F6DE3"/>
    <w:rsid w:val="008F7453"/>
    <w:rsid w:val="008F74AE"/>
    <w:rsid w:val="008F7720"/>
    <w:rsid w:val="008F77DD"/>
    <w:rsid w:val="008F7C07"/>
    <w:rsid w:val="008F7F86"/>
    <w:rsid w:val="00900D41"/>
    <w:rsid w:val="0090129F"/>
    <w:rsid w:val="00901902"/>
    <w:rsid w:val="00901966"/>
    <w:rsid w:val="009019B5"/>
    <w:rsid w:val="00901FFC"/>
    <w:rsid w:val="00902664"/>
    <w:rsid w:val="009026C0"/>
    <w:rsid w:val="00902D55"/>
    <w:rsid w:val="00903158"/>
    <w:rsid w:val="009031E6"/>
    <w:rsid w:val="0090364D"/>
    <w:rsid w:val="00903E7B"/>
    <w:rsid w:val="00904129"/>
    <w:rsid w:val="00904136"/>
    <w:rsid w:val="0090425C"/>
    <w:rsid w:val="0090429E"/>
    <w:rsid w:val="00904615"/>
    <w:rsid w:val="0090482C"/>
    <w:rsid w:val="00904A97"/>
    <w:rsid w:val="00905176"/>
    <w:rsid w:val="0090556A"/>
    <w:rsid w:val="00905622"/>
    <w:rsid w:val="00905A44"/>
    <w:rsid w:val="00905E2F"/>
    <w:rsid w:val="00905E53"/>
    <w:rsid w:val="00905EC5"/>
    <w:rsid w:val="00905FCD"/>
    <w:rsid w:val="00906192"/>
    <w:rsid w:val="00906584"/>
    <w:rsid w:val="00906830"/>
    <w:rsid w:val="00906956"/>
    <w:rsid w:val="00906AE4"/>
    <w:rsid w:val="00906F59"/>
    <w:rsid w:val="00907054"/>
    <w:rsid w:val="009076BF"/>
    <w:rsid w:val="0090788C"/>
    <w:rsid w:val="00907DDA"/>
    <w:rsid w:val="00907F3D"/>
    <w:rsid w:val="0091018A"/>
    <w:rsid w:val="009101F9"/>
    <w:rsid w:val="009102B6"/>
    <w:rsid w:val="00910715"/>
    <w:rsid w:val="0091116A"/>
    <w:rsid w:val="00911430"/>
    <w:rsid w:val="009119C6"/>
    <w:rsid w:val="00912AFF"/>
    <w:rsid w:val="00912BBC"/>
    <w:rsid w:val="009133D5"/>
    <w:rsid w:val="00913569"/>
    <w:rsid w:val="00913608"/>
    <w:rsid w:val="009137F4"/>
    <w:rsid w:val="00913B40"/>
    <w:rsid w:val="00913BF1"/>
    <w:rsid w:val="00913CE1"/>
    <w:rsid w:val="00913DDF"/>
    <w:rsid w:val="00914611"/>
    <w:rsid w:val="00914E50"/>
    <w:rsid w:val="00914FB8"/>
    <w:rsid w:val="00915382"/>
    <w:rsid w:val="009159CD"/>
    <w:rsid w:val="00915B0C"/>
    <w:rsid w:val="00915B0D"/>
    <w:rsid w:val="00916597"/>
    <w:rsid w:val="00916606"/>
    <w:rsid w:val="00916910"/>
    <w:rsid w:val="00916AF9"/>
    <w:rsid w:val="00916C86"/>
    <w:rsid w:val="009177E9"/>
    <w:rsid w:val="00917A48"/>
    <w:rsid w:val="00917D4C"/>
    <w:rsid w:val="00917EBE"/>
    <w:rsid w:val="009200F3"/>
    <w:rsid w:val="00920886"/>
    <w:rsid w:val="009209A7"/>
    <w:rsid w:val="00921053"/>
    <w:rsid w:val="00921D79"/>
    <w:rsid w:val="00921DE2"/>
    <w:rsid w:val="0092203F"/>
    <w:rsid w:val="00922070"/>
    <w:rsid w:val="009220C5"/>
    <w:rsid w:val="00922464"/>
    <w:rsid w:val="00922EB2"/>
    <w:rsid w:val="00923221"/>
    <w:rsid w:val="00923F7B"/>
    <w:rsid w:val="00924297"/>
    <w:rsid w:val="009247BE"/>
    <w:rsid w:val="00924E4F"/>
    <w:rsid w:val="00924F8C"/>
    <w:rsid w:val="0092502F"/>
    <w:rsid w:val="00925B1A"/>
    <w:rsid w:val="00925B75"/>
    <w:rsid w:val="00925F4F"/>
    <w:rsid w:val="00925F74"/>
    <w:rsid w:val="00926027"/>
    <w:rsid w:val="0092619A"/>
    <w:rsid w:val="009261DA"/>
    <w:rsid w:val="00926357"/>
    <w:rsid w:val="00926457"/>
    <w:rsid w:val="0092652D"/>
    <w:rsid w:val="0092674C"/>
    <w:rsid w:val="00926C25"/>
    <w:rsid w:val="00926D94"/>
    <w:rsid w:val="00926F25"/>
    <w:rsid w:val="00927206"/>
    <w:rsid w:val="009272D7"/>
    <w:rsid w:val="0092743C"/>
    <w:rsid w:val="009306C9"/>
    <w:rsid w:val="009306EA"/>
    <w:rsid w:val="009312E0"/>
    <w:rsid w:val="009318B2"/>
    <w:rsid w:val="00931B92"/>
    <w:rsid w:val="00932235"/>
    <w:rsid w:val="00932508"/>
    <w:rsid w:val="00932531"/>
    <w:rsid w:val="00932DCF"/>
    <w:rsid w:val="00932EFB"/>
    <w:rsid w:val="00933633"/>
    <w:rsid w:val="009339FE"/>
    <w:rsid w:val="00933B87"/>
    <w:rsid w:val="00933FF7"/>
    <w:rsid w:val="00934097"/>
    <w:rsid w:val="0093413D"/>
    <w:rsid w:val="00934187"/>
    <w:rsid w:val="00934C07"/>
    <w:rsid w:val="00934C41"/>
    <w:rsid w:val="00934C53"/>
    <w:rsid w:val="009351D8"/>
    <w:rsid w:val="00936421"/>
    <w:rsid w:val="0093665B"/>
    <w:rsid w:val="0093684C"/>
    <w:rsid w:val="0093698F"/>
    <w:rsid w:val="00936AE1"/>
    <w:rsid w:val="00936F0F"/>
    <w:rsid w:val="00937504"/>
    <w:rsid w:val="00937691"/>
    <w:rsid w:val="00937863"/>
    <w:rsid w:val="00937938"/>
    <w:rsid w:val="0093794E"/>
    <w:rsid w:val="00937A7E"/>
    <w:rsid w:val="00937AFC"/>
    <w:rsid w:val="009405FB"/>
    <w:rsid w:val="0094065C"/>
    <w:rsid w:val="0094069A"/>
    <w:rsid w:val="00940A56"/>
    <w:rsid w:val="00940AD8"/>
    <w:rsid w:val="00940B6A"/>
    <w:rsid w:val="00940F6B"/>
    <w:rsid w:val="009412A1"/>
    <w:rsid w:val="009417B8"/>
    <w:rsid w:val="00941810"/>
    <w:rsid w:val="009419A4"/>
    <w:rsid w:val="00941C6E"/>
    <w:rsid w:val="00941D7F"/>
    <w:rsid w:val="00941EAE"/>
    <w:rsid w:val="00941FC8"/>
    <w:rsid w:val="00942251"/>
    <w:rsid w:val="0094254D"/>
    <w:rsid w:val="00942CB9"/>
    <w:rsid w:val="00943338"/>
    <w:rsid w:val="0094394E"/>
    <w:rsid w:val="00943F3A"/>
    <w:rsid w:val="00944507"/>
    <w:rsid w:val="00944871"/>
    <w:rsid w:val="009448ED"/>
    <w:rsid w:val="00944A4F"/>
    <w:rsid w:val="00944AA6"/>
    <w:rsid w:val="00944F5E"/>
    <w:rsid w:val="0094528B"/>
    <w:rsid w:val="009453A0"/>
    <w:rsid w:val="00945E0E"/>
    <w:rsid w:val="0094636B"/>
    <w:rsid w:val="009463DA"/>
    <w:rsid w:val="00946637"/>
    <w:rsid w:val="009467D1"/>
    <w:rsid w:val="00946884"/>
    <w:rsid w:val="00946A0D"/>
    <w:rsid w:val="00946C6B"/>
    <w:rsid w:val="00946D6F"/>
    <w:rsid w:val="00946DD1"/>
    <w:rsid w:val="009470D3"/>
    <w:rsid w:val="0094764E"/>
    <w:rsid w:val="00947A71"/>
    <w:rsid w:val="0095007A"/>
    <w:rsid w:val="00950AD3"/>
    <w:rsid w:val="00950B41"/>
    <w:rsid w:val="00950D72"/>
    <w:rsid w:val="0095131C"/>
    <w:rsid w:val="009515A1"/>
    <w:rsid w:val="009520A6"/>
    <w:rsid w:val="00952855"/>
    <w:rsid w:val="0095294E"/>
    <w:rsid w:val="009532F2"/>
    <w:rsid w:val="00953A1B"/>
    <w:rsid w:val="00953D2C"/>
    <w:rsid w:val="0095484E"/>
    <w:rsid w:val="00955631"/>
    <w:rsid w:val="00956122"/>
    <w:rsid w:val="009566C0"/>
    <w:rsid w:val="00957120"/>
    <w:rsid w:val="00957122"/>
    <w:rsid w:val="00957384"/>
    <w:rsid w:val="00957479"/>
    <w:rsid w:val="00960580"/>
    <w:rsid w:val="009608E3"/>
    <w:rsid w:val="00960DAD"/>
    <w:rsid w:val="00960E07"/>
    <w:rsid w:val="00960E80"/>
    <w:rsid w:val="00960ECB"/>
    <w:rsid w:val="00960FDC"/>
    <w:rsid w:val="00961332"/>
    <w:rsid w:val="009615AE"/>
    <w:rsid w:val="00962234"/>
    <w:rsid w:val="00962756"/>
    <w:rsid w:val="00962762"/>
    <w:rsid w:val="0096283F"/>
    <w:rsid w:val="00962AFC"/>
    <w:rsid w:val="00962B5F"/>
    <w:rsid w:val="0096325B"/>
    <w:rsid w:val="009635F3"/>
    <w:rsid w:val="00963933"/>
    <w:rsid w:val="00963949"/>
    <w:rsid w:val="00964312"/>
    <w:rsid w:val="009644F1"/>
    <w:rsid w:val="0096451C"/>
    <w:rsid w:val="009645EE"/>
    <w:rsid w:val="009648A4"/>
    <w:rsid w:val="0096495B"/>
    <w:rsid w:val="00964C03"/>
    <w:rsid w:val="00964EA3"/>
    <w:rsid w:val="00965201"/>
    <w:rsid w:val="009653B8"/>
    <w:rsid w:val="00965459"/>
    <w:rsid w:val="009655D8"/>
    <w:rsid w:val="0096568F"/>
    <w:rsid w:val="00965A04"/>
    <w:rsid w:val="00966EE4"/>
    <w:rsid w:val="009670C3"/>
    <w:rsid w:val="0096728F"/>
    <w:rsid w:val="009673A3"/>
    <w:rsid w:val="009673A9"/>
    <w:rsid w:val="00967792"/>
    <w:rsid w:val="009677F3"/>
    <w:rsid w:val="0096785E"/>
    <w:rsid w:val="009678A6"/>
    <w:rsid w:val="009678BB"/>
    <w:rsid w:val="009679A2"/>
    <w:rsid w:val="00967A63"/>
    <w:rsid w:val="00967AE3"/>
    <w:rsid w:val="00967C5A"/>
    <w:rsid w:val="009703F9"/>
    <w:rsid w:val="0097041C"/>
    <w:rsid w:val="00970484"/>
    <w:rsid w:val="009709A9"/>
    <w:rsid w:val="00970ECF"/>
    <w:rsid w:val="009711AE"/>
    <w:rsid w:val="009712B1"/>
    <w:rsid w:val="0097151D"/>
    <w:rsid w:val="00971748"/>
    <w:rsid w:val="00971A48"/>
    <w:rsid w:val="00971A4E"/>
    <w:rsid w:val="00972485"/>
    <w:rsid w:val="009729ED"/>
    <w:rsid w:val="00973131"/>
    <w:rsid w:val="00973405"/>
    <w:rsid w:val="00973430"/>
    <w:rsid w:val="00973493"/>
    <w:rsid w:val="00973556"/>
    <w:rsid w:val="0097359E"/>
    <w:rsid w:val="009737AD"/>
    <w:rsid w:val="009742C0"/>
    <w:rsid w:val="0097443B"/>
    <w:rsid w:val="00974502"/>
    <w:rsid w:val="009748DF"/>
    <w:rsid w:val="00975188"/>
    <w:rsid w:val="00975436"/>
    <w:rsid w:val="00975584"/>
    <w:rsid w:val="00975754"/>
    <w:rsid w:val="00975BC1"/>
    <w:rsid w:val="00975E76"/>
    <w:rsid w:val="00975E7B"/>
    <w:rsid w:val="00975FF2"/>
    <w:rsid w:val="00976721"/>
    <w:rsid w:val="00976806"/>
    <w:rsid w:val="009769EA"/>
    <w:rsid w:val="00976BFA"/>
    <w:rsid w:val="00976C9E"/>
    <w:rsid w:val="00976D0E"/>
    <w:rsid w:val="00976DD3"/>
    <w:rsid w:val="009777AD"/>
    <w:rsid w:val="00977948"/>
    <w:rsid w:val="00977C61"/>
    <w:rsid w:val="00980009"/>
    <w:rsid w:val="00980081"/>
    <w:rsid w:val="0098055D"/>
    <w:rsid w:val="00980B00"/>
    <w:rsid w:val="00980DA6"/>
    <w:rsid w:val="00980ED4"/>
    <w:rsid w:val="0098156C"/>
    <w:rsid w:val="00981A53"/>
    <w:rsid w:val="00981E3F"/>
    <w:rsid w:val="00981EDB"/>
    <w:rsid w:val="0098210F"/>
    <w:rsid w:val="009821AD"/>
    <w:rsid w:val="00982348"/>
    <w:rsid w:val="0098241B"/>
    <w:rsid w:val="009824AB"/>
    <w:rsid w:val="0098296B"/>
    <w:rsid w:val="00982E04"/>
    <w:rsid w:val="0098323F"/>
    <w:rsid w:val="0098326B"/>
    <w:rsid w:val="009833FB"/>
    <w:rsid w:val="0098364C"/>
    <w:rsid w:val="00983AA7"/>
    <w:rsid w:val="00983AD2"/>
    <w:rsid w:val="00983B8C"/>
    <w:rsid w:val="00983C68"/>
    <w:rsid w:val="00983CE5"/>
    <w:rsid w:val="009844A4"/>
    <w:rsid w:val="00984BDF"/>
    <w:rsid w:val="009853C9"/>
    <w:rsid w:val="00985678"/>
    <w:rsid w:val="00985B20"/>
    <w:rsid w:val="00985C12"/>
    <w:rsid w:val="0098680B"/>
    <w:rsid w:val="00986B5B"/>
    <w:rsid w:val="00986BBB"/>
    <w:rsid w:val="00986C58"/>
    <w:rsid w:val="009872C6"/>
    <w:rsid w:val="00987442"/>
    <w:rsid w:val="0098787D"/>
    <w:rsid w:val="00987B87"/>
    <w:rsid w:val="009902A9"/>
    <w:rsid w:val="00990318"/>
    <w:rsid w:val="009903D3"/>
    <w:rsid w:val="009904C4"/>
    <w:rsid w:val="00990D94"/>
    <w:rsid w:val="00991012"/>
    <w:rsid w:val="00991223"/>
    <w:rsid w:val="00991A2C"/>
    <w:rsid w:val="00991EDD"/>
    <w:rsid w:val="00992033"/>
    <w:rsid w:val="00992140"/>
    <w:rsid w:val="0099253E"/>
    <w:rsid w:val="00992E43"/>
    <w:rsid w:val="00992F01"/>
    <w:rsid w:val="009930C2"/>
    <w:rsid w:val="009931ED"/>
    <w:rsid w:val="0099327C"/>
    <w:rsid w:val="00993322"/>
    <w:rsid w:val="00993504"/>
    <w:rsid w:val="009935DA"/>
    <w:rsid w:val="009938E6"/>
    <w:rsid w:val="00993B53"/>
    <w:rsid w:val="00993F20"/>
    <w:rsid w:val="00994080"/>
    <w:rsid w:val="0099412F"/>
    <w:rsid w:val="00994A17"/>
    <w:rsid w:val="00994C05"/>
    <w:rsid w:val="00994C7C"/>
    <w:rsid w:val="00994D89"/>
    <w:rsid w:val="00994DD8"/>
    <w:rsid w:val="00994E5D"/>
    <w:rsid w:val="009954D3"/>
    <w:rsid w:val="00995CFB"/>
    <w:rsid w:val="00995FBC"/>
    <w:rsid w:val="009960F3"/>
    <w:rsid w:val="009961A5"/>
    <w:rsid w:val="0099655D"/>
    <w:rsid w:val="0099665D"/>
    <w:rsid w:val="00996934"/>
    <w:rsid w:val="00996ABC"/>
    <w:rsid w:val="00996EFD"/>
    <w:rsid w:val="0099745C"/>
    <w:rsid w:val="0099790C"/>
    <w:rsid w:val="00997972"/>
    <w:rsid w:val="00997A3E"/>
    <w:rsid w:val="00997FF9"/>
    <w:rsid w:val="009A0600"/>
    <w:rsid w:val="009A0C85"/>
    <w:rsid w:val="009A11FE"/>
    <w:rsid w:val="009A1210"/>
    <w:rsid w:val="009A124E"/>
    <w:rsid w:val="009A16F2"/>
    <w:rsid w:val="009A1966"/>
    <w:rsid w:val="009A19B9"/>
    <w:rsid w:val="009A209F"/>
    <w:rsid w:val="009A21D5"/>
    <w:rsid w:val="009A2548"/>
    <w:rsid w:val="009A26AB"/>
    <w:rsid w:val="009A2759"/>
    <w:rsid w:val="009A2C36"/>
    <w:rsid w:val="009A3814"/>
    <w:rsid w:val="009A38ED"/>
    <w:rsid w:val="009A390C"/>
    <w:rsid w:val="009A3B75"/>
    <w:rsid w:val="009A3FB3"/>
    <w:rsid w:val="009A42EA"/>
    <w:rsid w:val="009A474E"/>
    <w:rsid w:val="009A4B0F"/>
    <w:rsid w:val="009A521C"/>
    <w:rsid w:val="009A52A4"/>
    <w:rsid w:val="009A5569"/>
    <w:rsid w:val="009A576E"/>
    <w:rsid w:val="009A582B"/>
    <w:rsid w:val="009A5ABA"/>
    <w:rsid w:val="009A5ADF"/>
    <w:rsid w:val="009A5B88"/>
    <w:rsid w:val="009A5C05"/>
    <w:rsid w:val="009A6020"/>
    <w:rsid w:val="009A61C2"/>
    <w:rsid w:val="009A628E"/>
    <w:rsid w:val="009A63BE"/>
    <w:rsid w:val="009A66E5"/>
    <w:rsid w:val="009A6928"/>
    <w:rsid w:val="009A696D"/>
    <w:rsid w:val="009A6F70"/>
    <w:rsid w:val="009A700C"/>
    <w:rsid w:val="009A70E5"/>
    <w:rsid w:val="009A71FC"/>
    <w:rsid w:val="009A733D"/>
    <w:rsid w:val="009A7702"/>
    <w:rsid w:val="009A7A53"/>
    <w:rsid w:val="009A7CEE"/>
    <w:rsid w:val="009B0344"/>
    <w:rsid w:val="009B061E"/>
    <w:rsid w:val="009B08DC"/>
    <w:rsid w:val="009B09DA"/>
    <w:rsid w:val="009B11B0"/>
    <w:rsid w:val="009B122C"/>
    <w:rsid w:val="009B18F0"/>
    <w:rsid w:val="009B1F23"/>
    <w:rsid w:val="009B1F4C"/>
    <w:rsid w:val="009B203E"/>
    <w:rsid w:val="009B278F"/>
    <w:rsid w:val="009B2B37"/>
    <w:rsid w:val="009B2CE2"/>
    <w:rsid w:val="009B2D2A"/>
    <w:rsid w:val="009B2D36"/>
    <w:rsid w:val="009B2EE1"/>
    <w:rsid w:val="009B334C"/>
    <w:rsid w:val="009B36C5"/>
    <w:rsid w:val="009B3997"/>
    <w:rsid w:val="009B3AD4"/>
    <w:rsid w:val="009B3DC5"/>
    <w:rsid w:val="009B41E7"/>
    <w:rsid w:val="009B4EFC"/>
    <w:rsid w:val="009B59A8"/>
    <w:rsid w:val="009B5BFA"/>
    <w:rsid w:val="009B6504"/>
    <w:rsid w:val="009B6580"/>
    <w:rsid w:val="009B66E2"/>
    <w:rsid w:val="009B6868"/>
    <w:rsid w:val="009B6941"/>
    <w:rsid w:val="009B6EA1"/>
    <w:rsid w:val="009B79FC"/>
    <w:rsid w:val="009C03F7"/>
    <w:rsid w:val="009C0723"/>
    <w:rsid w:val="009C0DC3"/>
    <w:rsid w:val="009C0F58"/>
    <w:rsid w:val="009C1124"/>
    <w:rsid w:val="009C1445"/>
    <w:rsid w:val="009C241A"/>
    <w:rsid w:val="009C25D7"/>
    <w:rsid w:val="009C2638"/>
    <w:rsid w:val="009C2803"/>
    <w:rsid w:val="009C2FA1"/>
    <w:rsid w:val="009C3672"/>
    <w:rsid w:val="009C399C"/>
    <w:rsid w:val="009C3D1C"/>
    <w:rsid w:val="009C3EAF"/>
    <w:rsid w:val="009C411B"/>
    <w:rsid w:val="009C4841"/>
    <w:rsid w:val="009C4DFF"/>
    <w:rsid w:val="009C4FF1"/>
    <w:rsid w:val="009C547A"/>
    <w:rsid w:val="009C5BCE"/>
    <w:rsid w:val="009C61B5"/>
    <w:rsid w:val="009C628A"/>
    <w:rsid w:val="009C6520"/>
    <w:rsid w:val="009C658B"/>
    <w:rsid w:val="009C697A"/>
    <w:rsid w:val="009C6E92"/>
    <w:rsid w:val="009C6FA2"/>
    <w:rsid w:val="009C7203"/>
    <w:rsid w:val="009C7442"/>
    <w:rsid w:val="009C761A"/>
    <w:rsid w:val="009C766C"/>
    <w:rsid w:val="009D0045"/>
    <w:rsid w:val="009D055D"/>
    <w:rsid w:val="009D0E14"/>
    <w:rsid w:val="009D0F81"/>
    <w:rsid w:val="009D0FA2"/>
    <w:rsid w:val="009D1078"/>
    <w:rsid w:val="009D1940"/>
    <w:rsid w:val="009D1BDC"/>
    <w:rsid w:val="009D2096"/>
    <w:rsid w:val="009D250F"/>
    <w:rsid w:val="009D28ED"/>
    <w:rsid w:val="009D2C89"/>
    <w:rsid w:val="009D30C2"/>
    <w:rsid w:val="009D3483"/>
    <w:rsid w:val="009D368C"/>
    <w:rsid w:val="009D393F"/>
    <w:rsid w:val="009D3B4D"/>
    <w:rsid w:val="009D446A"/>
    <w:rsid w:val="009D48E7"/>
    <w:rsid w:val="009D4A1E"/>
    <w:rsid w:val="009D4CB4"/>
    <w:rsid w:val="009D4E6F"/>
    <w:rsid w:val="009D4F97"/>
    <w:rsid w:val="009D5062"/>
    <w:rsid w:val="009D5B64"/>
    <w:rsid w:val="009D5B98"/>
    <w:rsid w:val="009D6002"/>
    <w:rsid w:val="009D60A7"/>
    <w:rsid w:val="009D6407"/>
    <w:rsid w:val="009D6E52"/>
    <w:rsid w:val="009D6F21"/>
    <w:rsid w:val="009D7240"/>
    <w:rsid w:val="009D732F"/>
    <w:rsid w:val="009D74D2"/>
    <w:rsid w:val="009D7686"/>
    <w:rsid w:val="009D7719"/>
    <w:rsid w:val="009D7999"/>
    <w:rsid w:val="009D7A10"/>
    <w:rsid w:val="009D7C99"/>
    <w:rsid w:val="009D7FCF"/>
    <w:rsid w:val="009E00E9"/>
    <w:rsid w:val="009E08F7"/>
    <w:rsid w:val="009E0932"/>
    <w:rsid w:val="009E09C3"/>
    <w:rsid w:val="009E0D6F"/>
    <w:rsid w:val="009E0EFF"/>
    <w:rsid w:val="009E118C"/>
    <w:rsid w:val="009E14CF"/>
    <w:rsid w:val="009E187D"/>
    <w:rsid w:val="009E1EA4"/>
    <w:rsid w:val="009E2829"/>
    <w:rsid w:val="009E2AE3"/>
    <w:rsid w:val="009E377E"/>
    <w:rsid w:val="009E37A2"/>
    <w:rsid w:val="009E4036"/>
    <w:rsid w:val="009E472E"/>
    <w:rsid w:val="009E4787"/>
    <w:rsid w:val="009E47A8"/>
    <w:rsid w:val="009E4AB0"/>
    <w:rsid w:val="009E4D9B"/>
    <w:rsid w:val="009E50E0"/>
    <w:rsid w:val="009E51F3"/>
    <w:rsid w:val="009E5515"/>
    <w:rsid w:val="009E5814"/>
    <w:rsid w:val="009E582B"/>
    <w:rsid w:val="009E5838"/>
    <w:rsid w:val="009E590C"/>
    <w:rsid w:val="009E5F5E"/>
    <w:rsid w:val="009E65FA"/>
    <w:rsid w:val="009E6662"/>
    <w:rsid w:val="009E6786"/>
    <w:rsid w:val="009E68BC"/>
    <w:rsid w:val="009E6EA1"/>
    <w:rsid w:val="009E723E"/>
    <w:rsid w:val="009E7470"/>
    <w:rsid w:val="009E7658"/>
    <w:rsid w:val="009E7A23"/>
    <w:rsid w:val="009E7E3B"/>
    <w:rsid w:val="009E7EF1"/>
    <w:rsid w:val="009F022C"/>
    <w:rsid w:val="009F104A"/>
    <w:rsid w:val="009F15A5"/>
    <w:rsid w:val="009F17A2"/>
    <w:rsid w:val="009F1845"/>
    <w:rsid w:val="009F1A8E"/>
    <w:rsid w:val="009F1C19"/>
    <w:rsid w:val="009F1F02"/>
    <w:rsid w:val="009F22E8"/>
    <w:rsid w:val="009F231C"/>
    <w:rsid w:val="009F252E"/>
    <w:rsid w:val="009F3474"/>
    <w:rsid w:val="009F3644"/>
    <w:rsid w:val="009F396F"/>
    <w:rsid w:val="009F3DEA"/>
    <w:rsid w:val="009F4064"/>
    <w:rsid w:val="009F4091"/>
    <w:rsid w:val="009F40D0"/>
    <w:rsid w:val="009F431F"/>
    <w:rsid w:val="009F45A3"/>
    <w:rsid w:val="009F49F8"/>
    <w:rsid w:val="009F4AF7"/>
    <w:rsid w:val="009F4AFE"/>
    <w:rsid w:val="009F4D8A"/>
    <w:rsid w:val="009F4D97"/>
    <w:rsid w:val="009F4E56"/>
    <w:rsid w:val="009F5046"/>
    <w:rsid w:val="009F544B"/>
    <w:rsid w:val="009F5502"/>
    <w:rsid w:val="009F57C7"/>
    <w:rsid w:val="009F580C"/>
    <w:rsid w:val="009F5A29"/>
    <w:rsid w:val="009F5E38"/>
    <w:rsid w:val="009F6293"/>
    <w:rsid w:val="009F65B5"/>
    <w:rsid w:val="009F661F"/>
    <w:rsid w:val="009F6A97"/>
    <w:rsid w:val="009F6B65"/>
    <w:rsid w:val="009F6ED1"/>
    <w:rsid w:val="009F6EF1"/>
    <w:rsid w:val="009F7307"/>
    <w:rsid w:val="009F7316"/>
    <w:rsid w:val="009F742A"/>
    <w:rsid w:val="009F77C0"/>
    <w:rsid w:val="009F7A4D"/>
    <w:rsid w:val="00A00B35"/>
    <w:rsid w:val="00A00C34"/>
    <w:rsid w:val="00A0117E"/>
    <w:rsid w:val="00A0137F"/>
    <w:rsid w:val="00A0247F"/>
    <w:rsid w:val="00A02624"/>
    <w:rsid w:val="00A029C3"/>
    <w:rsid w:val="00A02D93"/>
    <w:rsid w:val="00A02FD5"/>
    <w:rsid w:val="00A03224"/>
    <w:rsid w:val="00A0330B"/>
    <w:rsid w:val="00A03A39"/>
    <w:rsid w:val="00A03A65"/>
    <w:rsid w:val="00A04007"/>
    <w:rsid w:val="00A041FD"/>
    <w:rsid w:val="00A04321"/>
    <w:rsid w:val="00A048CA"/>
    <w:rsid w:val="00A04E01"/>
    <w:rsid w:val="00A0569F"/>
    <w:rsid w:val="00A05C43"/>
    <w:rsid w:val="00A05C6C"/>
    <w:rsid w:val="00A06602"/>
    <w:rsid w:val="00A06626"/>
    <w:rsid w:val="00A069DA"/>
    <w:rsid w:val="00A06A92"/>
    <w:rsid w:val="00A06C8A"/>
    <w:rsid w:val="00A06C8F"/>
    <w:rsid w:val="00A073FE"/>
    <w:rsid w:val="00A077FB"/>
    <w:rsid w:val="00A07A20"/>
    <w:rsid w:val="00A07AC3"/>
    <w:rsid w:val="00A07BB5"/>
    <w:rsid w:val="00A1004C"/>
    <w:rsid w:val="00A101E4"/>
    <w:rsid w:val="00A10349"/>
    <w:rsid w:val="00A106FF"/>
    <w:rsid w:val="00A107AD"/>
    <w:rsid w:val="00A1138D"/>
    <w:rsid w:val="00A12609"/>
    <w:rsid w:val="00A1264F"/>
    <w:rsid w:val="00A12A23"/>
    <w:rsid w:val="00A12AE1"/>
    <w:rsid w:val="00A12BEF"/>
    <w:rsid w:val="00A130ED"/>
    <w:rsid w:val="00A13927"/>
    <w:rsid w:val="00A1477E"/>
    <w:rsid w:val="00A147A1"/>
    <w:rsid w:val="00A14D60"/>
    <w:rsid w:val="00A150EA"/>
    <w:rsid w:val="00A1516E"/>
    <w:rsid w:val="00A153D0"/>
    <w:rsid w:val="00A15573"/>
    <w:rsid w:val="00A15607"/>
    <w:rsid w:val="00A157B1"/>
    <w:rsid w:val="00A15D8A"/>
    <w:rsid w:val="00A1611E"/>
    <w:rsid w:val="00A16259"/>
    <w:rsid w:val="00A162D7"/>
    <w:rsid w:val="00A1682E"/>
    <w:rsid w:val="00A16A7C"/>
    <w:rsid w:val="00A16F61"/>
    <w:rsid w:val="00A1702D"/>
    <w:rsid w:val="00A172B3"/>
    <w:rsid w:val="00A175DE"/>
    <w:rsid w:val="00A17A88"/>
    <w:rsid w:val="00A17D1A"/>
    <w:rsid w:val="00A17D51"/>
    <w:rsid w:val="00A17FDE"/>
    <w:rsid w:val="00A20277"/>
    <w:rsid w:val="00A202AA"/>
    <w:rsid w:val="00A204BF"/>
    <w:rsid w:val="00A20645"/>
    <w:rsid w:val="00A20CBE"/>
    <w:rsid w:val="00A20E1C"/>
    <w:rsid w:val="00A20FB3"/>
    <w:rsid w:val="00A20FCC"/>
    <w:rsid w:val="00A21C37"/>
    <w:rsid w:val="00A21C65"/>
    <w:rsid w:val="00A2247A"/>
    <w:rsid w:val="00A22787"/>
    <w:rsid w:val="00A22832"/>
    <w:rsid w:val="00A22B7A"/>
    <w:rsid w:val="00A22C36"/>
    <w:rsid w:val="00A22D77"/>
    <w:rsid w:val="00A22E8B"/>
    <w:rsid w:val="00A23942"/>
    <w:rsid w:val="00A23B32"/>
    <w:rsid w:val="00A23E27"/>
    <w:rsid w:val="00A23EEB"/>
    <w:rsid w:val="00A24325"/>
    <w:rsid w:val="00A24618"/>
    <w:rsid w:val="00A248B4"/>
    <w:rsid w:val="00A249F5"/>
    <w:rsid w:val="00A24E6A"/>
    <w:rsid w:val="00A259EB"/>
    <w:rsid w:val="00A266C1"/>
    <w:rsid w:val="00A26779"/>
    <w:rsid w:val="00A2683A"/>
    <w:rsid w:val="00A26B19"/>
    <w:rsid w:val="00A26C50"/>
    <w:rsid w:val="00A26EE9"/>
    <w:rsid w:val="00A272A1"/>
    <w:rsid w:val="00A27530"/>
    <w:rsid w:val="00A27B76"/>
    <w:rsid w:val="00A30495"/>
    <w:rsid w:val="00A30AA3"/>
    <w:rsid w:val="00A30B4D"/>
    <w:rsid w:val="00A30BB3"/>
    <w:rsid w:val="00A31028"/>
    <w:rsid w:val="00A32663"/>
    <w:rsid w:val="00A33173"/>
    <w:rsid w:val="00A334BA"/>
    <w:rsid w:val="00A33A06"/>
    <w:rsid w:val="00A33C62"/>
    <w:rsid w:val="00A3454D"/>
    <w:rsid w:val="00A3461A"/>
    <w:rsid w:val="00A34FC2"/>
    <w:rsid w:val="00A34FE4"/>
    <w:rsid w:val="00A350E4"/>
    <w:rsid w:val="00A353DF"/>
    <w:rsid w:val="00A36182"/>
    <w:rsid w:val="00A361F8"/>
    <w:rsid w:val="00A36531"/>
    <w:rsid w:val="00A3654D"/>
    <w:rsid w:val="00A3675E"/>
    <w:rsid w:val="00A36877"/>
    <w:rsid w:val="00A36932"/>
    <w:rsid w:val="00A36B24"/>
    <w:rsid w:val="00A36BDA"/>
    <w:rsid w:val="00A36C5B"/>
    <w:rsid w:val="00A37085"/>
    <w:rsid w:val="00A3747F"/>
    <w:rsid w:val="00A37560"/>
    <w:rsid w:val="00A37797"/>
    <w:rsid w:val="00A3779E"/>
    <w:rsid w:val="00A4043C"/>
    <w:rsid w:val="00A40722"/>
    <w:rsid w:val="00A408D8"/>
    <w:rsid w:val="00A40A9E"/>
    <w:rsid w:val="00A40E9D"/>
    <w:rsid w:val="00A41124"/>
    <w:rsid w:val="00A41435"/>
    <w:rsid w:val="00A41D1F"/>
    <w:rsid w:val="00A4212D"/>
    <w:rsid w:val="00A42299"/>
    <w:rsid w:val="00A42A4C"/>
    <w:rsid w:val="00A42C34"/>
    <w:rsid w:val="00A42E1F"/>
    <w:rsid w:val="00A4302B"/>
    <w:rsid w:val="00A433C9"/>
    <w:rsid w:val="00A4359A"/>
    <w:rsid w:val="00A43B38"/>
    <w:rsid w:val="00A43C98"/>
    <w:rsid w:val="00A43EA5"/>
    <w:rsid w:val="00A44FE0"/>
    <w:rsid w:val="00A452EB"/>
    <w:rsid w:val="00A45E49"/>
    <w:rsid w:val="00A45FD1"/>
    <w:rsid w:val="00A460EC"/>
    <w:rsid w:val="00A4676B"/>
    <w:rsid w:val="00A46A2D"/>
    <w:rsid w:val="00A46B31"/>
    <w:rsid w:val="00A46DA5"/>
    <w:rsid w:val="00A471A2"/>
    <w:rsid w:val="00A4741B"/>
    <w:rsid w:val="00A4767C"/>
    <w:rsid w:val="00A4788B"/>
    <w:rsid w:val="00A478CD"/>
    <w:rsid w:val="00A47978"/>
    <w:rsid w:val="00A47AF3"/>
    <w:rsid w:val="00A5081C"/>
    <w:rsid w:val="00A50C06"/>
    <w:rsid w:val="00A50D24"/>
    <w:rsid w:val="00A50F48"/>
    <w:rsid w:val="00A50FC3"/>
    <w:rsid w:val="00A5144D"/>
    <w:rsid w:val="00A5181C"/>
    <w:rsid w:val="00A51840"/>
    <w:rsid w:val="00A51E5B"/>
    <w:rsid w:val="00A51EEE"/>
    <w:rsid w:val="00A5201B"/>
    <w:rsid w:val="00A52224"/>
    <w:rsid w:val="00A5227F"/>
    <w:rsid w:val="00A523D2"/>
    <w:rsid w:val="00A52879"/>
    <w:rsid w:val="00A528AC"/>
    <w:rsid w:val="00A52DCA"/>
    <w:rsid w:val="00A53144"/>
    <w:rsid w:val="00A532D3"/>
    <w:rsid w:val="00A53480"/>
    <w:rsid w:val="00A536A9"/>
    <w:rsid w:val="00A54102"/>
    <w:rsid w:val="00A543BF"/>
    <w:rsid w:val="00A54781"/>
    <w:rsid w:val="00A54970"/>
    <w:rsid w:val="00A54A17"/>
    <w:rsid w:val="00A54F8D"/>
    <w:rsid w:val="00A5567C"/>
    <w:rsid w:val="00A5584A"/>
    <w:rsid w:val="00A55E6C"/>
    <w:rsid w:val="00A56035"/>
    <w:rsid w:val="00A560E3"/>
    <w:rsid w:val="00A5658A"/>
    <w:rsid w:val="00A56645"/>
    <w:rsid w:val="00A5692D"/>
    <w:rsid w:val="00A56A0F"/>
    <w:rsid w:val="00A56D38"/>
    <w:rsid w:val="00A57378"/>
    <w:rsid w:val="00A57490"/>
    <w:rsid w:val="00A5763E"/>
    <w:rsid w:val="00A579F6"/>
    <w:rsid w:val="00A57C57"/>
    <w:rsid w:val="00A57E6F"/>
    <w:rsid w:val="00A60380"/>
    <w:rsid w:val="00A604D5"/>
    <w:rsid w:val="00A6063B"/>
    <w:rsid w:val="00A6098E"/>
    <w:rsid w:val="00A616B2"/>
    <w:rsid w:val="00A61FD3"/>
    <w:rsid w:val="00A621EB"/>
    <w:rsid w:val="00A62A11"/>
    <w:rsid w:val="00A62D02"/>
    <w:rsid w:val="00A63168"/>
    <w:rsid w:val="00A63606"/>
    <w:rsid w:val="00A637B0"/>
    <w:rsid w:val="00A63A39"/>
    <w:rsid w:val="00A63FE8"/>
    <w:rsid w:val="00A640CA"/>
    <w:rsid w:val="00A64695"/>
    <w:rsid w:val="00A654A5"/>
    <w:rsid w:val="00A6581D"/>
    <w:rsid w:val="00A65962"/>
    <w:rsid w:val="00A65B91"/>
    <w:rsid w:val="00A65F83"/>
    <w:rsid w:val="00A65FDE"/>
    <w:rsid w:val="00A66A04"/>
    <w:rsid w:val="00A66BAC"/>
    <w:rsid w:val="00A66C26"/>
    <w:rsid w:val="00A66C93"/>
    <w:rsid w:val="00A66D7C"/>
    <w:rsid w:val="00A67121"/>
    <w:rsid w:val="00A67524"/>
    <w:rsid w:val="00A675A6"/>
    <w:rsid w:val="00A678F9"/>
    <w:rsid w:val="00A67950"/>
    <w:rsid w:val="00A67A24"/>
    <w:rsid w:val="00A67C9A"/>
    <w:rsid w:val="00A7069F"/>
    <w:rsid w:val="00A70EBB"/>
    <w:rsid w:val="00A712B2"/>
    <w:rsid w:val="00A717F6"/>
    <w:rsid w:val="00A71853"/>
    <w:rsid w:val="00A71B26"/>
    <w:rsid w:val="00A71D22"/>
    <w:rsid w:val="00A71FCC"/>
    <w:rsid w:val="00A722CB"/>
    <w:rsid w:val="00A722E6"/>
    <w:rsid w:val="00A72720"/>
    <w:rsid w:val="00A72BA5"/>
    <w:rsid w:val="00A72BF4"/>
    <w:rsid w:val="00A72CE1"/>
    <w:rsid w:val="00A72F5E"/>
    <w:rsid w:val="00A72FDA"/>
    <w:rsid w:val="00A73240"/>
    <w:rsid w:val="00A73392"/>
    <w:rsid w:val="00A73825"/>
    <w:rsid w:val="00A74046"/>
    <w:rsid w:val="00A74192"/>
    <w:rsid w:val="00A74232"/>
    <w:rsid w:val="00A744B5"/>
    <w:rsid w:val="00A748EC"/>
    <w:rsid w:val="00A7495E"/>
    <w:rsid w:val="00A74AE2"/>
    <w:rsid w:val="00A74E46"/>
    <w:rsid w:val="00A752F3"/>
    <w:rsid w:val="00A75F3F"/>
    <w:rsid w:val="00A7626D"/>
    <w:rsid w:val="00A76486"/>
    <w:rsid w:val="00A7669A"/>
    <w:rsid w:val="00A76B5F"/>
    <w:rsid w:val="00A77D3C"/>
    <w:rsid w:val="00A77FC4"/>
    <w:rsid w:val="00A801DB"/>
    <w:rsid w:val="00A8050C"/>
    <w:rsid w:val="00A80879"/>
    <w:rsid w:val="00A809D0"/>
    <w:rsid w:val="00A8110B"/>
    <w:rsid w:val="00A814E7"/>
    <w:rsid w:val="00A81822"/>
    <w:rsid w:val="00A81F56"/>
    <w:rsid w:val="00A82157"/>
    <w:rsid w:val="00A824D9"/>
    <w:rsid w:val="00A82AC4"/>
    <w:rsid w:val="00A82E89"/>
    <w:rsid w:val="00A82F91"/>
    <w:rsid w:val="00A8307E"/>
    <w:rsid w:val="00A83644"/>
    <w:rsid w:val="00A83762"/>
    <w:rsid w:val="00A839DD"/>
    <w:rsid w:val="00A83CF1"/>
    <w:rsid w:val="00A841AF"/>
    <w:rsid w:val="00A8428C"/>
    <w:rsid w:val="00A845F8"/>
    <w:rsid w:val="00A84A45"/>
    <w:rsid w:val="00A84AE8"/>
    <w:rsid w:val="00A84D8C"/>
    <w:rsid w:val="00A851ED"/>
    <w:rsid w:val="00A85CF3"/>
    <w:rsid w:val="00A8604E"/>
    <w:rsid w:val="00A86B7C"/>
    <w:rsid w:val="00A86CE3"/>
    <w:rsid w:val="00A86E0B"/>
    <w:rsid w:val="00A86E7E"/>
    <w:rsid w:val="00A86F13"/>
    <w:rsid w:val="00A872DA"/>
    <w:rsid w:val="00A8736A"/>
    <w:rsid w:val="00A8754F"/>
    <w:rsid w:val="00A87564"/>
    <w:rsid w:val="00A8770E"/>
    <w:rsid w:val="00A900B0"/>
    <w:rsid w:val="00A90324"/>
    <w:rsid w:val="00A904C5"/>
    <w:rsid w:val="00A908BC"/>
    <w:rsid w:val="00A909D9"/>
    <w:rsid w:val="00A90DAD"/>
    <w:rsid w:val="00A916A3"/>
    <w:rsid w:val="00A91BF2"/>
    <w:rsid w:val="00A91DE0"/>
    <w:rsid w:val="00A9216E"/>
    <w:rsid w:val="00A92468"/>
    <w:rsid w:val="00A92756"/>
    <w:rsid w:val="00A9278B"/>
    <w:rsid w:val="00A92D3E"/>
    <w:rsid w:val="00A92DF1"/>
    <w:rsid w:val="00A93405"/>
    <w:rsid w:val="00A939BA"/>
    <w:rsid w:val="00A93EC3"/>
    <w:rsid w:val="00A94CD7"/>
    <w:rsid w:val="00A94D98"/>
    <w:rsid w:val="00A94E65"/>
    <w:rsid w:val="00A94F84"/>
    <w:rsid w:val="00A9563B"/>
    <w:rsid w:val="00A9573F"/>
    <w:rsid w:val="00A95C03"/>
    <w:rsid w:val="00A95C38"/>
    <w:rsid w:val="00A95E97"/>
    <w:rsid w:val="00A96227"/>
    <w:rsid w:val="00A9627C"/>
    <w:rsid w:val="00A965CC"/>
    <w:rsid w:val="00A96C70"/>
    <w:rsid w:val="00A9724F"/>
    <w:rsid w:val="00A97395"/>
    <w:rsid w:val="00A975C0"/>
    <w:rsid w:val="00A97689"/>
    <w:rsid w:val="00A9786F"/>
    <w:rsid w:val="00A9794A"/>
    <w:rsid w:val="00A97A8B"/>
    <w:rsid w:val="00AA0536"/>
    <w:rsid w:val="00AA08D8"/>
    <w:rsid w:val="00AA0AE0"/>
    <w:rsid w:val="00AA0C63"/>
    <w:rsid w:val="00AA19AA"/>
    <w:rsid w:val="00AA1BDC"/>
    <w:rsid w:val="00AA2541"/>
    <w:rsid w:val="00AA2586"/>
    <w:rsid w:val="00AA26EF"/>
    <w:rsid w:val="00AA27B5"/>
    <w:rsid w:val="00AA29D4"/>
    <w:rsid w:val="00AA2A9E"/>
    <w:rsid w:val="00AA2B0D"/>
    <w:rsid w:val="00AA2B61"/>
    <w:rsid w:val="00AA2F3F"/>
    <w:rsid w:val="00AA2F6B"/>
    <w:rsid w:val="00AA3021"/>
    <w:rsid w:val="00AA312D"/>
    <w:rsid w:val="00AA3246"/>
    <w:rsid w:val="00AA35B5"/>
    <w:rsid w:val="00AA389A"/>
    <w:rsid w:val="00AA3A7A"/>
    <w:rsid w:val="00AA3ABC"/>
    <w:rsid w:val="00AA3FD2"/>
    <w:rsid w:val="00AA4068"/>
    <w:rsid w:val="00AA48F6"/>
    <w:rsid w:val="00AA4973"/>
    <w:rsid w:val="00AA56F9"/>
    <w:rsid w:val="00AA57CC"/>
    <w:rsid w:val="00AA58CF"/>
    <w:rsid w:val="00AA5B2D"/>
    <w:rsid w:val="00AA5D78"/>
    <w:rsid w:val="00AA680E"/>
    <w:rsid w:val="00AA6C54"/>
    <w:rsid w:val="00AA74AB"/>
    <w:rsid w:val="00AA74DB"/>
    <w:rsid w:val="00AA75B6"/>
    <w:rsid w:val="00AA7A91"/>
    <w:rsid w:val="00AA7C9E"/>
    <w:rsid w:val="00AB05E5"/>
    <w:rsid w:val="00AB06E6"/>
    <w:rsid w:val="00AB0C09"/>
    <w:rsid w:val="00AB0CAB"/>
    <w:rsid w:val="00AB0D6A"/>
    <w:rsid w:val="00AB0F1D"/>
    <w:rsid w:val="00AB0F6F"/>
    <w:rsid w:val="00AB0F83"/>
    <w:rsid w:val="00AB11E1"/>
    <w:rsid w:val="00AB1565"/>
    <w:rsid w:val="00AB16DC"/>
    <w:rsid w:val="00AB190D"/>
    <w:rsid w:val="00AB1A23"/>
    <w:rsid w:val="00AB1BAA"/>
    <w:rsid w:val="00AB206F"/>
    <w:rsid w:val="00AB23A0"/>
    <w:rsid w:val="00AB2B0D"/>
    <w:rsid w:val="00AB300C"/>
    <w:rsid w:val="00AB31C6"/>
    <w:rsid w:val="00AB33BF"/>
    <w:rsid w:val="00AB34B4"/>
    <w:rsid w:val="00AB3586"/>
    <w:rsid w:val="00AB36C9"/>
    <w:rsid w:val="00AB3D10"/>
    <w:rsid w:val="00AB3D99"/>
    <w:rsid w:val="00AB422E"/>
    <w:rsid w:val="00AB4510"/>
    <w:rsid w:val="00AB4BE7"/>
    <w:rsid w:val="00AB4EED"/>
    <w:rsid w:val="00AB5058"/>
    <w:rsid w:val="00AB535F"/>
    <w:rsid w:val="00AB568A"/>
    <w:rsid w:val="00AB5A2D"/>
    <w:rsid w:val="00AB671C"/>
    <w:rsid w:val="00AB7420"/>
    <w:rsid w:val="00AB77DB"/>
    <w:rsid w:val="00AB7F6A"/>
    <w:rsid w:val="00AC03AF"/>
    <w:rsid w:val="00AC0470"/>
    <w:rsid w:val="00AC07AD"/>
    <w:rsid w:val="00AC0931"/>
    <w:rsid w:val="00AC0984"/>
    <w:rsid w:val="00AC0BD8"/>
    <w:rsid w:val="00AC12B1"/>
    <w:rsid w:val="00AC1455"/>
    <w:rsid w:val="00AC1AA6"/>
    <w:rsid w:val="00AC1E11"/>
    <w:rsid w:val="00AC1E25"/>
    <w:rsid w:val="00AC2236"/>
    <w:rsid w:val="00AC22E7"/>
    <w:rsid w:val="00AC2443"/>
    <w:rsid w:val="00AC2FDE"/>
    <w:rsid w:val="00AC3F75"/>
    <w:rsid w:val="00AC3FB1"/>
    <w:rsid w:val="00AC4007"/>
    <w:rsid w:val="00AC4098"/>
    <w:rsid w:val="00AC59C3"/>
    <w:rsid w:val="00AC5A38"/>
    <w:rsid w:val="00AC5C8B"/>
    <w:rsid w:val="00AC607E"/>
    <w:rsid w:val="00AC621A"/>
    <w:rsid w:val="00AC64EE"/>
    <w:rsid w:val="00AC658D"/>
    <w:rsid w:val="00AC6BCA"/>
    <w:rsid w:val="00AC6C7F"/>
    <w:rsid w:val="00AC6CA4"/>
    <w:rsid w:val="00AC721E"/>
    <w:rsid w:val="00AC7300"/>
    <w:rsid w:val="00AC73BC"/>
    <w:rsid w:val="00AC7474"/>
    <w:rsid w:val="00AC7B3F"/>
    <w:rsid w:val="00AC7DF9"/>
    <w:rsid w:val="00AD0388"/>
    <w:rsid w:val="00AD0A97"/>
    <w:rsid w:val="00AD0C58"/>
    <w:rsid w:val="00AD0E81"/>
    <w:rsid w:val="00AD10E2"/>
    <w:rsid w:val="00AD12BD"/>
    <w:rsid w:val="00AD12C9"/>
    <w:rsid w:val="00AD1970"/>
    <w:rsid w:val="00AD1BCB"/>
    <w:rsid w:val="00AD301F"/>
    <w:rsid w:val="00AD3B22"/>
    <w:rsid w:val="00AD3C51"/>
    <w:rsid w:val="00AD3F51"/>
    <w:rsid w:val="00AD4124"/>
    <w:rsid w:val="00AD4184"/>
    <w:rsid w:val="00AD4518"/>
    <w:rsid w:val="00AD49D1"/>
    <w:rsid w:val="00AD4AB9"/>
    <w:rsid w:val="00AD52C6"/>
    <w:rsid w:val="00AD551E"/>
    <w:rsid w:val="00AD5671"/>
    <w:rsid w:val="00AD5801"/>
    <w:rsid w:val="00AD5850"/>
    <w:rsid w:val="00AD5EC6"/>
    <w:rsid w:val="00AD5EE7"/>
    <w:rsid w:val="00AD61D8"/>
    <w:rsid w:val="00AD627F"/>
    <w:rsid w:val="00AD64E2"/>
    <w:rsid w:val="00AD663F"/>
    <w:rsid w:val="00AD6A60"/>
    <w:rsid w:val="00AD6A63"/>
    <w:rsid w:val="00AD6EAD"/>
    <w:rsid w:val="00AD6F4E"/>
    <w:rsid w:val="00AD70AD"/>
    <w:rsid w:val="00AD7314"/>
    <w:rsid w:val="00AD7E7B"/>
    <w:rsid w:val="00AE04B9"/>
    <w:rsid w:val="00AE050D"/>
    <w:rsid w:val="00AE0B25"/>
    <w:rsid w:val="00AE0BE0"/>
    <w:rsid w:val="00AE0DA9"/>
    <w:rsid w:val="00AE1210"/>
    <w:rsid w:val="00AE1240"/>
    <w:rsid w:val="00AE1A1A"/>
    <w:rsid w:val="00AE1AEB"/>
    <w:rsid w:val="00AE1F0B"/>
    <w:rsid w:val="00AE271C"/>
    <w:rsid w:val="00AE2936"/>
    <w:rsid w:val="00AE2D49"/>
    <w:rsid w:val="00AE3369"/>
    <w:rsid w:val="00AE349C"/>
    <w:rsid w:val="00AE359E"/>
    <w:rsid w:val="00AE37EB"/>
    <w:rsid w:val="00AE3843"/>
    <w:rsid w:val="00AE3BC2"/>
    <w:rsid w:val="00AE3E71"/>
    <w:rsid w:val="00AE4098"/>
    <w:rsid w:val="00AE429F"/>
    <w:rsid w:val="00AE4585"/>
    <w:rsid w:val="00AE4AA8"/>
    <w:rsid w:val="00AE4DB8"/>
    <w:rsid w:val="00AE4E8A"/>
    <w:rsid w:val="00AE4FAB"/>
    <w:rsid w:val="00AE5289"/>
    <w:rsid w:val="00AE53F4"/>
    <w:rsid w:val="00AE5C8B"/>
    <w:rsid w:val="00AE6072"/>
    <w:rsid w:val="00AE6584"/>
    <w:rsid w:val="00AE6692"/>
    <w:rsid w:val="00AE67BB"/>
    <w:rsid w:val="00AE7170"/>
    <w:rsid w:val="00AE7794"/>
    <w:rsid w:val="00AE7815"/>
    <w:rsid w:val="00AE79AE"/>
    <w:rsid w:val="00AE7ABB"/>
    <w:rsid w:val="00AF06E5"/>
    <w:rsid w:val="00AF0BAA"/>
    <w:rsid w:val="00AF1072"/>
    <w:rsid w:val="00AF1115"/>
    <w:rsid w:val="00AF1499"/>
    <w:rsid w:val="00AF1A25"/>
    <w:rsid w:val="00AF1C05"/>
    <w:rsid w:val="00AF1D38"/>
    <w:rsid w:val="00AF1F64"/>
    <w:rsid w:val="00AF1FFA"/>
    <w:rsid w:val="00AF21ED"/>
    <w:rsid w:val="00AF2219"/>
    <w:rsid w:val="00AF25C4"/>
    <w:rsid w:val="00AF2769"/>
    <w:rsid w:val="00AF30AC"/>
    <w:rsid w:val="00AF358C"/>
    <w:rsid w:val="00AF3BA9"/>
    <w:rsid w:val="00AF3C9B"/>
    <w:rsid w:val="00AF3EBD"/>
    <w:rsid w:val="00AF3EE4"/>
    <w:rsid w:val="00AF4456"/>
    <w:rsid w:val="00AF4553"/>
    <w:rsid w:val="00AF4BAF"/>
    <w:rsid w:val="00AF5360"/>
    <w:rsid w:val="00AF5442"/>
    <w:rsid w:val="00AF5CC7"/>
    <w:rsid w:val="00AF5D9D"/>
    <w:rsid w:val="00AF5E19"/>
    <w:rsid w:val="00AF6046"/>
    <w:rsid w:val="00AF6929"/>
    <w:rsid w:val="00AF7540"/>
    <w:rsid w:val="00AF7635"/>
    <w:rsid w:val="00AF77D8"/>
    <w:rsid w:val="00AF785D"/>
    <w:rsid w:val="00AF78F7"/>
    <w:rsid w:val="00AF79D0"/>
    <w:rsid w:val="00AF7BEA"/>
    <w:rsid w:val="00AF7E92"/>
    <w:rsid w:val="00AF7FBB"/>
    <w:rsid w:val="00B0049E"/>
    <w:rsid w:val="00B00828"/>
    <w:rsid w:val="00B00C64"/>
    <w:rsid w:val="00B00F3F"/>
    <w:rsid w:val="00B00FC0"/>
    <w:rsid w:val="00B01031"/>
    <w:rsid w:val="00B01053"/>
    <w:rsid w:val="00B016F6"/>
    <w:rsid w:val="00B01F79"/>
    <w:rsid w:val="00B0240F"/>
    <w:rsid w:val="00B02862"/>
    <w:rsid w:val="00B02EFB"/>
    <w:rsid w:val="00B030E7"/>
    <w:rsid w:val="00B03189"/>
    <w:rsid w:val="00B035C5"/>
    <w:rsid w:val="00B036D4"/>
    <w:rsid w:val="00B040B5"/>
    <w:rsid w:val="00B045AF"/>
    <w:rsid w:val="00B049BA"/>
    <w:rsid w:val="00B04BC8"/>
    <w:rsid w:val="00B04DC2"/>
    <w:rsid w:val="00B04F36"/>
    <w:rsid w:val="00B04F86"/>
    <w:rsid w:val="00B050FD"/>
    <w:rsid w:val="00B05946"/>
    <w:rsid w:val="00B05B20"/>
    <w:rsid w:val="00B05BDC"/>
    <w:rsid w:val="00B05E10"/>
    <w:rsid w:val="00B0601E"/>
    <w:rsid w:val="00B0619A"/>
    <w:rsid w:val="00B06814"/>
    <w:rsid w:val="00B06934"/>
    <w:rsid w:val="00B06B3F"/>
    <w:rsid w:val="00B06C41"/>
    <w:rsid w:val="00B06CD3"/>
    <w:rsid w:val="00B070BD"/>
    <w:rsid w:val="00B07645"/>
    <w:rsid w:val="00B0764E"/>
    <w:rsid w:val="00B0782E"/>
    <w:rsid w:val="00B07D94"/>
    <w:rsid w:val="00B104D3"/>
    <w:rsid w:val="00B1064E"/>
    <w:rsid w:val="00B10B51"/>
    <w:rsid w:val="00B10B59"/>
    <w:rsid w:val="00B115C0"/>
    <w:rsid w:val="00B11802"/>
    <w:rsid w:val="00B121C9"/>
    <w:rsid w:val="00B12238"/>
    <w:rsid w:val="00B12410"/>
    <w:rsid w:val="00B126DD"/>
    <w:rsid w:val="00B12936"/>
    <w:rsid w:val="00B12937"/>
    <w:rsid w:val="00B12A12"/>
    <w:rsid w:val="00B12C53"/>
    <w:rsid w:val="00B12EEE"/>
    <w:rsid w:val="00B13249"/>
    <w:rsid w:val="00B1363C"/>
    <w:rsid w:val="00B13DC2"/>
    <w:rsid w:val="00B143D4"/>
    <w:rsid w:val="00B1450D"/>
    <w:rsid w:val="00B14824"/>
    <w:rsid w:val="00B1498A"/>
    <w:rsid w:val="00B14E4E"/>
    <w:rsid w:val="00B1553A"/>
    <w:rsid w:val="00B15634"/>
    <w:rsid w:val="00B1589E"/>
    <w:rsid w:val="00B15936"/>
    <w:rsid w:val="00B15AF3"/>
    <w:rsid w:val="00B15EE6"/>
    <w:rsid w:val="00B15EFF"/>
    <w:rsid w:val="00B1611B"/>
    <w:rsid w:val="00B16306"/>
    <w:rsid w:val="00B16438"/>
    <w:rsid w:val="00B168D1"/>
    <w:rsid w:val="00B16CD7"/>
    <w:rsid w:val="00B17524"/>
    <w:rsid w:val="00B17602"/>
    <w:rsid w:val="00B202DC"/>
    <w:rsid w:val="00B205BA"/>
    <w:rsid w:val="00B20C1B"/>
    <w:rsid w:val="00B20D35"/>
    <w:rsid w:val="00B20EA1"/>
    <w:rsid w:val="00B2113B"/>
    <w:rsid w:val="00B212F5"/>
    <w:rsid w:val="00B22236"/>
    <w:rsid w:val="00B223DF"/>
    <w:rsid w:val="00B228C3"/>
    <w:rsid w:val="00B2290D"/>
    <w:rsid w:val="00B22AB8"/>
    <w:rsid w:val="00B22BAE"/>
    <w:rsid w:val="00B22CCE"/>
    <w:rsid w:val="00B22DAC"/>
    <w:rsid w:val="00B234D2"/>
    <w:rsid w:val="00B23FEA"/>
    <w:rsid w:val="00B24059"/>
    <w:rsid w:val="00B2443F"/>
    <w:rsid w:val="00B25957"/>
    <w:rsid w:val="00B261E6"/>
    <w:rsid w:val="00B26AD4"/>
    <w:rsid w:val="00B26DE0"/>
    <w:rsid w:val="00B277F8"/>
    <w:rsid w:val="00B27B50"/>
    <w:rsid w:val="00B30091"/>
    <w:rsid w:val="00B3066B"/>
    <w:rsid w:val="00B30972"/>
    <w:rsid w:val="00B30BAD"/>
    <w:rsid w:val="00B310AB"/>
    <w:rsid w:val="00B31B98"/>
    <w:rsid w:val="00B31BF4"/>
    <w:rsid w:val="00B31D04"/>
    <w:rsid w:val="00B31DF9"/>
    <w:rsid w:val="00B31EFE"/>
    <w:rsid w:val="00B322D1"/>
    <w:rsid w:val="00B3268C"/>
    <w:rsid w:val="00B326E6"/>
    <w:rsid w:val="00B32E79"/>
    <w:rsid w:val="00B3335E"/>
    <w:rsid w:val="00B33371"/>
    <w:rsid w:val="00B3373F"/>
    <w:rsid w:val="00B33AE1"/>
    <w:rsid w:val="00B33D8F"/>
    <w:rsid w:val="00B33E3F"/>
    <w:rsid w:val="00B3411A"/>
    <w:rsid w:val="00B346F7"/>
    <w:rsid w:val="00B35700"/>
    <w:rsid w:val="00B35839"/>
    <w:rsid w:val="00B359BA"/>
    <w:rsid w:val="00B371C5"/>
    <w:rsid w:val="00B372E7"/>
    <w:rsid w:val="00B37961"/>
    <w:rsid w:val="00B37B47"/>
    <w:rsid w:val="00B37CEF"/>
    <w:rsid w:val="00B37E60"/>
    <w:rsid w:val="00B4056F"/>
    <w:rsid w:val="00B40A06"/>
    <w:rsid w:val="00B40A38"/>
    <w:rsid w:val="00B40E28"/>
    <w:rsid w:val="00B41C79"/>
    <w:rsid w:val="00B41E06"/>
    <w:rsid w:val="00B4218C"/>
    <w:rsid w:val="00B4230D"/>
    <w:rsid w:val="00B42348"/>
    <w:rsid w:val="00B4248E"/>
    <w:rsid w:val="00B428AA"/>
    <w:rsid w:val="00B42935"/>
    <w:rsid w:val="00B42A88"/>
    <w:rsid w:val="00B42E4B"/>
    <w:rsid w:val="00B42EEA"/>
    <w:rsid w:val="00B4365D"/>
    <w:rsid w:val="00B43D20"/>
    <w:rsid w:val="00B4427B"/>
    <w:rsid w:val="00B44538"/>
    <w:rsid w:val="00B4474D"/>
    <w:rsid w:val="00B447AD"/>
    <w:rsid w:val="00B449E1"/>
    <w:rsid w:val="00B44A59"/>
    <w:rsid w:val="00B44AC6"/>
    <w:rsid w:val="00B44CFB"/>
    <w:rsid w:val="00B44D50"/>
    <w:rsid w:val="00B44D6B"/>
    <w:rsid w:val="00B44DBB"/>
    <w:rsid w:val="00B45413"/>
    <w:rsid w:val="00B454DD"/>
    <w:rsid w:val="00B4603B"/>
    <w:rsid w:val="00B4607C"/>
    <w:rsid w:val="00B46912"/>
    <w:rsid w:val="00B46913"/>
    <w:rsid w:val="00B469F8"/>
    <w:rsid w:val="00B46C41"/>
    <w:rsid w:val="00B46DAB"/>
    <w:rsid w:val="00B46F36"/>
    <w:rsid w:val="00B47A57"/>
    <w:rsid w:val="00B47BD4"/>
    <w:rsid w:val="00B47D13"/>
    <w:rsid w:val="00B5088C"/>
    <w:rsid w:val="00B50B6B"/>
    <w:rsid w:val="00B50C0D"/>
    <w:rsid w:val="00B50CF2"/>
    <w:rsid w:val="00B50DF1"/>
    <w:rsid w:val="00B5140D"/>
    <w:rsid w:val="00B51A0B"/>
    <w:rsid w:val="00B51E80"/>
    <w:rsid w:val="00B524C0"/>
    <w:rsid w:val="00B534B8"/>
    <w:rsid w:val="00B53A5A"/>
    <w:rsid w:val="00B53D22"/>
    <w:rsid w:val="00B54806"/>
    <w:rsid w:val="00B54A68"/>
    <w:rsid w:val="00B54BDF"/>
    <w:rsid w:val="00B54CED"/>
    <w:rsid w:val="00B54EF8"/>
    <w:rsid w:val="00B55751"/>
    <w:rsid w:val="00B558D2"/>
    <w:rsid w:val="00B5598E"/>
    <w:rsid w:val="00B55CBA"/>
    <w:rsid w:val="00B56029"/>
    <w:rsid w:val="00B564DA"/>
    <w:rsid w:val="00B566B6"/>
    <w:rsid w:val="00B56A36"/>
    <w:rsid w:val="00B56AA1"/>
    <w:rsid w:val="00B56FCC"/>
    <w:rsid w:val="00B5759E"/>
    <w:rsid w:val="00B57710"/>
    <w:rsid w:val="00B57916"/>
    <w:rsid w:val="00B57D83"/>
    <w:rsid w:val="00B57E7E"/>
    <w:rsid w:val="00B60225"/>
    <w:rsid w:val="00B605D4"/>
    <w:rsid w:val="00B608B3"/>
    <w:rsid w:val="00B60A42"/>
    <w:rsid w:val="00B60B2C"/>
    <w:rsid w:val="00B61AA8"/>
    <w:rsid w:val="00B61BF3"/>
    <w:rsid w:val="00B62015"/>
    <w:rsid w:val="00B62157"/>
    <w:rsid w:val="00B62BD4"/>
    <w:rsid w:val="00B63B89"/>
    <w:rsid w:val="00B63CA1"/>
    <w:rsid w:val="00B63F9B"/>
    <w:rsid w:val="00B64011"/>
    <w:rsid w:val="00B64193"/>
    <w:rsid w:val="00B6457F"/>
    <w:rsid w:val="00B64591"/>
    <w:rsid w:val="00B647D8"/>
    <w:rsid w:val="00B64821"/>
    <w:rsid w:val="00B65017"/>
    <w:rsid w:val="00B654D8"/>
    <w:rsid w:val="00B65708"/>
    <w:rsid w:val="00B66600"/>
    <w:rsid w:val="00B6675C"/>
    <w:rsid w:val="00B66841"/>
    <w:rsid w:val="00B66B17"/>
    <w:rsid w:val="00B671F6"/>
    <w:rsid w:val="00B67287"/>
    <w:rsid w:val="00B67A1F"/>
    <w:rsid w:val="00B67D90"/>
    <w:rsid w:val="00B67D99"/>
    <w:rsid w:val="00B67E5B"/>
    <w:rsid w:val="00B70265"/>
    <w:rsid w:val="00B70409"/>
    <w:rsid w:val="00B70416"/>
    <w:rsid w:val="00B70580"/>
    <w:rsid w:val="00B706B1"/>
    <w:rsid w:val="00B70A0A"/>
    <w:rsid w:val="00B70B0E"/>
    <w:rsid w:val="00B70D56"/>
    <w:rsid w:val="00B70E34"/>
    <w:rsid w:val="00B70E56"/>
    <w:rsid w:val="00B70F1C"/>
    <w:rsid w:val="00B70F89"/>
    <w:rsid w:val="00B713CF"/>
    <w:rsid w:val="00B7168A"/>
    <w:rsid w:val="00B7171E"/>
    <w:rsid w:val="00B717A0"/>
    <w:rsid w:val="00B71864"/>
    <w:rsid w:val="00B71AFB"/>
    <w:rsid w:val="00B71D29"/>
    <w:rsid w:val="00B71F44"/>
    <w:rsid w:val="00B7217C"/>
    <w:rsid w:val="00B72AD0"/>
    <w:rsid w:val="00B72BBD"/>
    <w:rsid w:val="00B72C3E"/>
    <w:rsid w:val="00B72CF0"/>
    <w:rsid w:val="00B72D09"/>
    <w:rsid w:val="00B733D5"/>
    <w:rsid w:val="00B73762"/>
    <w:rsid w:val="00B737EC"/>
    <w:rsid w:val="00B739D4"/>
    <w:rsid w:val="00B73DCC"/>
    <w:rsid w:val="00B73F8F"/>
    <w:rsid w:val="00B74692"/>
    <w:rsid w:val="00B74B0A"/>
    <w:rsid w:val="00B74E20"/>
    <w:rsid w:val="00B752FC"/>
    <w:rsid w:val="00B75498"/>
    <w:rsid w:val="00B758CB"/>
    <w:rsid w:val="00B75AE5"/>
    <w:rsid w:val="00B75EED"/>
    <w:rsid w:val="00B75FDF"/>
    <w:rsid w:val="00B7691E"/>
    <w:rsid w:val="00B76D27"/>
    <w:rsid w:val="00B77333"/>
    <w:rsid w:val="00B774A9"/>
    <w:rsid w:val="00B77598"/>
    <w:rsid w:val="00B775B3"/>
    <w:rsid w:val="00B775CB"/>
    <w:rsid w:val="00B77956"/>
    <w:rsid w:val="00B77DD0"/>
    <w:rsid w:val="00B77EA9"/>
    <w:rsid w:val="00B80627"/>
    <w:rsid w:val="00B8072E"/>
    <w:rsid w:val="00B807CF"/>
    <w:rsid w:val="00B80A35"/>
    <w:rsid w:val="00B80A8B"/>
    <w:rsid w:val="00B8104E"/>
    <w:rsid w:val="00B812AA"/>
    <w:rsid w:val="00B812FD"/>
    <w:rsid w:val="00B8157B"/>
    <w:rsid w:val="00B81DC1"/>
    <w:rsid w:val="00B82110"/>
    <w:rsid w:val="00B827E9"/>
    <w:rsid w:val="00B82C81"/>
    <w:rsid w:val="00B82E12"/>
    <w:rsid w:val="00B830FA"/>
    <w:rsid w:val="00B836EC"/>
    <w:rsid w:val="00B838B5"/>
    <w:rsid w:val="00B83E19"/>
    <w:rsid w:val="00B840AC"/>
    <w:rsid w:val="00B843A9"/>
    <w:rsid w:val="00B845FC"/>
    <w:rsid w:val="00B8461A"/>
    <w:rsid w:val="00B84A6F"/>
    <w:rsid w:val="00B84B67"/>
    <w:rsid w:val="00B84E43"/>
    <w:rsid w:val="00B84EC4"/>
    <w:rsid w:val="00B8501E"/>
    <w:rsid w:val="00B85484"/>
    <w:rsid w:val="00B85515"/>
    <w:rsid w:val="00B85529"/>
    <w:rsid w:val="00B855EC"/>
    <w:rsid w:val="00B856A0"/>
    <w:rsid w:val="00B859F3"/>
    <w:rsid w:val="00B85EFE"/>
    <w:rsid w:val="00B85FFB"/>
    <w:rsid w:val="00B860AC"/>
    <w:rsid w:val="00B860C6"/>
    <w:rsid w:val="00B86676"/>
    <w:rsid w:val="00B86943"/>
    <w:rsid w:val="00B86DFA"/>
    <w:rsid w:val="00B871E2"/>
    <w:rsid w:val="00B8760F"/>
    <w:rsid w:val="00B878FC"/>
    <w:rsid w:val="00B87C50"/>
    <w:rsid w:val="00B87C66"/>
    <w:rsid w:val="00B87F3E"/>
    <w:rsid w:val="00B904F8"/>
    <w:rsid w:val="00B90516"/>
    <w:rsid w:val="00B905DE"/>
    <w:rsid w:val="00B90647"/>
    <w:rsid w:val="00B90A35"/>
    <w:rsid w:val="00B90C11"/>
    <w:rsid w:val="00B90D5E"/>
    <w:rsid w:val="00B90F2F"/>
    <w:rsid w:val="00B911C1"/>
    <w:rsid w:val="00B91443"/>
    <w:rsid w:val="00B916C2"/>
    <w:rsid w:val="00B916CF"/>
    <w:rsid w:val="00B91E8A"/>
    <w:rsid w:val="00B924F8"/>
    <w:rsid w:val="00B930B1"/>
    <w:rsid w:val="00B930C3"/>
    <w:rsid w:val="00B93350"/>
    <w:rsid w:val="00B93422"/>
    <w:rsid w:val="00B93509"/>
    <w:rsid w:val="00B9362B"/>
    <w:rsid w:val="00B9368C"/>
    <w:rsid w:val="00B938CB"/>
    <w:rsid w:val="00B939EE"/>
    <w:rsid w:val="00B93A15"/>
    <w:rsid w:val="00B93AAF"/>
    <w:rsid w:val="00B93ADE"/>
    <w:rsid w:val="00B93FAB"/>
    <w:rsid w:val="00B94244"/>
    <w:rsid w:val="00B94554"/>
    <w:rsid w:val="00B9464B"/>
    <w:rsid w:val="00B94A4B"/>
    <w:rsid w:val="00B94B04"/>
    <w:rsid w:val="00B94B96"/>
    <w:rsid w:val="00B94CB7"/>
    <w:rsid w:val="00B95151"/>
    <w:rsid w:val="00B952B4"/>
    <w:rsid w:val="00B9531C"/>
    <w:rsid w:val="00B95477"/>
    <w:rsid w:val="00B9548A"/>
    <w:rsid w:val="00B956EE"/>
    <w:rsid w:val="00B95901"/>
    <w:rsid w:val="00B95A72"/>
    <w:rsid w:val="00B95A9D"/>
    <w:rsid w:val="00B961F9"/>
    <w:rsid w:val="00B96ABD"/>
    <w:rsid w:val="00B96B25"/>
    <w:rsid w:val="00B96B5B"/>
    <w:rsid w:val="00B96EA6"/>
    <w:rsid w:val="00B96EE7"/>
    <w:rsid w:val="00B9729B"/>
    <w:rsid w:val="00B976B5"/>
    <w:rsid w:val="00B9794E"/>
    <w:rsid w:val="00B97AE0"/>
    <w:rsid w:val="00B97E68"/>
    <w:rsid w:val="00B97E99"/>
    <w:rsid w:val="00BA00F5"/>
    <w:rsid w:val="00BA010F"/>
    <w:rsid w:val="00BA05D9"/>
    <w:rsid w:val="00BA0639"/>
    <w:rsid w:val="00BA0BA9"/>
    <w:rsid w:val="00BA17A6"/>
    <w:rsid w:val="00BA17FB"/>
    <w:rsid w:val="00BA1A3C"/>
    <w:rsid w:val="00BA1C22"/>
    <w:rsid w:val="00BA2085"/>
    <w:rsid w:val="00BA2469"/>
    <w:rsid w:val="00BA2477"/>
    <w:rsid w:val="00BA2551"/>
    <w:rsid w:val="00BA2996"/>
    <w:rsid w:val="00BA349E"/>
    <w:rsid w:val="00BA3A0F"/>
    <w:rsid w:val="00BA3AB5"/>
    <w:rsid w:val="00BA466D"/>
    <w:rsid w:val="00BA4911"/>
    <w:rsid w:val="00BA49E6"/>
    <w:rsid w:val="00BA4C65"/>
    <w:rsid w:val="00BA4F40"/>
    <w:rsid w:val="00BA5074"/>
    <w:rsid w:val="00BA53DE"/>
    <w:rsid w:val="00BA57C2"/>
    <w:rsid w:val="00BA5C38"/>
    <w:rsid w:val="00BA5FB4"/>
    <w:rsid w:val="00BA627C"/>
    <w:rsid w:val="00BA6EED"/>
    <w:rsid w:val="00BA6F1F"/>
    <w:rsid w:val="00BA6F56"/>
    <w:rsid w:val="00BA7751"/>
    <w:rsid w:val="00BB05DB"/>
    <w:rsid w:val="00BB084E"/>
    <w:rsid w:val="00BB0C8F"/>
    <w:rsid w:val="00BB0EF2"/>
    <w:rsid w:val="00BB0F46"/>
    <w:rsid w:val="00BB108B"/>
    <w:rsid w:val="00BB149C"/>
    <w:rsid w:val="00BB1BD9"/>
    <w:rsid w:val="00BB1F6E"/>
    <w:rsid w:val="00BB2338"/>
    <w:rsid w:val="00BB26EB"/>
    <w:rsid w:val="00BB2C2E"/>
    <w:rsid w:val="00BB2C80"/>
    <w:rsid w:val="00BB2E2F"/>
    <w:rsid w:val="00BB2EAD"/>
    <w:rsid w:val="00BB3199"/>
    <w:rsid w:val="00BB3328"/>
    <w:rsid w:val="00BB333E"/>
    <w:rsid w:val="00BB34E2"/>
    <w:rsid w:val="00BB3708"/>
    <w:rsid w:val="00BB382F"/>
    <w:rsid w:val="00BB3A94"/>
    <w:rsid w:val="00BB3BD6"/>
    <w:rsid w:val="00BB40AA"/>
    <w:rsid w:val="00BB48C9"/>
    <w:rsid w:val="00BB49A6"/>
    <w:rsid w:val="00BB4B3F"/>
    <w:rsid w:val="00BB5116"/>
    <w:rsid w:val="00BB5376"/>
    <w:rsid w:val="00BB5396"/>
    <w:rsid w:val="00BB542E"/>
    <w:rsid w:val="00BB5A4C"/>
    <w:rsid w:val="00BB5A55"/>
    <w:rsid w:val="00BB5BF2"/>
    <w:rsid w:val="00BB5E55"/>
    <w:rsid w:val="00BB5EB5"/>
    <w:rsid w:val="00BB6363"/>
    <w:rsid w:val="00BB639A"/>
    <w:rsid w:val="00BB6520"/>
    <w:rsid w:val="00BB6813"/>
    <w:rsid w:val="00BB759A"/>
    <w:rsid w:val="00BB75C0"/>
    <w:rsid w:val="00BB77D7"/>
    <w:rsid w:val="00BB782F"/>
    <w:rsid w:val="00BB78F4"/>
    <w:rsid w:val="00BB7CD3"/>
    <w:rsid w:val="00BB7EF7"/>
    <w:rsid w:val="00BC06EF"/>
    <w:rsid w:val="00BC083E"/>
    <w:rsid w:val="00BC12F7"/>
    <w:rsid w:val="00BC192D"/>
    <w:rsid w:val="00BC1971"/>
    <w:rsid w:val="00BC1D16"/>
    <w:rsid w:val="00BC1DD7"/>
    <w:rsid w:val="00BC1E59"/>
    <w:rsid w:val="00BC205A"/>
    <w:rsid w:val="00BC20FF"/>
    <w:rsid w:val="00BC23B9"/>
    <w:rsid w:val="00BC28F3"/>
    <w:rsid w:val="00BC29D2"/>
    <w:rsid w:val="00BC31E4"/>
    <w:rsid w:val="00BC333F"/>
    <w:rsid w:val="00BC3941"/>
    <w:rsid w:val="00BC3DA4"/>
    <w:rsid w:val="00BC45D3"/>
    <w:rsid w:val="00BC48FE"/>
    <w:rsid w:val="00BC4C21"/>
    <w:rsid w:val="00BC4D13"/>
    <w:rsid w:val="00BC4F1F"/>
    <w:rsid w:val="00BC51D6"/>
    <w:rsid w:val="00BC53E0"/>
    <w:rsid w:val="00BC582C"/>
    <w:rsid w:val="00BC5831"/>
    <w:rsid w:val="00BC63D1"/>
    <w:rsid w:val="00BC69D8"/>
    <w:rsid w:val="00BC6AA0"/>
    <w:rsid w:val="00BC73FB"/>
    <w:rsid w:val="00BC7DBA"/>
    <w:rsid w:val="00BD00C1"/>
    <w:rsid w:val="00BD02F7"/>
    <w:rsid w:val="00BD0C66"/>
    <w:rsid w:val="00BD0CBB"/>
    <w:rsid w:val="00BD0DDE"/>
    <w:rsid w:val="00BD13C8"/>
    <w:rsid w:val="00BD13E9"/>
    <w:rsid w:val="00BD15AF"/>
    <w:rsid w:val="00BD1871"/>
    <w:rsid w:val="00BD1E84"/>
    <w:rsid w:val="00BD1EA5"/>
    <w:rsid w:val="00BD2066"/>
    <w:rsid w:val="00BD22DA"/>
    <w:rsid w:val="00BD3030"/>
    <w:rsid w:val="00BD3044"/>
    <w:rsid w:val="00BD32CF"/>
    <w:rsid w:val="00BD35F2"/>
    <w:rsid w:val="00BD388B"/>
    <w:rsid w:val="00BD3B29"/>
    <w:rsid w:val="00BD4149"/>
    <w:rsid w:val="00BD4824"/>
    <w:rsid w:val="00BD4C75"/>
    <w:rsid w:val="00BD4F00"/>
    <w:rsid w:val="00BD523A"/>
    <w:rsid w:val="00BD534D"/>
    <w:rsid w:val="00BD539D"/>
    <w:rsid w:val="00BD5516"/>
    <w:rsid w:val="00BD5CA4"/>
    <w:rsid w:val="00BD5F0C"/>
    <w:rsid w:val="00BD685C"/>
    <w:rsid w:val="00BD6899"/>
    <w:rsid w:val="00BD694F"/>
    <w:rsid w:val="00BD69A8"/>
    <w:rsid w:val="00BD6FF8"/>
    <w:rsid w:val="00BD7307"/>
    <w:rsid w:val="00BD7D87"/>
    <w:rsid w:val="00BD7D95"/>
    <w:rsid w:val="00BE0013"/>
    <w:rsid w:val="00BE00CF"/>
    <w:rsid w:val="00BE05D6"/>
    <w:rsid w:val="00BE0A0A"/>
    <w:rsid w:val="00BE12C5"/>
    <w:rsid w:val="00BE1431"/>
    <w:rsid w:val="00BE14BD"/>
    <w:rsid w:val="00BE196D"/>
    <w:rsid w:val="00BE1B6F"/>
    <w:rsid w:val="00BE1DBD"/>
    <w:rsid w:val="00BE1F77"/>
    <w:rsid w:val="00BE211B"/>
    <w:rsid w:val="00BE24C9"/>
    <w:rsid w:val="00BE265A"/>
    <w:rsid w:val="00BE28DF"/>
    <w:rsid w:val="00BE2952"/>
    <w:rsid w:val="00BE2C68"/>
    <w:rsid w:val="00BE2CAD"/>
    <w:rsid w:val="00BE2D17"/>
    <w:rsid w:val="00BE2D73"/>
    <w:rsid w:val="00BE37DF"/>
    <w:rsid w:val="00BE39C8"/>
    <w:rsid w:val="00BE43E8"/>
    <w:rsid w:val="00BE45A6"/>
    <w:rsid w:val="00BE4B5D"/>
    <w:rsid w:val="00BE4D3E"/>
    <w:rsid w:val="00BE5003"/>
    <w:rsid w:val="00BE506A"/>
    <w:rsid w:val="00BE5448"/>
    <w:rsid w:val="00BE5588"/>
    <w:rsid w:val="00BE5795"/>
    <w:rsid w:val="00BE5D51"/>
    <w:rsid w:val="00BE63F2"/>
    <w:rsid w:val="00BE6EEA"/>
    <w:rsid w:val="00BE702E"/>
    <w:rsid w:val="00BE72EE"/>
    <w:rsid w:val="00BE7586"/>
    <w:rsid w:val="00BE75B5"/>
    <w:rsid w:val="00BE767D"/>
    <w:rsid w:val="00BF0511"/>
    <w:rsid w:val="00BF0552"/>
    <w:rsid w:val="00BF0A64"/>
    <w:rsid w:val="00BF0CD3"/>
    <w:rsid w:val="00BF0D18"/>
    <w:rsid w:val="00BF0F8E"/>
    <w:rsid w:val="00BF17A9"/>
    <w:rsid w:val="00BF1849"/>
    <w:rsid w:val="00BF194C"/>
    <w:rsid w:val="00BF1AFA"/>
    <w:rsid w:val="00BF1B40"/>
    <w:rsid w:val="00BF1EF7"/>
    <w:rsid w:val="00BF20D3"/>
    <w:rsid w:val="00BF32EC"/>
    <w:rsid w:val="00BF3B5B"/>
    <w:rsid w:val="00BF3FAB"/>
    <w:rsid w:val="00BF4F51"/>
    <w:rsid w:val="00BF501D"/>
    <w:rsid w:val="00BF56EC"/>
    <w:rsid w:val="00BF5A47"/>
    <w:rsid w:val="00BF5DCF"/>
    <w:rsid w:val="00BF5E1E"/>
    <w:rsid w:val="00BF5E81"/>
    <w:rsid w:val="00BF67BE"/>
    <w:rsid w:val="00BF69BF"/>
    <w:rsid w:val="00BF6A29"/>
    <w:rsid w:val="00BF6A78"/>
    <w:rsid w:val="00BF7944"/>
    <w:rsid w:val="00BF7AB9"/>
    <w:rsid w:val="00BF7BA8"/>
    <w:rsid w:val="00BF7DB5"/>
    <w:rsid w:val="00C00549"/>
    <w:rsid w:val="00C0096E"/>
    <w:rsid w:val="00C00C82"/>
    <w:rsid w:val="00C00D5B"/>
    <w:rsid w:val="00C00F10"/>
    <w:rsid w:val="00C01123"/>
    <w:rsid w:val="00C011F2"/>
    <w:rsid w:val="00C015D1"/>
    <w:rsid w:val="00C0175B"/>
    <w:rsid w:val="00C01973"/>
    <w:rsid w:val="00C01B07"/>
    <w:rsid w:val="00C0234B"/>
    <w:rsid w:val="00C02801"/>
    <w:rsid w:val="00C02DC5"/>
    <w:rsid w:val="00C0358E"/>
    <w:rsid w:val="00C0373F"/>
    <w:rsid w:val="00C0388B"/>
    <w:rsid w:val="00C039F3"/>
    <w:rsid w:val="00C03F17"/>
    <w:rsid w:val="00C040FB"/>
    <w:rsid w:val="00C0425B"/>
    <w:rsid w:val="00C043EB"/>
    <w:rsid w:val="00C04953"/>
    <w:rsid w:val="00C04EF4"/>
    <w:rsid w:val="00C04F75"/>
    <w:rsid w:val="00C05412"/>
    <w:rsid w:val="00C059E4"/>
    <w:rsid w:val="00C05BEC"/>
    <w:rsid w:val="00C05EAC"/>
    <w:rsid w:val="00C05ED2"/>
    <w:rsid w:val="00C065B5"/>
    <w:rsid w:val="00C0665E"/>
    <w:rsid w:val="00C06A31"/>
    <w:rsid w:val="00C06AE8"/>
    <w:rsid w:val="00C07231"/>
    <w:rsid w:val="00C076D8"/>
    <w:rsid w:val="00C07930"/>
    <w:rsid w:val="00C108CB"/>
    <w:rsid w:val="00C10B08"/>
    <w:rsid w:val="00C10C93"/>
    <w:rsid w:val="00C112A9"/>
    <w:rsid w:val="00C11335"/>
    <w:rsid w:val="00C11604"/>
    <w:rsid w:val="00C11942"/>
    <w:rsid w:val="00C11B17"/>
    <w:rsid w:val="00C11B7C"/>
    <w:rsid w:val="00C11C99"/>
    <w:rsid w:val="00C11EAF"/>
    <w:rsid w:val="00C11F26"/>
    <w:rsid w:val="00C120E9"/>
    <w:rsid w:val="00C12BC2"/>
    <w:rsid w:val="00C12F48"/>
    <w:rsid w:val="00C12FD1"/>
    <w:rsid w:val="00C130C6"/>
    <w:rsid w:val="00C13A91"/>
    <w:rsid w:val="00C13CB4"/>
    <w:rsid w:val="00C13EF0"/>
    <w:rsid w:val="00C14132"/>
    <w:rsid w:val="00C141DC"/>
    <w:rsid w:val="00C1424D"/>
    <w:rsid w:val="00C1465A"/>
    <w:rsid w:val="00C1478D"/>
    <w:rsid w:val="00C14E00"/>
    <w:rsid w:val="00C14F6E"/>
    <w:rsid w:val="00C14F99"/>
    <w:rsid w:val="00C15539"/>
    <w:rsid w:val="00C163CA"/>
    <w:rsid w:val="00C16837"/>
    <w:rsid w:val="00C16DAC"/>
    <w:rsid w:val="00C175F7"/>
    <w:rsid w:val="00C17707"/>
    <w:rsid w:val="00C177B9"/>
    <w:rsid w:val="00C17881"/>
    <w:rsid w:val="00C17AA9"/>
    <w:rsid w:val="00C17D2F"/>
    <w:rsid w:val="00C205E0"/>
    <w:rsid w:val="00C20DC0"/>
    <w:rsid w:val="00C20F01"/>
    <w:rsid w:val="00C20F3D"/>
    <w:rsid w:val="00C20FEB"/>
    <w:rsid w:val="00C21435"/>
    <w:rsid w:val="00C21492"/>
    <w:rsid w:val="00C219A7"/>
    <w:rsid w:val="00C21A14"/>
    <w:rsid w:val="00C21C06"/>
    <w:rsid w:val="00C2237C"/>
    <w:rsid w:val="00C224E0"/>
    <w:rsid w:val="00C226C0"/>
    <w:rsid w:val="00C227B0"/>
    <w:rsid w:val="00C22951"/>
    <w:rsid w:val="00C23614"/>
    <w:rsid w:val="00C23674"/>
    <w:rsid w:val="00C23709"/>
    <w:rsid w:val="00C239F2"/>
    <w:rsid w:val="00C23E74"/>
    <w:rsid w:val="00C2400B"/>
    <w:rsid w:val="00C241CF"/>
    <w:rsid w:val="00C24413"/>
    <w:rsid w:val="00C246E6"/>
    <w:rsid w:val="00C24B3A"/>
    <w:rsid w:val="00C24E10"/>
    <w:rsid w:val="00C24E7D"/>
    <w:rsid w:val="00C25375"/>
    <w:rsid w:val="00C25822"/>
    <w:rsid w:val="00C25A25"/>
    <w:rsid w:val="00C25E13"/>
    <w:rsid w:val="00C25E34"/>
    <w:rsid w:val="00C25E80"/>
    <w:rsid w:val="00C2603E"/>
    <w:rsid w:val="00C26728"/>
    <w:rsid w:val="00C268DC"/>
    <w:rsid w:val="00C26C1F"/>
    <w:rsid w:val="00C26C2C"/>
    <w:rsid w:val="00C27136"/>
    <w:rsid w:val="00C27684"/>
    <w:rsid w:val="00C27C69"/>
    <w:rsid w:val="00C27C74"/>
    <w:rsid w:val="00C27D0C"/>
    <w:rsid w:val="00C30207"/>
    <w:rsid w:val="00C303F5"/>
    <w:rsid w:val="00C30851"/>
    <w:rsid w:val="00C30A82"/>
    <w:rsid w:val="00C30FD1"/>
    <w:rsid w:val="00C3118B"/>
    <w:rsid w:val="00C315CD"/>
    <w:rsid w:val="00C315FF"/>
    <w:rsid w:val="00C316ED"/>
    <w:rsid w:val="00C31A4F"/>
    <w:rsid w:val="00C31DDC"/>
    <w:rsid w:val="00C32014"/>
    <w:rsid w:val="00C32551"/>
    <w:rsid w:val="00C32701"/>
    <w:rsid w:val="00C329FD"/>
    <w:rsid w:val="00C32B29"/>
    <w:rsid w:val="00C32C61"/>
    <w:rsid w:val="00C32E3F"/>
    <w:rsid w:val="00C32F28"/>
    <w:rsid w:val="00C33476"/>
    <w:rsid w:val="00C338C1"/>
    <w:rsid w:val="00C34065"/>
    <w:rsid w:val="00C3408F"/>
    <w:rsid w:val="00C34386"/>
    <w:rsid w:val="00C35282"/>
    <w:rsid w:val="00C35A26"/>
    <w:rsid w:val="00C35DFF"/>
    <w:rsid w:val="00C35E62"/>
    <w:rsid w:val="00C35FE9"/>
    <w:rsid w:val="00C363AD"/>
    <w:rsid w:val="00C365C9"/>
    <w:rsid w:val="00C370FB"/>
    <w:rsid w:val="00C37CD4"/>
    <w:rsid w:val="00C37D86"/>
    <w:rsid w:val="00C37FA2"/>
    <w:rsid w:val="00C40109"/>
    <w:rsid w:val="00C4042B"/>
    <w:rsid w:val="00C409CD"/>
    <w:rsid w:val="00C41240"/>
    <w:rsid w:val="00C414A5"/>
    <w:rsid w:val="00C41E23"/>
    <w:rsid w:val="00C42623"/>
    <w:rsid w:val="00C427E1"/>
    <w:rsid w:val="00C42A7D"/>
    <w:rsid w:val="00C42BBA"/>
    <w:rsid w:val="00C42C24"/>
    <w:rsid w:val="00C42D57"/>
    <w:rsid w:val="00C42ECD"/>
    <w:rsid w:val="00C43E8E"/>
    <w:rsid w:val="00C43EC9"/>
    <w:rsid w:val="00C44254"/>
    <w:rsid w:val="00C44BF5"/>
    <w:rsid w:val="00C45800"/>
    <w:rsid w:val="00C45B5F"/>
    <w:rsid w:val="00C463A6"/>
    <w:rsid w:val="00C46530"/>
    <w:rsid w:val="00C46954"/>
    <w:rsid w:val="00C46AA5"/>
    <w:rsid w:val="00C46ACA"/>
    <w:rsid w:val="00C470A5"/>
    <w:rsid w:val="00C471D6"/>
    <w:rsid w:val="00C47325"/>
    <w:rsid w:val="00C478AF"/>
    <w:rsid w:val="00C4798C"/>
    <w:rsid w:val="00C47E31"/>
    <w:rsid w:val="00C502F6"/>
    <w:rsid w:val="00C5088D"/>
    <w:rsid w:val="00C50A6B"/>
    <w:rsid w:val="00C50BF6"/>
    <w:rsid w:val="00C5186E"/>
    <w:rsid w:val="00C518CF"/>
    <w:rsid w:val="00C51C64"/>
    <w:rsid w:val="00C51D54"/>
    <w:rsid w:val="00C51DF6"/>
    <w:rsid w:val="00C525A2"/>
    <w:rsid w:val="00C52720"/>
    <w:rsid w:val="00C527C2"/>
    <w:rsid w:val="00C52A23"/>
    <w:rsid w:val="00C52A65"/>
    <w:rsid w:val="00C52B37"/>
    <w:rsid w:val="00C52C63"/>
    <w:rsid w:val="00C52E1B"/>
    <w:rsid w:val="00C52F25"/>
    <w:rsid w:val="00C531C3"/>
    <w:rsid w:val="00C5338B"/>
    <w:rsid w:val="00C53457"/>
    <w:rsid w:val="00C537E7"/>
    <w:rsid w:val="00C537FC"/>
    <w:rsid w:val="00C53909"/>
    <w:rsid w:val="00C53E27"/>
    <w:rsid w:val="00C542CF"/>
    <w:rsid w:val="00C54388"/>
    <w:rsid w:val="00C543B1"/>
    <w:rsid w:val="00C544CC"/>
    <w:rsid w:val="00C5492C"/>
    <w:rsid w:val="00C549DC"/>
    <w:rsid w:val="00C555A3"/>
    <w:rsid w:val="00C55E3C"/>
    <w:rsid w:val="00C56605"/>
    <w:rsid w:val="00C566A3"/>
    <w:rsid w:val="00C567F6"/>
    <w:rsid w:val="00C56A05"/>
    <w:rsid w:val="00C56A58"/>
    <w:rsid w:val="00C574EC"/>
    <w:rsid w:val="00C57738"/>
    <w:rsid w:val="00C57894"/>
    <w:rsid w:val="00C57A1C"/>
    <w:rsid w:val="00C57EC7"/>
    <w:rsid w:val="00C600D0"/>
    <w:rsid w:val="00C60285"/>
    <w:rsid w:val="00C60873"/>
    <w:rsid w:val="00C60A93"/>
    <w:rsid w:val="00C60B74"/>
    <w:rsid w:val="00C60E01"/>
    <w:rsid w:val="00C61439"/>
    <w:rsid w:val="00C614D1"/>
    <w:rsid w:val="00C614E9"/>
    <w:rsid w:val="00C6156A"/>
    <w:rsid w:val="00C615BA"/>
    <w:rsid w:val="00C6165A"/>
    <w:rsid w:val="00C61738"/>
    <w:rsid w:val="00C61779"/>
    <w:rsid w:val="00C618DD"/>
    <w:rsid w:val="00C61901"/>
    <w:rsid w:val="00C6236F"/>
    <w:rsid w:val="00C627AD"/>
    <w:rsid w:val="00C6316E"/>
    <w:rsid w:val="00C636D8"/>
    <w:rsid w:val="00C63D2D"/>
    <w:rsid w:val="00C63E01"/>
    <w:rsid w:val="00C64A03"/>
    <w:rsid w:val="00C64C30"/>
    <w:rsid w:val="00C65303"/>
    <w:rsid w:val="00C654E7"/>
    <w:rsid w:val="00C65616"/>
    <w:rsid w:val="00C656C9"/>
    <w:rsid w:val="00C6582E"/>
    <w:rsid w:val="00C65A31"/>
    <w:rsid w:val="00C65B48"/>
    <w:rsid w:val="00C65F2D"/>
    <w:rsid w:val="00C65F6D"/>
    <w:rsid w:val="00C66019"/>
    <w:rsid w:val="00C66637"/>
    <w:rsid w:val="00C666A8"/>
    <w:rsid w:val="00C6691A"/>
    <w:rsid w:val="00C66927"/>
    <w:rsid w:val="00C66F5D"/>
    <w:rsid w:val="00C677EA"/>
    <w:rsid w:val="00C679CC"/>
    <w:rsid w:val="00C67A53"/>
    <w:rsid w:val="00C67EB2"/>
    <w:rsid w:val="00C7007C"/>
    <w:rsid w:val="00C700CD"/>
    <w:rsid w:val="00C70371"/>
    <w:rsid w:val="00C70603"/>
    <w:rsid w:val="00C70BC0"/>
    <w:rsid w:val="00C70DA0"/>
    <w:rsid w:val="00C70E84"/>
    <w:rsid w:val="00C70F05"/>
    <w:rsid w:val="00C71025"/>
    <w:rsid w:val="00C71135"/>
    <w:rsid w:val="00C71518"/>
    <w:rsid w:val="00C71B15"/>
    <w:rsid w:val="00C71BE8"/>
    <w:rsid w:val="00C71C19"/>
    <w:rsid w:val="00C71C9A"/>
    <w:rsid w:val="00C71E3D"/>
    <w:rsid w:val="00C71FA8"/>
    <w:rsid w:val="00C721A3"/>
    <w:rsid w:val="00C72BE9"/>
    <w:rsid w:val="00C72CE1"/>
    <w:rsid w:val="00C731C6"/>
    <w:rsid w:val="00C73201"/>
    <w:rsid w:val="00C73275"/>
    <w:rsid w:val="00C7375B"/>
    <w:rsid w:val="00C74252"/>
    <w:rsid w:val="00C7485A"/>
    <w:rsid w:val="00C749CB"/>
    <w:rsid w:val="00C74B8A"/>
    <w:rsid w:val="00C74C96"/>
    <w:rsid w:val="00C74E5E"/>
    <w:rsid w:val="00C74F6E"/>
    <w:rsid w:val="00C7573B"/>
    <w:rsid w:val="00C75A1D"/>
    <w:rsid w:val="00C75AB7"/>
    <w:rsid w:val="00C76085"/>
    <w:rsid w:val="00C76FC7"/>
    <w:rsid w:val="00C7719F"/>
    <w:rsid w:val="00C773E2"/>
    <w:rsid w:val="00C7766B"/>
    <w:rsid w:val="00C77D33"/>
    <w:rsid w:val="00C8048D"/>
    <w:rsid w:val="00C804A7"/>
    <w:rsid w:val="00C806E2"/>
    <w:rsid w:val="00C80B32"/>
    <w:rsid w:val="00C80B83"/>
    <w:rsid w:val="00C80FEE"/>
    <w:rsid w:val="00C81000"/>
    <w:rsid w:val="00C811A3"/>
    <w:rsid w:val="00C811DC"/>
    <w:rsid w:val="00C812A9"/>
    <w:rsid w:val="00C81B0B"/>
    <w:rsid w:val="00C81BD2"/>
    <w:rsid w:val="00C82075"/>
    <w:rsid w:val="00C82662"/>
    <w:rsid w:val="00C82A89"/>
    <w:rsid w:val="00C82DBF"/>
    <w:rsid w:val="00C82FE6"/>
    <w:rsid w:val="00C8300E"/>
    <w:rsid w:val="00C83034"/>
    <w:rsid w:val="00C83287"/>
    <w:rsid w:val="00C833B4"/>
    <w:rsid w:val="00C8472B"/>
    <w:rsid w:val="00C84F41"/>
    <w:rsid w:val="00C84FA2"/>
    <w:rsid w:val="00C85011"/>
    <w:rsid w:val="00C85146"/>
    <w:rsid w:val="00C852B1"/>
    <w:rsid w:val="00C85560"/>
    <w:rsid w:val="00C85850"/>
    <w:rsid w:val="00C85F70"/>
    <w:rsid w:val="00C85F95"/>
    <w:rsid w:val="00C860B8"/>
    <w:rsid w:val="00C863A8"/>
    <w:rsid w:val="00C866F3"/>
    <w:rsid w:val="00C8694D"/>
    <w:rsid w:val="00C86A88"/>
    <w:rsid w:val="00C86AB4"/>
    <w:rsid w:val="00C86E54"/>
    <w:rsid w:val="00C86F82"/>
    <w:rsid w:val="00C86FFF"/>
    <w:rsid w:val="00C87A2C"/>
    <w:rsid w:val="00C87E50"/>
    <w:rsid w:val="00C903A7"/>
    <w:rsid w:val="00C9071B"/>
    <w:rsid w:val="00C90F88"/>
    <w:rsid w:val="00C90FD3"/>
    <w:rsid w:val="00C91069"/>
    <w:rsid w:val="00C912FE"/>
    <w:rsid w:val="00C9172F"/>
    <w:rsid w:val="00C91943"/>
    <w:rsid w:val="00C9244B"/>
    <w:rsid w:val="00C9281C"/>
    <w:rsid w:val="00C92F34"/>
    <w:rsid w:val="00C930CD"/>
    <w:rsid w:val="00C93541"/>
    <w:rsid w:val="00C93921"/>
    <w:rsid w:val="00C93D78"/>
    <w:rsid w:val="00C9405A"/>
    <w:rsid w:val="00C94284"/>
    <w:rsid w:val="00C94CD6"/>
    <w:rsid w:val="00C94ED7"/>
    <w:rsid w:val="00C953D3"/>
    <w:rsid w:val="00C95982"/>
    <w:rsid w:val="00C95CC4"/>
    <w:rsid w:val="00C96C4C"/>
    <w:rsid w:val="00C96FC2"/>
    <w:rsid w:val="00C971FD"/>
    <w:rsid w:val="00C97371"/>
    <w:rsid w:val="00C9785F"/>
    <w:rsid w:val="00C97CC2"/>
    <w:rsid w:val="00C97DC4"/>
    <w:rsid w:val="00CA010A"/>
    <w:rsid w:val="00CA01CF"/>
    <w:rsid w:val="00CA0318"/>
    <w:rsid w:val="00CA0BA6"/>
    <w:rsid w:val="00CA1354"/>
    <w:rsid w:val="00CA13DD"/>
    <w:rsid w:val="00CA191A"/>
    <w:rsid w:val="00CA19CE"/>
    <w:rsid w:val="00CA1AB6"/>
    <w:rsid w:val="00CA1DBA"/>
    <w:rsid w:val="00CA26A4"/>
    <w:rsid w:val="00CA2880"/>
    <w:rsid w:val="00CA2AF5"/>
    <w:rsid w:val="00CA337B"/>
    <w:rsid w:val="00CA365D"/>
    <w:rsid w:val="00CA41E6"/>
    <w:rsid w:val="00CA429F"/>
    <w:rsid w:val="00CA5046"/>
    <w:rsid w:val="00CA5265"/>
    <w:rsid w:val="00CA543C"/>
    <w:rsid w:val="00CA5AD7"/>
    <w:rsid w:val="00CA5C8C"/>
    <w:rsid w:val="00CA689E"/>
    <w:rsid w:val="00CA76DC"/>
    <w:rsid w:val="00CA7A93"/>
    <w:rsid w:val="00CA7AAD"/>
    <w:rsid w:val="00CA7D69"/>
    <w:rsid w:val="00CB03DC"/>
    <w:rsid w:val="00CB04EE"/>
    <w:rsid w:val="00CB08AB"/>
    <w:rsid w:val="00CB0D4F"/>
    <w:rsid w:val="00CB0DD0"/>
    <w:rsid w:val="00CB0F56"/>
    <w:rsid w:val="00CB1499"/>
    <w:rsid w:val="00CB171A"/>
    <w:rsid w:val="00CB1811"/>
    <w:rsid w:val="00CB1C7D"/>
    <w:rsid w:val="00CB21A6"/>
    <w:rsid w:val="00CB2390"/>
    <w:rsid w:val="00CB2A69"/>
    <w:rsid w:val="00CB2D2A"/>
    <w:rsid w:val="00CB2D37"/>
    <w:rsid w:val="00CB3CC7"/>
    <w:rsid w:val="00CB41A2"/>
    <w:rsid w:val="00CB4B65"/>
    <w:rsid w:val="00CB4DFB"/>
    <w:rsid w:val="00CB500E"/>
    <w:rsid w:val="00CB5202"/>
    <w:rsid w:val="00CB5351"/>
    <w:rsid w:val="00CB53A2"/>
    <w:rsid w:val="00CB583D"/>
    <w:rsid w:val="00CB5AC7"/>
    <w:rsid w:val="00CB620A"/>
    <w:rsid w:val="00CB6DCF"/>
    <w:rsid w:val="00CB6EC4"/>
    <w:rsid w:val="00CB6F19"/>
    <w:rsid w:val="00CB7528"/>
    <w:rsid w:val="00CB7908"/>
    <w:rsid w:val="00CB79D2"/>
    <w:rsid w:val="00CB7D7C"/>
    <w:rsid w:val="00CB7E6B"/>
    <w:rsid w:val="00CC0101"/>
    <w:rsid w:val="00CC0581"/>
    <w:rsid w:val="00CC08ED"/>
    <w:rsid w:val="00CC0DA1"/>
    <w:rsid w:val="00CC0F6E"/>
    <w:rsid w:val="00CC0F89"/>
    <w:rsid w:val="00CC181A"/>
    <w:rsid w:val="00CC2017"/>
    <w:rsid w:val="00CC202C"/>
    <w:rsid w:val="00CC20F4"/>
    <w:rsid w:val="00CC27AD"/>
    <w:rsid w:val="00CC27C7"/>
    <w:rsid w:val="00CC27E0"/>
    <w:rsid w:val="00CC29B3"/>
    <w:rsid w:val="00CC2A51"/>
    <w:rsid w:val="00CC2CA3"/>
    <w:rsid w:val="00CC2F07"/>
    <w:rsid w:val="00CC398C"/>
    <w:rsid w:val="00CC3E6D"/>
    <w:rsid w:val="00CC40A9"/>
    <w:rsid w:val="00CC477D"/>
    <w:rsid w:val="00CC496D"/>
    <w:rsid w:val="00CC4B39"/>
    <w:rsid w:val="00CC4EDA"/>
    <w:rsid w:val="00CC5A3C"/>
    <w:rsid w:val="00CC5CD9"/>
    <w:rsid w:val="00CC5F47"/>
    <w:rsid w:val="00CC60C7"/>
    <w:rsid w:val="00CC60FB"/>
    <w:rsid w:val="00CC6149"/>
    <w:rsid w:val="00CC6357"/>
    <w:rsid w:val="00CC655F"/>
    <w:rsid w:val="00CC6F38"/>
    <w:rsid w:val="00CC7233"/>
    <w:rsid w:val="00CC7DD2"/>
    <w:rsid w:val="00CC7F3C"/>
    <w:rsid w:val="00CD0154"/>
    <w:rsid w:val="00CD023F"/>
    <w:rsid w:val="00CD0732"/>
    <w:rsid w:val="00CD07FC"/>
    <w:rsid w:val="00CD0875"/>
    <w:rsid w:val="00CD0DCB"/>
    <w:rsid w:val="00CD0DF0"/>
    <w:rsid w:val="00CD123E"/>
    <w:rsid w:val="00CD186D"/>
    <w:rsid w:val="00CD1D38"/>
    <w:rsid w:val="00CD254B"/>
    <w:rsid w:val="00CD273D"/>
    <w:rsid w:val="00CD281B"/>
    <w:rsid w:val="00CD286C"/>
    <w:rsid w:val="00CD2946"/>
    <w:rsid w:val="00CD2AF4"/>
    <w:rsid w:val="00CD3010"/>
    <w:rsid w:val="00CD31DE"/>
    <w:rsid w:val="00CD340D"/>
    <w:rsid w:val="00CD34CF"/>
    <w:rsid w:val="00CD3D15"/>
    <w:rsid w:val="00CD3F42"/>
    <w:rsid w:val="00CD47FC"/>
    <w:rsid w:val="00CD50DC"/>
    <w:rsid w:val="00CD555A"/>
    <w:rsid w:val="00CD5965"/>
    <w:rsid w:val="00CD5CEB"/>
    <w:rsid w:val="00CD5F0A"/>
    <w:rsid w:val="00CD5F56"/>
    <w:rsid w:val="00CD611A"/>
    <w:rsid w:val="00CD63DF"/>
    <w:rsid w:val="00CD64A3"/>
    <w:rsid w:val="00CD6A00"/>
    <w:rsid w:val="00CD6FEE"/>
    <w:rsid w:val="00CD7041"/>
    <w:rsid w:val="00CD720C"/>
    <w:rsid w:val="00CD73A6"/>
    <w:rsid w:val="00CD7449"/>
    <w:rsid w:val="00CD7492"/>
    <w:rsid w:val="00CD7561"/>
    <w:rsid w:val="00CD774D"/>
    <w:rsid w:val="00CD792C"/>
    <w:rsid w:val="00CD7F20"/>
    <w:rsid w:val="00CE006B"/>
    <w:rsid w:val="00CE0070"/>
    <w:rsid w:val="00CE03F7"/>
    <w:rsid w:val="00CE0B0F"/>
    <w:rsid w:val="00CE0BC8"/>
    <w:rsid w:val="00CE0D33"/>
    <w:rsid w:val="00CE12D0"/>
    <w:rsid w:val="00CE13DB"/>
    <w:rsid w:val="00CE145C"/>
    <w:rsid w:val="00CE181A"/>
    <w:rsid w:val="00CE1D16"/>
    <w:rsid w:val="00CE2736"/>
    <w:rsid w:val="00CE2CAB"/>
    <w:rsid w:val="00CE2E49"/>
    <w:rsid w:val="00CE2F5E"/>
    <w:rsid w:val="00CE305A"/>
    <w:rsid w:val="00CE33F5"/>
    <w:rsid w:val="00CE3488"/>
    <w:rsid w:val="00CE3660"/>
    <w:rsid w:val="00CE37C5"/>
    <w:rsid w:val="00CE39C4"/>
    <w:rsid w:val="00CE3B09"/>
    <w:rsid w:val="00CE3B52"/>
    <w:rsid w:val="00CE3E5F"/>
    <w:rsid w:val="00CE3EFF"/>
    <w:rsid w:val="00CE414B"/>
    <w:rsid w:val="00CE452F"/>
    <w:rsid w:val="00CE4AA2"/>
    <w:rsid w:val="00CE4D13"/>
    <w:rsid w:val="00CE4F6E"/>
    <w:rsid w:val="00CE500F"/>
    <w:rsid w:val="00CE5CA2"/>
    <w:rsid w:val="00CE62D0"/>
    <w:rsid w:val="00CE6550"/>
    <w:rsid w:val="00CE68F7"/>
    <w:rsid w:val="00CE693E"/>
    <w:rsid w:val="00CE693F"/>
    <w:rsid w:val="00CE6D56"/>
    <w:rsid w:val="00CE6F54"/>
    <w:rsid w:val="00CE7356"/>
    <w:rsid w:val="00CE7B4D"/>
    <w:rsid w:val="00CE7D1E"/>
    <w:rsid w:val="00CF01F9"/>
    <w:rsid w:val="00CF0232"/>
    <w:rsid w:val="00CF05AF"/>
    <w:rsid w:val="00CF0630"/>
    <w:rsid w:val="00CF0835"/>
    <w:rsid w:val="00CF09D1"/>
    <w:rsid w:val="00CF0D5D"/>
    <w:rsid w:val="00CF105C"/>
    <w:rsid w:val="00CF1071"/>
    <w:rsid w:val="00CF123B"/>
    <w:rsid w:val="00CF17F2"/>
    <w:rsid w:val="00CF23C3"/>
    <w:rsid w:val="00CF25EE"/>
    <w:rsid w:val="00CF28EC"/>
    <w:rsid w:val="00CF3F42"/>
    <w:rsid w:val="00CF4241"/>
    <w:rsid w:val="00CF459A"/>
    <w:rsid w:val="00CF517D"/>
    <w:rsid w:val="00CF5194"/>
    <w:rsid w:val="00CF51DC"/>
    <w:rsid w:val="00CF5803"/>
    <w:rsid w:val="00CF5CE4"/>
    <w:rsid w:val="00CF5E1C"/>
    <w:rsid w:val="00CF6088"/>
    <w:rsid w:val="00CF6673"/>
    <w:rsid w:val="00CF6AEB"/>
    <w:rsid w:val="00CF7199"/>
    <w:rsid w:val="00CF76EF"/>
    <w:rsid w:val="00CF7855"/>
    <w:rsid w:val="00CF7A33"/>
    <w:rsid w:val="00CF7BE2"/>
    <w:rsid w:val="00D000CE"/>
    <w:rsid w:val="00D00ACA"/>
    <w:rsid w:val="00D00E5E"/>
    <w:rsid w:val="00D012E5"/>
    <w:rsid w:val="00D0158F"/>
    <w:rsid w:val="00D017F5"/>
    <w:rsid w:val="00D01A19"/>
    <w:rsid w:val="00D01AA0"/>
    <w:rsid w:val="00D01C74"/>
    <w:rsid w:val="00D023B3"/>
    <w:rsid w:val="00D023D2"/>
    <w:rsid w:val="00D0241D"/>
    <w:rsid w:val="00D02643"/>
    <w:rsid w:val="00D02848"/>
    <w:rsid w:val="00D02C3C"/>
    <w:rsid w:val="00D02F42"/>
    <w:rsid w:val="00D03316"/>
    <w:rsid w:val="00D0334C"/>
    <w:rsid w:val="00D0337C"/>
    <w:rsid w:val="00D03505"/>
    <w:rsid w:val="00D035BA"/>
    <w:rsid w:val="00D03B79"/>
    <w:rsid w:val="00D03E45"/>
    <w:rsid w:val="00D0413C"/>
    <w:rsid w:val="00D04568"/>
    <w:rsid w:val="00D0471C"/>
    <w:rsid w:val="00D04EE5"/>
    <w:rsid w:val="00D04F07"/>
    <w:rsid w:val="00D04FDB"/>
    <w:rsid w:val="00D055F1"/>
    <w:rsid w:val="00D05A35"/>
    <w:rsid w:val="00D05E61"/>
    <w:rsid w:val="00D05ECA"/>
    <w:rsid w:val="00D0610F"/>
    <w:rsid w:val="00D06221"/>
    <w:rsid w:val="00D06673"/>
    <w:rsid w:val="00D06868"/>
    <w:rsid w:val="00D07272"/>
    <w:rsid w:val="00D07746"/>
    <w:rsid w:val="00D07758"/>
    <w:rsid w:val="00D078B9"/>
    <w:rsid w:val="00D07A63"/>
    <w:rsid w:val="00D07B08"/>
    <w:rsid w:val="00D101E2"/>
    <w:rsid w:val="00D104EF"/>
    <w:rsid w:val="00D10B05"/>
    <w:rsid w:val="00D10FDF"/>
    <w:rsid w:val="00D1132A"/>
    <w:rsid w:val="00D114F9"/>
    <w:rsid w:val="00D118E5"/>
    <w:rsid w:val="00D11AC1"/>
    <w:rsid w:val="00D1254E"/>
    <w:rsid w:val="00D12B18"/>
    <w:rsid w:val="00D12CE6"/>
    <w:rsid w:val="00D12DC4"/>
    <w:rsid w:val="00D12E0C"/>
    <w:rsid w:val="00D137C1"/>
    <w:rsid w:val="00D13812"/>
    <w:rsid w:val="00D143CC"/>
    <w:rsid w:val="00D14E45"/>
    <w:rsid w:val="00D15203"/>
    <w:rsid w:val="00D15229"/>
    <w:rsid w:val="00D15437"/>
    <w:rsid w:val="00D15490"/>
    <w:rsid w:val="00D155D9"/>
    <w:rsid w:val="00D15614"/>
    <w:rsid w:val="00D15808"/>
    <w:rsid w:val="00D1636D"/>
    <w:rsid w:val="00D16C1E"/>
    <w:rsid w:val="00D17036"/>
    <w:rsid w:val="00D1785D"/>
    <w:rsid w:val="00D178E1"/>
    <w:rsid w:val="00D17C67"/>
    <w:rsid w:val="00D17DFC"/>
    <w:rsid w:val="00D17E12"/>
    <w:rsid w:val="00D200C5"/>
    <w:rsid w:val="00D20A9C"/>
    <w:rsid w:val="00D20BA7"/>
    <w:rsid w:val="00D218E2"/>
    <w:rsid w:val="00D21FC7"/>
    <w:rsid w:val="00D2207F"/>
    <w:rsid w:val="00D222BA"/>
    <w:rsid w:val="00D22334"/>
    <w:rsid w:val="00D228BF"/>
    <w:rsid w:val="00D22B41"/>
    <w:rsid w:val="00D233ED"/>
    <w:rsid w:val="00D23623"/>
    <w:rsid w:val="00D23639"/>
    <w:rsid w:val="00D23B73"/>
    <w:rsid w:val="00D23B9D"/>
    <w:rsid w:val="00D243AA"/>
    <w:rsid w:val="00D245FB"/>
    <w:rsid w:val="00D246B1"/>
    <w:rsid w:val="00D24982"/>
    <w:rsid w:val="00D249EE"/>
    <w:rsid w:val="00D2530A"/>
    <w:rsid w:val="00D2574C"/>
    <w:rsid w:val="00D25908"/>
    <w:rsid w:val="00D25960"/>
    <w:rsid w:val="00D259F1"/>
    <w:rsid w:val="00D25ED8"/>
    <w:rsid w:val="00D262BE"/>
    <w:rsid w:val="00D265E4"/>
    <w:rsid w:val="00D268C1"/>
    <w:rsid w:val="00D2697A"/>
    <w:rsid w:val="00D27409"/>
    <w:rsid w:val="00D27AF6"/>
    <w:rsid w:val="00D3013B"/>
    <w:rsid w:val="00D30AE5"/>
    <w:rsid w:val="00D30ECD"/>
    <w:rsid w:val="00D3165F"/>
    <w:rsid w:val="00D316A0"/>
    <w:rsid w:val="00D319E7"/>
    <w:rsid w:val="00D31A46"/>
    <w:rsid w:val="00D31AB9"/>
    <w:rsid w:val="00D31C30"/>
    <w:rsid w:val="00D322D4"/>
    <w:rsid w:val="00D32309"/>
    <w:rsid w:val="00D3245E"/>
    <w:rsid w:val="00D32B5F"/>
    <w:rsid w:val="00D332B2"/>
    <w:rsid w:val="00D337E0"/>
    <w:rsid w:val="00D33B30"/>
    <w:rsid w:val="00D33C4F"/>
    <w:rsid w:val="00D33CB9"/>
    <w:rsid w:val="00D33CDC"/>
    <w:rsid w:val="00D343C2"/>
    <w:rsid w:val="00D347DA"/>
    <w:rsid w:val="00D34B7B"/>
    <w:rsid w:val="00D34DC5"/>
    <w:rsid w:val="00D350AF"/>
    <w:rsid w:val="00D351D2"/>
    <w:rsid w:val="00D355DF"/>
    <w:rsid w:val="00D35E3B"/>
    <w:rsid w:val="00D35FE2"/>
    <w:rsid w:val="00D36696"/>
    <w:rsid w:val="00D36C12"/>
    <w:rsid w:val="00D36F01"/>
    <w:rsid w:val="00D37131"/>
    <w:rsid w:val="00D37847"/>
    <w:rsid w:val="00D37A2A"/>
    <w:rsid w:val="00D37AEB"/>
    <w:rsid w:val="00D403FC"/>
    <w:rsid w:val="00D40AEB"/>
    <w:rsid w:val="00D40D3C"/>
    <w:rsid w:val="00D40E0D"/>
    <w:rsid w:val="00D4125A"/>
    <w:rsid w:val="00D415B4"/>
    <w:rsid w:val="00D41733"/>
    <w:rsid w:val="00D41AC6"/>
    <w:rsid w:val="00D41C3A"/>
    <w:rsid w:val="00D423CB"/>
    <w:rsid w:val="00D42550"/>
    <w:rsid w:val="00D4268C"/>
    <w:rsid w:val="00D4352B"/>
    <w:rsid w:val="00D436C1"/>
    <w:rsid w:val="00D444EA"/>
    <w:rsid w:val="00D44638"/>
    <w:rsid w:val="00D45034"/>
    <w:rsid w:val="00D45554"/>
    <w:rsid w:val="00D457D2"/>
    <w:rsid w:val="00D45968"/>
    <w:rsid w:val="00D45B8B"/>
    <w:rsid w:val="00D45F89"/>
    <w:rsid w:val="00D465F7"/>
    <w:rsid w:val="00D46907"/>
    <w:rsid w:val="00D46BB1"/>
    <w:rsid w:val="00D46CE8"/>
    <w:rsid w:val="00D47235"/>
    <w:rsid w:val="00D475D8"/>
    <w:rsid w:val="00D47CD8"/>
    <w:rsid w:val="00D5018E"/>
    <w:rsid w:val="00D5035B"/>
    <w:rsid w:val="00D50551"/>
    <w:rsid w:val="00D506E7"/>
    <w:rsid w:val="00D50897"/>
    <w:rsid w:val="00D50BDB"/>
    <w:rsid w:val="00D50C16"/>
    <w:rsid w:val="00D50C5C"/>
    <w:rsid w:val="00D50E0B"/>
    <w:rsid w:val="00D50FA1"/>
    <w:rsid w:val="00D5128C"/>
    <w:rsid w:val="00D51766"/>
    <w:rsid w:val="00D51805"/>
    <w:rsid w:val="00D518DA"/>
    <w:rsid w:val="00D51AA5"/>
    <w:rsid w:val="00D51E84"/>
    <w:rsid w:val="00D51EC3"/>
    <w:rsid w:val="00D5204C"/>
    <w:rsid w:val="00D520EE"/>
    <w:rsid w:val="00D52187"/>
    <w:rsid w:val="00D5267F"/>
    <w:rsid w:val="00D5299F"/>
    <w:rsid w:val="00D52A91"/>
    <w:rsid w:val="00D52B82"/>
    <w:rsid w:val="00D52B86"/>
    <w:rsid w:val="00D52E43"/>
    <w:rsid w:val="00D536C9"/>
    <w:rsid w:val="00D53ACB"/>
    <w:rsid w:val="00D542DD"/>
    <w:rsid w:val="00D547B4"/>
    <w:rsid w:val="00D54C63"/>
    <w:rsid w:val="00D54DD4"/>
    <w:rsid w:val="00D54F39"/>
    <w:rsid w:val="00D55143"/>
    <w:rsid w:val="00D55316"/>
    <w:rsid w:val="00D554BC"/>
    <w:rsid w:val="00D55E95"/>
    <w:rsid w:val="00D5619F"/>
    <w:rsid w:val="00D563F4"/>
    <w:rsid w:val="00D5663A"/>
    <w:rsid w:val="00D56A3D"/>
    <w:rsid w:val="00D56F3C"/>
    <w:rsid w:val="00D570F2"/>
    <w:rsid w:val="00D57492"/>
    <w:rsid w:val="00D5789C"/>
    <w:rsid w:val="00D57A85"/>
    <w:rsid w:val="00D57C8B"/>
    <w:rsid w:val="00D57CB1"/>
    <w:rsid w:val="00D6053C"/>
    <w:rsid w:val="00D6058A"/>
    <w:rsid w:val="00D605D2"/>
    <w:rsid w:val="00D60B1A"/>
    <w:rsid w:val="00D6182F"/>
    <w:rsid w:val="00D61A7D"/>
    <w:rsid w:val="00D61DE4"/>
    <w:rsid w:val="00D62349"/>
    <w:rsid w:val="00D62D94"/>
    <w:rsid w:val="00D63593"/>
    <w:rsid w:val="00D637C2"/>
    <w:rsid w:val="00D63B7C"/>
    <w:rsid w:val="00D63B9C"/>
    <w:rsid w:val="00D64002"/>
    <w:rsid w:val="00D64019"/>
    <w:rsid w:val="00D64785"/>
    <w:rsid w:val="00D64870"/>
    <w:rsid w:val="00D64C04"/>
    <w:rsid w:val="00D64DB9"/>
    <w:rsid w:val="00D65243"/>
    <w:rsid w:val="00D65303"/>
    <w:rsid w:val="00D6550E"/>
    <w:rsid w:val="00D65802"/>
    <w:rsid w:val="00D65A4A"/>
    <w:rsid w:val="00D65A91"/>
    <w:rsid w:val="00D65FAA"/>
    <w:rsid w:val="00D66046"/>
    <w:rsid w:val="00D66432"/>
    <w:rsid w:val="00D66549"/>
    <w:rsid w:val="00D6676E"/>
    <w:rsid w:val="00D66903"/>
    <w:rsid w:val="00D66C0C"/>
    <w:rsid w:val="00D66EA1"/>
    <w:rsid w:val="00D6724E"/>
    <w:rsid w:val="00D675CE"/>
    <w:rsid w:val="00D67627"/>
    <w:rsid w:val="00D6766C"/>
    <w:rsid w:val="00D6776A"/>
    <w:rsid w:val="00D678DB"/>
    <w:rsid w:val="00D67C84"/>
    <w:rsid w:val="00D67D6B"/>
    <w:rsid w:val="00D67DBC"/>
    <w:rsid w:val="00D67E3B"/>
    <w:rsid w:val="00D702A9"/>
    <w:rsid w:val="00D7090A"/>
    <w:rsid w:val="00D70974"/>
    <w:rsid w:val="00D71443"/>
    <w:rsid w:val="00D71631"/>
    <w:rsid w:val="00D7175F"/>
    <w:rsid w:val="00D71A92"/>
    <w:rsid w:val="00D71D06"/>
    <w:rsid w:val="00D71D80"/>
    <w:rsid w:val="00D71FE9"/>
    <w:rsid w:val="00D720AC"/>
    <w:rsid w:val="00D72145"/>
    <w:rsid w:val="00D72D34"/>
    <w:rsid w:val="00D730C0"/>
    <w:rsid w:val="00D7325F"/>
    <w:rsid w:val="00D7339F"/>
    <w:rsid w:val="00D737BA"/>
    <w:rsid w:val="00D7445A"/>
    <w:rsid w:val="00D7472B"/>
    <w:rsid w:val="00D74B02"/>
    <w:rsid w:val="00D750DF"/>
    <w:rsid w:val="00D75776"/>
    <w:rsid w:val="00D75A12"/>
    <w:rsid w:val="00D7650B"/>
    <w:rsid w:val="00D767DB"/>
    <w:rsid w:val="00D76BC1"/>
    <w:rsid w:val="00D76C1D"/>
    <w:rsid w:val="00D77280"/>
    <w:rsid w:val="00D77462"/>
    <w:rsid w:val="00D77C7C"/>
    <w:rsid w:val="00D77D2E"/>
    <w:rsid w:val="00D77E35"/>
    <w:rsid w:val="00D77F16"/>
    <w:rsid w:val="00D77F1D"/>
    <w:rsid w:val="00D8025B"/>
    <w:rsid w:val="00D80965"/>
    <w:rsid w:val="00D80AFB"/>
    <w:rsid w:val="00D80E16"/>
    <w:rsid w:val="00D81572"/>
    <w:rsid w:val="00D8160C"/>
    <w:rsid w:val="00D8214C"/>
    <w:rsid w:val="00D8216A"/>
    <w:rsid w:val="00D824C3"/>
    <w:rsid w:val="00D82E50"/>
    <w:rsid w:val="00D82E9E"/>
    <w:rsid w:val="00D8332C"/>
    <w:rsid w:val="00D83351"/>
    <w:rsid w:val="00D8353E"/>
    <w:rsid w:val="00D835BA"/>
    <w:rsid w:val="00D83621"/>
    <w:rsid w:val="00D839E9"/>
    <w:rsid w:val="00D83C4A"/>
    <w:rsid w:val="00D83DA0"/>
    <w:rsid w:val="00D83EE5"/>
    <w:rsid w:val="00D83FCE"/>
    <w:rsid w:val="00D84022"/>
    <w:rsid w:val="00D840DF"/>
    <w:rsid w:val="00D84617"/>
    <w:rsid w:val="00D846F7"/>
    <w:rsid w:val="00D84855"/>
    <w:rsid w:val="00D848C7"/>
    <w:rsid w:val="00D849D7"/>
    <w:rsid w:val="00D84B52"/>
    <w:rsid w:val="00D84DB1"/>
    <w:rsid w:val="00D84DD5"/>
    <w:rsid w:val="00D84DFC"/>
    <w:rsid w:val="00D84E13"/>
    <w:rsid w:val="00D84EDF"/>
    <w:rsid w:val="00D854BA"/>
    <w:rsid w:val="00D85EF1"/>
    <w:rsid w:val="00D85FFD"/>
    <w:rsid w:val="00D86169"/>
    <w:rsid w:val="00D86B2B"/>
    <w:rsid w:val="00D86E40"/>
    <w:rsid w:val="00D87927"/>
    <w:rsid w:val="00D87A01"/>
    <w:rsid w:val="00D87B88"/>
    <w:rsid w:val="00D87BAB"/>
    <w:rsid w:val="00D87C01"/>
    <w:rsid w:val="00D87EFA"/>
    <w:rsid w:val="00D87FAB"/>
    <w:rsid w:val="00D90037"/>
    <w:rsid w:val="00D90208"/>
    <w:rsid w:val="00D905EF"/>
    <w:rsid w:val="00D906A4"/>
    <w:rsid w:val="00D90AB2"/>
    <w:rsid w:val="00D90BF2"/>
    <w:rsid w:val="00D90C72"/>
    <w:rsid w:val="00D9129F"/>
    <w:rsid w:val="00D91B20"/>
    <w:rsid w:val="00D91CCD"/>
    <w:rsid w:val="00D91D42"/>
    <w:rsid w:val="00D91F5A"/>
    <w:rsid w:val="00D91FD0"/>
    <w:rsid w:val="00D928F6"/>
    <w:rsid w:val="00D93712"/>
    <w:rsid w:val="00D94011"/>
    <w:rsid w:val="00D94D79"/>
    <w:rsid w:val="00D94E2B"/>
    <w:rsid w:val="00D955DF"/>
    <w:rsid w:val="00D95E62"/>
    <w:rsid w:val="00D95E72"/>
    <w:rsid w:val="00D95ECB"/>
    <w:rsid w:val="00D96570"/>
    <w:rsid w:val="00D965F2"/>
    <w:rsid w:val="00D966F1"/>
    <w:rsid w:val="00D9677D"/>
    <w:rsid w:val="00D96A9F"/>
    <w:rsid w:val="00D96AAC"/>
    <w:rsid w:val="00D96F71"/>
    <w:rsid w:val="00D9719F"/>
    <w:rsid w:val="00D973AF"/>
    <w:rsid w:val="00D9773D"/>
    <w:rsid w:val="00D97B45"/>
    <w:rsid w:val="00DA00C5"/>
    <w:rsid w:val="00DA03DC"/>
    <w:rsid w:val="00DA04CA"/>
    <w:rsid w:val="00DA0BFD"/>
    <w:rsid w:val="00DA0CC4"/>
    <w:rsid w:val="00DA0F26"/>
    <w:rsid w:val="00DA1C29"/>
    <w:rsid w:val="00DA1E63"/>
    <w:rsid w:val="00DA1EDB"/>
    <w:rsid w:val="00DA2205"/>
    <w:rsid w:val="00DA25DF"/>
    <w:rsid w:val="00DA2A79"/>
    <w:rsid w:val="00DA2DA1"/>
    <w:rsid w:val="00DA2EBE"/>
    <w:rsid w:val="00DA3371"/>
    <w:rsid w:val="00DA3661"/>
    <w:rsid w:val="00DA3BEE"/>
    <w:rsid w:val="00DA3D3B"/>
    <w:rsid w:val="00DA422E"/>
    <w:rsid w:val="00DA4849"/>
    <w:rsid w:val="00DA4A68"/>
    <w:rsid w:val="00DA4B18"/>
    <w:rsid w:val="00DA4D78"/>
    <w:rsid w:val="00DA50D1"/>
    <w:rsid w:val="00DA5863"/>
    <w:rsid w:val="00DA59E9"/>
    <w:rsid w:val="00DA5CD9"/>
    <w:rsid w:val="00DA5EE1"/>
    <w:rsid w:val="00DA6026"/>
    <w:rsid w:val="00DA6AFB"/>
    <w:rsid w:val="00DA6C67"/>
    <w:rsid w:val="00DA6E96"/>
    <w:rsid w:val="00DA6FCC"/>
    <w:rsid w:val="00DA763B"/>
    <w:rsid w:val="00DA77C4"/>
    <w:rsid w:val="00DA7CB5"/>
    <w:rsid w:val="00DB01B9"/>
    <w:rsid w:val="00DB0C75"/>
    <w:rsid w:val="00DB0E1C"/>
    <w:rsid w:val="00DB0F32"/>
    <w:rsid w:val="00DB0FED"/>
    <w:rsid w:val="00DB1274"/>
    <w:rsid w:val="00DB1301"/>
    <w:rsid w:val="00DB131E"/>
    <w:rsid w:val="00DB1373"/>
    <w:rsid w:val="00DB1470"/>
    <w:rsid w:val="00DB1587"/>
    <w:rsid w:val="00DB167D"/>
    <w:rsid w:val="00DB16CD"/>
    <w:rsid w:val="00DB1742"/>
    <w:rsid w:val="00DB1A90"/>
    <w:rsid w:val="00DB1BEB"/>
    <w:rsid w:val="00DB1D8D"/>
    <w:rsid w:val="00DB1ED2"/>
    <w:rsid w:val="00DB231F"/>
    <w:rsid w:val="00DB25C5"/>
    <w:rsid w:val="00DB306A"/>
    <w:rsid w:val="00DB308D"/>
    <w:rsid w:val="00DB43EB"/>
    <w:rsid w:val="00DB446F"/>
    <w:rsid w:val="00DB4A93"/>
    <w:rsid w:val="00DB4C16"/>
    <w:rsid w:val="00DB4C9F"/>
    <w:rsid w:val="00DB5109"/>
    <w:rsid w:val="00DB550F"/>
    <w:rsid w:val="00DB566F"/>
    <w:rsid w:val="00DB5708"/>
    <w:rsid w:val="00DB5932"/>
    <w:rsid w:val="00DB5CD5"/>
    <w:rsid w:val="00DB5F82"/>
    <w:rsid w:val="00DB65C8"/>
    <w:rsid w:val="00DB6E2E"/>
    <w:rsid w:val="00DB7314"/>
    <w:rsid w:val="00DB7655"/>
    <w:rsid w:val="00DB76EF"/>
    <w:rsid w:val="00DB781D"/>
    <w:rsid w:val="00DB789C"/>
    <w:rsid w:val="00DB7AA0"/>
    <w:rsid w:val="00DB7B95"/>
    <w:rsid w:val="00DC019B"/>
    <w:rsid w:val="00DC0B14"/>
    <w:rsid w:val="00DC0D71"/>
    <w:rsid w:val="00DC10FC"/>
    <w:rsid w:val="00DC1239"/>
    <w:rsid w:val="00DC133C"/>
    <w:rsid w:val="00DC186F"/>
    <w:rsid w:val="00DC1B36"/>
    <w:rsid w:val="00DC1D93"/>
    <w:rsid w:val="00DC2370"/>
    <w:rsid w:val="00DC2671"/>
    <w:rsid w:val="00DC26E2"/>
    <w:rsid w:val="00DC2985"/>
    <w:rsid w:val="00DC2AC9"/>
    <w:rsid w:val="00DC2AD4"/>
    <w:rsid w:val="00DC3111"/>
    <w:rsid w:val="00DC322F"/>
    <w:rsid w:val="00DC35FC"/>
    <w:rsid w:val="00DC37D9"/>
    <w:rsid w:val="00DC3FD4"/>
    <w:rsid w:val="00DC5615"/>
    <w:rsid w:val="00DC5C48"/>
    <w:rsid w:val="00DC5C7F"/>
    <w:rsid w:val="00DC5CD8"/>
    <w:rsid w:val="00DC5EEE"/>
    <w:rsid w:val="00DC6648"/>
    <w:rsid w:val="00DC6710"/>
    <w:rsid w:val="00DC6C5F"/>
    <w:rsid w:val="00DC6F2A"/>
    <w:rsid w:val="00DC79BF"/>
    <w:rsid w:val="00DC7BA7"/>
    <w:rsid w:val="00DD0970"/>
    <w:rsid w:val="00DD0DD6"/>
    <w:rsid w:val="00DD14E0"/>
    <w:rsid w:val="00DD17A6"/>
    <w:rsid w:val="00DD2069"/>
    <w:rsid w:val="00DD21D6"/>
    <w:rsid w:val="00DD2274"/>
    <w:rsid w:val="00DD27A4"/>
    <w:rsid w:val="00DD31DB"/>
    <w:rsid w:val="00DD3539"/>
    <w:rsid w:val="00DD3A56"/>
    <w:rsid w:val="00DD3F43"/>
    <w:rsid w:val="00DD44FE"/>
    <w:rsid w:val="00DD4950"/>
    <w:rsid w:val="00DD544B"/>
    <w:rsid w:val="00DD567B"/>
    <w:rsid w:val="00DD596E"/>
    <w:rsid w:val="00DD5A53"/>
    <w:rsid w:val="00DD5B22"/>
    <w:rsid w:val="00DD5CC6"/>
    <w:rsid w:val="00DD5E2F"/>
    <w:rsid w:val="00DD6330"/>
    <w:rsid w:val="00DD6A3B"/>
    <w:rsid w:val="00DD6C06"/>
    <w:rsid w:val="00DD6CFF"/>
    <w:rsid w:val="00DD7696"/>
    <w:rsid w:val="00DD7BE3"/>
    <w:rsid w:val="00DD7D35"/>
    <w:rsid w:val="00DD7F35"/>
    <w:rsid w:val="00DE0006"/>
    <w:rsid w:val="00DE028D"/>
    <w:rsid w:val="00DE040F"/>
    <w:rsid w:val="00DE0902"/>
    <w:rsid w:val="00DE0AF9"/>
    <w:rsid w:val="00DE0F88"/>
    <w:rsid w:val="00DE10FC"/>
    <w:rsid w:val="00DE12DA"/>
    <w:rsid w:val="00DE13D2"/>
    <w:rsid w:val="00DE16E0"/>
    <w:rsid w:val="00DE199D"/>
    <w:rsid w:val="00DE1F6F"/>
    <w:rsid w:val="00DE1F71"/>
    <w:rsid w:val="00DE1FB5"/>
    <w:rsid w:val="00DE3921"/>
    <w:rsid w:val="00DE39E4"/>
    <w:rsid w:val="00DE41BB"/>
    <w:rsid w:val="00DE41E3"/>
    <w:rsid w:val="00DE48DE"/>
    <w:rsid w:val="00DE4A29"/>
    <w:rsid w:val="00DE4C8B"/>
    <w:rsid w:val="00DE5310"/>
    <w:rsid w:val="00DE540C"/>
    <w:rsid w:val="00DE55F4"/>
    <w:rsid w:val="00DE5724"/>
    <w:rsid w:val="00DE59C3"/>
    <w:rsid w:val="00DE637D"/>
    <w:rsid w:val="00DE6551"/>
    <w:rsid w:val="00DE6885"/>
    <w:rsid w:val="00DE6B07"/>
    <w:rsid w:val="00DE71C7"/>
    <w:rsid w:val="00DE7B69"/>
    <w:rsid w:val="00DE7DE2"/>
    <w:rsid w:val="00DF1016"/>
    <w:rsid w:val="00DF19C3"/>
    <w:rsid w:val="00DF1B0E"/>
    <w:rsid w:val="00DF1FC8"/>
    <w:rsid w:val="00DF20EF"/>
    <w:rsid w:val="00DF20FB"/>
    <w:rsid w:val="00DF2870"/>
    <w:rsid w:val="00DF2A4E"/>
    <w:rsid w:val="00DF2ADE"/>
    <w:rsid w:val="00DF2BA6"/>
    <w:rsid w:val="00DF2EFF"/>
    <w:rsid w:val="00DF3214"/>
    <w:rsid w:val="00DF3763"/>
    <w:rsid w:val="00DF376C"/>
    <w:rsid w:val="00DF3813"/>
    <w:rsid w:val="00DF3A3F"/>
    <w:rsid w:val="00DF3AFE"/>
    <w:rsid w:val="00DF3B60"/>
    <w:rsid w:val="00DF3C89"/>
    <w:rsid w:val="00DF3C95"/>
    <w:rsid w:val="00DF41B0"/>
    <w:rsid w:val="00DF478F"/>
    <w:rsid w:val="00DF5126"/>
    <w:rsid w:val="00DF5543"/>
    <w:rsid w:val="00DF5658"/>
    <w:rsid w:val="00DF5A9C"/>
    <w:rsid w:val="00DF5C36"/>
    <w:rsid w:val="00DF5F66"/>
    <w:rsid w:val="00DF6094"/>
    <w:rsid w:val="00DF6500"/>
    <w:rsid w:val="00DF6BC6"/>
    <w:rsid w:val="00DF71DC"/>
    <w:rsid w:val="00DF7205"/>
    <w:rsid w:val="00DF72E0"/>
    <w:rsid w:val="00E00549"/>
    <w:rsid w:val="00E0072D"/>
    <w:rsid w:val="00E00982"/>
    <w:rsid w:val="00E00CBE"/>
    <w:rsid w:val="00E00DA2"/>
    <w:rsid w:val="00E00E11"/>
    <w:rsid w:val="00E00EED"/>
    <w:rsid w:val="00E00F09"/>
    <w:rsid w:val="00E00FC2"/>
    <w:rsid w:val="00E012B6"/>
    <w:rsid w:val="00E013A7"/>
    <w:rsid w:val="00E0147C"/>
    <w:rsid w:val="00E01E22"/>
    <w:rsid w:val="00E025F4"/>
    <w:rsid w:val="00E0282C"/>
    <w:rsid w:val="00E02A80"/>
    <w:rsid w:val="00E02D71"/>
    <w:rsid w:val="00E0302F"/>
    <w:rsid w:val="00E03134"/>
    <w:rsid w:val="00E0317B"/>
    <w:rsid w:val="00E031ED"/>
    <w:rsid w:val="00E03277"/>
    <w:rsid w:val="00E03550"/>
    <w:rsid w:val="00E0399E"/>
    <w:rsid w:val="00E03E76"/>
    <w:rsid w:val="00E03F65"/>
    <w:rsid w:val="00E04D54"/>
    <w:rsid w:val="00E057AA"/>
    <w:rsid w:val="00E05881"/>
    <w:rsid w:val="00E05999"/>
    <w:rsid w:val="00E05B00"/>
    <w:rsid w:val="00E05C6B"/>
    <w:rsid w:val="00E05E2E"/>
    <w:rsid w:val="00E064C5"/>
    <w:rsid w:val="00E06577"/>
    <w:rsid w:val="00E06629"/>
    <w:rsid w:val="00E06734"/>
    <w:rsid w:val="00E0696C"/>
    <w:rsid w:val="00E06B33"/>
    <w:rsid w:val="00E06FCA"/>
    <w:rsid w:val="00E07483"/>
    <w:rsid w:val="00E07F51"/>
    <w:rsid w:val="00E100E8"/>
    <w:rsid w:val="00E10627"/>
    <w:rsid w:val="00E106A7"/>
    <w:rsid w:val="00E10875"/>
    <w:rsid w:val="00E10AD8"/>
    <w:rsid w:val="00E10B1C"/>
    <w:rsid w:val="00E10B59"/>
    <w:rsid w:val="00E10D79"/>
    <w:rsid w:val="00E10F95"/>
    <w:rsid w:val="00E114EE"/>
    <w:rsid w:val="00E11925"/>
    <w:rsid w:val="00E126A8"/>
    <w:rsid w:val="00E12F43"/>
    <w:rsid w:val="00E131BE"/>
    <w:rsid w:val="00E13390"/>
    <w:rsid w:val="00E13548"/>
    <w:rsid w:val="00E13904"/>
    <w:rsid w:val="00E13A6B"/>
    <w:rsid w:val="00E140B0"/>
    <w:rsid w:val="00E140EC"/>
    <w:rsid w:val="00E1492B"/>
    <w:rsid w:val="00E14CE3"/>
    <w:rsid w:val="00E14D71"/>
    <w:rsid w:val="00E14E80"/>
    <w:rsid w:val="00E153A3"/>
    <w:rsid w:val="00E157F4"/>
    <w:rsid w:val="00E15961"/>
    <w:rsid w:val="00E15EC9"/>
    <w:rsid w:val="00E16124"/>
    <w:rsid w:val="00E1617D"/>
    <w:rsid w:val="00E1639D"/>
    <w:rsid w:val="00E1691B"/>
    <w:rsid w:val="00E16B67"/>
    <w:rsid w:val="00E16EE5"/>
    <w:rsid w:val="00E1718A"/>
    <w:rsid w:val="00E1781E"/>
    <w:rsid w:val="00E17CA1"/>
    <w:rsid w:val="00E17D33"/>
    <w:rsid w:val="00E20111"/>
    <w:rsid w:val="00E20523"/>
    <w:rsid w:val="00E209F5"/>
    <w:rsid w:val="00E20DFB"/>
    <w:rsid w:val="00E20FFB"/>
    <w:rsid w:val="00E21443"/>
    <w:rsid w:val="00E2179F"/>
    <w:rsid w:val="00E21BF4"/>
    <w:rsid w:val="00E220A8"/>
    <w:rsid w:val="00E22484"/>
    <w:rsid w:val="00E22C3B"/>
    <w:rsid w:val="00E22EF9"/>
    <w:rsid w:val="00E23197"/>
    <w:rsid w:val="00E23483"/>
    <w:rsid w:val="00E23867"/>
    <w:rsid w:val="00E23A1B"/>
    <w:rsid w:val="00E23B04"/>
    <w:rsid w:val="00E23E5E"/>
    <w:rsid w:val="00E23EAF"/>
    <w:rsid w:val="00E24147"/>
    <w:rsid w:val="00E241ED"/>
    <w:rsid w:val="00E243A0"/>
    <w:rsid w:val="00E244FC"/>
    <w:rsid w:val="00E2543D"/>
    <w:rsid w:val="00E2547E"/>
    <w:rsid w:val="00E25794"/>
    <w:rsid w:val="00E25962"/>
    <w:rsid w:val="00E25C14"/>
    <w:rsid w:val="00E26081"/>
    <w:rsid w:val="00E262A6"/>
    <w:rsid w:val="00E267AF"/>
    <w:rsid w:val="00E26943"/>
    <w:rsid w:val="00E270BA"/>
    <w:rsid w:val="00E279E1"/>
    <w:rsid w:val="00E27A08"/>
    <w:rsid w:val="00E27C17"/>
    <w:rsid w:val="00E27DC3"/>
    <w:rsid w:val="00E301E7"/>
    <w:rsid w:val="00E30226"/>
    <w:rsid w:val="00E30D83"/>
    <w:rsid w:val="00E30E21"/>
    <w:rsid w:val="00E31795"/>
    <w:rsid w:val="00E317CC"/>
    <w:rsid w:val="00E318C5"/>
    <w:rsid w:val="00E31C2F"/>
    <w:rsid w:val="00E31FFB"/>
    <w:rsid w:val="00E3281B"/>
    <w:rsid w:val="00E32987"/>
    <w:rsid w:val="00E32F2D"/>
    <w:rsid w:val="00E331A9"/>
    <w:rsid w:val="00E332B3"/>
    <w:rsid w:val="00E336A1"/>
    <w:rsid w:val="00E336FE"/>
    <w:rsid w:val="00E33753"/>
    <w:rsid w:val="00E33821"/>
    <w:rsid w:val="00E33DD1"/>
    <w:rsid w:val="00E3521C"/>
    <w:rsid w:val="00E35B67"/>
    <w:rsid w:val="00E35B8D"/>
    <w:rsid w:val="00E35DF7"/>
    <w:rsid w:val="00E35FFA"/>
    <w:rsid w:val="00E36183"/>
    <w:rsid w:val="00E365DF"/>
    <w:rsid w:val="00E3675C"/>
    <w:rsid w:val="00E36884"/>
    <w:rsid w:val="00E36E5A"/>
    <w:rsid w:val="00E37207"/>
    <w:rsid w:val="00E37582"/>
    <w:rsid w:val="00E37C1D"/>
    <w:rsid w:val="00E40033"/>
    <w:rsid w:val="00E402DD"/>
    <w:rsid w:val="00E4031C"/>
    <w:rsid w:val="00E405D5"/>
    <w:rsid w:val="00E407D4"/>
    <w:rsid w:val="00E40C32"/>
    <w:rsid w:val="00E40D7F"/>
    <w:rsid w:val="00E41049"/>
    <w:rsid w:val="00E4134E"/>
    <w:rsid w:val="00E415A1"/>
    <w:rsid w:val="00E4195A"/>
    <w:rsid w:val="00E4196A"/>
    <w:rsid w:val="00E420BE"/>
    <w:rsid w:val="00E42351"/>
    <w:rsid w:val="00E429A1"/>
    <w:rsid w:val="00E429EB"/>
    <w:rsid w:val="00E42B01"/>
    <w:rsid w:val="00E432D4"/>
    <w:rsid w:val="00E43578"/>
    <w:rsid w:val="00E43870"/>
    <w:rsid w:val="00E43939"/>
    <w:rsid w:val="00E43ADF"/>
    <w:rsid w:val="00E43F7C"/>
    <w:rsid w:val="00E43FC1"/>
    <w:rsid w:val="00E44018"/>
    <w:rsid w:val="00E44CB6"/>
    <w:rsid w:val="00E44DF2"/>
    <w:rsid w:val="00E450F0"/>
    <w:rsid w:val="00E45203"/>
    <w:rsid w:val="00E453FC"/>
    <w:rsid w:val="00E45406"/>
    <w:rsid w:val="00E45D3B"/>
    <w:rsid w:val="00E45F1D"/>
    <w:rsid w:val="00E45FCA"/>
    <w:rsid w:val="00E46613"/>
    <w:rsid w:val="00E46C65"/>
    <w:rsid w:val="00E46E66"/>
    <w:rsid w:val="00E46E97"/>
    <w:rsid w:val="00E46F5E"/>
    <w:rsid w:val="00E46FEA"/>
    <w:rsid w:val="00E4725E"/>
    <w:rsid w:val="00E47629"/>
    <w:rsid w:val="00E47655"/>
    <w:rsid w:val="00E47788"/>
    <w:rsid w:val="00E478DF"/>
    <w:rsid w:val="00E50470"/>
    <w:rsid w:val="00E5093A"/>
    <w:rsid w:val="00E5097A"/>
    <w:rsid w:val="00E50E50"/>
    <w:rsid w:val="00E50F28"/>
    <w:rsid w:val="00E5146C"/>
    <w:rsid w:val="00E51513"/>
    <w:rsid w:val="00E51589"/>
    <w:rsid w:val="00E51D7B"/>
    <w:rsid w:val="00E5203F"/>
    <w:rsid w:val="00E52A73"/>
    <w:rsid w:val="00E52AF7"/>
    <w:rsid w:val="00E52BE2"/>
    <w:rsid w:val="00E53189"/>
    <w:rsid w:val="00E532FB"/>
    <w:rsid w:val="00E53392"/>
    <w:rsid w:val="00E53632"/>
    <w:rsid w:val="00E53E01"/>
    <w:rsid w:val="00E53E08"/>
    <w:rsid w:val="00E53F0F"/>
    <w:rsid w:val="00E53F25"/>
    <w:rsid w:val="00E53F97"/>
    <w:rsid w:val="00E53FA3"/>
    <w:rsid w:val="00E54151"/>
    <w:rsid w:val="00E54232"/>
    <w:rsid w:val="00E54379"/>
    <w:rsid w:val="00E54637"/>
    <w:rsid w:val="00E54ECE"/>
    <w:rsid w:val="00E555AC"/>
    <w:rsid w:val="00E5589E"/>
    <w:rsid w:val="00E56238"/>
    <w:rsid w:val="00E564A4"/>
    <w:rsid w:val="00E566D4"/>
    <w:rsid w:val="00E56A5E"/>
    <w:rsid w:val="00E56DFF"/>
    <w:rsid w:val="00E57170"/>
    <w:rsid w:val="00E576EA"/>
    <w:rsid w:val="00E57D8B"/>
    <w:rsid w:val="00E57F2F"/>
    <w:rsid w:val="00E60329"/>
    <w:rsid w:val="00E6048E"/>
    <w:rsid w:val="00E60684"/>
    <w:rsid w:val="00E60B86"/>
    <w:rsid w:val="00E60D82"/>
    <w:rsid w:val="00E60FEC"/>
    <w:rsid w:val="00E61450"/>
    <w:rsid w:val="00E6199E"/>
    <w:rsid w:val="00E61CF9"/>
    <w:rsid w:val="00E621B3"/>
    <w:rsid w:val="00E621C2"/>
    <w:rsid w:val="00E62568"/>
    <w:rsid w:val="00E62957"/>
    <w:rsid w:val="00E62A93"/>
    <w:rsid w:val="00E62E10"/>
    <w:rsid w:val="00E62F50"/>
    <w:rsid w:val="00E63152"/>
    <w:rsid w:val="00E634BD"/>
    <w:rsid w:val="00E63790"/>
    <w:rsid w:val="00E63AE1"/>
    <w:rsid w:val="00E64248"/>
    <w:rsid w:val="00E64519"/>
    <w:rsid w:val="00E64B01"/>
    <w:rsid w:val="00E64C6C"/>
    <w:rsid w:val="00E64FD8"/>
    <w:rsid w:val="00E657EB"/>
    <w:rsid w:val="00E65C93"/>
    <w:rsid w:val="00E65DCC"/>
    <w:rsid w:val="00E662CE"/>
    <w:rsid w:val="00E6656C"/>
    <w:rsid w:val="00E66FE0"/>
    <w:rsid w:val="00E671AC"/>
    <w:rsid w:val="00E674CC"/>
    <w:rsid w:val="00E7008D"/>
    <w:rsid w:val="00E707F1"/>
    <w:rsid w:val="00E713A8"/>
    <w:rsid w:val="00E71474"/>
    <w:rsid w:val="00E7196E"/>
    <w:rsid w:val="00E72459"/>
    <w:rsid w:val="00E7276F"/>
    <w:rsid w:val="00E72797"/>
    <w:rsid w:val="00E728DC"/>
    <w:rsid w:val="00E73720"/>
    <w:rsid w:val="00E741AD"/>
    <w:rsid w:val="00E741F9"/>
    <w:rsid w:val="00E743E6"/>
    <w:rsid w:val="00E74923"/>
    <w:rsid w:val="00E74F06"/>
    <w:rsid w:val="00E7548A"/>
    <w:rsid w:val="00E755D2"/>
    <w:rsid w:val="00E75837"/>
    <w:rsid w:val="00E75930"/>
    <w:rsid w:val="00E75972"/>
    <w:rsid w:val="00E7622D"/>
    <w:rsid w:val="00E76CDF"/>
    <w:rsid w:val="00E76FE1"/>
    <w:rsid w:val="00E77781"/>
    <w:rsid w:val="00E77E7C"/>
    <w:rsid w:val="00E801A8"/>
    <w:rsid w:val="00E80BB7"/>
    <w:rsid w:val="00E80BFB"/>
    <w:rsid w:val="00E81396"/>
    <w:rsid w:val="00E817BE"/>
    <w:rsid w:val="00E81A6C"/>
    <w:rsid w:val="00E81AA8"/>
    <w:rsid w:val="00E81BEB"/>
    <w:rsid w:val="00E82394"/>
    <w:rsid w:val="00E823F8"/>
    <w:rsid w:val="00E828D3"/>
    <w:rsid w:val="00E83289"/>
    <w:rsid w:val="00E834B0"/>
    <w:rsid w:val="00E83880"/>
    <w:rsid w:val="00E839DC"/>
    <w:rsid w:val="00E83CFA"/>
    <w:rsid w:val="00E83D52"/>
    <w:rsid w:val="00E83DA5"/>
    <w:rsid w:val="00E8445A"/>
    <w:rsid w:val="00E8446C"/>
    <w:rsid w:val="00E84556"/>
    <w:rsid w:val="00E8473B"/>
    <w:rsid w:val="00E849AF"/>
    <w:rsid w:val="00E84F4E"/>
    <w:rsid w:val="00E84FE2"/>
    <w:rsid w:val="00E85AA1"/>
    <w:rsid w:val="00E85ACF"/>
    <w:rsid w:val="00E85D72"/>
    <w:rsid w:val="00E85E76"/>
    <w:rsid w:val="00E85EEB"/>
    <w:rsid w:val="00E863F1"/>
    <w:rsid w:val="00E86550"/>
    <w:rsid w:val="00E86697"/>
    <w:rsid w:val="00E86AED"/>
    <w:rsid w:val="00E8790C"/>
    <w:rsid w:val="00E87A09"/>
    <w:rsid w:val="00E87BA5"/>
    <w:rsid w:val="00E87ED5"/>
    <w:rsid w:val="00E87FBD"/>
    <w:rsid w:val="00E9050E"/>
    <w:rsid w:val="00E90BF3"/>
    <w:rsid w:val="00E90FE3"/>
    <w:rsid w:val="00E90FFE"/>
    <w:rsid w:val="00E9120C"/>
    <w:rsid w:val="00E91401"/>
    <w:rsid w:val="00E91586"/>
    <w:rsid w:val="00E918DA"/>
    <w:rsid w:val="00E91B8E"/>
    <w:rsid w:val="00E91EA3"/>
    <w:rsid w:val="00E91F87"/>
    <w:rsid w:val="00E91FD7"/>
    <w:rsid w:val="00E9246D"/>
    <w:rsid w:val="00E924E8"/>
    <w:rsid w:val="00E92A2D"/>
    <w:rsid w:val="00E939B1"/>
    <w:rsid w:val="00E9404D"/>
    <w:rsid w:val="00E941B5"/>
    <w:rsid w:val="00E941F5"/>
    <w:rsid w:val="00E94503"/>
    <w:rsid w:val="00E94569"/>
    <w:rsid w:val="00E94B20"/>
    <w:rsid w:val="00E94EFF"/>
    <w:rsid w:val="00E9521C"/>
    <w:rsid w:val="00E9524F"/>
    <w:rsid w:val="00E953AF"/>
    <w:rsid w:val="00E95736"/>
    <w:rsid w:val="00E95B9D"/>
    <w:rsid w:val="00E966AF"/>
    <w:rsid w:val="00E966C1"/>
    <w:rsid w:val="00E968E5"/>
    <w:rsid w:val="00E973C3"/>
    <w:rsid w:val="00E973E1"/>
    <w:rsid w:val="00E97674"/>
    <w:rsid w:val="00E97975"/>
    <w:rsid w:val="00E97D05"/>
    <w:rsid w:val="00E97D8F"/>
    <w:rsid w:val="00E97DFA"/>
    <w:rsid w:val="00EA0159"/>
    <w:rsid w:val="00EA02A9"/>
    <w:rsid w:val="00EA0340"/>
    <w:rsid w:val="00EA03E5"/>
    <w:rsid w:val="00EA04D1"/>
    <w:rsid w:val="00EA0742"/>
    <w:rsid w:val="00EA0A6D"/>
    <w:rsid w:val="00EA165D"/>
    <w:rsid w:val="00EA172C"/>
    <w:rsid w:val="00EA1809"/>
    <w:rsid w:val="00EA1AF7"/>
    <w:rsid w:val="00EA28C9"/>
    <w:rsid w:val="00EA2BE1"/>
    <w:rsid w:val="00EA3277"/>
    <w:rsid w:val="00EA346F"/>
    <w:rsid w:val="00EA3837"/>
    <w:rsid w:val="00EA38D2"/>
    <w:rsid w:val="00EA3AE3"/>
    <w:rsid w:val="00EA4066"/>
    <w:rsid w:val="00EA4362"/>
    <w:rsid w:val="00EA4632"/>
    <w:rsid w:val="00EA46C7"/>
    <w:rsid w:val="00EA4752"/>
    <w:rsid w:val="00EA4D6C"/>
    <w:rsid w:val="00EA4F2D"/>
    <w:rsid w:val="00EA51B8"/>
    <w:rsid w:val="00EA5400"/>
    <w:rsid w:val="00EA55E8"/>
    <w:rsid w:val="00EA570A"/>
    <w:rsid w:val="00EA5BB8"/>
    <w:rsid w:val="00EA620C"/>
    <w:rsid w:val="00EA62D3"/>
    <w:rsid w:val="00EA6B18"/>
    <w:rsid w:val="00EA77E9"/>
    <w:rsid w:val="00EA782D"/>
    <w:rsid w:val="00EA79E7"/>
    <w:rsid w:val="00EA7CA1"/>
    <w:rsid w:val="00EA7F89"/>
    <w:rsid w:val="00EB0502"/>
    <w:rsid w:val="00EB0E17"/>
    <w:rsid w:val="00EB0EDA"/>
    <w:rsid w:val="00EB0FD6"/>
    <w:rsid w:val="00EB13F0"/>
    <w:rsid w:val="00EB143B"/>
    <w:rsid w:val="00EB15ED"/>
    <w:rsid w:val="00EB19F8"/>
    <w:rsid w:val="00EB219B"/>
    <w:rsid w:val="00EB2645"/>
    <w:rsid w:val="00EB2815"/>
    <w:rsid w:val="00EB2E06"/>
    <w:rsid w:val="00EB3744"/>
    <w:rsid w:val="00EB39A5"/>
    <w:rsid w:val="00EB39F1"/>
    <w:rsid w:val="00EB3CC8"/>
    <w:rsid w:val="00EB3E40"/>
    <w:rsid w:val="00EB408E"/>
    <w:rsid w:val="00EB4A8E"/>
    <w:rsid w:val="00EB4B80"/>
    <w:rsid w:val="00EB4B83"/>
    <w:rsid w:val="00EB4C66"/>
    <w:rsid w:val="00EB4C71"/>
    <w:rsid w:val="00EB4D3B"/>
    <w:rsid w:val="00EB55D1"/>
    <w:rsid w:val="00EB5897"/>
    <w:rsid w:val="00EB5947"/>
    <w:rsid w:val="00EB5DFE"/>
    <w:rsid w:val="00EB5EE1"/>
    <w:rsid w:val="00EB62EE"/>
    <w:rsid w:val="00EB6430"/>
    <w:rsid w:val="00EB6AEA"/>
    <w:rsid w:val="00EB6FC3"/>
    <w:rsid w:val="00EB70EF"/>
    <w:rsid w:val="00EB7335"/>
    <w:rsid w:val="00EB756B"/>
    <w:rsid w:val="00EB770B"/>
    <w:rsid w:val="00EB78F7"/>
    <w:rsid w:val="00EB790C"/>
    <w:rsid w:val="00EB79A5"/>
    <w:rsid w:val="00EB79F7"/>
    <w:rsid w:val="00EB7A79"/>
    <w:rsid w:val="00EB7F13"/>
    <w:rsid w:val="00EC03A1"/>
    <w:rsid w:val="00EC090D"/>
    <w:rsid w:val="00EC0A8E"/>
    <w:rsid w:val="00EC0E4D"/>
    <w:rsid w:val="00EC1279"/>
    <w:rsid w:val="00EC16E9"/>
    <w:rsid w:val="00EC17E5"/>
    <w:rsid w:val="00EC1E75"/>
    <w:rsid w:val="00EC1EB3"/>
    <w:rsid w:val="00EC22C2"/>
    <w:rsid w:val="00EC28DB"/>
    <w:rsid w:val="00EC30EF"/>
    <w:rsid w:val="00EC4123"/>
    <w:rsid w:val="00EC453B"/>
    <w:rsid w:val="00EC48ED"/>
    <w:rsid w:val="00EC4ED7"/>
    <w:rsid w:val="00EC5778"/>
    <w:rsid w:val="00EC5E1E"/>
    <w:rsid w:val="00EC6013"/>
    <w:rsid w:val="00EC622C"/>
    <w:rsid w:val="00EC62D2"/>
    <w:rsid w:val="00EC6833"/>
    <w:rsid w:val="00EC695E"/>
    <w:rsid w:val="00EC6A12"/>
    <w:rsid w:val="00EC6BB1"/>
    <w:rsid w:val="00EC6C75"/>
    <w:rsid w:val="00EC6D9D"/>
    <w:rsid w:val="00EC7308"/>
    <w:rsid w:val="00EC7432"/>
    <w:rsid w:val="00ED0973"/>
    <w:rsid w:val="00ED098F"/>
    <w:rsid w:val="00ED0D50"/>
    <w:rsid w:val="00ED11E3"/>
    <w:rsid w:val="00ED1247"/>
    <w:rsid w:val="00ED1425"/>
    <w:rsid w:val="00ED1730"/>
    <w:rsid w:val="00ED17E8"/>
    <w:rsid w:val="00ED18C4"/>
    <w:rsid w:val="00ED18F4"/>
    <w:rsid w:val="00ED1B54"/>
    <w:rsid w:val="00ED2354"/>
    <w:rsid w:val="00ED2672"/>
    <w:rsid w:val="00ED27B5"/>
    <w:rsid w:val="00ED2E3F"/>
    <w:rsid w:val="00ED3338"/>
    <w:rsid w:val="00ED347F"/>
    <w:rsid w:val="00ED3A03"/>
    <w:rsid w:val="00ED3E34"/>
    <w:rsid w:val="00ED403F"/>
    <w:rsid w:val="00ED41CC"/>
    <w:rsid w:val="00ED471B"/>
    <w:rsid w:val="00ED48B0"/>
    <w:rsid w:val="00ED49D6"/>
    <w:rsid w:val="00ED4A03"/>
    <w:rsid w:val="00ED4BC5"/>
    <w:rsid w:val="00ED5DD8"/>
    <w:rsid w:val="00ED5F40"/>
    <w:rsid w:val="00ED5FF5"/>
    <w:rsid w:val="00ED6390"/>
    <w:rsid w:val="00ED6417"/>
    <w:rsid w:val="00ED66EB"/>
    <w:rsid w:val="00ED6C44"/>
    <w:rsid w:val="00ED6CE8"/>
    <w:rsid w:val="00ED73E3"/>
    <w:rsid w:val="00ED74A0"/>
    <w:rsid w:val="00ED7716"/>
    <w:rsid w:val="00EE0158"/>
    <w:rsid w:val="00EE0240"/>
    <w:rsid w:val="00EE0A0D"/>
    <w:rsid w:val="00EE0A27"/>
    <w:rsid w:val="00EE144B"/>
    <w:rsid w:val="00EE1624"/>
    <w:rsid w:val="00EE1692"/>
    <w:rsid w:val="00EE1FF6"/>
    <w:rsid w:val="00EE2244"/>
    <w:rsid w:val="00EE2770"/>
    <w:rsid w:val="00EE28E6"/>
    <w:rsid w:val="00EE29C4"/>
    <w:rsid w:val="00EE324C"/>
    <w:rsid w:val="00EE359B"/>
    <w:rsid w:val="00EE382D"/>
    <w:rsid w:val="00EE3A3C"/>
    <w:rsid w:val="00EE3E50"/>
    <w:rsid w:val="00EE4164"/>
    <w:rsid w:val="00EE46B4"/>
    <w:rsid w:val="00EE49C5"/>
    <w:rsid w:val="00EE521E"/>
    <w:rsid w:val="00EE537F"/>
    <w:rsid w:val="00EE549A"/>
    <w:rsid w:val="00EE55B9"/>
    <w:rsid w:val="00EE5686"/>
    <w:rsid w:val="00EE5D61"/>
    <w:rsid w:val="00EE5F1A"/>
    <w:rsid w:val="00EE63C7"/>
    <w:rsid w:val="00EE6452"/>
    <w:rsid w:val="00EE6928"/>
    <w:rsid w:val="00EE6E59"/>
    <w:rsid w:val="00EE7D6F"/>
    <w:rsid w:val="00EE7E15"/>
    <w:rsid w:val="00EE7E28"/>
    <w:rsid w:val="00EF09E6"/>
    <w:rsid w:val="00EF121C"/>
    <w:rsid w:val="00EF1469"/>
    <w:rsid w:val="00EF1E80"/>
    <w:rsid w:val="00EF2232"/>
    <w:rsid w:val="00EF2563"/>
    <w:rsid w:val="00EF27DB"/>
    <w:rsid w:val="00EF28F9"/>
    <w:rsid w:val="00EF2A11"/>
    <w:rsid w:val="00EF2A7C"/>
    <w:rsid w:val="00EF2AD3"/>
    <w:rsid w:val="00EF3007"/>
    <w:rsid w:val="00EF3453"/>
    <w:rsid w:val="00EF349E"/>
    <w:rsid w:val="00EF3DA9"/>
    <w:rsid w:val="00EF416C"/>
    <w:rsid w:val="00EF4184"/>
    <w:rsid w:val="00EF4575"/>
    <w:rsid w:val="00EF4936"/>
    <w:rsid w:val="00EF4A33"/>
    <w:rsid w:val="00EF5239"/>
    <w:rsid w:val="00EF55DB"/>
    <w:rsid w:val="00EF57A4"/>
    <w:rsid w:val="00EF5A32"/>
    <w:rsid w:val="00EF5ED3"/>
    <w:rsid w:val="00EF646F"/>
    <w:rsid w:val="00EF64EE"/>
    <w:rsid w:val="00EF657F"/>
    <w:rsid w:val="00EF6836"/>
    <w:rsid w:val="00EF695C"/>
    <w:rsid w:val="00EF7515"/>
    <w:rsid w:val="00EF7736"/>
    <w:rsid w:val="00EF7D80"/>
    <w:rsid w:val="00EF7EC6"/>
    <w:rsid w:val="00EF7F2D"/>
    <w:rsid w:val="00F00093"/>
    <w:rsid w:val="00F00392"/>
    <w:rsid w:val="00F004D4"/>
    <w:rsid w:val="00F006E9"/>
    <w:rsid w:val="00F008E8"/>
    <w:rsid w:val="00F00AD8"/>
    <w:rsid w:val="00F00B7C"/>
    <w:rsid w:val="00F00C92"/>
    <w:rsid w:val="00F00C97"/>
    <w:rsid w:val="00F0154F"/>
    <w:rsid w:val="00F0173A"/>
    <w:rsid w:val="00F020DF"/>
    <w:rsid w:val="00F02295"/>
    <w:rsid w:val="00F023B5"/>
    <w:rsid w:val="00F024D9"/>
    <w:rsid w:val="00F026BE"/>
    <w:rsid w:val="00F02CAB"/>
    <w:rsid w:val="00F02CB0"/>
    <w:rsid w:val="00F0306A"/>
    <w:rsid w:val="00F03316"/>
    <w:rsid w:val="00F03849"/>
    <w:rsid w:val="00F038CA"/>
    <w:rsid w:val="00F03A81"/>
    <w:rsid w:val="00F03C90"/>
    <w:rsid w:val="00F040DF"/>
    <w:rsid w:val="00F04213"/>
    <w:rsid w:val="00F0474D"/>
    <w:rsid w:val="00F04DED"/>
    <w:rsid w:val="00F0503A"/>
    <w:rsid w:val="00F058F4"/>
    <w:rsid w:val="00F05B6E"/>
    <w:rsid w:val="00F061A9"/>
    <w:rsid w:val="00F06A3F"/>
    <w:rsid w:val="00F06B85"/>
    <w:rsid w:val="00F06E00"/>
    <w:rsid w:val="00F06FAD"/>
    <w:rsid w:val="00F0703B"/>
    <w:rsid w:val="00F075EF"/>
    <w:rsid w:val="00F07616"/>
    <w:rsid w:val="00F07982"/>
    <w:rsid w:val="00F07993"/>
    <w:rsid w:val="00F07AA2"/>
    <w:rsid w:val="00F100D3"/>
    <w:rsid w:val="00F10996"/>
    <w:rsid w:val="00F10A1B"/>
    <w:rsid w:val="00F10AD8"/>
    <w:rsid w:val="00F1148A"/>
    <w:rsid w:val="00F118BC"/>
    <w:rsid w:val="00F11B5E"/>
    <w:rsid w:val="00F1217C"/>
    <w:rsid w:val="00F12331"/>
    <w:rsid w:val="00F1238E"/>
    <w:rsid w:val="00F124B2"/>
    <w:rsid w:val="00F12E2E"/>
    <w:rsid w:val="00F132B1"/>
    <w:rsid w:val="00F1337C"/>
    <w:rsid w:val="00F133C2"/>
    <w:rsid w:val="00F1373E"/>
    <w:rsid w:val="00F13742"/>
    <w:rsid w:val="00F13AE4"/>
    <w:rsid w:val="00F13D7D"/>
    <w:rsid w:val="00F13E11"/>
    <w:rsid w:val="00F144EA"/>
    <w:rsid w:val="00F1485B"/>
    <w:rsid w:val="00F149CA"/>
    <w:rsid w:val="00F156DF"/>
    <w:rsid w:val="00F15CDC"/>
    <w:rsid w:val="00F163DC"/>
    <w:rsid w:val="00F16599"/>
    <w:rsid w:val="00F166BF"/>
    <w:rsid w:val="00F16754"/>
    <w:rsid w:val="00F16ECB"/>
    <w:rsid w:val="00F16EEE"/>
    <w:rsid w:val="00F16FD8"/>
    <w:rsid w:val="00F17C48"/>
    <w:rsid w:val="00F17E8F"/>
    <w:rsid w:val="00F17F47"/>
    <w:rsid w:val="00F20367"/>
    <w:rsid w:val="00F20828"/>
    <w:rsid w:val="00F21023"/>
    <w:rsid w:val="00F21453"/>
    <w:rsid w:val="00F21ECF"/>
    <w:rsid w:val="00F22267"/>
    <w:rsid w:val="00F22438"/>
    <w:rsid w:val="00F2293E"/>
    <w:rsid w:val="00F22B2F"/>
    <w:rsid w:val="00F232FE"/>
    <w:rsid w:val="00F23EE0"/>
    <w:rsid w:val="00F23F30"/>
    <w:rsid w:val="00F23F5B"/>
    <w:rsid w:val="00F2417A"/>
    <w:rsid w:val="00F24440"/>
    <w:rsid w:val="00F24482"/>
    <w:rsid w:val="00F24540"/>
    <w:rsid w:val="00F2466D"/>
    <w:rsid w:val="00F246D5"/>
    <w:rsid w:val="00F24B0C"/>
    <w:rsid w:val="00F256AD"/>
    <w:rsid w:val="00F256FF"/>
    <w:rsid w:val="00F25786"/>
    <w:rsid w:val="00F25EB7"/>
    <w:rsid w:val="00F25FD2"/>
    <w:rsid w:val="00F26289"/>
    <w:rsid w:val="00F2652F"/>
    <w:rsid w:val="00F2683D"/>
    <w:rsid w:val="00F275A1"/>
    <w:rsid w:val="00F27A31"/>
    <w:rsid w:val="00F27D74"/>
    <w:rsid w:val="00F27E26"/>
    <w:rsid w:val="00F30278"/>
    <w:rsid w:val="00F30A31"/>
    <w:rsid w:val="00F30E88"/>
    <w:rsid w:val="00F31484"/>
    <w:rsid w:val="00F314B7"/>
    <w:rsid w:val="00F32180"/>
    <w:rsid w:val="00F32277"/>
    <w:rsid w:val="00F322F0"/>
    <w:rsid w:val="00F3243A"/>
    <w:rsid w:val="00F325E8"/>
    <w:rsid w:val="00F32FCD"/>
    <w:rsid w:val="00F33FA9"/>
    <w:rsid w:val="00F340AB"/>
    <w:rsid w:val="00F3423B"/>
    <w:rsid w:val="00F3423F"/>
    <w:rsid w:val="00F34309"/>
    <w:rsid w:val="00F34D8F"/>
    <w:rsid w:val="00F350FF"/>
    <w:rsid w:val="00F3531C"/>
    <w:rsid w:val="00F358A1"/>
    <w:rsid w:val="00F35A92"/>
    <w:rsid w:val="00F35B10"/>
    <w:rsid w:val="00F35D1F"/>
    <w:rsid w:val="00F35F25"/>
    <w:rsid w:val="00F360FB"/>
    <w:rsid w:val="00F36285"/>
    <w:rsid w:val="00F365AE"/>
    <w:rsid w:val="00F369A9"/>
    <w:rsid w:val="00F37103"/>
    <w:rsid w:val="00F373D4"/>
    <w:rsid w:val="00F375DD"/>
    <w:rsid w:val="00F3761B"/>
    <w:rsid w:val="00F37801"/>
    <w:rsid w:val="00F37C93"/>
    <w:rsid w:val="00F37F93"/>
    <w:rsid w:val="00F406E4"/>
    <w:rsid w:val="00F4088A"/>
    <w:rsid w:val="00F40C26"/>
    <w:rsid w:val="00F4100B"/>
    <w:rsid w:val="00F4143E"/>
    <w:rsid w:val="00F4168A"/>
    <w:rsid w:val="00F41C72"/>
    <w:rsid w:val="00F42250"/>
    <w:rsid w:val="00F429B5"/>
    <w:rsid w:val="00F42A86"/>
    <w:rsid w:val="00F43676"/>
    <w:rsid w:val="00F43BC5"/>
    <w:rsid w:val="00F43CDD"/>
    <w:rsid w:val="00F4450C"/>
    <w:rsid w:val="00F455C1"/>
    <w:rsid w:val="00F45E51"/>
    <w:rsid w:val="00F460C0"/>
    <w:rsid w:val="00F46CD6"/>
    <w:rsid w:val="00F470DA"/>
    <w:rsid w:val="00F473D0"/>
    <w:rsid w:val="00F47408"/>
    <w:rsid w:val="00F47572"/>
    <w:rsid w:val="00F4794F"/>
    <w:rsid w:val="00F47A24"/>
    <w:rsid w:val="00F47D2E"/>
    <w:rsid w:val="00F47E56"/>
    <w:rsid w:val="00F47F72"/>
    <w:rsid w:val="00F5000C"/>
    <w:rsid w:val="00F50368"/>
    <w:rsid w:val="00F503AD"/>
    <w:rsid w:val="00F50F8C"/>
    <w:rsid w:val="00F5120C"/>
    <w:rsid w:val="00F51DAD"/>
    <w:rsid w:val="00F51E17"/>
    <w:rsid w:val="00F5245E"/>
    <w:rsid w:val="00F52624"/>
    <w:rsid w:val="00F52652"/>
    <w:rsid w:val="00F527B6"/>
    <w:rsid w:val="00F52EF6"/>
    <w:rsid w:val="00F52FAA"/>
    <w:rsid w:val="00F53176"/>
    <w:rsid w:val="00F5326B"/>
    <w:rsid w:val="00F534B1"/>
    <w:rsid w:val="00F535AD"/>
    <w:rsid w:val="00F536A5"/>
    <w:rsid w:val="00F54459"/>
    <w:rsid w:val="00F547B2"/>
    <w:rsid w:val="00F54996"/>
    <w:rsid w:val="00F54CCE"/>
    <w:rsid w:val="00F550FA"/>
    <w:rsid w:val="00F55146"/>
    <w:rsid w:val="00F551E2"/>
    <w:rsid w:val="00F555EE"/>
    <w:rsid w:val="00F55BBE"/>
    <w:rsid w:val="00F55CFD"/>
    <w:rsid w:val="00F563ED"/>
    <w:rsid w:val="00F57174"/>
    <w:rsid w:val="00F572C7"/>
    <w:rsid w:val="00F57363"/>
    <w:rsid w:val="00F573B7"/>
    <w:rsid w:val="00F576B9"/>
    <w:rsid w:val="00F577E2"/>
    <w:rsid w:val="00F57802"/>
    <w:rsid w:val="00F57ECD"/>
    <w:rsid w:val="00F60031"/>
    <w:rsid w:val="00F6021E"/>
    <w:rsid w:val="00F60C71"/>
    <w:rsid w:val="00F60E8D"/>
    <w:rsid w:val="00F61116"/>
    <w:rsid w:val="00F613DC"/>
    <w:rsid w:val="00F616EC"/>
    <w:rsid w:val="00F634E4"/>
    <w:rsid w:val="00F63A74"/>
    <w:rsid w:val="00F64365"/>
    <w:rsid w:val="00F64427"/>
    <w:rsid w:val="00F64DDD"/>
    <w:rsid w:val="00F6586E"/>
    <w:rsid w:val="00F65F9F"/>
    <w:rsid w:val="00F661D6"/>
    <w:rsid w:val="00F67286"/>
    <w:rsid w:val="00F67714"/>
    <w:rsid w:val="00F679E0"/>
    <w:rsid w:val="00F679FC"/>
    <w:rsid w:val="00F67A34"/>
    <w:rsid w:val="00F70365"/>
    <w:rsid w:val="00F703C9"/>
    <w:rsid w:val="00F70728"/>
    <w:rsid w:val="00F70787"/>
    <w:rsid w:val="00F70A31"/>
    <w:rsid w:val="00F70B26"/>
    <w:rsid w:val="00F70D92"/>
    <w:rsid w:val="00F70E24"/>
    <w:rsid w:val="00F70FA2"/>
    <w:rsid w:val="00F70FFA"/>
    <w:rsid w:val="00F712C5"/>
    <w:rsid w:val="00F71769"/>
    <w:rsid w:val="00F7203A"/>
    <w:rsid w:val="00F724B2"/>
    <w:rsid w:val="00F725DE"/>
    <w:rsid w:val="00F72605"/>
    <w:rsid w:val="00F726AC"/>
    <w:rsid w:val="00F72991"/>
    <w:rsid w:val="00F7396C"/>
    <w:rsid w:val="00F73FB6"/>
    <w:rsid w:val="00F74111"/>
    <w:rsid w:val="00F74A1F"/>
    <w:rsid w:val="00F74B52"/>
    <w:rsid w:val="00F74F49"/>
    <w:rsid w:val="00F74FD4"/>
    <w:rsid w:val="00F754FE"/>
    <w:rsid w:val="00F75638"/>
    <w:rsid w:val="00F75AB6"/>
    <w:rsid w:val="00F75BCE"/>
    <w:rsid w:val="00F76135"/>
    <w:rsid w:val="00F76234"/>
    <w:rsid w:val="00F763E0"/>
    <w:rsid w:val="00F7656A"/>
    <w:rsid w:val="00F76A4B"/>
    <w:rsid w:val="00F76BB1"/>
    <w:rsid w:val="00F76BD9"/>
    <w:rsid w:val="00F76E5B"/>
    <w:rsid w:val="00F77152"/>
    <w:rsid w:val="00F7744C"/>
    <w:rsid w:val="00F774C1"/>
    <w:rsid w:val="00F778F8"/>
    <w:rsid w:val="00F77FC4"/>
    <w:rsid w:val="00F80132"/>
    <w:rsid w:val="00F80A8F"/>
    <w:rsid w:val="00F80B6B"/>
    <w:rsid w:val="00F810F2"/>
    <w:rsid w:val="00F811FA"/>
    <w:rsid w:val="00F81516"/>
    <w:rsid w:val="00F81529"/>
    <w:rsid w:val="00F818C6"/>
    <w:rsid w:val="00F81E1C"/>
    <w:rsid w:val="00F82040"/>
    <w:rsid w:val="00F826E3"/>
    <w:rsid w:val="00F82957"/>
    <w:rsid w:val="00F82A1D"/>
    <w:rsid w:val="00F82CA1"/>
    <w:rsid w:val="00F82CE3"/>
    <w:rsid w:val="00F82F8C"/>
    <w:rsid w:val="00F8382F"/>
    <w:rsid w:val="00F839D2"/>
    <w:rsid w:val="00F84526"/>
    <w:rsid w:val="00F84657"/>
    <w:rsid w:val="00F846E7"/>
    <w:rsid w:val="00F84BBB"/>
    <w:rsid w:val="00F84C0F"/>
    <w:rsid w:val="00F84E7D"/>
    <w:rsid w:val="00F85147"/>
    <w:rsid w:val="00F856C8"/>
    <w:rsid w:val="00F85B4E"/>
    <w:rsid w:val="00F85BFA"/>
    <w:rsid w:val="00F85D10"/>
    <w:rsid w:val="00F85E94"/>
    <w:rsid w:val="00F86179"/>
    <w:rsid w:val="00F86328"/>
    <w:rsid w:val="00F86900"/>
    <w:rsid w:val="00F8741E"/>
    <w:rsid w:val="00F87588"/>
    <w:rsid w:val="00F877FC"/>
    <w:rsid w:val="00F87B06"/>
    <w:rsid w:val="00F87F51"/>
    <w:rsid w:val="00F9009C"/>
    <w:rsid w:val="00F90175"/>
    <w:rsid w:val="00F90405"/>
    <w:rsid w:val="00F90A8F"/>
    <w:rsid w:val="00F90CF6"/>
    <w:rsid w:val="00F911F5"/>
    <w:rsid w:val="00F91873"/>
    <w:rsid w:val="00F91B5C"/>
    <w:rsid w:val="00F91C2D"/>
    <w:rsid w:val="00F9294B"/>
    <w:rsid w:val="00F92A84"/>
    <w:rsid w:val="00F92DFE"/>
    <w:rsid w:val="00F92FF5"/>
    <w:rsid w:val="00F930E0"/>
    <w:rsid w:val="00F93468"/>
    <w:rsid w:val="00F93493"/>
    <w:rsid w:val="00F9359C"/>
    <w:rsid w:val="00F937C0"/>
    <w:rsid w:val="00F93D15"/>
    <w:rsid w:val="00F93D63"/>
    <w:rsid w:val="00F946A5"/>
    <w:rsid w:val="00F948A3"/>
    <w:rsid w:val="00F94B3D"/>
    <w:rsid w:val="00F95196"/>
    <w:rsid w:val="00F95587"/>
    <w:rsid w:val="00F95D5B"/>
    <w:rsid w:val="00F96392"/>
    <w:rsid w:val="00F96448"/>
    <w:rsid w:val="00F964C8"/>
    <w:rsid w:val="00F965DD"/>
    <w:rsid w:val="00F96A72"/>
    <w:rsid w:val="00F974D5"/>
    <w:rsid w:val="00F97AB8"/>
    <w:rsid w:val="00F97AC3"/>
    <w:rsid w:val="00F97B62"/>
    <w:rsid w:val="00F97B85"/>
    <w:rsid w:val="00FA0499"/>
    <w:rsid w:val="00FA092B"/>
    <w:rsid w:val="00FA097A"/>
    <w:rsid w:val="00FA0D2E"/>
    <w:rsid w:val="00FA1ADA"/>
    <w:rsid w:val="00FA1D98"/>
    <w:rsid w:val="00FA1F22"/>
    <w:rsid w:val="00FA2090"/>
    <w:rsid w:val="00FA255B"/>
    <w:rsid w:val="00FA275E"/>
    <w:rsid w:val="00FA2BA9"/>
    <w:rsid w:val="00FA2C3E"/>
    <w:rsid w:val="00FA2D2C"/>
    <w:rsid w:val="00FA32DF"/>
    <w:rsid w:val="00FA334C"/>
    <w:rsid w:val="00FA36A7"/>
    <w:rsid w:val="00FA3F12"/>
    <w:rsid w:val="00FA4171"/>
    <w:rsid w:val="00FA44A0"/>
    <w:rsid w:val="00FA46DA"/>
    <w:rsid w:val="00FA481D"/>
    <w:rsid w:val="00FA4978"/>
    <w:rsid w:val="00FA4B97"/>
    <w:rsid w:val="00FA4DF6"/>
    <w:rsid w:val="00FA4DFF"/>
    <w:rsid w:val="00FA545F"/>
    <w:rsid w:val="00FA55E2"/>
    <w:rsid w:val="00FA5F1A"/>
    <w:rsid w:val="00FA60C7"/>
    <w:rsid w:val="00FA675F"/>
    <w:rsid w:val="00FA6822"/>
    <w:rsid w:val="00FA68CB"/>
    <w:rsid w:val="00FA75A0"/>
    <w:rsid w:val="00FA782E"/>
    <w:rsid w:val="00FA7D38"/>
    <w:rsid w:val="00FA7D7F"/>
    <w:rsid w:val="00FB007B"/>
    <w:rsid w:val="00FB01FB"/>
    <w:rsid w:val="00FB0362"/>
    <w:rsid w:val="00FB0897"/>
    <w:rsid w:val="00FB09B6"/>
    <w:rsid w:val="00FB0B25"/>
    <w:rsid w:val="00FB117C"/>
    <w:rsid w:val="00FB16E6"/>
    <w:rsid w:val="00FB1B62"/>
    <w:rsid w:val="00FB24B4"/>
    <w:rsid w:val="00FB27AA"/>
    <w:rsid w:val="00FB29FE"/>
    <w:rsid w:val="00FB2B68"/>
    <w:rsid w:val="00FB3525"/>
    <w:rsid w:val="00FB3823"/>
    <w:rsid w:val="00FB3ACE"/>
    <w:rsid w:val="00FB3B3B"/>
    <w:rsid w:val="00FB439B"/>
    <w:rsid w:val="00FB474A"/>
    <w:rsid w:val="00FB4A79"/>
    <w:rsid w:val="00FB4A7E"/>
    <w:rsid w:val="00FB4AA5"/>
    <w:rsid w:val="00FB5456"/>
    <w:rsid w:val="00FB5EE6"/>
    <w:rsid w:val="00FB5F9E"/>
    <w:rsid w:val="00FB630B"/>
    <w:rsid w:val="00FB6819"/>
    <w:rsid w:val="00FB6BB6"/>
    <w:rsid w:val="00FB6BF8"/>
    <w:rsid w:val="00FB6C8F"/>
    <w:rsid w:val="00FB7351"/>
    <w:rsid w:val="00FB74A8"/>
    <w:rsid w:val="00FB74CF"/>
    <w:rsid w:val="00FB76BC"/>
    <w:rsid w:val="00FC00D2"/>
    <w:rsid w:val="00FC027E"/>
    <w:rsid w:val="00FC0B74"/>
    <w:rsid w:val="00FC0BA4"/>
    <w:rsid w:val="00FC0C0C"/>
    <w:rsid w:val="00FC0D40"/>
    <w:rsid w:val="00FC0EB8"/>
    <w:rsid w:val="00FC0FF1"/>
    <w:rsid w:val="00FC13F4"/>
    <w:rsid w:val="00FC1533"/>
    <w:rsid w:val="00FC1C18"/>
    <w:rsid w:val="00FC25D1"/>
    <w:rsid w:val="00FC28B4"/>
    <w:rsid w:val="00FC2CAF"/>
    <w:rsid w:val="00FC31E9"/>
    <w:rsid w:val="00FC3358"/>
    <w:rsid w:val="00FC34F3"/>
    <w:rsid w:val="00FC37B9"/>
    <w:rsid w:val="00FC37DA"/>
    <w:rsid w:val="00FC3A59"/>
    <w:rsid w:val="00FC3A87"/>
    <w:rsid w:val="00FC3DA2"/>
    <w:rsid w:val="00FC3DBC"/>
    <w:rsid w:val="00FC3EEF"/>
    <w:rsid w:val="00FC40A3"/>
    <w:rsid w:val="00FC439A"/>
    <w:rsid w:val="00FC4403"/>
    <w:rsid w:val="00FC44DD"/>
    <w:rsid w:val="00FC45D8"/>
    <w:rsid w:val="00FC45F5"/>
    <w:rsid w:val="00FC4636"/>
    <w:rsid w:val="00FC468F"/>
    <w:rsid w:val="00FC474D"/>
    <w:rsid w:val="00FC4814"/>
    <w:rsid w:val="00FC4DA4"/>
    <w:rsid w:val="00FC5632"/>
    <w:rsid w:val="00FC5C54"/>
    <w:rsid w:val="00FC61D8"/>
    <w:rsid w:val="00FC6229"/>
    <w:rsid w:val="00FC672E"/>
    <w:rsid w:val="00FC6B9E"/>
    <w:rsid w:val="00FC6F5C"/>
    <w:rsid w:val="00FC748E"/>
    <w:rsid w:val="00FC79F4"/>
    <w:rsid w:val="00FC7A14"/>
    <w:rsid w:val="00FC7B9F"/>
    <w:rsid w:val="00FC7C03"/>
    <w:rsid w:val="00FC7DA4"/>
    <w:rsid w:val="00FC7E21"/>
    <w:rsid w:val="00FD048C"/>
    <w:rsid w:val="00FD09CB"/>
    <w:rsid w:val="00FD1888"/>
    <w:rsid w:val="00FD1D3C"/>
    <w:rsid w:val="00FD2207"/>
    <w:rsid w:val="00FD264A"/>
    <w:rsid w:val="00FD282F"/>
    <w:rsid w:val="00FD2A6A"/>
    <w:rsid w:val="00FD2C21"/>
    <w:rsid w:val="00FD32A5"/>
    <w:rsid w:val="00FD35AC"/>
    <w:rsid w:val="00FD37B1"/>
    <w:rsid w:val="00FD3D03"/>
    <w:rsid w:val="00FD3D42"/>
    <w:rsid w:val="00FD419B"/>
    <w:rsid w:val="00FD477B"/>
    <w:rsid w:val="00FD48E9"/>
    <w:rsid w:val="00FD4C37"/>
    <w:rsid w:val="00FD5655"/>
    <w:rsid w:val="00FD5BEF"/>
    <w:rsid w:val="00FD5C3E"/>
    <w:rsid w:val="00FD5DC7"/>
    <w:rsid w:val="00FD5F17"/>
    <w:rsid w:val="00FD6533"/>
    <w:rsid w:val="00FD6972"/>
    <w:rsid w:val="00FD6B0E"/>
    <w:rsid w:val="00FD6B11"/>
    <w:rsid w:val="00FD6C7C"/>
    <w:rsid w:val="00FD6CF8"/>
    <w:rsid w:val="00FD6D4A"/>
    <w:rsid w:val="00FD6DC5"/>
    <w:rsid w:val="00FD6EDB"/>
    <w:rsid w:val="00FD75F6"/>
    <w:rsid w:val="00FD77D6"/>
    <w:rsid w:val="00FD7A00"/>
    <w:rsid w:val="00FD7B80"/>
    <w:rsid w:val="00FE051D"/>
    <w:rsid w:val="00FE058C"/>
    <w:rsid w:val="00FE0734"/>
    <w:rsid w:val="00FE07AD"/>
    <w:rsid w:val="00FE07C7"/>
    <w:rsid w:val="00FE0C1A"/>
    <w:rsid w:val="00FE0CC4"/>
    <w:rsid w:val="00FE1136"/>
    <w:rsid w:val="00FE143A"/>
    <w:rsid w:val="00FE2A4A"/>
    <w:rsid w:val="00FE2C07"/>
    <w:rsid w:val="00FE3051"/>
    <w:rsid w:val="00FE30CC"/>
    <w:rsid w:val="00FE3113"/>
    <w:rsid w:val="00FE3259"/>
    <w:rsid w:val="00FE33DD"/>
    <w:rsid w:val="00FE35AE"/>
    <w:rsid w:val="00FE371C"/>
    <w:rsid w:val="00FE37A3"/>
    <w:rsid w:val="00FE380C"/>
    <w:rsid w:val="00FE3A18"/>
    <w:rsid w:val="00FE4542"/>
    <w:rsid w:val="00FE48F0"/>
    <w:rsid w:val="00FE4B88"/>
    <w:rsid w:val="00FE4C48"/>
    <w:rsid w:val="00FE4DDC"/>
    <w:rsid w:val="00FE4ED4"/>
    <w:rsid w:val="00FE5188"/>
    <w:rsid w:val="00FE627E"/>
    <w:rsid w:val="00FE6395"/>
    <w:rsid w:val="00FE68B9"/>
    <w:rsid w:val="00FE6970"/>
    <w:rsid w:val="00FE6D59"/>
    <w:rsid w:val="00FE6DAE"/>
    <w:rsid w:val="00FE783E"/>
    <w:rsid w:val="00FF0134"/>
    <w:rsid w:val="00FF0344"/>
    <w:rsid w:val="00FF03D7"/>
    <w:rsid w:val="00FF048F"/>
    <w:rsid w:val="00FF083E"/>
    <w:rsid w:val="00FF0887"/>
    <w:rsid w:val="00FF0990"/>
    <w:rsid w:val="00FF09C7"/>
    <w:rsid w:val="00FF13FF"/>
    <w:rsid w:val="00FF1482"/>
    <w:rsid w:val="00FF1523"/>
    <w:rsid w:val="00FF15A4"/>
    <w:rsid w:val="00FF1F4E"/>
    <w:rsid w:val="00FF1FAF"/>
    <w:rsid w:val="00FF2437"/>
    <w:rsid w:val="00FF2EC3"/>
    <w:rsid w:val="00FF3490"/>
    <w:rsid w:val="00FF357B"/>
    <w:rsid w:val="00FF38A2"/>
    <w:rsid w:val="00FF3F87"/>
    <w:rsid w:val="00FF4364"/>
    <w:rsid w:val="00FF489F"/>
    <w:rsid w:val="00FF5104"/>
    <w:rsid w:val="00FF533C"/>
    <w:rsid w:val="00FF54A4"/>
    <w:rsid w:val="00FF5A2F"/>
    <w:rsid w:val="00FF6135"/>
    <w:rsid w:val="00FF62A5"/>
    <w:rsid w:val="00FF6302"/>
    <w:rsid w:val="00FF63D0"/>
    <w:rsid w:val="00FF63EE"/>
    <w:rsid w:val="00FF6B12"/>
    <w:rsid w:val="00FF6D06"/>
    <w:rsid w:val="00FF715B"/>
    <w:rsid w:val="00FF7190"/>
    <w:rsid w:val="00FF7600"/>
    <w:rsid w:val="00FF76BE"/>
    <w:rsid w:val="00FF77E0"/>
    <w:rsid w:val="00FF782F"/>
    <w:rsid w:val="00FF7AAE"/>
    <w:rsid w:val="00FF7E57"/>
    <w:rsid w:val="00FF7E9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fill="f" fillcolor="white">
      <v:fill color="white" on="f"/>
    </o:shapedefaults>
    <o:shapelayout v:ext="edit">
      <o:idmap v:ext="edit" data="1,2,8,72"/>
      <o:rules v:ext="edit">
        <o:r id="V:Rule262" type="connector" idref="#_x0000_s73887"/>
        <o:r id="V:Rule263" type="connector" idref="#_x0000_s2993"/>
        <o:r id="V:Rule264" type="connector" idref="#_x0000_s9182"/>
        <o:r id="V:Rule265" type="connector" idref="#_x0000_s73957"/>
        <o:r id="V:Rule266" type="connector" idref="#_x0000_s74487"/>
        <o:r id="V:Rule267" type="connector" idref="#_x0000_s2841"/>
        <o:r id="V:Rule268" type="connector" idref="#_x0000_s9185"/>
        <o:r id="V:Rule269" type="connector" idref="#_x0000_s2895"/>
        <o:r id="V:Rule270" type="connector" idref="#_x0000_s2989"/>
        <o:r id="V:Rule271" type="connector" idref="#_x0000_s74127"/>
        <o:r id="V:Rule272" type="connector" idref="#_x0000_s74011"/>
        <o:r id="V:Rule273" type="connector" idref="#_x0000_s73730"/>
        <o:r id="V:Rule274" type="connector" idref="#_x0000_s8401"/>
        <o:r id="V:Rule275" type="connector" idref="#_x0000_s74024"/>
        <o:r id="V:Rule276" type="connector" idref="#_x0000_s74488"/>
        <o:r id="V:Rule277" type="connector" idref="#_x0000_s9183"/>
        <o:r id="V:Rule278" type="connector" idref="#_x0000_s8472"/>
        <o:r id="V:Rule279" type="connector" idref="#_x0000_s73978"/>
        <o:r id="V:Rule280" type="connector" idref="#_x0000_s73922"/>
        <o:r id="V:Rule281" type="connector" idref="#_x0000_s73902"/>
        <o:r id="V:Rule282" type="connector" idref="#_x0000_s73998"/>
        <o:r id="V:Rule283" type="connector" idref="#_x0000_s8474"/>
        <o:r id="V:Rule284" type="connector" idref="#_x0000_s74049"/>
        <o:r id="V:Rule285" type="connector" idref="#_x0000_s2940"/>
        <o:r id="V:Rule286" type="connector" idref="#_x0000_s74540"/>
        <o:r id="V:Rule287" type="connector" idref="#_x0000_s2933"/>
        <o:r id="V:Rule288" type="connector" idref="#_x0000_s74036"/>
        <o:r id="V:Rule289" type="connector" idref="#_x0000_s2902"/>
        <o:r id="V:Rule290" type="connector" idref="#_x0000_s8411"/>
        <o:r id="V:Rule291" type="connector" idref="#_x0000_s74122"/>
        <o:r id="V:Rule292" type="connector" idref="#_x0000_s74105"/>
        <o:r id="V:Rule293" type="connector" idref="#_x0000_s73879"/>
        <o:r id="V:Rule294" type="connector" idref="#_x0000_s3013"/>
        <o:r id="V:Rule295" type="connector" idref="#_x0000_s8485"/>
        <o:r id="V:Rule296" type="connector" idref="#_x0000_s74032"/>
        <o:r id="V:Rule297" type="connector" idref="#_x0000_s2988"/>
        <o:r id="V:Rule298" type="connector" idref="#_x0000_s8420"/>
        <o:r id="V:Rule299" type="connector" idref="#_x0000_s2863"/>
        <o:r id="V:Rule300" type="connector" idref="#_x0000_s73986"/>
        <o:r id="V:Rule301" type="connector" idref="#_x0000_s2942"/>
        <o:r id="V:Rule302" type="connector" idref="#_x0000_s9092"/>
        <o:r id="V:Rule303" type="connector" idref="#_x0000_s3002"/>
        <o:r id="V:Rule304" type="connector" idref="#_x0000_s74034"/>
        <o:r id="V:Rule305" type="connector" idref="#_x0000_s73885"/>
        <o:r id="V:Rule306" type="connector" idref="#_x0000_s74022"/>
        <o:r id="V:Rule307" type="connector" idref="#_x0000_s2894"/>
        <o:r id="V:Rule308" type="connector" idref="#_x0000_s74104"/>
        <o:r id="V:Rule309" type="connector" idref="#_x0000_s74128"/>
        <o:r id="V:Rule310" type="connector" idref="#_x0000_s74492"/>
        <o:r id="V:Rule311" type="connector" idref="#_x0000_s2943"/>
        <o:r id="V:Rule312" type="connector" idref="#_x0000_s73931"/>
        <o:r id="V:Rule313" type="connector" idref="#_x0000_s73996"/>
        <o:r id="V:Rule314" type="connector" idref="#_x0000_s74145"/>
        <o:r id="V:Rule315" type="connector" idref="#_x0000_s2840"/>
        <o:r id="V:Rule316" type="connector" idref="#_x0000_s73918"/>
        <o:r id="V:Rule317" type="connector" idref="#_x0000_s2871"/>
        <o:r id="V:Rule318" type="connector" idref="#_x0000_s2870"/>
        <o:r id="V:Rule319" type="connector" idref="#_x0000_s2963"/>
        <o:r id="V:Rule320" type="connector" idref="#_x0000_s9184"/>
        <o:r id="V:Rule321" type="connector" idref="#_x0000_s8486"/>
        <o:r id="V:Rule322" type="connector" idref="#_x0000_s2818"/>
        <o:r id="V:Rule323" type="connector" idref="#_x0000_s2992"/>
        <o:r id="V:Rule324" type="connector" idref="#_x0000_s2965"/>
        <o:r id="V:Rule325" type="connector" idref="#_x0000_s3010"/>
        <o:r id="V:Rule326" type="connector" idref="#_x0000_s9089"/>
        <o:r id="V:Rule327" type="connector" idref="#_x0000_s9069"/>
        <o:r id="V:Rule328" type="connector" idref="#_x0000_s74542"/>
        <o:r id="V:Rule329" type="connector" idref="#_x0000_s8574"/>
        <o:r id="V:Rule330" type="connector" idref="#_x0000_s8419"/>
        <o:r id="V:Rule331" type="connector" idref="#_x0000_s73894"/>
        <o:r id="V:Rule332" type="connector" idref="#_x0000_s3005"/>
        <o:r id="V:Rule333" type="connector" idref="#_x0000_s74133"/>
        <o:r id="V:Rule334" type="connector" idref="#_x0000_s2872"/>
        <o:r id="V:Rule335" type="connector" idref="#_x0000_s74066"/>
        <o:r id="V:Rule336" type="connector" idref="#_x0000_s73956"/>
        <o:r id="V:Rule337" type="connector" idref="#_x0000_s74106"/>
        <o:r id="V:Rule338" type="connector" idref="#_x0000_s9215"/>
        <o:r id="V:Rule339" type="connector" idref="#_x0000_s73984"/>
        <o:r id="V:Rule340" type="connector" idref="#_x0000_s8475"/>
        <o:r id="V:Rule341" type="connector" idref="#_x0000_s8409"/>
        <o:r id="V:Rule342" type="connector" idref="#_x0000_s2861"/>
        <o:r id="V:Rule343" type="connector" idref="#_x0000_s2964"/>
        <o:r id="V:Rule344" type="connector" idref="#_x0000_s74099"/>
        <o:r id="V:Rule345" type="connector" idref="#_x0000_s73883"/>
        <o:r id="V:Rule346" type="connector" idref="#_x0000_s2867"/>
        <o:r id="V:Rule347" type="connector" idref="#_x0000_s8489"/>
        <o:r id="V:Rule348" type="connector" idref="#_x0000_s74107"/>
        <o:r id="V:Rule349" type="connector" idref="#_x0000_s73917"/>
        <o:r id="V:Rule350" type="connector" idref="#_x0000_s74052"/>
        <o:r id="V:Rule351" type="connector" idref="#_x0000_s2821"/>
        <o:r id="V:Rule352" type="connector" idref="#_x0000_s2820"/>
        <o:r id="V:Rule353" type="connector" idref="#_x0000_s8495"/>
        <o:r id="V:Rule354" type="connector" idref="#_x0000_s73999"/>
        <o:r id="V:Rule355" type="connector" idref="#_x0000_s2899"/>
        <o:r id="V:Rule356" type="connector" idref="#_x0000_s9159"/>
        <o:r id="V:Rule357" type="connector" idref="#_x0000_s2897"/>
        <o:r id="V:Rule358" type="connector" idref="#_x0000_s73928"/>
        <o:r id="V:Rule359" type="connector" idref="#_x0000_s3012"/>
        <o:r id="V:Rule360" type="connector" idref="#_x0000_s73916"/>
        <o:r id="V:Rule361" type="connector" idref="#_x0000_s2968"/>
        <o:r id="V:Rule362" type="connector" idref="#_x0000_s8406"/>
        <o:r id="V:Rule363" type="connector" idref="#_x0000_s8494"/>
        <o:r id="V:Rule364" type="connector" idref="#_x0000_s3003"/>
        <o:r id="V:Rule365" type="connector" idref="#_x0000_s2814"/>
        <o:r id="V:Rule366" type="connector" idref="#_x0000_s2932"/>
        <o:r id="V:Rule367" type="connector" idref="#_x0000_s8577"/>
        <o:r id="V:Rule368" type="connector" idref="#_x0000_s9198"/>
        <o:r id="V:Rule369" type="connector" idref="#_x0000_s73743"/>
        <o:r id="V:Rule370" type="connector" idref="#_x0000_s2826"/>
        <o:r id="V:Rule371" type="connector" idref="#_x0000_s8576"/>
        <o:r id="V:Rule372" type="connector" idref="#_x0000_s3019"/>
        <o:r id="V:Rule373" type="connector" idref="#_x0000_s74056"/>
        <o:r id="V:Rule374" type="connector" idref="#_x0000_s8487"/>
        <o:r id="V:Rule375" type="connector" idref="#_x0000_s9071"/>
        <o:r id="V:Rule376" type="connector" idref="#_x0000_s74028"/>
        <o:r id="V:Rule377" type="connector" idref="#_x0000_s2883"/>
        <o:r id="V:Rule378" type="connector" idref="#_x0000_s73987"/>
        <o:r id="V:Rule379" type="connector" idref="#_x0000_s8417"/>
        <o:r id="V:Rule380" type="connector" idref="#_x0000_s73892"/>
        <o:r id="V:Rule381" type="connector" idref="#_x0000_s8476"/>
        <o:r id="V:Rule382" type="connector" idref="#_x0000_s8402"/>
        <o:r id="V:Rule383" type="connector" idref="#_x0000_s73925"/>
        <o:r id="V:Rule384" type="connector" idref="#_x0000_s2865"/>
        <o:r id="V:Rule385" type="connector" idref="#_x0000_s2824"/>
        <o:r id="V:Rule386" type="connector" idref="#_x0000_s73878"/>
        <o:r id="V:Rule387" type="connector" idref="#_x0000_s8592"/>
        <o:r id="V:Rule388" type="connector" idref="#_x0000_s74021"/>
        <o:r id="V:Rule389" type="connector" idref="#_x0000_s3016"/>
        <o:r id="V:Rule390" type="connector" idref="#_x0000_s2828"/>
        <o:r id="V:Rule391" type="connector" idref="#_x0000_s73992"/>
        <o:r id="V:Rule392" type="connector" idref="#_x0000_s74149"/>
        <o:r id="V:Rule393" type="connector" idref="#_x0000_s74050"/>
        <o:r id="V:Rule394" type="connector" idref="#_x0000_s73889"/>
        <o:r id="V:Rule395" type="connector" idref="#_x0000_s8595"/>
        <o:r id="V:Rule396" type="connector" idref="#_x0000_s8493"/>
        <o:r id="V:Rule397" type="connector" idref="#_x0000_s73939"/>
        <o:r id="V:Rule398" type="connector" idref="#_x0000_s2991"/>
        <o:r id="V:Rule399" type="connector" idref="#_x0000_s8468"/>
        <o:r id="V:Rule400" type="connector" idref="#_x0000_s73955"/>
        <o:r id="V:Rule401" type="connector" idref="#_x0000_s8421"/>
        <o:r id="V:Rule402" type="connector" idref="#_x0000_s74037"/>
        <o:r id="V:Rule403" type="connector" idref="#_x0000_s8490"/>
        <o:r id="V:Rule404" type="connector" idref="#_x0000_s73933"/>
        <o:r id="V:Rule405" type="connector" idref="#_x0000_s73921"/>
        <o:r id="V:Rule406" type="connector" idref="#_x0000_s8471"/>
        <o:r id="V:Rule407" type="connector" idref="#_x0000_s2815"/>
        <o:r id="V:Rule408" type="connector" idref="#_x0000_s74061"/>
        <o:r id="V:Rule409" type="connector" idref="#_x0000_s8496"/>
        <o:r id="V:Rule410" type="connector" idref="#_x0000_s2819"/>
        <o:r id="V:Rule411" type="connector" idref="#_x0000_s2941"/>
        <o:r id="V:Rule412" type="connector" idref="#_x0000_s74539"/>
        <o:r id="V:Rule413" type="connector" idref="#_x0000_s74541"/>
        <o:r id="V:Rule414" type="connector" idref="#_x0000_s74124"/>
        <o:r id="V:Rule415" type="connector" idref="#_x0000_s8593"/>
        <o:r id="V:Rule416" type="connector" idref="#_x0000_s73920"/>
        <o:r id="V:Rule417" type="connector" idref="#_x0000_s2825"/>
        <o:r id="V:Rule418" type="connector" idref="#_x0000_s73952"/>
        <o:r id="V:Rule419" type="connector" idref="#_x0000_s8579"/>
        <o:r id="V:Rule420" type="connector" idref="#_x0000_s73997"/>
        <o:r id="V:Rule421" type="connector" idref="#_x0000_s2976"/>
        <o:r id="V:Rule422" type="connector" idref="#_x0000_s2816"/>
        <o:r id="V:Rule423" type="connector" idref="#_x0000_s9158"/>
        <o:r id="V:Rule424" type="connector" idref="#_x0000_s8473"/>
        <o:r id="V:Rule425" type="connector" idref="#_x0000_s74538"/>
        <o:r id="V:Rule426" type="connector" idref="#_x0000_s8407"/>
        <o:r id="V:Rule427" type="connector" idref="#_x0000_s2977"/>
        <o:r id="V:Rule428" type="connector" idref="#_x0000_s73903"/>
        <o:r id="V:Rule429" type="connector" idref="#_x0000_s2896"/>
        <o:r id="V:Rule430" type="connector" idref="#_x0000_s74513"/>
        <o:r id="V:Rule431" type="connector" idref="#_x0000_s8469"/>
        <o:r id="V:Rule432" type="connector" idref="#_x0000_s2836"/>
        <o:r id="V:Rule433" type="connector" idref="#_x0000_s74416"/>
        <o:r id="V:Rule434" type="connector" idref="#_x0000_s73940"/>
        <o:r id="V:Rule435" type="connector" idref="#_x0000_s2866"/>
        <o:r id="V:Rule436" type="connector" idref="#_x0000_s73971"/>
        <o:r id="V:Rule437" type="connector" idref="#_x0000_s74029"/>
        <o:r id="V:Rule438" type="connector" idref="#_x0000_s8426"/>
        <o:r id="V:Rule439" type="connector" idref="#_x0000_s2862"/>
        <o:r id="V:Rule440" type="connector" idref="#_x0000_s2864"/>
        <o:r id="V:Rule441" type="connector" idref="#_x0000_s73924"/>
        <o:r id="V:Rule442" type="connector" idref="#_x0000_s3018"/>
        <o:r id="V:Rule443" type="connector" idref="#_x0000_s74146"/>
        <o:r id="V:Rule444" type="connector" idref="#_x0000_s8491"/>
        <o:r id="V:Rule445" type="connector" idref="#_x0000_s8590"/>
        <o:r id="V:Rule446" type="connector" idref="#_x0000_s73994"/>
        <o:r id="V:Rule447" type="connector" idref="#_x0000_s2987"/>
        <o:r id="V:Rule448" type="connector" idref="#_x0000_s9186"/>
        <o:r id="V:Rule449" type="connector" idref="#_x0000_s8580"/>
        <o:r id="V:Rule450" type="connector" idref="#_x0000_s2979"/>
        <o:r id="V:Rule451" type="connector" idref="#_x0000_s8589"/>
        <o:r id="V:Rule452" type="connector" idref="#_x0000_s8400"/>
        <o:r id="V:Rule453" type="connector" idref="#_x0000_s8591"/>
        <o:r id="V:Rule454" type="connector" idref="#_x0000_s8412"/>
        <o:r id="V:Rule455" type="connector" idref="#_x0000_s74546"/>
        <o:r id="V:Rule456" type="connector" idref="#_x0000_s8478"/>
        <o:r id="V:Rule457" type="connector" idref="#_x0000_s73926"/>
        <o:r id="V:Rule458" type="connector" idref="#_x0000_s8427"/>
        <o:r id="V:Rule459" type="connector" idref="#_x0000_s74134"/>
        <o:r id="V:Rule460" type="connector" idref="#_x0000_s73930"/>
        <o:r id="V:Rule461" type="connector" idref="#_x0000_s8398"/>
        <o:r id="V:Rule462" type="connector" idref="#_x0000_s74100"/>
        <o:r id="V:Rule463" type="connector" idref="#_x0000_s74035"/>
        <o:r id="V:Rule464" type="connector" idref="#_x0000_s73888"/>
        <o:r id="V:Rule465" type="connector" idref="#_x0000_s2873"/>
        <o:r id="V:Rule466" type="connector" idref="#_x0000_s73910"/>
        <o:r id="V:Rule467" type="connector" idref="#_x0000_s8594"/>
        <o:r id="V:Rule468" type="connector" idref="#_x0000_s73877"/>
        <o:r id="V:Rule469" type="connector" idref="#_x0000_s8492"/>
        <o:r id="V:Rule470" type="connector" idref="#_x0000_s2978"/>
        <o:r id="V:Rule471" type="connector" idref="#_x0000_s3017"/>
        <o:r id="V:Rule472" type="connector" idref="#_x0000_s2966"/>
        <o:r id="V:Rule473" type="connector" idref="#_x0000_s8418"/>
        <o:r id="V:Rule474" type="connector" idref="#_x0000_s8488"/>
        <o:r id="V:Rule475" type="connector" idref="#_x0000_s74496"/>
        <o:r id="V:Rule476" type="connector" idref="#_x0000_s9090"/>
        <o:r id="V:Rule477" type="connector" idref="#_x0000_s8575"/>
        <o:r id="V:Rule478" type="connector" idref="#_x0000_s8425"/>
        <o:r id="V:Rule479" type="connector" idref="#_x0000_s73929"/>
        <o:r id="V:Rule480" type="connector" idref="#_x0000_s73742"/>
        <o:r id="V:Rule481" type="connector" idref="#_x0000_s73891"/>
        <o:r id="V:Rule482" type="connector" idref="#_x0000_s3011"/>
        <o:r id="V:Rule483" type="connector" idref="#_x0000_s8403"/>
        <o:r id="V:Rule484" type="connector" idref="#_x0000_s73932"/>
        <o:r id="V:Rule485" type="connector" idref="#_x0000_s73890"/>
        <o:r id="V:Rule486" type="connector" idref="#_x0000_s2879"/>
        <o:r id="V:Rule487" type="connector" idref="#_x0000_s8405"/>
        <o:r id="V:Rule488" type="connector" idref="#_x0000_s74008"/>
        <o:r id="V:Rule489" type="connector" idref="#_x0000_s2900"/>
        <o:r id="V:Rule490" type="connector" idref="#_x0000_s8428"/>
        <o:r id="V:Rule491" type="connector" idref="#_x0000_s2935"/>
        <o:r id="V:Rule492" type="connector" idref="#_x0000_s73988"/>
        <o:r id="V:Rule493" type="connector" idref="#_x0000_s74544"/>
        <o:r id="V:Rule494" type="connector" idref="#_x0000_s8470"/>
        <o:r id="V:Rule495" type="connector" idref="#_x0000_s74125"/>
        <o:r id="V:Rule496" type="connector" idref="#_x0000_s8578"/>
        <o:r id="V:Rule497" type="connector" idref="#_x0000_s2901"/>
        <o:r id="V:Rule498" type="connector" idref="#_x0000_s3004"/>
        <o:r id="V:Rule499" type="connector" idref="#_x0000_s73884"/>
        <o:r id="V:Rule500" type="connector" idref="#_x0000_s73881"/>
        <o:r id="V:Rule501" type="connector" idref="#_x0000_s2934"/>
        <o:r id="V:Rule502" type="connector" idref="#_x0000_s2994"/>
        <o:r id="V:Rule503" type="connector" idref="#_x0000_s74030"/>
        <o:r id="V:Rule504" type="connector" idref="#_x0000_s74126"/>
        <o:r id="V:Rule505" type="connector" idref="#_x0000_s73974"/>
        <o:r id="V:Rule506" type="connector" idref="#_x0000_s2986"/>
        <o:r id="V:Rule507" type="connector" idref="#_x0000_s74109"/>
        <o:r id="V:Rule508" type="connector" idref="#_x0000_s2817"/>
        <o:r id="V:Rule509" type="connector" idref="#_x0000_s73938"/>
        <o:r id="V:Rule510" type="connector" idref="#_x0000_s73982"/>
        <o:r id="V:Rule511" type="connector" idref="#_x0000_s8404"/>
        <o:r id="V:Rule512" type="connector" idref="#_x0000_s73893"/>
        <o:r id="V:Rule513" type="connector" idref="#_x0000_s8408"/>
        <o:r id="V:Rule514" type="connector" idref="#_x0000_s73975"/>
        <o:r id="V:Rule515" type="connector" idref="#_x0000_s2860"/>
        <o:r id="V:Rule516" type="connector" idref="#_x0000_s74144"/>
        <o:r id="V:Rule517" type="connector" idref="#_x0000_s74009"/>
        <o:r id="V:Rule518" type="connector" idref="#_x0000_s73886"/>
        <o:r id="V:Rule519" type="connector" idref="#_x0000_s74054"/>
        <o:r id="V:Rule520" type="connector" idref="#_x0000_s74023"/>
        <o:r id="V:Rule521" type="connector" idref="#_x0000_s74129"/>
        <o:r id="V:Rule522" type="connector" idref="#_x0000_s73880"/>
      </o:rules>
      <o:regrouptable v:ext="edit">
        <o:entry new="1" old="0"/>
        <o:entry new="2" old="0"/>
        <o:entry new="3" old="0"/>
        <o:entry new="4" old="0"/>
        <o:entry new="5" old="0"/>
        <o:entry new="6" old="0"/>
        <o:entry new="7" old="0"/>
        <o:entry new="8" old="0"/>
        <o:entry new="9" old="0"/>
        <o:entry new="10" old="0"/>
        <o:entry new="11" old="0"/>
        <o:entry new="12" old="0"/>
        <o:entry new="13" old="12"/>
        <o:entry new="14" old="0"/>
        <o:entry new="15" old="0"/>
        <o:entry new="16" old="0"/>
        <o:entry new="17" old="0"/>
        <o:entry new="18" old="0"/>
        <o:entry new="19" old="0"/>
        <o:entry new="20" old="0"/>
        <o:entry new="21" old="0"/>
        <o:entry new="22" old="21"/>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48"/>
        <o:entry new="50" old="0"/>
        <o:entry new="51" old="50"/>
        <o:entry new="52" old="0"/>
        <o:entry new="53" old="0"/>
        <o:entry new="54" old="0"/>
        <o:entry new="55" old="0"/>
        <o:entry new="56" old="0"/>
        <o:entry new="57" old="0"/>
        <o:entry new="58" old="57"/>
        <o:entry new="59" old="0"/>
        <o:entry new="60" old="0"/>
        <o:entry new="61" old="0"/>
        <o:entry new="62" old="0"/>
        <o:entry new="63" old="0"/>
        <o:entry new="64" old="0"/>
        <o:entry new="65" old="0"/>
        <o:entry new="66" old="65"/>
        <o:entry new="67" old="0"/>
        <o:entry new="68" old="0"/>
        <o:entry new="69" old="0"/>
        <o:entry new="70" old="69"/>
        <o:entry new="71" old="69"/>
        <o:entry new="72" old="69"/>
        <o:entry new="73" old="69"/>
        <o:entry new="74" old="0"/>
        <o:entry new="75" old="0"/>
        <o:entry new="76" old="0"/>
        <o:entry new="77" old="76"/>
        <o:entry new="78" old="0"/>
        <o:entry new="79" old="0"/>
        <o:entry new="80" old="0"/>
        <o:entry new="81" old="0"/>
        <o:entry new="82" old="0"/>
        <o:entry new="83" old="0"/>
        <o:entry new="84" old="0"/>
        <o:entry new="85" old="0"/>
        <o:entry new="86" old="0"/>
        <o:entry new="87" old="0"/>
        <o:entry new="88" old="0"/>
        <o:entry new="89" old="0"/>
        <o:entry new="90" old="0"/>
        <o:entry new="91" old="0"/>
        <o:entry new="92" old="91"/>
        <o:entry new="93" old="0"/>
        <o:entry new="94" old="0"/>
        <o:entry new="95" old="0"/>
        <o:entry new="97" old="0"/>
        <o:entry new="98" old="0"/>
        <o:entry new="99" old="0"/>
        <o:entry new="100" old="99"/>
        <o:entry new="101" old="0"/>
        <o:entry new="102" old="0"/>
        <o:entry new="103" old="0"/>
        <o:entry new="104" old="0"/>
        <o:entry new="105" old="0"/>
        <o:entry new="106" old="0"/>
        <o:entry new="107" old="0"/>
        <o:entry new="108" old="107"/>
        <o:entry new="109" old="0"/>
        <o:entry new="110" old="0"/>
        <o:entry new="111" old="110"/>
        <o:entry new="112" old="110"/>
        <o:entry new="113" old="0"/>
        <o:entry new="114" old="0"/>
        <o:entry new="115" old="0"/>
        <o:entry new="116" old="0"/>
        <o:entry new="117" old="0"/>
        <o:entry new="118" old="0"/>
        <o:entry new="119" old="118"/>
        <o:entry new="120" old="0"/>
        <o:entry new="121" old="0"/>
        <o:entry new="122" old="0"/>
        <o:entry new="123" old="0"/>
        <o:entry new="124" old="0"/>
        <o:entry new="125" old="0"/>
        <o:entry new="126" old="0"/>
        <o:entry new="12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C99"/>
    <w:rPr>
      <w:lang w:val="en-US"/>
    </w:rPr>
  </w:style>
  <w:style w:type="paragraph" w:styleId="Heading1">
    <w:name w:val="heading 1"/>
    <w:basedOn w:val="Normal"/>
    <w:next w:val="Normal"/>
    <w:qFormat/>
    <w:rsid w:val="00EA4066"/>
    <w:pPr>
      <w:keepNext/>
      <w:spacing w:before="240" w:after="60"/>
      <w:jc w:val="center"/>
      <w:outlineLvl w:val="0"/>
    </w:pPr>
    <w:rPr>
      <w:rFonts w:cs="Arial"/>
      <w:b/>
      <w:bCs/>
      <w:caps/>
      <w:kern w:val="32"/>
      <w:sz w:val="28"/>
      <w:szCs w:val="28"/>
      <w:lang w:eastAsia="en-US"/>
    </w:rPr>
  </w:style>
  <w:style w:type="paragraph" w:styleId="Heading2">
    <w:name w:val="heading 2"/>
    <w:basedOn w:val="Normal"/>
    <w:next w:val="Normal"/>
    <w:link w:val="Heading2Char"/>
    <w:uiPriority w:val="9"/>
    <w:unhideWhenUsed/>
    <w:qFormat/>
    <w:rsid w:val="008137C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qFormat/>
    <w:rsid w:val="000B5A2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0365B"/>
    <w:pPr>
      <w:tabs>
        <w:tab w:val="right" w:leader="dot" w:pos="8222"/>
      </w:tabs>
      <w:spacing w:line="360" w:lineRule="auto"/>
    </w:pPr>
    <w:rPr>
      <w:b/>
      <w:bCs/>
      <w:caps/>
    </w:rPr>
  </w:style>
  <w:style w:type="character" w:styleId="Hyperlink">
    <w:name w:val="Hyperlink"/>
    <w:basedOn w:val="DefaultParagraphFont"/>
    <w:uiPriority w:val="99"/>
    <w:rsid w:val="00C0175B"/>
    <w:rPr>
      <w:color w:val="0000FF"/>
      <w:u w:val="single"/>
    </w:rPr>
  </w:style>
  <w:style w:type="paragraph" w:styleId="Footer">
    <w:name w:val="footer"/>
    <w:basedOn w:val="Normal"/>
    <w:link w:val="FooterChar"/>
    <w:uiPriority w:val="99"/>
    <w:rsid w:val="00C0175B"/>
    <w:pPr>
      <w:tabs>
        <w:tab w:val="center" w:pos="4819"/>
        <w:tab w:val="right" w:pos="9638"/>
      </w:tabs>
    </w:pPr>
  </w:style>
  <w:style w:type="character" w:styleId="PageNumber">
    <w:name w:val="page number"/>
    <w:basedOn w:val="DefaultParagraphFont"/>
    <w:rsid w:val="00C0175B"/>
  </w:style>
  <w:style w:type="character" w:customStyle="1" w:styleId="terms">
    <w:name w:val="terms"/>
    <w:basedOn w:val="DefaultParagraphFont"/>
    <w:rsid w:val="00C0175B"/>
  </w:style>
  <w:style w:type="paragraph" w:styleId="Header">
    <w:name w:val="header"/>
    <w:basedOn w:val="Normal"/>
    <w:link w:val="HeaderChar"/>
    <w:uiPriority w:val="99"/>
    <w:rsid w:val="00C0175B"/>
    <w:pPr>
      <w:tabs>
        <w:tab w:val="center" w:pos="4819"/>
        <w:tab w:val="right" w:pos="9638"/>
      </w:tabs>
    </w:pPr>
  </w:style>
  <w:style w:type="character" w:styleId="HTMLCite">
    <w:name w:val="HTML Cite"/>
    <w:basedOn w:val="DefaultParagraphFont"/>
    <w:uiPriority w:val="99"/>
    <w:rsid w:val="00C0175B"/>
    <w:rPr>
      <w:i/>
      <w:iCs/>
    </w:rPr>
  </w:style>
  <w:style w:type="character" w:styleId="FollowedHyperlink">
    <w:name w:val="FollowedHyperlink"/>
    <w:basedOn w:val="DefaultParagraphFont"/>
    <w:rsid w:val="00C0175B"/>
    <w:rPr>
      <w:color w:val="800080"/>
      <w:u w:val="single"/>
    </w:rPr>
  </w:style>
  <w:style w:type="paragraph" w:customStyle="1" w:styleId="Normal-pr">
    <w:name w:val="Normal-pr"/>
    <w:basedOn w:val="Normal"/>
    <w:rsid w:val="00C0175B"/>
    <w:pPr>
      <w:jc w:val="both"/>
    </w:pPr>
    <w:rPr>
      <w:iCs/>
      <w:sz w:val="22"/>
      <w:lang w:val="lt-LT" w:eastAsia="en-US"/>
    </w:rPr>
  </w:style>
  <w:style w:type="paragraph" w:styleId="BodyTextIndent3">
    <w:name w:val="Body Text Indent 3"/>
    <w:basedOn w:val="Normal"/>
    <w:rsid w:val="00C0175B"/>
    <w:pPr>
      <w:ind w:firstLine="567"/>
      <w:jc w:val="both"/>
    </w:pPr>
    <w:rPr>
      <w:sz w:val="24"/>
      <w:szCs w:val="24"/>
      <w:lang w:val="tg-Cyrl-TJ" w:eastAsia="en-US"/>
    </w:rPr>
  </w:style>
  <w:style w:type="paragraph" w:styleId="BodyText">
    <w:name w:val="Body Text"/>
    <w:basedOn w:val="Normal"/>
    <w:rsid w:val="00C0175B"/>
    <w:pPr>
      <w:spacing w:after="120" w:line="360" w:lineRule="auto"/>
      <w:ind w:firstLine="357"/>
      <w:jc w:val="both"/>
    </w:pPr>
    <w:rPr>
      <w:sz w:val="24"/>
      <w:szCs w:val="24"/>
      <w:lang w:eastAsia="en-US"/>
    </w:rPr>
  </w:style>
  <w:style w:type="paragraph" w:styleId="TOC2">
    <w:name w:val="toc 2"/>
    <w:basedOn w:val="Normal"/>
    <w:next w:val="Normal"/>
    <w:autoRedefine/>
    <w:uiPriority w:val="39"/>
    <w:rsid w:val="008C07A7"/>
    <w:pPr>
      <w:tabs>
        <w:tab w:val="left" w:pos="800"/>
        <w:tab w:val="right" w:leader="dot" w:pos="8222"/>
      </w:tabs>
      <w:spacing w:line="360" w:lineRule="auto"/>
    </w:pPr>
    <w:rPr>
      <w:smallCaps/>
    </w:rPr>
  </w:style>
  <w:style w:type="paragraph" w:styleId="TOC3">
    <w:name w:val="toc 3"/>
    <w:basedOn w:val="Normal"/>
    <w:next w:val="Normal"/>
    <w:autoRedefine/>
    <w:uiPriority w:val="39"/>
    <w:rsid w:val="0060365B"/>
    <w:pPr>
      <w:tabs>
        <w:tab w:val="right" w:leader="dot" w:pos="8222"/>
      </w:tabs>
      <w:ind w:left="400"/>
    </w:pPr>
    <w:rPr>
      <w:i/>
      <w:iCs/>
    </w:rPr>
  </w:style>
  <w:style w:type="paragraph" w:styleId="TOC4">
    <w:name w:val="toc 4"/>
    <w:basedOn w:val="Normal"/>
    <w:next w:val="Normal"/>
    <w:autoRedefine/>
    <w:semiHidden/>
    <w:rsid w:val="00B94CB7"/>
    <w:pPr>
      <w:ind w:left="600"/>
    </w:pPr>
    <w:rPr>
      <w:sz w:val="18"/>
      <w:szCs w:val="18"/>
    </w:rPr>
  </w:style>
  <w:style w:type="paragraph" w:styleId="TOC5">
    <w:name w:val="toc 5"/>
    <w:basedOn w:val="Normal"/>
    <w:next w:val="Normal"/>
    <w:autoRedefine/>
    <w:semiHidden/>
    <w:rsid w:val="00B94CB7"/>
    <w:pPr>
      <w:ind w:left="800"/>
    </w:pPr>
    <w:rPr>
      <w:sz w:val="18"/>
      <w:szCs w:val="18"/>
    </w:rPr>
  </w:style>
  <w:style w:type="paragraph" w:styleId="TOC6">
    <w:name w:val="toc 6"/>
    <w:basedOn w:val="Normal"/>
    <w:next w:val="Normal"/>
    <w:autoRedefine/>
    <w:semiHidden/>
    <w:rsid w:val="00B94CB7"/>
    <w:pPr>
      <w:ind w:left="1000"/>
    </w:pPr>
    <w:rPr>
      <w:sz w:val="18"/>
      <w:szCs w:val="18"/>
    </w:rPr>
  </w:style>
  <w:style w:type="paragraph" w:styleId="TOC7">
    <w:name w:val="toc 7"/>
    <w:basedOn w:val="Normal"/>
    <w:next w:val="Normal"/>
    <w:autoRedefine/>
    <w:semiHidden/>
    <w:rsid w:val="00B94CB7"/>
    <w:pPr>
      <w:ind w:left="1200"/>
    </w:pPr>
    <w:rPr>
      <w:sz w:val="18"/>
      <w:szCs w:val="18"/>
    </w:rPr>
  </w:style>
  <w:style w:type="paragraph" w:styleId="TOC8">
    <w:name w:val="toc 8"/>
    <w:basedOn w:val="Normal"/>
    <w:next w:val="Normal"/>
    <w:autoRedefine/>
    <w:semiHidden/>
    <w:rsid w:val="00B94CB7"/>
    <w:pPr>
      <w:ind w:left="1400"/>
    </w:pPr>
    <w:rPr>
      <w:sz w:val="18"/>
      <w:szCs w:val="18"/>
    </w:rPr>
  </w:style>
  <w:style w:type="paragraph" w:styleId="TOC9">
    <w:name w:val="toc 9"/>
    <w:basedOn w:val="Normal"/>
    <w:next w:val="Normal"/>
    <w:autoRedefine/>
    <w:semiHidden/>
    <w:rsid w:val="00B94CB7"/>
    <w:pPr>
      <w:ind w:left="1600"/>
    </w:pPr>
    <w:rPr>
      <w:sz w:val="18"/>
      <w:szCs w:val="18"/>
    </w:rPr>
  </w:style>
  <w:style w:type="paragraph" w:styleId="BodyTextIndent">
    <w:name w:val="Body Text Indent"/>
    <w:basedOn w:val="Normal"/>
    <w:link w:val="BodyTextIndentChar"/>
    <w:rsid w:val="002E09A8"/>
    <w:pPr>
      <w:spacing w:after="120"/>
      <w:ind w:left="283"/>
    </w:pPr>
  </w:style>
  <w:style w:type="paragraph" w:styleId="BodyTextIndent2">
    <w:name w:val="Body Text Indent 2"/>
    <w:basedOn w:val="Normal"/>
    <w:rsid w:val="002E09A8"/>
    <w:pPr>
      <w:spacing w:after="120" w:line="480" w:lineRule="auto"/>
      <w:ind w:left="283"/>
    </w:pPr>
  </w:style>
  <w:style w:type="paragraph" w:styleId="NormalWeb">
    <w:name w:val="Normal (Web)"/>
    <w:basedOn w:val="Normal"/>
    <w:uiPriority w:val="99"/>
    <w:rsid w:val="00EA4066"/>
    <w:pPr>
      <w:spacing w:before="100" w:beforeAutospacing="1" w:after="100" w:afterAutospacing="1"/>
    </w:pPr>
    <w:rPr>
      <w:sz w:val="24"/>
      <w:szCs w:val="24"/>
      <w:lang w:eastAsia="en-US"/>
    </w:rPr>
  </w:style>
  <w:style w:type="table" w:styleId="TableGrid">
    <w:name w:val="Table Grid"/>
    <w:basedOn w:val="TableNormal"/>
    <w:rsid w:val="006A4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9724F"/>
    <w:pPr>
      <w:shd w:val="clear" w:color="auto" w:fill="000080"/>
    </w:pPr>
    <w:rPr>
      <w:rFonts w:ascii="Tahoma" w:hAnsi="Tahoma" w:cs="Tahoma"/>
    </w:rPr>
  </w:style>
  <w:style w:type="character" w:customStyle="1" w:styleId="a1">
    <w:name w:val="a1"/>
    <w:basedOn w:val="DefaultParagraphFont"/>
    <w:rsid w:val="00966EE4"/>
    <w:rPr>
      <w:color w:val="008000"/>
    </w:rPr>
  </w:style>
  <w:style w:type="paragraph" w:styleId="BalloonText">
    <w:name w:val="Balloon Text"/>
    <w:basedOn w:val="Normal"/>
    <w:link w:val="BalloonTextChar"/>
    <w:uiPriority w:val="99"/>
    <w:semiHidden/>
    <w:unhideWhenUsed/>
    <w:rsid w:val="0075739B"/>
    <w:rPr>
      <w:rFonts w:ascii="Tahoma" w:hAnsi="Tahoma" w:cs="Tahoma"/>
      <w:sz w:val="16"/>
      <w:szCs w:val="16"/>
    </w:rPr>
  </w:style>
  <w:style w:type="character" w:customStyle="1" w:styleId="BalloonTextChar">
    <w:name w:val="Balloon Text Char"/>
    <w:basedOn w:val="DefaultParagraphFont"/>
    <w:link w:val="BalloonText"/>
    <w:uiPriority w:val="99"/>
    <w:semiHidden/>
    <w:rsid w:val="0075739B"/>
    <w:rPr>
      <w:rFonts w:ascii="Tahoma" w:hAnsi="Tahoma" w:cs="Tahoma"/>
      <w:sz w:val="16"/>
      <w:szCs w:val="16"/>
      <w:lang w:val="en-US"/>
    </w:rPr>
  </w:style>
  <w:style w:type="character" w:styleId="PlaceholderText">
    <w:name w:val="Placeholder Text"/>
    <w:basedOn w:val="DefaultParagraphFont"/>
    <w:uiPriority w:val="99"/>
    <w:semiHidden/>
    <w:rsid w:val="000050F3"/>
    <w:rPr>
      <w:color w:val="808080"/>
    </w:rPr>
  </w:style>
  <w:style w:type="paragraph" w:styleId="ListParagraph">
    <w:name w:val="List Paragraph"/>
    <w:basedOn w:val="Normal"/>
    <w:uiPriority w:val="34"/>
    <w:qFormat/>
    <w:rsid w:val="00114A9B"/>
    <w:pPr>
      <w:ind w:left="720"/>
      <w:contextualSpacing/>
    </w:pPr>
  </w:style>
  <w:style w:type="character" w:customStyle="1" w:styleId="Heading2Char">
    <w:name w:val="Heading 2 Char"/>
    <w:basedOn w:val="DefaultParagraphFont"/>
    <w:link w:val="Heading2"/>
    <w:uiPriority w:val="9"/>
    <w:rsid w:val="008137CF"/>
    <w:rPr>
      <w:rFonts w:asciiTheme="majorHAnsi" w:eastAsiaTheme="majorEastAsia" w:hAnsiTheme="majorHAnsi" w:cstheme="majorBidi"/>
      <w:b/>
      <w:bCs/>
      <w:sz w:val="26"/>
      <w:szCs w:val="26"/>
      <w:lang w:val="en-US"/>
    </w:rPr>
  </w:style>
  <w:style w:type="character" w:customStyle="1" w:styleId="a">
    <w:name w:val="a"/>
    <w:basedOn w:val="DefaultParagraphFont"/>
    <w:rsid w:val="0054197A"/>
  </w:style>
  <w:style w:type="paragraph" w:styleId="EndnoteText">
    <w:name w:val="endnote text"/>
    <w:basedOn w:val="Normal"/>
    <w:link w:val="EndnoteTextChar"/>
    <w:uiPriority w:val="99"/>
    <w:semiHidden/>
    <w:unhideWhenUsed/>
    <w:rsid w:val="00E429EB"/>
  </w:style>
  <w:style w:type="character" w:customStyle="1" w:styleId="EndnoteTextChar">
    <w:name w:val="Endnote Text Char"/>
    <w:basedOn w:val="DefaultParagraphFont"/>
    <w:link w:val="EndnoteText"/>
    <w:uiPriority w:val="99"/>
    <w:semiHidden/>
    <w:rsid w:val="00E429EB"/>
    <w:rPr>
      <w:lang w:val="en-US"/>
    </w:rPr>
  </w:style>
  <w:style w:type="character" w:styleId="EndnoteReference">
    <w:name w:val="endnote reference"/>
    <w:basedOn w:val="DefaultParagraphFont"/>
    <w:uiPriority w:val="99"/>
    <w:semiHidden/>
    <w:unhideWhenUsed/>
    <w:rsid w:val="00E429EB"/>
    <w:rPr>
      <w:vertAlign w:val="superscript"/>
    </w:rPr>
  </w:style>
  <w:style w:type="paragraph" w:styleId="FootnoteText">
    <w:name w:val="footnote text"/>
    <w:basedOn w:val="Normal"/>
    <w:link w:val="FootnoteTextChar"/>
    <w:semiHidden/>
    <w:unhideWhenUsed/>
    <w:rsid w:val="00E429EB"/>
  </w:style>
  <w:style w:type="character" w:customStyle="1" w:styleId="FootnoteTextChar">
    <w:name w:val="Footnote Text Char"/>
    <w:basedOn w:val="DefaultParagraphFont"/>
    <w:link w:val="FootnoteText"/>
    <w:semiHidden/>
    <w:rsid w:val="00E429EB"/>
    <w:rPr>
      <w:lang w:val="en-US"/>
    </w:rPr>
  </w:style>
  <w:style w:type="character" w:styleId="FootnoteReference">
    <w:name w:val="footnote reference"/>
    <w:basedOn w:val="DefaultParagraphFont"/>
    <w:semiHidden/>
    <w:unhideWhenUsed/>
    <w:rsid w:val="00E429EB"/>
    <w:rPr>
      <w:vertAlign w:val="superscript"/>
    </w:rPr>
  </w:style>
  <w:style w:type="character" w:styleId="Emphasis">
    <w:name w:val="Emphasis"/>
    <w:basedOn w:val="DefaultParagraphFont"/>
    <w:uiPriority w:val="20"/>
    <w:qFormat/>
    <w:rsid w:val="00822094"/>
    <w:rPr>
      <w:b/>
      <w:bCs/>
      <w:i w:val="0"/>
      <w:iCs w:val="0"/>
    </w:rPr>
  </w:style>
  <w:style w:type="paragraph" w:customStyle="1" w:styleId="Note">
    <w:name w:val="Note"/>
    <w:basedOn w:val="BodyText"/>
    <w:rsid w:val="00A37797"/>
    <w:pPr>
      <w:spacing w:before="160" w:line="240" w:lineRule="auto"/>
      <w:ind w:left="720" w:hanging="720"/>
    </w:pPr>
    <w:rPr>
      <w:szCs w:val="20"/>
    </w:rPr>
  </w:style>
  <w:style w:type="paragraph" w:customStyle="1" w:styleId="Exhibit">
    <w:name w:val="Exhibit"/>
    <w:basedOn w:val="Normal"/>
    <w:rsid w:val="00310A6A"/>
    <w:pPr>
      <w:spacing w:before="120" w:after="60"/>
      <w:jc w:val="both"/>
    </w:pPr>
    <w:rPr>
      <w:i/>
      <w:sz w:val="24"/>
      <w:szCs w:val="24"/>
      <w:lang w:eastAsia="en-US"/>
    </w:rPr>
  </w:style>
  <w:style w:type="paragraph" w:styleId="HTMLPreformatted">
    <w:name w:val="HTML Preformatted"/>
    <w:basedOn w:val="Normal"/>
    <w:link w:val="HTMLPreformattedChar"/>
    <w:rsid w:val="00C4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character" w:customStyle="1" w:styleId="HTMLPreformattedChar">
    <w:name w:val="HTML Preformatted Char"/>
    <w:basedOn w:val="DefaultParagraphFont"/>
    <w:link w:val="HTMLPreformatted"/>
    <w:rsid w:val="00C42D57"/>
    <w:rPr>
      <w:rFonts w:ascii="Arial Unicode MS" w:eastAsia="Arial Unicode MS" w:hAnsi="Arial Unicode MS" w:cs="Arial Unicode MS"/>
      <w:lang w:val="en-US" w:eastAsia="en-US"/>
    </w:rPr>
  </w:style>
  <w:style w:type="character" w:customStyle="1" w:styleId="BodyTextIndentChar">
    <w:name w:val="Body Text Indent Char"/>
    <w:basedOn w:val="DefaultParagraphFont"/>
    <w:link w:val="BodyTextIndent"/>
    <w:rsid w:val="00A1264F"/>
    <w:rPr>
      <w:lang w:val="en-US"/>
    </w:rPr>
  </w:style>
  <w:style w:type="character" w:customStyle="1" w:styleId="HeaderChar">
    <w:name w:val="Header Char"/>
    <w:basedOn w:val="DefaultParagraphFont"/>
    <w:link w:val="Header"/>
    <w:uiPriority w:val="99"/>
    <w:rsid w:val="002809C1"/>
    <w:rPr>
      <w:lang w:val="en-US"/>
    </w:rPr>
  </w:style>
  <w:style w:type="character" w:customStyle="1" w:styleId="FooterChar">
    <w:name w:val="Footer Char"/>
    <w:basedOn w:val="DefaultParagraphFont"/>
    <w:link w:val="Footer"/>
    <w:uiPriority w:val="99"/>
    <w:rsid w:val="002809C1"/>
    <w:rPr>
      <w:lang w:val="en-US"/>
    </w:rPr>
  </w:style>
  <w:style w:type="character" w:customStyle="1" w:styleId="Heading3Char">
    <w:name w:val="Heading 3 Char"/>
    <w:basedOn w:val="DefaultParagraphFont"/>
    <w:link w:val="Heading3"/>
    <w:rsid w:val="002809C1"/>
    <w:rPr>
      <w:rFonts w:ascii="Arial" w:hAnsi="Arial" w:cs="Arial"/>
      <w:b/>
      <w:bCs/>
      <w:sz w:val="26"/>
      <w:szCs w:val="26"/>
      <w:lang w:val="en-US"/>
    </w:rPr>
  </w:style>
  <w:style w:type="paragraph" w:customStyle="1" w:styleId="NumberedParagraph">
    <w:name w:val="Numbered Paragraph"/>
    <w:basedOn w:val="Normal"/>
    <w:rsid w:val="002809C1"/>
    <w:pPr>
      <w:tabs>
        <w:tab w:val="right" w:pos="312"/>
        <w:tab w:val="left" w:pos="480"/>
      </w:tabs>
      <w:spacing w:line="240" w:lineRule="exact"/>
      <w:ind w:left="480" w:hanging="480"/>
      <w:jc w:val="both"/>
    </w:pPr>
    <w:rPr>
      <w:kern w:val="28"/>
      <w:lang w:eastAsia="en-US"/>
    </w:rPr>
  </w:style>
</w:styles>
</file>

<file path=word/webSettings.xml><?xml version="1.0" encoding="utf-8"?>
<w:webSettings xmlns:r="http://schemas.openxmlformats.org/officeDocument/2006/relationships" xmlns:w="http://schemas.openxmlformats.org/wordprocessingml/2006/main">
  <w:divs>
    <w:div w:id="223954399">
      <w:bodyDiv w:val="1"/>
      <w:marLeft w:val="0"/>
      <w:marRight w:val="0"/>
      <w:marTop w:val="0"/>
      <w:marBottom w:val="0"/>
      <w:divBdr>
        <w:top w:val="none" w:sz="0" w:space="0" w:color="auto"/>
        <w:left w:val="none" w:sz="0" w:space="0" w:color="auto"/>
        <w:bottom w:val="none" w:sz="0" w:space="0" w:color="auto"/>
        <w:right w:val="none" w:sz="0" w:space="0" w:color="auto"/>
      </w:divBdr>
    </w:div>
    <w:div w:id="414135477">
      <w:bodyDiv w:val="1"/>
      <w:marLeft w:val="0"/>
      <w:marRight w:val="0"/>
      <w:marTop w:val="0"/>
      <w:marBottom w:val="0"/>
      <w:divBdr>
        <w:top w:val="none" w:sz="0" w:space="0" w:color="auto"/>
        <w:left w:val="none" w:sz="0" w:space="0" w:color="auto"/>
        <w:bottom w:val="none" w:sz="0" w:space="0" w:color="auto"/>
        <w:right w:val="none" w:sz="0" w:space="0" w:color="auto"/>
      </w:divBdr>
    </w:div>
    <w:div w:id="415832257">
      <w:bodyDiv w:val="1"/>
      <w:marLeft w:val="0"/>
      <w:marRight w:val="0"/>
      <w:marTop w:val="0"/>
      <w:marBottom w:val="0"/>
      <w:divBdr>
        <w:top w:val="none" w:sz="0" w:space="0" w:color="auto"/>
        <w:left w:val="none" w:sz="0" w:space="0" w:color="auto"/>
        <w:bottom w:val="none" w:sz="0" w:space="0" w:color="auto"/>
        <w:right w:val="none" w:sz="0" w:space="0" w:color="auto"/>
      </w:divBdr>
    </w:div>
    <w:div w:id="434639919">
      <w:bodyDiv w:val="1"/>
      <w:marLeft w:val="0"/>
      <w:marRight w:val="0"/>
      <w:marTop w:val="0"/>
      <w:marBottom w:val="0"/>
      <w:divBdr>
        <w:top w:val="none" w:sz="0" w:space="0" w:color="auto"/>
        <w:left w:val="none" w:sz="0" w:space="0" w:color="auto"/>
        <w:bottom w:val="none" w:sz="0" w:space="0" w:color="auto"/>
        <w:right w:val="none" w:sz="0" w:space="0" w:color="auto"/>
      </w:divBdr>
      <w:divsChild>
        <w:div w:id="454837053">
          <w:marLeft w:val="0"/>
          <w:marRight w:val="0"/>
          <w:marTop w:val="0"/>
          <w:marBottom w:val="0"/>
          <w:divBdr>
            <w:top w:val="none" w:sz="0" w:space="0" w:color="auto"/>
            <w:left w:val="none" w:sz="0" w:space="0" w:color="auto"/>
            <w:bottom w:val="none" w:sz="0" w:space="0" w:color="auto"/>
            <w:right w:val="none" w:sz="0" w:space="0" w:color="auto"/>
          </w:divBdr>
          <w:divsChild>
            <w:div w:id="665327371">
              <w:marLeft w:val="0"/>
              <w:marRight w:val="0"/>
              <w:marTop w:val="0"/>
              <w:marBottom w:val="0"/>
              <w:divBdr>
                <w:top w:val="none" w:sz="0" w:space="0" w:color="auto"/>
                <w:left w:val="none" w:sz="0" w:space="0" w:color="auto"/>
                <w:bottom w:val="none" w:sz="0" w:space="0" w:color="auto"/>
                <w:right w:val="none" w:sz="0" w:space="0" w:color="auto"/>
              </w:divBdr>
              <w:divsChild>
                <w:div w:id="48505659">
                  <w:marLeft w:val="0"/>
                  <w:marRight w:val="0"/>
                  <w:marTop w:val="0"/>
                  <w:marBottom w:val="0"/>
                  <w:divBdr>
                    <w:top w:val="none" w:sz="0" w:space="0" w:color="auto"/>
                    <w:left w:val="none" w:sz="0" w:space="0" w:color="auto"/>
                    <w:bottom w:val="none" w:sz="0" w:space="0" w:color="auto"/>
                    <w:right w:val="none" w:sz="0" w:space="0" w:color="auto"/>
                  </w:divBdr>
                  <w:divsChild>
                    <w:div w:id="1079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39586">
      <w:bodyDiv w:val="1"/>
      <w:marLeft w:val="0"/>
      <w:marRight w:val="0"/>
      <w:marTop w:val="0"/>
      <w:marBottom w:val="0"/>
      <w:divBdr>
        <w:top w:val="none" w:sz="0" w:space="0" w:color="auto"/>
        <w:left w:val="none" w:sz="0" w:space="0" w:color="auto"/>
        <w:bottom w:val="none" w:sz="0" w:space="0" w:color="auto"/>
        <w:right w:val="none" w:sz="0" w:space="0" w:color="auto"/>
      </w:divBdr>
      <w:divsChild>
        <w:div w:id="1866747957">
          <w:marLeft w:val="0"/>
          <w:marRight w:val="0"/>
          <w:marTop w:val="0"/>
          <w:marBottom w:val="0"/>
          <w:divBdr>
            <w:top w:val="none" w:sz="0" w:space="0" w:color="auto"/>
            <w:left w:val="none" w:sz="0" w:space="0" w:color="auto"/>
            <w:bottom w:val="none" w:sz="0" w:space="0" w:color="auto"/>
            <w:right w:val="none" w:sz="0" w:space="0" w:color="auto"/>
          </w:divBdr>
          <w:divsChild>
            <w:div w:id="1261645977">
              <w:marLeft w:val="288"/>
              <w:marRight w:val="0"/>
              <w:marTop w:val="120"/>
              <w:marBottom w:val="0"/>
              <w:divBdr>
                <w:top w:val="none" w:sz="0" w:space="0" w:color="auto"/>
                <w:left w:val="none" w:sz="0" w:space="0" w:color="auto"/>
                <w:bottom w:val="none" w:sz="0" w:space="0" w:color="auto"/>
                <w:right w:val="none" w:sz="0" w:space="0" w:color="auto"/>
              </w:divBdr>
            </w:div>
          </w:divsChild>
        </w:div>
      </w:divsChild>
    </w:div>
    <w:div w:id="975718080">
      <w:bodyDiv w:val="1"/>
      <w:marLeft w:val="225"/>
      <w:marRight w:val="225"/>
      <w:marTop w:val="0"/>
      <w:marBottom w:val="0"/>
      <w:divBdr>
        <w:top w:val="none" w:sz="0" w:space="0" w:color="auto"/>
        <w:left w:val="none" w:sz="0" w:space="0" w:color="auto"/>
        <w:bottom w:val="none" w:sz="0" w:space="0" w:color="auto"/>
        <w:right w:val="none" w:sz="0" w:space="0" w:color="auto"/>
      </w:divBdr>
      <w:divsChild>
        <w:div w:id="1885822203">
          <w:marLeft w:val="0"/>
          <w:marRight w:val="0"/>
          <w:marTop w:val="0"/>
          <w:marBottom w:val="0"/>
          <w:divBdr>
            <w:top w:val="none" w:sz="0" w:space="0" w:color="auto"/>
            <w:left w:val="none" w:sz="0" w:space="0" w:color="auto"/>
            <w:bottom w:val="none" w:sz="0" w:space="0" w:color="auto"/>
            <w:right w:val="none" w:sz="0" w:space="0" w:color="auto"/>
          </w:divBdr>
        </w:div>
      </w:divsChild>
    </w:div>
    <w:div w:id="1305697437">
      <w:bodyDiv w:val="1"/>
      <w:marLeft w:val="92"/>
      <w:marRight w:val="92"/>
      <w:marTop w:val="35"/>
      <w:marBottom w:val="35"/>
      <w:divBdr>
        <w:top w:val="none" w:sz="0" w:space="0" w:color="auto"/>
        <w:left w:val="none" w:sz="0" w:space="0" w:color="auto"/>
        <w:bottom w:val="none" w:sz="0" w:space="0" w:color="auto"/>
        <w:right w:val="none" w:sz="0" w:space="0" w:color="auto"/>
      </w:divBdr>
      <w:divsChild>
        <w:div w:id="1811022123">
          <w:marLeft w:val="0"/>
          <w:marRight w:val="0"/>
          <w:marTop w:val="0"/>
          <w:marBottom w:val="0"/>
          <w:divBdr>
            <w:top w:val="none" w:sz="0" w:space="0" w:color="auto"/>
            <w:left w:val="none" w:sz="0" w:space="0" w:color="auto"/>
            <w:bottom w:val="none" w:sz="0" w:space="0" w:color="auto"/>
            <w:right w:val="none" w:sz="0" w:space="0" w:color="auto"/>
          </w:divBdr>
          <w:divsChild>
            <w:div w:id="2315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605">
      <w:bodyDiv w:val="1"/>
      <w:marLeft w:val="0"/>
      <w:marRight w:val="0"/>
      <w:marTop w:val="0"/>
      <w:marBottom w:val="0"/>
      <w:divBdr>
        <w:top w:val="none" w:sz="0" w:space="0" w:color="auto"/>
        <w:left w:val="none" w:sz="0" w:space="0" w:color="auto"/>
        <w:bottom w:val="none" w:sz="0" w:space="0" w:color="auto"/>
        <w:right w:val="none" w:sz="0" w:space="0" w:color="auto"/>
      </w:divBdr>
    </w:div>
    <w:div w:id="1978753197">
      <w:bodyDiv w:val="1"/>
      <w:marLeft w:val="0"/>
      <w:marRight w:val="0"/>
      <w:marTop w:val="0"/>
      <w:marBottom w:val="0"/>
      <w:divBdr>
        <w:top w:val="none" w:sz="0" w:space="0" w:color="auto"/>
        <w:left w:val="none" w:sz="0" w:space="0" w:color="auto"/>
        <w:bottom w:val="none" w:sz="0" w:space="0" w:color="auto"/>
        <w:right w:val="none" w:sz="0" w:space="0" w:color="auto"/>
      </w:divBdr>
    </w:div>
    <w:div w:id="2146384885">
      <w:bodyDiv w:val="1"/>
      <w:marLeft w:val="0"/>
      <w:marRight w:val="0"/>
      <w:marTop w:val="0"/>
      <w:marBottom w:val="0"/>
      <w:divBdr>
        <w:top w:val="none" w:sz="0" w:space="0" w:color="auto"/>
        <w:left w:val="none" w:sz="0" w:space="0" w:color="auto"/>
        <w:bottom w:val="none" w:sz="0" w:space="0" w:color="auto"/>
        <w:right w:val="none" w:sz="0" w:space="0" w:color="auto"/>
      </w:divBdr>
      <w:divsChild>
        <w:div w:id="112066570">
          <w:marLeft w:val="0"/>
          <w:marRight w:val="0"/>
          <w:marTop w:val="0"/>
          <w:marBottom w:val="0"/>
          <w:divBdr>
            <w:top w:val="none" w:sz="0" w:space="0" w:color="auto"/>
            <w:left w:val="none" w:sz="0" w:space="0" w:color="auto"/>
            <w:bottom w:val="none" w:sz="0" w:space="0" w:color="auto"/>
            <w:right w:val="none" w:sz="0" w:space="0" w:color="auto"/>
          </w:divBdr>
          <w:divsChild>
            <w:div w:id="1204252727">
              <w:marLeft w:val="0"/>
              <w:marRight w:val="0"/>
              <w:marTop w:val="0"/>
              <w:marBottom w:val="0"/>
              <w:divBdr>
                <w:top w:val="none" w:sz="0" w:space="0" w:color="auto"/>
                <w:left w:val="none" w:sz="0" w:space="0" w:color="auto"/>
                <w:bottom w:val="none" w:sz="0" w:space="0" w:color="auto"/>
                <w:right w:val="none" w:sz="0" w:space="0" w:color="auto"/>
              </w:divBdr>
              <w:divsChild>
                <w:div w:id="154688770">
                  <w:marLeft w:val="0"/>
                  <w:marRight w:val="0"/>
                  <w:marTop w:val="0"/>
                  <w:marBottom w:val="0"/>
                  <w:divBdr>
                    <w:top w:val="none" w:sz="0" w:space="0" w:color="auto"/>
                    <w:left w:val="none" w:sz="0" w:space="0" w:color="auto"/>
                    <w:bottom w:val="none" w:sz="0" w:space="0" w:color="auto"/>
                    <w:right w:val="none" w:sz="0" w:space="0" w:color="auto"/>
                  </w:divBdr>
                  <w:divsChild>
                    <w:div w:id="2390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oleObject" Target="embeddings/oleObject4.bin"/><Relationship Id="rId26" Type="http://schemas.openxmlformats.org/officeDocument/2006/relationships/hyperlink" Target="http://www.stir.ac.uk/Departments/Management/Accountancy/stfpages/beattie/auditrisk.pdf" TargetMode="External"/><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brema.net/abrema/" TargetMode="External"/><Relationship Id="rId17" Type="http://schemas.openxmlformats.org/officeDocument/2006/relationships/image" Target="media/image4.wmf"/><Relationship Id="rId25" Type="http://schemas.openxmlformats.org/officeDocument/2006/relationships/chart" Target="charts/chart4.xml"/><Relationship Id="rId33" Type="http://schemas.openxmlformats.org/officeDocument/2006/relationships/image" Target="media/image9.png"/><Relationship Id="rId38"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3.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hart" Target="charts/chart2.xml"/><Relationship Id="rId28" Type="http://schemas.openxmlformats.org/officeDocument/2006/relationships/footer" Target="footer3.xml"/><Relationship Id="rId36" Type="http://schemas.openxmlformats.org/officeDocument/2006/relationships/image" Target="media/image12.png"/><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hyperlink" Target="http://www.abrema.net/abrema/" TargetMode="External"/><Relationship Id="rId30" Type="http://schemas.openxmlformats.org/officeDocument/2006/relationships/image" Target="media/image6.png"/><Relationship Id="rId35"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file:///C:\RITOS\AUDITO%20RIZIKA\Audito%20rizika\doktorantura\daktarinis\Anketa\Anketos_audito_rizik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RITOS\AUDITO%20RIZIKA\Audito%20rizika\doktorantura\daktarinis\Anketa\Anketos_audito_rizik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RITOS\AUDITO%20RIZIKA\Audito%20rizika\doktorantura\daktarinis\Anketa\Anketos_audito_rizik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RITOS\AUDITO%20RIZIKA\Audito%20rizika\doktorantura\daktarinis\Anketa\Anketos_audito_rizik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
          <c:y val="1.9630120450598101E-2"/>
          <c:w val="0.92336818642714757"/>
          <c:h val="0.36326366891897482"/>
        </c:manualLayout>
      </c:layout>
      <c:barChart>
        <c:barDir val="col"/>
        <c:grouping val="clustered"/>
        <c:ser>
          <c:idx val="1"/>
          <c:order val="0"/>
          <c:dPt>
            <c:idx val="5"/>
            <c:spPr>
              <a:solidFill>
                <a:schemeClr val="accent5">
                  <a:lumMod val="75000"/>
                </a:schemeClr>
              </a:solidFill>
            </c:spPr>
          </c:dPt>
          <c:dPt>
            <c:idx val="6"/>
            <c:spPr>
              <a:solidFill>
                <a:schemeClr val="accent5">
                  <a:lumMod val="75000"/>
                </a:schemeClr>
              </a:solidFill>
            </c:spPr>
          </c:dPt>
          <c:dPt>
            <c:idx val="7"/>
            <c:spPr>
              <a:solidFill>
                <a:schemeClr val="accent5">
                  <a:lumMod val="75000"/>
                </a:schemeClr>
              </a:solidFill>
            </c:spPr>
          </c:dPt>
          <c:dPt>
            <c:idx val="8"/>
            <c:spPr>
              <a:solidFill>
                <a:schemeClr val="accent5">
                  <a:lumMod val="75000"/>
                </a:schemeClr>
              </a:solidFill>
            </c:spPr>
          </c:dPt>
          <c:dPt>
            <c:idx val="9"/>
            <c:spPr>
              <a:solidFill>
                <a:schemeClr val="accent5">
                  <a:lumMod val="75000"/>
                </a:schemeClr>
              </a:solidFill>
            </c:spPr>
          </c:dPt>
          <c:dLbls>
            <c:txPr>
              <a:bodyPr/>
              <a:lstStyle/>
              <a:p>
                <a:pPr>
                  <a:defRPr lang="lt-LT" b="1"/>
                </a:pPr>
                <a:endParaRPr lang="lt-LT"/>
              </a:p>
            </c:txPr>
            <c:showVal val="1"/>
          </c:dLbls>
          <c:cat>
            <c:multiLvlStrRef>
              <c:f>Sheet2!$A$6:$B$15</c:f>
              <c:multiLvlStrCache>
                <c:ptCount val="10"/>
                <c:lvl>
                  <c:pt idx="0">
                    <c:v>patirties ir žinių stoka</c:v>
                  </c:pt>
                  <c:pt idx="1">
                    <c:v>neaiškūs audito standartų reikalavimai</c:v>
                  </c:pt>
                  <c:pt idx="2">
                    <c:v>tinkamos audito atlikimo metodikos neturėjimas</c:v>
                  </c:pt>
                  <c:pt idx="3">
                    <c:v>audito rizikos kaip reiškinio vertinimo sunkumai</c:v>
                  </c:pt>
                  <c:pt idx="4">
                    <c:v>audituojamos įmonės verslo supratimo sudėtingumas</c:v>
                  </c:pt>
                  <c:pt idx="5">
                    <c:v> sunku surinkti audito įrodymus </c:v>
                  </c:pt>
                  <c:pt idx="6">
                    <c:v>apsprendžia labai daug veiksnių</c:v>
                  </c:pt>
                  <c:pt idx="7">
                    <c:v> audituojamos įmonės verslo aplinkos neapibrėžtumas</c:v>
                  </c:pt>
                  <c:pt idx="8">
                    <c:v> audituojamos įmonės vidaus kontrolės sistema nėra paprasta</c:v>
                  </c:pt>
                  <c:pt idx="9">
                    <c:v> patirties ir žinių stoka  kaip vertinti</c:v>
                  </c:pt>
                </c:lvl>
                <c:lvl>
                  <c:pt idx="0">
                    <c:v>Audito rizikos vertinimas</c:v>
                  </c:pt>
                  <c:pt idx="5">
                    <c:v>Reikšmingo iškraipymo rizikų vertinimas</c:v>
                  </c:pt>
                </c:lvl>
              </c:multiLvlStrCache>
            </c:multiLvlStrRef>
          </c:cat>
          <c:val>
            <c:numRef>
              <c:f>Sheet2!$D$6:$D$15</c:f>
              <c:numCache>
                <c:formatCode>0.0%</c:formatCode>
                <c:ptCount val="10"/>
                <c:pt idx="0">
                  <c:v>0.16666666666666666</c:v>
                </c:pt>
                <c:pt idx="1">
                  <c:v>0.33333333333333331</c:v>
                </c:pt>
                <c:pt idx="2">
                  <c:v>0.25</c:v>
                </c:pt>
                <c:pt idx="3">
                  <c:v>0.66666666666666663</c:v>
                </c:pt>
                <c:pt idx="4">
                  <c:v>0.66666666666666663</c:v>
                </c:pt>
                <c:pt idx="5">
                  <c:v>8.3333333333333343E-2</c:v>
                </c:pt>
                <c:pt idx="6">
                  <c:v>0.75000000000001465</c:v>
                </c:pt>
                <c:pt idx="7">
                  <c:v>0.58333333333333337</c:v>
                </c:pt>
                <c:pt idx="8">
                  <c:v>0.75000000000001465</c:v>
                </c:pt>
                <c:pt idx="9">
                  <c:v>0.25</c:v>
                </c:pt>
              </c:numCache>
            </c:numRef>
          </c:val>
        </c:ser>
        <c:gapWidth val="78"/>
        <c:axId val="138254592"/>
        <c:axId val="138256384"/>
      </c:barChart>
      <c:catAx>
        <c:axId val="138254592"/>
        <c:scaling>
          <c:orientation val="minMax"/>
        </c:scaling>
        <c:axPos val="b"/>
        <c:tickLblPos val="nextTo"/>
        <c:txPr>
          <a:bodyPr/>
          <a:lstStyle/>
          <a:p>
            <a:pPr>
              <a:defRPr lang="lt-LT" b="1"/>
            </a:pPr>
            <a:endParaRPr lang="lt-LT"/>
          </a:p>
        </c:txPr>
        <c:crossAx val="138256384"/>
        <c:crosses val="autoZero"/>
        <c:auto val="1"/>
        <c:lblAlgn val="ctr"/>
        <c:lblOffset val="100"/>
      </c:catAx>
      <c:valAx>
        <c:axId val="138256384"/>
        <c:scaling>
          <c:orientation val="minMax"/>
        </c:scaling>
        <c:delete val="1"/>
        <c:axPos val="l"/>
        <c:numFmt formatCode="0.0%" sourceLinked="1"/>
        <c:tickLblPos val="nextTo"/>
        <c:crossAx val="138254592"/>
        <c:crosses val="autoZero"/>
        <c:crossBetween val="between"/>
      </c:valAx>
      <c:spPr>
        <a:noFill/>
        <a:ln w="25400">
          <a:no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2.8184281842818387E-2"/>
          <c:y val="3.0240629921259851E-2"/>
          <c:w val="0.95230352303523036"/>
          <c:h val="0.37027702465026935"/>
        </c:manualLayout>
      </c:layout>
      <c:barChart>
        <c:barDir val="col"/>
        <c:grouping val="clustered"/>
        <c:ser>
          <c:idx val="0"/>
          <c:order val="0"/>
          <c:dPt>
            <c:idx val="5"/>
            <c:spPr>
              <a:solidFill>
                <a:srgbClr val="FFC000"/>
              </a:solidFill>
            </c:spPr>
          </c:dPt>
          <c:dPt>
            <c:idx val="6"/>
            <c:spPr>
              <a:solidFill>
                <a:srgbClr val="FFC000"/>
              </a:solidFill>
            </c:spPr>
          </c:dPt>
          <c:dPt>
            <c:idx val="7"/>
            <c:spPr>
              <a:solidFill>
                <a:srgbClr val="FFC000"/>
              </a:solidFill>
            </c:spPr>
          </c:dPt>
          <c:dPt>
            <c:idx val="8"/>
            <c:spPr>
              <a:solidFill>
                <a:srgbClr val="FFC000"/>
              </a:solidFill>
            </c:spPr>
          </c:dPt>
          <c:dPt>
            <c:idx val="9"/>
            <c:spPr>
              <a:solidFill>
                <a:srgbClr val="FFC000"/>
              </a:solidFill>
            </c:spPr>
          </c:dPt>
          <c:dPt>
            <c:idx val="10"/>
            <c:spPr>
              <a:solidFill>
                <a:srgbClr val="FFC000"/>
              </a:solidFill>
            </c:spPr>
          </c:dPt>
          <c:dLbls>
            <c:txPr>
              <a:bodyPr/>
              <a:lstStyle/>
              <a:p>
                <a:pPr>
                  <a:defRPr lang="lt-LT" b="1"/>
                </a:pPr>
                <a:endParaRPr lang="lt-LT"/>
              </a:p>
            </c:txPr>
            <c:showVal val="1"/>
          </c:dLbls>
          <c:cat>
            <c:multiLvlStrRef>
              <c:f>Sheet3!$A$7:$B$18</c:f>
              <c:multiLvlStrCache>
                <c:ptCount val="12"/>
                <c:lvl>
                  <c:pt idx="0">
                    <c:v>lengvai pritaikomas įvertinant audito riziką</c:v>
                  </c:pt>
                  <c:pt idx="1">
                    <c:v>tinkamas planuojant auditą</c:v>
                  </c:pt>
                  <c:pt idx="2">
                    <c:v>struktūra labai aiški</c:v>
                  </c:pt>
                  <c:pt idx="3">
                    <c:v>atskleidžia svarbiausius audito rizikos vertinimo aspektus</c:v>
                  </c:pt>
                  <c:pt idx="4">
                    <c:v> įtraukia visus audito rizikos komponentus</c:v>
                  </c:pt>
                  <c:pt idx="5">
                    <c:v> sunku pritaikyti praktiškai</c:v>
                  </c:pt>
                  <c:pt idx="6">
                    <c:v>sunku kiekybiškai įvertinti audito rizikos komponentus</c:v>
                  </c:pt>
                  <c:pt idx="7">
                    <c:v>neišsamus (neapima visų audito rizikos komponentų)</c:v>
                  </c:pt>
                  <c:pt idx="8">
                    <c:v>teisingai neatspindi audito rizikos komponentų priklausomybės</c:v>
                  </c:pt>
                  <c:pt idx="9">
                    <c:v>neparodo audito rizikos vertinimo eigos</c:v>
                  </c:pt>
                  <c:pt idx="10">
                    <c:v>neatsižvelgia į kitus veiksnius lemiančius audito riziką</c:v>
                  </c:pt>
                  <c:pt idx="11">
                    <c:v>nepriimtini veikimo principai</c:v>
                  </c:pt>
                </c:lvl>
                <c:lvl>
                  <c:pt idx="0">
                    <c:v>Privalumai</c:v>
                  </c:pt>
                  <c:pt idx="5">
                    <c:v>Trūkumai</c:v>
                  </c:pt>
                </c:lvl>
              </c:multiLvlStrCache>
            </c:multiLvlStrRef>
          </c:cat>
          <c:val>
            <c:numRef>
              <c:f>Sheet3!$D$7:$D$18</c:f>
              <c:numCache>
                <c:formatCode>0.0%</c:formatCode>
                <c:ptCount val="12"/>
                <c:pt idx="0">
                  <c:v>0.2352941176470589</c:v>
                </c:pt>
                <c:pt idx="1">
                  <c:v>0.76470588235296866</c:v>
                </c:pt>
                <c:pt idx="2">
                  <c:v>0.2352941176470589</c:v>
                </c:pt>
                <c:pt idx="3">
                  <c:v>0.35294117647058826</c:v>
                </c:pt>
                <c:pt idx="4">
                  <c:v>0.47058823529413496</c:v>
                </c:pt>
                <c:pt idx="5">
                  <c:v>0.66666666666666663</c:v>
                </c:pt>
                <c:pt idx="6">
                  <c:v>1</c:v>
                </c:pt>
                <c:pt idx="7">
                  <c:v>0.33333333333333331</c:v>
                </c:pt>
                <c:pt idx="8">
                  <c:v>0.66666666666666663</c:v>
                </c:pt>
                <c:pt idx="9">
                  <c:v>0.33333333333333331</c:v>
                </c:pt>
                <c:pt idx="10">
                  <c:v>0.66666666666666663</c:v>
                </c:pt>
                <c:pt idx="11">
                  <c:v>0</c:v>
                </c:pt>
              </c:numCache>
            </c:numRef>
          </c:val>
        </c:ser>
        <c:axId val="138274304"/>
        <c:axId val="138275840"/>
      </c:barChart>
      <c:catAx>
        <c:axId val="138274304"/>
        <c:scaling>
          <c:orientation val="minMax"/>
        </c:scaling>
        <c:axPos val="b"/>
        <c:tickLblPos val="nextTo"/>
        <c:txPr>
          <a:bodyPr/>
          <a:lstStyle/>
          <a:p>
            <a:pPr>
              <a:defRPr lang="lt-LT" b="1"/>
            </a:pPr>
            <a:endParaRPr lang="lt-LT"/>
          </a:p>
        </c:txPr>
        <c:crossAx val="138275840"/>
        <c:crosses val="autoZero"/>
        <c:auto val="1"/>
        <c:lblAlgn val="ctr"/>
        <c:lblOffset val="100"/>
      </c:catAx>
      <c:valAx>
        <c:axId val="138275840"/>
        <c:scaling>
          <c:orientation val="minMax"/>
        </c:scaling>
        <c:delete val="1"/>
        <c:axPos val="l"/>
        <c:numFmt formatCode="0.0%" sourceLinked="1"/>
        <c:tickLblPos val="nextTo"/>
        <c:crossAx val="138274304"/>
        <c:crosses val="autoZero"/>
        <c:crossBetween val="between"/>
      </c:valAx>
      <c:spPr>
        <a:noFill/>
        <a:ln w="25400">
          <a:noFill/>
        </a:ln>
      </c:spPr>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dPt>
            <c:idx val="0"/>
            <c:spPr>
              <a:solidFill>
                <a:srgbClr val="FFC000"/>
              </a:solidFill>
            </c:spPr>
          </c:dPt>
          <c:dPt>
            <c:idx val="1"/>
            <c:spPr>
              <a:solidFill>
                <a:srgbClr val="FFC000"/>
              </a:solidFill>
            </c:spPr>
          </c:dPt>
          <c:dPt>
            <c:idx val="2"/>
            <c:spPr>
              <a:solidFill>
                <a:srgbClr val="FFC000"/>
              </a:solidFill>
            </c:spPr>
          </c:dPt>
          <c:dPt>
            <c:idx val="3"/>
            <c:spPr>
              <a:solidFill>
                <a:srgbClr val="FFC000"/>
              </a:solidFill>
            </c:spPr>
          </c:dPt>
          <c:dPt>
            <c:idx val="4"/>
            <c:spPr>
              <a:solidFill>
                <a:srgbClr val="92D050"/>
              </a:solidFill>
            </c:spPr>
          </c:dPt>
          <c:dPt>
            <c:idx val="5"/>
            <c:spPr>
              <a:solidFill>
                <a:srgbClr val="92D050"/>
              </a:solidFill>
            </c:spPr>
          </c:dPt>
          <c:dPt>
            <c:idx val="6"/>
            <c:spPr>
              <a:solidFill>
                <a:srgbClr val="92D050"/>
              </a:solidFill>
            </c:spPr>
          </c:dPt>
          <c:dPt>
            <c:idx val="7"/>
            <c:spPr>
              <a:solidFill>
                <a:srgbClr val="92D050"/>
              </a:solidFill>
            </c:spPr>
          </c:dPt>
          <c:dLbls>
            <c:txPr>
              <a:bodyPr/>
              <a:lstStyle/>
              <a:p>
                <a:pPr>
                  <a:defRPr lang="lt-LT" b="1"/>
                </a:pPr>
                <a:endParaRPr lang="lt-LT"/>
              </a:p>
            </c:txPr>
            <c:showVal val="1"/>
          </c:dLbls>
          <c:cat>
            <c:multiLvlStrRef>
              <c:f>Sheet5!$A$9:$B$16</c:f>
              <c:multiLvlStrCache>
                <c:ptCount val="8"/>
                <c:lvl>
                  <c:pt idx="0">
                    <c:v> susipažinimas su klientu</c:v>
                  </c:pt>
                  <c:pt idx="1">
                    <c:v> audito planavimas</c:v>
                  </c:pt>
                  <c:pt idx="2">
                    <c:v> kontrolės tyrimas/detalus tikrinimas</c:v>
                  </c:pt>
                  <c:pt idx="3">
                    <c:v> nuomonės formulavimas</c:v>
                  </c:pt>
                  <c:pt idx="4">
                    <c:v> susipažinimas su klientu</c:v>
                  </c:pt>
                  <c:pt idx="5">
                    <c:v> audito planavimas</c:v>
                  </c:pt>
                  <c:pt idx="6">
                    <c:v> kontrolės tyrimas/detalus tikrinimas</c:v>
                  </c:pt>
                  <c:pt idx="7">
                    <c:v> nuomonės formulavimas</c:v>
                  </c:pt>
                </c:lvl>
                <c:lvl>
                  <c:pt idx="0">
                    <c:v>Reikšmingo iškraipymo rizikos</c:v>
                  </c:pt>
                  <c:pt idx="4">
                    <c:v>Aptikimo rizika</c:v>
                  </c:pt>
                </c:lvl>
              </c:multiLvlStrCache>
            </c:multiLvlStrRef>
          </c:cat>
          <c:val>
            <c:numRef>
              <c:f>Sheet5!$D$9:$D$16</c:f>
              <c:numCache>
                <c:formatCode>0.0%</c:formatCode>
                <c:ptCount val="8"/>
                <c:pt idx="0">
                  <c:v>0.76190476190476186</c:v>
                </c:pt>
                <c:pt idx="1">
                  <c:v>0.95238095238095233</c:v>
                </c:pt>
                <c:pt idx="2">
                  <c:v>0.95238095238095233</c:v>
                </c:pt>
                <c:pt idx="3">
                  <c:v>0.71428571428571463</c:v>
                </c:pt>
                <c:pt idx="4">
                  <c:v>0.4</c:v>
                </c:pt>
                <c:pt idx="5">
                  <c:v>0.8</c:v>
                </c:pt>
                <c:pt idx="6">
                  <c:v>0.93333333333333335</c:v>
                </c:pt>
                <c:pt idx="7">
                  <c:v>0.66666666666666663</c:v>
                </c:pt>
              </c:numCache>
            </c:numRef>
          </c:val>
        </c:ser>
        <c:axId val="88651264"/>
        <c:axId val="88652800"/>
      </c:barChart>
      <c:catAx>
        <c:axId val="88651264"/>
        <c:scaling>
          <c:orientation val="minMax"/>
        </c:scaling>
        <c:axPos val="b"/>
        <c:tickLblPos val="nextTo"/>
        <c:txPr>
          <a:bodyPr/>
          <a:lstStyle/>
          <a:p>
            <a:pPr>
              <a:defRPr lang="lt-LT" b="1"/>
            </a:pPr>
            <a:endParaRPr lang="lt-LT"/>
          </a:p>
        </c:txPr>
        <c:crossAx val="88652800"/>
        <c:crosses val="autoZero"/>
        <c:auto val="1"/>
        <c:lblAlgn val="ctr"/>
        <c:lblOffset val="100"/>
      </c:catAx>
      <c:valAx>
        <c:axId val="88652800"/>
        <c:scaling>
          <c:orientation val="minMax"/>
        </c:scaling>
        <c:delete val="1"/>
        <c:axPos val="l"/>
        <c:numFmt formatCode="0.0%" sourceLinked="1"/>
        <c:tickLblPos val="nextTo"/>
        <c:crossAx val="88651264"/>
        <c:crosses val="autoZero"/>
        <c:crossBetween val="between"/>
      </c:valAx>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2.4774774774774896E-2"/>
          <c:y val="1.9950124688279728E-2"/>
          <c:w val="0.93918918918918914"/>
          <c:h val="0.47969786819041632"/>
        </c:manualLayout>
      </c:layout>
      <c:barChart>
        <c:barDir val="col"/>
        <c:grouping val="clustered"/>
        <c:ser>
          <c:idx val="0"/>
          <c:order val="0"/>
          <c:dLbls>
            <c:txPr>
              <a:bodyPr/>
              <a:lstStyle/>
              <a:p>
                <a:pPr>
                  <a:defRPr lang="lt-LT" b="1"/>
                </a:pPr>
                <a:endParaRPr lang="lt-LT"/>
              </a:p>
            </c:txPr>
            <c:showVal val="1"/>
          </c:dLbls>
          <c:cat>
            <c:strRef>
              <c:f>Sheet6!$B$7:$B$11</c:f>
              <c:strCache>
                <c:ptCount val="5"/>
                <c:pt idx="0">
                  <c:v> auditoriaus užduoties rizika </c:v>
                </c:pt>
                <c:pt idx="1">
                  <c:v> auditoriaus profesinės etikos, įskaitant nepriklausomumo rizika</c:v>
                </c:pt>
                <c:pt idx="2">
                  <c:v> audituojamos įmonės verslo rizika</c:v>
                </c:pt>
                <c:pt idx="3">
                  <c:v> reikšmingo iškraipymo rizikos, pasireiškiančios dėl klaidos ir dėl apgaulės</c:v>
                </c:pt>
                <c:pt idx="4">
                  <c:v> aptikimo rizika dėl atrankos ir ne dėl atrankos taikymo</c:v>
                </c:pt>
              </c:strCache>
            </c:strRef>
          </c:cat>
          <c:val>
            <c:numRef>
              <c:f>Sheet6!$D$7:$D$11</c:f>
              <c:numCache>
                <c:formatCode>0.0%</c:formatCode>
                <c:ptCount val="5"/>
                <c:pt idx="0">
                  <c:v>0.125</c:v>
                </c:pt>
                <c:pt idx="1">
                  <c:v>0.31250000000000427</c:v>
                </c:pt>
                <c:pt idx="2">
                  <c:v>0.87500000000000866</c:v>
                </c:pt>
                <c:pt idx="3">
                  <c:v>0.87500000000000866</c:v>
                </c:pt>
                <c:pt idx="4">
                  <c:v>0.5</c:v>
                </c:pt>
              </c:numCache>
            </c:numRef>
          </c:val>
        </c:ser>
        <c:axId val="88664320"/>
        <c:axId val="136765440"/>
      </c:barChart>
      <c:catAx>
        <c:axId val="88664320"/>
        <c:scaling>
          <c:orientation val="minMax"/>
        </c:scaling>
        <c:axPos val="b"/>
        <c:numFmt formatCode="General" sourceLinked="1"/>
        <c:tickLblPos val="nextTo"/>
        <c:txPr>
          <a:bodyPr rot="-5400000" vert="horz"/>
          <a:lstStyle/>
          <a:p>
            <a:pPr>
              <a:defRPr lang="lt-LT" b="1"/>
            </a:pPr>
            <a:endParaRPr lang="lt-LT"/>
          </a:p>
        </c:txPr>
        <c:crossAx val="136765440"/>
        <c:crosses val="autoZero"/>
        <c:auto val="1"/>
        <c:lblAlgn val="ctr"/>
        <c:lblOffset val="100"/>
      </c:catAx>
      <c:valAx>
        <c:axId val="136765440"/>
        <c:scaling>
          <c:orientation val="minMax"/>
        </c:scaling>
        <c:delete val="1"/>
        <c:axPos val="l"/>
        <c:numFmt formatCode="0.0%" sourceLinked="1"/>
        <c:tickLblPos val="nextTo"/>
        <c:crossAx val="88664320"/>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7FCD-AC0F-4562-8042-C50603F0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320699</Words>
  <Characters>182799</Characters>
  <Application>Microsoft Office Word</Application>
  <DocSecurity>0</DocSecurity>
  <Lines>1523</Lines>
  <Paragraphs>1004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Audito rizikos apibūdinimas ir reikšmė</vt:lpstr>
      <vt:lpstr>Audito rizikos apibūdinimas ir reikšmė</vt:lpstr>
    </vt:vector>
  </TitlesOfParts>
  <Company>SmiLe</Company>
  <LinksUpToDate>false</LinksUpToDate>
  <CharactersWithSpaces>502494</CharactersWithSpaces>
  <SharedDoc>false</SharedDoc>
  <HLinks>
    <vt:vector size="216" baseType="variant">
      <vt:variant>
        <vt:i4>6488107</vt:i4>
      </vt:variant>
      <vt:variant>
        <vt:i4>207</vt:i4>
      </vt:variant>
      <vt:variant>
        <vt:i4>0</vt:i4>
      </vt:variant>
      <vt:variant>
        <vt:i4>5</vt:i4>
      </vt:variant>
      <vt:variant>
        <vt:lpwstr>http://www.aicpa.org/pubs/jofa/sep2000/prac-aud.htm</vt:lpwstr>
      </vt:variant>
      <vt:variant>
        <vt:lpwstr/>
      </vt:variant>
      <vt:variant>
        <vt:i4>5701714</vt:i4>
      </vt:variant>
      <vt:variant>
        <vt:i4>204</vt:i4>
      </vt:variant>
      <vt:variant>
        <vt:i4>0</vt:i4>
      </vt:variant>
      <vt:variant>
        <vt:i4>5</vt:i4>
      </vt:variant>
      <vt:variant>
        <vt:lpwstr>http://www.abrema.net/abrema/</vt:lpwstr>
      </vt:variant>
      <vt:variant>
        <vt:lpwstr/>
      </vt:variant>
      <vt:variant>
        <vt:i4>6488107</vt:i4>
      </vt:variant>
      <vt:variant>
        <vt:i4>201</vt:i4>
      </vt:variant>
      <vt:variant>
        <vt:i4>0</vt:i4>
      </vt:variant>
      <vt:variant>
        <vt:i4>5</vt:i4>
      </vt:variant>
      <vt:variant>
        <vt:lpwstr>http://www.aicpa.org/pubs/jofa/sep2000/prac-aud.htm</vt:lpwstr>
      </vt:variant>
      <vt:variant>
        <vt:lpwstr/>
      </vt:variant>
      <vt:variant>
        <vt:i4>3539042</vt:i4>
      </vt:variant>
      <vt:variant>
        <vt:i4>198</vt:i4>
      </vt:variant>
      <vt:variant>
        <vt:i4>0</vt:i4>
      </vt:variant>
      <vt:variant>
        <vt:i4>5</vt:i4>
      </vt:variant>
      <vt:variant>
        <vt:lpwstr>http://www.stir.ac.uk/Departments/Management/Accountancy/stfpages/beattie/auditrisk.pdf</vt:lpwstr>
      </vt:variant>
      <vt:variant>
        <vt:lpwstr/>
      </vt:variant>
      <vt:variant>
        <vt:i4>5701714</vt:i4>
      </vt:variant>
      <vt:variant>
        <vt:i4>192</vt:i4>
      </vt:variant>
      <vt:variant>
        <vt:i4>0</vt:i4>
      </vt:variant>
      <vt:variant>
        <vt:i4>5</vt:i4>
      </vt:variant>
      <vt:variant>
        <vt:lpwstr>http://www.abrema.net/abrema/</vt:lpwstr>
      </vt:variant>
      <vt:variant>
        <vt:lpwstr/>
      </vt:variant>
      <vt:variant>
        <vt:i4>1376309</vt:i4>
      </vt:variant>
      <vt:variant>
        <vt:i4>170</vt:i4>
      </vt:variant>
      <vt:variant>
        <vt:i4>0</vt:i4>
      </vt:variant>
      <vt:variant>
        <vt:i4>5</vt:i4>
      </vt:variant>
      <vt:variant>
        <vt:lpwstr/>
      </vt:variant>
      <vt:variant>
        <vt:lpwstr>_Toc209787628</vt:lpwstr>
      </vt:variant>
      <vt:variant>
        <vt:i4>1376309</vt:i4>
      </vt:variant>
      <vt:variant>
        <vt:i4>164</vt:i4>
      </vt:variant>
      <vt:variant>
        <vt:i4>0</vt:i4>
      </vt:variant>
      <vt:variant>
        <vt:i4>5</vt:i4>
      </vt:variant>
      <vt:variant>
        <vt:lpwstr/>
      </vt:variant>
      <vt:variant>
        <vt:lpwstr>_Toc209787627</vt:lpwstr>
      </vt:variant>
      <vt:variant>
        <vt:i4>1376309</vt:i4>
      </vt:variant>
      <vt:variant>
        <vt:i4>158</vt:i4>
      </vt:variant>
      <vt:variant>
        <vt:i4>0</vt:i4>
      </vt:variant>
      <vt:variant>
        <vt:i4>5</vt:i4>
      </vt:variant>
      <vt:variant>
        <vt:lpwstr/>
      </vt:variant>
      <vt:variant>
        <vt:lpwstr>_Toc209787626</vt:lpwstr>
      </vt:variant>
      <vt:variant>
        <vt:i4>1376309</vt:i4>
      </vt:variant>
      <vt:variant>
        <vt:i4>152</vt:i4>
      </vt:variant>
      <vt:variant>
        <vt:i4>0</vt:i4>
      </vt:variant>
      <vt:variant>
        <vt:i4>5</vt:i4>
      </vt:variant>
      <vt:variant>
        <vt:lpwstr/>
      </vt:variant>
      <vt:variant>
        <vt:lpwstr>_Toc209787625</vt:lpwstr>
      </vt:variant>
      <vt:variant>
        <vt:i4>1376309</vt:i4>
      </vt:variant>
      <vt:variant>
        <vt:i4>146</vt:i4>
      </vt:variant>
      <vt:variant>
        <vt:i4>0</vt:i4>
      </vt:variant>
      <vt:variant>
        <vt:i4>5</vt:i4>
      </vt:variant>
      <vt:variant>
        <vt:lpwstr/>
      </vt:variant>
      <vt:variant>
        <vt:lpwstr>_Toc209787624</vt:lpwstr>
      </vt:variant>
      <vt:variant>
        <vt:i4>1376309</vt:i4>
      </vt:variant>
      <vt:variant>
        <vt:i4>140</vt:i4>
      </vt:variant>
      <vt:variant>
        <vt:i4>0</vt:i4>
      </vt:variant>
      <vt:variant>
        <vt:i4>5</vt:i4>
      </vt:variant>
      <vt:variant>
        <vt:lpwstr/>
      </vt:variant>
      <vt:variant>
        <vt:lpwstr>_Toc209787623</vt:lpwstr>
      </vt:variant>
      <vt:variant>
        <vt:i4>1376309</vt:i4>
      </vt:variant>
      <vt:variant>
        <vt:i4>134</vt:i4>
      </vt:variant>
      <vt:variant>
        <vt:i4>0</vt:i4>
      </vt:variant>
      <vt:variant>
        <vt:i4>5</vt:i4>
      </vt:variant>
      <vt:variant>
        <vt:lpwstr/>
      </vt:variant>
      <vt:variant>
        <vt:lpwstr>_Toc209787622</vt:lpwstr>
      </vt:variant>
      <vt:variant>
        <vt:i4>1376309</vt:i4>
      </vt:variant>
      <vt:variant>
        <vt:i4>128</vt:i4>
      </vt:variant>
      <vt:variant>
        <vt:i4>0</vt:i4>
      </vt:variant>
      <vt:variant>
        <vt:i4>5</vt:i4>
      </vt:variant>
      <vt:variant>
        <vt:lpwstr/>
      </vt:variant>
      <vt:variant>
        <vt:lpwstr>_Toc209787621</vt:lpwstr>
      </vt:variant>
      <vt:variant>
        <vt:i4>1376309</vt:i4>
      </vt:variant>
      <vt:variant>
        <vt:i4>122</vt:i4>
      </vt:variant>
      <vt:variant>
        <vt:i4>0</vt:i4>
      </vt:variant>
      <vt:variant>
        <vt:i4>5</vt:i4>
      </vt:variant>
      <vt:variant>
        <vt:lpwstr/>
      </vt:variant>
      <vt:variant>
        <vt:lpwstr>_Toc209787620</vt:lpwstr>
      </vt:variant>
      <vt:variant>
        <vt:i4>1441845</vt:i4>
      </vt:variant>
      <vt:variant>
        <vt:i4>116</vt:i4>
      </vt:variant>
      <vt:variant>
        <vt:i4>0</vt:i4>
      </vt:variant>
      <vt:variant>
        <vt:i4>5</vt:i4>
      </vt:variant>
      <vt:variant>
        <vt:lpwstr/>
      </vt:variant>
      <vt:variant>
        <vt:lpwstr>_Toc209787619</vt:lpwstr>
      </vt:variant>
      <vt:variant>
        <vt:i4>1441845</vt:i4>
      </vt:variant>
      <vt:variant>
        <vt:i4>110</vt:i4>
      </vt:variant>
      <vt:variant>
        <vt:i4>0</vt:i4>
      </vt:variant>
      <vt:variant>
        <vt:i4>5</vt:i4>
      </vt:variant>
      <vt:variant>
        <vt:lpwstr/>
      </vt:variant>
      <vt:variant>
        <vt:lpwstr>_Toc209787618</vt:lpwstr>
      </vt:variant>
      <vt:variant>
        <vt:i4>1441845</vt:i4>
      </vt:variant>
      <vt:variant>
        <vt:i4>104</vt:i4>
      </vt:variant>
      <vt:variant>
        <vt:i4>0</vt:i4>
      </vt:variant>
      <vt:variant>
        <vt:i4>5</vt:i4>
      </vt:variant>
      <vt:variant>
        <vt:lpwstr/>
      </vt:variant>
      <vt:variant>
        <vt:lpwstr>_Toc209787617</vt:lpwstr>
      </vt:variant>
      <vt:variant>
        <vt:i4>1441845</vt:i4>
      </vt:variant>
      <vt:variant>
        <vt:i4>98</vt:i4>
      </vt:variant>
      <vt:variant>
        <vt:i4>0</vt:i4>
      </vt:variant>
      <vt:variant>
        <vt:i4>5</vt:i4>
      </vt:variant>
      <vt:variant>
        <vt:lpwstr/>
      </vt:variant>
      <vt:variant>
        <vt:lpwstr>_Toc209787616</vt:lpwstr>
      </vt:variant>
      <vt:variant>
        <vt:i4>1441845</vt:i4>
      </vt:variant>
      <vt:variant>
        <vt:i4>92</vt:i4>
      </vt:variant>
      <vt:variant>
        <vt:i4>0</vt:i4>
      </vt:variant>
      <vt:variant>
        <vt:i4>5</vt:i4>
      </vt:variant>
      <vt:variant>
        <vt:lpwstr/>
      </vt:variant>
      <vt:variant>
        <vt:lpwstr>_Toc209787615</vt:lpwstr>
      </vt:variant>
      <vt:variant>
        <vt:i4>1441845</vt:i4>
      </vt:variant>
      <vt:variant>
        <vt:i4>86</vt:i4>
      </vt:variant>
      <vt:variant>
        <vt:i4>0</vt:i4>
      </vt:variant>
      <vt:variant>
        <vt:i4>5</vt:i4>
      </vt:variant>
      <vt:variant>
        <vt:lpwstr/>
      </vt:variant>
      <vt:variant>
        <vt:lpwstr>_Toc209787614</vt:lpwstr>
      </vt:variant>
      <vt:variant>
        <vt:i4>1441845</vt:i4>
      </vt:variant>
      <vt:variant>
        <vt:i4>80</vt:i4>
      </vt:variant>
      <vt:variant>
        <vt:i4>0</vt:i4>
      </vt:variant>
      <vt:variant>
        <vt:i4>5</vt:i4>
      </vt:variant>
      <vt:variant>
        <vt:lpwstr/>
      </vt:variant>
      <vt:variant>
        <vt:lpwstr>_Toc209787613</vt:lpwstr>
      </vt:variant>
      <vt:variant>
        <vt:i4>1441845</vt:i4>
      </vt:variant>
      <vt:variant>
        <vt:i4>74</vt:i4>
      </vt:variant>
      <vt:variant>
        <vt:i4>0</vt:i4>
      </vt:variant>
      <vt:variant>
        <vt:i4>5</vt:i4>
      </vt:variant>
      <vt:variant>
        <vt:lpwstr/>
      </vt:variant>
      <vt:variant>
        <vt:lpwstr>_Toc209787612</vt:lpwstr>
      </vt:variant>
      <vt:variant>
        <vt:i4>1441845</vt:i4>
      </vt:variant>
      <vt:variant>
        <vt:i4>68</vt:i4>
      </vt:variant>
      <vt:variant>
        <vt:i4>0</vt:i4>
      </vt:variant>
      <vt:variant>
        <vt:i4>5</vt:i4>
      </vt:variant>
      <vt:variant>
        <vt:lpwstr/>
      </vt:variant>
      <vt:variant>
        <vt:lpwstr>_Toc209787611</vt:lpwstr>
      </vt:variant>
      <vt:variant>
        <vt:i4>1441845</vt:i4>
      </vt:variant>
      <vt:variant>
        <vt:i4>62</vt:i4>
      </vt:variant>
      <vt:variant>
        <vt:i4>0</vt:i4>
      </vt:variant>
      <vt:variant>
        <vt:i4>5</vt:i4>
      </vt:variant>
      <vt:variant>
        <vt:lpwstr/>
      </vt:variant>
      <vt:variant>
        <vt:lpwstr>_Toc209787610</vt:lpwstr>
      </vt:variant>
      <vt:variant>
        <vt:i4>1507381</vt:i4>
      </vt:variant>
      <vt:variant>
        <vt:i4>56</vt:i4>
      </vt:variant>
      <vt:variant>
        <vt:i4>0</vt:i4>
      </vt:variant>
      <vt:variant>
        <vt:i4>5</vt:i4>
      </vt:variant>
      <vt:variant>
        <vt:lpwstr/>
      </vt:variant>
      <vt:variant>
        <vt:lpwstr>_Toc209787609</vt:lpwstr>
      </vt:variant>
      <vt:variant>
        <vt:i4>1507381</vt:i4>
      </vt:variant>
      <vt:variant>
        <vt:i4>50</vt:i4>
      </vt:variant>
      <vt:variant>
        <vt:i4>0</vt:i4>
      </vt:variant>
      <vt:variant>
        <vt:i4>5</vt:i4>
      </vt:variant>
      <vt:variant>
        <vt:lpwstr/>
      </vt:variant>
      <vt:variant>
        <vt:lpwstr>_Toc209787608</vt:lpwstr>
      </vt:variant>
      <vt:variant>
        <vt:i4>1507381</vt:i4>
      </vt:variant>
      <vt:variant>
        <vt:i4>44</vt:i4>
      </vt:variant>
      <vt:variant>
        <vt:i4>0</vt:i4>
      </vt:variant>
      <vt:variant>
        <vt:i4>5</vt:i4>
      </vt:variant>
      <vt:variant>
        <vt:lpwstr/>
      </vt:variant>
      <vt:variant>
        <vt:lpwstr>_Toc209787607</vt:lpwstr>
      </vt:variant>
      <vt:variant>
        <vt:i4>1507381</vt:i4>
      </vt:variant>
      <vt:variant>
        <vt:i4>38</vt:i4>
      </vt:variant>
      <vt:variant>
        <vt:i4>0</vt:i4>
      </vt:variant>
      <vt:variant>
        <vt:i4>5</vt:i4>
      </vt:variant>
      <vt:variant>
        <vt:lpwstr/>
      </vt:variant>
      <vt:variant>
        <vt:lpwstr>_Toc209787606</vt:lpwstr>
      </vt:variant>
      <vt:variant>
        <vt:i4>1507381</vt:i4>
      </vt:variant>
      <vt:variant>
        <vt:i4>32</vt:i4>
      </vt:variant>
      <vt:variant>
        <vt:i4>0</vt:i4>
      </vt:variant>
      <vt:variant>
        <vt:i4>5</vt:i4>
      </vt:variant>
      <vt:variant>
        <vt:lpwstr/>
      </vt:variant>
      <vt:variant>
        <vt:lpwstr>_Toc209787605</vt:lpwstr>
      </vt:variant>
      <vt:variant>
        <vt:i4>1507381</vt:i4>
      </vt:variant>
      <vt:variant>
        <vt:i4>26</vt:i4>
      </vt:variant>
      <vt:variant>
        <vt:i4>0</vt:i4>
      </vt:variant>
      <vt:variant>
        <vt:i4>5</vt:i4>
      </vt:variant>
      <vt:variant>
        <vt:lpwstr/>
      </vt:variant>
      <vt:variant>
        <vt:lpwstr>_Toc209787604</vt:lpwstr>
      </vt:variant>
      <vt:variant>
        <vt:i4>1507381</vt:i4>
      </vt:variant>
      <vt:variant>
        <vt:i4>20</vt:i4>
      </vt:variant>
      <vt:variant>
        <vt:i4>0</vt:i4>
      </vt:variant>
      <vt:variant>
        <vt:i4>5</vt:i4>
      </vt:variant>
      <vt:variant>
        <vt:lpwstr/>
      </vt:variant>
      <vt:variant>
        <vt:lpwstr>_Toc209787603</vt:lpwstr>
      </vt:variant>
      <vt:variant>
        <vt:i4>1507381</vt:i4>
      </vt:variant>
      <vt:variant>
        <vt:i4>14</vt:i4>
      </vt:variant>
      <vt:variant>
        <vt:i4>0</vt:i4>
      </vt:variant>
      <vt:variant>
        <vt:i4>5</vt:i4>
      </vt:variant>
      <vt:variant>
        <vt:lpwstr/>
      </vt:variant>
      <vt:variant>
        <vt:lpwstr>_Toc209787602</vt:lpwstr>
      </vt:variant>
      <vt:variant>
        <vt:i4>1507381</vt:i4>
      </vt:variant>
      <vt:variant>
        <vt:i4>8</vt:i4>
      </vt:variant>
      <vt:variant>
        <vt:i4>0</vt:i4>
      </vt:variant>
      <vt:variant>
        <vt:i4>5</vt:i4>
      </vt:variant>
      <vt:variant>
        <vt:lpwstr/>
      </vt:variant>
      <vt:variant>
        <vt:lpwstr>_Toc209787601</vt:lpwstr>
      </vt:variant>
      <vt:variant>
        <vt:i4>1507381</vt:i4>
      </vt:variant>
      <vt:variant>
        <vt:i4>2</vt:i4>
      </vt:variant>
      <vt:variant>
        <vt:i4>0</vt:i4>
      </vt:variant>
      <vt:variant>
        <vt:i4>5</vt:i4>
      </vt:variant>
      <vt:variant>
        <vt:lpwstr/>
      </vt:variant>
      <vt:variant>
        <vt:lpwstr>_Toc209787600</vt:lpwstr>
      </vt:variant>
      <vt:variant>
        <vt:i4>7798910</vt:i4>
      </vt:variant>
      <vt:variant>
        <vt:i4>3</vt:i4>
      </vt:variant>
      <vt:variant>
        <vt:i4>0</vt:i4>
      </vt:variant>
      <vt:variant>
        <vt:i4>5</vt:i4>
      </vt:variant>
      <vt:variant>
        <vt:lpwstr>http://lt.wikipedia.org/wiki/Tikimyb%C4%97</vt:lpwstr>
      </vt:variant>
      <vt:variant>
        <vt:lpwstr/>
      </vt:variant>
      <vt:variant>
        <vt:i4>5636152</vt:i4>
      </vt:variant>
      <vt:variant>
        <vt:i4>0</vt:i4>
      </vt:variant>
      <vt:variant>
        <vt:i4>0</vt:i4>
      </vt:variant>
      <vt:variant>
        <vt:i4>5</vt:i4>
      </vt:variant>
      <vt:variant>
        <vt:lpwstr>http://lt.wikipedia.org/wiki/Tikimybi%C5%B3_teorija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 rizikos apibūdinimas ir reikšmė</dc:title>
  <dc:subject/>
  <dc:creator>Rita</dc:creator>
  <cp:keywords/>
  <dc:description/>
  <cp:lastModifiedBy> Rita J.</cp:lastModifiedBy>
  <cp:revision>20</cp:revision>
  <cp:lastPrinted>2010-04-25T09:45:00Z</cp:lastPrinted>
  <dcterms:created xsi:type="dcterms:W3CDTF">2010-03-07T11:34:00Z</dcterms:created>
  <dcterms:modified xsi:type="dcterms:W3CDTF">2010-04-25T09:45:00Z</dcterms:modified>
</cp:coreProperties>
</file>